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EC9388" w14:textId="597396EA" w:rsidR="00B92ABC" w:rsidRDefault="00D33BBD" w:rsidP="00D33BBD">
      <w:pPr>
        <w:pStyle w:val="Pagedecouverture"/>
        <w:rPr>
          <w:noProof/>
        </w:rPr>
      </w:pPr>
      <w:bookmarkStart w:id="0" w:name="LW_BM_COVERPAGE"/>
      <w:r>
        <w:rPr>
          <w:noProof/>
        </w:rPr>
        <w:pict w14:anchorId="1EEA50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D2DCC62-6BA2-48C4-ADD8-DD7FEBA04BC7" style="width:455.15pt;height:299.95pt">
            <v:imagedata r:id="rId11" o:title=""/>
          </v:shape>
        </w:pict>
      </w:r>
    </w:p>
    <w:bookmarkEnd w:id="0"/>
    <w:p w14:paraId="1BE4BC9F" w14:textId="77777777" w:rsidR="00B92ABC" w:rsidRDefault="00B92ABC" w:rsidP="004A650E">
      <w:pPr>
        <w:rPr>
          <w:noProof/>
        </w:rPr>
        <w:sectPr w:rsidR="00B92ABC" w:rsidSect="00D33BB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076E867" w14:textId="39A515D9" w:rsidR="005E313B" w:rsidRPr="004A0A8E" w:rsidRDefault="005E313B" w:rsidP="005E313B">
      <w:pPr>
        <w:rPr>
          <w:rFonts w:ascii="Times New Roman" w:hAnsi="Times New Roman" w:cs="Times New Roman"/>
          <w:noProof/>
          <w:sz w:val="40"/>
          <w:szCs w:val="40"/>
        </w:rPr>
      </w:pPr>
      <w:bookmarkStart w:id="1" w:name="_GoBack"/>
      <w:bookmarkEnd w:id="1"/>
      <w:r w:rsidRPr="00627F8D">
        <w:rPr>
          <w:rFonts w:ascii="Times New Roman" w:hAnsi="Times New Roman"/>
          <w:b/>
          <w:noProof/>
          <w:sz w:val="40"/>
        </w:rPr>
        <w:lastRenderedPageBreak/>
        <w:t>Revizuirea</w:t>
      </w:r>
      <w:r>
        <w:rPr>
          <w:rFonts w:ascii="Times New Roman" w:hAnsi="Times New Roman"/>
          <w:noProof/>
          <w:sz w:val="40"/>
        </w:rPr>
        <w:t xml:space="preserve"> </w:t>
      </w:r>
      <w:r w:rsidRPr="00627F8D">
        <w:rPr>
          <w:rFonts w:ascii="Times New Roman" w:hAnsi="Times New Roman"/>
          <w:b/>
          <w:noProof/>
          <w:sz w:val="40"/>
        </w:rPr>
        <w:t>datelor și a informațiilor</w:t>
      </w:r>
      <w:r>
        <w:rPr>
          <w:rFonts w:ascii="Times New Roman" w:hAnsi="Times New Roman"/>
          <w:noProof/>
          <w:sz w:val="40"/>
        </w:rPr>
        <w:t xml:space="preserve"> raportate în conformitate cu articolul </w:t>
      </w:r>
      <w:r w:rsidRPr="00F249C9">
        <w:rPr>
          <w:rFonts w:ascii="Times New Roman" w:hAnsi="Times New Roman"/>
          <w:noProof/>
          <w:sz w:val="40"/>
        </w:rPr>
        <w:t>13</w:t>
      </w:r>
      <w:r>
        <w:rPr>
          <w:rFonts w:ascii="Times New Roman" w:hAnsi="Times New Roman"/>
          <w:noProof/>
          <w:sz w:val="40"/>
        </w:rPr>
        <w:t xml:space="preserve"> alineatul (</w:t>
      </w:r>
      <w:r w:rsidRPr="00F249C9">
        <w:rPr>
          <w:rFonts w:ascii="Times New Roman" w:hAnsi="Times New Roman"/>
          <w:noProof/>
          <w:sz w:val="40"/>
        </w:rPr>
        <w:t>3</w:t>
      </w:r>
      <w:r>
        <w:rPr>
          <w:rFonts w:ascii="Times New Roman" w:hAnsi="Times New Roman"/>
          <w:noProof/>
          <w:sz w:val="40"/>
        </w:rPr>
        <w:t xml:space="preserve">) din </w:t>
      </w:r>
      <w:r w:rsidRPr="00627F8D">
        <w:rPr>
          <w:rFonts w:ascii="Times New Roman" w:hAnsi="Times New Roman"/>
          <w:b/>
          <w:noProof/>
          <w:sz w:val="40"/>
        </w:rPr>
        <w:t>Directiva (UE) 2019/904</w:t>
      </w:r>
      <w:r>
        <w:rPr>
          <w:rFonts w:ascii="Times New Roman" w:hAnsi="Times New Roman"/>
          <w:noProof/>
          <w:sz w:val="40"/>
        </w:rPr>
        <w:t xml:space="preserve"> a Parlamentului European și a Consiliului din </w:t>
      </w:r>
      <w:r w:rsidRPr="00F249C9">
        <w:rPr>
          <w:rFonts w:ascii="Times New Roman" w:hAnsi="Times New Roman"/>
          <w:noProof/>
          <w:sz w:val="40"/>
        </w:rPr>
        <w:t>5</w:t>
      </w:r>
      <w:r>
        <w:rPr>
          <w:rFonts w:ascii="Times New Roman" w:hAnsi="Times New Roman"/>
          <w:noProof/>
          <w:sz w:val="40"/>
        </w:rPr>
        <w:t xml:space="preserve"> iunie </w:t>
      </w:r>
      <w:r w:rsidRPr="00F249C9">
        <w:rPr>
          <w:rFonts w:ascii="Times New Roman" w:hAnsi="Times New Roman"/>
          <w:noProof/>
          <w:sz w:val="40"/>
        </w:rPr>
        <w:t>2019</w:t>
      </w:r>
      <w:r>
        <w:rPr>
          <w:rFonts w:ascii="Times New Roman" w:hAnsi="Times New Roman"/>
          <w:noProof/>
          <w:sz w:val="40"/>
        </w:rPr>
        <w:t xml:space="preserve"> privind </w:t>
      </w:r>
      <w:r w:rsidRPr="00627F8D">
        <w:rPr>
          <w:rFonts w:ascii="Times New Roman" w:hAnsi="Times New Roman"/>
          <w:b/>
          <w:noProof/>
          <w:sz w:val="40"/>
        </w:rPr>
        <w:t>reducerea impactului anumitor produse din plastic asupra mediului</w:t>
      </w:r>
    </w:p>
    <w:p w14:paraId="2CBE8831" w14:textId="77777777" w:rsidR="005E313B" w:rsidRPr="004A0A8E" w:rsidRDefault="005E313B" w:rsidP="005E313B">
      <w:pPr>
        <w:rPr>
          <w:noProof/>
        </w:rPr>
      </w:pPr>
    </w:p>
    <w:p w14:paraId="247B924D" w14:textId="2CBB8CFD" w:rsidR="005E313B" w:rsidRPr="004A0A8E" w:rsidRDefault="005E313B" w:rsidP="005E313B">
      <w:pPr>
        <w:rPr>
          <w:noProof/>
        </w:rPr>
      </w:pPr>
    </w:p>
    <w:p w14:paraId="59B5B95A" w14:textId="77777777" w:rsidR="005E313B" w:rsidRPr="004A0A8E" w:rsidRDefault="005E313B" w:rsidP="005E313B">
      <w:pPr>
        <w:ind w:firstLine="720"/>
        <w:jc w:val="right"/>
        <w:rPr>
          <w:noProof/>
          <w:sz w:val="28"/>
          <w:szCs w:val="28"/>
        </w:rPr>
        <w:sectPr w:rsidR="005E313B" w:rsidRPr="004A0A8E" w:rsidSect="00D8197A">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fmt="lowerRoman"/>
          <w:cols w:space="708"/>
          <w:docGrid w:linePitch="360"/>
        </w:sectPr>
      </w:pPr>
    </w:p>
    <w:sdt>
      <w:sdtPr>
        <w:rPr>
          <w:rFonts w:asciiTheme="minorHAnsi" w:eastAsiaTheme="minorEastAsia" w:hAnsiTheme="minorHAnsi" w:cstheme="minorBidi"/>
          <w:noProof/>
          <w:color w:val="auto"/>
          <w:kern w:val="2"/>
          <w:sz w:val="22"/>
          <w:szCs w:val="22"/>
        </w:rPr>
        <w:id w:val="-357434"/>
        <w:docPartObj>
          <w:docPartGallery w:val="Table of Contents"/>
          <w:docPartUnique/>
        </w:docPartObj>
      </w:sdtPr>
      <w:sdtEndPr>
        <w:rPr>
          <w:b/>
          <w:bCs/>
          <w:kern w:val="0"/>
        </w:rPr>
      </w:sdtEndPr>
      <w:sdtContent>
        <w:p w14:paraId="2B94A7EF" w14:textId="5EAA6F3D" w:rsidR="005E313B" w:rsidRPr="004A0A8E" w:rsidRDefault="005E313B" w:rsidP="005E313B">
          <w:pPr>
            <w:pStyle w:val="TOCHeading"/>
            <w:rPr>
              <w:noProof/>
            </w:rPr>
          </w:pPr>
          <w:r>
            <w:rPr>
              <w:noProof/>
            </w:rPr>
            <w:t>Conținut</w:t>
          </w:r>
        </w:p>
        <w:p w14:paraId="307857AB" w14:textId="392EC4B5" w:rsidR="001C6E9D" w:rsidRDefault="005E313B">
          <w:pPr>
            <w:pStyle w:val="TOC2"/>
            <w:tabs>
              <w:tab w:val="left" w:pos="660"/>
              <w:tab w:val="right" w:leader="dot" w:pos="9016"/>
            </w:tabs>
            <w:rPr>
              <w:rFonts w:eastAsiaTheme="minorEastAsia"/>
              <w:noProof/>
              <w:sz w:val="24"/>
              <w:szCs w:val="24"/>
              <w:lang w:val="en-IE" w:eastAsia="en-IE"/>
              <w14:ligatures w14:val="standardContextual"/>
            </w:rPr>
          </w:pPr>
          <w:r>
            <w:rPr>
              <w:noProof/>
            </w:rPr>
            <w:fldChar w:fldCharType="begin"/>
          </w:r>
          <w:r>
            <w:rPr>
              <w:noProof/>
            </w:rPr>
            <w:instrText xml:space="preserve"> TOC \o "1-5" \h \z \u </w:instrText>
          </w:r>
          <w:r>
            <w:rPr>
              <w:noProof/>
            </w:rPr>
            <w:fldChar w:fldCharType="separate"/>
          </w:r>
          <w:hyperlink w:anchor="_Toc221701573" w:history="1">
            <w:r w:rsidR="001C6E9D" w:rsidRPr="00627F8D">
              <w:rPr>
                <w:rStyle w:val="Hyperlink"/>
                <w:noProof/>
              </w:rPr>
              <w:t>1.</w:t>
            </w:r>
            <w:r w:rsidR="001C6E9D">
              <w:rPr>
                <w:rFonts w:eastAsiaTheme="minorEastAsia"/>
                <w:noProof/>
                <w:sz w:val="24"/>
                <w:szCs w:val="24"/>
                <w:lang w:val="en-IE" w:eastAsia="en-IE"/>
                <w14:ligatures w14:val="standardContextual"/>
              </w:rPr>
              <w:tab/>
            </w:r>
            <w:r w:rsidR="001C6E9D" w:rsidRPr="00627F8D">
              <w:rPr>
                <w:rStyle w:val="Hyperlink"/>
                <w:noProof/>
              </w:rPr>
              <w:t>Contextul și scopul raportului</w:t>
            </w:r>
            <w:r w:rsidR="001C6E9D">
              <w:rPr>
                <w:noProof/>
                <w:webHidden/>
              </w:rPr>
              <w:tab/>
            </w:r>
            <w:r w:rsidR="001C6E9D">
              <w:rPr>
                <w:noProof/>
                <w:webHidden/>
              </w:rPr>
              <w:fldChar w:fldCharType="begin"/>
            </w:r>
            <w:r w:rsidR="001C6E9D">
              <w:rPr>
                <w:noProof/>
                <w:webHidden/>
              </w:rPr>
              <w:instrText xml:space="preserve"> PAGEREF _Toc221701573 \h </w:instrText>
            </w:r>
            <w:r w:rsidR="001C6E9D">
              <w:rPr>
                <w:noProof/>
                <w:webHidden/>
              </w:rPr>
            </w:r>
            <w:r w:rsidR="001C6E9D">
              <w:rPr>
                <w:noProof/>
                <w:webHidden/>
              </w:rPr>
              <w:fldChar w:fldCharType="separate"/>
            </w:r>
            <w:r w:rsidR="007C798B">
              <w:rPr>
                <w:noProof/>
                <w:webHidden/>
              </w:rPr>
              <w:t>1</w:t>
            </w:r>
            <w:r w:rsidR="001C6E9D">
              <w:rPr>
                <w:noProof/>
                <w:webHidden/>
              </w:rPr>
              <w:fldChar w:fldCharType="end"/>
            </w:r>
          </w:hyperlink>
        </w:p>
        <w:p w14:paraId="13C81749" w14:textId="0E84037B" w:rsidR="001C6E9D" w:rsidRDefault="00D33BBD">
          <w:pPr>
            <w:pStyle w:val="TOC2"/>
            <w:tabs>
              <w:tab w:val="left" w:pos="660"/>
              <w:tab w:val="right" w:leader="dot" w:pos="9016"/>
            </w:tabs>
            <w:rPr>
              <w:rFonts w:eastAsiaTheme="minorEastAsia"/>
              <w:noProof/>
              <w:sz w:val="24"/>
              <w:szCs w:val="24"/>
              <w:lang w:val="en-IE" w:eastAsia="en-IE"/>
              <w14:ligatures w14:val="standardContextual"/>
            </w:rPr>
          </w:pPr>
          <w:hyperlink w:anchor="_Toc221701574" w:history="1">
            <w:r w:rsidR="001C6E9D" w:rsidRPr="00627F8D">
              <w:rPr>
                <w:rStyle w:val="Hyperlink"/>
                <w:noProof/>
              </w:rPr>
              <w:t>2.</w:t>
            </w:r>
            <w:r w:rsidR="001C6E9D">
              <w:rPr>
                <w:rFonts w:eastAsiaTheme="minorEastAsia"/>
                <w:noProof/>
                <w:sz w:val="24"/>
                <w:szCs w:val="24"/>
                <w:lang w:val="en-IE" w:eastAsia="en-IE"/>
                <w14:ligatures w14:val="standardContextual"/>
              </w:rPr>
              <w:tab/>
            </w:r>
            <w:r w:rsidR="001C6E9D" w:rsidRPr="00627F8D">
              <w:rPr>
                <w:rStyle w:val="Hyperlink"/>
                <w:noProof/>
              </w:rPr>
              <w:t>Rezultatele raportării</w:t>
            </w:r>
            <w:r w:rsidR="001C6E9D">
              <w:rPr>
                <w:noProof/>
                <w:webHidden/>
              </w:rPr>
              <w:tab/>
            </w:r>
            <w:r w:rsidR="001C6E9D">
              <w:rPr>
                <w:noProof/>
                <w:webHidden/>
              </w:rPr>
              <w:fldChar w:fldCharType="begin"/>
            </w:r>
            <w:r w:rsidR="001C6E9D">
              <w:rPr>
                <w:noProof/>
                <w:webHidden/>
              </w:rPr>
              <w:instrText xml:space="preserve"> PAGEREF _Toc221701574 \h </w:instrText>
            </w:r>
            <w:r w:rsidR="001C6E9D">
              <w:rPr>
                <w:noProof/>
                <w:webHidden/>
              </w:rPr>
            </w:r>
            <w:r w:rsidR="001C6E9D">
              <w:rPr>
                <w:noProof/>
                <w:webHidden/>
              </w:rPr>
              <w:fldChar w:fldCharType="separate"/>
            </w:r>
            <w:r w:rsidR="007C798B">
              <w:rPr>
                <w:noProof/>
                <w:webHidden/>
              </w:rPr>
              <w:t>1</w:t>
            </w:r>
            <w:r w:rsidR="001C6E9D">
              <w:rPr>
                <w:noProof/>
                <w:webHidden/>
              </w:rPr>
              <w:fldChar w:fldCharType="end"/>
            </w:r>
          </w:hyperlink>
        </w:p>
        <w:p w14:paraId="7E320F07" w14:textId="30BB43FE"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75" w:history="1">
            <w:r w:rsidR="001C6E9D" w:rsidRPr="00627F8D">
              <w:rPr>
                <w:rStyle w:val="Hyperlink"/>
                <w:noProof/>
              </w:rPr>
              <w:t>Prezentare generală pe elemente</w:t>
            </w:r>
            <w:r w:rsidR="001C6E9D">
              <w:rPr>
                <w:noProof/>
                <w:webHidden/>
              </w:rPr>
              <w:tab/>
            </w:r>
            <w:r w:rsidR="001C6E9D">
              <w:rPr>
                <w:noProof/>
                <w:webHidden/>
              </w:rPr>
              <w:fldChar w:fldCharType="begin"/>
            </w:r>
            <w:r w:rsidR="001C6E9D">
              <w:rPr>
                <w:noProof/>
                <w:webHidden/>
              </w:rPr>
              <w:instrText xml:space="preserve"> PAGEREF _Toc221701575 \h </w:instrText>
            </w:r>
            <w:r w:rsidR="001C6E9D">
              <w:rPr>
                <w:noProof/>
                <w:webHidden/>
              </w:rPr>
            </w:r>
            <w:r w:rsidR="001C6E9D">
              <w:rPr>
                <w:noProof/>
                <w:webHidden/>
              </w:rPr>
              <w:fldChar w:fldCharType="separate"/>
            </w:r>
            <w:r w:rsidR="007C798B">
              <w:rPr>
                <w:noProof/>
                <w:webHidden/>
              </w:rPr>
              <w:t>4</w:t>
            </w:r>
            <w:r w:rsidR="001C6E9D">
              <w:rPr>
                <w:noProof/>
                <w:webHidden/>
              </w:rPr>
              <w:fldChar w:fldCharType="end"/>
            </w:r>
          </w:hyperlink>
        </w:p>
        <w:p w14:paraId="617772A2" w14:textId="0C773F73"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76" w:history="1">
            <w:r w:rsidR="001C6E9D" w:rsidRPr="00627F8D">
              <w:rPr>
                <w:rStyle w:val="Hyperlink"/>
                <w:noProof/>
              </w:rPr>
              <w:t>El</w:t>
            </w:r>
            <w:r w:rsidR="001C6E9D" w:rsidRPr="00627F8D">
              <w:rPr>
                <w:rStyle w:val="Hyperlink"/>
                <w:noProof/>
                <w:spacing w:val="-6"/>
              </w:rPr>
              <w:t>ementul A: Cantitățile introduse pe piață de pahare pentru băuturi și recipiente pentru alimente</w:t>
            </w:r>
            <w:r w:rsidR="001C6E9D">
              <w:rPr>
                <w:noProof/>
                <w:webHidden/>
              </w:rPr>
              <w:tab/>
            </w:r>
            <w:r w:rsidR="001C6E9D">
              <w:rPr>
                <w:noProof/>
                <w:webHidden/>
              </w:rPr>
              <w:fldChar w:fldCharType="begin"/>
            </w:r>
            <w:r w:rsidR="001C6E9D">
              <w:rPr>
                <w:noProof/>
                <w:webHidden/>
              </w:rPr>
              <w:instrText xml:space="preserve"> PAGEREF _Toc221701576 \h </w:instrText>
            </w:r>
            <w:r w:rsidR="001C6E9D">
              <w:rPr>
                <w:noProof/>
                <w:webHidden/>
              </w:rPr>
            </w:r>
            <w:r w:rsidR="001C6E9D">
              <w:rPr>
                <w:noProof/>
                <w:webHidden/>
              </w:rPr>
              <w:fldChar w:fldCharType="separate"/>
            </w:r>
            <w:r w:rsidR="007C798B">
              <w:rPr>
                <w:noProof/>
                <w:webHidden/>
              </w:rPr>
              <w:t>4</w:t>
            </w:r>
            <w:r w:rsidR="001C6E9D">
              <w:rPr>
                <w:noProof/>
                <w:webHidden/>
              </w:rPr>
              <w:fldChar w:fldCharType="end"/>
            </w:r>
          </w:hyperlink>
        </w:p>
        <w:p w14:paraId="3E758AB1" w14:textId="3DB2F555"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77" w:history="1">
            <w:r w:rsidR="001C6E9D" w:rsidRPr="00627F8D">
              <w:rPr>
                <w:rStyle w:val="Hyperlink"/>
                <w:noProof/>
              </w:rPr>
              <w:t>Elementul B: Măsuri de reducere a consumului de pahare pentru băuturi și recipiente pentru alimente</w:t>
            </w:r>
            <w:r w:rsidR="001C6E9D">
              <w:rPr>
                <w:noProof/>
                <w:webHidden/>
              </w:rPr>
              <w:tab/>
            </w:r>
            <w:r w:rsidR="001C6E9D">
              <w:rPr>
                <w:noProof/>
                <w:webHidden/>
              </w:rPr>
              <w:fldChar w:fldCharType="begin"/>
            </w:r>
            <w:r w:rsidR="001C6E9D">
              <w:rPr>
                <w:noProof/>
                <w:webHidden/>
              </w:rPr>
              <w:instrText xml:space="preserve"> PAGEREF _Toc221701577 \h </w:instrText>
            </w:r>
            <w:r w:rsidR="001C6E9D">
              <w:rPr>
                <w:noProof/>
                <w:webHidden/>
              </w:rPr>
            </w:r>
            <w:r w:rsidR="001C6E9D">
              <w:rPr>
                <w:noProof/>
                <w:webHidden/>
              </w:rPr>
              <w:fldChar w:fldCharType="separate"/>
            </w:r>
            <w:r w:rsidR="007C798B">
              <w:rPr>
                <w:noProof/>
                <w:webHidden/>
              </w:rPr>
              <w:t>8</w:t>
            </w:r>
            <w:r w:rsidR="001C6E9D">
              <w:rPr>
                <w:noProof/>
                <w:webHidden/>
              </w:rPr>
              <w:fldChar w:fldCharType="end"/>
            </w:r>
          </w:hyperlink>
        </w:p>
        <w:p w14:paraId="3E5679F9" w14:textId="1BD3373E"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78" w:history="1">
            <w:r w:rsidR="001C6E9D" w:rsidRPr="00627F8D">
              <w:rPr>
                <w:rStyle w:val="Hyperlink"/>
                <w:noProof/>
              </w:rPr>
              <w:t>Elementul C: Colectarea separată a sticlelor din plastic de unică folosință pentru băuturi</w:t>
            </w:r>
            <w:r w:rsidR="001C6E9D">
              <w:rPr>
                <w:noProof/>
                <w:webHidden/>
              </w:rPr>
              <w:tab/>
            </w:r>
            <w:r w:rsidR="001C6E9D">
              <w:rPr>
                <w:noProof/>
                <w:webHidden/>
              </w:rPr>
              <w:fldChar w:fldCharType="begin"/>
            </w:r>
            <w:r w:rsidR="001C6E9D">
              <w:rPr>
                <w:noProof/>
                <w:webHidden/>
              </w:rPr>
              <w:instrText xml:space="preserve"> PAGEREF _Toc221701578 \h </w:instrText>
            </w:r>
            <w:r w:rsidR="001C6E9D">
              <w:rPr>
                <w:noProof/>
                <w:webHidden/>
              </w:rPr>
            </w:r>
            <w:r w:rsidR="001C6E9D">
              <w:rPr>
                <w:noProof/>
                <w:webHidden/>
              </w:rPr>
              <w:fldChar w:fldCharType="separate"/>
            </w:r>
            <w:r w:rsidR="007C798B">
              <w:rPr>
                <w:noProof/>
                <w:webHidden/>
              </w:rPr>
              <w:t>10</w:t>
            </w:r>
            <w:r w:rsidR="001C6E9D">
              <w:rPr>
                <w:noProof/>
                <w:webHidden/>
              </w:rPr>
              <w:fldChar w:fldCharType="end"/>
            </w:r>
          </w:hyperlink>
        </w:p>
        <w:p w14:paraId="16921ED9" w14:textId="07D5FF2D"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79" w:history="1">
            <w:r w:rsidR="001C6E9D" w:rsidRPr="00627F8D">
              <w:rPr>
                <w:rStyle w:val="Hyperlink"/>
                <w:noProof/>
              </w:rPr>
              <w:t>Elementul D: Cantitățile de echipamente de pescuit care conțin plastic introduse pe piață și colectate ca deșeuri</w:t>
            </w:r>
            <w:r w:rsidR="001C6E9D">
              <w:rPr>
                <w:noProof/>
                <w:webHidden/>
              </w:rPr>
              <w:tab/>
            </w:r>
            <w:r w:rsidR="001C6E9D">
              <w:rPr>
                <w:noProof/>
                <w:webHidden/>
              </w:rPr>
              <w:fldChar w:fldCharType="begin"/>
            </w:r>
            <w:r w:rsidR="001C6E9D">
              <w:rPr>
                <w:noProof/>
                <w:webHidden/>
              </w:rPr>
              <w:instrText xml:space="preserve"> PAGEREF _Toc221701579 \h </w:instrText>
            </w:r>
            <w:r w:rsidR="001C6E9D">
              <w:rPr>
                <w:noProof/>
                <w:webHidden/>
              </w:rPr>
            </w:r>
            <w:r w:rsidR="001C6E9D">
              <w:rPr>
                <w:noProof/>
                <w:webHidden/>
              </w:rPr>
              <w:fldChar w:fldCharType="separate"/>
            </w:r>
            <w:r w:rsidR="007C798B">
              <w:rPr>
                <w:noProof/>
                <w:webHidden/>
              </w:rPr>
              <w:t>12</w:t>
            </w:r>
            <w:r w:rsidR="001C6E9D">
              <w:rPr>
                <w:noProof/>
                <w:webHidden/>
              </w:rPr>
              <w:fldChar w:fldCharType="end"/>
            </w:r>
          </w:hyperlink>
        </w:p>
        <w:p w14:paraId="7EB6390E" w14:textId="37E6445D" w:rsidR="001C6E9D" w:rsidRDefault="00D33BBD">
          <w:pPr>
            <w:pStyle w:val="TOC2"/>
            <w:tabs>
              <w:tab w:val="left" w:pos="660"/>
              <w:tab w:val="right" w:leader="dot" w:pos="9016"/>
            </w:tabs>
            <w:rPr>
              <w:rFonts w:eastAsiaTheme="minorEastAsia"/>
              <w:noProof/>
              <w:sz w:val="24"/>
              <w:szCs w:val="24"/>
              <w:lang w:val="en-IE" w:eastAsia="en-IE"/>
              <w14:ligatures w14:val="standardContextual"/>
            </w:rPr>
          </w:pPr>
          <w:hyperlink w:anchor="_Toc221701580" w:history="1">
            <w:r w:rsidR="001C6E9D" w:rsidRPr="00627F8D">
              <w:rPr>
                <w:rStyle w:val="Hyperlink"/>
                <w:noProof/>
              </w:rPr>
              <w:t>3.</w:t>
            </w:r>
            <w:r w:rsidR="001C6E9D">
              <w:rPr>
                <w:rFonts w:eastAsiaTheme="minorEastAsia"/>
                <w:noProof/>
                <w:sz w:val="24"/>
                <w:szCs w:val="24"/>
                <w:lang w:val="en-IE" w:eastAsia="en-IE"/>
                <w14:ligatures w14:val="standardContextual"/>
              </w:rPr>
              <w:tab/>
            </w:r>
            <w:r w:rsidR="001C6E9D" w:rsidRPr="00627F8D">
              <w:rPr>
                <w:rStyle w:val="Hyperlink"/>
                <w:noProof/>
              </w:rPr>
              <w:t>Organizarea colectării datelor și calitatea datelor</w:t>
            </w:r>
            <w:r w:rsidR="001C6E9D">
              <w:rPr>
                <w:noProof/>
                <w:webHidden/>
              </w:rPr>
              <w:tab/>
            </w:r>
            <w:r w:rsidR="001C6E9D">
              <w:rPr>
                <w:noProof/>
                <w:webHidden/>
              </w:rPr>
              <w:fldChar w:fldCharType="begin"/>
            </w:r>
            <w:r w:rsidR="001C6E9D">
              <w:rPr>
                <w:noProof/>
                <w:webHidden/>
              </w:rPr>
              <w:instrText xml:space="preserve"> PAGEREF _Toc221701580 \h </w:instrText>
            </w:r>
            <w:r w:rsidR="001C6E9D">
              <w:rPr>
                <w:noProof/>
                <w:webHidden/>
              </w:rPr>
            </w:r>
            <w:r w:rsidR="001C6E9D">
              <w:rPr>
                <w:noProof/>
                <w:webHidden/>
              </w:rPr>
              <w:fldChar w:fldCharType="separate"/>
            </w:r>
            <w:r w:rsidR="007C798B">
              <w:rPr>
                <w:noProof/>
                <w:webHidden/>
              </w:rPr>
              <w:t>14</w:t>
            </w:r>
            <w:r w:rsidR="001C6E9D">
              <w:rPr>
                <w:noProof/>
                <w:webHidden/>
              </w:rPr>
              <w:fldChar w:fldCharType="end"/>
            </w:r>
          </w:hyperlink>
        </w:p>
        <w:p w14:paraId="2FB7C034" w14:textId="09BBA295"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81" w:history="1">
            <w:r w:rsidR="001C6E9D" w:rsidRPr="00627F8D">
              <w:rPr>
                <w:rStyle w:val="Hyperlink"/>
                <w:noProof/>
              </w:rPr>
              <w:t>Organizarea colectării datelor</w:t>
            </w:r>
            <w:r w:rsidR="001C6E9D">
              <w:rPr>
                <w:noProof/>
                <w:webHidden/>
              </w:rPr>
              <w:tab/>
            </w:r>
            <w:r w:rsidR="001C6E9D">
              <w:rPr>
                <w:noProof/>
                <w:webHidden/>
              </w:rPr>
              <w:fldChar w:fldCharType="begin"/>
            </w:r>
            <w:r w:rsidR="001C6E9D">
              <w:rPr>
                <w:noProof/>
                <w:webHidden/>
              </w:rPr>
              <w:instrText xml:space="preserve"> PAGEREF _Toc221701581 \h </w:instrText>
            </w:r>
            <w:r w:rsidR="001C6E9D">
              <w:rPr>
                <w:noProof/>
                <w:webHidden/>
              </w:rPr>
            </w:r>
            <w:r w:rsidR="001C6E9D">
              <w:rPr>
                <w:noProof/>
                <w:webHidden/>
              </w:rPr>
              <w:fldChar w:fldCharType="separate"/>
            </w:r>
            <w:r w:rsidR="007C798B">
              <w:rPr>
                <w:noProof/>
                <w:webHidden/>
              </w:rPr>
              <w:t>14</w:t>
            </w:r>
            <w:r w:rsidR="001C6E9D">
              <w:rPr>
                <w:noProof/>
                <w:webHidden/>
              </w:rPr>
              <w:fldChar w:fldCharType="end"/>
            </w:r>
          </w:hyperlink>
        </w:p>
        <w:p w14:paraId="375556F2" w14:textId="32EAC7F2"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82" w:history="1">
            <w:r w:rsidR="001C6E9D" w:rsidRPr="00627F8D">
              <w:rPr>
                <w:rStyle w:val="Hyperlink"/>
                <w:noProof/>
              </w:rPr>
              <w:t>Calitatea datelor</w:t>
            </w:r>
            <w:r w:rsidR="001C6E9D">
              <w:rPr>
                <w:noProof/>
                <w:webHidden/>
              </w:rPr>
              <w:tab/>
            </w:r>
            <w:r w:rsidR="001C6E9D">
              <w:rPr>
                <w:noProof/>
                <w:webHidden/>
              </w:rPr>
              <w:fldChar w:fldCharType="begin"/>
            </w:r>
            <w:r w:rsidR="001C6E9D">
              <w:rPr>
                <w:noProof/>
                <w:webHidden/>
              </w:rPr>
              <w:instrText xml:space="preserve"> PAGEREF _Toc221701582 \h </w:instrText>
            </w:r>
            <w:r w:rsidR="001C6E9D">
              <w:rPr>
                <w:noProof/>
                <w:webHidden/>
              </w:rPr>
            </w:r>
            <w:r w:rsidR="001C6E9D">
              <w:rPr>
                <w:noProof/>
                <w:webHidden/>
              </w:rPr>
              <w:fldChar w:fldCharType="separate"/>
            </w:r>
            <w:r w:rsidR="007C798B">
              <w:rPr>
                <w:noProof/>
                <w:webHidden/>
              </w:rPr>
              <w:t>15</w:t>
            </w:r>
            <w:r w:rsidR="001C6E9D">
              <w:rPr>
                <w:noProof/>
                <w:webHidden/>
              </w:rPr>
              <w:fldChar w:fldCharType="end"/>
            </w:r>
          </w:hyperlink>
        </w:p>
        <w:p w14:paraId="5FF54366" w14:textId="0F53FCFF" w:rsidR="001C6E9D" w:rsidRDefault="00D33BBD">
          <w:pPr>
            <w:pStyle w:val="TOC4"/>
            <w:tabs>
              <w:tab w:val="right" w:leader="dot" w:pos="9016"/>
            </w:tabs>
            <w:rPr>
              <w:rFonts w:eastAsiaTheme="minorEastAsia"/>
              <w:noProof/>
              <w:sz w:val="24"/>
              <w:szCs w:val="24"/>
              <w:lang w:val="en-IE" w:eastAsia="en-IE"/>
              <w14:ligatures w14:val="standardContextual"/>
            </w:rPr>
          </w:pPr>
          <w:hyperlink w:anchor="_Toc221701583" w:history="1">
            <w:r w:rsidR="001C6E9D" w:rsidRPr="00627F8D">
              <w:rPr>
                <w:rStyle w:val="Hyperlink"/>
                <w:noProof/>
              </w:rPr>
              <w:t>Surse de date și metodologii</w:t>
            </w:r>
            <w:r w:rsidR="001C6E9D">
              <w:rPr>
                <w:noProof/>
                <w:webHidden/>
              </w:rPr>
              <w:tab/>
            </w:r>
            <w:r w:rsidR="001C6E9D">
              <w:rPr>
                <w:noProof/>
                <w:webHidden/>
              </w:rPr>
              <w:fldChar w:fldCharType="begin"/>
            </w:r>
            <w:r w:rsidR="001C6E9D">
              <w:rPr>
                <w:noProof/>
                <w:webHidden/>
              </w:rPr>
              <w:instrText xml:space="preserve"> PAGEREF _Toc221701583 \h </w:instrText>
            </w:r>
            <w:r w:rsidR="001C6E9D">
              <w:rPr>
                <w:noProof/>
                <w:webHidden/>
              </w:rPr>
            </w:r>
            <w:r w:rsidR="001C6E9D">
              <w:rPr>
                <w:noProof/>
                <w:webHidden/>
              </w:rPr>
              <w:fldChar w:fldCharType="separate"/>
            </w:r>
            <w:r w:rsidR="007C798B">
              <w:rPr>
                <w:noProof/>
                <w:webHidden/>
              </w:rPr>
              <w:t>15</w:t>
            </w:r>
            <w:r w:rsidR="001C6E9D">
              <w:rPr>
                <w:noProof/>
                <w:webHidden/>
              </w:rPr>
              <w:fldChar w:fldCharType="end"/>
            </w:r>
          </w:hyperlink>
        </w:p>
        <w:p w14:paraId="5F2796D0" w14:textId="177D1CE7" w:rsidR="001C6E9D" w:rsidRDefault="00D33BBD">
          <w:pPr>
            <w:pStyle w:val="TOC4"/>
            <w:tabs>
              <w:tab w:val="right" w:leader="dot" w:pos="9016"/>
            </w:tabs>
            <w:rPr>
              <w:rFonts w:eastAsiaTheme="minorEastAsia"/>
              <w:noProof/>
              <w:sz w:val="24"/>
              <w:szCs w:val="24"/>
              <w:lang w:val="en-IE" w:eastAsia="en-IE"/>
              <w14:ligatures w14:val="standardContextual"/>
            </w:rPr>
          </w:pPr>
          <w:hyperlink w:anchor="_Toc221701584" w:history="1">
            <w:r w:rsidR="001C6E9D" w:rsidRPr="00627F8D">
              <w:rPr>
                <w:rStyle w:val="Hyperlink"/>
                <w:noProof/>
              </w:rPr>
              <w:t>Integralitate</w:t>
            </w:r>
            <w:r w:rsidR="001C6E9D">
              <w:rPr>
                <w:noProof/>
                <w:webHidden/>
              </w:rPr>
              <w:tab/>
            </w:r>
            <w:r w:rsidR="001C6E9D">
              <w:rPr>
                <w:noProof/>
                <w:webHidden/>
              </w:rPr>
              <w:fldChar w:fldCharType="begin"/>
            </w:r>
            <w:r w:rsidR="001C6E9D">
              <w:rPr>
                <w:noProof/>
                <w:webHidden/>
              </w:rPr>
              <w:instrText xml:space="preserve"> PAGEREF _Toc221701584 \h </w:instrText>
            </w:r>
            <w:r w:rsidR="001C6E9D">
              <w:rPr>
                <w:noProof/>
                <w:webHidden/>
              </w:rPr>
            </w:r>
            <w:r w:rsidR="001C6E9D">
              <w:rPr>
                <w:noProof/>
                <w:webHidden/>
              </w:rPr>
              <w:fldChar w:fldCharType="separate"/>
            </w:r>
            <w:r w:rsidR="007C798B">
              <w:rPr>
                <w:noProof/>
                <w:webHidden/>
              </w:rPr>
              <w:t>16</w:t>
            </w:r>
            <w:r w:rsidR="001C6E9D">
              <w:rPr>
                <w:noProof/>
                <w:webHidden/>
              </w:rPr>
              <w:fldChar w:fldCharType="end"/>
            </w:r>
          </w:hyperlink>
        </w:p>
        <w:p w14:paraId="0CD1A5F2" w14:textId="353C11BA" w:rsidR="001C6E9D" w:rsidRDefault="00D33BBD">
          <w:pPr>
            <w:pStyle w:val="TOC4"/>
            <w:tabs>
              <w:tab w:val="right" w:leader="dot" w:pos="9016"/>
            </w:tabs>
            <w:rPr>
              <w:rFonts w:eastAsiaTheme="minorEastAsia"/>
              <w:noProof/>
              <w:sz w:val="24"/>
              <w:szCs w:val="24"/>
              <w:lang w:val="en-IE" w:eastAsia="en-IE"/>
              <w14:ligatures w14:val="standardContextual"/>
            </w:rPr>
          </w:pPr>
          <w:hyperlink w:anchor="_Toc221701585" w:history="1">
            <w:r w:rsidR="001C6E9D" w:rsidRPr="00627F8D">
              <w:rPr>
                <w:rStyle w:val="Hyperlink"/>
                <w:noProof/>
              </w:rPr>
              <w:t>Fiabilitate</w:t>
            </w:r>
            <w:r w:rsidR="001C6E9D">
              <w:rPr>
                <w:noProof/>
                <w:webHidden/>
              </w:rPr>
              <w:tab/>
            </w:r>
            <w:r w:rsidR="001C6E9D">
              <w:rPr>
                <w:noProof/>
                <w:webHidden/>
              </w:rPr>
              <w:fldChar w:fldCharType="begin"/>
            </w:r>
            <w:r w:rsidR="001C6E9D">
              <w:rPr>
                <w:noProof/>
                <w:webHidden/>
              </w:rPr>
              <w:instrText xml:space="preserve"> PAGEREF _Toc221701585 \h </w:instrText>
            </w:r>
            <w:r w:rsidR="001C6E9D">
              <w:rPr>
                <w:noProof/>
                <w:webHidden/>
              </w:rPr>
            </w:r>
            <w:r w:rsidR="001C6E9D">
              <w:rPr>
                <w:noProof/>
                <w:webHidden/>
              </w:rPr>
              <w:fldChar w:fldCharType="separate"/>
            </w:r>
            <w:r w:rsidR="007C798B">
              <w:rPr>
                <w:noProof/>
                <w:webHidden/>
              </w:rPr>
              <w:t>16</w:t>
            </w:r>
            <w:r w:rsidR="001C6E9D">
              <w:rPr>
                <w:noProof/>
                <w:webHidden/>
              </w:rPr>
              <w:fldChar w:fldCharType="end"/>
            </w:r>
          </w:hyperlink>
        </w:p>
        <w:p w14:paraId="61D7FC78" w14:textId="542BC8D2" w:rsidR="001C6E9D" w:rsidRDefault="00D33BBD">
          <w:pPr>
            <w:pStyle w:val="TOC4"/>
            <w:tabs>
              <w:tab w:val="right" w:leader="dot" w:pos="9016"/>
            </w:tabs>
            <w:rPr>
              <w:rFonts w:eastAsiaTheme="minorEastAsia"/>
              <w:noProof/>
              <w:sz w:val="24"/>
              <w:szCs w:val="24"/>
              <w:lang w:val="en-IE" w:eastAsia="en-IE"/>
              <w14:ligatures w14:val="standardContextual"/>
            </w:rPr>
          </w:pPr>
          <w:hyperlink w:anchor="_Toc221701586" w:history="1">
            <w:r w:rsidR="001C6E9D" w:rsidRPr="00627F8D">
              <w:rPr>
                <w:rStyle w:val="Hyperlink"/>
                <w:noProof/>
              </w:rPr>
              <w:t>Actualitate</w:t>
            </w:r>
            <w:r w:rsidR="001C6E9D">
              <w:rPr>
                <w:noProof/>
                <w:webHidden/>
              </w:rPr>
              <w:tab/>
            </w:r>
            <w:r w:rsidR="001C6E9D">
              <w:rPr>
                <w:noProof/>
                <w:webHidden/>
              </w:rPr>
              <w:fldChar w:fldCharType="begin"/>
            </w:r>
            <w:r w:rsidR="001C6E9D">
              <w:rPr>
                <w:noProof/>
                <w:webHidden/>
              </w:rPr>
              <w:instrText xml:space="preserve"> PAGEREF _Toc221701586 \h </w:instrText>
            </w:r>
            <w:r w:rsidR="001C6E9D">
              <w:rPr>
                <w:noProof/>
                <w:webHidden/>
              </w:rPr>
            </w:r>
            <w:r w:rsidR="001C6E9D">
              <w:rPr>
                <w:noProof/>
                <w:webHidden/>
              </w:rPr>
              <w:fldChar w:fldCharType="separate"/>
            </w:r>
            <w:r w:rsidR="007C798B">
              <w:rPr>
                <w:noProof/>
                <w:webHidden/>
              </w:rPr>
              <w:t>17</w:t>
            </w:r>
            <w:r w:rsidR="001C6E9D">
              <w:rPr>
                <w:noProof/>
                <w:webHidden/>
              </w:rPr>
              <w:fldChar w:fldCharType="end"/>
            </w:r>
          </w:hyperlink>
        </w:p>
        <w:p w14:paraId="35FD7357" w14:textId="3181BD17" w:rsidR="001C6E9D" w:rsidRDefault="00D33BBD">
          <w:pPr>
            <w:pStyle w:val="TOC4"/>
            <w:tabs>
              <w:tab w:val="right" w:leader="dot" w:pos="9016"/>
            </w:tabs>
            <w:rPr>
              <w:rFonts w:eastAsiaTheme="minorEastAsia"/>
              <w:noProof/>
              <w:sz w:val="24"/>
              <w:szCs w:val="24"/>
              <w:lang w:val="en-IE" w:eastAsia="en-IE"/>
              <w14:ligatures w14:val="standardContextual"/>
            </w:rPr>
          </w:pPr>
          <w:hyperlink w:anchor="_Toc221701587" w:history="1">
            <w:r w:rsidR="001C6E9D" w:rsidRPr="00627F8D">
              <w:rPr>
                <w:rStyle w:val="Hyperlink"/>
                <w:noProof/>
              </w:rPr>
              <w:t>Coerență</w:t>
            </w:r>
            <w:r w:rsidR="001C6E9D">
              <w:rPr>
                <w:noProof/>
                <w:webHidden/>
              </w:rPr>
              <w:tab/>
            </w:r>
            <w:r w:rsidR="001C6E9D">
              <w:rPr>
                <w:noProof/>
                <w:webHidden/>
              </w:rPr>
              <w:fldChar w:fldCharType="begin"/>
            </w:r>
            <w:r w:rsidR="001C6E9D">
              <w:rPr>
                <w:noProof/>
                <w:webHidden/>
              </w:rPr>
              <w:instrText xml:space="preserve"> PAGEREF _Toc221701587 \h </w:instrText>
            </w:r>
            <w:r w:rsidR="001C6E9D">
              <w:rPr>
                <w:noProof/>
                <w:webHidden/>
              </w:rPr>
            </w:r>
            <w:r w:rsidR="001C6E9D">
              <w:rPr>
                <w:noProof/>
                <w:webHidden/>
              </w:rPr>
              <w:fldChar w:fldCharType="separate"/>
            </w:r>
            <w:r w:rsidR="007C798B">
              <w:rPr>
                <w:noProof/>
                <w:webHidden/>
              </w:rPr>
              <w:t>18</w:t>
            </w:r>
            <w:r w:rsidR="001C6E9D">
              <w:rPr>
                <w:noProof/>
                <w:webHidden/>
              </w:rPr>
              <w:fldChar w:fldCharType="end"/>
            </w:r>
          </w:hyperlink>
        </w:p>
        <w:p w14:paraId="573EB216" w14:textId="03416CC6" w:rsidR="001C6E9D" w:rsidRDefault="00D33BBD">
          <w:pPr>
            <w:pStyle w:val="TOC2"/>
            <w:tabs>
              <w:tab w:val="left" w:pos="660"/>
              <w:tab w:val="right" w:leader="dot" w:pos="9016"/>
            </w:tabs>
            <w:rPr>
              <w:rFonts w:eastAsiaTheme="minorEastAsia"/>
              <w:noProof/>
              <w:sz w:val="24"/>
              <w:szCs w:val="24"/>
              <w:lang w:val="en-IE" w:eastAsia="en-IE"/>
              <w14:ligatures w14:val="standardContextual"/>
            </w:rPr>
          </w:pPr>
          <w:hyperlink w:anchor="_Toc221701588" w:history="1">
            <w:r w:rsidR="001C6E9D" w:rsidRPr="00627F8D">
              <w:rPr>
                <w:rStyle w:val="Hyperlink"/>
                <w:noProof/>
              </w:rPr>
              <w:t>4.</w:t>
            </w:r>
            <w:r w:rsidR="001C6E9D">
              <w:rPr>
                <w:rFonts w:eastAsiaTheme="minorEastAsia"/>
                <w:noProof/>
                <w:sz w:val="24"/>
                <w:szCs w:val="24"/>
                <w:lang w:val="en-IE" w:eastAsia="en-IE"/>
                <w14:ligatures w14:val="standardContextual"/>
              </w:rPr>
              <w:tab/>
            </w:r>
            <w:r w:rsidR="001C6E9D" w:rsidRPr="00627F8D">
              <w:rPr>
                <w:rStyle w:val="Hyperlink"/>
                <w:noProof/>
              </w:rPr>
              <w:t>Recomandări de îmbunătățire</w:t>
            </w:r>
            <w:r w:rsidR="001C6E9D">
              <w:rPr>
                <w:noProof/>
                <w:webHidden/>
              </w:rPr>
              <w:tab/>
            </w:r>
            <w:r w:rsidR="001C6E9D">
              <w:rPr>
                <w:noProof/>
                <w:webHidden/>
              </w:rPr>
              <w:fldChar w:fldCharType="begin"/>
            </w:r>
            <w:r w:rsidR="001C6E9D">
              <w:rPr>
                <w:noProof/>
                <w:webHidden/>
              </w:rPr>
              <w:instrText xml:space="preserve"> PAGEREF _Toc221701588 \h </w:instrText>
            </w:r>
            <w:r w:rsidR="001C6E9D">
              <w:rPr>
                <w:noProof/>
                <w:webHidden/>
              </w:rPr>
            </w:r>
            <w:r w:rsidR="001C6E9D">
              <w:rPr>
                <w:noProof/>
                <w:webHidden/>
              </w:rPr>
              <w:fldChar w:fldCharType="separate"/>
            </w:r>
            <w:r w:rsidR="007C798B">
              <w:rPr>
                <w:noProof/>
                <w:webHidden/>
              </w:rPr>
              <w:t>18</w:t>
            </w:r>
            <w:r w:rsidR="001C6E9D">
              <w:rPr>
                <w:noProof/>
                <w:webHidden/>
              </w:rPr>
              <w:fldChar w:fldCharType="end"/>
            </w:r>
          </w:hyperlink>
        </w:p>
        <w:p w14:paraId="1B42DBE6" w14:textId="33CE69C8" w:rsidR="001C6E9D" w:rsidRDefault="00D33BBD">
          <w:pPr>
            <w:pStyle w:val="TOC2"/>
            <w:tabs>
              <w:tab w:val="left" w:pos="660"/>
              <w:tab w:val="right" w:leader="dot" w:pos="9016"/>
            </w:tabs>
            <w:rPr>
              <w:rFonts w:eastAsiaTheme="minorEastAsia"/>
              <w:noProof/>
              <w:sz w:val="24"/>
              <w:szCs w:val="24"/>
              <w:lang w:val="en-IE" w:eastAsia="en-IE"/>
              <w14:ligatures w14:val="standardContextual"/>
            </w:rPr>
          </w:pPr>
          <w:hyperlink w:anchor="_Toc221701589" w:history="1">
            <w:r w:rsidR="001C6E9D" w:rsidRPr="00627F8D">
              <w:rPr>
                <w:rStyle w:val="Hyperlink"/>
                <w:noProof/>
              </w:rPr>
              <w:t>5.</w:t>
            </w:r>
            <w:r w:rsidR="001C6E9D">
              <w:rPr>
                <w:rFonts w:eastAsiaTheme="minorEastAsia"/>
                <w:noProof/>
                <w:sz w:val="24"/>
                <w:szCs w:val="24"/>
                <w:lang w:val="en-IE" w:eastAsia="en-IE"/>
                <w14:ligatures w14:val="standardContextual"/>
              </w:rPr>
              <w:tab/>
            </w:r>
            <w:r w:rsidR="001C6E9D" w:rsidRPr="00627F8D">
              <w:rPr>
                <w:rStyle w:val="Hyperlink"/>
                <w:noProof/>
              </w:rPr>
              <w:t>Concluzii</w:t>
            </w:r>
            <w:r w:rsidR="001C6E9D">
              <w:rPr>
                <w:noProof/>
                <w:webHidden/>
              </w:rPr>
              <w:tab/>
            </w:r>
            <w:r w:rsidR="001C6E9D">
              <w:rPr>
                <w:noProof/>
                <w:webHidden/>
              </w:rPr>
              <w:fldChar w:fldCharType="begin"/>
            </w:r>
            <w:r w:rsidR="001C6E9D">
              <w:rPr>
                <w:noProof/>
                <w:webHidden/>
              </w:rPr>
              <w:instrText xml:space="preserve"> PAGEREF _Toc221701589 \h </w:instrText>
            </w:r>
            <w:r w:rsidR="001C6E9D">
              <w:rPr>
                <w:noProof/>
                <w:webHidden/>
              </w:rPr>
            </w:r>
            <w:r w:rsidR="001C6E9D">
              <w:rPr>
                <w:noProof/>
                <w:webHidden/>
              </w:rPr>
              <w:fldChar w:fldCharType="separate"/>
            </w:r>
            <w:r w:rsidR="007C798B">
              <w:rPr>
                <w:noProof/>
                <w:webHidden/>
              </w:rPr>
              <w:t>19</w:t>
            </w:r>
            <w:r w:rsidR="001C6E9D">
              <w:rPr>
                <w:noProof/>
                <w:webHidden/>
              </w:rPr>
              <w:fldChar w:fldCharType="end"/>
            </w:r>
          </w:hyperlink>
        </w:p>
        <w:p w14:paraId="6EFABB3A" w14:textId="3CCB90AC" w:rsidR="001C6E9D" w:rsidRDefault="00D33BBD">
          <w:pPr>
            <w:pStyle w:val="TOC2"/>
            <w:tabs>
              <w:tab w:val="left" w:pos="660"/>
              <w:tab w:val="right" w:leader="dot" w:pos="9016"/>
            </w:tabs>
            <w:rPr>
              <w:rFonts w:eastAsiaTheme="minorEastAsia"/>
              <w:noProof/>
              <w:sz w:val="24"/>
              <w:szCs w:val="24"/>
              <w:lang w:val="en-IE" w:eastAsia="en-IE"/>
              <w14:ligatures w14:val="standardContextual"/>
            </w:rPr>
          </w:pPr>
          <w:hyperlink w:anchor="_Toc221701590" w:history="1">
            <w:r w:rsidR="001C6E9D" w:rsidRPr="00627F8D">
              <w:rPr>
                <w:rStyle w:val="Hyperlink"/>
                <w:noProof/>
              </w:rPr>
              <w:t>6.</w:t>
            </w:r>
            <w:r w:rsidR="001C6E9D">
              <w:rPr>
                <w:rFonts w:eastAsiaTheme="minorEastAsia"/>
                <w:noProof/>
                <w:sz w:val="24"/>
                <w:szCs w:val="24"/>
                <w:lang w:val="en-IE" w:eastAsia="en-IE"/>
                <w14:ligatures w14:val="standardContextual"/>
              </w:rPr>
              <w:tab/>
            </w:r>
            <w:r w:rsidR="001C6E9D" w:rsidRPr="00627F8D">
              <w:rPr>
                <w:rStyle w:val="Hyperlink"/>
                <w:noProof/>
              </w:rPr>
              <w:t>Anexe</w:t>
            </w:r>
            <w:r w:rsidR="001C6E9D">
              <w:rPr>
                <w:noProof/>
                <w:webHidden/>
              </w:rPr>
              <w:tab/>
            </w:r>
            <w:r w:rsidR="001C6E9D">
              <w:rPr>
                <w:noProof/>
                <w:webHidden/>
              </w:rPr>
              <w:fldChar w:fldCharType="begin"/>
            </w:r>
            <w:r w:rsidR="001C6E9D">
              <w:rPr>
                <w:noProof/>
                <w:webHidden/>
              </w:rPr>
              <w:instrText xml:space="preserve"> PAGEREF _Toc221701590 \h </w:instrText>
            </w:r>
            <w:r w:rsidR="001C6E9D">
              <w:rPr>
                <w:noProof/>
                <w:webHidden/>
              </w:rPr>
            </w:r>
            <w:r w:rsidR="001C6E9D">
              <w:rPr>
                <w:noProof/>
                <w:webHidden/>
              </w:rPr>
              <w:fldChar w:fldCharType="separate"/>
            </w:r>
            <w:r w:rsidR="007C798B">
              <w:rPr>
                <w:noProof/>
                <w:webHidden/>
              </w:rPr>
              <w:t>20</w:t>
            </w:r>
            <w:r w:rsidR="001C6E9D">
              <w:rPr>
                <w:noProof/>
                <w:webHidden/>
              </w:rPr>
              <w:fldChar w:fldCharType="end"/>
            </w:r>
          </w:hyperlink>
        </w:p>
        <w:p w14:paraId="23ED9483" w14:textId="26704F92"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91" w:history="1">
            <w:r w:rsidR="001C6E9D" w:rsidRPr="00627F8D">
              <w:rPr>
                <w:rStyle w:val="Hyperlink"/>
                <w:noProof/>
              </w:rPr>
              <w:t>Anexa 1: Măsuri de reducere a consumului, pe categorii și subcategorii [elementul (b)]</w:t>
            </w:r>
            <w:r w:rsidR="001C6E9D">
              <w:rPr>
                <w:noProof/>
                <w:webHidden/>
              </w:rPr>
              <w:tab/>
            </w:r>
            <w:r w:rsidR="001C6E9D">
              <w:rPr>
                <w:noProof/>
                <w:webHidden/>
              </w:rPr>
              <w:fldChar w:fldCharType="begin"/>
            </w:r>
            <w:r w:rsidR="001C6E9D">
              <w:rPr>
                <w:noProof/>
                <w:webHidden/>
              </w:rPr>
              <w:instrText xml:space="preserve"> PAGEREF _Toc221701591 \h </w:instrText>
            </w:r>
            <w:r w:rsidR="001C6E9D">
              <w:rPr>
                <w:noProof/>
                <w:webHidden/>
              </w:rPr>
            </w:r>
            <w:r w:rsidR="001C6E9D">
              <w:rPr>
                <w:noProof/>
                <w:webHidden/>
              </w:rPr>
              <w:fldChar w:fldCharType="separate"/>
            </w:r>
            <w:r w:rsidR="007C798B">
              <w:rPr>
                <w:noProof/>
                <w:webHidden/>
              </w:rPr>
              <w:t>20</w:t>
            </w:r>
            <w:r w:rsidR="001C6E9D">
              <w:rPr>
                <w:noProof/>
                <w:webHidden/>
              </w:rPr>
              <w:fldChar w:fldCharType="end"/>
            </w:r>
          </w:hyperlink>
        </w:p>
        <w:p w14:paraId="6C67238E" w14:textId="2628B696"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92" w:history="1">
            <w:r w:rsidR="001C6E9D" w:rsidRPr="00627F8D">
              <w:rPr>
                <w:rStyle w:val="Hyperlink"/>
                <w:noProof/>
              </w:rPr>
              <w:t>Anexa 2: Măsuri de stabilire a unor obiective cantitative pentru reducerea consumului de pahare pentru băuturi și de recipiente pentru alimente din plastic de unică folosință [elementul (b)]</w:t>
            </w:r>
            <w:r w:rsidR="001C6E9D">
              <w:rPr>
                <w:noProof/>
                <w:webHidden/>
              </w:rPr>
              <w:tab/>
            </w:r>
            <w:r w:rsidR="001C6E9D">
              <w:rPr>
                <w:noProof/>
                <w:webHidden/>
              </w:rPr>
              <w:fldChar w:fldCharType="begin"/>
            </w:r>
            <w:r w:rsidR="001C6E9D">
              <w:rPr>
                <w:noProof/>
                <w:webHidden/>
              </w:rPr>
              <w:instrText xml:space="preserve"> PAGEREF _Toc221701592 \h </w:instrText>
            </w:r>
            <w:r w:rsidR="001C6E9D">
              <w:rPr>
                <w:noProof/>
                <w:webHidden/>
              </w:rPr>
            </w:r>
            <w:r w:rsidR="001C6E9D">
              <w:rPr>
                <w:noProof/>
                <w:webHidden/>
              </w:rPr>
              <w:fldChar w:fldCharType="separate"/>
            </w:r>
            <w:r w:rsidR="007C798B">
              <w:rPr>
                <w:noProof/>
                <w:webHidden/>
              </w:rPr>
              <w:t>24</w:t>
            </w:r>
            <w:r w:rsidR="001C6E9D">
              <w:rPr>
                <w:noProof/>
                <w:webHidden/>
              </w:rPr>
              <w:fldChar w:fldCharType="end"/>
            </w:r>
          </w:hyperlink>
        </w:p>
        <w:p w14:paraId="4BCBE0BE" w14:textId="0246495E"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93" w:history="1">
            <w:r w:rsidR="001C6E9D" w:rsidRPr="00627F8D">
              <w:rPr>
                <w:rStyle w:val="Hyperlink"/>
                <w:noProof/>
              </w:rPr>
              <w:t>Anexa 3: Rata de colectare separată pentru sticlele din plastic de unică folosință [litera (c)] și sistemele de garanție-returnare existente</w:t>
            </w:r>
            <w:r w:rsidR="001C6E9D">
              <w:rPr>
                <w:noProof/>
                <w:webHidden/>
              </w:rPr>
              <w:tab/>
            </w:r>
            <w:r w:rsidR="001C6E9D">
              <w:rPr>
                <w:noProof/>
                <w:webHidden/>
              </w:rPr>
              <w:fldChar w:fldCharType="begin"/>
            </w:r>
            <w:r w:rsidR="001C6E9D">
              <w:rPr>
                <w:noProof/>
                <w:webHidden/>
              </w:rPr>
              <w:instrText xml:space="preserve"> PAGEREF _Toc221701593 \h </w:instrText>
            </w:r>
            <w:r w:rsidR="001C6E9D">
              <w:rPr>
                <w:noProof/>
                <w:webHidden/>
              </w:rPr>
            </w:r>
            <w:r w:rsidR="001C6E9D">
              <w:rPr>
                <w:noProof/>
                <w:webHidden/>
              </w:rPr>
              <w:fldChar w:fldCharType="separate"/>
            </w:r>
            <w:r w:rsidR="007C798B">
              <w:rPr>
                <w:noProof/>
                <w:webHidden/>
              </w:rPr>
              <w:t>26</w:t>
            </w:r>
            <w:r w:rsidR="001C6E9D">
              <w:rPr>
                <w:noProof/>
                <w:webHidden/>
              </w:rPr>
              <w:fldChar w:fldCharType="end"/>
            </w:r>
          </w:hyperlink>
        </w:p>
        <w:p w14:paraId="6779B110" w14:textId="11853BE7"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94" w:history="1">
            <w:r w:rsidR="001C6E9D" w:rsidRPr="00627F8D">
              <w:rPr>
                <w:rStyle w:val="Hyperlink"/>
                <w:noProof/>
              </w:rPr>
              <w:t>Anexa 4: Sticle din plastic de unică folosință pentru băuturi introduse pe piață și colectate separat, valori absolute și pe cap de locuitor [litera (c)]</w:t>
            </w:r>
            <w:r w:rsidR="001C6E9D">
              <w:rPr>
                <w:noProof/>
                <w:webHidden/>
              </w:rPr>
              <w:tab/>
            </w:r>
            <w:r w:rsidR="001C6E9D">
              <w:rPr>
                <w:noProof/>
                <w:webHidden/>
              </w:rPr>
              <w:fldChar w:fldCharType="begin"/>
            </w:r>
            <w:r w:rsidR="001C6E9D">
              <w:rPr>
                <w:noProof/>
                <w:webHidden/>
              </w:rPr>
              <w:instrText xml:space="preserve"> PAGEREF _Toc221701594 \h </w:instrText>
            </w:r>
            <w:r w:rsidR="001C6E9D">
              <w:rPr>
                <w:noProof/>
                <w:webHidden/>
              </w:rPr>
            </w:r>
            <w:r w:rsidR="001C6E9D">
              <w:rPr>
                <w:noProof/>
                <w:webHidden/>
              </w:rPr>
              <w:fldChar w:fldCharType="separate"/>
            </w:r>
            <w:r w:rsidR="007C798B">
              <w:rPr>
                <w:noProof/>
                <w:webHidden/>
              </w:rPr>
              <w:t>27</w:t>
            </w:r>
            <w:r w:rsidR="001C6E9D">
              <w:rPr>
                <w:noProof/>
                <w:webHidden/>
              </w:rPr>
              <w:fldChar w:fldCharType="end"/>
            </w:r>
          </w:hyperlink>
        </w:p>
        <w:p w14:paraId="428A9D10" w14:textId="253D4BB3"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95" w:history="1">
            <w:r w:rsidR="001C6E9D" w:rsidRPr="00627F8D">
              <w:rPr>
                <w:rStyle w:val="Hyperlink"/>
                <w:noProof/>
              </w:rPr>
              <w:t>Anexa 5: Date raportate defalcate pe materiale și tipuri de echipamente de pescuit [litera (d)]</w:t>
            </w:r>
            <w:r w:rsidR="001C6E9D">
              <w:rPr>
                <w:noProof/>
                <w:webHidden/>
              </w:rPr>
              <w:tab/>
            </w:r>
            <w:r w:rsidR="001C6E9D">
              <w:rPr>
                <w:noProof/>
                <w:webHidden/>
              </w:rPr>
              <w:fldChar w:fldCharType="begin"/>
            </w:r>
            <w:r w:rsidR="001C6E9D">
              <w:rPr>
                <w:noProof/>
                <w:webHidden/>
              </w:rPr>
              <w:instrText xml:space="preserve"> PAGEREF _Toc221701595 \h </w:instrText>
            </w:r>
            <w:r w:rsidR="001C6E9D">
              <w:rPr>
                <w:noProof/>
                <w:webHidden/>
              </w:rPr>
            </w:r>
            <w:r w:rsidR="001C6E9D">
              <w:rPr>
                <w:noProof/>
                <w:webHidden/>
              </w:rPr>
              <w:fldChar w:fldCharType="separate"/>
            </w:r>
            <w:r w:rsidR="007C798B">
              <w:rPr>
                <w:noProof/>
                <w:webHidden/>
              </w:rPr>
              <w:t>28</w:t>
            </w:r>
            <w:r w:rsidR="001C6E9D">
              <w:rPr>
                <w:noProof/>
                <w:webHidden/>
              </w:rPr>
              <w:fldChar w:fldCharType="end"/>
            </w:r>
          </w:hyperlink>
        </w:p>
        <w:p w14:paraId="5AB83804" w14:textId="4D6AE328"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96" w:history="1">
            <w:r w:rsidR="001C6E9D" w:rsidRPr="00627F8D">
              <w:rPr>
                <w:rStyle w:val="Hyperlink"/>
                <w:noProof/>
              </w:rPr>
              <w:t>Anexa 6: Echipamente de pescuit introduse pe piață și deșeuri de echipamente de pescuit colectate [litera (d)] raportate la tonajul flotei de pescuit, pe țări</w:t>
            </w:r>
            <w:r w:rsidR="001C6E9D">
              <w:rPr>
                <w:noProof/>
                <w:webHidden/>
              </w:rPr>
              <w:tab/>
            </w:r>
            <w:r w:rsidR="001C6E9D">
              <w:rPr>
                <w:noProof/>
                <w:webHidden/>
              </w:rPr>
              <w:fldChar w:fldCharType="begin"/>
            </w:r>
            <w:r w:rsidR="001C6E9D">
              <w:rPr>
                <w:noProof/>
                <w:webHidden/>
              </w:rPr>
              <w:instrText xml:space="preserve"> PAGEREF _Toc221701596 \h </w:instrText>
            </w:r>
            <w:r w:rsidR="001C6E9D">
              <w:rPr>
                <w:noProof/>
                <w:webHidden/>
              </w:rPr>
            </w:r>
            <w:r w:rsidR="001C6E9D">
              <w:rPr>
                <w:noProof/>
                <w:webHidden/>
              </w:rPr>
              <w:fldChar w:fldCharType="separate"/>
            </w:r>
            <w:r w:rsidR="007C798B">
              <w:rPr>
                <w:noProof/>
                <w:webHidden/>
              </w:rPr>
              <w:t>31</w:t>
            </w:r>
            <w:r w:rsidR="001C6E9D">
              <w:rPr>
                <w:noProof/>
                <w:webHidden/>
              </w:rPr>
              <w:fldChar w:fldCharType="end"/>
            </w:r>
          </w:hyperlink>
        </w:p>
        <w:p w14:paraId="6849DD0C" w14:textId="4F4CC13D"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97" w:history="1">
            <w:r w:rsidR="001C6E9D" w:rsidRPr="00627F8D">
              <w:rPr>
                <w:rStyle w:val="Hyperlink"/>
                <w:noProof/>
              </w:rPr>
              <w:t>Anexa 7: Instituțiile responsabile de raportare în temeiul Directivei privind produsele din plastic de unică folosință și datele de raportare</w:t>
            </w:r>
            <w:r w:rsidR="001C6E9D">
              <w:rPr>
                <w:noProof/>
                <w:webHidden/>
              </w:rPr>
              <w:tab/>
            </w:r>
            <w:r w:rsidR="001C6E9D">
              <w:rPr>
                <w:noProof/>
                <w:webHidden/>
              </w:rPr>
              <w:fldChar w:fldCharType="begin"/>
            </w:r>
            <w:r w:rsidR="001C6E9D">
              <w:rPr>
                <w:noProof/>
                <w:webHidden/>
              </w:rPr>
              <w:instrText xml:space="preserve"> PAGEREF _Toc221701597 \h </w:instrText>
            </w:r>
            <w:r w:rsidR="001C6E9D">
              <w:rPr>
                <w:noProof/>
                <w:webHidden/>
              </w:rPr>
            </w:r>
            <w:r w:rsidR="001C6E9D">
              <w:rPr>
                <w:noProof/>
                <w:webHidden/>
              </w:rPr>
              <w:fldChar w:fldCharType="separate"/>
            </w:r>
            <w:r w:rsidR="007C798B">
              <w:rPr>
                <w:noProof/>
                <w:webHidden/>
              </w:rPr>
              <w:t>32</w:t>
            </w:r>
            <w:r w:rsidR="001C6E9D">
              <w:rPr>
                <w:noProof/>
                <w:webHidden/>
              </w:rPr>
              <w:fldChar w:fldCharType="end"/>
            </w:r>
          </w:hyperlink>
        </w:p>
        <w:p w14:paraId="74B20F44" w14:textId="251C628A"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98" w:history="1">
            <w:r w:rsidR="001C6E9D" w:rsidRPr="00627F8D">
              <w:rPr>
                <w:rStyle w:val="Hyperlink"/>
                <w:noProof/>
              </w:rPr>
              <w:t>Anexa 8: Rezumatul rezultatelor sondajului efectuat în rândul țărilor raportoare</w:t>
            </w:r>
            <w:r w:rsidR="001C6E9D">
              <w:rPr>
                <w:noProof/>
                <w:webHidden/>
              </w:rPr>
              <w:tab/>
            </w:r>
            <w:r w:rsidR="001C6E9D">
              <w:rPr>
                <w:noProof/>
                <w:webHidden/>
              </w:rPr>
              <w:fldChar w:fldCharType="begin"/>
            </w:r>
            <w:r w:rsidR="001C6E9D">
              <w:rPr>
                <w:noProof/>
                <w:webHidden/>
              </w:rPr>
              <w:instrText xml:space="preserve"> PAGEREF _Toc221701598 \h </w:instrText>
            </w:r>
            <w:r w:rsidR="001C6E9D">
              <w:rPr>
                <w:noProof/>
                <w:webHidden/>
              </w:rPr>
            </w:r>
            <w:r w:rsidR="001C6E9D">
              <w:rPr>
                <w:noProof/>
                <w:webHidden/>
              </w:rPr>
              <w:fldChar w:fldCharType="separate"/>
            </w:r>
            <w:r w:rsidR="007C798B">
              <w:rPr>
                <w:noProof/>
                <w:webHidden/>
              </w:rPr>
              <w:t>34</w:t>
            </w:r>
            <w:r w:rsidR="001C6E9D">
              <w:rPr>
                <w:noProof/>
                <w:webHidden/>
              </w:rPr>
              <w:fldChar w:fldCharType="end"/>
            </w:r>
          </w:hyperlink>
        </w:p>
        <w:p w14:paraId="6E0091D8" w14:textId="25D0C1D9"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599" w:history="1">
            <w:r w:rsidR="001C6E9D" w:rsidRPr="00627F8D">
              <w:rPr>
                <w:rStyle w:val="Hyperlink"/>
                <w:noProof/>
              </w:rPr>
              <w:t>Anexa 9: Surse de date și metodologii</w:t>
            </w:r>
            <w:r w:rsidR="001C6E9D">
              <w:rPr>
                <w:noProof/>
                <w:webHidden/>
              </w:rPr>
              <w:tab/>
            </w:r>
            <w:r w:rsidR="001C6E9D">
              <w:rPr>
                <w:noProof/>
                <w:webHidden/>
              </w:rPr>
              <w:fldChar w:fldCharType="begin"/>
            </w:r>
            <w:r w:rsidR="001C6E9D">
              <w:rPr>
                <w:noProof/>
                <w:webHidden/>
              </w:rPr>
              <w:instrText xml:space="preserve"> PAGEREF _Toc221701599 \h </w:instrText>
            </w:r>
            <w:r w:rsidR="001C6E9D">
              <w:rPr>
                <w:noProof/>
                <w:webHidden/>
              </w:rPr>
            </w:r>
            <w:r w:rsidR="001C6E9D">
              <w:rPr>
                <w:noProof/>
                <w:webHidden/>
              </w:rPr>
              <w:fldChar w:fldCharType="separate"/>
            </w:r>
            <w:r w:rsidR="007C798B">
              <w:rPr>
                <w:noProof/>
                <w:webHidden/>
              </w:rPr>
              <w:t>37</w:t>
            </w:r>
            <w:r w:rsidR="001C6E9D">
              <w:rPr>
                <w:noProof/>
                <w:webHidden/>
              </w:rPr>
              <w:fldChar w:fldCharType="end"/>
            </w:r>
          </w:hyperlink>
        </w:p>
        <w:p w14:paraId="26E80C46" w14:textId="00A1D936" w:rsidR="001C6E9D" w:rsidRDefault="00D33BBD">
          <w:pPr>
            <w:pStyle w:val="TOC3"/>
            <w:tabs>
              <w:tab w:val="right" w:leader="dot" w:pos="9016"/>
            </w:tabs>
            <w:rPr>
              <w:rFonts w:eastAsiaTheme="minorEastAsia"/>
              <w:noProof/>
              <w:sz w:val="24"/>
              <w:szCs w:val="24"/>
              <w:lang w:val="en-IE" w:eastAsia="en-IE"/>
              <w14:ligatures w14:val="standardContextual"/>
            </w:rPr>
          </w:pPr>
          <w:hyperlink w:anchor="_Toc221701600" w:history="1">
            <w:r w:rsidR="001C6E9D" w:rsidRPr="00627F8D">
              <w:rPr>
                <w:rStyle w:val="Hyperlink"/>
                <w:noProof/>
              </w:rPr>
              <w:t>Anexa 10: Metodele de verificare și problemele de acuratețe identificate</w:t>
            </w:r>
            <w:r w:rsidR="001C6E9D">
              <w:rPr>
                <w:noProof/>
                <w:webHidden/>
              </w:rPr>
              <w:tab/>
            </w:r>
            <w:r w:rsidR="001C6E9D">
              <w:rPr>
                <w:noProof/>
                <w:webHidden/>
              </w:rPr>
              <w:fldChar w:fldCharType="begin"/>
            </w:r>
            <w:r w:rsidR="001C6E9D">
              <w:rPr>
                <w:noProof/>
                <w:webHidden/>
              </w:rPr>
              <w:instrText xml:space="preserve"> PAGEREF _Toc221701600 \h </w:instrText>
            </w:r>
            <w:r w:rsidR="001C6E9D">
              <w:rPr>
                <w:noProof/>
                <w:webHidden/>
              </w:rPr>
            </w:r>
            <w:r w:rsidR="001C6E9D">
              <w:rPr>
                <w:noProof/>
                <w:webHidden/>
              </w:rPr>
              <w:fldChar w:fldCharType="separate"/>
            </w:r>
            <w:r w:rsidR="007C798B">
              <w:rPr>
                <w:noProof/>
                <w:webHidden/>
              </w:rPr>
              <w:t>39</w:t>
            </w:r>
            <w:r w:rsidR="001C6E9D">
              <w:rPr>
                <w:noProof/>
                <w:webHidden/>
              </w:rPr>
              <w:fldChar w:fldCharType="end"/>
            </w:r>
          </w:hyperlink>
        </w:p>
        <w:p w14:paraId="1FECDBFD" w14:textId="2F2B9633" w:rsidR="005E313B" w:rsidRPr="00627F8D" w:rsidRDefault="005E313B" w:rsidP="005E313B">
          <w:pPr>
            <w:rPr>
              <w:b/>
              <w:noProof/>
            </w:rPr>
          </w:pPr>
          <w:r>
            <w:rPr>
              <w:noProof/>
            </w:rPr>
            <w:fldChar w:fldCharType="end"/>
          </w:r>
        </w:p>
      </w:sdtContent>
    </w:sdt>
    <w:p w14:paraId="5CC03B5F" w14:textId="13E521CE" w:rsidR="005E313B" w:rsidRPr="004A0A8E" w:rsidRDefault="005E313B" w:rsidP="005E313B">
      <w:pPr>
        <w:rPr>
          <w:noProof/>
        </w:rPr>
      </w:pPr>
    </w:p>
    <w:p w14:paraId="55B289C5" w14:textId="77777777" w:rsidR="005E313B" w:rsidRPr="004A0A8E" w:rsidRDefault="005E313B" w:rsidP="005E313B">
      <w:pPr>
        <w:rPr>
          <w:noProof/>
        </w:rPr>
        <w:sectPr w:rsidR="005E313B" w:rsidRPr="004A0A8E" w:rsidSect="00611B4A">
          <w:headerReference w:type="default" r:id="rId24"/>
          <w:footerReference w:type="default" r:id="rId25"/>
          <w:pgSz w:w="11906" w:h="16838"/>
          <w:pgMar w:top="1440" w:right="1440" w:bottom="1440" w:left="1440" w:header="708" w:footer="708" w:gutter="0"/>
          <w:pgNumType w:fmt="lowerRoman" w:start="1"/>
          <w:cols w:space="708"/>
          <w:docGrid w:linePitch="360"/>
        </w:sectPr>
      </w:pPr>
    </w:p>
    <w:p w14:paraId="194B9285" w14:textId="0718AD48" w:rsidR="00862309" w:rsidRPr="004A0A8E" w:rsidRDefault="00862309" w:rsidP="00862309">
      <w:pPr>
        <w:pStyle w:val="Heading2"/>
        <w:rPr>
          <w:noProof/>
        </w:rPr>
      </w:pPr>
      <w:bookmarkStart w:id="2" w:name="_Toc185251683"/>
      <w:bookmarkStart w:id="3" w:name="_Toc185499245"/>
      <w:bookmarkStart w:id="4" w:name="_Toc221701573"/>
      <w:r>
        <w:rPr>
          <w:noProof/>
        </w:rPr>
        <w:t>Contextul</w:t>
      </w:r>
      <w:bookmarkEnd w:id="2"/>
      <w:r>
        <w:rPr>
          <w:noProof/>
        </w:rPr>
        <w:t xml:space="preserve"> și scopul raportului</w:t>
      </w:r>
      <w:bookmarkEnd w:id="3"/>
      <w:bookmarkEnd w:id="4"/>
    </w:p>
    <w:p w14:paraId="6444AE52" w14:textId="24E95811" w:rsidR="00862309" w:rsidRPr="004A0A8E" w:rsidRDefault="00862309" w:rsidP="00862309">
      <w:pPr>
        <w:rPr>
          <w:noProof/>
        </w:rPr>
      </w:pPr>
      <w:r>
        <w:rPr>
          <w:noProof/>
        </w:rPr>
        <w:t xml:space="preserve">Directiva </w:t>
      </w:r>
      <w:r w:rsidRPr="00F249C9">
        <w:rPr>
          <w:noProof/>
        </w:rPr>
        <w:t>2019</w:t>
      </w:r>
      <w:r>
        <w:rPr>
          <w:noProof/>
        </w:rPr>
        <w:t>/</w:t>
      </w:r>
      <w:r w:rsidRPr="00F249C9">
        <w:rPr>
          <w:noProof/>
        </w:rPr>
        <w:t>904</w:t>
      </w:r>
      <w:r>
        <w:rPr>
          <w:noProof/>
        </w:rPr>
        <w:t xml:space="preserve"> a Parlamentului European și a Consiliului din </w:t>
      </w:r>
      <w:r w:rsidRPr="00F249C9">
        <w:rPr>
          <w:noProof/>
        </w:rPr>
        <w:t>5</w:t>
      </w:r>
      <w:r>
        <w:rPr>
          <w:noProof/>
        </w:rPr>
        <w:t xml:space="preserve"> iunie </w:t>
      </w:r>
      <w:r w:rsidRPr="00F249C9">
        <w:rPr>
          <w:noProof/>
        </w:rPr>
        <w:t>2019</w:t>
      </w:r>
      <w:r>
        <w:rPr>
          <w:noProof/>
        </w:rPr>
        <w:t xml:space="preserve"> privind reducerea impactului anumitor produse din plastic asupra mediului (denumită în continuare „Directiva privind produsele din plastic de unică folosință”) are trei obiective: (i) să prevină și să reducă impactul negativ al anumitor produse din plastic asupra mediului și a sănătății umane; (ii) să promoveze o economie circulară; și (iii) să contribuie la buna funcționare a pieței interne.</w:t>
      </w:r>
    </w:p>
    <w:p w14:paraId="52973AD9" w14:textId="2DACC29F" w:rsidR="00862309" w:rsidRDefault="00722ABF" w:rsidP="00862309">
      <w:pPr>
        <w:rPr>
          <w:noProof/>
        </w:rPr>
      </w:pPr>
      <w:r>
        <w:rPr>
          <w:noProof/>
        </w:rPr>
        <w:t>În temeiul articolului </w:t>
      </w:r>
      <w:r w:rsidRPr="00F249C9">
        <w:rPr>
          <w:noProof/>
        </w:rPr>
        <w:t>13</w:t>
      </w:r>
      <w:r>
        <w:rPr>
          <w:noProof/>
        </w:rPr>
        <w:t xml:space="preserve"> din Directiva privind produsele din plastic de unică folosință, statele membre au obligația de a raporta informațiile prezentate în tabelul </w:t>
      </w:r>
      <w:r w:rsidRPr="00F249C9">
        <w:rPr>
          <w:noProof/>
        </w:rPr>
        <w:t>1</w:t>
      </w:r>
      <w:r>
        <w:rPr>
          <w:noProof/>
        </w:rPr>
        <w:t xml:space="preserve"> în termen de </w:t>
      </w:r>
      <w:r w:rsidRPr="00F249C9">
        <w:rPr>
          <w:noProof/>
        </w:rPr>
        <w:t>18</w:t>
      </w:r>
      <w:r>
        <w:rPr>
          <w:noProof/>
        </w:rPr>
        <w:t xml:space="preserve"> luni de la sfârșitul anului de referință respectiv, împreună cu un raport privind verificarea calității care să descrie, printre altele, metodele utilizate pentru calcule și pentru verificarea și controlul datelor. Comisia a adoptat o serie de decizii de punere în aplicare care stabilesc metodologiile și formatele atât pentru raportarea datelor, cât și pentru rapoartele privind verificarea calității.</w:t>
      </w:r>
    </w:p>
    <w:p w14:paraId="504D61E5" w14:textId="0A4EA6CF" w:rsidR="00E355AB" w:rsidRPr="004A0A8E" w:rsidRDefault="00E355AB" w:rsidP="00E355AB">
      <w:pPr>
        <w:rPr>
          <w:noProof/>
        </w:rPr>
      </w:pPr>
      <w:r>
        <w:rPr>
          <w:noProof/>
        </w:rPr>
        <w:t xml:space="preserve">Prezentul raport oferă o evaluare a informațiilor raportate pentru anul de referință </w:t>
      </w:r>
      <w:r w:rsidRPr="00F249C9">
        <w:rPr>
          <w:noProof/>
        </w:rPr>
        <w:t>2022</w:t>
      </w:r>
      <w:r>
        <w:rPr>
          <w:noProof/>
        </w:rPr>
        <w:t>, astfel cum se prevede la articolul </w:t>
      </w:r>
      <w:r w:rsidRPr="00F249C9">
        <w:rPr>
          <w:noProof/>
        </w:rPr>
        <w:t>13</w:t>
      </w:r>
      <w:r>
        <w:rPr>
          <w:noProof/>
        </w:rPr>
        <w:t xml:space="preserve"> alineatul (</w:t>
      </w:r>
      <w:r w:rsidRPr="00F249C9">
        <w:rPr>
          <w:noProof/>
        </w:rPr>
        <w:t>3</w:t>
      </w:r>
      <w:r>
        <w:rPr>
          <w:noProof/>
        </w:rPr>
        <w:t>) din Directiva privind produsele din plastic de unică folosință, al cărui text este prezentat mai jos.</w:t>
      </w:r>
    </w:p>
    <w:p w14:paraId="43B15BF8" w14:textId="79A40CA5" w:rsidR="00E355AB" w:rsidRPr="004A0A8E" w:rsidRDefault="00E355AB" w:rsidP="00E355AB">
      <w:pPr>
        <w:shd w:val="clear" w:color="auto" w:fill="E7E6E6" w:themeFill="background2"/>
        <w:rPr>
          <w:noProof/>
        </w:rPr>
      </w:pPr>
      <w:r w:rsidRPr="00627F8D">
        <w:rPr>
          <w:i/>
          <w:noProof/>
        </w:rPr>
        <w:t>Comisia analizează datele și informațiile raportate în conformitate cu prezentul articol (13) și publică un raport cu privire la rezultatele analizei respective. Raportul evaluează modul de organizare a colectării datelor și informațiilor, sursele datelor și informațiilor și metodologia utilizată în statele membre, precum și caracterul complet, fiabilitatea, actualitatea și consecvența datelor și informațiilor respective. Evaluarea poate include recomandări specifice de îmbunătățire. Raportul este elaborat după prima raportare a datelor și informațiilor de către statele membre și ulterior la intervalele prevăzute în articolul 12 alineatul (3c) din Directiva 94/62/CE.</w:t>
      </w:r>
    </w:p>
    <w:p w14:paraId="06220167" w14:textId="607A6FAC" w:rsidR="00E355AB" w:rsidRPr="004A0A8E" w:rsidRDefault="008220C6" w:rsidP="00E355AB">
      <w:pPr>
        <w:rPr>
          <w:noProof/>
        </w:rPr>
      </w:pPr>
      <w:r>
        <w:rPr>
          <w:noProof/>
        </w:rPr>
        <w:t>De asemenea, raportul:</w:t>
      </w:r>
    </w:p>
    <w:p w14:paraId="619C8AC2" w14:textId="541B096D" w:rsidR="00E355AB" w:rsidRPr="004A0A8E" w:rsidRDefault="0074084E" w:rsidP="00E355AB">
      <w:pPr>
        <w:pStyle w:val="ListParagraph"/>
        <w:numPr>
          <w:ilvl w:val="0"/>
          <w:numId w:val="1"/>
        </w:numPr>
        <w:rPr>
          <w:noProof/>
        </w:rPr>
      </w:pPr>
      <w:r>
        <w:rPr>
          <w:noProof/>
        </w:rPr>
        <w:t xml:space="preserve">oferă o imagine de ansamblu asupra datelor și informațiilor raportate; </w:t>
      </w:r>
    </w:p>
    <w:p w14:paraId="4D84131C" w14:textId="01B2E5CB" w:rsidR="00E355AB" w:rsidRPr="004A0A8E" w:rsidRDefault="0074084E" w:rsidP="00E355AB">
      <w:pPr>
        <w:pStyle w:val="ListParagraph"/>
        <w:numPr>
          <w:ilvl w:val="0"/>
          <w:numId w:val="1"/>
        </w:numPr>
        <w:rPr>
          <w:noProof/>
        </w:rPr>
      </w:pPr>
      <w:r>
        <w:rPr>
          <w:noProof/>
        </w:rPr>
        <w:t>evaluează calitatea datelor având în vedere criteriile enumerate la articolul </w:t>
      </w:r>
      <w:r w:rsidRPr="00F249C9">
        <w:rPr>
          <w:noProof/>
        </w:rPr>
        <w:t>13</w:t>
      </w:r>
      <w:r>
        <w:rPr>
          <w:noProof/>
        </w:rPr>
        <w:t xml:space="preserve"> alineatul (</w:t>
      </w:r>
      <w:r w:rsidRPr="00F249C9">
        <w:rPr>
          <w:noProof/>
        </w:rPr>
        <w:t>3</w:t>
      </w:r>
      <w:r>
        <w:rPr>
          <w:noProof/>
        </w:rPr>
        <w:t>);</w:t>
      </w:r>
    </w:p>
    <w:p w14:paraId="3E939548" w14:textId="68415D3F" w:rsidR="00A91CD2" w:rsidRPr="004A0A8E" w:rsidRDefault="0074084E" w:rsidP="00A91CD2">
      <w:pPr>
        <w:pStyle w:val="ListParagraph"/>
        <w:numPr>
          <w:ilvl w:val="0"/>
          <w:numId w:val="1"/>
        </w:numPr>
        <w:rPr>
          <w:noProof/>
        </w:rPr>
      </w:pPr>
      <w:r>
        <w:rPr>
          <w:noProof/>
        </w:rPr>
        <w:t>oferă recomandări cu privire la modalitățile de îmbunătățire a raportării în anii următori.</w:t>
      </w:r>
    </w:p>
    <w:p w14:paraId="3650BDD8" w14:textId="70F06A6B" w:rsidR="00EB5832" w:rsidRPr="004A0A8E" w:rsidRDefault="00EB5832" w:rsidP="00EB5832">
      <w:pPr>
        <w:rPr>
          <w:noProof/>
        </w:rPr>
      </w:pPr>
      <w:r>
        <w:rPr>
          <w:noProof/>
        </w:rPr>
        <w:t xml:space="preserve">Analiza care stă la baza prezentului raport a beneficiat de sprijinul Agenției Europene de Mediu. Analize mai detaliate pot fi găsite în raportul extins (AEM, </w:t>
      </w:r>
      <w:r w:rsidRPr="00F249C9">
        <w:rPr>
          <w:noProof/>
        </w:rPr>
        <w:t>2025</w:t>
      </w:r>
      <w:r>
        <w:rPr>
          <w:noProof/>
        </w:rPr>
        <w:t>). Pe lângă statele membre ale UE (SM), prezentul raport acoperă, de asemenea, datele și informațiile transmise de statele din Asociația Europeană a Liberului Schimb (AELS) care fac parte din Spațiul Economic European (Islanda, Liechtenstein și Norvegia).</w:t>
      </w:r>
    </w:p>
    <w:p w14:paraId="6FA6A0F4" w14:textId="3EB8E903" w:rsidR="00A91CD2" w:rsidRPr="004A0A8E" w:rsidRDefault="00A91CD2" w:rsidP="00A91CD2">
      <w:pPr>
        <w:pStyle w:val="Heading2"/>
        <w:rPr>
          <w:noProof/>
        </w:rPr>
      </w:pPr>
      <w:bookmarkStart w:id="5" w:name="_Toc221701574"/>
      <w:r>
        <w:rPr>
          <w:noProof/>
        </w:rPr>
        <w:t>Rezultatele raportării</w:t>
      </w:r>
      <w:bookmarkEnd w:id="5"/>
      <w:r>
        <w:rPr>
          <w:noProof/>
        </w:rPr>
        <w:t xml:space="preserve"> </w:t>
      </w:r>
    </w:p>
    <w:p w14:paraId="18E74780" w14:textId="79349994" w:rsidR="006306E4" w:rsidRPr="00B43C58" w:rsidRDefault="00A91CD2" w:rsidP="00A91CD2">
      <w:pPr>
        <w:rPr>
          <w:noProof/>
          <w:color w:val="000000" w:themeColor="text1"/>
        </w:rPr>
      </w:pPr>
      <w:r>
        <w:rPr>
          <w:noProof/>
        </w:rPr>
        <w:t xml:space="preserve">Această secțiune prezintă datele raportate, pe element de raportare [de la elementul (a) la elementul (d), astfel cum se indică în tabelul </w:t>
      </w:r>
      <w:r w:rsidRPr="00F249C9">
        <w:rPr>
          <w:noProof/>
        </w:rPr>
        <w:t>1</w:t>
      </w:r>
      <w:r>
        <w:rPr>
          <w:noProof/>
        </w:rPr>
        <w:t>], completate cu calcule suplimentare ale valorilor pe cap de locuitor și ale valorilor totale.</w:t>
      </w:r>
      <w:r w:rsidR="00F249C9">
        <w:rPr>
          <w:noProof/>
        </w:rPr>
        <w:t xml:space="preserve"> </w:t>
      </w:r>
      <w:r>
        <w:rPr>
          <w:noProof/>
        </w:rPr>
        <w:t xml:space="preserve">Setul complet de date și informații raportate </w:t>
      </w:r>
      <w:hyperlink r:id="rId26" w:history="1">
        <w:r w:rsidRPr="00627F8D">
          <w:rPr>
            <w:rStyle w:val="Hyperlink"/>
            <w:noProof/>
          </w:rPr>
          <w:t>este disponibil aici</w:t>
        </w:r>
      </w:hyperlink>
      <w:r>
        <w:rPr>
          <w:noProof/>
          <w:color w:val="000000" w:themeColor="text1"/>
        </w:rPr>
        <w:t>.</w:t>
      </w:r>
    </w:p>
    <w:p w14:paraId="6679B543" w14:textId="416A8B8D" w:rsidR="00A91CD2" w:rsidRPr="004A0A8E" w:rsidRDefault="006306E4" w:rsidP="00A91CD2">
      <w:pPr>
        <w:rPr>
          <w:noProof/>
        </w:rPr>
      </w:pPr>
      <w:r>
        <w:rPr>
          <w:noProof/>
        </w:rPr>
        <w:t xml:space="preserve">Informațiile prezentate ar trebui luate în considerare cu prudență, atât din cauza metodologiilor diferite utilizate de diferite țări, cât și din cauza problemelor de acuratețe (a se vedea capitolul </w:t>
      </w:r>
      <w:r w:rsidRPr="00F249C9">
        <w:rPr>
          <w:noProof/>
        </w:rPr>
        <w:t>3</w:t>
      </w:r>
      <w:r>
        <w:rPr>
          <w:noProof/>
        </w:rPr>
        <w:t xml:space="preserve"> privind calitatea datelor). Prin urmare, comparațiile între țări (de exemplu, ale valorilor pe cap de locuitor) pot să nu fie deosebit de relevante. Cu toate acestea, au fost calculate valori pe cap de locuitor și valori totale pentru țările care au raportat cu privire la elementul respectiv, pentru a oferi o imagine de ansamblu mai bună a situației actuale.</w:t>
      </w:r>
    </w:p>
    <w:p w14:paraId="0EB97B8A" w14:textId="77777777" w:rsidR="00A91CD2" w:rsidRPr="00627F8D" w:rsidRDefault="00A91CD2" w:rsidP="00862309">
      <w:pPr>
        <w:rPr>
          <w:i/>
          <w:noProof/>
        </w:rPr>
        <w:sectPr w:rsidR="00A91CD2" w:rsidRPr="00627F8D" w:rsidSect="00770AFB">
          <w:headerReference w:type="default" r:id="rId27"/>
          <w:footerReference w:type="default" r:id="rId28"/>
          <w:pgSz w:w="11906" w:h="16838"/>
          <w:pgMar w:top="993" w:right="1440" w:bottom="1440" w:left="1440" w:header="708" w:footer="708" w:gutter="0"/>
          <w:pgNumType w:start="1"/>
          <w:cols w:space="708"/>
          <w:docGrid w:linePitch="360"/>
        </w:sectPr>
      </w:pPr>
    </w:p>
    <w:p w14:paraId="7CC51567" w14:textId="2F786AC7" w:rsidR="00862309" w:rsidRPr="00627F8D" w:rsidRDefault="00862309" w:rsidP="00862309">
      <w:pPr>
        <w:pStyle w:val="Caption"/>
        <w:rPr>
          <w:noProof/>
        </w:rPr>
      </w:pPr>
      <w:bookmarkStart w:id="6" w:name="_Ref164348942"/>
      <w:bookmarkStart w:id="7" w:name="_Ref165621768"/>
      <w:r w:rsidRPr="00627F8D">
        <w:rPr>
          <w:noProof/>
        </w:rPr>
        <w:t xml:space="preserve">Tabelul </w:t>
      </w:r>
      <w:r w:rsidRPr="00627F8D">
        <w:rPr>
          <w:noProof/>
        </w:rPr>
        <w:fldChar w:fldCharType="begin"/>
      </w:r>
      <w:r w:rsidRPr="00627F8D">
        <w:rPr>
          <w:noProof/>
        </w:rPr>
        <w:instrText xml:space="preserve"> SEQ Table \* ARABIC </w:instrText>
      </w:r>
      <w:r w:rsidRPr="00627F8D">
        <w:rPr>
          <w:noProof/>
        </w:rPr>
        <w:fldChar w:fldCharType="separate"/>
      </w:r>
      <w:r w:rsidRPr="00627F8D">
        <w:rPr>
          <w:noProof/>
        </w:rPr>
        <w:t>1</w:t>
      </w:r>
      <w:r w:rsidRPr="00627F8D">
        <w:rPr>
          <w:noProof/>
        </w:rPr>
        <w:fldChar w:fldCharType="end"/>
      </w:r>
      <w:bookmarkEnd w:id="6"/>
      <w:r w:rsidRPr="00627F8D">
        <w:rPr>
          <w:noProof/>
        </w:rPr>
        <w:t xml:space="preserve">: </w:t>
      </w:r>
      <w:bookmarkStart w:id="8" w:name="_Ref165621779"/>
      <w:r w:rsidRPr="00627F8D">
        <w:rPr>
          <w:noProof/>
        </w:rPr>
        <w:t>Obligații de raportare în conformitate cu Directiva privind produsele din plastic de unică folosință.</w:t>
      </w:r>
      <w:bookmarkEnd w:id="7"/>
      <w:bookmarkEnd w:id="8"/>
    </w:p>
    <w:tbl>
      <w:tblPr>
        <w:tblStyle w:val="TableGrid"/>
        <w:tblW w:w="16152"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94"/>
        <w:gridCol w:w="1066"/>
        <w:gridCol w:w="7134"/>
        <w:gridCol w:w="900"/>
        <w:gridCol w:w="990"/>
        <w:gridCol w:w="4468"/>
      </w:tblGrid>
      <w:tr w:rsidR="00A7336D" w:rsidRPr="004A10F0" w14:paraId="1449D6D8" w14:textId="77777777" w:rsidTr="00E15FCF">
        <w:trPr>
          <w:trHeight w:val="149"/>
        </w:trPr>
        <w:tc>
          <w:tcPr>
            <w:tcW w:w="1598" w:type="dxa"/>
            <w:shd w:val="clear" w:color="auto" w:fill="007B6C"/>
            <w:vAlign w:val="center"/>
          </w:tcPr>
          <w:p w14:paraId="4C1F4492" w14:textId="77777777" w:rsidR="00A7336D" w:rsidRPr="00975E08" w:rsidRDefault="00A7336D" w:rsidP="00E15FCF">
            <w:pPr>
              <w:jc w:val="center"/>
              <w:rPr>
                <w:rFonts w:asciiTheme="majorHAnsi" w:hAnsiTheme="majorHAnsi" w:cstheme="majorHAnsi"/>
                <w:noProof/>
                <w:color w:val="FFFFFF" w:themeColor="background1"/>
                <w:sz w:val="18"/>
                <w:szCs w:val="18"/>
              </w:rPr>
            </w:pPr>
            <w:r w:rsidRPr="00627F8D">
              <w:rPr>
                <w:rFonts w:asciiTheme="majorHAnsi" w:hAnsiTheme="majorHAnsi"/>
                <w:b/>
                <w:noProof/>
                <w:color w:val="FFFFFF" w:themeColor="background1"/>
                <w:sz w:val="18"/>
              </w:rPr>
              <w:t>Date și informații</w:t>
            </w:r>
          </w:p>
        </w:tc>
        <w:tc>
          <w:tcPr>
            <w:tcW w:w="955" w:type="dxa"/>
            <w:shd w:val="clear" w:color="auto" w:fill="007B6C"/>
            <w:vAlign w:val="center"/>
          </w:tcPr>
          <w:p w14:paraId="66967C10" w14:textId="77777777" w:rsidR="00A7336D" w:rsidRPr="00975E08" w:rsidRDefault="00A7336D" w:rsidP="00E15FCF">
            <w:pPr>
              <w:jc w:val="center"/>
              <w:rPr>
                <w:rFonts w:asciiTheme="majorHAnsi" w:hAnsiTheme="majorHAnsi" w:cstheme="majorHAnsi"/>
                <w:b/>
                <w:noProof/>
                <w:color w:val="FFFFFF" w:themeColor="background1"/>
                <w:sz w:val="18"/>
                <w:szCs w:val="18"/>
              </w:rPr>
            </w:pPr>
            <w:r w:rsidRPr="00627F8D">
              <w:rPr>
                <w:rFonts w:asciiTheme="majorHAnsi" w:hAnsiTheme="majorHAnsi"/>
                <w:b/>
                <w:noProof/>
                <w:color w:val="FFFFFF" w:themeColor="background1"/>
                <w:sz w:val="18"/>
              </w:rPr>
              <w:t>Menționate în prezentul raport ca</w:t>
            </w:r>
          </w:p>
        </w:tc>
        <w:tc>
          <w:tcPr>
            <w:tcW w:w="7200" w:type="dxa"/>
            <w:shd w:val="clear" w:color="auto" w:fill="007B6C"/>
            <w:vAlign w:val="center"/>
          </w:tcPr>
          <w:p w14:paraId="362268A6" w14:textId="77777777" w:rsidR="00A7336D" w:rsidRPr="00975E08" w:rsidRDefault="00A7336D" w:rsidP="00E15FCF">
            <w:pPr>
              <w:jc w:val="center"/>
              <w:rPr>
                <w:rFonts w:asciiTheme="majorHAnsi" w:hAnsiTheme="majorHAnsi" w:cstheme="majorHAnsi"/>
                <w:noProof/>
                <w:color w:val="FFFFFF" w:themeColor="background1"/>
                <w:sz w:val="18"/>
                <w:szCs w:val="18"/>
              </w:rPr>
            </w:pPr>
            <w:r w:rsidRPr="00627F8D">
              <w:rPr>
                <w:rFonts w:asciiTheme="majorHAnsi" w:hAnsiTheme="majorHAnsi"/>
                <w:b/>
                <w:noProof/>
                <w:color w:val="FFFFFF" w:themeColor="background1"/>
                <w:sz w:val="18"/>
              </w:rPr>
              <w:t>Temeiul juridic al raportării</w:t>
            </w:r>
          </w:p>
        </w:tc>
        <w:tc>
          <w:tcPr>
            <w:tcW w:w="901" w:type="dxa"/>
            <w:shd w:val="clear" w:color="auto" w:fill="007B6C"/>
            <w:vAlign w:val="center"/>
          </w:tcPr>
          <w:p w14:paraId="6115854A" w14:textId="77777777" w:rsidR="00A7336D" w:rsidRPr="00975E08" w:rsidRDefault="00A7336D" w:rsidP="00E15FCF">
            <w:pPr>
              <w:jc w:val="center"/>
              <w:rPr>
                <w:rFonts w:asciiTheme="majorHAnsi" w:hAnsiTheme="majorHAnsi" w:cstheme="majorHAnsi"/>
                <w:noProof/>
                <w:color w:val="FFFFFF" w:themeColor="background1"/>
                <w:sz w:val="18"/>
                <w:szCs w:val="18"/>
              </w:rPr>
            </w:pPr>
            <w:r w:rsidRPr="00627F8D">
              <w:rPr>
                <w:rFonts w:asciiTheme="majorHAnsi" w:hAnsiTheme="majorHAnsi"/>
                <w:b/>
                <w:noProof/>
                <w:color w:val="FFFFFF" w:themeColor="background1"/>
                <w:sz w:val="18"/>
              </w:rPr>
              <w:t>Anul de referință</w:t>
            </w:r>
          </w:p>
        </w:tc>
        <w:tc>
          <w:tcPr>
            <w:tcW w:w="991" w:type="dxa"/>
            <w:shd w:val="clear" w:color="auto" w:fill="007B6C"/>
            <w:vAlign w:val="center"/>
          </w:tcPr>
          <w:p w14:paraId="11A751AF" w14:textId="77777777" w:rsidR="00A7336D" w:rsidRPr="00975E08" w:rsidRDefault="00A7336D" w:rsidP="00E15FCF">
            <w:pPr>
              <w:jc w:val="center"/>
              <w:rPr>
                <w:rFonts w:asciiTheme="majorHAnsi" w:hAnsiTheme="majorHAnsi" w:cstheme="majorHAnsi"/>
                <w:noProof/>
                <w:color w:val="FFFFFF" w:themeColor="background1"/>
                <w:sz w:val="18"/>
                <w:szCs w:val="18"/>
              </w:rPr>
            </w:pPr>
            <w:r w:rsidRPr="00627F8D">
              <w:rPr>
                <w:rFonts w:asciiTheme="majorHAnsi" w:hAnsiTheme="majorHAnsi"/>
                <w:b/>
                <w:noProof/>
                <w:color w:val="FFFFFF" w:themeColor="background1"/>
                <w:sz w:val="18"/>
              </w:rPr>
              <w:t>Termenul-limită pentru prima raportare de către statele membre</w:t>
            </w:r>
          </w:p>
        </w:tc>
        <w:tc>
          <w:tcPr>
            <w:tcW w:w="4507" w:type="dxa"/>
            <w:shd w:val="clear" w:color="auto" w:fill="007B6C"/>
            <w:vAlign w:val="center"/>
          </w:tcPr>
          <w:p w14:paraId="5AF56C55" w14:textId="77777777" w:rsidR="00A7336D" w:rsidRPr="00627F8D" w:rsidRDefault="00A7336D" w:rsidP="00E15FCF">
            <w:pPr>
              <w:jc w:val="center"/>
              <w:rPr>
                <w:rFonts w:asciiTheme="majorHAnsi" w:hAnsiTheme="majorHAnsi" w:cstheme="majorHAnsi"/>
                <w:b/>
                <w:noProof/>
                <w:color w:val="FFFFFF" w:themeColor="background1"/>
                <w:sz w:val="18"/>
                <w:szCs w:val="18"/>
              </w:rPr>
            </w:pPr>
            <w:r w:rsidRPr="00627F8D">
              <w:rPr>
                <w:rFonts w:asciiTheme="majorHAnsi" w:hAnsiTheme="majorHAnsi"/>
                <w:b/>
                <w:noProof/>
                <w:color w:val="FFFFFF" w:themeColor="background1"/>
                <w:sz w:val="18"/>
              </w:rPr>
              <w:t>Obiectiv/obiective</w:t>
            </w:r>
          </w:p>
        </w:tc>
      </w:tr>
      <w:tr w:rsidR="00A7336D" w:rsidRPr="004A10F0" w14:paraId="64040574" w14:textId="77777777" w:rsidTr="00E15FCF">
        <w:trPr>
          <w:trHeight w:val="857"/>
        </w:trPr>
        <w:tc>
          <w:tcPr>
            <w:tcW w:w="1598" w:type="dxa"/>
            <w:shd w:val="clear" w:color="auto" w:fill="D9D9D9" w:themeFill="background1" w:themeFillShade="D9"/>
            <w:vAlign w:val="center"/>
          </w:tcPr>
          <w:p w14:paraId="6FC3C766" w14:textId="78850D39" w:rsidR="00A7336D" w:rsidRPr="00975E08" w:rsidRDefault="00A7336D" w:rsidP="00E15FCF">
            <w:pPr>
              <w:spacing w:before="60"/>
              <w:jc w:val="left"/>
              <w:rPr>
                <w:rFonts w:asciiTheme="majorHAnsi" w:hAnsiTheme="majorHAnsi" w:cstheme="majorHAnsi"/>
                <w:noProof/>
                <w:sz w:val="20"/>
                <w:szCs w:val="20"/>
              </w:rPr>
            </w:pPr>
            <w:r>
              <w:rPr>
                <w:rFonts w:asciiTheme="majorHAnsi" w:hAnsiTheme="majorHAnsi"/>
                <w:noProof/>
                <w:sz w:val="20"/>
              </w:rPr>
              <w:t>Cantitățile introduse pe piață pentru:</w:t>
            </w:r>
            <w:r>
              <w:rPr>
                <w:noProof/>
              </w:rPr>
              <w:t xml:space="preserve"> </w:t>
            </w:r>
            <w:r>
              <w:rPr>
                <w:noProof/>
              </w:rPr>
              <w:br/>
            </w:r>
            <w:r>
              <w:rPr>
                <w:rFonts w:asciiTheme="majorHAnsi" w:hAnsiTheme="majorHAnsi"/>
                <w:noProof/>
                <w:sz w:val="20"/>
              </w:rPr>
              <w:t>- pahare pentru băuturi</w:t>
            </w:r>
            <w:r>
              <w:rPr>
                <w:noProof/>
              </w:rPr>
              <w:t xml:space="preserve"> </w:t>
            </w:r>
            <w:r>
              <w:rPr>
                <w:noProof/>
              </w:rPr>
              <w:br/>
            </w:r>
            <w:r>
              <w:rPr>
                <w:rFonts w:asciiTheme="majorHAnsi" w:hAnsiTheme="majorHAnsi"/>
                <w:noProof/>
                <w:sz w:val="20"/>
              </w:rPr>
              <w:t>- recipiente pentru alimente</w:t>
            </w:r>
          </w:p>
        </w:tc>
        <w:tc>
          <w:tcPr>
            <w:tcW w:w="955" w:type="dxa"/>
            <w:shd w:val="clear" w:color="auto" w:fill="D9D9D9" w:themeFill="background1" w:themeFillShade="D9"/>
          </w:tcPr>
          <w:p w14:paraId="44C59754" w14:textId="3BD8BC2E" w:rsidR="00A7336D" w:rsidRPr="00975E08" w:rsidRDefault="00A7336D" w:rsidP="00E15FCF">
            <w:pPr>
              <w:spacing w:before="60"/>
              <w:rPr>
                <w:rFonts w:asciiTheme="majorHAnsi" w:hAnsiTheme="majorHAnsi" w:cstheme="majorHAnsi"/>
                <w:b/>
                <w:noProof/>
                <w:sz w:val="20"/>
                <w:szCs w:val="20"/>
              </w:rPr>
            </w:pPr>
            <w:r>
              <w:rPr>
                <w:rFonts w:asciiTheme="majorHAnsi" w:hAnsiTheme="majorHAnsi"/>
                <w:noProof/>
                <w:sz w:val="20"/>
              </w:rPr>
              <w:t>Elementul (a)</w:t>
            </w:r>
          </w:p>
        </w:tc>
        <w:tc>
          <w:tcPr>
            <w:tcW w:w="7200" w:type="dxa"/>
            <w:shd w:val="clear" w:color="auto" w:fill="D9D9D9" w:themeFill="background1" w:themeFillShade="D9"/>
            <w:vAlign w:val="center"/>
          </w:tcPr>
          <w:p w14:paraId="6B4B5458" w14:textId="4B390707" w:rsidR="00A7336D" w:rsidRPr="00975E08" w:rsidRDefault="00A7336D" w:rsidP="00E15FCF">
            <w:pPr>
              <w:spacing w:before="60" w:line="259" w:lineRule="auto"/>
              <w:rPr>
                <w:rFonts w:asciiTheme="majorHAnsi" w:hAnsiTheme="majorHAnsi" w:cstheme="majorHAnsi"/>
                <w:noProof/>
                <w:sz w:val="20"/>
                <w:szCs w:val="20"/>
              </w:rPr>
            </w:pPr>
            <w:r w:rsidRPr="00627F8D">
              <w:rPr>
                <w:rFonts w:asciiTheme="majorHAnsi" w:hAnsiTheme="majorHAnsi"/>
                <w:b/>
                <w:noProof/>
                <w:sz w:val="20"/>
              </w:rPr>
              <w:t>Articolul 13 litera (a) din Directiva privind produsele din plastic de unică folosință</w:t>
            </w:r>
            <w:r>
              <w:rPr>
                <w:rFonts w:asciiTheme="majorHAnsi" w:hAnsiTheme="majorHAnsi"/>
                <w:noProof/>
                <w:sz w:val="20"/>
              </w:rPr>
              <w:t>:</w:t>
            </w:r>
            <w:r w:rsidRPr="00627F8D">
              <w:rPr>
                <w:rFonts w:asciiTheme="majorHAnsi" w:hAnsiTheme="majorHAnsi"/>
                <w:b/>
                <w:noProof/>
                <w:sz w:val="20"/>
              </w:rPr>
              <w:t xml:space="preserve"> </w:t>
            </w:r>
            <w:r>
              <w:rPr>
                <w:rFonts w:asciiTheme="majorHAnsi" w:hAnsiTheme="majorHAnsi"/>
                <w:noProof/>
                <w:sz w:val="20"/>
              </w:rPr>
              <w:t xml:space="preserve">Date privind produsele din plastic de unică folosință enumerate în partea A din anexă, care au fost introduse pe piața statului membru în fiecare an, pentru a demonstra reducerea consumului în conformitate cu articolul </w:t>
            </w:r>
            <w:r w:rsidRPr="00F249C9">
              <w:rPr>
                <w:rFonts w:asciiTheme="majorHAnsi" w:hAnsiTheme="majorHAnsi"/>
                <w:noProof/>
                <w:sz w:val="20"/>
              </w:rPr>
              <w:t>4</w:t>
            </w:r>
            <w:r>
              <w:rPr>
                <w:rFonts w:asciiTheme="majorHAnsi" w:hAnsiTheme="majorHAnsi"/>
                <w:noProof/>
                <w:sz w:val="20"/>
              </w:rPr>
              <w:t xml:space="preserve"> alineatul (</w:t>
            </w:r>
            <w:r w:rsidRPr="00F249C9">
              <w:rPr>
                <w:rFonts w:asciiTheme="majorHAnsi" w:hAnsiTheme="majorHAnsi"/>
                <w:noProof/>
                <w:sz w:val="20"/>
              </w:rPr>
              <w:t>1</w:t>
            </w:r>
            <w:r>
              <w:rPr>
                <w:rFonts w:asciiTheme="majorHAnsi" w:hAnsiTheme="majorHAnsi"/>
                <w:noProof/>
                <w:sz w:val="20"/>
              </w:rPr>
              <w:t>).</w:t>
            </w:r>
          </w:p>
          <w:p w14:paraId="43EFA436" w14:textId="7705915E" w:rsidR="00A7336D" w:rsidRPr="00975E08" w:rsidRDefault="00D33BBD" w:rsidP="00E15FCF">
            <w:pPr>
              <w:spacing w:before="60" w:line="259" w:lineRule="auto"/>
              <w:rPr>
                <w:rFonts w:asciiTheme="majorHAnsi" w:hAnsiTheme="majorHAnsi" w:cstheme="majorHAnsi"/>
                <w:noProof/>
                <w:sz w:val="20"/>
                <w:szCs w:val="20"/>
              </w:rPr>
            </w:pPr>
            <w:hyperlink r:id="rId29" w:history="1">
              <w:r w:rsidR="00A7336D" w:rsidRPr="00627F8D">
                <w:rPr>
                  <w:rStyle w:val="Hyperlink"/>
                  <w:rFonts w:asciiTheme="majorHAnsi" w:hAnsiTheme="majorHAnsi"/>
                  <w:b/>
                  <w:noProof/>
                  <w:color w:val="auto"/>
                  <w:sz w:val="20"/>
                </w:rPr>
                <w:t>Decizia de punere în aplicare (UE) 2022/162 a Comisiei</w:t>
              </w:r>
            </w:hyperlink>
            <w:r w:rsidR="00A7336D">
              <w:rPr>
                <w:noProof/>
              </w:rPr>
              <w:t>.</w:t>
            </w:r>
            <w:r w:rsidR="00A7336D">
              <w:rPr>
                <w:rFonts w:asciiTheme="majorHAnsi" w:hAnsiTheme="majorHAnsi"/>
                <w:noProof/>
                <w:sz w:val="20"/>
              </w:rPr>
              <w:t xml:space="preserve"> </w:t>
            </w:r>
          </w:p>
        </w:tc>
        <w:tc>
          <w:tcPr>
            <w:tcW w:w="901" w:type="dxa"/>
            <w:shd w:val="clear" w:color="auto" w:fill="D9D9D9" w:themeFill="background1" w:themeFillShade="D9"/>
            <w:vAlign w:val="center"/>
          </w:tcPr>
          <w:p w14:paraId="5B7B895A" w14:textId="77777777" w:rsidR="00A7336D" w:rsidRPr="00975E08" w:rsidRDefault="00A7336D" w:rsidP="00E15FCF">
            <w:pPr>
              <w:spacing w:before="60"/>
              <w:rPr>
                <w:rFonts w:asciiTheme="majorHAnsi" w:hAnsiTheme="majorHAnsi" w:cstheme="majorHAnsi"/>
                <w:noProof/>
                <w:sz w:val="20"/>
                <w:szCs w:val="20"/>
              </w:rPr>
            </w:pPr>
            <w:r w:rsidRPr="00F249C9">
              <w:rPr>
                <w:rFonts w:asciiTheme="majorHAnsi" w:hAnsiTheme="majorHAnsi"/>
                <w:noProof/>
                <w:sz w:val="20"/>
              </w:rPr>
              <w:t>2022</w:t>
            </w:r>
          </w:p>
        </w:tc>
        <w:tc>
          <w:tcPr>
            <w:tcW w:w="991" w:type="dxa"/>
            <w:shd w:val="clear" w:color="auto" w:fill="D9D9D9" w:themeFill="background1" w:themeFillShade="D9"/>
            <w:vAlign w:val="center"/>
          </w:tcPr>
          <w:p w14:paraId="2D512474" w14:textId="7777777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 xml:space="preserve">Sfârșitul lunii iunie </w:t>
            </w:r>
            <w:r w:rsidRPr="00F249C9">
              <w:rPr>
                <w:rFonts w:asciiTheme="majorHAnsi" w:hAnsiTheme="majorHAnsi"/>
                <w:noProof/>
                <w:sz w:val="20"/>
              </w:rPr>
              <w:t>2024</w:t>
            </w:r>
          </w:p>
        </w:tc>
        <w:tc>
          <w:tcPr>
            <w:tcW w:w="4507" w:type="dxa"/>
            <w:shd w:val="clear" w:color="auto" w:fill="D9D9D9" w:themeFill="background1" w:themeFillShade="D9"/>
            <w:vAlign w:val="center"/>
          </w:tcPr>
          <w:p w14:paraId="46C9896E" w14:textId="781A3B9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Reducere ambițioasă și susținută (</w:t>
            </w:r>
            <w:r w:rsidRPr="00F249C9">
              <w:rPr>
                <w:rFonts w:asciiTheme="majorHAnsi" w:hAnsiTheme="majorHAnsi"/>
                <w:noProof/>
                <w:sz w:val="20"/>
              </w:rPr>
              <w:t>2022</w:t>
            </w:r>
            <w:r>
              <w:rPr>
                <w:rFonts w:asciiTheme="majorHAnsi" w:hAnsiTheme="majorHAnsi"/>
                <w:noProof/>
                <w:sz w:val="20"/>
              </w:rPr>
              <w:t>-</w:t>
            </w:r>
            <w:r w:rsidRPr="00F249C9">
              <w:rPr>
                <w:rFonts w:asciiTheme="majorHAnsi" w:hAnsiTheme="majorHAnsi"/>
                <w:noProof/>
                <w:sz w:val="20"/>
              </w:rPr>
              <w:t>2026</w:t>
            </w:r>
            <w:r>
              <w:rPr>
                <w:rFonts w:asciiTheme="majorHAnsi" w:hAnsiTheme="majorHAnsi"/>
                <w:noProof/>
                <w:sz w:val="20"/>
              </w:rPr>
              <w:t>).</w:t>
            </w:r>
          </w:p>
          <w:p w14:paraId="3CAA1568" w14:textId="1EEB64E8"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În plus, datele raportate vor contribui la evaluarea Directivei privind produsele din plastic de unică folosință, care va include o evaluare a posibilității de a introduce obiective obligatorii pentru reducerea consumului de pahare pentru băuturi și recipiente pentru alimente.</w:t>
            </w:r>
          </w:p>
        </w:tc>
      </w:tr>
      <w:tr w:rsidR="00A7336D" w:rsidRPr="004A10F0" w14:paraId="1CD4A09F" w14:textId="77777777" w:rsidTr="00E15FCF">
        <w:trPr>
          <w:trHeight w:val="38"/>
        </w:trPr>
        <w:tc>
          <w:tcPr>
            <w:tcW w:w="1598" w:type="dxa"/>
            <w:shd w:val="clear" w:color="auto" w:fill="D9D9D9" w:themeFill="background1" w:themeFillShade="D9"/>
            <w:vAlign w:val="center"/>
          </w:tcPr>
          <w:p w14:paraId="095228B5" w14:textId="04A55F67" w:rsidR="00A7336D" w:rsidRPr="00975E08" w:rsidRDefault="00A7336D" w:rsidP="00E15FCF">
            <w:pPr>
              <w:spacing w:before="60"/>
              <w:jc w:val="left"/>
              <w:rPr>
                <w:rFonts w:asciiTheme="majorHAnsi" w:hAnsiTheme="majorHAnsi" w:cstheme="majorHAnsi"/>
                <w:noProof/>
                <w:sz w:val="20"/>
                <w:szCs w:val="20"/>
              </w:rPr>
            </w:pPr>
            <w:r>
              <w:rPr>
                <w:rFonts w:asciiTheme="majorHAnsi" w:hAnsiTheme="majorHAnsi"/>
                <w:noProof/>
                <w:sz w:val="20"/>
              </w:rPr>
              <w:t>Măsuri adoptate pentru reducerea consumului de:</w:t>
            </w:r>
            <w:r>
              <w:rPr>
                <w:noProof/>
              </w:rPr>
              <w:t xml:space="preserve"> </w:t>
            </w:r>
            <w:r>
              <w:rPr>
                <w:noProof/>
              </w:rPr>
              <w:br/>
            </w:r>
            <w:r>
              <w:rPr>
                <w:rFonts w:asciiTheme="majorHAnsi" w:hAnsiTheme="majorHAnsi"/>
                <w:noProof/>
                <w:sz w:val="20"/>
              </w:rPr>
              <w:t>- pahare pentru băuturi</w:t>
            </w:r>
            <w:r>
              <w:rPr>
                <w:noProof/>
              </w:rPr>
              <w:t xml:space="preserve"> </w:t>
            </w:r>
            <w:r>
              <w:rPr>
                <w:noProof/>
              </w:rPr>
              <w:br/>
            </w:r>
            <w:r>
              <w:rPr>
                <w:rFonts w:asciiTheme="majorHAnsi" w:hAnsiTheme="majorHAnsi"/>
                <w:noProof/>
                <w:sz w:val="20"/>
              </w:rPr>
              <w:t>- recipiente pentru alimente</w:t>
            </w:r>
          </w:p>
        </w:tc>
        <w:tc>
          <w:tcPr>
            <w:tcW w:w="955" w:type="dxa"/>
            <w:shd w:val="clear" w:color="auto" w:fill="D9D9D9" w:themeFill="background1" w:themeFillShade="D9"/>
          </w:tcPr>
          <w:p w14:paraId="2FF05B02" w14:textId="02AEF868" w:rsidR="00A7336D" w:rsidRPr="00975E08" w:rsidRDefault="00A7336D" w:rsidP="00E15FCF">
            <w:pPr>
              <w:spacing w:before="60"/>
              <w:rPr>
                <w:rFonts w:asciiTheme="majorHAnsi" w:hAnsiTheme="majorHAnsi" w:cstheme="majorHAnsi"/>
                <w:b/>
                <w:noProof/>
                <w:sz w:val="20"/>
                <w:szCs w:val="20"/>
              </w:rPr>
            </w:pPr>
            <w:r>
              <w:rPr>
                <w:rFonts w:asciiTheme="majorHAnsi" w:hAnsiTheme="majorHAnsi"/>
                <w:noProof/>
                <w:sz w:val="20"/>
              </w:rPr>
              <w:t>Elementul (b)</w:t>
            </w:r>
          </w:p>
        </w:tc>
        <w:tc>
          <w:tcPr>
            <w:tcW w:w="7200" w:type="dxa"/>
            <w:shd w:val="clear" w:color="auto" w:fill="D9D9D9" w:themeFill="background1" w:themeFillShade="D9"/>
            <w:vAlign w:val="center"/>
          </w:tcPr>
          <w:p w14:paraId="32E0187F" w14:textId="6BB065D1" w:rsidR="00A7336D" w:rsidRPr="00975E08" w:rsidRDefault="00A7336D" w:rsidP="00E15FCF">
            <w:pPr>
              <w:spacing w:before="60" w:line="259" w:lineRule="auto"/>
              <w:rPr>
                <w:rFonts w:asciiTheme="majorHAnsi" w:hAnsiTheme="majorHAnsi" w:cstheme="majorHAnsi"/>
                <w:noProof/>
                <w:sz w:val="20"/>
                <w:szCs w:val="20"/>
              </w:rPr>
            </w:pPr>
            <w:r w:rsidRPr="00627F8D">
              <w:rPr>
                <w:rFonts w:asciiTheme="majorHAnsi" w:hAnsiTheme="majorHAnsi"/>
                <w:b/>
                <w:noProof/>
                <w:sz w:val="20"/>
              </w:rPr>
              <w:t>Articolul 13 litera (b) din Directiva privind produsele din plastic de unică folosință</w:t>
            </w:r>
            <w:r>
              <w:rPr>
                <w:rFonts w:asciiTheme="majorHAnsi" w:hAnsiTheme="majorHAnsi"/>
                <w:noProof/>
                <w:sz w:val="20"/>
              </w:rPr>
              <w:t xml:space="preserve">: Informații privind măsurile luate de statul membru în sensul articolului </w:t>
            </w:r>
            <w:r w:rsidRPr="00F249C9">
              <w:rPr>
                <w:rFonts w:asciiTheme="majorHAnsi" w:hAnsiTheme="majorHAnsi"/>
                <w:noProof/>
                <w:sz w:val="20"/>
              </w:rPr>
              <w:t>4</w:t>
            </w:r>
            <w:r>
              <w:rPr>
                <w:rFonts w:asciiTheme="majorHAnsi" w:hAnsiTheme="majorHAnsi"/>
                <w:noProof/>
                <w:sz w:val="20"/>
              </w:rPr>
              <w:t xml:space="preserve"> alineatul (</w:t>
            </w:r>
            <w:r w:rsidRPr="00F249C9">
              <w:rPr>
                <w:rFonts w:asciiTheme="majorHAnsi" w:hAnsiTheme="majorHAnsi"/>
                <w:noProof/>
                <w:sz w:val="20"/>
              </w:rPr>
              <w:t>1</w:t>
            </w:r>
            <w:r>
              <w:rPr>
                <w:rFonts w:asciiTheme="majorHAnsi" w:hAnsiTheme="majorHAnsi"/>
                <w:noProof/>
                <w:sz w:val="20"/>
              </w:rPr>
              <w:t>).</w:t>
            </w:r>
          </w:p>
          <w:p w14:paraId="5A187F86" w14:textId="141B8EE3" w:rsidR="00A7336D" w:rsidRPr="00627F8D" w:rsidRDefault="00D33BBD" w:rsidP="00E15FCF">
            <w:pPr>
              <w:spacing w:before="60" w:line="259" w:lineRule="auto"/>
              <w:rPr>
                <w:rFonts w:asciiTheme="majorHAnsi" w:hAnsiTheme="majorHAnsi" w:cstheme="majorHAnsi"/>
                <w:b/>
                <w:noProof/>
                <w:sz w:val="20"/>
                <w:szCs w:val="20"/>
              </w:rPr>
            </w:pPr>
            <w:hyperlink r:id="rId30" w:history="1">
              <w:r w:rsidR="00A7336D" w:rsidRPr="00627F8D">
                <w:rPr>
                  <w:rStyle w:val="Hyperlink"/>
                  <w:rFonts w:asciiTheme="majorHAnsi" w:hAnsiTheme="majorHAnsi"/>
                  <w:b/>
                  <w:noProof/>
                  <w:color w:val="auto"/>
                  <w:sz w:val="20"/>
                </w:rPr>
                <w:t>Decizia de punere în aplicare (UE) 2022/162 a Comisiei</w:t>
              </w:r>
            </w:hyperlink>
            <w:r w:rsidR="00A7336D">
              <w:rPr>
                <w:noProof/>
              </w:rPr>
              <w:t>.</w:t>
            </w:r>
          </w:p>
        </w:tc>
        <w:tc>
          <w:tcPr>
            <w:tcW w:w="901" w:type="dxa"/>
            <w:shd w:val="clear" w:color="auto" w:fill="D9D9D9" w:themeFill="background1" w:themeFillShade="D9"/>
            <w:vAlign w:val="center"/>
          </w:tcPr>
          <w:p w14:paraId="78E12B24" w14:textId="77777777" w:rsidR="00A7336D" w:rsidRPr="00975E08" w:rsidRDefault="00A7336D" w:rsidP="00E15FCF">
            <w:pPr>
              <w:spacing w:before="60"/>
              <w:rPr>
                <w:rFonts w:asciiTheme="majorHAnsi" w:hAnsiTheme="majorHAnsi" w:cstheme="majorHAnsi"/>
                <w:noProof/>
                <w:sz w:val="20"/>
                <w:szCs w:val="20"/>
              </w:rPr>
            </w:pPr>
            <w:r w:rsidRPr="00F249C9">
              <w:rPr>
                <w:rFonts w:asciiTheme="majorHAnsi" w:hAnsiTheme="majorHAnsi"/>
                <w:noProof/>
                <w:sz w:val="20"/>
              </w:rPr>
              <w:t>2022</w:t>
            </w:r>
          </w:p>
        </w:tc>
        <w:tc>
          <w:tcPr>
            <w:tcW w:w="991" w:type="dxa"/>
            <w:shd w:val="clear" w:color="auto" w:fill="D9D9D9" w:themeFill="background1" w:themeFillShade="D9"/>
            <w:vAlign w:val="center"/>
          </w:tcPr>
          <w:p w14:paraId="714100C2" w14:textId="7777777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 xml:space="preserve">Sfârșitul lunii iunie </w:t>
            </w:r>
            <w:r w:rsidRPr="00F249C9">
              <w:rPr>
                <w:rFonts w:asciiTheme="majorHAnsi" w:hAnsiTheme="majorHAnsi"/>
                <w:noProof/>
                <w:sz w:val="20"/>
              </w:rPr>
              <w:t>2024</w:t>
            </w:r>
          </w:p>
        </w:tc>
        <w:tc>
          <w:tcPr>
            <w:tcW w:w="4507" w:type="dxa"/>
            <w:shd w:val="clear" w:color="auto" w:fill="D9D9D9" w:themeFill="background1" w:themeFillShade="D9"/>
            <w:vAlign w:val="center"/>
          </w:tcPr>
          <w:p w14:paraId="65C6F5E8" w14:textId="77777777" w:rsidR="00A7336D" w:rsidRPr="00975E08" w:rsidRDefault="00A7336D" w:rsidP="00E15FCF">
            <w:pPr>
              <w:spacing w:before="60"/>
              <w:rPr>
                <w:rFonts w:asciiTheme="majorHAnsi" w:hAnsiTheme="majorHAnsi" w:cstheme="majorHAnsi"/>
                <w:noProof/>
                <w:sz w:val="20"/>
                <w:szCs w:val="20"/>
              </w:rPr>
            </w:pPr>
          </w:p>
        </w:tc>
      </w:tr>
      <w:tr w:rsidR="00A7336D" w:rsidRPr="004A10F0" w14:paraId="364DEFD3" w14:textId="77777777" w:rsidTr="00E15FCF">
        <w:trPr>
          <w:trHeight w:val="92"/>
        </w:trPr>
        <w:tc>
          <w:tcPr>
            <w:tcW w:w="1598" w:type="dxa"/>
            <w:shd w:val="clear" w:color="auto" w:fill="D9D9D9" w:themeFill="background1" w:themeFillShade="D9"/>
            <w:vAlign w:val="center"/>
          </w:tcPr>
          <w:p w14:paraId="2422B759" w14:textId="77777777" w:rsidR="00A7336D" w:rsidRPr="00975E08" w:rsidRDefault="00A7336D" w:rsidP="00E15FCF">
            <w:pPr>
              <w:spacing w:before="60"/>
              <w:jc w:val="left"/>
              <w:rPr>
                <w:rFonts w:asciiTheme="majorHAnsi" w:hAnsiTheme="majorHAnsi" w:cstheme="majorHAnsi"/>
                <w:noProof/>
                <w:sz w:val="20"/>
                <w:szCs w:val="20"/>
              </w:rPr>
            </w:pPr>
            <w:r>
              <w:rPr>
                <w:rFonts w:asciiTheme="majorHAnsi" w:hAnsiTheme="majorHAnsi"/>
                <w:noProof/>
                <w:sz w:val="20"/>
              </w:rPr>
              <w:t>Colectarea separată a sticlelor din plastic de unică folosință pentru băuturi</w:t>
            </w:r>
          </w:p>
        </w:tc>
        <w:tc>
          <w:tcPr>
            <w:tcW w:w="955" w:type="dxa"/>
            <w:shd w:val="clear" w:color="auto" w:fill="D9D9D9" w:themeFill="background1" w:themeFillShade="D9"/>
          </w:tcPr>
          <w:p w14:paraId="62E0A506" w14:textId="74F18CF8" w:rsidR="00A7336D" w:rsidRPr="00975E08" w:rsidRDefault="00A7336D" w:rsidP="00E15FCF">
            <w:pPr>
              <w:spacing w:before="60"/>
              <w:rPr>
                <w:rFonts w:asciiTheme="majorHAnsi" w:hAnsiTheme="majorHAnsi" w:cstheme="majorHAnsi"/>
                <w:b/>
                <w:noProof/>
                <w:sz w:val="20"/>
                <w:szCs w:val="20"/>
              </w:rPr>
            </w:pPr>
            <w:r>
              <w:rPr>
                <w:rFonts w:asciiTheme="majorHAnsi" w:hAnsiTheme="majorHAnsi"/>
                <w:noProof/>
                <w:sz w:val="20"/>
              </w:rPr>
              <w:t>Elementul (c)</w:t>
            </w:r>
          </w:p>
        </w:tc>
        <w:tc>
          <w:tcPr>
            <w:tcW w:w="7200" w:type="dxa"/>
            <w:shd w:val="clear" w:color="auto" w:fill="D9D9D9" w:themeFill="background1" w:themeFillShade="D9"/>
            <w:vAlign w:val="center"/>
          </w:tcPr>
          <w:p w14:paraId="5F27D342" w14:textId="478AD44C" w:rsidR="00A7336D" w:rsidRPr="00975E08" w:rsidRDefault="00A7336D" w:rsidP="00E15FCF">
            <w:pPr>
              <w:spacing w:before="60" w:line="259" w:lineRule="auto"/>
              <w:rPr>
                <w:rFonts w:asciiTheme="majorHAnsi" w:hAnsiTheme="majorHAnsi" w:cstheme="majorHAnsi"/>
                <w:noProof/>
                <w:sz w:val="20"/>
                <w:szCs w:val="20"/>
              </w:rPr>
            </w:pPr>
            <w:r w:rsidRPr="00627F8D">
              <w:rPr>
                <w:rFonts w:asciiTheme="majorHAnsi" w:hAnsiTheme="majorHAnsi"/>
                <w:b/>
                <w:noProof/>
                <w:sz w:val="20"/>
              </w:rPr>
              <w:t>Articolul 13 litera (c) din Directiva privind produsele din plastic de unică folosință</w:t>
            </w:r>
            <w:r>
              <w:rPr>
                <w:rFonts w:asciiTheme="majorHAnsi" w:hAnsiTheme="majorHAnsi"/>
                <w:noProof/>
                <w:sz w:val="20"/>
              </w:rPr>
              <w:t xml:space="preserve">: Date privind produsele din plastic de unică folosință enumerate în partea F din anexă, care au fost colectate separat în statul membru în fiecare an, pentru a demonstra atingerea obiectivelor în conformitate cu articolul </w:t>
            </w:r>
            <w:r w:rsidRPr="00F249C9">
              <w:rPr>
                <w:rFonts w:asciiTheme="majorHAnsi" w:hAnsiTheme="majorHAnsi"/>
                <w:noProof/>
                <w:sz w:val="20"/>
              </w:rPr>
              <w:t>9</w:t>
            </w:r>
            <w:r>
              <w:rPr>
                <w:rFonts w:asciiTheme="majorHAnsi" w:hAnsiTheme="majorHAnsi"/>
                <w:noProof/>
                <w:sz w:val="20"/>
              </w:rPr>
              <w:t xml:space="preserve"> alineatul (</w:t>
            </w:r>
            <w:r w:rsidRPr="00F249C9">
              <w:rPr>
                <w:rFonts w:asciiTheme="majorHAnsi" w:hAnsiTheme="majorHAnsi"/>
                <w:noProof/>
                <w:sz w:val="20"/>
              </w:rPr>
              <w:t>1</w:t>
            </w:r>
            <w:r>
              <w:rPr>
                <w:rFonts w:asciiTheme="majorHAnsi" w:hAnsiTheme="majorHAnsi"/>
                <w:noProof/>
                <w:sz w:val="20"/>
              </w:rPr>
              <w:t>).</w:t>
            </w:r>
          </w:p>
          <w:p w14:paraId="15E08364" w14:textId="33FF5468" w:rsidR="00A7336D" w:rsidRPr="00975E08" w:rsidRDefault="00D33BBD" w:rsidP="00E15FCF">
            <w:pPr>
              <w:spacing w:before="60" w:line="259" w:lineRule="auto"/>
              <w:rPr>
                <w:rFonts w:asciiTheme="majorHAnsi" w:hAnsiTheme="majorHAnsi" w:cstheme="majorHAnsi"/>
                <w:noProof/>
                <w:sz w:val="20"/>
                <w:szCs w:val="20"/>
              </w:rPr>
            </w:pPr>
            <w:hyperlink r:id="rId31" w:history="1">
              <w:r w:rsidR="00A7336D" w:rsidRPr="00627F8D">
                <w:rPr>
                  <w:rStyle w:val="Hyperlink"/>
                  <w:rFonts w:asciiTheme="majorHAnsi" w:hAnsiTheme="majorHAnsi"/>
                  <w:b/>
                  <w:noProof/>
                  <w:color w:val="auto"/>
                  <w:sz w:val="20"/>
                </w:rPr>
                <w:t>Decizia de punere în aplicare (UE) 2021/1752 a Comisiei</w:t>
              </w:r>
            </w:hyperlink>
            <w:r w:rsidR="00A7336D">
              <w:rPr>
                <w:rFonts w:asciiTheme="majorHAnsi" w:hAnsiTheme="majorHAnsi"/>
                <w:noProof/>
                <w:sz w:val="20"/>
              </w:rPr>
              <w:t>.</w:t>
            </w:r>
          </w:p>
        </w:tc>
        <w:tc>
          <w:tcPr>
            <w:tcW w:w="901" w:type="dxa"/>
            <w:shd w:val="clear" w:color="auto" w:fill="D9D9D9" w:themeFill="background1" w:themeFillShade="D9"/>
            <w:vAlign w:val="center"/>
          </w:tcPr>
          <w:p w14:paraId="611D42D5" w14:textId="77777777" w:rsidR="00A7336D" w:rsidRPr="00975E08" w:rsidRDefault="00A7336D" w:rsidP="00E15FCF">
            <w:pPr>
              <w:spacing w:before="60"/>
              <w:rPr>
                <w:rFonts w:asciiTheme="majorHAnsi" w:hAnsiTheme="majorHAnsi" w:cstheme="majorHAnsi"/>
                <w:noProof/>
                <w:sz w:val="20"/>
                <w:szCs w:val="20"/>
              </w:rPr>
            </w:pPr>
            <w:r w:rsidRPr="00F249C9">
              <w:rPr>
                <w:rFonts w:asciiTheme="majorHAnsi" w:hAnsiTheme="majorHAnsi"/>
                <w:noProof/>
                <w:sz w:val="20"/>
              </w:rPr>
              <w:t>2022</w:t>
            </w:r>
          </w:p>
        </w:tc>
        <w:tc>
          <w:tcPr>
            <w:tcW w:w="991" w:type="dxa"/>
            <w:shd w:val="clear" w:color="auto" w:fill="D9D9D9" w:themeFill="background1" w:themeFillShade="D9"/>
            <w:vAlign w:val="center"/>
          </w:tcPr>
          <w:p w14:paraId="3A99C55D" w14:textId="7777777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 xml:space="preserve">Sfârșitul lunii iunie </w:t>
            </w:r>
            <w:r w:rsidRPr="00F249C9">
              <w:rPr>
                <w:rFonts w:asciiTheme="majorHAnsi" w:hAnsiTheme="majorHAnsi"/>
                <w:noProof/>
                <w:sz w:val="20"/>
              </w:rPr>
              <w:t>2024</w:t>
            </w:r>
          </w:p>
        </w:tc>
        <w:tc>
          <w:tcPr>
            <w:tcW w:w="4507" w:type="dxa"/>
            <w:shd w:val="clear" w:color="auto" w:fill="D9D9D9" w:themeFill="background1" w:themeFillShade="D9"/>
            <w:vAlign w:val="center"/>
          </w:tcPr>
          <w:p w14:paraId="38354E69" w14:textId="48F3B708"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 xml:space="preserve">Până în </w:t>
            </w:r>
            <w:r w:rsidRPr="00F249C9">
              <w:rPr>
                <w:rFonts w:asciiTheme="majorHAnsi" w:hAnsiTheme="majorHAnsi"/>
                <w:noProof/>
                <w:sz w:val="20"/>
              </w:rPr>
              <w:t>2025</w:t>
            </w:r>
            <w:r>
              <w:rPr>
                <w:rFonts w:asciiTheme="majorHAnsi" w:hAnsiTheme="majorHAnsi"/>
                <w:noProof/>
                <w:sz w:val="20"/>
              </w:rPr>
              <w:t xml:space="preserve">, </w:t>
            </w:r>
            <w:r w:rsidRPr="00F249C9">
              <w:rPr>
                <w:rFonts w:asciiTheme="majorHAnsi" w:hAnsiTheme="majorHAnsi"/>
                <w:noProof/>
                <w:sz w:val="20"/>
              </w:rPr>
              <w:t>77</w:t>
            </w:r>
            <w:r>
              <w:rPr>
                <w:rFonts w:asciiTheme="majorHAnsi" w:hAnsiTheme="majorHAnsi"/>
                <w:noProof/>
                <w:sz w:val="20"/>
              </w:rPr>
              <w:t xml:space="preserve"> %. </w:t>
            </w:r>
          </w:p>
          <w:p w14:paraId="700DF2E0" w14:textId="12409A40"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 xml:space="preserve">Până în </w:t>
            </w:r>
            <w:r w:rsidRPr="00F249C9">
              <w:rPr>
                <w:rFonts w:asciiTheme="majorHAnsi" w:hAnsiTheme="majorHAnsi"/>
                <w:noProof/>
                <w:sz w:val="20"/>
              </w:rPr>
              <w:t>2029</w:t>
            </w:r>
            <w:r>
              <w:rPr>
                <w:rFonts w:asciiTheme="majorHAnsi" w:hAnsiTheme="majorHAnsi"/>
                <w:noProof/>
                <w:sz w:val="20"/>
              </w:rPr>
              <w:t xml:space="preserve">, </w:t>
            </w:r>
            <w:r w:rsidRPr="00F249C9">
              <w:rPr>
                <w:rFonts w:asciiTheme="majorHAnsi" w:hAnsiTheme="majorHAnsi"/>
                <w:noProof/>
                <w:sz w:val="20"/>
              </w:rPr>
              <w:t>90</w:t>
            </w:r>
            <w:r>
              <w:rPr>
                <w:rFonts w:asciiTheme="majorHAnsi" w:hAnsiTheme="majorHAnsi"/>
                <w:noProof/>
                <w:sz w:val="20"/>
              </w:rPr>
              <w:t xml:space="preserve"> %. </w:t>
            </w:r>
          </w:p>
          <w:p w14:paraId="622B6852" w14:textId="7777777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(toate calculate în funcție de greutate)</w:t>
            </w:r>
          </w:p>
        </w:tc>
      </w:tr>
      <w:tr w:rsidR="00A7336D" w:rsidRPr="004A10F0" w14:paraId="1227115C" w14:textId="77777777" w:rsidTr="00E15FCF">
        <w:trPr>
          <w:trHeight w:val="1070"/>
        </w:trPr>
        <w:tc>
          <w:tcPr>
            <w:tcW w:w="1598" w:type="dxa"/>
            <w:shd w:val="clear" w:color="auto" w:fill="D9D9D9" w:themeFill="background1" w:themeFillShade="D9"/>
            <w:vAlign w:val="center"/>
          </w:tcPr>
          <w:p w14:paraId="66F649EA" w14:textId="77777777" w:rsidR="00A7336D" w:rsidRPr="00975E08" w:rsidRDefault="00A7336D" w:rsidP="00E15FCF">
            <w:pPr>
              <w:spacing w:before="60"/>
              <w:jc w:val="left"/>
              <w:rPr>
                <w:rFonts w:asciiTheme="majorHAnsi" w:hAnsiTheme="majorHAnsi" w:cstheme="majorBidi"/>
                <w:noProof/>
                <w:sz w:val="20"/>
                <w:szCs w:val="20"/>
              </w:rPr>
            </w:pPr>
            <w:r>
              <w:rPr>
                <w:rFonts w:asciiTheme="majorHAnsi" w:hAnsiTheme="majorHAnsi"/>
                <w:noProof/>
                <w:sz w:val="20"/>
              </w:rPr>
              <w:t>Echipamente de pescuit care conțin plastic:</w:t>
            </w:r>
            <w:r>
              <w:rPr>
                <w:noProof/>
              </w:rPr>
              <w:t xml:space="preserve"> </w:t>
            </w:r>
            <w:r>
              <w:rPr>
                <w:noProof/>
              </w:rPr>
              <w:br/>
            </w:r>
            <w:r>
              <w:rPr>
                <w:rFonts w:asciiTheme="majorHAnsi" w:hAnsiTheme="majorHAnsi"/>
                <w:noProof/>
                <w:sz w:val="20"/>
              </w:rPr>
              <w:t>- cantități introduse pe piață </w:t>
            </w:r>
            <w:r>
              <w:rPr>
                <w:noProof/>
              </w:rPr>
              <w:t xml:space="preserve"> </w:t>
            </w:r>
            <w:r>
              <w:rPr>
                <w:noProof/>
              </w:rPr>
              <w:cr/>
            </w:r>
            <w:r>
              <w:rPr>
                <w:noProof/>
              </w:rPr>
              <w:br/>
            </w:r>
            <w:r>
              <w:rPr>
                <w:rFonts w:asciiTheme="majorHAnsi" w:hAnsiTheme="majorHAnsi"/>
                <w:noProof/>
                <w:sz w:val="20"/>
              </w:rPr>
              <w:t>- cantități colectate ca deșeuri</w:t>
            </w:r>
          </w:p>
        </w:tc>
        <w:tc>
          <w:tcPr>
            <w:tcW w:w="955" w:type="dxa"/>
            <w:shd w:val="clear" w:color="auto" w:fill="D9D9D9" w:themeFill="background1" w:themeFillShade="D9"/>
          </w:tcPr>
          <w:p w14:paraId="117E952A" w14:textId="024927EB" w:rsidR="00A7336D" w:rsidRPr="00975E08" w:rsidRDefault="00A7336D" w:rsidP="00E15FCF">
            <w:pPr>
              <w:spacing w:before="60"/>
              <w:rPr>
                <w:rFonts w:asciiTheme="majorHAnsi" w:hAnsiTheme="majorHAnsi" w:cstheme="majorHAnsi"/>
                <w:b/>
                <w:noProof/>
                <w:sz w:val="20"/>
                <w:szCs w:val="20"/>
              </w:rPr>
            </w:pPr>
            <w:r>
              <w:rPr>
                <w:rFonts w:asciiTheme="majorHAnsi" w:hAnsiTheme="majorHAnsi"/>
                <w:noProof/>
                <w:sz w:val="20"/>
              </w:rPr>
              <w:t>Elementul (d)</w:t>
            </w:r>
          </w:p>
        </w:tc>
        <w:tc>
          <w:tcPr>
            <w:tcW w:w="7200" w:type="dxa"/>
            <w:shd w:val="clear" w:color="auto" w:fill="D9D9D9" w:themeFill="background1" w:themeFillShade="D9"/>
            <w:vAlign w:val="center"/>
          </w:tcPr>
          <w:p w14:paraId="402D291A" w14:textId="2B156F9B" w:rsidR="00A7336D" w:rsidRPr="00975E08" w:rsidRDefault="00A7336D" w:rsidP="00E15FCF">
            <w:pPr>
              <w:spacing w:before="60" w:line="259" w:lineRule="auto"/>
              <w:rPr>
                <w:rFonts w:asciiTheme="majorHAnsi" w:hAnsiTheme="majorHAnsi" w:cstheme="majorHAnsi"/>
                <w:noProof/>
                <w:sz w:val="20"/>
                <w:szCs w:val="20"/>
              </w:rPr>
            </w:pPr>
            <w:r w:rsidRPr="00627F8D">
              <w:rPr>
                <w:rFonts w:asciiTheme="majorHAnsi" w:hAnsiTheme="majorHAnsi"/>
                <w:b/>
                <w:noProof/>
                <w:sz w:val="20"/>
              </w:rPr>
              <w:t>Articolul 13 litera (d) din Directiva privind produsele din plastic de unică folosință</w:t>
            </w:r>
            <w:r>
              <w:rPr>
                <w:rFonts w:asciiTheme="majorHAnsi" w:hAnsiTheme="majorHAnsi"/>
                <w:noProof/>
                <w:sz w:val="20"/>
              </w:rPr>
              <w:t>: Date privind echipamentele de pescuit care conțin plastic introduse pe piață și privind deșeurile de echipamente de pescuit colectate în statul membru în fiecare an.</w:t>
            </w:r>
          </w:p>
          <w:p w14:paraId="1F8E90CE" w14:textId="7006A4D4" w:rsidR="00A7336D" w:rsidRPr="00975E08" w:rsidRDefault="00D33BBD" w:rsidP="00E15FCF">
            <w:pPr>
              <w:spacing w:before="60" w:line="259" w:lineRule="auto"/>
              <w:rPr>
                <w:rFonts w:asciiTheme="majorHAnsi" w:hAnsiTheme="majorHAnsi" w:cstheme="majorHAnsi"/>
                <w:noProof/>
                <w:sz w:val="20"/>
                <w:szCs w:val="20"/>
              </w:rPr>
            </w:pPr>
            <w:hyperlink r:id="rId32" w:history="1">
              <w:r w:rsidR="00A7336D" w:rsidRPr="00627F8D">
                <w:rPr>
                  <w:rStyle w:val="Hyperlink"/>
                  <w:rFonts w:asciiTheme="majorHAnsi" w:hAnsiTheme="majorHAnsi"/>
                  <w:b/>
                  <w:noProof/>
                  <w:color w:val="auto"/>
                  <w:sz w:val="20"/>
                </w:rPr>
                <w:t>Decizia de punere în aplicare (UE) 2021/958 a Comisiei</w:t>
              </w:r>
            </w:hyperlink>
            <w:r w:rsidR="00A7336D">
              <w:rPr>
                <w:noProof/>
              </w:rPr>
              <w:t>.</w:t>
            </w:r>
            <w:r w:rsidR="00A7336D">
              <w:rPr>
                <w:rFonts w:asciiTheme="majorHAnsi" w:hAnsiTheme="majorHAnsi"/>
                <w:noProof/>
                <w:sz w:val="20"/>
              </w:rPr>
              <w:t xml:space="preserve"> </w:t>
            </w:r>
          </w:p>
        </w:tc>
        <w:tc>
          <w:tcPr>
            <w:tcW w:w="901" w:type="dxa"/>
            <w:shd w:val="clear" w:color="auto" w:fill="D9D9D9" w:themeFill="background1" w:themeFillShade="D9"/>
            <w:vAlign w:val="center"/>
          </w:tcPr>
          <w:p w14:paraId="3B55F7D1" w14:textId="77777777" w:rsidR="00A7336D" w:rsidRPr="00975E08" w:rsidRDefault="00A7336D" w:rsidP="00E15FCF">
            <w:pPr>
              <w:spacing w:before="60"/>
              <w:rPr>
                <w:rFonts w:asciiTheme="majorHAnsi" w:hAnsiTheme="majorHAnsi" w:cstheme="majorHAnsi"/>
                <w:noProof/>
                <w:sz w:val="20"/>
                <w:szCs w:val="20"/>
              </w:rPr>
            </w:pPr>
            <w:r w:rsidRPr="00F249C9">
              <w:rPr>
                <w:rFonts w:asciiTheme="majorHAnsi" w:hAnsiTheme="majorHAnsi"/>
                <w:noProof/>
                <w:sz w:val="20"/>
              </w:rPr>
              <w:t>2022</w:t>
            </w:r>
          </w:p>
        </w:tc>
        <w:tc>
          <w:tcPr>
            <w:tcW w:w="991" w:type="dxa"/>
            <w:shd w:val="clear" w:color="auto" w:fill="D9D9D9" w:themeFill="background1" w:themeFillShade="D9"/>
            <w:vAlign w:val="center"/>
          </w:tcPr>
          <w:p w14:paraId="6C10E39E" w14:textId="77777777" w:rsidR="00A7336D" w:rsidRPr="00975E08" w:rsidRDefault="00A7336D" w:rsidP="00E15FCF">
            <w:pPr>
              <w:spacing w:before="60"/>
              <w:rPr>
                <w:rFonts w:asciiTheme="majorHAnsi" w:hAnsiTheme="majorHAnsi" w:cstheme="majorHAnsi"/>
                <w:noProof/>
                <w:sz w:val="20"/>
                <w:szCs w:val="20"/>
              </w:rPr>
            </w:pPr>
            <w:r>
              <w:rPr>
                <w:rFonts w:asciiTheme="majorHAnsi" w:hAnsiTheme="majorHAnsi"/>
                <w:noProof/>
                <w:sz w:val="20"/>
              </w:rPr>
              <w:t xml:space="preserve">Sfârșitul lunii iunie </w:t>
            </w:r>
            <w:r w:rsidRPr="00F249C9">
              <w:rPr>
                <w:rFonts w:asciiTheme="majorHAnsi" w:hAnsiTheme="majorHAnsi"/>
                <w:noProof/>
                <w:sz w:val="20"/>
              </w:rPr>
              <w:t>2024</w:t>
            </w:r>
          </w:p>
        </w:tc>
        <w:tc>
          <w:tcPr>
            <w:tcW w:w="4507" w:type="dxa"/>
            <w:shd w:val="clear" w:color="auto" w:fill="D9D9D9" w:themeFill="background1" w:themeFillShade="D9"/>
            <w:vAlign w:val="center"/>
          </w:tcPr>
          <w:p w14:paraId="5EF9044E" w14:textId="5D7F9E25" w:rsidR="00A7336D" w:rsidRPr="00975E08" w:rsidRDefault="00A7336D" w:rsidP="00E15FCF">
            <w:pPr>
              <w:spacing w:before="60"/>
              <w:rPr>
                <w:rFonts w:asciiTheme="majorHAnsi" w:hAnsiTheme="majorHAnsi" w:cstheme="majorBidi"/>
                <w:noProof/>
                <w:sz w:val="20"/>
                <w:szCs w:val="20"/>
              </w:rPr>
            </w:pPr>
            <w:r>
              <w:rPr>
                <w:rFonts w:asciiTheme="majorHAnsi" w:hAnsiTheme="majorHAnsi"/>
                <w:noProof/>
                <w:sz w:val="20"/>
              </w:rPr>
              <w:t xml:space="preserve">Nu există obiective; cu toate acestea, statele membre care au ape marine au obligația de a-și stabili ratele naționale anuale de colectare a deșeurilor de echipamente de pescuit care conțin plastic, în vederea reciclării, începând cu </w:t>
            </w:r>
            <w:r w:rsidRPr="00F249C9">
              <w:rPr>
                <w:rFonts w:asciiTheme="majorHAnsi" w:hAnsiTheme="majorHAnsi"/>
                <w:noProof/>
                <w:sz w:val="20"/>
              </w:rPr>
              <w:t>1</w:t>
            </w:r>
            <w:r>
              <w:rPr>
                <w:rFonts w:asciiTheme="majorHAnsi" w:hAnsiTheme="majorHAnsi"/>
                <w:noProof/>
                <w:sz w:val="20"/>
              </w:rPr>
              <w:t xml:space="preserve"> ianuarie </w:t>
            </w:r>
            <w:r w:rsidRPr="00F249C9">
              <w:rPr>
                <w:rFonts w:asciiTheme="majorHAnsi" w:hAnsiTheme="majorHAnsi"/>
                <w:noProof/>
                <w:sz w:val="20"/>
              </w:rPr>
              <w:t>2025</w:t>
            </w:r>
            <w:r>
              <w:rPr>
                <w:rFonts w:asciiTheme="majorHAnsi" w:hAnsiTheme="majorHAnsi"/>
                <w:noProof/>
                <w:sz w:val="20"/>
              </w:rPr>
              <w:t xml:space="preserve">. În plus, datele raportate în </w:t>
            </w:r>
            <w:r w:rsidRPr="00F249C9">
              <w:rPr>
                <w:rFonts w:asciiTheme="majorHAnsi" w:hAnsiTheme="majorHAnsi"/>
                <w:noProof/>
                <w:sz w:val="20"/>
              </w:rPr>
              <w:t>2024</w:t>
            </w:r>
            <w:r>
              <w:rPr>
                <w:rFonts w:asciiTheme="majorHAnsi" w:hAnsiTheme="majorHAnsi"/>
                <w:noProof/>
                <w:sz w:val="20"/>
              </w:rPr>
              <w:t xml:space="preserve"> (pentru </w:t>
            </w:r>
            <w:r w:rsidRPr="00F249C9">
              <w:rPr>
                <w:rFonts w:asciiTheme="majorHAnsi" w:hAnsiTheme="majorHAnsi"/>
                <w:noProof/>
                <w:sz w:val="20"/>
              </w:rPr>
              <w:t>2022</w:t>
            </w:r>
            <w:r>
              <w:rPr>
                <w:rFonts w:asciiTheme="majorHAnsi" w:hAnsiTheme="majorHAnsi"/>
                <w:noProof/>
                <w:sz w:val="20"/>
              </w:rPr>
              <w:t xml:space="preserve">) vor constitui baza pentru analiza unor posibile măsuri suplimentare în cadrul evaluării Directivei privind produsele din plastic de unică folosință, inclusiv pentru eventuala stabilire a unor rate obligatorii de colectare pentru deșeurile de echipamente de pescuit. </w:t>
            </w:r>
          </w:p>
        </w:tc>
      </w:tr>
      <w:tr w:rsidR="00A7336D" w:rsidRPr="004A10F0" w14:paraId="1BA36283" w14:textId="77777777" w:rsidTr="00E15FCF">
        <w:trPr>
          <w:trHeight w:val="313"/>
        </w:trPr>
        <w:tc>
          <w:tcPr>
            <w:tcW w:w="1598" w:type="dxa"/>
            <w:shd w:val="clear" w:color="auto" w:fill="F2F2F2" w:themeFill="background1" w:themeFillShade="F2"/>
            <w:vAlign w:val="center"/>
          </w:tcPr>
          <w:p w14:paraId="7FD1B4E9" w14:textId="77777777" w:rsidR="00A7336D" w:rsidRPr="00975E08" w:rsidRDefault="00A7336D" w:rsidP="00E15FCF">
            <w:pPr>
              <w:spacing w:before="60"/>
              <w:jc w:val="left"/>
              <w:rPr>
                <w:rFonts w:asciiTheme="majorHAnsi" w:hAnsiTheme="majorHAnsi" w:cstheme="majorHAnsi"/>
                <w:noProof/>
                <w:color w:val="404040" w:themeColor="text1" w:themeTint="BF"/>
                <w:sz w:val="20"/>
                <w:szCs w:val="20"/>
              </w:rPr>
            </w:pPr>
            <w:r>
              <w:rPr>
                <w:rFonts w:asciiTheme="majorHAnsi" w:hAnsiTheme="majorHAnsi"/>
                <w:noProof/>
                <w:color w:val="404040" w:themeColor="text1" w:themeTint="BF"/>
                <w:sz w:val="20"/>
              </w:rPr>
              <w:t>Conținutul de material reciclat în sticlele din plastic de unică folosință pentru băuturi</w:t>
            </w:r>
          </w:p>
        </w:tc>
        <w:tc>
          <w:tcPr>
            <w:tcW w:w="955" w:type="dxa"/>
            <w:shd w:val="clear" w:color="auto" w:fill="F2F2F2" w:themeFill="background1" w:themeFillShade="F2"/>
          </w:tcPr>
          <w:p w14:paraId="2B163B38" w14:textId="7B88F902" w:rsidR="00A7336D" w:rsidRPr="00975E08" w:rsidRDefault="00A7336D" w:rsidP="00E15FCF">
            <w:pPr>
              <w:spacing w:before="60"/>
              <w:rPr>
                <w:rFonts w:asciiTheme="majorHAnsi" w:hAnsiTheme="majorHAnsi" w:cstheme="majorHAnsi"/>
                <w:b/>
                <w:noProof/>
                <w:color w:val="404040" w:themeColor="text1" w:themeTint="BF"/>
                <w:sz w:val="20"/>
                <w:szCs w:val="20"/>
              </w:rPr>
            </w:pPr>
            <w:r>
              <w:rPr>
                <w:rFonts w:asciiTheme="majorHAnsi" w:hAnsiTheme="majorHAnsi"/>
                <w:noProof/>
                <w:color w:val="404040" w:themeColor="text1" w:themeTint="BF"/>
                <w:sz w:val="20"/>
              </w:rPr>
              <w:t>Elementul (e)</w:t>
            </w:r>
          </w:p>
        </w:tc>
        <w:tc>
          <w:tcPr>
            <w:tcW w:w="7200" w:type="dxa"/>
            <w:shd w:val="clear" w:color="auto" w:fill="F2F2F2" w:themeFill="background1" w:themeFillShade="F2"/>
            <w:vAlign w:val="center"/>
          </w:tcPr>
          <w:p w14:paraId="0EEA8E77" w14:textId="76D0F437" w:rsidR="00A7336D" w:rsidRPr="00975E08" w:rsidRDefault="00A7336D" w:rsidP="00E15FCF">
            <w:pPr>
              <w:spacing w:before="60"/>
              <w:rPr>
                <w:rFonts w:asciiTheme="majorHAnsi" w:hAnsiTheme="majorHAnsi" w:cstheme="majorHAnsi"/>
                <w:noProof/>
                <w:color w:val="404040" w:themeColor="text1" w:themeTint="BF"/>
                <w:sz w:val="20"/>
                <w:szCs w:val="20"/>
              </w:rPr>
            </w:pPr>
            <w:r w:rsidRPr="00627F8D">
              <w:rPr>
                <w:rFonts w:asciiTheme="majorHAnsi" w:hAnsiTheme="majorHAnsi"/>
                <w:b/>
                <w:noProof/>
                <w:color w:val="404040" w:themeColor="text1" w:themeTint="BF"/>
                <w:sz w:val="20"/>
              </w:rPr>
              <w:t>Articolul 13 litera (e) din Directiva privind produsele din plastic de unică folosință</w:t>
            </w:r>
            <w:r>
              <w:rPr>
                <w:rFonts w:asciiTheme="majorHAnsi" w:hAnsiTheme="majorHAnsi"/>
                <w:noProof/>
                <w:color w:val="404040" w:themeColor="text1" w:themeTint="BF"/>
                <w:sz w:val="20"/>
              </w:rPr>
              <w:t>: Informații privind conținutul de material reciclat în sticlele pentru băuturi enumerate în partea F a anexei, pentru a demonstra atingerea obiectivelor prevăzute la articolul </w:t>
            </w:r>
            <w:r w:rsidRPr="00F249C9">
              <w:rPr>
                <w:rFonts w:asciiTheme="majorHAnsi" w:hAnsiTheme="majorHAnsi"/>
                <w:noProof/>
                <w:color w:val="404040" w:themeColor="text1" w:themeTint="BF"/>
                <w:sz w:val="20"/>
              </w:rPr>
              <w:t>6</w:t>
            </w:r>
            <w:r>
              <w:rPr>
                <w:rFonts w:asciiTheme="majorHAnsi" w:hAnsiTheme="majorHAnsi"/>
                <w:noProof/>
                <w:color w:val="404040" w:themeColor="text1" w:themeTint="BF"/>
                <w:sz w:val="20"/>
              </w:rPr>
              <w:t xml:space="preserve"> alineatul (</w:t>
            </w:r>
            <w:r w:rsidRPr="00F249C9">
              <w:rPr>
                <w:rFonts w:asciiTheme="majorHAnsi" w:hAnsiTheme="majorHAnsi"/>
                <w:noProof/>
                <w:color w:val="404040" w:themeColor="text1" w:themeTint="BF"/>
                <w:sz w:val="20"/>
              </w:rPr>
              <w:t>5</w:t>
            </w:r>
            <w:r>
              <w:rPr>
                <w:rFonts w:asciiTheme="majorHAnsi" w:hAnsiTheme="majorHAnsi"/>
                <w:noProof/>
                <w:color w:val="404040" w:themeColor="text1" w:themeTint="BF"/>
                <w:sz w:val="20"/>
              </w:rPr>
              <w:t>).</w:t>
            </w:r>
          </w:p>
          <w:p w14:paraId="57682AC5" w14:textId="03E2DAF2" w:rsidR="00A7336D" w:rsidRPr="00975E08" w:rsidRDefault="00D33BBD" w:rsidP="00E15FCF">
            <w:pPr>
              <w:spacing w:before="60"/>
              <w:rPr>
                <w:rFonts w:asciiTheme="majorHAnsi" w:hAnsiTheme="majorHAnsi" w:cstheme="majorHAnsi"/>
                <w:noProof/>
                <w:color w:val="404040" w:themeColor="text1" w:themeTint="BF"/>
                <w:sz w:val="20"/>
                <w:szCs w:val="20"/>
              </w:rPr>
            </w:pPr>
            <w:hyperlink r:id="rId33" w:history="1">
              <w:r w:rsidR="00A7336D" w:rsidRPr="00627F8D">
                <w:rPr>
                  <w:rStyle w:val="Hyperlink"/>
                  <w:rFonts w:asciiTheme="majorHAnsi" w:hAnsiTheme="majorHAnsi"/>
                  <w:b/>
                  <w:noProof/>
                  <w:color w:val="404040" w:themeColor="text1" w:themeTint="BF"/>
                  <w:sz w:val="20"/>
                </w:rPr>
                <w:t>Decizia de punere în aplicare (UE) 2023/2683 a Comisiei</w:t>
              </w:r>
            </w:hyperlink>
            <w:r w:rsidR="00A7336D">
              <w:rPr>
                <w:noProof/>
              </w:rPr>
              <w:t>.</w:t>
            </w:r>
            <w:r w:rsidR="00A7336D">
              <w:rPr>
                <w:rFonts w:asciiTheme="majorHAnsi" w:hAnsiTheme="majorHAnsi"/>
                <w:noProof/>
                <w:color w:val="404040" w:themeColor="text1" w:themeTint="BF"/>
                <w:sz w:val="20"/>
              </w:rPr>
              <w:t xml:space="preserve"> </w:t>
            </w:r>
          </w:p>
        </w:tc>
        <w:tc>
          <w:tcPr>
            <w:tcW w:w="901" w:type="dxa"/>
            <w:shd w:val="clear" w:color="auto" w:fill="F2F2F2" w:themeFill="background1" w:themeFillShade="F2"/>
            <w:vAlign w:val="center"/>
          </w:tcPr>
          <w:p w14:paraId="523DA29A" w14:textId="77777777" w:rsidR="00A7336D" w:rsidRPr="00975E08" w:rsidRDefault="00A7336D" w:rsidP="00E15FCF">
            <w:pPr>
              <w:spacing w:before="60"/>
              <w:rPr>
                <w:rFonts w:asciiTheme="majorHAnsi" w:hAnsiTheme="majorHAnsi" w:cstheme="majorHAnsi"/>
                <w:noProof/>
                <w:color w:val="404040" w:themeColor="text1" w:themeTint="BF"/>
                <w:sz w:val="20"/>
                <w:szCs w:val="20"/>
              </w:rPr>
            </w:pPr>
            <w:r w:rsidRPr="00F249C9">
              <w:rPr>
                <w:rFonts w:asciiTheme="majorHAnsi" w:hAnsiTheme="majorHAnsi"/>
                <w:noProof/>
                <w:color w:val="404040" w:themeColor="text1" w:themeTint="BF"/>
                <w:sz w:val="20"/>
              </w:rPr>
              <w:t>2023</w:t>
            </w:r>
          </w:p>
        </w:tc>
        <w:tc>
          <w:tcPr>
            <w:tcW w:w="991" w:type="dxa"/>
            <w:shd w:val="clear" w:color="auto" w:fill="F2F2F2" w:themeFill="background1" w:themeFillShade="F2"/>
            <w:vAlign w:val="center"/>
          </w:tcPr>
          <w:p w14:paraId="2193E263" w14:textId="77777777" w:rsidR="00A7336D" w:rsidRPr="00975E08" w:rsidRDefault="00A7336D" w:rsidP="00E15FCF">
            <w:pPr>
              <w:spacing w:before="60"/>
              <w:rPr>
                <w:rFonts w:asciiTheme="majorHAnsi" w:hAnsiTheme="majorHAnsi" w:cstheme="majorHAnsi"/>
                <w:noProof/>
                <w:color w:val="404040" w:themeColor="text1" w:themeTint="BF"/>
                <w:sz w:val="20"/>
                <w:szCs w:val="20"/>
              </w:rPr>
            </w:pPr>
            <w:r>
              <w:rPr>
                <w:rFonts w:asciiTheme="majorHAnsi" w:hAnsiTheme="majorHAnsi"/>
                <w:noProof/>
                <w:color w:val="404040" w:themeColor="text1" w:themeTint="BF"/>
                <w:sz w:val="20"/>
              </w:rPr>
              <w:t xml:space="preserve">Sfârșitul lunii iunie </w:t>
            </w:r>
            <w:r w:rsidRPr="00F249C9">
              <w:rPr>
                <w:rFonts w:asciiTheme="majorHAnsi" w:hAnsiTheme="majorHAnsi"/>
                <w:noProof/>
                <w:color w:val="404040" w:themeColor="text1" w:themeTint="BF"/>
                <w:sz w:val="20"/>
              </w:rPr>
              <w:t>2025</w:t>
            </w:r>
          </w:p>
        </w:tc>
        <w:tc>
          <w:tcPr>
            <w:tcW w:w="4507" w:type="dxa"/>
            <w:shd w:val="clear" w:color="auto" w:fill="F2F2F2" w:themeFill="background1" w:themeFillShade="F2"/>
            <w:vAlign w:val="center"/>
          </w:tcPr>
          <w:p w14:paraId="231CB937" w14:textId="11BA83E2" w:rsidR="00884C6A" w:rsidRPr="00975E08" w:rsidRDefault="00884C6A" w:rsidP="00884C6A">
            <w:pPr>
              <w:spacing w:before="60"/>
              <w:rPr>
                <w:rFonts w:asciiTheme="majorHAnsi" w:hAnsiTheme="majorHAnsi" w:cstheme="majorHAnsi"/>
                <w:noProof/>
                <w:sz w:val="20"/>
                <w:szCs w:val="20"/>
              </w:rPr>
            </w:pPr>
            <w:r>
              <w:rPr>
                <w:rFonts w:asciiTheme="majorHAnsi" w:hAnsiTheme="majorHAnsi"/>
                <w:noProof/>
                <w:sz w:val="20"/>
              </w:rPr>
              <w:t xml:space="preserve">Până în </w:t>
            </w:r>
            <w:r w:rsidRPr="00F249C9">
              <w:rPr>
                <w:rFonts w:asciiTheme="majorHAnsi" w:hAnsiTheme="majorHAnsi"/>
                <w:noProof/>
                <w:sz w:val="20"/>
              </w:rPr>
              <w:t>2025</w:t>
            </w:r>
            <w:r>
              <w:rPr>
                <w:rFonts w:asciiTheme="majorHAnsi" w:hAnsiTheme="majorHAnsi"/>
                <w:noProof/>
                <w:sz w:val="20"/>
              </w:rPr>
              <w:t xml:space="preserve">, </w:t>
            </w:r>
            <w:r w:rsidRPr="00F249C9">
              <w:rPr>
                <w:rFonts w:asciiTheme="majorHAnsi" w:hAnsiTheme="majorHAnsi"/>
                <w:noProof/>
                <w:sz w:val="20"/>
              </w:rPr>
              <w:t>25</w:t>
            </w:r>
            <w:r>
              <w:rPr>
                <w:rFonts w:asciiTheme="majorHAnsi" w:hAnsiTheme="majorHAnsi"/>
                <w:noProof/>
                <w:sz w:val="20"/>
              </w:rPr>
              <w:t xml:space="preserve"> % pentru sticlele din plastic de unică folosință pentru băuturi, fabricate din PET. </w:t>
            </w:r>
          </w:p>
          <w:p w14:paraId="1FFA390A" w14:textId="4A027C93" w:rsidR="00884C6A" w:rsidRPr="00975E08" w:rsidRDefault="00884C6A" w:rsidP="00884C6A">
            <w:pPr>
              <w:spacing w:before="60"/>
              <w:rPr>
                <w:rFonts w:asciiTheme="majorHAnsi" w:hAnsiTheme="majorHAnsi" w:cstheme="majorHAnsi"/>
                <w:noProof/>
                <w:sz w:val="20"/>
                <w:szCs w:val="20"/>
              </w:rPr>
            </w:pPr>
            <w:r>
              <w:rPr>
                <w:rFonts w:asciiTheme="majorHAnsi" w:hAnsiTheme="majorHAnsi"/>
                <w:noProof/>
                <w:sz w:val="20"/>
              </w:rPr>
              <w:t xml:space="preserve">Până în </w:t>
            </w:r>
            <w:r w:rsidRPr="00F249C9">
              <w:rPr>
                <w:rFonts w:asciiTheme="majorHAnsi" w:hAnsiTheme="majorHAnsi"/>
                <w:noProof/>
                <w:sz w:val="20"/>
              </w:rPr>
              <w:t>2030</w:t>
            </w:r>
            <w:r>
              <w:rPr>
                <w:rFonts w:asciiTheme="majorHAnsi" w:hAnsiTheme="majorHAnsi"/>
                <w:noProof/>
                <w:sz w:val="20"/>
              </w:rPr>
              <w:t xml:space="preserve">, </w:t>
            </w:r>
            <w:r w:rsidRPr="00F249C9">
              <w:rPr>
                <w:rFonts w:asciiTheme="majorHAnsi" w:hAnsiTheme="majorHAnsi"/>
                <w:noProof/>
                <w:sz w:val="20"/>
              </w:rPr>
              <w:t>30</w:t>
            </w:r>
            <w:r>
              <w:rPr>
                <w:rFonts w:asciiTheme="majorHAnsi" w:hAnsiTheme="majorHAnsi"/>
                <w:noProof/>
                <w:sz w:val="20"/>
              </w:rPr>
              <w:t xml:space="preserve"> % pentru toate sticlele din plastic de unică folosință pentru băuturi. </w:t>
            </w:r>
          </w:p>
          <w:p w14:paraId="34F7A5E0" w14:textId="54A0BFA1" w:rsidR="00A7336D" w:rsidRPr="00975E08" w:rsidRDefault="00A7336D" w:rsidP="00E15FCF">
            <w:pPr>
              <w:spacing w:before="60"/>
              <w:rPr>
                <w:rFonts w:asciiTheme="majorHAnsi" w:hAnsiTheme="majorHAnsi" w:cstheme="majorHAnsi"/>
                <w:noProof/>
                <w:color w:val="404040" w:themeColor="text1" w:themeTint="BF"/>
                <w:sz w:val="20"/>
                <w:szCs w:val="20"/>
              </w:rPr>
            </w:pPr>
          </w:p>
        </w:tc>
      </w:tr>
      <w:tr w:rsidR="00A7336D" w:rsidRPr="004A10F0" w14:paraId="5C309208" w14:textId="77777777" w:rsidTr="00E15FCF">
        <w:trPr>
          <w:trHeight w:val="687"/>
        </w:trPr>
        <w:tc>
          <w:tcPr>
            <w:tcW w:w="1598" w:type="dxa"/>
            <w:shd w:val="clear" w:color="auto" w:fill="F2F2F2" w:themeFill="background1" w:themeFillShade="F2"/>
            <w:vAlign w:val="center"/>
          </w:tcPr>
          <w:p w14:paraId="6606F0C9" w14:textId="30F61FCD" w:rsidR="00A7336D" w:rsidRPr="00975E08" w:rsidRDefault="00A7336D" w:rsidP="00E15FCF">
            <w:pPr>
              <w:spacing w:before="60"/>
              <w:jc w:val="left"/>
              <w:rPr>
                <w:rFonts w:asciiTheme="majorHAnsi" w:hAnsiTheme="majorHAnsi" w:cstheme="majorHAnsi"/>
                <w:noProof/>
                <w:color w:val="404040" w:themeColor="text1" w:themeTint="BF"/>
                <w:sz w:val="20"/>
                <w:szCs w:val="20"/>
              </w:rPr>
            </w:pPr>
            <w:r>
              <w:rPr>
                <w:rFonts w:asciiTheme="majorHAnsi" w:hAnsiTheme="majorHAnsi"/>
                <w:noProof/>
                <w:color w:val="404040" w:themeColor="text1" w:themeTint="BF"/>
                <w:sz w:val="20"/>
              </w:rPr>
              <w:t xml:space="preserve">Deșeuri produse după consum provenite de la filtre pentru produse din tutun </w:t>
            </w:r>
          </w:p>
        </w:tc>
        <w:tc>
          <w:tcPr>
            <w:tcW w:w="955" w:type="dxa"/>
            <w:shd w:val="clear" w:color="auto" w:fill="F2F2F2" w:themeFill="background1" w:themeFillShade="F2"/>
          </w:tcPr>
          <w:p w14:paraId="33504DE0" w14:textId="1A85EB0E" w:rsidR="00A7336D" w:rsidRPr="00975E08" w:rsidRDefault="00A7336D" w:rsidP="00E15FCF">
            <w:pPr>
              <w:spacing w:before="60"/>
              <w:rPr>
                <w:rFonts w:asciiTheme="majorHAnsi" w:hAnsiTheme="majorHAnsi" w:cstheme="majorHAnsi"/>
                <w:b/>
                <w:noProof/>
                <w:color w:val="404040" w:themeColor="text1" w:themeTint="BF"/>
                <w:sz w:val="20"/>
                <w:szCs w:val="20"/>
              </w:rPr>
            </w:pPr>
            <w:r>
              <w:rPr>
                <w:rFonts w:asciiTheme="majorHAnsi" w:hAnsiTheme="majorHAnsi"/>
                <w:noProof/>
                <w:color w:val="404040" w:themeColor="text1" w:themeTint="BF"/>
                <w:sz w:val="20"/>
              </w:rPr>
              <w:t>Elementul (f)</w:t>
            </w:r>
          </w:p>
        </w:tc>
        <w:tc>
          <w:tcPr>
            <w:tcW w:w="7200" w:type="dxa"/>
            <w:shd w:val="clear" w:color="auto" w:fill="F2F2F2" w:themeFill="background1" w:themeFillShade="F2"/>
            <w:vAlign w:val="center"/>
          </w:tcPr>
          <w:p w14:paraId="2AC851B5" w14:textId="38D26686" w:rsidR="00A7336D" w:rsidRPr="00975E08" w:rsidRDefault="00A7336D" w:rsidP="00E15FCF">
            <w:pPr>
              <w:spacing w:before="60"/>
              <w:rPr>
                <w:rFonts w:asciiTheme="majorHAnsi" w:hAnsiTheme="majorHAnsi" w:cstheme="majorHAnsi"/>
                <w:noProof/>
                <w:color w:val="404040" w:themeColor="text1" w:themeTint="BF"/>
                <w:sz w:val="20"/>
                <w:szCs w:val="20"/>
              </w:rPr>
            </w:pPr>
            <w:r w:rsidRPr="00627F8D">
              <w:rPr>
                <w:rFonts w:asciiTheme="majorHAnsi" w:hAnsiTheme="majorHAnsi"/>
                <w:b/>
                <w:noProof/>
                <w:color w:val="404040" w:themeColor="text1" w:themeTint="BF"/>
                <w:sz w:val="20"/>
              </w:rPr>
              <w:t>Articolul 13 litera (f) din Directiva privind produsele din plastic de unică folosință</w:t>
            </w:r>
            <w:r>
              <w:rPr>
                <w:rFonts w:asciiTheme="majorHAnsi" w:hAnsiTheme="majorHAnsi"/>
                <w:noProof/>
                <w:color w:val="404040" w:themeColor="text1" w:themeTint="BF"/>
                <w:sz w:val="20"/>
              </w:rPr>
              <w:t xml:space="preserve">: Date privind deșeurile produse după consum ale produselor din plastic de unică folosință enumerate la secțiunea III a părții E din anexă care au fost colectate în conformitate cu articolul </w:t>
            </w:r>
            <w:r w:rsidRPr="00F249C9">
              <w:rPr>
                <w:rFonts w:asciiTheme="majorHAnsi" w:hAnsiTheme="majorHAnsi"/>
                <w:noProof/>
                <w:color w:val="404040" w:themeColor="text1" w:themeTint="BF"/>
                <w:sz w:val="20"/>
              </w:rPr>
              <w:t>8</w:t>
            </w:r>
            <w:r>
              <w:rPr>
                <w:rFonts w:asciiTheme="majorHAnsi" w:hAnsiTheme="majorHAnsi"/>
                <w:noProof/>
                <w:color w:val="404040" w:themeColor="text1" w:themeTint="BF"/>
                <w:sz w:val="20"/>
              </w:rPr>
              <w:t xml:space="preserve"> alineatul (</w:t>
            </w:r>
            <w:r w:rsidRPr="00F249C9">
              <w:rPr>
                <w:rFonts w:asciiTheme="majorHAnsi" w:hAnsiTheme="majorHAnsi"/>
                <w:noProof/>
                <w:color w:val="404040" w:themeColor="text1" w:themeTint="BF"/>
                <w:sz w:val="20"/>
              </w:rPr>
              <w:t>3</w:t>
            </w:r>
            <w:r>
              <w:rPr>
                <w:rFonts w:asciiTheme="majorHAnsi" w:hAnsiTheme="majorHAnsi"/>
                <w:noProof/>
                <w:color w:val="404040" w:themeColor="text1" w:themeTint="BF"/>
                <w:sz w:val="20"/>
              </w:rPr>
              <w:t>).</w:t>
            </w:r>
          </w:p>
          <w:p w14:paraId="61F36398" w14:textId="324AA64C" w:rsidR="00A7336D" w:rsidRPr="00975E08" w:rsidRDefault="00D33BBD" w:rsidP="00E15FCF">
            <w:pPr>
              <w:spacing w:before="60"/>
              <w:rPr>
                <w:rFonts w:asciiTheme="majorHAnsi" w:hAnsiTheme="majorHAnsi" w:cstheme="majorHAnsi"/>
                <w:noProof/>
                <w:color w:val="404040" w:themeColor="text1" w:themeTint="BF"/>
                <w:sz w:val="20"/>
                <w:szCs w:val="20"/>
              </w:rPr>
            </w:pPr>
            <w:hyperlink r:id="rId34" w:history="1">
              <w:r w:rsidR="00A7336D" w:rsidRPr="00627F8D">
                <w:rPr>
                  <w:rStyle w:val="Hyperlink"/>
                  <w:rFonts w:asciiTheme="majorHAnsi" w:hAnsiTheme="majorHAnsi"/>
                  <w:b/>
                  <w:noProof/>
                  <w:color w:val="404040" w:themeColor="text1" w:themeTint="BF"/>
                  <w:sz w:val="20"/>
                </w:rPr>
                <w:t>Decizia de punere în aplicare (UE) 2021/2267 a Comisiei</w:t>
              </w:r>
            </w:hyperlink>
            <w:r w:rsidR="00A7336D">
              <w:rPr>
                <w:noProof/>
              </w:rPr>
              <w:t>.</w:t>
            </w:r>
          </w:p>
        </w:tc>
        <w:tc>
          <w:tcPr>
            <w:tcW w:w="901" w:type="dxa"/>
            <w:shd w:val="clear" w:color="auto" w:fill="F2F2F2" w:themeFill="background1" w:themeFillShade="F2"/>
            <w:vAlign w:val="center"/>
          </w:tcPr>
          <w:p w14:paraId="5140AC10" w14:textId="77777777" w:rsidR="00A7336D" w:rsidRPr="00975E08" w:rsidRDefault="00A7336D" w:rsidP="00E15FCF">
            <w:pPr>
              <w:spacing w:before="60"/>
              <w:rPr>
                <w:rFonts w:asciiTheme="majorHAnsi" w:hAnsiTheme="majorHAnsi" w:cstheme="majorHAnsi"/>
                <w:noProof/>
                <w:color w:val="404040" w:themeColor="text1" w:themeTint="BF"/>
                <w:sz w:val="20"/>
                <w:szCs w:val="20"/>
              </w:rPr>
            </w:pPr>
            <w:r w:rsidRPr="00F249C9">
              <w:rPr>
                <w:rFonts w:asciiTheme="majorHAnsi" w:hAnsiTheme="majorHAnsi"/>
                <w:noProof/>
                <w:color w:val="404040" w:themeColor="text1" w:themeTint="BF"/>
                <w:sz w:val="20"/>
              </w:rPr>
              <w:t>2023</w:t>
            </w:r>
          </w:p>
        </w:tc>
        <w:tc>
          <w:tcPr>
            <w:tcW w:w="991" w:type="dxa"/>
            <w:shd w:val="clear" w:color="auto" w:fill="F2F2F2" w:themeFill="background1" w:themeFillShade="F2"/>
            <w:vAlign w:val="center"/>
          </w:tcPr>
          <w:p w14:paraId="3915C698" w14:textId="77777777" w:rsidR="00A7336D" w:rsidRPr="00975E08" w:rsidRDefault="00A7336D" w:rsidP="00E15FCF">
            <w:pPr>
              <w:spacing w:before="60"/>
              <w:rPr>
                <w:rFonts w:asciiTheme="majorHAnsi" w:hAnsiTheme="majorHAnsi" w:cstheme="majorHAnsi"/>
                <w:noProof/>
                <w:color w:val="404040" w:themeColor="text1" w:themeTint="BF"/>
                <w:sz w:val="20"/>
                <w:szCs w:val="20"/>
              </w:rPr>
            </w:pPr>
            <w:r>
              <w:rPr>
                <w:rFonts w:asciiTheme="majorHAnsi" w:hAnsiTheme="majorHAnsi"/>
                <w:noProof/>
                <w:color w:val="404040" w:themeColor="text1" w:themeTint="BF"/>
                <w:sz w:val="20"/>
              </w:rPr>
              <w:t xml:space="preserve">Sfârșitul lunii iunie </w:t>
            </w:r>
            <w:r w:rsidRPr="00F249C9">
              <w:rPr>
                <w:rFonts w:asciiTheme="majorHAnsi" w:hAnsiTheme="majorHAnsi"/>
                <w:noProof/>
                <w:color w:val="404040" w:themeColor="text1" w:themeTint="BF"/>
                <w:sz w:val="20"/>
              </w:rPr>
              <w:t>2025</w:t>
            </w:r>
          </w:p>
        </w:tc>
        <w:tc>
          <w:tcPr>
            <w:tcW w:w="4507" w:type="dxa"/>
            <w:shd w:val="clear" w:color="auto" w:fill="F2F2F2" w:themeFill="background1" w:themeFillShade="F2"/>
            <w:vAlign w:val="center"/>
          </w:tcPr>
          <w:p w14:paraId="13707476" w14:textId="77777777" w:rsidR="00A7336D" w:rsidRPr="00975E08" w:rsidRDefault="00A7336D" w:rsidP="00E15FCF">
            <w:pPr>
              <w:spacing w:before="60"/>
              <w:rPr>
                <w:rFonts w:asciiTheme="majorHAnsi" w:hAnsiTheme="majorHAnsi" w:cstheme="majorHAnsi"/>
                <w:noProof/>
                <w:color w:val="404040" w:themeColor="text1" w:themeTint="BF"/>
                <w:sz w:val="20"/>
                <w:szCs w:val="20"/>
              </w:rPr>
            </w:pPr>
            <w:r>
              <w:rPr>
                <w:rFonts w:asciiTheme="majorHAnsi" w:hAnsiTheme="majorHAnsi"/>
                <w:noProof/>
                <w:color w:val="404040" w:themeColor="text1" w:themeTint="BF"/>
                <w:sz w:val="20"/>
              </w:rPr>
              <w:t>-</w:t>
            </w:r>
          </w:p>
        </w:tc>
      </w:tr>
    </w:tbl>
    <w:p w14:paraId="69DDB771" w14:textId="77777777" w:rsidR="00862309" w:rsidRPr="004A0A8E" w:rsidRDefault="00862309" w:rsidP="00862309">
      <w:pPr>
        <w:rPr>
          <w:noProof/>
          <w:color w:val="A6A6A6" w:themeColor="background1" w:themeShade="A6"/>
        </w:rPr>
        <w:sectPr w:rsidR="00862309" w:rsidRPr="004A0A8E" w:rsidSect="00E355AB">
          <w:headerReference w:type="default" r:id="rId35"/>
          <w:footerReference w:type="default" r:id="rId36"/>
          <w:pgSz w:w="16840" w:h="11900" w:orient="landscape"/>
          <w:pgMar w:top="426" w:right="1247" w:bottom="568" w:left="1247" w:header="0" w:footer="505" w:gutter="0"/>
          <w:cols w:space="708"/>
          <w:docGrid w:linePitch="360"/>
        </w:sectPr>
      </w:pPr>
    </w:p>
    <w:p w14:paraId="6CB61E74" w14:textId="6E071263" w:rsidR="00862309" w:rsidRPr="00627F8D" w:rsidRDefault="00862309" w:rsidP="00862309">
      <w:pPr>
        <w:pStyle w:val="Heading3"/>
        <w:rPr>
          <w:noProof/>
        </w:rPr>
      </w:pPr>
      <w:bookmarkStart w:id="9" w:name="_Toc185251689"/>
      <w:bookmarkStart w:id="10" w:name="_Toc185499247"/>
      <w:bookmarkStart w:id="11" w:name="_Toc221701575"/>
      <w:r w:rsidRPr="00627F8D">
        <w:rPr>
          <w:noProof/>
        </w:rPr>
        <w:t>Prezentare generală pe elemente</w:t>
      </w:r>
      <w:bookmarkEnd w:id="9"/>
      <w:bookmarkEnd w:id="10"/>
      <w:bookmarkEnd w:id="11"/>
    </w:p>
    <w:p w14:paraId="610C3F48" w14:textId="6D2EC38D" w:rsidR="00322A76" w:rsidRDefault="00862309" w:rsidP="00862309">
      <w:pPr>
        <w:rPr>
          <w:noProof/>
        </w:rPr>
      </w:pPr>
      <w:r w:rsidRPr="00F249C9">
        <w:rPr>
          <w:noProof/>
        </w:rPr>
        <w:t>29</w:t>
      </w:r>
      <w:r>
        <w:rPr>
          <w:noProof/>
        </w:rPr>
        <w:t xml:space="preserve"> de țări au raportat date și informații în temeiul Directivei privind produsele din plastic de unică folosință pentru </w:t>
      </w:r>
      <w:r w:rsidRPr="00F249C9">
        <w:rPr>
          <w:noProof/>
        </w:rPr>
        <w:t>2022</w:t>
      </w:r>
      <w:r>
        <w:rPr>
          <w:noProof/>
        </w:rPr>
        <w:t xml:space="preserve"> (toate statele membre ale UE și două țări din cadrul SEE-AELS). Principalele rezultate sunt prezentate în tabelul </w:t>
      </w:r>
      <w:r w:rsidRPr="00F249C9">
        <w:rPr>
          <w:noProof/>
        </w:rPr>
        <w:t>2</w:t>
      </w:r>
      <w:r>
        <w:rPr>
          <w:noProof/>
        </w:rPr>
        <w:t>.</w:t>
      </w:r>
      <w:r>
        <w:rPr>
          <w:rFonts w:ascii="Aptos" w:hAnsi="Aptos"/>
          <w:noProof/>
        </w:rPr>
        <w:t xml:space="preserve"> </w:t>
      </w:r>
    </w:p>
    <w:p w14:paraId="4392ED0D" w14:textId="482752E6" w:rsidR="00862309" w:rsidRPr="00627F8D" w:rsidRDefault="00862309" w:rsidP="00862309">
      <w:pPr>
        <w:pStyle w:val="Caption"/>
        <w:rPr>
          <w:noProof/>
        </w:rPr>
      </w:pPr>
      <w:bookmarkStart w:id="12" w:name="_Ref184303573"/>
      <w:r w:rsidRPr="00627F8D">
        <w:rPr>
          <w:noProof/>
        </w:rPr>
        <w:t xml:space="preserve">Tabelul </w:t>
      </w:r>
      <w:r w:rsidRPr="00627F8D">
        <w:rPr>
          <w:noProof/>
        </w:rPr>
        <w:fldChar w:fldCharType="begin"/>
      </w:r>
      <w:r w:rsidRPr="00627F8D">
        <w:rPr>
          <w:noProof/>
        </w:rPr>
        <w:instrText xml:space="preserve"> SEQ Table \* ARABIC </w:instrText>
      </w:r>
      <w:r w:rsidRPr="00627F8D">
        <w:rPr>
          <w:noProof/>
        </w:rPr>
        <w:fldChar w:fldCharType="separate"/>
      </w:r>
      <w:r w:rsidRPr="00627F8D">
        <w:rPr>
          <w:noProof/>
        </w:rPr>
        <w:t>2</w:t>
      </w:r>
      <w:r w:rsidRPr="00627F8D">
        <w:rPr>
          <w:noProof/>
        </w:rPr>
        <w:fldChar w:fldCharType="end"/>
      </w:r>
      <w:bookmarkEnd w:id="12"/>
      <w:r w:rsidRPr="00627F8D">
        <w:rPr>
          <w:noProof/>
        </w:rPr>
        <w:t>: Sinteza rezultatelor în funcție de elementele de raportare pentru statele membre ale UE pentru 2022.</w:t>
      </w:r>
    </w:p>
    <w:tbl>
      <w:tblPr>
        <w:tblW w:w="8957" w:type="dxa"/>
        <w:tblInd w:w="108" w:type="dxa"/>
        <w:tblCellMar>
          <w:left w:w="0" w:type="dxa"/>
          <w:right w:w="0" w:type="dxa"/>
        </w:tblCellMar>
        <w:tblLook w:val="04A0" w:firstRow="1" w:lastRow="0" w:firstColumn="1" w:lastColumn="0" w:noHBand="0" w:noVBand="1"/>
      </w:tblPr>
      <w:tblGrid>
        <w:gridCol w:w="1471"/>
        <w:gridCol w:w="3643"/>
        <w:gridCol w:w="3843"/>
      </w:tblGrid>
      <w:tr w:rsidR="00862309" w:rsidRPr="004A0A8E" w14:paraId="7855741D" w14:textId="77777777" w:rsidTr="009D38BF">
        <w:trPr>
          <w:trHeight w:val="345"/>
        </w:trPr>
        <w:tc>
          <w:tcPr>
            <w:tcW w:w="1471" w:type="dxa"/>
            <w:tcBorders>
              <w:top w:val="single" w:sz="8" w:space="0" w:color="FFFFFF"/>
              <w:left w:val="single" w:sz="8" w:space="0" w:color="FFFFFF"/>
              <w:bottom w:val="single" w:sz="24" w:space="0" w:color="FFFFFF"/>
              <w:right w:val="single" w:sz="8" w:space="0" w:color="FFFFFF"/>
            </w:tcBorders>
            <w:shd w:val="clear" w:color="auto" w:fill="007B6C"/>
            <w:tcMar>
              <w:top w:w="15" w:type="dxa"/>
              <w:left w:w="108" w:type="dxa"/>
              <w:bottom w:w="0" w:type="dxa"/>
              <w:right w:w="108" w:type="dxa"/>
            </w:tcMar>
            <w:hideMark/>
          </w:tcPr>
          <w:p w14:paraId="769CE6C2" w14:textId="77777777" w:rsidR="00862309" w:rsidRPr="00975E08" w:rsidRDefault="00862309" w:rsidP="00387885">
            <w:pPr>
              <w:pStyle w:val="Caption"/>
              <w:spacing w:before="0" w:after="0"/>
              <w:rPr>
                <w:noProof/>
                <w:sz w:val="20"/>
                <w:szCs w:val="20"/>
              </w:rPr>
            </w:pPr>
            <w:bookmarkStart w:id="13" w:name="_Ref182898468"/>
            <w:r w:rsidRPr="00627F8D">
              <w:rPr>
                <w:noProof/>
                <w:sz w:val="20"/>
              </w:rPr>
              <w:t xml:space="preserve"> </w:t>
            </w:r>
          </w:p>
        </w:tc>
        <w:tc>
          <w:tcPr>
            <w:tcW w:w="3643" w:type="dxa"/>
            <w:tcBorders>
              <w:top w:val="single" w:sz="8" w:space="0" w:color="FFFFFF"/>
              <w:left w:val="single" w:sz="8" w:space="0" w:color="FFFFFF"/>
              <w:bottom w:val="single" w:sz="24" w:space="0" w:color="FFFFFF"/>
              <w:right w:val="single" w:sz="8" w:space="0" w:color="FFFFFF"/>
            </w:tcBorders>
            <w:shd w:val="clear" w:color="auto" w:fill="007B6C"/>
            <w:tcMar>
              <w:top w:w="15" w:type="dxa"/>
              <w:left w:w="108" w:type="dxa"/>
              <w:bottom w:w="0" w:type="dxa"/>
              <w:right w:w="108" w:type="dxa"/>
            </w:tcMar>
            <w:hideMark/>
          </w:tcPr>
          <w:p w14:paraId="7C4D94E9" w14:textId="77777777" w:rsidR="00862309" w:rsidRPr="00627F8D" w:rsidRDefault="00862309" w:rsidP="00387885">
            <w:pPr>
              <w:pStyle w:val="Caption"/>
              <w:spacing w:before="0" w:after="0"/>
              <w:jc w:val="center"/>
              <w:rPr>
                <w:noProof/>
                <w:color w:val="FFFFFF" w:themeColor="background1"/>
                <w:sz w:val="20"/>
                <w:szCs w:val="20"/>
              </w:rPr>
            </w:pPr>
            <w:r w:rsidRPr="00627F8D">
              <w:rPr>
                <w:noProof/>
                <w:color w:val="FFFFFF" w:themeColor="background1"/>
                <w:sz w:val="20"/>
              </w:rPr>
              <w:t>Introduse pe piață</w:t>
            </w:r>
          </w:p>
          <w:p w14:paraId="4756B956" w14:textId="43BCB281" w:rsidR="00862309" w:rsidRPr="00975E08" w:rsidRDefault="00862309" w:rsidP="00387885">
            <w:pPr>
              <w:pStyle w:val="Caption"/>
              <w:spacing w:before="0" w:after="0"/>
              <w:jc w:val="center"/>
              <w:rPr>
                <w:noProof/>
                <w:color w:val="FFFFFF" w:themeColor="background1"/>
                <w:sz w:val="20"/>
                <w:szCs w:val="20"/>
              </w:rPr>
            </w:pPr>
            <w:r w:rsidRPr="00627F8D">
              <w:rPr>
                <w:noProof/>
                <w:color w:val="FFFFFF" w:themeColor="background1"/>
                <w:sz w:val="20"/>
              </w:rPr>
              <w:t>[elementul (a)]</w:t>
            </w:r>
          </w:p>
        </w:tc>
        <w:tc>
          <w:tcPr>
            <w:tcW w:w="3843" w:type="dxa"/>
            <w:tcBorders>
              <w:top w:val="single" w:sz="8" w:space="0" w:color="FFFFFF"/>
              <w:left w:val="single" w:sz="8" w:space="0" w:color="FFFFFF"/>
              <w:bottom w:val="single" w:sz="24" w:space="0" w:color="FFFFFF"/>
              <w:right w:val="single" w:sz="8" w:space="0" w:color="FFFFFF"/>
            </w:tcBorders>
            <w:shd w:val="clear" w:color="auto" w:fill="007B6C"/>
            <w:tcMar>
              <w:top w:w="15" w:type="dxa"/>
              <w:left w:w="108" w:type="dxa"/>
              <w:bottom w:w="0" w:type="dxa"/>
              <w:right w:w="108" w:type="dxa"/>
            </w:tcMar>
            <w:hideMark/>
          </w:tcPr>
          <w:p w14:paraId="6510FA79" w14:textId="432DCFD6" w:rsidR="00862309" w:rsidRPr="00627F8D" w:rsidRDefault="00862309" w:rsidP="00387885">
            <w:pPr>
              <w:pStyle w:val="Caption"/>
              <w:spacing w:before="0" w:after="0"/>
              <w:jc w:val="center"/>
              <w:rPr>
                <w:noProof/>
                <w:color w:val="FFFFFF" w:themeColor="background1"/>
                <w:sz w:val="20"/>
                <w:szCs w:val="20"/>
              </w:rPr>
            </w:pPr>
            <w:r w:rsidRPr="00627F8D">
              <w:rPr>
                <w:noProof/>
                <w:color w:val="FFFFFF" w:themeColor="background1"/>
                <w:sz w:val="20"/>
              </w:rPr>
              <w:t>Măsuri de reducere a consumului</w:t>
            </w:r>
          </w:p>
          <w:p w14:paraId="5765D2D1" w14:textId="73BCCA50" w:rsidR="00862309" w:rsidRPr="00627F8D" w:rsidRDefault="00862309" w:rsidP="00387885">
            <w:pPr>
              <w:pStyle w:val="Caption"/>
              <w:spacing w:before="0" w:after="0"/>
              <w:jc w:val="center"/>
              <w:rPr>
                <w:noProof/>
                <w:color w:val="FFFFFF" w:themeColor="background1"/>
                <w:sz w:val="20"/>
                <w:szCs w:val="20"/>
              </w:rPr>
            </w:pPr>
            <w:r w:rsidRPr="00627F8D">
              <w:rPr>
                <w:noProof/>
                <w:color w:val="FFFFFF" w:themeColor="background1"/>
                <w:sz w:val="20"/>
              </w:rPr>
              <w:t>[elementul (b)]</w:t>
            </w:r>
          </w:p>
        </w:tc>
      </w:tr>
      <w:tr w:rsidR="00862309" w:rsidRPr="004A0A8E" w14:paraId="1290041D" w14:textId="77777777" w:rsidTr="009D38BF">
        <w:trPr>
          <w:trHeight w:val="1508"/>
        </w:trPr>
        <w:tc>
          <w:tcPr>
            <w:tcW w:w="1471" w:type="dxa"/>
            <w:tcBorders>
              <w:top w:val="single" w:sz="24" w:space="0" w:color="FFFFFF"/>
              <w:left w:val="single" w:sz="8" w:space="0" w:color="FFFFFF"/>
              <w:bottom w:val="single" w:sz="8" w:space="0" w:color="FFFFFF"/>
              <w:right w:val="single" w:sz="8" w:space="0" w:color="FFFFFF"/>
            </w:tcBorders>
            <w:shd w:val="clear" w:color="auto" w:fill="113A60"/>
            <w:tcMar>
              <w:top w:w="15" w:type="dxa"/>
              <w:left w:w="108" w:type="dxa"/>
              <w:bottom w:w="0" w:type="dxa"/>
              <w:right w:w="108" w:type="dxa"/>
            </w:tcMar>
            <w:hideMark/>
          </w:tcPr>
          <w:p w14:paraId="1A60C97C" w14:textId="4C715680" w:rsidR="002512AC" w:rsidRPr="00627F8D" w:rsidRDefault="00862309" w:rsidP="00975E08">
            <w:pPr>
              <w:pStyle w:val="Caption"/>
              <w:spacing w:before="0" w:after="0"/>
              <w:jc w:val="left"/>
              <w:rPr>
                <w:noProof/>
                <w:color w:val="auto"/>
                <w:sz w:val="20"/>
                <w:szCs w:val="20"/>
              </w:rPr>
            </w:pPr>
            <w:r w:rsidRPr="00627F8D">
              <w:rPr>
                <w:noProof/>
                <w:color w:val="FFFFFF" w:themeColor="background1"/>
                <w:sz w:val="20"/>
              </w:rPr>
              <w:t>Pahare pentru băuturi și recipiente pentru alimente</w:t>
            </w:r>
          </w:p>
          <w:p w14:paraId="015474B9" w14:textId="7E6CA328" w:rsidR="00AD103F" w:rsidRPr="00627F8D" w:rsidRDefault="00AD103F" w:rsidP="00975E08">
            <w:pPr>
              <w:pStyle w:val="Caption"/>
              <w:spacing w:before="0" w:after="0"/>
              <w:jc w:val="left"/>
              <w:rPr>
                <w:noProof/>
                <w:sz w:val="20"/>
                <w:szCs w:val="20"/>
              </w:rPr>
            </w:pPr>
            <w:r w:rsidRPr="00627F8D">
              <w:rPr>
                <w:noProof/>
                <w:color w:val="auto"/>
                <w:sz w:val="20"/>
              </w:rPr>
              <w:t>[elementele (a) și (b)]</w:t>
            </w:r>
          </w:p>
        </w:tc>
        <w:tc>
          <w:tcPr>
            <w:tcW w:w="3643" w:type="dxa"/>
            <w:tcBorders>
              <w:top w:val="single" w:sz="24"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6D0B5393" w14:textId="55DC4F58" w:rsidR="00BA0B32" w:rsidRPr="00975E08" w:rsidRDefault="00BA0B32" w:rsidP="00614544">
            <w:pPr>
              <w:pStyle w:val="Caption"/>
              <w:spacing w:after="0"/>
              <w:rPr>
                <w:b w:val="0"/>
                <w:noProof/>
                <w:color w:val="auto"/>
                <w:sz w:val="20"/>
                <w:szCs w:val="20"/>
              </w:rPr>
            </w:pPr>
            <w:r>
              <w:rPr>
                <w:b w:val="0"/>
                <w:noProof/>
                <w:color w:val="auto"/>
                <w:sz w:val="20"/>
              </w:rPr>
              <w:t xml:space="preserve">Pe baza greutății (date din </w:t>
            </w:r>
            <w:r w:rsidRPr="00F249C9">
              <w:rPr>
                <w:b w:val="0"/>
                <w:noProof/>
                <w:color w:val="auto"/>
                <w:sz w:val="20"/>
              </w:rPr>
              <w:t>20</w:t>
            </w:r>
            <w:r>
              <w:rPr>
                <w:b w:val="0"/>
                <w:noProof/>
                <w:color w:val="auto"/>
                <w:sz w:val="20"/>
              </w:rPr>
              <w:t xml:space="preserve"> de state membre ale UE): </w:t>
            </w:r>
          </w:p>
          <w:p w14:paraId="5D474D1E" w14:textId="5C727F79" w:rsidR="00BA0B32" w:rsidRPr="00975E08" w:rsidRDefault="00862309" w:rsidP="00387885">
            <w:pPr>
              <w:pStyle w:val="Caption"/>
              <w:numPr>
                <w:ilvl w:val="0"/>
                <w:numId w:val="10"/>
              </w:numPr>
              <w:spacing w:after="0"/>
              <w:ind w:left="417"/>
              <w:rPr>
                <w:b w:val="0"/>
                <w:noProof/>
                <w:color w:val="auto"/>
                <w:sz w:val="20"/>
                <w:szCs w:val="20"/>
              </w:rPr>
            </w:pPr>
            <w:r w:rsidRPr="00F249C9">
              <w:rPr>
                <w:b w:val="0"/>
                <w:noProof/>
                <w:color w:val="auto"/>
                <w:sz w:val="20"/>
              </w:rPr>
              <w:t>152</w:t>
            </w:r>
            <w:r>
              <w:rPr>
                <w:b w:val="0"/>
                <w:noProof/>
                <w:color w:val="auto"/>
                <w:sz w:val="20"/>
              </w:rPr>
              <w:t> </w:t>
            </w:r>
            <w:r w:rsidRPr="00F249C9">
              <w:rPr>
                <w:b w:val="0"/>
                <w:noProof/>
                <w:color w:val="auto"/>
                <w:sz w:val="20"/>
              </w:rPr>
              <w:t>037</w:t>
            </w:r>
            <w:r>
              <w:rPr>
                <w:b w:val="0"/>
                <w:noProof/>
                <w:color w:val="auto"/>
                <w:sz w:val="20"/>
              </w:rPr>
              <w:t xml:space="preserve"> de tone de materiale plastice provenite din pahare pentru băuturi (</w:t>
            </w:r>
            <w:r w:rsidRPr="00F249C9">
              <w:rPr>
                <w:b w:val="0"/>
                <w:noProof/>
                <w:color w:val="auto"/>
                <w:sz w:val="20"/>
              </w:rPr>
              <w:t>0</w:t>
            </w:r>
            <w:r>
              <w:rPr>
                <w:b w:val="0"/>
                <w:noProof/>
                <w:color w:val="auto"/>
                <w:sz w:val="20"/>
              </w:rPr>
              <w:t>,</w:t>
            </w:r>
            <w:r w:rsidRPr="00F249C9">
              <w:rPr>
                <w:b w:val="0"/>
                <w:noProof/>
                <w:color w:val="auto"/>
                <w:sz w:val="20"/>
              </w:rPr>
              <w:t>46</w:t>
            </w:r>
            <w:r>
              <w:rPr>
                <w:b w:val="0"/>
                <w:noProof/>
                <w:color w:val="auto"/>
                <w:sz w:val="20"/>
              </w:rPr>
              <w:t xml:space="preserve"> kg pe cap de locuitor) </w:t>
            </w:r>
          </w:p>
          <w:p w14:paraId="200E9E2C" w14:textId="12EE543D" w:rsidR="00862309" w:rsidRPr="00975E08" w:rsidRDefault="00E749C0" w:rsidP="00387885">
            <w:pPr>
              <w:pStyle w:val="Caption"/>
              <w:numPr>
                <w:ilvl w:val="0"/>
                <w:numId w:val="10"/>
              </w:numPr>
              <w:spacing w:after="0"/>
              <w:ind w:left="417"/>
              <w:rPr>
                <w:b w:val="0"/>
                <w:noProof/>
                <w:color w:val="auto"/>
                <w:sz w:val="20"/>
                <w:szCs w:val="20"/>
              </w:rPr>
            </w:pPr>
            <w:r w:rsidRPr="00F249C9">
              <w:rPr>
                <w:b w:val="0"/>
                <w:noProof/>
                <w:color w:val="auto"/>
                <w:sz w:val="20"/>
              </w:rPr>
              <w:t>524</w:t>
            </w:r>
            <w:r>
              <w:rPr>
                <w:b w:val="0"/>
                <w:noProof/>
                <w:color w:val="auto"/>
                <w:sz w:val="20"/>
              </w:rPr>
              <w:t> </w:t>
            </w:r>
            <w:r w:rsidRPr="00F249C9">
              <w:rPr>
                <w:b w:val="0"/>
                <w:noProof/>
                <w:color w:val="auto"/>
                <w:sz w:val="20"/>
              </w:rPr>
              <w:t>003</w:t>
            </w:r>
            <w:r>
              <w:rPr>
                <w:b w:val="0"/>
                <w:noProof/>
                <w:color w:val="auto"/>
                <w:sz w:val="20"/>
              </w:rPr>
              <w:t xml:space="preserve"> tone provenite din recipiente pentru alimente (</w:t>
            </w:r>
            <w:r w:rsidRPr="00F249C9">
              <w:rPr>
                <w:b w:val="0"/>
                <w:noProof/>
                <w:color w:val="auto"/>
                <w:sz w:val="20"/>
              </w:rPr>
              <w:t>1</w:t>
            </w:r>
            <w:r>
              <w:rPr>
                <w:b w:val="0"/>
                <w:noProof/>
                <w:color w:val="auto"/>
                <w:sz w:val="20"/>
              </w:rPr>
              <w:t>,</w:t>
            </w:r>
            <w:r w:rsidRPr="00F249C9">
              <w:rPr>
                <w:b w:val="0"/>
                <w:noProof/>
                <w:color w:val="auto"/>
                <w:sz w:val="20"/>
              </w:rPr>
              <w:t>60</w:t>
            </w:r>
            <w:r>
              <w:rPr>
                <w:b w:val="0"/>
                <w:noProof/>
                <w:color w:val="auto"/>
                <w:sz w:val="20"/>
              </w:rPr>
              <w:t xml:space="preserve"> kg pe cap de locuitor) </w:t>
            </w:r>
          </w:p>
          <w:p w14:paraId="68F55147" w14:textId="6E1F91D9" w:rsidR="00614544" w:rsidRPr="00975E08" w:rsidRDefault="00D23409" w:rsidP="00614544">
            <w:pPr>
              <w:pStyle w:val="Caption"/>
              <w:spacing w:after="0"/>
              <w:rPr>
                <w:b w:val="0"/>
                <w:noProof/>
                <w:color w:val="auto"/>
                <w:sz w:val="20"/>
                <w:szCs w:val="20"/>
              </w:rPr>
            </w:pPr>
            <w:r>
              <w:rPr>
                <w:b w:val="0"/>
                <w:noProof/>
                <w:color w:val="auto"/>
                <w:sz w:val="20"/>
              </w:rPr>
              <w:t xml:space="preserve">Pe baza numărului de produse (date din </w:t>
            </w:r>
            <w:r w:rsidRPr="00F249C9">
              <w:rPr>
                <w:b w:val="0"/>
                <w:noProof/>
                <w:color w:val="auto"/>
                <w:sz w:val="20"/>
              </w:rPr>
              <w:t>11</w:t>
            </w:r>
            <w:r w:rsidR="00760BF4">
              <w:rPr>
                <w:b w:val="0"/>
                <w:noProof/>
                <w:color w:val="auto"/>
                <w:sz w:val="20"/>
              </w:rPr>
              <w:t> </w:t>
            </w:r>
            <w:r>
              <w:rPr>
                <w:b w:val="0"/>
                <w:noProof/>
                <w:color w:val="auto"/>
                <w:sz w:val="20"/>
              </w:rPr>
              <w:t>state membre ale UE):</w:t>
            </w:r>
          </w:p>
          <w:p w14:paraId="3BB4AA67" w14:textId="5D5505C6" w:rsidR="00614544" w:rsidRPr="00975E08" w:rsidRDefault="00862309" w:rsidP="00387885">
            <w:pPr>
              <w:pStyle w:val="Caption"/>
              <w:numPr>
                <w:ilvl w:val="0"/>
                <w:numId w:val="11"/>
              </w:numPr>
              <w:spacing w:after="0"/>
              <w:ind w:left="417"/>
              <w:rPr>
                <w:b w:val="0"/>
                <w:noProof/>
                <w:color w:val="auto"/>
                <w:sz w:val="20"/>
                <w:szCs w:val="20"/>
              </w:rPr>
            </w:pPr>
            <w:r w:rsidRPr="00F249C9">
              <w:rPr>
                <w:b w:val="0"/>
                <w:noProof/>
                <w:color w:val="auto"/>
                <w:sz w:val="20"/>
              </w:rPr>
              <w:t>17</w:t>
            </w:r>
            <w:r>
              <w:rPr>
                <w:b w:val="0"/>
                <w:noProof/>
                <w:color w:val="auto"/>
                <w:sz w:val="20"/>
              </w:rPr>
              <w:t xml:space="preserve"> miliarde de pahare pentru băuturi (</w:t>
            </w:r>
            <w:r w:rsidRPr="00F249C9">
              <w:rPr>
                <w:b w:val="0"/>
                <w:noProof/>
                <w:color w:val="auto"/>
                <w:sz w:val="20"/>
              </w:rPr>
              <w:t>97</w:t>
            </w:r>
            <w:r>
              <w:rPr>
                <w:b w:val="0"/>
                <w:noProof/>
                <w:color w:val="auto"/>
                <w:sz w:val="20"/>
              </w:rPr>
              <w:t xml:space="preserve"> pe cap de locuitor) </w:t>
            </w:r>
          </w:p>
          <w:p w14:paraId="2928D919" w14:textId="320D335A" w:rsidR="00862309" w:rsidRPr="00975E08" w:rsidRDefault="00862309" w:rsidP="00387885">
            <w:pPr>
              <w:pStyle w:val="Caption"/>
              <w:numPr>
                <w:ilvl w:val="0"/>
                <w:numId w:val="11"/>
              </w:numPr>
              <w:spacing w:after="0"/>
              <w:ind w:left="417"/>
              <w:rPr>
                <w:b w:val="0"/>
                <w:noProof/>
                <w:color w:val="auto"/>
                <w:sz w:val="20"/>
                <w:szCs w:val="20"/>
              </w:rPr>
            </w:pPr>
            <w:r w:rsidRPr="00F249C9">
              <w:rPr>
                <w:b w:val="0"/>
                <w:noProof/>
                <w:color w:val="auto"/>
                <w:sz w:val="20"/>
              </w:rPr>
              <w:t>111</w:t>
            </w:r>
            <w:r>
              <w:rPr>
                <w:b w:val="0"/>
                <w:noProof/>
                <w:color w:val="auto"/>
                <w:sz w:val="20"/>
              </w:rPr>
              <w:t xml:space="preserve"> miliarde de recipiente pentru alimente (</w:t>
            </w:r>
            <w:r w:rsidRPr="00F249C9">
              <w:rPr>
                <w:b w:val="0"/>
                <w:noProof/>
                <w:color w:val="auto"/>
                <w:sz w:val="20"/>
              </w:rPr>
              <w:t>636</w:t>
            </w:r>
            <w:r>
              <w:rPr>
                <w:b w:val="0"/>
                <w:noProof/>
                <w:color w:val="auto"/>
                <w:sz w:val="20"/>
              </w:rPr>
              <w:t xml:space="preserve"> pe cap de locuitor)</w:t>
            </w:r>
          </w:p>
        </w:tc>
        <w:tc>
          <w:tcPr>
            <w:tcW w:w="3843" w:type="dxa"/>
            <w:tcBorders>
              <w:top w:val="single" w:sz="24"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1F1D67C7" w14:textId="1A1DA9C3" w:rsidR="00862309" w:rsidRPr="00975E08" w:rsidRDefault="00862309" w:rsidP="00387885">
            <w:pPr>
              <w:pStyle w:val="Caption"/>
              <w:numPr>
                <w:ilvl w:val="0"/>
                <w:numId w:val="12"/>
              </w:numPr>
              <w:ind w:left="340"/>
              <w:rPr>
                <w:b w:val="0"/>
                <w:noProof/>
                <w:color w:val="auto"/>
                <w:sz w:val="20"/>
                <w:szCs w:val="20"/>
              </w:rPr>
            </w:pPr>
            <w:r>
              <w:rPr>
                <w:b w:val="0"/>
                <w:noProof/>
                <w:color w:val="auto"/>
                <w:sz w:val="20"/>
              </w:rPr>
              <w:t>Instrumente economice (</w:t>
            </w:r>
            <w:r w:rsidRPr="00F249C9">
              <w:rPr>
                <w:b w:val="0"/>
                <w:noProof/>
                <w:color w:val="auto"/>
                <w:sz w:val="20"/>
              </w:rPr>
              <w:t>27</w:t>
            </w:r>
            <w:r>
              <w:rPr>
                <w:b w:val="0"/>
                <w:noProof/>
                <w:color w:val="auto"/>
                <w:sz w:val="20"/>
              </w:rPr>
              <w:t xml:space="preserve"> de state membre ale UE)</w:t>
            </w:r>
          </w:p>
          <w:p w14:paraId="46231303" w14:textId="15783BE2" w:rsidR="00862309" w:rsidRPr="00975E08" w:rsidRDefault="00862309" w:rsidP="00387885">
            <w:pPr>
              <w:pStyle w:val="Caption"/>
              <w:numPr>
                <w:ilvl w:val="0"/>
                <w:numId w:val="12"/>
              </w:numPr>
              <w:ind w:left="340"/>
              <w:rPr>
                <w:b w:val="0"/>
                <w:noProof/>
                <w:color w:val="auto"/>
                <w:sz w:val="20"/>
                <w:szCs w:val="20"/>
              </w:rPr>
            </w:pPr>
            <w:r>
              <w:rPr>
                <w:b w:val="0"/>
                <w:noProof/>
                <w:color w:val="auto"/>
                <w:sz w:val="20"/>
              </w:rPr>
              <w:t>Activități de sensibilizare (</w:t>
            </w:r>
            <w:r w:rsidRPr="00F249C9">
              <w:rPr>
                <w:b w:val="0"/>
                <w:noProof/>
                <w:color w:val="auto"/>
                <w:sz w:val="20"/>
              </w:rPr>
              <w:t>25</w:t>
            </w:r>
            <w:r>
              <w:rPr>
                <w:b w:val="0"/>
                <w:noProof/>
                <w:color w:val="auto"/>
                <w:sz w:val="20"/>
              </w:rPr>
              <w:t xml:space="preserve"> de state membre ale UE) </w:t>
            </w:r>
          </w:p>
          <w:p w14:paraId="4A9D2C23" w14:textId="201EE434" w:rsidR="00862309" w:rsidRPr="00975E08" w:rsidRDefault="00862309" w:rsidP="00387885">
            <w:pPr>
              <w:pStyle w:val="Caption"/>
              <w:numPr>
                <w:ilvl w:val="0"/>
                <w:numId w:val="12"/>
              </w:numPr>
              <w:ind w:left="340"/>
              <w:rPr>
                <w:b w:val="0"/>
                <w:noProof/>
                <w:color w:val="auto"/>
                <w:sz w:val="20"/>
                <w:szCs w:val="20"/>
              </w:rPr>
            </w:pPr>
            <w:r>
              <w:rPr>
                <w:b w:val="0"/>
                <w:noProof/>
                <w:color w:val="auto"/>
                <w:sz w:val="20"/>
              </w:rPr>
              <w:t>Promovarea alternativelor durabile (</w:t>
            </w:r>
            <w:r w:rsidRPr="00F249C9">
              <w:rPr>
                <w:b w:val="0"/>
                <w:noProof/>
                <w:color w:val="auto"/>
                <w:sz w:val="20"/>
              </w:rPr>
              <w:t>25</w:t>
            </w:r>
            <w:r w:rsidR="00F249C9">
              <w:rPr>
                <w:b w:val="0"/>
                <w:noProof/>
                <w:color w:val="auto"/>
                <w:sz w:val="20"/>
              </w:rPr>
              <w:t> </w:t>
            </w:r>
            <w:r>
              <w:rPr>
                <w:b w:val="0"/>
                <w:noProof/>
                <w:color w:val="auto"/>
                <w:sz w:val="20"/>
              </w:rPr>
              <w:t>de state membre ale UE)</w:t>
            </w:r>
          </w:p>
          <w:p w14:paraId="0AB31096" w14:textId="1F5E8F72" w:rsidR="00862309" w:rsidRPr="00975E08" w:rsidRDefault="00120204" w:rsidP="00387885">
            <w:pPr>
              <w:pStyle w:val="Caption"/>
              <w:numPr>
                <w:ilvl w:val="0"/>
                <w:numId w:val="12"/>
              </w:numPr>
              <w:ind w:left="340"/>
              <w:rPr>
                <w:b w:val="0"/>
                <w:noProof/>
                <w:color w:val="auto"/>
                <w:sz w:val="20"/>
                <w:szCs w:val="20"/>
              </w:rPr>
            </w:pPr>
            <w:r>
              <w:rPr>
                <w:b w:val="0"/>
                <w:noProof/>
                <w:color w:val="auto"/>
                <w:sz w:val="20"/>
              </w:rPr>
              <w:t>Obiective cantitative pentru reducerea consumului de pahare pentru băuturi și de recipiente pentru alimente introduse pe piață (</w:t>
            </w:r>
            <w:r w:rsidRPr="00F249C9">
              <w:rPr>
                <w:b w:val="0"/>
                <w:noProof/>
                <w:color w:val="auto"/>
                <w:sz w:val="20"/>
              </w:rPr>
              <w:t>14</w:t>
            </w:r>
            <w:r>
              <w:rPr>
                <w:b w:val="0"/>
                <w:noProof/>
                <w:color w:val="auto"/>
                <w:sz w:val="20"/>
              </w:rPr>
              <w:t xml:space="preserve"> state membre)</w:t>
            </w:r>
          </w:p>
        </w:tc>
      </w:tr>
      <w:tr w:rsidR="00862309" w:rsidRPr="004A0A8E" w14:paraId="51966A6C" w14:textId="77777777" w:rsidTr="009D38BF">
        <w:trPr>
          <w:trHeight w:val="194"/>
        </w:trPr>
        <w:tc>
          <w:tcPr>
            <w:tcW w:w="1471" w:type="dxa"/>
            <w:tcBorders>
              <w:top w:val="single" w:sz="8" w:space="0" w:color="FFFFFF"/>
              <w:left w:val="single" w:sz="8" w:space="0" w:color="FFFFFF"/>
              <w:bottom w:val="single" w:sz="8" w:space="0" w:color="FFFFFF"/>
              <w:right w:val="single" w:sz="8" w:space="0" w:color="FFFFFF"/>
            </w:tcBorders>
            <w:shd w:val="clear" w:color="auto" w:fill="113A60"/>
            <w:tcMar>
              <w:top w:w="15" w:type="dxa"/>
              <w:left w:w="108" w:type="dxa"/>
              <w:bottom w:w="0" w:type="dxa"/>
              <w:right w:w="108" w:type="dxa"/>
            </w:tcMar>
            <w:hideMark/>
          </w:tcPr>
          <w:p w14:paraId="39FA9A29" w14:textId="77777777" w:rsidR="00862309" w:rsidRPr="00975E08" w:rsidRDefault="00862309" w:rsidP="00387885">
            <w:pPr>
              <w:pStyle w:val="Caption"/>
              <w:spacing w:before="0" w:after="0"/>
              <w:jc w:val="left"/>
              <w:rPr>
                <w:noProof/>
                <w:color w:val="FFFFFF" w:themeColor="background1"/>
                <w:sz w:val="20"/>
                <w:szCs w:val="20"/>
              </w:rPr>
            </w:pPr>
            <w:r w:rsidRPr="00627F8D">
              <w:rPr>
                <w:noProof/>
                <w:color w:val="FFFFFF" w:themeColor="background1"/>
                <w:sz w:val="20"/>
              </w:rPr>
              <w:t xml:space="preserve"> </w:t>
            </w:r>
          </w:p>
        </w:tc>
        <w:tc>
          <w:tcPr>
            <w:tcW w:w="3643" w:type="dxa"/>
            <w:tcBorders>
              <w:top w:val="single" w:sz="8" w:space="0" w:color="FFFFFF"/>
              <w:left w:val="single" w:sz="8" w:space="0" w:color="FFFFFF"/>
              <w:bottom w:val="single" w:sz="8" w:space="0" w:color="FFFFFF"/>
              <w:right w:val="single" w:sz="8" w:space="0" w:color="FFFFFF"/>
            </w:tcBorders>
            <w:shd w:val="clear" w:color="auto" w:fill="007B6C"/>
            <w:tcMar>
              <w:top w:w="15" w:type="dxa"/>
              <w:left w:w="108" w:type="dxa"/>
              <w:bottom w:w="0" w:type="dxa"/>
              <w:right w:w="108" w:type="dxa"/>
            </w:tcMar>
            <w:hideMark/>
          </w:tcPr>
          <w:p w14:paraId="5DF8F7A0" w14:textId="77777777" w:rsidR="00862309" w:rsidRPr="00975E08" w:rsidRDefault="00862309" w:rsidP="00387885">
            <w:pPr>
              <w:pStyle w:val="Caption"/>
              <w:spacing w:before="0" w:after="0"/>
              <w:jc w:val="center"/>
              <w:rPr>
                <w:noProof/>
                <w:color w:val="FFFFFF" w:themeColor="background1"/>
                <w:sz w:val="20"/>
                <w:szCs w:val="20"/>
              </w:rPr>
            </w:pPr>
            <w:r w:rsidRPr="00627F8D">
              <w:rPr>
                <w:noProof/>
                <w:color w:val="FFFFFF" w:themeColor="background1"/>
                <w:sz w:val="20"/>
              </w:rPr>
              <w:t>Introduse pe piață</w:t>
            </w:r>
          </w:p>
        </w:tc>
        <w:tc>
          <w:tcPr>
            <w:tcW w:w="3843" w:type="dxa"/>
            <w:tcBorders>
              <w:top w:val="single" w:sz="8" w:space="0" w:color="FFFFFF"/>
              <w:left w:val="single" w:sz="8" w:space="0" w:color="FFFFFF"/>
              <w:bottom w:val="single" w:sz="8" w:space="0" w:color="FFFFFF"/>
              <w:right w:val="single" w:sz="8" w:space="0" w:color="FFFFFF"/>
            </w:tcBorders>
            <w:shd w:val="clear" w:color="auto" w:fill="007B6C"/>
            <w:tcMar>
              <w:top w:w="15" w:type="dxa"/>
              <w:left w:w="108" w:type="dxa"/>
              <w:bottom w:w="0" w:type="dxa"/>
              <w:right w:w="108" w:type="dxa"/>
            </w:tcMar>
            <w:hideMark/>
          </w:tcPr>
          <w:p w14:paraId="3340A212" w14:textId="514D8F46" w:rsidR="00862309" w:rsidRPr="00627F8D" w:rsidRDefault="00BA2606" w:rsidP="00387885">
            <w:pPr>
              <w:pStyle w:val="Caption"/>
              <w:spacing w:before="0" w:after="0"/>
              <w:jc w:val="center"/>
              <w:rPr>
                <w:noProof/>
                <w:color w:val="FFFFFF" w:themeColor="background1"/>
                <w:sz w:val="20"/>
                <w:szCs w:val="20"/>
              </w:rPr>
            </w:pPr>
            <w:r w:rsidRPr="00627F8D">
              <w:rPr>
                <w:noProof/>
                <w:color w:val="FFFFFF" w:themeColor="background1"/>
                <w:sz w:val="20"/>
              </w:rPr>
              <w:t>Colectare separată</w:t>
            </w:r>
          </w:p>
        </w:tc>
      </w:tr>
      <w:tr w:rsidR="00862309" w:rsidRPr="004A0A8E" w14:paraId="554DD57E" w14:textId="77777777" w:rsidTr="009D38BF">
        <w:trPr>
          <w:trHeight w:val="804"/>
        </w:trPr>
        <w:tc>
          <w:tcPr>
            <w:tcW w:w="1471" w:type="dxa"/>
            <w:tcBorders>
              <w:top w:val="single" w:sz="8" w:space="0" w:color="FFFFFF"/>
              <w:left w:val="single" w:sz="8" w:space="0" w:color="FFFFFF"/>
              <w:bottom w:val="single" w:sz="8" w:space="0" w:color="FFFFFF"/>
              <w:right w:val="single" w:sz="8" w:space="0" w:color="FFFFFF"/>
            </w:tcBorders>
            <w:shd w:val="clear" w:color="auto" w:fill="113A60"/>
            <w:tcMar>
              <w:top w:w="15" w:type="dxa"/>
              <w:left w:w="108" w:type="dxa"/>
              <w:bottom w:w="0" w:type="dxa"/>
              <w:right w:w="108" w:type="dxa"/>
            </w:tcMar>
            <w:hideMark/>
          </w:tcPr>
          <w:p w14:paraId="2EB722AF" w14:textId="2C3E1194" w:rsidR="002512AC" w:rsidRPr="00627F8D" w:rsidRDefault="00862309" w:rsidP="00975E08">
            <w:pPr>
              <w:pStyle w:val="Caption"/>
              <w:spacing w:before="0" w:after="0"/>
              <w:jc w:val="left"/>
              <w:rPr>
                <w:noProof/>
                <w:color w:val="FFFFFF" w:themeColor="background1"/>
                <w:sz w:val="20"/>
                <w:szCs w:val="20"/>
              </w:rPr>
            </w:pPr>
            <w:r w:rsidRPr="00627F8D">
              <w:rPr>
                <w:noProof/>
                <w:color w:val="FFFFFF" w:themeColor="background1"/>
                <w:sz w:val="20"/>
              </w:rPr>
              <w:t xml:space="preserve">Sticle pentru băuturi </w:t>
            </w:r>
          </w:p>
          <w:p w14:paraId="78B9E220" w14:textId="1E86A6BB" w:rsidR="00862309" w:rsidRPr="00627F8D" w:rsidRDefault="00862309" w:rsidP="00975E08">
            <w:pPr>
              <w:pStyle w:val="Caption"/>
              <w:spacing w:before="0" w:after="0"/>
              <w:jc w:val="left"/>
              <w:rPr>
                <w:noProof/>
                <w:color w:val="auto"/>
                <w:sz w:val="20"/>
                <w:szCs w:val="20"/>
              </w:rPr>
            </w:pPr>
            <w:r w:rsidRPr="00627F8D">
              <w:rPr>
                <w:noProof/>
                <w:color w:val="auto"/>
                <w:sz w:val="20"/>
              </w:rPr>
              <w:t>[elementul (c)]</w:t>
            </w:r>
          </w:p>
        </w:tc>
        <w:tc>
          <w:tcPr>
            <w:tcW w:w="364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hideMark/>
          </w:tcPr>
          <w:p w14:paraId="0E24EE73" w14:textId="09B1CFD3" w:rsidR="00862309" w:rsidRPr="00975E08" w:rsidRDefault="00862309" w:rsidP="00387885">
            <w:pPr>
              <w:pStyle w:val="Caption"/>
              <w:rPr>
                <w:b w:val="0"/>
                <w:noProof/>
                <w:color w:val="auto"/>
                <w:sz w:val="20"/>
                <w:szCs w:val="20"/>
              </w:rPr>
            </w:pPr>
            <w:r w:rsidRPr="00F249C9">
              <w:rPr>
                <w:b w:val="0"/>
                <w:noProof/>
                <w:color w:val="auto"/>
                <w:sz w:val="20"/>
              </w:rPr>
              <w:t>2</w:t>
            </w:r>
            <w:r>
              <w:rPr>
                <w:b w:val="0"/>
                <w:noProof/>
                <w:color w:val="auto"/>
                <w:sz w:val="20"/>
              </w:rPr>
              <w:t>,</w:t>
            </w:r>
            <w:r w:rsidRPr="00F249C9">
              <w:rPr>
                <w:b w:val="0"/>
                <w:noProof/>
                <w:color w:val="auto"/>
                <w:sz w:val="20"/>
              </w:rPr>
              <w:t>54</w:t>
            </w:r>
            <w:r>
              <w:rPr>
                <w:b w:val="0"/>
                <w:noProof/>
                <w:color w:val="auto"/>
                <w:sz w:val="20"/>
              </w:rPr>
              <w:t> milioane de tone (</w:t>
            </w:r>
            <w:r w:rsidRPr="00F249C9">
              <w:rPr>
                <w:b w:val="0"/>
                <w:noProof/>
                <w:color w:val="auto"/>
                <w:sz w:val="20"/>
              </w:rPr>
              <w:t>5</w:t>
            </w:r>
            <w:r>
              <w:rPr>
                <w:b w:val="0"/>
                <w:noProof/>
                <w:color w:val="auto"/>
                <w:sz w:val="20"/>
              </w:rPr>
              <w:t>,</w:t>
            </w:r>
            <w:r w:rsidRPr="00F249C9">
              <w:rPr>
                <w:b w:val="0"/>
                <w:noProof/>
                <w:color w:val="auto"/>
                <w:sz w:val="20"/>
              </w:rPr>
              <w:t>7</w:t>
            </w:r>
            <w:r>
              <w:rPr>
                <w:b w:val="0"/>
                <w:noProof/>
                <w:color w:val="auto"/>
                <w:sz w:val="20"/>
              </w:rPr>
              <w:t xml:space="preserve"> kg pe cap de locuitor) (date din </w:t>
            </w:r>
            <w:r w:rsidRPr="00F249C9">
              <w:rPr>
                <w:b w:val="0"/>
                <w:noProof/>
                <w:color w:val="auto"/>
                <w:sz w:val="20"/>
              </w:rPr>
              <w:t>27</w:t>
            </w:r>
            <w:r>
              <w:rPr>
                <w:b w:val="0"/>
                <w:noProof/>
                <w:color w:val="auto"/>
                <w:sz w:val="20"/>
              </w:rPr>
              <w:t xml:space="preserve"> de state membre ale UE)</w:t>
            </w:r>
          </w:p>
        </w:tc>
        <w:tc>
          <w:tcPr>
            <w:tcW w:w="384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39DC58F7" w14:textId="5BA75CFD" w:rsidR="007B2DCE" w:rsidRPr="00627F8D" w:rsidRDefault="00862309" w:rsidP="0016583C">
            <w:pPr>
              <w:pStyle w:val="Caption"/>
              <w:rPr>
                <w:noProof/>
                <w:sz w:val="20"/>
                <w:szCs w:val="20"/>
              </w:rPr>
            </w:pPr>
            <w:r w:rsidRPr="00F249C9">
              <w:rPr>
                <w:b w:val="0"/>
                <w:noProof/>
                <w:color w:val="auto"/>
                <w:sz w:val="20"/>
              </w:rPr>
              <w:t>1</w:t>
            </w:r>
            <w:r>
              <w:rPr>
                <w:b w:val="0"/>
                <w:noProof/>
                <w:color w:val="auto"/>
                <w:sz w:val="20"/>
              </w:rPr>
              <w:t>,</w:t>
            </w:r>
            <w:r w:rsidRPr="00F249C9">
              <w:rPr>
                <w:b w:val="0"/>
                <w:noProof/>
                <w:color w:val="auto"/>
                <w:sz w:val="20"/>
              </w:rPr>
              <w:t>8</w:t>
            </w:r>
            <w:r>
              <w:rPr>
                <w:b w:val="0"/>
                <w:noProof/>
                <w:color w:val="auto"/>
                <w:sz w:val="20"/>
              </w:rPr>
              <w:t xml:space="preserve"> milioane de tone, ceea ce corespunde unei rate totale de colectare separată de </w:t>
            </w:r>
            <w:r w:rsidRPr="00F249C9">
              <w:rPr>
                <w:b w:val="0"/>
                <w:noProof/>
                <w:color w:val="auto"/>
                <w:sz w:val="20"/>
              </w:rPr>
              <w:t>71</w:t>
            </w:r>
            <w:r>
              <w:rPr>
                <w:b w:val="0"/>
                <w:noProof/>
                <w:color w:val="auto"/>
                <w:sz w:val="20"/>
              </w:rPr>
              <w:t xml:space="preserve"> % (date din </w:t>
            </w:r>
            <w:r w:rsidRPr="00F249C9">
              <w:rPr>
                <w:b w:val="0"/>
                <w:noProof/>
                <w:color w:val="auto"/>
                <w:sz w:val="20"/>
              </w:rPr>
              <w:t>26</w:t>
            </w:r>
            <w:r>
              <w:rPr>
                <w:b w:val="0"/>
                <w:noProof/>
                <w:color w:val="auto"/>
                <w:sz w:val="20"/>
              </w:rPr>
              <w:t xml:space="preserve"> de state membre ale UE; obiectivul pentru </w:t>
            </w:r>
            <w:r w:rsidRPr="00F249C9">
              <w:rPr>
                <w:b w:val="0"/>
                <w:noProof/>
                <w:color w:val="auto"/>
                <w:sz w:val="20"/>
              </w:rPr>
              <w:t>2025</w:t>
            </w:r>
            <w:r>
              <w:rPr>
                <w:b w:val="0"/>
                <w:noProof/>
                <w:color w:val="auto"/>
                <w:sz w:val="20"/>
              </w:rPr>
              <w:t xml:space="preserve">: </w:t>
            </w:r>
            <w:r w:rsidRPr="00F249C9">
              <w:rPr>
                <w:b w:val="0"/>
                <w:noProof/>
                <w:color w:val="auto"/>
                <w:sz w:val="20"/>
              </w:rPr>
              <w:t>77</w:t>
            </w:r>
            <w:r>
              <w:rPr>
                <w:b w:val="0"/>
                <w:noProof/>
                <w:color w:val="auto"/>
                <w:sz w:val="20"/>
              </w:rPr>
              <w:t> %)</w:t>
            </w:r>
          </w:p>
        </w:tc>
      </w:tr>
      <w:tr w:rsidR="00862309" w:rsidRPr="004A0A8E" w14:paraId="0FB8C35A" w14:textId="77777777" w:rsidTr="00F96300">
        <w:trPr>
          <w:trHeight w:val="232"/>
        </w:trPr>
        <w:tc>
          <w:tcPr>
            <w:tcW w:w="1471" w:type="dxa"/>
            <w:tcBorders>
              <w:top w:val="single" w:sz="8" w:space="0" w:color="FFFFFF"/>
              <w:left w:val="single" w:sz="8" w:space="0" w:color="FFFFFF"/>
              <w:bottom w:val="single" w:sz="8" w:space="0" w:color="FFFFFF"/>
              <w:right w:val="single" w:sz="8" w:space="0" w:color="FFFFFF"/>
            </w:tcBorders>
            <w:shd w:val="clear" w:color="auto" w:fill="113A60"/>
            <w:tcMar>
              <w:top w:w="15" w:type="dxa"/>
              <w:left w:w="108" w:type="dxa"/>
              <w:bottom w:w="0" w:type="dxa"/>
              <w:right w:w="108" w:type="dxa"/>
            </w:tcMar>
            <w:hideMark/>
          </w:tcPr>
          <w:p w14:paraId="0A459C9F" w14:textId="02FE462C" w:rsidR="00862309" w:rsidRPr="00627F8D" w:rsidRDefault="00862309" w:rsidP="002512AC">
            <w:pPr>
              <w:pStyle w:val="Caption"/>
              <w:jc w:val="left"/>
              <w:rPr>
                <w:noProof/>
                <w:color w:val="FFFFFF" w:themeColor="background1"/>
                <w:sz w:val="20"/>
                <w:szCs w:val="20"/>
              </w:rPr>
            </w:pPr>
            <w:r w:rsidRPr="00627F8D">
              <w:rPr>
                <w:noProof/>
                <w:color w:val="FFFFFF" w:themeColor="background1"/>
                <w:sz w:val="20"/>
              </w:rPr>
              <w:t>Echipamente de pescuit [elementul (d)]</w:t>
            </w:r>
          </w:p>
        </w:tc>
        <w:tc>
          <w:tcPr>
            <w:tcW w:w="364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hideMark/>
          </w:tcPr>
          <w:p w14:paraId="3A6C9186" w14:textId="301BDC33" w:rsidR="00862309" w:rsidRPr="005A1A1D" w:rsidRDefault="005B718E" w:rsidP="003D3693">
            <w:pPr>
              <w:pStyle w:val="Caption"/>
              <w:rPr>
                <w:b w:val="0"/>
                <w:noProof/>
                <w:color w:val="auto"/>
                <w:sz w:val="20"/>
                <w:szCs w:val="20"/>
              </w:rPr>
            </w:pPr>
            <w:r w:rsidRPr="00F249C9">
              <w:rPr>
                <w:b w:val="0"/>
                <w:noProof/>
                <w:color w:val="auto"/>
                <w:sz w:val="20"/>
              </w:rPr>
              <w:t>22</w:t>
            </w:r>
            <w:r>
              <w:rPr>
                <w:b w:val="0"/>
                <w:noProof/>
                <w:color w:val="auto"/>
                <w:sz w:val="20"/>
              </w:rPr>
              <w:t> </w:t>
            </w:r>
            <w:r w:rsidRPr="00F249C9">
              <w:rPr>
                <w:b w:val="0"/>
                <w:noProof/>
                <w:color w:val="auto"/>
                <w:sz w:val="20"/>
              </w:rPr>
              <w:t>900</w:t>
            </w:r>
            <w:r>
              <w:rPr>
                <w:b w:val="0"/>
                <w:noProof/>
                <w:color w:val="auto"/>
                <w:sz w:val="20"/>
              </w:rPr>
              <w:t xml:space="preserve"> de tone (date din </w:t>
            </w:r>
            <w:r w:rsidRPr="00F249C9">
              <w:rPr>
                <w:b w:val="0"/>
                <w:noProof/>
                <w:color w:val="auto"/>
                <w:sz w:val="20"/>
              </w:rPr>
              <w:t>23</w:t>
            </w:r>
            <w:r>
              <w:rPr>
                <w:b w:val="0"/>
                <w:noProof/>
                <w:color w:val="auto"/>
                <w:sz w:val="20"/>
              </w:rPr>
              <w:t> de state membre ale UE)</w:t>
            </w:r>
          </w:p>
        </w:tc>
        <w:tc>
          <w:tcPr>
            <w:tcW w:w="384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hideMark/>
          </w:tcPr>
          <w:p w14:paraId="7217A242" w14:textId="3C25150A" w:rsidR="00331E4D" w:rsidRPr="00627F8D" w:rsidRDefault="002D4DF7" w:rsidP="00331E4D">
            <w:pPr>
              <w:pStyle w:val="Caption"/>
              <w:rPr>
                <w:noProof/>
                <w:sz w:val="20"/>
                <w:szCs w:val="20"/>
              </w:rPr>
            </w:pPr>
            <w:r w:rsidRPr="00F249C9">
              <w:rPr>
                <w:b w:val="0"/>
                <w:noProof/>
                <w:color w:val="auto"/>
                <w:sz w:val="20"/>
              </w:rPr>
              <w:t>7</w:t>
            </w:r>
            <w:r>
              <w:rPr>
                <w:b w:val="0"/>
                <w:noProof/>
                <w:color w:val="auto"/>
                <w:sz w:val="20"/>
              </w:rPr>
              <w:t> </w:t>
            </w:r>
            <w:r w:rsidRPr="00F249C9">
              <w:rPr>
                <w:b w:val="0"/>
                <w:noProof/>
                <w:color w:val="auto"/>
                <w:sz w:val="20"/>
              </w:rPr>
              <w:t>500</w:t>
            </w:r>
            <w:r>
              <w:rPr>
                <w:b w:val="0"/>
                <w:noProof/>
                <w:color w:val="auto"/>
                <w:sz w:val="20"/>
              </w:rPr>
              <w:t xml:space="preserve"> de tone, ceea ce corespunde unei rate totale de colectare de </w:t>
            </w:r>
            <w:r w:rsidRPr="00F249C9">
              <w:rPr>
                <w:b w:val="0"/>
                <w:noProof/>
                <w:color w:val="auto"/>
                <w:sz w:val="20"/>
              </w:rPr>
              <w:t>32</w:t>
            </w:r>
            <w:r>
              <w:rPr>
                <w:b w:val="0"/>
                <w:noProof/>
                <w:color w:val="auto"/>
                <w:sz w:val="20"/>
              </w:rPr>
              <w:t>,</w:t>
            </w:r>
            <w:r w:rsidRPr="00F249C9">
              <w:rPr>
                <w:b w:val="0"/>
                <w:noProof/>
                <w:color w:val="auto"/>
                <w:sz w:val="20"/>
              </w:rPr>
              <w:t>7</w:t>
            </w:r>
            <w:r>
              <w:rPr>
                <w:b w:val="0"/>
                <w:noProof/>
                <w:color w:val="auto"/>
                <w:sz w:val="20"/>
              </w:rPr>
              <w:t xml:space="preserve"> % (date din </w:t>
            </w:r>
            <w:r w:rsidRPr="00F249C9">
              <w:rPr>
                <w:b w:val="0"/>
                <w:noProof/>
                <w:color w:val="auto"/>
                <w:sz w:val="20"/>
              </w:rPr>
              <w:t>20</w:t>
            </w:r>
            <w:r>
              <w:rPr>
                <w:b w:val="0"/>
                <w:noProof/>
                <w:color w:val="auto"/>
                <w:sz w:val="20"/>
              </w:rPr>
              <w:t xml:space="preserve"> de state membre ale UE)</w:t>
            </w:r>
          </w:p>
        </w:tc>
      </w:tr>
    </w:tbl>
    <w:p w14:paraId="3E2B1376" w14:textId="364F1D32" w:rsidR="00862309" w:rsidRPr="004A0A8E" w:rsidRDefault="00862309" w:rsidP="00862309">
      <w:pPr>
        <w:rPr>
          <w:noProof/>
        </w:rPr>
      </w:pPr>
      <w:bookmarkStart w:id="14" w:name="_Ref184049305"/>
      <w:bookmarkEnd w:id="13"/>
    </w:p>
    <w:p w14:paraId="15965F73" w14:textId="75A4E989" w:rsidR="00862309" w:rsidRPr="00627F8D" w:rsidRDefault="00862309" w:rsidP="00862309">
      <w:pPr>
        <w:pStyle w:val="Heading3"/>
        <w:rPr>
          <w:noProof/>
        </w:rPr>
      </w:pPr>
      <w:bookmarkStart w:id="15" w:name="_Toc185251690"/>
      <w:bookmarkStart w:id="16" w:name="_Toc185499248"/>
      <w:bookmarkStart w:id="17" w:name="_Toc221701576"/>
      <w:r w:rsidRPr="00627F8D">
        <w:rPr>
          <w:noProof/>
        </w:rPr>
        <w:t xml:space="preserve">Elementul A: Cantitățile </w:t>
      </w:r>
      <w:bookmarkStart w:id="18" w:name="_Hlk181888603"/>
      <w:r w:rsidRPr="00627F8D">
        <w:rPr>
          <w:noProof/>
        </w:rPr>
        <w:t xml:space="preserve">introduse pe piață </w:t>
      </w:r>
      <w:bookmarkEnd w:id="18"/>
      <w:r w:rsidRPr="00627F8D">
        <w:rPr>
          <w:noProof/>
        </w:rPr>
        <w:t>de pahare pentru băuturi și recipiente pentru alimente</w:t>
      </w:r>
      <w:bookmarkEnd w:id="14"/>
      <w:bookmarkEnd w:id="15"/>
      <w:bookmarkEnd w:id="16"/>
      <w:bookmarkEnd w:id="17"/>
    </w:p>
    <w:p w14:paraId="44D8807D" w14:textId="3A70DA24" w:rsidR="00862309" w:rsidRPr="004A0A8E" w:rsidRDefault="00D04C8E" w:rsidP="00862309">
      <w:pPr>
        <w:rPr>
          <w:iCs/>
          <w:noProof/>
        </w:rPr>
      </w:pPr>
      <w:r>
        <w:rPr>
          <w:noProof/>
        </w:rPr>
        <w:t xml:space="preserve">Din cele </w:t>
      </w:r>
      <w:r w:rsidRPr="00F249C9">
        <w:rPr>
          <w:noProof/>
        </w:rPr>
        <w:t>27</w:t>
      </w:r>
      <w:r>
        <w:rPr>
          <w:noProof/>
        </w:rPr>
        <w:t xml:space="preserve"> de țări (</w:t>
      </w:r>
      <w:r w:rsidRPr="00F249C9">
        <w:rPr>
          <w:noProof/>
        </w:rPr>
        <w:t>25</w:t>
      </w:r>
      <w:r>
        <w:rPr>
          <w:noProof/>
        </w:rPr>
        <w:t xml:space="preserve"> de state membre ale UE și </w:t>
      </w:r>
      <w:r w:rsidRPr="00F249C9">
        <w:rPr>
          <w:noProof/>
        </w:rPr>
        <w:t>2</w:t>
      </w:r>
      <w:r>
        <w:rPr>
          <w:noProof/>
        </w:rPr>
        <w:t xml:space="preserve"> țări SEE-AELS) care au raportat cantitățile de pahare pentru băuturi și de recipiente pentru alimente introduse pe piață, </w:t>
      </w:r>
      <w:r w:rsidRPr="00F249C9">
        <w:rPr>
          <w:noProof/>
        </w:rPr>
        <w:t>15</w:t>
      </w:r>
      <w:r>
        <w:rPr>
          <w:noProof/>
        </w:rPr>
        <w:t xml:space="preserve"> au raportat numai pe baza greutății, </w:t>
      </w:r>
      <w:r w:rsidRPr="00F249C9">
        <w:rPr>
          <w:noProof/>
        </w:rPr>
        <w:t>6</w:t>
      </w:r>
      <w:r>
        <w:rPr>
          <w:noProof/>
        </w:rPr>
        <w:t xml:space="preserve"> numai pe baza numărului de produse, iar </w:t>
      </w:r>
      <w:r w:rsidRPr="00F249C9">
        <w:rPr>
          <w:noProof/>
        </w:rPr>
        <w:t>6</w:t>
      </w:r>
      <w:r>
        <w:rPr>
          <w:noProof/>
        </w:rPr>
        <w:t xml:space="preserve"> au raportat utilizând ambele modalități. Nicio țară nu a utilizat opțiunea de ajustare a acestor cantități în funcție de fluxurile către și dinspre alte state membre sau țări din afara UE. </w:t>
      </w:r>
    </w:p>
    <w:p w14:paraId="72B91F7A" w14:textId="237E9C27" w:rsidR="00862309" w:rsidRDefault="00C663B2" w:rsidP="00862309">
      <w:pPr>
        <w:rPr>
          <w:iCs/>
          <w:noProof/>
        </w:rPr>
      </w:pPr>
      <w:r>
        <w:rPr>
          <w:noProof/>
        </w:rPr>
        <w:t>Valorile raportate prezintă variații semnificative între țări, în funcție de produs, de indicatorul utilizat (greutatea materialului plastic din produse și greutatea totală a produselor) și de modalitatea de raportare (pe baza greutății sau a numărului de produse). Pentru valorile bazate pe greutate [figura</w:t>
      </w:r>
      <w:r w:rsidR="00F249C9">
        <w:rPr>
          <w:noProof/>
        </w:rPr>
        <w:t> </w:t>
      </w:r>
      <w:r w:rsidRPr="00F249C9">
        <w:rPr>
          <w:noProof/>
        </w:rPr>
        <w:t>1</w:t>
      </w:r>
      <w:r>
        <w:rPr>
          <w:noProof/>
        </w:rPr>
        <w:t xml:space="preserve">(a)], în </w:t>
      </w:r>
      <w:r w:rsidRPr="00F249C9">
        <w:rPr>
          <w:noProof/>
        </w:rPr>
        <w:t>2022</w:t>
      </w:r>
      <w:r>
        <w:rPr>
          <w:noProof/>
        </w:rPr>
        <w:t xml:space="preserve"> au fost raportate cantități totale introduse pe piață de </w:t>
      </w:r>
      <w:r w:rsidRPr="00F249C9">
        <w:rPr>
          <w:noProof/>
        </w:rPr>
        <w:t>526</w:t>
      </w:r>
      <w:r>
        <w:rPr>
          <w:noProof/>
        </w:rPr>
        <w:t> </w:t>
      </w:r>
      <w:r w:rsidRPr="00F249C9">
        <w:rPr>
          <w:noProof/>
        </w:rPr>
        <w:t>482</w:t>
      </w:r>
      <w:r>
        <w:rPr>
          <w:noProof/>
        </w:rPr>
        <w:t xml:space="preserve"> de tone de materiale plastice provenite din recipiente pentru alimente (din care </w:t>
      </w:r>
      <w:r w:rsidRPr="00F249C9">
        <w:rPr>
          <w:noProof/>
        </w:rPr>
        <w:t>524</w:t>
      </w:r>
      <w:r>
        <w:rPr>
          <w:noProof/>
        </w:rPr>
        <w:t> </w:t>
      </w:r>
      <w:r w:rsidRPr="00F249C9">
        <w:rPr>
          <w:noProof/>
        </w:rPr>
        <w:t>003</w:t>
      </w:r>
      <w:r>
        <w:rPr>
          <w:noProof/>
        </w:rPr>
        <w:t xml:space="preserve"> tone din statele membre ale UE) și de </w:t>
      </w:r>
      <w:r w:rsidRPr="00F249C9">
        <w:rPr>
          <w:noProof/>
        </w:rPr>
        <w:t>152</w:t>
      </w:r>
      <w:r>
        <w:rPr>
          <w:noProof/>
        </w:rPr>
        <w:t> </w:t>
      </w:r>
      <w:r w:rsidRPr="00F249C9">
        <w:rPr>
          <w:noProof/>
        </w:rPr>
        <w:t>290</w:t>
      </w:r>
      <w:r>
        <w:rPr>
          <w:noProof/>
        </w:rPr>
        <w:t xml:space="preserve"> de tone de materiale plastice provenite din pahare pentru băuturi (din care </w:t>
      </w:r>
      <w:r w:rsidRPr="00F249C9">
        <w:rPr>
          <w:noProof/>
        </w:rPr>
        <w:t>152</w:t>
      </w:r>
      <w:r>
        <w:rPr>
          <w:noProof/>
        </w:rPr>
        <w:t> </w:t>
      </w:r>
      <w:r w:rsidRPr="00F249C9">
        <w:rPr>
          <w:noProof/>
        </w:rPr>
        <w:t>037</w:t>
      </w:r>
      <w:r>
        <w:rPr>
          <w:noProof/>
        </w:rPr>
        <w:t xml:space="preserve"> de tone din statele membre ale UE). Aceste cantități corespund unor valori pe cap de locuitor de </w:t>
      </w:r>
      <w:r w:rsidRPr="00F249C9">
        <w:rPr>
          <w:noProof/>
        </w:rPr>
        <w:t>1</w:t>
      </w:r>
      <w:r>
        <w:rPr>
          <w:noProof/>
        </w:rPr>
        <w:t>,</w:t>
      </w:r>
      <w:r w:rsidRPr="00F249C9">
        <w:rPr>
          <w:noProof/>
        </w:rPr>
        <w:t>60</w:t>
      </w:r>
      <w:r>
        <w:rPr>
          <w:noProof/>
        </w:rPr>
        <w:t xml:space="preserve"> kg de materiale plastice provenite din recipiente pentru alimente și de </w:t>
      </w:r>
      <w:r w:rsidRPr="00F249C9">
        <w:rPr>
          <w:noProof/>
        </w:rPr>
        <w:t>0</w:t>
      </w:r>
      <w:r>
        <w:rPr>
          <w:noProof/>
        </w:rPr>
        <w:t>,</w:t>
      </w:r>
      <w:r w:rsidRPr="00F249C9">
        <w:rPr>
          <w:noProof/>
        </w:rPr>
        <w:t>46</w:t>
      </w:r>
      <w:r>
        <w:rPr>
          <w:noProof/>
        </w:rPr>
        <w:t xml:space="preserve"> kg provenite din pahare pentru băuturi</w:t>
      </w:r>
      <w:r>
        <w:rPr>
          <w:rStyle w:val="FootnoteReference"/>
          <w:iCs/>
          <w:noProof/>
        </w:rPr>
        <w:footnoteReference w:id="2"/>
      </w:r>
      <w:r>
        <w:rPr>
          <w:noProof/>
        </w:rPr>
        <w:t xml:space="preserve"> (valorile fiind identice și pentru subsetul care include numai statele membre ale UE). Greutatea totală, inclusiv componentele din alte materiale decât plasticul, a fost de </w:t>
      </w:r>
      <w:r w:rsidRPr="00F249C9">
        <w:rPr>
          <w:noProof/>
        </w:rPr>
        <w:t>637</w:t>
      </w:r>
      <w:r>
        <w:rPr>
          <w:noProof/>
        </w:rPr>
        <w:t> </w:t>
      </w:r>
      <w:r w:rsidRPr="00F249C9">
        <w:rPr>
          <w:noProof/>
        </w:rPr>
        <w:t>456</w:t>
      </w:r>
      <w:r>
        <w:rPr>
          <w:noProof/>
        </w:rPr>
        <w:t xml:space="preserve"> de tone pentru recipientele pentru alimente (din care </w:t>
      </w:r>
      <w:r w:rsidRPr="00F249C9">
        <w:rPr>
          <w:noProof/>
        </w:rPr>
        <w:t>634</w:t>
      </w:r>
      <w:r>
        <w:rPr>
          <w:noProof/>
        </w:rPr>
        <w:t> </w:t>
      </w:r>
      <w:r w:rsidRPr="00F249C9">
        <w:rPr>
          <w:noProof/>
        </w:rPr>
        <w:t>744</w:t>
      </w:r>
      <w:r>
        <w:rPr>
          <w:noProof/>
        </w:rPr>
        <w:t xml:space="preserve"> de tone din statele membre ale UE) și de </w:t>
      </w:r>
      <w:r w:rsidRPr="00F249C9">
        <w:rPr>
          <w:noProof/>
        </w:rPr>
        <w:t>218</w:t>
      </w:r>
      <w:r>
        <w:rPr>
          <w:noProof/>
        </w:rPr>
        <w:t> </w:t>
      </w:r>
      <w:r w:rsidRPr="00F249C9">
        <w:rPr>
          <w:noProof/>
        </w:rPr>
        <w:t>469</w:t>
      </w:r>
      <w:r>
        <w:rPr>
          <w:noProof/>
        </w:rPr>
        <w:t xml:space="preserve"> de tone pentru paharele pentru băuturi (din care </w:t>
      </w:r>
      <w:r w:rsidRPr="00F249C9">
        <w:rPr>
          <w:noProof/>
        </w:rPr>
        <w:t>218</w:t>
      </w:r>
      <w:r>
        <w:rPr>
          <w:noProof/>
        </w:rPr>
        <w:t> </w:t>
      </w:r>
      <w:r w:rsidRPr="00F249C9">
        <w:rPr>
          <w:noProof/>
        </w:rPr>
        <w:t>092</w:t>
      </w:r>
      <w:r>
        <w:rPr>
          <w:noProof/>
        </w:rPr>
        <w:t xml:space="preserve"> de tone din statele membre ale UE). Pentru produsele fabricate parțial din plastic, conținutul mediu de plastic (calculat ca medie pentru statele UE și SEE-AELS) a reprezentat </w:t>
      </w:r>
      <w:r w:rsidRPr="00F249C9">
        <w:rPr>
          <w:noProof/>
        </w:rPr>
        <w:t>27</w:t>
      </w:r>
      <w:r>
        <w:rPr>
          <w:noProof/>
        </w:rPr>
        <w:t>,</w:t>
      </w:r>
      <w:r w:rsidRPr="00F249C9">
        <w:rPr>
          <w:noProof/>
        </w:rPr>
        <w:t>8</w:t>
      </w:r>
      <w:r>
        <w:rPr>
          <w:noProof/>
        </w:rPr>
        <w:t xml:space="preserve"> % din greutatea totală în cazul paharelor pentru băuturi și aproximativ </w:t>
      </w:r>
      <w:r w:rsidRPr="00F249C9">
        <w:rPr>
          <w:noProof/>
        </w:rPr>
        <w:t>30</w:t>
      </w:r>
      <w:r>
        <w:rPr>
          <w:noProof/>
        </w:rPr>
        <w:t xml:space="preserve"> % în cazul recipientelor pentru alimente (valorile fiind aproape identice pentru subsetul care include numai statele membre ale UE). Valorile raportate pentru recipientele pentru alimente au fost influențate semnificativ de un număr mic de țări care au raportat valori foarte ridicate (a se vedea figurile </w:t>
      </w:r>
      <w:r w:rsidRPr="00F249C9">
        <w:rPr>
          <w:noProof/>
        </w:rPr>
        <w:t>2</w:t>
      </w:r>
      <w:r>
        <w:rPr>
          <w:noProof/>
        </w:rPr>
        <w:t xml:space="preserve"> și </w:t>
      </w:r>
      <w:r w:rsidRPr="00F249C9">
        <w:rPr>
          <w:noProof/>
        </w:rPr>
        <w:t>3</w:t>
      </w:r>
      <w:r>
        <w:rPr>
          <w:noProof/>
        </w:rPr>
        <w:t xml:space="preserve">). Per ansamblu, cantitățile raportate reprezintă </w:t>
      </w:r>
      <w:r w:rsidRPr="00F249C9">
        <w:rPr>
          <w:noProof/>
        </w:rPr>
        <w:t>7</w:t>
      </w:r>
      <w:r>
        <w:rPr>
          <w:noProof/>
        </w:rPr>
        <w:t>,</w:t>
      </w:r>
      <w:r w:rsidRPr="00F249C9">
        <w:rPr>
          <w:noProof/>
        </w:rPr>
        <w:t>9</w:t>
      </w:r>
      <w:r>
        <w:rPr>
          <w:noProof/>
        </w:rPr>
        <w:t> % din volumul deșeurilor de ambalaje din plastic</w:t>
      </w:r>
      <w:r>
        <w:rPr>
          <w:rStyle w:val="FootnoteReference"/>
          <w:noProof/>
          <w:lang w:val="en-GB"/>
        </w:rPr>
        <w:footnoteReference w:id="3"/>
      </w:r>
      <w:r>
        <w:rPr>
          <w:noProof/>
        </w:rPr>
        <w:t xml:space="preserve"> generate în aceleași țări.</w:t>
      </w:r>
    </w:p>
    <w:p w14:paraId="0333601F" w14:textId="4C10B45A" w:rsidR="00080A0F" w:rsidRDefault="004E2473" w:rsidP="00010AFC">
      <w:pPr>
        <w:rPr>
          <w:iCs/>
          <w:noProof/>
        </w:rPr>
      </w:pPr>
      <w:r>
        <w:rPr>
          <w:noProof/>
        </w:rPr>
        <w:t xml:space="preserve">Pe baza numărului de produse [figura </w:t>
      </w:r>
      <w:r w:rsidRPr="00F249C9">
        <w:rPr>
          <w:noProof/>
        </w:rPr>
        <w:t>1</w:t>
      </w:r>
      <w:r>
        <w:rPr>
          <w:noProof/>
        </w:rPr>
        <w:t xml:space="preserve">(b)], în </w:t>
      </w:r>
      <w:r w:rsidRPr="00F249C9">
        <w:rPr>
          <w:noProof/>
        </w:rPr>
        <w:t>2022</w:t>
      </w:r>
      <w:r>
        <w:rPr>
          <w:noProof/>
        </w:rPr>
        <w:t xml:space="preserve"> au fost raportate ca fiind introduse pe piață </w:t>
      </w:r>
      <w:r w:rsidRPr="00F249C9">
        <w:rPr>
          <w:noProof/>
        </w:rPr>
        <w:t>17</w:t>
      </w:r>
      <w:r>
        <w:rPr>
          <w:noProof/>
        </w:rPr>
        <w:t>,</w:t>
      </w:r>
      <w:r w:rsidRPr="00F249C9">
        <w:rPr>
          <w:noProof/>
        </w:rPr>
        <w:t>3</w:t>
      </w:r>
      <w:r w:rsidR="00F249C9">
        <w:rPr>
          <w:noProof/>
        </w:rPr>
        <w:t> </w:t>
      </w:r>
      <w:r>
        <w:rPr>
          <w:noProof/>
        </w:rPr>
        <w:t xml:space="preserve">miliarde de pahare pentru băuturi (din care </w:t>
      </w:r>
      <w:r w:rsidRPr="00F249C9">
        <w:rPr>
          <w:noProof/>
        </w:rPr>
        <w:t>17</w:t>
      </w:r>
      <w:r>
        <w:rPr>
          <w:noProof/>
        </w:rPr>
        <w:t xml:space="preserve"> miliarde în statele membre ale UE) și </w:t>
      </w:r>
      <w:r w:rsidRPr="00F249C9">
        <w:rPr>
          <w:noProof/>
        </w:rPr>
        <w:t>111</w:t>
      </w:r>
      <w:r>
        <w:rPr>
          <w:noProof/>
        </w:rPr>
        <w:t>,</w:t>
      </w:r>
      <w:r w:rsidRPr="00F249C9">
        <w:rPr>
          <w:noProof/>
        </w:rPr>
        <w:t>1</w:t>
      </w:r>
      <w:r w:rsidR="00F249C9">
        <w:rPr>
          <w:noProof/>
        </w:rPr>
        <w:t> </w:t>
      </w:r>
      <w:r>
        <w:rPr>
          <w:noProof/>
        </w:rPr>
        <w:t xml:space="preserve">miliarde de recipiente pentru alimente (din care </w:t>
      </w:r>
      <w:r w:rsidRPr="00F249C9">
        <w:rPr>
          <w:noProof/>
        </w:rPr>
        <w:t>111</w:t>
      </w:r>
      <w:r>
        <w:rPr>
          <w:noProof/>
        </w:rPr>
        <w:t>,</w:t>
      </w:r>
      <w:r w:rsidRPr="00F249C9">
        <w:rPr>
          <w:noProof/>
        </w:rPr>
        <w:t>06</w:t>
      </w:r>
      <w:r>
        <w:rPr>
          <w:noProof/>
        </w:rPr>
        <w:t xml:space="preserve"> miliarde în statele membre ale UE). Aceste valori totale corespund unui număr de </w:t>
      </w:r>
      <w:r w:rsidRPr="00F249C9">
        <w:rPr>
          <w:noProof/>
        </w:rPr>
        <w:t>95</w:t>
      </w:r>
      <w:r>
        <w:rPr>
          <w:noProof/>
        </w:rPr>
        <w:t>,</w:t>
      </w:r>
      <w:r w:rsidRPr="00F249C9">
        <w:rPr>
          <w:noProof/>
        </w:rPr>
        <w:t>9</w:t>
      </w:r>
      <w:r>
        <w:rPr>
          <w:noProof/>
        </w:rPr>
        <w:t xml:space="preserve"> pahare pentru băuturi pe cap de locuitor (</w:t>
      </w:r>
      <w:r w:rsidRPr="00F249C9">
        <w:rPr>
          <w:noProof/>
        </w:rPr>
        <w:t>97</w:t>
      </w:r>
      <w:r>
        <w:rPr>
          <w:noProof/>
        </w:rPr>
        <w:t xml:space="preserve"> pentru statele membre ale UE) și de </w:t>
      </w:r>
      <w:r w:rsidRPr="00F249C9">
        <w:rPr>
          <w:noProof/>
        </w:rPr>
        <w:t>616</w:t>
      </w:r>
      <w:r>
        <w:rPr>
          <w:noProof/>
        </w:rPr>
        <w:t>,</w:t>
      </w:r>
      <w:r w:rsidRPr="00F249C9">
        <w:rPr>
          <w:noProof/>
        </w:rPr>
        <w:t>7</w:t>
      </w:r>
      <w:r>
        <w:rPr>
          <w:noProof/>
        </w:rPr>
        <w:t xml:space="preserve"> recipiente pentru alimente pe cap de locuitor (</w:t>
      </w:r>
      <w:r w:rsidRPr="00F249C9">
        <w:rPr>
          <w:noProof/>
        </w:rPr>
        <w:t>636</w:t>
      </w:r>
      <w:r>
        <w:rPr>
          <w:noProof/>
        </w:rPr>
        <w:t xml:space="preserve"> pentru statele membre ale UE). </w:t>
      </w:r>
      <w:r w:rsidRPr="00F249C9">
        <w:rPr>
          <w:noProof/>
        </w:rPr>
        <w:t>88</w:t>
      </w:r>
      <w:r>
        <w:rPr>
          <w:noProof/>
        </w:rPr>
        <w:t>,</w:t>
      </w:r>
      <w:r w:rsidRPr="00F249C9">
        <w:rPr>
          <w:noProof/>
        </w:rPr>
        <w:t>5</w:t>
      </w:r>
      <w:r>
        <w:rPr>
          <w:noProof/>
        </w:rPr>
        <w:t> % din numărul total de produse (</w:t>
      </w:r>
      <w:r w:rsidRPr="00F249C9">
        <w:rPr>
          <w:noProof/>
        </w:rPr>
        <w:t>88</w:t>
      </w:r>
      <w:r>
        <w:rPr>
          <w:noProof/>
        </w:rPr>
        <w:t>,</w:t>
      </w:r>
      <w:r w:rsidRPr="00F249C9">
        <w:rPr>
          <w:noProof/>
        </w:rPr>
        <w:t>8</w:t>
      </w:r>
      <w:r>
        <w:rPr>
          <w:noProof/>
        </w:rPr>
        <w:t xml:space="preserve"> % pentru statele membre ale UE) au fost produse fabricate integral din plastic. </w:t>
      </w:r>
      <w:bookmarkStart w:id="19" w:name="_Ref180143188"/>
    </w:p>
    <w:p w14:paraId="332914E6" w14:textId="77754066" w:rsidR="00026E6D" w:rsidRPr="00627F8D" w:rsidRDefault="00026E6D" w:rsidP="007C798B">
      <w:pPr>
        <w:pStyle w:val="Caption"/>
        <w:rPr>
          <w:noProof/>
        </w:rPr>
      </w:pPr>
      <w:r w:rsidRPr="00627F8D">
        <w:rPr>
          <w:noProof/>
        </w:rPr>
        <w:t xml:space="preserve">Figura </w:t>
      </w:r>
      <w:r w:rsidRPr="00627F8D">
        <w:rPr>
          <w:noProof/>
        </w:rPr>
        <w:fldChar w:fldCharType="begin"/>
      </w:r>
      <w:r w:rsidRPr="00627F8D">
        <w:rPr>
          <w:noProof/>
        </w:rPr>
        <w:instrText xml:space="preserve"> SEQ Figure \* ARABIC </w:instrText>
      </w:r>
      <w:r w:rsidRPr="00627F8D">
        <w:rPr>
          <w:noProof/>
        </w:rPr>
        <w:fldChar w:fldCharType="separate"/>
      </w:r>
      <w:r w:rsidRPr="00627F8D">
        <w:rPr>
          <w:noProof/>
        </w:rPr>
        <w:t>1</w:t>
      </w:r>
      <w:r w:rsidRPr="00627F8D">
        <w:rPr>
          <w:noProof/>
        </w:rPr>
        <w:fldChar w:fldCharType="end"/>
      </w:r>
      <w:r w:rsidRPr="00627F8D">
        <w:rPr>
          <w:noProof/>
        </w:rPr>
        <w:t>: Pahare pentru băuturi și recipiente pentru alimente, fabricate din plastic și de unică folosință, introduse pe piață în UE în 2022, valori absolute totale bazate pe greutate (a) și pe numărul de produse (b).</w:t>
      </w:r>
    </w:p>
    <w:p w14:paraId="2CE773FE" w14:textId="683478FF" w:rsidR="007935D1" w:rsidRDefault="005C0D15" w:rsidP="00B82F49">
      <w:pPr>
        <w:keepNext/>
        <w:jc w:val="center"/>
        <w:rPr>
          <w:noProof/>
        </w:rPr>
      </w:pPr>
      <w:r>
        <w:rPr>
          <w:noProof/>
          <w:lang w:val="en-GB" w:eastAsia="en-GB"/>
        </w:rPr>
        <mc:AlternateContent>
          <mc:Choice Requires="wps">
            <w:drawing>
              <wp:anchor distT="45720" distB="45720" distL="114300" distR="114300" simplePos="0" relativeHeight="251658240" behindDoc="0" locked="0" layoutInCell="1" allowOverlap="1" wp14:anchorId="379B07FF" wp14:editId="5A2C125C">
                <wp:simplePos x="0" y="0"/>
                <wp:positionH relativeFrom="column">
                  <wp:posOffset>2695575</wp:posOffset>
                </wp:positionH>
                <wp:positionV relativeFrom="paragraph">
                  <wp:posOffset>94615</wp:posOffset>
                </wp:positionV>
                <wp:extent cx="409575" cy="4095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409575"/>
                        </a:xfrm>
                        <a:prstGeom prst="rect">
                          <a:avLst/>
                        </a:prstGeom>
                        <a:noFill/>
                        <a:ln w="9525">
                          <a:noFill/>
                          <a:miter lim="800000"/>
                          <a:headEnd/>
                          <a:tailEnd/>
                        </a:ln>
                      </wps:spPr>
                      <wps:txbx>
                        <w:txbxContent>
                          <w:p w14:paraId="42DEC930" w14:textId="77777777" w:rsidR="003967B4" w:rsidRPr="00E444C6" w:rsidRDefault="003967B4" w:rsidP="00B82F49">
                            <w:pPr>
                              <w:keepNext/>
                            </w:pP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9B07FF" id="_x0000_t202" coordsize="21600,21600" o:spt="202" path="m,l,21600r21600,l21600,xe">
                <v:stroke joinstyle="miter"/>
                <v:path gradientshapeok="t" o:connecttype="rect"/>
              </v:shapetype>
              <v:shape id="Text Box 2" o:spid="_x0000_s1026" type="#_x0000_t202" style="position:absolute;left:0;text-align:left;margin-left:212.25pt;margin-top:7.45pt;width:32.25pt;height:32.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" filled="f" stroked="f">
                <v:textbox>
                  <w:txbxContent>
                    <w:p w14:paraId="42DEC930" w14:textId="77777777" w:rsidR="003967B4" w:rsidRPr="00E444C6" w:rsidRDefault="003967B4" w:rsidP="00B82F49">
                      <w:pPr>
                        <w:keepNext/>
                      </w:pPr>
                      <w:r>
                        <w:t>(a)</w:t>
                      </w:r>
                    </w:p>
                  </w:txbxContent>
                </v:textbox>
              </v:shape>
            </w:pict>
          </mc:Fallback>
        </mc:AlternateContent>
      </w:r>
    </w:p>
    <w:p w14:paraId="386A40FF" w14:textId="289B4FF1" w:rsidR="008E2604" w:rsidRPr="002209CE" w:rsidRDefault="008E2604" w:rsidP="00B82F49">
      <w:pPr>
        <w:keepNext/>
        <w:jc w:val="center"/>
        <w:rPr>
          <w:noProof/>
          <w:lang w:val="fr-BE"/>
        </w:rPr>
      </w:pPr>
    </w:p>
    <w:p w14:paraId="65F8689C" w14:textId="4F3935CB" w:rsidR="00AE01E1" w:rsidRPr="008421AF" w:rsidRDefault="003A42FB" w:rsidP="001B4E4A">
      <w:pPr>
        <w:jc w:val="center"/>
        <w:rPr>
          <w:noProof/>
        </w:rPr>
      </w:pPr>
      <w:r>
        <w:rPr>
          <w:noProof/>
          <w:lang w:val="en-GB" w:eastAsia="en-GB"/>
        </w:rPr>
        <w:drawing>
          <wp:inline distT="0" distB="0" distL="0" distR="0" wp14:anchorId="1C422EBF" wp14:editId="4828E641">
            <wp:extent cx="4028400" cy="1897200"/>
            <wp:effectExtent l="0" t="0" r="0" b="8255"/>
            <wp:docPr id="1922348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28400" cy="1897200"/>
                    </a:xfrm>
                    <a:prstGeom prst="rect">
                      <a:avLst/>
                    </a:prstGeom>
                    <a:noFill/>
                  </pic:spPr>
                </pic:pic>
              </a:graphicData>
            </a:graphic>
          </wp:inline>
        </w:drawing>
      </w:r>
    </w:p>
    <w:p w14:paraId="16ADC93D" w14:textId="787AD6BB" w:rsidR="007935D1" w:rsidRDefault="007935D1" w:rsidP="001B4E4A">
      <w:pPr>
        <w:jc w:val="center"/>
        <w:rPr>
          <w:noProof/>
        </w:rPr>
      </w:pPr>
      <w:r>
        <w:rPr>
          <w:noProof/>
          <w:lang w:val="en-GB" w:eastAsia="en-GB"/>
        </w:rPr>
        <mc:AlternateContent>
          <mc:Choice Requires="wps">
            <w:drawing>
              <wp:anchor distT="45720" distB="45720" distL="114300" distR="114300" simplePos="0" relativeHeight="251658241" behindDoc="0" locked="0" layoutInCell="1" allowOverlap="1" wp14:anchorId="3E3A2867" wp14:editId="1B8CB0CF">
                <wp:simplePos x="0" y="0"/>
                <wp:positionH relativeFrom="column">
                  <wp:posOffset>2681785</wp:posOffset>
                </wp:positionH>
                <wp:positionV relativeFrom="paragraph">
                  <wp:posOffset>138307</wp:posOffset>
                </wp:positionV>
                <wp:extent cx="514350" cy="450376"/>
                <wp:effectExtent l="0" t="0" r="0" b="0"/>
                <wp:wrapNone/>
                <wp:docPr id="1178049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50376"/>
                        </a:xfrm>
                        <a:prstGeom prst="rect">
                          <a:avLst/>
                        </a:prstGeom>
                        <a:noFill/>
                        <a:ln w="9525">
                          <a:noFill/>
                          <a:miter lim="800000"/>
                          <a:headEnd/>
                          <a:tailEnd/>
                        </a:ln>
                      </wps:spPr>
                      <wps:txbx>
                        <w:txbxContent>
                          <w:p w14:paraId="66804EAE" w14:textId="5A676994" w:rsidR="003967B4" w:rsidRPr="00E444C6" w:rsidRDefault="003967B4" w:rsidP="003967B4">
                            <w:r>
                              <w:t>(b)</w:t>
                            </w:r>
                          </w:p>
                          <w:p w14:paraId="63575CC0" w14:textId="77777777" w:rsidR="003967B4" w:rsidRPr="00D74453" w:rsidRDefault="003967B4" w:rsidP="003967B4">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A2867" id="_x0000_s1027" type="#_x0000_t202" style="position:absolute;left:0;text-align:left;margin-left:211.15pt;margin-top:10.9pt;width:40.5pt;height:35.4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" filled="f" stroked="f">
                <v:textbox>
                  <w:txbxContent>
                    <w:p w14:paraId="66804EAE" w14:textId="5A676994" w:rsidR="003967B4" w:rsidRPr="00E444C6" w:rsidRDefault="003967B4" w:rsidP="003967B4">
                      <w:r>
                        <w:t>(b)</w:t>
                      </w:r>
                    </w:p>
                    <w:p w14:paraId="63575CC0" w14:textId="77777777" w:rsidR="003967B4" w:rsidRPr="00D74453" w:rsidRDefault="003967B4" w:rsidP="003967B4">
                      <w:pPr>
                        <w:rPr>
                          <w:lang w:val="en-GB"/>
                        </w:rPr>
                      </w:pPr>
                    </w:p>
                  </w:txbxContent>
                </v:textbox>
              </v:shape>
            </w:pict>
          </mc:Fallback>
        </mc:AlternateContent>
      </w:r>
    </w:p>
    <w:p w14:paraId="502FBD62" w14:textId="1D39C1AD" w:rsidR="00EE1E50" w:rsidRDefault="00760BF4" w:rsidP="001B4E4A">
      <w:pPr>
        <w:jc w:val="center"/>
        <w:rPr>
          <w:noProof/>
        </w:rPr>
      </w:pPr>
      <w:r>
        <w:rPr>
          <w:noProof/>
          <w:lang w:val="en-GB" w:eastAsia="en-GB"/>
        </w:rPr>
        <w:drawing>
          <wp:inline distT="0" distB="0" distL="0" distR="0" wp14:anchorId="79A4EE16" wp14:editId="45534916">
            <wp:extent cx="3729600" cy="1778400"/>
            <wp:effectExtent l="0" t="0" r="4445" b="0"/>
            <wp:docPr id="1302195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29600" cy="1778400"/>
                    </a:xfrm>
                    <a:prstGeom prst="rect">
                      <a:avLst/>
                    </a:prstGeom>
                    <a:noFill/>
                  </pic:spPr>
                </pic:pic>
              </a:graphicData>
            </a:graphic>
          </wp:inline>
        </w:drawing>
      </w:r>
    </w:p>
    <w:p w14:paraId="49DBA37E" w14:textId="19DBB0A6" w:rsidR="00FC0CC8" w:rsidRDefault="00FC0CC8" w:rsidP="00010AFC">
      <w:pPr>
        <w:jc w:val="left"/>
        <w:rPr>
          <w:noProof/>
        </w:rPr>
      </w:pPr>
      <w:r>
        <w:rPr>
          <w:noProof/>
        </w:rPr>
        <w:t xml:space="preserve">Notă: Figura </w:t>
      </w:r>
      <w:r w:rsidRPr="00F249C9">
        <w:rPr>
          <w:noProof/>
        </w:rPr>
        <w:t>1</w:t>
      </w:r>
      <w:r>
        <w:rPr>
          <w:noProof/>
        </w:rPr>
        <w:t xml:space="preserve">(a) se bazează pe date din </w:t>
      </w:r>
      <w:r w:rsidRPr="00F249C9">
        <w:rPr>
          <w:noProof/>
        </w:rPr>
        <w:t>20</w:t>
      </w:r>
      <w:r>
        <w:rPr>
          <w:noProof/>
        </w:rPr>
        <w:t xml:space="preserve"> de state membre ale UE. Figura </w:t>
      </w:r>
      <w:r w:rsidRPr="00F249C9">
        <w:rPr>
          <w:noProof/>
        </w:rPr>
        <w:t>1</w:t>
      </w:r>
      <w:r>
        <w:rPr>
          <w:noProof/>
        </w:rPr>
        <w:t xml:space="preserve">(b) se bazează pe date din </w:t>
      </w:r>
      <w:r w:rsidRPr="00F249C9">
        <w:rPr>
          <w:noProof/>
        </w:rPr>
        <w:t>11</w:t>
      </w:r>
      <w:r>
        <w:rPr>
          <w:noProof/>
        </w:rPr>
        <w:t xml:space="preserve"> state membre ale UE. A se vedea defalcarea pe țări din figura </w:t>
      </w:r>
      <w:r w:rsidRPr="00F249C9">
        <w:rPr>
          <w:noProof/>
        </w:rPr>
        <w:t>2</w:t>
      </w:r>
      <w:r>
        <w:rPr>
          <w:noProof/>
        </w:rPr>
        <w:t>.</w:t>
      </w:r>
    </w:p>
    <w:p w14:paraId="19FD90A0" w14:textId="77777777" w:rsidR="00026E6D" w:rsidRPr="00627F8D" w:rsidRDefault="00026E6D" w:rsidP="00026E6D">
      <w:pPr>
        <w:pStyle w:val="Caption"/>
        <w:rPr>
          <w:noProof/>
        </w:rPr>
      </w:pPr>
      <w:bookmarkStart w:id="20" w:name="_Ref182838090"/>
      <w:r w:rsidRPr="00627F8D">
        <w:rPr>
          <w:noProof/>
        </w:rPr>
        <w:t xml:space="preserve">Figura </w:t>
      </w:r>
      <w:r w:rsidRPr="00627F8D">
        <w:rPr>
          <w:noProof/>
        </w:rPr>
        <w:fldChar w:fldCharType="begin"/>
      </w:r>
      <w:r w:rsidRPr="00627F8D">
        <w:rPr>
          <w:noProof/>
        </w:rPr>
        <w:instrText xml:space="preserve"> SEQ Figure \* ARABIC </w:instrText>
      </w:r>
      <w:r w:rsidRPr="00627F8D">
        <w:rPr>
          <w:noProof/>
        </w:rPr>
        <w:fldChar w:fldCharType="separate"/>
      </w:r>
      <w:r w:rsidRPr="00627F8D">
        <w:rPr>
          <w:noProof/>
        </w:rPr>
        <w:t>2</w:t>
      </w:r>
      <w:r w:rsidRPr="00627F8D">
        <w:rPr>
          <w:noProof/>
        </w:rPr>
        <w:fldChar w:fldCharType="end"/>
      </w:r>
      <w:bookmarkEnd w:id="20"/>
      <w:r w:rsidRPr="00627F8D">
        <w:rPr>
          <w:noProof/>
        </w:rPr>
        <w:t>: Pahare pentru băuturi și recipiente pentru alimente, fabricate din plastic și de unică folosință, introduse pe piață în 2022 (pentru statele membre ale UE și țările SEE-AELS), valori absolute pe țări, bazate pe greutate (a) și valori pe cap de locuitor (b). Țările care nu apar în grafic nu au raportat date pe baza acestei abordări.</w:t>
      </w:r>
    </w:p>
    <w:bookmarkEnd w:id="19"/>
    <w:p w14:paraId="6741F73D" w14:textId="5698F12F" w:rsidR="00862309" w:rsidRDefault="007303FB" w:rsidP="00B477D8">
      <w:pPr>
        <w:rPr>
          <w:iCs/>
          <w:noProof/>
        </w:rPr>
      </w:pPr>
      <w:r>
        <w:rPr>
          <w:noProof/>
        </w:rPr>
        <w:t xml:space="preserve">Figura </w:t>
      </w:r>
      <w:r w:rsidRPr="00F249C9">
        <w:rPr>
          <w:noProof/>
        </w:rPr>
        <w:t>2</w:t>
      </w:r>
      <w:r>
        <w:rPr>
          <w:noProof/>
        </w:rPr>
        <w:t xml:space="preserve">(a) prezintă datele raportate de țări, iar figura </w:t>
      </w:r>
      <w:r w:rsidRPr="00F249C9">
        <w:rPr>
          <w:noProof/>
        </w:rPr>
        <w:t>2</w:t>
      </w:r>
      <w:r>
        <w:rPr>
          <w:noProof/>
        </w:rPr>
        <w:t xml:space="preserve">(b) valorile pe cap de locuitor, cu variații semnificative între țări. </w:t>
      </w:r>
    </w:p>
    <w:p w14:paraId="4B172C12" w14:textId="77777777" w:rsidR="00BE0B7B" w:rsidRDefault="00BE0B7B" w:rsidP="00B477D8">
      <w:pPr>
        <w:rPr>
          <w:noProof/>
        </w:rPr>
      </w:pPr>
    </w:p>
    <w:p w14:paraId="4B746B49" w14:textId="04DA3ED1" w:rsidR="00FE2CD3" w:rsidRDefault="00E1029F" w:rsidP="00BE0B7B">
      <w:pPr>
        <w:rPr>
          <w:noProof/>
        </w:rPr>
      </w:pPr>
      <w:r>
        <w:rPr>
          <w:noProof/>
          <w:lang w:val="en-GB" w:eastAsia="en-GB"/>
        </w:rPr>
        <mc:AlternateContent>
          <mc:Choice Requires="wps">
            <w:drawing>
              <wp:anchor distT="45720" distB="45720" distL="114300" distR="114300" simplePos="0" relativeHeight="251658243" behindDoc="0" locked="0" layoutInCell="1" allowOverlap="1" wp14:anchorId="1DDF205E" wp14:editId="51CEF52D">
                <wp:simplePos x="0" y="0"/>
                <wp:positionH relativeFrom="column">
                  <wp:posOffset>-812800</wp:posOffset>
                </wp:positionH>
                <wp:positionV relativeFrom="paragraph">
                  <wp:posOffset>3924300</wp:posOffset>
                </wp:positionV>
                <wp:extent cx="7562850" cy="1404620"/>
                <wp:effectExtent l="0" t="0" r="0" b="0"/>
                <wp:wrapNone/>
                <wp:docPr id="6371130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1404620"/>
                        </a:xfrm>
                        <a:prstGeom prst="rect">
                          <a:avLst/>
                        </a:prstGeom>
                        <a:noFill/>
                        <a:ln w="9525">
                          <a:noFill/>
                          <a:miter lim="800000"/>
                          <a:headEnd/>
                          <a:tailEnd/>
                        </a:ln>
                      </wps:spPr>
                      <wps:txbx>
                        <w:txbxContent>
                          <w:p w14:paraId="5FA03128" w14:textId="44D3FDB8" w:rsidR="00E1029F" w:rsidRPr="00E444C6" w:rsidRDefault="00E1029F" w:rsidP="00D74453">
                            <w:pPr>
                              <w:jc w:val="center"/>
                            </w:pPr>
                            <w:r>
                              <w:t>(b)</w:t>
                            </w:r>
                          </w:p>
                          <w:p w14:paraId="1F8AA766" w14:textId="77777777" w:rsidR="00E1029F" w:rsidRPr="00351063" w:rsidRDefault="00E1029F" w:rsidP="00D74453">
                            <w:pPr>
                              <w:jc w:val="cente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DDF205E" id="_x0000_s1028" type="#_x0000_t202" style="position:absolute;left:0;text-align:left;margin-left:-64pt;margin-top:309pt;width:595.5pt;height:110.6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" filled="f" stroked="f">
                <v:textbox style="mso-fit-shape-to-text:t">
                  <w:txbxContent>
                    <w:p w14:paraId="5FA03128" w14:textId="44D3FDB8" w:rsidR="00E1029F" w:rsidRPr="00E444C6" w:rsidRDefault="00E1029F" w:rsidP="00D74453">
                      <w:pPr>
                        <w:jc w:val="center"/>
                      </w:pPr>
                      <w:r>
                        <w:t>(b)</w:t>
                      </w:r>
                    </w:p>
                    <w:p w14:paraId="1F8AA766" w14:textId="77777777" w:rsidR="00E1029F" w:rsidRPr="00351063" w:rsidRDefault="00E1029F" w:rsidP="00D74453">
                      <w:pPr>
                        <w:jc w:val="center"/>
                        <w:rPr>
                          <w:lang w:val="en-GB"/>
                        </w:rPr>
                      </w:pPr>
                    </w:p>
                  </w:txbxContent>
                </v:textbox>
              </v:shape>
            </w:pict>
          </mc:Fallback>
        </mc:AlternateContent>
      </w:r>
      <w:r>
        <w:rPr>
          <w:noProof/>
          <w:lang w:val="en-GB" w:eastAsia="en-GB"/>
        </w:rPr>
        <mc:AlternateContent>
          <mc:Choice Requires="wps">
            <w:drawing>
              <wp:anchor distT="45720" distB="45720" distL="114300" distR="114300" simplePos="0" relativeHeight="251658242" behindDoc="0" locked="0" layoutInCell="1" allowOverlap="1" wp14:anchorId="20518A54" wp14:editId="45FE06EB">
                <wp:simplePos x="0" y="0"/>
                <wp:positionH relativeFrom="column">
                  <wp:posOffset>-908050</wp:posOffset>
                </wp:positionH>
                <wp:positionV relativeFrom="paragraph">
                  <wp:posOffset>-139700</wp:posOffset>
                </wp:positionV>
                <wp:extent cx="7562850" cy="1404620"/>
                <wp:effectExtent l="0" t="0" r="0" b="0"/>
                <wp:wrapNone/>
                <wp:docPr id="436771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1404620"/>
                        </a:xfrm>
                        <a:prstGeom prst="rect">
                          <a:avLst/>
                        </a:prstGeom>
                        <a:noFill/>
                        <a:ln w="9525">
                          <a:noFill/>
                          <a:miter lim="800000"/>
                          <a:headEnd/>
                          <a:tailEnd/>
                        </a:ln>
                      </wps:spPr>
                      <wps:txbx>
                        <w:txbxContent>
                          <w:p w14:paraId="57F2963C" w14:textId="16BCD52C" w:rsidR="00E1029F" w:rsidRPr="00E444C6" w:rsidRDefault="00E1029F" w:rsidP="00D74453">
                            <w:pPr>
                              <w:jc w:val="center"/>
                            </w:pPr>
                            <w:r>
                              <w:t>(a)</w:t>
                            </w:r>
                          </w:p>
                          <w:p w14:paraId="107A5989" w14:textId="77777777" w:rsidR="00E1029F" w:rsidRPr="00D74453" w:rsidRDefault="00E1029F" w:rsidP="00D74453">
                            <w:pPr>
                              <w:jc w:val="cente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0518A54" id="_x0000_s1029" type="#_x0000_t202" style="position:absolute;left:0;text-align:left;margin-left:-71.5pt;margin-top:-11pt;width:595.5pt;height:110.6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" filled="f" stroked="f">
                <v:textbox style="mso-fit-shape-to-text:t">
                  <w:txbxContent>
                    <w:p w14:paraId="57F2963C" w14:textId="16BCD52C" w:rsidR="00E1029F" w:rsidRPr="00E444C6" w:rsidRDefault="00E1029F" w:rsidP="00D74453">
                      <w:pPr>
                        <w:jc w:val="center"/>
                      </w:pPr>
                      <w:r>
                        <w:t>(a)</w:t>
                      </w:r>
                    </w:p>
                    <w:p w14:paraId="107A5989" w14:textId="77777777" w:rsidR="00E1029F" w:rsidRPr="00D74453" w:rsidRDefault="00E1029F" w:rsidP="00D74453">
                      <w:pPr>
                        <w:jc w:val="center"/>
                        <w:rPr>
                          <w:lang w:val="en-GB"/>
                        </w:rPr>
                      </w:pPr>
                    </w:p>
                  </w:txbxContent>
                </v:textbox>
              </v:shape>
            </w:pict>
          </mc:Fallback>
        </mc:AlternateContent>
      </w:r>
      <w:r w:rsidR="00F943B5" w:rsidRPr="00F943B5">
        <w:rPr>
          <w:noProof/>
        </w:rPr>
        <w:t xml:space="preserve"> </w:t>
      </w:r>
      <w:r w:rsidR="006928F9">
        <w:rPr>
          <w:noProof/>
          <w:lang w:val="en-GB" w:eastAsia="en-GB"/>
        </w:rPr>
        <w:drawing>
          <wp:inline distT="0" distB="0" distL="0" distR="0" wp14:anchorId="170C5A5D" wp14:editId="534B51A0">
            <wp:extent cx="5695200" cy="3556800"/>
            <wp:effectExtent l="0" t="0" r="1270" b="5715"/>
            <wp:docPr id="16305729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95200" cy="3556800"/>
                    </a:xfrm>
                    <a:prstGeom prst="rect">
                      <a:avLst/>
                    </a:prstGeom>
                    <a:noFill/>
                  </pic:spPr>
                </pic:pic>
              </a:graphicData>
            </a:graphic>
          </wp:inline>
        </w:drawing>
      </w:r>
    </w:p>
    <w:p w14:paraId="202CB998" w14:textId="6B8D76DC" w:rsidR="002A6F37" w:rsidRDefault="00A83026" w:rsidP="00BE0B7B">
      <w:pPr>
        <w:rPr>
          <w:noProof/>
        </w:rPr>
      </w:pPr>
      <w:r>
        <w:rPr>
          <w:noProof/>
          <w:lang w:val="en-GB" w:eastAsia="en-GB"/>
        </w:rPr>
        <w:drawing>
          <wp:inline distT="0" distB="0" distL="0" distR="0" wp14:anchorId="231DCBA2" wp14:editId="16652BC1">
            <wp:extent cx="5609230" cy="3218118"/>
            <wp:effectExtent l="0" t="0" r="0" b="1905"/>
            <wp:docPr id="11485451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36757" cy="3233911"/>
                    </a:xfrm>
                    <a:prstGeom prst="rect">
                      <a:avLst/>
                    </a:prstGeom>
                    <a:noFill/>
                  </pic:spPr>
                </pic:pic>
              </a:graphicData>
            </a:graphic>
          </wp:inline>
        </w:drawing>
      </w:r>
    </w:p>
    <w:p w14:paraId="0A9ACC62" w14:textId="0473DC00" w:rsidR="00920486" w:rsidRPr="004A0A8E" w:rsidRDefault="00920486" w:rsidP="00BE0B7B">
      <w:pPr>
        <w:rPr>
          <w:noProof/>
        </w:rPr>
      </w:pPr>
      <w:bookmarkStart w:id="21" w:name="_Hlk221708960"/>
      <w:r>
        <w:rPr>
          <w:noProof/>
          <w:sz w:val="20"/>
        </w:rPr>
        <w:t>Notă: Țări SEE-AELS.</w:t>
      </w:r>
      <w:bookmarkEnd w:id="21"/>
    </w:p>
    <w:p w14:paraId="5011351C" w14:textId="77777777" w:rsidR="00026E6D" w:rsidRPr="00627F8D" w:rsidRDefault="00026E6D" w:rsidP="00026E6D">
      <w:pPr>
        <w:pStyle w:val="Caption"/>
        <w:rPr>
          <w:noProof/>
        </w:rPr>
      </w:pPr>
      <w:bookmarkStart w:id="22" w:name="_Ref184305722"/>
      <w:r w:rsidRPr="00627F8D">
        <w:rPr>
          <w:noProof/>
        </w:rPr>
        <w:t xml:space="preserve">Figura </w:t>
      </w:r>
      <w:r w:rsidRPr="00627F8D">
        <w:rPr>
          <w:noProof/>
        </w:rPr>
        <w:fldChar w:fldCharType="begin"/>
      </w:r>
      <w:r w:rsidRPr="00627F8D">
        <w:rPr>
          <w:noProof/>
        </w:rPr>
        <w:instrText xml:space="preserve"> SEQ Figure \* ARABIC </w:instrText>
      </w:r>
      <w:r w:rsidRPr="00627F8D">
        <w:rPr>
          <w:noProof/>
        </w:rPr>
        <w:fldChar w:fldCharType="separate"/>
      </w:r>
      <w:r w:rsidRPr="00627F8D">
        <w:rPr>
          <w:noProof/>
        </w:rPr>
        <w:t>3</w:t>
      </w:r>
      <w:r w:rsidRPr="00627F8D">
        <w:rPr>
          <w:noProof/>
        </w:rPr>
        <w:fldChar w:fldCharType="end"/>
      </w:r>
      <w:bookmarkEnd w:id="22"/>
      <w:r w:rsidRPr="00627F8D">
        <w:rPr>
          <w:noProof/>
        </w:rPr>
        <w:t>: Pahare pentru băuturi și recipiente pentru alimente, fabricate din plastic și de unică folosință, introduse pe piață în 2022 (statele membre ale UE și țările SEE-AELS): valori absolute pe țări, pe baza numărului de produse (a) și valori pe cap de locuitor (b). Țările care nu apar în grafic nu au raportat date pe baza acestei abordări.</w:t>
      </w:r>
    </w:p>
    <w:p w14:paraId="0686452B" w14:textId="693D5ADF" w:rsidR="005F4D45" w:rsidRPr="004A0A8E" w:rsidRDefault="00055A84" w:rsidP="007C798B">
      <w:pPr>
        <w:keepNext/>
        <w:rPr>
          <w:iCs/>
          <w:noProof/>
        </w:rPr>
      </w:pPr>
      <w:r>
        <w:rPr>
          <w:noProof/>
        </w:rPr>
        <w:t xml:space="preserve">Figura </w:t>
      </w:r>
      <w:r w:rsidRPr="00F249C9">
        <w:rPr>
          <w:noProof/>
        </w:rPr>
        <w:t>3</w:t>
      </w:r>
      <w:r>
        <w:rPr>
          <w:noProof/>
        </w:rPr>
        <w:t xml:space="preserve"> prezintă datele raportate pe baza numărului de produse, atât în cantități absolute (a), cât și sub formă de valori pe cap de locuitor (b).</w:t>
      </w:r>
    </w:p>
    <w:p w14:paraId="4777B805" w14:textId="71D41B0A" w:rsidR="003C08B2" w:rsidRDefault="007C798B" w:rsidP="003C08B2">
      <w:pPr>
        <w:jc w:val="center"/>
        <w:rPr>
          <w:noProof/>
        </w:rPr>
      </w:pPr>
      <w:bookmarkStart w:id="23" w:name="_Ref181953056"/>
      <w:bookmarkStart w:id="24" w:name="_Ref183428808"/>
      <w:r>
        <w:rPr>
          <w:noProof/>
          <w:lang w:val="en-GB" w:eastAsia="en-GB"/>
        </w:rPr>
        <mc:AlternateContent>
          <mc:Choice Requires="wps">
            <w:drawing>
              <wp:anchor distT="45720" distB="45720" distL="114300" distR="114300" simplePos="0" relativeHeight="251658244" behindDoc="0" locked="0" layoutInCell="1" allowOverlap="1" wp14:anchorId="553718C5" wp14:editId="60627398">
                <wp:simplePos x="0" y="0"/>
                <wp:positionH relativeFrom="column">
                  <wp:posOffset>-923925</wp:posOffset>
                </wp:positionH>
                <wp:positionV relativeFrom="paragraph">
                  <wp:posOffset>-3175</wp:posOffset>
                </wp:positionV>
                <wp:extent cx="7562850" cy="400050"/>
                <wp:effectExtent l="0" t="0" r="0" b="0"/>
                <wp:wrapNone/>
                <wp:docPr id="16276185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400050"/>
                        </a:xfrm>
                        <a:prstGeom prst="rect">
                          <a:avLst/>
                        </a:prstGeom>
                        <a:noFill/>
                        <a:ln w="9525">
                          <a:noFill/>
                          <a:miter lim="800000"/>
                          <a:headEnd/>
                          <a:tailEnd/>
                        </a:ln>
                      </wps:spPr>
                      <wps:txbx>
                        <w:txbxContent>
                          <w:p w14:paraId="290C1E65" w14:textId="6FDC5AB1" w:rsidR="00E1029F" w:rsidRPr="00E444C6" w:rsidRDefault="00E1029F" w:rsidP="007C798B">
                            <w:pPr>
                              <w:keepNext/>
                              <w:jc w:val="center"/>
                            </w:pPr>
                            <w:r>
                              <w:t>(a)</w:t>
                            </w:r>
                          </w:p>
                          <w:p w14:paraId="50F6C528" w14:textId="77777777" w:rsidR="00E1029F" w:rsidRPr="00C349FC" w:rsidRDefault="00E1029F" w:rsidP="007C798B">
                            <w:pPr>
                              <w:keepNext/>
                              <w:jc w:val="cente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3718C5" id="_x0000_s1030" type="#_x0000_t202" style="position:absolute;left:0;text-align:left;margin-left:-72.75pt;margin-top:-.25pt;width:595.5pt;height:31.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" filled="f" stroked="f">
                <v:textbox>
                  <w:txbxContent>
                    <w:p w14:paraId="290C1E65" w14:textId="6FDC5AB1" w:rsidR="00E1029F" w:rsidRPr="00E444C6" w:rsidRDefault="00E1029F" w:rsidP="007C798B">
                      <w:pPr>
                        <w:keepNext/>
                        <w:jc w:val="center"/>
                      </w:pPr>
                      <w:r>
                        <w:t>(a)</w:t>
                      </w:r>
                    </w:p>
                    <w:p w14:paraId="50F6C528" w14:textId="77777777" w:rsidR="00E1029F" w:rsidRPr="00C349FC" w:rsidRDefault="00E1029F" w:rsidP="007C798B">
                      <w:pPr>
                        <w:keepNext/>
                        <w:jc w:val="center"/>
                        <w:rPr>
                          <w:lang w:val="en-GB"/>
                        </w:rPr>
                      </w:pPr>
                    </w:p>
                  </w:txbxContent>
                </v:textbox>
              </v:shape>
            </w:pict>
          </mc:Fallback>
        </mc:AlternateContent>
      </w:r>
      <w:r w:rsidR="00E1029F">
        <w:rPr>
          <w:noProof/>
          <w:lang w:val="en-GB" w:eastAsia="en-GB"/>
        </w:rPr>
        <mc:AlternateContent>
          <mc:Choice Requires="wps">
            <w:drawing>
              <wp:anchor distT="45720" distB="45720" distL="114300" distR="114300" simplePos="0" relativeHeight="251658245" behindDoc="0" locked="0" layoutInCell="1" allowOverlap="1" wp14:anchorId="585A87D6" wp14:editId="4C19AA3D">
                <wp:simplePos x="0" y="0"/>
                <wp:positionH relativeFrom="column">
                  <wp:posOffset>-920750</wp:posOffset>
                </wp:positionH>
                <wp:positionV relativeFrom="paragraph">
                  <wp:posOffset>3294380</wp:posOffset>
                </wp:positionV>
                <wp:extent cx="7562850" cy="1404620"/>
                <wp:effectExtent l="0" t="0" r="0" b="0"/>
                <wp:wrapNone/>
                <wp:docPr id="15816574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1404620"/>
                        </a:xfrm>
                        <a:prstGeom prst="rect">
                          <a:avLst/>
                        </a:prstGeom>
                        <a:noFill/>
                        <a:ln w="9525">
                          <a:noFill/>
                          <a:miter lim="800000"/>
                          <a:headEnd/>
                          <a:tailEnd/>
                        </a:ln>
                      </wps:spPr>
                      <wps:txbx>
                        <w:txbxContent>
                          <w:p w14:paraId="3093D013" w14:textId="379F2DF7" w:rsidR="00E1029F" w:rsidRPr="00E444C6" w:rsidRDefault="00E1029F" w:rsidP="00D74453">
                            <w:pPr>
                              <w:jc w:val="center"/>
                            </w:pPr>
                            <w:r>
                              <w:t>(b)</w:t>
                            </w:r>
                          </w:p>
                          <w:p w14:paraId="31A23076" w14:textId="77777777" w:rsidR="00E1029F" w:rsidRPr="00B55F7A" w:rsidRDefault="00E1029F" w:rsidP="00D74453">
                            <w:pPr>
                              <w:jc w:val="cente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85A87D6" id="_x0000_s1031" type="#_x0000_t202" style="position:absolute;left:0;text-align:left;margin-left:-72.5pt;margin-top:259.4pt;width:595.5pt;height:110.6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" filled="f" stroked="f">
                <v:textbox style="mso-fit-shape-to-text:t">
                  <w:txbxContent>
                    <w:p w14:paraId="3093D013" w14:textId="379F2DF7" w:rsidR="00E1029F" w:rsidRPr="00E444C6" w:rsidRDefault="00E1029F" w:rsidP="00D74453">
                      <w:pPr>
                        <w:jc w:val="center"/>
                      </w:pPr>
                      <w:r>
                        <w:t>(b)</w:t>
                      </w:r>
                    </w:p>
                    <w:p w14:paraId="31A23076" w14:textId="77777777" w:rsidR="00E1029F" w:rsidRPr="00B55F7A" w:rsidRDefault="00E1029F" w:rsidP="00D74453">
                      <w:pPr>
                        <w:jc w:val="center"/>
                        <w:rPr>
                          <w:lang w:val="en-GB"/>
                        </w:rPr>
                      </w:pPr>
                    </w:p>
                  </w:txbxContent>
                </v:textbox>
              </v:shape>
            </w:pict>
          </mc:Fallback>
        </mc:AlternateContent>
      </w:r>
      <w:r w:rsidR="00A83026">
        <w:rPr>
          <w:noProof/>
          <w:lang w:val="en-GB" w:eastAsia="en-GB"/>
        </w:rPr>
        <w:drawing>
          <wp:inline distT="0" distB="0" distL="0" distR="0" wp14:anchorId="52476D7F" wp14:editId="63ABF7F3">
            <wp:extent cx="5796000" cy="3304800"/>
            <wp:effectExtent l="0" t="0" r="0" b="0"/>
            <wp:docPr id="695677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96000" cy="3304800"/>
                    </a:xfrm>
                    <a:prstGeom prst="rect">
                      <a:avLst/>
                    </a:prstGeom>
                    <a:noFill/>
                  </pic:spPr>
                </pic:pic>
              </a:graphicData>
            </a:graphic>
          </wp:inline>
        </w:drawing>
      </w:r>
    </w:p>
    <w:p w14:paraId="56DB8583" w14:textId="41ED21FE" w:rsidR="003C08B2" w:rsidRDefault="00A83026" w:rsidP="003C08B2">
      <w:pPr>
        <w:jc w:val="center"/>
        <w:rPr>
          <w:noProof/>
        </w:rPr>
      </w:pPr>
      <w:r>
        <w:rPr>
          <w:noProof/>
          <w:lang w:val="en-GB" w:eastAsia="en-GB"/>
        </w:rPr>
        <w:drawing>
          <wp:inline distT="0" distB="0" distL="0" distR="0" wp14:anchorId="3130084B" wp14:editId="55EA8A89">
            <wp:extent cx="5760000" cy="3333600"/>
            <wp:effectExtent l="0" t="0" r="0" b="635"/>
            <wp:docPr id="19581116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000" cy="3333600"/>
                    </a:xfrm>
                    <a:prstGeom prst="rect">
                      <a:avLst/>
                    </a:prstGeom>
                    <a:noFill/>
                  </pic:spPr>
                </pic:pic>
              </a:graphicData>
            </a:graphic>
          </wp:inline>
        </w:drawing>
      </w:r>
    </w:p>
    <w:p w14:paraId="58AEA361" w14:textId="7DF3FA04" w:rsidR="009F4946" w:rsidRPr="004A0A8E" w:rsidRDefault="009F4946" w:rsidP="009F4946">
      <w:pPr>
        <w:rPr>
          <w:noProof/>
        </w:rPr>
      </w:pPr>
      <w:r>
        <w:rPr>
          <w:noProof/>
          <w:sz w:val="20"/>
        </w:rPr>
        <w:t>Notă: Țări SEE-AELS.</w:t>
      </w:r>
    </w:p>
    <w:p w14:paraId="4D13A09F" w14:textId="034B5E60" w:rsidR="00862309" w:rsidRPr="00627F8D" w:rsidRDefault="00862309" w:rsidP="00862309">
      <w:pPr>
        <w:pStyle w:val="Heading3"/>
        <w:rPr>
          <w:noProof/>
        </w:rPr>
      </w:pPr>
      <w:bookmarkStart w:id="25" w:name="_Toc185251691"/>
      <w:bookmarkStart w:id="26" w:name="_Toc185499249"/>
      <w:bookmarkStart w:id="27" w:name="_Toc221701577"/>
      <w:bookmarkEnd w:id="23"/>
      <w:bookmarkEnd w:id="24"/>
      <w:r w:rsidRPr="00627F8D">
        <w:rPr>
          <w:noProof/>
        </w:rPr>
        <w:t>Elementul B: Măsuri de reducere a consumului de pahare pentru băuturi și recipiente pentru alimente</w:t>
      </w:r>
      <w:bookmarkEnd w:id="25"/>
      <w:bookmarkEnd w:id="26"/>
      <w:bookmarkEnd w:id="27"/>
    </w:p>
    <w:p w14:paraId="4E05F814" w14:textId="51ACA26C" w:rsidR="00862309" w:rsidRDefault="00160B1D" w:rsidP="00862309">
      <w:pPr>
        <w:rPr>
          <w:iCs/>
          <w:noProof/>
        </w:rPr>
      </w:pPr>
      <w:r>
        <w:rPr>
          <w:noProof/>
        </w:rPr>
        <w:t xml:space="preserve">Modelul de raportare a furnizat o listă de măsuri clasificate pe categorii și subcategorii, iar statelor li s-a solicitat să indice care dintre aceste măsuri au fost aplicate. Toate statele au declarat că au utilizat instrumente economice, iar majoritatea au indicat că au adoptat măsuri de sensibilizare și de promovare a alternativelor durabile (figura </w:t>
      </w:r>
      <w:r w:rsidRPr="00F249C9">
        <w:rPr>
          <w:noProof/>
        </w:rPr>
        <w:t>4</w:t>
      </w:r>
      <w:r>
        <w:rPr>
          <w:noProof/>
        </w:rPr>
        <w:t>). Pentru majoritatea statelor, măsurile raportate pentru paharele pentru băuturi și pentru recipientele pentru alimente au fost aceleași.</w:t>
      </w:r>
    </w:p>
    <w:p w14:paraId="22AA5539" w14:textId="77777777" w:rsidR="00026E6D" w:rsidRPr="004A0A8E" w:rsidRDefault="00026E6D" w:rsidP="00026E6D">
      <w:pPr>
        <w:pStyle w:val="Caption"/>
        <w:rPr>
          <w:b w:val="0"/>
          <w:bCs/>
          <w:iCs/>
          <w:noProof/>
        </w:rPr>
      </w:pPr>
      <w:r w:rsidRPr="00627F8D">
        <w:rPr>
          <w:noProof/>
        </w:rPr>
        <w:t xml:space="preserve">Figura </w:t>
      </w:r>
      <w:r w:rsidRPr="00627F8D">
        <w:rPr>
          <w:noProof/>
        </w:rPr>
        <w:fldChar w:fldCharType="begin"/>
      </w:r>
      <w:r w:rsidRPr="00627F8D">
        <w:rPr>
          <w:noProof/>
        </w:rPr>
        <w:instrText xml:space="preserve"> SEQ Figure \* ARABIC </w:instrText>
      </w:r>
      <w:r w:rsidRPr="00627F8D">
        <w:rPr>
          <w:noProof/>
        </w:rPr>
        <w:fldChar w:fldCharType="separate"/>
      </w:r>
      <w:r w:rsidRPr="00627F8D">
        <w:rPr>
          <w:noProof/>
        </w:rPr>
        <w:t>4</w:t>
      </w:r>
      <w:r w:rsidRPr="00627F8D">
        <w:rPr>
          <w:noProof/>
        </w:rPr>
        <w:fldChar w:fldCharType="end"/>
      </w:r>
      <w:r w:rsidRPr="00627F8D">
        <w:rPr>
          <w:noProof/>
        </w:rPr>
        <w:t xml:space="preserve">: Numărul de țări cu măsuri de reducere a consumului în vigoare pentru pahare pentru băuturi și recipiente pentru alimente din plastic de unică folosință în 2022 (statele membre ale UE și țările SEE-AELS). </w:t>
      </w:r>
    </w:p>
    <w:p w14:paraId="4E4C522D" w14:textId="142222F9" w:rsidR="00F77A82" w:rsidRPr="00627F8D" w:rsidRDefault="00F77A82" w:rsidP="00862309">
      <w:pPr>
        <w:jc w:val="center"/>
        <w:rPr>
          <w:i/>
          <w:noProof/>
        </w:rPr>
      </w:pPr>
    </w:p>
    <w:p w14:paraId="3DF342ED" w14:textId="302D3456" w:rsidR="00EA40A2" w:rsidRPr="00627F8D" w:rsidRDefault="002E4722" w:rsidP="00862309">
      <w:pPr>
        <w:jc w:val="center"/>
        <w:rPr>
          <w:i/>
          <w:noProof/>
        </w:rPr>
      </w:pPr>
      <w:r>
        <w:rPr>
          <w:i/>
          <w:noProof/>
          <w:lang w:val="en-GB" w:eastAsia="en-GB"/>
        </w:rPr>
        <w:drawing>
          <wp:inline distT="0" distB="0" distL="0" distR="0" wp14:anchorId="1BBE3FE6" wp14:editId="16C743A7">
            <wp:extent cx="5868000" cy="2948400"/>
            <wp:effectExtent l="0" t="0" r="0" b="4445"/>
            <wp:docPr id="10080143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68000" cy="2948400"/>
                    </a:xfrm>
                    <a:prstGeom prst="rect">
                      <a:avLst/>
                    </a:prstGeom>
                    <a:noFill/>
                  </pic:spPr>
                </pic:pic>
              </a:graphicData>
            </a:graphic>
          </wp:inline>
        </w:drawing>
      </w:r>
    </w:p>
    <w:p w14:paraId="3744D363" w14:textId="48A82235" w:rsidR="00862309" w:rsidRDefault="00862309" w:rsidP="00862309">
      <w:pPr>
        <w:rPr>
          <w:iCs/>
          <w:noProof/>
        </w:rPr>
      </w:pPr>
      <w:r>
        <w:rPr>
          <w:noProof/>
        </w:rPr>
        <w:t>Măsurile sunt adesea legate de politicile privind ambalajele sau de punerea în aplicare a Directivei privind produsele din plastic de unică folosință. Unele dintre măsurile raportate vor intra în vigoare ulterior și nu sunt încă reflectate în prezentul raport.</w:t>
      </w:r>
    </w:p>
    <w:p w14:paraId="104EE1A9" w14:textId="6366CF32" w:rsidR="00862309" w:rsidRPr="007E01C2" w:rsidRDefault="001423E1" w:rsidP="00AA74EE">
      <w:pPr>
        <w:rPr>
          <w:iCs/>
          <w:noProof/>
        </w:rPr>
      </w:pPr>
      <w:r>
        <w:rPr>
          <w:noProof/>
        </w:rPr>
        <w:t>Subcategoriile de măsuri raportate frecvent au fost: (i) obligații privind răspunderea extinsă a producătorilor (</w:t>
      </w:r>
      <w:r w:rsidRPr="00F249C9">
        <w:rPr>
          <w:noProof/>
        </w:rPr>
        <w:t>20</w:t>
      </w:r>
      <w:r>
        <w:rPr>
          <w:noProof/>
        </w:rPr>
        <w:t xml:space="preserve"> de state membre ale UE); (ii) campanii de sensibilizare cu privire la impactul negativ asupra mediului (</w:t>
      </w:r>
      <w:r w:rsidRPr="00F249C9">
        <w:rPr>
          <w:noProof/>
        </w:rPr>
        <w:t>21</w:t>
      </w:r>
      <w:r>
        <w:rPr>
          <w:noProof/>
        </w:rPr>
        <w:t xml:space="preserve"> de state membre ale UE); (iii) promovarea alternativelor durabile la aceste produse din plastic de unică folosință (de exemplu, recipiente reutilizabile pentru alimente) (</w:t>
      </w:r>
      <w:r w:rsidRPr="00F249C9">
        <w:rPr>
          <w:noProof/>
        </w:rPr>
        <w:t>19</w:t>
      </w:r>
      <w:r>
        <w:rPr>
          <w:noProof/>
        </w:rPr>
        <w:t xml:space="preserve"> state membre ale UE); (iv) obligații sau stimulente pentru ca întreprinderile să ofere alternative durabile la produsele din plastic de unică folosință la punctul de vânzare către consumatorul final (</w:t>
      </w:r>
      <w:r w:rsidRPr="00F249C9">
        <w:rPr>
          <w:noProof/>
        </w:rPr>
        <w:t>17</w:t>
      </w:r>
      <w:r>
        <w:rPr>
          <w:noProof/>
        </w:rPr>
        <w:t xml:space="preserve"> state membre ale UE) și (v) promovarea surselor publice gratuite de apă potabilă, care încurajează utilizarea paharelor reutilizabile sau consumul apei de la robinet (</w:t>
      </w:r>
      <w:r w:rsidRPr="00F249C9">
        <w:rPr>
          <w:noProof/>
        </w:rPr>
        <w:t>14</w:t>
      </w:r>
      <w:r>
        <w:rPr>
          <w:noProof/>
        </w:rPr>
        <w:t xml:space="preserve"> state membre ale UE). </w:t>
      </w:r>
      <w:r w:rsidRPr="00F249C9">
        <w:rPr>
          <w:noProof/>
        </w:rPr>
        <w:t>14</w:t>
      </w:r>
      <w:r>
        <w:rPr>
          <w:noProof/>
        </w:rPr>
        <w:t xml:space="preserve"> state membre ale UE au declarat că au introdus obiective cantitative pentru reducerea cantităților de pahare pentru băuturi și de recipiente pentru alimente introduse pe piață care sunt fabricate din plastic și sunt de unică folosință. A se vedea anexa </w:t>
      </w:r>
      <w:r w:rsidRPr="00F249C9">
        <w:rPr>
          <w:noProof/>
        </w:rPr>
        <w:t>1</w:t>
      </w:r>
      <w:r>
        <w:rPr>
          <w:noProof/>
        </w:rPr>
        <w:t xml:space="preserve"> pentru setul complet de măsuri, defalcate pe categorii și subcategorii, precum și anexa </w:t>
      </w:r>
      <w:r w:rsidRPr="00F249C9">
        <w:rPr>
          <w:noProof/>
        </w:rPr>
        <w:t>2</w:t>
      </w:r>
      <w:r>
        <w:rPr>
          <w:noProof/>
        </w:rPr>
        <w:t xml:space="preserve"> pentru detalii privind obiectivele cantitative. </w:t>
      </w:r>
    </w:p>
    <w:p w14:paraId="270C403E" w14:textId="2612174E" w:rsidR="00862309" w:rsidRDefault="00862309" w:rsidP="00862309">
      <w:pPr>
        <w:rPr>
          <w:noProof/>
        </w:rPr>
      </w:pPr>
      <w:r>
        <w:rPr>
          <w:noProof/>
        </w:rPr>
        <w:t xml:space="preserve">Numărul total de măsuri în vigoare a variat de la o țară la alta (figura </w:t>
      </w:r>
      <w:r w:rsidRPr="00F249C9">
        <w:rPr>
          <w:noProof/>
        </w:rPr>
        <w:t>5</w:t>
      </w:r>
      <w:r>
        <w:rPr>
          <w:noProof/>
        </w:rPr>
        <w:t xml:space="preserve">). Este de remarcat faptul că statele au făcut frecvent referire la același instrument de politică în cadrul unor categorii și subcategorii diferite de măsuri. Unele state au indicat mai mult de o politică drept referință pentru o anumită subcategorie. </w:t>
      </w:r>
    </w:p>
    <w:p w14:paraId="3F358644" w14:textId="77777777" w:rsidR="00026E6D" w:rsidRDefault="00026E6D" w:rsidP="00026E6D">
      <w:pPr>
        <w:pStyle w:val="Caption"/>
        <w:rPr>
          <w:b w:val="0"/>
          <w:bCs/>
          <w:iCs/>
          <w:noProof/>
        </w:rPr>
      </w:pPr>
      <w:r w:rsidRPr="00627F8D">
        <w:rPr>
          <w:noProof/>
        </w:rPr>
        <w:t xml:space="preserve">Figura </w:t>
      </w:r>
      <w:r w:rsidRPr="00627F8D">
        <w:rPr>
          <w:noProof/>
        </w:rPr>
        <w:fldChar w:fldCharType="begin"/>
      </w:r>
      <w:r w:rsidRPr="00627F8D">
        <w:rPr>
          <w:noProof/>
        </w:rPr>
        <w:instrText xml:space="preserve"> SEQ Figure \* ARABIC </w:instrText>
      </w:r>
      <w:r w:rsidRPr="00627F8D">
        <w:rPr>
          <w:noProof/>
        </w:rPr>
        <w:fldChar w:fldCharType="separate"/>
      </w:r>
      <w:r w:rsidRPr="00627F8D">
        <w:rPr>
          <w:noProof/>
        </w:rPr>
        <w:t>5</w:t>
      </w:r>
      <w:r w:rsidRPr="00627F8D">
        <w:rPr>
          <w:noProof/>
        </w:rPr>
        <w:fldChar w:fldCharType="end"/>
      </w:r>
      <w:r w:rsidRPr="00627F8D">
        <w:rPr>
          <w:noProof/>
        </w:rPr>
        <w:t>: Măsuri de reducere a consumului în vigoare pentru pahare pentru băuturi și recipiente pentru alimente, fabricate din plastic și de unică folosință, introduse pe piață în 2022 (statele membre ale UE și țările SEE-AELS).</w:t>
      </w:r>
      <w:r>
        <w:rPr>
          <w:b w:val="0"/>
          <w:noProof/>
        </w:rPr>
        <w:t xml:space="preserve"> </w:t>
      </w:r>
    </w:p>
    <w:p w14:paraId="1CB5354A" w14:textId="46F418D0" w:rsidR="00713FA6" w:rsidRDefault="0010564A" w:rsidP="00862309">
      <w:pPr>
        <w:rPr>
          <w:noProof/>
        </w:rPr>
      </w:pPr>
      <w:r>
        <w:rPr>
          <w:noProof/>
          <w:lang w:val="en-GB" w:eastAsia="en-GB"/>
        </w:rPr>
        <w:drawing>
          <wp:inline distT="0" distB="0" distL="0" distR="0" wp14:anchorId="46EC5D03" wp14:editId="5099CE0C">
            <wp:extent cx="5983200" cy="3567600"/>
            <wp:effectExtent l="0" t="0" r="0" b="0"/>
            <wp:docPr id="3397918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83200" cy="3567600"/>
                    </a:xfrm>
                    <a:prstGeom prst="rect">
                      <a:avLst/>
                    </a:prstGeom>
                    <a:noFill/>
                  </pic:spPr>
                </pic:pic>
              </a:graphicData>
            </a:graphic>
          </wp:inline>
        </w:drawing>
      </w:r>
    </w:p>
    <w:p w14:paraId="1FA083B4" w14:textId="2C29B098" w:rsidR="00920486" w:rsidRPr="004A0A8E" w:rsidRDefault="00920486" w:rsidP="00862309">
      <w:pPr>
        <w:rPr>
          <w:noProof/>
        </w:rPr>
      </w:pPr>
      <w:r>
        <w:rPr>
          <w:noProof/>
          <w:sz w:val="20"/>
        </w:rPr>
        <w:t>Notă: Țări SEE-AELS.</w:t>
      </w:r>
    </w:p>
    <w:p w14:paraId="1C820F00" w14:textId="5459C2D5" w:rsidR="00FB1EC8" w:rsidRDefault="00E23101" w:rsidP="00E965E4">
      <w:pPr>
        <w:rPr>
          <w:noProof/>
        </w:rPr>
      </w:pPr>
      <w:r>
        <w:rPr>
          <w:noProof/>
        </w:rPr>
        <w:t xml:space="preserve">Aceste cifre nu oferă nicio indicație cu privire la gradul de asigurare a respectării și la nivelul de punere în aplicare a măsurilor menționate. În plus, nu este posibil să se evalueze dacă măsurile raportate sunt proporționale și nediscriminatorii. </w:t>
      </w:r>
      <w:bookmarkStart w:id="28" w:name="_Ref182494975"/>
      <w:bookmarkStart w:id="29" w:name="_Toc185251692"/>
      <w:bookmarkStart w:id="30" w:name="_Toc185499250"/>
    </w:p>
    <w:p w14:paraId="1AE4009A" w14:textId="2239BFDC" w:rsidR="00862309" w:rsidRPr="00627F8D" w:rsidRDefault="00862309" w:rsidP="00862309">
      <w:pPr>
        <w:pStyle w:val="Heading3"/>
        <w:rPr>
          <w:noProof/>
        </w:rPr>
      </w:pPr>
      <w:bookmarkStart w:id="31" w:name="_Toc221701578"/>
      <w:r w:rsidRPr="00627F8D">
        <w:rPr>
          <w:noProof/>
        </w:rPr>
        <w:t>Elementul C: Colectarea separată a sticlelor din plastic de unică folosință pentru băuturi</w:t>
      </w:r>
      <w:bookmarkEnd w:id="28"/>
      <w:bookmarkEnd w:id="29"/>
      <w:bookmarkEnd w:id="30"/>
      <w:bookmarkEnd w:id="31"/>
    </w:p>
    <w:p w14:paraId="37F7E372" w14:textId="356117FD" w:rsidR="00862309" w:rsidRPr="004A0A8E" w:rsidRDefault="00862309" w:rsidP="00862309">
      <w:pPr>
        <w:rPr>
          <w:noProof/>
        </w:rPr>
      </w:pPr>
      <w:r>
        <w:rPr>
          <w:noProof/>
        </w:rPr>
        <w:t xml:space="preserve">Toate cele </w:t>
      </w:r>
      <w:r w:rsidRPr="00F249C9">
        <w:rPr>
          <w:noProof/>
        </w:rPr>
        <w:t>29</w:t>
      </w:r>
      <w:r>
        <w:rPr>
          <w:noProof/>
        </w:rPr>
        <w:t xml:space="preserve"> de țări (</w:t>
      </w:r>
      <w:r w:rsidRPr="00F249C9">
        <w:rPr>
          <w:noProof/>
        </w:rPr>
        <w:t>27</w:t>
      </w:r>
      <w:r>
        <w:rPr>
          <w:noProof/>
        </w:rPr>
        <w:t xml:space="preserve"> de state membre ale UE și </w:t>
      </w:r>
      <w:r w:rsidRPr="00F249C9">
        <w:rPr>
          <w:noProof/>
        </w:rPr>
        <w:t>2</w:t>
      </w:r>
      <w:r>
        <w:rPr>
          <w:noProof/>
        </w:rPr>
        <w:t xml:space="preserve"> țări SEE-AELS) au raportat date privind greutatea sticlelor din plastic de unică folosință pentru băuturi introduse pe piață. Unele țări au menționat impactul circulației acestor sticle între statele membre ale UE, precum și al exporturilor și importurilor din țări din afara UE, în datele raportate</w:t>
      </w:r>
      <w:r>
        <w:rPr>
          <w:rStyle w:val="FootnoteReference"/>
          <w:iCs/>
          <w:noProof/>
        </w:rPr>
        <w:footnoteReference w:id="4"/>
      </w:r>
      <w:r>
        <w:rPr>
          <w:noProof/>
        </w:rPr>
        <w:t>, dar aceste țări nu au raportat valori separate pentru niciunul dintre aceste fenomene</w:t>
      </w:r>
      <w:r>
        <w:rPr>
          <w:rStyle w:val="FootnoteReference"/>
          <w:iCs/>
          <w:noProof/>
        </w:rPr>
        <w:footnoteReference w:id="5"/>
      </w:r>
      <w:r>
        <w:rPr>
          <w:noProof/>
        </w:rPr>
        <w:t xml:space="preserve">. Patru state membre ale UE au utilizat opțiunea prevăzută în Decizia de punere în aplicare (UE) </w:t>
      </w:r>
      <w:r w:rsidRPr="00F249C9">
        <w:rPr>
          <w:noProof/>
        </w:rPr>
        <w:t>2021</w:t>
      </w:r>
      <w:r>
        <w:rPr>
          <w:noProof/>
        </w:rPr>
        <w:t>/</w:t>
      </w:r>
      <w:r w:rsidRPr="00F249C9">
        <w:rPr>
          <w:noProof/>
        </w:rPr>
        <w:t>1752</w:t>
      </w:r>
      <w:r>
        <w:rPr>
          <w:noProof/>
        </w:rPr>
        <w:t xml:space="preserve"> a Comisiei de a estima cantitățile de sticle introduse pe piață ca fiind greutatea deșeurilor generate de acest produs. În acest caz, statele au avut obligația de a raporta cantitățile pe baza a patru fluxuri de deșeuri: (i) deșeuri colectate separat în conformitate cu cerințele prevăzute în Directiva privind produsele din plastic de unică folosință</w:t>
      </w:r>
      <w:r>
        <w:rPr>
          <w:rStyle w:val="FootnoteReference"/>
          <w:iCs/>
          <w:noProof/>
        </w:rPr>
        <w:footnoteReference w:id="6"/>
      </w:r>
      <w:r>
        <w:rPr>
          <w:noProof/>
        </w:rPr>
        <w:t>; (ii) deșeuri colectate separat, dar care nu sunt conforme cu cerințele Directivei privind produsele din plastic de unică folosință; (iii)</w:t>
      </w:r>
      <w:r w:rsidR="00F249C9">
        <w:rPr>
          <w:noProof/>
        </w:rPr>
        <w:t> </w:t>
      </w:r>
      <w:r>
        <w:rPr>
          <w:noProof/>
        </w:rPr>
        <w:t>deșeuri municipale amestecate; și (iv) deșeuri aruncate în mediul înconjurător. Au fost furnizate date pentru toate fluxurile, cu excepția celui menționat la punctul (ii).</w:t>
      </w:r>
    </w:p>
    <w:p w14:paraId="755535DF" w14:textId="45834E33" w:rsidR="00862309" w:rsidRDefault="00862309" w:rsidP="00862309">
      <w:pPr>
        <w:rPr>
          <w:iCs/>
          <w:noProof/>
        </w:rPr>
      </w:pPr>
      <w:r>
        <w:rPr>
          <w:noProof/>
        </w:rPr>
        <w:t xml:space="preserve">Un total de </w:t>
      </w:r>
      <w:r w:rsidRPr="00F249C9">
        <w:rPr>
          <w:noProof/>
        </w:rPr>
        <w:t>2</w:t>
      </w:r>
      <w:r>
        <w:rPr>
          <w:noProof/>
        </w:rPr>
        <w:t>,</w:t>
      </w:r>
      <w:r w:rsidRPr="00F249C9">
        <w:rPr>
          <w:noProof/>
        </w:rPr>
        <w:t>56</w:t>
      </w:r>
      <w:r>
        <w:rPr>
          <w:noProof/>
        </w:rPr>
        <w:t xml:space="preserve"> milioane de tone (din care </w:t>
      </w:r>
      <w:r w:rsidRPr="00F249C9">
        <w:rPr>
          <w:noProof/>
        </w:rPr>
        <w:t>2</w:t>
      </w:r>
      <w:r>
        <w:rPr>
          <w:noProof/>
        </w:rPr>
        <w:t>,</w:t>
      </w:r>
      <w:r w:rsidRPr="00F249C9">
        <w:rPr>
          <w:noProof/>
        </w:rPr>
        <w:t>54</w:t>
      </w:r>
      <w:r>
        <w:rPr>
          <w:noProof/>
        </w:rPr>
        <w:t xml:space="preserve"> milioane de tone provin din statele membre ale UE) de sticle din plastic de unică folosință pentru băuturi au fost raportate ca fiind introduse pe piață în </w:t>
      </w:r>
      <w:r w:rsidRPr="00F249C9">
        <w:rPr>
          <w:noProof/>
        </w:rPr>
        <w:t>2022</w:t>
      </w:r>
      <w:r>
        <w:rPr>
          <w:noProof/>
        </w:rPr>
        <w:t xml:space="preserve">, corespunzând unei cantități de </w:t>
      </w:r>
      <w:r w:rsidRPr="00F249C9">
        <w:rPr>
          <w:noProof/>
        </w:rPr>
        <w:t>5</w:t>
      </w:r>
      <w:r>
        <w:rPr>
          <w:noProof/>
        </w:rPr>
        <w:t>,</w:t>
      </w:r>
      <w:r w:rsidRPr="00F249C9">
        <w:rPr>
          <w:noProof/>
        </w:rPr>
        <w:t>7</w:t>
      </w:r>
      <w:r>
        <w:rPr>
          <w:noProof/>
        </w:rPr>
        <w:t xml:space="preserve"> kg pe cap de locuitor (valoare aplicabilă și subsetului de state membre ale UE). </w:t>
      </w:r>
      <w:r w:rsidRPr="00F249C9">
        <w:rPr>
          <w:noProof/>
        </w:rPr>
        <w:t>1</w:t>
      </w:r>
      <w:r>
        <w:rPr>
          <w:noProof/>
        </w:rPr>
        <w:t>,</w:t>
      </w:r>
      <w:r w:rsidRPr="00F249C9">
        <w:rPr>
          <w:noProof/>
        </w:rPr>
        <w:t>83</w:t>
      </w:r>
      <w:r>
        <w:rPr>
          <w:noProof/>
        </w:rPr>
        <w:t xml:space="preserve"> milioane de tone (din care </w:t>
      </w:r>
      <w:r w:rsidRPr="00F249C9">
        <w:rPr>
          <w:noProof/>
        </w:rPr>
        <w:t>1</w:t>
      </w:r>
      <w:r>
        <w:rPr>
          <w:noProof/>
        </w:rPr>
        <w:t>,</w:t>
      </w:r>
      <w:r w:rsidRPr="00F249C9">
        <w:rPr>
          <w:noProof/>
        </w:rPr>
        <w:t>8</w:t>
      </w:r>
      <w:r>
        <w:rPr>
          <w:noProof/>
        </w:rPr>
        <w:t xml:space="preserve"> milioane de tone provin din statele membre ale UE) au fost raportate ca fiind colectate separat în conformitate cu cerințele prevăzute în Directiva privind produsele din plastic de unică folosință, ceea ce corespunde unei rate totale de colectare separată de </w:t>
      </w:r>
      <w:r w:rsidRPr="00F249C9">
        <w:rPr>
          <w:noProof/>
        </w:rPr>
        <w:t>71</w:t>
      </w:r>
      <w:r>
        <w:rPr>
          <w:noProof/>
        </w:rPr>
        <w:t> % pentru statele membre ale UE (</w:t>
      </w:r>
      <w:r w:rsidRPr="00F249C9">
        <w:rPr>
          <w:noProof/>
        </w:rPr>
        <w:t>71</w:t>
      </w:r>
      <w:r>
        <w:rPr>
          <w:noProof/>
        </w:rPr>
        <w:t>,</w:t>
      </w:r>
      <w:r w:rsidRPr="00F249C9">
        <w:rPr>
          <w:noProof/>
        </w:rPr>
        <w:t>2</w:t>
      </w:r>
      <w:r>
        <w:rPr>
          <w:noProof/>
        </w:rPr>
        <w:t xml:space="preserve"> % dacă se iau în considerare și țările SEE-AELS) (figura </w:t>
      </w:r>
      <w:r w:rsidRPr="00F249C9">
        <w:rPr>
          <w:noProof/>
        </w:rPr>
        <w:t>6</w:t>
      </w:r>
      <w:r>
        <w:rPr>
          <w:noProof/>
        </w:rPr>
        <w:t xml:space="preserve">). </w:t>
      </w:r>
      <w:r w:rsidRPr="00F249C9">
        <w:rPr>
          <w:noProof/>
        </w:rPr>
        <w:t>12</w:t>
      </w:r>
      <w:r>
        <w:rPr>
          <w:noProof/>
        </w:rPr>
        <w:t xml:space="preserve"> (</w:t>
      </w:r>
      <w:r w:rsidRPr="00F249C9">
        <w:rPr>
          <w:noProof/>
        </w:rPr>
        <w:t>10</w:t>
      </w:r>
      <w:r>
        <w:rPr>
          <w:noProof/>
        </w:rPr>
        <w:t xml:space="preserve"> state membre ale UE) dintre cele </w:t>
      </w:r>
      <w:r w:rsidRPr="00F249C9">
        <w:rPr>
          <w:noProof/>
        </w:rPr>
        <w:t>26</w:t>
      </w:r>
      <w:r>
        <w:rPr>
          <w:noProof/>
        </w:rPr>
        <w:t xml:space="preserve"> de țări raportoare au raportat rate de colectare separată peste obiectul de </w:t>
      </w:r>
      <w:r w:rsidRPr="00F249C9">
        <w:rPr>
          <w:noProof/>
        </w:rPr>
        <w:t>77</w:t>
      </w:r>
      <w:r>
        <w:rPr>
          <w:noProof/>
        </w:rPr>
        <w:t xml:space="preserve"> % stabilit pentru </w:t>
      </w:r>
      <w:r w:rsidRPr="00F249C9">
        <w:rPr>
          <w:noProof/>
        </w:rPr>
        <w:t>2025</w:t>
      </w:r>
      <w:r>
        <w:rPr>
          <w:noProof/>
        </w:rPr>
        <w:t xml:space="preserve"> de Directiva privind produsele din plastic de unică folosință, în timp ce șase state membre ale UE au raportat chiar rate de colectare separată peste ținta de </w:t>
      </w:r>
      <w:r w:rsidRPr="00F249C9">
        <w:rPr>
          <w:noProof/>
        </w:rPr>
        <w:t>90</w:t>
      </w:r>
      <w:r>
        <w:rPr>
          <w:noProof/>
        </w:rPr>
        <w:t xml:space="preserve"> % stabilită pentru </w:t>
      </w:r>
      <w:r w:rsidRPr="00F249C9">
        <w:rPr>
          <w:noProof/>
        </w:rPr>
        <w:t>2029</w:t>
      </w:r>
      <w:r>
        <w:rPr>
          <w:noProof/>
        </w:rPr>
        <w:t xml:space="preserve"> (figura </w:t>
      </w:r>
      <w:r w:rsidRPr="00F249C9">
        <w:rPr>
          <w:noProof/>
        </w:rPr>
        <w:t>7</w:t>
      </w:r>
      <w:r>
        <w:rPr>
          <w:noProof/>
        </w:rPr>
        <w:t xml:space="preserve">). </w:t>
      </w:r>
    </w:p>
    <w:p w14:paraId="4EEFD07B" w14:textId="77777777" w:rsidR="00026E6D" w:rsidRPr="00627F8D" w:rsidRDefault="00026E6D" w:rsidP="00026E6D">
      <w:pPr>
        <w:pStyle w:val="Caption"/>
        <w:rPr>
          <w:noProof/>
        </w:rPr>
      </w:pPr>
      <w:r w:rsidRPr="00627F8D">
        <w:rPr>
          <w:noProof/>
        </w:rPr>
        <w:t xml:space="preserve">Figura </w:t>
      </w:r>
      <w:r w:rsidRPr="00627F8D">
        <w:rPr>
          <w:noProof/>
        </w:rPr>
        <w:fldChar w:fldCharType="begin"/>
      </w:r>
      <w:r w:rsidRPr="00627F8D">
        <w:rPr>
          <w:noProof/>
        </w:rPr>
        <w:instrText xml:space="preserve"> SEQ Figure \* ARABIC </w:instrText>
      </w:r>
      <w:r w:rsidRPr="00627F8D">
        <w:rPr>
          <w:noProof/>
        </w:rPr>
        <w:fldChar w:fldCharType="separate"/>
      </w:r>
      <w:r w:rsidRPr="00627F8D">
        <w:rPr>
          <w:noProof/>
        </w:rPr>
        <w:t>6</w:t>
      </w:r>
      <w:r w:rsidRPr="00627F8D">
        <w:rPr>
          <w:noProof/>
        </w:rPr>
        <w:fldChar w:fldCharType="end"/>
      </w:r>
      <w:r w:rsidRPr="00627F8D">
        <w:rPr>
          <w:noProof/>
        </w:rPr>
        <w:t>: Sticle din plastic de unică folosință pentru băuturi introduse pe piață și colectate separat (statele membre ale UE), valori totale în 2022.</w:t>
      </w:r>
    </w:p>
    <w:p w14:paraId="7079FB8F" w14:textId="6777F463" w:rsidR="00862309" w:rsidRDefault="00862309" w:rsidP="00862309">
      <w:pPr>
        <w:jc w:val="center"/>
        <w:rPr>
          <w:noProof/>
        </w:rPr>
      </w:pPr>
    </w:p>
    <w:p w14:paraId="76927459" w14:textId="63397DF8" w:rsidR="00AF3D24" w:rsidRDefault="00DC0110" w:rsidP="00862309">
      <w:pPr>
        <w:jc w:val="center"/>
        <w:rPr>
          <w:noProof/>
        </w:rPr>
      </w:pPr>
      <w:r>
        <w:rPr>
          <w:noProof/>
          <w:lang w:val="en-GB" w:eastAsia="en-GB"/>
        </w:rPr>
        <w:drawing>
          <wp:inline distT="0" distB="0" distL="0" distR="0" wp14:anchorId="5FF14C76" wp14:editId="43B69477">
            <wp:extent cx="2833200" cy="2120400"/>
            <wp:effectExtent l="0" t="0" r="5715" b="0"/>
            <wp:docPr id="1997071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33200" cy="2120400"/>
                    </a:xfrm>
                    <a:prstGeom prst="rect">
                      <a:avLst/>
                    </a:prstGeom>
                    <a:noFill/>
                  </pic:spPr>
                </pic:pic>
              </a:graphicData>
            </a:graphic>
          </wp:inline>
        </w:drawing>
      </w:r>
    </w:p>
    <w:p w14:paraId="2DCEAB78" w14:textId="59219829" w:rsidR="00142FB4" w:rsidRPr="00627F8D" w:rsidRDefault="00026E6D" w:rsidP="000D5D87">
      <w:pPr>
        <w:pStyle w:val="Caption"/>
        <w:keepNext/>
        <w:rPr>
          <w:noProof/>
        </w:rPr>
      </w:pPr>
      <w:r w:rsidRPr="00627F8D">
        <w:rPr>
          <w:noProof/>
        </w:rPr>
        <w:t xml:space="preserve">Figura </w:t>
      </w:r>
      <w:r w:rsidRPr="00627F8D">
        <w:rPr>
          <w:noProof/>
        </w:rPr>
        <w:fldChar w:fldCharType="begin"/>
      </w:r>
      <w:r w:rsidRPr="00627F8D">
        <w:rPr>
          <w:noProof/>
        </w:rPr>
        <w:instrText xml:space="preserve"> SEQ Figure \* ARABIC </w:instrText>
      </w:r>
      <w:r w:rsidRPr="00627F8D">
        <w:rPr>
          <w:noProof/>
        </w:rPr>
        <w:fldChar w:fldCharType="separate"/>
      </w:r>
      <w:r w:rsidRPr="00627F8D">
        <w:rPr>
          <w:noProof/>
        </w:rPr>
        <w:t>7</w:t>
      </w:r>
      <w:r w:rsidRPr="00627F8D">
        <w:rPr>
          <w:noProof/>
        </w:rPr>
        <w:fldChar w:fldCharType="end"/>
      </w:r>
      <w:r w:rsidRPr="00627F8D">
        <w:rPr>
          <w:noProof/>
        </w:rPr>
        <w:t xml:space="preserve">: Rata de colectare separată a sticlelor din plastic de unică folosință pentru băuturi, pe țări, în 2022 (statele membre ale UE și țările SEE-AELS). </w:t>
      </w:r>
    </w:p>
    <w:p w14:paraId="5F19836D" w14:textId="0816D50C" w:rsidR="00304C00" w:rsidRPr="00BB3B96" w:rsidRDefault="0010564A" w:rsidP="00862309">
      <w:pPr>
        <w:jc w:val="center"/>
        <w:rPr>
          <w:noProof/>
        </w:rPr>
      </w:pPr>
      <w:r>
        <w:rPr>
          <w:noProof/>
          <w:lang w:val="en-GB" w:eastAsia="en-GB"/>
        </w:rPr>
        <w:drawing>
          <wp:inline distT="0" distB="0" distL="0" distR="0" wp14:anchorId="5D5167EB" wp14:editId="260F84EE">
            <wp:extent cx="4784400" cy="3261600"/>
            <wp:effectExtent l="0" t="0" r="0" b="0"/>
            <wp:docPr id="4082183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84400" cy="3261600"/>
                    </a:xfrm>
                    <a:prstGeom prst="rect">
                      <a:avLst/>
                    </a:prstGeom>
                    <a:noFill/>
                  </pic:spPr>
                </pic:pic>
              </a:graphicData>
            </a:graphic>
          </wp:inline>
        </w:drawing>
      </w:r>
    </w:p>
    <w:p w14:paraId="41407636" w14:textId="02A97830" w:rsidR="00862309" w:rsidRPr="004A0A8E" w:rsidRDefault="00862309" w:rsidP="00862309">
      <w:pPr>
        <w:rPr>
          <w:noProof/>
        </w:rPr>
      </w:pPr>
      <w:r>
        <w:rPr>
          <w:noProof/>
          <w:sz w:val="20"/>
        </w:rPr>
        <w:t xml:space="preserve">Notă: Țările sunt ordonate în funcție de rata de colectare separată. Slovenia nu a raportat date. </w:t>
      </w:r>
    </w:p>
    <w:p w14:paraId="7BDE5583" w14:textId="53D7E77E" w:rsidR="00862309" w:rsidRPr="00B75F2E" w:rsidRDefault="00652835" w:rsidP="00862309">
      <w:pPr>
        <w:rPr>
          <w:noProof/>
        </w:rPr>
      </w:pPr>
      <w:r>
        <w:rPr>
          <w:noProof/>
        </w:rPr>
        <w:t xml:space="preserve">În mod notabil, </w:t>
      </w:r>
      <w:r w:rsidRPr="00F249C9">
        <w:rPr>
          <w:noProof/>
        </w:rPr>
        <w:t>10</w:t>
      </w:r>
      <w:r>
        <w:rPr>
          <w:noProof/>
        </w:rPr>
        <w:t xml:space="preserve"> dintre cele </w:t>
      </w:r>
      <w:r w:rsidRPr="00F249C9">
        <w:rPr>
          <w:noProof/>
        </w:rPr>
        <w:t>12</w:t>
      </w:r>
      <w:r>
        <w:rPr>
          <w:noProof/>
        </w:rPr>
        <w:t xml:space="preserve"> țări care au atins deja obiectivul pentru </w:t>
      </w:r>
      <w:r w:rsidRPr="00F249C9">
        <w:rPr>
          <w:noProof/>
        </w:rPr>
        <w:t>2025</w:t>
      </w:r>
      <w:r>
        <w:rPr>
          <w:noProof/>
        </w:rPr>
        <w:t xml:space="preserve"> în </w:t>
      </w:r>
      <w:r w:rsidRPr="00F249C9">
        <w:rPr>
          <w:noProof/>
        </w:rPr>
        <w:t>2022</w:t>
      </w:r>
      <w:r>
        <w:rPr>
          <w:noProof/>
        </w:rPr>
        <w:t xml:space="preserve"> dispun de sisteme de garanție-returnare pentru sticlele din plastic de unică folosință pentru băuturi. Acest fapt demonstrează eficacitatea sistemelor de garanție-returnare, pe care statele membre vor trebui să le introducă în temeiul noului Regulament privind ambalajele și deșeurile de ambalaje. Multe țări instituie deja astfel de sisteme sau intenționează să facă acest lucru în viitorul apropiat (a se vedea anexa </w:t>
      </w:r>
      <w:r w:rsidRPr="00F249C9">
        <w:rPr>
          <w:noProof/>
        </w:rPr>
        <w:t>3</w:t>
      </w:r>
      <w:r>
        <w:rPr>
          <w:noProof/>
        </w:rPr>
        <w:t xml:space="preserve"> pentru mai multe detalii).</w:t>
      </w:r>
    </w:p>
    <w:p w14:paraId="39E2F04F" w14:textId="5BEC7B6B" w:rsidR="00862309" w:rsidRPr="004A0A8E" w:rsidRDefault="00862309" w:rsidP="00EC0C7F">
      <w:pPr>
        <w:rPr>
          <w:iCs/>
          <w:noProof/>
        </w:rPr>
      </w:pPr>
      <w:r>
        <w:rPr>
          <w:noProof/>
        </w:rPr>
        <w:t xml:space="preserve">Cantitățile de sticle din plastic de unică folosință pentru băuturi introduse pe piață au variat semnificativ de la o țară la alta în </w:t>
      </w:r>
      <w:r w:rsidRPr="00F249C9">
        <w:rPr>
          <w:noProof/>
        </w:rPr>
        <w:t>2022</w:t>
      </w:r>
      <w:r>
        <w:rPr>
          <w:noProof/>
        </w:rPr>
        <w:t xml:space="preserve"> (a se vedea valorile absolute și pe cap de locuitor din anexa </w:t>
      </w:r>
      <w:r w:rsidRPr="00F249C9">
        <w:rPr>
          <w:noProof/>
        </w:rPr>
        <w:t>4</w:t>
      </w:r>
      <w:r>
        <w:rPr>
          <w:noProof/>
        </w:rPr>
        <w:t xml:space="preserve">). Conform așteptărilor, țările cu cele mai mari populații au raportat cele mai mari valori absolute (Germania, Italia, Franța, Polonia și Spania). Cu toate acestea, Malta și Cipru au raportat cele mai mari valori pe cap de locuitor. În ceea ce privește colectarea separată, </w:t>
      </w:r>
      <w:r w:rsidRPr="00F249C9">
        <w:rPr>
          <w:noProof/>
        </w:rPr>
        <w:t>23</w:t>
      </w:r>
      <w:r>
        <w:rPr>
          <w:noProof/>
        </w:rPr>
        <w:t xml:space="preserve"> de țări (</w:t>
      </w:r>
      <w:r w:rsidRPr="00F249C9">
        <w:rPr>
          <w:noProof/>
        </w:rPr>
        <w:t>22</w:t>
      </w:r>
      <w:r>
        <w:rPr>
          <w:noProof/>
        </w:rPr>
        <w:t xml:space="preserve"> de state membre ale UE) au raportat sticle din plastic de unică folosință pentru băuturi colectate separat împreună cu alte fluxuri de deșeuri. </w:t>
      </w:r>
      <w:r w:rsidRPr="00F249C9">
        <w:rPr>
          <w:noProof/>
        </w:rPr>
        <w:t>18</w:t>
      </w:r>
      <w:r>
        <w:rPr>
          <w:noProof/>
        </w:rPr>
        <w:t xml:space="preserve"> țări au raportat cantități de sticle din plastic de unică folosință pentru băuturi, colectate separat față de orice alt flux de deșeuri, în principal prin intermediul sistemelor de garanție-returnare. Celelalte țări nu au raportat alte valori decât zero, fie din cauza: (i) lipsei unor sisteme instituite pentru colectarea separată față de orice alt flux de deșeuri; (ii) colectării sticlelor împreună cu alte fluxuri de deșeuri uscate; sau (iii) incertitudinii unor țări cu privire la capacitatea sistemelor lor de a colecta sticlele complet separate de orice alte fluxuri de deșeuri. </w:t>
      </w:r>
    </w:p>
    <w:p w14:paraId="4C8A98F2" w14:textId="1A47A857" w:rsidR="00862309" w:rsidRPr="00627F8D" w:rsidRDefault="00862309" w:rsidP="00862309">
      <w:pPr>
        <w:pStyle w:val="Heading3"/>
        <w:rPr>
          <w:noProof/>
        </w:rPr>
      </w:pPr>
      <w:bookmarkStart w:id="32" w:name="_Toc221701579"/>
      <w:bookmarkStart w:id="33" w:name="_Toc185251693"/>
      <w:bookmarkStart w:id="34" w:name="_Toc185499251"/>
      <w:r w:rsidRPr="00627F8D">
        <w:rPr>
          <w:noProof/>
        </w:rPr>
        <w:t>Elementul D: Cantitățile de echipamente de pescuit care conțin plastic introduse pe piață și colectate ca deșeuri</w:t>
      </w:r>
      <w:bookmarkEnd w:id="32"/>
      <w:r w:rsidRPr="00627F8D">
        <w:rPr>
          <w:noProof/>
        </w:rPr>
        <w:t xml:space="preserve"> </w:t>
      </w:r>
      <w:bookmarkEnd w:id="33"/>
      <w:bookmarkEnd w:id="34"/>
    </w:p>
    <w:p w14:paraId="7C1A6B1B" w14:textId="082F428C" w:rsidR="00862309" w:rsidRPr="00671AB3" w:rsidRDefault="00862309" w:rsidP="00862309">
      <w:pPr>
        <w:rPr>
          <w:noProof/>
        </w:rPr>
      </w:pPr>
      <w:r>
        <w:rPr>
          <w:noProof/>
        </w:rPr>
        <w:t xml:space="preserve">În total, </w:t>
      </w:r>
      <w:r w:rsidRPr="00F249C9">
        <w:rPr>
          <w:noProof/>
        </w:rPr>
        <w:t>25</w:t>
      </w:r>
      <w:r>
        <w:rPr>
          <w:noProof/>
        </w:rPr>
        <w:t xml:space="preserve"> de țări (</w:t>
      </w:r>
      <w:r w:rsidRPr="00F249C9">
        <w:rPr>
          <w:noProof/>
        </w:rPr>
        <w:t>23</w:t>
      </w:r>
      <w:r>
        <w:rPr>
          <w:noProof/>
        </w:rPr>
        <w:t xml:space="preserve"> de state membre ale UE și </w:t>
      </w:r>
      <w:r w:rsidRPr="00F249C9">
        <w:rPr>
          <w:noProof/>
        </w:rPr>
        <w:t>2</w:t>
      </w:r>
      <w:r>
        <w:rPr>
          <w:noProof/>
        </w:rPr>
        <w:t xml:space="preserve"> țări SEE-AELS) au raportat date privind echipamentele de pescuit care conțin plastic introduse pe piață, iar </w:t>
      </w:r>
      <w:r w:rsidRPr="00F249C9">
        <w:rPr>
          <w:noProof/>
        </w:rPr>
        <w:t>22</w:t>
      </w:r>
      <w:r>
        <w:rPr>
          <w:noProof/>
        </w:rPr>
        <w:t xml:space="preserve"> dintre aceste țări (</w:t>
      </w:r>
      <w:r w:rsidRPr="00F249C9">
        <w:rPr>
          <w:noProof/>
        </w:rPr>
        <w:t>20</w:t>
      </w:r>
      <w:r>
        <w:rPr>
          <w:noProof/>
        </w:rPr>
        <w:t xml:space="preserve"> de state membre ale UE și </w:t>
      </w:r>
      <w:r w:rsidRPr="00F249C9">
        <w:rPr>
          <w:noProof/>
        </w:rPr>
        <w:t>2</w:t>
      </w:r>
      <w:r>
        <w:rPr>
          <w:noProof/>
        </w:rPr>
        <w:t xml:space="preserve"> țări SEE-AELS) au raportat date privind deșeurile de echipamente de pescuit colectate. Majoritatea țărilor au raportat numai datele obligatorii, și anume cantitățile totale de echipamente de pescuit, fără nicio defalcare suplimentară. Cu toate acestea, </w:t>
      </w:r>
      <w:r w:rsidRPr="00F249C9">
        <w:rPr>
          <w:noProof/>
        </w:rPr>
        <w:t>6</w:t>
      </w:r>
      <w:r>
        <w:rPr>
          <w:noProof/>
        </w:rPr>
        <w:t xml:space="preserve"> țări (</w:t>
      </w:r>
      <w:r w:rsidRPr="00F249C9">
        <w:rPr>
          <w:noProof/>
        </w:rPr>
        <w:t>5</w:t>
      </w:r>
      <w:r>
        <w:rPr>
          <w:noProof/>
        </w:rPr>
        <w:t xml:space="preserve"> state membre ale UE) au furnizat o defalcare suplimentară a datelor, fie în funcție de tipul de echipamente de pescuit, fie în funcție de material (plastic, metal, cauciuc) (a se vedea anexa </w:t>
      </w:r>
      <w:r w:rsidRPr="00F249C9">
        <w:rPr>
          <w:noProof/>
        </w:rPr>
        <w:t>5</w:t>
      </w:r>
      <w:r>
        <w:rPr>
          <w:noProof/>
        </w:rPr>
        <w:t xml:space="preserve"> pentru datele defalcate). </w:t>
      </w:r>
    </w:p>
    <w:p w14:paraId="0A4B2652" w14:textId="5E54FAFC" w:rsidR="00862309" w:rsidRDefault="00763FCD" w:rsidP="00862309">
      <w:pPr>
        <w:rPr>
          <w:iCs/>
          <w:noProof/>
        </w:rPr>
      </w:pPr>
      <w:r>
        <w:rPr>
          <w:noProof/>
        </w:rPr>
        <w:t>Pentru</w:t>
      </w:r>
      <w:r w:rsidR="0024411E">
        <w:rPr>
          <w:noProof/>
        </w:rPr>
        <w:t xml:space="preserve"> </w:t>
      </w:r>
      <w:r w:rsidR="0024411E" w:rsidRPr="00F249C9">
        <w:rPr>
          <w:noProof/>
        </w:rPr>
        <w:t>2022</w:t>
      </w:r>
      <w:r w:rsidR="0024411E">
        <w:rPr>
          <w:noProof/>
        </w:rPr>
        <w:t xml:space="preserve">, un total de </w:t>
      </w:r>
      <w:r w:rsidR="0024411E" w:rsidRPr="00F249C9">
        <w:rPr>
          <w:noProof/>
        </w:rPr>
        <w:t>67</w:t>
      </w:r>
      <w:r w:rsidR="0024411E">
        <w:rPr>
          <w:noProof/>
        </w:rPr>
        <w:t> </w:t>
      </w:r>
      <w:r w:rsidR="0024411E" w:rsidRPr="00F249C9">
        <w:rPr>
          <w:noProof/>
        </w:rPr>
        <w:t>000</w:t>
      </w:r>
      <w:r w:rsidR="0024411E">
        <w:rPr>
          <w:noProof/>
        </w:rPr>
        <w:t xml:space="preserve"> de tone de echipamente de pescuit (din care </w:t>
      </w:r>
      <w:r w:rsidR="0024411E" w:rsidRPr="00F249C9">
        <w:rPr>
          <w:noProof/>
        </w:rPr>
        <w:t>22</w:t>
      </w:r>
      <w:r w:rsidR="0024411E">
        <w:rPr>
          <w:noProof/>
        </w:rPr>
        <w:t> </w:t>
      </w:r>
      <w:r w:rsidR="0024411E" w:rsidRPr="00F249C9">
        <w:rPr>
          <w:noProof/>
        </w:rPr>
        <w:t>900</w:t>
      </w:r>
      <w:r w:rsidR="0024411E">
        <w:rPr>
          <w:noProof/>
        </w:rPr>
        <w:t xml:space="preserve"> de tone provin din statele membre ale UE) au fost raportate ca fiind introduse pe piață, iar </w:t>
      </w:r>
      <w:r w:rsidR="0024411E" w:rsidRPr="00F249C9">
        <w:rPr>
          <w:noProof/>
        </w:rPr>
        <w:t>24</w:t>
      </w:r>
      <w:r w:rsidR="0024411E">
        <w:rPr>
          <w:noProof/>
        </w:rPr>
        <w:t> </w:t>
      </w:r>
      <w:r w:rsidR="0024411E" w:rsidRPr="00F249C9">
        <w:rPr>
          <w:noProof/>
        </w:rPr>
        <w:t>700</w:t>
      </w:r>
      <w:r w:rsidR="0024411E">
        <w:rPr>
          <w:noProof/>
        </w:rPr>
        <w:t xml:space="preserve"> de tone (din care </w:t>
      </w:r>
      <w:r w:rsidR="0024411E" w:rsidRPr="00F249C9">
        <w:rPr>
          <w:noProof/>
        </w:rPr>
        <w:t>7</w:t>
      </w:r>
      <w:r w:rsidR="00F249C9">
        <w:rPr>
          <w:noProof/>
        </w:rPr>
        <w:t> </w:t>
      </w:r>
      <w:r w:rsidR="0024411E" w:rsidRPr="00F249C9">
        <w:rPr>
          <w:noProof/>
        </w:rPr>
        <w:t>500</w:t>
      </w:r>
      <w:r w:rsidR="00F249C9">
        <w:rPr>
          <w:noProof/>
        </w:rPr>
        <w:t> </w:t>
      </w:r>
      <w:r w:rsidR="0024411E">
        <w:rPr>
          <w:noProof/>
        </w:rPr>
        <w:t>de tone provin din statele membre ale UE) au fost raportate ca deșeuri de echipamente de pescuit colectate</w:t>
      </w:r>
      <w:r w:rsidR="0024411E">
        <w:rPr>
          <w:rStyle w:val="FootnoteReference"/>
          <w:iCs/>
          <w:noProof/>
        </w:rPr>
        <w:footnoteReference w:id="7"/>
      </w:r>
      <w:r w:rsidR="0024411E">
        <w:rPr>
          <w:noProof/>
        </w:rPr>
        <w:t xml:space="preserve">. Aceasta corespunde unei rate totale de colectare de </w:t>
      </w:r>
      <w:r w:rsidR="0024411E" w:rsidRPr="00F249C9">
        <w:rPr>
          <w:noProof/>
        </w:rPr>
        <w:t>32</w:t>
      </w:r>
      <w:r w:rsidR="0024411E">
        <w:rPr>
          <w:noProof/>
        </w:rPr>
        <w:t>,</w:t>
      </w:r>
      <w:r w:rsidR="0024411E" w:rsidRPr="00F249C9">
        <w:rPr>
          <w:noProof/>
        </w:rPr>
        <w:t>7</w:t>
      </w:r>
      <w:r w:rsidR="0024411E">
        <w:rPr>
          <w:noProof/>
        </w:rPr>
        <w:t> % pentru statele membre ale UE (</w:t>
      </w:r>
      <w:r w:rsidR="0024411E" w:rsidRPr="00F249C9">
        <w:rPr>
          <w:noProof/>
        </w:rPr>
        <w:t>36</w:t>
      </w:r>
      <w:r w:rsidR="0024411E">
        <w:rPr>
          <w:noProof/>
        </w:rPr>
        <w:t>,</w:t>
      </w:r>
      <w:r w:rsidR="0024411E" w:rsidRPr="00F249C9">
        <w:rPr>
          <w:noProof/>
        </w:rPr>
        <w:t>8</w:t>
      </w:r>
      <w:r w:rsidR="0024411E">
        <w:rPr>
          <w:noProof/>
        </w:rPr>
        <w:t xml:space="preserve"> % atunci când sunt incluse și țările SEE-AELS) (figura </w:t>
      </w:r>
      <w:r w:rsidR="0024411E" w:rsidRPr="00F249C9">
        <w:rPr>
          <w:noProof/>
        </w:rPr>
        <w:t>8</w:t>
      </w:r>
      <w:r w:rsidR="0024411E">
        <w:rPr>
          <w:noProof/>
        </w:rPr>
        <w:t xml:space="preserve">). Ratele de colectare au variat între țări de la </w:t>
      </w:r>
      <w:r w:rsidR="0024411E" w:rsidRPr="00F249C9">
        <w:rPr>
          <w:noProof/>
        </w:rPr>
        <w:t>0</w:t>
      </w:r>
      <w:r w:rsidR="0024411E">
        <w:rPr>
          <w:noProof/>
        </w:rPr>
        <w:t xml:space="preserve"> % la valori de peste </w:t>
      </w:r>
      <w:r w:rsidR="0024411E" w:rsidRPr="00F249C9">
        <w:rPr>
          <w:noProof/>
        </w:rPr>
        <w:t>100</w:t>
      </w:r>
      <w:r w:rsidR="0024411E">
        <w:rPr>
          <w:noProof/>
        </w:rPr>
        <w:t xml:space="preserve"> % (figura </w:t>
      </w:r>
      <w:r w:rsidR="0024411E" w:rsidRPr="00F249C9">
        <w:rPr>
          <w:noProof/>
        </w:rPr>
        <w:t>9</w:t>
      </w:r>
      <w:r w:rsidR="0024411E">
        <w:rPr>
          <w:noProof/>
        </w:rPr>
        <w:t xml:space="preserve">), </w:t>
      </w:r>
      <w:r w:rsidR="0024411E">
        <w:rPr>
          <w:rFonts w:ascii="Courier New" w:hAnsi="Courier New"/>
          <w:noProof/>
        </w:rPr>
        <w:t>(</w:t>
      </w:r>
      <w:r w:rsidR="0024411E">
        <w:rPr>
          <w:noProof/>
        </w:rPr>
        <w:t xml:space="preserve">acestea din urmă fiind, în general, raportate de țări cu o coastă extinsă). În ansamblu, țările fără ieșire la mare au declarat valori de </w:t>
      </w:r>
      <w:r w:rsidR="0024411E" w:rsidRPr="00F249C9">
        <w:rPr>
          <w:noProof/>
        </w:rPr>
        <w:t>0</w:t>
      </w:r>
      <w:r w:rsidR="0024411E">
        <w:rPr>
          <w:noProof/>
        </w:rPr>
        <w:t xml:space="preserve"> % atât pentru cantitățile introduse pe piață, cât și pentru cele colectate, chiar dacă echipamentele de pescuit ar putea fi introduse pe piețele lor. Deși Directiva privind produsele din plastic de unică folosință nu stabilește obiective cantitative obligatorii de colectare, statele membre cu ape marine au obligația de a-și stabili rate naționale anuale de colectare a deșeurilor de echipamente de pescuit care conțin plastic, în vederea reciclării, începând cu </w:t>
      </w:r>
      <w:r w:rsidR="0024411E" w:rsidRPr="00F249C9">
        <w:rPr>
          <w:noProof/>
        </w:rPr>
        <w:t>1</w:t>
      </w:r>
      <w:r w:rsidR="0024411E">
        <w:rPr>
          <w:noProof/>
        </w:rPr>
        <w:t> ianuarie </w:t>
      </w:r>
      <w:r w:rsidR="0024411E" w:rsidRPr="00F249C9">
        <w:rPr>
          <w:noProof/>
        </w:rPr>
        <w:t>2025</w:t>
      </w:r>
      <w:r w:rsidR="0024411E">
        <w:rPr>
          <w:noProof/>
        </w:rPr>
        <w:t xml:space="preserve">. Datele raportate în acest an vor constitui baza pentru evaluarea fezabilității stabilirii unor obiective obligatorii de colectare, în urma evaluării Directivei privind produsele din plastic de unică folosință în </w:t>
      </w:r>
      <w:r w:rsidR="0024411E" w:rsidRPr="00F249C9">
        <w:rPr>
          <w:noProof/>
        </w:rPr>
        <w:t>2027</w:t>
      </w:r>
      <w:r w:rsidR="0024411E">
        <w:rPr>
          <w:noProof/>
        </w:rPr>
        <w:t>.</w:t>
      </w:r>
    </w:p>
    <w:p w14:paraId="6B14D28A" w14:textId="4653B165" w:rsidR="00F1284D" w:rsidRDefault="00F72DE1" w:rsidP="00010AFC">
      <w:pPr>
        <w:rPr>
          <w:iCs/>
          <w:noProof/>
        </w:rPr>
      </w:pPr>
      <w:r>
        <w:rPr>
          <w:noProof/>
        </w:rPr>
        <w:t xml:space="preserve">Cantitățile de echipamente de pescuit introduse pe piață și colectate au variat considerabil de la o țară la alta (figura </w:t>
      </w:r>
      <w:r w:rsidRPr="00F249C9">
        <w:rPr>
          <w:noProof/>
        </w:rPr>
        <w:t>10</w:t>
      </w:r>
      <w:r>
        <w:rPr>
          <w:noProof/>
        </w:rPr>
        <w:t xml:space="preserve">), existând o corelație puternică între: (i) cantitățile introduse pe piață și cantitățile colectate; și (ii) aceste valori și tonajul flotei de pescuit din fiecare țară (a se vedea anexa </w:t>
      </w:r>
      <w:r w:rsidRPr="00F249C9">
        <w:rPr>
          <w:noProof/>
        </w:rPr>
        <w:t>6</w:t>
      </w:r>
      <w:r>
        <w:rPr>
          <w:noProof/>
        </w:rPr>
        <w:t xml:space="preserve"> pentru date referitoare la dimensiunea flotei de pescuit). Valorile la nivel de țară au variat de la câteva tone la peste </w:t>
      </w:r>
      <w:r w:rsidRPr="00F249C9">
        <w:rPr>
          <w:noProof/>
        </w:rPr>
        <w:t>42</w:t>
      </w:r>
      <w:r>
        <w:rPr>
          <w:noProof/>
        </w:rPr>
        <w:t> </w:t>
      </w:r>
      <w:r w:rsidRPr="00F249C9">
        <w:rPr>
          <w:noProof/>
        </w:rPr>
        <w:t>000</w:t>
      </w:r>
      <w:r>
        <w:rPr>
          <w:noProof/>
        </w:rPr>
        <w:t xml:space="preserve"> de tone introduse pe piață și până la </w:t>
      </w:r>
      <w:r w:rsidRPr="00F249C9">
        <w:rPr>
          <w:noProof/>
        </w:rPr>
        <w:t>15</w:t>
      </w:r>
      <w:r>
        <w:rPr>
          <w:noProof/>
        </w:rPr>
        <w:t> </w:t>
      </w:r>
      <w:r w:rsidRPr="00F249C9">
        <w:rPr>
          <w:noProof/>
        </w:rPr>
        <w:t>000</w:t>
      </w:r>
      <w:r>
        <w:rPr>
          <w:noProof/>
        </w:rPr>
        <w:t xml:space="preserve"> de tone de deșeuri de echipamente de pescuit colectate. Cele mai mari cantități introduse pe piață au fost raportate de Norvegia, Lituania, Franța și Portugalia. Aceasta pare să reflecte parțial diferențele dintre situațiile naționale, dar și diferențe în eforturile de colectare a datelor (a se vedea secțiunea „Surse de date și metodologii”), întrucât țările au semnalat frecvent dificultăți în raportarea unor date exacte (a se vedea secțiunea „Fiabilitate”).</w:t>
      </w:r>
    </w:p>
    <w:p w14:paraId="7D7A7394" w14:textId="77777777" w:rsidR="00026E6D" w:rsidRPr="00627F8D" w:rsidRDefault="00026E6D" w:rsidP="00026E6D">
      <w:pPr>
        <w:pStyle w:val="Caption"/>
        <w:rPr>
          <w:noProof/>
        </w:rPr>
      </w:pPr>
      <w:bookmarkStart w:id="35" w:name="_Ref181966445"/>
      <w:r w:rsidRPr="00627F8D">
        <w:rPr>
          <w:noProof/>
        </w:rPr>
        <w:t xml:space="preserve">Figura </w:t>
      </w:r>
      <w:r w:rsidRPr="00627F8D">
        <w:rPr>
          <w:noProof/>
        </w:rPr>
        <w:fldChar w:fldCharType="begin"/>
      </w:r>
      <w:r w:rsidRPr="00627F8D">
        <w:rPr>
          <w:noProof/>
        </w:rPr>
        <w:instrText xml:space="preserve"> SEQ Figure \* ARABIC </w:instrText>
      </w:r>
      <w:r w:rsidRPr="00627F8D">
        <w:rPr>
          <w:noProof/>
        </w:rPr>
        <w:fldChar w:fldCharType="separate"/>
      </w:r>
      <w:r w:rsidRPr="00627F8D">
        <w:rPr>
          <w:noProof/>
        </w:rPr>
        <w:t>8</w:t>
      </w:r>
      <w:r w:rsidRPr="00627F8D">
        <w:rPr>
          <w:noProof/>
        </w:rPr>
        <w:fldChar w:fldCharType="end"/>
      </w:r>
      <w:bookmarkEnd w:id="35"/>
      <w:r w:rsidRPr="00627F8D">
        <w:rPr>
          <w:noProof/>
        </w:rPr>
        <w:t>: Echipamente de pescuit introduse pe piață și deșeuri de echipamente de pescuit colectate, valori totale pentru 2022 (statele membre ale UE și țările SEE-AELS).</w:t>
      </w:r>
    </w:p>
    <w:p w14:paraId="3E42AE71" w14:textId="701F16F5" w:rsidR="00BC25F7" w:rsidRDefault="00E432A8" w:rsidP="00862309">
      <w:pPr>
        <w:jc w:val="center"/>
        <w:rPr>
          <w:noProof/>
        </w:rPr>
      </w:pPr>
      <w:r>
        <w:rPr>
          <w:noProof/>
          <w:lang w:val="en-GB" w:eastAsia="en-GB"/>
        </w:rPr>
        <w:drawing>
          <wp:inline distT="0" distB="0" distL="0" distR="0" wp14:anchorId="09369B1C" wp14:editId="30AD5627">
            <wp:extent cx="3106800" cy="2041200"/>
            <wp:effectExtent l="0" t="0" r="0" b="0"/>
            <wp:docPr id="5882223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06800" cy="2041200"/>
                    </a:xfrm>
                    <a:prstGeom prst="rect">
                      <a:avLst/>
                    </a:prstGeom>
                    <a:noFill/>
                  </pic:spPr>
                </pic:pic>
              </a:graphicData>
            </a:graphic>
          </wp:inline>
        </w:drawing>
      </w:r>
    </w:p>
    <w:p w14:paraId="160510B2" w14:textId="77777777" w:rsidR="00267F94" w:rsidRPr="004A0A8E" w:rsidRDefault="00267F94" w:rsidP="00267F94">
      <w:pPr>
        <w:rPr>
          <w:noProof/>
        </w:rPr>
      </w:pPr>
      <w:bookmarkStart w:id="36" w:name="_Ref181966518"/>
      <w:r>
        <w:rPr>
          <w:noProof/>
        </w:rPr>
        <w:t>Notă: Datele pentru care s-a solicitat menținerea confidențialității sunt excluse din figură.</w:t>
      </w:r>
    </w:p>
    <w:p w14:paraId="47BB7FD9" w14:textId="3FDA065A" w:rsidR="00026E6D" w:rsidRPr="00627F8D" w:rsidRDefault="00026E6D" w:rsidP="00026E6D">
      <w:pPr>
        <w:pStyle w:val="Caption"/>
        <w:rPr>
          <w:noProof/>
        </w:rPr>
      </w:pPr>
      <w:r w:rsidRPr="00627F8D">
        <w:rPr>
          <w:noProof/>
        </w:rPr>
        <w:t xml:space="preserve">Figura </w:t>
      </w:r>
      <w:bookmarkEnd w:id="36"/>
      <w:r w:rsidR="00896012">
        <w:rPr>
          <w:noProof/>
        </w:rPr>
        <w:t>9</w:t>
      </w:r>
      <w:r w:rsidRPr="00627F8D">
        <w:rPr>
          <w:noProof/>
        </w:rPr>
        <w:t xml:space="preserve">: Rata de colectare a deșeurilor de echipamente de pescuit, pe țări, în 2022 (statele membre ale UE și țările SEE-AELS). </w:t>
      </w:r>
      <w:r>
        <w:rPr>
          <w:b w:val="0"/>
          <w:noProof/>
        </w:rPr>
        <w:t>Sursă: Calcul propriu pe baza datelor raportate, ca raport între cantitățile colectate și cantitățile introduse pe piață.</w:t>
      </w:r>
    </w:p>
    <w:p w14:paraId="45D0DE2F" w14:textId="3EA808BC" w:rsidR="00367476" w:rsidRPr="004A0A8E" w:rsidRDefault="00896012" w:rsidP="004A65CC">
      <w:pPr>
        <w:spacing w:after="0"/>
        <w:jc w:val="center"/>
        <w:rPr>
          <w:noProof/>
        </w:rPr>
      </w:pPr>
      <w:r>
        <w:rPr>
          <w:noProof/>
          <w:lang w:val="en-GB" w:eastAsia="en-GB"/>
        </w:rPr>
        <w:drawing>
          <wp:inline distT="0" distB="0" distL="0" distR="0" wp14:anchorId="0D2CFF8D" wp14:editId="7AA97251">
            <wp:extent cx="4881600" cy="2178000"/>
            <wp:effectExtent l="0" t="0" r="0" b="0"/>
            <wp:docPr id="57503345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81600" cy="2178000"/>
                    </a:xfrm>
                    <a:prstGeom prst="rect">
                      <a:avLst/>
                    </a:prstGeom>
                    <a:noFill/>
                  </pic:spPr>
                </pic:pic>
              </a:graphicData>
            </a:graphic>
          </wp:inline>
        </w:drawing>
      </w:r>
    </w:p>
    <w:p w14:paraId="740FED22" w14:textId="3CEA744D" w:rsidR="000E0FF6" w:rsidRPr="004A0A8E" w:rsidRDefault="00862309" w:rsidP="004A650E">
      <w:pPr>
        <w:rPr>
          <w:iCs/>
          <w:noProof/>
        </w:rPr>
      </w:pPr>
      <w:r>
        <w:rPr>
          <w:noProof/>
          <w:sz w:val="20"/>
        </w:rPr>
        <w:t xml:space="preserve">Notă: Țările care au raportat date sunt ordonate în funcție de rata lor de colectare. </w:t>
      </w:r>
    </w:p>
    <w:p w14:paraId="479A7877" w14:textId="77777777" w:rsidR="00026E6D" w:rsidRPr="00627F8D" w:rsidRDefault="00026E6D" w:rsidP="00026E6D">
      <w:pPr>
        <w:rPr>
          <w:rFonts w:eastAsia="ヒラギノ角ゴ Pro W3" w:cs="Times New Roman"/>
          <w:b/>
          <w:noProof/>
          <w:color w:val="44546A" w:themeColor="text2"/>
          <w:szCs w:val="18"/>
        </w:rPr>
      </w:pPr>
      <w:bookmarkStart w:id="37" w:name="_Ref181775049"/>
      <w:r w:rsidRPr="00627F8D">
        <w:rPr>
          <w:b/>
          <w:noProof/>
          <w:color w:val="44546A" w:themeColor="text2"/>
        </w:rPr>
        <w:t xml:space="preserve">Figura </w:t>
      </w:r>
      <w:r w:rsidRPr="00627F8D">
        <w:rPr>
          <w:rFonts w:eastAsia="ヒラギノ角ゴ Pro W3" w:cs="Times New Roman"/>
          <w:b/>
          <w:noProof/>
          <w:color w:val="44546A" w:themeColor="text2"/>
        </w:rPr>
        <w:fldChar w:fldCharType="begin"/>
      </w:r>
      <w:r w:rsidRPr="00627F8D">
        <w:rPr>
          <w:rFonts w:eastAsia="ヒラギノ角ゴ Pro W3" w:cs="Times New Roman"/>
          <w:b/>
          <w:noProof/>
          <w:color w:val="44546A" w:themeColor="text2"/>
        </w:rPr>
        <w:instrText xml:space="preserve"> SEQ Figure \* ARABIC </w:instrText>
      </w:r>
      <w:r w:rsidRPr="00627F8D">
        <w:rPr>
          <w:rFonts w:eastAsia="ヒラギノ角ゴ Pro W3" w:cs="Times New Roman"/>
          <w:b/>
          <w:noProof/>
          <w:color w:val="44546A" w:themeColor="text2"/>
        </w:rPr>
        <w:fldChar w:fldCharType="separate"/>
      </w:r>
      <w:r w:rsidRPr="00627F8D">
        <w:rPr>
          <w:rFonts w:eastAsia="ヒラギノ角ゴ Pro W3" w:cs="Times New Roman"/>
          <w:b/>
          <w:noProof/>
          <w:color w:val="44546A" w:themeColor="text2"/>
        </w:rPr>
        <w:t>10</w:t>
      </w:r>
      <w:r w:rsidRPr="00627F8D">
        <w:rPr>
          <w:rFonts w:eastAsia="ヒラギノ角ゴ Pro W3" w:cs="Times New Roman"/>
          <w:b/>
          <w:noProof/>
          <w:color w:val="44546A" w:themeColor="text2"/>
        </w:rPr>
        <w:fldChar w:fldCharType="end"/>
      </w:r>
      <w:bookmarkEnd w:id="37"/>
      <w:r w:rsidRPr="00627F8D">
        <w:rPr>
          <w:b/>
          <w:noProof/>
          <w:color w:val="44546A" w:themeColor="text2"/>
        </w:rPr>
        <w:t>: Echipamente de pescuit introduse pe piață și deșeuri de echipamente de pescuit colectate, raportate în cadrul elementului (d), valori absolute pe țări, 2022 (statele membre ale UE și țările SEE-AELS).</w:t>
      </w:r>
    </w:p>
    <w:p w14:paraId="24EEED24" w14:textId="450CEB92" w:rsidR="009A2554" w:rsidRPr="004A0A8E" w:rsidRDefault="00657A6E" w:rsidP="00862309">
      <w:pPr>
        <w:jc w:val="center"/>
        <w:rPr>
          <w:noProof/>
          <w:sz w:val="20"/>
          <w:szCs w:val="20"/>
        </w:rPr>
      </w:pPr>
      <w:r>
        <w:rPr>
          <w:noProof/>
          <w:sz w:val="20"/>
          <w:szCs w:val="20"/>
          <w:lang w:val="en-GB" w:eastAsia="en-GB"/>
        </w:rPr>
        <w:drawing>
          <wp:inline distT="0" distB="0" distL="0" distR="0" wp14:anchorId="157FC8B1" wp14:editId="62A96CCF">
            <wp:extent cx="4474800" cy="3027600"/>
            <wp:effectExtent l="0" t="0" r="2540" b="1905"/>
            <wp:docPr id="64330138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74800" cy="3027600"/>
                    </a:xfrm>
                    <a:prstGeom prst="rect">
                      <a:avLst/>
                    </a:prstGeom>
                    <a:noFill/>
                  </pic:spPr>
                </pic:pic>
              </a:graphicData>
            </a:graphic>
          </wp:inline>
        </w:drawing>
      </w:r>
    </w:p>
    <w:p w14:paraId="652F4503" w14:textId="025AE14E" w:rsidR="00862309" w:rsidRPr="004A0A8E" w:rsidRDefault="00862309" w:rsidP="00382064">
      <w:pPr>
        <w:pStyle w:val="Heading2"/>
        <w:rPr>
          <w:noProof/>
        </w:rPr>
      </w:pPr>
      <w:bookmarkStart w:id="38" w:name="_Ref180135670"/>
      <w:bookmarkStart w:id="39" w:name="_Toc185251695"/>
      <w:bookmarkStart w:id="40" w:name="_Toc185499252"/>
      <w:bookmarkStart w:id="41" w:name="_Toc221701580"/>
      <w:bookmarkStart w:id="42" w:name="_Ref180153716"/>
      <w:bookmarkStart w:id="43" w:name="_Ref182307848"/>
      <w:r>
        <w:rPr>
          <w:noProof/>
        </w:rPr>
        <w:t>Organizarea colectării datelor</w:t>
      </w:r>
      <w:bookmarkEnd w:id="38"/>
      <w:bookmarkEnd w:id="39"/>
      <w:bookmarkEnd w:id="40"/>
      <w:r>
        <w:rPr>
          <w:noProof/>
        </w:rPr>
        <w:t xml:space="preserve"> și calitatea datelor</w:t>
      </w:r>
      <w:bookmarkEnd w:id="41"/>
    </w:p>
    <w:p w14:paraId="0FFA9F2B" w14:textId="58C49D65" w:rsidR="003555E4" w:rsidRPr="00627F8D" w:rsidRDefault="003555E4" w:rsidP="003555E4">
      <w:pPr>
        <w:pStyle w:val="Heading3"/>
        <w:rPr>
          <w:noProof/>
        </w:rPr>
      </w:pPr>
      <w:bookmarkStart w:id="44" w:name="_Toc221701581"/>
      <w:bookmarkStart w:id="45" w:name="_Toc185251696"/>
      <w:bookmarkStart w:id="46" w:name="_Toc185499253"/>
      <w:r w:rsidRPr="00627F8D">
        <w:rPr>
          <w:noProof/>
        </w:rPr>
        <w:t>Organizarea colectării datelor</w:t>
      </w:r>
      <w:bookmarkEnd w:id="44"/>
    </w:p>
    <w:p w14:paraId="21A40B98" w14:textId="7ABE3C1A" w:rsidR="004D2647" w:rsidRPr="004A0A8E" w:rsidRDefault="00995512" w:rsidP="004D2647">
      <w:pPr>
        <w:rPr>
          <w:iCs/>
          <w:noProof/>
        </w:rPr>
      </w:pPr>
      <w:r>
        <w:rPr>
          <w:noProof/>
        </w:rPr>
        <w:t xml:space="preserve">Numirea raportorilor principali </w:t>
      </w:r>
      <w:bookmarkEnd w:id="45"/>
      <w:bookmarkEnd w:id="46"/>
      <w:r>
        <w:rPr>
          <w:noProof/>
        </w:rPr>
        <w:t xml:space="preserve">a durat între </w:t>
      </w:r>
      <w:r w:rsidRPr="00F249C9">
        <w:rPr>
          <w:noProof/>
        </w:rPr>
        <w:t>1</w:t>
      </w:r>
      <w:r>
        <w:rPr>
          <w:noProof/>
        </w:rPr>
        <w:t xml:space="preserve"> și </w:t>
      </w:r>
      <w:r w:rsidRPr="00F249C9">
        <w:rPr>
          <w:noProof/>
        </w:rPr>
        <w:t>8</w:t>
      </w:r>
      <w:r>
        <w:rPr>
          <w:noProof/>
        </w:rPr>
        <w:t xml:space="preserve"> luni, cu întârzieri cauzate de deficitul de personal sau de restructurări instituționale în unele țări. Cele mai frecvente instituții implicate au fost ministerele cu responsabilități în domeniul mediului și agențiile naționale de mediu (a se vedea anexa</w:t>
      </w:r>
      <w:r w:rsidR="00F249C9">
        <w:rPr>
          <w:noProof/>
        </w:rPr>
        <w:t> </w:t>
      </w:r>
      <w:r w:rsidRPr="00F249C9">
        <w:rPr>
          <w:noProof/>
        </w:rPr>
        <w:t>7</w:t>
      </w:r>
      <w:r>
        <w:rPr>
          <w:noProof/>
        </w:rPr>
        <w:t xml:space="preserve"> pentru lista instituțiilor naționale raportoare). </w:t>
      </w:r>
    </w:p>
    <w:p w14:paraId="2BC3EDCC" w14:textId="4E6B1BC2" w:rsidR="00862309" w:rsidRPr="004A0A8E" w:rsidRDefault="00995512" w:rsidP="00862309">
      <w:pPr>
        <w:rPr>
          <w:iCs/>
          <w:noProof/>
        </w:rPr>
      </w:pPr>
      <w:r>
        <w:rPr>
          <w:noProof/>
        </w:rPr>
        <w:t>Începând cu T</w:t>
      </w:r>
      <w:r w:rsidRPr="00F249C9">
        <w:rPr>
          <w:noProof/>
        </w:rPr>
        <w:t>1</w:t>
      </w:r>
      <w:r>
        <w:rPr>
          <w:noProof/>
        </w:rPr>
        <w:t xml:space="preserve"> </w:t>
      </w:r>
      <w:r w:rsidRPr="00F249C9">
        <w:rPr>
          <w:noProof/>
        </w:rPr>
        <w:t>2024</w:t>
      </w:r>
      <w:r>
        <w:rPr>
          <w:noProof/>
        </w:rPr>
        <w:t xml:space="preserve">, Agenția Europeană de Mediu a elaborat și a testat, în numele Comisiei și în strânsă colaborare cu aceasta, modele de raportare. Agenția a creat, de asemenea, materiale de sprijin, inclusiv un </w:t>
      </w:r>
      <w:hyperlink r:id="rId50" w:history="1">
        <w:r w:rsidRPr="00627F8D">
          <w:rPr>
            <w:rStyle w:val="Hyperlink"/>
            <w:noProof/>
          </w:rPr>
          <w:t>manual pentru raportori</w:t>
        </w:r>
      </w:hyperlink>
      <w:r>
        <w:rPr>
          <w:noProof/>
        </w:rPr>
        <w:t xml:space="preserve"> și a organizat trei webinare pentru a clarifica procesul. Agenția a dezvoltat un </w:t>
      </w:r>
      <w:hyperlink r:id="rId51" w:history="1">
        <w:r w:rsidRPr="00627F8D">
          <w:rPr>
            <w:rStyle w:val="Hyperlink"/>
            <w:noProof/>
          </w:rPr>
          <w:t>site web</w:t>
        </w:r>
      </w:hyperlink>
      <w:r>
        <w:rPr>
          <w:noProof/>
        </w:rPr>
        <w:t xml:space="preserve"> pentru a informa țările cu privire la cadrul juridic și pentru a oferi acces la modelele de raportare și materialele de sprijin. S-a oferit sprijin continuu prin intermediul unui serviciu de asistență tehnică. </w:t>
      </w:r>
    </w:p>
    <w:p w14:paraId="78298D11" w14:textId="6F824A18" w:rsidR="00995512" w:rsidRDefault="00A85D39" w:rsidP="00995512">
      <w:pPr>
        <w:rPr>
          <w:iCs/>
          <w:noProof/>
        </w:rPr>
      </w:pPr>
      <w:r>
        <w:rPr>
          <w:noProof/>
        </w:rPr>
        <w:t xml:space="preserve">Agenția Europeană de Mediu a revizuit în detaliu, în numele Comisiei și în strânsă colaborare cu aceasta, datele și informațiile raportate la primire și le-a îmbunătățit împreună cu raportorii naționali, pentru a se asigura că elementele au fost raportate corect, câmpurile obligatorii au fost completate, iar explicațiile din raportul de verificare a calității au fost pe deplin inteligibile. După etapa de colectare a datelor, statelor li s-a solicitat feedback prin intermediul unui chestionar. Răspunsurile au indicat un nivel ridicat de satisfacție cu privire la proces și au evidențiat provocări în materie de date pentru raportarea din </w:t>
      </w:r>
      <w:r w:rsidRPr="00F249C9">
        <w:rPr>
          <w:noProof/>
        </w:rPr>
        <w:t>2025</w:t>
      </w:r>
      <w:r>
        <w:rPr>
          <w:noProof/>
        </w:rPr>
        <w:t xml:space="preserve"> (a se vedea anexa </w:t>
      </w:r>
      <w:r w:rsidRPr="00F249C9">
        <w:rPr>
          <w:noProof/>
        </w:rPr>
        <w:t>8</w:t>
      </w:r>
      <w:r>
        <w:rPr>
          <w:noProof/>
        </w:rPr>
        <w:t xml:space="preserve"> pentru detalii). </w:t>
      </w:r>
    </w:p>
    <w:p w14:paraId="2DF2B042" w14:textId="2E1A1AC0" w:rsidR="003555E4" w:rsidRPr="00627F8D" w:rsidRDefault="003555E4" w:rsidP="003555E4">
      <w:pPr>
        <w:pStyle w:val="Heading3"/>
        <w:rPr>
          <w:noProof/>
        </w:rPr>
      </w:pPr>
      <w:bookmarkStart w:id="47" w:name="_Toc221701582"/>
      <w:bookmarkStart w:id="48" w:name="_Toc185251694"/>
      <w:bookmarkStart w:id="49" w:name="_Toc185499257"/>
      <w:r w:rsidRPr="00627F8D">
        <w:rPr>
          <w:noProof/>
        </w:rPr>
        <w:t>Calitatea datelor</w:t>
      </w:r>
      <w:bookmarkEnd w:id="47"/>
    </w:p>
    <w:bookmarkEnd w:id="48"/>
    <w:bookmarkEnd w:id="49"/>
    <w:p w14:paraId="59DCC177" w14:textId="6C5B3D61" w:rsidR="005652CD" w:rsidRDefault="001F154B" w:rsidP="00382064">
      <w:pPr>
        <w:rPr>
          <w:noProof/>
        </w:rPr>
      </w:pPr>
      <w:r>
        <w:rPr>
          <w:noProof/>
        </w:rPr>
        <w:t xml:space="preserve">Țările au utilizat surse de date și metodologii diferite și au semnalat frecvent probleme de acuratețe. Procesul de asigurare a calității a identificat, de asemenea, probleme recurente de coerență, care au fost corectate, pe cât posibil, prin furnizarea de orientări armonizate raportorilor. Cu toate acestea, este posibil ca raportorii naționali să fi interpretat diferit cerințele privind datele și informațiile, de exemplu în alegerea celor mai relevante măsuri de reducere a consumului de produse din plastic de unică folosință în cadrul elementului (b). Întrucât nu a fost obligatorie completarea unor câmpuri importante, necesare pentru înțelegerea anumitor caracteristici și limitări ale datelor, este posibil ca procesul de asigurare a calității să nu fi identificat toate limitările relevante ale datelor. Prin urmare, rezultatele acestui exercițiu de raportare din primul an ar trebui luate în considerare cu prudență. În special, este important să se evite efectuarea de comparații între țări pe baza datelor raportate. </w:t>
      </w:r>
    </w:p>
    <w:p w14:paraId="6A72BA7E" w14:textId="125F9DBA" w:rsidR="00BB3077" w:rsidRPr="00627F8D" w:rsidRDefault="00EC6E65" w:rsidP="00BD1D04">
      <w:pPr>
        <w:pStyle w:val="Heading4"/>
        <w:rPr>
          <w:noProof/>
        </w:rPr>
      </w:pPr>
      <w:bookmarkStart w:id="50" w:name="_Ref185428633"/>
      <w:bookmarkStart w:id="51" w:name="_Toc185499258"/>
      <w:bookmarkStart w:id="52" w:name="_Toc221701583"/>
      <w:r w:rsidRPr="00627F8D">
        <w:rPr>
          <w:noProof/>
        </w:rPr>
        <w:t>Surse de date și metodologii</w:t>
      </w:r>
      <w:bookmarkEnd w:id="50"/>
      <w:bookmarkEnd w:id="51"/>
      <w:bookmarkEnd w:id="52"/>
    </w:p>
    <w:p w14:paraId="6886C169" w14:textId="15F04136" w:rsidR="00EE5F15" w:rsidRDefault="00EE5F15" w:rsidP="00EE5F15">
      <w:pPr>
        <w:rPr>
          <w:noProof/>
        </w:rPr>
      </w:pPr>
      <w:r>
        <w:rPr>
          <w:noProof/>
        </w:rPr>
        <w:t>Țările și-au bazat datele pe o varietate de surse, adesea mai mult de una, iar unele țări și-au raportat sursele de date utilizând o clasificare diferită de cea furnizată de formatul de raportare</w:t>
      </w:r>
      <w:r>
        <w:rPr>
          <w:rStyle w:val="FootnoteReference"/>
          <w:noProof/>
        </w:rPr>
        <w:footnoteReference w:id="8"/>
      </w:r>
      <w:r>
        <w:rPr>
          <w:noProof/>
        </w:rPr>
        <w:t xml:space="preserve">. Multe țări au evidențiat probleme legate de calitatea datelor și au indicat că își propun să furnizeze estimări mai bune în anul următor. În unele cazuri, țările au furnizat date pentru alți ani, nu pentru </w:t>
      </w:r>
      <w:r w:rsidRPr="00F249C9">
        <w:rPr>
          <w:noProof/>
        </w:rPr>
        <w:t>2022</w:t>
      </w:r>
      <w:r>
        <w:rPr>
          <w:noProof/>
        </w:rPr>
        <w:t>, din cauza lipsei datelor pentru acest an.</w:t>
      </w:r>
    </w:p>
    <w:p w14:paraId="071E3489" w14:textId="0068958F" w:rsidR="003F0597" w:rsidRPr="004A0A8E" w:rsidRDefault="002470BD" w:rsidP="00EE5F15">
      <w:pPr>
        <w:rPr>
          <w:noProof/>
        </w:rPr>
      </w:pPr>
      <w:r>
        <w:rPr>
          <w:noProof/>
        </w:rPr>
        <w:t xml:space="preserve">Pentru </w:t>
      </w:r>
      <w:r w:rsidRPr="00627F8D">
        <w:rPr>
          <w:b/>
          <w:noProof/>
        </w:rPr>
        <w:t>elementul (a)</w:t>
      </w:r>
      <w:r>
        <w:rPr>
          <w:noProof/>
        </w:rPr>
        <w:t xml:space="preserve">, principalele surse de date au fost sistemele de răspundere extinsă a producătorilor și anchetele specifice (a se vedea anexa </w:t>
      </w:r>
      <w:r w:rsidRPr="00F249C9">
        <w:rPr>
          <w:noProof/>
        </w:rPr>
        <w:t>9</w:t>
      </w:r>
      <w:r>
        <w:rPr>
          <w:noProof/>
        </w:rPr>
        <w:t xml:space="preserve">). O singură țară (Lituania) a utilizat date provenite din sisteme de garanție-returnare (pentru pahare pentru băuturi). În majoritatea cazurilor, țările au utilizat aceleași surse de date și metodologii pentru paharele pentru băuturi ca și pentru recipientele pentru alimente, bazându-se frecvent pe date privind gestionarea deșeurilor. Majoritatea țărilor care au utilizat date din sistemele de răspundere extinsă a producătorilor au raportat pe baza greutății. Formatul de raportare pentru </w:t>
      </w:r>
      <w:r w:rsidRPr="00627F8D">
        <w:rPr>
          <w:b/>
          <w:noProof/>
        </w:rPr>
        <w:t>elementul (b)</w:t>
      </w:r>
      <w:r>
        <w:rPr>
          <w:noProof/>
        </w:rPr>
        <w:t xml:space="preserve"> nu a solicitat raportorilor să precizeze metodologia utilizată pentru raportarea acestui element. Diversitatea măsurilor raportate</w:t>
      </w:r>
      <w:r>
        <w:rPr>
          <w:rStyle w:val="FootnoteReference"/>
          <w:noProof/>
        </w:rPr>
        <w:footnoteReference w:id="9"/>
      </w:r>
      <w:r>
        <w:rPr>
          <w:noProof/>
        </w:rPr>
        <w:t xml:space="preserve"> indică existența unor metodologii destul de variate de la o țară la alta. Pentru </w:t>
      </w:r>
      <w:r w:rsidRPr="00627F8D">
        <w:rPr>
          <w:b/>
          <w:noProof/>
        </w:rPr>
        <w:t>elementul (c)</w:t>
      </w:r>
      <w:r>
        <w:rPr>
          <w:noProof/>
        </w:rPr>
        <w:t xml:space="preserve"> (sticle din plastic de unică folosință pentru băuturi introduse pe piață și colectate separat), sistemele de garanție-returnare, sistemele de răspundere extinsă a producătorilor și statisticile privind deșeurile au fost cele mai frecvent menționate surse de date (a se vedea anexa </w:t>
      </w:r>
      <w:r w:rsidRPr="00F249C9">
        <w:rPr>
          <w:noProof/>
        </w:rPr>
        <w:t>9</w:t>
      </w:r>
      <w:r>
        <w:rPr>
          <w:noProof/>
        </w:rPr>
        <w:t xml:space="preserve">). </w:t>
      </w:r>
    </w:p>
    <w:p w14:paraId="58F449E3" w14:textId="2D9938D4" w:rsidR="00862309" w:rsidRPr="004A0A8E" w:rsidRDefault="00EE5F15" w:rsidP="00862309">
      <w:pPr>
        <w:rPr>
          <w:noProof/>
        </w:rPr>
      </w:pPr>
      <w:r>
        <w:rPr>
          <w:noProof/>
        </w:rPr>
        <w:t xml:space="preserve">Pentru </w:t>
      </w:r>
      <w:r w:rsidRPr="00627F8D">
        <w:rPr>
          <w:b/>
          <w:noProof/>
        </w:rPr>
        <w:t>elementul (d)</w:t>
      </w:r>
      <w:r>
        <w:rPr>
          <w:noProof/>
        </w:rPr>
        <w:t xml:space="preserve"> (echipamente de pescuit introduse pe piață și deșeuri de echipamente de pescuit colectate), cele mai frecvent utilizate surse de date, inclusiv de către țările care au raportat cele mai mari cantități, au fost anchetele realizate în rândul producătorilor de echipamente și al operatorilor portuari, precum și statisticile comerciale (a se vedea anexa </w:t>
      </w:r>
      <w:r w:rsidRPr="00F249C9">
        <w:rPr>
          <w:noProof/>
        </w:rPr>
        <w:t>9</w:t>
      </w:r>
      <w:r>
        <w:rPr>
          <w:noProof/>
        </w:rPr>
        <w:t>). Patru țări au declarat că au utilizat date din sistemele de răspundere extinsă a producătorilor. Nicio țară nu a indicat utilizarea factorilor de conversie pentru obținerea datelor.</w:t>
      </w:r>
      <w:bookmarkEnd w:id="42"/>
      <w:bookmarkEnd w:id="43"/>
    </w:p>
    <w:p w14:paraId="2EC35D89" w14:textId="77777777" w:rsidR="00862309" w:rsidRPr="00627F8D" w:rsidRDefault="00862309" w:rsidP="00E30188">
      <w:pPr>
        <w:pStyle w:val="Heading4"/>
        <w:rPr>
          <w:noProof/>
        </w:rPr>
      </w:pPr>
      <w:bookmarkStart w:id="53" w:name="_Ref182464605"/>
      <w:bookmarkStart w:id="54" w:name="_Toc185251705"/>
      <w:bookmarkStart w:id="55" w:name="_Toc185499259"/>
      <w:bookmarkStart w:id="56" w:name="_Toc221701584"/>
      <w:r w:rsidRPr="00627F8D">
        <w:rPr>
          <w:noProof/>
        </w:rPr>
        <w:t>Integralitate</w:t>
      </w:r>
      <w:bookmarkEnd w:id="53"/>
      <w:bookmarkEnd w:id="54"/>
      <w:bookmarkEnd w:id="55"/>
      <w:bookmarkEnd w:id="56"/>
    </w:p>
    <w:p w14:paraId="5B53BF60" w14:textId="7188B2AE" w:rsidR="00347394" w:rsidRPr="00544BD6" w:rsidRDefault="00347394" w:rsidP="00347394">
      <w:pPr>
        <w:rPr>
          <w:rFonts w:cstheme="minorHAnsi"/>
          <w:noProof/>
        </w:rPr>
      </w:pPr>
      <w:r>
        <w:rPr>
          <w:noProof/>
        </w:rPr>
        <w:t xml:space="preserve">În total, </w:t>
      </w:r>
      <w:r w:rsidRPr="00F249C9">
        <w:rPr>
          <w:noProof/>
        </w:rPr>
        <w:t>29</w:t>
      </w:r>
      <w:r>
        <w:rPr>
          <w:noProof/>
        </w:rPr>
        <w:t xml:space="preserve"> de țări au raportat datele și informațiile necesare pentru a-și îndeplini obligațiile de raportare pentru </w:t>
      </w:r>
      <w:r w:rsidRPr="00F249C9">
        <w:rPr>
          <w:noProof/>
        </w:rPr>
        <w:t>2024</w:t>
      </w:r>
      <w:r>
        <w:rPr>
          <w:noProof/>
        </w:rPr>
        <w:t xml:space="preserve"> - toate statele membre ale UE și </w:t>
      </w:r>
      <w:r w:rsidRPr="00F249C9">
        <w:rPr>
          <w:noProof/>
        </w:rPr>
        <w:t>2</w:t>
      </w:r>
      <w:r>
        <w:rPr>
          <w:noProof/>
        </w:rPr>
        <w:t xml:space="preserve"> țări SEE-AELS (Islanda și Norvegia). Toate aceste țări au raportat date pentru elementele (b) și (c), în timp ce </w:t>
      </w:r>
      <w:r w:rsidRPr="00F249C9">
        <w:rPr>
          <w:noProof/>
        </w:rPr>
        <w:t>27</w:t>
      </w:r>
      <w:r>
        <w:rPr>
          <w:noProof/>
        </w:rPr>
        <w:t xml:space="preserve"> de țări au raportat date pentru elementul (a) și </w:t>
      </w:r>
      <w:r w:rsidRPr="00F249C9">
        <w:rPr>
          <w:noProof/>
        </w:rPr>
        <w:t>25</w:t>
      </w:r>
      <w:r>
        <w:rPr>
          <w:noProof/>
        </w:rPr>
        <w:t xml:space="preserve"> de țări au raportat date pentru elementul (d). Majoritatea țărilor au raportat numai datele obligatorii. Per ansamblu, nicio țară nu a furnizat date care să permită evaluarea impactului circulației, comerțului, operatorilor neconformi, vânzărilor online sau al normelor </w:t>
      </w:r>
      <w:r w:rsidRPr="00627F8D">
        <w:rPr>
          <w:i/>
          <w:noProof/>
        </w:rPr>
        <w:t>de minimis</w:t>
      </w:r>
      <w:r>
        <w:rPr>
          <w:noProof/>
        </w:rPr>
        <w:t>.</w:t>
      </w:r>
      <w:r>
        <w:rPr>
          <w:noProof/>
          <w:color w:val="000000" w:themeColor="text1"/>
        </w:rPr>
        <w:t xml:space="preserve"> Pentru elementul (b), datele obligatorii au fost foarte limitate, ceea ce a îngreunat identificarea și înțelegerea măsurilor în vigoare</w:t>
      </w:r>
      <w:r>
        <w:rPr>
          <w:rStyle w:val="FootnoteReference"/>
          <w:rFonts w:eastAsia="Aptos" w:cstheme="minorHAnsi"/>
          <w:noProof/>
          <w:color w:val="000000" w:themeColor="text1"/>
        </w:rPr>
        <w:footnoteReference w:id="10"/>
      </w:r>
      <w:r>
        <w:rPr>
          <w:noProof/>
          <w:color w:val="000000" w:themeColor="text1"/>
        </w:rPr>
        <w:t xml:space="preserve">. În ceea ce privește raportarea elementului (a), </w:t>
      </w:r>
      <w:r>
        <w:rPr>
          <w:noProof/>
        </w:rPr>
        <w:t>unele câmpuri de date obligatorii au lipsit din rapoartele de țară, adesea din cauza: (i) disponibilității limitate a datelor privind produsele fabricate parțial din plastic; sau (ii) statisticilor care nu au făcut distincție între produsele fabricate integral din plastic și produsele fabricate parțial din plastic. Pentru elementul (c), au fost raportate valori zero sau nu au fost raportate valori pentru deșeurile colectate separat într-un mod care nu era conform cu cerințele Directivei privind produsele din plastic de unică folosință. Pentru elementul (d): (i) nu toate țările au raportat cantitățile de deșeuri de echipamente de pescuit colectate, iar aceste cantități sunt necesare pentru calcularea ratei de colectare; și (ii) doar câteva țări au furnizat date voluntare defalcate în funcție de material și de tipul de echipamente de pescuit.</w:t>
      </w:r>
    </w:p>
    <w:p w14:paraId="2732B67D" w14:textId="046C479C" w:rsidR="00826F75" w:rsidRDefault="00E553E6" w:rsidP="00826F75">
      <w:pPr>
        <w:rPr>
          <w:noProof/>
        </w:rPr>
      </w:pPr>
      <w:r>
        <w:rPr>
          <w:noProof/>
        </w:rPr>
        <w:t xml:space="preserve">Țările au indicat frecvent că se așteaptă să îmbunătățească exhaustivitatea raportării în anii următori, în special ca urmare a instituirii sistemelor de răspundere extinsă a producătorilor, începând cu </w:t>
      </w:r>
      <w:r w:rsidRPr="00F249C9">
        <w:rPr>
          <w:noProof/>
        </w:rPr>
        <w:t>1</w:t>
      </w:r>
      <w:r w:rsidR="00F249C9">
        <w:rPr>
          <w:noProof/>
        </w:rPr>
        <w:t> </w:t>
      </w:r>
      <w:r>
        <w:rPr>
          <w:noProof/>
        </w:rPr>
        <w:t xml:space="preserve">ianuarie </w:t>
      </w:r>
      <w:r w:rsidRPr="00F249C9">
        <w:rPr>
          <w:noProof/>
        </w:rPr>
        <w:t>2025</w:t>
      </w:r>
      <w:r>
        <w:rPr>
          <w:noProof/>
        </w:rPr>
        <w:t xml:space="preserve">. </w:t>
      </w:r>
      <w:bookmarkStart w:id="57" w:name="_Ref181949761"/>
      <w:bookmarkStart w:id="58" w:name="_Ref184981963"/>
      <w:bookmarkStart w:id="59" w:name="_Toc185251710"/>
    </w:p>
    <w:p w14:paraId="148267FD" w14:textId="2084F188" w:rsidR="00862309" w:rsidRPr="00627F8D" w:rsidRDefault="00862309" w:rsidP="00CE192F">
      <w:pPr>
        <w:pStyle w:val="Heading4"/>
        <w:rPr>
          <w:noProof/>
        </w:rPr>
      </w:pPr>
      <w:bookmarkStart w:id="60" w:name="_Ref185428640"/>
      <w:bookmarkStart w:id="61" w:name="_Toc185499260"/>
      <w:bookmarkStart w:id="62" w:name="_Toc221701585"/>
      <w:r w:rsidRPr="00627F8D">
        <w:rPr>
          <w:noProof/>
        </w:rPr>
        <w:t>Fiabilitate</w:t>
      </w:r>
      <w:bookmarkEnd w:id="57"/>
      <w:bookmarkEnd w:id="58"/>
      <w:bookmarkEnd w:id="59"/>
      <w:bookmarkEnd w:id="60"/>
      <w:bookmarkEnd w:id="61"/>
      <w:bookmarkEnd w:id="62"/>
    </w:p>
    <w:p w14:paraId="267EF5F7" w14:textId="34720808" w:rsidR="005607EA" w:rsidRPr="00375E31" w:rsidRDefault="00DF3AE9" w:rsidP="005607EA">
      <w:pPr>
        <w:rPr>
          <w:noProof/>
        </w:rPr>
      </w:pPr>
      <w:r>
        <w:rPr>
          <w:noProof/>
        </w:rPr>
        <w:t>Țările au făcut frecvent referire la limitări ale datelor și la probleme de acuratețe. Metodele de verificare a datelor au fost utilizate doar de un număr limitat de țări [</w:t>
      </w:r>
      <w:r w:rsidRPr="00F249C9">
        <w:rPr>
          <w:noProof/>
        </w:rPr>
        <w:t>17</w:t>
      </w:r>
      <w:r>
        <w:rPr>
          <w:noProof/>
        </w:rPr>
        <w:t xml:space="preserve"> pentru elementul (a), </w:t>
      </w:r>
      <w:r w:rsidRPr="00F249C9">
        <w:rPr>
          <w:noProof/>
        </w:rPr>
        <w:t>22</w:t>
      </w:r>
      <w:r w:rsidR="00F249C9">
        <w:rPr>
          <w:noProof/>
        </w:rPr>
        <w:t> </w:t>
      </w:r>
      <w:r>
        <w:rPr>
          <w:noProof/>
        </w:rPr>
        <w:t xml:space="preserve">pentru elementul (b) și </w:t>
      </w:r>
      <w:r w:rsidRPr="00F249C9">
        <w:rPr>
          <w:noProof/>
        </w:rPr>
        <w:t>9</w:t>
      </w:r>
      <w:r>
        <w:rPr>
          <w:noProof/>
        </w:rPr>
        <w:t xml:space="preserve"> pentru elementul (d)], cele mai frecvent utilizate metode fiind verificările privind exhaustivitatea datelor și controalele încrucișate. Au fost identificate mai multe probleme de acuratețe (a se vedea anexa </w:t>
      </w:r>
      <w:r w:rsidRPr="00F249C9">
        <w:rPr>
          <w:noProof/>
        </w:rPr>
        <w:t>10</w:t>
      </w:r>
      <w:r>
        <w:rPr>
          <w:noProof/>
        </w:rPr>
        <w:t>), în special în ceea ce privește datele referitoare la pahare pentru băuturi și recipiente pentru alimente, cele mai frecvent semnalate fiind problemele legate de eșantionare și acoperire. Limitările datelor și problemele de acuratețe impun prudență în interpretarea datelor.</w:t>
      </w:r>
    </w:p>
    <w:p w14:paraId="6FAEDA4C" w14:textId="27F9BAD1" w:rsidR="005607EA" w:rsidRPr="005607EA" w:rsidRDefault="005607EA" w:rsidP="005607EA">
      <w:pPr>
        <w:rPr>
          <w:noProof/>
        </w:rPr>
      </w:pPr>
      <w:r>
        <w:rPr>
          <w:noProof/>
        </w:rPr>
        <w:t xml:space="preserve">Compararea datelor raportate între țări poate contribui, de asemenea, la evaluarea fiabilității datelor. De exemplu, valorile pe cap de locuitor au prezentat variații considerabile, ceea ce sugerează fie: (i) o posibilă subraportare (de exemplu, din cauza eforturilor limitate de colectare a datelor); sau (ii) o posibilă supraraportare de către unele țări (de exemplu, date care acoperă un domeniu de aplicare mai larg decât cel pe care Directiva privind produsele din plastic de unică folosință intenționează să îl monitorizeze). Datele raportate privind echipamentele de pescuit au evidențiat, de asemenea, diferențe foarte mari între țări, multe dintre acestea declarând limitări semnificative ale datelor pentru acest prim an de raportare. </w:t>
      </w:r>
    </w:p>
    <w:p w14:paraId="7FC36C89" w14:textId="7B07E967" w:rsidR="00201136" w:rsidRDefault="00201136" w:rsidP="00201136">
      <w:pPr>
        <w:rPr>
          <w:noProof/>
        </w:rPr>
      </w:pPr>
      <w:r>
        <w:rPr>
          <w:noProof/>
        </w:rPr>
        <w:t>Deși sfera raportării și statisticile privind ambalajele din plastic raportate în temeiul Directivei privind produsele din plastic de unică folosință diferă parțial</w:t>
      </w:r>
      <w:r>
        <w:rPr>
          <w:rStyle w:val="FootnoteReference"/>
          <w:noProof/>
        </w:rPr>
        <w:footnoteReference w:id="11"/>
      </w:r>
      <w:r>
        <w:rPr>
          <w:noProof/>
        </w:rPr>
        <w:t>, compararea valorilor raportate cu statisticile privind deșeurile de ambalaje din plastic</w:t>
      </w:r>
      <w:r>
        <w:rPr>
          <w:rStyle w:val="FootnoteReference"/>
          <w:noProof/>
        </w:rPr>
        <w:footnoteReference w:id="12"/>
      </w:r>
      <w:r>
        <w:rPr>
          <w:noProof/>
        </w:rPr>
        <w:t xml:space="preserve"> [pentru elementele (a) și (c)] poate permite evaluarea fiabilității cifrelor. </w:t>
      </w:r>
    </w:p>
    <w:p w14:paraId="21F98016" w14:textId="5A325038" w:rsidR="005607EA" w:rsidRDefault="00B7322A" w:rsidP="005607EA">
      <w:pPr>
        <w:rPr>
          <w:noProof/>
        </w:rPr>
      </w:pPr>
      <w:r>
        <w:rPr>
          <w:noProof/>
        </w:rPr>
        <w:t>Diferențele dintre cele două seturi de date pot indica potențiale probleme de acuratețe. De exemplu, în timp ce greutatea totală a materialului plastic</w:t>
      </w:r>
      <w:r>
        <w:rPr>
          <w:rStyle w:val="FootnoteReference"/>
          <w:iCs/>
          <w:noProof/>
        </w:rPr>
        <w:footnoteReference w:id="13"/>
      </w:r>
      <w:r>
        <w:rPr>
          <w:noProof/>
        </w:rPr>
        <w:t xml:space="preserve"> aferent paharelor pentru băuturi și recipientelor pentru alimente raportate în cadrul elementului (a) reprezintă, în medie, aproape </w:t>
      </w:r>
      <w:r w:rsidRPr="00F249C9">
        <w:rPr>
          <w:noProof/>
        </w:rPr>
        <w:t>8</w:t>
      </w:r>
      <w:r>
        <w:rPr>
          <w:noProof/>
        </w:rPr>
        <w:t xml:space="preserve"> % din volumul deșeurilor de ambalaje din plastic generate în același set de țări, valorile la nivel de țară au variat între </w:t>
      </w:r>
      <w:r w:rsidRPr="00F249C9">
        <w:rPr>
          <w:noProof/>
        </w:rPr>
        <w:t>2</w:t>
      </w:r>
      <w:r>
        <w:rPr>
          <w:noProof/>
        </w:rPr>
        <w:t xml:space="preserve"> % și </w:t>
      </w:r>
      <w:r w:rsidRPr="00F249C9">
        <w:rPr>
          <w:noProof/>
        </w:rPr>
        <w:t>23</w:t>
      </w:r>
      <w:r>
        <w:rPr>
          <w:noProof/>
        </w:rPr>
        <w:t xml:space="preserve"> %. În mod similar, cantitățile totale de sticle din plastic de unică folosință pentru băuturi introduse pe piață reprezintă, în medie, </w:t>
      </w:r>
      <w:r w:rsidRPr="00F249C9">
        <w:rPr>
          <w:noProof/>
        </w:rPr>
        <w:t>19</w:t>
      </w:r>
      <w:r>
        <w:rPr>
          <w:noProof/>
        </w:rPr>
        <w:t xml:space="preserve"> % din volumul deșeurilor de ambalaje din plastic generate la nivelul tuturor țărilor (valorile pentru fiecare țară fiind, de regulă, mai apropiate de valorile aferente ambalajelor din plastic introduse pe piață în țara respectivă), însă valorile pentru acest indicator variază în continuare între </w:t>
      </w:r>
      <w:r w:rsidRPr="00F249C9">
        <w:rPr>
          <w:noProof/>
        </w:rPr>
        <w:t>0</w:t>
      </w:r>
      <w:r>
        <w:rPr>
          <w:noProof/>
        </w:rPr>
        <w:t xml:space="preserve"> % și </w:t>
      </w:r>
      <w:r w:rsidRPr="00F249C9">
        <w:rPr>
          <w:noProof/>
        </w:rPr>
        <w:t>69</w:t>
      </w:r>
      <w:r>
        <w:rPr>
          <w:noProof/>
        </w:rPr>
        <w:t xml:space="preserve"> %. </w:t>
      </w:r>
    </w:p>
    <w:p w14:paraId="66B4CF24" w14:textId="305E506B" w:rsidR="00E64865" w:rsidRDefault="00C22F03" w:rsidP="005607EA">
      <w:pPr>
        <w:rPr>
          <w:noProof/>
        </w:rPr>
      </w:pPr>
      <w:r>
        <w:rPr>
          <w:noProof/>
        </w:rPr>
        <w:t>În ceea ce privește elementul (b), informațiile raportate ar trebui considerate o primă încercare de a oferi o imagine de ansamblu asupra tipurilor de măsuri puse în aplicare de țări, întrucât abordările au variat considerabil între țări, iar informațiile disponibile au fost limitate, ceea ce a îngreunat evaluarea măsurilor raportate.</w:t>
      </w:r>
    </w:p>
    <w:p w14:paraId="6EA1B0BA" w14:textId="7C026F04" w:rsidR="00862309" w:rsidRPr="004A0A8E" w:rsidRDefault="00D2335A" w:rsidP="00862309">
      <w:pPr>
        <w:rPr>
          <w:noProof/>
        </w:rPr>
      </w:pPr>
      <w:r>
        <w:rPr>
          <w:noProof/>
        </w:rPr>
        <w:t>Problemele de acuratețe semnalate pentru elementul (d), în cazul căruia, în general, au fost vizați doar actorii mari/porturile mari, indică o posibilă subestimare a valorilor reale.</w:t>
      </w:r>
    </w:p>
    <w:p w14:paraId="6990A7D1" w14:textId="77777777" w:rsidR="00862309" w:rsidRPr="00627F8D" w:rsidRDefault="00862309" w:rsidP="00AF13E5">
      <w:pPr>
        <w:pStyle w:val="Heading4"/>
        <w:rPr>
          <w:noProof/>
        </w:rPr>
      </w:pPr>
      <w:bookmarkStart w:id="63" w:name="_Ref183437978"/>
      <w:bookmarkStart w:id="64" w:name="_Toc185251715"/>
      <w:bookmarkStart w:id="65" w:name="_Toc185499261"/>
      <w:bookmarkStart w:id="66" w:name="_Toc221701586"/>
      <w:r w:rsidRPr="00627F8D">
        <w:rPr>
          <w:noProof/>
        </w:rPr>
        <w:t>Actualitate</w:t>
      </w:r>
      <w:bookmarkEnd w:id="63"/>
      <w:bookmarkEnd w:id="64"/>
      <w:bookmarkEnd w:id="65"/>
      <w:bookmarkEnd w:id="66"/>
    </w:p>
    <w:p w14:paraId="582CE915" w14:textId="1443FB69" w:rsidR="00862309" w:rsidRPr="004A0A8E" w:rsidRDefault="00862309" w:rsidP="00862309">
      <w:pPr>
        <w:rPr>
          <w:iCs/>
          <w:noProof/>
        </w:rPr>
      </w:pPr>
      <w:r>
        <w:rPr>
          <w:noProof/>
        </w:rPr>
        <w:t xml:space="preserve">Termenul de raportare a fost </w:t>
      </w:r>
      <w:r w:rsidRPr="00F249C9">
        <w:rPr>
          <w:noProof/>
        </w:rPr>
        <w:t>30</w:t>
      </w:r>
      <w:r>
        <w:rPr>
          <w:noProof/>
        </w:rPr>
        <w:t xml:space="preserve"> iunie </w:t>
      </w:r>
      <w:r w:rsidRPr="00F249C9">
        <w:rPr>
          <w:noProof/>
        </w:rPr>
        <w:t>2024</w:t>
      </w:r>
      <w:r>
        <w:rPr>
          <w:noProof/>
        </w:rPr>
        <w:t xml:space="preserve">, </w:t>
      </w:r>
      <w:r w:rsidRPr="00F249C9">
        <w:rPr>
          <w:noProof/>
        </w:rPr>
        <w:t>18</w:t>
      </w:r>
      <w:r>
        <w:rPr>
          <w:noProof/>
        </w:rPr>
        <w:t xml:space="preserve"> țări raportând până la acest termen (</w:t>
      </w:r>
      <w:r w:rsidRPr="00F249C9">
        <w:rPr>
          <w:noProof/>
        </w:rPr>
        <w:t>16</w:t>
      </w:r>
      <w:r>
        <w:rPr>
          <w:noProof/>
        </w:rPr>
        <w:t xml:space="preserve"> state membre ale UE și </w:t>
      </w:r>
      <w:r w:rsidRPr="00F249C9">
        <w:rPr>
          <w:noProof/>
        </w:rPr>
        <w:t>2</w:t>
      </w:r>
      <w:r>
        <w:rPr>
          <w:noProof/>
        </w:rPr>
        <w:t xml:space="preserve"> țări SEE-AELS) (a se vedea anexa </w:t>
      </w:r>
      <w:r w:rsidRPr="00F249C9">
        <w:rPr>
          <w:noProof/>
        </w:rPr>
        <w:t>7</w:t>
      </w:r>
      <w:r>
        <w:rPr>
          <w:noProof/>
        </w:rPr>
        <w:t xml:space="preserve">). Alte trei țări au raportat cu o mica întârziere (mai puțin de o lună), iar restul rapoartelor au fost transmise ulterior, ultima țară depunând documentele la sfârșitul lunii noiembrie </w:t>
      </w:r>
      <w:r w:rsidRPr="00F249C9">
        <w:rPr>
          <w:noProof/>
        </w:rPr>
        <w:t>2024</w:t>
      </w:r>
      <w:r>
        <w:rPr>
          <w:noProof/>
        </w:rPr>
        <w:t>. O țară nu a finalizat pe deplin procesul de asigurare a calității.</w:t>
      </w:r>
    </w:p>
    <w:p w14:paraId="4DF69D59" w14:textId="6FEF1D03" w:rsidR="00862309" w:rsidRPr="003D6EFB" w:rsidRDefault="00862309" w:rsidP="00862309">
      <w:pPr>
        <w:rPr>
          <w:noProof/>
        </w:rPr>
      </w:pPr>
      <w:r>
        <w:rPr>
          <w:noProof/>
        </w:rPr>
        <w:t xml:space="preserve">Din cauza întârzierilor de raportare în unele țări, diferite etape ale procesului au trebuit să fie derulate în paralel pentru diferite subseturi de țări. Multe țări au indicat că procesul de colectare a datelor pentru anumite elemente, precum echipamentele de pescuit, a întârziat raportarea. </w:t>
      </w:r>
    </w:p>
    <w:p w14:paraId="08FF4D8E" w14:textId="77777777" w:rsidR="00862309" w:rsidRPr="00627F8D" w:rsidRDefault="00862309" w:rsidP="00EA4B37">
      <w:pPr>
        <w:pStyle w:val="Heading4"/>
        <w:rPr>
          <w:noProof/>
        </w:rPr>
      </w:pPr>
      <w:bookmarkStart w:id="67" w:name="_Ref184981969"/>
      <w:bookmarkStart w:id="68" w:name="_Toc185251716"/>
      <w:bookmarkStart w:id="69" w:name="_Toc185499262"/>
      <w:bookmarkStart w:id="70" w:name="_Toc221701587"/>
      <w:r w:rsidRPr="00627F8D">
        <w:rPr>
          <w:noProof/>
        </w:rPr>
        <w:t>Coerență</w:t>
      </w:r>
      <w:bookmarkEnd w:id="67"/>
      <w:bookmarkEnd w:id="68"/>
      <w:bookmarkEnd w:id="69"/>
      <w:bookmarkEnd w:id="70"/>
      <w:r w:rsidRPr="00627F8D">
        <w:rPr>
          <w:noProof/>
        </w:rPr>
        <w:t xml:space="preserve"> </w:t>
      </w:r>
    </w:p>
    <w:p w14:paraId="787AD8C3" w14:textId="62963085" w:rsidR="00056DDB" w:rsidRDefault="00862309" w:rsidP="00056DDB">
      <w:pPr>
        <w:rPr>
          <w:noProof/>
        </w:rPr>
      </w:pPr>
      <w:r>
        <w:rPr>
          <w:noProof/>
        </w:rPr>
        <w:t xml:space="preserve">În cursul procesului de raportare au apărut mai multe probleme de coerență, de exemplu: (i) interpretări diferite ale conținutului care trebuia raportat; (ii) valori raportate ca fiind zero, care erau, în fapt, valori lipsă; sau (iii) utilizarea unor unități diferite de cele indicate în modelele de raportare. Aceste probleme au fost corectate, pe cât posibil, în cadrul procesului de asigurare a calității. Totuși, rapoartele rezultate prezintă în continuare un anumit grad de variație. </w:t>
      </w:r>
    </w:p>
    <w:p w14:paraId="2CF89224" w14:textId="3BE2DFFC" w:rsidR="003B7894" w:rsidRDefault="003B7894" w:rsidP="00056DDB">
      <w:pPr>
        <w:rPr>
          <w:noProof/>
        </w:rPr>
      </w:pPr>
      <w:r>
        <w:rPr>
          <w:noProof/>
        </w:rPr>
        <w:t>Coerența în timp va fi evaluată în cadrul exercițiului de raportare din anul următor. Se preconizează că o îmbunătățire a calității datelor, pe baza experienței dobândite în acest an.</w:t>
      </w:r>
    </w:p>
    <w:p w14:paraId="1DD72013" w14:textId="77777777" w:rsidR="00862309" w:rsidRPr="005E56F8" w:rsidRDefault="00862309" w:rsidP="003B7894">
      <w:pPr>
        <w:pStyle w:val="Heading2"/>
        <w:rPr>
          <w:noProof/>
        </w:rPr>
      </w:pPr>
      <w:bookmarkStart w:id="71" w:name="_Ref180135809"/>
      <w:bookmarkStart w:id="72" w:name="_Toc185251722"/>
      <w:bookmarkStart w:id="73" w:name="_Toc185499263"/>
      <w:bookmarkStart w:id="74" w:name="_Toc221701588"/>
      <w:r>
        <w:rPr>
          <w:noProof/>
        </w:rPr>
        <w:t>Recomandări de îmbunătățire</w:t>
      </w:r>
      <w:bookmarkEnd w:id="71"/>
      <w:bookmarkEnd w:id="72"/>
      <w:bookmarkEnd w:id="73"/>
      <w:bookmarkEnd w:id="74"/>
    </w:p>
    <w:p w14:paraId="60F636CB" w14:textId="0F6D204E" w:rsidR="00862309" w:rsidRPr="00AF13E5" w:rsidRDefault="00013E6B" w:rsidP="00862309">
      <w:pPr>
        <w:rPr>
          <w:iCs/>
          <w:noProof/>
        </w:rPr>
      </w:pPr>
      <w:r>
        <w:rPr>
          <w:noProof/>
        </w:rPr>
        <w:t xml:space="preserve">Raportorii au apreciat în mare măsură sprijinul oferit pe parcursul procesului de raportare de către Agenția Europeană de Mediu, în strânsă colaborare cu Comisia (a se vedea anexa </w:t>
      </w:r>
      <w:r w:rsidRPr="00F249C9">
        <w:rPr>
          <w:noProof/>
        </w:rPr>
        <w:t>8</w:t>
      </w:r>
      <w:r>
        <w:rPr>
          <w:noProof/>
        </w:rPr>
        <w:t>). Cu toate acestea, anumite aspecte ar putea fi îmbunătățite în vederea raportărilor viitoare, dintre care cinci sunt prezentate în punctele de mai jos.</w:t>
      </w:r>
    </w:p>
    <w:p w14:paraId="41AC4BFF" w14:textId="7594616D" w:rsidR="00041290" w:rsidRPr="00AF13E5" w:rsidRDefault="00B540A3" w:rsidP="00041290">
      <w:pPr>
        <w:pStyle w:val="ListParagraph"/>
        <w:numPr>
          <w:ilvl w:val="0"/>
          <w:numId w:val="9"/>
        </w:numPr>
        <w:ind w:left="426"/>
        <w:rPr>
          <w:iCs/>
          <w:noProof/>
        </w:rPr>
      </w:pPr>
      <w:r w:rsidRPr="00627F8D">
        <w:rPr>
          <w:b/>
          <w:noProof/>
        </w:rPr>
        <w:t>Numirea unor raportori principali</w:t>
      </w:r>
      <w:r>
        <w:rPr>
          <w:noProof/>
        </w:rPr>
        <w:t xml:space="preserve">. Țările ar trebui să asigure continuitatea procesului, să informeze Comisia cu privire la modificările echipelor de raportare și să asigure respectarea termenelor de raportare, având în vedere întârzierile semnificative înregistrate în acest an. </w:t>
      </w:r>
    </w:p>
    <w:p w14:paraId="6A5E0B5B" w14:textId="6AF45FE1" w:rsidR="000836FF" w:rsidRPr="00041290" w:rsidRDefault="00862309" w:rsidP="00041290">
      <w:pPr>
        <w:pStyle w:val="ListParagraph"/>
        <w:numPr>
          <w:ilvl w:val="0"/>
          <w:numId w:val="9"/>
        </w:numPr>
        <w:ind w:left="426"/>
        <w:rPr>
          <w:iCs/>
          <w:noProof/>
        </w:rPr>
      </w:pPr>
      <w:r w:rsidRPr="00627F8D">
        <w:rPr>
          <w:b/>
          <w:noProof/>
        </w:rPr>
        <w:t>Colectarea datelor de către țări</w:t>
      </w:r>
      <w:r>
        <w:rPr>
          <w:noProof/>
        </w:rPr>
        <w:t xml:space="preserve">. În general, țările au raportat numai datele obligatorii. Aspecte precum circulația, fluxurile comerciale, operatorii neconformi etc. nu au fost raportate, în pofida relevanței lor în unele țări. Descrierea măsurilor adoptate de țări pentru reducerea consumului [elementul (b)] a fost, de asemenea, per ansamblu limitată, ceea ce a făcut imposibilă o evaluare adecvată. În plus, rezultatele sondajului realizat la sfârșitul perioadei de raportare din acest an (a se vedea anexa </w:t>
      </w:r>
      <w:r w:rsidRPr="00F249C9">
        <w:rPr>
          <w:noProof/>
        </w:rPr>
        <w:t>8</w:t>
      </w:r>
      <w:r>
        <w:rPr>
          <w:noProof/>
        </w:rPr>
        <w:t xml:space="preserve">) arată că: (i) majoritatea țărilor nu se așteaptă ca datele provenite din sistemele de răspundere extinsă a producătorilor instituite în temeiul Directivei privind produsele din plastic de unică folosință să fie disponibile pentru raportarea din </w:t>
      </w:r>
      <w:r w:rsidRPr="00F249C9">
        <w:rPr>
          <w:noProof/>
        </w:rPr>
        <w:t>2025</w:t>
      </w:r>
      <w:r>
        <w:rPr>
          <w:noProof/>
        </w:rPr>
        <w:t xml:space="preserve"> (anul de referință </w:t>
      </w:r>
      <w:r w:rsidRPr="00F249C9">
        <w:rPr>
          <w:noProof/>
        </w:rPr>
        <w:t>2023</w:t>
      </w:r>
      <w:r>
        <w:rPr>
          <w:noProof/>
        </w:rPr>
        <w:t xml:space="preserve">); și (ii) doar câteva țări au identificat deja surse de date pentru cele două obligații suplimentare de raportare pentru </w:t>
      </w:r>
      <w:r w:rsidRPr="00F249C9">
        <w:rPr>
          <w:noProof/>
        </w:rPr>
        <w:t>2025</w:t>
      </w:r>
      <w:r>
        <w:rPr>
          <w:noProof/>
        </w:rPr>
        <w:t xml:space="preserve">, și anume elementele (e) și (f) din tabelul </w:t>
      </w:r>
      <w:r w:rsidRPr="00F249C9">
        <w:rPr>
          <w:noProof/>
        </w:rPr>
        <w:t>1</w:t>
      </w:r>
      <w:r>
        <w:rPr>
          <w:noProof/>
        </w:rPr>
        <w:t xml:space="preserve">. Prin urmare, se încurajează îmbunătățirea raportării datelor obligatorii și voluntare, pentru toate elementele prevăzute pentru </w:t>
      </w:r>
      <w:r w:rsidRPr="00F249C9">
        <w:rPr>
          <w:noProof/>
        </w:rPr>
        <w:t>2025</w:t>
      </w:r>
      <w:r>
        <w:rPr>
          <w:noProof/>
        </w:rPr>
        <w:t xml:space="preserve">. Se recomandă schimburi între țări privind bunele practici și o colaborare mai strânsă la nivel național între colegii care lucrează în domeniul statisticilor industriale și al statisticilor privind deșeurile. </w:t>
      </w:r>
    </w:p>
    <w:p w14:paraId="250D2978" w14:textId="18327BE6" w:rsidR="000F2C11" w:rsidRPr="00BD3CAB" w:rsidRDefault="00862309" w:rsidP="000F2C11">
      <w:pPr>
        <w:pStyle w:val="ListParagraph"/>
        <w:numPr>
          <w:ilvl w:val="0"/>
          <w:numId w:val="9"/>
        </w:numPr>
        <w:ind w:left="426"/>
        <w:rPr>
          <w:iCs/>
          <w:noProof/>
        </w:rPr>
      </w:pPr>
      <w:r w:rsidRPr="00627F8D">
        <w:rPr>
          <w:b/>
          <w:noProof/>
        </w:rPr>
        <w:t>Completarea modelelor de raportare</w:t>
      </w:r>
      <w:r>
        <w:rPr>
          <w:noProof/>
        </w:rPr>
        <w:t>. Valorificarea deplină a sprijinului oferit raportorilor de către Comisie este ferm încurajată, în vederea: (i) sporirii coerenței și clarității datelor și informațiilor raportate; și (ii) reducerii sarcinii asupra procesului de asigurare a calității. Ar trebui acordată o atenție deosebită atât domeniilor care au ridicat cele mai multe provocări în cursul primului an de raportare</w:t>
      </w:r>
      <w:r>
        <w:rPr>
          <w:rStyle w:val="FootnoteReference"/>
          <w:iCs/>
          <w:noProof/>
        </w:rPr>
        <w:footnoteReference w:id="14"/>
      </w:r>
      <w:r>
        <w:rPr>
          <w:noProof/>
        </w:rPr>
        <w:t xml:space="preserve">, cât și noilor obligații de raportare aferente elementelor (e) și (f). </w:t>
      </w:r>
    </w:p>
    <w:p w14:paraId="0E7C86A9" w14:textId="0637C8BE" w:rsidR="000F2C11" w:rsidRPr="000F2C11" w:rsidRDefault="000F2C11" w:rsidP="000F2C11">
      <w:pPr>
        <w:pStyle w:val="ListParagraph"/>
        <w:numPr>
          <w:ilvl w:val="0"/>
          <w:numId w:val="9"/>
        </w:numPr>
        <w:ind w:left="426"/>
        <w:rPr>
          <w:iCs/>
          <w:noProof/>
        </w:rPr>
      </w:pPr>
      <w:r w:rsidRPr="00627F8D">
        <w:rPr>
          <w:b/>
          <w:noProof/>
        </w:rPr>
        <w:t>Simplificarea formatului de raportare.</w:t>
      </w:r>
      <w:r>
        <w:rPr>
          <w:noProof/>
        </w:rPr>
        <w:t xml:space="preserve"> Având în vedere obiectivul Comisiei de reducere a sarcinii de raportare, modelele rapoartelor de verificare a calității ar putea fi simplificate. Utilizarea aceleiași structuri pentru raportarea sursei de date și a metodologiilor, metodelor de verificare și problemelor de acuratețe ar spori coerența între diferitele fluxuri de date și între țări. </w:t>
      </w:r>
    </w:p>
    <w:p w14:paraId="489C07CD" w14:textId="7DACA566" w:rsidR="00862309" w:rsidRPr="00C50B2D" w:rsidRDefault="00725C95" w:rsidP="00387885">
      <w:pPr>
        <w:pStyle w:val="ListParagraph"/>
        <w:numPr>
          <w:ilvl w:val="0"/>
          <w:numId w:val="9"/>
        </w:numPr>
        <w:ind w:left="426"/>
        <w:rPr>
          <w:iCs/>
          <w:noProof/>
        </w:rPr>
      </w:pPr>
      <w:r w:rsidRPr="00627F8D">
        <w:rPr>
          <w:b/>
          <w:noProof/>
        </w:rPr>
        <w:t>Comparație în timp</w:t>
      </w:r>
      <w:r>
        <w:rPr>
          <w:noProof/>
        </w:rPr>
        <w:t xml:space="preserve">. Se preconizează că sursele de date și metodologiile utilizate pentru raportarea unora dintre datele acoperite în acest an se vor schimba în viitor. Va fi important ca țările să raporteze modificările surselor de date și ale metodologiilor într-un mod pe deplin transparent și să explice diferențele în detaliu, făcând distincție între impactul potențial al măsurilor în vigoare și modificările surselor de date și ale metodologiilor subiacente. </w:t>
      </w:r>
    </w:p>
    <w:p w14:paraId="24E42D6C" w14:textId="77777777" w:rsidR="00862309" w:rsidRPr="004A0A8E" w:rsidRDefault="00862309" w:rsidP="00862309">
      <w:pPr>
        <w:pStyle w:val="Heading2"/>
        <w:rPr>
          <w:noProof/>
        </w:rPr>
      </w:pPr>
      <w:bookmarkStart w:id="75" w:name="_Toc185499264"/>
      <w:bookmarkStart w:id="76" w:name="_Toc221701589"/>
      <w:bookmarkStart w:id="77" w:name="_Toc185251723"/>
      <w:r>
        <w:rPr>
          <w:noProof/>
        </w:rPr>
        <w:t>Concluzii</w:t>
      </w:r>
      <w:bookmarkEnd w:id="75"/>
      <w:bookmarkEnd w:id="76"/>
      <w:r>
        <w:rPr>
          <w:noProof/>
        </w:rPr>
        <w:t xml:space="preserve"> </w:t>
      </w:r>
      <w:bookmarkEnd w:id="77"/>
    </w:p>
    <w:p w14:paraId="60AF5BED" w14:textId="395F0174" w:rsidR="00862309" w:rsidRPr="004A0A8E" w:rsidRDefault="00862309" w:rsidP="00862309">
      <w:pPr>
        <w:rPr>
          <w:iCs/>
          <w:noProof/>
        </w:rPr>
      </w:pPr>
      <w:r>
        <w:rPr>
          <w:noProof/>
        </w:rPr>
        <w:t xml:space="preserve">Această primă raportare pentru anul de referință </w:t>
      </w:r>
      <w:r w:rsidRPr="00F249C9">
        <w:rPr>
          <w:noProof/>
        </w:rPr>
        <w:t>2022</w:t>
      </w:r>
      <w:r>
        <w:rPr>
          <w:noProof/>
        </w:rPr>
        <w:t xml:space="preserve"> oferă informații inițiale cu privire la nivelurile de consum și la ratele de colectare separată la nivelul țărilor pentru trei categorii de produse din plastic de unică folosință (pahare pentru băuturi, recipiente pentru alimente și sticle pentru băuturi), precum și pentru echipamentele de pescuit care conțin plastic. </w:t>
      </w:r>
    </w:p>
    <w:p w14:paraId="42668F2E" w14:textId="34B105E9" w:rsidR="00862309" w:rsidRPr="004A0A8E" w:rsidRDefault="00862309" w:rsidP="00862309">
      <w:pPr>
        <w:rPr>
          <w:iCs/>
          <w:noProof/>
        </w:rPr>
      </w:pPr>
      <w:r>
        <w:rPr>
          <w:noProof/>
        </w:rPr>
        <w:t xml:space="preserve">În conformitate cu Directiva privind produsele din plastic de unică folosință, această primă rundă de raportare este menită să stabilească un nivel de referință pentru măsurarea consumului de pahare pentru băuturi și recipiente pentru alimente din plastic de unică folosință, în vederea posibilei introduceri a unor obiective obligatorii pentru reducerea consumului la nivelul Uniunii. Această primă rundă de raportare este, de asemenea, menită să ofere o bază pentru evaluarea unor posibile măsuri suplimentare referitoare la echipamentele de pescuit care conțin plastic, în urma evaluării Directivei privind produsele din plastic de unică folosință (prevăzută pentru </w:t>
      </w:r>
      <w:r w:rsidRPr="00F249C9">
        <w:rPr>
          <w:noProof/>
        </w:rPr>
        <w:t>2027</w:t>
      </w:r>
      <w:r>
        <w:rPr>
          <w:noProof/>
        </w:rPr>
        <w:t xml:space="preserve">), inclusiv posibila stabilire a unor rate obligatorii de colectare a deșeurilor de echipamente de pescuit. Evaluarea datelor și a informațiilor furnizate în prezentul raport evidențiază o serie de elemente-cheie care trebuie luate în considerare la utilizarea acestor date de referință, precum variabilitatea considerabilă a metodologiilor între țări și problemele frecvente de acuratețe. </w:t>
      </w:r>
    </w:p>
    <w:p w14:paraId="69704D58" w14:textId="1A2B9E09" w:rsidR="00862309" w:rsidRPr="004A0A8E" w:rsidRDefault="003A1A90" w:rsidP="00862309">
      <w:pPr>
        <w:rPr>
          <w:iCs/>
          <w:noProof/>
        </w:rPr>
      </w:pPr>
      <w:r>
        <w:rPr>
          <w:noProof/>
        </w:rPr>
        <w:t>Datele din anul următor vor furniza primele puncte de date care vor permite monitorizarea tendințelor. Acest lucru va facilita înțelegerea măsurii în care reducerea consumului are loc cu un nivel ridicat de ambiție în ceea ce privește paharele pentru băuturi și recipiente pentru alimente din plastic de unică folosință, astfel cum prevede Directiva privind produsele din plastic de unică folosință. De asemenea, va fi posibilă monitorizarea măsurilor de reducere a consumului aflate încă în vigoare, precum și a oricăror măsuri noi, în special a celor legate de punerea în aplicare a Directivei privind produsele din plastic de unică folosință. Va fi necesară o analiză mai aprofundată pentru a înțelege legătura dintre tendințele observate ale consumului și măsurile instituite, întrucât aceste tendințe nu pot fi evaluate exclusiv pe baza informațiilor furnizate de raportori în cadrul formatelor actuale de raportare.</w:t>
      </w:r>
    </w:p>
    <w:p w14:paraId="76EE0601" w14:textId="51548BCA" w:rsidR="00862309" w:rsidRPr="004A0A8E" w:rsidRDefault="003A1A90" w:rsidP="00862309">
      <w:pPr>
        <w:rPr>
          <w:iCs/>
          <w:noProof/>
        </w:rPr>
      </w:pPr>
      <w:r>
        <w:rPr>
          <w:noProof/>
        </w:rPr>
        <w:t xml:space="preserve">În ceea ce privește colectarea separată a sticlelor din plastic de unică folosință pentru băuturi, rezultatele arată că multe țări sunt bine plasate pentru a atinge obiectivul stabilit pentru </w:t>
      </w:r>
      <w:r w:rsidRPr="00F249C9">
        <w:rPr>
          <w:noProof/>
        </w:rPr>
        <w:t>2025</w:t>
      </w:r>
      <w:r>
        <w:rPr>
          <w:noProof/>
        </w:rPr>
        <w:t xml:space="preserve">. Datele din anul următor vor permite monitorizarea suplimentară a progreselor înregistrate de țări. Datele vor permite, de asemenea: (i) evaluarea tendințelor privind colectarea deșeurilor de echipamente de pescuit; și (ii) o mai bună înțelegere a punctelor forte și a provocărilor reale ale datelor provenite din sistemele nou instituite de răspundere extinsă a producătorilor. </w:t>
      </w:r>
    </w:p>
    <w:p w14:paraId="135641BF" w14:textId="3D5FD9BE" w:rsidR="00862309" w:rsidRDefault="00A12959" w:rsidP="00862309">
      <w:pPr>
        <w:rPr>
          <w:iCs/>
          <w:noProof/>
        </w:rPr>
      </w:pPr>
      <w:r>
        <w:rPr>
          <w:noProof/>
        </w:rPr>
        <w:t xml:space="preserve">În cele din urmă, informațiile obținute din această primă raportare, precum și din raportările din anii următori, vor furniza elemente relevante pentru evaluarea Directivei privind produsele din plastic de unică folosință, prevăzută pentru iulie </w:t>
      </w:r>
      <w:r w:rsidRPr="00F249C9">
        <w:rPr>
          <w:noProof/>
        </w:rPr>
        <w:t>2027</w:t>
      </w:r>
      <w:r>
        <w:rPr>
          <w:noProof/>
        </w:rPr>
        <w:t xml:space="preserve">. </w:t>
      </w:r>
    </w:p>
    <w:p w14:paraId="77AA52BF" w14:textId="54A49452" w:rsidR="008A1C8A" w:rsidRPr="004A0A8E" w:rsidRDefault="008A1C8A" w:rsidP="00862309">
      <w:pPr>
        <w:rPr>
          <w:iCs/>
          <w:noProof/>
        </w:rPr>
        <w:sectPr w:rsidR="008A1C8A" w:rsidRPr="004A0A8E" w:rsidSect="00862309">
          <w:headerReference w:type="default" r:id="rId52"/>
          <w:footerReference w:type="default" r:id="rId53"/>
          <w:pgSz w:w="11906" w:h="16838"/>
          <w:pgMar w:top="1440" w:right="1440" w:bottom="1440" w:left="1440" w:header="708" w:footer="708" w:gutter="0"/>
          <w:cols w:space="708"/>
          <w:docGrid w:linePitch="360"/>
        </w:sectPr>
      </w:pPr>
    </w:p>
    <w:p w14:paraId="5C356D8F" w14:textId="77777777" w:rsidR="00862309" w:rsidRDefault="00862309" w:rsidP="00862309">
      <w:pPr>
        <w:pStyle w:val="Heading2"/>
        <w:rPr>
          <w:noProof/>
        </w:rPr>
      </w:pPr>
      <w:bookmarkStart w:id="78" w:name="_Toc185251724"/>
      <w:bookmarkStart w:id="79" w:name="_Toc185499265"/>
      <w:bookmarkStart w:id="80" w:name="_Toc221701590"/>
      <w:r>
        <w:rPr>
          <w:noProof/>
        </w:rPr>
        <w:t>Anexe</w:t>
      </w:r>
      <w:bookmarkStart w:id="81" w:name="_Ref183428519"/>
      <w:bookmarkEnd w:id="78"/>
      <w:bookmarkEnd w:id="79"/>
      <w:bookmarkEnd w:id="80"/>
    </w:p>
    <w:p w14:paraId="1A458493" w14:textId="731CB868" w:rsidR="008038D7" w:rsidRPr="00627F8D" w:rsidRDefault="008038D7" w:rsidP="008038D7">
      <w:pPr>
        <w:pStyle w:val="Heading3"/>
        <w:rPr>
          <w:noProof/>
        </w:rPr>
      </w:pPr>
      <w:bookmarkStart w:id="82" w:name="_Toc185251726"/>
      <w:bookmarkStart w:id="83" w:name="_Toc185499266"/>
      <w:bookmarkStart w:id="84" w:name="_Toc221701591"/>
      <w:bookmarkStart w:id="85" w:name="_Hlk204671451"/>
      <w:r w:rsidRPr="00627F8D">
        <w:rPr>
          <w:noProof/>
        </w:rPr>
        <w:t>Anexa 1: Măsuri de reducere a consumului, pe categorii și subcategorii</w:t>
      </w:r>
      <w:bookmarkEnd w:id="82"/>
      <w:r w:rsidRPr="00627F8D">
        <w:rPr>
          <w:noProof/>
        </w:rPr>
        <w:t xml:space="preserve"> [elementul</w:t>
      </w:r>
      <w:r w:rsidR="00627F8D" w:rsidRPr="00627F8D">
        <w:rPr>
          <w:noProof/>
        </w:rPr>
        <w:t> </w:t>
      </w:r>
      <w:r w:rsidRPr="00627F8D">
        <w:rPr>
          <w:noProof/>
        </w:rPr>
        <w:t>(b)]</w:t>
      </w:r>
      <w:bookmarkEnd w:id="83"/>
      <w:bookmarkEnd w:id="84"/>
    </w:p>
    <w:p w14:paraId="4E26A7EC" w14:textId="5BB89E1C" w:rsidR="008038D7" w:rsidRPr="008152B4" w:rsidRDefault="008038D7" w:rsidP="00476790">
      <w:pPr>
        <w:spacing w:after="0"/>
        <w:rPr>
          <w:iCs/>
          <w:noProof/>
        </w:rPr>
      </w:pPr>
      <w:r>
        <w:rPr>
          <w:noProof/>
        </w:rPr>
        <w:t>Măsurile economice în vigoare au inclus următoarele:</w:t>
      </w:r>
    </w:p>
    <w:p w14:paraId="3C04F216" w14:textId="218590E9" w:rsidR="008038D7" w:rsidRPr="008152B4" w:rsidRDefault="008038D7" w:rsidP="00387885">
      <w:pPr>
        <w:pStyle w:val="ListParagraph"/>
        <w:numPr>
          <w:ilvl w:val="0"/>
          <w:numId w:val="3"/>
        </w:numPr>
        <w:rPr>
          <w:noProof/>
        </w:rPr>
      </w:pPr>
      <w:r>
        <w:rPr>
          <w:noProof/>
        </w:rPr>
        <w:t>Obligații în materie de răspundere extinsă a producătorilor (</w:t>
      </w:r>
      <w:r w:rsidRPr="00F249C9">
        <w:rPr>
          <w:noProof/>
        </w:rPr>
        <w:t>21</w:t>
      </w:r>
      <w:r>
        <w:rPr>
          <w:noProof/>
        </w:rPr>
        <w:t xml:space="preserve"> de țări), legate în principal de punerea în aplicare a dispozițiilor obligatorii ale Directivei privind produsele din plastic de unică folosință.</w:t>
      </w:r>
    </w:p>
    <w:p w14:paraId="24C7F84E" w14:textId="7AAD582C" w:rsidR="008038D7" w:rsidRPr="008152B4" w:rsidRDefault="008038D7" w:rsidP="00387885">
      <w:pPr>
        <w:pStyle w:val="ListParagraph"/>
        <w:numPr>
          <w:ilvl w:val="0"/>
          <w:numId w:val="3"/>
        </w:numPr>
        <w:rPr>
          <w:noProof/>
        </w:rPr>
      </w:pPr>
      <w:r>
        <w:rPr>
          <w:noProof/>
        </w:rPr>
        <w:t>Achiziții publice ecologice (</w:t>
      </w:r>
      <w:r w:rsidRPr="00F249C9">
        <w:rPr>
          <w:noProof/>
        </w:rPr>
        <w:t>14</w:t>
      </w:r>
      <w:r>
        <w:rPr>
          <w:noProof/>
        </w:rPr>
        <w:t xml:space="preserve"> țări), asociate sistemelor obligatorii, sistemelor voluntare și politicilor naționale mai ample în domeniul achizițiilor publice ecologice. În rapoartele de țară, nu a fost întotdeauna pe deplin clar care erau dispozițiile specifice aplicabile paharelor pentru băuturi și recipientelor pentru alimente din plastic de unică folosință.</w:t>
      </w:r>
    </w:p>
    <w:p w14:paraId="268D98A9" w14:textId="4AA1181E" w:rsidR="008038D7" w:rsidRPr="008152B4" w:rsidRDefault="008038D7" w:rsidP="00387885">
      <w:pPr>
        <w:pStyle w:val="ListParagraph"/>
        <w:numPr>
          <w:ilvl w:val="0"/>
          <w:numId w:val="3"/>
        </w:numPr>
        <w:rPr>
          <w:noProof/>
        </w:rPr>
      </w:pPr>
      <w:r>
        <w:rPr>
          <w:noProof/>
        </w:rPr>
        <w:t>Instrumente pentru asigurarea de reduceri acordate consumatorilor care utilizează alternative reutilizabile (</w:t>
      </w:r>
      <w:r w:rsidRPr="00F249C9">
        <w:rPr>
          <w:noProof/>
        </w:rPr>
        <w:t>12</w:t>
      </w:r>
      <w:r>
        <w:rPr>
          <w:noProof/>
        </w:rPr>
        <w:t xml:space="preserve"> instrumente pentru pahare pentru băuturi și </w:t>
      </w:r>
      <w:r w:rsidRPr="00F249C9">
        <w:rPr>
          <w:noProof/>
        </w:rPr>
        <w:t>7</w:t>
      </w:r>
      <w:r>
        <w:rPr>
          <w:noProof/>
        </w:rPr>
        <w:t xml:space="preserve"> instrumente pentru recipiente pentru alimente). Aceste măsuri au fost adesea voluntare și, în unele cazuri, aplicate la nivel subnațional.</w:t>
      </w:r>
    </w:p>
    <w:p w14:paraId="21265A72" w14:textId="10323221" w:rsidR="008038D7" w:rsidRPr="008152B4" w:rsidRDefault="008038D7" w:rsidP="00387885">
      <w:pPr>
        <w:pStyle w:val="ListParagraph"/>
        <w:numPr>
          <w:ilvl w:val="0"/>
          <w:numId w:val="3"/>
        </w:numPr>
        <w:rPr>
          <w:noProof/>
        </w:rPr>
      </w:pPr>
      <w:r>
        <w:rPr>
          <w:noProof/>
        </w:rPr>
        <w:t>Taxe aplicate întreprinderilor care introduc pe piață acest tip de produse (</w:t>
      </w:r>
      <w:r w:rsidRPr="00F249C9">
        <w:rPr>
          <w:noProof/>
        </w:rPr>
        <w:t>11</w:t>
      </w:r>
      <w:r>
        <w:rPr>
          <w:noProof/>
        </w:rPr>
        <w:t xml:space="preserve"> țări), care au fost, în general, obligatorii și aplicate la nivel național.</w:t>
      </w:r>
    </w:p>
    <w:p w14:paraId="57689317" w14:textId="2666B6BA" w:rsidR="008038D7" w:rsidRPr="008152B4" w:rsidRDefault="008038D7" w:rsidP="00387885">
      <w:pPr>
        <w:pStyle w:val="ListParagraph"/>
        <w:numPr>
          <w:ilvl w:val="0"/>
          <w:numId w:val="3"/>
        </w:numPr>
        <w:rPr>
          <w:noProof/>
        </w:rPr>
      </w:pPr>
      <w:r>
        <w:rPr>
          <w:noProof/>
        </w:rPr>
        <w:t>Subvenții sau taxe reduse pentru operatorii care utilizează alternative reutilizabile (</w:t>
      </w:r>
      <w:r w:rsidRPr="00F249C9">
        <w:rPr>
          <w:noProof/>
        </w:rPr>
        <w:t>5</w:t>
      </w:r>
      <w:r>
        <w:rPr>
          <w:noProof/>
        </w:rPr>
        <w:t xml:space="preserve"> țări pentru pahare pentru băuturi și </w:t>
      </w:r>
      <w:r w:rsidRPr="00F249C9">
        <w:rPr>
          <w:noProof/>
        </w:rPr>
        <w:t>6</w:t>
      </w:r>
      <w:r>
        <w:rPr>
          <w:noProof/>
        </w:rPr>
        <w:t xml:space="preserve"> țări pentru recipiente pentru alimente).</w:t>
      </w:r>
    </w:p>
    <w:p w14:paraId="61DFC4BA" w14:textId="77777777" w:rsidR="008038D7" w:rsidRPr="008152B4" w:rsidRDefault="008038D7" w:rsidP="00476790">
      <w:pPr>
        <w:spacing w:after="0"/>
        <w:rPr>
          <w:iCs/>
          <w:noProof/>
        </w:rPr>
      </w:pPr>
      <w:r>
        <w:rPr>
          <w:noProof/>
        </w:rPr>
        <w:t>Cele mai frecvente măsuri de sensibilizare au fost:</w:t>
      </w:r>
    </w:p>
    <w:p w14:paraId="608AF892" w14:textId="1EC9CA0C" w:rsidR="008038D7" w:rsidRPr="008152B4" w:rsidRDefault="003018CC" w:rsidP="00387885">
      <w:pPr>
        <w:pStyle w:val="ListParagraph"/>
        <w:numPr>
          <w:ilvl w:val="0"/>
          <w:numId w:val="6"/>
        </w:numPr>
        <w:rPr>
          <w:iCs/>
          <w:noProof/>
        </w:rPr>
      </w:pPr>
      <w:r>
        <w:rPr>
          <w:noProof/>
        </w:rPr>
        <w:t>campanii de sensibilizare privind impactul negativ asupra mediului al paharelor pentru băuturi și al recipientelor pentru alimente din plastic de unică folosință (</w:t>
      </w:r>
      <w:r w:rsidRPr="00F249C9">
        <w:rPr>
          <w:noProof/>
        </w:rPr>
        <w:t>2</w:t>
      </w:r>
      <w:r w:rsidR="00763FCD">
        <w:rPr>
          <w:noProof/>
        </w:rPr>
        <w:t>1, respectiv 2</w:t>
      </w:r>
      <w:r w:rsidR="00832A19">
        <w:rPr>
          <w:noProof/>
        </w:rPr>
        <w:t>0</w:t>
      </w:r>
      <w:r>
        <w:rPr>
          <w:noProof/>
        </w:rPr>
        <w:t xml:space="preserve"> de țări);</w:t>
      </w:r>
    </w:p>
    <w:p w14:paraId="4E6EF38C" w14:textId="790977C5" w:rsidR="008038D7" w:rsidRPr="008152B4" w:rsidRDefault="008038D7" w:rsidP="00387885">
      <w:pPr>
        <w:pStyle w:val="ListParagraph"/>
        <w:numPr>
          <w:ilvl w:val="0"/>
          <w:numId w:val="6"/>
        </w:numPr>
        <w:rPr>
          <w:iCs/>
          <w:noProof/>
        </w:rPr>
      </w:pPr>
      <w:r>
        <w:rPr>
          <w:noProof/>
        </w:rPr>
        <w:t>promovarea alternativelor durabile la recipientele pentru alimente din plastic de unică folosință (de exemplu, recipiente pentru alimente reutilizabile) (</w:t>
      </w:r>
      <w:r w:rsidRPr="00F249C9">
        <w:rPr>
          <w:noProof/>
        </w:rPr>
        <w:t>20</w:t>
      </w:r>
      <w:r>
        <w:rPr>
          <w:noProof/>
        </w:rPr>
        <w:t xml:space="preserve"> de țări au instituit astfel de măsuri pentru pahare pentru băuturi și </w:t>
      </w:r>
      <w:r w:rsidRPr="00F249C9">
        <w:rPr>
          <w:noProof/>
        </w:rPr>
        <w:t>18</w:t>
      </w:r>
      <w:r>
        <w:rPr>
          <w:noProof/>
        </w:rPr>
        <w:t xml:space="preserve"> țări pentru recipiente pentru alimente).</w:t>
      </w:r>
    </w:p>
    <w:p w14:paraId="11821B07" w14:textId="77777777" w:rsidR="008038D7" w:rsidRPr="008152B4" w:rsidRDefault="008038D7" w:rsidP="00476790">
      <w:pPr>
        <w:spacing w:after="0"/>
        <w:rPr>
          <w:iCs/>
          <w:noProof/>
        </w:rPr>
      </w:pPr>
      <w:r>
        <w:rPr>
          <w:noProof/>
        </w:rPr>
        <w:t xml:space="preserve">Cele mai frecvente măsuri de promovare a alternativelor durabile au fost: </w:t>
      </w:r>
    </w:p>
    <w:p w14:paraId="475394DD" w14:textId="481337D1" w:rsidR="008038D7" w:rsidRPr="008152B4" w:rsidRDefault="00F8201F" w:rsidP="00387885">
      <w:pPr>
        <w:pStyle w:val="ListParagraph"/>
        <w:numPr>
          <w:ilvl w:val="0"/>
          <w:numId w:val="5"/>
        </w:numPr>
        <w:rPr>
          <w:iCs/>
          <w:noProof/>
        </w:rPr>
      </w:pPr>
      <w:r>
        <w:rPr>
          <w:noProof/>
        </w:rPr>
        <w:t>promovarea surselor publice gratuite de apă potabilă, care încurajează populația să își aducă pahare reutilizabile sau să bea apă de la robinet (</w:t>
      </w:r>
      <w:r w:rsidRPr="00F249C9">
        <w:rPr>
          <w:noProof/>
        </w:rPr>
        <w:t>16</w:t>
      </w:r>
      <w:r>
        <w:rPr>
          <w:noProof/>
        </w:rPr>
        <w:t xml:space="preserve"> țări);</w:t>
      </w:r>
    </w:p>
    <w:p w14:paraId="6C82BA66" w14:textId="16A9D39F" w:rsidR="008038D7" w:rsidRPr="008152B4" w:rsidRDefault="003018CC" w:rsidP="00387885">
      <w:pPr>
        <w:pStyle w:val="ListParagraph"/>
        <w:numPr>
          <w:ilvl w:val="0"/>
          <w:numId w:val="5"/>
        </w:numPr>
        <w:rPr>
          <w:iCs/>
          <w:noProof/>
        </w:rPr>
      </w:pPr>
      <w:r>
        <w:rPr>
          <w:noProof/>
        </w:rPr>
        <w:t>măsuri de promovare, în administrațiile publice, a alternativelor reutilizabile la paharele pentru băuturi și la recipientele pentru alimente din plastic de unică folosință (</w:t>
      </w:r>
      <w:r w:rsidRPr="00F249C9">
        <w:rPr>
          <w:noProof/>
        </w:rPr>
        <w:t>16</w:t>
      </w:r>
      <w:r>
        <w:rPr>
          <w:noProof/>
        </w:rPr>
        <w:t xml:space="preserve"> țări pentru pahare pentru băuturi și </w:t>
      </w:r>
      <w:r w:rsidRPr="00F249C9">
        <w:rPr>
          <w:noProof/>
        </w:rPr>
        <w:t>15</w:t>
      </w:r>
      <w:r>
        <w:rPr>
          <w:noProof/>
        </w:rPr>
        <w:t xml:space="preserve"> țări pentru recipiente pentru alimente);</w:t>
      </w:r>
    </w:p>
    <w:p w14:paraId="6E35CC45" w14:textId="3E0CE4F1" w:rsidR="008038D7" w:rsidRPr="008152B4" w:rsidRDefault="00F8201F" w:rsidP="00387885">
      <w:pPr>
        <w:pStyle w:val="ListParagraph"/>
        <w:numPr>
          <w:ilvl w:val="0"/>
          <w:numId w:val="5"/>
        </w:numPr>
        <w:rPr>
          <w:iCs/>
          <w:noProof/>
        </w:rPr>
      </w:pPr>
      <w:r>
        <w:rPr>
          <w:noProof/>
        </w:rPr>
        <w:t>promovarea modelelor de afaceri care oferă alternative reutilizabile la paharele pentru băuturi și recipientele pentru alimente din plastic de unică folosință (</w:t>
      </w:r>
      <w:r w:rsidRPr="00F249C9">
        <w:rPr>
          <w:noProof/>
        </w:rPr>
        <w:t>14</w:t>
      </w:r>
      <w:r>
        <w:rPr>
          <w:noProof/>
        </w:rPr>
        <w:t xml:space="preserve"> țări pentru pahare pentru băuturi și </w:t>
      </w:r>
      <w:r w:rsidRPr="00F249C9">
        <w:rPr>
          <w:noProof/>
        </w:rPr>
        <w:t>13</w:t>
      </w:r>
      <w:r>
        <w:rPr>
          <w:noProof/>
        </w:rPr>
        <w:t xml:space="preserve"> țări pentru recipiente pentru alimente);</w:t>
      </w:r>
    </w:p>
    <w:p w14:paraId="20EA5E97" w14:textId="28A9F6AD" w:rsidR="008038D7" w:rsidRPr="008152B4" w:rsidRDefault="003018CC" w:rsidP="00387885">
      <w:pPr>
        <w:pStyle w:val="ListParagraph"/>
        <w:numPr>
          <w:ilvl w:val="0"/>
          <w:numId w:val="5"/>
        </w:numPr>
        <w:rPr>
          <w:iCs/>
          <w:noProof/>
        </w:rPr>
      </w:pPr>
      <w:r>
        <w:rPr>
          <w:noProof/>
        </w:rPr>
        <w:t>măsuri care stabilesc obligații sau stimulente pentru întreprinderi în vederea: (i) oferirii de alternative durabile la paharele pentru băuturi și recipientele pentru alimente din plastic de unică folosință la punctul de vânzare către consumatorul final (</w:t>
      </w:r>
      <w:r w:rsidRPr="00F249C9">
        <w:rPr>
          <w:noProof/>
        </w:rPr>
        <w:t>17</w:t>
      </w:r>
      <w:r>
        <w:rPr>
          <w:noProof/>
        </w:rPr>
        <w:t xml:space="preserve"> țări pentru pahare pentru băuturi și </w:t>
      </w:r>
      <w:r w:rsidRPr="00F249C9">
        <w:rPr>
          <w:noProof/>
        </w:rPr>
        <w:t>16</w:t>
      </w:r>
      <w:r>
        <w:rPr>
          <w:noProof/>
        </w:rPr>
        <w:t xml:space="preserve"> țări pentru recipiente pentru alimente); sau (ii) a punerii la dispoziția publicului a unor alternative reutilizabile la paharele pentru băuturi și recipientele pentru alimente din plastic de unică folosință în cadrul evenimentelor publice de amploare (</w:t>
      </w:r>
      <w:r w:rsidRPr="00F249C9">
        <w:rPr>
          <w:noProof/>
        </w:rPr>
        <w:t>13</w:t>
      </w:r>
      <w:r>
        <w:rPr>
          <w:noProof/>
        </w:rPr>
        <w:t xml:space="preserve"> țări). </w:t>
      </w:r>
    </w:p>
    <w:p w14:paraId="5A3B9381" w14:textId="77777777" w:rsidR="008038D7" w:rsidRPr="008152B4" w:rsidRDefault="008038D7" w:rsidP="00476790">
      <w:pPr>
        <w:spacing w:after="0"/>
        <w:rPr>
          <w:iCs/>
          <w:noProof/>
        </w:rPr>
      </w:pPr>
      <w:r>
        <w:rPr>
          <w:noProof/>
        </w:rPr>
        <w:t xml:space="preserve">Alte tipuri de măsuri care s-au evidențiat au fost: </w:t>
      </w:r>
    </w:p>
    <w:p w14:paraId="3A96B519" w14:textId="2924C2F8" w:rsidR="008038D7" w:rsidRPr="008152B4" w:rsidRDefault="00594C9C" w:rsidP="00387885">
      <w:pPr>
        <w:pStyle w:val="ListParagraph"/>
        <w:numPr>
          <w:ilvl w:val="0"/>
          <w:numId w:val="4"/>
        </w:numPr>
        <w:rPr>
          <w:iCs/>
          <w:noProof/>
        </w:rPr>
      </w:pPr>
      <w:r>
        <w:rPr>
          <w:noProof/>
        </w:rPr>
        <w:t>obiective cantitative pentru reducerea ponderii paharelor pentru băuturi din plastic de unică folosință introduse pe piață și puse la dispoziția consumatorilor (</w:t>
      </w:r>
      <w:r w:rsidRPr="00F249C9">
        <w:rPr>
          <w:noProof/>
        </w:rPr>
        <w:t>15</w:t>
      </w:r>
      <w:r>
        <w:rPr>
          <w:noProof/>
        </w:rPr>
        <w:t xml:space="preserve"> țări pentru pahare pentru băuturi și </w:t>
      </w:r>
      <w:r w:rsidRPr="00F249C9">
        <w:rPr>
          <w:noProof/>
        </w:rPr>
        <w:t>14</w:t>
      </w:r>
      <w:r>
        <w:rPr>
          <w:noProof/>
        </w:rPr>
        <w:t xml:space="preserve"> țări pentru recipiente pentru alimente; a se vedea caseta </w:t>
      </w:r>
      <w:r w:rsidRPr="00F249C9">
        <w:rPr>
          <w:noProof/>
        </w:rPr>
        <w:t>1</w:t>
      </w:r>
      <w:r>
        <w:rPr>
          <w:noProof/>
        </w:rPr>
        <w:t xml:space="preserve"> pentru o prezentare generală);</w:t>
      </w:r>
    </w:p>
    <w:p w14:paraId="42AE55E0" w14:textId="5C4F19A0" w:rsidR="008038D7" w:rsidRPr="008152B4" w:rsidRDefault="00594C9C" w:rsidP="00387885">
      <w:pPr>
        <w:pStyle w:val="ListParagraph"/>
        <w:numPr>
          <w:ilvl w:val="0"/>
          <w:numId w:val="4"/>
        </w:numPr>
        <w:rPr>
          <w:iCs/>
          <w:noProof/>
        </w:rPr>
      </w:pPr>
      <w:r>
        <w:rPr>
          <w:noProof/>
        </w:rPr>
        <w:t>restricții privind utilizarea produselor din plastic de unică folosință la servirea băuturilor sau la furnizarea de alimente consumatorilor (</w:t>
      </w:r>
      <w:r w:rsidRPr="00F249C9">
        <w:rPr>
          <w:noProof/>
        </w:rPr>
        <w:t>10</w:t>
      </w:r>
      <w:r>
        <w:rPr>
          <w:noProof/>
        </w:rPr>
        <w:t xml:space="preserve"> țări pentru pahare pentru băuturi și </w:t>
      </w:r>
      <w:r w:rsidRPr="00F249C9">
        <w:rPr>
          <w:noProof/>
        </w:rPr>
        <w:t>9</w:t>
      </w:r>
      <w:r>
        <w:rPr>
          <w:noProof/>
        </w:rPr>
        <w:t xml:space="preserve"> țări pentru recipiente pentru alimente).</w:t>
      </w:r>
    </w:p>
    <w:p w14:paraId="35214B64" w14:textId="77777777" w:rsidR="008038D7" w:rsidRPr="00476790" w:rsidRDefault="008038D7" w:rsidP="00476790">
      <w:pPr>
        <w:spacing w:after="0"/>
        <w:rPr>
          <w:iCs/>
          <w:noProof/>
        </w:rPr>
      </w:pPr>
      <w:r>
        <w:rPr>
          <w:noProof/>
        </w:rPr>
        <w:t>Alte măsuri raportate, care nu se încadrau pe deplin în niciuna dintre categoriile definite, au inclus:</w:t>
      </w:r>
    </w:p>
    <w:p w14:paraId="59560D13" w14:textId="7662B2AA" w:rsidR="008038D7" w:rsidRPr="008152B4" w:rsidRDefault="00594C9C" w:rsidP="00387885">
      <w:pPr>
        <w:pStyle w:val="ListParagraph"/>
        <w:numPr>
          <w:ilvl w:val="0"/>
          <w:numId w:val="4"/>
        </w:numPr>
        <w:rPr>
          <w:noProof/>
        </w:rPr>
      </w:pPr>
      <w:r>
        <w:rPr>
          <w:noProof/>
        </w:rPr>
        <w:t xml:space="preserve">sprijin financiar guvernamental pentru îmbunătățirea tehnologiilor și consolidarea capacităților aferente alternativelor la produsele din plastic de unică folosință care fac obiectul restricțiilor de comercializare; </w:t>
      </w:r>
    </w:p>
    <w:p w14:paraId="55407242" w14:textId="436D26BC" w:rsidR="008038D7" w:rsidRPr="008152B4" w:rsidRDefault="00594C9C" w:rsidP="00387885">
      <w:pPr>
        <w:pStyle w:val="ListParagraph"/>
        <w:numPr>
          <w:ilvl w:val="0"/>
          <w:numId w:val="4"/>
        </w:numPr>
        <w:rPr>
          <w:noProof/>
        </w:rPr>
      </w:pPr>
      <w:r>
        <w:rPr>
          <w:noProof/>
        </w:rPr>
        <w:t>documente de planificare strategică și de orientare;</w:t>
      </w:r>
    </w:p>
    <w:p w14:paraId="246C3E72" w14:textId="4D73C141" w:rsidR="008038D7" w:rsidRPr="008152B4" w:rsidRDefault="00594C9C" w:rsidP="00387885">
      <w:pPr>
        <w:pStyle w:val="ListParagraph"/>
        <w:numPr>
          <w:ilvl w:val="0"/>
          <w:numId w:val="4"/>
        </w:numPr>
        <w:rPr>
          <w:noProof/>
        </w:rPr>
      </w:pPr>
      <w:r>
        <w:rPr>
          <w:noProof/>
        </w:rPr>
        <w:t>organizarea de mese rotunde.</w:t>
      </w:r>
    </w:p>
    <w:p w14:paraId="43B255E8" w14:textId="5CBC565E" w:rsidR="00B73E6B" w:rsidRDefault="00DD490F" w:rsidP="00DD490F">
      <w:pPr>
        <w:pStyle w:val="ListParagraph"/>
        <w:ind w:left="0"/>
        <w:rPr>
          <w:noProof/>
        </w:rPr>
      </w:pPr>
      <w:r w:rsidRPr="00DD490F">
        <w:rPr>
          <w:noProof/>
          <w:lang w:val="en-GB" w:eastAsia="en-GB"/>
        </w:rPr>
        <w:drawing>
          <wp:anchor distT="0" distB="0" distL="114300" distR="114300" simplePos="0" relativeHeight="251659271" behindDoc="1" locked="0" layoutInCell="1" allowOverlap="1" wp14:anchorId="27E3E2D6" wp14:editId="647333FE">
            <wp:simplePos x="0" y="0"/>
            <wp:positionH relativeFrom="column">
              <wp:posOffset>-381000</wp:posOffset>
            </wp:positionH>
            <wp:positionV relativeFrom="paragraph">
              <wp:posOffset>362585</wp:posOffset>
            </wp:positionV>
            <wp:extent cx="6249670" cy="8497570"/>
            <wp:effectExtent l="0" t="0" r="0" b="0"/>
            <wp:wrapTight wrapText="bothSides">
              <wp:wrapPolygon edited="0">
                <wp:start x="0" y="0"/>
                <wp:lineTo x="0" y="21548"/>
                <wp:lineTo x="21530" y="21548"/>
                <wp:lineTo x="21530" y="0"/>
                <wp:lineTo x="0" y="0"/>
              </wp:wrapPolygon>
            </wp:wrapTight>
            <wp:docPr id="55252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249670" cy="849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B73E6B">
        <w:rPr>
          <w:noProof/>
        </w:rPr>
        <w:t>A se vedea tabelele de mai jos pentru o prezentare generală completă a măsurilor în vigoare, pe categorii și subcategorii:</w:t>
      </w:r>
      <w:r w:rsidR="00B73E6B">
        <w:rPr>
          <w:noProof/>
        </w:rPr>
        <w:br w:type="page"/>
      </w:r>
    </w:p>
    <w:p w14:paraId="2350CF2E" w14:textId="322C7BE4" w:rsidR="006C59CD" w:rsidRDefault="00B6443F" w:rsidP="008038D7">
      <w:pPr>
        <w:rPr>
          <w:noProof/>
        </w:rPr>
      </w:pPr>
      <w:r w:rsidRPr="00B6443F">
        <w:rPr>
          <w:noProof/>
          <w:lang w:val="en-GB" w:eastAsia="en-GB"/>
        </w:rPr>
        <w:drawing>
          <wp:anchor distT="0" distB="0" distL="114300" distR="114300" simplePos="0" relativeHeight="251660295" behindDoc="1" locked="0" layoutInCell="1" allowOverlap="1" wp14:anchorId="7E0D0EA5" wp14:editId="17C594EA">
            <wp:simplePos x="0" y="0"/>
            <wp:positionH relativeFrom="column">
              <wp:posOffset>-297180</wp:posOffset>
            </wp:positionH>
            <wp:positionV relativeFrom="paragraph">
              <wp:posOffset>0</wp:posOffset>
            </wp:positionV>
            <wp:extent cx="6363970" cy="8642985"/>
            <wp:effectExtent l="0" t="0" r="0" b="5715"/>
            <wp:wrapTight wrapText="bothSides">
              <wp:wrapPolygon edited="0">
                <wp:start x="0" y="0"/>
                <wp:lineTo x="0" y="21567"/>
                <wp:lineTo x="21531" y="21567"/>
                <wp:lineTo x="21531" y="0"/>
                <wp:lineTo x="0" y="0"/>
              </wp:wrapPolygon>
            </wp:wrapTight>
            <wp:docPr id="3046497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363970" cy="8642985"/>
                    </a:xfrm>
                    <a:prstGeom prst="rect">
                      <a:avLst/>
                    </a:prstGeom>
                    <a:noFill/>
                    <a:ln>
                      <a:noFill/>
                    </a:ln>
                  </pic:spPr>
                </pic:pic>
              </a:graphicData>
            </a:graphic>
            <wp14:sizeRelH relativeFrom="margin">
              <wp14:pctWidth>0</wp14:pctWidth>
            </wp14:sizeRelH>
          </wp:anchor>
        </w:drawing>
      </w:r>
    </w:p>
    <w:p w14:paraId="6ED4BF1F" w14:textId="55D0A860" w:rsidR="0051613E" w:rsidRDefault="0051613E" w:rsidP="008038D7">
      <w:pPr>
        <w:rPr>
          <w:noProof/>
        </w:rPr>
        <w:sectPr w:rsidR="0051613E" w:rsidSect="008038D7">
          <w:headerReference w:type="default" r:id="rId56"/>
          <w:footerReference w:type="default" r:id="rId57"/>
          <w:pgSz w:w="11906" w:h="16838"/>
          <w:pgMar w:top="1440" w:right="1440" w:bottom="1440" w:left="1440" w:header="708" w:footer="708" w:gutter="0"/>
          <w:cols w:space="708"/>
          <w:docGrid w:linePitch="360"/>
        </w:sectPr>
      </w:pPr>
    </w:p>
    <w:p w14:paraId="4FFA3CBD" w14:textId="5DC79AE0" w:rsidR="00DB50DC" w:rsidRPr="00627F8D" w:rsidRDefault="00713B2A" w:rsidP="00175874">
      <w:pPr>
        <w:pStyle w:val="Heading3"/>
        <w:rPr>
          <w:noProof/>
        </w:rPr>
      </w:pPr>
      <w:bookmarkStart w:id="86" w:name="_Toc185499267"/>
      <w:bookmarkStart w:id="87" w:name="_Toc221701592"/>
      <w:r w:rsidRPr="00627F8D">
        <w:rPr>
          <w:noProof/>
        </w:rPr>
        <w:t>Anexa 2: Măsuri de stabilire a unor obiective cantitative pentru reducerea consumului de pahare pentru băuturi și de recipiente pentru alimente din plastic de unică folosință [elementul (b)]</w:t>
      </w:r>
      <w:bookmarkEnd w:id="86"/>
      <w:bookmarkEnd w:id="87"/>
    </w:p>
    <w:p w14:paraId="749FEAC6" w14:textId="66DC1F14" w:rsidR="0002668C" w:rsidRPr="004A0A8E" w:rsidRDefault="0002668C" w:rsidP="0002668C">
      <w:pPr>
        <w:rPr>
          <w:noProof/>
        </w:rPr>
      </w:pPr>
      <w:r>
        <w:rPr>
          <w:noProof/>
        </w:rPr>
        <w:t xml:space="preserve">Directiva privind produsele din plastic de unică folosință nu include obiective cantitative pentru reducerea consumului de pahare pentru băuturi și recipiente pentru alimente din plastic de unică folosință, însă solicită statelor să realizeze o „reducere ambițioasă și susținută” a consumului de astfel de categorii de produse în perioada </w:t>
      </w:r>
      <w:r w:rsidRPr="00F249C9">
        <w:rPr>
          <w:noProof/>
        </w:rPr>
        <w:t>2022</w:t>
      </w:r>
      <w:r>
        <w:rPr>
          <w:noProof/>
        </w:rPr>
        <w:t>-</w:t>
      </w:r>
      <w:r w:rsidRPr="00F249C9">
        <w:rPr>
          <w:noProof/>
        </w:rPr>
        <w:t>2026</w:t>
      </w:r>
      <w:r>
        <w:rPr>
          <w:noProof/>
        </w:rPr>
        <w:t xml:space="preserve">. </w:t>
      </w:r>
    </w:p>
    <w:p w14:paraId="35FE95B5" w14:textId="246F850A" w:rsidR="0002668C" w:rsidRPr="004A0A8E" w:rsidRDefault="0002668C" w:rsidP="0002668C">
      <w:pPr>
        <w:rPr>
          <w:noProof/>
        </w:rPr>
      </w:pPr>
      <w:r>
        <w:rPr>
          <w:noProof/>
        </w:rPr>
        <w:t xml:space="preserve">Potrivit datelor raportate în acest an, </w:t>
      </w:r>
      <w:r w:rsidRPr="00F249C9">
        <w:rPr>
          <w:noProof/>
        </w:rPr>
        <w:t>15</w:t>
      </w:r>
      <w:r>
        <w:rPr>
          <w:noProof/>
        </w:rPr>
        <w:t xml:space="preserve"> țări au stabilit deja obiective cantitative pentru reducerea numărului de pahare pentru băuturi din plastic de unică folosință introduse pe piață, iar </w:t>
      </w:r>
      <w:r w:rsidRPr="00F249C9">
        <w:rPr>
          <w:noProof/>
        </w:rPr>
        <w:t>14</w:t>
      </w:r>
      <w:r>
        <w:rPr>
          <w:noProof/>
        </w:rPr>
        <w:t xml:space="preserve"> țări au stabilit obiective cantitative pentru reducerea numărului de recipiente pentru alimente introduse pe piață (obiective care, în cazul Letoniei, acoperă exclusiv paharele pentru băuturi). Tabelul de mai jos oferă o prezentare generală a obiectivelor cantitative și a referințelor de politică indicate de țări în fișierele de raportare, care sunt, în unele cazuri, incomplete. Acest fapt se explică prin caracterul voluntar al câmpurilor destinate descrierii măsurilor (de exemplu, descrierea măsurii, URL-ul referinței de politică, anul intrării în vigoare, nivelul geografic etc.), în conformitate cu formatul de raportare, acestea nefiind, prin urmare, completate de toate țările.</w:t>
      </w:r>
    </w:p>
    <w:tbl>
      <w:tblPr>
        <w:tblStyle w:val="TableGrid"/>
        <w:tblW w:w="8930" w:type="dxa"/>
        <w:tblInd w:w="13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7E6E6" w:themeFill="background2"/>
        <w:tblLayout w:type="fixed"/>
        <w:tblLook w:val="04A0" w:firstRow="1" w:lastRow="0" w:firstColumn="1" w:lastColumn="0" w:noHBand="0" w:noVBand="1"/>
      </w:tblPr>
      <w:tblGrid>
        <w:gridCol w:w="1074"/>
        <w:gridCol w:w="1761"/>
        <w:gridCol w:w="6095"/>
      </w:tblGrid>
      <w:tr w:rsidR="00D70CB7" w:rsidRPr="004A0A8E" w14:paraId="7025A08D" w14:textId="77777777" w:rsidTr="00E15FCF">
        <w:tc>
          <w:tcPr>
            <w:tcW w:w="1074" w:type="dxa"/>
            <w:shd w:val="clear" w:color="auto" w:fill="007B6C"/>
          </w:tcPr>
          <w:p w14:paraId="5B0E8DFA" w14:textId="77777777" w:rsidR="00D70CB7" w:rsidRPr="00A3421A" w:rsidRDefault="00D70CB7" w:rsidP="00E15FCF">
            <w:pPr>
              <w:rPr>
                <w:b/>
                <w:noProof/>
                <w:color w:val="FFFFFF" w:themeColor="background1"/>
                <w:sz w:val="20"/>
                <w:szCs w:val="20"/>
              </w:rPr>
            </w:pPr>
            <w:r w:rsidRPr="00627F8D">
              <w:rPr>
                <w:b/>
                <w:noProof/>
                <w:color w:val="FFFFFF" w:themeColor="background1"/>
                <w:sz w:val="20"/>
              </w:rPr>
              <w:t xml:space="preserve">Țara </w:t>
            </w:r>
          </w:p>
        </w:tc>
        <w:tc>
          <w:tcPr>
            <w:tcW w:w="1761" w:type="dxa"/>
            <w:shd w:val="clear" w:color="auto" w:fill="007B6C"/>
          </w:tcPr>
          <w:p w14:paraId="58699293" w14:textId="77777777" w:rsidR="00D70CB7" w:rsidRPr="00A3421A" w:rsidRDefault="00D70CB7" w:rsidP="00E15FCF">
            <w:pPr>
              <w:rPr>
                <w:b/>
                <w:noProof/>
                <w:color w:val="FFFFFF" w:themeColor="background1"/>
                <w:sz w:val="20"/>
                <w:szCs w:val="20"/>
              </w:rPr>
            </w:pPr>
            <w:r w:rsidRPr="00627F8D">
              <w:rPr>
                <w:b/>
                <w:noProof/>
                <w:color w:val="FFFFFF" w:themeColor="background1"/>
                <w:sz w:val="20"/>
              </w:rPr>
              <w:t xml:space="preserve">Obiectivul </w:t>
            </w:r>
          </w:p>
        </w:tc>
        <w:tc>
          <w:tcPr>
            <w:tcW w:w="6095" w:type="dxa"/>
            <w:shd w:val="clear" w:color="auto" w:fill="007B6C"/>
          </w:tcPr>
          <w:p w14:paraId="6528FAAD" w14:textId="77777777" w:rsidR="00D70CB7" w:rsidRPr="00627F8D" w:rsidRDefault="00D70CB7" w:rsidP="00E15FCF">
            <w:pPr>
              <w:rPr>
                <w:b/>
                <w:noProof/>
                <w:color w:val="FFFFFF" w:themeColor="background1"/>
                <w:sz w:val="20"/>
                <w:szCs w:val="20"/>
              </w:rPr>
            </w:pPr>
            <w:r w:rsidRPr="00627F8D">
              <w:rPr>
                <w:b/>
                <w:noProof/>
                <w:color w:val="FFFFFF" w:themeColor="background1"/>
                <w:sz w:val="20"/>
              </w:rPr>
              <w:t>Trimitere/URL</w:t>
            </w:r>
          </w:p>
        </w:tc>
      </w:tr>
      <w:tr w:rsidR="00D70CB7" w:rsidRPr="004A0A8E" w14:paraId="63B665E4" w14:textId="77777777" w:rsidTr="00E15FCF">
        <w:tc>
          <w:tcPr>
            <w:tcW w:w="1074" w:type="dxa"/>
            <w:shd w:val="clear" w:color="auto" w:fill="E7E6E6" w:themeFill="background2"/>
          </w:tcPr>
          <w:p w14:paraId="6E8D3C07" w14:textId="77777777" w:rsidR="00D70CB7" w:rsidRPr="00627F8D" w:rsidRDefault="00D70CB7" w:rsidP="00E15FCF">
            <w:pPr>
              <w:rPr>
                <w:b/>
                <w:noProof/>
                <w:sz w:val="16"/>
                <w:szCs w:val="16"/>
              </w:rPr>
            </w:pPr>
            <w:r w:rsidRPr="00627F8D">
              <w:rPr>
                <w:b/>
                <w:noProof/>
                <w:sz w:val="16"/>
              </w:rPr>
              <w:t>Austria</w:t>
            </w:r>
          </w:p>
        </w:tc>
        <w:tc>
          <w:tcPr>
            <w:tcW w:w="1761" w:type="dxa"/>
            <w:shd w:val="clear" w:color="auto" w:fill="E7E6E6" w:themeFill="background2"/>
          </w:tcPr>
          <w:p w14:paraId="3B44CDA8" w14:textId="3C62A485" w:rsidR="00D70CB7" w:rsidRPr="004A0A8E" w:rsidRDefault="00D70CB7" w:rsidP="00E15FCF">
            <w:pPr>
              <w:rPr>
                <w:noProof/>
                <w:sz w:val="16"/>
                <w:szCs w:val="16"/>
              </w:rPr>
            </w:pPr>
            <w:r>
              <w:rPr>
                <w:noProof/>
                <w:sz w:val="16"/>
              </w:rPr>
              <w:t xml:space="preserve">Reducere de </w:t>
            </w:r>
            <w:r w:rsidRPr="00F249C9">
              <w:rPr>
                <w:noProof/>
                <w:sz w:val="16"/>
              </w:rPr>
              <w:t>20</w:t>
            </w:r>
            <w:r>
              <w:rPr>
                <w:noProof/>
                <w:sz w:val="16"/>
              </w:rPr>
              <w:t xml:space="preserve"> % a ambalajelor din plastic de unică folosință introduse pe piață până în </w:t>
            </w:r>
            <w:r w:rsidRPr="00F249C9">
              <w:rPr>
                <w:noProof/>
                <w:sz w:val="16"/>
              </w:rPr>
              <w:t>2025</w:t>
            </w:r>
            <w:r>
              <w:rPr>
                <w:noProof/>
                <w:sz w:val="16"/>
              </w:rPr>
              <w:t xml:space="preserve">, comparativ cu nivelul din </w:t>
            </w:r>
            <w:r w:rsidRPr="00F249C9">
              <w:rPr>
                <w:noProof/>
                <w:sz w:val="16"/>
              </w:rPr>
              <w:t>2018</w:t>
            </w:r>
          </w:p>
        </w:tc>
        <w:tc>
          <w:tcPr>
            <w:tcW w:w="6095" w:type="dxa"/>
            <w:shd w:val="clear" w:color="auto" w:fill="E7E6E6" w:themeFill="background2"/>
          </w:tcPr>
          <w:p w14:paraId="59927C46" w14:textId="379AB79F" w:rsidR="00D70CB7" w:rsidRPr="004A0A8E" w:rsidRDefault="00D70CB7" w:rsidP="00E15FCF">
            <w:pPr>
              <w:rPr>
                <w:noProof/>
                <w:sz w:val="16"/>
                <w:szCs w:val="16"/>
              </w:rPr>
            </w:pPr>
            <w:r>
              <w:rPr>
                <w:noProof/>
                <w:sz w:val="16"/>
              </w:rPr>
              <w:t>https://www.ris.bka.gv.at/GeltendeFassung.wxe?Abfrage=Bundesnormen&amp;Gesetzesnummer=</w:t>
            </w:r>
            <w:r w:rsidRPr="00F249C9">
              <w:rPr>
                <w:noProof/>
                <w:sz w:val="16"/>
              </w:rPr>
              <w:t>20002086</w:t>
            </w:r>
            <w:r>
              <w:rPr>
                <w:noProof/>
                <w:sz w:val="16"/>
              </w:rPr>
              <w:t>.</w:t>
            </w:r>
          </w:p>
        </w:tc>
      </w:tr>
      <w:tr w:rsidR="00D70CB7" w:rsidRPr="004A0A8E" w14:paraId="55498EF2" w14:textId="77777777" w:rsidTr="00E15FCF">
        <w:tc>
          <w:tcPr>
            <w:tcW w:w="1074" w:type="dxa"/>
            <w:shd w:val="clear" w:color="auto" w:fill="E7E6E6" w:themeFill="background2"/>
          </w:tcPr>
          <w:p w14:paraId="676FBB36" w14:textId="77777777" w:rsidR="00D70CB7" w:rsidRPr="00627F8D" w:rsidRDefault="00D70CB7" w:rsidP="00E15FCF">
            <w:pPr>
              <w:rPr>
                <w:b/>
                <w:noProof/>
                <w:sz w:val="16"/>
                <w:szCs w:val="16"/>
              </w:rPr>
            </w:pPr>
            <w:r w:rsidRPr="00627F8D">
              <w:rPr>
                <w:b/>
                <w:noProof/>
                <w:sz w:val="16"/>
              </w:rPr>
              <w:t>Cehia</w:t>
            </w:r>
          </w:p>
        </w:tc>
        <w:tc>
          <w:tcPr>
            <w:tcW w:w="1761" w:type="dxa"/>
            <w:shd w:val="clear" w:color="auto" w:fill="E7E6E6" w:themeFill="background2"/>
          </w:tcPr>
          <w:p w14:paraId="446DE939" w14:textId="77777777" w:rsidR="00D70CB7" w:rsidRPr="004A0A8E" w:rsidRDefault="00D70CB7" w:rsidP="00E15FCF">
            <w:pPr>
              <w:rPr>
                <w:noProof/>
                <w:sz w:val="16"/>
                <w:szCs w:val="16"/>
              </w:rPr>
            </w:pPr>
            <w:r>
              <w:rPr>
                <w:noProof/>
                <w:sz w:val="16"/>
              </w:rPr>
              <w:t xml:space="preserve">Reducerea cantităților în </w:t>
            </w:r>
            <w:r w:rsidRPr="00F249C9">
              <w:rPr>
                <w:noProof/>
                <w:sz w:val="16"/>
              </w:rPr>
              <w:t>2026</w:t>
            </w:r>
          </w:p>
        </w:tc>
        <w:tc>
          <w:tcPr>
            <w:tcW w:w="6095" w:type="dxa"/>
            <w:shd w:val="clear" w:color="auto" w:fill="E7E6E6" w:themeFill="background2"/>
          </w:tcPr>
          <w:p w14:paraId="47990B0B" w14:textId="77777777" w:rsidR="00D70CB7" w:rsidRPr="004A0A8E" w:rsidRDefault="00D70CB7" w:rsidP="00E15FCF">
            <w:pPr>
              <w:rPr>
                <w:noProof/>
                <w:sz w:val="16"/>
                <w:szCs w:val="16"/>
              </w:rPr>
            </w:pPr>
            <w:r>
              <w:rPr>
                <w:noProof/>
                <w:sz w:val="16"/>
              </w:rPr>
              <w:t>Planul național de gestionare a deșeurilor</w:t>
            </w:r>
          </w:p>
        </w:tc>
      </w:tr>
      <w:tr w:rsidR="00D70CB7" w:rsidRPr="004A0A8E" w14:paraId="3A31ECBF" w14:textId="77777777" w:rsidTr="00E15FCF">
        <w:tc>
          <w:tcPr>
            <w:tcW w:w="1074" w:type="dxa"/>
            <w:shd w:val="clear" w:color="auto" w:fill="E7E6E6" w:themeFill="background2"/>
          </w:tcPr>
          <w:p w14:paraId="01FDAD9D" w14:textId="77777777" w:rsidR="00D70CB7" w:rsidRPr="00627F8D" w:rsidRDefault="00D70CB7" w:rsidP="00E15FCF">
            <w:pPr>
              <w:rPr>
                <w:b/>
                <w:noProof/>
                <w:sz w:val="16"/>
                <w:szCs w:val="16"/>
              </w:rPr>
            </w:pPr>
            <w:r w:rsidRPr="00627F8D">
              <w:rPr>
                <w:b/>
                <w:noProof/>
                <w:sz w:val="16"/>
              </w:rPr>
              <w:t>Danemarca</w:t>
            </w:r>
          </w:p>
        </w:tc>
        <w:tc>
          <w:tcPr>
            <w:tcW w:w="1761" w:type="dxa"/>
            <w:shd w:val="clear" w:color="auto" w:fill="E7E6E6" w:themeFill="background2"/>
          </w:tcPr>
          <w:p w14:paraId="7BFA0F63" w14:textId="77777777" w:rsidR="00D70CB7" w:rsidRPr="004A0A8E" w:rsidRDefault="00D70CB7" w:rsidP="00E15FCF">
            <w:pPr>
              <w:rPr>
                <w:noProof/>
                <w:sz w:val="16"/>
                <w:szCs w:val="16"/>
              </w:rPr>
            </w:pPr>
            <w:r>
              <w:rPr>
                <w:noProof/>
                <w:sz w:val="16"/>
              </w:rPr>
              <w:t xml:space="preserve">Reducere de </w:t>
            </w:r>
            <w:r w:rsidRPr="00F249C9">
              <w:rPr>
                <w:noProof/>
                <w:sz w:val="16"/>
              </w:rPr>
              <w:t>50</w:t>
            </w:r>
            <w:r>
              <w:rPr>
                <w:noProof/>
                <w:sz w:val="16"/>
              </w:rPr>
              <w:t xml:space="preserve"> % până în </w:t>
            </w:r>
            <w:r w:rsidRPr="00F249C9">
              <w:rPr>
                <w:noProof/>
                <w:sz w:val="16"/>
              </w:rPr>
              <w:t>2026</w:t>
            </w:r>
          </w:p>
        </w:tc>
        <w:tc>
          <w:tcPr>
            <w:tcW w:w="6095" w:type="dxa"/>
            <w:shd w:val="clear" w:color="auto" w:fill="E7E6E6" w:themeFill="background2"/>
          </w:tcPr>
          <w:p w14:paraId="432D4161" w14:textId="75A8D795" w:rsidR="00D70CB7" w:rsidRPr="004A0A8E" w:rsidRDefault="00D70CB7" w:rsidP="00E15FCF">
            <w:pPr>
              <w:rPr>
                <w:noProof/>
                <w:sz w:val="16"/>
                <w:szCs w:val="16"/>
              </w:rPr>
            </w:pPr>
            <w:r>
              <w:rPr>
                <w:noProof/>
                <w:sz w:val="16"/>
              </w:rPr>
              <w:t>https://mim.dk/media/ouwjnpp</w:t>
            </w:r>
            <w:r w:rsidRPr="00F249C9">
              <w:rPr>
                <w:noProof/>
                <w:sz w:val="16"/>
              </w:rPr>
              <w:t>5</w:t>
            </w:r>
            <w:r>
              <w:rPr>
                <w:noProof/>
                <w:sz w:val="16"/>
              </w:rPr>
              <w:t>/aftaletekst-ofoelgning-paa-aftale-om-klimaplan-for-en-groen-affaldssektor.pdf.</w:t>
            </w:r>
          </w:p>
        </w:tc>
      </w:tr>
      <w:tr w:rsidR="00D70CB7" w:rsidRPr="004A0A8E" w14:paraId="7F955DD2" w14:textId="77777777" w:rsidTr="00E15FCF">
        <w:tc>
          <w:tcPr>
            <w:tcW w:w="1074" w:type="dxa"/>
            <w:shd w:val="clear" w:color="auto" w:fill="E7E6E6" w:themeFill="background2"/>
          </w:tcPr>
          <w:p w14:paraId="2854324E" w14:textId="77777777" w:rsidR="00D70CB7" w:rsidRPr="00627F8D" w:rsidRDefault="00D70CB7" w:rsidP="00E15FCF">
            <w:pPr>
              <w:rPr>
                <w:b/>
                <w:noProof/>
                <w:sz w:val="16"/>
                <w:szCs w:val="16"/>
              </w:rPr>
            </w:pPr>
            <w:r w:rsidRPr="00627F8D">
              <w:rPr>
                <w:b/>
                <w:noProof/>
                <w:sz w:val="16"/>
              </w:rPr>
              <w:t>Franța</w:t>
            </w:r>
          </w:p>
        </w:tc>
        <w:tc>
          <w:tcPr>
            <w:tcW w:w="1761" w:type="dxa"/>
            <w:shd w:val="clear" w:color="auto" w:fill="E7E6E6" w:themeFill="background2"/>
          </w:tcPr>
          <w:p w14:paraId="411AA8C9" w14:textId="31EB6005" w:rsidR="00D70CB7" w:rsidRPr="004A0A8E" w:rsidRDefault="00D70CB7" w:rsidP="00E15FCF">
            <w:pPr>
              <w:rPr>
                <w:noProof/>
                <w:sz w:val="16"/>
                <w:szCs w:val="16"/>
              </w:rPr>
            </w:pPr>
            <w:r>
              <w:rPr>
                <w:noProof/>
                <w:sz w:val="16"/>
              </w:rPr>
              <w:t xml:space="preserve">Reducere de </w:t>
            </w:r>
            <w:r w:rsidRPr="00F249C9">
              <w:rPr>
                <w:noProof/>
                <w:sz w:val="16"/>
              </w:rPr>
              <w:t>15</w:t>
            </w:r>
            <w:r>
              <w:rPr>
                <w:noProof/>
                <w:sz w:val="16"/>
              </w:rPr>
              <w:t xml:space="preserve"> % începând cu </w:t>
            </w:r>
            <w:r w:rsidRPr="00F249C9">
              <w:rPr>
                <w:noProof/>
                <w:sz w:val="16"/>
              </w:rPr>
              <w:t>1</w:t>
            </w:r>
            <w:r>
              <w:rPr>
                <w:noProof/>
                <w:sz w:val="16"/>
              </w:rPr>
              <w:t xml:space="preserve"> ianuarie </w:t>
            </w:r>
            <w:r w:rsidRPr="00F249C9">
              <w:rPr>
                <w:noProof/>
                <w:sz w:val="16"/>
              </w:rPr>
              <w:t>2022</w:t>
            </w:r>
            <w:r>
              <w:rPr>
                <w:noProof/>
                <w:sz w:val="16"/>
              </w:rPr>
              <w:t xml:space="preserve"> și de </w:t>
            </w:r>
            <w:r w:rsidRPr="00F249C9">
              <w:rPr>
                <w:noProof/>
                <w:sz w:val="16"/>
              </w:rPr>
              <w:t>8</w:t>
            </w:r>
            <w:r>
              <w:rPr>
                <w:noProof/>
                <w:sz w:val="16"/>
              </w:rPr>
              <w:t xml:space="preserve"> % începând cu </w:t>
            </w:r>
            <w:r w:rsidRPr="00F249C9">
              <w:rPr>
                <w:noProof/>
                <w:sz w:val="16"/>
              </w:rPr>
              <w:t>1</w:t>
            </w:r>
            <w:r>
              <w:rPr>
                <w:noProof/>
                <w:sz w:val="16"/>
              </w:rPr>
              <w:t xml:space="preserve"> ianuarie </w:t>
            </w:r>
            <w:r w:rsidRPr="00F249C9">
              <w:rPr>
                <w:noProof/>
                <w:sz w:val="16"/>
              </w:rPr>
              <w:t>2024</w:t>
            </w:r>
            <w:r>
              <w:rPr>
                <w:noProof/>
                <w:sz w:val="16"/>
              </w:rPr>
              <w:t>.</w:t>
            </w:r>
          </w:p>
        </w:tc>
        <w:tc>
          <w:tcPr>
            <w:tcW w:w="6095" w:type="dxa"/>
            <w:shd w:val="clear" w:color="auto" w:fill="E7E6E6" w:themeFill="background2"/>
          </w:tcPr>
          <w:p w14:paraId="36CA07AE" w14:textId="34C38C4B" w:rsidR="00D70CB7" w:rsidRPr="004A0A8E" w:rsidRDefault="00D70CB7" w:rsidP="00E15FCF">
            <w:pPr>
              <w:rPr>
                <w:noProof/>
                <w:sz w:val="16"/>
                <w:szCs w:val="16"/>
              </w:rPr>
            </w:pPr>
            <w:r>
              <w:rPr>
                <w:noProof/>
                <w:sz w:val="16"/>
              </w:rPr>
              <w:t>https://www.legifrance.gouv.fr/jorf/id/JORFTEXT</w:t>
            </w:r>
            <w:r w:rsidRPr="00F249C9">
              <w:rPr>
                <w:noProof/>
                <w:sz w:val="16"/>
              </w:rPr>
              <w:t>000044205692</w:t>
            </w:r>
            <w:r>
              <w:rPr>
                <w:noProof/>
                <w:sz w:val="16"/>
              </w:rPr>
              <w:t>.</w:t>
            </w:r>
          </w:p>
        </w:tc>
      </w:tr>
      <w:tr w:rsidR="00D70CB7" w:rsidRPr="004A0A8E" w14:paraId="1CE2192A" w14:textId="77777777" w:rsidTr="00E15FCF">
        <w:tc>
          <w:tcPr>
            <w:tcW w:w="1074" w:type="dxa"/>
            <w:shd w:val="clear" w:color="auto" w:fill="E7E6E6" w:themeFill="background2"/>
          </w:tcPr>
          <w:p w14:paraId="203D49A9" w14:textId="77777777" w:rsidR="00D70CB7" w:rsidRPr="00627F8D" w:rsidRDefault="00D70CB7" w:rsidP="00E15FCF">
            <w:pPr>
              <w:rPr>
                <w:b/>
                <w:noProof/>
                <w:sz w:val="16"/>
                <w:szCs w:val="16"/>
              </w:rPr>
            </w:pPr>
            <w:r w:rsidRPr="00627F8D">
              <w:rPr>
                <w:b/>
                <w:noProof/>
                <w:sz w:val="16"/>
              </w:rPr>
              <w:t>Grecia</w:t>
            </w:r>
          </w:p>
        </w:tc>
        <w:tc>
          <w:tcPr>
            <w:tcW w:w="1761" w:type="dxa"/>
            <w:shd w:val="clear" w:color="auto" w:fill="E7E6E6" w:themeFill="background2"/>
          </w:tcPr>
          <w:p w14:paraId="6A3FA259" w14:textId="476004C4" w:rsidR="00D70CB7" w:rsidRPr="004A0A8E" w:rsidRDefault="00D70CB7" w:rsidP="00E15FCF">
            <w:pPr>
              <w:rPr>
                <w:noProof/>
                <w:sz w:val="16"/>
                <w:szCs w:val="16"/>
              </w:rPr>
            </w:pPr>
            <w:r>
              <w:rPr>
                <w:noProof/>
                <w:sz w:val="16"/>
              </w:rPr>
              <w:t xml:space="preserve">Reducere de </w:t>
            </w:r>
            <w:r w:rsidRPr="00F249C9">
              <w:rPr>
                <w:noProof/>
                <w:sz w:val="16"/>
              </w:rPr>
              <w:t>30</w:t>
            </w:r>
            <w:r>
              <w:rPr>
                <w:noProof/>
                <w:sz w:val="16"/>
              </w:rPr>
              <w:t xml:space="preserve"> % până în </w:t>
            </w:r>
            <w:r w:rsidRPr="00F249C9">
              <w:rPr>
                <w:noProof/>
                <w:sz w:val="16"/>
              </w:rPr>
              <w:t>2024</w:t>
            </w:r>
            <w:r>
              <w:rPr>
                <w:noProof/>
                <w:sz w:val="16"/>
              </w:rPr>
              <w:t xml:space="preserve"> și de </w:t>
            </w:r>
            <w:r w:rsidRPr="00F249C9">
              <w:rPr>
                <w:noProof/>
                <w:sz w:val="16"/>
              </w:rPr>
              <w:t>60</w:t>
            </w:r>
            <w:r>
              <w:rPr>
                <w:noProof/>
                <w:sz w:val="16"/>
              </w:rPr>
              <w:t xml:space="preserve"> % până în </w:t>
            </w:r>
            <w:r w:rsidRPr="00F249C9">
              <w:rPr>
                <w:noProof/>
                <w:sz w:val="16"/>
              </w:rPr>
              <w:t>2026</w:t>
            </w:r>
            <w:r>
              <w:rPr>
                <w:noProof/>
                <w:sz w:val="16"/>
              </w:rPr>
              <w:t xml:space="preserve">, comparativ cu nivelul din </w:t>
            </w:r>
            <w:r w:rsidRPr="00F249C9">
              <w:rPr>
                <w:noProof/>
                <w:sz w:val="16"/>
              </w:rPr>
              <w:t>2022</w:t>
            </w:r>
          </w:p>
        </w:tc>
        <w:tc>
          <w:tcPr>
            <w:tcW w:w="6095" w:type="dxa"/>
            <w:shd w:val="clear" w:color="auto" w:fill="E7E6E6" w:themeFill="background2"/>
          </w:tcPr>
          <w:p w14:paraId="264414E3" w14:textId="77777777" w:rsidR="00D70CB7" w:rsidRPr="004A0A8E" w:rsidRDefault="00D70CB7" w:rsidP="00E15FCF">
            <w:pPr>
              <w:rPr>
                <w:noProof/>
                <w:sz w:val="16"/>
                <w:szCs w:val="16"/>
              </w:rPr>
            </w:pPr>
            <w:r>
              <w:rPr>
                <w:noProof/>
                <w:sz w:val="16"/>
              </w:rPr>
              <w:t xml:space="preserve">Legea </w:t>
            </w:r>
            <w:r w:rsidRPr="00F249C9">
              <w:rPr>
                <w:noProof/>
                <w:sz w:val="16"/>
              </w:rPr>
              <w:t>4736</w:t>
            </w:r>
            <w:r>
              <w:rPr>
                <w:noProof/>
                <w:sz w:val="16"/>
              </w:rPr>
              <w:t>/</w:t>
            </w:r>
            <w:r w:rsidRPr="00F249C9">
              <w:rPr>
                <w:noProof/>
                <w:sz w:val="16"/>
              </w:rPr>
              <w:t>2020</w:t>
            </w:r>
          </w:p>
        </w:tc>
      </w:tr>
      <w:tr w:rsidR="00D70CB7" w:rsidRPr="004A0A8E" w14:paraId="48D90F5C" w14:textId="77777777" w:rsidTr="00E15FCF">
        <w:tc>
          <w:tcPr>
            <w:tcW w:w="1074" w:type="dxa"/>
            <w:shd w:val="clear" w:color="auto" w:fill="E7E6E6" w:themeFill="background2"/>
          </w:tcPr>
          <w:p w14:paraId="28EC2BCA" w14:textId="77777777" w:rsidR="00D70CB7" w:rsidRPr="00627F8D" w:rsidRDefault="00D70CB7" w:rsidP="00E15FCF">
            <w:pPr>
              <w:rPr>
                <w:b/>
                <w:noProof/>
                <w:sz w:val="16"/>
                <w:szCs w:val="16"/>
              </w:rPr>
            </w:pPr>
            <w:r w:rsidRPr="00627F8D">
              <w:rPr>
                <w:b/>
                <w:noProof/>
                <w:sz w:val="16"/>
              </w:rPr>
              <w:t>Irlanda</w:t>
            </w:r>
          </w:p>
        </w:tc>
        <w:tc>
          <w:tcPr>
            <w:tcW w:w="1761" w:type="dxa"/>
            <w:shd w:val="clear" w:color="auto" w:fill="E7E6E6" w:themeFill="background2"/>
          </w:tcPr>
          <w:p w14:paraId="07589B75" w14:textId="77777777" w:rsidR="00D70CB7" w:rsidRPr="004A0A8E" w:rsidRDefault="00D70CB7" w:rsidP="00E15FCF">
            <w:pPr>
              <w:rPr>
                <w:noProof/>
                <w:sz w:val="16"/>
                <w:szCs w:val="16"/>
              </w:rPr>
            </w:pPr>
            <w:r>
              <w:rPr>
                <w:noProof/>
                <w:sz w:val="16"/>
              </w:rPr>
              <w:t>-</w:t>
            </w:r>
          </w:p>
        </w:tc>
        <w:tc>
          <w:tcPr>
            <w:tcW w:w="6095" w:type="dxa"/>
            <w:shd w:val="clear" w:color="auto" w:fill="E7E6E6" w:themeFill="background2"/>
          </w:tcPr>
          <w:p w14:paraId="6D509E62" w14:textId="19846E7C" w:rsidR="00D70CB7" w:rsidRPr="004A0A8E" w:rsidRDefault="00D70CB7" w:rsidP="00E15FCF">
            <w:pPr>
              <w:rPr>
                <w:noProof/>
                <w:sz w:val="16"/>
                <w:szCs w:val="16"/>
              </w:rPr>
            </w:pPr>
            <w:r>
              <w:rPr>
                <w:noProof/>
                <w:sz w:val="16"/>
              </w:rPr>
              <w:t>Strategia privind economia circulară, astfel cum se prevede în actul legislativ privind economia circulară, care impune includerea unor obiective de reutilizare pentru diferite sectoare, inclusiv pentru ambalaje. Strategia este în curs de actualizare.</w:t>
            </w:r>
          </w:p>
        </w:tc>
      </w:tr>
      <w:tr w:rsidR="00D70CB7" w:rsidRPr="003E0187" w14:paraId="2B58F459" w14:textId="77777777" w:rsidTr="00E15FCF">
        <w:tc>
          <w:tcPr>
            <w:tcW w:w="1074" w:type="dxa"/>
            <w:shd w:val="clear" w:color="auto" w:fill="E7E6E6" w:themeFill="background2"/>
          </w:tcPr>
          <w:p w14:paraId="4A2F1CB4" w14:textId="77777777" w:rsidR="00D70CB7" w:rsidRPr="00627F8D" w:rsidRDefault="00D70CB7" w:rsidP="00E15FCF">
            <w:pPr>
              <w:rPr>
                <w:b/>
                <w:noProof/>
                <w:sz w:val="16"/>
                <w:szCs w:val="16"/>
              </w:rPr>
            </w:pPr>
            <w:r w:rsidRPr="00627F8D">
              <w:rPr>
                <w:b/>
                <w:noProof/>
                <w:sz w:val="16"/>
              </w:rPr>
              <w:t>Italia</w:t>
            </w:r>
          </w:p>
        </w:tc>
        <w:tc>
          <w:tcPr>
            <w:tcW w:w="1761" w:type="dxa"/>
            <w:shd w:val="clear" w:color="auto" w:fill="E7E6E6" w:themeFill="background2"/>
          </w:tcPr>
          <w:p w14:paraId="0C6D0EE5" w14:textId="77777777" w:rsidR="00D70CB7" w:rsidRPr="004A0A8E" w:rsidRDefault="00D70CB7" w:rsidP="00E15FCF">
            <w:pPr>
              <w:rPr>
                <w:noProof/>
                <w:sz w:val="16"/>
                <w:szCs w:val="16"/>
              </w:rPr>
            </w:pPr>
            <w:r>
              <w:rPr>
                <w:noProof/>
                <w:sz w:val="16"/>
              </w:rPr>
              <w:t>-</w:t>
            </w:r>
          </w:p>
        </w:tc>
        <w:tc>
          <w:tcPr>
            <w:tcW w:w="6095" w:type="dxa"/>
            <w:shd w:val="clear" w:color="auto" w:fill="E7E6E6" w:themeFill="background2"/>
          </w:tcPr>
          <w:p w14:paraId="4EE11113" w14:textId="77777777" w:rsidR="00D70CB7" w:rsidRPr="00BE6BA2" w:rsidRDefault="00D70CB7" w:rsidP="00E15FCF">
            <w:pPr>
              <w:rPr>
                <w:noProof/>
                <w:sz w:val="16"/>
                <w:szCs w:val="16"/>
              </w:rPr>
            </w:pPr>
            <w:r>
              <w:rPr>
                <w:noProof/>
                <w:sz w:val="16"/>
              </w:rPr>
              <w:t xml:space="preserve">Aggiornamento </w:t>
            </w:r>
            <w:r w:rsidRPr="00F249C9">
              <w:rPr>
                <w:noProof/>
                <w:sz w:val="16"/>
              </w:rPr>
              <w:t>2021</w:t>
            </w:r>
            <w:r>
              <w:rPr>
                <w:noProof/>
                <w:sz w:val="16"/>
              </w:rPr>
              <w:t>-</w:t>
            </w:r>
            <w:r w:rsidRPr="00F249C9">
              <w:rPr>
                <w:noProof/>
                <w:sz w:val="16"/>
              </w:rPr>
              <w:t>2026</w:t>
            </w:r>
            <w:r>
              <w:rPr>
                <w:noProof/>
                <w:sz w:val="16"/>
              </w:rPr>
              <w:t xml:space="preserve"> del Piano regionale di Gestione dei Rifiuti e delle Bonifiche </w:t>
            </w:r>
            <w:r w:rsidRPr="00F249C9">
              <w:rPr>
                <w:noProof/>
                <w:sz w:val="16"/>
              </w:rPr>
              <w:t>2015</w:t>
            </w:r>
          </w:p>
        </w:tc>
      </w:tr>
      <w:tr w:rsidR="00D70CB7" w:rsidRPr="004A0A8E" w14:paraId="0B6FC54B" w14:textId="77777777" w:rsidTr="00E15FCF">
        <w:tc>
          <w:tcPr>
            <w:tcW w:w="1074" w:type="dxa"/>
            <w:shd w:val="clear" w:color="auto" w:fill="E7E6E6" w:themeFill="background2"/>
          </w:tcPr>
          <w:p w14:paraId="0EA2CA22" w14:textId="77777777" w:rsidR="00D70CB7" w:rsidRPr="00627F8D" w:rsidRDefault="00D70CB7" w:rsidP="00E15FCF">
            <w:pPr>
              <w:rPr>
                <w:b/>
                <w:noProof/>
                <w:sz w:val="16"/>
                <w:szCs w:val="16"/>
              </w:rPr>
            </w:pPr>
            <w:r w:rsidRPr="00627F8D">
              <w:rPr>
                <w:b/>
                <w:noProof/>
                <w:sz w:val="16"/>
              </w:rPr>
              <w:t>Letonia</w:t>
            </w:r>
          </w:p>
        </w:tc>
        <w:tc>
          <w:tcPr>
            <w:tcW w:w="1761" w:type="dxa"/>
            <w:shd w:val="clear" w:color="auto" w:fill="E7E6E6" w:themeFill="background2"/>
          </w:tcPr>
          <w:p w14:paraId="16313EFD" w14:textId="77777777" w:rsidR="00D70CB7" w:rsidRPr="004A0A8E" w:rsidRDefault="00D70CB7" w:rsidP="00E15FCF">
            <w:pPr>
              <w:rPr>
                <w:noProof/>
                <w:sz w:val="16"/>
                <w:szCs w:val="16"/>
              </w:rPr>
            </w:pPr>
            <w:r>
              <w:rPr>
                <w:noProof/>
                <w:sz w:val="16"/>
              </w:rPr>
              <w:t>-</w:t>
            </w:r>
          </w:p>
        </w:tc>
        <w:tc>
          <w:tcPr>
            <w:tcW w:w="6095" w:type="dxa"/>
            <w:shd w:val="clear" w:color="auto" w:fill="E7E6E6" w:themeFill="background2"/>
          </w:tcPr>
          <w:p w14:paraId="7A4A3212" w14:textId="05A49452" w:rsidR="00D70CB7" w:rsidRPr="004A0A8E" w:rsidRDefault="00D70CB7" w:rsidP="00E15FCF">
            <w:pPr>
              <w:rPr>
                <w:noProof/>
                <w:sz w:val="16"/>
                <w:szCs w:val="16"/>
              </w:rPr>
            </w:pPr>
            <w:r>
              <w:rPr>
                <w:noProof/>
                <w:sz w:val="16"/>
              </w:rPr>
              <w:t>Legea privind reducerea consumului de produse care conțin plastic, https://likumi.lv/ta/en/en/id/</w:t>
            </w:r>
            <w:r w:rsidRPr="00F249C9">
              <w:rPr>
                <w:noProof/>
                <w:sz w:val="16"/>
              </w:rPr>
              <w:t>323733</w:t>
            </w:r>
            <w:r>
              <w:rPr>
                <w:noProof/>
                <w:sz w:val="16"/>
              </w:rPr>
              <w:t>-law-on-the-reduction-of-consumption-of-products-containing-plastic.</w:t>
            </w:r>
          </w:p>
        </w:tc>
      </w:tr>
      <w:tr w:rsidR="00D70CB7" w:rsidRPr="004A0A8E" w14:paraId="2B2945CD" w14:textId="77777777" w:rsidTr="00E15FCF">
        <w:tc>
          <w:tcPr>
            <w:tcW w:w="1074" w:type="dxa"/>
            <w:shd w:val="clear" w:color="auto" w:fill="E7E6E6" w:themeFill="background2"/>
          </w:tcPr>
          <w:p w14:paraId="59F07F53" w14:textId="77777777" w:rsidR="00D70CB7" w:rsidRPr="00627F8D" w:rsidRDefault="00D70CB7" w:rsidP="00E15FCF">
            <w:pPr>
              <w:rPr>
                <w:b/>
                <w:noProof/>
                <w:sz w:val="16"/>
                <w:szCs w:val="16"/>
              </w:rPr>
            </w:pPr>
            <w:r w:rsidRPr="00627F8D">
              <w:rPr>
                <w:b/>
                <w:noProof/>
                <w:sz w:val="16"/>
              </w:rPr>
              <w:t>Țările de Jos</w:t>
            </w:r>
          </w:p>
        </w:tc>
        <w:tc>
          <w:tcPr>
            <w:tcW w:w="1761" w:type="dxa"/>
            <w:shd w:val="clear" w:color="auto" w:fill="E7E6E6" w:themeFill="background2"/>
          </w:tcPr>
          <w:p w14:paraId="7A516C04" w14:textId="3BFEBE00" w:rsidR="00D70CB7" w:rsidRPr="004A0A8E" w:rsidRDefault="00D70CB7" w:rsidP="00E15FCF">
            <w:pPr>
              <w:rPr>
                <w:noProof/>
                <w:sz w:val="16"/>
                <w:szCs w:val="16"/>
              </w:rPr>
            </w:pPr>
            <w:r>
              <w:rPr>
                <w:noProof/>
                <w:sz w:val="16"/>
              </w:rPr>
              <w:t xml:space="preserve">Reducere de cel puțin </w:t>
            </w:r>
            <w:r w:rsidRPr="00F249C9">
              <w:rPr>
                <w:noProof/>
                <w:sz w:val="16"/>
              </w:rPr>
              <w:t>40</w:t>
            </w:r>
            <w:r>
              <w:rPr>
                <w:noProof/>
                <w:sz w:val="16"/>
              </w:rPr>
              <w:t xml:space="preserve"> % până în </w:t>
            </w:r>
            <w:r w:rsidRPr="00F249C9">
              <w:rPr>
                <w:noProof/>
                <w:sz w:val="16"/>
              </w:rPr>
              <w:t>2026</w:t>
            </w:r>
            <w:r>
              <w:rPr>
                <w:noProof/>
                <w:sz w:val="16"/>
              </w:rPr>
              <w:t xml:space="preserve">, comparativ cu nivelul din </w:t>
            </w:r>
            <w:r w:rsidRPr="00F249C9">
              <w:rPr>
                <w:noProof/>
                <w:sz w:val="16"/>
              </w:rPr>
              <w:t>2022</w:t>
            </w:r>
            <w:r>
              <w:rPr>
                <w:noProof/>
                <w:sz w:val="16"/>
              </w:rPr>
              <w:t>.</w:t>
            </w:r>
          </w:p>
        </w:tc>
        <w:tc>
          <w:tcPr>
            <w:tcW w:w="6095" w:type="dxa"/>
            <w:shd w:val="clear" w:color="auto" w:fill="E7E6E6" w:themeFill="background2"/>
          </w:tcPr>
          <w:p w14:paraId="20A9BFA1" w14:textId="32064D2E" w:rsidR="00D70CB7" w:rsidRPr="004A0A8E" w:rsidRDefault="00D70CB7" w:rsidP="00E15FCF">
            <w:pPr>
              <w:rPr>
                <w:noProof/>
                <w:sz w:val="16"/>
                <w:szCs w:val="16"/>
              </w:rPr>
            </w:pPr>
            <w:r>
              <w:rPr>
                <w:noProof/>
                <w:sz w:val="16"/>
              </w:rPr>
              <w:t>https://open.overheid.nl/documenten/ronl-</w:t>
            </w:r>
            <w:r w:rsidRPr="00F249C9">
              <w:rPr>
                <w:noProof/>
                <w:sz w:val="16"/>
              </w:rPr>
              <w:t>9</w:t>
            </w:r>
            <w:r>
              <w:rPr>
                <w:noProof/>
                <w:sz w:val="16"/>
              </w:rPr>
              <w:t>b</w:t>
            </w:r>
            <w:r w:rsidRPr="00F249C9">
              <w:rPr>
                <w:noProof/>
                <w:sz w:val="16"/>
              </w:rPr>
              <w:t>1</w:t>
            </w:r>
            <w:r>
              <w:rPr>
                <w:noProof/>
                <w:sz w:val="16"/>
              </w:rPr>
              <w:t>cda</w:t>
            </w:r>
            <w:r w:rsidRPr="00F249C9">
              <w:rPr>
                <w:noProof/>
                <w:sz w:val="16"/>
              </w:rPr>
              <w:t>6564</w:t>
            </w:r>
            <w:r>
              <w:rPr>
                <w:noProof/>
                <w:sz w:val="16"/>
              </w:rPr>
              <w:t>e</w:t>
            </w:r>
            <w:r w:rsidRPr="00F249C9">
              <w:rPr>
                <w:noProof/>
                <w:sz w:val="16"/>
              </w:rPr>
              <w:t>27</w:t>
            </w:r>
            <w:r>
              <w:rPr>
                <w:noProof/>
                <w:sz w:val="16"/>
              </w:rPr>
              <w:t>b</w:t>
            </w:r>
            <w:r w:rsidRPr="00F249C9">
              <w:rPr>
                <w:noProof/>
                <w:sz w:val="16"/>
              </w:rPr>
              <w:t>4</w:t>
            </w:r>
            <w:r>
              <w:rPr>
                <w:noProof/>
                <w:sz w:val="16"/>
              </w:rPr>
              <w:t>ef</w:t>
            </w:r>
            <w:r w:rsidRPr="00F249C9">
              <w:rPr>
                <w:noProof/>
                <w:sz w:val="16"/>
              </w:rPr>
              <w:t>7267</w:t>
            </w:r>
            <w:r>
              <w:rPr>
                <w:noProof/>
                <w:sz w:val="16"/>
              </w:rPr>
              <w:t>c</w:t>
            </w:r>
            <w:r w:rsidRPr="00F249C9">
              <w:rPr>
                <w:noProof/>
                <w:sz w:val="16"/>
              </w:rPr>
              <w:t>9</w:t>
            </w:r>
            <w:r>
              <w:rPr>
                <w:noProof/>
                <w:sz w:val="16"/>
              </w:rPr>
              <w:t>a</w:t>
            </w:r>
            <w:r w:rsidRPr="00F249C9">
              <w:rPr>
                <w:noProof/>
                <w:sz w:val="16"/>
              </w:rPr>
              <w:t>13</w:t>
            </w:r>
            <w:r>
              <w:rPr>
                <w:noProof/>
                <w:sz w:val="16"/>
              </w:rPr>
              <w:t>aff</w:t>
            </w:r>
            <w:r w:rsidRPr="00F249C9">
              <w:rPr>
                <w:noProof/>
                <w:sz w:val="16"/>
              </w:rPr>
              <w:t>00</w:t>
            </w:r>
            <w:r>
              <w:rPr>
                <w:noProof/>
                <w:sz w:val="16"/>
              </w:rPr>
              <w:t>e</w:t>
            </w:r>
            <w:r w:rsidRPr="00F249C9">
              <w:rPr>
                <w:noProof/>
                <w:sz w:val="16"/>
              </w:rPr>
              <w:t>46</w:t>
            </w:r>
            <w:r>
              <w:rPr>
                <w:noProof/>
                <w:sz w:val="16"/>
              </w:rPr>
              <w:t>cba</w:t>
            </w:r>
            <w:r w:rsidRPr="00F249C9">
              <w:rPr>
                <w:noProof/>
                <w:sz w:val="16"/>
              </w:rPr>
              <w:t>6</w:t>
            </w:r>
            <w:r>
              <w:rPr>
                <w:noProof/>
                <w:sz w:val="16"/>
              </w:rPr>
              <w:t>e</w:t>
            </w:r>
            <w:r w:rsidRPr="00F249C9">
              <w:rPr>
                <w:noProof/>
                <w:sz w:val="16"/>
              </w:rPr>
              <w:t>1</w:t>
            </w:r>
            <w:r>
              <w:rPr>
                <w:noProof/>
                <w:sz w:val="16"/>
              </w:rPr>
              <w:t>/pdf.</w:t>
            </w:r>
          </w:p>
        </w:tc>
      </w:tr>
      <w:tr w:rsidR="00D70CB7" w:rsidRPr="004A0A8E" w14:paraId="14DE226A" w14:textId="77777777" w:rsidTr="00E15FCF">
        <w:tc>
          <w:tcPr>
            <w:tcW w:w="1074" w:type="dxa"/>
            <w:shd w:val="clear" w:color="auto" w:fill="E7E6E6" w:themeFill="background2"/>
          </w:tcPr>
          <w:p w14:paraId="696799CB" w14:textId="77777777" w:rsidR="00D70CB7" w:rsidRPr="00627F8D" w:rsidRDefault="00D70CB7" w:rsidP="00E15FCF">
            <w:pPr>
              <w:rPr>
                <w:b/>
                <w:noProof/>
                <w:sz w:val="16"/>
                <w:szCs w:val="16"/>
              </w:rPr>
            </w:pPr>
            <w:r w:rsidRPr="00627F8D">
              <w:rPr>
                <w:b/>
                <w:noProof/>
                <w:sz w:val="16"/>
              </w:rPr>
              <w:t>Norvegia</w:t>
            </w:r>
          </w:p>
        </w:tc>
        <w:tc>
          <w:tcPr>
            <w:tcW w:w="1761" w:type="dxa"/>
            <w:shd w:val="clear" w:color="auto" w:fill="E7E6E6" w:themeFill="background2"/>
          </w:tcPr>
          <w:p w14:paraId="4683F629" w14:textId="088F3C5A" w:rsidR="00D70CB7" w:rsidRPr="004A0A8E" w:rsidRDefault="00D70CB7" w:rsidP="00E15FCF">
            <w:pPr>
              <w:rPr>
                <w:noProof/>
                <w:sz w:val="16"/>
                <w:szCs w:val="16"/>
              </w:rPr>
            </w:pPr>
            <w:r>
              <w:rPr>
                <w:noProof/>
                <w:sz w:val="16"/>
              </w:rPr>
              <w:t xml:space="preserve">Reducere de </w:t>
            </w:r>
            <w:r w:rsidRPr="00F249C9">
              <w:rPr>
                <w:noProof/>
                <w:sz w:val="16"/>
              </w:rPr>
              <w:t>50</w:t>
            </w:r>
            <w:r>
              <w:rPr>
                <w:noProof/>
                <w:sz w:val="16"/>
              </w:rPr>
              <w:t xml:space="preserve"> % până în </w:t>
            </w:r>
            <w:r w:rsidRPr="00F249C9">
              <w:rPr>
                <w:noProof/>
                <w:sz w:val="16"/>
              </w:rPr>
              <w:t>2026</w:t>
            </w:r>
            <w:r>
              <w:rPr>
                <w:noProof/>
                <w:sz w:val="16"/>
              </w:rPr>
              <w:t>.</w:t>
            </w:r>
          </w:p>
        </w:tc>
        <w:tc>
          <w:tcPr>
            <w:tcW w:w="6095" w:type="dxa"/>
            <w:shd w:val="clear" w:color="auto" w:fill="E7E6E6" w:themeFill="background2"/>
          </w:tcPr>
          <w:p w14:paraId="4F874E92" w14:textId="7A0B1019" w:rsidR="00D70CB7" w:rsidRPr="004A0A8E" w:rsidRDefault="00D70CB7" w:rsidP="00E15FCF">
            <w:pPr>
              <w:rPr>
                <w:noProof/>
                <w:sz w:val="16"/>
                <w:szCs w:val="16"/>
              </w:rPr>
            </w:pPr>
            <w:r>
              <w:rPr>
                <w:noProof/>
                <w:sz w:val="16"/>
              </w:rPr>
              <w:t xml:space="preserve">Obiectiv național de reducere a consumului de pahare pentru băuturi și recipiente pentru alimente din plastic de unică folosință. A se vedea punctul </w:t>
            </w:r>
            <w:r w:rsidRPr="00F249C9">
              <w:rPr>
                <w:noProof/>
                <w:sz w:val="16"/>
              </w:rPr>
              <w:t>4</w:t>
            </w:r>
            <w:r>
              <w:rPr>
                <w:noProof/>
                <w:sz w:val="16"/>
              </w:rPr>
              <w:t xml:space="preserve"> din acest acord: https://www.regjeringen.no/contentassets/e</w:t>
            </w:r>
            <w:r w:rsidRPr="00F249C9">
              <w:rPr>
                <w:noProof/>
                <w:sz w:val="16"/>
              </w:rPr>
              <w:t>83</w:t>
            </w:r>
            <w:r>
              <w:rPr>
                <w:noProof/>
                <w:sz w:val="16"/>
              </w:rPr>
              <w:t>f</w:t>
            </w:r>
            <w:r w:rsidRPr="00F249C9">
              <w:rPr>
                <w:noProof/>
                <w:sz w:val="16"/>
              </w:rPr>
              <w:t>4</w:t>
            </w:r>
            <w:r>
              <w:rPr>
                <w:noProof/>
                <w:sz w:val="16"/>
              </w:rPr>
              <w:t>f</w:t>
            </w:r>
            <w:r w:rsidRPr="00F249C9">
              <w:rPr>
                <w:noProof/>
                <w:sz w:val="16"/>
              </w:rPr>
              <w:t>1084</w:t>
            </w:r>
            <w:r>
              <w:rPr>
                <w:noProof/>
                <w:sz w:val="16"/>
              </w:rPr>
              <w:t>b</w:t>
            </w:r>
            <w:r w:rsidRPr="00F249C9">
              <w:rPr>
                <w:noProof/>
                <w:sz w:val="16"/>
              </w:rPr>
              <w:t>740</w:t>
            </w:r>
            <w:r>
              <w:rPr>
                <w:noProof/>
                <w:sz w:val="16"/>
              </w:rPr>
              <w:t>c</w:t>
            </w:r>
            <w:r w:rsidRPr="00F249C9">
              <w:rPr>
                <w:noProof/>
                <w:sz w:val="16"/>
              </w:rPr>
              <w:t>48</w:t>
            </w:r>
            <w:r>
              <w:rPr>
                <w:noProof/>
                <w:sz w:val="16"/>
              </w:rPr>
              <w:t>bcbe</w:t>
            </w:r>
            <w:r w:rsidRPr="00F249C9">
              <w:rPr>
                <w:noProof/>
                <w:sz w:val="16"/>
              </w:rPr>
              <w:t>79</w:t>
            </w:r>
            <w:r>
              <w:rPr>
                <w:noProof/>
                <w:sz w:val="16"/>
              </w:rPr>
              <w:t>d</w:t>
            </w:r>
            <w:r w:rsidRPr="00F249C9">
              <w:rPr>
                <w:noProof/>
                <w:sz w:val="16"/>
              </w:rPr>
              <w:t>8</w:t>
            </w:r>
            <w:r>
              <w:rPr>
                <w:noProof/>
                <w:sz w:val="16"/>
              </w:rPr>
              <w:t>c</w:t>
            </w:r>
            <w:r w:rsidRPr="00F249C9">
              <w:rPr>
                <w:noProof/>
                <w:sz w:val="16"/>
              </w:rPr>
              <w:t>6</w:t>
            </w:r>
            <w:r>
              <w:rPr>
                <w:noProof/>
                <w:sz w:val="16"/>
              </w:rPr>
              <w:t>de</w:t>
            </w:r>
            <w:r w:rsidRPr="00F249C9">
              <w:rPr>
                <w:noProof/>
                <w:sz w:val="16"/>
              </w:rPr>
              <w:t>05</w:t>
            </w:r>
            <w:r>
              <w:rPr>
                <w:noProof/>
                <w:sz w:val="16"/>
              </w:rPr>
              <w:t>a/</w:t>
            </w:r>
            <w:r w:rsidRPr="00F249C9">
              <w:rPr>
                <w:noProof/>
                <w:sz w:val="16"/>
              </w:rPr>
              <w:t>2024</w:t>
            </w:r>
            <w:r>
              <w:rPr>
                <w:noProof/>
                <w:sz w:val="16"/>
              </w:rPr>
              <w:t>-</w:t>
            </w:r>
            <w:r w:rsidRPr="00F249C9">
              <w:rPr>
                <w:noProof/>
                <w:sz w:val="16"/>
              </w:rPr>
              <w:t>04</w:t>
            </w:r>
            <w:r>
              <w:rPr>
                <w:noProof/>
                <w:sz w:val="16"/>
              </w:rPr>
              <w:t>-</w:t>
            </w:r>
            <w:r w:rsidRPr="00F249C9">
              <w:rPr>
                <w:noProof/>
                <w:sz w:val="16"/>
              </w:rPr>
              <w:t>02</w:t>
            </w:r>
            <w:r>
              <w:rPr>
                <w:noProof/>
                <w:sz w:val="16"/>
              </w:rPr>
              <w:t>-signert-plastpartnerskap-med-vedlegg.pdf.</w:t>
            </w:r>
          </w:p>
        </w:tc>
      </w:tr>
      <w:tr w:rsidR="00D70CB7" w:rsidRPr="004A0A8E" w14:paraId="11A2F625" w14:textId="77777777" w:rsidTr="00E15FCF">
        <w:tc>
          <w:tcPr>
            <w:tcW w:w="1074" w:type="dxa"/>
            <w:shd w:val="clear" w:color="auto" w:fill="E7E6E6" w:themeFill="background2"/>
          </w:tcPr>
          <w:p w14:paraId="28DAFB26" w14:textId="77777777" w:rsidR="00D70CB7" w:rsidRPr="00627F8D" w:rsidRDefault="00D70CB7" w:rsidP="00E15FCF">
            <w:pPr>
              <w:rPr>
                <w:b/>
                <w:noProof/>
                <w:sz w:val="16"/>
                <w:szCs w:val="16"/>
              </w:rPr>
            </w:pPr>
            <w:r w:rsidRPr="00627F8D">
              <w:rPr>
                <w:b/>
                <w:noProof/>
                <w:sz w:val="16"/>
              </w:rPr>
              <w:t>Portugalia</w:t>
            </w:r>
            <w:r w:rsidRPr="00627F8D">
              <w:rPr>
                <w:rStyle w:val="FootnoteReference"/>
                <w:b/>
                <w:noProof/>
                <w:sz w:val="16"/>
                <w:szCs w:val="16"/>
                <w:lang w:val="en-GB"/>
              </w:rPr>
              <w:footnoteReference w:id="15"/>
            </w:r>
          </w:p>
        </w:tc>
        <w:tc>
          <w:tcPr>
            <w:tcW w:w="1761" w:type="dxa"/>
            <w:shd w:val="clear" w:color="auto" w:fill="E7E6E6" w:themeFill="background2"/>
          </w:tcPr>
          <w:p w14:paraId="73E1B4F2" w14:textId="0C8E60F0" w:rsidR="00D70CB7" w:rsidRPr="004A0A8E" w:rsidRDefault="00D70CB7" w:rsidP="00E15FCF">
            <w:pPr>
              <w:rPr>
                <w:noProof/>
                <w:sz w:val="16"/>
                <w:szCs w:val="16"/>
              </w:rPr>
            </w:pPr>
            <w:r>
              <w:rPr>
                <w:noProof/>
                <w:sz w:val="16"/>
              </w:rPr>
              <w:t xml:space="preserve">Reducere de </w:t>
            </w:r>
            <w:r w:rsidRPr="00F249C9">
              <w:rPr>
                <w:noProof/>
                <w:sz w:val="16"/>
              </w:rPr>
              <w:t>80</w:t>
            </w:r>
            <w:r>
              <w:rPr>
                <w:noProof/>
                <w:sz w:val="16"/>
              </w:rPr>
              <w:t xml:space="preserve"> % până în </w:t>
            </w:r>
            <w:r w:rsidRPr="00F249C9">
              <w:rPr>
                <w:noProof/>
                <w:sz w:val="16"/>
              </w:rPr>
              <w:t>2026</w:t>
            </w:r>
            <w:r>
              <w:rPr>
                <w:noProof/>
                <w:sz w:val="16"/>
              </w:rPr>
              <w:t xml:space="preserve">, comparativ cu nivelul din </w:t>
            </w:r>
            <w:r w:rsidRPr="00F249C9">
              <w:rPr>
                <w:noProof/>
                <w:sz w:val="16"/>
              </w:rPr>
              <w:t>2022</w:t>
            </w:r>
            <w:r>
              <w:rPr>
                <w:noProof/>
                <w:sz w:val="16"/>
              </w:rPr>
              <w:t xml:space="preserve">; </w:t>
            </w:r>
          </w:p>
          <w:p w14:paraId="34E7A771" w14:textId="77777777" w:rsidR="00D70CB7" w:rsidRPr="004A0A8E" w:rsidRDefault="00D70CB7" w:rsidP="00E15FCF">
            <w:pPr>
              <w:rPr>
                <w:noProof/>
                <w:sz w:val="16"/>
                <w:szCs w:val="16"/>
              </w:rPr>
            </w:pPr>
            <w:r>
              <w:rPr>
                <w:noProof/>
                <w:sz w:val="16"/>
              </w:rPr>
              <w:t xml:space="preserve">Reducere de </w:t>
            </w:r>
            <w:r w:rsidRPr="00F249C9">
              <w:rPr>
                <w:noProof/>
                <w:sz w:val="16"/>
              </w:rPr>
              <w:t>90</w:t>
            </w:r>
            <w:r>
              <w:rPr>
                <w:noProof/>
                <w:sz w:val="16"/>
              </w:rPr>
              <w:t xml:space="preserve"> % până în </w:t>
            </w:r>
            <w:r w:rsidRPr="00F249C9">
              <w:rPr>
                <w:noProof/>
                <w:sz w:val="16"/>
              </w:rPr>
              <w:t>2030</w:t>
            </w:r>
            <w:r>
              <w:rPr>
                <w:noProof/>
                <w:sz w:val="16"/>
              </w:rPr>
              <w:t xml:space="preserve">, comparativ cu nivelul din </w:t>
            </w:r>
            <w:r w:rsidRPr="00F249C9">
              <w:rPr>
                <w:noProof/>
                <w:sz w:val="16"/>
              </w:rPr>
              <w:t>2022</w:t>
            </w:r>
          </w:p>
        </w:tc>
        <w:tc>
          <w:tcPr>
            <w:tcW w:w="6095" w:type="dxa"/>
            <w:shd w:val="clear" w:color="auto" w:fill="E7E6E6" w:themeFill="background2"/>
          </w:tcPr>
          <w:p w14:paraId="360F79E3" w14:textId="5A9F0E56" w:rsidR="00D70CB7" w:rsidRPr="004A0A8E" w:rsidRDefault="00D70CB7" w:rsidP="00E15FCF">
            <w:pPr>
              <w:rPr>
                <w:noProof/>
                <w:sz w:val="16"/>
                <w:szCs w:val="16"/>
              </w:rPr>
            </w:pPr>
            <w:r>
              <w:rPr>
                <w:noProof/>
                <w:sz w:val="16"/>
              </w:rPr>
              <w:t xml:space="preserve">Obiectivele naționale de reducere a consumului de produse de unică folosință: pahare pentru băuturi și recipiente pentru alimente destinate consumului imediat, </w:t>
            </w:r>
            <w:hyperlink r:id="rId58" w:history="1">
              <w:r w:rsidRPr="00627F8D">
                <w:rPr>
                  <w:rStyle w:val="Hyperlink"/>
                  <w:noProof/>
                  <w:sz w:val="16"/>
                </w:rPr>
                <w:t>https://diariodarepublica.pt/dr/detalhe/decreto-lei/78-2021-171871496</w:t>
              </w:r>
            </w:hyperlink>
          </w:p>
          <w:p w14:paraId="0AC3B928" w14:textId="22F5DE66" w:rsidR="00D70CB7" w:rsidRPr="004A0A8E" w:rsidRDefault="00D70CB7" w:rsidP="00E15FCF">
            <w:pPr>
              <w:rPr>
                <w:noProof/>
                <w:sz w:val="16"/>
                <w:szCs w:val="16"/>
              </w:rPr>
            </w:pPr>
            <w:r>
              <w:rPr>
                <w:noProof/>
                <w:sz w:val="16"/>
              </w:rPr>
              <w:t>Articolul </w:t>
            </w:r>
            <w:r w:rsidRPr="00F249C9">
              <w:rPr>
                <w:noProof/>
                <w:sz w:val="16"/>
              </w:rPr>
              <w:t>5</w:t>
            </w:r>
            <w:r>
              <w:rPr>
                <w:noProof/>
                <w:sz w:val="16"/>
              </w:rPr>
              <w:t xml:space="preserve"> din Decretul-lege nr. </w:t>
            </w:r>
            <w:r w:rsidRPr="00F249C9">
              <w:rPr>
                <w:noProof/>
                <w:sz w:val="16"/>
              </w:rPr>
              <w:t>78</w:t>
            </w:r>
            <w:r>
              <w:rPr>
                <w:noProof/>
                <w:sz w:val="16"/>
              </w:rPr>
              <w:t>/</w:t>
            </w:r>
            <w:r w:rsidRPr="00F249C9">
              <w:rPr>
                <w:noProof/>
                <w:sz w:val="16"/>
              </w:rPr>
              <w:t>2021</w:t>
            </w:r>
            <w:r>
              <w:rPr>
                <w:noProof/>
                <w:sz w:val="16"/>
              </w:rPr>
              <w:t xml:space="preserve"> (astfel cum este formulat în prezent)</w:t>
            </w:r>
          </w:p>
        </w:tc>
      </w:tr>
      <w:tr w:rsidR="00D70CB7" w:rsidRPr="004A0A8E" w14:paraId="5D6EA5DE" w14:textId="77777777" w:rsidTr="00E15FCF">
        <w:tc>
          <w:tcPr>
            <w:tcW w:w="1074" w:type="dxa"/>
            <w:shd w:val="clear" w:color="auto" w:fill="E7E6E6" w:themeFill="background2"/>
          </w:tcPr>
          <w:p w14:paraId="33C9AF47" w14:textId="77777777" w:rsidR="00D70CB7" w:rsidRPr="00627F8D" w:rsidRDefault="00D70CB7" w:rsidP="00E15FCF">
            <w:pPr>
              <w:rPr>
                <w:b/>
                <w:noProof/>
                <w:sz w:val="16"/>
                <w:szCs w:val="16"/>
              </w:rPr>
            </w:pPr>
            <w:r w:rsidRPr="00627F8D">
              <w:rPr>
                <w:b/>
                <w:noProof/>
                <w:sz w:val="16"/>
              </w:rPr>
              <w:t>România</w:t>
            </w:r>
          </w:p>
        </w:tc>
        <w:tc>
          <w:tcPr>
            <w:tcW w:w="1761" w:type="dxa"/>
            <w:shd w:val="clear" w:color="auto" w:fill="E7E6E6" w:themeFill="background2"/>
          </w:tcPr>
          <w:p w14:paraId="5B55F55B" w14:textId="4D61AAC6" w:rsidR="00D70CB7" w:rsidRPr="004A0A8E" w:rsidRDefault="00D70CB7" w:rsidP="00E15FCF">
            <w:pPr>
              <w:rPr>
                <w:noProof/>
                <w:sz w:val="16"/>
                <w:szCs w:val="16"/>
              </w:rPr>
            </w:pPr>
            <w:r>
              <w:rPr>
                <w:noProof/>
                <w:sz w:val="16"/>
              </w:rPr>
              <w:t xml:space="preserve">Reducere de </w:t>
            </w:r>
            <w:r w:rsidRPr="00F249C9">
              <w:rPr>
                <w:noProof/>
                <w:sz w:val="16"/>
              </w:rPr>
              <w:t>5</w:t>
            </w:r>
            <w:r>
              <w:rPr>
                <w:noProof/>
                <w:sz w:val="16"/>
              </w:rPr>
              <w:t xml:space="preserve"> % în </w:t>
            </w:r>
            <w:r w:rsidRPr="00F249C9">
              <w:rPr>
                <w:noProof/>
                <w:sz w:val="16"/>
              </w:rPr>
              <w:t>2023</w:t>
            </w:r>
            <w:r>
              <w:rPr>
                <w:noProof/>
                <w:sz w:val="16"/>
              </w:rPr>
              <w:t xml:space="preserve">, </w:t>
            </w:r>
            <w:r w:rsidRPr="00F249C9">
              <w:rPr>
                <w:noProof/>
                <w:sz w:val="16"/>
              </w:rPr>
              <w:t>10</w:t>
            </w:r>
            <w:r>
              <w:rPr>
                <w:noProof/>
                <w:sz w:val="16"/>
              </w:rPr>
              <w:t xml:space="preserve"> % în </w:t>
            </w:r>
            <w:r w:rsidRPr="00F249C9">
              <w:rPr>
                <w:noProof/>
                <w:sz w:val="16"/>
              </w:rPr>
              <w:t>2024</w:t>
            </w:r>
            <w:r>
              <w:rPr>
                <w:noProof/>
                <w:sz w:val="16"/>
              </w:rPr>
              <w:t xml:space="preserve">, </w:t>
            </w:r>
            <w:r w:rsidRPr="00F249C9">
              <w:rPr>
                <w:noProof/>
                <w:sz w:val="16"/>
              </w:rPr>
              <w:t>15</w:t>
            </w:r>
            <w:r>
              <w:rPr>
                <w:noProof/>
                <w:sz w:val="16"/>
              </w:rPr>
              <w:t xml:space="preserve"> % în </w:t>
            </w:r>
            <w:r w:rsidRPr="00F249C9">
              <w:rPr>
                <w:noProof/>
                <w:sz w:val="16"/>
              </w:rPr>
              <w:t>2025</w:t>
            </w:r>
            <w:r>
              <w:rPr>
                <w:noProof/>
                <w:sz w:val="16"/>
              </w:rPr>
              <w:t xml:space="preserve"> și </w:t>
            </w:r>
            <w:r w:rsidRPr="00F249C9">
              <w:rPr>
                <w:noProof/>
                <w:sz w:val="16"/>
              </w:rPr>
              <w:t>20</w:t>
            </w:r>
            <w:r>
              <w:rPr>
                <w:noProof/>
                <w:sz w:val="16"/>
              </w:rPr>
              <w:t xml:space="preserve"> % în </w:t>
            </w:r>
            <w:r w:rsidRPr="00F249C9">
              <w:rPr>
                <w:noProof/>
                <w:sz w:val="16"/>
              </w:rPr>
              <w:t>2026</w:t>
            </w:r>
            <w:r>
              <w:rPr>
                <w:noProof/>
                <w:sz w:val="16"/>
              </w:rPr>
              <w:t xml:space="preserve">, comparativ cu nivelul de referință din </w:t>
            </w:r>
            <w:r w:rsidRPr="00F249C9">
              <w:rPr>
                <w:noProof/>
                <w:sz w:val="16"/>
              </w:rPr>
              <w:t>2022</w:t>
            </w:r>
          </w:p>
        </w:tc>
        <w:tc>
          <w:tcPr>
            <w:tcW w:w="6095" w:type="dxa"/>
            <w:shd w:val="clear" w:color="auto" w:fill="E7E6E6" w:themeFill="background2"/>
          </w:tcPr>
          <w:p w14:paraId="0BB2979A" w14:textId="36E13EDA" w:rsidR="00D70CB7" w:rsidRPr="004A0A8E" w:rsidRDefault="00D70CB7" w:rsidP="00E15FCF">
            <w:pPr>
              <w:rPr>
                <w:noProof/>
                <w:sz w:val="16"/>
                <w:szCs w:val="16"/>
              </w:rPr>
            </w:pPr>
            <w:r>
              <w:rPr>
                <w:noProof/>
                <w:sz w:val="16"/>
              </w:rPr>
              <w:t>Ordonanța Guvernului nr. </w:t>
            </w:r>
            <w:r w:rsidRPr="00F249C9">
              <w:rPr>
                <w:noProof/>
                <w:sz w:val="16"/>
              </w:rPr>
              <w:t>6</w:t>
            </w:r>
            <w:r>
              <w:rPr>
                <w:noProof/>
                <w:sz w:val="16"/>
              </w:rPr>
              <w:t>/</w:t>
            </w:r>
            <w:r w:rsidRPr="00F249C9">
              <w:rPr>
                <w:noProof/>
                <w:sz w:val="16"/>
              </w:rPr>
              <w:t>2021</w:t>
            </w:r>
            <w:r>
              <w:rPr>
                <w:noProof/>
                <w:sz w:val="16"/>
              </w:rPr>
              <w:t xml:space="preserve"> privind reducerea impactului anumitor produse din plastic asupra mediului: https://www.mmediu.ro/articol/ordonanta-</w:t>
            </w:r>
            <w:r w:rsidRPr="00F249C9">
              <w:rPr>
                <w:noProof/>
                <w:sz w:val="16"/>
              </w:rPr>
              <w:t>6</w:t>
            </w:r>
            <w:r>
              <w:rPr>
                <w:noProof/>
                <w:sz w:val="16"/>
              </w:rPr>
              <w:t>-</w:t>
            </w:r>
            <w:r w:rsidRPr="00F249C9">
              <w:rPr>
                <w:noProof/>
                <w:sz w:val="16"/>
              </w:rPr>
              <w:t>2021</w:t>
            </w:r>
            <w:r>
              <w:rPr>
                <w:noProof/>
                <w:sz w:val="16"/>
              </w:rPr>
              <w:t>-privind-reducerea-impactului-anumitor-produse-din-plastic-asupra-mediului-directiva-</w:t>
            </w:r>
            <w:r w:rsidRPr="00F249C9">
              <w:rPr>
                <w:noProof/>
                <w:sz w:val="16"/>
              </w:rPr>
              <w:t>904</w:t>
            </w:r>
            <w:r>
              <w:rPr>
                <w:noProof/>
                <w:sz w:val="16"/>
              </w:rPr>
              <w:t>-</w:t>
            </w:r>
            <w:r w:rsidRPr="00F249C9">
              <w:rPr>
                <w:noProof/>
                <w:sz w:val="16"/>
              </w:rPr>
              <w:t>2019</w:t>
            </w:r>
            <w:r>
              <w:rPr>
                <w:noProof/>
                <w:sz w:val="16"/>
              </w:rPr>
              <w:t>-a-parlamentului-european-si-a-consiliului-privind-reducerea-impactului-anumitor-produse-din-plastic-asupra-mediului/</w:t>
            </w:r>
            <w:r w:rsidRPr="00F249C9">
              <w:rPr>
                <w:noProof/>
                <w:sz w:val="16"/>
              </w:rPr>
              <w:t>3122</w:t>
            </w:r>
            <w:r>
              <w:rPr>
                <w:noProof/>
                <w:sz w:val="16"/>
              </w:rPr>
              <w:t>; https://www.afm.ro/legislatie_declaratii_produse_plastic_unica_folosinta.php.</w:t>
            </w:r>
          </w:p>
        </w:tc>
      </w:tr>
      <w:tr w:rsidR="00D70CB7" w:rsidRPr="004A0A8E" w14:paraId="3F69EFCA" w14:textId="77777777" w:rsidTr="00E15FCF">
        <w:tc>
          <w:tcPr>
            <w:tcW w:w="1074" w:type="dxa"/>
            <w:shd w:val="clear" w:color="auto" w:fill="E7E6E6" w:themeFill="background2"/>
          </w:tcPr>
          <w:p w14:paraId="78DE14F4" w14:textId="77777777" w:rsidR="00D70CB7" w:rsidRPr="00627F8D" w:rsidRDefault="00D70CB7" w:rsidP="00E15FCF">
            <w:pPr>
              <w:rPr>
                <w:b/>
                <w:noProof/>
                <w:sz w:val="16"/>
                <w:szCs w:val="16"/>
              </w:rPr>
            </w:pPr>
            <w:r w:rsidRPr="00627F8D">
              <w:rPr>
                <w:b/>
                <w:noProof/>
                <w:sz w:val="16"/>
              </w:rPr>
              <w:t>Slovenia</w:t>
            </w:r>
          </w:p>
        </w:tc>
        <w:tc>
          <w:tcPr>
            <w:tcW w:w="1761" w:type="dxa"/>
            <w:shd w:val="clear" w:color="auto" w:fill="E7E6E6" w:themeFill="background2"/>
          </w:tcPr>
          <w:p w14:paraId="7AD6D6A3" w14:textId="7ACBECB2" w:rsidR="00D70CB7" w:rsidRPr="004A0A8E" w:rsidRDefault="00D70CB7" w:rsidP="00E15FCF">
            <w:pPr>
              <w:rPr>
                <w:noProof/>
                <w:sz w:val="16"/>
                <w:szCs w:val="16"/>
              </w:rPr>
            </w:pPr>
            <w:r>
              <w:rPr>
                <w:noProof/>
                <w:sz w:val="16"/>
              </w:rPr>
              <w:t xml:space="preserve">Reducere de </w:t>
            </w:r>
            <w:r w:rsidRPr="00F249C9">
              <w:rPr>
                <w:noProof/>
                <w:sz w:val="16"/>
              </w:rPr>
              <w:t>20</w:t>
            </w:r>
            <w:r>
              <w:rPr>
                <w:noProof/>
                <w:sz w:val="16"/>
              </w:rPr>
              <w:t xml:space="preserve"> % până în </w:t>
            </w:r>
            <w:r w:rsidRPr="00F249C9">
              <w:rPr>
                <w:noProof/>
                <w:sz w:val="16"/>
              </w:rPr>
              <w:t>2026</w:t>
            </w:r>
            <w:r>
              <w:rPr>
                <w:noProof/>
                <w:sz w:val="16"/>
              </w:rPr>
              <w:t xml:space="preserve">, comparativ cu nivelul din </w:t>
            </w:r>
            <w:r w:rsidRPr="00F249C9">
              <w:rPr>
                <w:noProof/>
                <w:sz w:val="16"/>
              </w:rPr>
              <w:t>2022</w:t>
            </w:r>
          </w:p>
        </w:tc>
        <w:tc>
          <w:tcPr>
            <w:tcW w:w="6095" w:type="dxa"/>
            <w:shd w:val="clear" w:color="auto" w:fill="E7E6E6" w:themeFill="background2"/>
          </w:tcPr>
          <w:p w14:paraId="1EF5311D" w14:textId="60F21E8F" w:rsidR="00D70CB7" w:rsidRPr="004A0A8E" w:rsidRDefault="00D70CB7" w:rsidP="00E15FCF">
            <w:pPr>
              <w:rPr>
                <w:noProof/>
                <w:sz w:val="16"/>
                <w:szCs w:val="16"/>
              </w:rPr>
            </w:pPr>
            <w:r>
              <w:rPr>
                <w:noProof/>
                <w:sz w:val="16"/>
              </w:rPr>
              <w:t xml:space="preserve">Decret privind reducerea impactului anumitor produse din plastic asupra mediului [J.O. </w:t>
            </w:r>
            <w:r w:rsidRPr="00F249C9">
              <w:rPr>
                <w:noProof/>
                <w:sz w:val="16"/>
              </w:rPr>
              <w:t>132</w:t>
            </w:r>
            <w:r>
              <w:rPr>
                <w:noProof/>
                <w:sz w:val="16"/>
              </w:rPr>
              <w:t>/</w:t>
            </w:r>
            <w:r w:rsidRPr="00F249C9">
              <w:rPr>
                <w:noProof/>
                <w:sz w:val="16"/>
              </w:rPr>
              <w:t>22</w:t>
            </w:r>
            <w:r>
              <w:rPr>
                <w:noProof/>
                <w:sz w:val="16"/>
              </w:rPr>
              <w:t xml:space="preserve"> și </w:t>
            </w:r>
            <w:r w:rsidRPr="00F249C9">
              <w:rPr>
                <w:noProof/>
                <w:sz w:val="16"/>
              </w:rPr>
              <w:t>49</w:t>
            </w:r>
            <w:r>
              <w:rPr>
                <w:noProof/>
                <w:sz w:val="16"/>
              </w:rPr>
              <w:t>/</w:t>
            </w:r>
            <w:r w:rsidRPr="00F249C9">
              <w:rPr>
                <w:noProof/>
                <w:sz w:val="16"/>
              </w:rPr>
              <w:t>24</w:t>
            </w:r>
            <w:r>
              <w:rPr>
                <w:noProof/>
                <w:sz w:val="16"/>
              </w:rPr>
              <w:t xml:space="preserve">, articolul </w:t>
            </w:r>
            <w:r w:rsidRPr="00F249C9">
              <w:rPr>
                <w:noProof/>
                <w:sz w:val="16"/>
              </w:rPr>
              <w:t>4</w:t>
            </w:r>
            <w:r>
              <w:rPr>
                <w:noProof/>
                <w:sz w:val="16"/>
              </w:rPr>
              <w:t xml:space="preserve"> alineatul (</w:t>
            </w:r>
            <w:r w:rsidRPr="00F249C9">
              <w:rPr>
                <w:noProof/>
                <w:sz w:val="16"/>
              </w:rPr>
              <w:t>1</w:t>
            </w:r>
            <w:r>
              <w:rPr>
                <w:noProof/>
                <w:sz w:val="16"/>
              </w:rPr>
              <w:t>)]</w:t>
            </w:r>
          </w:p>
        </w:tc>
      </w:tr>
      <w:tr w:rsidR="00D70CB7" w:rsidRPr="003E0187" w14:paraId="0A318458" w14:textId="77777777" w:rsidTr="00E15FCF">
        <w:tc>
          <w:tcPr>
            <w:tcW w:w="1074" w:type="dxa"/>
            <w:shd w:val="clear" w:color="auto" w:fill="E7E6E6" w:themeFill="background2"/>
          </w:tcPr>
          <w:p w14:paraId="5E20F272" w14:textId="77777777" w:rsidR="00D70CB7" w:rsidRPr="00627F8D" w:rsidRDefault="00D70CB7" w:rsidP="00E15FCF">
            <w:pPr>
              <w:rPr>
                <w:b/>
                <w:noProof/>
                <w:sz w:val="16"/>
                <w:szCs w:val="16"/>
              </w:rPr>
            </w:pPr>
            <w:r w:rsidRPr="00627F8D">
              <w:rPr>
                <w:b/>
                <w:noProof/>
                <w:sz w:val="16"/>
              </w:rPr>
              <w:t>Spania</w:t>
            </w:r>
          </w:p>
        </w:tc>
        <w:tc>
          <w:tcPr>
            <w:tcW w:w="1761" w:type="dxa"/>
            <w:shd w:val="clear" w:color="auto" w:fill="E7E6E6" w:themeFill="background2"/>
          </w:tcPr>
          <w:p w14:paraId="3101E5FE" w14:textId="5081CC5C" w:rsidR="00D70CB7" w:rsidRPr="004A0A8E" w:rsidRDefault="00D70CB7" w:rsidP="00E15FCF">
            <w:pPr>
              <w:rPr>
                <w:noProof/>
                <w:sz w:val="16"/>
                <w:szCs w:val="16"/>
              </w:rPr>
            </w:pPr>
            <w:r>
              <w:rPr>
                <w:noProof/>
                <w:sz w:val="16"/>
              </w:rPr>
              <w:t xml:space="preserve">Reducere de </w:t>
            </w:r>
            <w:r w:rsidRPr="00F249C9">
              <w:rPr>
                <w:noProof/>
                <w:sz w:val="16"/>
              </w:rPr>
              <w:t>50</w:t>
            </w:r>
            <w:r>
              <w:rPr>
                <w:noProof/>
                <w:sz w:val="16"/>
              </w:rPr>
              <w:t xml:space="preserve"> % din greutate până în </w:t>
            </w:r>
            <w:r w:rsidRPr="00F249C9">
              <w:rPr>
                <w:noProof/>
                <w:sz w:val="16"/>
              </w:rPr>
              <w:t>2026</w:t>
            </w:r>
            <w:r>
              <w:rPr>
                <w:noProof/>
                <w:sz w:val="16"/>
              </w:rPr>
              <w:t xml:space="preserve">, comparativ cu nivelul din </w:t>
            </w:r>
            <w:r w:rsidRPr="00F249C9">
              <w:rPr>
                <w:noProof/>
                <w:sz w:val="16"/>
              </w:rPr>
              <w:t>2022</w:t>
            </w:r>
          </w:p>
          <w:p w14:paraId="30E10E4D" w14:textId="78092874" w:rsidR="00D70CB7" w:rsidRPr="004A0A8E" w:rsidRDefault="00D70CB7" w:rsidP="00E15FCF">
            <w:pPr>
              <w:rPr>
                <w:noProof/>
                <w:sz w:val="16"/>
                <w:szCs w:val="16"/>
              </w:rPr>
            </w:pPr>
            <w:r>
              <w:rPr>
                <w:noProof/>
                <w:sz w:val="16"/>
              </w:rPr>
              <w:t xml:space="preserve">Reducere de </w:t>
            </w:r>
            <w:r w:rsidRPr="00F249C9">
              <w:rPr>
                <w:noProof/>
                <w:sz w:val="16"/>
              </w:rPr>
              <w:t>70</w:t>
            </w:r>
            <w:r>
              <w:rPr>
                <w:noProof/>
                <w:sz w:val="16"/>
              </w:rPr>
              <w:t xml:space="preserve"> % din greutate până în </w:t>
            </w:r>
            <w:r w:rsidRPr="00F249C9">
              <w:rPr>
                <w:noProof/>
                <w:sz w:val="16"/>
              </w:rPr>
              <w:t>2030</w:t>
            </w:r>
            <w:r>
              <w:rPr>
                <w:noProof/>
                <w:sz w:val="16"/>
              </w:rPr>
              <w:t xml:space="preserve">, comparativ cu nivelul din </w:t>
            </w:r>
            <w:r w:rsidRPr="00F249C9">
              <w:rPr>
                <w:noProof/>
                <w:sz w:val="16"/>
              </w:rPr>
              <w:t>2022</w:t>
            </w:r>
          </w:p>
        </w:tc>
        <w:tc>
          <w:tcPr>
            <w:tcW w:w="6095" w:type="dxa"/>
            <w:shd w:val="clear" w:color="auto" w:fill="E7E6E6" w:themeFill="background2"/>
          </w:tcPr>
          <w:p w14:paraId="44EE6F52" w14:textId="6AC82465" w:rsidR="00D70CB7" w:rsidRPr="005150B4" w:rsidRDefault="00D70CB7" w:rsidP="00E15FCF">
            <w:pPr>
              <w:rPr>
                <w:noProof/>
                <w:sz w:val="16"/>
                <w:szCs w:val="16"/>
              </w:rPr>
            </w:pPr>
            <w:r>
              <w:rPr>
                <w:noProof/>
                <w:sz w:val="16"/>
              </w:rPr>
              <w:t>Articolul </w:t>
            </w:r>
            <w:r w:rsidRPr="00F249C9">
              <w:rPr>
                <w:noProof/>
                <w:sz w:val="16"/>
              </w:rPr>
              <w:t>5</w:t>
            </w:r>
            <w:r>
              <w:rPr>
                <w:noProof/>
                <w:sz w:val="16"/>
              </w:rPr>
              <w:t xml:space="preserve"> https://www.boe.es/eli/es/l/</w:t>
            </w:r>
            <w:r w:rsidRPr="00F249C9">
              <w:rPr>
                <w:noProof/>
                <w:sz w:val="16"/>
              </w:rPr>
              <w:t>2022</w:t>
            </w:r>
            <w:r>
              <w:rPr>
                <w:noProof/>
                <w:sz w:val="16"/>
              </w:rPr>
              <w:t>/</w:t>
            </w:r>
            <w:r w:rsidRPr="00F249C9">
              <w:rPr>
                <w:noProof/>
                <w:sz w:val="16"/>
              </w:rPr>
              <w:t>04</w:t>
            </w:r>
            <w:r>
              <w:rPr>
                <w:noProof/>
                <w:sz w:val="16"/>
              </w:rPr>
              <w:t>/</w:t>
            </w:r>
            <w:r w:rsidRPr="00F249C9">
              <w:rPr>
                <w:noProof/>
                <w:sz w:val="16"/>
              </w:rPr>
              <w:t>08</w:t>
            </w:r>
            <w:r>
              <w:rPr>
                <w:noProof/>
                <w:sz w:val="16"/>
              </w:rPr>
              <w:t>/</w:t>
            </w:r>
            <w:r w:rsidRPr="00F249C9">
              <w:rPr>
                <w:noProof/>
                <w:sz w:val="16"/>
              </w:rPr>
              <w:t>7</w:t>
            </w:r>
            <w:r>
              <w:rPr>
                <w:noProof/>
                <w:sz w:val="16"/>
              </w:rPr>
              <w:t>/con.</w:t>
            </w:r>
          </w:p>
        </w:tc>
      </w:tr>
      <w:tr w:rsidR="00D70CB7" w:rsidRPr="004A0A8E" w14:paraId="530AE3AA" w14:textId="77777777" w:rsidTr="00E15FCF">
        <w:tc>
          <w:tcPr>
            <w:tcW w:w="1074" w:type="dxa"/>
            <w:shd w:val="clear" w:color="auto" w:fill="E7E6E6" w:themeFill="background2"/>
          </w:tcPr>
          <w:p w14:paraId="28AED87F" w14:textId="77777777" w:rsidR="00D70CB7" w:rsidRPr="00627F8D" w:rsidRDefault="00D70CB7" w:rsidP="00E15FCF">
            <w:pPr>
              <w:rPr>
                <w:b/>
                <w:noProof/>
                <w:sz w:val="16"/>
                <w:szCs w:val="16"/>
              </w:rPr>
            </w:pPr>
            <w:r w:rsidRPr="00627F8D">
              <w:rPr>
                <w:b/>
                <w:noProof/>
                <w:sz w:val="16"/>
              </w:rPr>
              <w:t>Suedia</w:t>
            </w:r>
          </w:p>
        </w:tc>
        <w:tc>
          <w:tcPr>
            <w:tcW w:w="1761" w:type="dxa"/>
            <w:shd w:val="clear" w:color="auto" w:fill="E7E6E6" w:themeFill="background2"/>
          </w:tcPr>
          <w:p w14:paraId="56B44046" w14:textId="05511F35" w:rsidR="00D70CB7" w:rsidRPr="004A0A8E" w:rsidRDefault="00D70CB7" w:rsidP="00E15FCF">
            <w:pPr>
              <w:rPr>
                <w:noProof/>
                <w:sz w:val="16"/>
                <w:szCs w:val="16"/>
              </w:rPr>
            </w:pPr>
            <w:r>
              <w:rPr>
                <w:noProof/>
                <w:sz w:val="16"/>
              </w:rPr>
              <w:t xml:space="preserve">Reducere de </w:t>
            </w:r>
            <w:r w:rsidRPr="00F249C9">
              <w:rPr>
                <w:noProof/>
                <w:sz w:val="16"/>
              </w:rPr>
              <w:t>50</w:t>
            </w:r>
            <w:r>
              <w:rPr>
                <w:noProof/>
                <w:sz w:val="16"/>
              </w:rPr>
              <w:t xml:space="preserve"> % până în </w:t>
            </w:r>
            <w:r w:rsidRPr="00F249C9">
              <w:rPr>
                <w:noProof/>
                <w:sz w:val="16"/>
              </w:rPr>
              <w:t>2026</w:t>
            </w:r>
            <w:r>
              <w:rPr>
                <w:noProof/>
                <w:sz w:val="16"/>
              </w:rPr>
              <w:t xml:space="preserve">, comparativ cu nivelul din </w:t>
            </w:r>
            <w:r w:rsidRPr="00F249C9">
              <w:rPr>
                <w:noProof/>
                <w:sz w:val="16"/>
              </w:rPr>
              <w:t>2022</w:t>
            </w:r>
          </w:p>
        </w:tc>
        <w:tc>
          <w:tcPr>
            <w:tcW w:w="6095" w:type="dxa"/>
            <w:shd w:val="clear" w:color="auto" w:fill="E7E6E6" w:themeFill="background2"/>
          </w:tcPr>
          <w:p w14:paraId="5C12A9D9" w14:textId="77777777" w:rsidR="00D70CB7" w:rsidRPr="004A0A8E" w:rsidRDefault="00D70CB7" w:rsidP="00E15FCF">
            <w:pPr>
              <w:rPr>
                <w:noProof/>
                <w:sz w:val="16"/>
                <w:szCs w:val="16"/>
              </w:rPr>
            </w:pPr>
            <w:r>
              <w:rPr>
                <w:noProof/>
                <w:sz w:val="16"/>
              </w:rPr>
              <w:t>-</w:t>
            </w:r>
          </w:p>
        </w:tc>
      </w:tr>
    </w:tbl>
    <w:p w14:paraId="529907E8" w14:textId="77777777" w:rsidR="0002668C" w:rsidRPr="004A0A8E" w:rsidRDefault="0002668C" w:rsidP="0002668C">
      <w:pPr>
        <w:rPr>
          <w:noProof/>
          <w:lang w:val="en-GB"/>
        </w:rPr>
      </w:pPr>
    </w:p>
    <w:p w14:paraId="23D5BEAA" w14:textId="664300EC" w:rsidR="0051613E" w:rsidRDefault="0002668C" w:rsidP="0002668C">
      <w:pPr>
        <w:rPr>
          <w:noProof/>
        </w:rPr>
      </w:pPr>
      <w:r>
        <w:rPr>
          <w:noProof/>
        </w:rPr>
        <w:t>Raportarea de anul viitor va oferi clarificări cu privire la: (i) progresele înregistrate de țări în direcția atingerii acestor obiective cantitative; precum și la (ii) obiectivul general al Directivei privind produsele din plastic de unică folosință de a reduce consumul în mod semnificativ și durabil. Unele provocări pot fi deja anticipate. De exemplu: (i) faptul că unele țări care au stabilit obiective pentru anii recenți nu au raportat date privind cantitățile introduse pe piață (Franța și Slovenia); (ii) faptul că unele țări cu un nivel ridicat de ambiție declarat nu au indicat existența unor măsuri deosebit de ambițioase (Danemarca, Țările de Jos, Norvegia și Portugalia); sau (iii) faptul că unele țări au utilizat drept an de referință un an diferit de cel prevăzut de Directiva privind produsele din plastic de unică folosință (</w:t>
      </w:r>
      <w:r w:rsidRPr="00F249C9">
        <w:rPr>
          <w:noProof/>
        </w:rPr>
        <w:t>2022</w:t>
      </w:r>
      <w:r>
        <w:rPr>
          <w:noProof/>
        </w:rPr>
        <w:t>) (Austria, Franța).</w:t>
      </w:r>
    </w:p>
    <w:bookmarkEnd w:id="85"/>
    <w:p w14:paraId="2B4F4110" w14:textId="77777777" w:rsidR="0051613E" w:rsidRPr="00F249C9" w:rsidRDefault="0051613E" w:rsidP="0002668C">
      <w:pPr>
        <w:rPr>
          <w:noProof/>
        </w:rPr>
        <w:sectPr w:rsidR="0051613E" w:rsidRPr="00F249C9" w:rsidSect="005E37B2">
          <w:headerReference w:type="default" r:id="rId59"/>
          <w:footerReference w:type="default" r:id="rId60"/>
          <w:pgSz w:w="11906" w:h="16838"/>
          <w:pgMar w:top="1440" w:right="1440" w:bottom="1440" w:left="1440" w:header="708" w:footer="708" w:gutter="0"/>
          <w:cols w:space="708"/>
          <w:docGrid w:linePitch="360"/>
        </w:sectPr>
      </w:pPr>
    </w:p>
    <w:p w14:paraId="154E9859" w14:textId="338755B2" w:rsidR="00DB50DC" w:rsidRPr="00627F8D" w:rsidRDefault="00752063" w:rsidP="00175874">
      <w:pPr>
        <w:pStyle w:val="Heading3"/>
        <w:rPr>
          <w:noProof/>
        </w:rPr>
      </w:pPr>
      <w:bookmarkStart w:id="88" w:name="_Toc185499268"/>
      <w:bookmarkStart w:id="89" w:name="_Toc221701593"/>
      <w:r w:rsidRPr="00627F8D">
        <w:rPr>
          <w:noProof/>
        </w:rPr>
        <w:t>Anexa 3: Rata de colectare separată pentru sticlele din plastic de unică folosință [litera (c)] și sistemele de garanție-returnare existente</w:t>
      </w:r>
      <w:bookmarkEnd w:id="88"/>
      <w:bookmarkEnd w:id="89"/>
    </w:p>
    <w:tbl>
      <w:tblPr>
        <w:tblStyle w:val="TableGrid"/>
        <w:tblW w:w="8914" w:type="dxa"/>
        <w:tblInd w:w="2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55"/>
        <w:gridCol w:w="1555"/>
        <w:gridCol w:w="2128"/>
        <w:gridCol w:w="3676"/>
      </w:tblGrid>
      <w:tr w:rsidR="00A06F97" w:rsidRPr="004A0A8E" w14:paraId="3CF84FC0" w14:textId="77777777" w:rsidTr="00E15FCF">
        <w:tc>
          <w:tcPr>
            <w:tcW w:w="1555" w:type="dxa"/>
            <w:shd w:val="clear" w:color="auto" w:fill="007B6C"/>
            <w:vAlign w:val="center"/>
          </w:tcPr>
          <w:p w14:paraId="73545BF2" w14:textId="77777777" w:rsidR="00A06F97" w:rsidRPr="00A3421A" w:rsidRDefault="00A06F97" w:rsidP="00E15FCF">
            <w:pPr>
              <w:jc w:val="center"/>
              <w:rPr>
                <w:b/>
                <w:noProof/>
                <w:color w:val="FFFFFF" w:themeColor="background1"/>
                <w:sz w:val="18"/>
                <w:szCs w:val="18"/>
              </w:rPr>
            </w:pPr>
            <w:r w:rsidRPr="00627F8D">
              <w:rPr>
                <w:b/>
                <w:noProof/>
                <w:color w:val="FFFFFF" w:themeColor="background1"/>
                <w:sz w:val="18"/>
              </w:rPr>
              <w:t>Țara</w:t>
            </w:r>
          </w:p>
        </w:tc>
        <w:tc>
          <w:tcPr>
            <w:tcW w:w="1555" w:type="dxa"/>
            <w:shd w:val="clear" w:color="auto" w:fill="007B6C"/>
            <w:vAlign w:val="center"/>
          </w:tcPr>
          <w:p w14:paraId="06585957" w14:textId="77777777" w:rsidR="00A06F97" w:rsidRPr="00A3421A" w:rsidRDefault="00A06F97" w:rsidP="00E15FCF">
            <w:pPr>
              <w:jc w:val="center"/>
              <w:rPr>
                <w:b/>
                <w:noProof/>
                <w:color w:val="FFFFFF" w:themeColor="background1"/>
                <w:sz w:val="18"/>
                <w:szCs w:val="18"/>
              </w:rPr>
            </w:pPr>
            <w:r w:rsidRPr="00627F8D">
              <w:rPr>
                <w:b/>
                <w:noProof/>
                <w:color w:val="FFFFFF" w:themeColor="background1"/>
                <w:sz w:val="18"/>
              </w:rPr>
              <w:t>Colectarea separată a sticlelor din plastic de unică folosință pentru băuturi</w:t>
            </w:r>
          </w:p>
        </w:tc>
        <w:tc>
          <w:tcPr>
            <w:tcW w:w="2128" w:type="dxa"/>
            <w:shd w:val="clear" w:color="auto" w:fill="007B6C"/>
            <w:vAlign w:val="center"/>
          </w:tcPr>
          <w:p w14:paraId="06680CFD" w14:textId="1F45FE57" w:rsidR="00A06F97" w:rsidRPr="00627F8D" w:rsidRDefault="00A06F97" w:rsidP="00E15FCF">
            <w:pPr>
              <w:jc w:val="center"/>
              <w:rPr>
                <w:b/>
                <w:noProof/>
                <w:color w:val="FFFFFF" w:themeColor="background1"/>
                <w:sz w:val="18"/>
                <w:szCs w:val="18"/>
              </w:rPr>
            </w:pPr>
            <w:r w:rsidRPr="00627F8D">
              <w:rPr>
                <w:b/>
                <w:noProof/>
                <w:color w:val="FFFFFF" w:themeColor="background1"/>
                <w:sz w:val="18"/>
              </w:rPr>
              <w:t xml:space="preserve">Utilizarea datelor SGR ca sursă pentru colectarea separată a sticlelor din plastic de unică folosință pentru băuturi </w:t>
            </w:r>
          </w:p>
          <w:p w14:paraId="60C70A18" w14:textId="0587050D" w:rsidR="00A06F97" w:rsidRPr="00A3421A" w:rsidRDefault="00A06F97" w:rsidP="00E15FCF">
            <w:pPr>
              <w:jc w:val="center"/>
              <w:rPr>
                <w:noProof/>
                <w:color w:val="FFFFFF" w:themeColor="background1"/>
                <w:sz w:val="18"/>
                <w:szCs w:val="18"/>
              </w:rPr>
            </w:pPr>
            <w:r>
              <w:rPr>
                <w:noProof/>
                <w:color w:val="FFFFFF" w:themeColor="background1"/>
                <w:sz w:val="18"/>
              </w:rPr>
              <w:t>(astfel cum se indică în raportul privind verificarea calității aferent raportării în temeiul Directivei privind produsele din plastic de unică folosință)</w:t>
            </w:r>
          </w:p>
        </w:tc>
        <w:tc>
          <w:tcPr>
            <w:tcW w:w="3676" w:type="dxa"/>
            <w:shd w:val="clear" w:color="auto" w:fill="007B6C"/>
            <w:vAlign w:val="center"/>
          </w:tcPr>
          <w:p w14:paraId="4EDB1FCC" w14:textId="77777777" w:rsidR="00A06F97" w:rsidRPr="00627F8D" w:rsidRDefault="00A06F97" w:rsidP="00E15FCF">
            <w:pPr>
              <w:jc w:val="center"/>
              <w:rPr>
                <w:b/>
                <w:noProof/>
                <w:color w:val="FFFFFF" w:themeColor="background1"/>
                <w:sz w:val="18"/>
                <w:szCs w:val="18"/>
              </w:rPr>
            </w:pPr>
            <w:r w:rsidRPr="00627F8D">
              <w:rPr>
                <w:b/>
                <w:noProof/>
                <w:color w:val="FFFFFF" w:themeColor="background1"/>
                <w:sz w:val="18"/>
              </w:rPr>
              <w:t>Existența sistemelor de garanție-returnare pentru sticlele din plastic pentru băuturi</w:t>
            </w:r>
          </w:p>
          <w:p w14:paraId="475FB039" w14:textId="22A563B1" w:rsidR="00A06F97" w:rsidRPr="00A3421A" w:rsidRDefault="00A06F97" w:rsidP="00E15FCF">
            <w:pPr>
              <w:jc w:val="center"/>
              <w:rPr>
                <w:noProof/>
                <w:color w:val="FFFFFF" w:themeColor="background1"/>
                <w:sz w:val="18"/>
                <w:szCs w:val="18"/>
              </w:rPr>
            </w:pPr>
            <w:r>
              <w:rPr>
                <w:noProof/>
                <w:color w:val="FFFFFF" w:themeColor="background1"/>
                <w:sz w:val="18"/>
              </w:rPr>
              <w:t xml:space="preserve">(AEM, </w:t>
            </w:r>
            <w:r w:rsidRPr="00F249C9">
              <w:rPr>
                <w:noProof/>
                <w:color w:val="FFFFFF" w:themeColor="background1"/>
                <w:sz w:val="18"/>
              </w:rPr>
              <w:t>2025</w:t>
            </w:r>
            <w:r>
              <w:rPr>
                <w:noProof/>
                <w:color w:val="FFFFFF" w:themeColor="background1"/>
                <w:sz w:val="18"/>
              </w:rPr>
              <w:t xml:space="preserve"> și AEM, </w:t>
            </w:r>
            <w:r w:rsidRPr="00F249C9">
              <w:rPr>
                <w:noProof/>
                <w:color w:val="FFFFFF" w:themeColor="background1"/>
                <w:sz w:val="18"/>
              </w:rPr>
              <w:t>2024</w:t>
            </w:r>
            <w:r>
              <w:rPr>
                <w:noProof/>
                <w:color w:val="FFFFFF" w:themeColor="background1"/>
                <w:sz w:val="18"/>
              </w:rPr>
              <w:t>)</w:t>
            </w:r>
          </w:p>
        </w:tc>
      </w:tr>
      <w:tr w:rsidR="00A06F97" w:rsidRPr="004A0A8E" w14:paraId="16F050AE" w14:textId="77777777" w:rsidTr="00E15FCF">
        <w:tc>
          <w:tcPr>
            <w:tcW w:w="1555" w:type="dxa"/>
            <w:shd w:val="clear" w:color="auto" w:fill="F2F2F2" w:themeFill="background1" w:themeFillShade="F2"/>
            <w:vAlign w:val="bottom"/>
          </w:tcPr>
          <w:p w14:paraId="1D1858CF" w14:textId="77777777" w:rsidR="00A06F97" w:rsidRPr="00627F8D" w:rsidRDefault="00A06F97" w:rsidP="00E15FCF">
            <w:pPr>
              <w:rPr>
                <w:rFonts w:ascii="Aptos Narrow" w:hAnsi="Aptos Narrow"/>
                <w:b/>
                <w:bCs/>
                <w:iCs/>
                <w:noProof/>
                <w:color w:val="000000"/>
                <w:sz w:val="18"/>
                <w:szCs w:val="18"/>
              </w:rPr>
            </w:pPr>
            <w:r w:rsidRPr="00627F8D">
              <w:rPr>
                <w:rFonts w:ascii="Aptos Narrow" w:hAnsi="Aptos Narrow"/>
                <w:b/>
                <w:noProof/>
                <w:color w:val="000000"/>
                <w:sz w:val="18"/>
              </w:rPr>
              <w:t>Estonia</w:t>
            </w:r>
          </w:p>
        </w:tc>
        <w:tc>
          <w:tcPr>
            <w:tcW w:w="1555" w:type="dxa"/>
            <w:shd w:val="clear" w:color="auto" w:fill="F2F2F2" w:themeFill="background1" w:themeFillShade="F2"/>
            <w:vAlign w:val="bottom"/>
          </w:tcPr>
          <w:p w14:paraId="4A13D1CB" w14:textId="77777777" w:rsidR="00A06F97" w:rsidRPr="004A0A8E" w:rsidRDefault="00A06F97" w:rsidP="00E15FCF">
            <w:pPr>
              <w:rPr>
                <w:rFonts w:ascii="Aptos Narrow" w:hAnsi="Aptos Narrow"/>
                <w:noProof/>
                <w:color w:val="000000"/>
                <w:sz w:val="18"/>
                <w:szCs w:val="18"/>
              </w:rPr>
            </w:pPr>
            <w:r w:rsidRPr="00F249C9">
              <w:rPr>
                <w:rFonts w:ascii="Aptos Narrow" w:hAnsi="Aptos Narrow"/>
                <w:noProof/>
                <w:color w:val="000000"/>
                <w:sz w:val="18"/>
              </w:rPr>
              <w:t>100</w:t>
            </w:r>
            <w:r>
              <w:rPr>
                <w:rFonts w:ascii="Aptos Narrow" w:hAnsi="Aptos Narrow"/>
                <w:noProof/>
                <w:color w:val="000000"/>
                <w:sz w:val="18"/>
              </w:rPr>
              <w:t>,</w:t>
            </w:r>
            <w:r w:rsidRPr="00F249C9">
              <w:rPr>
                <w:rFonts w:ascii="Aptos Narrow" w:hAnsi="Aptos Narrow"/>
                <w:noProof/>
                <w:color w:val="000000"/>
                <w:sz w:val="18"/>
              </w:rPr>
              <w:t>66</w:t>
            </w:r>
          </w:p>
        </w:tc>
        <w:tc>
          <w:tcPr>
            <w:tcW w:w="2128" w:type="dxa"/>
            <w:shd w:val="clear" w:color="auto" w:fill="F2F2F2" w:themeFill="background1" w:themeFillShade="F2"/>
            <w:vAlign w:val="bottom"/>
          </w:tcPr>
          <w:p w14:paraId="7564355B" w14:textId="77777777" w:rsidR="00A06F97" w:rsidRPr="004A0A8E" w:rsidRDefault="00A06F97" w:rsidP="00E15FCF">
            <w:pPr>
              <w:rPr>
                <w:iCs/>
                <w:noProof/>
                <w:sz w:val="18"/>
                <w:szCs w:val="18"/>
              </w:rPr>
            </w:pPr>
            <w:r>
              <w:rPr>
                <w:rFonts w:ascii="Aptos Narrow" w:hAnsi="Aptos Narrow"/>
                <w:noProof/>
                <w:color w:val="000000"/>
                <w:sz w:val="18"/>
              </w:rPr>
              <w:t>SGR</w:t>
            </w:r>
          </w:p>
        </w:tc>
        <w:tc>
          <w:tcPr>
            <w:tcW w:w="3676" w:type="dxa"/>
            <w:shd w:val="clear" w:color="auto" w:fill="E2EFD9" w:themeFill="accent6" w:themeFillTint="33"/>
            <w:vAlign w:val="bottom"/>
          </w:tcPr>
          <w:p w14:paraId="205FD162" w14:textId="77777777" w:rsidR="00A06F97" w:rsidRPr="004A0A8E" w:rsidRDefault="00A06F97" w:rsidP="00E15FCF">
            <w:pPr>
              <w:rPr>
                <w:iCs/>
                <w:noProof/>
                <w:sz w:val="18"/>
                <w:szCs w:val="18"/>
              </w:rPr>
            </w:pPr>
            <w:r>
              <w:rPr>
                <w:rFonts w:ascii="Aptos Narrow" w:hAnsi="Aptos Narrow"/>
                <w:noProof/>
                <w:color w:val="000000"/>
                <w:sz w:val="18"/>
              </w:rPr>
              <w:t>SGR existent</w:t>
            </w:r>
          </w:p>
        </w:tc>
      </w:tr>
      <w:tr w:rsidR="00A06F97" w:rsidRPr="004A0A8E" w14:paraId="596EDEC5" w14:textId="77777777" w:rsidTr="00E15FCF">
        <w:tc>
          <w:tcPr>
            <w:tcW w:w="1555" w:type="dxa"/>
            <w:shd w:val="clear" w:color="auto" w:fill="F2F2F2" w:themeFill="background1" w:themeFillShade="F2"/>
            <w:vAlign w:val="bottom"/>
          </w:tcPr>
          <w:p w14:paraId="1C53DFE8" w14:textId="77777777" w:rsidR="00A06F97" w:rsidRPr="00627F8D" w:rsidRDefault="00A06F97" w:rsidP="00E15FCF">
            <w:pPr>
              <w:rPr>
                <w:rFonts w:ascii="Aptos Narrow" w:hAnsi="Aptos Narrow"/>
                <w:b/>
                <w:bCs/>
                <w:iCs/>
                <w:noProof/>
                <w:color w:val="000000"/>
                <w:sz w:val="18"/>
                <w:szCs w:val="18"/>
              </w:rPr>
            </w:pPr>
            <w:r w:rsidRPr="00627F8D">
              <w:rPr>
                <w:rFonts w:ascii="Aptos Narrow" w:hAnsi="Aptos Narrow"/>
                <w:b/>
                <w:noProof/>
                <w:color w:val="000000"/>
                <w:sz w:val="18"/>
              </w:rPr>
              <w:t>Polonia</w:t>
            </w:r>
          </w:p>
        </w:tc>
        <w:tc>
          <w:tcPr>
            <w:tcW w:w="1555" w:type="dxa"/>
            <w:shd w:val="clear" w:color="auto" w:fill="F2F2F2" w:themeFill="background1" w:themeFillShade="F2"/>
            <w:vAlign w:val="bottom"/>
          </w:tcPr>
          <w:p w14:paraId="58C17FB3" w14:textId="77777777" w:rsidR="00A06F97" w:rsidRPr="004A0A8E" w:rsidRDefault="00A06F97" w:rsidP="00E15FCF">
            <w:pPr>
              <w:rPr>
                <w:rFonts w:ascii="Aptos Narrow" w:hAnsi="Aptos Narrow"/>
                <w:noProof/>
                <w:color w:val="000000"/>
                <w:sz w:val="18"/>
                <w:szCs w:val="18"/>
              </w:rPr>
            </w:pPr>
            <w:r w:rsidRPr="00F249C9">
              <w:rPr>
                <w:rFonts w:ascii="Aptos Narrow" w:hAnsi="Aptos Narrow"/>
                <w:noProof/>
                <w:color w:val="000000"/>
                <w:sz w:val="18"/>
              </w:rPr>
              <w:t>100</w:t>
            </w:r>
            <w:r>
              <w:rPr>
                <w:rFonts w:ascii="Aptos Narrow" w:hAnsi="Aptos Narrow"/>
                <w:noProof/>
                <w:color w:val="000000"/>
                <w:sz w:val="18"/>
              </w:rPr>
              <w:t>,</w:t>
            </w:r>
            <w:r w:rsidRPr="00F249C9">
              <w:rPr>
                <w:rFonts w:ascii="Aptos Narrow" w:hAnsi="Aptos Narrow"/>
                <w:noProof/>
                <w:color w:val="000000"/>
                <w:sz w:val="18"/>
              </w:rPr>
              <w:t>00</w:t>
            </w:r>
          </w:p>
        </w:tc>
        <w:tc>
          <w:tcPr>
            <w:tcW w:w="2128" w:type="dxa"/>
            <w:shd w:val="clear" w:color="auto" w:fill="F2F2F2" w:themeFill="background1" w:themeFillShade="F2"/>
            <w:vAlign w:val="bottom"/>
          </w:tcPr>
          <w:p w14:paraId="124CED9E" w14:textId="77777777" w:rsidR="00A06F97" w:rsidRPr="004A0A8E" w:rsidRDefault="00A06F97" w:rsidP="00E15FCF">
            <w:pPr>
              <w:rPr>
                <w:iCs/>
                <w:noProof/>
                <w:sz w:val="18"/>
                <w:szCs w:val="18"/>
              </w:rPr>
            </w:pPr>
            <w:r>
              <w:rPr>
                <w:rFonts w:ascii="Aptos Narrow" w:hAnsi="Aptos Narrow"/>
                <w:noProof/>
                <w:color w:val="000000"/>
                <w:sz w:val="18"/>
              </w:rPr>
              <w:t xml:space="preserve">Nu </w:t>
            </w:r>
          </w:p>
        </w:tc>
        <w:tc>
          <w:tcPr>
            <w:tcW w:w="3676" w:type="dxa"/>
            <w:shd w:val="clear" w:color="auto" w:fill="FBE4D5" w:themeFill="accent2" w:themeFillTint="33"/>
            <w:vAlign w:val="bottom"/>
          </w:tcPr>
          <w:p w14:paraId="2C4475FB" w14:textId="77777777" w:rsidR="00A06F97" w:rsidRPr="004A0A8E" w:rsidRDefault="00A06F97" w:rsidP="00E15FCF">
            <w:pPr>
              <w:rPr>
                <w:iCs/>
                <w:noProof/>
                <w:sz w:val="18"/>
                <w:szCs w:val="18"/>
              </w:rPr>
            </w:pPr>
            <w:r>
              <w:rPr>
                <w:rFonts w:ascii="Aptos Narrow" w:hAnsi="Aptos Narrow"/>
                <w:noProof/>
                <w:color w:val="000000"/>
                <w:sz w:val="18"/>
              </w:rPr>
              <w:t xml:space="preserve">SGR în </w:t>
            </w:r>
            <w:r w:rsidRPr="00F249C9">
              <w:rPr>
                <w:rFonts w:ascii="Aptos Narrow" w:hAnsi="Aptos Narrow"/>
                <w:noProof/>
                <w:color w:val="000000"/>
                <w:sz w:val="18"/>
              </w:rPr>
              <w:t>2025</w:t>
            </w:r>
          </w:p>
        </w:tc>
      </w:tr>
      <w:tr w:rsidR="00A06F97" w:rsidRPr="004A0A8E" w14:paraId="72B4C6F5" w14:textId="77777777" w:rsidTr="00E15FCF">
        <w:tc>
          <w:tcPr>
            <w:tcW w:w="1555" w:type="dxa"/>
            <w:shd w:val="clear" w:color="auto" w:fill="F2F2F2" w:themeFill="background1" w:themeFillShade="F2"/>
            <w:vAlign w:val="bottom"/>
          </w:tcPr>
          <w:p w14:paraId="0D651B70" w14:textId="77777777" w:rsidR="00A06F97" w:rsidRPr="00627F8D" w:rsidRDefault="00A06F97" w:rsidP="00E15FCF">
            <w:pPr>
              <w:rPr>
                <w:rFonts w:ascii="Aptos Narrow" w:hAnsi="Aptos Narrow"/>
                <w:b/>
                <w:bCs/>
                <w:iCs/>
                <w:noProof/>
                <w:color w:val="000000"/>
                <w:sz w:val="18"/>
                <w:szCs w:val="18"/>
              </w:rPr>
            </w:pPr>
            <w:r w:rsidRPr="00627F8D">
              <w:rPr>
                <w:rFonts w:ascii="Aptos Narrow" w:hAnsi="Aptos Narrow"/>
                <w:b/>
                <w:noProof/>
                <w:color w:val="000000"/>
                <w:sz w:val="18"/>
              </w:rPr>
              <w:t>Finlanda</w:t>
            </w:r>
          </w:p>
        </w:tc>
        <w:tc>
          <w:tcPr>
            <w:tcW w:w="1555" w:type="dxa"/>
            <w:shd w:val="clear" w:color="auto" w:fill="F2F2F2" w:themeFill="background1" w:themeFillShade="F2"/>
            <w:vAlign w:val="bottom"/>
          </w:tcPr>
          <w:p w14:paraId="7ADA526E" w14:textId="77777777" w:rsidR="00A06F97" w:rsidRPr="004A0A8E" w:rsidRDefault="00A06F97" w:rsidP="00E15FCF">
            <w:pPr>
              <w:rPr>
                <w:rFonts w:ascii="Aptos Narrow" w:hAnsi="Aptos Narrow"/>
                <w:noProof/>
                <w:color w:val="000000"/>
                <w:sz w:val="18"/>
                <w:szCs w:val="18"/>
              </w:rPr>
            </w:pPr>
            <w:r w:rsidRPr="00F249C9">
              <w:rPr>
                <w:rFonts w:ascii="Aptos Narrow" w:hAnsi="Aptos Narrow"/>
                <w:noProof/>
                <w:color w:val="000000"/>
                <w:sz w:val="18"/>
              </w:rPr>
              <w:t>98</w:t>
            </w:r>
            <w:r>
              <w:rPr>
                <w:rFonts w:ascii="Aptos Narrow" w:hAnsi="Aptos Narrow"/>
                <w:noProof/>
                <w:color w:val="000000"/>
                <w:sz w:val="18"/>
              </w:rPr>
              <w:t>,</w:t>
            </w:r>
            <w:r w:rsidRPr="00F249C9">
              <w:rPr>
                <w:rFonts w:ascii="Aptos Narrow" w:hAnsi="Aptos Narrow"/>
                <w:noProof/>
                <w:color w:val="000000"/>
                <w:sz w:val="18"/>
              </w:rPr>
              <w:t>83</w:t>
            </w:r>
          </w:p>
        </w:tc>
        <w:tc>
          <w:tcPr>
            <w:tcW w:w="2128" w:type="dxa"/>
            <w:shd w:val="clear" w:color="auto" w:fill="F2F2F2" w:themeFill="background1" w:themeFillShade="F2"/>
            <w:vAlign w:val="bottom"/>
          </w:tcPr>
          <w:p w14:paraId="24992F63" w14:textId="77777777" w:rsidR="00A06F97" w:rsidRPr="004A0A8E" w:rsidRDefault="00A06F97" w:rsidP="00E15FCF">
            <w:pPr>
              <w:rPr>
                <w:iCs/>
                <w:noProof/>
                <w:sz w:val="18"/>
                <w:szCs w:val="18"/>
              </w:rPr>
            </w:pPr>
            <w:r>
              <w:rPr>
                <w:rFonts w:ascii="Aptos Narrow" w:hAnsi="Aptos Narrow"/>
                <w:noProof/>
                <w:color w:val="000000"/>
                <w:sz w:val="18"/>
              </w:rPr>
              <w:t>SGR</w:t>
            </w:r>
          </w:p>
        </w:tc>
        <w:tc>
          <w:tcPr>
            <w:tcW w:w="3676" w:type="dxa"/>
            <w:shd w:val="clear" w:color="auto" w:fill="E2EFD9" w:themeFill="accent6" w:themeFillTint="33"/>
          </w:tcPr>
          <w:p w14:paraId="23BBB252" w14:textId="77777777" w:rsidR="00A06F97" w:rsidRPr="004A0A8E" w:rsidRDefault="00A06F97" w:rsidP="00E15FCF">
            <w:pPr>
              <w:rPr>
                <w:iCs/>
                <w:noProof/>
                <w:sz w:val="18"/>
                <w:szCs w:val="18"/>
              </w:rPr>
            </w:pPr>
            <w:r>
              <w:rPr>
                <w:rFonts w:ascii="Aptos Narrow" w:hAnsi="Aptos Narrow"/>
                <w:noProof/>
                <w:color w:val="000000"/>
                <w:sz w:val="18"/>
              </w:rPr>
              <w:t>SGR existent</w:t>
            </w:r>
          </w:p>
        </w:tc>
      </w:tr>
      <w:tr w:rsidR="00A06F97" w:rsidRPr="004A0A8E" w14:paraId="51ED9C96" w14:textId="77777777" w:rsidTr="00E15FCF">
        <w:tc>
          <w:tcPr>
            <w:tcW w:w="1555" w:type="dxa"/>
            <w:shd w:val="clear" w:color="auto" w:fill="F2F2F2" w:themeFill="background1" w:themeFillShade="F2"/>
            <w:vAlign w:val="bottom"/>
          </w:tcPr>
          <w:p w14:paraId="1C4196AC" w14:textId="77777777" w:rsidR="00A06F97" w:rsidRPr="00627F8D" w:rsidRDefault="00A06F97" w:rsidP="00E15FCF">
            <w:pPr>
              <w:rPr>
                <w:rFonts w:ascii="Aptos Narrow" w:hAnsi="Aptos Narrow"/>
                <w:b/>
                <w:bCs/>
                <w:iCs/>
                <w:noProof/>
                <w:color w:val="000000"/>
                <w:sz w:val="18"/>
                <w:szCs w:val="18"/>
              </w:rPr>
            </w:pPr>
            <w:r w:rsidRPr="00627F8D">
              <w:rPr>
                <w:rFonts w:ascii="Aptos Narrow" w:hAnsi="Aptos Narrow"/>
                <w:b/>
                <w:noProof/>
                <w:color w:val="000000"/>
                <w:sz w:val="18"/>
              </w:rPr>
              <w:t>Germania</w:t>
            </w:r>
          </w:p>
        </w:tc>
        <w:tc>
          <w:tcPr>
            <w:tcW w:w="1555" w:type="dxa"/>
            <w:shd w:val="clear" w:color="auto" w:fill="F2F2F2" w:themeFill="background1" w:themeFillShade="F2"/>
            <w:vAlign w:val="bottom"/>
          </w:tcPr>
          <w:p w14:paraId="1B3E0D18" w14:textId="77777777" w:rsidR="00A06F97" w:rsidRPr="004A0A8E" w:rsidRDefault="00A06F97" w:rsidP="00E15FCF">
            <w:pPr>
              <w:rPr>
                <w:rFonts w:ascii="Aptos Narrow" w:hAnsi="Aptos Narrow"/>
                <w:noProof/>
                <w:color w:val="000000"/>
                <w:sz w:val="18"/>
                <w:szCs w:val="18"/>
              </w:rPr>
            </w:pPr>
            <w:r w:rsidRPr="00F249C9">
              <w:rPr>
                <w:rFonts w:ascii="Aptos Narrow" w:hAnsi="Aptos Narrow"/>
                <w:noProof/>
                <w:color w:val="000000"/>
                <w:sz w:val="18"/>
              </w:rPr>
              <w:t>97</w:t>
            </w:r>
            <w:r>
              <w:rPr>
                <w:rFonts w:ascii="Aptos Narrow" w:hAnsi="Aptos Narrow"/>
                <w:noProof/>
                <w:color w:val="000000"/>
                <w:sz w:val="18"/>
              </w:rPr>
              <w:t>,</w:t>
            </w:r>
            <w:r w:rsidRPr="00F249C9">
              <w:rPr>
                <w:rFonts w:ascii="Aptos Narrow" w:hAnsi="Aptos Narrow"/>
                <w:noProof/>
                <w:color w:val="000000"/>
                <w:sz w:val="18"/>
              </w:rPr>
              <w:t>11</w:t>
            </w:r>
          </w:p>
        </w:tc>
        <w:tc>
          <w:tcPr>
            <w:tcW w:w="2128" w:type="dxa"/>
            <w:shd w:val="clear" w:color="auto" w:fill="F2F2F2" w:themeFill="background1" w:themeFillShade="F2"/>
            <w:vAlign w:val="bottom"/>
          </w:tcPr>
          <w:p w14:paraId="36890592" w14:textId="77777777" w:rsidR="00A06F97" w:rsidRPr="004A0A8E" w:rsidRDefault="00A06F97" w:rsidP="00E15FCF">
            <w:pPr>
              <w:rPr>
                <w:iCs/>
                <w:noProof/>
                <w:sz w:val="18"/>
                <w:szCs w:val="18"/>
              </w:rPr>
            </w:pPr>
            <w:r>
              <w:rPr>
                <w:rFonts w:ascii="Aptos Narrow" w:hAnsi="Aptos Narrow"/>
                <w:noProof/>
                <w:color w:val="000000"/>
                <w:sz w:val="18"/>
              </w:rPr>
              <w:t>SGR</w:t>
            </w:r>
          </w:p>
        </w:tc>
        <w:tc>
          <w:tcPr>
            <w:tcW w:w="3676" w:type="dxa"/>
            <w:shd w:val="clear" w:color="auto" w:fill="E2EFD9" w:themeFill="accent6" w:themeFillTint="33"/>
          </w:tcPr>
          <w:p w14:paraId="41A78031" w14:textId="77777777" w:rsidR="00A06F97" w:rsidRPr="004A0A8E" w:rsidRDefault="00A06F97" w:rsidP="00E15FCF">
            <w:pPr>
              <w:rPr>
                <w:iCs/>
                <w:noProof/>
                <w:sz w:val="18"/>
                <w:szCs w:val="18"/>
              </w:rPr>
            </w:pPr>
            <w:r>
              <w:rPr>
                <w:rFonts w:ascii="Aptos Narrow" w:hAnsi="Aptos Narrow"/>
                <w:noProof/>
                <w:color w:val="000000"/>
                <w:sz w:val="18"/>
              </w:rPr>
              <w:t>SGR existent</w:t>
            </w:r>
          </w:p>
        </w:tc>
      </w:tr>
      <w:tr w:rsidR="00A06F97" w:rsidRPr="004A0A8E" w14:paraId="2E166920" w14:textId="77777777" w:rsidTr="00E15FCF">
        <w:tc>
          <w:tcPr>
            <w:tcW w:w="1555" w:type="dxa"/>
            <w:shd w:val="clear" w:color="auto" w:fill="F2F2F2" w:themeFill="background1" w:themeFillShade="F2"/>
            <w:vAlign w:val="bottom"/>
          </w:tcPr>
          <w:p w14:paraId="239CF698" w14:textId="77777777" w:rsidR="00A06F97" w:rsidRPr="00627F8D" w:rsidRDefault="00A06F97" w:rsidP="00E15FCF">
            <w:pPr>
              <w:rPr>
                <w:rFonts w:ascii="Aptos Narrow" w:hAnsi="Aptos Narrow"/>
                <w:b/>
                <w:bCs/>
                <w:iCs/>
                <w:noProof/>
                <w:color w:val="000000"/>
                <w:sz w:val="18"/>
                <w:szCs w:val="18"/>
              </w:rPr>
            </w:pPr>
            <w:r w:rsidRPr="00627F8D">
              <w:rPr>
                <w:rFonts w:ascii="Aptos Narrow" w:hAnsi="Aptos Narrow"/>
                <w:b/>
                <w:noProof/>
                <w:color w:val="000000"/>
                <w:sz w:val="18"/>
              </w:rPr>
              <w:t>Danemarca</w:t>
            </w:r>
          </w:p>
        </w:tc>
        <w:tc>
          <w:tcPr>
            <w:tcW w:w="1555" w:type="dxa"/>
            <w:shd w:val="clear" w:color="auto" w:fill="F2F2F2" w:themeFill="background1" w:themeFillShade="F2"/>
            <w:vAlign w:val="bottom"/>
          </w:tcPr>
          <w:p w14:paraId="57ACDF5D" w14:textId="77777777" w:rsidR="00A06F97" w:rsidRPr="004A0A8E" w:rsidRDefault="00A06F97" w:rsidP="00E15FCF">
            <w:pPr>
              <w:rPr>
                <w:rFonts w:ascii="Aptos Narrow" w:hAnsi="Aptos Narrow"/>
                <w:noProof/>
                <w:color w:val="000000"/>
                <w:sz w:val="18"/>
                <w:szCs w:val="18"/>
              </w:rPr>
            </w:pPr>
            <w:r w:rsidRPr="00F249C9">
              <w:rPr>
                <w:rFonts w:ascii="Aptos Narrow" w:hAnsi="Aptos Narrow"/>
                <w:noProof/>
                <w:color w:val="000000"/>
                <w:sz w:val="18"/>
              </w:rPr>
              <w:t>91</w:t>
            </w:r>
            <w:r>
              <w:rPr>
                <w:rFonts w:ascii="Aptos Narrow" w:hAnsi="Aptos Narrow"/>
                <w:noProof/>
                <w:color w:val="000000"/>
                <w:sz w:val="18"/>
              </w:rPr>
              <w:t>,</w:t>
            </w:r>
            <w:r w:rsidRPr="00F249C9">
              <w:rPr>
                <w:rFonts w:ascii="Aptos Narrow" w:hAnsi="Aptos Narrow"/>
                <w:noProof/>
                <w:color w:val="000000"/>
                <w:sz w:val="18"/>
              </w:rPr>
              <w:t>94</w:t>
            </w:r>
          </w:p>
        </w:tc>
        <w:tc>
          <w:tcPr>
            <w:tcW w:w="2128" w:type="dxa"/>
            <w:shd w:val="clear" w:color="auto" w:fill="F2F2F2" w:themeFill="background1" w:themeFillShade="F2"/>
            <w:vAlign w:val="bottom"/>
          </w:tcPr>
          <w:p w14:paraId="1E01CAD4" w14:textId="77777777" w:rsidR="00A06F97" w:rsidRPr="004A0A8E" w:rsidRDefault="00A06F97" w:rsidP="00E15FCF">
            <w:pPr>
              <w:rPr>
                <w:iCs/>
                <w:noProof/>
                <w:sz w:val="18"/>
                <w:szCs w:val="18"/>
              </w:rPr>
            </w:pPr>
            <w:r>
              <w:rPr>
                <w:noProof/>
                <w:sz w:val="18"/>
              </w:rPr>
              <w:t>Nespecificate</w:t>
            </w:r>
          </w:p>
        </w:tc>
        <w:tc>
          <w:tcPr>
            <w:tcW w:w="3676" w:type="dxa"/>
            <w:shd w:val="clear" w:color="auto" w:fill="E2EFD9" w:themeFill="accent6" w:themeFillTint="33"/>
          </w:tcPr>
          <w:p w14:paraId="45CEEAE7" w14:textId="77777777" w:rsidR="00A06F97" w:rsidRPr="004A0A8E" w:rsidRDefault="00A06F97" w:rsidP="00E15FCF">
            <w:pPr>
              <w:rPr>
                <w:iCs/>
                <w:noProof/>
                <w:sz w:val="18"/>
                <w:szCs w:val="18"/>
              </w:rPr>
            </w:pPr>
            <w:r>
              <w:rPr>
                <w:rFonts w:ascii="Aptos Narrow" w:hAnsi="Aptos Narrow"/>
                <w:noProof/>
                <w:color w:val="000000"/>
                <w:sz w:val="18"/>
              </w:rPr>
              <w:t>SGR existent</w:t>
            </w:r>
          </w:p>
        </w:tc>
      </w:tr>
      <w:tr w:rsidR="00A06F97" w:rsidRPr="004A0A8E" w14:paraId="44C32060" w14:textId="77777777" w:rsidTr="00E15FCF">
        <w:tc>
          <w:tcPr>
            <w:tcW w:w="1555" w:type="dxa"/>
            <w:shd w:val="clear" w:color="auto" w:fill="F2F2F2" w:themeFill="background1" w:themeFillShade="F2"/>
            <w:vAlign w:val="bottom"/>
          </w:tcPr>
          <w:p w14:paraId="2CCBB5DC" w14:textId="77777777" w:rsidR="00A06F97" w:rsidRPr="00627F8D" w:rsidRDefault="00A06F97" w:rsidP="00E15FCF">
            <w:pPr>
              <w:rPr>
                <w:rFonts w:ascii="Aptos Narrow" w:hAnsi="Aptos Narrow"/>
                <w:b/>
                <w:bCs/>
                <w:iCs/>
                <w:noProof/>
                <w:color w:val="000000"/>
                <w:sz w:val="18"/>
                <w:szCs w:val="18"/>
              </w:rPr>
            </w:pPr>
            <w:r w:rsidRPr="00627F8D">
              <w:rPr>
                <w:rFonts w:ascii="Aptos Narrow" w:hAnsi="Aptos Narrow"/>
                <w:b/>
                <w:noProof/>
                <w:color w:val="000000"/>
                <w:sz w:val="18"/>
              </w:rPr>
              <w:t>Suedia</w:t>
            </w:r>
          </w:p>
        </w:tc>
        <w:tc>
          <w:tcPr>
            <w:tcW w:w="1555" w:type="dxa"/>
            <w:shd w:val="clear" w:color="auto" w:fill="F2F2F2" w:themeFill="background1" w:themeFillShade="F2"/>
            <w:vAlign w:val="bottom"/>
          </w:tcPr>
          <w:p w14:paraId="1E0C8C78" w14:textId="77777777" w:rsidR="00A06F97" w:rsidRPr="004A0A8E" w:rsidRDefault="00A06F97" w:rsidP="00E15FCF">
            <w:pPr>
              <w:rPr>
                <w:rFonts w:ascii="Aptos Narrow" w:hAnsi="Aptos Narrow"/>
                <w:noProof/>
                <w:color w:val="000000"/>
                <w:sz w:val="18"/>
                <w:szCs w:val="18"/>
              </w:rPr>
            </w:pPr>
            <w:r w:rsidRPr="00F249C9">
              <w:rPr>
                <w:rFonts w:ascii="Aptos Narrow" w:hAnsi="Aptos Narrow"/>
                <w:noProof/>
                <w:color w:val="000000"/>
                <w:sz w:val="18"/>
              </w:rPr>
              <w:t>90</w:t>
            </w:r>
            <w:r>
              <w:rPr>
                <w:rFonts w:ascii="Aptos Narrow" w:hAnsi="Aptos Narrow"/>
                <w:noProof/>
                <w:color w:val="000000"/>
                <w:sz w:val="18"/>
              </w:rPr>
              <w:t>,</w:t>
            </w:r>
            <w:r w:rsidRPr="00F249C9">
              <w:rPr>
                <w:rFonts w:ascii="Aptos Narrow" w:hAnsi="Aptos Narrow"/>
                <w:noProof/>
                <w:color w:val="000000"/>
                <w:sz w:val="18"/>
              </w:rPr>
              <w:t>33</w:t>
            </w:r>
          </w:p>
        </w:tc>
        <w:tc>
          <w:tcPr>
            <w:tcW w:w="2128" w:type="dxa"/>
            <w:shd w:val="clear" w:color="auto" w:fill="F2F2F2" w:themeFill="background1" w:themeFillShade="F2"/>
            <w:vAlign w:val="bottom"/>
          </w:tcPr>
          <w:p w14:paraId="62759F60" w14:textId="77777777" w:rsidR="00A06F97" w:rsidRPr="004A0A8E" w:rsidRDefault="00A06F97" w:rsidP="00E15FCF">
            <w:pPr>
              <w:rPr>
                <w:iCs/>
                <w:noProof/>
                <w:sz w:val="18"/>
                <w:szCs w:val="18"/>
              </w:rPr>
            </w:pPr>
            <w:r>
              <w:rPr>
                <w:rFonts w:ascii="Aptos Narrow" w:hAnsi="Aptos Narrow"/>
                <w:noProof/>
                <w:color w:val="000000"/>
                <w:sz w:val="18"/>
              </w:rPr>
              <w:t>SGR</w:t>
            </w:r>
          </w:p>
        </w:tc>
        <w:tc>
          <w:tcPr>
            <w:tcW w:w="3676" w:type="dxa"/>
            <w:shd w:val="clear" w:color="auto" w:fill="E2EFD9" w:themeFill="accent6" w:themeFillTint="33"/>
          </w:tcPr>
          <w:p w14:paraId="5570002A" w14:textId="77777777" w:rsidR="00A06F97" w:rsidRPr="004A0A8E" w:rsidRDefault="00A06F97" w:rsidP="00E15FCF">
            <w:pPr>
              <w:rPr>
                <w:iCs/>
                <w:noProof/>
                <w:sz w:val="18"/>
                <w:szCs w:val="18"/>
              </w:rPr>
            </w:pPr>
            <w:r>
              <w:rPr>
                <w:rFonts w:ascii="Aptos Narrow" w:hAnsi="Aptos Narrow"/>
                <w:noProof/>
                <w:color w:val="000000"/>
                <w:sz w:val="18"/>
              </w:rPr>
              <w:t>SGR existent</w:t>
            </w:r>
          </w:p>
        </w:tc>
      </w:tr>
      <w:tr w:rsidR="00A06F97" w:rsidRPr="004A0A8E" w14:paraId="141A11EB" w14:textId="77777777" w:rsidTr="00E15FCF">
        <w:tc>
          <w:tcPr>
            <w:tcW w:w="1555" w:type="dxa"/>
            <w:shd w:val="clear" w:color="auto" w:fill="F2F2F2" w:themeFill="background1" w:themeFillShade="F2"/>
            <w:vAlign w:val="bottom"/>
          </w:tcPr>
          <w:p w14:paraId="0CBDE9E8" w14:textId="77777777" w:rsidR="00A06F97" w:rsidRPr="00627F8D" w:rsidRDefault="00A06F97" w:rsidP="00E15FCF">
            <w:pPr>
              <w:rPr>
                <w:rFonts w:ascii="Aptos Narrow" w:hAnsi="Aptos Narrow"/>
                <w:b/>
                <w:bCs/>
                <w:iCs/>
                <w:noProof/>
                <w:color w:val="000000"/>
                <w:sz w:val="18"/>
                <w:szCs w:val="18"/>
              </w:rPr>
            </w:pPr>
            <w:r w:rsidRPr="00627F8D">
              <w:rPr>
                <w:rFonts w:ascii="Aptos Narrow" w:hAnsi="Aptos Narrow"/>
                <w:b/>
                <w:noProof/>
                <w:color w:val="000000"/>
                <w:sz w:val="18"/>
              </w:rPr>
              <w:t>Norvegia*</w:t>
            </w:r>
          </w:p>
        </w:tc>
        <w:tc>
          <w:tcPr>
            <w:tcW w:w="1555" w:type="dxa"/>
            <w:shd w:val="clear" w:color="auto" w:fill="F2F2F2" w:themeFill="background1" w:themeFillShade="F2"/>
            <w:vAlign w:val="bottom"/>
          </w:tcPr>
          <w:p w14:paraId="6CC31363" w14:textId="77777777" w:rsidR="00A06F97" w:rsidRPr="004A0A8E" w:rsidRDefault="00A06F97" w:rsidP="00E15FCF">
            <w:pPr>
              <w:rPr>
                <w:rFonts w:ascii="Aptos Narrow" w:hAnsi="Aptos Narrow"/>
                <w:noProof/>
                <w:color w:val="000000"/>
                <w:sz w:val="18"/>
                <w:szCs w:val="18"/>
              </w:rPr>
            </w:pPr>
            <w:r w:rsidRPr="00F249C9">
              <w:rPr>
                <w:rFonts w:ascii="Aptos Narrow" w:hAnsi="Aptos Narrow"/>
                <w:noProof/>
                <w:color w:val="000000"/>
                <w:sz w:val="18"/>
              </w:rPr>
              <w:t>89</w:t>
            </w:r>
            <w:r>
              <w:rPr>
                <w:rFonts w:ascii="Aptos Narrow" w:hAnsi="Aptos Narrow"/>
                <w:noProof/>
                <w:color w:val="000000"/>
                <w:sz w:val="18"/>
              </w:rPr>
              <w:t>,</w:t>
            </w:r>
            <w:r w:rsidRPr="00F249C9">
              <w:rPr>
                <w:rFonts w:ascii="Aptos Narrow" w:hAnsi="Aptos Narrow"/>
                <w:noProof/>
                <w:color w:val="000000"/>
                <w:sz w:val="18"/>
              </w:rPr>
              <w:t>74</w:t>
            </w:r>
          </w:p>
        </w:tc>
        <w:tc>
          <w:tcPr>
            <w:tcW w:w="2128" w:type="dxa"/>
            <w:shd w:val="clear" w:color="auto" w:fill="F2F2F2" w:themeFill="background1" w:themeFillShade="F2"/>
            <w:vAlign w:val="bottom"/>
          </w:tcPr>
          <w:p w14:paraId="12CBC051" w14:textId="77777777" w:rsidR="00A06F97" w:rsidRPr="004A0A8E" w:rsidRDefault="00A06F97" w:rsidP="00E15FCF">
            <w:pPr>
              <w:rPr>
                <w:iCs/>
                <w:noProof/>
                <w:sz w:val="18"/>
                <w:szCs w:val="18"/>
              </w:rPr>
            </w:pPr>
            <w:r>
              <w:rPr>
                <w:rFonts w:ascii="Aptos Narrow" w:hAnsi="Aptos Narrow"/>
                <w:noProof/>
                <w:color w:val="000000"/>
                <w:sz w:val="18"/>
              </w:rPr>
              <w:t>SGR</w:t>
            </w:r>
          </w:p>
        </w:tc>
        <w:tc>
          <w:tcPr>
            <w:tcW w:w="3676" w:type="dxa"/>
            <w:shd w:val="clear" w:color="auto" w:fill="E2EFD9" w:themeFill="accent6" w:themeFillTint="33"/>
            <w:vAlign w:val="bottom"/>
          </w:tcPr>
          <w:p w14:paraId="2D9DA6F0" w14:textId="77777777" w:rsidR="00A06F97" w:rsidRPr="004A0A8E" w:rsidRDefault="00A06F97" w:rsidP="00E15FCF">
            <w:pPr>
              <w:rPr>
                <w:iCs/>
                <w:noProof/>
                <w:sz w:val="18"/>
                <w:szCs w:val="18"/>
              </w:rPr>
            </w:pPr>
            <w:r>
              <w:rPr>
                <w:noProof/>
                <w:sz w:val="18"/>
              </w:rPr>
              <w:t>SGR existent</w:t>
            </w:r>
          </w:p>
        </w:tc>
      </w:tr>
      <w:tr w:rsidR="00A06F97" w:rsidRPr="004A0A8E" w14:paraId="082E15DD" w14:textId="77777777" w:rsidTr="00E15FCF">
        <w:tc>
          <w:tcPr>
            <w:tcW w:w="1555" w:type="dxa"/>
            <w:shd w:val="clear" w:color="auto" w:fill="F2F2F2" w:themeFill="background1" w:themeFillShade="F2"/>
            <w:vAlign w:val="bottom"/>
          </w:tcPr>
          <w:p w14:paraId="472E17D9" w14:textId="77777777" w:rsidR="00A06F97" w:rsidRPr="00627F8D" w:rsidRDefault="00A06F97" w:rsidP="00E15FCF">
            <w:pPr>
              <w:rPr>
                <w:rFonts w:ascii="Aptos Narrow" w:hAnsi="Aptos Narrow"/>
                <w:b/>
                <w:bCs/>
                <w:iCs/>
                <w:noProof/>
                <w:color w:val="000000"/>
                <w:sz w:val="18"/>
                <w:szCs w:val="18"/>
              </w:rPr>
            </w:pPr>
            <w:r w:rsidRPr="00627F8D">
              <w:rPr>
                <w:rFonts w:ascii="Aptos Narrow" w:hAnsi="Aptos Narrow"/>
                <w:b/>
                <w:noProof/>
                <w:color w:val="000000"/>
                <w:sz w:val="18"/>
              </w:rPr>
              <w:t>Lituania</w:t>
            </w:r>
          </w:p>
        </w:tc>
        <w:tc>
          <w:tcPr>
            <w:tcW w:w="1555" w:type="dxa"/>
            <w:shd w:val="clear" w:color="auto" w:fill="F2F2F2" w:themeFill="background1" w:themeFillShade="F2"/>
            <w:vAlign w:val="bottom"/>
          </w:tcPr>
          <w:p w14:paraId="4E55B181" w14:textId="77777777" w:rsidR="00A06F97" w:rsidRPr="004A0A8E" w:rsidRDefault="00A06F97" w:rsidP="00E15FCF">
            <w:pPr>
              <w:rPr>
                <w:rFonts w:ascii="Aptos Narrow" w:hAnsi="Aptos Narrow"/>
                <w:noProof/>
                <w:color w:val="000000"/>
                <w:sz w:val="18"/>
                <w:szCs w:val="18"/>
              </w:rPr>
            </w:pPr>
            <w:r w:rsidRPr="00F249C9">
              <w:rPr>
                <w:rFonts w:ascii="Aptos Narrow" w:hAnsi="Aptos Narrow"/>
                <w:noProof/>
                <w:color w:val="000000"/>
                <w:sz w:val="18"/>
              </w:rPr>
              <w:t>86</w:t>
            </w:r>
            <w:r>
              <w:rPr>
                <w:rFonts w:ascii="Aptos Narrow" w:hAnsi="Aptos Narrow"/>
                <w:noProof/>
                <w:color w:val="000000"/>
                <w:sz w:val="18"/>
              </w:rPr>
              <w:t>,</w:t>
            </w:r>
            <w:r w:rsidRPr="00F249C9">
              <w:rPr>
                <w:rFonts w:ascii="Aptos Narrow" w:hAnsi="Aptos Narrow"/>
                <w:noProof/>
                <w:color w:val="000000"/>
                <w:sz w:val="18"/>
              </w:rPr>
              <w:t>94</w:t>
            </w:r>
          </w:p>
        </w:tc>
        <w:tc>
          <w:tcPr>
            <w:tcW w:w="2128" w:type="dxa"/>
            <w:shd w:val="clear" w:color="auto" w:fill="F2F2F2" w:themeFill="background1" w:themeFillShade="F2"/>
          </w:tcPr>
          <w:p w14:paraId="48877B41" w14:textId="77777777" w:rsidR="00A06F97" w:rsidRPr="004A0A8E" w:rsidRDefault="00A06F97" w:rsidP="00E15FCF">
            <w:pPr>
              <w:rPr>
                <w:iCs/>
                <w:noProof/>
                <w:sz w:val="18"/>
                <w:szCs w:val="18"/>
              </w:rPr>
            </w:pPr>
            <w:r>
              <w:rPr>
                <w:noProof/>
                <w:sz w:val="18"/>
              </w:rPr>
              <w:t>Nespecificate</w:t>
            </w:r>
          </w:p>
        </w:tc>
        <w:tc>
          <w:tcPr>
            <w:tcW w:w="3676" w:type="dxa"/>
            <w:shd w:val="clear" w:color="auto" w:fill="E2EFD9" w:themeFill="accent6" w:themeFillTint="33"/>
          </w:tcPr>
          <w:p w14:paraId="10903AD7" w14:textId="77777777" w:rsidR="00A06F97" w:rsidRPr="004A0A8E" w:rsidRDefault="00A06F97" w:rsidP="00E15FCF">
            <w:pPr>
              <w:rPr>
                <w:iCs/>
                <w:noProof/>
                <w:sz w:val="18"/>
                <w:szCs w:val="18"/>
              </w:rPr>
            </w:pPr>
            <w:r>
              <w:rPr>
                <w:rFonts w:ascii="Aptos Narrow" w:hAnsi="Aptos Narrow"/>
                <w:noProof/>
                <w:color w:val="000000"/>
                <w:sz w:val="18"/>
              </w:rPr>
              <w:t>SGR existent</w:t>
            </w:r>
          </w:p>
        </w:tc>
      </w:tr>
      <w:tr w:rsidR="00A06F97" w:rsidRPr="004A0A8E" w14:paraId="76223B85" w14:textId="77777777" w:rsidTr="00E15FCF">
        <w:tc>
          <w:tcPr>
            <w:tcW w:w="1555" w:type="dxa"/>
            <w:shd w:val="clear" w:color="auto" w:fill="F2F2F2" w:themeFill="background1" w:themeFillShade="F2"/>
            <w:vAlign w:val="bottom"/>
          </w:tcPr>
          <w:p w14:paraId="6B0964E6" w14:textId="77777777" w:rsidR="00A06F97" w:rsidRPr="00627F8D" w:rsidRDefault="00A06F97" w:rsidP="00E15FCF">
            <w:pPr>
              <w:rPr>
                <w:rFonts w:ascii="Aptos Narrow" w:hAnsi="Aptos Narrow"/>
                <w:b/>
                <w:bCs/>
                <w:iCs/>
                <w:noProof/>
                <w:color w:val="000000"/>
                <w:sz w:val="18"/>
                <w:szCs w:val="18"/>
              </w:rPr>
            </w:pPr>
            <w:r w:rsidRPr="00627F8D">
              <w:rPr>
                <w:rFonts w:ascii="Aptos Narrow" w:hAnsi="Aptos Narrow"/>
                <w:b/>
                <w:noProof/>
                <w:color w:val="000000"/>
                <w:sz w:val="18"/>
              </w:rPr>
              <w:t>Croația</w:t>
            </w:r>
          </w:p>
        </w:tc>
        <w:tc>
          <w:tcPr>
            <w:tcW w:w="1555" w:type="dxa"/>
            <w:shd w:val="clear" w:color="auto" w:fill="F2F2F2" w:themeFill="background1" w:themeFillShade="F2"/>
            <w:vAlign w:val="bottom"/>
          </w:tcPr>
          <w:p w14:paraId="6270AC6F" w14:textId="77777777" w:rsidR="00A06F97" w:rsidRPr="004A0A8E" w:rsidRDefault="00A06F97" w:rsidP="00E15FCF">
            <w:pPr>
              <w:rPr>
                <w:rFonts w:ascii="Aptos Narrow" w:hAnsi="Aptos Narrow"/>
                <w:noProof/>
                <w:color w:val="000000"/>
                <w:sz w:val="18"/>
                <w:szCs w:val="18"/>
              </w:rPr>
            </w:pPr>
            <w:r w:rsidRPr="00F249C9">
              <w:rPr>
                <w:rFonts w:ascii="Aptos Narrow" w:hAnsi="Aptos Narrow"/>
                <w:noProof/>
                <w:color w:val="000000"/>
                <w:sz w:val="18"/>
              </w:rPr>
              <w:t>86</w:t>
            </w:r>
            <w:r>
              <w:rPr>
                <w:rFonts w:ascii="Aptos Narrow" w:hAnsi="Aptos Narrow"/>
                <w:noProof/>
                <w:color w:val="000000"/>
                <w:sz w:val="18"/>
              </w:rPr>
              <w:t>,</w:t>
            </w:r>
            <w:r w:rsidRPr="00F249C9">
              <w:rPr>
                <w:rFonts w:ascii="Aptos Narrow" w:hAnsi="Aptos Narrow"/>
                <w:noProof/>
                <w:color w:val="000000"/>
                <w:sz w:val="18"/>
              </w:rPr>
              <w:t>62</w:t>
            </w:r>
          </w:p>
        </w:tc>
        <w:tc>
          <w:tcPr>
            <w:tcW w:w="2128" w:type="dxa"/>
            <w:shd w:val="clear" w:color="auto" w:fill="F2F2F2" w:themeFill="background1" w:themeFillShade="F2"/>
          </w:tcPr>
          <w:p w14:paraId="17941949" w14:textId="77777777" w:rsidR="00A06F97" w:rsidRPr="004A0A8E" w:rsidRDefault="00A06F97" w:rsidP="00E15FCF">
            <w:pPr>
              <w:rPr>
                <w:iCs/>
                <w:noProof/>
                <w:sz w:val="18"/>
                <w:szCs w:val="18"/>
              </w:rPr>
            </w:pPr>
            <w:r>
              <w:rPr>
                <w:noProof/>
                <w:sz w:val="18"/>
              </w:rPr>
              <w:t>Nespecificate</w:t>
            </w:r>
          </w:p>
        </w:tc>
        <w:tc>
          <w:tcPr>
            <w:tcW w:w="3676" w:type="dxa"/>
            <w:shd w:val="clear" w:color="auto" w:fill="E2EFD9" w:themeFill="accent6" w:themeFillTint="33"/>
          </w:tcPr>
          <w:p w14:paraId="279ABBC5" w14:textId="77777777" w:rsidR="00A06F97" w:rsidRPr="004A0A8E" w:rsidRDefault="00A06F97" w:rsidP="00E15FCF">
            <w:pPr>
              <w:rPr>
                <w:iCs/>
                <w:noProof/>
                <w:sz w:val="18"/>
                <w:szCs w:val="18"/>
              </w:rPr>
            </w:pPr>
            <w:r>
              <w:rPr>
                <w:rFonts w:ascii="Aptos Narrow" w:hAnsi="Aptos Narrow"/>
                <w:noProof/>
                <w:color w:val="000000"/>
                <w:sz w:val="18"/>
              </w:rPr>
              <w:t>SGR existent</w:t>
            </w:r>
          </w:p>
        </w:tc>
      </w:tr>
      <w:tr w:rsidR="00A06F97" w:rsidRPr="004A0A8E" w14:paraId="6151AF44" w14:textId="77777777" w:rsidTr="00E15FCF">
        <w:tc>
          <w:tcPr>
            <w:tcW w:w="1555" w:type="dxa"/>
            <w:shd w:val="clear" w:color="auto" w:fill="F2F2F2" w:themeFill="background1" w:themeFillShade="F2"/>
            <w:vAlign w:val="bottom"/>
          </w:tcPr>
          <w:p w14:paraId="1A525E0C" w14:textId="77777777" w:rsidR="00A06F97" w:rsidRPr="00627F8D" w:rsidRDefault="00A06F97" w:rsidP="00E15FCF">
            <w:pPr>
              <w:rPr>
                <w:rFonts w:ascii="Aptos Narrow" w:hAnsi="Aptos Narrow"/>
                <w:b/>
                <w:bCs/>
                <w:iCs/>
                <w:noProof/>
                <w:color w:val="000000"/>
                <w:sz w:val="18"/>
                <w:szCs w:val="18"/>
              </w:rPr>
            </w:pPr>
            <w:r w:rsidRPr="00627F8D">
              <w:rPr>
                <w:rFonts w:ascii="Aptos Narrow" w:hAnsi="Aptos Narrow"/>
                <w:b/>
                <w:noProof/>
                <w:color w:val="000000"/>
                <w:sz w:val="18"/>
              </w:rPr>
              <w:t>Islanda*</w:t>
            </w:r>
          </w:p>
        </w:tc>
        <w:tc>
          <w:tcPr>
            <w:tcW w:w="1555" w:type="dxa"/>
            <w:shd w:val="clear" w:color="auto" w:fill="F2F2F2" w:themeFill="background1" w:themeFillShade="F2"/>
            <w:vAlign w:val="bottom"/>
          </w:tcPr>
          <w:p w14:paraId="64EEA83B" w14:textId="77777777" w:rsidR="00A06F97" w:rsidRPr="004A0A8E" w:rsidRDefault="00A06F97" w:rsidP="00E15FCF">
            <w:pPr>
              <w:rPr>
                <w:rFonts w:ascii="Aptos Narrow" w:hAnsi="Aptos Narrow"/>
                <w:noProof/>
                <w:color w:val="000000"/>
                <w:sz w:val="18"/>
                <w:szCs w:val="18"/>
              </w:rPr>
            </w:pPr>
            <w:r w:rsidRPr="00F249C9">
              <w:rPr>
                <w:rFonts w:ascii="Aptos Narrow" w:hAnsi="Aptos Narrow"/>
                <w:noProof/>
                <w:color w:val="000000"/>
                <w:sz w:val="18"/>
              </w:rPr>
              <w:t>84</w:t>
            </w:r>
            <w:r>
              <w:rPr>
                <w:rFonts w:ascii="Aptos Narrow" w:hAnsi="Aptos Narrow"/>
                <w:noProof/>
                <w:color w:val="000000"/>
                <w:sz w:val="18"/>
              </w:rPr>
              <w:t>,</w:t>
            </w:r>
            <w:r w:rsidRPr="00F249C9">
              <w:rPr>
                <w:rFonts w:ascii="Aptos Narrow" w:hAnsi="Aptos Narrow"/>
                <w:noProof/>
                <w:color w:val="000000"/>
                <w:sz w:val="18"/>
              </w:rPr>
              <w:t>31</w:t>
            </w:r>
          </w:p>
        </w:tc>
        <w:tc>
          <w:tcPr>
            <w:tcW w:w="2128" w:type="dxa"/>
            <w:shd w:val="clear" w:color="auto" w:fill="F2F2F2" w:themeFill="background1" w:themeFillShade="F2"/>
            <w:vAlign w:val="bottom"/>
          </w:tcPr>
          <w:p w14:paraId="32B8D047" w14:textId="77777777" w:rsidR="00A06F97" w:rsidRPr="004A0A8E" w:rsidRDefault="00A06F97" w:rsidP="00E15FCF">
            <w:pPr>
              <w:rPr>
                <w:iCs/>
                <w:noProof/>
                <w:sz w:val="18"/>
                <w:szCs w:val="18"/>
              </w:rPr>
            </w:pPr>
            <w:r>
              <w:rPr>
                <w:rFonts w:ascii="Aptos Narrow" w:hAnsi="Aptos Narrow"/>
                <w:noProof/>
                <w:color w:val="000000"/>
                <w:sz w:val="18"/>
              </w:rPr>
              <w:t>SGR</w:t>
            </w:r>
          </w:p>
        </w:tc>
        <w:tc>
          <w:tcPr>
            <w:tcW w:w="3676" w:type="dxa"/>
            <w:shd w:val="clear" w:color="auto" w:fill="E2EFD9" w:themeFill="accent6" w:themeFillTint="33"/>
            <w:vAlign w:val="bottom"/>
          </w:tcPr>
          <w:p w14:paraId="771AFC65" w14:textId="77777777" w:rsidR="00A06F97" w:rsidRPr="004A0A8E" w:rsidRDefault="00A06F97" w:rsidP="00E15FCF">
            <w:pPr>
              <w:rPr>
                <w:iCs/>
                <w:noProof/>
                <w:sz w:val="18"/>
                <w:szCs w:val="18"/>
              </w:rPr>
            </w:pPr>
            <w:r>
              <w:rPr>
                <w:noProof/>
                <w:sz w:val="18"/>
              </w:rPr>
              <w:t>SGR existent</w:t>
            </w:r>
          </w:p>
        </w:tc>
      </w:tr>
      <w:tr w:rsidR="00A06F97" w:rsidRPr="004A0A8E" w14:paraId="6110598A" w14:textId="77777777" w:rsidTr="00E15FCF">
        <w:tc>
          <w:tcPr>
            <w:tcW w:w="1555" w:type="dxa"/>
            <w:shd w:val="clear" w:color="auto" w:fill="F2F2F2" w:themeFill="background1" w:themeFillShade="F2"/>
            <w:vAlign w:val="bottom"/>
          </w:tcPr>
          <w:p w14:paraId="15BDB838" w14:textId="77777777" w:rsidR="00A06F97" w:rsidRPr="00627F8D" w:rsidRDefault="00A06F97" w:rsidP="00E15FCF">
            <w:pPr>
              <w:rPr>
                <w:rFonts w:ascii="Aptos Narrow" w:hAnsi="Aptos Narrow"/>
                <w:b/>
                <w:bCs/>
                <w:iCs/>
                <w:noProof/>
                <w:color w:val="000000"/>
                <w:sz w:val="18"/>
                <w:szCs w:val="18"/>
              </w:rPr>
            </w:pPr>
            <w:r w:rsidRPr="00627F8D">
              <w:rPr>
                <w:rFonts w:ascii="Aptos Narrow" w:hAnsi="Aptos Narrow"/>
                <w:b/>
                <w:noProof/>
                <w:color w:val="000000"/>
                <w:sz w:val="18"/>
              </w:rPr>
              <w:t>Slovacia</w:t>
            </w:r>
          </w:p>
        </w:tc>
        <w:tc>
          <w:tcPr>
            <w:tcW w:w="1555" w:type="dxa"/>
            <w:shd w:val="clear" w:color="auto" w:fill="F2F2F2" w:themeFill="background1" w:themeFillShade="F2"/>
            <w:vAlign w:val="bottom"/>
          </w:tcPr>
          <w:p w14:paraId="2A510121" w14:textId="77777777" w:rsidR="00A06F97" w:rsidRPr="004A0A8E" w:rsidRDefault="00A06F97" w:rsidP="00E15FCF">
            <w:pPr>
              <w:rPr>
                <w:rFonts w:ascii="Aptos Narrow" w:hAnsi="Aptos Narrow"/>
                <w:noProof/>
                <w:color w:val="000000"/>
                <w:sz w:val="18"/>
                <w:szCs w:val="18"/>
              </w:rPr>
            </w:pPr>
            <w:r w:rsidRPr="00F249C9">
              <w:rPr>
                <w:rFonts w:ascii="Aptos Narrow" w:hAnsi="Aptos Narrow"/>
                <w:noProof/>
                <w:color w:val="000000"/>
                <w:sz w:val="18"/>
              </w:rPr>
              <w:t>78</w:t>
            </w:r>
            <w:r>
              <w:rPr>
                <w:rFonts w:ascii="Aptos Narrow" w:hAnsi="Aptos Narrow"/>
                <w:noProof/>
                <w:color w:val="000000"/>
                <w:sz w:val="18"/>
              </w:rPr>
              <w:t>,</w:t>
            </w:r>
            <w:r w:rsidRPr="00F249C9">
              <w:rPr>
                <w:rFonts w:ascii="Aptos Narrow" w:hAnsi="Aptos Narrow"/>
                <w:noProof/>
                <w:color w:val="000000"/>
                <w:sz w:val="18"/>
              </w:rPr>
              <w:t>98</w:t>
            </w:r>
          </w:p>
        </w:tc>
        <w:tc>
          <w:tcPr>
            <w:tcW w:w="2128" w:type="dxa"/>
            <w:shd w:val="clear" w:color="auto" w:fill="F2F2F2" w:themeFill="background1" w:themeFillShade="F2"/>
            <w:vAlign w:val="bottom"/>
          </w:tcPr>
          <w:p w14:paraId="00A51F17" w14:textId="77777777" w:rsidR="00A06F97" w:rsidRPr="004A0A8E" w:rsidRDefault="00A06F97" w:rsidP="00E15FCF">
            <w:pPr>
              <w:rPr>
                <w:iCs/>
                <w:noProof/>
                <w:sz w:val="18"/>
                <w:szCs w:val="18"/>
              </w:rPr>
            </w:pPr>
            <w:r>
              <w:rPr>
                <w:rFonts w:ascii="Aptos Narrow" w:hAnsi="Aptos Narrow"/>
                <w:noProof/>
                <w:color w:val="000000"/>
                <w:sz w:val="18"/>
              </w:rPr>
              <w:t>SGR</w:t>
            </w:r>
          </w:p>
        </w:tc>
        <w:tc>
          <w:tcPr>
            <w:tcW w:w="3676" w:type="dxa"/>
            <w:shd w:val="clear" w:color="auto" w:fill="E2EFD9" w:themeFill="accent6" w:themeFillTint="33"/>
            <w:vAlign w:val="bottom"/>
          </w:tcPr>
          <w:p w14:paraId="59A66F80" w14:textId="77777777" w:rsidR="00A06F97" w:rsidRPr="004A0A8E" w:rsidRDefault="00A06F97" w:rsidP="00E15FCF">
            <w:pPr>
              <w:rPr>
                <w:iCs/>
                <w:noProof/>
                <w:sz w:val="18"/>
                <w:szCs w:val="18"/>
              </w:rPr>
            </w:pPr>
            <w:r>
              <w:rPr>
                <w:rFonts w:ascii="Aptos Narrow" w:hAnsi="Aptos Narrow"/>
                <w:noProof/>
                <w:color w:val="000000"/>
                <w:sz w:val="18"/>
              </w:rPr>
              <w:t>SGR existent</w:t>
            </w:r>
          </w:p>
        </w:tc>
      </w:tr>
      <w:tr w:rsidR="00A06F97" w:rsidRPr="004A0A8E" w14:paraId="1540DA41" w14:textId="77777777" w:rsidTr="00E15FCF">
        <w:tc>
          <w:tcPr>
            <w:tcW w:w="1555" w:type="dxa"/>
            <w:shd w:val="clear" w:color="auto" w:fill="F2F2F2" w:themeFill="background1" w:themeFillShade="F2"/>
            <w:vAlign w:val="bottom"/>
          </w:tcPr>
          <w:p w14:paraId="4B47F8D8" w14:textId="77777777" w:rsidR="00A06F97" w:rsidRPr="00627F8D" w:rsidRDefault="00A06F97" w:rsidP="00E15FCF">
            <w:pPr>
              <w:rPr>
                <w:rFonts w:ascii="Aptos Narrow" w:hAnsi="Aptos Narrow"/>
                <w:b/>
                <w:bCs/>
                <w:iCs/>
                <w:noProof/>
                <w:color w:val="000000"/>
                <w:sz w:val="18"/>
                <w:szCs w:val="18"/>
              </w:rPr>
            </w:pPr>
            <w:r w:rsidRPr="00627F8D">
              <w:rPr>
                <w:rFonts w:ascii="Aptos Narrow" w:hAnsi="Aptos Narrow"/>
                <w:b/>
                <w:noProof/>
                <w:color w:val="000000"/>
                <w:sz w:val="18"/>
              </w:rPr>
              <w:t>Belgia</w:t>
            </w:r>
          </w:p>
        </w:tc>
        <w:tc>
          <w:tcPr>
            <w:tcW w:w="1555" w:type="dxa"/>
            <w:shd w:val="clear" w:color="auto" w:fill="F2F2F2" w:themeFill="background1" w:themeFillShade="F2"/>
            <w:vAlign w:val="bottom"/>
          </w:tcPr>
          <w:p w14:paraId="23225E06" w14:textId="77777777" w:rsidR="00A06F97" w:rsidRPr="004A0A8E" w:rsidRDefault="00A06F97" w:rsidP="00E15FCF">
            <w:pPr>
              <w:rPr>
                <w:rFonts w:ascii="Aptos Narrow" w:hAnsi="Aptos Narrow"/>
                <w:noProof/>
                <w:color w:val="000000"/>
                <w:sz w:val="18"/>
                <w:szCs w:val="18"/>
              </w:rPr>
            </w:pPr>
            <w:r w:rsidRPr="00F249C9">
              <w:rPr>
                <w:rFonts w:ascii="Aptos Narrow" w:hAnsi="Aptos Narrow"/>
                <w:noProof/>
                <w:color w:val="000000"/>
                <w:sz w:val="18"/>
              </w:rPr>
              <w:t>78</w:t>
            </w:r>
            <w:r>
              <w:rPr>
                <w:rFonts w:ascii="Aptos Narrow" w:hAnsi="Aptos Narrow"/>
                <w:noProof/>
                <w:color w:val="000000"/>
                <w:sz w:val="18"/>
              </w:rPr>
              <w:t>,</w:t>
            </w:r>
            <w:r w:rsidRPr="00F249C9">
              <w:rPr>
                <w:rFonts w:ascii="Aptos Narrow" w:hAnsi="Aptos Narrow"/>
                <w:noProof/>
                <w:color w:val="000000"/>
                <w:sz w:val="18"/>
              </w:rPr>
              <w:t>21</w:t>
            </w:r>
          </w:p>
        </w:tc>
        <w:tc>
          <w:tcPr>
            <w:tcW w:w="2128" w:type="dxa"/>
            <w:shd w:val="clear" w:color="auto" w:fill="F2F2F2" w:themeFill="background1" w:themeFillShade="F2"/>
            <w:vAlign w:val="bottom"/>
          </w:tcPr>
          <w:p w14:paraId="787DC0B4" w14:textId="77777777" w:rsidR="00A06F97" w:rsidRPr="004A0A8E" w:rsidRDefault="00A06F97" w:rsidP="00E15FCF">
            <w:pPr>
              <w:rPr>
                <w:iCs/>
                <w:noProof/>
                <w:sz w:val="18"/>
                <w:szCs w:val="18"/>
              </w:rPr>
            </w:pPr>
            <w:r>
              <w:rPr>
                <w:rFonts w:ascii="Aptos Narrow" w:hAnsi="Aptos Narrow"/>
                <w:noProof/>
                <w:color w:val="000000"/>
                <w:sz w:val="18"/>
              </w:rPr>
              <w:t>Nu (REP)</w:t>
            </w:r>
          </w:p>
        </w:tc>
        <w:tc>
          <w:tcPr>
            <w:tcW w:w="3676" w:type="dxa"/>
            <w:shd w:val="clear" w:color="auto" w:fill="F4B083" w:themeFill="accent2" w:themeFillTint="99"/>
            <w:vAlign w:val="bottom"/>
          </w:tcPr>
          <w:p w14:paraId="0B569FE5" w14:textId="77777777" w:rsidR="00A06F97" w:rsidRPr="004A0A8E" w:rsidRDefault="00A06F97" w:rsidP="00E15FCF">
            <w:pPr>
              <w:rPr>
                <w:iCs/>
                <w:noProof/>
                <w:sz w:val="18"/>
                <w:szCs w:val="18"/>
              </w:rPr>
            </w:pPr>
            <w:r>
              <w:rPr>
                <w:rFonts w:ascii="Aptos Narrow" w:hAnsi="Aptos Narrow"/>
                <w:noProof/>
                <w:color w:val="000000"/>
                <w:sz w:val="18"/>
              </w:rPr>
              <w:t>Nu</w:t>
            </w:r>
          </w:p>
        </w:tc>
      </w:tr>
      <w:tr w:rsidR="00A06F97" w:rsidRPr="004A0A8E" w14:paraId="4F8A7CDF" w14:textId="77777777" w:rsidTr="00E15FCF">
        <w:tc>
          <w:tcPr>
            <w:tcW w:w="1555" w:type="dxa"/>
            <w:shd w:val="clear" w:color="auto" w:fill="F2F2F2" w:themeFill="background1" w:themeFillShade="F2"/>
            <w:vAlign w:val="bottom"/>
          </w:tcPr>
          <w:p w14:paraId="74019CB8"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Austria</w:t>
            </w:r>
          </w:p>
        </w:tc>
        <w:tc>
          <w:tcPr>
            <w:tcW w:w="1555" w:type="dxa"/>
            <w:shd w:val="clear" w:color="auto" w:fill="F2F2F2" w:themeFill="background1" w:themeFillShade="F2"/>
            <w:vAlign w:val="bottom"/>
          </w:tcPr>
          <w:p w14:paraId="7CE62604" w14:textId="77777777" w:rsidR="00A06F97" w:rsidRPr="004A0A8E" w:rsidRDefault="00A06F97" w:rsidP="00E15FCF">
            <w:pPr>
              <w:rPr>
                <w:rFonts w:ascii="Aptos Narrow" w:hAnsi="Aptos Narrow"/>
                <w:iCs/>
                <w:noProof/>
                <w:color w:val="000000"/>
                <w:sz w:val="18"/>
                <w:szCs w:val="18"/>
              </w:rPr>
            </w:pPr>
            <w:r w:rsidRPr="00F249C9">
              <w:rPr>
                <w:rFonts w:ascii="Aptos Narrow" w:hAnsi="Aptos Narrow"/>
                <w:noProof/>
                <w:color w:val="000000"/>
                <w:sz w:val="18"/>
              </w:rPr>
              <w:t>75</w:t>
            </w:r>
            <w:r>
              <w:rPr>
                <w:rFonts w:ascii="Aptos Narrow" w:hAnsi="Aptos Narrow"/>
                <w:noProof/>
                <w:color w:val="000000"/>
                <w:sz w:val="18"/>
              </w:rPr>
              <w:t>,</w:t>
            </w:r>
            <w:r w:rsidRPr="00F249C9">
              <w:rPr>
                <w:rFonts w:ascii="Aptos Narrow" w:hAnsi="Aptos Narrow"/>
                <w:noProof/>
                <w:color w:val="000000"/>
                <w:sz w:val="18"/>
              </w:rPr>
              <w:t>98</w:t>
            </w:r>
          </w:p>
        </w:tc>
        <w:tc>
          <w:tcPr>
            <w:tcW w:w="2128" w:type="dxa"/>
            <w:shd w:val="clear" w:color="auto" w:fill="F2F2F2" w:themeFill="background1" w:themeFillShade="F2"/>
            <w:vAlign w:val="bottom"/>
          </w:tcPr>
          <w:p w14:paraId="244D6C4E" w14:textId="77777777" w:rsidR="00A06F97" w:rsidRPr="004A0A8E" w:rsidRDefault="00A06F97" w:rsidP="00E15FCF">
            <w:pPr>
              <w:rPr>
                <w:iCs/>
                <w:noProof/>
                <w:sz w:val="18"/>
                <w:szCs w:val="18"/>
              </w:rPr>
            </w:pPr>
            <w:r>
              <w:rPr>
                <w:noProof/>
                <w:sz w:val="18"/>
              </w:rPr>
              <w:t>Nespecificate</w:t>
            </w:r>
          </w:p>
        </w:tc>
        <w:tc>
          <w:tcPr>
            <w:tcW w:w="3676" w:type="dxa"/>
            <w:shd w:val="clear" w:color="auto" w:fill="FBE4D5" w:themeFill="accent2" w:themeFillTint="33"/>
            <w:vAlign w:val="bottom"/>
          </w:tcPr>
          <w:p w14:paraId="4940A1C2" w14:textId="77777777" w:rsidR="00A06F97" w:rsidRPr="004A0A8E" w:rsidRDefault="00A06F97" w:rsidP="00E15FCF">
            <w:pPr>
              <w:rPr>
                <w:iCs/>
                <w:noProof/>
                <w:sz w:val="18"/>
                <w:szCs w:val="18"/>
              </w:rPr>
            </w:pPr>
            <w:r>
              <w:rPr>
                <w:rFonts w:ascii="Aptos Narrow" w:hAnsi="Aptos Narrow"/>
                <w:noProof/>
                <w:color w:val="000000"/>
                <w:sz w:val="18"/>
              </w:rPr>
              <w:t xml:space="preserve">SGR urmează să fie instituit în </w:t>
            </w:r>
            <w:r w:rsidRPr="00F249C9">
              <w:rPr>
                <w:rFonts w:ascii="Aptos Narrow" w:hAnsi="Aptos Narrow"/>
                <w:noProof/>
                <w:color w:val="000000"/>
                <w:sz w:val="18"/>
              </w:rPr>
              <w:t>2025</w:t>
            </w:r>
          </w:p>
        </w:tc>
      </w:tr>
      <w:tr w:rsidR="00A06F97" w:rsidRPr="004A0A8E" w14:paraId="1C272794" w14:textId="77777777" w:rsidTr="00E15FCF">
        <w:tc>
          <w:tcPr>
            <w:tcW w:w="1555" w:type="dxa"/>
            <w:shd w:val="clear" w:color="auto" w:fill="F2F2F2" w:themeFill="background1" w:themeFillShade="F2"/>
            <w:vAlign w:val="bottom"/>
          </w:tcPr>
          <w:p w14:paraId="0EE55859"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Cehia</w:t>
            </w:r>
          </w:p>
        </w:tc>
        <w:tc>
          <w:tcPr>
            <w:tcW w:w="1555" w:type="dxa"/>
            <w:shd w:val="clear" w:color="auto" w:fill="F2F2F2" w:themeFill="background1" w:themeFillShade="F2"/>
            <w:vAlign w:val="bottom"/>
          </w:tcPr>
          <w:p w14:paraId="0F7AFFF0" w14:textId="77777777" w:rsidR="00A06F97" w:rsidRPr="004A0A8E" w:rsidRDefault="00A06F97" w:rsidP="00E15FCF">
            <w:pPr>
              <w:rPr>
                <w:rFonts w:ascii="Aptos Narrow" w:hAnsi="Aptos Narrow"/>
                <w:iCs/>
                <w:noProof/>
                <w:color w:val="000000"/>
                <w:sz w:val="18"/>
                <w:szCs w:val="18"/>
              </w:rPr>
            </w:pPr>
            <w:r w:rsidRPr="00F249C9">
              <w:rPr>
                <w:rFonts w:ascii="Aptos Narrow" w:hAnsi="Aptos Narrow"/>
                <w:noProof/>
                <w:color w:val="000000"/>
                <w:sz w:val="18"/>
              </w:rPr>
              <w:t>74</w:t>
            </w:r>
            <w:r>
              <w:rPr>
                <w:rFonts w:ascii="Aptos Narrow" w:hAnsi="Aptos Narrow"/>
                <w:noProof/>
                <w:color w:val="000000"/>
                <w:sz w:val="18"/>
              </w:rPr>
              <w:t>,</w:t>
            </w:r>
            <w:r w:rsidRPr="00F249C9">
              <w:rPr>
                <w:rFonts w:ascii="Aptos Narrow" w:hAnsi="Aptos Narrow"/>
                <w:noProof/>
                <w:color w:val="000000"/>
                <w:sz w:val="18"/>
              </w:rPr>
              <w:t>20</w:t>
            </w:r>
          </w:p>
        </w:tc>
        <w:tc>
          <w:tcPr>
            <w:tcW w:w="2128" w:type="dxa"/>
            <w:shd w:val="clear" w:color="auto" w:fill="F2F2F2" w:themeFill="background1" w:themeFillShade="F2"/>
            <w:vAlign w:val="bottom"/>
          </w:tcPr>
          <w:p w14:paraId="7CB9571A" w14:textId="77777777" w:rsidR="00A06F97" w:rsidRPr="004A0A8E" w:rsidRDefault="00A06F97" w:rsidP="00E15FCF">
            <w:pPr>
              <w:rPr>
                <w:iCs/>
                <w:noProof/>
                <w:sz w:val="18"/>
                <w:szCs w:val="18"/>
              </w:rPr>
            </w:pPr>
            <w:r>
              <w:rPr>
                <w:rFonts w:ascii="Aptos Narrow" w:hAnsi="Aptos Narrow"/>
                <w:noProof/>
                <w:color w:val="000000"/>
                <w:sz w:val="18"/>
              </w:rPr>
              <w:t>Nu (REP)</w:t>
            </w:r>
          </w:p>
        </w:tc>
        <w:tc>
          <w:tcPr>
            <w:tcW w:w="3676" w:type="dxa"/>
            <w:shd w:val="clear" w:color="auto" w:fill="FBE4D5" w:themeFill="accent2" w:themeFillTint="33"/>
            <w:vAlign w:val="bottom"/>
          </w:tcPr>
          <w:p w14:paraId="6D4F7422" w14:textId="77777777" w:rsidR="00A06F97" w:rsidRPr="004A0A8E" w:rsidRDefault="00A06F97" w:rsidP="00E15FCF">
            <w:pPr>
              <w:rPr>
                <w:iCs/>
                <w:noProof/>
                <w:sz w:val="18"/>
                <w:szCs w:val="18"/>
              </w:rPr>
            </w:pPr>
            <w:r>
              <w:rPr>
                <w:rFonts w:ascii="Aptos Narrow" w:hAnsi="Aptos Narrow"/>
                <w:noProof/>
                <w:color w:val="000000"/>
                <w:sz w:val="18"/>
              </w:rPr>
              <w:t xml:space="preserve">SGR urmează să fie instituit în </w:t>
            </w:r>
            <w:r w:rsidRPr="00F249C9">
              <w:rPr>
                <w:rFonts w:ascii="Aptos Narrow" w:hAnsi="Aptos Narrow"/>
                <w:noProof/>
                <w:color w:val="000000"/>
                <w:sz w:val="18"/>
              </w:rPr>
              <w:t>2026</w:t>
            </w:r>
          </w:p>
        </w:tc>
      </w:tr>
      <w:tr w:rsidR="00A06F97" w:rsidRPr="004A0A8E" w14:paraId="4B72F608" w14:textId="77777777" w:rsidTr="00E15FCF">
        <w:tc>
          <w:tcPr>
            <w:tcW w:w="1555" w:type="dxa"/>
            <w:shd w:val="clear" w:color="auto" w:fill="F2F2F2" w:themeFill="background1" w:themeFillShade="F2"/>
            <w:vAlign w:val="bottom"/>
          </w:tcPr>
          <w:p w14:paraId="2526098C"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Țările de Jos</w:t>
            </w:r>
          </w:p>
        </w:tc>
        <w:tc>
          <w:tcPr>
            <w:tcW w:w="1555" w:type="dxa"/>
            <w:shd w:val="clear" w:color="auto" w:fill="F2F2F2" w:themeFill="background1" w:themeFillShade="F2"/>
            <w:vAlign w:val="bottom"/>
          </w:tcPr>
          <w:p w14:paraId="3F48FCDA" w14:textId="77777777" w:rsidR="00A06F97" w:rsidRPr="004A0A8E" w:rsidRDefault="00A06F97" w:rsidP="00E15FCF">
            <w:pPr>
              <w:rPr>
                <w:rFonts w:ascii="Aptos Narrow" w:hAnsi="Aptos Narrow"/>
                <w:iCs/>
                <w:noProof/>
                <w:color w:val="000000"/>
                <w:sz w:val="18"/>
                <w:szCs w:val="18"/>
              </w:rPr>
            </w:pPr>
            <w:r w:rsidRPr="00F249C9">
              <w:rPr>
                <w:rFonts w:ascii="Aptos Narrow" w:hAnsi="Aptos Narrow"/>
                <w:noProof/>
                <w:color w:val="000000"/>
                <w:sz w:val="18"/>
              </w:rPr>
              <w:t>67</w:t>
            </w:r>
            <w:r>
              <w:rPr>
                <w:rFonts w:ascii="Aptos Narrow" w:hAnsi="Aptos Narrow"/>
                <w:noProof/>
                <w:color w:val="000000"/>
                <w:sz w:val="18"/>
              </w:rPr>
              <w:t>,</w:t>
            </w:r>
            <w:r w:rsidRPr="00F249C9">
              <w:rPr>
                <w:rFonts w:ascii="Aptos Narrow" w:hAnsi="Aptos Narrow"/>
                <w:noProof/>
                <w:color w:val="000000"/>
                <w:sz w:val="18"/>
              </w:rPr>
              <w:t>73</w:t>
            </w:r>
          </w:p>
        </w:tc>
        <w:tc>
          <w:tcPr>
            <w:tcW w:w="2128" w:type="dxa"/>
            <w:shd w:val="clear" w:color="auto" w:fill="F2F2F2" w:themeFill="background1" w:themeFillShade="F2"/>
            <w:vAlign w:val="bottom"/>
          </w:tcPr>
          <w:p w14:paraId="6E190B7D" w14:textId="77777777" w:rsidR="00A06F97" w:rsidRPr="004A0A8E" w:rsidRDefault="00A06F97" w:rsidP="00E15FCF">
            <w:pPr>
              <w:rPr>
                <w:iCs/>
                <w:noProof/>
                <w:sz w:val="18"/>
                <w:szCs w:val="18"/>
              </w:rPr>
            </w:pPr>
            <w:r>
              <w:rPr>
                <w:rFonts w:ascii="Aptos Narrow" w:hAnsi="Aptos Narrow"/>
                <w:noProof/>
                <w:color w:val="000000"/>
                <w:sz w:val="18"/>
              </w:rPr>
              <w:t>SGR</w:t>
            </w:r>
          </w:p>
        </w:tc>
        <w:tc>
          <w:tcPr>
            <w:tcW w:w="3676" w:type="dxa"/>
            <w:shd w:val="clear" w:color="auto" w:fill="E2EFD9" w:themeFill="accent6" w:themeFillTint="33"/>
            <w:vAlign w:val="bottom"/>
          </w:tcPr>
          <w:p w14:paraId="51DAA183" w14:textId="77777777" w:rsidR="00A06F97" w:rsidRPr="004A0A8E" w:rsidRDefault="00A06F97" w:rsidP="00E15FCF">
            <w:pPr>
              <w:rPr>
                <w:iCs/>
                <w:noProof/>
                <w:sz w:val="18"/>
                <w:szCs w:val="18"/>
              </w:rPr>
            </w:pPr>
            <w:r>
              <w:rPr>
                <w:rFonts w:ascii="Aptos Narrow" w:hAnsi="Aptos Narrow"/>
                <w:noProof/>
                <w:color w:val="000000"/>
                <w:sz w:val="18"/>
              </w:rPr>
              <w:t>SGR existent</w:t>
            </w:r>
          </w:p>
        </w:tc>
      </w:tr>
      <w:tr w:rsidR="00A06F97" w:rsidRPr="004A0A8E" w14:paraId="61385DD5" w14:textId="77777777" w:rsidTr="00E15FCF">
        <w:tc>
          <w:tcPr>
            <w:tcW w:w="1555" w:type="dxa"/>
            <w:shd w:val="clear" w:color="auto" w:fill="F2F2F2" w:themeFill="background1" w:themeFillShade="F2"/>
            <w:vAlign w:val="bottom"/>
          </w:tcPr>
          <w:p w14:paraId="145569C6"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Italia</w:t>
            </w:r>
          </w:p>
        </w:tc>
        <w:tc>
          <w:tcPr>
            <w:tcW w:w="1555" w:type="dxa"/>
            <w:shd w:val="clear" w:color="auto" w:fill="F2F2F2" w:themeFill="background1" w:themeFillShade="F2"/>
            <w:vAlign w:val="bottom"/>
          </w:tcPr>
          <w:p w14:paraId="2BC794BE" w14:textId="77777777" w:rsidR="00A06F97" w:rsidRPr="004A0A8E" w:rsidRDefault="00A06F97" w:rsidP="00E15FCF">
            <w:pPr>
              <w:rPr>
                <w:rFonts w:ascii="Aptos Narrow" w:hAnsi="Aptos Narrow"/>
                <w:iCs/>
                <w:noProof/>
                <w:color w:val="000000"/>
                <w:sz w:val="18"/>
                <w:szCs w:val="18"/>
              </w:rPr>
            </w:pPr>
            <w:r w:rsidRPr="00F249C9">
              <w:rPr>
                <w:rFonts w:ascii="Aptos Narrow" w:hAnsi="Aptos Narrow"/>
                <w:noProof/>
                <w:color w:val="000000"/>
                <w:sz w:val="18"/>
              </w:rPr>
              <w:t>67</w:t>
            </w:r>
            <w:r>
              <w:rPr>
                <w:rFonts w:ascii="Aptos Narrow" w:hAnsi="Aptos Narrow"/>
                <w:noProof/>
                <w:color w:val="000000"/>
                <w:sz w:val="18"/>
              </w:rPr>
              <w:t>,</w:t>
            </w:r>
            <w:r w:rsidRPr="00F249C9">
              <w:rPr>
                <w:rFonts w:ascii="Aptos Narrow" w:hAnsi="Aptos Narrow"/>
                <w:noProof/>
                <w:color w:val="000000"/>
                <w:sz w:val="18"/>
              </w:rPr>
              <w:t>03</w:t>
            </w:r>
          </w:p>
        </w:tc>
        <w:tc>
          <w:tcPr>
            <w:tcW w:w="2128" w:type="dxa"/>
            <w:shd w:val="clear" w:color="auto" w:fill="F2F2F2" w:themeFill="background1" w:themeFillShade="F2"/>
            <w:vAlign w:val="bottom"/>
          </w:tcPr>
          <w:p w14:paraId="22A1FF43" w14:textId="77777777" w:rsidR="00A06F97" w:rsidRPr="004A0A8E" w:rsidRDefault="00A06F97" w:rsidP="00E15FCF">
            <w:pPr>
              <w:rPr>
                <w:iCs/>
                <w:noProof/>
                <w:sz w:val="18"/>
                <w:szCs w:val="18"/>
              </w:rPr>
            </w:pPr>
            <w:r>
              <w:rPr>
                <w:rFonts w:ascii="Aptos Narrow" w:hAnsi="Aptos Narrow"/>
                <w:noProof/>
                <w:color w:val="000000"/>
                <w:sz w:val="18"/>
              </w:rPr>
              <w:t>Nu (REP)</w:t>
            </w:r>
          </w:p>
        </w:tc>
        <w:tc>
          <w:tcPr>
            <w:tcW w:w="3676" w:type="dxa"/>
            <w:shd w:val="clear" w:color="auto" w:fill="F4B083" w:themeFill="accent2" w:themeFillTint="99"/>
            <w:vAlign w:val="bottom"/>
          </w:tcPr>
          <w:p w14:paraId="3BCA76B2" w14:textId="77777777" w:rsidR="00A06F97" w:rsidRPr="004A0A8E" w:rsidRDefault="00A06F97" w:rsidP="00E15FCF">
            <w:pPr>
              <w:rPr>
                <w:iCs/>
                <w:noProof/>
                <w:sz w:val="18"/>
                <w:szCs w:val="18"/>
              </w:rPr>
            </w:pPr>
            <w:r>
              <w:rPr>
                <w:rFonts w:ascii="Aptos Narrow" w:hAnsi="Aptos Narrow"/>
                <w:noProof/>
                <w:color w:val="000000"/>
                <w:sz w:val="18"/>
              </w:rPr>
              <w:t>Nu</w:t>
            </w:r>
          </w:p>
        </w:tc>
      </w:tr>
      <w:tr w:rsidR="00A06F97" w:rsidRPr="004A0A8E" w14:paraId="2D8359A1" w14:textId="77777777" w:rsidTr="00E15FCF">
        <w:tc>
          <w:tcPr>
            <w:tcW w:w="1555" w:type="dxa"/>
            <w:shd w:val="clear" w:color="auto" w:fill="F2F2F2" w:themeFill="background1" w:themeFillShade="F2"/>
            <w:vAlign w:val="bottom"/>
          </w:tcPr>
          <w:p w14:paraId="4A74A60B"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Luxemburg</w:t>
            </w:r>
          </w:p>
        </w:tc>
        <w:tc>
          <w:tcPr>
            <w:tcW w:w="1555" w:type="dxa"/>
            <w:shd w:val="clear" w:color="auto" w:fill="F2F2F2" w:themeFill="background1" w:themeFillShade="F2"/>
            <w:vAlign w:val="bottom"/>
          </w:tcPr>
          <w:p w14:paraId="7812E2E3" w14:textId="77777777" w:rsidR="00A06F97" w:rsidRPr="004A0A8E" w:rsidRDefault="00A06F97" w:rsidP="00E15FCF">
            <w:pPr>
              <w:rPr>
                <w:rFonts w:ascii="Aptos Narrow" w:hAnsi="Aptos Narrow"/>
                <w:iCs/>
                <w:noProof/>
                <w:color w:val="000000"/>
                <w:sz w:val="18"/>
                <w:szCs w:val="18"/>
              </w:rPr>
            </w:pPr>
            <w:r w:rsidRPr="00F249C9">
              <w:rPr>
                <w:rFonts w:ascii="Aptos Narrow" w:hAnsi="Aptos Narrow"/>
                <w:noProof/>
                <w:color w:val="000000"/>
                <w:sz w:val="18"/>
              </w:rPr>
              <w:t>61</w:t>
            </w:r>
            <w:r>
              <w:rPr>
                <w:rFonts w:ascii="Aptos Narrow" w:hAnsi="Aptos Narrow"/>
                <w:noProof/>
                <w:color w:val="000000"/>
                <w:sz w:val="18"/>
              </w:rPr>
              <w:t>,</w:t>
            </w:r>
            <w:r w:rsidRPr="00F249C9">
              <w:rPr>
                <w:rFonts w:ascii="Aptos Narrow" w:hAnsi="Aptos Narrow"/>
                <w:noProof/>
                <w:color w:val="000000"/>
                <w:sz w:val="18"/>
              </w:rPr>
              <w:t>63</w:t>
            </w:r>
          </w:p>
        </w:tc>
        <w:tc>
          <w:tcPr>
            <w:tcW w:w="2128" w:type="dxa"/>
            <w:shd w:val="clear" w:color="auto" w:fill="F2F2F2" w:themeFill="background1" w:themeFillShade="F2"/>
            <w:vAlign w:val="bottom"/>
          </w:tcPr>
          <w:p w14:paraId="07971814" w14:textId="77777777" w:rsidR="00A06F97" w:rsidRPr="004A0A8E" w:rsidRDefault="00A06F97" w:rsidP="00E15FCF">
            <w:pPr>
              <w:rPr>
                <w:iCs/>
                <w:noProof/>
                <w:sz w:val="18"/>
                <w:szCs w:val="18"/>
              </w:rPr>
            </w:pPr>
            <w:r>
              <w:rPr>
                <w:noProof/>
                <w:sz w:val="18"/>
              </w:rPr>
              <w:t>Nespecificate</w:t>
            </w:r>
          </w:p>
        </w:tc>
        <w:tc>
          <w:tcPr>
            <w:tcW w:w="3676" w:type="dxa"/>
            <w:shd w:val="clear" w:color="auto" w:fill="F4B083" w:themeFill="accent2" w:themeFillTint="99"/>
            <w:vAlign w:val="bottom"/>
          </w:tcPr>
          <w:p w14:paraId="4A836340" w14:textId="77777777" w:rsidR="00A06F97" w:rsidRPr="004A0A8E" w:rsidRDefault="00A06F97" w:rsidP="00E15FCF">
            <w:pPr>
              <w:rPr>
                <w:iCs/>
                <w:noProof/>
                <w:sz w:val="18"/>
                <w:szCs w:val="18"/>
              </w:rPr>
            </w:pPr>
            <w:r>
              <w:rPr>
                <w:rFonts w:ascii="Aptos Narrow" w:hAnsi="Aptos Narrow"/>
                <w:noProof/>
                <w:color w:val="000000"/>
                <w:sz w:val="18"/>
              </w:rPr>
              <w:t>Nu</w:t>
            </w:r>
          </w:p>
        </w:tc>
      </w:tr>
      <w:tr w:rsidR="00A06F97" w:rsidRPr="004A0A8E" w14:paraId="01FDC55C" w14:textId="77777777" w:rsidTr="00E15FCF">
        <w:tc>
          <w:tcPr>
            <w:tcW w:w="1555" w:type="dxa"/>
            <w:shd w:val="clear" w:color="auto" w:fill="F2F2F2" w:themeFill="background1" w:themeFillShade="F2"/>
            <w:vAlign w:val="bottom"/>
          </w:tcPr>
          <w:p w14:paraId="231244FD"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România</w:t>
            </w:r>
          </w:p>
        </w:tc>
        <w:tc>
          <w:tcPr>
            <w:tcW w:w="1555" w:type="dxa"/>
            <w:shd w:val="clear" w:color="auto" w:fill="F2F2F2" w:themeFill="background1" w:themeFillShade="F2"/>
            <w:vAlign w:val="bottom"/>
          </w:tcPr>
          <w:p w14:paraId="0EED6D0A" w14:textId="77777777" w:rsidR="00A06F97" w:rsidRPr="004A0A8E" w:rsidRDefault="00A06F97" w:rsidP="00E15FCF">
            <w:pPr>
              <w:rPr>
                <w:rFonts w:ascii="Aptos Narrow" w:hAnsi="Aptos Narrow"/>
                <w:iCs/>
                <w:noProof/>
                <w:color w:val="000000"/>
                <w:sz w:val="18"/>
                <w:szCs w:val="18"/>
              </w:rPr>
            </w:pPr>
            <w:r w:rsidRPr="00F249C9">
              <w:rPr>
                <w:rFonts w:ascii="Aptos Narrow" w:hAnsi="Aptos Narrow"/>
                <w:noProof/>
                <w:color w:val="000000"/>
                <w:sz w:val="18"/>
              </w:rPr>
              <w:t>60</w:t>
            </w:r>
            <w:r>
              <w:rPr>
                <w:rFonts w:ascii="Aptos Narrow" w:hAnsi="Aptos Narrow"/>
                <w:noProof/>
                <w:color w:val="000000"/>
                <w:sz w:val="18"/>
              </w:rPr>
              <w:t>,</w:t>
            </w:r>
            <w:r w:rsidRPr="00F249C9">
              <w:rPr>
                <w:rFonts w:ascii="Aptos Narrow" w:hAnsi="Aptos Narrow"/>
                <w:noProof/>
                <w:color w:val="000000"/>
                <w:sz w:val="18"/>
              </w:rPr>
              <w:t>07</w:t>
            </w:r>
          </w:p>
        </w:tc>
        <w:tc>
          <w:tcPr>
            <w:tcW w:w="2128" w:type="dxa"/>
            <w:shd w:val="clear" w:color="auto" w:fill="F2F2F2" w:themeFill="background1" w:themeFillShade="F2"/>
            <w:vAlign w:val="bottom"/>
          </w:tcPr>
          <w:p w14:paraId="457CC4EA" w14:textId="77777777" w:rsidR="00A06F97" w:rsidRPr="004A0A8E" w:rsidRDefault="00A06F97" w:rsidP="00E15FCF">
            <w:pPr>
              <w:rPr>
                <w:iCs/>
                <w:noProof/>
                <w:sz w:val="18"/>
                <w:szCs w:val="18"/>
              </w:rPr>
            </w:pPr>
            <w:r>
              <w:rPr>
                <w:rFonts w:ascii="Aptos Narrow" w:hAnsi="Aptos Narrow"/>
                <w:noProof/>
                <w:color w:val="000000"/>
                <w:sz w:val="18"/>
              </w:rPr>
              <w:t>Nu există date</w:t>
            </w:r>
          </w:p>
        </w:tc>
        <w:tc>
          <w:tcPr>
            <w:tcW w:w="3676" w:type="dxa"/>
            <w:shd w:val="clear" w:color="auto" w:fill="F4B083" w:themeFill="accent2" w:themeFillTint="99"/>
            <w:vAlign w:val="bottom"/>
          </w:tcPr>
          <w:p w14:paraId="5E9B2C42" w14:textId="77777777" w:rsidR="00A06F97" w:rsidRPr="004A0A8E" w:rsidRDefault="00A06F97" w:rsidP="00E15FCF">
            <w:pPr>
              <w:rPr>
                <w:iCs/>
                <w:noProof/>
                <w:sz w:val="18"/>
                <w:szCs w:val="18"/>
              </w:rPr>
            </w:pPr>
            <w:r>
              <w:rPr>
                <w:rFonts w:ascii="Aptos Narrow" w:hAnsi="Aptos Narrow"/>
                <w:noProof/>
                <w:color w:val="000000"/>
                <w:sz w:val="18"/>
              </w:rPr>
              <w:t>Nu</w:t>
            </w:r>
          </w:p>
        </w:tc>
      </w:tr>
      <w:tr w:rsidR="00A06F97" w:rsidRPr="004A0A8E" w14:paraId="32B9B385" w14:textId="77777777" w:rsidTr="00E15FCF">
        <w:tc>
          <w:tcPr>
            <w:tcW w:w="1555" w:type="dxa"/>
            <w:shd w:val="clear" w:color="auto" w:fill="F2F2F2" w:themeFill="background1" w:themeFillShade="F2"/>
            <w:vAlign w:val="bottom"/>
          </w:tcPr>
          <w:p w14:paraId="7F8904AE"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Letonia</w:t>
            </w:r>
          </w:p>
        </w:tc>
        <w:tc>
          <w:tcPr>
            <w:tcW w:w="1555" w:type="dxa"/>
            <w:shd w:val="clear" w:color="auto" w:fill="F2F2F2" w:themeFill="background1" w:themeFillShade="F2"/>
            <w:vAlign w:val="bottom"/>
          </w:tcPr>
          <w:p w14:paraId="46857223" w14:textId="77777777" w:rsidR="00A06F97" w:rsidRPr="004A0A8E" w:rsidRDefault="00A06F97" w:rsidP="00E15FCF">
            <w:pPr>
              <w:rPr>
                <w:rFonts w:ascii="Aptos Narrow" w:hAnsi="Aptos Narrow"/>
                <w:iCs/>
                <w:noProof/>
                <w:color w:val="000000"/>
                <w:sz w:val="18"/>
                <w:szCs w:val="18"/>
              </w:rPr>
            </w:pPr>
            <w:r w:rsidRPr="00F249C9">
              <w:rPr>
                <w:rFonts w:ascii="Aptos Narrow" w:hAnsi="Aptos Narrow"/>
                <w:noProof/>
                <w:color w:val="000000"/>
                <w:sz w:val="18"/>
              </w:rPr>
              <w:t>56</w:t>
            </w:r>
            <w:r>
              <w:rPr>
                <w:rFonts w:ascii="Aptos Narrow" w:hAnsi="Aptos Narrow"/>
                <w:noProof/>
                <w:color w:val="000000"/>
                <w:sz w:val="18"/>
              </w:rPr>
              <w:t>,</w:t>
            </w:r>
            <w:r w:rsidRPr="00F249C9">
              <w:rPr>
                <w:rFonts w:ascii="Aptos Narrow" w:hAnsi="Aptos Narrow"/>
                <w:noProof/>
                <w:color w:val="000000"/>
                <w:sz w:val="18"/>
              </w:rPr>
              <w:t>84</w:t>
            </w:r>
          </w:p>
        </w:tc>
        <w:tc>
          <w:tcPr>
            <w:tcW w:w="2128" w:type="dxa"/>
            <w:shd w:val="clear" w:color="auto" w:fill="F2F2F2" w:themeFill="background1" w:themeFillShade="F2"/>
          </w:tcPr>
          <w:p w14:paraId="08787AEA" w14:textId="77777777" w:rsidR="00A06F97" w:rsidRPr="004A0A8E" w:rsidRDefault="00A06F97" w:rsidP="00E15FCF">
            <w:pPr>
              <w:rPr>
                <w:iCs/>
                <w:noProof/>
                <w:sz w:val="18"/>
                <w:szCs w:val="18"/>
              </w:rPr>
            </w:pPr>
            <w:r>
              <w:rPr>
                <w:rFonts w:ascii="Aptos Narrow" w:hAnsi="Aptos Narrow"/>
                <w:noProof/>
                <w:color w:val="000000"/>
                <w:sz w:val="18"/>
              </w:rPr>
              <w:t>Nu (REP)</w:t>
            </w:r>
          </w:p>
        </w:tc>
        <w:tc>
          <w:tcPr>
            <w:tcW w:w="3676" w:type="dxa"/>
            <w:shd w:val="clear" w:color="auto" w:fill="FBE4D5" w:themeFill="accent2" w:themeFillTint="33"/>
            <w:vAlign w:val="bottom"/>
          </w:tcPr>
          <w:p w14:paraId="11102074" w14:textId="77777777" w:rsidR="00A06F97" w:rsidRPr="004A0A8E" w:rsidRDefault="00A06F97" w:rsidP="00E15FCF">
            <w:pPr>
              <w:rPr>
                <w:iCs/>
                <w:noProof/>
                <w:sz w:val="18"/>
                <w:szCs w:val="18"/>
              </w:rPr>
            </w:pPr>
            <w:r>
              <w:rPr>
                <w:rFonts w:ascii="Aptos Narrow" w:hAnsi="Aptos Narrow"/>
                <w:noProof/>
                <w:color w:val="000000"/>
                <w:sz w:val="18"/>
              </w:rPr>
              <w:t xml:space="preserve">SGR extins în </w:t>
            </w:r>
            <w:r w:rsidRPr="00F249C9">
              <w:rPr>
                <w:rFonts w:ascii="Aptos Narrow" w:hAnsi="Aptos Narrow"/>
                <w:noProof/>
                <w:color w:val="000000"/>
                <w:sz w:val="18"/>
              </w:rPr>
              <w:t>2023</w:t>
            </w:r>
          </w:p>
        </w:tc>
      </w:tr>
      <w:tr w:rsidR="00A06F97" w:rsidRPr="004A0A8E" w14:paraId="58DDCEE6" w14:textId="77777777" w:rsidTr="00E15FCF">
        <w:tc>
          <w:tcPr>
            <w:tcW w:w="1555" w:type="dxa"/>
            <w:shd w:val="clear" w:color="auto" w:fill="F2F2F2" w:themeFill="background1" w:themeFillShade="F2"/>
            <w:vAlign w:val="bottom"/>
          </w:tcPr>
          <w:p w14:paraId="1928C3B2"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Franța</w:t>
            </w:r>
          </w:p>
        </w:tc>
        <w:tc>
          <w:tcPr>
            <w:tcW w:w="1555" w:type="dxa"/>
            <w:shd w:val="clear" w:color="auto" w:fill="F2F2F2" w:themeFill="background1" w:themeFillShade="F2"/>
            <w:vAlign w:val="bottom"/>
          </w:tcPr>
          <w:p w14:paraId="4BE836FD" w14:textId="77777777" w:rsidR="00A06F97" w:rsidRPr="004A0A8E" w:rsidRDefault="00A06F97" w:rsidP="00E15FCF">
            <w:pPr>
              <w:rPr>
                <w:rFonts w:ascii="Aptos Narrow" w:hAnsi="Aptos Narrow"/>
                <w:iCs/>
                <w:noProof/>
                <w:color w:val="000000"/>
                <w:sz w:val="18"/>
                <w:szCs w:val="18"/>
              </w:rPr>
            </w:pPr>
            <w:r w:rsidRPr="00F249C9">
              <w:rPr>
                <w:rFonts w:ascii="Aptos Narrow" w:hAnsi="Aptos Narrow"/>
                <w:noProof/>
                <w:color w:val="000000"/>
                <w:sz w:val="18"/>
              </w:rPr>
              <w:t>53</w:t>
            </w:r>
            <w:r>
              <w:rPr>
                <w:rFonts w:ascii="Aptos Narrow" w:hAnsi="Aptos Narrow"/>
                <w:noProof/>
                <w:color w:val="000000"/>
                <w:sz w:val="18"/>
              </w:rPr>
              <w:t>,</w:t>
            </w:r>
            <w:r w:rsidRPr="00F249C9">
              <w:rPr>
                <w:rFonts w:ascii="Aptos Narrow" w:hAnsi="Aptos Narrow"/>
                <w:noProof/>
                <w:color w:val="000000"/>
                <w:sz w:val="18"/>
              </w:rPr>
              <w:t>28</w:t>
            </w:r>
          </w:p>
        </w:tc>
        <w:tc>
          <w:tcPr>
            <w:tcW w:w="2128" w:type="dxa"/>
            <w:shd w:val="clear" w:color="auto" w:fill="F2F2F2" w:themeFill="background1" w:themeFillShade="F2"/>
          </w:tcPr>
          <w:p w14:paraId="26927203" w14:textId="77777777" w:rsidR="00A06F97" w:rsidRPr="004A0A8E" w:rsidRDefault="00A06F97" w:rsidP="00E15FCF">
            <w:pPr>
              <w:rPr>
                <w:iCs/>
                <w:noProof/>
                <w:sz w:val="18"/>
                <w:szCs w:val="18"/>
              </w:rPr>
            </w:pPr>
            <w:r>
              <w:rPr>
                <w:rFonts w:ascii="Aptos Narrow" w:hAnsi="Aptos Narrow"/>
                <w:noProof/>
                <w:color w:val="000000"/>
                <w:sz w:val="18"/>
              </w:rPr>
              <w:t>Nu (REP)</w:t>
            </w:r>
          </w:p>
        </w:tc>
        <w:tc>
          <w:tcPr>
            <w:tcW w:w="3676" w:type="dxa"/>
            <w:shd w:val="clear" w:color="auto" w:fill="FBE4D5" w:themeFill="accent2" w:themeFillTint="33"/>
            <w:vAlign w:val="bottom"/>
          </w:tcPr>
          <w:p w14:paraId="5B2C985B" w14:textId="77777777" w:rsidR="00A06F97" w:rsidRPr="004A0A8E" w:rsidRDefault="00A06F97" w:rsidP="00E15FCF">
            <w:pPr>
              <w:rPr>
                <w:iCs/>
                <w:noProof/>
                <w:sz w:val="18"/>
                <w:szCs w:val="18"/>
              </w:rPr>
            </w:pPr>
            <w:r>
              <w:rPr>
                <w:rFonts w:ascii="Aptos Narrow" w:hAnsi="Aptos Narrow"/>
                <w:noProof/>
                <w:color w:val="000000"/>
                <w:sz w:val="18"/>
              </w:rPr>
              <w:t>SGR în discuție</w:t>
            </w:r>
          </w:p>
        </w:tc>
      </w:tr>
      <w:tr w:rsidR="00A06F97" w:rsidRPr="004A0A8E" w14:paraId="70660677" w14:textId="77777777" w:rsidTr="00E15FCF">
        <w:tc>
          <w:tcPr>
            <w:tcW w:w="1555" w:type="dxa"/>
            <w:shd w:val="clear" w:color="auto" w:fill="F2F2F2" w:themeFill="background1" w:themeFillShade="F2"/>
            <w:vAlign w:val="bottom"/>
          </w:tcPr>
          <w:p w14:paraId="5057205A"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Irlanda</w:t>
            </w:r>
          </w:p>
        </w:tc>
        <w:tc>
          <w:tcPr>
            <w:tcW w:w="1555" w:type="dxa"/>
            <w:shd w:val="clear" w:color="auto" w:fill="F2F2F2" w:themeFill="background1" w:themeFillShade="F2"/>
            <w:vAlign w:val="bottom"/>
          </w:tcPr>
          <w:p w14:paraId="3980EB85" w14:textId="77777777" w:rsidR="00A06F97" w:rsidRPr="004A0A8E" w:rsidRDefault="00A06F97" w:rsidP="00E15FCF">
            <w:pPr>
              <w:rPr>
                <w:rFonts w:ascii="Aptos Narrow" w:hAnsi="Aptos Narrow"/>
                <w:iCs/>
                <w:noProof/>
                <w:color w:val="000000"/>
                <w:sz w:val="18"/>
                <w:szCs w:val="18"/>
              </w:rPr>
            </w:pPr>
            <w:r w:rsidRPr="00F249C9">
              <w:rPr>
                <w:rFonts w:ascii="Aptos Narrow" w:hAnsi="Aptos Narrow"/>
                <w:noProof/>
                <w:color w:val="000000"/>
                <w:sz w:val="18"/>
              </w:rPr>
              <w:t>48</w:t>
            </w:r>
            <w:r>
              <w:rPr>
                <w:rFonts w:ascii="Aptos Narrow" w:hAnsi="Aptos Narrow"/>
                <w:noProof/>
                <w:color w:val="000000"/>
                <w:sz w:val="18"/>
              </w:rPr>
              <w:t>,</w:t>
            </w:r>
            <w:r w:rsidRPr="00F249C9">
              <w:rPr>
                <w:rFonts w:ascii="Aptos Narrow" w:hAnsi="Aptos Narrow"/>
                <w:noProof/>
                <w:color w:val="000000"/>
                <w:sz w:val="18"/>
              </w:rPr>
              <w:t>66</w:t>
            </w:r>
          </w:p>
        </w:tc>
        <w:tc>
          <w:tcPr>
            <w:tcW w:w="2128" w:type="dxa"/>
            <w:shd w:val="clear" w:color="auto" w:fill="F2F2F2" w:themeFill="background1" w:themeFillShade="F2"/>
            <w:vAlign w:val="bottom"/>
          </w:tcPr>
          <w:p w14:paraId="21D82A74" w14:textId="77777777" w:rsidR="00A06F97" w:rsidRPr="004A0A8E" w:rsidRDefault="00A06F97" w:rsidP="00E15FCF">
            <w:pPr>
              <w:rPr>
                <w:iCs/>
                <w:noProof/>
                <w:sz w:val="18"/>
                <w:szCs w:val="18"/>
              </w:rPr>
            </w:pPr>
            <w:r>
              <w:rPr>
                <w:rFonts w:ascii="Aptos Narrow" w:hAnsi="Aptos Narrow"/>
                <w:noProof/>
                <w:color w:val="000000"/>
                <w:sz w:val="18"/>
              </w:rPr>
              <w:t>Fără SGR</w:t>
            </w:r>
          </w:p>
        </w:tc>
        <w:tc>
          <w:tcPr>
            <w:tcW w:w="3676" w:type="dxa"/>
            <w:shd w:val="clear" w:color="auto" w:fill="FBE4D5" w:themeFill="accent2" w:themeFillTint="33"/>
            <w:vAlign w:val="bottom"/>
          </w:tcPr>
          <w:p w14:paraId="7CE17582" w14:textId="77777777" w:rsidR="00A06F97" w:rsidRPr="004A0A8E" w:rsidRDefault="00A06F97" w:rsidP="00E15FCF">
            <w:pPr>
              <w:rPr>
                <w:iCs/>
                <w:noProof/>
                <w:sz w:val="18"/>
                <w:szCs w:val="18"/>
              </w:rPr>
            </w:pPr>
            <w:r>
              <w:rPr>
                <w:rFonts w:ascii="Aptos Narrow" w:hAnsi="Aptos Narrow"/>
                <w:noProof/>
                <w:color w:val="000000"/>
                <w:sz w:val="18"/>
              </w:rPr>
              <w:t xml:space="preserve">SGR instituit în </w:t>
            </w:r>
            <w:r w:rsidRPr="00F249C9">
              <w:rPr>
                <w:rFonts w:ascii="Aptos Narrow" w:hAnsi="Aptos Narrow"/>
                <w:noProof/>
                <w:color w:val="000000"/>
                <w:sz w:val="18"/>
              </w:rPr>
              <w:t>2024</w:t>
            </w:r>
          </w:p>
        </w:tc>
      </w:tr>
      <w:tr w:rsidR="00A06F97" w:rsidRPr="004A0A8E" w14:paraId="415F9BE0" w14:textId="77777777" w:rsidTr="00E15FCF">
        <w:tc>
          <w:tcPr>
            <w:tcW w:w="1555" w:type="dxa"/>
            <w:shd w:val="clear" w:color="auto" w:fill="F2F2F2" w:themeFill="background1" w:themeFillShade="F2"/>
            <w:vAlign w:val="bottom"/>
          </w:tcPr>
          <w:p w14:paraId="15130862"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Cipru</w:t>
            </w:r>
          </w:p>
        </w:tc>
        <w:tc>
          <w:tcPr>
            <w:tcW w:w="1555" w:type="dxa"/>
            <w:shd w:val="clear" w:color="auto" w:fill="F2F2F2" w:themeFill="background1" w:themeFillShade="F2"/>
            <w:vAlign w:val="bottom"/>
          </w:tcPr>
          <w:p w14:paraId="1635428A" w14:textId="77777777" w:rsidR="00A06F97" w:rsidRPr="004A0A8E" w:rsidRDefault="00A06F97" w:rsidP="00E15FCF">
            <w:pPr>
              <w:rPr>
                <w:rFonts w:ascii="Aptos Narrow" w:hAnsi="Aptos Narrow"/>
                <w:iCs/>
                <w:noProof/>
                <w:color w:val="000000"/>
                <w:sz w:val="18"/>
                <w:szCs w:val="18"/>
              </w:rPr>
            </w:pPr>
            <w:r w:rsidRPr="00F249C9">
              <w:rPr>
                <w:rFonts w:ascii="Aptos Narrow" w:hAnsi="Aptos Narrow"/>
                <w:noProof/>
                <w:color w:val="000000"/>
                <w:sz w:val="18"/>
              </w:rPr>
              <w:t>45</w:t>
            </w:r>
            <w:r>
              <w:rPr>
                <w:rFonts w:ascii="Aptos Narrow" w:hAnsi="Aptos Narrow"/>
                <w:noProof/>
                <w:color w:val="000000"/>
                <w:sz w:val="18"/>
              </w:rPr>
              <w:t>,</w:t>
            </w:r>
            <w:r w:rsidRPr="00F249C9">
              <w:rPr>
                <w:rFonts w:ascii="Aptos Narrow" w:hAnsi="Aptos Narrow"/>
                <w:noProof/>
                <w:color w:val="000000"/>
                <w:sz w:val="18"/>
              </w:rPr>
              <w:t>62</w:t>
            </w:r>
          </w:p>
        </w:tc>
        <w:tc>
          <w:tcPr>
            <w:tcW w:w="2128" w:type="dxa"/>
            <w:shd w:val="clear" w:color="auto" w:fill="F2F2F2" w:themeFill="background1" w:themeFillShade="F2"/>
            <w:vAlign w:val="bottom"/>
          </w:tcPr>
          <w:p w14:paraId="14465EAF" w14:textId="77777777" w:rsidR="00A06F97" w:rsidRPr="004A0A8E" w:rsidRDefault="00A06F97" w:rsidP="00E15FCF">
            <w:pPr>
              <w:rPr>
                <w:iCs/>
                <w:noProof/>
                <w:sz w:val="18"/>
                <w:szCs w:val="18"/>
              </w:rPr>
            </w:pPr>
            <w:r>
              <w:rPr>
                <w:rFonts w:ascii="Aptos Narrow" w:hAnsi="Aptos Narrow"/>
                <w:noProof/>
                <w:color w:val="000000"/>
                <w:sz w:val="18"/>
              </w:rPr>
              <w:t>Nu (REP)</w:t>
            </w:r>
          </w:p>
        </w:tc>
        <w:tc>
          <w:tcPr>
            <w:tcW w:w="3676" w:type="dxa"/>
            <w:shd w:val="clear" w:color="auto" w:fill="FBE4D5" w:themeFill="accent2" w:themeFillTint="33"/>
            <w:vAlign w:val="bottom"/>
          </w:tcPr>
          <w:p w14:paraId="6AAB1C0A" w14:textId="77777777" w:rsidR="00A06F97" w:rsidRPr="004A0A8E" w:rsidRDefault="00A06F97" w:rsidP="00E15FCF">
            <w:pPr>
              <w:rPr>
                <w:iCs/>
                <w:noProof/>
                <w:sz w:val="18"/>
                <w:szCs w:val="18"/>
              </w:rPr>
            </w:pPr>
            <w:r>
              <w:rPr>
                <w:rFonts w:ascii="Aptos Narrow" w:hAnsi="Aptos Narrow"/>
                <w:noProof/>
                <w:color w:val="000000"/>
                <w:sz w:val="18"/>
              </w:rPr>
              <w:t>SGR în curs de instituire</w:t>
            </w:r>
          </w:p>
        </w:tc>
      </w:tr>
      <w:tr w:rsidR="00A06F97" w:rsidRPr="004A0A8E" w14:paraId="098066ED" w14:textId="77777777" w:rsidTr="00E15FCF">
        <w:tc>
          <w:tcPr>
            <w:tcW w:w="1555" w:type="dxa"/>
            <w:shd w:val="clear" w:color="auto" w:fill="F2F2F2" w:themeFill="background1" w:themeFillShade="F2"/>
            <w:vAlign w:val="bottom"/>
          </w:tcPr>
          <w:p w14:paraId="0BEBBDF7"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Portugalia</w:t>
            </w:r>
          </w:p>
        </w:tc>
        <w:tc>
          <w:tcPr>
            <w:tcW w:w="1555" w:type="dxa"/>
            <w:shd w:val="clear" w:color="auto" w:fill="F2F2F2" w:themeFill="background1" w:themeFillShade="F2"/>
            <w:vAlign w:val="bottom"/>
          </w:tcPr>
          <w:p w14:paraId="6DE35B2F" w14:textId="77777777" w:rsidR="00A06F97" w:rsidRPr="004A0A8E" w:rsidRDefault="00A06F97" w:rsidP="00E15FCF">
            <w:pPr>
              <w:rPr>
                <w:rFonts w:ascii="Aptos Narrow" w:hAnsi="Aptos Narrow"/>
                <w:iCs/>
                <w:noProof/>
                <w:color w:val="000000"/>
                <w:sz w:val="18"/>
                <w:szCs w:val="18"/>
              </w:rPr>
            </w:pPr>
            <w:r w:rsidRPr="00F249C9">
              <w:rPr>
                <w:rFonts w:ascii="Aptos Narrow" w:hAnsi="Aptos Narrow"/>
                <w:noProof/>
                <w:color w:val="000000"/>
                <w:sz w:val="18"/>
              </w:rPr>
              <w:t>43</w:t>
            </w:r>
            <w:r>
              <w:rPr>
                <w:rFonts w:ascii="Aptos Narrow" w:hAnsi="Aptos Narrow"/>
                <w:noProof/>
                <w:color w:val="000000"/>
                <w:sz w:val="18"/>
              </w:rPr>
              <w:t>,</w:t>
            </w:r>
            <w:r w:rsidRPr="00F249C9">
              <w:rPr>
                <w:rFonts w:ascii="Aptos Narrow" w:hAnsi="Aptos Narrow"/>
                <w:noProof/>
                <w:color w:val="000000"/>
                <w:sz w:val="18"/>
              </w:rPr>
              <w:t>12</w:t>
            </w:r>
          </w:p>
        </w:tc>
        <w:tc>
          <w:tcPr>
            <w:tcW w:w="2128" w:type="dxa"/>
            <w:shd w:val="clear" w:color="auto" w:fill="F2F2F2" w:themeFill="background1" w:themeFillShade="F2"/>
            <w:vAlign w:val="bottom"/>
          </w:tcPr>
          <w:p w14:paraId="462E0B97" w14:textId="77777777" w:rsidR="00A06F97" w:rsidRPr="004A0A8E" w:rsidRDefault="00A06F97" w:rsidP="00E15FCF">
            <w:pPr>
              <w:rPr>
                <w:iCs/>
                <w:noProof/>
                <w:sz w:val="18"/>
                <w:szCs w:val="18"/>
              </w:rPr>
            </w:pPr>
            <w:r>
              <w:rPr>
                <w:noProof/>
                <w:sz w:val="18"/>
              </w:rPr>
              <w:t>Nespecificate</w:t>
            </w:r>
          </w:p>
        </w:tc>
        <w:tc>
          <w:tcPr>
            <w:tcW w:w="3676" w:type="dxa"/>
            <w:shd w:val="clear" w:color="auto" w:fill="FBE4D5" w:themeFill="accent2" w:themeFillTint="33"/>
            <w:vAlign w:val="bottom"/>
          </w:tcPr>
          <w:p w14:paraId="6F7F80E3" w14:textId="77777777" w:rsidR="00A06F97" w:rsidRPr="004A0A8E" w:rsidRDefault="00A06F97" w:rsidP="00E15FCF">
            <w:pPr>
              <w:rPr>
                <w:iCs/>
                <w:noProof/>
                <w:sz w:val="18"/>
                <w:szCs w:val="18"/>
              </w:rPr>
            </w:pPr>
            <w:r>
              <w:rPr>
                <w:rFonts w:ascii="Aptos Narrow" w:hAnsi="Aptos Narrow"/>
                <w:noProof/>
                <w:color w:val="000000"/>
                <w:sz w:val="18"/>
              </w:rPr>
              <w:t xml:space="preserve">SGR instituit în </w:t>
            </w:r>
            <w:r w:rsidRPr="00F249C9">
              <w:rPr>
                <w:rFonts w:ascii="Aptos Narrow" w:hAnsi="Aptos Narrow"/>
                <w:noProof/>
                <w:color w:val="000000"/>
                <w:sz w:val="18"/>
              </w:rPr>
              <w:t>2024</w:t>
            </w:r>
          </w:p>
        </w:tc>
      </w:tr>
      <w:tr w:rsidR="00A06F97" w:rsidRPr="004A0A8E" w14:paraId="68AD2810" w14:textId="77777777" w:rsidTr="00E15FCF">
        <w:tc>
          <w:tcPr>
            <w:tcW w:w="1555" w:type="dxa"/>
            <w:shd w:val="clear" w:color="auto" w:fill="F2F2F2" w:themeFill="background1" w:themeFillShade="F2"/>
            <w:vAlign w:val="bottom"/>
          </w:tcPr>
          <w:p w14:paraId="1DF9394A"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Spania</w:t>
            </w:r>
          </w:p>
        </w:tc>
        <w:tc>
          <w:tcPr>
            <w:tcW w:w="1555" w:type="dxa"/>
            <w:shd w:val="clear" w:color="auto" w:fill="F2F2F2" w:themeFill="background1" w:themeFillShade="F2"/>
            <w:vAlign w:val="bottom"/>
          </w:tcPr>
          <w:p w14:paraId="7D177F48" w14:textId="77777777" w:rsidR="00A06F97" w:rsidRPr="004A0A8E" w:rsidRDefault="00A06F97" w:rsidP="00E15FCF">
            <w:pPr>
              <w:rPr>
                <w:rFonts w:ascii="Aptos Narrow" w:hAnsi="Aptos Narrow"/>
                <w:iCs/>
                <w:noProof/>
                <w:color w:val="000000"/>
                <w:sz w:val="18"/>
                <w:szCs w:val="18"/>
              </w:rPr>
            </w:pPr>
            <w:r w:rsidRPr="00F249C9">
              <w:rPr>
                <w:rFonts w:ascii="Aptos Narrow" w:hAnsi="Aptos Narrow"/>
                <w:noProof/>
                <w:color w:val="000000"/>
                <w:sz w:val="18"/>
              </w:rPr>
              <w:t>39</w:t>
            </w:r>
            <w:r>
              <w:rPr>
                <w:rFonts w:ascii="Aptos Narrow" w:hAnsi="Aptos Narrow"/>
                <w:noProof/>
                <w:color w:val="000000"/>
                <w:sz w:val="18"/>
              </w:rPr>
              <w:t>,</w:t>
            </w:r>
            <w:r w:rsidRPr="00F249C9">
              <w:rPr>
                <w:rFonts w:ascii="Aptos Narrow" w:hAnsi="Aptos Narrow"/>
                <w:noProof/>
                <w:color w:val="000000"/>
                <w:sz w:val="18"/>
              </w:rPr>
              <w:t>52</w:t>
            </w:r>
          </w:p>
        </w:tc>
        <w:tc>
          <w:tcPr>
            <w:tcW w:w="2128" w:type="dxa"/>
            <w:shd w:val="clear" w:color="auto" w:fill="F2F2F2" w:themeFill="background1" w:themeFillShade="F2"/>
            <w:vAlign w:val="bottom"/>
          </w:tcPr>
          <w:p w14:paraId="097ADE3A" w14:textId="77777777" w:rsidR="00A06F97" w:rsidRPr="004A0A8E" w:rsidRDefault="00A06F97" w:rsidP="00E15FCF">
            <w:pPr>
              <w:rPr>
                <w:iCs/>
                <w:noProof/>
                <w:sz w:val="18"/>
                <w:szCs w:val="18"/>
              </w:rPr>
            </w:pPr>
            <w:r>
              <w:rPr>
                <w:noProof/>
                <w:sz w:val="18"/>
              </w:rPr>
              <w:t>Nu</w:t>
            </w:r>
          </w:p>
        </w:tc>
        <w:tc>
          <w:tcPr>
            <w:tcW w:w="3676" w:type="dxa"/>
            <w:shd w:val="clear" w:color="auto" w:fill="F4B083" w:themeFill="accent2" w:themeFillTint="99"/>
            <w:vAlign w:val="bottom"/>
          </w:tcPr>
          <w:p w14:paraId="49AC0E4B" w14:textId="77777777" w:rsidR="00A06F97" w:rsidRPr="004A0A8E" w:rsidRDefault="00A06F97" w:rsidP="00E15FCF">
            <w:pPr>
              <w:rPr>
                <w:iCs/>
                <w:noProof/>
                <w:sz w:val="18"/>
                <w:szCs w:val="18"/>
              </w:rPr>
            </w:pPr>
            <w:r>
              <w:rPr>
                <w:rFonts w:ascii="Aptos Narrow" w:hAnsi="Aptos Narrow"/>
                <w:noProof/>
                <w:color w:val="000000"/>
                <w:sz w:val="18"/>
              </w:rPr>
              <w:t>Nu</w:t>
            </w:r>
          </w:p>
        </w:tc>
      </w:tr>
      <w:tr w:rsidR="00A06F97" w:rsidRPr="004A0A8E" w14:paraId="3AFB57A4" w14:textId="77777777" w:rsidTr="00E15FCF">
        <w:tc>
          <w:tcPr>
            <w:tcW w:w="1555" w:type="dxa"/>
            <w:shd w:val="clear" w:color="auto" w:fill="F2F2F2" w:themeFill="background1" w:themeFillShade="F2"/>
            <w:vAlign w:val="bottom"/>
          </w:tcPr>
          <w:p w14:paraId="55E6DF54"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Grecia</w:t>
            </w:r>
          </w:p>
        </w:tc>
        <w:tc>
          <w:tcPr>
            <w:tcW w:w="1555" w:type="dxa"/>
            <w:shd w:val="clear" w:color="auto" w:fill="F2F2F2" w:themeFill="background1" w:themeFillShade="F2"/>
            <w:vAlign w:val="bottom"/>
          </w:tcPr>
          <w:p w14:paraId="15127A7A" w14:textId="77777777" w:rsidR="00A06F97" w:rsidRPr="004A0A8E" w:rsidRDefault="00A06F97" w:rsidP="00E15FCF">
            <w:pPr>
              <w:rPr>
                <w:rFonts w:ascii="Aptos Narrow" w:hAnsi="Aptos Narrow"/>
                <w:iCs/>
                <w:noProof/>
                <w:color w:val="000000"/>
                <w:sz w:val="18"/>
                <w:szCs w:val="18"/>
              </w:rPr>
            </w:pPr>
            <w:r w:rsidRPr="00F249C9">
              <w:rPr>
                <w:rFonts w:ascii="Aptos Narrow" w:hAnsi="Aptos Narrow"/>
                <w:noProof/>
                <w:color w:val="000000"/>
                <w:sz w:val="18"/>
              </w:rPr>
              <w:t>38</w:t>
            </w:r>
            <w:r>
              <w:rPr>
                <w:rFonts w:ascii="Aptos Narrow" w:hAnsi="Aptos Narrow"/>
                <w:noProof/>
                <w:color w:val="000000"/>
                <w:sz w:val="18"/>
              </w:rPr>
              <w:t>,</w:t>
            </w:r>
            <w:r w:rsidRPr="00F249C9">
              <w:rPr>
                <w:rFonts w:ascii="Aptos Narrow" w:hAnsi="Aptos Narrow"/>
                <w:noProof/>
                <w:color w:val="000000"/>
                <w:sz w:val="18"/>
              </w:rPr>
              <w:t>68</w:t>
            </w:r>
          </w:p>
        </w:tc>
        <w:tc>
          <w:tcPr>
            <w:tcW w:w="2128" w:type="dxa"/>
            <w:shd w:val="clear" w:color="auto" w:fill="F2F2F2" w:themeFill="background1" w:themeFillShade="F2"/>
            <w:vAlign w:val="bottom"/>
          </w:tcPr>
          <w:p w14:paraId="00F14F73" w14:textId="77777777" w:rsidR="00A06F97" w:rsidRPr="004A0A8E" w:rsidRDefault="00A06F97" w:rsidP="00E15FCF">
            <w:pPr>
              <w:rPr>
                <w:iCs/>
                <w:noProof/>
                <w:sz w:val="18"/>
                <w:szCs w:val="18"/>
              </w:rPr>
            </w:pPr>
            <w:r>
              <w:rPr>
                <w:rFonts w:ascii="Aptos Narrow" w:hAnsi="Aptos Narrow"/>
                <w:noProof/>
                <w:color w:val="000000"/>
                <w:sz w:val="18"/>
              </w:rPr>
              <w:t>Nu</w:t>
            </w:r>
          </w:p>
        </w:tc>
        <w:tc>
          <w:tcPr>
            <w:tcW w:w="3676" w:type="dxa"/>
            <w:shd w:val="clear" w:color="auto" w:fill="FBE4D5" w:themeFill="accent2" w:themeFillTint="33"/>
            <w:vAlign w:val="bottom"/>
          </w:tcPr>
          <w:p w14:paraId="448199F0" w14:textId="77777777" w:rsidR="00A06F97" w:rsidRPr="004A0A8E" w:rsidRDefault="00A06F97" w:rsidP="00E15FCF">
            <w:pPr>
              <w:rPr>
                <w:iCs/>
                <w:noProof/>
                <w:sz w:val="18"/>
                <w:szCs w:val="18"/>
              </w:rPr>
            </w:pPr>
            <w:r>
              <w:rPr>
                <w:rFonts w:ascii="Aptos Narrow" w:hAnsi="Aptos Narrow"/>
                <w:noProof/>
                <w:color w:val="000000"/>
                <w:sz w:val="18"/>
              </w:rPr>
              <w:t xml:space="preserve">SGR planificat, dar amânat pentru </w:t>
            </w:r>
            <w:r w:rsidRPr="00F249C9">
              <w:rPr>
                <w:rFonts w:ascii="Aptos Narrow" w:hAnsi="Aptos Narrow"/>
                <w:noProof/>
                <w:color w:val="000000"/>
                <w:sz w:val="18"/>
              </w:rPr>
              <w:t>2025</w:t>
            </w:r>
          </w:p>
        </w:tc>
      </w:tr>
      <w:tr w:rsidR="00A06F97" w:rsidRPr="004A0A8E" w14:paraId="603716E7" w14:textId="77777777" w:rsidTr="00E15FCF">
        <w:tc>
          <w:tcPr>
            <w:tcW w:w="1555" w:type="dxa"/>
            <w:shd w:val="clear" w:color="auto" w:fill="F2F2F2" w:themeFill="background1" w:themeFillShade="F2"/>
            <w:vAlign w:val="bottom"/>
          </w:tcPr>
          <w:p w14:paraId="575E1082"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Bulgaria</w:t>
            </w:r>
          </w:p>
        </w:tc>
        <w:tc>
          <w:tcPr>
            <w:tcW w:w="1555" w:type="dxa"/>
            <w:shd w:val="clear" w:color="auto" w:fill="F2F2F2" w:themeFill="background1" w:themeFillShade="F2"/>
            <w:vAlign w:val="bottom"/>
          </w:tcPr>
          <w:p w14:paraId="4EAC3493" w14:textId="77777777" w:rsidR="00A06F97" w:rsidRPr="004A0A8E" w:rsidRDefault="00A06F97" w:rsidP="00E15FCF">
            <w:pPr>
              <w:rPr>
                <w:rFonts w:ascii="Aptos Narrow" w:hAnsi="Aptos Narrow"/>
                <w:noProof/>
                <w:color w:val="000000"/>
                <w:sz w:val="18"/>
                <w:szCs w:val="18"/>
              </w:rPr>
            </w:pPr>
            <w:r w:rsidRPr="00F249C9">
              <w:rPr>
                <w:rFonts w:ascii="Aptos Narrow" w:hAnsi="Aptos Narrow"/>
                <w:noProof/>
                <w:color w:val="000000"/>
                <w:sz w:val="18"/>
              </w:rPr>
              <w:t>38</w:t>
            </w:r>
            <w:r>
              <w:rPr>
                <w:rFonts w:ascii="Aptos Narrow" w:hAnsi="Aptos Narrow"/>
                <w:noProof/>
                <w:color w:val="000000"/>
                <w:sz w:val="18"/>
              </w:rPr>
              <w:t>,</w:t>
            </w:r>
            <w:r w:rsidRPr="00F249C9">
              <w:rPr>
                <w:rFonts w:ascii="Aptos Narrow" w:hAnsi="Aptos Narrow"/>
                <w:noProof/>
                <w:color w:val="000000"/>
                <w:sz w:val="18"/>
              </w:rPr>
              <w:t>21</w:t>
            </w:r>
          </w:p>
        </w:tc>
        <w:tc>
          <w:tcPr>
            <w:tcW w:w="2128" w:type="dxa"/>
            <w:shd w:val="clear" w:color="auto" w:fill="F2F2F2" w:themeFill="background1" w:themeFillShade="F2"/>
            <w:vAlign w:val="bottom"/>
          </w:tcPr>
          <w:p w14:paraId="3F69D414"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Nespecificate</w:t>
            </w:r>
          </w:p>
        </w:tc>
        <w:tc>
          <w:tcPr>
            <w:tcW w:w="3676" w:type="dxa"/>
            <w:shd w:val="clear" w:color="auto" w:fill="F4B083" w:themeFill="accent2" w:themeFillTint="99"/>
            <w:vAlign w:val="bottom"/>
          </w:tcPr>
          <w:p w14:paraId="59F9D396"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 xml:space="preserve">Nu </w:t>
            </w:r>
          </w:p>
        </w:tc>
      </w:tr>
      <w:tr w:rsidR="00A06F97" w:rsidRPr="004A0A8E" w14:paraId="4C9B3C44" w14:textId="77777777" w:rsidTr="00E15FCF">
        <w:tc>
          <w:tcPr>
            <w:tcW w:w="1555" w:type="dxa"/>
            <w:shd w:val="clear" w:color="auto" w:fill="F2F2F2" w:themeFill="background1" w:themeFillShade="F2"/>
            <w:vAlign w:val="bottom"/>
          </w:tcPr>
          <w:p w14:paraId="3C768DF6"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Malta</w:t>
            </w:r>
          </w:p>
        </w:tc>
        <w:tc>
          <w:tcPr>
            <w:tcW w:w="1555" w:type="dxa"/>
            <w:shd w:val="clear" w:color="auto" w:fill="F2F2F2" w:themeFill="background1" w:themeFillShade="F2"/>
            <w:vAlign w:val="bottom"/>
          </w:tcPr>
          <w:p w14:paraId="2B30DB61" w14:textId="77777777" w:rsidR="00A06F97" w:rsidRPr="004A0A8E" w:rsidRDefault="00A06F97" w:rsidP="00E15FCF">
            <w:pPr>
              <w:rPr>
                <w:rFonts w:ascii="Aptos Narrow" w:hAnsi="Aptos Narrow"/>
                <w:noProof/>
                <w:color w:val="000000"/>
                <w:sz w:val="18"/>
                <w:szCs w:val="18"/>
              </w:rPr>
            </w:pPr>
            <w:r w:rsidRPr="00F249C9">
              <w:rPr>
                <w:rFonts w:ascii="Aptos Narrow" w:hAnsi="Aptos Narrow"/>
                <w:noProof/>
                <w:color w:val="000000"/>
                <w:sz w:val="18"/>
              </w:rPr>
              <w:t>24</w:t>
            </w:r>
            <w:r>
              <w:rPr>
                <w:rFonts w:ascii="Aptos Narrow" w:hAnsi="Aptos Narrow"/>
                <w:noProof/>
                <w:color w:val="000000"/>
                <w:sz w:val="18"/>
              </w:rPr>
              <w:t>,</w:t>
            </w:r>
            <w:r w:rsidRPr="00F249C9">
              <w:rPr>
                <w:rFonts w:ascii="Aptos Narrow" w:hAnsi="Aptos Narrow"/>
                <w:noProof/>
                <w:color w:val="000000"/>
                <w:sz w:val="18"/>
              </w:rPr>
              <w:t>96</w:t>
            </w:r>
          </w:p>
        </w:tc>
        <w:tc>
          <w:tcPr>
            <w:tcW w:w="2128" w:type="dxa"/>
            <w:shd w:val="clear" w:color="auto" w:fill="F2F2F2" w:themeFill="background1" w:themeFillShade="F2"/>
            <w:vAlign w:val="bottom"/>
          </w:tcPr>
          <w:p w14:paraId="0C5CD6E2"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Nu</w:t>
            </w:r>
          </w:p>
        </w:tc>
        <w:tc>
          <w:tcPr>
            <w:tcW w:w="3676" w:type="dxa"/>
            <w:shd w:val="clear" w:color="auto" w:fill="FBE4D5" w:themeFill="accent2" w:themeFillTint="33"/>
            <w:vAlign w:val="bottom"/>
          </w:tcPr>
          <w:p w14:paraId="60AC49E2"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SGR planificat</w:t>
            </w:r>
          </w:p>
        </w:tc>
      </w:tr>
      <w:tr w:rsidR="00A06F97" w:rsidRPr="004A0A8E" w14:paraId="5B0A01F5" w14:textId="77777777" w:rsidTr="00E15FCF">
        <w:tc>
          <w:tcPr>
            <w:tcW w:w="1555" w:type="dxa"/>
            <w:shd w:val="clear" w:color="auto" w:fill="F2F2F2" w:themeFill="background1" w:themeFillShade="F2"/>
            <w:vAlign w:val="bottom"/>
          </w:tcPr>
          <w:p w14:paraId="7A63DC62"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Ungaria</w:t>
            </w:r>
          </w:p>
        </w:tc>
        <w:tc>
          <w:tcPr>
            <w:tcW w:w="1555" w:type="dxa"/>
            <w:shd w:val="clear" w:color="auto" w:fill="F2F2F2" w:themeFill="background1" w:themeFillShade="F2"/>
            <w:vAlign w:val="bottom"/>
          </w:tcPr>
          <w:p w14:paraId="640A9A14" w14:textId="77777777" w:rsidR="00A06F97" w:rsidRPr="004A0A8E" w:rsidRDefault="00A06F97" w:rsidP="00E15FCF">
            <w:pPr>
              <w:rPr>
                <w:rFonts w:ascii="Aptos Narrow" w:hAnsi="Aptos Narrow"/>
                <w:noProof/>
                <w:color w:val="000000"/>
                <w:sz w:val="18"/>
                <w:szCs w:val="18"/>
              </w:rPr>
            </w:pPr>
            <w:r w:rsidRPr="00F249C9">
              <w:rPr>
                <w:rFonts w:ascii="Aptos Narrow" w:hAnsi="Aptos Narrow"/>
                <w:noProof/>
                <w:color w:val="000000"/>
                <w:sz w:val="18"/>
              </w:rPr>
              <w:t>19</w:t>
            </w:r>
            <w:r>
              <w:rPr>
                <w:rFonts w:ascii="Aptos Narrow" w:hAnsi="Aptos Narrow"/>
                <w:noProof/>
                <w:color w:val="000000"/>
                <w:sz w:val="18"/>
              </w:rPr>
              <w:t>,</w:t>
            </w:r>
            <w:r w:rsidRPr="00F249C9">
              <w:rPr>
                <w:rFonts w:ascii="Aptos Narrow" w:hAnsi="Aptos Narrow"/>
                <w:noProof/>
                <w:color w:val="000000"/>
                <w:sz w:val="18"/>
              </w:rPr>
              <w:t>17</w:t>
            </w:r>
          </w:p>
        </w:tc>
        <w:tc>
          <w:tcPr>
            <w:tcW w:w="2128" w:type="dxa"/>
            <w:shd w:val="clear" w:color="auto" w:fill="F2F2F2" w:themeFill="background1" w:themeFillShade="F2"/>
            <w:vAlign w:val="bottom"/>
          </w:tcPr>
          <w:p w14:paraId="05C5E27C"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Nu</w:t>
            </w:r>
          </w:p>
        </w:tc>
        <w:tc>
          <w:tcPr>
            <w:tcW w:w="3676" w:type="dxa"/>
            <w:shd w:val="clear" w:color="auto" w:fill="FBE4D5" w:themeFill="accent2" w:themeFillTint="33"/>
            <w:vAlign w:val="bottom"/>
          </w:tcPr>
          <w:p w14:paraId="138E7422"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shd w:val="clear" w:color="auto" w:fill="FBE4D5" w:themeFill="accent2" w:themeFillTint="33"/>
              </w:rPr>
              <w:t>SGR</w:t>
            </w:r>
            <w:r>
              <w:rPr>
                <w:rFonts w:ascii="Aptos Narrow" w:hAnsi="Aptos Narrow"/>
                <w:noProof/>
                <w:color w:val="000000"/>
                <w:sz w:val="18"/>
              </w:rPr>
              <w:t xml:space="preserve"> inițiat în </w:t>
            </w:r>
            <w:r w:rsidRPr="00F249C9">
              <w:rPr>
                <w:rFonts w:ascii="Aptos Narrow" w:hAnsi="Aptos Narrow"/>
                <w:noProof/>
                <w:color w:val="000000"/>
                <w:sz w:val="18"/>
              </w:rPr>
              <w:t>2024</w:t>
            </w:r>
          </w:p>
        </w:tc>
      </w:tr>
      <w:tr w:rsidR="00A06F97" w:rsidRPr="004A0A8E" w14:paraId="3877AB5F" w14:textId="77777777" w:rsidTr="00E15FCF">
        <w:tc>
          <w:tcPr>
            <w:tcW w:w="1555" w:type="dxa"/>
            <w:shd w:val="clear" w:color="auto" w:fill="F2F2F2" w:themeFill="background1" w:themeFillShade="F2"/>
            <w:vAlign w:val="bottom"/>
          </w:tcPr>
          <w:p w14:paraId="29FA0A64"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Slovenia</w:t>
            </w:r>
          </w:p>
        </w:tc>
        <w:tc>
          <w:tcPr>
            <w:tcW w:w="1555" w:type="dxa"/>
            <w:shd w:val="clear" w:color="auto" w:fill="F2F2F2" w:themeFill="background1" w:themeFillShade="F2"/>
            <w:vAlign w:val="bottom"/>
          </w:tcPr>
          <w:p w14:paraId="786D77DD" w14:textId="77777777" w:rsidR="00A06F97" w:rsidRPr="004A0A8E" w:rsidRDefault="00A06F97" w:rsidP="00E15FCF">
            <w:pPr>
              <w:rPr>
                <w:rFonts w:ascii="Aptos Narrow" w:hAnsi="Aptos Narrow"/>
                <w:noProof/>
                <w:color w:val="000000"/>
                <w:sz w:val="18"/>
                <w:szCs w:val="18"/>
              </w:rPr>
            </w:pPr>
            <w:r>
              <w:rPr>
                <w:rFonts w:ascii="Aptos Narrow" w:hAnsi="Aptos Narrow"/>
                <w:noProof/>
                <w:color w:val="000000"/>
                <w:sz w:val="18"/>
              </w:rPr>
              <w:t>-</w:t>
            </w:r>
          </w:p>
        </w:tc>
        <w:tc>
          <w:tcPr>
            <w:tcW w:w="2128" w:type="dxa"/>
            <w:shd w:val="clear" w:color="auto" w:fill="F2F2F2" w:themeFill="background1" w:themeFillShade="F2"/>
            <w:vAlign w:val="bottom"/>
          </w:tcPr>
          <w:p w14:paraId="1A9C5BD0" w14:textId="77777777" w:rsidR="00A06F97" w:rsidRPr="004A0A8E" w:rsidRDefault="00A06F97" w:rsidP="00E15FCF">
            <w:pPr>
              <w:rPr>
                <w:rFonts w:ascii="Aptos Narrow" w:hAnsi="Aptos Narrow"/>
                <w:iCs/>
                <w:noProof/>
                <w:color w:val="000000"/>
                <w:sz w:val="18"/>
                <w:szCs w:val="18"/>
              </w:rPr>
            </w:pPr>
            <w:r>
              <w:rPr>
                <w:noProof/>
                <w:sz w:val="18"/>
              </w:rPr>
              <w:t>Nespecificate</w:t>
            </w:r>
          </w:p>
        </w:tc>
        <w:tc>
          <w:tcPr>
            <w:tcW w:w="3676" w:type="dxa"/>
            <w:shd w:val="clear" w:color="auto" w:fill="F4B083" w:themeFill="accent2" w:themeFillTint="99"/>
            <w:vAlign w:val="bottom"/>
          </w:tcPr>
          <w:p w14:paraId="7B7AFE38" w14:textId="77777777" w:rsidR="00A06F97" w:rsidRPr="004A0A8E" w:rsidRDefault="00A06F97" w:rsidP="00E15FCF">
            <w:pPr>
              <w:rPr>
                <w:rFonts w:ascii="Aptos Narrow" w:hAnsi="Aptos Narrow"/>
                <w:iCs/>
                <w:noProof/>
                <w:color w:val="000000"/>
                <w:sz w:val="18"/>
                <w:szCs w:val="18"/>
              </w:rPr>
            </w:pPr>
            <w:r>
              <w:rPr>
                <w:rFonts w:ascii="Aptos Narrow" w:hAnsi="Aptos Narrow"/>
                <w:noProof/>
                <w:color w:val="000000"/>
                <w:sz w:val="18"/>
              </w:rPr>
              <w:t>Nu</w:t>
            </w:r>
          </w:p>
        </w:tc>
      </w:tr>
    </w:tbl>
    <w:p w14:paraId="05B61385" w14:textId="77777777" w:rsidR="00A06F97" w:rsidRDefault="00A06F97" w:rsidP="00752063">
      <w:pPr>
        <w:rPr>
          <w:iCs/>
          <w:noProof/>
          <w:sz w:val="20"/>
          <w:szCs w:val="20"/>
        </w:rPr>
      </w:pPr>
    </w:p>
    <w:p w14:paraId="3F05B0FF" w14:textId="5B23A3B1" w:rsidR="00752063" w:rsidRDefault="00752063" w:rsidP="00752063">
      <w:pPr>
        <w:rPr>
          <w:iCs/>
          <w:noProof/>
          <w:sz w:val="20"/>
          <w:szCs w:val="20"/>
        </w:rPr>
      </w:pPr>
      <w:r>
        <w:rPr>
          <w:noProof/>
          <w:sz w:val="20"/>
        </w:rPr>
        <w:t xml:space="preserve">Observații: SGR = sistem de garanție-returnare. Țările sunt ordonate în funcție de valorile colectării separate pentru sticlele din plastic de unică folosință, pe baza datelor raportate. Țările care îndeplinesc obiectivul de colectare separată pentru </w:t>
      </w:r>
      <w:r w:rsidRPr="00F249C9">
        <w:rPr>
          <w:noProof/>
          <w:sz w:val="20"/>
        </w:rPr>
        <w:t>2025</w:t>
      </w:r>
      <w:r>
        <w:rPr>
          <w:noProof/>
          <w:sz w:val="20"/>
        </w:rPr>
        <w:t xml:space="preserve"> sunt evidențiate cu caractere aldine. </w:t>
      </w:r>
    </w:p>
    <w:p w14:paraId="21245734" w14:textId="777E60B1" w:rsidR="00DD7484" w:rsidRDefault="004500B6" w:rsidP="00752063">
      <w:pPr>
        <w:rPr>
          <w:bCs/>
          <w:iCs/>
          <w:noProof/>
          <w:sz w:val="20"/>
          <w:szCs w:val="20"/>
        </w:rPr>
      </w:pPr>
      <w:r>
        <w:rPr>
          <w:noProof/>
          <w:sz w:val="20"/>
        </w:rPr>
        <w:t xml:space="preserve">Sursă: Elaborare proprie pe baza valorilor raportate și a </w:t>
      </w:r>
      <w:hyperlink r:id="rId61" w:history="1">
        <w:r w:rsidRPr="00627F8D">
          <w:rPr>
            <w:rStyle w:val="Hyperlink"/>
            <w:noProof/>
            <w:sz w:val="20"/>
          </w:rPr>
          <w:t>AEM (2025)</w:t>
        </w:r>
      </w:hyperlink>
      <w:r>
        <w:rPr>
          <w:noProof/>
          <w:sz w:val="20"/>
        </w:rPr>
        <w:t xml:space="preserve"> și a „profilurilor de țară privind gestionarea deșeurilor (</w:t>
      </w:r>
      <w:r w:rsidRPr="00627F8D">
        <w:rPr>
          <w:i/>
          <w:noProof/>
          <w:sz w:val="20"/>
        </w:rPr>
        <w:t>Country profiles on waste management</w:t>
      </w:r>
      <w:r>
        <w:rPr>
          <w:noProof/>
          <w:sz w:val="20"/>
        </w:rPr>
        <w:t xml:space="preserve">)” pentru țările UE, precum și a </w:t>
      </w:r>
      <w:hyperlink r:id="rId62" w:history="1">
        <w:r w:rsidRPr="00627F8D">
          <w:rPr>
            <w:rStyle w:val="Hyperlink"/>
            <w:noProof/>
            <w:sz w:val="20"/>
          </w:rPr>
          <w:t>AEM (2024)</w:t>
        </w:r>
      </w:hyperlink>
      <w:r>
        <w:rPr>
          <w:noProof/>
          <w:sz w:val="20"/>
        </w:rPr>
        <w:t xml:space="preserve"> pentru țările SEE-AELS.  </w:t>
      </w:r>
    </w:p>
    <w:p w14:paraId="01DF6ED0" w14:textId="77777777" w:rsidR="00DD7484" w:rsidRDefault="00DD7484" w:rsidP="00752063">
      <w:pPr>
        <w:rPr>
          <w:bCs/>
          <w:iCs/>
          <w:noProof/>
          <w:sz w:val="20"/>
          <w:szCs w:val="20"/>
        </w:rPr>
        <w:sectPr w:rsidR="00DD7484" w:rsidSect="005E37B2">
          <w:headerReference w:type="default" r:id="rId63"/>
          <w:footerReference w:type="default" r:id="rId64"/>
          <w:pgSz w:w="11906" w:h="16838"/>
          <w:pgMar w:top="1440" w:right="1440" w:bottom="1440" w:left="1440" w:header="708" w:footer="708" w:gutter="0"/>
          <w:cols w:space="708"/>
          <w:docGrid w:linePitch="360"/>
        </w:sectPr>
      </w:pPr>
    </w:p>
    <w:p w14:paraId="18675A29" w14:textId="73A2E96E" w:rsidR="002A71ED" w:rsidRPr="00627F8D" w:rsidRDefault="002A71ED" w:rsidP="00925BD3">
      <w:pPr>
        <w:pStyle w:val="Heading3"/>
        <w:rPr>
          <w:noProof/>
        </w:rPr>
      </w:pPr>
      <w:bookmarkStart w:id="90" w:name="_Toc185499269"/>
      <w:bookmarkStart w:id="91" w:name="_Toc221701594"/>
      <w:bookmarkStart w:id="92" w:name="_Ref185241183"/>
      <w:bookmarkStart w:id="93" w:name="_Toc185251725"/>
      <w:r w:rsidRPr="00627F8D">
        <w:rPr>
          <w:noProof/>
        </w:rPr>
        <w:t>Anexa 4: Sticle din plastic de unică folosință pentru băuturi introduse pe piață și colectate separat, valori absolute și pe cap de locuitor [litera (c)]</w:t>
      </w:r>
      <w:bookmarkEnd w:id="90"/>
      <w:bookmarkEnd w:id="91"/>
    </w:p>
    <w:p w14:paraId="08B69204" w14:textId="2D025341" w:rsidR="00026E6D" w:rsidRPr="00627F8D" w:rsidRDefault="00026E6D" w:rsidP="00026E6D">
      <w:pPr>
        <w:pStyle w:val="Caption"/>
        <w:rPr>
          <w:noProof/>
        </w:rPr>
      </w:pPr>
      <w:bookmarkStart w:id="94" w:name="_Ref183428688"/>
      <w:r w:rsidRPr="00627F8D">
        <w:rPr>
          <w:noProof/>
        </w:rPr>
        <w:t xml:space="preserve">Figura </w:t>
      </w:r>
      <w:bookmarkEnd w:id="94"/>
      <w:r w:rsidRPr="00627F8D">
        <w:rPr>
          <w:noProof/>
        </w:rPr>
        <w:t>11: Sticle din plastic de unică folosință pentru băuturi introduse pe piață și colectate separat, valori absolute pe țări.</w:t>
      </w:r>
    </w:p>
    <w:p w14:paraId="50A4EF44" w14:textId="4CA55D68" w:rsidR="00080B52" w:rsidRPr="004A0A8E" w:rsidRDefault="002028CD" w:rsidP="002A71ED">
      <w:pPr>
        <w:rPr>
          <w:iCs/>
          <w:noProof/>
        </w:rPr>
      </w:pPr>
      <w:r>
        <w:rPr>
          <w:iCs/>
          <w:noProof/>
          <w:lang w:val="en-GB" w:eastAsia="en-GB"/>
        </w:rPr>
        <w:drawing>
          <wp:inline distT="0" distB="0" distL="0" distR="0" wp14:anchorId="14E791B8" wp14:editId="51445686">
            <wp:extent cx="5886000" cy="3258000"/>
            <wp:effectExtent l="0" t="0" r="635" b="0"/>
            <wp:docPr id="1030323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86000" cy="3258000"/>
                    </a:xfrm>
                    <a:prstGeom prst="rect">
                      <a:avLst/>
                    </a:prstGeom>
                    <a:noFill/>
                  </pic:spPr>
                </pic:pic>
              </a:graphicData>
            </a:graphic>
          </wp:inline>
        </w:drawing>
      </w:r>
    </w:p>
    <w:p w14:paraId="6C625DFD" w14:textId="77777777" w:rsidR="002A71ED" w:rsidRPr="004A0A8E" w:rsidRDefault="002A71ED" w:rsidP="002A71ED">
      <w:pPr>
        <w:rPr>
          <w:noProof/>
          <w:lang w:val="en-GB"/>
        </w:rPr>
      </w:pPr>
    </w:p>
    <w:p w14:paraId="5152E832" w14:textId="14ACE1AF" w:rsidR="00026E6D" w:rsidRPr="00627F8D" w:rsidRDefault="00026E6D" w:rsidP="00026E6D">
      <w:pPr>
        <w:pStyle w:val="Caption"/>
        <w:rPr>
          <w:noProof/>
        </w:rPr>
      </w:pPr>
      <w:bookmarkStart w:id="95" w:name="_Ref183428703"/>
      <w:r w:rsidRPr="00627F8D">
        <w:rPr>
          <w:noProof/>
        </w:rPr>
        <w:t>Figura 12</w:t>
      </w:r>
      <w:bookmarkEnd w:id="95"/>
      <w:r w:rsidRPr="00627F8D">
        <w:rPr>
          <w:noProof/>
        </w:rPr>
        <w:t>: Sticle din plastic de unică folosință pentru băuturi introduse pe piață și colectate separat, valori pe cap de locuitor pe țări.</w:t>
      </w:r>
    </w:p>
    <w:p w14:paraId="069DCED4" w14:textId="38031F3D" w:rsidR="000E2EE5" w:rsidRPr="004A0A8E" w:rsidRDefault="005178FC" w:rsidP="002A71ED">
      <w:pPr>
        <w:rPr>
          <w:noProof/>
        </w:rPr>
      </w:pPr>
      <w:r>
        <w:rPr>
          <w:noProof/>
          <w:lang w:val="en-GB" w:eastAsia="en-GB"/>
        </w:rPr>
        <w:drawing>
          <wp:inline distT="0" distB="0" distL="0" distR="0" wp14:anchorId="6A3437F2" wp14:editId="6AD23635">
            <wp:extent cx="6048000" cy="3290400"/>
            <wp:effectExtent l="0" t="0" r="0" b="5715"/>
            <wp:docPr id="13028751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48000" cy="3290400"/>
                    </a:xfrm>
                    <a:prstGeom prst="rect">
                      <a:avLst/>
                    </a:prstGeom>
                    <a:noFill/>
                  </pic:spPr>
                </pic:pic>
              </a:graphicData>
            </a:graphic>
          </wp:inline>
        </w:drawing>
      </w:r>
    </w:p>
    <w:p w14:paraId="237E5052" w14:textId="77777777" w:rsidR="002A71ED" w:rsidRPr="00627F8D" w:rsidRDefault="002A71ED" w:rsidP="002A71ED">
      <w:pPr>
        <w:rPr>
          <w:i/>
          <w:noProof/>
        </w:rPr>
      </w:pPr>
      <w:r>
        <w:rPr>
          <w:noProof/>
          <w:sz w:val="20"/>
        </w:rPr>
        <w:t xml:space="preserve">Notă: Valorile pe cap de locuitor la nivel de țară au fost calculate ca raport între cantitățile raportate și populația țării [populația medie a țării pentru anul </w:t>
      </w:r>
      <w:r w:rsidRPr="00F249C9">
        <w:rPr>
          <w:noProof/>
          <w:sz w:val="20"/>
        </w:rPr>
        <w:t>2022</w:t>
      </w:r>
      <w:r>
        <w:rPr>
          <w:noProof/>
          <w:sz w:val="20"/>
        </w:rPr>
        <w:t xml:space="preserve">, </w:t>
      </w:r>
      <w:hyperlink r:id="rId67" w:history="1">
        <w:r w:rsidRPr="00627F8D">
          <w:rPr>
            <w:rStyle w:val="Hyperlink"/>
            <w:noProof/>
            <w:sz w:val="20"/>
          </w:rPr>
          <w:t>Eurostat (2024</w:t>
        </w:r>
      </w:hyperlink>
      <w:r w:rsidRPr="00627F8D">
        <w:rPr>
          <w:rStyle w:val="Hyperlink"/>
          <w:noProof/>
          <w:sz w:val="20"/>
        </w:rPr>
        <w:t>a</w:t>
      </w:r>
      <w:r w:rsidRPr="00627F8D">
        <w:rPr>
          <w:rStyle w:val="Hyperlink"/>
          <w:noProof/>
        </w:rPr>
        <w:t>)</w:t>
      </w:r>
      <w:r>
        <w:rPr>
          <w:noProof/>
          <w:sz w:val="20"/>
        </w:rPr>
        <w:t>].</w:t>
      </w:r>
    </w:p>
    <w:p w14:paraId="1CD16AE2" w14:textId="77777777" w:rsidR="008623BE" w:rsidRPr="002209CE" w:rsidRDefault="008623BE" w:rsidP="009352E5">
      <w:pPr>
        <w:rPr>
          <w:noProof/>
          <w:lang w:val="fr-BE"/>
        </w:rPr>
        <w:sectPr w:rsidR="008623BE" w:rsidRPr="002209CE" w:rsidSect="005E37B2">
          <w:headerReference w:type="default" r:id="rId68"/>
          <w:footerReference w:type="default" r:id="rId69"/>
          <w:pgSz w:w="11906" w:h="16838"/>
          <w:pgMar w:top="1440" w:right="1440" w:bottom="1440" w:left="1440" w:header="708" w:footer="708" w:gutter="0"/>
          <w:cols w:space="708"/>
          <w:docGrid w:linePitch="360"/>
        </w:sectPr>
      </w:pPr>
    </w:p>
    <w:p w14:paraId="779FB3AC" w14:textId="79903365" w:rsidR="005E37B2" w:rsidRPr="00627F8D" w:rsidRDefault="005E37B2" w:rsidP="00925BD3">
      <w:pPr>
        <w:pStyle w:val="Heading3"/>
        <w:rPr>
          <w:noProof/>
        </w:rPr>
      </w:pPr>
      <w:bookmarkStart w:id="96" w:name="_Toc185251727"/>
      <w:bookmarkStart w:id="97" w:name="_Toc185499270"/>
      <w:bookmarkStart w:id="98" w:name="_Toc221701595"/>
      <w:r w:rsidRPr="00627F8D">
        <w:rPr>
          <w:noProof/>
        </w:rPr>
        <w:t xml:space="preserve">Anexa 5: Date raportate defalcate pe materiale și tipuri de echipamente de pescuit </w:t>
      </w:r>
      <w:bookmarkEnd w:id="96"/>
      <w:r w:rsidRPr="00627F8D">
        <w:rPr>
          <w:noProof/>
        </w:rPr>
        <w:t>[litera (d)]</w:t>
      </w:r>
      <w:bookmarkEnd w:id="97"/>
      <w:bookmarkEnd w:id="98"/>
    </w:p>
    <w:p w14:paraId="690AF935" w14:textId="17317100" w:rsidR="00F12B98" w:rsidRPr="004A0A8E" w:rsidRDefault="00F12B98" w:rsidP="0087601F">
      <w:pPr>
        <w:rPr>
          <w:noProof/>
        </w:rPr>
      </w:pPr>
      <w:r>
        <w:rPr>
          <w:noProof/>
        </w:rPr>
        <w:t xml:space="preserve">Formatul de raportare stabilit prin Decizia de punere în aplicare (UE) </w:t>
      </w:r>
      <w:r w:rsidRPr="00F249C9">
        <w:rPr>
          <w:noProof/>
        </w:rPr>
        <w:t>2021</w:t>
      </w:r>
      <w:r>
        <w:rPr>
          <w:noProof/>
        </w:rPr>
        <w:t>/</w:t>
      </w:r>
      <w:r w:rsidRPr="00F249C9">
        <w:rPr>
          <w:noProof/>
        </w:rPr>
        <w:t>958</w:t>
      </w:r>
      <w:r>
        <w:rPr>
          <w:noProof/>
        </w:rPr>
        <w:t xml:space="preserve"> a Comisiei oferă statelor posibilitatea de a raporta date defalcate în funcție de material și de tipul de echipamente de pescuit. O singură țară (Franța) a furnizat o defalcare completă a datelor, iar alte cinci țări au furnizat o defalcare parțială a acestora, în special pentru cantitățile introduse pe piață și pentru conținutul de plastic. Valorile raportate sunt prezentate în tabelele de mai jos. </w:t>
      </w:r>
    </w:p>
    <w:p w14:paraId="61C25F18" w14:textId="77777777" w:rsidR="0065052C" w:rsidRPr="00627F8D" w:rsidRDefault="005E37B2" w:rsidP="00823FD1">
      <w:pPr>
        <w:keepNext/>
        <w:rPr>
          <w:b/>
          <w:bCs/>
          <w:noProof/>
        </w:rPr>
      </w:pPr>
      <w:r w:rsidRPr="00627F8D">
        <w:rPr>
          <w:b/>
          <w:noProof/>
        </w:rPr>
        <w:t>Echipamente de pescuit introduse pe piață</w:t>
      </w:r>
    </w:p>
    <w:p w14:paraId="18BBBB3E" w14:textId="44C5D711" w:rsidR="005E37B2" w:rsidRPr="00627F8D" w:rsidRDefault="00AA5D78" w:rsidP="00823FD1">
      <w:pPr>
        <w:keepNext/>
        <w:rPr>
          <w:b/>
          <w:bCs/>
          <w:noProof/>
        </w:rPr>
      </w:pPr>
      <w:r w:rsidRPr="00AA5D78">
        <w:rPr>
          <w:noProof/>
          <w:lang w:val="en-GB" w:eastAsia="en-GB"/>
        </w:rPr>
        <w:drawing>
          <wp:inline distT="0" distB="0" distL="0" distR="0" wp14:anchorId="70AB9853" wp14:editId="155A96C0">
            <wp:extent cx="5194800" cy="8395200"/>
            <wp:effectExtent l="0" t="0" r="6350" b="6350"/>
            <wp:docPr id="20674190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194800" cy="8395200"/>
                    </a:xfrm>
                    <a:prstGeom prst="rect">
                      <a:avLst/>
                    </a:prstGeom>
                    <a:noFill/>
                    <a:ln>
                      <a:noFill/>
                    </a:ln>
                  </pic:spPr>
                </pic:pic>
              </a:graphicData>
            </a:graphic>
          </wp:inline>
        </w:drawing>
      </w:r>
    </w:p>
    <w:p w14:paraId="750AE9ED" w14:textId="77777777" w:rsidR="005E37B2" w:rsidRPr="00627F8D" w:rsidRDefault="005E37B2" w:rsidP="0065052C">
      <w:pPr>
        <w:keepNext/>
        <w:rPr>
          <w:b/>
          <w:bCs/>
          <w:noProof/>
        </w:rPr>
      </w:pPr>
      <w:r w:rsidRPr="00627F8D">
        <w:rPr>
          <w:b/>
          <w:noProof/>
        </w:rPr>
        <w:t>Deșeuri de echipamente de pescuit colectate</w:t>
      </w:r>
    </w:p>
    <w:p w14:paraId="3EBD0FFA" w14:textId="37826F9E" w:rsidR="005E37B2" w:rsidRPr="00627F8D" w:rsidRDefault="00AA5D78" w:rsidP="005E37B2">
      <w:pPr>
        <w:pStyle w:val="Caption"/>
        <w:rPr>
          <w:noProof/>
        </w:rPr>
      </w:pPr>
      <w:r w:rsidRPr="00AA5D78">
        <w:rPr>
          <w:noProof/>
          <w:lang w:val="en-GB" w:eastAsia="en-GB"/>
        </w:rPr>
        <w:drawing>
          <wp:inline distT="0" distB="0" distL="0" distR="0" wp14:anchorId="490B4BFB" wp14:editId="2093791C">
            <wp:extent cx="5731510" cy="7162800"/>
            <wp:effectExtent l="0" t="0" r="2540" b="0"/>
            <wp:docPr id="20615050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31510" cy="7162800"/>
                    </a:xfrm>
                    <a:prstGeom prst="rect">
                      <a:avLst/>
                    </a:prstGeom>
                    <a:noFill/>
                    <a:ln>
                      <a:noFill/>
                    </a:ln>
                  </pic:spPr>
                </pic:pic>
              </a:graphicData>
            </a:graphic>
          </wp:inline>
        </w:drawing>
      </w:r>
    </w:p>
    <w:p w14:paraId="43F307DD" w14:textId="77777777" w:rsidR="00D02B96" w:rsidRDefault="00D02B96" w:rsidP="005E37B2">
      <w:pPr>
        <w:rPr>
          <w:noProof/>
          <w:lang w:val="en-GB"/>
        </w:rPr>
        <w:sectPr w:rsidR="00D02B96" w:rsidSect="005E37B2">
          <w:headerReference w:type="default" r:id="rId72"/>
          <w:footerReference w:type="default" r:id="rId73"/>
          <w:pgSz w:w="11906" w:h="16838"/>
          <w:pgMar w:top="1440" w:right="1440" w:bottom="1440" w:left="1440" w:header="708" w:footer="708" w:gutter="0"/>
          <w:cols w:space="708"/>
          <w:docGrid w:linePitch="360"/>
        </w:sectPr>
      </w:pPr>
    </w:p>
    <w:p w14:paraId="560127EC" w14:textId="5EC8DC7F" w:rsidR="00026E6D" w:rsidRPr="00627F8D" w:rsidRDefault="00F02146" w:rsidP="00026E6D">
      <w:pPr>
        <w:pStyle w:val="Heading3"/>
        <w:rPr>
          <w:noProof/>
        </w:rPr>
      </w:pPr>
      <w:bookmarkStart w:id="99" w:name="_Toc185499271"/>
      <w:bookmarkStart w:id="100" w:name="_Toc221701596"/>
      <w:r w:rsidRPr="00627F8D">
        <w:rPr>
          <w:noProof/>
        </w:rPr>
        <w:t>Anexa 6: Echipamente de pescuit introduse pe piață și deșeuri de echipamente de pescuit colectate [litera (d)] raportate la tonajul flotei de pescuit, pe țări</w:t>
      </w:r>
      <w:bookmarkEnd w:id="99"/>
      <w:bookmarkEnd w:id="100"/>
    </w:p>
    <w:p w14:paraId="2B311BD6" w14:textId="66A83CD9" w:rsidR="00026E6D" w:rsidRPr="00627F8D" w:rsidRDefault="00026E6D" w:rsidP="00026E6D">
      <w:pPr>
        <w:rPr>
          <w:rFonts w:eastAsia="ヒラギノ角ゴ Pro W3" w:cs="Times New Roman"/>
          <w:b/>
          <w:noProof/>
          <w:color w:val="44546A" w:themeColor="text2"/>
          <w:szCs w:val="18"/>
        </w:rPr>
      </w:pPr>
      <w:r w:rsidRPr="00627F8D">
        <w:rPr>
          <w:b/>
          <w:noProof/>
          <w:color w:val="44546A" w:themeColor="text2"/>
        </w:rPr>
        <w:t>Figura 13: Echipamente de pescuit introduse pe piață și deșeuri de echipamente de pescuit colectate, raportate în temeiul literei (d), valori raportate la tonajul flotei de pescuit, pe țări.</w:t>
      </w:r>
    </w:p>
    <w:p w14:paraId="3E1E497B" w14:textId="13210208" w:rsidR="004726AA" w:rsidRPr="00627F8D" w:rsidRDefault="0057076F" w:rsidP="00540F07">
      <w:pPr>
        <w:jc w:val="center"/>
        <w:rPr>
          <w:rFonts w:eastAsia="ヒラギノ角ゴ Pro W3" w:cs="Times New Roman"/>
          <w:b/>
          <w:noProof/>
          <w:color w:val="44546A" w:themeColor="text2"/>
          <w:szCs w:val="18"/>
        </w:rPr>
      </w:pPr>
      <w:r>
        <w:rPr>
          <w:rFonts w:eastAsia="ヒラギノ角ゴ Pro W3" w:cs="Times New Roman"/>
          <w:b/>
          <w:noProof/>
          <w:color w:val="44546A" w:themeColor="text2"/>
          <w:szCs w:val="18"/>
          <w:lang w:val="en-GB" w:eastAsia="en-GB"/>
        </w:rPr>
        <w:drawing>
          <wp:inline distT="0" distB="0" distL="0" distR="0" wp14:anchorId="6234CF64" wp14:editId="1F670935">
            <wp:extent cx="5378400" cy="3567600"/>
            <wp:effectExtent l="0" t="0" r="0" b="0"/>
            <wp:docPr id="81068003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78400" cy="3567600"/>
                    </a:xfrm>
                    <a:prstGeom prst="rect">
                      <a:avLst/>
                    </a:prstGeom>
                    <a:noFill/>
                  </pic:spPr>
                </pic:pic>
              </a:graphicData>
            </a:graphic>
          </wp:inline>
        </w:drawing>
      </w:r>
    </w:p>
    <w:p w14:paraId="3F519B23" w14:textId="1183ADEE" w:rsidR="00540F07" w:rsidRPr="00526E6E" w:rsidRDefault="00540F07" w:rsidP="00540F07">
      <w:pPr>
        <w:rPr>
          <w:iCs/>
          <w:noProof/>
          <w:sz w:val="20"/>
          <w:szCs w:val="20"/>
        </w:rPr>
      </w:pPr>
      <w:r>
        <w:rPr>
          <w:noProof/>
          <w:sz w:val="20"/>
        </w:rPr>
        <w:t xml:space="preserve">Notă: Datele prezentate reprezintă raportul dintre cantitățile introduse pe piață sau colectate în fiecare țară, pe de o parte, și tonajul flotei de pescuit a fiecărei țări în anul </w:t>
      </w:r>
      <w:r w:rsidRPr="00F249C9">
        <w:rPr>
          <w:noProof/>
          <w:sz w:val="20"/>
        </w:rPr>
        <w:t>2022</w:t>
      </w:r>
      <w:r>
        <w:rPr>
          <w:noProof/>
          <w:sz w:val="20"/>
        </w:rPr>
        <w:t xml:space="preserve">, pe de altă parte, respectiv dimensiunea totală a flotei de pescuit, conform </w:t>
      </w:r>
      <w:hyperlink r:id="rId75" w:history="1">
        <w:r w:rsidRPr="00627F8D">
          <w:rPr>
            <w:rStyle w:val="Hyperlink"/>
            <w:noProof/>
            <w:sz w:val="20"/>
          </w:rPr>
          <w:t>Eurostat (2024b)</w:t>
        </w:r>
      </w:hyperlink>
      <w:r>
        <w:rPr>
          <w:noProof/>
          <w:sz w:val="20"/>
        </w:rPr>
        <w:t>.</w:t>
      </w:r>
    </w:p>
    <w:p w14:paraId="0C1585C3" w14:textId="77777777" w:rsidR="00540F07" w:rsidRPr="00627F8D" w:rsidRDefault="00540F07" w:rsidP="00540F07">
      <w:pPr>
        <w:rPr>
          <w:rFonts w:eastAsia="ヒラギノ角ゴ Pro W3" w:cs="Times New Roman"/>
          <w:b/>
          <w:noProof/>
          <w:color w:val="44546A" w:themeColor="text2"/>
          <w:szCs w:val="18"/>
        </w:rPr>
        <w:sectPr w:rsidR="00540F07" w:rsidRPr="00627F8D" w:rsidSect="00862309">
          <w:headerReference w:type="default" r:id="rId76"/>
          <w:footerReference w:type="default" r:id="rId77"/>
          <w:pgSz w:w="11906" w:h="16838"/>
          <w:pgMar w:top="1440" w:right="1440" w:bottom="1440" w:left="1440" w:header="708" w:footer="708" w:gutter="0"/>
          <w:cols w:space="708"/>
          <w:docGrid w:linePitch="360"/>
        </w:sectPr>
      </w:pPr>
    </w:p>
    <w:p w14:paraId="6EC39409" w14:textId="6B7AECD4" w:rsidR="006E55E3" w:rsidRPr="00627F8D" w:rsidRDefault="006E55E3" w:rsidP="00925BD3">
      <w:pPr>
        <w:pStyle w:val="Heading3"/>
        <w:rPr>
          <w:noProof/>
        </w:rPr>
      </w:pPr>
      <w:bookmarkStart w:id="101" w:name="_Toc185499272"/>
      <w:bookmarkStart w:id="102" w:name="_Toc221701597"/>
      <w:r w:rsidRPr="00627F8D">
        <w:rPr>
          <w:noProof/>
        </w:rPr>
        <w:t>Anexa 7: Instituțiile responsabile de raportare în temeiul Directivei privind produsele din plastic de unică folosință și datele de raportare</w:t>
      </w:r>
      <w:bookmarkEnd w:id="101"/>
      <w:bookmarkEnd w:id="102"/>
    </w:p>
    <w:tbl>
      <w:tblPr>
        <w:tblStyle w:val="TableGrid"/>
        <w:tblW w:w="8988"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666"/>
        <w:gridCol w:w="5847"/>
        <w:gridCol w:w="1475"/>
      </w:tblGrid>
      <w:tr w:rsidR="00BC4B2D" w:rsidRPr="00540F07" w14:paraId="231C4948" w14:textId="77777777" w:rsidTr="00E15FCF">
        <w:trPr>
          <w:trHeight w:val="204"/>
        </w:trPr>
        <w:tc>
          <w:tcPr>
            <w:tcW w:w="1666" w:type="dxa"/>
            <w:shd w:val="clear" w:color="auto" w:fill="007B6C"/>
          </w:tcPr>
          <w:p w14:paraId="13824EEB" w14:textId="77777777" w:rsidR="00BC4B2D" w:rsidRPr="00A3421A" w:rsidRDefault="00BC4B2D" w:rsidP="00E15FCF">
            <w:pPr>
              <w:rPr>
                <w:b/>
                <w:noProof/>
                <w:color w:val="FFFFFF" w:themeColor="background1"/>
                <w:sz w:val="20"/>
                <w:szCs w:val="20"/>
              </w:rPr>
            </w:pPr>
            <w:r w:rsidRPr="00627F8D">
              <w:rPr>
                <w:b/>
                <w:noProof/>
                <w:color w:val="FFFFFF" w:themeColor="background1"/>
                <w:sz w:val="20"/>
              </w:rPr>
              <w:t xml:space="preserve">Țara </w:t>
            </w:r>
          </w:p>
        </w:tc>
        <w:tc>
          <w:tcPr>
            <w:tcW w:w="5847" w:type="dxa"/>
            <w:shd w:val="clear" w:color="auto" w:fill="007B6C"/>
          </w:tcPr>
          <w:p w14:paraId="091A54B5" w14:textId="77777777" w:rsidR="00BC4B2D" w:rsidRPr="00A3421A" w:rsidRDefault="00BC4B2D" w:rsidP="00E15FCF">
            <w:pPr>
              <w:rPr>
                <w:b/>
                <w:noProof/>
                <w:color w:val="FFFFFF" w:themeColor="background1"/>
                <w:sz w:val="20"/>
                <w:szCs w:val="20"/>
              </w:rPr>
            </w:pPr>
            <w:r w:rsidRPr="00627F8D">
              <w:rPr>
                <w:b/>
                <w:noProof/>
                <w:color w:val="FFFFFF" w:themeColor="background1"/>
                <w:sz w:val="20"/>
              </w:rPr>
              <w:t>Instituția responsabilă</w:t>
            </w:r>
          </w:p>
        </w:tc>
        <w:tc>
          <w:tcPr>
            <w:tcW w:w="1475" w:type="dxa"/>
            <w:shd w:val="clear" w:color="auto" w:fill="007B6C"/>
          </w:tcPr>
          <w:p w14:paraId="5230543B" w14:textId="77777777" w:rsidR="00BC4B2D" w:rsidRPr="00627F8D" w:rsidRDefault="00BC4B2D" w:rsidP="00E15FCF">
            <w:pPr>
              <w:rPr>
                <w:b/>
                <w:noProof/>
                <w:color w:val="FFFFFF" w:themeColor="background1"/>
                <w:sz w:val="20"/>
                <w:szCs w:val="20"/>
              </w:rPr>
            </w:pPr>
            <w:r w:rsidRPr="00627F8D">
              <w:rPr>
                <w:b/>
                <w:noProof/>
                <w:color w:val="FFFFFF" w:themeColor="background1"/>
                <w:sz w:val="20"/>
              </w:rPr>
              <w:t>Data de raportare</w:t>
            </w:r>
          </w:p>
        </w:tc>
      </w:tr>
      <w:tr w:rsidR="00BC4B2D" w:rsidRPr="00540F07" w14:paraId="694B965E" w14:textId="77777777" w:rsidTr="00E15FCF">
        <w:trPr>
          <w:trHeight w:val="213"/>
        </w:trPr>
        <w:tc>
          <w:tcPr>
            <w:tcW w:w="1666" w:type="dxa"/>
            <w:shd w:val="clear" w:color="auto" w:fill="F2F2F2" w:themeFill="background1" w:themeFillShade="F2"/>
            <w:vAlign w:val="center"/>
          </w:tcPr>
          <w:p w14:paraId="0F340D93" w14:textId="77777777" w:rsidR="00BC4B2D" w:rsidRPr="00540F07" w:rsidRDefault="00BC4B2D" w:rsidP="00E15FCF">
            <w:pPr>
              <w:jc w:val="left"/>
              <w:rPr>
                <w:noProof/>
                <w:sz w:val="20"/>
                <w:szCs w:val="20"/>
              </w:rPr>
            </w:pPr>
            <w:r>
              <w:rPr>
                <w:rFonts w:ascii="Aptos Narrow" w:hAnsi="Aptos Narrow"/>
                <w:noProof/>
                <w:color w:val="000000"/>
                <w:sz w:val="20"/>
              </w:rPr>
              <w:t>Austria</w:t>
            </w:r>
          </w:p>
        </w:tc>
        <w:tc>
          <w:tcPr>
            <w:tcW w:w="5847" w:type="dxa"/>
            <w:shd w:val="clear" w:color="auto" w:fill="F2F2F2" w:themeFill="background1" w:themeFillShade="F2"/>
            <w:vAlign w:val="center"/>
          </w:tcPr>
          <w:p w14:paraId="5AF97FA4"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Ministerul Federal pentru Acțiuni Climatice</w:t>
            </w:r>
          </w:p>
        </w:tc>
        <w:tc>
          <w:tcPr>
            <w:tcW w:w="1475" w:type="dxa"/>
            <w:shd w:val="clear" w:color="auto" w:fill="F2F2F2" w:themeFill="background1" w:themeFillShade="F2"/>
            <w:vAlign w:val="bottom"/>
          </w:tcPr>
          <w:p w14:paraId="30A29C1B"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15</w:t>
            </w:r>
            <w:r>
              <w:rPr>
                <w:rFonts w:ascii="Aptos Narrow" w:hAnsi="Aptos Narrow"/>
                <w:noProof/>
                <w:color w:val="000000"/>
                <w:sz w:val="20"/>
              </w:rPr>
              <w:t>.</w:t>
            </w:r>
            <w:r w:rsidRPr="00F249C9">
              <w:rPr>
                <w:rFonts w:ascii="Aptos Narrow" w:hAnsi="Aptos Narrow"/>
                <w:noProof/>
                <w:color w:val="000000"/>
                <w:sz w:val="20"/>
              </w:rPr>
              <w:t>7</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4D462ACA" w14:textId="77777777" w:rsidTr="00E15FCF">
        <w:trPr>
          <w:trHeight w:val="420"/>
        </w:trPr>
        <w:tc>
          <w:tcPr>
            <w:tcW w:w="1666" w:type="dxa"/>
            <w:shd w:val="clear" w:color="auto" w:fill="F2F2F2" w:themeFill="background1" w:themeFillShade="F2"/>
            <w:vAlign w:val="center"/>
          </w:tcPr>
          <w:p w14:paraId="13D476D5" w14:textId="77777777" w:rsidR="00BC4B2D" w:rsidRPr="00540F07" w:rsidRDefault="00BC4B2D" w:rsidP="00E15FCF">
            <w:pPr>
              <w:jc w:val="left"/>
              <w:rPr>
                <w:noProof/>
                <w:sz w:val="20"/>
                <w:szCs w:val="20"/>
              </w:rPr>
            </w:pPr>
            <w:r>
              <w:rPr>
                <w:rFonts w:ascii="Aptos Narrow" w:hAnsi="Aptos Narrow"/>
                <w:noProof/>
                <w:color w:val="000000"/>
                <w:sz w:val="20"/>
              </w:rPr>
              <w:t>Belgia</w:t>
            </w:r>
          </w:p>
        </w:tc>
        <w:tc>
          <w:tcPr>
            <w:tcW w:w="5847" w:type="dxa"/>
            <w:shd w:val="clear" w:color="auto" w:fill="F2F2F2" w:themeFill="background1" w:themeFillShade="F2"/>
            <w:vAlign w:val="center"/>
          </w:tcPr>
          <w:p w14:paraId="58DF8552"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Serviciul Public Federal (SPF) Sănătate, Siguranța Lanțului Alimentar și Mediu (Mediu - politica produselor)</w:t>
            </w:r>
          </w:p>
          <w:p w14:paraId="120A809F" w14:textId="77777777" w:rsidR="00BC4B2D" w:rsidRPr="00540F07" w:rsidRDefault="00BC4B2D" w:rsidP="00E15FCF">
            <w:pPr>
              <w:spacing w:before="120"/>
              <w:jc w:val="left"/>
              <w:rPr>
                <w:rFonts w:ascii="Aptos Narrow" w:hAnsi="Aptos Narrow"/>
                <w:noProof/>
                <w:color w:val="000000"/>
                <w:sz w:val="20"/>
                <w:szCs w:val="20"/>
              </w:rPr>
            </w:pPr>
            <w:r>
              <w:rPr>
                <w:rFonts w:ascii="Aptos Narrow" w:hAnsi="Aptos Narrow"/>
                <w:noProof/>
                <w:color w:val="000000"/>
                <w:sz w:val="20"/>
              </w:rPr>
              <w:t>OVAM (societate publică flamandă de gestionare a deșeurilor - regiunea Flandra) - sprijin</w:t>
            </w:r>
          </w:p>
        </w:tc>
        <w:tc>
          <w:tcPr>
            <w:tcW w:w="1475" w:type="dxa"/>
            <w:shd w:val="clear" w:color="auto" w:fill="F2F2F2" w:themeFill="background1" w:themeFillShade="F2"/>
            <w:vAlign w:val="bottom"/>
          </w:tcPr>
          <w:p w14:paraId="37F50178"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3</w:t>
            </w:r>
            <w:r>
              <w:rPr>
                <w:rFonts w:ascii="Aptos Narrow" w:hAnsi="Aptos Narrow"/>
                <w:noProof/>
                <w:color w:val="000000"/>
                <w:sz w:val="20"/>
              </w:rPr>
              <w:t>.</w:t>
            </w:r>
            <w:r w:rsidRPr="00F249C9">
              <w:rPr>
                <w:rFonts w:ascii="Aptos Narrow" w:hAnsi="Aptos Narrow"/>
                <w:noProof/>
                <w:color w:val="000000"/>
                <w:sz w:val="20"/>
              </w:rPr>
              <w:t>7</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3E3854AF" w14:textId="77777777" w:rsidTr="00E15FCF">
        <w:trPr>
          <w:trHeight w:val="204"/>
        </w:trPr>
        <w:tc>
          <w:tcPr>
            <w:tcW w:w="1666" w:type="dxa"/>
            <w:shd w:val="clear" w:color="auto" w:fill="F2F2F2" w:themeFill="background1" w:themeFillShade="F2"/>
            <w:vAlign w:val="center"/>
          </w:tcPr>
          <w:p w14:paraId="17E46B31" w14:textId="77777777" w:rsidR="00BC4B2D" w:rsidRPr="00540F07" w:rsidRDefault="00BC4B2D" w:rsidP="00E15FCF">
            <w:pPr>
              <w:jc w:val="left"/>
              <w:rPr>
                <w:noProof/>
                <w:sz w:val="20"/>
                <w:szCs w:val="20"/>
              </w:rPr>
            </w:pPr>
            <w:r>
              <w:rPr>
                <w:rFonts w:ascii="Aptos Narrow" w:hAnsi="Aptos Narrow"/>
                <w:noProof/>
                <w:color w:val="000000"/>
                <w:sz w:val="20"/>
              </w:rPr>
              <w:t>Bulgaria</w:t>
            </w:r>
          </w:p>
        </w:tc>
        <w:tc>
          <w:tcPr>
            <w:tcW w:w="5847" w:type="dxa"/>
            <w:shd w:val="clear" w:color="auto" w:fill="F2F2F2" w:themeFill="background1" w:themeFillShade="F2"/>
            <w:vAlign w:val="center"/>
          </w:tcPr>
          <w:p w14:paraId="30F0E82E"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Ministerul Mediului și al Apei din Bulgaria</w:t>
            </w:r>
          </w:p>
        </w:tc>
        <w:tc>
          <w:tcPr>
            <w:tcW w:w="1475" w:type="dxa"/>
            <w:shd w:val="clear" w:color="auto" w:fill="F2F2F2" w:themeFill="background1" w:themeFillShade="F2"/>
            <w:vAlign w:val="bottom"/>
          </w:tcPr>
          <w:p w14:paraId="2507FB17" w14:textId="6EE31E70"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28</w:t>
            </w:r>
            <w:r>
              <w:rPr>
                <w:rFonts w:ascii="Aptos Narrow" w:hAnsi="Aptos Narrow"/>
                <w:noProof/>
                <w:color w:val="000000"/>
                <w:sz w:val="20"/>
              </w:rPr>
              <w:t>.</w:t>
            </w:r>
            <w:r w:rsidRPr="00F249C9">
              <w:rPr>
                <w:rFonts w:ascii="Aptos Narrow" w:hAnsi="Aptos Narrow"/>
                <w:noProof/>
                <w:color w:val="000000"/>
                <w:sz w:val="20"/>
              </w:rPr>
              <w:t>8</w:t>
            </w:r>
            <w:r>
              <w:rPr>
                <w:rFonts w:ascii="Aptos Narrow" w:hAnsi="Aptos Narrow"/>
                <w:noProof/>
                <w:color w:val="000000"/>
                <w:sz w:val="20"/>
              </w:rPr>
              <w:t>.</w:t>
            </w:r>
            <w:r w:rsidRPr="00F249C9">
              <w:rPr>
                <w:rFonts w:ascii="Aptos Narrow" w:hAnsi="Aptos Narrow"/>
                <w:noProof/>
                <w:color w:val="000000"/>
                <w:sz w:val="20"/>
              </w:rPr>
              <w:t>2024</w:t>
            </w:r>
            <w:r>
              <w:rPr>
                <w:rFonts w:ascii="Aptos Narrow" w:hAnsi="Aptos Narrow"/>
                <w:noProof/>
                <w:color w:val="000000"/>
                <w:sz w:val="20"/>
              </w:rPr>
              <w:t xml:space="preserve"> (procesul de asigurare a calității nu a fost finalizat)</w:t>
            </w:r>
          </w:p>
        </w:tc>
      </w:tr>
      <w:tr w:rsidR="00BC4B2D" w:rsidRPr="00540F07" w14:paraId="065194DC" w14:textId="77777777" w:rsidTr="00E15FCF">
        <w:trPr>
          <w:trHeight w:val="420"/>
        </w:trPr>
        <w:tc>
          <w:tcPr>
            <w:tcW w:w="1666" w:type="dxa"/>
            <w:shd w:val="clear" w:color="auto" w:fill="F2F2F2" w:themeFill="background1" w:themeFillShade="F2"/>
            <w:vAlign w:val="center"/>
          </w:tcPr>
          <w:p w14:paraId="12158150" w14:textId="77777777" w:rsidR="00BC4B2D" w:rsidRPr="00540F07" w:rsidRDefault="00BC4B2D" w:rsidP="00E15FCF">
            <w:pPr>
              <w:jc w:val="left"/>
              <w:rPr>
                <w:noProof/>
                <w:sz w:val="20"/>
                <w:szCs w:val="20"/>
              </w:rPr>
            </w:pPr>
            <w:r>
              <w:rPr>
                <w:rFonts w:ascii="Aptos Narrow" w:hAnsi="Aptos Narrow"/>
                <w:noProof/>
                <w:color w:val="000000"/>
                <w:sz w:val="20"/>
              </w:rPr>
              <w:t>Croația</w:t>
            </w:r>
          </w:p>
        </w:tc>
        <w:tc>
          <w:tcPr>
            <w:tcW w:w="5847" w:type="dxa"/>
            <w:shd w:val="clear" w:color="auto" w:fill="F2F2F2" w:themeFill="background1" w:themeFillShade="F2"/>
            <w:vAlign w:val="center"/>
          </w:tcPr>
          <w:p w14:paraId="5E0E9554"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Ministerul Economiei și Dezvoltării Durabile, Institutul pentru Mediu și Natură</w:t>
            </w:r>
          </w:p>
        </w:tc>
        <w:tc>
          <w:tcPr>
            <w:tcW w:w="1475" w:type="dxa"/>
            <w:shd w:val="clear" w:color="auto" w:fill="F2F2F2" w:themeFill="background1" w:themeFillShade="F2"/>
            <w:vAlign w:val="bottom"/>
          </w:tcPr>
          <w:p w14:paraId="7083AB5A"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25</w:t>
            </w:r>
            <w:r>
              <w:rPr>
                <w:rFonts w:ascii="Aptos Narrow" w:hAnsi="Aptos Narrow"/>
                <w:noProof/>
                <w:color w:val="000000"/>
                <w:sz w:val="20"/>
              </w:rPr>
              <w:t>.</w:t>
            </w:r>
            <w:r w:rsidRPr="00F249C9">
              <w:rPr>
                <w:rFonts w:ascii="Aptos Narrow" w:hAnsi="Aptos Narrow"/>
                <w:noProof/>
                <w:color w:val="000000"/>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32AB71FE" w14:textId="77777777" w:rsidTr="00E15FCF">
        <w:trPr>
          <w:trHeight w:val="420"/>
        </w:trPr>
        <w:tc>
          <w:tcPr>
            <w:tcW w:w="1666" w:type="dxa"/>
            <w:shd w:val="clear" w:color="auto" w:fill="F2F2F2" w:themeFill="background1" w:themeFillShade="F2"/>
            <w:vAlign w:val="center"/>
          </w:tcPr>
          <w:p w14:paraId="02C86476" w14:textId="77777777" w:rsidR="00BC4B2D" w:rsidRPr="00540F07" w:rsidRDefault="00BC4B2D" w:rsidP="00E15FCF">
            <w:pPr>
              <w:jc w:val="left"/>
              <w:rPr>
                <w:noProof/>
                <w:sz w:val="20"/>
                <w:szCs w:val="20"/>
              </w:rPr>
            </w:pPr>
            <w:r>
              <w:rPr>
                <w:rFonts w:ascii="Aptos Narrow" w:hAnsi="Aptos Narrow"/>
                <w:noProof/>
                <w:color w:val="000000"/>
                <w:sz w:val="20"/>
              </w:rPr>
              <w:t>Cipru</w:t>
            </w:r>
          </w:p>
        </w:tc>
        <w:tc>
          <w:tcPr>
            <w:tcW w:w="5847" w:type="dxa"/>
            <w:shd w:val="clear" w:color="auto" w:fill="F2F2F2" w:themeFill="background1" w:themeFillShade="F2"/>
            <w:vAlign w:val="center"/>
          </w:tcPr>
          <w:p w14:paraId="5CC2C09B"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Ministerul Agriculturii, Dezvoltării Rurale și Mediului, Departamentul de Mediu</w:t>
            </w:r>
          </w:p>
        </w:tc>
        <w:tc>
          <w:tcPr>
            <w:tcW w:w="1475" w:type="dxa"/>
            <w:shd w:val="clear" w:color="auto" w:fill="F2F2F2" w:themeFill="background1" w:themeFillShade="F2"/>
            <w:vAlign w:val="bottom"/>
          </w:tcPr>
          <w:p w14:paraId="3663EDED"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30</w:t>
            </w:r>
            <w:r>
              <w:rPr>
                <w:rFonts w:ascii="Aptos Narrow" w:hAnsi="Aptos Narrow"/>
                <w:noProof/>
                <w:color w:val="000000"/>
                <w:sz w:val="20"/>
              </w:rPr>
              <w:t>.</w:t>
            </w:r>
            <w:r w:rsidRPr="00F249C9">
              <w:rPr>
                <w:rFonts w:ascii="Aptos Narrow" w:hAnsi="Aptos Narrow"/>
                <w:noProof/>
                <w:color w:val="000000"/>
                <w:sz w:val="20"/>
              </w:rPr>
              <w:t>9</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1BB65228" w14:textId="77777777" w:rsidTr="00E15FCF">
        <w:trPr>
          <w:trHeight w:val="204"/>
        </w:trPr>
        <w:tc>
          <w:tcPr>
            <w:tcW w:w="1666" w:type="dxa"/>
            <w:shd w:val="clear" w:color="auto" w:fill="F2F2F2" w:themeFill="background1" w:themeFillShade="F2"/>
            <w:vAlign w:val="center"/>
          </w:tcPr>
          <w:p w14:paraId="7640EF64" w14:textId="77777777" w:rsidR="00BC4B2D" w:rsidRPr="00540F07" w:rsidRDefault="00BC4B2D" w:rsidP="00E15FCF">
            <w:pPr>
              <w:jc w:val="left"/>
              <w:rPr>
                <w:noProof/>
                <w:sz w:val="20"/>
                <w:szCs w:val="20"/>
              </w:rPr>
            </w:pPr>
            <w:r>
              <w:rPr>
                <w:rFonts w:ascii="Aptos Narrow" w:hAnsi="Aptos Narrow"/>
                <w:noProof/>
                <w:color w:val="000000"/>
                <w:sz w:val="20"/>
              </w:rPr>
              <w:t>Cehia</w:t>
            </w:r>
          </w:p>
        </w:tc>
        <w:tc>
          <w:tcPr>
            <w:tcW w:w="5847" w:type="dxa"/>
            <w:shd w:val="clear" w:color="auto" w:fill="F2F2F2" w:themeFill="background1" w:themeFillShade="F2"/>
            <w:vAlign w:val="center"/>
          </w:tcPr>
          <w:p w14:paraId="342CD287"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Ministerul Mediului</w:t>
            </w:r>
          </w:p>
        </w:tc>
        <w:tc>
          <w:tcPr>
            <w:tcW w:w="1475" w:type="dxa"/>
            <w:shd w:val="clear" w:color="auto" w:fill="F2F2F2" w:themeFill="background1" w:themeFillShade="F2"/>
            <w:vAlign w:val="bottom"/>
          </w:tcPr>
          <w:p w14:paraId="369560FB"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11</w:t>
            </w:r>
            <w:r>
              <w:rPr>
                <w:rFonts w:ascii="Aptos Narrow" w:hAnsi="Aptos Narrow"/>
                <w:noProof/>
                <w:color w:val="000000"/>
                <w:sz w:val="20"/>
              </w:rPr>
              <w:t>.</w:t>
            </w:r>
            <w:r w:rsidRPr="00F249C9">
              <w:rPr>
                <w:rFonts w:ascii="Aptos Narrow" w:hAnsi="Aptos Narrow"/>
                <w:noProof/>
                <w:color w:val="000000"/>
                <w:sz w:val="20"/>
              </w:rPr>
              <w:t>9</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621E159C" w14:textId="77777777" w:rsidTr="00E15FCF">
        <w:trPr>
          <w:trHeight w:val="213"/>
        </w:trPr>
        <w:tc>
          <w:tcPr>
            <w:tcW w:w="1666" w:type="dxa"/>
            <w:shd w:val="clear" w:color="auto" w:fill="F2F2F2" w:themeFill="background1" w:themeFillShade="F2"/>
            <w:vAlign w:val="center"/>
          </w:tcPr>
          <w:p w14:paraId="3C7A7B42" w14:textId="77777777" w:rsidR="00BC4B2D" w:rsidRPr="00540F07" w:rsidRDefault="00BC4B2D" w:rsidP="00E15FCF">
            <w:pPr>
              <w:jc w:val="left"/>
              <w:rPr>
                <w:noProof/>
                <w:sz w:val="20"/>
                <w:szCs w:val="20"/>
              </w:rPr>
            </w:pPr>
            <w:r>
              <w:rPr>
                <w:rFonts w:ascii="Aptos Narrow" w:hAnsi="Aptos Narrow"/>
                <w:noProof/>
                <w:color w:val="000000"/>
                <w:sz w:val="20"/>
              </w:rPr>
              <w:t>Danemarca</w:t>
            </w:r>
          </w:p>
        </w:tc>
        <w:tc>
          <w:tcPr>
            <w:tcW w:w="5847" w:type="dxa"/>
            <w:shd w:val="clear" w:color="auto" w:fill="F2F2F2" w:themeFill="background1" w:themeFillShade="F2"/>
            <w:vAlign w:val="center"/>
          </w:tcPr>
          <w:p w14:paraId="41D76BB1"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Agenția pentru Protecția Mediului</w:t>
            </w:r>
          </w:p>
        </w:tc>
        <w:tc>
          <w:tcPr>
            <w:tcW w:w="1475" w:type="dxa"/>
            <w:shd w:val="clear" w:color="auto" w:fill="F2F2F2" w:themeFill="background1" w:themeFillShade="F2"/>
            <w:vAlign w:val="bottom"/>
          </w:tcPr>
          <w:p w14:paraId="004B418B"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28</w:t>
            </w:r>
            <w:r>
              <w:rPr>
                <w:rFonts w:ascii="Aptos Narrow" w:hAnsi="Aptos Narrow"/>
                <w:noProof/>
                <w:color w:val="000000"/>
                <w:sz w:val="20"/>
              </w:rPr>
              <w:t>.</w:t>
            </w:r>
            <w:r w:rsidRPr="00F249C9">
              <w:rPr>
                <w:rFonts w:ascii="Aptos Narrow" w:hAnsi="Aptos Narrow"/>
                <w:noProof/>
                <w:color w:val="000000"/>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3573A159" w14:textId="77777777" w:rsidTr="00E15FCF">
        <w:trPr>
          <w:trHeight w:val="204"/>
        </w:trPr>
        <w:tc>
          <w:tcPr>
            <w:tcW w:w="1666" w:type="dxa"/>
            <w:shd w:val="clear" w:color="auto" w:fill="F2F2F2" w:themeFill="background1" w:themeFillShade="F2"/>
            <w:vAlign w:val="center"/>
          </w:tcPr>
          <w:p w14:paraId="372FF0A5" w14:textId="77777777" w:rsidR="00BC4B2D" w:rsidRPr="00540F07" w:rsidRDefault="00BC4B2D" w:rsidP="00E15FCF">
            <w:pPr>
              <w:jc w:val="left"/>
              <w:rPr>
                <w:noProof/>
                <w:sz w:val="20"/>
                <w:szCs w:val="20"/>
              </w:rPr>
            </w:pPr>
            <w:r>
              <w:rPr>
                <w:rFonts w:ascii="Aptos Narrow" w:hAnsi="Aptos Narrow"/>
                <w:noProof/>
                <w:color w:val="000000"/>
                <w:sz w:val="20"/>
              </w:rPr>
              <w:t>Estonia</w:t>
            </w:r>
          </w:p>
        </w:tc>
        <w:tc>
          <w:tcPr>
            <w:tcW w:w="5847" w:type="dxa"/>
            <w:shd w:val="clear" w:color="auto" w:fill="F2F2F2" w:themeFill="background1" w:themeFillShade="F2"/>
            <w:vAlign w:val="center"/>
          </w:tcPr>
          <w:p w14:paraId="452FAC2E"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Agenția de mediu</w:t>
            </w:r>
          </w:p>
        </w:tc>
        <w:tc>
          <w:tcPr>
            <w:tcW w:w="1475" w:type="dxa"/>
            <w:shd w:val="clear" w:color="auto" w:fill="F2F2F2" w:themeFill="background1" w:themeFillShade="F2"/>
            <w:vAlign w:val="bottom"/>
          </w:tcPr>
          <w:p w14:paraId="50ED2A11"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28</w:t>
            </w:r>
            <w:r>
              <w:rPr>
                <w:rFonts w:ascii="Aptos Narrow" w:hAnsi="Aptos Narrow"/>
                <w:noProof/>
                <w:color w:val="000000"/>
                <w:sz w:val="20"/>
              </w:rPr>
              <w:t>.</w:t>
            </w:r>
            <w:r w:rsidRPr="00F249C9">
              <w:rPr>
                <w:rFonts w:ascii="Aptos Narrow" w:hAnsi="Aptos Narrow"/>
                <w:noProof/>
                <w:color w:val="000000"/>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60EF361F" w14:textId="77777777" w:rsidTr="00E15FCF">
        <w:trPr>
          <w:trHeight w:val="420"/>
        </w:trPr>
        <w:tc>
          <w:tcPr>
            <w:tcW w:w="1666" w:type="dxa"/>
            <w:shd w:val="clear" w:color="auto" w:fill="F2F2F2" w:themeFill="background1" w:themeFillShade="F2"/>
            <w:vAlign w:val="center"/>
          </w:tcPr>
          <w:p w14:paraId="30019EA3" w14:textId="77777777" w:rsidR="00BC4B2D" w:rsidRPr="00540F07" w:rsidRDefault="00BC4B2D" w:rsidP="00E15FCF">
            <w:pPr>
              <w:jc w:val="left"/>
              <w:rPr>
                <w:noProof/>
                <w:sz w:val="20"/>
                <w:szCs w:val="20"/>
              </w:rPr>
            </w:pPr>
            <w:r>
              <w:rPr>
                <w:rFonts w:ascii="Aptos Narrow" w:hAnsi="Aptos Narrow"/>
                <w:noProof/>
                <w:color w:val="000000"/>
                <w:sz w:val="20"/>
              </w:rPr>
              <w:t>Finlanda</w:t>
            </w:r>
          </w:p>
        </w:tc>
        <w:tc>
          <w:tcPr>
            <w:tcW w:w="5847" w:type="dxa"/>
            <w:shd w:val="clear" w:color="auto" w:fill="F2F2F2" w:themeFill="background1" w:themeFillShade="F2"/>
            <w:vAlign w:val="center"/>
          </w:tcPr>
          <w:p w14:paraId="492F9BBF"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Centrul pentru Dezvoltare Economică, Transport și Mediu pentru regiunea Pirkanmaa</w:t>
            </w:r>
          </w:p>
        </w:tc>
        <w:tc>
          <w:tcPr>
            <w:tcW w:w="1475" w:type="dxa"/>
            <w:shd w:val="clear" w:color="auto" w:fill="F2F2F2" w:themeFill="background1" w:themeFillShade="F2"/>
            <w:vAlign w:val="bottom"/>
          </w:tcPr>
          <w:p w14:paraId="4276C1A2"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27</w:t>
            </w:r>
            <w:r>
              <w:rPr>
                <w:rFonts w:ascii="Aptos Narrow" w:hAnsi="Aptos Narrow"/>
                <w:noProof/>
                <w:color w:val="000000"/>
                <w:sz w:val="20"/>
              </w:rPr>
              <w:t>.</w:t>
            </w:r>
            <w:r w:rsidRPr="00F249C9">
              <w:rPr>
                <w:rFonts w:ascii="Aptos Narrow" w:hAnsi="Aptos Narrow"/>
                <w:noProof/>
                <w:color w:val="000000"/>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0EA2EAF0" w14:textId="77777777" w:rsidTr="00E15FCF">
        <w:trPr>
          <w:trHeight w:val="213"/>
        </w:trPr>
        <w:tc>
          <w:tcPr>
            <w:tcW w:w="1666" w:type="dxa"/>
            <w:shd w:val="clear" w:color="auto" w:fill="F2F2F2" w:themeFill="background1" w:themeFillShade="F2"/>
            <w:vAlign w:val="center"/>
          </w:tcPr>
          <w:p w14:paraId="53FC2E09" w14:textId="77777777" w:rsidR="00BC4B2D" w:rsidRPr="00540F07" w:rsidRDefault="00BC4B2D" w:rsidP="00E15FCF">
            <w:pPr>
              <w:jc w:val="left"/>
              <w:rPr>
                <w:noProof/>
                <w:sz w:val="20"/>
                <w:szCs w:val="20"/>
              </w:rPr>
            </w:pPr>
            <w:r>
              <w:rPr>
                <w:rFonts w:ascii="Aptos Narrow" w:hAnsi="Aptos Narrow"/>
                <w:noProof/>
                <w:color w:val="000000"/>
                <w:sz w:val="20"/>
              </w:rPr>
              <w:t>Franța</w:t>
            </w:r>
          </w:p>
        </w:tc>
        <w:tc>
          <w:tcPr>
            <w:tcW w:w="5847" w:type="dxa"/>
            <w:shd w:val="clear" w:color="auto" w:fill="F2F2F2" w:themeFill="background1" w:themeFillShade="F2"/>
            <w:vAlign w:val="center"/>
          </w:tcPr>
          <w:p w14:paraId="0C7EE2E5"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Ministerul Tranziției Ecologice și Coeziunii Teritoriale</w:t>
            </w:r>
          </w:p>
        </w:tc>
        <w:tc>
          <w:tcPr>
            <w:tcW w:w="1475" w:type="dxa"/>
            <w:shd w:val="clear" w:color="auto" w:fill="F2F2F2" w:themeFill="background1" w:themeFillShade="F2"/>
            <w:vAlign w:val="bottom"/>
          </w:tcPr>
          <w:p w14:paraId="7AD31393"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28</w:t>
            </w:r>
            <w:r>
              <w:rPr>
                <w:rFonts w:ascii="Aptos Narrow" w:hAnsi="Aptos Narrow"/>
                <w:noProof/>
                <w:color w:val="000000"/>
                <w:sz w:val="20"/>
              </w:rPr>
              <w:t>.</w:t>
            </w:r>
            <w:r w:rsidRPr="00F249C9">
              <w:rPr>
                <w:rFonts w:ascii="Aptos Narrow" w:hAnsi="Aptos Narrow"/>
                <w:noProof/>
                <w:color w:val="000000"/>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4B758ED3" w14:textId="77777777" w:rsidTr="00E15FCF">
        <w:trPr>
          <w:trHeight w:val="204"/>
        </w:trPr>
        <w:tc>
          <w:tcPr>
            <w:tcW w:w="1666" w:type="dxa"/>
            <w:shd w:val="clear" w:color="auto" w:fill="F2F2F2" w:themeFill="background1" w:themeFillShade="F2"/>
            <w:vAlign w:val="center"/>
          </w:tcPr>
          <w:p w14:paraId="1B1BA878" w14:textId="77777777" w:rsidR="00BC4B2D" w:rsidRPr="00540F07" w:rsidRDefault="00BC4B2D" w:rsidP="00E15FCF">
            <w:pPr>
              <w:jc w:val="left"/>
              <w:rPr>
                <w:noProof/>
                <w:sz w:val="20"/>
                <w:szCs w:val="20"/>
              </w:rPr>
            </w:pPr>
            <w:r>
              <w:rPr>
                <w:rFonts w:ascii="Aptos Narrow" w:hAnsi="Aptos Narrow"/>
                <w:noProof/>
                <w:color w:val="000000"/>
                <w:sz w:val="20"/>
              </w:rPr>
              <w:t>Germania</w:t>
            </w:r>
          </w:p>
        </w:tc>
        <w:tc>
          <w:tcPr>
            <w:tcW w:w="5847" w:type="dxa"/>
            <w:shd w:val="clear" w:color="auto" w:fill="F2F2F2" w:themeFill="background1" w:themeFillShade="F2"/>
            <w:vAlign w:val="center"/>
          </w:tcPr>
          <w:p w14:paraId="0F1ACEAD"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Agenția de Mediu (Umweltbundesamt, UBA)</w:t>
            </w:r>
          </w:p>
          <w:p w14:paraId="1277767A" w14:textId="77777777" w:rsidR="00BC4B2D" w:rsidRPr="00540F07" w:rsidRDefault="00BC4B2D" w:rsidP="00E15FCF">
            <w:pPr>
              <w:spacing w:before="120"/>
              <w:jc w:val="left"/>
              <w:rPr>
                <w:rFonts w:ascii="Aptos Narrow" w:hAnsi="Aptos Narrow"/>
                <w:noProof/>
                <w:sz w:val="20"/>
                <w:szCs w:val="20"/>
              </w:rPr>
            </w:pPr>
            <w:r>
              <w:rPr>
                <w:rFonts w:ascii="Aptos Narrow" w:hAnsi="Aptos Narrow"/>
                <w:noProof/>
                <w:sz w:val="20"/>
              </w:rPr>
              <w:t>Oficiul Federal de Statistică al Germaniei (Statistisches Bundesamt, Destatis) - sprijin</w:t>
            </w:r>
          </w:p>
        </w:tc>
        <w:tc>
          <w:tcPr>
            <w:tcW w:w="1475" w:type="dxa"/>
            <w:shd w:val="clear" w:color="auto" w:fill="F2F2F2" w:themeFill="background1" w:themeFillShade="F2"/>
            <w:vAlign w:val="bottom"/>
          </w:tcPr>
          <w:p w14:paraId="0C08DF92" w14:textId="77777777" w:rsidR="00BC4B2D" w:rsidRPr="00540F07" w:rsidRDefault="00BC4B2D" w:rsidP="00E15FCF">
            <w:pPr>
              <w:jc w:val="left"/>
              <w:rPr>
                <w:rFonts w:ascii="Aptos Narrow" w:hAnsi="Aptos Narrow"/>
                <w:noProof/>
                <w:sz w:val="20"/>
                <w:szCs w:val="20"/>
              </w:rPr>
            </w:pPr>
            <w:r w:rsidRPr="00F249C9">
              <w:rPr>
                <w:rFonts w:ascii="Aptos Narrow" w:hAnsi="Aptos Narrow"/>
                <w:noProof/>
                <w:sz w:val="20"/>
              </w:rPr>
              <w:t>28</w:t>
            </w:r>
            <w:r>
              <w:rPr>
                <w:rFonts w:ascii="Aptos Narrow" w:hAnsi="Aptos Narrow"/>
                <w:noProof/>
                <w:sz w:val="20"/>
              </w:rPr>
              <w:t>.</w:t>
            </w:r>
            <w:r w:rsidRPr="00F249C9">
              <w:rPr>
                <w:rFonts w:ascii="Aptos Narrow" w:hAnsi="Aptos Narrow"/>
                <w:noProof/>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342642F4" w14:textId="77777777" w:rsidTr="00E15FCF">
        <w:trPr>
          <w:trHeight w:val="840"/>
        </w:trPr>
        <w:tc>
          <w:tcPr>
            <w:tcW w:w="1666" w:type="dxa"/>
            <w:shd w:val="clear" w:color="auto" w:fill="F2F2F2" w:themeFill="background1" w:themeFillShade="F2"/>
            <w:vAlign w:val="center"/>
          </w:tcPr>
          <w:p w14:paraId="77F503A0" w14:textId="77777777" w:rsidR="00BC4B2D" w:rsidRPr="00540F07" w:rsidRDefault="00BC4B2D" w:rsidP="00E15FCF">
            <w:pPr>
              <w:jc w:val="left"/>
              <w:rPr>
                <w:noProof/>
                <w:sz w:val="20"/>
                <w:szCs w:val="20"/>
              </w:rPr>
            </w:pPr>
            <w:r>
              <w:rPr>
                <w:rFonts w:ascii="Aptos Narrow" w:hAnsi="Aptos Narrow"/>
                <w:noProof/>
                <w:color w:val="000000"/>
                <w:sz w:val="20"/>
              </w:rPr>
              <w:t>Grecia</w:t>
            </w:r>
          </w:p>
        </w:tc>
        <w:tc>
          <w:tcPr>
            <w:tcW w:w="5847" w:type="dxa"/>
            <w:shd w:val="clear" w:color="auto" w:fill="F2F2F2" w:themeFill="background1" w:themeFillShade="F2"/>
            <w:vAlign w:val="center"/>
          </w:tcPr>
          <w:p w14:paraId="0D98FC33"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Ministerul Mediului și Energiei, Secretariatul General pentru Coordonarea Gestionării Deșeurilor, Direcția pentru Gestionarea Deșeurilor, Departamentul Registrul Deșeurilor, Licențiere și Statistică</w:t>
            </w:r>
          </w:p>
          <w:p w14:paraId="410FF9BC" w14:textId="77777777" w:rsidR="00BC4B2D" w:rsidRPr="00540F07" w:rsidRDefault="00BC4B2D" w:rsidP="00E15FCF">
            <w:pPr>
              <w:spacing w:before="120"/>
              <w:jc w:val="left"/>
              <w:rPr>
                <w:rFonts w:ascii="Aptos Narrow" w:hAnsi="Aptos Narrow"/>
                <w:noProof/>
                <w:color w:val="000000"/>
                <w:sz w:val="20"/>
                <w:szCs w:val="20"/>
              </w:rPr>
            </w:pPr>
            <w:r>
              <w:rPr>
                <w:rFonts w:ascii="Aptos Narrow" w:hAnsi="Aptos Narrow"/>
                <w:noProof/>
                <w:color w:val="000000"/>
                <w:sz w:val="20"/>
              </w:rPr>
              <w:t>Agenția Elenă pentru Reciclare - sprijin</w:t>
            </w:r>
          </w:p>
        </w:tc>
        <w:tc>
          <w:tcPr>
            <w:tcW w:w="1475" w:type="dxa"/>
            <w:shd w:val="clear" w:color="auto" w:fill="F2F2F2" w:themeFill="background1" w:themeFillShade="F2"/>
            <w:vAlign w:val="bottom"/>
          </w:tcPr>
          <w:p w14:paraId="1CEC6688"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1</w:t>
            </w:r>
            <w:r>
              <w:rPr>
                <w:rFonts w:ascii="Aptos Narrow" w:hAnsi="Aptos Narrow"/>
                <w:noProof/>
                <w:color w:val="000000"/>
                <w:sz w:val="20"/>
              </w:rPr>
              <w:t>.</w:t>
            </w:r>
            <w:r w:rsidRPr="00F249C9">
              <w:rPr>
                <w:rFonts w:ascii="Aptos Narrow" w:hAnsi="Aptos Narrow"/>
                <w:noProof/>
                <w:color w:val="000000"/>
                <w:sz w:val="20"/>
              </w:rPr>
              <w:t>10</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1DA7C923" w14:textId="77777777" w:rsidTr="00E15FCF">
        <w:trPr>
          <w:trHeight w:val="204"/>
        </w:trPr>
        <w:tc>
          <w:tcPr>
            <w:tcW w:w="1666" w:type="dxa"/>
            <w:shd w:val="clear" w:color="auto" w:fill="F2F2F2" w:themeFill="background1" w:themeFillShade="F2"/>
            <w:vAlign w:val="center"/>
          </w:tcPr>
          <w:p w14:paraId="3AE3526C" w14:textId="77777777" w:rsidR="00BC4B2D" w:rsidRPr="00540F07" w:rsidRDefault="00BC4B2D" w:rsidP="00E15FCF">
            <w:pPr>
              <w:jc w:val="left"/>
              <w:rPr>
                <w:noProof/>
                <w:sz w:val="20"/>
                <w:szCs w:val="20"/>
              </w:rPr>
            </w:pPr>
            <w:r>
              <w:rPr>
                <w:rFonts w:ascii="Aptos Narrow" w:hAnsi="Aptos Narrow"/>
                <w:noProof/>
                <w:color w:val="000000"/>
                <w:sz w:val="20"/>
              </w:rPr>
              <w:t>Ungaria</w:t>
            </w:r>
          </w:p>
        </w:tc>
        <w:tc>
          <w:tcPr>
            <w:tcW w:w="5847" w:type="dxa"/>
            <w:shd w:val="clear" w:color="auto" w:fill="F2F2F2" w:themeFill="background1" w:themeFillShade="F2"/>
            <w:vAlign w:val="center"/>
          </w:tcPr>
          <w:p w14:paraId="3DDDD386"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Ministerul Energiei</w:t>
            </w:r>
          </w:p>
        </w:tc>
        <w:tc>
          <w:tcPr>
            <w:tcW w:w="1475" w:type="dxa"/>
            <w:shd w:val="clear" w:color="auto" w:fill="F2F2F2" w:themeFill="background1" w:themeFillShade="F2"/>
            <w:vAlign w:val="bottom"/>
          </w:tcPr>
          <w:p w14:paraId="020890CD" w14:textId="77777777" w:rsidR="00BC4B2D" w:rsidRPr="00540F07" w:rsidRDefault="00BC4B2D" w:rsidP="00E15FCF">
            <w:pPr>
              <w:jc w:val="left"/>
              <w:rPr>
                <w:rFonts w:ascii="Aptos Narrow" w:hAnsi="Aptos Narrow"/>
                <w:noProof/>
                <w:sz w:val="20"/>
                <w:szCs w:val="20"/>
              </w:rPr>
            </w:pPr>
            <w:r w:rsidRPr="00F249C9">
              <w:rPr>
                <w:rFonts w:ascii="Aptos Narrow" w:hAnsi="Aptos Narrow"/>
                <w:noProof/>
                <w:sz w:val="20"/>
              </w:rPr>
              <w:t>28</w:t>
            </w:r>
            <w:r>
              <w:rPr>
                <w:rFonts w:ascii="Aptos Narrow" w:hAnsi="Aptos Narrow"/>
                <w:noProof/>
                <w:sz w:val="20"/>
              </w:rPr>
              <w:t>.</w:t>
            </w:r>
            <w:r w:rsidRPr="00F249C9">
              <w:rPr>
                <w:rFonts w:ascii="Aptos Narrow" w:hAnsi="Aptos Narrow"/>
                <w:noProof/>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2CA796C1" w14:textId="77777777" w:rsidTr="00E15FCF">
        <w:trPr>
          <w:trHeight w:val="213"/>
        </w:trPr>
        <w:tc>
          <w:tcPr>
            <w:tcW w:w="1666" w:type="dxa"/>
            <w:shd w:val="clear" w:color="auto" w:fill="F2F2F2" w:themeFill="background1" w:themeFillShade="F2"/>
            <w:vAlign w:val="center"/>
          </w:tcPr>
          <w:p w14:paraId="48DC1431" w14:textId="77777777" w:rsidR="00BC4B2D" w:rsidRPr="00540F07" w:rsidRDefault="00BC4B2D" w:rsidP="00E15FCF">
            <w:pPr>
              <w:jc w:val="left"/>
              <w:rPr>
                <w:noProof/>
                <w:sz w:val="20"/>
                <w:szCs w:val="20"/>
              </w:rPr>
            </w:pPr>
            <w:r>
              <w:rPr>
                <w:rFonts w:ascii="Aptos Narrow" w:hAnsi="Aptos Narrow"/>
                <w:noProof/>
                <w:color w:val="000000"/>
                <w:sz w:val="20"/>
              </w:rPr>
              <w:t>Islanda*</w:t>
            </w:r>
          </w:p>
        </w:tc>
        <w:tc>
          <w:tcPr>
            <w:tcW w:w="5847" w:type="dxa"/>
            <w:shd w:val="clear" w:color="auto" w:fill="F2F2F2" w:themeFill="background1" w:themeFillShade="F2"/>
            <w:vAlign w:val="center"/>
          </w:tcPr>
          <w:p w14:paraId="3DFF696D"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Fondul Islandez pentru Reciclare</w:t>
            </w:r>
          </w:p>
          <w:p w14:paraId="0A7C5B55" w14:textId="77777777" w:rsidR="00BC4B2D" w:rsidRPr="00540F07" w:rsidRDefault="00BC4B2D" w:rsidP="00E15FCF">
            <w:pPr>
              <w:spacing w:before="120"/>
              <w:jc w:val="left"/>
              <w:rPr>
                <w:rFonts w:ascii="Aptos Narrow" w:hAnsi="Aptos Narrow"/>
                <w:noProof/>
                <w:sz w:val="20"/>
                <w:szCs w:val="20"/>
              </w:rPr>
            </w:pPr>
            <w:r>
              <w:rPr>
                <w:rFonts w:ascii="Aptos Narrow" w:hAnsi="Aptos Narrow"/>
                <w:noProof/>
                <w:sz w:val="20"/>
              </w:rPr>
              <w:t>Agenția de Mediu - sprijin</w:t>
            </w:r>
          </w:p>
        </w:tc>
        <w:tc>
          <w:tcPr>
            <w:tcW w:w="1475" w:type="dxa"/>
            <w:shd w:val="clear" w:color="auto" w:fill="F2F2F2" w:themeFill="background1" w:themeFillShade="F2"/>
          </w:tcPr>
          <w:p w14:paraId="5FC89276" w14:textId="77777777" w:rsidR="00BC4B2D" w:rsidRPr="00540F07" w:rsidRDefault="00BC4B2D" w:rsidP="00E15FCF">
            <w:pPr>
              <w:jc w:val="left"/>
              <w:rPr>
                <w:rFonts w:ascii="Aptos Narrow" w:hAnsi="Aptos Narrow"/>
                <w:noProof/>
                <w:sz w:val="20"/>
                <w:szCs w:val="20"/>
              </w:rPr>
            </w:pPr>
            <w:r w:rsidRPr="00F249C9">
              <w:rPr>
                <w:rFonts w:ascii="Aptos Narrow" w:hAnsi="Aptos Narrow"/>
                <w:noProof/>
                <w:sz w:val="20"/>
              </w:rPr>
              <w:t>28</w:t>
            </w:r>
            <w:r>
              <w:rPr>
                <w:rFonts w:ascii="Aptos Narrow" w:hAnsi="Aptos Narrow"/>
                <w:noProof/>
                <w:sz w:val="20"/>
              </w:rPr>
              <w:t>.</w:t>
            </w:r>
            <w:r w:rsidRPr="00F249C9">
              <w:rPr>
                <w:rFonts w:ascii="Aptos Narrow" w:hAnsi="Aptos Narrow"/>
                <w:noProof/>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10375565" w14:textId="77777777" w:rsidTr="00E15FCF">
        <w:trPr>
          <w:trHeight w:val="213"/>
        </w:trPr>
        <w:tc>
          <w:tcPr>
            <w:tcW w:w="1666" w:type="dxa"/>
            <w:shd w:val="clear" w:color="auto" w:fill="F2F2F2" w:themeFill="background1" w:themeFillShade="F2"/>
            <w:vAlign w:val="center"/>
          </w:tcPr>
          <w:p w14:paraId="344F3471" w14:textId="77777777" w:rsidR="00BC4B2D" w:rsidRPr="00540F07" w:rsidRDefault="00BC4B2D" w:rsidP="00E15FCF">
            <w:pPr>
              <w:jc w:val="left"/>
              <w:rPr>
                <w:noProof/>
                <w:sz w:val="20"/>
                <w:szCs w:val="20"/>
              </w:rPr>
            </w:pPr>
            <w:r>
              <w:rPr>
                <w:rFonts w:ascii="Aptos Narrow" w:hAnsi="Aptos Narrow"/>
                <w:noProof/>
                <w:color w:val="000000"/>
                <w:sz w:val="20"/>
              </w:rPr>
              <w:t>Irlanda</w:t>
            </w:r>
          </w:p>
        </w:tc>
        <w:tc>
          <w:tcPr>
            <w:tcW w:w="5847" w:type="dxa"/>
            <w:shd w:val="clear" w:color="auto" w:fill="F2F2F2" w:themeFill="background1" w:themeFillShade="F2"/>
            <w:vAlign w:val="center"/>
          </w:tcPr>
          <w:p w14:paraId="5D9BB415"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Agenția pentru Protecția Mediului</w:t>
            </w:r>
          </w:p>
        </w:tc>
        <w:tc>
          <w:tcPr>
            <w:tcW w:w="1475" w:type="dxa"/>
            <w:shd w:val="clear" w:color="auto" w:fill="F2F2F2" w:themeFill="background1" w:themeFillShade="F2"/>
            <w:vAlign w:val="bottom"/>
          </w:tcPr>
          <w:p w14:paraId="39586C16" w14:textId="77777777" w:rsidR="00BC4B2D" w:rsidRPr="00540F07" w:rsidRDefault="00BC4B2D" w:rsidP="00E15FCF">
            <w:pPr>
              <w:jc w:val="left"/>
              <w:rPr>
                <w:rFonts w:ascii="Aptos Narrow" w:hAnsi="Aptos Narrow"/>
                <w:noProof/>
                <w:sz w:val="20"/>
                <w:szCs w:val="20"/>
              </w:rPr>
            </w:pPr>
            <w:r w:rsidRPr="00F249C9">
              <w:rPr>
                <w:rFonts w:ascii="Aptos Narrow" w:hAnsi="Aptos Narrow"/>
                <w:noProof/>
                <w:sz w:val="20"/>
              </w:rPr>
              <w:t>28</w:t>
            </w:r>
            <w:r>
              <w:rPr>
                <w:rFonts w:ascii="Aptos Narrow" w:hAnsi="Aptos Narrow"/>
                <w:noProof/>
                <w:sz w:val="20"/>
              </w:rPr>
              <w:t>.</w:t>
            </w:r>
            <w:r w:rsidRPr="00F249C9">
              <w:rPr>
                <w:rFonts w:ascii="Aptos Narrow" w:hAnsi="Aptos Narrow"/>
                <w:noProof/>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76BC3956" w14:textId="77777777" w:rsidTr="00E15FCF">
        <w:trPr>
          <w:trHeight w:val="204"/>
        </w:trPr>
        <w:tc>
          <w:tcPr>
            <w:tcW w:w="1666" w:type="dxa"/>
            <w:shd w:val="clear" w:color="auto" w:fill="F2F2F2" w:themeFill="background1" w:themeFillShade="F2"/>
            <w:vAlign w:val="center"/>
          </w:tcPr>
          <w:p w14:paraId="35D3CF85" w14:textId="77777777" w:rsidR="00BC4B2D" w:rsidRPr="00540F07" w:rsidRDefault="00BC4B2D" w:rsidP="00E15FCF">
            <w:pPr>
              <w:jc w:val="left"/>
              <w:rPr>
                <w:noProof/>
                <w:sz w:val="20"/>
                <w:szCs w:val="20"/>
              </w:rPr>
            </w:pPr>
            <w:r>
              <w:rPr>
                <w:rFonts w:ascii="Aptos Narrow" w:hAnsi="Aptos Narrow"/>
                <w:noProof/>
                <w:color w:val="000000"/>
                <w:sz w:val="20"/>
              </w:rPr>
              <w:t>Italia</w:t>
            </w:r>
          </w:p>
        </w:tc>
        <w:tc>
          <w:tcPr>
            <w:tcW w:w="5847" w:type="dxa"/>
            <w:shd w:val="clear" w:color="auto" w:fill="F2F2F2" w:themeFill="background1" w:themeFillShade="F2"/>
            <w:vAlign w:val="center"/>
          </w:tcPr>
          <w:p w14:paraId="19CCF444"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Institutul pentru Protecția Mediului și Cercetare (ISPRA)</w:t>
            </w:r>
          </w:p>
        </w:tc>
        <w:tc>
          <w:tcPr>
            <w:tcW w:w="1475" w:type="dxa"/>
            <w:shd w:val="clear" w:color="auto" w:fill="F2F2F2" w:themeFill="background1" w:themeFillShade="F2"/>
            <w:vAlign w:val="bottom"/>
          </w:tcPr>
          <w:p w14:paraId="66C38B19" w14:textId="77777777" w:rsidR="00BC4B2D" w:rsidRPr="00540F07" w:rsidRDefault="00BC4B2D" w:rsidP="00E15FCF">
            <w:pPr>
              <w:jc w:val="left"/>
              <w:rPr>
                <w:rFonts w:ascii="Aptos Narrow" w:hAnsi="Aptos Narrow"/>
                <w:noProof/>
                <w:sz w:val="20"/>
                <w:szCs w:val="20"/>
              </w:rPr>
            </w:pPr>
            <w:r w:rsidRPr="00F249C9">
              <w:rPr>
                <w:rFonts w:ascii="Aptos Narrow" w:hAnsi="Aptos Narrow"/>
                <w:noProof/>
                <w:sz w:val="20"/>
              </w:rPr>
              <w:t>28</w:t>
            </w:r>
            <w:r>
              <w:rPr>
                <w:rFonts w:ascii="Aptos Narrow" w:hAnsi="Aptos Narrow"/>
                <w:noProof/>
                <w:sz w:val="20"/>
              </w:rPr>
              <w:t>.</w:t>
            </w:r>
            <w:r w:rsidRPr="00F249C9">
              <w:rPr>
                <w:rFonts w:ascii="Aptos Narrow" w:hAnsi="Aptos Narrow"/>
                <w:noProof/>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5D3B00F1" w14:textId="77777777" w:rsidTr="00E15FCF">
        <w:trPr>
          <w:trHeight w:val="204"/>
        </w:trPr>
        <w:tc>
          <w:tcPr>
            <w:tcW w:w="1666" w:type="dxa"/>
            <w:shd w:val="clear" w:color="auto" w:fill="F2F2F2" w:themeFill="background1" w:themeFillShade="F2"/>
            <w:vAlign w:val="center"/>
          </w:tcPr>
          <w:p w14:paraId="2DF090BA" w14:textId="77777777" w:rsidR="00BC4B2D" w:rsidRPr="00540F07" w:rsidRDefault="00BC4B2D" w:rsidP="00E15FCF">
            <w:pPr>
              <w:jc w:val="left"/>
              <w:rPr>
                <w:noProof/>
                <w:sz w:val="20"/>
                <w:szCs w:val="20"/>
              </w:rPr>
            </w:pPr>
            <w:r>
              <w:rPr>
                <w:rFonts w:ascii="Aptos Narrow" w:hAnsi="Aptos Narrow"/>
                <w:noProof/>
                <w:color w:val="000000"/>
                <w:sz w:val="20"/>
              </w:rPr>
              <w:t>Letonia</w:t>
            </w:r>
          </w:p>
        </w:tc>
        <w:tc>
          <w:tcPr>
            <w:tcW w:w="5847" w:type="dxa"/>
            <w:shd w:val="clear" w:color="auto" w:fill="F2F2F2" w:themeFill="background1" w:themeFillShade="F2"/>
            <w:vAlign w:val="center"/>
          </w:tcPr>
          <w:p w14:paraId="00ED0C69" w14:textId="77777777" w:rsidR="00BC4B2D" w:rsidRPr="00540F07" w:rsidRDefault="00BC4B2D" w:rsidP="00E15FCF">
            <w:pPr>
              <w:jc w:val="left"/>
              <w:rPr>
                <w:rFonts w:ascii="Aptos Narrow" w:hAnsi="Aptos Narrow"/>
                <w:noProof/>
                <w:sz w:val="20"/>
                <w:szCs w:val="20"/>
              </w:rPr>
            </w:pPr>
            <w:r>
              <w:rPr>
                <w:rFonts w:ascii="Aptos Narrow" w:hAnsi="Aptos Narrow"/>
                <w:noProof/>
                <w:sz w:val="20"/>
              </w:rPr>
              <w:t>Ministerul Protecției Mediului și Dezvoltării Regionale</w:t>
            </w:r>
          </w:p>
        </w:tc>
        <w:tc>
          <w:tcPr>
            <w:tcW w:w="1475" w:type="dxa"/>
            <w:shd w:val="clear" w:color="auto" w:fill="F2F2F2" w:themeFill="background1" w:themeFillShade="F2"/>
            <w:vAlign w:val="bottom"/>
          </w:tcPr>
          <w:p w14:paraId="2101CDA5" w14:textId="77777777" w:rsidR="00BC4B2D" w:rsidRPr="00540F07" w:rsidRDefault="00BC4B2D" w:rsidP="00E15FCF">
            <w:pPr>
              <w:jc w:val="left"/>
              <w:rPr>
                <w:rFonts w:ascii="Aptos Narrow" w:hAnsi="Aptos Narrow"/>
                <w:noProof/>
                <w:sz w:val="20"/>
                <w:szCs w:val="20"/>
              </w:rPr>
            </w:pPr>
            <w:r w:rsidRPr="00F249C9">
              <w:rPr>
                <w:rFonts w:ascii="Aptos Narrow" w:hAnsi="Aptos Narrow"/>
                <w:noProof/>
                <w:sz w:val="20"/>
              </w:rPr>
              <w:t>28</w:t>
            </w:r>
            <w:r>
              <w:rPr>
                <w:rFonts w:ascii="Aptos Narrow" w:hAnsi="Aptos Narrow"/>
                <w:noProof/>
                <w:sz w:val="20"/>
              </w:rPr>
              <w:t>.</w:t>
            </w:r>
            <w:r w:rsidRPr="00F249C9">
              <w:rPr>
                <w:rFonts w:ascii="Aptos Narrow" w:hAnsi="Aptos Narrow"/>
                <w:noProof/>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28882BDC" w14:textId="77777777" w:rsidTr="00E15FCF">
        <w:trPr>
          <w:trHeight w:val="213"/>
        </w:trPr>
        <w:tc>
          <w:tcPr>
            <w:tcW w:w="1666" w:type="dxa"/>
            <w:shd w:val="clear" w:color="auto" w:fill="F2F2F2" w:themeFill="background1" w:themeFillShade="F2"/>
            <w:vAlign w:val="center"/>
          </w:tcPr>
          <w:p w14:paraId="3BA00643" w14:textId="77777777" w:rsidR="00BC4B2D" w:rsidRPr="00540F07" w:rsidRDefault="00BC4B2D" w:rsidP="00E15FCF">
            <w:pPr>
              <w:jc w:val="left"/>
              <w:rPr>
                <w:noProof/>
                <w:sz w:val="20"/>
                <w:szCs w:val="20"/>
              </w:rPr>
            </w:pPr>
            <w:r>
              <w:rPr>
                <w:rFonts w:ascii="Aptos Narrow" w:hAnsi="Aptos Narrow"/>
                <w:noProof/>
                <w:color w:val="000000"/>
                <w:sz w:val="20"/>
              </w:rPr>
              <w:t>Lituania</w:t>
            </w:r>
          </w:p>
        </w:tc>
        <w:tc>
          <w:tcPr>
            <w:tcW w:w="5847" w:type="dxa"/>
            <w:shd w:val="clear" w:color="auto" w:fill="F2F2F2" w:themeFill="background1" w:themeFillShade="F2"/>
            <w:vAlign w:val="center"/>
          </w:tcPr>
          <w:p w14:paraId="051D1F4C"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Agenția pentru Protecția Mediului, Divizia pentru Autorizarea Deșeurilor</w:t>
            </w:r>
          </w:p>
        </w:tc>
        <w:tc>
          <w:tcPr>
            <w:tcW w:w="1475" w:type="dxa"/>
            <w:shd w:val="clear" w:color="auto" w:fill="F2F2F2" w:themeFill="background1" w:themeFillShade="F2"/>
            <w:vAlign w:val="bottom"/>
          </w:tcPr>
          <w:p w14:paraId="494649C0"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30</w:t>
            </w:r>
            <w:r>
              <w:rPr>
                <w:rFonts w:ascii="Aptos Narrow" w:hAnsi="Aptos Narrow"/>
                <w:noProof/>
                <w:color w:val="000000"/>
                <w:sz w:val="20"/>
              </w:rPr>
              <w:t>.</w:t>
            </w:r>
            <w:r w:rsidRPr="00F249C9">
              <w:rPr>
                <w:rFonts w:ascii="Aptos Narrow" w:hAnsi="Aptos Narrow"/>
                <w:noProof/>
                <w:color w:val="000000"/>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078489C6" w14:textId="77777777" w:rsidTr="00E15FCF">
        <w:trPr>
          <w:trHeight w:val="204"/>
        </w:trPr>
        <w:tc>
          <w:tcPr>
            <w:tcW w:w="1666" w:type="dxa"/>
            <w:shd w:val="clear" w:color="auto" w:fill="F2F2F2" w:themeFill="background1" w:themeFillShade="F2"/>
            <w:vAlign w:val="center"/>
          </w:tcPr>
          <w:p w14:paraId="0B0759FC" w14:textId="77777777" w:rsidR="00BC4B2D" w:rsidRPr="00540F07" w:rsidRDefault="00BC4B2D" w:rsidP="00E15FCF">
            <w:pPr>
              <w:jc w:val="left"/>
              <w:rPr>
                <w:noProof/>
                <w:sz w:val="20"/>
                <w:szCs w:val="20"/>
              </w:rPr>
            </w:pPr>
            <w:r>
              <w:rPr>
                <w:rFonts w:ascii="Aptos Narrow" w:hAnsi="Aptos Narrow"/>
                <w:noProof/>
                <w:color w:val="000000"/>
                <w:sz w:val="20"/>
              </w:rPr>
              <w:t>Luxemburg</w:t>
            </w:r>
          </w:p>
        </w:tc>
        <w:tc>
          <w:tcPr>
            <w:tcW w:w="5847" w:type="dxa"/>
            <w:shd w:val="clear" w:color="auto" w:fill="F2F2F2" w:themeFill="background1" w:themeFillShade="F2"/>
            <w:vAlign w:val="center"/>
          </w:tcPr>
          <w:p w14:paraId="3413E1D4"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Agenția de mediu</w:t>
            </w:r>
          </w:p>
        </w:tc>
        <w:tc>
          <w:tcPr>
            <w:tcW w:w="1475" w:type="dxa"/>
            <w:shd w:val="clear" w:color="auto" w:fill="F2F2F2" w:themeFill="background1" w:themeFillShade="F2"/>
            <w:vAlign w:val="bottom"/>
          </w:tcPr>
          <w:p w14:paraId="79CB4E37"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27</w:t>
            </w:r>
            <w:r>
              <w:rPr>
                <w:rFonts w:ascii="Aptos Narrow" w:hAnsi="Aptos Narrow"/>
                <w:noProof/>
                <w:color w:val="000000"/>
                <w:sz w:val="20"/>
              </w:rPr>
              <w:t>.</w:t>
            </w:r>
            <w:r w:rsidRPr="00F249C9">
              <w:rPr>
                <w:rFonts w:ascii="Aptos Narrow" w:hAnsi="Aptos Narrow"/>
                <w:noProof/>
                <w:color w:val="000000"/>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073B58C9" w14:textId="77777777" w:rsidTr="00E15FCF">
        <w:trPr>
          <w:trHeight w:val="213"/>
        </w:trPr>
        <w:tc>
          <w:tcPr>
            <w:tcW w:w="1666" w:type="dxa"/>
            <w:shd w:val="clear" w:color="auto" w:fill="F2F2F2" w:themeFill="background1" w:themeFillShade="F2"/>
            <w:vAlign w:val="center"/>
          </w:tcPr>
          <w:p w14:paraId="02A612BA" w14:textId="77777777" w:rsidR="00BC4B2D" w:rsidRPr="00540F07" w:rsidRDefault="00BC4B2D" w:rsidP="00E15FCF">
            <w:pPr>
              <w:jc w:val="left"/>
              <w:rPr>
                <w:noProof/>
                <w:sz w:val="20"/>
                <w:szCs w:val="20"/>
              </w:rPr>
            </w:pPr>
            <w:r>
              <w:rPr>
                <w:rFonts w:ascii="Aptos Narrow" w:hAnsi="Aptos Narrow"/>
                <w:noProof/>
                <w:color w:val="000000"/>
                <w:sz w:val="20"/>
              </w:rPr>
              <w:t>Malta</w:t>
            </w:r>
          </w:p>
        </w:tc>
        <w:tc>
          <w:tcPr>
            <w:tcW w:w="5847" w:type="dxa"/>
            <w:shd w:val="clear" w:color="auto" w:fill="F2F2F2" w:themeFill="background1" w:themeFillShade="F2"/>
            <w:vAlign w:val="center"/>
          </w:tcPr>
          <w:p w14:paraId="382919FA"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Autoritatea pentru Mediu și Resurse</w:t>
            </w:r>
          </w:p>
        </w:tc>
        <w:tc>
          <w:tcPr>
            <w:tcW w:w="1475" w:type="dxa"/>
            <w:shd w:val="clear" w:color="auto" w:fill="F2F2F2" w:themeFill="background1" w:themeFillShade="F2"/>
          </w:tcPr>
          <w:p w14:paraId="1BD64C57"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28</w:t>
            </w:r>
            <w:r>
              <w:rPr>
                <w:rFonts w:ascii="Aptos Narrow" w:hAnsi="Aptos Narrow"/>
                <w:noProof/>
                <w:color w:val="000000"/>
                <w:sz w:val="20"/>
              </w:rPr>
              <w:t>.</w:t>
            </w:r>
            <w:r w:rsidRPr="00F249C9">
              <w:rPr>
                <w:rFonts w:ascii="Aptos Narrow" w:hAnsi="Aptos Narrow"/>
                <w:noProof/>
                <w:color w:val="000000"/>
                <w:sz w:val="20"/>
              </w:rPr>
              <w:t>10</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733C1E5D" w14:textId="77777777" w:rsidTr="00E15FCF">
        <w:trPr>
          <w:trHeight w:val="204"/>
        </w:trPr>
        <w:tc>
          <w:tcPr>
            <w:tcW w:w="1666" w:type="dxa"/>
            <w:shd w:val="clear" w:color="auto" w:fill="F2F2F2" w:themeFill="background1" w:themeFillShade="F2"/>
            <w:vAlign w:val="center"/>
          </w:tcPr>
          <w:p w14:paraId="0AC9CCD2" w14:textId="77777777" w:rsidR="00BC4B2D" w:rsidRPr="00540F07" w:rsidRDefault="00BC4B2D" w:rsidP="00E15FCF">
            <w:pPr>
              <w:jc w:val="left"/>
              <w:rPr>
                <w:noProof/>
                <w:sz w:val="20"/>
                <w:szCs w:val="20"/>
              </w:rPr>
            </w:pPr>
            <w:r>
              <w:rPr>
                <w:rFonts w:ascii="Aptos Narrow" w:hAnsi="Aptos Narrow"/>
                <w:noProof/>
                <w:color w:val="000000"/>
                <w:sz w:val="20"/>
              </w:rPr>
              <w:t>Țările de Jos</w:t>
            </w:r>
          </w:p>
        </w:tc>
        <w:tc>
          <w:tcPr>
            <w:tcW w:w="5847" w:type="dxa"/>
            <w:shd w:val="clear" w:color="auto" w:fill="F2F2F2" w:themeFill="background1" w:themeFillShade="F2"/>
            <w:vAlign w:val="center"/>
          </w:tcPr>
          <w:p w14:paraId="7AC357CC" w14:textId="65DC72E8"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Direcția Generală pentru Lucrări Publice și Gospodărirea Apelor</w:t>
            </w:r>
          </w:p>
        </w:tc>
        <w:tc>
          <w:tcPr>
            <w:tcW w:w="1475" w:type="dxa"/>
            <w:shd w:val="clear" w:color="auto" w:fill="F2F2F2" w:themeFill="background1" w:themeFillShade="F2"/>
          </w:tcPr>
          <w:p w14:paraId="330C2033"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28</w:t>
            </w:r>
            <w:r>
              <w:rPr>
                <w:rFonts w:ascii="Aptos Narrow" w:hAnsi="Aptos Narrow"/>
                <w:noProof/>
                <w:color w:val="000000"/>
                <w:sz w:val="20"/>
              </w:rPr>
              <w:t>.</w:t>
            </w:r>
            <w:r w:rsidRPr="00F249C9">
              <w:rPr>
                <w:rFonts w:ascii="Aptos Narrow" w:hAnsi="Aptos Narrow"/>
                <w:noProof/>
                <w:color w:val="000000"/>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0BEDBF3A" w14:textId="77777777" w:rsidTr="00E15FCF">
        <w:trPr>
          <w:trHeight w:val="204"/>
        </w:trPr>
        <w:tc>
          <w:tcPr>
            <w:tcW w:w="1666" w:type="dxa"/>
            <w:shd w:val="clear" w:color="auto" w:fill="F2F2F2" w:themeFill="background1" w:themeFillShade="F2"/>
            <w:vAlign w:val="center"/>
          </w:tcPr>
          <w:p w14:paraId="6465CDD2" w14:textId="77777777" w:rsidR="00BC4B2D" w:rsidRPr="00540F07" w:rsidRDefault="00BC4B2D" w:rsidP="00E15FCF">
            <w:pPr>
              <w:jc w:val="left"/>
              <w:rPr>
                <w:noProof/>
                <w:sz w:val="20"/>
                <w:szCs w:val="20"/>
              </w:rPr>
            </w:pPr>
            <w:r>
              <w:rPr>
                <w:rFonts w:ascii="Aptos Narrow" w:hAnsi="Aptos Narrow"/>
                <w:noProof/>
                <w:color w:val="000000"/>
                <w:sz w:val="20"/>
              </w:rPr>
              <w:t>Norvegia*</w:t>
            </w:r>
          </w:p>
        </w:tc>
        <w:tc>
          <w:tcPr>
            <w:tcW w:w="5847" w:type="dxa"/>
            <w:shd w:val="clear" w:color="auto" w:fill="F2F2F2" w:themeFill="background1" w:themeFillShade="F2"/>
            <w:vAlign w:val="center"/>
          </w:tcPr>
          <w:p w14:paraId="3095CAD4"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Agenția de Mediu din Norvegia</w:t>
            </w:r>
          </w:p>
        </w:tc>
        <w:tc>
          <w:tcPr>
            <w:tcW w:w="1475" w:type="dxa"/>
            <w:shd w:val="clear" w:color="auto" w:fill="F2F2F2" w:themeFill="background1" w:themeFillShade="F2"/>
          </w:tcPr>
          <w:p w14:paraId="7D93032D"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25</w:t>
            </w:r>
            <w:r>
              <w:rPr>
                <w:rFonts w:ascii="Aptos Narrow" w:hAnsi="Aptos Narrow"/>
                <w:noProof/>
                <w:color w:val="000000"/>
                <w:sz w:val="20"/>
              </w:rPr>
              <w:t>.</w:t>
            </w:r>
            <w:r w:rsidRPr="00F249C9">
              <w:rPr>
                <w:rFonts w:ascii="Aptos Narrow" w:hAnsi="Aptos Narrow"/>
                <w:noProof/>
                <w:color w:val="000000"/>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0A9CFE0F" w14:textId="77777777" w:rsidTr="00E15FCF">
        <w:trPr>
          <w:trHeight w:val="420"/>
        </w:trPr>
        <w:tc>
          <w:tcPr>
            <w:tcW w:w="1666" w:type="dxa"/>
            <w:shd w:val="clear" w:color="auto" w:fill="F2F2F2" w:themeFill="background1" w:themeFillShade="F2"/>
            <w:vAlign w:val="center"/>
          </w:tcPr>
          <w:p w14:paraId="3ACDBA82" w14:textId="77777777" w:rsidR="00BC4B2D" w:rsidRPr="00540F07" w:rsidRDefault="00BC4B2D" w:rsidP="00E15FCF">
            <w:pPr>
              <w:jc w:val="left"/>
              <w:rPr>
                <w:noProof/>
                <w:sz w:val="20"/>
                <w:szCs w:val="20"/>
              </w:rPr>
            </w:pPr>
            <w:r>
              <w:rPr>
                <w:rFonts w:ascii="Aptos Narrow" w:hAnsi="Aptos Narrow"/>
                <w:noProof/>
                <w:color w:val="000000"/>
                <w:sz w:val="20"/>
              </w:rPr>
              <w:t>Polonia</w:t>
            </w:r>
          </w:p>
        </w:tc>
        <w:tc>
          <w:tcPr>
            <w:tcW w:w="5847" w:type="dxa"/>
            <w:shd w:val="clear" w:color="auto" w:fill="F2F2F2" w:themeFill="background1" w:themeFillShade="F2"/>
            <w:vAlign w:val="center"/>
          </w:tcPr>
          <w:p w14:paraId="0178EE0A"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Ministerul Climei și Mediului, Departamentul pentru Gestionarea Deșeurilor</w:t>
            </w:r>
          </w:p>
        </w:tc>
        <w:tc>
          <w:tcPr>
            <w:tcW w:w="1475" w:type="dxa"/>
            <w:shd w:val="clear" w:color="auto" w:fill="F2F2F2" w:themeFill="background1" w:themeFillShade="F2"/>
            <w:vAlign w:val="bottom"/>
          </w:tcPr>
          <w:p w14:paraId="17509CD3"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25</w:t>
            </w:r>
            <w:r>
              <w:rPr>
                <w:rFonts w:ascii="Aptos Narrow" w:hAnsi="Aptos Narrow"/>
                <w:noProof/>
                <w:color w:val="000000"/>
                <w:sz w:val="20"/>
              </w:rPr>
              <w:t>.</w:t>
            </w:r>
            <w:r w:rsidRPr="00F249C9">
              <w:rPr>
                <w:rFonts w:ascii="Aptos Narrow" w:hAnsi="Aptos Narrow"/>
                <w:noProof/>
                <w:color w:val="000000"/>
                <w:sz w:val="20"/>
              </w:rPr>
              <w:t>7</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14FEDE76" w14:textId="77777777" w:rsidTr="00E15FCF">
        <w:trPr>
          <w:trHeight w:val="204"/>
        </w:trPr>
        <w:tc>
          <w:tcPr>
            <w:tcW w:w="1666" w:type="dxa"/>
            <w:shd w:val="clear" w:color="auto" w:fill="F2F2F2" w:themeFill="background1" w:themeFillShade="F2"/>
            <w:vAlign w:val="center"/>
          </w:tcPr>
          <w:p w14:paraId="43CB354B" w14:textId="77777777" w:rsidR="00BC4B2D" w:rsidRPr="00540F07" w:rsidRDefault="00BC4B2D" w:rsidP="00E15FCF">
            <w:pPr>
              <w:jc w:val="left"/>
              <w:rPr>
                <w:noProof/>
                <w:sz w:val="20"/>
                <w:szCs w:val="20"/>
              </w:rPr>
            </w:pPr>
            <w:r>
              <w:rPr>
                <w:rFonts w:ascii="Aptos Narrow" w:hAnsi="Aptos Narrow"/>
                <w:noProof/>
                <w:color w:val="000000"/>
                <w:sz w:val="20"/>
              </w:rPr>
              <w:t>Portugalia</w:t>
            </w:r>
          </w:p>
        </w:tc>
        <w:tc>
          <w:tcPr>
            <w:tcW w:w="5847" w:type="dxa"/>
            <w:shd w:val="clear" w:color="auto" w:fill="F2F2F2" w:themeFill="background1" w:themeFillShade="F2"/>
            <w:vAlign w:val="center"/>
          </w:tcPr>
          <w:p w14:paraId="65C8440A"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Agenția de mediu</w:t>
            </w:r>
          </w:p>
        </w:tc>
        <w:tc>
          <w:tcPr>
            <w:tcW w:w="1475" w:type="dxa"/>
            <w:shd w:val="clear" w:color="auto" w:fill="F2F2F2" w:themeFill="background1" w:themeFillShade="F2"/>
            <w:vAlign w:val="bottom"/>
          </w:tcPr>
          <w:p w14:paraId="4EE72838"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28</w:t>
            </w:r>
            <w:r>
              <w:rPr>
                <w:rFonts w:ascii="Aptos Narrow" w:hAnsi="Aptos Narrow"/>
                <w:noProof/>
                <w:color w:val="000000"/>
                <w:sz w:val="20"/>
              </w:rPr>
              <w:t>.</w:t>
            </w:r>
            <w:r w:rsidRPr="00F249C9">
              <w:rPr>
                <w:rFonts w:ascii="Aptos Narrow" w:hAnsi="Aptos Narrow"/>
                <w:noProof/>
                <w:color w:val="000000"/>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6A68DBF5" w14:textId="77777777" w:rsidTr="00E15FCF">
        <w:trPr>
          <w:trHeight w:val="420"/>
        </w:trPr>
        <w:tc>
          <w:tcPr>
            <w:tcW w:w="1666" w:type="dxa"/>
            <w:shd w:val="clear" w:color="auto" w:fill="F2F2F2" w:themeFill="background1" w:themeFillShade="F2"/>
            <w:vAlign w:val="center"/>
          </w:tcPr>
          <w:p w14:paraId="10A920D9" w14:textId="77777777" w:rsidR="00BC4B2D" w:rsidRPr="00540F07" w:rsidRDefault="00BC4B2D" w:rsidP="00E15FCF">
            <w:pPr>
              <w:jc w:val="left"/>
              <w:rPr>
                <w:noProof/>
                <w:sz w:val="20"/>
                <w:szCs w:val="20"/>
              </w:rPr>
            </w:pPr>
            <w:r>
              <w:rPr>
                <w:rFonts w:ascii="Aptos Narrow" w:hAnsi="Aptos Narrow"/>
                <w:noProof/>
                <w:color w:val="000000"/>
                <w:sz w:val="20"/>
              </w:rPr>
              <w:t>România</w:t>
            </w:r>
          </w:p>
        </w:tc>
        <w:tc>
          <w:tcPr>
            <w:tcW w:w="5847" w:type="dxa"/>
            <w:shd w:val="clear" w:color="auto" w:fill="F2F2F2" w:themeFill="background1" w:themeFillShade="F2"/>
            <w:vAlign w:val="center"/>
          </w:tcPr>
          <w:p w14:paraId="435DDF5A"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Ministerul Mediului, Apelor și Pădurilor</w:t>
            </w:r>
          </w:p>
          <w:p w14:paraId="034E5438"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Ministrul Economiei, Antreprenoriatului și Turismului</w:t>
            </w:r>
          </w:p>
          <w:p w14:paraId="6F01979F" w14:textId="59A62C5E"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Agenția Națională pentru Pescuit și Acvacultură - raportare pentru elementul (d) (echipamente de pescuit)</w:t>
            </w:r>
          </w:p>
        </w:tc>
        <w:tc>
          <w:tcPr>
            <w:tcW w:w="1475" w:type="dxa"/>
            <w:shd w:val="clear" w:color="auto" w:fill="F2F2F2" w:themeFill="background1" w:themeFillShade="F2"/>
            <w:vAlign w:val="bottom"/>
          </w:tcPr>
          <w:p w14:paraId="2B22A035"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28</w:t>
            </w:r>
            <w:r>
              <w:rPr>
                <w:rFonts w:ascii="Aptos Narrow" w:hAnsi="Aptos Narrow"/>
                <w:noProof/>
                <w:color w:val="000000"/>
                <w:sz w:val="20"/>
              </w:rPr>
              <w:t>.</w:t>
            </w:r>
            <w:r w:rsidRPr="00F249C9">
              <w:rPr>
                <w:rFonts w:ascii="Aptos Narrow" w:hAnsi="Aptos Narrow"/>
                <w:noProof/>
                <w:color w:val="000000"/>
                <w:sz w:val="20"/>
              </w:rPr>
              <w:t>6</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2AA8F4C2" w14:textId="77777777" w:rsidTr="00E15FCF">
        <w:trPr>
          <w:trHeight w:val="213"/>
        </w:trPr>
        <w:tc>
          <w:tcPr>
            <w:tcW w:w="1666" w:type="dxa"/>
            <w:shd w:val="clear" w:color="auto" w:fill="F2F2F2" w:themeFill="background1" w:themeFillShade="F2"/>
            <w:vAlign w:val="center"/>
          </w:tcPr>
          <w:p w14:paraId="53CB2383" w14:textId="77777777" w:rsidR="00BC4B2D" w:rsidRPr="00540F07" w:rsidRDefault="00BC4B2D" w:rsidP="00E15FCF">
            <w:pPr>
              <w:jc w:val="left"/>
              <w:rPr>
                <w:noProof/>
                <w:sz w:val="20"/>
                <w:szCs w:val="20"/>
              </w:rPr>
            </w:pPr>
            <w:r>
              <w:rPr>
                <w:rFonts w:ascii="Aptos Narrow" w:hAnsi="Aptos Narrow"/>
                <w:noProof/>
                <w:color w:val="000000"/>
                <w:sz w:val="20"/>
              </w:rPr>
              <w:t>Slovacia</w:t>
            </w:r>
          </w:p>
        </w:tc>
        <w:tc>
          <w:tcPr>
            <w:tcW w:w="5847" w:type="dxa"/>
            <w:shd w:val="clear" w:color="auto" w:fill="F2F2F2" w:themeFill="background1" w:themeFillShade="F2"/>
            <w:vAlign w:val="center"/>
          </w:tcPr>
          <w:p w14:paraId="331E4CCE"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Agenția de mediu</w:t>
            </w:r>
          </w:p>
        </w:tc>
        <w:tc>
          <w:tcPr>
            <w:tcW w:w="1475" w:type="dxa"/>
            <w:shd w:val="clear" w:color="auto" w:fill="F2F2F2" w:themeFill="background1" w:themeFillShade="F2"/>
            <w:vAlign w:val="bottom"/>
          </w:tcPr>
          <w:p w14:paraId="2C754A1D"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10</w:t>
            </w:r>
            <w:r>
              <w:rPr>
                <w:rFonts w:ascii="Aptos Narrow" w:hAnsi="Aptos Narrow"/>
                <w:noProof/>
                <w:color w:val="000000"/>
                <w:sz w:val="20"/>
              </w:rPr>
              <w:t>.</w:t>
            </w:r>
            <w:r w:rsidRPr="00F249C9">
              <w:rPr>
                <w:rFonts w:ascii="Aptos Narrow" w:hAnsi="Aptos Narrow"/>
                <w:noProof/>
                <w:color w:val="000000"/>
                <w:sz w:val="20"/>
              </w:rPr>
              <w:t>10</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4A6D8B82" w14:textId="77777777" w:rsidTr="00E15FCF">
        <w:trPr>
          <w:trHeight w:val="204"/>
        </w:trPr>
        <w:tc>
          <w:tcPr>
            <w:tcW w:w="1666" w:type="dxa"/>
            <w:shd w:val="clear" w:color="auto" w:fill="F2F2F2" w:themeFill="background1" w:themeFillShade="F2"/>
            <w:vAlign w:val="center"/>
          </w:tcPr>
          <w:p w14:paraId="2EC26F20" w14:textId="77777777" w:rsidR="00BC4B2D" w:rsidRPr="00540F07" w:rsidRDefault="00BC4B2D" w:rsidP="00E15FCF">
            <w:pPr>
              <w:jc w:val="left"/>
              <w:rPr>
                <w:noProof/>
                <w:sz w:val="20"/>
                <w:szCs w:val="20"/>
              </w:rPr>
            </w:pPr>
            <w:r>
              <w:rPr>
                <w:rFonts w:ascii="Aptos Narrow" w:hAnsi="Aptos Narrow"/>
                <w:noProof/>
                <w:color w:val="000000"/>
                <w:sz w:val="20"/>
              </w:rPr>
              <w:t>Slovenia</w:t>
            </w:r>
          </w:p>
        </w:tc>
        <w:tc>
          <w:tcPr>
            <w:tcW w:w="5847" w:type="dxa"/>
            <w:shd w:val="clear" w:color="auto" w:fill="F2F2F2" w:themeFill="background1" w:themeFillShade="F2"/>
            <w:vAlign w:val="center"/>
          </w:tcPr>
          <w:p w14:paraId="742DDE63"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Agenția de Mediu (ARSO)</w:t>
            </w:r>
          </w:p>
        </w:tc>
        <w:tc>
          <w:tcPr>
            <w:tcW w:w="1475" w:type="dxa"/>
            <w:shd w:val="clear" w:color="auto" w:fill="F2F2F2" w:themeFill="background1" w:themeFillShade="F2"/>
            <w:vAlign w:val="bottom"/>
          </w:tcPr>
          <w:p w14:paraId="1EB96BE9"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14</w:t>
            </w:r>
            <w:r>
              <w:rPr>
                <w:rFonts w:ascii="Aptos Narrow" w:hAnsi="Aptos Narrow"/>
                <w:noProof/>
                <w:color w:val="000000"/>
                <w:sz w:val="20"/>
              </w:rPr>
              <w:t>.</w:t>
            </w:r>
            <w:r w:rsidRPr="00F249C9">
              <w:rPr>
                <w:rFonts w:ascii="Aptos Narrow" w:hAnsi="Aptos Narrow"/>
                <w:noProof/>
                <w:color w:val="000000"/>
                <w:sz w:val="20"/>
              </w:rPr>
              <w:t>8</w:t>
            </w:r>
            <w:r>
              <w:rPr>
                <w:rFonts w:ascii="Aptos Narrow" w:hAnsi="Aptos Narrow"/>
                <w:noProof/>
                <w:color w:val="000000"/>
                <w:sz w:val="20"/>
              </w:rPr>
              <w:t>.</w:t>
            </w:r>
            <w:r w:rsidRPr="00F249C9">
              <w:rPr>
                <w:rFonts w:ascii="Aptos Narrow" w:hAnsi="Aptos Narrow"/>
                <w:noProof/>
                <w:color w:val="000000"/>
                <w:sz w:val="20"/>
              </w:rPr>
              <w:t>2024</w:t>
            </w:r>
          </w:p>
        </w:tc>
      </w:tr>
      <w:tr w:rsidR="00BC4B2D" w:rsidRPr="00540F07" w14:paraId="051074DC" w14:textId="77777777" w:rsidTr="00E15FCF">
        <w:trPr>
          <w:trHeight w:val="420"/>
        </w:trPr>
        <w:tc>
          <w:tcPr>
            <w:tcW w:w="1666" w:type="dxa"/>
            <w:shd w:val="clear" w:color="auto" w:fill="F2F2F2" w:themeFill="background1" w:themeFillShade="F2"/>
            <w:vAlign w:val="center"/>
          </w:tcPr>
          <w:p w14:paraId="678DC71A" w14:textId="77777777" w:rsidR="00BC4B2D" w:rsidRPr="00540F07" w:rsidRDefault="00BC4B2D" w:rsidP="00E15FCF">
            <w:pPr>
              <w:jc w:val="left"/>
              <w:rPr>
                <w:noProof/>
                <w:sz w:val="20"/>
                <w:szCs w:val="20"/>
              </w:rPr>
            </w:pPr>
            <w:r>
              <w:rPr>
                <w:rFonts w:ascii="Aptos Narrow" w:hAnsi="Aptos Narrow"/>
                <w:noProof/>
                <w:color w:val="000000"/>
                <w:sz w:val="20"/>
              </w:rPr>
              <w:t>Spania</w:t>
            </w:r>
          </w:p>
        </w:tc>
        <w:tc>
          <w:tcPr>
            <w:tcW w:w="5847" w:type="dxa"/>
            <w:shd w:val="clear" w:color="auto" w:fill="F2F2F2" w:themeFill="background1" w:themeFillShade="F2"/>
            <w:vAlign w:val="center"/>
          </w:tcPr>
          <w:p w14:paraId="451C1839"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Ministerul Tranziției Ecologice și Problemelor Demografice</w:t>
            </w:r>
          </w:p>
        </w:tc>
        <w:tc>
          <w:tcPr>
            <w:tcW w:w="1475" w:type="dxa"/>
            <w:shd w:val="clear" w:color="auto" w:fill="F2F2F2" w:themeFill="background1" w:themeFillShade="F2"/>
            <w:vAlign w:val="bottom"/>
          </w:tcPr>
          <w:p w14:paraId="61DA0C23"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sz w:val="20"/>
              </w:rPr>
              <w:t>21</w:t>
            </w:r>
            <w:r>
              <w:rPr>
                <w:rFonts w:ascii="Aptos Narrow" w:hAnsi="Aptos Narrow"/>
                <w:noProof/>
                <w:sz w:val="20"/>
              </w:rPr>
              <w:t>.</w:t>
            </w:r>
            <w:r w:rsidRPr="00F249C9">
              <w:rPr>
                <w:rFonts w:ascii="Aptos Narrow" w:hAnsi="Aptos Narrow"/>
                <w:noProof/>
                <w:sz w:val="20"/>
              </w:rPr>
              <w:t>11</w:t>
            </w:r>
            <w:r>
              <w:rPr>
                <w:rFonts w:ascii="Aptos Narrow" w:hAnsi="Aptos Narrow"/>
                <w:noProof/>
                <w:sz w:val="20"/>
              </w:rPr>
              <w:t>.</w:t>
            </w:r>
            <w:r w:rsidRPr="00F249C9">
              <w:rPr>
                <w:rFonts w:ascii="Aptos Narrow" w:hAnsi="Aptos Narrow"/>
                <w:noProof/>
                <w:sz w:val="20"/>
              </w:rPr>
              <w:t>2024</w:t>
            </w:r>
          </w:p>
        </w:tc>
      </w:tr>
      <w:tr w:rsidR="00BC4B2D" w:rsidRPr="00540F07" w14:paraId="24EBF61B" w14:textId="77777777" w:rsidTr="00E15FCF">
        <w:trPr>
          <w:trHeight w:val="204"/>
        </w:trPr>
        <w:tc>
          <w:tcPr>
            <w:tcW w:w="1666" w:type="dxa"/>
            <w:shd w:val="clear" w:color="auto" w:fill="F2F2F2" w:themeFill="background1" w:themeFillShade="F2"/>
            <w:vAlign w:val="center"/>
          </w:tcPr>
          <w:p w14:paraId="635FBCBD" w14:textId="77777777" w:rsidR="00BC4B2D" w:rsidRPr="00540F07" w:rsidRDefault="00BC4B2D" w:rsidP="00E15FCF">
            <w:pPr>
              <w:jc w:val="left"/>
              <w:rPr>
                <w:noProof/>
                <w:sz w:val="20"/>
                <w:szCs w:val="20"/>
              </w:rPr>
            </w:pPr>
            <w:r>
              <w:rPr>
                <w:rFonts w:ascii="Aptos Narrow" w:hAnsi="Aptos Narrow"/>
                <w:noProof/>
                <w:color w:val="000000"/>
                <w:sz w:val="20"/>
              </w:rPr>
              <w:t>Suedia</w:t>
            </w:r>
          </w:p>
        </w:tc>
        <w:tc>
          <w:tcPr>
            <w:tcW w:w="5847" w:type="dxa"/>
            <w:shd w:val="clear" w:color="auto" w:fill="F2F2F2" w:themeFill="background1" w:themeFillShade="F2"/>
            <w:vAlign w:val="center"/>
          </w:tcPr>
          <w:p w14:paraId="6AD88DED" w14:textId="77777777" w:rsidR="00BC4B2D" w:rsidRPr="00540F07" w:rsidRDefault="00BC4B2D" w:rsidP="00E15FCF">
            <w:pPr>
              <w:jc w:val="left"/>
              <w:rPr>
                <w:rFonts w:ascii="Aptos Narrow" w:hAnsi="Aptos Narrow"/>
                <w:noProof/>
                <w:color w:val="000000"/>
                <w:sz w:val="20"/>
                <w:szCs w:val="20"/>
              </w:rPr>
            </w:pPr>
            <w:r>
              <w:rPr>
                <w:rFonts w:ascii="Aptos Narrow" w:hAnsi="Aptos Narrow"/>
                <w:noProof/>
                <w:color w:val="000000"/>
                <w:sz w:val="20"/>
              </w:rPr>
              <w:t>Agenția suedeză de protecție a naturii</w:t>
            </w:r>
          </w:p>
        </w:tc>
        <w:tc>
          <w:tcPr>
            <w:tcW w:w="1475" w:type="dxa"/>
            <w:shd w:val="clear" w:color="auto" w:fill="F2F2F2" w:themeFill="background1" w:themeFillShade="F2"/>
            <w:vAlign w:val="bottom"/>
          </w:tcPr>
          <w:p w14:paraId="10C9B330" w14:textId="77777777" w:rsidR="00BC4B2D" w:rsidRPr="00540F07" w:rsidRDefault="00BC4B2D" w:rsidP="00E15FCF">
            <w:pPr>
              <w:jc w:val="left"/>
              <w:rPr>
                <w:rFonts w:ascii="Aptos Narrow" w:hAnsi="Aptos Narrow"/>
                <w:noProof/>
                <w:color w:val="000000"/>
                <w:sz w:val="20"/>
                <w:szCs w:val="20"/>
              </w:rPr>
            </w:pPr>
            <w:r w:rsidRPr="00F249C9">
              <w:rPr>
                <w:rFonts w:ascii="Aptos Narrow" w:hAnsi="Aptos Narrow"/>
                <w:noProof/>
                <w:color w:val="000000"/>
                <w:sz w:val="20"/>
              </w:rPr>
              <w:t>27</w:t>
            </w:r>
            <w:r>
              <w:rPr>
                <w:rFonts w:ascii="Aptos Narrow" w:hAnsi="Aptos Narrow"/>
                <w:noProof/>
                <w:color w:val="000000"/>
                <w:sz w:val="20"/>
              </w:rPr>
              <w:t>.</w:t>
            </w:r>
            <w:r w:rsidRPr="00F249C9">
              <w:rPr>
                <w:rFonts w:ascii="Aptos Narrow" w:hAnsi="Aptos Narrow"/>
                <w:noProof/>
                <w:color w:val="000000"/>
                <w:sz w:val="20"/>
              </w:rPr>
              <w:t>6</w:t>
            </w:r>
            <w:r>
              <w:rPr>
                <w:rFonts w:ascii="Aptos Narrow" w:hAnsi="Aptos Narrow"/>
                <w:noProof/>
                <w:color w:val="000000"/>
                <w:sz w:val="20"/>
              </w:rPr>
              <w:t>.</w:t>
            </w:r>
            <w:r w:rsidRPr="00F249C9">
              <w:rPr>
                <w:rFonts w:ascii="Aptos Narrow" w:hAnsi="Aptos Narrow"/>
                <w:noProof/>
                <w:color w:val="000000"/>
                <w:sz w:val="20"/>
              </w:rPr>
              <w:t>2024</w:t>
            </w:r>
          </w:p>
        </w:tc>
      </w:tr>
    </w:tbl>
    <w:p w14:paraId="555AA292" w14:textId="4D050613" w:rsidR="00540F07" w:rsidRDefault="006E55E3" w:rsidP="002A71ED">
      <w:pPr>
        <w:rPr>
          <w:noProof/>
          <w:sz w:val="20"/>
          <w:szCs w:val="20"/>
        </w:rPr>
      </w:pPr>
      <w:r>
        <w:rPr>
          <w:noProof/>
          <w:sz w:val="20"/>
        </w:rPr>
        <w:t>Țări SEE-AELS.</w:t>
      </w:r>
    </w:p>
    <w:p w14:paraId="0D6E488E" w14:textId="13BB28C8" w:rsidR="00540F07" w:rsidRDefault="00540F07" w:rsidP="002A71ED">
      <w:pPr>
        <w:rPr>
          <w:noProof/>
          <w:sz w:val="20"/>
          <w:szCs w:val="20"/>
        </w:rPr>
        <w:sectPr w:rsidR="00540F07" w:rsidSect="00862309">
          <w:headerReference w:type="default" r:id="rId78"/>
          <w:footerReference w:type="default" r:id="rId79"/>
          <w:pgSz w:w="11906" w:h="16838"/>
          <w:pgMar w:top="1440" w:right="1440" w:bottom="1440" w:left="1440" w:header="708" w:footer="708" w:gutter="0"/>
          <w:cols w:space="708"/>
          <w:docGrid w:linePitch="360"/>
        </w:sectPr>
      </w:pPr>
    </w:p>
    <w:p w14:paraId="16F014BF" w14:textId="77777777" w:rsidR="008E253E" w:rsidRPr="00627F8D" w:rsidRDefault="008E253E" w:rsidP="00925BD3">
      <w:pPr>
        <w:pStyle w:val="Heading3"/>
        <w:rPr>
          <w:noProof/>
        </w:rPr>
      </w:pPr>
      <w:bookmarkStart w:id="103" w:name="_Ref185250152"/>
      <w:bookmarkStart w:id="104" w:name="_Toc185251730"/>
      <w:bookmarkStart w:id="105" w:name="_Toc185499273"/>
      <w:bookmarkStart w:id="106" w:name="_Toc221701598"/>
      <w:r w:rsidRPr="00627F8D">
        <w:rPr>
          <w:noProof/>
        </w:rPr>
        <w:t>Anexa 8: Rezumatul rezultatelor sondajului efectuat în rândul țărilor raportoare</w:t>
      </w:r>
      <w:bookmarkEnd w:id="103"/>
      <w:bookmarkEnd w:id="104"/>
      <w:bookmarkEnd w:id="105"/>
      <w:bookmarkEnd w:id="106"/>
    </w:p>
    <w:p w14:paraId="7F4278A5" w14:textId="77777777" w:rsidR="008E253E" w:rsidRPr="004A0A8E" w:rsidRDefault="008E253E" w:rsidP="008E253E">
      <w:pPr>
        <w:rPr>
          <w:noProof/>
        </w:rPr>
      </w:pPr>
      <w:r w:rsidRPr="00627F8D">
        <w:rPr>
          <w:b/>
          <w:noProof/>
        </w:rPr>
        <w:t>Prezentare generală</w:t>
      </w:r>
      <w:r>
        <w:rPr>
          <w:noProof/>
        </w:rPr>
        <w:t xml:space="preserve"> </w:t>
      </w:r>
    </w:p>
    <w:p w14:paraId="341B5824" w14:textId="4BC29C22" w:rsidR="008E253E" w:rsidRPr="004A0A8E" w:rsidRDefault="008E253E" w:rsidP="008E253E">
      <w:pPr>
        <w:rPr>
          <w:noProof/>
        </w:rPr>
      </w:pPr>
      <w:r>
        <w:rPr>
          <w:noProof/>
        </w:rPr>
        <w:t xml:space="preserve">Sondajul a colectat feedback din partea a </w:t>
      </w:r>
      <w:r w:rsidRPr="00F249C9">
        <w:rPr>
          <w:noProof/>
        </w:rPr>
        <w:t>12</w:t>
      </w:r>
      <w:r>
        <w:rPr>
          <w:noProof/>
        </w:rPr>
        <w:t xml:space="preserve"> țări cu privire la experiența acestora în cadrul procesului de raportare aferent Directivei privind produsele din plastic de unică folosință în </w:t>
      </w:r>
      <w:r w:rsidRPr="00F249C9">
        <w:rPr>
          <w:noProof/>
        </w:rPr>
        <w:t>2024</w:t>
      </w:r>
      <w:r>
        <w:rPr>
          <w:noProof/>
        </w:rPr>
        <w:t>, precum și cu privire la opiniile lor referitoare la următoarea rundă de raportare. Raportorii au evaluat nivelul de satisfacție al țărilor față de proces, au evidențiat provocările întâmpinate și au formulat sugestii pentru îmbunătățirea acestuia. Mai jos sunt prezentate principalele constatări.</w:t>
      </w:r>
    </w:p>
    <w:p w14:paraId="18111CD8" w14:textId="0A4EA827" w:rsidR="008E253E" w:rsidRPr="004A0A8E" w:rsidRDefault="008E253E" w:rsidP="008E253E">
      <w:pPr>
        <w:rPr>
          <w:noProof/>
        </w:rPr>
      </w:pPr>
      <w:r w:rsidRPr="00627F8D">
        <w:rPr>
          <w:b/>
          <w:noProof/>
        </w:rPr>
        <w:t>Satisfacția față de procesul de raportare</w:t>
      </w:r>
    </w:p>
    <w:p w14:paraId="638C540C" w14:textId="77777777" w:rsidR="00665291" w:rsidRDefault="00665291" w:rsidP="00665291">
      <w:pPr>
        <w:rPr>
          <w:noProof/>
        </w:rPr>
      </w:pPr>
      <w:r>
        <w:rPr>
          <w:noProof/>
        </w:rPr>
        <w:t xml:space="preserve">Punctajele de satisfacție au variat între </w:t>
      </w:r>
      <w:r w:rsidRPr="00F249C9">
        <w:rPr>
          <w:noProof/>
        </w:rPr>
        <w:t>4</w:t>
      </w:r>
      <w:r>
        <w:rPr>
          <w:noProof/>
        </w:rPr>
        <w:t xml:space="preserve"> și </w:t>
      </w:r>
      <w:r w:rsidRPr="00F249C9">
        <w:rPr>
          <w:noProof/>
        </w:rPr>
        <w:t>10</w:t>
      </w:r>
      <w:r>
        <w:rPr>
          <w:noProof/>
        </w:rPr>
        <w:t xml:space="preserve">, majoritatea situându-se între </w:t>
      </w:r>
      <w:r w:rsidRPr="00F249C9">
        <w:rPr>
          <w:noProof/>
        </w:rPr>
        <w:t>7</w:t>
      </w:r>
      <w:r>
        <w:rPr>
          <w:noProof/>
        </w:rPr>
        <w:t xml:space="preserve"> și </w:t>
      </w:r>
      <w:r w:rsidRPr="00F249C9">
        <w:rPr>
          <w:noProof/>
        </w:rPr>
        <w:t>9</w:t>
      </w:r>
      <w:r>
        <w:rPr>
          <w:noProof/>
        </w:rPr>
        <w:t xml:space="preserve">. Punctajul mediu de satisfacție a fost de aproximativ </w:t>
      </w:r>
      <w:r w:rsidRPr="00F249C9">
        <w:rPr>
          <w:noProof/>
        </w:rPr>
        <w:t>7</w:t>
      </w:r>
      <w:r>
        <w:rPr>
          <w:noProof/>
        </w:rPr>
        <w:t>,</w:t>
      </w:r>
      <w:r w:rsidRPr="00F249C9">
        <w:rPr>
          <w:noProof/>
        </w:rPr>
        <w:t>7</w:t>
      </w:r>
      <w:r>
        <w:rPr>
          <w:noProof/>
        </w:rPr>
        <w:t>, ceea ce indică o evaluare general pozitivă, cu posibilități de îmbunătățire.</w:t>
      </w:r>
    </w:p>
    <w:p w14:paraId="19813870" w14:textId="4F2B122A" w:rsidR="00665291" w:rsidRPr="00C77EEA" w:rsidRDefault="0057076F" w:rsidP="00665291">
      <w:pPr>
        <w:jc w:val="center"/>
        <w:rPr>
          <w:noProof/>
        </w:rPr>
      </w:pPr>
      <w:r>
        <w:rPr>
          <w:noProof/>
          <w:lang w:val="en-GB" w:eastAsia="en-GB"/>
        </w:rPr>
        <w:drawing>
          <wp:inline distT="0" distB="0" distL="0" distR="0" wp14:anchorId="18DE5422" wp14:editId="7C06EA8C">
            <wp:extent cx="2412000" cy="1825200"/>
            <wp:effectExtent l="0" t="0" r="7620" b="3810"/>
            <wp:docPr id="60827780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412000" cy="1825200"/>
                    </a:xfrm>
                    <a:prstGeom prst="rect">
                      <a:avLst/>
                    </a:prstGeom>
                    <a:noFill/>
                  </pic:spPr>
                </pic:pic>
              </a:graphicData>
            </a:graphic>
          </wp:inline>
        </w:drawing>
      </w:r>
    </w:p>
    <w:p w14:paraId="0D5EDFA1" w14:textId="40407C89" w:rsidR="008E253E" w:rsidRPr="004A0A8E" w:rsidRDefault="004A4AFC" w:rsidP="008E253E">
      <w:pPr>
        <w:rPr>
          <w:noProof/>
        </w:rPr>
      </w:pPr>
      <w:r w:rsidRPr="00627F8D">
        <w:rPr>
          <w:b/>
          <w:noProof/>
        </w:rPr>
        <w:t>Cele mai utile elemente de sprijin</w:t>
      </w:r>
      <w:r>
        <w:rPr>
          <w:noProof/>
        </w:rPr>
        <w:t xml:space="preserve"> </w:t>
      </w:r>
    </w:p>
    <w:p w14:paraId="0BB5ED25" w14:textId="77777777" w:rsidR="008E253E" w:rsidRPr="004A0A8E" w:rsidRDefault="008E253E" w:rsidP="008E253E">
      <w:pPr>
        <w:rPr>
          <w:noProof/>
        </w:rPr>
      </w:pPr>
      <w:r>
        <w:rPr>
          <w:noProof/>
        </w:rPr>
        <w:t>Raportorii au identificat următoarele elemente de sprijin ca fiind cele mai utile:</w:t>
      </w:r>
    </w:p>
    <w:p w14:paraId="5D576D1F" w14:textId="1289A38A" w:rsidR="008E253E" w:rsidRPr="004A0A8E" w:rsidRDefault="003B2D24" w:rsidP="00474F5C">
      <w:pPr>
        <w:numPr>
          <w:ilvl w:val="0"/>
          <w:numId w:val="7"/>
        </w:numPr>
        <w:spacing w:before="120" w:after="0"/>
        <w:ind w:left="714" w:hanging="357"/>
        <w:rPr>
          <w:noProof/>
        </w:rPr>
      </w:pPr>
      <w:r w:rsidRPr="00627F8D">
        <w:rPr>
          <w:b/>
          <w:noProof/>
        </w:rPr>
        <w:t>manualul pentru raportori</w:t>
      </w:r>
      <w:r>
        <w:rPr>
          <w:noProof/>
        </w:rPr>
        <w:t>: menționat frecvent ca resursă esențială de orientare;</w:t>
      </w:r>
    </w:p>
    <w:p w14:paraId="7E021F71" w14:textId="06DF15D2" w:rsidR="008E253E" w:rsidRPr="004A0A8E" w:rsidRDefault="003B2D24" w:rsidP="00474F5C">
      <w:pPr>
        <w:numPr>
          <w:ilvl w:val="0"/>
          <w:numId w:val="7"/>
        </w:numPr>
        <w:spacing w:before="120" w:after="0"/>
        <w:ind w:left="714" w:hanging="357"/>
        <w:rPr>
          <w:noProof/>
        </w:rPr>
      </w:pPr>
      <w:r w:rsidRPr="00627F8D">
        <w:rPr>
          <w:b/>
          <w:noProof/>
        </w:rPr>
        <w:t>serviciul de asistență tehnică</w:t>
      </w:r>
      <w:r>
        <w:rPr>
          <w:noProof/>
        </w:rPr>
        <w:t>: apreciat pentru capacitatea de reacție;</w:t>
      </w:r>
    </w:p>
    <w:p w14:paraId="327D2272" w14:textId="0E4D62AA" w:rsidR="008E253E" w:rsidRPr="004A0A8E" w:rsidRDefault="003B2D24" w:rsidP="00474F5C">
      <w:pPr>
        <w:numPr>
          <w:ilvl w:val="0"/>
          <w:numId w:val="7"/>
        </w:numPr>
        <w:spacing w:before="120" w:after="0"/>
        <w:ind w:left="714" w:hanging="357"/>
        <w:rPr>
          <w:noProof/>
        </w:rPr>
      </w:pPr>
      <w:r w:rsidRPr="00627F8D">
        <w:rPr>
          <w:b/>
          <w:noProof/>
        </w:rPr>
        <w:t>webinarele</w:t>
      </w:r>
      <w:r>
        <w:rPr>
          <w:noProof/>
        </w:rPr>
        <w:t>: considerate utile pentru clarificarea cerințelor complexe și pentru schimbul de bune practici;</w:t>
      </w:r>
    </w:p>
    <w:p w14:paraId="14D68F80" w14:textId="65E7E99A" w:rsidR="004A4AFC" w:rsidRDefault="00991B2E" w:rsidP="004A4AFC">
      <w:pPr>
        <w:jc w:val="center"/>
        <w:rPr>
          <w:noProof/>
        </w:rPr>
      </w:pPr>
      <w:r>
        <w:rPr>
          <w:noProof/>
          <w:lang w:val="en-GB" w:eastAsia="en-GB"/>
        </w:rPr>
        <w:drawing>
          <wp:inline distT="0" distB="0" distL="0" distR="0" wp14:anchorId="236EF51F" wp14:editId="618EAC01">
            <wp:extent cx="2455200" cy="1346400"/>
            <wp:effectExtent l="0" t="0" r="2540" b="6350"/>
            <wp:docPr id="12041420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455200" cy="1346400"/>
                    </a:xfrm>
                    <a:prstGeom prst="rect">
                      <a:avLst/>
                    </a:prstGeom>
                    <a:noFill/>
                  </pic:spPr>
                </pic:pic>
              </a:graphicData>
            </a:graphic>
          </wp:inline>
        </w:drawing>
      </w:r>
    </w:p>
    <w:p w14:paraId="618EE416" w14:textId="7C8D0EB4" w:rsidR="008E253E" w:rsidRPr="004A0A8E" w:rsidRDefault="004A4AFC" w:rsidP="008E253E">
      <w:pPr>
        <w:rPr>
          <w:noProof/>
        </w:rPr>
      </w:pPr>
      <w:r w:rsidRPr="00627F8D">
        <w:rPr>
          <w:b/>
          <w:noProof/>
        </w:rPr>
        <w:t>Principalele provocări întâmpinate</w:t>
      </w:r>
      <w:r>
        <w:rPr>
          <w:noProof/>
        </w:rPr>
        <w:t xml:space="preserve"> </w:t>
      </w:r>
    </w:p>
    <w:p w14:paraId="41D0F9E8" w14:textId="77777777" w:rsidR="008E253E" w:rsidRPr="004A0A8E" w:rsidRDefault="008E253E" w:rsidP="008E253E">
      <w:pPr>
        <w:rPr>
          <w:noProof/>
        </w:rPr>
      </w:pPr>
      <w:r>
        <w:rPr>
          <w:noProof/>
        </w:rPr>
        <w:t>Țările au evidențiat mai multe provocări, mai precis:</w:t>
      </w:r>
    </w:p>
    <w:p w14:paraId="7E67C3F2" w14:textId="49FD2D63" w:rsidR="004A4AFC" w:rsidRPr="00C77EEA" w:rsidRDefault="003B2D24" w:rsidP="00474F5C">
      <w:pPr>
        <w:numPr>
          <w:ilvl w:val="0"/>
          <w:numId w:val="8"/>
        </w:numPr>
        <w:spacing w:before="120" w:after="0"/>
        <w:ind w:left="714" w:hanging="357"/>
        <w:rPr>
          <w:noProof/>
        </w:rPr>
      </w:pPr>
      <w:r w:rsidRPr="00627F8D">
        <w:rPr>
          <w:b/>
          <w:noProof/>
        </w:rPr>
        <w:t>probleme legate de colectarea datelor</w:t>
      </w:r>
      <w:r>
        <w:rPr>
          <w:noProof/>
        </w:rPr>
        <w:t xml:space="preserve">: multe țări au întâmpinat dificultăți în colectarea unor date complete și exacte; </w:t>
      </w:r>
    </w:p>
    <w:p w14:paraId="6DD5174B" w14:textId="2148B9B6" w:rsidR="004A4AFC" w:rsidRPr="00C77EEA" w:rsidRDefault="003B2D24" w:rsidP="00474F5C">
      <w:pPr>
        <w:numPr>
          <w:ilvl w:val="0"/>
          <w:numId w:val="8"/>
        </w:numPr>
        <w:spacing w:before="120" w:after="0"/>
        <w:ind w:left="714" w:hanging="357"/>
        <w:rPr>
          <w:noProof/>
        </w:rPr>
      </w:pPr>
      <w:r w:rsidRPr="00627F8D">
        <w:rPr>
          <w:b/>
          <w:noProof/>
        </w:rPr>
        <w:t>formate complexe de raportare</w:t>
      </w:r>
      <w:r>
        <w:rPr>
          <w:noProof/>
        </w:rPr>
        <w:t>: unele țări au considerat că formatul de raportare în Excel este greoi;</w:t>
      </w:r>
    </w:p>
    <w:p w14:paraId="22EB862B" w14:textId="3E196041" w:rsidR="004A4AFC" w:rsidRPr="00C77EEA" w:rsidRDefault="003B2D24" w:rsidP="00474F5C">
      <w:pPr>
        <w:numPr>
          <w:ilvl w:val="0"/>
          <w:numId w:val="8"/>
        </w:numPr>
        <w:spacing w:before="120" w:after="0"/>
        <w:ind w:left="714" w:hanging="357"/>
        <w:rPr>
          <w:noProof/>
        </w:rPr>
      </w:pPr>
      <w:r w:rsidRPr="00627F8D">
        <w:rPr>
          <w:b/>
          <w:noProof/>
        </w:rPr>
        <w:t>constrângeri de timp</w:t>
      </w:r>
      <w:r>
        <w:rPr>
          <w:noProof/>
        </w:rPr>
        <w:t>: întârzieri în publicarea actelor de punere în aplicare, esențiale pentru colectarea datelor, care au întârziat elaborarea legislației naționale necesare pentru a permite colectarea de date dedicate.</w:t>
      </w:r>
    </w:p>
    <w:p w14:paraId="444117BE" w14:textId="77777777" w:rsidR="003B2D24" w:rsidRPr="00627F8D" w:rsidRDefault="003B2D24" w:rsidP="008E253E">
      <w:pPr>
        <w:rPr>
          <w:b/>
          <w:noProof/>
        </w:rPr>
      </w:pPr>
    </w:p>
    <w:p w14:paraId="1435CFF7" w14:textId="00C297AA" w:rsidR="008E253E" w:rsidRPr="004A0A8E" w:rsidRDefault="008E253E" w:rsidP="008E253E">
      <w:pPr>
        <w:rPr>
          <w:noProof/>
        </w:rPr>
      </w:pPr>
      <w:r w:rsidRPr="00627F8D">
        <w:rPr>
          <w:b/>
          <w:noProof/>
        </w:rPr>
        <w:t>Sugestii de îmbunătățire</w:t>
      </w:r>
      <w:r>
        <w:rPr>
          <w:noProof/>
        </w:rPr>
        <w:t xml:space="preserve"> </w:t>
      </w:r>
    </w:p>
    <w:p w14:paraId="6F77EE1A" w14:textId="6BFF1DFF" w:rsidR="008E253E" w:rsidRPr="004A0A8E" w:rsidRDefault="008E253E" w:rsidP="008E253E">
      <w:pPr>
        <w:rPr>
          <w:noProof/>
        </w:rPr>
      </w:pPr>
      <w:r>
        <w:rPr>
          <w:noProof/>
        </w:rPr>
        <w:t>Raportorii au propus o serie de îmbunătățiri, precum: (i) simplificarea modelelor de raportare și alinierea acestora la capacitățile practice de colectare a datelor; (ii) utilizarea unor formulare modulare care se extind în funcție de datele inițiale, pentru a reduce complexitatea; și (iii) furnizarea de orientări și exemple suplimentare, inclusiv posibilitatea înlocuirii webinarelor cu manuale mai cuprinzătoare pentru persoanele care nu pot participa.</w:t>
      </w:r>
    </w:p>
    <w:p w14:paraId="68340642" w14:textId="77777777" w:rsidR="004A4AFC" w:rsidRPr="00C77EEA" w:rsidRDefault="004A4AFC" w:rsidP="004A4AFC">
      <w:pPr>
        <w:rPr>
          <w:noProof/>
        </w:rPr>
      </w:pPr>
      <w:r w:rsidRPr="00627F8D">
        <w:rPr>
          <w:b/>
          <w:noProof/>
        </w:rPr>
        <w:t>Previziuni</w:t>
      </w:r>
    </w:p>
    <w:p w14:paraId="0FBD13F4" w14:textId="6236B7EA" w:rsidR="00665291" w:rsidRPr="00C77EEA" w:rsidRDefault="008E253E" w:rsidP="00665291">
      <w:pPr>
        <w:rPr>
          <w:noProof/>
        </w:rPr>
      </w:pPr>
      <w:r>
        <w:rPr>
          <w:noProof/>
        </w:rPr>
        <w:t xml:space="preserve">Majoritatea țărilor au indicat că intenționează să completeze câmpurile obligatorii și voluntare care au fost omise în acest an. </w:t>
      </w:r>
    </w:p>
    <w:p w14:paraId="63B340EB" w14:textId="7D7A2BF2" w:rsidR="00665291" w:rsidRDefault="0057076F" w:rsidP="00665291">
      <w:pPr>
        <w:jc w:val="center"/>
        <w:rPr>
          <w:noProof/>
        </w:rPr>
      </w:pPr>
      <w:r>
        <w:rPr>
          <w:noProof/>
          <w:lang w:val="en-GB" w:eastAsia="en-GB"/>
        </w:rPr>
        <w:drawing>
          <wp:inline distT="0" distB="0" distL="0" distR="0" wp14:anchorId="7C9EBA0C" wp14:editId="2E93D92A">
            <wp:extent cx="2656800" cy="1648800"/>
            <wp:effectExtent l="0" t="0" r="0" b="8890"/>
            <wp:docPr id="125139063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656800" cy="1648800"/>
                    </a:xfrm>
                    <a:prstGeom prst="rect">
                      <a:avLst/>
                    </a:prstGeom>
                    <a:noFill/>
                  </pic:spPr>
                </pic:pic>
              </a:graphicData>
            </a:graphic>
          </wp:inline>
        </w:drawing>
      </w:r>
    </w:p>
    <w:p w14:paraId="6ECE69EF" w14:textId="77777777" w:rsidR="008E253E" w:rsidRPr="004A0A8E" w:rsidRDefault="008E253E" w:rsidP="008E253E">
      <w:pPr>
        <w:rPr>
          <w:noProof/>
        </w:rPr>
      </w:pPr>
      <w:r>
        <w:rPr>
          <w:noProof/>
        </w:rPr>
        <w:t xml:space="preserve">Interesul pentru organizarea unui webinar în </w:t>
      </w:r>
      <w:r w:rsidRPr="00F249C9">
        <w:rPr>
          <w:noProof/>
        </w:rPr>
        <w:t>2025</w:t>
      </w:r>
      <w:r>
        <w:rPr>
          <w:noProof/>
        </w:rPr>
        <w:t>, destinat revizuirii rezultatelor acestei raportări din primul an și discutării posibilelor îmbunătățiri, a fost unul puternic, peste jumătate dintre respondenți exprimându-și sprijinul.</w:t>
      </w:r>
    </w:p>
    <w:p w14:paraId="7FC2EB9C" w14:textId="26828C72" w:rsidR="00665291" w:rsidRPr="00C77EEA" w:rsidRDefault="00665291" w:rsidP="00665291">
      <w:pPr>
        <w:rPr>
          <w:noProof/>
        </w:rPr>
      </w:pPr>
      <w:r w:rsidRPr="00627F8D">
        <w:rPr>
          <w:b/>
          <w:noProof/>
        </w:rPr>
        <w:t>Date pentru raportarea din 2025 aferentă elementelor (a), (b), (c) și (d) și stadiul de pregătire al schemelor de răspundere extinsă a producătorilor</w:t>
      </w:r>
    </w:p>
    <w:p w14:paraId="73D5AE30" w14:textId="55136D4B" w:rsidR="00665291" w:rsidRDefault="00665291" w:rsidP="00665291">
      <w:pPr>
        <w:rPr>
          <w:noProof/>
        </w:rPr>
      </w:pPr>
      <w:r>
        <w:rPr>
          <w:noProof/>
        </w:rPr>
        <w:t xml:space="preserve">Printre sursele de date identificate pentru raportarea de anul viitor se numără actele naționale de reglementare, rapoartele producătorilor și schemele de răspundere extinsă a producătorilor, deși unele surse de date rămân incomplete. Mai multe țări au semnalat întârzieri în punerea în aplicare a schemelor de răspundere extinsă a producătorilor, ceea ce a afectat disponibilitatea datelor pentru raportarea aferentă Directivei privind produsele din plastic de unică folosință din anul următor. </w:t>
      </w:r>
    </w:p>
    <w:p w14:paraId="678864A4" w14:textId="77777777" w:rsidR="00665291" w:rsidRDefault="00665291" w:rsidP="00665291">
      <w:pPr>
        <w:rPr>
          <w:noProof/>
        </w:rPr>
      </w:pPr>
    </w:p>
    <w:p w14:paraId="7689D57F" w14:textId="066B8298" w:rsidR="00665291" w:rsidRPr="00C77EEA" w:rsidRDefault="0057076F" w:rsidP="00665291">
      <w:pPr>
        <w:rPr>
          <w:noProof/>
        </w:rPr>
      </w:pPr>
      <w:r>
        <w:rPr>
          <w:noProof/>
          <w:lang w:val="en-GB" w:eastAsia="en-GB"/>
        </w:rPr>
        <w:drawing>
          <wp:inline distT="0" distB="0" distL="0" distR="0" wp14:anchorId="4649353E" wp14:editId="36F56981">
            <wp:extent cx="2606400" cy="1692000"/>
            <wp:effectExtent l="0" t="0" r="3810" b="3810"/>
            <wp:docPr id="13350070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06400" cy="1692000"/>
                    </a:xfrm>
                    <a:prstGeom prst="rect">
                      <a:avLst/>
                    </a:prstGeom>
                    <a:noFill/>
                  </pic:spPr>
                </pic:pic>
              </a:graphicData>
            </a:graphic>
          </wp:inline>
        </w:drawing>
      </w:r>
      <w:r w:rsidR="00B4615C">
        <w:rPr>
          <w:noProof/>
          <w:lang w:val="en-GB" w:eastAsia="en-GB"/>
        </w:rPr>
        <w:drawing>
          <wp:inline distT="0" distB="0" distL="0" distR="0" wp14:anchorId="6CB4D969" wp14:editId="1F02BAD7">
            <wp:extent cx="2851200" cy="1666800"/>
            <wp:effectExtent l="0" t="0" r="6350" b="0"/>
            <wp:docPr id="61054885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851200" cy="1666800"/>
                    </a:xfrm>
                    <a:prstGeom prst="rect">
                      <a:avLst/>
                    </a:prstGeom>
                    <a:noFill/>
                  </pic:spPr>
                </pic:pic>
              </a:graphicData>
            </a:graphic>
          </wp:inline>
        </w:drawing>
      </w:r>
    </w:p>
    <w:p w14:paraId="20D054E3" w14:textId="77777777" w:rsidR="008E253E" w:rsidRPr="00627F8D" w:rsidRDefault="008E253E" w:rsidP="008E253E">
      <w:pPr>
        <w:tabs>
          <w:tab w:val="left" w:pos="6125"/>
        </w:tabs>
        <w:rPr>
          <w:b/>
          <w:noProof/>
        </w:rPr>
      </w:pPr>
      <w:r w:rsidRPr="00627F8D">
        <w:rPr>
          <w:b/>
          <w:noProof/>
        </w:rPr>
        <w:t>Date pentru cele două obligații suplimentare de raportare în 2025</w:t>
      </w:r>
      <w:r>
        <w:rPr>
          <w:noProof/>
        </w:rPr>
        <w:tab/>
      </w:r>
    </w:p>
    <w:p w14:paraId="735543BB" w14:textId="77777777" w:rsidR="00665291" w:rsidRPr="004B5039" w:rsidRDefault="00665291" w:rsidP="00665291">
      <w:pPr>
        <w:rPr>
          <w:bCs/>
          <w:noProof/>
        </w:rPr>
      </w:pPr>
      <w:r>
        <w:rPr>
          <w:noProof/>
        </w:rPr>
        <w:t xml:space="preserve">Întrebați cu privire la identificarea surselor de date pentru cele două obligații suplimentare de raportare pentru anul următor (filtre pentru produse din tutun și conținut reciclat în sticlele din plastic de unică folosință pentru băuturi), respondenții au indicat un nivel mixt de pregătire, evidențiindu-se un anumit grad de incertitudine în rândul raportorilor. </w:t>
      </w:r>
    </w:p>
    <w:p w14:paraId="291450C6" w14:textId="37304F91" w:rsidR="00665291" w:rsidRPr="00627F8D" w:rsidRDefault="00991B2E" w:rsidP="00665291">
      <w:pPr>
        <w:rPr>
          <w:b/>
          <w:noProof/>
        </w:rPr>
      </w:pPr>
      <w:r>
        <w:rPr>
          <w:b/>
          <w:noProof/>
          <w:lang w:val="en-GB" w:eastAsia="en-GB"/>
        </w:rPr>
        <w:drawing>
          <wp:inline distT="0" distB="0" distL="0" distR="0" wp14:anchorId="667950EF" wp14:editId="7D9A15A0">
            <wp:extent cx="2476800" cy="1728000"/>
            <wp:effectExtent l="0" t="0" r="0" b="5715"/>
            <wp:docPr id="11466911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476800" cy="1728000"/>
                    </a:xfrm>
                    <a:prstGeom prst="rect">
                      <a:avLst/>
                    </a:prstGeom>
                    <a:noFill/>
                  </pic:spPr>
                </pic:pic>
              </a:graphicData>
            </a:graphic>
          </wp:inline>
        </w:drawing>
      </w:r>
      <w:r>
        <w:rPr>
          <w:b/>
          <w:noProof/>
          <w:lang w:val="en-GB" w:eastAsia="en-GB"/>
        </w:rPr>
        <w:drawing>
          <wp:inline distT="0" distB="0" distL="0" distR="0" wp14:anchorId="08A35179" wp14:editId="10F814A1">
            <wp:extent cx="2494800" cy="1724400"/>
            <wp:effectExtent l="0" t="0" r="1270" b="9525"/>
            <wp:docPr id="6001964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494800" cy="1724400"/>
                    </a:xfrm>
                    <a:prstGeom prst="rect">
                      <a:avLst/>
                    </a:prstGeom>
                    <a:noFill/>
                  </pic:spPr>
                </pic:pic>
              </a:graphicData>
            </a:graphic>
          </wp:inline>
        </w:drawing>
      </w:r>
    </w:p>
    <w:p w14:paraId="0B6B8EE1" w14:textId="77777777" w:rsidR="00665291" w:rsidRPr="00627F8D" w:rsidRDefault="00665291" w:rsidP="00665291">
      <w:pPr>
        <w:rPr>
          <w:b/>
          <w:noProof/>
        </w:rPr>
      </w:pPr>
    </w:p>
    <w:p w14:paraId="38550423" w14:textId="77777777" w:rsidR="008E253E" w:rsidRPr="004A0A8E" w:rsidRDefault="008E253E" w:rsidP="008E253E">
      <w:pPr>
        <w:rPr>
          <w:noProof/>
        </w:rPr>
      </w:pPr>
      <w:r w:rsidRPr="00627F8D">
        <w:rPr>
          <w:b/>
          <w:noProof/>
        </w:rPr>
        <w:t>Concluzie</w:t>
      </w:r>
      <w:r>
        <w:rPr>
          <w:noProof/>
        </w:rPr>
        <w:t xml:space="preserve"> </w:t>
      </w:r>
    </w:p>
    <w:p w14:paraId="308C879C" w14:textId="6554B900" w:rsidR="00665291" w:rsidRPr="00C77EEA" w:rsidRDefault="008E253E" w:rsidP="00665291">
      <w:pPr>
        <w:rPr>
          <w:noProof/>
        </w:rPr>
      </w:pPr>
      <w:r>
        <w:rPr>
          <w:noProof/>
        </w:rPr>
        <w:t>Deși satisfacția față de procesul de raportare a fost, în general, pozitivă, există oportunități clare de raționalizare a colectării datelor și a formatelor de raportare. O orientare mai bună și formulare simplificate reprezintă recomandări-cheie pentru îmbunătățirea procesului în următorul ciclu de raportare.</w:t>
      </w:r>
    </w:p>
    <w:p w14:paraId="7CDF10AF" w14:textId="77777777" w:rsidR="004A4AFC" w:rsidRDefault="004A4AFC" w:rsidP="004A4AFC">
      <w:pPr>
        <w:rPr>
          <w:noProof/>
        </w:rPr>
        <w:sectPr w:rsidR="004A4AFC" w:rsidSect="00862309">
          <w:headerReference w:type="default" r:id="rId87"/>
          <w:footerReference w:type="default" r:id="rId88"/>
          <w:pgSz w:w="11906" w:h="16838"/>
          <w:pgMar w:top="1440" w:right="1440" w:bottom="1440" w:left="1440" w:header="708" w:footer="708" w:gutter="0"/>
          <w:cols w:space="708"/>
          <w:docGrid w:linePitch="360"/>
        </w:sectPr>
      </w:pPr>
    </w:p>
    <w:p w14:paraId="07CB3AD4" w14:textId="252930C3" w:rsidR="00BE38A5" w:rsidRPr="00627F8D" w:rsidRDefault="00BE38A5" w:rsidP="00925BD3">
      <w:pPr>
        <w:pStyle w:val="Heading3"/>
        <w:rPr>
          <w:noProof/>
        </w:rPr>
      </w:pPr>
      <w:bookmarkStart w:id="107" w:name="_Toc185499274"/>
      <w:bookmarkStart w:id="108" w:name="_Toc221701599"/>
      <w:r w:rsidRPr="00627F8D">
        <w:rPr>
          <w:noProof/>
        </w:rPr>
        <w:t>Anexa 9: Surse de date și metodologii</w:t>
      </w:r>
      <w:bookmarkEnd w:id="107"/>
      <w:bookmarkEnd w:id="108"/>
    </w:p>
    <w:p w14:paraId="1A9C93EF" w14:textId="4C22C248" w:rsidR="00BE38A5" w:rsidRPr="004A0A8E" w:rsidRDefault="00BE38A5" w:rsidP="00BE38A5">
      <w:pPr>
        <w:rPr>
          <w:noProof/>
        </w:rPr>
      </w:pPr>
      <w:r>
        <w:rPr>
          <w:noProof/>
        </w:rPr>
        <w:t>Orientările Comisiei privind produsele din plastic de unică folosință, elaborate în conformitate cu Directiva privind produsele din plastic de unică folosință (</w:t>
      </w:r>
      <w:r w:rsidRPr="00F249C9">
        <w:rPr>
          <w:noProof/>
        </w:rPr>
        <w:t>2021</w:t>
      </w:r>
      <w:r>
        <w:rPr>
          <w:noProof/>
        </w:rPr>
        <w:t xml:space="preserve">/C </w:t>
      </w:r>
      <w:r w:rsidRPr="00F249C9">
        <w:rPr>
          <w:noProof/>
        </w:rPr>
        <w:t>216</w:t>
      </w:r>
      <w:r>
        <w:rPr>
          <w:noProof/>
        </w:rPr>
        <w:t>/</w:t>
      </w:r>
      <w:r w:rsidRPr="00F249C9">
        <w:rPr>
          <w:noProof/>
        </w:rPr>
        <w:t>01</w:t>
      </w:r>
      <w:r>
        <w:rPr>
          <w:noProof/>
        </w:rPr>
        <w:t>), oferă clarificări cu privire la elementele care intră în domeniul de aplicare al acesteia, inclusiv la cele care fac obiectul obligațiilor de raportare. Orientările clarifică, printre altele, ce poate fi considerat produs de unică folosință și ce este considerat plastic în sensul Directivei privind produsele din plastic de unică folosință. Orientările oferă, de asemenea, specificații pentru o mai bună identificare a capacelor sau a produselor/elementelor de închidere ale acestora. În ceea ce privește echipamentele de pescuit, detalii suplimentare pentru sprijinirea raportării datelor sunt furnizate în „</w:t>
      </w:r>
      <w:hyperlink r:id="rId89" w:history="1">
        <w:r w:rsidRPr="00627F8D">
          <w:rPr>
            <w:rStyle w:val="Hyperlink"/>
            <w:noProof/>
          </w:rPr>
          <w:t>Study to support the implementation of obligations set out in the Single Use Plastics and Port Reception Facilities Directives</w:t>
        </w:r>
      </w:hyperlink>
      <w:r>
        <w:rPr>
          <w:noProof/>
        </w:rPr>
        <w:t xml:space="preserve">” (Studiul din </w:t>
      </w:r>
      <w:r w:rsidRPr="00F249C9">
        <w:rPr>
          <w:noProof/>
        </w:rPr>
        <w:t>2020</w:t>
      </w:r>
      <w:r>
        <w:rPr>
          <w:noProof/>
        </w:rPr>
        <w:t xml:space="preserve"> în sprijinul punerii în aplicare a obligațiilor prevăzute în Directiva privind produsele din plastic de unică folosință și în Directiva privind instalațiile portuare de preluare), care oferă specificații privind domeniul de aplicare al raportării, posibilele surse de date, tipurile de echipamente de pescuit etc.</w:t>
      </w:r>
    </w:p>
    <w:p w14:paraId="24E8888C" w14:textId="6561D51F" w:rsidR="00BE38A5" w:rsidRDefault="00BE38A5" w:rsidP="00BE38A5">
      <w:pPr>
        <w:rPr>
          <w:noProof/>
        </w:rPr>
      </w:pPr>
      <w:r>
        <w:rPr>
          <w:noProof/>
        </w:rPr>
        <w:t xml:space="preserve">Pe lângă aceste documente de orientare, fiecare decizie de punere în aplicare a Comisiei oferă detalii privind formatul de raportare pentru toate elementele care fac obiectul obligațiilor de raportare. Aceasta include și formatul de raportare a surselor de date și a metodologiilor utilizate. Pentru elementul (a), Decizia de punere în aplicare (UE) </w:t>
      </w:r>
      <w:r w:rsidRPr="00F249C9">
        <w:rPr>
          <w:noProof/>
        </w:rPr>
        <w:t>2022</w:t>
      </w:r>
      <w:r>
        <w:rPr>
          <w:noProof/>
        </w:rPr>
        <w:t>/</w:t>
      </w:r>
      <w:r w:rsidRPr="00F249C9">
        <w:rPr>
          <w:noProof/>
        </w:rPr>
        <w:t>162</w:t>
      </w:r>
      <w:r>
        <w:rPr>
          <w:noProof/>
        </w:rPr>
        <w:t xml:space="preserve"> a Comisiei, iar pentru elementul (d), Decizia de punere în aplicare (UE) </w:t>
      </w:r>
      <w:r w:rsidRPr="00F249C9">
        <w:rPr>
          <w:noProof/>
        </w:rPr>
        <w:t>2021</w:t>
      </w:r>
      <w:r>
        <w:rPr>
          <w:noProof/>
        </w:rPr>
        <w:t>/</w:t>
      </w:r>
      <w:r w:rsidRPr="00F249C9">
        <w:rPr>
          <w:noProof/>
        </w:rPr>
        <w:t>958</w:t>
      </w:r>
      <w:r>
        <w:rPr>
          <w:noProof/>
        </w:rPr>
        <w:t xml:space="preserve"> a Comisiei solicită țărilor să declare sursele de date și metodologiile utilizate pentru raportare, pe baza unei liste de surse și metodologii posibile prevăzute în anexele acestora. În ceea ce privește elementul (b), raportarea se bazează pe cunoașterea măsurilor de către țări, iar Decizia de punere în aplicare (UE) </w:t>
      </w:r>
      <w:r w:rsidRPr="00F249C9">
        <w:rPr>
          <w:noProof/>
        </w:rPr>
        <w:t>2022</w:t>
      </w:r>
      <w:r>
        <w:rPr>
          <w:noProof/>
        </w:rPr>
        <w:t>/</w:t>
      </w:r>
      <w:r w:rsidRPr="00F249C9">
        <w:rPr>
          <w:noProof/>
        </w:rPr>
        <w:t>162</w:t>
      </w:r>
      <w:r>
        <w:rPr>
          <w:noProof/>
        </w:rPr>
        <w:t xml:space="preserve"> a Comisiei nu stabilește criterii specifice pe care măsurile trebuie să le îndeplinească pentru a fi raportate. Pentru elementul (c), orientările solicită țărilor să furnizeze detalii privind anumite elemente ale datelor, unele în mod voluntar, iar altele în mod obligatoriu, însă nu oferă o listă de referință specifică a surselor de date din care țările pot alege. În figurile de mai jos sunt prezentate detalii privind sursele de date/metodologiile utilizate de țări pentru fiecare element de raportare în temeiul Directivei privind produsele din plastic de unică folosință. Sursele de date și metodologiile sunt menționate împreună, întrucât acesta este modul în care aceste informații sunt prezentate în deciziile de punere în aplicare ale Comisiei.</w:t>
      </w:r>
    </w:p>
    <w:p w14:paraId="5762D8D0" w14:textId="7539E8F0" w:rsidR="00BD5721" w:rsidRDefault="00BD5721" w:rsidP="00BE38A5">
      <w:pPr>
        <w:rPr>
          <w:noProof/>
        </w:rPr>
      </w:pPr>
      <w:r>
        <w:rPr>
          <w:noProof/>
        </w:rPr>
        <w:t>Figurile de mai jos oferă o imagine de ansamblu a surselor de date/metodologiilor raportate de țări pentru elementele pentru care formatul de raportare prevede categorii predefinite ce pot fi selectate de raportori [elementul (a) și elementul (d)]:</w:t>
      </w:r>
    </w:p>
    <w:p w14:paraId="40DAD8D4" w14:textId="5FB1F056" w:rsidR="00026E6D" w:rsidRDefault="00026E6D" w:rsidP="00D45711">
      <w:pPr>
        <w:pStyle w:val="Caption"/>
        <w:keepNext/>
        <w:rPr>
          <w:b w:val="0"/>
          <w:bCs/>
          <w:noProof/>
        </w:rPr>
      </w:pPr>
      <w:r w:rsidRPr="00627F8D">
        <w:rPr>
          <w:noProof/>
        </w:rPr>
        <w:t>Figura 14: Sursele de date/metodologiile utilizate de țări pentru raportarea elementului (a).</w:t>
      </w:r>
      <w:r>
        <w:rPr>
          <w:b w:val="0"/>
          <w:noProof/>
        </w:rPr>
        <w:t xml:space="preserve"> Sursă: Rapoarte privind verificarea calității.</w:t>
      </w:r>
    </w:p>
    <w:p w14:paraId="3156953C" w14:textId="339C33ED" w:rsidR="00867C35" w:rsidRPr="00627F8D" w:rsidRDefault="007724F4" w:rsidP="00867C35">
      <w:pPr>
        <w:jc w:val="center"/>
        <w:rPr>
          <w:i/>
          <w:noProof/>
        </w:rPr>
      </w:pPr>
      <w:r>
        <w:rPr>
          <w:i/>
          <w:noProof/>
          <w:lang w:val="en-GB" w:eastAsia="en-GB"/>
        </w:rPr>
        <w:drawing>
          <wp:inline distT="0" distB="0" distL="0" distR="0" wp14:anchorId="7888BE04" wp14:editId="52833151">
            <wp:extent cx="5734221" cy="2781300"/>
            <wp:effectExtent l="0" t="0" r="0" b="0"/>
            <wp:docPr id="4677173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37876" cy="2783073"/>
                    </a:xfrm>
                    <a:prstGeom prst="rect">
                      <a:avLst/>
                    </a:prstGeom>
                    <a:noFill/>
                  </pic:spPr>
                </pic:pic>
              </a:graphicData>
            </a:graphic>
          </wp:inline>
        </w:drawing>
      </w:r>
    </w:p>
    <w:p w14:paraId="0F0CCF34" w14:textId="0343FB0E" w:rsidR="00026E6D" w:rsidRDefault="00026E6D" w:rsidP="00026E6D">
      <w:pPr>
        <w:pStyle w:val="Caption"/>
        <w:rPr>
          <w:b w:val="0"/>
          <w:bCs/>
          <w:noProof/>
        </w:rPr>
      </w:pPr>
      <w:r w:rsidRPr="00627F8D">
        <w:rPr>
          <w:noProof/>
        </w:rPr>
        <w:t>Figura 15: Sursele de date/metodologiile utilizate de țări pentru raportarea elementului (d).</w:t>
      </w:r>
      <w:r>
        <w:rPr>
          <w:b w:val="0"/>
          <w:noProof/>
        </w:rPr>
        <w:t xml:space="preserve"> Sursă: Rapoarte privind verificarea calității.</w:t>
      </w:r>
    </w:p>
    <w:p w14:paraId="33D6F6C9" w14:textId="4954E5BF" w:rsidR="00C509E2" w:rsidRDefault="00C5168B" w:rsidP="00C509E2">
      <w:pPr>
        <w:rPr>
          <w:noProof/>
        </w:rPr>
      </w:pPr>
      <w:r>
        <w:rPr>
          <w:noProof/>
          <w:lang w:val="en-GB" w:eastAsia="en-GB"/>
        </w:rPr>
        <w:drawing>
          <wp:inline distT="0" distB="0" distL="0" distR="0" wp14:anchorId="63C7CDA6" wp14:editId="58FE9C5D">
            <wp:extent cx="5922000" cy="2674800"/>
            <wp:effectExtent l="0" t="0" r="3175" b="0"/>
            <wp:docPr id="9738192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22000" cy="2674800"/>
                    </a:xfrm>
                    <a:prstGeom prst="rect">
                      <a:avLst/>
                    </a:prstGeom>
                    <a:noFill/>
                  </pic:spPr>
                </pic:pic>
              </a:graphicData>
            </a:graphic>
          </wp:inline>
        </w:drawing>
      </w:r>
    </w:p>
    <w:p w14:paraId="4A40DE9D" w14:textId="169FA6FE" w:rsidR="00E82DFE" w:rsidRPr="00E97BA9" w:rsidRDefault="00E82DFE" w:rsidP="00E97BA9">
      <w:pPr>
        <w:rPr>
          <w:noProof/>
          <w:lang w:val="en-GB"/>
        </w:rPr>
        <w:sectPr w:rsidR="00E82DFE" w:rsidRPr="00E97BA9" w:rsidSect="00862309">
          <w:headerReference w:type="default" r:id="rId92"/>
          <w:footerReference w:type="default" r:id="rId93"/>
          <w:pgSz w:w="11906" w:h="16838"/>
          <w:pgMar w:top="1440" w:right="1440" w:bottom="1440" w:left="1440" w:header="708" w:footer="708" w:gutter="0"/>
          <w:cols w:space="708"/>
          <w:docGrid w:linePitch="360"/>
        </w:sectPr>
      </w:pPr>
    </w:p>
    <w:p w14:paraId="462BBBB4" w14:textId="232B7518" w:rsidR="008E253E" w:rsidRPr="00627F8D" w:rsidRDefault="006C2915" w:rsidP="00925BD3">
      <w:pPr>
        <w:pStyle w:val="Heading3"/>
        <w:rPr>
          <w:noProof/>
        </w:rPr>
      </w:pPr>
      <w:bookmarkStart w:id="109" w:name="_Toc185499275"/>
      <w:bookmarkStart w:id="110" w:name="_Toc221701600"/>
      <w:r w:rsidRPr="00627F8D">
        <w:rPr>
          <w:noProof/>
        </w:rPr>
        <w:t>Anexa 10: Metodele de verificare și problemele de acuratețe identificate</w:t>
      </w:r>
      <w:bookmarkEnd w:id="109"/>
      <w:bookmarkEnd w:id="110"/>
    </w:p>
    <w:p w14:paraId="7B6DBAA0" w14:textId="53D9B323" w:rsidR="006C2915" w:rsidRPr="00627F8D" w:rsidRDefault="00026E6D" w:rsidP="004A650E">
      <w:pPr>
        <w:pStyle w:val="Caption"/>
        <w:rPr>
          <w:noProof/>
        </w:rPr>
      </w:pPr>
      <w:r w:rsidRPr="00627F8D">
        <w:rPr>
          <w:noProof/>
        </w:rPr>
        <w:t xml:space="preserve">Figura 16: </w:t>
      </w:r>
      <w:r w:rsidRPr="00627F8D">
        <w:rPr>
          <w:noProof/>
        </w:rPr>
        <w:fldChar w:fldCharType="begin"/>
      </w:r>
      <w:r w:rsidRPr="00627F8D">
        <w:rPr>
          <w:noProof/>
        </w:rPr>
        <w:instrText xml:space="preserve"> SEQ Figure \* ARABIC </w:instrText>
      </w:r>
      <w:r w:rsidRPr="00627F8D">
        <w:rPr>
          <w:noProof/>
        </w:rPr>
        <w:fldChar w:fldCharType="end"/>
      </w:r>
      <w:r w:rsidRPr="00627F8D">
        <w:rPr>
          <w:noProof/>
        </w:rPr>
        <w:t>Metodele de verificare (stânga) și problemele de acuratețe (dreapta) identificate pentru raportarea elementului (a).</w:t>
      </w:r>
      <w:r>
        <w:rPr>
          <w:b w:val="0"/>
          <w:noProof/>
        </w:rPr>
        <w:t xml:space="preserve"> Sursă: Rapoarte privind verificarea calității.</w:t>
      </w:r>
    </w:p>
    <w:p w14:paraId="3B9D7FE4" w14:textId="77777777" w:rsidR="006C2915" w:rsidRDefault="006C2915" w:rsidP="006C2915">
      <w:pPr>
        <w:rPr>
          <w:iCs/>
          <w:noProof/>
        </w:rPr>
      </w:pPr>
    </w:p>
    <w:p w14:paraId="244019BC" w14:textId="142E30B2" w:rsidR="006C2915" w:rsidRPr="00627F8D" w:rsidRDefault="00D84319" w:rsidP="006C2915">
      <w:pPr>
        <w:jc w:val="center"/>
        <w:rPr>
          <w:i/>
          <w:iCs/>
          <w:noProof/>
        </w:rPr>
      </w:pPr>
      <w:r>
        <w:rPr>
          <w:i/>
          <w:iCs/>
          <w:noProof/>
          <w:lang w:val="en-GB" w:eastAsia="en-GB"/>
        </w:rPr>
        <w:drawing>
          <wp:inline distT="0" distB="0" distL="0" distR="0" wp14:anchorId="438186D8" wp14:editId="177ABC62">
            <wp:extent cx="2772000" cy="1555200"/>
            <wp:effectExtent l="0" t="0" r="9525" b="6985"/>
            <wp:docPr id="7633061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772000" cy="1555200"/>
                    </a:xfrm>
                    <a:prstGeom prst="rect">
                      <a:avLst/>
                    </a:prstGeom>
                    <a:noFill/>
                  </pic:spPr>
                </pic:pic>
              </a:graphicData>
            </a:graphic>
          </wp:inline>
        </w:drawing>
      </w:r>
      <w:r>
        <w:rPr>
          <w:i/>
          <w:iCs/>
          <w:noProof/>
          <w:lang w:val="en-GB" w:eastAsia="en-GB"/>
        </w:rPr>
        <w:drawing>
          <wp:inline distT="0" distB="0" distL="0" distR="0" wp14:anchorId="436E7685" wp14:editId="5A99A9C2">
            <wp:extent cx="2934000" cy="1450800"/>
            <wp:effectExtent l="0" t="0" r="0" b="0"/>
            <wp:docPr id="10475734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934000" cy="1450800"/>
                    </a:xfrm>
                    <a:prstGeom prst="rect">
                      <a:avLst/>
                    </a:prstGeom>
                    <a:noFill/>
                  </pic:spPr>
                </pic:pic>
              </a:graphicData>
            </a:graphic>
          </wp:inline>
        </w:drawing>
      </w:r>
    </w:p>
    <w:p w14:paraId="79E90178" w14:textId="5EC64F35" w:rsidR="006C2915" w:rsidRPr="00627F8D" w:rsidRDefault="00026E6D" w:rsidP="004A650E">
      <w:pPr>
        <w:pStyle w:val="Caption"/>
        <w:rPr>
          <w:noProof/>
        </w:rPr>
      </w:pPr>
      <w:r>
        <w:rPr>
          <w:noProof/>
        </w:rPr>
        <w:fldChar w:fldCharType="begin"/>
      </w:r>
      <w:r>
        <w:rPr>
          <w:noProof/>
        </w:rPr>
        <w:instrText xml:space="preserve"> SEQ Figure \* ARABIC </w:instrText>
      </w:r>
      <w:r>
        <w:rPr>
          <w:noProof/>
        </w:rPr>
        <w:fldChar w:fldCharType="end"/>
      </w:r>
      <w:r w:rsidRPr="00627F8D">
        <w:rPr>
          <w:noProof/>
        </w:rPr>
        <w:t xml:space="preserve">Figura 17: Metodele de verificare și problemele de acuratețe identificate pentru raportarea elementului (c). </w:t>
      </w:r>
      <w:r>
        <w:rPr>
          <w:b w:val="0"/>
          <w:noProof/>
        </w:rPr>
        <w:t>Sursă: Rapoarte privind verificarea calității.</w:t>
      </w:r>
    </w:p>
    <w:p w14:paraId="7AEA5439" w14:textId="0256DF5D" w:rsidR="006C2915" w:rsidRPr="00627F8D" w:rsidRDefault="00F7393F" w:rsidP="006C2915">
      <w:pPr>
        <w:jc w:val="center"/>
        <w:rPr>
          <w:i/>
          <w:noProof/>
        </w:rPr>
      </w:pPr>
      <w:r>
        <w:rPr>
          <w:i/>
          <w:noProof/>
          <w:lang w:val="en-GB" w:eastAsia="en-GB"/>
        </w:rPr>
        <w:drawing>
          <wp:inline distT="0" distB="0" distL="0" distR="0" wp14:anchorId="37843C86" wp14:editId="3BE20732">
            <wp:extent cx="2854800" cy="1893600"/>
            <wp:effectExtent l="0" t="0" r="3175" b="0"/>
            <wp:docPr id="2026964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854800" cy="1893600"/>
                    </a:xfrm>
                    <a:prstGeom prst="rect">
                      <a:avLst/>
                    </a:prstGeom>
                    <a:noFill/>
                  </pic:spPr>
                </pic:pic>
              </a:graphicData>
            </a:graphic>
          </wp:inline>
        </w:drawing>
      </w:r>
      <w:r>
        <w:rPr>
          <w:i/>
          <w:noProof/>
          <w:lang w:val="en-GB" w:eastAsia="en-GB"/>
        </w:rPr>
        <w:drawing>
          <wp:inline distT="0" distB="0" distL="0" distR="0" wp14:anchorId="6C92AA66" wp14:editId="5BBB4F67">
            <wp:extent cx="2761200" cy="1796400"/>
            <wp:effectExtent l="0" t="0" r="1270" b="0"/>
            <wp:docPr id="10896907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761200" cy="1796400"/>
                    </a:xfrm>
                    <a:prstGeom prst="rect">
                      <a:avLst/>
                    </a:prstGeom>
                    <a:noFill/>
                  </pic:spPr>
                </pic:pic>
              </a:graphicData>
            </a:graphic>
          </wp:inline>
        </w:drawing>
      </w:r>
    </w:p>
    <w:p w14:paraId="50D56588" w14:textId="40772B95" w:rsidR="006C2915" w:rsidRPr="00627F8D" w:rsidRDefault="00026E6D" w:rsidP="004A650E">
      <w:pPr>
        <w:pStyle w:val="Caption"/>
        <w:rPr>
          <w:noProof/>
        </w:rPr>
      </w:pPr>
      <w:r w:rsidRPr="00627F8D">
        <w:rPr>
          <w:noProof/>
        </w:rPr>
        <w:t xml:space="preserve">Figura 18: Metodele de verificare și problemele de acuratețe identificate pentru raportarea elementului (d). </w:t>
      </w:r>
      <w:r>
        <w:rPr>
          <w:b w:val="0"/>
          <w:noProof/>
        </w:rPr>
        <w:t>Sursă: Rapoarte privind verificarea calității.</w:t>
      </w:r>
    </w:p>
    <w:p w14:paraId="25A4EEDF" w14:textId="05000055" w:rsidR="006C2915" w:rsidRPr="004A0A8E" w:rsidRDefault="00F7393F" w:rsidP="006C2915">
      <w:pPr>
        <w:jc w:val="center"/>
        <w:rPr>
          <w:noProof/>
        </w:rPr>
      </w:pPr>
      <w:r>
        <w:rPr>
          <w:noProof/>
          <w:lang w:val="en-GB" w:eastAsia="en-GB"/>
        </w:rPr>
        <w:drawing>
          <wp:inline distT="0" distB="0" distL="0" distR="0" wp14:anchorId="2D1ABC83" wp14:editId="4FAD465B">
            <wp:extent cx="2700000" cy="1634400"/>
            <wp:effectExtent l="0" t="0" r="5715" b="4445"/>
            <wp:docPr id="18614402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700000" cy="1634400"/>
                    </a:xfrm>
                    <a:prstGeom prst="rect">
                      <a:avLst/>
                    </a:prstGeom>
                    <a:noFill/>
                  </pic:spPr>
                </pic:pic>
              </a:graphicData>
            </a:graphic>
          </wp:inline>
        </w:drawing>
      </w:r>
      <w:r>
        <w:rPr>
          <w:noProof/>
          <w:lang w:val="en-GB" w:eastAsia="en-GB"/>
        </w:rPr>
        <w:drawing>
          <wp:inline distT="0" distB="0" distL="0" distR="0" wp14:anchorId="5587C65B" wp14:editId="0CCAD0DC">
            <wp:extent cx="2998800" cy="1515600"/>
            <wp:effectExtent l="0" t="0" r="0" b="8890"/>
            <wp:docPr id="13903957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998800" cy="1515600"/>
                    </a:xfrm>
                    <a:prstGeom prst="rect">
                      <a:avLst/>
                    </a:prstGeom>
                    <a:noFill/>
                  </pic:spPr>
                </pic:pic>
              </a:graphicData>
            </a:graphic>
          </wp:inline>
        </w:drawing>
      </w:r>
    </w:p>
    <w:bookmarkEnd w:id="81"/>
    <w:bookmarkEnd w:id="92"/>
    <w:bookmarkEnd w:id="93"/>
    <w:p w14:paraId="16F87E6B" w14:textId="77777777" w:rsidR="005E313B" w:rsidRPr="00627F8D" w:rsidRDefault="005E313B" w:rsidP="002A71ED">
      <w:pPr>
        <w:rPr>
          <w:rFonts w:eastAsiaTheme="majorEastAsia" w:cstheme="majorBidi"/>
          <w:b/>
          <w:noProof/>
          <w:color w:val="4472C4" w:themeColor="accent1"/>
          <w:kern w:val="2"/>
          <w:sz w:val="26"/>
          <w:szCs w:val="28"/>
          <w:lang w:val="en-GB"/>
        </w:rPr>
      </w:pPr>
    </w:p>
    <w:sectPr w:rsidR="005E313B" w:rsidRPr="00627F8D" w:rsidSect="00862309">
      <w:headerReference w:type="even" r:id="rId100"/>
      <w:headerReference w:type="default" r:id="rId101"/>
      <w:footerReference w:type="even" r:id="rId102"/>
      <w:footerReference w:type="default" r:id="rId103"/>
      <w:headerReference w:type="first" r:id="rId104"/>
      <w:footerReference w:type="first" r:id="rId10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970313" w14:textId="77777777" w:rsidR="006B66C0" w:rsidRDefault="006B66C0" w:rsidP="00C50D40">
      <w:pPr>
        <w:spacing w:after="0" w:line="240" w:lineRule="auto"/>
      </w:pPr>
      <w:r>
        <w:separator/>
      </w:r>
    </w:p>
  </w:endnote>
  <w:endnote w:type="continuationSeparator" w:id="0">
    <w:p w14:paraId="56DE148D" w14:textId="77777777" w:rsidR="006B66C0" w:rsidRDefault="006B66C0" w:rsidP="00C50D40">
      <w:pPr>
        <w:spacing w:after="0" w:line="240" w:lineRule="auto"/>
      </w:pPr>
      <w:r>
        <w:continuationSeparator/>
      </w:r>
    </w:p>
  </w:endnote>
  <w:endnote w:type="continuationNotice" w:id="1">
    <w:p w14:paraId="1A435286" w14:textId="77777777" w:rsidR="006B66C0" w:rsidRDefault="006B66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Yu Gothic"/>
    <w:charset w:val="80"/>
    <w:family w:val="swiss"/>
    <w:pitch w:val="variable"/>
    <w:sig w:usb0="E00002FF" w:usb1="7AC7FFFF" w:usb2="00000012" w:usb3="00000000" w:csb0="0002000D" w:csb1="00000000"/>
  </w:font>
  <w:font w:name="EUAlbertina">
    <w:altName w:val="Times New Roman"/>
    <w:panose1 w:val="00000000000000000000"/>
    <w:charset w:val="00"/>
    <w:family w:val="swiss"/>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Aptos">
    <w:altName w:val="Arial"/>
    <w:panose1 w:val="00000000000000000000"/>
    <w:charset w:val="00"/>
    <w:family w:val="roman"/>
    <w:notTrueType/>
    <w:pitch w:val="default"/>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6E0EE" w14:textId="7306B317" w:rsidR="00D33BBD" w:rsidRPr="00D33BBD" w:rsidRDefault="00D33BBD" w:rsidP="00D33BBD">
    <w:pPr>
      <w:pStyle w:val="FooterCoverPage"/>
      <w:rPr>
        <w:rFonts w:ascii="Arial" w:hAnsi="Arial" w:cs="Arial"/>
        <w:b/>
        <w:sz w:val="48"/>
      </w:rPr>
    </w:pPr>
    <w:r w:rsidRPr="00D33BBD">
      <w:rPr>
        <w:rFonts w:ascii="Arial" w:hAnsi="Arial" w:cs="Arial"/>
        <w:b/>
        <w:sz w:val="48"/>
      </w:rPr>
      <w:t>RO</w:t>
    </w:r>
    <w:r w:rsidRPr="00D33BBD">
      <w:rPr>
        <w:rFonts w:ascii="Arial" w:hAnsi="Arial" w:cs="Arial"/>
        <w:b/>
        <w:sz w:val="48"/>
      </w:rPr>
      <w:tab/>
    </w:r>
    <w:r w:rsidRPr="00D33BBD">
      <w:rPr>
        <w:rFonts w:ascii="Arial" w:hAnsi="Arial" w:cs="Arial"/>
        <w:b/>
        <w:sz w:val="48"/>
      </w:rPr>
      <w:tab/>
    </w:r>
    <w:r w:rsidRPr="00D33BBD">
      <w:tab/>
    </w:r>
    <w:r w:rsidRPr="00D33BB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EA5A6" w14:textId="3F12D056" w:rsidR="00D33BBD" w:rsidRPr="00D33BBD" w:rsidRDefault="00D33BBD" w:rsidP="00D33BBD">
    <w:pPr>
      <w:pStyle w:val="FooterCoverPage"/>
      <w:rPr>
        <w:rFonts w:ascii="Arial" w:hAnsi="Arial" w:cs="Arial"/>
        <w:b/>
        <w:sz w:val="48"/>
      </w:rPr>
    </w:pPr>
    <w:r w:rsidRPr="00D33BBD">
      <w:rPr>
        <w:rFonts w:ascii="Arial" w:hAnsi="Arial" w:cs="Arial"/>
        <w:b/>
        <w:sz w:val="48"/>
      </w:rPr>
      <w:t>RO</w:t>
    </w:r>
    <w:r w:rsidRPr="00D33BBD">
      <w:rPr>
        <w:rFonts w:ascii="Arial" w:hAnsi="Arial" w:cs="Arial"/>
        <w:b/>
        <w:sz w:val="48"/>
      </w:rPr>
      <w:tab/>
    </w:r>
    <w:r w:rsidRPr="00D33BBD">
      <w:rPr>
        <w:rFonts w:ascii="Arial" w:hAnsi="Arial" w:cs="Arial"/>
        <w:b/>
        <w:sz w:val="48"/>
      </w:rPr>
      <w:tab/>
    </w:r>
    <w:r w:rsidRPr="00D33BBD">
      <w:tab/>
    </w:r>
    <w:r w:rsidRPr="00D33BB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D0F81" w14:textId="77777777" w:rsidR="00D33BBD" w:rsidRPr="00D33BBD" w:rsidRDefault="00D33BBD" w:rsidP="00D33BB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CE4A1" w14:textId="77777777" w:rsidR="00BE6BA2" w:rsidRPr="00C50D40" w:rsidRDefault="00BE6BA2" w:rsidP="00C50D40">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B5DF4" w14:textId="082DBBE2" w:rsidR="005E313B" w:rsidRDefault="005E313B">
    <w:pPr>
      <w:pStyle w:val="Footer"/>
      <w:jc w:val="right"/>
    </w:pPr>
  </w:p>
  <w:p w14:paraId="4A4061DC" w14:textId="77777777" w:rsidR="005E313B" w:rsidRDefault="005E313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A02EA" w14:textId="77777777" w:rsidR="00BE6BA2" w:rsidRDefault="00BE6B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58884"/>
      <w:docPartObj>
        <w:docPartGallery w:val="Page Numbers (Bottom of Page)"/>
        <w:docPartUnique/>
      </w:docPartObj>
    </w:sdtPr>
    <w:sdtEndPr>
      <w:rPr>
        <w:noProof/>
      </w:rPr>
    </w:sdtEndPr>
    <w:sdtContent>
      <w:p w14:paraId="54053C37" w14:textId="59D634E9" w:rsidR="00611B4A" w:rsidRDefault="00611B4A">
        <w:pPr>
          <w:pStyle w:val="Footer"/>
          <w:jc w:val="right"/>
        </w:pPr>
        <w:r>
          <w:fldChar w:fldCharType="begin"/>
        </w:r>
        <w:r>
          <w:instrText xml:space="preserve"> PAGE   \* MERGEFORMAT </w:instrText>
        </w:r>
        <w:r>
          <w:fldChar w:fldCharType="separate"/>
        </w:r>
        <w:r w:rsidR="00D33BBD">
          <w:rPr>
            <w:noProof/>
          </w:rPr>
          <w:t>ii</w:t>
        </w:r>
        <w:r>
          <w:fldChar w:fldCharType="end"/>
        </w:r>
      </w:p>
    </w:sdtContent>
  </w:sdt>
  <w:p w14:paraId="67E3F56D" w14:textId="77777777" w:rsidR="00387885" w:rsidRDefault="0038788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44271" w14:textId="269D8E3B" w:rsidR="00D8197A" w:rsidRDefault="00D33BBD">
    <w:pPr>
      <w:pStyle w:val="Footer"/>
      <w:jc w:val="right"/>
    </w:pPr>
    <w:sdt>
      <w:sdtPr>
        <w:id w:val="1350067635"/>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Pr>
            <w:noProof/>
          </w:rPr>
          <w:t>1</w:t>
        </w:r>
        <w:r w:rsidR="003E0187">
          <w:fldChar w:fldCharType="end"/>
        </w:r>
      </w:sdtContent>
    </w:sdt>
  </w:p>
  <w:p w14:paraId="6EB5D971" w14:textId="77777777" w:rsidR="00D8197A" w:rsidRDefault="00D819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9ABD4" w14:textId="5D561A11" w:rsidR="00BE6BA2" w:rsidRDefault="00D33BBD">
    <w:pPr>
      <w:pStyle w:val="Footer"/>
      <w:jc w:val="right"/>
    </w:pPr>
    <w:sdt>
      <w:sdtPr>
        <w:id w:val="1500768076"/>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47659C">
          <w:rPr>
            <w:noProof/>
          </w:rPr>
          <w:t>3</w:t>
        </w:r>
        <w:r w:rsidR="003E0187">
          <w:fldChar w:fldCharType="end"/>
        </w:r>
      </w:sdtContent>
    </w:sdt>
  </w:p>
  <w:p w14:paraId="27D1C832" w14:textId="77777777" w:rsidR="00BE6BA2" w:rsidRDefault="00BE6BA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CBAE9" w14:textId="13208263" w:rsidR="00BE6BA2" w:rsidRDefault="00D33BBD">
    <w:pPr>
      <w:pStyle w:val="Footer"/>
      <w:jc w:val="right"/>
    </w:pPr>
    <w:sdt>
      <w:sdtPr>
        <w:id w:val="-1582523303"/>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47659C">
          <w:rPr>
            <w:noProof/>
          </w:rPr>
          <w:t>12</w:t>
        </w:r>
        <w:r w:rsidR="003E0187">
          <w:fldChar w:fldCharType="end"/>
        </w:r>
      </w:sdtContent>
    </w:sdt>
  </w:p>
  <w:p w14:paraId="1BCB4674" w14:textId="77777777" w:rsidR="00BE6BA2" w:rsidRDefault="00BE6BA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E013A" w14:textId="77777777" w:rsidR="00BE6BA2" w:rsidRDefault="00D33BBD">
    <w:pPr>
      <w:pStyle w:val="Footer"/>
      <w:jc w:val="right"/>
    </w:pPr>
    <w:sdt>
      <w:sdtPr>
        <w:id w:val="2020041392"/>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5B61E429" w14:textId="77777777" w:rsidR="00BE6BA2" w:rsidRDefault="00BE6BA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671F9" w14:textId="77777777" w:rsidR="00BE6BA2" w:rsidRDefault="00D33BBD">
    <w:pPr>
      <w:pStyle w:val="Footer"/>
      <w:jc w:val="right"/>
    </w:pPr>
    <w:sdt>
      <w:sdtPr>
        <w:id w:val="1475489356"/>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1EAF2E88" w14:textId="77777777" w:rsidR="00BE6BA2" w:rsidRDefault="00BE6BA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376CA" w14:textId="77777777" w:rsidR="00BE6BA2" w:rsidRDefault="00D33BBD">
    <w:pPr>
      <w:pStyle w:val="Footer"/>
      <w:jc w:val="right"/>
    </w:pPr>
    <w:sdt>
      <w:sdtPr>
        <w:id w:val="2019801778"/>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38410371" w14:textId="77777777" w:rsidR="00BE6BA2" w:rsidRDefault="00BE6BA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66D2B" w14:textId="77777777" w:rsidR="00BE6BA2" w:rsidRDefault="00D33BBD">
    <w:pPr>
      <w:pStyle w:val="Footer"/>
      <w:jc w:val="right"/>
    </w:pPr>
    <w:sdt>
      <w:sdtPr>
        <w:id w:val="839045519"/>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74C6F517" w14:textId="77777777" w:rsidR="00BE6BA2" w:rsidRDefault="00BE6BA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F43D5" w14:textId="77777777" w:rsidR="00BE6BA2" w:rsidRDefault="00D33BBD">
    <w:pPr>
      <w:pStyle w:val="Footer"/>
      <w:jc w:val="right"/>
    </w:pPr>
    <w:sdt>
      <w:sdtPr>
        <w:id w:val="246550258"/>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0BAA309A" w14:textId="77777777" w:rsidR="00BE6BA2" w:rsidRDefault="00BE6BA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09D55" w14:textId="77777777" w:rsidR="00BE6BA2" w:rsidRDefault="00D33BBD">
    <w:pPr>
      <w:pStyle w:val="Footer"/>
      <w:jc w:val="right"/>
    </w:pPr>
    <w:sdt>
      <w:sdtPr>
        <w:id w:val="1149406211"/>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0E00977B" w14:textId="77777777" w:rsidR="00BE6BA2" w:rsidRDefault="00BE6BA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88C98" w14:textId="77777777" w:rsidR="00BE6BA2" w:rsidRDefault="00D33BBD">
    <w:pPr>
      <w:pStyle w:val="Footer"/>
      <w:jc w:val="right"/>
    </w:pPr>
    <w:sdt>
      <w:sdtPr>
        <w:id w:val="1705065239"/>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0016798A" w14:textId="77777777" w:rsidR="00BE6BA2" w:rsidRDefault="00BE6BA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EDF13" w14:textId="77777777" w:rsidR="00BE6BA2" w:rsidRDefault="00D33BBD">
    <w:pPr>
      <w:pStyle w:val="Footer"/>
      <w:jc w:val="right"/>
    </w:pPr>
    <w:sdt>
      <w:sdtPr>
        <w:id w:val="1832100537"/>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7950C58C" w14:textId="77777777" w:rsidR="00BE6BA2" w:rsidRDefault="00BE6BA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62D0B" w14:textId="77777777" w:rsidR="00BE6BA2" w:rsidRDefault="00D33BBD">
    <w:pPr>
      <w:pStyle w:val="Footer"/>
      <w:jc w:val="right"/>
    </w:pPr>
    <w:sdt>
      <w:sdtPr>
        <w:id w:val="1044337655"/>
        <w:docPartObj>
          <w:docPartGallery w:val="Page Numbers (Bottom of Page)"/>
          <w:docPartUnique/>
        </w:docPartObj>
      </w:sdtPr>
      <w:sdtEndPr>
        <w:rPr>
          <w:noProof/>
        </w:rPr>
      </w:sdtEndPr>
      <w:sdtContent>
        <w:r w:rsidR="003E0187">
          <w:fldChar w:fldCharType="begin"/>
        </w:r>
        <w:r w:rsidR="003E0187">
          <w:instrText xml:space="preserve"> PAGE   \* MERGEFORMAT </w:instrText>
        </w:r>
        <w:r w:rsidR="003E0187">
          <w:fldChar w:fldCharType="separate"/>
        </w:r>
        <w:r w:rsidR="003E0187">
          <w:t>2</w:t>
        </w:r>
        <w:r w:rsidR="003E0187">
          <w:fldChar w:fldCharType="end"/>
        </w:r>
      </w:sdtContent>
    </w:sdt>
  </w:p>
  <w:p w14:paraId="170AC4E8" w14:textId="77777777" w:rsidR="00BE6BA2" w:rsidRDefault="00BE6BA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7818A" w14:textId="77777777" w:rsidR="00C50D40" w:rsidRDefault="00C50D4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2E55B" w14:textId="77777777" w:rsidR="00C50D40" w:rsidRDefault="00C50D4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DA19C" w14:textId="77777777" w:rsidR="00C50D40" w:rsidRDefault="00C50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192771" w14:textId="77777777" w:rsidR="006B66C0" w:rsidRDefault="006B66C0" w:rsidP="00C50D40">
      <w:pPr>
        <w:spacing w:after="0" w:line="240" w:lineRule="auto"/>
      </w:pPr>
      <w:r>
        <w:separator/>
      </w:r>
    </w:p>
  </w:footnote>
  <w:footnote w:type="continuationSeparator" w:id="0">
    <w:p w14:paraId="731EB04D" w14:textId="77777777" w:rsidR="006B66C0" w:rsidRDefault="006B66C0" w:rsidP="00C50D40">
      <w:pPr>
        <w:spacing w:after="0" w:line="240" w:lineRule="auto"/>
      </w:pPr>
      <w:r>
        <w:continuationSeparator/>
      </w:r>
    </w:p>
  </w:footnote>
  <w:footnote w:type="continuationNotice" w:id="1">
    <w:p w14:paraId="70571B20" w14:textId="77777777" w:rsidR="006B66C0" w:rsidRDefault="006B66C0">
      <w:pPr>
        <w:spacing w:after="0" w:line="240" w:lineRule="auto"/>
      </w:pPr>
    </w:p>
  </w:footnote>
  <w:footnote w:id="2">
    <w:p w14:paraId="3EE56B3E" w14:textId="268299F7" w:rsidR="007E1222" w:rsidRDefault="007E1222" w:rsidP="007E1222">
      <w:pPr>
        <w:pStyle w:val="FootnoteText"/>
      </w:pPr>
      <w:r>
        <w:rPr>
          <w:rStyle w:val="FootnoteReference"/>
        </w:rPr>
        <w:footnoteRef/>
      </w:r>
      <w:r>
        <w:t xml:space="preserve"> În întregul raport, valorile pe cap de locuitor au fost calculate ca raport între suma greutăților și populația totală a țărilor care au raportat. Datele privind populația provin de la Eurostat [populația medie a fiecărei țări pentru anul </w:t>
      </w:r>
      <w:r w:rsidRPr="00F249C9">
        <w:t>2022</w:t>
      </w:r>
      <w:r>
        <w:t xml:space="preserve">, </w:t>
      </w:r>
      <w:hyperlink r:id="rId1" w:history="1">
        <w:r w:rsidRPr="00627F8D">
          <w:rPr>
            <w:rStyle w:val="Hyperlink"/>
          </w:rPr>
          <w:t>Eurostat (2024</w:t>
        </w:r>
      </w:hyperlink>
      <w:r w:rsidRPr="00627F8D">
        <w:rPr>
          <w:rStyle w:val="Hyperlink"/>
        </w:rPr>
        <w:t>a</w:t>
      </w:r>
      <w:r>
        <w:t>)].</w:t>
      </w:r>
    </w:p>
  </w:footnote>
  <w:footnote w:id="3">
    <w:p w14:paraId="10C16018" w14:textId="3A7564B2" w:rsidR="00EA7171" w:rsidRPr="00311A91" w:rsidRDefault="00EA7171" w:rsidP="00EA7171">
      <w:pPr>
        <w:pStyle w:val="FootnoteText"/>
      </w:pPr>
      <w:r>
        <w:rPr>
          <w:rStyle w:val="FootnoteReference"/>
        </w:rPr>
        <w:footnoteRef/>
      </w:r>
      <w:r>
        <w:t xml:space="preserve"> Calculat ad-hoc pentru această evaluare, ca raport între greutatea materialului plastic aferent produselor vizate de elementul (a) și cantitatea de deșeuri de ambalaje generate, luând în considerare subsetul de țări care au raportat acest element. Greutatea materialului plastic include atât greutatea produselor fabricate integral din plastic, cât și conținutul de plastic al produselor fabricate parțial din plastic. Datele privind deșeurile de ambalaje din plastic generate provin din statisticile Eurostat „</w:t>
      </w:r>
      <w:hyperlink r:id="rId2" w:history="1">
        <w:r w:rsidRPr="00627F8D">
          <w:rPr>
            <w:rStyle w:val="Hyperlink"/>
          </w:rPr>
          <w:t>Deșeuri de ambalaje în funcție de operațiunile de gestionare a deșeurilor</w:t>
        </w:r>
      </w:hyperlink>
      <w:r>
        <w:t>”. Această comparație ar trebui considerată doar ca un indicator orientativ limitat. Deșeurile de ambalaje din plastic ar putea fi în continuare subestimate în unele țări, astfel cum au arătat evaluările de alertă timpurie (</w:t>
      </w:r>
      <w:hyperlink r:id="rId3" w:history="1">
        <w:r w:rsidRPr="00627F8D">
          <w:rPr>
            <w:rStyle w:val="Hyperlink"/>
          </w:rPr>
          <w:t>Agenția Europeană de Mediu, 2022</w:t>
        </w:r>
      </w:hyperlink>
      <w:r>
        <w:t xml:space="preserve">). </w:t>
      </w:r>
    </w:p>
    <w:p w14:paraId="65903F39" w14:textId="77777777" w:rsidR="00EA7171" w:rsidRDefault="00EA7171" w:rsidP="00EA7171">
      <w:pPr>
        <w:pStyle w:val="FootnoteText"/>
      </w:pPr>
    </w:p>
  </w:footnote>
  <w:footnote w:id="4">
    <w:p w14:paraId="5D1F34D8" w14:textId="44A4CA05" w:rsidR="00862309" w:rsidRDefault="00862309" w:rsidP="00862309">
      <w:pPr>
        <w:pStyle w:val="FootnoteText"/>
      </w:pPr>
      <w:r>
        <w:rPr>
          <w:rStyle w:val="FootnoteReference"/>
        </w:rPr>
        <w:footnoteRef/>
      </w:r>
      <w:r>
        <w:t xml:space="preserve"> De exemplu, Estonia a menționat intrările din țările învecinate ca motiv pentru care valorile raportate pentru colectarea separată au fost mai ridicate decât cele aferente cantităților introduse pe piață, iar Malta a subliniat importanța luării în considerare a intrărilor din alte țări în sezonul estival.</w:t>
      </w:r>
    </w:p>
  </w:footnote>
  <w:footnote w:id="5">
    <w:p w14:paraId="48FC2307" w14:textId="5A58E847" w:rsidR="00992333" w:rsidRPr="00992333" w:rsidRDefault="00992333">
      <w:pPr>
        <w:pStyle w:val="FootnoteText"/>
      </w:pPr>
      <w:r>
        <w:rPr>
          <w:rStyle w:val="FootnoteReference"/>
        </w:rPr>
        <w:footnoteRef/>
      </w:r>
      <w:r>
        <w:t xml:space="preserve"> Numai Spania a raportat valori zero pe baza ipotezei că fluxurile de intrare și de ieșire se compensează.</w:t>
      </w:r>
    </w:p>
  </w:footnote>
  <w:footnote w:id="6">
    <w:p w14:paraId="113B290C" w14:textId="5CF6BA89" w:rsidR="00862309" w:rsidRDefault="00862309" w:rsidP="00862309">
      <w:pPr>
        <w:pStyle w:val="FootnoteText"/>
      </w:pPr>
      <w:r>
        <w:rPr>
          <w:rStyle w:val="FootnoteReference"/>
        </w:rPr>
        <w:footnoteRef/>
      </w:r>
      <w:r>
        <w:t xml:space="preserve"> În cazul în care este îndeplinită una dintre următoarele condiții: </w:t>
      </w:r>
    </w:p>
    <w:p w14:paraId="25A27E63" w14:textId="77777777" w:rsidR="00862309" w:rsidRDefault="00862309" w:rsidP="00862309">
      <w:pPr>
        <w:pStyle w:val="FootnoteText"/>
      </w:pPr>
      <w:r>
        <w:t xml:space="preserve">(a) deșeurile generate de sticlele de unică folosință au fost colectate, pentru reciclare, separat de orice alte deșeuri; </w:t>
      </w:r>
    </w:p>
    <w:p w14:paraId="1A799C3D" w14:textId="2327A013" w:rsidR="00862309" w:rsidRDefault="00862309" w:rsidP="00356967">
      <w:pPr>
        <w:pStyle w:val="FootnoteText"/>
      </w:pPr>
      <w:r>
        <w:t>(b) deșeurile generate de sticlele de unică folosință au fost colectate împreună cu alte fracțiuni de deșeuri generate de ambalajele din deșeuri municipale sau cu alte fracțiuni de deșeuri municipale din plastic, metal, hârtie sau sticlă, care nu sunt ambalaje, colectate separat în vederea reciclării și: (i) sistemul de colectare nu colectează deșeurile care ar putea conține substanțe periculoase; (ii) colectarea deșeurilor și sortarea ulterioară sunt concepute și efectuate astfel încât să se reducă la minimum contaminarea, rezultată din deșeurile de plastic care nu provin de la astfel de sticle și din alte deșeuri, a deșeurilor generate de sticlele de unică folosință colectate; și (iii) operatorii responsabili cu gestionarea deșeurilor instituie sisteme de asigurare a calității pentru a verifica dacă sunt îndeplinite condițiile prevăzute la punctele (i) și (ii).</w:t>
      </w:r>
    </w:p>
  </w:footnote>
  <w:footnote w:id="7">
    <w:p w14:paraId="0A658A0B" w14:textId="3F1BB344" w:rsidR="00267F94" w:rsidRPr="00267F94" w:rsidRDefault="00267F94">
      <w:pPr>
        <w:pStyle w:val="FootnoteText"/>
      </w:pPr>
      <w:r>
        <w:rPr>
          <w:rStyle w:val="FootnoteReference"/>
        </w:rPr>
        <w:footnoteRef/>
      </w:r>
      <w:r>
        <w:t xml:space="preserve"> Datele pentru care s-a solicitat menținerea confidențialității sunt excluse din figură și din valorile totale.</w:t>
      </w:r>
    </w:p>
  </w:footnote>
  <w:footnote w:id="8">
    <w:p w14:paraId="72BA7343" w14:textId="46D85B83" w:rsidR="00EE5F15" w:rsidRDefault="00EE5F15" w:rsidP="00EE5F15">
      <w:pPr>
        <w:pStyle w:val="FootnoteText"/>
      </w:pPr>
      <w:r>
        <w:rPr>
          <w:rStyle w:val="FootnoteReference"/>
        </w:rPr>
        <w:footnoteRef/>
      </w:r>
      <w:r>
        <w:t xml:space="preserve"> De exemplu, Ungaria a menționat probleme legate de datele aferente sistemelor de răspundere extinsă a producătorilor în raportul său de verificare a calității pentru elementul (a), deși sistemele de răspundere extinsă a producătorilor nu au fost indicate ca surse de date care să stea la baza raportării.</w:t>
      </w:r>
    </w:p>
  </w:footnote>
  <w:footnote w:id="9">
    <w:p w14:paraId="01E9B7A0" w14:textId="70DBA43C" w:rsidR="009451FA" w:rsidRDefault="009451FA">
      <w:pPr>
        <w:pStyle w:val="FootnoteText"/>
      </w:pPr>
      <w:r>
        <w:rPr>
          <w:rStyle w:val="FootnoteReference"/>
        </w:rPr>
        <w:footnoteRef/>
      </w:r>
      <w:r>
        <w:t xml:space="preserve"> De exemplu, cu niveluri diferite de ambiție, actori și sectoare vizate și scară geografică diferită.</w:t>
      </w:r>
    </w:p>
  </w:footnote>
  <w:footnote w:id="10">
    <w:p w14:paraId="36E1A02A" w14:textId="03EBA557" w:rsidR="00347394" w:rsidRDefault="00347394" w:rsidP="00347394">
      <w:pPr>
        <w:pStyle w:val="FootnoteText"/>
      </w:pPr>
      <w:r>
        <w:rPr>
          <w:rStyle w:val="FootnoteReference"/>
        </w:rPr>
        <w:footnoteRef/>
      </w:r>
      <w:r>
        <w:t xml:space="preserve"> Patru țări au completat numai informațiile obligatorii, și anume au indicat (da/nu) dacă fiecare tip de măsură era în vigoare în țara respectivă. Celelalte țări au furnizat, de asemenea, cel puțin unele informații voluntare care au permis identificarea măsurii specifice (URL/referință a documentului de politică) sau a anului intrării în vigoare. Douăzeci de țări au completat, de asemenea, câmpuri suplimentare de informații voluntare, precum aria geografică de aplicare a măsurii, actorii vizați, caracterul obligatoriu sau voluntar al măsurii etc. Cu toate acestea, informațiile au fost, în general, furnizate cu lacune frecvente.</w:t>
      </w:r>
    </w:p>
  </w:footnote>
  <w:footnote w:id="11">
    <w:p w14:paraId="16734239" w14:textId="6F7AD435" w:rsidR="001C277F" w:rsidRDefault="001C277F" w:rsidP="001C277F">
      <w:pPr>
        <w:pStyle w:val="FootnoteText"/>
      </w:pPr>
      <w:r>
        <w:rPr>
          <w:rStyle w:val="FootnoteReference"/>
        </w:rPr>
        <w:footnoteRef/>
      </w:r>
      <w:r>
        <w:t xml:space="preserve"> Produsele care nu sunt de unică folosință intră în sfera datelor privind deșeurile de ambalaje, dar, prin urmare, nu sunt acoperite de Directiva privind produsele din plastic de unică folosință, și invers. De exemplu, ambalajele reutilizabile nu intră sub incidența Directivei privind produsele din plastic de unică folosință, ci sunt considerate ambalaje. În mod similar, paharele pentru băuturi și recipientele pentru alimente din plastic de unică folosință vândute goale, fără intenția de a fi umplute la punctul de vânzare, sunt produse din plastic de unică folosință, dar nu sunt considerate ambalaje.</w:t>
      </w:r>
    </w:p>
  </w:footnote>
  <w:footnote w:id="12">
    <w:p w14:paraId="380FD5F8" w14:textId="56571073" w:rsidR="006C72A8" w:rsidRDefault="006C72A8">
      <w:pPr>
        <w:pStyle w:val="FootnoteText"/>
      </w:pPr>
      <w:r>
        <w:rPr>
          <w:rStyle w:val="FootnoteReference"/>
        </w:rPr>
        <w:footnoteRef/>
      </w:r>
      <w:r>
        <w:t xml:space="preserve"> Statisticile Eurostat „</w:t>
      </w:r>
      <w:hyperlink r:id="rId4" w:history="1">
        <w:r w:rsidRPr="00627F8D">
          <w:rPr>
            <w:rStyle w:val="Hyperlink"/>
          </w:rPr>
          <w:t>Deșeurile de ambalaje în funcție de operațiunile de gestionare a deșeurilor</w:t>
        </w:r>
      </w:hyperlink>
      <w:r>
        <w:t>”. De asemenea, trebuie remarcat faptul că: (i) deșeurile de ambalaje din plastic ar putea fi în continuare subestimate în unele țări, astfel cum au evidențiat evaluările de avertizare timpurie (</w:t>
      </w:r>
      <w:hyperlink r:id="rId5" w:history="1">
        <w:r w:rsidRPr="00627F8D">
          <w:rPr>
            <w:rStyle w:val="Hyperlink"/>
          </w:rPr>
          <w:t>AEM, 2022</w:t>
        </w:r>
      </w:hyperlink>
      <w:r>
        <w:t xml:space="preserve">), pe baza datelor disponibile până în </w:t>
      </w:r>
      <w:r w:rsidRPr="00F249C9">
        <w:t>2019</w:t>
      </w:r>
      <w:r>
        <w:t xml:space="preserve">; (ii) deșeurile de ambalaje din plastic au înregistrat o creștere constantă începând din </w:t>
      </w:r>
      <w:r w:rsidRPr="00F249C9">
        <w:t>2009</w:t>
      </w:r>
      <w:r>
        <w:t>.</w:t>
      </w:r>
    </w:p>
  </w:footnote>
  <w:footnote w:id="13">
    <w:p w14:paraId="30D4A8C4" w14:textId="77777777" w:rsidR="005607EA" w:rsidRDefault="005607EA" w:rsidP="005607EA">
      <w:pPr>
        <w:pStyle w:val="FootnoteText"/>
      </w:pPr>
      <w:r>
        <w:rPr>
          <w:rStyle w:val="FootnoteReference"/>
        </w:rPr>
        <w:footnoteRef/>
      </w:r>
      <w:r>
        <w:t xml:space="preserve"> Suma greutății produselor fabricate integral din plastic plus conținutul de plastic al produselor fabricate parțial din plastic.</w:t>
      </w:r>
    </w:p>
  </w:footnote>
  <w:footnote w:id="14">
    <w:p w14:paraId="103C924E" w14:textId="5603CE31" w:rsidR="00480456" w:rsidRDefault="00480456">
      <w:pPr>
        <w:pStyle w:val="FootnoteText"/>
      </w:pPr>
      <w:r>
        <w:rPr>
          <w:rStyle w:val="FootnoteReference"/>
        </w:rPr>
        <w:footnoteRef/>
      </w:r>
      <w:r>
        <w:t xml:space="preserve"> De exemplu, diferitele câmpuri de date pentru raportarea elementului (a), clasificarea măsurilor pentru elementul (b), raportarea surselor de date și a metodologiilor pentru elementul (c) sau defalcarea și factorii de conversie pentru raportarea elementului (d).</w:t>
      </w:r>
    </w:p>
  </w:footnote>
  <w:footnote w:id="15">
    <w:p w14:paraId="63CCD7EF" w14:textId="651EDCEC" w:rsidR="00D70CB7" w:rsidRDefault="00D70CB7" w:rsidP="00D70CB7">
      <w:pPr>
        <w:pStyle w:val="FootnoteText"/>
      </w:pPr>
      <w:r>
        <w:rPr>
          <w:rStyle w:val="FootnoteReference"/>
        </w:rPr>
        <w:footnoteRef/>
      </w:r>
      <w:r>
        <w:t xml:space="preserve"> Pe baza masei plasticului conținut în produs.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26B4B" w14:textId="77777777" w:rsidR="00D33BBD" w:rsidRPr="00D33BBD" w:rsidRDefault="00D33BBD" w:rsidP="00D33BB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4E022" w14:textId="77777777" w:rsidR="00D33BBD" w:rsidRPr="00D33BBD" w:rsidRDefault="00D33BBD" w:rsidP="00D33BB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38243" w14:textId="77777777" w:rsidR="00D33BBD" w:rsidRPr="00D33BBD" w:rsidRDefault="00D33BBD" w:rsidP="00D33BB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B7EE" w14:textId="77777777" w:rsidR="00BE6BA2" w:rsidRDefault="00BE6B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95E38" w14:textId="77777777" w:rsidR="00BE6BA2" w:rsidRDefault="00BE6B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1085A" w14:textId="77777777" w:rsidR="00BE6BA2" w:rsidRDefault="00BE6B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593D5" w14:textId="77777777" w:rsidR="00BE6BA2" w:rsidRDefault="00BE6BA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2885D" w14:textId="77777777" w:rsidR="00BE6BA2" w:rsidRDefault="00BE6BA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6D201" w14:textId="77777777" w:rsidR="00BE6BA2" w:rsidRDefault="00BE6BA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D44DD" w14:textId="77777777" w:rsidR="00BE6BA2" w:rsidRDefault="00BE6BA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FC0A2" w14:textId="77777777" w:rsidR="00BE6BA2" w:rsidRDefault="00BE6BA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82104" w14:textId="77777777" w:rsidR="00BE6BA2" w:rsidRDefault="00BE6BA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0085C" w14:textId="77777777" w:rsidR="00BE6BA2" w:rsidRDefault="00BE6BA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FB68B" w14:textId="77777777" w:rsidR="00BE6BA2" w:rsidRDefault="00BE6BA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B6EEC" w14:textId="77777777" w:rsidR="00BE6BA2" w:rsidRDefault="00BE6BA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8BFD8" w14:textId="77777777" w:rsidR="00BE6BA2" w:rsidRDefault="00BE6BA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5A3E3" w14:textId="77777777" w:rsidR="00BE6BA2" w:rsidRDefault="00BE6BA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BB927" w14:textId="77777777" w:rsidR="00BE6BA2" w:rsidRDefault="00BE6BA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D06C0" w14:textId="77777777" w:rsidR="00BE6BA2" w:rsidRDefault="00BE6BA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8904D" w14:textId="77777777" w:rsidR="00C50D40" w:rsidRDefault="00C50D4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515BD" w14:textId="77777777" w:rsidR="00C50D40" w:rsidRDefault="00C50D4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BEA40" w14:textId="77777777" w:rsidR="00C50D40" w:rsidRDefault="00C50D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B39A5"/>
    <w:multiLevelType w:val="hybridMultilevel"/>
    <w:tmpl w:val="5A364E12"/>
    <w:lvl w:ilvl="0" w:tplc="20000001">
      <w:start w:val="1"/>
      <w:numFmt w:val="bullet"/>
      <w:lvlText w:val=""/>
      <w:lvlJc w:val="left"/>
      <w:pPr>
        <w:ind w:left="770" w:hanging="360"/>
      </w:pPr>
      <w:rPr>
        <w:rFonts w:ascii="Symbol" w:hAnsi="Symbol" w:hint="default"/>
      </w:rPr>
    </w:lvl>
    <w:lvl w:ilvl="1" w:tplc="20000003" w:tentative="1">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abstractNum w:abstractNumId="1" w15:restartNumberingAfterBreak="0">
    <w:nsid w:val="13402604"/>
    <w:multiLevelType w:val="hybridMultilevel"/>
    <w:tmpl w:val="37FE6F7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D8E4D3F"/>
    <w:multiLevelType w:val="multilevel"/>
    <w:tmpl w:val="5DBA3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FC7203"/>
    <w:multiLevelType w:val="hybridMultilevel"/>
    <w:tmpl w:val="44D2BF68"/>
    <w:lvl w:ilvl="0" w:tplc="7D8AA4EE">
      <w:start w:val="1"/>
      <w:numFmt w:val="lowerRoman"/>
      <w:lvlText w:val="%1)"/>
      <w:lvlJc w:val="right"/>
      <w:pPr>
        <w:ind w:left="1020" w:hanging="360"/>
      </w:pPr>
    </w:lvl>
    <w:lvl w:ilvl="1" w:tplc="BCFE008A">
      <w:start w:val="1"/>
      <w:numFmt w:val="lowerRoman"/>
      <w:lvlText w:val="%2)"/>
      <w:lvlJc w:val="right"/>
      <w:pPr>
        <w:ind w:left="1020" w:hanging="360"/>
      </w:pPr>
    </w:lvl>
    <w:lvl w:ilvl="2" w:tplc="22266534">
      <w:start w:val="1"/>
      <w:numFmt w:val="lowerRoman"/>
      <w:lvlText w:val="%3)"/>
      <w:lvlJc w:val="right"/>
      <w:pPr>
        <w:ind w:left="1020" w:hanging="360"/>
      </w:pPr>
    </w:lvl>
    <w:lvl w:ilvl="3" w:tplc="D30C000A">
      <w:start w:val="1"/>
      <w:numFmt w:val="lowerRoman"/>
      <w:lvlText w:val="%4)"/>
      <w:lvlJc w:val="right"/>
      <w:pPr>
        <w:ind w:left="1020" w:hanging="360"/>
      </w:pPr>
    </w:lvl>
    <w:lvl w:ilvl="4" w:tplc="C01EB062">
      <w:start w:val="1"/>
      <w:numFmt w:val="lowerRoman"/>
      <w:lvlText w:val="%5)"/>
      <w:lvlJc w:val="right"/>
      <w:pPr>
        <w:ind w:left="1020" w:hanging="360"/>
      </w:pPr>
    </w:lvl>
    <w:lvl w:ilvl="5" w:tplc="4358E61E">
      <w:start w:val="1"/>
      <w:numFmt w:val="lowerRoman"/>
      <w:lvlText w:val="%6)"/>
      <w:lvlJc w:val="right"/>
      <w:pPr>
        <w:ind w:left="1020" w:hanging="360"/>
      </w:pPr>
    </w:lvl>
    <w:lvl w:ilvl="6" w:tplc="C51E970A">
      <w:start w:val="1"/>
      <w:numFmt w:val="lowerRoman"/>
      <w:lvlText w:val="%7)"/>
      <w:lvlJc w:val="right"/>
      <w:pPr>
        <w:ind w:left="1020" w:hanging="360"/>
      </w:pPr>
    </w:lvl>
    <w:lvl w:ilvl="7" w:tplc="C76ABA8C">
      <w:start w:val="1"/>
      <w:numFmt w:val="lowerRoman"/>
      <w:lvlText w:val="%8)"/>
      <w:lvlJc w:val="right"/>
      <w:pPr>
        <w:ind w:left="1020" w:hanging="360"/>
      </w:pPr>
    </w:lvl>
    <w:lvl w:ilvl="8" w:tplc="392C9C3A">
      <w:start w:val="1"/>
      <w:numFmt w:val="lowerRoman"/>
      <w:lvlText w:val="%9)"/>
      <w:lvlJc w:val="right"/>
      <w:pPr>
        <w:ind w:left="1020" w:hanging="360"/>
      </w:pPr>
    </w:lvl>
  </w:abstractNum>
  <w:abstractNum w:abstractNumId="4" w15:restartNumberingAfterBreak="0">
    <w:nsid w:val="399005CA"/>
    <w:multiLevelType w:val="multilevel"/>
    <w:tmpl w:val="99B6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B206C5"/>
    <w:multiLevelType w:val="hybridMultilevel"/>
    <w:tmpl w:val="B8622B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C1D2FD2"/>
    <w:multiLevelType w:val="hybridMultilevel"/>
    <w:tmpl w:val="84C888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FBE62D3"/>
    <w:multiLevelType w:val="hybridMultilevel"/>
    <w:tmpl w:val="E690BF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51156515"/>
    <w:multiLevelType w:val="hybridMultilevel"/>
    <w:tmpl w:val="26CA90C8"/>
    <w:lvl w:ilvl="0" w:tplc="B3F2E932">
      <w:start w:val="1"/>
      <w:numFmt w:val="lowerRoman"/>
      <w:lvlText w:val="%1)"/>
      <w:lvlJc w:val="right"/>
      <w:pPr>
        <w:ind w:left="1020" w:hanging="360"/>
      </w:pPr>
    </w:lvl>
    <w:lvl w:ilvl="1" w:tplc="B4CA54F6">
      <w:start w:val="1"/>
      <w:numFmt w:val="lowerRoman"/>
      <w:lvlText w:val="%2)"/>
      <w:lvlJc w:val="right"/>
      <w:pPr>
        <w:ind w:left="1020" w:hanging="360"/>
      </w:pPr>
    </w:lvl>
    <w:lvl w:ilvl="2" w:tplc="F264917C">
      <w:start w:val="1"/>
      <w:numFmt w:val="lowerRoman"/>
      <w:lvlText w:val="%3)"/>
      <w:lvlJc w:val="right"/>
      <w:pPr>
        <w:ind w:left="1020" w:hanging="360"/>
      </w:pPr>
    </w:lvl>
    <w:lvl w:ilvl="3" w:tplc="D5D27C2C">
      <w:start w:val="1"/>
      <w:numFmt w:val="lowerRoman"/>
      <w:lvlText w:val="%4)"/>
      <w:lvlJc w:val="right"/>
      <w:pPr>
        <w:ind w:left="1020" w:hanging="360"/>
      </w:pPr>
    </w:lvl>
    <w:lvl w:ilvl="4" w:tplc="4BC41B10">
      <w:start w:val="1"/>
      <w:numFmt w:val="lowerRoman"/>
      <w:lvlText w:val="%5)"/>
      <w:lvlJc w:val="right"/>
      <w:pPr>
        <w:ind w:left="1020" w:hanging="360"/>
      </w:pPr>
    </w:lvl>
    <w:lvl w:ilvl="5" w:tplc="961EA06C">
      <w:start w:val="1"/>
      <w:numFmt w:val="lowerRoman"/>
      <w:lvlText w:val="%6)"/>
      <w:lvlJc w:val="right"/>
      <w:pPr>
        <w:ind w:left="1020" w:hanging="360"/>
      </w:pPr>
    </w:lvl>
    <w:lvl w:ilvl="6" w:tplc="B6FC6A8A">
      <w:start w:val="1"/>
      <w:numFmt w:val="lowerRoman"/>
      <w:lvlText w:val="%7)"/>
      <w:lvlJc w:val="right"/>
      <w:pPr>
        <w:ind w:left="1020" w:hanging="360"/>
      </w:pPr>
    </w:lvl>
    <w:lvl w:ilvl="7" w:tplc="B69E7DB8">
      <w:start w:val="1"/>
      <w:numFmt w:val="lowerRoman"/>
      <w:lvlText w:val="%8)"/>
      <w:lvlJc w:val="right"/>
      <w:pPr>
        <w:ind w:left="1020" w:hanging="360"/>
      </w:pPr>
    </w:lvl>
    <w:lvl w:ilvl="8" w:tplc="6F84B308">
      <w:start w:val="1"/>
      <w:numFmt w:val="lowerRoman"/>
      <w:lvlText w:val="%9)"/>
      <w:lvlJc w:val="right"/>
      <w:pPr>
        <w:ind w:left="1020" w:hanging="360"/>
      </w:pPr>
    </w:lvl>
  </w:abstractNum>
  <w:abstractNum w:abstractNumId="9" w15:restartNumberingAfterBreak="0">
    <w:nsid w:val="541032A1"/>
    <w:multiLevelType w:val="hybridMultilevel"/>
    <w:tmpl w:val="22DCA4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B2E2DEB"/>
    <w:multiLevelType w:val="hybridMultilevel"/>
    <w:tmpl w:val="70BC39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F1E3DA1"/>
    <w:multiLevelType w:val="hybridMultilevel"/>
    <w:tmpl w:val="9A7617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60CA7A1B"/>
    <w:multiLevelType w:val="hybridMultilevel"/>
    <w:tmpl w:val="43207A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4787C34"/>
    <w:multiLevelType w:val="hybridMultilevel"/>
    <w:tmpl w:val="519EB4B8"/>
    <w:lvl w:ilvl="0" w:tplc="DF20846C">
      <w:start w:val="1"/>
      <w:numFmt w:val="decimal"/>
      <w:pStyle w:val="Heading2"/>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6"/>
  </w:num>
  <w:num w:numId="2">
    <w:abstractNumId w:val="13"/>
  </w:num>
  <w:num w:numId="3">
    <w:abstractNumId w:val="0"/>
  </w:num>
  <w:num w:numId="4">
    <w:abstractNumId w:val="10"/>
  </w:num>
  <w:num w:numId="5">
    <w:abstractNumId w:val="5"/>
  </w:num>
  <w:num w:numId="6">
    <w:abstractNumId w:val="7"/>
  </w:num>
  <w:num w:numId="7">
    <w:abstractNumId w:val="2"/>
  </w:num>
  <w:num w:numId="8">
    <w:abstractNumId w:val="4"/>
  </w:num>
  <w:num w:numId="9">
    <w:abstractNumId w:val="11"/>
  </w:num>
  <w:num w:numId="10">
    <w:abstractNumId w:val="1"/>
  </w:num>
  <w:num w:numId="11">
    <w:abstractNumId w:val="9"/>
  </w:num>
  <w:num w:numId="12">
    <w:abstractNumId w:val="12"/>
  </w:num>
  <w:num w:numId="13">
    <w:abstractNumId w:val="8"/>
  </w:num>
  <w:num w:numId="1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D2DCC62-6BA2-48C4-ADD8-DD7FEBA04BC7"/>
    <w:docVar w:name="LW_COVERPAGE_TYPE" w:val="1"/>
    <w:docVar w:name="LW_CROSSREFERENCE" w:val="&lt;UNUSED&gt;"/>
    <w:docVar w:name="LW_DocType" w:val="NORMAL"/>
    <w:docVar w:name="LW_EMISSION" w:val="16.4.2026"/>
    <w:docVar w:name="LW_EMISSION_ISODATE" w:val="2026-04-16"/>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raportarea de c\u259?tre statele membre a articolelor din plastic de unic\u259? folosin\u539?\u259? \u537?i a echipamentelor de pescuit în temeiul Directivei (UE) 2019/904&lt;/FMT&gt;_x000b_"/>
    <w:docVar w:name="LW_TYPE.DOC.CP" w:val="RAPORT AL COMISIEI C\u258?TRE PARLAMENTUL EUROPEAN \u536?I CONSILIU"/>
    <w:docVar w:name="LwApiVersions" w:val="LW4CoDe 1.24.5.0; LW 9.2, Build 20251112"/>
  </w:docVars>
  <w:rsids>
    <w:rsidRoot w:val="00C50D40"/>
    <w:rsid w:val="00001965"/>
    <w:rsid w:val="0000241D"/>
    <w:rsid w:val="000024C7"/>
    <w:rsid w:val="0000285C"/>
    <w:rsid w:val="00002938"/>
    <w:rsid w:val="000049D2"/>
    <w:rsid w:val="0000525B"/>
    <w:rsid w:val="000054BD"/>
    <w:rsid w:val="00006748"/>
    <w:rsid w:val="00006F42"/>
    <w:rsid w:val="00010AFC"/>
    <w:rsid w:val="00010B87"/>
    <w:rsid w:val="000114F2"/>
    <w:rsid w:val="00011BA7"/>
    <w:rsid w:val="00012A1B"/>
    <w:rsid w:val="00013E6B"/>
    <w:rsid w:val="00013F61"/>
    <w:rsid w:val="000143D8"/>
    <w:rsid w:val="00014D88"/>
    <w:rsid w:val="0001516F"/>
    <w:rsid w:val="00015DA3"/>
    <w:rsid w:val="000176C3"/>
    <w:rsid w:val="00017C6E"/>
    <w:rsid w:val="00021469"/>
    <w:rsid w:val="000221C7"/>
    <w:rsid w:val="000231A0"/>
    <w:rsid w:val="000253E4"/>
    <w:rsid w:val="00025545"/>
    <w:rsid w:val="00025729"/>
    <w:rsid w:val="0002668C"/>
    <w:rsid w:val="00026A58"/>
    <w:rsid w:val="00026AA8"/>
    <w:rsid w:val="00026E6D"/>
    <w:rsid w:val="000271E3"/>
    <w:rsid w:val="00030A4E"/>
    <w:rsid w:val="0003187C"/>
    <w:rsid w:val="000342CC"/>
    <w:rsid w:val="00036E68"/>
    <w:rsid w:val="00041290"/>
    <w:rsid w:val="000441D3"/>
    <w:rsid w:val="00044616"/>
    <w:rsid w:val="00045389"/>
    <w:rsid w:val="000456BE"/>
    <w:rsid w:val="0004594A"/>
    <w:rsid w:val="00045DEE"/>
    <w:rsid w:val="000513AB"/>
    <w:rsid w:val="00051B41"/>
    <w:rsid w:val="000522E3"/>
    <w:rsid w:val="000528B8"/>
    <w:rsid w:val="000530DC"/>
    <w:rsid w:val="000534F3"/>
    <w:rsid w:val="00054369"/>
    <w:rsid w:val="00055A84"/>
    <w:rsid w:val="00056955"/>
    <w:rsid w:val="00056DDB"/>
    <w:rsid w:val="00056E14"/>
    <w:rsid w:val="00057474"/>
    <w:rsid w:val="00057483"/>
    <w:rsid w:val="000609C2"/>
    <w:rsid w:val="00060A5A"/>
    <w:rsid w:val="00061036"/>
    <w:rsid w:val="00063010"/>
    <w:rsid w:val="0006554B"/>
    <w:rsid w:val="00065A74"/>
    <w:rsid w:val="00066050"/>
    <w:rsid w:val="00070481"/>
    <w:rsid w:val="00070946"/>
    <w:rsid w:val="00071114"/>
    <w:rsid w:val="00072AAD"/>
    <w:rsid w:val="0007438D"/>
    <w:rsid w:val="00076FDB"/>
    <w:rsid w:val="00080A0F"/>
    <w:rsid w:val="00080B52"/>
    <w:rsid w:val="00080D08"/>
    <w:rsid w:val="000822AE"/>
    <w:rsid w:val="000835A5"/>
    <w:rsid w:val="000836FF"/>
    <w:rsid w:val="00084EDE"/>
    <w:rsid w:val="00085703"/>
    <w:rsid w:val="000865D9"/>
    <w:rsid w:val="000907D1"/>
    <w:rsid w:val="000914C7"/>
    <w:rsid w:val="00092BEF"/>
    <w:rsid w:val="000934A6"/>
    <w:rsid w:val="00093E00"/>
    <w:rsid w:val="000951D6"/>
    <w:rsid w:val="0009634B"/>
    <w:rsid w:val="0009638A"/>
    <w:rsid w:val="00096CE1"/>
    <w:rsid w:val="000A0702"/>
    <w:rsid w:val="000A3617"/>
    <w:rsid w:val="000A3754"/>
    <w:rsid w:val="000A4965"/>
    <w:rsid w:val="000A528D"/>
    <w:rsid w:val="000A5F1A"/>
    <w:rsid w:val="000A7281"/>
    <w:rsid w:val="000A7BAE"/>
    <w:rsid w:val="000B1993"/>
    <w:rsid w:val="000B3AA8"/>
    <w:rsid w:val="000B4AB1"/>
    <w:rsid w:val="000B5865"/>
    <w:rsid w:val="000B58C6"/>
    <w:rsid w:val="000B5BD0"/>
    <w:rsid w:val="000B649C"/>
    <w:rsid w:val="000B6D49"/>
    <w:rsid w:val="000B6FEF"/>
    <w:rsid w:val="000B7D35"/>
    <w:rsid w:val="000C03A5"/>
    <w:rsid w:val="000C06EA"/>
    <w:rsid w:val="000C126D"/>
    <w:rsid w:val="000C13D1"/>
    <w:rsid w:val="000C28FC"/>
    <w:rsid w:val="000C3323"/>
    <w:rsid w:val="000C351D"/>
    <w:rsid w:val="000C361C"/>
    <w:rsid w:val="000C3ABD"/>
    <w:rsid w:val="000C599E"/>
    <w:rsid w:val="000C5A2A"/>
    <w:rsid w:val="000D08E5"/>
    <w:rsid w:val="000D27A8"/>
    <w:rsid w:val="000D56A8"/>
    <w:rsid w:val="000D5C12"/>
    <w:rsid w:val="000D5D87"/>
    <w:rsid w:val="000E0A9A"/>
    <w:rsid w:val="000E0FF6"/>
    <w:rsid w:val="000E1116"/>
    <w:rsid w:val="000E2EE5"/>
    <w:rsid w:val="000E448F"/>
    <w:rsid w:val="000F02CC"/>
    <w:rsid w:val="000F2C11"/>
    <w:rsid w:val="000F2E45"/>
    <w:rsid w:val="000F648D"/>
    <w:rsid w:val="000F7315"/>
    <w:rsid w:val="00100746"/>
    <w:rsid w:val="00100F6D"/>
    <w:rsid w:val="001012D0"/>
    <w:rsid w:val="00101A63"/>
    <w:rsid w:val="00103EFA"/>
    <w:rsid w:val="00104D7E"/>
    <w:rsid w:val="0010564A"/>
    <w:rsid w:val="00105FB4"/>
    <w:rsid w:val="00107ACA"/>
    <w:rsid w:val="001107B5"/>
    <w:rsid w:val="00110ED2"/>
    <w:rsid w:val="00111715"/>
    <w:rsid w:val="00111A9C"/>
    <w:rsid w:val="00111D85"/>
    <w:rsid w:val="00112503"/>
    <w:rsid w:val="00113DCC"/>
    <w:rsid w:val="00114B1D"/>
    <w:rsid w:val="00115144"/>
    <w:rsid w:val="001165F3"/>
    <w:rsid w:val="00120204"/>
    <w:rsid w:val="00120D56"/>
    <w:rsid w:val="00122E25"/>
    <w:rsid w:val="001237A0"/>
    <w:rsid w:val="00123B49"/>
    <w:rsid w:val="00124284"/>
    <w:rsid w:val="00126C2C"/>
    <w:rsid w:val="00130591"/>
    <w:rsid w:val="001309B8"/>
    <w:rsid w:val="00130E9A"/>
    <w:rsid w:val="00130FB2"/>
    <w:rsid w:val="00131CC7"/>
    <w:rsid w:val="00132DE8"/>
    <w:rsid w:val="00133887"/>
    <w:rsid w:val="0013401E"/>
    <w:rsid w:val="00135361"/>
    <w:rsid w:val="00135DA0"/>
    <w:rsid w:val="00135DE8"/>
    <w:rsid w:val="00140729"/>
    <w:rsid w:val="00140810"/>
    <w:rsid w:val="00141B95"/>
    <w:rsid w:val="001423E1"/>
    <w:rsid w:val="00142FB4"/>
    <w:rsid w:val="00144098"/>
    <w:rsid w:val="0014429A"/>
    <w:rsid w:val="00144C56"/>
    <w:rsid w:val="00144C88"/>
    <w:rsid w:val="00144F61"/>
    <w:rsid w:val="001469DF"/>
    <w:rsid w:val="00146E8B"/>
    <w:rsid w:val="00147D19"/>
    <w:rsid w:val="001527AB"/>
    <w:rsid w:val="00153F81"/>
    <w:rsid w:val="001569D5"/>
    <w:rsid w:val="00160B1D"/>
    <w:rsid w:val="00160E01"/>
    <w:rsid w:val="00161A2E"/>
    <w:rsid w:val="00161F39"/>
    <w:rsid w:val="00162E56"/>
    <w:rsid w:val="0016583C"/>
    <w:rsid w:val="00166A55"/>
    <w:rsid w:val="0017197D"/>
    <w:rsid w:val="0017274D"/>
    <w:rsid w:val="00172B51"/>
    <w:rsid w:val="00172D6C"/>
    <w:rsid w:val="0017408D"/>
    <w:rsid w:val="00175376"/>
    <w:rsid w:val="00175579"/>
    <w:rsid w:val="00175874"/>
    <w:rsid w:val="00175ED0"/>
    <w:rsid w:val="00175F7D"/>
    <w:rsid w:val="00177008"/>
    <w:rsid w:val="00181DF3"/>
    <w:rsid w:val="00182128"/>
    <w:rsid w:val="00183123"/>
    <w:rsid w:val="00183A42"/>
    <w:rsid w:val="00184284"/>
    <w:rsid w:val="0018486C"/>
    <w:rsid w:val="00184E1C"/>
    <w:rsid w:val="0018572E"/>
    <w:rsid w:val="00186ACF"/>
    <w:rsid w:val="0018724C"/>
    <w:rsid w:val="001909E0"/>
    <w:rsid w:val="00193B25"/>
    <w:rsid w:val="00194390"/>
    <w:rsid w:val="00194ED2"/>
    <w:rsid w:val="00194F50"/>
    <w:rsid w:val="00196419"/>
    <w:rsid w:val="001A07C5"/>
    <w:rsid w:val="001A0E99"/>
    <w:rsid w:val="001A126E"/>
    <w:rsid w:val="001A223B"/>
    <w:rsid w:val="001A6688"/>
    <w:rsid w:val="001B1D24"/>
    <w:rsid w:val="001B2C28"/>
    <w:rsid w:val="001B3333"/>
    <w:rsid w:val="001B3C26"/>
    <w:rsid w:val="001B4E4A"/>
    <w:rsid w:val="001B4F9A"/>
    <w:rsid w:val="001B5AA9"/>
    <w:rsid w:val="001B6016"/>
    <w:rsid w:val="001B6D0F"/>
    <w:rsid w:val="001C03B3"/>
    <w:rsid w:val="001C1D8C"/>
    <w:rsid w:val="001C233C"/>
    <w:rsid w:val="001C277F"/>
    <w:rsid w:val="001C4840"/>
    <w:rsid w:val="001C696C"/>
    <w:rsid w:val="001C6E9D"/>
    <w:rsid w:val="001D3D02"/>
    <w:rsid w:val="001D3E41"/>
    <w:rsid w:val="001D4582"/>
    <w:rsid w:val="001D66DB"/>
    <w:rsid w:val="001E23B6"/>
    <w:rsid w:val="001E5B2C"/>
    <w:rsid w:val="001E6350"/>
    <w:rsid w:val="001E75B1"/>
    <w:rsid w:val="001F078A"/>
    <w:rsid w:val="001F154B"/>
    <w:rsid w:val="001F15B5"/>
    <w:rsid w:val="001F1D85"/>
    <w:rsid w:val="001F4AAE"/>
    <w:rsid w:val="001F5889"/>
    <w:rsid w:val="001F66E1"/>
    <w:rsid w:val="001F6881"/>
    <w:rsid w:val="001F7DA9"/>
    <w:rsid w:val="001F7EBF"/>
    <w:rsid w:val="00200A17"/>
    <w:rsid w:val="00201136"/>
    <w:rsid w:val="002028CD"/>
    <w:rsid w:val="00202D79"/>
    <w:rsid w:val="0020370C"/>
    <w:rsid w:val="002038BA"/>
    <w:rsid w:val="00206CD9"/>
    <w:rsid w:val="00207EA1"/>
    <w:rsid w:val="00212500"/>
    <w:rsid w:val="00212A3B"/>
    <w:rsid w:val="00213115"/>
    <w:rsid w:val="00213816"/>
    <w:rsid w:val="00214FEA"/>
    <w:rsid w:val="00216B30"/>
    <w:rsid w:val="00217A1E"/>
    <w:rsid w:val="00217BEC"/>
    <w:rsid w:val="002209CE"/>
    <w:rsid w:val="00221252"/>
    <w:rsid w:val="00222C1C"/>
    <w:rsid w:val="00222EAB"/>
    <w:rsid w:val="00225E3F"/>
    <w:rsid w:val="002265E7"/>
    <w:rsid w:val="002271DE"/>
    <w:rsid w:val="00230180"/>
    <w:rsid w:val="0023155A"/>
    <w:rsid w:val="00232231"/>
    <w:rsid w:val="002329C3"/>
    <w:rsid w:val="0024052C"/>
    <w:rsid w:val="00242C0F"/>
    <w:rsid w:val="0024411E"/>
    <w:rsid w:val="0024639B"/>
    <w:rsid w:val="002465B7"/>
    <w:rsid w:val="00246DF1"/>
    <w:rsid w:val="002470BD"/>
    <w:rsid w:val="002472DC"/>
    <w:rsid w:val="00247872"/>
    <w:rsid w:val="00247C55"/>
    <w:rsid w:val="00250C36"/>
    <w:rsid w:val="002512AC"/>
    <w:rsid w:val="00253114"/>
    <w:rsid w:val="00253821"/>
    <w:rsid w:val="00254412"/>
    <w:rsid w:val="00255B18"/>
    <w:rsid w:val="002566AD"/>
    <w:rsid w:val="0025688B"/>
    <w:rsid w:val="00257D11"/>
    <w:rsid w:val="00260C3F"/>
    <w:rsid w:val="00262796"/>
    <w:rsid w:val="00263F9E"/>
    <w:rsid w:val="00264599"/>
    <w:rsid w:val="00265B27"/>
    <w:rsid w:val="002665AC"/>
    <w:rsid w:val="00266BEC"/>
    <w:rsid w:val="00267900"/>
    <w:rsid w:val="00267D19"/>
    <w:rsid w:val="00267F94"/>
    <w:rsid w:val="00274494"/>
    <w:rsid w:val="0027611C"/>
    <w:rsid w:val="00276905"/>
    <w:rsid w:val="002823B5"/>
    <w:rsid w:val="00283CC2"/>
    <w:rsid w:val="00285795"/>
    <w:rsid w:val="00285C7F"/>
    <w:rsid w:val="002878A2"/>
    <w:rsid w:val="0028794B"/>
    <w:rsid w:val="00287C63"/>
    <w:rsid w:val="00291D7E"/>
    <w:rsid w:val="00292BE3"/>
    <w:rsid w:val="00293656"/>
    <w:rsid w:val="002940F4"/>
    <w:rsid w:val="00295810"/>
    <w:rsid w:val="002964D7"/>
    <w:rsid w:val="00296652"/>
    <w:rsid w:val="002966E4"/>
    <w:rsid w:val="002975B5"/>
    <w:rsid w:val="002A0F83"/>
    <w:rsid w:val="002A26DD"/>
    <w:rsid w:val="002A2AB1"/>
    <w:rsid w:val="002A3F5A"/>
    <w:rsid w:val="002A3FA5"/>
    <w:rsid w:val="002A45DD"/>
    <w:rsid w:val="002A4E9D"/>
    <w:rsid w:val="002A6879"/>
    <w:rsid w:val="002A6A33"/>
    <w:rsid w:val="002A6F37"/>
    <w:rsid w:val="002A713D"/>
    <w:rsid w:val="002A71ED"/>
    <w:rsid w:val="002A7FA8"/>
    <w:rsid w:val="002B082B"/>
    <w:rsid w:val="002B0E4C"/>
    <w:rsid w:val="002B10C0"/>
    <w:rsid w:val="002B1394"/>
    <w:rsid w:val="002B15EB"/>
    <w:rsid w:val="002B1D01"/>
    <w:rsid w:val="002B4390"/>
    <w:rsid w:val="002B4721"/>
    <w:rsid w:val="002B656D"/>
    <w:rsid w:val="002B6E2A"/>
    <w:rsid w:val="002C1092"/>
    <w:rsid w:val="002C2041"/>
    <w:rsid w:val="002C40A0"/>
    <w:rsid w:val="002C4BD5"/>
    <w:rsid w:val="002C507F"/>
    <w:rsid w:val="002C5FA8"/>
    <w:rsid w:val="002C6787"/>
    <w:rsid w:val="002C7F4F"/>
    <w:rsid w:val="002D249D"/>
    <w:rsid w:val="002D4C22"/>
    <w:rsid w:val="002D4DF7"/>
    <w:rsid w:val="002D5EE9"/>
    <w:rsid w:val="002D605D"/>
    <w:rsid w:val="002D7946"/>
    <w:rsid w:val="002E24CB"/>
    <w:rsid w:val="002E285E"/>
    <w:rsid w:val="002E2874"/>
    <w:rsid w:val="002E3799"/>
    <w:rsid w:val="002E4722"/>
    <w:rsid w:val="002E56BC"/>
    <w:rsid w:val="002E7DFF"/>
    <w:rsid w:val="002F27BD"/>
    <w:rsid w:val="002F2827"/>
    <w:rsid w:val="002F6C18"/>
    <w:rsid w:val="003018CC"/>
    <w:rsid w:val="00304C00"/>
    <w:rsid w:val="00305FBA"/>
    <w:rsid w:val="00307418"/>
    <w:rsid w:val="00310E6B"/>
    <w:rsid w:val="00311868"/>
    <w:rsid w:val="00311D3E"/>
    <w:rsid w:val="00313086"/>
    <w:rsid w:val="00313BF2"/>
    <w:rsid w:val="0031623F"/>
    <w:rsid w:val="00320C37"/>
    <w:rsid w:val="003219CC"/>
    <w:rsid w:val="0032258C"/>
    <w:rsid w:val="00322743"/>
    <w:rsid w:val="00322A76"/>
    <w:rsid w:val="0032353C"/>
    <w:rsid w:val="003244D1"/>
    <w:rsid w:val="00324E2E"/>
    <w:rsid w:val="00324EC1"/>
    <w:rsid w:val="003267D6"/>
    <w:rsid w:val="003279AD"/>
    <w:rsid w:val="00331E4D"/>
    <w:rsid w:val="00332E65"/>
    <w:rsid w:val="00334744"/>
    <w:rsid w:val="00335D07"/>
    <w:rsid w:val="00336316"/>
    <w:rsid w:val="003367F9"/>
    <w:rsid w:val="003400F5"/>
    <w:rsid w:val="003405E4"/>
    <w:rsid w:val="00340677"/>
    <w:rsid w:val="00340C92"/>
    <w:rsid w:val="00340ED1"/>
    <w:rsid w:val="00341076"/>
    <w:rsid w:val="00341107"/>
    <w:rsid w:val="0034143B"/>
    <w:rsid w:val="0034178D"/>
    <w:rsid w:val="00342CBB"/>
    <w:rsid w:val="00343107"/>
    <w:rsid w:val="003437E0"/>
    <w:rsid w:val="00345589"/>
    <w:rsid w:val="00345D94"/>
    <w:rsid w:val="00346FC9"/>
    <w:rsid w:val="00347394"/>
    <w:rsid w:val="00350D7F"/>
    <w:rsid w:val="00351063"/>
    <w:rsid w:val="00351DD0"/>
    <w:rsid w:val="00354477"/>
    <w:rsid w:val="00354ACE"/>
    <w:rsid w:val="00354CDD"/>
    <w:rsid w:val="0035503B"/>
    <w:rsid w:val="003555E4"/>
    <w:rsid w:val="00356317"/>
    <w:rsid w:val="00356967"/>
    <w:rsid w:val="00357859"/>
    <w:rsid w:val="00357CDB"/>
    <w:rsid w:val="00360574"/>
    <w:rsid w:val="00361264"/>
    <w:rsid w:val="00361886"/>
    <w:rsid w:val="00361FAF"/>
    <w:rsid w:val="00365217"/>
    <w:rsid w:val="00367476"/>
    <w:rsid w:val="00367F0F"/>
    <w:rsid w:val="00370AAF"/>
    <w:rsid w:val="0037119B"/>
    <w:rsid w:val="00371CAA"/>
    <w:rsid w:val="0037248D"/>
    <w:rsid w:val="00373818"/>
    <w:rsid w:val="00373BB3"/>
    <w:rsid w:val="003751C0"/>
    <w:rsid w:val="00375558"/>
    <w:rsid w:val="003758E2"/>
    <w:rsid w:val="00375E31"/>
    <w:rsid w:val="003769F3"/>
    <w:rsid w:val="00382038"/>
    <w:rsid w:val="00382064"/>
    <w:rsid w:val="003820CE"/>
    <w:rsid w:val="00382EBB"/>
    <w:rsid w:val="00383E8F"/>
    <w:rsid w:val="00384D21"/>
    <w:rsid w:val="0038526D"/>
    <w:rsid w:val="00385517"/>
    <w:rsid w:val="00386B88"/>
    <w:rsid w:val="00386BE8"/>
    <w:rsid w:val="00387885"/>
    <w:rsid w:val="003879F2"/>
    <w:rsid w:val="00390825"/>
    <w:rsid w:val="00390EB3"/>
    <w:rsid w:val="00392CBB"/>
    <w:rsid w:val="00393E4F"/>
    <w:rsid w:val="00395C60"/>
    <w:rsid w:val="003967B4"/>
    <w:rsid w:val="00397D02"/>
    <w:rsid w:val="00397DE7"/>
    <w:rsid w:val="003A0AD1"/>
    <w:rsid w:val="003A1535"/>
    <w:rsid w:val="003A1A15"/>
    <w:rsid w:val="003A1A90"/>
    <w:rsid w:val="003A2E73"/>
    <w:rsid w:val="003A401D"/>
    <w:rsid w:val="003A42FB"/>
    <w:rsid w:val="003B0256"/>
    <w:rsid w:val="003B232F"/>
    <w:rsid w:val="003B2539"/>
    <w:rsid w:val="003B2576"/>
    <w:rsid w:val="003B2D24"/>
    <w:rsid w:val="003B4185"/>
    <w:rsid w:val="003B7894"/>
    <w:rsid w:val="003B7DD8"/>
    <w:rsid w:val="003B7EFB"/>
    <w:rsid w:val="003C08B2"/>
    <w:rsid w:val="003C1D73"/>
    <w:rsid w:val="003C2204"/>
    <w:rsid w:val="003C3500"/>
    <w:rsid w:val="003C35E2"/>
    <w:rsid w:val="003C65DA"/>
    <w:rsid w:val="003C7A4E"/>
    <w:rsid w:val="003D0F33"/>
    <w:rsid w:val="003D286F"/>
    <w:rsid w:val="003D3197"/>
    <w:rsid w:val="003D31D6"/>
    <w:rsid w:val="003D3693"/>
    <w:rsid w:val="003D3F77"/>
    <w:rsid w:val="003D4A1A"/>
    <w:rsid w:val="003D4D62"/>
    <w:rsid w:val="003D5F4F"/>
    <w:rsid w:val="003D60FB"/>
    <w:rsid w:val="003D6EFB"/>
    <w:rsid w:val="003D71C5"/>
    <w:rsid w:val="003E0187"/>
    <w:rsid w:val="003E0497"/>
    <w:rsid w:val="003E1AD2"/>
    <w:rsid w:val="003E24BE"/>
    <w:rsid w:val="003E2769"/>
    <w:rsid w:val="003E3F68"/>
    <w:rsid w:val="003E4030"/>
    <w:rsid w:val="003E433C"/>
    <w:rsid w:val="003E4403"/>
    <w:rsid w:val="003E694E"/>
    <w:rsid w:val="003E6B73"/>
    <w:rsid w:val="003F0597"/>
    <w:rsid w:val="003F159F"/>
    <w:rsid w:val="003F2CF0"/>
    <w:rsid w:val="003F3B12"/>
    <w:rsid w:val="003F4091"/>
    <w:rsid w:val="003F4F59"/>
    <w:rsid w:val="003F5EC7"/>
    <w:rsid w:val="003F72BE"/>
    <w:rsid w:val="003F7AF6"/>
    <w:rsid w:val="00401944"/>
    <w:rsid w:val="00403FF6"/>
    <w:rsid w:val="004043A9"/>
    <w:rsid w:val="00407DA7"/>
    <w:rsid w:val="00410CAE"/>
    <w:rsid w:val="004126A1"/>
    <w:rsid w:val="00414DE4"/>
    <w:rsid w:val="00415D62"/>
    <w:rsid w:val="0041642E"/>
    <w:rsid w:val="004164A4"/>
    <w:rsid w:val="00423823"/>
    <w:rsid w:val="004252D6"/>
    <w:rsid w:val="00425D18"/>
    <w:rsid w:val="00427C93"/>
    <w:rsid w:val="00430516"/>
    <w:rsid w:val="00430F47"/>
    <w:rsid w:val="0043319B"/>
    <w:rsid w:val="00434051"/>
    <w:rsid w:val="0043713B"/>
    <w:rsid w:val="004371BD"/>
    <w:rsid w:val="004412DC"/>
    <w:rsid w:val="004418E1"/>
    <w:rsid w:val="004434C4"/>
    <w:rsid w:val="004438C3"/>
    <w:rsid w:val="00443A28"/>
    <w:rsid w:val="00443AD7"/>
    <w:rsid w:val="00446A71"/>
    <w:rsid w:val="00446C47"/>
    <w:rsid w:val="0044743D"/>
    <w:rsid w:val="004500B6"/>
    <w:rsid w:val="004509D2"/>
    <w:rsid w:val="00450F11"/>
    <w:rsid w:val="00453581"/>
    <w:rsid w:val="00453A43"/>
    <w:rsid w:val="00457DFB"/>
    <w:rsid w:val="00460A16"/>
    <w:rsid w:val="00460D00"/>
    <w:rsid w:val="00461773"/>
    <w:rsid w:val="00461E4C"/>
    <w:rsid w:val="00461FC0"/>
    <w:rsid w:val="00463DAC"/>
    <w:rsid w:val="00463F80"/>
    <w:rsid w:val="00464B84"/>
    <w:rsid w:val="00465D4E"/>
    <w:rsid w:val="0047113E"/>
    <w:rsid w:val="004726AA"/>
    <w:rsid w:val="00474F5C"/>
    <w:rsid w:val="0047659C"/>
    <w:rsid w:val="00476790"/>
    <w:rsid w:val="00477271"/>
    <w:rsid w:val="00477A90"/>
    <w:rsid w:val="00480456"/>
    <w:rsid w:val="004805EB"/>
    <w:rsid w:val="00481207"/>
    <w:rsid w:val="00483027"/>
    <w:rsid w:val="00483246"/>
    <w:rsid w:val="0048404F"/>
    <w:rsid w:val="004841C2"/>
    <w:rsid w:val="00485301"/>
    <w:rsid w:val="00486754"/>
    <w:rsid w:val="00487BC3"/>
    <w:rsid w:val="00487FE8"/>
    <w:rsid w:val="0049031C"/>
    <w:rsid w:val="00492B55"/>
    <w:rsid w:val="0049354C"/>
    <w:rsid w:val="004949ED"/>
    <w:rsid w:val="00495874"/>
    <w:rsid w:val="00495E1E"/>
    <w:rsid w:val="00496017"/>
    <w:rsid w:val="004960E2"/>
    <w:rsid w:val="00496948"/>
    <w:rsid w:val="004A09ED"/>
    <w:rsid w:val="004A0A8E"/>
    <w:rsid w:val="004A10F0"/>
    <w:rsid w:val="004A1648"/>
    <w:rsid w:val="004A1ED1"/>
    <w:rsid w:val="004A3C30"/>
    <w:rsid w:val="004A4443"/>
    <w:rsid w:val="004A492E"/>
    <w:rsid w:val="004A4AFC"/>
    <w:rsid w:val="004A650E"/>
    <w:rsid w:val="004A65CC"/>
    <w:rsid w:val="004A7A0C"/>
    <w:rsid w:val="004B24AA"/>
    <w:rsid w:val="004B62D7"/>
    <w:rsid w:val="004B7B3B"/>
    <w:rsid w:val="004C0414"/>
    <w:rsid w:val="004C19CF"/>
    <w:rsid w:val="004C20AD"/>
    <w:rsid w:val="004C2F44"/>
    <w:rsid w:val="004C37D7"/>
    <w:rsid w:val="004C5E3E"/>
    <w:rsid w:val="004C64D2"/>
    <w:rsid w:val="004D0C4E"/>
    <w:rsid w:val="004D0E4E"/>
    <w:rsid w:val="004D2647"/>
    <w:rsid w:val="004D2AB3"/>
    <w:rsid w:val="004D3244"/>
    <w:rsid w:val="004D4B95"/>
    <w:rsid w:val="004D5124"/>
    <w:rsid w:val="004D6E00"/>
    <w:rsid w:val="004D76E8"/>
    <w:rsid w:val="004E09B4"/>
    <w:rsid w:val="004E104D"/>
    <w:rsid w:val="004E2473"/>
    <w:rsid w:val="004E3AC7"/>
    <w:rsid w:val="004E3EDD"/>
    <w:rsid w:val="004E4616"/>
    <w:rsid w:val="004E5026"/>
    <w:rsid w:val="004E67D0"/>
    <w:rsid w:val="004E69C8"/>
    <w:rsid w:val="004E6F74"/>
    <w:rsid w:val="004E7FC6"/>
    <w:rsid w:val="004F327E"/>
    <w:rsid w:val="004F4C17"/>
    <w:rsid w:val="004F5EF7"/>
    <w:rsid w:val="004F670A"/>
    <w:rsid w:val="004F76A1"/>
    <w:rsid w:val="00500932"/>
    <w:rsid w:val="005039C2"/>
    <w:rsid w:val="0050452E"/>
    <w:rsid w:val="00504679"/>
    <w:rsid w:val="0050532A"/>
    <w:rsid w:val="0050545A"/>
    <w:rsid w:val="00505BBE"/>
    <w:rsid w:val="00506E22"/>
    <w:rsid w:val="00507AEC"/>
    <w:rsid w:val="00513375"/>
    <w:rsid w:val="00514F11"/>
    <w:rsid w:val="005150B4"/>
    <w:rsid w:val="0051613E"/>
    <w:rsid w:val="005178FC"/>
    <w:rsid w:val="00524F3A"/>
    <w:rsid w:val="00525229"/>
    <w:rsid w:val="005253A7"/>
    <w:rsid w:val="005256CA"/>
    <w:rsid w:val="00527322"/>
    <w:rsid w:val="005323ED"/>
    <w:rsid w:val="005328BC"/>
    <w:rsid w:val="00532F4D"/>
    <w:rsid w:val="00536023"/>
    <w:rsid w:val="00536B2B"/>
    <w:rsid w:val="00540F07"/>
    <w:rsid w:val="005425FA"/>
    <w:rsid w:val="00542758"/>
    <w:rsid w:val="00544646"/>
    <w:rsid w:val="00544BD6"/>
    <w:rsid w:val="0054737E"/>
    <w:rsid w:val="0055012B"/>
    <w:rsid w:val="00550A4F"/>
    <w:rsid w:val="00551EBC"/>
    <w:rsid w:val="0055779C"/>
    <w:rsid w:val="00560739"/>
    <w:rsid w:val="005607EA"/>
    <w:rsid w:val="005617A7"/>
    <w:rsid w:val="00561B02"/>
    <w:rsid w:val="00563EC7"/>
    <w:rsid w:val="005642D2"/>
    <w:rsid w:val="005652CD"/>
    <w:rsid w:val="00567105"/>
    <w:rsid w:val="0057076F"/>
    <w:rsid w:val="005719A4"/>
    <w:rsid w:val="00571CB6"/>
    <w:rsid w:val="00571D5C"/>
    <w:rsid w:val="00572B97"/>
    <w:rsid w:val="00573588"/>
    <w:rsid w:val="0057369D"/>
    <w:rsid w:val="005741BC"/>
    <w:rsid w:val="005744A1"/>
    <w:rsid w:val="005757D0"/>
    <w:rsid w:val="00577A5D"/>
    <w:rsid w:val="00577F67"/>
    <w:rsid w:val="00582DE9"/>
    <w:rsid w:val="00584E4A"/>
    <w:rsid w:val="00584EF2"/>
    <w:rsid w:val="00585CE4"/>
    <w:rsid w:val="00585D53"/>
    <w:rsid w:val="00587493"/>
    <w:rsid w:val="00590AB1"/>
    <w:rsid w:val="00590C76"/>
    <w:rsid w:val="00591547"/>
    <w:rsid w:val="0059171A"/>
    <w:rsid w:val="00594C9C"/>
    <w:rsid w:val="00595493"/>
    <w:rsid w:val="00595D09"/>
    <w:rsid w:val="005961BD"/>
    <w:rsid w:val="0059678D"/>
    <w:rsid w:val="0059712D"/>
    <w:rsid w:val="005A1A1D"/>
    <w:rsid w:val="005A1C58"/>
    <w:rsid w:val="005A272F"/>
    <w:rsid w:val="005A2C4A"/>
    <w:rsid w:val="005A4928"/>
    <w:rsid w:val="005B06D5"/>
    <w:rsid w:val="005B0C06"/>
    <w:rsid w:val="005B233F"/>
    <w:rsid w:val="005B32C3"/>
    <w:rsid w:val="005B366D"/>
    <w:rsid w:val="005B4540"/>
    <w:rsid w:val="005B4A1E"/>
    <w:rsid w:val="005B627B"/>
    <w:rsid w:val="005B6EA5"/>
    <w:rsid w:val="005B7031"/>
    <w:rsid w:val="005B718E"/>
    <w:rsid w:val="005C0047"/>
    <w:rsid w:val="005C0CE8"/>
    <w:rsid w:val="005C0D15"/>
    <w:rsid w:val="005C185A"/>
    <w:rsid w:val="005C41B1"/>
    <w:rsid w:val="005C75F5"/>
    <w:rsid w:val="005D0463"/>
    <w:rsid w:val="005D1958"/>
    <w:rsid w:val="005D1F97"/>
    <w:rsid w:val="005D5EA6"/>
    <w:rsid w:val="005D666E"/>
    <w:rsid w:val="005D66C6"/>
    <w:rsid w:val="005E1C2D"/>
    <w:rsid w:val="005E1D0A"/>
    <w:rsid w:val="005E313B"/>
    <w:rsid w:val="005E37B2"/>
    <w:rsid w:val="005E3830"/>
    <w:rsid w:val="005E4554"/>
    <w:rsid w:val="005E462D"/>
    <w:rsid w:val="005E56F8"/>
    <w:rsid w:val="005E6146"/>
    <w:rsid w:val="005E63CD"/>
    <w:rsid w:val="005F0257"/>
    <w:rsid w:val="005F197B"/>
    <w:rsid w:val="005F297D"/>
    <w:rsid w:val="005F4D45"/>
    <w:rsid w:val="005F5CA6"/>
    <w:rsid w:val="005F61A8"/>
    <w:rsid w:val="005F6DFA"/>
    <w:rsid w:val="005F7DB3"/>
    <w:rsid w:val="00602A0C"/>
    <w:rsid w:val="00602B14"/>
    <w:rsid w:val="00603123"/>
    <w:rsid w:val="00604C53"/>
    <w:rsid w:val="00604E5A"/>
    <w:rsid w:val="00605CF9"/>
    <w:rsid w:val="00606A48"/>
    <w:rsid w:val="00610693"/>
    <w:rsid w:val="0061103E"/>
    <w:rsid w:val="00611842"/>
    <w:rsid w:val="00611B4A"/>
    <w:rsid w:val="00612F83"/>
    <w:rsid w:val="0061344F"/>
    <w:rsid w:val="00614544"/>
    <w:rsid w:val="0061721B"/>
    <w:rsid w:val="006204EC"/>
    <w:rsid w:val="00620654"/>
    <w:rsid w:val="00621561"/>
    <w:rsid w:val="0062247A"/>
    <w:rsid w:val="00622781"/>
    <w:rsid w:val="0062312A"/>
    <w:rsid w:val="00623C54"/>
    <w:rsid w:val="00625A43"/>
    <w:rsid w:val="00627F8D"/>
    <w:rsid w:val="006306E4"/>
    <w:rsid w:val="00634A80"/>
    <w:rsid w:val="006408D0"/>
    <w:rsid w:val="00642F06"/>
    <w:rsid w:val="0064413E"/>
    <w:rsid w:val="00646043"/>
    <w:rsid w:val="00646310"/>
    <w:rsid w:val="00646CCC"/>
    <w:rsid w:val="0065016E"/>
    <w:rsid w:val="0065052C"/>
    <w:rsid w:val="00651131"/>
    <w:rsid w:val="0065254B"/>
    <w:rsid w:val="00652670"/>
    <w:rsid w:val="00652835"/>
    <w:rsid w:val="006528E4"/>
    <w:rsid w:val="00653641"/>
    <w:rsid w:val="00653FAD"/>
    <w:rsid w:val="006542F7"/>
    <w:rsid w:val="00655733"/>
    <w:rsid w:val="00655B6B"/>
    <w:rsid w:val="00657A6E"/>
    <w:rsid w:val="00660474"/>
    <w:rsid w:val="006620C7"/>
    <w:rsid w:val="00664824"/>
    <w:rsid w:val="00664FF4"/>
    <w:rsid w:val="006651BF"/>
    <w:rsid w:val="00665291"/>
    <w:rsid w:val="00666714"/>
    <w:rsid w:val="00667897"/>
    <w:rsid w:val="006703F0"/>
    <w:rsid w:val="00671067"/>
    <w:rsid w:val="00671AB3"/>
    <w:rsid w:val="006725A1"/>
    <w:rsid w:val="0067264D"/>
    <w:rsid w:val="00672837"/>
    <w:rsid w:val="00672E5F"/>
    <w:rsid w:val="00673C0A"/>
    <w:rsid w:val="00676C6B"/>
    <w:rsid w:val="0067770B"/>
    <w:rsid w:val="006823ED"/>
    <w:rsid w:val="00684E1E"/>
    <w:rsid w:val="00685DDD"/>
    <w:rsid w:val="00687935"/>
    <w:rsid w:val="0069079A"/>
    <w:rsid w:val="006928F9"/>
    <w:rsid w:val="00693BF1"/>
    <w:rsid w:val="00693DFC"/>
    <w:rsid w:val="006944D2"/>
    <w:rsid w:val="006954D2"/>
    <w:rsid w:val="00695E22"/>
    <w:rsid w:val="00697634"/>
    <w:rsid w:val="006A162D"/>
    <w:rsid w:val="006A31DF"/>
    <w:rsid w:val="006A5575"/>
    <w:rsid w:val="006A60F6"/>
    <w:rsid w:val="006A693E"/>
    <w:rsid w:val="006A6EFC"/>
    <w:rsid w:val="006B1344"/>
    <w:rsid w:val="006B1CB9"/>
    <w:rsid w:val="006B3C21"/>
    <w:rsid w:val="006B5FF0"/>
    <w:rsid w:val="006B600F"/>
    <w:rsid w:val="006B66C0"/>
    <w:rsid w:val="006C0F53"/>
    <w:rsid w:val="006C122E"/>
    <w:rsid w:val="006C2915"/>
    <w:rsid w:val="006C398F"/>
    <w:rsid w:val="006C39E5"/>
    <w:rsid w:val="006C4370"/>
    <w:rsid w:val="006C471F"/>
    <w:rsid w:val="006C490D"/>
    <w:rsid w:val="006C59CD"/>
    <w:rsid w:val="006C6246"/>
    <w:rsid w:val="006C72A8"/>
    <w:rsid w:val="006C7E06"/>
    <w:rsid w:val="006D09A1"/>
    <w:rsid w:val="006D118A"/>
    <w:rsid w:val="006D25EB"/>
    <w:rsid w:val="006D2841"/>
    <w:rsid w:val="006D28F1"/>
    <w:rsid w:val="006D64B5"/>
    <w:rsid w:val="006D7FA1"/>
    <w:rsid w:val="006E1370"/>
    <w:rsid w:val="006E1507"/>
    <w:rsid w:val="006E36D1"/>
    <w:rsid w:val="006E3FCE"/>
    <w:rsid w:val="006E4067"/>
    <w:rsid w:val="006E451D"/>
    <w:rsid w:val="006E55E3"/>
    <w:rsid w:val="006E73E9"/>
    <w:rsid w:val="006E7BD1"/>
    <w:rsid w:val="006E7BEC"/>
    <w:rsid w:val="006F06D6"/>
    <w:rsid w:val="006F29A8"/>
    <w:rsid w:val="006F355E"/>
    <w:rsid w:val="006F4FB5"/>
    <w:rsid w:val="006F5B22"/>
    <w:rsid w:val="006F6E99"/>
    <w:rsid w:val="00702448"/>
    <w:rsid w:val="00703124"/>
    <w:rsid w:val="007031BD"/>
    <w:rsid w:val="0070470F"/>
    <w:rsid w:val="00710E77"/>
    <w:rsid w:val="00711308"/>
    <w:rsid w:val="0071284D"/>
    <w:rsid w:val="00713B2A"/>
    <w:rsid w:val="00713E58"/>
    <w:rsid w:val="00713FA6"/>
    <w:rsid w:val="00714227"/>
    <w:rsid w:val="00717368"/>
    <w:rsid w:val="00720A0C"/>
    <w:rsid w:val="00722ABF"/>
    <w:rsid w:val="0072347E"/>
    <w:rsid w:val="007235F4"/>
    <w:rsid w:val="00723976"/>
    <w:rsid w:val="00723BDA"/>
    <w:rsid w:val="00724C7F"/>
    <w:rsid w:val="00725C95"/>
    <w:rsid w:val="007303FB"/>
    <w:rsid w:val="00736F75"/>
    <w:rsid w:val="00736F85"/>
    <w:rsid w:val="00737A34"/>
    <w:rsid w:val="0074084E"/>
    <w:rsid w:val="007409D9"/>
    <w:rsid w:val="00742186"/>
    <w:rsid w:val="00742187"/>
    <w:rsid w:val="00745597"/>
    <w:rsid w:val="00746FFF"/>
    <w:rsid w:val="00747459"/>
    <w:rsid w:val="00752063"/>
    <w:rsid w:val="00752D6E"/>
    <w:rsid w:val="007532E7"/>
    <w:rsid w:val="0075441F"/>
    <w:rsid w:val="00754F41"/>
    <w:rsid w:val="007553A2"/>
    <w:rsid w:val="0075572D"/>
    <w:rsid w:val="00755C2E"/>
    <w:rsid w:val="00756060"/>
    <w:rsid w:val="00757882"/>
    <w:rsid w:val="0076064F"/>
    <w:rsid w:val="00760BF4"/>
    <w:rsid w:val="00761490"/>
    <w:rsid w:val="00761D2E"/>
    <w:rsid w:val="00762A48"/>
    <w:rsid w:val="0076321F"/>
    <w:rsid w:val="00763AC6"/>
    <w:rsid w:val="00763FCD"/>
    <w:rsid w:val="00764ECF"/>
    <w:rsid w:val="007677A6"/>
    <w:rsid w:val="00767FA4"/>
    <w:rsid w:val="00770055"/>
    <w:rsid w:val="007700F5"/>
    <w:rsid w:val="00770AFB"/>
    <w:rsid w:val="00770BEE"/>
    <w:rsid w:val="007714A7"/>
    <w:rsid w:val="007724F4"/>
    <w:rsid w:val="00773389"/>
    <w:rsid w:val="0077481B"/>
    <w:rsid w:val="00774D5A"/>
    <w:rsid w:val="00776465"/>
    <w:rsid w:val="007765CF"/>
    <w:rsid w:val="007766CA"/>
    <w:rsid w:val="00776EF3"/>
    <w:rsid w:val="00776F78"/>
    <w:rsid w:val="00777669"/>
    <w:rsid w:val="007808F9"/>
    <w:rsid w:val="007818F0"/>
    <w:rsid w:val="007830D1"/>
    <w:rsid w:val="007850D2"/>
    <w:rsid w:val="0078713B"/>
    <w:rsid w:val="007903A7"/>
    <w:rsid w:val="00790504"/>
    <w:rsid w:val="007916C8"/>
    <w:rsid w:val="00791D67"/>
    <w:rsid w:val="007935D1"/>
    <w:rsid w:val="00793B51"/>
    <w:rsid w:val="0079576D"/>
    <w:rsid w:val="00795B3E"/>
    <w:rsid w:val="007965E9"/>
    <w:rsid w:val="00796A57"/>
    <w:rsid w:val="007970A5"/>
    <w:rsid w:val="007A006E"/>
    <w:rsid w:val="007A42CB"/>
    <w:rsid w:val="007A4F9A"/>
    <w:rsid w:val="007A651D"/>
    <w:rsid w:val="007A67D5"/>
    <w:rsid w:val="007A6970"/>
    <w:rsid w:val="007A7415"/>
    <w:rsid w:val="007B25B1"/>
    <w:rsid w:val="007B2DCE"/>
    <w:rsid w:val="007B3A53"/>
    <w:rsid w:val="007B66DD"/>
    <w:rsid w:val="007B683C"/>
    <w:rsid w:val="007B6CE8"/>
    <w:rsid w:val="007B72A1"/>
    <w:rsid w:val="007B755C"/>
    <w:rsid w:val="007C2A13"/>
    <w:rsid w:val="007C3CC5"/>
    <w:rsid w:val="007C4BA8"/>
    <w:rsid w:val="007C634D"/>
    <w:rsid w:val="007C6AE9"/>
    <w:rsid w:val="007C798B"/>
    <w:rsid w:val="007D2DD2"/>
    <w:rsid w:val="007D4856"/>
    <w:rsid w:val="007D4BDE"/>
    <w:rsid w:val="007D61C6"/>
    <w:rsid w:val="007D6602"/>
    <w:rsid w:val="007D6C49"/>
    <w:rsid w:val="007E01C2"/>
    <w:rsid w:val="007E0AB2"/>
    <w:rsid w:val="007E1222"/>
    <w:rsid w:val="007E2104"/>
    <w:rsid w:val="007E23AC"/>
    <w:rsid w:val="007E2DF6"/>
    <w:rsid w:val="007E525E"/>
    <w:rsid w:val="007E57A6"/>
    <w:rsid w:val="007E6127"/>
    <w:rsid w:val="007E64D1"/>
    <w:rsid w:val="007E6ECA"/>
    <w:rsid w:val="007E74C0"/>
    <w:rsid w:val="007F061F"/>
    <w:rsid w:val="007F17C3"/>
    <w:rsid w:val="007F25FD"/>
    <w:rsid w:val="007F4D85"/>
    <w:rsid w:val="007F534C"/>
    <w:rsid w:val="007F59E6"/>
    <w:rsid w:val="007F5FC8"/>
    <w:rsid w:val="007F6A39"/>
    <w:rsid w:val="00800975"/>
    <w:rsid w:val="008020CB"/>
    <w:rsid w:val="008038D7"/>
    <w:rsid w:val="00803A3B"/>
    <w:rsid w:val="00810C72"/>
    <w:rsid w:val="00810D97"/>
    <w:rsid w:val="00814D97"/>
    <w:rsid w:val="00814E2C"/>
    <w:rsid w:val="008152B4"/>
    <w:rsid w:val="008155C1"/>
    <w:rsid w:val="00817977"/>
    <w:rsid w:val="008220C6"/>
    <w:rsid w:val="0082373D"/>
    <w:rsid w:val="008239F9"/>
    <w:rsid w:val="00823FD1"/>
    <w:rsid w:val="00826771"/>
    <w:rsid w:val="00826F75"/>
    <w:rsid w:val="00832A19"/>
    <w:rsid w:val="008340DF"/>
    <w:rsid w:val="0083612A"/>
    <w:rsid w:val="008363F3"/>
    <w:rsid w:val="00840116"/>
    <w:rsid w:val="008419B1"/>
    <w:rsid w:val="008421AF"/>
    <w:rsid w:val="00842AB4"/>
    <w:rsid w:val="00844FC3"/>
    <w:rsid w:val="00846743"/>
    <w:rsid w:val="00847403"/>
    <w:rsid w:val="008533E5"/>
    <w:rsid w:val="00853442"/>
    <w:rsid w:val="0085353C"/>
    <w:rsid w:val="00854EED"/>
    <w:rsid w:val="008564FA"/>
    <w:rsid w:val="00856B0E"/>
    <w:rsid w:val="008576D7"/>
    <w:rsid w:val="00857924"/>
    <w:rsid w:val="008579B4"/>
    <w:rsid w:val="00857EDA"/>
    <w:rsid w:val="00860206"/>
    <w:rsid w:val="00860FEE"/>
    <w:rsid w:val="0086119C"/>
    <w:rsid w:val="00862309"/>
    <w:rsid w:val="008623BE"/>
    <w:rsid w:val="00863010"/>
    <w:rsid w:val="008643D4"/>
    <w:rsid w:val="00864573"/>
    <w:rsid w:val="00867C35"/>
    <w:rsid w:val="008700E9"/>
    <w:rsid w:val="008708A8"/>
    <w:rsid w:val="00872564"/>
    <w:rsid w:val="00874317"/>
    <w:rsid w:val="00874EAA"/>
    <w:rsid w:val="0087601F"/>
    <w:rsid w:val="00876B78"/>
    <w:rsid w:val="00877972"/>
    <w:rsid w:val="00880056"/>
    <w:rsid w:val="00882B6F"/>
    <w:rsid w:val="00884891"/>
    <w:rsid w:val="00884C6A"/>
    <w:rsid w:val="008912D2"/>
    <w:rsid w:val="00891A94"/>
    <w:rsid w:val="00891FCC"/>
    <w:rsid w:val="008932CB"/>
    <w:rsid w:val="008933D0"/>
    <w:rsid w:val="0089537F"/>
    <w:rsid w:val="00895A5D"/>
    <w:rsid w:val="00896012"/>
    <w:rsid w:val="00897689"/>
    <w:rsid w:val="008A060F"/>
    <w:rsid w:val="008A1C8A"/>
    <w:rsid w:val="008A2B8F"/>
    <w:rsid w:val="008A4C28"/>
    <w:rsid w:val="008A4E9E"/>
    <w:rsid w:val="008A64CE"/>
    <w:rsid w:val="008B12B1"/>
    <w:rsid w:val="008B1836"/>
    <w:rsid w:val="008B5DDC"/>
    <w:rsid w:val="008C042D"/>
    <w:rsid w:val="008C08EC"/>
    <w:rsid w:val="008C4894"/>
    <w:rsid w:val="008C64EF"/>
    <w:rsid w:val="008C7BAA"/>
    <w:rsid w:val="008D25F0"/>
    <w:rsid w:val="008D54E9"/>
    <w:rsid w:val="008E253E"/>
    <w:rsid w:val="008E2604"/>
    <w:rsid w:val="008E3350"/>
    <w:rsid w:val="008E3CD4"/>
    <w:rsid w:val="008E448F"/>
    <w:rsid w:val="008E61A8"/>
    <w:rsid w:val="008E64C3"/>
    <w:rsid w:val="008E7611"/>
    <w:rsid w:val="008F0559"/>
    <w:rsid w:val="008F1BED"/>
    <w:rsid w:val="008F3C48"/>
    <w:rsid w:val="008F4D20"/>
    <w:rsid w:val="008F733B"/>
    <w:rsid w:val="008F77DC"/>
    <w:rsid w:val="008F791D"/>
    <w:rsid w:val="008F7FA3"/>
    <w:rsid w:val="00901E94"/>
    <w:rsid w:val="00902D9C"/>
    <w:rsid w:val="00903278"/>
    <w:rsid w:val="0090334D"/>
    <w:rsid w:val="0090538C"/>
    <w:rsid w:val="00906387"/>
    <w:rsid w:val="00906CEE"/>
    <w:rsid w:val="0090781E"/>
    <w:rsid w:val="00910D7F"/>
    <w:rsid w:val="00913522"/>
    <w:rsid w:val="00913529"/>
    <w:rsid w:val="00915FAF"/>
    <w:rsid w:val="009162AB"/>
    <w:rsid w:val="0091637D"/>
    <w:rsid w:val="00916818"/>
    <w:rsid w:val="00916A18"/>
    <w:rsid w:val="00916DAC"/>
    <w:rsid w:val="0091764C"/>
    <w:rsid w:val="00917F14"/>
    <w:rsid w:val="00920486"/>
    <w:rsid w:val="0092133A"/>
    <w:rsid w:val="0092313C"/>
    <w:rsid w:val="009232CC"/>
    <w:rsid w:val="00923A6A"/>
    <w:rsid w:val="00923CE1"/>
    <w:rsid w:val="00924809"/>
    <w:rsid w:val="009254E3"/>
    <w:rsid w:val="00925BD3"/>
    <w:rsid w:val="00926257"/>
    <w:rsid w:val="00927B91"/>
    <w:rsid w:val="009335D6"/>
    <w:rsid w:val="009339DE"/>
    <w:rsid w:val="009339F2"/>
    <w:rsid w:val="009352E5"/>
    <w:rsid w:val="00935529"/>
    <w:rsid w:val="009424C1"/>
    <w:rsid w:val="0094260E"/>
    <w:rsid w:val="009449FC"/>
    <w:rsid w:val="009451FA"/>
    <w:rsid w:val="00945720"/>
    <w:rsid w:val="00947B38"/>
    <w:rsid w:val="00947C2B"/>
    <w:rsid w:val="0095006F"/>
    <w:rsid w:val="009534F3"/>
    <w:rsid w:val="00953AD1"/>
    <w:rsid w:val="00953F8D"/>
    <w:rsid w:val="00954DAF"/>
    <w:rsid w:val="00955F5B"/>
    <w:rsid w:val="00955FF0"/>
    <w:rsid w:val="00957ADE"/>
    <w:rsid w:val="00963F0E"/>
    <w:rsid w:val="00964BF7"/>
    <w:rsid w:val="00965615"/>
    <w:rsid w:val="009656C0"/>
    <w:rsid w:val="00965CB0"/>
    <w:rsid w:val="00966F45"/>
    <w:rsid w:val="00971409"/>
    <w:rsid w:val="00971F59"/>
    <w:rsid w:val="00973F8C"/>
    <w:rsid w:val="00975E08"/>
    <w:rsid w:val="00976F4A"/>
    <w:rsid w:val="0097706D"/>
    <w:rsid w:val="00981620"/>
    <w:rsid w:val="009818DC"/>
    <w:rsid w:val="00981F2A"/>
    <w:rsid w:val="0098579B"/>
    <w:rsid w:val="00986457"/>
    <w:rsid w:val="00986AF6"/>
    <w:rsid w:val="00987EED"/>
    <w:rsid w:val="00990CAC"/>
    <w:rsid w:val="0099184A"/>
    <w:rsid w:val="00991917"/>
    <w:rsid w:val="00991B2E"/>
    <w:rsid w:val="00992333"/>
    <w:rsid w:val="00992998"/>
    <w:rsid w:val="0099470F"/>
    <w:rsid w:val="00995512"/>
    <w:rsid w:val="00996FAF"/>
    <w:rsid w:val="00997336"/>
    <w:rsid w:val="009A108C"/>
    <w:rsid w:val="009A2554"/>
    <w:rsid w:val="009A4689"/>
    <w:rsid w:val="009A4979"/>
    <w:rsid w:val="009A5669"/>
    <w:rsid w:val="009A69C5"/>
    <w:rsid w:val="009B15B7"/>
    <w:rsid w:val="009B18EF"/>
    <w:rsid w:val="009B2B04"/>
    <w:rsid w:val="009B38BC"/>
    <w:rsid w:val="009B3E49"/>
    <w:rsid w:val="009B4EA4"/>
    <w:rsid w:val="009B52C6"/>
    <w:rsid w:val="009B54FD"/>
    <w:rsid w:val="009B5D4D"/>
    <w:rsid w:val="009B67CD"/>
    <w:rsid w:val="009B68C4"/>
    <w:rsid w:val="009B7330"/>
    <w:rsid w:val="009B7757"/>
    <w:rsid w:val="009B7E61"/>
    <w:rsid w:val="009C03E1"/>
    <w:rsid w:val="009C1AB6"/>
    <w:rsid w:val="009C1F64"/>
    <w:rsid w:val="009C3C61"/>
    <w:rsid w:val="009C5A30"/>
    <w:rsid w:val="009C60A1"/>
    <w:rsid w:val="009C6BF3"/>
    <w:rsid w:val="009C7C87"/>
    <w:rsid w:val="009C7E50"/>
    <w:rsid w:val="009D102E"/>
    <w:rsid w:val="009D142C"/>
    <w:rsid w:val="009D2B1E"/>
    <w:rsid w:val="009D32C0"/>
    <w:rsid w:val="009D381E"/>
    <w:rsid w:val="009D38BF"/>
    <w:rsid w:val="009D3BA6"/>
    <w:rsid w:val="009D5322"/>
    <w:rsid w:val="009D5490"/>
    <w:rsid w:val="009D58D0"/>
    <w:rsid w:val="009D6D82"/>
    <w:rsid w:val="009D7707"/>
    <w:rsid w:val="009D7E52"/>
    <w:rsid w:val="009E0AB5"/>
    <w:rsid w:val="009E1870"/>
    <w:rsid w:val="009E18E8"/>
    <w:rsid w:val="009E2676"/>
    <w:rsid w:val="009E2FE6"/>
    <w:rsid w:val="009E37E9"/>
    <w:rsid w:val="009E4BD3"/>
    <w:rsid w:val="009E5DC3"/>
    <w:rsid w:val="009E5FE1"/>
    <w:rsid w:val="009F0EE7"/>
    <w:rsid w:val="009F1656"/>
    <w:rsid w:val="009F1C6C"/>
    <w:rsid w:val="009F1E77"/>
    <w:rsid w:val="009F2B73"/>
    <w:rsid w:val="009F36CB"/>
    <w:rsid w:val="009F3F0E"/>
    <w:rsid w:val="009F45B2"/>
    <w:rsid w:val="009F4946"/>
    <w:rsid w:val="009F6A51"/>
    <w:rsid w:val="00A041FF"/>
    <w:rsid w:val="00A06F97"/>
    <w:rsid w:val="00A0737E"/>
    <w:rsid w:val="00A12959"/>
    <w:rsid w:val="00A12E5F"/>
    <w:rsid w:val="00A13015"/>
    <w:rsid w:val="00A1303E"/>
    <w:rsid w:val="00A138F1"/>
    <w:rsid w:val="00A13AAE"/>
    <w:rsid w:val="00A13B21"/>
    <w:rsid w:val="00A15A4E"/>
    <w:rsid w:val="00A15FAA"/>
    <w:rsid w:val="00A16F23"/>
    <w:rsid w:val="00A22EAD"/>
    <w:rsid w:val="00A23704"/>
    <w:rsid w:val="00A237A5"/>
    <w:rsid w:val="00A23838"/>
    <w:rsid w:val="00A243D2"/>
    <w:rsid w:val="00A248D1"/>
    <w:rsid w:val="00A2639A"/>
    <w:rsid w:val="00A2647A"/>
    <w:rsid w:val="00A2733F"/>
    <w:rsid w:val="00A2747F"/>
    <w:rsid w:val="00A30E9D"/>
    <w:rsid w:val="00A31760"/>
    <w:rsid w:val="00A3349F"/>
    <w:rsid w:val="00A33890"/>
    <w:rsid w:val="00A33F73"/>
    <w:rsid w:val="00A34F59"/>
    <w:rsid w:val="00A354EF"/>
    <w:rsid w:val="00A35F1A"/>
    <w:rsid w:val="00A366BB"/>
    <w:rsid w:val="00A36AB0"/>
    <w:rsid w:val="00A37653"/>
    <w:rsid w:val="00A40757"/>
    <w:rsid w:val="00A420A0"/>
    <w:rsid w:val="00A422AC"/>
    <w:rsid w:val="00A43C29"/>
    <w:rsid w:val="00A4458C"/>
    <w:rsid w:val="00A45BBC"/>
    <w:rsid w:val="00A46015"/>
    <w:rsid w:val="00A46182"/>
    <w:rsid w:val="00A51011"/>
    <w:rsid w:val="00A53E5A"/>
    <w:rsid w:val="00A5526A"/>
    <w:rsid w:val="00A55440"/>
    <w:rsid w:val="00A559E1"/>
    <w:rsid w:val="00A603C6"/>
    <w:rsid w:val="00A63DDE"/>
    <w:rsid w:val="00A64F3E"/>
    <w:rsid w:val="00A64FA6"/>
    <w:rsid w:val="00A6553A"/>
    <w:rsid w:val="00A66161"/>
    <w:rsid w:val="00A6652D"/>
    <w:rsid w:val="00A67A99"/>
    <w:rsid w:val="00A70D00"/>
    <w:rsid w:val="00A70EB3"/>
    <w:rsid w:val="00A71DCE"/>
    <w:rsid w:val="00A7336D"/>
    <w:rsid w:val="00A7388A"/>
    <w:rsid w:val="00A75B55"/>
    <w:rsid w:val="00A763B3"/>
    <w:rsid w:val="00A768AA"/>
    <w:rsid w:val="00A7764D"/>
    <w:rsid w:val="00A80E5F"/>
    <w:rsid w:val="00A83026"/>
    <w:rsid w:val="00A847FD"/>
    <w:rsid w:val="00A85110"/>
    <w:rsid w:val="00A85D39"/>
    <w:rsid w:val="00A85DCA"/>
    <w:rsid w:val="00A877F8"/>
    <w:rsid w:val="00A91CD2"/>
    <w:rsid w:val="00A92A7A"/>
    <w:rsid w:val="00A946B3"/>
    <w:rsid w:val="00A95AF1"/>
    <w:rsid w:val="00A95FBC"/>
    <w:rsid w:val="00AA4C15"/>
    <w:rsid w:val="00AA4EEA"/>
    <w:rsid w:val="00AA5206"/>
    <w:rsid w:val="00AA5D78"/>
    <w:rsid w:val="00AA6100"/>
    <w:rsid w:val="00AA64E9"/>
    <w:rsid w:val="00AA7365"/>
    <w:rsid w:val="00AA74EE"/>
    <w:rsid w:val="00AA79BD"/>
    <w:rsid w:val="00AA7B66"/>
    <w:rsid w:val="00AB09D4"/>
    <w:rsid w:val="00AB0C68"/>
    <w:rsid w:val="00AB0E33"/>
    <w:rsid w:val="00AB2EF5"/>
    <w:rsid w:val="00AB40B6"/>
    <w:rsid w:val="00AB67ED"/>
    <w:rsid w:val="00AB686A"/>
    <w:rsid w:val="00AB6E5D"/>
    <w:rsid w:val="00AB77A6"/>
    <w:rsid w:val="00AB7C37"/>
    <w:rsid w:val="00AC03F2"/>
    <w:rsid w:val="00AC0552"/>
    <w:rsid w:val="00AC173C"/>
    <w:rsid w:val="00AC17AA"/>
    <w:rsid w:val="00AC4BF1"/>
    <w:rsid w:val="00AC5B25"/>
    <w:rsid w:val="00AC76C3"/>
    <w:rsid w:val="00AD103F"/>
    <w:rsid w:val="00AD15E3"/>
    <w:rsid w:val="00AD2547"/>
    <w:rsid w:val="00AD36CA"/>
    <w:rsid w:val="00AD7786"/>
    <w:rsid w:val="00AE01E1"/>
    <w:rsid w:val="00AE0C0C"/>
    <w:rsid w:val="00AE20E7"/>
    <w:rsid w:val="00AE2E22"/>
    <w:rsid w:val="00AE42DE"/>
    <w:rsid w:val="00AE47D2"/>
    <w:rsid w:val="00AE5FA3"/>
    <w:rsid w:val="00AF0D0B"/>
    <w:rsid w:val="00AF1343"/>
    <w:rsid w:val="00AF13E5"/>
    <w:rsid w:val="00AF1F63"/>
    <w:rsid w:val="00AF3D24"/>
    <w:rsid w:val="00AF3FFE"/>
    <w:rsid w:val="00AF40DA"/>
    <w:rsid w:val="00AF4182"/>
    <w:rsid w:val="00AF6CC0"/>
    <w:rsid w:val="00AF72EB"/>
    <w:rsid w:val="00B02154"/>
    <w:rsid w:val="00B033C2"/>
    <w:rsid w:val="00B033E6"/>
    <w:rsid w:val="00B051B6"/>
    <w:rsid w:val="00B064AA"/>
    <w:rsid w:val="00B06BF8"/>
    <w:rsid w:val="00B113C6"/>
    <w:rsid w:val="00B118F4"/>
    <w:rsid w:val="00B13BD5"/>
    <w:rsid w:val="00B13FAC"/>
    <w:rsid w:val="00B14E8E"/>
    <w:rsid w:val="00B15819"/>
    <w:rsid w:val="00B21212"/>
    <w:rsid w:val="00B26E0F"/>
    <w:rsid w:val="00B30A3C"/>
    <w:rsid w:val="00B30ACF"/>
    <w:rsid w:val="00B322E5"/>
    <w:rsid w:val="00B3270C"/>
    <w:rsid w:val="00B32E56"/>
    <w:rsid w:val="00B356BF"/>
    <w:rsid w:val="00B3581F"/>
    <w:rsid w:val="00B35E65"/>
    <w:rsid w:val="00B36080"/>
    <w:rsid w:val="00B37CAC"/>
    <w:rsid w:val="00B37D0A"/>
    <w:rsid w:val="00B37D95"/>
    <w:rsid w:val="00B37EA5"/>
    <w:rsid w:val="00B406FE"/>
    <w:rsid w:val="00B40E33"/>
    <w:rsid w:val="00B41ACD"/>
    <w:rsid w:val="00B42385"/>
    <w:rsid w:val="00B43762"/>
    <w:rsid w:val="00B43C58"/>
    <w:rsid w:val="00B441DE"/>
    <w:rsid w:val="00B4472D"/>
    <w:rsid w:val="00B44AFB"/>
    <w:rsid w:val="00B45BCA"/>
    <w:rsid w:val="00B4615C"/>
    <w:rsid w:val="00B46E51"/>
    <w:rsid w:val="00B477D8"/>
    <w:rsid w:val="00B478E7"/>
    <w:rsid w:val="00B52273"/>
    <w:rsid w:val="00B523C3"/>
    <w:rsid w:val="00B52C5A"/>
    <w:rsid w:val="00B538A9"/>
    <w:rsid w:val="00B53D17"/>
    <w:rsid w:val="00B540A3"/>
    <w:rsid w:val="00B54127"/>
    <w:rsid w:val="00B558D9"/>
    <w:rsid w:val="00B55C06"/>
    <w:rsid w:val="00B55F7A"/>
    <w:rsid w:val="00B56970"/>
    <w:rsid w:val="00B57DD6"/>
    <w:rsid w:val="00B60879"/>
    <w:rsid w:val="00B616AF"/>
    <w:rsid w:val="00B631B4"/>
    <w:rsid w:val="00B63521"/>
    <w:rsid w:val="00B6443F"/>
    <w:rsid w:val="00B644D3"/>
    <w:rsid w:val="00B67186"/>
    <w:rsid w:val="00B7084C"/>
    <w:rsid w:val="00B7231B"/>
    <w:rsid w:val="00B725CF"/>
    <w:rsid w:val="00B72B17"/>
    <w:rsid w:val="00B72E2D"/>
    <w:rsid w:val="00B7322A"/>
    <w:rsid w:val="00B73E6B"/>
    <w:rsid w:val="00B740DB"/>
    <w:rsid w:val="00B75F2E"/>
    <w:rsid w:val="00B76326"/>
    <w:rsid w:val="00B778FB"/>
    <w:rsid w:val="00B8008A"/>
    <w:rsid w:val="00B81FAA"/>
    <w:rsid w:val="00B82F49"/>
    <w:rsid w:val="00B83791"/>
    <w:rsid w:val="00B86504"/>
    <w:rsid w:val="00B92ABC"/>
    <w:rsid w:val="00B9371F"/>
    <w:rsid w:val="00B95390"/>
    <w:rsid w:val="00B95871"/>
    <w:rsid w:val="00B96C2C"/>
    <w:rsid w:val="00B97607"/>
    <w:rsid w:val="00B97EB6"/>
    <w:rsid w:val="00B97FC2"/>
    <w:rsid w:val="00BA0B32"/>
    <w:rsid w:val="00BA0EB1"/>
    <w:rsid w:val="00BA2606"/>
    <w:rsid w:val="00BA2AF7"/>
    <w:rsid w:val="00BA3455"/>
    <w:rsid w:val="00BA53D3"/>
    <w:rsid w:val="00BA6380"/>
    <w:rsid w:val="00BB1E17"/>
    <w:rsid w:val="00BB2417"/>
    <w:rsid w:val="00BB3077"/>
    <w:rsid w:val="00BB338E"/>
    <w:rsid w:val="00BB3662"/>
    <w:rsid w:val="00BB3904"/>
    <w:rsid w:val="00BB3B96"/>
    <w:rsid w:val="00BB57D8"/>
    <w:rsid w:val="00BB62BA"/>
    <w:rsid w:val="00BC02A2"/>
    <w:rsid w:val="00BC0736"/>
    <w:rsid w:val="00BC08F2"/>
    <w:rsid w:val="00BC10FC"/>
    <w:rsid w:val="00BC25F7"/>
    <w:rsid w:val="00BC47DB"/>
    <w:rsid w:val="00BC4B2D"/>
    <w:rsid w:val="00BC53F3"/>
    <w:rsid w:val="00BD1D04"/>
    <w:rsid w:val="00BD35B6"/>
    <w:rsid w:val="00BD3A45"/>
    <w:rsid w:val="00BD3CAB"/>
    <w:rsid w:val="00BD52F4"/>
    <w:rsid w:val="00BD5721"/>
    <w:rsid w:val="00BD7C92"/>
    <w:rsid w:val="00BE0B7B"/>
    <w:rsid w:val="00BE0F21"/>
    <w:rsid w:val="00BE1E2D"/>
    <w:rsid w:val="00BE3183"/>
    <w:rsid w:val="00BE38A5"/>
    <w:rsid w:val="00BE4290"/>
    <w:rsid w:val="00BE4680"/>
    <w:rsid w:val="00BE6BA2"/>
    <w:rsid w:val="00BE6E59"/>
    <w:rsid w:val="00BF28FE"/>
    <w:rsid w:val="00BF327B"/>
    <w:rsid w:val="00BF3D0E"/>
    <w:rsid w:val="00BF6E6C"/>
    <w:rsid w:val="00C00007"/>
    <w:rsid w:val="00C00BF4"/>
    <w:rsid w:val="00C00E63"/>
    <w:rsid w:val="00C013E8"/>
    <w:rsid w:val="00C01B05"/>
    <w:rsid w:val="00C01D8B"/>
    <w:rsid w:val="00C02886"/>
    <w:rsid w:val="00C04CE9"/>
    <w:rsid w:val="00C05416"/>
    <w:rsid w:val="00C05D20"/>
    <w:rsid w:val="00C07CEB"/>
    <w:rsid w:val="00C10600"/>
    <w:rsid w:val="00C10F5B"/>
    <w:rsid w:val="00C1523B"/>
    <w:rsid w:val="00C1634C"/>
    <w:rsid w:val="00C21FDA"/>
    <w:rsid w:val="00C22F03"/>
    <w:rsid w:val="00C23A98"/>
    <w:rsid w:val="00C241AE"/>
    <w:rsid w:val="00C27B5D"/>
    <w:rsid w:val="00C30346"/>
    <w:rsid w:val="00C30FAB"/>
    <w:rsid w:val="00C31559"/>
    <w:rsid w:val="00C34514"/>
    <w:rsid w:val="00C349FC"/>
    <w:rsid w:val="00C35C37"/>
    <w:rsid w:val="00C3769E"/>
    <w:rsid w:val="00C40C7D"/>
    <w:rsid w:val="00C43056"/>
    <w:rsid w:val="00C4474C"/>
    <w:rsid w:val="00C45F7C"/>
    <w:rsid w:val="00C46EE6"/>
    <w:rsid w:val="00C47289"/>
    <w:rsid w:val="00C47A86"/>
    <w:rsid w:val="00C47C75"/>
    <w:rsid w:val="00C50276"/>
    <w:rsid w:val="00C509E2"/>
    <w:rsid w:val="00C50B2D"/>
    <w:rsid w:val="00C50D40"/>
    <w:rsid w:val="00C5168B"/>
    <w:rsid w:val="00C53672"/>
    <w:rsid w:val="00C53B48"/>
    <w:rsid w:val="00C54F0A"/>
    <w:rsid w:val="00C54FF8"/>
    <w:rsid w:val="00C555A9"/>
    <w:rsid w:val="00C574E8"/>
    <w:rsid w:val="00C57D28"/>
    <w:rsid w:val="00C60FD7"/>
    <w:rsid w:val="00C61309"/>
    <w:rsid w:val="00C61B35"/>
    <w:rsid w:val="00C62A31"/>
    <w:rsid w:val="00C62A9F"/>
    <w:rsid w:val="00C65BB4"/>
    <w:rsid w:val="00C663B2"/>
    <w:rsid w:val="00C66CF3"/>
    <w:rsid w:val="00C6754B"/>
    <w:rsid w:val="00C715A1"/>
    <w:rsid w:val="00C717C1"/>
    <w:rsid w:val="00C7198F"/>
    <w:rsid w:val="00C71C1F"/>
    <w:rsid w:val="00C72B08"/>
    <w:rsid w:val="00C72F66"/>
    <w:rsid w:val="00C73616"/>
    <w:rsid w:val="00C73FFA"/>
    <w:rsid w:val="00C7583D"/>
    <w:rsid w:val="00C81E96"/>
    <w:rsid w:val="00C820FA"/>
    <w:rsid w:val="00C849FB"/>
    <w:rsid w:val="00C85844"/>
    <w:rsid w:val="00C85AB9"/>
    <w:rsid w:val="00C8665C"/>
    <w:rsid w:val="00C90787"/>
    <w:rsid w:val="00C90DA7"/>
    <w:rsid w:val="00C9105A"/>
    <w:rsid w:val="00C9144E"/>
    <w:rsid w:val="00C91720"/>
    <w:rsid w:val="00C91850"/>
    <w:rsid w:val="00C92E6E"/>
    <w:rsid w:val="00C936F6"/>
    <w:rsid w:val="00C9441B"/>
    <w:rsid w:val="00C95A6D"/>
    <w:rsid w:val="00C97D73"/>
    <w:rsid w:val="00CA02D5"/>
    <w:rsid w:val="00CA3170"/>
    <w:rsid w:val="00CA376A"/>
    <w:rsid w:val="00CA417B"/>
    <w:rsid w:val="00CA676A"/>
    <w:rsid w:val="00CA7965"/>
    <w:rsid w:val="00CB0251"/>
    <w:rsid w:val="00CB119A"/>
    <w:rsid w:val="00CB5C4A"/>
    <w:rsid w:val="00CB5E3B"/>
    <w:rsid w:val="00CB6B5B"/>
    <w:rsid w:val="00CB7B59"/>
    <w:rsid w:val="00CC13FE"/>
    <w:rsid w:val="00CC1DD9"/>
    <w:rsid w:val="00CC2809"/>
    <w:rsid w:val="00CC2A84"/>
    <w:rsid w:val="00CC32A8"/>
    <w:rsid w:val="00CC3464"/>
    <w:rsid w:val="00CC6CC5"/>
    <w:rsid w:val="00CD037B"/>
    <w:rsid w:val="00CD3A04"/>
    <w:rsid w:val="00CD4351"/>
    <w:rsid w:val="00CD48F2"/>
    <w:rsid w:val="00CD5EEA"/>
    <w:rsid w:val="00CD60EE"/>
    <w:rsid w:val="00CD6DA1"/>
    <w:rsid w:val="00CD70EC"/>
    <w:rsid w:val="00CD7521"/>
    <w:rsid w:val="00CD75FA"/>
    <w:rsid w:val="00CD7B3C"/>
    <w:rsid w:val="00CE0375"/>
    <w:rsid w:val="00CE13FF"/>
    <w:rsid w:val="00CE192F"/>
    <w:rsid w:val="00CE243E"/>
    <w:rsid w:val="00CE25D5"/>
    <w:rsid w:val="00CE3A67"/>
    <w:rsid w:val="00CE4D11"/>
    <w:rsid w:val="00CE52B1"/>
    <w:rsid w:val="00CE5925"/>
    <w:rsid w:val="00CE5B3E"/>
    <w:rsid w:val="00CF02EA"/>
    <w:rsid w:val="00CF3289"/>
    <w:rsid w:val="00CF3A0E"/>
    <w:rsid w:val="00CF4350"/>
    <w:rsid w:val="00CF4797"/>
    <w:rsid w:val="00CF6200"/>
    <w:rsid w:val="00D0083A"/>
    <w:rsid w:val="00D01418"/>
    <w:rsid w:val="00D02B96"/>
    <w:rsid w:val="00D02F5E"/>
    <w:rsid w:val="00D03BFC"/>
    <w:rsid w:val="00D041DD"/>
    <w:rsid w:val="00D04671"/>
    <w:rsid w:val="00D04C8E"/>
    <w:rsid w:val="00D059E0"/>
    <w:rsid w:val="00D06665"/>
    <w:rsid w:val="00D073AD"/>
    <w:rsid w:val="00D076B6"/>
    <w:rsid w:val="00D07C50"/>
    <w:rsid w:val="00D11584"/>
    <w:rsid w:val="00D127AF"/>
    <w:rsid w:val="00D13968"/>
    <w:rsid w:val="00D139DB"/>
    <w:rsid w:val="00D1406E"/>
    <w:rsid w:val="00D15E1B"/>
    <w:rsid w:val="00D17614"/>
    <w:rsid w:val="00D17805"/>
    <w:rsid w:val="00D17866"/>
    <w:rsid w:val="00D21B71"/>
    <w:rsid w:val="00D21ED8"/>
    <w:rsid w:val="00D2335A"/>
    <w:rsid w:val="00D23409"/>
    <w:rsid w:val="00D26B98"/>
    <w:rsid w:val="00D276DB"/>
    <w:rsid w:val="00D27B4D"/>
    <w:rsid w:val="00D305A8"/>
    <w:rsid w:val="00D32582"/>
    <w:rsid w:val="00D33BBD"/>
    <w:rsid w:val="00D361AD"/>
    <w:rsid w:val="00D369FC"/>
    <w:rsid w:val="00D3732A"/>
    <w:rsid w:val="00D3758B"/>
    <w:rsid w:val="00D37F44"/>
    <w:rsid w:val="00D43636"/>
    <w:rsid w:val="00D43793"/>
    <w:rsid w:val="00D43C97"/>
    <w:rsid w:val="00D45711"/>
    <w:rsid w:val="00D45D59"/>
    <w:rsid w:val="00D50F4E"/>
    <w:rsid w:val="00D51E47"/>
    <w:rsid w:val="00D5289B"/>
    <w:rsid w:val="00D52F81"/>
    <w:rsid w:val="00D530DA"/>
    <w:rsid w:val="00D5403A"/>
    <w:rsid w:val="00D54526"/>
    <w:rsid w:val="00D555D0"/>
    <w:rsid w:val="00D571DE"/>
    <w:rsid w:val="00D57E41"/>
    <w:rsid w:val="00D60523"/>
    <w:rsid w:val="00D606AE"/>
    <w:rsid w:val="00D60BE8"/>
    <w:rsid w:val="00D60D68"/>
    <w:rsid w:val="00D62869"/>
    <w:rsid w:val="00D63D57"/>
    <w:rsid w:val="00D63DFA"/>
    <w:rsid w:val="00D671C9"/>
    <w:rsid w:val="00D70BD1"/>
    <w:rsid w:val="00D70CB7"/>
    <w:rsid w:val="00D71022"/>
    <w:rsid w:val="00D74453"/>
    <w:rsid w:val="00D744DF"/>
    <w:rsid w:val="00D75238"/>
    <w:rsid w:val="00D75CCE"/>
    <w:rsid w:val="00D7654C"/>
    <w:rsid w:val="00D76F50"/>
    <w:rsid w:val="00D76F81"/>
    <w:rsid w:val="00D773E8"/>
    <w:rsid w:val="00D8197A"/>
    <w:rsid w:val="00D824DA"/>
    <w:rsid w:val="00D824EA"/>
    <w:rsid w:val="00D83C19"/>
    <w:rsid w:val="00D84319"/>
    <w:rsid w:val="00D87886"/>
    <w:rsid w:val="00D9152C"/>
    <w:rsid w:val="00D92012"/>
    <w:rsid w:val="00D924DD"/>
    <w:rsid w:val="00D9271D"/>
    <w:rsid w:val="00D96B29"/>
    <w:rsid w:val="00D96F19"/>
    <w:rsid w:val="00D97E8E"/>
    <w:rsid w:val="00D97EF6"/>
    <w:rsid w:val="00DA15BF"/>
    <w:rsid w:val="00DA293E"/>
    <w:rsid w:val="00DA3F07"/>
    <w:rsid w:val="00DA5520"/>
    <w:rsid w:val="00DA5B48"/>
    <w:rsid w:val="00DA6FC0"/>
    <w:rsid w:val="00DA7CAC"/>
    <w:rsid w:val="00DB192A"/>
    <w:rsid w:val="00DB1C68"/>
    <w:rsid w:val="00DB50DC"/>
    <w:rsid w:val="00DB5AB9"/>
    <w:rsid w:val="00DB6DA3"/>
    <w:rsid w:val="00DB72CD"/>
    <w:rsid w:val="00DB72F1"/>
    <w:rsid w:val="00DC0110"/>
    <w:rsid w:val="00DC17C3"/>
    <w:rsid w:val="00DC2674"/>
    <w:rsid w:val="00DC3705"/>
    <w:rsid w:val="00DC39E8"/>
    <w:rsid w:val="00DC3EDD"/>
    <w:rsid w:val="00DC41A1"/>
    <w:rsid w:val="00DC43BA"/>
    <w:rsid w:val="00DC4DE8"/>
    <w:rsid w:val="00DC5565"/>
    <w:rsid w:val="00DC5F1F"/>
    <w:rsid w:val="00DC6A77"/>
    <w:rsid w:val="00DC6C38"/>
    <w:rsid w:val="00DC7538"/>
    <w:rsid w:val="00DD01B0"/>
    <w:rsid w:val="00DD23AF"/>
    <w:rsid w:val="00DD2623"/>
    <w:rsid w:val="00DD490F"/>
    <w:rsid w:val="00DD4B71"/>
    <w:rsid w:val="00DD5AD4"/>
    <w:rsid w:val="00DD5F9A"/>
    <w:rsid w:val="00DD7116"/>
    <w:rsid w:val="00DD7484"/>
    <w:rsid w:val="00DD762A"/>
    <w:rsid w:val="00DD7966"/>
    <w:rsid w:val="00DD7C06"/>
    <w:rsid w:val="00DE06DF"/>
    <w:rsid w:val="00DE278E"/>
    <w:rsid w:val="00DE3DBC"/>
    <w:rsid w:val="00DE464E"/>
    <w:rsid w:val="00DE4AF7"/>
    <w:rsid w:val="00DF072E"/>
    <w:rsid w:val="00DF1980"/>
    <w:rsid w:val="00DF25BB"/>
    <w:rsid w:val="00DF3066"/>
    <w:rsid w:val="00DF3AE9"/>
    <w:rsid w:val="00DF46AC"/>
    <w:rsid w:val="00DF733D"/>
    <w:rsid w:val="00DF75F2"/>
    <w:rsid w:val="00DF7A87"/>
    <w:rsid w:val="00E00E70"/>
    <w:rsid w:val="00E0220A"/>
    <w:rsid w:val="00E02711"/>
    <w:rsid w:val="00E0288D"/>
    <w:rsid w:val="00E03095"/>
    <w:rsid w:val="00E04403"/>
    <w:rsid w:val="00E05CF6"/>
    <w:rsid w:val="00E06157"/>
    <w:rsid w:val="00E100EE"/>
    <w:rsid w:val="00E1029F"/>
    <w:rsid w:val="00E10CC9"/>
    <w:rsid w:val="00E10D2E"/>
    <w:rsid w:val="00E114BA"/>
    <w:rsid w:val="00E1258D"/>
    <w:rsid w:val="00E127EE"/>
    <w:rsid w:val="00E14B6A"/>
    <w:rsid w:val="00E15FCF"/>
    <w:rsid w:val="00E1619E"/>
    <w:rsid w:val="00E1725A"/>
    <w:rsid w:val="00E21D97"/>
    <w:rsid w:val="00E2252C"/>
    <w:rsid w:val="00E228B2"/>
    <w:rsid w:val="00E23101"/>
    <w:rsid w:val="00E26559"/>
    <w:rsid w:val="00E2692B"/>
    <w:rsid w:val="00E30188"/>
    <w:rsid w:val="00E308D1"/>
    <w:rsid w:val="00E311FB"/>
    <w:rsid w:val="00E3362D"/>
    <w:rsid w:val="00E34942"/>
    <w:rsid w:val="00E34FB5"/>
    <w:rsid w:val="00E355AB"/>
    <w:rsid w:val="00E36BC9"/>
    <w:rsid w:val="00E40060"/>
    <w:rsid w:val="00E41EE6"/>
    <w:rsid w:val="00E42BEB"/>
    <w:rsid w:val="00E432A8"/>
    <w:rsid w:val="00E467D1"/>
    <w:rsid w:val="00E52780"/>
    <w:rsid w:val="00E54C6A"/>
    <w:rsid w:val="00E54F3E"/>
    <w:rsid w:val="00E551AF"/>
    <w:rsid w:val="00E553E6"/>
    <w:rsid w:val="00E554FF"/>
    <w:rsid w:val="00E55551"/>
    <w:rsid w:val="00E633BB"/>
    <w:rsid w:val="00E63E67"/>
    <w:rsid w:val="00E64435"/>
    <w:rsid w:val="00E64865"/>
    <w:rsid w:val="00E64C71"/>
    <w:rsid w:val="00E67001"/>
    <w:rsid w:val="00E67BAC"/>
    <w:rsid w:val="00E67F2D"/>
    <w:rsid w:val="00E67FB8"/>
    <w:rsid w:val="00E703ED"/>
    <w:rsid w:val="00E70D3C"/>
    <w:rsid w:val="00E7149A"/>
    <w:rsid w:val="00E7189C"/>
    <w:rsid w:val="00E737DC"/>
    <w:rsid w:val="00E749C0"/>
    <w:rsid w:val="00E768EF"/>
    <w:rsid w:val="00E76EAC"/>
    <w:rsid w:val="00E7774F"/>
    <w:rsid w:val="00E8001B"/>
    <w:rsid w:val="00E81E8B"/>
    <w:rsid w:val="00E8211C"/>
    <w:rsid w:val="00E8279E"/>
    <w:rsid w:val="00E82DFE"/>
    <w:rsid w:val="00E83F0B"/>
    <w:rsid w:val="00E84612"/>
    <w:rsid w:val="00E8500D"/>
    <w:rsid w:val="00E86F7F"/>
    <w:rsid w:val="00E87429"/>
    <w:rsid w:val="00E90FDF"/>
    <w:rsid w:val="00E91356"/>
    <w:rsid w:val="00E92472"/>
    <w:rsid w:val="00E93DC2"/>
    <w:rsid w:val="00E94A80"/>
    <w:rsid w:val="00E956E0"/>
    <w:rsid w:val="00E95A67"/>
    <w:rsid w:val="00E95B7F"/>
    <w:rsid w:val="00E965E4"/>
    <w:rsid w:val="00E968AF"/>
    <w:rsid w:val="00E97BA9"/>
    <w:rsid w:val="00EA09B2"/>
    <w:rsid w:val="00EA0B82"/>
    <w:rsid w:val="00EA0FC8"/>
    <w:rsid w:val="00EA104B"/>
    <w:rsid w:val="00EA15E3"/>
    <w:rsid w:val="00EA24AB"/>
    <w:rsid w:val="00EA2B11"/>
    <w:rsid w:val="00EA40A2"/>
    <w:rsid w:val="00EA4B37"/>
    <w:rsid w:val="00EA7171"/>
    <w:rsid w:val="00EB1CC6"/>
    <w:rsid w:val="00EB23F5"/>
    <w:rsid w:val="00EB37FA"/>
    <w:rsid w:val="00EB5832"/>
    <w:rsid w:val="00EB7EAC"/>
    <w:rsid w:val="00EC0C7F"/>
    <w:rsid w:val="00EC0F40"/>
    <w:rsid w:val="00EC136D"/>
    <w:rsid w:val="00EC1DCF"/>
    <w:rsid w:val="00EC1F73"/>
    <w:rsid w:val="00EC1FBE"/>
    <w:rsid w:val="00EC5A63"/>
    <w:rsid w:val="00EC6E65"/>
    <w:rsid w:val="00ED039E"/>
    <w:rsid w:val="00ED2F5E"/>
    <w:rsid w:val="00ED4C01"/>
    <w:rsid w:val="00ED4E3C"/>
    <w:rsid w:val="00ED52C6"/>
    <w:rsid w:val="00ED54D4"/>
    <w:rsid w:val="00ED6408"/>
    <w:rsid w:val="00ED7035"/>
    <w:rsid w:val="00EE1E50"/>
    <w:rsid w:val="00EE2D0D"/>
    <w:rsid w:val="00EE3839"/>
    <w:rsid w:val="00EE4C5B"/>
    <w:rsid w:val="00EE5F15"/>
    <w:rsid w:val="00EE72A4"/>
    <w:rsid w:val="00EE735D"/>
    <w:rsid w:val="00EE77BA"/>
    <w:rsid w:val="00EF08D6"/>
    <w:rsid w:val="00EF1CCD"/>
    <w:rsid w:val="00EF1FFA"/>
    <w:rsid w:val="00EF3721"/>
    <w:rsid w:val="00EF3B06"/>
    <w:rsid w:val="00F02146"/>
    <w:rsid w:val="00F0242D"/>
    <w:rsid w:val="00F031DA"/>
    <w:rsid w:val="00F0355E"/>
    <w:rsid w:val="00F04AC7"/>
    <w:rsid w:val="00F05257"/>
    <w:rsid w:val="00F0560E"/>
    <w:rsid w:val="00F07AD7"/>
    <w:rsid w:val="00F12113"/>
    <w:rsid w:val="00F1284D"/>
    <w:rsid w:val="00F12B98"/>
    <w:rsid w:val="00F12DA3"/>
    <w:rsid w:val="00F13357"/>
    <w:rsid w:val="00F13729"/>
    <w:rsid w:val="00F13797"/>
    <w:rsid w:val="00F14BBA"/>
    <w:rsid w:val="00F15EAE"/>
    <w:rsid w:val="00F17BF3"/>
    <w:rsid w:val="00F2029D"/>
    <w:rsid w:val="00F249C9"/>
    <w:rsid w:val="00F25B3E"/>
    <w:rsid w:val="00F260FC"/>
    <w:rsid w:val="00F27170"/>
    <w:rsid w:val="00F27E7F"/>
    <w:rsid w:val="00F307BF"/>
    <w:rsid w:val="00F315C3"/>
    <w:rsid w:val="00F315D9"/>
    <w:rsid w:val="00F31EC3"/>
    <w:rsid w:val="00F323D5"/>
    <w:rsid w:val="00F33321"/>
    <w:rsid w:val="00F36D62"/>
    <w:rsid w:val="00F37760"/>
    <w:rsid w:val="00F41C0D"/>
    <w:rsid w:val="00F42133"/>
    <w:rsid w:val="00F431A9"/>
    <w:rsid w:val="00F43954"/>
    <w:rsid w:val="00F45FAD"/>
    <w:rsid w:val="00F518EF"/>
    <w:rsid w:val="00F52AD8"/>
    <w:rsid w:val="00F52B93"/>
    <w:rsid w:val="00F52F9B"/>
    <w:rsid w:val="00F5337A"/>
    <w:rsid w:val="00F537C1"/>
    <w:rsid w:val="00F55776"/>
    <w:rsid w:val="00F557A3"/>
    <w:rsid w:val="00F55FD7"/>
    <w:rsid w:val="00F56921"/>
    <w:rsid w:val="00F56A63"/>
    <w:rsid w:val="00F61A37"/>
    <w:rsid w:val="00F62A7F"/>
    <w:rsid w:val="00F62DD4"/>
    <w:rsid w:val="00F6339F"/>
    <w:rsid w:val="00F636BB"/>
    <w:rsid w:val="00F637BE"/>
    <w:rsid w:val="00F6423E"/>
    <w:rsid w:val="00F6566D"/>
    <w:rsid w:val="00F657F6"/>
    <w:rsid w:val="00F66334"/>
    <w:rsid w:val="00F67300"/>
    <w:rsid w:val="00F712B4"/>
    <w:rsid w:val="00F72062"/>
    <w:rsid w:val="00F72DE1"/>
    <w:rsid w:val="00F7393F"/>
    <w:rsid w:val="00F74641"/>
    <w:rsid w:val="00F76793"/>
    <w:rsid w:val="00F77A82"/>
    <w:rsid w:val="00F818D5"/>
    <w:rsid w:val="00F8201F"/>
    <w:rsid w:val="00F87523"/>
    <w:rsid w:val="00F87DAE"/>
    <w:rsid w:val="00F90E20"/>
    <w:rsid w:val="00F91DD4"/>
    <w:rsid w:val="00F92238"/>
    <w:rsid w:val="00F92D85"/>
    <w:rsid w:val="00F930E1"/>
    <w:rsid w:val="00F93469"/>
    <w:rsid w:val="00F93BCA"/>
    <w:rsid w:val="00F943B5"/>
    <w:rsid w:val="00F953A0"/>
    <w:rsid w:val="00F95770"/>
    <w:rsid w:val="00F95EAF"/>
    <w:rsid w:val="00F96300"/>
    <w:rsid w:val="00F965AB"/>
    <w:rsid w:val="00FA029C"/>
    <w:rsid w:val="00FA09E9"/>
    <w:rsid w:val="00FA11FC"/>
    <w:rsid w:val="00FA2567"/>
    <w:rsid w:val="00FA2D57"/>
    <w:rsid w:val="00FA3E8F"/>
    <w:rsid w:val="00FA5BD9"/>
    <w:rsid w:val="00FA682A"/>
    <w:rsid w:val="00FA6C4E"/>
    <w:rsid w:val="00FA7E29"/>
    <w:rsid w:val="00FB1EC8"/>
    <w:rsid w:val="00FB3C1D"/>
    <w:rsid w:val="00FB3D0F"/>
    <w:rsid w:val="00FB537A"/>
    <w:rsid w:val="00FB5786"/>
    <w:rsid w:val="00FB5AA2"/>
    <w:rsid w:val="00FB622E"/>
    <w:rsid w:val="00FB63B7"/>
    <w:rsid w:val="00FB6CBC"/>
    <w:rsid w:val="00FC02B4"/>
    <w:rsid w:val="00FC0895"/>
    <w:rsid w:val="00FC0AC6"/>
    <w:rsid w:val="00FC0CC8"/>
    <w:rsid w:val="00FC1B2F"/>
    <w:rsid w:val="00FC326C"/>
    <w:rsid w:val="00FC4747"/>
    <w:rsid w:val="00FC4C71"/>
    <w:rsid w:val="00FC6302"/>
    <w:rsid w:val="00FC7399"/>
    <w:rsid w:val="00FC739D"/>
    <w:rsid w:val="00FD056D"/>
    <w:rsid w:val="00FD0DC6"/>
    <w:rsid w:val="00FD3AB3"/>
    <w:rsid w:val="00FD5B76"/>
    <w:rsid w:val="00FD5DA1"/>
    <w:rsid w:val="00FD7520"/>
    <w:rsid w:val="00FD79E4"/>
    <w:rsid w:val="00FD7C33"/>
    <w:rsid w:val="00FE040F"/>
    <w:rsid w:val="00FE0458"/>
    <w:rsid w:val="00FE0482"/>
    <w:rsid w:val="00FE0625"/>
    <w:rsid w:val="00FE0A4A"/>
    <w:rsid w:val="00FE1479"/>
    <w:rsid w:val="00FE2CD3"/>
    <w:rsid w:val="00FE2F32"/>
    <w:rsid w:val="00FE300A"/>
    <w:rsid w:val="00FE3A1B"/>
    <w:rsid w:val="00FE3BC9"/>
    <w:rsid w:val="00FE52CC"/>
    <w:rsid w:val="00FE76D3"/>
    <w:rsid w:val="00FF030B"/>
    <w:rsid w:val="00FF0459"/>
    <w:rsid w:val="00FF0FE0"/>
    <w:rsid w:val="00FF21E6"/>
    <w:rsid w:val="00FF2B2B"/>
    <w:rsid w:val="00FF41F6"/>
    <w:rsid w:val="00FF55C9"/>
    <w:rsid w:val="00FF6421"/>
    <w:rsid w:val="199856AE"/>
    <w:rsid w:val="1B6721D8"/>
    <w:rsid w:val="5B9AA057"/>
    <w:rsid w:val="78BEFF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67882F"/>
  <w15:docId w15:val="{612B213B-89BB-4022-BBB0-D89C52399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3F07"/>
    <w:pPr>
      <w:jc w:val="both"/>
    </w:pPr>
  </w:style>
  <w:style w:type="paragraph" w:styleId="Heading1">
    <w:name w:val="heading 1"/>
    <w:basedOn w:val="Normal"/>
    <w:next w:val="Normal"/>
    <w:link w:val="Heading1Char"/>
    <w:qFormat/>
    <w:rsid w:val="005E313B"/>
    <w:pPr>
      <w:keepNext/>
      <w:keepLines/>
      <w:spacing w:before="360" w:after="80"/>
      <w:outlineLvl w:val="0"/>
    </w:pPr>
    <w:rPr>
      <w:rFonts w:asciiTheme="majorHAnsi" w:eastAsiaTheme="majorEastAsia" w:hAnsiTheme="majorHAnsi" w:cstheme="majorBidi"/>
      <w:color w:val="2F5496" w:themeColor="accent1" w:themeShade="BF"/>
      <w:kern w:val="2"/>
      <w:sz w:val="40"/>
      <w:szCs w:val="40"/>
    </w:rPr>
  </w:style>
  <w:style w:type="paragraph" w:styleId="Heading2">
    <w:name w:val="heading 2"/>
    <w:basedOn w:val="Normal"/>
    <w:next w:val="Normal"/>
    <w:link w:val="Heading2Char"/>
    <w:uiPriority w:val="9"/>
    <w:unhideWhenUsed/>
    <w:qFormat/>
    <w:rsid w:val="005E313B"/>
    <w:pPr>
      <w:keepNext/>
      <w:keepLines/>
      <w:numPr>
        <w:numId w:val="2"/>
      </w:numPr>
      <w:spacing w:before="160" w:after="80"/>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iPriority w:val="9"/>
    <w:unhideWhenUsed/>
    <w:qFormat/>
    <w:rsid w:val="005E313B"/>
    <w:pPr>
      <w:keepNext/>
      <w:keepLines/>
      <w:spacing w:before="160" w:after="80"/>
      <w:outlineLvl w:val="2"/>
    </w:pPr>
    <w:rPr>
      <w:rFonts w:eastAsiaTheme="majorEastAsia" w:cstheme="majorBidi"/>
      <w:b/>
      <w:color w:val="2F5496" w:themeColor="accent1" w:themeShade="BF"/>
      <w:kern w:val="2"/>
      <w:sz w:val="26"/>
      <w:szCs w:val="28"/>
    </w:rPr>
  </w:style>
  <w:style w:type="paragraph" w:styleId="Heading4">
    <w:name w:val="heading 4"/>
    <w:basedOn w:val="Normal"/>
    <w:next w:val="Normal"/>
    <w:link w:val="Heading4Char"/>
    <w:uiPriority w:val="9"/>
    <w:unhideWhenUsed/>
    <w:qFormat/>
    <w:rsid w:val="005E313B"/>
    <w:pPr>
      <w:keepNext/>
      <w:keepLines/>
      <w:spacing w:before="80" w:after="40"/>
      <w:outlineLvl w:val="3"/>
    </w:pPr>
    <w:rPr>
      <w:rFonts w:eastAsiaTheme="majorEastAsia" w:cstheme="majorBidi"/>
      <w:i/>
      <w:iCs/>
      <w:color w:val="2F5496" w:themeColor="accent1" w:themeShade="BF"/>
      <w:kern w:val="2"/>
      <w:sz w:val="24"/>
    </w:rPr>
  </w:style>
  <w:style w:type="paragraph" w:styleId="Heading5">
    <w:name w:val="heading 5"/>
    <w:basedOn w:val="Normal"/>
    <w:next w:val="Normal"/>
    <w:link w:val="Heading5Char"/>
    <w:uiPriority w:val="9"/>
    <w:unhideWhenUsed/>
    <w:qFormat/>
    <w:rsid w:val="005E313B"/>
    <w:pPr>
      <w:keepNext/>
      <w:keepLines/>
      <w:spacing w:before="80" w:after="40"/>
      <w:outlineLvl w:val="4"/>
    </w:pPr>
    <w:rPr>
      <w:rFonts w:eastAsiaTheme="majorEastAsia" w:cstheme="majorBidi"/>
      <w:b/>
      <w:kern w:val="2"/>
      <w:sz w:val="24"/>
    </w:rPr>
  </w:style>
  <w:style w:type="paragraph" w:styleId="Heading6">
    <w:name w:val="heading 6"/>
    <w:basedOn w:val="Normal"/>
    <w:next w:val="Normal"/>
    <w:link w:val="Heading6Char"/>
    <w:uiPriority w:val="9"/>
    <w:semiHidden/>
    <w:unhideWhenUsed/>
    <w:qFormat/>
    <w:rsid w:val="005E313B"/>
    <w:pPr>
      <w:keepNext/>
      <w:keepLines/>
      <w:spacing w:before="40" w:after="0"/>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5E313B"/>
    <w:pPr>
      <w:keepNext/>
      <w:keepLines/>
      <w:spacing w:before="40" w:after="0"/>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5E313B"/>
    <w:pPr>
      <w:keepNext/>
      <w:keepLines/>
      <w:spacing w:after="0"/>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5E313B"/>
    <w:pPr>
      <w:keepNext/>
      <w:keepLines/>
      <w:spacing w:after="0"/>
      <w:outlineLvl w:val="8"/>
    </w:pPr>
    <w:rPr>
      <w:rFonts w:eastAsiaTheme="majorEastAsia" w:cstheme="majorBidi"/>
      <w:color w:val="272727" w:themeColor="text1" w:themeTint="D8"/>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50D40"/>
    <w:rPr>
      <w:color w:val="0000FF"/>
      <w:shd w:val="clear" w:color="auto" w:fill="auto"/>
    </w:rPr>
  </w:style>
  <w:style w:type="paragraph" w:styleId="Header">
    <w:name w:val="header"/>
    <w:basedOn w:val="Normal"/>
    <w:link w:val="HeaderChar"/>
    <w:uiPriority w:val="99"/>
    <w:unhideWhenUsed/>
    <w:rsid w:val="00C50D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0D40"/>
  </w:style>
  <w:style w:type="paragraph" w:styleId="Footer">
    <w:name w:val="footer"/>
    <w:basedOn w:val="Normal"/>
    <w:link w:val="FooterChar"/>
    <w:uiPriority w:val="99"/>
    <w:unhideWhenUsed/>
    <w:rsid w:val="00C50D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0D40"/>
  </w:style>
  <w:style w:type="paragraph" w:customStyle="1" w:styleId="Pagedecouverture">
    <w:name w:val="Page de couverture"/>
    <w:basedOn w:val="Normal"/>
    <w:next w:val="Normal"/>
    <w:rsid w:val="00C50D40"/>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rsid w:val="00C50D40"/>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sid w:val="00C50D40"/>
    <w:rPr>
      <w:rFonts w:ascii="Times New Roman" w:hAnsi="Times New Roman" w:cs="Times New Roman"/>
      <w:sz w:val="24"/>
    </w:rPr>
  </w:style>
  <w:style w:type="paragraph" w:customStyle="1" w:styleId="FooterSensitivity">
    <w:name w:val="Footer Sensitivity"/>
    <w:basedOn w:val="Normal"/>
    <w:link w:val="FooterSensitivityChar"/>
    <w:rsid w:val="00C50D4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50D40"/>
    <w:rPr>
      <w:rFonts w:ascii="Times New Roman" w:hAnsi="Times New Roman" w:cs="Times New Roman"/>
      <w:b/>
      <w:sz w:val="32"/>
    </w:rPr>
  </w:style>
  <w:style w:type="paragraph" w:customStyle="1" w:styleId="HeaderCoverPage">
    <w:name w:val="Header Cover Page"/>
    <w:basedOn w:val="Normal"/>
    <w:link w:val="HeaderCoverPageChar"/>
    <w:rsid w:val="00C50D40"/>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sid w:val="00C50D40"/>
    <w:rPr>
      <w:rFonts w:ascii="Times New Roman" w:hAnsi="Times New Roman" w:cs="Times New Roman"/>
      <w:sz w:val="24"/>
    </w:rPr>
  </w:style>
  <w:style w:type="paragraph" w:customStyle="1" w:styleId="HeaderSensitivity">
    <w:name w:val="Header Sensitivity"/>
    <w:basedOn w:val="Normal"/>
    <w:link w:val="HeaderSensitivityChar"/>
    <w:rsid w:val="00C50D4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50D40"/>
    <w:rPr>
      <w:rFonts w:ascii="Times New Roman" w:hAnsi="Times New Roman" w:cs="Times New Roman"/>
      <w:b/>
      <w:sz w:val="32"/>
    </w:rPr>
  </w:style>
  <w:style w:type="paragraph" w:customStyle="1" w:styleId="HeaderSensitivityRight">
    <w:name w:val="Header Sensitivity Right"/>
    <w:basedOn w:val="Normal"/>
    <w:link w:val="HeaderSensitivityRightChar"/>
    <w:rsid w:val="004C2F4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50D40"/>
    <w:rPr>
      <w:rFonts w:ascii="Times New Roman" w:hAnsi="Times New Roman" w:cs="Times New Roman"/>
      <w:sz w:val="28"/>
    </w:rPr>
  </w:style>
  <w:style w:type="paragraph" w:styleId="Title">
    <w:name w:val="Title"/>
    <w:basedOn w:val="Normal"/>
    <w:next w:val="Normal"/>
    <w:link w:val="TitleChar"/>
    <w:uiPriority w:val="10"/>
    <w:qFormat/>
    <w:rsid w:val="0002146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46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E313B"/>
    <w:rPr>
      <w:rFonts w:asciiTheme="majorHAnsi" w:eastAsiaTheme="majorEastAsia" w:hAnsiTheme="majorHAnsi" w:cstheme="majorBidi"/>
      <w:color w:val="2F5496" w:themeColor="accent1" w:themeShade="BF"/>
      <w:kern w:val="2"/>
      <w:sz w:val="40"/>
      <w:szCs w:val="40"/>
    </w:rPr>
  </w:style>
  <w:style w:type="character" w:customStyle="1" w:styleId="Heading2Char">
    <w:name w:val="Heading 2 Char"/>
    <w:basedOn w:val="DefaultParagraphFont"/>
    <w:link w:val="Heading2"/>
    <w:uiPriority w:val="9"/>
    <w:rsid w:val="005E313B"/>
    <w:rPr>
      <w:rFonts w:asciiTheme="majorHAnsi" w:eastAsiaTheme="majorEastAsia" w:hAnsiTheme="majorHAnsi" w:cstheme="majorBidi"/>
      <w:color w:val="2F5496" w:themeColor="accent1" w:themeShade="BF"/>
      <w:kern w:val="2"/>
      <w:sz w:val="32"/>
      <w:szCs w:val="32"/>
    </w:rPr>
  </w:style>
  <w:style w:type="character" w:customStyle="1" w:styleId="Heading3Char">
    <w:name w:val="Heading 3 Char"/>
    <w:basedOn w:val="DefaultParagraphFont"/>
    <w:link w:val="Heading3"/>
    <w:uiPriority w:val="9"/>
    <w:rsid w:val="005E313B"/>
    <w:rPr>
      <w:rFonts w:eastAsiaTheme="majorEastAsia" w:cstheme="majorBidi"/>
      <w:b/>
      <w:color w:val="2F5496" w:themeColor="accent1" w:themeShade="BF"/>
      <w:kern w:val="2"/>
      <w:sz w:val="26"/>
      <w:szCs w:val="28"/>
    </w:rPr>
  </w:style>
  <w:style w:type="character" w:customStyle="1" w:styleId="Heading4Char">
    <w:name w:val="Heading 4 Char"/>
    <w:basedOn w:val="DefaultParagraphFont"/>
    <w:link w:val="Heading4"/>
    <w:uiPriority w:val="9"/>
    <w:rsid w:val="005E313B"/>
    <w:rPr>
      <w:rFonts w:eastAsiaTheme="majorEastAsia" w:cstheme="majorBidi"/>
      <w:i/>
      <w:iCs/>
      <w:color w:val="2F5496" w:themeColor="accent1" w:themeShade="BF"/>
      <w:kern w:val="2"/>
      <w:sz w:val="24"/>
    </w:rPr>
  </w:style>
  <w:style w:type="character" w:customStyle="1" w:styleId="Heading5Char">
    <w:name w:val="Heading 5 Char"/>
    <w:basedOn w:val="DefaultParagraphFont"/>
    <w:link w:val="Heading5"/>
    <w:uiPriority w:val="9"/>
    <w:rsid w:val="005E313B"/>
    <w:rPr>
      <w:rFonts w:eastAsiaTheme="majorEastAsia" w:cstheme="majorBidi"/>
      <w:b/>
      <w:kern w:val="2"/>
      <w:sz w:val="24"/>
    </w:rPr>
  </w:style>
  <w:style w:type="character" w:customStyle="1" w:styleId="Heading6Char">
    <w:name w:val="Heading 6 Char"/>
    <w:basedOn w:val="DefaultParagraphFont"/>
    <w:link w:val="Heading6"/>
    <w:uiPriority w:val="9"/>
    <w:semiHidden/>
    <w:rsid w:val="005E313B"/>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5E313B"/>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5E313B"/>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5E313B"/>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5E313B"/>
    <w:pPr>
      <w:numPr>
        <w:ilvl w:val="1"/>
      </w:numPr>
    </w:pPr>
    <w:rPr>
      <w:rFonts w:eastAsiaTheme="majorEastAsia"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5E313B"/>
    <w:rPr>
      <w:rFonts w:eastAsiaTheme="majorEastAsia" w:cstheme="majorBidi"/>
      <w:color w:val="595959" w:themeColor="text1" w:themeTint="A6"/>
      <w:spacing w:val="15"/>
      <w:kern w:val="2"/>
      <w:sz w:val="28"/>
      <w:szCs w:val="28"/>
    </w:rPr>
  </w:style>
  <w:style w:type="paragraph" w:styleId="Quote">
    <w:name w:val="Quote"/>
    <w:basedOn w:val="Normal"/>
    <w:next w:val="Normal"/>
    <w:link w:val="QuoteChar"/>
    <w:uiPriority w:val="29"/>
    <w:qFormat/>
    <w:rsid w:val="005E313B"/>
    <w:pPr>
      <w:spacing w:before="160"/>
      <w:jc w:val="center"/>
    </w:pPr>
    <w:rPr>
      <w:i/>
      <w:iCs/>
      <w:color w:val="404040" w:themeColor="text1" w:themeTint="BF"/>
      <w:kern w:val="2"/>
    </w:rPr>
  </w:style>
  <w:style w:type="character" w:customStyle="1" w:styleId="QuoteChar">
    <w:name w:val="Quote Char"/>
    <w:basedOn w:val="DefaultParagraphFont"/>
    <w:link w:val="Quote"/>
    <w:uiPriority w:val="29"/>
    <w:rsid w:val="005E313B"/>
    <w:rPr>
      <w:i/>
      <w:iCs/>
      <w:color w:val="404040" w:themeColor="text1" w:themeTint="BF"/>
      <w:kern w:val="2"/>
    </w:rPr>
  </w:style>
  <w:style w:type="paragraph" w:styleId="ListParagraph">
    <w:name w:val="List Paragraph"/>
    <w:basedOn w:val="Normal"/>
    <w:uiPriority w:val="34"/>
    <w:qFormat/>
    <w:rsid w:val="005E313B"/>
    <w:pPr>
      <w:ind w:left="720"/>
      <w:contextualSpacing/>
    </w:pPr>
    <w:rPr>
      <w:kern w:val="2"/>
    </w:rPr>
  </w:style>
  <w:style w:type="character" w:styleId="IntenseEmphasis">
    <w:name w:val="Intense Emphasis"/>
    <w:basedOn w:val="DefaultParagraphFont"/>
    <w:uiPriority w:val="21"/>
    <w:qFormat/>
    <w:rsid w:val="005E313B"/>
    <w:rPr>
      <w:i/>
      <w:iCs/>
      <w:color w:val="2F5496" w:themeColor="accent1" w:themeShade="BF"/>
    </w:rPr>
  </w:style>
  <w:style w:type="paragraph" w:styleId="IntenseQuote">
    <w:name w:val="Intense Quote"/>
    <w:basedOn w:val="Normal"/>
    <w:next w:val="Normal"/>
    <w:link w:val="IntenseQuoteChar"/>
    <w:uiPriority w:val="30"/>
    <w:qFormat/>
    <w:rsid w:val="005E31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rPr>
  </w:style>
  <w:style w:type="character" w:customStyle="1" w:styleId="IntenseQuoteChar">
    <w:name w:val="Intense Quote Char"/>
    <w:basedOn w:val="DefaultParagraphFont"/>
    <w:link w:val="IntenseQuote"/>
    <w:uiPriority w:val="30"/>
    <w:rsid w:val="005E313B"/>
    <w:rPr>
      <w:i/>
      <w:iCs/>
      <w:color w:val="2F5496" w:themeColor="accent1" w:themeShade="BF"/>
      <w:kern w:val="2"/>
    </w:rPr>
  </w:style>
  <w:style w:type="character" w:styleId="IntenseReference">
    <w:name w:val="Intense Reference"/>
    <w:basedOn w:val="DefaultParagraphFont"/>
    <w:uiPriority w:val="32"/>
    <w:qFormat/>
    <w:rsid w:val="005E313B"/>
    <w:rPr>
      <w:b/>
      <w:bCs/>
      <w:smallCaps/>
      <w:color w:val="2F5496" w:themeColor="accent1" w:themeShade="BF"/>
      <w:spacing w:val="5"/>
    </w:rPr>
  </w:style>
  <w:style w:type="table" w:styleId="TableGrid">
    <w:name w:val="Table Grid"/>
    <w:basedOn w:val="TableNormal"/>
    <w:uiPriority w:val="39"/>
    <w:rsid w:val="005E313B"/>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E313B"/>
    <w:rPr>
      <w:sz w:val="16"/>
      <w:szCs w:val="16"/>
    </w:rPr>
  </w:style>
  <w:style w:type="paragraph" w:styleId="CommentText">
    <w:name w:val="annotation text"/>
    <w:basedOn w:val="Normal"/>
    <w:link w:val="CommentTextChar"/>
    <w:uiPriority w:val="99"/>
    <w:unhideWhenUsed/>
    <w:rsid w:val="005E313B"/>
    <w:pPr>
      <w:spacing w:line="240" w:lineRule="auto"/>
    </w:pPr>
    <w:rPr>
      <w:kern w:val="2"/>
      <w:sz w:val="20"/>
      <w:szCs w:val="20"/>
    </w:rPr>
  </w:style>
  <w:style w:type="character" w:customStyle="1" w:styleId="CommentTextChar">
    <w:name w:val="Comment Text Char"/>
    <w:basedOn w:val="DefaultParagraphFont"/>
    <w:link w:val="CommentText"/>
    <w:uiPriority w:val="99"/>
    <w:rsid w:val="005E313B"/>
    <w:rPr>
      <w:kern w:val="2"/>
      <w:sz w:val="20"/>
      <w:szCs w:val="20"/>
    </w:rPr>
  </w:style>
  <w:style w:type="paragraph" w:styleId="CommentSubject">
    <w:name w:val="annotation subject"/>
    <w:basedOn w:val="CommentText"/>
    <w:next w:val="CommentText"/>
    <w:link w:val="CommentSubjectChar"/>
    <w:uiPriority w:val="99"/>
    <w:semiHidden/>
    <w:unhideWhenUsed/>
    <w:rsid w:val="005E313B"/>
    <w:rPr>
      <w:b/>
      <w:bCs/>
    </w:rPr>
  </w:style>
  <w:style w:type="character" w:customStyle="1" w:styleId="CommentSubjectChar">
    <w:name w:val="Comment Subject Char"/>
    <w:basedOn w:val="CommentTextChar"/>
    <w:link w:val="CommentSubject"/>
    <w:uiPriority w:val="99"/>
    <w:semiHidden/>
    <w:rsid w:val="005E313B"/>
    <w:rPr>
      <w:b/>
      <w:bCs/>
      <w:kern w:val="2"/>
      <w:sz w:val="20"/>
      <w:szCs w:val="20"/>
    </w:rPr>
  </w:style>
  <w:style w:type="character" w:styleId="Hyperlink">
    <w:name w:val="Hyperlink"/>
    <w:basedOn w:val="DefaultParagraphFont"/>
    <w:uiPriority w:val="99"/>
    <w:unhideWhenUsed/>
    <w:rsid w:val="005E313B"/>
    <w:rPr>
      <w:color w:val="0563C1" w:themeColor="hyperlink"/>
      <w:u w:val="single"/>
    </w:rPr>
  </w:style>
  <w:style w:type="paragraph" w:styleId="Caption">
    <w:name w:val="caption"/>
    <w:basedOn w:val="Normal"/>
    <w:next w:val="Normal"/>
    <w:unhideWhenUsed/>
    <w:qFormat/>
    <w:rsid w:val="005E313B"/>
    <w:pPr>
      <w:spacing w:before="120" w:after="200" w:line="240" w:lineRule="auto"/>
    </w:pPr>
    <w:rPr>
      <w:rFonts w:eastAsia="ヒラギノ角ゴ Pro W3" w:cs="Times New Roman"/>
      <w:b/>
      <w:color w:val="44546A" w:themeColor="text2"/>
      <w:szCs w:val="18"/>
    </w:rPr>
  </w:style>
  <w:style w:type="character" w:customStyle="1" w:styleId="UnresolvedMention">
    <w:name w:val="Unresolved Mention"/>
    <w:basedOn w:val="DefaultParagraphFont"/>
    <w:uiPriority w:val="99"/>
    <w:semiHidden/>
    <w:unhideWhenUsed/>
    <w:rsid w:val="005E313B"/>
    <w:rPr>
      <w:color w:val="605E5C"/>
      <w:shd w:val="clear" w:color="auto" w:fill="E1DFDD"/>
    </w:rPr>
  </w:style>
  <w:style w:type="paragraph" w:styleId="TOCHeading">
    <w:name w:val="TOC Heading"/>
    <w:basedOn w:val="Heading1"/>
    <w:next w:val="Normal"/>
    <w:uiPriority w:val="39"/>
    <w:unhideWhenUsed/>
    <w:qFormat/>
    <w:rsid w:val="005E313B"/>
    <w:pPr>
      <w:spacing w:before="240" w:after="0"/>
      <w:jc w:val="left"/>
      <w:outlineLvl w:val="9"/>
    </w:pPr>
    <w:rPr>
      <w:kern w:val="0"/>
      <w:sz w:val="32"/>
      <w:szCs w:val="32"/>
    </w:rPr>
  </w:style>
  <w:style w:type="paragraph" w:styleId="TOC2">
    <w:name w:val="toc 2"/>
    <w:basedOn w:val="Normal"/>
    <w:next w:val="Normal"/>
    <w:autoRedefine/>
    <w:uiPriority w:val="39"/>
    <w:unhideWhenUsed/>
    <w:rsid w:val="005E313B"/>
    <w:pPr>
      <w:spacing w:after="100"/>
      <w:ind w:left="220"/>
    </w:pPr>
    <w:rPr>
      <w:kern w:val="2"/>
    </w:rPr>
  </w:style>
  <w:style w:type="paragraph" w:styleId="TOC3">
    <w:name w:val="toc 3"/>
    <w:basedOn w:val="Normal"/>
    <w:next w:val="Normal"/>
    <w:autoRedefine/>
    <w:uiPriority w:val="39"/>
    <w:unhideWhenUsed/>
    <w:rsid w:val="005E313B"/>
    <w:pPr>
      <w:spacing w:after="100"/>
      <w:ind w:left="440"/>
    </w:pPr>
    <w:rPr>
      <w:kern w:val="2"/>
    </w:rPr>
  </w:style>
  <w:style w:type="paragraph" w:styleId="NormalWeb">
    <w:name w:val="Normal (Web)"/>
    <w:basedOn w:val="Normal"/>
    <w:uiPriority w:val="99"/>
    <w:semiHidden/>
    <w:unhideWhenUsed/>
    <w:rsid w:val="005E313B"/>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5E313B"/>
    <w:pPr>
      <w:spacing w:after="100"/>
      <w:ind w:left="660"/>
    </w:pPr>
    <w:rPr>
      <w:kern w:val="2"/>
    </w:rPr>
  </w:style>
  <w:style w:type="paragraph" w:styleId="TOC5">
    <w:name w:val="toc 5"/>
    <w:basedOn w:val="Normal"/>
    <w:next w:val="Normal"/>
    <w:autoRedefine/>
    <w:uiPriority w:val="39"/>
    <w:unhideWhenUsed/>
    <w:rsid w:val="005E313B"/>
    <w:pPr>
      <w:spacing w:after="100"/>
      <w:ind w:left="880"/>
    </w:pPr>
    <w:rPr>
      <w:kern w:val="2"/>
    </w:rPr>
  </w:style>
  <w:style w:type="paragraph" w:styleId="TOC1">
    <w:name w:val="toc 1"/>
    <w:basedOn w:val="Normal"/>
    <w:next w:val="Normal"/>
    <w:autoRedefine/>
    <w:uiPriority w:val="39"/>
    <w:unhideWhenUsed/>
    <w:rsid w:val="005E313B"/>
    <w:pPr>
      <w:spacing w:after="100"/>
    </w:pPr>
    <w:rPr>
      <w:kern w:val="2"/>
    </w:rPr>
  </w:style>
  <w:style w:type="character" w:styleId="FollowedHyperlink">
    <w:name w:val="FollowedHyperlink"/>
    <w:basedOn w:val="DefaultParagraphFont"/>
    <w:uiPriority w:val="99"/>
    <w:semiHidden/>
    <w:unhideWhenUsed/>
    <w:rsid w:val="005E313B"/>
    <w:rPr>
      <w:color w:val="954F72" w:themeColor="followedHyperlink"/>
      <w:u w:val="single"/>
    </w:rPr>
  </w:style>
  <w:style w:type="paragraph" w:styleId="Revision">
    <w:name w:val="Revision"/>
    <w:hidden/>
    <w:uiPriority w:val="99"/>
    <w:semiHidden/>
    <w:rsid w:val="005E313B"/>
    <w:pPr>
      <w:spacing w:after="0" w:line="240" w:lineRule="auto"/>
    </w:pPr>
    <w:rPr>
      <w:kern w:val="2"/>
    </w:rPr>
  </w:style>
  <w:style w:type="character" w:customStyle="1" w:styleId="Mention">
    <w:name w:val="Mention"/>
    <w:basedOn w:val="DefaultParagraphFont"/>
    <w:uiPriority w:val="99"/>
    <w:unhideWhenUsed/>
    <w:rsid w:val="005E313B"/>
    <w:rPr>
      <w:color w:val="2B579A"/>
      <w:shd w:val="clear" w:color="auto" w:fill="E1DFDD"/>
    </w:rPr>
  </w:style>
  <w:style w:type="table" w:styleId="PlainTable2">
    <w:name w:val="Plain Table 2"/>
    <w:basedOn w:val="TableNormal"/>
    <w:uiPriority w:val="42"/>
    <w:rsid w:val="005E313B"/>
    <w:pPr>
      <w:spacing w:after="0" w:line="240" w:lineRule="auto"/>
    </w:pPr>
    <w:rPr>
      <w:kern w:val="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unhideWhenUsed/>
    <w:rsid w:val="005E313B"/>
    <w:pPr>
      <w:spacing w:after="0" w:line="240" w:lineRule="auto"/>
    </w:pPr>
    <w:rPr>
      <w:kern w:val="2"/>
      <w:sz w:val="20"/>
      <w:szCs w:val="20"/>
    </w:rPr>
  </w:style>
  <w:style w:type="character" w:customStyle="1" w:styleId="FootnoteTextChar">
    <w:name w:val="Footnote Text Char"/>
    <w:basedOn w:val="DefaultParagraphFont"/>
    <w:link w:val="FootnoteText"/>
    <w:uiPriority w:val="99"/>
    <w:rsid w:val="005E313B"/>
    <w:rPr>
      <w:kern w:val="2"/>
      <w:sz w:val="20"/>
      <w:szCs w:val="20"/>
    </w:rPr>
  </w:style>
  <w:style w:type="character" w:styleId="FootnoteReference">
    <w:name w:val="footnote reference"/>
    <w:basedOn w:val="DefaultParagraphFont"/>
    <w:uiPriority w:val="99"/>
    <w:semiHidden/>
    <w:unhideWhenUsed/>
    <w:rsid w:val="005E313B"/>
    <w:rPr>
      <w:vertAlign w:val="superscript"/>
    </w:rPr>
  </w:style>
  <w:style w:type="paragraph" w:customStyle="1" w:styleId="Default">
    <w:name w:val="Default"/>
    <w:rsid w:val="00140729"/>
    <w:pPr>
      <w:autoSpaceDE w:val="0"/>
      <w:autoSpaceDN w:val="0"/>
      <w:adjustRightInd w:val="0"/>
      <w:spacing w:after="0" w:line="240" w:lineRule="auto"/>
    </w:pPr>
    <w:rPr>
      <w:rFonts w:ascii="EUAlbertina" w:hAnsi="EUAlbertina" w:cs="EUAlbertina"/>
      <w:color w:val="000000"/>
      <w:sz w:val="24"/>
      <w:szCs w:val="24"/>
    </w:rPr>
  </w:style>
  <w:style w:type="paragraph" w:customStyle="1" w:styleId="Disclaimer">
    <w:name w:val="Disclaimer"/>
    <w:basedOn w:val="Normal"/>
    <w:rsid w:val="004C2F4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rFonts w:ascii="Times New Roman" w:hAnsi="Times New Roman" w:cs="Times New Roman"/>
      <w:sz w:val="24"/>
    </w:rPr>
  </w:style>
  <w:style w:type="paragraph" w:customStyle="1" w:styleId="SecurityMarking">
    <w:name w:val="SecurityMarking"/>
    <w:basedOn w:val="Normal"/>
    <w:rsid w:val="004C2F44"/>
    <w:pPr>
      <w:spacing w:after="0" w:line="276" w:lineRule="auto"/>
      <w:ind w:left="5103"/>
      <w:jc w:val="left"/>
    </w:pPr>
    <w:rPr>
      <w:rFonts w:ascii="Times New Roman" w:hAnsi="Times New Roman" w:cs="Times New Roman"/>
      <w:sz w:val="28"/>
    </w:rPr>
  </w:style>
  <w:style w:type="paragraph" w:customStyle="1" w:styleId="DateMarking">
    <w:name w:val="DateMarking"/>
    <w:basedOn w:val="Normal"/>
    <w:rsid w:val="004C2F44"/>
    <w:pPr>
      <w:spacing w:after="0" w:line="276" w:lineRule="auto"/>
      <w:ind w:left="5103"/>
      <w:jc w:val="left"/>
    </w:pPr>
    <w:rPr>
      <w:rFonts w:ascii="Times New Roman" w:hAnsi="Times New Roman" w:cs="Times New Roman"/>
      <w:i/>
      <w:sz w:val="28"/>
    </w:rPr>
  </w:style>
  <w:style w:type="paragraph" w:customStyle="1" w:styleId="ReleasableTo">
    <w:name w:val="ReleasableTo"/>
    <w:basedOn w:val="Normal"/>
    <w:rsid w:val="004C2F44"/>
    <w:pPr>
      <w:spacing w:after="0" w:line="276" w:lineRule="auto"/>
      <w:ind w:left="5103"/>
      <w:jc w:val="left"/>
    </w:pPr>
    <w:rPr>
      <w:rFonts w:ascii="Times New Roman" w:hAnsi="Times New Roman" w:cs="Times New Roman"/>
      <w:i/>
      <w:sz w:val="28"/>
    </w:rPr>
  </w:style>
  <w:style w:type="paragraph" w:customStyle="1" w:styleId="Languesfaisantfoi">
    <w:name w:val="Langues faisant foi"/>
    <w:basedOn w:val="Normal"/>
    <w:next w:val="Normal"/>
    <w:rsid w:val="00B92ABC"/>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B92ABC"/>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B92ABC"/>
    <w:pPr>
      <w:spacing w:after="0"/>
    </w:pPr>
  </w:style>
  <w:style w:type="paragraph" w:customStyle="1" w:styleId="IntrtEEEPagedecouverture">
    <w:name w:val="Intérêt EEE (Page de couverture)"/>
    <w:basedOn w:val="IntrtEEE"/>
    <w:next w:val="Normal"/>
    <w:rsid w:val="00B92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775431">
      <w:bodyDiv w:val="1"/>
      <w:marLeft w:val="0"/>
      <w:marRight w:val="0"/>
      <w:marTop w:val="0"/>
      <w:marBottom w:val="0"/>
      <w:divBdr>
        <w:top w:val="none" w:sz="0" w:space="0" w:color="auto"/>
        <w:left w:val="none" w:sz="0" w:space="0" w:color="auto"/>
        <w:bottom w:val="none" w:sz="0" w:space="0" w:color="auto"/>
        <w:right w:val="none" w:sz="0" w:space="0" w:color="auto"/>
      </w:divBdr>
      <w:divsChild>
        <w:div w:id="1557273692">
          <w:marLeft w:val="0"/>
          <w:marRight w:val="0"/>
          <w:marTop w:val="0"/>
          <w:marBottom w:val="0"/>
          <w:divBdr>
            <w:top w:val="none" w:sz="0" w:space="0" w:color="auto"/>
            <w:left w:val="none" w:sz="0" w:space="0" w:color="auto"/>
            <w:bottom w:val="none" w:sz="0" w:space="0" w:color="auto"/>
            <w:right w:val="none" w:sz="0" w:space="0" w:color="auto"/>
          </w:divBdr>
          <w:divsChild>
            <w:div w:id="1962373474">
              <w:marLeft w:val="0"/>
              <w:marRight w:val="0"/>
              <w:marTop w:val="0"/>
              <w:marBottom w:val="0"/>
              <w:divBdr>
                <w:top w:val="none" w:sz="0" w:space="0" w:color="auto"/>
                <w:left w:val="none" w:sz="0" w:space="0" w:color="auto"/>
                <w:bottom w:val="none" w:sz="0" w:space="0" w:color="auto"/>
                <w:right w:val="none" w:sz="0" w:space="0" w:color="auto"/>
              </w:divBdr>
              <w:divsChild>
                <w:div w:id="1185904805">
                  <w:marLeft w:val="0"/>
                  <w:marRight w:val="0"/>
                  <w:marTop w:val="0"/>
                  <w:marBottom w:val="0"/>
                  <w:divBdr>
                    <w:top w:val="none" w:sz="0" w:space="0" w:color="auto"/>
                    <w:left w:val="none" w:sz="0" w:space="0" w:color="auto"/>
                    <w:bottom w:val="none" w:sz="0" w:space="0" w:color="auto"/>
                    <w:right w:val="none" w:sz="0" w:space="0" w:color="auto"/>
                  </w:divBdr>
                  <w:divsChild>
                    <w:div w:id="1139689202">
                      <w:marLeft w:val="0"/>
                      <w:marRight w:val="0"/>
                      <w:marTop w:val="0"/>
                      <w:marBottom w:val="0"/>
                      <w:divBdr>
                        <w:top w:val="none" w:sz="0" w:space="0" w:color="auto"/>
                        <w:left w:val="none" w:sz="0" w:space="0" w:color="auto"/>
                        <w:bottom w:val="none" w:sz="0" w:space="0" w:color="auto"/>
                        <w:right w:val="none" w:sz="0" w:space="0" w:color="auto"/>
                      </w:divBdr>
                      <w:divsChild>
                        <w:div w:id="670453043">
                          <w:marLeft w:val="0"/>
                          <w:marRight w:val="0"/>
                          <w:marTop w:val="0"/>
                          <w:marBottom w:val="0"/>
                          <w:divBdr>
                            <w:top w:val="none" w:sz="0" w:space="0" w:color="auto"/>
                            <w:left w:val="none" w:sz="0" w:space="0" w:color="auto"/>
                            <w:bottom w:val="none" w:sz="0" w:space="0" w:color="auto"/>
                            <w:right w:val="none" w:sz="0" w:space="0" w:color="auto"/>
                          </w:divBdr>
                          <w:divsChild>
                            <w:div w:id="130682311">
                              <w:marLeft w:val="0"/>
                              <w:marRight w:val="0"/>
                              <w:marTop w:val="0"/>
                              <w:marBottom w:val="0"/>
                              <w:divBdr>
                                <w:top w:val="none" w:sz="0" w:space="0" w:color="auto"/>
                                <w:left w:val="none" w:sz="0" w:space="0" w:color="auto"/>
                                <w:bottom w:val="none" w:sz="0" w:space="0" w:color="auto"/>
                                <w:right w:val="none" w:sz="0" w:space="0" w:color="auto"/>
                              </w:divBdr>
                              <w:divsChild>
                                <w:div w:id="1117144736">
                                  <w:marLeft w:val="0"/>
                                  <w:marRight w:val="0"/>
                                  <w:marTop w:val="0"/>
                                  <w:marBottom w:val="0"/>
                                  <w:divBdr>
                                    <w:top w:val="none" w:sz="0" w:space="0" w:color="auto"/>
                                    <w:left w:val="none" w:sz="0" w:space="0" w:color="auto"/>
                                    <w:bottom w:val="none" w:sz="0" w:space="0" w:color="auto"/>
                                    <w:right w:val="none" w:sz="0" w:space="0" w:color="auto"/>
                                  </w:divBdr>
                                  <w:divsChild>
                                    <w:div w:id="1096169761">
                                      <w:marLeft w:val="0"/>
                                      <w:marRight w:val="0"/>
                                      <w:marTop w:val="0"/>
                                      <w:marBottom w:val="0"/>
                                      <w:divBdr>
                                        <w:top w:val="none" w:sz="0" w:space="0" w:color="auto"/>
                                        <w:left w:val="none" w:sz="0" w:space="0" w:color="auto"/>
                                        <w:bottom w:val="none" w:sz="0" w:space="0" w:color="auto"/>
                                        <w:right w:val="none" w:sz="0" w:space="0" w:color="auto"/>
                                      </w:divBdr>
                                      <w:divsChild>
                                        <w:div w:id="667514556">
                                          <w:marLeft w:val="0"/>
                                          <w:marRight w:val="0"/>
                                          <w:marTop w:val="0"/>
                                          <w:marBottom w:val="0"/>
                                          <w:divBdr>
                                            <w:top w:val="none" w:sz="0" w:space="0" w:color="auto"/>
                                            <w:left w:val="none" w:sz="0" w:space="0" w:color="auto"/>
                                            <w:bottom w:val="none" w:sz="0" w:space="0" w:color="auto"/>
                                            <w:right w:val="none" w:sz="0" w:space="0" w:color="auto"/>
                                          </w:divBdr>
                                          <w:divsChild>
                                            <w:div w:id="435633577">
                                              <w:marLeft w:val="0"/>
                                              <w:marRight w:val="0"/>
                                              <w:marTop w:val="0"/>
                                              <w:marBottom w:val="0"/>
                                              <w:divBdr>
                                                <w:top w:val="none" w:sz="0" w:space="0" w:color="auto"/>
                                                <w:left w:val="none" w:sz="0" w:space="0" w:color="auto"/>
                                                <w:bottom w:val="none" w:sz="0" w:space="0" w:color="auto"/>
                                                <w:right w:val="none" w:sz="0" w:space="0" w:color="auto"/>
                                              </w:divBdr>
                                              <w:divsChild>
                                                <w:div w:id="237640423">
                                                  <w:marLeft w:val="0"/>
                                                  <w:marRight w:val="0"/>
                                                  <w:marTop w:val="0"/>
                                                  <w:marBottom w:val="0"/>
                                                  <w:divBdr>
                                                    <w:top w:val="none" w:sz="0" w:space="0" w:color="auto"/>
                                                    <w:left w:val="none" w:sz="0" w:space="0" w:color="auto"/>
                                                    <w:bottom w:val="none" w:sz="0" w:space="0" w:color="auto"/>
                                                    <w:right w:val="none" w:sz="0" w:space="0" w:color="auto"/>
                                                  </w:divBdr>
                                                  <w:divsChild>
                                                    <w:div w:id="1412697920">
                                                      <w:marLeft w:val="0"/>
                                                      <w:marRight w:val="0"/>
                                                      <w:marTop w:val="0"/>
                                                      <w:marBottom w:val="0"/>
                                                      <w:divBdr>
                                                        <w:top w:val="none" w:sz="0" w:space="0" w:color="auto"/>
                                                        <w:left w:val="none" w:sz="0" w:space="0" w:color="auto"/>
                                                        <w:bottom w:val="none" w:sz="0" w:space="0" w:color="auto"/>
                                                        <w:right w:val="none" w:sz="0" w:space="0" w:color="auto"/>
                                                      </w:divBdr>
                                                      <w:divsChild>
                                                        <w:div w:id="197074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120883">
      <w:bodyDiv w:val="1"/>
      <w:marLeft w:val="0"/>
      <w:marRight w:val="0"/>
      <w:marTop w:val="0"/>
      <w:marBottom w:val="0"/>
      <w:divBdr>
        <w:top w:val="none" w:sz="0" w:space="0" w:color="auto"/>
        <w:left w:val="none" w:sz="0" w:space="0" w:color="auto"/>
        <w:bottom w:val="none" w:sz="0" w:space="0" w:color="auto"/>
        <w:right w:val="none" w:sz="0" w:space="0" w:color="auto"/>
      </w:divBdr>
      <w:divsChild>
        <w:div w:id="254754180">
          <w:marLeft w:val="0"/>
          <w:marRight w:val="0"/>
          <w:marTop w:val="0"/>
          <w:marBottom w:val="0"/>
          <w:divBdr>
            <w:top w:val="none" w:sz="0" w:space="0" w:color="auto"/>
            <w:left w:val="none" w:sz="0" w:space="0" w:color="auto"/>
            <w:bottom w:val="none" w:sz="0" w:space="0" w:color="auto"/>
            <w:right w:val="none" w:sz="0" w:space="0" w:color="auto"/>
          </w:divBdr>
          <w:divsChild>
            <w:div w:id="401757654">
              <w:marLeft w:val="0"/>
              <w:marRight w:val="0"/>
              <w:marTop w:val="0"/>
              <w:marBottom w:val="0"/>
              <w:divBdr>
                <w:top w:val="none" w:sz="0" w:space="0" w:color="auto"/>
                <w:left w:val="none" w:sz="0" w:space="0" w:color="auto"/>
                <w:bottom w:val="none" w:sz="0" w:space="0" w:color="auto"/>
                <w:right w:val="none" w:sz="0" w:space="0" w:color="auto"/>
              </w:divBdr>
              <w:divsChild>
                <w:div w:id="67314167">
                  <w:marLeft w:val="0"/>
                  <w:marRight w:val="0"/>
                  <w:marTop w:val="0"/>
                  <w:marBottom w:val="0"/>
                  <w:divBdr>
                    <w:top w:val="none" w:sz="0" w:space="0" w:color="auto"/>
                    <w:left w:val="none" w:sz="0" w:space="0" w:color="auto"/>
                    <w:bottom w:val="none" w:sz="0" w:space="0" w:color="auto"/>
                    <w:right w:val="none" w:sz="0" w:space="0" w:color="auto"/>
                  </w:divBdr>
                  <w:divsChild>
                    <w:div w:id="619723904">
                      <w:marLeft w:val="0"/>
                      <w:marRight w:val="0"/>
                      <w:marTop w:val="0"/>
                      <w:marBottom w:val="0"/>
                      <w:divBdr>
                        <w:top w:val="none" w:sz="0" w:space="0" w:color="auto"/>
                        <w:left w:val="none" w:sz="0" w:space="0" w:color="auto"/>
                        <w:bottom w:val="none" w:sz="0" w:space="0" w:color="auto"/>
                        <w:right w:val="none" w:sz="0" w:space="0" w:color="auto"/>
                      </w:divBdr>
                      <w:divsChild>
                        <w:div w:id="199634197">
                          <w:marLeft w:val="0"/>
                          <w:marRight w:val="0"/>
                          <w:marTop w:val="0"/>
                          <w:marBottom w:val="0"/>
                          <w:divBdr>
                            <w:top w:val="none" w:sz="0" w:space="0" w:color="auto"/>
                            <w:left w:val="none" w:sz="0" w:space="0" w:color="auto"/>
                            <w:bottom w:val="none" w:sz="0" w:space="0" w:color="auto"/>
                            <w:right w:val="none" w:sz="0" w:space="0" w:color="auto"/>
                          </w:divBdr>
                          <w:divsChild>
                            <w:div w:id="1468933536">
                              <w:marLeft w:val="0"/>
                              <w:marRight w:val="0"/>
                              <w:marTop w:val="0"/>
                              <w:marBottom w:val="0"/>
                              <w:divBdr>
                                <w:top w:val="none" w:sz="0" w:space="0" w:color="auto"/>
                                <w:left w:val="none" w:sz="0" w:space="0" w:color="auto"/>
                                <w:bottom w:val="none" w:sz="0" w:space="0" w:color="auto"/>
                                <w:right w:val="none" w:sz="0" w:space="0" w:color="auto"/>
                              </w:divBdr>
                              <w:divsChild>
                                <w:div w:id="1937788826">
                                  <w:marLeft w:val="0"/>
                                  <w:marRight w:val="0"/>
                                  <w:marTop w:val="0"/>
                                  <w:marBottom w:val="0"/>
                                  <w:divBdr>
                                    <w:top w:val="none" w:sz="0" w:space="0" w:color="auto"/>
                                    <w:left w:val="none" w:sz="0" w:space="0" w:color="auto"/>
                                    <w:bottom w:val="none" w:sz="0" w:space="0" w:color="auto"/>
                                    <w:right w:val="none" w:sz="0" w:space="0" w:color="auto"/>
                                  </w:divBdr>
                                  <w:divsChild>
                                    <w:div w:id="742486871">
                                      <w:marLeft w:val="0"/>
                                      <w:marRight w:val="0"/>
                                      <w:marTop w:val="0"/>
                                      <w:marBottom w:val="0"/>
                                      <w:divBdr>
                                        <w:top w:val="none" w:sz="0" w:space="0" w:color="auto"/>
                                        <w:left w:val="none" w:sz="0" w:space="0" w:color="auto"/>
                                        <w:bottom w:val="none" w:sz="0" w:space="0" w:color="auto"/>
                                        <w:right w:val="none" w:sz="0" w:space="0" w:color="auto"/>
                                      </w:divBdr>
                                      <w:divsChild>
                                        <w:div w:id="2040662438">
                                          <w:marLeft w:val="0"/>
                                          <w:marRight w:val="0"/>
                                          <w:marTop w:val="0"/>
                                          <w:marBottom w:val="0"/>
                                          <w:divBdr>
                                            <w:top w:val="none" w:sz="0" w:space="0" w:color="auto"/>
                                            <w:left w:val="none" w:sz="0" w:space="0" w:color="auto"/>
                                            <w:bottom w:val="none" w:sz="0" w:space="0" w:color="auto"/>
                                            <w:right w:val="none" w:sz="0" w:space="0" w:color="auto"/>
                                          </w:divBdr>
                                          <w:divsChild>
                                            <w:div w:id="194851076">
                                              <w:marLeft w:val="0"/>
                                              <w:marRight w:val="0"/>
                                              <w:marTop w:val="0"/>
                                              <w:marBottom w:val="0"/>
                                              <w:divBdr>
                                                <w:top w:val="none" w:sz="0" w:space="0" w:color="auto"/>
                                                <w:left w:val="none" w:sz="0" w:space="0" w:color="auto"/>
                                                <w:bottom w:val="none" w:sz="0" w:space="0" w:color="auto"/>
                                                <w:right w:val="none" w:sz="0" w:space="0" w:color="auto"/>
                                              </w:divBdr>
                                              <w:divsChild>
                                                <w:div w:id="602538785">
                                                  <w:marLeft w:val="0"/>
                                                  <w:marRight w:val="0"/>
                                                  <w:marTop w:val="0"/>
                                                  <w:marBottom w:val="0"/>
                                                  <w:divBdr>
                                                    <w:top w:val="none" w:sz="0" w:space="0" w:color="auto"/>
                                                    <w:left w:val="none" w:sz="0" w:space="0" w:color="auto"/>
                                                    <w:bottom w:val="none" w:sz="0" w:space="0" w:color="auto"/>
                                                    <w:right w:val="none" w:sz="0" w:space="0" w:color="auto"/>
                                                  </w:divBdr>
                                                  <w:divsChild>
                                                    <w:div w:id="1977560939">
                                                      <w:marLeft w:val="0"/>
                                                      <w:marRight w:val="0"/>
                                                      <w:marTop w:val="0"/>
                                                      <w:marBottom w:val="0"/>
                                                      <w:divBdr>
                                                        <w:top w:val="none" w:sz="0" w:space="0" w:color="auto"/>
                                                        <w:left w:val="none" w:sz="0" w:space="0" w:color="auto"/>
                                                        <w:bottom w:val="none" w:sz="0" w:space="0" w:color="auto"/>
                                                        <w:right w:val="none" w:sz="0" w:space="0" w:color="auto"/>
                                                      </w:divBdr>
                                                      <w:divsChild>
                                                        <w:div w:id="178634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6466602">
      <w:bodyDiv w:val="1"/>
      <w:marLeft w:val="0"/>
      <w:marRight w:val="0"/>
      <w:marTop w:val="0"/>
      <w:marBottom w:val="0"/>
      <w:divBdr>
        <w:top w:val="none" w:sz="0" w:space="0" w:color="auto"/>
        <w:left w:val="none" w:sz="0" w:space="0" w:color="auto"/>
        <w:bottom w:val="none" w:sz="0" w:space="0" w:color="auto"/>
        <w:right w:val="none" w:sz="0" w:space="0" w:color="auto"/>
      </w:divBdr>
      <w:divsChild>
        <w:div w:id="1104614329">
          <w:marLeft w:val="0"/>
          <w:marRight w:val="0"/>
          <w:marTop w:val="0"/>
          <w:marBottom w:val="0"/>
          <w:divBdr>
            <w:top w:val="none" w:sz="0" w:space="0" w:color="auto"/>
            <w:left w:val="none" w:sz="0" w:space="0" w:color="auto"/>
            <w:bottom w:val="none" w:sz="0" w:space="0" w:color="auto"/>
            <w:right w:val="none" w:sz="0" w:space="0" w:color="auto"/>
          </w:divBdr>
          <w:divsChild>
            <w:div w:id="543560533">
              <w:marLeft w:val="0"/>
              <w:marRight w:val="0"/>
              <w:marTop w:val="0"/>
              <w:marBottom w:val="0"/>
              <w:divBdr>
                <w:top w:val="none" w:sz="0" w:space="0" w:color="auto"/>
                <w:left w:val="none" w:sz="0" w:space="0" w:color="auto"/>
                <w:bottom w:val="none" w:sz="0" w:space="0" w:color="auto"/>
                <w:right w:val="none" w:sz="0" w:space="0" w:color="auto"/>
              </w:divBdr>
              <w:divsChild>
                <w:div w:id="1700811439">
                  <w:marLeft w:val="0"/>
                  <w:marRight w:val="0"/>
                  <w:marTop w:val="0"/>
                  <w:marBottom w:val="0"/>
                  <w:divBdr>
                    <w:top w:val="none" w:sz="0" w:space="0" w:color="auto"/>
                    <w:left w:val="none" w:sz="0" w:space="0" w:color="auto"/>
                    <w:bottom w:val="none" w:sz="0" w:space="0" w:color="auto"/>
                    <w:right w:val="none" w:sz="0" w:space="0" w:color="auto"/>
                  </w:divBdr>
                  <w:divsChild>
                    <w:div w:id="1955021341">
                      <w:marLeft w:val="0"/>
                      <w:marRight w:val="0"/>
                      <w:marTop w:val="0"/>
                      <w:marBottom w:val="0"/>
                      <w:divBdr>
                        <w:top w:val="none" w:sz="0" w:space="0" w:color="auto"/>
                        <w:left w:val="none" w:sz="0" w:space="0" w:color="auto"/>
                        <w:bottom w:val="none" w:sz="0" w:space="0" w:color="auto"/>
                        <w:right w:val="none" w:sz="0" w:space="0" w:color="auto"/>
                      </w:divBdr>
                      <w:divsChild>
                        <w:div w:id="1887329269">
                          <w:marLeft w:val="0"/>
                          <w:marRight w:val="0"/>
                          <w:marTop w:val="0"/>
                          <w:marBottom w:val="0"/>
                          <w:divBdr>
                            <w:top w:val="none" w:sz="0" w:space="0" w:color="auto"/>
                            <w:left w:val="none" w:sz="0" w:space="0" w:color="auto"/>
                            <w:bottom w:val="none" w:sz="0" w:space="0" w:color="auto"/>
                            <w:right w:val="none" w:sz="0" w:space="0" w:color="auto"/>
                          </w:divBdr>
                          <w:divsChild>
                            <w:div w:id="1803185032">
                              <w:marLeft w:val="0"/>
                              <w:marRight w:val="0"/>
                              <w:marTop w:val="0"/>
                              <w:marBottom w:val="0"/>
                              <w:divBdr>
                                <w:top w:val="none" w:sz="0" w:space="0" w:color="auto"/>
                                <w:left w:val="none" w:sz="0" w:space="0" w:color="auto"/>
                                <w:bottom w:val="none" w:sz="0" w:space="0" w:color="auto"/>
                                <w:right w:val="none" w:sz="0" w:space="0" w:color="auto"/>
                              </w:divBdr>
                              <w:divsChild>
                                <w:div w:id="1662347537">
                                  <w:marLeft w:val="0"/>
                                  <w:marRight w:val="0"/>
                                  <w:marTop w:val="0"/>
                                  <w:marBottom w:val="0"/>
                                  <w:divBdr>
                                    <w:top w:val="none" w:sz="0" w:space="0" w:color="auto"/>
                                    <w:left w:val="none" w:sz="0" w:space="0" w:color="auto"/>
                                    <w:bottom w:val="none" w:sz="0" w:space="0" w:color="auto"/>
                                    <w:right w:val="none" w:sz="0" w:space="0" w:color="auto"/>
                                  </w:divBdr>
                                  <w:divsChild>
                                    <w:div w:id="558637328">
                                      <w:marLeft w:val="0"/>
                                      <w:marRight w:val="0"/>
                                      <w:marTop w:val="0"/>
                                      <w:marBottom w:val="0"/>
                                      <w:divBdr>
                                        <w:top w:val="none" w:sz="0" w:space="0" w:color="auto"/>
                                        <w:left w:val="none" w:sz="0" w:space="0" w:color="auto"/>
                                        <w:bottom w:val="none" w:sz="0" w:space="0" w:color="auto"/>
                                        <w:right w:val="none" w:sz="0" w:space="0" w:color="auto"/>
                                      </w:divBdr>
                                      <w:divsChild>
                                        <w:div w:id="1296912220">
                                          <w:marLeft w:val="0"/>
                                          <w:marRight w:val="0"/>
                                          <w:marTop w:val="0"/>
                                          <w:marBottom w:val="0"/>
                                          <w:divBdr>
                                            <w:top w:val="none" w:sz="0" w:space="0" w:color="auto"/>
                                            <w:left w:val="none" w:sz="0" w:space="0" w:color="auto"/>
                                            <w:bottom w:val="none" w:sz="0" w:space="0" w:color="auto"/>
                                            <w:right w:val="none" w:sz="0" w:space="0" w:color="auto"/>
                                          </w:divBdr>
                                          <w:divsChild>
                                            <w:div w:id="929701702">
                                              <w:marLeft w:val="0"/>
                                              <w:marRight w:val="0"/>
                                              <w:marTop w:val="0"/>
                                              <w:marBottom w:val="0"/>
                                              <w:divBdr>
                                                <w:top w:val="none" w:sz="0" w:space="0" w:color="auto"/>
                                                <w:left w:val="none" w:sz="0" w:space="0" w:color="auto"/>
                                                <w:bottom w:val="none" w:sz="0" w:space="0" w:color="auto"/>
                                                <w:right w:val="none" w:sz="0" w:space="0" w:color="auto"/>
                                              </w:divBdr>
                                              <w:divsChild>
                                                <w:div w:id="14697485">
                                                  <w:marLeft w:val="0"/>
                                                  <w:marRight w:val="0"/>
                                                  <w:marTop w:val="0"/>
                                                  <w:marBottom w:val="0"/>
                                                  <w:divBdr>
                                                    <w:top w:val="none" w:sz="0" w:space="0" w:color="auto"/>
                                                    <w:left w:val="none" w:sz="0" w:space="0" w:color="auto"/>
                                                    <w:bottom w:val="none" w:sz="0" w:space="0" w:color="auto"/>
                                                    <w:right w:val="none" w:sz="0" w:space="0" w:color="auto"/>
                                                  </w:divBdr>
                                                  <w:divsChild>
                                                    <w:div w:id="1606768249">
                                                      <w:marLeft w:val="0"/>
                                                      <w:marRight w:val="0"/>
                                                      <w:marTop w:val="0"/>
                                                      <w:marBottom w:val="0"/>
                                                      <w:divBdr>
                                                        <w:top w:val="none" w:sz="0" w:space="0" w:color="auto"/>
                                                        <w:left w:val="none" w:sz="0" w:space="0" w:color="auto"/>
                                                        <w:bottom w:val="none" w:sz="0" w:space="0" w:color="auto"/>
                                                        <w:right w:val="none" w:sz="0" w:space="0" w:color="auto"/>
                                                      </w:divBdr>
                                                      <w:divsChild>
                                                        <w:div w:id="15650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2459239">
      <w:bodyDiv w:val="1"/>
      <w:marLeft w:val="0"/>
      <w:marRight w:val="0"/>
      <w:marTop w:val="0"/>
      <w:marBottom w:val="0"/>
      <w:divBdr>
        <w:top w:val="none" w:sz="0" w:space="0" w:color="auto"/>
        <w:left w:val="none" w:sz="0" w:space="0" w:color="auto"/>
        <w:bottom w:val="none" w:sz="0" w:space="0" w:color="auto"/>
        <w:right w:val="none" w:sz="0" w:space="0" w:color="auto"/>
      </w:divBdr>
      <w:divsChild>
        <w:div w:id="346757463">
          <w:marLeft w:val="0"/>
          <w:marRight w:val="0"/>
          <w:marTop w:val="0"/>
          <w:marBottom w:val="0"/>
          <w:divBdr>
            <w:top w:val="none" w:sz="0" w:space="0" w:color="auto"/>
            <w:left w:val="none" w:sz="0" w:space="0" w:color="auto"/>
            <w:bottom w:val="none" w:sz="0" w:space="0" w:color="auto"/>
            <w:right w:val="none" w:sz="0" w:space="0" w:color="auto"/>
          </w:divBdr>
          <w:divsChild>
            <w:div w:id="1465657014">
              <w:marLeft w:val="0"/>
              <w:marRight w:val="0"/>
              <w:marTop w:val="0"/>
              <w:marBottom w:val="0"/>
              <w:divBdr>
                <w:top w:val="none" w:sz="0" w:space="0" w:color="auto"/>
                <w:left w:val="none" w:sz="0" w:space="0" w:color="auto"/>
                <w:bottom w:val="none" w:sz="0" w:space="0" w:color="auto"/>
                <w:right w:val="none" w:sz="0" w:space="0" w:color="auto"/>
              </w:divBdr>
              <w:divsChild>
                <w:div w:id="129789482">
                  <w:marLeft w:val="0"/>
                  <w:marRight w:val="0"/>
                  <w:marTop w:val="0"/>
                  <w:marBottom w:val="0"/>
                  <w:divBdr>
                    <w:top w:val="none" w:sz="0" w:space="0" w:color="auto"/>
                    <w:left w:val="none" w:sz="0" w:space="0" w:color="auto"/>
                    <w:bottom w:val="none" w:sz="0" w:space="0" w:color="auto"/>
                    <w:right w:val="none" w:sz="0" w:space="0" w:color="auto"/>
                  </w:divBdr>
                  <w:divsChild>
                    <w:div w:id="624392691">
                      <w:marLeft w:val="0"/>
                      <w:marRight w:val="0"/>
                      <w:marTop w:val="0"/>
                      <w:marBottom w:val="0"/>
                      <w:divBdr>
                        <w:top w:val="none" w:sz="0" w:space="0" w:color="auto"/>
                        <w:left w:val="none" w:sz="0" w:space="0" w:color="auto"/>
                        <w:bottom w:val="none" w:sz="0" w:space="0" w:color="auto"/>
                        <w:right w:val="none" w:sz="0" w:space="0" w:color="auto"/>
                      </w:divBdr>
                      <w:divsChild>
                        <w:div w:id="143815602">
                          <w:marLeft w:val="0"/>
                          <w:marRight w:val="0"/>
                          <w:marTop w:val="0"/>
                          <w:marBottom w:val="0"/>
                          <w:divBdr>
                            <w:top w:val="none" w:sz="0" w:space="0" w:color="auto"/>
                            <w:left w:val="none" w:sz="0" w:space="0" w:color="auto"/>
                            <w:bottom w:val="none" w:sz="0" w:space="0" w:color="auto"/>
                            <w:right w:val="none" w:sz="0" w:space="0" w:color="auto"/>
                          </w:divBdr>
                          <w:divsChild>
                            <w:div w:id="847477021">
                              <w:marLeft w:val="0"/>
                              <w:marRight w:val="0"/>
                              <w:marTop w:val="0"/>
                              <w:marBottom w:val="0"/>
                              <w:divBdr>
                                <w:top w:val="none" w:sz="0" w:space="0" w:color="auto"/>
                                <w:left w:val="none" w:sz="0" w:space="0" w:color="auto"/>
                                <w:bottom w:val="none" w:sz="0" w:space="0" w:color="auto"/>
                                <w:right w:val="none" w:sz="0" w:space="0" w:color="auto"/>
                              </w:divBdr>
                              <w:divsChild>
                                <w:div w:id="1112867408">
                                  <w:marLeft w:val="0"/>
                                  <w:marRight w:val="0"/>
                                  <w:marTop w:val="0"/>
                                  <w:marBottom w:val="0"/>
                                  <w:divBdr>
                                    <w:top w:val="none" w:sz="0" w:space="0" w:color="auto"/>
                                    <w:left w:val="none" w:sz="0" w:space="0" w:color="auto"/>
                                    <w:bottom w:val="none" w:sz="0" w:space="0" w:color="auto"/>
                                    <w:right w:val="none" w:sz="0" w:space="0" w:color="auto"/>
                                  </w:divBdr>
                                  <w:divsChild>
                                    <w:div w:id="1370494038">
                                      <w:marLeft w:val="0"/>
                                      <w:marRight w:val="0"/>
                                      <w:marTop w:val="0"/>
                                      <w:marBottom w:val="0"/>
                                      <w:divBdr>
                                        <w:top w:val="none" w:sz="0" w:space="0" w:color="auto"/>
                                        <w:left w:val="none" w:sz="0" w:space="0" w:color="auto"/>
                                        <w:bottom w:val="none" w:sz="0" w:space="0" w:color="auto"/>
                                        <w:right w:val="none" w:sz="0" w:space="0" w:color="auto"/>
                                      </w:divBdr>
                                      <w:divsChild>
                                        <w:div w:id="1279798998">
                                          <w:marLeft w:val="0"/>
                                          <w:marRight w:val="0"/>
                                          <w:marTop w:val="0"/>
                                          <w:marBottom w:val="0"/>
                                          <w:divBdr>
                                            <w:top w:val="none" w:sz="0" w:space="0" w:color="auto"/>
                                            <w:left w:val="none" w:sz="0" w:space="0" w:color="auto"/>
                                            <w:bottom w:val="none" w:sz="0" w:space="0" w:color="auto"/>
                                            <w:right w:val="none" w:sz="0" w:space="0" w:color="auto"/>
                                          </w:divBdr>
                                          <w:divsChild>
                                            <w:div w:id="766728273">
                                              <w:marLeft w:val="0"/>
                                              <w:marRight w:val="0"/>
                                              <w:marTop w:val="0"/>
                                              <w:marBottom w:val="0"/>
                                              <w:divBdr>
                                                <w:top w:val="none" w:sz="0" w:space="0" w:color="auto"/>
                                                <w:left w:val="none" w:sz="0" w:space="0" w:color="auto"/>
                                                <w:bottom w:val="none" w:sz="0" w:space="0" w:color="auto"/>
                                                <w:right w:val="none" w:sz="0" w:space="0" w:color="auto"/>
                                              </w:divBdr>
                                              <w:divsChild>
                                                <w:div w:id="1857690010">
                                                  <w:marLeft w:val="0"/>
                                                  <w:marRight w:val="0"/>
                                                  <w:marTop w:val="0"/>
                                                  <w:marBottom w:val="0"/>
                                                  <w:divBdr>
                                                    <w:top w:val="none" w:sz="0" w:space="0" w:color="auto"/>
                                                    <w:left w:val="none" w:sz="0" w:space="0" w:color="auto"/>
                                                    <w:bottom w:val="none" w:sz="0" w:space="0" w:color="auto"/>
                                                    <w:right w:val="none" w:sz="0" w:space="0" w:color="auto"/>
                                                  </w:divBdr>
                                                  <w:divsChild>
                                                    <w:div w:id="1780833152">
                                                      <w:marLeft w:val="0"/>
                                                      <w:marRight w:val="0"/>
                                                      <w:marTop w:val="0"/>
                                                      <w:marBottom w:val="0"/>
                                                      <w:divBdr>
                                                        <w:top w:val="none" w:sz="0" w:space="0" w:color="auto"/>
                                                        <w:left w:val="none" w:sz="0" w:space="0" w:color="auto"/>
                                                        <w:bottom w:val="none" w:sz="0" w:space="0" w:color="auto"/>
                                                        <w:right w:val="none" w:sz="0" w:space="0" w:color="auto"/>
                                                      </w:divBdr>
                                                      <w:divsChild>
                                                        <w:div w:id="192803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07652944">
      <w:bodyDiv w:val="1"/>
      <w:marLeft w:val="0"/>
      <w:marRight w:val="0"/>
      <w:marTop w:val="0"/>
      <w:marBottom w:val="0"/>
      <w:divBdr>
        <w:top w:val="none" w:sz="0" w:space="0" w:color="auto"/>
        <w:left w:val="none" w:sz="0" w:space="0" w:color="auto"/>
        <w:bottom w:val="none" w:sz="0" w:space="0" w:color="auto"/>
        <w:right w:val="none" w:sz="0" w:space="0" w:color="auto"/>
      </w:divBdr>
      <w:divsChild>
        <w:div w:id="1146318807">
          <w:marLeft w:val="0"/>
          <w:marRight w:val="0"/>
          <w:marTop w:val="0"/>
          <w:marBottom w:val="0"/>
          <w:divBdr>
            <w:top w:val="none" w:sz="0" w:space="0" w:color="auto"/>
            <w:left w:val="none" w:sz="0" w:space="0" w:color="auto"/>
            <w:bottom w:val="none" w:sz="0" w:space="0" w:color="auto"/>
            <w:right w:val="none" w:sz="0" w:space="0" w:color="auto"/>
          </w:divBdr>
          <w:divsChild>
            <w:div w:id="934752988">
              <w:marLeft w:val="0"/>
              <w:marRight w:val="0"/>
              <w:marTop w:val="0"/>
              <w:marBottom w:val="0"/>
              <w:divBdr>
                <w:top w:val="none" w:sz="0" w:space="0" w:color="auto"/>
                <w:left w:val="none" w:sz="0" w:space="0" w:color="auto"/>
                <w:bottom w:val="none" w:sz="0" w:space="0" w:color="auto"/>
                <w:right w:val="none" w:sz="0" w:space="0" w:color="auto"/>
              </w:divBdr>
              <w:divsChild>
                <w:div w:id="960454661">
                  <w:marLeft w:val="0"/>
                  <w:marRight w:val="0"/>
                  <w:marTop w:val="0"/>
                  <w:marBottom w:val="0"/>
                  <w:divBdr>
                    <w:top w:val="none" w:sz="0" w:space="0" w:color="auto"/>
                    <w:left w:val="none" w:sz="0" w:space="0" w:color="auto"/>
                    <w:bottom w:val="none" w:sz="0" w:space="0" w:color="auto"/>
                    <w:right w:val="none" w:sz="0" w:space="0" w:color="auto"/>
                  </w:divBdr>
                  <w:divsChild>
                    <w:div w:id="616916307">
                      <w:marLeft w:val="0"/>
                      <w:marRight w:val="0"/>
                      <w:marTop w:val="0"/>
                      <w:marBottom w:val="0"/>
                      <w:divBdr>
                        <w:top w:val="none" w:sz="0" w:space="0" w:color="auto"/>
                        <w:left w:val="none" w:sz="0" w:space="0" w:color="auto"/>
                        <w:bottom w:val="none" w:sz="0" w:space="0" w:color="auto"/>
                        <w:right w:val="none" w:sz="0" w:space="0" w:color="auto"/>
                      </w:divBdr>
                      <w:divsChild>
                        <w:div w:id="1437747656">
                          <w:marLeft w:val="0"/>
                          <w:marRight w:val="0"/>
                          <w:marTop w:val="0"/>
                          <w:marBottom w:val="0"/>
                          <w:divBdr>
                            <w:top w:val="none" w:sz="0" w:space="0" w:color="auto"/>
                            <w:left w:val="none" w:sz="0" w:space="0" w:color="auto"/>
                            <w:bottom w:val="none" w:sz="0" w:space="0" w:color="auto"/>
                            <w:right w:val="none" w:sz="0" w:space="0" w:color="auto"/>
                          </w:divBdr>
                          <w:divsChild>
                            <w:div w:id="1313757606">
                              <w:marLeft w:val="0"/>
                              <w:marRight w:val="0"/>
                              <w:marTop w:val="0"/>
                              <w:marBottom w:val="0"/>
                              <w:divBdr>
                                <w:top w:val="none" w:sz="0" w:space="0" w:color="auto"/>
                                <w:left w:val="none" w:sz="0" w:space="0" w:color="auto"/>
                                <w:bottom w:val="none" w:sz="0" w:space="0" w:color="auto"/>
                                <w:right w:val="none" w:sz="0" w:space="0" w:color="auto"/>
                              </w:divBdr>
                              <w:divsChild>
                                <w:div w:id="1148285735">
                                  <w:marLeft w:val="0"/>
                                  <w:marRight w:val="0"/>
                                  <w:marTop w:val="0"/>
                                  <w:marBottom w:val="0"/>
                                  <w:divBdr>
                                    <w:top w:val="none" w:sz="0" w:space="0" w:color="auto"/>
                                    <w:left w:val="none" w:sz="0" w:space="0" w:color="auto"/>
                                    <w:bottom w:val="none" w:sz="0" w:space="0" w:color="auto"/>
                                    <w:right w:val="none" w:sz="0" w:space="0" w:color="auto"/>
                                  </w:divBdr>
                                  <w:divsChild>
                                    <w:div w:id="1105424444">
                                      <w:marLeft w:val="0"/>
                                      <w:marRight w:val="0"/>
                                      <w:marTop w:val="0"/>
                                      <w:marBottom w:val="0"/>
                                      <w:divBdr>
                                        <w:top w:val="none" w:sz="0" w:space="0" w:color="auto"/>
                                        <w:left w:val="none" w:sz="0" w:space="0" w:color="auto"/>
                                        <w:bottom w:val="none" w:sz="0" w:space="0" w:color="auto"/>
                                        <w:right w:val="none" w:sz="0" w:space="0" w:color="auto"/>
                                      </w:divBdr>
                                      <w:divsChild>
                                        <w:div w:id="450824715">
                                          <w:marLeft w:val="0"/>
                                          <w:marRight w:val="0"/>
                                          <w:marTop w:val="0"/>
                                          <w:marBottom w:val="0"/>
                                          <w:divBdr>
                                            <w:top w:val="none" w:sz="0" w:space="0" w:color="auto"/>
                                            <w:left w:val="none" w:sz="0" w:space="0" w:color="auto"/>
                                            <w:bottom w:val="none" w:sz="0" w:space="0" w:color="auto"/>
                                            <w:right w:val="none" w:sz="0" w:space="0" w:color="auto"/>
                                          </w:divBdr>
                                          <w:divsChild>
                                            <w:div w:id="761342039">
                                              <w:marLeft w:val="0"/>
                                              <w:marRight w:val="0"/>
                                              <w:marTop w:val="0"/>
                                              <w:marBottom w:val="0"/>
                                              <w:divBdr>
                                                <w:top w:val="none" w:sz="0" w:space="0" w:color="auto"/>
                                                <w:left w:val="none" w:sz="0" w:space="0" w:color="auto"/>
                                                <w:bottom w:val="none" w:sz="0" w:space="0" w:color="auto"/>
                                                <w:right w:val="none" w:sz="0" w:space="0" w:color="auto"/>
                                              </w:divBdr>
                                              <w:divsChild>
                                                <w:div w:id="826046150">
                                                  <w:marLeft w:val="0"/>
                                                  <w:marRight w:val="0"/>
                                                  <w:marTop w:val="0"/>
                                                  <w:marBottom w:val="0"/>
                                                  <w:divBdr>
                                                    <w:top w:val="none" w:sz="0" w:space="0" w:color="auto"/>
                                                    <w:left w:val="none" w:sz="0" w:space="0" w:color="auto"/>
                                                    <w:bottom w:val="none" w:sz="0" w:space="0" w:color="auto"/>
                                                    <w:right w:val="none" w:sz="0" w:space="0" w:color="auto"/>
                                                  </w:divBdr>
                                                  <w:divsChild>
                                                    <w:div w:id="373703439">
                                                      <w:marLeft w:val="0"/>
                                                      <w:marRight w:val="0"/>
                                                      <w:marTop w:val="0"/>
                                                      <w:marBottom w:val="0"/>
                                                      <w:divBdr>
                                                        <w:top w:val="none" w:sz="0" w:space="0" w:color="auto"/>
                                                        <w:left w:val="none" w:sz="0" w:space="0" w:color="auto"/>
                                                        <w:bottom w:val="none" w:sz="0" w:space="0" w:color="auto"/>
                                                        <w:right w:val="none" w:sz="0" w:space="0" w:color="auto"/>
                                                      </w:divBdr>
                                                      <w:divsChild>
                                                        <w:div w:id="70760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1921136">
      <w:bodyDiv w:val="1"/>
      <w:marLeft w:val="0"/>
      <w:marRight w:val="0"/>
      <w:marTop w:val="0"/>
      <w:marBottom w:val="0"/>
      <w:divBdr>
        <w:top w:val="none" w:sz="0" w:space="0" w:color="auto"/>
        <w:left w:val="none" w:sz="0" w:space="0" w:color="auto"/>
        <w:bottom w:val="none" w:sz="0" w:space="0" w:color="auto"/>
        <w:right w:val="none" w:sz="0" w:space="0" w:color="auto"/>
      </w:divBdr>
      <w:divsChild>
        <w:div w:id="541597944">
          <w:marLeft w:val="0"/>
          <w:marRight w:val="0"/>
          <w:marTop w:val="0"/>
          <w:marBottom w:val="0"/>
          <w:divBdr>
            <w:top w:val="none" w:sz="0" w:space="0" w:color="auto"/>
            <w:left w:val="none" w:sz="0" w:space="0" w:color="auto"/>
            <w:bottom w:val="none" w:sz="0" w:space="0" w:color="auto"/>
            <w:right w:val="none" w:sz="0" w:space="0" w:color="auto"/>
          </w:divBdr>
          <w:divsChild>
            <w:div w:id="1744911191">
              <w:marLeft w:val="0"/>
              <w:marRight w:val="0"/>
              <w:marTop w:val="0"/>
              <w:marBottom w:val="0"/>
              <w:divBdr>
                <w:top w:val="none" w:sz="0" w:space="0" w:color="auto"/>
                <w:left w:val="none" w:sz="0" w:space="0" w:color="auto"/>
                <w:bottom w:val="none" w:sz="0" w:space="0" w:color="auto"/>
                <w:right w:val="none" w:sz="0" w:space="0" w:color="auto"/>
              </w:divBdr>
              <w:divsChild>
                <w:div w:id="2010519736">
                  <w:marLeft w:val="0"/>
                  <w:marRight w:val="0"/>
                  <w:marTop w:val="0"/>
                  <w:marBottom w:val="0"/>
                  <w:divBdr>
                    <w:top w:val="none" w:sz="0" w:space="0" w:color="auto"/>
                    <w:left w:val="none" w:sz="0" w:space="0" w:color="auto"/>
                    <w:bottom w:val="none" w:sz="0" w:space="0" w:color="auto"/>
                    <w:right w:val="none" w:sz="0" w:space="0" w:color="auto"/>
                  </w:divBdr>
                  <w:divsChild>
                    <w:div w:id="268583176">
                      <w:marLeft w:val="0"/>
                      <w:marRight w:val="0"/>
                      <w:marTop w:val="0"/>
                      <w:marBottom w:val="0"/>
                      <w:divBdr>
                        <w:top w:val="none" w:sz="0" w:space="0" w:color="auto"/>
                        <w:left w:val="none" w:sz="0" w:space="0" w:color="auto"/>
                        <w:bottom w:val="none" w:sz="0" w:space="0" w:color="auto"/>
                        <w:right w:val="none" w:sz="0" w:space="0" w:color="auto"/>
                      </w:divBdr>
                      <w:divsChild>
                        <w:div w:id="2032684004">
                          <w:marLeft w:val="0"/>
                          <w:marRight w:val="0"/>
                          <w:marTop w:val="0"/>
                          <w:marBottom w:val="0"/>
                          <w:divBdr>
                            <w:top w:val="none" w:sz="0" w:space="0" w:color="auto"/>
                            <w:left w:val="none" w:sz="0" w:space="0" w:color="auto"/>
                            <w:bottom w:val="none" w:sz="0" w:space="0" w:color="auto"/>
                            <w:right w:val="none" w:sz="0" w:space="0" w:color="auto"/>
                          </w:divBdr>
                          <w:divsChild>
                            <w:div w:id="2001805627">
                              <w:marLeft w:val="0"/>
                              <w:marRight w:val="0"/>
                              <w:marTop w:val="0"/>
                              <w:marBottom w:val="0"/>
                              <w:divBdr>
                                <w:top w:val="none" w:sz="0" w:space="0" w:color="auto"/>
                                <w:left w:val="none" w:sz="0" w:space="0" w:color="auto"/>
                                <w:bottom w:val="none" w:sz="0" w:space="0" w:color="auto"/>
                                <w:right w:val="none" w:sz="0" w:space="0" w:color="auto"/>
                              </w:divBdr>
                              <w:divsChild>
                                <w:div w:id="2101635292">
                                  <w:marLeft w:val="0"/>
                                  <w:marRight w:val="0"/>
                                  <w:marTop w:val="0"/>
                                  <w:marBottom w:val="0"/>
                                  <w:divBdr>
                                    <w:top w:val="none" w:sz="0" w:space="0" w:color="auto"/>
                                    <w:left w:val="none" w:sz="0" w:space="0" w:color="auto"/>
                                    <w:bottom w:val="none" w:sz="0" w:space="0" w:color="auto"/>
                                    <w:right w:val="none" w:sz="0" w:space="0" w:color="auto"/>
                                  </w:divBdr>
                                  <w:divsChild>
                                    <w:div w:id="26764271">
                                      <w:marLeft w:val="0"/>
                                      <w:marRight w:val="0"/>
                                      <w:marTop w:val="0"/>
                                      <w:marBottom w:val="0"/>
                                      <w:divBdr>
                                        <w:top w:val="none" w:sz="0" w:space="0" w:color="auto"/>
                                        <w:left w:val="none" w:sz="0" w:space="0" w:color="auto"/>
                                        <w:bottom w:val="none" w:sz="0" w:space="0" w:color="auto"/>
                                        <w:right w:val="none" w:sz="0" w:space="0" w:color="auto"/>
                                      </w:divBdr>
                                      <w:divsChild>
                                        <w:div w:id="1942445329">
                                          <w:marLeft w:val="0"/>
                                          <w:marRight w:val="0"/>
                                          <w:marTop w:val="0"/>
                                          <w:marBottom w:val="0"/>
                                          <w:divBdr>
                                            <w:top w:val="none" w:sz="0" w:space="0" w:color="auto"/>
                                            <w:left w:val="none" w:sz="0" w:space="0" w:color="auto"/>
                                            <w:bottom w:val="none" w:sz="0" w:space="0" w:color="auto"/>
                                            <w:right w:val="none" w:sz="0" w:space="0" w:color="auto"/>
                                          </w:divBdr>
                                          <w:divsChild>
                                            <w:div w:id="23943194">
                                              <w:marLeft w:val="0"/>
                                              <w:marRight w:val="0"/>
                                              <w:marTop w:val="0"/>
                                              <w:marBottom w:val="0"/>
                                              <w:divBdr>
                                                <w:top w:val="none" w:sz="0" w:space="0" w:color="auto"/>
                                                <w:left w:val="none" w:sz="0" w:space="0" w:color="auto"/>
                                                <w:bottom w:val="none" w:sz="0" w:space="0" w:color="auto"/>
                                                <w:right w:val="none" w:sz="0" w:space="0" w:color="auto"/>
                                              </w:divBdr>
                                              <w:divsChild>
                                                <w:div w:id="159808494">
                                                  <w:marLeft w:val="0"/>
                                                  <w:marRight w:val="0"/>
                                                  <w:marTop w:val="0"/>
                                                  <w:marBottom w:val="0"/>
                                                  <w:divBdr>
                                                    <w:top w:val="none" w:sz="0" w:space="0" w:color="auto"/>
                                                    <w:left w:val="none" w:sz="0" w:space="0" w:color="auto"/>
                                                    <w:bottom w:val="none" w:sz="0" w:space="0" w:color="auto"/>
                                                    <w:right w:val="none" w:sz="0" w:space="0" w:color="auto"/>
                                                  </w:divBdr>
                                                  <w:divsChild>
                                                    <w:div w:id="406533094">
                                                      <w:marLeft w:val="0"/>
                                                      <w:marRight w:val="0"/>
                                                      <w:marTop w:val="0"/>
                                                      <w:marBottom w:val="0"/>
                                                      <w:divBdr>
                                                        <w:top w:val="none" w:sz="0" w:space="0" w:color="auto"/>
                                                        <w:left w:val="none" w:sz="0" w:space="0" w:color="auto"/>
                                                        <w:bottom w:val="none" w:sz="0" w:space="0" w:color="auto"/>
                                                        <w:right w:val="none" w:sz="0" w:space="0" w:color="auto"/>
                                                      </w:divBdr>
                                                      <w:divsChild>
                                                        <w:div w:id="116505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1446559">
      <w:bodyDiv w:val="1"/>
      <w:marLeft w:val="0"/>
      <w:marRight w:val="0"/>
      <w:marTop w:val="0"/>
      <w:marBottom w:val="0"/>
      <w:divBdr>
        <w:top w:val="none" w:sz="0" w:space="0" w:color="auto"/>
        <w:left w:val="none" w:sz="0" w:space="0" w:color="auto"/>
        <w:bottom w:val="none" w:sz="0" w:space="0" w:color="auto"/>
        <w:right w:val="none" w:sz="0" w:space="0" w:color="auto"/>
      </w:divBdr>
      <w:divsChild>
        <w:div w:id="245039620">
          <w:marLeft w:val="0"/>
          <w:marRight w:val="0"/>
          <w:marTop w:val="0"/>
          <w:marBottom w:val="0"/>
          <w:divBdr>
            <w:top w:val="none" w:sz="0" w:space="0" w:color="auto"/>
            <w:left w:val="none" w:sz="0" w:space="0" w:color="auto"/>
            <w:bottom w:val="none" w:sz="0" w:space="0" w:color="auto"/>
            <w:right w:val="none" w:sz="0" w:space="0" w:color="auto"/>
          </w:divBdr>
          <w:divsChild>
            <w:div w:id="1646741022">
              <w:marLeft w:val="0"/>
              <w:marRight w:val="0"/>
              <w:marTop w:val="0"/>
              <w:marBottom w:val="0"/>
              <w:divBdr>
                <w:top w:val="none" w:sz="0" w:space="0" w:color="auto"/>
                <w:left w:val="none" w:sz="0" w:space="0" w:color="auto"/>
                <w:bottom w:val="none" w:sz="0" w:space="0" w:color="auto"/>
                <w:right w:val="none" w:sz="0" w:space="0" w:color="auto"/>
              </w:divBdr>
              <w:divsChild>
                <w:div w:id="1885406384">
                  <w:marLeft w:val="0"/>
                  <w:marRight w:val="0"/>
                  <w:marTop w:val="0"/>
                  <w:marBottom w:val="0"/>
                  <w:divBdr>
                    <w:top w:val="none" w:sz="0" w:space="0" w:color="auto"/>
                    <w:left w:val="none" w:sz="0" w:space="0" w:color="auto"/>
                    <w:bottom w:val="none" w:sz="0" w:space="0" w:color="auto"/>
                    <w:right w:val="none" w:sz="0" w:space="0" w:color="auto"/>
                  </w:divBdr>
                  <w:divsChild>
                    <w:div w:id="1643466927">
                      <w:marLeft w:val="0"/>
                      <w:marRight w:val="0"/>
                      <w:marTop w:val="0"/>
                      <w:marBottom w:val="0"/>
                      <w:divBdr>
                        <w:top w:val="none" w:sz="0" w:space="0" w:color="auto"/>
                        <w:left w:val="none" w:sz="0" w:space="0" w:color="auto"/>
                        <w:bottom w:val="none" w:sz="0" w:space="0" w:color="auto"/>
                        <w:right w:val="none" w:sz="0" w:space="0" w:color="auto"/>
                      </w:divBdr>
                      <w:divsChild>
                        <w:div w:id="1838693296">
                          <w:marLeft w:val="0"/>
                          <w:marRight w:val="0"/>
                          <w:marTop w:val="0"/>
                          <w:marBottom w:val="0"/>
                          <w:divBdr>
                            <w:top w:val="none" w:sz="0" w:space="0" w:color="auto"/>
                            <w:left w:val="none" w:sz="0" w:space="0" w:color="auto"/>
                            <w:bottom w:val="none" w:sz="0" w:space="0" w:color="auto"/>
                            <w:right w:val="none" w:sz="0" w:space="0" w:color="auto"/>
                          </w:divBdr>
                          <w:divsChild>
                            <w:div w:id="2124226141">
                              <w:marLeft w:val="0"/>
                              <w:marRight w:val="0"/>
                              <w:marTop w:val="0"/>
                              <w:marBottom w:val="0"/>
                              <w:divBdr>
                                <w:top w:val="none" w:sz="0" w:space="0" w:color="auto"/>
                                <w:left w:val="none" w:sz="0" w:space="0" w:color="auto"/>
                                <w:bottom w:val="none" w:sz="0" w:space="0" w:color="auto"/>
                                <w:right w:val="none" w:sz="0" w:space="0" w:color="auto"/>
                              </w:divBdr>
                              <w:divsChild>
                                <w:div w:id="1927373477">
                                  <w:marLeft w:val="0"/>
                                  <w:marRight w:val="0"/>
                                  <w:marTop w:val="0"/>
                                  <w:marBottom w:val="0"/>
                                  <w:divBdr>
                                    <w:top w:val="none" w:sz="0" w:space="0" w:color="auto"/>
                                    <w:left w:val="none" w:sz="0" w:space="0" w:color="auto"/>
                                    <w:bottom w:val="none" w:sz="0" w:space="0" w:color="auto"/>
                                    <w:right w:val="none" w:sz="0" w:space="0" w:color="auto"/>
                                  </w:divBdr>
                                  <w:divsChild>
                                    <w:div w:id="256836534">
                                      <w:marLeft w:val="0"/>
                                      <w:marRight w:val="0"/>
                                      <w:marTop w:val="0"/>
                                      <w:marBottom w:val="0"/>
                                      <w:divBdr>
                                        <w:top w:val="none" w:sz="0" w:space="0" w:color="auto"/>
                                        <w:left w:val="none" w:sz="0" w:space="0" w:color="auto"/>
                                        <w:bottom w:val="none" w:sz="0" w:space="0" w:color="auto"/>
                                        <w:right w:val="none" w:sz="0" w:space="0" w:color="auto"/>
                                      </w:divBdr>
                                      <w:divsChild>
                                        <w:div w:id="209920046">
                                          <w:marLeft w:val="0"/>
                                          <w:marRight w:val="0"/>
                                          <w:marTop w:val="0"/>
                                          <w:marBottom w:val="0"/>
                                          <w:divBdr>
                                            <w:top w:val="none" w:sz="0" w:space="0" w:color="auto"/>
                                            <w:left w:val="none" w:sz="0" w:space="0" w:color="auto"/>
                                            <w:bottom w:val="none" w:sz="0" w:space="0" w:color="auto"/>
                                            <w:right w:val="none" w:sz="0" w:space="0" w:color="auto"/>
                                          </w:divBdr>
                                          <w:divsChild>
                                            <w:div w:id="1146508764">
                                              <w:marLeft w:val="0"/>
                                              <w:marRight w:val="0"/>
                                              <w:marTop w:val="0"/>
                                              <w:marBottom w:val="0"/>
                                              <w:divBdr>
                                                <w:top w:val="none" w:sz="0" w:space="0" w:color="auto"/>
                                                <w:left w:val="none" w:sz="0" w:space="0" w:color="auto"/>
                                                <w:bottom w:val="none" w:sz="0" w:space="0" w:color="auto"/>
                                                <w:right w:val="none" w:sz="0" w:space="0" w:color="auto"/>
                                              </w:divBdr>
                                              <w:divsChild>
                                                <w:div w:id="977685484">
                                                  <w:marLeft w:val="0"/>
                                                  <w:marRight w:val="0"/>
                                                  <w:marTop w:val="0"/>
                                                  <w:marBottom w:val="0"/>
                                                  <w:divBdr>
                                                    <w:top w:val="none" w:sz="0" w:space="0" w:color="auto"/>
                                                    <w:left w:val="none" w:sz="0" w:space="0" w:color="auto"/>
                                                    <w:bottom w:val="none" w:sz="0" w:space="0" w:color="auto"/>
                                                    <w:right w:val="none" w:sz="0" w:space="0" w:color="auto"/>
                                                  </w:divBdr>
                                                  <w:divsChild>
                                                    <w:div w:id="1799101810">
                                                      <w:marLeft w:val="0"/>
                                                      <w:marRight w:val="0"/>
                                                      <w:marTop w:val="0"/>
                                                      <w:marBottom w:val="0"/>
                                                      <w:divBdr>
                                                        <w:top w:val="none" w:sz="0" w:space="0" w:color="auto"/>
                                                        <w:left w:val="none" w:sz="0" w:space="0" w:color="auto"/>
                                                        <w:bottom w:val="none" w:sz="0" w:space="0" w:color="auto"/>
                                                        <w:right w:val="none" w:sz="0" w:space="0" w:color="auto"/>
                                                      </w:divBdr>
                                                      <w:divsChild>
                                                        <w:div w:id="166292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8991936">
      <w:bodyDiv w:val="1"/>
      <w:marLeft w:val="0"/>
      <w:marRight w:val="0"/>
      <w:marTop w:val="0"/>
      <w:marBottom w:val="0"/>
      <w:divBdr>
        <w:top w:val="none" w:sz="0" w:space="0" w:color="auto"/>
        <w:left w:val="none" w:sz="0" w:space="0" w:color="auto"/>
        <w:bottom w:val="none" w:sz="0" w:space="0" w:color="auto"/>
        <w:right w:val="none" w:sz="0" w:space="0" w:color="auto"/>
      </w:divBdr>
      <w:divsChild>
        <w:div w:id="1298493714">
          <w:marLeft w:val="0"/>
          <w:marRight w:val="0"/>
          <w:marTop w:val="0"/>
          <w:marBottom w:val="0"/>
          <w:divBdr>
            <w:top w:val="none" w:sz="0" w:space="0" w:color="auto"/>
            <w:left w:val="none" w:sz="0" w:space="0" w:color="auto"/>
            <w:bottom w:val="none" w:sz="0" w:space="0" w:color="auto"/>
            <w:right w:val="none" w:sz="0" w:space="0" w:color="auto"/>
          </w:divBdr>
          <w:divsChild>
            <w:div w:id="605819497">
              <w:marLeft w:val="0"/>
              <w:marRight w:val="0"/>
              <w:marTop w:val="0"/>
              <w:marBottom w:val="0"/>
              <w:divBdr>
                <w:top w:val="none" w:sz="0" w:space="0" w:color="auto"/>
                <w:left w:val="none" w:sz="0" w:space="0" w:color="auto"/>
                <w:bottom w:val="none" w:sz="0" w:space="0" w:color="auto"/>
                <w:right w:val="none" w:sz="0" w:space="0" w:color="auto"/>
              </w:divBdr>
              <w:divsChild>
                <w:div w:id="1628512419">
                  <w:marLeft w:val="0"/>
                  <w:marRight w:val="0"/>
                  <w:marTop w:val="0"/>
                  <w:marBottom w:val="0"/>
                  <w:divBdr>
                    <w:top w:val="none" w:sz="0" w:space="0" w:color="auto"/>
                    <w:left w:val="none" w:sz="0" w:space="0" w:color="auto"/>
                    <w:bottom w:val="none" w:sz="0" w:space="0" w:color="auto"/>
                    <w:right w:val="none" w:sz="0" w:space="0" w:color="auto"/>
                  </w:divBdr>
                  <w:divsChild>
                    <w:div w:id="15355281">
                      <w:marLeft w:val="0"/>
                      <w:marRight w:val="0"/>
                      <w:marTop w:val="0"/>
                      <w:marBottom w:val="0"/>
                      <w:divBdr>
                        <w:top w:val="none" w:sz="0" w:space="0" w:color="auto"/>
                        <w:left w:val="none" w:sz="0" w:space="0" w:color="auto"/>
                        <w:bottom w:val="none" w:sz="0" w:space="0" w:color="auto"/>
                        <w:right w:val="none" w:sz="0" w:space="0" w:color="auto"/>
                      </w:divBdr>
                      <w:divsChild>
                        <w:div w:id="894975657">
                          <w:marLeft w:val="0"/>
                          <w:marRight w:val="0"/>
                          <w:marTop w:val="0"/>
                          <w:marBottom w:val="0"/>
                          <w:divBdr>
                            <w:top w:val="none" w:sz="0" w:space="0" w:color="auto"/>
                            <w:left w:val="none" w:sz="0" w:space="0" w:color="auto"/>
                            <w:bottom w:val="none" w:sz="0" w:space="0" w:color="auto"/>
                            <w:right w:val="none" w:sz="0" w:space="0" w:color="auto"/>
                          </w:divBdr>
                          <w:divsChild>
                            <w:div w:id="962539535">
                              <w:marLeft w:val="0"/>
                              <w:marRight w:val="0"/>
                              <w:marTop w:val="0"/>
                              <w:marBottom w:val="0"/>
                              <w:divBdr>
                                <w:top w:val="none" w:sz="0" w:space="0" w:color="auto"/>
                                <w:left w:val="none" w:sz="0" w:space="0" w:color="auto"/>
                                <w:bottom w:val="none" w:sz="0" w:space="0" w:color="auto"/>
                                <w:right w:val="none" w:sz="0" w:space="0" w:color="auto"/>
                              </w:divBdr>
                              <w:divsChild>
                                <w:div w:id="1033845852">
                                  <w:marLeft w:val="0"/>
                                  <w:marRight w:val="0"/>
                                  <w:marTop w:val="0"/>
                                  <w:marBottom w:val="0"/>
                                  <w:divBdr>
                                    <w:top w:val="none" w:sz="0" w:space="0" w:color="auto"/>
                                    <w:left w:val="none" w:sz="0" w:space="0" w:color="auto"/>
                                    <w:bottom w:val="none" w:sz="0" w:space="0" w:color="auto"/>
                                    <w:right w:val="none" w:sz="0" w:space="0" w:color="auto"/>
                                  </w:divBdr>
                                  <w:divsChild>
                                    <w:div w:id="1980914432">
                                      <w:marLeft w:val="0"/>
                                      <w:marRight w:val="0"/>
                                      <w:marTop w:val="0"/>
                                      <w:marBottom w:val="0"/>
                                      <w:divBdr>
                                        <w:top w:val="none" w:sz="0" w:space="0" w:color="auto"/>
                                        <w:left w:val="none" w:sz="0" w:space="0" w:color="auto"/>
                                        <w:bottom w:val="none" w:sz="0" w:space="0" w:color="auto"/>
                                        <w:right w:val="none" w:sz="0" w:space="0" w:color="auto"/>
                                      </w:divBdr>
                                      <w:divsChild>
                                        <w:div w:id="2084182528">
                                          <w:marLeft w:val="0"/>
                                          <w:marRight w:val="0"/>
                                          <w:marTop w:val="0"/>
                                          <w:marBottom w:val="0"/>
                                          <w:divBdr>
                                            <w:top w:val="none" w:sz="0" w:space="0" w:color="auto"/>
                                            <w:left w:val="none" w:sz="0" w:space="0" w:color="auto"/>
                                            <w:bottom w:val="none" w:sz="0" w:space="0" w:color="auto"/>
                                            <w:right w:val="none" w:sz="0" w:space="0" w:color="auto"/>
                                          </w:divBdr>
                                          <w:divsChild>
                                            <w:div w:id="396784288">
                                              <w:marLeft w:val="0"/>
                                              <w:marRight w:val="0"/>
                                              <w:marTop w:val="0"/>
                                              <w:marBottom w:val="0"/>
                                              <w:divBdr>
                                                <w:top w:val="none" w:sz="0" w:space="0" w:color="auto"/>
                                                <w:left w:val="none" w:sz="0" w:space="0" w:color="auto"/>
                                                <w:bottom w:val="none" w:sz="0" w:space="0" w:color="auto"/>
                                                <w:right w:val="none" w:sz="0" w:space="0" w:color="auto"/>
                                              </w:divBdr>
                                              <w:divsChild>
                                                <w:div w:id="587154818">
                                                  <w:marLeft w:val="0"/>
                                                  <w:marRight w:val="0"/>
                                                  <w:marTop w:val="0"/>
                                                  <w:marBottom w:val="0"/>
                                                  <w:divBdr>
                                                    <w:top w:val="none" w:sz="0" w:space="0" w:color="auto"/>
                                                    <w:left w:val="none" w:sz="0" w:space="0" w:color="auto"/>
                                                    <w:bottom w:val="none" w:sz="0" w:space="0" w:color="auto"/>
                                                    <w:right w:val="none" w:sz="0" w:space="0" w:color="auto"/>
                                                  </w:divBdr>
                                                  <w:divsChild>
                                                    <w:div w:id="1150831625">
                                                      <w:marLeft w:val="0"/>
                                                      <w:marRight w:val="0"/>
                                                      <w:marTop w:val="0"/>
                                                      <w:marBottom w:val="0"/>
                                                      <w:divBdr>
                                                        <w:top w:val="none" w:sz="0" w:space="0" w:color="auto"/>
                                                        <w:left w:val="none" w:sz="0" w:space="0" w:color="auto"/>
                                                        <w:bottom w:val="none" w:sz="0" w:space="0" w:color="auto"/>
                                                        <w:right w:val="none" w:sz="0" w:space="0" w:color="auto"/>
                                                      </w:divBdr>
                                                      <w:divsChild>
                                                        <w:div w:id="4727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4721592">
      <w:bodyDiv w:val="1"/>
      <w:marLeft w:val="0"/>
      <w:marRight w:val="0"/>
      <w:marTop w:val="0"/>
      <w:marBottom w:val="0"/>
      <w:divBdr>
        <w:top w:val="none" w:sz="0" w:space="0" w:color="auto"/>
        <w:left w:val="none" w:sz="0" w:space="0" w:color="auto"/>
        <w:bottom w:val="none" w:sz="0" w:space="0" w:color="auto"/>
        <w:right w:val="none" w:sz="0" w:space="0" w:color="auto"/>
      </w:divBdr>
    </w:div>
    <w:div w:id="2046981791">
      <w:bodyDiv w:val="1"/>
      <w:marLeft w:val="0"/>
      <w:marRight w:val="0"/>
      <w:marTop w:val="0"/>
      <w:marBottom w:val="0"/>
      <w:divBdr>
        <w:top w:val="none" w:sz="0" w:space="0" w:color="auto"/>
        <w:left w:val="none" w:sz="0" w:space="0" w:color="auto"/>
        <w:bottom w:val="none" w:sz="0" w:space="0" w:color="auto"/>
        <w:right w:val="none" w:sz="0" w:space="0" w:color="auto"/>
      </w:divBdr>
      <w:divsChild>
        <w:div w:id="770855027">
          <w:marLeft w:val="0"/>
          <w:marRight w:val="0"/>
          <w:marTop w:val="0"/>
          <w:marBottom w:val="0"/>
          <w:divBdr>
            <w:top w:val="none" w:sz="0" w:space="0" w:color="auto"/>
            <w:left w:val="none" w:sz="0" w:space="0" w:color="auto"/>
            <w:bottom w:val="none" w:sz="0" w:space="0" w:color="auto"/>
            <w:right w:val="none" w:sz="0" w:space="0" w:color="auto"/>
          </w:divBdr>
          <w:divsChild>
            <w:div w:id="1973705689">
              <w:marLeft w:val="0"/>
              <w:marRight w:val="0"/>
              <w:marTop w:val="0"/>
              <w:marBottom w:val="0"/>
              <w:divBdr>
                <w:top w:val="none" w:sz="0" w:space="0" w:color="auto"/>
                <w:left w:val="none" w:sz="0" w:space="0" w:color="auto"/>
                <w:bottom w:val="none" w:sz="0" w:space="0" w:color="auto"/>
                <w:right w:val="none" w:sz="0" w:space="0" w:color="auto"/>
              </w:divBdr>
              <w:divsChild>
                <w:div w:id="195386444">
                  <w:marLeft w:val="0"/>
                  <w:marRight w:val="0"/>
                  <w:marTop w:val="0"/>
                  <w:marBottom w:val="0"/>
                  <w:divBdr>
                    <w:top w:val="none" w:sz="0" w:space="0" w:color="auto"/>
                    <w:left w:val="none" w:sz="0" w:space="0" w:color="auto"/>
                    <w:bottom w:val="none" w:sz="0" w:space="0" w:color="auto"/>
                    <w:right w:val="none" w:sz="0" w:space="0" w:color="auto"/>
                  </w:divBdr>
                  <w:divsChild>
                    <w:div w:id="1051344333">
                      <w:marLeft w:val="0"/>
                      <w:marRight w:val="0"/>
                      <w:marTop w:val="0"/>
                      <w:marBottom w:val="0"/>
                      <w:divBdr>
                        <w:top w:val="none" w:sz="0" w:space="0" w:color="auto"/>
                        <w:left w:val="none" w:sz="0" w:space="0" w:color="auto"/>
                        <w:bottom w:val="none" w:sz="0" w:space="0" w:color="auto"/>
                        <w:right w:val="none" w:sz="0" w:space="0" w:color="auto"/>
                      </w:divBdr>
                      <w:divsChild>
                        <w:div w:id="127432040">
                          <w:marLeft w:val="0"/>
                          <w:marRight w:val="0"/>
                          <w:marTop w:val="0"/>
                          <w:marBottom w:val="0"/>
                          <w:divBdr>
                            <w:top w:val="none" w:sz="0" w:space="0" w:color="auto"/>
                            <w:left w:val="none" w:sz="0" w:space="0" w:color="auto"/>
                            <w:bottom w:val="none" w:sz="0" w:space="0" w:color="auto"/>
                            <w:right w:val="none" w:sz="0" w:space="0" w:color="auto"/>
                          </w:divBdr>
                          <w:divsChild>
                            <w:div w:id="1859543831">
                              <w:marLeft w:val="0"/>
                              <w:marRight w:val="0"/>
                              <w:marTop w:val="0"/>
                              <w:marBottom w:val="0"/>
                              <w:divBdr>
                                <w:top w:val="none" w:sz="0" w:space="0" w:color="auto"/>
                                <w:left w:val="none" w:sz="0" w:space="0" w:color="auto"/>
                                <w:bottom w:val="none" w:sz="0" w:space="0" w:color="auto"/>
                                <w:right w:val="none" w:sz="0" w:space="0" w:color="auto"/>
                              </w:divBdr>
                              <w:divsChild>
                                <w:div w:id="2105029642">
                                  <w:marLeft w:val="0"/>
                                  <w:marRight w:val="0"/>
                                  <w:marTop w:val="0"/>
                                  <w:marBottom w:val="0"/>
                                  <w:divBdr>
                                    <w:top w:val="none" w:sz="0" w:space="0" w:color="auto"/>
                                    <w:left w:val="none" w:sz="0" w:space="0" w:color="auto"/>
                                    <w:bottom w:val="none" w:sz="0" w:space="0" w:color="auto"/>
                                    <w:right w:val="none" w:sz="0" w:space="0" w:color="auto"/>
                                  </w:divBdr>
                                  <w:divsChild>
                                    <w:div w:id="1786846607">
                                      <w:marLeft w:val="0"/>
                                      <w:marRight w:val="0"/>
                                      <w:marTop w:val="0"/>
                                      <w:marBottom w:val="0"/>
                                      <w:divBdr>
                                        <w:top w:val="none" w:sz="0" w:space="0" w:color="auto"/>
                                        <w:left w:val="none" w:sz="0" w:space="0" w:color="auto"/>
                                        <w:bottom w:val="none" w:sz="0" w:space="0" w:color="auto"/>
                                        <w:right w:val="none" w:sz="0" w:space="0" w:color="auto"/>
                                      </w:divBdr>
                                      <w:divsChild>
                                        <w:div w:id="1472676001">
                                          <w:marLeft w:val="0"/>
                                          <w:marRight w:val="0"/>
                                          <w:marTop w:val="0"/>
                                          <w:marBottom w:val="0"/>
                                          <w:divBdr>
                                            <w:top w:val="none" w:sz="0" w:space="0" w:color="auto"/>
                                            <w:left w:val="none" w:sz="0" w:space="0" w:color="auto"/>
                                            <w:bottom w:val="none" w:sz="0" w:space="0" w:color="auto"/>
                                            <w:right w:val="none" w:sz="0" w:space="0" w:color="auto"/>
                                          </w:divBdr>
                                          <w:divsChild>
                                            <w:div w:id="542988373">
                                              <w:marLeft w:val="0"/>
                                              <w:marRight w:val="0"/>
                                              <w:marTop w:val="0"/>
                                              <w:marBottom w:val="0"/>
                                              <w:divBdr>
                                                <w:top w:val="none" w:sz="0" w:space="0" w:color="auto"/>
                                                <w:left w:val="none" w:sz="0" w:space="0" w:color="auto"/>
                                                <w:bottom w:val="none" w:sz="0" w:space="0" w:color="auto"/>
                                                <w:right w:val="none" w:sz="0" w:space="0" w:color="auto"/>
                                              </w:divBdr>
                                              <w:divsChild>
                                                <w:div w:id="2130707457">
                                                  <w:marLeft w:val="0"/>
                                                  <w:marRight w:val="0"/>
                                                  <w:marTop w:val="0"/>
                                                  <w:marBottom w:val="0"/>
                                                  <w:divBdr>
                                                    <w:top w:val="none" w:sz="0" w:space="0" w:color="auto"/>
                                                    <w:left w:val="none" w:sz="0" w:space="0" w:color="auto"/>
                                                    <w:bottom w:val="none" w:sz="0" w:space="0" w:color="auto"/>
                                                    <w:right w:val="none" w:sz="0" w:space="0" w:color="auto"/>
                                                  </w:divBdr>
                                                  <w:divsChild>
                                                    <w:div w:id="479078503">
                                                      <w:marLeft w:val="0"/>
                                                      <w:marRight w:val="0"/>
                                                      <w:marTop w:val="0"/>
                                                      <w:marBottom w:val="0"/>
                                                      <w:divBdr>
                                                        <w:top w:val="none" w:sz="0" w:space="0" w:color="auto"/>
                                                        <w:left w:val="none" w:sz="0" w:space="0" w:color="auto"/>
                                                        <w:bottom w:val="none" w:sz="0" w:space="0" w:color="auto"/>
                                                        <w:right w:val="none" w:sz="0" w:space="0" w:color="auto"/>
                                                      </w:divBdr>
                                                      <w:divsChild>
                                                        <w:div w:id="25863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3022413">
      <w:bodyDiv w:val="1"/>
      <w:marLeft w:val="0"/>
      <w:marRight w:val="0"/>
      <w:marTop w:val="0"/>
      <w:marBottom w:val="0"/>
      <w:divBdr>
        <w:top w:val="none" w:sz="0" w:space="0" w:color="auto"/>
        <w:left w:val="none" w:sz="0" w:space="0" w:color="auto"/>
        <w:bottom w:val="none" w:sz="0" w:space="0" w:color="auto"/>
        <w:right w:val="none" w:sz="0" w:space="0" w:color="auto"/>
      </w:divBdr>
      <w:divsChild>
        <w:div w:id="2029485695">
          <w:marLeft w:val="0"/>
          <w:marRight w:val="0"/>
          <w:marTop w:val="0"/>
          <w:marBottom w:val="0"/>
          <w:divBdr>
            <w:top w:val="none" w:sz="0" w:space="0" w:color="auto"/>
            <w:left w:val="none" w:sz="0" w:space="0" w:color="auto"/>
            <w:bottom w:val="none" w:sz="0" w:space="0" w:color="auto"/>
            <w:right w:val="none" w:sz="0" w:space="0" w:color="auto"/>
          </w:divBdr>
          <w:divsChild>
            <w:div w:id="2024431065">
              <w:marLeft w:val="0"/>
              <w:marRight w:val="0"/>
              <w:marTop w:val="0"/>
              <w:marBottom w:val="0"/>
              <w:divBdr>
                <w:top w:val="none" w:sz="0" w:space="0" w:color="auto"/>
                <w:left w:val="none" w:sz="0" w:space="0" w:color="auto"/>
                <w:bottom w:val="none" w:sz="0" w:space="0" w:color="auto"/>
                <w:right w:val="none" w:sz="0" w:space="0" w:color="auto"/>
              </w:divBdr>
              <w:divsChild>
                <w:div w:id="1521890968">
                  <w:marLeft w:val="0"/>
                  <w:marRight w:val="0"/>
                  <w:marTop w:val="0"/>
                  <w:marBottom w:val="0"/>
                  <w:divBdr>
                    <w:top w:val="none" w:sz="0" w:space="0" w:color="auto"/>
                    <w:left w:val="none" w:sz="0" w:space="0" w:color="auto"/>
                    <w:bottom w:val="none" w:sz="0" w:space="0" w:color="auto"/>
                    <w:right w:val="none" w:sz="0" w:space="0" w:color="auto"/>
                  </w:divBdr>
                  <w:divsChild>
                    <w:div w:id="1032658388">
                      <w:marLeft w:val="0"/>
                      <w:marRight w:val="0"/>
                      <w:marTop w:val="0"/>
                      <w:marBottom w:val="0"/>
                      <w:divBdr>
                        <w:top w:val="none" w:sz="0" w:space="0" w:color="auto"/>
                        <w:left w:val="none" w:sz="0" w:space="0" w:color="auto"/>
                        <w:bottom w:val="none" w:sz="0" w:space="0" w:color="auto"/>
                        <w:right w:val="none" w:sz="0" w:space="0" w:color="auto"/>
                      </w:divBdr>
                      <w:divsChild>
                        <w:div w:id="1002775219">
                          <w:marLeft w:val="0"/>
                          <w:marRight w:val="0"/>
                          <w:marTop w:val="0"/>
                          <w:marBottom w:val="0"/>
                          <w:divBdr>
                            <w:top w:val="none" w:sz="0" w:space="0" w:color="auto"/>
                            <w:left w:val="none" w:sz="0" w:space="0" w:color="auto"/>
                            <w:bottom w:val="none" w:sz="0" w:space="0" w:color="auto"/>
                            <w:right w:val="none" w:sz="0" w:space="0" w:color="auto"/>
                          </w:divBdr>
                          <w:divsChild>
                            <w:div w:id="1039278424">
                              <w:marLeft w:val="0"/>
                              <w:marRight w:val="0"/>
                              <w:marTop w:val="0"/>
                              <w:marBottom w:val="0"/>
                              <w:divBdr>
                                <w:top w:val="none" w:sz="0" w:space="0" w:color="auto"/>
                                <w:left w:val="none" w:sz="0" w:space="0" w:color="auto"/>
                                <w:bottom w:val="none" w:sz="0" w:space="0" w:color="auto"/>
                                <w:right w:val="none" w:sz="0" w:space="0" w:color="auto"/>
                              </w:divBdr>
                              <w:divsChild>
                                <w:div w:id="441536019">
                                  <w:marLeft w:val="0"/>
                                  <w:marRight w:val="0"/>
                                  <w:marTop w:val="0"/>
                                  <w:marBottom w:val="0"/>
                                  <w:divBdr>
                                    <w:top w:val="none" w:sz="0" w:space="0" w:color="auto"/>
                                    <w:left w:val="none" w:sz="0" w:space="0" w:color="auto"/>
                                    <w:bottom w:val="none" w:sz="0" w:space="0" w:color="auto"/>
                                    <w:right w:val="none" w:sz="0" w:space="0" w:color="auto"/>
                                  </w:divBdr>
                                  <w:divsChild>
                                    <w:div w:id="1626736668">
                                      <w:marLeft w:val="0"/>
                                      <w:marRight w:val="0"/>
                                      <w:marTop w:val="0"/>
                                      <w:marBottom w:val="0"/>
                                      <w:divBdr>
                                        <w:top w:val="none" w:sz="0" w:space="0" w:color="auto"/>
                                        <w:left w:val="none" w:sz="0" w:space="0" w:color="auto"/>
                                        <w:bottom w:val="none" w:sz="0" w:space="0" w:color="auto"/>
                                        <w:right w:val="none" w:sz="0" w:space="0" w:color="auto"/>
                                      </w:divBdr>
                                      <w:divsChild>
                                        <w:div w:id="1931624985">
                                          <w:marLeft w:val="0"/>
                                          <w:marRight w:val="0"/>
                                          <w:marTop w:val="0"/>
                                          <w:marBottom w:val="0"/>
                                          <w:divBdr>
                                            <w:top w:val="none" w:sz="0" w:space="0" w:color="auto"/>
                                            <w:left w:val="none" w:sz="0" w:space="0" w:color="auto"/>
                                            <w:bottom w:val="none" w:sz="0" w:space="0" w:color="auto"/>
                                            <w:right w:val="none" w:sz="0" w:space="0" w:color="auto"/>
                                          </w:divBdr>
                                          <w:divsChild>
                                            <w:div w:id="2138526976">
                                              <w:marLeft w:val="0"/>
                                              <w:marRight w:val="0"/>
                                              <w:marTop w:val="0"/>
                                              <w:marBottom w:val="0"/>
                                              <w:divBdr>
                                                <w:top w:val="none" w:sz="0" w:space="0" w:color="auto"/>
                                                <w:left w:val="none" w:sz="0" w:space="0" w:color="auto"/>
                                                <w:bottom w:val="none" w:sz="0" w:space="0" w:color="auto"/>
                                                <w:right w:val="none" w:sz="0" w:space="0" w:color="auto"/>
                                              </w:divBdr>
                                              <w:divsChild>
                                                <w:div w:id="1483503731">
                                                  <w:marLeft w:val="0"/>
                                                  <w:marRight w:val="0"/>
                                                  <w:marTop w:val="0"/>
                                                  <w:marBottom w:val="0"/>
                                                  <w:divBdr>
                                                    <w:top w:val="none" w:sz="0" w:space="0" w:color="auto"/>
                                                    <w:left w:val="none" w:sz="0" w:space="0" w:color="auto"/>
                                                    <w:bottom w:val="none" w:sz="0" w:space="0" w:color="auto"/>
                                                    <w:right w:val="none" w:sz="0" w:space="0" w:color="auto"/>
                                                  </w:divBdr>
                                                  <w:divsChild>
                                                    <w:div w:id="1174537482">
                                                      <w:marLeft w:val="0"/>
                                                      <w:marRight w:val="0"/>
                                                      <w:marTop w:val="0"/>
                                                      <w:marBottom w:val="0"/>
                                                      <w:divBdr>
                                                        <w:top w:val="none" w:sz="0" w:space="0" w:color="auto"/>
                                                        <w:left w:val="none" w:sz="0" w:space="0" w:color="auto"/>
                                                        <w:bottom w:val="none" w:sz="0" w:space="0" w:color="auto"/>
                                                        <w:right w:val="none" w:sz="0" w:space="0" w:color="auto"/>
                                                      </w:divBdr>
                                                      <w:divsChild>
                                                        <w:div w:id="145571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eea.europa.eu/en/datahub/datahubitem-view/236e91f9-1809-4562-bbd4-5d813f661f35" TargetMode="External"/><Relationship Id="rId21" Type="http://schemas.openxmlformats.org/officeDocument/2006/relationships/footer" Target="footer5.xml"/><Relationship Id="rId42" Type="http://schemas.openxmlformats.org/officeDocument/2006/relationships/image" Target="media/image7.png"/><Relationship Id="rId47" Type="http://schemas.openxmlformats.org/officeDocument/2006/relationships/image" Target="media/image12.png"/><Relationship Id="rId63" Type="http://schemas.openxmlformats.org/officeDocument/2006/relationships/header" Target="header13.xml"/><Relationship Id="rId68" Type="http://schemas.openxmlformats.org/officeDocument/2006/relationships/header" Target="header14.xml"/><Relationship Id="rId84" Type="http://schemas.openxmlformats.org/officeDocument/2006/relationships/image" Target="media/image26.png"/><Relationship Id="rId89" Type="http://schemas.openxmlformats.org/officeDocument/2006/relationships/hyperlink" Target="https://op.europa.eu/en/publication-detail/-/publication/529ef643-173f-11eb-b57e-01aa75ed71a1" TargetMode="External"/><Relationship Id="rId7" Type="http://schemas.openxmlformats.org/officeDocument/2006/relationships/settings" Target="settings.xml"/><Relationship Id="rId71" Type="http://schemas.openxmlformats.org/officeDocument/2006/relationships/image" Target="media/image20.emf"/><Relationship Id="rId92" Type="http://schemas.openxmlformats.org/officeDocument/2006/relationships/header" Target="header19.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bing.com/ck/a?!&amp;&amp;p=bbb6ff398b04a916JmltdHM9MTcxMDQ2MDgwMCZpZ3VpZD0zMzMyYjc0Mi1hYjNlLTYzMTEtMTMzOC1hNjYzYWYzZTZkMzgmaW5zaWQ9NTQ0MQ&amp;ptn=3&amp;ver=2&amp;hsh=3&amp;fclid=3332b742-ab3e-6311-1338-a663af3e6d38&amp;psq=Commission+Implementing+Decision+(EU)+2022%2f162&amp;u=a1aHR0cHM6Ly9ldXItbGV4LmV1cm9wYS5ldS9sZWdhbC1jb250ZW50L0VOL1RYVC8_dXJpPUNFTEVYJTNBMzIwMjJEMDE2MiM6fjp0ZXh0PUNvbW1pc3Npb24lMjBJbXBsZW1lbnRpbmclMjBEZWNpc2lvbiUyMCUyOEVVJTI5JTIwMjAyMiUyRjE2MiUyMG9mJTIwNCUyMEZlYnJ1YXJ5LHRvJTIwYWNoaWV2ZSUyMHN1Y2glMjByZWR1Y3Rpb24lMjAlMjhUZXh0JTIwd2l0aCUyMEVFQSUyMHJlbGV2YW5jZSUyOQ&amp;ntb=1" TargetMode="External"/><Relationship Id="rId107" Type="http://schemas.openxmlformats.org/officeDocument/2006/relationships/theme" Target="theme/theme1.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hyperlink" Target="https://www.bing.com/ck/a?!&amp;&amp;p=b4c087af573cc859JmltdHM9MTcxMDQ2MDgwMCZpZ3VpZD0zMzMyYjc0Mi1hYjNlLTYzMTEtMTMzOC1hNjYzYWYzZTZkMzgmaW5zaWQ9NTE5NQ&amp;ptn=3&amp;ver=2&amp;hsh=3&amp;fclid=3332b742-ab3e-6311-1338-a663af3e6d38&amp;psq=Commission+Implementing+Decision+(EU)+2021%2f958&amp;u=a1aHR0cHM6Ly9ldXItbGV4LmV1cm9wYS5ldS9sZWdhbC1jb250ZW50L0VOL1RYVC8_dG9jPU9KJTNBTCUzQTIwMjElM0EyMTElM0FUT0MmdXJpPXVyaXNlcnYlM0FPSi5MXy4yMDIxLjIxMS4wMS4wMDUxLjAxLkVORw&amp;ntb=1" TargetMode="External"/><Relationship Id="rId37" Type="http://schemas.openxmlformats.org/officeDocument/2006/relationships/image" Target="media/image2.png"/><Relationship Id="rId40" Type="http://schemas.openxmlformats.org/officeDocument/2006/relationships/image" Target="media/image5.png"/><Relationship Id="rId45" Type="http://schemas.openxmlformats.org/officeDocument/2006/relationships/image" Target="media/image10.png"/><Relationship Id="rId53" Type="http://schemas.openxmlformats.org/officeDocument/2006/relationships/footer" Target="footer10.xml"/><Relationship Id="rId58" Type="http://schemas.openxmlformats.org/officeDocument/2006/relationships/hyperlink" Target="https://diariodarepublica.pt/dr/detalhe/decreto-lei/78-2021-171871496" TargetMode="External"/><Relationship Id="rId66" Type="http://schemas.openxmlformats.org/officeDocument/2006/relationships/image" Target="media/image18.png"/><Relationship Id="rId74" Type="http://schemas.openxmlformats.org/officeDocument/2006/relationships/image" Target="media/image21.png"/><Relationship Id="rId79" Type="http://schemas.openxmlformats.org/officeDocument/2006/relationships/footer" Target="footer17.xml"/><Relationship Id="rId87" Type="http://schemas.openxmlformats.org/officeDocument/2006/relationships/header" Target="header18.xml"/><Relationship Id="rId102" Type="http://schemas.openxmlformats.org/officeDocument/2006/relationships/footer" Target="footer20.xml"/><Relationship Id="rId5" Type="http://schemas.openxmlformats.org/officeDocument/2006/relationships/numbering" Target="numbering.xml"/><Relationship Id="rId61" Type="http://schemas.openxmlformats.org/officeDocument/2006/relationships/hyperlink" Target="https://www.eea.europa.eu/en/topics/in-depth/waste-and-recycling/municipal-and-packaging-waste-management-country-profiles-2025" TargetMode="External"/><Relationship Id="rId82" Type="http://schemas.openxmlformats.org/officeDocument/2006/relationships/image" Target="media/image24.png"/><Relationship Id="rId90" Type="http://schemas.openxmlformats.org/officeDocument/2006/relationships/image" Target="media/image29.png"/><Relationship Id="rId95" Type="http://schemas.openxmlformats.org/officeDocument/2006/relationships/image" Target="media/image32.png"/><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yperlink" Target="https://www.bing.com/ck/a?!&amp;&amp;p=bbb6ff398b04a916JmltdHM9MTcxMDQ2MDgwMCZpZ3VpZD0zMzMyYjc0Mi1hYjNlLTYzMTEtMTMzOC1hNjYzYWYzZTZkMzgmaW5zaWQ9NTQ0MQ&amp;ptn=3&amp;ver=2&amp;hsh=3&amp;fclid=3332b742-ab3e-6311-1338-a663af3e6d38&amp;psq=Commission+Implementing+Decision+(EU)+2022%2f162&amp;u=a1aHR0cHM6Ly9ldXItbGV4LmV1cm9wYS5ldS9sZWdhbC1jb250ZW50L0VOL1RYVC8_dXJpPUNFTEVYJTNBMzIwMjJEMDE2MiM6fjp0ZXh0PUNvbW1pc3Npb24lMjBJbXBsZW1lbnRpbmclMjBEZWNpc2lvbiUyMCUyOEVVJTI5JTIwMjAyMiUyRjE2MiUyMG9mJTIwNCUyMEZlYnJ1YXJ5LHRvJTIwYWNoaWV2ZSUyMHN1Y2glMjByZWR1Y3Rpb24lMjAlMjhUZXh0JTIwd2l0aCUyMEVFQSUyMHJlbGV2YW5jZSUyOQ&amp;ntb=1" TargetMode="External"/><Relationship Id="rId35" Type="http://schemas.openxmlformats.org/officeDocument/2006/relationships/header" Target="header9.xml"/><Relationship Id="rId43" Type="http://schemas.openxmlformats.org/officeDocument/2006/relationships/image" Target="media/image8.png"/><Relationship Id="rId48" Type="http://schemas.openxmlformats.org/officeDocument/2006/relationships/image" Target="media/image13.png"/><Relationship Id="rId56" Type="http://schemas.openxmlformats.org/officeDocument/2006/relationships/header" Target="header11.xml"/><Relationship Id="rId64" Type="http://schemas.openxmlformats.org/officeDocument/2006/relationships/footer" Target="footer13.xml"/><Relationship Id="rId69" Type="http://schemas.openxmlformats.org/officeDocument/2006/relationships/footer" Target="footer14.xml"/><Relationship Id="rId77" Type="http://schemas.openxmlformats.org/officeDocument/2006/relationships/footer" Target="footer16.xml"/><Relationship Id="rId100" Type="http://schemas.openxmlformats.org/officeDocument/2006/relationships/header" Target="header20.xml"/><Relationship Id="rId105" Type="http://schemas.openxmlformats.org/officeDocument/2006/relationships/footer" Target="footer22.xml"/><Relationship Id="rId8" Type="http://schemas.openxmlformats.org/officeDocument/2006/relationships/webSettings" Target="webSettings.xml"/><Relationship Id="rId51" Type="http://schemas.openxmlformats.org/officeDocument/2006/relationships/hyperlink" Target="https://www.eionet.europa.eu/reportnet/single-use-plastic" TargetMode="External"/><Relationship Id="rId72" Type="http://schemas.openxmlformats.org/officeDocument/2006/relationships/header" Target="header15.xml"/><Relationship Id="rId80" Type="http://schemas.openxmlformats.org/officeDocument/2006/relationships/image" Target="media/image22.png"/><Relationship Id="rId85" Type="http://schemas.openxmlformats.org/officeDocument/2006/relationships/image" Target="media/image27.png"/><Relationship Id="rId93" Type="http://schemas.openxmlformats.org/officeDocument/2006/relationships/footer" Target="footer19.xml"/><Relationship Id="rId98" Type="http://schemas.openxmlformats.org/officeDocument/2006/relationships/image" Target="media/image35.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yperlink" Target="https://eur-lex.europa.eu/eli/dec_impl/2023/2683/oj" TargetMode="External"/><Relationship Id="rId38" Type="http://schemas.openxmlformats.org/officeDocument/2006/relationships/image" Target="media/image3.png"/><Relationship Id="rId46" Type="http://schemas.openxmlformats.org/officeDocument/2006/relationships/image" Target="media/image11.png"/><Relationship Id="rId59" Type="http://schemas.openxmlformats.org/officeDocument/2006/relationships/header" Target="header12.xml"/><Relationship Id="rId67" Type="http://schemas.openxmlformats.org/officeDocument/2006/relationships/hyperlink" Target="https://ec.europa.eu/eurostat/databrowser/view/demo_gind__custom_13672054/default/table" TargetMode="External"/><Relationship Id="rId103" Type="http://schemas.openxmlformats.org/officeDocument/2006/relationships/footer" Target="footer21.xml"/><Relationship Id="rId20" Type="http://schemas.openxmlformats.org/officeDocument/2006/relationships/footer" Target="footer4.xml"/><Relationship Id="rId41" Type="http://schemas.openxmlformats.org/officeDocument/2006/relationships/image" Target="media/image6.png"/><Relationship Id="rId54" Type="http://schemas.openxmlformats.org/officeDocument/2006/relationships/image" Target="media/image15.emf"/><Relationship Id="rId62" Type="http://schemas.openxmlformats.org/officeDocument/2006/relationships/hyperlink" Target="https://www.eea.europa.eu/publications/many-eu-member-states/early-warning-assessment-related-to" TargetMode="External"/><Relationship Id="rId70" Type="http://schemas.openxmlformats.org/officeDocument/2006/relationships/image" Target="media/image19.emf"/><Relationship Id="rId75" Type="http://schemas.openxmlformats.org/officeDocument/2006/relationships/hyperlink" Target="https://doi.org/10.2908/FISH_FLEET_GP" TargetMode="External"/><Relationship Id="rId83" Type="http://schemas.openxmlformats.org/officeDocument/2006/relationships/image" Target="media/image25.png"/><Relationship Id="rId88" Type="http://schemas.openxmlformats.org/officeDocument/2006/relationships/footer" Target="footer18.xml"/><Relationship Id="rId91" Type="http://schemas.openxmlformats.org/officeDocument/2006/relationships/image" Target="media/image30.png"/><Relationship Id="rId96"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9.xml"/><Relationship Id="rId49" Type="http://schemas.openxmlformats.org/officeDocument/2006/relationships/image" Target="media/image14.png"/><Relationship Id="rId57" Type="http://schemas.openxmlformats.org/officeDocument/2006/relationships/footer" Target="footer11.xml"/><Relationship Id="rId106"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bing.com/ck/a?!&amp;&amp;p=be722db7ea0ad5d3JmltdHM9MTcxMDQ2MDgwMCZpZ3VpZD0zMzMyYjc0Mi1hYjNlLTYzMTEtMTMzOC1hNjYzYWYzZTZkMzgmaW5zaWQ9NTQ0MQ&amp;ptn=3&amp;ver=2&amp;hsh=3&amp;fclid=3332b742-ab3e-6311-1338-a663af3e6d38&amp;psq=Commission+Implementing+Decision+(EU)+2021%2f1752&amp;u=a1aHR0cHM6Ly9ldXItbGV4LmV1cm9wYS5ldS9sZWdhbC1jb250ZW50L0VOL0FMTC8_dXJpPUNFTEVYOjMyMDIxRDE3NTIjOn46dGV4dD1Db21taXNzaW9uJTIwSW1wbGVtZW50aW5nJTIwRGVjaXNpb24lMjAlMjhFVSUyOSUyMDIwMjElMkYxNzUyJTIwb2YlMjAxJTIwT2N0b2Jlcixjb2xsZWN0aW9uJTIwb2YlMjB3YXN0ZSUyMHNpbmdsZS11c2UlMjBwbGFzdGljJTIwYmV2ZXJhZ2UlMjBib3R0bGVzJTIwQyUyRjIwMjElMkY2OTk1&amp;ntb=1" TargetMode="External"/><Relationship Id="rId44" Type="http://schemas.openxmlformats.org/officeDocument/2006/relationships/image" Target="media/image9.png"/><Relationship Id="rId52" Type="http://schemas.openxmlformats.org/officeDocument/2006/relationships/header" Target="header10.xml"/><Relationship Id="rId60" Type="http://schemas.openxmlformats.org/officeDocument/2006/relationships/footer" Target="footer12.xml"/><Relationship Id="rId65" Type="http://schemas.openxmlformats.org/officeDocument/2006/relationships/image" Target="media/image17.png"/><Relationship Id="rId73" Type="http://schemas.openxmlformats.org/officeDocument/2006/relationships/footer" Target="footer15.xml"/><Relationship Id="rId78" Type="http://schemas.openxmlformats.org/officeDocument/2006/relationships/header" Target="header17.xml"/><Relationship Id="rId81" Type="http://schemas.openxmlformats.org/officeDocument/2006/relationships/image" Target="media/image23.png"/><Relationship Id="rId86" Type="http://schemas.openxmlformats.org/officeDocument/2006/relationships/image" Target="media/image28.png"/><Relationship Id="rId94" Type="http://schemas.openxmlformats.org/officeDocument/2006/relationships/image" Target="media/image31.png"/><Relationship Id="rId99" Type="http://schemas.openxmlformats.org/officeDocument/2006/relationships/image" Target="media/image36.png"/><Relationship Id="rId101" Type="http://schemas.openxmlformats.org/officeDocument/2006/relationships/header" Target="header2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image" Target="media/image4.png"/><Relationship Id="rId34" Type="http://schemas.openxmlformats.org/officeDocument/2006/relationships/hyperlink" Target="https://eur-lex.europa.eu/legal-content/RO/TXT/?uri=CELEX:32021D2267" TargetMode="External"/><Relationship Id="rId50" Type="http://schemas.openxmlformats.org/officeDocument/2006/relationships/hyperlink" Target="https://www.eionet.europa.eu/reportnet/single-use-plastic/supd_manual-for-reporters_v1-1_26_06_2024.pdf" TargetMode="External"/><Relationship Id="rId55" Type="http://schemas.openxmlformats.org/officeDocument/2006/relationships/image" Target="media/image16.emf"/><Relationship Id="rId76" Type="http://schemas.openxmlformats.org/officeDocument/2006/relationships/header" Target="header16.xml"/><Relationship Id="rId97" Type="http://schemas.openxmlformats.org/officeDocument/2006/relationships/image" Target="media/image34.png"/><Relationship Id="rId104" Type="http://schemas.openxmlformats.org/officeDocument/2006/relationships/header" Target="header22.xml"/></Relationships>
</file>

<file path=word/_rels/footnotes.xml.rels><?xml version="1.0" encoding="UTF-8" standalone="yes"?>
<Relationships xmlns="http://schemas.openxmlformats.org/package/2006/relationships"><Relationship Id="rId3" Type="http://schemas.openxmlformats.org/officeDocument/2006/relationships/hyperlink" Target="https://www.eea.europa.eu/publications/many-eu-member-states/early-warning-assessment-related-to" TargetMode="External"/><Relationship Id="rId2" Type="http://schemas.openxmlformats.org/officeDocument/2006/relationships/hyperlink" Target="https://doi.org/10.2908/ENV_WASPAC" TargetMode="External"/><Relationship Id="rId1" Type="http://schemas.openxmlformats.org/officeDocument/2006/relationships/hyperlink" Target="https://ec.europa.eu/eurostat/databrowser/view/demo_gind__custom_13672054/default/table" TargetMode="External"/><Relationship Id="rId5" Type="http://schemas.openxmlformats.org/officeDocument/2006/relationships/hyperlink" Target="https://www.eea.europa.eu/publications/many-eu-member-states/early-warning-assessment-related-to" TargetMode="External"/><Relationship Id="rId4" Type="http://schemas.openxmlformats.org/officeDocument/2006/relationships/hyperlink" Target="https://doi.org/10.2908/ENV_WASP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e7d478-d854-492c-97f6-92fba056400e" xsi:nil="true"/>
    <lcf76f155ced4ddcb4097134ff3c332f xmlns="0ab27300-963f-4f8d-9bae-e9aa98dabc2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875B7BFAFDF64C9394BFB5DCA3161C" ma:contentTypeVersion="20" ma:contentTypeDescription="Create a new document." ma:contentTypeScope="" ma:versionID="230164b182b5f9d72cf269ca91687f99">
  <xsd:schema xmlns:xsd="http://www.w3.org/2001/XMLSchema" xmlns:xs="http://www.w3.org/2001/XMLSchema" xmlns:p="http://schemas.microsoft.com/office/2006/metadata/properties" xmlns:ns2="0ab27300-963f-4f8d-9bae-e9aa98dabc2e" xmlns:ns3="bde7d478-d854-492c-97f6-92fba056400e" targetNamespace="http://schemas.microsoft.com/office/2006/metadata/properties" ma:root="true" ma:fieldsID="951b8000351a1a603bf815ff77674e7b" ns2:_="" ns3:_="">
    <xsd:import namespace="0ab27300-963f-4f8d-9bae-e9aa98dabc2e"/>
    <xsd:import namespace="bde7d478-d854-492c-97f6-92fba05640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27300-963f-4f8d-9bae-e9aa98dab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de42cbc-566b-46c9-aea5-a71cdcd36d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7d478-d854-492c-97f6-92fba056400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5f6c9d-0c55-43d2-b1e8-201ab2589f6d}" ma:internalName="TaxCatchAll" ma:showField="CatchAllData" ma:web="bde7d478-d854-492c-97f6-92fba05640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812C5-8AF9-4F3D-B9C5-CEDA99B49122}">
  <ds:schemaRefs>
    <ds:schemaRef ds:uri="http://schemas.microsoft.com/office/2006/metadata/properties"/>
    <ds:schemaRef ds:uri="http://schemas.microsoft.com/office/infopath/2007/PartnerControls"/>
    <ds:schemaRef ds:uri="bde7d478-d854-492c-97f6-92fba056400e"/>
    <ds:schemaRef ds:uri="0ab27300-963f-4f8d-9bae-e9aa98dabc2e"/>
  </ds:schemaRefs>
</ds:datastoreItem>
</file>

<file path=customXml/itemProps2.xml><?xml version="1.0" encoding="utf-8"?>
<ds:datastoreItem xmlns:ds="http://schemas.openxmlformats.org/officeDocument/2006/customXml" ds:itemID="{5B0C0F4E-43D7-4A16-8A00-8C399800D516}">
  <ds:schemaRefs>
    <ds:schemaRef ds:uri="http://schemas.microsoft.com/sharepoint/v3/contenttype/forms"/>
  </ds:schemaRefs>
</ds:datastoreItem>
</file>

<file path=customXml/itemProps3.xml><?xml version="1.0" encoding="utf-8"?>
<ds:datastoreItem xmlns:ds="http://schemas.openxmlformats.org/officeDocument/2006/customXml" ds:itemID="{2260420D-3E02-4199-B1A9-EFEDBF60B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27300-963f-4f8d-9bae-e9aa98dabc2e"/>
    <ds:schemaRef ds:uri="bde7d478-d854-492c-97f6-92fba0564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93A45F-ABE2-4475-8AF5-6C56DF422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11363</Words>
  <Characters>64774</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2026-02-18T09:36:00Z</dcterms:created>
  <dcterms:modified xsi:type="dcterms:W3CDTF">2026-04-09T07:43:00Z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2025-08-25T11:24:11Z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960e1317-e653-49d4-bf4d-ac5dcfdace5a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MediaServiceImageTags">
    <vt:lpwstr/>
  </property>
  <property fmtid="{D5CDD505-2E9C-101B-9397-08002B2CF9AE}" pid="14" name="ContentTypeId">
    <vt:lpwstr>0x01010083875B7BFAFDF64C9394BFB5DCA3161C</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