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9B6" w:rsidRPr="006605A5" w:rsidRDefault="00DA6E17" w:rsidP="00DA6E17">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8674641A-9D53-4B49-B5F8-C29D693FB7A3" style="width:455.25pt;height:357.75pt">
            <v:imagedata r:id="rId11" o:title=""/>
          </v:shape>
        </w:pict>
      </w:r>
    </w:p>
    <w:p w:rsidR="00DF01BF" w:rsidRPr="006605A5" w:rsidRDefault="00DF01BF" w:rsidP="00DF01BF">
      <w:pPr>
        <w:pStyle w:val="Pagedecouverture"/>
        <w:rPr>
          <w:noProof/>
        </w:rPr>
        <w:sectPr w:rsidR="00DF01BF" w:rsidRPr="006605A5" w:rsidSect="00DA6E17">
          <w:footerReference w:type="even" r:id="rId12"/>
          <w:footerReference w:type="default" r:id="rId13"/>
          <w:pgSz w:w="11907" w:h="16839"/>
          <w:pgMar w:top="1134" w:right="1417" w:bottom="1134" w:left="1417" w:header="709" w:footer="709" w:gutter="0"/>
          <w:pgNumType w:start="0"/>
          <w:cols w:space="720"/>
          <w:docGrid w:linePitch="360"/>
        </w:sectPr>
      </w:pPr>
    </w:p>
    <w:p w:rsidR="00A10B35" w:rsidRPr="006605A5" w:rsidRDefault="00A10B35" w:rsidP="00A10B35">
      <w:pPr>
        <w:pStyle w:val="Exposdesmotifstitre"/>
        <w:rPr>
          <w:noProof/>
        </w:rPr>
      </w:pPr>
      <w:bookmarkStart w:id="1" w:name="_GoBack"/>
      <w:bookmarkEnd w:id="1"/>
    </w:p>
    <w:p w:rsidR="00A10B35" w:rsidRPr="006605A5" w:rsidRDefault="00A10B35" w:rsidP="00A10B35">
      <w:pPr>
        <w:rPr>
          <w:noProof/>
        </w:rPr>
      </w:pPr>
    </w:p>
    <w:p w:rsidR="0093375E" w:rsidRDefault="0073392C">
      <w:pPr>
        <w:pStyle w:val="Rfrenceinterinstitutionnelle"/>
        <w:rPr>
          <w:noProof/>
        </w:rPr>
      </w:pPr>
      <w:r>
        <w:rPr>
          <w:noProof/>
        </w:rPr>
        <w:t>2026/0088 (NLE)</w:t>
      </w:r>
    </w:p>
    <w:p w:rsidR="002709B6" w:rsidRPr="006605A5" w:rsidRDefault="00254ACC" w:rsidP="00254ACC">
      <w:pPr>
        <w:pStyle w:val="Statut"/>
        <w:rPr>
          <w:noProof/>
        </w:rPr>
      </w:pPr>
      <w:r w:rsidRPr="00254ACC">
        <w:rPr>
          <w:noProof/>
        </w:rPr>
        <w:t>Proposition de</w:t>
      </w:r>
    </w:p>
    <w:p w:rsidR="002709B6" w:rsidRPr="006605A5" w:rsidRDefault="00254ACC" w:rsidP="00254ACC">
      <w:pPr>
        <w:pStyle w:val="Typedudocument"/>
        <w:rPr>
          <w:noProof/>
        </w:rPr>
      </w:pPr>
      <w:r w:rsidRPr="00254ACC">
        <w:rPr>
          <w:noProof/>
        </w:rPr>
        <w:t>DÉCISION D’EXÉCUTION DU CONSEIL</w:t>
      </w:r>
    </w:p>
    <w:p w:rsidR="002709B6" w:rsidRPr="006605A5" w:rsidRDefault="00254ACC" w:rsidP="00254ACC">
      <w:pPr>
        <w:pStyle w:val="Titreobjet"/>
        <w:rPr>
          <w:noProof/>
        </w:rPr>
      </w:pPr>
      <w:r w:rsidRPr="00254ACC">
        <w:rPr>
          <w:noProof/>
        </w:rPr>
        <w:t>modifiant la décision d’exécution du 13 juillet 2021 relative à l’approbation de l’évaluation du plan pour la reprise et la résilience pour le Danemark</w:t>
      </w:r>
    </w:p>
    <w:p w:rsidR="002709B6" w:rsidRPr="006605A5" w:rsidRDefault="00DC39D2">
      <w:pPr>
        <w:pStyle w:val="Institutionquiagit"/>
        <w:rPr>
          <w:rFonts w:eastAsia="Times New Roman"/>
          <w:noProof/>
        </w:rPr>
      </w:pPr>
      <w:r w:rsidRPr="006605A5">
        <w:rPr>
          <w:noProof/>
        </w:rPr>
        <w:t>LE CONSEIL DE L’UNION EUROPÉENNE,</w:t>
      </w:r>
    </w:p>
    <w:p w:rsidR="002709B6" w:rsidRPr="006605A5" w:rsidRDefault="00DC39D2">
      <w:pPr>
        <w:rPr>
          <w:rFonts w:eastAsia="Times New Roman"/>
          <w:noProof/>
        </w:rPr>
      </w:pPr>
      <w:r w:rsidRPr="006605A5">
        <w:rPr>
          <w:noProof/>
        </w:rPr>
        <w:t xml:space="preserve">vu le traité sur le fonctionnement de l’Union européenne, </w:t>
      </w:r>
    </w:p>
    <w:p w:rsidR="002709B6" w:rsidRPr="006605A5" w:rsidRDefault="00DC39D2">
      <w:pPr>
        <w:rPr>
          <w:rFonts w:eastAsia="Times New Roman"/>
          <w:noProof/>
        </w:rPr>
      </w:pPr>
      <w:r w:rsidRPr="006605A5">
        <w:rPr>
          <w:noProof/>
        </w:rPr>
        <w:t>vu le règlement (UE) 2021/241 du Parlement européen et du Conseil du 12 février 2021 établissant la facilité pour la reprise et la résilience</w:t>
      </w:r>
      <w:r w:rsidRPr="006605A5">
        <w:rPr>
          <w:rStyle w:val="FootnoteReference"/>
          <w:rFonts w:eastAsia="Times New Roman"/>
          <w:noProof/>
        </w:rPr>
        <w:footnoteReference w:id="2"/>
      </w:r>
      <w:r w:rsidRPr="006605A5">
        <w:rPr>
          <w:noProof/>
        </w:rPr>
        <w:t>, et notamment son article 20, paragraphe 1,</w:t>
      </w:r>
    </w:p>
    <w:p w:rsidR="002709B6" w:rsidRPr="006605A5" w:rsidRDefault="00DC39D2">
      <w:pPr>
        <w:rPr>
          <w:rFonts w:eastAsia="Times New Roman"/>
          <w:noProof/>
        </w:rPr>
      </w:pPr>
      <w:r w:rsidRPr="006605A5">
        <w:rPr>
          <w:noProof/>
        </w:rPr>
        <w:t>vu la proposition de la Commission européenne,</w:t>
      </w:r>
    </w:p>
    <w:p w:rsidR="002709B6" w:rsidRPr="006605A5" w:rsidRDefault="00DC39D2">
      <w:pPr>
        <w:rPr>
          <w:rFonts w:eastAsia="Times New Roman"/>
          <w:noProof/>
        </w:rPr>
      </w:pPr>
      <w:r w:rsidRPr="006605A5">
        <w:rPr>
          <w:noProof/>
        </w:rPr>
        <w:t>considérant ce qui suit:</w:t>
      </w:r>
    </w:p>
    <w:p w:rsidR="002709B6" w:rsidRPr="006605A5" w:rsidRDefault="00DC39D2" w:rsidP="00651F63">
      <w:pPr>
        <w:pStyle w:val="ManualConsidrant"/>
        <w:rPr>
          <w:rFonts w:eastAsia="Times New Roman"/>
          <w:noProof/>
        </w:rPr>
      </w:pPr>
      <w:r>
        <w:rPr>
          <w:noProof/>
        </w:rPr>
        <w:t>(1)</w:t>
      </w:r>
      <w:r>
        <w:rPr>
          <w:noProof/>
        </w:rPr>
        <w:tab/>
      </w:r>
      <w:r w:rsidRPr="006605A5">
        <w:rPr>
          <w:noProof/>
        </w:rPr>
        <w:t>À la suite de la présentation par le Danemark, le 30 avril 2021, de son plan national pour la reprise et la résilience (ci-après le «PRR»), la Commission a proposé au Conseil que ce PRR reçoive une évaluation positive. Le 13 juillet 2021, le Conseil a approuvé l’évaluation positive par une décision d’exécution</w:t>
      </w:r>
      <w:r w:rsidRPr="006605A5">
        <w:rPr>
          <w:rStyle w:val="FootnoteReference"/>
          <w:rFonts w:eastAsia="Times New Roman"/>
          <w:noProof/>
        </w:rPr>
        <w:footnoteReference w:id="3"/>
      </w:r>
      <w:r w:rsidRPr="006605A5">
        <w:rPr>
          <w:noProof/>
        </w:rPr>
        <w:t xml:space="preserve"> (ci-après la «décision d’exécution du Conseil du 13 juillet 2021»). La décision d’exécution du Conseil du 13 juillet 2021 a été modifiée par les décisions d’exécution du Conseil du 9 novembre 2023</w:t>
      </w:r>
      <w:r w:rsidRPr="006605A5">
        <w:rPr>
          <w:rStyle w:val="FootnoteReference"/>
          <w:noProof/>
        </w:rPr>
        <w:footnoteReference w:id="4"/>
      </w:r>
      <w:r w:rsidRPr="006605A5">
        <w:rPr>
          <w:noProof/>
        </w:rPr>
        <w:t>, du 10 décembre 2024</w:t>
      </w:r>
      <w:r w:rsidRPr="006605A5">
        <w:rPr>
          <w:rStyle w:val="FootnoteReference"/>
          <w:noProof/>
        </w:rPr>
        <w:footnoteReference w:id="5"/>
      </w:r>
      <w:r w:rsidRPr="006605A5">
        <w:rPr>
          <w:noProof/>
        </w:rPr>
        <w:t xml:space="preserve"> et du 8 juillet 2025</w:t>
      </w:r>
      <w:r w:rsidRPr="006605A5">
        <w:rPr>
          <w:rStyle w:val="FootnoteReference"/>
          <w:rFonts w:eastAsia="Times New Roman"/>
          <w:noProof/>
        </w:rPr>
        <w:footnoteReference w:id="6"/>
      </w:r>
      <w:r w:rsidRPr="006605A5">
        <w:rPr>
          <w:noProof/>
        </w:rPr>
        <w:t>.</w:t>
      </w:r>
    </w:p>
    <w:p w:rsidR="002709B6" w:rsidRPr="006605A5" w:rsidRDefault="00DC39D2" w:rsidP="00A10B35">
      <w:pPr>
        <w:pStyle w:val="ManualConsidrant"/>
        <w:rPr>
          <w:rFonts w:eastAsia="Times New Roman"/>
          <w:noProof/>
        </w:rPr>
      </w:pPr>
      <w:r>
        <w:rPr>
          <w:noProof/>
        </w:rPr>
        <w:t>(2)</w:t>
      </w:r>
      <w:r>
        <w:rPr>
          <w:noProof/>
        </w:rPr>
        <w:tab/>
      </w:r>
      <w:r w:rsidRPr="006605A5">
        <w:rPr>
          <w:noProof/>
        </w:rPr>
        <w:t>Le 2 mars 2026, le Danemark a</w:t>
      </w:r>
      <w:bookmarkStart w:id="2" w:name="_Hlk130805569"/>
      <w:r w:rsidRPr="006605A5">
        <w:rPr>
          <w:noProof/>
        </w:rPr>
        <w:t xml:space="preserve"> adressé à la Commission une demande motivée l’invitant à présenter une proposition visant à modifier la décision d’exécution du Conseil du 13 juillet 2021 conformément à l’article 21, paragraphe 1, du règlement (UE) 2021/241, au motif que le PRR ne pouvait plus être respecté en partie, en raison de circonstances objectives. Sur cette base, le Danemark a présenté un PRR modifié.</w:t>
      </w:r>
      <w:bookmarkEnd w:id="2"/>
    </w:p>
    <w:p w:rsidR="002709B6" w:rsidRPr="006605A5" w:rsidRDefault="00DC39D2" w:rsidP="00A10B35">
      <w:pPr>
        <w:rPr>
          <w:b/>
          <w:bCs/>
          <w:i/>
          <w:iCs/>
          <w:noProof/>
        </w:rPr>
      </w:pPr>
      <w:r w:rsidRPr="006605A5">
        <w:rPr>
          <w:b/>
          <w:i/>
          <w:noProof/>
        </w:rPr>
        <w:t xml:space="preserve">Modifications fondées sur l’article 21 du règlement (UE) 2021/241 </w:t>
      </w:r>
    </w:p>
    <w:p w:rsidR="002709B6" w:rsidRPr="006605A5" w:rsidRDefault="00DC39D2">
      <w:pPr>
        <w:pStyle w:val="ManualConsidrant"/>
        <w:rPr>
          <w:rFonts w:eastAsia="Times New Roman"/>
          <w:noProof/>
        </w:rPr>
      </w:pPr>
      <w:r>
        <w:rPr>
          <w:noProof/>
        </w:rPr>
        <w:t>(3)</w:t>
      </w:r>
      <w:r>
        <w:rPr>
          <w:noProof/>
        </w:rPr>
        <w:tab/>
      </w:r>
      <w:r w:rsidRPr="006605A5">
        <w:rPr>
          <w:noProof/>
        </w:rPr>
        <w:t>Les modifications du PRR présentées par le Danemark en raison de circonstances objectives concernent 12 mesures.</w:t>
      </w:r>
    </w:p>
    <w:p w:rsidR="002709B6" w:rsidRPr="006605A5" w:rsidRDefault="00605091" w:rsidP="00E7232D">
      <w:pPr>
        <w:pStyle w:val="ManualConsidrant"/>
        <w:rPr>
          <w:rFonts w:eastAsia="Times New Roman"/>
          <w:noProof/>
        </w:rPr>
      </w:pPr>
      <w:r>
        <w:rPr>
          <w:noProof/>
        </w:rPr>
        <w:t>(4)</w:t>
      </w:r>
      <w:r>
        <w:rPr>
          <w:noProof/>
        </w:rPr>
        <w:tab/>
      </w:r>
      <w:bookmarkStart w:id="3" w:name="_Hlk158894031"/>
      <w:r w:rsidRPr="006605A5">
        <w:rPr>
          <w:noProof/>
          <w:color w:val="000000" w:themeColor="text1"/>
        </w:rPr>
        <w:t xml:space="preserve">Le Danemark a expliqué que quatre mesures n’étaient en partie plus réalisables en raison de retards imprévus. Il s’agit des mesures C2.R1 (Sols riches en carbone), C2.I6 </w:t>
      </w:r>
      <w:r w:rsidRPr="006605A5">
        <w:rPr>
          <w:noProof/>
          <w:color w:val="000000" w:themeColor="text1"/>
        </w:rPr>
        <w:lastRenderedPageBreak/>
        <w:t>(Réhabilitation des sites industriels et des terres contaminées), C5.I7 (Investissements dans les pistes cyclables sur les routes publiques et régime de subventions pour vélos en faveur des municipalités) et C8.I5 (Mesure à plus grande échelle: efficacité énergétique dans l’industrie).</w:t>
      </w:r>
      <w:r w:rsidRPr="006605A5">
        <w:rPr>
          <w:i/>
          <w:noProof/>
          <w:color w:val="000000" w:themeColor="text1"/>
        </w:rPr>
        <w:t xml:space="preserve"> </w:t>
      </w:r>
      <w:r w:rsidRPr="006605A5">
        <w:rPr>
          <w:noProof/>
        </w:rPr>
        <w:t>Sur cette base, le Danemark a demandé la modification de ces mesures. Il convient donc de modifier la décision d’exécution du Conseil du 13 juillet 2021 en conséquence.</w:t>
      </w:r>
      <w:bookmarkEnd w:id="3"/>
    </w:p>
    <w:p w:rsidR="00F33A40" w:rsidRPr="006605A5" w:rsidRDefault="00E7232D" w:rsidP="00F33A40">
      <w:pPr>
        <w:pStyle w:val="ManualConsidrant"/>
        <w:rPr>
          <w:rFonts w:eastAsia="Times New Roman"/>
          <w:noProof/>
        </w:rPr>
      </w:pPr>
      <w:r>
        <w:rPr>
          <w:noProof/>
        </w:rPr>
        <w:t>(5)</w:t>
      </w:r>
      <w:r>
        <w:rPr>
          <w:noProof/>
        </w:rPr>
        <w:tab/>
      </w:r>
      <w:r w:rsidRPr="006605A5">
        <w:rPr>
          <w:noProof/>
        </w:rPr>
        <w:t xml:space="preserve">Le Danemark a expliqué que huit mesures avaient été modifiées au profit de solutions plus efficaces permettant de réduire la charge administrative et de simplifier la décision d’exécution du Conseil tout en continuant d’atteindre les objectifs des mesures en question. Il s’agit des mesures C2.I5 (Technologies climatiques dans l’agriculture), C3.I3 (Rénovation énergétique des bâtiments publics), C3.I4 (Efficacité énergétique des ménages), C6.R1 (Stratégie numérique), C8.R1 [Personnel national de crise de l’énergie (NEKST)], C8.I1 (Examen de la capacité éolienne en mer du Danemark), C8.I2 (Mise à niveau des compétences écologiques) et C8.I3 (Remplacement des brûleurs de pétrole et des fours à gaz). Sur cette base, le Danemark a demandé la modification de ces mesures. Il convient donc de modifier la décision d’exécution du Conseil du 13 juillet 2021 en conséquence. </w:t>
      </w:r>
    </w:p>
    <w:p w:rsidR="003379FC" w:rsidRPr="006605A5" w:rsidRDefault="00A7190A" w:rsidP="001744D0">
      <w:pPr>
        <w:pStyle w:val="ManualConsidrant"/>
        <w:rPr>
          <w:rFonts w:eastAsia="Times New Roman"/>
          <w:noProof/>
        </w:rPr>
      </w:pPr>
      <w:r>
        <w:rPr>
          <w:noProof/>
        </w:rPr>
        <w:t>(6)</w:t>
      </w:r>
      <w:r>
        <w:rPr>
          <w:noProof/>
        </w:rPr>
        <w:tab/>
      </w:r>
      <w:r w:rsidRPr="006605A5">
        <w:rPr>
          <w:noProof/>
        </w:rPr>
        <w:t>À la suite de l’abaissement du niveau de mise en œuvre de certaines mesures au titre de l’article 21 du règlement (UE) 2021/241, le Danemark a demandé d’utiliser les ressources ainsi libérées pour augmenter le niveau de mise en œuvre de deux mesures.</w:t>
      </w:r>
      <w:r w:rsidRPr="006605A5">
        <w:rPr>
          <w:i/>
          <w:noProof/>
        </w:rPr>
        <w:t xml:space="preserve"> </w:t>
      </w:r>
      <w:r w:rsidRPr="006605A5">
        <w:rPr>
          <w:noProof/>
        </w:rPr>
        <w:t>Il s’agit des mesures C3.I4 (Efficacité énergétique des ménages) et C5.R1 (Redéfinition des priorités de la taxe d’immatriculation des véhicules et faible taxe sur l’électricité sur la recharge des véhicules électriques). Sur cette base, le Danemark a demandé que le niveau de mise en œuvre de ces deux mesures soit augmenté. Il convient donc de modifier la décision d’exécution du Conseil du 13 juillet 2021 en conséquence.</w:t>
      </w:r>
    </w:p>
    <w:p w:rsidR="002709B6" w:rsidRPr="006605A5" w:rsidRDefault="00DC39D2" w:rsidP="00A10B35">
      <w:pPr>
        <w:rPr>
          <w:b/>
          <w:bCs/>
          <w:i/>
          <w:iCs/>
          <w:noProof/>
        </w:rPr>
      </w:pPr>
      <w:r w:rsidRPr="006605A5">
        <w:rPr>
          <w:b/>
          <w:i/>
          <w:noProof/>
        </w:rPr>
        <w:t>Évaluation de la Commission</w:t>
      </w:r>
    </w:p>
    <w:p w:rsidR="002709B6" w:rsidRPr="006605A5" w:rsidRDefault="00DC39D2">
      <w:pPr>
        <w:pStyle w:val="ManualConsidrant"/>
        <w:rPr>
          <w:rFonts w:eastAsia="Times New Roman"/>
          <w:noProof/>
        </w:rPr>
      </w:pPr>
      <w:r>
        <w:rPr>
          <w:noProof/>
        </w:rPr>
        <w:t>(7)</w:t>
      </w:r>
      <w:r>
        <w:rPr>
          <w:noProof/>
        </w:rPr>
        <w:tab/>
      </w:r>
      <w:r w:rsidRPr="006605A5">
        <w:rPr>
          <w:noProof/>
        </w:rPr>
        <w:t>La Commission a évalué le PRR modifié au regard des critères d’évaluation énoncés à l’article 19, paragraphe 3, du règlement (UE) 2021/241.</w:t>
      </w:r>
    </w:p>
    <w:p w:rsidR="002709B6" w:rsidRPr="006605A5" w:rsidRDefault="00DC39D2" w:rsidP="00A10B35">
      <w:pPr>
        <w:rPr>
          <w:b/>
          <w:bCs/>
          <w:i/>
          <w:iCs/>
          <w:noProof/>
        </w:rPr>
      </w:pPr>
      <w:r w:rsidRPr="006605A5">
        <w:rPr>
          <w:b/>
          <w:i/>
          <w:noProof/>
        </w:rPr>
        <w:t>Contribution à la transition verte, y compris à la biodiversité</w:t>
      </w:r>
    </w:p>
    <w:p w:rsidR="002709B6" w:rsidRPr="006605A5" w:rsidRDefault="00DC39D2">
      <w:pPr>
        <w:pStyle w:val="ManualConsidrant"/>
        <w:rPr>
          <w:rFonts w:eastAsia="Times New Roman"/>
          <w:noProof/>
        </w:rPr>
      </w:pPr>
      <w:r>
        <w:rPr>
          <w:noProof/>
        </w:rPr>
        <w:t>(8)</w:t>
      </w:r>
      <w:r>
        <w:rPr>
          <w:noProof/>
        </w:rPr>
        <w:tab/>
      </w:r>
      <w:r w:rsidRPr="006605A5">
        <w:rPr>
          <w:noProof/>
        </w:rPr>
        <w:t>Conformément à l’article 19, paragraphe 3, point e), et à l’annexe V, critère 2.5, du règlement (UE) 2021/241, le PRR modifié contient des mesures qui contribuent dans une large mesure (note A) à la transition verte, y compris la biodiversité, ou à relever les défis qui en découlent. Le montant des mesures de soutien aux objectifs climatiques représente 68,1 % de l’enveloppe totale du PRR modifié et 91,9 % du total des coûts estimés des mesures figurant dans le chapitre REPowerEU, le calcul étant effectué selon la méthode définie à l’annexe VI du règlement (UE) 2021/241. Conformément à l’article 17 dudit règlement, le PRR modifié est cohérent avec les informations qui figurent dans le plan national en matière d’énergie et de climat 2021</w:t>
      </w:r>
      <w:r w:rsidR="00BF256B">
        <w:rPr>
          <w:noProof/>
        </w:rPr>
        <w:noBreakHyphen/>
      </w:r>
      <w:r w:rsidRPr="006605A5">
        <w:rPr>
          <w:noProof/>
        </w:rPr>
        <w:t xml:space="preserve">2030. </w:t>
      </w:r>
    </w:p>
    <w:p w:rsidR="002709B6" w:rsidRPr="006605A5" w:rsidRDefault="00C85D75">
      <w:pPr>
        <w:pStyle w:val="ManualConsidrant"/>
        <w:rPr>
          <w:rFonts w:eastAsia="Times New Roman"/>
          <w:noProof/>
        </w:rPr>
      </w:pPr>
      <w:r>
        <w:rPr>
          <w:noProof/>
        </w:rPr>
        <w:t>(9)</w:t>
      </w:r>
      <w:r>
        <w:rPr>
          <w:noProof/>
        </w:rPr>
        <w:tab/>
      </w:r>
      <w:r w:rsidRPr="006605A5">
        <w:rPr>
          <w:noProof/>
        </w:rPr>
        <w:t>À la suite des modifications que le Danemark propose d’apporter au PRR, la contribution aux objectifs climatiques a diminué, passant de 69 % à 68,1 %. La diminution de la contribution aux objectifs climatiques s’explique par celles du coefficient d’étiquetage climatique et du niveau de mise en œuvre de la mesure C8.I5 (Mesure à plus grande échelle: efficacité énergétique dans l’industrie). En raison de leur portée limitée, ces modifications ne changent en rien l’évaluation globale de ce critère.</w:t>
      </w:r>
    </w:p>
    <w:p w:rsidR="002709B6" w:rsidRPr="006605A5" w:rsidRDefault="00DC39D2" w:rsidP="00A10B35">
      <w:pPr>
        <w:rPr>
          <w:b/>
          <w:bCs/>
          <w:i/>
          <w:iCs/>
          <w:noProof/>
        </w:rPr>
      </w:pPr>
      <w:r w:rsidRPr="006605A5">
        <w:rPr>
          <w:b/>
          <w:i/>
          <w:noProof/>
        </w:rPr>
        <w:t>Coûts</w:t>
      </w:r>
    </w:p>
    <w:p w:rsidR="002709B6" w:rsidRPr="006605A5" w:rsidRDefault="00DC39D2">
      <w:pPr>
        <w:pStyle w:val="ManualConsidrant"/>
        <w:rPr>
          <w:rFonts w:eastAsia="Times New Roman"/>
          <w:noProof/>
        </w:rPr>
      </w:pPr>
      <w:r>
        <w:rPr>
          <w:noProof/>
        </w:rPr>
        <w:t>(10)</w:t>
      </w:r>
      <w:r>
        <w:rPr>
          <w:noProof/>
        </w:rPr>
        <w:tab/>
      </w:r>
      <w:r w:rsidRPr="006605A5">
        <w:rPr>
          <w:noProof/>
        </w:rPr>
        <w:t>Conformément à l’article 19, paragraphe 3, point i), et à l’annexe V, critère 2.9, du règlement (UE) 2021/241, la justification fournie dans le PRR modifié quant au montant du coût total estimé du PRR est, dans une moyenne mesure (note B), raisonnable et plausible, conforme au principe de l’efficacité au regard des coûts et proportionnée aux conséquences économiques et sociales attendues au niveau national.</w:t>
      </w:r>
    </w:p>
    <w:p w:rsidR="002709B6" w:rsidRPr="006605A5" w:rsidRDefault="007C06FE">
      <w:pPr>
        <w:pStyle w:val="ManualConsidrant"/>
        <w:rPr>
          <w:rFonts w:eastAsia="Times New Roman"/>
          <w:noProof/>
        </w:rPr>
      </w:pPr>
      <w:r>
        <w:rPr>
          <w:noProof/>
        </w:rPr>
        <w:t>(11)</w:t>
      </w:r>
      <w:r>
        <w:rPr>
          <w:noProof/>
        </w:rPr>
        <w:tab/>
      </w:r>
      <w:r w:rsidRPr="006605A5">
        <w:rPr>
          <w:noProof/>
        </w:rPr>
        <w:t xml:space="preserve">D’après les informations communiquées, l’évaluation des coûts estimés pour les mesures existantes dont les modifications ont entraîné une nouvelle évaluation des coûts indique que ces coûts sont, pour la plupart, raisonnables et plausibles. En outre, les modifications apportées aux estimations des coûts pour les mesures modifiées sont justifiées et proportionnées aux cibles révisées, et, à ce titre, le caractère raisonnable et plausible de ces estimations de coûts n’a pas changé par rapport au PRR initial. Enfin, le montant des coûts totaux estimés du PRR est conforme au principe de l’efficacité au regard des coûts et proportionné aux conséquences économiques et sociales attendues au niveau national. </w:t>
      </w:r>
    </w:p>
    <w:p w:rsidR="00902FD9" w:rsidRPr="006605A5" w:rsidRDefault="00902FD9" w:rsidP="00902FD9">
      <w:pPr>
        <w:rPr>
          <w:b/>
          <w:bCs/>
          <w:i/>
          <w:iCs/>
          <w:noProof/>
        </w:rPr>
      </w:pPr>
      <w:r w:rsidRPr="006605A5">
        <w:rPr>
          <w:b/>
          <w:i/>
          <w:noProof/>
        </w:rPr>
        <w:t>Autres critères d’évaluation</w:t>
      </w:r>
    </w:p>
    <w:p w:rsidR="00902FD9" w:rsidRPr="006605A5" w:rsidRDefault="00902FD9" w:rsidP="00902FD9">
      <w:pPr>
        <w:pStyle w:val="ManualConsidrant"/>
        <w:rPr>
          <w:rFonts w:eastAsia="Times New Roman"/>
          <w:noProof/>
        </w:rPr>
      </w:pPr>
      <w:r>
        <w:rPr>
          <w:noProof/>
        </w:rPr>
        <w:t>(12)</w:t>
      </w:r>
      <w:r>
        <w:rPr>
          <w:noProof/>
        </w:rPr>
        <w:tab/>
      </w:r>
      <w:r w:rsidRPr="006605A5">
        <w:rPr>
          <w:noProof/>
        </w:rPr>
        <w:t>La Commission considère que les modifications proposées par le Danemark n’ont pas d’incidence sur l’évaluation positive du PRR présentée dans la décision d’exécution ST 10154/21 du Conseil du 13 juillet 2021 relative à l’approbation de l’évaluation du PRR pour le Danemark en ce qui concerne la pertinence, l’efficacité, l’efficience et la cohérence du PRR au regard des critères d’évaluation énoncés à l’article 19, paragraphe 3, points a), b), c), d), d </w:t>
      </w:r>
      <w:r w:rsidRPr="006605A5">
        <w:rPr>
          <w:i/>
          <w:iCs/>
          <w:noProof/>
        </w:rPr>
        <w:t>bis</w:t>
      </w:r>
      <w:r w:rsidRPr="006605A5">
        <w:rPr>
          <w:noProof/>
        </w:rPr>
        <w:t>), d </w:t>
      </w:r>
      <w:r w:rsidRPr="006605A5">
        <w:rPr>
          <w:i/>
          <w:iCs/>
          <w:noProof/>
        </w:rPr>
        <w:t>ter</w:t>
      </w:r>
      <w:r w:rsidRPr="006605A5">
        <w:rPr>
          <w:noProof/>
        </w:rPr>
        <w:t>), f), g), h), j) et k).</w:t>
      </w:r>
    </w:p>
    <w:p w:rsidR="002709B6" w:rsidRPr="006605A5" w:rsidRDefault="00DC39D2">
      <w:pPr>
        <w:rPr>
          <w:rFonts w:eastAsia="Times New Roman"/>
          <w:b/>
          <w:bCs/>
          <w:i/>
          <w:iCs/>
          <w:noProof/>
        </w:rPr>
      </w:pPr>
      <w:r w:rsidRPr="006605A5">
        <w:rPr>
          <w:b/>
          <w:i/>
          <w:noProof/>
        </w:rPr>
        <w:t>Évaluation positive</w:t>
      </w:r>
    </w:p>
    <w:p w:rsidR="002709B6" w:rsidRPr="006605A5" w:rsidRDefault="00DC39D2">
      <w:pPr>
        <w:pStyle w:val="ManualConsidrant"/>
        <w:rPr>
          <w:rFonts w:eastAsia="Times New Roman"/>
          <w:noProof/>
        </w:rPr>
      </w:pPr>
      <w:r>
        <w:rPr>
          <w:noProof/>
        </w:rPr>
        <w:t>(13)</w:t>
      </w:r>
      <w:r>
        <w:rPr>
          <w:noProof/>
        </w:rPr>
        <w:tab/>
      </w:r>
      <w:r w:rsidRPr="006605A5">
        <w:rPr>
          <w:noProof/>
        </w:rPr>
        <w:t>À la suite de l’évaluation positive, par la Commission, du PRR modifié, selon laquelle celui-ci répond de manière satisfaisante aux critères d’évaluation définis dans le règlement (UE) 2021/241, il convient, conformément à l’article 20, paragraphe 2, et à l’annexe V dudit règlement, d’énoncer les réformes et les projets d’investissement nécessaires à la mise en œuvre du PRR modifié, les jalons, cibles et indicateurs pertinents, ainsi que le montant mis à disposition par l’Union pour la mise en œuvre du PRR modifié.</w:t>
      </w:r>
    </w:p>
    <w:p w:rsidR="002709B6" w:rsidRPr="006605A5" w:rsidRDefault="00DC39D2" w:rsidP="00A10B35">
      <w:pPr>
        <w:rPr>
          <w:b/>
          <w:bCs/>
          <w:i/>
          <w:iCs/>
          <w:noProof/>
        </w:rPr>
      </w:pPr>
      <w:r w:rsidRPr="006605A5">
        <w:rPr>
          <w:b/>
          <w:i/>
          <w:noProof/>
        </w:rPr>
        <w:t>Contribution financière</w:t>
      </w:r>
    </w:p>
    <w:p w:rsidR="002709B6" w:rsidRPr="006605A5" w:rsidRDefault="02F1A33F">
      <w:pPr>
        <w:pStyle w:val="ManualConsidrant"/>
        <w:rPr>
          <w:noProof/>
        </w:rPr>
      </w:pPr>
      <w:r>
        <w:rPr>
          <w:noProof/>
        </w:rPr>
        <w:t>(14)</w:t>
      </w:r>
      <w:r>
        <w:rPr>
          <w:noProof/>
        </w:rPr>
        <w:tab/>
      </w:r>
      <w:r w:rsidRPr="006605A5">
        <w:rPr>
          <w:noProof/>
        </w:rPr>
        <w:t>Le coût total du PRR modifié du Danemark est estimé à 1 781 489 765 EUR. Le montant du coût total estimé du PRR modifié étant supérieur à la contribution financière maximale actualisée disponible pour le Danemark, la contribution financière déterminée conformément à l’article 4 </w:t>
      </w:r>
      <w:r w:rsidRPr="006605A5">
        <w:rPr>
          <w:i/>
          <w:iCs/>
          <w:noProof/>
        </w:rPr>
        <w:t>bis</w:t>
      </w:r>
      <w:r w:rsidRPr="006605A5">
        <w:rPr>
          <w:noProof/>
        </w:rPr>
        <w:t xml:space="preserve"> du règlement (UE) 2021/1755 du Parlement européen et du Conseil</w:t>
      </w:r>
      <w:r w:rsidRPr="006605A5">
        <w:rPr>
          <w:rStyle w:val="FootnoteReference"/>
          <w:noProof/>
        </w:rPr>
        <w:footnoteReference w:id="7"/>
      </w:r>
      <w:r w:rsidRPr="006605A5">
        <w:rPr>
          <w:noProof/>
        </w:rPr>
        <w:t xml:space="preserve"> ainsi qu’à l’article 20, paragraphe 4, et à l’article 21 </w:t>
      </w:r>
      <w:r w:rsidRPr="006605A5">
        <w:rPr>
          <w:i/>
          <w:iCs/>
          <w:noProof/>
        </w:rPr>
        <w:t>bis</w:t>
      </w:r>
      <w:r w:rsidRPr="006605A5">
        <w:rPr>
          <w:noProof/>
        </w:rPr>
        <w:t>, paragraphe 6, du règlement (UE) 2021/241, allouée au PRR modifié du Danemark, devrait être égale à 1 625 890 885 EUR. Par conséquent, la contribution financière mise à la disposition du Danemark reste inchangée.</w:t>
      </w:r>
    </w:p>
    <w:p w:rsidR="002709B6" w:rsidRPr="006605A5" w:rsidRDefault="00581E2A">
      <w:pPr>
        <w:pStyle w:val="ManualConsidrant"/>
        <w:ind w:left="720" w:hanging="720"/>
        <w:rPr>
          <w:rFonts w:eastAsia="Times New Roman"/>
          <w:noProof/>
        </w:rPr>
      </w:pPr>
      <w:r>
        <w:rPr>
          <w:noProof/>
        </w:rPr>
        <w:t>(15)</w:t>
      </w:r>
      <w:r>
        <w:rPr>
          <w:noProof/>
        </w:rPr>
        <w:tab/>
      </w:r>
      <w:r w:rsidRPr="006605A5">
        <w:rPr>
          <w:noProof/>
        </w:rPr>
        <w:t>Il convient donc de modifier la décision d’exécution du Conseil du 13 juillet 2021 en conséquence. Par souci de clarté, il convient de remplacer intégralement l’annexe de la décision d’exécution du Conseil du 13 juillet 2021.</w:t>
      </w:r>
    </w:p>
    <w:p w:rsidR="00C410A7" w:rsidRPr="006605A5" w:rsidRDefault="00C410A7" w:rsidP="00C410A7">
      <w:pPr>
        <w:pStyle w:val="ManualConsidrant"/>
        <w:ind w:left="720" w:hanging="720"/>
        <w:rPr>
          <w:rFonts w:eastAsia="Times New Roman"/>
          <w:noProof/>
        </w:rPr>
      </w:pPr>
      <w:r>
        <w:rPr>
          <w:noProof/>
        </w:rPr>
        <w:t>(16)</w:t>
      </w:r>
      <w:r>
        <w:rPr>
          <w:noProof/>
        </w:rPr>
        <w:tab/>
      </w:r>
      <w:r w:rsidRPr="006605A5">
        <w:rPr>
          <w:noProof/>
        </w:rPr>
        <w:t>La présente décision ne devrait pas préjuger de l’issue d’éventuelles procédures relatives à l’octroi de fonds de l’Union au titre de tout programme de l’Union autre que la facilité ou de procédures relatives à des distorsions de fonctionnement du marché intérieur qui pourraient être intentées, notamment en vertu des articles 107 et 108 du traité. Elle ne dispense pas les États membres de l’obligation de notifier toute aide d’État potentielle à la Commission, conformément à l’article 108 du traité,</w:t>
      </w:r>
    </w:p>
    <w:p w:rsidR="002709B6" w:rsidRPr="006605A5" w:rsidRDefault="00DC39D2">
      <w:pPr>
        <w:pStyle w:val="Formuledadoption"/>
        <w:rPr>
          <w:rFonts w:eastAsia="Times New Roman"/>
          <w:noProof/>
        </w:rPr>
      </w:pPr>
      <w:r w:rsidRPr="006605A5">
        <w:rPr>
          <w:noProof/>
        </w:rPr>
        <w:t xml:space="preserve">A ADOPTÉ LA PRÉSENTE DÉCISION: </w:t>
      </w:r>
    </w:p>
    <w:p w:rsidR="00A10B35" w:rsidRPr="006605A5" w:rsidRDefault="00A10B35" w:rsidP="00A10B35">
      <w:pPr>
        <w:pStyle w:val="Titrearticle"/>
        <w:rPr>
          <w:noProof/>
        </w:rPr>
      </w:pPr>
      <w:r w:rsidRPr="006605A5">
        <w:rPr>
          <w:noProof/>
        </w:rPr>
        <w:t xml:space="preserve">Article premier </w:t>
      </w:r>
      <w:r w:rsidRPr="006605A5">
        <w:rPr>
          <w:noProof/>
        </w:rPr>
        <w:br/>
        <w:t>Approbation de l’évaluation du PRR</w:t>
      </w:r>
    </w:p>
    <w:p w:rsidR="005E081C" w:rsidRPr="006605A5" w:rsidRDefault="005E081C" w:rsidP="005E081C">
      <w:pPr>
        <w:rPr>
          <w:noProof/>
        </w:rPr>
      </w:pPr>
      <w:r w:rsidRPr="006605A5">
        <w:rPr>
          <w:noProof/>
        </w:rPr>
        <w:t>L’évaluation du plan pour la reprise et la résilience pour le Danemark sur la base des critères prévus à l’article 19, paragraphe 3, du règlement (UE) 2021/241 est approuvée.</w:t>
      </w:r>
    </w:p>
    <w:p w:rsidR="00A10B35" w:rsidRPr="006605A5" w:rsidRDefault="00A10B35" w:rsidP="00A10B35">
      <w:pPr>
        <w:pStyle w:val="Titrearticle"/>
        <w:rPr>
          <w:noProof/>
        </w:rPr>
      </w:pPr>
      <w:r w:rsidRPr="006605A5">
        <w:rPr>
          <w:noProof/>
        </w:rPr>
        <w:t xml:space="preserve">Article 2 </w:t>
      </w:r>
      <w:r w:rsidRPr="006605A5">
        <w:rPr>
          <w:noProof/>
        </w:rPr>
        <w:br/>
        <w:t>Modifications</w:t>
      </w:r>
    </w:p>
    <w:p w:rsidR="00FA3A5D" w:rsidRPr="006605A5" w:rsidRDefault="00DC39D2">
      <w:pPr>
        <w:rPr>
          <w:rFonts w:eastAsia="Times New Roman"/>
          <w:noProof/>
        </w:rPr>
      </w:pPr>
      <w:r w:rsidRPr="006605A5">
        <w:rPr>
          <w:noProof/>
        </w:rPr>
        <w:t xml:space="preserve">La décision d’exécution du Conseil du 13 juillet 2021 relative à l’approbation de l’évaluation du plan pour la reprise et la résilience pour le Danemark est modifiée comme suit: </w:t>
      </w:r>
    </w:p>
    <w:p w:rsidR="002709B6" w:rsidRPr="006605A5" w:rsidRDefault="00DC39D2" w:rsidP="00AE288D">
      <w:pPr>
        <w:rPr>
          <w:rFonts w:eastAsia="Times New Roman"/>
          <w:noProof/>
        </w:rPr>
      </w:pPr>
      <w:r w:rsidRPr="006605A5">
        <w:rPr>
          <w:noProof/>
        </w:rPr>
        <w:t>L’annexe est remplacée par le texte figurant à l’annexe de la présente décision.</w:t>
      </w:r>
    </w:p>
    <w:p w:rsidR="00A10B35" w:rsidRPr="006605A5" w:rsidRDefault="00A10B35" w:rsidP="00395B8D">
      <w:pPr>
        <w:pStyle w:val="Titrearticle"/>
        <w:rPr>
          <w:noProof/>
        </w:rPr>
      </w:pPr>
      <w:r w:rsidRPr="006605A5">
        <w:rPr>
          <w:noProof/>
        </w:rPr>
        <w:t xml:space="preserve">Article 3 </w:t>
      </w:r>
      <w:r w:rsidRPr="006605A5">
        <w:rPr>
          <w:noProof/>
        </w:rPr>
        <w:br/>
        <w:t>Destinataire</w:t>
      </w:r>
    </w:p>
    <w:p w:rsidR="002709B6" w:rsidRPr="006605A5" w:rsidRDefault="00DC39D2">
      <w:pPr>
        <w:rPr>
          <w:noProof/>
        </w:rPr>
      </w:pPr>
      <w:r w:rsidRPr="006605A5">
        <w:rPr>
          <w:noProof/>
        </w:rPr>
        <w:t>Le Royaume de Danemark est destinataire de la présente décision.</w:t>
      </w:r>
    </w:p>
    <w:p w:rsidR="002709B6" w:rsidRPr="006605A5" w:rsidRDefault="00254ACC" w:rsidP="00395B8D">
      <w:pPr>
        <w:pStyle w:val="Fait"/>
        <w:rPr>
          <w:noProof/>
        </w:rPr>
      </w:pPr>
      <w:r>
        <w:rPr>
          <w:noProof/>
        </w:rPr>
        <w:t>Fait à Bruxelles, le</w:t>
      </w:r>
    </w:p>
    <w:p w:rsidR="002709B6" w:rsidRPr="006605A5" w:rsidRDefault="00DC39D2" w:rsidP="00395B8D">
      <w:pPr>
        <w:pStyle w:val="Institutionquisigne"/>
        <w:rPr>
          <w:noProof/>
        </w:rPr>
      </w:pPr>
      <w:r w:rsidRPr="006605A5">
        <w:rPr>
          <w:noProof/>
        </w:rPr>
        <w:tab/>
        <w:t>Par le Conseil</w:t>
      </w:r>
    </w:p>
    <w:p w:rsidR="002709B6" w:rsidRPr="006605A5" w:rsidRDefault="00DC39D2">
      <w:pPr>
        <w:pStyle w:val="Personnequisigne"/>
        <w:rPr>
          <w:noProof/>
        </w:rPr>
      </w:pPr>
      <w:r w:rsidRPr="006605A5">
        <w:rPr>
          <w:noProof/>
        </w:rPr>
        <w:tab/>
        <w:t>Le président/La présidente</w:t>
      </w:r>
    </w:p>
    <w:bookmarkEnd w:id="0"/>
    <w:sectPr w:rsidR="002709B6" w:rsidRPr="006605A5" w:rsidSect="00DA6E17">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937" w:rsidRDefault="00805937">
      <w:pPr>
        <w:spacing w:before="0" w:after="0"/>
      </w:pPr>
      <w:r>
        <w:separator/>
      </w:r>
    </w:p>
  </w:endnote>
  <w:endnote w:type="continuationSeparator" w:id="0">
    <w:p w:rsidR="00805937" w:rsidRDefault="00805937">
      <w:pPr>
        <w:spacing w:before="0" w:after="0"/>
      </w:pPr>
      <w:r>
        <w:continuationSeparator/>
      </w:r>
    </w:p>
  </w:endnote>
  <w:endnote w:type="continuationNotice" w:id="1">
    <w:p w:rsidR="00805937" w:rsidRDefault="0080593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6E17" w:rsidRPr="00DA6E17" w:rsidRDefault="00DA6E17" w:rsidP="00DA6E17">
    <w:pPr>
      <w:pStyle w:val="Footer"/>
      <w:rPr>
        <w:rFonts w:ascii="Arial" w:hAnsi="Arial" w:cs="Arial"/>
        <w:b/>
        <w:sz w:val="48"/>
      </w:rPr>
    </w:pPr>
    <w:r w:rsidRPr="00DA6E17">
      <w:rPr>
        <w:rFonts w:ascii="Arial" w:hAnsi="Arial" w:cs="Arial"/>
        <w:b/>
        <w:sz w:val="48"/>
      </w:rPr>
      <w:t>FR</w:t>
    </w:r>
    <w:r w:rsidRPr="00DA6E17">
      <w:rPr>
        <w:rFonts w:ascii="Arial" w:hAnsi="Arial" w:cs="Arial"/>
        <w:b/>
        <w:sz w:val="48"/>
      </w:rPr>
      <w:tab/>
    </w:r>
    <w:r w:rsidRPr="00DA6E17">
      <w:rPr>
        <w:rFonts w:ascii="Arial" w:hAnsi="Arial" w:cs="Arial"/>
        <w:b/>
        <w:sz w:val="48"/>
      </w:rPr>
      <w:tab/>
    </w:r>
    <w:r w:rsidRPr="00DA6E17">
      <w:tab/>
    </w:r>
    <w:r w:rsidRPr="00DA6E17">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6E17" w:rsidRPr="00DA6E17" w:rsidRDefault="00DA6E17" w:rsidP="00DA6E17">
    <w:pPr>
      <w:pStyle w:val="Footer"/>
      <w:rPr>
        <w:rFonts w:ascii="Arial" w:hAnsi="Arial" w:cs="Arial"/>
        <w:b/>
        <w:sz w:val="48"/>
      </w:rPr>
    </w:pPr>
    <w:r w:rsidRPr="00DA6E17">
      <w:rPr>
        <w:rFonts w:ascii="Arial" w:hAnsi="Arial" w:cs="Arial"/>
        <w:b/>
        <w:sz w:val="48"/>
      </w:rPr>
      <w:t>FR</w:t>
    </w:r>
    <w:r w:rsidRPr="00DA6E17">
      <w:rPr>
        <w:rFonts w:ascii="Arial" w:hAnsi="Arial" w:cs="Arial"/>
        <w:b/>
        <w:sz w:val="48"/>
      </w:rPr>
      <w:tab/>
    </w:r>
    <w:r w:rsidRPr="00DA6E17">
      <w:rPr>
        <w:rFonts w:ascii="Arial" w:hAnsi="Arial" w:cs="Arial"/>
        <w:b/>
        <w:sz w:val="48"/>
      </w:rPr>
      <w:tab/>
    </w:r>
    <w:r w:rsidRPr="00DA6E17">
      <w:tab/>
    </w:r>
    <w:r w:rsidRPr="00DA6E17">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6E17" w:rsidRDefault="00DA6E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6E17" w:rsidRPr="00DA6E17" w:rsidRDefault="00DA6E17" w:rsidP="00DA6E17">
    <w:pPr>
      <w:pStyle w:val="Footer"/>
      <w:rPr>
        <w:rFonts w:ascii="Arial" w:hAnsi="Arial" w:cs="Arial"/>
        <w:b/>
        <w:sz w:val="48"/>
      </w:rPr>
    </w:pPr>
    <w:r w:rsidRPr="00DA6E17">
      <w:rPr>
        <w:rFonts w:ascii="Arial" w:hAnsi="Arial" w:cs="Arial"/>
        <w:b/>
        <w:sz w:val="48"/>
      </w:rPr>
      <w:t>FR</w:t>
    </w:r>
    <w:r w:rsidRPr="00DA6E17">
      <w:rPr>
        <w:rFonts w:ascii="Arial" w:hAnsi="Arial" w:cs="Arial"/>
        <w:b/>
        <w:sz w:val="48"/>
      </w:rPr>
      <w:tab/>
    </w:r>
    <w:r>
      <w:fldChar w:fldCharType="begin"/>
    </w:r>
    <w:r>
      <w:instrText xml:space="preserve"> PAGE  \* MERGEFORMAT </w:instrText>
    </w:r>
    <w:r>
      <w:fldChar w:fldCharType="separate"/>
    </w:r>
    <w:r w:rsidR="0073392C">
      <w:rPr>
        <w:noProof/>
      </w:rPr>
      <w:t>1</w:t>
    </w:r>
    <w:r>
      <w:fldChar w:fldCharType="end"/>
    </w:r>
    <w:r>
      <w:tab/>
    </w:r>
    <w:r w:rsidRPr="00DA6E17">
      <w:tab/>
    </w:r>
    <w:r w:rsidRPr="00DA6E17">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6E17" w:rsidRDefault="00DA6E17" w:rsidP="00DA6E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937" w:rsidRDefault="00805937">
      <w:pPr>
        <w:spacing w:before="0" w:after="0"/>
      </w:pPr>
      <w:r>
        <w:separator/>
      </w:r>
    </w:p>
  </w:footnote>
  <w:footnote w:type="continuationSeparator" w:id="0">
    <w:p w:rsidR="00805937" w:rsidRDefault="00805937">
      <w:pPr>
        <w:spacing w:before="0" w:after="0"/>
      </w:pPr>
      <w:r>
        <w:continuationSeparator/>
      </w:r>
    </w:p>
  </w:footnote>
  <w:footnote w:type="continuationNotice" w:id="1">
    <w:p w:rsidR="00805937" w:rsidRDefault="00805937">
      <w:pPr>
        <w:spacing w:before="0" w:after="0"/>
      </w:pPr>
    </w:p>
  </w:footnote>
  <w:footnote w:id="2">
    <w:p w:rsidR="002709B6" w:rsidRPr="006605A5" w:rsidRDefault="00DC39D2">
      <w:pPr>
        <w:pStyle w:val="FootnoteText"/>
        <w:rPr>
          <w:lang w:val="fr-BE"/>
        </w:rPr>
      </w:pPr>
      <w:r>
        <w:rPr>
          <w:rStyle w:val="FootnoteReference"/>
        </w:rPr>
        <w:footnoteRef/>
      </w:r>
      <w:r w:rsidRPr="006605A5">
        <w:rPr>
          <w:lang w:val="fr-BE"/>
        </w:rPr>
        <w:tab/>
        <w:t xml:space="preserve">JO L 57 du 18.2.2021, p. 17, ELI: </w:t>
      </w:r>
      <w:hyperlink r:id="rId1" w:history="1">
        <w:r w:rsidRPr="006605A5">
          <w:rPr>
            <w:rStyle w:val="Hyperlink"/>
            <w:lang w:val="fr-BE"/>
          </w:rPr>
          <w:t>http://data.europa.eu/eli/reg/2021/241/oj</w:t>
        </w:r>
      </w:hyperlink>
      <w:r w:rsidRPr="006605A5">
        <w:rPr>
          <w:lang w:val="fr-BE"/>
        </w:rPr>
        <w:t>.</w:t>
      </w:r>
    </w:p>
  </w:footnote>
  <w:footnote w:id="3">
    <w:p w:rsidR="00B9566F" w:rsidRPr="006605A5" w:rsidRDefault="00B9566F" w:rsidP="00B9566F">
      <w:pPr>
        <w:pStyle w:val="FootnoteText"/>
        <w:rPr>
          <w:lang w:val="fr-BE"/>
        </w:rPr>
      </w:pPr>
      <w:r>
        <w:rPr>
          <w:rStyle w:val="FootnoteReference"/>
        </w:rPr>
        <w:footnoteRef/>
      </w:r>
      <w:r w:rsidRPr="006605A5">
        <w:rPr>
          <w:lang w:val="fr-BE"/>
        </w:rPr>
        <w:tab/>
        <w:t xml:space="preserve">Voir les documents ST 10154/21 INIT et ST 10154/21 ADD 1 disponibles à l’adresse suivante: </w:t>
      </w:r>
      <w:hyperlink r:id="rId2" w:history="1">
        <w:r w:rsidRPr="006605A5">
          <w:rPr>
            <w:rStyle w:val="Hyperlink"/>
            <w:lang w:val="fr-BE"/>
          </w:rPr>
          <w:t>https://www.consilium.europa.eu/fr/documents/public-register/</w:t>
        </w:r>
      </w:hyperlink>
      <w:r w:rsidRPr="006605A5">
        <w:rPr>
          <w:lang w:val="fr-BE"/>
        </w:rPr>
        <w:t>.</w:t>
      </w:r>
    </w:p>
  </w:footnote>
  <w:footnote w:id="4">
    <w:p w:rsidR="0002176C" w:rsidRPr="006605A5" w:rsidRDefault="0002176C">
      <w:pPr>
        <w:pStyle w:val="FootnoteText"/>
        <w:rPr>
          <w:lang w:val="fr-BE"/>
        </w:rPr>
      </w:pPr>
      <w:r>
        <w:rPr>
          <w:rStyle w:val="FootnoteReference"/>
        </w:rPr>
        <w:footnoteRef/>
      </w:r>
      <w:r w:rsidRPr="006605A5">
        <w:rPr>
          <w:lang w:val="fr-BE"/>
        </w:rPr>
        <w:tab/>
        <w:t xml:space="preserve">Voir les documents ST 14473/23 INIT et ST 14473/23 ADD 1 disponibles à l’adresse suivante: </w:t>
      </w:r>
      <w:hyperlink r:id="rId3" w:history="1">
        <w:r w:rsidRPr="006605A5">
          <w:rPr>
            <w:rStyle w:val="Hyperlink"/>
            <w:lang w:val="fr-BE"/>
          </w:rPr>
          <w:t>https://www.consilium.europa.eu/fr/documents/public-register/</w:t>
        </w:r>
      </w:hyperlink>
      <w:r w:rsidRPr="006605A5">
        <w:rPr>
          <w:lang w:val="fr-BE"/>
        </w:rPr>
        <w:t>.</w:t>
      </w:r>
    </w:p>
  </w:footnote>
  <w:footnote w:id="5">
    <w:p w:rsidR="00933188" w:rsidRPr="006605A5" w:rsidRDefault="00933188">
      <w:pPr>
        <w:pStyle w:val="FootnoteText"/>
        <w:rPr>
          <w:lang w:val="fr-BE"/>
        </w:rPr>
      </w:pPr>
      <w:r>
        <w:rPr>
          <w:rStyle w:val="FootnoteReference"/>
        </w:rPr>
        <w:footnoteRef/>
      </w:r>
      <w:r w:rsidRPr="006605A5">
        <w:rPr>
          <w:lang w:val="fr-BE"/>
        </w:rPr>
        <w:tab/>
        <w:t xml:space="preserve">Voir les documents ST 15877/24 INIT et ST 15877/24 ADD 1 disponibles à l’adresse suivante: </w:t>
      </w:r>
      <w:hyperlink r:id="rId4" w:history="1">
        <w:r w:rsidRPr="006605A5">
          <w:rPr>
            <w:rStyle w:val="Hyperlink"/>
            <w:lang w:val="fr-BE"/>
          </w:rPr>
          <w:t>https://www.consilium.europa.eu/fr/documents/public-register/</w:t>
        </w:r>
      </w:hyperlink>
      <w:r w:rsidRPr="006605A5">
        <w:rPr>
          <w:lang w:val="fr-BE"/>
        </w:rPr>
        <w:t xml:space="preserve">. </w:t>
      </w:r>
    </w:p>
  </w:footnote>
  <w:footnote w:id="6">
    <w:p w:rsidR="002709B6" w:rsidRPr="006605A5" w:rsidRDefault="00DC39D2">
      <w:pPr>
        <w:pStyle w:val="FootnoteText"/>
        <w:rPr>
          <w:lang w:val="fr-BE"/>
        </w:rPr>
      </w:pPr>
      <w:r>
        <w:rPr>
          <w:rStyle w:val="FootnoteReference"/>
        </w:rPr>
        <w:footnoteRef/>
      </w:r>
      <w:r w:rsidRPr="006605A5">
        <w:rPr>
          <w:lang w:val="fr-BE"/>
        </w:rPr>
        <w:tab/>
        <w:t xml:space="preserve">Voir les documents ST 10522/25 INIT et ST 10522/25 ADD 1 disponibles à l’adresse suivante: </w:t>
      </w:r>
      <w:hyperlink r:id="rId5" w:history="1">
        <w:r w:rsidRPr="006605A5">
          <w:rPr>
            <w:rStyle w:val="Hyperlink"/>
            <w:lang w:val="fr-BE"/>
          </w:rPr>
          <w:t>https://www.consilium.europa.eu/fr/documents/public-register/</w:t>
        </w:r>
      </w:hyperlink>
      <w:r w:rsidRPr="006605A5">
        <w:rPr>
          <w:lang w:val="fr-BE"/>
        </w:rPr>
        <w:t>.</w:t>
      </w:r>
    </w:p>
  </w:footnote>
  <w:footnote w:id="7">
    <w:p w:rsidR="00E129FF" w:rsidRPr="006605A5" w:rsidRDefault="00E129FF" w:rsidP="00E129FF">
      <w:pPr>
        <w:pStyle w:val="FootnoteText"/>
        <w:rPr>
          <w:lang w:val="fr-BE"/>
        </w:rPr>
      </w:pPr>
      <w:r>
        <w:rPr>
          <w:rStyle w:val="FootnoteReference"/>
        </w:rPr>
        <w:footnoteRef/>
      </w:r>
      <w:r w:rsidRPr="006605A5">
        <w:rPr>
          <w:lang w:val="fr-BE"/>
        </w:rPr>
        <w:tab/>
        <w:t>Règlement (UE) 2021/1755 du Parlement européen et du Conseil du 6 octobre 2021 établissant la réserve d’ajustement au Brexit (JO L 357 du 8.10.2021, p. 1, ELI: </w:t>
      </w:r>
      <w:hyperlink r:id="rId6" w:history="1">
        <w:r w:rsidRPr="006605A5">
          <w:rPr>
            <w:rStyle w:val="Hyperlink"/>
            <w:lang w:val="fr-BE"/>
          </w:rPr>
          <w:t>https://eur-lex.europa.eu/eli/reg/2021/1755/oj</w:t>
        </w:r>
      </w:hyperlink>
      <w:r w:rsidRPr="006605A5">
        <w:rPr>
          <w:lang w:val="fr-BE"/>
        </w:rPr>
        <w:t>).</w:t>
      </w:r>
    </w:p>
    <w:p w:rsidR="00E129FF" w:rsidRPr="006605A5" w:rsidRDefault="00E129FF" w:rsidP="00E129FF">
      <w:pPr>
        <w:pStyle w:val="FootnoteText"/>
        <w:rPr>
          <w:lang w:val="fr-B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6E17" w:rsidRDefault="00DA6E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6E17" w:rsidRDefault="00DA6E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15"/>
  </w:num>
  <w:num w:numId="7">
    <w:abstractNumId w:val="8"/>
  </w:num>
  <w:num w:numId="8">
    <w:abstractNumId w:val="17"/>
  </w:num>
  <w:num w:numId="9">
    <w:abstractNumId w:val="7"/>
  </w:num>
  <w:num w:numId="10">
    <w:abstractNumId w:val="9"/>
  </w:num>
  <w:num w:numId="11">
    <w:abstractNumId w:val="10"/>
  </w:num>
  <w:num w:numId="12">
    <w:abstractNumId w:val="5"/>
  </w:num>
  <w:num w:numId="13">
    <w:abstractNumId w:val="16"/>
  </w:num>
  <w:num w:numId="14">
    <w:abstractNumId w:val="4"/>
  </w:num>
  <w:num w:numId="15">
    <w:abstractNumId w:val="11"/>
  </w:num>
  <w:num w:numId="16">
    <w:abstractNumId w:val="13"/>
  </w:num>
  <w:num w:numId="17">
    <w:abstractNumId w:val="14"/>
  </w:num>
  <w:num w:numId="18">
    <w:abstractNumId w:val="6"/>
  </w:num>
  <w:num w:numId="19">
    <w:abstractNumId w:val="12"/>
  </w:num>
  <w:num w:numId="20">
    <w:abstractNumId w:val="18"/>
  </w:num>
  <w:num w:numId="21">
    <w:abstractNumId w:val="15"/>
  </w:num>
  <w:num w:numId="22">
    <w:abstractNumId w:val="8"/>
  </w:num>
  <w:num w:numId="23">
    <w:abstractNumId w:val="17"/>
  </w:num>
  <w:num w:numId="24">
    <w:abstractNumId w:val="7"/>
  </w:num>
  <w:num w:numId="25">
    <w:abstractNumId w:val="9"/>
  </w:num>
  <w:num w:numId="26">
    <w:abstractNumId w:val="10"/>
  </w:num>
  <w:num w:numId="27">
    <w:abstractNumId w:val="5"/>
  </w:num>
  <w:num w:numId="28">
    <w:abstractNumId w:val="16"/>
  </w:num>
  <w:num w:numId="29">
    <w:abstractNumId w:val="4"/>
  </w:num>
  <w:num w:numId="30">
    <w:abstractNumId w:val="11"/>
  </w:num>
  <w:num w:numId="31">
    <w:abstractNumId w:val="13"/>
  </w:num>
  <w:num w:numId="32">
    <w:abstractNumId w:val="14"/>
  </w:num>
  <w:num w:numId="33">
    <w:abstractNumId w:val="6"/>
  </w:num>
  <w:num w:numId="34">
    <w:abstractNumId w:val="12"/>
  </w:num>
  <w:num w:numId="35">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it-IT"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4-17 11:00:3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8674641A-9D53-4B49-B5F8-C29D693FB7A3"/>
    <w:docVar w:name="LW_COVERPAGE_TYPE" w:val="1"/>
    <w:docVar w:name="LW_CROSSREFERENCE" w:val="{SWD(2026) 113 final}"/>
    <w:docVar w:name="LW_DocType" w:val="COM"/>
    <w:docVar w:name="LW_EMISSION" w:val="10.4.2026"/>
    <w:docVar w:name="LW_EMISSION_ISODATE" w:val="2026-04-10"/>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88"/>
    <w:docVar w:name="LW_REF.II.NEW.CP_YEAR" w:val="2026"/>
    <w:docVar w:name="LW_REF.INST.NEW" w:val="COM"/>
    <w:docVar w:name="LW_REF.INST.NEW_ADOPTED" w:val="final"/>
    <w:docVar w:name="LW_REF.INST.NEW_TEXT" w:val="(2026) 16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écision d\u8217?exécution du 13 juillet 2021 relative à l\u8217?approbation de l\u8217?évaluation du plan pour la reprise et la résilience pour le Danemark"/>
    <w:docVar w:name="LW_TYPE.DOC.CP" w:val="DÉCISION D\u8217?EXÉCUTION DU CONSEIL"/>
    <w:docVar w:name="LwApiVersions" w:val="LW4CoDe 1.24.5.0; LW 9.2, Build 20251112"/>
  </w:docVars>
  <w:rsids>
    <w:rsidRoot w:val="002709B6"/>
    <w:rsid w:val="00001508"/>
    <w:rsid w:val="00002148"/>
    <w:rsid w:val="0000243D"/>
    <w:rsid w:val="00003279"/>
    <w:rsid w:val="00004ECB"/>
    <w:rsid w:val="00004FBD"/>
    <w:rsid w:val="00005E66"/>
    <w:rsid w:val="00006404"/>
    <w:rsid w:val="00013258"/>
    <w:rsid w:val="00013E5A"/>
    <w:rsid w:val="000146F3"/>
    <w:rsid w:val="00014AB5"/>
    <w:rsid w:val="00016D3A"/>
    <w:rsid w:val="00016F88"/>
    <w:rsid w:val="00017731"/>
    <w:rsid w:val="0002052B"/>
    <w:rsid w:val="0002176C"/>
    <w:rsid w:val="00022696"/>
    <w:rsid w:val="00023C7B"/>
    <w:rsid w:val="00023E27"/>
    <w:rsid w:val="00024969"/>
    <w:rsid w:val="0002510F"/>
    <w:rsid w:val="000253F7"/>
    <w:rsid w:val="00027D54"/>
    <w:rsid w:val="000300F6"/>
    <w:rsid w:val="00033D8F"/>
    <w:rsid w:val="0003424F"/>
    <w:rsid w:val="00036ECF"/>
    <w:rsid w:val="00037DC4"/>
    <w:rsid w:val="00041FD2"/>
    <w:rsid w:val="00043777"/>
    <w:rsid w:val="000456A0"/>
    <w:rsid w:val="0004796B"/>
    <w:rsid w:val="000504D0"/>
    <w:rsid w:val="000523AB"/>
    <w:rsid w:val="00052D1B"/>
    <w:rsid w:val="000530AF"/>
    <w:rsid w:val="0005623B"/>
    <w:rsid w:val="00056515"/>
    <w:rsid w:val="00057928"/>
    <w:rsid w:val="00057C93"/>
    <w:rsid w:val="00061C49"/>
    <w:rsid w:val="0006448B"/>
    <w:rsid w:val="000651AF"/>
    <w:rsid w:val="000658D1"/>
    <w:rsid w:val="0006591A"/>
    <w:rsid w:val="0006622E"/>
    <w:rsid w:val="00066294"/>
    <w:rsid w:val="00067891"/>
    <w:rsid w:val="00067AF3"/>
    <w:rsid w:val="0007020F"/>
    <w:rsid w:val="000720D1"/>
    <w:rsid w:val="000722CD"/>
    <w:rsid w:val="00073B77"/>
    <w:rsid w:val="00073FF0"/>
    <w:rsid w:val="00074A52"/>
    <w:rsid w:val="00075022"/>
    <w:rsid w:val="00075819"/>
    <w:rsid w:val="0008037A"/>
    <w:rsid w:val="000825A5"/>
    <w:rsid w:val="0008410F"/>
    <w:rsid w:val="000845A4"/>
    <w:rsid w:val="00085C5F"/>
    <w:rsid w:val="0008655C"/>
    <w:rsid w:val="00086CA5"/>
    <w:rsid w:val="000870A1"/>
    <w:rsid w:val="000935D2"/>
    <w:rsid w:val="00097347"/>
    <w:rsid w:val="000A07D8"/>
    <w:rsid w:val="000A11D3"/>
    <w:rsid w:val="000A2F31"/>
    <w:rsid w:val="000A3F15"/>
    <w:rsid w:val="000A4D9F"/>
    <w:rsid w:val="000A7835"/>
    <w:rsid w:val="000A7D21"/>
    <w:rsid w:val="000B1AE2"/>
    <w:rsid w:val="000B2EC3"/>
    <w:rsid w:val="000B2F39"/>
    <w:rsid w:val="000B306C"/>
    <w:rsid w:val="000B34E8"/>
    <w:rsid w:val="000B40A5"/>
    <w:rsid w:val="000B5CBC"/>
    <w:rsid w:val="000B5EA1"/>
    <w:rsid w:val="000B66AC"/>
    <w:rsid w:val="000B71E1"/>
    <w:rsid w:val="000B7248"/>
    <w:rsid w:val="000B7300"/>
    <w:rsid w:val="000B7702"/>
    <w:rsid w:val="000B7993"/>
    <w:rsid w:val="000C069E"/>
    <w:rsid w:val="000C2E28"/>
    <w:rsid w:val="000C4831"/>
    <w:rsid w:val="000C5E41"/>
    <w:rsid w:val="000C5EA5"/>
    <w:rsid w:val="000C7780"/>
    <w:rsid w:val="000D0775"/>
    <w:rsid w:val="000D2E3D"/>
    <w:rsid w:val="000D3517"/>
    <w:rsid w:val="000D5B80"/>
    <w:rsid w:val="000D6B73"/>
    <w:rsid w:val="000D6C22"/>
    <w:rsid w:val="000D6F56"/>
    <w:rsid w:val="000E00FE"/>
    <w:rsid w:val="000E0711"/>
    <w:rsid w:val="000E2442"/>
    <w:rsid w:val="000E2ADB"/>
    <w:rsid w:val="000E3DAB"/>
    <w:rsid w:val="000E41D5"/>
    <w:rsid w:val="000E579E"/>
    <w:rsid w:val="000E5F99"/>
    <w:rsid w:val="000E721E"/>
    <w:rsid w:val="000E7CE7"/>
    <w:rsid w:val="000F153E"/>
    <w:rsid w:val="000F5A6C"/>
    <w:rsid w:val="000F71DB"/>
    <w:rsid w:val="0010409C"/>
    <w:rsid w:val="001042AD"/>
    <w:rsid w:val="00104884"/>
    <w:rsid w:val="00104BD8"/>
    <w:rsid w:val="001058DD"/>
    <w:rsid w:val="00106F7B"/>
    <w:rsid w:val="00107346"/>
    <w:rsid w:val="00107DB5"/>
    <w:rsid w:val="00111B2B"/>
    <w:rsid w:val="001138F9"/>
    <w:rsid w:val="00114C4D"/>
    <w:rsid w:val="00115051"/>
    <w:rsid w:val="0011617E"/>
    <w:rsid w:val="00117F88"/>
    <w:rsid w:val="001220D2"/>
    <w:rsid w:val="00123D8A"/>
    <w:rsid w:val="00123FDA"/>
    <w:rsid w:val="0012492E"/>
    <w:rsid w:val="0012499B"/>
    <w:rsid w:val="00124AF8"/>
    <w:rsid w:val="00124E95"/>
    <w:rsid w:val="001264AB"/>
    <w:rsid w:val="00126628"/>
    <w:rsid w:val="001274F4"/>
    <w:rsid w:val="00141B86"/>
    <w:rsid w:val="00141DEC"/>
    <w:rsid w:val="00142A84"/>
    <w:rsid w:val="00143271"/>
    <w:rsid w:val="001438C3"/>
    <w:rsid w:val="00146C5C"/>
    <w:rsid w:val="00150D2B"/>
    <w:rsid w:val="00150EDB"/>
    <w:rsid w:val="00151F06"/>
    <w:rsid w:val="0015215F"/>
    <w:rsid w:val="00152C08"/>
    <w:rsid w:val="00152D01"/>
    <w:rsid w:val="001601B7"/>
    <w:rsid w:val="001608E4"/>
    <w:rsid w:val="00161163"/>
    <w:rsid w:val="00161392"/>
    <w:rsid w:val="0016207F"/>
    <w:rsid w:val="00162BF9"/>
    <w:rsid w:val="00162CDC"/>
    <w:rsid w:val="00162E0E"/>
    <w:rsid w:val="001630B9"/>
    <w:rsid w:val="0016356A"/>
    <w:rsid w:val="00165CB6"/>
    <w:rsid w:val="0016651B"/>
    <w:rsid w:val="00167442"/>
    <w:rsid w:val="00167D3A"/>
    <w:rsid w:val="00167EEA"/>
    <w:rsid w:val="00170324"/>
    <w:rsid w:val="00171F67"/>
    <w:rsid w:val="001726FE"/>
    <w:rsid w:val="00172D19"/>
    <w:rsid w:val="001744D0"/>
    <w:rsid w:val="001745A6"/>
    <w:rsid w:val="001779A4"/>
    <w:rsid w:val="001809B1"/>
    <w:rsid w:val="00180CA2"/>
    <w:rsid w:val="001817AF"/>
    <w:rsid w:val="001828A9"/>
    <w:rsid w:val="00182FD4"/>
    <w:rsid w:val="00183865"/>
    <w:rsid w:val="001862F2"/>
    <w:rsid w:val="00186843"/>
    <w:rsid w:val="00187779"/>
    <w:rsid w:val="00190063"/>
    <w:rsid w:val="001907FB"/>
    <w:rsid w:val="001908F1"/>
    <w:rsid w:val="00190B08"/>
    <w:rsid w:val="00190D9D"/>
    <w:rsid w:val="00191B69"/>
    <w:rsid w:val="00191CE4"/>
    <w:rsid w:val="00191FEF"/>
    <w:rsid w:val="00192185"/>
    <w:rsid w:val="00192BCA"/>
    <w:rsid w:val="00195693"/>
    <w:rsid w:val="00195CCF"/>
    <w:rsid w:val="00196ED8"/>
    <w:rsid w:val="001A0220"/>
    <w:rsid w:val="001A0258"/>
    <w:rsid w:val="001A169C"/>
    <w:rsid w:val="001A689F"/>
    <w:rsid w:val="001A6D98"/>
    <w:rsid w:val="001B0007"/>
    <w:rsid w:val="001B0C6B"/>
    <w:rsid w:val="001B1F6F"/>
    <w:rsid w:val="001B204A"/>
    <w:rsid w:val="001B3EF9"/>
    <w:rsid w:val="001B45B3"/>
    <w:rsid w:val="001B513C"/>
    <w:rsid w:val="001B56D2"/>
    <w:rsid w:val="001B60A3"/>
    <w:rsid w:val="001B71DC"/>
    <w:rsid w:val="001C097C"/>
    <w:rsid w:val="001C197B"/>
    <w:rsid w:val="001C2B4A"/>
    <w:rsid w:val="001C4CBF"/>
    <w:rsid w:val="001C5427"/>
    <w:rsid w:val="001C6749"/>
    <w:rsid w:val="001C73F3"/>
    <w:rsid w:val="001C75DC"/>
    <w:rsid w:val="001D14E0"/>
    <w:rsid w:val="001D2036"/>
    <w:rsid w:val="001D4E1E"/>
    <w:rsid w:val="001D52C4"/>
    <w:rsid w:val="001E19D5"/>
    <w:rsid w:val="001E3305"/>
    <w:rsid w:val="001E4A8A"/>
    <w:rsid w:val="001E4BA3"/>
    <w:rsid w:val="001E5B0B"/>
    <w:rsid w:val="001E6EA0"/>
    <w:rsid w:val="001F0716"/>
    <w:rsid w:val="001F1B5B"/>
    <w:rsid w:val="001F27B3"/>
    <w:rsid w:val="001F3476"/>
    <w:rsid w:val="001F54E5"/>
    <w:rsid w:val="001F6B32"/>
    <w:rsid w:val="001F6ECC"/>
    <w:rsid w:val="001F7EC5"/>
    <w:rsid w:val="002003F3"/>
    <w:rsid w:val="00200458"/>
    <w:rsid w:val="00202A0F"/>
    <w:rsid w:val="00202AC3"/>
    <w:rsid w:val="002037F1"/>
    <w:rsid w:val="00204ED7"/>
    <w:rsid w:val="002050B6"/>
    <w:rsid w:val="00205EB6"/>
    <w:rsid w:val="00207805"/>
    <w:rsid w:val="00212008"/>
    <w:rsid w:val="00212959"/>
    <w:rsid w:val="002135CB"/>
    <w:rsid w:val="00214DA2"/>
    <w:rsid w:val="002166AB"/>
    <w:rsid w:val="0021686E"/>
    <w:rsid w:val="00217595"/>
    <w:rsid w:val="00222545"/>
    <w:rsid w:val="00226B38"/>
    <w:rsid w:val="002322F9"/>
    <w:rsid w:val="002344F4"/>
    <w:rsid w:val="00235432"/>
    <w:rsid w:val="002357C0"/>
    <w:rsid w:val="00237271"/>
    <w:rsid w:val="00237886"/>
    <w:rsid w:val="00240C44"/>
    <w:rsid w:val="00240EDF"/>
    <w:rsid w:val="00242DAD"/>
    <w:rsid w:val="00243313"/>
    <w:rsid w:val="00244971"/>
    <w:rsid w:val="002500E1"/>
    <w:rsid w:val="0025121E"/>
    <w:rsid w:val="00252F08"/>
    <w:rsid w:val="00254ACC"/>
    <w:rsid w:val="00262921"/>
    <w:rsid w:val="00263260"/>
    <w:rsid w:val="00263A1F"/>
    <w:rsid w:val="00264ADC"/>
    <w:rsid w:val="00266C22"/>
    <w:rsid w:val="00266EC5"/>
    <w:rsid w:val="002671D6"/>
    <w:rsid w:val="00267A2A"/>
    <w:rsid w:val="00267A78"/>
    <w:rsid w:val="00270745"/>
    <w:rsid w:val="002709B6"/>
    <w:rsid w:val="00270DA8"/>
    <w:rsid w:val="002716B7"/>
    <w:rsid w:val="002720B3"/>
    <w:rsid w:val="00272922"/>
    <w:rsid w:val="002753D0"/>
    <w:rsid w:val="002759E5"/>
    <w:rsid w:val="00276934"/>
    <w:rsid w:val="002800FA"/>
    <w:rsid w:val="00280A3F"/>
    <w:rsid w:val="00280D47"/>
    <w:rsid w:val="00281A3A"/>
    <w:rsid w:val="00285111"/>
    <w:rsid w:val="00285F07"/>
    <w:rsid w:val="00286E72"/>
    <w:rsid w:val="00287C25"/>
    <w:rsid w:val="00290271"/>
    <w:rsid w:val="00290E0D"/>
    <w:rsid w:val="00293E6A"/>
    <w:rsid w:val="00294E83"/>
    <w:rsid w:val="00294F1A"/>
    <w:rsid w:val="002A222E"/>
    <w:rsid w:val="002A4E3A"/>
    <w:rsid w:val="002A51B3"/>
    <w:rsid w:val="002A6E4D"/>
    <w:rsid w:val="002A6F71"/>
    <w:rsid w:val="002A71F0"/>
    <w:rsid w:val="002B0033"/>
    <w:rsid w:val="002B0B0B"/>
    <w:rsid w:val="002B2394"/>
    <w:rsid w:val="002B3AFE"/>
    <w:rsid w:val="002B40C3"/>
    <w:rsid w:val="002B4B1E"/>
    <w:rsid w:val="002B4BD2"/>
    <w:rsid w:val="002B7188"/>
    <w:rsid w:val="002C0A8B"/>
    <w:rsid w:val="002C16AD"/>
    <w:rsid w:val="002C2076"/>
    <w:rsid w:val="002C384C"/>
    <w:rsid w:val="002C4A07"/>
    <w:rsid w:val="002C4BCE"/>
    <w:rsid w:val="002C6060"/>
    <w:rsid w:val="002C729F"/>
    <w:rsid w:val="002D4250"/>
    <w:rsid w:val="002E1DBF"/>
    <w:rsid w:val="002E2EDB"/>
    <w:rsid w:val="002E30F9"/>
    <w:rsid w:val="002E5293"/>
    <w:rsid w:val="002E5CC8"/>
    <w:rsid w:val="002E62C9"/>
    <w:rsid w:val="002E71D6"/>
    <w:rsid w:val="002F34C6"/>
    <w:rsid w:val="002F4741"/>
    <w:rsid w:val="002F5D17"/>
    <w:rsid w:val="002F77E7"/>
    <w:rsid w:val="00300205"/>
    <w:rsid w:val="00302D19"/>
    <w:rsid w:val="00304F07"/>
    <w:rsid w:val="00306A31"/>
    <w:rsid w:val="0031009E"/>
    <w:rsid w:val="00312D00"/>
    <w:rsid w:val="003134D7"/>
    <w:rsid w:val="00313A31"/>
    <w:rsid w:val="003168D4"/>
    <w:rsid w:val="00316F13"/>
    <w:rsid w:val="00317DB5"/>
    <w:rsid w:val="00320452"/>
    <w:rsid w:val="00321EA9"/>
    <w:rsid w:val="003221F8"/>
    <w:rsid w:val="0032276F"/>
    <w:rsid w:val="00322B41"/>
    <w:rsid w:val="00322DE7"/>
    <w:rsid w:val="003254DC"/>
    <w:rsid w:val="00327184"/>
    <w:rsid w:val="00327F09"/>
    <w:rsid w:val="00331C0E"/>
    <w:rsid w:val="00333475"/>
    <w:rsid w:val="0033381B"/>
    <w:rsid w:val="00333A3C"/>
    <w:rsid w:val="003354D0"/>
    <w:rsid w:val="00335DA8"/>
    <w:rsid w:val="003379FC"/>
    <w:rsid w:val="00337F64"/>
    <w:rsid w:val="0034020A"/>
    <w:rsid w:val="00340AFD"/>
    <w:rsid w:val="00341746"/>
    <w:rsid w:val="00343CA7"/>
    <w:rsid w:val="0034500A"/>
    <w:rsid w:val="00345188"/>
    <w:rsid w:val="003451AB"/>
    <w:rsid w:val="00345D33"/>
    <w:rsid w:val="003469AD"/>
    <w:rsid w:val="00346A51"/>
    <w:rsid w:val="0034777B"/>
    <w:rsid w:val="00351A3D"/>
    <w:rsid w:val="003529D2"/>
    <w:rsid w:val="00354715"/>
    <w:rsid w:val="00354AC5"/>
    <w:rsid w:val="00354F77"/>
    <w:rsid w:val="003556EC"/>
    <w:rsid w:val="003558CB"/>
    <w:rsid w:val="00357032"/>
    <w:rsid w:val="00360D7D"/>
    <w:rsid w:val="0036139E"/>
    <w:rsid w:val="00363FF6"/>
    <w:rsid w:val="0036530C"/>
    <w:rsid w:val="00365BBE"/>
    <w:rsid w:val="00366155"/>
    <w:rsid w:val="003702C7"/>
    <w:rsid w:val="0037159E"/>
    <w:rsid w:val="003739EA"/>
    <w:rsid w:val="0037401F"/>
    <w:rsid w:val="00374132"/>
    <w:rsid w:val="00374531"/>
    <w:rsid w:val="00374FA9"/>
    <w:rsid w:val="003773A4"/>
    <w:rsid w:val="00377ABE"/>
    <w:rsid w:val="003808C9"/>
    <w:rsid w:val="00380911"/>
    <w:rsid w:val="00380F2D"/>
    <w:rsid w:val="00381600"/>
    <w:rsid w:val="0038254A"/>
    <w:rsid w:val="00383525"/>
    <w:rsid w:val="00383A41"/>
    <w:rsid w:val="00386136"/>
    <w:rsid w:val="003862D1"/>
    <w:rsid w:val="00386FBA"/>
    <w:rsid w:val="00387E79"/>
    <w:rsid w:val="00391AC5"/>
    <w:rsid w:val="00391E8F"/>
    <w:rsid w:val="003929F8"/>
    <w:rsid w:val="00395B8D"/>
    <w:rsid w:val="003964D7"/>
    <w:rsid w:val="003A10C6"/>
    <w:rsid w:val="003A136D"/>
    <w:rsid w:val="003A17EB"/>
    <w:rsid w:val="003A2C61"/>
    <w:rsid w:val="003A2EFD"/>
    <w:rsid w:val="003A3FF1"/>
    <w:rsid w:val="003A55E5"/>
    <w:rsid w:val="003A5905"/>
    <w:rsid w:val="003B09C2"/>
    <w:rsid w:val="003B0F2D"/>
    <w:rsid w:val="003B0FBD"/>
    <w:rsid w:val="003B31E5"/>
    <w:rsid w:val="003B4789"/>
    <w:rsid w:val="003B61FA"/>
    <w:rsid w:val="003B6D9D"/>
    <w:rsid w:val="003C0EF5"/>
    <w:rsid w:val="003C108D"/>
    <w:rsid w:val="003C11F4"/>
    <w:rsid w:val="003C130B"/>
    <w:rsid w:val="003C197E"/>
    <w:rsid w:val="003C3DA6"/>
    <w:rsid w:val="003C4CC8"/>
    <w:rsid w:val="003C56D9"/>
    <w:rsid w:val="003C5CBB"/>
    <w:rsid w:val="003D0BA6"/>
    <w:rsid w:val="003D1CAB"/>
    <w:rsid w:val="003D2A7A"/>
    <w:rsid w:val="003D5EC7"/>
    <w:rsid w:val="003D66A1"/>
    <w:rsid w:val="003D70D0"/>
    <w:rsid w:val="003D7227"/>
    <w:rsid w:val="003E11F5"/>
    <w:rsid w:val="003E18AB"/>
    <w:rsid w:val="003E3289"/>
    <w:rsid w:val="003E43F5"/>
    <w:rsid w:val="003E65FE"/>
    <w:rsid w:val="003F0FC4"/>
    <w:rsid w:val="003F1022"/>
    <w:rsid w:val="003F121A"/>
    <w:rsid w:val="003F1404"/>
    <w:rsid w:val="003F406E"/>
    <w:rsid w:val="003F61AF"/>
    <w:rsid w:val="003F6797"/>
    <w:rsid w:val="003F6E15"/>
    <w:rsid w:val="00400E93"/>
    <w:rsid w:val="00401518"/>
    <w:rsid w:val="00401DE0"/>
    <w:rsid w:val="00403F43"/>
    <w:rsid w:val="00406E2A"/>
    <w:rsid w:val="00406FC4"/>
    <w:rsid w:val="004109E9"/>
    <w:rsid w:val="00410F3A"/>
    <w:rsid w:val="0041383D"/>
    <w:rsid w:val="004161B7"/>
    <w:rsid w:val="00416512"/>
    <w:rsid w:val="00416822"/>
    <w:rsid w:val="00417080"/>
    <w:rsid w:val="004225EA"/>
    <w:rsid w:val="004233A0"/>
    <w:rsid w:val="0042418E"/>
    <w:rsid w:val="004256A0"/>
    <w:rsid w:val="00426016"/>
    <w:rsid w:val="00426CAC"/>
    <w:rsid w:val="0042706E"/>
    <w:rsid w:val="0043042E"/>
    <w:rsid w:val="00433382"/>
    <w:rsid w:val="0043402E"/>
    <w:rsid w:val="00435C00"/>
    <w:rsid w:val="00436828"/>
    <w:rsid w:val="00436D8F"/>
    <w:rsid w:val="00436FD9"/>
    <w:rsid w:val="00440D52"/>
    <w:rsid w:val="00441605"/>
    <w:rsid w:val="00443069"/>
    <w:rsid w:val="004434E7"/>
    <w:rsid w:val="00444CC7"/>
    <w:rsid w:val="0044519D"/>
    <w:rsid w:val="00445521"/>
    <w:rsid w:val="00445723"/>
    <w:rsid w:val="00446ABA"/>
    <w:rsid w:val="00450662"/>
    <w:rsid w:val="004507E2"/>
    <w:rsid w:val="0045122C"/>
    <w:rsid w:val="00451393"/>
    <w:rsid w:val="00452C55"/>
    <w:rsid w:val="00453E81"/>
    <w:rsid w:val="00453F73"/>
    <w:rsid w:val="0045459A"/>
    <w:rsid w:val="0045529E"/>
    <w:rsid w:val="004575C9"/>
    <w:rsid w:val="00457DC4"/>
    <w:rsid w:val="00457E8F"/>
    <w:rsid w:val="00461D92"/>
    <w:rsid w:val="004632EF"/>
    <w:rsid w:val="0046359F"/>
    <w:rsid w:val="00464D61"/>
    <w:rsid w:val="00465C93"/>
    <w:rsid w:val="004667D0"/>
    <w:rsid w:val="00467BBD"/>
    <w:rsid w:val="004725D5"/>
    <w:rsid w:val="00472FAD"/>
    <w:rsid w:val="00473B92"/>
    <w:rsid w:val="00473C1E"/>
    <w:rsid w:val="00474FC7"/>
    <w:rsid w:val="00476968"/>
    <w:rsid w:val="004771CB"/>
    <w:rsid w:val="00477DDF"/>
    <w:rsid w:val="00480766"/>
    <w:rsid w:val="004819BC"/>
    <w:rsid w:val="00482AFF"/>
    <w:rsid w:val="00482E11"/>
    <w:rsid w:val="00483689"/>
    <w:rsid w:val="00483A66"/>
    <w:rsid w:val="00483F2E"/>
    <w:rsid w:val="00484DD0"/>
    <w:rsid w:val="004873B8"/>
    <w:rsid w:val="00487C25"/>
    <w:rsid w:val="00487C3A"/>
    <w:rsid w:val="00487EAD"/>
    <w:rsid w:val="004900A4"/>
    <w:rsid w:val="00494FB1"/>
    <w:rsid w:val="00495036"/>
    <w:rsid w:val="00495B33"/>
    <w:rsid w:val="00497075"/>
    <w:rsid w:val="00497FC1"/>
    <w:rsid w:val="004A0737"/>
    <w:rsid w:val="004A2CD1"/>
    <w:rsid w:val="004A529E"/>
    <w:rsid w:val="004A7C82"/>
    <w:rsid w:val="004B03F6"/>
    <w:rsid w:val="004B1591"/>
    <w:rsid w:val="004B2454"/>
    <w:rsid w:val="004B44A8"/>
    <w:rsid w:val="004B4E37"/>
    <w:rsid w:val="004B670E"/>
    <w:rsid w:val="004B73EC"/>
    <w:rsid w:val="004C0169"/>
    <w:rsid w:val="004C0DB6"/>
    <w:rsid w:val="004C2139"/>
    <w:rsid w:val="004C2E4C"/>
    <w:rsid w:val="004C597C"/>
    <w:rsid w:val="004C7FC0"/>
    <w:rsid w:val="004D7BBA"/>
    <w:rsid w:val="004E24E2"/>
    <w:rsid w:val="004E2866"/>
    <w:rsid w:val="004E3290"/>
    <w:rsid w:val="004E3FB3"/>
    <w:rsid w:val="004E4567"/>
    <w:rsid w:val="004E49B1"/>
    <w:rsid w:val="004E5785"/>
    <w:rsid w:val="004E6676"/>
    <w:rsid w:val="004E66EE"/>
    <w:rsid w:val="004E70F0"/>
    <w:rsid w:val="004F408B"/>
    <w:rsid w:val="004F444A"/>
    <w:rsid w:val="004F480C"/>
    <w:rsid w:val="004F4A66"/>
    <w:rsid w:val="004F4F61"/>
    <w:rsid w:val="005021AA"/>
    <w:rsid w:val="005022F5"/>
    <w:rsid w:val="0050309E"/>
    <w:rsid w:val="00503761"/>
    <w:rsid w:val="00503B4E"/>
    <w:rsid w:val="00504019"/>
    <w:rsid w:val="00505014"/>
    <w:rsid w:val="0050576E"/>
    <w:rsid w:val="00505C7A"/>
    <w:rsid w:val="005129FE"/>
    <w:rsid w:val="00514E4E"/>
    <w:rsid w:val="00515DA7"/>
    <w:rsid w:val="0051642C"/>
    <w:rsid w:val="00516563"/>
    <w:rsid w:val="0051794B"/>
    <w:rsid w:val="00517A54"/>
    <w:rsid w:val="0052055D"/>
    <w:rsid w:val="005214A7"/>
    <w:rsid w:val="005227FF"/>
    <w:rsid w:val="005247FB"/>
    <w:rsid w:val="005260E2"/>
    <w:rsid w:val="00526A7D"/>
    <w:rsid w:val="005275BE"/>
    <w:rsid w:val="005308F6"/>
    <w:rsid w:val="00530C5B"/>
    <w:rsid w:val="00531B80"/>
    <w:rsid w:val="005323AB"/>
    <w:rsid w:val="00533153"/>
    <w:rsid w:val="00533351"/>
    <w:rsid w:val="00534172"/>
    <w:rsid w:val="00542435"/>
    <w:rsid w:val="00543C64"/>
    <w:rsid w:val="00546D87"/>
    <w:rsid w:val="00547308"/>
    <w:rsid w:val="00550B32"/>
    <w:rsid w:val="00551C7A"/>
    <w:rsid w:val="00553458"/>
    <w:rsid w:val="005546D8"/>
    <w:rsid w:val="005563F6"/>
    <w:rsid w:val="00556A8F"/>
    <w:rsid w:val="00557650"/>
    <w:rsid w:val="00561D21"/>
    <w:rsid w:val="00562418"/>
    <w:rsid w:val="00563BA1"/>
    <w:rsid w:val="00564979"/>
    <w:rsid w:val="00565D45"/>
    <w:rsid w:val="00571031"/>
    <w:rsid w:val="0057168C"/>
    <w:rsid w:val="005716BD"/>
    <w:rsid w:val="00571BC1"/>
    <w:rsid w:val="00573EC9"/>
    <w:rsid w:val="00574040"/>
    <w:rsid w:val="0057417F"/>
    <w:rsid w:val="00574CD1"/>
    <w:rsid w:val="00576E40"/>
    <w:rsid w:val="00580B46"/>
    <w:rsid w:val="005818C4"/>
    <w:rsid w:val="00581E2A"/>
    <w:rsid w:val="005825EB"/>
    <w:rsid w:val="00582BDB"/>
    <w:rsid w:val="0058437E"/>
    <w:rsid w:val="00584C80"/>
    <w:rsid w:val="0058613D"/>
    <w:rsid w:val="0058617B"/>
    <w:rsid w:val="00586F33"/>
    <w:rsid w:val="005909E7"/>
    <w:rsid w:val="00594CCE"/>
    <w:rsid w:val="00596491"/>
    <w:rsid w:val="00597F80"/>
    <w:rsid w:val="005A06A6"/>
    <w:rsid w:val="005A0D2D"/>
    <w:rsid w:val="005A2D28"/>
    <w:rsid w:val="005A31A7"/>
    <w:rsid w:val="005A6492"/>
    <w:rsid w:val="005B178A"/>
    <w:rsid w:val="005B24FD"/>
    <w:rsid w:val="005B336D"/>
    <w:rsid w:val="005B626C"/>
    <w:rsid w:val="005B636F"/>
    <w:rsid w:val="005C290B"/>
    <w:rsid w:val="005C2969"/>
    <w:rsid w:val="005C2CB8"/>
    <w:rsid w:val="005C3084"/>
    <w:rsid w:val="005C3DB9"/>
    <w:rsid w:val="005C446E"/>
    <w:rsid w:val="005C4546"/>
    <w:rsid w:val="005C4A5B"/>
    <w:rsid w:val="005D06A8"/>
    <w:rsid w:val="005D0890"/>
    <w:rsid w:val="005D2B79"/>
    <w:rsid w:val="005D4E7A"/>
    <w:rsid w:val="005D58F8"/>
    <w:rsid w:val="005D73A7"/>
    <w:rsid w:val="005E064F"/>
    <w:rsid w:val="005E081C"/>
    <w:rsid w:val="005E16CC"/>
    <w:rsid w:val="005E3491"/>
    <w:rsid w:val="005E4576"/>
    <w:rsid w:val="005E6A33"/>
    <w:rsid w:val="005F0C14"/>
    <w:rsid w:val="005F2272"/>
    <w:rsid w:val="005F289C"/>
    <w:rsid w:val="005F28AC"/>
    <w:rsid w:val="005F2DA7"/>
    <w:rsid w:val="005F40A9"/>
    <w:rsid w:val="005F4186"/>
    <w:rsid w:val="005F4A4B"/>
    <w:rsid w:val="005F5423"/>
    <w:rsid w:val="005F5BAE"/>
    <w:rsid w:val="005F7449"/>
    <w:rsid w:val="005F7478"/>
    <w:rsid w:val="006005B9"/>
    <w:rsid w:val="006012E4"/>
    <w:rsid w:val="006033B9"/>
    <w:rsid w:val="00605091"/>
    <w:rsid w:val="00606101"/>
    <w:rsid w:val="00607453"/>
    <w:rsid w:val="006106B9"/>
    <w:rsid w:val="006116BA"/>
    <w:rsid w:val="00611A1C"/>
    <w:rsid w:val="00611DAF"/>
    <w:rsid w:val="006126FC"/>
    <w:rsid w:val="0061657A"/>
    <w:rsid w:val="006167F8"/>
    <w:rsid w:val="00616B01"/>
    <w:rsid w:val="006204DA"/>
    <w:rsid w:val="00620BCA"/>
    <w:rsid w:val="0062175A"/>
    <w:rsid w:val="00621B2D"/>
    <w:rsid w:val="006236B1"/>
    <w:rsid w:val="00624C79"/>
    <w:rsid w:val="0062538C"/>
    <w:rsid w:val="0063071B"/>
    <w:rsid w:val="0063182A"/>
    <w:rsid w:val="0063216B"/>
    <w:rsid w:val="006325F9"/>
    <w:rsid w:val="00636267"/>
    <w:rsid w:val="00637750"/>
    <w:rsid w:val="00640552"/>
    <w:rsid w:val="006428BF"/>
    <w:rsid w:val="0064290F"/>
    <w:rsid w:val="0064493B"/>
    <w:rsid w:val="006451D1"/>
    <w:rsid w:val="00650D9E"/>
    <w:rsid w:val="00651F63"/>
    <w:rsid w:val="00652CB5"/>
    <w:rsid w:val="00653281"/>
    <w:rsid w:val="00653923"/>
    <w:rsid w:val="00654A63"/>
    <w:rsid w:val="006550F1"/>
    <w:rsid w:val="006551E8"/>
    <w:rsid w:val="00655B38"/>
    <w:rsid w:val="0065770B"/>
    <w:rsid w:val="00657FA1"/>
    <w:rsid w:val="006605A5"/>
    <w:rsid w:val="00660CED"/>
    <w:rsid w:val="0066146A"/>
    <w:rsid w:val="00665620"/>
    <w:rsid w:val="0066622E"/>
    <w:rsid w:val="0067054B"/>
    <w:rsid w:val="00670625"/>
    <w:rsid w:val="00670A08"/>
    <w:rsid w:val="00673A58"/>
    <w:rsid w:val="006743AA"/>
    <w:rsid w:val="00675804"/>
    <w:rsid w:val="00676AB7"/>
    <w:rsid w:val="0068093A"/>
    <w:rsid w:val="00681F9E"/>
    <w:rsid w:val="006820E4"/>
    <w:rsid w:val="0068210B"/>
    <w:rsid w:val="006822DE"/>
    <w:rsid w:val="00683D74"/>
    <w:rsid w:val="006845DB"/>
    <w:rsid w:val="00686914"/>
    <w:rsid w:val="00687A4E"/>
    <w:rsid w:val="00690D20"/>
    <w:rsid w:val="006914DD"/>
    <w:rsid w:val="0069221F"/>
    <w:rsid w:val="00693653"/>
    <w:rsid w:val="00693DF2"/>
    <w:rsid w:val="00694508"/>
    <w:rsid w:val="0069570C"/>
    <w:rsid w:val="0069703A"/>
    <w:rsid w:val="00697FF2"/>
    <w:rsid w:val="006A179F"/>
    <w:rsid w:val="006A6059"/>
    <w:rsid w:val="006A63AB"/>
    <w:rsid w:val="006A6909"/>
    <w:rsid w:val="006B0EAB"/>
    <w:rsid w:val="006B1BC6"/>
    <w:rsid w:val="006B1FAB"/>
    <w:rsid w:val="006B5A8E"/>
    <w:rsid w:val="006B62CB"/>
    <w:rsid w:val="006C04A9"/>
    <w:rsid w:val="006C4646"/>
    <w:rsid w:val="006C79D8"/>
    <w:rsid w:val="006C79DC"/>
    <w:rsid w:val="006D006B"/>
    <w:rsid w:val="006D13EF"/>
    <w:rsid w:val="006D1B21"/>
    <w:rsid w:val="006D2A57"/>
    <w:rsid w:val="006D3A35"/>
    <w:rsid w:val="006D3E3F"/>
    <w:rsid w:val="006D5E02"/>
    <w:rsid w:val="006D6272"/>
    <w:rsid w:val="006D6AB7"/>
    <w:rsid w:val="006E03A8"/>
    <w:rsid w:val="006E0C94"/>
    <w:rsid w:val="006E14B0"/>
    <w:rsid w:val="006E228B"/>
    <w:rsid w:val="006F278C"/>
    <w:rsid w:val="006F29CF"/>
    <w:rsid w:val="006F7408"/>
    <w:rsid w:val="006F7792"/>
    <w:rsid w:val="006F7ABE"/>
    <w:rsid w:val="00700042"/>
    <w:rsid w:val="00701444"/>
    <w:rsid w:val="007015E9"/>
    <w:rsid w:val="0070227E"/>
    <w:rsid w:val="00704899"/>
    <w:rsid w:val="00706B50"/>
    <w:rsid w:val="00706E9A"/>
    <w:rsid w:val="007100BD"/>
    <w:rsid w:val="00712AC1"/>
    <w:rsid w:val="007170E1"/>
    <w:rsid w:val="00717AB3"/>
    <w:rsid w:val="00721145"/>
    <w:rsid w:val="00721293"/>
    <w:rsid w:val="00721837"/>
    <w:rsid w:val="00723D75"/>
    <w:rsid w:val="00726232"/>
    <w:rsid w:val="007263EE"/>
    <w:rsid w:val="00726456"/>
    <w:rsid w:val="00730935"/>
    <w:rsid w:val="007316BD"/>
    <w:rsid w:val="0073199C"/>
    <w:rsid w:val="00732208"/>
    <w:rsid w:val="00732DA7"/>
    <w:rsid w:val="00732E29"/>
    <w:rsid w:val="00733248"/>
    <w:rsid w:val="0073392C"/>
    <w:rsid w:val="00733E97"/>
    <w:rsid w:val="00734863"/>
    <w:rsid w:val="0073603E"/>
    <w:rsid w:val="00740976"/>
    <w:rsid w:val="00740DB1"/>
    <w:rsid w:val="007438FB"/>
    <w:rsid w:val="00743905"/>
    <w:rsid w:val="00744F5A"/>
    <w:rsid w:val="007456BB"/>
    <w:rsid w:val="007470D4"/>
    <w:rsid w:val="0074738B"/>
    <w:rsid w:val="00747BA1"/>
    <w:rsid w:val="00753445"/>
    <w:rsid w:val="007548BD"/>
    <w:rsid w:val="00755863"/>
    <w:rsid w:val="00762735"/>
    <w:rsid w:val="00762A9C"/>
    <w:rsid w:val="00762F09"/>
    <w:rsid w:val="00763130"/>
    <w:rsid w:val="0077345B"/>
    <w:rsid w:val="0077402C"/>
    <w:rsid w:val="00777008"/>
    <w:rsid w:val="00777057"/>
    <w:rsid w:val="00777A6E"/>
    <w:rsid w:val="00781574"/>
    <w:rsid w:val="00782597"/>
    <w:rsid w:val="007825BD"/>
    <w:rsid w:val="0078758B"/>
    <w:rsid w:val="00787AE2"/>
    <w:rsid w:val="00787C81"/>
    <w:rsid w:val="007909B6"/>
    <w:rsid w:val="00791977"/>
    <w:rsid w:val="00791B1F"/>
    <w:rsid w:val="0079498A"/>
    <w:rsid w:val="00796961"/>
    <w:rsid w:val="00797C38"/>
    <w:rsid w:val="007A1FC7"/>
    <w:rsid w:val="007A2359"/>
    <w:rsid w:val="007A45F4"/>
    <w:rsid w:val="007A4ED7"/>
    <w:rsid w:val="007A6346"/>
    <w:rsid w:val="007A743C"/>
    <w:rsid w:val="007B01E6"/>
    <w:rsid w:val="007B18FD"/>
    <w:rsid w:val="007B2749"/>
    <w:rsid w:val="007B2BB0"/>
    <w:rsid w:val="007B4B35"/>
    <w:rsid w:val="007B689C"/>
    <w:rsid w:val="007B7720"/>
    <w:rsid w:val="007B78E0"/>
    <w:rsid w:val="007C043A"/>
    <w:rsid w:val="007C06FE"/>
    <w:rsid w:val="007C114C"/>
    <w:rsid w:val="007C1D3B"/>
    <w:rsid w:val="007C2512"/>
    <w:rsid w:val="007C275E"/>
    <w:rsid w:val="007C287E"/>
    <w:rsid w:val="007C2C20"/>
    <w:rsid w:val="007C2C2C"/>
    <w:rsid w:val="007C328E"/>
    <w:rsid w:val="007C5EC7"/>
    <w:rsid w:val="007C6543"/>
    <w:rsid w:val="007C727C"/>
    <w:rsid w:val="007C7350"/>
    <w:rsid w:val="007D11D1"/>
    <w:rsid w:val="007D4289"/>
    <w:rsid w:val="007D499E"/>
    <w:rsid w:val="007D5291"/>
    <w:rsid w:val="007D5584"/>
    <w:rsid w:val="007D6291"/>
    <w:rsid w:val="007D7628"/>
    <w:rsid w:val="007E03FB"/>
    <w:rsid w:val="007E0413"/>
    <w:rsid w:val="007E1B77"/>
    <w:rsid w:val="007E1ED4"/>
    <w:rsid w:val="007E2C0C"/>
    <w:rsid w:val="007E2C4A"/>
    <w:rsid w:val="007E2F6B"/>
    <w:rsid w:val="007E65D2"/>
    <w:rsid w:val="007E6943"/>
    <w:rsid w:val="007E7295"/>
    <w:rsid w:val="007F0B43"/>
    <w:rsid w:val="007F0C0C"/>
    <w:rsid w:val="007F0F3E"/>
    <w:rsid w:val="007F137F"/>
    <w:rsid w:val="007F38A6"/>
    <w:rsid w:val="008011EF"/>
    <w:rsid w:val="00802847"/>
    <w:rsid w:val="0080314B"/>
    <w:rsid w:val="008038B0"/>
    <w:rsid w:val="0080570A"/>
    <w:rsid w:val="00805937"/>
    <w:rsid w:val="00806304"/>
    <w:rsid w:val="00806375"/>
    <w:rsid w:val="0080769A"/>
    <w:rsid w:val="00807D4E"/>
    <w:rsid w:val="008102E7"/>
    <w:rsid w:val="00810945"/>
    <w:rsid w:val="008117F6"/>
    <w:rsid w:val="00812249"/>
    <w:rsid w:val="008150C5"/>
    <w:rsid w:val="00815746"/>
    <w:rsid w:val="00815C62"/>
    <w:rsid w:val="00820CC2"/>
    <w:rsid w:val="00823027"/>
    <w:rsid w:val="00826277"/>
    <w:rsid w:val="0082648D"/>
    <w:rsid w:val="0082780B"/>
    <w:rsid w:val="00831C05"/>
    <w:rsid w:val="008332C9"/>
    <w:rsid w:val="00835B5C"/>
    <w:rsid w:val="00841F67"/>
    <w:rsid w:val="0084505E"/>
    <w:rsid w:val="00845661"/>
    <w:rsid w:val="00845E28"/>
    <w:rsid w:val="00846C2B"/>
    <w:rsid w:val="0085013A"/>
    <w:rsid w:val="008512D1"/>
    <w:rsid w:val="008527DF"/>
    <w:rsid w:val="00854585"/>
    <w:rsid w:val="00854730"/>
    <w:rsid w:val="008550CC"/>
    <w:rsid w:val="00855C01"/>
    <w:rsid w:val="00855FD7"/>
    <w:rsid w:val="0085734F"/>
    <w:rsid w:val="00857802"/>
    <w:rsid w:val="008620CF"/>
    <w:rsid w:val="00862C9B"/>
    <w:rsid w:val="008647B6"/>
    <w:rsid w:val="00864854"/>
    <w:rsid w:val="00865121"/>
    <w:rsid w:val="00865C39"/>
    <w:rsid w:val="008663BC"/>
    <w:rsid w:val="0086664A"/>
    <w:rsid w:val="00867C0D"/>
    <w:rsid w:val="0087241A"/>
    <w:rsid w:val="00872F6C"/>
    <w:rsid w:val="0087370D"/>
    <w:rsid w:val="00873F5C"/>
    <w:rsid w:val="00875221"/>
    <w:rsid w:val="00876E61"/>
    <w:rsid w:val="008805D8"/>
    <w:rsid w:val="008815AC"/>
    <w:rsid w:val="0088173A"/>
    <w:rsid w:val="00881CD2"/>
    <w:rsid w:val="00882FC2"/>
    <w:rsid w:val="00883547"/>
    <w:rsid w:val="008862AD"/>
    <w:rsid w:val="0088681B"/>
    <w:rsid w:val="008873EF"/>
    <w:rsid w:val="00891DA3"/>
    <w:rsid w:val="00892226"/>
    <w:rsid w:val="00894899"/>
    <w:rsid w:val="008957E6"/>
    <w:rsid w:val="00895AD9"/>
    <w:rsid w:val="00897009"/>
    <w:rsid w:val="008A06DF"/>
    <w:rsid w:val="008A1D58"/>
    <w:rsid w:val="008A27F8"/>
    <w:rsid w:val="008A5598"/>
    <w:rsid w:val="008A5BB7"/>
    <w:rsid w:val="008A6C75"/>
    <w:rsid w:val="008B200A"/>
    <w:rsid w:val="008B22BB"/>
    <w:rsid w:val="008B3630"/>
    <w:rsid w:val="008C0CFA"/>
    <w:rsid w:val="008C1387"/>
    <w:rsid w:val="008C5C17"/>
    <w:rsid w:val="008C5FC2"/>
    <w:rsid w:val="008C792D"/>
    <w:rsid w:val="008D1F9D"/>
    <w:rsid w:val="008D215A"/>
    <w:rsid w:val="008D44A6"/>
    <w:rsid w:val="008D5EE5"/>
    <w:rsid w:val="008D7480"/>
    <w:rsid w:val="008E010C"/>
    <w:rsid w:val="008E1B25"/>
    <w:rsid w:val="008E2A8C"/>
    <w:rsid w:val="008E348F"/>
    <w:rsid w:val="008E34DA"/>
    <w:rsid w:val="008E4453"/>
    <w:rsid w:val="008E5A90"/>
    <w:rsid w:val="008F3BF9"/>
    <w:rsid w:val="008F40F0"/>
    <w:rsid w:val="008F6032"/>
    <w:rsid w:val="0090172E"/>
    <w:rsid w:val="009020F8"/>
    <w:rsid w:val="00902FD9"/>
    <w:rsid w:val="0090415A"/>
    <w:rsid w:val="00904CE1"/>
    <w:rsid w:val="00907346"/>
    <w:rsid w:val="00907E74"/>
    <w:rsid w:val="009106FA"/>
    <w:rsid w:val="00910C2C"/>
    <w:rsid w:val="00911D56"/>
    <w:rsid w:val="0091283B"/>
    <w:rsid w:val="009131E2"/>
    <w:rsid w:val="009136DE"/>
    <w:rsid w:val="00913F5D"/>
    <w:rsid w:val="00914BA2"/>
    <w:rsid w:val="009161B7"/>
    <w:rsid w:val="00917282"/>
    <w:rsid w:val="00917ED6"/>
    <w:rsid w:val="00920359"/>
    <w:rsid w:val="00920A03"/>
    <w:rsid w:val="00920C02"/>
    <w:rsid w:val="00923564"/>
    <w:rsid w:val="00923ADB"/>
    <w:rsid w:val="00924F9B"/>
    <w:rsid w:val="00925819"/>
    <w:rsid w:val="00926263"/>
    <w:rsid w:val="0092664B"/>
    <w:rsid w:val="0092670C"/>
    <w:rsid w:val="009267F9"/>
    <w:rsid w:val="00927304"/>
    <w:rsid w:val="00927619"/>
    <w:rsid w:val="00932781"/>
    <w:rsid w:val="00933188"/>
    <w:rsid w:val="0093375E"/>
    <w:rsid w:val="00933AFF"/>
    <w:rsid w:val="00934C0A"/>
    <w:rsid w:val="009371E8"/>
    <w:rsid w:val="00937269"/>
    <w:rsid w:val="0093784D"/>
    <w:rsid w:val="00937B7E"/>
    <w:rsid w:val="00941CC6"/>
    <w:rsid w:val="0094395C"/>
    <w:rsid w:val="009439CB"/>
    <w:rsid w:val="009442C5"/>
    <w:rsid w:val="009444F5"/>
    <w:rsid w:val="00952250"/>
    <w:rsid w:val="00953AA3"/>
    <w:rsid w:val="00953CE5"/>
    <w:rsid w:val="00953D84"/>
    <w:rsid w:val="00954335"/>
    <w:rsid w:val="00955474"/>
    <w:rsid w:val="009560B6"/>
    <w:rsid w:val="009561B8"/>
    <w:rsid w:val="0095640D"/>
    <w:rsid w:val="0095795D"/>
    <w:rsid w:val="00960BF7"/>
    <w:rsid w:val="00961B9C"/>
    <w:rsid w:val="009624C6"/>
    <w:rsid w:val="00963255"/>
    <w:rsid w:val="0096329F"/>
    <w:rsid w:val="009633F1"/>
    <w:rsid w:val="00963FC5"/>
    <w:rsid w:val="009655E3"/>
    <w:rsid w:val="00965EB6"/>
    <w:rsid w:val="00966E21"/>
    <w:rsid w:val="009679F7"/>
    <w:rsid w:val="00967FCF"/>
    <w:rsid w:val="0097137C"/>
    <w:rsid w:val="00971E60"/>
    <w:rsid w:val="009740A0"/>
    <w:rsid w:val="0097466D"/>
    <w:rsid w:val="00974C18"/>
    <w:rsid w:val="009762A7"/>
    <w:rsid w:val="00981BF6"/>
    <w:rsid w:val="00983A23"/>
    <w:rsid w:val="009845EC"/>
    <w:rsid w:val="009849F4"/>
    <w:rsid w:val="00990570"/>
    <w:rsid w:val="00990771"/>
    <w:rsid w:val="00992A22"/>
    <w:rsid w:val="00993F0B"/>
    <w:rsid w:val="009950CD"/>
    <w:rsid w:val="00995B4E"/>
    <w:rsid w:val="00995DFE"/>
    <w:rsid w:val="0099705B"/>
    <w:rsid w:val="009A3B67"/>
    <w:rsid w:val="009A7A82"/>
    <w:rsid w:val="009B005A"/>
    <w:rsid w:val="009B00F8"/>
    <w:rsid w:val="009B04CA"/>
    <w:rsid w:val="009B0EA8"/>
    <w:rsid w:val="009B106C"/>
    <w:rsid w:val="009B19B7"/>
    <w:rsid w:val="009B1B19"/>
    <w:rsid w:val="009B2130"/>
    <w:rsid w:val="009B25E0"/>
    <w:rsid w:val="009B4FCE"/>
    <w:rsid w:val="009B79AC"/>
    <w:rsid w:val="009C057F"/>
    <w:rsid w:val="009C1688"/>
    <w:rsid w:val="009C1942"/>
    <w:rsid w:val="009C25BD"/>
    <w:rsid w:val="009C29B9"/>
    <w:rsid w:val="009C3671"/>
    <w:rsid w:val="009C628D"/>
    <w:rsid w:val="009C684F"/>
    <w:rsid w:val="009C78AF"/>
    <w:rsid w:val="009D3D23"/>
    <w:rsid w:val="009D55C7"/>
    <w:rsid w:val="009D575D"/>
    <w:rsid w:val="009E0C05"/>
    <w:rsid w:val="009E429D"/>
    <w:rsid w:val="009E464E"/>
    <w:rsid w:val="009E63B8"/>
    <w:rsid w:val="009F006F"/>
    <w:rsid w:val="009F19ED"/>
    <w:rsid w:val="009F2373"/>
    <w:rsid w:val="009F4018"/>
    <w:rsid w:val="009F4F72"/>
    <w:rsid w:val="009F69E6"/>
    <w:rsid w:val="00A01F00"/>
    <w:rsid w:val="00A01FB6"/>
    <w:rsid w:val="00A02D5F"/>
    <w:rsid w:val="00A036CF"/>
    <w:rsid w:val="00A0545D"/>
    <w:rsid w:val="00A07226"/>
    <w:rsid w:val="00A10B35"/>
    <w:rsid w:val="00A1190D"/>
    <w:rsid w:val="00A11DFC"/>
    <w:rsid w:val="00A1290F"/>
    <w:rsid w:val="00A12920"/>
    <w:rsid w:val="00A13641"/>
    <w:rsid w:val="00A140A6"/>
    <w:rsid w:val="00A1433B"/>
    <w:rsid w:val="00A15439"/>
    <w:rsid w:val="00A20557"/>
    <w:rsid w:val="00A206E5"/>
    <w:rsid w:val="00A21361"/>
    <w:rsid w:val="00A23514"/>
    <w:rsid w:val="00A24C30"/>
    <w:rsid w:val="00A25CF8"/>
    <w:rsid w:val="00A26620"/>
    <w:rsid w:val="00A26849"/>
    <w:rsid w:val="00A27FB2"/>
    <w:rsid w:val="00A3196F"/>
    <w:rsid w:val="00A32AC3"/>
    <w:rsid w:val="00A32C1D"/>
    <w:rsid w:val="00A33FB0"/>
    <w:rsid w:val="00A34123"/>
    <w:rsid w:val="00A341C4"/>
    <w:rsid w:val="00A34C14"/>
    <w:rsid w:val="00A40087"/>
    <w:rsid w:val="00A418EA"/>
    <w:rsid w:val="00A41E61"/>
    <w:rsid w:val="00A4230F"/>
    <w:rsid w:val="00A43C8B"/>
    <w:rsid w:val="00A441E0"/>
    <w:rsid w:val="00A45A1F"/>
    <w:rsid w:val="00A461D9"/>
    <w:rsid w:val="00A50261"/>
    <w:rsid w:val="00A522F6"/>
    <w:rsid w:val="00A53329"/>
    <w:rsid w:val="00A53F21"/>
    <w:rsid w:val="00A54C1F"/>
    <w:rsid w:val="00A561EB"/>
    <w:rsid w:val="00A56ACF"/>
    <w:rsid w:val="00A56DF0"/>
    <w:rsid w:val="00A5716E"/>
    <w:rsid w:val="00A607D1"/>
    <w:rsid w:val="00A6162E"/>
    <w:rsid w:val="00A637A8"/>
    <w:rsid w:val="00A65320"/>
    <w:rsid w:val="00A65AAF"/>
    <w:rsid w:val="00A66D14"/>
    <w:rsid w:val="00A6764C"/>
    <w:rsid w:val="00A67678"/>
    <w:rsid w:val="00A7190A"/>
    <w:rsid w:val="00A732F9"/>
    <w:rsid w:val="00A736F5"/>
    <w:rsid w:val="00A7382C"/>
    <w:rsid w:val="00A747E6"/>
    <w:rsid w:val="00A74BD6"/>
    <w:rsid w:val="00A80061"/>
    <w:rsid w:val="00A81619"/>
    <w:rsid w:val="00A81E61"/>
    <w:rsid w:val="00A869D7"/>
    <w:rsid w:val="00A90F51"/>
    <w:rsid w:val="00A92048"/>
    <w:rsid w:val="00A92685"/>
    <w:rsid w:val="00A92FB8"/>
    <w:rsid w:val="00A93195"/>
    <w:rsid w:val="00A93870"/>
    <w:rsid w:val="00A93F0F"/>
    <w:rsid w:val="00A9447C"/>
    <w:rsid w:val="00A9591E"/>
    <w:rsid w:val="00A97247"/>
    <w:rsid w:val="00A97307"/>
    <w:rsid w:val="00A97E89"/>
    <w:rsid w:val="00AA08F3"/>
    <w:rsid w:val="00AA1051"/>
    <w:rsid w:val="00AA15E1"/>
    <w:rsid w:val="00AA3057"/>
    <w:rsid w:val="00AA45CD"/>
    <w:rsid w:val="00AA49C9"/>
    <w:rsid w:val="00AA4D92"/>
    <w:rsid w:val="00AA724E"/>
    <w:rsid w:val="00AB0861"/>
    <w:rsid w:val="00AB09BE"/>
    <w:rsid w:val="00AB0C58"/>
    <w:rsid w:val="00AB218A"/>
    <w:rsid w:val="00AB545B"/>
    <w:rsid w:val="00AB6319"/>
    <w:rsid w:val="00AB705F"/>
    <w:rsid w:val="00AB7934"/>
    <w:rsid w:val="00AC0058"/>
    <w:rsid w:val="00AC2022"/>
    <w:rsid w:val="00AC40BA"/>
    <w:rsid w:val="00AC7CD9"/>
    <w:rsid w:val="00AD12F1"/>
    <w:rsid w:val="00AD323D"/>
    <w:rsid w:val="00AD54A3"/>
    <w:rsid w:val="00AD5FFF"/>
    <w:rsid w:val="00AD6A21"/>
    <w:rsid w:val="00AE0E06"/>
    <w:rsid w:val="00AE1DF5"/>
    <w:rsid w:val="00AE1F76"/>
    <w:rsid w:val="00AE288D"/>
    <w:rsid w:val="00AE2EA8"/>
    <w:rsid w:val="00AE478B"/>
    <w:rsid w:val="00AE6318"/>
    <w:rsid w:val="00AE74A0"/>
    <w:rsid w:val="00AE7B5F"/>
    <w:rsid w:val="00AE7D62"/>
    <w:rsid w:val="00AF2FC2"/>
    <w:rsid w:val="00AF3A0D"/>
    <w:rsid w:val="00AF7196"/>
    <w:rsid w:val="00B0496B"/>
    <w:rsid w:val="00B04A48"/>
    <w:rsid w:val="00B04C18"/>
    <w:rsid w:val="00B07E81"/>
    <w:rsid w:val="00B1046D"/>
    <w:rsid w:val="00B10F3E"/>
    <w:rsid w:val="00B11980"/>
    <w:rsid w:val="00B12543"/>
    <w:rsid w:val="00B12AB7"/>
    <w:rsid w:val="00B1308E"/>
    <w:rsid w:val="00B13D98"/>
    <w:rsid w:val="00B14138"/>
    <w:rsid w:val="00B15747"/>
    <w:rsid w:val="00B16041"/>
    <w:rsid w:val="00B232A2"/>
    <w:rsid w:val="00B2389C"/>
    <w:rsid w:val="00B2657A"/>
    <w:rsid w:val="00B27786"/>
    <w:rsid w:val="00B30CB7"/>
    <w:rsid w:val="00B315A9"/>
    <w:rsid w:val="00B316A2"/>
    <w:rsid w:val="00B32DBD"/>
    <w:rsid w:val="00B35350"/>
    <w:rsid w:val="00B40030"/>
    <w:rsid w:val="00B40070"/>
    <w:rsid w:val="00B41FF0"/>
    <w:rsid w:val="00B423F5"/>
    <w:rsid w:val="00B434DF"/>
    <w:rsid w:val="00B4525F"/>
    <w:rsid w:val="00B455CE"/>
    <w:rsid w:val="00B45C56"/>
    <w:rsid w:val="00B5036A"/>
    <w:rsid w:val="00B50622"/>
    <w:rsid w:val="00B50D99"/>
    <w:rsid w:val="00B511AA"/>
    <w:rsid w:val="00B5138F"/>
    <w:rsid w:val="00B5357A"/>
    <w:rsid w:val="00B53F5F"/>
    <w:rsid w:val="00B543DD"/>
    <w:rsid w:val="00B543E5"/>
    <w:rsid w:val="00B55DA1"/>
    <w:rsid w:val="00B57BCE"/>
    <w:rsid w:val="00B608CD"/>
    <w:rsid w:val="00B60A1C"/>
    <w:rsid w:val="00B61273"/>
    <w:rsid w:val="00B613B9"/>
    <w:rsid w:val="00B61AB7"/>
    <w:rsid w:val="00B623FD"/>
    <w:rsid w:val="00B62BF6"/>
    <w:rsid w:val="00B62DD3"/>
    <w:rsid w:val="00B644CB"/>
    <w:rsid w:val="00B644CD"/>
    <w:rsid w:val="00B64D26"/>
    <w:rsid w:val="00B65902"/>
    <w:rsid w:val="00B65D4E"/>
    <w:rsid w:val="00B7090D"/>
    <w:rsid w:val="00B710D6"/>
    <w:rsid w:val="00B71A46"/>
    <w:rsid w:val="00B72CC1"/>
    <w:rsid w:val="00B72DA5"/>
    <w:rsid w:val="00B72DC4"/>
    <w:rsid w:val="00B731F9"/>
    <w:rsid w:val="00B759CA"/>
    <w:rsid w:val="00B766DF"/>
    <w:rsid w:val="00B76B2C"/>
    <w:rsid w:val="00B772A3"/>
    <w:rsid w:val="00B77816"/>
    <w:rsid w:val="00B83BD5"/>
    <w:rsid w:val="00B86723"/>
    <w:rsid w:val="00B91390"/>
    <w:rsid w:val="00B924FF"/>
    <w:rsid w:val="00B93313"/>
    <w:rsid w:val="00B93A53"/>
    <w:rsid w:val="00B945B4"/>
    <w:rsid w:val="00B9566F"/>
    <w:rsid w:val="00B96A4F"/>
    <w:rsid w:val="00B978CF"/>
    <w:rsid w:val="00BA00DB"/>
    <w:rsid w:val="00BA00F3"/>
    <w:rsid w:val="00BA0BA3"/>
    <w:rsid w:val="00BA1008"/>
    <w:rsid w:val="00BA1F3B"/>
    <w:rsid w:val="00BA22F5"/>
    <w:rsid w:val="00BA32BA"/>
    <w:rsid w:val="00BA4E57"/>
    <w:rsid w:val="00BA78E5"/>
    <w:rsid w:val="00BA7D63"/>
    <w:rsid w:val="00BB05AA"/>
    <w:rsid w:val="00BB0DAE"/>
    <w:rsid w:val="00BB161C"/>
    <w:rsid w:val="00BB44A7"/>
    <w:rsid w:val="00BB47AF"/>
    <w:rsid w:val="00BB60FE"/>
    <w:rsid w:val="00BB6336"/>
    <w:rsid w:val="00BB7115"/>
    <w:rsid w:val="00BB7263"/>
    <w:rsid w:val="00BB7DF9"/>
    <w:rsid w:val="00BC252A"/>
    <w:rsid w:val="00BC49CF"/>
    <w:rsid w:val="00BC7A29"/>
    <w:rsid w:val="00BD1E0B"/>
    <w:rsid w:val="00BD598A"/>
    <w:rsid w:val="00BD5ADA"/>
    <w:rsid w:val="00BD6092"/>
    <w:rsid w:val="00BD61CB"/>
    <w:rsid w:val="00BD6B38"/>
    <w:rsid w:val="00BE072A"/>
    <w:rsid w:val="00BE097F"/>
    <w:rsid w:val="00BE1817"/>
    <w:rsid w:val="00BE1E6F"/>
    <w:rsid w:val="00BE2A6F"/>
    <w:rsid w:val="00BE3959"/>
    <w:rsid w:val="00BE3975"/>
    <w:rsid w:val="00BE3D29"/>
    <w:rsid w:val="00BE6F4F"/>
    <w:rsid w:val="00BF0918"/>
    <w:rsid w:val="00BF2250"/>
    <w:rsid w:val="00BF243C"/>
    <w:rsid w:val="00BF2499"/>
    <w:rsid w:val="00BF256B"/>
    <w:rsid w:val="00BF3756"/>
    <w:rsid w:val="00BF3A02"/>
    <w:rsid w:val="00BF70B5"/>
    <w:rsid w:val="00BF7608"/>
    <w:rsid w:val="00BF7A69"/>
    <w:rsid w:val="00C00759"/>
    <w:rsid w:val="00C00D59"/>
    <w:rsid w:val="00C01214"/>
    <w:rsid w:val="00C01BAD"/>
    <w:rsid w:val="00C06241"/>
    <w:rsid w:val="00C06886"/>
    <w:rsid w:val="00C06A1B"/>
    <w:rsid w:val="00C071AA"/>
    <w:rsid w:val="00C076AD"/>
    <w:rsid w:val="00C07779"/>
    <w:rsid w:val="00C1005D"/>
    <w:rsid w:val="00C1034B"/>
    <w:rsid w:val="00C10E4C"/>
    <w:rsid w:val="00C113EB"/>
    <w:rsid w:val="00C115F7"/>
    <w:rsid w:val="00C11E3F"/>
    <w:rsid w:val="00C11F89"/>
    <w:rsid w:val="00C13593"/>
    <w:rsid w:val="00C14449"/>
    <w:rsid w:val="00C20841"/>
    <w:rsid w:val="00C22C04"/>
    <w:rsid w:val="00C239F9"/>
    <w:rsid w:val="00C23D80"/>
    <w:rsid w:val="00C24FB1"/>
    <w:rsid w:val="00C25AB8"/>
    <w:rsid w:val="00C25E55"/>
    <w:rsid w:val="00C2662E"/>
    <w:rsid w:val="00C272C5"/>
    <w:rsid w:val="00C2763F"/>
    <w:rsid w:val="00C307E9"/>
    <w:rsid w:val="00C31026"/>
    <w:rsid w:val="00C336ED"/>
    <w:rsid w:val="00C35D31"/>
    <w:rsid w:val="00C37752"/>
    <w:rsid w:val="00C410A7"/>
    <w:rsid w:val="00C4179E"/>
    <w:rsid w:val="00C4245F"/>
    <w:rsid w:val="00C43FBE"/>
    <w:rsid w:val="00C4496F"/>
    <w:rsid w:val="00C454AD"/>
    <w:rsid w:val="00C45755"/>
    <w:rsid w:val="00C45F2D"/>
    <w:rsid w:val="00C47301"/>
    <w:rsid w:val="00C473B9"/>
    <w:rsid w:val="00C514CF"/>
    <w:rsid w:val="00C5197A"/>
    <w:rsid w:val="00C52317"/>
    <w:rsid w:val="00C537CF"/>
    <w:rsid w:val="00C5689D"/>
    <w:rsid w:val="00C57FDF"/>
    <w:rsid w:val="00C60E90"/>
    <w:rsid w:val="00C61445"/>
    <w:rsid w:val="00C63E7E"/>
    <w:rsid w:val="00C6492E"/>
    <w:rsid w:val="00C66E3C"/>
    <w:rsid w:val="00C67FBC"/>
    <w:rsid w:val="00C70516"/>
    <w:rsid w:val="00C72BFE"/>
    <w:rsid w:val="00C73976"/>
    <w:rsid w:val="00C73B52"/>
    <w:rsid w:val="00C74DCC"/>
    <w:rsid w:val="00C750CD"/>
    <w:rsid w:val="00C755B7"/>
    <w:rsid w:val="00C757B0"/>
    <w:rsid w:val="00C75C49"/>
    <w:rsid w:val="00C77AB2"/>
    <w:rsid w:val="00C81249"/>
    <w:rsid w:val="00C81AC3"/>
    <w:rsid w:val="00C81CC5"/>
    <w:rsid w:val="00C824F6"/>
    <w:rsid w:val="00C8332A"/>
    <w:rsid w:val="00C8511F"/>
    <w:rsid w:val="00C8591D"/>
    <w:rsid w:val="00C85D75"/>
    <w:rsid w:val="00C90624"/>
    <w:rsid w:val="00C90C41"/>
    <w:rsid w:val="00C91056"/>
    <w:rsid w:val="00C916D9"/>
    <w:rsid w:val="00C92C72"/>
    <w:rsid w:val="00C93732"/>
    <w:rsid w:val="00C94285"/>
    <w:rsid w:val="00C94320"/>
    <w:rsid w:val="00C946F6"/>
    <w:rsid w:val="00C954A6"/>
    <w:rsid w:val="00C95623"/>
    <w:rsid w:val="00C9633B"/>
    <w:rsid w:val="00C96410"/>
    <w:rsid w:val="00C9677B"/>
    <w:rsid w:val="00CA002E"/>
    <w:rsid w:val="00CA3D1D"/>
    <w:rsid w:val="00CA4419"/>
    <w:rsid w:val="00CA661B"/>
    <w:rsid w:val="00CA6638"/>
    <w:rsid w:val="00CB0113"/>
    <w:rsid w:val="00CB1F8E"/>
    <w:rsid w:val="00CB272E"/>
    <w:rsid w:val="00CB3FBB"/>
    <w:rsid w:val="00CB58D3"/>
    <w:rsid w:val="00CB5D9E"/>
    <w:rsid w:val="00CB6470"/>
    <w:rsid w:val="00CB6E00"/>
    <w:rsid w:val="00CB78F8"/>
    <w:rsid w:val="00CB7F78"/>
    <w:rsid w:val="00CC0FD0"/>
    <w:rsid w:val="00CC31B1"/>
    <w:rsid w:val="00CC3486"/>
    <w:rsid w:val="00CC4A76"/>
    <w:rsid w:val="00CC5248"/>
    <w:rsid w:val="00CC684D"/>
    <w:rsid w:val="00CC6CA2"/>
    <w:rsid w:val="00CD065F"/>
    <w:rsid w:val="00CD1029"/>
    <w:rsid w:val="00CD1DCF"/>
    <w:rsid w:val="00CD1E85"/>
    <w:rsid w:val="00CD2B28"/>
    <w:rsid w:val="00CD3AA3"/>
    <w:rsid w:val="00CD4635"/>
    <w:rsid w:val="00CD5042"/>
    <w:rsid w:val="00CD526E"/>
    <w:rsid w:val="00CD799C"/>
    <w:rsid w:val="00CE011B"/>
    <w:rsid w:val="00CE0A33"/>
    <w:rsid w:val="00CE160E"/>
    <w:rsid w:val="00CE1CEE"/>
    <w:rsid w:val="00CE3A5A"/>
    <w:rsid w:val="00CE4558"/>
    <w:rsid w:val="00CE48B4"/>
    <w:rsid w:val="00CE5655"/>
    <w:rsid w:val="00CF003B"/>
    <w:rsid w:val="00CF0209"/>
    <w:rsid w:val="00CF1801"/>
    <w:rsid w:val="00CF1A2E"/>
    <w:rsid w:val="00CF1D25"/>
    <w:rsid w:val="00CF2811"/>
    <w:rsid w:val="00CF41B8"/>
    <w:rsid w:val="00CF5327"/>
    <w:rsid w:val="00CF6578"/>
    <w:rsid w:val="00CF6B21"/>
    <w:rsid w:val="00CF7BEC"/>
    <w:rsid w:val="00D01DBE"/>
    <w:rsid w:val="00D02B88"/>
    <w:rsid w:val="00D02EEA"/>
    <w:rsid w:val="00D0468F"/>
    <w:rsid w:val="00D05F34"/>
    <w:rsid w:val="00D06183"/>
    <w:rsid w:val="00D06498"/>
    <w:rsid w:val="00D07944"/>
    <w:rsid w:val="00D10D33"/>
    <w:rsid w:val="00D11D3B"/>
    <w:rsid w:val="00D12A7A"/>
    <w:rsid w:val="00D148CA"/>
    <w:rsid w:val="00D15570"/>
    <w:rsid w:val="00D15B3B"/>
    <w:rsid w:val="00D20849"/>
    <w:rsid w:val="00D232F8"/>
    <w:rsid w:val="00D2495E"/>
    <w:rsid w:val="00D25863"/>
    <w:rsid w:val="00D31749"/>
    <w:rsid w:val="00D31D2F"/>
    <w:rsid w:val="00D32231"/>
    <w:rsid w:val="00D323CD"/>
    <w:rsid w:val="00D33AFE"/>
    <w:rsid w:val="00D3592B"/>
    <w:rsid w:val="00D363C2"/>
    <w:rsid w:val="00D37B5B"/>
    <w:rsid w:val="00D41FEF"/>
    <w:rsid w:val="00D43743"/>
    <w:rsid w:val="00D46597"/>
    <w:rsid w:val="00D46DDB"/>
    <w:rsid w:val="00D50328"/>
    <w:rsid w:val="00D5233A"/>
    <w:rsid w:val="00D5593B"/>
    <w:rsid w:val="00D55F87"/>
    <w:rsid w:val="00D56513"/>
    <w:rsid w:val="00D566C2"/>
    <w:rsid w:val="00D5677B"/>
    <w:rsid w:val="00D56BAC"/>
    <w:rsid w:val="00D57FC6"/>
    <w:rsid w:val="00D606A0"/>
    <w:rsid w:val="00D60E93"/>
    <w:rsid w:val="00D655D3"/>
    <w:rsid w:val="00D706AC"/>
    <w:rsid w:val="00D7150C"/>
    <w:rsid w:val="00D74ABA"/>
    <w:rsid w:val="00D75D7B"/>
    <w:rsid w:val="00D75E5E"/>
    <w:rsid w:val="00D771EE"/>
    <w:rsid w:val="00D772C2"/>
    <w:rsid w:val="00D80103"/>
    <w:rsid w:val="00D812DF"/>
    <w:rsid w:val="00D82633"/>
    <w:rsid w:val="00D83213"/>
    <w:rsid w:val="00D835C3"/>
    <w:rsid w:val="00D84A86"/>
    <w:rsid w:val="00D91B8A"/>
    <w:rsid w:val="00D91EEF"/>
    <w:rsid w:val="00D93764"/>
    <w:rsid w:val="00D93A9C"/>
    <w:rsid w:val="00D93B4D"/>
    <w:rsid w:val="00D95B95"/>
    <w:rsid w:val="00D95FB1"/>
    <w:rsid w:val="00D97319"/>
    <w:rsid w:val="00DA2656"/>
    <w:rsid w:val="00DA2E34"/>
    <w:rsid w:val="00DA4357"/>
    <w:rsid w:val="00DA4C78"/>
    <w:rsid w:val="00DA4FD4"/>
    <w:rsid w:val="00DA5E68"/>
    <w:rsid w:val="00DA6E17"/>
    <w:rsid w:val="00DA74C8"/>
    <w:rsid w:val="00DA793D"/>
    <w:rsid w:val="00DB162F"/>
    <w:rsid w:val="00DB5255"/>
    <w:rsid w:val="00DB5681"/>
    <w:rsid w:val="00DB5CE1"/>
    <w:rsid w:val="00DB6BE9"/>
    <w:rsid w:val="00DC2ECA"/>
    <w:rsid w:val="00DC39D2"/>
    <w:rsid w:val="00DC3BF5"/>
    <w:rsid w:val="00DC5BC8"/>
    <w:rsid w:val="00DC708D"/>
    <w:rsid w:val="00DC78F2"/>
    <w:rsid w:val="00DD0D5D"/>
    <w:rsid w:val="00DD1459"/>
    <w:rsid w:val="00DD33DE"/>
    <w:rsid w:val="00DD428F"/>
    <w:rsid w:val="00DD433E"/>
    <w:rsid w:val="00DD479F"/>
    <w:rsid w:val="00DD50B8"/>
    <w:rsid w:val="00DD593E"/>
    <w:rsid w:val="00DE0D50"/>
    <w:rsid w:val="00DE0E3E"/>
    <w:rsid w:val="00DE3826"/>
    <w:rsid w:val="00DE3DFC"/>
    <w:rsid w:val="00DE3EF1"/>
    <w:rsid w:val="00DE51B2"/>
    <w:rsid w:val="00DE54FA"/>
    <w:rsid w:val="00DE74A8"/>
    <w:rsid w:val="00DE7786"/>
    <w:rsid w:val="00DF01BF"/>
    <w:rsid w:val="00DF1D68"/>
    <w:rsid w:val="00DF2BE2"/>
    <w:rsid w:val="00DF3350"/>
    <w:rsid w:val="00E002CA"/>
    <w:rsid w:val="00E00FAE"/>
    <w:rsid w:val="00E02614"/>
    <w:rsid w:val="00E0413B"/>
    <w:rsid w:val="00E04CCC"/>
    <w:rsid w:val="00E10158"/>
    <w:rsid w:val="00E10FA0"/>
    <w:rsid w:val="00E11B0E"/>
    <w:rsid w:val="00E12112"/>
    <w:rsid w:val="00E1249E"/>
    <w:rsid w:val="00E129FF"/>
    <w:rsid w:val="00E13268"/>
    <w:rsid w:val="00E1482E"/>
    <w:rsid w:val="00E177B7"/>
    <w:rsid w:val="00E22F9B"/>
    <w:rsid w:val="00E231A4"/>
    <w:rsid w:val="00E268C4"/>
    <w:rsid w:val="00E26C24"/>
    <w:rsid w:val="00E27619"/>
    <w:rsid w:val="00E323F7"/>
    <w:rsid w:val="00E32454"/>
    <w:rsid w:val="00E343C9"/>
    <w:rsid w:val="00E35601"/>
    <w:rsid w:val="00E37352"/>
    <w:rsid w:val="00E425A7"/>
    <w:rsid w:val="00E42CCF"/>
    <w:rsid w:val="00E44190"/>
    <w:rsid w:val="00E4513E"/>
    <w:rsid w:val="00E45A8A"/>
    <w:rsid w:val="00E46481"/>
    <w:rsid w:val="00E46D45"/>
    <w:rsid w:val="00E52237"/>
    <w:rsid w:val="00E54ED2"/>
    <w:rsid w:val="00E5590F"/>
    <w:rsid w:val="00E55D87"/>
    <w:rsid w:val="00E56B28"/>
    <w:rsid w:val="00E570C5"/>
    <w:rsid w:val="00E63608"/>
    <w:rsid w:val="00E64EED"/>
    <w:rsid w:val="00E65D87"/>
    <w:rsid w:val="00E67CC9"/>
    <w:rsid w:val="00E67F35"/>
    <w:rsid w:val="00E7232D"/>
    <w:rsid w:val="00E74445"/>
    <w:rsid w:val="00E77881"/>
    <w:rsid w:val="00E821FA"/>
    <w:rsid w:val="00E830A0"/>
    <w:rsid w:val="00E8460B"/>
    <w:rsid w:val="00E85E47"/>
    <w:rsid w:val="00E86600"/>
    <w:rsid w:val="00E911B2"/>
    <w:rsid w:val="00E92045"/>
    <w:rsid w:val="00E9382C"/>
    <w:rsid w:val="00E956B2"/>
    <w:rsid w:val="00E977A0"/>
    <w:rsid w:val="00EA0EA2"/>
    <w:rsid w:val="00EA1065"/>
    <w:rsid w:val="00EA3640"/>
    <w:rsid w:val="00EA433D"/>
    <w:rsid w:val="00EA5486"/>
    <w:rsid w:val="00EA7AA9"/>
    <w:rsid w:val="00EA7CEF"/>
    <w:rsid w:val="00EB2224"/>
    <w:rsid w:val="00EB2BBB"/>
    <w:rsid w:val="00EB2C65"/>
    <w:rsid w:val="00EB3B68"/>
    <w:rsid w:val="00EB5748"/>
    <w:rsid w:val="00EB6977"/>
    <w:rsid w:val="00EC1F8C"/>
    <w:rsid w:val="00EC21AF"/>
    <w:rsid w:val="00EC2FFE"/>
    <w:rsid w:val="00EC56D3"/>
    <w:rsid w:val="00ED0FB6"/>
    <w:rsid w:val="00ED206E"/>
    <w:rsid w:val="00ED2C3A"/>
    <w:rsid w:val="00ED2D2F"/>
    <w:rsid w:val="00ED2DBA"/>
    <w:rsid w:val="00ED3219"/>
    <w:rsid w:val="00ED4EDB"/>
    <w:rsid w:val="00ED527E"/>
    <w:rsid w:val="00ED62B3"/>
    <w:rsid w:val="00ED66A8"/>
    <w:rsid w:val="00EE2F76"/>
    <w:rsid w:val="00EE5B2E"/>
    <w:rsid w:val="00EE7598"/>
    <w:rsid w:val="00EF0F3C"/>
    <w:rsid w:val="00EF25E1"/>
    <w:rsid w:val="00EF30B5"/>
    <w:rsid w:val="00EF33BF"/>
    <w:rsid w:val="00EF3A55"/>
    <w:rsid w:val="00EF3B9D"/>
    <w:rsid w:val="00EF5053"/>
    <w:rsid w:val="00EF5C12"/>
    <w:rsid w:val="00EF5F93"/>
    <w:rsid w:val="00EF723D"/>
    <w:rsid w:val="00F00192"/>
    <w:rsid w:val="00F02CC2"/>
    <w:rsid w:val="00F03286"/>
    <w:rsid w:val="00F05B2C"/>
    <w:rsid w:val="00F05CE3"/>
    <w:rsid w:val="00F06A62"/>
    <w:rsid w:val="00F072BD"/>
    <w:rsid w:val="00F1216E"/>
    <w:rsid w:val="00F1611A"/>
    <w:rsid w:val="00F16617"/>
    <w:rsid w:val="00F22124"/>
    <w:rsid w:val="00F2221C"/>
    <w:rsid w:val="00F23EE2"/>
    <w:rsid w:val="00F24229"/>
    <w:rsid w:val="00F263A0"/>
    <w:rsid w:val="00F26C34"/>
    <w:rsid w:val="00F328EB"/>
    <w:rsid w:val="00F333FD"/>
    <w:rsid w:val="00F33A40"/>
    <w:rsid w:val="00F34E89"/>
    <w:rsid w:val="00F35609"/>
    <w:rsid w:val="00F40F9E"/>
    <w:rsid w:val="00F411D7"/>
    <w:rsid w:val="00F45E53"/>
    <w:rsid w:val="00F45FC9"/>
    <w:rsid w:val="00F46E1D"/>
    <w:rsid w:val="00F47279"/>
    <w:rsid w:val="00F51491"/>
    <w:rsid w:val="00F51706"/>
    <w:rsid w:val="00F535E3"/>
    <w:rsid w:val="00F53B74"/>
    <w:rsid w:val="00F54999"/>
    <w:rsid w:val="00F549A4"/>
    <w:rsid w:val="00F55419"/>
    <w:rsid w:val="00F55E29"/>
    <w:rsid w:val="00F55F68"/>
    <w:rsid w:val="00F565AB"/>
    <w:rsid w:val="00F57237"/>
    <w:rsid w:val="00F6030F"/>
    <w:rsid w:val="00F6134D"/>
    <w:rsid w:val="00F6311C"/>
    <w:rsid w:val="00F644D4"/>
    <w:rsid w:val="00F6508E"/>
    <w:rsid w:val="00F6594F"/>
    <w:rsid w:val="00F673D2"/>
    <w:rsid w:val="00F708C6"/>
    <w:rsid w:val="00F713E1"/>
    <w:rsid w:val="00F717FB"/>
    <w:rsid w:val="00F72239"/>
    <w:rsid w:val="00F7354A"/>
    <w:rsid w:val="00F75F57"/>
    <w:rsid w:val="00F81E64"/>
    <w:rsid w:val="00F81FE6"/>
    <w:rsid w:val="00F84076"/>
    <w:rsid w:val="00F8488D"/>
    <w:rsid w:val="00F851BA"/>
    <w:rsid w:val="00F85401"/>
    <w:rsid w:val="00F8680F"/>
    <w:rsid w:val="00F917D8"/>
    <w:rsid w:val="00F93EFD"/>
    <w:rsid w:val="00F95B5C"/>
    <w:rsid w:val="00F9619A"/>
    <w:rsid w:val="00FA1478"/>
    <w:rsid w:val="00FA1494"/>
    <w:rsid w:val="00FA3A5D"/>
    <w:rsid w:val="00FA6C71"/>
    <w:rsid w:val="00FB1ED1"/>
    <w:rsid w:val="00FB266D"/>
    <w:rsid w:val="00FB6843"/>
    <w:rsid w:val="00FB741B"/>
    <w:rsid w:val="00FC0A9F"/>
    <w:rsid w:val="00FC1B67"/>
    <w:rsid w:val="00FC28CE"/>
    <w:rsid w:val="00FC34A5"/>
    <w:rsid w:val="00FC57CB"/>
    <w:rsid w:val="00FC5949"/>
    <w:rsid w:val="00FC6E1C"/>
    <w:rsid w:val="00FD03EE"/>
    <w:rsid w:val="00FD112F"/>
    <w:rsid w:val="00FD1D9A"/>
    <w:rsid w:val="00FD1DF0"/>
    <w:rsid w:val="00FD3B20"/>
    <w:rsid w:val="00FD6B7B"/>
    <w:rsid w:val="00FE001E"/>
    <w:rsid w:val="00FE1AFC"/>
    <w:rsid w:val="00FE34F5"/>
    <w:rsid w:val="00FE38D9"/>
    <w:rsid w:val="00FE3B38"/>
    <w:rsid w:val="00FE3B76"/>
    <w:rsid w:val="00FE429C"/>
    <w:rsid w:val="00FE4F89"/>
    <w:rsid w:val="00FF2731"/>
    <w:rsid w:val="00FF4F37"/>
    <w:rsid w:val="00FF711D"/>
    <w:rsid w:val="00FF7F65"/>
    <w:rsid w:val="02F1A33F"/>
    <w:rsid w:val="04DE127C"/>
    <w:rsid w:val="07C8AD3D"/>
    <w:rsid w:val="0E7691E1"/>
    <w:rsid w:val="1E99A35F"/>
    <w:rsid w:val="1EF38EB0"/>
    <w:rsid w:val="1F969191"/>
    <w:rsid w:val="22EF8E35"/>
    <w:rsid w:val="26EC1471"/>
    <w:rsid w:val="28D202C1"/>
    <w:rsid w:val="2A2D2B1E"/>
    <w:rsid w:val="2FEB5DDC"/>
    <w:rsid w:val="33902E09"/>
    <w:rsid w:val="358A22FF"/>
    <w:rsid w:val="38030161"/>
    <w:rsid w:val="38AA20D8"/>
    <w:rsid w:val="3A7770C4"/>
    <w:rsid w:val="3AF53F54"/>
    <w:rsid w:val="3D3A0EA7"/>
    <w:rsid w:val="3DC17D0D"/>
    <w:rsid w:val="42477468"/>
    <w:rsid w:val="43C6B877"/>
    <w:rsid w:val="46D59D08"/>
    <w:rsid w:val="46DC9B0A"/>
    <w:rsid w:val="4C00FCD4"/>
    <w:rsid w:val="53573A89"/>
    <w:rsid w:val="5369DA11"/>
    <w:rsid w:val="56A14EA0"/>
    <w:rsid w:val="5BD7D82F"/>
    <w:rsid w:val="6E73C59B"/>
    <w:rsid w:val="71DA7AAF"/>
    <w:rsid w:val="77223317"/>
    <w:rsid w:val="7934B984"/>
    <w:rsid w:val="7A978974"/>
    <w:rsid w:val="7B2572AA"/>
    <w:rsid w:val="7CD32FDF"/>
    <w:rsid w:val="7DB2B1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EC1CEFD-9F29-4473-A13A-A71514A1C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UnresolvedMention">
    <w:name w:val="Unresolved Mention"/>
    <w:basedOn w:val="DefaultParagraphFont"/>
    <w:uiPriority w:val="99"/>
    <w:semiHidden/>
    <w:unhideWhenUsed/>
    <w:rsid w:val="0087241A"/>
    <w:rPr>
      <w:color w:val="605E5C"/>
      <w:shd w:val="clear" w:color="auto" w:fill="E1DFDD"/>
    </w:rPr>
  </w:style>
  <w:style w:type="character" w:styleId="FollowedHyperlink">
    <w:name w:val="FollowedHyperlink"/>
    <w:basedOn w:val="DefaultParagraphFont"/>
    <w:uiPriority w:val="99"/>
    <w:semiHidden/>
    <w:unhideWhenUsed/>
    <w:rsid w:val="00C537CF"/>
    <w:rPr>
      <w:color w:val="800080" w:themeColor="followedHyperlink"/>
      <w:u w:val="single"/>
    </w:rPr>
  </w:style>
  <w:style w:type="character" w:customStyle="1" w:styleId="HeaderChar">
    <w:name w:val="Header Char"/>
    <w:basedOn w:val="DefaultParagraphFont"/>
    <w:link w:val="Header"/>
    <w:uiPriority w:val="99"/>
    <w:rsid w:val="00DA6E17"/>
    <w:rPr>
      <w:rFonts w:ascii="Times New Roman" w:hAnsi="Times New Roman" w:cs="Times New Roman"/>
      <w:sz w:val="24"/>
      <w:lang w:val="fr-FR"/>
    </w:rPr>
  </w:style>
  <w:style w:type="character" w:customStyle="1" w:styleId="FooterChar">
    <w:name w:val="Footer Char"/>
    <w:basedOn w:val="DefaultParagraphFont"/>
    <w:link w:val="Footer"/>
    <w:uiPriority w:val="99"/>
    <w:rsid w:val="00DA6E17"/>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A6E17"/>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A6E17"/>
    <w:pPr>
      <w:spacing w:before="0"/>
      <w:jc w:val="right"/>
    </w:pPr>
    <w:rPr>
      <w:sz w:val="28"/>
    </w:rPr>
  </w:style>
  <w:style w:type="paragraph" w:customStyle="1" w:styleId="FooterSensitivity">
    <w:name w:val="Footer Sensitivity"/>
    <w:basedOn w:val="Normal"/>
    <w:rsid w:val="00DA6E17"/>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A6E17"/>
    <w:pPr>
      <w:tabs>
        <w:tab w:val="center" w:pos="4535"/>
        <w:tab w:val="right" w:pos="9071"/>
      </w:tabs>
      <w:spacing w:before="0"/>
    </w:pPr>
  </w:style>
  <w:style w:type="paragraph" w:customStyle="1" w:styleId="HeaderLandscape">
    <w:name w:val="HeaderLandscape"/>
    <w:basedOn w:val="Normal"/>
    <w:rsid w:val="00DA6E17"/>
    <w:pPr>
      <w:tabs>
        <w:tab w:val="center" w:pos="7285"/>
        <w:tab w:val="right" w:pos="14003"/>
      </w:tabs>
      <w:spacing w:before="0"/>
    </w:pPr>
  </w:style>
  <w:style w:type="paragraph" w:styleId="Footer">
    <w:name w:val="footer"/>
    <w:basedOn w:val="Normal"/>
    <w:link w:val="FooterChar"/>
    <w:uiPriority w:val="99"/>
    <w:unhideWhenUsed/>
    <w:rsid w:val="00DA6E17"/>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A6E17"/>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187448989">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301814932">
      <w:bodyDiv w:val="1"/>
      <w:marLeft w:val="0"/>
      <w:marRight w:val="0"/>
      <w:marTop w:val="0"/>
      <w:marBottom w:val="0"/>
      <w:divBdr>
        <w:top w:val="none" w:sz="0" w:space="0" w:color="auto"/>
        <w:left w:val="none" w:sz="0" w:space="0" w:color="auto"/>
        <w:bottom w:val="none" w:sz="0" w:space="0" w:color="auto"/>
        <w:right w:val="none" w:sz="0" w:space="0" w:color="auto"/>
      </w:divBdr>
    </w:div>
    <w:div w:id="408038523">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595672666">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09499234">
      <w:bodyDiv w:val="1"/>
      <w:marLeft w:val="0"/>
      <w:marRight w:val="0"/>
      <w:marTop w:val="0"/>
      <w:marBottom w:val="0"/>
      <w:divBdr>
        <w:top w:val="none" w:sz="0" w:space="0" w:color="auto"/>
        <w:left w:val="none" w:sz="0" w:space="0" w:color="auto"/>
        <w:bottom w:val="none" w:sz="0" w:space="0" w:color="auto"/>
        <w:right w:val="none" w:sz="0" w:space="0" w:color="auto"/>
      </w:divBdr>
    </w:div>
    <w:div w:id="876894166">
      <w:bodyDiv w:val="1"/>
      <w:marLeft w:val="0"/>
      <w:marRight w:val="0"/>
      <w:marTop w:val="0"/>
      <w:marBottom w:val="0"/>
      <w:divBdr>
        <w:top w:val="none" w:sz="0" w:space="0" w:color="auto"/>
        <w:left w:val="none" w:sz="0" w:space="0" w:color="auto"/>
        <w:bottom w:val="none" w:sz="0" w:space="0" w:color="auto"/>
        <w:right w:val="none" w:sz="0" w:space="0" w:color="auto"/>
      </w:divBdr>
    </w:div>
    <w:div w:id="1023439183">
      <w:bodyDiv w:val="1"/>
      <w:marLeft w:val="0"/>
      <w:marRight w:val="0"/>
      <w:marTop w:val="0"/>
      <w:marBottom w:val="0"/>
      <w:divBdr>
        <w:top w:val="none" w:sz="0" w:space="0" w:color="auto"/>
        <w:left w:val="none" w:sz="0" w:space="0" w:color="auto"/>
        <w:bottom w:val="none" w:sz="0" w:space="0" w:color="auto"/>
        <w:right w:val="none" w:sz="0" w:space="0" w:color="auto"/>
      </w:divBdr>
    </w:div>
    <w:div w:id="1081175069">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34043220">
      <w:bodyDiv w:val="1"/>
      <w:marLeft w:val="0"/>
      <w:marRight w:val="0"/>
      <w:marTop w:val="0"/>
      <w:marBottom w:val="0"/>
      <w:divBdr>
        <w:top w:val="none" w:sz="0" w:space="0" w:color="auto"/>
        <w:left w:val="none" w:sz="0" w:space="0" w:color="auto"/>
        <w:bottom w:val="none" w:sz="0" w:space="0" w:color="auto"/>
        <w:right w:val="none" w:sz="0" w:space="0" w:color="auto"/>
      </w:divBdr>
    </w:div>
    <w:div w:id="1240560788">
      <w:bodyDiv w:val="1"/>
      <w:marLeft w:val="0"/>
      <w:marRight w:val="0"/>
      <w:marTop w:val="0"/>
      <w:marBottom w:val="0"/>
      <w:divBdr>
        <w:top w:val="none" w:sz="0" w:space="0" w:color="auto"/>
        <w:left w:val="none" w:sz="0" w:space="0" w:color="auto"/>
        <w:bottom w:val="none" w:sz="0" w:space="0" w:color="auto"/>
        <w:right w:val="none" w:sz="0" w:space="0" w:color="auto"/>
      </w:divBdr>
    </w:div>
    <w:div w:id="1277369188">
      <w:bodyDiv w:val="1"/>
      <w:marLeft w:val="0"/>
      <w:marRight w:val="0"/>
      <w:marTop w:val="0"/>
      <w:marBottom w:val="0"/>
      <w:divBdr>
        <w:top w:val="none" w:sz="0" w:space="0" w:color="auto"/>
        <w:left w:val="none" w:sz="0" w:space="0" w:color="auto"/>
        <w:bottom w:val="none" w:sz="0" w:space="0" w:color="auto"/>
        <w:right w:val="none" w:sz="0" w:space="0" w:color="auto"/>
      </w:divBdr>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418288138">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658074520">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2019498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onsilium.europa.eu/fr/documents/public-register/" TargetMode="External"/><Relationship Id="rId2" Type="http://schemas.openxmlformats.org/officeDocument/2006/relationships/hyperlink" Target="https://www.consilium.europa.eu/fr/documents/public-register/" TargetMode="External"/><Relationship Id="rId1" Type="http://schemas.openxmlformats.org/officeDocument/2006/relationships/hyperlink" Target="http://data.europa.eu/eli/reg/2021/241/oj" TargetMode="External"/><Relationship Id="rId6" Type="http://schemas.openxmlformats.org/officeDocument/2006/relationships/hyperlink" Target="https://eur-lex.europa.eu/eli/reg/2021/1755/oj" TargetMode="External"/><Relationship Id="rId5" Type="http://schemas.openxmlformats.org/officeDocument/2006/relationships/hyperlink" Target="https://www.consilium.europa.eu/fr/documents/public-register/" TargetMode="External"/><Relationship Id="rId4" Type="http://schemas.openxmlformats.org/officeDocument/2006/relationships/hyperlink" Target="https://www.consilium.europa.eu/fr/documents/public-regis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9" ma:contentTypeDescription="Create a new document." ma:contentTypeScope="" ma:versionID="3badf8acb6811c4add4d7cef0aef0009">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8edf0672945256296a107f17328a9f2d"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bdc6873-d347-4a89-81e2-e19ecf30f206}"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00ab43-7395-48ff-866c-657c86ba7f4e">
      <Terms xmlns="http://schemas.microsoft.com/office/infopath/2007/PartnerControls"/>
    </lcf76f155ced4ddcb4097134ff3c332f>
    <TaxCatchAll xmlns="e6c3bc29-9e11-4027-900b-c73633d7928a"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FBB7E-FBCC-41CE-9E1C-28F8C2A82B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42379E-E59E-4A12-9FAA-58C4AD59449E}">
  <ds:schemaRefs>
    <ds:schemaRef ds:uri="http://schemas.openxmlformats.org/package/2006/metadata/core-properties"/>
    <ds:schemaRef ds:uri="e6c3bc29-9e11-4027-900b-c73633d7928a"/>
    <ds:schemaRef ds:uri="http://purl.org/dc/elements/1.1/"/>
    <ds:schemaRef ds:uri="http://purl.org/dc/dcmitype/"/>
    <ds:schemaRef ds:uri="1700ab43-7395-48ff-866c-657c86ba7f4e"/>
    <ds:schemaRef ds:uri="http://www.w3.org/XML/1998/namespace"/>
    <ds:schemaRef ds:uri="http://schemas.microsoft.com/office/2006/documentManagement/types"/>
    <ds:schemaRef ds:uri="http://schemas.microsoft.com/office/2006/metadata/properties"/>
    <ds:schemaRef ds:uri="http://schemas.microsoft.com/sharepoint/v3"/>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D811ACC6-F051-4A4D-B4FE-E4F9A49B7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95</TotalTime>
  <Pages>5</Pages>
  <Words>1450</Words>
  <Characters>8269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45</cp:revision>
  <dcterms:created xsi:type="dcterms:W3CDTF">2026-03-23T13:58:00Z</dcterms:created>
  <dcterms:modified xsi:type="dcterms:W3CDTF">2026-04-17T09:00:00Z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