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9B6" w:rsidRPr="00BF7E50" w:rsidRDefault="00A00291" w:rsidP="00A00291">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780E37D-6E9C-41DF-888A-2171E90E223B" style="width:455.25pt;height:357.75pt">
            <v:imagedata r:id="rId11" o:title=""/>
          </v:shape>
        </w:pict>
      </w:r>
    </w:p>
    <w:p w:rsidR="00DF01BF" w:rsidRPr="00BF7E50" w:rsidRDefault="00DF01BF" w:rsidP="00DF01BF">
      <w:pPr>
        <w:pStyle w:val="Pagedecouverture"/>
        <w:rPr>
          <w:noProof/>
        </w:rPr>
        <w:sectPr w:rsidR="00DF01BF" w:rsidRPr="00BF7E50" w:rsidSect="00A00291">
          <w:footerReference w:type="even" r:id="rId12"/>
          <w:footerReference w:type="default" r:id="rId13"/>
          <w:pgSz w:w="11907" w:h="16839"/>
          <w:pgMar w:top="1134" w:right="1417" w:bottom="1134" w:left="1417" w:header="709" w:footer="709" w:gutter="0"/>
          <w:pgNumType w:start="0"/>
          <w:cols w:space="720"/>
          <w:docGrid w:linePitch="360"/>
        </w:sectPr>
      </w:pPr>
    </w:p>
    <w:p w:rsidR="00A10B35" w:rsidRPr="00BF7E50" w:rsidRDefault="00A10B35" w:rsidP="00A10B35">
      <w:pPr>
        <w:pStyle w:val="Exposdesmotifstitre"/>
        <w:rPr>
          <w:noProof/>
        </w:rPr>
      </w:pPr>
      <w:bookmarkStart w:id="1" w:name="_GoBack"/>
      <w:bookmarkEnd w:id="1"/>
    </w:p>
    <w:p w:rsidR="00A10B35" w:rsidRPr="00BF7E50" w:rsidRDefault="00A10B35" w:rsidP="00A10B35">
      <w:pPr>
        <w:rPr>
          <w:noProof/>
        </w:rPr>
      </w:pPr>
    </w:p>
    <w:p w:rsidR="00BA6476" w:rsidRDefault="003A1155">
      <w:pPr>
        <w:pStyle w:val="Rfrenceinterinstitutionnelle"/>
        <w:rPr>
          <w:noProof/>
        </w:rPr>
      </w:pPr>
      <w:r>
        <w:rPr>
          <w:noProof/>
        </w:rPr>
        <w:t>2026/0088 (NLE)</w:t>
      </w:r>
    </w:p>
    <w:p w:rsidR="002709B6" w:rsidRPr="00BF7E50" w:rsidRDefault="00BF7E50" w:rsidP="00BF7E50">
      <w:pPr>
        <w:pStyle w:val="Statut"/>
        <w:rPr>
          <w:noProof/>
        </w:rPr>
      </w:pPr>
      <w:r w:rsidRPr="00BF7E50">
        <w:rPr>
          <w:noProof/>
        </w:rPr>
        <w:t>Propunere de</w:t>
      </w:r>
    </w:p>
    <w:p w:rsidR="002709B6" w:rsidRPr="00BF7E50" w:rsidRDefault="00BF7E50" w:rsidP="00BF7E50">
      <w:pPr>
        <w:pStyle w:val="Typedudocument"/>
        <w:rPr>
          <w:noProof/>
        </w:rPr>
      </w:pPr>
      <w:r w:rsidRPr="00BF7E50">
        <w:rPr>
          <w:noProof/>
        </w:rPr>
        <w:t>DECIZIE DE PUNERE ÎN APLICARE A CONSILIULUI</w:t>
      </w:r>
    </w:p>
    <w:p w:rsidR="002709B6" w:rsidRPr="00BF7E50" w:rsidRDefault="00BF7E50" w:rsidP="00BF7E50">
      <w:pPr>
        <w:pStyle w:val="Titreobjet"/>
        <w:rPr>
          <w:noProof/>
        </w:rPr>
      </w:pPr>
      <w:r w:rsidRPr="00BF7E50">
        <w:rPr>
          <w:noProof/>
        </w:rPr>
        <w:t>de modificare a Deciziei de punere în aplicare din 13 iulie 2021 de aprobare a evaluării planului de redresare și reziliență al Danemarcei</w:t>
      </w:r>
    </w:p>
    <w:p w:rsidR="002709B6" w:rsidRPr="00BF7E50" w:rsidRDefault="00DC39D2">
      <w:pPr>
        <w:pStyle w:val="Institutionquiagit"/>
        <w:rPr>
          <w:rFonts w:eastAsia="Times New Roman"/>
          <w:noProof/>
        </w:rPr>
      </w:pPr>
      <w:r w:rsidRPr="00BF7E50">
        <w:rPr>
          <w:noProof/>
        </w:rPr>
        <w:t>CONSILIUL UNIUNII EUROPENE,</w:t>
      </w:r>
    </w:p>
    <w:p w:rsidR="002709B6" w:rsidRPr="00BF7E50" w:rsidRDefault="00DC39D2">
      <w:pPr>
        <w:rPr>
          <w:rFonts w:eastAsia="Times New Roman"/>
          <w:noProof/>
        </w:rPr>
      </w:pPr>
      <w:r w:rsidRPr="00BF7E50">
        <w:rPr>
          <w:noProof/>
        </w:rPr>
        <w:t xml:space="preserve">având în vedere Tratatul privind funcționarea Uniunii Europene, </w:t>
      </w:r>
    </w:p>
    <w:p w:rsidR="002709B6" w:rsidRPr="00BF7E50" w:rsidRDefault="00DC39D2">
      <w:pPr>
        <w:rPr>
          <w:rFonts w:eastAsia="Times New Roman"/>
          <w:noProof/>
        </w:rPr>
      </w:pPr>
      <w:r w:rsidRPr="00BF7E50">
        <w:rPr>
          <w:noProof/>
        </w:rPr>
        <w:t>având în vedere Regulamentul (UE) 2021/241 al Parlamentului European și al Consiliului din 12 februarie 2021 de instituire a Mecanismului de redresare și reziliență</w:t>
      </w:r>
      <w:r w:rsidRPr="00BF7E50">
        <w:rPr>
          <w:rStyle w:val="FootnoteReference"/>
          <w:rFonts w:eastAsia="Times New Roman"/>
          <w:noProof/>
        </w:rPr>
        <w:footnoteReference w:id="2"/>
      </w:r>
      <w:r w:rsidRPr="00BF7E50">
        <w:rPr>
          <w:noProof/>
        </w:rPr>
        <w:t>, în special articolul</w:t>
      </w:r>
      <w:r w:rsidR="00D1275F">
        <w:rPr>
          <w:noProof/>
        </w:rPr>
        <w:t> </w:t>
      </w:r>
      <w:r w:rsidRPr="00BF7E50">
        <w:rPr>
          <w:noProof/>
        </w:rPr>
        <w:t>20 alineatul (1),</w:t>
      </w:r>
    </w:p>
    <w:p w:rsidR="002709B6" w:rsidRPr="00BF7E50" w:rsidRDefault="00DC39D2">
      <w:pPr>
        <w:rPr>
          <w:rFonts w:eastAsia="Times New Roman"/>
          <w:noProof/>
        </w:rPr>
      </w:pPr>
      <w:r w:rsidRPr="00BF7E50">
        <w:rPr>
          <w:noProof/>
        </w:rPr>
        <w:t>având în vedere propunerea Comisiei Europene,</w:t>
      </w:r>
    </w:p>
    <w:p w:rsidR="002709B6" w:rsidRPr="00BF7E50" w:rsidRDefault="00DC39D2">
      <w:pPr>
        <w:rPr>
          <w:rFonts w:eastAsia="Times New Roman"/>
          <w:noProof/>
        </w:rPr>
      </w:pPr>
      <w:r w:rsidRPr="00BF7E50">
        <w:rPr>
          <w:noProof/>
        </w:rPr>
        <w:t>întrucât:</w:t>
      </w:r>
    </w:p>
    <w:p w:rsidR="002709B6" w:rsidRPr="00BF7E50" w:rsidRDefault="00DC39D2" w:rsidP="00651F63">
      <w:pPr>
        <w:pStyle w:val="ManualConsidrant"/>
        <w:rPr>
          <w:rFonts w:eastAsia="Times New Roman"/>
          <w:noProof/>
        </w:rPr>
      </w:pPr>
      <w:r>
        <w:rPr>
          <w:noProof/>
        </w:rPr>
        <w:t>(1)</w:t>
      </w:r>
      <w:r>
        <w:rPr>
          <w:noProof/>
        </w:rPr>
        <w:tab/>
      </w:r>
      <w:r w:rsidRPr="00BF7E50">
        <w:rPr>
          <w:noProof/>
        </w:rPr>
        <w:t xml:space="preserve">În urma transmiterii de către </w:t>
      </w:r>
      <w:r w:rsidRPr="00BF7E50">
        <w:rPr>
          <w:noProof/>
          <w:shd w:val="clear" w:color="auto" w:fill="FFFFFF"/>
        </w:rPr>
        <w:t>Danemarca, la 30 aprilie 2021</w:t>
      </w:r>
      <w:r w:rsidRPr="00BF7E50">
        <w:rPr>
          <w:noProof/>
        </w:rPr>
        <w:t>, a planului său național de redresare și reziliență, Comisia a propus Consiliului ca planul să primească o evaluare pozitivă. La 13 iulie 2021, Consiliul a aprobat evaluarea pozitivă printr-o decizie de punere în aplicare</w:t>
      </w:r>
      <w:r w:rsidRPr="00BF7E50">
        <w:rPr>
          <w:rStyle w:val="FootnoteReference"/>
          <w:rFonts w:eastAsia="Times New Roman"/>
          <w:noProof/>
        </w:rPr>
        <w:footnoteReference w:id="3"/>
      </w:r>
      <w:r w:rsidRPr="00BF7E50">
        <w:rPr>
          <w:noProof/>
        </w:rPr>
        <w:t xml:space="preserve"> („Decizia de punere în aplicare a Consiliului din 13 iulie 2021”). Decizia de punere în aplicare a Consiliului din 13 iulie 2021 a fost modificată prin Deciziile de punere în aplicare ale Consiliului din 9 noiembrie 2023</w:t>
      </w:r>
      <w:r w:rsidRPr="00BF7E50">
        <w:rPr>
          <w:rStyle w:val="FootnoteReference"/>
          <w:noProof/>
        </w:rPr>
        <w:footnoteReference w:id="4"/>
      </w:r>
      <w:r w:rsidRPr="00BF7E50">
        <w:rPr>
          <w:noProof/>
        </w:rPr>
        <w:t>, 10</w:t>
      </w:r>
      <w:r w:rsidR="00D1275F">
        <w:rPr>
          <w:noProof/>
        </w:rPr>
        <w:t> </w:t>
      </w:r>
      <w:r w:rsidRPr="00BF7E50">
        <w:rPr>
          <w:noProof/>
        </w:rPr>
        <w:t>decembrie</w:t>
      </w:r>
      <w:r w:rsidR="00D1275F">
        <w:rPr>
          <w:noProof/>
        </w:rPr>
        <w:t> </w:t>
      </w:r>
      <w:r w:rsidRPr="00BF7E50">
        <w:rPr>
          <w:noProof/>
        </w:rPr>
        <w:t>2024</w:t>
      </w:r>
      <w:r w:rsidRPr="00BF7E50">
        <w:rPr>
          <w:rStyle w:val="FootnoteReference"/>
          <w:noProof/>
        </w:rPr>
        <w:footnoteReference w:id="5"/>
      </w:r>
      <w:r w:rsidRPr="00BF7E50">
        <w:rPr>
          <w:noProof/>
        </w:rPr>
        <w:t xml:space="preserve"> și 8 iulie 2025</w:t>
      </w:r>
      <w:r w:rsidRPr="00BF7E50">
        <w:rPr>
          <w:rStyle w:val="FootnoteReference"/>
          <w:rFonts w:eastAsia="Times New Roman"/>
          <w:noProof/>
        </w:rPr>
        <w:footnoteReference w:id="6"/>
      </w:r>
      <w:r w:rsidRPr="00BF7E50">
        <w:rPr>
          <w:noProof/>
        </w:rPr>
        <w:t>.</w:t>
      </w:r>
    </w:p>
    <w:p w:rsidR="002709B6" w:rsidRPr="00BF7E50" w:rsidRDefault="00DC39D2" w:rsidP="00A10B35">
      <w:pPr>
        <w:pStyle w:val="ManualConsidrant"/>
        <w:rPr>
          <w:rFonts w:eastAsia="Times New Roman"/>
          <w:noProof/>
        </w:rPr>
      </w:pPr>
      <w:r>
        <w:rPr>
          <w:noProof/>
        </w:rPr>
        <w:t>(2)</w:t>
      </w:r>
      <w:r>
        <w:rPr>
          <w:noProof/>
        </w:rPr>
        <w:tab/>
      </w:r>
      <w:r w:rsidRPr="00BF7E50">
        <w:rPr>
          <w:noProof/>
        </w:rPr>
        <w:t xml:space="preserve">La 2 martie 2026, Danemarca </w:t>
      </w:r>
      <w:bookmarkStart w:id="2" w:name="_Hlk130805569"/>
      <w:r w:rsidRPr="00BF7E50">
        <w:rPr>
          <w:noProof/>
        </w:rPr>
        <w:t>a adresat Comisiei o cerere motivată de a prezenta o propunere de modificare a Deciziei de punere în aplicare a Consiliului din 13</w:t>
      </w:r>
      <w:r w:rsidR="00D1275F">
        <w:rPr>
          <w:noProof/>
        </w:rPr>
        <w:t> </w:t>
      </w:r>
      <w:r w:rsidRPr="00BF7E50">
        <w:rPr>
          <w:noProof/>
        </w:rPr>
        <w:t>iulie</w:t>
      </w:r>
      <w:r w:rsidR="00D1275F">
        <w:rPr>
          <w:noProof/>
        </w:rPr>
        <w:t> </w:t>
      </w:r>
      <w:r w:rsidRPr="00BF7E50">
        <w:rPr>
          <w:noProof/>
        </w:rPr>
        <w:t>2021 în conformitate cu articolul 21 alineatul (1) din Regulamentul</w:t>
      </w:r>
      <w:r w:rsidR="00D1275F">
        <w:rPr>
          <w:noProof/>
        </w:rPr>
        <w:t> </w:t>
      </w:r>
      <w:r w:rsidRPr="00BF7E50">
        <w:rPr>
          <w:noProof/>
        </w:rPr>
        <w:t>(UE)</w:t>
      </w:r>
      <w:r w:rsidR="00D1275F">
        <w:rPr>
          <w:noProof/>
        </w:rPr>
        <w:t> </w:t>
      </w:r>
      <w:r w:rsidRPr="00BF7E50">
        <w:rPr>
          <w:noProof/>
        </w:rPr>
        <w:t>2021/241, pe motiv că planul de redresare și reziliență nu mai poate fi realizat parțial din cauza unor circumstanțe obiective. Pe această bază, Danemarca a prezentat un plan de redresare și reziliență modificat.</w:t>
      </w:r>
      <w:bookmarkEnd w:id="2"/>
    </w:p>
    <w:p w:rsidR="002709B6" w:rsidRPr="00BF7E50" w:rsidRDefault="00DC39D2" w:rsidP="00A10B35">
      <w:pPr>
        <w:rPr>
          <w:b/>
          <w:bCs/>
          <w:i/>
          <w:iCs/>
          <w:noProof/>
        </w:rPr>
      </w:pPr>
      <w:r w:rsidRPr="00BF7E50">
        <w:rPr>
          <w:b/>
          <w:i/>
          <w:noProof/>
        </w:rPr>
        <w:t xml:space="preserve">Modificări aduse în temeiul articolului 21 din Regulamentul (UE) 2021/241 </w:t>
      </w:r>
    </w:p>
    <w:p w:rsidR="002709B6" w:rsidRPr="00BF7E50" w:rsidRDefault="00DC39D2">
      <w:pPr>
        <w:pStyle w:val="ManualConsidrant"/>
        <w:rPr>
          <w:rFonts w:eastAsia="Times New Roman"/>
          <w:noProof/>
        </w:rPr>
      </w:pPr>
      <w:r>
        <w:rPr>
          <w:noProof/>
        </w:rPr>
        <w:t>(3)</w:t>
      </w:r>
      <w:r>
        <w:rPr>
          <w:noProof/>
        </w:rPr>
        <w:tab/>
      </w:r>
      <w:r w:rsidRPr="00BF7E50">
        <w:rPr>
          <w:noProof/>
          <w:color w:val="000000" w:themeColor="text1"/>
        </w:rPr>
        <w:t>Modificările aduse planului de redresare și reziliență prezentat de Danemarca</w:t>
      </w:r>
      <w:r w:rsidRPr="00BF7E50">
        <w:rPr>
          <w:noProof/>
        </w:rPr>
        <w:t xml:space="preserve"> ca urmare a unor circumstanțe obiective </w:t>
      </w:r>
      <w:r w:rsidRPr="00BF7E50">
        <w:rPr>
          <w:noProof/>
          <w:color w:val="000000" w:themeColor="text1"/>
        </w:rPr>
        <w:t>vizează 12</w:t>
      </w:r>
      <w:r w:rsidRPr="00BF7E50">
        <w:rPr>
          <w:noProof/>
        </w:rPr>
        <w:t xml:space="preserve"> </w:t>
      </w:r>
      <w:r w:rsidRPr="00BF7E50">
        <w:rPr>
          <w:noProof/>
          <w:color w:val="000000" w:themeColor="text1"/>
        </w:rPr>
        <w:t>măsuri.</w:t>
      </w:r>
    </w:p>
    <w:p w:rsidR="002709B6" w:rsidRPr="00BF7E50" w:rsidRDefault="00605091" w:rsidP="00E7232D">
      <w:pPr>
        <w:pStyle w:val="ManualConsidrant"/>
        <w:rPr>
          <w:rFonts w:eastAsia="Times New Roman"/>
          <w:noProof/>
        </w:rPr>
      </w:pPr>
      <w:r>
        <w:rPr>
          <w:noProof/>
        </w:rPr>
        <w:t>(4)</w:t>
      </w:r>
      <w:r>
        <w:rPr>
          <w:noProof/>
        </w:rPr>
        <w:tab/>
      </w:r>
      <w:bookmarkStart w:id="3" w:name="_Hlk158894031"/>
      <w:r w:rsidRPr="00BF7E50">
        <w:rPr>
          <w:noProof/>
          <w:color w:val="000000" w:themeColor="text1"/>
        </w:rPr>
        <w:t>Danemarca a explicat că patru măsuri nu mai pot fi realizate parțial din cauza unor întârzieri neprevăzute. Este vorba despre măsurile C2.R1 (Soluri bogate în carbon), C2.I6 (Reabilitarea siturilor industriale și a terenurilor contaminate), C5.I7 (Investiții în piste pentru biciclete pe drumurile publice și schema de subvenții pentru biciclete pentru municipalități) și C8.I5 (Măsură extinsă: Eficiența energetică în industrie).</w:t>
      </w:r>
      <w:r w:rsidRPr="00BF7E50">
        <w:rPr>
          <w:i/>
          <w:noProof/>
          <w:color w:val="000000" w:themeColor="text1"/>
        </w:rPr>
        <w:t xml:space="preserve"> </w:t>
      </w:r>
      <w:r w:rsidRPr="00BF7E50">
        <w:rPr>
          <w:noProof/>
        </w:rPr>
        <w:t xml:space="preserve">Din acest motiv, </w:t>
      </w:r>
      <w:r w:rsidRPr="00BF7E50">
        <w:rPr>
          <w:noProof/>
          <w:color w:val="000000" w:themeColor="text1"/>
        </w:rPr>
        <w:t>Danemarca</w:t>
      </w:r>
      <w:r w:rsidRPr="00BF7E50">
        <w:rPr>
          <w:noProof/>
        </w:rPr>
        <w:t xml:space="preserve"> a solicitat modificarea măsurilor respective. Decizia de punere în aplicare a Consiliului din 13 iulie 2021 ar trebui modificată în consecință.</w:t>
      </w:r>
      <w:bookmarkEnd w:id="3"/>
    </w:p>
    <w:p w:rsidR="00F33A40" w:rsidRPr="00BF7E50" w:rsidRDefault="00E7232D" w:rsidP="00F33A40">
      <w:pPr>
        <w:pStyle w:val="ManualConsidrant"/>
        <w:rPr>
          <w:rFonts w:eastAsia="Times New Roman"/>
          <w:noProof/>
        </w:rPr>
      </w:pPr>
      <w:r>
        <w:rPr>
          <w:noProof/>
        </w:rPr>
        <w:t>(5)</w:t>
      </w:r>
      <w:r>
        <w:rPr>
          <w:noProof/>
        </w:rPr>
        <w:tab/>
      </w:r>
      <w:r w:rsidRPr="00BF7E50">
        <w:rPr>
          <w:noProof/>
        </w:rPr>
        <w:t>Danemarca a explicat că au fost modificate opt măsuri pentru a pune în aplicare alternative mai bune, care permit reducerea sarcinii administrative și simplificarea deciziei de punere în aplicare a Consiliului, îndeplinind, în același timp, obiectivele măsurilor respective. Este vorba despre măsurile C2.I5 (Tehnologii climatice în agricultură), C3.I3 (Renovări energetice în clădirile publice), C3.I4 (Eficiența energetică în gospodării), C6.R1 (Strategia digitală), C8.R1 [Comitetul național pentru gestionarea crizei energetice (NEKST)], C8.I1 (Evaluarea zonelor destinate energiei eoliene offshore în Danemarca), C8.I2 (Perfecționarea ecologică) și C8.I3 (Înlocuirea arzătoarelor de petrol și a cuptoarelor cu gaz). Din acest motiv, Danemarca a solicitat modificarea măsurilor respective. Decizia de punere în aplicare a Consiliului din 13</w:t>
      </w:r>
      <w:r w:rsidR="00D1275F">
        <w:rPr>
          <w:noProof/>
        </w:rPr>
        <w:t> </w:t>
      </w:r>
      <w:r w:rsidRPr="00BF7E50">
        <w:rPr>
          <w:noProof/>
        </w:rPr>
        <w:t xml:space="preserve">iulie 2021 ar trebui modificată în consecință. </w:t>
      </w:r>
    </w:p>
    <w:p w:rsidR="003379FC" w:rsidRPr="00BF7E50" w:rsidRDefault="00A7190A" w:rsidP="001744D0">
      <w:pPr>
        <w:pStyle w:val="ManualConsidrant"/>
        <w:rPr>
          <w:rFonts w:eastAsia="Times New Roman"/>
          <w:noProof/>
        </w:rPr>
      </w:pPr>
      <w:r>
        <w:rPr>
          <w:noProof/>
        </w:rPr>
        <w:t>(6)</w:t>
      </w:r>
      <w:r>
        <w:rPr>
          <w:noProof/>
        </w:rPr>
        <w:tab/>
      </w:r>
      <w:r w:rsidRPr="00BF7E50">
        <w:rPr>
          <w:noProof/>
        </w:rPr>
        <w:t>În urma scăderii nivelului de punere în aplicare a măsurilor în conformitate cu articolul</w:t>
      </w:r>
      <w:r w:rsidR="00D1275F">
        <w:rPr>
          <w:noProof/>
        </w:rPr>
        <w:t> </w:t>
      </w:r>
      <w:r w:rsidRPr="00BF7E50">
        <w:rPr>
          <w:noProof/>
        </w:rPr>
        <w:t>21 din Regulamentul (UE) 2021/241, Danemarca a solicitat utilizarea resurselor care au redevenit disponibile prin scăderea nivelului de punere în aplicare pentru a spori nivelul de punere în aplicare a două măsuri.</w:t>
      </w:r>
      <w:r w:rsidRPr="00BF7E50">
        <w:rPr>
          <w:i/>
          <w:noProof/>
        </w:rPr>
        <w:t xml:space="preserve"> </w:t>
      </w:r>
      <w:r w:rsidRPr="00BF7E50">
        <w:rPr>
          <w:noProof/>
        </w:rPr>
        <w:t>Este vorba despre măsurile C3.I4 (Eficiența energetică în gospodării) și C5.R1 (Reprioritizarea taxei de înmatriculare a vehiculelor și a taxei reduse pe energia electrică pentru încărcarea vehiculelor electrice). Pe această bază, Danemarca a solicitat creșterea nivelului de punere în aplicare a două măsuri. Decizia de punere în aplicare a Consiliului din 13</w:t>
      </w:r>
      <w:r w:rsidR="00D1275F">
        <w:rPr>
          <w:noProof/>
        </w:rPr>
        <w:t> </w:t>
      </w:r>
      <w:r w:rsidRPr="00BF7E50">
        <w:rPr>
          <w:noProof/>
        </w:rPr>
        <w:t>iulie 2021 ar trebui modificată în consecință.</w:t>
      </w:r>
    </w:p>
    <w:p w:rsidR="002709B6" w:rsidRPr="00BF7E50" w:rsidRDefault="00DC39D2" w:rsidP="00A10B35">
      <w:pPr>
        <w:rPr>
          <w:b/>
          <w:bCs/>
          <w:i/>
          <w:iCs/>
          <w:noProof/>
        </w:rPr>
      </w:pPr>
      <w:r w:rsidRPr="00BF7E50">
        <w:rPr>
          <w:b/>
          <w:i/>
          <w:noProof/>
        </w:rPr>
        <w:t>Evaluarea Comisiei</w:t>
      </w:r>
    </w:p>
    <w:p w:rsidR="002709B6" w:rsidRPr="00BF7E50" w:rsidRDefault="00DC39D2">
      <w:pPr>
        <w:pStyle w:val="ManualConsidrant"/>
        <w:rPr>
          <w:rFonts w:eastAsia="Times New Roman"/>
          <w:noProof/>
        </w:rPr>
      </w:pPr>
      <w:r>
        <w:rPr>
          <w:noProof/>
        </w:rPr>
        <w:t>(7)</w:t>
      </w:r>
      <w:r>
        <w:rPr>
          <w:noProof/>
        </w:rPr>
        <w:tab/>
      </w:r>
      <w:r w:rsidRPr="00BF7E50">
        <w:rPr>
          <w:noProof/>
        </w:rPr>
        <w:t>Comisia a evaluat planul de redresare și reziliență modificat în raport cu criteriile de evaluare prevăzute la articolul 19 alineatul (3) din Regulamentul (UE) 2021/241.</w:t>
      </w:r>
    </w:p>
    <w:p w:rsidR="002709B6" w:rsidRPr="00BF7E50" w:rsidRDefault="00DC39D2" w:rsidP="00A10B35">
      <w:pPr>
        <w:rPr>
          <w:b/>
          <w:bCs/>
          <w:i/>
          <w:iCs/>
          <w:noProof/>
        </w:rPr>
      </w:pPr>
      <w:r w:rsidRPr="00BF7E50">
        <w:rPr>
          <w:b/>
          <w:i/>
          <w:noProof/>
        </w:rPr>
        <w:t>Contribuția la tranziția verde, inclusiv la biodiversitate</w:t>
      </w:r>
    </w:p>
    <w:p w:rsidR="002709B6" w:rsidRPr="00BF7E50" w:rsidRDefault="00DC39D2">
      <w:pPr>
        <w:pStyle w:val="ManualConsidrant"/>
        <w:rPr>
          <w:rFonts w:eastAsia="Times New Roman"/>
          <w:noProof/>
        </w:rPr>
      </w:pPr>
      <w:r>
        <w:rPr>
          <w:noProof/>
        </w:rPr>
        <w:t>(8)</w:t>
      </w:r>
      <w:r>
        <w:rPr>
          <w:noProof/>
        </w:rPr>
        <w:tab/>
      </w:r>
      <w:r w:rsidRPr="00BF7E50">
        <w:rPr>
          <w:noProof/>
        </w:rPr>
        <w:t xml:space="preserve">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Suma aferentă măsurilor de sprijinire a obiectivelor climatice reprezintă 68,1 % din alocarea totală a planului de redresare și reziliență modificat și 91,9 %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conform cu informațiile incluse în Planul național privind energia și clima pentru perioada 2021-2030. </w:t>
      </w:r>
    </w:p>
    <w:p w:rsidR="002709B6" w:rsidRPr="00BF7E50" w:rsidRDefault="00C85D75">
      <w:pPr>
        <w:pStyle w:val="ManualConsidrant"/>
        <w:rPr>
          <w:rFonts w:eastAsia="Times New Roman"/>
          <w:noProof/>
        </w:rPr>
      </w:pPr>
      <w:r>
        <w:rPr>
          <w:noProof/>
        </w:rPr>
        <w:t>(9)</w:t>
      </w:r>
      <w:r>
        <w:rPr>
          <w:noProof/>
        </w:rPr>
        <w:tab/>
      </w:r>
      <w:r w:rsidRPr="00BF7E50">
        <w:rPr>
          <w:noProof/>
        </w:rPr>
        <w:t>În urma modificărilor planului de redresare și reziliență propuse de Danemarca, contribuția la obiectivele climatice a scăzut de la 69 % la 68,1 %. Scăderea contribuției la obiectivele climatice reflectă diminuarea coeficientului marcării climatice și scăderea nivelului de punere în aplicare a măsurii C8.I5 (Măsură extinsă: Eficiența energetică în industrie). Domeniul de aplicare limitat al acestor modificări nu afectează evaluarea globală a acestui criteriu.</w:t>
      </w:r>
    </w:p>
    <w:p w:rsidR="002709B6" w:rsidRPr="00BF7E50" w:rsidRDefault="00DC39D2" w:rsidP="00A10B35">
      <w:pPr>
        <w:rPr>
          <w:b/>
          <w:bCs/>
          <w:i/>
          <w:iCs/>
          <w:noProof/>
        </w:rPr>
      </w:pPr>
      <w:r w:rsidRPr="00BF7E50">
        <w:rPr>
          <w:b/>
          <w:i/>
          <w:noProof/>
        </w:rPr>
        <w:t>Stabilirea costurilor</w:t>
      </w:r>
    </w:p>
    <w:p w:rsidR="002709B6" w:rsidRPr="00BF7E50" w:rsidRDefault="00DC39D2">
      <w:pPr>
        <w:pStyle w:val="ManualConsidrant"/>
        <w:rPr>
          <w:rFonts w:eastAsia="Times New Roman"/>
          <w:noProof/>
        </w:rPr>
      </w:pPr>
      <w:r>
        <w:rPr>
          <w:noProof/>
        </w:rPr>
        <w:t>(10)</w:t>
      </w:r>
      <w:r>
        <w:rPr>
          <w:noProof/>
        </w:rPr>
        <w:tab/>
      </w:r>
      <w:r w:rsidRPr="00BF7E50">
        <w:rPr>
          <w:noProof/>
        </w:rPr>
        <w:t>În conformitate cu articolul 19 alineatul (3) litera (i) din Regulamentul (UE) 2021/241 și cu criteriul 2.9 din anexa V la acesta, justificarea furnizată în planul de redresare și reziliență modificat cu privire la cuantumul costurilor totale estimate ale planului de redresare și reziliență este într-o măsură moderată (nota B) rezonabilă și plauzibilă, respectă principiul eficienței costurilor și este proporțională cu impactul economic și social național preconizat.</w:t>
      </w:r>
    </w:p>
    <w:p w:rsidR="002709B6" w:rsidRPr="00BF7E50" w:rsidRDefault="007C06FE">
      <w:pPr>
        <w:pStyle w:val="ManualConsidrant"/>
        <w:rPr>
          <w:rFonts w:eastAsia="Times New Roman"/>
          <w:noProof/>
        </w:rPr>
      </w:pPr>
      <w:r>
        <w:rPr>
          <w:noProof/>
        </w:rPr>
        <w:t>(11)</w:t>
      </w:r>
      <w:r>
        <w:rPr>
          <w:noProof/>
        </w:rPr>
        <w:tab/>
      </w:r>
      <w:r w:rsidRPr="00BF7E50">
        <w:rPr>
          <w:noProof/>
        </w:rPr>
        <w:t xml:space="preserve">Potrivit informațiilor furnizate, evaluarea estimărilor de cost pentru măsurile existente, ale căror modificări au necesitat o nouă analiză a costurilor, arată că majoritatea costurilor sunt rezonabile și plauzibile. În plus, modificările estimărilor costurilor pentru măsurile modificate sunt justificate și proporționale în raport cu țintele revizuite și, ca atare, caracterul rezonabil și plauzibil al acestor estimări ale costurilor nu s-a modificat în comparație cu planul de redresare și reziliență inițial. În sfârșit, cuantumul costului total estimat al planului de redresare și reziliență este conform cu principiul eficienței costurilor și proporțional cu impactul economic și social național preconizat. </w:t>
      </w:r>
    </w:p>
    <w:p w:rsidR="00902FD9" w:rsidRPr="00BF7E50" w:rsidRDefault="00902FD9" w:rsidP="00902FD9">
      <w:pPr>
        <w:rPr>
          <w:b/>
          <w:bCs/>
          <w:i/>
          <w:iCs/>
          <w:noProof/>
        </w:rPr>
      </w:pPr>
      <w:r w:rsidRPr="00BF7E50">
        <w:rPr>
          <w:b/>
          <w:i/>
          <w:noProof/>
        </w:rPr>
        <w:t>Orice alte criterii de evaluare</w:t>
      </w:r>
    </w:p>
    <w:p w:rsidR="00902FD9" w:rsidRPr="00BF7E50" w:rsidRDefault="00902FD9" w:rsidP="00902FD9">
      <w:pPr>
        <w:pStyle w:val="ManualConsidrant"/>
        <w:rPr>
          <w:rFonts w:eastAsia="Times New Roman"/>
          <w:noProof/>
        </w:rPr>
      </w:pPr>
      <w:r>
        <w:rPr>
          <w:noProof/>
        </w:rPr>
        <w:t>(12)</w:t>
      </w:r>
      <w:r>
        <w:rPr>
          <w:noProof/>
        </w:rPr>
        <w:tab/>
      </w:r>
      <w:r w:rsidRPr="00BF7E50">
        <w:rPr>
          <w:noProof/>
        </w:rPr>
        <w:t>Comisia consideră că modificările prezentate de Danemarca nu afectează evaluarea pozitivă a planului de redresare și reziliență prevăzută în Decizia de punere în aplicare a Consiliului ST 10154/21 din 13 iulie 2021 de aprobare a evaluării planului de redresare și reziliență al Danemarcei în ceea ce privește relevanța, eficacitatea, eficiența și coerența planului de redresare și reziliență în raport cu criteriile de evaluare prevăzute la articolul 19 alineatul (3) literele (a), (b), (c), (d),(da), (db), (f), (g), (h), (j) și (k).</w:t>
      </w:r>
    </w:p>
    <w:p w:rsidR="002709B6" w:rsidRPr="00BF7E50" w:rsidRDefault="00DC39D2">
      <w:pPr>
        <w:rPr>
          <w:rFonts w:eastAsia="Times New Roman"/>
          <w:b/>
          <w:bCs/>
          <w:i/>
          <w:iCs/>
          <w:noProof/>
        </w:rPr>
      </w:pPr>
      <w:r w:rsidRPr="00BF7E50">
        <w:rPr>
          <w:b/>
          <w:i/>
          <w:noProof/>
        </w:rPr>
        <w:t>Evaluarea pozitivă</w:t>
      </w:r>
    </w:p>
    <w:p w:rsidR="002709B6" w:rsidRPr="00BF7E50" w:rsidRDefault="00DC39D2">
      <w:pPr>
        <w:pStyle w:val="ManualConsidrant"/>
        <w:rPr>
          <w:rFonts w:eastAsia="Times New Roman"/>
          <w:noProof/>
        </w:rPr>
      </w:pPr>
      <w:r>
        <w:rPr>
          <w:noProof/>
        </w:rPr>
        <w:t>(13)</w:t>
      </w:r>
      <w:r>
        <w:rPr>
          <w:noProof/>
        </w:rPr>
        <w:tab/>
      </w:r>
      <w:r w:rsidRPr="00BF7E50">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regulamentul respectiv,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2709B6" w:rsidRPr="00BF7E50" w:rsidRDefault="00DC39D2" w:rsidP="00A10B35">
      <w:pPr>
        <w:rPr>
          <w:b/>
          <w:bCs/>
          <w:i/>
          <w:iCs/>
          <w:noProof/>
        </w:rPr>
      </w:pPr>
      <w:r w:rsidRPr="00BF7E50">
        <w:rPr>
          <w:b/>
          <w:i/>
          <w:noProof/>
        </w:rPr>
        <w:t>Contribuția financiară</w:t>
      </w:r>
    </w:p>
    <w:p w:rsidR="002709B6" w:rsidRPr="00BF7E50" w:rsidRDefault="02F1A33F">
      <w:pPr>
        <w:pStyle w:val="ManualConsidrant"/>
        <w:rPr>
          <w:noProof/>
        </w:rPr>
      </w:pPr>
      <w:r>
        <w:rPr>
          <w:noProof/>
        </w:rPr>
        <w:t>(14)</w:t>
      </w:r>
      <w:r>
        <w:rPr>
          <w:noProof/>
        </w:rPr>
        <w:tab/>
      </w:r>
      <w:r w:rsidRPr="00BF7E50">
        <w:rPr>
          <w:noProof/>
        </w:rPr>
        <w:t xml:space="preserve">Costurile totale estimate ale planului de redresare și reziliență modificat al </w:t>
      </w:r>
      <w:r w:rsidRPr="00BF7E50">
        <w:rPr>
          <w:noProof/>
          <w:color w:val="000000" w:themeColor="text1"/>
        </w:rPr>
        <w:t>Danemarcei</w:t>
      </w:r>
      <w:r w:rsidRPr="00BF7E50">
        <w:rPr>
          <w:noProof/>
        </w:rPr>
        <w:t xml:space="preserve"> sunt de 1 781 489 765 EUR. Întrucât cuantumul costului total estimat al planului de redresare și reziliență modificat este mai mare decât contribuția financiară maximă actualizată disponibilă pentru Danemarca, contribuția financiară stabilită în conformitate cu articolul 4a din Regulamentul (UE) 2021/1755 al Parlamentului</w:t>
      </w:r>
      <w:r w:rsidR="00D1275F">
        <w:rPr>
          <w:noProof/>
        </w:rPr>
        <w:t> </w:t>
      </w:r>
      <w:r w:rsidRPr="00BF7E50">
        <w:rPr>
          <w:noProof/>
        </w:rPr>
        <w:t>European și al Consiliului</w:t>
      </w:r>
      <w:r w:rsidRPr="00BF7E50">
        <w:rPr>
          <w:rStyle w:val="FootnoteReference"/>
          <w:noProof/>
        </w:rPr>
        <w:footnoteReference w:id="7"/>
      </w:r>
      <w:r w:rsidRPr="00BF7E50">
        <w:rPr>
          <w:noProof/>
        </w:rPr>
        <w:t>, cu articolul 20 alineatul (4) și cu articolul</w:t>
      </w:r>
      <w:r w:rsidR="00D1275F">
        <w:rPr>
          <w:noProof/>
        </w:rPr>
        <w:t> </w:t>
      </w:r>
      <w:r w:rsidRPr="00BF7E50">
        <w:rPr>
          <w:noProof/>
        </w:rPr>
        <w:t>21a alineatul (6) din Regulamentul (UE) 2021/241 care este alocată planului</w:t>
      </w:r>
      <w:r w:rsidR="00D1275F">
        <w:rPr>
          <w:noProof/>
        </w:rPr>
        <w:t> </w:t>
      </w:r>
      <w:r w:rsidRPr="00BF7E50">
        <w:rPr>
          <w:noProof/>
        </w:rPr>
        <w:t>de redresare și reziliență modificat al Danemarcei ar trebui să fie egală cu 1</w:t>
      </w:r>
      <w:r w:rsidR="00D1275F">
        <w:rPr>
          <w:noProof/>
        </w:rPr>
        <w:t> </w:t>
      </w:r>
      <w:r w:rsidRPr="00BF7E50">
        <w:rPr>
          <w:noProof/>
        </w:rPr>
        <w:t>625 890 885 EUR. Prin urmare, contribuția financiară pusă la dispoziția Danemarcei rămâne neschimbată.</w:t>
      </w:r>
    </w:p>
    <w:p w:rsidR="002709B6" w:rsidRPr="00BF7E50" w:rsidRDefault="00581E2A">
      <w:pPr>
        <w:pStyle w:val="ManualConsidrant"/>
        <w:ind w:left="720" w:hanging="720"/>
        <w:rPr>
          <w:rFonts w:eastAsia="Times New Roman"/>
          <w:noProof/>
        </w:rPr>
      </w:pPr>
      <w:r>
        <w:rPr>
          <w:noProof/>
        </w:rPr>
        <w:t>(15)</w:t>
      </w:r>
      <w:r>
        <w:rPr>
          <w:noProof/>
        </w:rPr>
        <w:tab/>
      </w:r>
      <w:r w:rsidRPr="00BF7E50">
        <w:rPr>
          <w:noProof/>
        </w:rPr>
        <w:t>Decizia de punere în aplicare a Consiliului din 13 iulie 2021 ar trebui să fie modificată în consecință. Din motive de claritate, anexa la Decizia de punere în aplicare a Consiliului din 13 iulie 2021 ar trebui să fie înlocuită în întregime.</w:t>
      </w:r>
    </w:p>
    <w:p w:rsidR="00C410A7" w:rsidRPr="00BF7E50" w:rsidRDefault="00C410A7" w:rsidP="00C410A7">
      <w:pPr>
        <w:pStyle w:val="ManualConsidrant"/>
        <w:ind w:left="720" w:hanging="720"/>
        <w:rPr>
          <w:rFonts w:eastAsia="Times New Roman"/>
          <w:noProof/>
        </w:rPr>
      </w:pPr>
      <w:r>
        <w:rPr>
          <w:noProof/>
        </w:rPr>
        <w:t>(16)</w:t>
      </w:r>
      <w:r>
        <w:rPr>
          <w:noProof/>
        </w:rPr>
        <w:tab/>
      </w:r>
      <w:r w:rsidRPr="00BF7E50">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2709B6" w:rsidRPr="00BF7E50" w:rsidRDefault="00DC39D2">
      <w:pPr>
        <w:pStyle w:val="Formuledadoption"/>
        <w:rPr>
          <w:rFonts w:eastAsia="Times New Roman"/>
          <w:noProof/>
        </w:rPr>
      </w:pPr>
      <w:r w:rsidRPr="00BF7E50">
        <w:rPr>
          <w:noProof/>
        </w:rPr>
        <w:t xml:space="preserve">ADOPTĂ PREZENTA DECIZIE: </w:t>
      </w:r>
    </w:p>
    <w:p w:rsidR="00A10B35" w:rsidRPr="00BF7E50" w:rsidRDefault="00A10B35" w:rsidP="00A10B35">
      <w:pPr>
        <w:pStyle w:val="Titrearticle"/>
        <w:rPr>
          <w:noProof/>
        </w:rPr>
      </w:pPr>
      <w:r w:rsidRPr="00BF7E50">
        <w:rPr>
          <w:noProof/>
        </w:rPr>
        <w:t xml:space="preserve">Articolul 1 </w:t>
      </w:r>
      <w:r w:rsidRPr="00BF7E50">
        <w:rPr>
          <w:noProof/>
        </w:rPr>
        <w:br/>
        <w:t>Aprobarea evaluării planului de redresare și reziliență</w:t>
      </w:r>
    </w:p>
    <w:p w:rsidR="005E081C" w:rsidRPr="00BF7E50" w:rsidRDefault="005E081C" w:rsidP="005E081C">
      <w:pPr>
        <w:rPr>
          <w:noProof/>
        </w:rPr>
      </w:pPr>
      <w:r w:rsidRPr="00BF7E50">
        <w:rPr>
          <w:noProof/>
        </w:rPr>
        <w:t>Se aprobă evaluarea planului de redresare și reziliență al Danemarcei pe baza criteriilor prevăzute la articolul 19 alineatul (3) din Regulamentul (UE) 2021/241.</w:t>
      </w:r>
    </w:p>
    <w:p w:rsidR="00A10B35" w:rsidRPr="00BF7E50" w:rsidRDefault="00A10B35" w:rsidP="00A10B35">
      <w:pPr>
        <w:pStyle w:val="Titrearticle"/>
        <w:rPr>
          <w:noProof/>
        </w:rPr>
      </w:pPr>
      <w:r w:rsidRPr="00BF7E50">
        <w:rPr>
          <w:noProof/>
        </w:rPr>
        <w:t xml:space="preserve">Articolul 2 </w:t>
      </w:r>
      <w:r w:rsidRPr="00BF7E50">
        <w:rPr>
          <w:noProof/>
        </w:rPr>
        <w:br/>
        <w:t>Modificări</w:t>
      </w:r>
    </w:p>
    <w:p w:rsidR="00FA3A5D" w:rsidRPr="00BF7E50" w:rsidRDefault="00DC39D2">
      <w:pPr>
        <w:rPr>
          <w:rFonts w:eastAsia="Times New Roman"/>
          <w:noProof/>
        </w:rPr>
      </w:pPr>
      <w:r w:rsidRPr="00BF7E50">
        <w:rPr>
          <w:noProof/>
        </w:rPr>
        <w:t xml:space="preserve">Decizia de punere în aplicare a Consiliului din 13 iulie 2021 de aprobare a evaluării planului de redresare și reziliență al Danemarcei se modifică după cum urmează: </w:t>
      </w:r>
    </w:p>
    <w:p w:rsidR="002709B6" w:rsidRPr="00BF7E50" w:rsidRDefault="00DC39D2" w:rsidP="00AE288D">
      <w:pPr>
        <w:rPr>
          <w:rFonts w:eastAsia="Times New Roman"/>
          <w:noProof/>
        </w:rPr>
      </w:pPr>
      <w:r w:rsidRPr="00BF7E50">
        <w:rPr>
          <w:noProof/>
        </w:rPr>
        <w:t>anexa se înlocuiește cu textul care figurează în anexa la prezenta decizie.</w:t>
      </w:r>
    </w:p>
    <w:p w:rsidR="00A10B35" w:rsidRPr="00BF7E50" w:rsidRDefault="00A10B35" w:rsidP="00CE6427">
      <w:pPr>
        <w:pStyle w:val="Titrearticle"/>
        <w:rPr>
          <w:noProof/>
        </w:rPr>
      </w:pPr>
      <w:r w:rsidRPr="00BF7E50">
        <w:rPr>
          <w:noProof/>
        </w:rPr>
        <w:t xml:space="preserve">Articolul 3 </w:t>
      </w:r>
      <w:r w:rsidRPr="00BF7E50">
        <w:rPr>
          <w:noProof/>
        </w:rPr>
        <w:br/>
        <w:t>Destinatar</w:t>
      </w:r>
    </w:p>
    <w:p w:rsidR="002709B6" w:rsidRPr="00BF7E50" w:rsidRDefault="00DC39D2">
      <w:pPr>
        <w:rPr>
          <w:noProof/>
        </w:rPr>
      </w:pPr>
      <w:r w:rsidRPr="00BF7E50">
        <w:rPr>
          <w:noProof/>
        </w:rPr>
        <w:t>Prezenta decizie se adresează Regatului Danemarcei.</w:t>
      </w:r>
    </w:p>
    <w:p w:rsidR="002709B6" w:rsidRPr="00BF7E50" w:rsidRDefault="00BF7E50" w:rsidP="00CE6427">
      <w:pPr>
        <w:pStyle w:val="Fait"/>
        <w:rPr>
          <w:noProof/>
        </w:rPr>
      </w:pPr>
      <w:r>
        <w:rPr>
          <w:noProof/>
        </w:rPr>
        <w:t>Adoptată la Bruxelles,</w:t>
      </w:r>
    </w:p>
    <w:p w:rsidR="002709B6" w:rsidRPr="00BF7E50" w:rsidRDefault="00DC39D2" w:rsidP="00CE6427">
      <w:pPr>
        <w:pStyle w:val="Institutionquisigne"/>
        <w:rPr>
          <w:noProof/>
        </w:rPr>
      </w:pPr>
      <w:r w:rsidRPr="00BF7E50">
        <w:rPr>
          <w:noProof/>
        </w:rPr>
        <w:tab/>
        <w:t>Pentru Consiliu</w:t>
      </w:r>
    </w:p>
    <w:p w:rsidR="002709B6" w:rsidRPr="00BF7E50" w:rsidRDefault="00DC39D2">
      <w:pPr>
        <w:pStyle w:val="Personnequisigne"/>
        <w:rPr>
          <w:noProof/>
        </w:rPr>
      </w:pPr>
      <w:r w:rsidRPr="00BF7E50">
        <w:rPr>
          <w:noProof/>
        </w:rPr>
        <w:tab/>
        <w:t>Președintele</w:t>
      </w:r>
    </w:p>
    <w:bookmarkEnd w:id="0"/>
    <w:sectPr w:rsidR="002709B6" w:rsidRPr="00BF7E50" w:rsidSect="00A0029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937" w:rsidRDefault="00805937">
      <w:pPr>
        <w:spacing w:before="0" w:after="0"/>
      </w:pPr>
      <w:r>
        <w:separator/>
      </w:r>
    </w:p>
  </w:endnote>
  <w:endnote w:type="continuationSeparator" w:id="0">
    <w:p w:rsidR="00805937" w:rsidRDefault="00805937">
      <w:pPr>
        <w:spacing w:before="0" w:after="0"/>
      </w:pPr>
      <w:r>
        <w:continuationSeparator/>
      </w:r>
    </w:p>
  </w:endnote>
  <w:endnote w:type="continuationNotice" w:id="1">
    <w:p w:rsidR="00805937" w:rsidRDefault="008059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291" w:rsidRPr="00A00291" w:rsidRDefault="00A00291" w:rsidP="00A00291">
    <w:pPr>
      <w:pStyle w:val="Footer"/>
      <w:rPr>
        <w:rFonts w:ascii="Arial" w:hAnsi="Arial" w:cs="Arial"/>
        <w:b/>
        <w:sz w:val="48"/>
      </w:rPr>
    </w:pPr>
    <w:r w:rsidRPr="00A00291">
      <w:rPr>
        <w:rFonts w:ascii="Arial" w:hAnsi="Arial" w:cs="Arial"/>
        <w:b/>
        <w:sz w:val="48"/>
      </w:rPr>
      <w:t>RO</w:t>
    </w:r>
    <w:r w:rsidRPr="00A00291">
      <w:rPr>
        <w:rFonts w:ascii="Arial" w:hAnsi="Arial" w:cs="Arial"/>
        <w:b/>
        <w:sz w:val="48"/>
      </w:rPr>
      <w:tab/>
    </w:r>
    <w:r w:rsidRPr="00A00291">
      <w:rPr>
        <w:rFonts w:ascii="Arial" w:hAnsi="Arial" w:cs="Arial"/>
        <w:b/>
        <w:sz w:val="48"/>
      </w:rPr>
      <w:tab/>
    </w:r>
    <w:r w:rsidRPr="00A00291">
      <w:tab/>
    </w:r>
    <w:r w:rsidRPr="00A0029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291" w:rsidRPr="00A00291" w:rsidRDefault="00A00291" w:rsidP="00A00291">
    <w:pPr>
      <w:pStyle w:val="Footer"/>
      <w:rPr>
        <w:rFonts w:ascii="Arial" w:hAnsi="Arial" w:cs="Arial"/>
        <w:b/>
        <w:sz w:val="48"/>
      </w:rPr>
    </w:pPr>
    <w:r w:rsidRPr="00A00291">
      <w:rPr>
        <w:rFonts w:ascii="Arial" w:hAnsi="Arial" w:cs="Arial"/>
        <w:b/>
        <w:sz w:val="48"/>
      </w:rPr>
      <w:t>RO</w:t>
    </w:r>
    <w:r w:rsidRPr="00A00291">
      <w:rPr>
        <w:rFonts w:ascii="Arial" w:hAnsi="Arial" w:cs="Arial"/>
        <w:b/>
        <w:sz w:val="48"/>
      </w:rPr>
      <w:tab/>
    </w:r>
    <w:r w:rsidRPr="00A00291">
      <w:rPr>
        <w:rFonts w:ascii="Arial" w:hAnsi="Arial" w:cs="Arial"/>
        <w:b/>
        <w:sz w:val="48"/>
      </w:rPr>
      <w:tab/>
    </w:r>
    <w:r w:rsidRPr="00A00291">
      <w:tab/>
    </w:r>
    <w:r w:rsidRPr="00A0029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291" w:rsidRDefault="00A002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291" w:rsidRPr="00A00291" w:rsidRDefault="00A00291" w:rsidP="00A00291">
    <w:pPr>
      <w:pStyle w:val="Footer"/>
      <w:rPr>
        <w:rFonts w:ascii="Arial" w:hAnsi="Arial" w:cs="Arial"/>
        <w:b/>
        <w:sz w:val="48"/>
      </w:rPr>
    </w:pPr>
    <w:r w:rsidRPr="00A00291">
      <w:rPr>
        <w:rFonts w:ascii="Arial" w:hAnsi="Arial" w:cs="Arial"/>
        <w:b/>
        <w:sz w:val="48"/>
      </w:rPr>
      <w:t>RO</w:t>
    </w:r>
    <w:r w:rsidRPr="00A00291">
      <w:rPr>
        <w:rFonts w:ascii="Arial" w:hAnsi="Arial" w:cs="Arial"/>
        <w:b/>
        <w:sz w:val="48"/>
      </w:rPr>
      <w:tab/>
    </w:r>
    <w:r>
      <w:fldChar w:fldCharType="begin"/>
    </w:r>
    <w:r>
      <w:instrText xml:space="preserve"> PAGE  \* MERGEFORMAT </w:instrText>
    </w:r>
    <w:r>
      <w:fldChar w:fldCharType="separate"/>
    </w:r>
    <w:r w:rsidR="00CE6427">
      <w:rPr>
        <w:noProof/>
      </w:rPr>
      <w:t>4</w:t>
    </w:r>
    <w:r>
      <w:fldChar w:fldCharType="end"/>
    </w:r>
    <w:r>
      <w:tab/>
    </w:r>
    <w:r w:rsidRPr="00A00291">
      <w:tab/>
    </w:r>
    <w:r w:rsidRPr="00A0029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291" w:rsidRDefault="00A00291" w:rsidP="00A00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937" w:rsidRDefault="00805937">
      <w:pPr>
        <w:spacing w:before="0" w:after="0"/>
      </w:pPr>
      <w:r>
        <w:separator/>
      </w:r>
    </w:p>
  </w:footnote>
  <w:footnote w:type="continuationSeparator" w:id="0">
    <w:p w:rsidR="00805937" w:rsidRDefault="00805937">
      <w:pPr>
        <w:spacing w:before="0" w:after="0"/>
      </w:pPr>
      <w:r>
        <w:continuationSeparator/>
      </w:r>
    </w:p>
  </w:footnote>
  <w:footnote w:type="continuationNotice" w:id="1">
    <w:p w:rsidR="00805937" w:rsidRDefault="00805937">
      <w:pPr>
        <w:spacing w:before="0" w:after="0"/>
      </w:pPr>
    </w:p>
  </w:footnote>
  <w:footnote w:id="2">
    <w:p w:rsidR="002709B6" w:rsidRPr="00DF01BF" w:rsidRDefault="00DC39D2">
      <w:pPr>
        <w:pStyle w:val="FootnoteText"/>
      </w:pPr>
      <w:r>
        <w:rPr>
          <w:rStyle w:val="FootnoteReference"/>
        </w:rPr>
        <w:footnoteRef/>
      </w:r>
      <w:r>
        <w:tab/>
        <w:t xml:space="preserve">JO L 57, 18.2.2021, p. 17, ELI: </w:t>
      </w:r>
      <w:hyperlink r:id="rId1" w:history="1">
        <w:r>
          <w:rPr>
            <w:rStyle w:val="Hyperlink"/>
          </w:rPr>
          <w:t>http://data.europa.eu/eli/reg/2021/241/oj</w:t>
        </w:r>
      </w:hyperlink>
      <w:r>
        <w:t>.</w:t>
      </w:r>
    </w:p>
  </w:footnote>
  <w:footnote w:id="3">
    <w:p w:rsidR="00B9566F" w:rsidRPr="006D28E4" w:rsidRDefault="00B9566F" w:rsidP="00B9566F">
      <w:pPr>
        <w:pStyle w:val="FootnoteText"/>
      </w:pPr>
      <w:r>
        <w:rPr>
          <w:rStyle w:val="FootnoteReference"/>
        </w:rPr>
        <w:footnoteRef/>
      </w:r>
      <w:r>
        <w:tab/>
        <w:t xml:space="preserve">A se vedea documentele ST 10154/21 INIT; ST 10154/21 ADD 1 la adresa: </w:t>
      </w:r>
      <w:hyperlink r:id="rId2" w:history="1">
        <w:r>
          <w:rPr>
            <w:rStyle w:val="Hyperlink"/>
          </w:rPr>
          <w:t>http://register.consilium.europa.eu</w:t>
        </w:r>
      </w:hyperlink>
      <w:r>
        <w:t>.</w:t>
      </w:r>
    </w:p>
  </w:footnote>
  <w:footnote w:id="4">
    <w:p w:rsidR="0002176C" w:rsidRPr="0002176C" w:rsidRDefault="0002176C">
      <w:pPr>
        <w:pStyle w:val="FootnoteText"/>
      </w:pPr>
      <w:r>
        <w:rPr>
          <w:rStyle w:val="FootnoteReference"/>
        </w:rPr>
        <w:footnoteRef/>
      </w:r>
      <w:r>
        <w:tab/>
        <w:t xml:space="preserve">A se vedea documentele ST 14473/23 INIT; ST 14473/23 ADD 1 la adresa: </w:t>
      </w:r>
      <w:hyperlink r:id="rId3" w:history="1">
        <w:r>
          <w:rPr>
            <w:rStyle w:val="Hyperlink"/>
          </w:rPr>
          <w:t>http://register.consilium.europa.eu</w:t>
        </w:r>
      </w:hyperlink>
      <w:r>
        <w:t>.</w:t>
      </w:r>
    </w:p>
  </w:footnote>
  <w:footnote w:id="5">
    <w:p w:rsidR="00933188" w:rsidRPr="00933188" w:rsidRDefault="00933188">
      <w:pPr>
        <w:pStyle w:val="FootnoteText"/>
      </w:pPr>
      <w:r>
        <w:rPr>
          <w:rStyle w:val="FootnoteReference"/>
        </w:rPr>
        <w:footnoteRef/>
      </w:r>
      <w:r>
        <w:tab/>
        <w:t xml:space="preserve">A se vedea documentele ST 15877/24 INIT; ST 15877/24 ADD 1 la adresa: </w:t>
      </w:r>
      <w:hyperlink r:id="rId4" w:history="1">
        <w:r>
          <w:rPr>
            <w:rStyle w:val="Hyperlink"/>
          </w:rPr>
          <w:t>http://register.consilium.europa.eu</w:t>
        </w:r>
      </w:hyperlink>
      <w:r>
        <w:t xml:space="preserve">. </w:t>
      </w:r>
    </w:p>
  </w:footnote>
  <w:footnote w:id="6">
    <w:p w:rsidR="002709B6" w:rsidRDefault="00DC39D2">
      <w:pPr>
        <w:pStyle w:val="FootnoteText"/>
      </w:pPr>
      <w:r>
        <w:rPr>
          <w:rStyle w:val="FootnoteReference"/>
        </w:rPr>
        <w:footnoteRef/>
      </w:r>
      <w:r>
        <w:tab/>
        <w:t xml:space="preserve">A se vedea documentele ST 10522/25 INIT; ST 10522/25 ADD 1 la adresa: </w:t>
      </w:r>
      <w:hyperlink r:id="rId5" w:history="1">
        <w:r>
          <w:rPr>
            <w:rStyle w:val="Hyperlink"/>
          </w:rPr>
          <w:t>http://register.consilium.europa.eu</w:t>
        </w:r>
      </w:hyperlink>
      <w:r>
        <w:t>.</w:t>
      </w:r>
    </w:p>
  </w:footnote>
  <w:footnote w:id="7">
    <w:p w:rsidR="00E129FF" w:rsidRDefault="00E129FF" w:rsidP="00E129FF">
      <w:pPr>
        <w:pStyle w:val="FootnoteText"/>
      </w:pPr>
      <w:r>
        <w:rPr>
          <w:rStyle w:val="FootnoteReference"/>
        </w:rPr>
        <w:footnoteRef/>
      </w:r>
      <w:r>
        <w:tab/>
        <w:t>Regulamentul (UE) 2021/1755 al Parlamentului European și al Consiliului din 6 octombrie 2021 de înființare a rezervei de ajustare la Brexit (JO L 357, 8.10.2021, p. 1, ELI: </w:t>
      </w:r>
      <w:hyperlink r:id="rId6" w:history="1">
        <w:r>
          <w:rPr>
            <w:rStyle w:val="Hyperlink"/>
          </w:rPr>
          <w:t>https://eur-lex.europa.eu/eli/reg/2021/1755/oj</w:t>
        </w:r>
      </w:hyperlink>
      <w:r>
        <w:t>).</w:t>
      </w:r>
    </w:p>
    <w:p w:rsidR="00E129FF" w:rsidRPr="00F27E3C" w:rsidRDefault="00E129FF" w:rsidP="00E129F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291" w:rsidRDefault="00A00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291" w:rsidRDefault="00A00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17 11:01: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6780E37D-6E9C-41DF-888A-2171E90E223B"/>
    <w:docVar w:name="LW_COVERPAGE_TYPE" w:val="1"/>
    <w:docVar w:name="LW_CROSSREFERENCE" w:val="{SWD(2026) 113 final}"/>
    <w:docVar w:name="LW_DocType" w:val="COM"/>
    <w:docVar w:name="LW_EMISSION" w:val="10.4.2026"/>
    <w:docVar w:name="LW_EMISSION_ISODATE" w:val="2026-04-1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88"/>
    <w:docVar w:name="LW_REF.II.NEW.CP_YEAR" w:val="2026"/>
    <w:docVar w:name="LW_REF.INST.NEW" w:val="COM"/>
    <w:docVar w:name="LW_REF.INST.NEW_ADOPTED" w:val="final"/>
    <w:docVar w:name="LW_REF.INST.NEW_TEXT" w:val="(2026) 1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Danemarcei"/>
    <w:docVar w:name="LW_TYPE.DOC.CP" w:val="DECIZIE DE PUNERE ÎN APLICARE A CONSILIULUI"/>
    <w:docVar w:name="LwApiVersions" w:val="LW4CoDe 1.24.5.0; LW 9.2, Build 20251112"/>
  </w:docVars>
  <w:rsids>
    <w:rsidRoot w:val="002709B6"/>
    <w:rsid w:val="00001508"/>
    <w:rsid w:val="00002148"/>
    <w:rsid w:val="0000243D"/>
    <w:rsid w:val="00003279"/>
    <w:rsid w:val="00004ECB"/>
    <w:rsid w:val="00004FBD"/>
    <w:rsid w:val="00005E66"/>
    <w:rsid w:val="00006404"/>
    <w:rsid w:val="00012FB1"/>
    <w:rsid w:val="00013258"/>
    <w:rsid w:val="00013E5A"/>
    <w:rsid w:val="000146F3"/>
    <w:rsid w:val="00014AB5"/>
    <w:rsid w:val="00016D3A"/>
    <w:rsid w:val="00016F88"/>
    <w:rsid w:val="00017731"/>
    <w:rsid w:val="0002052B"/>
    <w:rsid w:val="0002176C"/>
    <w:rsid w:val="00022696"/>
    <w:rsid w:val="00023C7B"/>
    <w:rsid w:val="00023E27"/>
    <w:rsid w:val="00024969"/>
    <w:rsid w:val="0002510F"/>
    <w:rsid w:val="000253F7"/>
    <w:rsid w:val="00027D54"/>
    <w:rsid w:val="000300F6"/>
    <w:rsid w:val="00033D8F"/>
    <w:rsid w:val="0003424F"/>
    <w:rsid w:val="00036ECF"/>
    <w:rsid w:val="00037DC4"/>
    <w:rsid w:val="00041FD2"/>
    <w:rsid w:val="00042071"/>
    <w:rsid w:val="00043777"/>
    <w:rsid w:val="000456A0"/>
    <w:rsid w:val="0004796B"/>
    <w:rsid w:val="000504D0"/>
    <w:rsid w:val="000523AB"/>
    <w:rsid w:val="00052D1B"/>
    <w:rsid w:val="000530AF"/>
    <w:rsid w:val="0005623B"/>
    <w:rsid w:val="00056515"/>
    <w:rsid w:val="00057928"/>
    <w:rsid w:val="00057C93"/>
    <w:rsid w:val="0006448B"/>
    <w:rsid w:val="000651AF"/>
    <w:rsid w:val="000658D1"/>
    <w:rsid w:val="0006591A"/>
    <w:rsid w:val="0006622E"/>
    <w:rsid w:val="00066294"/>
    <w:rsid w:val="00067891"/>
    <w:rsid w:val="00067AF3"/>
    <w:rsid w:val="0007020F"/>
    <w:rsid w:val="000720D1"/>
    <w:rsid w:val="000722CD"/>
    <w:rsid w:val="00073B77"/>
    <w:rsid w:val="00073FF0"/>
    <w:rsid w:val="00074A52"/>
    <w:rsid w:val="00075022"/>
    <w:rsid w:val="00075819"/>
    <w:rsid w:val="0008037A"/>
    <w:rsid w:val="000825A5"/>
    <w:rsid w:val="0008410F"/>
    <w:rsid w:val="000845A4"/>
    <w:rsid w:val="00085C5F"/>
    <w:rsid w:val="0008655C"/>
    <w:rsid w:val="00086CA5"/>
    <w:rsid w:val="000870A1"/>
    <w:rsid w:val="000935D2"/>
    <w:rsid w:val="00097347"/>
    <w:rsid w:val="000A07D8"/>
    <w:rsid w:val="000A11D3"/>
    <w:rsid w:val="000A2F31"/>
    <w:rsid w:val="000A3F15"/>
    <w:rsid w:val="000A4D9F"/>
    <w:rsid w:val="000A7835"/>
    <w:rsid w:val="000A7D21"/>
    <w:rsid w:val="000B1AE2"/>
    <w:rsid w:val="000B2EC3"/>
    <w:rsid w:val="000B2F39"/>
    <w:rsid w:val="000B306C"/>
    <w:rsid w:val="000B34E8"/>
    <w:rsid w:val="000B40A5"/>
    <w:rsid w:val="000B5CBC"/>
    <w:rsid w:val="000B5EA1"/>
    <w:rsid w:val="000B66AC"/>
    <w:rsid w:val="000B71E1"/>
    <w:rsid w:val="000B7248"/>
    <w:rsid w:val="000B7300"/>
    <w:rsid w:val="000B7702"/>
    <w:rsid w:val="000B7993"/>
    <w:rsid w:val="000C069E"/>
    <w:rsid w:val="000C2E28"/>
    <w:rsid w:val="000C4831"/>
    <w:rsid w:val="000C5E41"/>
    <w:rsid w:val="000C5EA5"/>
    <w:rsid w:val="000C7780"/>
    <w:rsid w:val="000D0775"/>
    <w:rsid w:val="000D2E3D"/>
    <w:rsid w:val="000D3517"/>
    <w:rsid w:val="000D5B80"/>
    <w:rsid w:val="000D6B73"/>
    <w:rsid w:val="000D6C22"/>
    <w:rsid w:val="000D6F56"/>
    <w:rsid w:val="000E00FE"/>
    <w:rsid w:val="000E2442"/>
    <w:rsid w:val="000E2ADB"/>
    <w:rsid w:val="000E3DAB"/>
    <w:rsid w:val="000E41D5"/>
    <w:rsid w:val="000E579E"/>
    <w:rsid w:val="000E5F99"/>
    <w:rsid w:val="000E721E"/>
    <w:rsid w:val="000E7CE7"/>
    <w:rsid w:val="000F153E"/>
    <w:rsid w:val="000F5A6C"/>
    <w:rsid w:val="000F71DB"/>
    <w:rsid w:val="0010409C"/>
    <w:rsid w:val="001042AD"/>
    <w:rsid w:val="00104884"/>
    <w:rsid w:val="00104BD8"/>
    <w:rsid w:val="001058DD"/>
    <w:rsid w:val="00106F7B"/>
    <w:rsid w:val="00107346"/>
    <w:rsid w:val="00107DB5"/>
    <w:rsid w:val="00111B2B"/>
    <w:rsid w:val="001138F9"/>
    <w:rsid w:val="00114C4D"/>
    <w:rsid w:val="00115051"/>
    <w:rsid w:val="0011617E"/>
    <w:rsid w:val="00117F88"/>
    <w:rsid w:val="001220D2"/>
    <w:rsid w:val="00123D8A"/>
    <w:rsid w:val="00123FDA"/>
    <w:rsid w:val="0012492E"/>
    <w:rsid w:val="0012499B"/>
    <w:rsid w:val="00124AF8"/>
    <w:rsid w:val="00124E95"/>
    <w:rsid w:val="001264AB"/>
    <w:rsid w:val="00126628"/>
    <w:rsid w:val="001274F4"/>
    <w:rsid w:val="00141B86"/>
    <w:rsid w:val="00141DEC"/>
    <w:rsid w:val="00142A84"/>
    <w:rsid w:val="00143271"/>
    <w:rsid w:val="001438C3"/>
    <w:rsid w:val="00146C5C"/>
    <w:rsid w:val="00150D2B"/>
    <w:rsid w:val="00150EDB"/>
    <w:rsid w:val="00151F06"/>
    <w:rsid w:val="0015215F"/>
    <w:rsid w:val="00152C08"/>
    <w:rsid w:val="00152D01"/>
    <w:rsid w:val="001601B7"/>
    <w:rsid w:val="001608E4"/>
    <w:rsid w:val="00161163"/>
    <w:rsid w:val="00161392"/>
    <w:rsid w:val="0016207F"/>
    <w:rsid w:val="00162BF9"/>
    <w:rsid w:val="00162CDC"/>
    <w:rsid w:val="00162E0E"/>
    <w:rsid w:val="001630B9"/>
    <w:rsid w:val="0016356A"/>
    <w:rsid w:val="00165CB6"/>
    <w:rsid w:val="0016651B"/>
    <w:rsid w:val="00167442"/>
    <w:rsid w:val="00167D3A"/>
    <w:rsid w:val="00167EEA"/>
    <w:rsid w:val="00170324"/>
    <w:rsid w:val="00171F67"/>
    <w:rsid w:val="001726FE"/>
    <w:rsid w:val="00172D19"/>
    <w:rsid w:val="001744D0"/>
    <w:rsid w:val="001745A6"/>
    <w:rsid w:val="001779A4"/>
    <w:rsid w:val="001809B1"/>
    <w:rsid w:val="00180CA2"/>
    <w:rsid w:val="001817AF"/>
    <w:rsid w:val="001828A9"/>
    <w:rsid w:val="00182FD4"/>
    <w:rsid w:val="001862F2"/>
    <w:rsid w:val="00186843"/>
    <w:rsid w:val="00187779"/>
    <w:rsid w:val="00190063"/>
    <w:rsid w:val="001907FB"/>
    <w:rsid w:val="001908F1"/>
    <w:rsid w:val="00190B08"/>
    <w:rsid w:val="00190D9D"/>
    <w:rsid w:val="00191B69"/>
    <w:rsid w:val="00191CE4"/>
    <w:rsid w:val="00191FEF"/>
    <w:rsid w:val="00192185"/>
    <w:rsid w:val="00192BCA"/>
    <w:rsid w:val="00195693"/>
    <w:rsid w:val="00195CCF"/>
    <w:rsid w:val="00196ED8"/>
    <w:rsid w:val="001A0220"/>
    <w:rsid w:val="001A0258"/>
    <w:rsid w:val="001A169C"/>
    <w:rsid w:val="001A689F"/>
    <w:rsid w:val="001A6D98"/>
    <w:rsid w:val="001B0007"/>
    <w:rsid w:val="001B0C6B"/>
    <w:rsid w:val="001B1F6F"/>
    <w:rsid w:val="001B204A"/>
    <w:rsid w:val="001B3EF9"/>
    <w:rsid w:val="001B45B3"/>
    <w:rsid w:val="001B513C"/>
    <w:rsid w:val="001B56D2"/>
    <w:rsid w:val="001B60A3"/>
    <w:rsid w:val="001B71DC"/>
    <w:rsid w:val="001C097C"/>
    <w:rsid w:val="001C197B"/>
    <w:rsid w:val="001C2B4A"/>
    <w:rsid w:val="001C5427"/>
    <w:rsid w:val="001C73F3"/>
    <w:rsid w:val="001C75DC"/>
    <w:rsid w:val="001D14E0"/>
    <w:rsid w:val="001D2036"/>
    <w:rsid w:val="001D4E1E"/>
    <w:rsid w:val="001D52C4"/>
    <w:rsid w:val="001E19D5"/>
    <w:rsid w:val="001E3305"/>
    <w:rsid w:val="001E4A8A"/>
    <w:rsid w:val="001E4BA3"/>
    <w:rsid w:val="001E5B0B"/>
    <w:rsid w:val="001E6EA0"/>
    <w:rsid w:val="001F0716"/>
    <w:rsid w:val="001F1B5B"/>
    <w:rsid w:val="001F27B3"/>
    <w:rsid w:val="001F3476"/>
    <w:rsid w:val="001F54E5"/>
    <w:rsid w:val="001F6B32"/>
    <w:rsid w:val="001F6ECC"/>
    <w:rsid w:val="001F7EC5"/>
    <w:rsid w:val="002003F3"/>
    <w:rsid w:val="00200458"/>
    <w:rsid w:val="00202A0F"/>
    <w:rsid w:val="00202AC3"/>
    <w:rsid w:val="002037F1"/>
    <w:rsid w:val="00204ED7"/>
    <w:rsid w:val="002050B6"/>
    <w:rsid w:val="00205EB6"/>
    <w:rsid w:val="00207805"/>
    <w:rsid w:val="00212008"/>
    <w:rsid w:val="00212959"/>
    <w:rsid w:val="002135CB"/>
    <w:rsid w:val="00214DA2"/>
    <w:rsid w:val="002166AB"/>
    <w:rsid w:val="0021686E"/>
    <w:rsid w:val="00217595"/>
    <w:rsid w:val="00222545"/>
    <w:rsid w:val="00226B38"/>
    <w:rsid w:val="002322F9"/>
    <w:rsid w:val="002344F4"/>
    <w:rsid w:val="00235432"/>
    <w:rsid w:val="002357C0"/>
    <w:rsid w:val="00237271"/>
    <w:rsid w:val="00237886"/>
    <w:rsid w:val="00240C44"/>
    <w:rsid w:val="00240EDF"/>
    <w:rsid w:val="00242DAD"/>
    <w:rsid w:val="00243313"/>
    <w:rsid w:val="00244971"/>
    <w:rsid w:val="002500E1"/>
    <w:rsid w:val="0025121E"/>
    <w:rsid w:val="00252F08"/>
    <w:rsid w:val="00261204"/>
    <w:rsid w:val="00262921"/>
    <w:rsid w:val="00263260"/>
    <w:rsid w:val="00263A1F"/>
    <w:rsid w:val="00264ADC"/>
    <w:rsid w:val="00266C22"/>
    <w:rsid w:val="00266EC5"/>
    <w:rsid w:val="002671D6"/>
    <w:rsid w:val="00267A2A"/>
    <w:rsid w:val="00267A78"/>
    <w:rsid w:val="00270745"/>
    <w:rsid w:val="002709B6"/>
    <w:rsid w:val="00270DA8"/>
    <w:rsid w:val="002716B7"/>
    <w:rsid w:val="002720B3"/>
    <w:rsid w:val="00272922"/>
    <w:rsid w:val="002753D0"/>
    <w:rsid w:val="002759E5"/>
    <w:rsid w:val="00276934"/>
    <w:rsid w:val="002800FA"/>
    <w:rsid w:val="00280A3F"/>
    <w:rsid w:val="00280D47"/>
    <w:rsid w:val="00281A3A"/>
    <w:rsid w:val="00285111"/>
    <w:rsid w:val="00285F07"/>
    <w:rsid w:val="00286E72"/>
    <w:rsid w:val="00287C25"/>
    <w:rsid w:val="00290271"/>
    <w:rsid w:val="00290E0D"/>
    <w:rsid w:val="00293C1A"/>
    <w:rsid w:val="00293E6A"/>
    <w:rsid w:val="00294E83"/>
    <w:rsid w:val="00294F1A"/>
    <w:rsid w:val="002A1DAF"/>
    <w:rsid w:val="002A222E"/>
    <w:rsid w:val="002A4E3A"/>
    <w:rsid w:val="002A51B3"/>
    <w:rsid w:val="002A6E4D"/>
    <w:rsid w:val="002A6F71"/>
    <w:rsid w:val="002A71F0"/>
    <w:rsid w:val="002B0033"/>
    <w:rsid w:val="002B0B0B"/>
    <w:rsid w:val="002B2394"/>
    <w:rsid w:val="002B3AFE"/>
    <w:rsid w:val="002B40C3"/>
    <w:rsid w:val="002B4B1E"/>
    <w:rsid w:val="002B4BD2"/>
    <w:rsid w:val="002B7188"/>
    <w:rsid w:val="002C0A8B"/>
    <w:rsid w:val="002C16AD"/>
    <w:rsid w:val="002C2076"/>
    <w:rsid w:val="002C384C"/>
    <w:rsid w:val="002C4BCE"/>
    <w:rsid w:val="002C6060"/>
    <w:rsid w:val="002C729F"/>
    <w:rsid w:val="002D4250"/>
    <w:rsid w:val="002E1DBF"/>
    <w:rsid w:val="002E2EDB"/>
    <w:rsid w:val="002E30F9"/>
    <w:rsid w:val="002E5293"/>
    <w:rsid w:val="002E5CC8"/>
    <w:rsid w:val="002E62C9"/>
    <w:rsid w:val="002E71D6"/>
    <w:rsid w:val="002F34C6"/>
    <w:rsid w:val="002F4741"/>
    <w:rsid w:val="002F5D17"/>
    <w:rsid w:val="002F77E7"/>
    <w:rsid w:val="00300205"/>
    <w:rsid w:val="00302D19"/>
    <w:rsid w:val="00304F07"/>
    <w:rsid w:val="00306A31"/>
    <w:rsid w:val="0031009E"/>
    <w:rsid w:val="00312D00"/>
    <w:rsid w:val="003134D7"/>
    <w:rsid w:val="00313A31"/>
    <w:rsid w:val="003168D4"/>
    <w:rsid w:val="00316F13"/>
    <w:rsid w:val="00317DB5"/>
    <w:rsid w:val="00320452"/>
    <w:rsid w:val="00321EA9"/>
    <w:rsid w:val="003221F8"/>
    <w:rsid w:val="0032276F"/>
    <w:rsid w:val="00322B41"/>
    <w:rsid w:val="00322DE7"/>
    <w:rsid w:val="003254DC"/>
    <w:rsid w:val="00327184"/>
    <w:rsid w:val="00327F09"/>
    <w:rsid w:val="00331C0E"/>
    <w:rsid w:val="00333475"/>
    <w:rsid w:val="0033381B"/>
    <w:rsid w:val="00333A3C"/>
    <w:rsid w:val="003354D0"/>
    <w:rsid w:val="00335DA8"/>
    <w:rsid w:val="003379FC"/>
    <w:rsid w:val="00337F64"/>
    <w:rsid w:val="0034020A"/>
    <w:rsid w:val="00340AFD"/>
    <w:rsid w:val="00341746"/>
    <w:rsid w:val="00343CA7"/>
    <w:rsid w:val="0034500A"/>
    <w:rsid w:val="00345188"/>
    <w:rsid w:val="003451AB"/>
    <w:rsid w:val="00345D33"/>
    <w:rsid w:val="003469AD"/>
    <w:rsid w:val="00346A51"/>
    <w:rsid w:val="0034777B"/>
    <w:rsid w:val="00351A3D"/>
    <w:rsid w:val="003529D2"/>
    <w:rsid w:val="00354715"/>
    <w:rsid w:val="00354AC5"/>
    <w:rsid w:val="00354F77"/>
    <w:rsid w:val="003556EC"/>
    <w:rsid w:val="00357032"/>
    <w:rsid w:val="00360D7D"/>
    <w:rsid w:val="0036139E"/>
    <w:rsid w:val="00363FF6"/>
    <w:rsid w:val="0036530C"/>
    <w:rsid w:val="00365BBE"/>
    <w:rsid w:val="00366155"/>
    <w:rsid w:val="00367DAD"/>
    <w:rsid w:val="003702C7"/>
    <w:rsid w:val="0037159E"/>
    <w:rsid w:val="003739EA"/>
    <w:rsid w:val="0037401F"/>
    <w:rsid w:val="00374132"/>
    <w:rsid w:val="00374531"/>
    <w:rsid w:val="00374FA9"/>
    <w:rsid w:val="003773A4"/>
    <w:rsid w:val="00377ABE"/>
    <w:rsid w:val="003808C9"/>
    <w:rsid w:val="00380911"/>
    <w:rsid w:val="00380F2D"/>
    <w:rsid w:val="00381600"/>
    <w:rsid w:val="0038254A"/>
    <w:rsid w:val="00383525"/>
    <w:rsid w:val="00383A41"/>
    <w:rsid w:val="00386136"/>
    <w:rsid w:val="003862D1"/>
    <w:rsid w:val="00386FBA"/>
    <w:rsid w:val="00387E79"/>
    <w:rsid w:val="00391AC5"/>
    <w:rsid w:val="00391E8F"/>
    <w:rsid w:val="003929F8"/>
    <w:rsid w:val="003964D7"/>
    <w:rsid w:val="003A10C6"/>
    <w:rsid w:val="003A136D"/>
    <w:rsid w:val="003A17EB"/>
    <w:rsid w:val="003A2C61"/>
    <w:rsid w:val="003A2EFD"/>
    <w:rsid w:val="003A3FF1"/>
    <w:rsid w:val="003A55E5"/>
    <w:rsid w:val="003A5905"/>
    <w:rsid w:val="003B09C2"/>
    <w:rsid w:val="003B0F2D"/>
    <w:rsid w:val="003B0FBD"/>
    <w:rsid w:val="003B31E5"/>
    <w:rsid w:val="003B4789"/>
    <w:rsid w:val="003B61FA"/>
    <w:rsid w:val="003B6D9D"/>
    <w:rsid w:val="003C0EF5"/>
    <w:rsid w:val="003C108D"/>
    <w:rsid w:val="003C11F4"/>
    <w:rsid w:val="003C130B"/>
    <w:rsid w:val="003C197E"/>
    <w:rsid w:val="003C3DA6"/>
    <w:rsid w:val="003C4CC8"/>
    <w:rsid w:val="003C56D9"/>
    <w:rsid w:val="003C5CBB"/>
    <w:rsid w:val="003D0BA6"/>
    <w:rsid w:val="003D1CAB"/>
    <w:rsid w:val="003D2A7A"/>
    <w:rsid w:val="003D5EC7"/>
    <w:rsid w:val="003D66A1"/>
    <w:rsid w:val="003D70D0"/>
    <w:rsid w:val="003D7227"/>
    <w:rsid w:val="003E11F5"/>
    <w:rsid w:val="003E18AB"/>
    <w:rsid w:val="003E3289"/>
    <w:rsid w:val="003E43F5"/>
    <w:rsid w:val="003E65FE"/>
    <w:rsid w:val="003F0FC4"/>
    <w:rsid w:val="003F1022"/>
    <w:rsid w:val="003F121A"/>
    <w:rsid w:val="003F1404"/>
    <w:rsid w:val="003F406E"/>
    <w:rsid w:val="003F61AF"/>
    <w:rsid w:val="003F6797"/>
    <w:rsid w:val="003F6E15"/>
    <w:rsid w:val="00400E93"/>
    <w:rsid w:val="00401518"/>
    <w:rsid w:val="00401DE0"/>
    <w:rsid w:val="00403F43"/>
    <w:rsid w:val="00406E2A"/>
    <w:rsid w:val="00406FC4"/>
    <w:rsid w:val="004109E9"/>
    <w:rsid w:val="00410F3A"/>
    <w:rsid w:val="0041383D"/>
    <w:rsid w:val="004161B7"/>
    <w:rsid w:val="00416512"/>
    <w:rsid w:val="00416822"/>
    <w:rsid w:val="00417080"/>
    <w:rsid w:val="004225EA"/>
    <w:rsid w:val="004233A0"/>
    <w:rsid w:val="0042418E"/>
    <w:rsid w:val="004256A0"/>
    <w:rsid w:val="00426016"/>
    <w:rsid w:val="00426CAC"/>
    <w:rsid w:val="0042706E"/>
    <w:rsid w:val="0043042E"/>
    <w:rsid w:val="00433382"/>
    <w:rsid w:val="0043402E"/>
    <w:rsid w:val="00435C00"/>
    <w:rsid w:val="00436D8F"/>
    <w:rsid w:val="00436FD9"/>
    <w:rsid w:val="00440D52"/>
    <w:rsid w:val="00441605"/>
    <w:rsid w:val="00443069"/>
    <w:rsid w:val="004434E7"/>
    <w:rsid w:val="00444CC7"/>
    <w:rsid w:val="0044519D"/>
    <w:rsid w:val="00445521"/>
    <w:rsid w:val="00445723"/>
    <w:rsid w:val="00446ABA"/>
    <w:rsid w:val="00450662"/>
    <w:rsid w:val="004507E2"/>
    <w:rsid w:val="0045122C"/>
    <w:rsid w:val="00451393"/>
    <w:rsid w:val="00452C55"/>
    <w:rsid w:val="00453E81"/>
    <w:rsid w:val="00453F73"/>
    <w:rsid w:val="0045459A"/>
    <w:rsid w:val="0045529E"/>
    <w:rsid w:val="004575C9"/>
    <w:rsid w:val="00457DC4"/>
    <w:rsid w:val="00457E8F"/>
    <w:rsid w:val="00461D92"/>
    <w:rsid w:val="004632EF"/>
    <w:rsid w:val="0046359F"/>
    <w:rsid w:val="00464D61"/>
    <w:rsid w:val="00465C93"/>
    <w:rsid w:val="004667D0"/>
    <w:rsid w:val="00467BBD"/>
    <w:rsid w:val="004725D5"/>
    <w:rsid w:val="00472FAD"/>
    <w:rsid w:val="00473B92"/>
    <w:rsid w:val="00473C1E"/>
    <w:rsid w:val="00474FC7"/>
    <w:rsid w:val="00476968"/>
    <w:rsid w:val="004771CB"/>
    <w:rsid w:val="00477DDF"/>
    <w:rsid w:val="00480766"/>
    <w:rsid w:val="004819BC"/>
    <w:rsid w:val="00482AFF"/>
    <w:rsid w:val="00482E11"/>
    <w:rsid w:val="00483689"/>
    <w:rsid w:val="00483A66"/>
    <w:rsid w:val="00483F2E"/>
    <w:rsid w:val="00484DD0"/>
    <w:rsid w:val="004873B8"/>
    <w:rsid w:val="00487C25"/>
    <w:rsid w:val="00487C3A"/>
    <w:rsid w:val="00487EAD"/>
    <w:rsid w:val="004900A4"/>
    <w:rsid w:val="00494FB1"/>
    <w:rsid w:val="00495036"/>
    <w:rsid w:val="00495B33"/>
    <w:rsid w:val="00497075"/>
    <w:rsid w:val="00497FC1"/>
    <w:rsid w:val="004A0737"/>
    <w:rsid w:val="004A2CD1"/>
    <w:rsid w:val="004A529E"/>
    <w:rsid w:val="004A7C82"/>
    <w:rsid w:val="004B03F6"/>
    <w:rsid w:val="004B1591"/>
    <w:rsid w:val="004B2454"/>
    <w:rsid w:val="004B44A8"/>
    <w:rsid w:val="004B4E37"/>
    <w:rsid w:val="004B670E"/>
    <w:rsid w:val="004B73EC"/>
    <w:rsid w:val="004C0169"/>
    <w:rsid w:val="004C0DB6"/>
    <w:rsid w:val="004C2139"/>
    <w:rsid w:val="004C2E4C"/>
    <w:rsid w:val="004C597C"/>
    <w:rsid w:val="004C7FC0"/>
    <w:rsid w:val="004D7BBA"/>
    <w:rsid w:val="004E24E2"/>
    <w:rsid w:val="004E2866"/>
    <w:rsid w:val="004E3290"/>
    <w:rsid w:val="004E3FB3"/>
    <w:rsid w:val="004E4567"/>
    <w:rsid w:val="004E49B1"/>
    <w:rsid w:val="004E5785"/>
    <w:rsid w:val="004E6676"/>
    <w:rsid w:val="004E66EE"/>
    <w:rsid w:val="004E70F0"/>
    <w:rsid w:val="004F408B"/>
    <w:rsid w:val="004F444A"/>
    <w:rsid w:val="004F480C"/>
    <w:rsid w:val="004F4A66"/>
    <w:rsid w:val="004F4F61"/>
    <w:rsid w:val="005021AA"/>
    <w:rsid w:val="005022F5"/>
    <w:rsid w:val="0050309E"/>
    <w:rsid w:val="00503761"/>
    <w:rsid w:val="00503B4E"/>
    <w:rsid w:val="00504019"/>
    <w:rsid w:val="00505014"/>
    <w:rsid w:val="0050576E"/>
    <w:rsid w:val="00505C7A"/>
    <w:rsid w:val="005129FE"/>
    <w:rsid w:val="00514E4E"/>
    <w:rsid w:val="00515DA7"/>
    <w:rsid w:val="0051642C"/>
    <w:rsid w:val="00516563"/>
    <w:rsid w:val="0051794B"/>
    <w:rsid w:val="00517A54"/>
    <w:rsid w:val="0052055D"/>
    <w:rsid w:val="005214A7"/>
    <w:rsid w:val="005227FF"/>
    <w:rsid w:val="005247FB"/>
    <w:rsid w:val="005260E2"/>
    <w:rsid w:val="00526A7D"/>
    <w:rsid w:val="005275BE"/>
    <w:rsid w:val="005308F6"/>
    <w:rsid w:val="00530C5B"/>
    <w:rsid w:val="00531B80"/>
    <w:rsid w:val="005323AB"/>
    <w:rsid w:val="00533153"/>
    <w:rsid w:val="00533351"/>
    <w:rsid w:val="00534172"/>
    <w:rsid w:val="00542435"/>
    <w:rsid w:val="00543C64"/>
    <w:rsid w:val="00546D87"/>
    <w:rsid w:val="00547308"/>
    <w:rsid w:val="00550B32"/>
    <w:rsid w:val="00551C7A"/>
    <w:rsid w:val="00553458"/>
    <w:rsid w:val="005546D8"/>
    <w:rsid w:val="005563F6"/>
    <w:rsid w:val="00556A8F"/>
    <w:rsid w:val="00557650"/>
    <w:rsid w:val="00561D21"/>
    <w:rsid w:val="00562418"/>
    <w:rsid w:val="00563BA1"/>
    <w:rsid w:val="00564979"/>
    <w:rsid w:val="00565D45"/>
    <w:rsid w:val="00571031"/>
    <w:rsid w:val="0057168C"/>
    <w:rsid w:val="005716BD"/>
    <w:rsid w:val="00571BC1"/>
    <w:rsid w:val="00573EC9"/>
    <w:rsid w:val="00574040"/>
    <w:rsid w:val="0057417F"/>
    <w:rsid w:val="00574CD1"/>
    <w:rsid w:val="00576E40"/>
    <w:rsid w:val="00580B46"/>
    <w:rsid w:val="00580CCB"/>
    <w:rsid w:val="005818C4"/>
    <w:rsid w:val="00581E2A"/>
    <w:rsid w:val="005825EB"/>
    <w:rsid w:val="00582BDB"/>
    <w:rsid w:val="0058437E"/>
    <w:rsid w:val="00584C80"/>
    <w:rsid w:val="0058613D"/>
    <w:rsid w:val="0058617B"/>
    <w:rsid w:val="00586F33"/>
    <w:rsid w:val="005909E7"/>
    <w:rsid w:val="00594CCE"/>
    <w:rsid w:val="00596491"/>
    <w:rsid w:val="00597F80"/>
    <w:rsid w:val="005A06A6"/>
    <w:rsid w:val="005A2D28"/>
    <w:rsid w:val="005A31A7"/>
    <w:rsid w:val="005A6492"/>
    <w:rsid w:val="005B178A"/>
    <w:rsid w:val="005B24FD"/>
    <w:rsid w:val="005B336D"/>
    <w:rsid w:val="005B626C"/>
    <w:rsid w:val="005B636F"/>
    <w:rsid w:val="005C290B"/>
    <w:rsid w:val="005C2969"/>
    <w:rsid w:val="005C2CB8"/>
    <w:rsid w:val="005C3084"/>
    <w:rsid w:val="005C3DB9"/>
    <w:rsid w:val="005C446E"/>
    <w:rsid w:val="005C4546"/>
    <w:rsid w:val="005C4A5B"/>
    <w:rsid w:val="005D06A8"/>
    <w:rsid w:val="005D0890"/>
    <w:rsid w:val="005D2B79"/>
    <w:rsid w:val="005D4E7A"/>
    <w:rsid w:val="005D58F8"/>
    <w:rsid w:val="005D73A7"/>
    <w:rsid w:val="005E064F"/>
    <w:rsid w:val="005E081C"/>
    <w:rsid w:val="005E16CC"/>
    <w:rsid w:val="005E3491"/>
    <w:rsid w:val="005E4576"/>
    <w:rsid w:val="005E6A33"/>
    <w:rsid w:val="005F0C14"/>
    <w:rsid w:val="005F2272"/>
    <w:rsid w:val="005F28AC"/>
    <w:rsid w:val="005F2DA7"/>
    <w:rsid w:val="005F40A9"/>
    <w:rsid w:val="005F4186"/>
    <w:rsid w:val="005F4A4B"/>
    <w:rsid w:val="005F5423"/>
    <w:rsid w:val="005F5BAE"/>
    <w:rsid w:val="005F7449"/>
    <w:rsid w:val="005F7478"/>
    <w:rsid w:val="006005B9"/>
    <w:rsid w:val="006012E4"/>
    <w:rsid w:val="006033B9"/>
    <w:rsid w:val="00605091"/>
    <w:rsid w:val="00606101"/>
    <w:rsid w:val="00607453"/>
    <w:rsid w:val="006106B9"/>
    <w:rsid w:val="006116BA"/>
    <w:rsid w:val="00611A1C"/>
    <w:rsid w:val="00611DAF"/>
    <w:rsid w:val="006126FC"/>
    <w:rsid w:val="0061657A"/>
    <w:rsid w:val="006167F8"/>
    <w:rsid w:val="00616B01"/>
    <w:rsid w:val="006204DA"/>
    <w:rsid w:val="00620BCA"/>
    <w:rsid w:val="0062175A"/>
    <w:rsid w:val="00621B2D"/>
    <w:rsid w:val="006236B1"/>
    <w:rsid w:val="00624C79"/>
    <w:rsid w:val="0062538C"/>
    <w:rsid w:val="0063071B"/>
    <w:rsid w:val="0063182A"/>
    <w:rsid w:val="0063216B"/>
    <w:rsid w:val="006325F9"/>
    <w:rsid w:val="00636267"/>
    <w:rsid w:val="00637750"/>
    <w:rsid w:val="00640552"/>
    <w:rsid w:val="006423DE"/>
    <w:rsid w:val="006428BF"/>
    <w:rsid w:val="0064290F"/>
    <w:rsid w:val="0064493B"/>
    <w:rsid w:val="006451D1"/>
    <w:rsid w:val="00650D9E"/>
    <w:rsid w:val="00651F63"/>
    <w:rsid w:val="00652CB5"/>
    <w:rsid w:val="00653281"/>
    <w:rsid w:val="00653923"/>
    <w:rsid w:val="00654A63"/>
    <w:rsid w:val="006550F1"/>
    <w:rsid w:val="006551E8"/>
    <w:rsid w:val="00655B38"/>
    <w:rsid w:val="0065770B"/>
    <w:rsid w:val="00657FA1"/>
    <w:rsid w:val="00660CED"/>
    <w:rsid w:val="0066146A"/>
    <w:rsid w:val="00665620"/>
    <w:rsid w:val="0066622E"/>
    <w:rsid w:val="0067054B"/>
    <w:rsid w:val="00670625"/>
    <w:rsid w:val="00670A08"/>
    <w:rsid w:val="00673A58"/>
    <w:rsid w:val="006743AA"/>
    <w:rsid w:val="00675804"/>
    <w:rsid w:val="00676AB7"/>
    <w:rsid w:val="0068093A"/>
    <w:rsid w:val="00681F9E"/>
    <w:rsid w:val="006820E4"/>
    <w:rsid w:val="0068210B"/>
    <w:rsid w:val="006822DE"/>
    <w:rsid w:val="00683D74"/>
    <w:rsid w:val="006845DB"/>
    <w:rsid w:val="00686914"/>
    <w:rsid w:val="00687A4E"/>
    <w:rsid w:val="00690D20"/>
    <w:rsid w:val="006914DD"/>
    <w:rsid w:val="0069221F"/>
    <w:rsid w:val="00693653"/>
    <w:rsid w:val="00693DF2"/>
    <w:rsid w:val="00694508"/>
    <w:rsid w:val="0069570C"/>
    <w:rsid w:val="0069703A"/>
    <w:rsid w:val="00697FF2"/>
    <w:rsid w:val="006A179F"/>
    <w:rsid w:val="006A6059"/>
    <w:rsid w:val="006A63AB"/>
    <w:rsid w:val="006A6909"/>
    <w:rsid w:val="006B0EAB"/>
    <w:rsid w:val="006B1BC6"/>
    <w:rsid w:val="006B1FAB"/>
    <w:rsid w:val="006B5A8E"/>
    <w:rsid w:val="006B62CB"/>
    <w:rsid w:val="006C04A9"/>
    <w:rsid w:val="006C4646"/>
    <w:rsid w:val="006C79D8"/>
    <w:rsid w:val="006C79DC"/>
    <w:rsid w:val="006D006B"/>
    <w:rsid w:val="006D13EF"/>
    <w:rsid w:val="006D1B21"/>
    <w:rsid w:val="006D2A57"/>
    <w:rsid w:val="006D3A35"/>
    <w:rsid w:val="006D3E3F"/>
    <w:rsid w:val="006D5E02"/>
    <w:rsid w:val="006D6272"/>
    <w:rsid w:val="006D6AB7"/>
    <w:rsid w:val="006E03A8"/>
    <w:rsid w:val="006E0C94"/>
    <w:rsid w:val="006E14B0"/>
    <w:rsid w:val="006E228B"/>
    <w:rsid w:val="006F278C"/>
    <w:rsid w:val="006F29CF"/>
    <w:rsid w:val="006F7408"/>
    <w:rsid w:val="006F7792"/>
    <w:rsid w:val="006F7ABE"/>
    <w:rsid w:val="00700042"/>
    <w:rsid w:val="00701444"/>
    <w:rsid w:val="007015E9"/>
    <w:rsid w:val="0070227E"/>
    <w:rsid w:val="00704899"/>
    <w:rsid w:val="00706B50"/>
    <w:rsid w:val="00706E9A"/>
    <w:rsid w:val="007100BD"/>
    <w:rsid w:val="00712AC1"/>
    <w:rsid w:val="007170E1"/>
    <w:rsid w:val="00717AB3"/>
    <w:rsid w:val="00721145"/>
    <w:rsid w:val="00721293"/>
    <w:rsid w:val="00721837"/>
    <w:rsid w:val="00723D75"/>
    <w:rsid w:val="00726232"/>
    <w:rsid w:val="007263EE"/>
    <w:rsid w:val="00726456"/>
    <w:rsid w:val="00730935"/>
    <w:rsid w:val="007316BD"/>
    <w:rsid w:val="0073199C"/>
    <w:rsid w:val="00732208"/>
    <w:rsid w:val="00732DA7"/>
    <w:rsid w:val="00732E29"/>
    <w:rsid w:val="00733248"/>
    <w:rsid w:val="00733E97"/>
    <w:rsid w:val="00734863"/>
    <w:rsid w:val="0073603E"/>
    <w:rsid w:val="00740976"/>
    <w:rsid w:val="00740DB1"/>
    <w:rsid w:val="007438FB"/>
    <w:rsid w:val="00743905"/>
    <w:rsid w:val="00744F5A"/>
    <w:rsid w:val="007456BB"/>
    <w:rsid w:val="007470D4"/>
    <w:rsid w:val="0074738B"/>
    <w:rsid w:val="00747BA1"/>
    <w:rsid w:val="00753445"/>
    <w:rsid w:val="007548BD"/>
    <w:rsid w:val="00755863"/>
    <w:rsid w:val="00762735"/>
    <w:rsid w:val="00762A9C"/>
    <w:rsid w:val="00762F09"/>
    <w:rsid w:val="00763130"/>
    <w:rsid w:val="0077345B"/>
    <w:rsid w:val="0077402C"/>
    <w:rsid w:val="00777008"/>
    <w:rsid w:val="00777057"/>
    <w:rsid w:val="00777A6E"/>
    <w:rsid w:val="00781574"/>
    <w:rsid w:val="00782597"/>
    <w:rsid w:val="007825BD"/>
    <w:rsid w:val="0078758B"/>
    <w:rsid w:val="00787AE2"/>
    <w:rsid w:val="00787C81"/>
    <w:rsid w:val="007909B6"/>
    <w:rsid w:val="00791977"/>
    <w:rsid w:val="00791B1F"/>
    <w:rsid w:val="0079498A"/>
    <w:rsid w:val="00796961"/>
    <w:rsid w:val="00797C38"/>
    <w:rsid w:val="007A1FC7"/>
    <w:rsid w:val="007A2359"/>
    <w:rsid w:val="007A45F4"/>
    <w:rsid w:val="007A4ED7"/>
    <w:rsid w:val="007A6346"/>
    <w:rsid w:val="007A743C"/>
    <w:rsid w:val="007B01E6"/>
    <w:rsid w:val="007B18FD"/>
    <w:rsid w:val="007B2749"/>
    <w:rsid w:val="007B2BB0"/>
    <w:rsid w:val="007B4B35"/>
    <w:rsid w:val="007B689C"/>
    <w:rsid w:val="007B7720"/>
    <w:rsid w:val="007B78E0"/>
    <w:rsid w:val="007C043A"/>
    <w:rsid w:val="007C06FE"/>
    <w:rsid w:val="007C114C"/>
    <w:rsid w:val="007C1D3B"/>
    <w:rsid w:val="007C2512"/>
    <w:rsid w:val="007C275E"/>
    <w:rsid w:val="007C287E"/>
    <w:rsid w:val="007C2C20"/>
    <w:rsid w:val="007C2C2C"/>
    <w:rsid w:val="007C328E"/>
    <w:rsid w:val="007C5EC7"/>
    <w:rsid w:val="007C6543"/>
    <w:rsid w:val="007C727C"/>
    <w:rsid w:val="007C7350"/>
    <w:rsid w:val="007D11D1"/>
    <w:rsid w:val="007D4289"/>
    <w:rsid w:val="007D499E"/>
    <w:rsid w:val="007D4EFC"/>
    <w:rsid w:val="007D5291"/>
    <w:rsid w:val="007D6291"/>
    <w:rsid w:val="007D7628"/>
    <w:rsid w:val="007E03FB"/>
    <w:rsid w:val="007E0413"/>
    <w:rsid w:val="007E1B77"/>
    <w:rsid w:val="007E1ED4"/>
    <w:rsid w:val="007E2C0C"/>
    <w:rsid w:val="007E2C4A"/>
    <w:rsid w:val="007E2F6B"/>
    <w:rsid w:val="007E65D2"/>
    <w:rsid w:val="007E6943"/>
    <w:rsid w:val="007E7295"/>
    <w:rsid w:val="007F0B43"/>
    <w:rsid w:val="007F0C0C"/>
    <w:rsid w:val="007F0F3E"/>
    <w:rsid w:val="007F137F"/>
    <w:rsid w:val="007F38A6"/>
    <w:rsid w:val="008011EF"/>
    <w:rsid w:val="00802847"/>
    <w:rsid w:val="0080314B"/>
    <w:rsid w:val="008038B0"/>
    <w:rsid w:val="0080570A"/>
    <w:rsid w:val="00805937"/>
    <w:rsid w:val="00806304"/>
    <w:rsid w:val="00806375"/>
    <w:rsid w:val="0080769A"/>
    <w:rsid w:val="00807D4E"/>
    <w:rsid w:val="008102E7"/>
    <w:rsid w:val="00810945"/>
    <w:rsid w:val="008117F6"/>
    <w:rsid w:val="00812249"/>
    <w:rsid w:val="008150C5"/>
    <w:rsid w:val="00815746"/>
    <w:rsid w:val="00815C62"/>
    <w:rsid w:val="00820CC2"/>
    <w:rsid w:val="00823027"/>
    <w:rsid w:val="00826277"/>
    <w:rsid w:val="0082648D"/>
    <w:rsid w:val="0082780B"/>
    <w:rsid w:val="00831C05"/>
    <w:rsid w:val="00831F95"/>
    <w:rsid w:val="008332C9"/>
    <w:rsid w:val="00835B5C"/>
    <w:rsid w:val="00841F67"/>
    <w:rsid w:val="0084505E"/>
    <w:rsid w:val="00845661"/>
    <w:rsid w:val="00845E28"/>
    <w:rsid w:val="00846C2B"/>
    <w:rsid w:val="0085013A"/>
    <w:rsid w:val="008512D1"/>
    <w:rsid w:val="008527DF"/>
    <w:rsid w:val="00854585"/>
    <w:rsid w:val="00854730"/>
    <w:rsid w:val="008550CC"/>
    <w:rsid w:val="00855C01"/>
    <w:rsid w:val="00855FD7"/>
    <w:rsid w:val="0085734F"/>
    <w:rsid w:val="00857802"/>
    <w:rsid w:val="008620CF"/>
    <w:rsid w:val="00862C9B"/>
    <w:rsid w:val="008647B6"/>
    <w:rsid w:val="00864854"/>
    <w:rsid w:val="00865121"/>
    <w:rsid w:val="00865C39"/>
    <w:rsid w:val="008663BC"/>
    <w:rsid w:val="0086664A"/>
    <w:rsid w:val="00867C0D"/>
    <w:rsid w:val="0087241A"/>
    <w:rsid w:val="00872F6C"/>
    <w:rsid w:val="0087370D"/>
    <w:rsid w:val="00873F5C"/>
    <w:rsid w:val="00875221"/>
    <w:rsid w:val="00876E61"/>
    <w:rsid w:val="008805D8"/>
    <w:rsid w:val="008815AC"/>
    <w:rsid w:val="0088173A"/>
    <w:rsid w:val="00881CD2"/>
    <w:rsid w:val="00882FC2"/>
    <w:rsid w:val="00883547"/>
    <w:rsid w:val="008862AD"/>
    <w:rsid w:val="0088681B"/>
    <w:rsid w:val="008873EF"/>
    <w:rsid w:val="00891DA3"/>
    <w:rsid w:val="00892226"/>
    <w:rsid w:val="00894899"/>
    <w:rsid w:val="008957E6"/>
    <w:rsid w:val="00895AD9"/>
    <w:rsid w:val="00897009"/>
    <w:rsid w:val="008A06DF"/>
    <w:rsid w:val="008A1D58"/>
    <w:rsid w:val="008A27F8"/>
    <w:rsid w:val="008A5598"/>
    <w:rsid w:val="008A5BB7"/>
    <w:rsid w:val="008A6C75"/>
    <w:rsid w:val="008B200A"/>
    <w:rsid w:val="008B22BB"/>
    <w:rsid w:val="008B3630"/>
    <w:rsid w:val="008C0CFA"/>
    <w:rsid w:val="008C1387"/>
    <w:rsid w:val="008C5C17"/>
    <w:rsid w:val="008C5FC2"/>
    <w:rsid w:val="008C792D"/>
    <w:rsid w:val="008D1F9D"/>
    <w:rsid w:val="008D215A"/>
    <w:rsid w:val="008D44A6"/>
    <w:rsid w:val="008D5EE5"/>
    <w:rsid w:val="008D7480"/>
    <w:rsid w:val="008E010C"/>
    <w:rsid w:val="008E1B25"/>
    <w:rsid w:val="008E2A8C"/>
    <w:rsid w:val="008E348F"/>
    <w:rsid w:val="008E34DA"/>
    <w:rsid w:val="008E4453"/>
    <w:rsid w:val="008E5A90"/>
    <w:rsid w:val="008F3BF9"/>
    <w:rsid w:val="008F40F0"/>
    <w:rsid w:val="008F6032"/>
    <w:rsid w:val="0090172E"/>
    <w:rsid w:val="009020F8"/>
    <w:rsid w:val="00902FD9"/>
    <w:rsid w:val="0090415A"/>
    <w:rsid w:val="00904CE1"/>
    <w:rsid w:val="00907346"/>
    <w:rsid w:val="00907E74"/>
    <w:rsid w:val="009106FA"/>
    <w:rsid w:val="00910C2C"/>
    <w:rsid w:val="00911D56"/>
    <w:rsid w:val="0091283B"/>
    <w:rsid w:val="009131E2"/>
    <w:rsid w:val="00913F5D"/>
    <w:rsid w:val="00914BA2"/>
    <w:rsid w:val="009161B7"/>
    <w:rsid w:val="00917282"/>
    <w:rsid w:val="00917ED6"/>
    <w:rsid w:val="00920359"/>
    <w:rsid w:val="00920A03"/>
    <w:rsid w:val="00920C02"/>
    <w:rsid w:val="00923564"/>
    <w:rsid w:val="00923ADB"/>
    <w:rsid w:val="00924F9B"/>
    <w:rsid w:val="00925819"/>
    <w:rsid w:val="00926263"/>
    <w:rsid w:val="0092664B"/>
    <w:rsid w:val="0092670C"/>
    <w:rsid w:val="009267F9"/>
    <w:rsid w:val="00927304"/>
    <w:rsid w:val="00927619"/>
    <w:rsid w:val="00932781"/>
    <w:rsid w:val="00933188"/>
    <w:rsid w:val="00933AFF"/>
    <w:rsid w:val="00934C0A"/>
    <w:rsid w:val="009371E8"/>
    <w:rsid w:val="00937269"/>
    <w:rsid w:val="0093784D"/>
    <w:rsid w:val="00937B7E"/>
    <w:rsid w:val="00941CC6"/>
    <w:rsid w:val="0094395C"/>
    <w:rsid w:val="009439CB"/>
    <w:rsid w:val="009442C5"/>
    <w:rsid w:val="009444F5"/>
    <w:rsid w:val="00952250"/>
    <w:rsid w:val="00953AA3"/>
    <w:rsid w:val="00953CE5"/>
    <w:rsid w:val="00953D84"/>
    <w:rsid w:val="00954335"/>
    <w:rsid w:val="00955474"/>
    <w:rsid w:val="009560B6"/>
    <w:rsid w:val="009561B8"/>
    <w:rsid w:val="0095640D"/>
    <w:rsid w:val="0095795D"/>
    <w:rsid w:val="00960BF7"/>
    <w:rsid w:val="00961B9C"/>
    <w:rsid w:val="009624C6"/>
    <w:rsid w:val="00963255"/>
    <w:rsid w:val="0096329F"/>
    <w:rsid w:val="009633F1"/>
    <w:rsid w:val="00963FC5"/>
    <w:rsid w:val="009655E3"/>
    <w:rsid w:val="00965EB6"/>
    <w:rsid w:val="00966E21"/>
    <w:rsid w:val="009679F7"/>
    <w:rsid w:val="00967FCF"/>
    <w:rsid w:val="0097137C"/>
    <w:rsid w:val="00971E60"/>
    <w:rsid w:val="009740A0"/>
    <w:rsid w:val="0097466D"/>
    <w:rsid w:val="00974C18"/>
    <w:rsid w:val="009762A7"/>
    <w:rsid w:val="00981BF6"/>
    <w:rsid w:val="00983A23"/>
    <w:rsid w:val="009845EC"/>
    <w:rsid w:val="009849F4"/>
    <w:rsid w:val="00990570"/>
    <w:rsid w:val="00990771"/>
    <w:rsid w:val="00992A22"/>
    <w:rsid w:val="00993F0B"/>
    <w:rsid w:val="009950CD"/>
    <w:rsid w:val="00995B4E"/>
    <w:rsid w:val="00995DFE"/>
    <w:rsid w:val="0099705B"/>
    <w:rsid w:val="009A3B67"/>
    <w:rsid w:val="009A7A82"/>
    <w:rsid w:val="009B005A"/>
    <w:rsid w:val="009B00F8"/>
    <w:rsid w:val="009B04CA"/>
    <w:rsid w:val="009B0EA8"/>
    <w:rsid w:val="009B106C"/>
    <w:rsid w:val="009B19B7"/>
    <w:rsid w:val="009B1B19"/>
    <w:rsid w:val="009B2130"/>
    <w:rsid w:val="009B25E0"/>
    <w:rsid w:val="009B35BB"/>
    <w:rsid w:val="009B4FCE"/>
    <w:rsid w:val="009B79AC"/>
    <w:rsid w:val="009C057F"/>
    <w:rsid w:val="009C1688"/>
    <w:rsid w:val="009C1942"/>
    <w:rsid w:val="009C25BD"/>
    <w:rsid w:val="009C29B9"/>
    <w:rsid w:val="009C3671"/>
    <w:rsid w:val="009C628D"/>
    <w:rsid w:val="009C684F"/>
    <w:rsid w:val="009C78AF"/>
    <w:rsid w:val="009D3D23"/>
    <w:rsid w:val="009D55C7"/>
    <w:rsid w:val="009D575D"/>
    <w:rsid w:val="009E0C05"/>
    <w:rsid w:val="009E429D"/>
    <w:rsid w:val="009E464E"/>
    <w:rsid w:val="009E63B8"/>
    <w:rsid w:val="009F006F"/>
    <w:rsid w:val="009F19ED"/>
    <w:rsid w:val="009F2373"/>
    <w:rsid w:val="009F4018"/>
    <w:rsid w:val="009F4F72"/>
    <w:rsid w:val="009F69E6"/>
    <w:rsid w:val="00A00291"/>
    <w:rsid w:val="00A01F00"/>
    <w:rsid w:val="00A01FB6"/>
    <w:rsid w:val="00A02D5F"/>
    <w:rsid w:val="00A036CF"/>
    <w:rsid w:val="00A0545D"/>
    <w:rsid w:val="00A07226"/>
    <w:rsid w:val="00A10B35"/>
    <w:rsid w:val="00A1190D"/>
    <w:rsid w:val="00A11DFC"/>
    <w:rsid w:val="00A1290F"/>
    <w:rsid w:val="00A12920"/>
    <w:rsid w:val="00A13641"/>
    <w:rsid w:val="00A140A6"/>
    <w:rsid w:val="00A1433B"/>
    <w:rsid w:val="00A15439"/>
    <w:rsid w:val="00A20557"/>
    <w:rsid w:val="00A206E5"/>
    <w:rsid w:val="00A21361"/>
    <w:rsid w:val="00A23514"/>
    <w:rsid w:val="00A24C30"/>
    <w:rsid w:val="00A25CF8"/>
    <w:rsid w:val="00A26620"/>
    <w:rsid w:val="00A26849"/>
    <w:rsid w:val="00A27FB2"/>
    <w:rsid w:val="00A3196F"/>
    <w:rsid w:val="00A32AC3"/>
    <w:rsid w:val="00A32C1D"/>
    <w:rsid w:val="00A33FB0"/>
    <w:rsid w:val="00A34123"/>
    <w:rsid w:val="00A341C4"/>
    <w:rsid w:val="00A34C14"/>
    <w:rsid w:val="00A40087"/>
    <w:rsid w:val="00A418EA"/>
    <w:rsid w:val="00A41E61"/>
    <w:rsid w:val="00A4230F"/>
    <w:rsid w:val="00A43C8B"/>
    <w:rsid w:val="00A441E0"/>
    <w:rsid w:val="00A45A1F"/>
    <w:rsid w:val="00A461D9"/>
    <w:rsid w:val="00A50261"/>
    <w:rsid w:val="00A522F6"/>
    <w:rsid w:val="00A53329"/>
    <w:rsid w:val="00A53F21"/>
    <w:rsid w:val="00A54C1F"/>
    <w:rsid w:val="00A561EB"/>
    <w:rsid w:val="00A56ACF"/>
    <w:rsid w:val="00A56DF0"/>
    <w:rsid w:val="00A5716E"/>
    <w:rsid w:val="00A607D1"/>
    <w:rsid w:val="00A6162E"/>
    <w:rsid w:val="00A637A8"/>
    <w:rsid w:val="00A65320"/>
    <w:rsid w:val="00A65AAF"/>
    <w:rsid w:val="00A66D14"/>
    <w:rsid w:val="00A6764C"/>
    <w:rsid w:val="00A67678"/>
    <w:rsid w:val="00A7190A"/>
    <w:rsid w:val="00A732F9"/>
    <w:rsid w:val="00A736F5"/>
    <w:rsid w:val="00A7382C"/>
    <w:rsid w:val="00A747E6"/>
    <w:rsid w:val="00A74BD6"/>
    <w:rsid w:val="00A80061"/>
    <w:rsid w:val="00A81619"/>
    <w:rsid w:val="00A81E61"/>
    <w:rsid w:val="00A869D7"/>
    <w:rsid w:val="00A90F51"/>
    <w:rsid w:val="00A92048"/>
    <w:rsid w:val="00A92685"/>
    <w:rsid w:val="00A92FB8"/>
    <w:rsid w:val="00A93195"/>
    <w:rsid w:val="00A93870"/>
    <w:rsid w:val="00A93F0F"/>
    <w:rsid w:val="00A9447C"/>
    <w:rsid w:val="00A9591E"/>
    <w:rsid w:val="00A97247"/>
    <w:rsid w:val="00A97307"/>
    <w:rsid w:val="00A97E89"/>
    <w:rsid w:val="00AA08F3"/>
    <w:rsid w:val="00AA1051"/>
    <w:rsid w:val="00AA15E1"/>
    <w:rsid w:val="00AA3057"/>
    <w:rsid w:val="00AA45CD"/>
    <w:rsid w:val="00AA49C9"/>
    <w:rsid w:val="00AA4D92"/>
    <w:rsid w:val="00AA724E"/>
    <w:rsid w:val="00AB0861"/>
    <w:rsid w:val="00AB09BE"/>
    <w:rsid w:val="00AB0C58"/>
    <w:rsid w:val="00AB218A"/>
    <w:rsid w:val="00AB545B"/>
    <w:rsid w:val="00AB6319"/>
    <w:rsid w:val="00AB705F"/>
    <w:rsid w:val="00AB7934"/>
    <w:rsid w:val="00AC0058"/>
    <w:rsid w:val="00AC2022"/>
    <w:rsid w:val="00AC40BA"/>
    <w:rsid w:val="00AC7CD9"/>
    <w:rsid w:val="00AD12F1"/>
    <w:rsid w:val="00AD323D"/>
    <w:rsid w:val="00AD54A3"/>
    <w:rsid w:val="00AD5FFF"/>
    <w:rsid w:val="00AD6A21"/>
    <w:rsid w:val="00AE0E06"/>
    <w:rsid w:val="00AE1DF5"/>
    <w:rsid w:val="00AE1F76"/>
    <w:rsid w:val="00AE288D"/>
    <w:rsid w:val="00AE2EA8"/>
    <w:rsid w:val="00AE478B"/>
    <w:rsid w:val="00AE6318"/>
    <w:rsid w:val="00AE74A0"/>
    <w:rsid w:val="00AE7B5F"/>
    <w:rsid w:val="00AE7D62"/>
    <w:rsid w:val="00AF2FC2"/>
    <w:rsid w:val="00AF3A0D"/>
    <w:rsid w:val="00AF7196"/>
    <w:rsid w:val="00B0496B"/>
    <w:rsid w:val="00B04A48"/>
    <w:rsid w:val="00B04C18"/>
    <w:rsid w:val="00B07E81"/>
    <w:rsid w:val="00B1046D"/>
    <w:rsid w:val="00B10F3E"/>
    <w:rsid w:val="00B11980"/>
    <w:rsid w:val="00B12543"/>
    <w:rsid w:val="00B12AB7"/>
    <w:rsid w:val="00B1308E"/>
    <w:rsid w:val="00B13D98"/>
    <w:rsid w:val="00B14138"/>
    <w:rsid w:val="00B15747"/>
    <w:rsid w:val="00B16041"/>
    <w:rsid w:val="00B232A2"/>
    <w:rsid w:val="00B2389C"/>
    <w:rsid w:val="00B2657A"/>
    <w:rsid w:val="00B27786"/>
    <w:rsid w:val="00B30CB7"/>
    <w:rsid w:val="00B315A9"/>
    <w:rsid w:val="00B316A2"/>
    <w:rsid w:val="00B32DBD"/>
    <w:rsid w:val="00B35350"/>
    <w:rsid w:val="00B40030"/>
    <w:rsid w:val="00B40070"/>
    <w:rsid w:val="00B41FF0"/>
    <w:rsid w:val="00B423F5"/>
    <w:rsid w:val="00B434DF"/>
    <w:rsid w:val="00B4525F"/>
    <w:rsid w:val="00B455CE"/>
    <w:rsid w:val="00B45C56"/>
    <w:rsid w:val="00B5036A"/>
    <w:rsid w:val="00B50622"/>
    <w:rsid w:val="00B50D99"/>
    <w:rsid w:val="00B511AA"/>
    <w:rsid w:val="00B5138F"/>
    <w:rsid w:val="00B5357A"/>
    <w:rsid w:val="00B53F5F"/>
    <w:rsid w:val="00B543DD"/>
    <w:rsid w:val="00B543E5"/>
    <w:rsid w:val="00B55DA1"/>
    <w:rsid w:val="00B57BCE"/>
    <w:rsid w:val="00B608CD"/>
    <w:rsid w:val="00B60A1C"/>
    <w:rsid w:val="00B61273"/>
    <w:rsid w:val="00B613B9"/>
    <w:rsid w:val="00B61AB7"/>
    <w:rsid w:val="00B623FD"/>
    <w:rsid w:val="00B62BF6"/>
    <w:rsid w:val="00B62DD3"/>
    <w:rsid w:val="00B644CB"/>
    <w:rsid w:val="00B644CD"/>
    <w:rsid w:val="00B64D26"/>
    <w:rsid w:val="00B65902"/>
    <w:rsid w:val="00B65D4E"/>
    <w:rsid w:val="00B7090D"/>
    <w:rsid w:val="00B710D6"/>
    <w:rsid w:val="00B71A46"/>
    <w:rsid w:val="00B72CC1"/>
    <w:rsid w:val="00B72DA5"/>
    <w:rsid w:val="00B72DC4"/>
    <w:rsid w:val="00B731F9"/>
    <w:rsid w:val="00B759CA"/>
    <w:rsid w:val="00B766DF"/>
    <w:rsid w:val="00B76B2C"/>
    <w:rsid w:val="00B772A3"/>
    <w:rsid w:val="00B77816"/>
    <w:rsid w:val="00B83BD5"/>
    <w:rsid w:val="00B86723"/>
    <w:rsid w:val="00B91390"/>
    <w:rsid w:val="00B924FF"/>
    <w:rsid w:val="00B93313"/>
    <w:rsid w:val="00B93A53"/>
    <w:rsid w:val="00B945B4"/>
    <w:rsid w:val="00B9566F"/>
    <w:rsid w:val="00B96A4F"/>
    <w:rsid w:val="00B978CF"/>
    <w:rsid w:val="00BA00DB"/>
    <w:rsid w:val="00BA00F3"/>
    <w:rsid w:val="00BA0BA3"/>
    <w:rsid w:val="00BA1008"/>
    <w:rsid w:val="00BA1F3B"/>
    <w:rsid w:val="00BA22F5"/>
    <w:rsid w:val="00BA32BA"/>
    <w:rsid w:val="00BA4E57"/>
    <w:rsid w:val="00BA6476"/>
    <w:rsid w:val="00BA78E5"/>
    <w:rsid w:val="00BA7D63"/>
    <w:rsid w:val="00BB05AA"/>
    <w:rsid w:val="00BB0DAE"/>
    <w:rsid w:val="00BB161C"/>
    <w:rsid w:val="00BB44A7"/>
    <w:rsid w:val="00BB47AF"/>
    <w:rsid w:val="00BB60FE"/>
    <w:rsid w:val="00BB6336"/>
    <w:rsid w:val="00BB7115"/>
    <w:rsid w:val="00BB7263"/>
    <w:rsid w:val="00BB7DF9"/>
    <w:rsid w:val="00BC252A"/>
    <w:rsid w:val="00BC49CF"/>
    <w:rsid w:val="00BC7A29"/>
    <w:rsid w:val="00BD1E0B"/>
    <w:rsid w:val="00BD598A"/>
    <w:rsid w:val="00BD5ADA"/>
    <w:rsid w:val="00BD6092"/>
    <w:rsid w:val="00BD61CB"/>
    <w:rsid w:val="00BD6B38"/>
    <w:rsid w:val="00BE072A"/>
    <w:rsid w:val="00BE097F"/>
    <w:rsid w:val="00BE1817"/>
    <w:rsid w:val="00BE1E6F"/>
    <w:rsid w:val="00BE2A6F"/>
    <w:rsid w:val="00BE3959"/>
    <w:rsid w:val="00BE3975"/>
    <w:rsid w:val="00BE3D29"/>
    <w:rsid w:val="00BE6F4F"/>
    <w:rsid w:val="00BF0918"/>
    <w:rsid w:val="00BF2250"/>
    <w:rsid w:val="00BF243C"/>
    <w:rsid w:val="00BF2499"/>
    <w:rsid w:val="00BF3756"/>
    <w:rsid w:val="00BF3A02"/>
    <w:rsid w:val="00BF70B5"/>
    <w:rsid w:val="00BF7608"/>
    <w:rsid w:val="00BF7A69"/>
    <w:rsid w:val="00BF7E50"/>
    <w:rsid w:val="00C00759"/>
    <w:rsid w:val="00C00D59"/>
    <w:rsid w:val="00C01214"/>
    <w:rsid w:val="00C01BAD"/>
    <w:rsid w:val="00C06241"/>
    <w:rsid w:val="00C06886"/>
    <w:rsid w:val="00C06A1B"/>
    <w:rsid w:val="00C071AA"/>
    <w:rsid w:val="00C076AD"/>
    <w:rsid w:val="00C07779"/>
    <w:rsid w:val="00C1005D"/>
    <w:rsid w:val="00C1034B"/>
    <w:rsid w:val="00C10E4C"/>
    <w:rsid w:val="00C113EB"/>
    <w:rsid w:val="00C115F7"/>
    <w:rsid w:val="00C11E3F"/>
    <w:rsid w:val="00C11F89"/>
    <w:rsid w:val="00C13593"/>
    <w:rsid w:val="00C14449"/>
    <w:rsid w:val="00C20841"/>
    <w:rsid w:val="00C22C04"/>
    <w:rsid w:val="00C239F9"/>
    <w:rsid w:val="00C23D80"/>
    <w:rsid w:val="00C24FB1"/>
    <w:rsid w:val="00C25AB8"/>
    <w:rsid w:val="00C25E55"/>
    <w:rsid w:val="00C2662E"/>
    <w:rsid w:val="00C272C5"/>
    <w:rsid w:val="00C2763F"/>
    <w:rsid w:val="00C307E9"/>
    <w:rsid w:val="00C31026"/>
    <w:rsid w:val="00C336ED"/>
    <w:rsid w:val="00C35D31"/>
    <w:rsid w:val="00C37752"/>
    <w:rsid w:val="00C410A7"/>
    <w:rsid w:val="00C4179E"/>
    <w:rsid w:val="00C4245F"/>
    <w:rsid w:val="00C43FBE"/>
    <w:rsid w:val="00C4496F"/>
    <w:rsid w:val="00C454AD"/>
    <w:rsid w:val="00C45755"/>
    <w:rsid w:val="00C45F2D"/>
    <w:rsid w:val="00C47301"/>
    <w:rsid w:val="00C473B9"/>
    <w:rsid w:val="00C477F0"/>
    <w:rsid w:val="00C514CF"/>
    <w:rsid w:val="00C5197A"/>
    <w:rsid w:val="00C52317"/>
    <w:rsid w:val="00C537CF"/>
    <w:rsid w:val="00C5689D"/>
    <w:rsid w:val="00C57FDF"/>
    <w:rsid w:val="00C60E90"/>
    <w:rsid w:val="00C61445"/>
    <w:rsid w:val="00C63E7E"/>
    <w:rsid w:val="00C6492E"/>
    <w:rsid w:val="00C66E3C"/>
    <w:rsid w:val="00C67FBC"/>
    <w:rsid w:val="00C70516"/>
    <w:rsid w:val="00C72BFE"/>
    <w:rsid w:val="00C73976"/>
    <w:rsid w:val="00C73B52"/>
    <w:rsid w:val="00C74DCC"/>
    <w:rsid w:val="00C750CD"/>
    <w:rsid w:val="00C755B7"/>
    <w:rsid w:val="00C757B0"/>
    <w:rsid w:val="00C75C49"/>
    <w:rsid w:val="00C77AB2"/>
    <w:rsid w:val="00C81249"/>
    <w:rsid w:val="00C81AC3"/>
    <w:rsid w:val="00C81CC5"/>
    <w:rsid w:val="00C824F6"/>
    <w:rsid w:val="00C8332A"/>
    <w:rsid w:val="00C8511F"/>
    <w:rsid w:val="00C8591D"/>
    <w:rsid w:val="00C85D75"/>
    <w:rsid w:val="00C90624"/>
    <w:rsid w:val="00C90C41"/>
    <w:rsid w:val="00C91056"/>
    <w:rsid w:val="00C916D9"/>
    <w:rsid w:val="00C92C72"/>
    <w:rsid w:val="00C93732"/>
    <w:rsid w:val="00C94285"/>
    <w:rsid w:val="00C94320"/>
    <w:rsid w:val="00C946F6"/>
    <w:rsid w:val="00C954A6"/>
    <w:rsid w:val="00C95623"/>
    <w:rsid w:val="00C9633B"/>
    <w:rsid w:val="00C96410"/>
    <w:rsid w:val="00C9677B"/>
    <w:rsid w:val="00CA002E"/>
    <w:rsid w:val="00CA3D1D"/>
    <w:rsid w:val="00CA4419"/>
    <w:rsid w:val="00CA55C7"/>
    <w:rsid w:val="00CA661B"/>
    <w:rsid w:val="00CA6638"/>
    <w:rsid w:val="00CB0113"/>
    <w:rsid w:val="00CB1F8E"/>
    <w:rsid w:val="00CB272E"/>
    <w:rsid w:val="00CB3FBB"/>
    <w:rsid w:val="00CB58D3"/>
    <w:rsid w:val="00CB5D9E"/>
    <w:rsid w:val="00CB6470"/>
    <w:rsid w:val="00CB6E00"/>
    <w:rsid w:val="00CB78F8"/>
    <w:rsid w:val="00CB7F78"/>
    <w:rsid w:val="00CC0FD0"/>
    <w:rsid w:val="00CC3486"/>
    <w:rsid w:val="00CC4A76"/>
    <w:rsid w:val="00CC5248"/>
    <w:rsid w:val="00CC684D"/>
    <w:rsid w:val="00CC6CA2"/>
    <w:rsid w:val="00CD065F"/>
    <w:rsid w:val="00CD1029"/>
    <w:rsid w:val="00CD1DCF"/>
    <w:rsid w:val="00CD2B28"/>
    <w:rsid w:val="00CD3AA3"/>
    <w:rsid w:val="00CD4635"/>
    <w:rsid w:val="00CD5042"/>
    <w:rsid w:val="00CD526E"/>
    <w:rsid w:val="00CD799C"/>
    <w:rsid w:val="00CE011B"/>
    <w:rsid w:val="00CE0A33"/>
    <w:rsid w:val="00CE160E"/>
    <w:rsid w:val="00CE1CEE"/>
    <w:rsid w:val="00CE3A5A"/>
    <w:rsid w:val="00CE4558"/>
    <w:rsid w:val="00CE48B4"/>
    <w:rsid w:val="00CE5655"/>
    <w:rsid w:val="00CE6427"/>
    <w:rsid w:val="00CF003B"/>
    <w:rsid w:val="00CF0209"/>
    <w:rsid w:val="00CF1801"/>
    <w:rsid w:val="00CF1A2E"/>
    <w:rsid w:val="00CF1D25"/>
    <w:rsid w:val="00CF2811"/>
    <w:rsid w:val="00CF41B8"/>
    <w:rsid w:val="00CF5327"/>
    <w:rsid w:val="00CF6578"/>
    <w:rsid w:val="00CF6B21"/>
    <w:rsid w:val="00CF7BEC"/>
    <w:rsid w:val="00D01DBE"/>
    <w:rsid w:val="00D02B88"/>
    <w:rsid w:val="00D02EEA"/>
    <w:rsid w:val="00D05F34"/>
    <w:rsid w:val="00D06183"/>
    <w:rsid w:val="00D06498"/>
    <w:rsid w:val="00D07944"/>
    <w:rsid w:val="00D10D33"/>
    <w:rsid w:val="00D10ECD"/>
    <w:rsid w:val="00D11D3B"/>
    <w:rsid w:val="00D1275F"/>
    <w:rsid w:val="00D12A7A"/>
    <w:rsid w:val="00D148CA"/>
    <w:rsid w:val="00D15570"/>
    <w:rsid w:val="00D15B3B"/>
    <w:rsid w:val="00D20849"/>
    <w:rsid w:val="00D232F8"/>
    <w:rsid w:val="00D2495E"/>
    <w:rsid w:val="00D251D7"/>
    <w:rsid w:val="00D25863"/>
    <w:rsid w:val="00D31749"/>
    <w:rsid w:val="00D31D2F"/>
    <w:rsid w:val="00D32231"/>
    <w:rsid w:val="00D323CD"/>
    <w:rsid w:val="00D33AFE"/>
    <w:rsid w:val="00D3592B"/>
    <w:rsid w:val="00D363C2"/>
    <w:rsid w:val="00D37B5B"/>
    <w:rsid w:val="00D41FEF"/>
    <w:rsid w:val="00D43743"/>
    <w:rsid w:val="00D46597"/>
    <w:rsid w:val="00D46DDB"/>
    <w:rsid w:val="00D50328"/>
    <w:rsid w:val="00D5233A"/>
    <w:rsid w:val="00D5593B"/>
    <w:rsid w:val="00D55F87"/>
    <w:rsid w:val="00D56513"/>
    <w:rsid w:val="00D566C2"/>
    <w:rsid w:val="00D5677B"/>
    <w:rsid w:val="00D56BAC"/>
    <w:rsid w:val="00D57FC6"/>
    <w:rsid w:val="00D606A0"/>
    <w:rsid w:val="00D60E93"/>
    <w:rsid w:val="00D655D3"/>
    <w:rsid w:val="00D706AC"/>
    <w:rsid w:val="00D7150C"/>
    <w:rsid w:val="00D74ABA"/>
    <w:rsid w:val="00D75D7B"/>
    <w:rsid w:val="00D75E5E"/>
    <w:rsid w:val="00D771EE"/>
    <w:rsid w:val="00D772C2"/>
    <w:rsid w:val="00D80103"/>
    <w:rsid w:val="00D812DF"/>
    <w:rsid w:val="00D82633"/>
    <w:rsid w:val="00D83213"/>
    <w:rsid w:val="00D835C3"/>
    <w:rsid w:val="00D84A86"/>
    <w:rsid w:val="00D91B8A"/>
    <w:rsid w:val="00D91EEF"/>
    <w:rsid w:val="00D93764"/>
    <w:rsid w:val="00D93A9C"/>
    <w:rsid w:val="00D93B4D"/>
    <w:rsid w:val="00D95B95"/>
    <w:rsid w:val="00D95FB1"/>
    <w:rsid w:val="00D97319"/>
    <w:rsid w:val="00DA2656"/>
    <w:rsid w:val="00DA2E34"/>
    <w:rsid w:val="00DA4357"/>
    <w:rsid w:val="00DA4C78"/>
    <w:rsid w:val="00DA4FD4"/>
    <w:rsid w:val="00DA5E68"/>
    <w:rsid w:val="00DA74C8"/>
    <w:rsid w:val="00DA793D"/>
    <w:rsid w:val="00DB162F"/>
    <w:rsid w:val="00DB5255"/>
    <w:rsid w:val="00DB5681"/>
    <w:rsid w:val="00DB5CE1"/>
    <w:rsid w:val="00DB6BE9"/>
    <w:rsid w:val="00DC2ECA"/>
    <w:rsid w:val="00DC39D2"/>
    <w:rsid w:val="00DC3BF5"/>
    <w:rsid w:val="00DC5BC8"/>
    <w:rsid w:val="00DC708D"/>
    <w:rsid w:val="00DC78F2"/>
    <w:rsid w:val="00DD0D5D"/>
    <w:rsid w:val="00DD1459"/>
    <w:rsid w:val="00DD33DE"/>
    <w:rsid w:val="00DD428F"/>
    <w:rsid w:val="00DD433E"/>
    <w:rsid w:val="00DD479F"/>
    <w:rsid w:val="00DD50B8"/>
    <w:rsid w:val="00DD593E"/>
    <w:rsid w:val="00DE0D50"/>
    <w:rsid w:val="00DE0E3E"/>
    <w:rsid w:val="00DE3826"/>
    <w:rsid w:val="00DE3DFC"/>
    <w:rsid w:val="00DE3EF1"/>
    <w:rsid w:val="00DE51B2"/>
    <w:rsid w:val="00DE54FA"/>
    <w:rsid w:val="00DE74A8"/>
    <w:rsid w:val="00DE7786"/>
    <w:rsid w:val="00DF01BF"/>
    <w:rsid w:val="00DF1D68"/>
    <w:rsid w:val="00DF2BE2"/>
    <w:rsid w:val="00DF3350"/>
    <w:rsid w:val="00E002CA"/>
    <w:rsid w:val="00E00FAE"/>
    <w:rsid w:val="00E02614"/>
    <w:rsid w:val="00E0413B"/>
    <w:rsid w:val="00E04CCC"/>
    <w:rsid w:val="00E10158"/>
    <w:rsid w:val="00E10FA0"/>
    <w:rsid w:val="00E11B0E"/>
    <w:rsid w:val="00E12112"/>
    <w:rsid w:val="00E1249E"/>
    <w:rsid w:val="00E129FF"/>
    <w:rsid w:val="00E13268"/>
    <w:rsid w:val="00E1482E"/>
    <w:rsid w:val="00E177B7"/>
    <w:rsid w:val="00E22F9B"/>
    <w:rsid w:val="00E231A4"/>
    <w:rsid w:val="00E268C4"/>
    <w:rsid w:val="00E26C24"/>
    <w:rsid w:val="00E273A4"/>
    <w:rsid w:val="00E27619"/>
    <w:rsid w:val="00E323F7"/>
    <w:rsid w:val="00E32454"/>
    <w:rsid w:val="00E343C9"/>
    <w:rsid w:val="00E35601"/>
    <w:rsid w:val="00E37352"/>
    <w:rsid w:val="00E425A7"/>
    <w:rsid w:val="00E42CCF"/>
    <w:rsid w:val="00E44190"/>
    <w:rsid w:val="00E4513E"/>
    <w:rsid w:val="00E45A8A"/>
    <w:rsid w:val="00E46481"/>
    <w:rsid w:val="00E46D45"/>
    <w:rsid w:val="00E52237"/>
    <w:rsid w:val="00E54ED2"/>
    <w:rsid w:val="00E5590F"/>
    <w:rsid w:val="00E55D87"/>
    <w:rsid w:val="00E56B28"/>
    <w:rsid w:val="00E570C5"/>
    <w:rsid w:val="00E63608"/>
    <w:rsid w:val="00E638DB"/>
    <w:rsid w:val="00E64EED"/>
    <w:rsid w:val="00E65D87"/>
    <w:rsid w:val="00E67CC9"/>
    <w:rsid w:val="00E67F35"/>
    <w:rsid w:val="00E7232D"/>
    <w:rsid w:val="00E74445"/>
    <w:rsid w:val="00E77881"/>
    <w:rsid w:val="00E821FA"/>
    <w:rsid w:val="00E830A0"/>
    <w:rsid w:val="00E8460B"/>
    <w:rsid w:val="00E85E47"/>
    <w:rsid w:val="00E86600"/>
    <w:rsid w:val="00E911B2"/>
    <w:rsid w:val="00E92045"/>
    <w:rsid w:val="00E9382C"/>
    <w:rsid w:val="00E956B2"/>
    <w:rsid w:val="00E977A0"/>
    <w:rsid w:val="00EA0EA2"/>
    <w:rsid w:val="00EA1065"/>
    <w:rsid w:val="00EA3640"/>
    <w:rsid w:val="00EA433D"/>
    <w:rsid w:val="00EA5486"/>
    <w:rsid w:val="00EA7AA9"/>
    <w:rsid w:val="00EA7CEF"/>
    <w:rsid w:val="00EB2224"/>
    <w:rsid w:val="00EB2BBB"/>
    <w:rsid w:val="00EB2C65"/>
    <w:rsid w:val="00EB3B68"/>
    <w:rsid w:val="00EB5748"/>
    <w:rsid w:val="00EB6977"/>
    <w:rsid w:val="00EC1F8C"/>
    <w:rsid w:val="00EC21AF"/>
    <w:rsid w:val="00EC2FFE"/>
    <w:rsid w:val="00EC56D3"/>
    <w:rsid w:val="00ED0FB6"/>
    <w:rsid w:val="00ED206E"/>
    <w:rsid w:val="00ED2C3A"/>
    <w:rsid w:val="00ED2D2F"/>
    <w:rsid w:val="00ED2DBA"/>
    <w:rsid w:val="00ED3219"/>
    <w:rsid w:val="00ED4EDB"/>
    <w:rsid w:val="00ED527E"/>
    <w:rsid w:val="00ED62B3"/>
    <w:rsid w:val="00ED66A8"/>
    <w:rsid w:val="00EE2F76"/>
    <w:rsid w:val="00EE5B2E"/>
    <w:rsid w:val="00EE7598"/>
    <w:rsid w:val="00EF0F3C"/>
    <w:rsid w:val="00EF25E1"/>
    <w:rsid w:val="00EF30B5"/>
    <w:rsid w:val="00EF33BF"/>
    <w:rsid w:val="00EF3A55"/>
    <w:rsid w:val="00EF3B9D"/>
    <w:rsid w:val="00EF5053"/>
    <w:rsid w:val="00EF5C12"/>
    <w:rsid w:val="00EF5F93"/>
    <w:rsid w:val="00EF723D"/>
    <w:rsid w:val="00F00192"/>
    <w:rsid w:val="00F02CC2"/>
    <w:rsid w:val="00F03286"/>
    <w:rsid w:val="00F05B2C"/>
    <w:rsid w:val="00F05CE3"/>
    <w:rsid w:val="00F06A62"/>
    <w:rsid w:val="00F072BD"/>
    <w:rsid w:val="00F1216E"/>
    <w:rsid w:val="00F1611A"/>
    <w:rsid w:val="00F16617"/>
    <w:rsid w:val="00F22124"/>
    <w:rsid w:val="00F2221C"/>
    <w:rsid w:val="00F23EE2"/>
    <w:rsid w:val="00F24229"/>
    <w:rsid w:val="00F263A0"/>
    <w:rsid w:val="00F26C34"/>
    <w:rsid w:val="00F328EB"/>
    <w:rsid w:val="00F333FD"/>
    <w:rsid w:val="00F33A40"/>
    <w:rsid w:val="00F34E89"/>
    <w:rsid w:val="00F35609"/>
    <w:rsid w:val="00F40F9E"/>
    <w:rsid w:val="00F411D7"/>
    <w:rsid w:val="00F45E53"/>
    <w:rsid w:val="00F45FC9"/>
    <w:rsid w:val="00F46E1D"/>
    <w:rsid w:val="00F47279"/>
    <w:rsid w:val="00F51491"/>
    <w:rsid w:val="00F53B74"/>
    <w:rsid w:val="00F54999"/>
    <w:rsid w:val="00F549A4"/>
    <w:rsid w:val="00F55419"/>
    <w:rsid w:val="00F55E29"/>
    <w:rsid w:val="00F55F68"/>
    <w:rsid w:val="00F565AB"/>
    <w:rsid w:val="00F57237"/>
    <w:rsid w:val="00F6030F"/>
    <w:rsid w:val="00F6134D"/>
    <w:rsid w:val="00F6311C"/>
    <w:rsid w:val="00F644D4"/>
    <w:rsid w:val="00F6508E"/>
    <w:rsid w:val="00F6594F"/>
    <w:rsid w:val="00F673D2"/>
    <w:rsid w:val="00F708C6"/>
    <w:rsid w:val="00F713E1"/>
    <w:rsid w:val="00F717FB"/>
    <w:rsid w:val="00F72239"/>
    <w:rsid w:val="00F7354A"/>
    <w:rsid w:val="00F75F57"/>
    <w:rsid w:val="00F81E64"/>
    <w:rsid w:val="00F81FE6"/>
    <w:rsid w:val="00F84076"/>
    <w:rsid w:val="00F8488D"/>
    <w:rsid w:val="00F851BA"/>
    <w:rsid w:val="00F85401"/>
    <w:rsid w:val="00F8680F"/>
    <w:rsid w:val="00F917D8"/>
    <w:rsid w:val="00F93EFD"/>
    <w:rsid w:val="00F95B5C"/>
    <w:rsid w:val="00F9619A"/>
    <w:rsid w:val="00FA1478"/>
    <w:rsid w:val="00FA1494"/>
    <w:rsid w:val="00FA3A5D"/>
    <w:rsid w:val="00FA6C71"/>
    <w:rsid w:val="00FB1ED1"/>
    <w:rsid w:val="00FB266D"/>
    <w:rsid w:val="00FB6843"/>
    <w:rsid w:val="00FB741B"/>
    <w:rsid w:val="00FC0A9F"/>
    <w:rsid w:val="00FC1B67"/>
    <w:rsid w:val="00FC28CE"/>
    <w:rsid w:val="00FC34A5"/>
    <w:rsid w:val="00FC57CB"/>
    <w:rsid w:val="00FC5949"/>
    <w:rsid w:val="00FC6E1C"/>
    <w:rsid w:val="00FD03EE"/>
    <w:rsid w:val="00FD112F"/>
    <w:rsid w:val="00FD1D9A"/>
    <w:rsid w:val="00FD1DF0"/>
    <w:rsid w:val="00FD3B20"/>
    <w:rsid w:val="00FD6B7B"/>
    <w:rsid w:val="00FE001E"/>
    <w:rsid w:val="00FE1AFC"/>
    <w:rsid w:val="00FE34F5"/>
    <w:rsid w:val="00FE38D9"/>
    <w:rsid w:val="00FE3B38"/>
    <w:rsid w:val="00FE3B76"/>
    <w:rsid w:val="00FE429C"/>
    <w:rsid w:val="00FE4F89"/>
    <w:rsid w:val="00FF2731"/>
    <w:rsid w:val="00FF4F37"/>
    <w:rsid w:val="00FF711D"/>
    <w:rsid w:val="00FF7F65"/>
    <w:rsid w:val="02F1A33F"/>
    <w:rsid w:val="04DE127C"/>
    <w:rsid w:val="07C8AD3D"/>
    <w:rsid w:val="0E7691E1"/>
    <w:rsid w:val="1E99A35F"/>
    <w:rsid w:val="1EF38EB0"/>
    <w:rsid w:val="1F969191"/>
    <w:rsid w:val="22EF8E35"/>
    <w:rsid w:val="26EC1471"/>
    <w:rsid w:val="28D202C1"/>
    <w:rsid w:val="2A2D2B1E"/>
    <w:rsid w:val="2FEB5DDC"/>
    <w:rsid w:val="33902E09"/>
    <w:rsid w:val="358A22FF"/>
    <w:rsid w:val="38030161"/>
    <w:rsid w:val="38AA20D8"/>
    <w:rsid w:val="3A7770C4"/>
    <w:rsid w:val="3AF53F54"/>
    <w:rsid w:val="3D3A0EA7"/>
    <w:rsid w:val="3DC17D0D"/>
    <w:rsid w:val="42477468"/>
    <w:rsid w:val="43C6B877"/>
    <w:rsid w:val="46D59D08"/>
    <w:rsid w:val="46DC9B0A"/>
    <w:rsid w:val="4C00FCD4"/>
    <w:rsid w:val="53573A89"/>
    <w:rsid w:val="5369DA11"/>
    <w:rsid w:val="56A14EA0"/>
    <w:rsid w:val="5BD7D82F"/>
    <w:rsid w:val="6E73C59B"/>
    <w:rsid w:val="71DA7AAF"/>
    <w:rsid w:val="77223317"/>
    <w:rsid w:val="7934B984"/>
    <w:rsid w:val="7A978974"/>
    <w:rsid w:val="7B2572AA"/>
    <w:rsid w:val="7CD32FDF"/>
    <w:rsid w:val="7DB2B1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EC1CEFD-9F29-4473-A13A-A71514A1C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UnresolvedMention">
    <w:name w:val="Unresolved Mention"/>
    <w:basedOn w:val="DefaultParagraphFont"/>
    <w:uiPriority w:val="99"/>
    <w:semiHidden/>
    <w:unhideWhenUsed/>
    <w:rsid w:val="0087241A"/>
    <w:rPr>
      <w:color w:val="605E5C"/>
      <w:shd w:val="clear" w:color="auto" w:fill="E1DFDD"/>
    </w:rPr>
  </w:style>
  <w:style w:type="character" w:styleId="FollowedHyperlink">
    <w:name w:val="FollowedHyperlink"/>
    <w:basedOn w:val="DefaultParagraphFont"/>
    <w:uiPriority w:val="99"/>
    <w:semiHidden/>
    <w:unhideWhenUsed/>
    <w:rsid w:val="00C537CF"/>
    <w:rPr>
      <w:color w:val="800080" w:themeColor="followedHyperlink"/>
      <w:u w:val="single"/>
    </w:rPr>
  </w:style>
  <w:style w:type="character" w:customStyle="1" w:styleId="HeaderChar">
    <w:name w:val="Header Char"/>
    <w:basedOn w:val="DefaultParagraphFont"/>
    <w:link w:val="Header"/>
    <w:uiPriority w:val="99"/>
    <w:rsid w:val="00A00291"/>
    <w:rPr>
      <w:rFonts w:ascii="Times New Roman" w:hAnsi="Times New Roman" w:cs="Times New Roman"/>
      <w:sz w:val="24"/>
      <w:lang w:val="ro-RO"/>
    </w:rPr>
  </w:style>
  <w:style w:type="character" w:customStyle="1" w:styleId="FooterChar">
    <w:name w:val="Footer Char"/>
    <w:basedOn w:val="DefaultParagraphFont"/>
    <w:link w:val="Footer"/>
    <w:uiPriority w:val="99"/>
    <w:rsid w:val="00A0029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0029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00291"/>
    <w:pPr>
      <w:spacing w:before="0"/>
      <w:jc w:val="right"/>
    </w:pPr>
    <w:rPr>
      <w:sz w:val="28"/>
    </w:rPr>
  </w:style>
  <w:style w:type="paragraph" w:customStyle="1" w:styleId="FooterSensitivity">
    <w:name w:val="Footer Sensitivity"/>
    <w:basedOn w:val="Normal"/>
    <w:rsid w:val="00A0029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00291"/>
    <w:pPr>
      <w:tabs>
        <w:tab w:val="center" w:pos="4535"/>
        <w:tab w:val="right" w:pos="9071"/>
      </w:tabs>
      <w:spacing w:before="0"/>
    </w:pPr>
  </w:style>
  <w:style w:type="paragraph" w:customStyle="1" w:styleId="HeaderLandscape">
    <w:name w:val="HeaderLandscape"/>
    <w:basedOn w:val="Normal"/>
    <w:rsid w:val="00A00291"/>
    <w:pPr>
      <w:tabs>
        <w:tab w:val="center" w:pos="7285"/>
        <w:tab w:val="right" w:pos="14003"/>
      </w:tabs>
      <w:spacing w:before="0"/>
    </w:pPr>
  </w:style>
  <w:style w:type="paragraph" w:styleId="Footer">
    <w:name w:val="footer"/>
    <w:basedOn w:val="Normal"/>
    <w:link w:val="FooterChar"/>
    <w:uiPriority w:val="99"/>
    <w:unhideWhenUsed/>
    <w:rsid w:val="00A0029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0029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187448989">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301814932">
      <w:bodyDiv w:val="1"/>
      <w:marLeft w:val="0"/>
      <w:marRight w:val="0"/>
      <w:marTop w:val="0"/>
      <w:marBottom w:val="0"/>
      <w:divBdr>
        <w:top w:val="none" w:sz="0" w:space="0" w:color="auto"/>
        <w:left w:val="none" w:sz="0" w:space="0" w:color="auto"/>
        <w:bottom w:val="none" w:sz="0" w:space="0" w:color="auto"/>
        <w:right w:val="none" w:sz="0" w:space="0" w:color="auto"/>
      </w:divBdr>
    </w:div>
    <w:div w:id="408038523">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595672666">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09499234">
      <w:bodyDiv w:val="1"/>
      <w:marLeft w:val="0"/>
      <w:marRight w:val="0"/>
      <w:marTop w:val="0"/>
      <w:marBottom w:val="0"/>
      <w:divBdr>
        <w:top w:val="none" w:sz="0" w:space="0" w:color="auto"/>
        <w:left w:val="none" w:sz="0" w:space="0" w:color="auto"/>
        <w:bottom w:val="none" w:sz="0" w:space="0" w:color="auto"/>
        <w:right w:val="none" w:sz="0" w:space="0" w:color="auto"/>
      </w:divBdr>
    </w:div>
    <w:div w:id="876894166">
      <w:bodyDiv w:val="1"/>
      <w:marLeft w:val="0"/>
      <w:marRight w:val="0"/>
      <w:marTop w:val="0"/>
      <w:marBottom w:val="0"/>
      <w:divBdr>
        <w:top w:val="none" w:sz="0" w:space="0" w:color="auto"/>
        <w:left w:val="none" w:sz="0" w:space="0" w:color="auto"/>
        <w:bottom w:val="none" w:sz="0" w:space="0" w:color="auto"/>
        <w:right w:val="none" w:sz="0" w:space="0" w:color="auto"/>
      </w:divBdr>
    </w:div>
    <w:div w:id="1023439183">
      <w:bodyDiv w:val="1"/>
      <w:marLeft w:val="0"/>
      <w:marRight w:val="0"/>
      <w:marTop w:val="0"/>
      <w:marBottom w:val="0"/>
      <w:divBdr>
        <w:top w:val="none" w:sz="0" w:space="0" w:color="auto"/>
        <w:left w:val="none" w:sz="0" w:space="0" w:color="auto"/>
        <w:bottom w:val="none" w:sz="0" w:space="0" w:color="auto"/>
        <w:right w:val="none" w:sz="0" w:space="0" w:color="auto"/>
      </w:divBdr>
    </w:div>
    <w:div w:id="1081175069">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34043220">
      <w:bodyDiv w:val="1"/>
      <w:marLeft w:val="0"/>
      <w:marRight w:val="0"/>
      <w:marTop w:val="0"/>
      <w:marBottom w:val="0"/>
      <w:divBdr>
        <w:top w:val="none" w:sz="0" w:space="0" w:color="auto"/>
        <w:left w:val="none" w:sz="0" w:space="0" w:color="auto"/>
        <w:bottom w:val="none" w:sz="0" w:space="0" w:color="auto"/>
        <w:right w:val="none" w:sz="0" w:space="0" w:color="auto"/>
      </w:divBdr>
    </w:div>
    <w:div w:id="1240560788">
      <w:bodyDiv w:val="1"/>
      <w:marLeft w:val="0"/>
      <w:marRight w:val="0"/>
      <w:marTop w:val="0"/>
      <w:marBottom w:val="0"/>
      <w:divBdr>
        <w:top w:val="none" w:sz="0" w:space="0" w:color="auto"/>
        <w:left w:val="none" w:sz="0" w:space="0" w:color="auto"/>
        <w:bottom w:val="none" w:sz="0" w:space="0" w:color="auto"/>
        <w:right w:val="none" w:sz="0" w:space="0" w:color="auto"/>
      </w:divBdr>
    </w:div>
    <w:div w:id="1277369188">
      <w:bodyDiv w:val="1"/>
      <w:marLeft w:val="0"/>
      <w:marRight w:val="0"/>
      <w:marTop w:val="0"/>
      <w:marBottom w:val="0"/>
      <w:divBdr>
        <w:top w:val="none" w:sz="0" w:space="0" w:color="auto"/>
        <w:left w:val="none" w:sz="0" w:space="0" w:color="auto"/>
        <w:bottom w:val="none" w:sz="0" w:space="0" w:color="auto"/>
        <w:right w:val="none" w:sz="0" w:space="0" w:color="auto"/>
      </w:divBdr>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418288138">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658074520">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201949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ro/documents/public-register/" TargetMode="External"/><Relationship Id="rId2" Type="http://schemas.openxmlformats.org/officeDocument/2006/relationships/hyperlink" Target="https://www.consilium.europa.eu/ro/documents/public-register/" TargetMode="External"/><Relationship Id="rId1" Type="http://schemas.openxmlformats.org/officeDocument/2006/relationships/hyperlink" Target="http://data.europa.eu/eli/reg/2021/241/oj" TargetMode="External"/><Relationship Id="rId6" Type="http://schemas.openxmlformats.org/officeDocument/2006/relationships/hyperlink" Target="https://eur-lex.europa.eu/eli/reg/2021/1755/oj" TargetMode="External"/><Relationship Id="rId5" Type="http://schemas.openxmlformats.org/officeDocument/2006/relationships/hyperlink" Target="https://www.consilium.europa.eu/ro/documents/public-register/" TargetMode="External"/><Relationship Id="rId4" Type="http://schemas.openxmlformats.org/officeDocument/2006/relationships/hyperlink" Target="https://www.consilium.europa.eu/ro/documents/public-reg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3badf8acb6811c4add4d7cef0aef0009">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8edf0672945256296a107f17328a9f2d"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bdc6873-d347-4a89-81e2-e19ecf30f20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FBB7E-FBCC-41CE-9E1C-28F8C2A82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openxmlformats.org/package/2006/metadata/core-properties"/>
    <ds:schemaRef ds:uri="e6c3bc29-9e11-4027-900b-c73633d7928a"/>
    <ds:schemaRef ds:uri="http://purl.org/dc/elements/1.1/"/>
    <ds:schemaRef ds:uri="http://purl.org/dc/dcmitype/"/>
    <ds:schemaRef ds:uri="1700ab43-7395-48ff-866c-657c86ba7f4e"/>
    <ds:schemaRef ds:uri="http://www.w3.org/XML/1998/namespace"/>
    <ds:schemaRef ds:uri="http://schemas.microsoft.com/office/2006/documentManagement/types"/>
    <ds:schemaRef ds:uri="http://schemas.microsoft.com/office/2006/metadata/properties"/>
    <ds:schemaRef ds:uri="http://schemas.microsoft.com/sharepoint/v3"/>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143BFF27-B4C4-4E19-931E-47E7752C6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5</Pages>
  <Words>1533</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2026-04-16T11:34:00Z</dcterms:created>
  <dcterms:modified xsi:type="dcterms:W3CDTF">2026-04-17T09:01:00Z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