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4FE" w:rsidRPr="00002DD5" w:rsidRDefault="004168CF" w:rsidP="004168C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A1A1ACB-1A2E-44E7-9B7F-3E6A1E8302FC" style="width:455.25pt;height:453.75pt">
            <v:imagedata r:id="rId11" o:title=""/>
          </v:shape>
        </w:pict>
      </w:r>
    </w:p>
    <w:p w:rsidR="007024FE" w:rsidRPr="00002DD5" w:rsidRDefault="007024FE" w:rsidP="007024FE">
      <w:pPr>
        <w:rPr>
          <w:noProof/>
        </w:rPr>
        <w:sectPr w:rsidR="007024FE" w:rsidRPr="00002DD5" w:rsidSect="004168CF">
          <w:footerReference w:type="even" r:id="rId12"/>
          <w:footerReference w:type="default" r:id="rId13"/>
          <w:pgSz w:w="11907" w:h="16839"/>
          <w:pgMar w:top="1134" w:right="1417" w:bottom="1134" w:left="1417" w:header="709" w:footer="709" w:gutter="0"/>
          <w:pgNumType w:start="0"/>
          <w:cols w:space="720"/>
          <w:docGrid w:linePitch="360"/>
        </w:sectPr>
      </w:pPr>
    </w:p>
    <w:p w:rsidR="007024FE" w:rsidRPr="00002DD5" w:rsidRDefault="007024FE" w:rsidP="007E1523">
      <w:pPr>
        <w:pStyle w:val="Exposdesmotifstitre"/>
        <w:rPr>
          <w:noProof/>
        </w:rPr>
      </w:pPr>
      <w:bookmarkStart w:id="0" w:name="_GoBack"/>
      <w:bookmarkEnd w:id="0"/>
      <w:r w:rsidRPr="00002DD5">
        <w:rPr>
          <w:noProof/>
        </w:rPr>
        <w:lastRenderedPageBreak/>
        <w:t>EXPLANATORY MEMORANDUM</w:t>
      </w:r>
    </w:p>
    <w:p w:rsidR="007024FE" w:rsidRPr="006855FA" w:rsidRDefault="007024FE" w:rsidP="00615A2D">
      <w:pPr>
        <w:pStyle w:val="ManualNumPar1"/>
        <w:rPr>
          <w:b/>
          <w:bCs/>
          <w:smallCaps/>
          <w:noProof/>
        </w:rPr>
      </w:pPr>
      <w:r>
        <w:rPr>
          <w:noProof/>
        </w:rPr>
        <w:t>1.</w:t>
      </w:r>
      <w:r>
        <w:rPr>
          <w:noProof/>
        </w:rPr>
        <w:tab/>
      </w:r>
      <w:r w:rsidRPr="006855FA">
        <w:rPr>
          <w:b/>
          <w:bCs/>
          <w:smallCaps/>
          <w:noProof/>
        </w:rPr>
        <w:t>Subject matter of the proposal</w:t>
      </w:r>
    </w:p>
    <w:p w:rsidR="00BB78FD" w:rsidRDefault="00BB78FD" w:rsidP="00BB78FD">
      <w:pPr>
        <w:rPr>
          <w:noProof/>
        </w:rPr>
      </w:pPr>
      <w:r>
        <w:rPr>
          <w:noProof/>
        </w:rPr>
        <w:t xml:space="preserve">The Intergovernmental </w:t>
      </w:r>
      <w:r w:rsidR="00DF563E">
        <w:rPr>
          <w:noProof/>
        </w:rPr>
        <w:t>O</w:t>
      </w:r>
      <w:r>
        <w:rPr>
          <w:noProof/>
        </w:rPr>
        <w:t xml:space="preserve">rganisation for </w:t>
      </w:r>
      <w:r w:rsidR="00766A7B">
        <w:rPr>
          <w:noProof/>
        </w:rPr>
        <w:t>I</w:t>
      </w:r>
      <w:r>
        <w:rPr>
          <w:noProof/>
        </w:rPr>
        <w:t>nternational</w:t>
      </w:r>
      <w:r w:rsidR="005B0FFE">
        <w:rPr>
          <w:noProof/>
        </w:rPr>
        <w:t xml:space="preserve"> </w:t>
      </w:r>
      <w:r w:rsidR="00766A7B">
        <w:rPr>
          <w:noProof/>
        </w:rPr>
        <w:t>C</w:t>
      </w:r>
      <w:r>
        <w:rPr>
          <w:noProof/>
        </w:rPr>
        <w:t xml:space="preserve">arriage by </w:t>
      </w:r>
      <w:r w:rsidR="00766A7B">
        <w:rPr>
          <w:noProof/>
        </w:rPr>
        <w:t>R</w:t>
      </w:r>
      <w:r>
        <w:rPr>
          <w:noProof/>
        </w:rPr>
        <w:t>ail (</w:t>
      </w:r>
      <w:r w:rsidRPr="00002DD5">
        <w:rPr>
          <w:noProof/>
        </w:rPr>
        <w:t>OTIF</w:t>
      </w:r>
      <w:r>
        <w:rPr>
          <w:noProof/>
        </w:rPr>
        <w:t>)</w:t>
      </w:r>
      <w:r w:rsidRPr="00002DD5">
        <w:rPr>
          <w:noProof/>
        </w:rPr>
        <w:t xml:space="preserve"> </w:t>
      </w:r>
      <w:r w:rsidR="00B467B3" w:rsidRPr="00B467B3">
        <w:rPr>
          <w:noProof/>
        </w:rPr>
        <w:t>is an intergovernmental organisation dedicated to international rail transport.</w:t>
      </w:r>
      <w:r w:rsidR="00B467B3">
        <w:rPr>
          <w:noProof/>
        </w:rPr>
        <w:t xml:space="preserve"> It </w:t>
      </w:r>
      <w:r w:rsidRPr="00002DD5">
        <w:rPr>
          <w:noProof/>
        </w:rPr>
        <w:t>develops uniform legal regimes for international rail transport in three major areas of activity: interoperability</w:t>
      </w:r>
      <w:r w:rsidR="00AA155C">
        <w:rPr>
          <w:noProof/>
        </w:rPr>
        <w:t xml:space="preserve"> and safety</w:t>
      </w:r>
      <w:r w:rsidRPr="00002DD5">
        <w:rPr>
          <w:noProof/>
        </w:rPr>
        <w:t xml:space="preserve">, dangerous goods and railway contract law. </w:t>
      </w:r>
    </w:p>
    <w:p w:rsidR="00AA155C" w:rsidRPr="00002DD5" w:rsidRDefault="00AA155C" w:rsidP="00BB78FD">
      <w:pPr>
        <w:rPr>
          <w:noProof/>
        </w:rPr>
      </w:pPr>
      <w:r>
        <w:rPr>
          <w:noProof/>
        </w:rPr>
        <w:t>Aspects related to interoperability and safety are addressed</w:t>
      </w:r>
      <w:r w:rsidR="00652CBF">
        <w:rPr>
          <w:noProof/>
        </w:rPr>
        <w:t>, in particular,</w:t>
      </w:r>
      <w:r>
        <w:rPr>
          <w:noProof/>
        </w:rPr>
        <w:t xml:space="preserve"> </w:t>
      </w:r>
      <w:r w:rsidR="000E4699">
        <w:rPr>
          <w:noProof/>
        </w:rPr>
        <w:t xml:space="preserve">by the </w:t>
      </w:r>
      <w:r w:rsidR="000E4699">
        <w:rPr>
          <w:rFonts w:eastAsia="Arial Unicode MS"/>
          <w:noProof/>
        </w:rPr>
        <w:t xml:space="preserve">OTIF’s </w:t>
      </w:r>
      <w:r w:rsidR="000E4699" w:rsidRPr="00002DD5">
        <w:rPr>
          <w:rFonts w:eastAsia="Arial Unicode MS"/>
          <w:noProof/>
        </w:rPr>
        <w:t xml:space="preserve">Committee of </w:t>
      </w:r>
      <w:r w:rsidR="0042582B">
        <w:rPr>
          <w:rFonts w:eastAsia="Arial Unicode MS"/>
          <w:noProof/>
        </w:rPr>
        <w:t>T</w:t>
      </w:r>
      <w:r w:rsidR="000E4699" w:rsidRPr="00002DD5">
        <w:rPr>
          <w:rFonts w:eastAsia="Arial Unicode MS"/>
          <w:noProof/>
        </w:rPr>
        <w:t xml:space="preserve">echnical </w:t>
      </w:r>
      <w:r w:rsidR="0042582B">
        <w:rPr>
          <w:rFonts w:eastAsia="Arial Unicode MS"/>
          <w:noProof/>
        </w:rPr>
        <w:t>E</w:t>
      </w:r>
      <w:r w:rsidR="000E4699" w:rsidRPr="00002DD5">
        <w:rPr>
          <w:rFonts w:eastAsia="Arial Unicode MS"/>
          <w:noProof/>
        </w:rPr>
        <w:t>xperts (CTE)</w:t>
      </w:r>
      <w:r w:rsidR="000E4699">
        <w:rPr>
          <w:rFonts w:eastAsia="Arial Unicode MS"/>
          <w:noProof/>
        </w:rPr>
        <w:t>.</w:t>
      </w:r>
    </w:p>
    <w:p w:rsidR="00DB35A6" w:rsidRPr="00002DD5" w:rsidRDefault="00DB35A6" w:rsidP="009A0012">
      <w:pPr>
        <w:rPr>
          <w:rFonts w:eastAsia="Arial Unicode MS"/>
          <w:noProof/>
        </w:rPr>
      </w:pPr>
      <w:r w:rsidRPr="00002DD5">
        <w:rPr>
          <w:rFonts w:eastAsia="Arial Unicode MS"/>
          <w:noProof/>
        </w:rPr>
        <w:t>The</w:t>
      </w:r>
      <w:r w:rsidR="00A0011C" w:rsidRPr="00002DD5">
        <w:rPr>
          <w:rFonts w:eastAsia="Arial Unicode MS"/>
          <w:noProof/>
        </w:rPr>
        <w:t xml:space="preserve"> </w:t>
      </w:r>
      <w:r w:rsidR="00D52FB3" w:rsidRPr="00002DD5">
        <w:rPr>
          <w:rFonts w:eastAsia="Arial Unicode MS"/>
          <w:noProof/>
        </w:rPr>
        <w:t>1</w:t>
      </w:r>
      <w:r w:rsidR="00CA42E1">
        <w:rPr>
          <w:rFonts w:eastAsia="Arial Unicode MS"/>
          <w:noProof/>
        </w:rPr>
        <w:t>8</w:t>
      </w:r>
      <w:r w:rsidR="00B337E3" w:rsidRPr="00002DD5">
        <w:rPr>
          <w:rFonts w:eastAsia="Arial Unicode MS"/>
          <w:noProof/>
          <w:vertAlign w:val="superscript"/>
        </w:rPr>
        <w:t>th</w:t>
      </w:r>
      <w:r w:rsidR="00B337E3" w:rsidRPr="00002DD5">
        <w:rPr>
          <w:rFonts w:eastAsia="Arial Unicode MS"/>
          <w:noProof/>
        </w:rPr>
        <w:t xml:space="preserve"> </w:t>
      </w:r>
      <w:r w:rsidR="00A0011C" w:rsidRPr="00002DD5">
        <w:rPr>
          <w:rFonts w:eastAsia="Arial Unicode MS"/>
          <w:noProof/>
        </w:rPr>
        <w:t>session</w:t>
      </w:r>
      <w:r w:rsidRPr="00002DD5">
        <w:rPr>
          <w:rFonts w:eastAsia="Arial Unicode MS"/>
          <w:noProof/>
        </w:rPr>
        <w:t xml:space="preserve"> of </w:t>
      </w:r>
      <w:r w:rsidR="00AA155C">
        <w:rPr>
          <w:rFonts w:eastAsia="Arial Unicode MS"/>
          <w:noProof/>
        </w:rPr>
        <w:t xml:space="preserve">OTIF’s </w:t>
      </w:r>
      <w:r w:rsidR="000E4699">
        <w:rPr>
          <w:rFonts w:eastAsia="Arial Unicode MS"/>
          <w:noProof/>
        </w:rPr>
        <w:t>CTE</w:t>
      </w:r>
      <w:r w:rsidRPr="00002DD5">
        <w:rPr>
          <w:rFonts w:eastAsia="Arial Unicode MS"/>
          <w:noProof/>
        </w:rPr>
        <w:t xml:space="preserve"> will</w:t>
      </w:r>
      <w:r w:rsidR="00A0011C" w:rsidRPr="00002DD5">
        <w:rPr>
          <w:rFonts w:eastAsia="Arial Unicode MS"/>
          <w:noProof/>
        </w:rPr>
        <w:t xml:space="preserve"> t</w:t>
      </w:r>
      <w:r w:rsidRPr="00002DD5">
        <w:rPr>
          <w:rFonts w:eastAsia="Arial Unicode MS"/>
          <w:noProof/>
        </w:rPr>
        <w:t>ake</w:t>
      </w:r>
      <w:r w:rsidR="00A0011C" w:rsidRPr="00002DD5">
        <w:rPr>
          <w:rFonts w:eastAsia="Arial Unicode MS"/>
          <w:noProof/>
        </w:rPr>
        <w:t xml:space="preserve"> place in Bern on </w:t>
      </w:r>
      <w:r w:rsidR="00CA42E1">
        <w:rPr>
          <w:rFonts w:eastAsia="Arial Unicode MS"/>
          <w:noProof/>
        </w:rPr>
        <w:t>9</w:t>
      </w:r>
      <w:r w:rsidR="00B337E3" w:rsidRPr="00002DD5">
        <w:rPr>
          <w:rFonts w:eastAsia="Arial Unicode MS"/>
          <w:noProof/>
        </w:rPr>
        <w:t xml:space="preserve"> June 202</w:t>
      </w:r>
      <w:r w:rsidR="00CA42E1">
        <w:rPr>
          <w:rFonts w:eastAsia="Arial Unicode MS"/>
          <w:noProof/>
        </w:rPr>
        <w:t>6</w:t>
      </w:r>
      <w:r w:rsidRPr="00002DD5">
        <w:rPr>
          <w:rFonts w:eastAsia="Arial Unicode MS"/>
          <w:noProof/>
        </w:rPr>
        <w:t xml:space="preserve">. </w:t>
      </w:r>
      <w:r w:rsidR="001914CB" w:rsidRPr="001914CB">
        <w:rPr>
          <w:rFonts w:eastAsia="Arial Unicode MS"/>
          <w:noProof/>
        </w:rPr>
        <w:t>This proposal concerns the decision establishing the position to be taken on the Union</w:t>
      </w:r>
      <w:r w:rsidR="006D0118">
        <w:rPr>
          <w:rFonts w:eastAsia="Arial Unicode MS"/>
          <w:noProof/>
        </w:rPr>
        <w:t>’</w:t>
      </w:r>
      <w:r w:rsidR="001914CB" w:rsidRPr="001914CB">
        <w:rPr>
          <w:rFonts w:eastAsia="Arial Unicode MS"/>
          <w:noProof/>
        </w:rPr>
        <w:t>s behalf in th</w:t>
      </w:r>
      <w:r w:rsidR="000D3E6F">
        <w:rPr>
          <w:rFonts w:eastAsia="Arial Unicode MS"/>
          <w:noProof/>
        </w:rPr>
        <w:t>at session</w:t>
      </w:r>
      <w:r w:rsidR="009C090E">
        <w:rPr>
          <w:rFonts w:eastAsia="Arial Unicode MS"/>
          <w:noProof/>
        </w:rPr>
        <w:t xml:space="preserve">, in connection </w:t>
      </w:r>
      <w:r w:rsidR="006D0118">
        <w:rPr>
          <w:rFonts w:eastAsia="Arial Unicode MS"/>
          <w:noProof/>
        </w:rPr>
        <w:t>with the</w:t>
      </w:r>
      <w:r w:rsidR="002924AF">
        <w:rPr>
          <w:rFonts w:eastAsia="Arial Unicode MS"/>
          <w:noProof/>
        </w:rPr>
        <w:t xml:space="preserve"> envisaged</w:t>
      </w:r>
      <w:r w:rsidR="00CB37BC">
        <w:rPr>
          <w:rFonts w:eastAsia="Arial Unicode MS"/>
          <w:noProof/>
        </w:rPr>
        <w:t xml:space="preserve"> </w:t>
      </w:r>
      <w:r w:rsidR="00CB37BC" w:rsidRPr="00CB37BC">
        <w:rPr>
          <w:rFonts w:eastAsia="Arial Unicode MS"/>
          <w:noProof/>
          <w:lang w:val="en-US"/>
        </w:rPr>
        <w:t>ad</w:t>
      </w:r>
      <w:r w:rsidR="00CB37BC">
        <w:rPr>
          <w:rFonts w:eastAsia="Arial Unicode MS"/>
          <w:noProof/>
          <w:lang w:val="en-US"/>
        </w:rPr>
        <w:t xml:space="preserve">option </w:t>
      </w:r>
      <w:r w:rsidR="002924AF">
        <w:rPr>
          <w:rFonts w:eastAsia="Arial Unicode MS"/>
          <w:noProof/>
          <w:lang w:val="en-US"/>
        </w:rPr>
        <w:t xml:space="preserve">of </w:t>
      </w:r>
      <w:r w:rsidR="001163A4" w:rsidRPr="00002DD5">
        <w:rPr>
          <w:rFonts w:eastAsia="Arial Unicode MS"/>
          <w:noProof/>
        </w:rPr>
        <w:t xml:space="preserve">the following </w:t>
      </w:r>
      <w:r w:rsidR="00CB05D4" w:rsidRPr="00002DD5">
        <w:rPr>
          <w:rFonts w:eastAsia="Arial Unicode MS"/>
          <w:noProof/>
        </w:rPr>
        <w:t>proposals</w:t>
      </w:r>
      <w:r w:rsidRPr="00002DD5">
        <w:rPr>
          <w:rFonts w:eastAsia="Arial Unicode MS"/>
          <w:noProof/>
        </w:rPr>
        <w:t>:</w:t>
      </w:r>
    </w:p>
    <w:p w:rsidR="00CA42E1" w:rsidRDefault="00053857" w:rsidP="009F1438">
      <w:pPr>
        <w:pStyle w:val="Tiret0"/>
        <w:numPr>
          <w:ilvl w:val="0"/>
          <w:numId w:val="10"/>
        </w:numPr>
        <w:rPr>
          <w:noProof/>
        </w:rPr>
      </w:pPr>
      <w:r w:rsidRPr="00053857">
        <w:rPr>
          <w:noProof/>
        </w:rPr>
        <w:t xml:space="preserve">Modification of the </w:t>
      </w:r>
      <w:r w:rsidR="0038443F">
        <w:rPr>
          <w:noProof/>
        </w:rPr>
        <w:t>R</w:t>
      </w:r>
      <w:r w:rsidRPr="00053857">
        <w:rPr>
          <w:noProof/>
        </w:rPr>
        <w:t xml:space="preserve">ules of </w:t>
      </w:r>
      <w:r w:rsidR="0038443F">
        <w:rPr>
          <w:noProof/>
        </w:rPr>
        <w:t>P</w:t>
      </w:r>
      <w:r w:rsidRPr="00053857">
        <w:rPr>
          <w:noProof/>
        </w:rPr>
        <w:t xml:space="preserve">rocedure of </w:t>
      </w:r>
      <w:r w:rsidR="005B0FFE">
        <w:rPr>
          <w:noProof/>
        </w:rPr>
        <w:t>CTE</w:t>
      </w:r>
      <w:r>
        <w:rPr>
          <w:noProof/>
        </w:rPr>
        <w:t>;</w:t>
      </w:r>
    </w:p>
    <w:p w:rsidR="00053857" w:rsidRPr="00002DD5" w:rsidRDefault="00053857" w:rsidP="00053857">
      <w:pPr>
        <w:pStyle w:val="Tiret0"/>
        <w:numPr>
          <w:ilvl w:val="0"/>
          <w:numId w:val="10"/>
        </w:numPr>
        <w:rPr>
          <w:noProof/>
        </w:rPr>
      </w:pPr>
      <w:r w:rsidRPr="00002DD5">
        <w:rPr>
          <w:noProof/>
        </w:rPr>
        <w:t xml:space="preserve">Revision of the </w:t>
      </w:r>
      <w:r w:rsidR="0038443F">
        <w:rPr>
          <w:noProof/>
        </w:rPr>
        <w:t>U</w:t>
      </w:r>
      <w:r w:rsidRPr="00002DD5">
        <w:rPr>
          <w:noProof/>
        </w:rPr>
        <w:t xml:space="preserve">niform </w:t>
      </w:r>
      <w:r w:rsidR="0038443F">
        <w:rPr>
          <w:noProof/>
        </w:rPr>
        <w:t>T</w:t>
      </w:r>
      <w:r w:rsidRPr="00002DD5">
        <w:rPr>
          <w:noProof/>
        </w:rPr>
        <w:t xml:space="preserve">echnical </w:t>
      </w:r>
      <w:r w:rsidR="0038443F">
        <w:rPr>
          <w:noProof/>
        </w:rPr>
        <w:t>P</w:t>
      </w:r>
      <w:r w:rsidRPr="00002DD5">
        <w:rPr>
          <w:noProof/>
        </w:rPr>
        <w:t>rescription</w:t>
      </w:r>
      <w:r w:rsidR="0038443F">
        <w:rPr>
          <w:noProof/>
        </w:rPr>
        <w:t xml:space="preserve"> (UTP)</w:t>
      </w:r>
      <w:r w:rsidRPr="00002DD5">
        <w:rPr>
          <w:noProof/>
        </w:rPr>
        <w:t xml:space="preserve"> applicable to the subsystem “rolling stock – </w:t>
      </w:r>
      <w:r>
        <w:rPr>
          <w:noProof/>
        </w:rPr>
        <w:t>freight wagons</w:t>
      </w:r>
      <w:r w:rsidRPr="00002DD5">
        <w:rPr>
          <w:noProof/>
        </w:rPr>
        <w:t xml:space="preserve">” (UTP </w:t>
      </w:r>
      <w:r>
        <w:rPr>
          <w:noProof/>
        </w:rPr>
        <w:t>WAG</w:t>
      </w:r>
      <w:r w:rsidRPr="00002DD5">
        <w:rPr>
          <w:noProof/>
        </w:rPr>
        <w:t xml:space="preserve">); </w:t>
      </w:r>
    </w:p>
    <w:p w:rsidR="00B337E3" w:rsidRPr="00002DD5" w:rsidRDefault="00CB05D4" w:rsidP="009F1438">
      <w:pPr>
        <w:pStyle w:val="Tiret0"/>
        <w:numPr>
          <w:ilvl w:val="0"/>
          <w:numId w:val="10"/>
        </w:numPr>
        <w:rPr>
          <w:noProof/>
        </w:rPr>
      </w:pPr>
      <w:r w:rsidRPr="00002DD5">
        <w:rPr>
          <w:noProof/>
        </w:rPr>
        <w:t>R</w:t>
      </w:r>
      <w:r w:rsidR="00A05E3F" w:rsidRPr="00002DD5">
        <w:rPr>
          <w:noProof/>
        </w:rPr>
        <w:t xml:space="preserve">evision of the </w:t>
      </w:r>
      <w:r w:rsidR="006D6CC5">
        <w:rPr>
          <w:noProof/>
        </w:rPr>
        <w:t>UTP</w:t>
      </w:r>
      <w:r w:rsidR="001E2ECC" w:rsidRPr="00002DD5">
        <w:rPr>
          <w:noProof/>
        </w:rPr>
        <w:t xml:space="preserve"> </w:t>
      </w:r>
      <w:r w:rsidR="00CD3121" w:rsidRPr="00002DD5">
        <w:rPr>
          <w:noProof/>
        </w:rPr>
        <w:t xml:space="preserve">applicable to the subsystem “rolling stock – locomotives and passenger rolling stock” </w:t>
      </w:r>
      <w:r w:rsidR="00836DFB" w:rsidRPr="00002DD5">
        <w:rPr>
          <w:noProof/>
        </w:rPr>
        <w:t>(</w:t>
      </w:r>
      <w:r w:rsidR="00D3473F" w:rsidRPr="00002DD5">
        <w:rPr>
          <w:noProof/>
        </w:rPr>
        <w:t>UTP LOC&amp;PAS</w:t>
      </w:r>
      <w:r w:rsidR="00836DFB" w:rsidRPr="00002DD5">
        <w:rPr>
          <w:noProof/>
        </w:rPr>
        <w:t>)</w:t>
      </w:r>
      <w:r w:rsidR="00B337E3" w:rsidRPr="00002DD5">
        <w:rPr>
          <w:noProof/>
        </w:rPr>
        <w:t xml:space="preserve">; </w:t>
      </w:r>
    </w:p>
    <w:p w:rsidR="00A05E3F" w:rsidRPr="00002DD5" w:rsidRDefault="006A250D" w:rsidP="009F1438">
      <w:pPr>
        <w:pStyle w:val="Tiret0"/>
        <w:numPr>
          <w:ilvl w:val="0"/>
          <w:numId w:val="10"/>
        </w:numPr>
        <w:rPr>
          <w:noProof/>
        </w:rPr>
      </w:pPr>
      <w:r>
        <w:rPr>
          <w:noProof/>
        </w:rPr>
        <w:t xml:space="preserve">Adoption of Annex C to </w:t>
      </w:r>
      <w:r w:rsidR="00772836">
        <w:rPr>
          <w:noProof/>
        </w:rPr>
        <w:t xml:space="preserve">the </w:t>
      </w:r>
      <w:r>
        <w:rPr>
          <w:noProof/>
        </w:rPr>
        <w:t>ATMF U</w:t>
      </w:r>
      <w:r w:rsidR="006D6CC5">
        <w:rPr>
          <w:noProof/>
        </w:rPr>
        <w:t xml:space="preserve">niform </w:t>
      </w:r>
      <w:r>
        <w:rPr>
          <w:noProof/>
        </w:rPr>
        <w:t>R</w:t>
      </w:r>
      <w:r w:rsidR="006D6CC5">
        <w:rPr>
          <w:noProof/>
        </w:rPr>
        <w:t>ules</w:t>
      </w:r>
      <w:r>
        <w:rPr>
          <w:noProof/>
        </w:rPr>
        <w:t xml:space="preserve"> on a </w:t>
      </w:r>
      <w:r w:rsidRPr="006A250D">
        <w:rPr>
          <w:noProof/>
        </w:rPr>
        <w:t>Uniform format of certificates</w:t>
      </w:r>
      <w:r w:rsidR="00A05E3F" w:rsidRPr="00002DD5">
        <w:rPr>
          <w:noProof/>
        </w:rPr>
        <w:t xml:space="preserve">; </w:t>
      </w:r>
    </w:p>
    <w:p w:rsidR="00A05E3F" w:rsidRDefault="00CB05D4" w:rsidP="009F1438">
      <w:pPr>
        <w:pStyle w:val="Tiret0"/>
        <w:numPr>
          <w:ilvl w:val="0"/>
          <w:numId w:val="10"/>
        </w:numPr>
        <w:rPr>
          <w:noProof/>
        </w:rPr>
      </w:pPr>
      <w:r w:rsidRPr="00002DD5">
        <w:rPr>
          <w:noProof/>
        </w:rPr>
        <w:t>M</w:t>
      </w:r>
      <w:r w:rsidR="00A05E3F" w:rsidRPr="00002DD5">
        <w:rPr>
          <w:noProof/>
        </w:rPr>
        <w:t xml:space="preserve">odification of Appendix I to the </w:t>
      </w:r>
      <w:r w:rsidR="00E26CE9">
        <w:rPr>
          <w:noProof/>
        </w:rPr>
        <w:t>UTP</w:t>
      </w:r>
      <w:r w:rsidR="0020545A" w:rsidRPr="00002DD5">
        <w:rPr>
          <w:noProof/>
        </w:rPr>
        <w:t xml:space="preserve"> applicable to the subsystem </w:t>
      </w:r>
      <w:r w:rsidR="001E2ECC">
        <w:rPr>
          <w:noProof/>
        </w:rPr>
        <w:t>“</w:t>
      </w:r>
      <w:r w:rsidR="00130F50">
        <w:rPr>
          <w:noProof/>
        </w:rPr>
        <w:t>T</w:t>
      </w:r>
      <w:r w:rsidR="0020545A" w:rsidRPr="00002DD5">
        <w:rPr>
          <w:noProof/>
        </w:rPr>
        <w:t>elematics applications for freight services</w:t>
      </w:r>
      <w:r w:rsidR="00130F50">
        <w:rPr>
          <w:noProof/>
        </w:rPr>
        <w:t>”</w:t>
      </w:r>
      <w:r w:rsidR="0020545A" w:rsidRPr="00002DD5">
        <w:rPr>
          <w:noProof/>
        </w:rPr>
        <w:t xml:space="preserve"> (</w:t>
      </w:r>
      <w:r w:rsidR="00A05E3F" w:rsidRPr="00002DD5">
        <w:rPr>
          <w:noProof/>
        </w:rPr>
        <w:t>UTP TAF</w:t>
      </w:r>
      <w:r w:rsidR="0020545A" w:rsidRPr="00002DD5">
        <w:rPr>
          <w:noProof/>
        </w:rPr>
        <w:t>)</w:t>
      </w:r>
      <w:r w:rsidR="00130F50">
        <w:rPr>
          <w:noProof/>
        </w:rPr>
        <w:t xml:space="preserve"> (references to technical documents)</w:t>
      </w:r>
      <w:r w:rsidR="00C8546B" w:rsidRPr="00002DD5">
        <w:rPr>
          <w:noProof/>
        </w:rPr>
        <w:t>;</w:t>
      </w:r>
    </w:p>
    <w:p w:rsidR="000A1C4A" w:rsidRPr="00002DD5" w:rsidRDefault="00F53A2F" w:rsidP="00004DA4">
      <w:pPr>
        <w:pStyle w:val="Tiret0"/>
        <w:numPr>
          <w:ilvl w:val="0"/>
          <w:numId w:val="10"/>
        </w:numPr>
        <w:rPr>
          <w:noProof/>
        </w:rPr>
      </w:pPr>
      <w:r>
        <w:rPr>
          <w:noProof/>
        </w:rPr>
        <w:t>Modifications</w:t>
      </w:r>
      <w:r w:rsidRPr="00002DD5">
        <w:rPr>
          <w:noProof/>
        </w:rPr>
        <w:t xml:space="preserve"> </w:t>
      </w:r>
      <w:r>
        <w:rPr>
          <w:noProof/>
        </w:rPr>
        <w:t>to</w:t>
      </w:r>
      <w:r w:rsidR="00004DA4" w:rsidRPr="00002DD5">
        <w:rPr>
          <w:noProof/>
        </w:rPr>
        <w:t xml:space="preserve"> the </w:t>
      </w:r>
      <w:r>
        <w:rPr>
          <w:noProof/>
        </w:rPr>
        <w:t>H</w:t>
      </w:r>
      <w:r w:rsidR="00004DA4" w:rsidRPr="00002DD5">
        <w:rPr>
          <w:noProof/>
        </w:rPr>
        <w:t>andbook for the implementation and application of the APTU and ATMF Uniform Rules.</w:t>
      </w:r>
    </w:p>
    <w:p w:rsidR="00CA3406" w:rsidRPr="00002DD5" w:rsidRDefault="005A1E68" w:rsidP="00396AC5">
      <w:pPr>
        <w:rPr>
          <w:noProof/>
        </w:rPr>
      </w:pPr>
      <w:r w:rsidRPr="00002DD5">
        <w:rPr>
          <w:noProof/>
        </w:rPr>
        <w:t>The a</w:t>
      </w:r>
      <w:r w:rsidR="00CA3406" w:rsidRPr="00002DD5">
        <w:rPr>
          <w:noProof/>
        </w:rPr>
        <w:t xml:space="preserve">genda of the meeting and </w:t>
      </w:r>
      <w:r w:rsidR="000633DD" w:rsidRPr="00002DD5">
        <w:rPr>
          <w:noProof/>
        </w:rPr>
        <w:t xml:space="preserve">documents related to </w:t>
      </w:r>
      <w:r w:rsidR="004363B7" w:rsidRPr="00002DD5">
        <w:rPr>
          <w:noProof/>
        </w:rPr>
        <w:t xml:space="preserve">the proposals for adoption </w:t>
      </w:r>
      <w:r w:rsidR="00CC22A2" w:rsidRPr="00002DD5">
        <w:rPr>
          <w:noProof/>
        </w:rPr>
        <w:t xml:space="preserve">are available </w:t>
      </w:r>
      <w:r w:rsidRPr="00002DD5">
        <w:rPr>
          <w:noProof/>
        </w:rPr>
        <w:t>on the</w:t>
      </w:r>
      <w:r w:rsidR="00CC22A2" w:rsidRPr="00002DD5">
        <w:rPr>
          <w:noProof/>
        </w:rPr>
        <w:t xml:space="preserve"> OTIF website </w:t>
      </w:r>
      <w:hyperlink r:id="rId14" w:history="1">
        <w:r w:rsidR="00E41AF8" w:rsidRPr="001044F3">
          <w:rPr>
            <w:rStyle w:val="Hyperlink"/>
            <w:noProof/>
          </w:rPr>
          <w:t>https://otif.org/en/?page_id=1025</w:t>
        </w:r>
      </w:hyperlink>
      <w:r w:rsidR="00CC22A2" w:rsidRPr="00002DD5">
        <w:rPr>
          <w:noProof/>
        </w:rPr>
        <w:t>.</w:t>
      </w:r>
    </w:p>
    <w:p w:rsidR="0047675C" w:rsidRPr="00002DD5" w:rsidRDefault="0047675C" w:rsidP="00396AC5">
      <w:pPr>
        <w:rPr>
          <w:noProof/>
        </w:rPr>
      </w:pPr>
    </w:p>
    <w:p w:rsidR="007024FE" w:rsidRPr="006855FA" w:rsidRDefault="007024FE" w:rsidP="00104940">
      <w:pPr>
        <w:pStyle w:val="ManualNumPar1"/>
        <w:rPr>
          <w:b/>
          <w:bCs/>
          <w:smallCaps/>
          <w:noProof/>
        </w:rPr>
      </w:pPr>
      <w:r>
        <w:rPr>
          <w:noProof/>
        </w:rPr>
        <w:t>2.</w:t>
      </w:r>
      <w:r>
        <w:rPr>
          <w:noProof/>
        </w:rPr>
        <w:tab/>
      </w:r>
      <w:r w:rsidRPr="006855FA">
        <w:rPr>
          <w:b/>
          <w:bCs/>
          <w:smallCaps/>
          <w:noProof/>
        </w:rPr>
        <w:t>Context of the proposal</w:t>
      </w:r>
    </w:p>
    <w:p w:rsidR="00873933" w:rsidRPr="006855FA" w:rsidRDefault="00873933" w:rsidP="00104940">
      <w:pPr>
        <w:pStyle w:val="ManualNumPar2"/>
        <w:rPr>
          <w:b/>
          <w:bCs/>
          <w:noProof/>
        </w:rPr>
      </w:pPr>
      <w:r>
        <w:rPr>
          <w:noProof/>
        </w:rPr>
        <w:t>2.1.</w:t>
      </w:r>
      <w:r>
        <w:rPr>
          <w:noProof/>
        </w:rPr>
        <w:tab/>
      </w:r>
      <w:r w:rsidRPr="006855FA">
        <w:rPr>
          <w:b/>
          <w:bCs/>
          <w:noProof/>
        </w:rPr>
        <w:t xml:space="preserve">The Convention concerning </w:t>
      </w:r>
      <w:r w:rsidR="002811CA">
        <w:rPr>
          <w:b/>
          <w:bCs/>
          <w:noProof/>
        </w:rPr>
        <w:t>I</w:t>
      </w:r>
      <w:r w:rsidRPr="006855FA">
        <w:rPr>
          <w:b/>
          <w:bCs/>
          <w:noProof/>
        </w:rPr>
        <w:t xml:space="preserve">nternational </w:t>
      </w:r>
      <w:r w:rsidR="002811CA">
        <w:rPr>
          <w:b/>
          <w:bCs/>
          <w:noProof/>
        </w:rPr>
        <w:t>C</w:t>
      </w:r>
      <w:r w:rsidRPr="006855FA">
        <w:rPr>
          <w:b/>
          <w:bCs/>
          <w:noProof/>
        </w:rPr>
        <w:t xml:space="preserve">arriage by </w:t>
      </w:r>
      <w:r w:rsidR="002811CA">
        <w:rPr>
          <w:b/>
          <w:bCs/>
          <w:noProof/>
        </w:rPr>
        <w:t>R</w:t>
      </w:r>
      <w:r w:rsidRPr="006855FA">
        <w:rPr>
          <w:b/>
          <w:bCs/>
          <w:noProof/>
        </w:rPr>
        <w:t>ail (COTIF)</w:t>
      </w:r>
    </w:p>
    <w:p w:rsidR="007C473D" w:rsidRPr="00002DD5" w:rsidRDefault="007C473D" w:rsidP="005A5CAF">
      <w:pPr>
        <w:rPr>
          <w:noProof/>
        </w:rPr>
      </w:pPr>
      <w:r w:rsidRPr="00002DD5">
        <w:rPr>
          <w:noProof/>
        </w:rPr>
        <w:t xml:space="preserve">The Convention concerning </w:t>
      </w:r>
      <w:r w:rsidR="002A4E21">
        <w:rPr>
          <w:noProof/>
        </w:rPr>
        <w:t>I</w:t>
      </w:r>
      <w:r w:rsidRPr="00002DD5">
        <w:rPr>
          <w:noProof/>
        </w:rPr>
        <w:t xml:space="preserve">nternational </w:t>
      </w:r>
      <w:r w:rsidR="002A4E21">
        <w:rPr>
          <w:noProof/>
        </w:rPr>
        <w:t>C</w:t>
      </w:r>
      <w:r w:rsidRPr="00002DD5">
        <w:rPr>
          <w:noProof/>
        </w:rPr>
        <w:t xml:space="preserve">arriage by </w:t>
      </w:r>
      <w:r w:rsidR="002A4E21">
        <w:rPr>
          <w:noProof/>
        </w:rPr>
        <w:t>R</w:t>
      </w:r>
      <w:r w:rsidRPr="00002DD5">
        <w:rPr>
          <w:noProof/>
        </w:rPr>
        <w:t xml:space="preserve">ail of 9 May 1980, as amended by the Vilnius </w:t>
      </w:r>
      <w:r w:rsidR="002A4E21">
        <w:rPr>
          <w:noProof/>
        </w:rPr>
        <w:t>P</w:t>
      </w:r>
      <w:r w:rsidRPr="00002DD5">
        <w:rPr>
          <w:noProof/>
        </w:rPr>
        <w:t>rotocol of 3 June 1999 (‘COTIF’), is an international agreement where both the Union and 25 Member States</w:t>
      </w:r>
      <w:r w:rsidR="003658FD" w:rsidRPr="00002DD5">
        <w:rPr>
          <w:rStyle w:val="FootnoteReference"/>
          <w:noProof/>
        </w:rPr>
        <w:footnoteReference w:id="2"/>
      </w:r>
      <w:r w:rsidRPr="00002DD5">
        <w:rPr>
          <w:noProof/>
        </w:rPr>
        <w:t xml:space="preserve"> are Contracting Parties.</w:t>
      </w:r>
      <w:r w:rsidR="003123E9">
        <w:rPr>
          <w:noProof/>
        </w:rPr>
        <w:t xml:space="preserve"> </w:t>
      </w:r>
    </w:p>
    <w:p w:rsidR="003658FD" w:rsidRPr="00002DD5" w:rsidRDefault="003658FD" w:rsidP="005A5CAF">
      <w:pPr>
        <w:rPr>
          <w:noProof/>
        </w:rPr>
      </w:pPr>
      <w:r w:rsidRPr="00002DD5">
        <w:rPr>
          <w:noProof/>
        </w:rPr>
        <w:t xml:space="preserve">On 16 June 2011, the Council adopted Council Decision 2013/103/EU on the signing and conclusion of the </w:t>
      </w:r>
      <w:r w:rsidR="00010208">
        <w:rPr>
          <w:noProof/>
        </w:rPr>
        <w:t>A</w:t>
      </w:r>
      <w:r w:rsidRPr="00002DD5">
        <w:rPr>
          <w:noProof/>
        </w:rPr>
        <w:t xml:space="preserve">greement between the European Union and the OTIF on the </w:t>
      </w:r>
      <w:r w:rsidR="003A46D1">
        <w:rPr>
          <w:noProof/>
        </w:rPr>
        <w:t>A</w:t>
      </w:r>
      <w:r w:rsidRPr="00002DD5">
        <w:rPr>
          <w:noProof/>
        </w:rPr>
        <w:t xml:space="preserve">ccession of the European Union to the Convention concerning </w:t>
      </w:r>
      <w:r w:rsidR="003A46D1">
        <w:rPr>
          <w:noProof/>
        </w:rPr>
        <w:t>I</w:t>
      </w:r>
      <w:r w:rsidRPr="00002DD5">
        <w:rPr>
          <w:noProof/>
        </w:rPr>
        <w:t xml:space="preserve">nternational </w:t>
      </w:r>
      <w:r w:rsidR="003A46D1">
        <w:rPr>
          <w:noProof/>
        </w:rPr>
        <w:t>C</w:t>
      </w:r>
      <w:r w:rsidRPr="00002DD5">
        <w:rPr>
          <w:noProof/>
        </w:rPr>
        <w:t xml:space="preserve">arriage by </w:t>
      </w:r>
      <w:r w:rsidR="003A46D1">
        <w:rPr>
          <w:noProof/>
        </w:rPr>
        <w:t>R</w:t>
      </w:r>
      <w:r w:rsidRPr="00002DD5">
        <w:rPr>
          <w:noProof/>
        </w:rPr>
        <w:t xml:space="preserve">ail (COTIF) of 9 May 1980, as amended by the Vilnius </w:t>
      </w:r>
      <w:r w:rsidR="00D11BCF">
        <w:rPr>
          <w:noProof/>
        </w:rPr>
        <w:t>p</w:t>
      </w:r>
      <w:r w:rsidRPr="00002DD5">
        <w:rPr>
          <w:noProof/>
        </w:rPr>
        <w:t>rotocol of 3 June 199</w:t>
      </w:r>
      <w:r w:rsidR="00F15D32" w:rsidRPr="00002DD5">
        <w:rPr>
          <w:noProof/>
        </w:rPr>
        <w:t>9</w:t>
      </w:r>
      <w:r w:rsidRPr="00002DD5">
        <w:rPr>
          <w:noProof/>
        </w:rPr>
        <w:t xml:space="preserve"> (</w:t>
      </w:r>
      <w:r w:rsidR="003A46D1">
        <w:rPr>
          <w:noProof/>
        </w:rPr>
        <w:t>“</w:t>
      </w:r>
      <w:r w:rsidRPr="00002DD5">
        <w:rPr>
          <w:noProof/>
        </w:rPr>
        <w:t xml:space="preserve">EU-COTIF </w:t>
      </w:r>
      <w:r w:rsidR="003A46D1">
        <w:rPr>
          <w:noProof/>
        </w:rPr>
        <w:t>A</w:t>
      </w:r>
      <w:r w:rsidRPr="00002DD5">
        <w:rPr>
          <w:noProof/>
        </w:rPr>
        <w:t xml:space="preserve">ccession </w:t>
      </w:r>
      <w:r w:rsidR="00B509FB">
        <w:rPr>
          <w:noProof/>
        </w:rPr>
        <w:t>A</w:t>
      </w:r>
      <w:r w:rsidRPr="00B509FB">
        <w:rPr>
          <w:noProof/>
        </w:rPr>
        <w:t>greement</w:t>
      </w:r>
      <w:r w:rsidRPr="00002DD5">
        <w:rPr>
          <w:noProof/>
        </w:rPr>
        <w:t>)</w:t>
      </w:r>
      <w:r w:rsidR="008C5D5F" w:rsidRPr="00002DD5">
        <w:rPr>
          <w:rStyle w:val="FootnoteReference"/>
          <w:noProof/>
        </w:rPr>
        <w:footnoteReference w:id="3"/>
      </w:r>
      <w:r w:rsidRPr="00002DD5">
        <w:rPr>
          <w:noProof/>
        </w:rPr>
        <w:t>.</w:t>
      </w:r>
    </w:p>
    <w:p w:rsidR="007C473D" w:rsidRPr="00002DD5" w:rsidRDefault="003658FD" w:rsidP="005A5CAF">
      <w:pPr>
        <w:rPr>
          <w:noProof/>
        </w:rPr>
      </w:pPr>
      <w:r w:rsidRPr="00002DD5">
        <w:rPr>
          <w:noProof/>
        </w:rPr>
        <w:t xml:space="preserve">The </w:t>
      </w:r>
      <w:r w:rsidR="00F06C3F" w:rsidRPr="00002DD5">
        <w:rPr>
          <w:noProof/>
        </w:rPr>
        <w:t xml:space="preserve">EU-COTIF </w:t>
      </w:r>
      <w:r w:rsidR="00B509FB">
        <w:rPr>
          <w:noProof/>
        </w:rPr>
        <w:t>A</w:t>
      </w:r>
      <w:r w:rsidR="00F06C3F" w:rsidRPr="00002DD5">
        <w:rPr>
          <w:noProof/>
        </w:rPr>
        <w:t xml:space="preserve">ccession </w:t>
      </w:r>
      <w:r w:rsidR="00B509FB">
        <w:rPr>
          <w:noProof/>
        </w:rPr>
        <w:t>A</w:t>
      </w:r>
      <w:r w:rsidR="00F06C3F" w:rsidRPr="00002DD5">
        <w:rPr>
          <w:noProof/>
        </w:rPr>
        <w:t xml:space="preserve">greement </w:t>
      </w:r>
      <w:r w:rsidRPr="00002DD5">
        <w:rPr>
          <w:noProof/>
        </w:rPr>
        <w:t>entered into force on 1 July 2011.</w:t>
      </w:r>
    </w:p>
    <w:p w:rsidR="00873933" w:rsidRPr="00002DD5" w:rsidRDefault="007C473D" w:rsidP="005A5CAF">
      <w:pPr>
        <w:rPr>
          <w:noProof/>
        </w:rPr>
      </w:pPr>
      <w:r w:rsidRPr="00002DD5">
        <w:rPr>
          <w:noProof/>
        </w:rPr>
        <w:lastRenderedPageBreak/>
        <w:t>According to</w:t>
      </w:r>
      <w:r w:rsidR="00873933" w:rsidRPr="00002DD5">
        <w:rPr>
          <w:noProof/>
        </w:rPr>
        <w:t xml:space="preserve"> Article 2(1) of the COTIF, </w:t>
      </w:r>
      <w:r w:rsidRPr="00002DD5">
        <w:rPr>
          <w:noProof/>
        </w:rPr>
        <w:t>OTIF</w:t>
      </w:r>
      <w:r w:rsidR="00873933" w:rsidRPr="00002DD5">
        <w:rPr>
          <w:noProof/>
        </w:rPr>
        <w:t xml:space="preserve"> aim</w:t>
      </w:r>
      <w:r w:rsidRPr="00002DD5">
        <w:rPr>
          <w:noProof/>
        </w:rPr>
        <w:t>s</w:t>
      </w:r>
      <w:r w:rsidR="00873933" w:rsidRPr="00002DD5">
        <w:rPr>
          <w:noProof/>
        </w:rPr>
        <w:t xml:space="preserve"> </w:t>
      </w:r>
      <w:r w:rsidR="00471089" w:rsidRPr="00002DD5">
        <w:rPr>
          <w:noProof/>
        </w:rPr>
        <w:t xml:space="preserve">at </w:t>
      </w:r>
      <w:r w:rsidR="00873933" w:rsidRPr="00002DD5">
        <w:rPr>
          <w:noProof/>
        </w:rPr>
        <w:t>promot</w:t>
      </w:r>
      <w:r w:rsidRPr="00002DD5">
        <w:rPr>
          <w:noProof/>
        </w:rPr>
        <w:t>ing</w:t>
      </w:r>
      <w:r w:rsidR="00873933" w:rsidRPr="00002DD5">
        <w:rPr>
          <w:noProof/>
        </w:rPr>
        <w:t>, improv</w:t>
      </w:r>
      <w:r w:rsidRPr="00002DD5">
        <w:rPr>
          <w:noProof/>
        </w:rPr>
        <w:t>ing</w:t>
      </w:r>
      <w:r w:rsidR="00873933" w:rsidRPr="00002DD5">
        <w:rPr>
          <w:noProof/>
        </w:rPr>
        <w:t xml:space="preserve"> and </w:t>
      </w:r>
      <w:r w:rsidR="00DC75C6" w:rsidRPr="00002DD5">
        <w:rPr>
          <w:noProof/>
        </w:rPr>
        <w:t>facilitating</w:t>
      </w:r>
      <w:r w:rsidR="00873933" w:rsidRPr="00002DD5">
        <w:rPr>
          <w:noProof/>
        </w:rPr>
        <w:t xml:space="preserve">, in all respects, international traffic by rail, in particular by establishing systems of uniform law in various fields of law relating to international traffic by rail. The COTIF also governs the running of the Organisation, its objectives, attributions, relations with the </w:t>
      </w:r>
      <w:r w:rsidR="00A80933" w:rsidRPr="00002DD5">
        <w:rPr>
          <w:noProof/>
        </w:rPr>
        <w:t xml:space="preserve">Contracting </w:t>
      </w:r>
      <w:r w:rsidR="00873933" w:rsidRPr="00002DD5">
        <w:rPr>
          <w:noProof/>
        </w:rPr>
        <w:t xml:space="preserve">States and its activities in general. </w:t>
      </w:r>
    </w:p>
    <w:p w:rsidR="00873933" w:rsidRPr="00002DD5" w:rsidRDefault="00873933" w:rsidP="00AF3E00">
      <w:pPr>
        <w:rPr>
          <w:noProof/>
        </w:rPr>
      </w:pPr>
      <w:r w:rsidRPr="00002DD5">
        <w:rPr>
          <w:noProof/>
        </w:rPr>
        <w:t xml:space="preserve">COTIF deals with rail legislation on a number of different legal and technical rail </w:t>
      </w:r>
      <w:r w:rsidR="00DC75C6" w:rsidRPr="00002DD5">
        <w:rPr>
          <w:noProof/>
        </w:rPr>
        <w:t>matters that</w:t>
      </w:r>
      <w:r w:rsidRPr="00002DD5">
        <w:rPr>
          <w:noProof/>
        </w:rPr>
        <w:t xml:space="preserve"> are divided in</w:t>
      </w:r>
      <w:r w:rsidR="00400A86" w:rsidRPr="00002DD5">
        <w:rPr>
          <w:noProof/>
        </w:rPr>
        <w:t>to</w:t>
      </w:r>
      <w:r w:rsidRPr="00002DD5">
        <w:rPr>
          <w:noProof/>
        </w:rPr>
        <w:t xml:space="preserve"> two parts: the Convention itself, which governs the running of OTIF</w:t>
      </w:r>
      <w:r w:rsidR="007C473D" w:rsidRPr="00002DD5">
        <w:rPr>
          <w:noProof/>
        </w:rPr>
        <w:t>,</w:t>
      </w:r>
      <w:r w:rsidRPr="00002DD5">
        <w:rPr>
          <w:noProof/>
        </w:rPr>
        <w:t xml:space="preserve"> and eight Appendices</w:t>
      </w:r>
      <w:r w:rsidR="00BC666B">
        <w:rPr>
          <w:noProof/>
        </w:rPr>
        <w:t xml:space="preserve"> to the Convention</w:t>
      </w:r>
      <w:r w:rsidRPr="00002DD5">
        <w:rPr>
          <w:noProof/>
        </w:rPr>
        <w:t xml:space="preserve"> tha</w:t>
      </w:r>
      <w:r w:rsidR="0053417A" w:rsidRPr="00002DD5">
        <w:rPr>
          <w:noProof/>
        </w:rPr>
        <w:t>t establish uniform railway law:</w:t>
      </w:r>
    </w:p>
    <w:p w:rsidR="00873933" w:rsidRPr="00002DD5" w:rsidRDefault="00873933" w:rsidP="009F1438">
      <w:pPr>
        <w:pStyle w:val="Tiret0"/>
        <w:numPr>
          <w:ilvl w:val="0"/>
          <w:numId w:val="9"/>
        </w:numPr>
        <w:rPr>
          <w:noProof/>
        </w:rPr>
      </w:pPr>
      <w:r w:rsidRPr="00002DD5">
        <w:rPr>
          <w:noProof/>
        </w:rPr>
        <w:t>Appendix A –</w:t>
      </w:r>
      <w:r w:rsidR="007A4B6F">
        <w:rPr>
          <w:noProof/>
        </w:rPr>
        <w:t xml:space="preserve"> C</w:t>
      </w:r>
      <w:r w:rsidRPr="00002DD5">
        <w:rPr>
          <w:noProof/>
        </w:rPr>
        <w:t xml:space="preserve">ontract of </w:t>
      </w:r>
      <w:r w:rsidR="008267C9">
        <w:rPr>
          <w:noProof/>
        </w:rPr>
        <w:t>I</w:t>
      </w:r>
      <w:r w:rsidR="00F06C3F">
        <w:rPr>
          <w:noProof/>
        </w:rPr>
        <w:t>n</w:t>
      </w:r>
      <w:r w:rsidRPr="00002DD5">
        <w:rPr>
          <w:noProof/>
        </w:rPr>
        <w:t xml:space="preserve">ternational </w:t>
      </w:r>
      <w:r w:rsidR="008267C9">
        <w:rPr>
          <w:noProof/>
        </w:rPr>
        <w:t>C</w:t>
      </w:r>
      <w:r w:rsidRPr="00002DD5">
        <w:rPr>
          <w:noProof/>
        </w:rPr>
        <w:t xml:space="preserve">arriage of </w:t>
      </w:r>
      <w:r w:rsidR="008267C9">
        <w:rPr>
          <w:noProof/>
        </w:rPr>
        <w:t>P</w:t>
      </w:r>
      <w:r w:rsidRPr="00002DD5">
        <w:rPr>
          <w:noProof/>
        </w:rPr>
        <w:t xml:space="preserve">assengers by </w:t>
      </w:r>
      <w:r w:rsidR="008267C9">
        <w:rPr>
          <w:noProof/>
        </w:rPr>
        <w:t>R</w:t>
      </w:r>
      <w:r w:rsidRPr="00002DD5">
        <w:rPr>
          <w:noProof/>
        </w:rPr>
        <w:t>ail</w:t>
      </w:r>
      <w:r w:rsidRPr="00002DD5">
        <w:rPr>
          <w:b/>
          <w:noProof/>
        </w:rPr>
        <w:t xml:space="preserve"> (CIV</w:t>
      </w:r>
      <w:r w:rsidRPr="00002DD5">
        <w:rPr>
          <w:noProof/>
        </w:rPr>
        <w:t>)</w:t>
      </w:r>
    </w:p>
    <w:p w:rsidR="00873933" w:rsidRPr="00002DD5" w:rsidRDefault="00873933" w:rsidP="000215B1">
      <w:pPr>
        <w:pStyle w:val="Tiret0"/>
        <w:rPr>
          <w:noProof/>
        </w:rPr>
      </w:pPr>
      <w:r w:rsidRPr="00002DD5">
        <w:rPr>
          <w:noProof/>
        </w:rPr>
        <w:t xml:space="preserve">Appendix B – Contract of </w:t>
      </w:r>
      <w:r w:rsidR="008267C9">
        <w:rPr>
          <w:noProof/>
        </w:rPr>
        <w:t>I</w:t>
      </w:r>
      <w:r w:rsidR="00F06C3F">
        <w:rPr>
          <w:noProof/>
        </w:rPr>
        <w:t>n</w:t>
      </w:r>
      <w:r w:rsidR="00F06C3F" w:rsidRPr="00002DD5">
        <w:rPr>
          <w:noProof/>
        </w:rPr>
        <w:t xml:space="preserve">ternational </w:t>
      </w:r>
      <w:r w:rsidR="008267C9">
        <w:rPr>
          <w:noProof/>
        </w:rPr>
        <w:t>C</w:t>
      </w:r>
      <w:r w:rsidR="00F06C3F" w:rsidRPr="00002DD5">
        <w:rPr>
          <w:noProof/>
        </w:rPr>
        <w:t xml:space="preserve">arriage of </w:t>
      </w:r>
      <w:r w:rsidR="008267C9">
        <w:rPr>
          <w:noProof/>
        </w:rPr>
        <w:t>G</w:t>
      </w:r>
      <w:r w:rsidR="00F06C3F">
        <w:rPr>
          <w:noProof/>
        </w:rPr>
        <w:t>oods</w:t>
      </w:r>
      <w:r w:rsidR="00F06C3F" w:rsidRPr="00002DD5">
        <w:rPr>
          <w:noProof/>
        </w:rPr>
        <w:t xml:space="preserve"> by </w:t>
      </w:r>
      <w:r w:rsidR="008267C9">
        <w:rPr>
          <w:noProof/>
        </w:rPr>
        <w:t>R</w:t>
      </w:r>
      <w:r w:rsidR="00F06C3F" w:rsidRPr="00002DD5">
        <w:rPr>
          <w:noProof/>
        </w:rPr>
        <w:t>ail</w:t>
      </w:r>
      <w:r w:rsidR="00F06C3F" w:rsidRPr="00002DD5">
        <w:rPr>
          <w:b/>
          <w:noProof/>
        </w:rPr>
        <w:t xml:space="preserve"> </w:t>
      </w:r>
      <w:r w:rsidRPr="00002DD5">
        <w:rPr>
          <w:noProof/>
        </w:rPr>
        <w:t>(</w:t>
      </w:r>
      <w:r w:rsidRPr="00002DD5">
        <w:rPr>
          <w:b/>
          <w:noProof/>
        </w:rPr>
        <w:t>CIM</w:t>
      </w:r>
      <w:r w:rsidR="007A4B6F">
        <w:rPr>
          <w:b/>
          <w:noProof/>
        </w:rPr>
        <w:t>)</w:t>
      </w:r>
    </w:p>
    <w:p w:rsidR="00873933" w:rsidRPr="00002DD5" w:rsidRDefault="00873933" w:rsidP="000215B1">
      <w:pPr>
        <w:pStyle w:val="Tiret0"/>
        <w:rPr>
          <w:noProof/>
        </w:rPr>
      </w:pPr>
      <w:r w:rsidRPr="00002DD5">
        <w:rPr>
          <w:noProof/>
        </w:rPr>
        <w:t>Appendix C –</w:t>
      </w:r>
      <w:r w:rsidR="00740FC6" w:rsidRPr="00002DD5">
        <w:rPr>
          <w:noProof/>
        </w:rPr>
        <w:t xml:space="preserve"> </w:t>
      </w:r>
      <w:r w:rsidRPr="00002DD5">
        <w:rPr>
          <w:noProof/>
        </w:rPr>
        <w:t xml:space="preserve">International </w:t>
      </w:r>
      <w:r w:rsidR="008267C9">
        <w:rPr>
          <w:noProof/>
        </w:rPr>
        <w:t>C</w:t>
      </w:r>
      <w:r w:rsidRPr="00002DD5">
        <w:rPr>
          <w:noProof/>
        </w:rPr>
        <w:t xml:space="preserve">arriage of </w:t>
      </w:r>
      <w:r w:rsidR="008267C9">
        <w:rPr>
          <w:noProof/>
        </w:rPr>
        <w:t>D</w:t>
      </w:r>
      <w:r w:rsidRPr="00002DD5">
        <w:rPr>
          <w:noProof/>
        </w:rPr>
        <w:t xml:space="preserve">angerous </w:t>
      </w:r>
      <w:r w:rsidR="008267C9">
        <w:rPr>
          <w:noProof/>
        </w:rPr>
        <w:t>G</w:t>
      </w:r>
      <w:r w:rsidRPr="00002DD5">
        <w:rPr>
          <w:noProof/>
        </w:rPr>
        <w:t xml:space="preserve">oods by </w:t>
      </w:r>
      <w:r w:rsidR="008267C9">
        <w:rPr>
          <w:noProof/>
        </w:rPr>
        <w:t>R</w:t>
      </w:r>
      <w:r w:rsidRPr="00002DD5">
        <w:rPr>
          <w:noProof/>
        </w:rPr>
        <w:t>ail</w:t>
      </w:r>
      <w:r w:rsidRPr="00002DD5">
        <w:rPr>
          <w:b/>
          <w:noProof/>
        </w:rPr>
        <w:t xml:space="preserve"> (RID</w:t>
      </w:r>
      <w:r w:rsidRPr="00002DD5">
        <w:rPr>
          <w:noProof/>
        </w:rPr>
        <w:t>)</w:t>
      </w:r>
    </w:p>
    <w:p w:rsidR="00873933" w:rsidRPr="00002DD5" w:rsidRDefault="00873933" w:rsidP="000215B1">
      <w:pPr>
        <w:pStyle w:val="Tiret0"/>
        <w:rPr>
          <w:noProof/>
        </w:rPr>
      </w:pPr>
      <w:r w:rsidRPr="00002DD5">
        <w:rPr>
          <w:noProof/>
        </w:rPr>
        <w:t>Appendix D – Contract of use of vehicles in international rail traffic (</w:t>
      </w:r>
      <w:r w:rsidRPr="00002DD5">
        <w:rPr>
          <w:b/>
          <w:noProof/>
        </w:rPr>
        <w:t>CUV)</w:t>
      </w:r>
    </w:p>
    <w:p w:rsidR="00873933" w:rsidRPr="00002DD5" w:rsidRDefault="00873933" w:rsidP="000215B1">
      <w:pPr>
        <w:pStyle w:val="Tiret0"/>
        <w:rPr>
          <w:noProof/>
        </w:rPr>
      </w:pPr>
      <w:r w:rsidRPr="00002DD5">
        <w:rPr>
          <w:noProof/>
        </w:rPr>
        <w:t>Appendix E – Contract of use of infrastructure in international rail traffic (</w:t>
      </w:r>
      <w:r w:rsidRPr="00002DD5">
        <w:rPr>
          <w:b/>
          <w:noProof/>
        </w:rPr>
        <w:t>CUI)</w:t>
      </w:r>
    </w:p>
    <w:p w:rsidR="00873933" w:rsidRPr="00002DD5" w:rsidRDefault="00873933" w:rsidP="000215B1">
      <w:pPr>
        <w:pStyle w:val="Tiret0"/>
        <w:rPr>
          <w:noProof/>
        </w:rPr>
      </w:pPr>
      <w:r w:rsidRPr="00002DD5">
        <w:rPr>
          <w:noProof/>
        </w:rPr>
        <w:t>Appendix F –</w:t>
      </w:r>
      <w:r w:rsidR="00281F1E">
        <w:rPr>
          <w:noProof/>
        </w:rPr>
        <w:t xml:space="preserve"> </w:t>
      </w:r>
      <w:r w:rsidR="00904AF4" w:rsidRPr="00904AF4">
        <w:rPr>
          <w:noProof/>
        </w:rPr>
        <w:t>Uniform Rules concerning the </w:t>
      </w:r>
      <w:r w:rsidRPr="00002DD5">
        <w:rPr>
          <w:noProof/>
        </w:rPr>
        <w:t xml:space="preserve">Validation of </w:t>
      </w:r>
      <w:r w:rsidR="00904AF4">
        <w:rPr>
          <w:noProof/>
        </w:rPr>
        <w:t>T</w:t>
      </w:r>
      <w:r w:rsidRPr="00002DD5">
        <w:rPr>
          <w:noProof/>
        </w:rPr>
        <w:t xml:space="preserve">echnical </w:t>
      </w:r>
      <w:r w:rsidR="00904AF4">
        <w:rPr>
          <w:noProof/>
        </w:rPr>
        <w:t>S</w:t>
      </w:r>
      <w:r w:rsidRPr="00002DD5">
        <w:rPr>
          <w:noProof/>
        </w:rPr>
        <w:t xml:space="preserve">tandards and the </w:t>
      </w:r>
      <w:r w:rsidR="00904AF4">
        <w:rPr>
          <w:noProof/>
        </w:rPr>
        <w:t>A</w:t>
      </w:r>
      <w:r w:rsidRPr="00002DD5">
        <w:rPr>
          <w:noProof/>
        </w:rPr>
        <w:t xml:space="preserve">doption of </w:t>
      </w:r>
      <w:r w:rsidR="00904AF4">
        <w:rPr>
          <w:noProof/>
        </w:rPr>
        <w:t>U</w:t>
      </w:r>
      <w:r w:rsidRPr="00002DD5">
        <w:rPr>
          <w:noProof/>
        </w:rPr>
        <w:t xml:space="preserve">niform </w:t>
      </w:r>
      <w:r w:rsidR="00904AF4">
        <w:rPr>
          <w:noProof/>
        </w:rPr>
        <w:t>T</w:t>
      </w:r>
      <w:r w:rsidRPr="00002DD5">
        <w:rPr>
          <w:noProof/>
        </w:rPr>
        <w:t xml:space="preserve">echnical </w:t>
      </w:r>
      <w:r w:rsidR="00904AF4">
        <w:rPr>
          <w:noProof/>
        </w:rPr>
        <w:t>P</w:t>
      </w:r>
      <w:r w:rsidRPr="00002DD5">
        <w:rPr>
          <w:noProof/>
        </w:rPr>
        <w:t xml:space="preserve">rescriptions applicable to </w:t>
      </w:r>
      <w:r w:rsidR="001B15DC">
        <w:rPr>
          <w:noProof/>
        </w:rPr>
        <w:t>R</w:t>
      </w:r>
      <w:r w:rsidRPr="00002DD5">
        <w:rPr>
          <w:noProof/>
        </w:rPr>
        <w:t xml:space="preserve">ailway </w:t>
      </w:r>
      <w:r w:rsidR="001B15DC">
        <w:rPr>
          <w:noProof/>
        </w:rPr>
        <w:t>M</w:t>
      </w:r>
      <w:r w:rsidRPr="00002DD5">
        <w:rPr>
          <w:noProof/>
        </w:rPr>
        <w:t xml:space="preserve">aterial intended to be used in </w:t>
      </w:r>
      <w:r w:rsidR="001B15DC">
        <w:rPr>
          <w:noProof/>
        </w:rPr>
        <w:t>I</w:t>
      </w:r>
      <w:r w:rsidRPr="00002DD5">
        <w:rPr>
          <w:noProof/>
        </w:rPr>
        <w:t xml:space="preserve">nternational </w:t>
      </w:r>
      <w:r w:rsidR="001B15DC">
        <w:rPr>
          <w:noProof/>
        </w:rPr>
        <w:t>T</w:t>
      </w:r>
      <w:r w:rsidRPr="00002DD5">
        <w:rPr>
          <w:noProof/>
        </w:rPr>
        <w:t>raffic</w:t>
      </w:r>
      <w:r w:rsidRPr="00002DD5">
        <w:rPr>
          <w:b/>
          <w:noProof/>
        </w:rPr>
        <w:t xml:space="preserve"> (APTU</w:t>
      </w:r>
      <w:r w:rsidR="002632F7">
        <w:rPr>
          <w:b/>
          <w:noProof/>
        </w:rPr>
        <w:t xml:space="preserve"> UR</w:t>
      </w:r>
      <w:r w:rsidR="00281F1E">
        <w:rPr>
          <w:b/>
          <w:noProof/>
        </w:rPr>
        <w:t>)</w:t>
      </w:r>
    </w:p>
    <w:p w:rsidR="00873933" w:rsidRPr="00002DD5" w:rsidRDefault="00873933" w:rsidP="000215B1">
      <w:pPr>
        <w:pStyle w:val="Tiret0"/>
        <w:rPr>
          <w:noProof/>
        </w:rPr>
      </w:pPr>
      <w:r w:rsidRPr="00002DD5">
        <w:rPr>
          <w:noProof/>
        </w:rPr>
        <w:t>Appendix G –</w:t>
      </w:r>
      <w:r w:rsidR="00281F1E">
        <w:rPr>
          <w:noProof/>
        </w:rPr>
        <w:t xml:space="preserve"> </w:t>
      </w:r>
      <w:r w:rsidR="001B15DC" w:rsidRPr="001B15DC">
        <w:rPr>
          <w:noProof/>
        </w:rPr>
        <w:t>Uniform Rules concerning the </w:t>
      </w:r>
      <w:r w:rsidR="00281F1E">
        <w:rPr>
          <w:noProof/>
        </w:rPr>
        <w:t>T</w:t>
      </w:r>
      <w:r w:rsidRPr="00002DD5">
        <w:rPr>
          <w:noProof/>
        </w:rPr>
        <w:t xml:space="preserve">echnical </w:t>
      </w:r>
      <w:r w:rsidR="001B15DC">
        <w:rPr>
          <w:noProof/>
        </w:rPr>
        <w:t>A</w:t>
      </w:r>
      <w:r w:rsidRPr="00002DD5">
        <w:rPr>
          <w:noProof/>
        </w:rPr>
        <w:t xml:space="preserve">dmission of </w:t>
      </w:r>
      <w:r w:rsidR="001B15DC">
        <w:rPr>
          <w:noProof/>
        </w:rPr>
        <w:t>R</w:t>
      </w:r>
      <w:r w:rsidRPr="00002DD5">
        <w:rPr>
          <w:noProof/>
        </w:rPr>
        <w:t xml:space="preserve">ailway </w:t>
      </w:r>
      <w:r w:rsidR="001B15DC">
        <w:rPr>
          <w:noProof/>
        </w:rPr>
        <w:t>M</w:t>
      </w:r>
      <w:r w:rsidRPr="00002DD5">
        <w:rPr>
          <w:noProof/>
        </w:rPr>
        <w:t xml:space="preserve">aterial used in </w:t>
      </w:r>
      <w:r w:rsidR="002632F7">
        <w:rPr>
          <w:noProof/>
        </w:rPr>
        <w:t>I</w:t>
      </w:r>
      <w:r w:rsidRPr="00002DD5">
        <w:rPr>
          <w:noProof/>
        </w:rPr>
        <w:t xml:space="preserve">nternational </w:t>
      </w:r>
      <w:r w:rsidR="002632F7">
        <w:rPr>
          <w:noProof/>
        </w:rPr>
        <w:t>T</w:t>
      </w:r>
      <w:r w:rsidRPr="00002DD5">
        <w:rPr>
          <w:noProof/>
        </w:rPr>
        <w:t>raffic</w:t>
      </w:r>
      <w:r w:rsidRPr="00002DD5">
        <w:rPr>
          <w:b/>
          <w:noProof/>
        </w:rPr>
        <w:t xml:space="preserve"> (ATMF</w:t>
      </w:r>
      <w:r w:rsidR="002632F7">
        <w:rPr>
          <w:b/>
          <w:noProof/>
        </w:rPr>
        <w:t xml:space="preserve"> UR</w:t>
      </w:r>
      <w:r w:rsidRPr="00002DD5">
        <w:rPr>
          <w:b/>
          <w:noProof/>
        </w:rPr>
        <w:t>)</w:t>
      </w:r>
    </w:p>
    <w:p w:rsidR="00873933" w:rsidRPr="00002DD5" w:rsidRDefault="00873933" w:rsidP="000215B1">
      <w:pPr>
        <w:pStyle w:val="Tiret0"/>
        <w:rPr>
          <w:noProof/>
        </w:rPr>
      </w:pPr>
      <w:r w:rsidRPr="00002DD5">
        <w:rPr>
          <w:noProof/>
        </w:rPr>
        <w:t xml:space="preserve">Appendix H – </w:t>
      </w:r>
      <w:r w:rsidR="002632F7" w:rsidRPr="002632F7">
        <w:rPr>
          <w:noProof/>
        </w:rPr>
        <w:t>Uniform Rules concerning the </w:t>
      </w:r>
      <w:r w:rsidR="002632F7">
        <w:rPr>
          <w:noProof/>
        </w:rPr>
        <w:t>s</w:t>
      </w:r>
      <w:r w:rsidRPr="00002DD5">
        <w:rPr>
          <w:noProof/>
        </w:rPr>
        <w:t>afe operation of trains in international traffic</w:t>
      </w:r>
      <w:r w:rsidR="008A2A96" w:rsidRPr="00002DD5">
        <w:rPr>
          <w:noProof/>
        </w:rPr>
        <w:t xml:space="preserve"> </w:t>
      </w:r>
      <w:r w:rsidR="008A2A96" w:rsidRPr="00281F1E">
        <w:rPr>
          <w:b/>
          <w:bCs/>
          <w:noProof/>
        </w:rPr>
        <w:t>(EST</w:t>
      </w:r>
      <w:r w:rsidR="002632F7">
        <w:rPr>
          <w:b/>
          <w:bCs/>
          <w:noProof/>
        </w:rPr>
        <w:t xml:space="preserve"> UR</w:t>
      </w:r>
      <w:r w:rsidR="008A2A96" w:rsidRPr="00281F1E">
        <w:rPr>
          <w:b/>
          <w:bCs/>
          <w:noProof/>
        </w:rPr>
        <w:t>)</w:t>
      </w:r>
    </w:p>
    <w:p w:rsidR="00BE6387" w:rsidRPr="00002DD5" w:rsidRDefault="004C508F" w:rsidP="005A5CAF">
      <w:pPr>
        <w:rPr>
          <w:noProof/>
        </w:rPr>
      </w:pPr>
      <w:r>
        <w:rPr>
          <w:noProof/>
        </w:rPr>
        <w:t>T</w:t>
      </w:r>
      <w:r w:rsidR="00873933" w:rsidRPr="00002DD5">
        <w:rPr>
          <w:noProof/>
        </w:rPr>
        <w:t xml:space="preserve">here are </w:t>
      </w:r>
      <w:r w:rsidR="00014239" w:rsidRPr="00002DD5">
        <w:rPr>
          <w:noProof/>
        </w:rPr>
        <w:t>18</w:t>
      </w:r>
      <w:r w:rsidR="00873933" w:rsidRPr="00002DD5">
        <w:rPr>
          <w:noProof/>
        </w:rPr>
        <w:t xml:space="preserve"> </w:t>
      </w:r>
      <w:r w:rsidR="005B0FFE">
        <w:rPr>
          <w:noProof/>
        </w:rPr>
        <w:t>u</w:t>
      </w:r>
      <w:r w:rsidR="00C10AB7" w:rsidRPr="00002DD5">
        <w:rPr>
          <w:noProof/>
        </w:rPr>
        <w:t xml:space="preserve">niform </w:t>
      </w:r>
      <w:r w:rsidR="005B0FFE">
        <w:rPr>
          <w:noProof/>
        </w:rPr>
        <w:t>t</w:t>
      </w:r>
      <w:r w:rsidR="00C10AB7" w:rsidRPr="00002DD5">
        <w:rPr>
          <w:noProof/>
        </w:rPr>
        <w:t xml:space="preserve">echnical </w:t>
      </w:r>
      <w:r w:rsidR="00400765">
        <w:rPr>
          <w:noProof/>
        </w:rPr>
        <w:t>p</w:t>
      </w:r>
      <w:r w:rsidR="00C10AB7" w:rsidRPr="00002DD5">
        <w:rPr>
          <w:noProof/>
        </w:rPr>
        <w:t>rescription</w:t>
      </w:r>
      <w:r w:rsidR="005A1E68" w:rsidRPr="00002DD5">
        <w:rPr>
          <w:noProof/>
        </w:rPr>
        <w:t>s</w:t>
      </w:r>
      <w:r w:rsidR="00C10AB7" w:rsidRPr="00002DD5">
        <w:rPr>
          <w:noProof/>
        </w:rPr>
        <w:t xml:space="preserve"> (</w:t>
      </w:r>
      <w:r w:rsidR="002959E2" w:rsidRPr="00002DD5">
        <w:rPr>
          <w:noProof/>
        </w:rPr>
        <w:t>UTPs</w:t>
      </w:r>
      <w:r w:rsidR="00C10AB7" w:rsidRPr="00002DD5">
        <w:rPr>
          <w:noProof/>
        </w:rPr>
        <w:t>)</w:t>
      </w:r>
      <w:r w:rsidR="00873933" w:rsidRPr="00002DD5">
        <w:rPr>
          <w:noProof/>
        </w:rPr>
        <w:t xml:space="preserve"> for technical interoperability</w:t>
      </w:r>
      <w:r>
        <w:rPr>
          <w:noProof/>
        </w:rPr>
        <w:t xml:space="preserve"> developed under </w:t>
      </w:r>
      <w:r w:rsidR="000D37EF">
        <w:rPr>
          <w:noProof/>
        </w:rPr>
        <w:t>APTU</w:t>
      </w:r>
      <w:r w:rsidR="00BE3A69">
        <w:rPr>
          <w:noProof/>
        </w:rPr>
        <w:t xml:space="preserve"> UR</w:t>
      </w:r>
      <w:r w:rsidR="000D37EF">
        <w:rPr>
          <w:noProof/>
        </w:rPr>
        <w:t xml:space="preserve"> and ATMF</w:t>
      </w:r>
      <w:r w:rsidR="00BE3A69">
        <w:rPr>
          <w:noProof/>
        </w:rPr>
        <w:t xml:space="preserve"> UR</w:t>
      </w:r>
      <w:r w:rsidR="00873933" w:rsidRPr="00002DD5">
        <w:rPr>
          <w:noProof/>
        </w:rPr>
        <w:t xml:space="preserve">. </w:t>
      </w:r>
      <w:r w:rsidR="00BE6387" w:rsidRPr="00002DD5">
        <w:rPr>
          <w:noProof/>
        </w:rPr>
        <w:t>The UTPs in</w:t>
      </w:r>
      <w:r w:rsidR="00367926" w:rsidRPr="00002DD5">
        <w:rPr>
          <w:noProof/>
        </w:rPr>
        <w:t xml:space="preserve"> the framework of C</w:t>
      </w:r>
      <w:r w:rsidR="00BE6387" w:rsidRPr="00002DD5">
        <w:rPr>
          <w:noProof/>
        </w:rPr>
        <w:t>OTI</w:t>
      </w:r>
      <w:r w:rsidR="00CA5C9B">
        <w:rPr>
          <w:noProof/>
        </w:rPr>
        <w:t xml:space="preserve">F </w:t>
      </w:r>
      <w:r w:rsidR="00400765">
        <w:rPr>
          <w:noProof/>
        </w:rPr>
        <w:t xml:space="preserve">are </w:t>
      </w:r>
      <w:r w:rsidR="00CA5C9B">
        <w:rPr>
          <w:noProof/>
        </w:rPr>
        <w:t>technical standards</w:t>
      </w:r>
      <w:r w:rsidR="008A03ED">
        <w:rPr>
          <w:noProof/>
        </w:rPr>
        <w:t xml:space="preserve"> applicable </w:t>
      </w:r>
      <w:r w:rsidR="00086448">
        <w:rPr>
          <w:noProof/>
        </w:rPr>
        <w:t>for the technical admission of</w:t>
      </w:r>
      <w:r w:rsidR="008A03ED">
        <w:rPr>
          <w:noProof/>
        </w:rPr>
        <w:t xml:space="preserve"> railway material </w:t>
      </w:r>
      <w:r w:rsidR="00086448">
        <w:rPr>
          <w:noProof/>
        </w:rPr>
        <w:t xml:space="preserve">used in international traffic. They </w:t>
      </w:r>
      <w:r w:rsidR="00BE6387" w:rsidRPr="00002DD5">
        <w:rPr>
          <w:noProof/>
        </w:rPr>
        <w:t xml:space="preserve">have the same purpose </w:t>
      </w:r>
      <w:r w:rsidR="00471089" w:rsidRPr="00002DD5">
        <w:rPr>
          <w:noProof/>
        </w:rPr>
        <w:t xml:space="preserve">as </w:t>
      </w:r>
      <w:r w:rsidR="00BE6387" w:rsidRPr="00002DD5">
        <w:rPr>
          <w:noProof/>
        </w:rPr>
        <w:t>the</w:t>
      </w:r>
      <w:r w:rsidR="005B0FFE">
        <w:rPr>
          <w:noProof/>
        </w:rPr>
        <w:t xml:space="preserve"> EU</w:t>
      </w:r>
      <w:r w:rsidR="00BE6387" w:rsidRPr="00002DD5">
        <w:rPr>
          <w:noProof/>
        </w:rPr>
        <w:t xml:space="preserve"> technical specifications for interoperability (TSIs)</w:t>
      </w:r>
      <w:r w:rsidR="00D9728A">
        <w:rPr>
          <w:noProof/>
        </w:rPr>
        <w:t xml:space="preserve"> for </w:t>
      </w:r>
      <w:r w:rsidR="0020598C" w:rsidRPr="0020598C">
        <w:rPr>
          <w:noProof/>
        </w:rPr>
        <w:t>admission to international traffic</w:t>
      </w:r>
      <w:r w:rsidR="003658FD" w:rsidRPr="00002DD5">
        <w:rPr>
          <w:noProof/>
        </w:rPr>
        <w:t>, as defined in Chapter II of Directive (EU) 2016/797</w:t>
      </w:r>
      <w:r w:rsidR="004531F8" w:rsidRPr="00002DD5">
        <w:rPr>
          <w:rStyle w:val="FootnoteReference"/>
          <w:noProof/>
        </w:rPr>
        <w:footnoteReference w:id="4"/>
      </w:r>
      <w:r w:rsidR="00BE6387" w:rsidRPr="00002DD5">
        <w:rPr>
          <w:noProof/>
        </w:rPr>
        <w:t>.</w:t>
      </w:r>
    </w:p>
    <w:p w:rsidR="00873933" w:rsidRPr="00002DD5" w:rsidRDefault="003713D0" w:rsidP="005A5CAF">
      <w:pPr>
        <w:rPr>
          <w:noProof/>
        </w:rPr>
      </w:pPr>
      <w:r w:rsidRPr="00002DD5">
        <w:rPr>
          <w:noProof/>
        </w:rPr>
        <w:t>4</w:t>
      </w:r>
      <w:r w:rsidR="00AC6EE5" w:rsidRPr="00002DD5">
        <w:rPr>
          <w:noProof/>
        </w:rPr>
        <w:t>3</w:t>
      </w:r>
      <w:r w:rsidRPr="00002DD5">
        <w:rPr>
          <w:noProof/>
        </w:rPr>
        <w:t xml:space="preserve"> out of </w:t>
      </w:r>
      <w:r w:rsidR="007C473D" w:rsidRPr="00002DD5">
        <w:rPr>
          <w:noProof/>
        </w:rPr>
        <w:t xml:space="preserve">the </w:t>
      </w:r>
      <w:r w:rsidR="00AC6EE5" w:rsidRPr="00002DD5">
        <w:rPr>
          <w:noProof/>
        </w:rPr>
        <w:t xml:space="preserve">50 </w:t>
      </w:r>
      <w:r w:rsidR="00367926" w:rsidRPr="00002DD5">
        <w:rPr>
          <w:noProof/>
        </w:rPr>
        <w:t>States that</w:t>
      </w:r>
      <w:r w:rsidR="007C473D" w:rsidRPr="00002DD5">
        <w:rPr>
          <w:noProof/>
        </w:rPr>
        <w:t xml:space="preserve"> are </w:t>
      </w:r>
      <w:r w:rsidR="0020598C">
        <w:rPr>
          <w:noProof/>
        </w:rPr>
        <w:t>P</w:t>
      </w:r>
      <w:r w:rsidR="007C473D" w:rsidRPr="00002DD5">
        <w:rPr>
          <w:noProof/>
        </w:rPr>
        <w:t>art</w:t>
      </w:r>
      <w:r w:rsidR="0020598C">
        <w:rPr>
          <w:noProof/>
        </w:rPr>
        <w:t>ies</w:t>
      </w:r>
      <w:r w:rsidR="007C473D" w:rsidRPr="00002DD5">
        <w:rPr>
          <w:noProof/>
        </w:rPr>
        <w:t xml:space="preserve"> to COTIF</w:t>
      </w:r>
      <w:r w:rsidRPr="00002DD5">
        <w:rPr>
          <w:noProof/>
        </w:rPr>
        <w:t xml:space="preserve">, including the </w:t>
      </w:r>
      <w:r w:rsidR="007C473D" w:rsidRPr="00002DD5">
        <w:rPr>
          <w:noProof/>
        </w:rPr>
        <w:t xml:space="preserve">already mentioned </w:t>
      </w:r>
      <w:r w:rsidRPr="00002DD5">
        <w:rPr>
          <w:noProof/>
        </w:rPr>
        <w:t xml:space="preserve">25 EU Member States, apply </w:t>
      </w:r>
      <w:r w:rsidR="000D37EF">
        <w:rPr>
          <w:noProof/>
        </w:rPr>
        <w:t xml:space="preserve">APTU </w:t>
      </w:r>
      <w:r w:rsidR="0031572A">
        <w:rPr>
          <w:noProof/>
        </w:rPr>
        <w:t xml:space="preserve">UR </w:t>
      </w:r>
      <w:r w:rsidR="000D37EF">
        <w:rPr>
          <w:noProof/>
        </w:rPr>
        <w:t>and ATMF</w:t>
      </w:r>
      <w:r w:rsidR="0031572A">
        <w:rPr>
          <w:noProof/>
        </w:rPr>
        <w:t xml:space="preserve"> UR</w:t>
      </w:r>
      <w:r w:rsidRPr="00002DD5">
        <w:rPr>
          <w:noProof/>
        </w:rPr>
        <w:t>.</w:t>
      </w:r>
    </w:p>
    <w:p w:rsidR="008A149C" w:rsidRPr="00002DD5" w:rsidRDefault="00D753E4" w:rsidP="005A5CAF">
      <w:pPr>
        <w:rPr>
          <w:noProof/>
        </w:rPr>
      </w:pPr>
      <w:r>
        <w:rPr>
          <w:noProof/>
        </w:rPr>
        <w:t>T</w:t>
      </w:r>
      <w:r w:rsidR="008A149C" w:rsidRPr="00002DD5">
        <w:rPr>
          <w:noProof/>
        </w:rPr>
        <w:t xml:space="preserve">here are </w:t>
      </w:r>
      <w:r w:rsidR="0031572A">
        <w:rPr>
          <w:noProof/>
        </w:rPr>
        <w:t>four</w:t>
      </w:r>
      <w:r w:rsidR="008A149C" w:rsidRPr="00002DD5">
        <w:rPr>
          <w:noProof/>
        </w:rPr>
        <w:t xml:space="preserve"> Annexes </w:t>
      </w:r>
      <w:r w:rsidR="00B92C06">
        <w:rPr>
          <w:noProof/>
        </w:rPr>
        <w:t xml:space="preserve">developed under </w:t>
      </w:r>
      <w:r w:rsidR="003855F6">
        <w:rPr>
          <w:noProof/>
        </w:rPr>
        <w:t>EST</w:t>
      </w:r>
      <w:r w:rsidR="0031572A">
        <w:rPr>
          <w:noProof/>
        </w:rPr>
        <w:t xml:space="preserve"> UR</w:t>
      </w:r>
      <w:r w:rsidR="008A149C" w:rsidRPr="00002DD5">
        <w:rPr>
          <w:noProof/>
        </w:rPr>
        <w:t>. The</w:t>
      </w:r>
      <w:r w:rsidR="00D16EDB">
        <w:rPr>
          <w:noProof/>
        </w:rPr>
        <w:t>se</w:t>
      </w:r>
      <w:r w:rsidR="008A149C" w:rsidRPr="00002DD5">
        <w:rPr>
          <w:noProof/>
        </w:rPr>
        <w:t xml:space="preserve"> Annexes </w:t>
      </w:r>
      <w:r w:rsidR="0031572A">
        <w:rPr>
          <w:noProof/>
        </w:rPr>
        <w:t>concern</w:t>
      </w:r>
      <w:r w:rsidR="00B92C06">
        <w:rPr>
          <w:noProof/>
        </w:rPr>
        <w:t xml:space="preserve"> common safety methods </w:t>
      </w:r>
      <w:r w:rsidR="00D16EDB">
        <w:rPr>
          <w:noProof/>
        </w:rPr>
        <w:t xml:space="preserve">applicable </w:t>
      </w:r>
      <w:r w:rsidR="003855F6">
        <w:rPr>
          <w:noProof/>
        </w:rPr>
        <w:t>to</w:t>
      </w:r>
      <w:r w:rsidR="00D16EDB" w:rsidRPr="00002DD5">
        <w:rPr>
          <w:noProof/>
        </w:rPr>
        <w:t xml:space="preserve"> international </w:t>
      </w:r>
      <w:r w:rsidR="003855F6">
        <w:rPr>
          <w:noProof/>
        </w:rPr>
        <w:t xml:space="preserve">rail </w:t>
      </w:r>
      <w:r w:rsidR="00D16EDB" w:rsidRPr="00002DD5">
        <w:rPr>
          <w:noProof/>
        </w:rPr>
        <w:t>traffic</w:t>
      </w:r>
      <w:r w:rsidR="00D16EDB">
        <w:rPr>
          <w:noProof/>
        </w:rPr>
        <w:t xml:space="preserve">. They </w:t>
      </w:r>
      <w:r w:rsidR="008A149C" w:rsidRPr="00002DD5">
        <w:rPr>
          <w:noProof/>
        </w:rPr>
        <w:t>have the same purpose as the EU common safety methods (CSMs)</w:t>
      </w:r>
      <w:r w:rsidR="00AD3DE9">
        <w:rPr>
          <w:noProof/>
        </w:rPr>
        <w:t xml:space="preserve"> </w:t>
      </w:r>
      <w:r w:rsidR="00AD3DE9" w:rsidRPr="00AD3DE9">
        <w:rPr>
          <w:noProof/>
        </w:rPr>
        <w:t>for admission to international traffic</w:t>
      </w:r>
      <w:r w:rsidR="008A149C" w:rsidRPr="00002DD5">
        <w:rPr>
          <w:noProof/>
        </w:rPr>
        <w:t>, as defined in Chapter II of Directive (EU) 2016/798</w:t>
      </w:r>
      <w:r w:rsidR="002F28DE" w:rsidRPr="00002DD5">
        <w:rPr>
          <w:rStyle w:val="FootnoteReference"/>
          <w:noProof/>
        </w:rPr>
        <w:footnoteReference w:id="5"/>
      </w:r>
      <w:r w:rsidR="008A149C" w:rsidRPr="00002DD5">
        <w:rPr>
          <w:noProof/>
        </w:rPr>
        <w:t>.</w:t>
      </w:r>
      <w:r w:rsidR="004C6E80">
        <w:rPr>
          <w:noProof/>
        </w:rPr>
        <w:t xml:space="preserve"> </w:t>
      </w:r>
      <w:r w:rsidR="00AD3DE9">
        <w:rPr>
          <w:noProof/>
        </w:rPr>
        <w:t>The e</w:t>
      </w:r>
      <w:r w:rsidR="008A149C" w:rsidRPr="00002DD5">
        <w:rPr>
          <w:noProof/>
        </w:rPr>
        <w:t xml:space="preserve">ntry into force of </w:t>
      </w:r>
      <w:r w:rsidR="000D53F7">
        <w:rPr>
          <w:noProof/>
        </w:rPr>
        <w:t>EST</w:t>
      </w:r>
      <w:r w:rsidR="00AD3DE9">
        <w:rPr>
          <w:noProof/>
        </w:rPr>
        <w:t xml:space="preserve"> UR</w:t>
      </w:r>
      <w:r w:rsidR="000D37EF">
        <w:rPr>
          <w:noProof/>
        </w:rPr>
        <w:t xml:space="preserve"> </w:t>
      </w:r>
      <w:r w:rsidR="008A149C" w:rsidRPr="00002DD5">
        <w:rPr>
          <w:noProof/>
        </w:rPr>
        <w:t>is still pending approval by two-thirds of the states that are party to OTIF.</w:t>
      </w:r>
    </w:p>
    <w:p w:rsidR="0047675C" w:rsidRPr="00002DD5" w:rsidRDefault="0047675C" w:rsidP="005A5CAF">
      <w:pPr>
        <w:rPr>
          <w:noProof/>
        </w:rPr>
      </w:pPr>
    </w:p>
    <w:p w:rsidR="007024FE" w:rsidRPr="006855FA" w:rsidRDefault="007024FE" w:rsidP="00AE2DFE">
      <w:pPr>
        <w:pStyle w:val="ManualNumPar2"/>
        <w:keepNext/>
        <w:rPr>
          <w:b/>
          <w:bCs/>
          <w:noProof/>
        </w:rPr>
      </w:pPr>
      <w:r>
        <w:rPr>
          <w:noProof/>
        </w:rPr>
        <w:lastRenderedPageBreak/>
        <w:t>2.2.</w:t>
      </w:r>
      <w:r>
        <w:rPr>
          <w:noProof/>
        </w:rPr>
        <w:tab/>
      </w:r>
      <w:r w:rsidRPr="006855FA">
        <w:rPr>
          <w:b/>
          <w:bCs/>
          <w:noProof/>
        </w:rPr>
        <w:t xml:space="preserve">The </w:t>
      </w:r>
      <w:r w:rsidR="00EA32C3" w:rsidRPr="006855FA">
        <w:rPr>
          <w:b/>
          <w:bCs/>
          <w:noProof/>
        </w:rPr>
        <w:t xml:space="preserve">OTIF </w:t>
      </w:r>
      <w:r w:rsidR="00CA7516" w:rsidRPr="006855FA">
        <w:rPr>
          <w:b/>
          <w:bCs/>
          <w:noProof/>
        </w:rPr>
        <w:t xml:space="preserve">Committee of </w:t>
      </w:r>
      <w:r w:rsidR="00240E0A">
        <w:rPr>
          <w:b/>
          <w:bCs/>
          <w:noProof/>
        </w:rPr>
        <w:t>T</w:t>
      </w:r>
      <w:r w:rsidR="00CA7516" w:rsidRPr="006855FA">
        <w:rPr>
          <w:b/>
          <w:bCs/>
          <w:noProof/>
        </w:rPr>
        <w:t xml:space="preserve">echnical </w:t>
      </w:r>
      <w:r w:rsidR="00240E0A">
        <w:rPr>
          <w:b/>
          <w:bCs/>
          <w:noProof/>
        </w:rPr>
        <w:t>E</w:t>
      </w:r>
      <w:r w:rsidR="00CA7516" w:rsidRPr="006855FA">
        <w:rPr>
          <w:b/>
          <w:bCs/>
          <w:noProof/>
        </w:rPr>
        <w:t>xperts</w:t>
      </w:r>
      <w:r w:rsidR="00471089" w:rsidRPr="006855FA">
        <w:rPr>
          <w:b/>
          <w:bCs/>
          <w:noProof/>
        </w:rPr>
        <w:t xml:space="preserve"> (CTE)</w:t>
      </w:r>
    </w:p>
    <w:p w:rsidR="00806041" w:rsidRPr="00002DD5" w:rsidRDefault="007024FE" w:rsidP="00AE2DFE">
      <w:pPr>
        <w:keepNext/>
        <w:rPr>
          <w:noProof/>
        </w:rPr>
      </w:pPr>
      <w:r w:rsidRPr="00002DD5">
        <w:rPr>
          <w:noProof/>
        </w:rPr>
        <w:t xml:space="preserve">The </w:t>
      </w:r>
      <w:r w:rsidR="002959E2" w:rsidRPr="00002DD5">
        <w:rPr>
          <w:noProof/>
        </w:rPr>
        <w:t>CTE</w:t>
      </w:r>
      <w:r w:rsidR="00CA7516" w:rsidRPr="00002DD5">
        <w:rPr>
          <w:noProof/>
        </w:rPr>
        <w:t xml:space="preserve"> </w:t>
      </w:r>
      <w:r w:rsidR="002F08C4" w:rsidRPr="00002DD5">
        <w:rPr>
          <w:noProof/>
        </w:rPr>
        <w:t>is</w:t>
      </w:r>
      <w:r w:rsidR="00806041" w:rsidRPr="00002DD5">
        <w:rPr>
          <w:noProof/>
        </w:rPr>
        <w:t xml:space="preserve"> set up by Article </w:t>
      </w:r>
      <w:r w:rsidR="002F08C4" w:rsidRPr="00002DD5">
        <w:rPr>
          <w:noProof/>
        </w:rPr>
        <w:t xml:space="preserve">13(1)(f) </w:t>
      </w:r>
      <w:r w:rsidR="00806041" w:rsidRPr="00002DD5">
        <w:rPr>
          <w:noProof/>
        </w:rPr>
        <w:t xml:space="preserve">of COTIF. It is made up of the </w:t>
      </w:r>
      <w:r w:rsidR="00873933" w:rsidRPr="00002DD5">
        <w:rPr>
          <w:noProof/>
        </w:rPr>
        <w:t xml:space="preserve">OTIF </w:t>
      </w:r>
      <w:r w:rsidR="00806041" w:rsidRPr="00002DD5">
        <w:rPr>
          <w:noProof/>
        </w:rPr>
        <w:t>Member States that apply APTU</w:t>
      </w:r>
      <w:r w:rsidR="000D53F7">
        <w:rPr>
          <w:noProof/>
        </w:rPr>
        <w:t xml:space="preserve"> and </w:t>
      </w:r>
      <w:r w:rsidR="00806041" w:rsidRPr="00002DD5">
        <w:rPr>
          <w:noProof/>
        </w:rPr>
        <w:t xml:space="preserve">ATMF. </w:t>
      </w:r>
    </w:p>
    <w:p w:rsidR="00806041" w:rsidRPr="00002DD5" w:rsidRDefault="00806041" w:rsidP="00806041">
      <w:pPr>
        <w:rPr>
          <w:noProof/>
        </w:rPr>
      </w:pPr>
      <w:r w:rsidRPr="00002DD5">
        <w:rPr>
          <w:noProof/>
        </w:rPr>
        <w:t>The CTE has competence in matters of interoperability</w:t>
      </w:r>
      <w:r w:rsidR="00675339">
        <w:rPr>
          <w:noProof/>
        </w:rPr>
        <w:t xml:space="preserve"> and safety</w:t>
      </w:r>
      <w:r w:rsidRPr="00002DD5">
        <w:rPr>
          <w:noProof/>
        </w:rPr>
        <w:t xml:space="preserve"> </w:t>
      </w:r>
      <w:r w:rsidR="009903B5">
        <w:rPr>
          <w:noProof/>
        </w:rPr>
        <w:t>of international rail traffic</w:t>
      </w:r>
      <w:r w:rsidRPr="00002DD5">
        <w:rPr>
          <w:noProof/>
        </w:rPr>
        <w:t>. It develops the APTU</w:t>
      </w:r>
      <w:r w:rsidR="009903B5">
        <w:rPr>
          <w:noProof/>
        </w:rPr>
        <w:t xml:space="preserve">, </w:t>
      </w:r>
      <w:r w:rsidRPr="00002DD5">
        <w:rPr>
          <w:noProof/>
        </w:rPr>
        <w:t>ATMF</w:t>
      </w:r>
      <w:r w:rsidR="009903B5">
        <w:rPr>
          <w:noProof/>
        </w:rPr>
        <w:t>, EST</w:t>
      </w:r>
      <w:r w:rsidRPr="00002DD5">
        <w:rPr>
          <w:noProof/>
        </w:rPr>
        <w:t xml:space="preserve"> and </w:t>
      </w:r>
      <w:r w:rsidR="009903B5">
        <w:rPr>
          <w:noProof/>
        </w:rPr>
        <w:t xml:space="preserve">their </w:t>
      </w:r>
      <w:r w:rsidR="00CB2348">
        <w:rPr>
          <w:noProof/>
        </w:rPr>
        <w:t xml:space="preserve">respective </w:t>
      </w:r>
      <w:r w:rsidR="009903B5">
        <w:rPr>
          <w:noProof/>
        </w:rPr>
        <w:t>Annexes</w:t>
      </w:r>
      <w:r w:rsidR="00CB2348">
        <w:rPr>
          <w:noProof/>
        </w:rPr>
        <w:t>,</w:t>
      </w:r>
      <w:r w:rsidRPr="00002DD5">
        <w:rPr>
          <w:noProof/>
        </w:rPr>
        <w:t xml:space="preserve"> </w:t>
      </w:r>
      <w:r w:rsidR="002C27BA">
        <w:rPr>
          <w:noProof/>
        </w:rPr>
        <w:t>as well as corresponding guidance</w:t>
      </w:r>
      <w:r w:rsidR="005312A3">
        <w:rPr>
          <w:noProof/>
        </w:rPr>
        <w:t>,</w:t>
      </w:r>
      <w:r w:rsidR="002C27BA">
        <w:rPr>
          <w:noProof/>
        </w:rPr>
        <w:t xml:space="preserve"> </w:t>
      </w:r>
      <w:r w:rsidRPr="00002DD5">
        <w:rPr>
          <w:noProof/>
        </w:rPr>
        <w:t xml:space="preserve">which apply to </w:t>
      </w:r>
      <w:r w:rsidR="007C193F">
        <w:rPr>
          <w:noProof/>
        </w:rPr>
        <w:t xml:space="preserve">the </w:t>
      </w:r>
      <w:r w:rsidR="004309BC">
        <w:rPr>
          <w:noProof/>
        </w:rPr>
        <w:t xml:space="preserve">admission and operation of </w:t>
      </w:r>
      <w:r w:rsidRPr="00002DD5">
        <w:rPr>
          <w:noProof/>
        </w:rPr>
        <w:t xml:space="preserve">railway material </w:t>
      </w:r>
      <w:r w:rsidR="006275C6">
        <w:rPr>
          <w:noProof/>
        </w:rPr>
        <w:t xml:space="preserve">and infrastructure </w:t>
      </w:r>
      <w:r w:rsidRPr="00002DD5">
        <w:rPr>
          <w:noProof/>
        </w:rPr>
        <w:t>intended for use in international traffic</w:t>
      </w:r>
      <w:r w:rsidR="004309BC">
        <w:rPr>
          <w:noProof/>
        </w:rPr>
        <w:t xml:space="preserve">. This </w:t>
      </w:r>
      <w:r w:rsidRPr="00002DD5">
        <w:rPr>
          <w:noProof/>
        </w:rPr>
        <w:t>concern</w:t>
      </w:r>
      <w:r w:rsidR="004309BC">
        <w:rPr>
          <w:noProof/>
        </w:rPr>
        <w:t>s</w:t>
      </w:r>
      <w:r w:rsidR="00EC295F">
        <w:rPr>
          <w:noProof/>
        </w:rPr>
        <w:t xml:space="preserve"> </w:t>
      </w:r>
      <w:r w:rsidRPr="00002DD5">
        <w:rPr>
          <w:noProof/>
        </w:rPr>
        <w:t>in particular:</w:t>
      </w:r>
    </w:p>
    <w:p w:rsidR="00806041" w:rsidRPr="00002DD5" w:rsidRDefault="00C97424" w:rsidP="009F1438">
      <w:pPr>
        <w:pStyle w:val="Tiret0"/>
        <w:numPr>
          <w:ilvl w:val="0"/>
          <w:numId w:val="11"/>
        </w:numPr>
        <w:rPr>
          <w:noProof/>
        </w:rPr>
      </w:pPr>
      <w:r>
        <w:rPr>
          <w:noProof/>
        </w:rPr>
        <w:t xml:space="preserve">The </w:t>
      </w:r>
      <w:r w:rsidR="00806041" w:rsidRPr="00002DD5">
        <w:rPr>
          <w:noProof/>
        </w:rPr>
        <w:t xml:space="preserve">adoption of technical prescriptions </w:t>
      </w:r>
      <w:r w:rsidR="00EC295F">
        <w:rPr>
          <w:noProof/>
        </w:rPr>
        <w:t>and</w:t>
      </w:r>
      <w:r w:rsidR="004309BC">
        <w:rPr>
          <w:noProof/>
        </w:rPr>
        <w:t xml:space="preserve"> technical </w:t>
      </w:r>
      <w:r w:rsidR="00806041" w:rsidRPr="00002DD5">
        <w:rPr>
          <w:noProof/>
        </w:rPr>
        <w:t>standards</w:t>
      </w:r>
      <w:r w:rsidR="009E3218" w:rsidRPr="00002DD5">
        <w:rPr>
          <w:noProof/>
        </w:rPr>
        <w:t>;</w:t>
      </w:r>
    </w:p>
    <w:p w:rsidR="00806041" w:rsidRPr="00002DD5" w:rsidRDefault="00806041" w:rsidP="009F1438">
      <w:pPr>
        <w:pStyle w:val="Tiret0"/>
        <w:numPr>
          <w:ilvl w:val="0"/>
          <w:numId w:val="11"/>
        </w:numPr>
        <w:rPr>
          <w:noProof/>
        </w:rPr>
      </w:pPr>
      <w:r w:rsidRPr="00002DD5">
        <w:rPr>
          <w:noProof/>
        </w:rPr>
        <w:t xml:space="preserve">procedures concerning the assessment of conformity of </w:t>
      </w:r>
      <w:r w:rsidR="005A0E3A">
        <w:rPr>
          <w:noProof/>
        </w:rPr>
        <w:t xml:space="preserve">railway material and infrastructure </w:t>
      </w:r>
      <w:r w:rsidR="00A327B0">
        <w:rPr>
          <w:noProof/>
        </w:rPr>
        <w:t xml:space="preserve">against </w:t>
      </w:r>
      <w:r w:rsidR="00EC295F">
        <w:rPr>
          <w:noProof/>
        </w:rPr>
        <w:t xml:space="preserve">these </w:t>
      </w:r>
      <w:r w:rsidR="00EC699F">
        <w:rPr>
          <w:noProof/>
        </w:rPr>
        <w:t>prescriptions and standards</w:t>
      </w:r>
      <w:r w:rsidR="009E3218" w:rsidRPr="00002DD5">
        <w:rPr>
          <w:noProof/>
        </w:rPr>
        <w:t>;</w:t>
      </w:r>
    </w:p>
    <w:p w:rsidR="00E51ECB" w:rsidRPr="00002DD5" w:rsidRDefault="00806041" w:rsidP="00E51ECB">
      <w:pPr>
        <w:pStyle w:val="Tiret0"/>
        <w:numPr>
          <w:ilvl w:val="0"/>
          <w:numId w:val="11"/>
        </w:numPr>
        <w:rPr>
          <w:noProof/>
        </w:rPr>
      </w:pPr>
      <w:r w:rsidRPr="00002DD5">
        <w:rPr>
          <w:noProof/>
        </w:rPr>
        <w:t>provisions concerning the maintenance</w:t>
      </w:r>
      <w:r w:rsidR="00903AC6">
        <w:rPr>
          <w:noProof/>
        </w:rPr>
        <w:t xml:space="preserve"> of</w:t>
      </w:r>
      <w:r w:rsidR="00A327B0">
        <w:rPr>
          <w:noProof/>
        </w:rPr>
        <w:t xml:space="preserve"> railway material and infrastructure</w:t>
      </w:r>
      <w:r w:rsidR="00E51ECB" w:rsidRPr="00002DD5">
        <w:rPr>
          <w:noProof/>
        </w:rPr>
        <w:t>;</w:t>
      </w:r>
    </w:p>
    <w:p w:rsidR="00806041" w:rsidRPr="00002DD5" w:rsidRDefault="00806041">
      <w:pPr>
        <w:pStyle w:val="Tiret0"/>
        <w:numPr>
          <w:ilvl w:val="0"/>
          <w:numId w:val="11"/>
        </w:numPr>
        <w:rPr>
          <w:noProof/>
        </w:rPr>
      </w:pPr>
      <w:r w:rsidRPr="00002DD5">
        <w:rPr>
          <w:noProof/>
        </w:rPr>
        <w:t xml:space="preserve">responsibilities for safe </w:t>
      </w:r>
      <w:r w:rsidR="00EC699F">
        <w:rPr>
          <w:noProof/>
        </w:rPr>
        <w:t xml:space="preserve">operation and </w:t>
      </w:r>
      <w:r w:rsidRPr="00002DD5">
        <w:rPr>
          <w:noProof/>
        </w:rPr>
        <w:t>provisions concerning risk evaluation and assessment</w:t>
      </w:r>
      <w:r w:rsidR="009E3218" w:rsidRPr="00002DD5">
        <w:rPr>
          <w:noProof/>
        </w:rPr>
        <w:t>;</w:t>
      </w:r>
    </w:p>
    <w:p w:rsidR="00806041" w:rsidRPr="00002DD5" w:rsidRDefault="00806041" w:rsidP="009F1438">
      <w:pPr>
        <w:pStyle w:val="Tiret0"/>
        <w:numPr>
          <w:ilvl w:val="0"/>
          <w:numId w:val="11"/>
        </w:numPr>
        <w:rPr>
          <w:noProof/>
        </w:rPr>
      </w:pPr>
      <w:r w:rsidRPr="00002DD5">
        <w:rPr>
          <w:noProof/>
        </w:rPr>
        <w:t>specifications for registers</w:t>
      </w:r>
      <w:r w:rsidR="009805A3">
        <w:rPr>
          <w:noProof/>
        </w:rPr>
        <w:t xml:space="preserve"> necessary for the </w:t>
      </w:r>
      <w:r w:rsidR="00EC295F">
        <w:rPr>
          <w:noProof/>
        </w:rPr>
        <w:t>application</w:t>
      </w:r>
      <w:r w:rsidR="009805A3">
        <w:rPr>
          <w:noProof/>
        </w:rPr>
        <w:t xml:space="preserve"> of above </w:t>
      </w:r>
      <w:r w:rsidR="00EC295F">
        <w:rPr>
          <w:noProof/>
        </w:rPr>
        <w:t>provisions</w:t>
      </w:r>
      <w:r w:rsidRPr="00002DD5">
        <w:rPr>
          <w:noProof/>
        </w:rPr>
        <w:t>.</w:t>
      </w:r>
    </w:p>
    <w:p w:rsidR="00806041" w:rsidRPr="00002DD5" w:rsidRDefault="00806041" w:rsidP="00806041">
      <w:pPr>
        <w:rPr>
          <w:noProof/>
        </w:rPr>
      </w:pPr>
      <w:r w:rsidRPr="00002DD5">
        <w:rPr>
          <w:noProof/>
        </w:rPr>
        <w:t>The CTE currently has a standing working group (WG TECH) which is responsible for preparing the former’s decisions.</w:t>
      </w:r>
    </w:p>
    <w:p w:rsidR="007900FA" w:rsidRPr="007900FA" w:rsidRDefault="007900FA" w:rsidP="007900FA">
      <w:pPr>
        <w:rPr>
          <w:noProof/>
        </w:rPr>
      </w:pPr>
      <w:r>
        <w:rPr>
          <w:noProof/>
        </w:rPr>
        <w:t>I</w:t>
      </w:r>
      <w:r w:rsidRPr="007900FA">
        <w:rPr>
          <w:noProof/>
        </w:rPr>
        <w:t>n accordance with Article 16</w:t>
      </w:r>
      <w:r w:rsidR="006A350B">
        <w:rPr>
          <w:noProof/>
        </w:rPr>
        <w:t>(</w:t>
      </w:r>
      <w:r w:rsidRPr="007900FA">
        <w:rPr>
          <w:noProof/>
        </w:rPr>
        <w:t>10</w:t>
      </w:r>
      <w:r w:rsidR="006A350B">
        <w:rPr>
          <w:noProof/>
        </w:rPr>
        <w:t>)</w:t>
      </w:r>
      <w:r w:rsidRPr="007900FA">
        <w:rPr>
          <w:noProof/>
        </w:rPr>
        <w:t xml:space="preserve"> of COTIF, the CTE is competent to adopt its rules of procedure.</w:t>
      </w:r>
    </w:p>
    <w:p w:rsidR="00DB1FFA" w:rsidRPr="00DB1FFA" w:rsidRDefault="002F08C4" w:rsidP="009318D9">
      <w:pPr>
        <w:rPr>
          <w:noProof/>
        </w:rPr>
      </w:pPr>
      <w:r w:rsidRPr="00002DD5">
        <w:rPr>
          <w:noProof/>
        </w:rPr>
        <w:t>Pursuant to Article 20(1)(b) of COTIF, and in accordance with Article 6</w:t>
      </w:r>
      <w:r w:rsidR="00DB34C0">
        <w:rPr>
          <w:noProof/>
        </w:rPr>
        <w:t>(1)</w:t>
      </w:r>
      <w:r w:rsidRPr="00002DD5">
        <w:rPr>
          <w:noProof/>
        </w:rPr>
        <w:t xml:space="preserve"> of APTU, the CTE is competent to </w:t>
      </w:r>
      <w:r w:rsidR="00F0162A" w:rsidRPr="00002DD5">
        <w:rPr>
          <w:noProof/>
        </w:rPr>
        <w:t>adopt or</w:t>
      </w:r>
      <w:r w:rsidRPr="00002DD5">
        <w:rPr>
          <w:noProof/>
        </w:rPr>
        <w:t xml:space="preserve"> to amend </w:t>
      </w:r>
      <w:r w:rsidR="00E55FB2">
        <w:rPr>
          <w:noProof/>
        </w:rPr>
        <w:t>its respective</w:t>
      </w:r>
      <w:r w:rsidRPr="00002DD5">
        <w:rPr>
          <w:noProof/>
        </w:rPr>
        <w:t xml:space="preserve"> UTPs</w:t>
      </w:r>
      <w:r w:rsidR="009318D9">
        <w:rPr>
          <w:noProof/>
        </w:rPr>
        <w:t xml:space="preserve">. In accordance with </w:t>
      </w:r>
      <w:r w:rsidR="00A55740">
        <w:rPr>
          <w:noProof/>
        </w:rPr>
        <w:t xml:space="preserve">Article 20(1)(e) of COTIF and </w:t>
      </w:r>
      <w:r w:rsidR="009318D9" w:rsidRPr="00CE1B53">
        <w:rPr>
          <w:noProof/>
        </w:rPr>
        <w:t xml:space="preserve">Article </w:t>
      </w:r>
      <w:r w:rsidR="009318D9">
        <w:rPr>
          <w:noProof/>
        </w:rPr>
        <w:t>21</w:t>
      </w:r>
      <w:r w:rsidR="00DB34C0">
        <w:rPr>
          <w:noProof/>
        </w:rPr>
        <w:t>(1)</w:t>
      </w:r>
      <w:r w:rsidR="009318D9" w:rsidRPr="00CE1B53">
        <w:rPr>
          <w:noProof/>
        </w:rPr>
        <w:t xml:space="preserve"> of A</w:t>
      </w:r>
      <w:r w:rsidR="009318D9">
        <w:rPr>
          <w:noProof/>
        </w:rPr>
        <w:t>TMF</w:t>
      </w:r>
      <w:r w:rsidR="009318D9" w:rsidRPr="00CE1B53">
        <w:rPr>
          <w:noProof/>
        </w:rPr>
        <w:t>, the CTE is</w:t>
      </w:r>
      <w:r w:rsidR="009318D9">
        <w:rPr>
          <w:noProof/>
        </w:rPr>
        <w:t xml:space="preserve"> also</w:t>
      </w:r>
      <w:r w:rsidR="009318D9" w:rsidRPr="00CE1B53">
        <w:rPr>
          <w:noProof/>
        </w:rPr>
        <w:t xml:space="preserve"> competent to adopt or to amend </w:t>
      </w:r>
      <w:r w:rsidR="009318D9">
        <w:rPr>
          <w:noProof/>
        </w:rPr>
        <w:t>its respective</w:t>
      </w:r>
      <w:r w:rsidR="009318D9" w:rsidRPr="00CE1B53">
        <w:rPr>
          <w:noProof/>
        </w:rPr>
        <w:t xml:space="preserve"> UTPs</w:t>
      </w:r>
      <w:r w:rsidR="009318D9">
        <w:rPr>
          <w:noProof/>
        </w:rPr>
        <w:t>. These amendments are carried out</w:t>
      </w:r>
      <w:r w:rsidR="009318D9" w:rsidRPr="00DB1FFA">
        <w:rPr>
          <w:noProof/>
        </w:rPr>
        <w:t xml:space="preserve"> </w:t>
      </w:r>
      <w:r w:rsidR="00DB1FFA" w:rsidRPr="00DB1FFA">
        <w:rPr>
          <w:noProof/>
        </w:rPr>
        <w:t>in accordance with the procedure laid down in Articles 16, 20 and 33</w:t>
      </w:r>
      <w:r w:rsidR="00016CAC">
        <w:rPr>
          <w:noProof/>
        </w:rPr>
        <w:t>(</w:t>
      </w:r>
      <w:r w:rsidR="00DB1FFA" w:rsidRPr="00DB1FFA">
        <w:rPr>
          <w:noProof/>
        </w:rPr>
        <w:t>6</w:t>
      </w:r>
      <w:r w:rsidR="004F345A">
        <w:rPr>
          <w:noProof/>
        </w:rPr>
        <w:t>)</w:t>
      </w:r>
      <w:r w:rsidR="00DB1FFA" w:rsidRPr="00DB1FFA">
        <w:rPr>
          <w:noProof/>
        </w:rPr>
        <w:t xml:space="preserve"> of COTIF</w:t>
      </w:r>
      <w:r w:rsidR="009318D9">
        <w:rPr>
          <w:noProof/>
        </w:rPr>
        <w:t xml:space="preserve">, and </w:t>
      </w:r>
      <w:r w:rsidR="00DB1FFA" w:rsidRPr="00DB1FFA">
        <w:rPr>
          <w:noProof/>
        </w:rPr>
        <w:t>enter into force in accordance with</w:t>
      </w:r>
      <w:r w:rsidR="009318D9">
        <w:rPr>
          <w:noProof/>
        </w:rPr>
        <w:t xml:space="preserve"> </w:t>
      </w:r>
      <w:r w:rsidR="004F345A">
        <w:rPr>
          <w:noProof/>
        </w:rPr>
        <w:t xml:space="preserve">the paragraphs 3 and 4 of </w:t>
      </w:r>
      <w:r w:rsidR="00DB1FFA" w:rsidRPr="00DB1FFA">
        <w:rPr>
          <w:noProof/>
        </w:rPr>
        <w:t>Article 35.</w:t>
      </w:r>
    </w:p>
    <w:p w:rsidR="001D0816" w:rsidRDefault="00C52C62" w:rsidP="00806041">
      <w:pPr>
        <w:rPr>
          <w:noProof/>
        </w:rPr>
      </w:pPr>
      <w:r>
        <w:rPr>
          <w:noProof/>
        </w:rPr>
        <w:t>Finally</w:t>
      </w:r>
      <w:r w:rsidR="001D0816">
        <w:rPr>
          <w:noProof/>
        </w:rPr>
        <w:t>, in</w:t>
      </w:r>
      <w:r w:rsidR="0033037A" w:rsidRPr="00002DD5">
        <w:rPr>
          <w:noProof/>
        </w:rPr>
        <w:t xml:space="preserve"> accordance with </w:t>
      </w:r>
      <w:r w:rsidR="00704130">
        <w:rPr>
          <w:noProof/>
        </w:rPr>
        <w:t xml:space="preserve">Article 20(1)(e) of COTIF, and pursuant to </w:t>
      </w:r>
      <w:r w:rsidR="0033037A" w:rsidRPr="00002DD5">
        <w:rPr>
          <w:noProof/>
        </w:rPr>
        <w:t xml:space="preserve">Article 21(4) of </w:t>
      </w:r>
      <w:r w:rsidR="00BC41A2" w:rsidRPr="00002DD5">
        <w:rPr>
          <w:noProof/>
        </w:rPr>
        <w:t>ATMF, t</w:t>
      </w:r>
      <w:r w:rsidR="0033037A" w:rsidRPr="00002DD5">
        <w:rPr>
          <w:noProof/>
        </w:rPr>
        <w:t xml:space="preserve">he </w:t>
      </w:r>
      <w:r w:rsidR="00BC41A2" w:rsidRPr="00002DD5">
        <w:rPr>
          <w:noProof/>
        </w:rPr>
        <w:t xml:space="preserve">CTE is </w:t>
      </w:r>
      <w:r w:rsidR="002B646A">
        <w:rPr>
          <w:noProof/>
        </w:rPr>
        <w:t xml:space="preserve">also </w:t>
      </w:r>
      <w:r w:rsidR="00BC41A2" w:rsidRPr="00002DD5">
        <w:rPr>
          <w:noProof/>
        </w:rPr>
        <w:t>competent to</w:t>
      </w:r>
      <w:r w:rsidR="0033037A" w:rsidRPr="00002DD5">
        <w:rPr>
          <w:noProof/>
        </w:rPr>
        <w:t xml:space="preserve"> </w:t>
      </w:r>
      <w:r w:rsidR="009B1E59" w:rsidRPr="00002DD5">
        <w:rPr>
          <w:noProof/>
        </w:rPr>
        <w:t>recommend methods and practices relating to the technical admission of railway material used in international traffic</w:t>
      </w:r>
      <w:r w:rsidR="0033037A" w:rsidRPr="00002DD5">
        <w:rPr>
          <w:noProof/>
        </w:rPr>
        <w:t>.</w:t>
      </w:r>
    </w:p>
    <w:p w:rsidR="0047675C" w:rsidRPr="00002DD5" w:rsidRDefault="0047675C" w:rsidP="00806041">
      <w:pPr>
        <w:rPr>
          <w:noProof/>
        </w:rPr>
      </w:pPr>
    </w:p>
    <w:p w:rsidR="00806041" w:rsidRDefault="009E3218" w:rsidP="00104940">
      <w:pPr>
        <w:pStyle w:val="ManualNumPar2"/>
        <w:rPr>
          <w:b/>
          <w:bCs/>
          <w:noProof/>
        </w:rPr>
      </w:pPr>
      <w:r>
        <w:rPr>
          <w:noProof/>
        </w:rPr>
        <w:t>2.3.</w:t>
      </w:r>
      <w:r>
        <w:rPr>
          <w:noProof/>
        </w:rPr>
        <w:tab/>
      </w:r>
      <w:r w:rsidRPr="006855FA">
        <w:rPr>
          <w:b/>
          <w:bCs/>
          <w:noProof/>
        </w:rPr>
        <w:t xml:space="preserve">The </w:t>
      </w:r>
      <w:r w:rsidR="00E47197">
        <w:rPr>
          <w:b/>
          <w:bCs/>
          <w:noProof/>
        </w:rPr>
        <w:t>envisaged</w:t>
      </w:r>
      <w:r w:rsidRPr="006855FA">
        <w:rPr>
          <w:b/>
          <w:bCs/>
          <w:noProof/>
        </w:rPr>
        <w:t xml:space="preserve"> acts</w:t>
      </w:r>
      <w:r w:rsidR="00FA09FD">
        <w:rPr>
          <w:b/>
          <w:bCs/>
          <w:noProof/>
        </w:rPr>
        <w:t xml:space="preserve"> to be adopted</w:t>
      </w:r>
      <w:r w:rsidRPr="006855FA">
        <w:rPr>
          <w:b/>
          <w:bCs/>
          <w:noProof/>
        </w:rPr>
        <w:t xml:space="preserve"> by </w:t>
      </w:r>
      <w:r w:rsidR="0022244A" w:rsidRPr="006855FA">
        <w:rPr>
          <w:b/>
          <w:bCs/>
          <w:noProof/>
        </w:rPr>
        <w:t>the</w:t>
      </w:r>
      <w:r w:rsidR="00806041" w:rsidRPr="006855FA">
        <w:rPr>
          <w:b/>
          <w:bCs/>
          <w:noProof/>
        </w:rPr>
        <w:t xml:space="preserve"> CTE</w:t>
      </w:r>
    </w:p>
    <w:p w:rsidR="00D7522D" w:rsidRDefault="000325AD">
      <w:pPr>
        <w:pStyle w:val="Text1"/>
        <w:ind w:left="0"/>
        <w:rPr>
          <w:noProof/>
        </w:rPr>
      </w:pPr>
      <w:r>
        <w:rPr>
          <w:noProof/>
        </w:rPr>
        <w:t xml:space="preserve">On </w:t>
      </w:r>
      <w:r w:rsidRPr="000325AD">
        <w:rPr>
          <w:noProof/>
        </w:rPr>
        <w:t>9 June 2026</w:t>
      </w:r>
      <w:r>
        <w:rPr>
          <w:noProof/>
        </w:rPr>
        <w:t>, during its 18</w:t>
      </w:r>
      <w:r w:rsidRPr="006855FA">
        <w:rPr>
          <w:noProof/>
          <w:vertAlign w:val="superscript"/>
        </w:rPr>
        <w:t>th</w:t>
      </w:r>
      <w:r>
        <w:rPr>
          <w:noProof/>
        </w:rPr>
        <w:t xml:space="preserve"> session, </w:t>
      </w:r>
      <w:r w:rsidR="00383BB1">
        <w:rPr>
          <w:noProof/>
        </w:rPr>
        <w:t>the CTE is to adopt</w:t>
      </w:r>
      <w:r w:rsidR="000834C0">
        <w:rPr>
          <w:noProof/>
        </w:rPr>
        <w:t xml:space="preserve"> the following:</w:t>
      </w:r>
    </w:p>
    <w:p w:rsidR="00D7522D" w:rsidRDefault="00002C3D" w:rsidP="00D7522D">
      <w:pPr>
        <w:pStyle w:val="Tiret0"/>
        <w:numPr>
          <w:ilvl w:val="0"/>
          <w:numId w:val="11"/>
        </w:numPr>
        <w:rPr>
          <w:noProof/>
        </w:rPr>
      </w:pPr>
      <w:r>
        <w:rPr>
          <w:noProof/>
        </w:rPr>
        <w:t>a m</w:t>
      </w:r>
      <w:r w:rsidRPr="00002C3D">
        <w:rPr>
          <w:noProof/>
        </w:rPr>
        <w:t xml:space="preserve">odification of </w:t>
      </w:r>
      <w:r>
        <w:rPr>
          <w:noProof/>
        </w:rPr>
        <w:t>its</w:t>
      </w:r>
      <w:r w:rsidRPr="00002C3D">
        <w:rPr>
          <w:noProof/>
        </w:rPr>
        <w:t xml:space="preserve"> Rules of Procedure of CTE</w:t>
      </w:r>
      <w:r w:rsidR="00D7522D">
        <w:rPr>
          <w:noProof/>
        </w:rPr>
        <w:t>;</w:t>
      </w:r>
    </w:p>
    <w:p w:rsidR="00D7522D" w:rsidRDefault="00002C3D" w:rsidP="00D7522D">
      <w:pPr>
        <w:pStyle w:val="Tiret0"/>
        <w:numPr>
          <w:ilvl w:val="0"/>
          <w:numId w:val="11"/>
        </w:numPr>
        <w:rPr>
          <w:noProof/>
        </w:rPr>
      </w:pPr>
      <w:r>
        <w:rPr>
          <w:noProof/>
        </w:rPr>
        <w:t>a r</w:t>
      </w:r>
      <w:r w:rsidRPr="00002C3D">
        <w:rPr>
          <w:noProof/>
        </w:rPr>
        <w:t xml:space="preserve">evision of the </w:t>
      </w:r>
      <w:r>
        <w:rPr>
          <w:noProof/>
        </w:rPr>
        <w:t>UTP</w:t>
      </w:r>
      <w:r w:rsidRPr="00002C3D">
        <w:rPr>
          <w:noProof/>
        </w:rPr>
        <w:t xml:space="preserve"> applicable to the subsystem “rolling stock – freight wagons” (UTP WAG)</w:t>
      </w:r>
      <w:r w:rsidR="00D7522D">
        <w:rPr>
          <w:noProof/>
        </w:rPr>
        <w:t>;</w:t>
      </w:r>
    </w:p>
    <w:p w:rsidR="00D7522D" w:rsidRDefault="00002C3D" w:rsidP="00D7522D">
      <w:pPr>
        <w:pStyle w:val="Tiret0"/>
        <w:numPr>
          <w:ilvl w:val="0"/>
          <w:numId w:val="11"/>
        </w:numPr>
        <w:rPr>
          <w:noProof/>
        </w:rPr>
      </w:pPr>
      <w:r>
        <w:rPr>
          <w:noProof/>
        </w:rPr>
        <w:t>a r</w:t>
      </w:r>
      <w:r w:rsidRPr="00002C3D">
        <w:rPr>
          <w:noProof/>
        </w:rPr>
        <w:t>evision of the UTP applicable to the subsystem “rolling stock – locomotives and passenger rolling stock” (UTP LOC&amp;PAS)</w:t>
      </w:r>
      <w:r w:rsidR="00D7522D">
        <w:rPr>
          <w:noProof/>
        </w:rPr>
        <w:t>;</w:t>
      </w:r>
    </w:p>
    <w:p w:rsidR="00D7522D" w:rsidRDefault="00002C3D" w:rsidP="00D7522D">
      <w:pPr>
        <w:pStyle w:val="Tiret0"/>
        <w:numPr>
          <w:ilvl w:val="0"/>
          <w:numId w:val="11"/>
        </w:numPr>
        <w:rPr>
          <w:noProof/>
        </w:rPr>
      </w:pPr>
      <w:r w:rsidRPr="00002C3D">
        <w:rPr>
          <w:noProof/>
        </w:rPr>
        <w:t>Annex C to the ATMF on a Uniform format of certificates</w:t>
      </w:r>
      <w:r w:rsidR="00D7522D">
        <w:rPr>
          <w:noProof/>
        </w:rPr>
        <w:t>;</w:t>
      </w:r>
    </w:p>
    <w:p w:rsidR="00D7522D" w:rsidRDefault="003D786A" w:rsidP="00D7522D">
      <w:pPr>
        <w:pStyle w:val="Tiret0"/>
        <w:numPr>
          <w:ilvl w:val="0"/>
          <w:numId w:val="11"/>
        </w:numPr>
        <w:rPr>
          <w:noProof/>
        </w:rPr>
      </w:pPr>
      <w:r>
        <w:rPr>
          <w:noProof/>
        </w:rPr>
        <w:t>a modification</w:t>
      </w:r>
      <w:r w:rsidR="00002C3D" w:rsidRPr="00002C3D">
        <w:rPr>
          <w:noProof/>
        </w:rPr>
        <w:t xml:space="preserve"> of Appendix I to the UTP applicable to the subsystem “Telematics applications for freight services” (UTP TAF) (references to technical documents)</w:t>
      </w:r>
      <w:r w:rsidR="00D7522D">
        <w:rPr>
          <w:noProof/>
        </w:rPr>
        <w:t>;</w:t>
      </w:r>
    </w:p>
    <w:p w:rsidR="00002C3D" w:rsidRPr="00002C3D" w:rsidRDefault="003D786A" w:rsidP="006855FA">
      <w:pPr>
        <w:pStyle w:val="Tiret0"/>
        <w:numPr>
          <w:ilvl w:val="0"/>
          <w:numId w:val="11"/>
        </w:numPr>
        <w:rPr>
          <w:noProof/>
        </w:rPr>
      </w:pPr>
      <w:r>
        <w:rPr>
          <w:noProof/>
        </w:rPr>
        <w:t>a m</w:t>
      </w:r>
      <w:r w:rsidR="00002C3D" w:rsidRPr="00002C3D">
        <w:rPr>
          <w:noProof/>
        </w:rPr>
        <w:t>odification to the Handbook for the implementation and application of the APTU and ATMF Uniform Rules.</w:t>
      </w:r>
    </w:p>
    <w:p w:rsidR="000325AD" w:rsidRPr="000325AD" w:rsidRDefault="000325AD" w:rsidP="006855FA">
      <w:pPr>
        <w:pStyle w:val="Text1"/>
        <w:ind w:left="0"/>
        <w:rPr>
          <w:noProof/>
        </w:rPr>
      </w:pPr>
    </w:p>
    <w:p w:rsidR="007E5BA0" w:rsidRPr="006855FA" w:rsidRDefault="00A67A3F" w:rsidP="006855FA">
      <w:pPr>
        <w:pStyle w:val="ManualNumPar3"/>
        <w:rPr>
          <w:i/>
          <w:iCs/>
          <w:noProof/>
        </w:rPr>
      </w:pPr>
      <w:r>
        <w:rPr>
          <w:noProof/>
        </w:rPr>
        <w:lastRenderedPageBreak/>
        <w:t>2.3.1.</w:t>
      </w:r>
      <w:r>
        <w:rPr>
          <w:noProof/>
        </w:rPr>
        <w:tab/>
      </w:r>
      <w:r w:rsidRPr="006855FA">
        <w:rPr>
          <w:i/>
          <w:iCs/>
          <w:noProof/>
        </w:rPr>
        <w:t xml:space="preserve">Modification of the </w:t>
      </w:r>
      <w:r w:rsidR="000C1F56" w:rsidRPr="006855FA">
        <w:rPr>
          <w:i/>
          <w:iCs/>
          <w:noProof/>
        </w:rPr>
        <w:t>r</w:t>
      </w:r>
      <w:r w:rsidRPr="006855FA">
        <w:rPr>
          <w:i/>
          <w:iCs/>
          <w:noProof/>
        </w:rPr>
        <w:t xml:space="preserve">ules of </w:t>
      </w:r>
      <w:r w:rsidR="000C1F56" w:rsidRPr="006855FA">
        <w:rPr>
          <w:i/>
          <w:iCs/>
          <w:noProof/>
        </w:rPr>
        <w:t>p</w:t>
      </w:r>
      <w:r w:rsidRPr="006855FA">
        <w:rPr>
          <w:i/>
          <w:iCs/>
          <w:noProof/>
        </w:rPr>
        <w:t xml:space="preserve">rocedure of </w:t>
      </w:r>
      <w:r w:rsidR="001A25D7">
        <w:rPr>
          <w:i/>
          <w:iCs/>
          <w:noProof/>
        </w:rPr>
        <w:t xml:space="preserve">the </w:t>
      </w:r>
      <w:r w:rsidR="000C1F56" w:rsidRPr="006855FA">
        <w:rPr>
          <w:i/>
          <w:iCs/>
          <w:noProof/>
        </w:rPr>
        <w:t>CTE</w:t>
      </w:r>
    </w:p>
    <w:p w:rsidR="00B42704" w:rsidRDefault="00B42704" w:rsidP="00615A2D">
      <w:pPr>
        <w:rPr>
          <w:noProof/>
        </w:rPr>
      </w:pPr>
      <w:r w:rsidRPr="00A80349">
        <w:rPr>
          <w:noProof/>
        </w:rPr>
        <w:t>At its 8</w:t>
      </w:r>
      <w:r w:rsidRPr="00A82CAD">
        <w:rPr>
          <w:noProof/>
          <w:vertAlign w:val="superscript"/>
        </w:rPr>
        <w:t>th</w:t>
      </w:r>
      <w:r w:rsidR="00A82CAD">
        <w:rPr>
          <w:noProof/>
        </w:rPr>
        <w:t xml:space="preserve"> </w:t>
      </w:r>
      <w:r w:rsidRPr="00A80349">
        <w:rPr>
          <w:noProof/>
        </w:rPr>
        <w:t>session</w:t>
      </w:r>
      <w:r w:rsidR="00F22646">
        <w:rPr>
          <w:noProof/>
        </w:rPr>
        <w:t>, held on</w:t>
      </w:r>
      <w:r w:rsidRPr="00A80349">
        <w:rPr>
          <w:noProof/>
        </w:rPr>
        <w:t xml:space="preserve"> 4 December 2025, the</w:t>
      </w:r>
      <w:r w:rsidR="00F22646">
        <w:rPr>
          <w:noProof/>
        </w:rPr>
        <w:t xml:space="preserve"> OTIF</w:t>
      </w:r>
      <w:r w:rsidRPr="00A80349">
        <w:rPr>
          <w:noProof/>
        </w:rPr>
        <w:t xml:space="preserve"> ad hoc Committee on Legal Affairs and International Cooperation approved recommended provisions aimed at harmonising the rules of procedure across all OTIF organs with regard to the rights of </w:t>
      </w:r>
      <w:r>
        <w:rPr>
          <w:noProof/>
        </w:rPr>
        <w:t xml:space="preserve">members, </w:t>
      </w:r>
      <w:r w:rsidRPr="00A80349">
        <w:rPr>
          <w:noProof/>
        </w:rPr>
        <w:t>associate members and observers.</w:t>
      </w:r>
    </w:p>
    <w:p w:rsidR="00B42704" w:rsidRDefault="00B42704" w:rsidP="00615A2D">
      <w:pPr>
        <w:rPr>
          <w:noProof/>
        </w:rPr>
      </w:pPr>
      <w:r>
        <w:rPr>
          <w:noProof/>
        </w:rPr>
        <w:t>The aim of this proposal to</w:t>
      </w:r>
      <w:r w:rsidRPr="00B42704">
        <w:rPr>
          <w:noProof/>
        </w:rPr>
        <w:t xml:space="preserve"> </w:t>
      </w:r>
      <w:r>
        <w:rPr>
          <w:noProof/>
        </w:rPr>
        <w:t>modify</w:t>
      </w:r>
      <w:r w:rsidRPr="00B42704">
        <w:rPr>
          <w:noProof/>
        </w:rPr>
        <w:t xml:space="preserve"> the rules of procedure of</w:t>
      </w:r>
      <w:r w:rsidR="001A25D7">
        <w:rPr>
          <w:noProof/>
        </w:rPr>
        <w:t xml:space="preserve"> the</w:t>
      </w:r>
      <w:r w:rsidRPr="00B42704">
        <w:rPr>
          <w:noProof/>
        </w:rPr>
        <w:t xml:space="preserve"> CTE</w:t>
      </w:r>
      <w:r w:rsidR="0075265C">
        <w:rPr>
          <w:noProof/>
        </w:rPr>
        <w:t xml:space="preserve"> is to </w:t>
      </w:r>
      <w:r w:rsidR="00936141" w:rsidRPr="000B74E4">
        <w:rPr>
          <w:noProof/>
        </w:rPr>
        <w:t xml:space="preserve">align </w:t>
      </w:r>
      <w:r w:rsidR="00C33DC2">
        <w:rPr>
          <w:noProof/>
        </w:rPr>
        <w:t xml:space="preserve">the </w:t>
      </w:r>
      <w:r w:rsidR="00936141">
        <w:rPr>
          <w:noProof/>
        </w:rPr>
        <w:t>practices of</w:t>
      </w:r>
      <w:r w:rsidR="00C33DC2">
        <w:rPr>
          <w:noProof/>
        </w:rPr>
        <w:t xml:space="preserve"> all</w:t>
      </w:r>
      <w:r w:rsidR="00936141">
        <w:rPr>
          <w:noProof/>
        </w:rPr>
        <w:t xml:space="preserve"> OTIF organs</w:t>
      </w:r>
      <w:r w:rsidR="00C33DC2">
        <w:rPr>
          <w:noProof/>
        </w:rPr>
        <w:t>,</w:t>
      </w:r>
      <w:r w:rsidR="00936141">
        <w:rPr>
          <w:noProof/>
        </w:rPr>
        <w:t xml:space="preserve"> based on the</w:t>
      </w:r>
      <w:r w:rsidR="0075265C">
        <w:rPr>
          <w:noProof/>
        </w:rPr>
        <w:t xml:space="preserve"> </w:t>
      </w:r>
      <w:r w:rsidR="000B74E4">
        <w:rPr>
          <w:noProof/>
        </w:rPr>
        <w:t xml:space="preserve">recommendations of the </w:t>
      </w:r>
      <w:r w:rsidR="000B74E4" w:rsidRPr="00A80349">
        <w:rPr>
          <w:noProof/>
        </w:rPr>
        <w:t>ad hoc Committee on Legal Affairs and International Cooperation</w:t>
      </w:r>
      <w:r w:rsidR="00635CF7">
        <w:rPr>
          <w:noProof/>
        </w:rPr>
        <w:t xml:space="preserve">, </w:t>
      </w:r>
      <w:r w:rsidR="00B041D6">
        <w:rPr>
          <w:noProof/>
        </w:rPr>
        <w:t>so as</w:t>
      </w:r>
      <w:r w:rsidR="00635CF7">
        <w:rPr>
          <w:noProof/>
        </w:rPr>
        <w:t xml:space="preserve"> to ensure consistency</w:t>
      </w:r>
      <w:r w:rsidR="00936141">
        <w:rPr>
          <w:noProof/>
        </w:rPr>
        <w:t>.</w:t>
      </w:r>
      <w:r w:rsidR="00635CF7">
        <w:rPr>
          <w:noProof/>
        </w:rPr>
        <w:t xml:space="preserve"> </w:t>
      </w:r>
      <w:r w:rsidR="00B041D6">
        <w:rPr>
          <w:noProof/>
        </w:rPr>
        <w:t>Furthermore</w:t>
      </w:r>
      <w:r w:rsidR="00635CF7" w:rsidRPr="00635CF7">
        <w:rPr>
          <w:noProof/>
        </w:rPr>
        <w:t xml:space="preserve">, </w:t>
      </w:r>
      <w:r w:rsidR="00635CF7">
        <w:rPr>
          <w:noProof/>
        </w:rPr>
        <w:t xml:space="preserve">the proposal includes </w:t>
      </w:r>
      <w:r w:rsidR="00635CF7" w:rsidRPr="00635CF7">
        <w:rPr>
          <w:noProof/>
        </w:rPr>
        <w:t>some additional alignments with practices of other organs.</w:t>
      </w:r>
    </w:p>
    <w:p w:rsidR="00E356E0" w:rsidRPr="007E5BA0" w:rsidRDefault="00E356E0" w:rsidP="00A67A3F">
      <w:pPr>
        <w:pStyle w:val="Text1"/>
        <w:ind w:left="0"/>
        <w:rPr>
          <w:noProof/>
        </w:rPr>
      </w:pPr>
    </w:p>
    <w:p w:rsidR="003A0A3B" w:rsidRPr="006855FA" w:rsidRDefault="003A0A3B" w:rsidP="006855FA">
      <w:pPr>
        <w:pStyle w:val="ManualNumPar3"/>
        <w:rPr>
          <w:i/>
          <w:iCs/>
          <w:noProof/>
        </w:rPr>
      </w:pPr>
      <w:r>
        <w:rPr>
          <w:noProof/>
        </w:rPr>
        <w:t>2.3.2.</w:t>
      </w:r>
      <w:r>
        <w:rPr>
          <w:noProof/>
        </w:rPr>
        <w:tab/>
      </w:r>
      <w:r w:rsidRPr="006855FA">
        <w:rPr>
          <w:i/>
          <w:iCs/>
          <w:noProof/>
        </w:rPr>
        <w:t>Revision of the Uniform Technical Prescription</w:t>
      </w:r>
      <w:r w:rsidR="00B041D6">
        <w:rPr>
          <w:i/>
          <w:iCs/>
          <w:noProof/>
        </w:rPr>
        <w:t xml:space="preserve"> (UTP)</w:t>
      </w:r>
      <w:r w:rsidRPr="006855FA">
        <w:rPr>
          <w:i/>
          <w:iCs/>
          <w:noProof/>
        </w:rPr>
        <w:t xml:space="preserve"> applicable to the subsystem “rolling stock – freight wagons” (UTP WAG)</w:t>
      </w:r>
    </w:p>
    <w:p w:rsidR="003A0A3B" w:rsidRPr="00002DD5" w:rsidRDefault="003A0A3B" w:rsidP="003A0A3B">
      <w:pPr>
        <w:rPr>
          <w:bCs/>
          <w:noProof/>
          <w:szCs w:val="24"/>
          <w:highlight w:val="yellow"/>
          <w:lang w:eastAsia="fr-FR"/>
        </w:rPr>
      </w:pPr>
      <w:r w:rsidRPr="00002DD5">
        <w:rPr>
          <w:bCs/>
          <w:noProof/>
          <w:szCs w:val="24"/>
          <w:lang w:eastAsia="fr-FR"/>
        </w:rPr>
        <w:t xml:space="preserve">UTP </w:t>
      </w:r>
      <w:r>
        <w:rPr>
          <w:bCs/>
          <w:noProof/>
          <w:szCs w:val="24"/>
          <w:lang w:eastAsia="fr-FR"/>
        </w:rPr>
        <w:t>WAG</w:t>
      </w:r>
      <w:r w:rsidRPr="00002DD5">
        <w:rPr>
          <w:noProof/>
        </w:rPr>
        <w:t xml:space="preserve"> </w:t>
      </w:r>
      <w:r w:rsidRPr="00002DD5">
        <w:rPr>
          <w:bCs/>
          <w:noProof/>
          <w:szCs w:val="24"/>
          <w:lang w:eastAsia="fr-FR"/>
        </w:rPr>
        <w:t xml:space="preserve">lays down </w:t>
      </w:r>
      <w:r w:rsidR="00422865">
        <w:rPr>
          <w:bCs/>
          <w:noProof/>
          <w:szCs w:val="24"/>
          <w:lang w:eastAsia="fr-FR"/>
        </w:rPr>
        <w:t xml:space="preserve">the </w:t>
      </w:r>
      <w:r w:rsidRPr="00002DD5">
        <w:rPr>
          <w:bCs/>
          <w:noProof/>
          <w:szCs w:val="24"/>
          <w:lang w:eastAsia="fr-FR"/>
        </w:rPr>
        <w:t xml:space="preserve">functional and technical requirements for admitting </w:t>
      </w:r>
      <w:r w:rsidR="00E66F09">
        <w:rPr>
          <w:bCs/>
          <w:noProof/>
          <w:szCs w:val="24"/>
          <w:lang w:eastAsia="fr-FR"/>
        </w:rPr>
        <w:t>freight wagons</w:t>
      </w:r>
      <w:r w:rsidRPr="00002DD5">
        <w:rPr>
          <w:bCs/>
          <w:noProof/>
          <w:szCs w:val="24"/>
          <w:lang w:eastAsia="fr-FR"/>
        </w:rPr>
        <w:t xml:space="preserve"> to international traffic within the territories of all COTIF Contracting States, in line with the ATMF. It covers technical design and production requirements and verification procedures.</w:t>
      </w:r>
    </w:p>
    <w:p w:rsidR="003A0A3B" w:rsidRPr="00002DD5" w:rsidRDefault="003A0A3B" w:rsidP="006855FA">
      <w:pPr>
        <w:rPr>
          <w:noProof/>
        </w:rPr>
      </w:pPr>
      <w:r w:rsidRPr="00002DD5">
        <w:rPr>
          <w:noProof/>
        </w:rPr>
        <w:t xml:space="preserve">The aim of this proposal to revise the UTP </w:t>
      </w:r>
      <w:r>
        <w:rPr>
          <w:noProof/>
        </w:rPr>
        <w:t>WAG</w:t>
      </w:r>
      <w:r w:rsidRPr="00002DD5">
        <w:rPr>
          <w:noProof/>
        </w:rPr>
        <w:t xml:space="preserve"> is to keep it aligned with legal developments in the European Union</w:t>
      </w:r>
      <w:r w:rsidR="00C509E1">
        <w:rPr>
          <w:noProof/>
        </w:rPr>
        <w:t>,</w:t>
      </w:r>
      <w:r w:rsidR="006006B6" w:rsidRPr="006006B6">
        <w:rPr>
          <w:noProof/>
        </w:rPr>
        <w:t xml:space="preserve"> </w:t>
      </w:r>
      <w:r w:rsidR="006006B6" w:rsidRPr="008C640C">
        <w:rPr>
          <w:noProof/>
        </w:rPr>
        <w:t>and in particular</w:t>
      </w:r>
      <w:r w:rsidR="00C509E1">
        <w:rPr>
          <w:noProof/>
        </w:rPr>
        <w:t xml:space="preserve"> with</w:t>
      </w:r>
      <w:r w:rsidR="006006B6" w:rsidRPr="008C640C">
        <w:rPr>
          <w:noProof/>
        </w:rPr>
        <w:t xml:space="preserve"> </w:t>
      </w:r>
      <w:r w:rsidR="006006B6">
        <w:rPr>
          <w:noProof/>
        </w:rPr>
        <w:t xml:space="preserve">those introduced by </w:t>
      </w:r>
      <w:r w:rsidR="006006B6" w:rsidRPr="008C640C">
        <w:rPr>
          <w:noProof/>
        </w:rPr>
        <w:t>Commission Implementing Regulation (EU) 2025/</w:t>
      </w:r>
      <w:r w:rsidR="00CA201A" w:rsidRPr="00CA201A">
        <w:rPr>
          <w:noProof/>
        </w:rPr>
        <w:t>2064</w:t>
      </w:r>
      <w:r w:rsidR="00CA201A">
        <w:rPr>
          <w:rStyle w:val="FootnoteReference"/>
          <w:noProof/>
        </w:rPr>
        <w:footnoteReference w:id="6"/>
      </w:r>
      <w:r w:rsidRPr="00002DD5">
        <w:rPr>
          <w:noProof/>
        </w:rPr>
        <w:t xml:space="preserve">. </w:t>
      </w:r>
      <w:r>
        <w:rPr>
          <w:noProof/>
        </w:rPr>
        <w:t>In that context</w:t>
      </w:r>
      <w:r w:rsidRPr="00002DD5">
        <w:rPr>
          <w:noProof/>
        </w:rPr>
        <w:t xml:space="preserve">, the proposal </w:t>
      </w:r>
      <w:r>
        <w:rPr>
          <w:noProof/>
        </w:rPr>
        <w:t>specifies</w:t>
      </w:r>
      <w:r w:rsidRPr="00002DD5">
        <w:rPr>
          <w:noProof/>
        </w:rPr>
        <w:t xml:space="preserve"> </w:t>
      </w:r>
      <w:r w:rsidR="00DE7C82">
        <w:rPr>
          <w:noProof/>
        </w:rPr>
        <w:t>requirements for</w:t>
      </w:r>
      <w:r w:rsidR="00DE7C82" w:rsidRPr="00DE7C82">
        <w:rPr>
          <w:noProof/>
        </w:rPr>
        <w:t xml:space="preserve"> </w:t>
      </w:r>
      <w:r w:rsidR="00DE7C82">
        <w:rPr>
          <w:noProof/>
        </w:rPr>
        <w:t xml:space="preserve">freight wagons </w:t>
      </w:r>
      <w:r w:rsidR="00D67B99">
        <w:rPr>
          <w:noProof/>
        </w:rPr>
        <w:t xml:space="preserve">concerning </w:t>
      </w:r>
      <w:r w:rsidR="00D67B99" w:rsidRPr="00D67B99">
        <w:rPr>
          <w:noProof/>
        </w:rPr>
        <w:t>spark arresters for fire safety</w:t>
      </w:r>
      <w:r w:rsidR="00D67B99">
        <w:rPr>
          <w:noProof/>
        </w:rPr>
        <w:t xml:space="preserve">, </w:t>
      </w:r>
      <w:r w:rsidR="00DE7C82">
        <w:rPr>
          <w:noProof/>
        </w:rPr>
        <w:t>transport of</w:t>
      </w:r>
      <w:r w:rsidR="00B8645D">
        <w:rPr>
          <w:noProof/>
        </w:rPr>
        <w:t xml:space="preserve"> </w:t>
      </w:r>
      <w:r w:rsidR="00492AD9">
        <w:rPr>
          <w:noProof/>
        </w:rPr>
        <w:t>dangerous goods by rail</w:t>
      </w:r>
      <w:r w:rsidR="00D67B99">
        <w:rPr>
          <w:noProof/>
        </w:rPr>
        <w:t>,</w:t>
      </w:r>
      <w:r w:rsidR="00DC43E7">
        <w:rPr>
          <w:noProof/>
        </w:rPr>
        <w:t xml:space="preserve"> and devices to secure </w:t>
      </w:r>
      <w:r w:rsidR="00DE7C82">
        <w:rPr>
          <w:noProof/>
        </w:rPr>
        <w:t>semi-trailers</w:t>
      </w:r>
      <w:r w:rsidR="00DC43E7">
        <w:rPr>
          <w:noProof/>
        </w:rPr>
        <w:t xml:space="preserve"> to wagons and related markings</w:t>
      </w:r>
      <w:r w:rsidRPr="00002DD5">
        <w:rPr>
          <w:noProof/>
        </w:rPr>
        <w:t>.</w:t>
      </w:r>
    </w:p>
    <w:p w:rsidR="003A0A3B" w:rsidRPr="00002DD5" w:rsidRDefault="003A0A3B" w:rsidP="003A0A3B">
      <w:pPr>
        <w:rPr>
          <w:noProof/>
        </w:rPr>
      </w:pPr>
    </w:p>
    <w:p w:rsidR="00B337E3" w:rsidRPr="006855FA" w:rsidRDefault="00D10548" w:rsidP="006855FA">
      <w:pPr>
        <w:pStyle w:val="ManualNumPar3"/>
        <w:rPr>
          <w:i/>
          <w:iCs/>
          <w:noProof/>
        </w:rPr>
      </w:pPr>
      <w:r>
        <w:rPr>
          <w:noProof/>
        </w:rPr>
        <w:t>2.3.3.</w:t>
      </w:r>
      <w:r>
        <w:rPr>
          <w:noProof/>
        </w:rPr>
        <w:tab/>
      </w:r>
      <w:r w:rsidRPr="006855FA">
        <w:rPr>
          <w:i/>
          <w:iCs/>
          <w:noProof/>
        </w:rPr>
        <w:t xml:space="preserve">Revision of the Uniform Technical Prescription </w:t>
      </w:r>
      <w:r w:rsidR="00D67B99">
        <w:rPr>
          <w:i/>
          <w:iCs/>
          <w:noProof/>
        </w:rPr>
        <w:t xml:space="preserve">(UTP) </w:t>
      </w:r>
      <w:r w:rsidRPr="006855FA">
        <w:rPr>
          <w:i/>
          <w:iCs/>
          <w:noProof/>
        </w:rPr>
        <w:t>applicable to the subsystem “rolling stock – locomotives and passenger rolling stock” (UTP LOC&amp;PAS)</w:t>
      </w:r>
    </w:p>
    <w:p w:rsidR="00CB05D4" w:rsidRPr="00002DD5" w:rsidRDefault="00CB05D4" w:rsidP="00EB294B">
      <w:pPr>
        <w:rPr>
          <w:bCs/>
          <w:noProof/>
          <w:szCs w:val="24"/>
          <w:highlight w:val="yellow"/>
          <w:lang w:eastAsia="fr-FR"/>
        </w:rPr>
      </w:pPr>
      <w:r w:rsidRPr="00002DD5">
        <w:rPr>
          <w:bCs/>
          <w:noProof/>
          <w:szCs w:val="24"/>
          <w:lang w:eastAsia="fr-FR"/>
        </w:rPr>
        <w:t xml:space="preserve">UTP </w:t>
      </w:r>
      <w:r w:rsidR="00D10548" w:rsidRPr="00002DD5">
        <w:rPr>
          <w:bCs/>
          <w:noProof/>
          <w:szCs w:val="24"/>
          <w:lang w:eastAsia="fr-FR"/>
        </w:rPr>
        <w:t>LOC&amp;PAS</w:t>
      </w:r>
      <w:r w:rsidR="00814057" w:rsidRPr="00002DD5">
        <w:rPr>
          <w:noProof/>
        </w:rPr>
        <w:t xml:space="preserve"> </w:t>
      </w:r>
      <w:r w:rsidR="0047675C" w:rsidRPr="00002DD5">
        <w:rPr>
          <w:bCs/>
          <w:noProof/>
          <w:szCs w:val="24"/>
          <w:lang w:eastAsia="fr-FR"/>
        </w:rPr>
        <w:t>lays down</w:t>
      </w:r>
      <w:r w:rsidR="00F56C0A">
        <w:rPr>
          <w:bCs/>
          <w:noProof/>
          <w:szCs w:val="24"/>
          <w:lang w:eastAsia="fr-FR"/>
        </w:rPr>
        <w:t xml:space="preserve"> the</w:t>
      </w:r>
      <w:r w:rsidR="00814057" w:rsidRPr="00002DD5">
        <w:rPr>
          <w:bCs/>
          <w:noProof/>
          <w:szCs w:val="24"/>
          <w:lang w:eastAsia="fr-FR"/>
        </w:rPr>
        <w:t xml:space="preserve"> functional and technical requirements for admitting </w:t>
      </w:r>
      <w:r w:rsidR="00D10548" w:rsidRPr="00002DD5">
        <w:rPr>
          <w:bCs/>
          <w:noProof/>
          <w:szCs w:val="24"/>
          <w:lang w:eastAsia="fr-FR"/>
        </w:rPr>
        <w:t xml:space="preserve">locomotives and passenger rolling stock </w:t>
      </w:r>
      <w:r w:rsidR="00814057" w:rsidRPr="00002DD5">
        <w:rPr>
          <w:bCs/>
          <w:noProof/>
          <w:szCs w:val="24"/>
          <w:lang w:eastAsia="fr-FR"/>
        </w:rPr>
        <w:t>to international traffic within the territories of all COTIF Contracting States, in line with the ATMF. It covers technical design and production requirements and verification procedures.</w:t>
      </w:r>
    </w:p>
    <w:p w:rsidR="000F7482" w:rsidRPr="00002DD5" w:rsidRDefault="000F7482" w:rsidP="00F97B93">
      <w:pPr>
        <w:rPr>
          <w:noProof/>
        </w:rPr>
      </w:pPr>
      <w:r w:rsidRPr="00002DD5">
        <w:rPr>
          <w:noProof/>
        </w:rPr>
        <w:t>The aim of this proposal to revise the UTP LOC&amp;PAS is to keep it aligned with legal developments in the Euro</w:t>
      </w:r>
      <w:r w:rsidRPr="008C640C">
        <w:rPr>
          <w:noProof/>
        </w:rPr>
        <w:t>pean Union</w:t>
      </w:r>
      <w:r w:rsidR="00011D62">
        <w:rPr>
          <w:noProof/>
        </w:rPr>
        <w:t>,</w:t>
      </w:r>
      <w:r w:rsidR="008C640C" w:rsidRPr="008C640C">
        <w:rPr>
          <w:noProof/>
        </w:rPr>
        <w:t xml:space="preserve"> and in particular </w:t>
      </w:r>
      <w:r w:rsidR="005F3C7A">
        <w:rPr>
          <w:noProof/>
        </w:rPr>
        <w:t>those introduced by</w:t>
      </w:r>
      <w:r w:rsidR="008C640C">
        <w:rPr>
          <w:noProof/>
        </w:rPr>
        <w:t xml:space="preserve"> </w:t>
      </w:r>
      <w:r w:rsidR="008C640C" w:rsidRPr="008C640C">
        <w:rPr>
          <w:noProof/>
        </w:rPr>
        <w:t>Commission Implementing Regulation (EU) 2025/675</w:t>
      </w:r>
      <w:r w:rsidR="00C20EE1">
        <w:rPr>
          <w:rStyle w:val="FootnoteReference"/>
          <w:noProof/>
        </w:rPr>
        <w:footnoteReference w:id="7"/>
      </w:r>
      <w:r w:rsidRPr="00002DD5">
        <w:rPr>
          <w:noProof/>
        </w:rPr>
        <w:t xml:space="preserve">. </w:t>
      </w:r>
      <w:r w:rsidR="00F822A3">
        <w:rPr>
          <w:noProof/>
        </w:rPr>
        <w:t>In that context</w:t>
      </w:r>
      <w:r w:rsidRPr="00002DD5">
        <w:rPr>
          <w:noProof/>
        </w:rPr>
        <w:t xml:space="preserve">, the proposal </w:t>
      </w:r>
      <w:r w:rsidR="003A0A3B">
        <w:rPr>
          <w:noProof/>
        </w:rPr>
        <w:t>specifies</w:t>
      </w:r>
      <w:r w:rsidRPr="00002DD5">
        <w:rPr>
          <w:noProof/>
        </w:rPr>
        <w:t xml:space="preserve"> </w:t>
      </w:r>
      <w:r w:rsidR="00DE7C82">
        <w:rPr>
          <w:noProof/>
        </w:rPr>
        <w:t>requirements</w:t>
      </w:r>
      <w:r w:rsidRPr="00B97686">
        <w:rPr>
          <w:noProof/>
        </w:rPr>
        <w:t xml:space="preserve"> </w:t>
      </w:r>
      <w:r w:rsidR="000B373C">
        <w:rPr>
          <w:noProof/>
        </w:rPr>
        <w:t xml:space="preserve">to be met </w:t>
      </w:r>
      <w:r w:rsidR="00B97686" w:rsidRPr="00B97686">
        <w:rPr>
          <w:noProof/>
        </w:rPr>
        <w:t xml:space="preserve">for </w:t>
      </w:r>
      <w:r w:rsidR="00C527A8">
        <w:rPr>
          <w:noProof/>
        </w:rPr>
        <w:t xml:space="preserve">the free circulation in international traffic </w:t>
      </w:r>
      <w:r w:rsidR="00B97686" w:rsidRPr="00B97686">
        <w:rPr>
          <w:noProof/>
        </w:rPr>
        <w:t>of non-passenger-carrying vehicles that are intended to carry personnel</w:t>
      </w:r>
      <w:r w:rsidRPr="00002DD5">
        <w:rPr>
          <w:noProof/>
        </w:rPr>
        <w:t>.</w:t>
      </w:r>
    </w:p>
    <w:p w:rsidR="00101961" w:rsidRPr="00002DD5" w:rsidRDefault="00101961" w:rsidP="00101961">
      <w:pPr>
        <w:rPr>
          <w:noProof/>
        </w:rPr>
      </w:pPr>
    </w:p>
    <w:p w:rsidR="003A0A3B" w:rsidRPr="006855FA" w:rsidRDefault="003507BB" w:rsidP="00615A2D">
      <w:pPr>
        <w:pStyle w:val="ManualNumPar3"/>
        <w:keepNext/>
        <w:ind w:left="851" w:hanging="851"/>
        <w:rPr>
          <w:i/>
          <w:iCs/>
          <w:noProof/>
        </w:rPr>
      </w:pPr>
      <w:r>
        <w:rPr>
          <w:noProof/>
        </w:rPr>
        <w:lastRenderedPageBreak/>
        <w:t>2.3.4.</w:t>
      </w:r>
      <w:r>
        <w:rPr>
          <w:noProof/>
        </w:rPr>
        <w:tab/>
      </w:r>
      <w:r w:rsidRPr="006855FA">
        <w:rPr>
          <w:i/>
          <w:iCs/>
          <w:noProof/>
        </w:rPr>
        <w:t>Adoption of Annex C to ATMF UR</w:t>
      </w:r>
      <w:r w:rsidR="00760BEF" w:rsidRPr="006855FA">
        <w:rPr>
          <w:i/>
          <w:iCs/>
          <w:noProof/>
        </w:rPr>
        <w:t xml:space="preserve"> on a Uniform format of certificates</w:t>
      </w:r>
    </w:p>
    <w:p w:rsidR="00B42704" w:rsidRDefault="001A54D7" w:rsidP="00852C39">
      <w:pPr>
        <w:rPr>
          <w:noProof/>
        </w:rPr>
      </w:pPr>
      <w:r w:rsidRPr="001A54D7">
        <w:rPr>
          <w:noProof/>
        </w:rPr>
        <w:t xml:space="preserve">The aim of this proposal is to define the structure and content of the </w:t>
      </w:r>
      <w:r w:rsidR="000E5D50">
        <w:rPr>
          <w:noProof/>
        </w:rPr>
        <w:t xml:space="preserve">technical </w:t>
      </w:r>
      <w:r w:rsidRPr="001A54D7">
        <w:rPr>
          <w:noProof/>
        </w:rPr>
        <w:t xml:space="preserve">certificates </w:t>
      </w:r>
      <w:r w:rsidR="00522B53" w:rsidRPr="00522B53">
        <w:rPr>
          <w:noProof/>
        </w:rPr>
        <w:t>in the meaning of Article 11 of the ATMF UR</w:t>
      </w:r>
      <w:r w:rsidR="000E5D50">
        <w:rPr>
          <w:noProof/>
        </w:rPr>
        <w:t>,</w:t>
      </w:r>
      <w:r w:rsidR="00522B53" w:rsidRPr="00522B53">
        <w:rPr>
          <w:noProof/>
        </w:rPr>
        <w:t xml:space="preserve"> </w:t>
      </w:r>
      <w:r w:rsidRPr="001A54D7">
        <w:rPr>
          <w:noProof/>
        </w:rPr>
        <w:t xml:space="preserve">and the procedures for their issuance, updating, withdrawal, suspension, as well as the procedures concerning access to them. The proposal aims to ensure the consistency and compatibility of information across </w:t>
      </w:r>
      <w:r w:rsidR="008D08CA">
        <w:rPr>
          <w:noProof/>
        </w:rPr>
        <w:t xml:space="preserve">COTIF </w:t>
      </w:r>
      <w:r w:rsidRPr="001A54D7">
        <w:rPr>
          <w:noProof/>
        </w:rPr>
        <w:t>Contracting States</w:t>
      </w:r>
      <w:r w:rsidR="002B3D35">
        <w:rPr>
          <w:noProof/>
        </w:rPr>
        <w:t>,</w:t>
      </w:r>
      <w:r w:rsidRPr="001A54D7">
        <w:rPr>
          <w:noProof/>
        </w:rPr>
        <w:t xml:space="preserve"> and its compatibility with vehicle and vehicle type registers established under OTIF or EU rules</w:t>
      </w:r>
      <w:r w:rsidR="00403087">
        <w:rPr>
          <w:noProof/>
        </w:rPr>
        <w:t xml:space="preserve">, </w:t>
      </w:r>
      <w:r w:rsidR="00403087" w:rsidRPr="00403087">
        <w:rPr>
          <w:noProof/>
        </w:rPr>
        <w:t xml:space="preserve">namely </w:t>
      </w:r>
      <w:r w:rsidR="002B3D35">
        <w:rPr>
          <w:noProof/>
        </w:rPr>
        <w:t xml:space="preserve">those laid down in </w:t>
      </w:r>
      <w:r w:rsidR="00403087" w:rsidRPr="00403087">
        <w:rPr>
          <w:noProof/>
        </w:rPr>
        <w:t>Commission Implementing Decision 2011/665/EU</w:t>
      </w:r>
      <w:r w:rsidR="00403087" w:rsidRPr="00615A2D">
        <w:rPr>
          <w:rStyle w:val="FootnoteReference"/>
          <w:noProof/>
        </w:rPr>
        <w:footnoteReference w:id="8"/>
      </w:r>
      <w:r w:rsidR="00403087" w:rsidRPr="00403087">
        <w:rPr>
          <w:noProof/>
        </w:rPr>
        <w:t xml:space="preserve"> and Commission Implementing Decision (EU) 2018/1614</w:t>
      </w:r>
      <w:r w:rsidR="00403087" w:rsidRPr="00615A2D">
        <w:rPr>
          <w:rStyle w:val="FootnoteReference"/>
          <w:noProof/>
        </w:rPr>
        <w:footnoteReference w:id="9"/>
      </w:r>
      <w:r w:rsidR="00403087" w:rsidRPr="00403087">
        <w:rPr>
          <w:noProof/>
        </w:rPr>
        <w:t>, as last amended</w:t>
      </w:r>
      <w:r>
        <w:rPr>
          <w:noProof/>
        </w:rPr>
        <w:t>.</w:t>
      </w:r>
    </w:p>
    <w:p w:rsidR="002B25D3" w:rsidRDefault="001A4AF0" w:rsidP="00852C39">
      <w:pPr>
        <w:rPr>
          <w:noProof/>
        </w:rPr>
      </w:pPr>
      <w:r>
        <w:rPr>
          <w:noProof/>
        </w:rPr>
        <w:t xml:space="preserve">To </w:t>
      </w:r>
      <w:r w:rsidRPr="005215D4">
        <w:rPr>
          <w:noProof/>
        </w:rPr>
        <w:t>promote harmonisation and facilitate railway digitalisation</w:t>
      </w:r>
      <w:r>
        <w:rPr>
          <w:noProof/>
        </w:rPr>
        <w:t>, t</w:t>
      </w:r>
      <w:r w:rsidR="002B25D3" w:rsidRPr="00CC19DF">
        <w:rPr>
          <w:noProof/>
        </w:rPr>
        <w:t>he information contained in these certificates</w:t>
      </w:r>
      <w:r w:rsidR="002B25D3" w:rsidRPr="002B25D3">
        <w:rPr>
          <w:noProof/>
        </w:rPr>
        <w:t xml:space="preserve"> </w:t>
      </w:r>
      <w:r>
        <w:rPr>
          <w:noProof/>
        </w:rPr>
        <w:t xml:space="preserve">is expected to </w:t>
      </w:r>
      <w:r w:rsidR="002B25D3" w:rsidRPr="002B25D3">
        <w:rPr>
          <w:noProof/>
        </w:rPr>
        <w:t xml:space="preserve">correspond to the information </w:t>
      </w:r>
      <w:r w:rsidR="00493E1E">
        <w:rPr>
          <w:noProof/>
        </w:rPr>
        <w:t>required</w:t>
      </w:r>
      <w:r w:rsidR="002B25D3" w:rsidRPr="002B25D3">
        <w:rPr>
          <w:noProof/>
        </w:rPr>
        <w:t xml:space="preserve"> in vehicle registers and vehicle type registers according to OTIF and EU rules, including the information required to perform route compatibility checks.</w:t>
      </w:r>
    </w:p>
    <w:p w:rsidR="001A54D7" w:rsidRPr="00002DD5" w:rsidRDefault="001A54D7" w:rsidP="00852C39">
      <w:pPr>
        <w:rPr>
          <w:noProof/>
          <w:highlight w:val="yellow"/>
        </w:rPr>
      </w:pPr>
    </w:p>
    <w:p w:rsidR="00210CE9" w:rsidRPr="006855FA" w:rsidRDefault="00C367DF" w:rsidP="006855FA">
      <w:pPr>
        <w:pStyle w:val="ManualNumPar3"/>
        <w:rPr>
          <w:i/>
          <w:iCs/>
          <w:noProof/>
        </w:rPr>
      </w:pPr>
      <w:r>
        <w:rPr>
          <w:noProof/>
        </w:rPr>
        <w:t>2.3.5.</w:t>
      </w:r>
      <w:r>
        <w:rPr>
          <w:noProof/>
        </w:rPr>
        <w:tab/>
      </w:r>
      <w:r w:rsidRPr="006855FA">
        <w:rPr>
          <w:i/>
          <w:iCs/>
          <w:noProof/>
        </w:rPr>
        <w:t>Modification</w:t>
      </w:r>
      <w:r w:rsidR="00210CE9" w:rsidRPr="006855FA">
        <w:rPr>
          <w:i/>
          <w:iCs/>
          <w:noProof/>
        </w:rPr>
        <w:t xml:space="preserve"> of </w:t>
      </w:r>
      <w:r w:rsidR="00200969" w:rsidRPr="006855FA">
        <w:rPr>
          <w:i/>
          <w:iCs/>
          <w:noProof/>
        </w:rPr>
        <w:t>the UTP Telematics applications for freight services (</w:t>
      </w:r>
      <w:r w:rsidR="00210CE9" w:rsidRPr="006855FA">
        <w:rPr>
          <w:i/>
          <w:iCs/>
          <w:noProof/>
        </w:rPr>
        <w:t>UTP TAF</w:t>
      </w:r>
      <w:r w:rsidR="00200969" w:rsidRPr="006855FA">
        <w:rPr>
          <w:i/>
          <w:iCs/>
          <w:noProof/>
        </w:rPr>
        <w:t>)</w:t>
      </w:r>
    </w:p>
    <w:p w:rsidR="00200969" w:rsidRPr="00002DD5" w:rsidRDefault="00200969" w:rsidP="0041752A">
      <w:pPr>
        <w:rPr>
          <w:noProof/>
        </w:rPr>
      </w:pPr>
      <w:r w:rsidRPr="00002DD5">
        <w:rPr>
          <w:noProof/>
        </w:rPr>
        <w:t>UTP TAF</w:t>
      </w:r>
      <w:r w:rsidR="0047675C" w:rsidRPr="00002DD5">
        <w:rPr>
          <w:noProof/>
        </w:rPr>
        <w:t xml:space="preserve"> </w:t>
      </w:r>
      <w:r w:rsidRPr="00002DD5">
        <w:rPr>
          <w:noProof/>
        </w:rPr>
        <w:t>lays down requirements about the communication process between railway undertakings and infrastructure managers, databases intended to be used to track trains and wagon movements and information to be delivered to freight customers.</w:t>
      </w:r>
    </w:p>
    <w:p w:rsidR="0037129E" w:rsidRPr="00002DD5" w:rsidRDefault="00AF7897" w:rsidP="0041752A">
      <w:pPr>
        <w:rPr>
          <w:noProof/>
        </w:rPr>
      </w:pPr>
      <w:r w:rsidRPr="00002DD5">
        <w:rPr>
          <w:noProof/>
        </w:rPr>
        <w:t xml:space="preserve">The aim of this proposal is to align the references to the ERA’s </w:t>
      </w:r>
      <w:r w:rsidR="00346000">
        <w:rPr>
          <w:noProof/>
        </w:rPr>
        <w:t>t</w:t>
      </w:r>
      <w:r w:rsidRPr="00002DD5">
        <w:rPr>
          <w:noProof/>
        </w:rPr>
        <w:t xml:space="preserve">echnical </w:t>
      </w:r>
      <w:r w:rsidR="00346000">
        <w:rPr>
          <w:noProof/>
        </w:rPr>
        <w:t>d</w:t>
      </w:r>
      <w:r w:rsidRPr="00002DD5">
        <w:rPr>
          <w:noProof/>
        </w:rPr>
        <w:t>ocuments listed in Appendix I of UTP TAF.</w:t>
      </w:r>
    </w:p>
    <w:p w:rsidR="00B91648" w:rsidRDefault="00687440" w:rsidP="0041752A">
      <w:pPr>
        <w:rPr>
          <w:noProof/>
        </w:rPr>
      </w:pPr>
      <w:r>
        <w:rPr>
          <w:noProof/>
        </w:rPr>
        <w:t>In particular, m</w:t>
      </w:r>
      <w:r w:rsidR="00DB7F82" w:rsidRPr="00002DD5">
        <w:rPr>
          <w:noProof/>
        </w:rPr>
        <w:t>odification</w:t>
      </w:r>
      <w:r w:rsidR="004C4E73">
        <w:rPr>
          <w:noProof/>
        </w:rPr>
        <w:t>s</w:t>
      </w:r>
      <w:r w:rsidR="00DB7F82" w:rsidRPr="00002DD5">
        <w:rPr>
          <w:noProof/>
        </w:rPr>
        <w:t xml:space="preserve"> to the technical documents referred to in Appendix I of the UTP TAF </w:t>
      </w:r>
      <w:r w:rsidR="004C4E73">
        <w:rPr>
          <w:noProof/>
        </w:rPr>
        <w:t>are</w:t>
      </w:r>
      <w:r w:rsidR="00DB7F82" w:rsidRPr="00002DD5">
        <w:rPr>
          <w:noProof/>
        </w:rPr>
        <w:t xml:space="preserve"> necessary in order to correct errors, take feedback into account, keep up with technical progress and maintain equivalence with the specifications </w:t>
      </w:r>
      <w:r w:rsidR="006736A9" w:rsidRPr="00002DD5">
        <w:rPr>
          <w:noProof/>
        </w:rPr>
        <w:t>defined in</w:t>
      </w:r>
      <w:r w:rsidR="00DA2023" w:rsidRPr="00002DD5">
        <w:rPr>
          <w:noProof/>
        </w:rPr>
        <w:t xml:space="preserve"> ERA’s</w:t>
      </w:r>
      <w:r w:rsidR="00DB7F82" w:rsidRPr="00002DD5">
        <w:rPr>
          <w:noProof/>
        </w:rPr>
        <w:t xml:space="preserve"> technical document ERA-TD-105: TAF TSI — Annex D.2: Appendix F — TAF TSI Data and Message Model.</w:t>
      </w:r>
    </w:p>
    <w:p w:rsidR="009E7448" w:rsidRPr="00002DD5" w:rsidRDefault="009E7448" w:rsidP="0041752A">
      <w:pPr>
        <w:rPr>
          <w:noProof/>
        </w:rPr>
      </w:pPr>
    </w:p>
    <w:p w:rsidR="003C7285" w:rsidRPr="006855FA" w:rsidRDefault="00EA5726" w:rsidP="006855FA">
      <w:pPr>
        <w:pStyle w:val="ManualNumPar3"/>
        <w:rPr>
          <w:i/>
          <w:iCs/>
          <w:noProof/>
        </w:rPr>
      </w:pPr>
      <w:r>
        <w:rPr>
          <w:noProof/>
        </w:rPr>
        <w:t>2.3.6.</w:t>
      </w:r>
      <w:r>
        <w:rPr>
          <w:noProof/>
        </w:rPr>
        <w:tab/>
      </w:r>
      <w:r w:rsidRPr="006855FA">
        <w:rPr>
          <w:i/>
          <w:iCs/>
          <w:noProof/>
        </w:rPr>
        <w:t xml:space="preserve">Update of the </w:t>
      </w:r>
      <w:r w:rsidR="005C0222" w:rsidRPr="006855FA">
        <w:rPr>
          <w:i/>
          <w:iCs/>
          <w:noProof/>
        </w:rPr>
        <w:t>h</w:t>
      </w:r>
      <w:r w:rsidRPr="006855FA">
        <w:rPr>
          <w:i/>
          <w:iCs/>
          <w:noProof/>
        </w:rPr>
        <w:t>andbook for the implementation and application of the APTU and ATMF</w:t>
      </w:r>
    </w:p>
    <w:p w:rsidR="003C7285" w:rsidRPr="00002DD5" w:rsidRDefault="00345FBF" w:rsidP="0041752A">
      <w:pPr>
        <w:rPr>
          <w:noProof/>
        </w:rPr>
      </w:pPr>
      <w:r w:rsidRPr="00002DD5">
        <w:rPr>
          <w:noProof/>
        </w:rPr>
        <w:t>Th</w:t>
      </w:r>
      <w:r w:rsidR="0036196E" w:rsidRPr="00002DD5">
        <w:rPr>
          <w:noProof/>
        </w:rPr>
        <w:t>e</w:t>
      </w:r>
      <w:r w:rsidRPr="00002DD5">
        <w:rPr>
          <w:noProof/>
        </w:rPr>
        <w:t xml:space="preserve"> handbook </w:t>
      </w:r>
      <w:r w:rsidR="0036196E" w:rsidRPr="00002DD5">
        <w:rPr>
          <w:noProof/>
        </w:rPr>
        <w:t>o</w:t>
      </w:r>
      <w:r w:rsidRPr="00002DD5">
        <w:rPr>
          <w:noProof/>
        </w:rPr>
        <w:t>utline</w:t>
      </w:r>
      <w:r w:rsidR="0036196E" w:rsidRPr="00002DD5">
        <w:rPr>
          <w:noProof/>
        </w:rPr>
        <w:t>s</w:t>
      </w:r>
      <w:r w:rsidRPr="00002DD5">
        <w:rPr>
          <w:noProof/>
        </w:rPr>
        <w:t xml:space="preserve"> the requirements for implementing and applying </w:t>
      </w:r>
      <w:r w:rsidR="005C0222">
        <w:rPr>
          <w:noProof/>
        </w:rPr>
        <w:t xml:space="preserve">the </w:t>
      </w:r>
      <w:r w:rsidRPr="00002DD5">
        <w:rPr>
          <w:noProof/>
        </w:rPr>
        <w:t xml:space="preserve">APTU </w:t>
      </w:r>
      <w:r w:rsidR="005C0222">
        <w:rPr>
          <w:noProof/>
        </w:rPr>
        <w:t>and the ATMF</w:t>
      </w:r>
      <w:r w:rsidR="00060007">
        <w:rPr>
          <w:noProof/>
        </w:rPr>
        <w:t xml:space="preserve"> for international transport by rail</w:t>
      </w:r>
      <w:r w:rsidRPr="00002DD5">
        <w:rPr>
          <w:noProof/>
        </w:rPr>
        <w:t>, and describe</w:t>
      </w:r>
      <w:r w:rsidR="00284C84" w:rsidRPr="00002DD5">
        <w:rPr>
          <w:noProof/>
        </w:rPr>
        <w:t>s</w:t>
      </w:r>
      <w:r w:rsidRPr="00002DD5">
        <w:rPr>
          <w:noProof/>
        </w:rPr>
        <w:t xml:space="preserve"> the various roles and responsibilities in connection with implementation and application. It is intended to serve as a practical reference for OTIF members and states interested in acceding to COTIF, particularly for the authorities, entities and actors in their respective railway sectors.</w:t>
      </w:r>
    </w:p>
    <w:p w:rsidR="005F1CEE" w:rsidRPr="00002DD5" w:rsidRDefault="008A2CA6" w:rsidP="0041752A">
      <w:pPr>
        <w:rPr>
          <w:noProof/>
        </w:rPr>
      </w:pPr>
      <w:r w:rsidRPr="00002DD5">
        <w:rPr>
          <w:noProof/>
        </w:rPr>
        <w:t xml:space="preserve">The </w:t>
      </w:r>
      <w:r w:rsidR="005C0222">
        <w:rPr>
          <w:noProof/>
        </w:rPr>
        <w:t>h</w:t>
      </w:r>
      <w:r w:rsidR="004F6368" w:rsidRPr="00002DD5">
        <w:rPr>
          <w:noProof/>
        </w:rPr>
        <w:t>andbook</w:t>
      </w:r>
      <w:r w:rsidRPr="00002DD5">
        <w:rPr>
          <w:noProof/>
        </w:rPr>
        <w:t xml:space="preserve"> is non-legally binding under COTIF but </w:t>
      </w:r>
      <w:r w:rsidR="000C5A02">
        <w:rPr>
          <w:noProof/>
        </w:rPr>
        <w:t xml:space="preserve">is </w:t>
      </w:r>
      <w:r w:rsidRPr="00002DD5">
        <w:rPr>
          <w:noProof/>
        </w:rPr>
        <w:t xml:space="preserve">nevertheless </w:t>
      </w:r>
      <w:r w:rsidR="000C5A02" w:rsidRPr="000C5A02">
        <w:rPr>
          <w:noProof/>
          <w:lang w:val="en-US"/>
        </w:rPr>
        <w:t xml:space="preserve">a </w:t>
      </w:r>
      <w:r w:rsidR="000C5A02">
        <w:rPr>
          <w:noProof/>
          <w:lang w:val="en-US"/>
        </w:rPr>
        <w:t>recommendation for implementation</w:t>
      </w:r>
      <w:r w:rsidR="00060007">
        <w:rPr>
          <w:noProof/>
          <w:lang w:val="en-US"/>
        </w:rPr>
        <w:t xml:space="preserve">, </w:t>
      </w:r>
      <w:r w:rsidRPr="00002DD5">
        <w:rPr>
          <w:noProof/>
        </w:rPr>
        <w:t xml:space="preserve">capable of producing legal effects. </w:t>
      </w:r>
      <w:r w:rsidR="00C52C62">
        <w:rPr>
          <w:noProof/>
        </w:rPr>
        <w:t>The</w:t>
      </w:r>
      <w:r w:rsidRPr="00002DD5">
        <w:rPr>
          <w:noProof/>
        </w:rPr>
        <w:t xml:space="preserve"> </w:t>
      </w:r>
      <w:r w:rsidR="00CE19C3" w:rsidRPr="00002DD5">
        <w:rPr>
          <w:noProof/>
        </w:rPr>
        <w:t xml:space="preserve">CTE </w:t>
      </w:r>
      <w:r w:rsidR="00592E86">
        <w:rPr>
          <w:noProof/>
        </w:rPr>
        <w:t xml:space="preserve">is </w:t>
      </w:r>
      <w:r w:rsidR="007E465E">
        <w:rPr>
          <w:noProof/>
        </w:rPr>
        <w:t>emp</w:t>
      </w:r>
      <w:r w:rsidRPr="00002DD5">
        <w:rPr>
          <w:noProof/>
        </w:rPr>
        <w:t>ower</w:t>
      </w:r>
      <w:r w:rsidR="007E465E">
        <w:rPr>
          <w:noProof/>
        </w:rPr>
        <w:t>ed</w:t>
      </w:r>
      <w:r w:rsidRPr="00002DD5">
        <w:rPr>
          <w:noProof/>
        </w:rPr>
        <w:t xml:space="preserve"> to adopt </w:t>
      </w:r>
      <w:r w:rsidR="008F5A75" w:rsidRPr="00002DD5">
        <w:rPr>
          <w:noProof/>
        </w:rPr>
        <w:t xml:space="preserve">the </w:t>
      </w:r>
      <w:r w:rsidR="00592E86">
        <w:rPr>
          <w:noProof/>
        </w:rPr>
        <w:t>h</w:t>
      </w:r>
      <w:r w:rsidR="008F5A75" w:rsidRPr="00002DD5">
        <w:rPr>
          <w:noProof/>
        </w:rPr>
        <w:t>andbook</w:t>
      </w:r>
      <w:r w:rsidR="00FC2B22" w:rsidRPr="00002DD5">
        <w:rPr>
          <w:noProof/>
        </w:rPr>
        <w:t xml:space="preserve"> and their modifications</w:t>
      </w:r>
      <w:r w:rsidR="00592E86">
        <w:rPr>
          <w:noProof/>
        </w:rPr>
        <w:t xml:space="preserve"> as</w:t>
      </w:r>
      <w:r w:rsidRPr="00002DD5">
        <w:rPr>
          <w:noProof/>
        </w:rPr>
        <w:t xml:space="preserve"> recommendations in accordance with Article </w:t>
      </w:r>
      <w:r w:rsidR="008F5A75" w:rsidRPr="00002DD5">
        <w:rPr>
          <w:noProof/>
        </w:rPr>
        <w:t>21</w:t>
      </w:r>
      <w:r w:rsidR="00C41F8F">
        <w:rPr>
          <w:noProof/>
        </w:rPr>
        <w:t>(</w:t>
      </w:r>
      <w:r w:rsidR="008F5A75" w:rsidRPr="00002DD5">
        <w:rPr>
          <w:noProof/>
        </w:rPr>
        <w:t>4</w:t>
      </w:r>
      <w:r w:rsidR="00C41F8F">
        <w:rPr>
          <w:noProof/>
        </w:rPr>
        <w:t>)</w:t>
      </w:r>
      <w:r w:rsidRPr="00002DD5">
        <w:rPr>
          <w:noProof/>
        </w:rPr>
        <w:t xml:space="preserve"> of</w:t>
      </w:r>
      <w:r w:rsidR="00771399" w:rsidRPr="00002DD5">
        <w:rPr>
          <w:noProof/>
        </w:rPr>
        <w:t xml:space="preserve"> ATMF</w:t>
      </w:r>
      <w:r w:rsidRPr="00002DD5">
        <w:rPr>
          <w:noProof/>
        </w:rPr>
        <w:t>.</w:t>
      </w:r>
      <w:r w:rsidR="00FC2B22" w:rsidRPr="00002DD5">
        <w:rPr>
          <w:noProof/>
        </w:rPr>
        <w:t xml:space="preserve"> </w:t>
      </w:r>
      <w:r w:rsidR="00F432A0" w:rsidRPr="00002DD5">
        <w:rPr>
          <w:noProof/>
        </w:rPr>
        <w:t>Th</w:t>
      </w:r>
      <w:r w:rsidR="005F1CEE" w:rsidRPr="00002DD5">
        <w:rPr>
          <w:noProof/>
        </w:rPr>
        <w:t xml:space="preserve">e </w:t>
      </w:r>
      <w:r w:rsidR="00330DBA">
        <w:rPr>
          <w:noProof/>
        </w:rPr>
        <w:t>h</w:t>
      </w:r>
      <w:r w:rsidR="005F1CEE" w:rsidRPr="00002DD5">
        <w:rPr>
          <w:noProof/>
        </w:rPr>
        <w:t xml:space="preserve">andbook (and thus the envisaged amendment thereto) would inform the way </w:t>
      </w:r>
      <w:r w:rsidR="00415282">
        <w:rPr>
          <w:noProof/>
        </w:rPr>
        <w:t xml:space="preserve">in which </w:t>
      </w:r>
      <w:r w:rsidR="005F1CEE" w:rsidRPr="00002DD5">
        <w:rPr>
          <w:noProof/>
        </w:rPr>
        <w:t>the EU must implement its obligations under COTIF.</w:t>
      </w:r>
    </w:p>
    <w:p w:rsidR="00594139" w:rsidRDefault="00576E68" w:rsidP="00077B91">
      <w:pPr>
        <w:rPr>
          <w:noProof/>
        </w:rPr>
      </w:pPr>
      <w:r w:rsidRPr="00002DD5">
        <w:rPr>
          <w:noProof/>
        </w:rPr>
        <w:t>The update of the</w:t>
      </w:r>
      <w:r w:rsidR="00077B91" w:rsidRPr="00002DD5">
        <w:rPr>
          <w:noProof/>
        </w:rPr>
        <w:t xml:space="preserve"> handbook for the implementation and application of the APTU and ATMF </w:t>
      </w:r>
      <w:r w:rsidR="004B0F86" w:rsidRPr="00002DD5">
        <w:rPr>
          <w:noProof/>
        </w:rPr>
        <w:t xml:space="preserve">is necessary in order to </w:t>
      </w:r>
      <w:r w:rsidR="00327533" w:rsidRPr="00002DD5">
        <w:rPr>
          <w:noProof/>
        </w:rPr>
        <w:t>take into account return from experience of COTIF Contracting States</w:t>
      </w:r>
      <w:r w:rsidR="00077B91" w:rsidRPr="00002DD5">
        <w:rPr>
          <w:noProof/>
        </w:rPr>
        <w:t>.</w:t>
      </w:r>
    </w:p>
    <w:p w:rsidR="002132BE" w:rsidRPr="00002DD5" w:rsidRDefault="002132BE" w:rsidP="00077B91">
      <w:pPr>
        <w:rPr>
          <w:noProof/>
        </w:rPr>
      </w:pPr>
    </w:p>
    <w:p w:rsidR="00661778" w:rsidRPr="006855FA" w:rsidRDefault="00661778" w:rsidP="00594139">
      <w:pPr>
        <w:pStyle w:val="ManualNumPar1"/>
        <w:rPr>
          <w:b/>
          <w:bCs/>
          <w:smallCaps/>
          <w:noProof/>
        </w:rPr>
      </w:pPr>
      <w:r>
        <w:rPr>
          <w:noProof/>
        </w:rPr>
        <w:t>3.</w:t>
      </w:r>
      <w:r>
        <w:rPr>
          <w:noProof/>
        </w:rPr>
        <w:tab/>
      </w:r>
      <w:r w:rsidRPr="006855FA">
        <w:rPr>
          <w:b/>
          <w:bCs/>
          <w:smallCaps/>
          <w:noProof/>
        </w:rPr>
        <w:t xml:space="preserve">Position to be taken on </w:t>
      </w:r>
      <w:r w:rsidR="0099176E" w:rsidRPr="006855FA">
        <w:rPr>
          <w:b/>
          <w:bCs/>
          <w:smallCaps/>
          <w:noProof/>
        </w:rPr>
        <w:t>the Union’s behalf</w:t>
      </w:r>
    </w:p>
    <w:p w:rsidR="00FF6C98" w:rsidRPr="006855FA" w:rsidRDefault="00FF6C98" w:rsidP="006855FA">
      <w:pPr>
        <w:pStyle w:val="ManualNumPar2"/>
        <w:rPr>
          <w:b/>
          <w:bCs/>
          <w:noProof/>
        </w:rPr>
      </w:pPr>
      <w:r>
        <w:rPr>
          <w:noProof/>
        </w:rPr>
        <w:t>3.1.</w:t>
      </w:r>
      <w:r>
        <w:rPr>
          <w:noProof/>
        </w:rPr>
        <w:tab/>
      </w:r>
      <w:r w:rsidRPr="006855FA">
        <w:rPr>
          <w:b/>
          <w:bCs/>
          <w:noProof/>
        </w:rPr>
        <w:t xml:space="preserve">Union competence and voting rights </w:t>
      </w:r>
    </w:p>
    <w:p w:rsidR="00FF6C98" w:rsidRPr="00002DD5" w:rsidRDefault="00FF6C98" w:rsidP="00FF6C98">
      <w:pPr>
        <w:rPr>
          <w:noProof/>
        </w:rPr>
      </w:pPr>
      <w:r w:rsidRPr="00002DD5">
        <w:rPr>
          <w:noProof/>
        </w:rPr>
        <w:t xml:space="preserve">Pursuant to Article 6 of the </w:t>
      </w:r>
      <w:r w:rsidR="009B283B">
        <w:rPr>
          <w:noProof/>
        </w:rPr>
        <w:t>EU</w:t>
      </w:r>
      <w:r w:rsidR="00EB59C5" w:rsidRPr="00EB59C5">
        <w:rPr>
          <w:noProof/>
          <w:lang w:val="en-US"/>
        </w:rPr>
        <w:t>-</w:t>
      </w:r>
      <w:r w:rsidR="009B283B">
        <w:rPr>
          <w:noProof/>
        </w:rPr>
        <w:t xml:space="preserve">COTIF </w:t>
      </w:r>
      <w:r w:rsidR="00CF1F9A">
        <w:rPr>
          <w:noProof/>
        </w:rPr>
        <w:t>A</w:t>
      </w:r>
      <w:r w:rsidR="009B283B">
        <w:rPr>
          <w:noProof/>
        </w:rPr>
        <w:t>ccess</w:t>
      </w:r>
      <w:r w:rsidR="00EB59C5">
        <w:rPr>
          <w:noProof/>
        </w:rPr>
        <w:t>ion</w:t>
      </w:r>
      <w:r w:rsidR="009B283B">
        <w:rPr>
          <w:noProof/>
        </w:rPr>
        <w:t xml:space="preserve"> </w:t>
      </w:r>
      <w:r w:rsidR="00CF1F9A">
        <w:rPr>
          <w:noProof/>
        </w:rPr>
        <w:t>A</w:t>
      </w:r>
      <w:r w:rsidRPr="00002DD5">
        <w:rPr>
          <w:noProof/>
        </w:rPr>
        <w:t>greement:</w:t>
      </w:r>
    </w:p>
    <w:p w:rsidR="00FF6C98" w:rsidRPr="00002DD5" w:rsidRDefault="009E4D7B" w:rsidP="00FF6C98">
      <w:pPr>
        <w:rPr>
          <w:i/>
          <w:iCs/>
          <w:noProof/>
        </w:rPr>
      </w:pPr>
      <w:r>
        <w:rPr>
          <w:noProof/>
        </w:rPr>
        <w:t>“</w:t>
      </w:r>
      <w:r w:rsidR="00FF6C98" w:rsidRPr="00002DD5">
        <w:rPr>
          <w:i/>
          <w:iCs/>
          <w:noProof/>
        </w:rPr>
        <w:t xml:space="preserve">1. For decisions in matters where the Union has exclusive competence, the Union shall exercise the voting rights of its Member States under the Convention. </w:t>
      </w:r>
    </w:p>
    <w:p w:rsidR="00FF6C98" w:rsidRPr="00002DD5" w:rsidRDefault="00FF6C98" w:rsidP="00FF6C98">
      <w:pPr>
        <w:rPr>
          <w:i/>
          <w:iCs/>
          <w:noProof/>
        </w:rPr>
      </w:pPr>
      <w:r w:rsidRPr="00002DD5">
        <w:rPr>
          <w:i/>
          <w:iCs/>
          <w:noProof/>
        </w:rPr>
        <w:t xml:space="preserve">2. For decisions in matters where the Union shares competence with its Member States, either the Union or its Member States shall vote. </w:t>
      </w:r>
    </w:p>
    <w:p w:rsidR="00FF6C98" w:rsidRPr="00002DD5" w:rsidRDefault="00FF6C98" w:rsidP="00FF6C98">
      <w:pPr>
        <w:rPr>
          <w:noProof/>
        </w:rPr>
      </w:pPr>
      <w:r w:rsidRPr="00002DD5">
        <w:rPr>
          <w:i/>
          <w:iCs/>
          <w:noProof/>
        </w:rPr>
        <w:t>3. Subject to Article 26, paragraph 7, of the Convention, the Union shall have a number of votes equal to that of its Member States who are also Parties to the Convention. When the Union votes, its Member States shall not vote</w:t>
      </w:r>
      <w:r w:rsidR="009E4D7B" w:rsidRPr="006855FA">
        <w:rPr>
          <w:noProof/>
        </w:rPr>
        <w:t>”</w:t>
      </w:r>
      <w:r w:rsidRPr="00002DD5">
        <w:rPr>
          <w:noProof/>
        </w:rPr>
        <w:t>.</w:t>
      </w:r>
    </w:p>
    <w:p w:rsidR="00FF6C98" w:rsidRPr="00002DD5" w:rsidRDefault="00067EC9" w:rsidP="00FF6C98">
      <w:pPr>
        <w:rPr>
          <w:noProof/>
        </w:rPr>
      </w:pPr>
      <w:r w:rsidRPr="00002DD5">
        <w:rPr>
          <w:noProof/>
        </w:rPr>
        <w:t>Pursuant to Article 3(2) TFEU,</w:t>
      </w:r>
      <w:r w:rsidR="00FF6C98" w:rsidRPr="00002DD5">
        <w:rPr>
          <w:noProof/>
        </w:rPr>
        <w:t xml:space="preserve"> the Union has exclusive competence </w:t>
      </w:r>
      <w:r w:rsidR="001D1034" w:rsidRPr="00002DD5">
        <w:rPr>
          <w:noProof/>
        </w:rPr>
        <w:t>i</w:t>
      </w:r>
      <w:r w:rsidR="00FF6C98" w:rsidRPr="00002DD5">
        <w:rPr>
          <w:noProof/>
        </w:rPr>
        <w:t>n</w:t>
      </w:r>
      <w:r w:rsidRPr="00002DD5">
        <w:rPr>
          <w:noProof/>
        </w:rPr>
        <w:t xml:space="preserve"> relation to</w:t>
      </w:r>
      <w:r w:rsidR="00FF6C98" w:rsidRPr="00002DD5">
        <w:rPr>
          <w:noProof/>
        </w:rPr>
        <w:t xml:space="preserve"> </w:t>
      </w:r>
      <w:r w:rsidRPr="00002DD5">
        <w:rPr>
          <w:noProof/>
        </w:rPr>
        <w:t xml:space="preserve">international commitments to be undertaken in the context of </w:t>
      </w:r>
      <w:r w:rsidR="00FF6C98" w:rsidRPr="00002DD5">
        <w:rPr>
          <w:noProof/>
        </w:rPr>
        <w:t>COTIF</w:t>
      </w:r>
      <w:r w:rsidRPr="00002DD5">
        <w:rPr>
          <w:noProof/>
        </w:rPr>
        <w:t xml:space="preserve">, including </w:t>
      </w:r>
      <w:r w:rsidR="00FF6C98" w:rsidRPr="00002DD5">
        <w:rPr>
          <w:noProof/>
        </w:rPr>
        <w:t>legal instruments adopted pursuant to it</w:t>
      </w:r>
      <w:r w:rsidRPr="00002DD5">
        <w:rPr>
          <w:noProof/>
        </w:rPr>
        <w:t>, when such commitments risk</w:t>
      </w:r>
      <w:r w:rsidR="00FF6C98" w:rsidRPr="00002DD5">
        <w:rPr>
          <w:noProof/>
        </w:rPr>
        <w:t xml:space="preserve"> affect</w:t>
      </w:r>
      <w:r w:rsidRPr="00002DD5">
        <w:rPr>
          <w:noProof/>
        </w:rPr>
        <w:t>ing</w:t>
      </w:r>
      <w:r w:rsidR="00FF6C98" w:rsidRPr="00002DD5">
        <w:rPr>
          <w:noProof/>
        </w:rPr>
        <w:t xml:space="preserve"> existing Union rules</w:t>
      </w:r>
      <w:r w:rsidRPr="00002DD5">
        <w:rPr>
          <w:noProof/>
        </w:rPr>
        <w:t xml:space="preserve"> or altering their scope</w:t>
      </w:r>
      <w:r w:rsidR="00FF6C98" w:rsidRPr="00002DD5">
        <w:rPr>
          <w:noProof/>
        </w:rPr>
        <w:t xml:space="preserve">. </w:t>
      </w:r>
    </w:p>
    <w:p w:rsidR="00FF6C98" w:rsidRPr="00002DD5" w:rsidRDefault="00FF6C98" w:rsidP="00FF6C98">
      <w:pPr>
        <w:keepNext/>
        <w:rPr>
          <w:noProof/>
        </w:rPr>
      </w:pPr>
      <w:r w:rsidRPr="00002DD5">
        <w:rPr>
          <w:noProof/>
        </w:rPr>
        <w:t>The objective of the proposed decisions is to:</w:t>
      </w:r>
    </w:p>
    <w:p w:rsidR="0098690B" w:rsidRPr="00111726" w:rsidRDefault="00B72DBE" w:rsidP="009F1438">
      <w:pPr>
        <w:pStyle w:val="Tiret0"/>
        <w:numPr>
          <w:ilvl w:val="0"/>
          <w:numId w:val="12"/>
        </w:numPr>
        <w:rPr>
          <w:noProof/>
        </w:rPr>
      </w:pPr>
      <w:r>
        <w:rPr>
          <w:noProof/>
        </w:rPr>
        <w:t xml:space="preserve">Modify </w:t>
      </w:r>
      <w:r w:rsidR="0098690B" w:rsidRPr="00111726">
        <w:rPr>
          <w:noProof/>
        </w:rPr>
        <w:t xml:space="preserve">the </w:t>
      </w:r>
      <w:r w:rsidR="00572885">
        <w:rPr>
          <w:noProof/>
        </w:rPr>
        <w:t>R</w:t>
      </w:r>
      <w:r w:rsidR="0098690B" w:rsidRPr="00111726">
        <w:rPr>
          <w:noProof/>
        </w:rPr>
        <w:t xml:space="preserve">ules of </w:t>
      </w:r>
      <w:r w:rsidR="00572885">
        <w:rPr>
          <w:noProof/>
        </w:rPr>
        <w:t>P</w:t>
      </w:r>
      <w:r w:rsidR="0098690B" w:rsidRPr="00111726">
        <w:rPr>
          <w:noProof/>
        </w:rPr>
        <w:t>rocedure</w:t>
      </w:r>
      <w:r w:rsidR="00AD16D3" w:rsidRPr="00111726">
        <w:rPr>
          <w:noProof/>
        </w:rPr>
        <w:t xml:space="preserve"> of the CTE</w:t>
      </w:r>
      <w:r>
        <w:rPr>
          <w:noProof/>
        </w:rPr>
        <w:t>, in order to align it</w:t>
      </w:r>
      <w:r w:rsidR="00AD16D3" w:rsidRPr="00111726">
        <w:rPr>
          <w:noProof/>
        </w:rPr>
        <w:t xml:space="preserve"> with </w:t>
      </w:r>
      <w:r w:rsidR="00572885">
        <w:rPr>
          <w:noProof/>
        </w:rPr>
        <w:t xml:space="preserve">the rules of procedure of </w:t>
      </w:r>
      <w:r w:rsidR="00AD16D3" w:rsidRPr="00111726">
        <w:rPr>
          <w:noProof/>
        </w:rPr>
        <w:t>other</w:t>
      </w:r>
      <w:r w:rsidR="0098690B" w:rsidRPr="00111726">
        <w:rPr>
          <w:noProof/>
        </w:rPr>
        <w:t xml:space="preserve"> OTIF organs;</w:t>
      </w:r>
    </w:p>
    <w:p w:rsidR="00C359DB" w:rsidRDefault="00B72DBE" w:rsidP="009F1438">
      <w:pPr>
        <w:pStyle w:val="Tiret0"/>
        <w:numPr>
          <w:ilvl w:val="0"/>
          <w:numId w:val="12"/>
        </w:numPr>
        <w:rPr>
          <w:noProof/>
        </w:rPr>
      </w:pPr>
      <w:r>
        <w:rPr>
          <w:noProof/>
        </w:rPr>
        <w:t xml:space="preserve">Review </w:t>
      </w:r>
      <w:r w:rsidR="00FF6C98" w:rsidRPr="00002DD5">
        <w:rPr>
          <w:noProof/>
        </w:rPr>
        <w:t>the</w:t>
      </w:r>
      <w:r w:rsidR="002132BE">
        <w:rPr>
          <w:noProof/>
        </w:rPr>
        <w:t xml:space="preserve"> UTP WAG</w:t>
      </w:r>
      <w:r>
        <w:rPr>
          <w:noProof/>
        </w:rPr>
        <w:t xml:space="preserve">, in order to align </w:t>
      </w:r>
      <w:r w:rsidR="00207642">
        <w:rPr>
          <w:noProof/>
        </w:rPr>
        <w:t>them</w:t>
      </w:r>
      <w:r w:rsidR="00C359DB" w:rsidRPr="00C359DB">
        <w:rPr>
          <w:noProof/>
        </w:rPr>
        <w:t xml:space="preserve"> </w:t>
      </w:r>
      <w:r w:rsidR="00C359DB" w:rsidRPr="00002DD5">
        <w:rPr>
          <w:noProof/>
        </w:rPr>
        <w:t>with Commission Implementing Regulation (EU)</w:t>
      </w:r>
      <w:r w:rsidR="00C359DB">
        <w:rPr>
          <w:noProof/>
        </w:rPr>
        <w:t xml:space="preserve"> 2025/</w:t>
      </w:r>
      <w:r w:rsidR="00AD26CF">
        <w:rPr>
          <w:noProof/>
        </w:rPr>
        <w:t>2064</w:t>
      </w:r>
      <w:r w:rsidR="00C359DB">
        <w:rPr>
          <w:noProof/>
        </w:rPr>
        <w:t>;</w:t>
      </w:r>
    </w:p>
    <w:p w:rsidR="00C359DB" w:rsidRDefault="00207642">
      <w:pPr>
        <w:pStyle w:val="Tiret0"/>
        <w:numPr>
          <w:ilvl w:val="0"/>
          <w:numId w:val="12"/>
        </w:numPr>
        <w:rPr>
          <w:noProof/>
        </w:rPr>
      </w:pPr>
      <w:r>
        <w:rPr>
          <w:noProof/>
        </w:rPr>
        <w:t xml:space="preserve">Review </w:t>
      </w:r>
      <w:r w:rsidR="00C359DB" w:rsidRPr="00002DD5">
        <w:rPr>
          <w:noProof/>
        </w:rPr>
        <w:t>the</w:t>
      </w:r>
      <w:r w:rsidR="00C359DB">
        <w:rPr>
          <w:noProof/>
        </w:rPr>
        <w:t xml:space="preserve"> </w:t>
      </w:r>
      <w:r w:rsidR="00FF6C98" w:rsidRPr="00002DD5">
        <w:rPr>
          <w:noProof/>
        </w:rPr>
        <w:t xml:space="preserve">UTP </w:t>
      </w:r>
      <w:r w:rsidR="00F164E5" w:rsidRPr="00002DD5">
        <w:rPr>
          <w:noProof/>
        </w:rPr>
        <w:t>LOC&amp;PAS</w:t>
      </w:r>
      <w:r>
        <w:rPr>
          <w:noProof/>
        </w:rPr>
        <w:t>, in order to align them</w:t>
      </w:r>
      <w:r w:rsidR="00C359DB" w:rsidRPr="00C359DB">
        <w:rPr>
          <w:noProof/>
        </w:rPr>
        <w:t xml:space="preserve"> </w:t>
      </w:r>
      <w:r w:rsidR="00C359DB" w:rsidRPr="00002DD5">
        <w:rPr>
          <w:noProof/>
        </w:rPr>
        <w:t>with Commission Implementing Regulation (EU)</w:t>
      </w:r>
      <w:r w:rsidR="00C359DB" w:rsidRPr="00C359DB">
        <w:rPr>
          <w:noProof/>
        </w:rPr>
        <w:t xml:space="preserve"> </w:t>
      </w:r>
      <w:r w:rsidR="00C359DB">
        <w:rPr>
          <w:noProof/>
        </w:rPr>
        <w:t>2025/</w:t>
      </w:r>
      <w:r w:rsidR="00AD26CF" w:rsidRPr="008C640C">
        <w:rPr>
          <w:noProof/>
        </w:rPr>
        <w:t>675</w:t>
      </w:r>
      <w:r w:rsidR="00C359DB">
        <w:rPr>
          <w:noProof/>
        </w:rPr>
        <w:t>;</w:t>
      </w:r>
    </w:p>
    <w:p w:rsidR="005D4EE4" w:rsidRDefault="00207642" w:rsidP="009F1438">
      <w:pPr>
        <w:pStyle w:val="Tiret0"/>
        <w:numPr>
          <w:ilvl w:val="0"/>
          <w:numId w:val="12"/>
        </w:numPr>
        <w:rPr>
          <w:noProof/>
        </w:rPr>
      </w:pPr>
      <w:r>
        <w:rPr>
          <w:noProof/>
        </w:rPr>
        <w:t xml:space="preserve">Adopt a new </w:t>
      </w:r>
      <w:r w:rsidRPr="006855FA">
        <w:rPr>
          <w:noProof/>
        </w:rPr>
        <w:t xml:space="preserve">Annex C to ATMF UR on a </w:t>
      </w:r>
      <w:r w:rsidR="005D4EE4" w:rsidRPr="005D4EE4">
        <w:rPr>
          <w:noProof/>
        </w:rPr>
        <w:t>Uniform format of certificates</w:t>
      </w:r>
      <w:r w:rsidR="00403087">
        <w:rPr>
          <w:noProof/>
        </w:rPr>
        <w:t>, while ensuring</w:t>
      </w:r>
      <w:r w:rsidR="00403087">
        <w:rPr>
          <w:i/>
          <w:iCs/>
          <w:noProof/>
        </w:rPr>
        <w:t xml:space="preserve"> </w:t>
      </w:r>
      <w:r w:rsidR="00403087" w:rsidRPr="00403087">
        <w:rPr>
          <w:noProof/>
        </w:rPr>
        <w:t xml:space="preserve">its compatibility with vehicle and vehicle type registers established under OTIF </w:t>
      </w:r>
      <w:r w:rsidR="00403087">
        <w:rPr>
          <w:noProof/>
        </w:rPr>
        <w:t>and</w:t>
      </w:r>
      <w:r w:rsidR="00403087" w:rsidRPr="00403087">
        <w:rPr>
          <w:noProof/>
        </w:rPr>
        <w:t xml:space="preserve"> EU rules</w:t>
      </w:r>
      <w:r w:rsidR="00403087">
        <w:rPr>
          <w:noProof/>
        </w:rPr>
        <w:t>, namely those laid down in</w:t>
      </w:r>
      <w:r w:rsidR="00C379B2">
        <w:rPr>
          <w:noProof/>
        </w:rPr>
        <w:t xml:space="preserve"> </w:t>
      </w:r>
      <w:r w:rsidR="00DF4754" w:rsidRPr="00DF4754">
        <w:rPr>
          <w:noProof/>
        </w:rPr>
        <w:t>Commission Implementing Decision 2011/665/EU</w:t>
      </w:r>
      <w:r w:rsidR="00C379B2">
        <w:rPr>
          <w:noProof/>
        </w:rPr>
        <w:t xml:space="preserve"> and </w:t>
      </w:r>
      <w:r w:rsidR="00C379B2" w:rsidRPr="00C379B2">
        <w:rPr>
          <w:noProof/>
        </w:rPr>
        <w:t>Commission Implementing Decision (EU) 2018/1614</w:t>
      </w:r>
      <w:r w:rsidR="00C379B2">
        <w:rPr>
          <w:noProof/>
        </w:rPr>
        <w:t>;</w:t>
      </w:r>
    </w:p>
    <w:p w:rsidR="00202DA2" w:rsidRDefault="008D1821" w:rsidP="008D1821">
      <w:pPr>
        <w:pStyle w:val="Tiret0"/>
        <w:numPr>
          <w:ilvl w:val="0"/>
          <w:numId w:val="12"/>
        </w:numPr>
        <w:rPr>
          <w:noProof/>
        </w:rPr>
      </w:pPr>
      <w:r>
        <w:rPr>
          <w:noProof/>
        </w:rPr>
        <w:t xml:space="preserve">Modify the </w:t>
      </w:r>
      <w:r w:rsidRPr="008D1821">
        <w:rPr>
          <w:noProof/>
        </w:rPr>
        <w:t>UTP Telematics applications for freight services (UTP TAF)</w:t>
      </w:r>
      <w:r>
        <w:rPr>
          <w:noProof/>
        </w:rPr>
        <w:t xml:space="preserve">, in order to align </w:t>
      </w:r>
      <w:r w:rsidR="00FF6C98" w:rsidRPr="00002DD5">
        <w:rPr>
          <w:noProof/>
        </w:rPr>
        <w:t>the references to the ERA’s Technical Documents listed in Appendix I of UTP TAF</w:t>
      </w:r>
      <w:r w:rsidR="009F44AD">
        <w:rPr>
          <w:noProof/>
        </w:rPr>
        <w:t xml:space="preserve"> with </w:t>
      </w:r>
      <w:r>
        <w:rPr>
          <w:noProof/>
        </w:rPr>
        <w:t xml:space="preserve">the </w:t>
      </w:r>
      <w:r w:rsidR="009F44AD">
        <w:rPr>
          <w:noProof/>
        </w:rPr>
        <w:t>latest updates published by ERA</w:t>
      </w:r>
      <w:r w:rsidR="00202DA2">
        <w:rPr>
          <w:noProof/>
        </w:rPr>
        <w:t>;</w:t>
      </w:r>
    </w:p>
    <w:p w:rsidR="00FF6C98" w:rsidRPr="00002DD5" w:rsidRDefault="008D1821" w:rsidP="009F1438">
      <w:pPr>
        <w:pStyle w:val="Tiret0"/>
        <w:numPr>
          <w:ilvl w:val="0"/>
          <w:numId w:val="12"/>
        </w:numPr>
        <w:rPr>
          <w:noProof/>
        </w:rPr>
      </w:pPr>
      <w:r>
        <w:rPr>
          <w:noProof/>
        </w:rPr>
        <w:t xml:space="preserve">Update </w:t>
      </w:r>
      <w:r w:rsidR="00EA6496">
        <w:rPr>
          <w:noProof/>
        </w:rPr>
        <w:t>the handbook for the implementation and application of APTU and ATMF</w:t>
      </w:r>
      <w:r>
        <w:rPr>
          <w:noProof/>
        </w:rPr>
        <w:t xml:space="preserve">, in order to align </w:t>
      </w:r>
      <w:r w:rsidR="00AF0031">
        <w:rPr>
          <w:noProof/>
        </w:rPr>
        <w:t>it</w:t>
      </w:r>
      <w:r w:rsidR="00EA6496">
        <w:rPr>
          <w:noProof/>
        </w:rPr>
        <w:t xml:space="preserve"> with </w:t>
      </w:r>
      <w:r w:rsidR="009F44AD">
        <w:rPr>
          <w:noProof/>
        </w:rPr>
        <w:t xml:space="preserve">the </w:t>
      </w:r>
      <w:r w:rsidR="000C1F56">
        <w:rPr>
          <w:noProof/>
        </w:rPr>
        <w:t xml:space="preserve">return </w:t>
      </w:r>
      <w:r w:rsidR="009F44AD">
        <w:rPr>
          <w:noProof/>
        </w:rPr>
        <w:t>from</w:t>
      </w:r>
      <w:r w:rsidR="000C1F56">
        <w:rPr>
          <w:noProof/>
        </w:rPr>
        <w:t xml:space="preserve"> experience</w:t>
      </w:r>
      <w:r w:rsidR="009F44AD">
        <w:rPr>
          <w:noProof/>
        </w:rPr>
        <w:t xml:space="preserve"> of </w:t>
      </w:r>
      <w:r w:rsidR="00AF0031">
        <w:rPr>
          <w:noProof/>
        </w:rPr>
        <w:t xml:space="preserve">COTIF Contracting States, including </w:t>
      </w:r>
      <w:r w:rsidR="00BE50D7">
        <w:rPr>
          <w:noProof/>
        </w:rPr>
        <w:t xml:space="preserve">EU </w:t>
      </w:r>
      <w:r w:rsidR="009F44AD">
        <w:rPr>
          <w:noProof/>
        </w:rPr>
        <w:t>Member States</w:t>
      </w:r>
      <w:r w:rsidR="00FF6C98" w:rsidRPr="00002DD5">
        <w:rPr>
          <w:noProof/>
        </w:rPr>
        <w:t>.</w:t>
      </w:r>
    </w:p>
    <w:p w:rsidR="005A5BE8" w:rsidRDefault="00AF0031" w:rsidP="00FF6C98">
      <w:pPr>
        <w:rPr>
          <w:noProof/>
        </w:rPr>
      </w:pPr>
      <w:r>
        <w:rPr>
          <w:noProof/>
        </w:rPr>
        <w:t>All of t</w:t>
      </w:r>
      <w:r w:rsidR="00FD6368" w:rsidRPr="00002DD5">
        <w:rPr>
          <w:noProof/>
        </w:rPr>
        <w:t xml:space="preserve">hese decisions fall </w:t>
      </w:r>
      <w:r>
        <w:rPr>
          <w:noProof/>
        </w:rPr>
        <w:t>with</w:t>
      </w:r>
      <w:r w:rsidR="00FD6368" w:rsidRPr="00002DD5">
        <w:rPr>
          <w:noProof/>
        </w:rPr>
        <w:t xml:space="preserve">in the area of </w:t>
      </w:r>
      <w:r w:rsidR="00AD16D3">
        <w:rPr>
          <w:noProof/>
        </w:rPr>
        <w:t xml:space="preserve">interoperability </w:t>
      </w:r>
      <w:r w:rsidR="008A301A">
        <w:rPr>
          <w:noProof/>
        </w:rPr>
        <w:t>and safety of international rail traffic</w:t>
      </w:r>
      <w:r w:rsidR="00FD6368" w:rsidRPr="00002DD5">
        <w:rPr>
          <w:noProof/>
        </w:rPr>
        <w:t xml:space="preserve">. </w:t>
      </w:r>
      <w:r w:rsidR="008A301A">
        <w:rPr>
          <w:noProof/>
        </w:rPr>
        <w:t>This area</w:t>
      </w:r>
      <w:r w:rsidR="00FD6368" w:rsidRPr="00002DD5">
        <w:rPr>
          <w:noProof/>
        </w:rPr>
        <w:t xml:space="preserve"> is largely covered by Union rules</w:t>
      </w:r>
      <w:r w:rsidR="00231E70">
        <w:rPr>
          <w:noProof/>
        </w:rPr>
        <w:t>,</w:t>
      </w:r>
      <w:r w:rsidR="00FD6368" w:rsidRPr="00002DD5">
        <w:rPr>
          <w:noProof/>
        </w:rPr>
        <w:t xml:space="preserve"> which therefore risk to be affected or altered by the adoption of these decisions.</w:t>
      </w:r>
    </w:p>
    <w:p w:rsidR="00FF6C98" w:rsidRPr="00002DD5" w:rsidRDefault="00FF6C98" w:rsidP="00FF6C98">
      <w:pPr>
        <w:rPr>
          <w:noProof/>
        </w:rPr>
      </w:pPr>
      <w:r w:rsidRPr="00002DD5">
        <w:rPr>
          <w:noProof/>
        </w:rPr>
        <w:t xml:space="preserve">The Union, represented by the Commission, shall </w:t>
      </w:r>
      <w:r w:rsidR="00067EC9" w:rsidRPr="00002DD5">
        <w:rPr>
          <w:noProof/>
        </w:rPr>
        <w:t xml:space="preserve">therefore </w:t>
      </w:r>
      <w:r w:rsidRPr="00002DD5">
        <w:rPr>
          <w:noProof/>
        </w:rPr>
        <w:t xml:space="preserve">exercise the voting rights with respect to the adoption of these decisions. </w:t>
      </w:r>
    </w:p>
    <w:p w:rsidR="00A22286" w:rsidRPr="00002DD5" w:rsidRDefault="00A22286" w:rsidP="00FF6C98">
      <w:pPr>
        <w:rPr>
          <w:noProof/>
        </w:rPr>
      </w:pPr>
    </w:p>
    <w:p w:rsidR="00FF6C98" w:rsidRPr="006855FA" w:rsidRDefault="00876087" w:rsidP="006855FA">
      <w:pPr>
        <w:pStyle w:val="ManualNumPar2"/>
        <w:rPr>
          <w:b/>
          <w:bCs/>
          <w:noProof/>
        </w:rPr>
      </w:pPr>
      <w:r>
        <w:rPr>
          <w:noProof/>
        </w:rPr>
        <w:t>3.2.</w:t>
      </w:r>
      <w:r>
        <w:rPr>
          <w:noProof/>
        </w:rPr>
        <w:tab/>
      </w:r>
      <w:r w:rsidRPr="006855FA">
        <w:rPr>
          <w:b/>
          <w:bCs/>
          <w:noProof/>
        </w:rPr>
        <w:t>Proposed conclusions</w:t>
      </w:r>
    </w:p>
    <w:p w:rsidR="003C23EF" w:rsidRPr="00002DD5" w:rsidRDefault="00A16799" w:rsidP="007E1523">
      <w:pPr>
        <w:rPr>
          <w:noProof/>
        </w:rPr>
      </w:pPr>
      <w:r>
        <w:rPr>
          <w:bCs/>
          <w:noProof/>
          <w:szCs w:val="20"/>
        </w:rPr>
        <w:t>As regards the decisions</w:t>
      </w:r>
      <w:r w:rsidR="009C3D2C" w:rsidRPr="00002DD5">
        <w:rPr>
          <w:bCs/>
          <w:noProof/>
          <w:szCs w:val="20"/>
        </w:rPr>
        <w:t xml:space="preserve"> detailed in paragraphs </w:t>
      </w:r>
      <w:r>
        <w:rPr>
          <w:bCs/>
          <w:noProof/>
          <w:szCs w:val="20"/>
        </w:rPr>
        <w:t>2.</w:t>
      </w:r>
      <w:r w:rsidR="00705449">
        <w:rPr>
          <w:bCs/>
          <w:noProof/>
          <w:szCs w:val="20"/>
        </w:rPr>
        <w:t>3.</w:t>
      </w:r>
      <w:r w:rsidR="009C3D2C" w:rsidRPr="00002DD5">
        <w:rPr>
          <w:bCs/>
          <w:noProof/>
          <w:szCs w:val="20"/>
        </w:rPr>
        <w:t xml:space="preserve">1 to </w:t>
      </w:r>
      <w:r>
        <w:rPr>
          <w:bCs/>
          <w:noProof/>
          <w:szCs w:val="20"/>
        </w:rPr>
        <w:t>2.</w:t>
      </w:r>
      <w:r w:rsidR="00705449">
        <w:rPr>
          <w:bCs/>
          <w:noProof/>
          <w:szCs w:val="20"/>
        </w:rPr>
        <w:t>3</w:t>
      </w:r>
      <w:r w:rsidR="009C3D2C" w:rsidRPr="00002DD5">
        <w:rPr>
          <w:bCs/>
          <w:noProof/>
          <w:szCs w:val="20"/>
        </w:rPr>
        <w:t>.</w:t>
      </w:r>
      <w:r w:rsidR="00841A9F" w:rsidRPr="00002DD5">
        <w:rPr>
          <w:bCs/>
          <w:noProof/>
          <w:szCs w:val="20"/>
        </w:rPr>
        <w:t>6</w:t>
      </w:r>
      <w:r>
        <w:rPr>
          <w:bCs/>
          <w:noProof/>
          <w:szCs w:val="20"/>
        </w:rPr>
        <w:t xml:space="preserve"> above</w:t>
      </w:r>
      <w:r w:rsidR="009C3D2C" w:rsidRPr="00002DD5">
        <w:rPr>
          <w:bCs/>
          <w:noProof/>
          <w:szCs w:val="20"/>
        </w:rPr>
        <w:t>, t</w:t>
      </w:r>
      <w:r w:rsidR="00215937" w:rsidRPr="00002DD5">
        <w:rPr>
          <w:bCs/>
          <w:noProof/>
          <w:szCs w:val="20"/>
        </w:rPr>
        <w:t xml:space="preserve">he </w:t>
      </w:r>
      <w:r w:rsidR="00215937" w:rsidRPr="00002DD5">
        <w:rPr>
          <w:rFonts w:eastAsia="Calibri"/>
          <w:noProof/>
        </w:rPr>
        <w:t>Union sh</w:t>
      </w:r>
      <w:r w:rsidR="00C54D17" w:rsidRPr="00002DD5">
        <w:rPr>
          <w:rFonts w:eastAsia="Calibri"/>
          <w:noProof/>
        </w:rPr>
        <w:t>ould</w:t>
      </w:r>
      <w:r w:rsidR="002927D6" w:rsidRPr="00002DD5">
        <w:rPr>
          <w:rFonts w:eastAsia="Calibri"/>
          <w:noProof/>
        </w:rPr>
        <w:t xml:space="preserve"> </w:t>
      </w:r>
      <w:r w:rsidR="00215937" w:rsidRPr="00002DD5">
        <w:rPr>
          <w:rFonts w:eastAsia="Calibri"/>
          <w:noProof/>
        </w:rPr>
        <w:t xml:space="preserve">vote </w:t>
      </w:r>
      <w:r w:rsidR="00CB0D87" w:rsidRPr="00002DD5">
        <w:rPr>
          <w:rFonts w:eastAsia="Calibri"/>
          <w:noProof/>
        </w:rPr>
        <w:t>as proposed</w:t>
      </w:r>
      <w:r w:rsidR="008940D7" w:rsidRPr="00002DD5">
        <w:rPr>
          <w:rFonts w:eastAsia="Calibri"/>
          <w:noProof/>
        </w:rPr>
        <w:t xml:space="preserve"> below</w:t>
      </w:r>
      <w:r w:rsidR="00215937" w:rsidRPr="00002DD5">
        <w:rPr>
          <w:noProof/>
        </w:rPr>
        <w:t>.</w:t>
      </w:r>
    </w:p>
    <w:p w:rsidR="004230BF" w:rsidRDefault="004230BF" w:rsidP="007E1523">
      <w:pPr>
        <w:rPr>
          <w:noProof/>
        </w:rPr>
      </w:pPr>
    </w:p>
    <w:p w:rsidR="000C1F56" w:rsidRPr="006855FA" w:rsidRDefault="000C1F56" w:rsidP="00AE2DFE">
      <w:pPr>
        <w:pStyle w:val="ManualNumPar3"/>
        <w:keepNext/>
        <w:ind w:left="851" w:hanging="851"/>
        <w:rPr>
          <w:i/>
          <w:iCs/>
          <w:noProof/>
        </w:rPr>
      </w:pPr>
      <w:r>
        <w:rPr>
          <w:noProof/>
        </w:rPr>
        <w:lastRenderedPageBreak/>
        <w:t>3.2.1.</w:t>
      </w:r>
      <w:r>
        <w:rPr>
          <w:noProof/>
        </w:rPr>
        <w:tab/>
      </w:r>
      <w:r w:rsidRPr="006855FA">
        <w:rPr>
          <w:i/>
          <w:iCs/>
          <w:noProof/>
        </w:rPr>
        <w:t>Modification of the rules of procedure of the Committee of technical experts</w:t>
      </w:r>
    </w:p>
    <w:p w:rsidR="000C1F56" w:rsidRPr="00002DD5" w:rsidRDefault="000C1F56" w:rsidP="00615A2D">
      <w:pPr>
        <w:rPr>
          <w:noProof/>
        </w:rPr>
      </w:pPr>
      <w:r w:rsidRPr="00002DD5">
        <w:rPr>
          <w:noProof/>
        </w:rPr>
        <w:t xml:space="preserve">The European Union should vote in favour of </w:t>
      </w:r>
      <w:r>
        <w:rPr>
          <w:noProof/>
        </w:rPr>
        <w:t>m</w:t>
      </w:r>
      <w:r w:rsidRPr="000C1F56">
        <w:rPr>
          <w:noProof/>
        </w:rPr>
        <w:t xml:space="preserve">odification of the </w:t>
      </w:r>
      <w:r w:rsidR="001F2F85">
        <w:rPr>
          <w:noProof/>
        </w:rPr>
        <w:t>R</w:t>
      </w:r>
      <w:r w:rsidRPr="000C1F56">
        <w:rPr>
          <w:noProof/>
        </w:rPr>
        <w:t xml:space="preserve">ules of </w:t>
      </w:r>
      <w:r w:rsidR="001F2F85">
        <w:rPr>
          <w:noProof/>
        </w:rPr>
        <w:t>P</w:t>
      </w:r>
      <w:r w:rsidRPr="000C1F56">
        <w:rPr>
          <w:noProof/>
        </w:rPr>
        <w:t xml:space="preserve">rocedure of </w:t>
      </w:r>
      <w:r>
        <w:rPr>
          <w:noProof/>
        </w:rPr>
        <w:t xml:space="preserve">the </w:t>
      </w:r>
      <w:r w:rsidRPr="008C2914">
        <w:rPr>
          <w:noProof/>
        </w:rPr>
        <w:t>C</w:t>
      </w:r>
      <w:r w:rsidR="001F2F85">
        <w:rPr>
          <w:noProof/>
        </w:rPr>
        <w:t>TE</w:t>
      </w:r>
      <w:r w:rsidRPr="008C2914">
        <w:rPr>
          <w:noProof/>
        </w:rPr>
        <w:t xml:space="preserve"> as proposed by </w:t>
      </w:r>
      <w:r w:rsidR="001F2F85">
        <w:rPr>
          <w:noProof/>
        </w:rPr>
        <w:t xml:space="preserve">the </w:t>
      </w:r>
      <w:r w:rsidRPr="008C2914">
        <w:rPr>
          <w:noProof/>
        </w:rPr>
        <w:t xml:space="preserve">OTIF Secretariat in the document </w:t>
      </w:r>
      <w:r w:rsidR="00DA5EE0" w:rsidRPr="008C2914">
        <w:rPr>
          <w:noProof/>
        </w:rPr>
        <w:t>TECH-26018-CTE18-4</w:t>
      </w:r>
      <w:r w:rsidR="001A310B">
        <w:rPr>
          <w:noProof/>
        </w:rPr>
        <w:t xml:space="preserve">. Nevertheless, </w:t>
      </w:r>
      <w:r w:rsidR="00FD7CCF">
        <w:rPr>
          <w:noProof/>
        </w:rPr>
        <w:t>the following modification should be proposed</w:t>
      </w:r>
      <w:r w:rsidRPr="008C2914">
        <w:rPr>
          <w:noProof/>
        </w:rPr>
        <w:t>.</w:t>
      </w:r>
    </w:p>
    <w:p w:rsidR="000C1F56" w:rsidRDefault="001133B3" w:rsidP="00615A2D">
      <w:pPr>
        <w:pStyle w:val="Point0"/>
        <w:rPr>
          <w:noProof/>
        </w:rPr>
      </w:pPr>
      <w:r>
        <w:rPr>
          <w:noProof/>
        </w:rPr>
        <w:t>(a)</w:t>
      </w:r>
      <w:r>
        <w:rPr>
          <w:noProof/>
        </w:rPr>
        <w:tab/>
        <w:t>In Article 9</w:t>
      </w:r>
      <w:r w:rsidR="00FD7CCF">
        <w:rPr>
          <w:noProof/>
        </w:rPr>
        <w:t>(</w:t>
      </w:r>
      <w:r>
        <w:rPr>
          <w:noProof/>
        </w:rPr>
        <w:t>3</w:t>
      </w:r>
      <w:r w:rsidR="00FD7CCF">
        <w:rPr>
          <w:noProof/>
        </w:rPr>
        <w:t>)</w:t>
      </w:r>
      <w:r>
        <w:rPr>
          <w:noProof/>
        </w:rPr>
        <w:t>, “</w:t>
      </w:r>
      <w:r w:rsidRPr="000A7B60">
        <w:rPr>
          <w:i/>
          <w:iCs/>
          <w:noProof/>
        </w:rPr>
        <w:t>8 weeks</w:t>
      </w:r>
      <w:r>
        <w:rPr>
          <w:noProof/>
        </w:rPr>
        <w:t xml:space="preserve">” </w:t>
      </w:r>
      <w:r w:rsidR="0031136B">
        <w:rPr>
          <w:noProof/>
        </w:rPr>
        <w:t xml:space="preserve">should be </w:t>
      </w:r>
      <w:r w:rsidR="0031136B" w:rsidRPr="00DB4D65">
        <w:rPr>
          <w:noProof/>
        </w:rPr>
        <w:t xml:space="preserve">replaced </w:t>
      </w:r>
      <w:r w:rsidRPr="00DB4D65">
        <w:rPr>
          <w:noProof/>
        </w:rPr>
        <w:t>by “</w:t>
      </w:r>
      <w:r w:rsidRPr="000A7B60">
        <w:rPr>
          <w:i/>
          <w:iCs/>
          <w:noProof/>
        </w:rPr>
        <w:t>12 weeks</w:t>
      </w:r>
      <w:r w:rsidRPr="00DB4D65">
        <w:rPr>
          <w:noProof/>
        </w:rPr>
        <w:t>”</w:t>
      </w:r>
      <w:r w:rsidR="00AC0559">
        <w:rPr>
          <w:noProof/>
        </w:rPr>
        <w:t>. This proposal is intended</w:t>
      </w:r>
      <w:r w:rsidR="00FD7CCF">
        <w:rPr>
          <w:noProof/>
        </w:rPr>
        <w:t xml:space="preserve"> to </w:t>
      </w:r>
      <w:r w:rsidR="00271D17">
        <w:rPr>
          <w:noProof/>
        </w:rPr>
        <w:t>facilitate</w:t>
      </w:r>
      <w:r w:rsidR="001B19C9" w:rsidRPr="001B19C9">
        <w:rPr>
          <w:noProof/>
        </w:rPr>
        <w:t xml:space="preserve"> the necessary internal procedures </w:t>
      </w:r>
      <w:r w:rsidR="00271D17">
        <w:rPr>
          <w:noProof/>
        </w:rPr>
        <w:t>allowing</w:t>
      </w:r>
      <w:r w:rsidR="001B19C9" w:rsidRPr="001B19C9">
        <w:rPr>
          <w:noProof/>
        </w:rPr>
        <w:t xml:space="preserve"> </w:t>
      </w:r>
      <w:r w:rsidR="00C1617C">
        <w:rPr>
          <w:noProof/>
        </w:rPr>
        <w:t xml:space="preserve">a timely </w:t>
      </w:r>
      <w:r w:rsidR="00F465DD">
        <w:rPr>
          <w:noProof/>
        </w:rPr>
        <w:t>preparation and adoption of the respective</w:t>
      </w:r>
      <w:r w:rsidR="00271D17">
        <w:rPr>
          <w:noProof/>
        </w:rPr>
        <w:t xml:space="preserve"> Union positions</w:t>
      </w:r>
      <w:r w:rsidRPr="00DB4D65">
        <w:rPr>
          <w:noProof/>
        </w:rPr>
        <w:t>.</w:t>
      </w:r>
    </w:p>
    <w:p w:rsidR="008C2914" w:rsidRDefault="008C2914" w:rsidP="003B6760">
      <w:pPr>
        <w:rPr>
          <w:noProof/>
        </w:rPr>
      </w:pPr>
    </w:p>
    <w:p w:rsidR="00C478E8" w:rsidRPr="006855FA" w:rsidRDefault="00C478E8" w:rsidP="006855FA">
      <w:pPr>
        <w:pStyle w:val="ManualNumPar3"/>
        <w:rPr>
          <w:i/>
          <w:iCs/>
          <w:noProof/>
        </w:rPr>
      </w:pPr>
      <w:r>
        <w:rPr>
          <w:noProof/>
        </w:rPr>
        <w:t>3.2.2.</w:t>
      </w:r>
      <w:r>
        <w:rPr>
          <w:noProof/>
        </w:rPr>
        <w:tab/>
      </w:r>
      <w:r w:rsidRPr="006855FA">
        <w:rPr>
          <w:i/>
          <w:iCs/>
          <w:noProof/>
        </w:rPr>
        <w:t xml:space="preserve">Revision of the Uniform Technical Prescription </w:t>
      </w:r>
      <w:r w:rsidR="003D331B">
        <w:rPr>
          <w:i/>
          <w:iCs/>
          <w:noProof/>
        </w:rPr>
        <w:t xml:space="preserve">(UTP) </w:t>
      </w:r>
      <w:r w:rsidRPr="006855FA">
        <w:rPr>
          <w:i/>
          <w:iCs/>
          <w:noProof/>
        </w:rPr>
        <w:t>applicable to the subsystem “rolling stock – freight wagons” (UTP WAG)</w:t>
      </w:r>
    </w:p>
    <w:p w:rsidR="006B1F85" w:rsidRPr="00D37B7B" w:rsidRDefault="006B1F85" w:rsidP="00615A2D">
      <w:pPr>
        <w:rPr>
          <w:noProof/>
        </w:rPr>
      </w:pPr>
      <w:r w:rsidRPr="00002DD5">
        <w:rPr>
          <w:noProof/>
        </w:rPr>
        <w:t xml:space="preserve">The </w:t>
      </w:r>
      <w:r w:rsidRPr="009C5FF2">
        <w:rPr>
          <w:noProof/>
        </w:rPr>
        <w:t xml:space="preserve">European Union should vote in favour of the revision of UTP WAG as proposed by </w:t>
      </w:r>
      <w:r w:rsidR="003D331B">
        <w:rPr>
          <w:noProof/>
        </w:rPr>
        <w:t xml:space="preserve">the </w:t>
      </w:r>
      <w:r w:rsidRPr="009C5FF2">
        <w:rPr>
          <w:noProof/>
        </w:rPr>
        <w:t xml:space="preserve">OTIF Secretariat in </w:t>
      </w:r>
      <w:r w:rsidR="000D12B0" w:rsidRPr="009C5FF2">
        <w:rPr>
          <w:noProof/>
        </w:rPr>
        <w:t xml:space="preserve">Annex 2 to </w:t>
      </w:r>
      <w:r w:rsidRPr="009C5FF2">
        <w:rPr>
          <w:noProof/>
        </w:rPr>
        <w:t xml:space="preserve">document </w:t>
      </w:r>
      <w:r w:rsidR="000D12B0" w:rsidRPr="009C5FF2">
        <w:rPr>
          <w:noProof/>
        </w:rPr>
        <w:t>TECH-26003-CTE18-5.1</w:t>
      </w:r>
      <w:r w:rsidRPr="009C5FF2">
        <w:rPr>
          <w:noProof/>
        </w:rPr>
        <w:t xml:space="preserve">, subject to the amendments listed below. In case these amendments are not introduced, the European Union should vote against the proposed revision of UTP </w:t>
      </w:r>
      <w:r w:rsidRPr="00D37B7B">
        <w:rPr>
          <w:noProof/>
        </w:rPr>
        <w:t>WAG.</w:t>
      </w:r>
    </w:p>
    <w:p w:rsidR="00F82F1B" w:rsidRPr="00D37B7B" w:rsidRDefault="009C5FF2" w:rsidP="001B6C4E">
      <w:pPr>
        <w:pStyle w:val="Point0"/>
        <w:rPr>
          <w:noProof/>
        </w:rPr>
      </w:pPr>
      <w:r>
        <w:rPr>
          <w:noProof/>
        </w:rPr>
        <w:t>(a)</w:t>
      </w:r>
      <w:r>
        <w:rPr>
          <w:noProof/>
        </w:rPr>
        <w:tab/>
      </w:r>
      <w:r w:rsidRPr="00D37B7B">
        <w:rPr>
          <w:noProof/>
        </w:rPr>
        <w:t xml:space="preserve">The </w:t>
      </w:r>
      <w:r w:rsidR="00623572" w:rsidRPr="00D37B7B">
        <w:rPr>
          <w:noProof/>
        </w:rPr>
        <w:t>two</w:t>
      </w:r>
      <w:r w:rsidR="004A6139" w:rsidRPr="00D37B7B">
        <w:rPr>
          <w:noProof/>
        </w:rPr>
        <w:t xml:space="preserve"> introductory</w:t>
      </w:r>
      <w:r w:rsidR="00623572" w:rsidRPr="00D37B7B">
        <w:rPr>
          <w:noProof/>
        </w:rPr>
        <w:t xml:space="preserve"> paragraphs</w:t>
      </w:r>
      <w:r w:rsidR="006064A6" w:rsidRPr="00D37B7B">
        <w:rPr>
          <w:noProof/>
        </w:rPr>
        <w:t xml:space="preserve"> in</w:t>
      </w:r>
      <w:r w:rsidRPr="00D37B7B">
        <w:rPr>
          <w:noProof/>
        </w:rPr>
        <w:t xml:space="preserve"> point</w:t>
      </w:r>
      <w:r w:rsidR="00234255" w:rsidRPr="00D37B7B">
        <w:rPr>
          <w:noProof/>
        </w:rPr>
        <w:t xml:space="preserve"> </w:t>
      </w:r>
      <w:r w:rsidR="00234255" w:rsidRPr="00D37B7B">
        <w:rPr>
          <w:noProof/>
          <w:lang w:val="en-US"/>
        </w:rPr>
        <w:t xml:space="preserve">4.2.6.1.2.1, </w:t>
      </w:r>
      <w:r w:rsidR="00665F75" w:rsidRPr="00D37B7B">
        <w:rPr>
          <w:noProof/>
          <w:lang w:val="en-US"/>
        </w:rPr>
        <w:t xml:space="preserve">now further detailed in </w:t>
      </w:r>
      <w:r w:rsidR="000241D9" w:rsidRPr="00D37B7B">
        <w:rPr>
          <w:noProof/>
          <w:lang w:val="en-US"/>
        </w:rPr>
        <w:t xml:space="preserve">point </w:t>
      </w:r>
      <w:r w:rsidR="00665F75" w:rsidRPr="00D37B7B">
        <w:rPr>
          <w:noProof/>
          <w:lang w:val="en-US"/>
        </w:rPr>
        <w:t xml:space="preserve">4.2.6.1.2.1.1, </w:t>
      </w:r>
      <w:r w:rsidR="00234255" w:rsidRPr="00D37B7B">
        <w:rPr>
          <w:noProof/>
          <w:lang w:val="en-US"/>
        </w:rPr>
        <w:t>should be deleted</w:t>
      </w:r>
      <w:r w:rsidR="00665F75" w:rsidRPr="00D37B7B">
        <w:rPr>
          <w:noProof/>
          <w:lang w:val="en-US"/>
        </w:rPr>
        <w:t>;</w:t>
      </w:r>
    </w:p>
    <w:p w:rsidR="00665F75" w:rsidRPr="00D37B7B" w:rsidRDefault="00903E8D" w:rsidP="001B6C4E">
      <w:pPr>
        <w:pStyle w:val="Point0"/>
        <w:rPr>
          <w:noProof/>
        </w:rPr>
      </w:pPr>
      <w:r>
        <w:rPr>
          <w:noProof/>
        </w:rPr>
        <w:t>(b)</w:t>
      </w:r>
      <w:r>
        <w:rPr>
          <w:noProof/>
        </w:rPr>
        <w:tab/>
      </w:r>
      <w:r w:rsidRPr="00D37B7B">
        <w:rPr>
          <w:noProof/>
        </w:rPr>
        <w:t xml:space="preserve">In point 5.3.6, the first paragraph should </w:t>
      </w:r>
      <w:r w:rsidR="00061D52" w:rsidRPr="00D37B7B">
        <w:rPr>
          <w:noProof/>
        </w:rPr>
        <w:t>be replaced by:</w:t>
      </w:r>
    </w:p>
    <w:p w:rsidR="002063DD" w:rsidRPr="00615A2D" w:rsidRDefault="00CC19F3" w:rsidP="00615A2D">
      <w:pPr>
        <w:pStyle w:val="Text1"/>
        <w:rPr>
          <w:i/>
          <w:iCs/>
          <w:noProof/>
        </w:rPr>
      </w:pPr>
      <w:r w:rsidRPr="00615A2D">
        <w:rPr>
          <w:i/>
          <w:iCs/>
          <w:noProof/>
        </w:rPr>
        <w:t>“</w:t>
      </w:r>
      <w:r w:rsidR="002063DD" w:rsidRPr="00615A2D">
        <w:rPr>
          <w:i/>
          <w:iCs/>
          <w:noProof/>
        </w:rPr>
        <w:t xml:space="preserve">Devices to secure semi-trailers shall be designed and assessed for </w:t>
      </w:r>
      <w:r w:rsidR="00EA3CC9" w:rsidRPr="00615A2D">
        <w:rPr>
          <w:i/>
          <w:iCs/>
          <w:noProof/>
        </w:rPr>
        <w:t>each</w:t>
      </w:r>
      <w:r w:rsidR="002063DD" w:rsidRPr="00615A2D">
        <w:rPr>
          <w:i/>
          <w:iCs/>
          <w:noProof/>
        </w:rPr>
        <w:t xml:space="preserve"> </w:t>
      </w:r>
      <w:r w:rsidR="00EA3CC9" w:rsidRPr="00615A2D">
        <w:rPr>
          <w:i/>
          <w:iCs/>
          <w:noProof/>
        </w:rPr>
        <w:t xml:space="preserve">of </w:t>
      </w:r>
      <w:r w:rsidR="002063DD" w:rsidRPr="00615A2D">
        <w:rPr>
          <w:i/>
          <w:iCs/>
          <w:noProof/>
        </w:rPr>
        <w:t>the following conditions of use:</w:t>
      </w:r>
    </w:p>
    <w:p w:rsidR="002063DD" w:rsidRPr="00615A2D" w:rsidRDefault="002063DD" w:rsidP="00F33389">
      <w:pPr>
        <w:pStyle w:val="Tiret1"/>
        <w:numPr>
          <w:ilvl w:val="0"/>
          <w:numId w:val="21"/>
        </w:numPr>
        <w:rPr>
          <w:i/>
          <w:iCs/>
          <w:noProof/>
        </w:rPr>
      </w:pPr>
      <w:r w:rsidRPr="00615A2D">
        <w:rPr>
          <w:i/>
          <w:iCs/>
          <w:noProof/>
        </w:rPr>
        <w:t>compatible semi-trailers for which the device is intended</w:t>
      </w:r>
      <w:r w:rsidR="00EA3CC9" w:rsidRPr="00615A2D">
        <w:rPr>
          <w:i/>
          <w:iCs/>
          <w:noProof/>
        </w:rPr>
        <w:t>;</w:t>
      </w:r>
    </w:p>
    <w:p w:rsidR="00061D52" w:rsidRPr="00615A2D" w:rsidRDefault="002063DD" w:rsidP="00615A2D">
      <w:pPr>
        <w:pStyle w:val="Tiret1"/>
        <w:rPr>
          <w:i/>
          <w:iCs/>
          <w:noProof/>
        </w:rPr>
      </w:pPr>
      <w:r w:rsidRPr="00615A2D">
        <w:rPr>
          <w:i/>
          <w:iCs/>
          <w:noProof/>
        </w:rPr>
        <w:t>compatible unit interface on which the device can be safely mounted</w:t>
      </w:r>
      <w:r w:rsidR="00CC19F3" w:rsidRPr="00615A2D">
        <w:rPr>
          <w:i/>
          <w:iCs/>
          <w:noProof/>
        </w:rPr>
        <w:t>”</w:t>
      </w:r>
      <w:r w:rsidRPr="00615A2D">
        <w:rPr>
          <w:i/>
          <w:iCs/>
          <w:noProof/>
        </w:rPr>
        <w:t>.</w:t>
      </w:r>
    </w:p>
    <w:p w:rsidR="00F82F1B" w:rsidRPr="00D37B7B" w:rsidRDefault="00F82F1B" w:rsidP="003B6760">
      <w:pPr>
        <w:rPr>
          <w:noProof/>
        </w:rPr>
      </w:pPr>
    </w:p>
    <w:p w:rsidR="008940D7" w:rsidRPr="006855FA" w:rsidRDefault="00DB6C0D" w:rsidP="006855FA">
      <w:pPr>
        <w:pStyle w:val="ManualNumPar3"/>
        <w:rPr>
          <w:i/>
          <w:iCs/>
          <w:noProof/>
        </w:rPr>
      </w:pPr>
      <w:r>
        <w:rPr>
          <w:noProof/>
        </w:rPr>
        <w:t>3.2.3.</w:t>
      </w:r>
      <w:r>
        <w:rPr>
          <w:noProof/>
        </w:rPr>
        <w:tab/>
      </w:r>
      <w:r w:rsidRPr="00D37B7B">
        <w:rPr>
          <w:i/>
          <w:iCs/>
          <w:noProof/>
        </w:rPr>
        <w:t>Revision of the Uniform Technical Prescription applicable</w:t>
      </w:r>
      <w:r w:rsidRPr="006855FA">
        <w:rPr>
          <w:i/>
          <w:iCs/>
          <w:noProof/>
        </w:rPr>
        <w:t xml:space="preserve"> to the subsystem “rolling stock – locomotives and passenger rolling stock” (UTP LOC&amp;PAS)</w:t>
      </w:r>
    </w:p>
    <w:p w:rsidR="003C23EF" w:rsidRDefault="003C23EF" w:rsidP="003C23EF">
      <w:pPr>
        <w:rPr>
          <w:noProof/>
        </w:rPr>
      </w:pPr>
      <w:r w:rsidRPr="00002DD5">
        <w:rPr>
          <w:noProof/>
        </w:rPr>
        <w:t xml:space="preserve">The European Union </w:t>
      </w:r>
      <w:r w:rsidR="00FA3846" w:rsidRPr="00002DD5">
        <w:rPr>
          <w:noProof/>
        </w:rPr>
        <w:t xml:space="preserve">should </w:t>
      </w:r>
      <w:r w:rsidR="006E3662" w:rsidRPr="00002DD5">
        <w:rPr>
          <w:noProof/>
        </w:rPr>
        <w:t xml:space="preserve">vote </w:t>
      </w:r>
      <w:r w:rsidR="001A2B96" w:rsidRPr="00002DD5">
        <w:rPr>
          <w:noProof/>
        </w:rPr>
        <w:t>in favour</w:t>
      </w:r>
      <w:r w:rsidR="006E3662" w:rsidRPr="00002DD5">
        <w:rPr>
          <w:noProof/>
        </w:rPr>
        <w:t xml:space="preserve"> o</w:t>
      </w:r>
      <w:r w:rsidRPr="00002DD5">
        <w:rPr>
          <w:noProof/>
        </w:rPr>
        <w:t xml:space="preserve">f the </w:t>
      </w:r>
      <w:r w:rsidRPr="009C5945">
        <w:rPr>
          <w:noProof/>
        </w:rPr>
        <w:t xml:space="preserve">revision of UTP </w:t>
      </w:r>
      <w:r w:rsidR="00DB6C0D" w:rsidRPr="009C5945">
        <w:rPr>
          <w:noProof/>
        </w:rPr>
        <w:t>LOC&amp;PAS</w:t>
      </w:r>
      <w:r w:rsidR="001F41B4" w:rsidRPr="009C5945">
        <w:rPr>
          <w:noProof/>
        </w:rPr>
        <w:t xml:space="preserve"> as proposed by </w:t>
      </w:r>
      <w:r w:rsidR="00317DC8">
        <w:rPr>
          <w:noProof/>
        </w:rPr>
        <w:t xml:space="preserve">the </w:t>
      </w:r>
      <w:r w:rsidR="001F41B4" w:rsidRPr="009C5945">
        <w:rPr>
          <w:noProof/>
        </w:rPr>
        <w:t xml:space="preserve">OTIF Secretariat </w:t>
      </w:r>
      <w:r w:rsidR="006B1F85" w:rsidRPr="009C5945">
        <w:rPr>
          <w:noProof/>
        </w:rPr>
        <w:t xml:space="preserve">in </w:t>
      </w:r>
      <w:r w:rsidR="00DC0871" w:rsidRPr="009C5945">
        <w:rPr>
          <w:noProof/>
        </w:rPr>
        <w:t>Annex 2 to</w:t>
      </w:r>
      <w:r w:rsidR="006B1F85" w:rsidRPr="009C5945">
        <w:rPr>
          <w:noProof/>
        </w:rPr>
        <w:t xml:space="preserve"> d</w:t>
      </w:r>
      <w:r w:rsidR="001F41B4" w:rsidRPr="009C5945">
        <w:rPr>
          <w:noProof/>
        </w:rPr>
        <w:t>ocument</w:t>
      </w:r>
      <w:r w:rsidR="00B22143" w:rsidRPr="009C5945">
        <w:rPr>
          <w:noProof/>
        </w:rPr>
        <w:t xml:space="preserve"> </w:t>
      </w:r>
      <w:r w:rsidR="00DC0871" w:rsidRPr="009C5945">
        <w:rPr>
          <w:noProof/>
        </w:rPr>
        <w:t>TECH-26004-CTE18-5.2</w:t>
      </w:r>
      <w:r w:rsidR="001A2B96" w:rsidRPr="009C5945">
        <w:rPr>
          <w:noProof/>
        </w:rPr>
        <w:t>,</w:t>
      </w:r>
      <w:r w:rsidR="008507B2" w:rsidRPr="009C5945">
        <w:rPr>
          <w:noProof/>
        </w:rPr>
        <w:t xml:space="preserve"> </w:t>
      </w:r>
      <w:r w:rsidRPr="009C5945">
        <w:rPr>
          <w:noProof/>
        </w:rPr>
        <w:t>subject to the amendment</w:t>
      </w:r>
      <w:r w:rsidR="001A2B96" w:rsidRPr="009C5945">
        <w:rPr>
          <w:noProof/>
        </w:rPr>
        <w:t xml:space="preserve"> listed below. In case th</w:t>
      </w:r>
      <w:r w:rsidR="00317DC8">
        <w:rPr>
          <w:noProof/>
        </w:rPr>
        <w:t>is</w:t>
      </w:r>
      <w:r w:rsidR="001A2B96" w:rsidRPr="009C5945">
        <w:rPr>
          <w:noProof/>
        </w:rPr>
        <w:t xml:space="preserve"> amendment </w:t>
      </w:r>
      <w:r w:rsidR="00317DC8">
        <w:rPr>
          <w:noProof/>
        </w:rPr>
        <w:t>is</w:t>
      </w:r>
      <w:r w:rsidR="001A2B96" w:rsidRPr="009C5945">
        <w:rPr>
          <w:noProof/>
        </w:rPr>
        <w:t xml:space="preserve"> not introduced, the European Union should vote against the proposed revision of UTP LOC&amp;PAS.</w:t>
      </w:r>
    </w:p>
    <w:p w:rsidR="00F13BAB" w:rsidRPr="00774105" w:rsidRDefault="00F13BAB" w:rsidP="001B6C4E">
      <w:pPr>
        <w:pStyle w:val="Point0"/>
        <w:rPr>
          <w:noProof/>
        </w:rPr>
      </w:pPr>
      <w:r>
        <w:rPr>
          <w:noProof/>
        </w:rPr>
        <w:t>(a)</w:t>
      </w:r>
      <w:r>
        <w:rPr>
          <w:noProof/>
        </w:rPr>
        <w:tab/>
      </w:r>
      <w:r w:rsidRPr="00774105">
        <w:rPr>
          <w:noProof/>
        </w:rPr>
        <w:t xml:space="preserve">in point 7.1.1.6.1, point (12) should be replaced </w:t>
      </w:r>
      <w:r>
        <w:rPr>
          <w:noProof/>
        </w:rPr>
        <w:t>by</w:t>
      </w:r>
      <w:r w:rsidRPr="00774105">
        <w:rPr>
          <w:noProof/>
        </w:rPr>
        <w:t xml:space="preserve"> “</w:t>
      </w:r>
      <w:r w:rsidRPr="000A7B60">
        <w:rPr>
          <w:i/>
          <w:iCs/>
          <w:noProof/>
        </w:rPr>
        <w:t>The unit shall be equipped with self-rescue devices for all persons on board, satisfying the specifications of EN 13794:2002 and either EN 402:2003 or EN 403:2004</w:t>
      </w:r>
      <w:r w:rsidRPr="00774105">
        <w:rPr>
          <w:noProof/>
        </w:rPr>
        <w:t>”.</w:t>
      </w:r>
    </w:p>
    <w:p w:rsidR="00E4757E" w:rsidRPr="00002DD5" w:rsidRDefault="00E4757E" w:rsidP="003C23EF">
      <w:pPr>
        <w:rPr>
          <w:noProof/>
        </w:rPr>
      </w:pPr>
    </w:p>
    <w:p w:rsidR="00E4757E" w:rsidRPr="006855FA" w:rsidRDefault="00044254" w:rsidP="006855FA">
      <w:pPr>
        <w:pStyle w:val="ManualNumPar3"/>
        <w:rPr>
          <w:i/>
          <w:iCs/>
          <w:noProof/>
        </w:rPr>
      </w:pPr>
      <w:r>
        <w:rPr>
          <w:noProof/>
        </w:rPr>
        <w:t>3.2.4.</w:t>
      </w:r>
      <w:r>
        <w:rPr>
          <w:noProof/>
        </w:rPr>
        <w:tab/>
      </w:r>
      <w:r w:rsidRPr="00044254">
        <w:rPr>
          <w:i/>
          <w:iCs/>
          <w:noProof/>
        </w:rPr>
        <w:t>Adoption of Annex C to ATMF UR on a</w:t>
      </w:r>
      <w:r w:rsidR="00E4757E" w:rsidRPr="006855FA">
        <w:rPr>
          <w:i/>
          <w:iCs/>
          <w:noProof/>
        </w:rPr>
        <w:t xml:space="preserve"> Uniform format of certificates </w:t>
      </w:r>
    </w:p>
    <w:p w:rsidR="00057A28" w:rsidRDefault="00080BD2" w:rsidP="00615A2D">
      <w:pPr>
        <w:rPr>
          <w:noProof/>
        </w:rPr>
      </w:pPr>
      <w:r>
        <w:rPr>
          <w:noProof/>
        </w:rPr>
        <w:t xml:space="preserve">The envisaged decision </w:t>
      </w:r>
      <w:r w:rsidRPr="008148CB">
        <w:rPr>
          <w:noProof/>
        </w:rPr>
        <w:t>to adopt a new Annex C to ATMF on a Uniform format of certificates</w:t>
      </w:r>
      <w:r>
        <w:rPr>
          <w:noProof/>
        </w:rPr>
        <w:t xml:space="preserve"> is not</w:t>
      </w:r>
      <w:r w:rsidR="008B4519">
        <w:rPr>
          <w:noProof/>
        </w:rPr>
        <w:t xml:space="preserve"> considered to be</w:t>
      </w:r>
      <w:r>
        <w:rPr>
          <w:noProof/>
        </w:rPr>
        <w:t xml:space="preserve"> fully in line with </w:t>
      </w:r>
      <w:r w:rsidRPr="008148CB">
        <w:rPr>
          <w:noProof/>
        </w:rPr>
        <w:t>the law and the strategic objectives of the Union</w:t>
      </w:r>
      <w:r>
        <w:rPr>
          <w:noProof/>
        </w:rPr>
        <w:t xml:space="preserve">. As a generic example, the use </w:t>
      </w:r>
      <w:r w:rsidRPr="00545CAD">
        <w:rPr>
          <w:noProof/>
        </w:rPr>
        <w:t xml:space="preserve">of the term </w:t>
      </w:r>
      <w:r>
        <w:rPr>
          <w:noProof/>
        </w:rPr>
        <w:t>“</w:t>
      </w:r>
      <w:r w:rsidRPr="00545CAD">
        <w:rPr>
          <w:noProof/>
        </w:rPr>
        <w:t>certificate</w:t>
      </w:r>
      <w:r>
        <w:rPr>
          <w:noProof/>
        </w:rPr>
        <w:t>”</w:t>
      </w:r>
      <w:r w:rsidRPr="00545CAD">
        <w:rPr>
          <w:noProof/>
        </w:rPr>
        <w:t xml:space="preserve"> lead</w:t>
      </w:r>
      <w:r>
        <w:rPr>
          <w:noProof/>
        </w:rPr>
        <w:t xml:space="preserve">s </w:t>
      </w:r>
      <w:r w:rsidRPr="00545CAD">
        <w:rPr>
          <w:noProof/>
        </w:rPr>
        <w:t>to confusion</w:t>
      </w:r>
      <w:r>
        <w:rPr>
          <w:noProof/>
        </w:rPr>
        <w:t>, as it is used for different purposes in the EU and COTIF frameworks</w:t>
      </w:r>
      <w:r w:rsidRPr="00545CAD">
        <w:rPr>
          <w:noProof/>
        </w:rPr>
        <w:t>.</w:t>
      </w:r>
    </w:p>
    <w:p w:rsidR="00CE6AE5" w:rsidRDefault="004A7786" w:rsidP="00E028DC">
      <w:pPr>
        <w:rPr>
          <w:noProof/>
        </w:rPr>
      </w:pPr>
      <w:r w:rsidRPr="004A7786">
        <w:rPr>
          <w:noProof/>
        </w:rPr>
        <w:t>Considering the extent of the amendments to the envisaged decision that would be necessary to ensure alignment with the relevant EU acquis, t</w:t>
      </w:r>
      <w:r w:rsidR="00E4757E" w:rsidRPr="00002DD5">
        <w:rPr>
          <w:noProof/>
        </w:rPr>
        <w:t xml:space="preserve">he European Union should vote in </w:t>
      </w:r>
      <w:r w:rsidR="00260836">
        <w:rPr>
          <w:noProof/>
        </w:rPr>
        <w:t xml:space="preserve">against </w:t>
      </w:r>
      <w:r w:rsidR="00E4757E" w:rsidRPr="00002DD5">
        <w:rPr>
          <w:noProof/>
        </w:rPr>
        <w:t xml:space="preserve">the </w:t>
      </w:r>
      <w:r w:rsidR="00044254">
        <w:rPr>
          <w:noProof/>
        </w:rPr>
        <w:t>adoption of Annex C to ATMF UR on a</w:t>
      </w:r>
      <w:r w:rsidR="00E4757E" w:rsidRPr="00E4757E">
        <w:rPr>
          <w:noProof/>
        </w:rPr>
        <w:t xml:space="preserve"> Uniform format of certificates</w:t>
      </w:r>
      <w:r w:rsidR="00044254">
        <w:rPr>
          <w:noProof/>
        </w:rPr>
        <w:t>,</w:t>
      </w:r>
      <w:r w:rsidR="00E4757E" w:rsidRPr="00E4757E">
        <w:rPr>
          <w:noProof/>
        </w:rPr>
        <w:t xml:space="preserve"> </w:t>
      </w:r>
      <w:r w:rsidR="00E4757E">
        <w:rPr>
          <w:noProof/>
        </w:rPr>
        <w:t>as proposed by</w:t>
      </w:r>
      <w:r w:rsidR="00044254">
        <w:rPr>
          <w:noProof/>
        </w:rPr>
        <w:t xml:space="preserve"> the</w:t>
      </w:r>
      <w:r w:rsidR="00E4757E">
        <w:rPr>
          <w:noProof/>
        </w:rPr>
        <w:t xml:space="preserve"> OTIF Secretariat in the document</w:t>
      </w:r>
      <w:r w:rsidR="00E4757E" w:rsidRPr="00002DD5">
        <w:rPr>
          <w:noProof/>
        </w:rPr>
        <w:t xml:space="preserve"> </w:t>
      </w:r>
      <w:r w:rsidR="00E13833" w:rsidRPr="00E13833">
        <w:rPr>
          <w:noProof/>
        </w:rPr>
        <w:t>TECH-</w:t>
      </w:r>
      <w:r w:rsidR="00E13833" w:rsidRPr="00F53E0F">
        <w:rPr>
          <w:noProof/>
        </w:rPr>
        <w:t>26005-CTE18-5.3</w:t>
      </w:r>
      <w:r w:rsidR="00B73CB8">
        <w:rPr>
          <w:noProof/>
        </w:rPr>
        <w:t>,</w:t>
      </w:r>
      <w:r w:rsidR="00260836" w:rsidRPr="00F53E0F">
        <w:rPr>
          <w:noProof/>
        </w:rPr>
        <w:t xml:space="preserve"> and request its review </w:t>
      </w:r>
      <w:r w:rsidR="00F53E0F" w:rsidRPr="00F53E0F">
        <w:rPr>
          <w:noProof/>
        </w:rPr>
        <w:t>by OTIF WG TECH to ensure alignment with the relevant EU acquis.</w:t>
      </w:r>
    </w:p>
    <w:p w:rsidR="00F53E0F" w:rsidRPr="00002DD5" w:rsidRDefault="00F53E0F" w:rsidP="00E028DC">
      <w:pPr>
        <w:rPr>
          <w:noProof/>
        </w:rPr>
      </w:pPr>
    </w:p>
    <w:p w:rsidR="00E028DC" w:rsidRPr="006855FA" w:rsidRDefault="00E028DC" w:rsidP="006855FA">
      <w:pPr>
        <w:pStyle w:val="ManualNumPar3"/>
        <w:rPr>
          <w:i/>
          <w:iCs/>
          <w:noProof/>
        </w:rPr>
      </w:pPr>
      <w:r>
        <w:rPr>
          <w:noProof/>
        </w:rPr>
        <w:t>3.2.5.</w:t>
      </w:r>
      <w:r>
        <w:rPr>
          <w:noProof/>
        </w:rPr>
        <w:tab/>
      </w:r>
      <w:r w:rsidRPr="006855FA">
        <w:rPr>
          <w:i/>
          <w:iCs/>
          <w:noProof/>
        </w:rPr>
        <w:t>Modification of the UTP Telematics applications for freight services (UTP TAF)</w:t>
      </w:r>
    </w:p>
    <w:p w:rsidR="00E028DC" w:rsidRPr="00002DD5" w:rsidRDefault="00E028DC" w:rsidP="00E028DC">
      <w:pPr>
        <w:rPr>
          <w:noProof/>
        </w:rPr>
      </w:pPr>
      <w:r w:rsidRPr="00002DD5">
        <w:rPr>
          <w:noProof/>
        </w:rPr>
        <w:t xml:space="preserve">The European Union </w:t>
      </w:r>
      <w:r w:rsidR="00FA3846" w:rsidRPr="00002DD5">
        <w:rPr>
          <w:noProof/>
        </w:rPr>
        <w:t>should</w:t>
      </w:r>
      <w:r w:rsidRPr="00002DD5">
        <w:rPr>
          <w:noProof/>
        </w:rPr>
        <w:t xml:space="preserve"> vote in favour of the modification</w:t>
      </w:r>
      <w:r w:rsidR="004C4E73">
        <w:rPr>
          <w:noProof/>
        </w:rPr>
        <w:t>s</w:t>
      </w:r>
      <w:r w:rsidRPr="00002DD5">
        <w:rPr>
          <w:noProof/>
        </w:rPr>
        <w:t xml:space="preserve"> of the UTP TAF</w:t>
      </w:r>
      <w:r w:rsidR="0084159E">
        <w:rPr>
          <w:noProof/>
        </w:rPr>
        <w:t>,</w:t>
      </w:r>
      <w:r w:rsidRPr="00002DD5">
        <w:rPr>
          <w:noProof/>
        </w:rPr>
        <w:t xml:space="preserve"> as proposed by </w:t>
      </w:r>
      <w:r w:rsidR="0084159E">
        <w:rPr>
          <w:noProof/>
        </w:rPr>
        <w:t xml:space="preserve">the </w:t>
      </w:r>
      <w:r w:rsidRPr="00002DD5">
        <w:rPr>
          <w:noProof/>
        </w:rPr>
        <w:t>OTIF</w:t>
      </w:r>
      <w:r w:rsidR="009D503A" w:rsidRPr="00002DD5">
        <w:rPr>
          <w:noProof/>
        </w:rPr>
        <w:t xml:space="preserve"> </w:t>
      </w:r>
      <w:r w:rsidR="00603651">
        <w:rPr>
          <w:noProof/>
        </w:rPr>
        <w:t xml:space="preserve">Secretariat </w:t>
      </w:r>
      <w:r w:rsidR="009D503A" w:rsidRPr="00002DD5">
        <w:rPr>
          <w:noProof/>
        </w:rPr>
        <w:t xml:space="preserve">in the </w:t>
      </w:r>
      <w:r w:rsidR="00603651">
        <w:rPr>
          <w:noProof/>
        </w:rPr>
        <w:t>document</w:t>
      </w:r>
      <w:r w:rsidR="009D503A" w:rsidRPr="00002DD5">
        <w:rPr>
          <w:noProof/>
        </w:rPr>
        <w:t xml:space="preserve"> </w:t>
      </w:r>
      <w:r w:rsidR="00E13833" w:rsidRPr="00E13833">
        <w:rPr>
          <w:noProof/>
        </w:rPr>
        <w:t>TECH-26006-CTE18-5.4</w:t>
      </w:r>
      <w:r w:rsidR="001A2B96" w:rsidRPr="00E13833">
        <w:rPr>
          <w:noProof/>
        </w:rPr>
        <w:t>.</w:t>
      </w:r>
    </w:p>
    <w:p w:rsidR="00913B56" w:rsidRPr="00002DD5" w:rsidRDefault="00913B56" w:rsidP="00A82240">
      <w:pPr>
        <w:rPr>
          <w:noProof/>
        </w:rPr>
      </w:pPr>
    </w:p>
    <w:p w:rsidR="00913B56" w:rsidRPr="006855FA" w:rsidRDefault="008020DB" w:rsidP="006855FA">
      <w:pPr>
        <w:pStyle w:val="ManualNumPar3"/>
        <w:rPr>
          <w:i/>
          <w:iCs/>
          <w:noProof/>
        </w:rPr>
      </w:pPr>
      <w:r>
        <w:rPr>
          <w:noProof/>
        </w:rPr>
        <w:t>3.2.6.</w:t>
      </w:r>
      <w:r>
        <w:rPr>
          <w:noProof/>
        </w:rPr>
        <w:tab/>
      </w:r>
      <w:r w:rsidRPr="006855FA">
        <w:rPr>
          <w:i/>
          <w:iCs/>
          <w:noProof/>
        </w:rPr>
        <w:t xml:space="preserve">Update of the </w:t>
      </w:r>
      <w:r w:rsidR="00603651" w:rsidRPr="006855FA">
        <w:rPr>
          <w:i/>
          <w:iCs/>
          <w:noProof/>
        </w:rPr>
        <w:t>h</w:t>
      </w:r>
      <w:r w:rsidRPr="006855FA">
        <w:rPr>
          <w:i/>
          <w:iCs/>
          <w:noProof/>
        </w:rPr>
        <w:t>andbook for the implementation and application of the APTU and ATMF</w:t>
      </w:r>
      <w:r w:rsidR="00913B56" w:rsidRPr="006855FA">
        <w:rPr>
          <w:i/>
          <w:iCs/>
          <w:noProof/>
        </w:rPr>
        <w:tab/>
      </w:r>
    </w:p>
    <w:p w:rsidR="004B1D68" w:rsidRPr="003C55BA" w:rsidRDefault="004B1D68" w:rsidP="004B1D68">
      <w:pPr>
        <w:rPr>
          <w:noProof/>
        </w:rPr>
      </w:pPr>
      <w:r w:rsidRPr="003C55BA">
        <w:rPr>
          <w:noProof/>
        </w:rPr>
        <w:t>The European Union should vote in favour of the modification</w:t>
      </w:r>
      <w:r w:rsidR="0046747D" w:rsidRPr="003C55BA">
        <w:rPr>
          <w:noProof/>
        </w:rPr>
        <w:t>s</w:t>
      </w:r>
      <w:r w:rsidRPr="003C55BA">
        <w:rPr>
          <w:noProof/>
        </w:rPr>
        <w:t xml:space="preserve"> of the </w:t>
      </w:r>
      <w:r w:rsidR="00603651" w:rsidRPr="003C55BA">
        <w:rPr>
          <w:noProof/>
        </w:rPr>
        <w:t>h</w:t>
      </w:r>
      <w:r w:rsidRPr="003C55BA">
        <w:rPr>
          <w:noProof/>
        </w:rPr>
        <w:t xml:space="preserve">andbook as proposed by </w:t>
      </w:r>
      <w:r w:rsidR="0084159E" w:rsidRPr="003C55BA">
        <w:rPr>
          <w:noProof/>
        </w:rPr>
        <w:t xml:space="preserve">the </w:t>
      </w:r>
      <w:r w:rsidRPr="003C55BA">
        <w:rPr>
          <w:noProof/>
        </w:rPr>
        <w:t xml:space="preserve">OTIF </w:t>
      </w:r>
      <w:r w:rsidR="00603651" w:rsidRPr="003C55BA">
        <w:rPr>
          <w:noProof/>
        </w:rPr>
        <w:t xml:space="preserve">Secretariat </w:t>
      </w:r>
      <w:r w:rsidRPr="003C55BA">
        <w:rPr>
          <w:noProof/>
        </w:rPr>
        <w:t xml:space="preserve">in the </w:t>
      </w:r>
      <w:r w:rsidR="00603651" w:rsidRPr="003C55BA">
        <w:rPr>
          <w:noProof/>
        </w:rPr>
        <w:t>document</w:t>
      </w:r>
      <w:r w:rsidRPr="003C55BA">
        <w:rPr>
          <w:noProof/>
        </w:rPr>
        <w:t xml:space="preserve"> </w:t>
      </w:r>
      <w:r w:rsidR="00EE5D90" w:rsidRPr="003C55BA">
        <w:rPr>
          <w:noProof/>
        </w:rPr>
        <w:t>TECH-26009-CTE18-6.3</w:t>
      </w:r>
      <w:r w:rsidRPr="003C55BA">
        <w:rPr>
          <w:noProof/>
        </w:rPr>
        <w:t xml:space="preserve">, subject to the amendments listed below. In case these amendments are not introduced, the European Union should vote against the proposed </w:t>
      </w:r>
      <w:r w:rsidR="000C3617" w:rsidRPr="003C55BA">
        <w:rPr>
          <w:noProof/>
        </w:rPr>
        <w:t xml:space="preserve">update of the </w:t>
      </w:r>
      <w:r w:rsidR="00313862" w:rsidRPr="003C55BA">
        <w:rPr>
          <w:noProof/>
        </w:rPr>
        <w:t>h</w:t>
      </w:r>
      <w:r w:rsidR="000C3617" w:rsidRPr="003C55BA">
        <w:rPr>
          <w:noProof/>
        </w:rPr>
        <w:t>andbook</w:t>
      </w:r>
      <w:r w:rsidRPr="003C55BA">
        <w:rPr>
          <w:noProof/>
        </w:rPr>
        <w:t>.</w:t>
      </w:r>
    </w:p>
    <w:p w:rsidR="003C55BA" w:rsidRPr="003C55BA" w:rsidRDefault="003C55BA" w:rsidP="001B6C4E">
      <w:pPr>
        <w:pStyle w:val="Point0"/>
        <w:rPr>
          <w:noProof/>
        </w:rPr>
      </w:pPr>
      <w:r>
        <w:rPr>
          <w:noProof/>
        </w:rPr>
        <w:t>(a)</w:t>
      </w:r>
      <w:r>
        <w:rPr>
          <w:noProof/>
        </w:rPr>
        <w:tab/>
      </w:r>
      <w:r w:rsidRPr="003C55BA">
        <w:rPr>
          <w:noProof/>
        </w:rPr>
        <w:t>Cross-references between the different part</w:t>
      </w:r>
      <w:r w:rsidR="00DE6FD7">
        <w:rPr>
          <w:noProof/>
        </w:rPr>
        <w:t>s</w:t>
      </w:r>
      <w:r w:rsidRPr="003C55BA">
        <w:rPr>
          <w:noProof/>
        </w:rPr>
        <w:t xml:space="preserve"> of the Handbook should be reviewed (e.g. points 106, 137</w:t>
      </w:r>
      <w:r w:rsidR="00010FAB">
        <w:rPr>
          <w:noProof/>
        </w:rPr>
        <w:t xml:space="preserve"> and</w:t>
      </w:r>
      <w:r w:rsidRPr="003C55BA">
        <w:rPr>
          <w:noProof/>
        </w:rPr>
        <w:t xml:space="preserve"> 200 refer to a numbering of sections that is not actually used in the Handbook);</w:t>
      </w:r>
    </w:p>
    <w:p w:rsidR="003C55BA" w:rsidRDefault="003C55BA" w:rsidP="001B6C4E">
      <w:pPr>
        <w:pStyle w:val="Point0"/>
        <w:rPr>
          <w:noProof/>
        </w:rPr>
      </w:pPr>
      <w:r>
        <w:rPr>
          <w:noProof/>
        </w:rPr>
        <w:t>(b)</w:t>
      </w:r>
      <w:r>
        <w:rPr>
          <w:noProof/>
        </w:rPr>
        <w:tab/>
        <w:t>In</w:t>
      </w:r>
      <w:r w:rsidRPr="001B741F">
        <w:rPr>
          <w:noProof/>
        </w:rPr>
        <w:t xml:space="preserve"> point</w:t>
      </w:r>
      <w:r w:rsidR="00D65C73">
        <w:rPr>
          <w:noProof/>
        </w:rPr>
        <w:t>s</w:t>
      </w:r>
      <w:r w:rsidRPr="001B741F">
        <w:rPr>
          <w:noProof/>
        </w:rPr>
        <w:t xml:space="preserve"> 112</w:t>
      </w:r>
      <w:r w:rsidR="00D65C73">
        <w:rPr>
          <w:noProof/>
        </w:rPr>
        <w:t xml:space="preserve"> and 202</w:t>
      </w:r>
      <w:r w:rsidRPr="001B741F">
        <w:rPr>
          <w:noProof/>
        </w:rPr>
        <w:t xml:space="preserve">, </w:t>
      </w:r>
      <w:r>
        <w:rPr>
          <w:noProof/>
        </w:rPr>
        <w:t>the last sentence</w:t>
      </w:r>
      <w:r w:rsidR="00D65C73">
        <w:rPr>
          <w:noProof/>
        </w:rPr>
        <w:t>s</w:t>
      </w:r>
      <w:r>
        <w:rPr>
          <w:noProof/>
        </w:rPr>
        <w:t xml:space="preserve"> should be completed as follows: “</w:t>
      </w:r>
      <w:r w:rsidRPr="000A7B60">
        <w:rPr>
          <w:i/>
          <w:iCs/>
          <w:noProof/>
        </w:rPr>
        <w:t xml:space="preserve">, </w:t>
      </w:r>
      <w:r w:rsidR="00EB2B2D">
        <w:rPr>
          <w:i/>
          <w:iCs/>
          <w:noProof/>
        </w:rPr>
        <w:t xml:space="preserve">if so allowed </w:t>
      </w:r>
      <w:r w:rsidR="00556550">
        <w:rPr>
          <w:i/>
          <w:iCs/>
          <w:noProof/>
        </w:rPr>
        <w:t xml:space="preserve">by </w:t>
      </w:r>
      <w:r w:rsidR="00862B3D">
        <w:rPr>
          <w:i/>
          <w:iCs/>
          <w:noProof/>
        </w:rPr>
        <w:t>the</w:t>
      </w:r>
      <w:r w:rsidRPr="000A7B60">
        <w:rPr>
          <w:i/>
          <w:iCs/>
          <w:noProof/>
        </w:rPr>
        <w:t xml:space="preserve"> applicable market related rules</w:t>
      </w:r>
      <w:r w:rsidR="001E7266">
        <w:rPr>
          <w:i/>
          <w:iCs/>
          <w:noProof/>
        </w:rPr>
        <w:t xml:space="preserve"> established at domestic or EU level, </w:t>
      </w:r>
      <w:r w:rsidR="00160A71">
        <w:rPr>
          <w:i/>
          <w:iCs/>
          <w:noProof/>
        </w:rPr>
        <w:t>as</w:t>
      </w:r>
      <w:r w:rsidR="001E7266">
        <w:rPr>
          <w:i/>
          <w:iCs/>
          <w:noProof/>
        </w:rPr>
        <w:t xml:space="preserve"> app</w:t>
      </w:r>
      <w:r w:rsidR="00160A71">
        <w:rPr>
          <w:i/>
          <w:iCs/>
          <w:noProof/>
        </w:rPr>
        <w:t>ropriate</w:t>
      </w:r>
      <w:r w:rsidRPr="000A7B60">
        <w:rPr>
          <w:i/>
          <w:iCs/>
          <w:noProof/>
        </w:rPr>
        <w:t>.</w:t>
      </w:r>
      <w:r>
        <w:rPr>
          <w:noProof/>
        </w:rPr>
        <w:t>”;</w:t>
      </w:r>
    </w:p>
    <w:p w:rsidR="003C55BA" w:rsidRDefault="003C55BA" w:rsidP="001B6C4E">
      <w:pPr>
        <w:pStyle w:val="Point0"/>
        <w:rPr>
          <w:noProof/>
        </w:rPr>
      </w:pPr>
      <w:r>
        <w:rPr>
          <w:noProof/>
        </w:rPr>
        <w:t>(c)</w:t>
      </w:r>
      <w:r>
        <w:rPr>
          <w:noProof/>
        </w:rPr>
        <w:tab/>
        <w:t>In point 201, in the third sentence, “</w:t>
      </w:r>
      <w:r w:rsidRPr="000A7B60">
        <w:rPr>
          <w:i/>
          <w:iCs/>
          <w:noProof/>
        </w:rPr>
        <w:t>Vehicles” should be replaced by “Vehicles in international traffic in the scope of the ATMF UR</w:t>
      </w:r>
      <w:r>
        <w:rPr>
          <w:noProof/>
        </w:rPr>
        <w:t>”</w:t>
      </w:r>
      <w:r w:rsidRPr="001B741F">
        <w:rPr>
          <w:noProof/>
        </w:rPr>
        <w:t>.</w:t>
      </w:r>
    </w:p>
    <w:p w:rsidR="00817684" w:rsidRPr="003C55BA" w:rsidRDefault="00817684" w:rsidP="00615A2D">
      <w:pPr>
        <w:rPr>
          <w:noProof/>
        </w:rPr>
      </w:pPr>
      <w:r>
        <w:rPr>
          <w:noProof/>
        </w:rPr>
        <w:t xml:space="preserve">In addition, it should also be enquired whether the expression </w:t>
      </w:r>
      <w:r w:rsidRPr="003C55BA">
        <w:rPr>
          <w:noProof/>
        </w:rPr>
        <w:t>“</w:t>
      </w:r>
      <w:r w:rsidRPr="000A7B60">
        <w:rPr>
          <w:i/>
          <w:iCs/>
          <w:noProof/>
        </w:rPr>
        <w:t>Contracting State</w:t>
      </w:r>
      <w:r w:rsidRPr="003C55BA">
        <w:rPr>
          <w:noProof/>
        </w:rPr>
        <w:t>” should be replaced by “</w:t>
      </w:r>
      <w:r w:rsidRPr="000A7B60">
        <w:rPr>
          <w:i/>
          <w:iCs/>
          <w:noProof/>
        </w:rPr>
        <w:t>Member State</w:t>
      </w:r>
      <w:r w:rsidRPr="003C55BA">
        <w:rPr>
          <w:noProof/>
        </w:rPr>
        <w:t>”</w:t>
      </w:r>
      <w:r>
        <w:rPr>
          <w:noProof/>
        </w:rPr>
        <w:t xml:space="preserve"> throughout the document,</w:t>
      </w:r>
      <w:r w:rsidRPr="003C55BA">
        <w:rPr>
          <w:noProof/>
        </w:rPr>
        <w:t xml:space="preserve"> to align with the revised terminology proposed for CTE’s </w:t>
      </w:r>
      <w:r>
        <w:rPr>
          <w:noProof/>
        </w:rPr>
        <w:t>R</w:t>
      </w:r>
      <w:r w:rsidRPr="003C55BA">
        <w:rPr>
          <w:noProof/>
        </w:rPr>
        <w:t>ule</w:t>
      </w:r>
      <w:r>
        <w:rPr>
          <w:noProof/>
        </w:rPr>
        <w:t>s</w:t>
      </w:r>
      <w:r w:rsidRPr="003C55BA">
        <w:rPr>
          <w:noProof/>
        </w:rPr>
        <w:t xml:space="preserve"> of </w:t>
      </w:r>
      <w:r>
        <w:rPr>
          <w:noProof/>
        </w:rPr>
        <w:t>P</w:t>
      </w:r>
      <w:r w:rsidRPr="003C55BA">
        <w:rPr>
          <w:noProof/>
        </w:rPr>
        <w:t>rocedure</w:t>
      </w:r>
      <w:r w:rsidR="00D24DE6">
        <w:rPr>
          <w:noProof/>
        </w:rPr>
        <w:t>.</w:t>
      </w:r>
    </w:p>
    <w:p w:rsidR="006E17BE" w:rsidRDefault="006E17BE" w:rsidP="00615A2D">
      <w:pPr>
        <w:rPr>
          <w:noProof/>
        </w:rPr>
      </w:pPr>
    </w:p>
    <w:p w:rsidR="007024FE" w:rsidRPr="006855FA" w:rsidRDefault="007024FE" w:rsidP="00313862">
      <w:pPr>
        <w:pStyle w:val="ManualNumPar1"/>
        <w:rPr>
          <w:b/>
          <w:bCs/>
          <w:smallCaps/>
          <w:noProof/>
        </w:rPr>
      </w:pPr>
      <w:r>
        <w:rPr>
          <w:noProof/>
        </w:rPr>
        <w:t>4.</w:t>
      </w:r>
      <w:r>
        <w:rPr>
          <w:noProof/>
        </w:rPr>
        <w:tab/>
      </w:r>
      <w:r w:rsidRPr="006855FA">
        <w:rPr>
          <w:b/>
          <w:bCs/>
          <w:smallCaps/>
          <w:noProof/>
        </w:rPr>
        <w:t>Legal basis</w:t>
      </w:r>
    </w:p>
    <w:p w:rsidR="007024FE" w:rsidRPr="006855FA" w:rsidRDefault="007024FE" w:rsidP="00313862">
      <w:pPr>
        <w:pStyle w:val="ManualNumPar2"/>
        <w:rPr>
          <w:b/>
          <w:bCs/>
          <w:noProof/>
        </w:rPr>
      </w:pPr>
      <w:r>
        <w:rPr>
          <w:noProof/>
        </w:rPr>
        <w:t>4.1.</w:t>
      </w:r>
      <w:r>
        <w:rPr>
          <w:noProof/>
        </w:rPr>
        <w:tab/>
      </w:r>
      <w:r w:rsidRPr="006855FA">
        <w:rPr>
          <w:b/>
          <w:bCs/>
          <w:noProof/>
        </w:rPr>
        <w:t>Procedural legal basis</w:t>
      </w:r>
    </w:p>
    <w:p w:rsidR="007024FE" w:rsidRPr="006855FA" w:rsidRDefault="007024FE" w:rsidP="00313862">
      <w:pPr>
        <w:pStyle w:val="ManualNumPar3"/>
        <w:rPr>
          <w:i/>
          <w:iCs/>
          <w:noProof/>
        </w:rPr>
      </w:pPr>
      <w:r>
        <w:rPr>
          <w:noProof/>
        </w:rPr>
        <w:t>4.1.1.</w:t>
      </w:r>
      <w:r>
        <w:rPr>
          <w:noProof/>
        </w:rPr>
        <w:tab/>
      </w:r>
      <w:r w:rsidRPr="006855FA">
        <w:rPr>
          <w:i/>
          <w:iCs/>
          <w:noProof/>
        </w:rPr>
        <w:t>Principles</w:t>
      </w:r>
    </w:p>
    <w:p w:rsidR="007024FE" w:rsidRPr="00002DD5" w:rsidRDefault="007024FE" w:rsidP="007E1523">
      <w:pPr>
        <w:rPr>
          <w:noProof/>
        </w:rPr>
      </w:pPr>
      <w:r w:rsidRPr="00002DD5">
        <w:rPr>
          <w:noProof/>
        </w:rPr>
        <w:t>Article 218(9) of the Treaty on the Functioning of the European Union (TFEU) provides for decisions establishing ‘</w:t>
      </w:r>
      <w:r w:rsidRPr="00002DD5">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002DD5">
        <w:rPr>
          <w:noProof/>
        </w:rPr>
        <w:t>.’</w:t>
      </w:r>
    </w:p>
    <w:p w:rsidR="007024FE" w:rsidRPr="00002DD5" w:rsidRDefault="007024FE" w:rsidP="007E1523">
      <w:pPr>
        <w:rPr>
          <w:noProof/>
        </w:rPr>
      </w:pPr>
      <w:r w:rsidRPr="00002DD5">
        <w:rPr>
          <w:noProof/>
        </w:rPr>
        <w:t>The concept of ‘</w:t>
      </w:r>
      <w:r w:rsidRPr="00002DD5">
        <w:rPr>
          <w:i/>
          <w:noProof/>
        </w:rPr>
        <w:t>acts having legal effects</w:t>
      </w:r>
      <w:r w:rsidRPr="00002DD5">
        <w:rPr>
          <w:noProof/>
        </w:rPr>
        <w:t>’ includes acts that have legal effects by virtue of the rules of international law governing the body in question. It also includes instruments that do not have a binding effect under international law, but that are ‘</w:t>
      </w:r>
      <w:r w:rsidRPr="00002DD5">
        <w:rPr>
          <w:i/>
          <w:noProof/>
        </w:rPr>
        <w:t>capable of decisively influencing the content of the legislation adopted by the EU legislature</w:t>
      </w:r>
      <w:r w:rsidRPr="00002DD5">
        <w:rPr>
          <w:noProof/>
        </w:rPr>
        <w:t>’</w:t>
      </w:r>
      <w:r w:rsidRPr="00002DD5">
        <w:rPr>
          <w:rStyle w:val="FootnoteReference"/>
          <w:noProof/>
        </w:rPr>
        <w:footnoteReference w:id="10"/>
      </w:r>
      <w:r w:rsidRPr="00002DD5">
        <w:rPr>
          <w:noProof/>
        </w:rPr>
        <w:t>.</w:t>
      </w:r>
    </w:p>
    <w:p w:rsidR="00152024" w:rsidRPr="00002DD5" w:rsidRDefault="00152024" w:rsidP="007E1523">
      <w:pPr>
        <w:rPr>
          <w:noProof/>
        </w:rPr>
      </w:pPr>
    </w:p>
    <w:p w:rsidR="007024FE" w:rsidRPr="006855FA" w:rsidRDefault="007024FE" w:rsidP="00AE2DFE">
      <w:pPr>
        <w:pStyle w:val="ManualNumPar3"/>
        <w:keepNext/>
        <w:rPr>
          <w:i/>
          <w:iCs/>
          <w:noProof/>
        </w:rPr>
      </w:pPr>
      <w:r>
        <w:rPr>
          <w:noProof/>
        </w:rPr>
        <w:lastRenderedPageBreak/>
        <w:t>4.1.2.</w:t>
      </w:r>
      <w:r>
        <w:rPr>
          <w:noProof/>
        </w:rPr>
        <w:tab/>
      </w:r>
      <w:r w:rsidRPr="006855FA">
        <w:rPr>
          <w:i/>
          <w:iCs/>
          <w:noProof/>
        </w:rPr>
        <w:t>Application to the present case</w:t>
      </w:r>
    </w:p>
    <w:p w:rsidR="00CE0A79" w:rsidRPr="00002DD5" w:rsidRDefault="00CE0A79" w:rsidP="00AE2DFE">
      <w:pPr>
        <w:keepNext/>
        <w:rPr>
          <w:noProof/>
        </w:rPr>
      </w:pPr>
      <w:r w:rsidRPr="00002DD5">
        <w:rPr>
          <w:noProof/>
        </w:rPr>
        <w:t xml:space="preserve">The CTE is a body set up by an agreement, namely the COTIF, in particular </w:t>
      </w:r>
      <w:r w:rsidR="006265D4" w:rsidRPr="00002DD5">
        <w:rPr>
          <w:noProof/>
        </w:rPr>
        <w:t xml:space="preserve">under its </w:t>
      </w:r>
      <w:r w:rsidRPr="00002DD5">
        <w:rPr>
          <w:noProof/>
        </w:rPr>
        <w:t>Article</w:t>
      </w:r>
      <w:r w:rsidR="00615A2D">
        <w:rPr>
          <w:noProof/>
        </w:rPr>
        <w:t> </w:t>
      </w:r>
      <w:r w:rsidRPr="00002DD5">
        <w:rPr>
          <w:noProof/>
        </w:rPr>
        <w:t xml:space="preserve">13(1)(f). </w:t>
      </w:r>
    </w:p>
    <w:p w:rsidR="00CE0A79" w:rsidRPr="00002DD5" w:rsidRDefault="00CE0A79" w:rsidP="009C6EFD">
      <w:pPr>
        <w:rPr>
          <w:noProof/>
        </w:rPr>
      </w:pPr>
      <w:r w:rsidRPr="00002DD5">
        <w:rPr>
          <w:noProof/>
        </w:rPr>
        <w:t xml:space="preserve">The acts </w:t>
      </w:r>
      <w:r w:rsidR="006265D4" w:rsidRPr="00002DD5">
        <w:rPr>
          <w:noProof/>
        </w:rPr>
        <w:t xml:space="preserve">listed above </w:t>
      </w:r>
      <w:r w:rsidRPr="00002DD5">
        <w:rPr>
          <w:noProof/>
        </w:rPr>
        <w:t>which the CTE is called upon to adopt during its 1</w:t>
      </w:r>
      <w:r w:rsidR="00313862">
        <w:rPr>
          <w:noProof/>
        </w:rPr>
        <w:t>8</w:t>
      </w:r>
      <w:r w:rsidRPr="00002DD5">
        <w:rPr>
          <w:noProof/>
          <w:vertAlign w:val="superscript"/>
        </w:rPr>
        <w:t>th</w:t>
      </w:r>
      <w:r w:rsidRPr="00002DD5">
        <w:rPr>
          <w:noProof/>
        </w:rPr>
        <w:t xml:space="preserve"> session constitute acts having legal effects. As the Union is a full contracting party to COTIF, the envisaged acts will be binding upon the Union under international law</w:t>
      </w:r>
      <w:r w:rsidR="00037C8C">
        <w:rPr>
          <w:noProof/>
        </w:rPr>
        <w:t>,</w:t>
      </w:r>
      <w:r w:rsidRPr="00002DD5">
        <w:rPr>
          <w:noProof/>
        </w:rPr>
        <w:t xml:space="preserve"> in accordance with </w:t>
      </w:r>
      <w:r w:rsidR="00642E9B" w:rsidRPr="00002DD5">
        <w:rPr>
          <w:noProof/>
        </w:rPr>
        <w:t>Article 6(1) APTU</w:t>
      </w:r>
      <w:r w:rsidR="00037C8C">
        <w:rPr>
          <w:noProof/>
        </w:rPr>
        <w:t>, Article 21</w:t>
      </w:r>
      <w:r w:rsidR="00D13B96">
        <w:rPr>
          <w:noProof/>
        </w:rPr>
        <w:t>(1)</w:t>
      </w:r>
      <w:r w:rsidR="00037C8C">
        <w:rPr>
          <w:noProof/>
        </w:rPr>
        <w:t xml:space="preserve"> ATMF</w:t>
      </w:r>
      <w:r w:rsidR="00642E9B" w:rsidRPr="00002DD5">
        <w:rPr>
          <w:noProof/>
        </w:rPr>
        <w:t xml:space="preserve"> and </w:t>
      </w:r>
      <w:r w:rsidR="001A203F">
        <w:rPr>
          <w:noProof/>
        </w:rPr>
        <w:t xml:space="preserve">paragraphs 3 and 4 of </w:t>
      </w:r>
      <w:r w:rsidR="00642E9B" w:rsidRPr="00002DD5">
        <w:rPr>
          <w:noProof/>
        </w:rPr>
        <w:t>Article 35</w:t>
      </w:r>
      <w:r w:rsidR="006265D4" w:rsidRPr="00002DD5">
        <w:rPr>
          <w:noProof/>
        </w:rPr>
        <w:t xml:space="preserve"> </w:t>
      </w:r>
      <w:r w:rsidR="001A203F">
        <w:rPr>
          <w:noProof/>
        </w:rPr>
        <w:t xml:space="preserve">to </w:t>
      </w:r>
      <w:r w:rsidR="00642E9B" w:rsidRPr="00002DD5">
        <w:rPr>
          <w:noProof/>
        </w:rPr>
        <w:t xml:space="preserve">COTIF. </w:t>
      </w:r>
    </w:p>
    <w:p w:rsidR="00E27371" w:rsidRPr="00E27371" w:rsidRDefault="00E27371" w:rsidP="00E27371">
      <w:pPr>
        <w:rPr>
          <w:noProof/>
        </w:rPr>
      </w:pPr>
      <w:r w:rsidRPr="00E27371">
        <w:rPr>
          <w:noProof/>
        </w:rPr>
        <w:t>The envisaged act</w:t>
      </w:r>
      <w:r>
        <w:rPr>
          <w:noProof/>
        </w:rPr>
        <w:t>s</w:t>
      </w:r>
      <w:r w:rsidRPr="00E27371">
        <w:rPr>
          <w:noProof/>
        </w:rPr>
        <w:t xml:space="preserve"> do not supplement or amend the institutional framework of the Agreement.</w:t>
      </w:r>
    </w:p>
    <w:p w:rsidR="00CE0A79" w:rsidRPr="00002DD5" w:rsidRDefault="00CE0A79" w:rsidP="007E1523">
      <w:pPr>
        <w:rPr>
          <w:noProof/>
        </w:rPr>
      </w:pPr>
      <w:r w:rsidRPr="00002DD5">
        <w:rPr>
          <w:noProof/>
        </w:rPr>
        <w:t>Therefore, the procedural legal basis for the proposed decision is Article 218(9) TFEU.</w:t>
      </w:r>
    </w:p>
    <w:p w:rsidR="0047675C" w:rsidRPr="00002DD5" w:rsidRDefault="0047675C" w:rsidP="007E1523">
      <w:pPr>
        <w:rPr>
          <w:noProof/>
        </w:rPr>
      </w:pPr>
    </w:p>
    <w:p w:rsidR="003321A5" w:rsidRPr="006855FA" w:rsidRDefault="003321A5" w:rsidP="00313862">
      <w:pPr>
        <w:pStyle w:val="ManualNumPar2"/>
        <w:rPr>
          <w:b/>
          <w:bCs/>
          <w:noProof/>
        </w:rPr>
      </w:pPr>
      <w:r>
        <w:rPr>
          <w:noProof/>
        </w:rPr>
        <w:t>4.2.</w:t>
      </w:r>
      <w:r>
        <w:rPr>
          <w:noProof/>
        </w:rPr>
        <w:tab/>
      </w:r>
      <w:r w:rsidRPr="006855FA">
        <w:rPr>
          <w:b/>
          <w:bCs/>
          <w:noProof/>
        </w:rPr>
        <w:t>Substantive legal basis</w:t>
      </w:r>
    </w:p>
    <w:p w:rsidR="003321A5" w:rsidRPr="006855FA" w:rsidRDefault="003321A5" w:rsidP="00313862">
      <w:pPr>
        <w:pStyle w:val="ManualNumPar3"/>
        <w:rPr>
          <w:i/>
          <w:iCs/>
          <w:noProof/>
        </w:rPr>
      </w:pPr>
      <w:r>
        <w:rPr>
          <w:noProof/>
        </w:rPr>
        <w:t>4.2.1.</w:t>
      </w:r>
      <w:r>
        <w:rPr>
          <w:noProof/>
        </w:rPr>
        <w:tab/>
      </w:r>
      <w:r w:rsidRPr="006855FA">
        <w:rPr>
          <w:i/>
          <w:iCs/>
          <w:noProof/>
        </w:rPr>
        <w:t>Principles</w:t>
      </w:r>
    </w:p>
    <w:p w:rsidR="003321A5" w:rsidRPr="00002DD5" w:rsidRDefault="003321A5" w:rsidP="003321A5">
      <w:pPr>
        <w:rPr>
          <w:noProof/>
        </w:rPr>
      </w:pPr>
      <w:r w:rsidRPr="00002DD5">
        <w:rPr>
          <w:noProof/>
        </w:rPr>
        <w:t xml:space="preserve">The substantive legal basis for a decision under Article 218(9) TFEU depends primarily on the objective and content of the envisaged act in respect of which a position is </w:t>
      </w:r>
      <w:r w:rsidR="00DC4E56">
        <w:rPr>
          <w:noProof/>
        </w:rPr>
        <w:t>taken</w:t>
      </w:r>
      <w:r w:rsidR="00DC4E56" w:rsidRPr="00002DD5">
        <w:rPr>
          <w:noProof/>
        </w:rPr>
        <w:t xml:space="preserve"> </w:t>
      </w:r>
      <w:r w:rsidRPr="00002DD5">
        <w:rPr>
          <w:noProof/>
        </w:rPr>
        <w:t>on the Union</w:t>
      </w:r>
      <w:r w:rsidR="00DC4E56">
        <w:rPr>
          <w:noProof/>
        </w:rPr>
        <w:t>’s behalf</w:t>
      </w:r>
      <w:r w:rsidRPr="00002DD5">
        <w:rPr>
          <w:noProof/>
        </w:rPr>
        <w:t>.</w:t>
      </w:r>
      <w:r w:rsidR="00AE6DE1">
        <w:rPr>
          <w:noProof/>
        </w:rPr>
        <w:t xml:space="preserve"> </w:t>
      </w:r>
      <w:r w:rsidR="00AE6DE1" w:rsidRPr="00AE6DE1">
        <w:rPr>
          <w:noProof/>
        </w:rPr>
        <w:t>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47675C" w:rsidRPr="00002DD5" w:rsidRDefault="0047675C" w:rsidP="003321A5">
      <w:pPr>
        <w:rPr>
          <w:noProof/>
        </w:rPr>
      </w:pPr>
    </w:p>
    <w:p w:rsidR="003321A5" w:rsidRPr="006855FA" w:rsidRDefault="003321A5" w:rsidP="00313862">
      <w:pPr>
        <w:pStyle w:val="ManualNumPar3"/>
        <w:rPr>
          <w:i/>
          <w:iCs/>
          <w:noProof/>
        </w:rPr>
      </w:pPr>
      <w:r>
        <w:rPr>
          <w:noProof/>
        </w:rPr>
        <w:t>4.2.2.</w:t>
      </w:r>
      <w:r>
        <w:rPr>
          <w:noProof/>
        </w:rPr>
        <w:tab/>
      </w:r>
      <w:r w:rsidRPr="006855FA">
        <w:rPr>
          <w:i/>
          <w:iCs/>
          <w:noProof/>
        </w:rPr>
        <w:t>Application to the present case</w:t>
      </w:r>
    </w:p>
    <w:p w:rsidR="00BD1430" w:rsidRPr="00002DD5" w:rsidRDefault="003321A5" w:rsidP="003321A5">
      <w:pPr>
        <w:rPr>
          <w:noProof/>
        </w:rPr>
      </w:pPr>
      <w:r w:rsidRPr="00002DD5">
        <w:rPr>
          <w:noProof/>
        </w:rPr>
        <w:t>The main objective and content of the envisaged act relate to</w:t>
      </w:r>
      <w:r w:rsidR="00BD1430" w:rsidRPr="00002DD5">
        <w:rPr>
          <w:noProof/>
        </w:rPr>
        <w:t xml:space="preserve"> </w:t>
      </w:r>
      <w:r w:rsidR="00CE0A79" w:rsidRPr="00002DD5">
        <w:rPr>
          <w:noProof/>
        </w:rPr>
        <w:t xml:space="preserve">international </w:t>
      </w:r>
      <w:r w:rsidR="00BD1430" w:rsidRPr="00002DD5">
        <w:rPr>
          <w:noProof/>
        </w:rPr>
        <w:t>rail transport.</w:t>
      </w:r>
    </w:p>
    <w:p w:rsidR="003321A5" w:rsidRPr="00002DD5" w:rsidRDefault="003321A5" w:rsidP="003321A5">
      <w:pPr>
        <w:rPr>
          <w:noProof/>
        </w:rPr>
      </w:pPr>
      <w:r w:rsidRPr="00002DD5">
        <w:rPr>
          <w:noProof/>
        </w:rPr>
        <w:t>The</w:t>
      </w:r>
      <w:r w:rsidR="00955988">
        <w:rPr>
          <w:noProof/>
        </w:rPr>
        <w:t>refore, the</w:t>
      </w:r>
      <w:r w:rsidRPr="00002DD5">
        <w:rPr>
          <w:noProof/>
        </w:rPr>
        <w:t xml:space="preserve"> substantive legal basis of the proposed decision is</w:t>
      </w:r>
      <w:r w:rsidR="00BD1430" w:rsidRPr="00002DD5">
        <w:rPr>
          <w:noProof/>
        </w:rPr>
        <w:t xml:space="preserve"> Article 91 TFEU</w:t>
      </w:r>
      <w:r w:rsidRPr="00002DD5">
        <w:rPr>
          <w:noProof/>
        </w:rPr>
        <w:t>.</w:t>
      </w:r>
    </w:p>
    <w:p w:rsidR="0047675C" w:rsidRPr="00002DD5" w:rsidRDefault="0047675C" w:rsidP="003321A5">
      <w:pPr>
        <w:rPr>
          <w:i/>
          <w:noProof/>
        </w:rPr>
      </w:pPr>
    </w:p>
    <w:p w:rsidR="007024FE" w:rsidRPr="006855FA" w:rsidRDefault="007024FE" w:rsidP="00A468DB">
      <w:pPr>
        <w:pStyle w:val="ManualNumPar2"/>
        <w:rPr>
          <w:i/>
          <w:iCs/>
          <w:noProof/>
        </w:rPr>
      </w:pPr>
      <w:r>
        <w:rPr>
          <w:noProof/>
        </w:rPr>
        <w:t>4.3.</w:t>
      </w:r>
      <w:r>
        <w:rPr>
          <w:noProof/>
        </w:rPr>
        <w:tab/>
      </w:r>
      <w:r w:rsidRPr="006855FA">
        <w:rPr>
          <w:i/>
          <w:iCs/>
          <w:noProof/>
        </w:rPr>
        <w:t>Conclusion</w:t>
      </w:r>
    </w:p>
    <w:p w:rsidR="007024FE" w:rsidRPr="00002DD5" w:rsidRDefault="007024FE" w:rsidP="007E1523">
      <w:pPr>
        <w:rPr>
          <w:noProof/>
        </w:rPr>
      </w:pPr>
      <w:r w:rsidRPr="00002DD5">
        <w:rPr>
          <w:noProof/>
        </w:rPr>
        <w:t xml:space="preserve">The legal basis of the proposed decision should be </w:t>
      </w:r>
      <w:r w:rsidR="00531B5E" w:rsidRPr="00002DD5">
        <w:rPr>
          <w:noProof/>
        </w:rPr>
        <w:t>Article 91</w:t>
      </w:r>
      <w:r w:rsidR="009E3274" w:rsidRPr="00002DD5">
        <w:rPr>
          <w:noProof/>
        </w:rPr>
        <w:t xml:space="preserve"> </w:t>
      </w:r>
      <w:r w:rsidR="00027C39" w:rsidRPr="00002DD5">
        <w:rPr>
          <w:noProof/>
        </w:rPr>
        <w:t>TFEU</w:t>
      </w:r>
      <w:r w:rsidRPr="00002DD5">
        <w:rPr>
          <w:noProof/>
        </w:rPr>
        <w:t>, in conjunction with Article 218(9) TFEU.</w:t>
      </w:r>
    </w:p>
    <w:p w:rsidR="007024FE" w:rsidRPr="00002DD5" w:rsidRDefault="007024FE" w:rsidP="007E1523">
      <w:pPr>
        <w:rPr>
          <w:noProof/>
        </w:rPr>
        <w:sectPr w:rsidR="007024FE" w:rsidRPr="00002DD5" w:rsidSect="004168CF">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rsidR="006340F8" w:rsidRDefault="0048776F">
      <w:pPr>
        <w:pStyle w:val="Rfrenceinterinstitutionnelle"/>
        <w:rPr>
          <w:noProof/>
        </w:rPr>
      </w:pPr>
      <w:r>
        <w:rPr>
          <w:noProof/>
        </w:rPr>
        <w:lastRenderedPageBreak/>
        <w:t>2026/0089 (NLE)</w:t>
      </w:r>
    </w:p>
    <w:p w:rsidR="007024FE" w:rsidRPr="00002DD5" w:rsidRDefault="00952F75" w:rsidP="00952F75">
      <w:pPr>
        <w:pStyle w:val="Statut"/>
        <w:rPr>
          <w:noProof/>
        </w:rPr>
      </w:pPr>
      <w:r w:rsidRPr="00952F75">
        <w:rPr>
          <w:noProof/>
        </w:rPr>
        <w:t>Proposal for a</w:t>
      </w:r>
    </w:p>
    <w:p w:rsidR="007024FE" w:rsidRPr="00002DD5" w:rsidRDefault="00952F75" w:rsidP="00952F75">
      <w:pPr>
        <w:pStyle w:val="Typedudocument"/>
        <w:rPr>
          <w:noProof/>
        </w:rPr>
      </w:pPr>
      <w:r w:rsidRPr="00952F75">
        <w:rPr>
          <w:noProof/>
        </w:rPr>
        <w:t>COUNCIL DECISION</w:t>
      </w:r>
    </w:p>
    <w:p w:rsidR="007E1089" w:rsidRPr="00002DD5" w:rsidRDefault="00952F75" w:rsidP="00952F75">
      <w:pPr>
        <w:pStyle w:val="Titreobjet"/>
        <w:rPr>
          <w:noProof/>
        </w:rPr>
      </w:pPr>
      <w:r w:rsidRPr="00952F75">
        <w:rPr>
          <w:noProof/>
        </w:rPr>
        <w:t>on the position to be taken on behalf of the European Union at the 18th meeting of the Committee of Technical Experts (CTE) of the Intergovernmental Organisation for International Carriage by Rail (OTIF) with regard to the revision of the Rules of Procedure of the CTE, to the revision of Uniform Technical Prescriptions (UTP) applicable to the subsystem “rolling stock – freight wagons (UTP WAG) and to the subsystem “rolling stock – locomotives and passenger rolling stock” (UTP LOC&amp;PAS), to the adoption of a Uniform format of certificates, to the revision of the UTP applicable to the subsystem Telematics applications for freight services (UTP TAF), and of the Handbook for the implementation and application of the APTU and ATMF Uniform Rules</w:t>
      </w:r>
    </w:p>
    <w:p w:rsidR="007024FE" w:rsidRPr="00002DD5" w:rsidRDefault="007024FE" w:rsidP="007E1523">
      <w:pPr>
        <w:pStyle w:val="Institutionquiagit"/>
        <w:rPr>
          <w:bCs/>
          <w:noProof/>
        </w:rPr>
      </w:pPr>
      <w:r w:rsidRPr="00002DD5">
        <w:rPr>
          <w:bCs/>
          <w:noProof/>
        </w:rPr>
        <w:t>THE COUNCIL OF THE EUROPEAN UNION,</w:t>
      </w:r>
    </w:p>
    <w:p w:rsidR="007024FE" w:rsidRPr="00002DD5" w:rsidRDefault="007024FE" w:rsidP="007E1523">
      <w:pPr>
        <w:rPr>
          <w:noProof/>
        </w:rPr>
      </w:pPr>
      <w:r w:rsidRPr="00002DD5">
        <w:rPr>
          <w:noProof/>
        </w:rPr>
        <w:t>Having regard to the Treaty on the Functioning of the European U</w:t>
      </w:r>
      <w:r w:rsidR="00531B5E" w:rsidRPr="00002DD5">
        <w:rPr>
          <w:noProof/>
        </w:rPr>
        <w:t>nion, and in particular Article 91</w:t>
      </w:r>
      <w:r w:rsidR="007C7E94" w:rsidRPr="00002DD5">
        <w:rPr>
          <w:noProof/>
        </w:rPr>
        <w:t xml:space="preserve"> TFEU</w:t>
      </w:r>
      <w:r w:rsidR="00531B5E" w:rsidRPr="00002DD5">
        <w:rPr>
          <w:noProof/>
        </w:rPr>
        <w:t xml:space="preserve">, </w:t>
      </w:r>
      <w:r w:rsidRPr="00002DD5">
        <w:rPr>
          <w:noProof/>
        </w:rPr>
        <w:t>in conjunction with Article 218(9) thereof,</w:t>
      </w:r>
    </w:p>
    <w:p w:rsidR="007024FE" w:rsidRPr="00002DD5" w:rsidRDefault="007024FE" w:rsidP="007E1523">
      <w:pPr>
        <w:rPr>
          <w:noProof/>
        </w:rPr>
      </w:pPr>
      <w:r w:rsidRPr="00002DD5">
        <w:rPr>
          <w:noProof/>
        </w:rPr>
        <w:t>Having regard to the proposal from the European Commission,</w:t>
      </w:r>
    </w:p>
    <w:p w:rsidR="007024FE" w:rsidRPr="00002DD5" w:rsidRDefault="007024FE" w:rsidP="007E1523">
      <w:pPr>
        <w:rPr>
          <w:noProof/>
        </w:rPr>
      </w:pPr>
      <w:r w:rsidRPr="00002DD5">
        <w:rPr>
          <w:noProof/>
        </w:rPr>
        <w:t>Whereas:</w:t>
      </w:r>
    </w:p>
    <w:p w:rsidR="00646C47" w:rsidRDefault="00C4366E" w:rsidP="00615A2D">
      <w:pPr>
        <w:pStyle w:val="ManualConsidrant"/>
        <w:rPr>
          <w:noProof/>
        </w:rPr>
      </w:pPr>
      <w:r>
        <w:rPr>
          <w:noProof/>
        </w:rPr>
        <w:t>(1)</w:t>
      </w:r>
      <w:r>
        <w:rPr>
          <w:noProof/>
        </w:rPr>
        <w:tab/>
      </w:r>
      <w:r w:rsidRPr="00002DD5">
        <w:rPr>
          <w:noProof/>
        </w:rPr>
        <w:t>The Union acceded to the Convention concerning Inte</w:t>
      </w:r>
      <w:r w:rsidR="00236683" w:rsidRPr="00002DD5">
        <w:rPr>
          <w:noProof/>
        </w:rPr>
        <w:t>rnational Carriage by Rail of 9 </w:t>
      </w:r>
      <w:r w:rsidRPr="00002DD5">
        <w:rPr>
          <w:noProof/>
        </w:rPr>
        <w:t>May 1980, as amended by the Vilnius Protocol of 3 June 1999 (the ‘COTIF</w:t>
      </w:r>
      <w:r w:rsidR="000E6200">
        <w:rPr>
          <w:noProof/>
        </w:rPr>
        <w:t>’</w:t>
      </w:r>
      <w:r w:rsidRPr="00002DD5">
        <w:rPr>
          <w:noProof/>
        </w:rPr>
        <w:t>), in accordance with Council Decision 2013/103/EU</w:t>
      </w:r>
      <w:r w:rsidRPr="00002DD5">
        <w:rPr>
          <w:rStyle w:val="FootnoteReference"/>
          <w:noProof/>
        </w:rPr>
        <w:footnoteReference w:id="11"/>
      </w:r>
      <w:r w:rsidR="008F3917" w:rsidRPr="00002DD5">
        <w:rPr>
          <w:noProof/>
        </w:rPr>
        <w:t xml:space="preserve"> and the Agreement between the European Union and the Intergovernmental Organisation for International Carriage by Rail (OTIF) on the Accession of the European Union to the COTIF Convention</w:t>
      </w:r>
      <w:r w:rsidR="000E3140" w:rsidRPr="00002DD5">
        <w:rPr>
          <w:rStyle w:val="FootnoteReference"/>
          <w:noProof/>
        </w:rPr>
        <w:footnoteReference w:id="12"/>
      </w:r>
      <w:r w:rsidR="00027C39" w:rsidRPr="00002DD5">
        <w:rPr>
          <w:noProof/>
        </w:rPr>
        <w:t>.</w:t>
      </w:r>
      <w:r w:rsidRPr="00002DD5">
        <w:rPr>
          <w:noProof/>
        </w:rPr>
        <w:t xml:space="preserve"> </w:t>
      </w:r>
    </w:p>
    <w:p w:rsidR="00FF7272" w:rsidRPr="00D031C0" w:rsidRDefault="00C4366E">
      <w:pPr>
        <w:pStyle w:val="ManualConsidrant"/>
        <w:rPr>
          <w:noProof/>
        </w:rPr>
      </w:pPr>
      <w:r>
        <w:rPr>
          <w:noProof/>
        </w:rPr>
        <w:t>(2)</w:t>
      </w:r>
      <w:r>
        <w:rPr>
          <w:noProof/>
        </w:rPr>
        <w:tab/>
      </w:r>
      <w:r w:rsidRPr="00002DD5">
        <w:rPr>
          <w:noProof/>
        </w:rPr>
        <w:t xml:space="preserve">Pursuant to Article </w:t>
      </w:r>
      <w:r w:rsidR="002D6581" w:rsidRPr="00002DD5">
        <w:rPr>
          <w:noProof/>
        </w:rPr>
        <w:t>13(1)(f)</w:t>
      </w:r>
      <w:r w:rsidRPr="00002DD5">
        <w:rPr>
          <w:noProof/>
        </w:rPr>
        <w:t xml:space="preserve"> of COTIF, the Committee of Technical Experts (</w:t>
      </w:r>
      <w:r w:rsidR="00E704EB">
        <w:rPr>
          <w:noProof/>
        </w:rPr>
        <w:t>‘</w:t>
      </w:r>
      <w:r w:rsidRPr="00002DD5">
        <w:rPr>
          <w:noProof/>
        </w:rPr>
        <w:t>CTE</w:t>
      </w:r>
      <w:r w:rsidR="00E704EB">
        <w:rPr>
          <w:noProof/>
        </w:rPr>
        <w:t>’</w:t>
      </w:r>
      <w:r w:rsidRPr="00002DD5">
        <w:rPr>
          <w:noProof/>
        </w:rPr>
        <w:t xml:space="preserve">) of OTIF </w:t>
      </w:r>
      <w:r w:rsidRPr="00D031C0">
        <w:rPr>
          <w:noProof/>
        </w:rPr>
        <w:t>was set up</w:t>
      </w:r>
      <w:r w:rsidR="00FF7272" w:rsidRPr="00D031C0">
        <w:rPr>
          <w:noProof/>
        </w:rPr>
        <w:t>.</w:t>
      </w:r>
    </w:p>
    <w:p w:rsidR="00646C47" w:rsidRPr="00D031C0" w:rsidRDefault="00FF7272">
      <w:pPr>
        <w:pStyle w:val="ManualConsidrant"/>
        <w:rPr>
          <w:noProof/>
        </w:rPr>
      </w:pPr>
      <w:r>
        <w:rPr>
          <w:noProof/>
        </w:rPr>
        <w:t>(3)</w:t>
      </w:r>
      <w:r>
        <w:rPr>
          <w:noProof/>
        </w:rPr>
        <w:tab/>
      </w:r>
      <w:r w:rsidRPr="00D031C0">
        <w:rPr>
          <w:noProof/>
        </w:rPr>
        <w:t>Pursuant to Article 16(10) of COTIF, the CTE</w:t>
      </w:r>
      <w:r w:rsidR="00E820FC" w:rsidRPr="00D031C0">
        <w:rPr>
          <w:noProof/>
        </w:rPr>
        <w:t xml:space="preserve"> </w:t>
      </w:r>
      <w:r w:rsidR="00646C47" w:rsidRPr="00D031C0">
        <w:rPr>
          <w:noProof/>
        </w:rPr>
        <w:t xml:space="preserve">is competent to </w:t>
      </w:r>
      <w:r w:rsidR="00E820FC" w:rsidRPr="00D031C0">
        <w:rPr>
          <w:noProof/>
        </w:rPr>
        <w:t xml:space="preserve">adopt and </w:t>
      </w:r>
      <w:r w:rsidR="00646C47" w:rsidRPr="00D031C0">
        <w:rPr>
          <w:noProof/>
        </w:rPr>
        <w:t>amend its rules of procedure.</w:t>
      </w:r>
    </w:p>
    <w:p w:rsidR="00646C47" w:rsidRDefault="002D6581" w:rsidP="00646C47">
      <w:pPr>
        <w:pStyle w:val="ManualConsidrant"/>
        <w:rPr>
          <w:noProof/>
        </w:rPr>
      </w:pPr>
      <w:r>
        <w:rPr>
          <w:noProof/>
        </w:rPr>
        <w:t>(4)</w:t>
      </w:r>
      <w:r>
        <w:rPr>
          <w:noProof/>
        </w:rPr>
        <w:tab/>
      </w:r>
      <w:r w:rsidRPr="00D031C0">
        <w:rPr>
          <w:noProof/>
        </w:rPr>
        <w:t>Pursuant to</w:t>
      </w:r>
      <w:r w:rsidRPr="006B5754">
        <w:rPr>
          <w:noProof/>
        </w:rPr>
        <w:t xml:space="preserve"> </w:t>
      </w:r>
      <w:r w:rsidR="00C4366E" w:rsidRPr="006B5754">
        <w:rPr>
          <w:noProof/>
        </w:rPr>
        <w:t xml:space="preserve">Article 20(1)(b) </w:t>
      </w:r>
      <w:r w:rsidR="00027C39" w:rsidRPr="006B5754">
        <w:rPr>
          <w:noProof/>
        </w:rPr>
        <w:t xml:space="preserve">of the </w:t>
      </w:r>
      <w:r w:rsidR="00C4366E" w:rsidRPr="006B5754">
        <w:rPr>
          <w:noProof/>
        </w:rPr>
        <w:t>COTIF</w:t>
      </w:r>
      <w:r w:rsidRPr="006B5754">
        <w:rPr>
          <w:noProof/>
        </w:rPr>
        <w:t>,</w:t>
      </w:r>
      <w:r w:rsidR="00C4366E" w:rsidRPr="006B5754">
        <w:rPr>
          <w:noProof/>
        </w:rPr>
        <w:t xml:space="preserve"> </w:t>
      </w:r>
      <w:r w:rsidR="008F3917" w:rsidRPr="006B5754">
        <w:rPr>
          <w:noProof/>
        </w:rPr>
        <w:t>and in accordance with Article 6</w:t>
      </w:r>
      <w:r w:rsidR="00AB0B41" w:rsidRPr="006B5754">
        <w:rPr>
          <w:noProof/>
        </w:rPr>
        <w:t>(1)</w:t>
      </w:r>
      <w:r w:rsidR="008F3917" w:rsidRPr="006B5754">
        <w:rPr>
          <w:noProof/>
        </w:rPr>
        <w:t xml:space="preserve"> of the Uniform Rules concerning the Validation of Technical Standards and the Adoption of Uniform Technical Prescriptions applicable to Railway Material intended to be used in International Traffic (APTU) </w:t>
      </w:r>
      <w:r w:rsidR="00C73B09" w:rsidRPr="006B5754">
        <w:rPr>
          <w:noProof/>
        </w:rPr>
        <w:t>–</w:t>
      </w:r>
      <w:r w:rsidR="008F3917" w:rsidRPr="006B5754">
        <w:rPr>
          <w:noProof/>
        </w:rPr>
        <w:t xml:space="preserve"> Appendix F to COTIF, the CTE is competent to adopt or to amend, inter alia, the Uniform Technical Prescriptions (UTP) </w:t>
      </w:r>
      <w:r w:rsidR="006E3986" w:rsidRPr="006B5754">
        <w:rPr>
          <w:noProof/>
        </w:rPr>
        <w:t>applicable to</w:t>
      </w:r>
      <w:r w:rsidR="00117234" w:rsidRPr="006B5754">
        <w:rPr>
          <w:noProof/>
        </w:rPr>
        <w:t xml:space="preserve"> the subsystem </w:t>
      </w:r>
      <w:r w:rsidR="00A643C4" w:rsidRPr="006B5754">
        <w:rPr>
          <w:noProof/>
        </w:rPr>
        <w:t xml:space="preserve">“rolling stock – freight wagons” (UTP WAG), to the subsystem </w:t>
      </w:r>
      <w:r w:rsidR="00117234" w:rsidRPr="006B5754">
        <w:rPr>
          <w:noProof/>
        </w:rPr>
        <w:t xml:space="preserve">“rolling </w:t>
      </w:r>
      <w:r w:rsidR="00117234" w:rsidRPr="006B5754">
        <w:rPr>
          <w:noProof/>
        </w:rPr>
        <w:lastRenderedPageBreak/>
        <w:t>stock – locomotives and passenger rolling stock” (UTP LOC&amp;PAS)</w:t>
      </w:r>
      <w:r w:rsidR="0047675C" w:rsidRPr="006B5754">
        <w:rPr>
          <w:noProof/>
        </w:rPr>
        <w:t>,</w:t>
      </w:r>
      <w:r w:rsidR="00117234" w:rsidRPr="006B5754">
        <w:rPr>
          <w:noProof/>
        </w:rPr>
        <w:t xml:space="preserve"> </w:t>
      </w:r>
      <w:r w:rsidR="00E90A46" w:rsidRPr="006B5754">
        <w:rPr>
          <w:noProof/>
        </w:rPr>
        <w:t xml:space="preserve">and </w:t>
      </w:r>
      <w:r w:rsidR="00C73B09" w:rsidRPr="006B5754">
        <w:rPr>
          <w:noProof/>
        </w:rPr>
        <w:t>to the subsystem T</w:t>
      </w:r>
      <w:r w:rsidR="00E90A46" w:rsidRPr="006B5754">
        <w:rPr>
          <w:noProof/>
        </w:rPr>
        <w:t xml:space="preserve">elematics applications for freight </w:t>
      </w:r>
      <w:r w:rsidR="0047675C" w:rsidRPr="006B5754">
        <w:rPr>
          <w:noProof/>
        </w:rPr>
        <w:t xml:space="preserve">services </w:t>
      </w:r>
      <w:r w:rsidR="00E90A46" w:rsidRPr="006B5754">
        <w:rPr>
          <w:noProof/>
        </w:rPr>
        <w:t>(UTP TAF)</w:t>
      </w:r>
      <w:r w:rsidR="00502857" w:rsidRPr="006B5754">
        <w:rPr>
          <w:noProof/>
        </w:rPr>
        <w:t>.</w:t>
      </w:r>
    </w:p>
    <w:p w:rsidR="00396FDE" w:rsidRDefault="00396FDE" w:rsidP="00396FDE">
      <w:pPr>
        <w:pStyle w:val="ManualConsidrant"/>
        <w:rPr>
          <w:noProof/>
        </w:rPr>
      </w:pPr>
      <w:r>
        <w:rPr>
          <w:noProof/>
        </w:rPr>
        <w:t>(5)</w:t>
      </w:r>
      <w:r>
        <w:rPr>
          <w:noProof/>
        </w:rPr>
        <w:tab/>
      </w:r>
      <w:r w:rsidRPr="00D031C0">
        <w:rPr>
          <w:noProof/>
        </w:rPr>
        <w:t>Pursuant to</w:t>
      </w:r>
      <w:r w:rsidRPr="006B5754">
        <w:rPr>
          <w:noProof/>
        </w:rPr>
        <w:t xml:space="preserve"> Article 20(1)(</w:t>
      </w:r>
      <w:r>
        <w:rPr>
          <w:noProof/>
        </w:rPr>
        <w:t>e</w:t>
      </w:r>
      <w:r w:rsidRPr="006B5754">
        <w:rPr>
          <w:noProof/>
        </w:rPr>
        <w:t xml:space="preserve">) of the COTIF, and in accordance with Article </w:t>
      </w:r>
      <w:r>
        <w:rPr>
          <w:noProof/>
        </w:rPr>
        <w:t>21</w:t>
      </w:r>
      <w:r w:rsidRPr="006B5754">
        <w:rPr>
          <w:noProof/>
        </w:rPr>
        <w:t xml:space="preserve">(1) of the Uniform Rules </w:t>
      </w:r>
      <w:r w:rsidRPr="00396FDE">
        <w:rPr>
          <w:noProof/>
        </w:rPr>
        <w:t>concerning the Technical Admission of Railway Material used in International Traffic (ATMF UR)</w:t>
      </w:r>
      <w:r w:rsidRPr="006B5754">
        <w:rPr>
          <w:noProof/>
        </w:rPr>
        <w:t xml:space="preserve"> – Appendix </w:t>
      </w:r>
      <w:r>
        <w:rPr>
          <w:noProof/>
        </w:rPr>
        <w:t>G</w:t>
      </w:r>
      <w:r w:rsidRPr="006B5754">
        <w:rPr>
          <w:noProof/>
        </w:rPr>
        <w:t xml:space="preserve"> to COTIF, the CTE is competent to adopt </w:t>
      </w:r>
      <w:r w:rsidR="00E82E66">
        <w:rPr>
          <w:noProof/>
        </w:rPr>
        <w:t>Annexes to that Appendix</w:t>
      </w:r>
      <w:r w:rsidR="00704130">
        <w:rPr>
          <w:noProof/>
        </w:rPr>
        <w:t>, including on the uniform format of certificates.</w:t>
      </w:r>
    </w:p>
    <w:p w:rsidR="00646C47" w:rsidRDefault="007054EF" w:rsidP="00646C47">
      <w:pPr>
        <w:pStyle w:val="ManualConsidrant"/>
        <w:rPr>
          <w:noProof/>
        </w:rPr>
      </w:pPr>
      <w:r>
        <w:rPr>
          <w:noProof/>
        </w:rPr>
        <w:t>(6)</w:t>
      </w:r>
      <w:r>
        <w:rPr>
          <w:noProof/>
        </w:rPr>
        <w:tab/>
      </w:r>
      <w:r w:rsidRPr="00002DD5">
        <w:rPr>
          <w:noProof/>
        </w:rPr>
        <w:t xml:space="preserve">Pursuant to Article 20(1)(e) of the COTIF, and in accordance with Article </w:t>
      </w:r>
      <w:r w:rsidR="001C0927" w:rsidRPr="00002DD5">
        <w:rPr>
          <w:noProof/>
        </w:rPr>
        <w:t>21</w:t>
      </w:r>
      <w:r w:rsidRPr="00002DD5">
        <w:rPr>
          <w:noProof/>
        </w:rPr>
        <w:t>(</w:t>
      </w:r>
      <w:r w:rsidR="001C0927" w:rsidRPr="00002DD5">
        <w:rPr>
          <w:noProof/>
        </w:rPr>
        <w:t>4</w:t>
      </w:r>
      <w:r w:rsidRPr="00002DD5">
        <w:rPr>
          <w:noProof/>
        </w:rPr>
        <w:t xml:space="preserve">) of the </w:t>
      </w:r>
      <w:r w:rsidR="006814FC" w:rsidRPr="00002DD5">
        <w:rPr>
          <w:noProof/>
        </w:rPr>
        <w:t xml:space="preserve">ATMF </w:t>
      </w:r>
      <w:r w:rsidR="00B77007">
        <w:rPr>
          <w:noProof/>
        </w:rPr>
        <w:t>UR,</w:t>
      </w:r>
      <w:r w:rsidR="009D2491" w:rsidRPr="00002DD5">
        <w:rPr>
          <w:noProof/>
        </w:rPr>
        <w:t xml:space="preserve"> the CTE is competent to adopt or to amend, inter alia, the</w:t>
      </w:r>
      <w:r w:rsidR="00A82240" w:rsidRPr="00002DD5">
        <w:rPr>
          <w:noProof/>
        </w:rPr>
        <w:t xml:space="preserve"> </w:t>
      </w:r>
      <w:r w:rsidR="00B77007">
        <w:rPr>
          <w:noProof/>
        </w:rPr>
        <w:t>H</w:t>
      </w:r>
      <w:r w:rsidR="007A6874" w:rsidRPr="00002DD5">
        <w:rPr>
          <w:noProof/>
        </w:rPr>
        <w:t>andbook for the implementation and application of the APTU and ATMF Uniform Rules.</w:t>
      </w:r>
    </w:p>
    <w:p w:rsidR="00646C47" w:rsidRDefault="006F5FF0" w:rsidP="00646C47">
      <w:pPr>
        <w:pStyle w:val="ManualConsidrant"/>
        <w:rPr>
          <w:noProof/>
        </w:rPr>
      </w:pPr>
      <w:r>
        <w:rPr>
          <w:noProof/>
        </w:rPr>
        <w:t>(7)</w:t>
      </w:r>
      <w:r>
        <w:rPr>
          <w:noProof/>
        </w:rPr>
        <w:tab/>
      </w:r>
      <w:r w:rsidRPr="00002DD5">
        <w:rPr>
          <w:noProof/>
        </w:rPr>
        <w:t>The CTE</w:t>
      </w:r>
      <w:r w:rsidR="00587E7C">
        <w:rPr>
          <w:noProof/>
        </w:rPr>
        <w:t>, during</w:t>
      </w:r>
      <w:r w:rsidRPr="00002DD5">
        <w:rPr>
          <w:noProof/>
        </w:rPr>
        <w:t xml:space="preserve"> its </w:t>
      </w:r>
      <w:r w:rsidR="008D25EF" w:rsidRPr="00002DD5">
        <w:rPr>
          <w:noProof/>
        </w:rPr>
        <w:t>1</w:t>
      </w:r>
      <w:r w:rsidR="00933CF1">
        <w:rPr>
          <w:noProof/>
        </w:rPr>
        <w:t>8</w:t>
      </w:r>
      <w:r w:rsidR="004A3934" w:rsidRPr="00646C47">
        <w:rPr>
          <w:noProof/>
          <w:vertAlign w:val="superscript"/>
        </w:rPr>
        <w:t>th</w:t>
      </w:r>
      <w:r w:rsidR="004A3934" w:rsidRPr="00002DD5">
        <w:rPr>
          <w:noProof/>
        </w:rPr>
        <w:t xml:space="preserve"> </w:t>
      </w:r>
      <w:r w:rsidR="008D25EF" w:rsidRPr="00002DD5">
        <w:rPr>
          <w:noProof/>
        </w:rPr>
        <w:t>session</w:t>
      </w:r>
      <w:r w:rsidRPr="00002DD5">
        <w:rPr>
          <w:noProof/>
        </w:rPr>
        <w:t xml:space="preserve"> on </w:t>
      </w:r>
      <w:r w:rsidR="00933CF1">
        <w:rPr>
          <w:noProof/>
        </w:rPr>
        <w:t>9</w:t>
      </w:r>
      <w:r w:rsidRPr="00002DD5">
        <w:rPr>
          <w:noProof/>
        </w:rPr>
        <w:t xml:space="preserve"> June 20</w:t>
      </w:r>
      <w:r w:rsidR="0073328C" w:rsidRPr="00002DD5">
        <w:rPr>
          <w:noProof/>
        </w:rPr>
        <w:t>2</w:t>
      </w:r>
      <w:r w:rsidR="00933CF1">
        <w:rPr>
          <w:noProof/>
        </w:rPr>
        <w:t>6</w:t>
      </w:r>
      <w:r w:rsidR="008D25EF" w:rsidRPr="00002DD5">
        <w:rPr>
          <w:noProof/>
        </w:rPr>
        <w:t>,</w:t>
      </w:r>
      <w:r w:rsidR="008F1D05">
        <w:rPr>
          <w:noProof/>
        </w:rPr>
        <w:t xml:space="preserve"> is to adopt</w:t>
      </w:r>
      <w:r w:rsidR="00227FA4" w:rsidRPr="00002DD5">
        <w:rPr>
          <w:noProof/>
        </w:rPr>
        <w:t xml:space="preserve"> </w:t>
      </w:r>
      <w:r w:rsidRPr="00002DD5">
        <w:rPr>
          <w:noProof/>
        </w:rPr>
        <w:t>decision</w:t>
      </w:r>
      <w:r w:rsidR="00227FA4" w:rsidRPr="00002DD5">
        <w:rPr>
          <w:noProof/>
        </w:rPr>
        <w:t>s</w:t>
      </w:r>
      <w:r w:rsidRPr="00002DD5">
        <w:rPr>
          <w:noProof/>
        </w:rPr>
        <w:t xml:space="preserve"> to </w:t>
      </w:r>
      <w:r w:rsidR="00894DD6" w:rsidRPr="00002DD5">
        <w:rPr>
          <w:noProof/>
        </w:rPr>
        <w:t xml:space="preserve">revise </w:t>
      </w:r>
      <w:r w:rsidR="00CA0B05">
        <w:rPr>
          <w:noProof/>
        </w:rPr>
        <w:t xml:space="preserve">its Rules of Procedure, </w:t>
      </w:r>
      <w:r w:rsidR="00894DD6" w:rsidRPr="00002DD5">
        <w:rPr>
          <w:noProof/>
        </w:rPr>
        <w:t>the</w:t>
      </w:r>
      <w:r w:rsidR="00933CF1">
        <w:rPr>
          <w:noProof/>
        </w:rPr>
        <w:t xml:space="preserve"> UTP WAG, the</w:t>
      </w:r>
      <w:r w:rsidR="0047675C" w:rsidRPr="00002DD5">
        <w:rPr>
          <w:noProof/>
        </w:rPr>
        <w:t xml:space="preserve"> UTP </w:t>
      </w:r>
      <w:r w:rsidR="00BD14D5" w:rsidRPr="00002DD5">
        <w:rPr>
          <w:noProof/>
        </w:rPr>
        <w:t>LOC&amp;PAS</w:t>
      </w:r>
      <w:r w:rsidR="00502857" w:rsidRPr="00002DD5">
        <w:rPr>
          <w:noProof/>
        </w:rPr>
        <w:t>,</w:t>
      </w:r>
      <w:r w:rsidR="0047675C" w:rsidRPr="00002DD5">
        <w:rPr>
          <w:noProof/>
        </w:rPr>
        <w:t xml:space="preserve"> </w:t>
      </w:r>
      <w:r w:rsidR="0037039D">
        <w:rPr>
          <w:noProof/>
        </w:rPr>
        <w:t xml:space="preserve">to adopt an </w:t>
      </w:r>
      <w:r w:rsidR="0037039D" w:rsidRPr="0037039D">
        <w:rPr>
          <w:noProof/>
        </w:rPr>
        <w:t xml:space="preserve">Annex C to the ATMF on a </w:t>
      </w:r>
      <w:r w:rsidR="008E7B5F" w:rsidRPr="008E7B5F">
        <w:rPr>
          <w:noProof/>
        </w:rPr>
        <w:t>Uniform format of certificates</w:t>
      </w:r>
      <w:r w:rsidR="0047675C" w:rsidRPr="00002DD5">
        <w:rPr>
          <w:noProof/>
        </w:rPr>
        <w:t>, to modify Appendix I to the UTP TAF</w:t>
      </w:r>
      <w:r w:rsidR="007A6874" w:rsidRPr="00002DD5">
        <w:rPr>
          <w:noProof/>
        </w:rPr>
        <w:t>, and to update the Handbook for the implementation and application of the APTU and ATMF Uniform Rules</w:t>
      </w:r>
      <w:r w:rsidR="0047675C" w:rsidRPr="00002DD5">
        <w:rPr>
          <w:noProof/>
        </w:rPr>
        <w:t>.</w:t>
      </w:r>
    </w:p>
    <w:p w:rsidR="00646C47" w:rsidRDefault="0040597A" w:rsidP="00646C47">
      <w:pPr>
        <w:pStyle w:val="ManualConsidrant"/>
        <w:rPr>
          <w:noProof/>
        </w:rPr>
      </w:pPr>
      <w:r>
        <w:rPr>
          <w:noProof/>
        </w:rPr>
        <w:t>(8)</w:t>
      </w:r>
      <w:r>
        <w:rPr>
          <w:noProof/>
        </w:rPr>
        <w:tab/>
      </w:r>
      <w:r w:rsidRPr="00002DD5">
        <w:rPr>
          <w:noProof/>
        </w:rPr>
        <w:t>It is appropriate to establish the position</w:t>
      </w:r>
      <w:r w:rsidR="00015D69">
        <w:rPr>
          <w:noProof/>
        </w:rPr>
        <w:t>s</w:t>
      </w:r>
      <w:r w:rsidRPr="00002DD5">
        <w:rPr>
          <w:noProof/>
        </w:rPr>
        <w:t xml:space="preserve"> to be taken on the Union</w:t>
      </w:r>
      <w:r w:rsidR="00015D69">
        <w:rPr>
          <w:noProof/>
        </w:rPr>
        <w:t>’</w:t>
      </w:r>
      <w:r w:rsidRPr="00002DD5">
        <w:rPr>
          <w:noProof/>
        </w:rPr>
        <w:t>s behalf in the CTE, as the proposed decisions will be binding on the Union, pursuant to Article 6(1) APTU</w:t>
      </w:r>
      <w:r w:rsidR="00D13B96">
        <w:rPr>
          <w:noProof/>
        </w:rPr>
        <w:t xml:space="preserve">, </w:t>
      </w:r>
      <w:r w:rsidR="00D13B96" w:rsidRPr="00D13B96">
        <w:rPr>
          <w:noProof/>
        </w:rPr>
        <w:t>Article 21(1) ATMF</w:t>
      </w:r>
      <w:r w:rsidRPr="00002DD5">
        <w:rPr>
          <w:noProof/>
        </w:rPr>
        <w:t xml:space="preserve"> and </w:t>
      </w:r>
      <w:r w:rsidR="00675C27">
        <w:rPr>
          <w:noProof/>
        </w:rPr>
        <w:t>paragra</w:t>
      </w:r>
      <w:r w:rsidR="00316127">
        <w:rPr>
          <w:noProof/>
        </w:rPr>
        <w:t xml:space="preserve">phs 3 and 4 of </w:t>
      </w:r>
      <w:r w:rsidRPr="00002DD5">
        <w:rPr>
          <w:noProof/>
        </w:rPr>
        <w:t xml:space="preserve">Article 35 </w:t>
      </w:r>
      <w:r w:rsidR="00316127">
        <w:rPr>
          <w:noProof/>
        </w:rPr>
        <w:t xml:space="preserve">to </w:t>
      </w:r>
      <w:r w:rsidRPr="00002DD5">
        <w:rPr>
          <w:noProof/>
        </w:rPr>
        <w:t>COTIF.</w:t>
      </w:r>
    </w:p>
    <w:p w:rsidR="00646C47" w:rsidRPr="00693624" w:rsidRDefault="0033009E" w:rsidP="00646C47">
      <w:pPr>
        <w:pStyle w:val="ManualConsidrant"/>
        <w:rPr>
          <w:noProof/>
        </w:rPr>
      </w:pPr>
      <w:r>
        <w:rPr>
          <w:noProof/>
        </w:rPr>
        <w:t>(9)</w:t>
      </w:r>
      <w:r>
        <w:rPr>
          <w:noProof/>
        </w:rPr>
        <w:tab/>
      </w:r>
      <w:r w:rsidRPr="00002DD5">
        <w:rPr>
          <w:noProof/>
        </w:rPr>
        <w:t>The</w:t>
      </w:r>
      <w:r w:rsidR="006F4A32" w:rsidRPr="00002DD5">
        <w:rPr>
          <w:noProof/>
        </w:rPr>
        <w:t xml:space="preserve"> objective</w:t>
      </w:r>
      <w:r w:rsidR="007404A9" w:rsidRPr="00002DD5">
        <w:rPr>
          <w:noProof/>
        </w:rPr>
        <w:t>s</w:t>
      </w:r>
      <w:r w:rsidR="006F4A32" w:rsidRPr="00002DD5">
        <w:rPr>
          <w:noProof/>
        </w:rPr>
        <w:t xml:space="preserve"> of th</w:t>
      </w:r>
      <w:r w:rsidR="007A7F88" w:rsidRPr="00002DD5">
        <w:rPr>
          <w:noProof/>
        </w:rPr>
        <w:t>o</w:t>
      </w:r>
      <w:r w:rsidRPr="00002DD5">
        <w:rPr>
          <w:noProof/>
        </w:rPr>
        <w:t xml:space="preserve">se </w:t>
      </w:r>
      <w:r w:rsidR="007404A9" w:rsidRPr="00002DD5">
        <w:rPr>
          <w:noProof/>
        </w:rPr>
        <w:t xml:space="preserve">decisions are </w:t>
      </w:r>
      <w:r w:rsidR="006F4A32" w:rsidRPr="00002DD5">
        <w:rPr>
          <w:noProof/>
        </w:rPr>
        <w:t xml:space="preserve">to </w:t>
      </w:r>
      <w:r w:rsidR="005A2B0C">
        <w:rPr>
          <w:noProof/>
        </w:rPr>
        <w:t>m</w:t>
      </w:r>
      <w:r w:rsidR="005A2B0C" w:rsidRPr="005A2B0C">
        <w:rPr>
          <w:noProof/>
        </w:rPr>
        <w:t xml:space="preserve">odify the Rules of Procedure of the CTE, in order to align </w:t>
      </w:r>
      <w:r w:rsidR="005A2B0C">
        <w:rPr>
          <w:noProof/>
        </w:rPr>
        <w:t>them</w:t>
      </w:r>
      <w:r w:rsidR="005A2B0C" w:rsidRPr="005A2B0C">
        <w:rPr>
          <w:noProof/>
        </w:rPr>
        <w:t xml:space="preserve"> with the rules of procedure of other OTIF organs</w:t>
      </w:r>
      <w:r w:rsidR="005A2B0C">
        <w:rPr>
          <w:noProof/>
        </w:rPr>
        <w:t xml:space="preserve">, </w:t>
      </w:r>
      <w:r w:rsidR="00D44F0F" w:rsidRPr="00002DD5">
        <w:rPr>
          <w:noProof/>
        </w:rPr>
        <w:t xml:space="preserve">align the </w:t>
      </w:r>
      <w:r w:rsidR="008E7B5F">
        <w:rPr>
          <w:noProof/>
        </w:rPr>
        <w:t xml:space="preserve">UTP WAG </w:t>
      </w:r>
      <w:r w:rsidR="005E4D59">
        <w:rPr>
          <w:noProof/>
        </w:rPr>
        <w:t xml:space="preserve">and </w:t>
      </w:r>
      <w:r w:rsidR="004A650B" w:rsidRPr="00002DD5">
        <w:rPr>
          <w:noProof/>
        </w:rPr>
        <w:t xml:space="preserve">UTP </w:t>
      </w:r>
      <w:r w:rsidR="00BD14D5" w:rsidRPr="00002DD5">
        <w:rPr>
          <w:noProof/>
        </w:rPr>
        <w:t>LOC&amp;PAS</w:t>
      </w:r>
      <w:r w:rsidR="008E7B5F" w:rsidRPr="008E7B5F">
        <w:rPr>
          <w:noProof/>
        </w:rPr>
        <w:t xml:space="preserve"> </w:t>
      </w:r>
      <w:r w:rsidR="0047675C" w:rsidRPr="00002DD5">
        <w:rPr>
          <w:noProof/>
        </w:rPr>
        <w:t>with Commission Implementing Regulation</w:t>
      </w:r>
      <w:r w:rsidR="008E7B5F">
        <w:rPr>
          <w:noProof/>
        </w:rPr>
        <w:t>s</w:t>
      </w:r>
      <w:r w:rsidR="0047675C" w:rsidRPr="00002DD5">
        <w:rPr>
          <w:noProof/>
        </w:rPr>
        <w:t xml:space="preserve"> (EU) </w:t>
      </w:r>
      <w:r w:rsidR="008E7B5F" w:rsidRPr="008C640C">
        <w:rPr>
          <w:noProof/>
        </w:rPr>
        <w:t>2025/</w:t>
      </w:r>
      <w:r w:rsidR="008E7B5F" w:rsidRPr="00CA201A">
        <w:rPr>
          <w:noProof/>
        </w:rPr>
        <w:t>2064</w:t>
      </w:r>
      <w:r w:rsidR="008E7B5F">
        <w:rPr>
          <w:rStyle w:val="FootnoteReference"/>
          <w:noProof/>
        </w:rPr>
        <w:footnoteReference w:id="13"/>
      </w:r>
      <w:r w:rsidR="008E7B5F">
        <w:rPr>
          <w:noProof/>
        </w:rPr>
        <w:t xml:space="preserve"> and </w:t>
      </w:r>
      <w:r w:rsidR="008E7B5F" w:rsidRPr="008C640C">
        <w:rPr>
          <w:noProof/>
        </w:rPr>
        <w:t>(EU) 2025/675</w:t>
      </w:r>
      <w:r w:rsidR="008E7B5F">
        <w:rPr>
          <w:rStyle w:val="FootnoteReference"/>
          <w:noProof/>
        </w:rPr>
        <w:footnoteReference w:id="14"/>
      </w:r>
      <w:r w:rsidR="005E4D59">
        <w:rPr>
          <w:noProof/>
        </w:rPr>
        <w:t xml:space="preserve"> respectively</w:t>
      </w:r>
      <w:r w:rsidR="00890773" w:rsidRPr="00002DD5">
        <w:rPr>
          <w:noProof/>
        </w:rPr>
        <w:t xml:space="preserve">, </w:t>
      </w:r>
      <w:r w:rsidR="005E4D59">
        <w:rPr>
          <w:noProof/>
        </w:rPr>
        <w:t>to a</w:t>
      </w:r>
      <w:r w:rsidR="005E4D59" w:rsidRPr="005E4D59">
        <w:rPr>
          <w:noProof/>
        </w:rPr>
        <w:t>dopt a new Annex C to ATMF on a the Uniform format of certificates, while ensuring its compatibility with vehicle and vehicle type registers established under OTIF and EU rules, namely those laid down in</w:t>
      </w:r>
      <w:r w:rsidR="005E4D59">
        <w:rPr>
          <w:noProof/>
        </w:rPr>
        <w:t xml:space="preserve"> the latest amendments to</w:t>
      </w:r>
      <w:r w:rsidR="005E4D59" w:rsidRPr="005E4D59">
        <w:rPr>
          <w:noProof/>
        </w:rPr>
        <w:t xml:space="preserve"> Implementing Decision 2011/665/EU</w:t>
      </w:r>
      <w:r w:rsidR="005E4D59" w:rsidRPr="00615A2D">
        <w:rPr>
          <w:rStyle w:val="FootnoteReference"/>
          <w:noProof/>
        </w:rPr>
        <w:footnoteReference w:id="15"/>
      </w:r>
      <w:r w:rsidR="005E4D59" w:rsidRPr="005E4D59">
        <w:rPr>
          <w:noProof/>
        </w:rPr>
        <w:t xml:space="preserve"> and Commission Implementing Decision (EU) 2018/1614</w:t>
      </w:r>
      <w:r w:rsidR="00010ECA" w:rsidRPr="00615A2D">
        <w:rPr>
          <w:rStyle w:val="FootnoteReference"/>
          <w:noProof/>
        </w:rPr>
        <w:footnoteReference w:id="16"/>
      </w:r>
      <w:r w:rsidR="005E4D59">
        <w:rPr>
          <w:noProof/>
        </w:rPr>
        <w:t xml:space="preserve">, </w:t>
      </w:r>
      <w:r w:rsidR="00890773" w:rsidRPr="00002DD5">
        <w:rPr>
          <w:noProof/>
        </w:rPr>
        <w:t xml:space="preserve">to </w:t>
      </w:r>
      <w:r w:rsidR="000A1692" w:rsidRPr="00002DD5">
        <w:rPr>
          <w:noProof/>
        </w:rPr>
        <w:t xml:space="preserve">align the references to the ERA’s </w:t>
      </w:r>
      <w:r w:rsidR="008E7B5F">
        <w:rPr>
          <w:noProof/>
        </w:rPr>
        <w:t>t</w:t>
      </w:r>
      <w:r w:rsidR="000A1692" w:rsidRPr="00002DD5">
        <w:rPr>
          <w:noProof/>
        </w:rPr>
        <w:t xml:space="preserve">echnical </w:t>
      </w:r>
      <w:r w:rsidR="008E7B5F">
        <w:rPr>
          <w:noProof/>
        </w:rPr>
        <w:t>d</w:t>
      </w:r>
      <w:r w:rsidR="000A1692" w:rsidRPr="00002DD5">
        <w:rPr>
          <w:noProof/>
        </w:rPr>
        <w:t>ocuments listed in Appendix I of UTP TAF</w:t>
      </w:r>
      <w:r w:rsidR="00EB493C" w:rsidRPr="00002DD5">
        <w:rPr>
          <w:noProof/>
        </w:rPr>
        <w:t xml:space="preserve">, and to update </w:t>
      </w:r>
      <w:r w:rsidR="00BE50D7">
        <w:rPr>
          <w:noProof/>
        </w:rPr>
        <w:t>the H</w:t>
      </w:r>
      <w:r w:rsidR="00EB493C" w:rsidRPr="00002DD5">
        <w:rPr>
          <w:noProof/>
        </w:rPr>
        <w:t>andbook for the implementation and application of the APTU and ATMF</w:t>
      </w:r>
      <w:r w:rsidR="00BE50D7">
        <w:rPr>
          <w:noProof/>
        </w:rPr>
        <w:t>,</w:t>
      </w:r>
      <w:r w:rsidR="00EB493C" w:rsidRPr="00002DD5">
        <w:rPr>
          <w:noProof/>
        </w:rPr>
        <w:t xml:space="preserve"> </w:t>
      </w:r>
      <w:r w:rsidR="00665A73">
        <w:rPr>
          <w:noProof/>
        </w:rPr>
        <w:t>taking into account the</w:t>
      </w:r>
      <w:r w:rsidR="00F9762D" w:rsidRPr="00002DD5">
        <w:rPr>
          <w:noProof/>
        </w:rPr>
        <w:t xml:space="preserve"> return </w:t>
      </w:r>
      <w:r w:rsidR="00665A73">
        <w:rPr>
          <w:noProof/>
        </w:rPr>
        <w:t>on</w:t>
      </w:r>
      <w:r w:rsidR="00F9762D" w:rsidRPr="00002DD5">
        <w:rPr>
          <w:noProof/>
        </w:rPr>
        <w:t xml:space="preserve"> experience </w:t>
      </w:r>
      <w:r w:rsidR="00665A73">
        <w:rPr>
          <w:noProof/>
        </w:rPr>
        <w:t>from C</w:t>
      </w:r>
      <w:r w:rsidR="00F9762D" w:rsidRPr="00002DD5">
        <w:rPr>
          <w:noProof/>
        </w:rPr>
        <w:t xml:space="preserve">OTIF </w:t>
      </w:r>
      <w:r w:rsidR="00665A73">
        <w:rPr>
          <w:noProof/>
        </w:rPr>
        <w:t>Contracting</w:t>
      </w:r>
      <w:r w:rsidR="00F9762D" w:rsidRPr="00002DD5">
        <w:rPr>
          <w:noProof/>
        </w:rPr>
        <w:t xml:space="preserve"> States</w:t>
      </w:r>
      <w:r w:rsidR="00BE50D7" w:rsidRPr="00BE50D7">
        <w:rPr>
          <w:noProof/>
        </w:rPr>
        <w:t xml:space="preserve">, including </w:t>
      </w:r>
      <w:r w:rsidR="00BE50D7">
        <w:rPr>
          <w:noProof/>
        </w:rPr>
        <w:t xml:space="preserve">EU </w:t>
      </w:r>
      <w:r w:rsidR="00BE50D7" w:rsidRPr="00BE50D7">
        <w:rPr>
          <w:noProof/>
        </w:rPr>
        <w:t xml:space="preserve">Member </w:t>
      </w:r>
      <w:r w:rsidR="00BE50D7" w:rsidRPr="00693624">
        <w:rPr>
          <w:noProof/>
        </w:rPr>
        <w:t>States</w:t>
      </w:r>
      <w:r w:rsidR="000A1692" w:rsidRPr="00693624">
        <w:rPr>
          <w:noProof/>
        </w:rPr>
        <w:t>.</w:t>
      </w:r>
    </w:p>
    <w:p w:rsidR="00AD77CE" w:rsidRPr="008148CB" w:rsidRDefault="00AD77CE" w:rsidP="00646C47">
      <w:pPr>
        <w:pStyle w:val="ManualConsidrant"/>
        <w:rPr>
          <w:noProof/>
        </w:rPr>
      </w:pPr>
      <w:r>
        <w:rPr>
          <w:noProof/>
        </w:rPr>
        <w:t>(10)</w:t>
      </w:r>
      <w:r>
        <w:rPr>
          <w:noProof/>
        </w:rPr>
        <w:tab/>
      </w:r>
      <w:r w:rsidRPr="008148CB">
        <w:rPr>
          <w:noProof/>
        </w:rPr>
        <w:t xml:space="preserve">The envisaged </w:t>
      </w:r>
      <w:r w:rsidR="008E726B" w:rsidRPr="008148CB">
        <w:rPr>
          <w:noProof/>
        </w:rPr>
        <w:t xml:space="preserve">modifications to the Rules of Procedure of the CTE </w:t>
      </w:r>
      <w:r w:rsidR="0096202F" w:rsidRPr="008148CB">
        <w:rPr>
          <w:noProof/>
        </w:rPr>
        <w:t>are based on the recommendations of the OTIF ad hoc Committee on Legal Affairs and International Cooperation, and ensure further alignment and consistency between the practices of this and other OTIF organs. However,</w:t>
      </w:r>
      <w:r w:rsidR="00D26D3D" w:rsidRPr="008148CB">
        <w:rPr>
          <w:noProof/>
        </w:rPr>
        <w:t xml:space="preserve"> </w:t>
      </w:r>
      <w:r w:rsidRPr="008148CB">
        <w:rPr>
          <w:noProof/>
        </w:rPr>
        <w:t xml:space="preserve">the rules </w:t>
      </w:r>
      <w:r w:rsidR="00A727B2" w:rsidRPr="008148CB">
        <w:rPr>
          <w:noProof/>
        </w:rPr>
        <w:t xml:space="preserve">for making working documents available before </w:t>
      </w:r>
      <w:r w:rsidR="00B07798" w:rsidRPr="008148CB">
        <w:rPr>
          <w:noProof/>
        </w:rPr>
        <w:t>the meetings of the CTE still</w:t>
      </w:r>
      <w:r w:rsidRPr="008148CB">
        <w:rPr>
          <w:noProof/>
        </w:rPr>
        <w:t xml:space="preserve"> establish very short deadlines, </w:t>
      </w:r>
      <w:r w:rsidR="00B07798" w:rsidRPr="008148CB">
        <w:rPr>
          <w:noProof/>
        </w:rPr>
        <w:t xml:space="preserve">which </w:t>
      </w:r>
      <w:r w:rsidR="00B07798" w:rsidRPr="008148CB">
        <w:rPr>
          <w:noProof/>
        </w:rPr>
        <w:lastRenderedPageBreak/>
        <w:t xml:space="preserve">may be </w:t>
      </w:r>
      <w:r w:rsidRPr="008148CB">
        <w:rPr>
          <w:noProof/>
        </w:rPr>
        <w:t>insufficient for allowing the necessary internal procedures for the adoption of a decision</w:t>
      </w:r>
      <w:r w:rsidR="00B07798" w:rsidRPr="008148CB">
        <w:rPr>
          <w:noProof/>
        </w:rPr>
        <w:t xml:space="preserve"> at Union level. </w:t>
      </w:r>
      <w:r w:rsidR="002E0674" w:rsidRPr="008148CB">
        <w:rPr>
          <w:noProof/>
        </w:rPr>
        <w:t>The</w:t>
      </w:r>
      <w:r w:rsidR="007605DD">
        <w:rPr>
          <w:noProof/>
        </w:rPr>
        <w:t>refore, while the</w:t>
      </w:r>
      <w:r w:rsidR="002E0674" w:rsidRPr="008148CB">
        <w:rPr>
          <w:noProof/>
        </w:rPr>
        <w:t xml:space="preserve"> amendments to the Rules of Procedure should be supported</w:t>
      </w:r>
      <w:r w:rsidR="007605DD">
        <w:rPr>
          <w:noProof/>
        </w:rPr>
        <w:t xml:space="preserve">, </w:t>
      </w:r>
      <w:r w:rsidR="00D43CF9">
        <w:rPr>
          <w:noProof/>
        </w:rPr>
        <w:t xml:space="preserve">the European Union should </w:t>
      </w:r>
      <w:r w:rsidR="00B927A6">
        <w:rPr>
          <w:noProof/>
        </w:rPr>
        <w:t xml:space="preserve">also </w:t>
      </w:r>
      <w:r w:rsidR="00D43CF9">
        <w:rPr>
          <w:noProof/>
        </w:rPr>
        <w:t>propose to extend</w:t>
      </w:r>
      <w:r w:rsidR="002E0674" w:rsidRPr="008148CB">
        <w:rPr>
          <w:noProof/>
        </w:rPr>
        <w:t xml:space="preserve"> the deadline for making working documents available before the meetings of the CTE</w:t>
      </w:r>
      <w:r w:rsidR="00D43CF9">
        <w:rPr>
          <w:noProof/>
        </w:rPr>
        <w:t>, in order</w:t>
      </w:r>
      <w:r w:rsidR="00DC2E35" w:rsidRPr="008148CB">
        <w:rPr>
          <w:noProof/>
        </w:rPr>
        <w:t xml:space="preserve"> to </w:t>
      </w:r>
      <w:r w:rsidR="00DC2E35" w:rsidRPr="001B19C9">
        <w:rPr>
          <w:noProof/>
        </w:rPr>
        <w:t xml:space="preserve">allow for a </w:t>
      </w:r>
      <w:r w:rsidR="00693624" w:rsidRPr="001B19C9">
        <w:rPr>
          <w:noProof/>
        </w:rPr>
        <w:t xml:space="preserve">timely </w:t>
      </w:r>
      <w:r w:rsidR="00693624" w:rsidRPr="000D65AE">
        <w:rPr>
          <w:noProof/>
        </w:rPr>
        <w:t>pre</w:t>
      </w:r>
      <w:r w:rsidR="00B864E9" w:rsidRPr="000D65AE">
        <w:rPr>
          <w:noProof/>
        </w:rPr>
        <w:t>paration and adoption of Union positions</w:t>
      </w:r>
      <w:r w:rsidR="002E0674" w:rsidRPr="008148CB">
        <w:rPr>
          <w:noProof/>
        </w:rPr>
        <w:t>.</w:t>
      </w:r>
    </w:p>
    <w:p w:rsidR="00240F7A" w:rsidRDefault="00C87B78" w:rsidP="00646C47">
      <w:pPr>
        <w:pStyle w:val="ManualConsidrant"/>
        <w:rPr>
          <w:noProof/>
        </w:rPr>
      </w:pPr>
      <w:r>
        <w:rPr>
          <w:noProof/>
        </w:rPr>
        <w:t>(11)</w:t>
      </w:r>
      <w:r>
        <w:rPr>
          <w:noProof/>
        </w:rPr>
        <w:tab/>
      </w:r>
      <w:r w:rsidRPr="008148CB">
        <w:rPr>
          <w:noProof/>
        </w:rPr>
        <w:t>The envisaged decisions to revise the</w:t>
      </w:r>
      <w:r w:rsidR="00D82477" w:rsidRPr="008148CB">
        <w:rPr>
          <w:noProof/>
        </w:rPr>
        <w:t xml:space="preserve"> UTP WAG</w:t>
      </w:r>
      <w:r w:rsidR="008F308F" w:rsidRPr="008148CB">
        <w:rPr>
          <w:noProof/>
        </w:rPr>
        <w:t xml:space="preserve"> and</w:t>
      </w:r>
      <w:r w:rsidR="00D82477" w:rsidRPr="008148CB">
        <w:rPr>
          <w:noProof/>
        </w:rPr>
        <w:t xml:space="preserve"> the</w:t>
      </w:r>
      <w:r w:rsidRPr="008148CB">
        <w:rPr>
          <w:noProof/>
        </w:rPr>
        <w:t xml:space="preserve"> UTP LOC&amp;PAS</w:t>
      </w:r>
      <w:r w:rsidR="008F308F" w:rsidRPr="008148CB">
        <w:rPr>
          <w:noProof/>
        </w:rPr>
        <w:t xml:space="preserve"> </w:t>
      </w:r>
      <w:r w:rsidR="006D5678">
        <w:rPr>
          <w:noProof/>
        </w:rPr>
        <w:t xml:space="preserve">and </w:t>
      </w:r>
      <w:r w:rsidRPr="008148CB">
        <w:rPr>
          <w:noProof/>
        </w:rPr>
        <w:t>to modify Appendix I of UTP TAF are generally in line with the law and the strategic objectives of the Union, and contribute to the alignment of OTIF legislation with the equivalent provisions of Union law. However, some of the changes</w:t>
      </w:r>
      <w:r w:rsidR="00556381" w:rsidRPr="008148CB">
        <w:rPr>
          <w:noProof/>
        </w:rPr>
        <w:t xml:space="preserve"> proposed by OTIF</w:t>
      </w:r>
      <w:r w:rsidR="00A643C4" w:rsidRPr="008148CB">
        <w:rPr>
          <w:noProof/>
        </w:rPr>
        <w:t xml:space="preserve"> Secretariat</w:t>
      </w:r>
      <w:r w:rsidR="00556381" w:rsidRPr="008148CB">
        <w:rPr>
          <w:noProof/>
        </w:rPr>
        <w:t xml:space="preserve"> should be aligned with the </w:t>
      </w:r>
      <w:r w:rsidR="00A643C4" w:rsidRPr="008148CB">
        <w:rPr>
          <w:noProof/>
        </w:rPr>
        <w:t>relevant EU law</w:t>
      </w:r>
      <w:r w:rsidRPr="008148CB">
        <w:rPr>
          <w:noProof/>
        </w:rPr>
        <w:t>. It is therefore necessary to propose amendments to the envisaged OTIF decisions</w:t>
      </w:r>
      <w:r w:rsidR="00D5042E" w:rsidRPr="008148CB">
        <w:rPr>
          <w:noProof/>
        </w:rPr>
        <w:t>,</w:t>
      </w:r>
      <w:r w:rsidRPr="008148CB">
        <w:rPr>
          <w:noProof/>
        </w:rPr>
        <w:t xml:space="preserve"> in order to ensure </w:t>
      </w:r>
      <w:r w:rsidR="00556381" w:rsidRPr="008148CB">
        <w:rPr>
          <w:noProof/>
        </w:rPr>
        <w:t>alignment with</w:t>
      </w:r>
      <w:r w:rsidR="00D5042E" w:rsidRPr="008148CB">
        <w:rPr>
          <w:noProof/>
        </w:rPr>
        <w:t xml:space="preserve"> the relevant</w:t>
      </w:r>
      <w:r w:rsidR="00556381" w:rsidRPr="008148CB">
        <w:rPr>
          <w:noProof/>
        </w:rPr>
        <w:t xml:space="preserve"> EU acquis</w:t>
      </w:r>
      <w:r w:rsidRPr="008148CB">
        <w:rPr>
          <w:noProof/>
        </w:rPr>
        <w:t>. The Union should thus support the envisaged decisions subject to the condition that these amendments are introduced</w:t>
      </w:r>
      <w:r w:rsidR="009C7827" w:rsidRPr="008148CB">
        <w:rPr>
          <w:noProof/>
        </w:rPr>
        <w:t>.</w:t>
      </w:r>
    </w:p>
    <w:p w:rsidR="004C3EEB" w:rsidRDefault="004C3EEB" w:rsidP="00646C47">
      <w:pPr>
        <w:pStyle w:val="ManualConsidrant"/>
        <w:rPr>
          <w:noProof/>
        </w:rPr>
      </w:pPr>
      <w:r>
        <w:rPr>
          <w:noProof/>
        </w:rPr>
        <w:t>(12)</w:t>
      </w:r>
      <w:r>
        <w:rPr>
          <w:noProof/>
        </w:rPr>
        <w:tab/>
        <w:t xml:space="preserve">The envisaged decision </w:t>
      </w:r>
      <w:r w:rsidRPr="008148CB">
        <w:rPr>
          <w:noProof/>
        </w:rPr>
        <w:t>to adopt a new Annex C to ATMF on a Uniform format of certificates</w:t>
      </w:r>
      <w:r>
        <w:rPr>
          <w:noProof/>
        </w:rPr>
        <w:t xml:space="preserve"> </w:t>
      </w:r>
      <w:r w:rsidR="000D37A0">
        <w:rPr>
          <w:noProof/>
        </w:rPr>
        <w:t xml:space="preserve">is not fully in line with </w:t>
      </w:r>
      <w:r w:rsidR="000D37A0" w:rsidRPr="008148CB">
        <w:rPr>
          <w:noProof/>
        </w:rPr>
        <w:t>the law and the strategic objectives of the Union</w:t>
      </w:r>
      <w:r w:rsidR="000D37A0">
        <w:rPr>
          <w:noProof/>
        </w:rPr>
        <w:t xml:space="preserve">. </w:t>
      </w:r>
      <w:r w:rsidR="0097629B">
        <w:rPr>
          <w:noProof/>
        </w:rPr>
        <w:t>A</w:t>
      </w:r>
      <w:r w:rsidR="008F0D68">
        <w:rPr>
          <w:noProof/>
        </w:rPr>
        <w:t>s a generic example</w:t>
      </w:r>
      <w:r w:rsidR="000D37A0">
        <w:rPr>
          <w:noProof/>
        </w:rPr>
        <w:t xml:space="preserve">, </w:t>
      </w:r>
      <w:r w:rsidR="00545CAD">
        <w:rPr>
          <w:noProof/>
        </w:rPr>
        <w:t xml:space="preserve">the use </w:t>
      </w:r>
      <w:r w:rsidR="00545CAD" w:rsidRPr="00545CAD">
        <w:rPr>
          <w:noProof/>
        </w:rPr>
        <w:t xml:space="preserve">of the term </w:t>
      </w:r>
      <w:r w:rsidR="00545CAD">
        <w:rPr>
          <w:noProof/>
        </w:rPr>
        <w:t>“</w:t>
      </w:r>
      <w:r w:rsidR="00545CAD" w:rsidRPr="00545CAD">
        <w:rPr>
          <w:noProof/>
        </w:rPr>
        <w:t>certificate</w:t>
      </w:r>
      <w:r w:rsidR="00545CAD">
        <w:rPr>
          <w:noProof/>
        </w:rPr>
        <w:t>”</w:t>
      </w:r>
      <w:r w:rsidR="00545CAD" w:rsidRPr="00545CAD">
        <w:rPr>
          <w:noProof/>
        </w:rPr>
        <w:t xml:space="preserve"> lead</w:t>
      </w:r>
      <w:r w:rsidR="00545CAD">
        <w:rPr>
          <w:noProof/>
        </w:rPr>
        <w:t xml:space="preserve">s </w:t>
      </w:r>
      <w:r w:rsidR="00545CAD" w:rsidRPr="00545CAD">
        <w:rPr>
          <w:noProof/>
        </w:rPr>
        <w:t>to confusion</w:t>
      </w:r>
      <w:r w:rsidR="00883138">
        <w:rPr>
          <w:noProof/>
        </w:rPr>
        <w:t>,</w:t>
      </w:r>
      <w:r w:rsidR="0097629B">
        <w:rPr>
          <w:noProof/>
        </w:rPr>
        <w:t xml:space="preserve"> as</w:t>
      </w:r>
      <w:r w:rsidR="00883138">
        <w:rPr>
          <w:noProof/>
        </w:rPr>
        <w:t xml:space="preserve"> it is</w:t>
      </w:r>
      <w:r w:rsidR="0097629B">
        <w:rPr>
          <w:noProof/>
        </w:rPr>
        <w:t xml:space="preserve"> used for different purposes in</w:t>
      </w:r>
      <w:r w:rsidR="00883138">
        <w:rPr>
          <w:noProof/>
        </w:rPr>
        <w:t xml:space="preserve"> the</w:t>
      </w:r>
      <w:r w:rsidR="0097629B">
        <w:rPr>
          <w:noProof/>
        </w:rPr>
        <w:t xml:space="preserve"> EU and COTIF framework</w:t>
      </w:r>
      <w:r w:rsidR="00694287">
        <w:rPr>
          <w:noProof/>
        </w:rPr>
        <w:t>s</w:t>
      </w:r>
      <w:r w:rsidR="00545CAD" w:rsidRPr="00545CAD">
        <w:rPr>
          <w:noProof/>
        </w:rPr>
        <w:t>.</w:t>
      </w:r>
      <w:r w:rsidR="008F0D68" w:rsidRPr="008F0D68">
        <w:rPr>
          <w:noProof/>
        </w:rPr>
        <w:t xml:space="preserve"> </w:t>
      </w:r>
      <w:r w:rsidR="008F0D68">
        <w:rPr>
          <w:noProof/>
        </w:rPr>
        <w:t>Considering the exten</w:t>
      </w:r>
      <w:r w:rsidR="00694287">
        <w:rPr>
          <w:noProof/>
        </w:rPr>
        <w:t>t</w:t>
      </w:r>
      <w:r w:rsidR="008F0D68">
        <w:rPr>
          <w:noProof/>
        </w:rPr>
        <w:t xml:space="preserve"> of the amendments to the envisaged </w:t>
      </w:r>
      <w:r w:rsidR="00F01D79">
        <w:rPr>
          <w:noProof/>
        </w:rPr>
        <w:t xml:space="preserve">decision that </w:t>
      </w:r>
      <w:r w:rsidR="00694287">
        <w:rPr>
          <w:noProof/>
        </w:rPr>
        <w:t>would be</w:t>
      </w:r>
      <w:r w:rsidR="008F0D68" w:rsidRPr="008148CB">
        <w:rPr>
          <w:noProof/>
        </w:rPr>
        <w:t xml:space="preserve"> necessary to ensure alignment with the relevant EU acquis</w:t>
      </w:r>
      <w:r w:rsidR="00F01D79">
        <w:rPr>
          <w:noProof/>
        </w:rPr>
        <w:t>, t</w:t>
      </w:r>
      <w:r w:rsidR="008F0D68" w:rsidRPr="008148CB">
        <w:rPr>
          <w:noProof/>
        </w:rPr>
        <w:t xml:space="preserve">he Union should thus </w:t>
      </w:r>
      <w:r w:rsidR="00F01D79">
        <w:rPr>
          <w:noProof/>
        </w:rPr>
        <w:t>oppose to</w:t>
      </w:r>
      <w:r w:rsidR="008F0D68" w:rsidRPr="008148CB">
        <w:rPr>
          <w:noProof/>
        </w:rPr>
        <w:t xml:space="preserve"> the </w:t>
      </w:r>
      <w:r w:rsidR="00644D89">
        <w:rPr>
          <w:noProof/>
        </w:rPr>
        <w:t>adoption of</w:t>
      </w:r>
      <w:r w:rsidR="00057A28">
        <w:rPr>
          <w:noProof/>
        </w:rPr>
        <w:t xml:space="preserve"> the</w:t>
      </w:r>
      <w:r w:rsidR="00644D89">
        <w:rPr>
          <w:noProof/>
        </w:rPr>
        <w:t xml:space="preserve"> </w:t>
      </w:r>
      <w:r w:rsidR="008F0D68" w:rsidRPr="008148CB">
        <w:rPr>
          <w:noProof/>
        </w:rPr>
        <w:t>envisaged decision</w:t>
      </w:r>
      <w:r w:rsidR="00057A28">
        <w:rPr>
          <w:noProof/>
        </w:rPr>
        <w:t>,</w:t>
      </w:r>
      <w:r w:rsidR="008F0D68" w:rsidRPr="008148CB">
        <w:rPr>
          <w:noProof/>
        </w:rPr>
        <w:t xml:space="preserve"> </w:t>
      </w:r>
      <w:r w:rsidR="00644D89">
        <w:rPr>
          <w:noProof/>
        </w:rPr>
        <w:t xml:space="preserve">and request further work of the </w:t>
      </w:r>
      <w:r w:rsidR="004D5FC5" w:rsidRPr="004D5FC5">
        <w:rPr>
          <w:noProof/>
        </w:rPr>
        <w:t xml:space="preserve">standing working group </w:t>
      </w:r>
      <w:r w:rsidR="004D5FC5">
        <w:rPr>
          <w:noProof/>
        </w:rPr>
        <w:t>of the CTE (</w:t>
      </w:r>
      <w:r w:rsidR="00644D89">
        <w:rPr>
          <w:noProof/>
        </w:rPr>
        <w:t>WG TECH</w:t>
      </w:r>
      <w:r w:rsidR="004D5FC5">
        <w:rPr>
          <w:noProof/>
        </w:rPr>
        <w:t>)</w:t>
      </w:r>
      <w:r w:rsidR="00644D89">
        <w:rPr>
          <w:noProof/>
        </w:rPr>
        <w:t xml:space="preserve"> on the matter</w:t>
      </w:r>
      <w:r w:rsidR="004D5FC5">
        <w:rPr>
          <w:noProof/>
        </w:rPr>
        <w:t xml:space="preserve">, so as </w:t>
      </w:r>
      <w:r w:rsidR="004D5FC5" w:rsidRPr="004D5FC5">
        <w:rPr>
          <w:noProof/>
        </w:rPr>
        <w:t>to ensure alignment with the relevant EU acquis</w:t>
      </w:r>
      <w:r w:rsidR="008F0D68" w:rsidRPr="008148CB">
        <w:rPr>
          <w:noProof/>
        </w:rPr>
        <w:t>.</w:t>
      </w:r>
    </w:p>
    <w:p w:rsidR="004D6DB7" w:rsidRDefault="00626C6F" w:rsidP="004D6DB7">
      <w:pPr>
        <w:pStyle w:val="ManualConsidrant"/>
        <w:rPr>
          <w:noProof/>
        </w:rPr>
      </w:pPr>
      <w:r>
        <w:rPr>
          <w:noProof/>
        </w:rPr>
        <w:t>(13)</w:t>
      </w:r>
      <w:r>
        <w:rPr>
          <w:noProof/>
        </w:rPr>
        <w:tab/>
      </w:r>
      <w:r w:rsidRPr="008148CB">
        <w:rPr>
          <w:noProof/>
        </w:rPr>
        <w:t>The envisaged decision to</w:t>
      </w:r>
      <w:r w:rsidRPr="00626C6F">
        <w:rPr>
          <w:noProof/>
        </w:rPr>
        <w:t xml:space="preserve"> </w:t>
      </w:r>
      <w:r w:rsidRPr="008148CB">
        <w:rPr>
          <w:noProof/>
        </w:rPr>
        <w:t xml:space="preserve">update the Handbook for the implementation and application of ATMF and APTU </w:t>
      </w:r>
      <w:r>
        <w:rPr>
          <w:noProof/>
        </w:rPr>
        <w:t>is</w:t>
      </w:r>
      <w:r w:rsidRPr="008148CB">
        <w:rPr>
          <w:noProof/>
        </w:rPr>
        <w:t xml:space="preserve"> generally in line with the law and the strategic objectives of the Union, and contribute to the alignment of OTIF legislation with the equivalent provisions of Union law. However,</w:t>
      </w:r>
      <w:r>
        <w:rPr>
          <w:noProof/>
        </w:rPr>
        <w:t xml:space="preserve"> </w:t>
      </w:r>
      <w:r w:rsidR="00AF2F3D">
        <w:rPr>
          <w:noProof/>
        </w:rPr>
        <w:t xml:space="preserve">some </w:t>
      </w:r>
      <w:r w:rsidR="00CE0D23">
        <w:rPr>
          <w:noProof/>
        </w:rPr>
        <w:t>modifications</w:t>
      </w:r>
      <w:r w:rsidR="00AF2F3D">
        <w:rPr>
          <w:noProof/>
        </w:rPr>
        <w:t xml:space="preserve"> should be introduced on</w:t>
      </w:r>
      <w:r>
        <w:rPr>
          <w:noProof/>
        </w:rPr>
        <w:t xml:space="preserve"> this handbook</w:t>
      </w:r>
      <w:r w:rsidR="00AF2F3D">
        <w:rPr>
          <w:noProof/>
        </w:rPr>
        <w:t>, in particular</w:t>
      </w:r>
      <w:r>
        <w:rPr>
          <w:noProof/>
        </w:rPr>
        <w:t xml:space="preserve"> </w:t>
      </w:r>
      <w:r w:rsidR="00CE0D23">
        <w:rPr>
          <w:noProof/>
        </w:rPr>
        <w:t>to</w:t>
      </w:r>
      <w:r>
        <w:rPr>
          <w:noProof/>
        </w:rPr>
        <w:t xml:space="preserve"> clarify </w:t>
      </w:r>
      <w:r w:rsidR="00FA3FEA">
        <w:rPr>
          <w:noProof/>
        </w:rPr>
        <w:t xml:space="preserve">that </w:t>
      </w:r>
      <w:r>
        <w:rPr>
          <w:noProof/>
        </w:rPr>
        <w:t>th</w:t>
      </w:r>
      <w:r w:rsidR="00FA3FEA">
        <w:rPr>
          <w:noProof/>
        </w:rPr>
        <w:t>e</w:t>
      </w:r>
      <w:r>
        <w:rPr>
          <w:noProof/>
        </w:rPr>
        <w:t xml:space="preserve"> </w:t>
      </w:r>
      <w:r w:rsidR="00985510" w:rsidRPr="00985510">
        <w:rPr>
          <w:noProof/>
        </w:rPr>
        <w:t>mutua</w:t>
      </w:r>
      <w:r w:rsidR="00985510">
        <w:rPr>
          <w:noProof/>
        </w:rPr>
        <w:t>l</w:t>
      </w:r>
      <w:r w:rsidR="00985510" w:rsidRPr="00985510">
        <w:rPr>
          <w:noProof/>
        </w:rPr>
        <w:t xml:space="preserve"> accept</w:t>
      </w:r>
      <w:r w:rsidR="00985510">
        <w:rPr>
          <w:noProof/>
        </w:rPr>
        <w:t xml:space="preserve">ance of assessment bodies </w:t>
      </w:r>
      <w:r w:rsidR="004D6DB7">
        <w:rPr>
          <w:noProof/>
        </w:rPr>
        <w:t xml:space="preserve">by all Contracting States </w:t>
      </w:r>
      <w:r w:rsidR="00985510" w:rsidRPr="00985510">
        <w:rPr>
          <w:noProof/>
        </w:rPr>
        <w:t xml:space="preserve">for the purpose of the ATMF UR </w:t>
      </w:r>
      <w:r w:rsidR="004D6DB7">
        <w:rPr>
          <w:noProof/>
        </w:rPr>
        <w:t>is</w:t>
      </w:r>
      <w:r w:rsidR="009C4F66">
        <w:rPr>
          <w:noProof/>
        </w:rPr>
        <w:t xml:space="preserve"> stric</w:t>
      </w:r>
      <w:r w:rsidR="00CE0D23">
        <w:rPr>
          <w:noProof/>
        </w:rPr>
        <w:t>t</w:t>
      </w:r>
      <w:r w:rsidR="009C4F66">
        <w:rPr>
          <w:noProof/>
        </w:rPr>
        <w:t>ly</w:t>
      </w:r>
      <w:r w:rsidR="004D6DB7">
        <w:rPr>
          <w:noProof/>
        </w:rPr>
        <w:t xml:space="preserve"> limited</w:t>
      </w:r>
      <w:r w:rsidR="00985510" w:rsidRPr="00985510">
        <w:rPr>
          <w:noProof/>
        </w:rPr>
        <w:t xml:space="preserve"> to vehicles intended to be used in international traffic</w:t>
      </w:r>
      <w:r w:rsidR="004D6DB7" w:rsidRPr="008148CB">
        <w:rPr>
          <w:noProof/>
        </w:rPr>
        <w:t>. It is therefore necessary to propose amendments to the envisaged decision, in order to ensure alignment with the relevant EU acquis</w:t>
      </w:r>
      <w:r w:rsidR="009C4F66">
        <w:rPr>
          <w:noProof/>
        </w:rPr>
        <w:t xml:space="preserve"> </w:t>
      </w:r>
      <w:r w:rsidR="00FF60A8">
        <w:rPr>
          <w:noProof/>
        </w:rPr>
        <w:t xml:space="preserve">and </w:t>
      </w:r>
      <w:r w:rsidR="0063096C">
        <w:rPr>
          <w:noProof/>
        </w:rPr>
        <w:t>that the</w:t>
      </w:r>
      <w:r w:rsidR="00FF60A8">
        <w:rPr>
          <w:noProof/>
        </w:rPr>
        <w:t xml:space="preserve"> applicable market-related rules</w:t>
      </w:r>
      <w:r w:rsidR="00631895">
        <w:rPr>
          <w:noProof/>
        </w:rPr>
        <w:t xml:space="preserve"> </w:t>
      </w:r>
      <w:r w:rsidR="00A5253E">
        <w:rPr>
          <w:noProof/>
        </w:rPr>
        <w:t xml:space="preserve">established at </w:t>
      </w:r>
      <w:r w:rsidR="001B63D5">
        <w:rPr>
          <w:noProof/>
        </w:rPr>
        <w:t xml:space="preserve">domestic or </w:t>
      </w:r>
      <w:r w:rsidR="00A5253E">
        <w:rPr>
          <w:noProof/>
        </w:rPr>
        <w:t>EU level</w:t>
      </w:r>
      <w:r w:rsidR="00631895">
        <w:rPr>
          <w:noProof/>
        </w:rPr>
        <w:t xml:space="preserve"> are taken into account</w:t>
      </w:r>
      <w:r w:rsidR="004D6DB7" w:rsidRPr="008148CB">
        <w:rPr>
          <w:noProof/>
        </w:rPr>
        <w:t>. The Union should thus support the envisaged decision</w:t>
      </w:r>
      <w:r w:rsidR="0084133D">
        <w:rPr>
          <w:noProof/>
        </w:rPr>
        <w:t>,</w:t>
      </w:r>
      <w:r w:rsidR="004D6DB7" w:rsidRPr="008148CB">
        <w:rPr>
          <w:noProof/>
        </w:rPr>
        <w:t xml:space="preserve"> subject to the condition that these amendments are introduced.</w:t>
      </w:r>
    </w:p>
    <w:p w:rsidR="00240F7A" w:rsidRPr="00002DD5" w:rsidRDefault="00240F7A" w:rsidP="00240F7A">
      <w:pPr>
        <w:pStyle w:val="ManualConsidrant"/>
        <w:rPr>
          <w:noProof/>
        </w:rPr>
      </w:pPr>
    </w:p>
    <w:p w:rsidR="007024FE" w:rsidRPr="00002DD5" w:rsidRDefault="007024FE" w:rsidP="0096244E">
      <w:pPr>
        <w:pStyle w:val="Formuledadoption"/>
        <w:rPr>
          <w:noProof/>
        </w:rPr>
      </w:pPr>
      <w:r w:rsidRPr="00002DD5">
        <w:rPr>
          <w:noProof/>
        </w:rPr>
        <w:t>HAS ADOPTED THIS DECISION:</w:t>
      </w:r>
    </w:p>
    <w:p w:rsidR="007024FE" w:rsidRPr="00002DD5" w:rsidRDefault="007024FE" w:rsidP="007E1523">
      <w:pPr>
        <w:pStyle w:val="Titrearticle"/>
        <w:rPr>
          <w:noProof/>
        </w:rPr>
      </w:pPr>
      <w:r w:rsidRPr="00002DD5">
        <w:rPr>
          <w:noProof/>
        </w:rPr>
        <w:t>Article 1</w:t>
      </w:r>
    </w:p>
    <w:p w:rsidR="007024FE" w:rsidRPr="001133B3" w:rsidRDefault="007024FE" w:rsidP="00152024">
      <w:pPr>
        <w:rPr>
          <w:noProof/>
        </w:rPr>
      </w:pPr>
      <w:r w:rsidRPr="00002DD5">
        <w:rPr>
          <w:noProof/>
        </w:rPr>
        <w:t>The position to be taken on the Union</w:t>
      </w:r>
      <w:r w:rsidR="00C87B78" w:rsidRPr="00002DD5">
        <w:rPr>
          <w:noProof/>
        </w:rPr>
        <w:t>’</w:t>
      </w:r>
      <w:r w:rsidRPr="00002DD5">
        <w:rPr>
          <w:noProof/>
        </w:rPr>
        <w:t xml:space="preserve">s behalf </w:t>
      </w:r>
      <w:r w:rsidR="001D453C">
        <w:rPr>
          <w:noProof/>
        </w:rPr>
        <w:t>in</w:t>
      </w:r>
      <w:r w:rsidR="001D453C" w:rsidRPr="00002DD5">
        <w:rPr>
          <w:noProof/>
        </w:rPr>
        <w:t xml:space="preserve"> </w:t>
      </w:r>
      <w:r w:rsidR="00D44F0F" w:rsidRPr="00002DD5">
        <w:rPr>
          <w:noProof/>
        </w:rPr>
        <w:t>the 1</w:t>
      </w:r>
      <w:r w:rsidR="00F7420C" w:rsidRPr="009A582E">
        <w:rPr>
          <w:noProof/>
          <w:lang w:val="en-US"/>
        </w:rPr>
        <w:t>8</w:t>
      </w:r>
      <w:r w:rsidR="00F160AB" w:rsidRPr="00002DD5">
        <w:rPr>
          <w:noProof/>
          <w:vertAlign w:val="superscript"/>
        </w:rPr>
        <w:t>th</w:t>
      </w:r>
      <w:r w:rsidR="00F160AB" w:rsidRPr="00002DD5">
        <w:rPr>
          <w:noProof/>
        </w:rPr>
        <w:t xml:space="preserve"> </w:t>
      </w:r>
      <w:r w:rsidR="00D44F0F" w:rsidRPr="00002DD5">
        <w:rPr>
          <w:noProof/>
        </w:rPr>
        <w:t>session of</w:t>
      </w:r>
      <w:r w:rsidRPr="00002DD5">
        <w:rPr>
          <w:noProof/>
        </w:rPr>
        <w:t xml:space="preserve"> the </w:t>
      </w:r>
      <w:r w:rsidR="009A582E">
        <w:rPr>
          <w:noProof/>
        </w:rPr>
        <w:t xml:space="preserve">Committee of </w:t>
      </w:r>
      <w:r w:rsidR="008E0AD5">
        <w:rPr>
          <w:noProof/>
        </w:rPr>
        <w:t>T</w:t>
      </w:r>
      <w:r w:rsidR="009A582E">
        <w:rPr>
          <w:noProof/>
        </w:rPr>
        <w:t xml:space="preserve">echnical </w:t>
      </w:r>
      <w:r w:rsidR="008E0AD5">
        <w:rPr>
          <w:noProof/>
        </w:rPr>
        <w:t>E</w:t>
      </w:r>
      <w:r w:rsidR="009A582E">
        <w:rPr>
          <w:noProof/>
        </w:rPr>
        <w:t>xperts</w:t>
      </w:r>
      <w:r w:rsidR="00192054">
        <w:rPr>
          <w:noProof/>
        </w:rPr>
        <w:t xml:space="preserve"> (CTE)</w:t>
      </w:r>
      <w:r w:rsidR="006F4A32" w:rsidRPr="00002DD5">
        <w:rPr>
          <w:noProof/>
        </w:rPr>
        <w:t xml:space="preserve"> of the Convention concerning </w:t>
      </w:r>
      <w:r w:rsidR="008E0AD5">
        <w:rPr>
          <w:noProof/>
        </w:rPr>
        <w:t>I</w:t>
      </w:r>
      <w:r w:rsidR="006F4A32" w:rsidRPr="00002DD5">
        <w:rPr>
          <w:noProof/>
        </w:rPr>
        <w:t xml:space="preserve">nternational </w:t>
      </w:r>
      <w:r w:rsidR="008E0AD5">
        <w:rPr>
          <w:noProof/>
        </w:rPr>
        <w:t>C</w:t>
      </w:r>
      <w:r w:rsidR="006F4A32" w:rsidRPr="00002DD5">
        <w:rPr>
          <w:noProof/>
        </w:rPr>
        <w:t xml:space="preserve">arriage by </w:t>
      </w:r>
      <w:r w:rsidR="008E0AD5">
        <w:rPr>
          <w:noProof/>
        </w:rPr>
        <w:t>R</w:t>
      </w:r>
      <w:r w:rsidR="006F4A32" w:rsidRPr="00002DD5">
        <w:rPr>
          <w:noProof/>
        </w:rPr>
        <w:t>ail of 9 May 1980</w:t>
      </w:r>
      <w:r w:rsidR="00D44F0F" w:rsidRPr="00002DD5">
        <w:rPr>
          <w:noProof/>
        </w:rPr>
        <w:t xml:space="preserve"> </w:t>
      </w:r>
      <w:r w:rsidR="008D3C01" w:rsidRPr="00002DD5">
        <w:rPr>
          <w:noProof/>
        </w:rPr>
        <w:t xml:space="preserve">on </w:t>
      </w:r>
      <w:r w:rsidR="00D44F0F" w:rsidRPr="00002DD5">
        <w:rPr>
          <w:noProof/>
        </w:rPr>
        <w:t>the</w:t>
      </w:r>
      <w:r w:rsidR="00152024" w:rsidRPr="00002DD5">
        <w:rPr>
          <w:noProof/>
        </w:rPr>
        <w:t xml:space="preserve"> </w:t>
      </w:r>
      <w:r w:rsidR="00726710">
        <w:rPr>
          <w:noProof/>
        </w:rPr>
        <w:t>m</w:t>
      </w:r>
      <w:r w:rsidR="00726710" w:rsidRPr="00726710">
        <w:rPr>
          <w:noProof/>
        </w:rPr>
        <w:t xml:space="preserve">odification of </w:t>
      </w:r>
      <w:r w:rsidR="00726710">
        <w:rPr>
          <w:noProof/>
        </w:rPr>
        <w:t>its</w:t>
      </w:r>
      <w:r w:rsidR="00726710" w:rsidRPr="00726710">
        <w:rPr>
          <w:noProof/>
        </w:rPr>
        <w:t xml:space="preserve"> Rules of Procedure</w:t>
      </w:r>
      <w:r w:rsidR="00726710">
        <w:rPr>
          <w:noProof/>
        </w:rPr>
        <w:t>, on the</w:t>
      </w:r>
      <w:r w:rsidR="00726710" w:rsidRPr="00726710">
        <w:rPr>
          <w:noProof/>
        </w:rPr>
        <w:t xml:space="preserve"> </w:t>
      </w:r>
      <w:r w:rsidR="00152024" w:rsidRPr="00002DD5">
        <w:rPr>
          <w:noProof/>
        </w:rPr>
        <w:t xml:space="preserve">revision of the </w:t>
      </w:r>
      <w:r w:rsidR="00A67817">
        <w:rPr>
          <w:noProof/>
        </w:rPr>
        <w:t>U</w:t>
      </w:r>
      <w:r w:rsidR="0070069A">
        <w:rPr>
          <w:noProof/>
        </w:rPr>
        <w:t xml:space="preserve">niform </w:t>
      </w:r>
      <w:r w:rsidR="00A67817">
        <w:rPr>
          <w:noProof/>
        </w:rPr>
        <w:t>T</w:t>
      </w:r>
      <w:r w:rsidR="0070069A">
        <w:rPr>
          <w:noProof/>
        </w:rPr>
        <w:t xml:space="preserve">echnical </w:t>
      </w:r>
      <w:r w:rsidR="00A67817">
        <w:rPr>
          <w:noProof/>
        </w:rPr>
        <w:t>P</w:t>
      </w:r>
      <w:r w:rsidR="0070069A">
        <w:rPr>
          <w:noProof/>
        </w:rPr>
        <w:t>rescriptions</w:t>
      </w:r>
      <w:r w:rsidR="00A67817">
        <w:rPr>
          <w:noProof/>
        </w:rPr>
        <w:t xml:space="preserve"> applicable to the subsystem “rolling</w:t>
      </w:r>
      <w:r w:rsidR="00D0133B">
        <w:rPr>
          <w:noProof/>
        </w:rPr>
        <w:t xml:space="preserve"> stock – freight wagons”</w:t>
      </w:r>
      <w:r w:rsidR="0070069A">
        <w:rPr>
          <w:noProof/>
        </w:rPr>
        <w:t xml:space="preserve"> (UTP WAG)</w:t>
      </w:r>
      <w:r w:rsidR="00D0133B">
        <w:rPr>
          <w:noProof/>
        </w:rPr>
        <w:t xml:space="preserve">, of the </w:t>
      </w:r>
      <w:r w:rsidR="0070069A" w:rsidRPr="0070069A">
        <w:rPr>
          <w:noProof/>
        </w:rPr>
        <w:t>Uniform Technical Prescriptions</w:t>
      </w:r>
      <w:r w:rsidR="00DE7A36" w:rsidRPr="00002DD5">
        <w:rPr>
          <w:noProof/>
        </w:rPr>
        <w:t xml:space="preserve"> applicable to the subsystem “rolling stock – locomotives and passenger rolling stock”</w:t>
      </w:r>
      <w:r w:rsidR="0070069A">
        <w:rPr>
          <w:noProof/>
        </w:rPr>
        <w:t xml:space="preserve"> (</w:t>
      </w:r>
      <w:r w:rsidR="0070069A" w:rsidRPr="0070069A">
        <w:rPr>
          <w:noProof/>
        </w:rPr>
        <w:t>UTP LOC&amp;PAS</w:t>
      </w:r>
      <w:r w:rsidR="0070069A">
        <w:rPr>
          <w:noProof/>
        </w:rPr>
        <w:t>)</w:t>
      </w:r>
      <w:r w:rsidR="00152024" w:rsidRPr="00002DD5">
        <w:rPr>
          <w:noProof/>
        </w:rPr>
        <w:t xml:space="preserve">, </w:t>
      </w:r>
      <w:r w:rsidR="00917273">
        <w:rPr>
          <w:noProof/>
        </w:rPr>
        <w:t xml:space="preserve">on the adoption of an Annex C to </w:t>
      </w:r>
      <w:r w:rsidR="00D0133B">
        <w:rPr>
          <w:noProof/>
        </w:rPr>
        <w:t xml:space="preserve">the </w:t>
      </w:r>
      <w:r w:rsidR="00917273" w:rsidRPr="00917273">
        <w:rPr>
          <w:noProof/>
        </w:rPr>
        <w:t>Uniform Rules concerning the Technical Admission of Railway Material used in International Traffic (ATMF UR)</w:t>
      </w:r>
      <w:r w:rsidR="00917273">
        <w:rPr>
          <w:noProof/>
        </w:rPr>
        <w:t xml:space="preserve"> </w:t>
      </w:r>
      <w:r w:rsidR="006176E1">
        <w:rPr>
          <w:noProof/>
        </w:rPr>
        <w:t>on</w:t>
      </w:r>
      <w:r w:rsidR="00917273">
        <w:rPr>
          <w:noProof/>
        </w:rPr>
        <w:t xml:space="preserve"> a</w:t>
      </w:r>
      <w:r w:rsidR="005635F2">
        <w:rPr>
          <w:noProof/>
        </w:rPr>
        <w:t xml:space="preserve"> </w:t>
      </w:r>
      <w:r w:rsidR="00D0133B" w:rsidRPr="00D0133B">
        <w:rPr>
          <w:noProof/>
        </w:rPr>
        <w:t>Uniform format of certificates</w:t>
      </w:r>
      <w:r w:rsidR="005635F2">
        <w:rPr>
          <w:noProof/>
        </w:rPr>
        <w:t>,</w:t>
      </w:r>
      <w:r w:rsidR="006176E1">
        <w:rPr>
          <w:noProof/>
        </w:rPr>
        <w:t xml:space="preserve"> on a modification of </w:t>
      </w:r>
      <w:r w:rsidR="00210CE9" w:rsidRPr="00002DD5">
        <w:rPr>
          <w:noProof/>
        </w:rPr>
        <w:t xml:space="preserve">Appendix I of </w:t>
      </w:r>
      <w:r w:rsidR="006176E1">
        <w:rPr>
          <w:noProof/>
        </w:rPr>
        <w:t xml:space="preserve">the Uniform Technical Prescriptions </w:t>
      </w:r>
      <w:r w:rsidR="006176E1" w:rsidRPr="006176E1">
        <w:rPr>
          <w:noProof/>
        </w:rPr>
        <w:t xml:space="preserve">applicable to the subsystem “Telematics </w:t>
      </w:r>
      <w:r w:rsidR="006176E1" w:rsidRPr="006176E1">
        <w:rPr>
          <w:noProof/>
        </w:rPr>
        <w:lastRenderedPageBreak/>
        <w:t>applications for freight services” (</w:t>
      </w:r>
      <w:r w:rsidR="00210CE9" w:rsidRPr="00002DD5">
        <w:rPr>
          <w:noProof/>
        </w:rPr>
        <w:t>UTP TAF</w:t>
      </w:r>
      <w:r w:rsidR="006176E1">
        <w:rPr>
          <w:noProof/>
        </w:rPr>
        <w:t>)</w:t>
      </w:r>
      <w:r w:rsidR="00726710">
        <w:rPr>
          <w:noProof/>
        </w:rPr>
        <w:t>,</w:t>
      </w:r>
      <w:r w:rsidR="00CA7082" w:rsidRPr="00002DD5">
        <w:rPr>
          <w:noProof/>
        </w:rPr>
        <w:t xml:space="preserve"> </w:t>
      </w:r>
      <w:r w:rsidR="00E94900" w:rsidRPr="00002DD5">
        <w:rPr>
          <w:noProof/>
        </w:rPr>
        <w:t>and o</w:t>
      </w:r>
      <w:r w:rsidR="006176E1">
        <w:rPr>
          <w:noProof/>
        </w:rPr>
        <w:t>n an update of</w:t>
      </w:r>
      <w:r w:rsidR="00E94900" w:rsidRPr="00002DD5">
        <w:rPr>
          <w:noProof/>
        </w:rPr>
        <w:t xml:space="preserve"> the </w:t>
      </w:r>
      <w:r w:rsidR="006176E1">
        <w:rPr>
          <w:noProof/>
        </w:rPr>
        <w:t>H</w:t>
      </w:r>
      <w:r w:rsidR="00E94900" w:rsidRPr="00002DD5">
        <w:rPr>
          <w:noProof/>
        </w:rPr>
        <w:t xml:space="preserve">andbook for the implementation and application of the APTU and ATMF </w:t>
      </w:r>
      <w:r w:rsidR="002D5523" w:rsidRPr="00002DD5">
        <w:rPr>
          <w:noProof/>
        </w:rPr>
        <w:t xml:space="preserve">shall be the </w:t>
      </w:r>
      <w:r w:rsidR="002D5523" w:rsidRPr="001133B3">
        <w:rPr>
          <w:noProof/>
        </w:rPr>
        <w:t xml:space="preserve">following: </w:t>
      </w:r>
    </w:p>
    <w:p w:rsidR="00FC17D5" w:rsidRPr="001133B3" w:rsidRDefault="00FC17D5" w:rsidP="001B6C4E">
      <w:pPr>
        <w:pStyle w:val="Point0"/>
        <w:rPr>
          <w:noProof/>
        </w:rPr>
      </w:pPr>
      <w:r>
        <w:rPr>
          <w:noProof/>
        </w:rPr>
        <w:t>(1)</w:t>
      </w:r>
      <w:r>
        <w:rPr>
          <w:noProof/>
        </w:rPr>
        <w:tab/>
      </w:r>
      <w:r w:rsidRPr="001133B3">
        <w:rPr>
          <w:noProof/>
        </w:rPr>
        <w:t>to vote in favour of the proposed modification</w:t>
      </w:r>
      <w:r w:rsidR="00643BE8">
        <w:rPr>
          <w:noProof/>
        </w:rPr>
        <w:t>s</w:t>
      </w:r>
      <w:r w:rsidRPr="001133B3">
        <w:rPr>
          <w:noProof/>
        </w:rPr>
        <w:t xml:space="preserve"> </w:t>
      </w:r>
      <w:r w:rsidR="00726710">
        <w:rPr>
          <w:noProof/>
        </w:rPr>
        <w:t>to</w:t>
      </w:r>
      <w:r w:rsidRPr="001133B3">
        <w:rPr>
          <w:noProof/>
        </w:rPr>
        <w:t xml:space="preserve"> the </w:t>
      </w:r>
      <w:r w:rsidR="00643BE8">
        <w:rPr>
          <w:noProof/>
        </w:rPr>
        <w:t>R</w:t>
      </w:r>
      <w:r w:rsidRPr="001133B3">
        <w:rPr>
          <w:noProof/>
        </w:rPr>
        <w:t xml:space="preserve">ules of </w:t>
      </w:r>
      <w:r w:rsidR="00643BE8">
        <w:rPr>
          <w:noProof/>
        </w:rPr>
        <w:t>P</w:t>
      </w:r>
      <w:r w:rsidRPr="001133B3">
        <w:rPr>
          <w:noProof/>
        </w:rPr>
        <w:t xml:space="preserve">rocedure of CTE, as found in the document </w:t>
      </w:r>
      <w:r w:rsidR="00DA5EE0" w:rsidRPr="001133B3">
        <w:rPr>
          <w:noProof/>
        </w:rPr>
        <w:t>TECH-26018-CTE18-4</w:t>
      </w:r>
      <w:r w:rsidR="00B927A6">
        <w:rPr>
          <w:noProof/>
        </w:rPr>
        <w:t>.</w:t>
      </w:r>
      <w:r w:rsidR="00A533D7">
        <w:rPr>
          <w:noProof/>
        </w:rPr>
        <w:t xml:space="preserve"> </w:t>
      </w:r>
      <w:r w:rsidR="00D24245">
        <w:rPr>
          <w:noProof/>
        </w:rPr>
        <w:t>Without prejudice to this</w:t>
      </w:r>
      <w:r w:rsidR="00A1788D">
        <w:rPr>
          <w:noProof/>
        </w:rPr>
        <w:t xml:space="preserve"> position</w:t>
      </w:r>
      <w:r w:rsidR="00D24245">
        <w:rPr>
          <w:noProof/>
        </w:rPr>
        <w:t>, to also</w:t>
      </w:r>
      <w:r w:rsidR="00FD2932">
        <w:rPr>
          <w:noProof/>
        </w:rPr>
        <w:t xml:space="preserve"> </w:t>
      </w:r>
      <w:r w:rsidR="00A533D7">
        <w:rPr>
          <w:noProof/>
        </w:rPr>
        <w:t>propos</w:t>
      </w:r>
      <w:r w:rsidR="00B927A6">
        <w:rPr>
          <w:noProof/>
        </w:rPr>
        <w:t>e</w:t>
      </w:r>
      <w:r w:rsidRPr="001133B3">
        <w:rPr>
          <w:noProof/>
        </w:rPr>
        <w:t xml:space="preserve"> the following amendment:</w:t>
      </w:r>
    </w:p>
    <w:p w:rsidR="00FC17D5" w:rsidRPr="001133B3" w:rsidRDefault="001133B3" w:rsidP="009C5945">
      <w:pPr>
        <w:pStyle w:val="Point1"/>
        <w:rPr>
          <w:noProof/>
        </w:rPr>
      </w:pPr>
      <w:r>
        <w:rPr>
          <w:noProof/>
        </w:rPr>
        <w:t>(a)</w:t>
      </w:r>
      <w:r>
        <w:rPr>
          <w:noProof/>
        </w:rPr>
        <w:tab/>
      </w:r>
      <w:r w:rsidRPr="001133B3">
        <w:rPr>
          <w:noProof/>
        </w:rPr>
        <w:t>In Article 9</w:t>
      </w:r>
      <w:r w:rsidR="003D2C4E">
        <w:rPr>
          <w:noProof/>
        </w:rPr>
        <w:t>(</w:t>
      </w:r>
      <w:r w:rsidRPr="001133B3">
        <w:rPr>
          <w:noProof/>
        </w:rPr>
        <w:t>3</w:t>
      </w:r>
      <w:r w:rsidR="003D2C4E">
        <w:rPr>
          <w:noProof/>
        </w:rPr>
        <w:t>)</w:t>
      </w:r>
      <w:r w:rsidRPr="001133B3">
        <w:rPr>
          <w:noProof/>
        </w:rPr>
        <w:t xml:space="preserve">, </w:t>
      </w:r>
      <w:r w:rsidR="00CA239F">
        <w:rPr>
          <w:noProof/>
        </w:rPr>
        <w:t xml:space="preserve">replace </w:t>
      </w:r>
      <w:r w:rsidRPr="001133B3">
        <w:rPr>
          <w:noProof/>
        </w:rPr>
        <w:t xml:space="preserve">“8 </w:t>
      </w:r>
      <w:r w:rsidRPr="00CE5303">
        <w:rPr>
          <w:noProof/>
        </w:rPr>
        <w:t>weeks” by “12 weeks”</w:t>
      </w:r>
      <w:r w:rsidR="00CA239F" w:rsidRPr="00CE5303">
        <w:rPr>
          <w:noProof/>
        </w:rPr>
        <w:t>;</w:t>
      </w:r>
    </w:p>
    <w:p w:rsidR="005635F2" w:rsidRPr="00D37B7B" w:rsidRDefault="005635F2" w:rsidP="005635F2">
      <w:pPr>
        <w:pStyle w:val="Point0"/>
        <w:rPr>
          <w:noProof/>
        </w:rPr>
      </w:pPr>
      <w:r>
        <w:rPr>
          <w:noProof/>
        </w:rPr>
        <w:t>(2)</w:t>
      </w:r>
      <w:r>
        <w:rPr>
          <w:noProof/>
        </w:rPr>
        <w:tab/>
      </w:r>
      <w:r w:rsidRPr="00AC3A81">
        <w:rPr>
          <w:noProof/>
        </w:rPr>
        <w:t>to vote in favour of the proposed revision of UTP WAG</w:t>
      </w:r>
      <w:r w:rsidR="00046ADE" w:rsidRPr="00AC3A81">
        <w:rPr>
          <w:noProof/>
        </w:rPr>
        <w:t xml:space="preserve">, as found in </w:t>
      </w:r>
      <w:r w:rsidR="00086DBF" w:rsidRPr="00AC3A81">
        <w:rPr>
          <w:noProof/>
        </w:rPr>
        <w:t xml:space="preserve">Annex 2 to </w:t>
      </w:r>
      <w:r w:rsidR="00046ADE" w:rsidRPr="00AC3A81">
        <w:rPr>
          <w:noProof/>
        </w:rPr>
        <w:t xml:space="preserve">the </w:t>
      </w:r>
      <w:r w:rsidR="00046ADE" w:rsidRPr="00D37B7B">
        <w:rPr>
          <w:noProof/>
        </w:rPr>
        <w:t xml:space="preserve">document </w:t>
      </w:r>
      <w:r w:rsidR="00086DBF" w:rsidRPr="00D37B7B">
        <w:rPr>
          <w:noProof/>
        </w:rPr>
        <w:t>TECH-26003-CTE18-5.1</w:t>
      </w:r>
      <w:r w:rsidR="00046ADE" w:rsidRPr="00D37B7B">
        <w:rPr>
          <w:noProof/>
        </w:rPr>
        <w:t>, subject to the following amendments:</w:t>
      </w:r>
    </w:p>
    <w:p w:rsidR="00AC3A81" w:rsidRPr="00D37B7B" w:rsidRDefault="000E4833" w:rsidP="00046ADE">
      <w:pPr>
        <w:pStyle w:val="Point1"/>
        <w:rPr>
          <w:noProof/>
        </w:rPr>
      </w:pPr>
      <w:r>
        <w:rPr>
          <w:noProof/>
        </w:rPr>
        <w:t>(a)</w:t>
      </w:r>
      <w:r>
        <w:rPr>
          <w:noProof/>
        </w:rPr>
        <w:tab/>
      </w:r>
      <w:r w:rsidRPr="00D37B7B">
        <w:rPr>
          <w:noProof/>
        </w:rPr>
        <w:t>in point 4.2.6.1.2.1</w:t>
      </w:r>
      <w:r w:rsidR="00793ACF" w:rsidRPr="00D37B7B">
        <w:rPr>
          <w:noProof/>
        </w:rPr>
        <w:t>,</w:t>
      </w:r>
      <w:r w:rsidR="00AC3A81" w:rsidRPr="00D37B7B">
        <w:rPr>
          <w:noProof/>
        </w:rPr>
        <w:t xml:space="preserve"> delete</w:t>
      </w:r>
      <w:r w:rsidR="00793ACF" w:rsidRPr="00D37B7B">
        <w:rPr>
          <w:noProof/>
        </w:rPr>
        <w:t xml:space="preserve"> the two introductory paragraphs</w:t>
      </w:r>
      <w:r w:rsidR="00AC3A81" w:rsidRPr="00D37B7B">
        <w:rPr>
          <w:noProof/>
        </w:rPr>
        <w:t>;</w:t>
      </w:r>
    </w:p>
    <w:p w:rsidR="007B557B" w:rsidRPr="00D37B7B" w:rsidRDefault="00793ACF" w:rsidP="00AC49BE">
      <w:pPr>
        <w:pStyle w:val="Point1"/>
        <w:rPr>
          <w:noProof/>
        </w:rPr>
      </w:pPr>
      <w:r>
        <w:rPr>
          <w:noProof/>
        </w:rPr>
        <w:t>(b)</w:t>
      </w:r>
      <w:r>
        <w:rPr>
          <w:noProof/>
        </w:rPr>
        <w:tab/>
      </w:r>
      <w:r w:rsidRPr="00D37B7B">
        <w:rPr>
          <w:noProof/>
        </w:rPr>
        <w:t>i</w:t>
      </w:r>
      <w:r w:rsidR="007B557B" w:rsidRPr="00D37B7B">
        <w:rPr>
          <w:noProof/>
        </w:rPr>
        <w:t xml:space="preserve">n point 5.3.6, </w:t>
      </w:r>
      <w:r w:rsidRPr="00D37B7B">
        <w:rPr>
          <w:noProof/>
        </w:rPr>
        <w:t xml:space="preserve">replace </w:t>
      </w:r>
      <w:r w:rsidR="007B557B" w:rsidRPr="00D37B7B">
        <w:rPr>
          <w:noProof/>
        </w:rPr>
        <w:t>the first paragraph by:</w:t>
      </w:r>
    </w:p>
    <w:p w:rsidR="002E51F3" w:rsidRPr="00D37B7B" w:rsidRDefault="00793ACF" w:rsidP="002E51F3">
      <w:pPr>
        <w:pStyle w:val="Point2"/>
        <w:ind w:left="1418" w:firstLine="0"/>
        <w:rPr>
          <w:noProof/>
        </w:rPr>
      </w:pPr>
      <w:r w:rsidRPr="00D37B7B">
        <w:rPr>
          <w:noProof/>
        </w:rPr>
        <w:t>“</w:t>
      </w:r>
      <w:r w:rsidR="002E51F3" w:rsidRPr="00D37B7B">
        <w:rPr>
          <w:noProof/>
        </w:rPr>
        <w:t xml:space="preserve">Devices to secure semi-trailers shall be designed and assessed for </w:t>
      </w:r>
      <w:r w:rsidR="00EA3CC9" w:rsidRPr="00D37B7B">
        <w:rPr>
          <w:noProof/>
        </w:rPr>
        <w:t>each</w:t>
      </w:r>
      <w:r w:rsidR="00A5572E" w:rsidRPr="00D37B7B">
        <w:rPr>
          <w:noProof/>
        </w:rPr>
        <w:t xml:space="preserve"> of</w:t>
      </w:r>
      <w:r w:rsidR="002E51F3" w:rsidRPr="00D37B7B">
        <w:rPr>
          <w:noProof/>
        </w:rPr>
        <w:t xml:space="preserve"> the following conditions of use:</w:t>
      </w:r>
    </w:p>
    <w:p w:rsidR="002E51F3" w:rsidRPr="00D37B7B" w:rsidRDefault="002E51F3" w:rsidP="002E51F3">
      <w:pPr>
        <w:pStyle w:val="Point2"/>
        <w:rPr>
          <w:noProof/>
        </w:rPr>
      </w:pPr>
      <w:r w:rsidRPr="00D37B7B">
        <w:rPr>
          <w:noProof/>
        </w:rPr>
        <w:t>— compatible semi-trailers for which the device is intended</w:t>
      </w:r>
      <w:r w:rsidR="00A5572E" w:rsidRPr="00D37B7B">
        <w:rPr>
          <w:noProof/>
        </w:rPr>
        <w:t>;</w:t>
      </w:r>
    </w:p>
    <w:p w:rsidR="00046ADE" w:rsidRPr="00D37B7B" w:rsidRDefault="002E51F3" w:rsidP="002E51F3">
      <w:pPr>
        <w:pStyle w:val="Point2"/>
        <w:rPr>
          <w:noProof/>
        </w:rPr>
      </w:pPr>
      <w:r w:rsidRPr="00D37B7B">
        <w:rPr>
          <w:noProof/>
        </w:rPr>
        <w:t>— compatible unit interface on which the device can be safely mounted</w:t>
      </w:r>
      <w:r w:rsidR="00793ACF" w:rsidRPr="00D37B7B">
        <w:rPr>
          <w:noProof/>
        </w:rPr>
        <w:t>”</w:t>
      </w:r>
      <w:r w:rsidR="00B866ED" w:rsidRPr="00D37B7B">
        <w:rPr>
          <w:noProof/>
        </w:rPr>
        <w:t>.</w:t>
      </w:r>
    </w:p>
    <w:p w:rsidR="00C732FB" w:rsidRPr="00774105" w:rsidRDefault="00D16ED0" w:rsidP="005635F2">
      <w:pPr>
        <w:pStyle w:val="Point0"/>
        <w:rPr>
          <w:noProof/>
        </w:rPr>
      </w:pPr>
      <w:r>
        <w:rPr>
          <w:noProof/>
        </w:rPr>
        <w:t>(3)</w:t>
      </w:r>
      <w:r>
        <w:rPr>
          <w:noProof/>
        </w:rPr>
        <w:tab/>
      </w:r>
      <w:r w:rsidRPr="00D37B7B">
        <w:rPr>
          <w:noProof/>
        </w:rPr>
        <w:t xml:space="preserve">to vote in favour of the proposed </w:t>
      </w:r>
      <w:r w:rsidR="000E76A2" w:rsidRPr="00D37B7B">
        <w:rPr>
          <w:noProof/>
        </w:rPr>
        <w:t xml:space="preserve">revision of </w:t>
      </w:r>
      <w:r w:rsidRPr="00D37B7B">
        <w:rPr>
          <w:noProof/>
        </w:rPr>
        <w:t xml:space="preserve">UTP </w:t>
      </w:r>
      <w:r w:rsidR="0026331D" w:rsidRPr="00D37B7B">
        <w:rPr>
          <w:noProof/>
        </w:rPr>
        <w:t>LOC&amp;PAS</w:t>
      </w:r>
      <w:r w:rsidR="00152024" w:rsidRPr="00D37B7B">
        <w:rPr>
          <w:noProof/>
        </w:rPr>
        <w:t>,</w:t>
      </w:r>
      <w:r w:rsidR="000E76A2" w:rsidRPr="00D37B7B">
        <w:rPr>
          <w:noProof/>
        </w:rPr>
        <w:t xml:space="preserve"> </w:t>
      </w:r>
      <w:r w:rsidRPr="00D37B7B">
        <w:rPr>
          <w:noProof/>
        </w:rPr>
        <w:t>as found in</w:t>
      </w:r>
      <w:r w:rsidR="00086DBF" w:rsidRPr="00D37B7B">
        <w:rPr>
          <w:noProof/>
        </w:rPr>
        <w:t xml:space="preserve"> Annex 2 to</w:t>
      </w:r>
      <w:r w:rsidRPr="00D37B7B">
        <w:rPr>
          <w:noProof/>
        </w:rPr>
        <w:t xml:space="preserve"> the </w:t>
      </w:r>
      <w:r w:rsidR="00B866ED" w:rsidRPr="00D37B7B">
        <w:rPr>
          <w:noProof/>
        </w:rPr>
        <w:t>document</w:t>
      </w:r>
      <w:r w:rsidRPr="00D37B7B">
        <w:rPr>
          <w:noProof/>
        </w:rPr>
        <w:t xml:space="preserve"> </w:t>
      </w:r>
      <w:r w:rsidR="00086DBF" w:rsidRPr="00D37B7B">
        <w:rPr>
          <w:noProof/>
        </w:rPr>
        <w:t>TECH-26004-CTE18-5.2</w:t>
      </w:r>
      <w:r w:rsidR="00C732FB" w:rsidRPr="00D37B7B">
        <w:rPr>
          <w:noProof/>
        </w:rPr>
        <w:t>, subject to</w:t>
      </w:r>
      <w:r w:rsidR="00C732FB" w:rsidRPr="00774105">
        <w:rPr>
          <w:noProof/>
        </w:rPr>
        <w:t xml:space="preserve"> the following amendment:</w:t>
      </w:r>
    </w:p>
    <w:p w:rsidR="006F0586" w:rsidRPr="00774105" w:rsidRDefault="005513C9" w:rsidP="00F42971">
      <w:pPr>
        <w:pStyle w:val="Point1"/>
        <w:rPr>
          <w:noProof/>
        </w:rPr>
      </w:pPr>
      <w:r>
        <w:rPr>
          <w:noProof/>
        </w:rPr>
        <w:t>(a)</w:t>
      </w:r>
      <w:r>
        <w:rPr>
          <w:noProof/>
        </w:rPr>
        <w:tab/>
      </w:r>
      <w:r w:rsidRPr="00774105">
        <w:rPr>
          <w:noProof/>
        </w:rPr>
        <w:t xml:space="preserve">in point </w:t>
      </w:r>
      <w:r w:rsidR="00231115" w:rsidRPr="00774105">
        <w:rPr>
          <w:noProof/>
        </w:rPr>
        <w:t xml:space="preserve">7.1.1.6.1, </w:t>
      </w:r>
      <w:r w:rsidR="00BE66BE">
        <w:rPr>
          <w:noProof/>
        </w:rPr>
        <w:t xml:space="preserve">replace </w:t>
      </w:r>
      <w:r w:rsidR="00231115" w:rsidRPr="00774105">
        <w:rPr>
          <w:noProof/>
        </w:rPr>
        <w:t xml:space="preserve">point (12) </w:t>
      </w:r>
      <w:r w:rsidR="00F42971" w:rsidRPr="00774105">
        <w:rPr>
          <w:noProof/>
        </w:rPr>
        <w:t>by “</w:t>
      </w:r>
      <w:r w:rsidR="007C3F34" w:rsidRPr="00774105">
        <w:rPr>
          <w:noProof/>
        </w:rPr>
        <w:t>The unit shall be equipped with self-rescue devices for all persons on board, satisfying the specifications</w:t>
      </w:r>
      <w:r w:rsidR="00774105" w:rsidRPr="00774105">
        <w:rPr>
          <w:noProof/>
        </w:rPr>
        <w:t xml:space="preserve"> of EN 13794:2002 and either EN 402:2003 or EN 403:2004</w:t>
      </w:r>
      <w:r w:rsidR="00F42971" w:rsidRPr="00774105">
        <w:rPr>
          <w:noProof/>
        </w:rPr>
        <w:t>”</w:t>
      </w:r>
      <w:r w:rsidR="00B866ED" w:rsidRPr="00774105">
        <w:rPr>
          <w:noProof/>
        </w:rPr>
        <w:t>.</w:t>
      </w:r>
    </w:p>
    <w:p w:rsidR="00D07B14" w:rsidRDefault="00F030A5" w:rsidP="00E51110">
      <w:pPr>
        <w:pStyle w:val="Point0"/>
        <w:rPr>
          <w:noProof/>
        </w:rPr>
      </w:pPr>
      <w:r>
        <w:rPr>
          <w:noProof/>
        </w:rPr>
        <w:t>(4)</w:t>
      </w:r>
      <w:r>
        <w:rPr>
          <w:noProof/>
        </w:rPr>
        <w:tab/>
      </w:r>
      <w:r w:rsidRPr="008C5D28">
        <w:rPr>
          <w:noProof/>
        </w:rPr>
        <w:t xml:space="preserve">to vote </w:t>
      </w:r>
      <w:r w:rsidR="006D5678">
        <w:rPr>
          <w:noProof/>
        </w:rPr>
        <w:t xml:space="preserve">against </w:t>
      </w:r>
      <w:r w:rsidRPr="008C5D28">
        <w:rPr>
          <w:noProof/>
        </w:rPr>
        <w:t>the propos</w:t>
      </w:r>
      <w:r>
        <w:rPr>
          <w:noProof/>
        </w:rPr>
        <w:t>ed</w:t>
      </w:r>
      <w:r w:rsidRPr="008C5D28">
        <w:rPr>
          <w:noProof/>
        </w:rPr>
        <w:t xml:space="preserve"> </w:t>
      </w:r>
      <w:r w:rsidR="00443C98" w:rsidRPr="00443C98">
        <w:rPr>
          <w:noProof/>
        </w:rPr>
        <w:t>adoption of an Annex C to</w:t>
      </w:r>
      <w:r w:rsidR="00443C98">
        <w:rPr>
          <w:noProof/>
        </w:rPr>
        <w:t xml:space="preserve"> ATMF on a</w:t>
      </w:r>
      <w:r>
        <w:rPr>
          <w:noProof/>
        </w:rPr>
        <w:t xml:space="preserve"> </w:t>
      </w:r>
      <w:r w:rsidRPr="00F030A5">
        <w:rPr>
          <w:noProof/>
        </w:rPr>
        <w:t>Uniform format of certificates</w:t>
      </w:r>
      <w:r w:rsidRPr="008C5D28">
        <w:rPr>
          <w:noProof/>
        </w:rPr>
        <w:t xml:space="preserve">, as found in the document </w:t>
      </w:r>
      <w:r w:rsidR="00E51110" w:rsidRPr="00E51110">
        <w:rPr>
          <w:noProof/>
        </w:rPr>
        <w:t>TECH-26005-CTE18-5.3</w:t>
      </w:r>
      <w:r w:rsidR="004D5FC5">
        <w:rPr>
          <w:noProof/>
        </w:rPr>
        <w:t xml:space="preserve">, </w:t>
      </w:r>
      <w:r w:rsidR="004D5FC5" w:rsidRPr="004D5FC5">
        <w:rPr>
          <w:noProof/>
        </w:rPr>
        <w:t xml:space="preserve">and </w:t>
      </w:r>
      <w:r w:rsidR="004D5FC5">
        <w:rPr>
          <w:noProof/>
        </w:rPr>
        <w:t xml:space="preserve">to </w:t>
      </w:r>
      <w:r w:rsidR="004D5FC5" w:rsidRPr="004D5FC5">
        <w:rPr>
          <w:noProof/>
        </w:rPr>
        <w:t>request further work of the standing working group of the CTE (WG TECH)</w:t>
      </w:r>
      <w:r w:rsidR="004D5FC5">
        <w:rPr>
          <w:noProof/>
        </w:rPr>
        <w:t xml:space="preserve"> </w:t>
      </w:r>
      <w:r w:rsidR="004D5FC5" w:rsidRPr="004D5FC5">
        <w:rPr>
          <w:noProof/>
        </w:rPr>
        <w:t>on the matter, so as to ensure alignment with the relevant EU acquis</w:t>
      </w:r>
      <w:r w:rsidR="00D07B14">
        <w:rPr>
          <w:noProof/>
        </w:rPr>
        <w:t>.</w:t>
      </w:r>
    </w:p>
    <w:p w:rsidR="00340AA7" w:rsidRPr="00133C65" w:rsidRDefault="009434FE" w:rsidP="00E51110">
      <w:pPr>
        <w:pStyle w:val="Point0"/>
        <w:rPr>
          <w:noProof/>
        </w:rPr>
      </w:pPr>
      <w:r>
        <w:rPr>
          <w:noProof/>
        </w:rPr>
        <w:t>(5)</w:t>
      </w:r>
      <w:r>
        <w:rPr>
          <w:noProof/>
        </w:rPr>
        <w:tab/>
      </w:r>
      <w:r w:rsidRPr="008C5D28">
        <w:rPr>
          <w:noProof/>
        </w:rPr>
        <w:t xml:space="preserve">to vote in favour of the </w:t>
      </w:r>
      <w:r w:rsidR="00F030A5">
        <w:rPr>
          <w:noProof/>
        </w:rPr>
        <w:t>proposed</w:t>
      </w:r>
      <w:r w:rsidRPr="008C5D28">
        <w:rPr>
          <w:noProof/>
        </w:rPr>
        <w:t xml:space="preserve"> </w:t>
      </w:r>
      <w:r w:rsidR="004F0D09">
        <w:rPr>
          <w:noProof/>
        </w:rPr>
        <w:t>modification of</w:t>
      </w:r>
      <w:r w:rsidRPr="008C5D28">
        <w:rPr>
          <w:noProof/>
        </w:rPr>
        <w:t xml:space="preserve"> Appendix I of UTP TAF, as found </w:t>
      </w:r>
      <w:r w:rsidRPr="00133C65">
        <w:rPr>
          <w:noProof/>
        </w:rPr>
        <w:t xml:space="preserve">in the </w:t>
      </w:r>
      <w:r w:rsidR="008C5D28" w:rsidRPr="00133C65">
        <w:rPr>
          <w:noProof/>
        </w:rPr>
        <w:t>d</w:t>
      </w:r>
      <w:r w:rsidRPr="00133C65">
        <w:rPr>
          <w:noProof/>
        </w:rPr>
        <w:t xml:space="preserve">ocument </w:t>
      </w:r>
      <w:r w:rsidR="00E51110" w:rsidRPr="00133C65">
        <w:rPr>
          <w:noProof/>
        </w:rPr>
        <w:t>TECH-26006-CTE18-5.4</w:t>
      </w:r>
      <w:r w:rsidR="00A9631C" w:rsidRPr="00133C65">
        <w:rPr>
          <w:noProof/>
        </w:rPr>
        <w:t>.</w:t>
      </w:r>
    </w:p>
    <w:p w:rsidR="00340AA7" w:rsidRDefault="004439C2" w:rsidP="00340AA7">
      <w:pPr>
        <w:pStyle w:val="Point0"/>
        <w:rPr>
          <w:noProof/>
        </w:rPr>
      </w:pPr>
      <w:r>
        <w:rPr>
          <w:noProof/>
        </w:rPr>
        <w:t>(6)</w:t>
      </w:r>
      <w:r>
        <w:rPr>
          <w:noProof/>
        </w:rPr>
        <w:tab/>
      </w:r>
      <w:r w:rsidRPr="00133C65">
        <w:rPr>
          <w:noProof/>
        </w:rPr>
        <w:t>to vote in favour of the propos</w:t>
      </w:r>
      <w:r w:rsidR="001170EB" w:rsidRPr="00133C65">
        <w:rPr>
          <w:noProof/>
        </w:rPr>
        <w:t>ed u</w:t>
      </w:r>
      <w:r w:rsidR="004D67E8" w:rsidRPr="00133C65">
        <w:rPr>
          <w:noProof/>
        </w:rPr>
        <w:t xml:space="preserve">pdate of the </w:t>
      </w:r>
      <w:r w:rsidR="001170EB" w:rsidRPr="00133C65">
        <w:rPr>
          <w:noProof/>
        </w:rPr>
        <w:t>h</w:t>
      </w:r>
      <w:r w:rsidR="004D67E8" w:rsidRPr="00133C65">
        <w:rPr>
          <w:noProof/>
        </w:rPr>
        <w:t>andbook for the implementation and application of the APTU and ATMF</w:t>
      </w:r>
      <w:r w:rsidRPr="00133C65">
        <w:rPr>
          <w:noProof/>
        </w:rPr>
        <w:t xml:space="preserve">, as found in the </w:t>
      </w:r>
      <w:r w:rsidR="001170EB" w:rsidRPr="00133C65">
        <w:rPr>
          <w:noProof/>
        </w:rPr>
        <w:t>d</w:t>
      </w:r>
      <w:r w:rsidRPr="00133C65">
        <w:rPr>
          <w:noProof/>
        </w:rPr>
        <w:t xml:space="preserve">ocument </w:t>
      </w:r>
      <w:r w:rsidR="000B6F1A" w:rsidRPr="00133C65">
        <w:rPr>
          <w:noProof/>
        </w:rPr>
        <w:t>TECH-26009-CTE18-6.3</w:t>
      </w:r>
      <w:r w:rsidRPr="00133C65">
        <w:rPr>
          <w:noProof/>
        </w:rPr>
        <w:t>, subject to the following amendment</w:t>
      </w:r>
      <w:r w:rsidR="0046747D" w:rsidRPr="00133C65">
        <w:rPr>
          <w:noProof/>
        </w:rPr>
        <w:t>s</w:t>
      </w:r>
      <w:r w:rsidRPr="00133C65">
        <w:rPr>
          <w:noProof/>
        </w:rPr>
        <w:t>:</w:t>
      </w:r>
    </w:p>
    <w:p w:rsidR="00133C65" w:rsidRDefault="00133C65" w:rsidP="00133C65">
      <w:pPr>
        <w:pStyle w:val="Point1"/>
        <w:rPr>
          <w:noProof/>
        </w:rPr>
      </w:pPr>
      <w:r>
        <w:rPr>
          <w:noProof/>
        </w:rPr>
        <w:t>(a)</w:t>
      </w:r>
      <w:r>
        <w:rPr>
          <w:noProof/>
        </w:rPr>
        <w:tab/>
        <w:t xml:space="preserve">Across the overall text, review </w:t>
      </w:r>
      <w:r w:rsidR="003D2E08">
        <w:rPr>
          <w:noProof/>
        </w:rPr>
        <w:t>the</w:t>
      </w:r>
      <w:r>
        <w:rPr>
          <w:noProof/>
        </w:rPr>
        <w:t xml:space="preserve"> c</w:t>
      </w:r>
      <w:r w:rsidRPr="001B741F">
        <w:rPr>
          <w:noProof/>
        </w:rPr>
        <w:t xml:space="preserve">ross-references </w:t>
      </w:r>
      <w:r>
        <w:rPr>
          <w:noProof/>
        </w:rPr>
        <w:t>between</w:t>
      </w:r>
      <w:r w:rsidRPr="001B741F">
        <w:rPr>
          <w:noProof/>
        </w:rPr>
        <w:t xml:space="preserve"> the</w:t>
      </w:r>
      <w:r>
        <w:rPr>
          <w:noProof/>
        </w:rPr>
        <w:t xml:space="preserve"> different part</w:t>
      </w:r>
      <w:r w:rsidR="003D2E08">
        <w:rPr>
          <w:noProof/>
        </w:rPr>
        <w:t>s</w:t>
      </w:r>
      <w:r>
        <w:rPr>
          <w:noProof/>
        </w:rPr>
        <w:t xml:space="preserve"> of the</w:t>
      </w:r>
      <w:r w:rsidRPr="001B741F">
        <w:rPr>
          <w:noProof/>
        </w:rPr>
        <w:t xml:space="preserve"> Handbook</w:t>
      </w:r>
      <w:r w:rsidR="00A041DC">
        <w:rPr>
          <w:noProof/>
        </w:rPr>
        <w:t>,</w:t>
      </w:r>
      <w:r>
        <w:rPr>
          <w:noProof/>
        </w:rPr>
        <w:t xml:space="preserve"> and align </w:t>
      </w:r>
      <w:r w:rsidR="00A041DC">
        <w:rPr>
          <w:noProof/>
        </w:rPr>
        <w:t>them</w:t>
      </w:r>
      <w:r>
        <w:rPr>
          <w:noProof/>
        </w:rPr>
        <w:t xml:space="preserve"> with </w:t>
      </w:r>
      <w:r w:rsidR="00A041DC">
        <w:rPr>
          <w:noProof/>
        </w:rPr>
        <w:t>the</w:t>
      </w:r>
      <w:r>
        <w:rPr>
          <w:noProof/>
        </w:rPr>
        <w:t xml:space="preserve"> latest table of content</w:t>
      </w:r>
      <w:r w:rsidR="00A041DC">
        <w:rPr>
          <w:noProof/>
        </w:rPr>
        <w:t>s</w:t>
      </w:r>
      <w:r>
        <w:rPr>
          <w:noProof/>
        </w:rPr>
        <w:t>;</w:t>
      </w:r>
    </w:p>
    <w:p w:rsidR="00133C65" w:rsidRDefault="00133C65" w:rsidP="00133C65">
      <w:pPr>
        <w:pStyle w:val="Point1"/>
        <w:rPr>
          <w:noProof/>
        </w:rPr>
      </w:pPr>
      <w:r>
        <w:rPr>
          <w:noProof/>
        </w:rPr>
        <w:t>(b)</w:t>
      </w:r>
      <w:r>
        <w:rPr>
          <w:noProof/>
        </w:rPr>
        <w:tab/>
        <w:t>In</w:t>
      </w:r>
      <w:r w:rsidRPr="001B741F">
        <w:rPr>
          <w:noProof/>
        </w:rPr>
        <w:t xml:space="preserve"> point</w:t>
      </w:r>
      <w:r w:rsidR="00F41DFD">
        <w:rPr>
          <w:noProof/>
        </w:rPr>
        <w:t>s</w:t>
      </w:r>
      <w:r w:rsidRPr="001B741F">
        <w:rPr>
          <w:noProof/>
        </w:rPr>
        <w:t xml:space="preserve"> 112</w:t>
      </w:r>
      <w:r w:rsidR="00F41DFD">
        <w:rPr>
          <w:noProof/>
        </w:rPr>
        <w:t xml:space="preserve"> and 202</w:t>
      </w:r>
      <w:r w:rsidRPr="001B741F">
        <w:rPr>
          <w:noProof/>
        </w:rPr>
        <w:t xml:space="preserve">, </w:t>
      </w:r>
      <w:r>
        <w:rPr>
          <w:noProof/>
        </w:rPr>
        <w:t xml:space="preserve">complete the last sentence by “, </w:t>
      </w:r>
      <w:r w:rsidR="00C376DE" w:rsidRPr="004B5479">
        <w:rPr>
          <w:noProof/>
        </w:rPr>
        <w:t>if so allowed by</w:t>
      </w:r>
      <w:r w:rsidR="00965F6C" w:rsidRPr="004B5479">
        <w:rPr>
          <w:noProof/>
        </w:rPr>
        <w:t xml:space="preserve"> the</w:t>
      </w:r>
      <w:r>
        <w:rPr>
          <w:noProof/>
        </w:rPr>
        <w:t xml:space="preserve"> applicable market related rules</w:t>
      </w:r>
      <w:r w:rsidR="00D65C73" w:rsidRPr="004B5479">
        <w:rPr>
          <w:noProof/>
        </w:rPr>
        <w:t xml:space="preserve"> established at domestic or EU level, as appropriat</w:t>
      </w:r>
      <w:r w:rsidR="00D65C73">
        <w:rPr>
          <w:noProof/>
        </w:rPr>
        <w:t>e</w:t>
      </w:r>
      <w:r>
        <w:rPr>
          <w:noProof/>
        </w:rPr>
        <w:t>.”;</w:t>
      </w:r>
    </w:p>
    <w:p w:rsidR="00F41DFD" w:rsidRDefault="00133C65" w:rsidP="00133C65">
      <w:pPr>
        <w:pStyle w:val="Point1"/>
        <w:rPr>
          <w:noProof/>
        </w:rPr>
      </w:pPr>
      <w:r>
        <w:rPr>
          <w:noProof/>
        </w:rPr>
        <w:t>(c)</w:t>
      </w:r>
      <w:r>
        <w:rPr>
          <w:noProof/>
        </w:rPr>
        <w:tab/>
        <w:t>In point 201, in the third sentence, replace “Vehicles” by “V</w:t>
      </w:r>
      <w:r w:rsidRPr="00C4067B">
        <w:rPr>
          <w:noProof/>
        </w:rPr>
        <w:t>ehicles in international traffic in the scope of the ATMF UR</w:t>
      </w:r>
      <w:r>
        <w:rPr>
          <w:noProof/>
        </w:rPr>
        <w:t>”</w:t>
      </w:r>
      <w:r w:rsidR="00F11D3B">
        <w:rPr>
          <w:noProof/>
        </w:rPr>
        <w:t>.</w:t>
      </w:r>
    </w:p>
    <w:p w:rsidR="00CA3406" w:rsidRPr="00A9631C" w:rsidRDefault="00CA3406" w:rsidP="00615A2D">
      <w:pPr>
        <w:rPr>
          <w:noProof/>
        </w:rPr>
      </w:pPr>
      <w:r w:rsidRPr="00A9631C">
        <w:rPr>
          <w:noProof/>
        </w:rPr>
        <w:t xml:space="preserve">Minor changes </w:t>
      </w:r>
      <w:r w:rsidR="00304D06">
        <w:rPr>
          <w:noProof/>
        </w:rPr>
        <w:t>to the positions expressed</w:t>
      </w:r>
      <w:r w:rsidRPr="00A9631C">
        <w:rPr>
          <w:noProof/>
        </w:rPr>
        <w:t xml:space="preserve"> in this Article </w:t>
      </w:r>
      <w:r w:rsidR="002C6C68" w:rsidRPr="002C6C68">
        <w:rPr>
          <w:noProof/>
        </w:rPr>
        <w:t>may be agreed by the representatives of the Union</w:t>
      </w:r>
      <w:r w:rsidR="002C6C68" w:rsidRPr="002C6C68" w:rsidDel="002C6C68">
        <w:rPr>
          <w:noProof/>
        </w:rPr>
        <w:t xml:space="preserve"> </w:t>
      </w:r>
      <w:r w:rsidR="00170070">
        <w:rPr>
          <w:noProof/>
        </w:rPr>
        <w:t>at the meeting of the CTE</w:t>
      </w:r>
      <w:r w:rsidRPr="00A9631C">
        <w:rPr>
          <w:noProof/>
        </w:rPr>
        <w:t>, without further decision of the Council.</w:t>
      </w:r>
    </w:p>
    <w:p w:rsidR="00DD30F5" w:rsidRPr="00002DD5" w:rsidRDefault="00DD30F5" w:rsidP="00DC4779">
      <w:pPr>
        <w:pStyle w:val="Titrearticle"/>
        <w:rPr>
          <w:noProof/>
        </w:rPr>
      </w:pPr>
      <w:r w:rsidRPr="00002DD5">
        <w:rPr>
          <w:noProof/>
        </w:rPr>
        <w:t xml:space="preserve">Article </w:t>
      </w:r>
      <w:r w:rsidR="006B0986">
        <w:rPr>
          <w:noProof/>
        </w:rPr>
        <w:t>2</w:t>
      </w:r>
    </w:p>
    <w:p w:rsidR="007024FE" w:rsidRPr="00002DD5" w:rsidRDefault="00BA78B9" w:rsidP="007E1523">
      <w:pPr>
        <w:rPr>
          <w:noProof/>
        </w:rPr>
      </w:pPr>
      <w:r>
        <w:rPr>
          <w:noProof/>
        </w:rPr>
        <w:t xml:space="preserve">This Decision </w:t>
      </w:r>
      <w:r w:rsidR="00FC5E32">
        <w:rPr>
          <w:noProof/>
        </w:rPr>
        <w:t>is addressed to the Commission</w:t>
      </w:r>
      <w:r w:rsidR="007024FE">
        <w:rPr>
          <w:noProof/>
        </w:rPr>
        <w:t>.</w:t>
      </w:r>
    </w:p>
    <w:p w:rsidR="0A79FAE1" w:rsidRPr="00340AA7" w:rsidRDefault="0A79FAE1" w:rsidP="00340AA7">
      <w:pPr>
        <w:spacing w:before="360"/>
        <w:jc w:val="center"/>
        <w:rPr>
          <w:i/>
          <w:iCs/>
          <w:noProof/>
        </w:rPr>
      </w:pPr>
      <w:r w:rsidRPr="1B01D696">
        <w:rPr>
          <w:i/>
          <w:iCs/>
          <w:noProof/>
        </w:rPr>
        <w:t>Article 3</w:t>
      </w:r>
    </w:p>
    <w:p w:rsidR="0A79FAE1" w:rsidRDefault="0A79FAE1">
      <w:pPr>
        <w:rPr>
          <w:noProof/>
        </w:rPr>
      </w:pPr>
      <w:r>
        <w:rPr>
          <w:noProof/>
        </w:rPr>
        <w:lastRenderedPageBreak/>
        <w:t>This Decision shall enter into force on the date of its adoption.</w:t>
      </w:r>
    </w:p>
    <w:p w:rsidR="007024FE" w:rsidRPr="00002DD5" w:rsidRDefault="00952F75" w:rsidP="004F2582">
      <w:pPr>
        <w:pStyle w:val="Fait"/>
        <w:rPr>
          <w:noProof/>
        </w:rPr>
      </w:pPr>
      <w:r>
        <w:rPr>
          <w:noProof/>
        </w:rPr>
        <w:t>Done at Brussels,</w:t>
      </w:r>
    </w:p>
    <w:p w:rsidR="007024FE" w:rsidRPr="00002DD5" w:rsidRDefault="007024FE" w:rsidP="004F2582">
      <w:pPr>
        <w:pStyle w:val="Institutionquisigne"/>
        <w:rPr>
          <w:noProof/>
        </w:rPr>
      </w:pPr>
      <w:r w:rsidRPr="00002DD5">
        <w:rPr>
          <w:noProof/>
        </w:rPr>
        <w:tab/>
        <w:t>For the Council</w:t>
      </w:r>
    </w:p>
    <w:p w:rsidR="007024FE" w:rsidRPr="00002DD5" w:rsidRDefault="007024FE" w:rsidP="007024FE">
      <w:pPr>
        <w:pStyle w:val="Personnequisigne"/>
        <w:rPr>
          <w:noProof/>
        </w:rPr>
      </w:pPr>
      <w:r w:rsidRPr="00002DD5">
        <w:rPr>
          <w:noProof/>
        </w:rPr>
        <w:tab/>
        <w:t>The President</w:t>
      </w:r>
    </w:p>
    <w:sectPr w:rsidR="007024FE" w:rsidRPr="00002DD5" w:rsidSect="004168C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5EC" w:rsidRDefault="007355EC" w:rsidP="007024FE">
      <w:pPr>
        <w:spacing w:before="0" w:after="0"/>
      </w:pPr>
      <w:r>
        <w:separator/>
      </w:r>
    </w:p>
  </w:endnote>
  <w:endnote w:type="continuationSeparator" w:id="0">
    <w:p w:rsidR="007355EC" w:rsidRDefault="007355EC" w:rsidP="007024FE">
      <w:pPr>
        <w:spacing w:before="0" w:after="0"/>
      </w:pPr>
      <w:r>
        <w:continuationSeparator/>
      </w:r>
    </w:p>
  </w:endnote>
  <w:endnote w:type="continuationNotice" w:id="1">
    <w:p w:rsidR="007355EC" w:rsidRDefault="007355E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8CF" w:rsidRPr="004168CF" w:rsidRDefault="004168CF" w:rsidP="004168CF">
    <w:pPr>
      <w:pStyle w:val="Footer"/>
      <w:rPr>
        <w:rFonts w:ascii="Arial" w:hAnsi="Arial" w:cs="Arial"/>
        <w:b/>
        <w:sz w:val="48"/>
      </w:rPr>
    </w:pPr>
    <w:r w:rsidRPr="004168CF">
      <w:rPr>
        <w:rFonts w:ascii="Arial" w:hAnsi="Arial" w:cs="Arial"/>
        <w:b/>
        <w:sz w:val="48"/>
      </w:rPr>
      <w:t>EN</w:t>
    </w:r>
    <w:r w:rsidRPr="004168CF">
      <w:rPr>
        <w:rFonts w:ascii="Arial" w:hAnsi="Arial" w:cs="Arial"/>
        <w:b/>
        <w:sz w:val="48"/>
      </w:rPr>
      <w:tab/>
    </w:r>
    <w:r w:rsidRPr="004168CF">
      <w:rPr>
        <w:rFonts w:ascii="Arial" w:hAnsi="Arial" w:cs="Arial"/>
        <w:b/>
        <w:sz w:val="48"/>
      </w:rPr>
      <w:tab/>
    </w:r>
    <w:r w:rsidRPr="004168CF">
      <w:tab/>
    </w:r>
    <w:r w:rsidRPr="004168C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8CF" w:rsidRPr="004168CF" w:rsidRDefault="004168CF" w:rsidP="004168CF">
    <w:pPr>
      <w:pStyle w:val="Footer"/>
      <w:rPr>
        <w:rFonts w:ascii="Arial" w:hAnsi="Arial" w:cs="Arial"/>
        <w:b/>
        <w:sz w:val="48"/>
      </w:rPr>
    </w:pPr>
    <w:r w:rsidRPr="004168CF">
      <w:rPr>
        <w:rFonts w:ascii="Arial" w:hAnsi="Arial" w:cs="Arial"/>
        <w:b/>
        <w:sz w:val="48"/>
      </w:rPr>
      <w:t>EN</w:t>
    </w:r>
    <w:r w:rsidRPr="004168CF">
      <w:rPr>
        <w:rFonts w:ascii="Arial" w:hAnsi="Arial" w:cs="Arial"/>
        <w:b/>
        <w:sz w:val="48"/>
      </w:rPr>
      <w:tab/>
    </w:r>
    <w:r w:rsidRPr="004168CF">
      <w:rPr>
        <w:rFonts w:ascii="Arial" w:hAnsi="Arial" w:cs="Arial"/>
        <w:b/>
        <w:sz w:val="48"/>
      </w:rPr>
      <w:tab/>
    </w:r>
    <w:r w:rsidRPr="004168CF">
      <w:tab/>
    </w:r>
    <w:r w:rsidRPr="004168C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8CF" w:rsidRDefault="004168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8CF" w:rsidRPr="004168CF" w:rsidRDefault="004168CF" w:rsidP="004168CF">
    <w:pPr>
      <w:pStyle w:val="Footer"/>
      <w:rPr>
        <w:rFonts w:ascii="Arial" w:hAnsi="Arial" w:cs="Arial"/>
        <w:b/>
        <w:sz w:val="48"/>
      </w:rPr>
    </w:pPr>
    <w:r w:rsidRPr="004168CF">
      <w:rPr>
        <w:rFonts w:ascii="Arial" w:hAnsi="Arial" w:cs="Arial"/>
        <w:b/>
        <w:sz w:val="48"/>
      </w:rPr>
      <w:t>EN</w:t>
    </w:r>
    <w:r w:rsidRPr="004168CF">
      <w:rPr>
        <w:rFonts w:ascii="Arial" w:hAnsi="Arial" w:cs="Arial"/>
        <w:b/>
        <w:sz w:val="48"/>
      </w:rPr>
      <w:tab/>
    </w:r>
    <w:r>
      <w:fldChar w:fldCharType="begin"/>
    </w:r>
    <w:r>
      <w:instrText xml:space="preserve"> PAGE  \* MERGEFORMAT </w:instrText>
    </w:r>
    <w:r>
      <w:fldChar w:fldCharType="separate"/>
    </w:r>
    <w:r w:rsidR="004F2582">
      <w:rPr>
        <w:noProof/>
      </w:rPr>
      <w:t>14</w:t>
    </w:r>
    <w:r>
      <w:fldChar w:fldCharType="end"/>
    </w:r>
    <w:r>
      <w:tab/>
    </w:r>
    <w:r w:rsidRPr="004168CF">
      <w:tab/>
    </w:r>
    <w:r w:rsidRPr="004168C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8CF" w:rsidRDefault="004168CF" w:rsidP="004168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5EC" w:rsidRDefault="007355EC" w:rsidP="007024FE">
      <w:pPr>
        <w:spacing w:before="0" w:after="0"/>
      </w:pPr>
      <w:r>
        <w:separator/>
      </w:r>
    </w:p>
  </w:footnote>
  <w:footnote w:type="continuationSeparator" w:id="0">
    <w:p w:rsidR="007355EC" w:rsidRDefault="007355EC" w:rsidP="007024FE">
      <w:pPr>
        <w:spacing w:before="0" w:after="0"/>
      </w:pPr>
      <w:r>
        <w:continuationSeparator/>
      </w:r>
    </w:p>
  </w:footnote>
  <w:footnote w:type="continuationNotice" w:id="1">
    <w:p w:rsidR="007355EC" w:rsidRDefault="007355EC">
      <w:pPr>
        <w:spacing w:before="0" w:after="0"/>
      </w:pPr>
    </w:p>
  </w:footnote>
  <w:footnote w:id="2">
    <w:p w:rsidR="003658FD" w:rsidRPr="003658FD" w:rsidRDefault="003658FD" w:rsidP="00296378">
      <w:pPr>
        <w:pStyle w:val="FootnoteText"/>
        <w:ind w:left="284" w:hanging="284"/>
        <w:rPr>
          <w:lang w:val="en-IE"/>
        </w:rPr>
      </w:pPr>
      <w:r w:rsidRPr="005C6155">
        <w:rPr>
          <w:rStyle w:val="FootnoteReference"/>
        </w:rPr>
        <w:footnoteRef/>
      </w:r>
      <w:r w:rsidR="005C6155">
        <w:tab/>
      </w:r>
      <w:r>
        <w:t>Only Cyprus and Malta are not Contracting Parties.</w:t>
      </w:r>
    </w:p>
  </w:footnote>
  <w:footnote w:id="3">
    <w:p w:rsidR="008C5D5F" w:rsidRPr="008C5D5F" w:rsidRDefault="008C5D5F" w:rsidP="00296378">
      <w:pPr>
        <w:pStyle w:val="FootnoteText"/>
        <w:ind w:left="284" w:hanging="284"/>
      </w:pPr>
      <w:r w:rsidRPr="00DF7B03">
        <w:rPr>
          <w:rStyle w:val="FootnoteReference"/>
        </w:rPr>
        <w:footnoteRef/>
      </w:r>
      <w:r w:rsidR="00DF7B03">
        <w:tab/>
      </w:r>
      <w:r w:rsidRPr="008C5D5F">
        <w:t>Council Decision 2013/103/EU of 16 June 2011 on the signing and conclusion of the Agreement between the European Union and the Intergovernmental Organisation for International Carriage by Rail on the Accession of the European Union to the Convention concerning International Carriage by Rail (COTIF) of 9 May 1980, as amended by the Vilnius Protocol of 3 June 1999</w:t>
      </w:r>
      <w:r w:rsidR="00296378">
        <w:t xml:space="preserve"> (</w:t>
      </w:r>
      <w:r w:rsidRPr="008C5D5F">
        <w:t>OJ L 51, 23.2.2013, p. 1</w:t>
      </w:r>
      <w:r w:rsidR="00296378">
        <w:t xml:space="preserve">, </w:t>
      </w:r>
      <w:r w:rsidR="00296378" w:rsidRPr="00296378">
        <w:t xml:space="preserve">ELI: </w:t>
      </w:r>
      <w:hyperlink r:id="rId1" w:history="1">
        <w:r w:rsidR="00296378" w:rsidRPr="006D088E">
          <w:rPr>
            <w:rStyle w:val="Hyperlink"/>
          </w:rPr>
          <w:t>http://data.europa.eu/eli/dec/2013/103(1)/oj</w:t>
        </w:r>
      </w:hyperlink>
      <w:r w:rsidR="00296378">
        <w:t>)</w:t>
      </w:r>
      <w:r w:rsidRPr="008C5D5F">
        <w:t>.</w:t>
      </w:r>
    </w:p>
  </w:footnote>
  <w:footnote w:id="4">
    <w:p w:rsidR="004531F8" w:rsidRPr="004531F8" w:rsidRDefault="004531F8" w:rsidP="004531F8">
      <w:pPr>
        <w:pStyle w:val="FootnoteText"/>
        <w:ind w:left="284" w:hanging="284"/>
      </w:pPr>
      <w:r w:rsidRPr="00DF7B03">
        <w:rPr>
          <w:rStyle w:val="FootnoteReference"/>
        </w:rPr>
        <w:footnoteRef/>
      </w:r>
      <w:r w:rsidR="00DF7B03">
        <w:tab/>
      </w:r>
      <w:r w:rsidR="002D70C9" w:rsidRPr="002D70C9">
        <w:t>Directive (EU) 2016/797 of the European Parliament and of the Council of 11 May 2016 on the interoperability of the rail system within the European Union (recast)</w:t>
      </w:r>
      <w:r w:rsidR="002D70C9">
        <w:t xml:space="preserve"> (</w:t>
      </w:r>
      <w:r w:rsidR="002D70C9" w:rsidRPr="002D70C9">
        <w:t>OJ L 138, 26.5.2016, p. 44</w:t>
      </w:r>
      <w:r w:rsidR="002D70C9">
        <w:t xml:space="preserve">, </w:t>
      </w:r>
      <w:r w:rsidR="002D70C9" w:rsidRPr="002D70C9">
        <w:t xml:space="preserve">ELI: </w:t>
      </w:r>
      <w:hyperlink r:id="rId2" w:history="1">
        <w:r w:rsidR="002D70C9" w:rsidRPr="006D088E">
          <w:rPr>
            <w:rStyle w:val="Hyperlink"/>
          </w:rPr>
          <w:t>http://data.europa.eu/eli/dir/2016/797/oj</w:t>
        </w:r>
      </w:hyperlink>
      <w:r w:rsidR="002D70C9">
        <w:t>)</w:t>
      </w:r>
      <w:r w:rsidR="00181A5B">
        <w:t>.</w:t>
      </w:r>
    </w:p>
  </w:footnote>
  <w:footnote w:id="5">
    <w:p w:rsidR="002F28DE" w:rsidRPr="002F28DE" w:rsidRDefault="002F28DE" w:rsidP="002F28DE">
      <w:pPr>
        <w:pStyle w:val="FootnoteText"/>
        <w:ind w:left="284" w:hanging="284"/>
      </w:pPr>
      <w:r w:rsidRPr="00DF7B03">
        <w:rPr>
          <w:rStyle w:val="FootnoteReference"/>
        </w:rPr>
        <w:footnoteRef/>
      </w:r>
      <w:r w:rsidR="00DF7B03">
        <w:tab/>
      </w:r>
      <w:r w:rsidRPr="002F28DE">
        <w:t>Directive (EU) 2016/798 of the European Parliament and of the Council of 11 May 2016 on railway safety (recast)</w:t>
      </w:r>
      <w:r>
        <w:t xml:space="preserve"> (</w:t>
      </w:r>
      <w:r w:rsidR="004531F8" w:rsidRPr="004531F8">
        <w:t>OJ L 138, 26.5.2016, p. 102</w:t>
      </w:r>
      <w:r w:rsidR="004531F8">
        <w:t xml:space="preserve">, </w:t>
      </w:r>
      <w:r w:rsidR="004531F8" w:rsidRPr="004531F8">
        <w:t xml:space="preserve">ELI: </w:t>
      </w:r>
      <w:hyperlink r:id="rId3" w:history="1">
        <w:r w:rsidR="004531F8" w:rsidRPr="006D088E">
          <w:rPr>
            <w:rStyle w:val="Hyperlink"/>
          </w:rPr>
          <w:t>http://data.europa.eu/eli/dir/2016/798/oj</w:t>
        </w:r>
      </w:hyperlink>
      <w:r w:rsidR="004531F8">
        <w:t>)</w:t>
      </w:r>
      <w:r w:rsidR="00181A5B">
        <w:t>.</w:t>
      </w:r>
    </w:p>
  </w:footnote>
  <w:footnote w:id="6">
    <w:p w:rsidR="00CA201A" w:rsidRPr="00CA201A" w:rsidRDefault="00CA201A" w:rsidP="00CA201A">
      <w:pPr>
        <w:pStyle w:val="FootnoteText"/>
        <w:ind w:left="284" w:hanging="284"/>
      </w:pPr>
      <w:r w:rsidRPr="00615A2D">
        <w:rPr>
          <w:rStyle w:val="FootnoteReference"/>
        </w:rPr>
        <w:footnoteRef/>
      </w:r>
      <w:r w:rsidR="00615A2D">
        <w:tab/>
      </w:r>
      <w:r w:rsidRPr="00CA201A">
        <w:t>Commission Implementing Regulation (EU) 2025/2064 of 14 October 2025 amending Regulation (EU) No 321/2013 concerning the technical specification for interoperability relating to the rolling stock – freight wagons subsystem of the rail system in the European Union (WAG TSI)</w:t>
      </w:r>
      <w:r>
        <w:t xml:space="preserve"> (</w:t>
      </w:r>
      <w:r w:rsidR="00E53A02" w:rsidRPr="00E53A02">
        <w:t xml:space="preserve">OJ L, 2025/2064, 15.10.2025, ELI: </w:t>
      </w:r>
      <w:hyperlink r:id="rId4" w:history="1">
        <w:r w:rsidR="00E53A02" w:rsidRPr="00CA656B">
          <w:rPr>
            <w:rStyle w:val="Hyperlink"/>
          </w:rPr>
          <w:t>http://data.europa.eu/eli/reg_impl/2025/2064/oj</w:t>
        </w:r>
      </w:hyperlink>
      <w:r>
        <w:t>).</w:t>
      </w:r>
    </w:p>
  </w:footnote>
  <w:footnote w:id="7">
    <w:p w:rsidR="00C20EE1" w:rsidRPr="00C20EE1" w:rsidRDefault="00C20EE1" w:rsidP="00F97B93">
      <w:pPr>
        <w:pStyle w:val="FootnoteText"/>
        <w:ind w:left="284" w:hanging="284"/>
        <w:rPr>
          <w:lang w:val="en-US"/>
        </w:rPr>
      </w:pPr>
      <w:r w:rsidRPr="00615A2D">
        <w:rPr>
          <w:rStyle w:val="FootnoteReference"/>
        </w:rPr>
        <w:footnoteRef/>
      </w:r>
      <w:r w:rsidR="00615A2D">
        <w:tab/>
      </w:r>
      <w:r w:rsidRPr="00C20EE1">
        <w:t>Commission Implementing Regulation (EU) 2025/675 of 4 April 2025 amending Regulation (EU) No 1302/2014 concerning a technical specification for interoperability relating to the rolling stock — locomotives and passenger rolling stock subsystem of the rail system in the European Union and Implementing Decision 2011/665/EU on the register of authorised types of railway vehicles</w:t>
      </w:r>
      <w:r w:rsidR="00F97B93">
        <w:t xml:space="preserve"> </w:t>
      </w:r>
      <w:r>
        <w:t>(</w:t>
      </w:r>
      <w:r w:rsidR="00F97B93" w:rsidRPr="00F97B93">
        <w:t xml:space="preserve">OJ L, 2025/675, 7.4.2025, ELI: </w:t>
      </w:r>
      <w:hyperlink r:id="rId5" w:history="1">
        <w:r w:rsidR="00F97B93" w:rsidRPr="00CA656B">
          <w:rPr>
            <w:rStyle w:val="Hyperlink"/>
          </w:rPr>
          <w:t>http://data.europa.eu/eli/reg_impl/2025/675/oj</w:t>
        </w:r>
      </w:hyperlink>
      <w:r w:rsidR="00F97B93">
        <w:t>).</w:t>
      </w:r>
    </w:p>
  </w:footnote>
  <w:footnote w:id="8">
    <w:p w:rsidR="00403087" w:rsidRPr="00535628" w:rsidRDefault="00403087" w:rsidP="00403087">
      <w:pPr>
        <w:pStyle w:val="FootnoteText"/>
        <w:ind w:left="284" w:hanging="284"/>
        <w:rPr>
          <w:lang w:val="en-US"/>
        </w:rPr>
      </w:pPr>
      <w:r w:rsidRPr="00615A2D">
        <w:rPr>
          <w:rStyle w:val="FootnoteReference"/>
        </w:rPr>
        <w:footnoteRef/>
      </w:r>
      <w:r w:rsidR="00615A2D">
        <w:tab/>
      </w:r>
      <w:r w:rsidRPr="003B665A">
        <w:t>Commission Implementing Decision of 4 October 2011 on the European register of authorised types of railway vehicles</w:t>
      </w:r>
      <w:r>
        <w:t xml:space="preserve"> (</w:t>
      </w:r>
      <w:r w:rsidRPr="003B665A">
        <w:t>OJ L 264, 8.10.2011, pp. 32</w:t>
      </w:r>
      <w:r>
        <w:t xml:space="preserve">, </w:t>
      </w:r>
      <w:r w:rsidRPr="0042759B">
        <w:t xml:space="preserve">ELI: </w:t>
      </w:r>
      <w:hyperlink r:id="rId6" w:history="1">
        <w:r w:rsidRPr="00403641">
          <w:rPr>
            <w:rStyle w:val="Hyperlink"/>
          </w:rPr>
          <w:t>http://data.europa.eu/eli/dec_impl/2011/665/oj</w:t>
        </w:r>
      </w:hyperlink>
      <w:r>
        <w:t>).</w:t>
      </w:r>
    </w:p>
  </w:footnote>
  <w:footnote w:id="9">
    <w:p w:rsidR="00403087" w:rsidRPr="00535628" w:rsidRDefault="00403087" w:rsidP="00403087">
      <w:pPr>
        <w:pStyle w:val="FootnoteText"/>
        <w:ind w:left="284" w:hanging="284"/>
        <w:rPr>
          <w:lang w:val="en-US"/>
        </w:rPr>
      </w:pPr>
      <w:r w:rsidRPr="00615A2D">
        <w:rPr>
          <w:rStyle w:val="FootnoteReference"/>
        </w:rPr>
        <w:footnoteRef/>
      </w:r>
      <w:r w:rsidR="00615A2D">
        <w:tab/>
      </w:r>
      <w:r w:rsidRPr="00535628">
        <w:rPr>
          <w:lang w:val="en-US"/>
        </w:rPr>
        <w:t>Commission Implementing Decision (EU) 2018/1614 of 25 October 2018 laying down specifications for the vehicle registers referred to in Article 47 of Directive (EU) 2016/797 of the European Parliament and of the Council</w:t>
      </w:r>
      <w:r>
        <w:rPr>
          <w:lang w:val="en-US"/>
        </w:rPr>
        <w:t xml:space="preserve"> (</w:t>
      </w:r>
      <w:r w:rsidRPr="00430070">
        <w:rPr>
          <w:lang w:val="en-US"/>
        </w:rPr>
        <w:t>OJ L 268, 26.10.2018, pp. 53</w:t>
      </w:r>
      <w:r>
        <w:rPr>
          <w:lang w:val="en-US"/>
        </w:rPr>
        <w:t xml:space="preserve">, </w:t>
      </w:r>
      <w:r w:rsidRPr="00430070">
        <w:rPr>
          <w:lang w:val="en-US"/>
        </w:rPr>
        <w:t xml:space="preserve">ELI: </w:t>
      </w:r>
      <w:hyperlink r:id="rId7" w:history="1">
        <w:r w:rsidRPr="00403641">
          <w:rPr>
            <w:rStyle w:val="Hyperlink"/>
            <w:lang w:val="en-US"/>
          </w:rPr>
          <w:t>http://data.europa.eu/eli/dec_impl/2018/1614/oj</w:t>
        </w:r>
      </w:hyperlink>
      <w:r>
        <w:rPr>
          <w:lang w:val="en-US"/>
        </w:rPr>
        <w:t>).</w:t>
      </w:r>
    </w:p>
  </w:footnote>
  <w:footnote w:id="10">
    <w:p w:rsidR="007E1523" w:rsidRPr="00B035F8" w:rsidRDefault="007E1523" w:rsidP="009E5ABF">
      <w:pPr>
        <w:pStyle w:val="FootnoteText"/>
        <w:ind w:left="284" w:hanging="284"/>
      </w:pPr>
      <w:r w:rsidRPr="000215B1">
        <w:rPr>
          <w:rStyle w:val="FootnoteReference"/>
        </w:rPr>
        <w:footnoteRef/>
      </w:r>
      <w:r w:rsidR="000215B1">
        <w:tab/>
      </w:r>
      <w:r w:rsidRPr="00B035F8">
        <w:t>Judgment of the Court of Justice of 7 October 2014, Germany v Council, C-399/12, ECLI:EU:C:2014:2258, paragraphs 61</w:t>
      </w:r>
      <w:r>
        <w:t xml:space="preserve"> </w:t>
      </w:r>
      <w:r w:rsidR="00575D08">
        <w:t>to 64</w:t>
      </w:r>
      <w:r w:rsidR="00181A5B">
        <w:t>.</w:t>
      </w:r>
    </w:p>
  </w:footnote>
  <w:footnote w:id="11">
    <w:p w:rsidR="007E1523" w:rsidRDefault="007E1523">
      <w:pPr>
        <w:pStyle w:val="FootnoteText"/>
      </w:pPr>
      <w:r w:rsidRPr="000215B1">
        <w:rPr>
          <w:rStyle w:val="FootnoteReference"/>
        </w:rPr>
        <w:footnoteRef/>
      </w:r>
      <w:r w:rsidR="000215B1">
        <w:tab/>
      </w:r>
      <w:r w:rsidRPr="00C4366E">
        <w:t xml:space="preserve">Council Decision 2013/103/EU of 16 June 2011 on the signing and conclusion of the Agreement between the European Union and the Intergovernmental Organisation for International Carriage by Rail on the Accession of the European Union to the Convention concerning International Carriage by Rail (COTIF) of 9 May 1980, as amended by the Vilnius Protocol of 3 June </w:t>
      </w:r>
      <w:r w:rsidR="00575D08">
        <w:t xml:space="preserve">1999 </w:t>
      </w:r>
      <w:r w:rsidR="00575D08" w:rsidRPr="00F75046">
        <w:t>(</w:t>
      </w:r>
      <w:r w:rsidR="00575D08" w:rsidRPr="00C417E7">
        <w:t>OJ L 51, 23.2.2013, p. 1</w:t>
      </w:r>
      <w:r w:rsidR="00890773">
        <w:t xml:space="preserve">, ELI: </w:t>
      </w:r>
      <w:hyperlink r:id="rId8" w:history="1">
        <w:r w:rsidR="00890773" w:rsidRPr="00B93A5A">
          <w:rPr>
            <w:rStyle w:val="Hyperlink"/>
          </w:rPr>
          <w:t>http://data.europa.eu/eli/dec/2013/103(1)/oj</w:t>
        </w:r>
      </w:hyperlink>
      <w:r w:rsidR="00575D08" w:rsidRPr="00F75046">
        <w:t>)</w:t>
      </w:r>
      <w:r w:rsidR="00181A5B">
        <w:t>.</w:t>
      </w:r>
    </w:p>
  </w:footnote>
  <w:footnote w:id="12">
    <w:p w:rsidR="000E3140" w:rsidRPr="001163A4" w:rsidRDefault="000E3140">
      <w:pPr>
        <w:pStyle w:val="FootnoteText"/>
        <w:rPr>
          <w:lang w:val="pt-PT"/>
        </w:rPr>
      </w:pPr>
      <w:r w:rsidRPr="008F2A71">
        <w:rPr>
          <w:rStyle w:val="FootnoteReference"/>
        </w:rPr>
        <w:footnoteRef/>
      </w:r>
      <w:r w:rsidR="008F2A71" w:rsidRPr="001163A4">
        <w:rPr>
          <w:lang w:val="pt-PT"/>
        </w:rPr>
        <w:tab/>
      </w:r>
      <w:r w:rsidRPr="001163A4">
        <w:rPr>
          <w:lang w:val="pt-PT"/>
        </w:rPr>
        <w:t>OJ L 51, 23.2.2013, p. 8.</w:t>
      </w:r>
    </w:p>
  </w:footnote>
  <w:footnote w:id="13">
    <w:p w:rsidR="008E7B5F" w:rsidRPr="00CA201A" w:rsidRDefault="008E7B5F" w:rsidP="008E7B5F">
      <w:pPr>
        <w:pStyle w:val="FootnoteText"/>
        <w:ind w:left="284" w:hanging="284"/>
      </w:pPr>
      <w:r w:rsidRPr="00615A2D">
        <w:rPr>
          <w:rStyle w:val="FootnoteReference"/>
        </w:rPr>
        <w:footnoteRef/>
      </w:r>
      <w:r w:rsidR="00615A2D">
        <w:tab/>
      </w:r>
      <w:r w:rsidRPr="00CA201A">
        <w:t>Commission Implementing Regulation (EU) 2025/2064 of 14 October 2025 amending Regulation (EU) No 321/2013 concerning the technical specification for interoperability relating to the rolling stock – freight wagons subsystem of the rail system in the European Union (WAG TSI)</w:t>
      </w:r>
      <w:r>
        <w:t xml:space="preserve"> (</w:t>
      </w:r>
      <w:r w:rsidRPr="00E53A02">
        <w:t xml:space="preserve">OJ L, 2025/2064, 15.10.2025, ELI: </w:t>
      </w:r>
      <w:hyperlink r:id="rId9" w:history="1">
        <w:r w:rsidRPr="00CA656B">
          <w:rPr>
            <w:rStyle w:val="Hyperlink"/>
          </w:rPr>
          <w:t>http://data.europa.eu/eli/reg_impl/2025/2064/oj</w:t>
        </w:r>
      </w:hyperlink>
      <w:r>
        <w:t>).</w:t>
      </w:r>
    </w:p>
  </w:footnote>
  <w:footnote w:id="14">
    <w:p w:rsidR="008E7B5F" w:rsidRPr="00C20EE1" w:rsidRDefault="008E7B5F" w:rsidP="008E7B5F">
      <w:pPr>
        <w:pStyle w:val="FootnoteText"/>
        <w:ind w:left="284" w:hanging="284"/>
        <w:rPr>
          <w:lang w:val="en-US"/>
        </w:rPr>
      </w:pPr>
      <w:r w:rsidRPr="00615A2D">
        <w:rPr>
          <w:rStyle w:val="FootnoteReference"/>
        </w:rPr>
        <w:footnoteRef/>
      </w:r>
      <w:r w:rsidR="00615A2D">
        <w:tab/>
      </w:r>
      <w:r w:rsidRPr="00C20EE1">
        <w:t>Commission Implementing Regulation (EU) 2025/675 of 4 April 2025 amending Regulation (EU) No 1302/2014 concerning a technical specification for interoperability relating to the rolling stock — locomotives and passenger rolling stock subsystem of the rail system in the European Union and Implementing Decision 2011/665/EU on the register of authorised types of railway vehicles</w:t>
      </w:r>
      <w:r>
        <w:t xml:space="preserve"> (</w:t>
      </w:r>
      <w:r w:rsidRPr="00F97B93">
        <w:t xml:space="preserve">OJ L, 2025/675, 7.4.2025, ELI: </w:t>
      </w:r>
      <w:hyperlink r:id="rId10" w:history="1">
        <w:r w:rsidRPr="00CA656B">
          <w:rPr>
            <w:rStyle w:val="Hyperlink"/>
          </w:rPr>
          <w:t>http://data.europa.eu/eli/reg_impl/2025/675/oj</w:t>
        </w:r>
      </w:hyperlink>
      <w:r>
        <w:t>).</w:t>
      </w:r>
    </w:p>
  </w:footnote>
  <w:footnote w:id="15">
    <w:p w:rsidR="005E4D59" w:rsidRPr="00535628" w:rsidRDefault="005E4D59" w:rsidP="005E4D59">
      <w:pPr>
        <w:pStyle w:val="FootnoteText"/>
        <w:ind w:left="284" w:hanging="284"/>
        <w:rPr>
          <w:lang w:val="en-US"/>
        </w:rPr>
      </w:pPr>
      <w:r w:rsidRPr="00615A2D">
        <w:rPr>
          <w:rStyle w:val="FootnoteReference"/>
        </w:rPr>
        <w:footnoteRef/>
      </w:r>
      <w:r w:rsidR="00615A2D">
        <w:tab/>
      </w:r>
      <w:r w:rsidRPr="003B665A">
        <w:t>Commission Implementing Decision of 4 October 2011 on the European register of authorised types of railway vehicles</w:t>
      </w:r>
      <w:r>
        <w:t xml:space="preserve"> (</w:t>
      </w:r>
      <w:r w:rsidRPr="003B665A">
        <w:t>OJ L 264, 8.10.2011, pp. 32</w:t>
      </w:r>
      <w:r>
        <w:t xml:space="preserve">, </w:t>
      </w:r>
      <w:r w:rsidRPr="0042759B">
        <w:t xml:space="preserve">ELI: </w:t>
      </w:r>
      <w:hyperlink r:id="rId11" w:history="1">
        <w:r w:rsidRPr="00403641">
          <w:rPr>
            <w:rStyle w:val="Hyperlink"/>
          </w:rPr>
          <w:t>http://data.europa.eu/eli/dec_impl/2011/665/oj</w:t>
        </w:r>
      </w:hyperlink>
      <w:r>
        <w:t>).</w:t>
      </w:r>
    </w:p>
  </w:footnote>
  <w:footnote w:id="16">
    <w:p w:rsidR="00010ECA" w:rsidRPr="00535628" w:rsidRDefault="00010ECA" w:rsidP="00010ECA">
      <w:pPr>
        <w:pStyle w:val="FootnoteText"/>
        <w:ind w:left="284" w:hanging="284"/>
        <w:rPr>
          <w:lang w:val="en-US"/>
        </w:rPr>
      </w:pPr>
      <w:r w:rsidRPr="00615A2D">
        <w:rPr>
          <w:rStyle w:val="FootnoteReference"/>
        </w:rPr>
        <w:footnoteRef/>
      </w:r>
      <w:r w:rsidR="00615A2D">
        <w:tab/>
      </w:r>
      <w:r w:rsidRPr="00535628">
        <w:rPr>
          <w:lang w:val="en-US"/>
        </w:rPr>
        <w:t>Commission Implementing Decision (EU) 2018/1614 of 25 October 2018 laying down specifications for the vehicle registers referred to in Article 47 of Directive (EU) 2016/797 of the European Parliament and of the Council</w:t>
      </w:r>
      <w:r>
        <w:rPr>
          <w:lang w:val="en-US"/>
        </w:rPr>
        <w:t xml:space="preserve"> (</w:t>
      </w:r>
      <w:r w:rsidRPr="00430070">
        <w:rPr>
          <w:lang w:val="en-US"/>
        </w:rPr>
        <w:t>OJ L 268, 26.10.2018, pp. 53</w:t>
      </w:r>
      <w:r>
        <w:rPr>
          <w:lang w:val="en-US"/>
        </w:rPr>
        <w:t xml:space="preserve">, </w:t>
      </w:r>
      <w:r w:rsidRPr="00430070">
        <w:rPr>
          <w:lang w:val="en-US"/>
        </w:rPr>
        <w:t xml:space="preserve">ELI: </w:t>
      </w:r>
      <w:hyperlink r:id="rId12" w:history="1">
        <w:r w:rsidRPr="00403641">
          <w:rPr>
            <w:rStyle w:val="Hyperlink"/>
            <w:lang w:val="en-US"/>
          </w:rPr>
          <w:t>http://data.europa.eu/eli/dec_impl/2018/1614/oj</w:t>
        </w:r>
      </w:hyperlink>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8CF" w:rsidRDefault="004168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8CF" w:rsidRDefault="004168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07A142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1E6B47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C40ED0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72C640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EBCAD5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826B77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AEAECE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4AAB886"/>
    <w:lvl w:ilvl="0">
      <w:start w:val="1"/>
      <w:numFmt w:val="bullet"/>
      <w:pStyle w:val="FTiret0"/>
      <w:lvlText w:val=""/>
      <w:lvlJc w:val="left"/>
      <w:pPr>
        <w:tabs>
          <w:tab w:val="num" w:pos="360"/>
        </w:tabs>
        <w:ind w:left="360" w:hanging="360"/>
      </w:pPr>
      <w:rPr>
        <w:rFonts w:ascii="Symbol" w:hAnsi="Symbol" w:hint="default"/>
      </w:rPr>
    </w:lvl>
  </w:abstractNum>
  <w:abstractNum w:abstractNumId="8" w15:restartNumberingAfterBreak="0">
    <w:nsid w:val="0D34432E"/>
    <w:multiLevelType w:val="hybridMultilevel"/>
    <w:tmpl w:val="2F1CAA60"/>
    <w:lvl w:ilvl="0" w:tplc="D6925628">
      <w:start w:val="1"/>
      <w:numFmt w:val="bullet"/>
      <w:pStyle w:val="OTIFBullet2"/>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0"/>
    <w:lvlOverride w:ilvl="0">
      <w:startOverride w:val="1"/>
    </w:lvlOverride>
  </w:num>
  <w:num w:numId="10">
    <w:abstractNumId w:val="20"/>
    <w:lvlOverride w:ilvl="0">
      <w:startOverride w:val="1"/>
    </w:lvlOverride>
  </w:num>
  <w:num w:numId="11">
    <w:abstractNumId w:val="20"/>
    <w:lvlOverride w:ilvl="0">
      <w:startOverride w:val="1"/>
    </w:lvlOverride>
  </w:num>
  <w:num w:numId="12">
    <w:abstractNumId w:val="20"/>
    <w:lvlOverride w:ilvl="0">
      <w:startOverride w:val="1"/>
    </w:lvlOverride>
  </w:num>
  <w:num w:numId="13">
    <w:abstractNumId w:val="8"/>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num>
  <w:num w:numId="21">
    <w:abstractNumId w:val="13"/>
    <w:lvlOverride w:ilvl="0">
      <w:startOverride w:val="1"/>
    </w:lvlOverride>
  </w:num>
  <w:num w:numId="22">
    <w:abstractNumId w:val="20"/>
  </w:num>
  <w:num w:numId="23">
    <w:abstractNumId w:val="13"/>
  </w:num>
  <w:num w:numId="24">
    <w:abstractNumId w:val="22"/>
  </w:num>
  <w:num w:numId="25">
    <w:abstractNumId w:val="12"/>
  </w:num>
  <w:num w:numId="26">
    <w:abstractNumId w:val="14"/>
  </w:num>
  <w:num w:numId="27">
    <w:abstractNumId w:val="15"/>
  </w:num>
  <w:num w:numId="28">
    <w:abstractNumId w:val="10"/>
  </w:num>
  <w:num w:numId="29">
    <w:abstractNumId w:val="21"/>
  </w:num>
  <w:num w:numId="30">
    <w:abstractNumId w:val="9"/>
  </w:num>
  <w:num w:numId="31">
    <w:abstractNumId w:val="16"/>
  </w:num>
  <w:num w:numId="32">
    <w:abstractNumId w:val="18"/>
  </w:num>
  <w:num w:numId="33">
    <w:abstractNumId w:val="19"/>
  </w:num>
  <w:num w:numId="34">
    <w:abstractNumId w:val="11"/>
  </w:num>
  <w:num w:numId="35">
    <w:abstractNumId w:val="17"/>
  </w:num>
  <w:num w:numId="36">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4-09 09:17: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A1A1ACB-1A2E-44E7-9B7F-3E6A1E8302FC"/>
    <w:docVar w:name="LW_COVERPAGE_TYPE" w:val="1"/>
    <w:docVar w:name="LW_CROSSREFERENCE" w:val="&lt;UNUSED&gt;"/>
    <w:docVar w:name="LW_DocType" w:val="COM"/>
    <w:docVar w:name="LW_EMISSION" w:val="16.4.2026"/>
    <w:docVar w:name="LW_EMISSION_ISODATE" w:val="2026-04-16"/>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89"/>
    <w:docVar w:name="LW_REF.II.NEW.CP_YEAR" w:val="2026"/>
    <w:docVar w:name="LW_REF.INST.NEW" w:val="COM"/>
    <w:docVar w:name="LW_REF.INST.NEW_ADOPTED" w:val="final"/>
    <w:docVar w:name="LW_REF.INST.NEW_TEXT" w:val="(2026) 1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at the 18th meeting of the Committee of Technical Experts (CTE) of the Intergovernmental Organisation for International Carriage by Rail (OTIF) with regard to the revision of the Rules of Procedure of the CTE, to the revision of Uniform Technical Prescriptions (UTP) applicable to the subsystem \u8220?rolling stock \u8211? freight wagons (UTP WAG) and to the subsystem \u8220?rolling stock \u8211? locomotives and passenger rolling stock\u8221? (UTP LOC&amp;PAS), to the adoption of a Uniform format of certificates, to the revision of the UTP applicable to the subsystem Telematics applications for freight services (UTP TAF), and of the Handbook for the implementation and application of the APTU and ATMF Uniform Rules"/>
    <w:docVar w:name="LW_TYPE.DOC.CP" w:val="COUNCIL DECISION"/>
    <w:docVar w:name="LwApiVersions" w:val="LW4CoDe 1.24.5.0; LW 9.2, Build 20251112"/>
  </w:docVars>
  <w:rsids>
    <w:rsidRoot w:val="007024FE"/>
    <w:rsid w:val="00001517"/>
    <w:rsid w:val="0000151E"/>
    <w:rsid w:val="000026F2"/>
    <w:rsid w:val="00002902"/>
    <w:rsid w:val="00002C3D"/>
    <w:rsid w:val="00002DD5"/>
    <w:rsid w:val="00003C18"/>
    <w:rsid w:val="00004DA4"/>
    <w:rsid w:val="00007630"/>
    <w:rsid w:val="000078B1"/>
    <w:rsid w:val="00010208"/>
    <w:rsid w:val="00010AA8"/>
    <w:rsid w:val="00010ECA"/>
    <w:rsid w:val="00010F02"/>
    <w:rsid w:val="00010FAB"/>
    <w:rsid w:val="000112E0"/>
    <w:rsid w:val="00011712"/>
    <w:rsid w:val="00011D48"/>
    <w:rsid w:val="00011D62"/>
    <w:rsid w:val="0001352C"/>
    <w:rsid w:val="00013661"/>
    <w:rsid w:val="00013842"/>
    <w:rsid w:val="00013A28"/>
    <w:rsid w:val="00014239"/>
    <w:rsid w:val="00015D69"/>
    <w:rsid w:val="00016CAC"/>
    <w:rsid w:val="000209E2"/>
    <w:rsid w:val="00020CB2"/>
    <w:rsid w:val="000215B1"/>
    <w:rsid w:val="000241D9"/>
    <w:rsid w:val="00024D2E"/>
    <w:rsid w:val="00025138"/>
    <w:rsid w:val="00025F01"/>
    <w:rsid w:val="000273AF"/>
    <w:rsid w:val="00027C39"/>
    <w:rsid w:val="000301F8"/>
    <w:rsid w:val="00030AD4"/>
    <w:rsid w:val="00030E90"/>
    <w:rsid w:val="000314EF"/>
    <w:rsid w:val="000323B5"/>
    <w:rsid w:val="000325AD"/>
    <w:rsid w:val="00033606"/>
    <w:rsid w:val="00034196"/>
    <w:rsid w:val="000346A8"/>
    <w:rsid w:val="00034CAC"/>
    <w:rsid w:val="0003598D"/>
    <w:rsid w:val="0003604A"/>
    <w:rsid w:val="00036113"/>
    <w:rsid w:val="000378AB"/>
    <w:rsid w:val="00037C8C"/>
    <w:rsid w:val="0004057C"/>
    <w:rsid w:val="0004349D"/>
    <w:rsid w:val="00044225"/>
    <w:rsid w:val="00044254"/>
    <w:rsid w:val="0004555F"/>
    <w:rsid w:val="00046ADE"/>
    <w:rsid w:val="000521AF"/>
    <w:rsid w:val="0005257A"/>
    <w:rsid w:val="0005336D"/>
    <w:rsid w:val="00053793"/>
    <w:rsid w:val="00053857"/>
    <w:rsid w:val="000550B6"/>
    <w:rsid w:val="00055830"/>
    <w:rsid w:val="00055DE3"/>
    <w:rsid w:val="000564D1"/>
    <w:rsid w:val="00057A28"/>
    <w:rsid w:val="00057DB1"/>
    <w:rsid w:val="00060007"/>
    <w:rsid w:val="00060941"/>
    <w:rsid w:val="00061D52"/>
    <w:rsid w:val="000633DD"/>
    <w:rsid w:val="00063B89"/>
    <w:rsid w:val="00065108"/>
    <w:rsid w:val="00066F85"/>
    <w:rsid w:val="000675A2"/>
    <w:rsid w:val="00067EC9"/>
    <w:rsid w:val="00070035"/>
    <w:rsid w:val="000719E7"/>
    <w:rsid w:val="000735F3"/>
    <w:rsid w:val="0007468B"/>
    <w:rsid w:val="00075F3A"/>
    <w:rsid w:val="00077750"/>
    <w:rsid w:val="00077B91"/>
    <w:rsid w:val="00080BD2"/>
    <w:rsid w:val="00081EFE"/>
    <w:rsid w:val="0008309E"/>
    <w:rsid w:val="000834C0"/>
    <w:rsid w:val="0008373F"/>
    <w:rsid w:val="00083C83"/>
    <w:rsid w:val="0008523E"/>
    <w:rsid w:val="000855BD"/>
    <w:rsid w:val="00086448"/>
    <w:rsid w:val="00086DBF"/>
    <w:rsid w:val="00087E6E"/>
    <w:rsid w:val="00090F83"/>
    <w:rsid w:val="00091A41"/>
    <w:rsid w:val="00092FCA"/>
    <w:rsid w:val="000934D0"/>
    <w:rsid w:val="00094FC5"/>
    <w:rsid w:val="00095E03"/>
    <w:rsid w:val="000961FA"/>
    <w:rsid w:val="00096FEB"/>
    <w:rsid w:val="000A00CF"/>
    <w:rsid w:val="000A0639"/>
    <w:rsid w:val="000A1692"/>
    <w:rsid w:val="000A1C4A"/>
    <w:rsid w:val="000A4E0A"/>
    <w:rsid w:val="000A5306"/>
    <w:rsid w:val="000A5B4C"/>
    <w:rsid w:val="000A5DC1"/>
    <w:rsid w:val="000A64C0"/>
    <w:rsid w:val="000A6BB4"/>
    <w:rsid w:val="000A7B60"/>
    <w:rsid w:val="000A7FEE"/>
    <w:rsid w:val="000B0528"/>
    <w:rsid w:val="000B373C"/>
    <w:rsid w:val="000B3BDF"/>
    <w:rsid w:val="000B4CB3"/>
    <w:rsid w:val="000B554C"/>
    <w:rsid w:val="000B5C8F"/>
    <w:rsid w:val="000B6F1A"/>
    <w:rsid w:val="000B74E4"/>
    <w:rsid w:val="000B7E13"/>
    <w:rsid w:val="000C07FA"/>
    <w:rsid w:val="000C0ED3"/>
    <w:rsid w:val="000C1958"/>
    <w:rsid w:val="000C1F56"/>
    <w:rsid w:val="000C3617"/>
    <w:rsid w:val="000C53A5"/>
    <w:rsid w:val="000C5801"/>
    <w:rsid w:val="000C5A00"/>
    <w:rsid w:val="000C5A02"/>
    <w:rsid w:val="000C5B8D"/>
    <w:rsid w:val="000D12B0"/>
    <w:rsid w:val="000D3020"/>
    <w:rsid w:val="000D37A0"/>
    <w:rsid w:val="000D37EF"/>
    <w:rsid w:val="000D385E"/>
    <w:rsid w:val="000D3E6F"/>
    <w:rsid w:val="000D53F7"/>
    <w:rsid w:val="000D5B7A"/>
    <w:rsid w:val="000D5F9A"/>
    <w:rsid w:val="000D65AE"/>
    <w:rsid w:val="000D75C4"/>
    <w:rsid w:val="000D7D07"/>
    <w:rsid w:val="000D7FBC"/>
    <w:rsid w:val="000E291D"/>
    <w:rsid w:val="000E2AC7"/>
    <w:rsid w:val="000E3140"/>
    <w:rsid w:val="000E44E0"/>
    <w:rsid w:val="000E44EC"/>
    <w:rsid w:val="000E4699"/>
    <w:rsid w:val="000E4833"/>
    <w:rsid w:val="000E5C6E"/>
    <w:rsid w:val="000E5D50"/>
    <w:rsid w:val="000E6200"/>
    <w:rsid w:val="000E6525"/>
    <w:rsid w:val="000E6902"/>
    <w:rsid w:val="000E6C49"/>
    <w:rsid w:val="000E7202"/>
    <w:rsid w:val="000E762D"/>
    <w:rsid w:val="000E76A2"/>
    <w:rsid w:val="000F0210"/>
    <w:rsid w:val="000F139D"/>
    <w:rsid w:val="000F2B0C"/>
    <w:rsid w:val="000F368E"/>
    <w:rsid w:val="000F3E6D"/>
    <w:rsid w:val="000F5644"/>
    <w:rsid w:val="000F6AC5"/>
    <w:rsid w:val="000F7482"/>
    <w:rsid w:val="000F775F"/>
    <w:rsid w:val="00101961"/>
    <w:rsid w:val="001026A4"/>
    <w:rsid w:val="00103770"/>
    <w:rsid w:val="00104940"/>
    <w:rsid w:val="001049AE"/>
    <w:rsid w:val="001059CF"/>
    <w:rsid w:val="00105E57"/>
    <w:rsid w:val="00105E5C"/>
    <w:rsid w:val="00106F5B"/>
    <w:rsid w:val="00111726"/>
    <w:rsid w:val="00111E89"/>
    <w:rsid w:val="00112815"/>
    <w:rsid w:val="00112C68"/>
    <w:rsid w:val="001131E6"/>
    <w:rsid w:val="001133B3"/>
    <w:rsid w:val="001163A4"/>
    <w:rsid w:val="001170EB"/>
    <w:rsid w:val="00117234"/>
    <w:rsid w:val="00117D56"/>
    <w:rsid w:val="0012062B"/>
    <w:rsid w:val="001206A1"/>
    <w:rsid w:val="00121810"/>
    <w:rsid w:val="00124226"/>
    <w:rsid w:val="001258DA"/>
    <w:rsid w:val="001268BE"/>
    <w:rsid w:val="001301B5"/>
    <w:rsid w:val="00130701"/>
    <w:rsid w:val="00130F50"/>
    <w:rsid w:val="00131445"/>
    <w:rsid w:val="00133C65"/>
    <w:rsid w:val="001353EF"/>
    <w:rsid w:val="00135D89"/>
    <w:rsid w:val="001363C5"/>
    <w:rsid w:val="00137E24"/>
    <w:rsid w:val="00140A81"/>
    <w:rsid w:val="00141ED5"/>
    <w:rsid w:val="0014253C"/>
    <w:rsid w:val="00142631"/>
    <w:rsid w:val="001439BC"/>
    <w:rsid w:val="00144D40"/>
    <w:rsid w:val="00146465"/>
    <w:rsid w:val="001464FA"/>
    <w:rsid w:val="00146CDD"/>
    <w:rsid w:val="001500DC"/>
    <w:rsid w:val="0015184D"/>
    <w:rsid w:val="00152024"/>
    <w:rsid w:val="001522FA"/>
    <w:rsid w:val="00160A5D"/>
    <w:rsid w:val="00160A71"/>
    <w:rsid w:val="00161C6C"/>
    <w:rsid w:val="00163103"/>
    <w:rsid w:val="00163F5D"/>
    <w:rsid w:val="00164EBD"/>
    <w:rsid w:val="001656FC"/>
    <w:rsid w:val="00165F32"/>
    <w:rsid w:val="00166CFF"/>
    <w:rsid w:val="001676C2"/>
    <w:rsid w:val="00170070"/>
    <w:rsid w:val="00171563"/>
    <w:rsid w:val="00171977"/>
    <w:rsid w:val="00172E51"/>
    <w:rsid w:val="00172EB4"/>
    <w:rsid w:val="00173046"/>
    <w:rsid w:val="00176F16"/>
    <w:rsid w:val="001773D4"/>
    <w:rsid w:val="00180F68"/>
    <w:rsid w:val="00181A5B"/>
    <w:rsid w:val="00183A6C"/>
    <w:rsid w:val="00183D60"/>
    <w:rsid w:val="00183DE0"/>
    <w:rsid w:val="00184B55"/>
    <w:rsid w:val="00184C26"/>
    <w:rsid w:val="0019102F"/>
    <w:rsid w:val="001914CB"/>
    <w:rsid w:val="00192054"/>
    <w:rsid w:val="0019499F"/>
    <w:rsid w:val="001978EF"/>
    <w:rsid w:val="001A1A57"/>
    <w:rsid w:val="001A203F"/>
    <w:rsid w:val="001A25D7"/>
    <w:rsid w:val="001A2B96"/>
    <w:rsid w:val="001A310B"/>
    <w:rsid w:val="001A3885"/>
    <w:rsid w:val="001A4104"/>
    <w:rsid w:val="001A4AF0"/>
    <w:rsid w:val="001A54D7"/>
    <w:rsid w:val="001B0D55"/>
    <w:rsid w:val="001B15DC"/>
    <w:rsid w:val="001B19C9"/>
    <w:rsid w:val="001B2C17"/>
    <w:rsid w:val="001B319C"/>
    <w:rsid w:val="001B47FA"/>
    <w:rsid w:val="001B4D82"/>
    <w:rsid w:val="001B54BB"/>
    <w:rsid w:val="001B63D5"/>
    <w:rsid w:val="001B6C4E"/>
    <w:rsid w:val="001B6E9E"/>
    <w:rsid w:val="001B741F"/>
    <w:rsid w:val="001B76C1"/>
    <w:rsid w:val="001C0927"/>
    <w:rsid w:val="001C2D1F"/>
    <w:rsid w:val="001C4AFA"/>
    <w:rsid w:val="001C5777"/>
    <w:rsid w:val="001D04FC"/>
    <w:rsid w:val="001D0816"/>
    <w:rsid w:val="001D1034"/>
    <w:rsid w:val="001D364C"/>
    <w:rsid w:val="001D453C"/>
    <w:rsid w:val="001D4FA5"/>
    <w:rsid w:val="001D7C17"/>
    <w:rsid w:val="001E0254"/>
    <w:rsid w:val="001E067D"/>
    <w:rsid w:val="001E1E38"/>
    <w:rsid w:val="001E1FCE"/>
    <w:rsid w:val="001E20CF"/>
    <w:rsid w:val="001E2ECC"/>
    <w:rsid w:val="001E38A0"/>
    <w:rsid w:val="001E52F0"/>
    <w:rsid w:val="001E7266"/>
    <w:rsid w:val="001E7966"/>
    <w:rsid w:val="001E7B3D"/>
    <w:rsid w:val="001F2470"/>
    <w:rsid w:val="001F261C"/>
    <w:rsid w:val="001F2F85"/>
    <w:rsid w:val="001F41B4"/>
    <w:rsid w:val="001F4CAA"/>
    <w:rsid w:val="001F7720"/>
    <w:rsid w:val="001F79EB"/>
    <w:rsid w:val="00200035"/>
    <w:rsid w:val="00200969"/>
    <w:rsid w:val="00202DA2"/>
    <w:rsid w:val="00203332"/>
    <w:rsid w:val="0020545A"/>
    <w:rsid w:val="0020598C"/>
    <w:rsid w:val="002063DD"/>
    <w:rsid w:val="00206EE7"/>
    <w:rsid w:val="00207642"/>
    <w:rsid w:val="0020797B"/>
    <w:rsid w:val="00210734"/>
    <w:rsid w:val="00210CE9"/>
    <w:rsid w:val="0021117C"/>
    <w:rsid w:val="002132BE"/>
    <w:rsid w:val="002135B6"/>
    <w:rsid w:val="00213EE2"/>
    <w:rsid w:val="00214AD9"/>
    <w:rsid w:val="0021501A"/>
    <w:rsid w:val="00215937"/>
    <w:rsid w:val="00215BCC"/>
    <w:rsid w:val="00216935"/>
    <w:rsid w:val="00217A2B"/>
    <w:rsid w:val="0022051E"/>
    <w:rsid w:val="00220684"/>
    <w:rsid w:val="0022244A"/>
    <w:rsid w:val="002226DB"/>
    <w:rsid w:val="00222C52"/>
    <w:rsid w:val="00223219"/>
    <w:rsid w:val="00224A8C"/>
    <w:rsid w:val="00224FEE"/>
    <w:rsid w:val="0022585B"/>
    <w:rsid w:val="002258B9"/>
    <w:rsid w:val="002260F0"/>
    <w:rsid w:val="00226853"/>
    <w:rsid w:val="00227FA4"/>
    <w:rsid w:val="00231115"/>
    <w:rsid w:val="00231E70"/>
    <w:rsid w:val="00232440"/>
    <w:rsid w:val="00232476"/>
    <w:rsid w:val="00232848"/>
    <w:rsid w:val="00233155"/>
    <w:rsid w:val="00233566"/>
    <w:rsid w:val="00234255"/>
    <w:rsid w:val="0023428C"/>
    <w:rsid w:val="002346CF"/>
    <w:rsid w:val="002355C7"/>
    <w:rsid w:val="00236683"/>
    <w:rsid w:val="00236F75"/>
    <w:rsid w:val="00237342"/>
    <w:rsid w:val="00237381"/>
    <w:rsid w:val="00237ED7"/>
    <w:rsid w:val="00240E0A"/>
    <w:rsid w:val="00240F7A"/>
    <w:rsid w:val="00241AC9"/>
    <w:rsid w:val="002436BD"/>
    <w:rsid w:val="0024787B"/>
    <w:rsid w:val="002478CB"/>
    <w:rsid w:val="00247BE4"/>
    <w:rsid w:val="00247EC9"/>
    <w:rsid w:val="002507FD"/>
    <w:rsid w:val="00251D09"/>
    <w:rsid w:val="00252D9D"/>
    <w:rsid w:val="00253FFD"/>
    <w:rsid w:val="00255DA9"/>
    <w:rsid w:val="002564C2"/>
    <w:rsid w:val="00256784"/>
    <w:rsid w:val="002578F9"/>
    <w:rsid w:val="00257978"/>
    <w:rsid w:val="00257ED1"/>
    <w:rsid w:val="00260836"/>
    <w:rsid w:val="002623B5"/>
    <w:rsid w:val="002632F7"/>
    <w:rsid w:val="0026331D"/>
    <w:rsid w:val="0026465F"/>
    <w:rsid w:val="0026467F"/>
    <w:rsid w:val="00265192"/>
    <w:rsid w:val="00265AB4"/>
    <w:rsid w:val="00265EBC"/>
    <w:rsid w:val="00266C03"/>
    <w:rsid w:val="00267ED0"/>
    <w:rsid w:val="00270D4A"/>
    <w:rsid w:val="002718C9"/>
    <w:rsid w:val="00271D17"/>
    <w:rsid w:val="002726C4"/>
    <w:rsid w:val="00272A32"/>
    <w:rsid w:val="0027394E"/>
    <w:rsid w:val="002744F0"/>
    <w:rsid w:val="00275155"/>
    <w:rsid w:val="00276708"/>
    <w:rsid w:val="00276913"/>
    <w:rsid w:val="00277A10"/>
    <w:rsid w:val="002811CA"/>
    <w:rsid w:val="00281C8E"/>
    <w:rsid w:val="00281F1E"/>
    <w:rsid w:val="00282DF4"/>
    <w:rsid w:val="00283140"/>
    <w:rsid w:val="0028344E"/>
    <w:rsid w:val="00284C84"/>
    <w:rsid w:val="00286B1F"/>
    <w:rsid w:val="00286CFE"/>
    <w:rsid w:val="0029024C"/>
    <w:rsid w:val="002924AF"/>
    <w:rsid w:val="002927D6"/>
    <w:rsid w:val="0029330B"/>
    <w:rsid w:val="00293F95"/>
    <w:rsid w:val="002949A5"/>
    <w:rsid w:val="00294F0B"/>
    <w:rsid w:val="00295036"/>
    <w:rsid w:val="002959E2"/>
    <w:rsid w:val="00296378"/>
    <w:rsid w:val="002968B7"/>
    <w:rsid w:val="00296F9F"/>
    <w:rsid w:val="002970CA"/>
    <w:rsid w:val="002972A1"/>
    <w:rsid w:val="002A2B3F"/>
    <w:rsid w:val="002A3729"/>
    <w:rsid w:val="002A4DCC"/>
    <w:rsid w:val="002A4E21"/>
    <w:rsid w:val="002A697B"/>
    <w:rsid w:val="002B12FF"/>
    <w:rsid w:val="002B18B1"/>
    <w:rsid w:val="002B25D3"/>
    <w:rsid w:val="002B2DFC"/>
    <w:rsid w:val="002B3766"/>
    <w:rsid w:val="002B3A8A"/>
    <w:rsid w:val="002B3D35"/>
    <w:rsid w:val="002B3EAA"/>
    <w:rsid w:val="002B4381"/>
    <w:rsid w:val="002B646A"/>
    <w:rsid w:val="002C0C3E"/>
    <w:rsid w:val="002C1499"/>
    <w:rsid w:val="002C1974"/>
    <w:rsid w:val="002C23D6"/>
    <w:rsid w:val="002C27BA"/>
    <w:rsid w:val="002C3B22"/>
    <w:rsid w:val="002C47CB"/>
    <w:rsid w:val="002C4C80"/>
    <w:rsid w:val="002C4F02"/>
    <w:rsid w:val="002C6A9C"/>
    <w:rsid w:val="002C6C68"/>
    <w:rsid w:val="002C6D66"/>
    <w:rsid w:val="002D1025"/>
    <w:rsid w:val="002D19F2"/>
    <w:rsid w:val="002D1CD9"/>
    <w:rsid w:val="002D1E3B"/>
    <w:rsid w:val="002D231F"/>
    <w:rsid w:val="002D43F4"/>
    <w:rsid w:val="002D5512"/>
    <w:rsid w:val="002D5523"/>
    <w:rsid w:val="002D6581"/>
    <w:rsid w:val="002D70C9"/>
    <w:rsid w:val="002D71BB"/>
    <w:rsid w:val="002E0674"/>
    <w:rsid w:val="002E155C"/>
    <w:rsid w:val="002E1CB5"/>
    <w:rsid w:val="002E2D8A"/>
    <w:rsid w:val="002E476B"/>
    <w:rsid w:val="002E51B5"/>
    <w:rsid w:val="002E51F3"/>
    <w:rsid w:val="002E5A3B"/>
    <w:rsid w:val="002E7E89"/>
    <w:rsid w:val="002E7EA3"/>
    <w:rsid w:val="002F08C4"/>
    <w:rsid w:val="002F1206"/>
    <w:rsid w:val="002F1DBE"/>
    <w:rsid w:val="002F2337"/>
    <w:rsid w:val="002F28DE"/>
    <w:rsid w:val="002F2A41"/>
    <w:rsid w:val="002F4FA7"/>
    <w:rsid w:val="002F4FE7"/>
    <w:rsid w:val="00300525"/>
    <w:rsid w:val="00300A69"/>
    <w:rsid w:val="003021AC"/>
    <w:rsid w:val="00303187"/>
    <w:rsid w:val="003038B2"/>
    <w:rsid w:val="00304D06"/>
    <w:rsid w:val="00305B35"/>
    <w:rsid w:val="00306827"/>
    <w:rsid w:val="00306A32"/>
    <w:rsid w:val="00306E42"/>
    <w:rsid w:val="003108F1"/>
    <w:rsid w:val="003112C1"/>
    <w:rsid w:val="0031136B"/>
    <w:rsid w:val="00311DD4"/>
    <w:rsid w:val="00311FEA"/>
    <w:rsid w:val="003123E9"/>
    <w:rsid w:val="0031358B"/>
    <w:rsid w:val="00313862"/>
    <w:rsid w:val="00314A90"/>
    <w:rsid w:val="0031572A"/>
    <w:rsid w:val="00316127"/>
    <w:rsid w:val="00317DC8"/>
    <w:rsid w:val="0032041B"/>
    <w:rsid w:val="00320AC6"/>
    <w:rsid w:val="00322797"/>
    <w:rsid w:val="00322AA5"/>
    <w:rsid w:val="0032352E"/>
    <w:rsid w:val="00323F77"/>
    <w:rsid w:val="00325DDA"/>
    <w:rsid w:val="0032674D"/>
    <w:rsid w:val="00326C08"/>
    <w:rsid w:val="00327388"/>
    <w:rsid w:val="00327533"/>
    <w:rsid w:val="0033009E"/>
    <w:rsid w:val="0033037A"/>
    <w:rsid w:val="00330A06"/>
    <w:rsid w:val="00330DBA"/>
    <w:rsid w:val="0033101C"/>
    <w:rsid w:val="00331774"/>
    <w:rsid w:val="00332005"/>
    <w:rsid w:val="003321A5"/>
    <w:rsid w:val="00333171"/>
    <w:rsid w:val="00340AA7"/>
    <w:rsid w:val="00341FEA"/>
    <w:rsid w:val="0034423F"/>
    <w:rsid w:val="00345FBF"/>
    <w:rsid w:val="00346000"/>
    <w:rsid w:val="0034677B"/>
    <w:rsid w:val="0034707E"/>
    <w:rsid w:val="00347E48"/>
    <w:rsid w:val="0035063A"/>
    <w:rsid w:val="003507BB"/>
    <w:rsid w:val="003513EA"/>
    <w:rsid w:val="00352119"/>
    <w:rsid w:val="0035228E"/>
    <w:rsid w:val="00352527"/>
    <w:rsid w:val="00352B42"/>
    <w:rsid w:val="00353660"/>
    <w:rsid w:val="00353F48"/>
    <w:rsid w:val="00355AFE"/>
    <w:rsid w:val="00355CBA"/>
    <w:rsid w:val="00357FD2"/>
    <w:rsid w:val="00361236"/>
    <w:rsid w:val="0036196E"/>
    <w:rsid w:val="00362256"/>
    <w:rsid w:val="0036280C"/>
    <w:rsid w:val="00362B6F"/>
    <w:rsid w:val="003638B0"/>
    <w:rsid w:val="00364C6E"/>
    <w:rsid w:val="003658FD"/>
    <w:rsid w:val="00365ED2"/>
    <w:rsid w:val="00366A5D"/>
    <w:rsid w:val="00366C53"/>
    <w:rsid w:val="00366E42"/>
    <w:rsid w:val="0036729E"/>
    <w:rsid w:val="00367926"/>
    <w:rsid w:val="0037039D"/>
    <w:rsid w:val="0037129E"/>
    <w:rsid w:val="003713D0"/>
    <w:rsid w:val="00371C6D"/>
    <w:rsid w:val="003734C8"/>
    <w:rsid w:val="00375A6A"/>
    <w:rsid w:val="003767F6"/>
    <w:rsid w:val="003775BB"/>
    <w:rsid w:val="00377B3C"/>
    <w:rsid w:val="0038030A"/>
    <w:rsid w:val="00383BB1"/>
    <w:rsid w:val="0038443F"/>
    <w:rsid w:val="003855F6"/>
    <w:rsid w:val="003877E7"/>
    <w:rsid w:val="00391BE1"/>
    <w:rsid w:val="0039245F"/>
    <w:rsid w:val="003945CF"/>
    <w:rsid w:val="00395082"/>
    <w:rsid w:val="00396AC5"/>
    <w:rsid w:val="00396FDE"/>
    <w:rsid w:val="00397DA8"/>
    <w:rsid w:val="003A067B"/>
    <w:rsid w:val="003A0A3B"/>
    <w:rsid w:val="003A38D1"/>
    <w:rsid w:val="003A3C8F"/>
    <w:rsid w:val="003A46D1"/>
    <w:rsid w:val="003A46D7"/>
    <w:rsid w:val="003A6112"/>
    <w:rsid w:val="003A64C8"/>
    <w:rsid w:val="003B2062"/>
    <w:rsid w:val="003B237C"/>
    <w:rsid w:val="003B35AA"/>
    <w:rsid w:val="003B446A"/>
    <w:rsid w:val="003B46B8"/>
    <w:rsid w:val="003B498D"/>
    <w:rsid w:val="003B4D3B"/>
    <w:rsid w:val="003B4EB0"/>
    <w:rsid w:val="003B665A"/>
    <w:rsid w:val="003B6760"/>
    <w:rsid w:val="003B6D16"/>
    <w:rsid w:val="003B7B95"/>
    <w:rsid w:val="003B7E97"/>
    <w:rsid w:val="003C1CE8"/>
    <w:rsid w:val="003C23EF"/>
    <w:rsid w:val="003C37D4"/>
    <w:rsid w:val="003C49AE"/>
    <w:rsid w:val="003C4E14"/>
    <w:rsid w:val="003C5221"/>
    <w:rsid w:val="003C55BA"/>
    <w:rsid w:val="003C57A2"/>
    <w:rsid w:val="003C62C2"/>
    <w:rsid w:val="003C7285"/>
    <w:rsid w:val="003D1FC4"/>
    <w:rsid w:val="003D2C4E"/>
    <w:rsid w:val="003D2E08"/>
    <w:rsid w:val="003D331B"/>
    <w:rsid w:val="003D3DD2"/>
    <w:rsid w:val="003D42FD"/>
    <w:rsid w:val="003D5294"/>
    <w:rsid w:val="003D56AC"/>
    <w:rsid w:val="003D786A"/>
    <w:rsid w:val="003E222C"/>
    <w:rsid w:val="003E2E02"/>
    <w:rsid w:val="003E35DF"/>
    <w:rsid w:val="003E54B2"/>
    <w:rsid w:val="003E574F"/>
    <w:rsid w:val="003E6BFD"/>
    <w:rsid w:val="003E6FAB"/>
    <w:rsid w:val="003E7947"/>
    <w:rsid w:val="003F07AD"/>
    <w:rsid w:val="003F1A3B"/>
    <w:rsid w:val="003F38FD"/>
    <w:rsid w:val="003F3BDD"/>
    <w:rsid w:val="003F55AF"/>
    <w:rsid w:val="003F709C"/>
    <w:rsid w:val="003F760D"/>
    <w:rsid w:val="00400487"/>
    <w:rsid w:val="00400765"/>
    <w:rsid w:val="00400A86"/>
    <w:rsid w:val="00401319"/>
    <w:rsid w:val="0040289F"/>
    <w:rsid w:val="00403087"/>
    <w:rsid w:val="00404DE0"/>
    <w:rsid w:val="00405613"/>
    <w:rsid w:val="0040597A"/>
    <w:rsid w:val="004068E4"/>
    <w:rsid w:val="00406959"/>
    <w:rsid w:val="00407190"/>
    <w:rsid w:val="0040725A"/>
    <w:rsid w:val="00407661"/>
    <w:rsid w:val="004078C7"/>
    <w:rsid w:val="004101C9"/>
    <w:rsid w:val="00410225"/>
    <w:rsid w:val="004109EC"/>
    <w:rsid w:val="00411611"/>
    <w:rsid w:val="00413200"/>
    <w:rsid w:val="00414159"/>
    <w:rsid w:val="004146CE"/>
    <w:rsid w:val="00415282"/>
    <w:rsid w:val="004159DF"/>
    <w:rsid w:val="00416057"/>
    <w:rsid w:val="004168CF"/>
    <w:rsid w:val="0041752A"/>
    <w:rsid w:val="00422841"/>
    <w:rsid w:val="00422865"/>
    <w:rsid w:val="00422D9F"/>
    <w:rsid w:val="004230BF"/>
    <w:rsid w:val="00423688"/>
    <w:rsid w:val="00424B77"/>
    <w:rsid w:val="00424BED"/>
    <w:rsid w:val="0042582B"/>
    <w:rsid w:val="00426DE8"/>
    <w:rsid w:val="0042759B"/>
    <w:rsid w:val="00427AE0"/>
    <w:rsid w:val="00430070"/>
    <w:rsid w:val="004303E7"/>
    <w:rsid w:val="004309BC"/>
    <w:rsid w:val="004319CB"/>
    <w:rsid w:val="00432FEC"/>
    <w:rsid w:val="00433368"/>
    <w:rsid w:val="00433EF4"/>
    <w:rsid w:val="00434684"/>
    <w:rsid w:val="00435611"/>
    <w:rsid w:val="0043638E"/>
    <w:rsid w:val="004363B7"/>
    <w:rsid w:val="004369A6"/>
    <w:rsid w:val="0044142C"/>
    <w:rsid w:val="0044151F"/>
    <w:rsid w:val="004416A9"/>
    <w:rsid w:val="00441C47"/>
    <w:rsid w:val="00442ADE"/>
    <w:rsid w:val="004433EA"/>
    <w:rsid w:val="004439C2"/>
    <w:rsid w:val="00443C98"/>
    <w:rsid w:val="00444669"/>
    <w:rsid w:val="0044468A"/>
    <w:rsid w:val="0044575E"/>
    <w:rsid w:val="0044620A"/>
    <w:rsid w:val="00446EA1"/>
    <w:rsid w:val="00447A84"/>
    <w:rsid w:val="00447D30"/>
    <w:rsid w:val="004522B5"/>
    <w:rsid w:val="004531F8"/>
    <w:rsid w:val="004538F4"/>
    <w:rsid w:val="00454179"/>
    <w:rsid w:val="004568AE"/>
    <w:rsid w:val="00456EEC"/>
    <w:rsid w:val="00456F2C"/>
    <w:rsid w:val="00457988"/>
    <w:rsid w:val="00460D7B"/>
    <w:rsid w:val="00461105"/>
    <w:rsid w:val="00463694"/>
    <w:rsid w:val="00463FF9"/>
    <w:rsid w:val="004647BD"/>
    <w:rsid w:val="00464824"/>
    <w:rsid w:val="00466172"/>
    <w:rsid w:val="00466A4F"/>
    <w:rsid w:val="00466B23"/>
    <w:rsid w:val="00467154"/>
    <w:rsid w:val="0046747D"/>
    <w:rsid w:val="00467FFC"/>
    <w:rsid w:val="00471089"/>
    <w:rsid w:val="0047170E"/>
    <w:rsid w:val="0047308C"/>
    <w:rsid w:val="0047675C"/>
    <w:rsid w:val="004777A2"/>
    <w:rsid w:val="004828EC"/>
    <w:rsid w:val="00482EC5"/>
    <w:rsid w:val="0048436C"/>
    <w:rsid w:val="004856D1"/>
    <w:rsid w:val="00490360"/>
    <w:rsid w:val="004912B3"/>
    <w:rsid w:val="00492698"/>
    <w:rsid w:val="0049270A"/>
    <w:rsid w:val="00492AD9"/>
    <w:rsid w:val="00493E1E"/>
    <w:rsid w:val="00496155"/>
    <w:rsid w:val="00496530"/>
    <w:rsid w:val="00497CC9"/>
    <w:rsid w:val="004A131A"/>
    <w:rsid w:val="004A224C"/>
    <w:rsid w:val="004A291C"/>
    <w:rsid w:val="004A2B8E"/>
    <w:rsid w:val="004A2BC0"/>
    <w:rsid w:val="004A3760"/>
    <w:rsid w:val="004A37D9"/>
    <w:rsid w:val="004A3934"/>
    <w:rsid w:val="004A3C3E"/>
    <w:rsid w:val="004A5461"/>
    <w:rsid w:val="004A5DA7"/>
    <w:rsid w:val="004A6139"/>
    <w:rsid w:val="004A650B"/>
    <w:rsid w:val="004A6BD0"/>
    <w:rsid w:val="004A72AC"/>
    <w:rsid w:val="004A7786"/>
    <w:rsid w:val="004B0D57"/>
    <w:rsid w:val="004B0F86"/>
    <w:rsid w:val="004B1D68"/>
    <w:rsid w:val="004B5479"/>
    <w:rsid w:val="004B5A3A"/>
    <w:rsid w:val="004B653A"/>
    <w:rsid w:val="004C05CD"/>
    <w:rsid w:val="004C09A4"/>
    <w:rsid w:val="004C0FDC"/>
    <w:rsid w:val="004C123E"/>
    <w:rsid w:val="004C3EEB"/>
    <w:rsid w:val="004C43DD"/>
    <w:rsid w:val="004C4E73"/>
    <w:rsid w:val="004C4FBA"/>
    <w:rsid w:val="004C5067"/>
    <w:rsid w:val="004C508F"/>
    <w:rsid w:val="004C528B"/>
    <w:rsid w:val="004C5602"/>
    <w:rsid w:val="004C5697"/>
    <w:rsid w:val="004C5A3C"/>
    <w:rsid w:val="004C6221"/>
    <w:rsid w:val="004C6E80"/>
    <w:rsid w:val="004C7530"/>
    <w:rsid w:val="004C7CF8"/>
    <w:rsid w:val="004D054B"/>
    <w:rsid w:val="004D1610"/>
    <w:rsid w:val="004D25AE"/>
    <w:rsid w:val="004D4279"/>
    <w:rsid w:val="004D5ABF"/>
    <w:rsid w:val="004D5FC5"/>
    <w:rsid w:val="004D67E8"/>
    <w:rsid w:val="004D6BE0"/>
    <w:rsid w:val="004D6DB7"/>
    <w:rsid w:val="004D714C"/>
    <w:rsid w:val="004D781F"/>
    <w:rsid w:val="004E03BF"/>
    <w:rsid w:val="004E28CF"/>
    <w:rsid w:val="004E35E3"/>
    <w:rsid w:val="004E3FEC"/>
    <w:rsid w:val="004E42DE"/>
    <w:rsid w:val="004E480E"/>
    <w:rsid w:val="004E50E1"/>
    <w:rsid w:val="004F08C9"/>
    <w:rsid w:val="004F0D09"/>
    <w:rsid w:val="004F122D"/>
    <w:rsid w:val="004F12A1"/>
    <w:rsid w:val="004F1929"/>
    <w:rsid w:val="004F2582"/>
    <w:rsid w:val="004F345A"/>
    <w:rsid w:val="004F42A7"/>
    <w:rsid w:val="004F535C"/>
    <w:rsid w:val="004F6368"/>
    <w:rsid w:val="004F68DF"/>
    <w:rsid w:val="004F6CF3"/>
    <w:rsid w:val="00500CF9"/>
    <w:rsid w:val="00502857"/>
    <w:rsid w:val="00502A95"/>
    <w:rsid w:val="00503D49"/>
    <w:rsid w:val="00504A02"/>
    <w:rsid w:val="005054D0"/>
    <w:rsid w:val="005101C3"/>
    <w:rsid w:val="005104E4"/>
    <w:rsid w:val="0051144D"/>
    <w:rsid w:val="00513EF5"/>
    <w:rsid w:val="00514808"/>
    <w:rsid w:val="00515AB8"/>
    <w:rsid w:val="00517E8D"/>
    <w:rsid w:val="005201F2"/>
    <w:rsid w:val="005215D4"/>
    <w:rsid w:val="005216C0"/>
    <w:rsid w:val="00521B56"/>
    <w:rsid w:val="0052208B"/>
    <w:rsid w:val="005224C0"/>
    <w:rsid w:val="005225E9"/>
    <w:rsid w:val="00522B53"/>
    <w:rsid w:val="00522D3C"/>
    <w:rsid w:val="00525435"/>
    <w:rsid w:val="00525676"/>
    <w:rsid w:val="00526B8F"/>
    <w:rsid w:val="0052781F"/>
    <w:rsid w:val="00527CA4"/>
    <w:rsid w:val="00530BD2"/>
    <w:rsid w:val="005312A3"/>
    <w:rsid w:val="005317FA"/>
    <w:rsid w:val="00531B5E"/>
    <w:rsid w:val="00532AA2"/>
    <w:rsid w:val="005337C5"/>
    <w:rsid w:val="0053417A"/>
    <w:rsid w:val="00534B50"/>
    <w:rsid w:val="00535156"/>
    <w:rsid w:val="00535628"/>
    <w:rsid w:val="00535694"/>
    <w:rsid w:val="005359B5"/>
    <w:rsid w:val="00535BA9"/>
    <w:rsid w:val="0053626C"/>
    <w:rsid w:val="0053666D"/>
    <w:rsid w:val="00537954"/>
    <w:rsid w:val="00537DAC"/>
    <w:rsid w:val="005448EA"/>
    <w:rsid w:val="00545390"/>
    <w:rsid w:val="00545455"/>
    <w:rsid w:val="005457E2"/>
    <w:rsid w:val="0054587A"/>
    <w:rsid w:val="00545CAD"/>
    <w:rsid w:val="00546E43"/>
    <w:rsid w:val="00547604"/>
    <w:rsid w:val="00551344"/>
    <w:rsid w:val="005513C9"/>
    <w:rsid w:val="00552C0D"/>
    <w:rsid w:val="00552C7D"/>
    <w:rsid w:val="0055346A"/>
    <w:rsid w:val="00554A52"/>
    <w:rsid w:val="00556381"/>
    <w:rsid w:val="00556550"/>
    <w:rsid w:val="00560B8D"/>
    <w:rsid w:val="00561645"/>
    <w:rsid w:val="005635F2"/>
    <w:rsid w:val="00563A9C"/>
    <w:rsid w:val="00563BBB"/>
    <w:rsid w:val="005678E6"/>
    <w:rsid w:val="00567CDE"/>
    <w:rsid w:val="00572885"/>
    <w:rsid w:val="005733B9"/>
    <w:rsid w:val="00573FB8"/>
    <w:rsid w:val="00574FFB"/>
    <w:rsid w:val="00575D08"/>
    <w:rsid w:val="005761A8"/>
    <w:rsid w:val="00576E68"/>
    <w:rsid w:val="00580543"/>
    <w:rsid w:val="00581556"/>
    <w:rsid w:val="005876AE"/>
    <w:rsid w:val="00587E7C"/>
    <w:rsid w:val="00592E86"/>
    <w:rsid w:val="00594139"/>
    <w:rsid w:val="00595F41"/>
    <w:rsid w:val="005A0E3A"/>
    <w:rsid w:val="005A1E68"/>
    <w:rsid w:val="005A24C5"/>
    <w:rsid w:val="005A2B0C"/>
    <w:rsid w:val="005A2E61"/>
    <w:rsid w:val="005A34B0"/>
    <w:rsid w:val="005A44F8"/>
    <w:rsid w:val="005A5BE8"/>
    <w:rsid w:val="005A5CAF"/>
    <w:rsid w:val="005A5FEE"/>
    <w:rsid w:val="005B096C"/>
    <w:rsid w:val="005B0FFE"/>
    <w:rsid w:val="005B1989"/>
    <w:rsid w:val="005B2831"/>
    <w:rsid w:val="005B4E98"/>
    <w:rsid w:val="005B5603"/>
    <w:rsid w:val="005B5BC3"/>
    <w:rsid w:val="005B60E5"/>
    <w:rsid w:val="005B71C9"/>
    <w:rsid w:val="005C0222"/>
    <w:rsid w:val="005C089A"/>
    <w:rsid w:val="005C126F"/>
    <w:rsid w:val="005C1854"/>
    <w:rsid w:val="005C1F2A"/>
    <w:rsid w:val="005C2398"/>
    <w:rsid w:val="005C321B"/>
    <w:rsid w:val="005C4016"/>
    <w:rsid w:val="005C6155"/>
    <w:rsid w:val="005C6E8A"/>
    <w:rsid w:val="005C7F1A"/>
    <w:rsid w:val="005D0FF3"/>
    <w:rsid w:val="005D4EE4"/>
    <w:rsid w:val="005D61F3"/>
    <w:rsid w:val="005D63E6"/>
    <w:rsid w:val="005D6950"/>
    <w:rsid w:val="005D6CC8"/>
    <w:rsid w:val="005E0164"/>
    <w:rsid w:val="005E03D3"/>
    <w:rsid w:val="005E2CA7"/>
    <w:rsid w:val="005E334A"/>
    <w:rsid w:val="005E348D"/>
    <w:rsid w:val="005E3B4C"/>
    <w:rsid w:val="005E4D59"/>
    <w:rsid w:val="005E4D93"/>
    <w:rsid w:val="005E6B3D"/>
    <w:rsid w:val="005F0716"/>
    <w:rsid w:val="005F10E7"/>
    <w:rsid w:val="005F13AB"/>
    <w:rsid w:val="005F1CEE"/>
    <w:rsid w:val="005F3C7A"/>
    <w:rsid w:val="005F3D00"/>
    <w:rsid w:val="005F42C0"/>
    <w:rsid w:val="005F44F6"/>
    <w:rsid w:val="005F54A5"/>
    <w:rsid w:val="005F5C37"/>
    <w:rsid w:val="005F63C3"/>
    <w:rsid w:val="005F6966"/>
    <w:rsid w:val="005F6FE4"/>
    <w:rsid w:val="005F76BA"/>
    <w:rsid w:val="005F7F71"/>
    <w:rsid w:val="006006B6"/>
    <w:rsid w:val="00601FCA"/>
    <w:rsid w:val="00603651"/>
    <w:rsid w:val="006039D5"/>
    <w:rsid w:val="00603E47"/>
    <w:rsid w:val="006054E0"/>
    <w:rsid w:val="0060578E"/>
    <w:rsid w:val="00605D58"/>
    <w:rsid w:val="006064A6"/>
    <w:rsid w:val="006067CF"/>
    <w:rsid w:val="0061025A"/>
    <w:rsid w:val="00610344"/>
    <w:rsid w:val="00615A2D"/>
    <w:rsid w:val="00616CE6"/>
    <w:rsid w:val="006176E1"/>
    <w:rsid w:val="00620556"/>
    <w:rsid w:val="00620B5F"/>
    <w:rsid w:val="00623572"/>
    <w:rsid w:val="00623C9B"/>
    <w:rsid w:val="0062468E"/>
    <w:rsid w:val="00625044"/>
    <w:rsid w:val="00625131"/>
    <w:rsid w:val="0062621B"/>
    <w:rsid w:val="006265D4"/>
    <w:rsid w:val="00626C6F"/>
    <w:rsid w:val="006275C6"/>
    <w:rsid w:val="0063096C"/>
    <w:rsid w:val="00630F3C"/>
    <w:rsid w:val="00631895"/>
    <w:rsid w:val="00633516"/>
    <w:rsid w:val="006340F8"/>
    <w:rsid w:val="0063421E"/>
    <w:rsid w:val="00635B95"/>
    <w:rsid w:val="00635CF7"/>
    <w:rsid w:val="006362A2"/>
    <w:rsid w:val="0063695C"/>
    <w:rsid w:val="00640D7A"/>
    <w:rsid w:val="006412B6"/>
    <w:rsid w:val="0064150B"/>
    <w:rsid w:val="00641CFF"/>
    <w:rsid w:val="00642477"/>
    <w:rsid w:val="00642E9B"/>
    <w:rsid w:val="00643188"/>
    <w:rsid w:val="00643BE8"/>
    <w:rsid w:val="00644D89"/>
    <w:rsid w:val="00646C47"/>
    <w:rsid w:val="0064701B"/>
    <w:rsid w:val="0064722B"/>
    <w:rsid w:val="00647C68"/>
    <w:rsid w:val="00652CBF"/>
    <w:rsid w:val="00653582"/>
    <w:rsid w:val="0065459A"/>
    <w:rsid w:val="00655B9C"/>
    <w:rsid w:val="00655F7A"/>
    <w:rsid w:val="0065607E"/>
    <w:rsid w:val="00657DF9"/>
    <w:rsid w:val="006607AE"/>
    <w:rsid w:val="00661778"/>
    <w:rsid w:val="006637B3"/>
    <w:rsid w:val="00663C28"/>
    <w:rsid w:val="006649AF"/>
    <w:rsid w:val="00665A73"/>
    <w:rsid w:val="00665F75"/>
    <w:rsid w:val="00665F92"/>
    <w:rsid w:val="0067106A"/>
    <w:rsid w:val="006711AE"/>
    <w:rsid w:val="00671501"/>
    <w:rsid w:val="00671A6A"/>
    <w:rsid w:val="006736A9"/>
    <w:rsid w:val="00673E5C"/>
    <w:rsid w:val="00674E42"/>
    <w:rsid w:val="00675032"/>
    <w:rsid w:val="00675339"/>
    <w:rsid w:val="00675C27"/>
    <w:rsid w:val="00676590"/>
    <w:rsid w:val="00677A02"/>
    <w:rsid w:val="00677DA0"/>
    <w:rsid w:val="0068047A"/>
    <w:rsid w:val="006807DB"/>
    <w:rsid w:val="006814FC"/>
    <w:rsid w:val="006815F9"/>
    <w:rsid w:val="0068319A"/>
    <w:rsid w:val="00683F7E"/>
    <w:rsid w:val="0068428F"/>
    <w:rsid w:val="006855FA"/>
    <w:rsid w:val="00687440"/>
    <w:rsid w:val="00687BB2"/>
    <w:rsid w:val="00691843"/>
    <w:rsid w:val="006919B9"/>
    <w:rsid w:val="00693624"/>
    <w:rsid w:val="00693A0C"/>
    <w:rsid w:val="00693AAA"/>
    <w:rsid w:val="00694287"/>
    <w:rsid w:val="00694B86"/>
    <w:rsid w:val="0069567B"/>
    <w:rsid w:val="006959A6"/>
    <w:rsid w:val="006960FD"/>
    <w:rsid w:val="00696595"/>
    <w:rsid w:val="00696CD7"/>
    <w:rsid w:val="0069777D"/>
    <w:rsid w:val="006A250D"/>
    <w:rsid w:val="006A3199"/>
    <w:rsid w:val="006A350B"/>
    <w:rsid w:val="006A403A"/>
    <w:rsid w:val="006A50E5"/>
    <w:rsid w:val="006A5421"/>
    <w:rsid w:val="006A58F6"/>
    <w:rsid w:val="006B08A6"/>
    <w:rsid w:val="006B0986"/>
    <w:rsid w:val="006B1F85"/>
    <w:rsid w:val="006B27C8"/>
    <w:rsid w:val="006B2B01"/>
    <w:rsid w:val="006B3720"/>
    <w:rsid w:val="006B434A"/>
    <w:rsid w:val="006B4A66"/>
    <w:rsid w:val="006B4F3A"/>
    <w:rsid w:val="006B50B2"/>
    <w:rsid w:val="006B5754"/>
    <w:rsid w:val="006B5B60"/>
    <w:rsid w:val="006B7EA5"/>
    <w:rsid w:val="006C0F00"/>
    <w:rsid w:val="006C387B"/>
    <w:rsid w:val="006C45BF"/>
    <w:rsid w:val="006C663C"/>
    <w:rsid w:val="006C6EE0"/>
    <w:rsid w:val="006D0118"/>
    <w:rsid w:val="006D1E06"/>
    <w:rsid w:val="006D2406"/>
    <w:rsid w:val="006D2AD7"/>
    <w:rsid w:val="006D2B0B"/>
    <w:rsid w:val="006D2F5F"/>
    <w:rsid w:val="006D349C"/>
    <w:rsid w:val="006D5678"/>
    <w:rsid w:val="006D6C81"/>
    <w:rsid w:val="006D6CC5"/>
    <w:rsid w:val="006E17BE"/>
    <w:rsid w:val="006E3662"/>
    <w:rsid w:val="006E3986"/>
    <w:rsid w:val="006E3DB1"/>
    <w:rsid w:val="006E5FC1"/>
    <w:rsid w:val="006E62E7"/>
    <w:rsid w:val="006E7B53"/>
    <w:rsid w:val="006F0586"/>
    <w:rsid w:val="006F4A32"/>
    <w:rsid w:val="006F5577"/>
    <w:rsid w:val="006F55CB"/>
    <w:rsid w:val="006F5FF0"/>
    <w:rsid w:val="006F72A5"/>
    <w:rsid w:val="006F7E57"/>
    <w:rsid w:val="007001BF"/>
    <w:rsid w:val="0070069A"/>
    <w:rsid w:val="00700863"/>
    <w:rsid w:val="007024FE"/>
    <w:rsid w:val="00704130"/>
    <w:rsid w:val="00705449"/>
    <w:rsid w:val="007054EF"/>
    <w:rsid w:val="00707939"/>
    <w:rsid w:val="00710595"/>
    <w:rsid w:val="00710C5A"/>
    <w:rsid w:val="00710D19"/>
    <w:rsid w:val="007111E0"/>
    <w:rsid w:val="00713348"/>
    <w:rsid w:val="007138A4"/>
    <w:rsid w:val="00715BE2"/>
    <w:rsid w:val="007175C7"/>
    <w:rsid w:val="00717822"/>
    <w:rsid w:val="00722185"/>
    <w:rsid w:val="0072230D"/>
    <w:rsid w:val="00722A89"/>
    <w:rsid w:val="00722B7C"/>
    <w:rsid w:val="00723641"/>
    <w:rsid w:val="007238CB"/>
    <w:rsid w:val="007247BD"/>
    <w:rsid w:val="007248C9"/>
    <w:rsid w:val="0072575F"/>
    <w:rsid w:val="00726710"/>
    <w:rsid w:val="00726947"/>
    <w:rsid w:val="00727C47"/>
    <w:rsid w:val="00732281"/>
    <w:rsid w:val="0073328C"/>
    <w:rsid w:val="00734488"/>
    <w:rsid w:val="007355EC"/>
    <w:rsid w:val="007404A9"/>
    <w:rsid w:val="007404F7"/>
    <w:rsid w:val="00740FC6"/>
    <w:rsid w:val="007425C9"/>
    <w:rsid w:val="00742A89"/>
    <w:rsid w:val="0074507F"/>
    <w:rsid w:val="0075078D"/>
    <w:rsid w:val="007512C3"/>
    <w:rsid w:val="007525A1"/>
    <w:rsid w:val="0075265C"/>
    <w:rsid w:val="00753B0A"/>
    <w:rsid w:val="00753E6D"/>
    <w:rsid w:val="00756E56"/>
    <w:rsid w:val="007571F9"/>
    <w:rsid w:val="00757BE1"/>
    <w:rsid w:val="007605DD"/>
    <w:rsid w:val="00760BEF"/>
    <w:rsid w:val="00761BA9"/>
    <w:rsid w:val="007625A9"/>
    <w:rsid w:val="007647EA"/>
    <w:rsid w:val="00764BC8"/>
    <w:rsid w:val="0076541D"/>
    <w:rsid w:val="00766A48"/>
    <w:rsid w:val="00766A7B"/>
    <w:rsid w:val="00767932"/>
    <w:rsid w:val="00771399"/>
    <w:rsid w:val="00772836"/>
    <w:rsid w:val="007735B0"/>
    <w:rsid w:val="00773A19"/>
    <w:rsid w:val="00773F5C"/>
    <w:rsid w:val="00774105"/>
    <w:rsid w:val="00775C4A"/>
    <w:rsid w:val="0077651D"/>
    <w:rsid w:val="007803D3"/>
    <w:rsid w:val="00781B96"/>
    <w:rsid w:val="00782197"/>
    <w:rsid w:val="00782C83"/>
    <w:rsid w:val="007837E5"/>
    <w:rsid w:val="007839FD"/>
    <w:rsid w:val="00783C5B"/>
    <w:rsid w:val="0078432C"/>
    <w:rsid w:val="0078480B"/>
    <w:rsid w:val="00785836"/>
    <w:rsid w:val="00786694"/>
    <w:rsid w:val="007900D4"/>
    <w:rsid w:val="007900FA"/>
    <w:rsid w:val="007933A4"/>
    <w:rsid w:val="00793ACF"/>
    <w:rsid w:val="00794C02"/>
    <w:rsid w:val="00796505"/>
    <w:rsid w:val="007A0016"/>
    <w:rsid w:val="007A0E7D"/>
    <w:rsid w:val="007A1137"/>
    <w:rsid w:val="007A146F"/>
    <w:rsid w:val="007A2749"/>
    <w:rsid w:val="007A3417"/>
    <w:rsid w:val="007A47C9"/>
    <w:rsid w:val="007A4B6F"/>
    <w:rsid w:val="007A527A"/>
    <w:rsid w:val="007A5BDC"/>
    <w:rsid w:val="007A62E9"/>
    <w:rsid w:val="007A6874"/>
    <w:rsid w:val="007A7D0C"/>
    <w:rsid w:val="007A7F88"/>
    <w:rsid w:val="007B012D"/>
    <w:rsid w:val="007B0444"/>
    <w:rsid w:val="007B082C"/>
    <w:rsid w:val="007B156E"/>
    <w:rsid w:val="007B1DB2"/>
    <w:rsid w:val="007B2768"/>
    <w:rsid w:val="007B3782"/>
    <w:rsid w:val="007B4E85"/>
    <w:rsid w:val="007B557B"/>
    <w:rsid w:val="007B58C2"/>
    <w:rsid w:val="007B647D"/>
    <w:rsid w:val="007C01E5"/>
    <w:rsid w:val="007C08C3"/>
    <w:rsid w:val="007C193F"/>
    <w:rsid w:val="007C31B4"/>
    <w:rsid w:val="007C3F34"/>
    <w:rsid w:val="007C44A7"/>
    <w:rsid w:val="007C473D"/>
    <w:rsid w:val="007C61C8"/>
    <w:rsid w:val="007C7E94"/>
    <w:rsid w:val="007D07C4"/>
    <w:rsid w:val="007D15E6"/>
    <w:rsid w:val="007D178B"/>
    <w:rsid w:val="007D1E3B"/>
    <w:rsid w:val="007D2DC0"/>
    <w:rsid w:val="007E052F"/>
    <w:rsid w:val="007E1089"/>
    <w:rsid w:val="007E1523"/>
    <w:rsid w:val="007E465E"/>
    <w:rsid w:val="007E5BA0"/>
    <w:rsid w:val="007E6176"/>
    <w:rsid w:val="007E71B5"/>
    <w:rsid w:val="007E7706"/>
    <w:rsid w:val="007F1A6B"/>
    <w:rsid w:val="007F2E88"/>
    <w:rsid w:val="007F5A7F"/>
    <w:rsid w:val="00800008"/>
    <w:rsid w:val="008020DB"/>
    <w:rsid w:val="00806041"/>
    <w:rsid w:val="008077B6"/>
    <w:rsid w:val="008106D6"/>
    <w:rsid w:val="00810A6B"/>
    <w:rsid w:val="00810CF9"/>
    <w:rsid w:val="00814057"/>
    <w:rsid w:val="008148CB"/>
    <w:rsid w:val="00815141"/>
    <w:rsid w:val="008153E4"/>
    <w:rsid w:val="00815B2C"/>
    <w:rsid w:val="00815D9A"/>
    <w:rsid w:val="008163C4"/>
    <w:rsid w:val="008165B3"/>
    <w:rsid w:val="008167D0"/>
    <w:rsid w:val="00817684"/>
    <w:rsid w:val="00817E9A"/>
    <w:rsid w:val="00820291"/>
    <w:rsid w:val="00821B3F"/>
    <w:rsid w:val="00821B52"/>
    <w:rsid w:val="008229FC"/>
    <w:rsid w:val="00822BD9"/>
    <w:rsid w:val="00823EAD"/>
    <w:rsid w:val="008245C3"/>
    <w:rsid w:val="008265CD"/>
    <w:rsid w:val="008267C9"/>
    <w:rsid w:val="00826ABE"/>
    <w:rsid w:val="00831799"/>
    <w:rsid w:val="00831F1B"/>
    <w:rsid w:val="0083291D"/>
    <w:rsid w:val="00832FEE"/>
    <w:rsid w:val="008332FE"/>
    <w:rsid w:val="00834F01"/>
    <w:rsid w:val="00835175"/>
    <w:rsid w:val="0083529F"/>
    <w:rsid w:val="00835B9F"/>
    <w:rsid w:val="00836DFB"/>
    <w:rsid w:val="008402BE"/>
    <w:rsid w:val="008403B2"/>
    <w:rsid w:val="0084133D"/>
    <w:rsid w:val="0084159E"/>
    <w:rsid w:val="00841A9F"/>
    <w:rsid w:val="00844A4A"/>
    <w:rsid w:val="00847CAF"/>
    <w:rsid w:val="008507B2"/>
    <w:rsid w:val="00850AAE"/>
    <w:rsid w:val="00850C40"/>
    <w:rsid w:val="00850CFA"/>
    <w:rsid w:val="00851D41"/>
    <w:rsid w:val="00852C39"/>
    <w:rsid w:val="00854DD8"/>
    <w:rsid w:val="00855313"/>
    <w:rsid w:val="00856A5A"/>
    <w:rsid w:val="00862B3D"/>
    <w:rsid w:val="008636DD"/>
    <w:rsid w:val="008637EA"/>
    <w:rsid w:val="00865B89"/>
    <w:rsid w:val="008714B0"/>
    <w:rsid w:val="008719DE"/>
    <w:rsid w:val="00871AF1"/>
    <w:rsid w:val="0087375E"/>
    <w:rsid w:val="00873840"/>
    <w:rsid w:val="00873933"/>
    <w:rsid w:val="00873B5B"/>
    <w:rsid w:val="00876087"/>
    <w:rsid w:val="00877878"/>
    <w:rsid w:val="00877D0E"/>
    <w:rsid w:val="00880F2A"/>
    <w:rsid w:val="00881734"/>
    <w:rsid w:val="00882027"/>
    <w:rsid w:val="00883138"/>
    <w:rsid w:val="00883606"/>
    <w:rsid w:val="00885B83"/>
    <w:rsid w:val="00885E1D"/>
    <w:rsid w:val="00886F23"/>
    <w:rsid w:val="0089015D"/>
    <w:rsid w:val="00890610"/>
    <w:rsid w:val="00890773"/>
    <w:rsid w:val="00890D9B"/>
    <w:rsid w:val="008910C8"/>
    <w:rsid w:val="008919BA"/>
    <w:rsid w:val="0089272C"/>
    <w:rsid w:val="008928E2"/>
    <w:rsid w:val="008940D7"/>
    <w:rsid w:val="00894DD6"/>
    <w:rsid w:val="008960B5"/>
    <w:rsid w:val="008A03ED"/>
    <w:rsid w:val="008A0426"/>
    <w:rsid w:val="008A08AA"/>
    <w:rsid w:val="008A0C26"/>
    <w:rsid w:val="008A0D05"/>
    <w:rsid w:val="008A149C"/>
    <w:rsid w:val="008A1894"/>
    <w:rsid w:val="008A1BC0"/>
    <w:rsid w:val="008A23E5"/>
    <w:rsid w:val="008A25D1"/>
    <w:rsid w:val="008A29EA"/>
    <w:rsid w:val="008A2A96"/>
    <w:rsid w:val="008A2CA6"/>
    <w:rsid w:val="008A301A"/>
    <w:rsid w:val="008A7B03"/>
    <w:rsid w:val="008B0395"/>
    <w:rsid w:val="008B07F7"/>
    <w:rsid w:val="008B10FC"/>
    <w:rsid w:val="008B1348"/>
    <w:rsid w:val="008B3C0E"/>
    <w:rsid w:val="008B4519"/>
    <w:rsid w:val="008B703A"/>
    <w:rsid w:val="008B713F"/>
    <w:rsid w:val="008B7351"/>
    <w:rsid w:val="008B7850"/>
    <w:rsid w:val="008C0608"/>
    <w:rsid w:val="008C1327"/>
    <w:rsid w:val="008C1C47"/>
    <w:rsid w:val="008C2591"/>
    <w:rsid w:val="008C2914"/>
    <w:rsid w:val="008C2B87"/>
    <w:rsid w:val="008C2DDF"/>
    <w:rsid w:val="008C38D8"/>
    <w:rsid w:val="008C3ECF"/>
    <w:rsid w:val="008C3FAA"/>
    <w:rsid w:val="008C51EB"/>
    <w:rsid w:val="008C5A4D"/>
    <w:rsid w:val="008C5D28"/>
    <w:rsid w:val="008C5D5F"/>
    <w:rsid w:val="008C640C"/>
    <w:rsid w:val="008C77C3"/>
    <w:rsid w:val="008D08CA"/>
    <w:rsid w:val="008D1821"/>
    <w:rsid w:val="008D25EF"/>
    <w:rsid w:val="008D2C2D"/>
    <w:rsid w:val="008D390C"/>
    <w:rsid w:val="008D3C01"/>
    <w:rsid w:val="008D4A60"/>
    <w:rsid w:val="008D6ECB"/>
    <w:rsid w:val="008D7549"/>
    <w:rsid w:val="008D7E5A"/>
    <w:rsid w:val="008E0AD5"/>
    <w:rsid w:val="008E0F88"/>
    <w:rsid w:val="008E1291"/>
    <w:rsid w:val="008E40D4"/>
    <w:rsid w:val="008E7162"/>
    <w:rsid w:val="008E726B"/>
    <w:rsid w:val="008E7B5F"/>
    <w:rsid w:val="008F066B"/>
    <w:rsid w:val="008F0D68"/>
    <w:rsid w:val="008F129A"/>
    <w:rsid w:val="008F1849"/>
    <w:rsid w:val="008F1D05"/>
    <w:rsid w:val="008F291C"/>
    <w:rsid w:val="008F2A71"/>
    <w:rsid w:val="008F2C91"/>
    <w:rsid w:val="008F308F"/>
    <w:rsid w:val="008F3917"/>
    <w:rsid w:val="008F4DC4"/>
    <w:rsid w:val="008F4FF2"/>
    <w:rsid w:val="008F5939"/>
    <w:rsid w:val="008F5A75"/>
    <w:rsid w:val="008F708D"/>
    <w:rsid w:val="008F7323"/>
    <w:rsid w:val="008F7416"/>
    <w:rsid w:val="008F7CBB"/>
    <w:rsid w:val="0090119B"/>
    <w:rsid w:val="009016C2"/>
    <w:rsid w:val="00901BAA"/>
    <w:rsid w:val="0090274F"/>
    <w:rsid w:val="00903211"/>
    <w:rsid w:val="00903AC6"/>
    <w:rsid w:val="00903E8D"/>
    <w:rsid w:val="00903F5F"/>
    <w:rsid w:val="00904AF4"/>
    <w:rsid w:val="009073B1"/>
    <w:rsid w:val="00907942"/>
    <w:rsid w:val="00910821"/>
    <w:rsid w:val="009113D1"/>
    <w:rsid w:val="00911D58"/>
    <w:rsid w:val="00913B56"/>
    <w:rsid w:val="00915410"/>
    <w:rsid w:val="00915444"/>
    <w:rsid w:val="0091646F"/>
    <w:rsid w:val="00917273"/>
    <w:rsid w:val="0092000D"/>
    <w:rsid w:val="00921AB6"/>
    <w:rsid w:val="00922665"/>
    <w:rsid w:val="00926690"/>
    <w:rsid w:val="00926BE0"/>
    <w:rsid w:val="00930648"/>
    <w:rsid w:val="009318D9"/>
    <w:rsid w:val="0093212A"/>
    <w:rsid w:val="00932E1E"/>
    <w:rsid w:val="00933CF1"/>
    <w:rsid w:val="00935CB8"/>
    <w:rsid w:val="00935F14"/>
    <w:rsid w:val="00936141"/>
    <w:rsid w:val="0094117A"/>
    <w:rsid w:val="009415C5"/>
    <w:rsid w:val="009419EB"/>
    <w:rsid w:val="009434FE"/>
    <w:rsid w:val="00943774"/>
    <w:rsid w:val="00943799"/>
    <w:rsid w:val="00944713"/>
    <w:rsid w:val="00944F9E"/>
    <w:rsid w:val="0094620A"/>
    <w:rsid w:val="009473A4"/>
    <w:rsid w:val="00950C61"/>
    <w:rsid w:val="00951BF6"/>
    <w:rsid w:val="00952F75"/>
    <w:rsid w:val="0095520C"/>
    <w:rsid w:val="00955988"/>
    <w:rsid w:val="0095724D"/>
    <w:rsid w:val="00960972"/>
    <w:rsid w:val="00961F59"/>
    <w:rsid w:val="0096202F"/>
    <w:rsid w:val="00962121"/>
    <w:rsid w:val="0096244E"/>
    <w:rsid w:val="0096397E"/>
    <w:rsid w:val="00965024"/>
    <w:rsid w:val="00965ABE"/>
    <w:rsid w:val="00965F6C"/>
    <w:rsid w:val="00965F77"/>
    <w:rsid w:val="00966C96"/>
    <w:rsid w:val="00971B9F"/>
    <w:rsid w:val="00973025"/>
    <w:rsid w:val="00973364"/>
    <w:rsid w:val="00974D51"/>
    <w:rsid w:val="0097629B"/>
    <w:rsid w:val="0097742D"/>
    <w:rsid w:val="009805A3"/>
    <w:rsid w:val="00982EF9"/>
    <w:rsid w:val="00983395"/>
    <w:rsid w:val="0098355F"/>
    <w:rsid w:val="0098371A"/>
    <w:rsid w:val="00983A6C"/>
    <w:rsid w:val="00983AE9"/>
    <w:rsid w:val="00983B22"/>
    <w:rsid w:val="00983DBD"/>
    <w:rsid w:val="00985510"/>
    <w:rsid w:val="009862B9"/>
    <w:rsid w:val="0098690B"/>
    <w:rsid w:val="00990067"/>
    <w:rsid w:val="009903B5"/>
    <w:rsid w:val="0099176E"/>
    <w:rsid w:val="009931EB"/>
    <w:rsid w:val="009940F3"/>
    <w:rsid w:val="00995A0D"/>
    <w:rsid w:val="00996070"/>
    <w:rsid w:val="0099666E"/>
    <w:rsid w:val="0099687E"/>
    <w:rsid w:val="009976B6"/>
    <w:rsid w:val="009A0012"/>
    <w:rsid w:val="009A0710"/>
    <w:rsid w:val="009A2458"/>
    <w:rsid w:val="009A3117"/>
    <w:rsid w:val="009A513F"/>
    <w:rsid w:val="009A582E"/>
    <w:rsid w:val="009A5F7E"/>
    <w:rsid w:val="009A685B"/>
    <w:rsid w:val="009A6BD9"/>
    <w:rsid w:val="009B01C6"/>
    <w:rsid w:val="009B1E59"/>
    <w:rsid w:val="009B283B"/>
    <w:rsid w:val="009B5952"/>
    <w:rsid w:val="009B698A"/>
    <w:rsid w:val="009B6DC7"/>
    <w:rsid w:val="009B73E7"/>
    <w:rsid w:val="009B7836"/>
    <w:rsid w:val="009C033F"/>
    <w:rsid w:val="009C090E"/>
    <w:rsid w:val="009C2E76"/>
    <w:rsid w:val="009C397F"/>
    <w:rsid w:val="009C3D2C"/>
    <w:rsid w:val="009C3EC2"/>
    <w:rsid w:val="009C4F66"/>
    <w:rsid w:val="009C5353"/>
    <w:rsid w:val="009C542B"/>
    <w:rsid w:val="009C5945"/>
    <w:rsid w:val="009C5FF2"/>
    <w:rsid w:val="009C6130"/>
    <w:rsid w:val="009C6EFD"/>
    <w:rsid w:val="009C7827"/>
    <w:rsid w:val="009D1DC8"/>
    <w:rsid w:val="009D1F4A"/>
    <w:rsid w:val="009D2491"/>
    <w:rsid w:val="009D46B0"/>
    <w:rsid w:val="009D4B29"/>
    <w:rsid w:val="009D4E29"/>
    <w:rsid w:val="009D4F14"/>
    <w:rsid w:val="009D503A"/>
    <w:rsid w:val="009D51A7"/>
    <w:rsid w:val="009D54B7"/>
    <w:rsid w:val="009D5654"/>
    <w:rsid w:val="009D5FB2"/>
    <w:rsid w:val="009D6DD6"/>
    <w:rsid w:val="009E0482"/>
    <w:rsid w:val="009E3218"/>
    <w:rsid w:val="009E3274"/>
    <w:rsid w:val="009E391E"/>
    <w:rsid w:val="009E4D7B"/>
    <w:rsid w:val="009E553E"/>
    <w:rsid w:val="009E55A6"/>
    <w:rsid w:val="009E5ABF"/>
    <w:rsid w:val="009E6DB2"/>
    <w:rsid w:val="009E7448"/>
    <w:rsid w:val="009F049A"/>
    <w:rsid w:val="009F1438"/>
    <w:rsid w:val="009F17D8"/>
    <w:rsid w:val="009F1C88"/>
    <w:rsid w:val="009F44AD"/>
    <w:rsid w:val="009F46F5"/>
    <w:rsid w:val="009F4781"/>
    <w:rsid w:val="009F5832"/>
    <w:rsid w:val="009F5A2A"/>
    <w:rsid w:val="009F7411"/>
    <w:rsid w:val="00A0011C"/>
    <w:rsid w:val="00A00195"/>
    <w:rsid w:val="00A0128B"/>
    <w:rsid w:val="00A01D0E"/>
    <w:rsid w:val="00A041DC"/>
    <w:rsid w:val="00A0423C"/>
    <w:rsid w:val="00A04300"/>
    <w:rsid w:val="00A04EF5"/>
    <w:rsid w:val="00A05E07"/>
    <w:rsid w:val="00A05E3F"/>
    <w:rsid w:val="00A05EE4"/>
    <w:rsid w:val="00A060A5"/>
    <w:rsid w:val="00A06EE6"/>
    <w:rsid w:val="00A07E42"/>
    <w:rsid w:val="00A127E6"/>
    <w:rsid w:val="00A128AA"/>
    <w:rsid w:val="00A13219"/>
    <w:rsid w:val="00A1346E"/>
    <w:rsid w:val="00A13B24"/>
    <w:rsid w:val="00A16012"/>
    <w:rsid w:val="00A1652F"/>
    <w:rsid w:val="00A16799"/>
    <w:rsid w:val="00A1788D"/>
    <w:rsid w:val="00A22286"/>
    <w:rsid w:val="00A22514"/>
    <w:rsid w:val="00A228F4"/>
    <w:rsid w:val="00A23CC3"/>
    <w:rsid w:val="00A245B9"/>
    <w:rsid w:val="00A260A2"/>
    <w:rsid w:val="00A26D59"/>
    <w:rsid w:val="00A27937"/>
    <w:rsid w:val="00A30C5F"/>
    <w:rsid w:val="00A30D04"/>
    <w:rsid w:val="00A30D70"/>
    <w:rsid w:val="00A312B6"/>
    <w:rsid w:val="00A31347"/>
    <w:rsid w:val="00A327B0"/>
    <w:rsid w:val="00A32CF7"/>
    <w:rsid w:val="00A359B6"/>
    <w:rsid w:val="00A36940"/>
    <w:rsid w:val="00A36B1D"/>
    <w:rsid w:val="00A3709E"/>
    <w:rsid w:val="00A377CD"/>
    <w:rsid w:val="00A40B98"/>
    <w:rsid w:val="00A40C09"/>
    <w:rsid w:val="00A41487"/>
    <w:rsid w:val="00A4277E"/>
    <w:rsid w:val="00A44BBC"/>
    <w:rsid w:val="00A45D7C"/>
    <w:rsid w:val="00A465A2"/>
    <w:rsid w:val="00A46627"/>
    <w:rsid w:val="00A468DB"/>
    <w:rsid w:val="00A47E62"/>
    <w:rsid w:val="00A51171"/>
    <w:rsid w:val="00A51328"/>
    <w:rsid w:val="00A51D54"/>
    <w:rsid w:val="00A51F3F"/>
    <w:rsid w:val="00A5253E"/>
    <w:rsid w:val="00A52D52"/>
    <w:rsid w:val="00A533D7"/>
    <w:rsid w:val="00A53FE0"/>
    <w:rsid w:val="00A54D0A"/>
    <w:rsid w:val="00A5572E"/>
    <w:rsid w:val="00A55740"/>
    <w:rsid w:val="00A5619A"/>
    <w:rsid w:val="00A574FD"/>
    <w:rsid w:val="00A60552"/>
    <w:rsid w:val="00A60FB7"/>
    <w:rsid w:val="00A61EEC"/>
    <w:rsid w:val="00A62E38"/>
    <w:rsid w:val="00A6407E"/>
    <w:rsid w:val="00A643C4"/>
    <w:rsid w:val="00A668CE"/>
    <w:rsid w:val="00A66DCD"/>
    <w:rsid w:val="00A67817"/>
    <w:rsid w:val="00A67A3F"/>
    <w:rsid w:val="00A70E57"/>
    <w:rsid w:val="00A71008"/>
    <w:rsid w:val="00A714EE"/>
    <w:rsid w:val="00A7262C"/>
    <w:rsid w:val="00A727B2"/>
    <w:rsid w:val="00A72C6C"/>
    <w:rsid w:val="00A74878"/>
    <w:rsid w:val="00A7614A"/>
    <w:rsid w:val="00A7666B"/>
    <w:rsid w:val="00A776F0"/>
    <w:rsid w:val="00A80349"/>
    <w:rsid w:val="00A808C1"/>
    <w:rsid w:val="00A80933"/>
    <w:rsid w:val="00A82240"/>
    <w:rsid w:val="00A82CAD"/>
    <w:rsid w:val="00A82D3E"/>
    <w:rsid w:val="00A86051"/>
    <w:rsid w:val="00A91038"/>
    <w:rsid w:val="00A926E1"/>
    <w:rsid w:val="00A9553F"/>
    <w:rsid w:val="00A9631C"/>
    <w:rsid w:val="00A96FCA"/>
    <w:rsid w:val="00A971F1"/>
    <w:rsid w:val="00AA0C8C"/>
    <w:rsid w:val="00AA0F25"/>
    <w:rsid w:val="00AA155C"/>
    <w:rsid w:val="00AA19E2"/>
    <w:rsid w:val="00AA223D"/>
    <w:rsid w:val="00AA3DF2"/>
    <w:rsid w:val="00AA467E"/>
    <w:rsid w:val="00AA5219"/>
    <w:rsid w:val="00AA5CE6"/>
    <w:rsid w:val="00AB0342"/>
    <w:rsid w:val="00AB0B41"/>
    <w:rsid w:val="00AB119A"/>
    <w:rsid w:val="00AB271E"/>
    <w:rsid w:val="00AB4B6B"/>
    <w:rsid w:val="00AB61E3"/>
    <w:rsid w:val="00AB6999"/>
    <w:rsid w:val="00AC0559"/>
    <w:rsid w:val="00AC1BD3"/>
    <w:rsid w:val="00AC2458"/>
    <w:rsid w:val="00AC3A81"/>
    <w:rsid w:val="00AC3D2A"/>
    <w:rsid w:val="00AC43AB"/>
    <w:rsid w:val="00AC4507"/>
    <w:rsid w:val="00AC47F8"/>
    <w:rsid w:val="00AC49BE"/>
    <w:rsid w:val="00AC6EE5"/>
    <w:rsid w:val="00AC74D8"/>
    <w:rsid w:val="00AC7E31"/>
    <w:rsid w:val="00AD0195"/>
    <w:rsid w:val="00AD16D3"/>
    <w:rsid w:val="00AD26CF"/>
    <w:rsid w:val="00AD3DD2"/>
    <w:rsid w:val="00AD3DE9"/>
    <w:rsid w:val="00AD3F9E"/>
    <w:rsid w:val="00AD444C"/>
    <w:rsid w:val="00AD4451"/>
    <w:rsid w:val="00AD4AB1"/>
    <w:rsid w:val="00AD4FB4"/>
    <w:rsid w:val="00AD6796"/>
    <w:rsid w:val="00AD7003"/>
    <w:rsid w:val="00AD77CE"/>
    <w:rsid w:val="00AD7A99"/>
    <w:rsid w:val="00AE03B7"/>
    <w:rsid w:val="00AE0E8D"/>
    <w:rsid w:val="00AE0FC5"/>
    <w:rsid w:val="00AE2C40"/>
    <w:rsid w:val="00AE2DFE"/>
    <w:rsid w:val="00AE39E3"/>
    <w:rsid w:val="00AE40EE"/>
    <w:rsid w:val="00AE561F"/>
    <w:rsid w:val="00AE6262"/>
    <w:rsid w:val="00AE6DE1"/>
    <w:rsid w:val="00AE739D"/>
    <w:rsid w:val="00AE79C8"/>
    <w:rsid w:val="00AF0031"/>
    <w:rsid w:val="00AF1F3B"/>
    <w:rsid w:val="00AF2364"/>
    <w:rsid w:val="00AF2F3D"/>
    <w:rsid w:val="00AF3E00"/>
    <w:rsid w:val="00AF57AB"/>
    <w:rsid w:val="00AF5C92"/>
    <w:rsid w:val="00AF7897"/>
    <w:rsid w:val="00B00931"/>
    <w:rsid w:val="00B0288B"/>
    <w:rsid w:val="00B02C4D"/>
    <w:rsid w:val="00B03326"/>
    <w:rsid w:val="00B03975"/>
    <w:rsid w:val="00B040AA"/>
    <w:rsid w:val="00B041D6"/>
    <w:rsid w:val="00B04A86"/>
    <w:rsid w:val="00B05C77"/>
    <w:rsid w:val="00B05D0F"/>
    <w:rsid w:val="00B06009"/>
    <w:rsid w:val="00B0651D"/>
    <w:rsid w:val="00B07798"/>
    <w:rsid w:val="00B079A9"/>
    <w:rsid w:val="00B07C00"/>
    <w:rsid w:val="00B118DE"/>
    <w:rsid w:val="00B15537"/>
    <w:rsid w:val="00B16F37"/>
    <w:rsid w:val="00B1766F"/>
    <w:rsid w:val="00B179B6"/>
    <w:rsid w:val="00B20388"/>
    <w:rsid w:val="00B21404"/>
    <w:rsid w:val="00B2193C"/>
    <w:rsid w:val="00B22143"/>
    <w:rsid w:val="00B22758"/>
    <w:rsid w:val="00B22EA4"/>
    <w:rsid w:val="00B233D1"/>
    <w:rsid w:val="00B23E04"/>
    <w:rsid w:val="00B24398"/>
    <w:rsid w:val="00B2441F"/>
    <w:rsid w:val="00B26AB9"/>
    <w:rsid w:val="00B26B58"/>
    <w:rsid w:val="00B272E0"/>
    <w:rsid w:val="00B3002B"/>
    <w:rsid w:val="00B31096"/>
    <w:rsid w:val="00B31F03"/>
    <w:rsid w:val="00B328D2"/>
    <w:rsid w:val="00B337E3"/>
    <w:rsid w:val="00B3511B"/>
    <w:rsid w:val="00B36022"/>
    <w:rsid w:val="00B36743"/>
    <w:rsid w:val="00B37DC9"/>
    <w:rsid w:val="00B400F6"/>
    <w:rsid w:val="00B41020"/>
    <w:rsid w:val="00B41324"/>
    <w:rsid w:val="00B42704"/>
    <w:rsid w:val="00B43718"/>
    <w:rsid w:val="00B4373B"/>
    <w:rsid w:val="00B43F80"/>
    <w:rsid w:val="00B441FD"/>
    <w:rsid w:val="00B467B3"/>
    <w:rsid w:val="00B46EC2"/>
    <w:rsid w:val="00B509FB"/>
    <w:rsid w:val="00B50D1E"/>
    <w:rsid w:val="00B50F29"/>
    <w:rsid w:val="00B50F8E"/>
    <w:rsid w:val="00B52CE7"/>
    <w:rsid w:val="00B534EE"/>
    <w:rsid w:val="00B54AA0"/>
    <w:rsid w:val="00B57B52"/>
    <w:rsid w:val="00B613B4"/>
    <w:rsid w:val="00B6462D"/>
    <w:rsid w:val="00B64825"/>
    <w:rsid w:val="00B648FD"/>
    <w:rsid w:val="00B649E7"/>
    <w:rsid w:val="00B64E8F"/>
    <w:rsid w:val="00B70402"/>
    <w:rsid w:val="00B70837"/>
    <w:rsid w:val="00B71245"/>
    <w:rsid w:val="00B71582"/>
    <w:rsid w:val="00B72DBE"/>
    <w:rsid w:val="00B73BE5"/>
    <w:rsid w:val="00B73CB8"/>
    <w:rsid w:val="00B749A5"/>
    <w:rsid w:val="00B75301"/>
    <w:rsid w:val="00B76488"/>
    <w:rsid w:val="00B77007"/>
    <w:rsid w:val="00B77D28"/>
    <w:rsid w:val="00B8322A"/>
    <w:rsid w:val="00B8374C"/>
    <w:rsid w:val="00B84FF4"/>
    <w:rsid w:val="00B857D6"/>
    <w:rsid w:val="00B8645D"/>
    <w:rsid w:val="00B864E9"/>
    <w:rsid w:val="00B866ED"/>
    <w:rsid w:val="00B87A6F"/>
    <w:rsid w:val="00B87C0C"/>
    <w:rsid w:val="00B91648"/>
    <w:rsid w:val="00B91FF1"/>
    <w:rsid w:val="00B92461"/>
    <w:rsid w:val="00B927A6"/>
    <w:rsid w:val="00B92C06"/>
    <w:rsid w:val="00B9669F"/>
    <w:rsid w:val="00B96DB2"/>
    <w:rsid w:val="00B96E99"/>
    <w:rsid w:val="00B97686"/>
    <w:rsid w:val="00BA1ACF"/>
    <w:rsid w:val="00BA1F45"/>
    <w:rsid w:val="00BA2D63"/>
    <w:rsid w:val="00BA4567"/>
    <w:rsid w:val="00BA5489"/>
    <w:rsid w:val="00BA6641"/>
    <w:rsid w:val="00BA78B9"/>
    <w:rsid w:val="00BB1139"/>
    <w:rsid w:val="00BB6D9F"/>
    <w:rsid w:val="00BB78FD"/>
    <w:rsid w:val="00BB7D50"/>
    <w:rsid w:val="00BC41A2"/>
    <w:rsid w:val="00BC54A9"/>
    <w:rsid w:val="00BC637F"/>
    <w:rsid w:val="00BC666B"/>
    <w:rsid w:val="00BD1430"/>
    <w:rsid w:val="00BD14D5"/>
    <w:rsid w:val="00BD26D8"/>
    <w:rsid w:val="00BD342E"/>
    <w:rsid w:val="00BD5458"/>
    <w:rsid w:val="00BD5D2A"/>
    <w:rsid w:val="00BD7925"/>
    <w:rsid w:val="00BE0255"/>
    <w:rsid w:val="00BE1CB4"/>
    <w:rsid w:val="00BE2A22"/>
    <w:rsid w:val="00BE33E0"/>
    <w:rsid w:val="00BE3A69"/>
    <w:rsid w:val="00BE44C5"/>
    <w:rsid w:val="00BE4C63"/>
    <w:rsid w:val="00BE4F89"/>
    <w:rsid w:val="00BE50D7"/>
    <w:rsid w:val="00BE5E23"/>
    <w:rsid w:val="00BE5F15"/>
    <w:rsid w:val="00BE6387"/>
    <w:rsid w:val="00BE66BE"/>
    <w:rsid w:val="00BE7215"/>
    <w:rsid w:val="00BF0615"/>
    <w:rsid w:val="00BF091C"/>
    <w:rsid w:val="00BF38E5"/>
    <w:rsid w:val="00BF5591"/>
    <w:rsid w:val="00BF6460"/>
    <w:rsid w:val="00BF66EF"/>
    <w:rsid w:val="00BF743D"/>
    <w:rsid w:val="00C01B90"/>
    <w:rsid w:val="00C0224E"/>
    <w:rsid w:val="00C02DBF"/>
    <w:rsid w:val="00C039EA"/>
    <w:rsid w:val="00C04916"/>
    <w:rsid w:val="00C0762B"/>
    <w:rsid w:val="00C10AB7"/>
    <w:rsid w:val="00C11862"/>
    <w:rsid w:val="00C11BFF"/>
    <w:rsid w:val="00C153F3"/>
    <w:rsid w:val="00C1617C"/>
    <w:rsid w:val="00C17645"/>
    <w:rsid w:val="00C17AF1"/>
    <w:rsid w:val="00C20EE1"/>
    <w:rsid w:val="00C21A38"/>
    <w:rsid w:val="00C223B3"/>
    <w:rsid w:val="00C23AEC"/>
    <w:rsid w:val="00C24B2E"/>
    <w:rsid w:val="00C24D31"/>
    <w:rsid w:val="00C2776F"/>
    <w:rsid w:val="00C27802"/>
    <w:rsid w:val="00C27886"/>
    <w:rsid w:val="00C315D4"/>
    <w:rsid w:val="00C33A1E"/>
    <w:rsid w:val="00C33DC2"/>
    <w:rsid w:val="00C35580"/>
    <w:rsid w:val="00C359DB"/>
    <w:rsid w:val="00C367DF"/>
    <w:rsid w:val="00C368C9"/>
    <w:rsid w:val="00C36E0D"/>
    <w:rsid w:val="00C376DE"/>
    <w:rsid w:val="00C379B2"/>
    <w:rsid w:val="00C417E7"/>
    <w:rsid w:val="00C4180A"/>
    <w:rsid w:val="00C41F8F"/>
    <w:rsid w:val="00C42A07"/>
    <w:rsid w:val="00C42CFB"/>
    <w:rsid w:val="00C431EA"/>
    <w:rsid w:val="00C4366E"/>
    <w:rsid w:val="00C450A3"/>
    <w:rsid w:val="00C455DA"/>
    <w:rsid w:val="00C464B4"/>
    <w:rsid w:val="00C4725B"/>
    <w:rsid w:val="00C47857"/>
    <w:rsid w:val="00C478E8"/>
    <w:rsid w:val="00C47B9A"/>
    <w:rsid w:val="00C509E1"/>
    <w:rsid w:val="00C50F33"/>
    <w:rsid w:val="00C527A8"/>
    <w:rsid w:val="00C52832"/>
    <w:rsid w:val="00C52B1D"/>
    <w:rsid w:val="00C52C62"/>
    <w:rsid w:val="00C52E93"/>
    <w:rsid w:val="00C53940"/>
    <w:rsid w:val="00C54D17"/>
    <w:rsid w:val="00C55DA8"/>
    <w:rsid w:val="00C55FE2"/>
    <w:rsid w:val="00C570F1"/>
    <w:rsid w:val="00C634DF"/>
    <w:rsid w:val="00C63A4D"/>
    <w:rsid w:val="00C64938"/>
    <w:rsid w:val="00C7000F"/>
    <w:rsid w:val="00C71818"/>
    <w:rsid w:val="00C732FB"/>
    <w:rsid w:val="00C73B09"/>
    <w:rsid w:val="00C740EA"/>
    <w:rsid w:val="00C753C7"/>
    <w:rsid w:val="00C76884"/>
    <w:rsid w:val="00C76C57"/>
    <w:rsid w:val="00C77589"/>
    <w:rsid w:val="00C8118D"/>
    <w:rsid w:val="00C818FD"/>
    <w:rsid w:val="00C81FEE"/>
    <w:rsid w:val="00C82A09"/>
    <w:rsid w:val="00C82BE1"/>
    <w:rsid w:val="00C83385"/>
    <w:rsid w:val="00C84683"/>
    <w:rsid w:val="00C846F1"/>
    <w:rsid w:val="00C84707"/>
    <w:rsid w:val="00C8546B"/>
    <w:rsid w:val="00C86280"/>
    <w:rsid w:val="00C87B78"/>
    <w:rsid w:val="00C912C4"/>
    <w:rsid w:val="00C91352"/>
    <w:rsid w:val="00C91D6F"/>
    <w:rsid w:val="00C92198"/>
    <w:rsid w:val="00C92C29"/>
    <w:rsid w:val="00C93B5F"/>
    <w:rsid w:val="00C944B3"/>
    <w:rsid w:val="00C945D9"/>
    <w:rsid w:val="00C95391"/>
    <w:rsid w:val="00C971EF"/>
    <w:rsid w:val="00C97424"/>
    <w:rsid w:val="00CA0B05"/>
    <w:rsid w:val="00CA1CFE"/>
    <w:rsid w:val="00CA201A"/>
    <w:rsid w:val="00CA239F"/>
    <w:rsid w:val="00CA3406"/>
    <w:rsid w:val="00CA42E1"/>
    <w:rsid w:val="00CA4305"/>
    <w:rsid w:val="00CA481A"/>
    <w:rsid w:val="00CA579E"/>
    <w:rsid w:val="00CA5C9B"/>
    <w:rsid w:val="00CA7082"/>
    <w:rsid w:val="00CA72AA"/>
    <w:rsid w:val="00CA7516"/>
    <w:rsid w:val="00CA7713"/>
    <w:rsid w:val="00CA7B1A"/>
    <w:rsid w:val="00CA7E83"/>
    <w:rsid w:val="00CB02F1"/>
    <w:rsid w:val="00CB05D4"/>
    <w:rsid w:val="00CB0CA2"/>
    <w:rsid w:val="00CB0D87"/>
    <w:rsid w:val="00CB0F68"/>
    <w:rsid w:val="00CB14D1"/>
    <w:rsid w:val="00CB2348"/>
    <w:rsid w:val="00CB27EE"/>
    <w:rsid w:val="00CB37BC"/>
    <w:rsid w:val="00CB49BC"/>
    <w:rsid w:val="00CB7AD4"/>
    <w:rsid w:val="00CC1375"/>
    <w:rsid w:val="00CC19DF"/>
    <w:rsid w:val="00CC19F3"/>
    <w:rsid w:val="00CC1E19"/>
    <w:rsid w:val="00CC22A2"/>
    <w:rsid w:val="00CC269B"/>
    <w:rsid w:val="00CC3593"/>
    <w:rsid w:val="00CC4F43"/>
    <w:rsid w:val="00CD00E5"/>
    <w:rsid w:val="00CD0205"/>
    <w:rsid w:val="00CD0479"/>
    <w:rsid w:val="00CD200F"/>
    <w:rsid w:val="00CD224A"/>
    <w:rsid w:val="00CD2965"/>
    <w:rsid w:val="00CD3121"/>
    <w:rsid w:val="00CD413E"/>
    <w:rsid w:val="00CD4252"/>
    <w:rsid w:val="00CD6550"/>
    <w:rsid w:val="00CD7F3D"/>
    <w:rsid w:val="00CE0442"/>
    <w:rsid w:val="00CE0A79"/>
    <w:rsid w:val="00CE0D23"/>
    <w:rsid w:val="00CE19C3"/>
    <w:rsid w:val="00CE1B53"/>
    <w:rsid w:val="00CE5303"/>
    <w:rsid w:val="00CE63D5"/>
    <w:rsid w:val="00CE6AE5"/>
    <w:rsid w:val="00CF007E"/>
    <w:rsid w:val="00CF0175"/>
    <w:rsid w:val="00CF0533"/>
    <w:rsid w:val="00CF1F9A"/>
    <w:rsid w:val="00CF2454"/>
    <w:rsid w:val="00CF3DFB"/>
    <w:rsid w:val="00CF437F"/>
    <w:rsid w:val="00CF4962"/>
    <w:rsid w:val="00CF6BE2"/>
    <w:rsid w:val="00CF7C7B"/>
    <w:rsid w:val="00CF7CD7"/>
    <w:rsid w:val="00D0064E"/>
    <w:rsid w:val="00D0133B"/>
    <w:rsid w:val="00D014FD"/>
    <w:rsid w:val="00D031C0"/>
    <w:rsid w:val="00D03924"/>
    <w:rsid w:val="00D0428B"/>
    <w:rsid w:val="00D04B58"/>
    <w:rsid w:val="00D05632"/>
    <w:rsid w:val="00D05D10"/>
    <w:rsid w:val="00D07108"/>
    <w:rsid w:val="00D07B14"/>
    <w:rsid w:val="00D10548"/>
    <w:rsid w:val="00D1128F"/>
    <w:rsid w:val="00D11BCF"/>
    <w:rsid w:val="00D1222F"/>
    <w:rsid w:val="00D12492"/>
    <w:rsid w:val="00D13B96"/>
    <w:rsid w:val="00D13CE9"/>
    <w:rsid w:val="00D15F78"/>
    <w:rsid w:val="00D16295"/>
    <w:rsid w:val="00D1688A"/>
    <w:rsid w:val="00D16ED0"/>
    <w:rsid w:val="00D16EDB"/>
    <w:rsid w:val="00D20A7C"/>
    <w:rsid w:val="00D23B5D"/>
    <w:rsid w:val="00D24245"/>
    <w:rsid w:val="00D24DE6"/>
    <w:rsid w:val="00D26D3D"/>
    <w:rsid w:val="00D30D11"/>
    <w:rsid w:val="00D31C9D"/>
    <w:rsid w:val="00D324C6"/>
    <w:rsid w:val="00D3268E"/>
    <w:rsid w:val="00D32C00"/>
    <w:rsid w:val="00D33911"/>
    <w:rsid w:val="00D3473F"/>
    <w:rsid w:val="00D37769"/>
    <w:rsid w:val="00D379EE"/>
    <w:rsid w:val="00D37B7B"/>
    <w:rsid w:val="00D401C4"/>
    <w:rsid w:val="00D40A6F"/>
    <w:rsid w:val="00D40C00"/>
    <w:rsid w:val="00D43A75"/>
    <w:rsid w:val="00D43CF9"/>
    <w:rsid w:val="00D44F0F"/>
    <w:rsid w:val="00D46BBA"/>
    <w:rsid w:val="00D46E30"/>
    <w:rsid w:val="00D5042E"/>
    <w:rsid w:val="00D50987"/>
    <w:rsid w:val="00D51847"/>
    <w:rsid w:val="00D5202C"/>
    <w:rsid w:val="00D52B98"/>
    <w:rsid w:val="00D52FB3"/>
    <w:rsid w:val="00D533D8"/>
    <w:rsid w:val="00D53D54"/>
    <w:rsid w:val="00D5478A"/>
    <w:rsid w:val="00D54A73"/>
    <w:rsid w:val="00D55242"/>
    <w:rsid w:val="00D56BCC"/>
    <w:rsid w:val="00D571F9"/>
    <w:rsid w:val="00D57737"/>
    <w:rsid w:val="00D60DC8"/>
    <w:rsid w:val="00D615CA"/>
    <w:rsid w:val="00D61E05"/>
    <w:rsid w:val="00D632E6"/>
    <w:rsid w:val="00D63645"/>
    <w:rsid w:val="00D65C73"/>
    <w:rsid w:val="00D6684D"/>
    <w:rsid w:val="00D6776A"/>
    <w:rsid w:val="00D67B99"/>
    <w:rsid w:val="00D67BBA"/>
    <w:rsid w:val="00D7089E"/>
    <w:rsid w:val="00D70B09"/>
    <w:rsid w:val="00D70FFB"/>
    <w:rsid w:val="00D72AE7"/>
    <w:rsid w:val="00D732F8"/>
    <w:rsid w:val="00D73F51"/>
    <w:rsid w:val="00D74384"/>
    <w:rsid w:val="00D7522D"/>
    <w:rsid w:val="00D752F2"/>
    <w:rsid w:val="00D753E4"/>
    <w:rsid w:val="00D75684"/>
    <w:rsid w:val="00D76ECF"/>
    <w:rsid w:val="00D770FA"/>
    <w:rsid w:val="00D772AE"/>
    <w:rsid w:val="00D779F1"/>
    <w:rsid w:val="00D821C8"/>
    <w:rsid w:val="00D82477"/>
    <w:rsid w:val="00D83260"/>
    <w:rsid w:val="00D840B9"/>
    <w:rsid w:val="00D870A9"/>
    <w:rsid w:val="00D8742D"/>
    <w:rsid w:val="00D90157"/>
    <w:rsid w:val="00D907BD"/>
    <w:rsid w:val="00D91FEC"/>
    <w:rsid w:val="00D931AC"/>
    <w:rsid w:val="00D936A0"/>
    <w:rsid w:val="00D94A0A"/>
    <w:rsid w:val="00D95B02"/>
    <w:rsid w:val="00D96047"/>
    <w:rsid w:val="00D96E34"/>
    <w:rsid w:val="00D9728A"/>
    <w:rsid w:val="00DA2023"/>
    <w:rsid w:val="00DA2141"/>
    <w:rsid w:val="00DA59DA"/>
    <w:rsid w:val="00DA5BB7"/>
    <w:rsid w:val="00DA5EE0"/>
    <w:rsid w:val="00DA6C7F"/>
    <w:rsid w:val="00DA7FF0"/>
    <w:rsid w:val="00DB00F4"/>
    <w:rsid w:val="00DB09CE"/>
    <w:rsid w:val="00DB0ACF"/>
    <w:rsid w:val="00DB16DB"/>
    <w:rsid w:val="00DB1FFA"/>
    <w:rsid w:val="00DB34C0"/>
    <w:rsid w:val="00DB35A6"/>
    <w:rsid w:val="00DB4D65"/>
    <w:rsid w:val="00DB5414"/>
    <w:rsid w:val="00DB6C0D"/>
    <w:rsid w:val="00DB6F5A"/>
    <w:rsid w:val="00DB729D"/>
    <w:rsid w:val="00DB7F82"/>
    <w:rsid w:val="00DC008E"/>
    <w:rsid w:val="00DC0871"/>
    <w:rsid w:val="00DC0AF2"/>
    <w:rsid w:val="00DC0E68"/>
    <w:rsid w:val="00DC1299"/>
    <w:rsid w:val="00DC146D"/>
    <w:rsid w:val="00DC18EC"/>
    <w:rsid w:val="00DC1DDA"/>
    <w:rsid w:val="00DC2320"/>
    <w:rsid w:val="00DC2E35"/>
    <w:rsid w:val="00DC3B18"/>
    <w:rsid w:val="00DC43E7"/>
    <w:rsid w:val="00DC4779"/>
    <w:rsid w:val="00DC4876"/>
    <w:rsid w:val="00DC4E04"/>
    <w:rsid w:val="00DC4E56"/>
    <w:rsid w:val="00DC6DF6"/>
    <w:rsid w:val="00DC7535"/>
    <w:rsid w:val="00DC75C6"/>
    <w:rsid w:val="00DC7D35"/>
    <w:rsid w:val="00DD1D12"/>
    <w:rsid w:val="00DD22D4"/>
    <w:rsid w:val="00DD30F5"/>
    <w:rsid w:val="00DD3677"/>
    <w:rsid w:val="00DD3694"/>
    <w:rsid w:val="00DD4159"/>
    <w:rsid w:val="00DD49C0"/>
    <w:rsid w:val="00DD73AC"/>
    <w:rsid w:val="00DE03E3"/>
    <w:rsid w:val="00DE04CE"/>
    <w:rsid w:val="00DE09C2"/>
    <w:rsid w:val="00DE0F22"/>
    <w:rsid w:val="00DE2240"/>
    <w:rsid w:val="00DE3527"/>
    <w:rsid w:val="00DE43EE"/>
    <w:rsid w:val="00DE4586"/>
    <w:rsid w:val="00DE4B14"/>
    <w:rsid w:val="00DE4D16"/>
    <w:rsid w:val="00DE595E"/>
    <w:rsid w:val="00DE6875"/>
    <w:rsid w:val="00DE6FD7"/>
    <w:rsid w:val="00DE7A36"/>
    <w:rsid w:val="00DE7B9E"/>
    <w:rsid w:val="00DE7C82"/>
    <w:rsid w:val="00DF0A68"/>
    <w:rsid w:val="00DF2C1F"/>
    <w:rsid w:val="00DF4291"/>
    <w:rsid w:val="00DF4754"/>
    <w:rsid w:val="00DF563E"/>
    <w:rsid w:val="00DF7B03"/>
    <w:rsid w:val="00E02586"/>
    <w:rsid w:val="00E028DC"/>
    <w:rsid w:val="00E02F1D"/>
    <w:rsid w:val="00E03005"/>
    <w:rsid w:val="00E07B0D"/>
    <w:rsid w:val="00E10611"/>
    <w:rsid w:val="00E1119E"/>
    <w:rsid w:val="00E11CBD"/>
    <w:rsid w:val="00E12235"/>
    <w:rsid w:val="00E13833"/>
    <w:rsid w:val="00E147D3"/>
    <w:rsid w:val="00E155C7"/>
    <w:rsid w:val="00E15BED"/>
    <w:rsid w:val="00E15CBE"/>
    <w:rsid w:val="00E15CFF"/>
    <w:rsid w:val="00E175BE"/>
    <w:rsid w:val="00E20821"/>
    <w:rsid w:val="00E20D96"/>
    <w:rsid w:val="00E21038"/>
    <w:rsid w:val="00E235EA"/>
    <w:rsid w:val="00E23C3A"/>
    <w:rsid w:val="00E26090"/>
    <w:rsid w:val="00E26349"/>
    <w:rsid w:val="00E2697F"/>
    <w:rsid w:val="00E26CE9"/>
    <w:rsid w:val="00E27371"/>
    <w:rsid w:val="00E27BDC"/>
    <w:rsid w:val="00E31081"/>
    <w:rsid w:val="00E312BF"/>
    <w:rsid w:val="00E31B99"/>
    <w:rsid w:val="00E329F2"/>
    <w:rsid w:val="00E32E9C"/>
    <w:rsid w:val="00E3391A"/>
    <w:rsid w:val="00E33EB0"/>
    <w:rsid w:val="00E34A5E"/>
    <w:rsid w:val="00E356E0"/>
    <w:rsid w:val="00E35834"/>
    <w:rsid w:val="00E37A97"/>
    <w:rsid w:val="00E40D04"/>
    <w:rsid w:val="00E412B2"/>
    <w:rsid w:val="00E41AF8"/>
    <w:rsid w:val="00E42E3F"/>
    <w:rsid w:val="00E44D86"/>
    <w:rsid w:val="00E45879"/>
    <w:rsid w:val="00E47197"/>
    <w:rsid w:val="00E4757E"/>
    <w:rsid w:val="00E50DC9"/>
    <w:rsid w:val="00E51110"/>
    <w:rsid w:val="00E51ECB"/>
    <w:rsid w:val="00E53A02"/>
    <w:rsid w:val="00E55E72"/>
    <w:rsid w:val="00E55FB2"/>
    <w:rsid w:val="00E569CA"/>
    <w:rsid w:val="00E60643"/>
    <w:rsid w:val="00E62DE2"/>
    <w:rsid w:val="00E64F6C"/>
    <w:rsid w:val="00E65723"/>
    <w:rsid w:val="00E664A2"/>
    <w:rsid w:val="00E66F09"/>
    <w:rsid w:val="00E704EB"/>
    <w:rsid w:val="00E7375A"/>
    <w:rsid w:val="00E73A2F"/>
    <w:rsid w:val="00E77CF9"/>
    <w:rsid w:val="00E77E40"/>
    <w:rsid w:val="00E80B34"/>
    <w:rsid w:val="00E813F2"/>
    <w:rsid w:val="00E820FC"/>
    <w:rsid w:val="00E82E29"/>
    <w:rsid w:val="00E82E66"/>
    <w:rsid w:val="00E85418"/>
    <w:rsid w:val="00E85C7D"/>
    <w:rsid w:val="00E86CB2"/>
    <w:rsid w:val="00E87CE2"/>
    <w:rsid w:val="00E90A46"/>
    <w:rsid w:val="00E91726"/>
    <w:rsid w:val="00E9231E"/>
    <w:rsid w:val="00E93205"/>
    <w:rsid w:val="00E94900"/>
    <w:rsid w:val="00E950B3"/>
    <w:rsid w:val="00EA14F5"/>
    <w:rsid w:val="00EA1E30"/>
    <w:rsid w:val="00EA2D53"/>
    <w:rsid w:val="00EA2D72"/>
    <w:rsid w:val="00EA32C3"/>
    <w:rsid w:val="00EA3964"/>
    <w:rsid w:val="00EA3CC9"/>
    <w:rsid w:val="00EA4B8F"/>
    <w:rsid w:val="00EA4C2A"/>
    <w:rsid w:val="00EA5189"/>
    <w:rsid w:val="00EA54C0"/>
    <w:rsid w:val="00EA5726"/>
    <w:rsid w:val="00EA5901"/>
    <w:rsid w:val="00EA6496"/>
    <w:rsid w:val="00EB0160"/>
    <w:rsid w:val="00EB294B"/>
    <w:rsid w:val="00EB2B2D"/>
    <w:rsid w:val="00EB493C"/>
    <w:rsid w:val="00EB4DE8"/>
    <w:rsid w:val="00EB5588"/>
    <w:rsid w:val="00EB5885"/>
    <w:rsid w:val="00EB59C5"/>
    <w:rsid w:val="00EB722C"/>
    <w:rsid w:val="00EC118F"/>
    <w:rsid w:val="00EC1FF5"/>
    <w:rsid w:val="00EC295F"/>
    <w:rsid w:val="00EC5769"/>
    <w:rsid w:val="00EC5C31"/>
    <w:rsid w:val="00EC699F"/>
    <w:rsid w:val="00EC69E1"/>
    <w:rsid w:val="00EC782F"/>
    <w:rsid w:val="00ED070D"/>
    <w:rsid w:val="00ED17C5"/>
    <w:rsid w:val="00ED3B32"/>
    <w:rsid w:val="00ED495D"/>
    <w:rsid w:val="00ED7B2D"/>
    <w:rsid w:val="00EE222E"/>
    <w:rsid w:val="00EE2463"/>
    <w:rsid w:val="00EE2940"/>
    <w:rsid w:val="00EE2ACD"/>
    <w:rsid w:val="00EE2C70"/>
    <w:rsid w:val="00EE2DA6"/>
    <w:rsid w:val="00EE2DEA"/>
    <w:rsid w:val="00EE3508"/>
    <w:rsid w:val="00EE35B1"/>
    <w:rsid w:val="00EE3A12"/>
    <w:rsid w:val="00EE3D44"/>
    <w:rsid w:val="00EE4063"/>
    <w:rsid w:val="00EE54D8"/>
    <w:rsid w:val="00EE5D90"/>
    <w:rsid w:val="00EE6BC8"/>
    <w:rsid w:val="00EF010A"/>
    <w:rsid w:val="00EF2098"/>
    <w:rsid w:val="00EF230D"/>
    <w:rsid w:val="00EF4323"/>
    <w:rsid w:val="00EF448C"/>
    <w:rsid w:val="00EF4951"/>
    <w:rsid w:val="00EF50BF"/>
    <w:rsid w:val="00EF68B7"/>
    <w:rsid w:val="00EF757F"/>
    <w:rsid w:val="00EF7BD7"/>
    <w:rsid w:val="00EF7DA1"/>
    <w:rsid w:val="00F01095"/>
    <w:rsid w:val="00F0126E"/>
    <w:rsid w:val="00F0162A"/>
    <w:rsid w:val="00F01912"/>
    <w:rsid w:val="00F01D79"/>
    <w:rsid w:val="00F02344"/>
    <w:rsid w:val="00F030A5"/>
    <w:rsid w:val="00F031FF"/>
    <w:rsid w:val="00F04617"/>
    <w:rsid w:val="00F04DCF"/>
    <w:rsid w:val="00F04FB4"/>
    <w:rsid w:val="00F054C6"/>
    <w:rsid w:val="00F06126"/>
    <w:rsid w:val="00F0645F"/>
    <w:rsid w:val="00F06C3F"/>
    <w:rsid w:val="00F07C86"/>
    <w:rsid w:val="00F1083D"/>
    <w:rsid w:val="00F11D3B"/>
    <w:rsid w:val="00F13892"/>
    <w:rsid w:val="00F13BAB"/>
    <w:rsid w:val="00F14A8E"/>
    <w:rsid w:val="00F154D0"/>
    <w:rsid w:val="00F1554B"/>
    <w:rsid w:val="00F15D32"/>
    <w:rsid w:val="00F160AB"/>
    <w:rsid w:val="00F164E5"/>
    <w:rsid w:val="00F17886"/>
    <w:rsid w:val="00F17DC1"/>
    <w:rsid w:val="00F204C2"/>
    <w:rsid w:val="00F205F1"/>
    <w:rsid w:val="00F20B22"/>
    <w:rsid w:val="00F22646"/>
    <w:rsid w:val="00F23655"/>
    <w:rsid w:val="00F25ED7"/>
    <w:rsid w:val="00F264F4"/>
    <w:rsid w:val="00F278A9"/>
    <w:rsid w:val="00F3037A"/>
    <w:rsid w:val="00F30680"/>
    <w:rsid w:val="00F3088F"/>
    <w:rsid w:val="00F31782"/>
    <w:rsid w:val="00F31E19"/>
    <w:rsid w:val="00F33389"/>
    <w:rsid w:val="00F33C56"/>
    <w:rsid w:val="00F3786C"/>
    <w:rsid w:val="00F379CD"/>
    <w:rsid w:val="00F41DFD"/>
    <w:rsid w:val="00F42308"/>
    <w:rsid w:val="00F42883"/>
    <w:rsid w:val="00F42971"/>
    <w:rsid w:val="00F42F3C"/>
    <w:rsid w:val="00F432A0"/>
    <w:rsid w:val="00F435EC"/>
    <w:rsid w:val="00F455ED"/>
    <w:rsid w:val="00F465DD"/>
    <w:rsid w:val="00F47E55"/>
    <w:rsid w:val="00F50688"/>
    <w:rsid w:val="00F5340B"/>
    <w:rsid w:val="00F53A2F"/>
    <w:rsid w:val="00F53E0F"/>
    <w:rsid w:val="00F549E9"/>
    <w:rsid w:val="00F55442"/>
    <w:rsid w:val="00F55705"/>
    <w:rsid w:val="00F55884"/>
    <w:rsid w:val="00F56851"/>
    <w:rsid w:val="00F56C0A"/>
    <w:rsid w:val="00F573A1"/>
    <w:rsid w:val="00F57C50"/>
    <w:rsid w:val="00F61FBF"/>
    <w:rsid w:val="00F678AE"/>
    <w:rsid w:val="00F70431"/>
    <w:rsid w:val="00F70DCD"/>
    <w:rsid w:val="00F70FBF"/>
    <w:rsid w:val="00F71B77"/>
    <w:rsid w:val="00F73A15"/>
    <w:rsid w:val="00F7420C"/>
    <w:rsid w:val="00F7498C"/>
    <w:rsid w:val="00F75046"/>
    <w:rsid w:val="00F75C3E"/>
    <w:rsid w:val="00F7619F"/>
    <w:rsid w:val="00F77DB2"/>
    <w:rsid w:val="00F80575"/>
    <w:rsid w:val="00F819BC"/>
    <w:rsid w:val="00F822A3"/>
    <w:rsid w:val="00F82F1B"/>
    <w:rsid w:val="00F83041"/>
    <w:rsid w:val="00F8359F"/>
    <w:rsid w:val="00F8442A"/>
    <w:rsid w:val="00F85552"/>
    <w:rsid w:val="00F86233"/>
    <w:rsid w:val="00F86E74"/>
    <w:rsid w:val="00F8714F"/>
    <w:rsid w:val="00F878FC"/>
    <w:rsid w:val="00F90960"/>
    <w:rsid w:val="00F92A3E"/>
    <w:rsid w:val="00F9534B"/>
    <w:rsid w:val="00F954CE"/>
    <w:rsid w:val="00F970A8"/>
    <w:rsid w:val="00F9762D"/>
    <w:rsid w:val="00F97796"/>
    <w:rsid w:val="00F97B93"/>
    <w:rsid w:val="00F97ECA"/>
    <w:rsid w:val="00FA09FD"/>
    <w:rsid w:val="00FA0E6C"/>
    <w:rsid w:val="00FA372C"/>
    <w:rsid w:val="00FA3846"/>
    <w:rsid w:val="00FA3E78"/>
    <w:rsid w:val="00FA3FEA"/>
    <w:rsid w:val="00FA4E85"/>
    <w:rsid w:val="00FA5E37"/>
    <w:rsid w:val="00FA6786"/>
    <w:rsid w:val="00FA748A"/>
    <w:rsid w:val="00FA74CC"/>
    <w:rsid w:val="00FA754B"/>
    <w:rsid w:val="00FB108F"/>
    <w:rsid w:val="00FB6427"/>
    <w:rsid w:val="00FB6957"/>
    <w:rsid w:val="00FC03B9"/>
    <w:rsid w:val="00FC17D5"/>
    <w:rsid w:val="00FC2B22"/>
    <w:rsid w:val="00FC34F0"/>
    <w:rsid w:val="00FC4DE8"/>
    <w:rsid w:val="00FC5E32"/>
    <w:rsid w:val="00FC644A"/>
    <w:rsid w:val="00FC7390"/>
    <w:rsid w:val="00FD2932"/>
    <w:rsid w:val="00FD425B"/>
    <w:rsid w:val="00FD53AC"/>
    <w:rsid w:val="00FD58CD"/>
    <w:rsid w:val="00FD6368"/>
    <w:rsid w:val="00FD650C"/>
    <w:rsid w:val="00FD66EE"/>
    <w:rsid w:val="00FD7CCF"/>
    <w:rsid w:val="00FE0D99"/>
    <w:rsid w:val="00FE0F9F"/>
    <w:rsid w:val="00FE155D"/>
    <w:rsid w:val="00FE169D"/>
    <w:rsid w:val="00FE1FDC"/>
    <w:rsid w:val="00FE334C"/>
    <w:rsid w:val="00FE3D48"/>
    <w:rsid w:val="00FE41CE"/>
    <w:rsid w:val="00FE5F0D"/>
    <w:rsid w:val="00FE6D8B"/>
    <w:rsid w:val="00FF03AC"/>
    <w:rsid w:val="00FF1197"/>
    <w:rsid w:val="00FF22E3"/>
    <w:rsid w:val="00FF2FA6"/>
    <w:rsid w:val="00FF60A8"/>
    <w:rsid w:val="00FF6C98"/>
    <w:rsid w:val="00FF7272"/>
    <w:rsid w:val="00FF7A95"/>
    <w:rsid w:val="0A79FAE1"/>
    <w:rsid w:val="1B01D696"/>
    <w:rsid w:val="3C7F70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BCA06DF-5300-4E01-851D-21402728E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15184D"/>
    <w:pPr>
      <w:tabs>
        <w:tab w:val="num" w:pos="360"/>
      </w:tabs>
      <w:ind w:left="360" w:hanging="360"/>
      <w:contextualSpacing/>
    </w:pPr>
  </w:style>
  <w:style w:type="paragraph" w:styleId="ListBullet2">
    <w:name w:val="List Bullet 2"/>
    <w:basedOn w:val="Normal"/>
    <w:uiPriority w:val="99"/>
    <w:semiHidden/>
    <w:unhideWhenUsed/>
    <w:rsid w:val="0015184D"/>
    <w:pPr>
      <w:numPr>
        <w:numId w:val="2"/>
      </w:numPr>
      <w:contextualSpacing/>
    </w:pPr>
  </w:style>
  <w:style w:type="paragraph" w:styleId="ListBullet3">
    <w:name w:val="List Bullet 3"/>
    <w:basedOn w:val="Normal"/>
    <w:uiPriority w:val="99"/>
    <w:semiHidden/>
    <w:unhideWhenUsed/>
    <w:rsid w:val="0015184D"/>
    <w:pPr>
      <w:numPr>
        <w:numId w:val="3"/>
      </w:numPr>
      <w:contextualSpacing/>
    </w:pPr>
  </w:style>
  <w:style w:type="paragraph" w:styleId="ListBullet4">
    <w:name w:val="List Bullet 4"/>
    <w:basedOn w:val="Normal"/>
    <w:uiPriority w:val="99"/>
    <w:semiHidden/>
    <w:unhideWhenUsed/>
    <w:rsid w:val="0015184D"/>
    <w:pPr>
      <w:numPr>
        <w:numId w:val="4"/>
      </w:numPr>
      <w:contextualSpacing/>
    </w:pPr>
  </w:style>
  <w:style w:type="paragraph" w:styleId="BalloonText">
    <w:name w:val="Balloon Text"/>
    <w:basedOn w:val="Normal"/>
    <w:link w:val="BalloonTextChar"/>
    <w:uiPriority w:val="99"/>
    <w:semiHidden/>
    <w:unhideWhenUsed/>
    <w:rsid w:val="00D30D11"/>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D11"/>
    <w:rPr>
      <w:rFonts w:ascii="Tahoma" w:hAnsi="Tahoma" w:cs="Tahoma"/>
      <w:sz w:val="16"/>
      <w:szCs w:val="16"/>
      <w:lang w:val="en-GB"/>
    </w:rPr>
  </w:style>
  <w:style w:type="character" w:styleId="Strong">
    <w:name w:val="Strong"/>
    <w:basedOn w:val="DefaultParagraphFont"/>
    <w:uiPriority w:val="22"/>
    <w:qFormat/>
    <w:rsid w:val="00296F9F"/>
    <w:rPr>
      <w:b/>
      <w:bCs/>
    </w:rPr>
  </w:style>
  <w:style w:type="paragraph" w:styleId="ListParagraph">
    <w:name w:val="List Paragraph"/>
    <w:basedOn w:val="Normal"/>
    <w:uiPriority w:val="34"/>
    <w:qFormat/>
    <w:rsid w:val="00806041"/>
    <w:pPr>
      <w:ind w:left="720"/>
      <w:contextualSpacing/>
    </w:pPr>
  </w:style>
  <w:style w:type="paragraph" w:styleId="NoSpacing">
    <w:name w:val="No Spacing"/>
    <w:uiPriority w:val="1"/>
    <w:qFormat/>
    <w:rsid w:val="002E2D8A"/>
    <w:pPr>
      <w:spacing w:after="0" w:line="240" w:lineRule="auto"/>
      <w:jc w:val="both"/>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873933"/>
    <w:rPr>
      <w:sz w:val="16"/>
      <w:szCs w:val="16"/>
    </w:rPr>
  </w:style>
  <w:style w:type="paragraph" w:styleId="CommentText">
    <w:name w:val="annotation text"/>
    <w:basedOn w:val="Normal"/>
    <w:link w:val="CommentTextChar"/>
    <w:uiPriority w:val="99"/>
    <w:unhideWhenUsed/>
    <w:rsid w:val="00873933"/>
    <w:rPr>
      <w:sz w:val="20"/>
      <w:szCs w:val="20"/>
    </w:rPr>
  </w:style>
  <w:style w:type="character" w:customStyle="1" w:styleId="CommentTextChar">
    <w:name w:val="Comment Text Char"/>
    <w:basedOn w:val="DefaultParagraphFont"/>
    <w:link w:val="CommentText"/>
    <w:uiPriority w:val="99"/>
    <w:rsid w:val="00873933"/>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73933"/>
    <w:rPr>
      <w:b/>
      <w:bCs/>
    </w:rPr>
  </w:style>
  <w:style w:type="character" w:customStyle="1" w:styleId="CommentSubjectChar">
    <w:name w:val="Comment Subject Char"/>
    <w:basedOn w:val="CommentTextChar"/>
    <w:link w:val="CommentSubject"/>
    <w:uiPriority w:val="99"/>
    <w:semiHidden/>
    <w:rsid w:val="00873933"/>
    <w:rPr>
      <w:rFonts w:ascii="Times New Roman" w:hAnsi="Times New Roman" w:cs="Times New Roman"/>
      <w:b/>
      <w:bCs/>
      <w:sz w:val="20"/>
      <w:szCs w:val="20"/>
      <w:lang w:val="en-GB"/>
    </w:rPr>
  </w:style>
  <w:style w:type="paragraph" w:customStyle="1" w:styleId="CM1">
    <w:name w:val="CM1"/>
    <w:basedOn w:val="Normal"/>
    <w:next w:val="Normal"/>
    <w:uiPriority w:val="99"/>
    <w:rsid w:val="00B87A6F"/>
    <w:pPr>
      <w:autoSpaceDE w:val="0"/>
      <w:autoSpaceDN w:val="0"/>
      <w:adjustRightInd w:val="0"/>
      <w:spacing w:before="0" w:after="0"/>
      <w:jc w:val="left"/>
    </w:pPr>
    <w:rPr>
      <w:rFonts w:ascii="EUAlbertina" w:eastAsia="Times New Roman" w:hAnsi="EUAlbertina"/>
      <w:szCs w:val="24"/>
      <w:lang w:eastAsia="en-GB"/>
    </w:rPr>
  </w:style>
  <w:style w:type="paragraph" w:customStyle="1" w:styleId="CM4">
    <w:name w:val="CM4"/>
    <w:basedOn w:val="Normal"/>
    <w:next w:val="Normal"/>
    <w:uiPriority w:val="99"/>
    <w:rsid w:val="00B87A6F"/>
    <w:pPr>
      <w:autoSpaceDE w:val="0"/>
      <w:autoSpaceDN w:val="0"/>
      <w:adjustRightInd w:val="0"/>
      <w:spacing w:before="0" w:after="0"/>
      <w:jc w:val="left"/>
    </w:pPr>
    <w:rPr>
      <w:rFonts w:ascii="EUAlbertina" w:eastAsia="Times New Roman" w:hAnsi="EUAlbertina"/>
      <w:szCs w:val="24"/>
      <w:lang w:eastAsia="en-GB"/>
    </w:rPr>
  </w:style>
  <w:style w:type="paragraph" w:styleId="Caption">
    <w:name w:val="caption"/>
    <w:basedOn w:val="Normal"/>
    <w:next w:val="Normal"/>
    <w:uiPriority w:val="35"/>
    <w:semiHidden/>
    <w:unhideWhenUsed/>
    <w:qFormat/>
    <w:rsid w:val="003A46D7"/>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3A46D7"/>
    <w:pPr>
      <w:spacing w:after="0"/>
    </w:pPr>
  </w:style>
  <w:style w:type="paragraph" w:styleId="ListNumber">
    <w:name w:val="List Number"/>
    <w:basedOn w:val="Normal"/>
    <w:uiPriority w:val="99"/>
    <w:semiHidden/>
    <w:unhideWhenUsed/>
    <w:rsid w:val="003A46D7"/>
    <w:pPr>
      <w:numPr>
        <w:numId w:val="5"/>
      </w:numPr>
      <w:contextualSpacing/>
    </w:pPr>
  </w:style>
  <w:style w:type="paragraph" w:styleId="ListNumber2">
    <w:name w:val="List Number 2"/>
    <w:basedOn w:val="Normal"/>
    <w:uiPriority w:val="99"/>
    <w:semiHidden/>
    <w:unhideWhenUsed/>
    <w:rsid w:val="003A46D7"/>
    <w:pPr>
      <w:numPr>
        <w:numId w:val="6"/>
      </w:numPr>
      <w:contextualSpacing/>
    </w:pPr>
  </w:style>
  <w:style w:type="paragraph" w:styleId="ListNumber3">
    <w:name w:val="List Number 3"/>
    <w:basedOn w:val="Normal"/>
    <w:uiPriority w:val="99"/>
    <w:semiHidden/>
    <w:unhideWhenUsed/>
    <w:rsid w:val="003A46D7"/>
    <w:pPr>
      <w:numPr>
        <w:numId w:val="7"/>
      </w:numPr>
      <w:contextualSpacing/>
    </w:pPr>
  </w:style>
  <w:style w:type="paragraph" w:styleId="ListNumber4">
    <w:name w:val="List Number 4"/>
    <w:basedOn w:val="Normal"/>
    <w:uiPriority w:val="99"/>
    <w:semiHidden/>
    <w:unhideWhenUsed/>
    <w:rsid w:val="003A46D7"/>
    <w:pPr>
      <w:numPr>
        <w:numId w:val="8"/>
      </w:numPr>
      <w:contextualSpacing/>
    </w:pPr>
  </w:style>
  <w:style w:type="character" w:styleId="Hyperlink">
    <w:name w:val="Hyperlink"/>
    <w:basedOn w:val="DefaultParagraphFont"/>
    <w:uiPriority w:val="99"/>
    <w:unhideWhenUsed/>
    <w:rsid w:val="004C6221"/>
    <w:rPr>
      <w:color w:val="0000FF" w:themeColor="hyperlink"/>
      <w:u w:val="single"/>
    </w:rPr>
  </w:style>
  <w:style w:type="character" w:styleId="FollowedHyperlink">
    <w:name w:val="FollowedHyperlink"/>
    <w:basedOn w:val="DefaultParagraphFont"/>
    <w:uiPriority w:val="99"/>
    <w:semiHidden/>
    <w:unhideWhenUsed/>
    <w:rsid w:val="006B2B01"/>
    <w:rPr>
      <w:color w:val="800080" w:themeColor="followedHyperlink"/>
      <w:u w:val="single"/>
    </w:rPr>
  </w:style>
  <w:style w:type="paragraph" w:styleId="NormalWeb">
    <w:name w:val="Normal (Web)"/>
    <w:basedOn w:val="Normal"/>
    <w:uiPriority w:val="99"/>
    <w:unhideWhenUsed/>
    <w:rsid w:val="0061025A"/>
    <w:pPr>
      <w:spacing w:before="100" w:beforeAutospacing="1" w:after="100" w:afterAutospacing="1"/>
      <w:jc w:val="left"/>
    </w:pPr>
    <w:rPr>
      <w:rFonts w:eastAsia="Times New Roman"/>
      <w:szCs w:val="24"/>
      <w:lang w:eastAsia="en-GB"/>
    </w:rPr>
  </w:style>
  <w:style w:type="character" w:styleId="Emphasis">
    <w:name w:val="Emphasis"/>
    <w:basedOn w:val="DefaultParagraphFont"/>
    <w:uiPriority w:val="20"/>
    <w:qFormat/>
    <w:rsid w:val="0061025A"/>
    <w:rPr>
      <w:i/>
      <w:iCs/>
    </w:rPr>
  </w:style>
  <w:style w:type="character" w:customStyle="1" w:styleId="Point1letterChar">
    <w:name w:val="Point 1 (letter) Char"/>
    <w:rsid w:val="00821B3F"/>
    <w:rPr>
      <w:rFonts w:ascii="Times New Roman" w:hAnsi="Times New Roman" w:cs="Times New Roman"/>
      <w:sz w:val="24"/>
      <w:lang w:val="en-GB"/>
    </w:rPr>
  </w:style>
  <w:style w:type="paragraph" w:customStyle="1" w:styleId="titlepage">
    <w:name w:val="title page"/>
    <w:basedOn w:val="Normal"/>
    <w:link w:val="titlepageChar"/>
    <w:qFormat/>
    <w:rsid w:val="00F73A15"/>
    <w:pPr>
      <w:jc w:val="left"/>
    </w:pPr>
    <w:rPr>
      <w:rFonts w:ascii="Arial" w:hAnsi="Arial" w:cstheme="minorBidi"/>
      <w:sz w:val="52"/>
      <w:lang w:val="de-DE"/>
    </w:rPr>
  </w:style>
  <w:style w:type="character" w:customStyle="1" w:styleId="titlepageChar">
    <w:name w:val="title page Char"/>
    <w:basedOn w:val="DefaultParagraphFont"/>
    <w:link w:val="titlepage"/>
    <w:rsid w:val="00F73A15"/>
    <w:rPr>
      <w:rFonts w:ascii="Arial" w:hAnsi="Arial"/>
      <w:sz w:val="52"/>
      <w:lang w:val="de-DE"/>
    </w:rPr>
  </w:style>
  <w:style w:type="paragraph" w:customStyle="1" w:styleId="CoretextOTIF">
    <w:name w:val="Core text OTIF"/>
    <w:basedOn w:val="Normal"/>
    <w:link w:val="CoretextOTIFCar"/>
    <w:autoRedefine/>
    <w:qFormat/>
    <w:rsid w:val="00180F68"/>
    <w:pPr>
      <w:tabs>
        <w:tab w:val="left" w:pos="851"/>
        <w:tab w:val="left" w:pos="1418"/>
        <w:tab w:val="left" w:pos="1985"/>
        <w:tab w:val="left" w:pos="2552"/>
        <w:tab w:val="left" w:pos="3119"/>
        <w:tab w:val="left" w:pos="4536"/>
      </w:tabs>
      <w:spacing w:before="0" w:after="240"/>
    </w:pPr>
    <w:rPr>
      <w:rFonts w:eastAsia="Times New Roman"/>
      <w:bCs/>
      <w:color w:val="00B050"/>
      <w:szCs w:val="24"/>
      <w:lang w:eastAsia="fr-FR"/>
    </w:rPr>
  </w:style>
  <w:style w:type="character" w:customStyle="1" w:styleId="CoretextOTIFCar">
    <w:name w:val="Core text OTIF Car"/>
    <w:basedOn w:val="DefaultParagraphFont"/>
    <w:link w:val="CoretextOTIF"/>
    <w:rsid w:val="00180F68"/>
    <w:rPr>
      <w:rFonts w:ascii="Times New Roman" w:eastAsia="Times New Roman" w:hAnsi="Times New Roman" w:cs="Times New Roman"/>
      <w:bCs/>
      <w:color w:val="00B050"/>
      <w:sz w:val="24"/>
      <w:szCs w:val="24"/>
      <w:lang w:val="en-GB" w:eastAsia="fr-FR"/>
    </w:rPr>
  </w:style>
  <w:style w:type="paragraph" w:styleId="Revision">
    <w:name w:val="Revision"/>
    <w:hidden/>
    <w:uiPriority w:val="99"/>
    <w:semiHidden/>
    <w:rsid w:val="00545455"/>
    <w:pPr>
      <w:spacing w:after="0" w:line="240" w:lineRule="auto"/>
    </w:pPr>
    <w:rPr>
      <w:rFonts w:ascii="Times New Roman" w:hAnsi="Times New Roman" w:cs="Times New Roman"/>
      <w:sz w:val="24"/>
      <w:lang w:val="en-GB"/>
    </w:rPr>
  </w:style>
  <w:style w:type="paragraph" w:customStyle="1" w:styleId="OTIFBullet2">
    <w:name w:val="OTIF Bullet 2"/>
    <w:basedOn w:val="CoretextOTIF"/>
    <w:qFormat/>
    <w:rsid w:val="00C367DF"/>
    <w:pPr>
      <w:numPr>
        <w:numId w:val="13"/>
      </w:numPr>
      <w:spacing w:before="120" w:after="0"/>
      <w:ind w:left="568" w:hanging="284"/>
    </w:pPr>
    <w:rPr>
      <w:color w:val="auto"/>
      <w:sz w:val="22"/>
    </w:rPr>
  </w:style>
  <w:style w:type="character" w:customStyle="1" w:styleId="UnresolvedMention1">
    <w:name w:val="Unresolved Mention1"/>
    <w:basedOn w:val="DefaultParagraphFont"/>
    <w:uiPriority w:val="99"/>
    <w:semiHidden/>
    <w:unhideWhenUsed/>
    <w:rsid w:val="00890773"/>
    <w:rPr>
      <w:color w:val="605E5C"/>
      <w:shd w:val="clear" w:color="auto" w:fill="E1DFDD"/>
    </w:rPr>
  </w:style>
  <w:style w:type="table" w:styleId="TableGrid">
    <w:name w:val="Table Grid"/>
    <w:basedOn w:val="TableNormal"/>
    <w:rsid w:val="00B03975"/>
    <w:pPr>
      <w:tabs>
        <w:tab w:val="left" w:pos="425"/>
        <w:tab w:val="left" w:pos="851"/>
        <w:tab w:val="left" w:pos="1276"/>
      </w:tabs>
      <w:spacing w:after="0" w:line="240" w:lineRule="auto"/>
      <w:jc w:val="both"/>
    </w:pPr>
    <w:rPr>
      <w:rFonts w:ascii="Times New Roman" w:eastAsia="Times New Roman" w:hAnsi="Times New Roman" w:cs="Times New Roman"/>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B03975"/>
    <w:pPr>
      <w:tabs>
        <w:tab w:val="left" w:pos="425"/>
        <w:tab w:val="left" w:pos="851"/>
        <w:tab w:val="left" w:pos="1276"/>
      </w:tabs>
      <w:spacing w:after="0" w:line="240" w:lineRule="auto"/>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C42A07"/>
    <w:rPr>
      <w:color w:val="605E5C"/>
      <w:shd w:val="clear" w:color="auto" w:fill="E1DFDD"/>
    </w:rPr>
  </w:style>
  <w:style w:type="paragraph" w:customStyle="1" w:styleId="UTUPoint0letter">
    <w:name w:val="UTUPoint 0 (letter)"/>
    <w:basedOn w:val="Point0letter"/>
    <w:rsid w:val="00252D9D"/>
    <w:rPr>
      <w:noProof/>
    </w:rPr>
  </w:style>
  <w:style w:type="paragraph" w:customStyle="1" w:styleId="FTiret0">
    <w:name w:val="FTiret 0"/>
    <w:basedOn w:val="Tiret0"/>
    <w:rsid w:val="00F435EC"/>
    <w:pPr>
      <w:numPr>
        <w:numId w:val="1"/>
      </w:numPr>
    </w:pPr>
  </w:style>
  <w:style w:type="character" w:customStyle="1" w:styleId="Mention">
    <w:name w:val="Mention"/>
    <w:basedOn w:val="DefaultParagraphFont"/>
    <w:uiPriority w:val="99"/>
    <w:unhideWhenUsed/>
    <w:rsid w:val="00F822A3"/>
    <w:rPr>
      <w:color w:val="2B579A"/>
      <w:shd w:val="clear" w:color="auto" w:fill="E1DFDD"/>
    </w:rPr>
  </w:style>
  <w:style w:type="character" w:customStyle="1" w:styleId="HeaderChar">
    <w:name w:val="Header Char"/>
    <w:basedOn w:val="DefaultParagraphFont"/>
    <w:link w:val="Header"/>
    <w:uiPriority w:val="99"/>
    <w:rsid w:val="004168CF"/>
    <w:rPr>
      <w:rFonts w:ascii="Times New Roman" w:hAnsi="Times New Roman" w:cs="Times New Roman"/>
      <w:sz w:val="24"/>
      <w:lang w:val="en-GB"/>
    </w:rPr>
  </w:style>
  <w:style w:type="character" w:customStyle="1" w:styleId="FooterChar">
    <w:name w:val="Footer Char"/>
    <w:basedOn w:val="DefaultParagraphFont"/>
    <w:link w:val="Footer"/>
    <w:uiPriority w:val="99"/>
    <w:rsid w:val="004168C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168C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168CF"/>
    <w:pPr>
      <w:spacing w:before="0"/>
      <w:jc w:val="right"/>
    </w:pPr>
    <w:rPr>
      <w:sz w:val="28"/>
    </w:rPr>
  </w:style>
  <w:style w:type="paragraph" w:customStyle="1" w:styleId="FooterSensitivity">
    <w:name w:val="Footer Sensitivity"/>
    <w:basedOn w:val="Normal"/>
    <w:rsid w:val="004168C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168CF"/>
    <w:pPr>
      <w:tabs>
        <w:tab w:val="center" w:pos="4535"/>
        <w:tab w:val="right" w:pos="9071"/>
      </w:tabs>
      <w:spacing w:before="0"/>
    </w:pPr>
  </w:style>
  <w:style w:type="paragraph" w:customStyle="1" w:styleId="HeaderLandscape">
    <w:name w:val="HeaderLandscape"/>
    <w:basedOn w:val="Normal"/>
    <w:rsid w:val="004168CF"/>
    <w:pPr>
      <w:tabs>
        <w:tab w:val="center" w:pos="7285"/>
        <w:tab w:val="right" w:pos="14003"/>
      </w:tabs>
      <w:spacing w:before="0"/>
    </w:pPr>
  </w:style>
  <w:style w:type="paragraph" w:styleId="Footer">
    <w:name w:val="footer"/>
    <w:basedOn w:val="Normal"/>
    <w:link w:val="FooterChar"/>
    <w:uiPriority w:val="99"/>
    <w:unhideWhenUsed/>
    <w:rsid w:val="004168C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168C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134256">
      <w:bodyDiv w:val="1"/>
      <w:marLeft w:val="0"/>
      <w:marRight w:val="0"/>
      <w:marTop w:val="0"/>
      <w:marBottom w:val="0"/>
      <w:divBdr>
        <w:top w:val="none" w:sz="0" w:space="0" w:color="auto"/>
        <w:left w:val="none" w:sz="0" w:space="0" w:color="auto"/>
        <w:bottom w:val="none" w:sz="0" w:space="0" w:color="auto"/>
        <w:right w:val="none" w:sz="0" w:space="0" w:color="auto"/>
      </w:divBdr>
    </w:div>
    <w:div w:id="169878132">
      <w:bodyDiv w:val="1"/>
      <w:marLeft w:val="0"/>
      <w:marRight w:val="0"/>
      <w:marTop w:val="0"/>
      <w:marBottom w:val="0"/>
      <w:divBdr>
        <w:top w:val="none" w:sz="0" w:space="0" w:color="auto"/>
        <w:left w:val="none" w:sz="0" w:space="0" w:color="auto"/>
        <w:bottom w:val="none" w:sz="0" w:space="0" w:color="auto"/>
        <w:right w:val="none" w:sz="0" w:space="0" w:color="auto"/>
      </w:divBdr>
    </w:div>
    <w:div w:id="209920483">
      <w:bodyDiv w:val="1"/>
      <w:marLeft w:val="0"/>
      <w:marRight w:val="0"/>
      <w:marTop w:val="0"/>
      <w:marBottom w:val="0"/>
      <w:divBdr>
        <w:top w:val="none" w:sz="0" w:space="0" w:color="auto"/>
        <w:left w:val="none" w:sz="0" w:space="0" w:color="auto"/>
        <w:bottom w:val="none" w:sz="0" w:space="0" w:color="auto"/>
        <w:right w:val="none" w:sz="0" w:space="0" w:color="auto"/>
      </w:divBdr>
    </w:div>
    <w:div w:id="304354615">
      <w:bodyDiv w:val="1"/>
      <w:marLeft w:val="0"/>
      <w:marRight w:val="0"/>
      <w:marTop w:val="0"/>
      <w:marBottom w:val="0"/>
      <w:divBdr>
        <w:top w:val="none" w:sz="0" w:space="0" w:color="auto"/>
        <w:left w:val="none" w:sz="0" w:space="0" w:color="auto"/>
        <w:bottom w:val="none" w:sz="0" w:space="0" w:color="auto"/>
        <w:right w:val="none" w:sz="0" w:space="0" w:color="auto"/>
      </w:divBdr>
    </w:div>
    <w:div w:id="327683497">
      <w:bodyDiv w:val="1"/>
      <w:marLeft w:val="0"/>
      <w:marRight w:val="0"/>
      <w:marTop w:val="0"/>
      <w:marBottom w:val="0"/>
      <w:divBdr>
        <w:top w:val="none" w:sz="0" w:space="0" w:color="auto"/>
        <w:left w:val="none" w:sz="0" w:space="0" w:color="auto"/>
        <w:bottom w:val="none" w:sz="0" w:space="0" w:color="auto"/>
        <w:right w:val="none" w:sz="0" w:space="0" w:color="auto"/>
      </w:divBdr>
    </w:div>
    <w:div w:id="380908776">
      <w:bodyDiv w:val="1"/>
      <w:marLeft w:val="0"/>
      <w:marRight w:val="0"/>
      <w:marTop w:val="0"/>
      <w:marBottom w:val="0"/>
      <w:divBdr>
        <w:top w:val="none" w:sz="0" w:space="0" w:color="auto"/>
        <w:left w:val="none" w:sz="0" w:space="0" w:color="auto"/>
        <w:bottom w:val="none" w:sz="0" w:space="0" w:color="auto"/>
        <w:right w:val="none" w:sz="0" w:space="0" w:color="auto"/>
      </w:divBdr>
    </w:div>
    <w:div w:id="398678482">
      <w:bodyDiv w:val="1"/>
      <w:marLeft w:val="0"/>
      <w:marRight w:val="0"/>
      <w:marTop w:val="0"/>
      <w:marBottom w:val="0"/>
      <w:divBdr>
        <w:top w:val="none" w:sz="0" w:space="0" w:color="auto"/>
        <w:left w:val="none" w:sz="0" w:space="0" w:color="auto"/>
        <w:bottom w:val="none" w:sz="0" w:space="0" w:color="auto"/>
        <w:right w:val="none" w:sz="0" w:space="0" w:color="auto"/>
      </w:divBdr>
    </w:div>
    <w:div w:id="465974231">
      <w:bodyDiv w:val="1"/>
      <w:marLeft w:val="0"/>
      <w:marRight w:val="0"/>
      <w:marTop w:val="0"/>
      <w:marBottom w:val="0"/>
      <w:divBdr>
        <w:top w:val="none" w:sz="0" w:space="0" w:color="auto"/>
        <w:left w:val="none" w:sz="0" w:space="0" w:color="auto"/>
        <w:bottom w:val="none" w:sz="0" w:space="0" w:color="auto"/>
        <w:right w:val="none" w:sz="0" w:space="0" w:color="auto"/>
      </w:divBdr>
    </w:div>
    <w:div w:id="466171618">
      <w:bodyDiv w:val="1"/>
      <w:marLeft w:val="0"/>
      <w:marRight w:val="0"/>
      <w:marTop w:val="0"/>
      <w:marBottom w:val="0"/>
      <w:divBdr>
        <w:top w:val="none" w:sz="0" w:space="0" w:color="auto"/>
        <w:left w:val="none" w:sz="0" w:space="0" w:color="auto"/>
        <w:bottom w:val="none" w:sz="0" w:space="0" w:color="auto"/>
        <w:right w:val="none" w:sz="0" w:space="0" w:color="auto"/>
      </w:divBdr>
    </w:div>
    <w:div w:id="495222393">
      <w:bodyDiv w:val="1"/>
      <w:marLeft w:val="0"/>
      <w:marRight w:val="0"/>
      <w:marTop w:val="0"/>
      <w:marBottom w:val="0"/>
      <w:divBdr>
        <w:top w:val="none" w:sz="0" w:space="0" w:color="auto"/>
        <w:left w:val="none" w:sz="0" w:space="0" w:color="auto"/>
        <w:bottom w:val="none" w:sz="0" w:space="0" w:color="auto"/>
        <w:right w:val="none" w:sz="0" w:space="0" w:color="auto"/>
      </w:divBdr>
    </w:div>
    <w:div w:id="641934273">
      <w:bodyDiv w:val="1"/>
      <w:marLeft w:val="0"/>
      <w:marRight w:val="0"/>
      <w:marTop w:val="0"/>
      <w:marBottom w:val="0"/>
      <w:divBdr>
        <w:top w:val="none" w:sz="0" w:space="0" w:color="auto"/>
        <w:left w:val="none" w:sz="0" w:space="0" w:color="auto"/>
        <w:bottom w:val="none" w:sz="0" w:space="0" w:color="auto"/>
        <w:right w:val="none" w:sz="0" w:space="0" w:color="auto"/>
      </w:divBdr>
      <w:divsChild>
        <w:div w:id="422533878">
          <w:marLeft w:val="0"/>
          <w:marRight w:val="0"/>
          <w:marTop w:val="0"/>
          <w:marBottom w:val="0"/>
          <w:divBdr>
            <w:top w:val="none" w:sz="0" w:space="0" w:color="auto"/>
            <w:left w:val="none" w:sz="0" w:space="0" w:color="auto"/>
            <w:bottom w:val="none" w:sz="0" w:space="0" w:color="auto"/>
            <w:right w:val="none" w:sz="0" w:space="0" w:color="auto"/>
          </w:divBdr>
        </w:div>
        <w:div w:id="635333534">
          <w:marLeft w:val="0"/>
          <w:marRight w:val="0"/>
          <w:marTop w:val="0"/>
          <w:marBottom w:val="0"/>
          <w:divBdr>
            <w:top w:val="none" w:sz="0" w:space="0" w:color="auto"/>
            <w:left w:val="none" w:sz="0" w:space="0" w:color="auto"/>
            <w:bottom w:val="none" w:sz="0" w:space="0" w:color="auto"/>
            <w:right w:val="none" w:sz="0" w:space="0" w:color="auto"/>
          </w:divBdr>
        </w:div>
        <w:div w:id="865140760">
          <w:marLeft w:val="0"/>
          <w:marRight w:val="0"/>
          <w:marTop w:val="0"/>
          <w:marBottom w:val="0"/>
          <w:divBdr>
            <w:top w:val="none" w:sz="0" w:space="0" w:color="auto"/>
            <w:left w:val="none" w:sz="0" w:space="0" w:color="auto"/>
            <w:bottom w:val="none" w:sz="0" w:space="0" w:color="auto"/>
            <w:right w:val="none" w:sz="0" w:space="0" w:color="auto"/>
          </w:divBdr>
        </w:div>
        <w:div w:id="1028991040">
          <w:marLeft w:val="0"/>
          <w:marRight w:val="0"/>
          <w:marTop w:val="0"/>
          <w:marBottom w:val="0"/>
          <w:divBdr>
            <w:top w:val="none" w:sz="0" w:space="0" w:color="auto"/>
            <w:left w:val="none" w:sz="0" w:space="0" w:color="auto"/>
            <w:bottom w:val="none" w:sz="0" w:space="0" w:color="auto"/>
            <w:right w:val="none" w:sz="0" w:space="0" w:color="auto"/>
          </w:divBdr>
        </w:div>
      </w:divsChild>
    </w:div>
    <w:div w:id="649746802">
      <w:bodyDiv w:val="1"/>
      <w:marLeft w:val="0"/>
      <w:marRight w:val="0"/>
      <w:marTop w:val="0"/>
      <w:marBottom w:val="0"/>
      <w:divBdr>
        <w:top w:val="none" w:sz="0" w:space="0" w:color="auto"/>
        <w:left w:val="none" w:sz="0" w:space="0" w:color="auto"/>
        <w:bottom w:val="none" w:sz="0" w:space="0" w:color="auto"/>
        <w:right w:val="none" w:sz="0" w:space="0" w:color="auto"/>
      </w:divBdr>
    </w:div>
    <w:div w:id="679508494">
      <w:bodyDiv w:val="1"/>
      <w:marLeft w:val="0"/>
      <w:marRight w:val="0"/>
      <w:marTop w:val="0"/>
      <w:marBottom w:val="0"/>
      <w:divBdr>
        <w:top w:val="none" w:sz="0" w:space="0" w:color="auto"/>
        <w:left w:val="none" w:sz="0" w:space="0" w:color="auto"/>
        <w:bottom w:val="none" w:sz="0" w:space="0" w:color="auto"/>
        <w:right w:val="none" w:sz="0" w:space="0" w:color="auto"/>
      </w:divBdr>
    </w:div>
    <w:div w:id="696346819">
      <w:bodyDiv w:val="1"/>
      <w:marLeft w:val="0"/>
      <w:marRight w:val="0"/>
      <w:marTop w:val="0"/>
      <w:marBottom w:val="0"/>
      <w:divBdr>
        <w:top w:val="none" w:sz="0" w:space="0" w:color="auto"/>
        <w:left w:val="none" w:sz="0" w:space="0" w:color="auto"/>
        <w:bottom w:val="none" w:sz="0" w:space="0" w:color="auto"/>
        <w:right w:val="none" w:sz="0" w:space="0" w:color="auto"/>
      </w:divBdr>
    </w:div>
    <w:div w:id="755980623">
      <w:bodyDiv w:val="1"/>
      <w:marLeft w:val="0"/>
      <w:marRight w:val="0"/>
      <w:marTop w:val="0"/>
      <w:marBottom w:val="0"/>
      <w:divBdr>
        <w:top w:val="none" w:sz="0" w:space="0" w:color="auto"/>
        <w:left w:val="none" w:sz="0" w:space="0" w:color="auto"/>
        <w:bottom w:val="none" w:sz="0" w:space="0" w:color="auto"/>
        <w:right w:val="none" w:sz="0" w:space="0" w:color="auto"/>
      </w:divBdr>
    </w:div>
    <w:div w:id="809638593">
      <w:bodyDiv w:val="1"/>
      <w:marLeft w:val="0"/>
      <w:marRight w:val="0"/>
      <w:marTop w:val="0"/>
      <w:marBottom w:val="0"/>
      <w:divBdr>
        <w:top w:val="none" w:sz="0" w:space="0" w:color="auto"/>
        <w:left w:val="none" w:sz="0" w:space="0" w:color="auto"/>
        <w:bottom w:val="none" w:sz="0" w:space="0" w:color="auto"/>
        <w:right w:val="none" w:sz="0" w:space="0" w:color="auto"/>
      </w:divBdr>
    </w:div>
    <w:div w:id="962808361">
      <w:bodyDiv w:val="1"/>
      <w:marLeft w:val="0"/>
      <w:marRight w:val="0"/>
      <w:marTop w:val="0"/>
      <w:marBottom w:val="0"/>
      <w:divBdr>
        <w:top w:val="none" w:sz="0" w:space="0" w:color="auto"/>
        <w:left w:val="none" w:sz="0" w:space="0" w:color="auto"/>
        <w:bottom w:val="none" w:sz="0" w:space="0" w:color="auto"/>
        <w:right w:val="none" w:sz="0" w:space="0" w:color="auto"/>
      </w:divBdr>
    </w:div>
    <w:div w:id="1049497549">
      <w:bodyDiv w:val="1"/>
      <w:marLeft w:val="0"/>
      <w:marRight w:val="0"/>
      <w:marTop w:val="0"/>
      <w:marBottom w:val="0"/>
      <w:divBdr>
        <w:top w:val="none" w:sz="0" w:space="0" w:color="auto"/>
        <w:left w:val="none" w:sz="0" w:space="0" w:color="auto"/>
        <w:bottom w:val="none" w:sz="0" w:space="0" w:color="auto"/>
        <w:right w:val="none" w:sz="0" w:space="0" w:color="auto"/>
      </w:divBdr>
    </w:div>
    <w:div w:id="1182546257">
      <w:bodyDiv w:val="1"/>
      <w:marLeft w:val="0"/>
      <w:marRight w:val="0"/>
      <w:marTop w:val="0"/>
      <w:marBottom w:val="0"/>
      <w:divBdr>
        <w:top w:val="none" w:sz="0" w:space="0" w:color="auto"/>
        <w:left w:val="none" w:sz="0" w:space="0" w:color="auto"/>
        <w:bottom w:val="none" w:sz="0" w:space="0" w:color="auto"/>
        <w:right w:val="none" w:sz="0" w:space="0" w:color="auto"/>
      </w:divBdr>
    </w:div>
    <w:div w:id="1187448155">
      <w:bodyDiv w:val="1"/>
      <w:marLeft w:val="0"/>
      <w:marRight w:val="0"/>
      <w:marTop w:val="0"/>
      <w:marBottom w:val="0"/>
      <w:divBdr>
        <w:top w:val="none" w:sz="0" w:space="0" w:color="auto"/>
        <w:left w:val="none" w:sz="0" w:space="0" w:color="auto"/>
        <w:bottom w:val="none" w:sz="0" w:space="0" w:color="auto"/>
        <w:right w:val="none" w:sz="0" w:space="0" w:color="auto"/>
      </w:divBdr>
    </w:div>
    <w:div w:id="1244992220">
      <w:bodyDiv w:val="1"/>
      <w:marLeft w:val="0"/>
      <w:marRight w:val="0"/>
      <w:marTop w:val="0"/>
      <w:marBottom w:val="0"/>
      <w:divBdr>
        <w:top w:val="none" w:sz="0" w:space="0" w:color="auto"/>
        <w:left w:val="none" w:sz="0" w:space="0" w:color="auto"/>
        <w:bottom w:val="none" w:sz="0" w:space="0" w:color="auto"/>
        <w:right w:val="none" w:sz="0" w:space="0" w:color="auto"/>
      </w:divBdr>
    </w:div>
    <w:div w:id="1250848605">
      <w:bodyDiv w:val="1"/>
      <w:marLeft w:val="0"/>
      <w:marRight w:val="0"/>
      <w:marTop w:val="0"/>
      <w:marBottom w:val="0"/>
      <w:divBdr>
        <w:top w:val="none" w:sz="0" w:space="0" w:color="auto"/>
        <w:left w:val="none" w:sz="0" w:space="0" w:color="auto"/>
        <w:bottom w:val="none" w:sz="0" w:space="0" w:color="auto"/>
        <w:right w:val="none" w:sz="0" w:space="0" w:color="auto"/>
      </w:divBdr>
    </w:div>
    <w:div w:id="1347176899">
      <w:bodyDiv w:val="1"/>
      <w:marLeft w:val="0"/>
      <w:marRight w:val="0"/>
      <w:marTop w:val="0"/>
      <w:marBottom w:val="0"/>
      <w:divBdr>
        <w:top w:val="none" w:sz="0" w:space="0" w:color="auto"/>
        <w:left w:val="none" w:sz="0" w:space="0" w:color="auto"/>
        <w:bottom w:val="none" w:sz="0" w:space="0" w:color="auto"/>
        <w:right w:val="none" w:sz="0" w:space="0" w:color="auto"/>
      </w:divBdr>
    </w:div>
    <w:div w:id="1423529854">
      <w:bodyDiv w:val="1"/>
      <w:marLeft w:val="0"/>
      <w:marRight w:val="0"/>
      <w:marTop w:val="0"/>
      <w:marBottom w:val="0"/>
      <w:divBdr>
        <w:top w:val="none" w:sz="0" w:space="0" w:color="auto"/>
        <w:left w:val="none" w:sz="0" w:space="0" w:color="auto"/>
        <w:bottom w:val="none" w:sz="0" w:space="0" w:color="auto"/>
        <w:right w:val="none" w:sz="0" w:space="0" w:color="auto"/>
      </w:divBdr>
      <w:divsChild>
        <w:div w:id="236551458">
          <w:marLeft w:val="0"/>
          <w:marRight w:val="0"/>
          <w:marTop w:val="0"/>
          <w:marBottom w:val="0"/>
          <w:divBdr>
            <w:top w:val="none" w:sz="0" w:space="0" w:color="auto"/>
            <w:left w:val="none" w:sz="0" w:space="0" w:color="auto"/>
            <w:bottom w:val="none" w:sz="0" w:space="0" w:color="auto"/>
            <w:right w:val="none" w:sz="0" w:space="0" w:color="auto"/>
          </w:divBdr>
        </w:div>
        <w:div w:id="557668121">
          <w:marLeft w:val="0"/>
          <w:marRight w:val="0"/>
          <w:marTop w:val="0"/>
          <w:marBottom w:val="0"/>
          <w:divBdr>
            <w:top w:val="none" w:sz="0" w:space="0" w:color="auto"/>
            <w:left w:val="none" w:sz="0" w:space="0" w:color="auto"/>
            <w:bottom w:val="none" w:sz="0" w:space="0" w:color="auto"/>
            <w:right w:val="none" w:sz="0" w:space="0" w:color="auto"/>
          </w:divBdr>
        </w:div>
        <w:div w:id="599992668">
          <w:marLeft w:val="0"/>
          <w:marRight w:val="0"/>
          <w:marTop w:val="0"/>
          <w:marBottom w:val="0"/>
          <w:divBdr>
            <w:top w:val="none" w:sz="0" w:space="0" w:color="auto"/>
            <w:left w:val="none" w:sz="0" w:space="0" w:color="auto"/>
            <w:bottom w:val="none" w:sz="0" w:space="0" w:color="auto"/>
            <w:right w:val="none" w:sz="0" w:space="0" w:color="auto"/>
          </w:divBdr>
        </w:div>
        <w:div w:id="844704903">
          <w:marLeft w:val="0"/>
          <w:marRight w:val="0"/>
          <w:marTop w:val="0"/>
          <w:marBottom w:val="0"/>
          <w:divBdr>
            <w:top w:val="none" w:sz="0" w:space="0" w:color="auto"/>
            <w:left w:val="none" w:sz="0" w:space="0" w:color="auto"/>
            <w:bottom w:val="none" w:sz="0" w:space="0" w:color="auto"/>
            <w:right w:val="none" w:sz="0" w:space="0" w:color="auto"/>
          </w:divBdr>
        </w:div>
        <w:div w:id="1094983039">
          <w:marLeft w:val="0"/>
          <w:marRight w:val="0"/>
          <w:marTop w:val="0"/>
          <w:marBottom w:val="0"/>
          <w:divBdr>
            <w:top w:val="none" w:sz="0" w:space="0" w:color="auto"/>
            <w:left w:val="none" w:sz="0" w:space="0" w:color="auto"/>
            <w:bottom w:val="none" w:sz="0" w:space="0" w:color="auto"/>
            <w:right w:val="none" w:sz="0" w:space="0" w:color="auto"/>
          </w:divBdr>
        </w:div>
        <w:div w:id="1372413010">
          <w:marLeft w:val="0"/>
          <w:marRight w:val="0"/>
          <w:marTop w:val="0"/>
          <w:marBottom w:val="0"/>
          <w:divBdr>
            <w:top w:val="none" w:sz="0" w:space="0" w:color="auto"/>
            <w:left w:val="none" w:sz="0" w:space="0" w:color="auto"/>
            <w:bottom w:val="none" w:sz="0" w:space="0" w:color="auto"/>
            <w:right w:val="none" w:sz="0" w:space="0" w:color="auto"/>
          </w:divBdr>
        </w:div>
        <w:div w:id="1623422369">
          <w:marLeft w:val="0"/>
          <w:marRight w:val="0"/>
          <w:marTop w:val="0"/>
          <w:marBottom w:val="0"/>
          <w:divBdr>
            <w:top w:val="none" w:sz="0" w:space="0" w:color="auto"/>
            <w:left w:val="none" w:sz="0" w:space="0" w:color="auto"/>
            <w:bottom w:val="none" w:sz="0" w:space="0" w:color="auto"/>
            <w:right w:val="none" w:sz="0" w:space="0" w:color="auto"/>
          </w:divBdr>
        </w:div>
        <w:div w:id="2080051339">
          <w:marLeft w:val="0"/>
          <w:marRight w:val="0"/>
          <w:marTop w:val="0"/>
          <w:marBottom w:val="0"/>
          <w:divBdr>
            <w:top w:val="none" w:sz="0" w:space="0" w:color="auto"/>
            <w:left w:val="none" w:sz="0" w:space="0" w:color="auto"/>
            <w:bottom w:val="none" w:sz="0" w:space="0" w:color="auto"/>
            <w:right w:val="none" w:sz="0" w:space="0" w:color="auto"/>
          </w:divBdr>
        </w:div>
      </w:divsChild>
    </w:div>
    <w:div w:id="1530752570">
      <w:bodyDiv w:val="1"/>
      <w:marLeft w:val="0"/>
      <w:marRight w:val="0"/>
      <w:marTop w:val="0"/>
      <w:marBottom w:val="0"/>
      <w:divBdr>
        <w:top w:val="none" w:sz="0" w:space="0" w:color="auto"/>
        <w:left w:val="none" w:sz="0" w:space="0" w:color="auto"/>
        <w:bottom w:val="none" w:sz="0" w:space="0" w:color="auto"/>
        <w:right w:val="none" w:sz="0" w:space="0" w:color="auto"/>
      </w:divBdr>
    </w:div>
    <w:div w:id="1584948184">
      <w:bodyDiv w:val="1"/>
      <w:marLeft w:val="0"/>
      <w:marRight w:val="0"/>
      <w:marTop w:val="0"/>
      <w:marBottom w:val="0"/>
      <w:divBdr>
        <w:top w:val="none" w:sz="0" w:space="0" w:color="auto"/>
        <w:left w:val="none" w:sz="0" w:space="0" w:color="auto"/>
        <w:bottom w:val="none" w:sz="0" w:space="0" w:color="auto"/>
        <w:right w:val="none" w:sz="0" w:space="0" w:color="auto"/>
      </w:divBdr>
    </w:div>
    <w:div w:id="1595286955">
      <w:bodyDiv w:val="1"/>
      <w:marLeft w:val="0"/>
      <w:marRight w:val="0"/>
      <w:marTop w:val="0"/>
      <w:marBottom w:val="0"/>
      <w:divBdr>
        <w:top w:val="none" w:sz="0" w:space="0" w:color="auto"/>
        <w:left w:val="none" w:sz="0" w:space="0" w:color="auto"/>
        <w:bottom w:val="none" w:sz="0" w:space="0" w:color="auto"/>
        <w:right w:val="none" w:sz="0" w:space="0" w:color="auto"/>
      </w:divBdr>
    </w:div>
    <w:div w:id="1655373994">
      <w:bodyDiv w:val="1"/>
      <w:marLeft w:val="0"/>
      <w:marRight w:val="0"/>
      <w:marTop w:val="0"/>
      <w:marBottom w:val="0"/>
      <w:divBdr>
        <w:top w:val="none" w:sz="0" w:space="0" w:color="auto"/>
        <w:left w:val="none" w:sz="0" w:space="0" w:color="auto"/>
        <w:bottom w:val="none" w:sz="0" w:space="0" w:color="auto"/>
        <w:right w:val="none" w:sz="0" w:space="0" w:color="auto"/>
      </w:divBdr>
    </w:div>
    <w:div w:id="1722367851">
      <w:bodyDiv w:val="1"/>
      <w:marLeft w:val="0"/>
      <w:marRight w:val="0"/>
      <w:marTop w:val="0"/>
      <w:marBottom w:val="0"/>
      <w:divBdr>
        <w:top w:val="none" w:sz="0" w:space="0" w:color="auto"/>
        <w:left w:val="none" w:sz="0" w:space="0" w:color="auto"/>
        <w:bottom w:val="none" w:sz="0" w:space="0" w:color="auto"/>
        <w:right w:val="none" w:sz="0" w:space="0" w:color="auto"/>
      </w:divBdr>
    </w:div>
    <w:div w:id="1802920019">
      <w:bodyDiv w:val="1"/>
      <w:marLeft w:val="0"/>
      <w:marRight w:val="0"/>
      <w:marTop w:val="0"/>
      <w:marBottom w:val="0"/>
      <w:divBdr>
        <w:top w:val="none" w:sz="0" w:space="0" w:color="auto"/>
        <w:left w:val="none" w:sz="0" w:space="0" w:color="auto"/>
        <w:bottom w:val="none" w:sz="0" w:space="0" w:color="auto"/>
        <w:right w:val="none" w:sz="0" w:space="0" w:color="auto"/>
      </w:divBdr>
    </w:div>
    <w:div w:id="1845898622">
      <w:bodyDiv w:val="1"/>
      <w:marLeft w:val="0"/>
      <w:marRight w:val="0"/>
      <w:marTop w:val="0"/>
      <w:marBottom w:val="0"/>
      <w:divBdr>
        <w:top w:val="none" w:sz="0" w:space="0" w:color="auto"/>
        <w:left w:val="none" w:sz="0" w:space="0" w:color="auto"/>
        <w:bottom w:val="none" w:sz="0" w:space="0" w:color="auto"/>
        <w:right w:val="none" w:sz="0" w:space="0" w:color="auto"/>
      </w:divBdr>
    </w:div>
    <w:div w:id="1848672095">
      <w:bodyDiv w:val="1"/>
      <w:marLeft w:val="0"/>
      <w:marRight w:val="0"/>
      <w:marTop w:val="0"/>
      <w:marBottom w:val="0"/>
      <w:divBdr>
        <w:top w:val="none" w:sz="0" w:space="0" w:color="auto"/>
        <w:left w:val="none" w:sz="0" w:space="0" w:color="auto"/>
        <w:bottom w:val="none" w:sz="0" w:space="0" w:color="auto"/>
        <w:right w:val="none" w:sz="0" w:space="0" w:color="auto"/>
      </w:divBdr>
      <w:divsChild>
        <w:div w:id="23867647">
          <w:marLeft w:val="0"/>
          <w:marRight w:val="0"/>
          <w:marTop w:val="0"/>
          <w:marBottom w:val="0"/>
          <w:divBdr>
            <w:top w:val="none" w:sz="0" w:space="0" w:color="auto"/>
            <w:left w:val="none" w:sz="0" w:space="0" w:color="auto"/>
            <w:bottom w:val="none" w:sz="0" w:space="0" w:color="auto"/>
            <w:right w:val="none" w:sz="0" w:space="0" w:color="auto"/>
          </w:divBdr>
        </w:div>
        <w:div w:id="120803933">
          <w:marLeft w:val="0"/>
          <w:marRight w:val="0"/>
          <w:marTop w:val="0"/>
          <w:marBottom w:val="0"/>
          <w:divBdr>
            <w:top w:val="none" w:sz="0" w:space="0" w:color="auto"/>
            <w:left w:val="none" w:sz="0" w:space="0" w:color="auto"/>
            <w:bottom w:val="none" w:sz="0" w:space="0" w:color="auto"/>
            <w:right w:val="none" w:sz="0" w:space="0" w:color="auto"/>
          </w:divBdr>
        </w:div>
        <w:div w:id="781803790">
          <w:marLeft w:val="0"/>
          <w:marRight w:val="0"/>
          <w:marTop w:val="0"/>
          <w:marBottom w:val="0"/>
          <w:divBdr>
            <w:top w:val="none" w:sz="0" w:space="0" w:color="auto"/>
            <w:left w:val="none" w:sz="0" w:space="0" w:color="auto"/>
            <w:bottom w:val="none" w:sz="0" w:space="0" w:color="auto"/>
            <w:right w:val="none" w:sz="0" w:space="0" w:color="auto"/>
          </w:divBdr>
        </w:div>
        <w:div w:id="1644844461">
          <w:marLeft w:val="0"/>
          <w:marRight w:val="0"/>
          <w:marTop w:val="0"/>
          <w:marBottom w:val="0"/>
          <w:divBdr>
            <w:top w:val="none" w:sz="0" w:space="0" w:color="auto"/>
            <w:left w:val="none" w:sz="0" w:space="0" w:color="auto"/>
            <w:bottom w:val="none" w:sz="0" w:space="0" w:color="auto"/>
            <w:right w:val="none" w:sz="0" w:space="0" w:color="auto"/>
          </w:divBdr>
        </w:div>
        <w:div w:id="1691639371">
          <w:marLeft w:val="0"/>
          <w:marRight w:val="0"/>
          <w:marTop w:val="0"/>
          <w:marBottom w:val="0"/>
          <w:divBdr>
            <w:top w:val="none" w:sz="0" w:space="0" w:color="auto"/>
            <w:left w:val="none" w:sz="0" w:space="0" w:color="auto"/>
            <w:bottom w:val="none" w:sz="0" w:space="0" w:color="auto"/>
            <w:right w:val="none" w:sz="0" w:space="0" w:color="auto"/>
          </w:divBdr>
        </w:div>
      </w:divsChild>
    </w:div>
    <w:div w:id="1901287321">
      <w:bodyDiv w:val="1"/>
      <w:marLeft w:val="0"/>
      <w:marRight w:val="0"/>
      <w:marTop w:val="0"/>
      <w:marBottom w:val="0"/>
      <w:divBdr>
        <w:top w:val="none" w:sz="0" w:space="0" w:color="auto"/>
        <w:left w:val="none" w:sz="0" w:space="0" w:color="auto"/>
        <w:bottom w:val="none" w:sz="0" w:space="0" w:color="auto"/>
        <w:right w:val="none" w:sz="0" w:space="0" w:color="auto"/>
      </w:divBdr>
    </w:div>
    <w:div w:id="1925020305">
      <w:bodyDiv w:val="1"/>
      <w:marLeft w:val="0"/>
      <w:marRight w:val="0"/>
      <w:marTop w:val="0"/>
      <w:marBottom w:val="0"/>
      <w:divBdr>
        <w:top w:val="none" w:sz="0" w:space="0" w:color="auto"/>
        <w:left w:val="none" w:sz="0" w:space="0" w:color="auto"/>
        <w:bottom w:val="none" w:sz="0" w:space="0" w:color="auto"/>
        <w:right w:val="none" w:sz="0" w:space="0" w:color="auto"/>
      </w:divBdr>
    </w:div>
    <w:div w:id="1932659179">
      <w:bodyDiv w:val="1"/>
      <w:marLeft w:val="0"/>
      <w:marRight w:val="0"/>
      <w:marTop w:val="0"/>
      <w:marBottom w:val="0"/>
      <w:divBdr>
        <w:top w:val="none" w:sz="0" w:space="0" w:color="auto"/>
        <w:left w:val="none" w:sz="0" w:space="0" w:color="auto"/>
        <w:bottom w:val="none" w:sz="0" w:space="0" w:color="auto"/>
        <w:right w:val="none" w:sz="0" w:space="0" w:color="auto"/>
      </w:divBdr>
    </w:div>
    <w:div w:id="1936085940">
      <w:bodyDiv w:val="1"/>
      <w:marLeft w:val="0"/>
      <w:marRight w:val="0"/>
      <w:marTop w:val="0"/>
      <w:marBottom w:val="0"/>
      <w:divBdr>
        <w:top w:val="none" w:sz="0" w:space="0" w:color="auto"/>
        <w:left w:val="none" w:sz="0" w:space="0" w:color="auto"/>
        <w:bottom w:val="none" w:sz="0" w:space="0" w:color="auto"/>
        <w:right w:val="none" w:sz="0" w:space="0" w:color="auto"/>
      </w:divBdr>
    </w:div>
    <w:div w:id="2003773686">
      <w:bodyDiv w:val="1"/>
      <w:marLeft w:val="0"/>
      <w:marRight w:val="0"/>
      <w:marTop w:val="0"/>
      <w:marBottom w:val="0"/>
      <w:divBdr>
        <w:top w:val="none" w:sz="0" w:space="0" w:color="auto"/>
        <w:left w:val="none" w:sz="0" w:space="0" w:color="auto"/>
        <w:bottom w:val="none" w:sz="0" w:space="0" w:color="auto"/>
        <w:right w:val="none" w:sz="0" w:space="0" w:color="auto"/>
      </w:divBdr>
    </w:div>
    <w:div w:id="210456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tif.org/en/?page_id=102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13/103(1)/oj" TargetMode="External"/><Relationship Id="rId3" Type="http://schemas.openxmlformats.org/officeDocument/2006/relationships/hyperlink" Target="http://data.europa.eu/eli/dir/2016/798/oj" TargetMode="External"/><Relationship Id="rId7" Type="http://schemas.openxmlformats.org/officeDocument/2006/relationships/hyperlink" Target="http://data.europa.eu/eli/dec_impl/2018/1614/oj" TargetMode="External"/><Relationship Id="rId12" Type="http://schemas.openxmlformats.org/officeDocument/2006/relationships/hyperlink" Target="http://data.europa.eu/eli/dec_impl/2018/1614/oj" TargetMode="External"/><Relationship Id="rId2" Type="http://schemas.openxmlformats.org/officeDocument/2006/relationships/hyperlink" Target="http://data.europa.eu/eli/dir/2016/797/oj" TargetMode="External"/><Relationship Id="rId1" Type="http://schemas.openxmlformats.org/officeDocument/2006/relationships/hyperlink" Target="http://data.europa.eu/eli/dec/2013/103(1)/oj" TargetMode="External"/><Relationship Id="rId6" Type="http://schemas.openxmlformats.org/officeDocument/2006/relationships/hyperlink" Target="http://data.europa.eu/eli/dec_impl/2011/665/oj" TargetMode="External"/><Relationship Id="rId11" Type="http://schemas.openxmlformats.org/officeDocument/2006/relationships/hyperlink" Target="http://data.europa.eu/eli/dec_impl/2011/665/oj" TargetMode="External"/><Relationship Id="rId5" Type="http://schemas.openxmlformats.org/officeDocument/2006/relationships/hyperlink" Target="http://data.europa.eu/eli/reg_impl/2025/675/oj" TargetMode="External"/><Relationship Id="rId10" Type="http://schemas.openxmlformats.org/officeDocument/2006/relationships/hyperlink" Target="http://data.europa.eu/eli/reg_impl/2025/675/oj" TargetMode="External"/><Relationship Id="rId4" Type="http://schemas.openxmlformats.org/officeDocument/2006/relationships/hyperlink" Target="http://data.europa.eu/eli/reg_impl/2025/2064/oj" TargetMode="External"/><Relationship Id="rId9" Type="http://schemas.openxmlformats.org/officeDocument/2006/relationships/hyperlink" Target="http://data.europa.eu/eli/reg_impl/2025/206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7c60b09-739e-4693-8901-93c6edee2864">
      <UserInfo>
        <DisplayName>KAUPAT Christoph (ERA)</DisplayName>
        <AccountId>108</AccountId>
        <AccountType/>
      </UserInfo>
    </SharedWithUsers>
    <lcf76f155ced4ddcb4097134ff3c332f xmlns="d74c950a-78ac-4838-92ef-a1426a5f274c">
      <Terms xmlns="http://schemas.microsoft.com/office/infopath/2007/PartnerControls"/>
    </lcf76f155ced4ddcb4097134ff3c332f>
    <TaxCatchAll xmlns="17c60b09-739e-4693-8901-93c6edee2864" xsi:nil="true"/>
    <Contributor xmlns="d74c950a-78ac-4838-92ef-a1426a5f274c">
      <UserInfo>
        <DisplayName/>
        <AccountId xsi:nil="true"/>
        <AccountType/>
      </UserInfo>
    </Contributor>
    <Linktothefile xmlns="d74c950a-78ac-4838-92ef-a1426a5f274c">
      <Url xsi:nil="true"/>
      <Description xsi:nil="true"/>
    </Linktothefile>
    <_Flow_SignoffStatus xmlns="d74c950a-78ac-4838-92ef-a1426a5f274c" xsi:nil="true"/>
    <EC_ARES_DATE_TRANSFERRED xmlns="17c60b09-739e-4693-8901-93c6edee2864" xsi:nil="true"/>
    <IconOverlay xmlns="http://schemas.microsoft.com/sharepoint/v4" xsi:nil="true"/>
    <EC_ARES_NUMBER xmlns="17c60b09-739e-4693-8901-93c6edee2864">
      <Url xsi:nil="true"/>
      <Description xsi:nil="true"/>
    </EC_ARES_NUMBER>
    <EC_ARES_TRANSFERRED_BY xmlns="17c60b09-739e-4693-8901-93c6edee286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DA1763E5DCF94383754B6D3E5E6622" ma:contentTypeVersion="27" ma:contentTypeDescription="Create a new document." ma:contentTypeScope="" ma:versionID="dedb6b5cb0c04c96c51041d2b6208b7f">
  <xsd:schema xmlns:xsd="http://www.w3.org/2001/XMLSchema" xmlns:xs="http://www.w3.org/2001/XMLSchema" xmlns:p="http://schemas.microsoft.com/office/2006/metadata/properties" xmlns:ns1="http://schemas.microsoft.com/sharepoint/v3" xmlns:ns2="d74c950a-78ac-4838-92ef-a1426a5f274c" xmlns:ns3="17c60b09-739e-4693-8901-93c6edee2864" xmlns:ns4="http://schemas.microsoft.com/sharepoint/v4" targetNamespace="http://schemas.microsoft.com/office/2006/metadata/properties" ma:root="true" ma:fieldsID="14214794c3984c546435e7681edf04d8" ns1:_="" ns2:_="" ns3:_="" ns4:_="">
    <xsd:import namespace="http://schemas.microsoft.com/sharepoint/v3"/>
    <xsd:import namespace="d74c950a-78ac-4838-92ef-a1426a5f274c"/>
    <xsd:import namespace="17c60b09-739e-4693-8901-93c6edee2864"/>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Contributor" minOccurs="0"/>
                <xsd:element ref="ns2:Linktothefile" minOccurs="0"/>
                <xsd:element ref="ns2:_Flow_SignoffStatus" minOccurs="0"/>
                <xsd:element ref="ns3:EC_ARES_NUMBER" minOccurs="0"/>
                <xsd:element ref="ns3:EC_ARES_DATE_TRANSFERRED" minOccurs="0"/>
                <xsd:element ref="ns3:EC_ARES_TRANSFERRED_BY" minOccurs="0"/>
                <xsd:element ref="ns1:_vti_ItemHoldRecordStatus" minOccurs="0"/>
                <xsd:element ref="ns4:IconOverlay" minOccurs="0"/>
                <xsd:element ref="ns1:_vti_ItemDeclaredRecor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8" nillable="true" ma:displayName="Hold and Record Status" ma:decimals="0" ma:hidden="true" ma:internalName="_vti_ItemHoldRecordStatus" ma:readOnly="true">
      <xsd:simpleType>
        <xsd:restriction base="dms:Unknown"/>
      </xsd:simpleType>
    </xsd:element>
    <xsd:element name="_vti_ItemDeclaredRecord" ma:index="30"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74c950a-78ac-4838-92ef-a1426a5f2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ntributor" ma:index="22" nillable="true" ma:displayName="Contributor" ma:format="Dropdown" ma:list="UserInfo" ma:SharePointGroup="0" ma:internalName="Contribu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thefile" ma:index="23" nillable="true" ma:displayName="Link to the file" ma:format="Hyperlink" ma:internalName="Linktothefile">
      <xsd:complexType>
        <xsd:complexContent>
          <xsd:extension base="dms:URL">
            <xsd:sequence>
              <xsd:element name="Url" type="dms:ValidUrl" minOccurs="0" nillable="true"/>
              <xsd:element name="Description" type="xsd:string" nillable="true"/>
            </xsd:sequence>
          </xsd:extension>
        </xsd:complexContent>
      </xsd:complexType>
    </xsd:element>
    <xsd:element name="_Flow_SignoffStatus" ma:index="24" nillable="true" ma:displayName="Sign-off status" ma:internalName="_x0024_Resources_x003a_core_x002c_Signoff_Status">
      <xsd:simpleType>
        <xsd:restriction base="dms:Text"/>
      </xsd:simpleType>
    </xsd:element>
    <xsd:element name="MediaServiceLocation" ma:index="31" nillable="true" ma:displayName="Location" ma:description="" ma:indexed="true" ma:internalName="MediaServiceLocation" ma:readOnly="true">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c60b09-739e-4693-8901-93c6edee2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f648ecc-43ea-4bde-9c3e-1c8fecc211d7}" ma:internalName="TaxCatchAll" ma:showField="CatchAllData" ma:web="17c60b09-739e-4693-8901-93c6edee2864">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86AEA-9317-4796-95CA-B3D0385D181F}">
  <ds:schemaRefs>
    <ds:schemaRef ds:uri="d74c950a-78ac-4838-92ef-a1426a5f274c"/>
    <ds:schemaRef ds:uri="http://purl.org/dc/terms/"/>
    <ds:schemaRef ds:uri="http://purl.org/dc/elements/1.1/"/>
    <ds:schemaRef ds:uri="http://schemas.microsoft.com/office/infopath/2007/PartnerControls"/>
    <ds:schemaRef ds:uri="http://schemas.openxmlformats.org/package/2006/metadata/core-properties"/>
    <ds:schemaRef ds:uri="http://schemas.microsoft.com/sharepoint/v4"/>
    <ds:schemaRef ds:uri="http://schemas.microsoft.com/office/2006/documentManagement/types"/>
    <ds:schemaRef ds:uri="17c60b09-739e-4693-8901-93c6edee2864"/>
    <ds:schemaRef ds:uri="http://schemas.microsoft.com/sharepoint/v3"/>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74A50C7-F430-4EB6-9EE5-178EF38CD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74c950a-78ac-4838-92ef-a1426a5f274c"/>
    <ds:schemaRef ds:uri="17c60b09-739e-4693-8901-93c6edee286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D912E5-F38A-4F8F-9744-7ED5E9A41B16}">
  <ds:schemaRefs>
    <ds:schemaRef ds:uri="http://schemas.microsoft.com/sharepoint/v3/contenttype/forms"/>
  </ds:schemaRefs>
</ds:datastoreItem>
</file>

<file path=customXml/itemProps4.xml><?xml version="1.0" encoding="utf-8"?>
<ds:datastoreItem xmlns:ds="http://schemas.openxmlformats.org/officeDocument/2006/customXml" ds:itemID="{0D3ED3ED-8BC2-4E37-B85F-4103C82016BE}">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26</TotalTime>
  <Pages>14</Pages>
  <Words>4917</Words>
  <Characters>28030</Characters>
  <Application>Microsoft Office Word</Application>
  <DocSecurity>0</DocSecurity>
  <Lines>233</Lines>
  <Paragraphs>65</Paragraphs>
  <ScaleCrop>false</ScaleCrop>
  <Manager/>
  <Company/>
  <LinksUpToDate>false</LinksUpToDate>
  <CharactersWithSpaces>32882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1047</cp:revision>
  <cp:lastPrinted>2019-05-01T07:59:00Z</cp:lastPrinted>
  <dcterms:created xsi:type="dcterms:W3CDTF">2025-05-16T06:20:00Z</dcterms:created>
  <dcterms:modified xsi:type="dcterms:W3CDTF">2026-04-09T07:17:00Z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9.2, Build 20250828</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2023-01-13T09:09:12Z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6826d3fd-e1e8-49ff-9a6b-4249b76157c1</vt:lpwstr>
  </property>
  <property fmtid="{D5CDD505-2E9C-101B-9397-08002B2CF9AE}" pid="16" name="MSIP_Label_6bd9ddd1-4d20-43f6-abfa-fc3c07406f94_ContentBits">
    <vt:lpwstr>0</vt:lpwstr>
  </property>
  <property fmtid="{D5CDD505-2E9C-101B-9397-08002B2CF9AE}" pid="17" name="ContentTypeId">
    <vt:lpwstr>0x010100F3DA1763E5DCF94383754B6D3E5E6622</vt:lpwstr>
  </property>
  <property fmtid="{D5CDD505-2E9C-101B-9397-08002B2CF9AE}" pid="18" name="MediaServiceImageTags">
    <vt:lpwstr/>
  </property>
  <property fmtid="{D5CDD505-2E9C-101B-9397-08002B2CF9AE}" pid="19" name="DQCStatus">
    <vt:lpwstr>Green (DQC version 03)</vt:lpwstr>
  </property>
</Properties>
</file>