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893E7" w14:textId="00FC0DD9" w:rsidR="008B6253" w:rsidRPr="001B3164" w:rsidRDefault="00D53E02" w:rsidP="00D53E02">
      <w:pPr>
        <w:pStyle w:val="Pagedecouverture"/>
        <w:rPr>
          <w:noProof/>
        </w:rPr>
      </w:pPr>
      <w:bookmarkStart w:id="0" w:name="LW_BM_COVERPAGE"/>
      <w:r>
        <w:rPr>
          <w:noProof/>
        </w:rPr>
        <w:pict w14:anchorId="17FFF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ECAA448-6059-4283-A5C6-E862A781CB5F" style="width:455.25pt;height:396.75pt">
            <v:imagedata r:id="rId11" o:title=""/>
          </v:shape>
        </w:pict>
      </w:r>
    </w:p>
    <w:bookmarkEnd w:id="0"/>
    <w:p w14:paraId="492EB121" w14:textId="77777777" w:rsidR="008B6253" w:rsidRPr="001B3164" w:rsidRDefault="008B6253" w:rsidP="008B6253">
      <w:pPr>
        <w:rPr>
          <w:noProof/>
        </w:rPr>
        <w:sectPr w:rsidR="008B6253" w:rsidRPr="001B3164" w:rsidSect="00D53E0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F4E0FE7" w14:textId="77777777" w:rsidR="008B6253" w:rsidRPr="001B3164" w:rsidRDefault="008B6253" w:rsidP="008B6253">
      <w:pPr>
        <w:pStyle w:val="TOCHeading"/>
        <w:rPr>
          <w:rFonts w:eastAsiaTheme="minorHAnsi"/>
          <w:b w:val="0"/>
          <w:noProof/>
          <w:sz w:val="24"/>
          <w:lang w:val="en-IE"/>
        </w:rPr>
      </w:pPr>
      <w:bookmarkStart w:id="1" w:name="_GoBack"/>
      <w:bookmarkEnd w:id="1"/>
    </w:p>
    <w:sdt>
      <w:sdtPr>
        <w:rPr>
          <w:rFonts w:eastAsiaTheme="minorEastAsia"/>
          <w:b w:val="0"/>
          <w:noProof/>
          <w:sz w:val="24"/>
          <w:lang w:val="en-IE"/>
        </w:rPr>
        <w:id w:val="-874687748"/>
        <w:docPartObj>
          <w:docPartGallery w:val="Table of Contents"/>
          <w:docPartUnique/>
        </w:docPartObj>
      </w:sdtPr>
      <w:sdtEndPr>
        <w:rPr>
          <w:sz w:val="22"/>
          <w:szCs w:val="22"/>
        </w:rPr>
      </w:sdtEndPr>
      <w:sdtContent>
        <w:p w14:paraId="10C4E212" w14:textId="77777777" w:rsidR="008B6253" w:rsidRPr="001B3164" w:rsidRDefault="008B6253" w:rsidP="008B6253">
          <w:pPr>
            <w:pStyle w:val="TOCHeading"/>
            <w:rPr>
              <w:noProof/>
              <w:color w:val="034EA2" w:themeColor="accent1"/>
              <w:lang w:val="en-IE"/>
            </w:rPr>
          </w:pPr>
          <w:r w:rsidRPr="001B3164">
            <w:rPr>
              <w:noProof/>
              <w:color w:val="034EA2" w:themeColor="accent1"/>
              <w:lang w:val="en-IE"/>
            </w:rPr>
            <w:t>Table of Contents</w:t>
          </w:r>
        </w:p>
        <w:p w14:paraId="1F9E3DCD" w14:textId="076047F6" w:rsidR="004717D7" w:rsidRDefault="008B6253">
          <w:pPr>
            <w:pStyle w:val="TOC1"/>
            <w:rPr>
              <w:rFonts w:asciiTheme="minorHAnsi" w:eastAsiaTheme="minorEastAsia" w:hAnsiTheme="minorHAnsi" w:cstheme="minorBidi"/>
              <w:noProof/>
              <w:kern w:val="2"/>
              <w:sz w:val="24"/>
              <w:lang w:val="en-IE" w:eastAsia="en-IE"/>
              <w14:ligatures w14:val="standardContextual"/>
            </w:rPr>
          </w:pPr>
          <w:r w:rsidRPr="001B3164">
            <w:rPr>
              <w:noProof/>
              <w:lang w:val="en-IE"/>
            </w:rPr>
            <w:fldChar w:fldCharType="begin"/>
          </w:r>
          <w:r w:rsidRPr="001B3164">
            <w:rPr>
              <w:noProof/>
              <w:lang w:val="en-IE"/>
            </w:rPr>
            <w:instrText xml:space="preserve"> TOC \o "1-3" \h \z \u </w:instrText>
          </w:r>
          <w:r w:rsidRPr="001B3164">
            <w:rPr>
              <w:noProof/>
              <w:lang w:val="en-IE"/>
            </w:rPr>
            <w:fldChar w:fldCharType="separate"/>
          </w:r>
          <w:hyperlink w:anchor="_Toc219529981" w:history="1">
            <w:r w:rsidR="004717D7" w:rsidRPr="004E7297">
              <w:rPr>
                <w:rStyle w:val="Hyperlink"/>
                <w:noProof/>
              </w:rPr>
              <w:t>1.</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Summary</w:t>
            </w:r>
            <w:r w:rsidR="004717D7">
              <w:rPr>
                <w:noProof/>
                <w:webHidden/>
              </w:rPr>
              <w:tab/>
            </w:r>
            <w:r w:rsidR="004717D7">
              <w:rPr>
                <w:noProof/>
                <w:webHidden/>
              </w:rPr>
              <w:fldChar w:fldCharType="begin"/>
            </w:r>
            <w:r w:rsidR="004717D7">
              <w:rPr>
                <w:noProof/>
                <w:webHidden/>
              </w:rPr>
              <w:instrText xml:space="preserve"> PAGEREF _Toc219529981 \h </w:instrText>
            </w:r>
            <w:r w:rsidR="004717D7">
              <w:rPr>
                <w:noProof/>
                <w:webHidden/>
              </w:rPr>
            </w:r>
            <w:r w:rsidR="004717D7">
              <w:rPr>
                <w:noProof/>
                <w:webHidden/>
              </w:rPr>
              <w:fldChar w:fldCharType="separate"/>
            </w:r>
            <w:r w:rsidR="00853899">
              <w:rPr>
                <w:noProof/>
                <w:webHidden/>
              </w:rPr>
              <w:t>3</w:t>
            </w:r>
            <w:r w:rsidR="004717D7">
              <w:rPr>
                <w:noProof/>
                <w:webHidden/>
              </w:rPr>
              <w:fldChar w:fldCharType="end"/>
            </w:r>
          </w:hyperlink>
        </w:p>
        <w:p w14:paraId="14B5A74F" w14:textId="08276C0F" w:rsidR="004717D7" w:rsidRDefault="00D53E02">
          <w:pPr>
            <w:pStyle w:val="TOC1"/>
            <w:rPr>
              <w:rFonts w:asciiTheme="minorHAnsi" w:eastAsiaTheme="minorEastAsia" w:hAnsiTheme="minorHAnsi" w:cstheme="minorBidi"/>
              <w:noProof/>
              <w:kern w:val="2"/>
              <w:sz w:val="24"/>
              <w:lang w:val="en-IE" w:eastAsia="en-IE"/>
              <w14:ligatures w14:val="standardContextual"/>
            </w:rPr>
          </w:pPr>
          <w:hyperlink w:anchor="_Toc219529982" w:history="1">
            <w:r w:rsidR="004717D7" w:rsidRPr="004E7297">
              <w:rPr>
                <w:rStyle w:val="Hyperlink"/>
                <w:noProof/>
              </w:rPr>
              <w:t>2.</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Introduction</w:t>
            </w:r>
            <w:r w:rsidR="004717D7">
              <w:rPr>
                <w:noProof/>
                <w:webHidden/>
              </w:rPr>
              <w:tab/>
            </w:r>
            <w:r w:rsidR="004717D7">
              <w:rPr>
                <w:noProof/>
                <w:webHidden/>
              </w:rPr>
              <w:fldChar w:fldCharType="begin"/>
            </w:r>
            <w:r w:rsidR="004717D7">
              <w:rPr>
                <w:noProof/>
                <w:webHidden/>
              </w:rPr>
              <w:instrText xml:space="preserve"> PAGEREF _Toc219529982 \h </w:instrText>
            </w:r>
            <w:r w:rsidR="004717D7">
              <w:rPr>
                <w:noProof/>
                <w:webHidden/>
              </w:rPr>
            </w:r>
            <w:r w:rsidR="004717D7">
              <w:rPr>
                <w:noProof/>
                <w:webHidden/>
              </w:rPr>
              <w:fldChar w:fldCharType="separate"/>
            </w:r>
            <w:r w:rsidR="00853899">
              <w:rPr>
                <w:noProof/>
                <w:webHidden/>
              </w:rPr>
              <w:t>4</w:t>
            </w:r>
            <w:r w:rsidR="004717D7">
              <w:rPr>
                <w:noProof/>
                <w:webHidden/>
              </w:rPr>
              <w:fldChar w:fldCharType="end"/>
            </w:r>
          </w:hyperlink>
        </w:p>
        <w:p w14:paraId="17E04044" w14:textId="3F18F404" w:rsidR="004717D7" w:rsidRDefault="00D53E02">
          <w:pPr>
            <w:pStyle w:val="TOC1"/>
            <w:rPr>
              <w:rFonts w:asciiTheme="minorHAnsi" w:eastAsiaTheme="minorEastAsia" w:hAnsiTheme="minorHAnsi" w:cstheme="minorBidi"/>
              <w:noProof/>
              <w:kern w:val="2"/>
              <w:sz w:val="24"/>
              <w:lang w:val="en-IE" w:eastAsia="en-IE"/>
              <w14:ligatures w14:val="standardContextual"/>
            </w:rPr>
          </w:pPr>
          <w:hyperlink w:anchor="_Toc219529983" w:history="1">
            <w:r w:rsidR="004717D7" w:rsidRPr="004E7297">
              <w:rPr>
                <w:rStyle w:val="Hyperlink"/>
                <w:noProof/>
              </w:rPr>
              <w:t>3.</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Implementation of borrowing operations in the second half of 2025</w:t>
            </w:r>
            <w:r w:rsidR="004717D7">
              <w:rPr>
                <w:noProof/>
                <w:webHidden/>
              </w:rPr>
              <w:tab/>
            </w:r>
            <w:r w:rsidR="004717D7">
              <w:rPr>
                <w:noProof/>
                <w:webHidden/>
              </w:rPr>
              <w:fldChar w:fldCharType="begin"/>
            </w:r>
            <w:r w:rsidR="004717D7">
              <w:rPr>
                <w:noProof/>
                <w:webHidden/>
              </w:rPr>
              <w:instrText xml:space="preserve"> PAGEREF _Toc219529983 \h </w:instrText>
            </w:r>
            <w:r w:rsidR="004717D7">
              <w:rPr>
                <w:noProof/>
                <w:webHidden/>
              </w:rPr>
            </w:r>
            <w:r w:rsidR="004717D7">
              <w:rPr>
                <w:noProof/>
                <w:webHidden/>
              </w:rPr>
              <w:fldChar w:fldCharType="separate"/>
            </w:r>
            <w:r w:rsidR="00853899">
              <w:rPr>
                <w:noProof/>
                <w:webHidden/>
              </w:rPr>
              <w:t>5</w:t>
            </w:r>
            <w:r w:rsidR="004717D7">
              <w:rPr>
                <w:noProof/>
                <w:webHidden/>
              </w:rPr>
              <w:fldChar w:fldCharType="end"/>
            </w:r>
          </w:hyperlink>
        </w:p>
        <w:p w14:paraId="0BAEE9D2" w14:textId="13823995" w:rsidR="004717D7" w:rsidRDefault="00D53E02">
          <w:pPr>
            <w:pStyle w:val="TOC1"/>
            <w:rPr>
              <w:rFonts w:asciiTheme="minorHAnsi" w:eastAsiaTheme="minorEastAsia" w:hAnsiTheme="minorHAnsi" w:cstheme="minorBidi"/>
              <w:noProof/>
              <w:kern w:val="2"/>
              <w:sz w:val="24"/>
              <w:lang w:val="en-IE" w:eastAsia="en-IE"/>
              <w14:ligatures w14:val="standardContextual"/>
            </w:rPr>
          </w:pPr>
          <w:hyperlink w:anchor="_Toc219529988" w:history="1">
            <w:r w:rsidR="004717D7" w:rsidRPr="004E7297">
              <w:rPr>
                <w:rStyle w:val="Hyperlink"/>
                <w:noProof/>
              </w:rPr>
              <w:t>4.</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Cost of funding and liquidity management costs</w:t>
            </w:r>
            <w:r w:rsidR="004717D7">
              <w:rPr>
                <w:noProof/>
                <w:webHidden/>
              </w:rPr>
              <w:tab/>
            </w:r>
            <w:r w:rsidR="004717D7">
              <w:rPr>
                <w:noProof/>
                <w:webHidden/>
              </w:rPr>
              <w:fldChar w:fldCharType="begin"/>
            </w:r>
            <w:r w:rsidR="004717D7">
              <w:rPr>
                <w:noProof/>
                <w:webHidden/>
              </w:rPr>
              <w:instrText xml:space="preserve"> PAGEREF _Toc219529988 \h </w:instrText>
            </w:r>
            <w:r w:rsidR="004717D7">
              <w:rPr>
                <w:noProof/>
                <w:webHidden/>
              </w:rPr>
            </w:r>
            <w:r w:rsidR="004717D7">
              <w:rPr>
                <w:noProof/>
                <w:webHidden/>
              </w:rPr>
              <w:fldChar w:fldCharType="separate"/>
            </w:r>
            <w:r w:rsidR="00853899">
              <w:rPr>
                <w:noProof/>
                <w:webHidden/>
              </w:rPr>
              <w:t>8</w:t>
            </w:r>
            <w:r w:rsidR="004717D7">
              <w:rPr>
                <w:noProof/>
                <w:webHidden/>
              </w:rPr>
              <w:fldChar w:fldCharType="end"/>
            </w:r>
          </w:hyperlink>
        </w:p>
        <w:p w14:paraId="244407CE" w14:textId="2F952A51" w:rsidR="004717D7" w:rsidRDefault="00D53E02">
          <w:pPr>
            <w:pStyle w:val="TOC1"/>
            <w:rPr>
              <w:rFonts w:asciiTheme="minorHAnsi" w:eastAsiaTheme="minorEastAsia" w:hAnsiTheme="minorHAnsi" w:cstheme="minorBidi"/>
              <w:noProof/>
              <w:kern w:val="2"/>
              <w:sz w:val="24"/>
              <w:lang w:val="en-IE" w:eastAsia="en-IE"/>
              <w14:ligatures w14:val="standardContextual"/>
            </w:rPr>
          </w:pPr>
          <w:hyperlink w:anchor="_Toc219529991" w:history="1">
            <w:r w:rsidR="004717D7" w:rsidRPr="004E7297">
              <w:rPr>
                <w:rStyle w:val="Hyperlink"/>
                <w:noProof/>
              </w:rPr>
              <w:t>5.</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Other milestones in the second half of 2025</w:t>
            </w:r>
            <w:r w:rsidR="004717D7">
              <w:rPr>
                <w:noProof/>
                <w:webHidden/>
              </w:rPr>
              <w:tab/>
            </w:r>
            <w:r w:rsidR="004717D7">
              <w:rPr>
                <w:noProof/>
                <w:webHidden/>
              </w:rPr>
              <w:fldChar w:fldCharType="begin"/>
            </w:r>
            <w:r w:rsidR="004717D7">
              <w:rPr>
                <w:noProof/>
                <w:webHidden/>
              </w:rPr>
              <w:instrText xml:space="preserve"> PAGEREF _Toc219529991 \h </w:instrText>
            </w:r>
            <w:r w:rsidR="004717D7">
              <w:rPr>
                <w:noProof/>
                <w:webHidden/>
              </w:rPr>
            </w:r>
            <w:r w:rsidR="004717D7">
              <w:rPr>
                <w:noProof/>
                <w:webHidden/>
              </w:rPr>
              <w:fldChar w:fldCharType="separate"/>
            </w:r>
            <w:r w:rsidR="00853899">
              <w:rPr>
                <w:noProof/>
                <w:webHidden/>
              </w:rPr>
              <w:t>11</w:t>
            </w:r>
            <w:r w:rsidR="004717D7">
              <w:rPr>
                <w:noProof/>
                <w:webHidden/>
              </w:rPr>
              <w:fldChar w:fldCharType="end"/>
            </w:r>
          </w:hyperlink>
        </w:p>
        <w:p w14:paraId="60EC3A02" w14:textId="7423C945" w:rsidR="004717D7" w:rsidRDefault="00D53E02">
          <w:pPr>
            <w:pStyle w:val="TOC1"/>
            <w:rPr>
              <w:rFonts w:asciiTheme="minorHAnsi" w:eastAsiaTheme="minorEastAsia" w:hAnsiTheme="minorHAnsi" w:cstheme="minorBidi"/>
              <w:noProof/>
              <w:kern w:val="2"/>
              <w:sz w:val="24"/>
              <w:lang w:val="en-IE" w:eastAsia="en-IE"/>
              <w14:ligatures w14:val="standardContextual"/>
            </w:rPr>
          </w:pPr>
          <w:hyperlink w:anchor="_Toc219529992" w:history="1">
            <w:r w:rsidR="004717D7" w:rsidRPr="004E7297">
              <w:rPr>
                <w:rStyle w:val="Hyperlink"/>
                <w:noProof/>
              </w:rPr>
              <w:t>6.</w:t>
            </w:r>
            <w:r w:rsidR="004717D7">
              <w:rPr>
                <w:rFonts w:asciiTheme="minorHAnsi" w:eastAsiaTheme="minorEastAsia" w:hAnsiTheme="minorHAnsi" w:cstheme="minorBidi"/>
                <w:noProof/>
                <w:kern w:val="2"/>
                <w:sz w:val="24"/>
                <w:lang w:val="en-IE" w:eastAsia="en-IE"/>
                <w14:ligatures w14:val="standardContextual"/>
              </w:rPr>
              <w:tab/>
            </w:r>
            <w:r w:rsidR="004717D7" w:rsidRPr="004E7297">
              <w:rPr>
                <w:rStyle w:val="Hyperlink"/>
                <w:noProof/>
              </w:rPr>
              <w:t>Issuance outlook for the first half of 2026</w:t>
            </w:r>
            <w:r w:rsidR="004717D7">
              <w:rPr>
                <w:noProof/>
                <w:webHidden/>
              </w:rPr>
              <w:tab/>
            </w:r>
            <w:r w:rsidR="004717D7">
              <w:rPr>
                <w:noProof/>
                <w:webHidden/>
              </w:rPr>
              <w:fldChar w:fldCharType="begin"/>
            </w:r>
            <w:r w:rsidR="004717D7">
              <w:rPr>
                <w:noProof/>
                <w:webHidden/>
              </w:rPr>
              <w:instrText xml:space="preserve"> PAGEREF _Toc219529992 \h </w:instrText>
            </w:r>
            <w:r w:rsidR="004717D7">
              <w:rPr>
                <w:noProof/>
                <w:webHidden/>
              </w:rPr>
            </w:r>
            <w:r w:rsidR="004717D7">
              <w:rPr>
                <w:noProof/>
                <w:webHidden/>
              </w:rPr>
              <w:fldChar w:fldCharType="separate"/>
            </w:r>
            <w:r w:rsidR="00853899">
              <w:rPr>
                <w:noProof/>
                <w:webHidden/>
              </w:rPr>
              <w:t>11</w:t>
            </w:r>
            <w:r w:rsidR="004717D7">
              <w:rPr>
                <w:noProof/>
                <w:webHidden/>
              </w:rPr>
              <w:fldChar w:fldCharType="end"/>
            </w:r>
          </w:hyperlink>
        </w:p>
        <w:p w14:paraId="67FF848D" w14:textId="617A4633" w:rsidR="008B6253" w:rsidRPr="001B3164" w:rsidRDefault="008B6253" w:rsidP="008B6253">
          <w:pPr>
            <w:rPr>
              <w:noProof/>
            </w:rPr>
          </w:pPr>
          <w:r w:rsidRPr="001B3164">
            <w:rPr>
              <w:b/>
              <w:bCs/>
              <w:noProof/>
            </w:rPr>
            <w:fldChar w:fldCharType="end"/>
          </w:r>
        </w:p>
      </w:sdtContent>
    </w:sdt>
    <w:p w14:paraId="508CF8A7" w14:textId="77777777" w:rsidR="008B6253" w:rsidRPr="001B3164" w:rsidRDefault="008B6253" w:rsidP="008B6253">
      <w:pPr>
        <w:rPr>
          <w:noProof/>
        </w:rPr>
      </w:pPr>
    </w:p>
    <w:p w14:paraId="4B2BF9EE" w14:textId="77777777" w:rsidR="008B6253" w:rsidRPr="001B3164" w:rsidRDefault="008B6253" w:rsidP="008B6253">
      <w:pPr>
        <w:rPr>
          <w:noProof/>
          <w:u w:val="single"/>
        </w:rPr>
        <w:sectPr w:rsidR="008B6253" w:rsidRPr="001B3164" w:rsidSect="008B6253">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2FAA58D2" w14:textId="505E2E07" w:rsidR="00DE46C8" w:rsidRPr="001B3164" w:rsidRDefault="00D53E02" w:rsidP="003A72E2">
      <w:pPr>
        <w:spacing w:line="259" w:lineRule="auto"/>
        <w:jc w:val="left"/>
        <w:rPr>
          <w:rFonts w:cstheme="minorBidi"/>
          <w:b/>
          <w:bCs/>
          <w:noProof/>
          <w:color w:val="44546A" w:themeColor="text2"/>
          <w:sz w:val="28"/>
          <w:szCs w:val="28"/>
        </w:rPr>
      </w:pPr>
      <w:bookmarkStart w:id="2" w:name="infographic"/>
      <w:r>
        <w:rPr>
          <w:rFonts w:asciiTheme="minorHAnsi" w:hAnsiTheme="minorHAnsi" w:cstheme="minorBidi"/>
          <w:noProof/>
          <w:szCs w:val="22"/>
        </w:rPr>
        <w:pict w14:anchorId="6DD4C812">
          <v:rect id="_x0000_s2157" style="position:absolute;margin-left:232.3pt;margin-top:25.6pt;width:219.25pt;height:135.3pt;z-index:-2516582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" fillcolor="#f5f5f5" stroked="f" strokeweight="1pt"/>
        </w:pict>
      </w:r>
      <w:r>
        <w:rPr>
          <w:noProof/>
        </w:rPr>
        <w:pict w14:anchorId="170C4D2F">
          <v:rect id="Rectangle 26" o:spid="_x0000_s2147" style="position:absolute;margin-left:0;margin-top:23.35pt;width:225.05pt;height:135.3pt;z-index:-25165823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" fillcolor="#f5f5f5" stroked="f" strokeweight="1pt"/>
        </w:pict>
      </w:r>
      <w:r w:rsidR="00DE46C8" w:rsidRPr="001B3164">
        <w:rPr>
          <w:rFonts w:cstheme="minorBidi"/>
          <w:b/>
          <w:bCs/>
          <w:noProof/>
          <w:color w:val="44546A" w:themeColor="text2"/>
          <w:sz w:val="28"/>
          <w:szCs w:val="28"/>
        </w:rPr>
        <w:t xml:space="preserve">FUNDING RAISED IN THE </w:t>
      </w:r>
      <w:r w:rsidR="00DE46C8">
        <w:rPr>
          <w:rFonts w:cstheme="minorBidi"/>
          <w:b/>
          <w:bCs/>
          <w:noProof/>
          <w:color w:val="44546A" w:themeColor="text2"/>
          <w:sz w:val="28"/>
          <w:szCs w:val="28"/>
        </w:rPr>
        <w:t>SECOND</w:t>
      </w:r>
      <w:r w:rsidR="00DE46C8" w:rsidRPr="001B3164">
        <w:rPr>
          <w:rFonts w:cstheme="minorBidi"/>
          <w:b/>
          <w:bCs/>
          <w:noProof/>
          <w:color w:val="44546A" w:themeColor="text2"/>
          <w:sz w:val="28"/>
          <w:szCs w:val="28"/>
        </w:rPr>
        <w:t xml:space="preserve"> HALF OF 2025</w:t>
      </w:r>
    </w:p>
    <w:p w14:paraId="351E3EF7" w14:textId="18C7A27F" w:rsidR="00DE46C8" w:rsidRPr="001B3164" w:rsidRDefault="00DE46C8" w:rsidP="008D45F1">
      <w:pPr>
        <w:spacing w:after="0" w:line="259" w:lineRule="auto"/>
        <w:jc w:val="left"/>
        <w:rPr>
          <w:rFonts w:asciiTheme="minorHAnsi" w:hAnsiTheme="minorHAnsi" w:cstheme="minorBidi"/>
          <w:noProof/>
          <w:szCs w:val="22"/>
        </w:rPr>
      </w:pPr>
      <w:r w:rsidRPr="001B3164">
        <w:rPr>
          <w:noProof/>
          <w:lang w:val="en-GB" w:eastAsia="en-GB"/>
        </w:rPr>
        <w:drawing>
          <wp:anchor distT="0" distB="0" distL="114300" distR="114300" simplePos="0" relativeHeight="251659264" behindDoc="0" locked="0" layoutInCell="1" allowOverlap="1" wp14:anchorId="3DB19BFB" wp14:editId="61B9CEB6">
            <wp:simplePos x="0" y="0"/>
            <wp:positionH relativeFrom="column">
              <wp:posOffset>3011915</wp:posOffset>
            </wp:positionH>
            <wp:positionV relativeFrom="paragraph">
              <wp:posOffset>339725</wp:posOffset>
            </wp:positionV>
            <wp:extent cx="2624455" cy="1295400"/>
            <wp:effectExtent l="0" t="0" r="0" b="0"/>
            <wp:wrapNone/>
            <wp:docPr id="1209256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37687" name="Picture 1"/>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rcRect l="47893" t="28144" r="2430" b="3959"/>
                    <a:stretch>
                      <a:fillRect/>
                    </a:stretch>
                  </pic:blipFill>
                  <pic:spPr bwMode="auto">
                    <a:xfrm>
                      <a:off x="0" y="0"/>
                      <a:ext cx="2624455" cy="1295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1B3164">
        <w:rPr>
          <w:noProof/>
          <w:lang w:val="en-GB" w:eastAsia="en-GB"/>
        </w:rPr>
        <w:drawing>
          <wp:anchor distT="0" distB="0" distL="114300" distR="114300" simplePos="0" relativeHeight="251656192" behindDoc="0" locked="0" layoutInCell="1" allowOverlap="1" wp14:anchorId="3402A9A5" wp14:editId="6532EA18">
            <wp:simplePos x="0" y="0"/>
            <wp:positionH relativeFrom="column">
              <wp:posOffset>3011915</wp:posOffset>
            </wp:positionH>
            <wp:positionV relativeFrom="paragraph">
              <wp:posOffset>339725</wp:posOffset>
            </wp:positionV>
            <wp:extent cx="2624455" cy="1295400"/>
            <wp:effectExtent l="0" t="0" r="0" b="0"/>
            <wp:wrapNone/>
            <wp:docPr id="1787531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37687" name="Picture 1"/>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rcRect l="47893" t="28144" r="2430" b="3959"/>
                    <a:stretch>
                      <a:fillRect/>
                    </a:stretch>
                  </pic:blipFill>
                  <pic:spPr bwMode="auto">
                    <a:xfrm>
                      <a:off x="0" y="0"/>
                      <a:ext cx="2624455" cy="1295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53E02">
        <w:rPr>
          <w:b/>
          <w:bCs/>
          <w:noProof/>
          <w:color w:val="44546A" w:themeColor="text2"/>
          <w:sz w:val="28"/>
          <w:szCs w:val="28"/>
        </w:rPr>
        <w:pict w14:anchorId="4DF9B441">
          <v:shapetype id="_x0000_t202" coordsize="21600,21600" o:spt="202" path="m,l,21600r21600,l21600,xe">
            <v:stroke joinstyle="miter"/>
            <v:path gradientshapeok="t" o:connecttype="rect"/>
          </v:shapetype>
          <v:shape id="_x0000_s2158" type="#_x0000_t202" style="position:absolute;margin-left:273pt;margin-top:2.4pt;width:142.75pt;height:32pt;z-index:251658249;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58" inset="0,,0">
              <w:txbxContent>
                <w:p w14:paraId="2F4C9C4F" w14:textId="77777777" w:rsidR="00DE46C8" w:rsidRDefault="00DE46C8" w:rsidP="00782523">
                  <w:pPr>
                    <w:jc w:val="center"/>
                  </w:pPr>
                  <w:r w:rsidRPr="00223970">
                    <w:rPr>
                      <w:b/>
                      <w:bCs/>
                      <w:color w:val="44546A" w:themeColor="text2"/>
                      <w:sz w:val="20"/>
                      <w:szCs w:val="20"/>
                      <w:lang w:val="en-US"/>
                    </w:rPr>
                    <w:t xml:space="preserve">EU-Bills </w:t>
                  </w:r>
                  <w:r w:rsidRPr="00223970">
                    <w:rPr>
                      <w:b/>
                      <w:bCs/>
                      <w:color w:val="44546A" w:themeColor="text2"/>
                      <w:sz w:val="20"/>
                      <w:szCs w:val="20"/>
                      <w:lang w:val="en-US"/>
                    </w:rPr>
                    <w:br/>
                    <w:t>outstanding at 31/12/2025</w:t>
                  </w:r>
                </w:p>
              </w:txbxContent>
            </v:textbox>
          </v:shape>
        </w:pict>
      </w:r>
      <w:r w:rsidRPr="001B3164">
        <w:rPr>
          <w:noProof/>
          <w:lang w:val="en-GB" w:eastAsia="en-GB"/>
        </w:rPr>
        <w:drawing>
          <wp:inline distT="0" distB="0" distL="0" distR="0" wp14:anchorId="6D4B7BAC" wp14:editId="03D47757">
            <wp:extent cx="2503612" cy="1589193"/>
            <wp:effectExtent l="0" t="0" r="0" b="0"/>
            <wp:docPr id="1379846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37687" name="Picture 1"/>
                    <pic:cNvPicPr/>
                  </pic:nvPicPr>
                  <pic:blipFill rotWithShape="1">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5"/>
                        </a:ext>
                      </a:extLst>
                    </a:blip>
                    <a:srcRect l="-3398" t="3147" r="50536" b="3959"/>
                    <a:stretch>
                      <a:fillRect/>
                    </a:stretch>
                  </pic:blipFill>
                  <pic:spPr bwMode="auto">
                    <a:xfrm>
                      <a:off x="0" y="0"/>
                      <a:ext cx="2511001" cy="1593884"/>
                    </a:xfrm>
                    <a:prstGeom prst="rect">
                      <a:avLst/>
                    </a:prstGeom>
                    <a:ln>
                      <a:noFill/>
                    </a:ln>
                    <a:extLst>
                      <a:ext uri="{53640926-AAD7-44D8-BBD7-CCE9431645EC}">
                        <a14:shadowObscured xmlns:a14="http://schemas.microsoft.com/office/drawing/2010/main"/>
                      </a:ext>
                    </a:extLst>
                  </pic:spPr>
                </pic:pic>
              </a:graphicData>
            </a:graphic>
          </wp:inline>
        </w:drawing>
      </w:r>
    </w:p>
    <w:p w14:paraId="646258EE" w14:textId="77777777" w:rsidR="00DE46C8" w:rsidRPr="001B3164" w:rsidRDefault="00DE46C8" w:rsidP="003A72E2">
      <w:pPr>
        <w:spacing w:before="360" w:after="0"/>
        <w:jc w:val="left"/>
        <w:rPr>
          <w:b/>
          <w:bCs/>
          <w:noProof/>
          <w:color w:val="44546A" w:themeColor="text2"/>
          <w:sz w:val="28"/>
          <w:szCs w:val="28"/>
        </w:rPr>
      </w:pPr>
      <w:r w:rsidRPr="005D363C">
        <w:rPr>
          <w:b/>
          <w:bCs/>
          <w:noProof/>
          <w:color w:val="44546A" w:themeColor="text2"/>
          <w:sz w:val="28"/>
          <w:szCs w:val="28"/>
        </w:rPr>
        <w:t xml:space="preserve">USE OF </w:t>
      </w:r>
      <w:r>
        <w:rPr>
          <w:b/>
          <w:bCs/>
          <w:noProof/>
          <w:color w:val="44546A" w:themeColor="text2"/>
          <w:sz w:val="28"/>
          <w:szCs w:val="28"/>
        </w:rPr>
        <w:t xml:space="preserve">BORROWING </w:t>
      </w:r>
      <w:r w:rsidRPr="005D363C">
        <w:rPr>
          <w:b/>
          <w:bCs/>
          <w:noProof/>
          <w:color w:val="44546A" w:themeColor="text2"/>
          <w:sz w:val="28"/>
          <w:szCs w:val="28"/>
        </w:rPr>
        <w:t>PROCEEDS</w:t>
      </w:r>
      <w:r>
        <w:rPr>
          <w:b/>
          <w:bCs/>
          <w:noProof/>
          <w:color w:val="44546A" w:themeColor="text2"/>
          <w:sz w:val="28"/>
          <w:szCs w:val="28"/>
        </w:rPr>
        <w:t xml:space="preserve"> </w:t>
      </w:r>
      <w:r w:rsidRPr="001B3164">
        <w:rPr>
          <w:rFonts w:cstheme="minorBidi"/>
          <w:b/>
          <w:bCs/>
          <w:noProof/>
          <w:color w:val="44546A" w:themeColor="text2"/>
          <w:sz w:val="28"/>
          <w:szCs w:val="28"/>
        </w:rPr>
        <w:t xml:space="preserve">IN THE </w:t>
      </w:r>
      <w:r>
        <w:rPr>
          <w:rFonts w:cstheme="minorBidi"/>
          <w:b/>
          <w:bCs/>
          <w:noProof/>
          <w:color w:val="44546A" w:themeColor="text2"/>
          <w:sz w:val="28"/>
          <w:szCs w:val="28"/>
        </w:rPr>
        <w:t>SECOND</w:t>
      </w:r>
      <w:r w:rsidRPr="001B3164">
        <w:rPr>
          <w:rFonts w:cstheme="minorBidi"/>
          <w:b/>
          <w:bCs/>
          <w:noProof/>
          <w:color w:val="44546A" w:themeColor="text2"/>
          <w:sz w:val="28"/>
          <w:szCs w:val="28"/>
        </w:rPr>
        <w:t xml:space="preserve"> HALF OF 2025</w:t>
      </w:r>
    </w:p>
    <w:p w14:paraId="2BFA7C14" w14:textId="77777777" w:rsidR="00DE46C8" w:rsidRPr="001B3164" w:rsidRDefault="00D53E02" w:rsidP="00E06416">
      <w:pPr>
        <w:rPr>
          <w:noProof/>
        </w:rPr>
      </w:pPr>
      <w:r>
        <w:rPr>
          <w:b/>
          <w:bCs/>
          <w:noProof/>
          <w:color w:val="44546A" w:themeColor="text2"/>
          <w:sz w:val="28"/>
          <w:szCs w:val="28"/>
        </w:rPr>
        <w:pict w14:anchorId="7F84F395">
          <v:shape id="_x0000_s2156" type="#_x0000_t202" style="position:absolute;left:0;text-align:left;margin-left:294.05pt;margin-top:14.45pt;width:93.9pt;height:32pt;z-index:251658247;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56" inset="0,,0">
              <w:txbxContent>
                <w:p w14:paraId="2F223EA2" w14:textId="77777777" w:rsidR="00DE46C8" w:rsidRDefault="00DE46C8" w:rsidP="00782523">
                  <w:pPr>
                    <w:jc w:val="center"/>
                  </w:pPr>
                  <w:r>
                    <w:rPr>
                      <w:b/>
                      <w:bCs/>
                      <w:color w:val="44546A" w:themeColor="text2"/>
                      <w:sz w:val="20"/>
                      <w:szCs w:val="20"/>
                      <w:lang w:val="en-US"/>
                    </w:rPr>
                    <w:t>Other programmes</w:t>
                  </w:r>
                </w:p>
              </w:txbxContent>
            </v:textbox>
          </v:shape>
        </w:pict>
      </w:r>
      <w:r>
        <w:rPr>
          <w:b/>
          <w:bCs/>
          <w:noProof/>
          <w:color w:val="44546A" w:themeColor="text2"/>
          <w:sz w:val="28"/>
          <w:szCs w:val="28"/>
        </w:rPr>
        <w:pict w14:anchorId="2A819065">
          <v:rect id="_x0000_s2151" style="position:absolute;left:0;text-align:left;margin-left:232.3pt;margin-top:9.1pt;width:219pt;height:226.4pt;z-index:-251658236" fillcolor="#f5f5f5" stroked="f"/>
        </w:pict>
      </w:r>
      <w:r>
        <w:rPr>
          <w:b/>
          <w:bCs/>
          <w:noProof/>
          <w:color w:val="44546A" w:themeColor="text2"/>
          <w:sz w:val="28"/>
          <w:szCs w:val="28"/>
        </w:rPr>
        <w:pict w14:anchorId="478D3082">
          <v:rect id="_x0000_s2149" style="position:absolute;left:0;text-align:left;margin-left:-.6pt;margin-top:9.1pt;width:225.65pt;height:226.4pt;z-index:-251658237" fillcolor="#f5f5f5" stroked="f"/>
        </w:pict>
      </w:r>
      <w:r>
        <w:rPr>
          <w:noProof/>
        </w:rPr>
        <w:pict w14:anchorId="0E8ABF73">
          <v:shape id="Text Box 1" o:spid="_x0000_s2154" type="#_x0000_t202" style="position:absolute;left:0;text-align:left;margin-left:88.45pt;margin-top:8.9pt;width:86.25pt;height:32pt;z-index:251658246;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Text Box 1" inset="0,,0">
              <w:txbxContent>
                <w:p w14:paraId="017ABA9D" w14:textId="77777777" w:rsidR="00DE46C8" w:rsidRDefault="00DE46C8" w:rsidP="004B7C42">
                  <w:pPr>
                    <w:jc w:val="center"/>
                  </w:pPr>
                  <w:r>
                    <w:rPr>
                      <w:b/>
                      <w:bCs/>
                      <w:color w:val="44546A" w:themeColor="text2"/>
                      <w:sz w:val="20"/>
                      <w:szCs w:val="20"/>
                      <w:lang w:val="en-US"/>
                    </w:rPr>
                    <w:t>NGEU financed through borrowing</w:t>
                  </w:r>
                </w:p>
              </w:txbxContent>
            </v:textbox>
          </v:shape>
        </w:pict>
      </w:r>
      <w:r>
        <w:rPr>
          <w:noProof/>
        </w:rPr>
        <w:pict w14:anchorId="7BDF588B">
          <v:shape id="_x0000_s2152" type="#_x0000_t202" style="position:absolute;left:0;text-align:left;margin-left:17.85pt;margin-top:9.1pt;width:64.1pt;height:32pt;z-index:251658245" fillcolor="#f5f5f5" stroked="f">
            <v:textbox style="mso-next-textbox:#_x0000_s2152" inset="0,,0">
              <w:txbxContent>
                <w:p w14:paraId="60E74288" w14:textId="77777777" w:rsidR="00DE46C8" w:rsidRPr="00544DEE" w:rsidRDefault="00DE46C8" w:rsidP="00BD7489">
                  <w:pPr>
                    <w:jc w:val="center"/>
                    <w:rPr>
                      <w:b/>
                      <w:bCs/>
                      <w:color w:val="44546A" w:themeColor="text2"/>
                      <w:sz w:val="20"/>
                      <w:szCs w:val="20"/>
                      <w:lang w:val="en-US"/>
                    </w:rPr>
                  </w:pPr>
                  <w:r>
                    <w:rPr>
                      <w:b/>
                      <w:bCs/>
                      <w:color w:val="44546A" w:themeColor="text2"/>
                      <w:sz w:val="20"/>
                      <w:szCs w:val="20"/>
                      <w:lang w:val="en-US"/>
                    </w:rPr>
                    <w:t xml:space="preserve">Total </w:t>
                  </w:r>
                  <w:r w:rsidRPr="00544DEE">
                    <w:rPr>
                      <w:b/>
                      <w:bCs/>
                      <w:color w:val="44546A" w:themeColor="text2"/>
                      <w:sz w:val="20"/>
                      <w:szCs w:val="20"/>
                      <w:lang w:val="en-US"/>
                    </w:rPr>
                    <w:t>N</w:t>
                  </w:r>
                  <w:r>
                    <w:rPr>
                      <w:b/>
                      <w:bCs/>
                      <w:color w:val="44546A" w:themeColor="text2"/>
                      <w:sz w:val="20"/>
                      <w:szCs w:val="20"/>
                      <w:lang w:val="en-US"/>
                    </w:rPr>
                    <w:t>G</w:t>
                  </w:r>
                  <w:r w:rsidRPr="00544DEE">
                    <w:rPr>
                      <w:b/>
                      <w:bCs/>
                      <w:color w:val="44546A" w:themeColor="text2"/>
                      <w:sz w:val="20"/>
                      <w:szCs w:val="20"/>
                      <w:lang w:val="en-US"/>
                    </w:rPr>
                    <w:t>EU €</w:t>
                  </w:r>
                  <w:r>
                    <w:rPr>
                      <w:b/>
                      <w:bCs/>
                      <w:color w:val="44546A" w:themeColor="text2"/>
                      <w:sz w:val="20"/>
                      <w:szCs w:val="20"/>
                      <w:lang w:val="en-US"/>
                    </w:rPr>
                    <w:t>78.4</w:t>
                  </w:r>
                  <w:r w:rsidRPr="00544DEE">
                    <w:rPr>
                      <w:b/>
                      <w:bCs/>
                      <w:color w:val="44546A" w:themeColor="text2"/>
                      <w:sz w:val="20"/>
                      <w:szCs w:val="20"/>
                      <w:lang w:val="en-US"/>
                    </w:rPr>
                    <w:t xml:space="preserve"> bill</w:t>
                  </w:r>
                  <w:r>
                    <w:rPr>
                      <w:b/>
                      <w:bCs/>
                      <w:color w:val="44546A" w:themeColor="text2"/>
                      <w:sz w:val="20"/>
                      <w:szCs w:val="20"/>
                      <w:lang w:val="en-US"/>
                    </w:rPr>
                    <w:t>i</w:t>
                  </w:r>
                  <w:r w:rsidRPr="00544DEE">
                    <w:rPr>
                      <w:b/>
                      <w:bCs/>
                      <w:color w:val="44546A" w:themeColor="text2"/>
                      <w:sz w:val="20"/>
                      <w:szCs w:val="20"/>
                      <w:lang w:val="en-US"/>
                    </w:rPr>
                    <w:t>on</w:t>
                  </w:r>
                </w:p>
                <w:p w14:paraId="22F0407D" w14:textId="77777777" w:rsidR="00DE46C8" w:rsidRDefault="00DE46C8"/>
              </w:txbxContent>
            </v:textbox>
          </v:shape>
        </w:pict>
      </w:r>
    </w:p>
    <w:p w14:paraId="4376C808" w14:textId="4B38CF33" w:rsidR="00DE46C8" w:rsidRPr="001B3164" w:rsidRDefault="00DE46C8" w:rsidP="000262A2">
      <w:pPr>
        <w:rPr>
          <w:noProof/>
        </w:rPr>
      </w:pPr>
      <w:r w:rsidRPr="001B3164">
        <w:rPr>
          <w:noProof/>
          <w:lang w:val="en-GB" w:eastAsia="en-GB"/>
        </w:rPr>
        <w:drawing>
          <wp:anchor distT="0" distB="0" distL="114300" distR="114300" simplePos="0" relativeHeight="251655168" behindDoc="0" locked="0" layoutInCell="1" allowOverlap="1" wp14:anchorId="08F2EFD8" wp14:editId="6AE7DD86">
            <wp:simplePos x="0" y="0"/>
            <wp:positionH relativeFrom="column">
              <wp:posOffset>2913181</wp:posOffset>
            </wp:positionH>
            <wp:positionV relativeFrom="paragraph">
              <wp:posOffset>94615</wp:posOffset>
            </wp:positionV>
            <wp:extent cx="2810510" cy="2583180"/>
            <wp:effectExtent l="0" t="0" r="0" b="0"/>
            <wp:wrapNone/>
            <wp:docPr id="1031233805" name="Picture 21">
              <a:extLst xmlns:a="http://schemas.openxmlformats.org/drawingml/2006/main">
                <a:ext uri="{FF2B5EF4-FFF2-40B4-BE49-F238E27FC236}">
                  <a16:creationId xmlns:a16="http://schemas.microsoft.com/office/drawing/2014/main" id="{7AE6366C-A2F6-6696-9DFA-B0F2B7DA9E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33805" name="Picture 21">
                      <a:extLst>
                        <a:ext uri="{FF2B5EF4-FFF2-40B4-BE49-F238E27FC236}">
                          <a16:creationId xmlns:a16="http://schemas.microsoft.com/office/drawing/2014/main" id="{7AE6366C-A2F6-6696-9DFA-B0F2B7DA9EE5}"/>
                        </a:ext>
                      </a:extLst>
                    </pic:cNvPr>
                    <pic:cNvPicPr>
                      <a:picLocks noChangeAspect="1"/>
                    </pic:cNvPicPr>
                  </pic:nvPicPr>
                  <pic:blipFill>
                    <a:blip r:embed="rId26">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7"/>
                        </a:ext>
                      </a:extLst>
                    </a:blip>
                    <a:srcRect t="54" b="54"/>
                    <a:stretch>
                      <a:fillRect/>
                    </a:stretch>
                  </pic:blipFill>
                  <pic:spPr bwMode="auto">
                    <a:xfrm>
                      <a:off x="0" y="0"/>
                      <a:ext cx="2810510" cy="2583180"/>
                    </a:xfrm>
                    <a:prstGeom prst="rect">
                      <a:avLst/>
                    </a:prstGeom>
                    <a:extLst>
                      <a:ext uri="{53640926-AAD7-44D8-BBD7-CCE9431645EC}">
                        <a14:shadowObscured xmlns:a14="http://schemas.microsoft.com/office/drawing/2010/main"/>
                      </a:ext>
                    </a:extLst>
                  </pic:spPr>
                </pic:pic>
              </a:graphicData>
            </a:graphic>
          </wp:anchor>
        </w:drawing>
      </w:r>
      <w:r w:rsidRPr="001B3164">
        <w:rPr>
          <w:noProof/>
          <w:lang w:val="en-GB" w:eastAsia="en-GB"/>
        </w:rPr>
        <w:drawing>
          <wp:inline distT="0" distB="0" distL="0" distR="0" wp14:anchorId="5C2A5663" wp14:editId="5F4105C8">
            <wp:extent cx="2810829" cy="2583180"/>
            <wp:effectExtent l="0" t="0" r="0" b="0"/>
            <wp:docPr id="313656974" name="Picture 21">
              <a:extLst xmlns:a="http://schemas.openxmlformats.org/drawingml/2006/main">
                <a:ext uri="{FF2B5EF4-FFF2-40B4-BE49-F238E27FC236}">
                  <a16:creationId xmlns:a16="http://schemas.microsoft.com/office/drawing/2014/main" id="{7AE6366C-A2F6-6696-9DFA-B0F2B7DA9E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56465" name="Picture 21">
                      <a:extLst>
                        <a:ext uri="{FF2B5EF4-FFF2-40B4-BE49-F238E27FC236}">
                          <a16:creationId xmlns:a16="http://schemas.microsoft.com/office/drawing/2014/main" id="{7AE6366C-A2F6-6696-9DFA-B0F2B7DA9EE5}"/>
                        </a:ext>
                      </a:extLst>
                    </pic:cNvPr>
                    <pic:cNvPicPr>
                      <a:picLocks noChangeAspect="1"/>
                    </pic:cNvPicPr>
                  </pic:nvPicPr>
                  <pic:blipFill rotWithShape="1">
                    <a:blip r:embed="rId28">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29"/>
                        </a:ext>
                      </a:extLst>
                    </a:blip>
                    <a:srcRect t="10819" b="6342"/>
                    <a:stretch>
                      <a:fillRect/>
                    </a:stretch>
                  </pic:blipFill>
                  <pic:spPr bwMode="auto">
                    <a:xfrm>
                      <a:off x="0" y="0"/>
                      <a:ext cx="2852930" cy="2621871"/>
                    </a:xfrm>
                    <a:prstGeom prst="rect">
                      <a:avLst/>
                    </a:prstGeom>
                    <a:ln>
                      <a:noFill/>
                    </a:ln>
                    <a:extLst>
                      <a:ext uri="{53640926-AAD7-44D8-BBD7-CCE9431645EC}">
                        <a14:shadowObscured xmlns:a14="http://schemas.microsoft.com/office/drawing/2010/main"/>
                      </a:ext>
                    </a:extLst>
                  </pic:spPr>
                </pic:pic>
              </a:graphicData>
            </a:graphic>
          </wp:inline>
        </w:drawing>
      </w:r>
    </w:p>
    <w:p w14:paraId="572B451B" w14:textId="67A70408" w:rsidR="003A72E2" w:rsidRDefault="00D53E02" w:rsidP="00B05538">
      <w:pPr>
        <w:jc w:val="left"/>
        <w:rPr>
          <w:rFonts w:cstheme="minorBidi"/>
          <w:b/>
          <w:bCs/>
          <w:noProof/>
          <w:color w:val="44546A" w:themeColor="text2"/>
          <w:sz w:val="28"/>
          <w:szCs w:val="28"/>
        </w:rPr>
      </w:pPr>
      <w:r>
        <w:rPr>
          <w:rFonts w:eastAsia="Arial" w:cs="Arial"/>
          <w:noProof/>
          <w:color w:val="000000" w:themeColor="text1"/>
          <w:sz w:val="20"/>
          <w:szCs w:val="20"/>
        </w:rPr>
        <w:pict w14:anchorId="039FE74C">
          <v:shape id="_x0000_s2166" type="#_x0000_t202" style="position:absolute;margin-left:-.6pt;margin-top:496.4pt;width:111.6pt;height:18pt;z-index:251658255;mso-position-horizontal-relative:text;mso-position-vertical-relative:page" filled="f" stroked="f">
            <v:textbox style="mso-next-textbox:#_x0000_s2166">
              <w:txbxContent>
                <w:p w14:paraId="42702C7F" w14:textId="77777777" w:rsidR="00F92430" w:rsidRPr="00BB07E3" w:rsidRDefault="00F92430" w:rsidP="00F92430">
                  <w:pPr>
                    <w:rPr>
                      <w:color w:val="595959" w:themeColor="text1" w:themeTint="A6"/>
                    </w:rPr>
                  </w:pPr>
                  <w:r w:rsidRPr="00BB07E3">
                    <w:rPr>
                      <w:i/>
                      <w:iCs/>
                      <w:color w:val="595959" w:themeColor="text1" w:themeTint="A6"/>
                      <w:sz w:val="18"/>
                      <w:szCs w:val="18"/>
                    </w:rPr>
                    <w:t>All amounts in billion</w:t>
                  </w:r>
                  <w:r>
                    <w:rPr>
                      <w:i/>
                      <w:iCs/>
                      <w:color w:val="595959" w:themeColor="text1" w:themeTint="A6"/>
                      <w:sz w:val="18"/>
                      <w:szCs w:val="18"/>
                    </w:rPr>
                    <w:t xml:space="preserve"> EUR</w:t>
                  </w:r>
                </w:p>
                <w:p w14:paraId="6467DCB3" w14:textId="77777777" w:rsidR="00F92430" w:rsidRPr="00BB07E3" w:rsidRDefault="00F92430" w:rsidP="00F92430">
                  <w:pPr>
                    <w:rPr>
                      <w:color w:val="595959" w:themeColor="text1" w:themeTint="A6"/>
                    </w:rPr>
                  </w:pPr>
                </w:p>
              </w:txbxContent>
            </v:textbox>
            <w10:wrap anchory="page"/>
          </v:shape>
        </w:pict>
      </w:r>
    </w:p>
    <w:p w14:paraId="7B0A7B4C" w14:textId="5C06C294" w:rsidR="00DE46C8" w:rsidRDefault="00DE46C8" w:rsidP="004F3BBB">
      <w:pPr>
        <w:spacing w:before="360"/>
        <w:jc w:val="left"/>
        <w:rPr>
          <w:rFonts w:cstheme="minorBidi"/>
          <w:b/>
          <w:bCs/>
          <w:noProof/>
          <w:color w:val="44546A" w:themeColor="text2"/>
          <w:szCs w:val="22"/>
        </w:rPr>
      </w:pPr>
      <w:r w:rsidRPr="001B3164">
        <w:rPr>
          <w:rFonts w:cstheme="minorBidi"/>
          <w:b/>
          <w:bCs/>
          <w:noProof/>
          <w:color w:val="44546A" w:themeColor="text2"/>
          <w:sz w:val="28"/>
          <w:szCs w:val="28"/>
        </w:rPr>
        <w:t xml:space="preserve">OUTSTANDING EU-BONDS </w:t>
      </w:r>
      <w:r w:rsidRPr="001B3164">
        <w:rPr>
          <w:rFonts w:cstheme="minorBidi"/>
          <w:b/>
          <w:bCs/>
          <w:noProof/>
          <w:color w:val="44546A" w:themeColor="text2"/>
          <w:sz w:val="28"/>
          <w:szCs w:val="28"/>
        </w:rPr>
        <w:br/>
      </w:r>
      <w:r>
        <w:rPr>
          <w:rFonts w:cstheme="minorBidi"/>
          <w:noProof/>
          <w:color w:val="44546A" w:themeColor="text2"/>
          <w:szCs w:val="22"/>
        </w:rPr>
        <w:t>on</w:t>
      </w:r>
      <w:r w:rsidRPr="001B3164">
        <w:rPr>
          <w:rFonts w:cstheme="minorBidi"/>
          <w:noProof/>
          <w:color w:val="44546A" w:themeColor="text2"/>
          <w:szCs w:val="22"/>
        </w:rPr>
        <w:t xml:space="preserve"> 3</w:t>
      </w:r>
      <w:r>
        <w:rPr>
          <w:rFonts w:cstheme="minorBidi"/>
          <w:noProof/>
          <w:color w:val="44546A" w:themeColor="text2"/>
          <w:szCs w:val="22"/>
        </w:rPr>
        <w:t>1</w:t>
      </w:r>
      <w:r w:rsidRPr="001B3164">
        <w:rPr>
          <w:rFonts w:cstheme="minorBidi"/>
          <w:noProof/>
          <w:color w:val="44546A" w:themeColor="text2"/>
          <w:szCs w:val="22"/>
        </w:rPr>
        <w:t>/</w:t>
      </w:r>
      <w:r>
        <w:rPr>
          <w:rFonts w:cstheme="minorBidi"/>
          <w:noProof/>
          <w:color w:val="44546A" w:themeColor="text2"/>
          <w:szCs w:val="22"/>
        </w:rPr>
        <w:t>12</w:t>
      </w:r>
      <w:r w:rsidRPr="001B3164">
        <w:rPr>
          <w:rFonts w:cstheme="minorBidi"/>
          <w:noProof/>
          <w:color w:val="44546A" w:themeColor="text2"/>
          <w:szCs w:val="22"/>
        </w:rPr>
        <w:t>/2025</w:t>
      </w:r>
      <w:r w:rsidRPr="001B3164">
        <w:rPr>
          <w:rFonts w:cstheme="minorBidi"/>
          <w:b/>
          <w:bCs/>
          <w:noProof/>
          <w:color w:val="44546A" w:themeColor="text2"/>
          <w:szCs w:val="22"/>
        </w:rPr>
        <w:t xml:space="preserve"> </w:t>
      </w:r>
    </w:p>
    <w:p w14:paraId="5C291BF4" w14:textId="486A7FB6" w:rsidR="00DE46C8" w:rsidRPr="004F3BBB" w:rsidRDefault="004F3BBB" w:rsidP="004F3BBB">
      <w:pPr>
        <w:jc w:val="left"/>
        <w:rPr>
          <w:noProof/>
        </w:rPr>
      </w:pPr>
      <w:r w:rsidRPr="004F3BBB">
        <w:rPr>
          <w:noProof/>
          <w:lang w:val="en-GB" w:eastAsia="en-GB"/>
        </w:rPr>
        <w:drawing>
          <wp:inline distT="0" distB="0" distL="0" distR="0" wp14:anchorId="4A939633" wp14:editId="3ACD00AF">
            <wp:extent cx="5030616" cy="1752600"/>
            <wp:effectExtent l="0" t="0" r="0" b="0"/>
            <wp:docPr id="17326868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686868" name="Graphic 1"/>
                    <pic:cNvPicPr/>
                  </pic:nvPicPr>
                  <pic:blipFill rotWithShape="1">
                    <a:blip r:embed="rId30">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31"/>
                        </a:ext>
                      </a:extLst>
                    </a:blip>
                    <a:srcRect l="1465"/>
                    <a:stretch>
                      <a:fillRect/>
                    </a:stretch>
                  </pic:blipFill>
                  <pic:spPr bwMode="auto">
                    <a:xfrm>
                      <a:off x="0" y="0"/>
                      <a:ext cx="5030616" cy="1752600"/>
                    </a:xfrm>
                    <a:prstGeom prst="rect">
                      <a:avLst/>
                    </a:prstGeom>
                    <a:ln>
                      <a:noFill/>
                    </a:ln>
                    <a:extLst>
                      <a:ext uri="{53640926-AAD7-44D8-BBD7-CCE9431645EC}">
                        <a14:shadowObscured xmlns:a14="http://schemas.microsoft.com/office/drawing/2010/main"/>
                      </a:ext>
                    </a:extLst>
                  </pic:spPr>
                </pic:pic>
              </a:graphicData>
            </a:graphic>
          </wp:inline>
        </w:drawing>
      </w:r>
    </w:p>
    <w:p w14:paraId="30223788" w14:textId="77777777" w:rsidR="00DE46C8" w:rsidRDefault="00DE46C8" w:rsidP="00B814CE">
      <w:pPr>
        <w:spacing w:after="320"/>
        <w:rPr>
          <w:rFonts w:eastAsia="Arial" w:cs="Arial"/>
          <w:noProof/>
          <w:color w:val="000000" w:themeColor="text1"/>
          <w:sz w:val="20"/>
          <w:szCs w:val="20"/>
          <w:lang w:val="en-US"/>
        </w:rPr>
      </w:pPr>
      <w:r>
        <w:rPr>
          <w:rFonts w:asciiTheme="minorHAnsi" w:hAnsiTheme="minorHAnsi" w:cstheme="minorBidi"/>
          <w:noProof/>
          <w:szCs w:val="22"/>
        </w:rPr>
        <w:t xml:space="preserve">* </w:t>
      </w:r>
      <w:r w:rsidRPr="00500AF1">
        <w:rPr>
          <w:rFonts w:eastAsia="Arial" w:cs="Arial"/>
          <w:noProof/>
          <w:color w:val="000000" w:themeColor="text1"/>
          <w:sz w:val="20"/>
          <w:szCs w:val="20"/>
          <w:lang w:val="en-US"/>
        </w:rPr>
        <w:t>This includes proceeds from the early repayment for the EFSM.</w:t>
      </w:r>
    </w:p>
    <w:p w14:paraId="4B8F3AA7" w14:textId="3230397D" w:rsidR="003A72E2" w:rsidRPr="003A72E2" w:rsidRDefault="003A72E2" w:rsidP="003A72E2">
      <w:pPr>
        <w:spacing w:before="360" w:after="0"/>
        <w:jc w:val="left"/>
        <w:rPr>
          <w:b/>
          <w:bCs/>
          <w:noProof/>
          <w:color w:val="44546A" w:themeColor="text2"/>
          <w:sz w:val="28"/>
          <w:szCs w:val="28"/>
        </w:rPr>
      </w:pPr>
      <w:r>
        <w:rPr>
          <w:b/>
          <w:bCs/>
          <w:noProof/>
          <w:color w:val="44546A" w:themeColor="text2"/>
          <w:sz w:val="28"/>
          <w:szCs w:val="28"/>
        </w:rPr>
        <w:t xml:space="preserve">GRANTS AND </w:t>
      </w:r>
      <w:r w:rsidR="00F92430">
        <w:rPr>
          <w:b/>
          <w:bCs/>
          <w:noProof/>
          <w:color w:val="44546A" w:themeColor="text2"/>
          <w:sz w:val="28"/>
          <w:szCs w:val="28"/>
        </w:rPr>
        <w:t xml:space="preserve">OUTSTANDING </w:t>
      </w:r>
      <w:r>
        <w:rPr>
          <w:b/>
          <w:bCs/>
          <w:noProof/>
          <w:color w:val="44546A" w:themeColor="text2"/>
          <w:sz w:val="28"/>
          <w:szCs w:val="28"/>
        </w:rPr>
        <w:t>LOANS FINANCED THROUGH BORROWING</w:t>
      </w:r>
      <w:r w:rsidRPr="001B3164">
        <w:rPr>
          <w:rFonts w:cstheme="minorBidi"/>
          <w:b/>
          <w:bCs/>
          <w:noProof/>
          <w:color w:val="44546A" w:themeColor="text2"/>
          <w:sz w:val="28"/>
          <w:szCs w:val="28"/>
        </w:rPr>
        <w:br/>
      </w:r>
      <w:r>
        <w:rPr>
          <w:rFonts w:cstheme="minorBidi"/>
          <w:noProof/>
          <w:color w:val="44546A" w:themeColor="text2"/>
          <w:szCs w:val="22"/>
        </w:rPr>
        <w:t>on</w:t>
      </w:r>
      <w:r w:rsidRPr="001B3164">
        <w:rPr>
          <w:rFonts w:cstheme="minorBidi"/>
          <w:noProof/>
          <w:color w:val="44546A" w:themeColor="text2"/>
          <w:szCs w:val="22"/>
        </w:rPr>
        <w:t xml:space="preserve"> 3</w:t>
      </w:r>
      <w:r>
        <w:rPr>
          <w:rFonts w:cstheme="minorBidi"/>
          <w:noProof/>
          <w:color w:val="44546A" w:themeColor="text2"/>
          <w:szCs w:val="22"/>
        </w:rPr>
        <w:t>1</w:t>
      </w:r>
      <w:r w:rsidRPr="001B3164">
        <w:rPr>
          <w:rFonts w:cstheme="minorBidi"/>
          <w:noProof/>
          <w:color w:val="44546A" w:themeColor="text2"/>
          <w:szCs w:val="22"/>
        </w:rPr>
        <w:t>/</w:t>
      </w:r>
      <w:r>
        <w:rPr>
          <w:rFonts w:cstheme="minorBidi"/>
          <w:noProof/>
          <w:color w:val="44546A" w:themeColor="text2"/>
          <w:szCs w:val="22"/>
        </w:rPr>
        <w:t>12</w:t>
      </w:r>
      <w:r w:rsidRPr="001B3164">
        <w:rPr>
          <w:rFonts w:cstheme="minorBidi"/>
          <w:noProof/>
          <w:color w:val="44546A" w:themeColor="text2"/>
          <w:szCs w:val="22"/>
        </w:rPr>
        <w:t>/2025</w:t>
      </w:r>
      <w:r w:rsidRPr="001B3164">
        <w:rPr>
          <w:rFonts w:cstheme="minorBidi"/>
          <w:b/>
          <w:bCs/>
          <w:noProof/>
          <w:color w:val="44546A" w:themeColor="text2"/>
          <w:szCs w:val="22"/>
        </w:rPr>
        <w:t xml:space="preserve"> </w:t>
      </w:r>
    </w:p>
    <w:p w14:paraId="604FF0C0" w14:textId="77777777" w:rsidR="003A72E2" w:rsidRPr="001B3164" w:rsidRDefault="00D53E02" w:rsidP="003A72E2">
      <w:pPr>
        <w:rPr>
          <w:noProof/>
        </w:rPr>
      </w:pPr>
      <w:r>
        <w:rPr>
          <w:b/>
          <w:bCs/>
          <w:noProof/>
          <w:color w:val="44546A" w:themeColor="text2"/>
          <w:sz w:val="28"/>
          <w:szCs w:val="28"/>
        </w:rPr>
        <w:pict w14:anchorId="39899F59">
          <v:shape id="_x0000_s2159" type="#_x0000_t202" style="position:absolute;left:0;text-align:left;margin-left:232.3pt;margin-top:6.65pt;width:215.2pt;height:244.1pt;z-index:251658250;visibility:visible;mso-wrap-distance-left:9pt;mso-wrap-distance-top:0;mso-wrap-distance-right:9pt;mso-wrap-distance-bottom:0;mso-position-horizontal-relative:text;mso-position-vertical-relative:text;mso-width-relative:page;mso-height-relative:page;v-text-anchor:top" fillcolor="#f5f5f5" stroked="f">
            <v:textbox style="mso-next-textbox:#_x0000_s2159" inset="0,,0">
              <w:txbxContent>
                <w:p w14:paraId="2878FEF1" w14:textId="77777777" w:rsidR="003A72E2" w:rsidRDefault="003A72E2" w:rsidP="003A72E2">
                  <w:pPr>
                    <w:jc w:val="center"/>
                    <w:rPr>
                      <w:b/>
                      <w:bCs/>
                      <w:color w:val="44546A" w:themeColor="text2"/>
                      <w:sz w:val="20"/>
                      <w:szCs w:val="20"/>
                      <w:lang w:val="en-US"/>
                    </w:rPr>
                  </w:pPr>
                  <w:r>
                    <w:rPr>
                      <w:b/>
                      <w:bCs/>
                      <w:color w:val="44546A" w:themeColor="text2"/>
                      <w:sz w:val="20"/>
                      <w:szCs w:val="20"/>
                      <w:lang w:val="en-US"/>
                    </w:rPr>
                    <w:t>Other outstanding loans</w:t>
                  </w:r>
                </w:p>
                <w:p w14:paraId="44D91D19" w14:textId="77777777" w:rsidR="003A72E2" w:rsidRDefault="003A72E2" w:rsidP="003A72E2">
                  <w:pPr>
                    <w:jc w:val="center"/>
                  </w:pPr>
                </w:p>
              </w:txbxContent>
            </v:textbox>
          </v:shape>
        </w:pict>
      </w:r>
      <w:r>
        <w:rPr>
          <w:b/>
          <w:bCs/>
          <w:noProof/>
          <w:color w:val="44546A" w:themeColor="text2"/>
          <w:sz w:val="28"/>
          <w:szCs w:val="28"/>
        </w:rPr>
        <w:pict w14:anchorId="6FB2DFFD">
          <v:rect id="_x0000_s2160" style="position:absolute;left:0;text-align:left;margin-left:0;margin-top:7.05pt;width:225.05pt;height:243.7pt;z-index:-251658228" fillcolor="#f5f5f5" stroked="f"/>
        </w:pict>
      </w:r>
      <w:r>
        <w:rPr>
          <w:b/>
          <w:bCs/>
          <w:noProof/>
          <w:color w:val="44546A" w:themeColor="text2"/>
          <w:sz w:val="28"/>
          <w:szCs w:val="28"/>
        </w:rPr>
        <w:pict w14:anchorId="3C47D1C4">
          <v:shape id="_x0000_s2163" type="#_x0000_t202" style="position:absolute;left:0;text-align:left;margin-left:102pt;margin-top:7.3pt;width:86.25pt;height:32pt;z-index:251658254;visibility:visible;mso-height-percent:0;mso-wrap-distance-left:9pt;mso-wrap-distance-top:0;mso-wrap-distance-right:9pt;mso-wrap-distance-bottom:0;mso-position-horizontal-relative:text;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" fillcolor="#f5f5f5" stroked="f">
            <v:textbox style="mso-next-textbox:#_x0000_s2163" inset="0,,0">
              <w:txbxContent>
                <w:p w14:paraId="583E0EBD" w14:textId="77777777" w:rsidR="003A72E2" w:rsidRDefault="003A72E2" w:rsidP="003A72E2">
                  <w:pPr>
                    <w:jc w:val="center"/>
                  </w:pPr>
                  <w:r>
                    <w:rPr>
                      <w:b/>
                      <w:bCs/>
                      <w:color w:val="44546A" w:themeColor="text2"/>
                      <w:sz w:val="20"/>
                      <w:szCs w:val="20"/>
                      <w:lang w:val="en-US"/>
                    </w:rPr>
                    <w:t>NGEU financed through borrowing</w:t>
                  </w:r>
                </w:p>
              </w:txbxContent>
            </v:textbox>
          </v:shape>
        </w:pict>
      </w:r>
      <w:r>
        <w:rPr>
          <w:b/>
          <w:bCs/>
          <w:noProof/>
          <w:color w:val="44546A" w:themeColor="text2"/>
          <w:sz w:val="28"/>
          <w:szCs w:val="28"/>
        </w:rPr>
        <w:pict w14:anchorId="2A471290">
          <v:shape id="_x0000_s2162" type="#_x0000_t202" style="position:absolute;left:0;text-align:left;margin-left:9.7pt;margin-top:7.05pt;width:83.9pt;height:32pt;z-index:251658253" fillcolor="#f5f5f5" stroked="f">
            <v:textbox style="mso-next-textbox:#_x0000_s2162" inset="0,,0">
              <w:txbxContent>
                <w:p w14:paraId="5FC84D83" w14:textId="77777777" w:rsidR="003A72E2" w:rsidRPr="00544DEE" w:rsidRDefault="003A72E2" w:rsidP="003A72E2">
                  <w:pPr>
                    <w:jc w:val="center"/>
                    <w:rPr>
                      <w:b/>
                      <w:bCs/>
                      <w:color w:val="44546A" w:themeColor="text2"/>
                      <w:sz w:val="20"/>
                      <w:szCs w:val="20"/>
                      <w:lang w:val="en-US"/>
                    </w:rPr>
                  </w:pPr>
                  <w:r>
                    <w:rPr>
                      <w:b/>
                      <w:bCs/>
                      <w:color w:val="44546A" w:themeColor="text2"/>
                      <w:sz w:val="20"/>
                      <w:szCs w:val="20"/>
                      <w:lang w:val="en-US"/>
                    </w:rPr>
                    <w:t xml:space="preserve">Total </w:t>
                  </w:r>
                  <w:r w:rsidRPr="00544DEE">
                    <w:rPr>
                      <w:b/>
                      <w:bCs/>
                      <w:color w:val="44546A" w:themeColor="text2"/>
                      <w:sz w:val="20"/>
                      <w:szCs w:val="20"/>
                      <w:lang w:val="en-US"/>
                    </w:rPr>
                    <w:t>N</w:t>
                  </w:r>
                  <w:r>
                    <w:rPr>
                      <w:b/>
                      <w:bCs/>
                      <w:color w:val="44546A" w:themeColor="text2"/>
                      <w:sz w:val="20"/>
                      <w:szCs w:val="20"/>
                      <w:lang w:val="en-US"/>
                    </w:rPr>
                    <w:t>G</w:t>
                  </w:r>
                  <w:r w:rsidRPr="00544DEE">
                    <w:rPr>
                      <w:b/>
                      <w:bCs/>
                      <w:color w:val="44546A" w:themeColor="text2"/>
                      <w:sz w:val="20"/>
                      <w:szCs w:val="20"/>
                      <w:lang w:val="en-US"/>
                    </w:rPr>
                    <w:t>EU €</w:t>
                  </w:r>
                  <w:r>
                    <w:rPr>
                      <w:b/>
                      <w:bCs/>
                      <w:color w:val="44546A" w:themeColor="text2"/>
                      <w:sz w:val="20"/>
                      <w:szCs w:val="20"/>
                      <w:lang w:val="en-US"/>
                    </w:rPr>
                    <w:t>469.3</w:t>
                  </w:r>
                  <w:r w:rsidRPr="00544DEE">
                    <w:rPr>
                      <w:b/>
                      <w:bCs/>
                      <w:color w:val="44546A" w:themeColor="text2"/>
                      <w:sz w:val="20"/>
                      <w:szCs w:val="20"/>
                      <w:lang w:val="en-US"/>
                    </w:rPr>
                    <w:t xml:space="preserve"> bill</w:t>
                  </w:r>
                  <w:r>
                    <w:rPr>
                      <w:b/>
                      <w:bCs/>
                      <w:color w:val="44546A" w:themeColor="text2"/>
                      <w:sz w:val="20"/>
                      <w:szCs w:val="20"/>
                      <w:lang w:val="en-US"/>
                    </w:rPr>
                    <w:t>i</w:t>
                  </w:r>
                  <w:r w:rsidRPr="00544DEE">
                    <w:rPr>
                      <w:b/>
                      <w:bCs/>
                      <w:color w:val="44546A" w:themeColor="text2"/>
                      <w:sz w:val="20"/>
                      <w:szCs w:val="20"/>
                      <w:lang w:val="en-US"/>
                    </w:rPr>
                    <w:t>on</w:t>
                  </w:r>
                </w:p>
                <w:p w14:paraId="2252872A" w14:textId="77777777" w:rsidR="003A72E2" w:rsidRDefault="003A72E2" w:rsidP="003A72E2"/>
              </w:txbxContent>
            </v:textbox>
          </v:shape>
        </w:pict>
      </w:r>
    </w:p>
    <w:p w14:paraId="75D3DD73" w14:textId="77777777" w:rsidR="003A72E2" w:rsidRPr="001B3164" w:rsidRDefault="003A72E2" w:rsidP="003A72E2">
      <w:pPr>
        <w:tabs>
          <w:tab w:val="left" w:pos="2450"/>
        </w:tabs>
        <w:rPr>
          <w:noProof/>
        </w:rPr>
      </w:pPr>
      <w:r>
        <w:rPr>
          <w:noProof/>
        </w:rPr>
        <w:tab/>
      </w:r>
    </w:p>
    <w:p w14:paraId="5BE36D9A" w14:textId="272B7086" w:rsidR="003A72E2" w:rsidRPr="001B3164" w:rsidRDefault="003A72E2" w:rsidP="003A72E2">
      <w:pPr>
        <w:rPr>
          <w:noProof/>
        </w:rPr>
      </w:pPr>
      <w:r w:rsidRPr="001B3164">
        <w:rPr>
          <w:noProof/>
          <w:lang w:val="en-GB" w:eastAsia="en-GB"/>
        </w:rPr>
        <w:drawing>
          <wp:anchor distT="0" distB="0" distL="114300" distR="114300" simplePos="0" relativeHeight="251660288" behindDoc="0" locked="0" layoutInCell="1" allowOverlap="1" wp14:anchorId="3EF08B48" wp14:editId="2229B424">
            <wp:simplePos x="0" y="0"/>
            <wp:positionH relativeFrom="column">
              <wp:posOffset>3011214</wp:posOffset>
            </wp:positionH>
            <wp:positionV relativeFrom="paragraph">
              <wp:posOffset>140554</wp:posOffset>
            </wp:positionV>
            <wp:extent cx="3031490" cy="2393686"/>
            <wp:effectExtent l="0" t="0" r="0" b="0"/>
            <wp:wrapNone/>
            <wp:docPr id="778835597" name="Picture 21">
              <a:extLst xmlns:a="http://schemas.openxmlformats.org/drawingml/2006/main">
                <a:ext uri="{FF2B5EF4-FFF2-40B4-BE49-F238E27FC236}">
                  <a16:creationId xmlns:a16="http://schemas.microsoft.com/office/drawing/2014/main" id="{7AE6366C-A2F6-6696-9DFA-B0F2B7DA9E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05502" name="Picture 21">
                      <a:extLst>
                        <a:ext uri="{FF2B5EF4-FFF2-40B4-BE49-F238E27FC236}">
                          <a16:creationId xmlns:a16="http://schemas.microsoft.com/office/drawing/2014/main" id="{7AE6366C-A2F6-6696-9DFA-B0F2B7DA9EE5}"/>
                        </a:ext>
                      </a:extLst>
                    </pic:cNvPr>
                    <pic:cNvPicPr>
                      <a:picLocks noChangeAspect="1"/>
                    </pic:cNvPicPr>
                  </pic:nvPicPr>
                  <pic:blipFill rotWithShape="1">
                    <a:blip r:embed="rId3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33"/>
                        </a:ext>
                      </a:extLst>
                    </a:blip>
                    <a:srcRect t="19887" b="6879"/>
                    <a:stretch>
                      <a:fillRect/>
                    </a:stretch>
                  </pic:blipFill>
                  <pic:spPr bwMode="auto">
                    <a:xfrm>
                      <a:off x="0" y="0"/>
                      <a:ext cx="3031490" cy="239368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1B3164">
        <w:rPr>
          <w:noProof/>
          <w:lang w:val="en-GB" w:eastAsia="en-GB"/>
        </w:rPr>
        <w:drawing>
          <wp:inline distT="0" distB="0" distL="0" distR="0" wp14:anchorId="29A89722" wp14:editId="43BAB1B1">
            <wp:extent cx="3027088" cy="2536190"/>
            <wp:effectExtent l="0" t="0" r="0" b="0"/>
            <wp:docPr id="563162638" name="Picture 21">
              <a:extLst xmlns:a="http://schemas.openxmlformats.org/drawingml/2006/main">
                <a:ext uri="{FF2B5EF4-FFF2-40B4-BE49-F238E27FC236}">
                  <a16:creationId xmlns:a16="http://schemas.microsoft.com/office/drawing/2014/main" id="{7AE6366C-A2F6-6696-9DFA-B0F2B7DA9E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05502" name="Picture 21">
                      <a:extLst>
                        <a:ext uri="{FF2B5EF4-FFF2-40B4-BE49-F238E27FC236}">
                          <a16:creationId xmlns:a16="http://schemas.microsoft.com/office/drawing/2014/main" id="{7AE6366C-A2F6-6696-9DFA-B0F2B7DA9EE5}"/>
                        </a:ext>
                      </a:extLst>
                    </pic:cNvPr>
                    <pic:cNvPicPr>
                      <a:picLocks noChangeAspect="1"/>
                    </pic:cNvPicPr>
                  </pic:nvPicPr>
                  <pic:blipFill rotWithShape="1">
                    <a:blip r:embed="rId3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http://schemas.openxmlformats.org/drawingml/2006/chart" xmlns:a16="http://schemas.microsoft.com/office/drawing/2014/main" xmlns:a14="http://schemas.microsoft.com/office/drawing/2010/main" xmlns="" r:embed="rId35"/>
                        </a:ext>
                      </a:extLst>
                    </a:blip>
                    <a:srcRect l="1" t="5372" r="-6723" b="12381"/>
                    <a:stretch>
                      <a:fillRect/>
                    </a:stretch>
                  </pic:blipFill>
                  <pic:spPr bwMode="auto">
                    <a:xfrm>
                      <a:off x="0" y="0"/>
                      <a:ext cx="3031636" cy="2540001"/>
                    </a:xfrm>
                    <a:prstGeom prst="rect">
                      <a:avLst/>
                    </a:prstGeom>
                    <a:ln>
                      <a:noFill/>
                    </a:ln>
                    <a:extLst>
                      <a:ext uri="{53640926-AAD7-44D8-BBD7-CCE9431645EC}">
                        <a14:shadowObscured xmlns:a14="http://schemas.microsoft.com/office/drawing/2010/main"/>
                      </a:ext>
                    </a:extLst>
                  </pic:spPr>
                </pic:pic>
              </a:graphicData>
            </a:graphic>
          </wp:inline>
        </w:drawing>
      </w:r>
    </w:p>
    <w:p w14:paraId="7016E62F" w14:textId="10728B8E" w:rsidR="003A72E2" w:rsidRPr="00863348" w:rsidRDefault="00D53E02" w:rsidP="00B814CE">
      <w:pPr>
        <w:spacing w:after="320"/>
        <w:rPr>
          <w:noProof/>
        </w:rPr>
      </w:pPr>
      <w:r>
        <w:rPr>
          <w:noProof/>
        </w:rPr>
        <w:pict w14:anchorId="039FE74C">
          <v:shape id="_x0000_s2167" type="#_x0000_t202" style="position:absolute;left:0;text-align:left;margin-left:0;margin-top:353.4pt;width:111.6pt;height:18pt;z-index:251658256;mso-position-horizontal-relative:text;mso-position-vertical-relative:page" filled="f" stroked="f">
            <v:textbox style="mso-next-textbox:#_x0000_s2167">
              <w:txbxContent>
                <w:p w14:paraId="46821042" w14:textId="77777777" w:rsidR="00C31162" w:rsidRPr="00BB07E3" w:rsidRDefault="00C31162" w:rsidP="00C31162">
                  <w:pPr>
                    <w:rPr>
                      <w:color w:val="595959" w:themeColor="text1" w:themeTint="A6"/>
                    </w:rPr>
                  </w:pPr>
                  <w:r w:rsidRPr="00BB07E3">
                    <w:rPr>
                      <w:i/>
                      <w:iCs/>
                      <w:color w:val="595959" w:themeColor="text1" w:themeTint="A6"/>
                      <w:sz w:val="18"/>
                      <w:szCs w:val="18"/>
                    </w:rPr>
                    <w:t>All amounts in billion</w:t>
                  </w:r>
                  <w:r>
                    <w:rPr>
                      <w:i/>
                      <w:iCs/>
                      <w:color w:val="595959" w:themeColor="text1" w:themeTint="A6"/>
                      <w:sz w:val="18"/>
                      <w:szCs w:val="18"/>
                    </w:rPr>
                    <w:t xml:space="preserve"> EUR</w:t>
                  </w:r>
                </w:p>
                <w:p w14:paraId="06B6844E" w14:textId="77777777" w:rsidR="00C31162" w:rsidRPr="00BB07E3" w:rsidRDefault="00C31162" w:rsidP="00C31162">
                  <w:pPr>
                    <w:rPr>
                      <w:color w:val="595959" w:themeColor="text1" w:themeTint="A6"/>
                    </w:rPr>
                  </w:pPr>
                </w:p>
              </w:txbxContent>
            </v:textbox>
            <w10:wrap anchory="page"/>
          </v:shape>
        </w:pict>
      </w:r>
    </w:p>
    <w:tbl>
      <w:tblPr>
        <w:tblStyle w:val="TableGrid"/>
        <w:tblW w:w="9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5F5F5"/>
        <w:tblCellMar>
          <w:top w:w="113" w:type="dxa"/>
          <w:bottom w:w="113" w:type="dxa"/>
        </w:tblCellMar>
        <w:tblLook w:val="04A0" w:firstRow="1" w:lastRow="0" w:firstColumn="1" w:lastColumn="0" w:noHBand="0" w:noVBand="1"/>
      </w:tblPr>
      <w:tblGrid>
        <w:gridCol w:w="9076"/>
      </w:tblGrid>
      <w:tr w:rsidR="00DE46C8" w:rsidRPr="001B3164" w14:paraId="017E740E" w14:textId="77777777" w:rsidTr="0E388B1A">
        <w:trPr>
          <w:trHeight w:val="1943"/>
        </w:trPr>
        <w:tc>
          <w:tcPr>
            <w:tcW w:w="9076" w:type="dxa"/>
            <w:shd w:val="clear" w:color="auto" w:fill="F5F5F5"/>
          </w:tcPr>
          <w:p w14:paraId="2BB938B8" w14:textId="0D8DAE49" w:rsidR="00DE46C8" w:rsidRPr="001B3164" w:rsidRDefault="00DE46C8" w:rsidP="00A11F51">
            <w:pPr>
              <w:spacing w:after="120"/>
              <w:jc w:val="left"/>
              <w:rPr>
                <w:rFonts w:cstheme="minorBidi"/>
                <w:b/>
                <w:bCs/>
                <w:noProof/>
                <w:color w:val="034EA2"/>
              </w:rPr>
            </w:pPr>
            <w:r w:rsidRPr="00B119C4">
              <w:rPr>
                <w:rFonts w:cstheme="minorBidi"/>
                <w:b/>
                <w:bCs/>
                <w:noProof/>
                <w:color w:val="034EA2"/>
              </w:rPr>
              <w:t>KEY FACTS about H2 2025</w:t>
            </w:r>
          </w:p>
          <w:p w14:paraId="7BC1BC4A" w14:textId="013FA44F" w:rsidR="00DE46C8" w:rsidRPr="001B3164" w:rsidRDefault="00DE46C8" w:rsidP="00A11F51">
            <w:pPr>
              <w:numPr>
                <w:ilvl w:val="0"/>
                <w:numId w:val="29"/>
              </w:numPr>
              <w:spacing w:after="60"/>
              <w:ind w:left="340" w:hanging="170"/>
              <w:contextualSpacing/>
              <w:jc w:val="left"/>
              <w:rPr>
                <w:rFonts w:cstheme="minorBidi"/>
                <w:noProof/>
                <w:color w:val="034EA2"/>
              </w:rPr>
            </w:pPr>
            <w:r>
              <w:rPr>
                <w:rFonts w:cstheme="minorBidi"/>
                <w:noProof/>
                <w:color w:val="034EA2"/>
              </w:rPr>
              <w:t>Four</w:t>
            </w:r>
            <w:r w:rsidRPr="001B3164">
              <w:rPr>
                <w:rFonts w:cstheme="minorBidi"/>
                <w:noProof/>
                <w:color w:val="034EA2"/>
              </w:rPr>
              <w:t xml:space="preserve"> syndications and </w:t>
            </w:r>
            <w:r>
              <w:rPr>
                <w:rFonts w:cstheme="minorBidi"/>
                <w:noProof/>
                <w:color w:val="034EA2"/>
              </w:rPr>
              <w:t xml:space="preserve">six </w:t>
            </w:r>
            <w:r w:rsidRPr="001B3164">
              <w:rPr>
                <w:rFonts w:cstheme="minorBidi"/>
                <w:noProof/>
                <w:color w:val="034EA2"/>
              </w:rPr>
              <w:t xml:space="preserve">auctions raised EUR </w:t>
            </w:r>
            <w:r>
              <w:rPr>
                <w:rFonts w:cstheme="minorBidi"/>
                <w:noProof/>
                <w:color w:val="034EA2"/>
              </w:rPr>
              <w:t>66</w:t>
            </w:r>
            <w:r w:rsidRPr="001B3164">
              <w:rPr>
                <w:rFonts w:cstheme="minorBidi"/>
                <w:noProof/>
                <w:color w:val="034EA2"/>
              </w:rPr>
              <w:t>.8 billion, with an average maturity of around 12 years.</w:t>
            </w:r>
          </w:p>
          <w:p w14:paraId="52614DBB" w14:textId="05EFC562" w:rsidR="00DE46C8" w:rsidRPr="001B3164" w:rsidRDefault="00DE46C8" w:rsidP="000E2E6E">
            <w:pPr>
              <w:numPr>
                <w:ilvl w:val="0"/>
                <w:numId w:val="29"/>
              </w:numPr>
              <w:spacing w:after="60"/>
              <w:ind w:left="340" w:hanging="170"/>
              <w:contextualSpacing/>
              <w:jc w:val="left"/>
              <w:rPr>
                <w:rFonts w:cstheme="minorBidi"/>
                <w:noProof/>
              </w:rPr>
            </w:pPr>
            <w:r w:rsidRPr="001B3164">
              <w:rPr>
                <w:rFonts w:cstheme="minorBidi"/>
                <w:noProof/>
                <w:color w:val="034EA2"/>
              </w:rPr>
              <w:t xml:space="preserve">Most of the funds were used for NextGenerationEU (EUR </w:t>
            </w:r>
            <w:r>
              <w:rPr>
                <w:rFonts w:cstheme="minorBidi"/>
                <w:noProof/>
                <w:color w:val="034EA2"/>
              </w:rPr>
              <w:t>74</w:t>
            </w:r>
            <w:r w:rsidRPr="001B3164">
              <w:rPr>
                <w:rFonts w:cstheme="minorBidi"/>
                <w:noProof/>
                <w:color w:val="034EA2"/>
              </w:rPr>
              <w:t>.</w:t>
            </w:r>
            <w:r>
              <w:rPr>
                <w:rFonts w:cstheme="minorBidi"/>
                <w:noProof/>
                <w:color w:val="034EA2"/>
              </w:rPr>
              <w:t>3</w:t>
            </w:r>
            <w:r w:rsidRPr="001B3164">
              <w:rPr>
                <w:rFonts w:cstheme="minorBidi"/>
                <w:noProof/>
                <w:color w:val="034EA2"/>
              </w:rPr>
              <w:t xml:space="preserve"> billion) and to support Ukraine (EUR 1</w:t>
            </w:r>
            <w:r>
              <w:rPr>
                <w:rFonts w:cstheme="minorBidi"/>
                <w:noProof/>
                <w:color w:val="034EA2"/>
              </w:rPr>
              <w:t>8</w:t>
            </w:r>
            <w:r w:rsidRPr="001B3164">
              <w:rPr>
                <w:rFonts w:cstheme="minorBidi"/>
                <w:noProof/>
                <w:color w:val="034EA2"/>
              </w:rPr>
              <w:t>.</w:t>
            </w:r>
            <w:r>
              <w:rPr>
                <w:rFonts w:cstheme="minorBidi"/>
                <w:noProof/>
                <w:color w:val="034EA2"/>
              </w:rPr>
              <w:t>0</w:t>
            </w:r>
            <w:r w:rsidRPr="001B3164">
              <w:rPr>
                <w:rFonts w:cstheme="minorBidi"/>
                <w:noProof/>
                <w:color w:val="034EA2"/>
              </w:rPr>
              <w:t xml:space="preserve"> billion), with additional disbursements under the</w:t>
            </w:r>
            <w:r>
              <w:rPr>
                <w:rFonts w:cstheme="minorBidi"/>
                <w:noProof/>
                <w:color w:val="034EA2"/>
              </w:rPr>
              <w:t xml:space="preserve"> macro-financial assistance (MFA) programme for Jordan (EUR 250 million)</w:t>
            </w:r>
            <w:r w:rsidR="00B8217B">
              <w:rPr>
                <w:rFonts w:cstheme="minorBidi"/>
                <w:noProof/>
                <w:color w:val="034EA2"/>
              </w:rPr>
              <w:t>, the</w:t>
            </w:r>
            <w:r w:rsidRPr="001B3164">
              <w:rPr>
                <w:rFonts w:cstheme="minorBidi"/>
                <w:noProof/>
                <w:color w:val="034EA2"/>
              </w:rPr>
              <w:t xml:space="preserve"> Western Balkans Reform and Growth Facility (EUR </w:t>
            </w:r>
            <w:r>
              <w:rPr>
                <w:rFonts w:cstheme="minorBidi"/>
                <w:noProof/>
                <w:color w:val="034EA2"/>
              </w:rPr>
              <w:t>65.</w:t>
            </w:r>
            <w:r w:rsidRPr="001B3164">
              <w:rPr>
                <w:rFonts w:cstheme="minorBidi"/>
                <w:noProof/>
                <w:color w:val="034EA2"/>
              </w:rPr>
              <w:t>8 million)</w:t>
            </w:r>
            <w:r w:rsidR="00B8217B">
              <w:rPr>
                <w:rFonts w:cstheme="minorBidi"/>
                <w:noProof/>
                <w:color w:val="034EA2"/>
              </w:rPr>
              <w:t>,</w:t>
            </w:r>
            <w:r w:rsidRPr="001B3164">
              <w:rPr>
                <w:rFonts w:cstheme="minorBidi"/>
                <w:noProof/>
                <w:color w:val="034EA2"/>
              </w:rPr>
              <w:t xml:space="preserve"> and the Reform and Growth Facility for Moldova (EUR </w:t>
            </w:r>
            <w:r>
              <w:rPr>
                <w:rFonts w:cstheme="minorBidi"/>
                <w:noProof/>
                <w:color w:val="034EA2"/>
              </w:rPr>
              <w:t>18.9</w:t>
            </w:r>
            <w:r w:rsidRPr="001B3164">
              <w:rPr>
                <w:rFonts w:cstheme="minorBidi"/>
                <w:noProof/>
                <w:color w:val="034EA2"/>
              </w:rPr>
              <w:t xml:space="preserve"> million)</w:t>
            </w:r>
            <w:r w:rsidRPr="001B3164">
              <w:rPr>
                <w:rFonts w:cstheme="minorBidi"/>
                <w:noProof/>
                <w:color w:val="034EA2" w:themeColor="accent1"/>
              </w:rPr>
              <w:t>.</w:t>
            </w:r>
          </w:p>
          <w:p w14:paraId="56E1F420" w14:textId="5D98C768" w:rsidR="00B8217B" w:rsidRDefault="00B8217B" w:rsidP="00B8217B">
            <w:pPr>
              <w:numPr>
                <w:ilvl w:val="0"/>
                <w:numId w:val="29"/>
              </w:numPr>
              <w:spacing w:after="60"/>
              <w:ind w:left="340" w:hanging="170"/>
              <w:contextualSpacing/>
              <w:jc w:val="left"/>
              <w:rPr>
                <w:rFonts w:cstheme="minorBidi"/>
                <w:noProof/>
                <w:color w:val="034EA2"/>
              </w:rPr>
            </w:pPr>
            <w:r>
              <w:rPr>
                <w:rFonts w:cstheme="minorBidi"/>
                <w:noProof/>
                <w:color w:val="034EA2"/>
              </w:rPr>
              <w:t>The cost of funding was:</w:t>
            </w:r>
          </w:p>
          <w:p w14:paraId="6C2D02C6" w14:textId="5108C3C4" w:rsidR="00B8217B" w:rsidRDefault="00B8217B" w:rsidP="00B8217B">
            <w:pPr>
              <w:spacing w:after="60"/>
              <w:ind w:left="340"/>
              <w:contextualSpacing/>
              <w:jc w:val="left"/>
              <w:rPr>
                <w:rFonts w:cstheme="minorBidi"/>
                <w:noProof/>
                <w:color w:val="034EA2"/>
              </w:rPr>
            </w:pPr>
            <w:r w:rsidRPr="00B8217B">
              <w:rPr>
                <w:rFonts w:cstheme="minorBidi"/>
                <w:noProof/>
                <w:color w:val="034EA2"/>
              </w:rPr>
              <w:t>For NextGenerationEU</w:t>
            </w:r>
            <w:r>
              <w:rPr>
                <w:rFonts w:cstheme="minorBidi"/>
                <w:noProof/>
                <w:color w:val="034EA2"/>
              </w:rPr>
              <w:t xml:space="preserve">: </w:t>
            </w:r>
            <w:r w:rsidR="00DE46C8" w:rsidRPr="00B8217B">
              <w:rPr>
                <w:rFonts w:cstheme="minorBidi"/>
                <w:noProof/>
                <w:color w:val="034EA2"/>
              </w:rPr>
              <w:t xml:space="preserve">3.32% in the second half of 2025 compared with 3.24% in the first half of 2025. </w:t>
            </w:r>
          </w:p>
          <w:p w14:paraId="1073FEF9" w14:textId="770D3703" w:rsidR="00B8217B" w:rsidRDefault="00DE46C8" w:rsidP="00B8217B">
            <w:pPr>
              <w:spacing w:after="60"/>
              <w:ind w:left="340"/>
              <w:contextualSpacing/>
              <w:jc w:val="left"/>
              <w:rPr>
                <w:rFonts w:cstheme="minorBidi"/>
                <w:noProof/>
                <w:color w:val="034EA2"/>
              </w:rPr>
            </w:pPr>
            <w:r w:rsidRPr="00B8217B">
              <w:rPr>
                <w:rFonts w:cstheme="minorBidi"/>
                <w:noProof/>
                <w:color w:val="034EA2"/>
              </w:rPr>
              <w:t>For the Western Balkans Reform and Growth Facility</w:t>
            </w:r>
            <w:r w:rsidR="00B8217B">
              <w:rPr>
                <w:rFonts w:cstheme="minorBidi"/>
                <w:noProof/>
                <w:color w:val="034EA2"/>
              </w:rPr>
              <w:t>:</w:t>
            </w:r>
            <w:r w:rsidRPr="00B8217B">
              <w:rPr>
                <w:rFonts w:cstheme="minorBidi"/>
                <w:noProof/>
                <w:color w:val="034EA2"/>
              </w:rPr>
              <w:t xml:space="preserve"> 2.72% compared with 2.85% in the first half of 2025. </w:t>
            </w:r>
          </w:p>
          <w:p w14:paraId="79EFD9AB" w14:textId="46C2CC2B" w:rsidR="00DE46C8" w:rsidRPr="00B8217B" w:rsidRDefault="00DE46C8" w:rsidP="00B8217B">
            <w:pPr>
              <w:spacing w:after="60"/>
              <w:ind w:left="340"/>
              <w:contextualSpacing/>
              <w:jc w:val="left"/>
              <w:rPr>
                <w:rFonts w:cstheme="minorBidi"/>
                <w:noProof/>
                <w:color w:val="034EA2"/>
              </w:rPr>
            </w:pPr>
            <w:r w:rsidRPr="00B8217B">
              <w:rPr>
                <w:rFonts w:cstheme="minorBidi"/>
                <w:noProof/>
                <w:color w:val="034EA2"/>
              </w:rPr>
              <w:t>For the other programmes (without time compartments): 2.76% for the Ukraine Facility, 2.54% for the MFA loan under the G7 Extraordinary Revenue Acceleration (ERA) loans initiative, 2.73% for the Reform and Growth Facility for Moldova, and 2.79% for the MFA loan to Jordan.</w:t>
            </w:r>
          </w:p>
        </w:tc>
      </w:tr>
    </w:tbl>
    <w:p w14:paraId="6B36E52C" w14:textId="77777777" w:rsidR="00DE46C8" w:rsidRPr="001B3164" w:rsidRDefault="00DE46C8">
      <w:pPr>
        <w:spacing w:line="259" w:lineRule="auto"/>
        <w:rPr>
          <w:noProof/>
        </w:rPr>
      </w:pPr>
    </w:p>
    <w:p w14:paraId="51911BFE" w14:textId="235BB66F" w:rsidR="00DE46C8" w:rsidRDefault="00DE46C8">
      <w:pPr>
        <w:spacing w:line="259" w:lineRule="auto"/>
        <w:jc w:val="left"/>
        <w:rPr>
          <w:rFonts w:cstheme="minorBidi"/>
          <w:b/>
          <w:bCs/>
          <w:noProof/>
          <w:color w:val="44546A" w:themeColor="text2"/>
          <w:sz w:val="28"/>
          <w:szCs w:val="28"/>
        </w:rPr>
      </w:pPr>
      <w:r>
        <w:rPr>
          <w:rFonts w:cstheme="minorBidi"/>
          <w:b/>
          <w:bCs/>
          <w:noProof/>
          <w:color w:val="44546A" w:themeColor="text2"/>
          <w:sz w:val="28"/>
          <w:szCs w:val="28"/>
        </w:rPr>
        <w:br w:type="page"/>
      </w:r>
    </w:p>
    <w:p w14:paraId="01987EDC" w14:textId="77777777" w:rsidR="00F13D4C" w:rsidRPr="001B3164" w:rsidRDefault="00F13D4C" w:rsidP="00BE145B">
      <w:pPr>
        <w:pStyle w:val="Heading1"/>
        <w:rPr>
          <w:noProof/>
        </w:rPr>
      </w:pPr>
      <w:bookmarkStart w:id="3" w:name="_Toc219529981"/>
      <w:bookmarkStart w:id="4" w:name="_Toc202682638"/>
      <w:bookmarkEnd w:id="2"/>
      <w:r w:rsidRPr="001B3164">
        <w:rPr>
          <w:noProof/>
        </w:rPr>
        <w:t>Summary</w:t>
      </w:r>
      <w:bookmarkEnd w:id="3"/>
      <w:bookmarkEnd w:id="4"/>
    </w:p>
    <w:p w14:paraId="5405F434" w14:textId="21BABCB6" w:rsidR="00590DA8" w:rsidRPr="001B3164" w:rsidRDefault="00590DA8" w:rsidP="00590DA8">
      <w:pPr>
        <w:rPr>
          <w:iCs/>
          <w:noProof/>
        </w:rPr>
      </w:pPr>
      <w:bookmarkStart w:id="5" w:name="_Hlk187319594"/>
      <w:bookmarkStart w:id="6" w:name="_Hlk156385433"/>
      <w:r w:rsidRPr="001B3164">
        <w:rPr>
          <w:iCs/>
          <w:noProof/>
        </w:rPr>
        <w:t xml:space="preserve">In the </w:t>
      </w:r>
      <w:r>
        <w:rPr>
          <w:iCs/>
          <w:noProof/>
        </w:rPr>
        <w:t>second</w:t>
      </w:r>
      <w:r w:rsidRPr="001B3164">
        <w:rPr>
          <w:iCs/>
          <w:noProof/>
        </w:rPr>
        <w:t xml:space="preserve"> half of 2025, the EU raised EUR </w:t>
      </w:r>
      <w:r>
        <w:rPr>
          <w:iCs/>
          <w:noProof/>
        </w:rPr>
        <w:t>66</w:t>
      </w:r>
      <w:r w:rsidRPr="001B3164">
        <w:rPr>
          <w:iCs/>
          <w:noProof/>
        </w:rPr>
        <w:t xml:space="preserve">.8 billion in long-term funding through </w:t>
      </w:r>
      <w:r>
        <w:rPr>
          <w:iCs/>
          <w:noProof/>
        </w:rPr>
        <w:t>four</w:t>
      </w:r>
      <w:r w:rsidRPr="001B3164">
        <w:rPr>
          <w:iCs/>
          <w:noProof/>
        </w:rPr>
        <w:t xml:space="preserve"> syndications and s</w:t>
      </w:r>
      <w:r>
        <w:rPr>
          <w:iCs/>
          <w:noProof/>
        </w:rPr>
        <w:t>ix</w:t>
      </w:r>
      <w:r w:rsidRPr="001B3164">
        <w:rPr>
          <w:iCs/>
          <w:noProof/>
        </w:rPr>
        <w:t xml:space="preserve"> auctions. EUR </w:t>
      </w:r>
      <w:r>
        <w:rPr>
          <w:iCs/>
          <w:noProof/>
        </w:rPr>
        <w:t>3</w:t>
      </w:r>
      <w:r w:rsidRPr="001B3164">
        <w:rPr>
          <w:iCs/>
          <w:noProof/>
        </w:rPr>
        <w:t>.</w:t>
      </w:r>
      <w:r>
        <w:rPr>
          <w:iCs/>
          <w:noProof/>
        </w:rPr>
        <w:t>4</w:t>
      </w:r>
      <w:r w:rsidRPr="001B3164">
        <w:rPr>
          <w:iCs/>
          <w:noProof/>
        </w:rPr>
        <w:t xml:space="preserve"> billion of th</w:t>
      </w:r>
      <w:r>
        <w:rPr>
          <w:iCs/>
          <w:noProof/>
        </w:rPr>
        <w:t>is</w:t>
      </w:r>
      <w:r w:rsidRPr="001B3164">
        <w:rPr>
          <w:iCs/>
          <w:noProof/>
        </w:rPr>
        <w:t xml:space="preserve"> amount was raised through NextGenerationEU Green Bonds. </w:t>
      </w:r>
      <w:r w:rsidRPr="001B3164">
        <w:rPr>
          <w:noProof/>
        </w:rPr>
        <w:t xml:space="preserve">At the end of 2025, the EU </w:t>
      </w:r>
      <w:r w:rsidRPr="001B3164">
        <w:rPr>
          <w:noProof/>
          <w:color w:val="000000" w:themeColor="text1"/>
        </w:rPr>
        <w:t xml:space="preserve">had EUR </w:t>
      </w:r>
      <w:r>
        <w:rPr>
          <w:noProof/>
          <w:color w:val="000000" w:themeColor="text1"/>
        </w:rPr>
        <w:t>702</w:t>
      </w:r>
      <w:r w:rsidRPr="001B3164">
        <w:rPr>
          <w:noProof/>
          <w:color w:val="000000" w:themeColor="text1"/>
        </w:rPr>
        <w:t>.</w:t>
      </w:r>
      <w:r>
        <w:rPr>
          <w:noProof/>
          <w:color w:val="000000" w:themeColor="text1"/>
        </w:rPr>
        <w:t>1</w:t>
      </w:r>
      <w:r w:rsidRPr="001B3164">
        <w:rPr>
          <w:noProof/>
          <w:color w:val="000000" w:themeColor="text1"/>
        </w:rPr>
        <w:t xml:space="preserve"> billion </w:t>
      </w:r>
      <w:r>
        <w:rPr>
          <w:noProof/>
          <w:color w:val="000000" w:themeColor="text1"/>
        </w:rPr>
        <w:t xml:space="preserve">outstanding </w:t>
      </w:r>
      <w:r w:rsidRPr="001B3164">
        <w:rPr>
          <w:noProof/>
          <w:color w:val="000000" w:themeColor="text1"/>
        </w:rPr>
        <w:t>in EU-Bonds (with an average remaining maturity of about 12 years), of which EUR</w:t>
      </w:r>
      <w:r>
        <w:rPr>
          <w:rFonts w:ascii="Calibri" w:hAnsi="Calibri" w:cs="Calibri"/>
          <w:noProof/>
          <w:color w:val="000000" w:themeColor="text1"/>
        </w:rPr>
        <w:t> </w:t>
      </w:r>
      <w:r w:rsidRPr="001B3164">
        <w:rPr>
          <w:noProof/>
          <w:color w:val="000000" w:themeColor="text1"/>
        </w:rPr>
        <w:t>7</w:t>
      </w:r>
      <w:r>
        <w:rPr>
          <w:noProof/>
          <w:color w:val="000000" w:themeColor="text1"/>
        </w:rPr>
        <w:t>8</w:t>
      </w:r>
      <w:r w:rsidRPr="001B3164">
        <w:rPr>
          <w:noProof/>
          <w:color w:val="000000" w:themeColor="text1"/>
        </w:rPr>
        <w:t>.</w:t>
      </w:r>
      <w:r>
        <w:rPr>
          <w:noProof/>
          <w:color w:val="000000" w:themeColor="text1"/>
        </w:rPr>
        <w:t>5</w:t>
      </w:r>
      <w:r w:rsidRPr="001B3164">
        <w:rPr>
          <w:noProof/>
          <w:color w:val="000000" w:themeColor="text1"/>
        </w:rPr>
        <w:t xml:space="preserve"> billion </w:t>
      </w:r>
      <w:r w:rsidRPr="001B3164">
        <w:rPr>
          <w:iCs/>
          <w:noProof/>
        </w:rPr>
        <w:t>NextGenerationEU</w:t>
      </w:r>
      <w:r w:rsidRPr="001B3164">
        <w:rPr>
          <w:noProof/>
          <w:color w:val="000000" w:themeColor="text1"/>
        </w:rPr>
        <w:t xml:space="preserve"> Green Bonds. </w:t>
      </w:r>
      <w:r w:rsidRPr="001B3164">
        <w:rPr>
          <w:noProof/>
        </w:rPr>
        <w:t>EU-Bills outstanding</w:t>
      </w:r>
      <w:r w:rsidRPr="001B3164">
        <w:rPr>
          <w:noProof/>
          <w:color w:val="000000" w:themeColor="text1"/>
        </w:rPr>
        <w:t xml:space="preserve"> at the end of 2025 stood at </w:t>
      </w:r>
      <w:r w:rsidRPr="001B3164">
        <w:rPr>
          <w:noProof/>
        </w:rPr>
        <w:t>EUR 3</w:t>
      </w:r>
      <w:r>
        <w:rPr>
          <w:noProof/>
        </w:rPr>
        <w:t>6</w:t>
      </w:r>
      <w:r w:rsidRPr="001B3164">
        <w:rPr>
          <w:noProof/>
        </w:rPr>
        <w:t>.</w:t>
      </w:r>
      <w:r>
        <w:rPr>
          <w:noProof/>
        </w:rPr>
        <w:t>8</w:t>
      </w:r>
      <w:r w:rsidRPr="001B3164">
        <w:rPr>
          <w:noProof/>
        </w:rPr>
        <w:t xml:space="preserve"> billion</w:t>
      </w:r>
      <w:r>
        <w:rPr>
          <w:noProof/>
        </w:rPr>
        <w:t>, up from EUR 33.3 billion on 30 June 2025</w:t>
      </w:r>
      <w:r w:rsidRPr="001B3164">
        <w:rPr>
          <w:noProof/>
        </w:rPr>
        <w:t>.</w:t>
      </w:r>
    </w:p>
    <w:p w14:paraId="4E150D94" w14:textId="6CD27D56" w:rsidR="00EA6251" w:rsidRDefault="00795799" w:rsidP="00795799">
      <w:pPr>
        <w:rPr>
          <w:iCs/>
          <w:noProof/>
          <w:szCs w:val="22"/>
        </w:rPr>
      </w:pPr>
      <w:r>
        <w:rPr>
          <w:iCs/>
          <w:noProof/>
          <w:szCs w:val="22"/>
        </w:rPr>
        <w:t xml:space="preserve">In 2025 the Commission raised a total of </w:t>
      </w:r>
      <w:r w:rsidR="00EA6251">
        <w:rPr>
          <w:iCs/>
          <w:noProof/>
          <w:szCs w:val="22"/>
        </w:rPr>
        <w:t>EUR 152.6 billion in EU-Bonds,</w:t>
      </w:r>
      <w:r>
        <w:rPr>
          <w:iCs/>
          <w:noProof/>
          <w:szCs w:val="22"/>
        </w:rPr>
        <w:t xml:space="preserve"> including the</w:t>
      </w:r>
      <w:r w:rsidRPr="001B3164">
        <w:rPr>
          <w:iCs/>
          <w:noProof/>
          <w:szCs w:val="22"/>
        </w:rPr>
        <w:t xml:space="preserve"> EUR</w:t>
      </w:r>
      <w:r w:rsidR="00306877">
        <w:rPr>
          <w:rFonts w:ascii="Calibri" w:hAnsi="Calibri" w:cs="Calibri"/>
          <w:iCs/>
          <w:noProof/>
          <w:szCs w:val="22"/>
        </w:rPr>
        <w:t> </w:t>
      </w:r>
      <w:r w:rsidRPr="001B3164">
        <w:rPr>
          <w:noProof/>
        </w:rPr>
        <w:t>85.8</w:t>
      </w:r>
      <w:r w:rsidR="00306877">
        <w:rPr>
          <w:rFonts w:ascii="Calibri" w:hAnsi="Calibri" w:cs="Calibri"/>
          <w:noProof/>
        </w:rPr>
        <w:t> </w:t>
      </w:r>
      <w:r w:rsidRPr="001B3164">
        <w:rPr>
          <w:iCs/>
          <w:noProof/>
          <w:szCs w:val="22"/>
        </w:rPr>
        <w:t xml:space="preserve">billion </w:t>
      </w:r>
      <w:r>
        <w:rPr>
          <w:iCs/>
          <w:noProof/>
          <w:szCs w:val="22"/>
        </w:rPr>
        <w:t>raised in</w:t>
      </w:r>
      <w:r w:rsidRPr="001B3164">
        <w:rPr>
          <w:iCs/>
          <w:noProof/>
          <w:szCs w:val="22"/>
        </w:rPr>
        <w:t xml:space="preserve"> </w:t>
      </w:r>
      <w:r>
        <w:rPr>
          <w:iCs/>
          <w:noProof/>
          <w:szCs w:val="22"/>
        </w:rPr>
        <w:t>the first half of</w:t>
      </w:r>
      <w:r w:rsidRPr="001B3164">
        <w:rPr>
          <w:iCs/>
          <w:noProof/>
          <w:szCs w:val="22"/>
        </w:rPr>
        <w:t xml:space="preserve"> </w:t>
      </w:r>
      <w:r>
        <w:rPr>
          <w:iCs/>
          <w:noProof/>
          <w:szCs w:val="22"/>
        </w:rPr>
        <w:t>the year. This is t</w:t>
      </w:r>
      <w:r w:rsidR="00EA6251" w:rsidRPr="001B3164">
        <w:rPr>
          <w:iCs/>
          <w:noProof/>
          <w:szCs w:val="22"/>
        </w:rPr>
        <w:t>he highest annual EU issuance to date,</w:t>
      </w:r>
      <w:r>
        <w:rPr>
          <w:iCs/>
          <w:noProof/>
          <w:szCs w:val="22"/>
        </w:rPr>
        <w:t xml:space="preserve"> following on from a</w:t>
      </w:r>
      <w:r w:rsidR="00EA6251" w:rsidRPr="001B3164">
        <w:rPr>
          <w:iCs/>
          <w:noProof/>
          <w:szCs w:val="22"/>
        </w:rPr>
        <w:t xml:space="preserve"> steady increase in previous years (from EUR 120 billion in 2023 to</w:t>
      </w:r>
      <w:r>
        <w:rPr>
          <w:rFonts w:ascii="Calibri" w:hAnsi="Calibri" w:cs="Calibri"/>
          <w:iCs/>
          <w:noProof/>
          <w:szCs w:val="22"/>
        </w:rPr>
        <w:t xml:space="preserve"> </w:t>
      </w:r>
      <w:r w:rsidR="00EA6251" w:rsidRPr="001B3164">
        <w:rPr>
          <w:iCs/>
          <w:noProof/>
          <w:szCs w:val="22"/>
        </w:rPr>
        <w:t>EUR</w:t>
      </w:r>
      <w:r>
        <w:rPr>
          <w:rFonts w:ascii="Calibri" w:hAnsi="Calibri" w:cs="Calibri"/>
          <w:iCs/>
          <w:noProof/>
          <w:szCs w:val="22"/>
        </w:rPr>
        <w:t> </w:t>
      </w:r>
      <w:r w:rsidR="00EA6251" w:rsidRPr="001B3164">
        <w:rPr>
          <w:iCs/>
          <w:noProof/>
          <w:szCs w:val="22"/>
        </w:rPr>
        <w:t>140 billion in 2024).</w:t>
      </w:r>
    </w:p>
    <w:p w14:paraId="3B8D1066" w14:textId="0CC10D30" w:rsidR="00EA6251" w:rsidRPr="000B7472" w:rsidRDefault="00795799" w:rsidP="00EA6251">
      <w:pPr>
        <w:rPr>
          <w:noProof/>
        </w:rPr>
      </w:pPr>
      <w:r>
        <w:rPr>
          <w:noProof/>
        </w:rPr>
        <w:t>Bonds issued by the EU</w:t>
      </w:r>
      <w:r w:rsidR="00EA6251" w:rsidRPr="001B3164">
        <w:rPr>
          <w:noProof/>
        </w:rPr>
        <w:t xml:space="preserve"> continued to benefit from strong investor demand, while yields on EU-Bonds tightened versus most European government bonds</w:t>
      </w:r>
      <w:r w:rsidR="00306877">
        <w:rPr>
          <w:noProof/>
        </w:rPr>
        <w:t xml:space="preserve"> (EGB)</w:t>
      </w:r>
      <w:r>
        <w:rPr>
          <w:noProof/>
        </w:rPr>
        <w:t xml:space="preserve">. In a context of volatile </w:t>
      </w:r>
      <w:r w:rsidRPr="000B7472">
        <w:rPr>
          <w:noProof/>
        </w:rPr>
        <w:t>market conditions affecting all issuers</w:t>
      </w:r>
      <w:r>
        <w:rPr>
          <w:noProof/>
        </w:rPr>
        <w:t>, th</w:t>
      </w:r>
      <w:r w:rsidR="00EA6251" w:rsidRPr="005C3675">
        <w:rPr>
          <w:noProof/>
        </w:rPr>
        <w:t>e EU’s average cost of funding</w:t>
      </w:r>
      <w:r w:rsidR="00EA6251" w:rsidRPr="005C3675">
        <w:rPr>
          <w:rStyle w:val="FootnoteReference"/>
          <w:noProof/>
        </w:rPr>
        <w:footnoteReference w:id="2"/>
      </w:r>
      <w:r w:rsidR="00EA6251" w:rsidRPr="005C3675">
        <w:rPr>
          <w:noProof/>
        </w:rPr>
        <w:t xml:space="preserve"> increased </w:t>
      </w:r>
      <w:r w:rsidRPr="005C3675">
        <w:rPr>
          <w:noProof/>
        </w:rPr>
        <w:t xml:space="preserve">slightly </w:t>
      </w:r>
      <w:r>
        <w:rPr>
          <w:noProof/>
        </w:rPr>
        <w:t>to</w:t>
      </w:r>
      <w:r w:rsidR="00EA6251" w:rsidRPr="005C3675">
        <w:rPr>
          <w:noProof/>
        </w:rPr>
        <w:t xml:space="preserve"> 3.32% compared to 3.17%</w:t>
      </w:r>
      <w:r w:rsidR="00EA6251" w:rsidRPr="000B7472">
        <w:rPr>
          <w:noProof/>
        </w:rPr>
        <w:t xml:space="preserve"> in the first half of 2025. </w:t>
      </w:r>
    </w:p>
    <w:p w14:paraId="30AB5267" w14:textId="245367CE" w:rsidR="000E2E6E" w:rsidRDefault="00ED7D0E" w:rsidP="000E2E6E">
      <w:pPr>
        <w:rPr>
          <w:noProof/>
        </w:rPr>
      </w:pPr>
      <w:r w:rsidRPr="001B3164">
        <w:rPr>
          <w:noProof/>
        </w:rPr>
        <w:t xml:space="preserve">EUR </w:t>
      </w:r>
      <w:r w:rsidR="004818A6">
        <w:rPr>
          <w:noProof/>
        </w:rPr>
        <w:t xml:space="preserve">74.3 billion </w:t>
      </w:r>
      <w:r w:rsidRPr="001B3164">
        <w:rPr>
          <w:noProof/>
        </w:rPr>
        <w:t>of th</w:t>
      </w:r>
      <w:r w:rsidR="000064F6" w:rsidRPr="001B3164">
        <w:rPr>
          <w:noProof/>
        </w:rPr>
        <w:t>e issuance</w:t>
      </w:r>
      <w:r w:rsidRPr="001B3164">
        <w:rPr>
          <w:noProof/>
        </w:rPr>
        <w:t xml:space="preserve"> proceeds w</w:t>
      </w:r>
      <w:r w:rsidR="00795799">
        <w:rPr>
          <w:noProof/>
        </w:rPr>
        <w:t>as</w:t>
      </w:r>
      <w:r w:rsidRPr="001B3164">
        <w:rPr>
          <w:noProof/>
        </w:rPr>
        <w:t xml:space="preserve"> disbursed to implement </w:t>
      </w:r>
      <w:r w:rsidR="007D3FC3" w:rsidRPr="001B3164">
        <w:rPr>
          <w:iCs/>
          <w:noProof/>
        </w:rPr>
        <w:t>NextGenerationEU</w:t>
      </w:r>
      <w:r w:rsidRPr="001B3164">
        <w:rPr>
          <w:noProof/>
        </w:rPr>
        <w:t xml:space="preserve"> investments and reforms</w:t>
      </w:r>
      <w:r w:rsidR="00795799">
        <w:rPr>
          <w:noProof/>
        </w:rPr>
        <w:t xml:space="preserve"> in the second half of 2025</w:t>
      </w:r>
      <w:r w:rsidR="004818A6">
        <w:rPr>
          <w:noProof/>
        </w:rPr>
        <w:t xml:space="preserve">, </w:t>
      </w:r>
      <w:r w:rsidR="00795799">
        <w:rPr>
          <w:noProof/>
        </w:rPr>
        <w:t xml:space="preserve">a </w:t>
      </w:r>
      <w:r w:rsidR="004818A6">
        <w:rPr>
          <w:noProof/>
        </w:rPr>
        <w:t>substantial</w:t>
      </w:r>
      <w:r w:rsidR="00795799">
        <w:rPr>
          <w:noProof/>
        </w:rPr>
        <w:t xml:space="preserve"> increase</w:t>
      </w:r>
      <w:r w:rsidR="004818A6">
        <w:rPr>
          <w:noProof/>
        </w:rPr>
        <w:t xml:space="preserve"> </w:t>
      </w:r>
      <w:r w:rsidR="00795799">
        <w:rPr>
          <w:noProof/>
        </w:rPr>
        <w:t xml:space="preserve">from the </w:t>
      </w:r>
      <w:r w:rsidR="004818A6">
        <w:rPr>
          <w:noProof/>
        </w:rPr>
        <w:t>EUR</w:t>
      </w:r>
      <w:r w:rsidR="00795799">
        <w:rPr>
          <w:rFonts w:ascii="Calibri" w:hAnsi="Calibri" w:cs="Calibri"/>
          <w:noProof/>
        </w:rPr>
        <w:t> </w:t>
      </w:r>
      <w:r w:rsidR="004818A6" w:rsidRPr="001B3164">
        <w:rPr>
          <w:noProof/>
        </w:rPr>
        <w:t>12.8</w:t>
      </w:r>
      <w:r w:rsidR="00795799">
        <w:rPr>
          <w:rFonts w:ascii="Calibri" w:hAnsi="Calibri" w:cs="Calibri"/>
          <w:noProof/>
        </w:rPr>
        <w:t> </w:t>
      </w:r>
      <w:r w:rsidR="004818A6" w:rsidRPr="001B3164">
        <w:rPr>
          <w:noProof/>
        </w:rPr>
        <w:t>billion</w:t>
      </w:r>
      <w:r w:rsidR="004818A6">
        <w:rPr>
          <w:noProof/>
        </w:rPr>
        <w:t xml:space="preserve"> </w:t>
      </w:r>
      <w:r w:rsidR="00795799">
        <w:rPr>
          <w:iCs/>
          <w:noProof/>
        </w:rPr>
        <w:t>disbursed</w:t>
      </w:r>
      <w:r w:rsidR="004818A6">
        <w:rPr>
          <w:noProof/>
        </w:rPr>
        <w:t xml:space="preserve"> in the first </w:t>
      </w:r>
      <w:r w:rsidR="00D0792D">
        <w:rPr>
          <w:noProof/>
        </w:rPr>
        <w:t xml:space="preserve">half </w:t>
      </w:r>
      <w:r w:rsidR="004818A6">
        <w:rPr>
          <w:noProof/>
        </w:rPr>
        <w:t>of 2025</w:t>
      </w:r>
      <w:r w:rsidRPr="001B3164">
        <w:rPr>
          <w:noProof/>
        </w:rPr>
        <w:t xml:space="preserve">. Ukraine received </w:t>
      </w:r>
      <w:r w:rsidR="000F2FB6" w:rsidRPr="001B3164">
        <w:rPr>
          <w:noProof/>
        </w:rPr>
        <w:t>a</w:t>
      </w:r>
      <w:r w:rsidR="009C1DDC" w:rsidRPr="001B3164">
        <w:rPr>
          <w:noProof/>
        </w:rPr>
        <w:t xml:space="preserve"> total</w:t>
      </w:r>
      <w:r w:rsidR="000F2FB6" w:rsidRPr="001B3164">
        <w:rPr>
          <w:noProof/>
        </w:rPr>
        <w:t xml:space="preserve"> of</w:t>
      </w:r>
      <w:r w:rsidR="009C1DDC" w:rsidRPr="001B3164">
        <w:rPr>
          <w:noProof/>
        </w:rPr>
        <w:t xml:space="preserve"> EUR 1</w:t>
      </w:r>
      <w:r w:rsidR="004818A6">
        <w:rPr>
          <w:noProof/>
        </w:rPr>
        <w:t>8</w:t>
      </w:r>
      <w:r w:rsidR="009C1DDC" w:rsidRPr="001B3164">
        <w:rPr>
          <w:noProof/>
        </w:rPr>
        <w:t>.</w:t>
      </w:r>
      <w:r w:rsidR="004818A6">
        <w:rPr>
          <w:noProof/>
        </w:rPr>
        <w:t>0</w:t>
      </w:r>
      <w:r w:rsidR="009C1DDC" w:rsidRPr="001B3164">
        <w:rPr>
          <w:noProof/>
        </w:rPr>
        <w:t xml:space="preserve"> billion under the Ukraine Facility and the MFA programme </w:t>
      </w:r>
      <w:r w:rsidR="00795799">
        <w:rPr>
          <w:noProof/>
        </w:rPr>
        <w:t xml:space="preserve">under </w:t>
      </w:r>
      <w:r w:rsidR="009C1DDC" w:rsidRPr="001B3164">
        <w:rPr>
          <w:noProof/>
        </w:rPr>
        <w:t xml:space="preserve">the G7’s ERA </w:t>
      </w:r>
      <w:r w:rsidR="00DD42B4" w:rsidRPr="001B3164">
        <w:rPr>
          <w:noProof/>
        </w:rPr>
        <w:t>i</w:t>
      </w:r>
      <w:r w:rsidR="009C1DDC" w:rsidRPr="001B3164">
        <w:rPr>
          <w:noProof/>
        </w:rPr>
        <w:t>nitiative.</w:t>
      </w:r>
      <w:bookmarkStart w:id="7" w:name="_Hlk156380977"/>
      <w:r w:rsidR="009C1DDC" w:rsidRPr="001B3164">
        <w:rPr>
          <w:noProof/>
        </w:rPr>
        <w:t xml:space="preserve"> </w:t>
      </w:r>
      <w:r w:rsidR="00795799">
        <w:rPr>
          <w:noProof/>
        </w:rPr>
        <w:t>Furthermore</w:t>
      </w:r>
      <w:r w:rsidR="004818A6">
        <w:rPr>
          <w:noProof/>
        </w:rPr>
        <w:t xml:space="preserve">, borrowing proceeds were used to finance a </w:t>
      </w:r>
      <w:r w:rsidR="000E2E6E" w:rsidRPr="001B3164">
        <w:rPr>
          <w:noProof/>
        </w:rPr>
        <w:t>EUR</w:t>
      </w:r>
      <w:r w:rsidR="00795799">
        <w:rPr>
          <w:rFonts w:ascii="Calibri" w:hAnsi="Calibri" w:cs="Calibri"/>
          <w:noProof/>
        </w:rPr>
        <w:t> </w:t>
      </w:r>
      <w:r w:rsidR="000E2E6E" w:rsidRPr="001B3164">
        <w:rPr>
          <w:noProof/>
        </w:rPr>
        <w:t>2</w:t>
      </w:r>
      <w:r w:rsidR="004818A6">
        <w:rPr>
          <w:noProof/>
        </w:rPr>
        <w:t>5</w:t>
      </w:r>
      <w:r w:rsidR="000E2E6E" w:rsidRPr="001B3164">
        <w:rPr>
          <w:noProof/>
        </w:rPr>
        <w:t>0</w:t>
      </w:r>
      <w:r w:rsidR="00795799">
        <w:rPr>
          <w:rFonts w:ascii="Calibri" w:hAnsi="Calibri" w:cs="Calibri"/>
          <w:noProof/>
        </w:rPr>
        <w:t> </w:t>
      </w:r>
      <w:r w:rsidR="000E2E6E" w:rsidRPr="001B3164">
        <w:rPr>
          <w:noProof/>
        </w:rPr>
        <w:t>million</w:t>
      </w:r>
      <w:r w:rsidR="004818A6">
        <w:rPr>
          <w:noProof/>
        </w:rPr>
        <w:t xml:space="preserve"> loan </w:t>
      </w:r>
      <w:r w:rsidR="000E2E6E" w:rsidRPr="001B3164">
        <w:rPr>
          <w:noProof/>
        </w:rPr>
        <w:t xml:space="preserve">under the </w:t>
      </w:r>
      <w:r w:rsidR="004818A6">
        <w:rPr>
          <w:noProof/>
        </w:rPr>
        <w:t>MFA programme for Jordan, a EUR</w:t>
      </w:r>
      <w:r w:rsidR="00795799">
        <w:rPr>
          <w:rFonts w:ascii="Calibri" w:hAnsi="Calibri" w:cs="Calibri"/>
          <w:noProof/>
        </w:rPr>
        <w:t> </w:t>
      </w:r>
      <w:r w:rsidR="004818A6">
        <w:rPr>
          <w:noProof/>
        </w:rPr>
        <w:t>18.9</w:t>
      </w:r>
      <w:r w:rsidR="00795799">
        <w:rPr>
          <w:rFonts w:ascii="Calibri" w:hAnsi="Calibri" w:cs="Calibri"/>
          <w:noProof/>
        </w:rPr>
        <w:t> </w:t>
      </w:r>
      <w:r w:rsidR="004818A6">
        <w:rPr>
          <w:noProof/>
        </w:rPr>
        <w:t xml:space="preserve">million loan under the </w:t>
      </w:r>
      <w:r w:rsidR="000E2E6E" w:rsidRPr="001B3164">
        <w:rPr>
          <w:noProof/>
        </w:rPr>
        <w:t>Reform and Growth Facility</w:t>
      </w:r>
      <w:r w:rsidR="001A2E95" w:rsidRPr="001B3164">
        <w:rPr>
          <w:noProof/>
        </w:rPr>
        <w:t xml:space="preserve"> for Moldova</w:t>
      </w:r>
      <w:r w:rsidR="000E2E6E" w:rsidRPr="001B3164">
        <w:rPr>
          <w:noProof/>
        </w:rPr>
        <w:t xml:space="preserve"> and EUR</w:t>
      </w:r>
      <w:r w:rsidR="00795799">
        <w:rPr>
          <w:rFonts w:ascii="Calibri" w:hAnsi="Calibri" w:cs="Calibri"/>
          <w:noProof/>
        </w:rPr>
        <w:t> </w:t>
      </w:r>
      <w:r w:rsidR="004818A6" w:rsidRPr="004818A6">
        <w:rPr>
          <w:noProof/>
        </w:rPr>
        <w:t>65.8</w:t>
      </w:r>
      <w:r w:rsidR="00795799">
        <w:rPr>
          <w:rFonts w:ascii="Calibri" w:hAnsi="Calibri" w:cs="Calibri"/>
          <w:noProof/>
        </w:rPr>
        <w:t> </w:t>
      </w:r>
      <w:r w:rsidR="000E2E6E" w:rsidRPr="001B3164">
        <w:rPr>
          <w:noProof/>
        </w:rPr>
        <w:t xml:space="preserve">million </w:t>
      </w:r>
      <w:r w:rsidR="004818A6">
        <w:rPr>
          <w:noProof/>
        </w:rPr>
        <w:t>in</w:t>
      </w:r>
      <w:r w:rsidR="000E2E6E" w:rsidRPr="001B3164">
        <w:rPr>
          <w:noProof/>
        </w:rPr>
        <w:t xml:space="preserve"> loans to </w:t>
      </w:r>
      <w:r w:rsidR="004818A6">
        <w:rPr>
          <w:noProof/>
        </w:rPr>
        <w:t xml:space="preserve">Albania, </w:t>
      </w:r>
      <w:r w:rsidR="000E2E6E" w:rsidRPr="001B3164">
        <w:rPr>
          <w:noProof/>
        </w:rPr>
        <w:t xml:space="preserve">North Macedonia, </w:t>
      </w:r>
      <w:r w:rsidR="004818A6">
        <w:rPr>
          <w:noProof/>
        </w:rPr>
        <w:t xml:space="preserve">and </w:t>
      </w:r>
      <w:r w:rsidR="000E2E6E" w:rsidRPr="001B3164">
        <w:rPr>
          <w:noProof/>
        </w:rPr>
        <w:t>Montenegro</w:t>
      </w:r>
      <w:r w:rsidR="004818A6">
        <w:rPr>
          <w:noProof/>
        </w:rPr>
        <w:t xml:space="preserve"> under the</w:t>
      </w:r>
      <w:r w:rsidR="000E2E6E" w:rsidRPr="001B3164">
        <w:rPr>
          <w:noProof/>
        </w:rPr>
        <w:t xml:space="preserve"> Western Balkans </w:t>
      </w:r>
      <w:r w:rsidR="00DD42B4" w:rsidRPr="001B3164">
        <w:rPr>
          <w:noProof/>
        </w:rPr>
        <w:t xml:space="preserve">Reform and Growth </w:t>
      </w:r>
      <w:r w:rsidR="000E2E6E" w:rsidRPr="001B3164">
        <w:rPr>
          <w:noProof/>
        </w:rPr>
        <w:t>Facility.</w:t>
      </w:r>
      <w:bookmarkEnd w:id="5"/>
      <w:bookmarkEnd w:id="7"/>
      <w:r w:rsidR="00A60AAF" w:rsidRPr="001B3164">
        <w:rPr>
          <w:noProof/>
        </w:rPr>
        <w:t xml:space="preserve"> </w:t>
      </w:r>
    </w:p>
    <w:p w14:paraId="1D9A932B" w14:textId="3B8BBC84" w:rsidR="00D74D55" w:rsidRPr="001B3164" w:rsidRDefault="00DB56E0" w:rsidP="000E2E6E">
      <w:pPr>
        <w:rPr>
          <w:noProof/>
        </w:rPr>
      </w:pPr>
      <w:r w:rsidRPr="000B7472">
        <w:rPr>
          <w:noProof/>
        </w:rPr>
        <w:t>The second half of 2025 also saw repayments of outstanding loans</w:t>
      </w:r>
      <w:r w:rsidR="00795799">
        <w:rPr>
          <w:noProof/>
        </w:rPr>
        <w:t>. Latvia repaid</w:t>
      </w:r>
      <w:r w:rsidR="00CD4C37" w:rsidRPr="000B7472">
        <w:rPr>
          <w:noProof/>
        </w:rPr>
        <w:t xml:space="preserve"> </w:t>
      </w:r>
      <w:r w:rsidR="00294403" w:rsidRPr="000B7472">
        <w:rPr>
          <w:noProof/>
        </w:rPr>
        <w:t>EUR</w:t>
      </w:r>
      <w:r w:rsidR="00795799">
        <w:rPr>
          <w:rFonts w:ascii="Calibri" w:hAnsi="Calibri" w:cs="Calibri"/>
          <w:noProof/>
        </w:rPr>
        <w:t> </w:t>
      </w:r>
      <w:r w:rsidR="00294403" w:rsidRPr="000B7472">
        <w:rPr>
          <w:noProof/>
        </w:rPr>
        <w:t>200</w:t>
      </w:r>
      <w:r w:rsidR="00795799">
        <w:rPr>
          <w:rFonts w:ascii="Calibri" w:hAnsi="Calibri" w:cs="Calibri"/>
          <w:noProof/>
        </w:rPr>
        <w:t> </w:t>
      </w:r>
      <w:r w:rsidR="00294403">
        <w:rPr>
          <w:noProof/>
        </w:rPr>
        <w:t>million under the Balance of Payments (BoP) Facility</w:t>
      </w:r>
      <w:r w:rsidR="00795799">
        <w:rPr>
          <w:noProof/>
        </w:rPr>
        <w:t xml:space="preserve"> and nine </w:t>
      </w:r>
      <w:r w:rsidR="000B7472" w:rsidRPr="00DF0D30">
        <w:rPr>
          <w:noProof/>
        </w:rPr>
        <w:t>Member States</w:t>
      </w:r>
      <w:r w:rsidR="00795799">
        <w:rPr>
          <w:noProof/>
        </w:rPr>
        <w:t xml:space="preserve"> repaid </w:t>
      </w:r>
      <w:r w:rsidR="00795799" w:rsidRPr="00795799">
        <w:rPr>
          <w:noProof/>
        </w:rPr>
        <w:t>EUR</w:t>
      </w:r>
      <w:r w:rsidR="00795799">
        <w:rPr>
          <w:rFonts w:ascii="Calibri" w:hAnsi="Calibri" w:cs="Calibri"/>
          <w:noProof/>
        </w:rPr>
        <w:t> </w:t>
      </w:r>
      <w:r w:rsidR="00795799" w:rsidRPr="00795799">
        <w:rPr>
          <w:noProof/>
        </w:rPr>
        <w:t>8</w:t>
      </w:r>
      <w:r w:rsidR="00795799">
        <w:rPr>
          <w:rFonts w:ascii="Calibri" w:hAnsi="Calibri" w:cs="Calibri"/>
          <w:noProof/>
        </w:rPr>
        <w:t> </w:t>
      </w:r>
      <w:r w:rsidR="00795799">
        <w:rPr>
          <w:noProof/>
        </w:rPr>
        <w:t>billion</w:t>
      </w:r>
      <w:r w:rsidR="000B7472" w:rsidRPr="00DF0D30">
        <w:rPr>
          <w:noProof/>
        </w:rPr>
        <w:t xml:space="preserve"> under the SURE programme</w:t>
      </w:r>
      <w:r w:rsidR="00BC0102">
        <w:rPr>
          <w:noProof/>
        </w:rPr>
        <w:t xml:space="preserve">. In addition to these regular repayments, Portugal </w:t>
      </w:r>
      <w:r w:rsidR="000A7E3C">
        <w:rPr>
          <w:noProof/>
        </w:rPr>
        <w:t>made</w:t>
      </w:r>
      <w:r w:rsidR="00BC0102">
        <w:rPr>
          <w:noProof/>
        </w:rPr>
        <w:t xml:space="preserve"> an early repayment of</w:t>
      </w:r>
      <w:r w:rsidR="00EA6251">
        <w:rPr>
          <w:noProof/>
        </w:rPr>
        <w:t xml:space="preserve"> EUR</w:t>
      </w:r>
      <w:r w:rsidR="000A7E3C">
        <w:rPr>
          <w:rFonts w:ascii="Calibri" w:hAnsi="Calibri" w:cs="Calibri"/>
          <w:noProof/>
        </w:rPr>
        <w:t> </w:t>
      </w:r>
      <w:r w:rsidR="00EA6251">
        <w:rPr>
          <w:noProof/>
        </w:rPr>
        <w:t>2.5</w:t>
      </w:r>
      <w:r w:rsidR="000A7E3C">
        <w:rPr>
          <w:rFonts w:ascii="Calibri" w:hAnsi="Calibri" w:cs="Calibri"/>
          <w:noProof/>
        </w:rPr>
        <w:t> </w:t>
      </w:r>
      <w:r w:rsidR="00EA6251">
        <w:rPr>
          <w:noProof/>
        </w:rPr>
        <w:t xml:space="preserve">billion under the </w:t>
      </w:r>
      <w:hyperlink r:id="rId36" w:history="1">
        <w:r w:rsidR="00EA6251" w:rsidRPr="0057043E">
          <w:rPr>
            <w:noProof/>
          </w:rPr>
          <w:t>European Financial Stabilisation Mechanism (EFSM)</w:t>
        </w:r>
      </w:hyperlink>
      <w:r w:rsidR="000B7472">
        <w:rPr>
          <w:noProof/>
        </w:rPr>
        <w:t>.</w:t>
      </w:r>
    </w:p>
    <w:p w14:paraId="6106D649" w14:textId="6337CE15" w:rsidR="00285408" w:rsidRDefault="00EA6251">
      <w:pPr>
        <w:rPr>
          <w:noProof/>
        </w:rPr>
      </w:pPr>
      <w:r w:rsidRPr="00B43DDB">
        <w:rPr>
          <w:noProof/>
        </w:rPr>
        <w:t xml:space="preserve">2025 ended with </w:t>
      </w:r>
      <w:r w:rsidR="008430A4" w:rsidRPr="00B43DDB">
        <w:rPr>
          <w:noProof/>
        </w:rPr>
        <w:t xml:space="preserve">an increase in liquidity holdings </w:t>
      </w:r>
      <w:r w:rsidR="00335EDE" w:rsidRPr="00B43DDB">
        <w:rPr>
          <w:noProof/>
        </w:rPr>
        <w:t xml:space="preserve">to </w:t>
      </w:r>
      <w:r w:rsidR="00285408">
        <w:rPr>
          <w:noProof/>
        </w:rPr>
        <w:t>EUR</w:t>
      </w:r>
      <w:r w:rsidR="000A7E3C">
        <w:rPr>
          <w:rFonts w:ascii="Calibri" w:hAnsi="Calibri" w:cs="Calibri"/>
          <w:noProof/>
        </w:rPr>
        <w:t> </w:t>
      </w:r>
      <w:r w:rsidR="00285408">
        <w:rPr>
          <w:noProof/>
        </w:rPr>
        <w:t>65.2</w:t>
      </w:r>
      <w:r w:rsidR="000A7E3C">
        <w:rPr>
          <w:rFonts w:ascii="Calibri" w:hAnsi="Calibri" w:cs="Calibri"/>
          <w:noProof/>
        </w:rPr>
        <w:t> </w:t>
      </w:r>
      <w:r w:rsidR="00285408">
        <w:rPr>
          <w:noProof/>
        </w:rPr>
        <w:t xml:space="preserve">billion to </w:t>
      </w:r>
      <w:r w:rsidR="00335EDE" w:rsidRPr="00B43DDB">
        <w:rPr>
          <w:noProof/>
        </w:rPr>
        <w:t>prepare for</w:t>
      </w:r>
      <w:r w:rsidRPr="00B43DDB">
        <w:rPr>
          <w:noProof/>
        </w:rPr>
        <w:t xml:space="preserve"> the</w:t>
      </w:r>
      <w:r w:rsidR="00335EDE" w:rsidRPr="00B43DDB">
        <w:rPr>
          <w:noProof/>
        </w:rPr>
        <w:t xml:space="preserve"> high-volume</w:t>
      </w:r>
      <w:r w:rsidRPr="00B43DDB">
        <w:rPr>
          <w:noProof/>
        </w:rPr>
        <w:t xml:space="preserve"> of</w:t>
      </w:r>
      <w:r w:rsidR="008430A4" w:rsidRPr="00B43DDB">
        <w:rPr>
          <w:noProof/>
        </w:rPr>
        <w:t xml:space="preserve"> disbursements</w:t>
      </w:r>
      <w:r w:rsidR="00335EDE" w:rsidRPr="00B43DDB">
        <w:rPr>
          <w:noProof/>
        </w:rPr>
        <w:t xml:space="preserve"> foreseen in 2026</w:t>
      </w:r>
      <w:r w:rsidR="00BC0102">
        <w:rPr>
          <w:noProof/>
        </w:rPr>
        <w:t xml:space="preserve"> to finance NextGenerationEU and the new </w:t>
      </w:r>
      <w:r w:rsidR="00BC0102" w:rsidRPr="000B7472">
        <w:rPr>
          <w:noProof/>
        </w:rPr>
        <w:t>Security Action for Europe (SAFE)</w:t>
      </w:r>
      <w:r w:rsidR="00BC0102" w:rsidRPr="000B7472">
        <w:rPr>
          <w:rFonts w:ascii="Calibri" w:hAnsi="Calibri" w:cs="Calibri"/>
          <w:noProof/>
        </w:rPr>
        <w:t> </w:t>
      </w:r>
      <w:r w:rsidR="00BC0102" w:rsidRPr="000B7472">
        <w:rPr>
          <w:noProof/>
        </w:rPr>
        <w:t>instrument</w:t>
      </w:r>
      <w:r w:rsidR="00BC0102">
        <w:rPr>
          <w:noProof/>
        </w:rPr>
        <w:t>.</w:t>
      </w:r>
      <w:r w:rsidR="00F13852">
        <w:rPr>
          <w:noProof/>
        </w:rPr>
        <w:t xml:space="preserve"> </w:t>
      </w:r>
      <w:r w:rsidR="00335EDE" w:rsidRPr="00B43DDB">
        <w:rPr>
          <w:noProof/>
        </w:rPr>
        <w:t>T</w:t>
      </w:r>
      <w:r w:rsidR="006628CD" w:rsidRPr="00B43DDB">
        <w:rPr>
          <w:noProof/>
        </w:rPr>
        <w:t xml:space="preserve">hese cash balances </w:t>
      </w:r>
      <w:r w:rsidR="000A7E3C">
        <w:rPr>
          <w:noProof/>
        </w:rPr>
        <w:t>resulted in</w:t>
      </w:r>
      <w:r w:rsidR="00C96B74" w:rsidRPr="00B43DDB">
        <w:rPr>
          <w:noProof/>
        </w:rPr>
        <w:t xml:space="preserve"> </w:t>
      </w:r>
      <w:r w:rsidR="00BC0102">
        <w:rPr>
          <w:noProof/>
        </w:rPr>
        <w:t xml:space="preserve">liquidity management </w:t>
      </w:r>
      <w:r w:rsidR="006628CD" w:rsidRPr="00B43DDB">
        <w:rPr>
          <w:noProof/>
        </w:rPr>
        <w:t>cost</w:t>
      </w:r>
      <w:r w:rsidR="000F2FB6" w:rsidRPr="00B43DDB">
        <w:rPr>
          <w:noProof/>
        </w:rPr>
        <w:t>s</w:t>
      </w:r>
      <w:r w:rsidR="006628CD" w:rsidRPr="00B43DDB">
        <w:rPr>
          <w:noProof/>
        </w:rPr>
        <w:t xml:space="preserve"> of</w:t>
      </w:r>
      <w:r w:rsidR="005B5736" w:rsidRPr="00B43DDB">
        <w:rPr>
          <w:noProof/>
        </w:rPr>
        <w:t xml:space="preserve"> around</w:t>
      </w:r>
      <w:r w:rsidR="006628CD" w:rsidRPr="00B43DDB">
        <w:rPr>
          <w:noProof/>
        </w:rPr>
        <w:t xml:space="preserve"> </w:t>
      </w:r>
      <w:r w:rsidR="00054FD5" w:rsidRPr="00B43DDB">
        <w:rPr>
          <w:noProof/>
        </w:rPr>
        <w:t>EUR</w:t>
      </w:r>
      <w:r w:rsidR="000A7E3C">
        <w:rPr>
          <w:rFonts w:ascii="Calibri" w:hAnsi="Calibri" w:cs="Calibri"/>
          <w:noProof/>
        </w:rPr>
        <w:t> </w:t>
      </w:r>
      <w:r w:rsidR="00CB0B4C" w:rsidRPr="00B43DDB">
        <w:rPr>
          <w:noProof/>
        </w:rPr>
        <w:t>295</w:t>
      </w:r>
      <w:r w:rsidR="000A7E3C">
        <w:rPr>
          <w:rFonts w:ascii="Calibri" w:hAnsi="Calibri" w:cs="Calibri"/>
          <w:noProof/>
        </w:rPr>
        <w:t> </w:t>
      </w:r>
      <w:r w:rsidR="00054FD5" w:rsidRPr="00B43DDB">
        <w:rPr>
          <w:noProof/>
        </w:rPr>
        <w:t>million</w:t>
      </w:r>
      <w:r w:rsidR="006628CD" w:rsidRPr="00B43DDB">
        <w:rPr>
          <w:noProof/>
        </w:rPr>
        <w:t xml:space="preserve"> due to their long-term funding profile. The Commission activ</w:t>
      </w:r>
      <w:r w:rsidR="0049677E" w:rsidRPr="00B43DDB">
        <w:rPr>
          <w:noProof/>
        </w:rPr>
        <w:t>e</w:t>
      </w:r>
      <w:r w:rsidR="006628CD" w:rsidRPr="00B43DDB">
        <w:rPr>
          <w:noProof/>
        </w:rPr>
        <w:t>ly manages these temporary cash balances to minimise</w:t>
      </w:r>
      <w:r w:rsidR="00713A64" w:rsidRPr="00B43DDB">
        <w:rPr>
          <w:noProof/>
        </w:rPr>
        <w:t xml:space="preserve"> </w:t>
      </w:r>
      <w:r w:rsidR="006628CD" w:rsidRPr="00B43DDB">
        <w:rPr>
          <w:noProof/>
        </w:rPr>
        <w:t>holding costs</w:t>
      </w:r>
      <w:r w:rsidR="00335EDE" w:rsidRPr="00B43DDB">
        <w:rPr>
          <w:noProof/>
        </w:rPr>
        <w:t xml:space="preserve">, </w:t>
      </w:r>
      <w:r w:rsidR="000A7E3C">
        <w:rPr>
          <w:noProof/>
        </w:rPr>
        <w:t xml:space="preserve">thus reducing the </w:t>
      </w:r>
      <w:r w:rsidR="00156FA8" w:rsidRPr="00B43DDB">
        <w:rPr>
          <w:noProof/>
        </w:rPr>
        <w:t xml:space="preserve">annual costs by about </w:t>
      </w:r>
      <w:r w:rsidR="00335EDE" w:rsidRPr="00B43DDB">
        <w:rPr>
          <w:noProof/>
        </w:rPr>
        <w:t>EUR</w:t>
      </w:r>
      <w:r w:rsidR="000A7E3C">
        <w:rPr>
          <w:rFonts w:ascii="Calibri" w:hAnsi="Calibri" w:cs="Calibri"/>
          <w:noProof/>
        </w:rPr>
        <w:t> </w:t>
      </w:r>
      <w:r w:rsidR="005C3675" w:rsidRPr="00B43DDB">
        <w:rPr>
          <w:noProof/>
        </w:rPr>
        <w:t>85</w:t>
      </w:r>
      <w:r w:rsidR="000A7E3C">
        <w:rPr>
          <w:rFonts w:ascii="Calibri" w:hAnsi="Calibri" w:cs="Calibri"/>
          <w:noProof/>
        </w:rPr>
        <w:t> </w:t>
      </w:r>
      <w:r w:rsidR="005C3675" w:rsidRPr="00B43DDB">
        <w:rPr>
          <w:noProof/>
        </w:rPr>
        <w:t>million</w:t>
      </w:r>
      <w:r w:rsidR="006628CD" w:rsidRPr="00B43DDB">
        <w:rPr>
          <w:noProof/>
        </w:rPr>
        <w:t xml:space="preserve">. </w:t>
      </w:r>
    </w:p>
    <w:p w14:paraId="3784F895" w14:textId="09390F52" w:rsidR="00914D8A" w:rsidRPr="001B3164" w:rsidRDefault="000A7E3C">
      <w:pPr>
        <w:rPr>
          <w:noProof/>
        </w:rPr>
      </w:pPr>
      <w:r>
        <w:rPr>
          <w:noProof/>
        </w:rPr>
        <w:t>Any</w:t>
      </w:r>
      <w:r w:rsidR="006628CD" w:rsidRPr="00B43DDB">
        <w:rPr>
          <w:noProof/>
        </w:rPr>
        <w:t xml:space="preserve"> accumulation of cash balances</w:t>
      </w:r>
      <w:r w:rsidR="0094495B" w:rsidRPr="00B43DDB">
        <w:rPr>
          <w:noProof/>
        </w:rPr>
        <w:t xml:space="preserve"> is temporary</w:t>
      </w:r>
      <w:r w:rsidR="00BC0102">
        <w:rPr>
          <w:noProof/>
        </w:rPr>
        <w:t xml:space="preserve">. </w:t>
      </w:r>
      <w:r>
        <w:rPr>
          <w:noProof/>
        </w:rPr>
        <w:t>L</w:t>
      </w:r>
      <w:r w:rsidR="00BC0102">
        <w:rPr>
          <w:noProof/>
        </w:rPr>
        <w:t>arge funding volumes require</w:t>
      </w:r>
      <w:r w:rsidR="006628CD" w:rsidRPr="00B43DDB">
        <w:rPr>
          <w:noProof/>
        </w:rPr>
        <w:t xml:space="preserve"> </w:t>
      </w:r>
      <w:r w:rsidR="00713A64" w:rsidRPr="00B43DDB">
        <w:rPr>
          <w:noProof/>
        </w:rPr>
        <w:t xml:space="preserve">a </w:t>
      </w:r>
      <w:r w:rsidR="0094495B" w:rsidRPr="00B43DDB">
        <w:rPr>
          <w:noProof/>
        </w:rPr>
        <w:t xml:space="preserve">regular and </w:t>
      </w:r>
      <w:r w:rsidR="006628CD" w:rsidRPr="00B43DDB">
        <w:rPr>
          <w:noProof/>
        </w:rPr>
        <w:t xml:space="preserve">predictable </w:t>
      </w:r>
      <w:r w:rsidR="00BC0102">
        <w:rPr>
          <w:noProof/>
        </w:rPr>
        <w:t xml:space="preserve">issuance </w:t>
      </w:r>
      <w:r w:rsidR="006628CD" w:rsidRPr="00B43DDB">
        <w:rPr>
          <w:noProof/>
        </w:rPr>
        <w:t>schedule</w:t>
      </w:r>
      <w:r w:rsidR="00285408">
        <w:rPr>
          <w:noProof/>
        </w:rPr>
        <w:t>,</w:t>
      </w:r>
      <w:r>
        <w:rPr>
          <w:noProof/>
        </w:rPr>
        <w:t xml:space="preserve"> and</w:t>
      </w:r>
      <w:r w:rsidR="00BC0102">
        <w:rPr>
          <w:noProof/>
        </w:rPr>
        <w:t xml:space="preserve"> the</w:t>
      </w:r>
      <w:r w:rsidR="00285408">
        <w:rPr>
          <w:noProof/>
        </w:rPr>
        <w:t xml:space="preserve"> Commission</w:t>
      </w:r>
      <w:r>
        <w:rPr>
          <w:noProof/>
        </w:rPr>
        <w:t xml:space="preserve"> therefore</w:t>
      </w:r>
      <w:r w:rsidR="00285408">
        <w:rPr>
          <w:noProof/>
        </w:rPr>
        <w:t xml:space="preserve"> </w:t>
      </w:r>
      <w:r>
        <w:rPr>
          <w:noProof/>
        </w:rPr>
        <w:t>spreads out</w:t>
      </w:r>
      <w:r w:rsidR="00BC0102">
        <w:rPr>
          <w:noProof/>
        </w:rPr>
        <w:t xml:space="preserve"> </w:t>
      </w:r>
      <w:r w:rsidR="00285408">
        <w:rPr>
          <w:noProof/>
        </w:rPr>
        <w:t xml:space="preserve">its issuance </w:t>
      </w:r>
      <w:r w:rsidR="00BC0102">
        <w:rPr>
          <w:noProof/>
        </w:rPr>
        <w:t>to the market</w:t>
      </w:r>
      <w:r w:rsidR="00285408">
        <w:rPr>
          <w:noProof/>
        </w:rPr>
        <w:t xml:space="preserve">s over time to </w:t>
      </w:r>
      <w:r w:rsidR="00BC0102">
        <w:rPr>
          <w:noProof/>
        </w:rPr>
        <w:t xml:space="preserve">achieve </w:t>
      </w:r>
      <w:r w:rsidR="00713A64" w:rsidRPr="00B43DDB">
        <w:rPr>
          <w:noProof/>
        </w:rPr>
        <w:t xml:space="preserve">the </w:t>
      </w:r>
      <w:r w:rsidR="00B43DDB" w:rsidRPr="00B43DDB">
        <w:rPr>
          <w:noProof/>
        </w:rPr>
        <w:t>most advantageous</w:t>
      </w:r>
      <w:r w:rsidR="0094495B" w:rsidRPr="00B43DDB">
        <w:rPr>
          <w:noProof/>
        </w:rPr>
        <w:t xml:space="preserve"> </w:t>
      </w:r>
      <w:r w:rsidR="00B43DDB" w:rsidRPr="00B43DDB">
        <w:rPr>
          <w:noProof/>
        </w:rPr>
        <w:t>funding</w:t>
      </w:r>
      <w:r w:rsidR="0094495B" w:rsidRPr="00B43DDB">
        <w:rPr>
          <w:noProof/>
        </w:rPr>
        <w:t xml:space="preserve"> conditions</w:t>
      </w:r>
      <w:r w:rsidR="00BC0102">
        <w:rPr>
          <w:noProof/>
        </w:rPr>
        <w:t xml:space="preserve">. </w:t>
      </w:r>
      <w:r w:rsidR="00285408">
        <w:rPr>
          <w:noProof/>
        </w:rPr>
        <w:t xml:space="preserve">At the same time </w:t>
      </w:r>
      <w:r w:rsidR="006628CD" w:rsidRPr="00B43DDB">
        <w:rPr>
          <w:noProof/>
        </w:rPr>
        <w:t>disbursements</w:t>
      </w:r>
      <w:r w:rsidR="00E14F6D" w:rsidRPr="00B43DDB">
        <w:rPr>
          <w:noProof/>
        </w:rPr>
        <w:t xml:space="preserve"> </w:t>
      </w:r>
      <w:r>
        <w:rPr>
          <w:noProof/>
        </w:rPr>
        <w:t>depend on</w:t>
      </w:r>
      <w:r w:rsidR="00E14F6D" w:rsidRPr="00B43DDB">
        <w:rPr>
          <w:noProof/>
        </w:rPr>
        <w:t xml:space="preserve"> the implementation specificities of each supported programme</w:t>
      </w:r>
      <w:r w:rsidR="00285408">
        <w:rPr>
          <w:noProof/>
        </w:rPr>
        <w:t xml:space="preserve">, which </w:t>
      </w:r>
      <w:r>
        <w:rPr>
          <w:noProof/>
        </w:rPr>
        <w:t>can sometimes lead to a</w:t>
      </w:r>
      <w:r w:rsidR="00285408">
        <w:rPr>
          <w:noProof/>
        </w:rPr>
        <w:t xml:space="preserve"> </w:t>
      </w:r>
      <w:r w:rsidR="00B43DDB" w:rsidRPr="00B43DDB">
        <w:rPr>
          <w:noProof/>
        </w:rPr>
        <w:t>concentration</w:t>
      </w:r>
      <w:r w:rsidR="00285408">
        <w:rPr>
          <w:noProof/>
        </w:rPr>
        <w:t xml:space="preserve"> of disbursement needs</w:t>
      </w:r>
      <w:r w:rsidR="00B43DDB" w:rsidRPr="00B43DDB">
        <w:rPr>
          <w:noProof/>
        </w:rPr>
        <w:t xml:space="preserve"> </w:t>
      </w:r>
      <w:r>
        <w:rPr>
          <w:noProof/>
        </w:rPr>
        <w:t>at certain times of</w:t>
      </w:r>
      <w:r w:rsidR="00B43DDB" w:rsidRPr="00B43DDB">
        <w:rPr>
          <w:noProof/>
        </w:rPr>
        <w:t xml:space="preserve"> the year</w:t>
      </w:r>
      <w:r>
        <w:rPr>
          <w:noProof/>
        </w:rPr>
        <w:t xml:space="preserve"> and thus to</w:t>
      </w:r>
      <w:r w:rsidR="00BC0102">
        <w:rPr>
          <w:noProof/>
        </w:rPr>
        <w:t xml:space="preserve"> liquidity temporarily accumulat</w:t>
      </w:r>
      <w:r>
        <w:rPr>
          <w:noProof/>
        </w:rPr>
        <w:t>ing</w:t>
      </w:r>
      <w:r w:rsidR="00BC0102">
        <w:rPr>
          <w:noProof/>
        </w:rPr>
        <w:t xml:space="preserve"> in the </w:t>
      </w:r>
      <w:r w:rsidR="00285408">
        <w:rPr>
          <w:noProof/>
        </w:rPr>
        <w:t xml:space="preserve">Commission's </w:t>
      </w:r>
      <w:r w:rsidR="00BC0102">
        <w:rPr>
          <w:noProof/>
        </w:rPr>
        <w:t>liquidity buffer.</w:t>
      </w:r>
      <w:r w:rsidR="00BC0102" w:rsidRPr="00B43DDB">
        <w:rPr>
          <w:noProof/>
        </w:rPr>
        <w:t xml:space="preserve"> </w:t>
      </w:r>
      <w:r w:rsidR="00E14F6D" w:rsidRPr="00B43DDB">
        <w:rPr>
          <w:noProof/>
        </w:rPr>
        <w:t>As we approach the 2026 end</w:t>
      </w:r>
      <w:r w:rsidR="004D1638">
        <w:rPr>
          <w:noProof/>
        </w:rPr>
        <w:t xml:space="preserve"> </w:t>
      </w:r>
      <w:r w:rsidR="00E14F6D" w:rsidRPr="00B43DDB">
        <w:rPr>
          <w:noProof/>
        </w:rPr>
        <w:t xml:space="preserve">date for </w:t>
      </w:r>
      <w:r w:rsidR="007D3FC3" w:rsidRPr="00B43DDB">
        <w:rPr>
          <w:iCs/>
          <w:noProof/>
        </w:rPr>
        <w:t>NextGenerationEU</w:t>
      </w:r>
      <w:r w:rsidR="00E14F6D" w:rsidRPr="00B43DDB">
        <w:rPr>
          <w:noProof/>
        </w:rPr>
        <w:t xml:space="preserve"> disbursements,</w:t>
      </w:r>
      <w:r w:rsidR="006628CD" w:rsidRPr="00B43DDB">
        <w:rPr>
          <w:noProof/>
        </w:rPr>
        <w:t xml:space="preserve"> funding inflows and outflows will </w:t>
      </w:r>
      <w:r w:rsidR="00E14F6D" w:rsidRPr="00B43DDB">
        <w:rPr>
          <w:noProof/>
        </w:rPr>
        <w:t>converge</w:t>
      </w:r>
      <w:r w:rsidR="006628CD" w:rsidRPr="00B43DDB">
        <w:rPr>
          <w:noProof/>
        </w:rPr>
        <w:t>.</w:t>
      </w:r>
    </w:p>
    <w:p w14:paraId="72D15E6B" w14:textId="5468434F" w:rsidR="00156FA8" w:rsidRPr="00B14F69" w:rsidRDefault="00156FA8" w:rsidP="005F49D6">
      <w:pPr>
        <w:rPr>
          <w:noProof/>
        </w:rPr>
      </w:pPr>
      <w:r w:rsidRPr="00B14F69">
        <w:rPr>
          <w:noProof/>
        </w:rPr>
        <w:t xml:space="preserve">As in previous years, the Commission </w:t>
      </w:r>
      <w:r w:rsidR="004D1638" w:rsidRPr="00B14F69">
        <w:rPr>
          <w:noProof/>
        </w:rPr>
        <w:t>presented</w:t>
      </w:r>
      <w:r w:rsidRPr="00B14F69">
        <w:rPr>
          <w:noProof/>
        </w:rPr>
        <w:t xml:space="preserve"> i</w:t>
      </w:r>
      <w:r w:rsidR="005F49D6" w:rsidRPr="00B14F69">
        <w:rPr>
          <w:noProof/>
        </w:rPr>
        <w:t>n December 2025</w:t>
      </w:r>
      <w:r w:rsidRPr="00B14F69">
        <w:rPr>
          <w:noProof/>
        </w:rPr>
        <w:t xml:space="preserve"> its funding plan for the first half of 2026. Taking into account expected disbursements under </w:t>
      </w:r>
      <w:r w:rsidRPr="00B14F69">
        <w:rPr>
          <w:iCs/>
          <w:noProof/>
        </w:rPr>
        <w:t>NextGenerationEU</w:t>
      </w:r>
      <w:r w:rsidR="00BC0102" w:rsidRPr="00B14F69">
        <w:rPr>
          <w:iCs/>
          <w:noProof/>
        </w:rPr>
        <w:t xml:space="preserve">, SAFE, </w:t>
      </w:r>
      <w:r w:rsidR="004D1638" w:rsidRPr="00B14F69">
        <w:rPr>
          <w:iCs/>
          <w:noProof/>
        </w:rPr>
        <w:t>and</w:t>
      </w:r>
      <w:r w:rsidRPr="00B14F69">
        <w:rPr>
          <w:noProof/>
        </w:rPr>
        <w:t xml:space="preserve"> other programme</w:t>
      </w:r>
      <w:r w:rsidR="00BC0102" w:rsidRPr="00B14F69">
        <w:rPr>
          <w:noProof/>
        </w:rPr>
        <w:t>s,</w:t>
      </w:r>
      <w:r w:rsidRPr="00B14F69">
        <w:rPr>
          <w:noProof/>
        </w:rPr>
        <w:t xml:space="preserve"> the Commission announced a</w:t>
      </w:r>
      <w:r w:rsidR="004D1638" w:rsidRPr="00B14F69">
        <w:rPr>
          <w:noProof/>
        </w:rPr>
        <w:t xml:space="preserve"> target of</w:t>
      </w:r>
      <w:r w:rsidRPr="00B14F69">
        <w:rPr>
          <w:noProof/>
        </w:rPr>
        <w:t xml:space="preserve"> up to EUR 90 billion </w:t>
      </w:r>
      <w:r w:rsidR="004D1638" w:rsidRPr="00B14F69">
        <w:rPr>
          <w:noProof/>
        </w:rPr>
        <w:t>in</w:t>
      </w:r>
      <w:r w:rsidRPr="00B14F69">
        <w:rPr>
          <w:noProof/>
        </w:rPr>
        <w:t xml:space="preserve"> bond issuances in the first half of 2026.</w:t>
      </w:r>
    </w:p>
    <w:p w14:paraId="3223C4A9" w14:textId="109BCD1C" w:rsidR="00275148" w:rsidRPr="00853899" w:rsidRDefault="00156FA8" w:rsidP="005F49D6">
      <w:pPr>
        <w:rPr>
          <w:strike/>
          <w:noProof/>
        </w:rPr>
      </w:pPr>
      <w:r w:rsidRPr="00B14F69">
        <w:rPr>
          <w:noProof/>
        </w:rPr>
        <w:t>S</w:t>
      </w:r>
      <w:r w:rsidR="00285408" w:rsidRPr="00B14F69">
        <w:rPr>
          <w:noProof/>
        </w:rPr>
        <w:t>ubsequently, at its meeting o</w:t>
      </w:r>
      <w:r w:rsidR="00E4369F" w:rsidRPr="00B14F69">
        <w:rPr>
          <w:noProof/>
        </w:rPr>
        <w:t>f</w:t>
      </w:r>
      <w:r w:rsidR="00285408" w:rsidRPr="00B14F69">
        <w:rPr>
          <w:noProof/>
        </w:rPr>
        <w:t xml:space="preserve"> 18-19 December</w:t>
      </w:r>
      <w:r w:rsidR="00E4369F" w:rsidRPr="00B14F69">
        <w:rPr>
          <w:noProof/>
        </w:rPr>
        <w:t xml:space="preserve"> 2025</w:t>
      </w:r>
      <w:r w:rsidR="00285408" w:rsidRPr="00B14F69">
        <w:rPr>
          <w:noProof/>
        </w:rPr>
        <w:t xml:space="preserve">, </w:t>
      </w:r>
      <w:r w:rsidR="005F49D6" w:rsidRPr="00B14F69">
        <w:rPr>
          <w:noProof/>
        </w:rPr>
        <w:t>the European Council agreed a EUR</w:t>
      </w:r>
      <w:r w:rsidR="00E4369F" w:rsidRPr="00B14F69">
        <w:rPr>
          <w:rFonts w:ascii="Calibri" w:hAnsi="Calibri" w:cs="Calibri"/>
          <w:noProof/>
        </w:rPr>
        <w:t> </w:t>
      </w:r>
      <w:r w:rsidR="005F49D6" w:rsidRPr="00B14F69">
        <w:rPr>
          <w:noProof/>
        </w:rPr>
        <w:t>90</w:t>
      </w:r>
      <w:r w:rsidR="00E4369F" w:rsidRPr="00B14F69">
        <w:rPr>
          <w:rFonts w:ascii="Calibri" w:hAnsi="Calibri" w:cs="Calibri"/>
          <w:noProof/>
        </w:rPr>
        <w:t> </w:t>
      </w:r>
      <w:r w:rsidR="005F49D6" w:rsidRPr="00B14F69">
        <w:rPr>
          <w:noProof/>
        </w:rPr>
        <w:t>billion loan</w:t>
      </w:r>
      <w:r w:rsidR="004459CA" w:rsidRPr="00B14F69">
        <w:rPr>
          <w:noProof/>
        </w:rPr>
        <w:t xml:space="preserve"> programme</w:t>
      </w:r>
      <w:r w:rsidR="005F49D6" w:rsidRPr="00B14F69">
        <w:rPr>
          <w:noProof/>
        </w:rPr>
        <w:t xml:space="preserve"> for Ukraine</w:t>
      </w:r>
      <w:r w:rsidR="00E4369F" w:rsidRPr="00B14F69">
        <w:rPr>
          <w:noProof/>
        </w:rPr>
        <w:t>,</w:t>
      </w:r>
      <w:r w:rsidR="005F49D6" w:rsidRPr="00B14F69">
        <w:rPr>
          <w:noProof/>
        </w:rPr>
        <w:t xml:space="preserve"> to be financed </w:t>
      </w:r>
      <w:r w:rsidR="00E4369F" w:rsidRPr="00B14F69">
        <w:rPr>
          <w:noProof/>
        </w:rPr>
        <w:t>through</w:t>
      </w:r>
      <w:r w:rsidR="005F49D6" w:rsidRPr="00B14F69">
        <w:rPr>
          <w:noProof/>
        </w:rPr>
        <w:t xml:space="preserve"> EU borrowing in 2026 and 2027. </w:t>
      </w:r>
      <w:r w:rsidR="00E4369F" w:rsidRPr="00B14F69">
        <w:rPr>
          <w:noProof/>
        </w:rPr>
        <w:t>To meet th</w:t>
      </w:r>
      <w:r w:rsidRPr="00B14F69">
        <w:rPr>
          <w:noProof/>
        </w:rPr>
        <w:t>ese new funding needs</w:t>
      </w:r>
      <w:r w:rsidR="00E4369F" w:rsidRPr="00B14F69">
        <w:rPr>
          <w:noProof/>
        </w:rPr>
        <w:t>, the Commission</w:t>
      </w:r>
      <w:r w:rsidRPr="00B14F69">
        <w:rPr>
          <w:noProof/>
        </w:rPr>
        <w:t xml:space="preserve"> will</w:t>
      </w:r>
      <w:r w:rsidR="00E4369F" w:rsidRPr="00B14F69">
        <w:rPr>
          <w:noProof/>
        </w:rPr>
        <w:t xml:space="preserve"> use the full range of funding instruments available to the Commission under the unified funding approach in </w:t>
      </w:r>
      <w:r w:rsidRPr="00B14F69">
        <w:rPr>
          <w:noProof/>
        </w:rPr>
        <w:t>a prudent and market-friendly way</w:t>
      </w:r>
      <w:r w:rsidR="00853899">
        <w:rPr>
          <w:noProof/>
        </w:rPr>
        <w:t>.</w:t>
      </w:r>
    </w:p>
    <w:p w14:paraId="7A99BFEA" w14:textId="19A8B9F6" w:rsidR="00B162B9" w:rsidRPr="001B3164" w:rsidRDefault="00156FA8" w:rsidP="00B91B64">
      <w:pPr>
        <w:rPr>
          <w:noProof/>
        </w:rPr>
      </w:pPr>
      <w:r>
        <w:rPr>
          <w:noProof/>
          <w:color w:val="000000" w:themeColor="text1"/>
        </w:rPr>
        <w:t>In December</w:t>
      </w:r>
      <w:r w:rsidR="005F49D6">
        <w:rPr>
          <w:noProof/>
          <w:color w:val="000000" w:themeColor="text1"/>
        </w:rPr>
        <w:t xml:space="preserve"> 2025</w:t>
      </w:r>
      <w:r>
        <w:rPr>
          <w:noProof/>
          <w:color w:val="000000" w:themeColor="text1"/>
        </w:rPr>
        <w:t xml:space="preserve"> the Commission also</w:t>
      </w:r>
      <w:r w:rsidR="005F49D6">
        <w:rPr>
          <w:noProof/>
          <w:color w:val="000000" w:themeColor="text1"/>
        </w:rPr>
        <w:t xml:space="preserve"> </w:t>
      </w:r>
      <w:r>
        <w:rPr>
          <w:noProof/>
          <w:color w:val="000000" w:themeColor="text1"/>
        </w:rPr>
        <w:t>published</w:t>
      </w:r>
      <w:r w:rsidR="00B162B9" w:rsidRPr="2F76101F">
        <w:rPr>
          <w:noProof/>
          <w:color w:val="000000" w:themeColor="text1"/>
        </w:rPr>
        <w:t xml:space="preserve"> the </w:t>
      </w:r>
      <w:r w:rsidR="00B162B9" w:rsidRPr="2F76101F">
        <w:rPr>
          <w:noProof/>
          <w:lang w:val="en-GB"/>
        </w:rPr>
        <w:t>202</w:t>
      </w:r>
      <w:r w:rsidR="00B162B9">
        <w:rPr>
          <w:noProof/>
          <w:lang w:val="en-GB"/>
        </w:rPr>
        <w:t>5</w:t>
      </w:r>
      <w:r w:rsidR="00B162B9" w:rsidRPr="2F76101F">
        <w:rPr>
          <w:noProof/>
          <w:lang w:val="en-GB"/>
        </w:rPr>
        <w:t xml:space="preserve"> edition of the annual </w:t>
      </w:r>
      <w:hyperlink r:id="rId37">
        <w:r w:rsidR="00B162B9" w:rsidRPr="2F76101F">
          <w:rPr>
            <w:rStyle w:val="Hyperlink"/>
            <w:noProof/>
          </w:rPr>
          <w:t>NextGenerationEU Green Bonds Allocation and Impact report</w:t>
        </w:r>
      </w:hyperlink>
      <w:r w:rsidR="00B162B9">
        <w:rPr>
          <w:noProof/>
        </w:rPr>
        <w:t xml:space="preserve"> which provides updated information on the allocation of proceeds from the issuance of NGEU Green Bonds and </w:t>
      </w:r>
      <w:r w:rsidR="00E4369F">
        <w:rPr>
          <w:noProof/>
        </w:rPr>
        <w:t xml:space="preserve">on </w:t>
      </w:r>
      <w:r w:rsidR="00B162B9">
        <w:rPr>
          <w:noProof/>
        </w:rPr>
        <w:t xml:space="preserve">their estimated </w:t>
      </w:r>
      <w:r w:rsidR="00E4369F">
        <w:rPr>
          <w:noProof/>
        </w:rPr>
        <w:t>actual</w:t>
      </w:r>
      <w:r w:rsidR="00B162B9">
        <w:rPr>
          <w:noProof/>
        </w:rPr>
        <w:t xml:space="preserve"> and expected climate impacts.</w:t>
      </w:r>
      <w:r w:rsidR="005F49D6">
        <w:rPr>
          <w:noProof/>
        </w:rPr>
        <w:t xml:space="preserve"> </w:t>
      </w:r>
      <w:r w:rsidR="00B162B9">
        <w:rPr>
          <w:noProof/>
        </w:rPr>
        <w:t>Th</w:t>
      </w:r>
      <w:r w:rsidR="00E4369F">
        <w:rPr>
          <w:noProof/>
        </w:rPr>
        <w:t>e</w:t>
      </w:r>
      <w:r w:rsidR="00B162B9">
        <w:rPr>
          <w:noProof/>
        </w:rPr>
        <w:t xml:space="preserve"> report </w:t>
      </w:r>
      <w:r w:rsidR="00E4369F">
        <w:rPr>
          <w:noProof/>
        </w:rPr>
        <w:t>highlights an</w:t>
      </w:r>
      <w:r w:rsidR="00B162B9">
        <w:rPr>
          <w:noProof/>
        </w:rPr>
        <w:t xml:space="preserve"> increase</w:t>
      </w:r>
      <w:r w:rsidR="00E4369F">
        <w:rPr>
          <w:noProof/>
        </w:rPr>
        <w:t xml:space="preserve"> in the</w:t>
      </w:r>
      <w:r w:rsidR="00B162B9">
        <w:rPr>
          <w:noProof/>
        </w:rPr>
        <w:t xml:space="preserve"> issuance of NGEU Green Bonds </w:t>
      </w:r>
      <w:r w:rsidR="00E4369F">
        <w:rPr>
          <w:noProof/>
        </w:rPr>
        <w:t>for which</w:t>
      </w:r>
      <w:r w:rsidR="00B162B9">
        <w:rPr>
          <w:noProof/>
        </w:rPr>
        <w:t xml:space="preserve"> outstanding debt has reached EUR </w:t>
      </w:r>
      <w:r w:rsidR="005F49D6">
        <w:rPr>
          <w:noProof/>
        </w:rPr>
        <w:t>7</w:t>
      </w:r>
      <w:r w:rsidR="00B162B9">
        <w:rPr>
          <w:noProof/>
        </w:rPr>
        <w:t>8.</w:t>
      </w:r>
      <w:r w:rsidR="005F49D6">
        <w:rPr>
          <w:noProof/>
        </w:rPr>
        <w:t>5</w:t>
      </w:r>
      <w:r w:rsidR="00B162B9">
        <w:rPr>
          <w:noProof/>
        </w:rPr>
        <w:t xml:space="preserve"> billion</w:t>
      </w:r>
      <w:r w:rsidR="00E4369F">
        <w:rPr>
          <w:noProof/>
        </w:rPr>
        <w:t>. It also estimate</w:t>
      </w:r>
      <w:r w:rsidR="005F49D6" w:rsidRPr="00381AB3">
        <w:rPr>
          <w:noProof/>
        </w:rPr>
        <w:t xml:space="preserve">s that this </w:t>
      </w:r>
      <w:r w:rsidR="005F49D6" w:rsidRPr="00B43DDB">
        <w:rPr>
          <w:noProof/>
        </w:rPr>
        <w:t>financing</w:t>
      </w:r>
      <w:r w:rsidR="00E4369F">
        <w:rPr>
          <w:noProof/>
        </w:rPr>
        <w:t xml:space="preserve"> has allowed a prevention of </w:t>
      </w:r>
      <w:r w:rsidR="00E4369F" w:rsidRPr="00B43DDB">
        <w:rPr>
          <w:noProof/>
        </w:rPr>
        <w:t>greenhouse gas</w:t>
      </w:r>
      <w:r w:rsidR="00E4369F">
        <w:rPr>
          <w:noProof/>
        </w:rPr>
        <w:t xml:space="preserve"> emissions in the order of </w:t>
      </w:r>
      <w:r w:rsidR="005F49D6" w:rsidRPr="00B43DDB">
        <w:rPr>
          <w:noProof/>
        </w:rPr>
        <w:t>14 million tonnes of CO</w:t>
      </w:r>
      <w:r w:rsidR="00D839E5">
        <w:rPr>
          <w:noProof/>
          <w:vertAlign w:val="subscript"/>
        </w:rPr>
        <w:t>2</w:t>
      </w:r>
      <w:r w:rsidR="005F49D6" w:rsidRPr="00B43DDB">
        <w:rPr>
          <w:noProof/>
        </w:rPr>
        <w:t xml:space="preserve"> per year</w:t>
      </w:r>
      <w:r w:rsidR="00E4369F">
        <w:rPr>
          <w:noProof/>
        </w:rPr>
        <w:t>, a substantial improvement compared to</w:t>
      </w:r>
      <w:r w:rsidR="005F49D6" w:rsidRPr="00B43DDB">
        <w:rPr>
          <w:noProof/>
        </w:rPr>
        <w:t xml:space="preserve"> previous years</w:t>
      </w:r>
      <w:r w:rsidR="00B162B9" w:rsidRPr="00B43DDB">
        <w:rPr>
          <w:noProof/>
        </w:rPr>
        <w:t>.</w:t>
      </w:r>
    </w:p>
    <w:p w14:paraId="004D2D4D" w14:textId="77777777" w:rsidR="001401DA" w:rsidRPr="001B3164" w:rsidRDefault="008B6253" w:rsidP="00BE145B">
      <w:pPr>
        <w:pStyle w:val="Heading1"/>
        <w:rPr>
          <w:noProof/>
        </w:rPr>
      </w:pPr>
      <w:bookmarkStart w:id="8" w:name="_Toc219529982"/>
      <w:bookmarkStart w:id="9" w:name="_Toc202682639"/>
      <w:bookmarkEnd w:id="6"/>
      <w:r w:rsidRPr="001B3164">
        <w:rPr>
          <w:noProof/>
        </w:rPr>
        <w:t>Introduction</w:t>
      </w:r>
      <w:bookmarkEnd w:id="8"/>
      <w:bookmarkEnd w:id="9"/>
    </w:p>
    <w:p w14:paraId="2BCF8E95" w14:textId="53388E4E" w:rsidR="00F333BA" w:rsidRPr="001B3164" w:rsidRDefault="00F333BA" w:rsidP="00F333BA">
      <w:pPr>
        <w:rPr>
          <w:noProof/>
        </w:rPr>
      </w:pPr>
      <w:r w:rsidRPr="001B3164">
        <w:rPr>
          <w:noProof/>
        </w:rPr>
        <w:t>The Commission has been borrowing funds on behalf of the E</w:t>
      </w:r>
      <w:r w:rsidR="006308A2" w:rsidRPr="001B3164">
        <w:rPr>
          <w:noProof/>
        </w:rPr>
        <w:t>U</w:t>
      </w:r>
      <w:r w:rsidRPr="001B3164">
        <w:rPr>
          <w:noProof/>
        </w:rPr>
        <w:t xml:space="preserve"> for over 40 years. The past </w:t>
      </w:r>
      <w:r w:rsidR="00CB0B4C">
        <w:rPr>
          <w:noProof/>
        </w:rPr>
        <w:t>six</w:t>
      </w:r>
      <w:r w:rsidRPr="001B3164">
        <w:rPr>
          <w:noProof/>
        </w:rPr>
        <w:t xml:space="preserve"> years have seen a marked increase in bond issuance</w:t>
      </w:r>
      <w:r w:rsidR="00FE0B70">
        <w:rPr>
          <w:noProof/>
        </w:rPr>
        <w:t xml:space="preserve"> by the EU,</w:t>
      </w:r>
      <w:r w:rsidRPr="001B3164">
        <w:rPr>
          <w:noProof/>
        </w:rPr>
        <w:t xml:space="preserve"> as it relies on capital markets to finance large programmes such as SURE</w:t>
      </w:r>
      <w:r w:rsidRPr="001B3164">
        <w:rPr>
          <w:rStyle w:val="FootnoteReference"/>
          <w:noProof/>
        </w:rPr>
        <w:footnoteReference w:id="3"/>
      </w:r>
      <w:r w:rsidRPr="001B3164">
        <w:rPr>
          <w:noProof/>
        </w:rPr>
        <w:t xml:space="preserve">, NextGenerationEU and </w:t>
      </w:r>
      <w:r w:rsidR="009639A9" w:rsidRPr="001B3164">
        <w:rPr>
          <w:noProof/>
        </w:rPr>
        <w:t xml:space="preserve">financial </w:t>
      </w:r>
      <w:r w:rsidR="00FE0B70">
        <w:rPr>
          <w:noProof/>
        </w:rPr>
        <w:t>support</w:t>
      </w:r>
      <w:r w:rsidR="009639A9" w:rsidRPr="001B3164">
        <w:rPr>
          <w:noProof/>
        </w:rPr>
        <w:t xml:space="preserve"> </w:t>
      </w:r>
      <w:r w:rsidR="00FE0B70">
        <w:rPr>
          <w:noProof/>
        </w:rPr>
        <w:t>for</w:t>
      </w:r>
      <w:r w:rsidRPr="001B3164">
        <w:rPr>
          <w:noProof/>
        </w:rPr>
        <w:t xml:space="preserve"> Ukraine (MFA+</w:t>
      </w:r>
      <w:r w:rsidR="00BD527A" w:rsidRPr="001B3164">
        <w:rPr>
          <w:noProof/>
        </w:rPr>
        <w:t xml:space="preserve">, </w:t>
      </w:r>
      <w:r w:rsidRPr="001B3164">
        <w:rPr>
          <w:noProof/>
        </w:rPr>
        <w:t>the Ukraine Facility</w:t>
      </w:r>
      <w:r w:rsidR="00306877">
        <w:rPr>
          <w:noProof/>
        </w:rPr>
        <w:t>,</w:t>
      </w:r>
      <w:r w:rsidR="00BD527A" w:rsidRPr="001B3164">
        <w:rPr>
          <w:noProof/>
        </w:rPr>
        <w:t xml:space="preserve"> and the MFA loan </w:t>
      </w:r>
      <w:r w:rsidR="006308A2" w:rsidRPr="001B3164">
        <w:rPr>
          <w:noProof/>
        </w:rPr>
        <w:t>as part</w:t>
      </w:r>
      <w:r w:rsidR="005B36AD" w:rsidRPr="001B3164">
        <w:rPr>
          <w:noProof/>
        </w:rPr>
        <w:t xml:space="preserve"> of the G7 ERA initiative</w:t>
      </w:r>
      <w:r w:rsidRPr="001B3164">
        <w:rPr>
          <w:noProof/>
        </w:rPr>
        <w:t>).</w:t>
      </w:r>
    </w:p>
    <w:p w14:paraId="549DB907" w14:textId="25492DF3" w:rsidR="00F333BA" w:rsidRPr="001B3164" w:rsidRDefault="00F333BA" w:rsidP="00F333BA">
      <w:pPr>
        <w:rPr>
          <w:noProof/>
        </w:rPr>
      </w:pPr>
      <w:r w:rsidRPr="001B3164">
        <w:rPr>
          <w:noProof/>
        </w:rPr>
        <w:t>This half-yearly report</w:t>
      </w:r>
      <w:r w:rsidRPr="001B3164">
        <w:rPr>
          <w:rStyle w:val="FootnoteReference"/>
          <w:noProof/>
        </w:rPr>
        <w:footnoteReference w:id="4"/>
      </w:r>
      <w:r w:rsidRPr="001B3164">
        <w:rPr>
          <w:noProof/>
        </w:rPr>
        <w:t xml:space="preserve"> reviews the implementation of borrowing operations between 1 J</w:t>
      </w:r>
      <w:r w:rsidR="00CB0B4C">
        <w:rPr>
          <w:noProof/>
        </w:rPr>
        <w:t>ul</w:t>
      </w:r>
      <w:r w:rsidRPr="001B3164">
        <w:rPr>
          <w:noProof/>
        </w:rPr>
        <w:t>y 202</w:t>
      </w:r>
      <w:r w:rsidR="00CC06D4" w:rsidRPr="001B3164">
        <w:rPr>
          <w:noProof/>
        </w:rPr>
        <w:t>5</w:t>
      </w:r>
      <w:r w:rsidRPr="001B3164">
        <w:rPr>
          <w:noProof/>
        </w:rPr>
        <w:t xml:space="preserve"> and 3</w:t>
      </w:r>
      <w:r w:rsidR="00CB0B4C">
        <w:rPr>
          <w:noProof/>
        </w:rPr>
        <w:t>1</w:t>
      </w:r>
      <w:r w:rsidRPr="001B3164">
        <w:rPr>
          <w:noProof/>
        </w:rPr>
        <w:t xml:space="preserve"> </w:t>
      </w:r>
      <w:r w:rsidR="00CB0B4C">
        <w:rPr>
          <w:noProof/>
        </w:rPr>
        <w:t>December</w:t>
      </w:r>
      <w:r w:rsidRPr="001B3164">
        <w:rPr>
          <w:noProof/>
        </w:rPr>
        <w:t xml:space="preserve"> 202</w:t>
      </w:r>
      <w:r w:rsidR="00CC06D4" w:rsidRPr="001B3164">
        <w:rPr>
          <w:noProof/>
        </w:rPr>
        <w:t>5</w:t>
      </w:r>
      <w:r w:rsidRPr="001B3164">
        <w:rPr>
          <w:noProof/>
        </w:rPr>
        <w:t xml:space="preserve">. The report also provides an outlook for EU-Bond issuance in the </w:t>
      </w:r>
      <w:r w:rsidR="00CB0B4C">
        <w:rPr>
          <w:noProof/>
        </w:rPr>
        <w:t>first</w:t>
      </w:r>
      <w:r w:rsidRPr="001B3164">
        <w:rPr>
          <w:noProof/>
        </w:rPr>
        <w:t xml:space="preserve"> half of 202</w:t>
      </w:r>
      <w:r w:rsidR="00CB0B4C">
        <w:rPr>
          <w:noProof/>
        </w:rPr>
        <w:t>6</w:t>
      </w:r>
      <w:r w:rsidRPr="001B3164">
        <w:rPr>
          <w:noProof/>
        </w:rPr>
        <w:t xml:space="preserve">. </w:t>
      </w:r>
      <w:r w:rsidR="00261F4B" w:rsidRPr="001B3164">
        <w:rPr>
          <w:noProof/>
        </w:rPr>
        <w:t>It</w:t>
      </w:r>
      <w:r w:rsidRPr="001B3164">
        <w:rPr>
          <w:noProof/>
        </w:rPr>
        <w:t xml:space="preserve"> does not evaluate how the proceeds from EU-Bond issuances are used, including for green expenditure, as this is covered </w:t>
      </w:r>
      <w:r w:rsidR="00FE0B70">
        <w:rPr>
          <w:noProof/>
        </w:rPr>
        <w:t>by</w:t>
      </w:r>
      <w:r w:rsidRPr="001B3164">
        <w:rPr>
          <w:noProof/>
        </w:rPr>
        <w:t xml:space="preserve"> separate reports under the regulations </w:t>
      </w:r>
      <w:r w:rsidR="00FE0B70">
        <w:rPr>
          <w:noProof/>
        </w:rPr>
        <w:t>governing</w:t>
      </w:r>
      <w:r w:rsidRPr="001B3164">
        <w:rPr>
          <w:noProof/>
        </w:rPr>
        <w:t xml:space="preserve"> each </w:t>
      </w:r>
      <w:r w:rsidR="00FE0B70">
        <w:rPr>
          <w:noProof/>
        </w:rPr>
        <w:t xml:space="preserve">individual </w:t>
      </w:r>
      <w:r w:rsidRPr="001B3164">
        <w:rPr>
          <w:noProof/>
        </w:rPr>
        <w:t>instrument</w:t>
      </w:r>
      <w:r w:rsidRPr="001B3164">
        <w:rPr>
          <w:rStyle w:val="FootnoteReference"/>
          <w:noProof/>
        </w:rPr>
        <w:footnoteReference w:id="5"/>
      </w:r>
      <w:r w:rsidRPr="001B3164">
        <w:rPr>
          <w:noProof/>
        </w:rPr>
        <w:t>.</w:t>
      </w:r>
    </w:p>
    <w:p w14:paraId="41D03409" w14:textId="788BC069" w:rsidR="00F333BA" w:rsidRPr="001B3164" w:rsidRDefault="00FE0B70" w:rsidP="00F333BA">
      <w:pPr>
        <w:rPr>
          <w:noProof/>
        </w:rPr>
      </w:pPr>
      <w:r>
        <w:rPr>
          <w:noProof/>
        </w:rPr>
        <w:t>In line with</w:t>
      </w:r>
      <w:r w:rsidR="00F333BA" w:rsidRPr="001B3164">
        <w:rPr>
          <w:noProof/>
        </w:rPr>
        <w:t xml:space="preserve"> the recommendation of the European Court of Auditors </w:t>
      </w:r>
      <w:r>
        <w:rPr>
          <w:noProof/>
        </w:rPr>
        <w:t>of</w:t>
      </w:r>
      <w:r w:rsidR="00F333BA" w:rsidRPr="001B3164">
        <w:rPr>
          <w:noProof/>
        </w:rPr>
        <w:t xml:space="preserve"> June 2023</w:t>
      </w:r>
      <w:r w:rsidR="00F333BA" w:rsidRPr="001B3164">
        <w:rPr>
          <w:rStyle w:val="FootnoteReference"/>
          <w:noProof/>
        </w:rPr>
        <w:footnoteReference w:id="6"/>
      </w:r>
      <w:r w:rsidR="00F333BA" w:rsidRPr="001B3164">
        <w:rPr>
          <w:noProof/>
        </w:rPr>
        <w:t xml:space="preserve">, the </w:t>
      </w:r>
      <w:r>
        <w:rPr>
          <w:noProof/>
        </w:rPr>
        <w:t>A</w:t>
      </w:r>
      <w:r w:rsidR="00F333BA" w:rsidRPr="001B3164">
        <w:rPr>
          <w:noProof/>
        </w:rPr>
        <w:t xml:space="preserve">nnex to this report presents indicators </w:t>
      </w:r>
      <w:r>
        <w:rPr>
          <w:noProof/>
        </w:rPr>
        <w:t>for</w:t>
      </w:r>
      <w:r w:rsidR="00F333BA" w:rsidRPr="001B3164">
        <w:rPr>
          <w:noProof/>
        </w:rPr>
        <w:t xml:space="preserve"> monitor</w:t>
      </w:r>
      <w:r>
        <w:rPr>
          <w:noProof/>
        </w:rPr>
        <w:t>ing</w:t>
      </w:r>
      <w:r w:rsidR="00F333BA" w:rsidRPr="001B3164">
        <w:rPr>
          <w:noProof/>
        </w:rPr>
        <w:t xml:space="preserve"> the implementation of the overarching debt management strategy guiding</w:t>
      </w:r>
      <w:r w:rsidR="00F454FE" w:rsidRPr="001B3164">
        <w:rPr>
          <w:rStyle w:val="FootnoteReference"/>
          <w:noProof/>
          <w:spacing w:val="-6"/>
        </w:rPr>
        <w:footnoteReference w:id="7"/>
      </w:r>
      <w:r w:rsidR="00F333BA" w:rsidRPr="001B3164">
        <w:rPr>
          <w:noProof/>
        </w:rPr>
        <w:t xml:space="preserve"> the Commission’s unified funding approach</w:t>
      </w:r>
      <w:r w:rsidR="00F333BA" w:rsidRPr="001B3164">
        <w:rPr>
          <w:rStyle w:val="FootnoteReference"/>
          <w:noProof/>
          <w:spacing w:val="-6"/>
        </w:rPr>
        <w:footnoteReference w:id="8"/>
      </w:r>
      <w:r w:rsidR="00F333BA" w:rsidRPr="001B3164">
        <w:rPr>
          <w:noProof/>
        </w:rPr>
        <w:t xml:space="preserve">.  </w:t>
      </w:r>
    </w:p>
    <w:p w14:paraId="6B6905B9" w14:textId="24616259" w:rsidR="008B6253" w:rsidRPr="001B3164" w:rsidRDefault="00BD5F9F" w:rsidP="00BE145B">
      <w:pPr>
        <w:pStyle w:val="Heading1"/>
        <w:rPr>
          <w:noProof/>
        </w:rPr>
      </w:pPr>
      <w:bookmarkStart w:id="10" w:name="_Ref155883558"/>
      <w:bookmarkStart w:id="11" w:name="_Ref169097162"/>
      <w:bookmarkStart w:id="12" w:name="_Toc219529983"/>
      <w:bookmarkStart w:id="13" w:name="_Toc202682640"/>
      <w:r w:rsidRPr="001B3164">
        <w:rPr>
          <w:noProof/>
        </w:rPr>
        <w:t xml:space="preserve">Implementation of </w:t>
      </w:r>
      <w:r w:rsidR="001401DA" w:rsidRPr="001B3164">
        <w:rPr>
          <w:noProof/>
        </w:rPr>
        <w:t>borrowing operations</w:t>
      </w:r>
      <w:r w:rsidR="00936D60" w:rsidRPr="001B3164">
        <w:rPr>
          <w:noProof/>
        </w:rPr>
        <w:t xml:space="preserve"> in </w:t>
      </w:r>
      <w:r w:rsidR="000659B4" w:rsidRPr="001B3164">
        <w:rPr>
          <w:noProof/>
        </w:rPr>
        <w:t xml:space="preserve">the </w:t>
      </w:r>
      <w:r w:rsidR="00747A0A">
        <w:rPr>
          <w:noProof/>
        </w:rPr>
        <w:t>second</w:t>
      </w:r>
      <w:r w:rsidR="004D0EB0" w:rsidRPr="001B3164">
        <w:rPr>
          <w:noProof/>
        </w:rPr>
        <w:t xml:space="preserve"> </w:t>
      </w:r>
      <w:r w:rsidR="001401DA" w:rsidRPr="001B3164">
        <w:rPr>
          <w:noProof/>
        </w:rPr>
        <w:t>half</w:t>
      </w:r>
      <w:r w:rsidR="004D0EB0" w:rsidRPr="001B3164">
        <w:rPr>
          <w:noProof/>
        </w:rPr>
        <w:t xml:space="preserve"> of</w:t>
      </w:r>
      <w:r w:rsidRPr="001B3164">
        <w:rPr>
          <w:noProof/>
        </w:rPr>
        <w:t xml:space="preserve"> </w:t>
      </w:r>
      <w:bookmarkEnd w:id="10"/>
      <w:r w:rsidR="006429A5" w:rsidRPr="001B3164">
        <w:rPr>
          <w:noProof/>
        </w:rPr>
        <w:t>202</w:t>
      </w:r>
      <w:bookmarkEnd w:id="11"/>
      <w:r w:rsidR="00B828FD" w:rsidRPr="001B3164">
        <w:rPr>
          <w:noProof/>
        </w:rPr>
        <w:t>5</w:t>
      </w:r>
      <w:bookmarkEnd w:id="12"/>
      <w:bookmarkEnd w:id="13"/>
    </w:p>
    <w:p w14:paraId="370D7CD9" w14:textId="20DF06FD" w:rsidR="00A02D98" w:rsidRPr="001B3164" w:rsidRDefault="00A02D98" w:rsidP="00A02D98">
      <w:pPr>
        <w:rPr>
          <w:noProof/>
        </w:rPr>
      </w:pPr>
      <w:bookmarkStart w:id="14" w:name="_Toc169303166"/>
      <w:r w:rsidRPr="001B3164">
        <w:rPr>
          <w:noProof/>
        </w:rPr>
        <w:t xml:space="preserve">The </w:t>
      </w:r>
      <w:r w:rsidR="00FE0B70">
        <w:rPr>
          <w:noProof/>
        </w:rPr>
        <w:t xml:space="preserve">following </w:t>
      </w:r>
      <w:r w:rsidRPr="001B3164">
        <w:rPr>
          <w:noProof/>
        </w:rPr>
        <w:t xml:space="preserve">sections present key </w:t>
      </w:r>
      <w:r w:rsidR="00FE0B70">
        <w:rPr>
          <w:noProof/>
        </w:rPr>
        <w:t>aspec</w:t>
      </w:r>
      <w:r w:rsidRPr="001B3164">
        <w:rPr>
          <w:noProof/>
        </w:rPr>
        <w:t xml:space="preserve">ts of the Commission’s borrowing and lending operations in the </w:t>
      </w:r>
      <w:r w:rsidR="009E642A">
        <w:rPr>
          <w:noProof/>
        </w:rPr>
        <w:t>second</w:t>
      </w:r>
      <w:r w:rsidRPr="001B3164">
        <w:rPr>
          <w:noProof/>
        </w:rPr>
        <w:t xml:space="preserve"> half of 202</w:t>
      </w:r>
      <w:r w:rsidR="00B828FD" w:rsidRPr="001B3164">
        <w:rPr>
          <w:noProof/>
        </w:rPr>
        <w:t>5</w:t>
      </w:r>
      <w:r w:rsidRPr="001B3164">
        <w:rPr>
          <w:noProof/>
        </w:rPr>
        <w:t xml:space="preserve">. Further indicators used to monitor the implementation of the Commission’s funding strategy are </w:t>
      </w:r>
      <w:r w:rsidR="00960321">
        <w:rPr>
          <w:noProof/>
        </w:rPr>
        <w:t>set out</w:t>
      </w:r>
      <w:r w:rsidRPr="001B3164">
        <w:rPr>
          <w:noProof/>
        </w:rPr>
        <w:t xml:space="preserve"> in the </w:t>
      </w:r>
      <w:r w:rsidR="00960321">
        <w:rPr>
          <w:noProof/>
        </w:rPr>
        <w:t>A</w:t>
      </w:r>
      <w:r w:rsidRPr="001B3164">
        <w:rPr>
          <w:noProof/>
        </w:rPr>
        <w:t>nnex.</w:t>
      </w:r>
    </w:p>
    <w:p w14:paraId="1B7B6760" w14:textId="271BDC52" w:rsidR="005D6F11" w:rsidRPr="001B3164" w:rsidRDefault="003926DF" w:rsidP="002703F1">
      <w:pPr>
        <w:pStyle w:val="Heading2"/>
        <w:rPr>
          <w:noProof/>
        </w:rPr>
      </w:pPr>
      <w:bookmarkStart w:id="15" w:name="_Toc170294782"/>
      <w:bookmarkStart w:id="16" w:name="_Toc187347924"/>
      <w:bookmarkStart w:id="17" w:name="_Toc187701953"/>
      <w:bookmarkStart w:id="18" w:name="_Toc187702008"/>
      <w:bookmarkStart w:id="19" w:name="_Toc190904644"/>
      <w:bookmarkStart w:id="20" w:name="_Toc201318488"/>
      <w:bookmarkStart w:id="21" w:name="_Toc202682641"/>
      <w:bookmarkStart w:id="22" w:name="_Toc219529984"/>
      <w:r w:rsidRPr="001B3164">
        <w:rPr>
          <w:noProof/>
        </w:rPr>
        <w:t xml:space="preserve">Execution of funding </w:t>
      </w:r>
      <w:r w:rsidR="00374646" w:rsidRPr="001B3164">
        <w:rPr>
          <w:noProof/>
        </w:rPr>
        <w:t>operations</w:t>
      </w:r>
      <w:r w:rsidR="00471D64" w:rsidRPr="001B3164">
        <w:rPr>
          <w:noProof/>
        </w:rPr>
        <w:t xml:space="preserve"> in </w:t>
      </w:r>
      <w:r w:rsidR="005D6F11" w:rsidRPr="001B3164">
        <w:rPr>
          <w:noProof/>
        </w:rPr>
        <w:t xml:space="preserve">the </w:t>
      </w:r>
      <w:r w:rsidR="00747A0A">
        <w:rPr>
          <w:noProof/>
        </w:rPr>
        <w:t>second</w:t>
      </w:r>
      <w:r w:rsidR="005D6F11" w:rsidRPr="001B3164">
        <w:rPr>
          <w:noProof/>
        </w:rPr>
        <w:t xml:space="preserve"> half of 202</w:t>
      </w:r>
      <w:bookmarkEnd w:id="14"/>
      <w:bookmarkEnd w:id="15"/>
      <w:bookmarkEnd w:id="16"/>
      <w:bookmarkEnd w:id="17"/>
      <w:bookmarkEnd w:id="18"/>
      <w:bookmarkEnd w:id="19"/>
      <w:r w:rsidR="008B18AF" w:rsidRPr="001B3164">
        <w:rPr>
          <w:noProof/>
        </w:rPr>
        <w:t>5</w:t>
      </w:r>
      <w:bookmarkEnd w:id="20"/>
      <w:bookmarkEnd w:id="21"/>
      <w:bookmarkEnd w:id="22"/>
    </w:p>
    <w:p w14:paraId="68399FD8" w14:textId="04225B48" w:rsidR="0049203F" w:rsidRPr="001B3164" w:rsidRDefault="003D506A" w:rsidP="0049203F">
      <w:pPr>
        <w:rPr>
          <w:noProof/>
        </w:rPr>
      </w:pPr>
      <w:bookmarkStart w:id="23" w:name="_Hlk138161421"/>
      <w:r w:rsidRPr="001B3164">
        <w:rPr>
          <w:noProof/>
        </w:rPr>
        <w:t>T</w:t>
      </w:r>
      <w:r w:rsidR="0049203F" w:rsidRPr="001B3164">
        <w:rPr>
          <w:noProof/>
        </w:rPr>
        <w:t xml:space="preserve">he Commission raised a total of EUR </w:t>
      </w:r>
      <w:r w:rsidR="009E642A">
        <w:rPr>
          <w:noProof/>
        </w:rPr>
        <w:t>66</w:t>
      </w:r>
      <w:r w:rsidR="004B3199" w:rsidRPr="001B3164">
        <w:rPr>
          <w:noProof/>
        </w:rPr>
        <w:t>.</w:t>
      </w:r>
      <w:r w:rsidR="009D4A6D" w:rsidRPr="001B3164">
        <w:rPr>
          <w:noProof/>
        </w:rPr>
        <w:t>8</w:t>
      </w:r>
      <w:r w:rsidR="0049203F" w:rsidRPr="001B3164">
        <w:rPr>
          <w:noProof/>
        </w:rPr>
        <w:t xml:space="preserve"> billion in EU-Bonds</w:t>
      </w:r>
      <w:r w:rsidR="00DB0562" w:rsidRPr="001B3164">
        <w:rPr>
          <w:rStyle w:val="FootnoteReference"/>
          <w:noProof/>
        </w:rPr>
        <w:footnoteReference w:id="9"/>
      </w:r>
      <w:r w:rsidR="0049203F" w:rsidRPr="001B3164">
        <w:rPr>
          <w:noProof/>
        </w:rPr>
        <w:t xml:space="preserve">, </w:t>
      </w:r>
      <w:r w:rsidR="00960321">
        <w:rPr>
          <w:noProof/>
        </w:rPr>
        <w:t xml:space="preserve">including </w:t>
      </w:r>
      <w:r w:rsidR="00960321" w:rsidRPr="001B3164">
        <w:rPr>
          <w:noProof/>
          <w:color w:val="000000" w:themeColor="text1"/>
        </w:rPr>
        <w:t xml:space="preserve">EUR </w:t>
      </w:r>
      <w:r w:rsidR="00960321">
        <w:rPr>
          <w:noProof/>
          <w:color w:val="000000" w:themeColor="text1"/>
        </w:rPr>
        <w:t>3</w:t>
      </w:r>
      <w:r w:rsidR="00960321" w:rsidRPr="001B3164">
        <w:rPr>
          <w:noProof/>
          <w:color w:val="000000" w:themeColor="text1"/>
        </w:rPr>
        <w:t>.</w:t>
      </w:r>
      <w:r w:rsidR="00960321">
        <w:rPr>
          <w:noProof/>
          <w:color w:val="000000" w:themeColor="text1"/>
        </w:rPr>
        <w:t>4</w:t>
      </w:r>
      <w:r w:rsidR="00960321" w:rsidRPr="001B3164">
        <w:rPr>
          <w:noProof/>
          <w:color w:val="000000" w:themeColor="text1"/>
        </w:rPr>
        <w:t xml:space="preserve"> billion</w:t>
      </w:r>
      <w:r w:rsidR="00960321">
        <w:rPr>
          <w:noProof/>
          <w:color w:val="000000" w:themeColor="text1"/>
        </w:rPr>
        <w:t xml:space="preserve"> in </w:t>
      </w:r>
      <w:r w:rsidR="00960321" w:rsidRPr="001B3164">
        <w:rPr>
          <w:noProof/>
          <w:color w:val="000000" w:themeColor="text1"/>
        </w:rPr>
        <w:t>N</w:t>
      </w:r>
      <w:r w:rsidR="00960321">
        <w:rPr>
          <w:noProof/>
          <w:color w:val="000000" w:themeColor="text1"/>
        </w:rPr>
        <w:t>G</w:t>
      </w:r>
      <w:r w:rsidR="00960321" w:rsidRPr="001B3164">
        <w:rPr>
          <w:noProof/>
          <w:color w:val="000000" w:themeColor="text1"/>
        </w:rPr>
        <w:t>EU Green Bond</w:t>
      </w:r>
      <w:r w:rsidR="00960321">
        <w:rPr>
          <w:noProof/>
          <w:color w:val="000000" w:themeColor="text1"/>
        </w:rPr>
        <w:t>s</w:t>
      </w:r>
      <w:r w:rsidR="00830430">
        <w:rPr>
          <w:noProof/>
          <w:color w:val="000000" w:themeColor="text1"/>
        </w:rPr>
        <w:t xml:space="preserve">, in the second half of 2025. The </w:t>
      </w:r>
      <w:r w:rsidR="0049203F" w:rsidRPr="001B3164">
        <w:rPr>
          <w:noProof/>
        </w:rPr>
        <w:t xml:space="preserve">average maturity </w:t>
      </w:r>
      <w:r w:rsidR="00830430">
        <w:rPr>
          <w:noProof/>
        </w:rPr>
        <w:t xml:space="preserve">was </w:t>
      </w:r>
      <w:r w:rsidR="0049203F" w:rsidRPr="001B3164">
        <w:rPr>
          <w:noProof/>
        </w:rPr>
        <w:t>around 1</w:t>
      </w:r>
      <w:r w:rsidR="00EB47DD" w:rsidRPr="001B3164">
        <w:rPr>
          <w:noProof/>
        </w:rPr>
        <w:t>2</w:t>
      </w:r>
      <w:r w:rsidR="0049203F" w:rsidRPr="001B3164">
        <w:rPr>
          <w:noProof/>
        </w:rPr>
        <w:t xml:space="preserve"> years</w:t>
      </w:r>
      <w:r w:rsidR="00830430">
        <w:rPr>
          <w:noProof/>
        </w:rPr>
        <w:t xml:space="preserve">, </w:t>
      </w:r>
      <w:r w:rsidR="008B18AF" w:rsidRPr="001B3164">
        <w:rPr>
          <w:noProof/>
        </w:rPr>
        <w:t>which is similar to the average maturity</w:t>
      </w:r>
      <w:r w:rsidR="0049203F" w:rsidRPr="001B3164">
        <w:rPr>
          <w:noProof/>
        </w:rPr>
        <w:t xml:space="preserve"> </w:t>
      </w:r>
      <w:r w:rsidR="00830430">
        <w:rPr>
          <w:noProof/>
        </w:rPr>
        <w:t xml:space="preserve">of </w:t>
      </w:r>
      <w:r w:rsidR="0049203F" w:rsidRPr="001B3164">
        <w:rPr>
          <w:noProof/>
        </w:rPr>
        <w:t xml:space="preserve">funding raised in the </w:t>
      </w:r>
      <w:r w:rsidR="009E642A">
        <w:rPr>
          <w:noProof/>
        </w:rPr>
        <w:t>first</w:t>
      </w:r>
      <w:r w:rsidR="0049203F" w:rsidRPr="001B3164">
        <w:rPr>
          <w:noProof/>
        </w:rPr>
        <w:t xml:space="preserve"> half of 202</w:t>
      </w:r>
      <w:r w:rsidR="009E642A">
        <w:rPr>
          <w:noProof/>
        </w:rPr>
        <w:t>5</w:t>
      </w:r>
      <w:r w:rsidR="00D36DD0" w:rsidRPr="001B3164">
        <w:rPr>
          <w:noProof/>
          <w:color w:val="000000" w:themeColor="text1"/>
        </w:rPr>
        <w:t xml:space="preserve">. </w:t>
      </w:r>
    </w:p>
    <w:p w14:paraId="4FB5F5F3" w14:textId="601CDE9C" w:rsidR="00AB49F5" w:rsidRPr="001B3164" w:rsidRDefault="0049203F" w:rsidP="00AB49F5">
      <w:pPr>
        <w:rPr>
          <w:noProof/>
        </w:rPr>
      </w:pPr>
      <w:r w:rsidRPr="001B3164">
        <w:rPr>
          <w:noProof/>
        </w:rPr>
        <w:t xml:space="preserve">The Commission used </w:t>
      </w:r>
      <w:r w:rsidR="009E642A">
        <w:rPr>
          <w:noProof/>
        </w:rPr>
        <w:t>four</w:t>
      </w:r>
      <w:r w:rsidRPr="001B3164">
        <w:rPr>
          <w:noProof/>
        </w:rPr>
        <w:t xml:space="preserve"> syndications (5</w:t>
      </w:r>
      <w:r w:rsidR="009E642A">
        <w:rPr>
          <w:noProof/>
        </w:rPr>
        <w:t>4</w:t>
      </w:r>
      <w:r w:rsidRPr="001B3164">
        <w:rPr>
          <w:noProof/>
        </w:rPr>
        <w:t>%</w:t>
      </w:r>
      <w:r w:rsidR="00F71904" w:rsidRPr="001B3164">
        <w:rPr>
          <w:noProof/>
        </w:rPr>
        <w:t xml:space="preserve"> of the amount raised</w:t>
      </w:r>
      <w:r w:rsidRPr="001B3164">
        <w:rPr>
          <w:noProof/>
        </w:rPr>
        <w:t xml:space="preserve">) and </w:t>
      </w:r>
      <w:r w:rsidR="00762E89" w:rsidRPr="001B3164">
        <w:rPr>
          <w:noProof/>
        </w:rPr>
        <w:t>s</w:t>
      </w:r>
      <w:r w:rsidR="009E642A">
        <w:rPr>
          <w:noProof/>
        </w:rPr>
        <w:t>ix</w:t>
      </w:r>
      <w:r w:rsidRPr="001B3164">
        <w:rPr>
          <w:noProof/>
        </w:rPr>
        <w:t xml:space="preserve"> auctions (4</w:t>
      </w:r>
      <w:r w:rsidR="009E642A">
        <w:rPr>
          <w:noProof/>
        </w:rPr>
        <w:t>6</w:t>
      </w:r>
      <w:r w:rsidRPr="001B3164">
        <w:rPr>
          <w:noProof/>
        </w:rPr>
        <w:t>%</w:t>
      </w:r>
      <w:r w:rsidR="00F71904" w:rsidRPr="001B3164">
        <w:rPr>
          <w:noProof/>
        </w:rPr>
        <w:t xml:space="preserve"> of the amount raised</w:t>
      </w:r>
      <w:r w:rsidRPr="001B3164">
        <w:rPr>
          <w:noProof/>
        </w:rPr>
        <w:t xml:space="preserve">). EU-Bonds were </w:t>
      </w:r>
      <w:r w:rsidR="00081EB2" w:rsidRPr="001B3164">
        <w:rPr>
          <w:noProof/>
        </w:rPr>
        <w:t>issue</w:t>
      </w:r>
      <w:r w:rsidRPr="001B3164">
        <w:rPr>
          <w:noProof/>
        </w:rPr>
        <w:t>d</w:t>
      </w:r>
      <w:r w:rsidR="0099453B" w:rsidRPr="001B3164">
        <w:rPr>
          <w:noProof/>
        </w:rPr>
        <w:t xml:space="preserve"> regular</w:t>
      </w:r>
      <w:r w:rsidR="00830430">
        <w:rPr>
          <w:noProof/>
        </w:rPr>
        <w:t>ly</w:t>
      </w:r>
      <w:r w:rsidR="0099453B" w:rsidRPr="001B3164">
        <w:rPr>
          <w:noProof/>
        </w:rPr>
        <w:t xml:space="preserve"> over the six-month period</w:t>
      </w:r>
      <w:r w:rsidRPr="001B3164">
        <w:rPr>
          <w:noProof/>
        </w:rPr>
        <w:t>, taking market liquidity conditions</w:t>
      </w:r>
      <w:r w:rsidR="004F5D0C" w:rsidRPr="001B3164">
        <w:rPr>
          <w:noProof/>
        </w:rPr>
        <w:t xml:space="preserve"> into account</w:t>
      </w:r>
      <w:r w:rsidRPr="001B3164">
        <w:rPr>
          <w:noProof/>
        </w:rPr>
        <w:t xml:space="preserve"> while ensuring</w:t>
      </w:r>
      <w:r w:rsidR="00350B76" w:rsidRPr="001B3164">
        <w:rPr>
          <w:noProof/>
        </w:rPr>
        <w:t xml:space="preserve"> </w:t>
      </w:r>
      <w:r w:rsidR="00830430">
        <w:rPr>
          <w:noProof/>
        </w:rPr>
        <w:t xml:space="preserve">a </w:t>
      </w:r>
      <w:r w:rsidRPr="001B3164">
        <w:rPr>
          <w:noProof/>
        </w:rPr>
        <w:t>regular</w:t>
      </w:r>
      <w:r w:rsidR="002226E4">
        <w:rPr>
          <w:noProof/>
        </w:rPr>
        <w:t xml:space="preserve"> market</w:t>
      </w:r>
      <w:r w:rsidRPr="001B3164">
        <w:rPr>
          <w:noProof/>
        </w:rPr>
        <w:t xml:space="preserve"> presence. </w:t>
      </w:r>
      <w:bookmarkStart w:id="24" w:name="_Hlk156564741"/>
      <w:bookmarkStart w:id="25" w:name="_Hlk155181535"/>
      <w:bookmarkStart w:id="26" w:name="_Hlk169518262"/>
      <w:bookmarkStart w:id="27" w:name="_Hlk139454398"/>
    </w:p>
    <w:p w14:paraId="44D2CE78" w14:textId="51A698D3" w:rsidR="00AB49F5" w:rsidRPr="001B3164" w:rsidRDefault="00830430" w:rsidP="00AB49F5">
      <w:pPr>
        <w:rPr>
          <w:noProof/>
        </w:rPr>
      </w:pPr>
      <w:r>
        <w:rPr>
          <w:noProof/>
        </w:rPr>
        <w:t>On</w:t>
      </w:r>
      <w:r w:rsidR="00275148" w:rsidRPr="001B3164">
        <w:rPr>
          <w:noProof/>
        </w:rPr>
        <w:t xml:space="preserve"> 3</w:t>
      </w:r>
      <w:r w:rsidR="00275148">
        <w:rPr>
          <w:noProof/>
        </w:rPr>
        <w:t>1</w:t>
      </w:r>
      <w:r w:rsidR="00275148" w:rsidRPr="001B3164">
        <w:rPr>
          <w:noProof/>
        </w:rPr>
        <w:t xml:space="preserve"> </w:t>
      </w:r>
      <w:r w:rsidR="00275148">
        <w:rPr>
          <w:noProof/>
        </w:rPr>
        <w:t>December</w:t>
      </w:r>
      <w:r w:rsidR="00275148" w:rsidRPr="001B3164">
        <w:rPr>
          <w:noProof/>
        </w:rPr>
        <w:t xml:space="preserve"> 2025, the EU’s total outstanding debt was EUR</w:t>
      </w:r>
      <w:r>
        <w:rPr>
          <w:rFonts w:ascii="Calibri" w:hAnsi="Calibri" w:cs="Calibri"/>
          <w:noProof/>
          <w:color w:val="FF0000"/>
        </w:rPr>
        <w:t> </w:t>
      </w:r>
      <w:r w:rsidR="00275148">
        <w:rPr>
          <w:noProof/>
        </w:rPr>
        <w:t>738</w:t>
      </w:r>
      <w:r w:rsidR="00275148" w:rsidRPr="001B3164">
        <w:rPr>
          <w:noProof/>
        </w:rPr>
        <w:t>.9</w:t>
      </w:r>
      <w:r>
        <w:rPr>
          <w:rFonts w:ascii="Calibri" w:hAnsi="Calibri" w:cs="Calibri"/>
          <w:noProof/>
        </w:rPr>
        <w:t> </w:t>
      </w:r>
      <w:r w:rsidR="00275148" w:rsidRPr="001B3164">
        <w:rPr>
          <w:noProof/>
        </w:rPr>
        <w:t>billion</w:t>
      </w:r>
      <w:r w:rsidR="00275148">
        <w:rPr>
          <w:noProof/>
        </w:rPr>
        <w:t xml:space="preserve">. </w:t>
      </w:r>
      <w:r>
        <w:rPr>
          <w:noProof/>
        </w:rPr>
        <w:t>O</w:t>
      </w:r>
      <w:r w:rsidR="002226E4" w:rsidRPr="001B3164">
        <w:rPr>
          <w:noProof/>
        </w:rPr>
        <w:t xml:space="preserve">utstanding EU-Bonds </w:t>
      </w:r>
      <w:r w:rsidR="002226E4">
        <w:rPr>
          <w:noProof/>
        </w:rPr>
        <w:t>stood at</w:t>
      </w:r>
      <w:r>
        <w:rPr>
          <w:noProof/>
        </w:rPr>
        <w:t xml:space="preserve"> a total of</w:t>
      </w:r>
      <w:r w:rsidR="00AB49F5" w:rsidRPr="001B3164">
        <w:rPr>
          <w:noProof/>
        </w:rPr>
        <w:t xml:space="preserve"> EUR</w:t>
      </w:r>
      <w:r>
        <w:rPr>
          <w:rFonts w:ascii="Calibri" w:hAnsi="Calibri" w:cs="Calibri"/>
          <w:noProof/>
        </w:rPr>
        <w:t> </w:t>
      </w:r>
      <w:r w:rsidR="00497AC0">
        <w:rPr>
          <w:noProof/>
        </w:rPr>
        <w:t>702</w:t>
      </w:r>
      <w:r w:rsidR="00AB49F5" w:rsidRPr="001B3164">
        <w:rPr>
          <w:noProof/>
        </w:rPr>
        <w:t>.</w:t>
      </w:r>
      <w:r w:rsidR="00497AC0">
        <w:rPr>
          <w:noProof/>
        </w:rPr>
        <w:t>1</w:t>
      </w:r>
      <w:r w:rsidR="00AB49F5" w:rsidRPr="001B3164">
        <w:rPr>
          <w:noProof/>
        </w:rPr>
        <w:t xml:space="preserve"> billion, of which EUR</w:t>
      </w:r>
      <w:r>
        <w:rPr>
          <w:rFonts w:ascii="Calibri" w:hAnsi="Calibri" w:cs="Calibri"/>
          <w:noProof/>
        </w:rPr>
        <w:t> </w:t>
      </w:r>
      <w:r w:rsidR="00AB49F5" w:rsidRPr="001B3164">
        <w:rPr>
          <w:noProof/>
        </w:rPr>
        <w:t>56</w:t>
      </w:r>
      <w:r w:rsidR="00497AC0">
        <w:rPr>
          <w:noProof/>
        </w:rPr>
        <w:t>5</w:t>
      </w:r>
      <w:r w:rsidR="00AB49F5" w:rsidRPr="001B3164">
        <w:rPr>
          <w:noProof/>
        </w:rPr>
        <w:t>.</w:t>
      </w:r>
      <w:r w:rsidR="00497AC0">
        <w:rPr>
          <w:noProof/>
        </w:rPr>
        <w:t>7</w:t>
      </w:r>
      <w:r w:rsidR="00AB49F5" w:rsidRPr="001B3164">
        <w:rPr>
          <w:noProof/>
        </w:rPr>
        <w:t xml:space="preserve"> billion issued </w:t>
      </w:r>
      <w:r>
        <w:rPr>
          <w:noProof/>
        </w:rPr>
        <w:t>under</w:t>
      </w:r>
      <w:r w:rsidR="00AB49F5" w:rsidRPr="001B3164">
        <w:rPr>
          <w:noProof/>
        </w:rPr>
        <w:t xml:space="preserve"> the unified funding </w:t>
      </w:r>
      <w:bookmarkStart w:id="28" w:name="_Hlk158104850"/>
      <w:bookmarkEnd w:id="24"/>
      <w:r w:rsidR="00AB49F5" w:rsidRPr="001B3164">
        <w:rPr>
          <w:noProof/>
        </w:rPr>
        <w:t>approach.</w:t>
      </w:r>
      <w:bookmarkEnd w:id="25"/>
      <w:r w:rsidR="00AB49F5" w:rsidRPr="001B3164">
        <w:rPr>
          <w:noProof/>
          <w:color w:val="000000" w:themeColor="text1"/>
        </w:rPr>
        <w:t xml:space="preserve"> The total value of outstanding N</w:t>
      </w:r>
      <w:r w:rsidR="00626874">
        <w:rPr>
          <w:noProof/>
          <w:color w:val="000000" w:themeColor="text1"/>
        </w:rPr>
        <w:t>G</w:t>
      </w:r>
      <w:r w:rsidR="00AB49F5" w:rsidRPr="001B3164">
        <w:rPr>
          <w:noProof/>
          <w:color w:val="000000" w:themeColor="text1"/>
        </w:rPr>
        <w:t>EU Green Bonds was EUR</w:t>
      </w:r>
      <w:r>
        <w:rPr>
          <w:rFonts w:ascii="Calibri" w:hAnsi="Calibri" w:cs="Calibri"/>
          <w:noProof/>
          <w:color w:val="000000" w:themeColor="text1"/>
        </w:rPr>
        <w:t> </w:t>
      </w:r>
      <w:r w:rsidR="00AB49F5" w:rsidRPr="001B3164">
        <w:rPr>
          <w:noProof/>
          <w:color w:val="000000" w:themeColor="text1"/>
        </w:rPr>
        <w:t>7</w:t>
      </w:r>
      <w:r w:rsidR="00497AC0">
        <w:rPr>
          <w:noProof/>
          <w:color w:val="000000" w:themeColor="text1"/>
        </w:rPr>
        <w:t>8</w:t>
      </w:r>
      <w:r w:rsidR="00AB49F5" w:rsidRPr="001B3164">
        <w:rPr>
          <w:noProof/>
          <w:color w:val="000000" w:themeColor="text1"/>
        </w:rPr>
        <w:t>.</w:t>
      </w:r>
      <w:r w:rsidR="00497AC0">
        <w:rPr>
          <w:noProof/>
          <w:color w:val="000000" w:themeColor="text1"/>
        </w:rPr>
        <w:t>5</w:t>
      </w:r>
      <w:r>
        <w:rPr>
          <w:rFonts w:ascii="Calibri" w:hAnsi="Calibri" w:cs="Calibri"/>
          <w:noProof/>
          <w:color w:val="000000" w:themeColor="text1"/>
        </w:rPr>
        <w:t> </w:t>
      </w:r>
      <w:r w:rsidR="00AB49F5" w:rsidRPr="001B3164">
        <w:rPr>
          <w:noProof/>
          <w:color w:val="000000" w:themeColor="text1"/>
        </w:rPr>
        <w:t>billion.</w:t>
      </w:r>
      <w:bookmarkEnd w:id="26"/>
      <w:bookmarkEnd w:id="28"/>
      <w:r w:rsidR="00497AC0">
        <w:rPr>
          <w:noProof/>
        </w:rPr>
        <w:t xml:space="preserve"> In addition,</w:t>
      </w:r>
      <w:r w:rsidR="00AB49F5" w:rsidRPr="001B3164">
        <w:rPr>
          <w:noProof/>
        </w:rPr>
        <w:t xml:space="preserve"> </w:t>
      </w:r>
      <w:r w:rsidR="00497AC0">
        <w:rPr>
          <w:noProof/>
        </w:rPr>
        <w:t>a</w:t>
      </w:r>
      <w:r w:rsidR="00AB49F5" w:rsidRPr="001B3164">
        <w:rPr>
          <w:noProof/>
        </w:rPr>
        <w:t xml:space="preserve">t the end of </w:t>
      </w:r>
      <w:r w:rsidR="00497AC0">
        <w:rPr>
          <w:noProof/>
        </w:rPr>
        <w:t>December</w:t>
      </w:r>
      <w:r w:rsidR="00AB49F5" w:rsidRPr="001B3164">
        <w:rPr>
          <w:noProof/>
        </w:rPr>
        <w:t xml:space="preserve"> 2025, the EU had EUR 3</w:t>
      </w:r>
      <w:r w:rsidR="00497AC0">
        <w:rPr>
          <w:noProof/>
        </w:rPr>
        <w:t>6</w:t>
      </w:r>
      <w:r w:rsidR="00AB49F5" w:rsidRPr="001B3164">
        <w:rPr>
          <w:noProof/>
        </w:rPr>
        <w:t>.</w:t>
      </w:r>
      <w:r w:rsidR="00497AC0">
        <w:rPr>
          <w:noProof/>
        </w:rPr>
        <w:t>8</w:t>
      </w:r>
      <w:r w:rsidR="00AB49F5" w:rsidRPr="001B3164">
        <w:rPr>
          <w:noProof/>
        </w:rPr>
        <w:t xml:space="preserve"> billion in credit outstanding through EU-Bills.</w:t>
      </w:r>
    </w:p>
    <w:p w14:paraId="5E398C65" w14:textId="77777777" w:rsidR="005455B5" w:rsidRDefault="005455B5" w:rsidP="00810A51">
      <w:pPr>
        <w:rPr>
          <w:b/>
          <w:bCs/>
          <w:noProof/>
          <w:color w:val="034EA2" w:themeColor="accent1"/>
        </w:rPr>
      </w:pPr>
      <w:bookmarkStart w:id="29" w:name="_Hlk169095317"/>
      <w:bookmarkEnd w:id="27"/>
    </w:p>
    <w:p w14:paraId="5FDC94E2" w14:textId="7F41AF70" w:rsidR="00BA3133" w:rsidRPr="001B3164" w:rsidRDefault="00BA3133" w:rsidP="00810A51">
      <w:pPr>
        <w:rPr>
          <w:b/>
          <w:bCs/>
          <w:noProof/>
          <w:color w:val="034EA2" w:themeColor="accent1"/>
        </w:rPr>
      </w:pPr>
      <w:r w:rsidRPr="001B3164">
        <w:rPr>
          <w:b/>
          <w:bCs/>
          <w:noProof/>
          <w:color w:val="034EA2" w:themeColor="accent1"/>
        </w:rPr>
        <w:t xml:space="preserve">Chart 2: </w:t>
      </w:r>
      <w:r w:rsidR="00275148">
        <w:rPr>
          <w:b/>
          <w:bCs/>
          <w:noProof/>
          <w:color w:val="034EA2" w:themeColor="accent1"/>
        </w:rPr>
        <w:t>Amounts of EU-B</w:t>
      </w:r>
      <w:r w:rsidR="002226E4">
        <w:rPr>
          <w:b/>
          <w:bCs/>
          <w:noProof/>
          <w:color w:val="034EA2" w:themeColor="accent1"/>
        </w:rPr>
        <w:t>onds issued</w:t>
      </w:r>
      <w:r w:rsidR="00423091" w:rsidRPr="001B3164">
        <w:rPr>
          <w:b/>
          <w:bCs/>
          <w:noProof/>
          <w:color w:val="034EA2" w:themeColor="accent1"/>
        </w:rPr>
        <w:t xml:space="preserve"> under the unified funding approach</w:t>
      </w:r>
      <w:r w:rsidR="002226E4">
        <w:rPr>
          <w:b/>
          <w:bCs/>
          <w:noProof/>
          <w:color w:val="034EA2" w:themeColor="accent1"/>
        </w:rPr>
        <w:t xml:space="preserve"> (in billion EUR)</w:t>
      </w:r>
    </w:p>
    <w:p w14:paraId="2C48865B" w14:textId="19457644" w:rsidR="00EB47DD" w:rsidRPr="001B3164" w:rsidRDefault="00747A0A" w:rsidP="009428DB">
      <w:pPr>
        <w:rPr>
          <w:noProof/>
          <w:color w:val="3B3838" w:themeColor="background2" w:themeShade="40"/>
          <w:sz w:val="18"/>
          <w:szCs w:val="18"/>
        </w:rPr>
      </w:pPr>
      <w:r>
        <w:rPr>
          <w:noProof/>
          <w:lang w:val="en-GB" w:eastAsia="en-GB"/>
        </w:rPr>
        <w:drawing>
          <wp:inline distT="0" distB="0" distL="0" distR="0" wp14:anchorId="18D6D1FE" wp14:editId="149EAE53">
            <wp:extent cx="5783580" cy="2695492"/>
            <wp:effectExtent l="0" t="0" r="0" b="0"/>
            <wp:docPr id="403584611" name="Chart 1">
              <a:extLst xmlns:a="http://schemas.openxmlformats.org/drawingml/2006/main">
                <a:ext uri="{FF2B5EF4-FFF2-40B4-BE49-F238E27FC236}">
                  <a16:creationId xmlns:a16="http://schemas.microsoft.com/office/drawing/2014/main" id="{5992A0C3-BCA7-693F-3F25-D01A036CE7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5572C3E" w14:textId="5BDD5B55" w:rsidR="009428DB" w:rsidRPr="001B3164" w:rsidRDefault="009428DB" w:rsidP="009428DB">
      <w:pPr>
        <w:rPr>
          <w:noProof/>
          <w:color w:val="3B3838" w:themeColor="background2" w:themeShade="40"/>
          <w:sz w:val="18"/>
          <w:szCs w:val="18"/>
        </w:rPr>
      </w:pPr>
      <w:r w:rsidRPr="001B3164">
        <w:rPr>
          <w:noProof/>
          <w:color w:val="3B3838" w:themeColor="background2" w:themeShade="40"/>
          <w:sz w:val="18"/>
          <w:szCs w:val="18"/>
        </w:rPr>
        <w:t xml:space="preserve">* </w:t>
      </w:r>
      <w:r w:rsidR="00542EFD" w:rsidRPr="001B3164">
        <w:rPr>
          <w:noProof/>
          <w:color w:val="3B3838" w:themeColor="background2" w:themeShade="40"/>
          <w:sz w:val="18"/>
          <w:szCs w:val="18"/>
        </w:rPr>
        <w:t>The first two NextGenerationEU transactions took place in June 2021</w:t>
      </w:r>
      <w:r w:rsidR="00F33050">
        <w:rPr>
          <w:noProof/>
          <w:color w:val="3B3838" w:themeColor="background2" w:themeShade="40"/>
          <w:sz w:val="18"/>
          <w:szCs w:val="18"/>
        </w:rPr>
        <w:t>, but t</w:t>
      </w:r>
      <w:r w:rsidR="00542EFD" w:rsidRPr="001B3164">
        <w:rPr>
          <w:noProof/>
          <w:color w:val="3B3838" w:themeColor="background2" w:themeShade="40"/>
          <w:sz w:val="18"/>
          <w:szCs w:val="18"/>
        </w:rPr>
        <w:t xml:space="preserve">hese have been included in the </w:t>
      </w:r>
      <w:r w:rsidR="00FC1879" w:rsidRPr="001B3164">
        <w:rPr>
          <w:noProof/>
          <w:color w:val="3B3838" w:themeColor="background2" w:themeShade="40"/>
          <w:sz w:val="18"/>
          <w:szCs w:val="18"/>
        </w:rPr>
        <w:t>figure</w:t>
      </w:r>
      <w:r w:rsidR="00542EFD" w:rsidRPr="001B3164">
        <w:rPr>
          <w:noProof/>
          <w:color w:val="3B3838" w:themeColor="background2" w:themeShade="40"/>
          <w:sz w:val="18"/>
          <w:szCs w:val="18"/>
        </w:rPr>
        <w:t xml:space="preserve"> for H2 2021 as they were part of the same </w:t>
      </w:r>
      <w:r w:rsidR="00211FA8" w:rsidRPr="001B3164">
        <w:rPr>
          <w:noProof/>
          <w:color w:val="3B3838" w:themeColor="background2" w:themeShade="40"/>
          <w:sz w:val="18"/>
          <w:szCs w:val="18"/>
        </w:rPr>
        <w:t>f</w:t>
      </w:r>
      <w:r w:rsidR="00542EFD" w:rsidRPr="001B3164">
        <w:rPr>
          <w:noProof/>
          <w:color w:val="3B3838" w:themeColor="background2" w:themeShade="40"/>
          <w:sz w:val="18"/>
          <w:szCs w:val="18"/>
        </w:rPr>
        <w:t xml:space="preserve">unding </w:t>
      </w:r>
      <w:r w:rsidR="00211FA8" w:rsidRPr="001B3164">
        <w:rPr>
          <w:noProof/>
          <w:color w:val="3B3838" w:themeColor="background2" w:themeShade="40"/>
          <w:sz w:val="18"/>
          <w:szCs w:val="18"/>
        </w:rPr>
        <w:t>p</w:t>
      </w:r>
      <w:r w:rsidR="00542EFD" w:rsidRPr="001B3164">
        <w:rPr>
          <w:noProof/>
          <w:color w:val="3B3838" w:themeColor="background2" w:themeShade="40"/>
          <w:sz w:val="18"/>
          <w:szCs w:val="18"/>
        </w:rPr>
        <w:t>lan as the transactions that took place in H2 2021.</w:t>
      </w:r>
    </w:p>
    <w:bookmarkEnd w:id="29"/>
    <w:p w14:paraId="2C4948E6" w14:textId="44FEDCB1" w:rsidR="009428DB" w:rsidRPr="001B3164" w:rsidRDefault="009428DB" w:rsidP="00975C27">
      <w:pPr>
        <w:jc w:val="right"/>
        <w:rPr>
          <w:i/>
          <w:iCs/>
          <w:noProof/>
          <w:color w:val="595959" w:themeColor="text1" w:themeTint="A6"/>
          <w:sz w:val="18"/>
          <w:szCs w:val="18"/>
        </w:rPr>
      </w:pPr>
      <w:r w:rsidRPr="001B3164">
        <w:rPr>
          <w:i/>
          <w:iCs/>
          <w:noProof/>
          <w:color w:val="595959" w:themeColor="text1" w:themeTint="A6"/>
          <w:sz w:val="18"/>
          <w:szCs w:val="18"/>
        </w:rPr>
        <w:t>All amounts in billion</w:t>
      </w:r>
      <w:r w:rsidR="00975C27" w:rsidRPr="001B3164">
        <w:rPr>
          <w:i/>
          <w:iCs/>
          <w:noProof/>
          <w:color w:val="595959" w:themeColor="text1" w:themeTint="A6"/>
          <w:sz w:val="18"/>
          <w:szCs w:val="18"/>
        </w:rPr>
        <w:t xml:space="preserve"> EUR</w:t>
      </w:r>
    </w:p>
    <w:p w14:paraId="55D0031D" w14:textId="77777777" w:rsidR="003926DF" w:rsidRPr="001B3164" w:rsidRDefault="003926DF" w:rsidP="005971A7">
      <w:pPr>
        <w:pStyle w:val="Heading2"/>
        <w:rPr>
          <w:noProof/>
        </w:rPr>
      </w:pPr>
      <w:bookmarkStart w:id="30" w:name="_Toc169303167"/>
      <w:bookmarkStart w:id="31" w:name="_Toc170294783"/>
      <w:bookmarkStart w:id="32" w:name="_Toc187347925"/>
      <w:bookmarkStart w:id="33" w:name="_Toc187701954"/>
      <w:bookmarkStart w:id="34" w:name="_Toc187702009"/>
      <w:bookmarkStart w:id="35" w:name="_Toc190904645"/>
      <w:bookmarkStart w:id="36" w:name="_Toc201318489"/>
      <w:bookmarkStart w:id="37" w:name="_Toc202682642"/>
      <w:bookmarkStart w:id="38" w:name="_Toc219529985"/>
      <w:bookmarkStart w:id="39" w:name="_Hlk169127536"/>
      <w:bookmarkEnd w:id="23"/>
      <w:r w:rsidRPr="001B3164">
        <w:rPr>
          <w:noProof/>
        </w:rPr>
        <w:t>Disbursements</w:t>
      </w:r>
      <w:bookmarkEnd w:id="30"/>
      <w:bookmarkEnd w:id="31"/>
      <w:bookmarkEnd w:id="32"/>
      <w:bookmarkEnd w:id="33"/>
      <w:bookmarkEnd w:id="34"/>
      <w:bookmarkEnd w:id="35"/>
      <w:bookmarkEnd w:id="36"/>
      <w:bookmarkEnd w:id="37"/>
      <w:bookmarkEnd w:id="38"/>
    </w:p>
    <w:p w14:paraId="706DD4E3" w14:textId="1BCED261" w:rsidR="005C414E" w:rsidRPr="001B3164" w:rsidRDefault="00275148" w:rsidP="005C414E">
      <w:pPr>
        <w:rPr>
          <w:noProof/>
        </w:rPr>
      </w:pPr>
      <w:bookmarkStart w:id="40" w:name="_Hlk187329427"/>
      <w:bookmarkStart w:id="41" w:name="_Hlk219531617"/>
      <w:r>
        <w:rPr>
          <w:noProof/>
        </w:rPr>
        <w:t>I</w:t>
      </w:r>
      <w:r w:rsidR="002C0915" w:rsidRPr="001B3164">
        <w:rPr>
          <w:noProof/>
        </w:rPr>
        <w:t xml:space="preserve">n the </w:t>
      </w:r>
      <w:bookmarkEnd w:id="40"/>
      <w:r w:rsidR="00497AC0">
        <w:rPr>
          <w:noProof/>
        </w:rPr>
        <w:t>second</w:t>
      </w:r>
      <w:r w:rsidR="002C0915" w:rsidRPr="001B3164">
        <w:rPr>
          <w:noProof/>
        </w:rPr>
        <w:t xml:space="preserve"> half of 202</w:t>
      </w:r>
      <w:r w:rsidR="008E6804" w:rsidRPr="001B3164">
        <w:rPr>
          <w:noProof/>
        </w:rPr>
        <w:t>5</w:t>
      </w:r>
      <w:r w:rsidR="00975C27" w:rsidRPr="001B3164">
        <w:rPr>
          <w:noProof/>
        </w:rPr>
        <w:t>,</w:t>
      </w:r>
      <w:r w:rsidR="002C0915" w:rsidRPr="001B3164">
        <w:rPr>
          <w:noProof/>
        </w:rPr>
        <w:t xml:space="preserve"> the Commission </w:t>
      </w:r>
      <w:r w:rsidR="00A61294">
        <w:rPr>
          <w:noProof/>
        </w:rPr>
        <w:t>used</w:t>
      </w:r>
      <w:r w:rsidR="002C0915" w:rsidRPr="001B3164">
        <w:rPr>
          <w:noProof/>
        </w:rPr>
        <w:t xml:space="preserve"> </w:t>
      </w:r>
      <w:r w:rsidR="00A61294">
        <w:rPr>
          <w:noProof/>
        </w:rPr>
        <w:t>its borrowing proceeds</w:t>
      </w:r>
      <w:r w:rsidR="00A61294" w:rsidRPr="001B3164">
        <w:rPr>
          <w:noProof/>
        </w:rPr>
        <w:t xml:space="preserve"> </w:t>
      </w:r>
      <w:r w:rsidR="00A61294">
        <w:rPr>
          <w:noProof/>
        </w:rPr>
        <w:t xml:space="preserve">to disburse </w:t>
      </w:r>
      <w:r w:rsidR="002C0915" w:rsidRPr="001B3164">
        <w:rPr>
          <w:noProof/>
        </w:rPr>
        <w:t xml:space="preserve">a total of </w:t>
      </w:r>
      <w:r w:rsidR="002C0915" w:rsidRPr="00CF41A1">
        <w:rPr>
          <w:noProof/>
        </w:rPr>
        <w:t>EUR</w:t>
      </w:r>
      <w:r w:rsidR="00CF41A1">
        <w:rPr>
          <w:rFonts w:ascii="Calibri" w:hAnsi="Calibri" w:cs="Calibri"/>
          <w:noProof/>
        </w:rPr>
        <w:t> </w:t>
      </w:r>
      <w:r w:rsidR="00AD53EB" w:rsidRPr="00CF41A1">
        <w:rPr>
          <w:noProof/>
        </w:rPr>
        <w:t>92</w:t>
      </w:r>
      <w:r w:rsidR="002C0915" w:rsidRPr="001B3164">
        <w:rPr>
          <w:noProof/>
        </w:rPr>
        <w:t>.</w:t>
      </w:r>
      <w:r w:rsidR="00AD53EB">
        <w:rPr>
          <w:noProof/>
        </w:rPr>
        <w:t>6</w:t>
      </w:r>
      <w:r w:rsidR="002C0915" w:rsidRPr="001B3164">
        <w:rPr>
          <w:noProof/>
        </w:rPr>
        <w:t xml:space="preserve"> billion</w:t>
      </w:r>
      <w:r w:rsidR="00A61294">
        <w:rPr>
          <w:noProof/>
        </w:rPr>
        <w:t xml:space="preserve"> </w:t>
      </w:r>
      <w:r w:rsidR="002C0915" w:rsidRPr="001B3164">
        <w:rPr>
          <w:noProof/>
        </w:rPr>
        <w:t xml:space="preserve">for all policies combined. EUR </w:t>
      </w:r>
      <w:r w:rsidR="00AD53EB">
        <w:rPr>
          <w:noProof/>
        </w:rPr>
        <w:t>74</w:t>
      </w:r>
      <w:r w:rsidR="002C0915" w:rsidRPr="001B3164">
        <w:rPr>
          <w:noProof/>
        </w:rPr>
        <w:t>.</w:t>
      </w:r>
      <w:r w:rsidR="00AD53EB">
        <w:rPr>
          <w:noProof/>
        </w:rPr>
        <w:t>3</w:t>
      </w:r>
      <w:r w:rsidR="002C0915" w:rsidRPr="001B3164">
        <w:rPr>
          <w:noProof/>
        </w:rPr>
        <w:t xml:space="preserve"> billion </w:t>
      </w:r>
      <w:r w:rsidR="00E9612B">
        <w:rPr>
          <w:noProof/>
        </w:rPr>
        <w:t xml:space="preserve">went </w:t>
      </w:r>
      <w:r w:rsidR="002C0915" w:rsidRPr="001B3164">
        <w:rPr>
          <w:noProof/>
        </w:rPr>
        <w:t>to NextGenerationEU</w:t>
      </w:r>
      <w:r w:rsidR="00E9612B">
        <w:rPr>
          <w:noProof/>
        </w:rPr>
        <w:t>, of which</w:t>
      </w:r>
      <w:r w:rsidR="002C0915" w:rsidRPr="001B3164">
        <w:rPr>
          <w:noProof/>
        </w:rPr>
        <w:t xml:space="preserve"> EUR</w:t>
      </w:r>
      <w:r w:rsidR="00CF41A1">
        <w:rPr>
          <w:rFonts w:ascii="Calibri" w:hAnsi="Calibri" w:cs="Calibri"/>
          <w:noProof/>
        </w:rPr>
        <w:t> </w:t>
      </w:r>
      <w:r w:rsidR="00AD53EB">
        <w:rPr>
          <w:noProof/>
        </w:rPr>
        <w:t>7</w:t>
      </w:r>
      <w:r w:rsidR="00426A75" w:rsidRPr="001B3164">
        <w:rPr>
          <w:noProof/>
        </w:rPr>
        <w:t>2</w:t>
      </w:r>
      <w:r w:rsidR="00AD53EB">
        <w:rPr>
          <w:noProof/>
        </w:rPr>
        <w:t>.3</w:t>
      </w:r>
      <w:r w:rsidR="002C0915" w:rsidRPr="001B3164">
        <w:rPr>
          <w:noProof/>
        </w:rPr>
        <w:t xml:space="preserve"> </w:t>
      </w:r>
      <w:r w:rsidR="002C0915" w:rsidRPr="00B43DDB">
        <w:rPr>
          <w:noProof/>
        </w:rPr>
        <w:t>billion was used to finance Member State</w:t>
      </w:r>
      <w:r w:rsidR="00626AC1" w:rsidRPr="00B43DDB">
        <w:rPr>
          <w:noProof/>
        </w:rPr>
        <w:t>s’</w:t>
      </w:r>
      <w:r w:rsidR="002C0915" w:rsidRPr="00B43DDB">
        <w:rPr>
          <w:noProof/>
        </w:rPr>
        <w:t xml:space="preserve"> </w:t>
      </w:r>
      <w:r w:rsidR="001A2E95" w:rsidRPr="00B43DDB">
        <w:rPr>
          <w:noProof/>
        </w:rPr>
        <w:t xml:space="preserve">national </w:t>
      </w:r>
      <w:r w:rsidR="00E53A75" w:rsidRPr="00B43DDB">
        <w:rPr>
          <w:noProof/>
        </w:rPr>
        <w:t>r</w:t>
      </w:r>
      <w:r w:rsidR="002C0915" w:rsidRPr="00B43DDB">
        <w:rPr>
          <w:noProof/>
        </w:rPr>
        <w:t xml:space="preserve">ecovery and </w:t>
      </w:r>
      <w:r w:rsidR="00E53A75" w:rsidRPr="00B43DDB">
        <w:rPr>
          <w:noProof/>
        </w:rPr>
        <w:t>r</w:t>
      </w:r>
      <w:r w:rsidR="002C0915" w:rsidRPr="00B43DDB">
        <w:rPr>
          <w:noProof/>
        </w:rPr>
        <w:t xml:space="preserve">esilience </w:t>
      </w:r>
      <w:r w:rsidR="00E53A75" w:rsidRPr="00B43DDB">
        <w:rPr>
          <w:noProof/>
        </w:rPr>
        <w:t>p</w:t>
      </w:r>
      <w:r w:rsidR="002C0915" w:rsidRPr="00B43DDB">
        <w:rPr>
          <w:noProof/>
        </w:rPr>
        <w:t>lans</w:t>
      </w:r>
      <w:r w:rsidR="002667A6" w:rsidRPr="00B43DDB">
        <w:rPr>
          <w:noProof/>
        </w:rPr>
        <w:t xml:space="preserve"> under the</w:t>
      </w:r>
      <w:r w:rsidR="002C0915" w:rsidRPr="00B43DDB">
        <w:rPr>
          <w:noProof/>
        </w:rPr>
        <w:t xml:space="preserve"> </w:t>
      </w:r>
      <w:r w:rsidR="002667A6" w:rsidRPr="00B43DDB">
        <w:rPr>
          <w:noProof/>
        </w:rPr>
        <w:t>RRF</w:t>
      </w:r>
      <w:r w:rsidR="00E9612B">
        <w:rPr>
          <w:noProof/>
        </w:rPr>
        <w:t xml:space="preserve">. This can be broken down into </w:t>
      </w:r>
      <w:r w:rsidR="00E9612B" w:rsidRPr="00B43DDB">
        <w:rPr>
          <w:noProof/>
        </w:rPr>
        <w:t>EUR 27.6 billion</w:t>
      </w:r>
      <w:r w:rsidR="00E9612B" w:rsidRPr="000E304A">
        <w:rPr>
          <w:noProof/>
        </w:rPr>
        <w:t xml:space="preserve"> in grants to 17 Member</w:t>
      </w:r>
      <w:r w:rsidR="00E9612B" w:rsidRPr="001B3164">
        <w:rPr>
          <w:noProof/>
        </w:rPr>
        <w:t xml:space="preserve"> States and EUR</w:t>
      </w:r>
      <w:r w:rsidR="00CF41A1">
        <w:rPr>
          <w:rFonts w:ascii="Calibri" w:hAnsi="Calibri" w:cs="Calibri"/>
          <w:noProof/>
        </w:rPr>
        <w:t> </w:t>
      </w:r>
      <w:r w:rsidR="00E9612B">
        <w:rPr>
          <w:noProof/>
        </w:rPr>
        <w:t>44.7</w:t>
      </w:r>
      <w:r w:rsidR="00CF41A1">
        <w:rPr>
          <w:rFonts w:ascii="Calibri" w:hAnsi="Calibri" w:cs="Calibri"/>
          <w:noProof/>
        </w:rPr>
        <w:t> </w:t>
      </w:r>
      <w:r w:rsidR="00E9612B" w:rsidRPr="001B3164">
        <w:rPr>
          <w:noProof/>
        </w:rPr>
        <w:t xml:space="preserve">billion in loans to </w:t>
      </w:r>
      <w:r w:rsidR="00E9612B">
        <w:rPr>
          <w:noProof/>
        </w:rPr>
        <w:t>eight</w:t>
      </w:r>
      <w:r w:rsidR="00E9612B" w:rsidRPr="001B3164">
        <w:rPr>
          <w:noProof/>
        </w:rPr>
        <w:t xml:space="preserve"> Member States</w:t>
      </w:r>
      <w:r w:rsidR="00E9612B">
        <w:rPr>
          <w:noProof/>
        </w:rPr>
        <w:t xml:space="preserve">. These funds for the RRF were paid out </w:t>
      </w:r>
      <w:r w:rsidR="00E9612B" w:rsidRPr="00B43DDB">
        <w:rPr>
          <w:noProof/>
        </w:rPr>
        <w:t>within six working days on average</w:t>
      </w:r>
      <w:r w:rsidR="002C0915" w:rsidRPr="001B3164">
        <w:rPr>
          <w:noProof/>
        </w:rPr>
        <w:t xml:space="preserve">. The remaining EUR </w:t>
      </w:r>
      <w:r w:rsidR="00AD53EB">
        <w:rPr>
          <w:noProof/>
        </w:rPr>
        <w:t>2</w:t>
      </w:r>
      <w:r w:rsidR="002C0915" w:rsidRPr="001B3164">
        <w:rPr>
          <w:noProof/>
        </w:rPr>
        <w:t>.</w:t>
      </w:r>
      <w:r w:rsidR="00AD53EB">
        <w:rPr>
          <w:noProof/>
        </w:rPr>
        <w:t>0</w:t>
      </w:r>
      <w:r w:rsidR="002C0915" w:rsidRPr="001B3164">
        <w:rPr>
          <w:noProof/>
        </w:rPr>
        <w:t xml:space="preserve"> billion was used to finance EU-managed programmes supported by NextGenerationEU</w:t>
      </w:r>
      <w:bookmarkEnd w:id="41"/>
      <w:r w:rsidR="005C414E" w:rsidRPr="001B3164">
        <w:rPr>
          <w:noProof/>
          <w:vertAlign w:val="superscript"/>
        </w:rPr>
        <w:footnoteReference w:id="10"/>
      </w:r>
      <w:r w:rsidR="002226E4">
        <w:rPr>
          <w:noProof/>
        </w:rPr>
        <w:t xml:space="preserve"> </w:t>
      </w:r>
      <w:r w:rsidR="005C414E" w:rsidRPr="001B3164">
        <w:rPr>
          <w:noProof/>
          <w:vertAlign w:val="superscript"/>
        </w:rPr>
        <w:footnoteReference w:id="11"/>
      </w:r>
      <w:r w:rsidR="005C414E" w:rsidRPr="001B3164">
        <w:rPr>
          <w:noProof/>
        </w:rPr>
        <w:t>.</w:t>
      </w:r>
      <w:r w:rsidR="00E9612B">
        <w:rPr>
          <w:noProof/>
        </w:rPr>
        <w:t xml:space="preserve"> </w:t>
      </w:r>
    </w:p>
    <w:p w14:paraId="408CF76F" w14:textId="1A2FCAF9" w:rsidR="00D06AF3" w:rsidRPr="001B3164" w:rsidRDefault="00E9612B" w:rsidP="00DC2305">
      <w:pPr>
        <w:rPr>
          <w:noProof/>
        </w:rPr>
      </w:pPr>
      <w:r>
        <w:rPr>
          <w:noProof/>
        </w:rPr>
        <w:t>T</w:t>
      </w:r>
      <w:r w:rsidR="005C414E" w:rsidRPr="001B3164">
        <w:rPr>
          <w:noProof/>
        </w:rPr>
        <w:t>he Commission</w:t>
      </w:r>
      <w:r>
        <w:rPr>
          <w:noProof/>
        </w:rPr>
        <w:t xml:space="preserve"> also</w:t>
      </w:r>
      <w:r w:rsidR="005C414E" w:rsidRPr="001B3164">
        <w:rPr>
          <w:noProof/>
        </w:rPr>
        <w:t xml:space="preserve"> disbursed EUR </w:t>
      </w:r>
      <w:r w:rsidR="00E70165" w:rsidRPr="001B3164">
        <w:rPr>
          <w:noProof/>
        </w:rPr>
        <w:t>1</w:t>
      </w:r>
      <w:r w:rsidR="005556D6">
        <w:rPr>
          <w:noProof/>
        </w:rPr>
        <w:t>8</w:t>
      </w:r>
      <w:r w:rsidR="005C414E" w:rsidRPr="001B3164">
        <w:rPr>
          <w:noProof/>
        </w:rPr>
        <w:t>.</w:t>
      </w:r>
      <w:r w:rsidR="005556D6">
        <w:rPr>
          <w:noProof/>
        </w:rPr>
        <w:t>0</w:t>
      </w:r>
      <w:r w:rsidR="005C414E" w:rsidRPr="001B3164">
        <w:rPr>
          <w:noProof/>
        </w:rPr>
        <w:t xml:space="preserve"> billion to Ukraine during the </w:t>
      </w:r>
      <w:r w:rsidR="005556D6">
        <w:rPr>
          <w:noProof/>
        </w:rPr>
        <w:t>second</w:t>
      </w:r>
      <w:r w:rsidR="005C414E" w:rsidRPr="001B3164">
        <w:rPr>
          <w:noProof/>
        </w:rPr>
        <w:t xml:space="preserve"> half of 202</w:t>
      </w:r>
      <w:r w:rsidR="00E70165" w:rsidRPr="001B3164">
        <w:rPr>
          <w:noProof/>
        </w:rPr>
        <w:t>5</w:t>
      </w:r>
      <w:r w:rsidR="00D06AF3" w:rsidRPr="001B3164">
        <w:rPr>
          <w:noProof/>
        </w:rPr>
        <w:t xml:space="preserve">, of which EUR </w:t>
      </w:r>
      <w:r w:rsidR="005556D6">
        <w:rPr>
          <w:noProof/>
        </w:rPr>
        <w:t>6</w:t>
      </w:r>
      <w:r w:rsidR="00D06AF3" w:rsidRPr="001B3164">
        <w:rPr>
          <w:noProof/>
        </w:rPr>
        <w:t>.</w:t>
      </w:r>
      <w:r w:rsidR="005556D6">
        <w:rPr>
          <w:noProof/>
        </w:rPr>
        <w:t>9</w:t>
      </w:r>
      <w:r w:rsidR="00D06AF3" w:rsidRPr="001B3164">
        <w:rPr>
          <w:noProof/>
        </w:rPr>
        <w:t xml:space="preserve"> billion</w:t>
      </w:r>
      <w:r w:rsidR="005C414E" w:rsidRPr="001B3164">
        <w:rPr>
          <w:noProof/>
        </w:rPr>
        <w:t xml:space="preserve"> under the Ukraine Facility</w:t>
      </w:r>
      <w:r w:rsidR="00E70165" w:rsidRPr="001B3164">
        <w:rPr>
          <w:noProof/>
        </w:rPr>
        <w:t xml:space="preserve"> and</w:t>
      </w:r>
      <w:r w:rsidR="00D06AF3" w:rsidRPr="001B3164">
        <w:rPr>
          <w:noProof/>
        </w:rPr>
        <w:t xml:space="preserve"> EUR </w:t>
      </w:r>
      <w:r w:rsidR="005556D6">
        <w:rPr>
          <w:noProof/>
        </w:rPr>
        <w:t>11.1</w:t>
      </w:r>
      <w:r w:rsidR="00D06AF3" w:rsidRPr="001B3164">
        <w:rPr>
          <w:noProof/>
        </w:rPr>
        <w:t xml:space="preserve"> billion under</w:t>
      </w:r>
      <w:r w:rsidR="00E70165" w:rsidRPr="001B3164">
        <w:rPr>
          <w:noProof/>
        </w:rPr>
        <w:t xml:space="preserve"> </w:t>
      </w:r>
      <w:r w:rsidR="00D06AF3" w:rsidRPr="001B3164">
        <w:rPr>
          <w:noProof/>
        </w:rPr>
        <w:t xml:space="preserve">the MFA programme for Ukraine </w:t>
      </w:r>
      <w:r w:rsidR="00DD42B4" w:rsidRPr="001B3164">
        <w:rPr>
          <w:noProof/>
        </w:rPr>
        <w:t>as part</w:t>
      </w:r>
      <w:r w:rsidR="00D06AF3" w:rsidRPr="001B3164">
        <w:rPr>
          <w:noProof/>
        </w:rPr>
        <w:t xml:space="preserve"> of the G7 ERA </w:t>
      </w:r>
      <w:r w:rsidR="00DD42B4" w:rsidRPr="001B3164">
        <w:rPr>
          <w:noProof/>
        </w:rPr>
        <w:t>i</w:t>
      </w:r>
      <w:r w:rsidR="00D06AF3" w:rsidRPr="001B3164">
        <w:rPr>
          <w:noProof/>
        </w:rPr>
        <w:t>nitiative.</w:t>
      </w:r>
      <w:r w:rsidR="00D06AF3" w:rsidRPr="001B3164">
        <w:rPr>
          <w:noProof/>
          <w:highlight w:val="yellow"/>
        </w:rPr>
        <w:t xml:space="preserve"> </w:t>
      </w:r>
    </w:p>
    <w:p w14:paraId="5347D76C" w14:textId="0DBE5FF6" w:rsidR="005556D6" w:rsidRDefault="005C414E" w:rsidP="005556D6">
      <w:pPr>
        <w:rPr>
          <w:noProof/>
        </w:rPr>
      </w:pPr>
      <w:r w:rsidRPr="001B3164">
        <w:rPr>
          <w:noProof/>
        </w:rPr>
        <w:t xml:space="preserve">During the </w:t>
      </w:r>
      <w:r w:rsidR="005556D6">
        <w:rPr>
          <w:noProof/>
        </w:rPr>
        <w:t>second</w:t>
      </w:r>
      <w:r w:rsidRPr="001B3164">
        <w:rPr>
          <w:noProof/>
        </w:rPr>
        <w:t xml:space="preserve"> half of 202</w:t>
      </w:r>
      <w:r w:rsidR="00D06AF3" w:rsidRPr="001B3164">
        <w:rPr>
          <w:noProof/>
        </w:rPr>
        <w:t>5</w:t>
      </w:r>
      <w:r w:rsidRPr="001B3164">
        <w:rPr>
          <w:noProof/>
        </w:rPr>
        <w:t>, EU-Bond issuance also financed</w:t>
      </w:r>
      <w:r w:rsidR="005556D6">
        <w:rPr>
          <w:noProof/>
        </w:rPr>
        <w:t xml:space="preserve"> a </w:t>
      </w:r>
      <w:r w:rsidR="005556D6" w:rsidRPr="001B3164">
        <w:rPr>
          <w:noProof/>
        </w:rPr>
        <w:t>EUR 2</w:t>
      </w:r>
      <w:r w:rsidR="005556D6">
        <w:rPr>
          <w:noProof/>
        </w:rPr>
        <w:t>5</w:t>
      </w:r>
      <w:r w:rsidR="005556D6" w:rsidRPr="001B3164">
        <w:rPr>
          <w:noProof/>
        </w:rPr>
        <w:t>0 million</w:t>
      </w:r>
      <w:r w:rsidR="005556D6">
        <w:rPr>
          <w:noProof/>
        </w:rPr>
        <w:t xml:space="preserve"> </w:t>
      </w:r>
      <w:r w:rsidR="00E9612B">
        <w:rPr>
          <w:noProof/>
        </w:rPr>
        <w:t xml:space="preserve">MFA </w:t>
      </w:r>
      <w:r w:rsidR="005556D6">
        <w:rPr>
          <w:noProof/>
        </w:rPr>
        <w:t xml:space="preserve">loan </w:t>
      </w:r>
      <w:r w:rsidR="00E9612B">
        <w:rPr>
          <w:noProof/>
        </w:rPr>
        <w:t>to</w:t>
      </w:r>
      <w:r w:rsidR="005556D6">
        <w:rPr>
          <w:noProof/>
        </w:rPr>
        <w:t xml:space="preserve"> Jordan, a EUR 18.9 million </w:t>
      </w:r>
      <w:r w:rsidR="005556D6" w:rsidRPr="001B3164">
        <w:rPr>
          <w:noProof/>
        </w:rPr>
        <w:t xml:space="preserve">Reform and Growth Facility </w:t>
      </w:r>
      <w:r w:rsidR="00E9612B">
        <w:rPr>
          <w:noProof/>
        </w:rPr>
        <w:t>loan to</w:t>
      </w:r>
      <w:r w:rsidR="005556D6" w:rsidRPr="001B3164">
        <w:rPr>
          <w:noProof/>
        </w:rPr>
        <w:t xml:space="preserve"> Moldova and EUR </w:t>
      </w:r>
      <w:r w:rsidR="005556D6" w:rsidRPr="004818A6">
        <w:rPr>
          <w:noProof/>
        </w:rPr>
        <w:t>65.8</w:t>
      </w:r>
      <w:r w:rsidR="005556D6" w:rsidRPr="001B3164">
        <w:rPr>
          <w:noProof/>
        </w:rPr>
        <w:t xml:space="preserve"> million </w:t>
      </w:r>
      <w:r w:rsidR="005556D6">
        <w:rPr>
          <w:noProof/>
        </w:rPr>
        <w:t>in</w:t>
      </w:r>
      <w:r w:rsidR="005556D6" w:rsidRPr="001B3164">
        <w:rPr>
          <w:noProof/>
        </w:rPr>
        <w:t xml:space="preserve"> loans to </w:t>
      </w:r>
      <w:r w:rsidR="005556D6">
        <w:rPr>
          <w:noProof/>
        </w:rPr>
        <w:t xml:space="preserve">Albania, </w:t>
      </w:r>
      <w:r w:rsidR="005556D6" w:rsidRPr="001B3164">
        <w:rPr>
          <w:noProof/>
        </w:rPr>
        <w:t xml:space="preserve">North Macedonia, </w:t>
      </w:r>
      <w:r w:rsidR="005556D6">
        <w:rPr>
          <w:noProof/>
        </w:rPr>
        <w:t xml:space="preserve">and </w:t>
      </w:r>
      <w:r w:rsidR="005556D6" w:rsidRPr="001B3164">
        <w:rPr>
          <w:noProof/>
        </w:rPr>
        <w:t>Montenegro</w:t>
      </w:r>
      <w:r w:rsidR="005556D6">
        <w:rPr>
          <w:noProof/>
        </w:rPr>
        <w:t xml:space="preserve"> under the</w:t>
      </w:r>
      <w:r w:rsidR="005556D6" w:rsidRPr="001B3164">
        <w:rPr>
          <w:noProof/>
        </w:rPr>
        <w:t xml:space="preserve"> Western Balkans Reform and Growth Facility. </w:t>
      </w:r>
    </w:p>
    <w:p w14:paraId="24083DD6" w14:textId="4B5105DB" w:rsidR="006E36AB" w:rsidRPr="001B3164" w:rsidRDefault="006E36AB" w:rsidP="006E36AB">
      <w:pPr>
        <w:pStyle w:val="Heading2"/>
        <w:rPr>
          <w:noProof/>
        </w:rPr>
      </w:pPr>
      <w:bookmarkStart w:id="44" w:name="_Toc219529986"/>
      <w:bookmarkStart w:id="45" w:name="_Hlk219531399"/>
      <w:r>
        <w:rPr>
          <w:noProof/>
        </w:rPr>
        <w:t>repayments</w:t>
      </w:r>
      <w:bookmarkEnd w:id="44"/>
    </w:p>
    <w:p w14:paraId="38979D1B" w14:textId="02DA5A93" w:rsidR="00370639" w:rsidRPr="00370639" w:rsidRDefault="006E36AB" w:rsidP="006E36AB">
      <w:pPr>
        <w:rPr>
          <w:noProof/>
        </w:rPr>
      </w:pPr>
      <w:r w:rsidRPr="00370639">
        <w:rPr>
          <w:noProof/>
        </w:rPr>
        <w:t>In October 2025, Latvia repaid</w:t>
      </w:r>
      <w:r w:rsidR="00370639" w:rsidRPr="00370639">
        <w:rPr>
          <w:noProof/>
        </w:rPr>
        <w:t xml:space="preserve"> the</w:t>
      </w:r>
      <w:r w:rsidR="004717D7">
        <w:rPr>
          <w:noProof/>
        </w:rPr>
        <w:t xml:space="preserve"> </w:t>
      </w:r>
      <w:r w:rsidR="005E3734">
        <w:rPr>
          <w:noProof/>
        </w:rPr>
        <w:t>final</w:t>
      </w:r>
      <w:r w:rsidR="00DF0D30">
        <w:rPr>
          <w:noProof/>
        </w:rPr>
        <w:t xml:space="preserve"> EUR 200 million</w:t>
      </w:r>
      <w:r w:rsidR="005E3734">
        <w:rPr>
          <w:noProof/>
        </w:rPr>
        <w:t xml:space="preserve"> instalment of the</w:t>
      </w:r>
      <w:r w:rsidR="00370639" w:rsidRPr="00370639">
        <w:rPr>
          <w:noProof/>
        </w:rPr>
        <w:t xml:space="preserve"> of</w:t>
      </w:r>
      <w:r w:rsidRPr="00370639">
        <w:rPr>
          <w:noProof/>
        </w:rPr>
        <w:t xml:space="preserve"> Balance of Payments (BoP) </w:t>
      </w:r>
      <w:r w:rsidR="005E3734">
        <w:rPr>
          <w:noProof/>
        </w:rPr>
        <w:t>support</w:t>
      </w:r>
      <w:r w:rsidR="00370639" w:rsidRPr="00370639">
        <w:rPr>
          <w:noProof/>
        </w:rPr>
        <w:t xml:space="preserve"> it received in 2009-2010</w:t>
      </w:r>
      <w:r w:rsidRPr="00370639">
        <w:rPr>
          <w:noProof/>
        </w:rPr>
        <w:t>.</w:t>
      </w:r>
    </w:p>
    <w:p w14:paraId="276166BB" w14:textId="29F1A1F5" w:rsidR="00370639" w:rsidRPr="00370639" w:rsidRDefault="005E3734" w:rsidP="006E36AB">
      <w:pPr>
        <w:rPr>
          <w:noProof/>
        </w:rPr>
      </w:pPr>
      <w:r>
        <w:rPr>
          <w:noProof/>
        </w:rPr>
        <w:t>Member States made their</w:t>
      </w:r>
      <w:r w:rsidR="006E36AB" w:rsidRPr="00DF0D30">
        <w:rPr>
          <w:noProof/>
        </w:rPr>
        <w:t xml:space="preserve"> first principal repayments </w:t>
      </w:r>
      <w:r w:rsidR="005B4970" w:rsidRPr="00DF0D30">
        <w:rPr>
          <w:noProof/>
        </w:rPr>
        <w:t>under the</w:t>
      </w:r>
      <w:r w:rsidR="006E36AB" w:rsidRPr="00DF0D30">
        <w:rPr>
          <w:noProof/>
        </w:rPr>
        <w:t xml:space="preserve"> SURE </w:t>
      </w:r>
      <w:r w:rsidR="005B4970" w:rsidRPr="00DF0D30">
        <w:rPr>
          <w:noProof/>
        </w:rPr>
        <w:t xml:space="preserve">programme </w:t>
      </w:r>
      <w:r>
        <w:rPr>
          <w:noProof/>
        </w:rPr>
        <w:t>in November 2025</w:t>
      </w:r>
      <w:r w:rsidR="005B4970" w:rsidRPr="00DF0D30">
        <w:rPr>
          <w:noProof/>
        </w:rPr>
        <w:t xml:space="preserve">. </w:t>
      </w:r>
      <w:r w:rsidR="00CF41A1">
        <w:rPr>
          <w:noProof/>
        </w:rPr>
        <w:t>N</w:t>
      </w:r>
      <w:r>
        <w:rPr>
          <w:noProof/>
        </w:rPr>
        <w:t>ine Member States repaid</w:t>
      </w:r>
      <w:r w:rsidR="005B4970" w:rsidRPr="00DF0D30">
        <w:rPr>
          <w:noProof/>
        </w:rPr>
        <w:t xml:space="preserve"> </w:t>
      </w:r>
      <w:r w:rsidR="00CF41A1">
        <w:rPr>
          <w:noProof/>
        </w:rPr>
        <w:t xml:space="preserve">in total </w:t>
      </w:r>
      <w:r w:rsidR="005B4970" w:rsidRPr="00DF0D30">
        <w:rPr>
          <w:noProof/>
        </w:rPr>
        <w:t xml:space="preserve">EUR </w:t>
      </w:r>
      <w:r w:rsidR="00DF0D30" w:rsidRPr="00DF0D30">
        <w:rPr>
          <w:noProof/>
        </w:rPr>
        <w:t>8</w:t>
      </w:r>
      <w:r w:rsidR="005B4970" w:rsidRPr="00DF0D30">
        <w:rPr>
          <w:noProof/>
        </w:rPr>
        <w:t xml:space="preserve"> billion</w:t>
      </w:r>
      <w:r w:rsidR="00370639" w:rsidRPr="00DF0D30">
        <w:rPr>
          <w:noProof/>
        </w:rPr>
        <w:t xml:space="preserve">. </w:t>
      </w:r>
      <w:r>
        <w:rPr>
          <w:noProof/>
        </w:rPr>
        <w:t>Final</w:t>
      </w:r>
      <w:r w:rsidR="00370639" w:rsidRPr="00DF0D30">
        <w:rPr>
          <w:noProof/>
        </w:rPr>
        <w:t xml:space="preserve"> repayments</w:t>
      </w:r>
      <w:r w:rsidR="002226E4">
        <w:rPr>
          <w:noProof/>
        </w:rPr>
        <w:t xml:space="preserve"> are</w:t>
      </w:r>
      <w:r w:rsidR="00370639" w:rsidRPr="00DF0D30">
        <w:rPr>
          <w:noProof/>
        </w:rPr>
        <w:t xml:space="preserve"> scheduled for 2050.</w:t>
      </w:r>
    </w:p>
    <w:p w14:paraId="2C27CE75" w14:textId="6A16D5EA" w:rsidR="006E36AB" w:rsidRPr="0057043E" w:rsidRDefault="005B4970" w:rsidP="0057043E">
      <w:pPr>
        <w:rPr>
          <w:noProof/>
        </w:rPr>
      </w:pPr>
      <w:r w:rsidRPr="0057043E">
        <w:rPr>
          <w:noProof/>
        </w:rPr>
        <w:t>I</w:t>
      </w:r>
      <w:r w:rsidR="006E36AB" w:rsidRPr="0057043E">
        <w:rPr>
          <w:noProof/>
        </w:rPr>
        <w:t xml:space="preserve">n December 2025, Portugal </w:t>
      </w:r>
      <w:r w:rsidR="002226E4">
        <w:rPr>
          <w:noProof/>
        </w:rPr>
        <w:t>made a</w:t>
      </w:r>
      <w:r w:rsidR="006E36AB" w:rsidRPr="0057043E">
        <w:rPr>
          <w:noProof/>
        </w:rPr>
        <w:t xml:space="preserve"> EUR 2.5 billion</w:t>
      </w:r>
      <w:r w:rsidR="002226E4">
        <w:rPr>
          <w:noProof/>
        </w:rPr>
        <w:t xml:space="preserve"> early repayment</w:t>
      </w:r>
      <w:r w:rsidR="006E36AB" w:rsidRPr="0057043E">
        <w:rPr>
          <w:noProof/>
        </w:rPr>
        <w:t xml:space="preserve"> of </w:t>
      </w:r>
      <w:r w:rsidR="0057043E" w:rsidRPr="0057043E">
        <w:rPr>
          <w:noProof/>
        </w:rPr>
        <w:t>the</w:t>
      </w:r>
      <w:r w:rsidR="005E3734">
        <w:rPr>
          <w:noProof/>
        </w:rPr>
        <w:t xml:space="preserve"> EFSM</w:t>
      </w:r>
      <w:r w:rsidR="0057043E" w:rsidRPr="0057043E">
        <w:rPr>
          <w:noProof/>
        </w:rPr>
        <w:t xml:space="preserve"> loan that it received</w:t>
      </w:r>
      <w:r w:rsidR="006E36AB" w:rsidRPr="0057043E">
        <w:rPr>
          <w:noProof/>
        </w:rPr>
        <w:t xml:space="preserve"> </w:t>
      </w:r>
      <w:r w:rsidR="0057043E" w:rsidRPr="0057043E">
        <w:rPr>
          <w:noProof/>
        </w:rPr>
        <w:t>in 2011-2014</w:t>
      </w:r>
      <w:r w:rsidR="006E36AB" w:rsidRPr="0057043E">
        <w:rPr>
          <w:noProof/>
        </w:rPr>
        <w:t>.</w:t>
      </w:r>
      <w:r w:rsidR="0057043E" w:rsidRPr="0057043E">
        <w:rPr>
          <w:noProof/>
        </w:rPr>
        <w:t xml:space="preserve"> </w:t>
      </w:r>
      <w:r w:rsidR="00B86BC6" w:rsidRPr="00E96850">
        <w:rPr>
          <w:noProof/>
          <w:lang w:val="en-GB"/>
        </w:rPr>
        <w:t>Th</w:t>
      </w:r>
      <w:r w:rsidR="005E3734">
        <w:rPr>
          <w:noProof/>
          <w:lang w:val="en-GB"/>
        </w:rPr>
        <w:t>is</w:t>
      </w:r>
      <w:r w:rsidR="00B86BC6" w:rsidRPr="00E96850">
        <w:rPr>
          <w:noProof/>
          <w:lang w:val="en-GB"/>
        </w:rPr>
        <w:t xml:space="preserve"> </w:t>
      </w:r>
      <w:r w:rsidR="00B86BC6">
        <w:rPr>
          <w:noProof/>
        </w:rPr>
        <w:t>did</w:t>
      </w:r>
      <w:r w:rsidR="00B86BC6" w:rsidRPr="00E96850">
        <w:rPr>
          <w:noProof/>
        </w:rPr>
        <w:t xml:space="preserve"> not affect</w:t>
      </w:r>
      <w:r w:rsidR="00B86BC6">
        <w:rPr>
          <w:noProof/>
        </w:rPr>
        <w:t xml:space="preserve"> the</w:t>
      </w:r>
      <w:r w:rsidR="00B86BC6" w:rsidRPr="00E96850">
        <w:rPr>
          <w:noProof/>
        </w:rPr>
        <w:t xml:space="preserve"> bonds issued to finance </w:t>
      </w:r>
      <w:r w:rsidR="00B86BC6">
        <w:rPr>
          <w:noProof/>
        </w:rPr>
        <w:t xml:space="preserve">the </w:t>
      </w:r>
      <w:r w:rsidR="00B86BC6" w:rsidRPr="00E96850">
        <w:rPr>
          <w:noProof/>
        </w:rPr>
        <w:t>EFSM loan disbursements</w:t>
      </w:r>
      <w:r w:rsidR="005E3734">
        <w:rPr>
          <w:noProof/>
        </w:rPr>
        <w:t>,</w:t>
      </w:r>
      <w:r w:rsidR="00B86BC6" w:rsidRPr="00E96850">
        <w:rPr>
          <w:noProof/>
          <w:lang w:val="en-GB"/>
        </w:rPr>
        <w:t xml:space="preserve"> </w:t>
      </w:r>
      <w:r w:rsidR="00B86BC6">
        <w:rPr>
          <w:noProof/>
          <w:lang w:val="en-GB"/>
        </w:rPr>
        <w:t>as</w:t>
      </w:r>
      <w:r w:rsidR="00B86BC6" w:rsidRPr="00E96850">
        <w:rPr>
          <w:noProof/>
          <w:lang w:val="en-GB"/>
        </w:rPr>
        <w:t xml:space="preserve"> </w:t>
      </w:r>
      <w:r w:rsidR="00B86BC6">
        <w:rPr>
          <w:noProof/>
          <w:lang w:val="en-GB"/>
        </w:rPr>
        <w:t xml:space="preserve">the repayment was made in cash </w:t>
      </w:r>
      <w:r w:rsidR="005E3734">
        <w:rPr>
          <w:noProof/>
          <w:lang w:val="en-GB"/>
        </w:rPr>
        <w:t xml:space="preserve">to </w:t>
      </w:r>
      <w:r w:rsidR="00B86BC6">
        <w:rPr>
          <w:noProof/>
          <w:lang w:val="en-GB"/>
        </w:rPr>
        <w:t>cove</w:t>
      </w:r>
      <w:r w:rsidR="005E3734">
        <w:rPr>
          <w:noProof/>
          <w:lang w:val="en-GB"/>
        </w:rPr>
        <w:t>r</w:t>
      </w:r>
      <w:r w:rsidR="00B86BC6">
        <w:rPr>
          <w:noProof/>
          <w:lang w:val="en-GB"/>
        </w:rPr>
        <w:t xml:space="preserve"> the Commission’s corresponding liabilities</w:t>
      </w:r>
      <w:r w:rsidR="005E3734">
        <w:rPr>
          <w:noProof/>
          <w:lang w:val="en-GB"/>
        </w:rPr>
        <w:t>. The</w:t>
      </w:r>
      <w:r w:rsidR="00B86BC6">
        <w:rPr>
          <w:noProof/>
          <w:lang w:val="en-GB"/>
        </w:rPr>
        <w:t xml:space="preserve"> </w:t>
      </w:r>
      <w:r w:rsidR="00B86BC6" w:rsidRPr="00E96850">
        <w:rPr>
          <w:noProof/>
          <w:lang w:val="en-GB"/>
        </w:rPr>
        <w:t>funds received</w:t>
      </w:r>
      <w:r w:rsidR="005E3734">
        <w:rPr>
          <w:noProof/>
          <w:lang w:val="en-GB"/>
        </w:rPr>
        <w:t xml:space="preserve"> were thus</w:t>
      </w:r>
      <w:r w:rsidR="00B86BC6" w:rsidRPr="00E96850">
        <w:rPr>
          <w:noProof/>
          <w:lang w:val="en-GB"/>
        </w:rPr>
        <w:t xml:space="preserve"> added to the </w:t>
      </w:r>
      <w:r w:rsidR="00B86BC6" w:rsidRPr="00B43DDB">
        <w:rPr>
          <w:noProof/>
          <w:lang w:val="en-GB"/>
        </w:rPr>
        <w:t xml:space="preserve">Commission's funding pool under the unified funding approach to be used for other financial </w:t>
      </w:r>
      <w:r w:rsidR="005E3734">
        <w:rPr>
          <w:noProof/>
          <w:lang w:val="en-GB"/>
        </w:rPr>
        <w:t>support</w:t>
      </w:r>
      <w:r w:rsidR="00B86BC6" w:rsidRPr="00B43DDB">
        <w:rPr>
          <w:noProof/>
          <w:lang w:val="en-GB"/>
        </w:rPr>
        <w:t xml:space="preserve"> programmes. </w:t>
      </w:r>
      <w:r w:rsidR="0057043E" w:rsidRPr="00B43DDB">
        <w:rPr>
          <w:noProof/>
        </w:rPr>
        <w:t xml:space="preserve">EUR </w:t>
      </w:r>
      <w:r w:rsidR="006E36AB" w:rsidRPr="00B43DDB">
        <w:rPr>
          <w:noProof/>
        </w:rPr>
        <w:t xml:space="preserve">19.8 billion </w:t>
      </w:r>
      <w:r w:rsidR="005E3734">
        <w:rPr>
          <w:noProof/>
        </w:rPr>
        <w:t>in</w:t>
      </w:r>
      <w:r w:rsidR="006E36AB" w:rsidRPr="00B43DDB">
        <w:rPr>
          <w:noProof/>
        </w:rPr>
        <w:t xml:space="preserve"> EFSM loans </w:t>
      </w:r>
      <w:r w:rsidR="00177568">
        <w:rPr>
          <w:noProof/>
        </w:rPr>
        <w:t xml:space="preserve">(for Portugal and Ireland) </w:t>
      </w:r>
      <w:r w:rsidR="006E36AB" w:rsidRPr="00B43DDB">
        <w:rPr>
          <w:noProof/>
        </w:rPr>
        <w:t>remain</w:t>
      </w:r>
      <w:r w:rsidR="005E3734">
        <w:rPr>
          <w:noProof/>
        </w:rPr>
        <w:t xml:space="preserve">s currently </w:t>
      </w:r>
      <w:r w:rsidR="006E36AB" w:rsidRPr="00B43DDB">
        <w:rPr>
          <w:noProof/>
        </w:rPr>
        <w:t>outstanding</w:t>
      </w:r>
      <w:r w:rsidR="0057043E" w:rsidRPr="00B43DDB">
        <w:rPr>
          <w:noProof/>
        </w:rPr>
        <w:t xml:space="preserve">, with the final repayment currently </w:t>
      </w:r>
      <w:r w:rsidR="005E3734">
        <w:rPr>
          <w:noProof/>
        </w:rPr>
        <w:t>scheduled for</w:t>
      </w:r>
      <w:r w:rsidR="0057043E" w:rsidRPr="00B43DDB">
        <w:rPr>
          <w:noProof/>
        </w:rPr>
        <w:t xml:space="preserve"> </w:t>
      </w:r>
      <w:r w:rsidR="00DF0D30" w:rsidRPr="00B43DDB">
        <w:rPr>
          <w:noProof/>
          <w:color w:val="000000"/>
          <w:szCs w:val="22"/>
          <w:lang w:eastAsia="en-IE"/>
        </w:rPr>
        <w:t>2042</w:t>
      </w:r>
      <w:r w:rsidR="006E36AB" w:rsidRPr="00B43DDB">
        <w:rPr>
          <w:noProof/>
        </w:rPr>
        <w:t>.</w:t>
      </w:r>
    </w:p>
    <w:p w14:paraId="717B2074" w14:textId="4A3944D1" w:rsidR="00177D88" w:rsidRDefault="00177D88">
      <w:pPr>
        <w:spacing w:line="259" w:lineRule="auto"/>
        <w:jc w:val="left"/>
        <w:rPr>
          <w:rFonts w:eastAsiaTheme="majorEastAsia" w:cstheme="majorBidi"/>
          <w:caps/>
          <w:noProof/>
          <w:color w:val="70AD47" w:themeColor="accent2"/>
          <w:sz w:val="24"/>
          <w:szCs w:val="26"/>
        </w:rPr>
      </w:pPr>
      <w:bookmarkStart w:id="46" w:name="_Toc169303168"/>
      <w:bookmarkStart w:id="47" w:name="_Toc170294784"/>
      <w:bookmarkStart w:id="48" w:name="_Toc187347926"/>
      <w:bookmarkStart w:id="49" w:name="_Toc187701955"/>
      <w:bookmarkStart w:id="50" w:name="_Toc187702010"/>
      <w:bookmarkStart w:id="51" w:name="_Toc190904646"/>
      <w:bookmarkStart w:id="52" w:name="_Toc201318490"/>
      <w:bookmarkStart w:id="53" w:name="_Toc202682643"/>
      <w:bookmarkStart w:id="54" w:name="_Toc219529987"/>
      <w:bookmarkStart w:id="55" w:name="_Hlk216707238"/>
      <w:bookmarkEnd w:id="39"/>
      <w:bookmarkEnd w:id="45"/>
      <w:r>
        <w:rPr>
          <w:noProof/>
        </w:rPr>
        <w:br w:type="page"/>
      </w:r>
    </w:p>
    <w:p w14:paraId="5F4B5727" w14:textId="4A3944D1" w:rsidR="003926DF" w:rsidRPr="001B3164" w:rsidRDefault="00352DCC" w:rsidP="00A87F59">
      <w:pPr>
        <w:pStyle w:val="Heading2"/>
        <w:rPr>
          <w:noProof/>
        </w:rPr>
      </w:pPr>
      <w:r w:rsidRPr="001B3164">
        <w:rPr>
          <w:noProof/>
        </w:rPr>
        <w:t>Investor demand and</w:t>
      </w:r>
      <w:r w:rsidR="001D0900" w:rsidRPr="001B3164">
        <w:rPr>
          <w:noProof/>
        </w:rPr>
        <w:t xml:space="preserve"> secondary market liquidity</w:t>
      </w:r>
      <w:bookmarkEnd w:id="46"/>
      <w:bookmarkEnd w:id="47"/>
      <w:bookmarkEnd w:id="48"/>
      <w:bookmarkEnd w:id="49"/>
      <w:bookmarkEnd w:id="50"/>
      <w:bookmarkEnd w:id="51"/>
      <w:bookmarkEnd w:id="52"/>
      <w:bookmarkEnd w:id="53"/>
      <w:bookmarkEnd w:id="54"/>
    </w:p>
    <w:p w14:paraId="685B5A31" w14:textId="3D1C1BEA" w:rsidR="00216746" w:rsidRDefault="00556A0B" w:rsidP="00216746">
      <w:pPr>
        <w:rPr>
          <w:noProof/>
        </w:rPr>
      </w:pPr>
      <w:bookmarkStart w:id="56" w:name="_Hlk139454867"/>
      <w:r w:rsidRPr="001B3164">
        <w:rPr>
          <w:noProof/>
        </w:rPr>
        <w:t>EU-Bond issuance</w:t>
      </w:r>
      <w:r w:rsidR="00216746" w:rsidRPr="001B3164">
        <w:rPr>
          <w:noProof/>
        </w:rPr>
        <w:t xml:space="preserve">s continued to enjoy </w:t>
      </w:r>
      <w:r w:rsidR="008C2215" w:rsidRPr="001B3164">
        <w:rPr>
          <w:noProof/>
        </w:rPr>
        <w:t>demand</w:t>
      </w:r>
      <w:r w:rsidR="00216746" w:rsidRPr="001B3164">
        <w:rPr>
          <w:noProof/>
        </w:rPr>
        <w:t xml:space="preserve"> from a balanced and diversified </w:t>
      </w:r>
      <w:r w:rsidR="00B37814" w:rsidRPr="001B3164">
        <w:rPr>
          <w:noProof/>
        </w:rPr>
        <w:t xml:space="preserve">global </w:t>
      </w:r>
      <w:r w:rsidR="00216746" w:rsidRPr="001B3164">
        <w:rPr>
          <w:noProof/>
        </w:rPr>
        <w:t>investor base</w:t>
      </w:r>
      <w:r w:rsidR="00940F79" w:rsidRPr="001B3164">
        <w:rPr>
          <w:noProof/>
        </w:rPr>
        <w:t>.</w:t>
      </w:r>
    </w:p>
    <w:p w14:paraId="2619B764" w14:textId="2B686B08" w:rsidR="00EF6F31" w:rsidRPr="001B3164" w:rsidRDefault="00EF6F31" w:rsidP="00216746">
      <w:pPr>
        <w:rPr>
          <w:b/>
          <w:bCs/>
          <w:noProof/>
          <w:color w:val="034EA2" w:themeColor="accent1"/>
        </w:rPr>
      </w:pPr>
      <w:r w:rsidRPr="001B3164">
        <w:rPr>
          <w:b/>
          <w:bCs/>
          <w:noProof/>
          <w:color w:val="034EA2" w:themeColor="accent1"/>
        </w:rPr>
        <w:t xml:space="preserve">Chart 3: </w:t>
      </w:r>
      <w:r w:rsidR="0080768A" w:rsidRPr="001B3164">
        <w:rPr>
          <w:b/>
          <w:bCs/>
          <w:noProof/>
          <w:color w:val="034EA2" w:themeColor="accent1"/>
        </w:rPr>
        <w:t>I</w:t>
      </w:r>
      <w:r w:rsidRPr="001B3164">
        <w:rPr>
          <w:b/>
          <w:bCs/>
          <w:noProof/>
          <w:color w:val="034EA2" w:themeColor="accent1"/>
        </w:rPr>
        <w:t>nvestor</w:t>
      </w:r>
      <w:r w:rsidR="00BC5D06" w:rsidRPr="001B3164">
        <w:rPr>
          <w:b/>
          <w:bCs/>
          <w:noProof/>
          <w:color w:val="034EA2" w:themeColor="accent1"/>
        </w:rPr>
        <w:t>s</w:t>
      </w:r>
      <w:r w:rsidR="00375246" w:rsidRPr="001B3164">
        <w:rPr>
          <w:b/>
          <w:bCs/>
          <w:noProof/>
          <w:color w:val="034EA2" w:themeColor="accent1"/>
        </w:rPr>
        <w:t xml:space="preserve"> in syndicated </w:t>
      </w:r>
      <w:r w:rsidR="00BB6EAD" w:rsidRPr="001B3164">
        <w:rPr>
          <w:b/>
          <w:bCs/>
          <w:noProof/>
          <w:color w:val="034EA2" w:themeColor="accent1"/>
        </w:rPr>
        <w:t>transactions</w:t>
      </w:r>
      <w:r w:rsidR="007911DD" w:rsidRPr="001B3164">
        <w:rPr>
          <w:b/>
          <w:bCs/>
          <w:noProof/>
          <w:color w:val="034EA2" w:themeColor="accent1"/>
        </w:rPr>
        <w:t xml:space="preserve"> </w:t>
      </w:r>
      <w:r w:rsidR="003843F4" w:rsidRPr="001B3164">
        <w:rPr>
          <w:b/>
          <w:bCs/>
          <w:noProof/>
          <w:color w:val="034EA2" w:themeColor="accent1"/>
        </w:rPr>
        <w:t>executed in H</w:t>
      </w:r>
      <w:r w:rsidR="00C34058">
        <w:rPr>
          <w:b/>
          <w:bCs/>
          <w:noProof/>
          <w:color w:val="034EA2" w:themeColor="accent1"/>
        </w:rPr>
        <w:t>2</w:t>
      </w:r>
      <w:r w:rsidR="003843F4" w:rsidRPr="001B3164">
        <w:rPr>
          <w:b/>
          <w:bCs/>
          <w:noProof/>
          <w:color w:val="034EA2" w:themeColor="accent1"/>
        </w:rPr>
        <w:t xml:space="preserve"> 202</w:t>
      </w:r>
      <w:r w:rsidR="00055CF1" w:rsidRPr="001B3164">
        <w:rPr>
          <w:b/>
          <w:bCs/>
          <w:noProof/>
          <w:color w:val="034EA2" w:themeColor="accent1"/>
        </w:rPr>
        <w:t>5</w:t>
      </w:r>
      <w:r w:rsidR="00940F79" w:rsidRPr="001B3164">
        <w:rPr>
          <w:b/>
          <w:bCs/>
          <w:noProof/>
          <w:color w:val="034EA2" w:themeColor="accent1"/>
        </w:rPr>
        <w:t xml:space="preserve"> by investor type</w:t>
      </w:r>
    </w:p>
    <w:p w14:paraId="439D48C6" w14:textId="01ED9F44" w:rsidR="00055CF1" w:rsidRPr="001B3164" w:rsidRDefault="00EA305D" w:rsidP="00216746">
      <w:pPr>
        <w:rPr>
          <w:b/>
          <w:bCs/>
          <w:noProof/>
          <w:color w:val="034EA2" w:themeColor="accent1"/>
        </w:rPr>
      </w:pPr>
      <w:r>
        <w:rPr>
          <w:noProof/>
          <w:lang w:val="en-GB" w:eastAsia="en-GB"/>
        </w:rPr>
        <w:drawing>
          <wp:inline distT="0" distB="0" distL="0" distR="0" wp14:anchorId="223424D4" wp14:editId="63D56EF1">
            <wp:extent cx="5757062" cy="2320290"/>
            <wp:effectExtent l="0" t="0" r="0" b="0"/>
            <wp:docPr id="1584558039" name="Chart 1">
              <a:extLst xmlns:a="http://schemas.openxmlformats.org/drawingml/2006/main">
                <a:ext uri="{FF2B5EF4-FFF2-40B4-BE49-F238E27FC236}">
                  <a16:creationId xmlns:a16="http://schemas.microsoft.com/office/drawing/2014/main" id="{BFFBC0A9-266E-4F87-8AAF-A498372E47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E4A8034" w14:textId="09062668" w:rsidR="00117C59" w:rsidRDefault="005E3734" w:rsidP="00940F79">
      <w:pPr>
        <w:spacing w:after="0"/>
        <w:rPr>
          <w:rFonts w:eastAsia="Times New Roman"/>
          <w:noProof/>
          <w:szCs w:val="22"/>
        </w:rPr>
      </w:pPr>
      <w:r>
        <w:rPr>
          <w:rFonts w:eastAsia="Times New Roman"/>
          <w:noProof/>
          <w:szCs w:val="22"/>
        </w:rPr>
        <w:t>In the second half of 2025</w:t>
      </w:r>
      <w:r w:rsidR="00117C59" w:rsidRPr="00652121">
        <w:rPr>
          <w:rFonts w:eastAsia="Times New Roman"/>
          <w:noProof/>
          <w:szCs w:val="22"/>
        </w:rPr>
        <w:t xml:space="preserve">, </w:t>
      </w:r>
      <w:r w:rsidR="00652121" w:rsidRPr="00652121">
        <w:rPr>
          <w:rFonts w:eastAsia="Times New Roman"/>
          <w:noProof/>
          <w:szCs w:val="22"/>
        </w:rPr>
        <w:t>38</w:t>
      </w:r>
      <w:r w:rsidR="00117C59" w:rsidRPr="00652121">
        <w:rPr>
          <w:rFonts w:eastAsia="Times New Roman"/>
          <w:noProof/>
          <w:szCs w:val="22"/>
        </w:rPr>
        <w:t xml:space="preserve">% of the EU-Bonds issued through syndication </w:t>
      </w:r>
      <w:r w:rsidR="00D424C0" w:rsidRPr="00652121">
        <w:rPr>
          <w:rFonts w:eastAsia="Times New Roman"/>
          <w:noProof/>
          <w:szCs w:val="22"/>
        </w:rPr>
        <w:t>were</w:t>
      </w:r>
      <w:r w:rsidR="00117C59" w:rsidRPr="00652121">
        <w:rPr>
          <w:rFonts w:eastAsia="Times New Roman"/>
          <w:noProof/>
          <w:szCs w:val="22"/>
        </w:rPr>
        <w:t xml:space="preserve"> purchased by investors</w:t>
      </w:r>
      <w:r>
        <w:rPr>
          <w:rFonts w:eastAsia="Times New Roman"/>
          <w:noProof/>
          <w:szCs w:val="22"/>
        </w:rPr>
        <w:t xml:space="preserve"> that</w:t>
      </w:r>
      <w:r w:rsidR="00117C59" w:rsidRPr="00652121">
        <w:rPr>
          <w:rFonts w:eastAsia="Times New Roman"/>
          <w:noProof/>
          <w:szCs w:val="22"/>
        </w:rPr>
        <w:t xml:space="preserve"> typically</w:t>
      </w:r>
      <w:r>
        <w:rPr>
          <w:rFonts w:eastAsia="Times New Roman"/>
          <w:noProof/>
          <w:szCs w:val="22"/>
        </w:rPr>
        <w:t xml:space="preserve"> have</w:t>
      </w:r>
      <w:r w:rsidR="00117C59" w:rsidRPr="00652121">
        <w:rPr>
          <w:rFonts w:eastAsia="Times New Roman"/>
          <w:noProof/>
          <w:szCs w:val="22"/>
        </w:rPr>
        <w:t xml:space="preserve"> longer investment horizons (i.e. fund managers, insurance companies and pension funds</w:t>
      </w:r>
      <w:r w:rsidR="00940F79" w:rsidRPr="00652121">
        <w:rPr>
          <w:rFonts w:eastAsia="Times New Roman"/>
          <w:noProof/>
          <w:szCs w:val="22"/>
        </w:rPr>
        <w:t>)</w:t>
      </w:r>
      <w:r w:rsidR="00117C59" w:rsidRPr="00652121">
        <w:rPr>
          <w:rFonts w:eastAsia="Times New Roman"/>
          <w:noProof/>
          <w:szCs w:val="22"/>
        </w:rPr>
        <w:t>. Central bank</w:t>
      </w:r>
      <w:r w:rsidR="00117C59" w:rsidRPr="001B3164">
        <w:rPr>
          <w:rFonts w:eastAsia="Times New Roman"/>
          <w:noProof/>
          <w:szCs w:val="22"/>
        </w:rPr>
        <w:t>s</w:t>
      </w:r>
      <w:r w:rsidR="003F6DF3">
        <w:rPr>
          <w:rFonts w:eastAsia="Times New Roman"/>
          <w:noProof/>
          <w:szCs w:val="22"/>
        </w:rPr>
        <w:t xml:space="preserve"> </w:t>
      </w:r>
      <w:r>
        <w:rPr>
          <w:rFonts w:eastAsia="Times New Roman"/>
          <w:noProof/>
          <w:szCs w:val="22"/>
        </w:rPr>
        <w:t>and</w:t>
      </w:r>
      <w:r w:rsidR="003F6DF3">
        <w:rPr>
          <w:rFonts w:eastAsia="Times New Roman"/>
          <w:noProof/>
          <w:szCs w:val="22"/>
        </w:rPr>
        <w:t xml:space="preserve"> </w:t>
      </w:r>
      <w:r w:rsidR="00117C59" w:rsidRPr="001B3164">
        <w:rPr>
          <w:rFonts w:eastAsia="Times New Roman"/>
          <w:noProof/>
          <w:szCs w:val="22"/>
        </w:rPr>
        <w:t>official institutions</w:t>
      </w:r>
      <w:r>
        <w:rPr>
          <w:rFonts w:eastAsia="Times New Roman"/>
          <w:noProof/>
          <w:szCs w:val="22"/>
        </w:rPr>
        <w:t xml:space="preserve">, which </w:t>
      </w:r>
      <w:r w:rsidR="00117C59" w:rsidRPr="001B3164">
        <w:rPr>
          <w:rFonts w:eastAsia="Times New Roman"/>
          <w:noProof/>
          <w:szCs w:val="22"/>
        </w:rPr>
        <w:t>usually prefer to invest in bonds with maturities of up to 10 years</w:t>
      </w:r>
      <w:r>
        <w:rPr>
          <w:rFonts w:eastAsia="Times New Roman"/>
          <w:noProof/>
          <w:szCs w:val="22"/>
        </w:rPr>
        <w:t>,</w:t>
      </w:r>
      <w:r w:rsidR="00117C59" w:rsidRPr="001B3164">
        <w:rPr>
          <w:rFonts w:eastAsia="Times New Roman"/>
          <w:noProof/>
          <w:szCs w:val="22"/>
        </w:rPr>
        <w:t xml:space="preserve"> accounted for about </w:t>
      </w:r>
      <w:r w:rsidR="00C34058">
        <w:rPr>
          <w:rFonts w:eastAsia="Times New Roman"/>
          <w:noProof/>
          <w:szCs w:val="22"/>
        </w:rPr>
        <w:t>2</w:t>
      </w:r>
      <w:r w:rsidR="00EA305D">
        <w:rPr>
          <w:rFonts w:eastAsia="Times New Roman"/>
          <w:noProof/>
          <w:szCs w:val="22"/>
        </w:rPr>
        <w:t>7</w:t>
      </w:r>
      <w:r w:rsidR="00117C59" w:rsidRPr="001B3164">
        <w:rPr>
          <w:rFonts w:eastAsia="Times New Roman"/>
          <w:noProof/>
          <w:szCs w:val="22"/>
        </w:rPr>
        <w:t>% of syndicated EU-Bond issuance</w:t>
      </w:r>
      <w:r w:rsidR="00D424C0" w:rsidRPr="001B3164">
        <w:rPr>
          <w:rFonts w:eastAsia="Times New Roman"/>
          <w:noProof/>
          <w:szCs w:val="22"/>
        </w:rPr>
        <w:t>s</w:t>
      </w:r>
      <w:r w:rsidR="00EA305D">
        <w:rPr>
          <w:rFonts w:eastAsia="Times New Roman"/>
          <w:noProof/>
          <w:szCs w:val="22"/>
        </w:rPr>
        <w:t xml:space="preserve"> and were also the </w:t>
      </w:r>
      <w:r w:rsidR="00117C59" w:rsidRPr="001B3164">
        <w:rPr>
          <w:rFonts w:eastAsia="Times New Roman"/>
          <w:noProof/>
          <w:szCs w:val="22"/>
        </w:rPr>
        <w:t xml:space="preserve">largest </w:t>
      </w:r>
      <w:r w:rsidR="00EA305D">
        <w:rPr>
          <w:rFonts w:eastAsia="Times New Roman"/>
          <w:noProof/>
          <w:szCs w:val="22"/>
        </w:rPr>
        <w:t xml:space="preserve">single </w:t>
      </w:r>
      <w:r w:rsidR="00117C59" w:rsidRPr="001B3164">
        <w:rPr>
          <w:rFonts w:eastAsia="Times New Roman"/>
          <w:noProof/>
          <w:szCs w:val="22"/>
        </w:rPr>
        <w:t>source of demand.</w:t>
      </w:r>
      <w:r w:rsidR="003F6DF3">
        <w:rPr>
          <w:rFonts w:eastAsia="Times New Roman"/>
          <w:noProof/>
          <w:szCs w:val="22"/>
        </w:rPr>
        <w:t xml:space="preserve"> Compared to the first half of 2025, the share of central banks </w:t>
      </w:r>
      <w:r>
        <w:rPr>
          <w:rFonts w:eastAsia="Times New Roman"/>
          <w:noProof/>
          <w:szCs w:val="22"/>
        </w:rPr>
        <w:t>and</w:t>
      </w:r>
      <w:r w:rsidR="003F6DF3">
        <w:rPr>
          <w:rFonts w:eastAsia="Times New Roman"/>
          <w:noProof/>
          <w:szCs w:val="22"/>
        </w:rPr>
        <w:t xml:space="preserve"> official institutions increased slightly, while that of insurance and pension funds decreased somewhat,</w:t>
      </w:r>
      <w:r>
        <w:rPr>
          <w:rFonts w:eastAsia="Times New Roman"/>
          <w:noProof/>
          <w:szCs w:val="22"/>
        </w:rPr>
        <w:t xml:space="preserve"> most</w:t>
      </w:r>
      <w:r w:rsidR="003F6DF3">
        <w:rPr>
          <w:rFonts w:eastAsia="Times New Roman"/>
          <w:noProof/>
          <w:szCs w:val="22"/>
        </w:rPr>
        <w:t xml:space="preserve"> likely </w:t>
      </w:r>
      <w:r w:rsidR="00323B74">
        <w:rPr>
          <w:rFonts w:eastAsia="Times New Roman"/>
          <w:noProof/>
          <w:szCs w:val="22"/>
        </w:rPr>
        <w:t>due to the</w:t>
      </w:r>
      <w:r w:rsidR="003F6DF3">
        <w:rPr>
          <w:rFonts w:eastAsia="Times New Roman"/>
          <w:noProof/>
          <w:szCs w:val="22"/>
        </w:rPr>
        <w:t xml:space="preserve"> slightly shorter tenors</w:t>
      </w:r>
      <w:r w:rsidR="00323B74">
        <w:rPr>
          <w:rFonts w:eastAsia="Times New Roman"/>
          <w:noProof/>
          <w:szCs w:val="22"/>
        </w:rPr>
        <w:t xml:space="preserve"> of bonds issued</w:t>
      </w:r>
      <w:r w:rsidR="003F6DF3">
        <w:rPr>
          <w:rFonts w:eastAsia="Times New Roman"/>
          <w:noProof/>
          <w:szCs w:val="22"/>
        </w:rPr>
        <w:t xml:space="preserve"> in the second half of 2025.</w:t>
      </w:r>
    </w:p>
    <w:p w14:paraId="4D4F2DCF" w14:textId="4BFC063F" w:rsidR="00940F79" w:rsidRPr="001B3164" w:rsidRDefault="00940F79" w:rsidP="00177D88">
      <w:pPr>
        <w:spacing w:before="280"/>
        <w:rPr>
          <w:b/>
          <w:bCs/>
          <w:noProof/>
          <w:color w:val="034EA2" w:themeColor="accent1"/>
        </w:rPr>
      </w:pPr>
      <w:bookmarkStart w:id="57" w:name="_Hlk207362275"/>
      <w:r w:rsidRPr="001B3164">
        <w:rPr>
          <w:b/>
          <w:bCs/>
          <w:noProof/>
          <w:color w:val="034EA2" w:themeColor="accent1"/>
        </w:rPr>
        <w:t>Chart 4: Investors in syndicated transactions executed in H</w:t>
      </w:r>
      <w:r w:rsidR="009659F5">
        <w:rPr>
          <w:b/>
          <w:bCs/>
          <w:noProof/>
          <w:color w:val="034EA2" w:themeColor="accent1"/>
        </w:rPr>
        <w:t>2</w:t>
      </w:r>
      <w:r w:rsidRPr="001B3164">
        <w:rPr>
          <w:b/>
          <w:bCs/>
          <w:noProof/>
          <w:color w:val="034EA2" w:themeColor="accent1"/>
        </w:rPr>
        <w:t xml:space="preserve"> 2025 by country / region</w:t>
      </w:r>
    </w:p>
    <w:p w14:paraId="77C8CAF0" w14:textId="6280F485" w:rsidR="008A3C4A" w:rsidRPr="001B3164" w:rsidRDefault="009659F5" w:rsidP="00216746">
      <w:pPr>
        <w:rPr>
          <w:noProof/>
        </w:rPr>
      </w:pPr>
      <w:r>
        <w:rPr>
          <w:noProof/>
          <w:lang w:val="en-GB" w:eastAsia="en-GB"/>
        </w:rPr>
        <w:drawing>
          <wp:inline distT="0" distB="0" distL="0" distR="0" wp14:anchorId="79F43326" wp14:editId="1CB2CCFE">
            <wp:extent cx="5691226" cy="2377440"/>
            <wp:effectExtent l="0" t="0" r="0" b="0"/>
            <wp:docPr id="332736896" name="Chart 1">
              <a:extLst xmlns:a="http://schemas.openxmlformats.org/drawingml/2006/main">
                <a:ext uri="{FF2B5EF4-FFF2-40B4-BE49-F238E27FC236}">
                  <a16:creationId xmlns:a16="http://schemas.microsoft.com/office/drawing/2014/main" id="{BACDB3DA-3C5D-4608-A4E6-01063DAE45E9}"/>
                </a:ext>
                <a:ext uri="{147F2762-F138-4A5C-976F-8EAC2B608ADB}">
                  <a16:predDERef xmlns:a16="http://schemas.microsoft.com/office/drawing/2014/main" pred="{95E41261-4356-9566-8AC4-A0680CFF8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8069FF9" w14:textId="06D94EAC" w:rsidR="00117C59" w:rsidRPr="001B3164" w:rsidRDefault="00A00A42" w:rsidP="00216746">
      <w:pPr>
        <w:rPr>
          <w:noProof/>
        </w:rPr>
      </w:pPr>
      <w:bookmarkStart w:id="58" w:name="_Hlk220508519"/>
      <w:r w:rsidRPr="000B7472">
        <w:rPr>
          <w:noProof/>
        </w:rPr>
        <w:t xml:space="preserve">In the </w:t>
      </w:r>
      <w:r w:rsidR="00EA305D" w:rsidRPr="000B7472">
        <w:rPr>
          <w:noProof/>
        </w:rPr>
        <w:t>second</w:t>
      </w:r>
      <w:r w:rsidRPr="000B7472">
        <w:rPr>
          <w:noProof/>
        </w:rPr>
        <w:t xml:space="preserve"> half of 2025, </w:t>
      </w:r>
      <w:r w:rsidR="00323B74">
        <w:rPr>
          <w:noProof/>
        </w:rPr>
        <w:t xml:space="preserve">investors located in the EU accounted for </w:t>
      </w:r>
      <w:r w:rsidR="009659F5" w:rsidRPr="000B7472">
        <w:rPr>
          <w:noProof/>
        </w:rPr>
        <w:t>55</w:t>
      </w:r>
      <w:r w:rsidR="00117C59" w:rsidRPr="000B7472">
        <w:rPr>
          <w:noProof/>
        </w:rPr>
        <w:t>%</w:t>
      </w:r>
      <w:r w:rsidR="00117C59" w:rsidRPr="001B3164">
        <w:rPr>
          <w:noProof/>
        </w:rPr>
        <w:t xml:space="preserve"> of investment</w:t>
      </w:r>
      <w:r w:rsidR="00323B74">
        <w:rPr>
          <w:noProof/>
        </w:rPr>
        <w:t>s</w:t>
      </w:r>
      <w:r w:rsidR="00117C59" w:rsidRPr="001B3164">
        <w:rPr>
          <w:noProof/>
        </w:rPr>
        <w:t xml:space="preserve"> in EU-Bond syndications,</w:t>
      </w:r>
      <w:r w:rsidR="0099456D">
        <w:rPr>
          <w:noProof/>
        </w:rPr>
        <w:t xml:space="preserve"> compared to 66% in the first half of 2025. The increase in investors from outside the EU</w:t>
      </w:r>
      <w:r w:rsidR="00117C59" w:rsidRPr="001B3164">
        <w:rPr>
          <w:noProof/>
        </w:rPr>
        <w:t xml:space="preserve"> </w:t>
      </w:r>
      <w:r w:rsidR="0099456D">
        <w:rPr>
          <w:noProof/>
        </w:rPr>
        <w:t xml:space="preserve">can be mainly attributed to international investors from Asia (9% in H2 2025 versus 5% in H1 2025) </w:t>
      </w:r>
      <w:r w:rsidR="00117C59" w:rsidRPr="001B3164">
        <w:rPr>
          <w:noProof/>
        </w:rPr>
        <w:t>and</w:t>
      </w:r>
      <w:r w:rsidR="0099456D">
        <w:rPr>
          <w:noProof/>
        </w:rPr>
        <w:t xml:space="preserve"> the Middle East and Africa (6% in H2 2025 versus 2% in H1 2025). The </w:t>
      </w:r>
      <w:r w:rsidR="00323B74">
        <w:rPr>
          <w:noProof/>
        </w:rPr>
        <w:t>percentage</w:t>
      </w:r>
      <w:r w:rsidR="0099456D">
        <w:rPr>
          <w:noProof/>
        </w:rPr>
        <w:t xml:space="preserve"> of </w:t>
      </w:r>
      <w:r w:rsidR="00117C59" w:rsidRPr="001B3164">
        <w:rPr>
          <w:noProof/>
        </w:rPr>
        <w:t>international investors operating from the UK</w:t>
      </w:r>
      <w:r w:rsidR="0099456D">
        <w:rPr>
          <w:noProof/>
        </w:rPr>
        <w:t xml:space="preserve"> remained</w:t>
      </w:r>
      <w:r w:rsidR="00323B74">
        <w:rPr>
          <w:noProof/>
        </w:rPr>
        <w:t xml:space="preserve"> stable at </w:t>
      </w:r>
      <w:r w:rsidR="0099456D">
        <w:rPr>
          <w:noProof/>
        </w:rPr>
        <w:t>around 20%</w:t>
      </w:r>
      <w:r w:rsidR="00117C59" w:rsidRPr="001B3164">
        <w:rPr>
          <w:noProof/>
        </w:rPr>
        <w:t xml:space="preserve">. The remainder </w:t>
      </w:r>
      <w:r w:rsidR="00EA305D">
        <w:rPr>
          <w:noProof/>
        </w:rPr>
        <w:t>came</w:t>
      </w:r>
      <w:r w:rsidR="00117C59" w:rsidRPr="001B3164">
        <w:rPr>
          <w:noProof/>
        </w:rPr>
        <w:t xml:space="preserve"> from </w:t>
      </w:r>
      <w:r w:rsidR="0099456D">
        <w:rPr>
          <w:noProof/>
        </w:rPr>
        <w:t>non</w:t>
      </w:r>
      <w:r w:rsidR="00117C59" w:rsidRPr="001B3164">
        <w:rPr>
          <w:noProof/>
        </w:rPr>
        <w:t xml:space="preserve">-EU European countries </w:t>
      </w:r>
      <w:r w:rsidR="00323B74">
        <w:rPr>
          <w:noProof/>
        </w:rPr>
        <w:t>such as</w:t>
      </w:r>
      <w:r w:rsidR="00117C59" w:rsidRPr="001B3164">
        <w:rPr>
          <w:noProof/>
        </w:rPr>
        <w:t xml:space="preserve"> Norway and Switzerland.</w:t>
      </w:r>
    </w:p>
    <w:p w14:paraId="7BEDA679" w14:textId="63F8DFF9" w:rsidR="00F81553" w:rsidRPr="001B3164" w:rsidRDefault="00061AD9" w:rsidP="00F25103">
      <w:pPr>
        <w:rPr>
          <w:noProof/>
        </w:rPr>
      </w:pPr>
      <w:bookmarkStart w:id="59" w:name="_Hlk169094028"/>
      <w:bookmarkStart w:id="60" w:name="_Hlk216706884"/>
      <w:bookmarkEnd w:id="56"/>
      <w:bookmarkEnd w:id="57"/>
      <w:bookmarkEnd w:id="58"/>
      <w:r w:rsidRPr="001B3164">
        <w:rPr>
          <w:noProof/>
        </w:rPr>
        <w:t>Despite the turbulent market environment, the</w:t>
      </w:r>
      <w:r w:rsidR="008979B0" w:rsidRPr="001B3164">
        <w:rPr>
          <w:noProof/>
        </w:rPr>
        <w:t xml:space="preserve"> n</w:t>
      </w:r>
      <w:r w:rsidR="00216746" w:rsidRPr="001B3164">
        <w:rPr>
          <w:noProof/>
        </w:rPr>
        <w:t>ew issue premium (NIP)</w:t>
      </w:r>
      <w:r w:rsidR="002835C6" w:rsidRPr="001B3164">
        <w:rPr>
          <w:noProof/>
          <w:vertAlign w:val="superscript"/>
        </w:rPr>
        <w:footnoteReference w:id="12"/>
      </w:r>
      <w:r w:rsidR="00F25103" w:rsidRPr="001B3164">
        <w:rPr>
          <w:noProof/>
        </w:rPr>
        <w:t>,</w:t>
      </w:r>
      <w:r w:rsidRPr="001B3164">
        <w:rPr>
          <w:noProof/>
        </w:rPr>
        <w:t xml:space="preserve"> </w:t>
      </w:r>
      <w:bookmarkStart w:id="61" w:name="_Hlk170294116"/>
      <w:bookmarkEnd w:id="59"/>
      <w:r w:rsidR="00323B74">
        <w:rPr>
          <w:noProof/>
        </w:rPr>
        <w:t>that</w:t>
      </w:r>
      <w:r w:rsidRPr="001B3164">
        <w:rPr>
          <w:noProof/>
        </w:rPr>
        <w:t xml:space="preserve"> investors</w:t>
      </w:r>
      <w:r w:rsidR="00323B74">
        <w:rPr>
          <w:noProof/>
        </w:rPr>
        <w:t xml:space="preserve"> demand</w:t>
      </w:r>
      <w:r w:rsidRPr="001B3164">
        <w:rPr>
          <w:noProof/>
        </w:rPr>
        <w:t xml:space="preserve"> as a concession when the EU issues bonds through syndication</w:t>
      </w:r>
      <w:r w:rsidR="00F25103" w:rsidRPr="001B3164">
        <w:rPr>
          <w:noProof/>
        </w:rPr>
        <w:t>,</w:t>
      </w:r>
      <w:r w:rsidRPr="001B3164">
        <w:rPr>
          <w:noProof/>
        </w:rPr>
        <w:t xml:space="preserve"> remained subdued in the </w:t>
      </w:r>
      <w:r w:rsidR="008B595F">
        <w:rPr>
          <w:noProof/>
        </w:rPr>
        <w:t>second</w:t>
      </w:r>
      <w:r w:rsidRPr="001B3164">
        <w:rPr>
          <w:noProof/>
        </w:rPr>
        <w:t xml:space="preserve"> half of 2025 with an average </w:t>
      </w:r>
      <w:r w:rsidRPr="000B7472">
        <w:rPr>
          <w:noProof/>
        </w:rPr>
        <w:t>of around 1.6</w:t>
      </w:r>
      <w:r w:rsidR="00294403" w:rsidRPr="000B7472">
        <w:rPr>
          <w:noProof/>
        </w:rPr>
        <w:t>5</w:t>
      </w:r>
      <w:r w:rsidRPr="000B7472">
        <w:rPr>
          <w:noProof/>
        </w:rPr>
        <w:t xml:space="preserve"> basis points. This was in line with the average </w:t>
      </w:r>
      <w:r w:rsidR="00323B74">
        <w:rPr>
          <w:noProof/>
        </w:rPr>
        <w:t>NIP</w:t>
      </w:r>
      <w:r w:rsidRPr="000B7472">
        <w:rPr>
          <w:noProof/>
        </w:rPr>
        <w:t xml:space="preserve"> of 1.6 basis points in </w:t>
      </w:r>
      <w:r w:rsidR="00940845" w:rsidRPr="000B7472">
        <w:rPr>
          <w:noProof/>
        </w:rPr>
        <w:t xml:space="preserve">the first half of </w:t>
      </w:r>
      <w:r w:rsidRPr="000B7472">
        <w:rPr>
          <w:noProof/>
        </w:rPr>
        <w:t>202</w:t>
      </w:r>
      <w:r w:rsidR="00940845" w:rsidRPr="000B7472">
        <w:rPr>
          <w:noProof/>
        </w:rPr>
        <w:t>5</w:t>
      </w:r>
      <w:r w:rsidRPr="001B3164">
        <w:rPr>
          <w:noProof/>
        </w:rPr>
        <w:t xml:space="preserve"> and with th</w:t>
      </w:r>
      <w:r w:rsidR="00323B74">
        <w:rPr>
          <w:noProof/>
        </w:rPr>
        <w:t>at</w:t>
      </w:r>
      <w:r w:rsidRPr="001B3164">
        <w:rPr>
          <w:noProof/>
        </w:rPr>
        <w:t xml:space="preserve"> of other issuers on comparable transactions (measured by size and maturity). </w:t>
      </w:r>
    </w:p>
    <w:bookmarkEnd w:id="55"/>
    <w:bookmarkEnd w:id="61"/>
    <w:p w14:paraId="6718684A" w14:textId="0C52439D" w:rsidR="00733125" w:rsidRPr="00323B74" w:rsidRDefault="00323B74" w:rsidP="00733125">
      <w:pPr>
        <w:rPr>
          <w:noProof/>
        </w:rPr>
      </w:pPr>
      <w:r>
        <w:rPr>
          <w:noProof/>
        </w:rPr>
        <w:t>T</w:t>
      </w:r>
      <w:r w:rsidR="00A00A42" w:rsidRPr="001B3164">
        <w:rPr>
          <w:noProof/>
        </w:rPr>
        <w:t xml:space="preserve">he </w:t>
      </w:r>
      <w:r w:rsidR="00733125" w:rsidRPr="001B3164">
        <w:rPr>
          <w:noProof/>
        </w:rPr>
        <w:t xml:space="preserve">secondary market liquidity of EU-Bonds </w:t>
      </w:r>
      <w:r>
        <w:rPr>
          <w:noProof/>
        </w:rPr>
        <w:t>improved</w:t>
      </w:r>
      <w:r w:rsidR="00275148">
        <w:rPr>
          <w:noProof/>
        </w:rPr>
        <w:t xml:space="preserve"> further</w:t>
      </w:r>
      <w:r w:rsidR="00A00A42" w:rsidRPr="001B3164">
        <w:rPr>
          <w:noProof/>
        </w:rPr>
        <w:t>,</w:t>
      </w:r>
      <w:r w:rsidR="00E24C0B" w:rsidRPr="001B3164">
        <w:rPr>
          <w:noProof/>
        </w:rPr>
        <w:t xml:space="preserve"> supported by </w:t>
      </w:r>
      <w:r>
        <w:rPr>
          <w:noProof/>
        </w:rPr>
        <w:t xml:space="preserve">a quoting arrangements system (in place since November 2023) where </w:t>
      </w:r>
      <w:r w:rsidR="00733125" w:rsidRPr="001B3164">
        <w:rPr>
          <w:noProof/>
        </w:rPr>
        <w:t>EU primary dealers are encouraged to post reliable EU-Bond prices on the leading electronic bond trading platforms.</w:t>
      </w:r>
      <w:r w:rsidR="0023010A">
        <w:rPr>
          <w:noProof/>
        </w:rPr>
        <w:t xml:space="preserve"> </w:t>
      </w:r>
      <w:r>
        <w:rPr>
          <w:noProof/>
        </w:rPr>
        <w:t>In the</w:t>
      </w:r>
      <w:r w:rsidR="0023010A" w:rsidRPr="004F656F">
        <w:rPr>
          <w:noProof/>
        </w:rPr>
        <w:t xml:space="preserve"> </w:t>
      </w:r>
      <w:r w:rsidR="0023010A">
        <w:rPr>
          <w:noProof/>
        </w:rPr>
        <w:t>second half of 2025</w:t>
      </w:r>
      <w:r w:rsidR="0023010A" w:rsidRPr="004F656F">
        <w:rPr>
          <w:noProof/>
        </w:rPr>
        <w:t xml:space="preserve">, the absolute turnover of EU-Bonds was </w:t>
      </w:r>
      <w:r w:rsidRPr="00323B74">
        <w:rPr>
          <w:noProof/>
        </w:rPr>
        <w:t>EUR 1531</w:t>
      </w:r>
      <w:r w:rsidR="0023010A">
        <w:rPr>
          <w:noProof/>
        </w:rPr>
        <w:t xml:space="preserve"> </w:t>
      </w:r>
      <w:r w:rsidR="0023010A" w:rsidRPr="004F656F">
        <w:rPr>
          <w:noProof/>
        </w:rPr>
        <w:t>b</w:t>
      </w:r>
      <w:r w:rsidR="0023010A">
        <w:rPr>
          <w:noProof/>
        </w:rPr>
        <w:t>illio</w:t>
      </w:r>
      <w:r w:rsidR="0023010A" w:rsidRPr="004F656F">
        <w:rPr>
          <w:noProof/>
        </w:rPr>
        <w:t xml:space="preserve">n, compared to </w:t>
      </w:r>
      <w:r w:rsidR="0023010A">
        <w:rPr>
          <w:noProof/>
        </w:rPr>
        <w:t xml:space="preserve">EUR </w:t>
      </w:r>
      <w:r w:rsidR="00275148">
        <w:rPr>
          <w:noProof/>
        </w:rPr>
        <w:t>8</w:t>
      </w:r>
      <w:r>
        <w:rPr>
          <w:noProof/>
        </w:rPr>
        <w:t>33</w:t>
      </w:r>
      <w:r w:rsidR="0023010A" w:rsidRPr="0023010A">
        <w:rPr>
          <w:noProof/>
        </w:rPr>
        <w:t xml:space="preserve"> billion</w:t>
      </w:r>
      <w:r w:rsidR="0023010A" w:rsidRPr="004F656F">
        <w:rPr>
          <w:noProof/>
        </w:rPr>
        <w:t xml:space="preserve"> in the </w:t>
      </w:r>
      <w:r w:rsidR="00275148">
        <w:rPr>
          <w:noProof/>
        </w:rPr>
        <w:t xml:space="preserve">second </w:t>
      </w:r>
      <w:r w:rsidR="0023010A">
        <w:rPr>
          <w:noProof/>
        </w:rPr>
        <w:t>half of 202</w:t>
      </w:r>
      <w:r w:rsidR="00275148">
        <w:rPr>
          <w:noProof/>
        </w:rPr>
        <w:t>4</w:t>
      </w:r>
      <w:r w:rsidR="0023010A" w:rsidRPr="004F656F">
        <w:rPr>
          <w:noProof/>
        </w:rPr>
        <w:t>.</w:t>
      </w:r>
    </w:p>
    <w:p w14:paraId="5FF675C1" w14:textId="41971F57" w:rsidR="00C34058" w:rsidRPr="001B3164" w:rsidRDefault="00831281" w:rsidP="00CE068C">
      <w:pPr>
        <w:rPr>
          <w:noProof/>
        </w:rPr>
      </w:pPr>
      <w:bookmarkStart w:id="62" w:name="_Hlk216710147"/>
      <w:r>
        <w:rPr>
          <w:noProof/>
        </w:rPr>
        <w:t xml:space="preserve">The Commission’s market approach </w:t>
      </w:r>
      <w:r w:rsidR="00323B74">
        <w:rPr>
          <w:noProof/>
        </w:rPr>
        <w:t>of</w:t>
      </w:r>
      <w:r>
        <w:rPr>
          <w:noProof/>
        </w:rPr>
        <w:t xml:space="preserve"> tap</w:t>
      </w:r>
      <w:r w:rsidR="00323B74">
        <w:rPr>
          <w:noProof/>
        </w:rPr>
        <w:t>ping</w:t>
      </w:r>
      <w:r>
        <w:rPr>
          <w:noProof/>
        </w:rPr>
        <w:t xml:space="preserve"> existing lines </w:t>
      </w:r>
      <w:r w:rsidR="00323B74">
        <w:rPr>
          <w:noProof/>
        </w:rPr>
        <w:t xml:space="preserve">while </w:t>
      </w:r>
      <w:r>
        <w:rPr>
          <w:noProof/>
        </w:rPr>
        <w:t xml:space="preserve">regularly creating new </w:t>
      </w:r>
      <w:r w:rsidR="00323B74">
        <w:rPr>
          <w:noProof/>
        </w:rPr>
        <w:t>ones</w:t>
      </w:r>
      <w:r>
        <w:rPr>
          <w:noProof/>
        </w:rPr>
        <w:t>, s</w:t>
      </w:r>
      <w:r w:rsidR="00323B74">
        <w:rPr>
          <w:noProof/>
        </w:rPr>
        <w:t>trengthened</w:t>
      </w:r>
      <w:r>
        <w:rPr>
          <w:noProof/>
        </w:rPr>
        <w:t xml:space="preserve"> </w:t>
      </w:r>
      <w:r w:rsidR="00061AD9" w:rsidRPr="001B3164">
        <w:rPr>
          <w:noProof/>
        </w:rPr>
        <w:t>the liquidity of the EU-Bond curve</w:t>
      </w:r>
      <w:r w:rsidR="00061AD9" w:rsidRPr="005F49D6">
        <w:rPr>
          <w:noProof/>
        </w:rPr>
        <w:t>.</w:t>
      </w:r>
      <w:r>
        <w:rPr>
          <w:noProof/>
        </w:rPr>
        <w:t xml:space="preserve"> </w:t>
      </w:r>
      <w:r w:rsidRPr="005F49D6">
        <w:rPr>
          <w:noProof/>
        </w:rPr>
        <w:t>New 5, 7, 15 and 30-year lines were launched in the second half of 2025.</w:t>
      </w:r>
      <w:r>
        <w:rPr>
          <w:noProof/>
        </w:rPr>
        <w:t xml:space="preserve"> </w:t>
      </w:r>
      <w:r w:rsidR="00061AD9" w:rsidRPr="005F49D6">
        <w:rPr>
          <w:noProof/>
        </w:rPr>
        <w:t xml:space="preserve">As a result, the average amount outstanding per EU-Bond stood at around EUR 16 billion at the end of 2025. </w:t>
      </w:r>
      <w:bookmarkEnd w:id="60"/>
    </w:p>
    <w:p w14:paraId="138E334A" w14:textId="66E41A3E" w:rsidR="009A0198" w:rsidRDefault="00EF6F31" w:rsidP="00177D88">
      <w:pPr>
        <w:spacing w:before="240"/>
        <w:rPr>
          <w:b/>
          <w:bCs/>
          <w:noProof/>
          <w:color w:val="034EA2" w:themeColor="accent1"/>
        </w:rPr>
      </w:pPr>
      <w:bookmarkStart w:id="63" w:name="_Hlk187333874"/>
      <w:r w:rsidRPr="001B3164">
        <w:rPr>
          <w:b/>
          <w:bCs/>
          <w:noProof/>
          <w:color w:val="034EA2" w:themeColor="accent1"/>
        </w:rPr>
        <w:t xml:space="preserve">Chart </w:t>
      </w:r>
      <w:r w:rsidR="008A3C4A" w:rsidRPr="001B3164">
        <w:rPr>
          <w:b/>
          <w:bCs/>
          <w:noProof/>
          <w:color w:val="034EA2" w:themeColor="accent1"/>
        </w:rPr>
        <w:t>5</w:t>
      </w:r>
      <w:r w:rsidRPr="001B3164">
        <w:rPr>
          <w:b/>
          <w:bCs/>
          <w:noProof/>
          <w:color w:val="034EA2" w:themeColor="accent1"/>
        </w:rPr>
        <w:t xml:space="preserve">: </w:t>
      </w:r>
      <w:r w:rsidR="009A0198" w:rsidRPr="001B3164">
        <w:rPr>
          <w:b/>
          <w:bCs/>
          <w:noProof/>
          <w:color w:val="034EA2" w:themeColor="accent1"/>
        </w:rPr>
        <w:t>Quarterly secondary market turnover of EU</w:t>
      </w:r>
      <w:r w:rsidR="004B29D1" w:rsidRPr="001B3164">
        <w:rPr>
          <w:b/>
          <w:bCs/>
          <w:noProof/>
          <w:color w:val="034EA2" w:themeColor="accent1"/>
        </w:rPr>
        <w:t>-Bonds</w:t>
      </w:r>
      <w:r w:rsidR="009A0198" w:rsidRPr="001B3164">
        <w:rPr>
          <w:b/>
          <w:bCs/>
          <w:noProof/>
          <w:color w:val="034EA2" w:themeColor="accent1"/>
        </w:rPr>
        <w:t xml:space="preserve"> and European government bonds (% of outstanding volume)</w:t>
      </w:r>
    </w:p>
    <w:p w14:paraId="5338577B" w14:textId="3E2588AD" w:rsidR="008F2B75" w:rsidRPr="001B3164" w:rsidRDefault="00DE6250" w:rsidP="009A0198">
      <w:pPr>
        <w:rPr>
          <w:b/>
          <w:bCs/>
          <w:noProof/>
          <w:color w:val="034EA2" w:themeColor="accent1"/>
        </w:rPr>
      </w:pPr>
      <w:r>
        <w:rPr>
          <w:noProof/>
          <w:lang w:val="en-GB" w:eastAsia="en-GB"/>
        </w:rPr>
        <w:drawing>
          <wp:inline distT="0" distB="0" distL="0" distR="0" wp14:anchorId="40F931FC" wp14:editId="5E9F1849">
            <wp:extent cx="5731510" cy="2940685"/>
            <wp:effectExtent l="0" t="0" r="0" b="0"/>
            <wp:docPr id="20429098" name="Chart 1">
              <a:extLst xmlns:a="http://schemas.openxmlformats.org/drawingml/2006/main">
                <a:ext uri="{FF2B5EF4-FFF2-40B4-BE49-F238E27FC236}">
                  <a16:creationId xmlns:a16="http://schemas.microsoft.com/office/drawing/2014/main" id="{2F61FB7B-576C-45B9-8C68-C22ED19ECF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bookmarkEnd w:id="63"/>
    <w:p w14:paraId="0595897F" w14:textId="06F1566B" w:rsidR="003E1CDE" w:rsidRPr="001B3164" w:rsidRDefault="009A0198" w:rsidP="009A0198">
      <w:pPr>
        <w:contextualSpacing/>
        <w:rPr>
          <w:noProof/>
          <w:sz w:val="20"/>
          <w:szCs w:val="20"/>
        </w:rPr>
      </w:pPr>
      <w:r w:rsidRPr="001B3164">
        <w:rPr>
          <w:i/>
          <w:iCs/>
          <w:noProof/>
          <w:sz w:val="20"/>
          <w:szCs w:val="20"/>
        </w:rPr>
        <w:t>Source:</w:t>
      </w:r>
      <w:r w:rsidRPr="001B3164">
        <w:rPr>
          <w:noProof/>
          <w:sz w:val="20"/>
          <w:szCs w:val="20"/>
        </w:rPr>
        <w:t xml:space="preserve"> European Commission</w:t>
      </w:r>
      <w:r w:rsidR="003E1CDE" w:rsidRPr="001B3164">
        <w:rPr>
          <w:noProof/>
          <w:sz w:val="20"/>
          <w:szCs w:val="20"/>
        </w:rPr>
        <w:t>,</w:t>
      </w:r>
      <w:r w:rsidRPr="001B3164">
        <w:rPr>
          <w:noProof/>
          <w:sz w:val="20"/>
          <w:szCs w:val="20"/>
        </w:rPr>
        <w:t xml:space="preserve"> based on data </w:t>
      </w:r>
      <w:r w:rsidR="003E1CDE" w:rsidRPr="001B3164">
        <w:rPr>
          <w:noProof/>
          <w:sz w:val="20"/>
          <w:szCs w:val="20"/>
        </w:rPr>
        <w:t>from</w:t>
      </w:r>
      <w:r w:rsidRPr="001B3164">
        <w:rPr>
          <w:noProof/>
          <w:sz w:val="20"/>
          <w:szCs w:val="20"/>
        </w:rPr>
        <w:t xml:space="preserve"> the E</w:t>
      </w:r>
      <w:r w:rsidR="00BC051C" w:rsidRPr="001B3164">
        <w:rPr>
          <w:noProof/>
          <w:sz w:val="20"/>
          <w:szCs w:val="20"/>
        </w:rPr>
        <w:t xml:space="preserve">conomic and </w:t>
      </w:r>
      <w:r w:rsidRPr="001B3164">
        <w:rPr>
          <w:noProof/>
          <w:sz w:val="20"/>
          <w:szCs w:val="20"/>
        </w:rPr>
        <w:t>F</w:t>
      </w:r>
      <w:r w:rsidR="00BC051C" w:rsidRPr="001B3164">
        <w:rPr>
          <w:noProof/>
          <w:sz w:val="20"/>
          <w:szCs w:val="20"/>
        </w:rPr>
        <w:t xml:space="preserve">inancial </w:t>
      </w:r>
      <w:r w:rsidRPr="001B3164">
        <w:rPr>
          <w:noProof/>
          <w:sz w:val="20"/>
          <w:szCs w:val="20"/>
        </w:rPr>
        <w:t>C</w:t>
      </w:r>
      <w:r w:rsidR="00BC051C" w:rsidRPr="001B3164">
        <w:rPr>
          <w:noProof/>
          <w:sz w:val="20"/>
          <w:szCs w:val="20"/>
        </w:rPr>
        <w:t>ommittee’s</w:t>
      </w:r>
      <w:r w:rsidRPr="001B3164">
        <w:rPr>
          <w:noProof/>
          <w:sz w:val="20"/>
          <w:szCs w:val="20"/>
        </w:rPr>
        <w:t xml:space="preserve"> Sub</w:t>
      </w:r>
      <w:r w:rsidR="001672C7" w:rsidRPr="001B3164">
        <w:rPr>
          <w:noProof/>
          <w:sz w:val="20"/>
          <w:szCs w:val="20"/>
        </w:rPr>
        <w:t>c</w:t>
      </w:r>
      <w:r w:rsidRPr="001B3164">
        <w:rPr>
          <w:noProof/>
          <w:sz w:val="20"/>
          <w:szCs w:val="20"/>
        </w:rPr>
        <w:t xml:space="preserve">ommittee on EU Sovereign Debt Markets (ESDM). </w:t>
      </w:r>
    </w:p>
    <w:p w14:paraId="41882486" w14:textId="116E5133" w:rsidR="00B60214" w:rsidRPr="001B3164" w:rsidRDefault="009A0198" w:rsidP="009A0198">
      <w:pPr>
        <w:contextualSpacing/>
        <w:rPr>
          <w:noProof/>
          <w:sz w:val="20"/>
          <w:szCs w:val="20"/>
        </w:rPr>
      </w:pPr>
      <w:r w:rsidRPr="001B3164">
        <w:rPr>
          <w:i/>
          <w:iCs/>
          <w:noProof/>
          <w:sz w:val="20"/>
          <w:szCs w:val="20"/>
        </w:rPr>
        <w:t>Note:</w:t>
      </w:r>
      <w:r w:rsidRPr="001B3164">
        <w:rPr>
          <w:noProof/>
          <w:sz w:val="20"/>
          <w:szCs w:val="20"/>
        </w:rPr>
        <w:t xml:space="preserve"> </w:t>
      </w:r>
      <w:r w:rsidR="003E1CDE" w:rsidRPr="001B3164">
        <w:rPr>
          <w:noProof/>
          <w:sz w:val="20"/>
          <w:szCs w:val="20"/>
        </w:rPr>
        <w:t>In this chart</w:t>
      </w:r>
      <w:r w:rsidR="00F5171E" w:rsidRPr="001B3164">
        <w:rPr>
          <w:noProof/>
          <w:sz w:val="20"/>
          <w:szCs w:val="20"/>
        </w:rPr>
        <w:t xml:space="preserve"> the </w:t>
      </w:r>
      <w:r w:rsidRPr="001B3164">
        <w:rPr>
          <w:noProof/>
          <w:sz w:val="20"/>
          <w:szCs w:val="20"/>
        </w:rPr>
        <w:t xml:space="preserve">European government bond (EGB) market comprises </w:t>
      </w:r>
      <w:r w:rsidR="00524128" w:rsidRPr="001B3164">
        <w:rPr>
          <w:noProof/>
          <w:sz w:val="20"/>
          <w:szCs w:val="20"/>
        </w:rPr>
        <w:t xml:space="preserve">bonds issued by </w:t>
      </w:r>
      <w:r w:rsidRPr="001B3164">
        <w:rPr>
          <w:noProof/>
          <w:sz w:val="20"/>
          <w:szCs w:val="20"/>
        </w:rPr>
        <w:t xml:space="preserve">euro-area sovereigns, the European Financial Stability Fund and the European Stability Mechanism. Data </w:t>
      </w:r>
      <w:r w:rsidR="001672C7" w:rsidRPr="001B3164">
        <w:rPr>
          <w:noProof/>
          <w:sz w:val="20"/>
          <w:szCs w:val="20"/>
        </w:rPr>
        <w:t>are</w:t>
      </w:r>
      <w:r w:rsidRPr="001B3164">
        <w:rPr>
          <w:noProof/>
          <w:sz w:val="20"/>
          <w:szCs w:val="20"/>
        </w:rPr>
        <w:t xml:space="preserve"> not </w:t>
      </w:r>
      <w:r w:rsidR="00E811A6" w:rsidRPr="001B3164">
        <w:rPr>
          <w:noProof/>
          <w:sz w:val="20"/>
          <w:szCs w:val="20"/>
        </w:rPr>
        <w:t xml:space="preserve">yet </w:t>
      </w:r>
      <w:r w:rsidRPr="001B3164">
        <w:rPr>
          <w:noProof/>
          <w:sz w:val="20"/>
          <w:szCs w:val="20"/>
        </w:rPr>
        <w:t>available for Q</w:t>
      </w:r>
      <w:r w:rsidR="00C34058">
        <w:rPr>
          <w:noProof/>
          <w:sz w:val="20"/>
          <w:szCs w:val="20"/>
        </w:rPr>
        <w:t>3</w:t>
      </w:r>
      <w:r w:rsidR="003E1CDE" w:rsidRPr="001B3164">
        <w:rPr>
          <w:noProof/>
          <w:sz w:val="20"/>
          <w:szCs w:val="20"/>
        </w:rPr>
        <w:t xml:space="preserve"> </w:t>
      </w:r>
      <w:r w:rsidR="00C34058">
        <w:rPr>
          <w:noProof/>
          <w:sz w:val="20"/>
          <w:szCs w:val="20"/>
        </w:rPr>
        <w:t xml:space="preserve">and </w:t>
      </w:r>
      <w:r w:rsidR="00D5396A" w:rsidRPr="001B3164">
        <w:rPr>
          <w:noProof/>
          <w:sz w:val="20"/>
          <w:szCs w:val="20"/>
        </w:rPr>
        <w:t>Q</w:t>
      </w:r>
      <w:r w:rsidR="00C34058">
        <w:rPr>
          <w:noProof/>
          <w:sz w:val="20"/>
          <w:szCs w:val="20"/>
        </w:rPr>
        <w:t>4</w:t>
      </w:r>
      <w:r w:rsidRPr="001B3164">
        <w:rPr>
          <w:noProof/>
          <w:sz w:val="20"/>
          <w:szCs w:val="20"/>
        </w:rPr>
        <w:t xml:space="preserve"> 202</w:t>
      </w:r>
      <w:r w:rsidR="00A71FD1" w:rsidRPr="001B3164">
        <w:rPr>
          <w:noProof/>
          <w:sz w:val="20"/>
          <w:szCs w:val="20"/>
        </w:rPr>
        <w:t>5</w:t>
      </w:r>
      <w:r w:rsidRPr="001B3164">
        <w:rPr>
          <w:noProof/>
          <w:sz w:val="20"/>
          <w:szCs w:val="20"/>
        </w:rPr>
        <w:t>.</w:t>
      </w:r>
    </w:p>
    <w:p w14:paraId="2BC99B27" w14:textId="77777777" w:rsidR="00E81087" w:rsidRPr="001B3164" w:rsidRDefault="00DB3549" w:rsidP="00A87F59">
      <w:pPr>
        <w:pStyle w:val="Heading1"/>
        <w:rPr>
          <w:noProof/>
        </w:rPr>
      </w:pPr>
      <w:bookmarkStart w:id="64" w:name="_Toc219529988"/>
      <w:bookmarkStart w:id="65" w:name="_Toc202682644"/>
      <w:bookmarkStart w:id="66" w:name="_Hlk216710259"/>
      <w:bookmarkEnd w:id="62"/>
      <w:r w:rsidRPr="001B3164">
        <w:rPr>
          <w:noProof/>
        </w:rPr>
        <w:t>C</w:t>
      </w:r>
      <w:r w:rsidR="00330D09" w:rsidRPr="001B3164">
        <w:rPr>
          <w:noProof/>
        </w:rPr>
        <w:t>ost</w:t>
      </w:r>
      <w:r w:rsidR="00B7261C" w:rsidRPr="001B3164">
        <w:rPr>
          <w:noProof/>
        </w:rPr>
        <w:t xml:space="preserve"> of funding</w:t>
      </w:r>
      <w:r w:rsidR="00763ACD" w:rsidRPr="001B3164">
        <w:rPr>
          <w:noProof/>
        </w:rPr>
        <w:t xml:space="preserve"> </w:t>
      </w:r>
      <w:r w:rsidR="0083377B" w:rsidRPr="001B3164">
        <w:rPr>
          <w:noProof/>
        </w:rPr>
        <w:t>and liquidity management costs</w:t>
      </w:r>
      <w:bookmarkEnd w:id="64"/>
      <w:bookmarkEnd w:id="65"/>
    </w:p>
    <w:p w14:paraId="7051FF48" w14:textId="77777777" w:rsidR="001D0900" w:rsidRPr="001B3164" w:rsidRDefault="001D0900" w:rsidP="00A87F59">
      <w:pPr>
        <w:pStyle w:val="Heading2"/>
        <w:rPr>
          <w:noProof/>
        </w:rPr>
      </w:pPr>
      <w:bookmarkStart w:id="67" w:name="_Toc187701957"/>
      <w:bookmarkStart w:id="68" w:name="_Toc187702012"/>
      <w:bookmarkStart w:id="69" w:name="_Toc190904648"/>
      <w:bookmarkStart w:id="70" w:name="_Toc201318492"/>
      <w:bookmarkStart w:id="71" w:name="_Toc202682645"/>
      <w:bookmarkStart w:id="72" w:name="_Toc219529989"/>
      <w:bookmarkStart w:id="73" w:name="_Hlk219531795"/>
      <w:r w:rsidRPr="001B3164">
        <w:rPr>
          <w:noProof/>
        </w:rPr>
        <w:t>Cost of funding</w:t>
      </w:r>
      <w:bookmarkEnd w:id="67"/>
      <w:bookmarkEnd w:id="68"/>
      <w:bookmarkEnd w:id="69"/>
      <w:bookmarkEnd w:id="70"/>
      <w:bookmarkEnd w:id="71"/>
      <w:bookmarkEnd w:id="72"/>
    </w:p>
    <w:p w14:paraId="14BB5E60" w14:textId="36952E05" w:rsidR="00943313" w:rsidRPr="00D74D55" w:rsidRDefault="00943313" w:rsidP="00035235">
      <w:pPr>
        <w:rPr>
          <w:noProof/>
        </w:rPr>
      </w:pPr>
      <w:r w:rsidRPr="001B3164">
        <w:rPr>
          <w:noProof/>
        </w:rPr>
        <w:t xml:space="preserve">The cost allocation methodology under the diversified funding strategy </w:t>
      </w:r>
      <w:r w:rsidR="00831281">
        <w:rPr>
          <w:noProof/>
        </w:rPr>
        <w:t>links</w:t>
      </w:r>
      <w:r w:rsidRPr="001B3164">
        <w:rPr>
          <w:noProof/>
        </w:rPr>
        <w:t xml:space="preserve"> the costs of funding charged to beneficiaries (</w:t>
      </w:r>
      <w:r w:rsidR="00D848D3" w:rsidRPr="001B3164">
        <w:rPr>
          <w:noProof/>
        </w:rPr>
        <w:t xml:space="preserve">the </w:t>
      </w:r>
      <w:r w:rsidRPr="001B3164">
        <w:rPr>
          <w:noProof/>
        </w:rPr>
        <w:t>EU budget or loan beneficiaries) to</w:t>
      </w:r>
      <w:r w:rsidR="00D848D3" w:rsidRPr="001B3164">
        <w:rPr>
          <w:noProof/>
        </w:rPr>
        <w:t xml:space="preserve"> the</w:t>
      </w:r>
      <w:r w:rsidRPr="001B3164">
        <w:rPr>
          <w:noProof/>
        </w:rPr>
        <w:t xml:space="preserve"> conditions obtained in the market when the disbursements were financed</w:t>
      </w:r>
      <w:r w:rsidR="009E499F" w:rsidRPr="001B3164">
        <w:rPr>
          <w:noProof/>
          <w:vertAlign w:val="superscript"/>
        </w:rPr>
        <w:footnoteReference w:id="13"/>
      </w:r>
      <w:r w:rsidRPr="001B3164">
        <w:rPr>
          <w:noProof/>
        </w:rPr>
        <w:t>. In addition, borrowing costs</w:t>
      </w:r>
      <w:r w:rsidR="00226F31">
        <w:rPr>
          <w:noProof/>
        </w:rPr>
        <w:t xml:space="preserve"> are allocated</w:t>
      </w:r>
      <w:r w:rsidRPr="001B3164">
        <w:rPr>
          <w:noProof/>
        </w:rPr>
        <w:t xml:space="preserve"> on a programme-related basis</w:t>
      </w:r>
      <w:r w:rsidR="00226F31">
        <w:rPr>
          <w:noProof/>
        </w:rPr>
        <w:t xml:space="preserve"> under this methodology</w:t>
      </w:r>
      <w:r w:rsidR="00340F05" w:rsidRPr="001B3164">
        <w:rPr>
          <w:noProof/>
        </w:rPr>
        <w:t>.</w:t>
      </w:r>
    </w:p>
    <w:p w14:paraId="211B5618" w14:textId="62900E8E" w:rsidR="00481415" w:rsidRDefault="00831281" w:rsidP="000214CF">
      <w:pPr>
        <w:rPr>
          <w:noProof/>
        </w:rPr>
      </w:pPr>
      <w:r>
        <w:rPr>
          <w:noProof/>
        </w:rPr>
        <w:t>The</w:t>
      </w:r>
      <w:r w:rsidR="00481415" w:rsidRPr="00D74D55">
        <w:rPr>
          <w:noProof/>
        </w:rPr>
        <w:t xml:space="preserve"> cost of funding for NextGenerationEU payments in the June to December 2025 time compartment (‘TC9’ in the table below) is estimated at 3.32%, </w:t>
      </w:r>
      <w:r w:rsidR="00226F31">
        <w:rPr>
          <w:noProof/>
        </w:rPr>
        <w:t>up from</w:t>
      </w:r>
      <w:r w:rsidR="00481415" w:rsidRPr="00D74D55">
        <w:rPr>
          <w:noProof/>
        </w:rPr>
        <w:t xml:space="preserve"> 3.24% for the previous six-month time compartment. </w:t>
      </w:r>
      <w:r w:rsidR="00226F31">
        <w:rPr>
          <w:noProof/>
        </w:rPr>
        <w:t>A</w:t>
      </w:r>
      <w:r w:rsidR="00226F31" w:rsidRPr="00D74D55">
        <w:rPr>
          <w:noProof/>
        </w:rPr>
        <w:t>t the end of December 2025</w:t>
      </w:r>
      <w:r w:rsidR="00226F31">
        <w:rPr>
          <w:noProof/>
        </w:rPr>
        <w:t>, t</w:t>
      </w:r>
      <w:r w:rsidR="00481415" w:rsidRPr="00D74D55">
        <w:rPr>
          <w:noProof/>
        </w:rPr>
        <w:t>he cost of funding for disbursements under other programmes was between 2.70% and 2.80%, except for the</w:t>
      </w:r>
      <w:r w:rsidR="009040C4">
        <w:rPr>
          <w:noProof/>
        </w:rPr>
        <w:t xml:space="preserve"> MFA+ loan and the</w:t>
      </w:r>
      <w:r w:rsidR="00481415" w:rsidRPr="00D74D55">
        <w:rPr>
          <w:noProof/>
        </w:rPr>
        <w:t xml:space="preserve"> MFA loan to Ukraine as part of the G7 ERA initiative which had a cost of funding of</w:t>
      </w:r>
      <w:r w:rsidR="009040C4">
        <w:rPr>
          <w:noProof/>
        </w:rPr>
        <w:t xml:space="preserve"> respectively 3.15% and</w:t>
      </w:r>
      <w:r w:rsidR="00481415" w:rsidRPr="00D74D55">
        <w:rPr>
          <w:noProof/>
        </w:rPr>
        <w:t xml:space="preserve"> 2.54%.</w:t>
      </w:r>
    </w:p>
    <w:p w14:paraId="78C1FFE2" w14:textId="37167F8E" w:rsidR="0094369E" w:rsidRDefault="00F55A8C" w:rsidP="007B6993">
      <w:pPr>
        <w:rPr>
          <w:noProof/>
        </w:rPr>
      </w:pPr>
      <w:r w:rsidRPr="001B3164">
        <w:rPr>
          <w:noProof/>
        </w:rPr>
        <w:t xml:space="preserve">Differences in </w:t>
      </w:r>
      <w:r w:rsidR="0084577F" w:rsidRPr="001B3164">
        <w:rPr>
          <w:noProof/>
        </w:rPr>
        <w:t xml:space="preserve">funding costs </w:t>
      </w:r>
      <w:r w:rsidRPr="001B3164">
        <w:rPr>
          <w:noProof/>
        </w:rPr>
        <w:t xml:space="preserve">between programme compartments reflect programme </w:t>
      </w:r>
      <w:r w:rsidR="00B7500A" w:rsidRPr="001B3164">
        <w:rPr>
          <w:noProof/>
        </w:rPr>
        <w:t>characteristic</w:t>
      </w:r>
      <w:r w:rsidRPr="001B3164">
        <w:rPr>
          <w:noProof/>
        </w:rPr>
        <w:t>s, such as differences in</w:t>
      </w:r>
      <w:r w:rsidR="00B7500A" w:rsidRPr="001B3164">
        <w:rPr>
          <w:noProof/>
        </w:rPr>
        <w:t xml:space="preserve"> the</w:t>
      </w:r>
      <w:r w:rsidRPr="001B3164">
        <w:rPr>
          <w:noProof/>
        </w:rPr>
        <w:t xml:space="preserve"> </w:t>
      </w:r>
      <w:r w:rsidR="0084577F" w:rsidRPr="001B3164">
        <w:rPr>
          <w:noProof/>
        </w:rPr>
        <w:t>average maturities of borrowing instruments</w:t>
      </w:r>
      <w:r w:rsidR="00711BBE" w:rsidRPr="001B3164">
        <w:rPr>
          <w:noProof/>
          <w:vertAlign w:val="superscript"/>
        </w:rPr>
        <w:footnoteReference w:id="14"/>
      </w:r>
      <w:r w:rsidR="0084577F" w:rsidRPr="001B3164">
        <w:rPr>
          <w:noProof/>
        </w:rPr>
        <w:t xml:space="preserve">. </w:t>
      </w:r>
    </w:p>
    <w:p w14:paraId="32D1CFF5" w14:textId="77777777" w:rsidR="00226F31" w:rsidRPr="001B3164" w:rsidRDefault="00226F31" w:rsidP="007B6993">
      <w:pPr>
        <w:rPr>
          <w:noProof/>
        </w:rPr>
      </w:pPr>
    </w:p>
    <w:p w14:paraId="103CA82E" w14:textId="020C9E05" w:rsidR="004F3BBB" w:rsidRDefault="00EF6F31" w:rsidP="007B6993">
      <w:pPr>
        <w:rPr>
          <w:b/>
          <w:bCs/>
          <w:noProof/>
          <w:color w:val="034EA2" w:themeColor="accent1"/>
        </w:rPr>
      </w:pPr>
      <w:bookmarkStart w:id="74" w:name="_Hlk201318293"/>
      <w:r w:rsidRPr="001B3164">
        <w:rPr>
          <w:b/>
          <w:bCs/>
          <w:noProof/>
          <w:color w:val="034EA2" w:themeColor="accent1"/>
        </w:rPr>
        <w:t xml:space="preserve">Chart </w:t>
      </w:r>
      <w:r w:rsidR="008A3C4A" w:rsidRPr="001B3164">
        <w:rPr>
          <w:b/>
          <w:bCs/>
          <w:noProof/>
          <w:color w:val="034EA2" w:themeColor="accent1"/>
        </w:rPr>
        <w:t>6</w:t>
      </w:r>
      <w:r w:rsidRPr="001B3164">
        <w:rPr>
          <w:b/>
          <w:bCs/>
          <w:noProof/>
          <w:color w:val="034EA2" w:themeColor="accent1"/>
        </w:rPr>
        <w:t>: Cost of fundin</w:t>
      </w:r>
      <w:r w:rsidR="0094369E" w:rsidRPr="001B3164">
        <w:rPr>
          <w:b/>
          <w:bCs/>
          <w:noProof/>
          <w:color w:val="034EA2" w:themeColor="accent1"/>
        </w:rPr>
        <w:t>g</w:t>
      </w:r>
    </w:p>
    <w:tbl>
      <w:tblPr>
        <w:tblStyle w:val="TableGrid"/>
        <w:tblW w:w="5000" w:type="pct"/>
        <w:tblInd w:w="57"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088"/>
        <w:gridCol w:w="857"/>
        <w:gridCol w:w="775"/>
        <w:gridCol w:w="775"/>
        <w:gridCol w:w="775"/>
        <w:gridCol w:w="775"/>
        <w:gridCol w:w="775"/>
        <w:gridCol w:w="775"/>
        <w:gridCol w:w="775"/>
        <w:gridCol w:w="770"/>
      </w:tblGrid>
      <w:tr w:rsidR="004F3BBB" w:rsidRPr="001B3164" w14:paraId="43FEE23A" w14:textId="77777777" w:rsidTr="00177D88">
        <w:trPr>
          <w:trHeight w:val="567"/>
        </w:trPr>
        <w:tc>
          <w:tcPr>
            <w:tcW w:w="1142" w:type="pct"/>
            <w:vMerge w:val="restart"/>
            <w:shd w:val="clear" w:color="auto" w:fill="034EA2" w:themeFill="accent1"/>
            <w:vAlign w:val="center"/>
          </w:tcPr>
          <w:p w14:paraId="4727F012" w14:textId="77777777" w:rsidR="004F3BBB" w:rsidRPr="001B3164" w:rsidRDefault="004F3BBB" w:rsidP="001639D7">
            <w:pPr>
              <w:jc w:val="center"/>
              <w:rPr>
                <w:b/>
                <w:bCs/>
                <w:noProof/>
                <w:color w:val="FFFFFF" w:themeColor="background1"/>
              </w:rPr>
            </w:pPr>
            <w:bookmarkStart w:id="75" w:name="_Hlk169710857"/>
            <w:bookmarkEnd w:id="73"/>
            <w:bookmarkEnd w:id="74"/>
            <w:r w:rsidRPr="001B3164">
              <w:rPr>
                <w:b/>
                <w:bCs/>
                <w:noProof/>
                <w:color w:val="FFFFFF" w:themeColor="background1"/>
              </w:rPr>
              <w:t>NextGenerationEU</w:t>
            </w:r>
          </w:p>
        </w:tc>
        <w:tc>
          <w:tcPr>
            <w:tcW w:w="469" w:type="pct"/>
            <w:shd w:val="clear" w:color="auto" w:fill="034EA2" w:themeFill="accent1"/>
            <w:vAlign w:val="center"/>
            <w:hideMark/>
          </w:tcPr>
          <w:p w14:paraId="6231D03B" w14:textId="77777777" w:rsidR="004F3BBB" w:rsidRPr="001B3164" w:rsidRDefault="004F3BBB" w:rsidP="00177D88">
            <w:pPr>
              <w:jc w:val="center"/>
              <w:rPr>
                <w:b/>
                <w:bCs/>
                <w:noProof/>
                <w:color w:val="FFFFFF" w:themeColor="background1"/>
              </w:rPr>
            </w:pPr>
            <w:r w:rsidRPr="001B3164">
              <w:rPr>
                <w:b/>
                <w:bCs/>
                <w:noProof/>
                <w:color w:val="FFFFFF" w:themeColor="background1"/>
              </w:rPr>
              <w:t>TC1</w:t>
            </w:r>
          </w:p>
        </w:tc>
        <w:tc>
          <w:tcPr>
            <w:tcW w:w="424" w:type="pct"/>
            <w:shd w:val="clear" w:color="auto" w:fill="034EA2" w:themeFill="accent1"/>
            <w:vAlign w:val="center"/>
            <w:hideMark/>
          </w:tcPr>
          <w:p w14:paraId="2C0E64A4" w14:textId="77777777" w:rsidR="004F3BBB" w:rsidRPr="001B3164" w:rsidRDefault="004F3BBB" w:rsidP="001639D7">
            <w:pPr>
              <w:jc w:val="center"/>
              <w:rPr>
                <w:b/>
                <w:bCs/>
                <w:noProof/>
                <w:color w:val="FFFFFF" w:themeColor="background1"/>
              </w:rPr>
            </w:pPr>
            <w:r w:rsidRPr="001B3164">
              <w:rPr>
                <w:b/>
                <w:bCs/>
                <w:noProof/>
                <w:color w:val="FFFFFF" w:themeColor="background1"/>
              </w:rPr>
              <w:t>TC2</w:t>
            </w:r>
          </w:p>
        </w:tc>
        <w:tc>
          <w:tcPr>
            <w:tcW w:w="424" w:type="pct"/>
            <w:shd w:val="clear" w:color="auto" w:fill="034EA2" w:themeFill="accent1"/>
            <w:vAlign w:val="center"/>
            <w:hideMark/>
          </w:tcPr>
          <w:p w14:paraId="3F37AF0F" w14:textId="77777777" w:rsidR="004F3BBB" w:rsidRPr="001B3164" w:rsidRDefault="004F3BBB" w:rsidP="001639D7">
            <w:pPr>
              <w:jc w:val="center"/>
              <w:rPr>
                <w:b/>
                <w:bCs/>
                <w:noProof/>
                <w:color w:val="FFFFFF" w:themeColor="background1"/>
              </w:rPr>
            </w:pPr>
            <w:r w:rsidRPr="001B3164">
              <w:rPr>
                <w:b/>
                <w:bCs/>
                <w:noProof/>
                <w:color w:val="FFFFFF" w:themeColor="background1"/>
              </w:rPr>
              <w:t>TC3</w:t>
            </w:r>
          </w:p>
        </w:tc>
        <w:tc>
          <w:tcPr>
            <w:tcW w:w="424" w:type="pct"/>
            <w:shd w:val="clear" w:color="auto" w:fill="034EA2" w:themeFill="accent1"/>
            <w:vAlign w:val="center"/>
            <w:hideMark/>
          </w:tcPr>
          <w:p w14:paraId="5643B73A" w14:textId="77777777" w:rsidR="004F3BBB" w:rsidRPr="001B3164" w:rsidRDefault="004F3BBB" w:rsidP="001639D7">
            <w:pPr>
              <w:jc w:val="center"/>
              <w:rPr>
                <w:b/>
                <w:bCs/>
                <w:noProof/>
                <w:color w:val="FFFFFF" w:themeColor="background1"/>
              </w:rPr>
            </w:pPr>
            <w:r w:rsidRPr="001B3164">
              <w:rPr>
                <w:b/>
                <w:bCs/>
                <w:noProof/>
                <w:color w:val="FFFFFF" w:themeColor="background1"/>
              </w:rPr>
              <w:t>TC4</w:t>
            </w:r>
          </w:p>
        </w:tc>
        <w:tc>
          <w:tcPr>
            <w:tcW w:w="424" w:type="pct"/>
            <w:shd w:val="clear" w:color="auto" w:fill="034EA2" w:themeFill="accent1"/>
            <w:vAlign w:val="center"/>
            <w:hideMark/>
          </w:tcPr>
          <w:p w14:paraId="7ED911AB" w14:textId="77777777" w:rsidR="004F3BBB" w:rsidRPr="001B3164" w:rsidRDefault="004F3BBB" w:rsidP="001639D7">
            <w:pPr>
              <w:jc w:val="center"/>
              <w:rPr>
                <w:b/>
                <w:bCs/>
                <w:noProof/>
                <w:color w:val="FFFFFF" w:themeColor="background1"/>
              </w:rPr>
            </w:pPr>
            <w:r w:rsidRPr="001B3164">
              <w:rPr>
                <w:b/>
                <w:bCs/>
                <w:noProof/>
                <w:color w:val="FFFFFF" w:themeColor="background1"/>
              </w:rPr>
              <w:t>TC5</w:t>
            </w:r>
          </w:p>
        </w:tc>
        <w:tc>
          <w:tcPr>
            <w:tcW w:w="424" w:type="pct"/>
            <w:shd w:val="clear" w:color="auto" w:fill="034EA2" w:themeFill="accent1"/>
            <w:vAlign w:val="center"/>
          </w:tcPr>
          <w:p w14:paraId="6887D903" w14:textId="77777777" w:rsidR="004F3BBB" w:rsidRPr="001B3164" w:rsidRDefault="004F3BBB" w:rsidP="001639D7">
            <w:pPr>
              <w:jc w:val="center"/>
              <w:rPr>
                <w:b/>
                <w:bCs/>
                <w:noProof/>
                <w:color w:val="FFFFFF" w:themeColor="background1"/>
              </w:rPr>
            </w:pPr>
            <w:r w:rsidRPr="001B3164">
              <w:rPr>
                <w:b/>
                <w:bCs/>
                <w:noProof/>
                <w:color w:val="FFFFFF" w:themeColor="background1"/>
              </w:rPr>
              <w:t>TC6</w:t>
            </w:r>
          </w:p>
        </w:tc>
        <w:tc>
          <w:tcPr>
            <w:tcW w:w="424" w:type="pct"/>
            <w:shd w:val="clear" w:color="auto" w:fill="034EA2" w:themeFill="accent1"/>
            <w:vAlign w:val="center"/>
          </w:tcPr>
          <w:p w14:paraId="3E9D26BA" w14:textId="77777777" w:rsidR="004F3BBB" w:rsidRPr="001B3164" w:rsidRDefault="004F3BBB" w:rsidP="001639D7">
            <w:pPr>
              <w:jc w:val="center"/>
              <w:rPr>
                <w:b/>
                <w:bCs/>
                <w:noProof/>
                <w:color w:val="FFFFFF" w:themeColor="background1"/>
              </w:rPr>
            </w:pPr>
            <w:r w:rsidRPr="001B3164">
              <w:rPr>
                <w:b/>
                <w:bCs/>
                <w:noProof/>
                <w:color w:val="FFFFFF" w:themeColor="background1"/>
              </w:rPr>
              <w:t>TC7</w:t>
            </w:r>
          </w:p>
        </w:tc>
        <w:tc>
          <w:tcPr>
            <w:tcW w:w="424" w:type="pct"/>
            <w:shd w:val="clear" w:color="auto" w:fill="034EA2" w:themeFill="accent1"/>
            <w:vAlign w:val="center"/>
          </w:tcPr>
          <w:p w14:paraId="2DE370DB" w14:textId="77777777" w:rsidR="004F3BBB" w:rsidRPr="001B3164" w:rsidRDefault="004F3BBB" w:rsidP="001639D7">
            <w:pPr>
              <w:jc w:val="center"/>
              <w:rPr>
                <w:b/>
                <w:bCs/>
                <w:noProof/>
                <w:color w:val="FFFFFF" w:themeColor="background1"/>
              </w:rPr>
            </w:pPr>
            <w:r w:rsidRPr="001B3164">
              <w:rPr>
                <w:b/>
                <w:bCs/>
                <w:noProof/>
                <w:color w:val="FFFFFF" w:themeColor="background1"/>
              </w:rPr>
              <w:t>TC8</w:t>
            </w:r>
          </w:p>
        </w:tc>
        <w:tc>
          <w:tcPr>
            <w:tcW w:w="422" w:type="pct"/>
            <w:shd w:val="clear" w:color="auto" w:fill="034EA2" w:themeFill="accent1"/>
            <w:vAlign w:val="center"/>
          </w:tcPr>
          <w:p w14:paraId="096D5FBF" w14:textId="77777777" w:rsidR="004F3BBB" w:rsidRPr="001B3164" w:rsidRDefault="004F3BBB" w:rsidP="001639D7">
            <w:pPr>
              <w:jc w:val="center"/>
              <w:rPr>
                <w:b/>
                <w:bCs/>
                <w:noProof/>
                <w:color w:val="FFFFFF" w:themeColor="background1"/>
              </w:rPr>
            </w:pPr>
            <w:r w:rsidRPr="001B3164">
              <w:rPr>
                <w:b/>
                <w:bCs/>
                <w:noProof/>
                <w:color w:val="FFFFFF" w:themeColor="background1"/>
              </w:rPr>
              <w:t>TC</w:t>
            </w:r>
            <w:r>
              <w:rPr>
                <w:b/>
                <w:bCs/>
                <w:noProof/>
                <w:color w:val="FFFFFF" w:themeColor="background1"/>
              </w:rPr>
              <w:t>9</w:t>
            </w:r>
          </w:p>
        </w:tc>
      </w:tr>
      <w:tr w:rsidR="004F3BBB" w:rsidRPr="001B3164" w14:paraId="3EEC38EB" w14:textId="77777777" w:rsidTr="00177D88">
        <w:trPr>
          <w:trHeight w:val="415"/>
        </w:trPr>
        <w:tc>
          <w:tcPr>
            <w:tcW w:w="1142" w:type="pct"/>
            <w:vMerge/>
          </w:tcPr>
          <w:p w14:paraId="24399B9F" w14:textId="77777777" w:rsidR="004F3BBB" w:rsidRPr="001B3164" w:rsidRDefault="004F3BBB" w:rsidP="001639D7">
            <w:pPr>
              <w:jc w:val="center"/>
              <w:rPr>
                <w:noProof/>
                <w:color w:val="3B3838" w:themeColor="background2" w:themeShade="40"/>
              </w:rPr>
            </w:pPr>
          </w:p>
        </w:tc>
        <w:tc>
          <w:tcPr>
            <w:tcW w:w="469" w:type="pct"/>
            <w:vAlign w:val="center"/>
            <w:hideMark/>
          </w:tcPr>
          <w:p w14:paraId="5113E05A"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0.15%</w:t>
            </w:r>
          </w:p>
        </w:tc>
        <w:tc>
          <w:tcPr>
            <w:tcW w:w="424" w:type="pct"/>
            <w:vAlign w:val="center"/>
            <w:hideMark/>
          </w:tcPr>
          <w:p w14:paraId="0292C261" w14:textId="75283A28" w:rsidR="004F3BBB" w:rsidRPr="001B3164" w:rsidRDefault="004F3BBB" w:rsidP="001639D7">
            <w:pPr>
              <w:jc w:val="center"/>
              <w:rPr>
                <w:noProof/>
                <w:color w:val="3B3838" w:themeColor="background2" w:themeShade="40"/>
              </w:rPr>
            </w:pPr>
            <w:r w:rsidRPr="001B3164">
              <w:rPr>
                <w:noProof/>
                <w:color w:val="3B3838" w:themeColor="background2" w:themeShade="40"/>
              </w:rPr>
              <w:t>1.</w:t>
            </w:r>
            <w:r>
              <w:rPr>
                <w:noProof/>
                <w:color w:val="3B3838" w:themeColor="background2" w:themeShade="40"/>
              </w:rPr>
              <w:t>57</w:t>
            </w:r>
            <w:r w:rsidRPr="001B3164">
              <w:rPr>
                <w:noProof/>
                <w:color w:val="3B3838" w:themeColor="background2" w:themeShade="40"/>
              </w:rPr>
              <w:t>%</w:t>
            </w:r>
          </w:p>
        </w:tc>
        <w:tc>
          <w:tcPr>
            <w:tcW w:w="424" w:type="pct"/>
            <w:vAlign w:val="center"/>
            <w:hideMark/>
          </w:tcPr>
          <w:p w14:paraId="5337A302" w14:textId="234C0CFD" w:rsidR="004F3BBB" w:rsidRPr="001B3164" w:rsidRDefault="004F3BBB" w:rsidP="001639D7">
            <w:pPr>
              <w:jc w:val="center"/>
              <w:rPr>
                <w:noProof/>
                <w:color w:val="3B3838" w:themeColor="background2" w:themeShade="40"/>
              </w:rPr>
            </w:pPr>
            <w:r w:rsidRPr="001B3164">
              <w:rPr>
                <w:noProof/>
                <w:color w:val="3B3838" w:themeColor="background2" w:themeShade="40"/>
              </w:rPr>
              <w:t>2.6</w:t>
            </w:r>
            <w:r>
              <w:rPr>
                <w:noProof/>
                <w:color w:val="3B3838" w:themeColor="background2" w:themeShade="40"/>
              </w:rPr>
              <w:t>8</w:t>
            </w:r>
            <w:r w:rsidRPr="001B3164">
              <w:rPr>
                <w:noProof/>
                <w:color w:val="3B3838" w:themeColor="background2" w:themeShade="40"/>
              </w:rPr>
              <w:t>%</w:t>
            </w:r>
          </w:p>
        </w:tc>
        <w:tc>
          <w:tcPr>
            <w:tcW w:w="424" w:type="pct"/>
            <w:vAlign w:val="center"/>
            <w:hideMark/>
          </w:tcPr>
          <w:p w14:paraId="18755E2C" w14:textId="536EADD2" w:rsidR="004F3BBB" w:rsidRPr="001B3164" w:rsidRDefault="004F3BBB" w:rsidP="001639D7">
            <w:pPr>
              <w:jc w:val="center"/>
              <w:rPr>
                <w:noProof/>
                <w:color w:val="3B3838" w:themeColor="background2" w:themeShade="40"/>
              </w:rPr>
            </w:pPr>
            <w:r w:rsidRPr="001B3164">
              <w:rPr>
                <w:noProof/>
                <w:color w:val="3B3838" w:themeColor="background2" w:themeShade="40"/>
              </w:rPr>
              <w:t>3.2</w:t>
            </w:r>
            <w:r>
              <w:rPr>
                <w:noProof/>
                <w:color w:val="3B3838" w:themeColor="background2" w:themeShade="40"/>
              </w:rPr>
              <w:t>4</w:t>
            </w:r>
            <w:r w:rsidRPr="001B3164">
              <w:rPr>
                <w:noProof/>
                <w:color w:val="3B3838" w:themeColor="background2" w:themeShade="40"/>
              </w:rPr>
              <w:t>%</w:t>
            </w:r>
          </w:p>
        </w:tc>
        <w:tc>
          <w:tcPr>
            <w:tcW w:w="424" w:type="pct"/>
            <w:vAlign w:val="center"/>
            <w:hideMark/>
          </w:tcPr>
          <w:p w14:paraId="69AA6B50" w14:textId="598BDBEF" w:rsidR="004F3BBB" w:rsidRPr="001B3164" w:rsidRDefault="004F3BBB" w:rsidP="001639D7">
            <w:pPr>
              <w:jc w:val="center"/>
              <w:rPr>
                <w:noProof/>
                <w:color w:val="3B3838" w:themeColor="background2" w:themeShade="40"/>
              </w:rPr>
            </w:pPr>
            <w:r w:rsidRPr="001B3164">
              <w:rPr>
                <w:noProof/>
                <w:color w:val="3B3838" w:themeColor="background2" w:themeShade="40"/>
              </w:rPr>
              <w:t>3.5</w:t>
            </w:r>
            <w:r>
              <w:rPr>
                <w:noProof/>
                <w:color w:val="3B3838" w:themeColor="background2" w:themeShade="40"/>
              </w:rPr>
              <w:t>8</w:t>
            </w:r>
            <w:r w:rsidRPr="001B3164">
              <w:rPr>
                <w:noProof/>
                <w:color w:val="3B3838" w:themeColor="background2" w:themeShade="40"/>
              </w:rPr>
              <w:t>%</w:t>
            </w:r>
          </w:p>
        </w:tc>
        <w:tc>
          <w:tcPr>
            <w:tcW w:w="424" w:type="pct"/>
            <w:vAlign w:val="center"/>
          </w:tcPr>
          <w:p w14:paraId="49E3D825"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3.19%</w:t>
            </w:r>
          </w:p>
        </w:tc>
        <w:tc>
          <w:tcPr>
            <w:tcW w:w="424" w:type="pct"/>
            <w:vAlign w:val="center"/>
          </w:tcPr>
          <w:p w14:paraId="44E7D57D" w14:textId="2BDE25CA" w:rsidR="004F3BBB" w:rsidRPr="001B3164" w:rsidRDefault="004F3BBB" w:rsidP="001639D7">
            <w:pPr>
              <w:jc w:val="center"/>
              <w:rPr>
                <w:noProof/>
                <w:color w:val="3B3838" w:themeColor="background2" w:themeShade="40"/>
              </w:rPr>
            </w:pPr>
            <w:r>
              <w:rPr>
                <w:noProof/>
                <w:color w:val="3B3838" w:themeColor="background2" w:themeShade="40"/>
              </w:rPr>
              <w:t>3</w:t>
            </w:r>
            <w:r w:rsidRPr="001B3164">
              <w:rPr>
                <w:noProof/>
                <w:color w:val="3B3838" w:themeColor="background2" w:themeShade="40"/>
              </w:rPr>
              <w:t>.</w:t>
            </w:r>
            <w:r>
              <w:rPr>
                <w:noProof/>
                <w:color w:val="3B3838" w:themeColor="background2" w:themeShade="40"/>
              </w:rPr>
              <w:t>05</w:t>
            </w:r>
            <w:r w:rsidRPr="001B3164">
              <w:rPr>
                <w:noProof/>
                <w:color w:val="3B3838" w:themeColor="background2" w:themeShade="40"/>
              </w:rPr>
              <w:t>%</w:t>
            </w:r>
          </w:p>
        </w:tc>
        <w:tc>
          <w:tcPr>
            <w:tcW w:w="424" w:type="pct"/>
            <w:vAlign w:val="center"/>
          </w:tcPr>
          <w:p w14:paraId="0CF5F248" w14:textId="6D46B5B0" w:rsidR="004F3BBB" w:rsidRPr="001B3164" w:rsidRDefault="004F3BBB" w:rsidP="001639D7">
            <w:pPr>
              <w:jc w:val="center"/>
              <w:rPr>
                <w:noProof/>
                <w:color w:val="3B3838" w:themeColor="background2" w:themeShade="40"/>
              </w:rPr>
            </w:pPr>
            <w:r w:rsidRPr="001B3164">
              <w:rPr>
                <w:noProof/>
                <w:color w:val="3B3838" w:themeColor="background2" w:themeShade="40"/>
              </w:rPr>
              <w:t>3.</w:t>
            </w:r>
            <w:r>
              <w:rPr>
                <w:noProof/>
                <w:color w:val="3B3838" w:themeColor="background2" w:themeShade="40"/>
              </w:rPr>
              <w:t>24</w:t>
            </w:r>
            <w:r w:rsidRPr="001B3164">
              <w:rPr>
                <w:noProof/>
                <w:color w:val="3B3838" w:themeColor="background2" w:themeShade="40"/>
              </w:rPr>
              <w:t>%</w:t>
            </w:r>
          </w:p>
        </w:tc>
        <w:tc>
          <w:tcPr>
            <w:tcW w:w="422" w:type="pct"/>
            <w:vAlign w:val="center"/>
          </w:tcPr>
          <w:p w14:paraId="525C6DC6"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3.</w:t>
            </w:r>
            <w:r>
              <w:rPr>
                <w:noProof/>
                <w:color w:val="3B3838" w:themeColor="background2" w:themeShade="40"/>
              </w:rPr>
              <w:t>32</w:t>
            </w:r>
            <w:r w:rsidRPr="001B3164">
              <w:rPr>
                <w:noProof/>
                <w:color w:val="3B3838" w:themeColor="background2" w:themeShade="40"/>
              </w:rPr>
              <w:t>%</w:t>
            </w:r>
          </w:p>
        </w:tc>
      </w:tr>
    </w:tbl>
    <w:p w14:paraId="0750701B" w14:textId="77777777" w:rsidR="004F3BBB" w:rsidRPr="004F3BBB" w:rsidRDefault="004F3BBB" w:rsidP="004F3BBB">
      <w:pPr>
        <w:spacing w:after="0"/>
        <w:rPr>
          <w:b/>
          <w:bCs/>
          <w:noProof/>
          <w:color w:val="034EA2" w:themeColor="accent1"/>
          <w:sz w:val="12"/>
          <w:szCs w:val="14"/>
        </w:rPr>
      </w:pPr>
    </w:p>
    <w:tbl>
      <w:tblPr>
        <w:tblStyle w:val="TableGrid"/>
        <w:tblW w:w="3736" w:type="dxa"/>
        <w:tblInd w:w="43"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CellMar>
          <w:left w:w="57" w:type="dxa"/>
          <w:right w:w="57" w:type="dxa"/>
        </w:tblCellMar>
        <w:tblLook w:val="04A0" w:firstRow="1" w:lastRow="0" w:firstColumn="1" w:lastColumn="0" w:noHBand="0" w:noVBand="1"/>
      </w:tblPr>
      <w:tblGrid>
        <w:gridCol w:w="2100"/>
        <w:gridCol w:w="831"/>
        <w:gridCol w:w="805"/>
      </w:tblGrid>
      <w:tr w:rsidR="004F3BBB" w:rsidRPr="001B3164" w14:paraId="26DC53BC" w14:textId="77777777" w:rsidTr="00177D88">
        <w:trPr>
          <w:trHeight w:val="510"/>
        </w:trPr>
        <w:tc>
          <w:tcPr>
            <w:tcW w:w="2100" w:type="dxa"/>
            <w:vMerge w:val="restart"/>
            <w:shd w:val="clear" w:color="auto" w:fill="034EA2" w:themeFill="accent1"/>
            <w:vAlign w:val="center"/>
          </w:tcPr>
          <w:p w14:paraId="33E98264" w14:textId="4CB51680" w:rsidR="004F3BBB" w:rsidRPr="001B3164" w:rsidRDefault="004F3BBB" w:rsidP="001639D7">
            <w:pPr>
              <w:spacing w:line="216" w:lineRule="auto"/>
              <w:jc w:val="center"/>
              <w:rPr>
                <w:b/>
                <w:bCs/>
                <w:noProof/>
                <w:color w:val="FFFFFF" w:themeColor="background1"/>
              </w:rPr>
            </w:pPr>
            <w:r w:rsidRPr="00661F96">
              <w:rPr>
                <w:b/>
                <w:bCs/>
                <w:noProof/>
                <w:color w:val="FFFFFF" w:themeColor="background1"/>
              </w:rPr>
              <w:t>Western Balkans Reform and Growth Facility</w:t>
            </w:r>
          </w:p>
        </w:tc>
        <w:tc>
          <w:tcPr>
            <w:tcW w:w="831" w:type="dxa"/>
            <w:shd w:val="clear" w:color="auto" w:fill="034EA2" w:themeFill="accent1"/>
            <w:vAlign w:val="center"/>
            <w:hideMark/>
          </w:tcPr>
          <w:p w14:paraId="203C1437" w14:textId="5A2D0630" w:rsidR="004F3BBB" w:rsidRPr="001B3164" w:rsidRDefault="004F3BBB" w:rsidP="00177D88">
            <w:pPr>
              <w:jc w:val="center"/>
              <w:rPr>
                <w:b/>
                <w:bCs/>
                <w:noProof/>
                <w:color w:val="FFFFFF" w:themeColor="background1"/>
              </w:rPr>
            </w:pPr>
            <w:r w:rsidRPr="001B3164">
              <w:rPr>
                <w:b/>
                <w:bCs/>
                <w:noProof/>
                <w:color w:val="FFFFFF" w:themeColor="background1"/>
              </w:rPr>
              <w:t>TC1</w:t>
            </w:r>
          </w:p>
        </w:tc>
        <w:tc>
          <w:tcPr>
            <w:tcW w:w="805" w:type="dxa"/>
            <w:shd w:val="clear" w:color="auto" w:fill="034EA2" w:themeFill="accent1"/>
            <w:vAlign w:val="center"/>
            <w:hideMark/>
          </w:tcPr>
          <w:p w14:paraId="3BE04C4F" w14:textId="3F0DF17A" w:rsidR="004F3BBB" w:rsidRPr="001B3164" w:rsidRDefault="004F3BBB" w:rsidP="001639D7">
            <w:pPr>
              <w:jc w:val="center"/>
              <w:rPr>
                <w:b/>
                <w:bCs/>
                <w:noProof/>
                <w:color w:val="FFFFFF" w:themeColor="background1"/>
              </w:rPr>
            </w:pPr>
            <w:r w:rsidRPr="001B3164">
              <w:rPr>
                <w:b/>
                <w:bCs/>
                <w:noProof/>
                <w:color w:val="FFFFFF" w:themeColor="background1"/>
              </w:rPr>
              <w:t>TC2</w:t>
            </w:r>
          </w:p>
        </w:tc>
      </w:tr>
      <w:tr w:rsidR="004F3BBB" w:rsidRPr="001B3164" w14:paraId="3F8DF4A8" w14:textId="77777777" w:rsidTr="00177D88">
        <w:trPr>
          <w:trHeight w:val="415"/>
        </w:trPr>
        <w:tc>
          <w:tcPr>
            <w:tcW w:w="2100" w:type="dxa"/>
            <w:vMerge/>
          </w:tcPr>
          <w:p w14:paraId="6D850F63" w14:textId="1808E011" w:rsidR="004F3BBB" w:rsidRPr="001B3164" w:rsidRDefault="004F3BBB" w:rsidP="001639D7">
            <w:pPr>
              <w:jc w:val="center"/>
              <w:rPr>
                <w:noProof/>
                <w:color w:val="3B3838" w:themeColor="background2" w:themeShade="40"/>
              </w:rPr>
            </w:pPr>
          </w:p>
        </w:tc>
        <w:tc>
          <w:tcPr>
            <w:tcW w:w="831" w:type="dxa"/>
            <w:vAlign w:val="center"/>
            <w:hideMark/>
          </w:tcPr>
          <w:p w14:paraId="24AC3CBB" w14:textId="051C8CE7" w:rsidR="004F3BBB" w:rsidRPr="001B3164" w:rsidRDefault="004F3BBB" w:rsidP="001639D7">
            <w:pPr>
              <w:jc w:val="center"/>
              <w:rPr>
                <w:noProof/>
                <w:color w:val="3B3838" w:themeColor="background2" w:themeShade="40"/>
              </w:rPr>
            </w:pPr>
            <w:r>
              <w:rPr>
                <w:noProof/>
                <w:color w:val="3B3838" w:themeColor="background2" w:themeShade="40"/>
              </w:rPr>
              <w:t>2</w:t>
            </w:r>
            <w:r w:rsidRPr="001B3164">
              <w:rPr>
                <w:noProof/>
                <w:color w:val="3B3838" w:themeColor="background2" w:themeShade="40"/>
              </w:rPr>
              <w:t>.</w:t>
            </w:r>
            <w:r>
              <w:rPr>
                <w:noProof/>
                <w:color w:val="3B3838" w:themeColor="background2" w:themeShade="40"/>
              </w:rPr>
              <w:t>8</w:t>
            </w:r>
            <w:r w:rsidRPr="001B3164">
              <w:rPr>
                <w:noProof/>
                <w:color w:val="3B3838" w:themeColor="background2" w:themeShade="40"/>
              </w:rPr>
              <w:t>5%</w:t>
            </w:r>
          </w:p>
        </w:tc>
        <w:tc>
          <w:tcPr>
            <w:tcW w:w="805" w:type="dxa"/>
            <w:vAlign w:val="center"/>
            <w:hideMark/>
          </w:tcPr>
          <w:p w14:paraId="7EA29DD5" w14:textId="33561C03" w:rsidR="004F3BBB" w:rsidRPr="001B3164" w:rsidRDefault="004F3BBB" w:rsidP="001639D7">
            <w:pPr>
              <w:jc w:val="center"/>
              <w:rPr>
                <w:noProof/>
                <w:color w:val="3B3838" w:themeColor="background2" w:themeShade="40"/>
              </w:rPr>
            </w:pPr>
            <w:r>
              <w:rPr>
                <w:noProof/>
                <w:color w:val="3B3838" w:themeColor="background2" w:themeShade="40"/>
              </w:rPr>
              <w:t>2</w:t>
            </w:r>
            <w:r w:rsidRPr="001B3164">
              <w:rPr>
                <w:noProof/>
                <w:color w:val="3B3838" w:themeColor="background2" w:themeShade="40"/>
              </w:rPr>
              <w:t>.</w:t>
            </w:r>
            <w:r>
              <w:rPr>
                <w:noProof/>
                <w:color w:val="3B3838" w:themeColor="background2" w:themeShade="40"/>
              </w:rPr>
              <w:t>72</w:t>
            </w:r>
            <w:r w:rsidRPr="001B3164">
              <w:rPr>
                <w:noProof/>
                <w:color w:val="3B3838" w:themeColor="background2" w:themeShade="40"/>
              </w:rPr>
              <w:t>%</w:t>
            </w:r>
          </w:p>
        </w:tc>
      </w:tr>
    </w:tbl>
    <w:p w14:paraId="43EFA9AC" w14:textId="77777777" w:rsidR="004F3BBB" w:rsidRPr="004F3BBB" w:rsidRDefault="004F3BBB" w:rsidP="004F3BBB">
      <w:pPr>
        <w:spacing w:after="0"/>
        <w:rPr>
          <w:b/>
          <w:bCs/>
          <w:noProof/>
          <w:color w:val="034EA2" w:themeColor="accent1"/>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8"/>
        <w:gridCol w:w="2116"/>
        <w:gridCol w:w="2056"/>
        <w:gridCol w:w="2052"/>
      </w:tblGrid>
      <w:tr w:rsidR="00B14F69" w:rsidRPr="001B3164" w14:paraId="0ADD8875" w14:textId="77777777" w:rsidTr="00B14F69">
        <w:trPr>
          <w:trHeight w:val="510"/>
        </w:trPr>
        <w:tc>
          <w:tcPr>
            <w:tcW w:w="1570" w:type="pct"/>
            <w:vMerge w:val="restart"/>
            <w:shd w:val="clear" w:color="auto" w:fill="034EA2" w:themeFill="accent1"/>
            <w:vAlign w:val="center"/>
          </w:tcPr>
          <w:p w14:paraId="1EB005FC" w14:textId="77777777" w:rsidR="00B14F69" w:rsidRPr="001B3164" w:rsidRDefault="00B14F69" w:rsidP="004F3BBB">
            <w:pPr>
              <w:jc w:val="center"/>
              <w:rPr>
                <w:b/>
                <w:bCs/>
                <w:noProof/>
                <w:color w:val="FFFFFF" w:themeColor="background1"/>
              </w:rPr>
            </w:pPr>
            <w:r>
              <w:rPr>
                <w:b/>
                <w:bCs/>
                <w:noProof/>
                <w:color w:val="FFFFFF" w:themeColor="background1"/>
              </w:rPr>
              <w:t>Ukraine</w:t>
            </w:r>
          </w:p>
        </w:tc>
        <w:tc>
          <w:tcPr>
            <w:tcW w:w="1166" w:type="pct"/>
            <w:shd w:val="clear" w:color="auto" w:fill="034EA2" w:themeFill="accent1"/>
            <w:vAlign w:val="center"/>
          </w:tcPr>
          <w:p w14:paraId="61E2616C" w14:textId="45096544" w:rsidR="00B14F69" w:rsidRPr="001B3164" w:rsidRDefault="00B14F69" w:rsidP="001639D7">
            <w:pPr>
              <w:jc w:val="center"/>
              <w:rPr>
                <w:b/>
                <w:bCs/>
                <w:noProof/>
                <w:color w:val="FFFFFF" w:themeColor="background1"/>
              </w:rPr>
            </w:pPr>
            <w:r w:rsidRPr="001B3164">
              <w:rPr>
                <w:b/>
                <w:bCs/>
                <w:noProof/>
                <w:color w:val="FFFFFF" w:themeColor="background1"/>
              </w:rPr>
              <w:t>Ukraine Facility</w:t>
            </w:r>
          </w:p>
        </w:tc>
        <w:tc>
          <w:tcPr>
            <w:tcW w:w="1133" w:type="pct"/>
            <w:shd w:val="clear" w:color="auto" w:fill="034EA2" w:themeFill="accent1"/>
            <w:vAlign w:val="center"/>
          </w:tcPr>
          <w:p w14:paraId="44C05403" w14:textId="77777777" w:rsidR="00B14F69" w:rsidRPr="001B3164" w:rsidRDefault="00B14F69" w:rsidP="001639D7">
            <w:pPr>
              <w:jc w:val="center"/>
              <w:rPr>
                <w:b/>
                <w:bCs/>
                <w:noProof/>
                <w:color w:val="FFFFFF" w:themeColor="background1"/>
              </w:rPr>
            </w:pPr>
            <w:r w:rsidRPr="001B3164">
              <w:rPr>
                <w:b/>
                <w:bCs/>
                <w:noProof/>
                <w:color w:val="FFFFFF" w:themeColor="background1"/>
              </w:rPr>
              <w:t>MFA+</w:t>
            </w:r>
          </w:p>
        </w:tc>
        <w:tc>
          <w:tcPr>
            <w:tcW w:w="1131" w:type="pct"/>
            <w:shd w:val="clear" w:color="auto" w:fill="034EA2" w:themeFill="accent1"/>
            <w:vAlign w:val="center"/>
          </w:tcPr>
          <w:p w14:paraId="2163C086" w14:textId="77777777" w:rsidR="00B14F69" w:rsidRPr="001B3164" w:rsidRDefault="00B14F69" w:rsidP="004F3BBB">
            <w:pPr>
              <w:spacing w:line="216" w:lineRule="auto"/>
              <w:jc w:val="center"/>
              <w:rPr>
                <w:b/>
                <w:bCs/>
                <w:noProof/>
                <w:color w:val="FFFFFF" w:themeColor="background1"/>
              </w:rPr>
            </w:pPr>
            <w:r w:rsidRPr="001B3164">
              <w:rPr>
                <w:b/>
                <w:bCs/>
                <w:noProof/>
                <w:color w:val="FFFFFF" w:themeColor="background1"/>
              </w:rPr>
              <w:t>MFA Ukraine</w:t>
            </w:r>
            <w:r>
              <w:rPr>
                <w:b/>
                <w:bCs/>
                <w:noProof/>
                <w:color w:val="FFFFFF" w:themeColor="background1"/>
              </w:rPr>
              <w:br/>
            </w:r>
            <w:r w:rsidRPr="001B3164">
              <w:rPr>
                <w:b/>
                <w:bCs/>
                <w:noProof/>
                <w:color w:val="FFFFFF" w:themeColor="background1"/>
              </w:rPr>
              <w:t>(G7 ERA)</w:t>
            </w:r>
          </w:p>
        </w:tc>
      </w:tr>
      <w:tr w:rsidR="004F3BBB" w:rsidRPr="001B3164" w14:paraId="45FC15D9" w14:textId="77777777" w:rsidTr="00B14F69">
        <w:trPr>
          <w:trHeight w:val="428"/>
        </w:trPr>
        <w:tc>
          <w:tcPr>
            <w:tcW w:w="1570" w:type="pct"/>
            <w:vMerge/>
          </w:tcPr>
          <w:p w14:paraId="28CA46A7" w14:textId="147ECCB5" w:rsidR="004F3BBB" w:rsidRPr="001B3164" w:rsidRDefault="004F3BBB" w:rsidP="001639D7">
            <w:pPr>
              <w:jc w:val="center"/>
              <w:rPr>
                <w:noProof/>
                <w:color w:val="3B3838" w:themeColor="background2" w:themeShade="40"/>
              </w:rPr>
            </w:pPr>
          </w:p>
        </w:tc>
        <w:tc>
          <w:tcPr>
            <w:tcW w:w="1166" w:type="pct"/>
            <w:vAlign w:val="center"/>
          </w:tcPr>
          <w:p w14:paraId="7FE6BB06" w14:textId="5F7FEE8E" w:rsidR="004F3BBB" w:rsidRPr="001B3164" w:rsidRDefault="004F3BBB" w:rsidP="001639D7">
            <w:pPr>
              <w:jc w:val="center"/>
              <w:rPr>
                <w:noProof/>
                <w:color w:val="3B3838" w:themeColor="background2" w:themeShade="40"/>
              </w:rPr>
            </w:pPr>
            <w:r w:rsidRPr="001B3164">
              <w:rPr>
                <w:noProof/>
                <w:color w:val="3B3838" w:themeColor="background2" w:themeShade="40"/>
              </w:rPr>
              <w:t>2.7</w:t>
            </w:r>
            <w:r>
              <w:rPr>
                <w:noProof/>
                <w:color w:val="3B3838" w:themeColor="background2" w:themeShade="40"/>
              </w:rPr>
              <w:t>6</w:t>
            </w:r>
            <w:r w:rsidRPr="001B3164">
              <w:rPr>
                <w:noProof/>
                <w:color w:val="3B3838" w:themeColor="background2" w:themeShade="40"/>
              </w:rPr>
              <w:t>%</w:t>
            </w:r>
          </w:p>
        </w:tc>
        <w:tc>
          <w:tcPr>
            <w:tcW w:w="1133" w:type="pct"/>
            <w:vAlign w:val="center"/>
          </w:tcPr>
          <w:p w14:paraId="51A1C56C"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3.1</w:t>
            </w:r>
            <w:r>
              <w:rPr>
                <w:noProof/>
                <w:color w:val="3B3838" w:themeColor="background2" w:themeShade="40"/>
              </w:rPr>
              <w:t>5</w:t>
            </w:r>
            <w:r w:rsidRPr="001B3164">
              <w:rPr>
                <w:noProof/>
                <w:color w:val="3B3838" w:themeColor="background2" w:themeShade="40"/>
              </w:rPr>
              <w:t>%</w:t>
            </w:r>
          </w:p>
        </w:tc>
        <w:tc>
          <w:tcPr>
            <w:tcW w:w="1131" w:type="pct"/>
            <w:vAlign w:val="center"/>
          </w:tcPr>
          <w:p w14:paraId="461F9DF8" w14:textId="49EF9D45" w:rsidR="004F3BBB" w:rsidRPr="001B3164" w:rsidRDefault="004F3BBB" w:rsidP="001639D7">
            <w:pPr>
              <w:jc w:val="center"/>
              <w:rPr>
                <w:noProof/>
                <w:color w:val="3B3838" w:themeColor="background2" w:themeShade="40"/>
              </w:rPr>
            </w:pPr>
            <w:r w:rsidRPr="001B3164">
              <w:rPr>
                <w:noProof/>
                <w:color w:val="3B3838" w:themeColor="background2" w:themeShade="40"/>
              </w:rPr>
              <w:t>2.5</w:t>
            </w:r>
            <w:r>
              <w:rPr>
                <w:noProof/>
                <w:color w:val="3B3838" w:themeColor="background2" w:themeShade="40"/>
              </w:rPr>
              <w:t>4</w:t>
            </w:r>
            <w:r w:rsidRPr="001B3164">
              <w:rPr>
                <w:noProof/>
                <w:color w:val="3B3838" w:themeColor="background2" w:themeShade="40"/>
              </w:rPr>
              <w:t>%</w:t>
            </w:r>
          </w:p>
        </w:tc>
      </w:tr>
    </w:tbl>
    <w:p w14:paraId="527C277C" w14:textId="77777777" w:rsidR="004F3BBB" w:rsidRPr="004F3BBB" w:rsidRDefault="004F3BBB" w:rsidP="004F3BBB">
      <w:pPr>
        <w:spacing w:after="0"/>
        <w:rPr>
          <w:noProof/>
          <w:sz w:val="12"/>
          <w:szCs w:val="14"/>
        </w:rPr>
      </w:pPr>
    </w:p>
    <w:tbl>
      <w:tblPr>
        <w:tblStyle w:val="TableGrid"/>
        <w:tblW w:w="4908" w:type="pct"/>
        <w:tblInd w:w="108" w:type="dxa"/>
        <w:tblBorders>
          <w:top w:val="none" w:sz="0" w:space="0" w:color="auto"/>
          <w:left w:val="none" w:sz="0" w:space="0" w:color="auto"/>
          <w:bottom w:val="none" w:sz="0" w:space="0" w:color="auto"/>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058"/>
        <w:gridCol w:w="2380"/>
        <w:gridCol w:w="2319"/>
        <w:gridCol w:w="2315"/>
      </w:tblGrid>
      <w:tr w:rsidR="004F3BBB" w:rsidRPr="001B3164" w14:paraId="3DE12F8A" w14:textId="77777777" w:rsidTr="00177D88">
        <w:trPr>
          <w:trHeight w:val="510"/>
        </w:trPr>
        <w:tc>
          <w:tcPr>
            <w:tcW w:w="1134" w:type="pct"/>
            <w:vMerge w:val="restart"/>
            <w:shd w:val="clear" w:color="auto" w:fill="034EA2" w:themeFill="accent1"/>
            <w:vAlign w:val="center"/>
          </w:tcPr>
          <w:p w14:paraId="2C850882" w14:textId="77777777" w:rsidR="004F3BBB" w:rsidRPr="001B3164" w:rsidRDefault="004F3BBB" w:rsidP="001639D7">
            <w:pPr>
              <w:jc w:val="center"/>
              <w:rPr>
                <w:b/>
                <w:bCs/>
                <w:noProof/>
                <w:color w:val="FFFFFF" w:themeColor="background1"/>
              </w:rPr>
            </w:pPr>
            <w:r>
              <w:rPr>
                <w:b/>
                <w:bCs/>
                <w:noProof/>
                <w:color w:val="FFFFFF" w:themeColor="background1"/>
              </w:rPr>
              <w:t>Other Countries</w:t>
            </w:r>
          </w:p>
        </w:tc>
        <w:tc>
          <w:tcPr>
            <w:tcW w:w="1312" w:type="pct"/>
            <w:shd w:val="clear" w:color="auto" w:fill="034EA2" w:themeFill="accent1"/>
            <w:vAlign w:val="center"/>
          </w:tcPr>
          <w:p w14:paraId="06A4207C" w14:textId="77777777" w:rsidR="004F3BBB" w:rsidRPr="001B3164" w:rsidRDefault="004F3BBB" w:rsidP="001639D7">
            <w:pPr>
              <w:jc w:val="center"/>
              <w:rPr>
                <w:b/>
                <w:bCs/>
                <w:noProof/>
                <w:color w:val="FFFFFF" w:themeColor="background1"/>
              </w:rPr>
            </w:pPr>
            <w:r w:rsidRPr="001B3164">
              <w:rPr>
                <w:b/>
                <w:bCs/>
                <w:noProof/>
                <w:color w:val="FFFFFF" w:themeColor="background1"/>
              </w:rPr>
              <w:t>MFA Egypt</w:t>
            </w:r>
          </w:p>
        </w:tc>
        <w:tc>
          <w:tcPr>
            <w:tcW w:w="1278" w:type="pct"/>
            <w:shd w:val="clear" w:color="auto" w:fill="034EA2" w:themeFill="accent1"/>
            <w:vAlign w:val="center"/>
          </w:tcPr>
          <w:p w14:paraId="617EE82F" w14:textId="77777777" w:rsidR="004F3BBB" w:rsidRPr="001B3164" w:rsidRDefault="004F3BBB" w:rsidP="001639D7">
            <w:pPr>
              <w:jc w:val="center"/>
              <w:rPr>
                <w:b/>
                <w:bCs/>
                <w:noProof/>
                <w:color w:val="FFFFFF" w:themeColor="background1"/>
              </w:rPr>
            </w:pPr>
            <w:r w:rsidRPr="001B3164">
              <w:rPr>
                <w:b/>
                <w:bCs/>
                <w:noProof/>
                <w:color w:val="FFFFFF" w:themeColor="background1"/>
              </w:rPr>
              <w:t xml:space="preserve">MFA </w:t>
            </w:r>
            <w:r>
              <w:rPr>
                <w:b/>
                <w:bCs/>
                <w:noProof/>
                <w:color w:val="FFFFFF" w:themeColor="background1"/>
              </w:rPr>
              <w:t>Jordan</w:t>
            </w:r>
          </w:p>
        </w:tc>
        <w:tc>
          <w:tcPr>
            <w:tcW w:w="1276" w:type="pct"/>
            <w:shd w:val="clear" w:color="auto" w:fill="034EA2" w:themeFill="accent1"/>
            <w:vAlign w:val="center"/>
          </w:tcPr>
          <w:p w14:paraId="5C9E3EEF" w14:textId="77777777" w:rsidR="004F3BBB" w:rsidRPr="001B3164" w:rsidRDefault="004F3BBB" w:rsidP="001639D7">
            <w:pPr>
              <w:jc w:val="center"/>
              <w:rPr>
                <w:b/>
                <w:bCs/>
                <w:noProof/>
                <w:color w:val="FFFFFF" w:themeColor="background1"/>
              </w:rPr>
            </w:pPr>
            <w:r w:rsidRPr="001B3164">
              <w:rPr>
                <w:b/>
                <w:bCs/>
                <w:noProof/>
                <w:color w:val="FFFFFF" w:themeColor="background1"/>
              </w:rPr>
              <w:t>Reform and Growth Facility for Moldova</w:t>
            </w:r>
          </w:p>
        </w:tc>
      </w:tr>
      <w:tr w:rsidR="004F3BBB" w:rsidRPr="001B3164" w14:paraId="09936717" w14:textId="77777777" w:rsidTr="004F3BBB">
        <w:trPr>
          <w:trHeight w:val="428"/>
        </w:trPr>
        <w:tc>
          <w:tcPr>
            <w:tcW w:w="1134" w:type="pct"/>
            <w:vMerge/>
          </w:tcPr>
          <w:p w14:paraId="02E99D60" w14:textId="77777777" w:rsidR="004F3BBB" w:rsidRPr="001B3164" w:rsidRDefault="004F3BBB" w:rsidP="001639D7">
            <w:pPr>
              <w:jc w:val="center"/>
              <w:rPr>
                <w:noProof/>
                <w:color w:val="3B3838" w:themeColor="background2" w:themeShade="40"/>
              </w:rPr>
            </w:pPr>
          </w:p>
        </w:tc>
        <w:tc>
          <w:tcPr>
            <w:tcW w:w="1312" w:type="pct"/>
            <w:vAlign w:val="center"/>
          </w:tcPr>
          <w:p w14:paraId="57470FFD"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2.7</w:t>
            </w:r>
            <w:r>
              <w:rPr>
                <w:noProof/>
                <w:color w:val="3B3838" w:themeColor="background2" w:themeShade="40"/>
              </w:rPr>
              <w:t>6</w:t>
            </w:r>
            <w:r w:rsidRPr="001B3164">
              <w:rPr>
                <w:noProof/>
                <w:color w:val="3B3838" w:themeColor="background2" w:themeShade="40"/>
              </w:rPr>
              <w:t>%</w:t>
            </w:r>
          </w:p>
        </w:tc>
        <w:tc>
          <w:tcPr>
            <w:tcW w:w="1278" w:type="pct"/>
            <w:vAlign w:val="center"/>
          </w:tcPr>
          <w:p w14:paraId="5C3D4BE1"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2.7</w:t>
            </w:r>
            <w:r>
              <w:rPr>
                <w:noProof/>
                <w:color w:val="3B3838" w:themeColor="background2" w:themeShade="40"/>
              </w:rPr>
              <w:t>9</w:t>
            </w:r>
            <w:r w:rsidRPr="001B3164">
              <w:rPr>
                <w:noProof/>
                <w:color w:val="3B3838" w:themeColor="background2" w:themeShade="40"/>
              </w:rPr>
              <w:t>%</w:t>
            </w:r>
          </w:p>
        </w:tc>
        <w:tc>
          <w:tcPr>
            <w:tcW w:w="1276" w:type="pct"/>
            <w:vAlign w:val="center"/>
          </w:tcPr>
          <w:p w14:paraId="3694E7F5" w14:textId="77777777" w:rsidR="004F3BBB" w:rsidRPr="001B3164" w:rsidRDefault="004F3BBB" w:rsidP="001639D7">
            <w:pPr>
              <w:jc w:val="center"/>
              <w:rPr>
                <w:noProof/>
                <w:color w:val="3B3838" w:themeColor="background2" w:themeShade="40"/>
              </w:rPr>
            </w:pPr>
            <w:r w:rsidRPr="001B3164">
              <w:rPr>
                <w:noProof/>
                <w:color w:val="3B3838" w:themeColor="background2" w:themeShade="40"/>
              </w:rPr>
              <w:t>2</w:t>
            </w:r>
            <w:r>
              <w:rPr>
                <w:noProof/>
                <w:color w:val="3B3838" w:themeColor="background2" w:themeShade="40"/>
              </w:rPr>
              <w:t>.73</w:t>
            </w:r>
            <w:r w:rsidRPr="001B3164">
              <w:rPr>
                <w:noProof/>
                <w:color w:val="3B3838" w:themeColor="background2" w:themeShade="40"/>
              </w:rPr>
              <w:t>%</w:t>
            </w:r>
          </w:p>
        </w:tc>
      </w:tr>
    </w:tbl>
    <w:p w14:paraId="27BA2E0A" w14:textId="77777777" w:rsidR="004F3BBB" w:rsidRDefault="004F3BBB">
      <w:pPr>
        <w:spacing w:line="259" w:lineRule="auto"/>
        <w:jc w:val="left"/>
        <w:rPr>
          <w:noProof/>
        </w:rPr>
      </w:pPr>
    </w:p>
    <w:p w14:paraId="006F2D7F" w14:textId="42D62299" w:rsidR="00011761" w:rsidRPr="001B3164" w:rsidRDefault="00CF2EAE" w:rsidP="00011761">
      <w:pPr>
        <w:rPr>
          <w:noProof/>
        </w:rPr>
      </w:pPr>
      <w:r w:rsidRPr="001B3164">
        <w:rPr>
          <w:noProof/>
        </w:rPr>
        <w:t>Changes in the cost of funding also reflect the prevailing market conditions</w:t>
      </w:r>
      <w:r w:rsidR="00B7500A" w:rsidRPr="001B3164">
        <w:rPr>
          <w:noProof/>
        </w:rPr>
        <w:t>,</w:t>
      </w:r>
      <w:r w:rsidRPr="001B3164">
        <w:rPr>
          <w:noProof/>
        </w:rPr>
        <w:t xml:space="preserve"> which </w:t>
      </w:r>
      <w:r w:rsidR="00226F31">
        <w:rPr>
          <w:noProof/>
        </w:rPr>
        <w:t xml:space="preserve">change over time and </w:t>
      </w:r>
      <w:r w:rsidRPr="001B3164">
        <w:rPr>
          <w:noProof/>
        </w:rPr>
        <w:t xml:space="preserve">impact the </w:t>
      </w:r>
      <w:r w:rsidR="009040C4">
        <w:rPr>
          <w:noProof/>
        </w:rPr>
        <w:t xml:space="preserve">borrowing </w:t>
      </w:r>
      <w:r w:rsidRPr="001B3164">
        <w:rPr>
          <w:noProof/>
        </w:rPr>
        <w:t>cost for EU issuances.</w:t>
      </w:r>
      <w:r w:rsidR="00D63796" w:rsidRPr="001B3164">
        <w:rPr>
          <w:noProof/>
        </w:rPr>
        <w:t xml:space="preserve"> </w:t>
      </w:r>
      <w:r w:rsidR="00226F31">
        <w:rPr>
          <w:noProof/>
        </w:rPr>
        <w:t>During</w:t>
      </w:r>
      <w:r w:rsidR="00C11E60" w:rsidRPr="001B3164">
        <w:rPr>
          <w:noProof/>
        </w:rPr>
        <w:t xml:space="preserve"> </w:t>
      </w:r>
      <w:r w:rsidR="00B7500A" w:rsidRPr="001B3164">
        <w:rPr>
          <w:noProof/>
        </w:rPr>
        <w:t xml:space="preserve">the </w:t>
      </w:r>
      <w:r w:rsidR="002A7852">
        <w:rPr>
          <w:noProof/>
        </w:rPr>
        <w:t>second half</w:t>
      </w:r>
      <w:r w:rsidR="00B7500A" w:rsidRPr="001B3164">
        <w:rPr>
          <w:noProof/>
        </w:rPr>
        <w:t xml:space="preserve"> of </w:t>
      </w:r>
      <w:r w:rsidR="00C11E60" w:rsidRPr="001B3164">
        <w:rPr>
          <w:noProof/>
        </w:rPr>
        <w:t xml:space="preserve">2025, </w:t>
      </w:r>
      <w:r w:rsidR="00D63796" w:rsidRPr="001B3164">
        <w:rPr>
          <w:noProof/>
        </w:rPr>
        <w:t xml:space="preserve">interest rates </w:t>
      </w:r>
      <w:r w:rsidR="00831281">
        <w:rPr>
          <w:noProof/>
        </w:rPr>
        <w:t>were volatile</w:t>
      </w:r>
      <w:r w:rsidR="00D63796" w:rsidRPr="001B3164">
        <w:rPr>
          <w:noProof/>
        </w:rPr>
        <w:t xml:space="preserve"> </w:t>
      </w:r>
      <w:r w:rsidR="00B86BC6" w:rsidRPr="001B3164">
        <w:rPr>
          <w:noProof/>
        </w:rPr>
        <w:t>because of</w:t>
      </w:r>
      <w:r w:rsidR="00D63796" w:rsidRPr="001B3164">
        <w:rPr>
          <w:noProof/>
        </w:rPr>
        <w:t xml:space="preserve"> economic and financial uncertainties</w:t>
      </w:r>
      <w:r w:rsidR="00457C98" w:rsidRPr="001B3164">
        <w:rPr>
          <w:noProof/>
        </w:rPr>
        <w:t>.</w:t>
      </w:r>
      <w:r w:rsidR="00683139" w:rsidRPr="00683139">
        <w:rPr>
          <w:noProof/>
        </w:rPr>
        <w:t xml:space="preserve"> </w:t>
      </w:r>
      <w:r w:rsidR="00831281">
        <w:rPr>
          <w:noProof/>
        </w:rPr>
        <w:t>T</w:t>
      </w:r>
      <w:r w:rsidR="00683139" w:rsidRPr="00683139">
        <w:rPr>
          <w:noProof/>
        </w:rPr>
        <w:t xml:space="preserve">he interest rate on 10-year EU-Bonds varied between 3.00% and 3.27% during the </w:t>
      </w:r>
      <w:r w:rsidR="00226F31">
        <w:rPr>
          <w:noProof/>
        </w:rPr>
        <w:t>six-month period</w:t>
      </w:r>
      <w:r w:rsidR="00683139" w:rsidRPr="00683139">
        <w:rPr>
          <w:noProof/>
        </w:rPr>
        <w:t>, ending at 3.20%.</w:t>
      </w:r>
      <w:r w:rsidR="002A7852">
        <w:rPr>
          <w:noProof/>
        </w:rPr>
        <w:t xml:space="preserve"> </w:t>
      </w:r>
      <w:r w:rsidR="00831281">
        <w:rPr>
          <w:noProof/>
        </w:rPr>
        <w:t>Y</w:t>
      </w:r>
      <w:r w:rsidR="00011761" w:rsidRPr="00EE2799">
        <w:rPr>
          <w:noProof/>
        </w:rPr>
        <w:t>ield spreads between the EU and most EGB issuers</w:t>
      </w:r>
      <w:r w:rsidR="00EE2799" w:rsidRPr="00EE2799">
        <w:rPr>
          <w:noProof/>
        </w:rPr>
        <w:t xml:space="preserve"> tightened</w:t>
      </w:r>
      <w:r w:rsidR="00B7500A" w:rsidRPr="00EE2799">
        <w:rPr>
          <w:noProof/>
        </w:rPr>
        <w:t>,</w:t>
      </w:r>
      <w:r w:rsidR="00011761" w:rsidRPr="00EE2799">
        <w:rPr>
          <w:noProof/>
        </w:rPr>
        <w:t xml:space="preserve"> </w:t>
      </w:r>
      <w:r w:rsidR="00D63796" w:rsidRPr="00EE2799">
        <w:rPr>
          <w:noProof/>
        </w:rPr>
        <w:t>with</w:t>
      </w:r>
      <w:r w:rsidR="00B7500A" w:rsidRPr="00EE2799">
        <w:rPr>
          <w:noProof/>
        </w:rPr>
        <w:t xml:space="preserve"> the</w:t>
      </w:r>
      <w:r w:rsidR="00011761" w:rsidRPr="00EE2799">
        <w:rPr>
          <w:noProof/>
        </w:rPr>
        <w:t xml:space="preserve"> 10-year interest rate </w:t>
      </w:r>
      <w:r w:rsidR="00B7500A" w:rsidRPr="00EE2799">
        <w:rPr>
          <w:noProof/>
        </w:rPr>
        <w:t xml:space="preserve">spread </w:t>
      </w:r>
      <w:r w:rsidR="00011761" w:rsidRPr="00EE2799">
        <w:rPr>
          <w:noProof/>
        </w:rPr>
        <w:t xml:space="preserve">between EU-Bonds and a 50/50 basket of German/French sovereign bonds </w:t>
      </w:r>
      <w:r w:rsidR="00EE2799" w:rsidRPr="00EE2799">
        <w:rPr>
          <w:noProof/>
        </w:rPr>
        <w:t>decreasi</w:t>
      </w:r>
      <w:r w:rsidR="002A7852" w:rsidRPr="00EE2799">
        <w:rPr>
          <w:noProof/>
        </w:rPr>
        <w:t>n</w:t>
      </w:r>
      <w:r w:rsidR="00D63796" w:rsidRPr="00EE2799">
        <w:rPr>
          <w:noProof/>
        </w:rPr>
        <w:t xml:space="preserve">g </w:t>
      </w:r>
      <w:r w:rsidR="00011761" w:rsidRPr="00EE2799">
        <w:rPr>
          <w:noProof/>
        </w:rPr>
        <w:t xml:space="preserve">from around </w:t>
      </w:r>
      <w:r w:rsidR="009D098C">
        <w:rPr>
          <w:noProof/>
        </w:rPr>
        <w:t>5</w:t>
      </w:r>
      <w:r w:rsidR="00011761" w:rsidRPr="00EE2799">
        <w:rPr>
          <w:noProof/>
        </w:rPr>
        <w:t xml:space="preserve"> basis points at the start of the</w:t>
      </w:r>
      <w:r w:rsidR="00226F31">
        <w:rPr>
          <w:noProof/>
        </w:rPr>
        <w:t xml:space="preserve"> six-month period</w:t>
      </w:r>
      <w:r w:rsidR="00011761" w:rsidRPr="00EE2799">
        <w:rPr>
          <w:noProof/>
        </w:rPr>
        <w:t xml:space="preserve"> to </w:t>
      </w:r>
      <w:r w:rsidR="009D098C">
        <w:rPr>
          <w:noProof/>
        </w:rPr>
        <w:t>-1</w:t>
      </w:r>
      <w:r w:rsidR="00011761" w:rsidRPr="00EE2799">
        <w:rPr>
          <w:noProof/>
        </w:rPr>
        <w:t xml:space="preserve"> basis points in</w:t>
      </w:r>
      <w:r w:rsidR="002A7852" w:rsidRPr="00EE2799">
        <w:rPr>
          <w:noProof/>
        </w:rPr>
        <w:t xml:space="preserve"> December</w:t>
      </w:r>
      <w:r w:rsidR="00011761" w:rsidRPr="00EE2799">
        <w:rPr>
          <w:noProof/>
        </w:rPr>
        <w:t xml:space="preserve"> 2025.</w:t>
      </w:r>
      <w:r w:rsidR="00011761" w:rsidRPr="001B3164">
        <w:rPr>
          <w:noProof/>
        </w:rPr>
        <w:t xml:space="preserve"> </w:t>
      </w:r>
    </w:p>
    <w:p w14:paraId="29DC7D9D" w14:textId="2BFA1CDA" w:rsidR="008229A6" w:rsidRDefault="008229A6" w:rsidP="00177D88">
      <w:pPr>
        <w:spacing w:before="320"/>
        <w:rPr>
          <w:b/>
          <w:bCs/>
          <w:noProof/>
          <w:color w:val="034EA2" w:themeColor="accent1"/>
        </w:rPr>
      </w:pPr>
      <w:r w:rsidRPr="001B3164">
        <w:rPr>
          <w:b/>
          <w:bCs/>
          <w:noProof/>
          <w:color w:val="034EA2" w:themeColor="accent1"/>
        </w:rPr>
        <w:t xml:space="preserve">Chart </w:t>
      </w:r>
      <w:r w:rsidR="008A3C4A" w:rsidRPr="001B3164">
        <w:rPr>
          <w:b/>
          <w:bCs/>
          <w:noProof/>
          <w:color w:val="034EA2" w:themeColor="accent1"/>
        </w:rPr>
        <w:t>7</w:t>
      </w:r>
      <w:r w:rsidRPr="001B3164">
        <w:rPr>
          <w:b/>
          <w:bCs/>
          <w:noProof/>
          <w:color w:val="034EA2" w:themeColor="accent1"/>
        </w:rPr>
        <w:t xml:space="preserve">: </w:t>
      </w:r>
      <w:r w:rsidR="0094369E" w:rsidRPr="001B3164">
        <w:rPr>
          <w:b/>
          <w:bCs/>
          <w:noProof/>
          <w:color w:val="034EA2" w:themeColor="accent1"/>
        </w:rPr>
        <w:t>Yields o</w:t>
      </w:r>
      <w:r w:rsidR="006432FB" w:rsidRPr="001B3164">
        <w:rPr>
          <w:b/>
          <w:bCs/>
          <w:noProof/>
          <w:color w:val="034EA2" w:themeColor="accent1"/>
        </w:rPr>
        <w:t>n</w:t>
      </w:r>
      <w:r w:rsidR="0094369E" w:rsidRPr="001B3164">
        <w:rPr>
          <w:b/>
          <w:bCs/>
          <w:noProof/>
          <w:color w:val="034EA2" w:themeColor="accent1"/>
        </w:rPr>
        <w:t xml:space="preserve"> 10-year EU-Bonds</w:t>
      </w:r>
    </w:p>
    <w:p w14:paraId="7454E578" w14:textId="1CA83020" w:rsidR="002A7852" w:rsidRDefault="004467E0" w:rsidP="00177D88">
      <w:pPr>
        <w:jc w:val="center"/>
        <w:rPr>
          <w:b/>
          <w:bCs/>
          <w:noProof/>
          <w:color w:val="034EA2" w:themeColor="accent1"/>
        </w:rPr>
      </w:pPr>
      <w:r>
        <w:rPr>
          <w:noProof/>
          <w:lang w:val="en-GB" w:eastAsia="en-GB"/>
        </w:rPr>
        <w:drawing>
          <wp:inline distT="0" distB="0" distL="0" distR="0" wp14:anchorId="7B4AFB16" wp14:editId="4A767996">
            <wp:extent cx="5287010" cy="2788467"/>
            <wp:effectExtent l="0" t="0" r="0" b="0"/>
            <wp:docPr id="2144115786" name="Chart 1">
              <a:extLst xmlns:a="http://schemas.openxmlformats.org/drawingml/2006/main">
                <a:ext uri="{FF2B5EF4-FFF2-40B4-BE49-F238E27FC236}">
                  <a16:creationId xmlns:a16="http://schemas.microsoft.com/office/drawing/2014/main" id="{6E7636F5-6098-B2C0-26FC-B2D8BFC8F8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C49BAE0" w14:textId="77777777" w:rsidR="00BD6FE8" w:rsidRPr="001B3164" w:rsidRDefault="00BD6FE8" w:rsidP="00177D88">
      <w:pPr>
        <w:jc w:val="center"/>
        <w:rPr>
          <w:b/>
          <w:bCs/>
          <w:noProof/>
          <w:color w:val="034EA2" w:themeColor="accent1"/>
        </w:rPr>
      </w:pPr>
    </w:p>
    <w:p w14:paraId="5F80B38F" w14:textId="5BA1BB74" w:rsidR="00D73D12" w:rsidRPr="001B3164" w:rsidRDefault="001D0900" w:rsidP="00A87F59">
      <w:pPr>
        <w:pStyle w:val="Heading2"/>
        <w:rPr>
          <w:noProof/>
        </w:rPr>
      </w:pPr>
      <w:bookmarkStart w:id="76" w:name="_Toc169303171"/>
      <w:bookmarkStart w:id="77" w:name="_Toc170294787"/>
      <w:bookmarkStart w:id="78" w:name="_Toc187347929"/>
      <w:bookmarkStart w:id="79" w:name="_Toc187701958"/>
      <w:bookmarkStart w:id="80" w:name="_Toc187702013"/>
      <w:bookmarkStart w:id="81" w:name="_Toc190904649"/>
      <w:bookmarkStart w:id="82" w:name="_Toc201318493"/>
      <w:bookmarkStart w:id="83" w:name="_Toc202682646"/>
      <w:bookmarkStart w:id="84" w:name="_Toc219529990"/>
      <w:bookmarkStart w:id="85" w:name="_Hlk201234527"/>
      <w:bookmarkStart w:id="86" w:name="_Hlk187336294"/>
      <w:bookmarkEnd w:id="75"/>
      <w:r w:rsidRPr="001B3164">
        <w:rPr>
          <w:noProof/>
        </w:rPr>
        <w:t>Liquidity management</w:t>
      </w:r>
      <w:bookmarkEnd w:id="76"/>
      <w:bookmarkEnd w:id="77"/>
      <w:bookmarkEnd w:id="78"/>
      <w:bookmarkEnd w:id="79"/>
      <w:bookmarkEnd w:id="80"/>
      <w:bookmarkEnd w:id="81"/>
      <w:bookmarkEnd w:id="82"/>
      <w:r w:rsidR="00024317" w:rsidRPr="001B3164">
        <w:rPr>
          <w:noProof/>
        </w:rPr>
        <w:t xml:space="preserve"> </w:t>
      </w:r>
      <w:bookmarkEnd w:id="83"/>
      <w:r w:rsidR="00563836">
        <w:rPr>
          <w:noProof/>
        </w:rPr>
        <w:t>Costs</w:t>
      </w:r>
      <w:bookmarkEnd w:id="84"/>
    </w:p>
    <w:p w14:paraId="1AFD2334" w14:textId="79A5F1B9" w:rsidR="00CB0B4C" w:rsidRDefault="00615BB8" w:rsidP="00CB0B4C">
      <w:pPr>
        <w:rPr>
          <w:noProof/>
        </w:rPr>
      </w:pPr>
      <w:bookmarkStart w:id="87" w:name="_Ref155257759"/>
      <w:r>
        <w:rPr>
          <w:noProof/>
        </w:rPr>
        <w:t>L</w:t>
      </w:r>
      <w:r w:rsidR="00CB0B4C" w:rsidRPr="00236710">
        <w:rPr>
          <w:noProof/>
        </w:rPr>
        <w:t xml:space="preserve">iquidity holdings stood at </w:t>
      </w:r>
      <w:bookmarkStart w:id="88" w:name="_Hlk201762160"/>
      <w:r w:rsidR="00CB0B4C" w:rsidRPr="00236710">
        <w:rPr>
          <w:noProof/>
        </w:rPr>
        <w:t>EUR 77.4 billion</w:t>
      </w:r>
      <w:r>
        <w:rPr>
          <w:noProof/>
        </w:rPr>
        <w:t xml:space="preserve"> on average in the second half of </w:t>
      </w:r>
      <w:bookmarkEnd w:id="88"/>
      <w:r>
        <w:rPr>
          <w:noProof/>
        </w:rPr>
        <w:t>2025</w:t>
      </w:r>
      <w:r w:rsidR="00CB0B4C" w:rsidRPr="00236710">
        <w:rPr>
          <w:noProof/>
        </w:rPr>
        <w:t>,</w:t>
      </w:r>
      <w:r>
        <w:rPr>
          <w:noProof/>
        </w:rPr>
        <w:t xml:space="preserve"> up from </w:t>
      </w:r>
      <w:r w:rsidR="00CB0B4C" w:rsidRPr="00236710">
        <w:rPr>
          <w:noProof/>
        </w:rPr>
        <w:t>EUR</w:t>
      </w:r>
      <w:r w:rsidR="009040C4">
        <w:rPr>
          <w:rFonts w:ascii="Calibri" w:hAnsi="Calibri" w:cs="Calibri"/>
          <w:noProof/>
        </w:rPr>
        <w:t> </w:t>
      </w:r>
      <w:r w:rsidR="00CB0B4C" w:rsidRPr="00236710">
        <w:rPr>
          <w:noProof/>
        </w:rPr>
        <w:t>71.1 billion in the first half of th</w:t>
      </w:r>
      <w:r>
        <w:rPr>
          <w:noProof/>
        </w:rPr>
        <w:t>e</w:t>
      </w:r>
      <w:r w:rsidR="00CB0B4C" w:rsidRPr="00236710">
        <w:rPr>
          <w:noProof/>
        </w:rPr>
        <w:t xml:space="preserve"> year. Outflows </w:t>
      </w:r>
      <w:r>
        <w:rPr>
          <w:noProof/>
        </w:rPr>
        <w:t>peaked</w:t>
      </w:r>
      <w:r w:rsidR="00CB0B4C" w:rsidRPr="00236710">
        <w:rPr>
          <w:noProof/>
        </w:rPr>
        <w:t xml:space="preserve"> in the summer with EUR 46 billion outflows in August</w:t>
      </w:r>
      <w:r w:rsidR="00CE15E2" w:rsidRPr="00236710">
        <w:rPr>
          <w:noProof/>
        </w:rPr>
        <w:t xml:space="preserve">, </w:t>
      </w:r>
      <w:r w:rsidR="00D839E5">
        <w:rPr>
          <w:noProof/>
        </w:rPr>
        <w:t>reduc</w:t>
      </w:r>
      <w:r w:rsidR="00CE15E2" w:rsidRPr="00236710">
        <w:rPr>
          <w:noProof/>
        </w:rPr>
        <w:t>ing the liquidity holdings to EUR 54.0 billion at the end of August, and at the end of the year</w:t>
      </w:r>
      <w:r w:rsidR="00CB0B4C" w:rsidRPr="00236710">
        <w:rPr>
          <w:noProof/>
        </w:rPr>
        <w:t xml:space="preserve"> </w:t>
      </w:r>
      <w:r w:rsidR="00CE15E2" w:rsidRPr="00236710">
        <w:rPr>
          <w:noProof/>
        </w:rPr>
        <w:t>with</w:t>
      </w:r>
      <w:r w:rsidR="00CB0B4C" w:rsidRPr="00236710">
        <w:rPr>
          <w:noProof/>
        </w:rPr>
        <w:t xml:space="preserve"> EUR 23 billion in</w:t>
      </w:r>
      <w:r w:rsidR="00CE15E2" w:rsidRPr="00236710">
        <w:rPr>
          <w:noProof/>
        </w:rPr>
        <w:t xml:space="preserve"> outflows in</w:t>
      </w:r>
      <w:r w:rsidR="00CB0B4C" w:rsidRPr="00236710">
        <w:rPr>
          <w:noProof/>
        </w:rPr>
        <w:t xml:space="preserve"> December</w:t>
      </w:r>
      <w:r w:rsidR="00CE15E2" w:rsidRPr="00236710">
        <w:rPr>
          <w:noProof/>
        </w:rPr>
        <w:t>, bringing the cash balance to EUR</w:t>
      </w:r>
      <w:r w:rsidR="009040C4">
        <w:rPr>
          <w:rFonts w:ascii="Calibri" w:hAnsi="Calibri" w:cs="Calibri"/>
          <w:noProof/>
        </w:rPr>
        <w:t> </w:t>
      </w:r>
      <w:r w:rsidR="00CE15E2" w:rsidRPr="00236710">
        <w:rPr>
          <w:noProof/>
        </w:rPr>
        <w:t xml:space="preserve">65.2 billion </w:t>
      </w:r>
      <w:r w:rsidR="00236710" w:rsidRPr="00236710">
        <w:rPr>
          <w:noProof/>
        </w:rPr>
        <w:t>on</w:t>
      </w:r>
      <w:r w:rsidR="00CB0B4C" w:rsidRPr="00236710">
        <w:rPr>
          <w:noProof/>
        </w:rPr>
        <w:t xml:space="preserve"> </w:t>
      </w:r>
      <w:r w:rsidR="00CE15E2" w:rsidRPr="00236710">
        <w:rPr>
          <w:noProof/>
        </w:rPr>
        <w:t xml:space="preserve">31 December 2025. </w:t>
      </w:r>
    </w:p>
    <w:p w14:paraId="65EFDDC8" w14:textId="0112CDC6" w:rsidR="00221DD4" w:rsidRDefault="00221DD4" w:rsidP="00CB0B4C">
      <w:pPr>
        <w:rPr>
          <w:noProof/>
        </w:rPr>
      </w:pPr>
      <w:r>
        <w:rPr>
          <w:noProof/>
        </w:rPr>
        <w:t>Th</w:t>
      </w:r>
      <w:r w:rsidR="00D839E5">
        <w:rPr>
          <w:noProof/>
        </w:rPr>
        <w:t>is</w:t>
      </w:r>
      <w:r>
        <w:rPr>
          <w:noProof/>
        </w:rPr>
        <w:t xml:space="preserve"> increase in average liquidity holdings reflected </w:t>
      </w:r>
      <w:r w:rsidR="00D839E5">
        <w:rPr>
          <w:noProof/>
        </w:rPr>
        <w:t>a</w:t>
      </w:r>
      <w:r>
        <w:rPr>
          <w:noProof/>
        </w:rPr>
        <w:t xml:space="preserve"> need to maintain high overall borrowing</w:t>
      </w:r>
      <w:r w:rsidR="00D839E5">
        <w:rPr>
          <w:noProof/>
        </w:rPr>
        <w:t xml:space="preserve"> to</w:t>
      </w:r>
      <w:r>
        <w:rPr>
          <w:noProof/>
        </w:rPr>
        <w:t xml:space="preserve"> meet sizeable funding </w:t>
      </w:r>
      <w:r w:rsidR="00D839E5">
        <w:rPr>
          <w:noProof/>
        </w:rPr>
        <w:t>requirements in</w:t>
      </w:r>
      <w:r>
        <w:rPr>
          <w:noProof/>
        </w:rPr>
        <w:t xml:space="preserve"> the final year of NextGenerationEU </w:t>
      </w:r>
      <w:r w:rsidR="00831281">
        <w:rPr>
          <w:noProof/>
        </w:rPr>
        <w:t>-</w:t>
      </w:r>
      <w:r>
        <w:rPr>
          <w:noProof/>
        </w:rPr>
        <w:t xml:space="preserve"> with disbursements following a more backloaded profile </w:t>
      </w:r>
      <w:r w:rsidR="00D839E5">
        <w:rPr>
          <w:noProof/>
        </w:rPr>
        <w:t xml:space="preserve">than </w:t>
      </w:r>
      <w:r>
        <w:rPr>
          <w:noProof/>
        </w:rPr>
        <w:t>initial</w:t>
      </w:r>
      <w:r w:rsidR="00D839E5">
        <w:rPr>
          <w:noProof/>
        </w:rPr>
        <w:t>ly</w:t>
      </w:r>
      <w:r>
        <w:rPr>
          <w:noProof/>
        </w:rPr>
        <w:t xml:space="preserve"> forecast</w:t>
      </w:r>
      <w:r w:rsidR="00831281">
        <w:rPr>
          <w:noProof/>
        </w:rPr>
        <w:t xml:space="preserve"> </w:t>
      </w:r>
      <w:r w:rsidR="00D839E5">
        <w:rPr>
          <w:noProof/>
        </w:rPr>
        <w:t>–</w:t>
      </w:r>
      <w:r w:rsidR="00831281">
        <w:rPr>
          <w:noProof/>
        </w:rPr>
        <w:t xml:space="preserve"> </w:t>
      </w:r>
      <w:r w:rsidR="00D839E5">
        <w:rPr>
          <w:noProof/>
        </w:rPr>
        <w:t xml:space="preserve">in addition to </w:t>
      </w:r>
      <w:r w:rsidR="00831281">
        <w:rPr>
          <w:noProof/>
        </w:rPr>
        <w:t>expected disbursements under SAFE</w:t>
      </w:r>
      <w:r>
        <w:rPr>
          <w:noProof/>
        </w:rPr>
        <w:t xml:space="preserve">. </w:t>
      </w:r>
      <w:r w:rsidR="00D839E5">
        <w:rPr>
          <w:noProof/>
        </w:rPr>
        <w:t>A</w:t>
      </w:r>
      <w:r>
        <w:rPr>
          <w:noProof/>
        </w:rPr>
        <w:t xml:space="preserve"> regular and predictable issuance schedule is key </w:t>
      </w:r>
      <w:r w:rsidR="00D839E5">
        <w:rPr>
          <w:noProof/>
        </w:rPr>
        <w:t>to</w:t>
      </w:r>
      <w:r>
        <w:rPr>
          <w:noProof/>
        </w:rPr>
        <w:t xml:space="preserve"> ensur</w:t>
      </w:r>
      <w:r w:rsidR="00D839E5">
        <w:rPr>
          <w:noProof/>
        </w:rPr>
        <w:t>e</w:t>
      </w:r>
      <w:r>
        <w:rPr>
          <w:noProof/>
        </w:rPr>
        <w:t xml:space="preserve"> the best market conditions and predictability for investors.  </w:t>
      </w:r>
    </w:p>
    <w:p w14:paraId="42839382" w14:textId="2F7F7F61" w:rsidR="00692EE3" w:rsidRPr="001B3164" w:rsidRDefault="00831281" w:rsidP="007C742B">
      <w:pPr>
        <w:rPr>
          <w:noProof/>
        </w:rPr>
      </w:pPr>
      <w:r>
        <w:rPr>
          <w:noProof/>
        </w:rPr>
        <w:t>T</w:t>
      </w:r>
      <w:r w:rsidR="0028129F">
        <w:rPr>
          <w:noProof/>
        </w:rPr>
        <w:t xml:space="preserve">he Commission </w:t>
      </w:r>
      <w:r>
        <w:rPr>
          <w:noProof/>
        </w:rPr>
        <w:t xml:space="preserve">invested </w:t>
      </w:r>
      <w:r w:rsidR="007C742B">
        <w:rPr>
          <w:noProof/>
        </w:rPr>
        <w:t xml:space="preserve">on average around </w:t>
      </w:r>
      <w:r w:rsidR="0038047B">
        <w:rPr>
          <w:noProof/>
        </w:rPr>
        <w:t>7</w:t>
      </w:r>
      <w:r w:rsidR="007C742B">
        <w:rPr>
          <w:noProof/>
        </w:rPr>
        <w:t xml:space="preserve">5% of </w:t>
      </w:r>
      <w:r>
        <w:rPr>
          <w:noProof/>
        </w:rPr>
        <w:t>the free cash balance</w:t>
      </w:r>
      <w:r w:rsidR="007C742B">
        <w:rPr>
          <w:noProof/>
        </w:rPr>
        <w:t xml:space="preserve"> in term deposits and reverse repurchase (repo) transactions to </w:t>
      </w:r>
      <w:r w:rsidR="00CB0B4C">
        <w:rPr>
          <w:noProof/>
        </w:rPr>
        <w:t>reduce the negative carry associated with the cash balance</w:t>
      </w:r>
      <w:r w:rsidR="00CA61D2">
        <w:rPr>
          <w:noProof/>
        </w:rPr>
        <w:t xml:space="preserve">. This created an additional return of </w:t>
      </w:r>
      <w:r w:rsidR="00CB0B4C">
        <w:rPr>
          <w:noProof/>
        </w:rPr>
        <w:t xml:space="preserve">20 </w:t>
      </w:r>
      <w:r w:rsidR="00D839E5">
        <w:rPr>
          <w:noProof/>
        </w:rPr>
        <w:t>-</w:t>
      </w:r>
      <w:r w:rsidR="00CB0B4C">
        <w:rPr>
          <w:noProof/>
        </w:rPr>
        <w:t xml:space="preserve"> 25 </w:t>
      </w:r>
      <w:r w:rsidR="00CB0B4C" w:rsidRPr="005C3675">
        <w:rPr>
          <w:noProof/>
        </w:rPr>
        <w:t>basis points, correspond</w:t>
      </w:r>
      <w:r w:rsidR="00D839E5">
        <w:rPr>
          <w:noProof/>
        </w:rPr>
        <w:t>ing</w:t>
      </w:r>
      <w:r w:rsidR="00CB0B4C" w:rsidRPr="005C3675">
        <w:rPr>
          <w:noProof/>
        </w:rPr>
        <w:t xml:space="preserve"> to EUR </w:t>
      </w:r>
      <w:r w:rsidR="005C3675" w:rsidRPr="005C3675">
        <w:rPr>
          <w:noProof/>
        </w:rPr>
        <w:t>85</w:t>
      </w:r>
      <w:r w:rsidR="00CB0B4C" w:rsidRPr="005C3675">
        <w:rPr>
          <w:noProof/>
        </w:rPr>
        <w:t xml:space="preserve"> million</w:t>
      </w:r>
      <w:r w:rsidR="005C3675" w:rsidRPr="005C3675">
        <w:rPr>
          <w:noProof/>
        </w:rPr>
        <w:t xml:space="preserve"> annually, of which</w:t>
      </w:r>
      <w:r w:rsidR="00D839E5">
        <w:rPr>
          <w:noProof/>
        </w:rPr>
        <w:t xml:space="preserve"> about</w:t>
      </w:r>
      <w:r w:rsidR="005C3675" w:rsidRPr="005C3675">
        <w:rPr>
          <w:noProof/>
        </w:rPr>
        <w:t xml:space="preserve"> EUR 7</w:t>
      </w:r>
      <w:r w:rsidR="00D839E5">
        <w:rPr>
          <w:noProof/>
        </w:rPr>
        <w:t>0</w:t>
      </w:r>
      <w:r w:rsidR="005C3675" w:rsidRPr="005C3675">
        <w:rPr>
          <w:noProof/>
        </w:rPr>
        <w:t xml:space="preserve"> million in the second half of 2025</w:t>
      </w:r>
      <w:r w:rsidR="00CB0B4C" w:rsidRPr="005C3675">
        <w:rPr>
          <w:noProof/>
        </w:rPr>
        <w:t>. Overall</w:t>
      </w:r>
      <w:r w:rsidR="00CB0B4C">
        <w:rPr>
          <w:noProof/>
        </w:rPr>
        <w:t xml:space="preserve">, the net liquidity management cost </w:t>
      </w:r>
      <w:r w:rsidR="00D839E5">
        <w:rPr>
          <w:noProof/>
        </w:rPr>
        <w:t>in</w:t>
      </w:r>
      <w:r w:rsidR="00CB0B4C">
        <w:rPr>
          <w:noProof/>
        </w:rPr>
        <w:t xml:space="preserve"> </w:t>
      </w:r>
      <w:r w:rsidR="00285408">
        <w:rPr>
          <w:noProof/>
        </w:rPr>
        <w:t xml:space="preserve">the </w:t>
      </w:r>
      <w:r w:rsidR="00CB0B4C">
        <w:rPr>
          <w:noProof/>
        </w:rPr>
        <w:t xml:space="preserve">second half of 2025 </w:t>
      </w:r>
      <w:r w:rsidR="00D839E5">
        <w:rPr>
          <w:noProof/>
        </w:rPr>
        <w:t>wa</w:t>
      </w:r>
      <w:r w:rsidR="00CB0B4C">
        <w:rPr>
          <w:noProof/>
        </w:rPr>
        <w:t>s around EUR 295 million</w:t>
      </w:r>
      <w:r w:rsidR="00711BBE" w:rsidRPr="001B3164">
        <w:rPr>
          <w:noProof/>
          <w:vertAlign w:val="superscript"/>
        </w:rPr>
        <w:footnoteReference w:id="15"/>
      </w:r>
      <w:r w:rsidR="00D839E5">
        <w:rPr>
          <w:noProof/>
        </w:rPr>
        <w:t>,</w:t>
      </w:r>
      <w:r w:rsidR="0091476F" w:rsidRPr="001B3164">
        <w:rPr>
          <w:noProof/>
        </w:rPr>
        <w:t xml:space="preserve"> </w:t>
      </w:r>
      <w:r w:rsidR="00CB0B4C" w:rsidRPr="001B3164">
        <w:rPr>
          <w:noProof/>
        </w:rPr>
        <w:t>compared to a</w:t>
      </w:r>
      <w:r w:rsidR="00CB0B4C">
        <w:rPr>
          <w:noProof/>
        </w:rPr>
        <w:t xml:space="preserve"> net cost</w:t>
      </w:r>
      <w:r w:rsidR="00CB0B4C" w:rsidRPr="001B3164">
        <w:rPr>
          <w:noProof/>
        </w:rPr>
        <w:t xml:space="preserve"> of EUR </w:t>
      </w:r>
      <w:r w:rsidR="00CB0B4C">
        <w:rPr>
          <w:noProof/>
        </w:rPr>
        <w:t>195</w:t>
      </w:r>
      <w:r w:rsidR="00CB0B4C" w:rsidRPr="001B3164">
        <w:rPr>
          <w:noProof/>
        </w:rPr>
        <w:t xml:space="preserve"> million on liquidity holdings in</w:t>
      </w:r>
      <w:r w:rsidR="00D839E5">
        <w:rPr>
          <w:noProof/>
        </w:rPr>
        <w:t xml:space="preserve"> the</w:t>
      </w:r>
      <w:r w:rsidR="00CB0B4C" w:rsidRPr="001B3164">
        <w:rPr>
          <w:noProof/>
        </w:rPr>
        <w:t xml:space="preserve"> first </w:t>
      </w:r>
      <w:r w:rsidR="00CB0B4C">
        <w:rPr>
          <w:noProof/>
        </w:rPr>
        <w:t>half</w:t>
      </w:r>
      <w:r w:rsidR="00CB0B4C" w:rsidRPr="001B3164">
        <w:rPr>
          <w:noProof/>
        </w:rPr>
        <w:t xml:space="preserve"> of 2025</w:t>
      </w:r>
      <w:r w:rsidR="0091476F" w:rsidRPr="001B3164">
        <w:rPr>
          <w:noProof/>
        </w:rPr>
        <w:t>.</w:t>
      </w:r>
    </w:p>
    <w:p w14:paraId="515BFB12" w14:textId="031DC32F" w:rsidR="00456072" w:rsidRPr="001B3164" w:rsidRDefault="00456072" w:rsidP="00A87F59">
      <w:pPr>
        <w:pStyle w:val="Heading1"/>
        <w:rPr>
          <w:noProof/>
        </w:rPr>
      </w:pPr>
      <w:bookmarkStart w:id="90" w:name="_Ref169300365"/>
      <w:bookmarkStart w:id="91" w:name="_Ref169300367"/>
      <w:bookmarkStart w:id="92" w:name="_Toc219529991"/>
      <w:bookmarkStart w:id="93" w:name="_Hlk187423718"/>
      <w:bookmarkEnd w:id="66"/>
      <w:bookmarkEnd w:id="85"/>
      <w:bookmarkEnd w:id="86"/>
      <w:bookmarkEnd w:id="87"/>
      <w:r w:rsidRPr="001B3164">
        <w:rPr>
          <w:noProof/>
        </w:rPr>
        <w:t xml:space="preserve">Other milestones in </w:t>
      </w:r>
      <w:r w:rsidR="002C7AD0" w:rsidRPr="001B3164">
        <w:rPr>
          <w:noProof/>
        </w:rPr>
        <w:t xml:space="preserve">the </w:t>
      </w:r>
      <w:r w:rsidR="008F2B75">
        <w:rPr>
          <w:noProof/>
        </w:rPr>
        <w:t>second</w:t>
      </w:r>
      <w:r w:rsidR="002C7AD0" w:rsidRPr="001B3164">
        <w:rPr>
          <w:noProof/>
        </w:rPr>
        <w:t xml:space="preserve"> half of </w:t>
      </w:r>
      <w:r w:rsidRPr="001B3164">
        <w:rPr>
          <w:noProof/>
        </w:rPr>
        <w:t>202</w:t>
      </w:r>
      <w:bookmarkEnd w:id="90"/>
      <w:bookmarkEnd w:id="91"/>
      <w:r w:rsidR="00A65CF3" w:rsidRPr="001B3164">
        <w:rPr>
          <w:noProof/>
        </w:rPr>
        <w:t>5</w:t>
      </w:r>
      <w:bookmarkEnd w:id="92"/>
    </w:p>
    <w:p w14:paraId="752BB321" w14:textId="1DEF3C5E" w:rsidR="00AA2374" w:rsidRDefault="006E36AB" w:rsidP="00A65CF3">
      <w:pPr>
        <w:rPr>
          <w:rFonts w:eastAsiaTheme="majorEastAsia" w:cstheme="majorBidi"/>
          <w:caps/>
          <w:noProof/>
          <w:color w:val="70AD47" w:themeColor="accent2"/>
          <w:sz w:val="24"/>
          <w:szCs w:val="26"/>
        </w:rPr>
      </w:pPr>
      <w:bookmarkStart w:id="94" w:name="_Toc187702017"/>
      <w:bookmarkStart w:id="95" w:name="_Toc169303180"/>
      <w:r w:rsidRPr="006E36AB">
        <w:rPr>
          <w:rFonts w:eastAsiaTheme="majorEastAsia" w:cstheme="majorBidi"/>
          <w:caps/>
          <w:noProof/>
          <w:color w:val="70AD47" w:themeColor="accent2"/>
          <w:sz w:val="24"/>
          <w:szCs w:val="26"/>
        </w:rPr>
        <w:t>2025 N</w:t>
      </w:r>
      <w:r>
        <w:rPr>
          <w:rFonts w:eastAsiaTheme="majorEastAsia" w:cstheme="majorBidi"/>
          <w:caps/>
          <w:noProof/>
          <w:color w:val="70AD47" w:themeColor="accent2"/>
          <w:sz w:val="24"/>
          <w:szCs w:val="26"/>
        </w:rPr>
        <w:t>G</w:t>
      </w:r>
      <w:r w:rsidRPr="006E36AB">
        <w:rPr>
          <w:rFonts w:eastAsiaTheme="majorEastAsia" w:cstheme="majorBidi"/>
          <w:caps/>
          <w:noProof/>
          <w:color w:val="70AD47" w:themeColor="accent2"/>
          <w:sz w:val="24"/>
          <w:szCs w:val="26"/>
        </w:rPr>
        <w:t>EU Green Bonds Allocation and Impact Report</w:t>
      </w:r>
    </w:p>
    <w:p w14:paraId="0E848F00" w14:textId="18473167" w:rsidR="00381AB3" w:rsidRPr="00381AB3" w:rsidRDefault="00381AB3" w:rsidP="00381AB3">
      <w:pPr>
        <w:spacing w:after="120"/>
        <w:rPr>
          <w:noProof/>
        </w:rPr>
      </w:pPr>
      <w:r w:rsidRPr="00381AB3">
        <w:rPr>
          <w:noProof/>
        </w:rPr>
        <w:t xml:space="preserve">On 9 December </w:t>
      </w:r>
      <w:r>
        <w:rPr>
          <w:noProof/>
        </w:rPr>
        <w:t xml:space="preserve">2025, </w:t>
      </w:r>
      <w:r w:rsidRPr="00381AB3">
        <w:rPr>
          <w:noProof/>
        </w:rPr>
        <w:t xml:space="preserve">the Commission published the </w:t>
      </w:r>
      <w:r w:rsidR="00B162B9">
        <w:rPr>
          <w:noProof/>
        </w:rPr>
        <w:t xml:space="preserve">fourth annual </w:t>
      </w:r>
      <w:hyperlink r:id="rId43" w:history="1">
        <w:r w:rsidR="00D839E5">
          <w:rPr>
            <w:rStyle w:val="Hyperlink"/>
            <w:noProof/>
          </w:rPr>
          <w:t>NextGenerationEU Green Bonds Allocation and Impact Report</w:t>
        </w:r>
      </w:hyperlink>
      <w:r w:rsidRPr="00381AB3">
        <w:rPr>
          <w:noProof/>
        </w:rPr>
        <w:t xml:space="preserve"> of its flagship NGEU Green Bond programme.</w:t>
      </w:r>
      <w:r w:rsidRPr="00381AB3">
        <w:rPr>
          <w:rFonts w:ascii="Calibri" w:hAnsi="Calibri" w:cs="Calibri"/>
          <w:noProof/>
        </w:rPr>
        <w:t> </w:t>
      </w:r>
    </w:p>
    <w:p w14:paraId="0E6EB9BC" w14:textId="4BB310D9" w:rsidR="00381AB3" w:rsidRPr="00381AB3" w:rsidRDefault="00381AB3" w:rsidP="00381AB3">
      <w:pPr>
        <w:spacing w:after="120"/>
        <w:rPr>
          <w:noProof/>
        </w:rPr>
      </w:pPr>
      <w:r w:rsidRPr="00381AB3">
        <w:rPr>
          <w:noProof/>
        </w:rPr>
        <w:t xml:space="preserve">The report, which provides an annual update on the use of proceeds and the climate impacts of NGEU Green Bond financed investments, </w:t>
      </w:r>
      <w:r w:rsidR="00D839E5">
        <w:rPr>
          <w:noProof/>
        </w:rPr>
        <w:t xml:space="preserve">estimates that these investments helped prevent </w:t>
      </w:r>
      <w:r w:rsidRPr="00381AB3">
        <w:rPr>
          <w:noProof/>
        </w:rPr>
        <w:t>14 million tonnes of CO</w:t>
      </w:r>
      <w:r w:rsidR="00D839E5">
        <w:rPr>
          <w:noProof/>
          <w:vertAlign w:val="subscript"/>
        </w:rPr>
        <w:t>2</w:t>
      </w:r>
      <w:r w:rsidRPr="00381AB3">
        <w:rPr>
          <w:noProof/>
        </w:rPr>
        <w:t xml:space="preserve"> </w:t>
      </w:r>
      <w:r w:rsidR="00D839E5">
        <w:rPr>
          <w:noProof/>
        </w:rPr>
        <w:t xml:space="preserve">emissions </w:t>
      </w:r>
      <w:r w:rsidR="00E839CB">
        <w:rPr>
          <w:noProof/>
        </w:rPr>
        <w:t>per year</w:t>
      </w:r>
      <w:r w:rsidRPr="00381AB3">
        <w:rPr>
          <w:noProof/>
        </w:rPr>
        <w:t xml:space="preserve">. This represents an exponential increase in </w:t>
      </w:r>
      <w:r w:rsidR="00E839CB">
        <w:rPr>
          <w:noProof/>
        </w:rPr>
        <w:t>actual</w:t>
      </w:r>
      <w:r w:rsidRPr="00381AB3">
        <w:rPr>
          <w:noProof/>
        </w:rPr>
        <w:t xml:space="preserve"> </w:t>
      </w:r>
      <w:r w:rsidR="00E839CB">
        <w:rPr>
          <w:noProof/>
        </w:rPr>
        <w:t xml:space="preserve">prevention in </w:t>
      </w:r>
      <w:r w:rsidR="00417C65" w:rsidRPr="00C97E32">
        <w:rPr>
          <w:noProof/>
        </w:rPr>
        <w:t xml:space="preserve">greenhouse gas </w:t>
      </w:r>
      <w:r w:rsidRPr="00381AB3">
        <w:rPr>
          <w:noProof/>
        </w:rPr>
        <w:t>emission</w:t>
      </w:r>
      <w:r w:rsidR="00E839CB">
        <w:rPr>
          <w:noProof/>
        </w:rPr>
        <w:t>s</w:t>
      </w:r>
      <w:r w:rsidRPr="00381AB3">
        <w:rPr>
          <w:noProof/>
        </w:rPr>
        <w:t xml:space="preserve"> compared to </w:t>
      </w:r>
      <w:r w:rsidRPr="00A437E0">
        <w:rPr>
          <w:noProof/>
        </w:rPr>
        <w:t>previous years (</w:t>
      </w:r>
      <w:r w:rsidR="00E839CB">
        <w:rPr>
          <w:noProof/>
        </w:rPr>
        <w:t xml:space="preserve">up from </w:t>
      </w:r>
      <w:r w:rsidRPr="00A437E0">
        <w:rPr>
          <w:noProof/>
        </w:rPr>
        <w:t>1.5 million tonnes of CO</w:t>
      </w:r>
      <w:r w:rsidR="00D839E5">
        <w:rPr>
          <w:noProof/>
          <w:vertAlign w:val="subscript"/>
        </w:rPr>
        <w:t>2</w:t>
      </w:r>
      <w:r w:rsidR="00A437E0" w:rsidRPr="00A437E0">
        <w:rPr>
          <w:noProof/>
        </w:rPr>
        <w:t xml:space="preserve"> equivalent per </w:t>
      </w:r>
      <w:r w:rsidRPr="00A437E0">
        <w:rPr>
          <w:noProof/>
        </w:rPr>
        <w:t>year in 2024 and 224,143 tonnes of CO</w:t>
      </w:r>
      <w:r w:rsidR="00D839E5">
        <w:rPr>
          <w:noProof/>
          <w:vertAlign w:val="subscript"/>
        </w:rPr>
        <w:t>2</w:t>
      </w:r>
      <w:r w:rsidR="00A437E0" w:rsidRPr="00A437E0">
        <w:rPr>
          <w:noProof/>
        </w:rPr>
        <w:t xml:space="preserve"> </w:t>
      </w:r>
      <w:r w:rsidRPr="00A437E0">
        <w:rPr>
          <w:noProof/>
        </w:rPr>
        <w:t>e</w:t>
      </w:r>
      <w:r w:rsidR="00A437E0" w:rsidRPr="00A437E0">
        <w:rPr>
          <w:noProof/>
        </w:rPr>
        <w:t>quivalent</w:t>
      </w:r>
      <w:r w:rsidR="00A437E0">
        <w:rPr>
          <w:noProof/>
        </w:rPr>
        <w:t xml:space="preserve"> per </w:t>
      </w:r>
      <w:r w:rsidRPr="00381AB3">
        <w:rPr>
          <w:noProof/>
        </w:rPr>
        <w:t>year in 2023)</w:t>
      </w:r>
      <w:r w:rsidR="00E839CB">
        <w:rPr>
          <w:noProof/>
        </w:rPr>
        <w:t xml:space="preserve">. This also </w:t>
      </w:r>
      <w:r w:rsidRPr="00381AB3">
        <w:rPr>
          <w:noProof/>
        </w:rPr>
        <w:t xml:space="preserve">reflects the extended lifespan of project implementation under the </w:t>
      </w:r>
      <w:r>
        <w:rPr>
          <w:noProof/>
        </w:rPr>
        <w:t>RRF</w:t>
      </w:r>
      <w:r w:rsidRPr="00381AB3">
        <w:rPr>
          <w:noProof/>
        </w:rPr>
        <w:t>.</w:t>
      </w:r>
    </w:p>
    <w:p w14:paraId="48D826C1" w14:textId="6CF66F30" w:rsidR="00381AB3" w:rsidRPr="00381AB3" w:rsidRDefault="00E839CB" w:rsidP="00381AB3">
      <w:pPr>
        <w:spacing w:after="120"/>
        <w:rPr>
          <w:noProof/>
        </w:rPr>
      </w:pPr>
      <w:r>
        <w:rPr>
          <w:noProof/>
        </w:rPr>
        <w:t>T</w:t>
      </w:r>
      <w:r w:rsidR="00381AB3" w:rsidRPr="00381AB3">
        <w:rPr>
          <w:noProof/>
        </w:rPr>
        <w:t>he report</w:t>
      </w:r>
      <w:r>
        <w:rPr>
          <w:noProof/>
        </w:rPr>
        <w:t xml:space="preserve"> also</w:t>
      </w:r>
      <w:r w:rsidR="00381AB3" w:rsidRPr="00381AB3">
        <w:rPr>
          <w:noProof/>
        </w:rPr>
        <w:t xml:space="preserve"> provides updated information on the allocation of proceeds and on the</w:t>
      </w:r>
      <w:r w:rsidR="00381AB3" w:rsidRPr="00381AB3">
        <w:rPr>
          <w:rFonts w:ascii="Calibri" w:hAnsi="Calibri" w:cs="Calibri"/>
          <w:noProof/>
        </w:rPr>
        <w:t> </w:t>
      </w:r>
      <w:r w:rsidR="00381AB3" w:rsidRPr="00381AB3">
        <w:rPr>
          <w:noProof/>
        </w:rPr>
        <w:t xml:space="preserve">EU Taxonomy alignment of measures financed </w:t>
      </w:r>
      <w:r>
        <w:rPr>
          <w:noProof/>
        </w:rPr>
        <w:t xml:space="preserve">through </w:t>
      </w:r>
      <w:bookmarkStart w:id="96" w:name="_Hlk200395454"/>
      <w:r w:rsidR="00381AB3" w:rsidRPr="00381AB3">
        <w:rPr>
          <w:noProof/>
        </w:rPr>
        <w:t>NGEU Green Bonds</w:t>
      </w:r>
      <w:r>
        <w:rPr>
          <w:noProof/>
        </w:rPr>
        <w:t xml:space="preserve">. For the first time, it also </w:t>
      </w:r>
      <w:r w:rsidR="00381AB3" w:rsidRPr="00381AB3">
        <w:rPr>
          <w:noProof/>
        </w:rPr>
        <w:t xml:space="preserve">includes </w:t>
      </w:r>
      <w:r w:rsidR="00381AB3" w:rsidRPr="00B43DDB">
        <w:rPr>
          <w:noProof/>
        </w:rPr>
        <w:t xml:space="preserve">information on </w:t>
      </w:r>
      <w:r>
        <w:rPr>
          <w:noProof/>
        </w:rPr>
        <w:t>how</w:t>
      </w:r>
      <w:r w:rsidR="00381AB3" w:rsidRPr="00B43DDB">
        <w:rPr>
          <w:rFonts w:ascii="Calibri" w:hAnsi="Calibri" w:cs="Calibri"/>
          <w:noProof/>
        </w:rPr>
        <w:t> </w:t>
      </w:r>
      <w:r w:rsidR="00381AB3" w:rsidRPr="00B43DDB">
        <w:rPr>
          <w:noProof/>
        </w:rPr>
        <w:t>NGEU Green Bond</w:t>
      </w:r>
      <w:r>
        <w:rPr>
          <w:noProof/>
        </w:rPr>
        <w:t>s align</w:t>
      </w:r>
      <w:r w:rsidR="00381AB3" w:rsidRPr="00B43DDB">
        <w:rPr>
          <w:rFonts w:ascii="Calibri" w:hAnsi="Calibri" w:cs="Calibri"/>
          <w:noProof/>
        </w:rPr>
        <w:t> </w:t>
      </w:r>
      <w:r w:rsidR="00381AB3" w:rsidRPr="00B43DDB">
        <w:rPr>
          <w:noProof/>
        </w:rPr>
        <w:t>with corresponding NACE</w:t>
      </w:r>
      <w:r w:rsidR="00991E57" w:rsidRPr="00B43DDB">
        <w:rPr>
          <w:rStyle w:val="FootnoteReference"/>
          <w:noProof/>
        </w:rPr>
        <w:footnoteReference w:id="16"/>
      </w:r>
      <w:r w:rsidR="00381AB3" w:rsidRPr="00B43DDB">
        <w:rPr>
          <w:noProof/>
        </w:rPr>
        <w:t xml:space="preserve"> categories</w:t>
      </w:r>
      <w:r w:rsidR="007042AC">
        <w:rPr>
          <w:noProof/>
        </w:rPr>
        <w:t>. N</w:t>
      </w:r>
      <w:r w:rsidR="00381AB3" w:rsidRPr="00B43DDB">
        <w:rPr>
          <w:noProof/>
        </w:rPr>
        <w:t xml:space="preserve">ew graphics help make the results accessible </w:t>
      </w:r>
      <w:r>
        <w:rPr>
          <w:noProof/>
        </w:rPr>
        <w:t>to</w:t>
      </w:r>
      <w:r w:rsidR="00381AB3" w:rsidRPr="00B43DDB">
        <w:rPr>
          <w:noProof/>
        </w:rPr>
        <w:t xml:space="preserve"> a wide</w:t>
      </w:r>
      <w:r>
        <w:rPr>
          <w:noProof/>
        </w:rPr>
        <w:t>r public</w:t>
      </w:r>
      <w:r w:rsidR="00381AB3" w:rsidRPr="00B43DDB">
        <w:rPr>
          <w:noProof/>
        </w:rPr>
        <w:t>.</w:t>
      </w:r>
    </w:p>
    <w:p w14:paraId="25E3A7A7" w14:textId="4C755FCC" w:rsidR="00381AB3" w:rsidRPr="00D74D55" w:rsidRDefault="00381AB3" w:rsidP="00D74D55">
      <w:pPr>
        <w:spacing w:after="120"/>
        <w:rPr>
          <w:noProof/>
        </w:rPr>
      </w:pPr>
      <w:r w:rsidRPr="00381AB3">
        <w:rPr>
          <w:noProof/>
        </w:rPr>
        <w:t xml:space="preserve">With 2026 marking the last year </w:t>
      </w:r>
      <w:r w:rsidR="00E839CB">
        <w:rPr>
          <w:noProof/>
        </w:rPr>
        <w:t>of</w:t>
      </w:r>
      <w:r w:rsidRPr="00381AB3">
        <w:rPr>
          <w:noProof/>
        </w:rPr>
        <w:t xml:space="preserve"> disbursements under the NGEU programme, the report also underlines that </w:t>
      </w:r>
      <w:r w:rsidR="00E839CB">
        <w:rPr>
          <w:noProof/>
        </w:rPr>
        <w:t xml:space="preserve">any </w:t>
      </w:r>
      <w:r w:rsidRPr="00381AB3">
        <w:rPr>
          <w:noProof/>
        </w:rPr>
        <w:t>further</w:t>
      </w:r>
      <w:r w:rsidR="00E839CB">
        <w:rPr>
          <w:noProof/>
        </w:rPr>
        <w:t xml:space="preserve"> issuance of</w:t>
      </w:r>
      <w:r w:rsidRPr="00381AB3">
        <w:rPr>
          <w:noProof/>
        </w:rPr>
        <w:t xml:space="preserve"> NGEU Green Bond</w:t>
      </w:r>
      <w:r w:rsidR="00E839CB">
        <w:rPr>
          <w:noProof/>
        </w:rPr>
        <w:t>s</w:t>
      </w:r>
      <w:r w:rsidRPr="00381AB3">
        <w:rPr>
          <w:noProof/>
        </w:rPr>
        <w:t xml:space="preserve"> (which currently stand at EUR 78.5 billion) will </w:t>
      </w:r>
      <w:r w:rsidR="00E839CB">
        <w:rPr>
          <w:noProof/>
        </w:rPr>
        <w:t>depend on how</w:t>
      </w:r>
      <w:r w:rsidRPr="00381AB3">
        <w:rPr>
          <w:noProof/>
        </w:rPr>
        <w:t xml:space="preserve"> Member States</w:t>
      </w:r>
      <w:r w:rsidR="00E839CB">
        <w:rPr>
          <w:noProof/>
        </w:rPr>
        <w:t xml:space="preserve"> progress in implementing and reporting </w:t>
      </w:r>
      <w:r w:rsidRPr="00381AB3">
        <w:rPr>
          <w:noProof/>
        </w:rPr>
        <w:t>climate</w:t>
      </w:r>
      <w:r w:rsidR="00E839CB">
        <w:rPr>
          <w:noProof/>
        </w:rPr>
        <w:t>-</w:t>
      </w:r>
      <w:r w:rsidRPr="00381AB3">
        <w:rPr>
          <w:noProof/>
        </w:rPr>
        <w:t>related recovery plan expenditure</w:t>
      </w:r>
      <w:bookmarkEnd w:id="96"/>
      <w:r w:rsidRPr="00381AB3">
        <w:rPr>
          <w:noProof/>
        </w:rPr>
        <w:t xml:space="preserve">. </w:t>
      </w:r>
      <w:r w:rsidR="00E839CB">
        <w:rPr>
          <w:noProof/>
        </w:rPr>
        <w:t>T</w:t>
      </w:r>
      <w:r w:rsidRPr="00381AB3">
        <w:rPr>
          <w:noProof/>
        </w:rPr>
        <w:t xml:space="preserve">he Commission </w:t>
      </w:r>
      <w:r w:rsidR="00E839CB">
        <w:rPr>
          <w:noProof/>
        </w:rPr>
        <w:t>may</w:t>
      </w:r>
      <w:r w:rsidRPr="00381AB3">
        <w:rPr>
          <w:noProof/>
        </w:rPr>
        <w:t xml:space="preserve"> continue to issue NGEU Green Bonds </w:t>
      </w:r>
      <w:r w:rsidR="00E839CB">
        <w:rPr>
          <w:noProof/>
        </w:rPr>
        <w:t xml:space="preserve">after 2026, during the </w:t>
      </w:r>
      <w:r w:rsidRPr="00381AB3">
        <w:rPr>
          <w:noProof/>
        </w:rPr>
        <w:t xml:space="preserve">planned refinancing phase of the NextGenerationEU programme, </w:t>
      </w:r>
      <w:r w:rsidR="00E839CB">
        <w:rPr>
          <w:noProof/>
        </w:rPr>
        <w:t>but this is</w:t>
      </w:r>
      <w:r w:rsidRPr="00381AB3">
        <w:rPr>
          <w:noProof/>
        </w:rPr>
        <w:t xml:space="preserve"> conditional on the timely and satisfactory reporting of expenditure </w:t>
      </w:r>
      <w:r w:rsidR="00E839CB">
        <w:rPr>
          <w:noProof/>
        </w:rPr>
        <w:t>by</w:t>
      </w:r>
      <w:r w:rsidRPr="00381AB3">
        <w:rPr>
          <w:noProof/>
        </w:rPr>
        <w:t xml:space="preserve"> Member States</w:t>
      </w:r>
      <w:r w:rsidR="002C41B5">
        <w:rPr>
          <w:rStyle w:val="FootnoteReference"/>
          <w:noProof/>
        </w:rPr>
        <w:footnoteReference w:id="17"/>
      </w:r>
      <w:r w:rsidR="002C41B5">
        <w:rPr>
          <w:noProof/>
        </w:rPr>
        <w:t>.</w:t>
      </w:r>
    </w:p>
    <w:p w14:paraId="1C0AC0D4" w14:textId="046924C3" w:rsidR="001401DA" w:rsidRPr="001B3164" w:rsidRDefault="007D6C82" w:rsidP="009C1A13">
      <w:pPr>
        <w:pStyle w:val="Heading1"/>
        <w:rPr>
          <w:noProof/>
        </w:rPr>
      </w:pPr>
      <w:bookmarkStart w:id="97" w:name="_Toc219529992"/>
      <w:bookmarkStart w:id="98" w:name="_Hlk155276042"/>
      <w:bookmarkStart w:id="99" w:name="_Hlk158303590"/>
      <w:bookmarkStart w:id="100" w:name="_Hlk158382887"/>
      <w:bookmarkStart w:id="101" w:name="_Hlk201314684"/>
      <w:bookmarkEnd w:id="93"/>
      <w:bookmarkEnd w:id="94"/>
      <w:bookmarkEnd w:id="95"/>
      <w:r w:rsidRPr="001B3164">
        <w:rPr>
          <w:noProof/>
        </w:rPr>
        <w:t>Issuance outlook</w:t>
      </w:r>
      <w:r w:rsidR="003668D8" w:rsidRPr="001B3164">
        <w:rPr>
          <w:noProof/>
        </w:rPr>
        <w:t xml:space="preserve"> for</w:t>
      </w:r>
      <w:r w:rsidR="001401DA" w:rsidRPr="001B3164">
        <w:rPr>
          <w:noProof/>
        </w:rPr>
        <w:t xml:space="preserve"> the </w:t>
      </w:r>
      <w:r w:rsidR="008F2B75">
        <w:rPr>
          <w:noProof/>
        </w:rPr>
        <w:t>first</w:t>
      </w:r>
      <w:r w:rsidR="001401DA" w:rsidRPr="001B3164">
        <w:rPr>
          <w:noProof/>
        </w:rPr>
        <w:t xml:space="preserve"> half of</w:t>
      </w:r>
      <w:r w:rsidR="003668D8" w:rsidRPr="001B3164">
        <w:rPr>
          <w:noProof/>
        </w:rPr>
        <w:t xml:space="preserve"> 202</w:t>
      </w:r>
      <w:r w:rsidR="008F2B75">
        <w:rPr>
          <w:noProof/>
        </w:rPr>
        <w:t>6</w:t>
      </w:r>
      <w:bookmarkEnd w:id="97"/>
    </w:p>
    <w:bookmarkEnd w:id="98"/>
    <w:bookmarkEnd w:id="99"/>
    <w:bookmarkEnd w:id="100"/>
    <w:p w14:paraId="67093DD6" w14:textId="77777777" w:rsidR="00F03A68" w:rsidRDefault="001875EC" w:rsidP="00AA2374">
      <w:pPr>
        <w:spacing w:after="120"/>
        <w:rPr>
          <w:noProof/>
        </w:rPr>
      </w:pPr>
      <w:r w:rsidRPr="00B43DDB">
        <w:rPr>
          <w:noProof/>
        </w:rPr>
        <w:t>2026</w:t>
      </w:r>
      <w:r w:rsidR="00FB5B3D">
        <w:rPr>
          <w:noProof/>
        </w:rPr>
        <w:t xml:space="preserve"> will see exceptionally high </w:t>
      </w:r>
      <w:r w:rsidRPr="00B43DDB">
        <w:rPr>
          <w:noProof/>
        </w:rPr>
        <w:t xml:space="preserve">aggregate amounts </w:t>
      </w:r>
      <w:r w:rsidR="00FB5B3D">
        <w:rPr>
          <w:noProof/>
        </w:rPr>
        <w:t>paid out</w:t>
      </w:r>
      <w:r w:rsidR="004B076D">
        <w:rPr>
          <w:noProof/>
        </w:rPr>
        <w:t xml:space="preserve"> under the </w:t>
      </w:r>
      <w:r w:rsidR="00FB5B3D">
        <w:rPr>
          <w:noProof/>
        </w:rPr>
        <w:t>various</w:t>
      </w:r>
      <w:r w:rsidR="004B076D">
        <w:rPr>
          <w:noProof/>
        </w:rPr>
        <w:t xml:space="preserve"> policies funded b</w:t>
      </w:r>
      <w:r w:rsidRPr="00B43DDB">
        <w:rPr>
          <w:noProof/>
        </w:rPr>
        <w:t>y</w:t>
      </w:r>
    </w:p>
    <w:p w14:paraId="67866783" w14:textId="617F2DB4" w:rsidR="001875EC" w:rsidRDefault="001875EC" w:rsidP="00AA2374">
      <w:pPr>
        <w:spacing w:after="120"/>
        <w:rPr>
          <w:noProof/>
        </w:rPr>
      </w:pPr>
      <w:r w:rsidRPr="00B43DDB">
        <w:rPr>
          <w:noProof/>
        </w:rPr>
        <w:t xml:space="preserve"> the EU debt issuance programme.</w:t>
      </w:r>
      <w:r w:rsidRPr="001875EC">
        <w:rPr>
          <w:noProof/>
        </w:rPr>
        <w:t xml:space="preserve"> </w:t>
      </w:r>
    </w:p>
    <w:p w14:paraId="7C669855" w14:textId="06617713" w:rsidR="001875EC" w:rsidRDefault="00FB5B3D" w:rsidP="00AA2374">
      <w:pPr>
        <w:spacing w:after="120"/>
        <w:rPr>
          <w:noProof/>
        </w:rPr>
      </w:pPr>
      <w:r>
        <w:rPr>
          <w:noProof/>
        </w:rPr>
        <w:t xml:space="preserve">Among other things, </w:t>
      </w:r>
      <w:r w:rsidR="001875EC" w:rsidRPr="001875EC">
        <w:rPr>
          <w:noProof/>
        </w:rPr>
        <w:t>2026 mark</w:t>
      </w:r>
      <w:r>
        <w:rPr>
          <w:noProof/>
        </w:rPr>
        <w:t>s</w:t>
      </w:r>
      <w:r w:rsidR="001875EC" w:rsidRPr="001875EC">
        <w:rPr>
          <w:noProof/>
        </w:rPr>
        <w:t xml:space="preserve"> the final year of disbursements to EU Member States under NextGenerationEU. EUR</w:t>
      </w:r>
      <w:r w:rsidR="004717D7">
        <w:rPr>
          <w:noProof/>
        </w:rPr>
        <w:t xml:space="preserve"> 469.3</w:t>
      </w:r>
      <w:r w:rsidR="001875EC" w:rsidRPr="001875EC">
        <w:rPr>
          <w:noProof/>
        </w:rPr>
        <w:t xml:space="preserve"> billion h</w:t>
      </w:r>
      <w:r>
        <w:rPr>
          <w:noProof/>
        </w:rPr>
        <w:t>as</w:t>
      </w:r>
      <w:r w:rsidR="001875EC" w:rsidRPr="001875EC">
        <w:rPr>
          <w:noProof/>
        </w:rPr>
        <w:t xml:space="preserve"> already been disbursed under the programme</w:t>
      </w:r>
      <w:r w:rsidR="0070507B">
        <w:rPr>
          <w:noProof/>
        </w:rPr>
        <w:t xml:space="preserve"> (mostly financed through borrowing)</w:t>
      </w:r>
      <w:r w:rsidR="001875EC" w:rsidRPr="001875EC">
        <w:rPr>
          <w:noProof/>
        </w:rPr>
        <w:t xml:space="preserve">, </w:t>
      </w:r>
      <w:r>
        <w:rPr>
          <w:noProof/>
        </w:rPr>
        <w:t xml:space="preserve">but </w:t>
      </w:r>
      <w:r w:rsidR="001875EC" w:rsidRPr="001875EC">
        <w:rPr>
          <w:noProof/>
        </w:rPr>
        <w:t xml:space="preserve">uptake of </w:t>
      </w:r>
      <w:r>
        <w:rPr>
          <w:noProof/>
        </w:rPr>
        <w:t xml:space="preserve">the </w:t>
      </w:r>
      <w:r w:rsidR="001875EC" w:rsidRPr="001875EC">
        <w:rPr>
          <w:noProof/>
        </w:rPr>
        <w:t xml:space="preserve">remaining funds will depend on </w:t>
      </w:r>
      <w:r w:rsidR="0070507B">
        <w:rPr>
          <w:noProof/>
        </w:rPr>
        <w:t xml:space="preserve">timely </w:t>
      </w:r>
      <w:r w:rsidR="001875EC" w:rsidRPr="001875EC">
        <w:rPr>
          <w:noProof/>
        </w:rPr>
        <w:t xml:space="preserve">implementation of </w:t>
      </w:r>
      <w:r>
        <w:rPr>
          <w:noProof/>
        </w:rPr>
        <w:t>Member States’</w:t>
      </w:r>
      <w:r w:rsidR="001875EC" w:rsidRPr="001875EC">
        <w:rPr>
          <w:noProof/>
        </w:rPr>
        <w:t xml:space="preserve"> national Recovery and Resilience Plans</w:t>
      </w:r>
      <w:r w:rsidR="006979F3">
        <w:rPr>
          <w:noProof/>
        </w:rPr>
        <w:t xml:space="preserve">, with </w:t>
      </w:r>
      <w:r w:rsidR="0070507B">
        <w:rPr>
          <w:noProof/>
        </w:rPr>
        <w:t>30 September</w:t>
      </w:r>
      <w:r w:rsidR="001875EC" w:rsidRPr="001875EC">
        <w:rPr>
          <w:noProof/>
        </w:rPr>
        <w:t xml:space="preserve"> 2026</w:t>
      </w:r>
      <w:r w:rsidR="006979F3">
        <w:rPr>
          <w:noProof/>
        </w:rPr>
        <w:t xml:space="preserve"> being the</w:t>
      </w:r>
      <w:r w:rsidR="001875EC" w:rsidRPr="001875EC">
        <w:rPr>
          <w:noProof/>
        </w:rPr>
        <w:t xml:space="preserve"> deadline for</w:t>
      </w:r>
      <w:r w:rsidR="0070507B">
        <w:rPr>
          <w:noProof/>
        </w:rPr>
        <w:t xml:space="preserve"> submitting</w:t>
      </w:r>
      <w:r w:rsidR="006979F3">
        <w:rPr>
          <w:noProof/>
        </w:rPr>
        <w:t xml:space="preserve"> the final</w:t>
      </w:r>
      <w:r w:rsidR="001875EC" w:rsidRPr="001875EC">
        <w:rPr>
          <w:noProof/>
        </w:rPr>
        <w:t xml:space="preserve"> payment requests.</w:t>
      </w:r>
    </w:p>
    <w:p w14:paraId="759339E0" w14:textId="491DF1C6" w:rsidR="00941D5F" w:rsidRDefault="00941D5F" w:rsidP="00941D5F">
      <w:pPr>
        <w:spacing w:after="120"/>
        <w:rPr>
          <w:noProof/>
        </w:rPr>
      </w:pPr>
      <w:r>
        <w:rPr>
          <w:noProof/>
        </w:rPr>
        <w:t>At the same time</w:t>
      </w:r>
      <w:r w:rsidR="00FB5B3D">
        <w:rPr>
          <w:noProof/>
        </w:rPr>
        <w:t>,</w:t>
      </w:r>
      <w:r w:rsidR="006979F3">
        <w:rPr>
          <w:noProof/>
        </w:rPr>
        <w:t xml:space="preserve"> disbursements under the</w:t>
      </w:r>
      <w:r w:rsidR="001875EC" w:rsidRPr="001875EC">
        <w:rPr>
          <w:noProof/>
        </w:rPr>
        <w:t xml:space="preserve"> new SAFE programme</w:t>
      </w:r>
      <w:r w:rsidR="006979F3">
        <w:rPr>
          <w:noProof/>
        </w:rPr>
        <w:t xml:space="preserve"> </w:t>
      </w:r>
      <w:r>
        <w:rPr>
          <w:noProof/>
        </w:rPr>
        <w:t xml:space="preserve">are set to begin, starting with </w:t>
      </w:r>
      <w:r w:rsidR="001875EC" w:rsidRPr="001875EC">
        <w:rPr>
          <w:noProof/>
        </w:rPr>
        <w:t>prefinancing</w:t>
      </w:r>
      <w:r w:rsidR="00FB5B3D">
        <w:rPr>
          <w:noProof/>
        </w:rPr>
        <w:t xml:space="preserve"> of </w:t>
      </w:r>
      <w:r w:rsidR="00FB5B3D" w:rsidRPr="001875EC">
        <w:rPr>
          <w:noProof/>
        </w:rPr>
        <w:t>up to 15%</w:t>
      </w:r>
      <w:r w:rsidR="001875EC" w:rsidRPr="00D74D55">
        <w:rPr>
          <w:noProof/>
        </w:rPr>
        <w:t>.</w:t>
      </w:r>
      <w:r w:rsidR="008B2FBC" w:rsidRPr="00D74D55">
        <w:rPr>
          <w:noProof/>
        </w:rPr>
        <w:t xml:space="preserve"> </w:t>
      </w:r>
      <w:r w:rsidRPr="00D74D55">
        <w:rPr>
          <w:noProof/>
        </w:rPr>
        <w:t>In add</w:t>
      </w:r>
      <w:r w:rsidRPr="001875EC">
        <w:rPr>
          <w:noProof/>
        </w:rPr>
        <w:t>ition</w:t>
      </w:r>
      <w:r>
        <w:rPr>
          <w:noProof/>
        </w:rPr>
        <w:t>,</w:t>
      </w:r>
      <w:r w:rsidRPr="001875EC">
        <w:rPr>
          <w:noProof/>
        </w:rPr>
        <w:t xml:space="preserve"> financing from borrowing operations will be needed</w:t>
      </w:r>
      <w:r w:rsidR="004B076D">
        <w:rPr>
          <w:noProof/>
        </w:rPr>
        <w:t xml:space="preserve"> </w:t>
      </w:r>
      <w:r w:rsidR="004B076D" w:rsidRPr="001875EC">
        <w:rPr>
          <w:noProof/>
        </w:rPr>
        <w:t>to support</w:t>
      </w:r>
      <w:r w:rsidR="004B076D">
        <w:rPr>
          <w:noProof/>
        </w:rPr>
        <w:t xml:space="preserve"> the </w:t>
      </w:r>
      <w:r w:rsidR="004B076D" w:rsidRPr="001875EC">
        <w:rPr>
          <w:noProof/>
        </w:rPr>
        <w:t>EU’s neighbourhood</w:t>
      </w:r>
      <w:r w:rsidR="004B076D">
        <w:rPr>
          <w:noProof/>
        </w:rPr>
        <w:t xml:space="preserve"> and</w:t>
      </w:r>
      <w:r w:rsidRPr="001875EC">
        <w:rPr>
          <w:noProof/>
        </w:rPr>
        <w:t xml:space="preserve"> </w:t>
      </w:r>
      <w:r>
        <w:rPr>
          <w:noProof/>
        </w:rPr>
        <w:t xml:space="preserve">for </w:t>
      </w:r>
      <w:r w:rsidR="00FB5B3D">
        <w:rPr>
          <w:noProof/>
        </w:rPr>
        <w:t xml:space="preserve">the </w:t>
      </w:r>
      <w:r w:rsidRPr="001875EC">
        <w:rPr>
          <w:noProof/>
        </w:rPr>
        <w:t>refinancing</w:t>
      </w:r>
      <w:r w:rsidR="00FB5B3D">
        <w:rPr>
          <w:noProof/>
        </w:rPr>
        <w:t xml:space="preserve"> of</w:t>
      </w:r>
      <w:r w:rsidRPr="001875EC">
        <w:rPr>
          <w:noProof/>
        </w:rPr>
        <w:t xml:space="preserve"> </w:t>
      </w:r>
      <w:r w:rsidR="004B076D">
        <w:rPr>
          <w:noProof/>
        </w:rPr>
        <w:t>maturing outstanding bonds</w:t>
      </w:r>
      <w:r>
        <w:rPr>
          <w:noProof/>
        </w:rPr>
        <w:t xml:space="preserve"> to ensure</w:t>
      </w:r>
      <w:r w:rsidRPr="001875EC">
        <w:rPr>
          <w:noProof/>
        </w:rPr>
        <w:t xml:space="preserve"> smooth</w:t>
      </w:r>
      <w:r w:rsidR="004B076D">
        <w:rPr>
          <w:noProof/>
        </w:rPr>
        <w:t xml:space="preserve"> debt</w:t>
      </w:r>
      <w:r w:rsidRPr="001875EC">
        <w:rPr>
          <w:noProof/>
        </w:rPr>
        <w:t xml:space="preserve"> management</w:t>
      </w:r>
      <w:r>
        <w:rPr>
          <w:noProof/>
        </w:rPr>
        <w:t xml:space="preserve">. </w:t>
      </w:r>
      <w:r w:rsidR="00DE7DB0">
        <w:rPr>
          <w:noProof/>
        </w:rPr>
        <w:t xml:space="preserve">Borrowing proceeds in 2026 will also </w:t>
      </w:r>
      <w:r w:rsidR="00FB5B3D">
        <w:rPr>
          <w:noProof/>
        </w:rPr>
        <w:t xml:space="preserve">be used to </w:t>
      </w:r>
      <w:r w:rsidR="00DE7DB0">
        <w:rPr>
          <w:noProof/>
        </w:rPr>
        <w:t xml:space="preserve">finance </w:t>
      </w:r>
      <w:r>
        <w:rPr>
          <w:noProof/>
        </w:rPr>
        <w:t>the new EUR</w:t>
      </w:r>
      <w:r w:rsidR="00FB5B3D">
        <w:rPr>
          <w:rFonts w:ascii="Calibri" w:hAnsi="Calibri" w:cs="Calibri"/>
          <w:noProof/>
        </w:rPr>
        <w:t> </w:t>
      </w:r>
      <w:r>
        <w:rPr>
          <w:noProof/>
        </w:rPr>
        <w:t xml:space="preserve">90 billion Ukraine Support Loan (to be disbursed </w:t>
      </w:r>
      <w:r w:rsidR="00FB5B3D">
        <w:rPr>
          <w:noProof/>
        </w:rPr>
        <w:t>in</w:t>
      </w:r>
      <w:r>
        <w:rPr>
          <w:noProof/>
        </w:rPr>
        <w:t xml:space="preserve"> 2026-2027), for which </w:t>
      </w:r>
      <w:r w:rsidR="00FB5B3D">
        <w:rPr>
          <w:noProof/>
        </w:rPr>
        <w:t xml:space="preserve">legislative approval is pending after </w:t>
      </w:r>
      <w:r>
        <w:rPr>
          <w:noProof/>
        </w:rPr>
        <w:t>political agreement was reached at the European Council on 18 December 2025.</w:t>
      </w:r>
    </w:p>
    <w:p w14:paraId="5123230C" w14:textId="292D0D7F" w:rsidR="00941D5F" w:rsidRDefault="00D569C1" w:rsidP="00AA2374">
      <w:pPr>
        <w:spacing w:after="120"/>
        <w:rPr>
          <w:noProof/>
        </w:rPr>
      </w:pPr>
      <w:bookmarkStart w:id="102" w:name="_Hlk219843807"/>
      <w:r w:rsidRPr="00E0305B">
        <w:rPr>
          <w:noProof/>
        </w:rPr>
        <w:t xml:space="preserve">The high volume of funding needs for 2026 is reflected in the Commission’s funding plan for the first half of 2026, with a combination of long and short-term funding. For the first half of 2026, EU-Bond issuance of EUR 90 billion is </w:t>
      </w:r>
      <w:r w:rsidR="00E0305B" w:rsidRPr="00E0305B">
        <w:rPr>
          <w:noProof/>
        </w:rPr>
        <w:t>planned</w:t>
      </w:r>
      <w:r w:rsidR="00853899">
        <w:rPr>
          <w:noProof/>
        </w:rPr>
        <w:t>.</w:t>
      </w:r>
      <w:r w:rsidRPr="00E0305B">
        <w:rPr>
          <w:noProof/>
        </w:rPr>
        <w:t xml:space="preserve"> </w:t>
      </w:r>
      <w:r w:rsidR="00A03C83">
        <w:rPr>
          <w:noProof/>
        </w:rPr>
        <w:t>T</w:t>
      </w:r>
      <w:r w:rsidRPr="00E0305B">
        <w:rPr>
          <w:noProof/>
        </w:rPr>
        <w:t xml:space="preserve">his planning is subject to calibration once the disbursements under the new loan programme for Ukraine are </w:t>
      </w:r>
      <w:r w:rsidRPr="00853899">
        <w:rPr>
          <w:noProof/>
        </w:rPr>
        <w:t>confirmed</w:t>
      </w:r>
      <w:bookmarkEnd w:id="102"/>
      <w:r w:rsidRPr="00853899">
        <w:rPr>
          <w:noProof/>
        </w:rPr>
        <w:t>.</w:t>
      </w:r>
    </w:p>
    <w:bookmarkEnd w:id="101"/>
    <w:p w14:paraId="78599935" w14:textId="77777777" w:rsidR="000F16B2" w:rsidRPr="001B3164" w:rsidRDefault="000F16B2" w:rsidP="00F13D4C">
      <w:pPr>
        <w:rPr>
          <w:noProof/>
        </w:rPr>
        <w:sectPr w:rsidR="000F16B2" w:rsidRPr="001B3164" w:rsidSect="00CA43D7">
          <w:headerReference w:type="even" r:id="rId44"/>
          <w:headerReference w:type="default" r:id="rId45"/>
          <w:footerReference w:type="even" r:id="rId46"/>
          <w:footerReference w:type="default" r:id="rId47"/>
          <w:headerReference w:type="first" r:id="rId48"/>
          <w:footerReference w:type="first" r:id="rId49"/>
          <w:pgSz w:w="11906" w:h="16838" w:code="9"/>
          <w:pgMar w:top="1440" w:right="1440" w:bottom="1440" w:left="1440" w:header="708" w:footer="708" w:gutter="0"/>
          <w:cols w:space="708"/>
          <w:docGrid w:linePitch="360"/>
        </w:sectPr>
      </w:pPr>
    </w:p>
    <w:p w14:paraId="205789D5" w14:textId="77777777" w:rsidR="003D7F4D" w:rsidRPr="001B3164" w:rsidRDefault="00325F9E" w:rsidP="003D7F4D">
      <w:pPr>
        <w:rPr>
          <w:b/>
          <w:bCs/>
          <w:noProof/>
          <w:color w:val="034EA2" w:themeColor="accent1"/>
        </w:rPr>
      </w:pPr>
      <w:r w:rsidRPr="001B3164">
        <w:rPr>
          <w:b/>
          <w:bCs/>
          <w:noProof/>
          <w:color w:val="034EA2" w:themeColor="accent1"/>
        </w:rPr>
        <w:t>Annex</w:t>
      </w:r>
      <w:r w:rsidR="00A046A3" w:rsidRPr="001B3164">
        <w:rPr>
          <w:b/>
          <w:bCs/>
          <w:noProof/>
          <w:color w:val="034EA2" w:themeColor="accent1"/>
        </w:rPr>
        <w:t>: I</w:t>
      </w:r>
      <w:r w:rsidR="006C29D5" w:rsidRPr="001B3164">
        <w:rPr>
          <w:b/>
          <w:bCs/>
          <w:noProof/>
          <w:color w:val="034EA2" w:themeColor="accent1"/>
        </w:rPr>
        <w:t>mplementation i</w:t>
      </w:r>
      <w:r w:rsidR="00A046A3" w:rsidRPr="001B3164">
        <w:rPr>
          <w:b/>
          <w:bCs/>
          <w:noProof/>
          <w:color w:val="034EA2" w:themeColor="accent1"/>
        </w:rPr>
        <w:t>ndicator</w:t>
      </w:r>
      <w:r w:rsidR="006C29D5" w:rsidRPr="001B3164">
        <w:rPr>
          <w:b/>
          <w:bCs/>
          <w:noProof/>
          <w:color w:val="034EA2" w:themeColor="accent1"/>
        </w:rPr>
        <w:t>s on the</w:t>
      </w:r>
      <w:r w:rsidR="00A046A3" w:rsidRPr="001B3164">
        <w:rPr>
          <w:b/>
          <w:bCs/>
          <w:noProof/>
          <w:color w:val="034EA2" w:themeColor="accent1"/>
        </w:rPr>
        <w:t xml:space="preserve"> </w:t>
      </w:r>
      <w:r w:rsidR="006C29D5" w:rsidRPr="001B3164">
        <w:rPr>
          <w:b/>
          <w:bCs/>
          <w:noProof/>
          <w:color w:val="034EA2" w:themeColor="accent1"/>
        </w:rPr>
        <w:t>use</w:t>
      </w:r>
      <w:r w:rsidR="00A046A3" w:rsidRPr="001B3164">
        <w:rPr>
          <w:b/>
          <w:bCs/>
          <w:noProof/>
          <w:color w:val="034EA2" w:themeColor="accent1"/>
        </w:rPr>
        <w:t xml:space="preserve"> </w:t>
      </w:r>
      <w:r w:rsidR="006C29D5" w:rsidRPr="001B3164">
        <w:rPr>
          <w:b/>
          <w:bCs/>
          <w:noProof/>
          <w:color w:val="034EA2" w:themeColor="accent1"/>
        </w:rPr>
        <w:t xml:space="preserve">of </w:t>
      </w:r>
      <w:r w:rsidR="00A046A3" w:rsidRPr="001B3164">
        <w:rPr>
          <w:b/>
          <w:bCs/>
          <w:noProof/>
          <w:color w:val="034EA2" w:themeColor="accent1"/>
        </w:rPr>
        <w:t xml:space="preserve">the means </w:t>
      </w:r>
      <w:r w:rsidR="006C29D5" w:rsidRPr="001B3164">
        <w:rPr>
          <w:b/>
          <w:bCs/>
          <w:noProof/>
          <w:color w:val="034EA2" w:themeColor="accent1"/>
        </w:rPr>
        <w:t>for</w:t>
      </w:r>
      <w:r w:rsidR="00A046A3" w:rsidRPr="001B3164">
        <w:rPr>
          <w:b/>
          <w:bCs/>
          <w:noProof/>
          <w:color w:val="034EA2" w:themeColor="accent1"/>
        </w:rPr>
        <w:t xml:space="preserve"> deliver</w:t>
      </w:r>
      <w:r w:rsidR="006C29D5" w:rsidRPr="001B3164">
        <w:rPr>
          <w:b/>
          <w:bCs/>
          <w:noProof/>
          <w:color w:val="034EA2" w:themeColor="accent1"/>
        </w:rPr>
        <w:t>ing</w:t>
      </w:r>
      <w:r w:rsidR="00A046A3" w:rsidRPr="001B3164">
        <w:rPr>
          <w:b/>
          <w:bCs/>
          <w:noProof/>
          <w:color w:val="034EA2" w:themeColor="accent1"/>
        </w:rPr>
        <w:t xml:space="preserve"> against the </w:t>
      </w:r>
      <w:r w:rsidRPr="001B3164">
        <w:rPr>
          <w:b/>
          <w:bCs/>
          <w:noProof/>
          <w:color w:val="034EA2" w:themeColor="accent1"/>
        </w:rPr>
        <w:t>Commission’s overarching debt</w:t>
      </w:r>
      <w:r w:rsidR="007A0D9A" w:rsidRPr="001B3164">
        <w:rPr>
          <w:b/>
          <w:bCs/>
          <w:noProof/>
          <w:color w:val="034EA2" w:themeColor="accent1"/>
        </w:rPr>
        <w:t>-</w:t>
      </w:r>
      <w:r w:rsidRPr="001B3164">
        <w:rPr>
          <w:b/>
          <w:bCs/>
          <w:noProof/>
          <w:color w:val="034EA2" w:themeColor="accent1"/>
        </w:rPr>
        <w:t>management strategy</w:t>
      </w:r>
      <w:r w:rsidR="00A046A3" w:rsidRPr="001B3164">
        <w:rPr>
          <w:b/>
          <w:bCs/>
          <w:noProof/>
          <w:color w:val="034EA2" w:themeColor="accent1"/>
        </w:rPr>
        <w:t>’s efficiency and effectiveness objectives</w:t>
      </w:r>
    </w:p>
    <w:tbl>
      <w:tblPr>
        <w:tblStyle w:val="GridTable4-Accent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4" w:space="0" w:color="A6A6A6" w:themeColor="background1" w:themeShade="A6"/>
          <w:insideV w:val="single" w:sz="4" w:space="0" w:color="A6A6A6" w:themeColor="background1" w:themeShade="A6"/>
        </w:tblBorders>
        <w:tblCellMar>
          <w:top w:w="28" w:type="dxa"/>
          <w:bottom w:w="28" w:type="dxa"/>
        </w:tblCellMar>
        <w:tblLook w:val="04A0" w:firstRow="1" w:lastRow="0" w:firstColumn="1" w:lastColumn="0" w:noHBand="0" w:noVBand="1"/>
      </w:tblPr>
      <w:tblGrid>
        <w:gridCol w:w="1664"/>
        <w:gridCol w:w="3264"/>
        <w:gridCol w:w="2268"/>
        <w:gridCol w:w="2551"/>
        <w:gridCol w:w="4678"/>
      </w:tblGrid>
      <w:tr w:rsidR="003D7F4D" w:rsidRPr="001B3164" w14:paraId="67A11E1C" w14:textId="77777777" w:rsidTr="00F63022">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928" w:type="dxa"/>
            <w:gridSpan w:val="2"/>
            <w:shd w:val="clear" w:color="auto" w:fill="034EA2" w:themeFill="accent1"/>
            <w:vAlign w:val="center"/>
          </w:tcPr>
          <w:p w14:paraId="594F625B" w14:textId="77777777" w:rsidR="003D7F4D" w:rsidRPr="001B3164" w:rsidRDefault="003D7F4D" w:rsidP="00F63022">
            <w:pPr>
              <w:jc w:val="center"/>
              <w:rPr>
                <w:noProof/>
                <w:sz w:val="18"/>
                <w:szCs w:val="18"/>
              </w:rPr>
            </w:pPr>
            <w:r w:rsidRPr="001B3164">
              <w:rPr>
                <w:noProof/>
                <w:sz w:val="18"/>
                <w:szCs w:val="18"/>
              </w:rPr>
              <w:t>Means</w:t>
            </w:r>
          </w:p>
        </w:tc>
        <w:tc>
          <w:tcPr>
            <w:tcW w:w="2268" w:type="dxa"/>
            <w:shd w:val="clear" w:color="auto" w:fill="034EA2" w:themeFill="accent1"/>
            <w:vAlign w:val="center"/>
          </w:tcPr>
          <w:p w14:paraId="557D1CD1" w14:textId="77777777" w:rsidR="003D7F4D" w:rsidRPr="001B3164" w:rsidRDefault="003D7F4D" w:rsidP="00F63022">
            <w:pPr>
              <w:ind w:left="113" w:hanging="113"/>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Indicator</w:t>
            </w:r>
          </w:p>
        </w:tc>
        <w:tc>
          <w:tcPr>
            <w:tcW w:w="2551" w:type="dxa"/>
            <w:shd w:val="clear" w:color="auto" w:fill="034EA2" w:themeFill="accent1"/>
            <w:vAlign w:val="center"/>
          </w:tcPr>
          <w:p w14:paraId="3BC75D03" w14:textId="2A7E0EE7"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Value in H</w:t>
            </w:r>
            <w:r w:rsidR="00975772">
              <w:rPr>
                <w:noProof/>
                <w:sz w:val="18"/>
                <w:szCs w:val="18"/>
              </w:rPr>
              <w:t>2</w:t>
            </w:r>
            <w:r w:rsidRPr="001B3164">
              <w:rPr>
                <w:noProof/>
                <w:sz w:val="18"/>
                <w:szCs w:val="18"/>
              </w:rPr>
              <w:t xml:space="preserve"> 2025 (unless</w:t>
            </w:r>
            <w:r w:rsidR="00F63022" w:rsidRPr="001B3164">
              <w:rPr>
                <w:noProof/>
                <w:sz w:val="18"/>
                <w:szCs w:val="18"/>
              </w:rPr>
              <w:t xml:space="preserve"> otherwise </w:t>
            </w:r>
            <w:r w:rsidRPr="001B3164">
              <w:rPr>
                <w:noProof/>
                <w:sz w:val="18"/>
                <w:szCs w:val="18"/>
              </w:rPr>
              <w:t>indicated)</w:t>
            </w:r>
          </w:p>
        </w:tc>
        <w:tc>
          <w:tcPr>
            <w:tcW w:w="4678" w:type="dxa"/>
            <w:shd w:val="clear" w:color="auto" w:fill="034EA2" w:themeFill="accent1"/>
            <w:vAlign w:val="center"/>
          </w:tcPr>
          <w:p w14:paraId="6A4802D2" w14:textId="62702A8A" w:rsidR="003D7F4D" w:rsidRPr="001B3164" w:rsidRDefault="003D7F4D" w:rsidP="00F63022">
            <w:pPr>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Comment</w:t>
            </w:r>
            <w:r w:rsidR="00F63022">
              <w:rPr>
                <w:noProof/>
                <w:sz w:val="18"/>
                <w:szCs w:val="18"/>
              </w:rPr>
              <w:t>s</w:t>
            </w:r>
            <w:r w:rsidRPr="001B3164">
              <w:rPr>
                <w:noProof/>
                <w:sz w:val="18"/>
                <w:szCs w:val="18"/>
              </w:rPr>
              <w:t xml:space="preserve"> on execution in H2 202</w:t>
            </w:r>
            <w:r w:rsidR="00975772">
              <w:rPr>
                <w:noProof/>
                <w:sz w:val="18"/>
                <w:szCs w:val="18"/>
              </w:rPr>
              <w:t>5</w:t>
            </w:r>
          </w:p>
        </w:tc>
      </w:tr>
      <w:tr w:rsidR="003D7F4D" w:rsidRPr="001B3164" w14:paraId="12103427"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B0D00A0" w14:textId="77777777" w:rsidR="003D7F4D" w:rsidRPr="001B3164" w:rsidRDefault="003D7F4D" w:rsidP="00F63022">
            <w:pPr>
              <w:jc w:val="left"/>
              <w:rPr>
                <w:noProof/>
                <w:color w:val="034EA2" w:themeColor="accent1"/>
                <w:sz w:val="18"/>
                <w:szCs w:val="18"/>
              </w:rPr>
            </w:pPr>
            <w:r w:rsidRPr="001B3164">
              <w:rPr>
                <w:noProof/>
                <w:color w:val="034EA2" w:themeColor="accent1"/>
                <w:sz w:val="18"/>
                <w:szCs w:val="18"/>
              </w:rPr>
              <w:t>Implementation of the EU-Bond programme</w:t>
            </w:r>
          </w:p>
          <w:p w14:paraId="2CDDB58B" w14:textId="77777777" w:rsidR="003D7F4D" w:rsidRPr="001B3164" w:rsidRDefault="003D7F4D" w:rsidP="00F63022">
            <w:pPr>
              <w:rPr>
                <w:noProof/>
                <w:sz w:val="18"/>
                <w:szCs w:val="18"/>
              </w:rPr>
            </w:pPr>
          </w:p>
        </w:tc>
        <w:tc>
          <w:tcPr>
            <w:tcW w:w="3264" w:type="dxa"/>
            <w:vMerge w:val="restart"/>
            <w:shd w:val="clear" w:color="auto" w:fill="auto"/>
          </w:tcPr>
          <w:p w14:paraId="508A70E8" w14:textId="77777777" w:rsidR="003D7F4D" w:rsidRPr="001B3164" w:rsidRDefault="003D7F4D" w:rsidP="00F63022">
            <w:pPr>
              <w:pStyle w:val="ListParagraph"/>
              <w:numPr>
                <w:ilvl w:val="0"/>
                <w:numId w:val="27"/>
              </w:numPr>
              <w:spacing w:after="60" w:line="240" w:lineRule="auto"/>
              <w:ind w:left="170" w:hanging="170"/>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r w:rsidRPr="001B3164">
              <w:rPr>
                <w:rFonts w:ascii="EC Square Sans Pro" w:hAnsi="EC Square Sans Pro" w:cs="Times New Roman"/>
                <w:noProof/>
                <w:color w:val="034EA2" w:themeColor="accent1"/>
                <w:sz w:val="18"/>
                <w:szCs w:val="18"/>
                <w:lang w:val="en-IE"/>
              </w:rPr>
              <w:t xml:space="preserve"> Regular issuances across the curve</w:t>
            </w:r>
          </w:p>
          <w:p w14:paraId="6A1A6532" w14:textId="041CE493"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 xml:space="preserve">Regular EU-Bond (and </w:t>
            </w:r>
            <w:r w:rsidR="007D3FC3" w:rsidRPr="001B3164">
              <w:rPr>
                <w:noProof/>
                <w:sz w:val="18"/>
                <w:szCs w:val="18"/>
              </w:rPr>
              <w:t>NextGenerationEU</w:t>
            </w:r>
            <w:r w:rsidRPr="001B3164">
              <w:rPr>
                <w:noProof/>
                <w:sz w:val="18"/>
                <w:szCs w:val="18"/>
              </w:rPr>
              <w:t xml:space="preserve"> </w:t>
            </w:r>
            <w:r w:rsidR="005D2E96" w:rsidRPr="001B3164">
              <w:rPr>
                <w:noProof/>
                <w:sz w:val="18"/>
                <w:szCs w:val="18"/>
              </w:rPr>
              <w:t>G</w:t>
            </w:r>
            <w:r w:rsidRPr="001B3164">
              <w:rPr>
                <w:noProof/>
                <w:sz w:val="18"/>
                <w:szCs w:val="18"/>
              </w:rPr>
              <w:t xml:space="preserve">reen </w:t>
            </w:r>
            <w:r w:rsidR="005D2E96" w:rsidRPr="001B3164">
              <w:rPr>
                <w:noProof/>
                <w:sz w:val="18"/>
                <w:szCs w:val="18"/>
              </w:rPr>
              <w:t>B</w:t>
            </w:r>
            <w:r w:rsidRPr="001B3164">
              <w:rPr>
                <w:noProof/>
                <w:sz w:val="18"/>
                <w:szCs w:val="18"/>
              </w:rPr>
              <w:t xml:space="preserve">ond) issuances in all maturities across the curve (up to 30 years) to provide different types of investors with investment opportunities as a way </w:t>
            </w:r>
            <w:r w:rsidR="00E0305B">
              <w:rPr>
                <w:noProof/>
                <w:sz w:val="18"/>
                <w:szCs w:val="18"/>
              </w:rPr>
              <w:t>to</w:t>
            </w:r>
            <w:r w:rsidRPr="001B3164">
              <w:rPr>
                <w:noProof/>
                <w:sz w:val="18"/>
                <w:szCs w:val="18"/>
              </w:rPr>
              <w:t xml:space="preserve"> maintain strong investor demand and </w:t>
            </w:r>
            <w:r w:rsidR="000F4198" w:rsidRPr="001B3164">
              <w:rPr>
                <w:noProof/>
                <w:sz w:val="18"/>
                <w:szCs w:val="18"/>
              </w:rPr>
              <w:t>with it</w:t>
            </w:r>
            <w:r w:rsidRPr="001B3164">
              <w:rPr>
                <w:noProof/>
                <w:sz w:val="18"/>
                <w:szCs w:val="18"/>
              </w:rPr>
              <w:t xml:space="preserve"> the flexibility to determine issuance volumes and maturities for individual transactions based on market conditions.</w:t>
            </w:r>
          </w:p>
        </w:tc>
        <w:tc>
          <w:tcPr>
            <w:tcW w:w="2268" w:type="dxa"/>
            <w:shd w:val="clear" w:color="auto" w:fill="auto"/>
          </w:tcPr>
          <w:p w14:paraId="11A9251B" w14:textId="77777777" w:rsidR="003D7F4D" w:rsidRPr="00821D7E"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821D7E">
              <w:rPr>
                <w:rFonts w:ascii="EC Square Sans Pro" w:hAnsi="EC Square Sans Pro"/>
                <w:i/>
                <w:iCs/>
                <w:noProof/>
                <w:sz w:val="18"/>
                <w:szCs w:val="18"/>
                <w:lang w:val="en-IE"/>
              </w:rPr>
              <w:t>Maturity split of issuance programme</w:t>
            </w:r>
          </w:p>
        </w:tc>
        <w:tc>
          <w:tcPr>
            <w:tcW w:w="2551" w:type="dxa"/>
            <w:shd w:val="clear" w:color="auto" w:fill="auto"/>
          </w:tcPr>
          <w:p w14:paraId="21012C8A" w14:textId="63799937"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 xml:space="preserve">1-4 years: </w:t>
            </w:r>
            <w:r w:rsidR="00821D7E" w:rsidRPr="00821D7E">
              <w:rPr>
                <w:noProof/>
                <w:sz w:val="18"/>
                <w:szCs w:val="18"/>
              </w:rPr>
              <w:t>15</w:t>
            </w:r>
            <w:r w:rsidRPr="00821D7E">
              <w:rPr>
                <w:noProof/>
                <w:sz w:val="18"/>
                <w:szCs w:val="18"/>
              </w:rPr>
              <w:t>%</w:t>
            </w:r>
          </w:p>
          <w:p w14:paraId="451678A8" w14:textId="4AF7CD9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 xml:space="preserve">4-8 years: </w:t>
            </w:r>
            <w:r w:rsidR="00821D7E" w:rsidRPr="00821D7E">
              <w:rPr>
                <w:noProof/>
                <w:sz w:val="18"/>
                <w:szCs w:val="18"/>
              </w:rPr>
              <w:t>39</w:t>
            </w:r>
            <w:r w:rsidRPr="00821D7E">
              <w:rPr>
                <w:noProof/>
                <w:sz w:val="18"/>
                <w:szCs w:val="18"/>
              </w:rPr>
              <w:t xml:space="preserve">% </w:t>
            </w:r>
          </w:p>
          <w:p w14:paraId="0A1FACA9" w14:textId="1F95ED73"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8-12 years: 1</w:t>
            </w:r>
            <w:r w:rsidR="00821D7E" w:rsidRPr="00821D7E">
              <w:rPr>
                <w:noProof/>
                <w:sz w:val="18"/>
                <w:szCs w:val="18"/>
              </w:rPr>
              <w:t>1</w:t>
            </w:r>
            <w:r w:rsidRPr="00821D7E">
              <w:rPr>
                <w:noProof/>
                <w:sz w:val="18"/>
                <w:szCs w:val="18"/>
              </w:rPr>
              <w:t>%</w:t>
            </w:r>
          </w:p>
          <w:p w14:paraId="7C2F8AE2" w14:textId="55C309FA"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12-17 years: 1</w:t>
            </w:r>
            <w:r w:rsidR="00821D7E" w:rsidRPr="00821D7E">
              <w:rPr>
                <w:noProof/>
                <w:sz w:val="18"/>
                <w:szCs w:val="18"/>
              </w:rPr>
              <w:t>3</w:t>
            </w:r>
            <w:r w:rsidRPr="00821D7E">
              <w:rPr>
                <w:noProof/>
                <w:sz w:val="18"/>
                <w:szCs w:val="18"/>
              </w:rPr>
              <w:t>%</w:t>
            </w:r>
          </w:p>
          <w:p w14:paraId="46F008D8" w14:textId="36629450"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17-23 years: 1</w:t>
            </w:r>
            <w:r w:rsidR="00821D7E" w:rsidRPr="00821D7E">
              <w:rPr>
                <w:noProof/>
                <w:sz w:val="18"/>
                <w:szCs w:val="18"/>
              </w:rPr>
              <w:t>0</w:t>
            </w:r>
            <w:r w:rsidRPr="00821D7E">
              <w:rPr>
                <w:noProof/>
                <w:sz w:val="18"/>
                <w:szCs w:val="18"/>
              </w:rPr>
              <w:t>%</w:t>
            </w:r>
          </w:p>
          <w:p w14:paraId="01903358" w14:textId="7EE08864" w:rsidR="003D7F4D" w:rsidRPr="00821D7E"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 xml:space="preserve">23-31 years: </w:t>
            </w:r>
            <w:r w:rsidR="00821D7E" w:rsidRPr="00821D7E">
              <w:rPr>
                <w:noProof/>
                <w:sz w:val="18"/>
                <w:szCs w:val="18"/>
              </w:rPr>
              <w:t>12</w:t>
            </w:r>
            <w:r w:rsidRPr="00821D7E">
              <w:rPr>
                <w:noProof/>
                <w:sz w:val="18"/>
                <w:szCs w:val="18"/>
              </w:rPr>
              <w:t>%</w:t>
            </w:r>
          </w:p>
        </w:tc>
        <w:tc>
          <w:tcPr>
            <w:tcW w:w="4678" w:type="dxa"/>
            <w:vMerge w:val="restart"/>
            <w:shd w:val="clear" w:color="auto" w:fill="auto"/>
          </w:tcPr>
          <w:p w14:paraId="3A0A2EBE" w14:textId="1602CE89" w:rsidR="000F0386"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In H</w:t>
            </w:r>
            <w:r w:rsidR="000F0386">
              <w:rPr>
                <w:noProof/>
                <w:sz w:val="18"/>
                <w:szCs w:val="18"/>
              </w:rPr>
              <w:t>2</w:t>
            </w:r>
            <w:r w:rsidRPr="001B3164">
              <w:rPr>
                <w:noProof/>
                <w:sz w:val="18"/>
                <w:szCs w:val="18"/>
              </w:rPr>
              <w:t xml:space="preserve"> 2025, the Commission </w:t>
            </w:r>
            <w:r w:rsidR="007C46F4">
              <w:rPr>
                <w:noProof/>
                <w:sz w:val="18"/>
                <w:szCs w:val="18"/>
              </w:rPr>
              <w:t>conducted</w:t>
            </w:r>
            <w:r w:rsidRPr="001B3164">
              <w:rPr>
                <w:noProof/>
                <w:sz w:val="18"/>
                <w:szCs w:val="18"/>
              </w:rPr>
              <w:t xml:space="preserve"> regular bond issuances across different tenors to provide the EU curve with liquidity </w:t>
            </w:r>
            <w:r w:rsidRPr="00065C9D">
              <w:rPr>
                <w:noProof/>
                <w:sz w:val="18"/>
                <w:szCs w:val="18"/>
              </w:rPr>
              <w:t xml:space="preserve">on all segments. </w:t>
            </w:r>
            <w:r w:rsidR="000F4198" w:rsidRPr="00065C9D">
              <w:rPr>
                <w:noProof/>
                <w:sz w:val="18"/>
                <w:szCs w:val="18"/>
              </w:rPr>
              <w:t>F</w:t>
            </w:r>
            <w:r w:rsidRPr="00065C9D">
              <w:rPr>
                <w:noProof/>
                <w:sz w:val="18"/>
                <w:szCs w:val="18"/>
              </w:rPr>
              <w:t xml:space="preserve">unding transactions were spread over the six-month period to ensure a regular presence in the market. There were </w:t>
            </w:r>
            <w:r w:rsidR="005367E1" w:rsidRPr="00065C9D">
              <w:rPr>
                <w:noProof/>
                <w:sz w:val="18"/>
                <w:szCs w:val="18"/>
              </w:rPr>
              <w:t>fewer</w:t>
            </w:r>
            <w:r w:rsidRPr="00065C9D">
              <w:rPr>
                <w:noProof/>
                <w:sz w:val="18"/>
                <w:szCs w:val="18"/>
              </w:rPr>
              <w:t xml:space="preserve"> transactions than in H</w:t>
            </w:r>
            <w:r w:rsidR="000F0386" w:rsidRPr="00065C9D">
              <w:rPr>
                <w:noProof/>
                <w:sz w:val="18"/>
                <w:szCs w:val="18"/>
              </w:rPr>
              <w:t>1</w:t>
            </w:r>
            <w:r w:rsidRPr="00065C9D">
              <w:rPr>
                <w:noProof/>
                <w:sz w:val="18"/>
                <w:szCs w:val="18"/>
              </w:rPr>
              <w:t xml:space="preserve"> 202</w:t>
            </w:r>
            <w:r w:rsidR="000F0386" w:rsidRPr="00065C9D">
              <w:rPr>
                <w:noProof/>
                <w:sz w:val="18"/>
                <w:szCs w:val="18"/>
              </w:rPr>
              <w:t>5</w:t>
            </w:r>
            <w:r w:rsidRPr="00065C9D">
              <w:rPr>
                <w:noProof/>
                <w:sz w:val="18"/>
                <w:szCs w:val="18"/>
              </w:rPr>
              <w:t>, as the H</w:t>
            </w:r>
            <w:r w:rsidR="000F0386" w:rsidRPr="00065C9D">
              <w:rPr>
                <w:noProof/>
                <w:sz w:val="18"/>
                <w:szCs w:val="18"/>
              </w:rPr>
              <w:t>2</w:t>
            </w:r>
            <w:r w:rsidRPr="00065C9D">
              <w:rPr>
                <w:noProof/>
                <w:sz w:val="18"/>
                <w:szCs w:val="18"/>
              </w:rPr>
              <w:t xml:space="preserve"> 2025 funding target of up to EUR</w:t>
            </w:r>
            <w:r w:rsidR="00E0305B">
              <w:rPr>
                <w:rFonts w:ascii="Calibri" w:hAnsi="Calibri" w:cs="Calibri"/>
                <w:noProof/>
                <w:sz w:val="18"/>
                <w:szCs w:val="18"/>
              </w:rPr>
              <w:t> </w:t>
            </w:r>
            <w:r w:rsidR="000F0386" w:rsidRPr="00065C9D">
              <w:rPr>
                <w:noProof/>
                <w:sz w:val="18"/>
                <w:szCs w:val="18"/>
              </w:rPr>
              <w:t>70</w:t>
            </w:r>
            <w:r w:rsidR="00E0305B">
              <w:rPr>
                <w:rFonts w:ascii="Calibri" w:hAnsi="Calibri" w:cs="Calibri"/>
                <w:noProof/>
                <w:sz w:val="18"/>
                <w:szCs w:val="18"/>
              </w:rPr>
              <w:t> </w:t>
            </w:r>
            <w:r w:rsidRPr="00065C9D">
              <w:rPr>
                <w:noProof/>
                <w:sz w:val="18"/>
                <w:szCs w:val="18"/>
              </w:rPr>
              <w:t xml:space="preserve">billion was </w:t>
            </w:r>
            <w:r w:rsidR="000F0386" w:rsidRPr="00065C9D">
              <w:rPr>
                <w:noProof/>
                <w:sz w:val="18"/>
                <w:szCs w:val="18"/>
              </w:rPr>
              <w:t xml:space="preserve">lower </w:t>
            </w:r>
            <w:r w:rsidRPr="00065C9D">
              <w:rPr>
                <w:noProof/>
                <w:sz w:val="18"/>
                <w:szCs w:val="18"/>
              </w:rPr>
              <w:t>than the H</w:t>
            </w:r>
            <w:r w:rsidR="000F0386" w:rsidRPr="00065C9D">
              <w:rPr>
                <w:noProof/>
                <w:sz w:val="18"/>
                <w:szCs w:val="18"/>
              </w:rPr>
              <w:t>1</w:t>
            </w:r>
            <w:r w:rsidRPr="00065C9D">
              <w:rPr>
                <w:noProof/>
                <w:sz w:val="18"/>
                <w:szCs w:val="18"/>
              </w:rPr>
              <w:t xml:space="preserve"> 202</w:t>
            </w:r>
            <w:r w:rsidR="000F0386" w:rsidRPr="00065C9D">
              <w:rPr>
                <w:noProof/>
                <w:sz w:val="18"/>
                <w:szCs w:val="18"/>
              </w:rPr>
              <w:t>5</w:t>
            </w:r>
            <w:r w:rsidRPr="00065C9D">
              <w:rPr>
                <w:noProof/>
                <w:sz w:val="18"/>
                <w:szCs w:val="18"/>
              </w:rPr>
              <w:t xml:space="preserve"> funding target of EUR </w:t>
            </w:r>
            <w:r w:rsidR="000F0386" w:rsidRPr="00065C9D">
              <w:rPr>
                <w:noProof/>
                <w:sz w:val="18"/>
                <w:szCs w:val="18"/>
              </w:rPr>
              <w:t>90</w:t>
            </w:r>
            <w:r w:rsidRPr="00065C9D">
              <w:rPr>
                <w:noProof/>
                <w:sz w:val="18"/>
                <w:szCs w:val="18"/>
              </w:rPr>
              <w:t xml:space="preserve"> billion.</w:t>
            </w:r>
            <w:r w:rsidR="000F0386" w:rsidRPr="00065C9D">
              <w:rPr>
                <w:noProof/>
                <w:sz w:val="18"/>
                <w:szCs w:val="18"/>
              </w:rPr>
              <w:t xml:space="preserve"> T</w:t>
            </w:r>
            <w:r w:rsidR="00E0305B">
              <w:rPr>
                <w:noProof/>
                <w:sz w:val="18"/>
                <w:szCs w:val="18"/>
              </w:rPr>
              <w:t>he number of t</w:t>
            </w:r>
            <w:r w:rsidR="000F0386" w:rsidRPr="00065C9D">
              <w:rPr>
                <w:noProof/>
                <w:sz w:val="18"/>
                <w:szCs w:val="18"/>
              </w:rPr>
              <w:t>ransaction</w:t>
            </w:r>
            <w:r w:rsidR="00E0305B">
              <w:rPr>
                <w:noProof/>
                <w:sz w:val="18"/>
                <w:szCs w:val="18"/>
              </w:rPr>
              <w:t>s</w:t>
            </w:r>
            <w:r w:rsidR="000F0386">
              <w:rPr>
                <w:noProof/>
                <w:sz w:val="18"/>
                <w:szCs w:val="18"/>
              </w:rPr>
              <w:t xml:space="preserve"> and </w:t>
            </w:r>
            <w:r w:rsidR="00E0305B">
              <w:rPr>
                <w:noProof/>
                <w:sz w:val="18"/>
                <w:szCs w:val="18"/>
              </w:rPr>
              <w:t xml:space="preserve">the </w:t>
            </w:r>
            <w:r w:rsidR="000F0386">
              <w:rPr>
                <w:noProof/>
                <w:sz w:val="18"/>
                <w:szCs w:val="18"/>
              </w:rPr>
              <w:t>sequencing w</w:t>
            </w:r>
            <w:r w:rsidR="00E0305B">
              <w:rPr>
                <w:noProof/>
                <w:sz w:val="18"/>
                <w:szCs w:val="18"/>
              </w:rPr>
              <w:t>ere</w:t>
            </w:r>
            <w:r w:rsidR="000F0386">
              <w:rPr>
                <w:noProof/>
                <w:sz w:val="18"/>
                <w:szCs w:val="18"/>
              </w:rPr>
              <w:t xml:space="preserve"> similar to H2 2024</w:t>
            </w:r>
            <w:r w:rsidR="00E0305B">
              <w:rPr>
                <w:noProof/>
                <w:sz w:val="18"/>
                <w:szCs w:val="18"/>
              </w:rPr>
              <w:t xml:space="preserve">, when the </w:t>
            </w:r>
            <w:r w:rsidR="000F0386">
              <w:rPr>
                <w:noProof/>
                <w:sz w:val="18"/>
                <w:szCs w:val="18"/>
              </w:rPr>
              <w:t>funding target</w:t>
            </w:r>
            <w:r w:rsidR="00E0305B">
              <w:rPr>
                <w:noProof/>
                <w:sz w:val="18"/>
                <w:szCs w:val="18"/>
              </w:rPr>
              <w:t xml:space="preserve"> was</w:t>
            </w:r>
            <w:r w:rsidR="000F0386">
              <w:rPr>
                <w:noProof/>
                <w:sz w:val="18"/>
                <w:szCs w:val="18"/>
              </w:rPr>
              <w:t xml:space="preserve"> EUR 65 billion.</w:t>
            </w:r>
          </w:p>
          <w:p w14:paraId="07A64E22" w14:textId="1B8DAB70" w:rsidR="003D7F4D" w:rsidRPr="001B3164" w:rsidRDefault="003D7F4D" w:rsidP="00F63022">
            <w:pPr>
              <w:spacing w:after="120"/>
              <w:cnfStyle w:val="000000100000" w:firstRow="0" w:lastRow="0" w:firstColumn="0" w:lastColumn="0" w:oddVBand="0" w:evenVBand="0" w:oddHBand="1" w:evenHBand="0" w:firstRowFirstColumn="0" w:firstRowLastColumn="0" w:lastRowFirstColumn="0" w:lastRowLastColumn="0"/>
              <w:rPr>
                <w:noProof/>
                <w:sz w:val="18"/>
                <w:szCs w:val="18"/>
              </w:rPr>
            </w:pPr>
            <w:r w:rsidRPr="000F0386">
              <w:rPr>
                <w:noProof/>
                <w:sz w:val="18"/>
                <w:szCs w:val="18"/>
              </w:rPr>
              <w:t>Green bond issuance</w:t>
            </w:r>
            <w:r w:rsidR="007C46F4">
              <w:rPr>
                <w:noProof/>
                <w:sz w:val="18"/>
                <w:szCs w:val="18"/>
              </w:rPr>
              <w:t xml:space="preserve"> </w:t>
            </w:r>
            <w:r w:rsidR="007C46F4" w:rsidRPr="000F0386">
              <w:rPr>
                <w:noProof/>
                <w:sz w:val="18"/>
                <w:szCs w:val="18"/>
              </w:rPr>
              <w:t>was lower than in the first half of 2025</w:t>
            </w:r>
            <w:r w:rsidR="007C46F4">
              <w:rPr>
                <w:noProof/>
                <w:sz w:val="18"/>
                <w:szCs w:val="18"/>
              </w:rPr>
              <w:t>,</w:t>
            </w:r>
            <w:r w:rsidRPr="000F0386">
              <w:rPr>
                <w:noProof/>
                <w:sz w:val="18"/>
                <w:szCs w:val="18"/>
              </w:rPr>
              <w:t xml:space="preserve"> </w:t>
            </w:r>
            <w:r w:rsidR="007C46F4">
              <w:rPr>
                <w:noProof/>
                <w:sz w:val="18"/>
                <w:szCs w:val="18"/>
              </w:rPr>
              <w:t>r</w:t>
            </w:r>
            <w:r w:rsidRPr="000F0386">
              <w:rPr>
                <w:noProof/>
                <w:sz w:val="18"/>
                <w:szCs w:val="18"/>
              </w:rPr>
              <w:t xml:space="preserve">eflecting </w:t>
            </w:r>
            <w:r w:rsidR="007C46F4">
              <w:rPr>
                <w:noProof/>
                <w:sz w:val="18"/>
                <w:szCs w:val="18"/>
              </w:rPr>
              <w:t xml:space="preserve">the </w:t>
            </w:r>
            <w:r w:rsidRPr="000F0386">
              <w:rPr>
                <w:noProof/>
                <w:sz w:val="18"/>
                <w:szCs w:val="18"/>
              </w:rPr>
              <w:t>calibration of green bond issuances to</w:t>
            </w:r>
            <w:r w:rsidR="007C46F4">
              <w:rPr>
                <w:noProof/>
                <w:sz w:val="18"/>
                <w:szCs w:val="18"/>
              </w:rPr>
              <w:t xml:space="preserve"> green expenditures</w:t>
            </w:r>
            <w:r w:rsidR="00F63022">
              <w:rPr>
                <w:noProof/>
                <w:sz w:val="18"/>
                <w:szCs w:val="18"/>
              </w:rPr>
              <w:t xml:space="preserve"> reported</w:t>
            </w:r>
            <w:r w:rsidR="007C46F4">
              <w:rPr>
                <w:noProof/>
                <w:sz w:val="18"/>
                <w:szCs w:val="18"/>
              </w:rPr>
              <w:t xml:space="preserve"> by</w:t>
            </w:r>
            <w:r w:rsidR="00F63022">
              <w:rPr>
                <w:noProof/>
                <w:sz w:val="18"/>
                <w:szCs w:val="18"/>
              </w:rPr>
              <w:t xml:space="preserve"> the</w:t>
            </w:r>
            <w:r w:rsidR="007C46F4">
              <w:rPr>
                <w:noProof/>
                <w:sz w:val="18"/>
                <w:szCs w:val="18"/>
              </w:rPr>
              <w:t xml:space="preserve"> Member States</w:t>
            </w:r>
            <w:r w:rsidRPr="000F0386">
              <w:rPr>
                <w:noProof/>
                <w:sz w:val="18"/>
                <w:szCs w:val="18"/>
              </w:rPr>
              <w:t>.</w:t>
            </w:r>
            <w:r w:rsidRPr="001B3164">
              <w:rPr>
                <w:bCs/>
                <w:noProof/>
                <w:sz w:val="18"/>
                <w:szCs w:val="18"/>
              </w:rPr>
              <w:t xml:space="preserve"> </w:t>
            </w:r>
          </w:p>
        </w:tc>
      </w:tr>
      <w:tr w:rsidR="003D7F4D" w:rsidRPr="001B3164" w14:paraId="219D0FDC"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12AD6412" w14:textId="77777777" w:rsidR="003D7F4D" w:rsidRPr="001B3164" w:rsidRDefault="003D7F4D" w:rsidP="00F63022">
            <w:pPr>
              <w:jc w:val="left"/>
              <w:rPr>
                <w:noProof/>
                <w:color w:val="034EA2" w:themeColor="accent1"/>
                <w:sz w:val="18"/>
                <w:szCs w:val="18"/>
              </w:rPr>
            </w:pPr>
          </w:p>
        </w:tc>
        <w:tc>
          <w:tcPr>
            <w:tcW w:w="3264" w:type="dxa"/>
            <w:vMerge/>
          </w:tcPr>
          <w:p w14:paraId="20E4C299" w14:textId="77777777" w:rsidR="003D7F4D" w:rsidRPr="001B316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030A1E52" w14:textId="77777777" w:rsidR="003D7F4D" w:rsidRPr="001B3164" w:rsidRDefault="003D7F4D" w:rsidP="00F63022">
            <w:pPr>
              <w:pStyle w:val="ListParagraph"/>
              <w:numPr>
                <w:ilvl w:val="0"/>
                <w:numId w:val="20"/>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lang w:val="en-IE"/>
              </w:rPr>
            </w:pPr>
            <w:r w:rsidRPr="001B3164">
              <w:rPr>
                <w:rFonts w:ascii="EC Square Sans Pro" w:hAnsi="EC Square Sans Pro" w:cs="Times New Roman"/>
                <w:i/>
                <w:iCs/>
                <w:noProof/>
                <w:sz w:val="18"/>
                <w:szCs w:val="18"/>
                <w:lang w:val="en-IE"/>
              </w:rPr>
              <w:t>Timely distribution of issuances</w:t>
            </w:r>
          </w:p>
          <w:p w14:paraId="3639EA7F" w14:textId="77777777" w:rsidR="003D7F4D" w:rsidRPr="001B3164" w:rsidRDefault="003D7F4D" w:rsidP="00F63022">
            <w:pPr>
              <w:spacing w:after="40"/>
              <w:ind w:left="226" w:hanging="113"/>
              <w:jc w:val="left"/>
              <w:cnfStyle w:val="000000000000" w:firstRow="0" w:lastRow="0" w:firstColumn="0" w:lastColumn="0" w:oddVBand="0" w:evenVBand="0" w:oddHBand="0" w:evenHBand="0" w:firstRowFirstColumn="0" w:firstRowLastColumn="0" w:lastRowFirstColumn="0" w:lastRowLastColumn="0"/>
              <w:rPr>
                <w:i/>
                <w:iCs/>
                <w:noProof/>
                <w:sz w:val="18"/>
                <w:szCs w:val="18"/>
              </w:rPr>
            </w:pPr>
          </w:p>
        </w:tc>
        <w:tc>
          <w:tcPr>
            <w:tcW w:w="2551" w:type="dxa"/>
            <w:shd w:val="clear" w:color="auto" w:fill="auto"/>
          </w:tcPr>
          <w:p w14:paraId="66E5DCE5" w14:textId="3ED3F069" w:rsidR="003D7F4D" w:rsidRPr="001B3164" w:rsidRDefault="00A1453F"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Pr>
                <w:noProof/>
                <w:sz w:val="18"/>
                <w:szCs w:val="18"/>
              </w:rPr>
              <w:t>Four</w:t>
            </w:r>
            <w:r w:rsidR="003D7F4D" w:rsidRPr="001B3164">
              <w:rPr>
                <w:noProof/>
                <w:sz w:val="18"/>
                <w:szCs w:val="18"/>
              </w:rPr>
              <w:t xml:space="preserve"> syndications and </w:t>
            </w:r>
            <w:r>
              <w:rPr>
                <w:noProof/>
                <w:sz w:val="18"/>
                <w:szCs w:val="18"/>
              </w:rPr>
              <w:t>six</w:t>
            </w:r>
            <w:r w:rsidR="003D7F4D" w:rsidRPr="001B3164">
              <w:rPr>
                <w:noProof/>
                <w:sz w:val="18"/>
                <w:szCs w:val="18"/>
              </w:rPr>
              <w:t xml:space="preserve"> bond auctions, resulting in at least </w:t>
            </w:r>
            <w:r>
              <w:rPr>
                <w:noProof/>
                <w:sz w:val="18"/>
                <w:szCs w:val="18"/>
              </w:rPr>
              <w:t>one</w:t>
            </w:r>
            <w:r w:rsidR="003D7F4D" w:rsidRPr="001B3164">
              <w:rPr>
                <w:noProof/>
                <w:sz w:val="18"/>
                <w:szCs w:val="18"/>
              </w:rPr>
              <w:t xml:space="preserve"> issuance per month.</w:t>
            </w:r>
          </w:p>
        </w:tc>
        <w:tc>
          <w:tcPr>
            <w:tcW w:w="4678" w:type="dxa"/>
            <w:vMerge/>
          </w:tcPr>
          <w:p w14:paraId="1B5832AE"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44DDC9B0"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1762BD0" w14:textId="77777777" w:rsidR="003D7F4D" w:rsidRPr="001B3164" w:rsidRDefault="003D7F4D" w:rsidP="00F63022">
            <w:pPr>
              <w:jc w:val="left"/>
              <w:rPr>
                <w:noProof/>
                <w:color w:val="034EA2" w:themeColor="accent1"/>
                <w:sz w:val="18"/>
                <w:szCs w:val="18"/>
              </w:rPr>
            </w:pPr>
          </w:p>
        </w:tc>
        <w:tc>
          <w:tcPr>
            <w:tcW w:w="3264" w:type="dxa"/>
            <w:vMerge/>
          </w:tcPr>
          <w:p w14:paraId="4D7B8994"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1759C364" w14:textId="0FCFE2B1" w:rsidR="003D7F4D" w:rsidRPr="001B3164" w:rsidRDefault="003D7F4D" w:rsidP="00F63022">
            <w:pPr>
              <w:pStyle w:val="ListParagraph"/>
              <w:numPr>
                <w:ilvl w:val="0"/>
                <w:numId w:val="20"/>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 xml:space="preserve">Green </w:t>
            </w:r>
            <w:r w:rsidR="00E0305B">
              <w:rPr>
                <w:rFonts w:ascii="EC Square Sans Pro" w:hAnsi="EC Square Sans Pro"/>
                <w:i/>
                <w:iCs/>
                <w:noProof/>
                <w:sz w:val="18"/>
                <w:szCs w:val="18"/>
                <w:lang w:val="en-IE"/>
              </w:rPr>
              <w:t xml:space="preserve">Bond </w:t>
            </w:r>
            <w:r w:rsidRPr="001B3164">
              <w:rPr>
                <w:rFonts w:ascii="EC Square Sans Pro" w:hAnsi="EC Square Sans Pro"/>
                <w:i/>
                <w:iCs/>
                <w:noProof/>
                <w:sz w:val="18"/>
                <w:szCs w:val="18"/>
                <w:lang w:val="en-IE"/>
              </w:rPr>
              <w:t>issuances</w:t>
            </w:r>
            <w:r w:rsidRPr="001B3164">
              <w:rPr>
                <w:rStyle w:val="FootnoteReference"/>
                <w:rFonts w:ascii="EC Square Sans Pro" w:hAnsi="EC Square Sans Pro" w:cs="Times New Roman"/>
                <w:i/>
                <w:iCs/>
                <w:noProof/>
                <w:sz w:val="18"/>
                <w:szCs w:val="18"/>
                <w:lang w:val="en-IE"/>
              </w:rPr>
              <w:footnoteReference w:id="18"/>
            </w:r>
          </w:p>
        </w:tc>
        <w:tc>
          <w:tcPr>
            <w:tcW w:w="2551" w:type="dxa"/>
            <w:shd w:val="clear" w:color="auto" w:fill="auto"/>
          </w:tcPr>
          <w:p w14:paraId="69A997E3" w14:textId="1167FDCE"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 xml:space="preserve">EUR </w:t>
            </w:r>
            <w:r w:rsidR="000F0386">
              <w:rPr>
                <w:noProof/>
                <w:sz w:val="18"/>
                <w:szCs w:val="18"/>
              </w:rPr>
              <w:t>3.4</w:t>
            </w:r>
            <w:r w:rsidRPr="001B3164">
              <w:rPr>
                <w:noProof/>
                <w:sz w:val="18"/>
                <w:szCs w:val="18"/>
              </w:rPr>
              <w:t xml:space="preserve"> billion, by tapping EU 2033 and EU 20</w:t>
            </w:r>
            <w:r w:rsidR="000F0386">
              <w:rPr>
                <w:noProof/>
                <w:sz w:val="18"/>
                <w:szCs w:val="18"/>
              </w:rPr>
              <w:t>48</w:t>
            </w:r>
            <w:r w:rsidRPr="001B3164">
              <w:rPr>
                <w:noProof/>
                <w:sz w:val="18"/>
                <w:szCs w:val="18"/>
              </w:rPr>
              <w:t xml:space="preserve"> bonds.</w:t>
            </w:r>
          </w:p>
        </w:tc>
        <w:tc>
          <w:tcPr>
            <w:tcW w:w="4678" w:type="dxa"/>
            <w:vMerge/>
          </w:tcPr>
          <w:p w14:paraId="2A34C106"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10B93A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0B8F3BDC" w14:textId="77777777" w:rsidR="003D7F4D" w:rsidRPr="001B3164" w:rsidRDefault="003D7F4D" w:rsidP="00F63022">
            <w:pPr>
              <w:rPr>
                <w:noProof/>
                <w:sz w:val="18"/>
                <w:szCs w:val="18"/>
              </w:rPr>
            </w:pPr>
          </w:p>
        </w:tc>
        <w:tc>
          <w:tcPr>
            <w:tcW w:w="3264" w:type="dxa"/>
            <w:shd w:val="clear" w:color="auto" w:fill="auto"/>
          </w:tcPr>
          <w:p w14:paraId="10F80F03" w14:textId="77777777" w:rsidR="003D7F4D" w:rsidRPr="001B3164" w:rsidRDefault="003D7F4D" w:rsidP="00F63022">
            <w:pPr>
              <w:pStyle w:val="ListParagraph"/>
              <w:numPr>
                <w:ilvl w:val="0"/>
                <w:numId w:val="27"/>
              </w:numPr>
              <w:spacing w:after="60" w:line="240" w:lineRule="auto"/>
              <w:ind w:left="17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r w:rsidRPr="001B3164">
              <w:rPr>
                <w:rFonts w:ascii="EC Square Sans Pro" w:hAnsi="EC Square Sans Pro" w:cs="Times New Roman"/>
                <w:noProof/>
                <w:color w:val="034EA2" w:themeColor="accent1"/>
                <w:sz w:val="18"/>
                <w:szCs w:val="18"/>
                <w:lang w:val="en-IE"/>
              </w:rPr>
              <w:t xml:space="preserve"> Achieving a proper balance of auctions and syndications</w:t>
            </w:r>
          </w:p>
          <w:p w14:paraId="1764A063"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Use of different funding techniques with a proper balance, depending on total issuance volumes and market conditions, in order to manage execution risks, improve secondary market liquidity and improve borrowing costs.</w:t>
            </w:r>
          </w:p>
        </w:tc>
        <w:tc>
          <w:tcPr>
            <w:tcW w:w="2268" w:type="dxa"/>
            <w:shd w:val="clear" w:color="auto" w:fill="auto"/>
          </w:tcPr>
          <w:p w14:paraId="0A69B595" w14:textId="15129E33" w:rsidR="003D7F4D" w:rsidRPr="001B3164" w:rsidRDefault="000F4198" w:rsidP="00F63022">
            <w:pPr>
              <w:pStyle w:val="ListParagraph"/>
              <w:numPr>
                <w:ilvl w:val="0"/>
                <w:numId w:val="23"/>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A</w:t>
            </w:r>
            <w:r w:rsidR="003D7F4D" w:rsidRPr="001B3164">
              <w:rPr>
                <w:rFonts w:ascii="EC Square Sans Pro" w:hAnsi="EC Square Sans Pro"/>
                <w:i/>
                <w:iCs/>
                <w:noProof/>
                <w:sz w:val="18"/>
                <w:szCs w:val="18"/>
                <w:lang w:val="en-IE"/>
              </w:rPr>
              <w:t xml:space="preserve">uction / syndication </w:t>
            </w:r>
            <w:r w:rsidRPr="001B3164">
              <w:rPr>
                <w:rFonts w:ascii="EC Square Sans Pro" w:hAnsi="EC Square Sans Pro"/>
                <w:i/>
                <w:iCs/>
                <w:noProof/>
                <w:sz w:val="18"/>
                <w:szCs w:val="18"/>
                <w:lang w:val="en-IE"/>
              </w:rPr>
              <w:t>split as</w:t>
            </w:r>
            <w:r w:rsidR="003D7F4D" w:rsidRPr="001B3164">
              <w:rPr>
                <w:rFonts w:ascii="EC Square Sans Pro" w:hAnsi="EC Square Sans Pro"/>
                <w:i/>
                <w:iCs/>
                <w:noProof/>
                <w:sz w:val="18"/>
                <w:szCs w:val="18"/>
                <w:lang w:val="en-IE"/>
              </w:rPr>
              <w:t xml:space="preserve"> % </w:t>
            </w:r>
          </w:p>
        </w:tc>
        <w:tc>
          <w:tcPr>
            <w:tcW w:w="2551" w:type="dxa"/>
            <w:shd w:val="clear" w:color="auto" w:fill="auto"/>
          </w:tcPr>
          <w:p w14:paraId="1467D0C6" w14:textId="5D809430"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0F0386">
              <w:rPr>
                <w:noProof/>
                <w:sz w:val="18"/>
                <w:szCs w:val="18"/>
              </w:rPr>
              <w:t>4</w:t>
            </w:r>
            <w:r w:rsidR="000F0386" w:rsidRPr="000F0386">
              <w:rPr>
                <w:noProof/>
                <w:sz w:val="18"/>
                <w:szCs w:val="18"/>
              </w:rPr>
              <w:t>6</w:t>
            </w:r>
            <w:r w:rsidRPr="000F0386">
              <w:rPr>
                <w:noProof/>
                <w:sz w:val="18"/>
                <w:szCs w:val="18"/>
              </w:rPr>
              <w:t>% of bond issuances via auction.</w:t>
            </w:r>
            <w:r w:rsidRPr="001B3164">
              <w:rPr>
                <w:noProof/>
                <w:sz w:val="18"/>
                <w:szCs w:val="18"/>
              </w:rPr>
              <w:t xml:space="preserve"> </w:t>
            </w:r>
          </w:p>
        </w:tc>
        <w:tc>
          <w:tcPr>
            <w:tcW w:w="4678" w:type="dxa"/>
            <w:shd w:val="clear" w:color="auto" w:fill="auto"/>
          </w:tcPr>
          <w:p w14:paraId="6DC105E2" w14:textId="526D7984" w:rsidR="003D7F4D" w:rsidRPr="000F0386"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0F0386">
              <w:rPr>
                <w:noProof/>
                <w:sz w:val="18"/>
                <w:szCs w:val="18"/>
              </w:rPr>
              <w:t>In H</w:t>
            </w:r>
            <w:r w:rsidR="000F0386">
              <w:rPr>
                <w:noProof/>
                <w:sz w:val="18"/>
                <w:szCs w:val="18"/>
              </w:rPr>
              <w:t>2</w:t>
            </w:r>
            <w:r w:rsidRPr="000F0386">
              <w:rPr>
                <w:noProof/>
                <w:sz w:val="18"/>
                <w:szCs w:val="18"/>
              </w:rPr>
              <w:t xml:space="preserve"> 2025, the Commission issued 4</w:t>
            </w:r>
            <w:r w:rsidR="000F0386" w:rsidRPr="000F0386">
              <w:rPr>
                <w:noProof/>
                <w:sz w:val="18"/>
                <w:szCs w:val="18"/>
              </w:rPr>
              <w:t>6</w:t>
            </w:r>
            <w:r w:rsidRPr="000F0386">
              <w:rPr>
                <w:noProof/>
                <w:sz w:val="18"/>
                <w:szCs w:val="18"/>
              </w:rPr>
              <w:t xml:space="preserve">% of the EU-Bonds via auction, </w:t>
            </w:r>
            <w:r w:rsidR="000F0386" w:rsidRPr="000F0386">
              <w:rPr>
                <w:noProof/>
                <w:sz w:val="18"/>
                <w:szCs w:val="18"/>
              </w:rPr>
              <w:t>a</w:t>
            </w:r>
            <w:r w:rsidR="00F63022">
              <w:rPr>
                <w:noProof/>
                <w:sz w:val="18"/>
                <w:szCs w:val="18"/>
              </w:rPr>
              <w:t xml:space="preserve"> higher</w:t>
            </w:r>
            <w:r w:rsidRPr="000F0386">
              <w:rPr>
                <w:noProof/>
                <w:sz w:val="18"/>
                <w:szCs w:val="18"/>
              </w:rPr>
              <w:t xml:space="preserve"> proportion </w:t>
            </w:r>
            <w:r w:rsidR="00F63022">
              <w:rPr>
                <w:noProof/>
                <w:sz w:val="18"/>
                <w:szCs w:val="18"/>
              </w:rPr>
              <w:t xml:space="preserve">than </w:t>
            </w:r>
            <w:r w:rsidRPr="000F0386">
              <w:rPr>
                <w:noProof/>
                <w:sz w:val="18"/>
                <w:szCs w:val="18"/>
              </w:rPr>
              <w:t>in H</w:t>
            </w:r>
            <w:r w:rsidR="00A1453F" w:rsidRPr="000F0386">
              <w:rPr>
                <w:noProof/>
                <w:sz w:val="18"/>
                <w:szCs w:val="18"/>
              </w:rPr>
              <w:t>1</w:t>
            </w:r>
            <w:r w:rsidRPr="000F0386">
              <w:rPr>
                <w:noProof/>
                <w:sz w:val="18"/>
                <w:szCs w:val="18"/>
              </w:rPr>
              <w:t xml:space="preserve"> 202</w:t>
            </w:r>
            <w:r w:rsidR="00A1453F" w:rsidRPr="000F0386">
              <w:rPr>
                <w:noProof/>
                <w:sz w:val="18"/>
                <w:szCs w:val="18"/>
              </w:rPr>
              <w:t>5</w:t>
            </w:r>
            <w:r w:rsidRPr="000F0386">
              <w:rPr>
                <w:noProof/>
                <w:sz w:val="18"/>
                <w:szCs w:val="18"/>
              </w:rPr>
              <w:t xml:space="preserve"> (4</w:t>
            </w:r>
            <w:r w:rsidR="00A1453F" w:rsidRPr="000F0386">
              <w:rPr>
                <w:noProof/>
                <w:sz w:val="18"/>
                <w:szCs w:val="18"/>
              </w:rPr>
              <w:t>1</w:t>
            </w:r>
            <w:r w:rsidRPr="000F0386">
              <w:rPr>
                <w:noProof/>
                <w:sz w:val="18"/>
                <w:szCs w:val="18"/>
              </w:rPr>
              <w:t>%)</w:t>
            </w:r>
            <w:r w:rsidR="000F0386">
              <w:rPr>
                <w:noProof/>
                <w:sz w:val="18"/>
                <w:szCs w:val="18"/>
              </w:rPr>
              <w:t xml:space="preserve"> </w:t>
            </w:r>
            <w:r w:rsidR="00F63022">
              <w:rPr>
                <w:noProof/>
                <w:sz w:val="18"/>
                <w:szCs w:val="18"/>
              </w:rPr>
              <w:t>and</w:t>
            </w:r>
            <w:r w:rsidR="000F0386">
              <w:rPr>
                <w:noProof/>
                <w:sz w:val="18"/>
                <w:szCs w:val="18"/>
              </w:rPr>
              <w:t xml:space="preserve"> H2 2024 (42%)</w:t>
            </w:r>
          </w:p>
        </w:tc>
      </w:tr>
      <w:tr w:rsidR="003D7F4D" w:rsidRPr="001B3164" w14:paraId="54A89D66"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2C64E1" w14:textId="77777777" w:rsidR="003D7F4D" w:rsidRPr="001B3164" w:rsidRDefault="003D7F4D" w:rsidP="00F63022">
            <w:pPr>
              <w:rPr>
                <w:noProof/>
                <w:sz w:val="18"/>
                <w:szCs w:val="18"/>
              </w:rPr>
            </w:pPr>
          </w:p>
        </w:tc>
        <w:tc>
          <w:tcPr>
            <w:tcW w:w="3264" w:type="dxa"/>
            <w:vMerge w:val="restart"/>
            <w:shd w:val="clear" w:color="auto" w:fill="auto"/>
          </w:tcPr>
          <w:p w14:paraId="4626E534" w14:textId="77777777" w:rsidR="003D7F4D" w:rsidRPr="001B3164" w:rsidRDefault="003D7F4D" w:rsidP="00F63022">
            <w:pPr>
              <w:pStyle w:val="ListParagraph"/>
              <w:numPr>
                <w:ilvl w:val="0"/>
                <w:numId w:val="27"/>
              </w:numPr>
              <w:spacing w:after="60" w:line="240" w:lineRule="auto"/>
              <w:ind w:left="170" w:hanging="17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r w:rsidRPr="001B3164">
              <w:rPr>
                <w:rFonts w:ascii="EC Square Sans Pro" w:hAnsi="EC Square Sans Pro" w:cs="Times New Roman"/>
                <w:noProof/>
                <w:color w:val="034EA2" w:themeColor="accent1"/>
                <w:sz w:val="18"/>
                <w:szCs w:val="18"/>
                <w:lang w:val="en-IE"/>
              </w:rPr>
              <w:t xml:space="preserve"> Establishment of large and liquid benchmark bonds</w:t>
            </w:r>
          </w:p>
          <w:p w14:paraId="5D33D115"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Tapping of EU-Bonds to bring the outstanding volume of different lines to levels commensurate with large and liquid benchmark lines.</w:t>
            </w:r>
          </w:p>
        </w:tc>
        <w:tc>
          <w:tcPr>
            <w:tcW w:w="2268" w:type="dxa"/>
            <w:shd w:val="clear" w:color="auto" w:fill="auto"/>
          </w:tcPr>
          <w:p w14:paraId="27E900A0"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lang w:val="en-IE"/>
              </w:rPr>
            </w:pPr>
            <w:r w:rsidRPr="001B3164">
              <w:rPr>
                <w:rFonts w:ascii="EC Square Sans Pro" w:hAnsi="EC Square Sans Pro" w:cs="Times New Roman"/>
                <w:i/>
                <w:iCs/>
                <w:noProof/>
                <w:sz w:val="18"/>
                <w:szCs w:val="18"/>
                <w:lang w:val="en-IE"/>
              </w:rPr>
              <w:t>Issuances via new bonds vs volume issued via taps</w:t>
            </w:r>
          </w:p>
        </w:tc>
        <w:tc>
          <w:tcPr>
            <w:tcW w:w="2551" w:type="dxa"/>
            <w:shd w:val="clear" w:color="auto" w:fill="auto"/>
          </w:tcPr>
          <w:p w14:paraId="30C9C67A" w14:textId="77777777"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cs="Times New Roman"/>
                <w:noProof/>
                <w:sz w:val="18"/>
                <w:szCs w:val="18"/>
                <w:lang w:val="en-IE"/>
              </w:rPr>
              <w:t xml:space="preserve">EUR 22 billion via new bonds </w:t>
            </w:r>
          </w:p>
          <w:p w14:paraId="47D013AE" w14:textId="4CDBA301" w:rsidR="003D7F4D" w:rsidRPr="001B3164" w:rsidRDefault="003D7F4D" w:rsidP="00F63022">
            <w:pPr>
              <w:pStyle w:val="ListParagraph"/>
              <w:numPr>
                <w:ilvl w:val="0"/>
                <w:numId w:val="15"/>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cs="Times New Roman"/>
                <w:noProof/>
                <w:sz w:val="18"/>
                <w:szCs w:val="18"/>
                <w:lang w:val="en-IE"/>
              </w:rPr>
              <w:t xml:space="preserve">EUR </w:t>
            </w:r>
            <w:r w:rsidR="000F0386">
              <w:rPr>
                <w:rFonts w:ascii="EC Square Sans Pro" w:hAnsi="EC Square Sans Pro" w:cs="Times New Roman"/>
                <w:noProof/>
                <w:sz w:val="18"/>
                <w:szCs w:val="18"/>
                <w:lang w:val="en-IE"/>
              </w:rPr>
              <w:t>45</w:t>
            </w:r>
            <w:r w:rsidRPr="001B3164">
              <w:rPr>
                <w:rFonts w:ascii="EC Square Sans Pro" w:hAnsi="EC Square Sans Pro" w:cs="Times New Roman"/>
                <w:noProof/>
                <w:sz w:val="18"/>
                <w:szCs w:val="18"/>
                <w:lang w:val="en-IE"/>
              </w:rPr>
              <w:t xml:space="preserve"> billion via taps</w:t>
            </w:r>
          </w:p>
        </w:tc>
        <w:tc>
          <w:tcPr>
            <w:tcW w:w="4678" w:type="dxa"/>
            <w:vMerge w:val="restart"/>
            <w:shd w:val="clear" w:color="auto" w:fill="auto"/>
          </w:tcPr>
          <w:p w14:paraId="148FE07E" w14:textId="7BDC3D6F" w:rsidR="003D7F4D" w:rsidRPr="00821D7E" w:rsidRDefault="00F63022" w:rsidP="00F63022">
            <w:pPr>
              <w:cnfStyle w:val="000000100000" w:firstRow="0" w:lastRow="0" w:firstColumn="0" w:lastColumn="0" w:oddVBand="0" w:evenVBand="0" w:oddHBand="1" w:evenHBand="0" w:firstRowFirstColumn="0" w:firstRowLastColumn="0" w:lastRowFirstColumn="0" w:lastRowLastColumn="0"/>
              <w:rPr>
                <w:noProof/>
                <w:spacing w:val="-4"/>
                <w:sz w:val="18"/>
                <w:szCs w:val="18"/>
              </w:rPr>
            </w:pPr>
            <w:r>
              <w:rPr>
                <w:noProof/>
                <w:spacing w:val="-4"/>
                <w:sz w:val="18"/>
                <w:szCs w:val="18"/>
              </w:rPr>
              <w:t>t</w:t>
            </w:r>
            <w:r w:rsidR="003D7F4D" w:rsidRPr="00821D7E">
              <w:rPr>
                <w:noProof/>
                <w:spacing w:val="-4"/>
                <w:sz w:val="18"/>
                <w:szCs w:val="18"/>
              </w:rPr>
              <w:t xml:space="preserve">he Commission used its transactions to tap existing funding lines, with </w:t>
            </w:r>
            <w:r w:rsidR="000F0386" w:rsidRPr="00821D7E">
              <w:rPr>
                <w:noProof/>
                <w:spacing w:val="-4"/>
                <w:sz w:val="18"/>
                <w:szCs w:val="18"/>
              </w:rPr>
              <w:t>two thirds (67</w:t>
            </w:r>
            <w:r w:rsidR="003D7F4D" w:rsidRPr="00821D7E">
              <w:rPr>
                <w:noProof/>
                <w:spacing w:val="-4"/>
                <w:sz w:val="18"/>
                <w:szCs w:val="18"/>
              </w:rPr>
              <w:t>%</w:t>
            </w:r>
            <w:r w:rsidR="000F0386" w:rsidRPr="00821D7E">
              <w:rPr>
                <w:noProof/>
                <w:spacing w:val="-4"/>
                <w:sz w:val="18"/>
                <w:szCs w:val="18"/>
              </w:rPr>
              <w:t>)</w:t>
            </w:r>
            <w:r w:rsidR="003D7F4D" w:rsidRPr="00821D7E">
              <w:rPr>
                <w:noProof/>
                <w:spacing w:val="-4"/>
                <w:sz w:val="18"/>
                <w:szCs w:val="18"/>
              </w:rPr>
              <w:t xml:space="preserve"> of the funding volume mobilised via taps</w:t>
            </w:r>
            <w:r>
              <w:rPr>
                <w:noProof/>
                <w:spacing w:val="-4"/>
                <w:sz w:val="18"/>
                <w:szCs w:val="18"/>
              </w:rPr>
              <w:t xml:space="preserve"> to </w:t>
            </w:r>
            <w:r w:rsidRPr="00821D7E">
              <w:rPr>
                <w:noProof/>
                <w:spacing w:val="-4"/>
                <w:sz w:val="18"/>
                <w:szCs w:val="18"/>
              </w:rPr>
              <w:t>support the liquidity of EU securities</w:t>
            </w:r>
            <w:r w:rsidR="003D7F4D" w:rsidRPr="00821D7E">
              <w:rPr>
                <w:noProof/>
                <w:spacing w:val="-4"/>
                <w:sz w:val="18"/>
                <w:szCs w:val="18"/>
              </w:rPr>
              <w:t>.</w:t>
            </w:r>
          </w:p>
          <w:p w14:paraId="6EA3F2ED"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22AB4DEF" w14:textId="7FBD7522"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 xml:space="preserve">New funding lines were launched to provide the market with new benchmark lines where needed on the curve and based on the recommendations of EU primary dealers. New </w:t>
            </w:r>
            <w:r w:rsidR="00A066C3" w:rsidRPr="00821D7E">
              <w:rPr>
                <w:noProof/>
                <w:sz w:val="18"/>
                <w:szCs w:val="18"/>
              </w:rPr>
              <w:t>5</w:t>
            </w:r>
            <w:r w:rsidRPr="00821D7E">
              <w:rPr>
                <w:noProof/>
                <w:sz w:val="18"/>
                <w:szCs w:val="18"/>
              </w:rPr>
              <w:t xml:space="preserve">-year, </w:t>
            </w:r>
            <w:r w:rsidR="00A066C3" w:rsidRPr="00821D7E">
              <w:rPr>
                <w:noProof/>
                <w:sz w:val="18"/>
                <w:szCs w:val="18"/>
              </w:rPr>
              <w:t>7</w:t>
            </w:r>
            <w:r w:rsidRPr="00821D7E">
              <w:rPr>
                <w:noProof/>
                <w:sz w:val="18"/>
                <w:szCs w:val="18"/>
              </w:rPr>
              <w:t>-year,</w:t>
            </w:r>
            <w:r w:rsidR="00A066C3" w:rsidRPr="00821D7E">
              <w:rPr>
                <w:noProof/>
                <w:sz w:val="18"/>
                <w:szCs w:val="18"/>
              </w:rPr>
              <w:t xml:space="preserve"> 15-year</w:t>
            </w:r>
            <w:r w:rsidRPr="00821D7E">
              <w:rPr>
                <w:noProof/>
                <w:sz w:val="18"/>
                <w:szCs w:val="18"/>
              </w:rPr>
              <w:t xml:space="preserve"> and </w:t>
            </w:r>
            <w:r w:rsidR="00A066C3" w:rsidRPr="00821D7E">
              <w:rPr>
                <w:noProof/>
                <w:sz w:val="18"/>
                <w:szCs w:val="18"/>
              </w:rPr>
              <w:t>30-</w:t>
            </w:r>
            <w:r w:rsidRPr="00821D7E">
              <w:rPr>
                <w:noProof/>
                <w:sz w:val="18"/>
                <w:szCs w:val="18"/>
              </w:rPr>
              <w:t xml:space="preserve">year bonds were launched in the </w:t>
            </w:r>
            <w:r w:rsidR="00A066C3" w:rsidRPr="00821D7E">
              <w:rPr>
                <w:noProof/>
                <w:sz w:val="18"/>
                <w:szCs w:val="18"/>
              </w:rPr>
              <w:t>second</w:t>
            </w:r>
            <w:r w:rsidRPr="00821D7E">
              <w:rPr>
                <w:noProof/>
                <w:sz w:val="18"/>
                <w:szCs w:val="18"/>
              </w:rPr>
              <w:t xml:space="preserve"> half of 2025. </w:t>
            </w:r>
          </w:p>
          <w:p w14:paraId="20D98997" w14:textId="77777777" w:rsidR="003D7F4D" w:rsidRPr="00821D7E"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p w14:paraId="54802F6F" w14:textId="7A31F231" w:rsidR="003D7F4D" w:rsidRPr="00821D7E"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The</w:t>
            </w:r>
            <w:r w:rsidR="003D7F4D" w:rsidRPr="00821D7E">
              <w:rPr>
                <w:noProof/>
                <w:sz w:val="18"/>
                <w:szCs w:val="18"/>
              </w:rPr>
              <w:t xml:space="preserve"> average outstanding amount per bond </w:t>
            </w:r>
            <w:r w:rsidRPr="00821D7E">
              <w:rPr>
                <w:noProof/>
                <w:sz w:val="18"/>
                <w:szCs w:val="18"/>
              </w:rPr>
              <w:t>remained at</w:t>
            </w:r>
            <w:r w:rsidR="003D7F4D" w:rsidRPr="00821D7E">
              <w:rPr>
                <w:noProof/>
                <w:sz w:val="18"/>
                <w:szCs w:val="18"/>
              </w:rPr>
              <w:t xml:space="preserve"> around EUR 16 billion by</w:t>
            </w:r>
            <w:r w:rsidR="000F4198" w:rsidRPr="00821D7E">
              <w:rPr>
                <w:noProof/>
                <w:sz w:val="18"/>
                <w:szCs w:val="18"/>
              </w:rPr>
              <w:t xml:space="preserve"> the</w:t>
            </w:r>
            <w:r w:rsidR="003D7F4D" w:rsidRPr="00821D7E">
              <w:rPr>
                <w:noProof/>
                <w:sz w:val="18"/>
                <w:szCs w:val="18"/>
              </w:rPr>
              <w:t xml:space="preserve"> end of </w:t>
            </w:r>
            <w:r w:rsidRPr="00821D7E">
              <w:rPr>
                <w:noProof/>
                <w:sz w:val="18"/>
                <w:szCs w:val="18"/>
              </w:rPr>
              <w:t xml:space="preserve">December </w:t>
            </w:r>
            <w:r w:rsidR="003D7F4D" w:rsidRPr="00821D7E">
              <w:rPr>
                <w:noProof/>
                <w:sz w:val="18"/>
                <w:szCs w:val="18"/>
              </w:rPr>
              <w:t>2025, ensuring consistent liquidity of the bonds.</w:t>
            </w:r>
          </w:p>
        </w:tc>
      </w:tr>
      <w:tr w:rsidR="003D7F4D" w:rsidRPr="001B3164" w14:paraId="16D3C0B2"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63AB375B" w14:textId="77777777" w:rsidR="003D7F4D" w:rsidRPr="001B3164" w:rsidRDefault="003D7F4D" w:rsidP="00F63022">
            <w:pPr>
              <w:rPr>
                <w:noProof/>
                <w:sz w:val="18"/>
                <w:szCs w:val="18"/>
              </w:rPr>
            </w:pPr>
          </w:p>
        </w:tc>
        <w:tc>
          <w:tcPr>
            <w:tcW w:w="3264" w:type="dxa"/>
            <w:vMerge/>
          </w:tcPr>
          <w:p w14:paraId="3A778E14" w14:textId="77777777" w:rsidR="003D7F4D" w:rsidRPr="001B316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17925DF3"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Speed of tapping of new bonds</w:t>
            </w:r>
            <w:r w:rsidRPr="001B3164">
              <w:rPr>
                <w:rStyle w:val="FootnoteReference"/>
                <w:rFonts w:ascii="EC Square Sans Pro" w:hAnsi="EC Square Sans Pro" w:cs="Times New Roman"/>
                <w:i/>
                <w:iCs/>
                <w:noProof/>
                <w:sz w:val="18"/>
                <w:szCs w:val="18"/>
                <w:lang w:val="en-IE"/>
              </w:rPr>
              <w:footnoteReference w:id="19"/>
            </w:r>
          </w:p>
        </w:tc>
        <w:tc>
          <w:tcPr>
            <w:tcW w:w="2551" w:type="dxa"/>
            <w:shd w:val="clear" w:color="auto" w:fill="auto"/>
          </w:tcPr>
          <w:p w14:paraId="652AEE18" w14:textId="1DB06291"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 xml:space="preserve">Approximately </w:t>
            </w:r>
            <w:r w:rsidR="000F4198" w:rsidRPr="001B3164">
              <w:rPr>
                <w:noProof/>
                <w:sz w:val="18"/>
                <w:szCs w:val="18"/>
              </w:rPr>
              <w:t>three</w:t>
            </w:r>
            <w:r w:rsidRPr="001B3164">
              <w:rPr>
                <w:noProof/>
                <w:sz w:val="18"/>
                <w:szCs w:val="18"/>
              </w:rPr>
              <w:t xml:space="preserve"> months</w:t>
            </w:r>
          </w:p>
        </w:tc>
        <w:tc>
          <w:tcPr>
            <w:tcW w:w="4678" w:type="dxa"/>
            <w:vMerge/>
          </w:tcPr>
          <w:p w14:paraId="3AFCFF1D"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2C61B3FE"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5494393D" w14:textId="77777777" w:rsidR="003D7F4D" w:rsidRPr="001B3164" w:rsidRDefault="003D7F4D" w:rsidP="00F63022">
            <w:pPr>
              <w:rPr>
                <w:noProof/>
                <w:sz w:val="18"/>
                <w:szCs w:val="18"/>
              </w:rPr>
            </w:pPr>
          </w:p>
        </w:tc>
        <w:tc>
          <w:tcPr>
            <w:tcW w:w="3264" w:type="dxa"/>
            <w:vMerge/>
          </w:tcPr>
          <w:p w14:paraId="5564CB6D"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16DCEE84" w14:textId="77777777" w:rsidR="003D7F4D" w:rsidRPr="001B3164" w:rsidRDefault="003D7F4D" w:rsidP="00F63022">
            <w:pPr>
              <w:pStyle w:val="ListParagraph"/>
              <w:numPr>
                <w:ilvl w:val="0"/>
                <w:numId w:val="22"/>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lang w:val="en-IE"/>
              </w:rPr>
            </w:pPr>
            <w:r w:rsidRPr="001B3164">
              <w:rPr>
                <w:rFonts w:ascii="EC Square Sans Pro" w:hAnsi="EC Square Sans Pro" w:cs="Times New Roman"/>
                <w:i/>
                <w:iCs/>
                <w:noProof/>
                <w:sz w:val="18"/>
                <w:szCs w:val="18"/>
                <w:lang w:val="en-IE"/>
              </w:rPr>
              <w:t>Average size of outstanding bonds</w:t>
            </w:r>
            <w:r w:rsidRPr="001B3164">
              <w:rPr>
                <w:rStyle w:val="FootnoteReference"/>
                <w:rFonts w:ascii="EC Square Sans Pro" w:hAnsi="EC Square Sans Pro" w:cs="Times New Roman"/>
                <w:i/>
                <w:iCs/>
                <w:noProof/>
                <w:sz w:val="18"/>
                <w:szCs w:val="18"/>
                <w:lang w:val="en-IE"/>
              </w:rPr>
              <w:footnoteReference w:id="20"/>
            </w:r>
          </w:p>
        </w:tc>
        <w:tc>
          <w:tcPr>
            <w:tcW w:w="2551" w:type="dxa"/>
            <w:shd w:val="clear" w:color="auto" w:fill="auto"/>
          </w:tcPr>
          <w:p w14:paraId="34B6F03B" w14:textId="2E818460"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sidRPr="00821D7E">
              <w:rPr>
                <w:noProof/>
                <w:sz w:val="18"/>
                <w:szCs w:val="18"/>
              </w:rPr>
              <w:t xml:space="preserve">Around </w:t>
            </w:r>
            <w:r w:rsidR="000F4198" w:rsidRPr="00821D7E">
              <w:rPr>
                <w:noProof/>
                <w:sz w:val="18"/>
                <w:szCs w:val="18"/>
              </w:rPr>
              <w:t xml:space="preserve">EUR </w:t>
            </w:r>
            <w:r w:rsidRPr="00821D7E">
              <w:rPr>
                <w:noProof/>
                <w:sz w:val="18"/>
                <w:szCs w:val="18"/>
              </w:rPr>
              <w:t>16 billio</w:t>
            </w:r>
            <w:r w:rsidRPr="001B3164">
              <w:rPr>
                <w:noProof/>
                <w:sz w:val="18"/>
                <w:szCs w:val="18"/>
              </w:rPr>
              <w:t>n</w:t>
            </w:r>
          </w:p>
        </w:tc>
        <w:tc>
          <w:tcPr>
            <w:tcW w:w="4678" w:type="dxa"/>
            <w:vMerge/>
          </w:tcPr>
          <w:p w14:paraId="692ADCB3"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2C3D0DD7"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B42DF81" w14:textId="77777777" w:rsidR="003D7F4D" w:rsidRPr="001B3164" w:rsidRDefault="003D7F4D" w:rsidP="00F63022">
            <w:pPr>
              <w:rPr>
                <w:noProof/>
                <w:sz w:val="18"/>
                <w:szCs w:val="18"/>
              </w:rPr>
            </w:pPr>
          </w:p>
        </w:tc>
        <w:tc>
          <w:tcPr>
            <w:tcW w:w="3264" w:type="dxa"/>
            <w:vMerge/>
          </w:tcPr>
          <w:p w14:paraId="0F85359A" w14:textId="77777777" w:rsidR="003D7F4D" w:rsidRPr="001B3164" w:rsidRDefault="003D7F4D" w:rsidP="00F63022">
            <w:pPr>
              <w:pStyle w:val="ListParagraph"/>
              <w:numPr>
                <w:ilvl w:val="0"/>
                <w:numId w:val="27"/>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04661157" w14:textId="77777777" w:rsidR="003D7F4D" w:rsidRPr="001B3164" w:rsidRDefault="003D7F4D" w:rsidP="00F63022">
            <w:pPr>
              <w:pStyle w:val="ListParagraph"/>
              <w:numPr>
                <w:ilvl w:val="0"/>
                <w:numId w:val="22"/>
              </w:numPr>
              <w:spacing w:after="40" w:line="240" w:lineRule="auto"/>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Turnover relative to issuance volume</w:t>
            </w:r>
          </w:p>
        </w:tc>
        <w:tc>
          <w:tcPr>
            <w:tcW w:w="2551" w:type="dxa"/>
            <w:shd w:val="clear" w:color="auto" w:fill="auto"/>
          </w:tcPr>
          <w:p w14:paraId="5AB3F984" w14:textId="5AD1D99F" w:rsidR="003D7F4D" w:rsidRPr="00821D7E" w:rsidRDefault="00D3615E" w:rsidP="00F63022">
            <w:pPr>
              <w:jc w:val="left"/>
              <w:cnfStyle w:val="000000000000" w:firstRow="0" w:lastRow="0" w:firstColumn="0" w:lastColumn="0" w:oddVBand="0" w:evenVBand="0" w:oddHBand="0" w:evenHBand="0" w:firstRowFirstColumn="0" w:firstRowLastColumn="0" w:lastRowFirstColumn="0" w:lastRowLastColumn="0"/>
              <w:rPr>
                <w:noProof/>
                <w:sz w:val="18"/>
                <w:szCs w:val="18"/>
                <w:highlight w:val="yellow"/>
              </w:rPr>
            </w:pPr>
            <w:r w:rsidRPr="00D3615E">
              <w:rPr>
                <w:noProof/>
                <w:sz w:val="18"/>
                <w:szCs w:val="18"/>
              </w:rPr>
              <w:t>Approximately 218% in H2 2025 vs 162% in H1 2025 and 144% in H2 2024</w:t>
            </w:r>
          </w:p>
        </w:tc>
        <w:tc>
          <w:tcPr>
            <w:tcW w:w="4678" w:type="dxa"/>
            <w:vMerge/>
          </w:tcPr>
          <w:p w14:paraId="45781EA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052F96" w14:paraId="4DC09DF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48BFC8" w14:textId="77777777" w:rsidR="003D7F4D" w:rsidRPr="001B3164" w:rsidRDefault="003D7F4D" w:rsidP="00F63022">
            <w:pPr>
              <w:rPr>
                <w:noProof/>
                <w:sz w:val="18"/>
                <w:szCs w:val="18"/>
              </w:rPr>
            </w:pPr>
          </w:p>
        </w:tc>
        <w:tc>
          <w:tcPr>
            <w:tcW w:w="3264" w:type="dxa"/>
            <w:vMerge/>
          </w:tcPr>
          <w:p w14:paraId="2AF22ADB" w14:textId="77777777" w:rsidR="003D7F4D" w:rsidRPr="001B3164" w:rsidRDefault="003D7F4D" w:rsidP="00F63022">
            <w:pPr>
              <w:pStyle w:val="ListParagraph"/>
              <w:numPr>
                <w:ilvl w:val="0"/>
                <w:numId w:val="27"/>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2762ED2D" w14:textId="77777777" w:rsidR="003D7F4D" w:rsidRPr="001B3164" w:rsidRDefault="003D7F4D" w:rsidP="00F63022">
            <w:pPr>
              <w:pStyle w:val="ListParagraph"/>
              <w:numPr>
                <w:ilvl w:val="0"/>
                <w:numId w:val="22"/>
              </w:numPr>
              <w:spacing w:after="40" w:line="240" w:lineRule="auto"/>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Absolute turnover</w:t>
            </w:r>
          </w:p>
        </w:tc>
        <w:tc>
          <w:tcPr>
            <w:tcW w:w="2551" w:type="dxa"/>
            <w:shd w:val="clear" w:color="auto" w:fill="auto"/>
          </w:tcPr>
          <w:p w14:paraId="1931941E" w14:textId="61A3063C" w:rsidR="003D7F4D" w:rsidRPr="006D47C8" w:rsidRDefault="00D3615E" w:rsidP="00F63022">
            <w:pPr>
              <w:jc w:val="left"/>
              <w:cnfStyle w:val="000000100000" w:firstRow="0" w:lastRow="0" w:firstColumn="0" w:lastColumn="0" w:oddVBand="0" w:evenVBand="0" w:oddHBand="1" w:evenHBand="0" w:firstRowFirstColumn="0" w:firstRowLastColumn="0" w:lastRowFirstColumn="0" w:lastRowLastColumn="0"/>
              <w:rPr>
                <w:noProof/>
                <w:sz w:val="18"/>
                <w:szCs w:val="18"/>
                <w:highlight w:val="yellow"/>
                <w:lang w:val="de-DE"/>
              </w:rPr>
            </w:pPr>
            <w:r w:rsidRPr="00D3615E">
              <w:rPr>
                <w:noProof/>
                <w:sz w:val="18"/>
                <w:szCs w:val="18"/>
                <w:lang w:val="de-DE"/>
              </w:rPr>
              <w:t>EUR 1</w:t>
            </w:r>
            <w:r w:rsidR="00F63022">
              <w:rPr>
                <w:noProof/>
                <w:sz w:val="18"/>
                <w:szCs w:val="18"/>
                <w:lang w:val="de-DE"/>
              </w:rPr>
              <w:t xml:space="preserve"> </w:t>
            </w:r>
            <w:r w:rsidRPr="00D3615E">
              <w:rPr>
                <w:noProof/>
                <w:sz w:val="18"/>
                <w:szCs w:val="18"/>
                <w:lang w:val="de-DE"/>
              </w:rPr>
              <w:t>531 billion in H2 2025 vs EUR 833 billion in H2 2024</w:t>
            </w:r>
          </w:p>
        </w:tc>
        <w:tc>
          <w:tcPr>
            <w:tcW w:w="4678" w:type="dxa"/>
            <w:vMerge/>
          </w:tcPr>
          <w:p w14:paraId="1E0C024A" w14:textId="77777777" w:rsidR="003D7F4D" w:rsidRPr="006D47C8"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lang w:val="de-DE"/>
              </w:rPr>
            </w:pPr>
          </w:p>
        </w:tc>
      </w:tr>
      <w:tr w:rsidR="003D7F4D" w:rsidRPr="001B3164" w14:paraId="3E3570D8"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7179A2DD" w14:textId="77777777" w:rsidR="003D7F4D" w:rsidRPr="006D47C8" w:rsidRDefault="003D7F4D" w:rsidP="00F63022">
            <w:pPr>
              <w:rPr>
                <w:noProof/>
                <w:sz w:val="18"/>
                <w:szCs w:val="18"/>
                <w:lang w:val="de-DE"/>
              </w:rPr>
            </w:pPr>
          </w:p>
        </w:tc>
        <w:tc>
          <w:tcPr>
            <w:tcW w:w="3264" w:type="dxa"/>
            <w:vMerge w:val="restart"/>
            <w:shd w:val="clear" w:color="auto" w:fill="auto"/>
          </w:tcPr>
          <w:p w14:paraId="6269DBB7" w14:textId="77777777" w:rsidR="003D7F4D" w:rsidRPr="001B3164" w:rsidRDefault="003D7F4D" w:rsidP="00F63022">
            <w:pPr>
              <w:pStyle w:val="ListParagraph"/>
              <w:numPr>
                <w:ilvl w:val="0"/>
                <w:numId w:val="28"/>
              </w:numPr>
              <w:spacing w:after="60" w:line="240" w:lineRule="auto"/>
              <w:ind w:left="170" w:hanging="170"/>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r w:rsidRPr="006D47C8">
              <w:rPr>
                <w:rFonts w:ascii="EC Square Sans Pro" w:hAnsi="EC Square Sans Pro" w:cs="Times New Roman"/>
                <w:noProof/>
                <w:color w:val="034EA2" w:themeColor="accent1"/>
                <w:sz w:val="18"/>
                <w:szCs w:val="18"/>
                <w:lang w:val="de-DE"/>
              </w:rPr>
              <w:t xml:space="preserve"> </w:t>
            </w:r>
            <w:r w:rsidRPr="001B3164">
              <w:rPr>
                <w:rFonts w:ascii="EC Square Sans Pro" w:hAnsi="EC Square Sans Pro" w:cs="Times New Roman"/>
                <w:noProof/>
                <w:color w:val="034EA2" w:themeColor="accent1"/>
                <w:sz w:val="18"/>
                <w:szCs w:val="18"/>
                <w:lang w:val="en-IE"/>
              </w:rPr>
              <w:t>Management of the maturity profile of EU-Bond issuances with due regard to:</w:t>
            </w:r>
          </w:p>
          <w:p w14:paraId="121ED6D2" w14:textId="07B49BE3"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cs="Times New Roman"/>
                <w:noProof/>
                <w:sz w:val="18"/>
                <w:szCs w:val="18"/>
                <w:lang w:val="en-IE"/>
              </w:rPr>
              <w:t xml:space="preserve">the temporary additional headroom (for </w:t>
            </w:r>
            <w:r w:rsidR="007D3FC3" w:rsidRPr="001B3164">
              <w:rPr>
                <w:rFonts w:ascii="EC Square Sans Pro" w:hAnsi="EC Square Sans Pro" w:cs="Times New Roman"/>
                <w:noProof/>
                <w:sz w:val="18"/>
                <w:szCs w:val="18"/>
                <w:lang w:val="en-IE"/>
              </w:rPr>
              <w:t>NextGenerationEU</w:t>
            </w:r>
            <w:r w:rsidRPr="001B3164">
              <w:rPr>
                <w:rFonts w:ascii="EC Square Sans Pro" w:hAnsi="EC Square Sans Pro" w:cs="Times New Roman"/>
                <w:noProof/>
                <w:sz w:val="18"/>
                <w:szCs w:val="18"/>
                <w:lang w:val="en-IE"/>
              </w:rPr>
              <w:t>-related borrowing) and permanent headroom (for MFA+) under the EU budget</w:t>
            </w:r>
          </w:p>
          <w:p w14:paraId="4423F9E0"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cs="Times New Roman"/>
                <w:noProof/>
                <w:sz w:val="18"/>
                <w:szCs w:val="18"/>
                <w:lang w:val="en-IE"/>
              </w:rPr>
              <w:t xml:space="preserve">the future redemption of disbursements in any given year </w:t>
            </w:r>
          </w:p>
          <w:p w14:paraId="3335DA1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cs="Times New Roman"/>
                <w:noProof/>
                <w:sz w:val="18"/>
                <w:szCs w:val="18"/>
                <w:lang w:val="en-IE"/>
              </w:rPr>
              <w:t>stable future roll-over needs</w:t>
            </w:r>
          </w:p>
          <w:p w14:paraId="33FBBA42" w14:textId="77777777" w:rsidR="003D7F4D" w:rsidRPr="001B3164" w:rsidRDefault="003D7F4D" w:rsidP="00F63022">
            <w:pPr>
              <w:pStyle w:val="ListParagraph"/>
              <w:numPr>
                <w:ilvl w:val="0"/>
                <w:numId w:val="10"/>
              </w:numPr>
              <w:spacing w:after="60" w:line="240" w:lineRule="auto"/>
              <w:ind w:left="340" w:hanging="17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sz w:val="18"/>
                <w:szCs w:val="18"/>
                <w:lang w:val="en-IE"/>
              </w:rPr>
            </w:pPr>
            <w:r w:rsidRPr="001B3164">
              <w:rPr>
                <w:rFonts w:ascii="EC Square Sans Pro" w:hAnsi="EC Square Sans Pro"/>
                <w:noProof/>
                <w:sz w:val="18"/>
                <w:szCs w:val="18"/>
                <w:lang w:val="en-IE"/>
              </w:rPr>
              <w:t>the need to protect the EU’s rating to ensure low borrowing costs in the long run and strong demand from its core investor base.</w:t>
            </w:r>
          </w:p>
        </w:tc>
        <w:tc>
          <w:tcPr>
            <w:tcW w:w="2268" w:type="dxa"/>
            <w:shd w:val="clear" w:color="auto" w:fill="auto"/>
          </w:tcPr>
          <w:p w14:paraId="5B254806"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 xml:space="preserve">Average maturity of issuance </w:t>
            </w:r>
          </w:p>
        </w:tc>
        <w:tc>
          <w:tcPr>
            <w:tcW w:w="2551" w:type="dxa"/>
            <w:shd w:val="clear" w:color="auto" w:fill="auto"/>
          </w:tcPr>
          <w:p w14:paraId="4048E40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2E05C7">
              <w:rPr>
                <w:noProof/>
                <w:sz w:val="18"/>
                <w:szCs w:val="18"/>
              </w:rPr>
              <w:t>Around 12 years</w:t>
            </w:r>
            <w:r w:rsidRPr="001B3164">
              <w:rPr>
                <w:noProof/>
                <w:sz w:val="18"/>
                <w:szCs w:val="18"/>
              </w:rPr>
              <w:t xml:space="preserve"> </w:t>
            </w:r>
          </w:p>
        </w:tc>
        <w:tc>
          <w:tcPr>
            <w:tcW w:w="4678" w:type="dxa"/>
            <w:vMerge w:val="restart"/>
            <w:shd w:val="clear" w:color="auto" w:fill="auto"/>
          </w:tcPr>
          <w:p w14:paraId="47618058" w14:textId="46330BB4"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In H</w:t>
            </w:r>
            <w:r w:rsidR="00B01F57">
              <w:rPr>
                <w:noProof/>
                <w:sz w:val="18"/>
                <w:szCs w:val="18"/>
              </w:rPr>
              <w:t>2</w:t>
            </w:r>
            <w:r w:rsidRPr="001B3164">
              <w:rPr>
                <w:noProof/>
                <w:sz w:val="18"/>
                <w:szCs w:val="18"/>
              </w:rPr>
              <w:t xml:space="preserve"> 2025, EU-Bond issuances had an average maturity of </w:t>
            </w:r>
            <w:r w:rsidRPr="002E05C7">
              <w:rPr>
                <w:noProof/>
                <w:sz w:val="18"/>
                <w:szCs w:val="18"/>
              </w:rPr>
              <w:t>12 years. This reflect</w:t>
            </w:r>
            <w:r w:rsidR="000F4198" w:rsidRPr="002E05C7">
              <w:rPr>
                <w:noProof/>
                <w:sz w:val="18"/>
                <w:szCs w:val="18"/>
              </w:rPr>
              <w:t>s</w:t>
            </w:r>
            <w:r w:rsidRPr="002E05C7">
              <w:rPr>
                <w:noProof/>
                <w:sz w:val="18"/>
                <w:szCs w:val="18"/>
              </w:rPr>
              <w:t xml:space="preserve"> the need to spread the redemption profile over time while, at the same time, attracting investors to EU primary market transactions. The average maturity remained below the maximum average maturity of 17</w:t>
            </w:r>
            <w:r w:rsidRPr="001B3164">
              <w:rPr>
                <w:noProof/>
                <w:sz w:val="18"/>
                <w:szCs w:val="18"/>
              </w:rPr>
              <w:t xml:space="preserve"> years set out in the annual borrowing decision for 2025.</w:t>
            </w:r>
          </w:p>
          <w:p w14:paraId="02857D99"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563010F3" w14:textId="5E04A2A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2E05C7">
              <w:rPr>
                <w:noProof/>
                <w:sz w:val="18"/>
                <w:szCs w:val="18"/>
              </w:rPr>
              <w:t>The weighted average time to maturity of outstanding debt declined slightly (</w:t>
            </w:r>
            <w:r w:rsidR="002E05C7" w:rsidRPr="002E05C7">
              <w:rPr>
                <w:noProof/>
                <w:sz w:val="18"/>
                <w:szCs w:val="18"/>
              </w:rPr>
              <w:t>closer</w:t>
            </w:r>
            <w:r w:rsidR="00821D7E">
              <w:rPr>
                <w:noProof/>
                <w:sz w:val="18"/>
                <w:szCs w:val="18"/>
              </w:rPr>
              <w:t xml:space="preserve"> to</w:t>
            </w:r>
            <w:r w:rsidRPr="002E05C7">
              <w:rPr>
                <w:noProof/>
                <w:sz w:val="18"/>
                <w:szCs w:val="18"/>
              </w:rPr>
              <w:t xml:space="preserve"> 11 years after </w:t>
            </w:r>
            <w:r w:rsidR="00F63022">
              <w:rPr>
                <w:noProof/>
                <w:sz w:val="18"/>
                <w:szCs w:val="18"/>
              </w:rPr>
              <w:t>fall</w:t>
            </w:r>
            <w:r w:rsidRPr="002E05C7">
              <w:rPr>
                <w:noProof/>
                <w:sz w:val="18"/>
                <w:szCs w:val="18"/>
              </w:rPr>
              <w:t xml:space="preserve">ing below 11.5 years </w:t>
            </w:r>
            <w:r w:rsidR="002E05C7" w:rsidRPr="002E05C7">
              <w:rPr>
                <w:noProof/>
                <w:sz w:val="18"/>
                <w:szCs w:val="18"/>
              </w:rPr>
              <w:t>in the first half of 2025</w:t>
            </w:r>
            <w:r w:rsidRPr="002E05C7">
              <w:rPr>
                <w:noProof/>
                <w:sz w:val="18"/>
                <w:szCs w:val="18"/>
              </w:rPr>
              <w:t>) driven by the issuance profile and roll down of existing debt.</w:t>
            </w:r>
          </w:p>
          <w:p w14:paraId="0D07273B"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p w14:paraId="6678AA98" w14:textId="0752A7B4" w:rsidR="003D7F4D" w:rsidRPr="001B3164" w:rsidRDefault="00821D7E"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E80CC8">
              <w:rPr>
                <w:noProof/>
                <w:sz w:val="18"/>
                <w:szCs w:val="18"/>
              </w:rPr>
              <w:t xml:space="preserve">The </w:t>
            </w:r>
            <w:r w:rsidR="00FB16F5" w:rsidRPr="00E80CC8">
              <w:rPr>
                <w:noProof/>
                <w:sz w:val="18"/>
                <w:szCs w:val="18"/>
              </w:rPr>
              <w:t>short-term</w:t>
            </w:r>
            <w:r w:rsidR="00316D24" w:rsidRPr="00E80CC8">
              <w:rPr>
                <w:noProof/>
                <w:sz w:val="18"/>
                <w:szCs w:val="18"/>
              </w:rPr>
              <w:t xml:space="preserve"> </w:t>
            </w:r>
            <w:r w:rsidRPr="00E80CC8">
              <w:rPr>
                <w:noProof/>
                <w:sz w:val="18"/>
                <w:szCs w:val="18"/>
              </w:rPr>
              <w:t xml:space="preserve">refinancing profile </w:t>
            </w:r>
            <w:r w:rsidR="00316D24" w:rsidRPr="00E80CC8">
              <w:rPr>
                <w:noProof/>
                <w:sz w:val="18"/>
                <w:szCs w:val="18"/>
              </w:rPr>
              <w:t xml:space="preserve">increased from </w:t>
            </w:r>
            <w:r w:rsidR="00F63022">
              <w:rPr>
                <w:noProof/>
                <w:sz w:val="18"/>
                <w:szCs w:val="18"/>
              </w:rPr>
              <w:t>less than</w:t>
            </w:r>
            <w:r w:rsidR="00316D24" w:rsidRPr="00E80CC8">
              <w:rPr>
                <w:noProof/>
                <w:sz w:val="18"/>
                <w:szCs w:val="18"/>
              </w:rPr>
              <w:t xml:space="preserve"> 10% to </w:t>
            </w:r>
            <w:r w:rsidR="00F63022">
              <w:rPr>
                <w:noProof/>
                <w:sz w:val="18"/>
                <w:szCs w:val="18"/>
              </w:rPr>
              <w:t>less than</w:t>
            </w:r>
            <w:r w:rsidR="00316D24" w:rsidRPr="00E80CC8">
              <w:rPr>
                <w:noProof/>
                <w:sz w:val="18"/>
                <w:szCs w:val="18"/>
              </w:rPr>
              <w:t xml:space="preserve"> 12%</w:t>
            </w:r>
            <w:r w:rsidR="00F63022">
              <w:rPr>
                <w:noProof/>
                <w:sz w:val="18"/>
                <w:szCs w:val="18"/>
              </w:rPr>
              <w:t>,</w:t>
            </w:r>
            <w:r w:rsidR="00316D24" w:rsidRPr="00E80CC8">
              <w:rPr>
                <w:noProof/>
                <w:sz w:val="18"/>
                <w:szCs w:val="18"/>
              </w:rPr>
              <w:t xml:space="preserve"> while</w:t>
            </w:r>
            <w:r w:rsidR="00E80CC8">
              <w:rPr>
                <w:noProof/>
                <w:sz w:val="18"/>
                <w:szCs w:val="18"/>
              </w:rPr>
              <w:t xml:space="preserve"> the</w:t>
            </w:r>
            <w:r w:rsidR="00316D24" w:rsidRPr="00E80CC8">
              <w:rPr>
                <w:noProof/>
                <w:sz w:val="18"/>
                <w:szCs w:val="18"/>
              </w:rPr>
              <w:t xml:space="preserve"> medium-term refinancing profile remained stable </w:t>
            </w:r>
            <w:r w:rsidRPr="00E80CC8">
              <w:rPr>
                <w:noProof/>
                <w:sz w:val="18"/>
                <w:szCs w:val="18"/>
              </w:rPr>
              <w:t>at around 37%</w:t>
            </w:r>
            <w:r w:rsidR="00316D24" w:rsidRPr="00E80CC8">
              <w:rPr>
                <w:noProof/>
                <w:sz w:val="18"/>
                <w:szCs w:val="18"/>
              </w:rPr>
              <w:t xml:space="preserve">, </w:t>
            </w:r>
            <w:r w:rsidR="00E80CC8" w:rsidRPr="00E80CC8">
              <w:rPr>
                <w:noProof/>
                <w:sz w:val="18"/>
                <w:szCs w:val="18"/>
              </w:rPr>
              <w:t>reflecting past issuances and the redemption profile.</w:t>
            </w:r>
          </w:p>
        </w:tc>
      </w:tr>
      <w:tr w:rsidR="003D7F4D" w:rsidRPr="001B3164" w14:paraId="013DE11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336F054" w14:textId="77777777" w:rsidR="003D7F4D" w:rsidRPr="001B3164" w:rsidRDefault="003D7F4D" w:rsidP="00F63022">
            <w:pPr>
              <w:rPr>
                <w:noProof/>
                <w:sz w:val="18"/>
                <w:szCs w:val="18"/>
              </w:rPr>
            </w:pPr>
          </w:p>
        </w:tc>
        <w:tc>
          <w:tcPr>
            <w:tcW w:w="3264" w:type="dxa"/>
            <w:vMerge/>
          </w:tcPr>
          <w:p w14:paraId="0DAE8289" w14:textId="77777777" w:rsidR="003D7F4D" w:rsidRPr="001B3164"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7AD28833"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Average time to maturity of outstanding debt</w:t>
            </w:r>
          </w:p>
        </w:tc>
        <w:tc>
          <w:tcPr>
            <w:tcW w:w="2551" w:type="dxa"/>
            <w:shd w:val="clear" w:color="auto" w:fill="auto"/>
          </w:tcPr>
          <w:p w14:paraId="79C002D6" w14:textId="77777777" w:rsidR="003D7F4D" w:rsidRPr="00B01F57"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sidRPr="00665EFD">
              <w:rPr>
                <w:noProof/>
                <w:sz w:val="18"/>
                <w:szCs w:val="18"/>
              </w:rPr>
              <w:t>Around 11 years</w:t>
            </w:r>
          </w:p>
        </w:tc>
        <w:tc>
          <w:tcPr>
            <w:tcW w:w="4678" w:type="dxa"/>
            <w:vMerge/>
          </w:tcPr>
          <w:p w14:paraId="5639C4C0"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B6D6CD1"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DF08240" w14:textId="77777777" w:rsidR="003D7F4D" w:rsidRPr="001B3164" w:rsidRDefault="003D7F4D" w:rsidP="00F63022">
            <w:pPr>
              <w:rPr>
                <w:noProof/>
                <w:sz w:val="18"/>
                <w:szCs w:val="18"/>
              </w:rPr>
            </w:pPr>
          </w:p>
        </w:tc>
        <w:tc>
          <w:tcPr>
            <w:tcW w:w="3264" w:type="dxa"/>
            <w:vMerge/>
          </w:tcPr>
          <w:p w14:paraId="4EC19DC1" w14:textId="77777777" w:rsidR="003D7F4D" w:rsidRPr="001B3164" w:rsidRDefault="003D7F4D" w:rsidP="00F63022">
            <w:pPr>
              <w:pStyle w:val="ListParagraph"/>
              <w:numPr>
                <w:ilvl w:val="0"/>
                <w:numId w:val="28"/>
              </w:numPr>
              <w:spacing w:line="240" w:lineRule="auto"/>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74CDC582" w14:textId="77777777" w:rsidR="003D7F4D" w:rsidRPr="001B3164" w:rsidRDefault="003D7F4D" w:rsidP="00F63022">
            <w:pPr>
              <w:pStyle w:val="ListParagraph"/>
              <w:numPr>
                <w:ilvl w:val="0"/>
                <w:numId w:val="21"/>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Refinancing in the short term, i.e. percentage of outstanding stock of bonds and bills maturing in the next 12 months</w:t>
            </w:r>
          </w:p>
        </w:tc>
        <w:tc>
          <w:tcPr>
            <w:tcW w:w="2551" w:type="dxa"/>
            <w:shd w:val="clear" w:color="auto" w:fill="auto"/>
          </w:tcPr>
          <w:p w14:paraId="151F089C" w14:textId="08F84D4E" w:rsidR="003D7F4D" w:rsidRPr="00821D7E"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821D7E">
              <w:rPr>
                <w:noProof/>
                <w:sz w:val="18"/>
                <w:szCs w:val="18"/>
              </w:rPr>
              <w:t>Less than 1</w:t>
            </w:r>
            <w:r w:rsidR="00821D7E">
              <w:rPr>
                <w:noProof/>
                <w:sz w:val="18"/>
                <w:szCs w:val="18"/>
              </w:rPr>
              <w:t>2</w:t>
            </w:r>
            <w:r w:rsidRPr="00821D7E">
              <w:rPr>
                <w:noProof/>
                <w:sz w:val="18"/>
                <w:szCs w:val="18"/>
              </w:rPr>
              <w:t>%</w:t>
            </w:r>
          </w:p>
        </w:tc>
        <w:tc>
          <w:tcPr>
            <w:tcW w:w="4678" w:type="dxa"/>
            <w:vMerge/>
          </w:tcPr>
          <w:p w14:paraId="629A103A"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32CA9DEA"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3FF46F68" w14:textId="77777777" w:rsidR="003D7F4D" w:rsidRPr="001B3164" w:rsidRDefault="003D7F4D" w:rsidP="00F63022">
            <w:pPr>
              <w:rPr>
                <w:noProof/>
                <w:sz w:val="18"/>
                <w:szCs w:val="18"/>
              </w:rPr>
            </w:pPr>
          </w:p>
        </w:tc>
        <w:tc>
          <w:tcPr>
            <w:tcW w:w="3264" w:type="dxa"/>
            <w:vMerge/>
          </w:tcPr>
          <w:p w14:paraId="1F62CEB0" w14:textId="77777777" w:rsidR="003D7F4D" w:rsidRPr="001B3164" w:rsidRDefault="003D7F4D" w:rsidP="00F63022">
            <w:pPr>
              <w:pStyle w:val="ListParagraph"/>
              <w:numPr>
                <w:ilvl w:val="0"/>
                <w:numId w:val="28"/>
              </w:numPr>
              <w:spacing w:line="240" w:lineRule="auto"/>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noProof/>
                <w:color w:val="034EA2" w:themeColor="accent1"/>
                <w:sz w:val="18"/>
                <w:szCs w:val="18"/>
                <w:lang w:val="en-IE"/>
              </w:rPr>
            </w:pPr>
          </w:p>
        </w:tc>
        <w:tc>
          <w:tcPr>
            <w:tcW w:w="2268" w:type="dxa"/>
            <w:shd w:val="clear" w:color="auto" w:fill="auto"/>
          </w:tcPr>
          <w:p w14:paraId="2C9FEA9D" w14:textId="65651213" w:rsidR="003D7F4D" w:rsidRPr="001B3164" w:rsidRDefault="003D7F4D" w:rsidP="00F63022">
            <w:pPr>
              <w:pStyle w:val="ListParagraph"/>
              <w:numPr>
                <w:ilvl w:val="0"/>
                <w:numId w:val="21"/>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pacing w:val="-6"/>
                <w:sz w:val="18"/>
                <w:szCs w:val="18"/>
                <w:lang w:val="en-IE"/>
              </w:rPr>
            </w:pPr>
            <w:r w:rsidRPr="001B3164">
              <w:rPr>
                <w:rFonts w:ascii="EC Square Sans Pro" w:hAnsi="EC Square Sans Pro"/>
                <w:i/>
                <w:iCs/>
                <w:noProof/>
                <w:spacing w:val="-6"/>
                <w:sz w:val="18"/>
                <w:szCs w:val="18"/>
                <w:lang w:val="en-IE"/>
              </w:rPr>
              <w:t>Refinancing in the medium term, i.e. percentage of outstanding stock of bonds and bills maturing in the next</w:t>
            </w:r>
            <w:r w:rsidR="000F4198" w:rsidRPr="001B3164">
              <w:rPr>
                <w:rFonts w:ascii="EC Square Sans Pro" w:hAnsi="EC Square Sans Pro"/>
                <w:i/>
                <w:iCs/>
                <w:noProof/>
                <w:spacing w:val="-6"/>
                <w:sz w:val="18"/>
                <w:szCs w:val="18"/>
                <w:lang w:val="en-IE"/>
              </w:rPr>
              <w:t xml:space="preserve"> five</w:t>
            </w:r>
            <w:r w:rsidRPr="001B3164">
              <w:rPr>
                <w:rFonts w:ascii="EC Square Sans Pro" w:hAnsi="EC Square Sans Pro"/>
                <w:i/>
                <w:iCs/>
                <w:noProof/>
                <w:spacing w:val="-6"/>
                <w:sz w:val="18"/>
                <w:szCs w:val="18"/>
                <w:lang w:val="en-IE"/>
              </w:rPr>
              <w:t xml:space="preserve"> years</w:t>
            </w:r>
          </w:p>
        </w:tc>
        <w:tc>
          <w:tcPr>
            <w:tcW w:w="2551" w:type="dxa"/>
            <w:shd w:val="clear" w:color="auto" w:fill="auto"/>
          </w:tcPr>
          <w:p w14:paraId="0DF8571D" w14:textId="38BA638E" w:rsidR="003D7F4D" w:rsidRPr="00B01F57" w:rsidRDefault="00821D7E" w:rsidP="00F63022">
            <w:pPr>
              <w:cnfStyle w:val="000000100000" w:firstRow="0" w:lastRow="0" w:firstColumn="0" w:lastColumn="0" w:oddVBand="0" w:evenVBand="0" w:oddHBand="1" w:evenHBand="0" w:firstRowFirstColumn="0" w:firstRowLastColumn="0" w:lastRowFirstColumn="0" w:lastRowLastColumn="0"/>
              <w:rPr>
                <w:noProof/>
                <w:sz w:val="18"/>
                <w:szCs w:val="18"/>
                <w:highlight w:val="yellow"/>
              </w:rPr>
            </w:pPr>
            <w:r w:rsidRPr="00821D7E">
              <w:rPr>
                <w:noProof/>
                <w:sz w:val="18"/>
                <w:szCs w:val="18"/>
              </w:rPr>
              <w:t>Around</w:t>
            </w:r>
            <w:r w:rsidR="003D7F4D" w:rsidRPr="00821D7E">
              <w:rPr>
                <w:noProof/>
                <w:sz w:val="18"/>
                <w:szCs w:val="18"/>
              </w:rPr>
              <w:t xml:space="preserve"> 3</w:t>
            </w:r>
            <w:r>
              <w:rPr>
                <w:noProof/>
                <w:sz w:val="18"/>
                <w:szCs w:val="18"/>
              </w:rPr>
              <w:t>7</w:t>
            </w:r>
            <w:r w:rsidR="003D7F4D" w:rsidRPr="00821D7E">
              <w:rPr>
                <w:noProof/>
                <w:sz w:val="18"/>
                <w:szCs w:val="18"/>
              </w:rPr>
              <w:t>%.</w:t>
            </w:r>
          </w:p>
        </w:tc>
        <w:tc>
          <w:tcPr>
            <w:tcW w:w="4678" w:type="dxa"/>
            <w:vMerge/>
          </w:tcPr>
          <w:p w14:paraId="0B32B15B"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44EF3590"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2218FA25" w14:textId="77777777" w:rsidR="003D7F4D" w:rsidRPr="001B3164" w:rsidRDefault="003D7F4D" w:rsidP="00F63022">
            <w:pPr>
              <w:jc w:val="left"/>
              <w:rPr>
                <w:noProof/>
                <w:color w:val="034EA2" w:themeColor="accent1"/>
                <w:sz w:val="18"/>
                <w:szCs w:val="18"/>
              </w:rPr>
            </w:pPr>
            <w:r w:rsidRPr="001B3164">
              <w:rPr>
                <w:noProof/>
                <w:color w:val="034EA2" w:themeColor="accent1"/>
                <w:sz w:val="18"/>
                <w:szCs w:val="18"/>
              </w:rPr>
              <w:t>Implementation of the EU-Bill- programme</w:t>
            </w:r>
          </w:p>
          <w:p w14:paraId="334112A4" w14:textId="77777777" w:rsidR="003D7F4D" w:rsidRPr="001B3164" w:rsidRDefault="003D7F4D" w:rsidP="00F63022">
            <w:pPr>
              <w:rPr>
                <w:noProof/>
                <w:sz w:val="18"/>
                <w:szCs w:val="18"/>
              </w:rPr>
            </w:pPr>
          </w:p>
        </w:tc>
        <w:tc>
          <w:tcPr>
            <w:tcW w:w="3264" w:type="dxa"/>
            <w:vMerge w:val="restart"/>
            <w:shd w:val="clear" w:color="auto" w:fill="auto"/>
          </w:tcPr>
          <w:p w14:paraId="6274F611" w14:textId="618A1D98"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 xml:space="preserve">Regular issuance of EU-Bills with maturities of up to </w:t>
            </w:r>
            <w:r w:rsidR="00F63022">
              <w:rPr>
                <w:noProof/>
                <w:sz w:val="18"/>
                <w:szCs w:val="18"/>
              </w:rPr>
              <w:t>one</w:t>
            </w:r>
            <w:r w:rsidRPr="001B3164">
              <w:rPr>
                <w:noProof/>
                <w:sz w:val="18"/>
                <w:szCs w:val="18"/>
              </w:rPr>
              <w:t xml:space="preserve"> year via auction to attract additional investors (or additional portfolios of existing investors) and support liquidity management.</w:t>
            </w:r>
          </w:p>
        </w:tc>
        <w:tc>
          <w:tcPr>
            <w:tcW w:w="2268" w:type="dxa"/>
            <w:shd w:val="clear" w:color="auto" w:fill="auto"/>
          </w:tcPr>
          <w:p w14:paraId="3C10D7DF"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cs="Times New Roman"/>
                <w:i/>
                <w:iCs/>
                <w:noProof/>
                <w:sz w:val="18"/>
                <w:szCs w:val="18"/>
                <w:lang w:val="en-IE"/>
              </w:rPr>
            </w:pPr>
            <w:r w:rsidRPr="001B3164">
              <w:rPr>
                <w:rFonts w:ascii="EC Square Sans Pro" w:hAnsi="EC Square Sans Pro" w:cs="Times New Roman"/>
                <w:i/>
                <w:iCs/>
                <w:noProof/>
                <w:sz w:val="18"/>
                <w:szCs w:val="18"/>
                <w:lang w:val="en-IE"/>
              </w:rPr>
              <w:t>Outstanding volume of EU-Bills</w:t>
            </w:r>
          </w:p>
        </w:tc>
        <w:tc>
          <w:tcPr>
            <w:tcW w:w="2551" w:type="dxa"/>
            <w:shd w:val="clear" w:color="auto" w:fill="auto"/>
          </w:tcPr>
          <w:p w14:paraId="6D365CDA" w14:textId="0A9E3659"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Around EUR 3</w:t>
            </w:r>
            <w:r w:rsidR="00E80CC8">
              <w:rPr>
                <w:noProof/>
                <w:sz w:val="18"/>
                <w:szCs w:val="18"/>
              </w:rPr>
              <w:t>7</w:t>
            </w:r>
            <w:r w:rsidRPr="001B3164">
              <w:rPr>
                <w:noProof/>
                <w:sz w:val="18"/>
                <w:szCs w:val="18"/>
              </w:rPr>
              <w:t xml:space="preserve"> billion</w:t>
            </w:r>
          </w:p>
        </w:tc>
        <w:tc>
          <w:tcPr>
            <w:tcW w:w="4678" w:type="dxa"/>
            <w:vMerge w:val="restart"/>
            <w:shd w:val="clear" w:color="auto" w:fill="auto"/>
          </w:tcPr>
          <w:p w14:paraId="5995050A" w14:textId="257F8228" w:rsidR="003D7F4D" w:rsidRPr="001B3164" w:rsidRDefault="007C46F4"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 xml:space="preserve">Outstanding debt under the EU-Bill programme increased from around EUR </w:t>
            </w:r>
            <w:r>
              <w:rPr>
                <w:noProof/>
                <w:sz w:val="18"/>
                <w:szCs w:val="18"/>
              </w:rPr>
              <w:t>30</w:t>
            </w:r>
            <w:r w:rsidRPr="001B3164">
              <w:rPr>
                <w:noProof/>
                <w:sz w:val="18"/>
                <w:szCs w:val="18"/>
              </w:rPr>
              <w:t xml:space="preserve"> billion to around EUR 3</w:t>
            </w:r>
            <w:r>
              <w:rPr>
                <w:noProof/>
                <w:sz w:val="18"/>
                <w:szCs w:val="18"/>
              </w:rPr>
              <w:t>7</w:t>
            </w:r>
            <w:r w:rsidRPr="001B3164">
              <w:rPr>
                <w:noProof/>
                <w:sz w:val="18"/>
                <w:szCs w:val="18"/>
              </w:rPr>
              <w:t xml:space="preserve"> billion over the period</w:t>
            </w:r>
            <w:r>
              <w:rPr>
                <w:noProof/>
                <w:sz w:val="18"/>
                <w:szCs w:val="18"/>
              </w:rPr>
              <w:t xml:space="preserve">. This increase supplements EU-Bond issuances in </w:t>
            </w:r>
            <w:r w:rsidRPr="001B3164">
              <w:rPr>
                <w:noProof/>
                <w:sz w:val="18"/>
                <w:szCs w:val="18"/>
              </w:rPr>
              <w:t>provid</w:t>
            </w:r>
            <w:r>
              <w:rPr>
                <w:noProof/>
                <w:sz w:val="18"/>
                <w:szCs w:val="18"/>
              </w:rPr>
              <w:t>ing</w:t>
            </w:r>
            <w:r w:rsidRPr="001B3164">
              <w:rPr>
                <w:noProof/>
                <w:sz w:val="18"/>
                <w:szCs w:val="18"/>
              </w:rPr>
              <w:t xml:space="preserve"> additional </w:t>
            </w:r>
            <w:r>
              <w:rPr>
                <w:noProof/>
                <w:sz w:val="18"/>
                <w:szCs w:val="18"/>
              </w:rPr>
              <w:t>flexibility at peak disbursement periods.</w:t>
            </w:r>
          </w:p>
        </w:tc>
      </w:tr>
      <w:tr w:rsidR="003D7F4D" w:rsidRPr="001B3164" w14:paraId="5E8C94E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7E6A27E" w14:textId="77777777" w:rsidR="003D7F4D" w:rsidRPr="001B3164" w:rsidRDefault="003D7F4D" w:rsidP="00F63022">
            <w:pPr>
              <w:jc w:val="left"/>
              <w:rPr>
                <w:noProof/>
                <w:color w:val="034EA2" w:themeColor="accent1"/>
                <w:sz w:val="18"/>
                <w:szCs w:val="18"/>
              </w:rPr>
            </w:pPr>
          </w:p>
        </w:tc>
        <w:tc>
          <w:tcPr>
            <w:tcW w:w="3264" w:type="dxa"/>
            <w:vMerge/>
          </w:tcPr>
          <w:p w14:paraId="55F472B2"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1DE0F5FA" w14:textId="77777777" w:rsidR="003D7F4D" w:rsidRPr="001B3164" w:rsidRDefault="003D7F4D" w:rsidP="00F63022">
            <w:pPr>
              <w:pStyle w:val="ListParagraph"/>
              <w:numPr>
                <w:ilvl w:val="0"/>
                <w:numId w:val="24"/>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Number of EU-Bill auctions</w:t>
            </w:r>
          </w:p>
        </w:tc>
        <w:tc>
          <w:tcPr>
            <w:tcW w:w="2551" w:type="dxa"/>
            <w:shd w:val="clear" w:color="auto" w:fill="auto"/>
          </w:tcPr>
          <w:p w14:paraId="5A492D18" w14:textId="27B1013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1</w:t>
            </w:r>
            <w:r w:rsidR="00E80CC8">
              <w:rPr>
                <w:noProof/>
                <w:sz w:val="18"/>
                <w:szCs w:val="18"/>
              </w:rPr>
              <w:t>0</w:t>
            </w:r>
          </w:p>
        </w:tc>
        <w:tc>
          <w:tcPr>
            <w:tcW w:w="4678" w:type="dxa"/>
            <w:vMerge/>
          </w:tcPr>
          <w:p w14:paraId="4453D12D"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7CB8AA5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239F8F3" w14:textId="77777777" w:rsidR="003D7F4D" w:rsidRPr="001B3164" w:rsidRDefault="003D7F4D" w:rsidP="00F63022">
            <w:pPr>
              <w:rPr>
                <w:noProof/>
                <w:sz w:val="18"/>
                <w:szCs w:val="18"/>
              </w:rPr>
            </w:pPr>
            <w:r w:rsidRPr="001B3164">
              <w:rPr>
                <w:noProof/>
                <w:color w:val="034EA2" w:themeColor="accent1"/>
                <w:sz w:val="18"/>
                <w:szCs w:val="18"/>
              </w:rPr>
              <w:t>Liquidity management</w:t>
            </w:r>
          </w:p>
        </w:tc>
        <w:tc>
          <w:tcPr>
            <w:tcW w:w="3264" w:type="dxa"/>
            <w:shd w:val="clear" w:color="auto" w:fill="auto"/>
          </w:tcPr>
          <w:p w14:paraId="15106C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Management of a liquidity pool based on payment obligations, disbursement needs and the costs of cash holding, with due regard to prevailing market conditions.</w:t>
            </w:r>
          </w:p>
        </w:tc>
        <w:tc>
          <w:tcPr>
            <w:tcW w:w="2268" w:type="dxa"/>
            <w:shd w:val="clear" w:color="auto" w:fill="auto"/>
          </w:tcPr>
          <w:p w14:paraId="3223201F" w14:textId="77777777" w:rsidR="003D7F4D" w:rsidRPr="001B3164" w:rsidRDefault="003D7F4D" w:rsidP="00F63022">
            <w:pPr>
              <w:pStyle w:val="ListParagraph"/>
              <w:numPr>
                <w:ilvl w:val="0"/>
                <w:numId w:val="25"/>
              </w:numPr>
              <w:spacing w:after="40" w:line="240" w:lineRule="auto"/>
              <w:ind w:left="226" w:hanging="113"/>
              <w:contextualSpacing w:val="0"/>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Number of payment failures due to lack of liquidity</w:t>
            </w:r>
          </w:p>
        </w:tc>
        <w:tc>
          <w:tcPr>
            <w:tcW w:w="2551" w:type="dxa"/>
            <w:shd w:val="clear" w:color="auto" w:fill="auto"/>
          </w:tcPr>
          <w:p w14:paraId="08940661"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None</w:t>
            </w:r>
          </w:p>
        </w:tc>
        <w:tc>
          <w:tcPr>
            <w:tcW w:w="4678" w:type="dxa"/>
            <w:shd w:val="clear" w:color="auto" w:fill="auto"/>
          </w:tcPr>
          <w:p w14:paraId="31C564CC" w14:textId="4C8855CC"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bCs/>
                <w:noProof/>
                <w:sz w:val="18"/>
                <w:szCs w:val="18"/>
              </w:rPr>
              <w:t>The Commission met all disbursement needs and there were no settlement failures during the second half of 202</w:t>
            </w:r>
            <w:r w:rsidR="008C3B62">
              <w:rPr>
                <w:bCs/>
                <w:noProof/>
                <w:sz w:val="18"/>
                <w:szCs w:val="18"/>
              </w:rPr>
              <w:t>5</w:t>
            </w:r>
            <w:r w:rsidRPr="001B3164">
              <w:rPr>
                <w:bCs/>
                <w:noProof/>
                <w:sz w:val="18"/>
                <w:szCs w:val="18"/>
              </w:rPr>
              <w:t>.</w:t>
            </w:r>
          </w:p>
        </w:tc>
      </w:tr>
      <w:tr w:rsidR="003D7F4D" w:rsidRPr="001B3164" w14:paraId="68FE992C"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shd w:val="clear" w:color="auto" w:fill="auto"/>
          </w:tcPr>
          <w:p w14:paraId="536CC432" w14:textId="77777777" w:rsidR="003D7F4D" w:rsidRPr="001B3164" w:rsidRDefault="003D7F4D" w:rsidP="00F63022">
            <w:pPr>
              <w:jc w:val="left"/>
              <w:rPr>
                <w:noProof/>
                <w:sz w:val="18"/>
                <w:szCs w:val="18"/>
              </w:rPr>
            </w:pPr>
            <w:r w:rsidRPr="001B3164">
              <w:rPr>
                <w:noProof/>
                <w:color w:val="034EA2" w:themeColor="accent1"/>
                <w:sz w:val="18"/>
                <w:szCs w:val="18"/>
              </w:rPr>
              <w:t>Primary dealer network</w:t>
            </w:r>
          </w:p>
        </w:tc>
        <w:tc>
          <w:tcPr>
            <w:tcW w:w="3264" w:type="dxa"/>
            <w:shd w:val="clear" w:color="auto" w:fill="auto"/>
          </w:tcPr>
          <w:p w14:paraId="0EAF894F" w14:textId="2D333373"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Attracting a wide range of financial institutions with a strong commitment to supporting EU issuances.</w:t>
            </w:r>
          </w:p>
        </w:tc>
        <w:tc>
          <w:tcPr>
            <w:tcW w:w="2268" w:type="dxa"/>
            <w:shd w:val="clear" w:color="auto" w:fill="auto"/>
          </w:tcPr>
          <w:p w14:paraId="7F3358B0" w14:textId="21EEDDD8" w:rsidR="003D7F4D" w:rsidRPr="001B3164" w:rsidRDefault="003D7F4D" w:rsidP="00F63022">
            <w:pPr>
              <w:pStyle w:val="ListParagraph"/>
              <w:numPr>
                <w:ilvl w:val="0"/>
                <w:numId w:val="13"/>
              </w:numPr>
              <w:spacing w:after="40" w:line="240" w:lineRule="auto"/>
              <w:ind w:left="226" w:hanging="113"/>
              <w:contextualSpacing w:val="0"/>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cs="Times New Roman"/>
                <w:i/>
                <w:iCs/>
                <w:noProof/>
                <w:sz w:val="18"/>
                <w:szCs w:val="18"/>
                <w:lang w:val="en-IE"/>
              </w:rPr>
            </w:pPr>
            <w:r w:rsidRPr="001B3164">
              <w:rPr>
                <w:rFonts w:ascii="EC Square Sans Pro" w:hAnsi="EC Square Sans Pro" w:cs="Times New Roman"/>
                <w:i/>
                <w:iCs/>
                <w:noProof/>
                <w:sz w:val="18"/>
                <w:szCs w:val="18"/>
                <w:lang w:val="en-IE"/>
              </w:rPr>
              <w:t xml:space="preserve">Number of institutions </w:t>
            </w:r>
            <w:r w:rsidR="000F4198" w:rsidRPr="001B3164">
              <w:rPr>
                <w:rFonts w:ascii="EC Square Sans Pro" w:hAnsi="EC Square Sans Pro" w:cs="Times New Roman"/>
                <w:i/>
                <w:iCs/>
                <w:noProof/>
                <w:sz w:val="18"/>
                <w:szCs w:val="18"/>
                <w:lang w:val="en-IE"/>
              </w:rPr>
              <w:t>that</w:t>
            </w:r>
            <w:r w:rsidRPr="001B3164">
              <w:rPr>
                <w:rFonts w:ascii="EC Square Sans Pro" w:hAnsi="EC Square Sans Pro" w:cs="Times New Roman"/>
                <w:i/>
                <w:iCs/>
                <w:noProof/>
                <w:sz w:val="18"/>
                <w:szCs w:val="18"/>
                <w:lang w:val="en-IE"/>
              </w:rPr>
              <w:t xml:space="preserve"> signed underwriting commitments for transactions over the past six months</w:t>
            </w:r>
          </w:p>
        </w:tc>
        <w:tc>
          <w:tcPr>
            <w:tcW w:w="2551" w:type="dxa"/>
            <w:shd w:val="clear" w:color="auto" w:fill="auto"/>
          </w:tcPr>
          <w:p w14:paraId="6FDE5298" w14:textId="10D62028" w:rsidR="003D7F4D" w:rsidRPr="00F3390B"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F3390B">
              <w:rPr>
                <w:noProof/>
                <w:sz w:val="18"/>
                <w:szCs w:val="18"/>
              </w:rPr>
              <w:t>1</w:t>
            </w:r>
            <w:r w:rsidR="00F3390B" w:rsidRPr="00F3390B">
              <w:rPr>
                <w:noProof/>
                <w:sz w:val="18"/>
                <w:szCs w:val="18"/>
              </w:rPr>
              <w:t>6</w:t>
            </w:r>
            <w:r w:rsidRPr="00F3390B">
              <w:rPr>
                <w:noProof/>
                <w:sz w:val="18"/>
                <w:szCs w:val="18"/>
              </w:rPr>
              <w:t xml:space="preserve"> (compared with 1</w:t>
            </w:r>
            <w:r w:rsidR="00FB16F5" w:rsidRPr="00F3390B">
              <w:rPr>
                <w:noProof/>
                <w:sz w:val="18"/>
                <w:szCs w:val="18"/>
              </w:rPr>
              <w:t>9</w:t>
            </w:r>
            <w:r w:rsidRPr="00F3390B">
              <w:rPr>
                <w:noProof/>
                <w:sz w:val="18"/>
                <w:szCs w:val="18"/>
              </w:rPr>
              <w:t xml:space="preserve"> in H</w:t>
            </w:r>
            <w:r w:rsidR="00FB16F5" w:rsidRPr="00F3390B">
              <w:rPr>
                <w:noProof/>
                <w:sz w:val="18"/>
                <w:szCs w:val="18"/>
              </w:rPr>
              <w:t>1</w:t>
            </w:r>
            <w:r w:rsidRPr="00F3390B">
              <w:rPr>
                <w:rFonts w:ascii="Calibri" w:hAnsi="Calibri" w:cs="Calibri"/>
                <w:noProof/>
                <w:sz w:val="18"/>
                <w:szCs w:val="18"/>
              </w:rPr>
              <w:t> </w:t>
            </w:r>
            <w:r w:rsidRPr="00F3390B">
              <w:rPr>
                <w:noProof/>
                <w:sz w:val="18"/>
                <w:szCs w:val="18"/>
              </w:rPr>
              <w:t>202</w:t>
            </w:r>
            <w:r w:rsidR="00FB16F5" w:rsidRPr="00F3390B">
              <w:rPr>
                <w:noProof/>
                <w:sz w:val="18"/>
                <w:szCs w:val="18"/>
              </w:rPr>
              <w:t>5</w:t>
            </w:r>
            <w:r w:rsidRPr="00F3390B">
              <w:rPr>
                <w:noProof/>
                <w:sz w:val="18"/>
                <w:szCs w:val="18"/>
              </w:rPr>
              <w:t>)</w:t>
            </w:r>
          </w:p>
        </w:tc>
        <w:tc>
          <w:tcPr>
            <w:tcW w:w="4678" w:type="dxa"/>
            <w:shd w:val="clear" w:color="auto" w:fill="auto"/>
          </w:tcPr>
          <w:p w14:paraId="3F137865" w14:textId="64D4EA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bCs/>
                <w:noProof/>
                <w:sz w:val="18"/>
                <w:szCs w:val="18"/>
              </w:rPr>
            </w:pPr>
            <w:r w:rsidRPr="001B3164">
              <w:rPr>
                <w:bCs/>
                <w:noProof/>
                <w:sz w:val="18"/>
                <w:szCs w:val="18"/>
              </w:rPr>
              <w:t>EU primary dealers continued to support the Commission and rotation at the syndications helped the Commission make the best use of all banks eligible to be part of a syndicate.</w:t>
            </w:r>
          </w:p>
        </w:tc>
      </w:tr>
      <w:tr w:rsidR="003D7F4D" w:rsidRPr="001B3164" w14:paraId="59B1208E"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val="restart"/>
            <w:shd w:val="clear" w:color="auto" w:fill="auto"/>
          </w:tcPr>
          <w:p w14:paraId="0A472F10" w14:textId="77777777" w:rsidR="003D7F4D" w:rsidRPr="001B3164" w:rsidRDefault="003D7F4D" w:rsidP="00F63022">
            <w:pPr>
              <w:jc w:val="left"/>
              <w:rPr>
                <w:noProof/>
                <w:sz w:val="18"/>
                <w:szCs w:val="18"/>
              </w:rPr>
            </w:pPr>
            <w:r w:rsidRPr="001B3164">
              <w:rPr>
                <w:noProof/>
                <w:color w:val="034EA2" w:themeColor="accent1"/>
                <w:sz w:val="18"/>
                <w:szCs w:val="18"/>
              </w:rPr>
              <w:t xml:space="preserve">Communication with diverse market stakeholders and peer issuers </w:t>
            </w:r>
          </w:p>
        </w:tc>
        <w:tc>
          <w:tcPr>
            <w:tcW w:w="3264" w:type="dxa"/>
            <w:vMerge w:val="restart"/>
            <w:shd w:val="clear" w:color="auto" w:fill="auto"/>
          </w:tcPr>
          <w:p w14:paraId="67E538E0"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Maintaining and building the trust of the investor base, market participants and peer issuers to support demand for EU debt and improve the EU’s understanding of market dynamics and investor needs.</w:t>
            </w:r>
          </w:p>
        </w:tc>
        <w:tc>
          <w:tcPr>
            <w:tcW w:w="2268" w:type="dxa"/>
            <w:shd w:val="clear" w:color="auto" w:fill="auto"/>
          </w:tcPr>
          <w:p w14:paraId="5FC3CED4"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 xml:space="preserve">Deviations from the pre-announced timings for the publication of funding plans </w:t>
            </w:r>
          </w:p>
        </w:tc>
        <w:tc>
          <w:tcPr>
            <w:tcW w:w="2551" w:type="dxa"/>
            <w:shd w:val="clear" w:color="auto" w:fill="auto"/>
          </w:tcPr>
          <w:p w14:paraId="75E2729B"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None</w:t>
            </w:r>
          </w:p>
        </w:tc>
        <w:tc>
          <w:tcPr>
            <w:tcW w:w="4678" w:type="dxa"/>
            <w:vMerge w:val="restart"/>
            <w:shd w:val="clear" w:color="auto" w:fill="auto"/>
          </w:tcPr>
          <w:p w14:paraId="0B538B1D" w14:textId="77777777"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 xml:space="preserve">The Commission maintained regular and predictable communication with the markets, in line with previous announcements. </w:t>
            </w:r>
          </w:p>
          <w:p w14:paraId="26851A04" w14:textId="51376E41" w:rsidR="007C46F4" w:rsidRDefault="007C46F4"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sidRPr="00A1453F">
              <w:rPr>
                <w:noProof/>
                <w:sz w:val="18"/>
                <w:szCs w:val="18"/>
              </w:rPr>
              <w:t>During the first half of 2025 allocation</w:t>
            </w:r>
            <w:r w:rsidR="008C3B62">
              <w:rPr>
                <w:noProof/>
                <w:sz w:val="18"/>
                <w:szCs w:val="18"/>
              </w:rPr>
              <w:t>s were reduced by</w:t>
            </w:r>
            <w:r w:rsidRPr="00A1453F">
              <w:rPr>
                <w:noProof/>
                <w:sz w:val="18"/>
                <w:szCs w:val="18"/>
              </w:rPr>
              <w:t xml:space="preserve"> around EUR 3 billion </w:t>
            </w:r>
            <w:r>
              <w:rPr>
                <w:noProof/>
                <w:sz w:val="18"/>
                <w:szCs w:val="18"/>
              </w:rPr>
              <w:t>reflecting financing conditions in bond auctions and final financing needs.</w:t>
            </w:r>
          </w:p>
          <w:p w14:paraId="407435CB" w14:textId="568DA79A" w:rsidR="003D7F4D" w:rsidRPr="001B3164" w:rsidRDefault="003D7F4D" w:rsidP="00F63022">
            <w:pPr>
              <w:spacing w:after="120"/>
              <w:cnfStyle w:val="000000000000" w:firstRow="0" w:lastRow="0" w:firstColumn="0" w:lastColumn="0" w:oddVBand="0" w:evenVBand="0" w:oddHBand="0" w:evenHBand="0" w:firstRowFirstColumn="0" w:firstRowLastColumn="0" w:lastRowFirstColumn="0" w:lastRowLastColumn="0"/>
              <w:rPr>
                <w:noProof/>
                <w:sz w:val="18"/>
                <w:szCs w:val="18"/>
              </w:rPr>
            </w:pPr>
            <w:r w:rsidRPr="001B3164">
              <w:rPr>
                <w:noProof/>
                <w:sz w:val="18"/>
                <w:szCs w:val="18"/>
              </w:rPr>
              <w:t xml:space="preserve">The Commission regularly published investor </w:t>
            </w:r>
            <w:r w:rsidR="00856C42" w:rsidRPr="001B3164">
              <w:rPr>
                <w:noProof/>
                <w:sz w:val="18"/>
                <w:szCs w:val="18"/>
              </w:rPr>
              <w:t>statistics,</w:t>
            </w:r>
            <w:r w:rsidRPr="001B3164">
              <w:rPr>
                <w:noProof/>
                <w:sz w:val="18"/>
                <w:szCs w:val="18"/>
              </w:rPr>
              <w:t xml:space="preserve"> and its diversified investor base continued to </w:t>
            </w:r>
            <w:r w:rsidR="008C3B62">
              <w:rPr>
                <w:noProof/>
                <w:sz w:val="18"/>
                <w:szCs w:val="18"/>
              </w:rPr>
              <w:t>grow</w:t>
            </w:r>
            <w:r w:rsidRPr="001B3164">
              <w:rPr>
                <w:noProof/>
                <w:sz w:val="18"/>
                <w:szCs w:val="18"/>
              </w:rPr>
              <w:t>.</w:t>
            </w:r>
          </w:p>
          <w:p w14:paraId="4540956C"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r w:rsidR="003D7F4D" w:rsidRPr="001B3164" w14:paraId="5781A0B5" w14:textId="77777777" w:rsidTr="00F6302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7B3ADCFF" w14:textId="77777777" w:rsidR="003D7F4D" w:rsidRPr="001B3164" w:rsidRDefault="003D7F4D" w:rsidP="00F63022">
            <w:pPr>
              <w:rPr>
                <w:noProof/>
                <w:color w:val="034EA2" w:themeColor="accent1"/>
                <w:sz w:val="18"/>
                <w:szCs w:val="18"/>
              </w:rPr>
            </w:pPr>
          </w:p>
        </w:tc>
        <w:tc>
          <w:tcPr>
            <w:tcW w:w="3264" w:type="dxa"/>
            <w:vMerge/>
          </w:tcPr>
          <w:p w14:paraId="1C3D14AE" w14:textId="77777777"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p>
        </w:tc>
        <w:tc>
          <w:tcPr>
            <w:tcW w:w="2268" w:type="dxa"/>
            <w:shd w:val="clear" w:color="auto" w:fill="auto"/>
          </w:tcPr>
          <w:p w14:paraId="6E4F1C5E" w14:textId="77777777" w:rsidR="003D7F4D" w:rsidRPr="001B3164" w:rsidRDefault="003D7F4D" w:rsidP="00F63022">
            <w:pPr>
              <w:pStyle w:val="ListParagraph"/>
              <w:numPr>
                <w:ilvl w:val="0"/>
                <w:numId w:val="26"/>
              </w:numPr>
              <w:spacing w:after="40"/>
              <w:ind w:left="226" w:hanging="113"/>
              <w:jc w:val="left"/>
              <w:cnfStyle w:val="000000100000" w:firstRow="0" w:lastRow="0" w:firstColumn="0" w:lastColumn="0" w:oddVBand="0" w:evenVBand="0" w:oddHBand="1"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 xml:space="preserve">Deviation from the volumes announced in the funding plan </w:t>
            </w:r>
          </w:p>
        </w:tc>
        <w:tc>
          <w:tcPr>
            <w:tcW w:w="2551" w:type="dxa"/>
            <w:shd w:val="clear" w:color="auto" w:fill="auto"/>
          </w:tcPr>
          <w:p w14:paraId="6C003516" w14:textId="6FF19CCA" w:rsidR="003D7F4D" w:rsidRPr="001B3164" w:rsidRDefault="003D7F4D" w:rsidP="00F63022">
            <w:pPr>
              <w:jc w:val="left"/>
              <w:cnfStyle w:val="000000100000" w:firstRow="0" w:lastRow="0" w:firstColumn="0" w:lastColumn="0" w:oddVBand="0" w:evenVBand="0" w:oddHBand="1" w:evenHBand="0" w:firstRowFirstColumn="0" w:firstRowLastColumn="0" w:lastRowFirstColumn="0" w:lastRowLastColumn="0"/>
              <w:rPr>
                <w:noProof/>
                <w:sz w:val="18"/>
                <w:szCs w:val="18"/>
              </w:rPr>
            </w:pPr>
            <w:r w:rsidRPr="001B3164">
              <w:rPr>
                <w:noProof/>
                <w:sz w:val="18"/>
                <w:szCs w:val="18"/>
              </w:rPr>
              <w:t xml:space="preserve">Around EUR </w:t>
            </w:r>
            <w:r w:rsidR="00A1453F">
              <w:rPr>
                <w:noProof/>
                <w:sz w:val="18"/>
                <w:szCs w:val="18"/>
              </w:rPr>
              <w:t>3</w:t>
            </w:r>
            <w:r w:rsidRPr="001B3164">
              <w:rPr>
                <w:noProof/>
                <w:sz w:val="18"/>
                <w:szCs w:val="18"/>
              </w:rPr>
              <w:t xml:space="preserve"> billion or less than 5% (</w:t>
            </w:r>
            <w:r w:rsidR="00A1453F">
              <w:rPr>
                <w:noProof/>
                <w:sz w:val="18"/>
                <w:szCs w:val="18"/>
              </w:rPr>
              <w:t>similar to H1</w:t>
            </w:r>
            <w:r w:rsidRPr="001B3164">
              <w:rPr>
                <w:noProof/>
                <w:sz w:val="18"/>
                <w:szCs w:val="18"/>
              </w:rPr>
              <w:t xml:space="preserve"> 202</w:t>
            </w:r>
            <w:r w:rsidR="00A1453F">
              <w:rPr>
                <w:noProof/>
                <w:sz w:val="18"/>
                <w:szCs w:val="18"/>
              </w:rPr>
              <w:t>5</w:t>
            </w:r>
            <w:r w:rsidRPr="001B3164">
              <w:rPr>
                <w:noProof/>
                <w:sz w:val="18"/>
                <w:szCs w:val="18"/>
              </w:rPr>
              <w:t>).</w:t>
            </w:r>
          </w:p>
        </w:tc>
        <w:tc>
          <w:tcPr>
            <w:tcW w:w="4678" w:type="dxa"/>
            <w:vMerge/>
          </w:tcPr>
          <w:p w14:paraId="5F017F68" w14:textId="77777777" w:rsidR="003D7F4D" w:rsidRPr="001B3164" w:rsidRDefault="003D7F4D" w:rsidP="00F63022">
            <w:pPr>
              <w:cnfStyle w:val="000000100000" w:firstRow="0" w:lastRow="0" w:firstColumn="0" w:lastColumn="0" w:oddVBand="0" w:evenVBand="0" w:oddHBand="1" w:evenHBand="0" w:firstRowFirstColumn="0" w:firstRowLastColumn="0" w:lastRowFirstColumn="0" w:lastRowLastColumn="0"/>
              <w:rPr>
                <w:noProof/>
                <w:sz w:val="18"/>
                <w:szCs w:val="18"/>
              </w:rPr>
            </w:pPr>
          </w:p>
        </w:tc>
      </w:tr>
      <w:tr w:rsidR="003D7F4D" w:rsidRPr="001B3164" w14:paraId="6C0A349D" w14:textId="77777777" w:rsidTr="00F63022">
        <w:trPr>
          <w:trHeight w:val="20"/>
        </w:trPr>
        <w:tc>
          <w:tcPr>
            <w:cnfStyle w:val="001000000000" w:firstRow="0" w:lastRow="0" w:firstColumn="1" w:lastColumn="0" w:oddVBand="0" w:evenVBand="0" w:oddHBand="0" w:evenHBand="0" w:firstRowFirstColumn="0" w:firstRowLastColumn="0" w:lastRowFirstColumn="0" w:lastRowLastColumn="0"/>
            <w:tcW w:w="1664" w:type="dxa"/>
            <w:vMerge/>
          </w:tcPr>
          <w:p w14:paraId="22FF171F" w14:textId="77777777" w:rsidR="003D7F4D" w:rsidRPr="001B3164" w:rsidRDefault="003D7F4D" w:rsidP="00F63022">
            <w:pPr>
              <w:rPr>
                <w:noProof/>
                <w:color w:val="034EA2" w:themeColor="accent1"/>
                <w:sz w:val="18"/>
                <w:szCs w:val="18"/>
              </w:rPr>
            </w:pPr>
          </w:p>
        </w:tc>
        <w:tc>
          <w:tcPr>
            <w:tcW w:w="3264" w:type="dxa"/>
            <w:vMerge/>
          </w:tcPr>
          <w:p w14:paraId="2F26D229" w14:textId="77777777"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p>
        </w:tc>
        <w:tc>
          <w:tcPr>
            <w:tcW w:w="2268" w:type="dxa"/>
            <w:shd w:val="clear" w:color="auto" w:fill="auto"/>
          </w:tcPr>
          <w:p w14:paraId="7F5936D2" w14:textId="77777777" w:rsidR="003D7F4D" w:rsidRPr="001B3164" w:rsidRDefault="003D7F4D" w:rsidP="00F63022">
            <w:pPr>
              <w:pStyle w:val="ListParagraph"/>
              <w:numPr>
                <w:ilvl w:val="0"/>
                <w:numId w:val="26"/>
              </w:numPr>
              <w:spacing w:after="40"/>
              <w:ind w:left="226" w:hanging="113"/>
              <w:jc w:val="left"/>
              <w:cnfStyle w:val="000000000000" w:firstRow="0" w:lastRow="0" w:firstColumn="0" w:lastColumn="0" w:oddVBand="0" w:evenVBand="0" w:oddHBand="0" w:evenHBand="0" w:firstRowFirstColumn="0" w:firstRowLastColumn="0" w:lastRowFirstColumn="0" w:lastRowLastColumn="0"/>
              <w:rPr>
                <w:rFonts w:ascii="EC Square Sans Pro" w:hAnsi="EC Square Sans Pro"/>
                <w:i/>
                <w:iCs/>
                <w:noProof/>
                <w:sz w:val="18"/>
                <w:szCs w:val="18"/>
                <w:lang w:val="en-IE"/>
              </w:rPr>
            </w:pPr>
            <w:r w:rsidRPr="001B3164">
              <w:rPr>
                <w:rFonts w:ascii="EC Square Sans Pro" w:hAnsi="EC Square Sans Pro"/>
                <w:i/>
                <w:iCs/>
                <w:noProof/>
                <w:sz w:val="18"/>
                <w:szCs w:val="18"/>
                <w:lang w:val="en-IE"/>
              </w:rPr>
              <w:t>Investor distribution statistics</w:t>
            </w:r>
          </w:p>
        </w:tc>
        <w:tc>
          <w:tcPr>
            <w:tcW w:w="2551" w:type="dxa"/>
            <w:shd w:val="clear" w:color="auto" w:fill="auto"/>
          </w:tcPr>
          <w:p w14:paraId="1C9924E1" w14:textId="77777777"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5C4B0C">
              <w:rPr>
                <w:noProof/>
                <w:sz w:val="18"/>
                <w:szCs w:val="18"/>
              </w:rPr>
              <w:t xml:space="preserve">Per type: </w:t>
            </w:r>
          </w:p>
          <w:p w14:paraId="3A2898B1" w14:textId="27414B25" w:rsidR="003D7F4D" w:rsidRPr="005C4B0C"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5C4B0C">
              <w:rPr>
                <w:noProof/>
                <w:sz w:val="18"/>
                <w:szCs w:val="18"/>
              </w:rPr>
              <w:t>central banks</w:t>
            </w:r>
            <w:r w:rsidR="008C3B62">
              <w:rPr>
                <w:noProof/>
                <w:sz w:val="18"/>
                <w:szCs w:val="18"/>
              </w:rPr>
              <w:t xml:space="preserve"> </w:t>
            </w:r>
            <w:r w:rsidRPr="005C4B0C">
              <w:rPr>
                <w:noProof/>
                <w:sz w:val="18"/>
                <w:szCs w:val="18"/>
              </w:rPr>
              <w:t>/</w:t>
            </w:r>
            <w:r w:rsidR="008C3B62">
              <w:rPr>
                <w:noProof/>
                <w:sz w:val="18"/>
                <w:szCs w:val="18"/>
              </w:rPr>
              <w:t xml:space="preserve"> </w:t>
            </w:r>
            <w:r w:rsidRPr="005C4B0C">
              <w:rPr>
                <w:noProof/>
                <w:sz w:val="18"/>
                <w:szCs w:val="18"/>
              </w:rPr>
              <w:t xml:space="preserve">official institutions </w:t>
            </w:r>
            <w:r w:rsidR="005C4B0C" w:rsidRPr="005C4B0C">
              <w:rPr>
                <w:noProof/>
                <w:sz w:val="18"/>
                <w:szCs w:val="18"/>
              </w:rPr>
              <w:t>2</w:t>
            </w:r>
            <w:r w:rsidR="00EA305D">
              <w:rPr>
                <w:noProof/>
                <w:sz w:val="18"/>
                <w:szCs w:val="18"/>
              </w:rPr>
              <w:t>7</w:t>
            </w:r>
            <w:r w:rsidRPr="005C4B0C">
              <w:rPr>
                <w:noProof/>
                <w:sz w:val="18"/>
                <w:szCs w:val="18"/>
              </w:rPr>
              <w:t>%, fund managers 24%, bank treasuries 3</w:t>
            </w:r>
            <w:r w:rsidR="00EA305D">
              <w:rPr>
                <w:noProof/>
                <w:sz w:val="18"/>
                <w:szCs w:val="18"/>
              </w:rPr>
              <w:t>6</w:t>
            </w:r>
            <w:r w:rsidRPr="005C4B0C">
              <w:rPr>
                <w:noProof/>
                <w:sz w:val="18"/>
                <w:szCs w:val="18"/>
              </w:rPr>
              <w:t>%, insurance and pension funds 1</w:t>
            </w:r>
            <w:r w:rsidR="00EA305D">
              <w:rPr>
                <w:noProof/>
                <w:sz w:val="18"/>
                <w:szCs w:val="18"/>
              </w:rPr>
              <w:t>4</w:t>
            </w:r>
            <w:r w:rsidRPr="005C4B0C">
              <w:rPr>
                <w:noProof/>
                <w:sz w:val="18"/>
                <w:szCs w:val="18"/>
              </w:rPr>
              <w:t xml:space="preserve">%, banks </w:t>
            </w:r>
            <w:r w:rsidR="005C4B0C" w:rsidRPr="005C4B0C">
              <w:rPr>
                <w:noProof/>
                <w:sz w:val="18"/>
                <w:szCs w:val="18"/>
              </w:rPr>
              <w:t>7</w:t>
            </w:r>
            <w:r w:rsidRPr="005C4B0C">
              <w:rPr>
                <w:noProof/>
                <w:sz w:val="18"/>
                <w:szCs w:val="18"/>
              </w:rPr>
              <w:t xml:space="preserve">%, hedge funds 2% </w:t>
            </w:r>
          </w:p>
          <w:p w14:paraId="427686AF" w14:textId="024C2071" w:rsidR="003D7F4D" w:rsidRPr="001B3164" w:rsidRDefault="003D7F4D" w:rsidP="00F63022">
            <w:pPr>
              <w:jc w:val="left"/>
              <w:cnfStyle w:val="000000000000" w:firstRow="0" w:lastRow="0" w:firstColumn="0" w:lastColumn="0" w:oddVBand="0" w:evenVBand="0" w:oddHBand="0" w:evenHBand="0" w:firstRowFirstColumn="0" w:firstRowLastColumn="0" w:lastRowFirstColumn="0" w:lastRowLastColumn="0"/>
              <w:rPr>
                <w:noProof/>
                <w:sz w:val="18"/>
                <w:szCs w:val="18"/>
              </w:rPr>
            </w:pPr>
            <w:r w:rsidRPr="005C4B0C">
              <w:rPr>
                <w:noProof/>
                <w:sz w:val="18"/>
                <w:szCs w:val="18"/>
              </w:rPr>
              <w:t>Per country/region: UK 2</w:t>
            </w:r>
            <w:r w:rsidR="00EA305D">
              <w:rPr>
                <w:noProof/>
                <w:sz w:val="18"/>
                <w:szCs w:val="18"/>
              </w:rPr>
              <w:t>0</w:t>
            </w:r>
            <w:r w:rsidRPr="005C4B0C">
              <w:rPr>
                <w:noProof/>
                <w:sz w:val="18"/>
                <w:szCs w:val="18"/>
              </w:rPr>
              <w:t>%, Nordics 1</w:t>
            </w:r>
            <w:r w:rsidR="00EA305D">
              <w:rPr>
                <w:noProof/>
                <w:sz w:val="18"/>
                <w:szCs w:val="18"/>
              </w:rPr>
              <w:t>3</w:t>
            </w:r>
            <w:r w:rsidRPr="005C4B0C">
              <w:rPr>
                <w:noProof/>
                <w:sz w:val="18"/>
                <w:szCs w:val="18"/>
              </w:rPr>
              <w:t xml:space="preserve">%, France </w:t>
            </w:r>
            <w:r w:rsidR="00EA305D">
              <w:rPr>
                <w:noProof/>
                <w:sz w:val="18"/>
                <w:szCs w:val="18"/>
              </w:rPr>
              <w:t>8</w:t>
            </w:r>
            <w:r w:rsidRPr="005C4B0C">
              <w:rPr>
                <w:noProof/>
                <w:sz w:val="18"/>
                <w:szCs w:val="18"/>
              </w:rPr>
              <w:t xml:space="preserve">%, Benelux </w:t>
            </w:r>
            <w:r w:rsidR="005C4B0C" w:rsidRPr="005C4B0C">
              <w:rPr>
                <w:noProof/>
                <w:sz w:val="18"/>
                <w:szCs w:val="18"/>
              </w:rPr>
              <w:t>8</w:t>
            </w:r>
            <w:r w:rsidRPr="005C4B0C">
              <w:rPr>
                <w:noProof/>
                <w:sz w:val="18"/>
                <w:szCs w:val="18"/>
              </w:rPr>
              <w:t xml:space="preserve">%, Italy </w:t>
            </w:r>
            <w:r w:rsidR="00EA305D">
              <w:rPr>
                <w:noProof/>
                <w:sz w:val="18"/>
                <w:szCs w:val="18"/>
              </w:rPr>
              <w:t>8</w:t>
            </w:r>
            <w:r w:rsidRPr="005C4B0C">
              <w:rPr>
                <w:noProof/>
                <w:sz w:val="18"/>
                <w:szCs w:val="18"/>
              </w:rPr>
              <w:t xml:space="preserve">%, Asia-Pacific </w:t>
            </w:r>
            <w:r w:rsidR="00EA305D">
              <w:rPr>
                <w:noProof/>
                <w:sz w:val="18"/>
                <w:szCs w:val="18"/>
              </w:rPr>
              <w:t>9</w:t>
            </w:r>
            <w:r w:rsidRPr="005C4B0C">
              <w:rPr>
                <w:noProof/>
                <w:sz w:val="18"/>
                <w:szCs w:val="18"/>
              </w:rPr>
              <w:t xml:space="preserve">%, Germany 8%, Iberia </w:t>
            </w:r>
            <w:r w:rsidR="00EA305D">
              <w:rPr>
                <w:noProof/>
                <w:sz w:val="18"/>
                <w:szCs w:val="18"/>
              </w:rPr>
              <w:t>9</w:t>
            </w:r>
            <w:r w:rsidRPr="005C4B0C">
              <w:rPr>
                <w:noProof/>
                <w:sz w:val="18"/>
                <w:szCs w:val="18"/>
              </w:rPr>
              <w:t xml:space="preserve">%, </w:t>
            </w:r>
            <w:r w:rsidR="000F4198" w:rsidRPr="005C4B0C">
              <w:rPr>
                <w:noProof/>
                <w:sz w:val="18"/>
                <w:szCs w:val="18"/>
              </w:rPr>
              <w:t>o</w:t>
            </w:r>
            <w:r w:rsidRPr="005C4B0C">
              <w:rPr>
                <w:noProof/>
                <w:sz w:val="18"/>
                <w:szCs w:val="18"/>
              </w:rPr>
              <w:t xml:space="preserve">ther EU </w:t>
            </w:r>
            <w:r w:rsidR="00EA305D">
              <w:rPr>
                <w:noProof/>
                <w:sz w:val="18"/>
                <w:szCs w:val="18"/>
              </w:rPr>
              <w:t>6</w:t>
            </w:r>
            <w:r w:rsidRPr="005C4B0C">
              <w:rPr>
                <w:noProof/>
                <w:sz w:val="18"/>
                <w:szCs w:val="18"/>
              </w:rPr>
              <w:t xml:space="preserve">%, </w:t>
            </w:r>
            <w:r w:rsidR="000F4198" w:rsidRPr="005C4B0C">
              <w:rPr>
                <w:noProof/>
                <w:sz w:val="18"/>
                <w:szCs w:val="18"/>
              </w:rPr>
              <w:t>o</w:t>
            </w:r>
            <w:r w:rsidRPr="005C4B0C">
              <w:rPr>
                <w:noProof/>
                <w:sz w:val="18"/>
                <w:szCs w:val="18"/>
              </w:rPr>
              <w:t xml:space="preserve">ther Europe, non-EU </w:t>
            </w:r>
            <w:r w:rsidR="005C4B0C" w:rsidRPr="005C4B0C">
              <w:rPr>
                <w:noProof/>
                <w:sz w:val="18"/>
                <w:szCs w:val="18"/>
              </w:rPr>
              <w:t>3</w:t>
            </w:r>
            <w:r w:rsidRPr="005C4B0C">
              <w:rPr>
                <w:noProof/>
                <w:sz w:val="18"/>
                <w:szCs w:val="18"/>
              </w:rPr>
              <w:t xml:space="preserve">%, Americas </w:t>
            </w:r>
            <w:r w:rsidR="00EA305D">
              <w:rPr>
                <w:noProof/>
                <w:sz w:val="18"/>
                <w:szCs w:val="18"/>
              </w:rPr>
              <w:t>2</w:t>
            </w:r>
            <w:r w:rsidRPr="005C4B0C">
              <w:rPr>
                <w:noProof/>
                <w:sz w:val="18"/>
                <w:szCs w:val="18"/>
              </w:rPr>
              <w:t>%, Middle East and</w:t>
            </w:r>
            <w:r w:rsidRPr="001B3164">
              <w:rPr>
                <w:noProof/>
                <w:sz w:val="18"/>
                <w:szCs w:val="18"/>
              </w:rPr>
              <w:t xml:space="preserve"> Africa </w:t>
            </w:r>
            <w:r w:rsidR="00EA305D">
              <w:rPr>
                <w:noProof/>
                <w:sz w:val="18"/>
                <w:szCs w:val="18"/>
              </w:rPr>
              <w:t>6</w:t>
            </w:r>
            <w:r w:rsidRPr="001B3164">
              <w:rPr>
                <w:noProof/>
                <w:sz w:val="18"/>
                <w:szCs w:val="18"/>
              </w:rPr>
              <w:t>%</w:t>
            </w:r>
          </w:p>
        </w:tc>
        <w:tc>
          <w:tcPr>
            <w:tcW w:w="4678" w:type="dxa"/>
            <w:vMerge/>
          </w:tcPr>
          <w:p w14:paraId="5819ACE2" w14:textId="77777777" w:rsidR="003D7F4D" w:rsidRPr="001B3164" w:rsidRDefault="003D7F4D" w:rsidP="00F63022">
            <w:pPr>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5E91550F" w14:textId="17CEB200" w:rsidR="003D7F4D" w:rsidRPr="001B3164" w:rsidRDefault="00F63022" w:rsidP="005C5ED3">
      <w:pPr>
        <w:rPr>
          <w:b/>
          <w:bCs/>
          <w:noProof/>
          <w:color w:val="034EA2" w:themeColor="accent1"/>
        </w:rPr>
      </w:pPr>
      <w:r>
        <w:rPr>
          <w:b/>
          <w:bCs/>
          <w:noProof/>
          <w:color w:val="034EA2" w:themeColor="accent1"/>
        </w:rPr>
        <w:br w:type="textWrapping" w:clear="all"/>
      </w:r>
    </w:p>
    <w:sectPr w:rsidR="003D7F4D" w:rsidRPr="001B3164" w:rsidSect="00A046A3">
      <w:headerReference w:type="even" r:id="rId50"/>
      <w:headerReference w:type="default" r:id="rId51"/>
      <w:footerReference w:type="even" r:id="rId52"/>
      <w:footerReference w:type="default" r:id="rId53"/>
      <w:headerReference w:type="first" r:id="rId54"/>
      <w:footerReference w:type="first" r:id="rId55"/>
      <w:pgSz w:w="16839" w:h="11907" w:orient="landscape"/>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D5374" w14:textId="77777777" w:rsidR="00276F81" w:rsidRDefault="00276F81" w:rsidP="008B6253">
      <w:pPr>
        <w:spacing w:after="0"/>
      </w:pPr>
      <w:r>
        <w:separator/>
      </w:r>
    </w:p>
  </w:endnote>
  <w:endnote w:type="continuationSeparator" w:id="0">
    <w:p w14:paraId="31046D7F" w14:textId="77777777" w:rsidR="00276F81" w:rsidRDefault="00276F81" w:rsidP="008B6253">
      <w:pPr>
        <w:spacing w:after="0"/>
      </w:pPr>
      <w:r>
        <w:continuationSeparator/>
      </w:r>
    </w:p>
  </w:endnote>
  <w:endnote w:type="continuationNotice" w:id="1">
    <w:p w14:paraId="434B0F93" w14:textId="77777777" w:rsidR="00276F81" w:rsidRDefault="00276F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EF43E" w14:textId="3470B36B" w:rsidR="00D53E02" w:rsidRPr="00D53E02" w:rsidRDefault="00D53E02" w:rsidP="00D53E02">
    <w:pPr>
      <w:pStyle w:val="FooterCoverPage"/>
      <w:rPr>
        <w:rFonts w:ascii="Arial" w:hAnsi="Arial" w:cs="Arial"/>
        <w:b/>
        <w:sz w:val="48"/>
      </w:rPr>
    </w:pPr>
    <w:r w:rsidRPr="00D53E02">
      <w:rPr>
        <w:rFonts w:ascii="Arial" w:hAnsi="Arial" w:cs="Arial"/>
        <w:b/>
        <w:sz w:val="48"/>
      </w:rPr>
      <w:t>EN</w:t>
    </w:r>
    <w:r w:rsidRPr="00D53E02">
      <w:rPr>
        <w:rFonts w:ascii="Arial" w:hAnsi="Arial" w:cs="Arial"/>
        <w:b/>
        <w:sz w:val="48"/>
      </w:rPr>
      <w:tab/>
    </w:r>
    <w:r w:rsidRPr="00D53E02">
      <w:rPr>
        <w:rFonts w:ascii="Arial" w:hAnsi="Arial" w:cs="Arial"/>
        <w:b/>
        <w:sz w:val="48"/>
      </w:rPr>
      <w:tab/>
    </w:r>
    <w:r w:rsidRPr="00D53E02">
      <w:tab/>
    </w:r>
    <w:r w:rsidRPr="00D53E0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FD107" w14:textId="156EC8D8" w:rsidR="00D53E02" w:rsidRPr="00D53E02" w:rsidRDefault="00D53E02" w:rsidP="00D53E02">
    <w:pPr>
      <w:pStyle w:val="FooterCoverPage"/>
      <w:rPr>
        <w:rFonts w:ascii="Arial" w:hAnsi="Arial" w:cs="Arial"/>
        <w:b/>
        <w:sz w:val="48"/>
      </w:rPr>
    </w:pPr>
    <w:r w:rsidRPr="00D53E02">
      <w:rPr>
        <w:rFonts w:ascii="Arial" w:hAnsi="Arial" w:cs="Arial"/>
        <w:b/>
        <w:sz w:val="48"/>
      </w:rPr>
      <w:t>EN</w:t>
    </w:r>
    <w:r w:rsidRPr="00D53E02">
      <w:rPr>
        <w:rFonts w:ascii="Arial" w:hAnsi="Arial" w:cs="Arial"/>
        <w:b/>
        <w:sz w:val="48"/>
      </w:rPr>
      <w:tab/>
    </w:r>
    <w:r w:rsidRPr="00D53E02">
      <w:rPr>
        <w:rFonts w:ascii="Arial" w:hAnsi="Arial" w:cs="Arial"/>
        <w:b/>
        <w:sz w:val="48"/>
      </w:rPr>
      <w:tab/>
    </w:r>
    <w:r w:rsidRPr="00D53E02">
      <w:tab/>
    </w:r>
    <w:r w:rsidRPr="00D53E0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62F9F" w14:textId="77777777" w:rsidR="00D53E02" w:rsidRPr="00D53E02" w:rsidRDefault="00D53E02" w:rsidP="00D53E0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3F6B7" w14:textId="77777777" w:rsidR="001C2621" w:rsidRDefault="001C26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00572" w14:textId="77777777" w:rsidR="001C2621" w:rsidRPr="007352EE" w:rsidRDefault="001C2621" w:rsidP="00BD68A5">
    <w:pPr>
      <w:pStyle w:val="FooterCoverPage"/>
      <w:rPr>
        <w:rFonts w:ascii="Arial" w:hAnsi="Arial" w:cs="Arial"/>
        <w:b/>
        <w:sz w:val="48"/>
      </w:rPr>
    </w:pPr>
    <w:r w:rsidRPr="007352EE">
      <w:rPr>
        <w:rFonts w:ascii="Arial" w:hAnsi="Arial" w:cs="Arial"/>
        <w:b/>
        <w:sz w:val="48"/>
      </w:rPr>
      <w:t>EN</w:t>
    </w:r>
    <w:r w:rsidRPr="007352EE">
      <w:rPr>
        <w:rFonts w:ascii="Arial" w:hAnsi="Arial" w:cs="Arial"/>
        <w:b/>
        <w:sz w:val="48"/>
      </w:rPr>
      <w:tab/>
    </w:r>
    <w:r w:rsidRPr="007352EE">
      <w:rPr>
        <w:rFonts w:ascii="Arial" w:hAnsi="Arial" w:cs="Arial"/>
        <w:b/>
        <w:sz w:val="48"/>
      </w:rPr>
      <w:tab/>
    </w:r>
    <w:r w:rsidRPr="007352EE">
      <w:tab/>
    </w:r>
    <w:r w:rsidRPr="007352EE">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648B6" w14:textId="77777777" w:rsidR="001C2621" w:rsidRDefault="001C26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9EF10" w14:textId="77777777" w:rsidR="001C2621" w:rsidRDefault="001C26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095215"/>
      <w:docPartObj>
        <w:docPartGallery w:val="Page Numbers (Bottom of Page)"/>
        <w:docPartUnique/>
      </w:docPartObj>
    </w:sdtPr>
    <w:sdtEndPr>
      <w:rPr>
        <w:noProof/>
      </w:rPr>
    </w:sdtEndPr>
    <w:sdtContent>
      <w:p w14:paraId="07C6615E" w14:textId="0AEE83A2" w:rsidR="001C2621" w:rsidRDefault="001C2621">
        <w:pPr>
          <w:pStyle w:val="Footer"/>
          <w:jc w:val="right"/>
        </w:pPr>
        <w:r>
          <w:fldChar w:fldCharType="begin"/>
        </w:r>
        <w:r>
          <w:instrText xml:space="preserve"> PAGE   \* MERGEFORMAT </w:instrText>
        </w:r>
        <w:r>
          <w:fldChar w:fldCharType="separate"/>
        </w:r>
        <w:r w:rsidR="00D53E02">
          <w:rPr>
            <w:noProof/>
          </w:rPr>
          <w:t>5</w:t>
        </w:r>
        <w:r>
          <w:rPr>
            <w:noProof/>
          </w:rPr>
          <w:fldChar w:fldCharType="end"/>
        </w:r>
      </w:p>
    </w:sdtContent>
  </w:sdt>
  <w:p w14:paraId="6091F71D" w14:textId="77777777" w:rsidR="001C2621" w:rsidRDefault="001C26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7F1F2" w14:textId="77777777" w:rsidR="001C2621" w:rsidRDefault="001C26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7978C" w14:textId="77777777" w:rsidR="001C2621" w:rsidRDefault="001C26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93D6" w14:textId="77777777" w:rsidR="001C2621" w:rsidRDefault="001C2621">
    <w:pPr>
      <w:pStyle w:val="Footer"/>
      <w:jc w:val="center"/>
      <w:rPr>
        <w:noProof/>
      </w:rPr>
    </w:pPr>
    <w:r>
      <w:fldChar w:fldCharType="begin"/>
    </w:r>
    <w:r>
      <w:instrText xml:space="preserve"> PAGE   \* MERGEFORMAT </w:instrText>
    </w:r>
    <w:r>
      <w:fldChar w:fldCharType="separate"/>
    </w:r>
    <w:r w:rsidR="004A00F6">
      <w:rPr>
        <w:noProof/>
      </w:rPr>
      <w:t>10</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98A3A" w14:textId="77777777" w:rsidR="001C2621" w:rsidRDefault="001C2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02BA3" w14:textId="77777777" w:rsidR="00276F81" w:rsidRDefault="00276F81" w:rsidP="008B6253">
      <w:pPr>
        <w:spacing w:after="0"/>
      </w:pPr>
      <w:r>
        <w:separator/>
      </w:r>
    </w:p>
  </w:footnote>
  <w:footnote w:type="continuationSeparator" w:id="0">
    <w:p w14:paraId="33242611" w14:textId="77777777" w:rsidR="00276F81" w:rsidRDefault="00276F81" w:rsidP="008B6253">
      <w:pPr>
        <w:spacing w:after="0"/>
      </w:pPr>
      <w:r>
        <w:continuationSeparator/>
      </w:r>
    </w:p>
  </w:footnote>
  <w:footnote w:type="continuationNotice" w:id="1">
    <w:p w14:paraId="66E39588" w14:textId="77777777" w:rsidR="00276F81" w:rsidRDefault="00276F81">
      <w:pPr>
        <w:spacing w:after="0"/>
      </w:pPr>
    </w:p>
  </w:footnote>
  <w:footnote w:id="2">
    <w:p w14:paraId="2DBAFE82" w14:textId="2788A26D" w:rsidR="00EA6251" w:rsidRPr="000659B4" w:rsidRDefault="00EA6251" w:rsidP="00EA6251">
      <w:pPr>
        <w:pStyle w:val="FootnoteText"/>
        <w:ind w:left="0" w:firstLine="0"/>
      </w:pPr>
      <w:r>
        <w:rPr>
          <w:rStyle w:val="FootnoteReference"/>
        </w:rPr>
        <w:footnoteRef/>
      </w:r>
      <w:r>
        <w:t xml:space="preserve"> </w:t>
      </w:r>
      <w:r w:rsidR="000A7E3C">
        <w:t>Based on</w:t>
      </w:r>
      <w:r w:rsidRPr="00C633CA">
        <w:t xml:space="preserve"> the </w:t>
      </w:r>
      <w:r>
        <w:t>c</w:t>
      </w:r>
      <w:r w:rsidRPr="00C633CA">
        <w:t xml:space="preserve">ost </w:t>
      </w:r>
      <w:r>
        <w:t>a</w:t>
      </w:r>
      <w:r w:rsidRPr="00C633CA">
        <w:t xml:space="preserve">llocation </w:t>
      </w:r>
      <w:r>
        <w:t>m</w:t>
      </w:r>
      <w:r w:rsidRPr="00C633CA">
        <w:t>ethodology set out in Commission Implementing Decision (EU) 2024/1974.</w:t>
      </w:r>
    </w:p>
  </w:footnote>
  <w:footnote w:id="3">
    <w:p w14:paraId="5D8A9866" w14:textId="1C7E6621" w:rsidR="00F333BA" w:rsidRPr="001A5608" w:rsidRDefault="00F333BA" w:rsidP="00F333BA">
      <w:pPr>
        <w:pStyle w:val="FootnoteText"/>
      </w:pPr>
      <w:r w:rsidRPr="00C12C05">
        <w:rPr>
          <w:rStyle w:val="FootnoteReference"/>
        </w:rPr>
        <w:footnoteRef/>
      </w:r>
      <w:r w:rsidRPr="00C12C05">
        <w:rPr>
          <w:rStyle w:val="FootnoteReference"/>
        </w:rPr>
        <w:t xml:space="preserve"> </w:t>
      </w:r>
      <w:r w:rsidRPr="0091353C">
        <w:t xml:space="preserve">The European </w:t>
      </w:r>
      <w:r w:rsidRPr="001A5608">
        <w:t xml:space="preserve">instrument for temporary </w:t>
      </w:r>
      <w:r w:rsidR="00FE0B70">
        <w:t>s</w:t>
      </w:r>
      <w:r w:rsidRPr="001A5608">
        <w:t xml:space="preserve">upport to </w:t>
      </w:r>
      <w:r w:rsidR="00FE0B70">
        <w:t>m</w:t>
      </w:r>
      <w:r w:rsidRPr="001A5608">
        <w:t xml:space="preserve">itigate </w:t>
      </w:r>
      <w:r w:rsidR="00FE0B70">
        <w:t>u</w:t>
      </w:r>
      <w:r w:rsidRPr="001A5608">
        <w:t xml:space="preserve">nemployment </w:t>
      </w:r>
      <w:r w:rsidR="00FE0B70">
        <w:t>r</w:t>
      </w:r>
      <w:r w:rsidRPr="001A5608">
        <w:t xml:space="preserve">isks in an </w:t>
      </w:r>
      <w:r w:rsidR="00FE0B70">
        <w:t>e</w:t>
      </w:r>
      <w:r w:rsidRPr="001A5608">
        <w:t>mergency (SURE).</w:t>
      </w:r>
    </w:p>
  </w:footnote>
  <w:footnote w:id="4">
    <w:p w14:paraId="29055CB2" w14:textId="3D3F695D" w:rsidR="00F333BA" w:rsidRPr="000659B4" w:rsidRDefault="00F333BA" w:rsidP="00F333BA">
      <w:pPr>
        <w:pStyle w:val="FootnoteText"/>
        <w:ind w:left="0" w:firstLine="0"/>
      </w:pPr>
      <w:r>
        <w:rPr>
          <w:rStyle w:val="FootnoteReference"/>
        </w:rPr>
        <w:footnoteRef/>
      </w:r>
      <w:r>
        <w:t xml:space="preserve"> </w:t>
      </w:r>
      <w:r w:rsidR="00FE0B70">
        <w:t xml:space="preserve">Drawn up under </w:t>
      </w:r>
      <w:r w:rsidRPr="00820BC1">
        <w:t>Article 1</w:t>
      </w:r>
      <w:r w:rsidR="00E21C09">
        <w:t>3</w:t>
      </w:r>
      <w:r w:rsidRPr="00820BC1">
        <w:t xml:space="preserve"> of Commission Implementing Decision C(202</w:t>
      </w:r>
      <w:r w:rsidR="00E21C09">
        <w:t>3</w:t>
      </w:r>
      <w:r w:rsidRPr="00820BC1">
        <w:t>)</w:t>
      </w:r>
      <w:r w:rsidR="00E21C09">
        <w:t>8010</w:t>
      </w:r>
      <w:r w:rsidR="00FE0B70">
        <w:t xml:space="preserve"> on</w:t>
      </w:r>
      <w:r w:rsidRPr="00820BC1">
        <w:t xml:space="preserve"> </w:t>
      </w:r>
      <w:r w:rsidR="00FE0B70">
        <w:t xml:space="preserve">the </w:t>
      </w:r>
      <w:r w:rsidRPr="00820BC1">
        <w:t>arrangements for implementi</w:t>
      </w:r>
      <w:r w:rsidR="003A47A7">
        <w:t>ng</w:t>
      </w:r>
      <w:r w:rsidRPr="00820BC1">
        <w:t xml:space="preserve"> the unified funding approach for borrowing and debt management operations</w:t>
      </w:r>
      <w:r>
        <w:t>.</w:t>
      </w:r>
    </w:p>
  </w:footnote>
  <w:footnote w:id="5">
    <w:p w14:paraId="4DC1D1C2" w14:textId="59A51545" w:rsidR="00F333BA" w:rsidRPr="000659B4" w:rsidRDefault="00F333BA" w:rsidP="00F333BA">
      <w:pPr>
        <w:pStyle w:val="FootnoteText"/>
        <w:ind w:left="0" w:firstLine="0"/>
      </w:pPr>
      <w:r w:rsidRPr="005367E1">
        <w:rPr>
          <w:rStyle w:val="FootnoteReference"/>
        </w:rPr>
        <w:footnoteRef/>
      </w:r>
      <w:r w:rsidRPr="005367E1">
        <w:t xml:space="preserve"> See</w:t>
      </w:r>
      <w:r w:rsidR="005458AE" w:rsidRPr="005367E1">
        <w:t>,</w:t>
      </w:r>
      <w:r w:rsidRPr="005367E1">
        <w:t xml:space="preserve"> for example</w:t>
      </w:r>
      <w:r w:rsidR="005458AE" w:rsidRPr="005367E1">
        <w:t>,</w:t>
      </w:r>
      <w:r w:rsidRPr="005367E1">
        <w:t xml:space="preserve"> the annual reports for </w:t>
      </w:r>
      <w:hyperlink r:id="rId1" w:history="1">
        <w:r w:rsidRPr="005367E1">
          <w:rPr>
            <w:rStyle w:val="Hyperlink"/>
          </w:rPr>
          <w:t>the Recovery and Resilience Facility</w:t>
        </w:r>
      </w:hyperlink>
      <w:r w:rsidRPr="005367E1">
        <w:t xml:space="preserve"> and </w:t>
      </w:r>
      <w:hyperlink r:id="rId2" w:history="1">
        <w:r w:rsidRPr="005367E1">
          <w:rPr>
            <w:rStyle w:val="Hyperlink"/>
          </w:rPr>
          <w:t>Macro-Financial Assistance</w:t>
        </w:r>
      </w:hyperlink>
      <w:r w:rsidRPr="005367E1">
        <w:t xml:space="preserve"> and the </w:t>
      </w:r>
      <w:hyperlink r:id="rId3">
        <w:r w:rsidR="00FE0B70">
          <w:rPr>
            <w:rStyle w:val="Hyperlink"/>
          </w:rPr>
          <w:t>NextGenerationEU Green Bonds Allocation and Impact Report</w:t>
        </w:r>
      </w:hyperlink>
      <w:hyperlink r:id="rId4" w:history="1"/>
      <w:r w:rsidRPr="005367E1">
        <w:t>.</w:t>
      </w:r>
      <w:r>
        <w:t xml:space="preserve">  </w:t>
      </w:r>
    </w:p>
  </w:footnote>
  <w:footnote w:id="6">
    <w:p w14:paraId="1F98E90E" w14:textId="77777777" w:rsidR="00F333BA" w:rsidRPr="000659B4" w:rsidRDefault="00F333BA" w:rsidP="00F333BA">
      <w:pPr>
        <w:pStyle w:val="FootnoteText"/>
      </w:pPr>
      <w:r>
        <w:rPr>
          <w:rStyle w:val="FootnoteReference"/>
        </w:rPr>
        <w:footnoteRef/>
      </w:r>
      <w:r>
        <w:t xml:space="preserve"> </w:t>
      </w:r>
      <w:hyperlink r:id="rId5" w:history="1">
        <w:r>
          <w:rPr>
            <w:rStyle w:val="Hyperlink"/>
          </w:rPr>
          <w:t>Special report 16/2023: NGEU debt management at the Commission</w:t>
        </w:r>
      </w:hyperlink>
      <w:r>
        <w:t xml:space="preserve"> and </w:t>
      </w:r>
      <w:hyperlink r:id="rId6" w:history="1">
        <w:r>
          <w:rPr>
            <w:rStyle w:val="Hyperlink"/>
          </w:rPr>
          <w:t>Replies of the Commission</w:t>
        </w:r>
      </w:hyperlink>
    </w:p>
  </w:footnote>
  <w:footnote w:id="7">
    <w:p w14:paraId="24C6594E" w14:textId="20AD1C35" w:rsidR="00F454FE" w:rsidRPr="00B551F9" w:rsidRDefault="00F454FE" w:rsidP="00F454FE">
      <w:pPr>
        <w:pStyle w:val="FootnoteText"/>
        <w:ind w:left="0" w:firstLine="0"/>
      </w:pPr>
      <w:r>
        <w:rPr>
          <w:rStyle w:val="FootnoteReference"/>
        </w:rPr>
        <w:footnoteRef/>
      </w:r>
      <w:r>
        <w:t xml:space="preserve"> </w:t>
      </w:r>
      <w:r w:rsidR="00975C27">
        <w:t>T</w:t>
      </w:r>
      <w:r>
        <w:t>he</w:t>
      </w:r>
      <w:r w:rsidR="00830430">
        <w:t xml:space="preserve"> overarching</w:t>
      </w:r>
      <w:r w:rsidR="00830430" w:rsidRPr="000123E4">
        <w:t xml:space="preserve"> debt management strategy</w:t>
      </w:r>
      <w:r w:rsidR="00830430">
        <w:t xml:space="preserve"> is described in the</w:t>
      </w:r>
      <w:r w:rsidRPr="0022122E">
        <w:t xml:space="preserve"> </w:t>
      </w:r>
      <w:hyperlink r:id="rId7" w:history="1">
        <w:r w:rsidR="00830430">
          <w:rPr>
            <w:rStyle w:val="Hyperlink"/>
          </w:rPr>
          <w:t>half-yearly report on the execution of the EU borrowing and lending operations from 1 January 2023 to 30 June 2023</w:t>
        </w:r>
      </w:hyperlink>
      <w:r>
        <w:t>.</w:t>
      </w:r>
    </w:p>
  </w:footnote>
  <w:footnote w:id="8">
    <w:p w14:paraId="48316EF0" w14:textId="298140FE" w:rsidR="00F333BA" w:rsidRPr="00B551F9" w:rsidRDefault="00F333BA" w:rsidP="00F333BA">
      <w:pPr>
        <w:pStyle w:val="FootnoteText"/>
        <w:ind w:left="0" w:firstLine="0"/>
      </w:pPr>
      <w:r>
        <w:rPr>
          <w:rStyle w:val="FootnoteReference"/>
        </w:rPr>
        <w:footnoteRef/>
      </w:r>
      <w:r>
        <w:t xml:space="preserve"> </w:t>
      </w:r>
      <w:r w:rsidR="00F454FE" w:rsidRPr="00F454FE">
        <w:t>For all</w:t>
      </w:r>
      <w:r w:rsidR="00830430">
        <w:t xml:space="preserve"> programmes before </w:t>
      </w:r>
      <w:r w:rsidR="00F454FE" w:rsidRPr="00F454FE">
        <w:t xml:space="preserve">NextGenerationEU the Commission used a back-to-back funding approach, issuing bonds and transferring the proceeds directly to beneficiary countries on the same terms </w:t>
      </w:r>
      <w:r w:rsidR="00830430" w:rsidRPr="00F454FE">
        <w:t xml:space="preserve">it received </w:t>
      </w:r>
      <w:r w:rsidR="00F454FE" w:rsidRPr="00F454FE">
        <w:t>(</w:t>
      </w:r>
      <w:r w:rsidR="00830430">
        <w:t>so the same</w:t>
      </w:r>
      <w:r w:rsidR="00F454FE" w:rsidRPr="00F454FE">
        <w:t xml:space="preserve"> interest rate and maturity). When the Commission set up NextGenerationEU in 2021, </w:t>
      </w:r>
      <w:r w:rsidR="00F33050">
        <w:t xml:space="preserve">the Commission adopted </w:t>
      </w:r>
      <w:r w:rsidR="00F454FE" w:rsidRPr="00F454FE">
        <w:t xml:space="preserve">a diversified funding strategy of the type </w:t>
      </w:r>
      <w:r w:rsidR="00F33050">
        <w:t>us</w:t>
      </w:r>
      <w:r w:rsidR="00F454FE" w:rsidRPr="00F454FE">
        <w:t xml:space="preserve">ed by the largest euro-area sovereign issuers, using different funding instruments (EU-Bonds and EU-Bills) and funding techniques (syndications and auctions) </w:t>
      </w:r>
      <w:r w:rsidR="00F33050">
        <w:t>for</w:t>
      </w:r>
      <w:r w:rsidR="00F454FE" w:rsidRPr="00F454FE">
        <w:t xml:space="preserve"> long-term and short-term funding needs. In December 2022, </w:t>
      </w:r>
      <w:r w:rsidR="00E171B9">
        <w:t xml:space="preserve">the </w:t>
      </w:r>
      <w:r w:rsidR="00F454FE" w:rsidRPr="00F454FE">
        <w:t xml:space="preserve">Parliament and </w:t>
      </w:r>
      <w:r w:rsidR="00F33050">
        <w:t xml:space="preserve">the </w:t>
      </w:r>
      <w:r w:rsidR="00F454FE" w:rsidRPr="00F454FE">
        <w:t>Council amended Article 220a of the Financial Regulation to allow the Commission to</w:t>
      </w:r>
      <w:r w:rsidR="00F33050">
        <w:t xml:space="preserve"> extend</w:t>
      </w:r>
      <w:r w:rsidR="00F454FE" w:rsidRPr="00F454FE">
        <w:t xml:space="preserve"> </w:t>
      </w:r>
      <w:r w:rsidR="00F33050">
        <w:t>its</w:t>
      </w:r>
      <w:r w:rsidR="00F454FE" w:rsidRPr="00F454FE">
        <w:t xml:space="preserve"> diversified funding strategy to other EU borrowing programmes, creating a unified funding approach for all EU borrowing and lending programmes</w:t>
      </w:r>
      <w:r w:rsidR="00DB0562">
        <w:t xml:space="preserve"> under which the EU issues</w:t>
      </w:r>
      <w:r w:rsidR="00DB0562" w:rsidRPr="00A9084E">
        <w:t xml:space="preserve"> single</w:t>
      </w:r>
      <w:r w:rsidR="00DB0562">
        <w:t>-branded ‘EU-Bonds’</w:t>
      </w:r>
      <w:r w:rsidR="00DB0562" w:rsidRPr="00A9084E">
        <w:t>, rather than separately denominated bonds for individual programmes such as NextGenerationEU, SURE</w:t>
      </w:r>
      <w:r w:rsidR="00DB0562">
        <w:t xml:space="preserve"> and</w:t>
      </w:r>
      <w:r w:rsidR="00DB0562" w:rsidRPr="00A9084E">
        <w:t xml:space="preserve"> MFA</w:t>
      </w:r>
      <w:r>
        <w:t>.</w:t>
      </w:r>
    </w:p>
  </w:footnote>
  <w:footnote w:id="9">
    <w:p w14:paraId="08E23A61" w14:textId="6BB2F06A" w:rsidR="00DB0562" w:rsidRPr="000659B4" w:rsidRDefault="00DB0562" w:rsidP="00DB0562">
      <w:pPr>
        <w:pStyle w:val="FootnoteText"/>
        <w:ind w:left="0" w:firstLine="0"/>
      </w:pPr>
      <w:r>
        <w:rPr>
          <w:rStyle w:val="FootnoteReference"/>
        </w:rPr>
        <w:footnoteRef/>
      </w:r>
      <w:r>
        <w:t xml:space="preserve"> </w:t>
      </w:r>
      <w:r w:rsidRPr="00281088">
        <w:t>In line with previous semesters</w:t>
      </w:r>
      <w:r w:rsidR="00975C27">
        <w:t>,</w:t>
      </w:r>
      <w:r w:rsidRPr="00281088">
        <w:t xml:space="preserve"> the difference</w:t>
      </w:r>
      <w:r w:rsidR="00975C27">
        <w:t xml:space="preserve"> compared</w:t>
      </w:r>
      <w:r w:rsidRPr="00281088">
        <w:t xml:space="preserve"> to the funding plan target (EUR </w:t>
      </w:r>
      <w:r w:rsidR="005455B5">
        <w:t>7</w:t>
      </w:r>
      <w:r w:rsidRPr="00281088">
        <w:t>0 b</w:t>
      </w:r>
      <w:r>
        <w:t>illio</w:t>
      </w:r>
      <w:r w:rsidRPr="00281088">
        <w:t>n in H</w:t>
      </w:r>
      <w:r w:rsidR="005455B5">
        <w:t>2</w:t>
      </w:r>
      <w:r w:rsidRPr="00281088">
        <w:t xml:space="preserve"> 2025) </w:t>
      </w:r>
      <w:r w:rsidR="00F33050">
        <w:t xml:space="preserve">is due to </w:t>
      </w:r>
      <w:r>
        <w:t>the Commission</w:t>
      </w:r>
      <w:r w:rsidR="00306877">
        <w:t>’s</w:t>
      </w:r>
      <w:r>
        <w:t xml:space="preserve"> </w:t>
      </w:r>
      <w:r w:rsidRPr="00281088">
        <w:t>under</w:t>
      </w:r>
      <w:r w:rsidR="00F33050">
        <w:t>-</w:t>
      </w:r>
      <w:r w:rsidRPr="00281088">
        <w:t>allocati</w:t>
      </w:r>
      <w:r w:rsidR="00306877">
        <w:t>on</w:t>
      </w:r>
      <w:r w:rsidRPr="00281088">
        <w:t xml:space="preserve"> in the final amounts raised through </w:t>
      </w:r>
      <w:r>
        <w:t>b</w:t>
      </w:r>
      <w:r w:rsidRPr="00281088">
        <w:t xml:space="preserve">ond auctions </w:t>
      </w:r>
      <w:r>
        <w:t xml:space="preserve">in order to </w:t>
      </w:r>
      <w:r w:rsidRPr="00281088">
        <w:t>secur</w:t>
      </w:r>
      <w:r>
        <w:t>e</w:t>
      </w:r>
      <w:r w:rsidRPr="00281088">
        <w:t xml:space="preserve"> the most attractive financing conditions </w:t>
      </w:r>
      <w:r w:rsidR="00F33050">
        <w:t>for</w:t>
      </w:r>
      <w:r w:rsidRPr="00281088">
        <w:t xml:space="preserve"> these transactions</w:t>
      </w:r>
      <w:r>
        <w:t xml:space="preserve"> given</w:t>
      </w:r>
      <w:r w:rsidRPr="00281088">
        <w:t xml:space="preserve"> </w:t>
      </w:r>
      <w:r w:rsidR="00F33050">
        <w:t xml:space="preserve">the </w:t>
      </w:r>
      <w:r w:rsidRPr="00281088">
        <w:t>prevailing bidding</w:t>
      </w:r>
      <w:r>
        <w:t>.</w:t>
      </w:r>
    </w:p>
  </w:footnote>
  <w:footnote w:id="10">
    <w:p w14:paraId="7C4D8CC2" w14:textId="77777777" w:rsidR="005C414E" w:rsidRPr="00877CA0" w:rsidRDefault="005C414E" w:rsidP="005C414E">
      <w:pPr>
        <w:pStyle w:val="FootnoteText"/>
        <w:ind w:left="113" w:hanging="113"/>
        <w:rPr>
          <w:lang w:val="en-IE"/>
        </w:rPr>
      </w:pPr>
      <w:r w:rsidRPr="006B472A">
        <w:rPr>
          <w:rStyle w:val="FootnoteReference"/>
        </w:rPr>
        <w:footnoteRef/>
      </w:r>
      <w:r w:rsidRPr="006B472A">
        <w:t xml:space="preserve"> </w:t>
      </w:r>
      <w:r>
        <w:t xml:space="preserve">These include </w:t>
      </w:r>
      <w:r w:rsidR="004A0BA9">
        <w:t xml:space="preserve">the </w:t>
      </w:r>
      <w:r w:rsidR="003A42A4" w:rsidRPr="003A42A4">
        <w:t>Strategic Technologies for Europe Platform (STEP)</w:t>
      </w:r>
      <w:r w:rsidR="003A42A4">
        <w:t xml:space="preserve">, </w:t>
      </w:r>
      <w:r w:rsidRPr="009536A9">
        <w:t xml:space="preserve">Horizon Europe, the InvestEU Fund, ReactEU, the EU Civil Protection </w:t>
      </w:r>
      <w:r w:rsidRPr="0002402F">
        <w:t xml:space="preserve">Mechanism (RescEU), the European Agricultural Fund for Rural </w:t>
      </w:r>
      <w:r w:rsidRPr="00877CA0">
        <w:t>Development (EAFRD), and the Just Transition Fund.</w:t>
      </w:r>
    </w:p>
  </w:footnote>
  <w:footnote w:id="11">
    <w:p w14:paraId="461DFC51" w14:textId="7CFC615B" w:rsidR="005C414E" w:rsidRPr="00C44E47" w:rsidRDefault="005C414E" w:rsidP="005C414E">
      <w:pPr>
        <w:pStyle w:val="FootnoteText"/>
        <w:ind w:left="113" w:hanging="113"/>
        <w:rPr>
          <w:lang w:val="en-IE"/>
        </w:rPr>
      </w:pPr>
      <w:r w:rsidRPr="00877CA0">
        <w:rPr>
          <w:rStyle w:val="FootnoteReference"/>
        </w:rPr>
        <w:footnoteRef/>
      </w:r>
      <w:r w:rsidRPr="00877CA0">
        <w:t xml:space="preserve"> </w:t>
      </w:r>
      <w:bookmarkStart w:id="42" w:name="_Hlk201307211"/>
      <w:bookmarkStart w:id="43" w:name="_Hlk219531684"/>
      <w:r w:rsidR="00E9612B">
        <w:t>S</w:t>
      </w:r>
      <w:r w:rsidR="002226E4" w:rsidRPr="001B3164">
        <w:t xml:space="preserve">ince </w:t>
      </w:r>
      <w:r w:rsidR="00E9612B">
        <w:t>mid-</w:t>
      </w:r>
      <w:r w:rsidR="002226E4" w:rsidRPr="001B3164">
        <w:t xml:space="preserve">2021, the Commission has disbursed EUR </w:t>
      </w:r>
      <w:r w:rsidR="002226E4">
        <w:t>46</w:t>
      </w:r>
      <w:r w:rsidR="002226E4" w:rsidRPr="001B3164">
        <w:t>9</w:t>
      </w:r>
      <w:r w:rsidR="002226E4">
        <w:t>.3</w:t>
      </w:r>
      <w:r w:rsidR="002226E4" w:rsidRPr="001B3164">
        <w:t xml:space="preserve"> billion to support NextGenerationEU. This comprises, EUR </w:t>
      </w:r>
      <w:r w:rsidR="002226E4">
        <w:t>237.5</w:t>
      </w:r>
      <w:r w:rsidR="002226E4" w:rsidRPr="001B3164">
        <w:t xml:space="preserve"> billion in grants and EUR 1</w:t>
      </w:r>
      <w:r w:rsidR="002226E4">
        <w:t>55</w:t>
      </w:r>
      <w:r w:rsidR="002226E4" w:rsidRPr="001B3164">
        <w:t>.</w:t>
      </w:r>
      <w:r w:rsidR="002226E4">
        <w:t>9</w:t>
      </w:r>
      <w:r w:rsidR="002226E4" w:rsidRPr="001B3164">
        <w:t xml:space="preserve"> billion in loans to Member States under the RRF, and EUR 7</w:t>
      </w:r>
      <w:r w:rsidR="002226E4">
        <w:t>5</w:t>
      </w:r>
      <w:r w:rsidR="002226E4" w:rsidRPr="001B3164">
        <w:t>.</w:t>
      </w:r>
      <w:r w:rsidR="002226E4">
        <w:t>8</w:t>
      </w:r>
      <w:r w:rsidR="002226E4" w:rsidRPr="001B3164">
        <w:t xml:space="preserve"> billion for EU-managed </w:t>
      </w:r>
      <w:r w:rsidR="002226E4" w:rsidRPr="001B3164">
        <w:rPr>
          <w:iCs/>
        </w:rPr>
        <w:t>NextGenerationEU</w:t>
      </w:r>
      <w:r w:rsidR="002226E4" w:rsidRPr="001B3164">
        <w:t xml:space="preserve"> programmes. Of the total EUR </w:t>
      </w:r>
      <w:r w:rsidR="002226E4">
        <w:t>469.3</w:t>
      </w:r>
      <w:r w:rsidR="002226E4" w:rsidRPr="001B3164">
        <w:t xml:space="preserve"> billion in support for </w:t>
      </w:r>
      <w:r w:rsidR="002226E4" w:rsidRPr="001B3164">
        <w:rPr>
          <w:iCs/>
        </w:rPr>
        <w:t>NextGenerationEU</w:t>
      </w:r>
      <w:r w:rsidR="002226E4" w:rsidRPr="001B3164">
        <w:t xml:space="preserve">, EUR </w:t>
      </w:r>
      <w:r w:rsidR="002226E4">
        <w:t>452.8</w:t>
      </w:r>
      <w:r w:rsidR="002226E4" w:rsidRPr="001B3164">
        <w:t xml:space="preserve"> billion </w:t>
      </w:r>
      <w:r w:rsidR="00E9612B">
        <w:t>was</w:t>
      </w:r>
      <w:r w:rsidR="002226E4" w:rsidRPr="001B3164">
        <w:t xml:space="preserve"> financed by issuing deb</w:t>
      </w:r>
      <w:bookmarkEnd w:id="42"/>
      <w:r w:rsidR="002226E4" w:rsidRPr="001B3164">
        <w:t>t</w:t>
      </w:r>
      <w:r w:rsidR="002226E4">
        <w:t xml:space="preserve">. </w:t>
      </w:r>
      <w:r w:rsidRPr="00877CA0">
        <w:t xml:space="preserve">An </w:t>
      </w:r>
      <w:r w:rsidRPr="000E304A">
        <w:t xml:space="preserve">additional </w:t>
      </w:r>
      <w:r w:rsidR="0073033C" w:rsidRPr="000E304A">
        <w:t xml:space="preserve">EUR </w:t>
      </w:r>
      <w:r w:rsidR="00E70165" w:rsidRPr="000E304A">
        <w:t>1</w:t>
      </w:r>
      <w:r w:rsidR="00AD53EB" w:rsidRPr="000E304A">
        <w:t>6</w:t>
      </w:r>
      <w:r w:rsidR="0073033C" w:rsidRPr="000E304A">
        <w:t>.</w:t>
      </w:r>
      <w:r w:rsidR="00571A62" w:rsidRPr="000E304A">
        <w:t>4</w:t>
      </w:r>
      <w:r w:rsidR="0073033C" w:rsidRPr="000E304A">
        <w:t xml:space="preserve"> billion in</w:t>
      </w:r>
      <w:r w:rsidRPr="000E304A">
        <w:t xml:space="preserve"> </w:t>
      </w:r>
      <w:r w:rsidR="007D3FC3" w:rsidRPr="000E304A">
        <w:t>NextGenerationEU</w:t>
      </w:r>
      <w:r w:rsidRPr="000E304A">
        <w:t xml:space="preserve"> expenditures</w:t>
      </w:r>
      <w:r w:rsidR="0073033C" w:rsidRPr="000E304A">
        <w:t xml:space="preserve"> </w:t>
      </w:r>
      <w:r w:rsidR="006C5F19" w:rsidRPr="000E304A">
        <w:t>was</w:t>
      </w:r>
      <w:r w:rsidRPr="000E304A">
        <w:t xml:space="preserve"> financed </w:t>
      </w:r>
      <w:r w:rsidR="00E9612B">
        <w:t>from</w:t>
      </w:r>
      <w:r w:rsidRPr="000E304A">
        <w:t xml:space="preserve"> other sources (</w:t>
      </w:r>
      <w:r w:rsidR="005E3734" w:rsidRPr="005E3734">
        <w:t>i.e. the Emission Trading Scheme (ETS) and the Brexit adjustment reserve (BAR)</w:t>
      </w:r>
      <w:r w:rsidRPr="000E304A">
        <w:t>).</w:t>
      </w:r>
      <w:bookmarkEnd w:id="43"/>
    </w:p>
  </w:footnote>
  <w:footnote w:id="12">
    <w:p w14:paraId="5C6F9176" w14:textId="279E48E6" w:rsidR="001C2621" w:rsidRPr="006839E6" w:rsidRDefault="001C2621" w:rsidP="006839E6">
      <w:pPr>
        <w:pStyle w:val="FootnoteText"/>
        <w:ind w:left="113" w:hanging="113"/>
        <w:rPr>
          <w:lang w:val="en-US"/>
        </w:rPr>
      </w:pPr>
      <w:r w:rsidRPr="00C44E47">
        <w:rPr>
          <w:rStyle w:val="FootnoteReference"/>
        </w:rPr>
        <w:footnoteRef/>
      </w:r>
      <w:r>
        <w:t xml:space="preserve"> </w:t>
      </w:r>
      <w:r w:rsidRPr="00C44E47">
        <w:t>Th</w:t>
      </w:r>
      <w:r w:rsidR="00A00A42">
        <w:t xml:space="preserve">e </w:t>
      </w:r>
      <w:r w:rsidRPr="002835C6">
        <w:rPr>
          <w:lang w:val="en-US"/>
        </w:rPr>
        <w:t xml:space="preserve">NIP is a premium that the issuer pays in order to persuade investors to buy its bonds in the primary market rather than in the secondary market. </w:t>
      </w:r>
    </w:p>
  </w:footnote>
  <w:footnote w:id="13">
    <w:p w14:paraId="3F2C43CB" w14:textId="3A6A20BF" w:rsidR="009E499F" w:rsidRPr="00C83356" w:rsidRDefault="009E499F" w:rsidP="009E499F">
      <w:pPr>
        <w:pStyle w:val="FootnoteText"/>
        <w:ind w:left="113" w:hanging="113"/>
      </w:pPr>
      <w:r>
        <w:rPr>
          <w:rStyle w:val="FootnoteReference"/>
        </w:rPr>
        <w:footnoteRef/>
      </w:r>
      <w:r w:rsidRPr="00D3721F">
        <w:rPr>
          <w:rStyle w:val="FootnoteReference"/>
        </w:rPr>
        <w:t xml:space="preserve"> </w:t>
      </w:r>
      <w:r w:rsidR="00226F31">
        <w:t>Under</w:t>
      </w:r>
      <w:r>
        <w:t xml:space="preserve"> NextGenerationEU,</w:t>
      </w:r>
      <w:r w:rsidRPr="00D3721F">
        <w:t xml:space="preserve"> interest costs incurred are allocated to the </w:t>
      </w:r>
      <w:r w:rsidR="00FF6691">
        <w:t xml:space="preserve">EU </w:t>
      </w:r>
      <w:r w:rsidRPr="00D3721F">
        <w:t xml:space="preserve">budget and </w:t>
      </w:r>
      <w:r w:rsidR="00A4264F">
        <w:t xml:space="preserve">to </w:t>
      </w:r>
      <w:r w:rsidRPr="00D3721F">
        <w:t xml:space="preserve">the Member States </w:t>
      </w:r>
      <w:r>
        <w:t>receiving</w:t>
      </w:r>
      <w:r w:rsidRPr="00D3721F">
        <w:t xml:space="preserve"> loans in accordance with the methodology set out in Commission Implementing Decision (EU) 2021/1095</w:t>
      </w:r>
      <w:r>
        <w:t xml:space="preserve"> and its successor Commission Implementing Decision</w:t>
      </w:r>
      <w:r w:rsidR="00226F31">
        <w:t>s</w:t>
      </w:r>
      <w:r>
        <w:t xml:space="preserve"> (EU) 2022/9701 and </w:t>
      </w:r>
      <w:r w:rsidRPr="00727197">
        <w:t>(EU) 2024/1974</w:t>
      </w:r>
      <w:r>
        <w:t>.</w:t>
      </w:r>
      <w:r w:rsidRPr="00D3721F">
        <w:t xml:space="preserve"> This methodology distinguishes</w:t>
      </w:r>
      <w:r>
        <w:t xml:space="preserve"> between</w:t>
      </w:r>
      <w:r w:rsidRPr="00D3721F">
        <w:t xml:space="preserve"> three different cost categories: (i) </w:t>
      </w:r>
      <w:r w:rsidR="00A65BCF">
        <w:t xml:space="preserve">the </w:t>
      </w:r>
      <w:r w:rsidRPr="00D3721F">
        <w:t xml:space="preserve">cost of funding to finance </w:t>
      </w:r>
      <w:r w:rsidRPr="00CD50EA">
        <w:t>non-reimbursable support</w:t>
      </w:r>
      <w:r w:rsidRPr="00D3721F">
        <w:t xml:space="preserve"> and loan disbursements calculated for </w:t>
      </w:r>
      <w:r w:rsidR="00A65BCF">
        <w:t>six</w:t>
      </w:r>
      <w:r w:rsidRPr="00D3721F">
        <w:t xml:space="preserve">-month time compartments, (ii) </w:t>
      </w:r>
      <w:r w:rsidR="002C0014">
        <w:t xml:space="preserve">the </w:t>
      </w:r>
      <w:r w:rsidRPr="00D3721F">
        <w:t>cost of holding and managing liquidity, and (iii) administrative costs.</w:t>
      </w:r>
      <w:r>
        <w:t xml:space="preserve"> Compartmentalisation per programme has b</w:t>
      </w:r>
      <w:r w:rsidR="002C0014">
        <w:t>een</w:t>
      </w:r>
      <w:r>
        <w:t xml:space="preserve"> possible </w:t>
      </w:r>
      <w:r w:rsidR="002C0014">
        <w:t>since</w:t>
      </w:r>
      <w:r>
        <w:t xml:space="preserve"> Commission Implementing Decision (EU, Euratom) 2024/1974 </w:t>
      </w:r>
      <w:r w:rsidR="009A73C3">
        <w:t xml:space="preserve">entered into force </w:t>
      </w:r>
      <w:r>
        <w:t xml:space="preserve">in the second </w:t>
      </w:r>
      <w:r w:rsidR="009A73C3">
        <w:t>half</w:t>
      </w:r>
      <w:r>
        <w:t xml:space="preserve"> of 2024. </w:t>
      </w:r>
      <w:r w:rsidR="00F162A8">
        <w:t>T</w:t>
      </w:r>
      <w:r>
        <w:t xml:space="preserve">o avoid any retroactive effect, programmes that </w:t>
      </w:r>
      <w:r w:rsidR="00F162A8">
        <w:t>were</w:t>
      </w:r>
      <w:r>
        <w:t xml:space="preserve"> funded and disbursed </w:t>
      </w:r>
      <w:r w:rsidR="00A4264F">
        <w:t>before</w:t>
      </w:r>
      <w:r w:rsidR="00F162A8">
        <w:t xml:space="preserve"> this methodology</w:t>
      </w:r>
      <w:r w:rsidR="00A4264F">
        <w:t xml:space="preserve"> was implemented</w:t>
      </w:r>
      <w:r w:rsidR="00F162A8">
        <w:t xml:space="preserve"> (</w:t>
      </w:r>
      <w:r>
        <w:t xml:space="preserve">such as MFA+ loans to Ukraine and exceptional bridge-financing under the Ukraine </w:t>
      </w:r>
      <w:r w:rsidR="00E16EEC">
        <w:t>F</w:t>
      </w:r>
      <w:r>
        <w:t>acility</w:t>
      </w:r>
      <w:r w:rsidR="000113D6">
        <w:t>)</w:t>
      </w:r>
      <w:r>
        <w:t xml:space="preserve"> remain pooled with </w:t>
      </w:r>
      <w:r w:rsidR="007D3FC3" w:rsidRPr="007D3FC3">
        <w:t>NextGenerationEU</w:t>
      </w:r>
      <w:r>
        <w:t xml:space="preserve"> borrowing and lending operations under the unified funding approach.</w:t>
      </w:r>
    </w:p>
  </w:footnote>
  <w:footnote w:id="14">
    <w:p w14:paraId="20319A1D" w14:textId="7B775287" w:rsidR="00711BBE" w:rsidRPr="00C83356" w:rsidRDefault="00711BBE" w:rsidP="00711BBE">
      <w:pPr>
        <w:pStyle w:val="FootnoteText"/>
        <w:ind w:left="113" w:hanging="113"/>
      </w:pPr>
      <w:r>
        <w:rPr>
          <w:rStyle w:val="FootnoteReference"/>
        </w:rPr>
        <w:footnoteRef/>
      </w:r>
      <w:r w:rsidRPr="00D3721F">
        <w:rPr>
          <w:rStyle w:val="FootnoteReference"/>
        </w:rPr>
        <w:t xml:space="preserve"> </w:t>
      </w:r>
      <w:r>
        <w:t xml:space="preserve">For instance, </w:t>
      </w:r>
      <w:r w:rsidRPr="0065253B">
        <w:t>N</w:t>
      </w:r>
      <w:r>
        <w:t>ext</w:t>
      </w:r>
      <w:r w:rsidRPr="0065253B">
        <w:t>G</w:t>
      </w:r>
      <w:r>
        <w:t>eneration</w:t>
      </w:r>
      <w:r w:rsidRPr="0065253B">
        <w:t xml:space="preserve">EU </w:t>
      </w:r>
      <w:r w:rsidR="006432FB">
        <w:t xml:space="preserve">currently </w:t>
      </w:r>
      <w:r>
        <w:t xml:space="preserve">has a longer average maturity of funding </w:t>
      </w:r>
      <w:r w:rsidR="00226F31">
        <w:t>than</w:t>
      </w:r>
      <w:r>
        <w:t xml:space="preserve"> other programmes</w:t>
      </w:r>
      <w:r w:rsidR="006432FB">
        <w:t>,</w:t>
      </w:r>
      <w:r w:rsidRPr="0065253B">
        <w:t xml:space="preserve"> </w:t>
      </w:r>
      <w:r>
        <w:t xml:space="preserve">due to the structure of the </w:t>
      </w:r>
      <w:r w:rsidR="00226F31">
        <w:t>specific</w:t>
      </w:r>
      <w:r>
        <w:t xml:space="preserve"> temporary ‘own resources’ ceiling </w:t>
      </w:r>
      <w:r w:rsidR="006432FB">
        <w:t xml:space="preserve">that </w:t>
      </w:r>
      <w:r>
        <w:t>cover</w:t>
      </w:r>
      <w:r w:rsidR="006432FB">
        <w:t>s</w:t>
      </w:r>
      <w:r>
        <w:t xml:space="preserve"> </w:t>
      </w:r>
      <w:r w:rsidR="007D3FC3" w:rsidRPr="007D3FC3">
        <w:t>NextGenerationEU</w:t>
      </w:r>
      <w:r>
        <w:t>’s</w:t>
      </w:r>
      <w:r w:rsidRPr="0065253B">
        <w:t xml:space="preserve"> repayment profile</w:t>
      </w:r>
      <w:r>
        <w:t>.</w:t>
      </w:r>
      <w:r w:rsidR="00117C59">
        <w:t xml:space="preserve"> </w:t>
      </w:r>
      <w:r w:rsidR="00226F31">
        <w:t xml:space="preserve">Bonds issued to finance </w:t>
      </w:r>
      <w:r w:rsidR="00226F31" w:rsidRPr="007D3FC3">
        <w:t>NextGenerationEU</w:t>
      </w:r>
      <w:r w:rsidR="00226F31">
        <w:t xml:space="preserve"> grants typically have a longer maturity </w:t>
      </w:r>
      <w:r w:rsidR="00117C59">
        <w:t xml:space="preserve">to allow </w:t>
      </w:r>
      <w:r w:rsidR="00226F31">
        <w:t xml:space="preserve">the </w:t>
      </w:r>
      <w:r w:rsidR="00117C59">
        <w:t xml:space="preserve">budgetary assets </w:t>
      </w:r>
      <w:r w:rsidR="006432FB">
        <w:t>that</w:t>
      </w:r>
      <w:r w:rsidR="00117C59">
        <w:t xml:space="preserve"> will be used to repay </w:t>
      </w:r>
      <w:r w:rsidR="007D3FC3" w:rsidRPr="007D3FC3">
        <w:t>NextGenerationEU</w:t>
      </w:r>
      <w:r w:rsidR="00117C59">
        <w:t xml:space="preserve"> grants to be spread </w:t>
      </w:r>
      <w:r w:rsidR="00226F31">
        <w:t xml:space="preserve">out </w:t>
      </w:r>
      <w:r w:rsidR="00117C59">
        <w:t>over time.</w:t>
      </w:r>
    </w:p>
  </w:footnote>
  <w:footnote w:id="15">
    <w:p w14:paraId="29F21C6F" w14:textId="74554810" w:rsidR="00711BBE" w:rsidRPr="00C83356" w:rsidRDefault="00711BBE" w:rsidP="00711BBE">
      <w:pPr>
        <w:pStyle w:val="FootnoteText"/>
        <w:ind w:left="113" w:hanging="113"/>
      </w:pPr>
      <w:r>
        <w:rPr>
          <w:rStyle w:val="FootnoteReference"/>
        </w:rPr>
        <w:footnoteRef/>
      </w:r>
      <w:r w:rsidRPr="00D3721F">
        <w:rPr>
          <w:rStyle w:val="FootnoteReference"/>
        </w:rPr>
        <w:t xml:space="preserve"> </w:t>
      </w:r>
      <w:bookmarkStart w:id="89" w:name="_Hlk207365722"/>
      <w:r w:rsidR="00FB5B3D">
        <w:t xml:space="preserve">Some </w:t>
      </w:r>
      <w:r w:rsidR="005C3675" w:rsidRPr="005C3675">
        <w:t>short-term investment</w:t>
      </w:r>
      <w:r w:rsidR="00FB5B3D">
        <w:t>s will</w:t>
      </w:r>
      <w:r w:rsidR="005C3675" w:rsidRPr="005C3675">
        <w:t xml:space="preserve"> matur</w:t>
      </w:r>
      <w:r w:rsidR="00FB5B3D">
        <w:t>e</w:t>
      </w:r>
      <w:r w:rsidR="005C3675" w:rsidRPr="005C3675">
        <w:t xml:space="preserve"> in H1 2026. </w:t>
      </w:r>
      <w:r w:rsidR="00FB5B3D">
        <w:t>In line</w:t>
      </w:r>
      <w:r w:rsidR="005C3675" w:rsidRPr="005C3675">
        <w:t xml:space="preserve"> with </w:t>
      </w:r>
      <w:r w:rsidR="00FB5B3D">
        <w:t xml:space="preserve">the relevant </w:t>
      </w:r>
      <w:r w:rsidR="005C3675" w:rsidRPr="005C3675">
        <w:t>standards, the</w:t>
      </w:r>
      <w:r w:rsidR="00FB5B3D">
        <w:t xml:space="preserve"> amount of approximately </w:t>
      </w:r>
      <w:r w:rsidR="005C3675" w:rsidRPr="005C3675">
        <w:t xml:space="preserve">EUR 295 million </w:t>
      </w:r>
      <w:r w:rsidR="00FB5B3D">
        <w:t>does not take</w:t>
      </w:r>
      <w:r w:rsidR="005C3675" w:rsidRPr="005C3675">
        <w:t xml:space="preserve"> into </w:t>
      </w:r>
      <w:r w:rsidR="00FB5B3D">
        <w:t>account any</w:t>
      </w:r>
      <w:r w:rsidR="005C3675" w:rsidRPr="005C3675">
        <w:t xml:space="preserve"> </w:t>
      </w:r>
      <w:r w:rsidR="00FB5B3D">
        <w:t>proceeds</w:t>
      </w:r>
      <w:r w:rsidR="005C3675">
        <w:t xml:space="preserve"> </w:t>
      </w:r>
      <w:r w:rsidR="005C3675" w:rsidRPr="005C3675">
        <w:t>on these holdings but</w:t>
      </w:r>
      <w:r w:rsidR="005C3675">
        <w:t xml:space="preserve"> </w:t>
      </w:r>
      <w:r w:rsidR="009040C4">
        <w:t xml:space="preserve">does </w:t>
      </w:r>
      <w:r w:rsidR="005C3675">
        <w:t xml:space="preserve">include earnings invested in H1 2025 </w:t>
      </w:r>
      <w:r w:rsidR="00FB5B3D">
        <w:t>which</w:t>
      </w:r>
      <w:r w:rsidR="005C3675">
        <w:t xml:space="preserve"> matured in H2 2025</w:t>
      </w:r>
      <w:r w:rsidR="005C3675" w:rsidRPr="005C3675">
        <w:t xml:space="preserve">. On an accrual basis, the net liquidity management cost for H2 2025 </w:t>
      </w:r>
      <w:r w:rsidR="00FB5B3D">
        <w:t>is estimated to be</w:t>
      </w:r>
      <w:r w:rsidR="005C3675" w:rsidRPr="005C3675">
        <w:t xml:space="preserve"> approximately EUR 385 million</w:t>
      </w:r>
      <w:r w:rsidRPr="005C3675">
        <w:t>.</w:t>
      </w:r>
      <w:bookmarkEnd w:id="89"/>
    </w:p>
  </w:footnote>
  <w:footnote w:id="16">
    <w:p w14:paraId="2ACA4746" w14:textId="6830C534" w:rsidR="00991E57" w:rsidRPr="00FB5B3D" w:rsidRDefault="00991E57" w:rsidP="00FB5B3D">
      <w:pPr>
        <w:pStyle w:val="FootnoteText"/>
      </w:pPr>
      <w:r>
        <w:rPr>
          <w:rStyle w:val="FootnoteReference"/>
        </w:rPr>
        <w:footnoteRef/>
      </w:r>
      <w:r w:rsidRPr="00FB5B3D">
        <w:rPr>
          <w:lang w:val="en-IE"/>
        </w:rPr>
        <w:t xml:space="preserve"> </w:t>
      </w:r>
      <w:r w:rsidR="00FB5B3D" w:rsidRPr="00523B07">
        <w:t xml:space="preserve">Statistical </w:t>
      </w:r>
      <w:r w:rsidR="00FB5B3D">
        <w:t>c</w:t>
      </w:r>
      <w:r w:rsidR="00FB5B3D" w:rsidRPr="00523B07">
        <w:t xml:space="preserve">lassification of </w:t>
      </w:r>
      <w:r w:rsidR="00FB5B3D">
        <w:t>e</w:t>
      </w:r>
      <w:r w:rsidR="00FB5B3D" w:rsidRPr="00523B07">
        <w:t xml:space="preserve">conomic </w:t>
      </w:r>
      <w:r w:rsidR="00FB5B3D">
        <w:t>a</w:t>
      </w:r>
      <w:r w:rsidR="00FB5B3D" w:rsidRPr="00523B07">
        <w:t>ctivities in Europe</w:t>
      </w:r>
      <w:r w:rsidR="00FB5B3D" w:rsidRPr="0039323D">
        <w:t>.</w:t>
      </w:r>
    </w:p>
  </w:footnote>
  <w:footnote w:id="17">
    <w:p w14:paraId="4887E03D" w14:textId="4E756363" w:rsidR="002C41B5" w:rsidRPr="002C41B5" w:rsidRDefault="002C41B5" w:rsidP="002C41B5">
      <w:pPr>
        <w:pStyle w:val="FootnoteText"/>
        <w:rPr>
          <w:lang w:val="en-IE"/>
        </w:rPr>
      </w:pPr>
      <w:r>
        <w:rPr>
          <w:rStyle w:val="FootnoteReference"/>
        </w:rPr>
        <w:footnoteRef/>
      </w:r>
      <w:r w:rsidRPr="002C41B5">
        <w:rPr>
          <w:lang w:val="en-IE"/>
        </w:rPr>
        <w:t xml:space="preserve"> </w:t>
      </w:r>
      <w:r>
        <w:t>The Commission also provides regular updates through the</w:t>
      </w:r>
      <w:r w:rsidRPr="00381AB3">
        <w:t xml:space="preserve"> </w:t>
      </w:r>
      <w:r>
        <w:t>online</w:t>
      </w:r>
      <w:r w:rsidRPr="00381AB3">
        <w:rPr>
          <w:rFonts w:ascii="Calibri" w:hAnsi="Calibri" w:cs="Calibri"/>
        </w:rPr>
        <w:t> </w:t>
      </w:r>
      <w:hyperlink r:id="rId8" w:tgtFrame="_blank" w:history="1">
        <w:r>
          <w:rPr>
            <w:rStyle w:val="Hyperlink"/>
          </w:rPr>
          <w:t>NGEU Green Bond Dashboard</w:t>
        </w:r>
      </w:hyperlink>
      <w:r>
        <w:t>.</w:t>
      </w:r>
    </w:p>
  </w:footnote>
  <w:footnote w:id="18">
    <w:p w14:paraId="71D9BBFB" w14:textId="66A28D88" w:rsidR="003D7F4D" w:rsidRPr="00FA1F7E" w:rsidRDefault="003D7F4D" w:rsidP="003D7F4D">
      <w:pPr>
        <w:pStyle w:val="FootnoteText"/>
        <w:rPr>
          <w:sz w:val="18"/>
          <w:szCs w:val="18"/>
          <w:lang w:val="en-IE"/>
        </w:rPr>
      </w:pPr>
      <w:r w:rsidRPr="00FA1F7E">
        <w:rPr>
          <w:rStyle w:val="FootnoteReference"/>
          <w:sz w:val="18"/>
          <w:szCs w:val="18"/>
        </w:rPr>
        <w:footnoteRef/>
      </w:r>
      <w:r w:rsidRPr="00FA1F7E">
        <w:rPr>
          <w:sz w:val="18"/>
          <w:szCs w:val="18"/>
        </w:rPr>
        <w:t xml:space="preserve"> Additional information on </w:t>
      </w:r>
      <w:r w:rsidR="007D3FC3" w:rsidRPr="007D3FC3">
        <w:rPr>
          <w:sz w:val="18"/>
          <w:szCs w:val="18"/>
        </w:rPr>
        <w:t>NextGenerationEU</w:t>
      </w:r>
      <w:r w:rsidRPr="00FA1F7E">
        <w:rPr>
          <w:sz w:val="18"/>
          <w:szCs w:val="18"/>
        </w:rPr>
        <w:t xml:space="preserve"> </w:t>
      </w:r>
      <w:r w:rsidR="000F4198">
        <w:rPr>
          <w:sz w:val="18"/>
          <w:szCs w:val="18"/>
        </w:rPr>
        <w:t>G</w:t>
      </w:r>
      <w:r w:rsidRPr="00FA1F7E">
        <w:rPr>
          <w:sz w:val="18"/>
          <w:szCs w:val="18"/>
        </w:rPr>
        <w:t xml:space="preserve">reen </w:t>
      </w:r>
      <w:r w:rsidR="000F4198">
        <w:rPr>
          <w:sz w:val="18"/>
          <w:szCs w:val="18"/>
        </w:rPr>
        <w:t>B</w:t>
      </w:r>
      <w:r w:rsidRPr="00FA1F7E">
        <w:rPr>
          <w:sz w:val="18"/>
          <w:szCs w:val="18"/>
        </w:rPr>
        <w:t>onds</w:t>
      </w:r>
      <w:r w:rsidR="000F4198">
        <w:rPr>
          <w:sz w:val="18"/>
          <w:szCs w:val="18"/>
        </w:rPr>
        <w:t>:</w:t>
      </w:r>
      <w:r w:rsidRPr="00FA1F7E">
        <w:rPr>
          <w:sz w:val="18"/>
          <w:szCs w:val="18"/>
          <w:lang w:val="en-IE"/>
        </w:rPr>
        <w:t xml:space="preserve"> </w:t>
      </w:r>
      <w:hyperlink r:id="rId9" w:history="1">
        <w:r w:rsidR="00683139">
          <w:rPr>
            <w:rStyle w:val="Hyperlink"/>
            <w:sz w:val="18"/>
            <w:szCs w:val="18"/>
          </w:rPr>
          <w:t>NGEU Green Bond Dashboard</w:t>
        </w:r>
      </w:hyperlink>
    </w:p>
  </w:footnote>
  <w:footnote w:id="19">
    <w:p w14:paraId="490D73F6" w14:textId="675DB444" w:rsidR="003D7F4D" w:rsidRPr="00FA1F7E" w:rsidRDefault="003D7F4D" w:rsidP="003D7F4D">
      <w:pPr>
        <w:spacing w:after="0"/>
        <w:rPr>
          <w:sz w:val="18"/>
          <w:szCs w:val="18"/>
        </w:rPr>
      </w:pPr>
      <w:r w:rsidRPr="00FA1F7E">
        <w:rPr>
          <w:rStyle w:val="FootnoteReference"/>
          <w:sz w:val="18"/>
          <w:szCs w:val="18"/>
        </w:rPr>
        <w:footnoteRef/>
      </w:r>
      <w:r w:rsidRPr="00FA1F7E">
        <w:rPr>
          <w:sz w:val="18"/>
          <w:szCs w:val="18"/>
        </w:rPr>
        <w:t xml:space="preserve"> </w:t>
      </w:r>
      <w:r w:rsidRPr="00FA1F7E">
        <w:rPr>
          <w:rFonts w:eastAsia="Times New Roman"/>
          <w:sz w:val="18"/>
          <w:szCs w:val="18"/>
          <w:lang w:val="en-GB"/>
        </w:rPr>
        <w:t xml:space="preserve">Based on </w:t>
      </w:r>
      <w:r w:rsidR="000F4198">
        <w:rPr>
          <w:rFonts w:eastAsia="Times New Roman"/>
          <w:sz w:val="18"/>
          <w:szCs w:val="18"/>
          <w:lang w:val="en-GB"/>
        </w:rPr>
        <w:t xml:space="preserve">the </w:t>
      </w:r>
      <w:r w:rsidRPr="00FA1F7E">
        <w:rPr>
          <w:rFonts w:eastAsia="Times New Roman"/>
          <w:sz w:val="18"/>
          <w:szCs w:val="18"/>
          <w:lang w:val="en-GB"/>
        </w:rPr>
        <w:t>average number of months between new issuance and first tap when considering the new lines tapped during H</w:t>
      </w:r>
      <w:r>
        <w:rPr>
          <w:rFonts w:eastAsia="Times New Roman"/>
          <w:sz w:val="18"/>
          <w:szCs w:val="18"/>
          <w:lang w:val="en-GB"/>
        </w:rPr>
        <w:t>1</w:t>
      </w:r>
      <w:r w:rsidRPr="00FA1F7E">
        <w:rPr>
          <w:rFonts w:eastAsia="Times New Roman"/>
          <w:sz w:val="18"/>
          <w:szCs w:val="18"/>
          <w:lang w:val="en-GB"/>
        </w:rPr>
        <w:t xml:space="preserve"> 202</w:t>
      </w:r>
      <w:r>
        <w:rPr>
          <w:rFonts w:eastAsia="Times New Roman"/>
          <w:sz w:val="18"/>
          <w:szCs w:val="18"/>
          <w:lang w:val="en-GB"/>
        </w:rPr>
        <w:t>5</w:t>
      </w:r>
      <w:r w:rsidRPr="00FA1F7E">
        <w:rPr>
          <w:rFonts w:eastAsia="Times New Roman"/>
          <w:sz w:val="18"/>
          <w:szCs w:val="18"/>
          <w:lang w:val="en-GB"/>
        </w:rPr>
        <w:t>.</w:t>
      </w:r>
    </w:p>
    <w:p w14:paraId="24266DE0" w14:textId="77777777" w:rsidR="003D7F4D" w:rsidRPr="00391716" w:rsidRDefault="003D7F4D" w:rsidP="003D7F4D">
      <w:pPr>
        <w:pStyle w:val="FootnoteText"/>
        <w:ind w:left="0" w:firstLine="0"/>
        <w:rPr>
          <w:sz w:val="18"/>
          <w:szCs w:val="18"/>
        </w:rPr>
      </w:pPr>
    </w:p>
  </w:footnote>
  <w:footnote w:id="20">
    <w:p w14:paraId="7151E51E" w14:textId="75DD6FAE" w:rsidR="003D7F4D" w:rsidRPr="0002172B" w:rsidRDefault="003D7F4D" w:rsidP="003D7F4D">
      <w:pPr>
        <w:pStyle w:val="FootnoteText"/>
        <w:rPr>
          <w:lang w:val="en-IE"/>
        </w:rPr>
      </w:pPr>
      <w:r w:rsidRPr="00391716">
        <w:rPr>
          <w:rStyle w:val="FootnoteReference"/>
          <w:sz w:val="18"/>
          <w:szCs w:val="18"/>
        </w:rPr>
        <w:footnoteRef/>
      </w:r>
      <w:r w:rsidRPr="00391716">
        <w:rPr>
          <w:sz w:val="18"/>
          <w:szCs w:val="18"/>
        </w:rPr>
        <w:t xml:space="preserve"> Outstanding bonds over number of bonds as at </w:t>
      </w:r>
      <w:r w:rsidR="000F4198">
        <w:rPr>
          <w:sz w:val="18"/>
          <w:szCs w:val="18"/>
        </w:rPr>
        <w:t xml:space="preserve">the </w:t>
      </w:r>
      <w:r w:rsidRPr="00391716">
        <w:rPr>
          <w:sz w:val="18"/>
          <w:szCs w:val="18"/>
        </w:rPr>
        <w:t xml:space="preserve">end of </w:t>
      </w:r>
      <w:r>
        <w:rPr>
          <w:sz w:val="18"/>
          <w:szCs w:val="18"/>
        </w:rPr>
        <w:t>H2 2024, b</w:t>
      </w:r>
      <w:r w:rsidRPr="00391716">
        <w:rPr>
          <w:sz w:val="18"/>
          <w:szCs w:val="18"/>
        </w:rPr>
        <w:t>ased on bonds issued under the diversified funding strategy.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61EB" w14:textId="77777777" w:rsidR="00D53E02" w:rsidRPr="00D53E02" w:rsidRDefault="00D53E02" w:rsidP="00D53E0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912B0" w14:textId="77777777" w:rsidR="00D53E02" w:rsidRPr="00D53E02" w:rsidRDefault="00D53E02" w:rsidP="00D53E0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4EF72" w14:textId="77777777" w:rsidR="00D53E02" w:rsidRPr="00D53E02" w:rsidRDefault="00D53E02" w:rsidP="00D53E0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82F" w14:textId="77777777" w:rsidR="001C2621" w:rsidRDefault="001C26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F0B2" w14:textId="77777777" w:rsidR="001C2621" w:rsidRDefault="001C26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53ECF" w14:textId="77777777" w:rsidR="001C2621" w:rsidRDefault="001C26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F893" w14:textId="77777777" w:rsidR="001C2621" w:rsidRDefault="001C26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0380C" w14:textId="77777777" w:rsidR="001C2621" w:rsidRPr="00657B16" w:rsidRDefault="001C2621" w:rsidP="008927F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4121" w14:textId="77777777" w:rsidR="001C2621" w:rsidRDefault="001C26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4DE7" w14:textId="77777777" w:rsidR="001C2621" w:rsidRDefault="001C26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14E1E" w14:textId="77777777" w:rsidR="001C2621" w:rsidRDefault="001C26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D3D0" w14:textId="77777777" w:rsidR="001C2621" w:rsidRDefault="001C26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7285"/>
    <w:multiLevelType w:val="hybridMultilevel"/>
    <w:tmpl w:val="03C0452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161A4A"/>
    <w:multiLevelType w:val="hybridMultilevel"/>
    <w:tmpl w:val="9D847452"/>
    <w:lvl w:ilvl="0" w:tplc="0D9A2F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B670D"/>
    <w:multiLevelType w:val="hybridMultilevel"/>
    <w:tmpl w:val="7C3C86A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FF15449"/>
    <w:multiLevelType w:val="hybridMultilevel"/>
    <w:tmpl w:val="680CEC7A"/>
    <w:lvl w:ilvl="0" w:tplc="4DC4E9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194ED2"/>
    <w:multiLevelType w:val="hybridMultilevel"/>
    <w:tmpl w:val="2B06D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55A0B"/>
    <w:multiLevelType w:val="hybridMultilevel"/>
    <w:tmpl w:val="04DCAB7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366335"/>
    <w:multiLevelType w:val="hybridMultilevel"/>
    <w:tmpl w:val="505C6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7E7CA7"/>
    <w:multiLevelType w:val="hybridMultilevel"/>
    <w:tmpl w:val="DC8443FA"/>
    <w:lvl w:ilvl="0" w:tplc="36305444">
      <w:start w:val="1"/>
      <w:numFmt w:val="bullet"/>
      <w:lvlText w:val="-"/>
      <w:lvlJc w:val="left"/>
      <w:pPr>
        <w:ind w:left="720" w:hanging="360"/>
      </w:pPr>
      <w:rPr>
        <w:rFonts w:ascii="EC Square Sans Pro" w:eastAsia="Times New Roman" w:hAnsi="EC Square Sans Pro" w:cs="Times New Roman" w:hint="default"/>
        <w:b/>
        <w:bCs/>
        <w:color w:val="70AD47"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F05598"/>
    <w:multiLevelType w:val="hybridMultilevel"/>
    <w:tmpl w:val="2C30747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3D43C7C"/>
    <w:multiLevelType w:val="hybridMultilevel"/>
    <w:tmpl w:val="58C04AA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5614371"/>
    <w:multiLevelType w:val="hybridMultilevel"/>
    <w:tmpl w:val="7C3C86A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AA71202"/>
    <w:multiLevelType w:val="hybridMultilevel"/>
    <w:tmpl w:val="28CCA644"/>
    <w:lvl w:ilvl="0" w:tplc="111E0DF2">
      <w:start w:val="1"/>
      <w:numFmt w:val="bullet"/>
      <w:lvlText w:val=""/>
      <w:lvlJc w:val="left"/>
      <w:pPr>
        <w:ind w:left="720" w:hanging="360"/>
      </w:pPr>
      <w:rPr>
        <w:rFonts w:ascii="Symbol" w:hAnsi="Symbol" w:hint="default"/>
        <w:color w:val="034EA2"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84BB5"/>
    <w:multiLevelType w:val="hybridMultilevel"/>
    <w:tmpl w:val="DFC08A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1751D3"/>
    <w:multiLevelType w:val="hybridMultilevel"/>
    <w:tmpl w:val="2CA2CE64"/>
    <w:lvl w:ilvl="0" w:tplc="6ECAA736">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E24E98"/>
    <w:multiLevelType w:val="hybridMultilevel"/>
    <w:tmpl w:val="E37CC0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727F54"/>
    <w:multiLevelType w:val="hybridMultilevel"/>
    <w:tmpl w:val="010A5B40"/>
    <w:lvl w:ilvl="0" w:tplc="42947A9C">
      <w:start w:val="1"/>
      <w:numFmt w:val="bullet"/>
      <w:lvlText w:val="•"/>
      <w:lvlJc w:val="left"/>
      <w:pPr>
        <w:tabs>
          <w:tab w:val="num" w:pos="720"/>
        </w:tabs>
        <w:ind w:left="720" w:hanging="360"/>
      </w:pPr>
      <w:rPr>
        <w:rFonts w:ascii="Arial" w:hAnsi="Arial" w:hint="default"/>
      </w:rPr>
    </w:lvl>
    <w:lvl w:ilvl="1" w:tplc="215AC05A" w:tentative="1">
      <w:start w:val="1"/>
      <w:numFmt w:val="bullet"/>
      <w:lvlText w:val="•"/>
      <w:lvlJc w:val="left"/>
      <w:pPr>
        <w:tabs>
          <w:tab w:val="num" w:pos="1440"/>
        </w:tabs>
        <w:ind w:left="1440" w:hanging="360"/>
      </w:pPr>
      <w:rPr>
        <w:rFonts w:ascii="Arial" w:hAnsi="Arial" w:hint="default"/>
      </w:rPr>
    </w:lvl>
    <w:lvl w:ilvl="2" w:tplc="ADD695E0" w:tentative="1">
      <w:start w:val="1"/>
      <w:numFmt w:val="bullet"/>
      <w:lvlText w:val="•"/>
      <w:lvlJc w:val="left"/>
      <w:pPr>
        <w:tabs>
          <w:tab w:val="num" w:pos="2160"/>
        </w:tabs>
        <w:ind w:left="2160" w:hanging="360"/>
      </w:pPr>
      <w:rPr>
        <w:rFonts w:ascii="Arial" w:hAnsi="Arial" w:hint="default"/>
      </w:rPr>
    </w:lvl>
    <w:lvl w:ilvl="3" w:tplc="529CBC18" w:tentative="1">
      <w:start w:val="1"/>
      <w:numFmt w:val="bullet"/>
      <w:lvlText w:val="•"/>
      <w:lvlJc w:val="left"/>
      <w:pPr>
        <w:tabs>
          <w:tab w:val="num" w:pos="2880"/>
        </w:tabs>
        <w:ind w:left="2880" w:hanging="360"/>
      </w:pPr>
      <w:rPr>
        <w:rFonts w:ascii="Arial" w:hAnsi="Arial" w:hint="default"/>
      </w:rPr>
    </w:lvl>
    <w:lvl w:ilvl="4" w:tplc="87264A7C" w:tentative="1">
      <w:start w:val="1"/>
      <w:numFmt w:val="bullet"/>
      <w:lvlText w:val="•"/>
      <w:lvlJc w:val="left"/>
      <w:pPr>
        <w:tabs>
          <w:tab w:val="num" w:pos="3600"/>
        </w:tabs>
        <w:ind w:left="3600" w:hanging="360"/>
      </w:pPr>
      <w:rPr>
        <w:rFonts w:ascii="Arial" w:hAnsi="Arial" w:hint="default"/>
      </w:rPr>
    </w:lvl>
    <w:lvl w:ilvl="5" w:tplc="0C662316" w:tentative="1">
      <w:start w:val="1"/>
      <w:numFmt w:val="bullet"/>
      <w:lvlText w:val="•"/>
      <w:lvlJc w:val="left"/>
      <w:pPr>
        <w:tabs>
          <w:tab w:val="num" w:pos="4320"/>
        </w:tabs>
        <w:ind w:left="4320" w:hanging="360"/>
      </w:pPr>
      <w:rPr>
        <w:rFonts w:ascii="Arial" w:hAnsi="Arial" w:hint="default"/>
      </w:rPr>
    </w:lvl>
    <w:lvl w:ilvl="6" w:tplc="6BB69D36" w:tentative="1">
      <w:start w:val="1"/>
      <w:numFmt w:val="bullet"/>
      <w:lvlText w:val="•"/>
      <w:lvlJc w:val="left"/>
      <w:pPr>
        <w:tabs>
          <w:tab w:val="num" w:pos="5040"/>
        </w:tabs>
        <w:ind w:left="5040" w:hanging="360"/>
      </w:pPr>
      <w:rPr>
        <w:rFonts w:ascii="Arial" w:hAnsi="Arial" w:hint="default"/>
      </w:rPr>
    </w:lvl>
    <w:lvl w:ilvl="7" w:tplc="AF4A540C" w:tentative="1">
      <w:start w:val="1"/>
      <w:numFmt w:val="bullet"/>
      <w:lvlText w:val="•"/>
      <w:lvlJc w:val="left"/>
      <w:pPr>
        <w:tabs>
          <w:tab w:val="num" w:pos="5760"/>
        </w:tabs>
        <w:ind w:left="5760" w:hanging="360"/>
      </w:pPr>
      <w:rPr>
        <w:rFonts w:ascii="Arial" w:hAnsi="Arial" w:hint="default"/>
      </w:rPr>
    </w:lvl>
    <w:lvl w:ilvl="8" w:tplc="CAF8005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120080"/>
    <w:multiLevelType w:val="hybridMultilevel"/>
    <w:tmpl w:val="9D4E4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473A4"/>
    <w:multiLevelType w:val="hybridMultilevel"/>
    <w:tmpl w:val="6D3E5978"/>
    <w:lvl w:ilvl="0" w:tplc="CDBC193C">
      <w:start w:val="1"/>
      <w:numFmt w:val="bullet"/>
      <w:lvlText w:val=""/>
      <w:lvlJc w:val="left"/>
      <w:pPr>
        <w:ind w:left="360" w:hanging="360"/>
      </w:pPr>
      <w:rPr>
        <w:rFonts w:ascii="Symbol" w:hAnsi="Symbol" w:hint="default"/>
        <w:color w:val="034EA2"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C62327"/>
    <w:multiLevelType w:val="hybridMultilevel"/>
    <w:tmpl w:val="7E726144"/>
    <w:lvl w:ilvl="0" w:tplc="F1D08040">
      <w:start w:val="1"/>
      <w:numFmt w:val="bullet"/>
      <w:lvlText w:val="•"/>
      <w:lvlJc w:val="left"/>
      <w:pPr>
        <w:tabs>
          <w:tab w:val="num" w:pos="720"/>
        </w:tabs>
        <w:ind w:left="720" w:hanging="360"/>
      </w:pPr>
      <w:rPr>
        <w:rFonts w:ascii="Arial" w:hAnsi="Arial" w:hint="default"/>
      </w:rPr>
    </w:lvl>
    <w:lvl w:ilvl="1" w:tplc="925C4DA6" w:tentative="1">
      <w:start w:val="1"/>
      <w:numFmt w:val="bullet"/>
      <w:lvlText w:val="•"/>
      <w:lvlJc w:val="left"/>
      <w:pPr>
        <w:tabs>
          <w:tab w:val="num" w:pos="1440"/>
        </w:tabs>
        <w:ind w:left="1440" w:hanging="360"/>
      </w:pPr>
      <w:rPr>
        <w:rFonts w:ascii="Arial" w:hAnsi="Arial" w:hint="default"/>
      </w:rPr>
    </w:lvl>
    <w:lvl w:ilvl="2" w:tplc="3E7C8AA6" w:tentative="1">
      <w:start w:val="1"/>
      <w:numFmt w:val="bullet"/>
      <w:lvlText w:val="•"/>
      <w:lvlJc w:val="left"/>
      <w:pPr>
        <w:tabs>
          <w:tab w:val="num" w:pos="2160"/>
        </w:tabs>
        <w:ind w:left="2160" w:hanging="360"/>
      </w:pPr>
      <w:rPr>
        <w:rFonts w:ascii="Arial" w:hAnsi="Arial" w:hint="default"/>
      </w:rPr>
    </w:lvl>
    <w:lvl w:ilvl="3" w:tplc="A94A1B4E" w:tentative="1">
      <w:start w:val="1"/>
      <w:numFmt w:val="bullet"/>
      <w:lvlText w:val="•"/>
      <w:lvlJc w:val="left"/>
      <w:pPr>
        <w:tabs>
          <w:tab w:val="num" w:pos="2880"/>
        </w:tabs>
        <w:ind w:left="2880" w:hanging="360"/>
      </w:pPr>
      <w:rPr>
        <w:rFonts w:ascii="Arial" w:hAnsi="Arial" w:hint="default"/>
      </w:rPr>
    </w:lvl>
    <w:lvl w:ilvl="4" w:tplc="08D8C6E0" w:tentative="1">
      <w:start w:val="1"/>
      <w:numFmt w:val="bullet"/>
      <w:lvlText w:val="•"/>
      <w:lvlJc w:val="left"/>
      <w:pPr>
        <w:tabs>
          <w:tab w:val="num" w:pos="3600"/>
        </w:tabs>
        <w:ind w:left="3600" w:hanging="360"/>
      </w:pPr>
      <w:rPr>
        <w:rFonts w:ascii="Arial" w:hAnsi="Arial" w:hint="default"/>
      </w:rPr>
    </w:lvl>
    <w:lvl w:ilvl="5" w:tplc="39109110" w:tentative="1">
      <w:start w:val="1"/>
      <w:numFmt w:val="bullet"/>
      <w:lvlText w:val="•"/>
      <w:lvlJc w:val="left"/>
      <w:pPr>
        <w:tabs>
          <w:tab w:val="num" w:pos="4320"/>
        </w:tabs>
        <w:ind w:left="4320" w:hanging="360"/>
      </w:pPr>
      <w:rPr>
        <w:rFonts w:ascii="Arial" w:hAnsi="Arial" w:hint="default"/>
      </w:rPr>
    </w:lvl>
    <w:lvl w:ilvl="6" w:tplc="BA8032D4" w:tentative="1">
      <w:start w:val="1"/>
      <w:numFmt w:val="bullet"/>
      <w:lvlText w:val="•"/>
      <w:lvlJc w:val="left"/>
      <w:pPr>
        <w:tabs>
          <w:tab w:val="num" w:pos="5040"/>
        </w:tabs>
        <w:ind w:left="5040" w:hanging="360"/>
      </w:pPr>
      <w:rPr>
        <w:rFonts w:ascii="Arial" w:hAnsi="Arial" w:hint="default"/>
      </w:rPr>
    </w:lvl>
    <w:lvl w:ilvl="7" w:tplc="72C2EF70" w:tentative="1">
      <w:start w:val="1"/>
      <w:numFmt w:val="bullet"/>
      <w:lvlText w:val="•"/>
      <w:lvlJc w:val="left"/>
      <w:pPr>
        <w:tabs>
          <w:tab w:val="num" w:pos="5760"/>
        </w:tabs>
        <w:ind w:left="5760" w:hanging="360"/>
      </w:pPr>
      <w:rPr>
        <w:rFonts w:ascii="Arial" w:hAnsi="Arial" w:hint="default"/>
      </w:rPr>
    </w:lvl>
    <w:lvl w:ilvl="8" w:tplc="22848B5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6112BB0"/>
    <w:multiLevelType w:val="hybridMultilevel"/>
    <w:tmpl w:val="E9527C90"/>
    <w:lvl w:ilvl="0" w:tplc="0F465D34">
      <w:start w:val="12"/>
      <w:numFmt w:val="bullet"/>
      <w:lvlText w:val="-"/>
      <w:lvlJc w:val="left"/>
      <w:pPr>
        <w:ind w:left="720" w:hanging="360"/>
      </w:pPr>
      <w:rPr>
        <w:rFonts w:ascii="Verdana" w:eastAsia="Times New Roman" w:hAnsi="Verdana"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A63F3E"/>
    <w:multiLevelType w:val="hybridMultilevel"/>
    <w:tmpl w:val="15F6BF5C"/>
    <w:lvl w:ilvl="0" w:tplc="FFFFFFFF">
      <w:start w:val="4"/>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1E926F6"/>
    <w:multiLevelType w:val="hybridMultilevel"/>
    <w:tmpl w:val="9282F37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D205736"/>
    <w:multiLevelType w:val="multilevel"/>
    <w:tmpl w:val="FC98DC46"/>
    <w:lvl w:ilvl="0">
      <w:start w:val="1"/>
      <w:numFmt w:val="decimal"/>
      <w:pStyle w:val="Heading1"/>
      <w:lvlText w:val="%1."/>
      <w:lvlJc w:val="left"/>
      <w:pPr>
        <w:ind w:left="502" w:hanging="360"/>
      </w:pPr>
    </w:lvl>
    <w:lvl w:ilvl="1">
      <w:start w:val="2"/>
      <w:numFmt w:val="decimal"/>
      <w:isLgl/>
      <w:lvlText w:val="%1.%2"/>
      <w:lvlJc w:val="left"/>
      <w:pPr>
        <w:ind w:left="720" w:hanging="360"/>
      </w:pPr>
      <w:rPr>
        <w:rFonts w:hint="default"/>
        <w:b/>
      </w:rPr>
    </w:lvl>
    <w:lvl w:ilvl="2">
      <w:start w:val="1"/>
      <w:numFmt w:val="decimalZero"/>
      <w:isLgl/>
      <w:lvlText w:val="%1.%2.%3"/>
      <w:lvlJc w:val="left"/>
      <w:pPr>
        <w:ind w:left="1298" w:hanging="720"/>
      </w:pPr>
      <w:rPr>
        <w:rFonts w:hint="default"/>
        <w:b/>
      </w:rPr>
    </w:lvl>
    <w:lvl w:ilvl="3">
      <w:start w:val="1"/>
      <w:numFmt w:val="decimal"/>
      <w:isLgl/>
      <w:lvlText w:val="%1.%2.%3.%4"/>
      <w:lvlJc w:val="left"/>
      <w:pPr>
        <w:ind w:left="1516" w:hanging="720"/>
      </w:pPr>
      <w:rPr>
        <w:rFonts w:hint="default"/>
        <w:b/>
      </w:rPr>
    </w:lvl>
    <w:lvl w:ilvl="4">
      <w:start w:val="1"/>
      <w:numFmt w:val="decimal"/>
      <w:isLgl/>
      <w:lvlText w:val="%1.%2.%3.%4.%5"/>
      <w:lvlJc w:val="left"/>
      <w:pPr>
        <w:ind w:left="2094" w:hanging="1080"/>
      </w:pPr>
      <w:rPr>
        <w:rFonts w:hint="default"/>
        <w:b/>
      </w:rPr>
    </w:lvl>
    <w:lvl w:ilvl="5">
      <w:start w:val="1"/>
      <w:numFmt w:val="decimal"/>
      <w:isLgl/>
      <w:lvlText w:val="%1.%2.%3.%4.%5.%6"/>
      <w:lvlJc w:val="left"/>
      <w:pPr>
        <w:ind w:left="2312" w:hanging="1080"/>
      </w:pPr>
      <w:rPr>
        <w:rFonts w:hint="default"/>
        <w:b/>
      </w:rPr>
    </w:lvl>
    <w:lvl w:ilvl="6">
      <w:start w:val="1"/>
      <w:numFmt w:val="decimal"/>
      <w:isLgl/>
      <w:lvlText w:val="%1.%2.%3.%4.%5.%6.%7"/>
      <w:lvlJc w:val="left"/>
      <w:pPr>
        <w:ind w:left="2890" w:hanging="1440"/>
      </w:pPr>
      <w:rPr>
        <w:rFonts w:hint="default"/>
        <w:b/>
      </w:rPr>
    </w:lvl>
    <w:lvl w:ilvl="7">
      <w:start w:val="1"/>
      <w:numFmt w:val="decimal"/>
      <w:isLgl/>
      <w:lvlText w:val="%1.%2.%3.%4.%5.%6.%7.%8"/>
      <w:lvlJc w:val="left"/>
      <w:pPr>
        <w:ind w:left="3468" w:hanging="1800"/>
      </w:pPr>
      <w:rPr>
        <w:rFonts w:hint="default"/>
        <w:b/>
      </w:rPr>
    </w:lvl>
    <w:lvl w:ilvl="8">
      <w:start w:val="1"/>
      <w:numFmt w:val="decimal"/>
      <w:isLgl/>
      <w:lvlText w:val="%1.%2.%3.%4.%5.%6.%7.%8.%9"/>
      <w:lvlJc w:val="left"/>
      <w:pPr>
        <w:ind w:left="3686" w:hanging="1800"/>
      </w:pPr>
      <w:rPr>
        <w:rFonts w:hint="default"/>
        <w:b/>
      </w:rPr>
    </w:lvl>
  </w:abstractNum>
  <w:abstractNum w:abstractNumId="24" w15:restartNumberingAfterBreak="0">
    <w:nsid w:val="65926EE4"/>
    <w:multiLevelType w:val="hybridMultilevel"/>
    <w:tmpl w:val="D26402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F32E50"/>
    <w:multiLevelType w:val="hybridMultilevel"/>
    <w:tmpl w:val="D80CFAD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25426B"/>
    <w:multiLevelType w:val="hybridMultilevel"/>
    <w:tmpl w:val="04DCAB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2166D"/>
    <w:multiLevelType w:val="hybridMultilevel"/>
    <w:tmpl w:val="135AE8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C140E52"/>
    <w:multiLevelType w:val="hybridMultilevel"/>
    <w:tmpl w:val="3188A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78309F"/>
    <w:multiLevelType w:val="hybridMultilevel"/>
    <w:tmpl w:val="0BC6F9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73B829CE"/>
    <w:multiLevelType w:val="hybridMultilevel"/>
    <w:tmpl w:val="0D56E2F8"/>
    <w:lvl w:ilvl="0" w:tplc="D67042A2">
      <w:start w:val="1"/>
      <w:numFmt w:val="bullet"/>
      <w:lvlText w:val="•"/>
      <w:lvlJc w:val="left"/>
      <w:pPr>
        <w:tabs>
          <w:tab w:val="num" w:pos="720"/>
        </w:tabs>
        <w:ind w:left="720" w:hanging="360"/>
      </w:pPr>
      <w:rPr>
        <w:rFonts w:ascii="Arial" w:hAnsi="Arial" w:hint="default"/>
      </w:rPr>
    </w:lvl>
    <w:lvl w:ilvl="1" w:tplc="C5A001CA" w:tentative="1">
      <w:start w:val="1"/>
      <w:numFmt w:val="bullet"/>
      <w:lvlText w:val="•"/>
      <w:lvlJc w:val="left"/>
      <w:pPr>
        <w:tabs>
          <w:tab w:val="num" w:pos="1440"/>
        </w:tabs>
        <w:ind w:left="1440" w:hanging="360"/>
      </w:pPr>
      <w:rPr>
        <w:rFonts w:ascii="Arial" w:hAnsi="Arial" w:hint="default"/>
      </w:rPr>
    </w:lvl>
    <w:lvl w:ilvl="2" w:tplc="0966FE9E" w:tentative="1">
      <w:start w:val="1"/>
      <w:numFmt w:val="bullet"/>
      <w:lvlText w:val="•"/>
      <w:lvlJc w:val="left"/>
      <w:pPr>
        <w:tabs>
          <w:tab w:val="num" w:pos="2160"/>
        </w:tabs>
        <w:ind w:left="2160" w:hanging="360"/>
      </w:pPr>
      <w:rPr>
        <w:rFonts w:ascii="Arial" w:hAnsi="Arial" w:hint="default"/>
      </w:rPr>
    </w:lvl>
    <w:lvl w:ilvl="3" w:tplc="B6BAA56C" w:tentative="1">
      <w:start w:val="1"/>
      <w:numFmt w:val="bullet"/>
      <w:lvlText w:val="•"/>
      <w:lvlJc w:val="left"/>
      <w:pPr>
        <w:tabs>
          <w:tab w:val="num" w:pos="2880"/>
        </w:tabs>
        <w:ind w:left="2880" w:hanging="360"/>
      </w:pPr>
      <w:rPr>
        <w:rFonts w:ascii="Arial" w:hAnsi="Arial" w:hint="default"/>
      </w:rPr>
    </w:lvl>
    <w:lvl w:ilvl="4" w:tplc="AC3E3172" w:tentative="1">
      <w:start w:val="1"/>
      <w:numFmt w:val="bullet"/>
      <w:lvlText w:val="•"/>
      <w:lvlJc w:val="left"/>
      <w:pPr>
        <w:tabs>
          <w:tab w:val="num" w:pos="3600"/>
        </w:tabs>
        <w:ind w:left="3600" w:hanging="360"/>
      </w:pPr>
      <w:rPr>
        <w:rFonts w:ascii="Arial" w:hAnsi="Arial" w:hint="default"/>
      </w:rPr>
    </w:lvl>
    <w:lvl w:ilvl="5" w:tplc="3F4472FC" w:tentative="1">
      <w:start w:val="1"/>
      <w:numFmt w:val="bullet"/>
      <w:lvlText w:val="•"/>
      <w:lvlJc w:val="left"/>
      <w:pPr>
        <w:tabs>
          <w:tab w:val="num" w:pos="4320"/>
        </w:tabs>
        <w:ind w:left="4320" w:hanging="360"/>
      </w:pPr>
      <w:rPr>
        <w:rFonts w:ascii="Arial" w:hAnsi="Arial" w:hint="default"/>
      </w:rPr>
    </w:lvl>
    <w:lvl w:ilvl="6" w:tplc="9392BC8A" w:tentative="1">
      <w:start w:val="1"/>
      <w:numFmt w:val="bullet"/>
      <w:lvlText w:val="•"/>
      <w:lvlJc w:val="left"/>
      <w:pPr>
        <w:tabs>
          <w:tab w:val="num" w:pos="5040"/>
        </w:tabs>
        <w:ind w:left="5040" w:hanging="360"/>
      </w:pPr>
      <w:rPr>
        <w:rFonts w:ascii="Arial" w:hAnsi="Arial" w:hint="default"/>
      </w:rPr>
    </w:lvl>
    <w:lvl w:ilvl="7" w:tplc="A95A6D3A" w:tentative="1">
      <w:start w:val="1"/>
      <w:numFmt w:val="bullet"/>
      <w:lvlText w:val="•"/>
      <w:lvlJc w:val="left"/>
      <w:pPr>
        <w:tabs>
          <w:tab w:val="num" w:pos="5760"/>
        </w:tabs>
        <w:ind w:left="5760" w:hanging="360"/>
      </w:pPr>
      <w:rPr>
        <w:rFonts w:ascii="Arial" w:hAnsi="Arial" w:hint="default"/>
      </w:rPr>
    </w:lvl>
    <w:lvl w:ilvl="8" w:tplc="C9DCB5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CF34744"/>
    <w:multiLevelType w:val="hybridMultilevel"/>
    <w:tmpl w:val="88DCC72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D7B3804"/>
    <w:multiLevelType w:val="hybridMultilevel"/>
    <w:tmpl w:val="9282F37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DB27204"/>
    <w:multiLevelType w:val="hybridMultilevel"/>
    <w:tmpl w:val="15F6BF5C"/>
    <w:lvl w:ilvl="0" w:tplc="04090017">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8"/>
  </w:num>
  <w:num w:numId="3">
    <w:abstractNumId w:val="1"/>
  </w:num>
  <w:num w:numId="4">
    <w:abstractNumId w:val="20"/>
  </w:num>
  <w:num w:numId="5">
    <w:abstractNumId w:val="8"/>
  </w:num>
  <w:num w:numId="6">
    <w:abstractNumId w:val="10"/>
  </w:num>
  <w:num w:numId="7">
    <w:abstractNumId w:val="13"/>
  </w:num>
  <w:num w:numId="8">
    <w:abstractNumId w:val="15"/>
  </w:num>
  <w:num w:numId="9">
    <w:abstractNumId w:val="4"/>
  </w:num>
  <w:num w:numId="10">
    <w:abstractNumId w:val="11"/>
  </w:num>
  <w:num w:numId="11">
    <w:abstractNumId w:val="25"/>
  </w:num>
  <w:num w:numId="12">
    <w:abstractNumId w:val="24"/>
  </w:num>
  <w:num w:numId="13">
    <w:abstractNumId w:val="26"/>
  </w:num>
  <w:num w:numId="14">
    <w:abstractNumId w:val="33"/>
  </w:num>
  <w:num w:numId="15">
    <w:abstractNumId w:val="18"/>
  </w:num>
  <w:num w:numId="16">
    <w:abstractNumId w:val="5"/>
  </w:num>
  <w:num w:numId="17">
    <w:abstractNumId w:val="17"/>
  </w:num>
  <w:num w:numId="18">
    <w:abstractNumId w:val="2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2"/>
  </w:num>
  <w:num w:numId="21">
    <w:abstractNumId w:val="9"/>
  </w:num>
  <w:num w:numId="22">
    <w:abstractNumId w:val="31"/>
  </w:num>
  <w:num w:numId="23">
    <w:abstractNumId w:val="32"/>
  </w:num>
  <w:num w:numId="24">
    <w:abstractNumId w:val="0"/>
  </w:num>
  <w:num w:numId="25">
    <w:abstractNumId w:val="14"/>
  </w:num>
  <w:num w:numId="26">
    <w:abstractNumId w:val="27"/>
  </w:num>
  <w:num w:numId="27">
    <w:abstractNumId w:val="2"/>
  </w:num>
  <w:num w:numId="28">
    <w:abstractNumId w:val="21"/>
  </w:num>
  <w:num w:numId="29">
    <w:abstractNumId w:val="7"/>
  </w:num>
  <w:num w:numId="30">
    <w:abstractNumId w:val="3"/>
  </w:num>
  <w:num w:numId="31">
    <w:abstractNumId w:val="12"/>
  </w:num>
  <w:num w:numId="32">
    <w:abstractNumId w:val="12"/>
  </w:num>
  <w:num w:numId="33">
    <w:abstractNumId w:val="12"/>
  </w:num>
  <w:num w:numId="34">
    <w:abstractNumId w:val="30"/>
  </w:num>
  <w:num w:numId="35">
    <w:abstractNumId w:val="19"/>
  </w:num>
  <w:num w:numId="36">
    <w:abstractNumId w:val="16"/>
  </w:num>
  <w:num w:numId="37">
    <w:abstractNumId w:val="6"/>
  </w:num>
  <w:num w:numId="38">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170"/>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4ECAA448-6059-4283-A5C6-E862A781CB5F"/>
    <w:docVar w:name="LW_COVERPAGE_TYPE" w:val="1"/>
    <w:docVar w:name="LW_CROSSREFERENCE" w:val="&lt;UNUSED&gt;"/>
    <w:docVar w:name="LW_DocType" w:val="NORMAL"/>
    <w:docVar w:name="LW_EMISSION" w:val="14.4.2026"/>
    <w:docVar w:name="LW_EMISSION_ISODATE" w:val="2026-04-14"/>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Half-yearly report on the implementation of borrowing, debt management and related lending operations pursuant to Article 13 of Commission Implementing Decision C(2023)8010_x000d__x000d__x000d__x000d__x000d__x000d__x000d__x000d__x000d__x000d__x000d__x000d__x000d__x000b__x000d__x000d__x000d__x000d__x000d__x000d__x000d__x000d__x000d__x000d__x000d__x000d__x000d__x000b_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b__x000d_1 July 2025 to 31 December 2025_x000d__x000d__x000d__x000d__x000d__x000d__x000d__x000d__x000d__x000d__x000d__x000d__x000d__x000d__x000d__x000d__x000d__x000d__x000d__x000d__x000b__x000d__x000d__x000d__x000d__x000d__x000d__x000d__x000d__x000d__x000d__x000d__x000d__x000d__x000d__x000d__x000d__x000d__x000d__x000d__x000b__x000d_"/>
    <w:docVar w:name="LW_TYPE.DOC.CP" w:val="REPORT FROM THE COMMISSION TO THE EUROPEAN PARLIAMENT AND THE COUNCIL"/>
    <w:docVar w:name="LwApiVersions" w:val="LW4CoDe 1.24.5.0; LW 9.2, Build 20251112"/>
  </w:docVars>
  <w:rsids>
    <w:rsidRoot w:val="008B6253"/>
    <w:rsid w:val="000006A3"/>
    <w:rsid w:val="000016AC"/>
    <w:rsid w:val="0000198B"/>
    <w:rsid w:val="00001C79"/>
    <w:rsid w:val="00002581"/>
    <w:rsid w:val="000025FB"/>
    <w:rsid w:val="000027C3"/>
    <w:rsid w:val="00003164"/>
    <w:rsid w:val="00003760"/>
    <w:rsid w:val="000038AB"/>
    <w:rsid w:val="00003B2C"/>
    <w:rsid w:val="00004513"/>
    <w:rsid w:val="00004853"/>
    <w:rsid w:val="00004EFF"/>
    <w:rsid w:val="00005E65"/>
    <w:rsid w:val="000064F6"/>
    <w:rsid w:val="000065CB"/>
    <w:rsid w:val="00006945"/>
    <w:rsid w:val="00007866"/>
    <w:rsid w:val="00007DB0"/>
    <w:rsid w:val="000113D6"/>
    <w:rsid w:val="00011761"/>
    <w:rsid w:val="000123E4"/>
    <w:rsid w:val="00012D54"/>
    <w:rsid w:val="00012F88"/>
    <w:rsid w:val="00013124"/>
    <w:rsid w:val="000138B4"/>
    <w:rsid w:val="00013AFC"/>
    <w:rsid w:val="00015055"/>
    <w:rsid w:val="00016108"/>
    <w:rsid w:val="00016BBF"/>
    <w:rsid w:val="00017000"/>
    <w:rsid w:val="0001773F"/>
    <w:rsid w:val="00017BCF"/>
    <w:rsid w:val="00017F73"/>
    <w:rsid w:val="0002126B"/>
    <w:rsid w:val="00021271"/>
    <w:rsid w:val="000214CF"/>
    <w:rsid w:val="00021B91"/>
    <w:rsid w:val="00022392"/>
    <w:rsid w:val="0002402F"/>
    <w:rsid w:val="00024157"/>
    <w:rsid w:val="00024317"/>
    <w:rsid w:val="000248CD"/>
    <w:rsid w:val="00025D1D"/>
    <w:rsid w:val="000262A2"/>
    <w:rsid w:val="000264A7"/>
    <w:rsid w:val="00026571"/>
    <w:rsid w:val="000275EB"/>
    <w:rsid w:val="000304D4"/>
    <w:rsid w:val="00030B16"/>
    <w:rsid w:val="00031566"/>
    <w:rsid w:val="00032379"/>
    <w:rsid w:val="000339B4"/>
    <w:rsid w:val="00034162"/>
    <w:rsid w:val="00034C0A"/>
    <w:rsid w:val="00035235"/>
    <w:rsid w:val="00036A07"/>
    <w:rsid w:val="00036DE3"/>
    <w:rsid w:val="00040E1F"/>
    <w:rsid w:val="0004137B"/>
    <w:rsid w:val="0004154A"/>
    <w:rsid w:val="00042B53"/>
    <w:rsid w:val="0004460D"/>
    <w:rsid w:val="00044BC7"/>
    <w:rsid w:val="0004607D"/>
    <w:rsid w:val="00046267"/>
    <w:rsid w:val="0004632F"/>
    <w:rsid w:val="000466B2"/>
    <w:rsid w:val="00046807"/>
    <w:rsid w:val="00046F24"/>
    <w:rsid w:val="000500DD"/>
    <w:rsid w:val="00052C99"/>
    <w:rsid w:val="00052F96"/>
    <w:rsid w:val="00052FDD"/>
    <w:rsid w:val="000545EE"/>
    <w:rsid w:val="00054FD5"/>
    <w:rsid w:val="000558F6"/>
    <w:rsid w:val="000559C6"/>
    <w:rsid w:val="00055CF1"/>
    <w:rsid w:val="00055E40"/>
    <w:rsid w:val="00056D87"/>
    <w:rsid w:val="00056EE5"/>
    <w:rsid w:val="000571C9"/>
    <w:rsid w:val="00057D8E"/>
    <w:rsid w:val="00060405"/>
    <w:rsid w:val="00061413"/>
    <w:rsid w:val="00061AD9"/>
    <w:rsid w:val="000623CD"/>
    <w:rsid w:val="00063474"/>
    <w:rsid w:val="00063876"/>
    <w:rsid w:val="00063AD8"/>
    <w:rsid w:val="0006518B"/>
    <w:rsid w:val="0006573D"/>
    <w:rsid w:val="000658E4"/>
    <w:rsid w:val="000659B4"/>
    <w:rsid w:val="00065C93"/>
    <w:rsid w:val="00065C9D"/>
    <w:rsid w:val="0006645C"/>
    <w:rsid w:val="00067AC8"/>
    <w:rsid w:val="0007120F"/>
    <w:rsid w:val="00071211"/>
    <w:rsid w:val="00071659"/>
    <w:rsid w:val="00072047"/>
    <w:rsid w:val="000720D5"/>
    <w:rsid w:val="000744F6"/>
    <w:rsid w:val="00074966"/>
    <w:rsid w:val="00075B6A"/>
    <w:rsid w:val="00075F80"/>
    <w:rsid w:val="0007609D"/>
    <w:rsid w:val="000761ED"/>
    <w:rsid w:val="00076F7B"/>
    <w:rsid w:val="000770E1"/>
    <w:rsid w:val="000777AF"/>
    <w:rsid w:val="00077F71"/>
    <w:rsid w:val="000804D7"/>
    <w:rsid w:val="00080B80"/>
    <w:rsid w:val="00081182"/>
    <w:rsid w:val="000811DA"/>
    <w:rsid w:val="00081EB2"/>
    <w:rsid w:val="000830C3"/>
    <w:rsid w:val="000831BF"/>
    <w:rsid w:val="00083C92"/>
    <w:rsid w:val="00084648"/>
    <w:rsid w:val="00085FEE"/>
    <w:rsid w:val="0008748B"/>
    <w:rsid w:val="0009033E"/>
    <w:rsid w:val="0009189C"/>
    <w:rsid w:val="000919EB"/>
    <w:rsid w:val="0009299B"/>
    <w:rsid w:val="0009414B"/>
    <w:rsid w:val="00094607"/>
    <w:rsid w:val="00094B94"/>
    <w:rsid w:val="00095BFD"/>
    <w:rsid w:val="00095DF7"/>
    <w:rsid w:val="00096802"/>
    <w:rsid w:val="00096D86"/>
    <w:rsid w:val="000973CE"/>
    <w:rsid w:val="00097D72"/>
    <w:rsid w:val="000A0545"/>
    <w:rsid w:val="000A0885"/>
    <w:rsid w:val="000A0AA1"/>
    <w:rsid w:val="000A1136"/>
    <w:rsid w:val="000A1556"/>
    <w:rsid w:val="000A26FE"/>
    <w:rsid w:val="000A2B3D"/>
    <w:rsid w:val="000A5C68"/>
    <w:rsid w:val="000A6EC7"/>
    <w:rsid w:val="000A7E3C"/>
    <w:rsid w:val="000B0652"/>
    <w:rsid w:val="000B232E"/>
    <w:rsid w:val="000B3537"/>
    <w:rsid w:val="000B4EF5"/>
    <w:rsid w:val="000B5255"/>
    <w:rsid w:val="000B6398"/>
    <w:rsid w:val="000B7472"/>
    <w:rsid w:val="000C00E3"/>
    <w:rsid w:val="000C09D9"/>
    <w:rsid w:val="000C1517"/>
    <w:rsid w:val="000C168A"/>
    <w:rsid w:val="000C26FE"/>
    <w:rsid w:val="000C3020"/>
    <w:rsid w:val="000C3CD5"/>
    <w:rsid w:val="000C41A5"/>
    <w:rsid w:val="000C5D88"/>
    <w:rsid w:val="000C7051"/>
    <w:rsid w:val="000D008A"/>
    <w:rsid w:val="000D213D"/>
    <w:rsid w:val="000D2596"/>
    <w:rsid w:val="000D2B51"/>
    <w:rsid w:val="000D2FDD"/>
    <w:rsid w:val="000D348A"/>
    <w:rsid w:val="000D5BA5"/>
    <w:rsid w:val="000D647C"/>
    <w:rsid w:val="000D7879"/>
    <w:rsid w:val="000D79AE"/>
    <w:rsid w:val="000E2B98"/>
    <w:rsid w:val="000E2CCD"/>
    <w:rsid w:val="000E2E6E"/>
    <w:rsid w:val="000E304A"/>
    <w:rsid w:val="000E3413"/>
    <w:rsid w:val="000E3BE4"/>
    <w:rsid w:val="000E4BFB"/>
    <w:rsid w:val="000E5618"/>
    <w:rsid w:val="000E5D4B"/>
    <w:rsid w:val="000E5EF5"/>
    <w:rsid w:val="000E6508"/>
    <w:rsid w:val="000E6611"/>
    <w:rsid w:val="000E6912"/>
    <w:rsid w:val="000E6982"/>
    <w:rsid w:val="000F037D"/>
    <w:rsid w:val="000F0386"/>
    <w:rsid w:val="000F0990"/>
    <w:rsid w:val="000F165A"/>
    <w:rsid w:val="000F16B2"/>
    <w:rsid w:val="000F1753"/>
    <w:rsid w:val="000F2ACA"/>
    <w:rsid w:val="000F2FB6"/>
    <w:rsid w:val="000F3C9A"/>
    <w:rsid w:val="000F4198"/>
    <w:rsid w:val="000F462D"/>
    <w:rsid w:val="000F533E"/>
    <w:rsid w:val="000F5D63"/>
    <w:rsid w:val="000F6E3B"/>
    <w:rsid w:val="000F7CB6"/>
    <w:rsid w:val="001004B8"/>
    <w:rsid w:val="00101490"/>
    <w:rsid w:val="001019EB"/>
    <w:rsid w:val="00102155"/>
    <w:rsid w:val="00102ABC"/>
    <w:rsid w:val="00102D9B"/>
    <w:rsid w:val="0010394A"/>
    <w:rsid w:val="00103A63"/>
    <w:rsid w:val="0010410E"/>
    <w:rsid w:val="0010483C"/>
    <w:rsid w:val="00104E19"/>
    <w:rsid w:val="0010771D"/>
    <w:rsid w:val="001077F9"/>
    <w:rsid w:val="00107A24"/>
    <w:rsid w:val="00110D36"/>
    <w:rsid w:val="00112CE7"/>
    <w:rsid w:val="00113042"/>
    <w:rsid w:val="0011323F"/>
    <w:rsid w:val="001137FB"/>
    <w:rsid w:val="00113B9E"/>
    <w:rsid w:val="00114207"/>
    <w:rsid w:val="00114592"/>
    <w:rsid w:val="00114B84"/>
    <w:rsid w:val="00117185"/>
    <w:rsid w:val="00117C59"/>
    <w:rsid w:val="0012011D"/>
    <w:rsid w:val="00120241"/>
    <w:rsid w:val="001208C2"/>
    <w:rsid w:val="00120B20"/>
    <w:rsid w:val="00121CE9"/>
    <w:rsid w:val="00122958"/>
    <w:rsid w:val="00122DAA"/>
    <w:rsid w:val="00125553"/>
    <w:rsid w:val="00127DB2"/>
    <w:rsid w:val="00127FC7"/>
    <w:rsid w:val="00131111"/>
    <w:rsid w:val="001311A9"/>
    <w:rsid w:val="0013129F"/>
    <w:rsid w:val="0013341B"/>
    <w:rsid w:val="001337A8"/>
    <w:rsid w:val="00134308"/>
    <w:rsid w:val="00135190"/>
    <w:rsid w:val="001358C9"/>
    <w:rsid w:val="001359B6"/>
    <w:rsid w:val="00135B23"/>
    <w:rsid w:val="00135B3B"/>
    <w:rsid w:val="0013697B"/>
    <w:rsid w:val="001369B3"/>
    <w:rsid w:val="00137822"/>
    <w:rsid w:val="00137CF7"/>
    <w:rsid w:val="001401DA"/>
    <w:rsid w:val="00140C8A"/>
    <w:rsid w:val="00141100"/>
    <w:rsid w:val="00142200"/>
    <w:rsid w:val="0014295B"/>
    <w:rsid w:val="00142A07"/>
    <w:rsid w:val="00142F64"/>
    <w:rsid w:val="00143006"/>
    <w:rsid w:val="001431B8"/>
    <w:rsid w:val="00143B58"/>
    <w:rsid w:val="00144EC6"/>
    <w:rsid w:val="00146211"/>
    <w:rsid w:val="00146FCA"/>
    <w:rsid w:val="0014728B"/>
    <w:rsid w:val="00147839"/>
    <w:rsid w:val="001505D1"/>
    <w:rsid w:val="00150F73"/>
    <w:rsid w:val="0015107E"/>
    <w:rsid w:val="0015130B"/>
    <w:rsid w:val="001524C7"/>
    <w:rsid w:val="00154274"/>
    <w:rsid w:val="00154875"/>
    <w:rsid w:val="00154A51"/>
    <w:rsid w:val="001555A6"/>
    <w:rsid w:val="00156FA8"/>
    <w:rsid w:val="001574CF"/>
    <w:rsid w:val="0016009E"/>
    <w:rsid w:val="00160344"/>
    <w:rsid w:val="00160A0F"/>
    <w:rsid w:val="00160C1F"/>
    <w:rsid w:val="00161936"/>
    <w:rsid w:val="00162300"/>
    <w:rsid w:val="0016311F"/>
    <w:rsid w:val="00163BF4"/>
    <w:rsid w:val="00164FBD"/>
    <w:rsid w:val="00164FD6"/>
    <w:rsid w:val="0016530F"/>
    <w:rsid w:val="00165420"/>
    <w:rsid w:val="00166CA0"/>
    <w:rsid w:val="001672C7"/>
    <w:rsid w:val="00171240"/>
    <w:rsid w:val="001717F0"/>
    <w:rsid w:val="00171F26"/>
    <w:rsid w:val="00172528"/>
    <w:rsid w:val="00175474"/>
    <w:rsid w:val="00176299"/>
    <w:rsid w:val="001767DC"/>
    <w:rsid w:val="00177222"/>
    <w:rsid w:val="00177568"/>
    <w:rsid w:val="00177D88"/>
    <w:rsid w:val="00177D92"/>
    <w:rsid w:val="00180CE3"/>
    <w:rsid w:val="00181102"/>
    <w:rsid w:val="00181A94"/>
    <w:rsid w:val="00181E20"/>
    <w:rsid w:val="0018247B"/>
    <w:rsid w:val="0018389B"/>
    <w:rsid w:val="0018490F"/>
    <w:rsid w:val="00185E6B"/>
    <w:rsid w:val="00187563"/>
    <w:rsid w:val="001875EC"/>
    <w:rsid w:val="00190160"/>
    <w:rsid w:val="0019095B"/>
    <w:rsid w:val="00192332"/>
    <w:rsid w:val="00193439"/>
    <w:rsid w:val="001936B3"/>
    <w:rsid w:val="00194F65"/>
    <w:rsid w:val="00195E47"/>
    <w:rsid w:val="001977FA"/>
    <w:rsid w:val="001A2134"/>
    <w:rsid w:val="001A2E95"/>
    <w:rsid w:val="001A3541"/>
    <w:rsid w:val="001A445F"/>
    <w:rsid w:val="001A4667"/>
    <w:rsid w:val="001A4733"/>
    <w:rsid w:val="001A5022"/>
    <w:rsid w:val="001A5608"/>
    <w:rsid w:val="001A57FF"/>
    <w:rsid w:val="001A59C4"/>
    <w:rsid w:val="001A66D1"/>
    <w:rsid w:val="001A675E"/>
    <w:rsid w:val="001A7578"/>
    <w:rsid w:val="001B01E2"/>
    <w:rsid w:val="001B033B"/>
    <w:rsid w:val="001B0AA1"/>
    <w:rsid w:val="001B0E99"/>
    <w:rsid w:val="001B3164"/>
    <w:rsid w:val="001B31F3"/>
    <w:rsid w:val="001B3675"/>
    <w:rsid w:val="001B4862"/>
    <w:rsid w:val="001B560E"/>
    <w:rsid w:val="001B6374"/>
    <w:rsid w:val="001B654A"/>
    <w:rsid w:val="001B6617"/>
    <w:rsid w:val="001B6959"/>
    <w:rsid w:val="001B6FE8"/>
    <w:rsid w:val="001B75AB"/>
    <w:rsid w:val="001B79B9"/>
    <w:rsid w:val="001C0880"/>
    <w:rsid w:val="001C11F1"/>
    <w:rsid w:val="001C11FB"/>
    <w:rsid w:val="001C1350"/>
    <w:rsid w:val="001C13F0"/>
    <w:rsid w:val="001C2621"/>
    <w:rsid w:val="001C28B3"/>
    <w:rsid w:val="001C33B2"/>
    <w:rsid w:val="001C3C2E"/>
    <w:rsid w:val="001C445C"/>
    <w:rsid w:val="001C542F"/>
    <w:rsid w:val="001C5859"/>
    <w:rsid w:val="001C58BD"/>
    <w:rsid w:val="001C6C43"/>
    <w:rsid w:val="001D0900"/>
    <w:rsid w:val="001D1371"/>
    <w:rsid w:val="001D15D9"/>
    <w:rsid w:val="001D2A9E"/>
    <w:rsid w:val="001D2AB4"/>
    <w:rsid w:val="001D2E91"/>
    <w:rsid w:val="001D30CA"/>
    <w:rsid w:val="001D446D"/>
    <w:rsid w:val="001D478A"/>
    <w:rsid w:val="001D47EB"/>
    <w:rsid w:val="001D5B74"/>
    <w:rsid w:val="001D69E8"/>
    <w:rsid w:val="001D72F9"/>
    <w:rsid w:val="001E0283"/>
    <w:rsid w:val="001E0480"/>
    <w:rsid w:val="001E1251"/>
    <w:rsid w:val="001E1429"/>
    <w:rsid w:val="001E1475"/>
    <w:rsid w:val="001E2E34"/>
    <w:rsid w:val="001E6FE8"/>
    <w:rsid w:val="001E7B69"/>
    <w:rsid w:val="001E7C4B"/>
    <w:rsid w:val="001F33BD"/>
    <w:rsid w:val="001F36F8"/>
    <w:rsid w:val="001F3746"/>
    <w:rsid w:val="001F3F9B"/>
    <w:rsid w:val="001F43CE"/>
    <w:rsid w:val="001F52A4"/>
    <w:rsid w:val="001F5B65"/>
    <w:rsid w:val="001F6191"/>
    <w:rsid w:val="001F66FD"/>
    <w:rsid w:val="001F6E5E"/>
    <w:rsid w:val="00202BDB"/>
    <w:rsid w:val="002039FF"/>
    <w:rsid w:val="00203B8E"/>
    <w:rsid w:val="002040AE"/>
    <w:rsid w:val="00204834"/>
    <w:rsid w:val="002055AD"/>
    <w:rsid w:val="00207920"/>
    <w:rsid w:val="002101E7"/>
    <w:rsid w:val="0021075C"/>
    <w:rsid w:val="002107DC"/>
    <w:rsid w:val="00210CCA"/>
    <w:rsid w:val="00211FA8"/>
    <w:rsid w:val="00212A39"/>
    <w:rsid w:val="0021450B"/>
    <w:rsid w:val="002148BF"/>
    <w:rsid w:val="002151F6"/>
    <w:rsid w:val="00216746"/>
    <w:rsid w:val="0021776C"/>
    <w:rsid w:val="00217ED6"/>
    <w:rsid w:val="00221DD4"/>
    <w:rsid w:val="00221E97"/>
    <w:rsid w:val="002223A2"/>
    <w:rsid w:val="002226E4"/>
    <w:rsid w:val="00222DEE"/>
    <w:rsid w:val="00224A45"/>
    <w:rsid w:val="002255AC"/>
    <w:rsid w:val="0022594B"/>
    <w:rsid w:val="0022595F"/>
    <w:rsid w:val="00226916"/>
    <w:rsid w:val="00226F31"/>
    <w:rsid w:val="0023010A"/>
    <w:rsid w:val="00231768"/>
    <w:rsid w:val="00231D56"/>
    <w:rsid w:val="00232130"/>
    <w:rsid w:val="00232636"/>
    <w:rsid w:val="002334C2"/>
    <w:rsid w:val="002338DB"/>
    <w:rsid w:val="00234977"/>
    <w:rsid w:val="00234ADF"/>
    <w:rsid w:val="00236710"/>
    <w:rsid w:val="00236727"/>
    <w:rsid w:val="00237A80"/>
    <w:rsid w:val="00240156"/>
    <w:rsid w:val="0024146E"/>
    <w:rsid w:val="0024343F"/>
    <w:rsid w:val="00243E6C"/>
    <w:rsid w:val="00243FE5"/>
    <w:rsid w:val="002469E9"/>
    <w:rsid w:val="0024722E"/>
    <w:rsid w:val="00252C49"/>
    <w:rsid w:val="00253A22"/>
    <w:rsid w:val="002547A5"/>
    <w:rsid w:val="00254D4D"/>
    <w:rsid w:val="0026079A"/>
    <w:rsid w:val="00260BF1"/>
    <w:rsid w:val="00260CFD"/>
    <w:rsid w:val="00261126"/>
    <w:rsid w:val="002619C8"/>
    <w:rsid w:val="00261F4B"/>
    <w:rsid w:val="00262915"/>
    <w:rsid w:val="00262A23"/>
    <w:rsid w:val="00262AC8"/>
    <w:rsid w:val="00264614"/>
    <w:rsid w:val="002667A6"/>
    <w:rsid w:val="0026697C"/>
    <w:rsid w:val="00266B45"/>
    <w:rsid w:val="00266C5C"/>
    <w:rsid w:val="00267604"/>
    <w:rsid w:val="002703E2"/>
    <w:rsid w:val="002703F1"/>
    <w:rsid w:val="00270C15"/>
    <w:rsid w:val="00273940"/>
    <w:rsid w:val="00274061"/>
    <w:rsid w:val="0027409A"/>
    <w:rsid w:val="00274144"/>
    <w:rsid w:val="00274E17"/>
    <w:rsid w:val="00275148"/>
    <w:rsid w:val="00275FE6"/>
    <w:rsid w:val="00276737"/>
    <w:rsid w:val="00276F81"/>
    <w:rsid w:val="00276FC8"/>
    <w:rsid w:val="00280E09"/>
    <w:rsid w:val="00281088"/>
    <w:rsid w:val="0028129F"/>
    <w:rsid w:val="002815FA"/>
    <w:rsid w:val="00282E65"/>
    <w:rsid w:val="002835C6"/>
    <w:rsid w:val="00284F80"/>
    <w:rsid w:val="00285408"/>
    <w:rsid w:val="002855E5"/>
    <w:rsid w:val="002858D3"/>
    <w:rsid w:val="00285D29"/>
    <w:rsid w:val="00286E0A"/>
    <w:rsid w:val="00287A0F"/>
    <w:rsid w:val="002913C3"/>
    <w:rsid w:val="002918A6"/>
    <w:rsid w:val="002936F3"/>
    <w:rsid w:val="00293811"/>
    <w:rsid w:val="00294403"/>
    <w:rsid w:val="00295066"/>
    <w:rsid w:val="002955CD"/>
    <w:rsid w:val="002958AA"/>
    <w:rsid w:val="00296908"/>
    <w:rsid w:val="002A1200"/>
    <w:rsid w:val="002A3273"/>
    <w:rsid w:val="002A3A30"/>
    <w:rsid w:val="002A461E"/>
    <w:rsid w:val="002A604F"/>
    <w:rsid w:val="002A6325"/>
    <w:rsid w:val="002A67DD"/>
    <w:rsid w:val="002A7852"/>
    <w:rsid w:val="002A798E"/>
    <w:rsid w:val="002B0728"/>
    <w:rsid w:val="002B107F"/>
    <w:rsid w:val="002B1A1A"/>
    <w:rsid w:val="002B278C"/>
    <w:rsid w:val="002B2A5F"/>
    <w:rsid w:val="002B2D97"/>
    <w:rsid w:val="002B33C1"/>
    <w:rsid w:val="002B3935"/>
    <w:rsid w:val="002B4027"/>
    <w:rsid w:val="002B4117"/>
    <w:rsid w:val="002B415F"/>
    <w:rsid w:val="002B535A"/>
    <w:rsid w:val="002B5B25"/>
    <w:rsid w:val="002B627C"/>
    <w:rsid w:val="002B7257"/>
    <w:rsid w:val="002C0014"/>
    <w:rsid w:val="002C0915"/>
    <w:rsid w:val="002C0B94"/>
    <w:rsid w:val="002C0C35"/>
    <w:rsid w:val="002C134A"/>
    <w:rsid w:val="002C1BE5"/>
    <w:rsid w:val="002C29AA"/>
    <w:rsid w:val="002C2D32"/>
    <w:rsid w:val="002C3985"/>
    <w:rsid w:val="002C41B5"/>
    <w:rsid w:val="002C4890"/>
    <w:rsid w:val="002C5293"/>
    <w:rsid w:val="002C59A6"/>
    <w:rsid w:val="002C69E8"/>
    <w:rsid w:val="002C6D51"/>
    <w:rsid w:val="002C6DC8"/>
    <w:rsid w:val="002C7AD0"/>
    <w:rsid w:val="002D0A9E"/>
    <w:rsid w:val="002D1554"/>
    <w:rsid w:val="002D32CA"/>
    <w:rsid w:val="002D5366"/>
    <w:rsid w:val="002D54AC"/>
    <w:rsid w:val="002D5E8C"/>
    <w:rsid w:val="002D71E2"/>
    <w:rsid w:val="002D769E"/>
    <w:rsid w:val="002E027E"/>
    <w:rsid w:val="002E05C7"/>
    <w:rsid w:val="002E086B"/>
    <w:rsid w:val="002E0AC8"/>
    <w:rsid w:val="002E1C12"/>
    <w:rsid w:val="002E2F3C"/>
    <w:rsid w:val="002E360F"/>
    <w:rsid w:val="002E39D3"/>
    <w:rsid w:val="002E4FA7"/>
    <w:rsid w:val="002E56EE"/>
    <w:rsid w:val="002E570D"/>
    <w:rsid w:val="002E757F"/>
    <w:rsid w:val="002F10E6"/>
    <w:rsid w:val="002F24D1"/>
    <w:rsid w:val="002F28D6"/>
    <w:rsid w:val="002F459E"/>
    <w:rsid w:val="002F4F1A"/>
    <w:rsid w:val="002F58AB"/>
    <w:rsid w:val="002F58B5"/>
    <w:rsid w:val="002F6BF4"/>
    <w:rsid w:val="002F6E61"/>
    <w:rsid w:val="002F7560"/>
    <w:rsid w:val="002F7768"/>
    <w:rsid w:val="002F7DBD"/>
    <w:rsid w:val="0030157E"/>
    <w:rsid w:val="00303189"/>
    <w:rsid w:val="0030390C"/>
    <w:rsid w:val="00303954"/>
    <w:rsid w:val="0030418A"/>
    <w:rsid w:val="0030467E"/>
    <w:rsid w:val="0030557B"/>
    <w:rsid w:val="00306786"/>
    <w:rsid w:val="00306877"/>
    <w:rsid w:val="00310433"/>
    <w:rsid w:val="00311FEB"/>
    <w:rsid w:val="00312A3E"/>
    <w:rsid w:val="003130F2"/>
    <w:rsid w:val="00313841"/>
    <w:rsid w:val="00313B5F"/>
    <w:rsid w:val="00313D8B"/>
    <w:rsid w:val="00314041"/>
    <w:rsid w:val="003160E0"/>
    <w:rsid w:val="00316BEE"/>
    <w:rsid w:val="00316D24"/>
    <w:rsid w:val="003173C5"/>
    <w:rsid w:val="00320534"/>
    <w:rsid w:val="0032072E"/>
    <w:rsid w:val="00322997"/>
    <w:rsid w:val="00323B74"/>
    <w:rsid w:val="003244E6"/>
    <w:rsid w:val="003247A7"/>
    <w:rsid w:val="003257E5"/>
    <w:rsid w:val="00325F9E"/>
    <w:rsid w:val="00326FD4"/>
    <w:rsid w:val="003277B5"/>
    <w:rsid w:val="00330D09"/>
    <w:rsid w:val="00330EEA"/>
    <w:rsid w:val="00331131"/>
    <w:rsid w:val="003332D2"/>
    <w:rsid w:val="00333383"/>
    <w:rsid w:val="00334436"/>
    <w:rsid w:val="00334EED"/>
    <w:rsid w:val="003352BC"/>
    <w:rsid w:val="00335EDE"/>
    <w:rsid w:val="0033618F"/>
    <w:rsid w:val="003365D5"/>
    <w:rsid w:val="00337165"/>
    <w:rsid w:val="003377B6"/>
    <w:rsid w:val="003409E9"/>
    <w:rsid w:val="00340F05"/>
    <w:rsid w:val="00342348"/>
    <w:rsid w:val="00343040"/>
    <w:rsid w:val="003437C9"/>
    <w:rsid w:val="00343D6C"/>
    <w:rsid w:val="003468B4"/>
    <w:rsid w:val="0034695C"/>
    <w:rsid w:val="00350522"/>
    <w:rsid w:val="00350B76"/>
    <w:rsid w:val="00350EEC"/>
    <w:rsid w:val="0035129A"/>
    <w:rsid w:val="0035219A"/>
    <w:rsid w:val="00352458"/>
    <w:rsid w:val="00352BF1"/>
    <w:rsid w:val="00352DCC"/>
    <w:rsid w:val="00353839"/>
    <w:rsid w:val="003547C7"/>
    <w:rsid w:val="00356700"/>
    <w:rsid w:val="00361B1E"/>
    <w:rsid w:val="00363BC3"/>
    <w:rsid w:val="00364E2A"/>
    <w:rsid w:val="00365323"/>
    <w:rsid w:val="003668D8"/>
    <w:rsid w:val="00366E07"/>
    <w:rsid w:val="00367924"/>
    <w:rsid w:val="00370204"/>
    <w:rsid w:val="00370471"/>
    <w:rsid w:val="00370639"/>
    <w:rsid w:val="003707F5"/>
    <w:rsid w:val="003707FA"/>
    <w:rsid w:val="003722FA"/>
    <w:rsid w:val="00372518"/>
    <w:rsid w:val="0037406F"/>
    <w:rsid w:val="00374646"/>
    <w:rsid w:val="00374A49"/>
    <w:rsid w:val="00375246"/>
    <w:rsid w:val="0037681F"/>
    <w:rsid w:val="00380223"/>
    <w:rsid w:val="0038047B"/>
    <w:rsid w:val="00381941"/>
    <w:rsid w:val="00381AB3"/>
    <w:rsid w:val="003824EB"/>
    <w:rsid w:val="003835FD"/>
    <w:rsid w:val="00383665"/>
    <w:rsid w:val="003843F4"/>
    <w:rsid w:val="00384A09"/>
    <w:rsid w:val="00384CCF"/>
    <w:rsid w:val="003874C8"/>
    <w:rsid w:val="00387E02"/>
    <w:rsid w:val="00391716"/>
    <w:rsid w:val="003925C4"/>
    <w:rsid w:val="003926DF"/>
    <w:rsid w:val="0039294E"/>
    <w:rsid w:val="00394AA7"/>
    <w:rsid w:val="00395373"/>
    <w:rsid w:val="00395DF8"/>
    <w:rsid w:val="00396252"/>
    <w:rsid w:val="00396CA2"/>
    <w:rsid w:val="003974D6"/>
    <w:rsid w:val="003976C1"/>
    <w:rsid w:val="003A2408"/>
    <w:rsid w:val="003A39EA"/>
    <w:rsid w:val="003A42A4"/>
    <w:rsid w:val="003A47A7"/>
    <w:rsid w:val="003A4BBC"/>
    <w:rsid w:val="003A63C0"/>
    <w:rsid w:val="003A6B34"/>
    <w:rsid w:val="003A70A1"/>
    <w:rsid w:val="003A72E2"/>
    <w:rsid w:val="003A77A2"/>
    <w:rsid w:val="003A7DA8"/>
    <w:rsid w:val="003B0BAD"/>
    <w:rsid w:val="003B1D98"/>
    <w:rsid w:val="003B2793"/>
    <w:rsid w:val="003B52C9"/>
    <w:rsid w:val="003B5F66"/>
    <w:rsid w:val="003B6C79"/>
    <w:rsid w:val="003C0307"/>
    <w:rsid w:val="003C0956"/>
    <w:rsid w:val="003C295F"/>
    <w:rsid w:val="003C42D1"/>
    <w:rsid w:val="003C42DA"/>
    <w:rsid w:val="003C4469"/>
    <w:rsid w:val="003C4943"/>
    <w:rsid w:val="003C524B"/>
    <w:rsid w:val="003C52F3"/>
    <w:rsid w:val="003C5F06"/>
    <w:rsid w:val="003C657A"/>
    <w:rsid w:val="003C6BF7"/>
    <w:rsid w:val="003D037E"/>
    <w:rsid w:val="003D0FED"/>
    <w:rsid w:val="003D23C8"/>
    <w:rsid w:val="003D31CE"/>
    <w:rsid w:val="003D357F"/>
    <w:rsid w:val="003D3E51"/>
    <w:rsid w:val="003D3F08"/>
    <w:rsid w:val="003D506A"/>
    <w:rsid w:val="003D5F52"/>
    <w:rsid w:val="003D7150"/>
    <w:rsid w:val="003D717C"/>
    <w:rsid w:val="003D7999"/>
    <w:rsid w:val="003D7DB4"/>
    <w:rsid w:val="003D7F22"/>
    <w:rsid w:val="003D7F4D"/>
    <w:rsid w:val="003E1782"/>
    <w:rsid w:val="003E1CDE"/>
    <w:rsid w:val="003E27DC"/>
    <w:rsid w:val="003E2F5B"/>
    <w:rsid w:val="003E3635"/>
    <w:rsid w:val="003E3C67"/>
    <w:rsid w:val="003E3DF4"/>
    <w:rsid w:val="003E4A9D"/>
    <w:rsid w:val="003E4BE8"/>
    <w:rsid w:val="003E4E21"/>
    <w:rsid w:val="003E5C55"/>
    <w:rsid w:val="003E5D06"/>
    <w:rsid w:val="003E6F22"/>
    <w:rsid w:val="003F16EC"/>
    <w:rsid w:val="003F19E5"/>
    <w:rsid w:val="003F20A5"/>
    <w:rsid w:val="003F3424"/>
    <w:rsid w:val="003F3D5E"/>
    <w:rsid w:val="003F3F62"/>
    <w:rsid w:val="003F4B58"/>
    <w:rsid w:val="003F4FEC"/>
    <w:rsid w:val="003F53BF"/>
    <w:rsid w:val="003F55A3"/>
    <w:rsid w:val="003F6229"/>
    <w:rsid w:val="003F654D"/>
    <w:rsid w:val="003F6DF3"/>
    <w:rsid w:val="003F775B"/>
    <w:rsid w:val="0040010E"/>
    <w:rsid w:val="00402C7D"/>
    <w:rsid w:val="0040365E"/>
    <w:rsid w:val="0040566D"/>
    <w:rsid w:val="00406798"/>
    <w:rsid w:val="00406FC4"/>
    <w:rsid w:val="004071C4"/>
    <w:rsid w:val="00407ED3"/>
    <w:rsid w:val="00410705"/>
    <w:rsid w:val="0041085A"/>
    <w:rsid w:val="004109ED"/>
    <w:rsid w:val="004110DC"/>
    <w:rsid w:val="00411F86"/>
    <w:rsid w:val="00412F6D"/>
    <w:rsid w:val="00415AA8"/>
    <w:rsid w:val="004166F1"/>
    <w:rsid w:val="00417698"/>
    <w:rsid w:val="00417C65"/>
    <w:rsid w:val="00420A36"/>
    <w:rsid w:val="00420A92"/>
    <w:rsid w:val="0042179B"/>
    <w:rsid w:val="00422A17"/>
    <w:rsid w:val="00422DE7"/>
    <w:rsid w:val="00423091"/>
    <w:rsid w:val="00423F17"/>
    <w:rsid w:val="0042440C"/>
    <w:rsid w:val="0042478D"/>
    <w:rsid w:val="00424B48"/>
    <w:rsid w:val="00424D8E"/>
    <w:rsid w:val="004258ED"/>
    <w:rsid w:val="00425E4F"/>
    <w:rsid w:val="004261C9"/>
    <w:rsid w:val="00426A75"/>
    <w:rsid w:val="00426ED0"/>
    <w:rsid w:val="00427760"/>
    <w:rsid w:val="00430382"/>
    <w:rsid w:val="00432655"/>
    <w:rsid w:val="00432A72"/>
    <w:rsid w:val="00432EF9"/>
    <w:rsid w:val="00434763"/>
    <w:rsid w:val="00434E9A"/>
    <w:rsid w:val="004354A2"/>
    <w:rsid w:val="004366D5"/>
    <w:rsid w:val="0043697C"/>
    <w:rsid w:val="00440BC5"/>
    <w:rsid w:val="004413CC"/>
    <w:rsid w:val="00441C73"/>
    <w:rsid w:val="00441CDD"/>
    <w:rsid w:val="00442A22"/>
    <w:rsid w:val="00442C38"/>
    <w:rsid w:val="004432DE"/>
    <w:rsid w:val="00443911"/>
    <w:rsid w:val="004446BA"/>
    <w:rsid w:val="00444C81"/>
    <w:rsid w:val="004459CA"/>
    <w:rsid w:val="00446140"/>
    <w:rsid w:val="004467E0"/>
    <w:rsid w:val="0045252A"/>
    <w:rsid w:val="00452999"/>
    <w:rsid w:val="00452D19"/>
    <w:rsid w:val="00453ADD"/>
    <w:rsid w:val="0045555D"/>
    <w:rsid w:val="00456072"/>
    <w:rsid w:val="00456822"/>
    <w:rsid w:val="00456C7D"/>
    <w:rsid w:val="00456D3B"/>
    <w:rsid w:val="004570E2"/>
    <w:rsid w:val="00457C98"/>
    <w:rsid w:val="00460382"/>
    <w:rsid w:val="0046152F"/>
    <w:rsid w:val="00462A26"/>
    <w:rsid w:val="00462ECF"/>
    <w:rsid w:val="0046302A"/>
    <w:rsid w:val="004650A2"/>
    <w:rsid w:val="00466FA8"/>
    <w:rsid w:val="004675E6"/>
    <w:rsid w:val="00470A50"/>
    <w:rsid w:val="00471184"/>
    <w:rsid w:val="004717D7"/>
    <w:rsid w:val="00471D64"/>
    <w:rsid w:val="00472563"/>
    <w:rsid w:val="0047269B"/>
    <w:rsid w:val="00473350"/>
    <w:rsid w:val="004745F2"/>
    <w:rsid w:val="004751DA"/>
    <w:rsid w:val="00475680"/>
    <w:rsid w:val="00475E00"/>
    <w:rsid w:val="00476FFD"/>
    <w:rsid w:val="00477911"/>
    <w:rsid w:val="00477D1E"/>
    <w:rsid w:val="00480A1F"/>
    <w:rsid w:val="00480C03"/>
    <w:rsid w:val="00481415"/>
    <w:rsid w:val="004818A6"/>
    <w:rsid w:val="00482E48"/>
    <w:rsid w:val="0048316A"/>
    <w:rsid w:val="00483303"/>
    <w:rsid w:val="0048379F"/>
    <w:rsid w:val="00485068"/>
    <w:rsid w:val="0048674A"/>
    <w:rsid w:val="0048700A"/>
    <w:rsid w:val="00487DA6"/>
    <w:rsid w:val="004904E7"/>
    <w:rsid w:val="004908A7"/>
    <w:rsid w:val="00491026"/>
    <w:rsid w:val="00491B57"/>
    <w:rsid w:val="0049203F"/>
    <w:rsid w:val="0049239F"/>
    <w:rsid w:val="00493041"/>
    <w:rsid w:val="004930B6"/>
    <w:rsid w:val="0049506B"/>
    <w:rsid w:val="00495ADD"/>
    <w:rsid w:val="00495FD9"/>
    <w:rsid w:val="0049677E"/>
    <w:rsid w:val="004977A4"/>
    <w:rsid w:val="0049785D"/>
    <w:rsid w:val="00497AC0"/>
    <w:rsid w:val="004A00F6"/>
    <w:rsid w:val="004A0271"/>
    <w:rsid w:val="004A0BA9"/>
    <w:rsid w:val="004A0E52"/>
    <w:rsid w:val="004A127E"/>
    <w:rsid w:val="004A2681"/>
    <w:rsid w:val="004A2C87"/>
    <w:rsid w:val="004A4483"/>
    <w:rsid w:val="004A4C37"/>
    <w:rsid w:val="004A561F"/>
    <w:rsid w:val="004A61C9"/>
    <w:rsid w:val="004A73B2"/>
    <w:rsid w:val="004A7891"/>
    <w:rsid w:val="004B06F0"/>
    <w:rsid w:val="004B076D"/>
    <w:rsid w:val="004B07BD"/>
    <w:rsid w:val="004B097C"/>
    <w:rsid w:val="004B11E1"/>
    <w:rsid w:val="004B1671"/>
    <w:rsid w:val="004B29D1"/>
    <w:rsid w:val="004B3199"/>
    <w:rsid w:val="004B483E"/>
    <w:rsid w:val="004B58D1"/>
    <w:rsid w:val="004B663C"/>
    <w:rsid w:val="004B75BB"/>
    <w:rsid w:val="004B780F"/>
    <w:rsid w:val="004B7C42"/>
    <w:rsid w:val="004C17DE"/>
    <w:rsid w:val="004C1A08"/>
    <w:rsid w:val="004C23E6"/>
    <w:rsid w:val="004C2DA5"/>
    <w:rsid w:val="004C351A"/>
    <w:rsid w:val="004C49A2"/>
    <w:rsid w:val="004C4BA9"/>
    <w:rsid w:val="004C562D"/>
    <w:rsid w:val="004C5BE8"/>
    <w:rsid w:val="004C68F8"/>
    <w:rsid w:val="004C69CA"/>
    <w:rsid w:val="004C709B"/>
    <w:rsid w:val="004C7FC5"/>
    <w:rsid w:val="004D086E"/>
    <w:rsid w:val="004D0899"/>
    <w:rsid w:val="004D0EB0"/>
    <w:rsid w:val="004D1638"/>
    <w:rsid w:val="004D1861"/>
    <w:rsid w:val="004D2EA5"/>
    <w:rsid w:val="004D39C2"/>
    <w:rsid w:val="004D4588"/>
    <w:rsid w:val="004D4B99"/>
    <w:rsid w:val="004D50C7"/>
    <w:rsid w:val="004D59F2"/>
    <w:rsid w:val="004D628F"/>
    <w:rsid w:val="004E1833"/>
    <w:rsid w:val="004E1A9B"/>
    <w:rsid w:val="004E287C"/>
    <w:rsid w:val="004E380B"/>
    <w:rsid w:val="004E3F51"/>
    <w:rsid w:val="004E49E1"/>
    <w:rsid w:val="004E4B5D"/>
    <w:rsid w:val="004E5242"/>
    <w:rsid w:val="004E7244"/>
    <w:rsid w:val="004E7BA3"/>
    <w:rsid w:val="004F0A38"/>
    <w:rsid w:val="004F2370"/>
    <w:rsid w:val="004F3029"/>
    <w:rsid w:val="004F3BBB"/>
    <w:rsid w:val="004F4654"/>
    <w:rsid w:val="004F575E"/>
    <w:rsid w:val="004F5D0C"/>
    <w:rsid w:val="004F6168"/>
    <w:rsid w:val="004F697A"/>
    <w:rsid w:val="004F72E5"/>
    <w:rsid w:val="004F7487"/>
    <w:rsid w:val="004F748B"/>
    <w:rsid w:val="004F775B"/>
    <w:rsid w:val="004F7DB0"/>
    <w:rsid w:val="0050054D"/>
    <w:rsid w:val="00500AF1"/>
    <w:rsid w:val="00500C37"/>
    <w:rsid w:val="00500DC7"/>
    <w:rsid w:val="005018C6"/>
    <w:rsid w:val="00501B59"/>
    <w:rsid w:val="00501CA3"/>
    <w:rsid w:val="005021EA"/>
    <w:rsid w:val="005030DF"/>
    <w:rsid w:val="0050453A"/>
    <w:rsid w:val="00504C75"/>
    <w:rsid w:val="005058F7"/>
    <w:rsid w:val="005067E8"/>
    <w:rsid w:val="005072AE"/>
    <w:rsid w:val="00510A78"/>
    <w:rsid w:val="00511341"/>
    <w:rsid w:val="00511532"/>
    <w:rsid w:val="00512207"/>
    <w:rsid w:val="00512726"/>
    <w:rsid w:val="00512C51"/>
    <w:rsid w:val="0051310D"/>
    <w:rsid w:val="0051368B"/>
    <w:rsid w:val="0051433A"/>
    <w:rsid w:val="00514EF3"/>
    <w:rsid w:val="00515408"/>
    <w:rsid w:val="00515675"/>
    <w:rsid w:val="00515957"/>
    <w:rsid w:val="00520896"/>
    <w:rsid w:val="00521BB3"/>
    <w:rsid w:val="00524128"/>
    <w:rsid w:val="0052432C"/>
    <w:rsid w:val="00525A42"/>
    <w:rsid w:val="00525DD6"/>
    <w:rsid w:val="0052611C"/>
    <w:rsid w:val="00526244"/>
    <w:rsid w:val="005265EE"/>
    <w:rsid w:val="00526640"/>
    <w:rsid w:val="005269EF"/>
    <w:rsid w:val="0052705F"/>
    <w:rsid w:val="00527978"/>
    <w:rsid w:val="00527BF7"/>
    <w:rsid w:val="00527BFE"/>
    <w:rsid w:val="00531685"/>
    <w:rsid w:val="00531FDF"/>
    <w:rsid w:val="00532874"/>
    <w:rsid w:val="00532E05"/>
    <w:rsid w:val="00533E04"/>
    <w:rsid w:val="0053408A"/>
    <w:rsid w:val="005341C2"/>
    <w:rsid w:val="0053490A"/>
    <w:rsid w:val="005356A3"/>
    <w:rsid w:val="005356D6"/>
    <w:rsid w:val="005367E1"/>
    <w:rsid w:val="005371A6"/>
    <w:rsid w:val="00537A70"/>
    <w:rsid w:val="00540D7B"/>
    <w:rsid w:val="0054119B"/>
    <w:rsid w:val="005428DB"/>
    <w:rsid w:val="00542A6E"/>
    <w:rsid w:val="00542EFD"/>
    <w:rsid w:val="00543FD9"/>
    <w:rsid w:val="005455B5"/>
    <w:rsid w:val="00545761"/>
    <w:rsid w:val="00545864"/>
    <w:rsid w:val="005458AE"/>
    <w:rsid w:val="00545F6E"/>
    <w:rsid w:val="00546180"/>
    <w:rsid w:val="00547173"/>
    <w:rsid w:val="00547755"/>
    <w:rsid w:val="00547941"/>
    <w:rsid w:val="00547DE9"/>
    <w:rsid w:val="00547E7D"/>
    <w:rsid w:val="00550CD9"/>
    <w:rsid w:val="005515C3"/>
    <w:rsid w:val="00551B89"/>
    <w:rsid w:val="00552430"/>
    <w:rsid w:val="00552F6F"/>
    <w:rsid w:val="00553237"/>
    <w:rsid w:val="005533A7"/>
    <w:rsid w:val="005543D6"/>
    <w:rsid w:val="00554456"/>
    <w:rsid w:val="005547C4"/>
    <w:rsid w:val="005556D6"/>
    <w:rsid w:val="0055580C"/>
    <w:rsid w:val="00555E15"/>
    <w:rsid w:val="00556A0B"/>
    <w:rsid w:val="005601D1"/>
    <w:rsid w:val="0056086D"/>
    <w:rsid w:val="00560991"/>
    <w:rsid w:val="005618C7"/>
    <w:rsid w:val="00561DC2"/>
    <w:rsid w:val="00561F48"/>
    <w:rsid w:val="00562772"/>
    <w:rsid w:val="00562CEC"/>
    <w:rsid w:val="005630F9"/>
    <w:rsid w:val="0056358A"/>
    <w:rsid w:val="00563836"/>
    <w:rsid w:val="00563BBD"/>
    <w:rsid w:val="00564724"/>
    <w:rsid w:val="00564896"/>
    <w:rsid w:val="00564D50"/>
    <w:rsid w:val="00565805"/>
    <w:rsid w:val="00566DBD"/>
    <w:rsid w:val="00567602"/>
    <w:rsid w:val="0057043E"/>
    <w:rsid w:val="00570D76"/>
    <w:rsid w:val="00570D82"/>
    <w:rsid w:val="00570F8D"/>
    <w:rsid w:val="00571587"/>
    <w:rsid w:val="00571A62"/>
    <w:rsid w:val="00571A9E"/>
    <w:rsid w:val="005730AC"/>
    <w:rsid w:val="0057337E"/>
    <w:rsid w:val="00573A65"/>
    <w:rsid w:val="00574761"/>
    <w:rsid w:val="005752F9"/>
    <w:rsid w:val="0057694A"/>
    <w:rsid w:val="00580C86"/>
    <w:rsid w:val="00581289"/>
    <w:rsid w:val="00582DDA"/>
    <w:rsid w:val="00582F34"/>
    <w:rsid w:val="00583183"/>
    <w:rsid w:val="005837D1"/>
    <w:rsid w:val="0058487B"/>
    <w:rsid w:val="00585379"/>
    <w:rsid w:val="005853E2"/>
    <w:rsid w:val="00585B47"/>
    <w:rsid w:val="00585EB8"/>
    <w:rsid w:val="005866B3"/>
    <w:rsid w:val="00587543"/>
    <w:rsid w:val="0059049F"/>
    <w:rsid w:val="005909A6"/>
    <w:rsid w:val="00590CE0"/>
    <w:rsid w:val="00590DA8"/>
    <w:rsid w:val="00591ED7"/>
    <w:rsid w:val="00592E38"/>
    <w:rsid w:val="00593541"/>
    <w:rsid w:val="0059373D"/>
    <w:rsid w:val="005939F1"/>
    <w:rsid w:val="00595034"/>
    <w:rsid w:val="005956F3"/>
    <w:rsid w:val="005971A7"/>
    <w:rsid w:val="00597658"/>
    <w:rsid w:val="00597FCD"/>
    <w:rsid w:val="005A01CF"/>
    <w:rsid w:val="005A055B"/>
    <w:rsid w:val="005A0BF8"/>
    <w:rsid w:val="005A169C"/>
    <w:rsid w:val="005A214F"/>
    <w:rsid w:val="005A2447"/>
    <w:rsid w:val="005A2C6D"/>
    <w:rsid w:val="005A374D"/>
    <w:rsid w:val="005A484A"/>
    <w:rsid w:val="005A4EE1"/>
    <w:rsid w:val="005A522E"/>
    <w:rsid w:val="005A544A"/>
    <w:rsid w:val="005A76CE"/>
    <w:rsid w:val="005B02C7"/>
    <w:rsid w:val="005B0CDE"/>
    <w:rsid w:val="005B1B71"/>
    <w:rsid w:val="005B1BB2"/>
    <w:rsid w:val="005B1F67"/>
    <w:rsid w:val="005B2E28"/>
    <w:rsid w:val="005B2E50"/>
    <w:rsid w:val="005B2EFB"/>
    <w:rsid w:val="005B36AD"/>
    <w:rsid w:val="005B4970"/>
    <w:rsid w:val="005B4C56"/>
    <w:rsid w:val="005B5736"/>
    <w:rsid w:val="005B6F6B"/>
    <w:rsid w:val="005C0779"/>
    <w:rsid w:val="005C0B64"/>
    <w:rsid w:val="005C0CD1"/>
    <w:rsid w:val="005C3675"/>
    <w:rsid w:val="005C37A0"/>
    <w:rsid w:val="005C37F5"/>
    <w:rsid w:val="005C3F78"/>
    <w:rsid w:val="005C414E"/>
    <w:rsid w:val="005C41D9"/>
    <w:rsid w:val="005C4B0C"/>
    <w:rsid w:val="005C4C97"/>
    <w:rsid w:val="005C5AB7"/>
    <w:rsid w:val="005C5CF0"/>
    <w:rsid w:val="005C5ED3"/>
    <w:rsid w:val="005C63E3"/>
    <w:rsid w:val="005C6A1E"/>
    <w:rsid w:val="005C70C7"/>
    <w:rsid w:val="005C75F9"/>
    <w:rsid w:val="005D04B7"/>
    <w:rsid w:val="005D2582"/>
    <w:rsid w:val="005D297C"/>
    <w:rsid w:val="005D2E96"/>
    <w:rsid w:val="005D32E9"/>
    <w:rsid w:val="005D363C"/>
    <w:rsid w:val="005D46F7"/>
    <w:rsid w:val="005D49C0"/>
    <w:rsid w:val="005D515D"/>
    <w:rsid w:val="005D59EF"/>
    <w:rsid w:val="005D5D3C"/>
    <w:rsid w:val="005D6F11"/>
    <w:rsid w:val="005D71B6"/>
    <w:rsid w:val="005D73CE"/>
    <w:rsid w:val="005E2CD1"/>
    <w:rsid w:val="005E3734"/>
    <w:rsid w:val="005E4653"/>
    <w:rsid w:val="005E4AD8"/>
    <w:rsid w:val="005E4E8C"/>
    <w:rsid w:val="005E52B2"/>
    <w:rsid w:val="005E54EC"/>
    <w:rsid w:val="005E7022"/>
    <w:rsid w:val="005E77E4"/>
    <w:rsid w:val="005F0AA4"/>
    <w:rsid w:val="005F37FD"/>
    <w:rsid w:val="005F49D6"/>
    <w:rsid w:val="005F4F81"/>
    <w:rsid w:val="005F5F02"/>
    <w:rsid w:val="005F7189"/>
    <w:rsid w:val="005F7A04"/>
    <w:rsid w:val="005F7DED"/>
    <w:rsid w:val="005F7E9D"/>
    <w:rsid w:val="00600674"/>
    <w:rsid w:val="006008AF"/>
    <w:rsid w:val="00600959"/>
    <w:rsid w:val="00600CB1"/>
    <w:rsid w:val="00600D76"/>
    <w:rsid w:val="006012E4"/>
    <w:rsid w:val="0060139C"/>
    <w:rsid w:val="00601905"/>
    <w:rsid w:val="00601A09"/>
    <w:rsid w:val="006063F4"/>
    <w:rsid w:val="006073D6"/>
    <w:rsid w:val="00607408"/>
    <w:rsid w:val="00607C1D"/>
    <w:rsid w:val="00610648"/>
    <w:rsid w:val="006115E1"/>
    <w:rsid w:val="006142DC"/>
    <w:rsid w:val="00614787"/>
    <w:rsid w:val="006148CC"/>
    <w:rsid w:val="006153B1"/>
    <w:rsid w:val="00615A56"/>
    <w:rsid w:val="00615BB8"/>
    <w:rsid w:val="00620EEA"/>
    <w:rsid w:val="00621274"/>
    <w:rsid w:val="0062182B"/>
    <w:rsid w:val="00621889"/>
    <w:rsid w:val="006237D6"/>
    <w:rsid w:val="00625C66"/>
    <w:rsid w:val="006263DE"/>
    <w:rsid w:val="00626874"/>
    <w:rsid w:val="00626AC1"/>
    <w:rsid w:val="00630397"/>
    <w:rsid w:val="006308A2"/>
    <w:rsid w:val="00630A1F"/>
    <w:rsid w:val="006316D7"/>
    <w:rsid w:val="00631C17"/>
    <w:rsid w:val="00632AD6"/>
    <w:rsid w:val="0063369B"/>
    <w:rsid w:val="006336D6"/>
    <w:rsid w:val="006352E7"/>
    <w:rsid w:val="00635FDC"/>
    <w:rsid w:val="00637648"/>
    <w:rsid w:val="00637D21"/>
    <w:rsid w:val="00640611"/>
    <w:rsid w:val="006409AF"/>
    <w:rsid w:val="00640B75"/>
    <w:rsid w:val="00642983"/>
    <w:rsid w:val="006429A5"/>
    <w:rsid w:val="00642A38"/>
    <w:rsid w:val="00642B2C"/>
    <w:rsid w:val="006430EA"/>
    <w:rsid w:val="006432FB"/>
    <w:rsid w:val="0064354F"/>
    <w:rsid w:val="006441EE"/>
    <w:rsid w:val="00645FB5"/>
    <w:rsid w:val="006469DE"/>
    <w:rsid w:val="00647CF0"/>
    <w:rsid w:val="00647E00"/>
    <w:rsid w:val="00647EE7"/>
    <w:rsid w:val="006502DB"/>
    <w:rsid w:val="006507A6"/>
    <w:rsid w:val="00651ECE"/>
    <w:rsid w:val="00652121"/>
    <w:rsid w:val="0065253B"/>
    <w:rsid w:val="00652637"/>
    <w:rsid w:val="006526C6"/>
    <w:rsid w:val="00652D66"/>
    <w:rsid w:val="00653523"/>
    <w:rsid w:val="00654088"/>
    <w:rsid w:val="00655CA2"/>
    <w:rsid w:val="0065651F"/>
    <w:rsid w:val="006565E0"/>
    <w:rsid w:val="006601F5"/>
    <w:rsid w:val="0066057D"/>
    <w:rsid w:val="00661018"/>
    <w:rsid w:val="00661D36"/>
    <w:rsid w:val="00661F96"/>
    <w:rsid w:val="006628CD"/>
    <w:rsid w:val="006638BA"/>
    <w:rsid w:val="00663A40"/>
    <w:rsid w:val="0066452E"/>
    <w:rsid w:val="00664B89"/>
    <w:rsid w:val="00664BA9"/>
    <w:rsid w:val="00665AFE"/>
    <w:rsid w:val="00665EFD"/>
    <w:rsid w:val="006661B7"/>
    <w:rsid w:val="0066722F"/>
    <w:rsid w:val="00667E38"/>
    <w:rsid w:val="00667F84"/>
    <w:rsid w:val="006710FA"/>
    <w:rsid w:val="00671192"/>
    <w:rsid w:val="006728B2"/>
    <w:rsid w:val="006754A8"/>
    <w:rsid w:val="0067556E"/>
    <w:rsid w:val="00676700"/>
    <w:rsid w:val="00676EA2"/>
    <w:rsid w:val="00677192"/>
    <w:rsid w:val="006774F7"/>
    <w:rsid w:val="006776C3"/>
    <w:rsid w:val="00680782"/>
    <w:rsid w:val="00680C46"/>
    <w:rsid w:val="00681F32"/>
    <w:rsid w:val="00683139"/>
    <w:rsid w:val="0068361C"/>
    <w:rsid w:val="00683814"/>
    <w:rsid w:val="006839E6"/>
    <w:rsid w:val="0068450A"/>
    <w:rsid w:val="0068501F"/>
    <w:rsid w:val="00685721"/>
    <w:rsid w:val="0068622C"/>
    <w:rsid w:val="00690E88"/>
    <w:rsid w:val="006913DC"/>
    <w:rsid w:val="006914EA"/>
    <w:rsid w:val="00692EE3"/>
    <w:rsid w:val="00693973"/>
    <w:rsid w:val="00694E2D"/>
    <w:rsid w:val="00695370"/>
    <w:rsid w:val="0069582D"/>
    <w:rsid w:val="0069603F"/>
    <w:rsid w:val="006963ED"/>
    <w:rsid w:val="0069675F"/>
    <w:rsid w:val="006979F3"/>
    <w:rsid w:val="006A0214"/>
    <w:rsid w:val="006A07E7"/>
    <w:rsid w:val="006A3DD1"/>
    <w:rsid w:val="006A578A"/>
    <w:rsid w:val="006A66A8"/>
    <w:rsid w:val="006A72DE"/>
    <w:rsid w:val="006A74F1"/>
    <w:rsid w:val="006B0540"/>
    <w:rsid w:val="006B12D9"/>
    <w:rsid w:val="006B2FB3"/>
    <w:rsid w:val="006B472A"/>
    <w:rsid w:val="006B57DA"/>
    <w:rsid w:val="006B726B"/>
    <w:rsid w:val="006B7B45"/>
    <w:rsid w:val="006C015E"/>
    <w:rsid w:val="006C0EC4"/>
    <w:rsid w:val="006C1195"/>
    <w:rsid w:val="006C22A4"/>
    <w:rsid w:val="006C29D5"/>
    <w:rsid w:val="006C5F19"/>
    <w:rsid w:val="006C6378"/>
    <w:rsid w:val="006C6606"/>
    <w:rsid w:val="006C66D8"/>
    <w:rsid w:val="006C67C1"/>
    <w:rsid w:val="006C6ACC"/>
    <w:rsid w:val="006C76F6"/>
    <w:rsid w:val="006D00D3"/>
    <w:rsid w:val="006D00F8"/>
    <w:rsid w:val="006D0545"/>
    <w:rsid w:val="006D139D"/>
    <w:rsid w:val="006D23F1"/>
    <w:rsid w:val="006D3171"/>
    <w:rsid w:val="006D47C8"/>
    <w:rsid w:val="006D541E"/>
    <w:rsid w:val="006D5A2A"/>
    <w:rsid w:val="006D6314"/>
    <w:rsid w:val="006D6C0E"/>
    <w:rsid w:val="006D747C"/>
    <w:rsid w:val="006D76C9"/>
    <w:rsid w:val="006E10F7"/>
    <w:rsid w:val="006E1A53"/>
    <w:rsid w:val="006E2250"/>
    <w:rsid w:val="006E2644"/>
    <w:rsid w:val="006E2A5C"/>
    <w:rsid w:val="006E36AB"/>
    <w:rsid w:val="006E3BF2"/>
    <w:rsid w:val="006E6023"/>
    <w:rsid w:val="006E680B"/>
    <w:rsid w:val="006E7742"/>
    <w:rsid w:val="006E7D17"/>
    <w:rsid w:val="006F11E7"/>
    <w:rsid w:val="006F1EFC"/>
    <w:rsid w:val="006F2571"/>
    <w:rsid w:val="006F3037"/>
    <w:rsid w:val="006F3103"/>
    <w:rsid w:val="006F4E45"/>
    <w:rsid w:val="006F55DB"/>
    <w:rsid w:val="006F5904"/>
    <w:rsid w:val="006F62B3"/>
    <w:rsid w:val="006F65FE"/>
    <w:rsid w:val="006F6702"/>
    <w:rsid w:val="006F6FD4"/>
    <w:rsid w:val="006F7559"/>
    <w:rsid w:val="006F7AAA"/>
    <w:rsid w:val="0070205F"/>
    <w:rsid w:val="00702571"/>
    <w:rsid w:val="00702AD4"/>
    <w:rsid w:val="00702AE0"/>
    <w:rsid w:val="00702D9F"/>
    <w:rsid w:val="0070358A"/>
    <w:rsid w:val="0070410F"/>
    <w:rsid w:val="007042AC"/>
    <w:rsid w:val="0070507B"/>
    <w:rsid w:val="007057CC"/>
    <w:rsid w:val="007062DC"/>
    <w:rsid w:val="007070F9"/>
    <w:rsid w:val="007074E5"/>
    <w:rsid w:val="00707B56"/>
    <w:rsid w:val="00710028"/>
    <w:rsid w:val="0071009D"/>
    <w:rsid w:val="0071167C"/>
    <w:rsid w:val="007118E2"/>
    <w:rsid w:val="00711B9E"/>
    <w:rsid w:val="00711BBE"/>
    <w:rsid w:val="007120FC"/>
    <w:rsid w:val="0071330F"/>
    <w:rsid w:val="00713A64"/>
    <w:rsid w:val="00713A80"/>
    <w:rsid w:val="00713B9A"/>
    <w:rsid w:val="00713E4E"/>
    <w:rsid w:val="00714BD1"/>
    <w:rsid w:val="00715042"/>
    <w:rsid w:val="007164DA"/>
    <w:rsid w:val="00716654"/>
    <w:rsid w:val="00716DB8"/>
    <w:rsid w:val="0072000B"/>
    <w:rsid w:val="0072040A"/>
    <w:rsid w:val="00720A31"/>
    <w:rsid w:val="00720B1A"/>
    <w:rsid w:val="00723236"/>
    <w:rsid w:val="00723A8F"/>
    <w:rsid w:val="00724759"/>
    <w:rsid w:val="007249C2"/>
    <w:rsid w:val="007253FD"/>
    <w:rsid w:val="0073033C"/>
    <w:rsid w:val="00730738"/>
    <w:rsid w:val="00731D10"/>
    <w:rsid w:val="00732337"/>
    <w:rsid w:val="0073255F"/>
    <w:rsid w:val="00733125"/>
    <w:rsid w:val="00733174"/>
    <w:rsid w:val="007332A0"/>
    <w:rsid w:val="0073394D"/>
    <w:rsid w:val="00733BD7"/>
    <w:rsid w:val="007352C3"/>
    <w:rsid w:val="00735865"/>
    <w:rsid w:val="00735D8C"/>
    <w:rsid w:val="00736030"/>
    <w:rsid w:val="00737114"/>
    <w:rsid w:val="0074065A"/>
    <w:rsid w:val="007436A5"/>
    <w:rsid w:val="00745105"/>
    <w:rsid w:val="00745414"/>
    <w:rsid w:val="0074596B"/>
    <w:rsid w:val="00745AF5"/>
    <w:rsid w:val="00746CFD"/>
    <w:rsid w:val="00747A0A"/>
    <w:rsid w:val="00750734"/>
    <w:rsid w:val="0075167C"/>
    <w:rsid w:val="00751AE1"/>
    <w:rsid w:val="00751D64"/>
    <w:rsid w:val="00752CE1"/>
    <w:rsid w:val="00752D7D"/>
    <w:rsid w:val="0075403C"/>
    <w:rsid w:val="00755B19"/>
    <w:rsid w:val="007560BD"/>
    <w:rsid w:val="00760221"/>
    <w:rsid w:val="00760A2E"/>
    <w:rsid w:val="00761E44"/>
    <w:rsid w:val="00762752"/>
    <w:rsid w:val="00762833"/>
    <w:rsid w:val="00762CEF"/>
    <w:rsid w:val="00762E89"/>
    <w:rsid w:val="007633EC"/>
    <w:rsid w:val="00763711"/>
    <w:rsid w:val="00763ACD"/>
    <w:rsid w:val="0076452C"/>
    <w:rsid w:val="007653FA"/>
    <w:rsid w:val="007662F6"/>
    <w:rsid w:val="0076678F"/>
    <w:rsid w:val="007667FA"/>
    <w:rsid w:val="00767241"/>
    <w:rsid w:val="00767800"/>
    <w:rsid w:val="00767987"/>
    <w:rsid w:val="0077082E"/>
    <w:rsid w:val="007712C5"/>
    <w:rsid w:val="0077171F"/>
    <w:rsid w:val="00772A8D"/>
    <w:rsid w:val="00772D70"/>
    <w:rsid w:val="00773531"/>
    <w:rsid w:val="00773F0E"/>
    <w:rsid w:val="00774C7F"/>
    <w:rsid w:val="00775B43"/>
    <w:rsid w:val="00775D9C"/>
    <w:rsid w:val="00775EC1"/>
    <w:rsid w:val="00776436"/>
    <w:rsid w:val="007764AF"/>
    <w:rsid w:val="00777D12"/>
    <w:rsid w:val="00780B69"/>
    <w:rsid w:val="00780DE7"/>
    <w:rsid w:val="00781659"/>
    <w:rsid w:val="00782D0A"/>
    <w:rsid w:val="00782EAB"/>
    <w:rsid w:val="00784312"/>
    <w:rsid w:val="0078579B"/>
    <w:rsid w:val="00785CBA"/>
    <w:rsid w:val="00786210"/>
    <w:rsid w:val="00786E34"/>
    <w:rsid w:val="00786F26"/>
    <w:rsid w:val="00787AB4"/>
    <w:rsid w:val="00790A35"/>
    <w:rsid w:val="0079106F"/>
    <w:rsid w:val="007911DD"/>
    <w:rsid w:val="007912BC"/>
    <w:rsid w:val="007916CB"/>
    <w:rsid w:val="007917AA"/>
    <w:rsid w:val="00792B58"/>
    <w:rsid w:val="00792D94"/>
    <w:rsid w:val="007930D6"/>
    <w:rsid w:val="007943CC"/>
    <w:rsid w:val="00794B42"/>
    <w:rsid w:val="00795578"/>
    <w:rsid w:val="00795699"/>
    <w:rsid w:val="00795799"/>
    <w:rsid w:val="007960E0"/>
    <w:rsid w:val="007962C3"/>
    <w:rsid w:val="00796810"/>
    <w:rsid w:val="00796A10"/>
    <w:rsid w:val="00796DA8"/>
    <w:rsid w:val="007A055B"/>
    <w:rsid w:val="007A0D9A"/>
    <w:rsid w:val="007A197C"/>
    <w:rsid w:val="007A1FE8"/>
    <w:rsid w:val="007A2190"/>
    <w:rsid w:val="007A373F"/>
    <w:rsid w:val="007A5A9E"/>
    <w:rsid w:val="007A6473"/>
    <w:rsid w:val="007A660C"/>
    <w:rsid w:val="007A74E8"/>
    <w:rsid w:val="007A7DA8"/>
    <w:rsid w:val="007B0523"/>
    <w:rsid w:val="007B08DA"/>
    <w:rsid w:val="007B2A55"/>
    <w:rsid w:val="007B3621"/>
    <w:rsid w:val="007B3B54"/>
    <w:rsid w:val="007B66F0"/>
    <w:rsid w:val="007B6993"/>
    <w:rsid w:val="007B7F4E"/>
    <w:rsid w:val="007C0D23"/>
    <w:rsid w:val="007C36D5"/>
    <w:rsid w:val="007C4284"/>
    <w:rsid w:val="007C46F4"/>
    <w:rsid w:val="007C4BA8"/>
    <w:rsid w:val="007C6091"/>
    <w:rsid w:val="007C742B"/>
    <w:rsid w:val="007C76AC"/>
    <w:rsid w:val="007C7A34"/>
    <w:rsid w:val="007D00A6"/>
    <w:rsid w:val="007D0CE6"/>
    <w:rsid w:val="007D191B"/>
    <w:rsid w:val="007D3332"/>
    <w:rsid w:val="007D380E"/>
    <w:rsid w:val="007D3FC3"/>
    <w:rsid w:val="007D4E4A"/>
    <w:rsid w:val="007D607F"/>
    <w:rsid w:val="007D637F"/>
    <w:rsid w:val="007D6AD6"/>
    <w:rsid w:val="007D6C82"/>
    <w:rsid w:val="007D6E3C"/>
    <w:rsid w:val="007D7C6D"/>
    <w:rsid w:val="007E251D"/>
    <w:rsid w:val="007E2E1A"/>
    <w:rsid w:val="007E4A8A"/>
    <w:rsid w:val="007E5972"/>
    <w:rsid w:val="007E5AB1"/>
    <w:rsid w:val="007E5C6F"/>
    <w:rsid w:val="007E6C81"/>
    <w:rsid w:val="007E77E8"/>
    <w:rsid w:val="007F07C3"/>
    <w:rsid w:val="007F0ECC"/>
    <w:rsid w:val="007F10A6"/>
    <w:rsid w:val="007F28FC"/>
    <w:rsid w:val="007F2DED"/>
    <w:rsid w:val="007F3F70"/>
    <w:rsid w:val="007F3F92"/>
    <w:rsid w:val="007F5F6F"/>
    <w:rsid w:val="007F63C7"/>
    <w:rsid w:val="007F6BD3"/>
    <w:rsid w:val="007F7B35"/>
    <w:rsid w:val="00800146"/>
    <w:rsid w:val="008002D3"/>
    <w:rsid w:val="008004E8"/>
    <w:rsid w:val="00800C56"/>
    <w:rsid w:val="00800EF0"/>
    <w:rsid w:val="00802724"/>
    <w:rsid w:val="008036B3"/>
    <w:rsid w:val="00804B18"/>
    <w:rsid w:val="00804D94"/>
    <w:rsid w:val="00804E4F"/>
    <w:rsid w:val="008056EF"/>
    <w:rsid w:val="00805883"/>
    <w:rsid w:val="0080768A"/>
    <w:rsid w:val="00810743"/>
    <w:rsid w:val="00810A51"/>
    <w:rsid w:val="00810A53"/>
    <w:rsid w:val="00810E0F"/>
    <w:rsid w:val="00811657"/>
    <w:rsid w:val="00811C3B"/>
    <w:rsid w:val="00812772"/>
    <w:rsid w:val="008129E9"/>
    <w:rsid w:val="00813C69"/>
    <w:rsid w:val="0081661C"/>
    <w:rsid w:val="0081666A"/>
    <w:rsid w:val="008204F3"/>
    <w:rsid w:val="00820BC1"/>
    <w:rsid w:val="008210AC"/>
    <w:rsid w:val="008211C8"/>
    <w:rsid w:val="00821699"/>
    <w:rsid w:val="00821A0B"/>
    <w:rsid w:val="00821D7E"/>
    <w:rsid w:val="008229A6"/>
    <w:rsid w:val="00822BCC"/>
    <w:rsid w:val="00822FCC"/>
    <w:rsid w:val="008248E7"/>
    <w:rsid w:val="008262CA"/>
    <w:rsid w:val="0082698E"/>
    <w:rsid w:val="00827F4B"/>
    <w:rsid w:val="00830430"/>
    <w:rsid w:val="0083106C"/>
    <w:rsid w:val="00831281"/>
    <w:rsid w:val="00831921"/>
    <w:rsid w:val="0083273D"/>
    <w:rsid w:val="00832D8D"/>
    <w:rsid w:val="00832ED7"/>
    <w:rsid w:val="0083377B"/>
    <w:rsid w:val="008349E8"/>
    <w:rsid w:val="00834F40"/>
    <w:rsid w:val="00836C79"/>
    <w:rsid w:val="0083737E"/>
    <w:rsid w:val="00837AF0"/>
    <w:rsid w:val="00840773"/>
    <w:rsid w:val="00842A57"/>
    <w:rsid w:val="008430A4"/>
    <w:rsid w:val="008437B9"/>
    <w:rsid w:val="0084414B"/>
    <w:rsid w:val="00844CB3"/>
    <w:rsid w:val="00844DD8"/>
    <w:rsid w:val="0084544F"/>
    <w:rsid w:val="0084577F"/>
    <w:rsid w:val="00845ED1"/>
    <w:rsid w:val="00846CB6"/>
    <w:rsid w:val="00847561"/>
    <w:rsid w:val="00847A54"/>
    <w:rsid w:val="0085119E"/>
    <w:rsid w:val="008519BA"/>
    <w:rsid w:val="00851DE2"/>
    <w:rsid w:val="00851FBB"/>
    <w:rsid w:val="008532B9"/>
    <w:rsid w:val="008533E8"/>
    <w:rsid w:val="00853899"/>
    <w:rsid w:val="00855155"/>
    <w:rsid w:val="00855953"/>
    <w:rsid w:val="00855CCF"/>
    <w:rsid w:val="008562DF"/>
    <w:rsid w:val="00856C42"/>
    <w:rsid w:val="00856D8B"/>
    <w:rsid w:val="008606D0"/>
    <w:rsid w:val="00860FE7"/>
    <w:rsid w:val="008611B0"/>
    <w:rsid w:val="008619D4"/>
    <w:rsid w:val="00862378"/>
    <w:rsid w:val="008632F6"/>
    <w:rsid w:val="00864262"/>
    <w:rsid w:val="00864E2C"/>
    <w:rsid w:val="00865195"/>
    <w:rsid w:val="00865480"/>
    <w:rsid w:val="008718CB"/>
    <w:rsid w:val="00872418"/>
    <w:rsid w:val="00872E1F"/>
    <w:rsid w:val="0087342A"/>
    <w:rsid w:val="00873D64"/>
    <w:rsid w:val="00874092"/>
    <w:rsid w:val="008759B5"/>
    <w:rsid w:val="00877B96"/>
    <w:rsid w:val="00877CA0"/>
    <w:rsid w:val="008803BD"/>
    <w:rsid w:val="008805AC"/>
    <w:rsid w:val="00880AA2"/>
    <w:rsid w:val="00881F53"/>
    <w:rsid w:val="0088253F"/>
    <w:rsid w:val="00882B2E"/>
    <w:rsid w:val="0088395D"/>
    <w:rsid w:val="00883EE5"/>
    <w:rsid w:val="008847AC"/>
    <w:rsid w:val="00885279"/>
    <w:rsid w:val="008855E7"/>
    <w:rsid w:val="00886DAC"/>
    <w:rsid w:val="0089037E"/>
    <w:rsid w:val="00890580"/>
    <w:rsid w:val="008907E7"/>
    <w:rsid w:val="00890FB6"/>
    <w:rsid w:val="008927F4"/>
    <w:rsid w:val="008938A9"/>
    <w:rsid w:val="00893E3B"/>
    <w:rsid w:val="0089415E"/>
    <w:rsid w:val="008943E5"/>
    <w:rsid w:val="008946CA"/>
    <w:rsid w:val="00895D25"/>
    <w:rsid w:val="00896CA7"/>
    <w:rsid w:val="00896F9A"/>
    <w:rsid w:val="008979B0"/>
    <w:rsid w:val="008A02D6"/>
    <w:rsid w:val="008A0C66"/>
    <w:rsid w:val="008A17A6"/>
    <w:rsid w:val="008A2F85"/>
    <w:rsid w:val="008A3C4A"/>
    <w:rsid w:val="008A3E6A"/>
    <w:rsid w:val="008A4A43"/>
    <w:rsid w:val="008A4D9E"/>
    <w:rsid w:val="008A5FE1"/>
    <w:rsid w:val="008A6A46"/>
    <w:rsid w:val="008A6B5E"/>
    <w:rsid w:val="008A6BA6"/>
    <w:rsid w:val="008A6DA6"/>
    <w:rsid w:val="008A7DDB"/>
    <w:rsid w:val="008A7DE0"/>
    <w:rsid w:val="008B0474"/>
    <w:rsid w:val="008B0587"/>
    <w:rsid w:val="008B0676"/>
    <w:rsid w:val="008B18AF"/>
    <w:rsid w:val="008B23B9"/>
    <w:rsid w:val="008B287B"/>
    <w:rsid w:val="008B2FBC"/>
    <w:rsid w:val="008B3B6B"/>
    <w:rsid w:val="008B466E"/>
    <w:rsid w:val="008B511D"/>
    <w:rsid w:val="008B5224"/>
    <w:rsid w:val="008B5335"/>
    <w:rsid w:val="008B595F"/>
    <w:rsid w:val="008B5BDC"/>
    <w:rsid w:val="008B6206"/>
    <w:rsid w:val="008B6253"/>
    <w:rsid w:val="008C0B34"/>
    <w:rsid w:val="008C0F4B"/>
    <w:rsid w:val="008C2215"/>
    <w:rsid w:val="008C383B"/>
    <w:rsid w:val="008C3B62"/>
    <w:rsid w:val="008C3C0C"/>
    <w:rsid w:val="008C40C7"/>
    <w:rsid w:val="008C4F58"/>
    <w:rsid w:val="008C533A"/>
    <w:rsid w:val="008C60C2"/>
    <w:rsid w:val="008C63E1"/>
    <w:rsid w:val="008C687B"/>
    <w:rsid w:val="008C79A4"/>
    <w:rsid w:val="008D3098"/>
    <w:rsid w:val="008D388C"/>
    <w:rsid w:val="008D4780"/>
    <w:rsid w:val="008D4B79"/>
    <w:rsid w:val="008D4CA4"/>
    <w:rsid w:val="008D5281"/>
    <w:rsid w:val="008D536D"/>
    <w:rsid w:val="008D788C"/>
    <w:rsid w:val="008D7E8A"/>
    <w:rsid w:val="008E0BCE"/>
    <w:rsid w:val="008E17D3"/>
    <w:rsid w:val="008E1C79"/>
    <w:rsid w:val="008E1D15"/>
    <w:rsid w:val="008E2651"/>
    <w:rsid w:val="008E43C3"/>
    <w:rsid w:val="008E4F81"/>
    <w:rsid w:val="008E562E"/>
    <w:rsid w:val="008E5B42"/>
    <w:rsid w:val="008E6065"/>
    <w:rsid w:val="008E6804"/>
    <w:rsid w:val="008F079D"/>
    <w:rsid w:val="008F12BB"/>
    <w:rsid w:val="008F23DD"/>
    <w:rsid w:val="008F2B75"/>
    <w:rsid w:val="008F2F2E"/>
    <w:rsid w:val="008F3349"/>
    <w:rsid w:val="008F3C04"/>
    <w:rsid w:val="008F5DFE"/>
    <w:rsid w:val="008F7517"/>
    <w:rsid w:val="00900DE2"/>
    <w:rsid w:val="009019C0"/>
    <w:rsid w:val="00901B92"/>
    <w:rsid w:val="00901F98"/>
    <w:rsid w:val="00902938"/>
    <w:rsid w:val="00902AFF"/>
    <w:rsid w:val="0090305E"/>
    <w:rsid w:val="00903DF1"/>
    <w:rsid w:val="009040C4"/>
    <w:rsid w:val="00906359"/>
    <w:rsid w:val="00910BA2"/>
    <w:rsid w:val="00910C6C"/>
    <w:rsid w:val="00910E8F"/>
    <w:rsid w:val="00911008"/>
    <w:rsid w:val="0091353C"/>
    <w:rsid w:val="009139D9"/>
    <w:rsid w:val="00913EC8"/>
    <w:rsid w:val="0091476F"/>
    <w:rsid w:val="00914D8A"/>
    <w:rsid w:val="00915315"/>
    <w:rsid w:val="0091594F"/>
    <w:rsid w:val="00915CBF"/>
    <w:rsid w:val="009166BC"/>
    <w:rsid w:val="009175A9"/>
    <w:rsid w:val="00920161"/>
    <w:rsid w:val="0092094E"/>
    <w:rsid w:val="00920B4C"/>
    <w:rsid w:val="00921221"/>
    <w:rsid w:val="009216BF"/>
    <w:rsid w:val="00921C31"/>
    <w:rsid w:val="00921D3F"/>
    <w:rsid w:val="00922D50"/>
    <w:rsid w:val="00923220"/>
    <w:rsid w:val="009236B2"/>
    <w:rsid w:val="00924D26"/>
    <w:rsid w:val="009266EF"/>
    <w:rsid w:val="0092689E"/>
    <w:rsid w:val="00927020"/>
    <w:rsid w:val="0092755B"/>
    <w:rsid w:val="00930594"/>
    <w:rsid w:val="00931193"/>
    <w:rsid w:val="00931685"/>
    <w:rsid w:val="00931877"/>
    <w:rsid w:val="00931C51"/>
    <w:rsid w:val="009331D5"/>
    <w:rsid w:val="00933578"/>
    <w:rsid w:val="00933FF5"/>
    <w:rsid w:val="00934248"/>
    <w:rsid w:val="0093486C"/>
    <w:rsid w:val="009363AD"/>
    <w:rsid w:val="009363CC"/>
    <w:rsid w:val="00936D60"/>
    <w:rsid w:val="00937123"/>
    <w:rsid w:val="0094078E"/>
    <w:rsid w:val="009407D9"/>
    <w:rsid w:val="00940845"/>
    <w:rsid w:val="00940F79"/>
    <w:rsid w:val="009413B6"/>
    <w:rsid w:val="0094151F"/>
    <w:rsid w:val="00941A51"/>
    <w:rsid w:val="00941D5F"/>
    <w:rsid w:val="0094267A"/>
    <w:rsid w:val="009428DB"/>
    <w:rsid w:val="0094290B"/>
    <w:rsid w:val="00943313"/>
    <w:rsid w:val="0094369E"/>
    <w:rsid w:val="009438D2"/>
    <w:rsid w:val="0094495B"/>
    <w:rsid w:val="00944B16"/>
    <w:rsid w:val="00945A9D"/>
    <w:rsid w:val="00945D79"/>
    <w:rsid w:val="009465BF"/>
    <w:rsid w:val="00946949"/>
    <w:rsid w:val="00947B55"/>
    <w:rsid w:val="009507F5"/>
    <w:rsid w:val="00950D10"/>
    <w:rsid w:val="00950DBB"/>
    <w:rsid w:val="0095117B"/>
    <w:rsid w:val="009516E6"/>
    <w:rsid w:val="009536A9"/>
    <w:rsid w:val="00953920"/>
    <w:rsid w:val="0095572E"/>
    <w:rsid w:val="00956424"/>
    <w:rsid w:val="009571DF"/>
    <w:rsid w:val="0095733E"/>
    <w:rsid w:val="00960321"/>
    <w:rsid w:val="0096065D"/>
    <w:rsid w:val="0096105C"/>
    <w:rsid w:val="0096195B"/>
    <w:rsid w:val="009639A9"/>
    <w:rsid w:val="00963A1F"/>
    <w:rsid w:val="0096526A"/>
    <w:rsid w:val="009659F5"/>
    <w:rsid w:val="00965E9A"/>
    <w:rsid w:val="00965EC1"/>
    <w:rsid w:val="00966166"/>
    <w:rsid w:val="00966269"/>
    <w:rsid w:val="00966CF2"/>
    <w:rsid w:val="009678F3"/>
    <w:rsid w:val="00970261"/>
    <w:rsid w:val="009704A7"/>
    <w:rsid w:val="0097076C"/>
    <w:rsid w:val="009714A1"/>
    <w:rsid w:val="00971672"/>
    <w:rsid w:val="00971B2B"/>
    <w:rsid w:val="00972C84"/>
    <w:rsid w:val="00973A8D"/>
    <w:rsid w:val="0097414C"/>
    <w:rsid w:val="00974665"/>
    <w:rsid w:val="00974EB4"/>
    <w:rsid w:val="00975772"/>
    <w:rsid w:val="009758E3"/>
    <w:rsid w:val="00975C27"/>
    <w:rsid w:val="0097648B"/>
    <w:rsid w:val="00976AE9"/>
    <w:rsid w:val="00977E2D"/>
    <w:rsid w:val="009805C3"/>
    <w:rsid w:val="009808D5"/>
    <w:rsid w:val="00980D74"/>
    <w:rsid w:val="009811C1"/>
    <w:rsid w:val="00982FDF"/>
    <w:rsid w:val="00983819"/>
    <w:rsid w:val="00984713"/>
    <w:rsid w:val="0098518A"/>
    <w:rsid w:val="00985B09"/>
    <w:rsid w:val="00987D13"/>
    <w:rsid w:val="00991BF4"/>
    <w:rsid w:val="00991E57"/>
    <w:rsid w:val="00992168"/>
    <w:rsid w:val="00992D76"/>
    <w:rsid w:val="009938CC"/>
    <w:rsid w:val="009944DB"/>
    <w:rsid w:val="0099453B"/>
    <w:rsid w:val="0099456D"/>
    <w:rsid w:val="009946A3"/>
    <w:rsid w:val="009948BC"/>
    <w:rsid w:val="00994EDF"/>
    <w:rsid w:val="00995D0F"/>
    <w:rsid w:val="00996115"/>
    <w:rsid w:val="00996E1E"/>
    <w:rsid w:val="0099784E"/>
    <w:rsid w:val="009A0198"/>
    <w:rsid w:val="009A01E1"/>
    <w:rsid w:val="009A0CBD"/>
    <w:rsid w:val="009A16A3"/>
    <w:rsid w:val="009A1935"/>
    <w:rsid w:val="009A2C42"/>
    <w:rsid w:val="009A3010"/>
    <w:rsid w:val="009A3C57"/>
    <w:rsid w:val="009A6182"/>
    <w:rsid w:val="009A6B07"/>
    <w:rsid w:val="009A6C61"/>
    <w:rsid w:val="009A73C3"/>
    <w:rsid w:val="009A7D29"/>
    <w:rsid w:val="009B1D05"/>
    <w:rsid w:val="009B2063"/>
    <w:rsid w:val="009B2A88"/>
    <w:rsid w:val="009B2C99"/>
    <w:rsid w:val="009B3417"/>
    <w:rsid w:val="009B3A74"/>
    <w:rsid w:val="009B4285"/>
    <w:rsid w:val="009B4E2A"/>
    <w:rsid w:val="009B507C"/>
    <w:rsid w:val="009B56EB"/>
    <w:rsid w:val="009B5DE2"/>
    <w:rsid w:val="009B647F"/>
    <w:rsid w:val="009B678B"/>
    <w:rsid w:val="009B705D"/>
    <w:rsid w:val="009B74B3"/>
    <w:rsid w:val="009C1073"/>
    <w:rsid w:val="009C1A13"/>
    <w:rsid w:val="009C1DDC"/>
    <w:rsid w:val="009C2C1E"/>
    <w:rsid w:val="009C3692"/>
    <w:rsid w:val="009C4827"/>
    <w:rsid w:val="009C4CA0"/>
    <w:rsid w:val="009C5F8F"/>
    <w:rsid w:val="009C65F9"/>
    <w:rsid w:val="009C7E88"/>
    <w:rsid w:val="009D0549"/>
    <w:rsid w:val="009D07EE"/>
    <w:rsid w:val="009D098C"/>
    <w:rsid w:val="009D0BCC"/>
    <w:rsid w:val="009D0F28"/>
    <w:rsid w:val="009D10D6"/>
    <w:rsid w:val="009D1126"/>
    <w:rsid w:val="009D18F6"/>
    <w:rsid w:val="009D2E41"/>
    <w:rsid w:val="009D31AF"/>
    <w:rsid w:val="009D32AB"/>
    <w:rsid w:val="009D3405"/>
    <w:rsid w:val="009D3933"/>
    <w:rsid w:val="009D3A0B"/>
    <w:rsid w:val="009D4A6D"/>
    <w:rsid w:val="009D5D10"/>
    <w:rsid w:val="009D60A9"/>
    <w:rsid w:val="009D6831"/>
    <w:rsid w:val="009D7B64"/>
    <w:rsid w:val="009E0388"/>
    <w:rsid w:val="009E0845"/>
    <w:rsid w:val="009E132D"/>
    <w:rsid w:val="009E1442"/>
    <w:rsid w:val="009E155D"/>
    <w:rsid w:val="009E1A95"/>
    <w:rsid w:val="009E2B64"/>
    <w:rsid w:val="009E330D"/>
    <w:rsid w:val="009E499F"/>
    <w:rsid w:val="009E5066"/>
    <w:rsid w:val="009E55D2"/>
    <w:rsid w:val="009E58BB"/>
    <w:rsid w:val="009E62F9"/>
    <w:rsid w:val="009E642A"/>
    <w:rsid w:val="009E6999"/>
    <w:rsid w:val="009E7F85"/>
    <w:rsid w:val="009F08F2"/>
    <w:rsid w:val="009F0B2D"/>
    <w:rsid w:val="009F0C8A"/>
    <w:rsid w:val="009F196E"/>
    <w:rsid w:val="009F1D3A"/>
    <w:rsid w:val="009F2A37"/>
    <w:rsid w:val="009F2CBE"/>
    <w:rsid w:val="009F3413"/>
    <w:rsid w:val="009F482B"/>
    <w:rsid w:val="009F7677"/>
    <w:rsid w:val="009F790C"/>
    <w:rsid w:val="00A00080"/>
    <w:rsid w:val="00A00A42"/>
    <w:rsid w:val="00A00FE6"/>
    <w:rsid w:val="00A0158F"/>
    <w:rsid w:val="00A02D98"/>
    <w:rsid w:val="00A0375B"/>
    <w:rsid w:val="00A03C83"/>
    <w:rsid w:val="00A041D0"/>
    <w:rsid w:val="00A046A3"/>
    <w:rsid w:val="00A0593F"/>
    <w:rsid w:val="00A066C3"/>
    <w:rsid w:val="00A067D6"/>
    <w:rsid w:val="00A074EA"/>
    <w:rsid w:val="00A0763B"/>
    <w:rsid w:val="00A07697"/>
    <w:rsid w:val="00A078D3"/>
    <w:rsid w:val="00A07ACF"/>
    <w:rsid w:val="00A07E76"/>
    <w:rsid w:val="00A1028E"/>
    <w:rsid w:val="00A1084A"/>
    <w:rsid w:val="00A1134F"/>
    <w:rsid w:val="00A11F51"/>
    <w:rsid w:val="00A12163"/>
    <w:rsid w:val="00A1301D"/>
    <w:rsid w:val="00A1362A"/>
    <w:rsid w:val="00A1427B"/>
    <w:rsid w:val="00A1453F"/>
    <w:rsid w:val="00A15D5F"/>
    <w:rsid w:val="00A1683B"/>
    <w:rsid w:val="00A171AD"/>
    <w:rsid w:val="00A2095F"/>
    <w:rsid w:val="00A21296"/>
    <w:rsid w:val="00A22F27"/>
    <w:rsid w:val="00A25E8B"/>
    <w:rsid w:val="00A2643C"/>
    <w:rsid w:val="00A270AE"/>
    <w:rsid w:val="00A273F7"/>
    <w:rsid w:val="00A27A43"/>
    <w:rsid w:val="00A31923"/>
    <w:rsid w:val="00A31C96"/>
    <w:rsid w:val="00A36B12"/>
    <w:rsid w:val="00A37440"/>
    <w:rsid w:val="00A41F10"/>
    <w:rsid w:val="00A41FD0"/>
    <w:rsid w:val="00A4264F"/>
    <w:rsid w:val="00A4309F"/>
    <w:rsid w:val="00A437E0"/>
    <w:rsid w:val="00A43C10"/>
    <w:rsid w:val="00A450A6"/>
    <w:rsid w:val="00A4558E"/>
    <w:rsid w:val="00A462A7"/>
    <w:rsid w:val="00A46D38"/>
    <w:rsid w:val="00A46F12"/>
    <w:rsid w:val="00A47572"/>
    <w:rsid w:val="00A50306"/>
    <w:rsid w:val="00A5040B"/>
    <w:rsid w:val="00A50927"/>
    <w:rsid w:val="00A5095C"/>
    <w:rsid w:val="00A50B02"/>
    <w:rsid w:val="00A50D24"/>
    <w:rsid w:val="00A512A6"/>
    <w:rsid w:val="00A51898"/>
    <w:rsid w:val="00A51F31"/>
    <w:rsid w:val="00A521CC"/>
    <w:rsid w:val="00A534AD"/>
    <w:rsid w:val="00A53651"/>
    <w:rsid w:val="00A53CD2"/>
    <w:rsid w:val="00A543D6"/>
    <w:rsid w:val="00A547D6"/>
    <w:rsid w:val="00A550DC"/>
    <w:rsid w:val="00A55ED6"/>
    <w:rsid w:val="00A568F0"/>
    <w:rsid w:val="00A5711F"/>
    <w:rsid w:val="00A5781C"/>
    <w:rsid w:val="00A60AAF"/>
    <w:rsid w:val="00A61294"/>
    <w:rsid w:val="00A62423"/>
    <w:rsid w:val="00A62854"/>
    <w:rsid w:val="00A62B4B"/>
    <w:rsid w:val="00A632F3"/>
    <w:rsid w:val="00A64F9B"/>
    <w:rsid w:val="00A65380"/>
    <w:rsid w:val="00A65782"/>
    <w:rsid w:val="00A65BCF"/>
    <w:rsid w:val="00A65CF3"/>
    <w:rsid w:val="00A66DA5"/>
    <w:rsid w:val="00A6763F"/>
    <w:rsid w:val="00A70679"/>
    <w:rsid w:val="00A70DF7"/>
    <w:rsid w:val="00A71C78"/>
    <w:rsid w:val="00A71FD1"/>
    <w:rsid w:val="00A724C9"/>
    <w:rsid w:val="00A72D25"/>
    <w:rsid w:val="00A73181"/>
    <w:rsid w:val="00A73791"/>
    <w:rsid w:val="00A73AF9"/>
    <w:rsid w:val="00A7460A"/>
    <w:rsid w:val="00A74A03"/>
    <w:rsid w:val="00A75719"/>
    <w:rsid w:val="00A759AD"/>
    <w:rsid w:val="00A80F43"/>
    <w:rsid w:val="00A8112D"/>
    <w:rsid w:val="00A81372"/>
    <w:rsid w:val="00A824B4"/>
    <w:rsid w:val="00A84C8E"/>
    <w:rsid w:val="00A84D69"/>
    <w:rsid w:val="00A855A6"/>
    <w:rsid w:val="00A85A2C"/>
    <w:rsid w:val="00A85C89"/>
    <w:rsid w:val="00A85DAB"/>
    <w:rsid w:val="00A86BD9"/>
    <w:rsid w:val="00A86EB0"/>
    <w:rsid w:val="00A87C39"/>
    <w:rsid w:val="00A87F59"/>
    <w:rsid w:val="00A9046C"/>
    <w:rsid w:val="00A9084E"/>
    <w:rsid w:val="00A92376"/>
    <w:rsid w:val="00A9239A"/>
    <w:rsid w:val="00A92957"/>
    <w:rsid w:val="00A93387"/>
    <w:rsid w:val="00A93AFA"/>
    <w:rsid w:val="00A93DF3"/>
    <w:rsid w:val="00A95AE0"/>
    <w:rsid w:val="00A95BD7"/>
    <w:rsid w:val="00A961B6"/>
    <w:rsid w:val="00A96239"/>
    <w:rsid w:val="00A96872"/>
    <w:rsid w:val="00A975EF"/>
    <w:rsid w:val="00AA1F50"/>
    <w:rsid w:val="00AA2374"/>
    <w:rsid w:val="00AA24D5"/>
    <w:rsid w:val="00AA3373"/>
    <w:rsid w:val="00AA3546"/>
    <w:rsid w:val="00AA4417"/>
    <w:rsid w:val="00AA6490"/>
    <w:rsid w:val="00AA6602"/>
    <w:rsid w:val="00AB0F9A"/>
    <w:rsid w:val="00AB1D7B"/>
    <w:rsid w:val="00AB20AA"/>
    <w:rsid w:val="00AB29A2"/>
    <w:rsid w:val="00AB2E9C"/>
    <w:rsid w:val="00AB311E"/>
    <w:rsid w:val="00AB39BC"/>
    <w:rsid w:val="00AB4083"/>
    <w:rsid w:val="00AB49F5"/>
    <w:rsid w:val="00AB4AF4"/>
    <w:rsid w:val="00AB5D50"/>
    <w:rsid w:val="00AB6607"/>
    <w:rsid w:val="00AB673C"/>
    <w:rsid w:val="00AC02DD"/>
    <w:rsid w:val="00AC1040"/>
    <w:rsid w:val="00AC1A37"/>
    <w:rsid w:val="00AC2C4C"/>
    <w:rsid w:val="00AC53AE"/>
    <w:rsid w:val="00AC5DAB"/>
    <w:rsid w:val="00AD0495"/>
    <w:rsid w:val="00AD0771"/>
    <w:rsid w:val="00AD08A6"/>
    <w:rsid w:val="00AD3417"/>
    <w:rsid w:val="00AD3476"/>
    <w:rsid w:val="00AD3976"/>
    <w:rsid w:val="00AD5145"/>
    <w:rsid w:val="00AD53EB"/>
    <w:rsid w:val="00AD5911"/>
    <w:rsid w:val="00AD734F"/>
    <w:rsid w:val="00AD788B"/>
    <w:rsid w:val="00AE21A6"/>
    <w:rsid w:val="00AE2783"/>
    <w:rsid w:val="00AE6C69"/>
    <w:rsid w:val="00AE74F3"/>
    <w:rsid w:val="00AF09CF"/>
    <w:rsid w:val="00AF12BE"/>
    <w:rsid w:val="00AF1554"/>
    <w:rsid w:val="00AF175B"/>
    <w:rsid w:val="00AF3092"/>
    <w:rsid w:val="00AF3D43"/>
    <w:rsid w:val="00AF6546"/>
    <w:rsid w:val="00AF66B9"/>
    <w:rsid w:val="00AF709D"/>
    <w:rsid w:val="00AF7D3F"/>
    <w:rsid w:val="00B005B6"/>
    <w:rsid w:val="00B0090A"/>
    <w:rsid w:val="00B01AC2"/>
    <w:rsid w:val="00B01F57"/>
    <w:rsid w:val="00B02618"/>
    <w:rsid w:val="00B02B81"/>
    <w:rsid w:val="00B03779"/>
    <w:rsid w:val="00B05538"/>
    <w:rsid w:val="00B0605A"/>
    <w:rsid w:val="00B07917"/>
    <w:rsid w:val="00B07AE0"/>
    <w:rsid w:val="00B103BF"/>
    <w:rsid w:val="00B10792"/>
    <w:rsid w:val="00B1171E"/>
    <w:rsid w:val="00B119C4"/>
    <w:rsid w:val="00B11EE8"/>
    <w:rsid w:val="00B11FAD"/>
    <w:rsid w:val="00B12B2C"/>
    <w:rsid w:val="00B12D15"/>
    <w:rsid w:val="00B14D27"/>
    <w:rsid w:val="00B14D36"/>
    <w:rsid w:val="00B14F69"/>
    <w:rsid w:val="00B16275"/>
    <w:rsid w:val="00B162B9"/>
    <w:rsid w:val="00B163C5"/>
    <w:rsid w:val="00B168E6"/>
    <w:rsid w:val="00B17556"/>
    <w:rsid w:val="00B217C5"/>
    <w:rsid w:val="00B219C7"/>
    <w:rsid w:val="00B22230"/>
    <w:rsid w:val="00B24066"/>
    <w:rsid w:val="00B2444A"/>
    <w:rsid w:val="00B24B4A"/>
    <w:rsid w:val="00B24D55"/>
    <w:rsid w:val="00B27871"/>
    <w:rsid w:val="00B27CA6"/>
    <w:rsid w:val="00B27FE1"/>
    <w:rsid w:val="00B306B7"/>
    <w:rsid w:val="00B3107D"/>
    <w:rsid w:val="00B311E9"/>
    <w:rsid w:val="00B312C7"/>
    <w:rsid w:val="00B31927"/>
    <w:rsid w:val="00B31CC1"/>
    <w:rsid w:val="00B324F2"/>
    <w:rsid w:val="00B32B8F"/>
    <w:rsid w:val="00B33560"/>
    <w:rsid w:val="00B33BCF"/>
    <w:rsid w:val="00B345B6"/>
    <w:rsid w:val="00B34C3C"/>
    <w:rsid w:val="00B35E31"/>
    <w:rsid w:val="00B36115"/>
    <w:rsid w:val="00B36598"/>
    <w:rsid w:val="00B368C3"/>
    <w:rsid w:val="00B37171"/>
    <w:rsid w:val="00B37814"/>
    <w:rsid w:val="00B4079B"/>
    <w:rsid w:val="00B40F65"/>
    <w:rsid w:val="00B4100C"/>
    <w:rsid w:val="00B41195"/>
    <w:rsid w:val="00B42064"/>
    <w:rsid w:val="00B429BD"/>
    <w:rsid w:val="00B42A25"/>
    <w:rsid w:val="00B43DDB"/>
    <w:rsid w:val="00B456BF"/>
    <w:rsid w:val="00B45F6E"/>
    <w:rsid w:val="00B4643F"/>
    <w:rsid w:val="00B46449"/>
    <w:rsid w:val="00B46D14"/>
    <w:rsid w:val="00B47C0D"/>
    <w:rsid w:val="00B47F53"/>
    <w:rsid w:val="00B50B36"/>
    <w:rsid w:val="00B512D0"/>
    <w:rsid w:val="00B52E97"/>
    <w:rsid w:val="00B537CD"/>
    <w:rsid w:val="00B54EDF"/>
    <w:rsid w:val="00B551F9"/>
    <w:rsid w:val="00B555F7"/>
    <w:rsid w:val="00B568F1"/>
    <w:rsid w:val="00B57748"/>
    <w:rsid w:val="00B57AB1"/>
    <w:rsid w:val="00B60214"/>
    <w:rsid w:val="00B60611"/>
    <w:rsid w:val="00B608BF"/>
    <w:rsid w:val="00B636F0"/>
    <w:rsid w:val="00B648A0"/>
    <w:rsid w:val="00B64CC1"/>
    <w:rsid w:val="00B668E1"/>
    <w:rsid w:val="00B67790"/>
    <w:rsid w:val="00B70348"/>
    <w:rsid w:val="00B70F4E"/>
    <w:rsid w:val="00B71EEE"/>
    <w:rsid w:val="00B72277"/>
    <w:rsid w:val="00B7261C"/>
    <w:rsid w:val="00B72E66"/>
    <w:rsid w:val="00B73527"/>
    <w:rsid w:val="00B73E75"/>
    <w:rsid w:val="00B74CA8"/>
    <w:rsid w:val="00B7500A"/>
    <w:rsid w:val="00B7513E"/>
    <w:rsid w:val="00B75886"/>
    <w:rsid w:val="00B759EB"/>
    <w:rsid w:val="00B75C5C"/>
    <w:rsid w:val="00B75D15"/>
    <w:rsid w:val="00B76A38"/>
    <w:rsid w:val="00B77E6E"/>
    <w:rsid w:val="00B80050"/>
    <w:rsid w:val="00B804EB"/>
    <w:rsid w:val="00B8055A"/>
    <w:rsid w:val="00B81503"/>
    <w:rsid w:val="00B81F2F"/>
    <w:rsid w:val="00B8217B"/>
    <w:rsid w:val="00B828FD"/>
    <w:rsid w:val="00B83292"/>
    <w:rsid w:val="00B83DDA"/>
    <w:rsid w:val="00B861F6"/>
    <w:rsid w:val="00B86BC6"/>
    <w:rsid w:val="00B86D39"/>
    <w:rsid w:val="00B87456"/>
    <w:rsid w:val="00B87BE3"/>
    <w:rsid w:val="00B908B8"/>
    <w:rsid w:val="00B9098D"/>
    <w:rsid w:val="00B909E3"/>
    <w:rsid w:val="00B90C0F"/>
    <w:rsid w:val="00B90DE3"/>
    <w:rsid w:val="00B91B64"/>
    <w:rsid w:val="00B921BB"/>
    <w:rsid w:val="00B93035"/>
    <w:rsid w:val="00B93571"/>
    <w:rsid w:val="00B935E8"/>
    <w:rsid w:val="00B93895"/>
    <w:rsid w:val="00B954C7"/>
    <w:rsid w:val="00B96418"/>
    <w:rsid w:val="00B966AD"/>
    <w:rsid w:val="00B96FC3"/>
    <w:rsid w:val="00BA025A"/>
    <w:rsid w:val="00BA0B58"/>
    <w:rsid w:val="00BA20A5"/>
    <w:rsid w:val="00BA2500"/>
    <w:rsid w:val="00BA2ADF"/>
    <w:rsid w:val="00BA2ED4"/>
    <w:rsid w:val="00BA3133"/>
    <w:rsid w:val="00BA3247"/>
    <w:rsid w:val="00BA394E"/>
    <w:rsid w:val="00BA4BF0"/>
    <w:rsid w:val="00BA4F5A"/>
    <w:rsid w:val="00BA76A0"/>
    <w:rsid w:val="00BA7BA6"/>
    <w:rsid w:val="00BB005C"/>
    <w:rsid w:val="00BB0445"/>
    <w:rsid w:val="00BB05DC"/>
    <w:rsid w:val="00BB07E3"/>
    <w:rsid w:val="00BB0B4E"/>
    <w:rsid w:val="00BB1BCA"/>
    <w:rsid w:val="00BB308F"/>
    <w:rsid w:val="00BB40A8"/>
    <w:rsid w:val="00BB4D7E"/>
    <w:rsid w:val="00BB5195"/>
    <w:rsid w:val="00BB5286"/>
    <w:rsid w:val="00BB59C0"/>
    <w:rsid w:val="00BB6D5E"/>
    <w:rsid w:val="00BB6EAD"/>
    <w:rsid w:val="00BB6F0B"/>
    <w:rsid w:val="00BC0102"/>
    <w:rsid w:val="00BC051C"/>
    <w:rsid w:val="00BC09CA"/>
    <w:rsid w:val="00BC0CE6"/>
    <w:rsid w:val="00BC2B00"/>
    <w:rsid w:val="00BC3CA9"/>
    <w:rsid w:val="00BC3F44"/>
    <w:rsid w:val="00BC4EBB"/>
    <w:rsid w:val="00BC4FE1"/>
    <w:rsid w:val="00BC5BE0"/>
    <w:rsid w:val="00BC5D06"/>
    <w:rsid w:val="00BC6888"/>
    <w:rsid w:val="00BC6B7E"/>
    <w:rsid w:val="00BC6C07"/>
    <w:rsid w:val="00BD12EA"/>
    <w:rsid w:val="00BD142C"/>
    <w:rsid w:val="00BD18B3"/>
    <w:rsid w:val="00BD1A7E"/>
    <w:rsid w:val="00BD21E3"/>
    <w:rsid w:val="00BD275C"/>
    <w:rsid w:val="00BD2C72"/>
    <w:rsid w:val="00BD3D19"/>
    <w:rsid w:val="00BD3E56"/>
    <w:rsid w:val="00BD40A2"/>
    <w:rsid w:val="00BD4221"/>
    <w:rsid w:val="00BD45AF"/>
    <w:rsid w:val="00BD50FB"/>
    <w:rsid w:val="00BD527A"/>
    <w:rsid w:val="00BD54CB"/>
    <w:rsid w:val="00BD5CC8"/>
    <w:rsid w:val="00BD5EEB"/>
    <w:rsid w:val="00BD5F9F"/>
    <w:rsid w:val="00BD68A5"/>
    <w:rsid w:val="00BD6917"/>
    <w:rsid w:val="00BD6E49"/>
    <w:rsid w:val="00BD6FE8"/>
    <w:rsid w:val="00BD7489"/>
    <w:rsid w:val="00BD74EC"/>
    <w:rsid w:val="00BD7784"/>
    <w:rsid w:val="00BD7AB1"/>
    <w:rsid w:val="00BD7D77"/>
    <w:rsid w:val="00BE069B"/>
    <w:rsid w:val="00BE07B2"/>
    <w:rsid w:val="00BE0B4D"/>
    <w:rsid w:val="00BE145B"/>
    <w:rsid w:val="00BE1D7D"/>
    <w:rsid w:val="00BE2922"/>
    <w:rsid w:val="00BE2956"/>
    <w:rsid w:val="00BE318B"/>
    <w:rsid w:val="00BE40D6"/>
    <w:rsid w:val="00BE4521"/>
    <w:rsid w:val="00BE470E"/>
    <w:rsid w:val="00BE5876"/>
    <w:rsid w:val="00BE6441"/>
    <w:rsid w:val="00BE7053"/>
    <w:rsid w:val="00BE70A5"/>
    <w:rsid w:val="00BE7268"/>
    <w:rsid w:val="00BE77A7"/>
    <w:rsid w:val="00BF064E"/>
    <w:rsid w:val="00BF0898"/>
    <w:rsid w:val="00BF1739"/>
    <w:rsid w:val="00BF348C"/>
    <w:rsid w:val="00BF56CF"/>
    <w:rsid w:val="00BF5876"/>
    <w:rsid w:val="00BF79C0"/>
    <w:rsid w:val="00BF7ABF"/>
    <w:rsid w:val="00BF7E10"/>
    <w:rsid w:val="00C00C65"/>
    <w:rsid w:val="00C02227"/>
    <w:rsid w:val="00C0366E"/>
    <w:rsid w:val="00C03848"/>
    <w:rsid w:val="00C04940"/>
    <w:rsid w:val="00C04C34"/>
    <w:rsid w:val="00C0505E"/>
    <w:rsid w:val="00C05724"/>
    <w:rsid w:val="00C061CA"/>
    <w:rsid w:val="00C07DEC"/>
    <w:rsid w:val="00C07F6B"/>
    <w:rsid w:val="00C10D28"/>
    <w:rsid w:val="00C11E60"/>
    <w:rsid w:val="00C12C05"/>
    <w:rsid w:val="00C13350"/>
    <w:rsid w:val="00C13877"/>
    <w:rsid w:val="00C14137"/>
    <w:rsid w:val="00C1441C"/>
    <w:rsid w:val="00C151CC"/>
    <w:rsid w:val="00C15F2E"/>
    <w:rsid w:val="00C1605D"/>
    <w:rsid w:val="00C16A4F"/>
    <w:rsid w:val="00C17523"/>
    <w:rsid w:val="00C1764C"/>
    <w:rsid w:val="00C17C84"/>
    <w:rsid w:val="00C17F9A"/>
    <w:rsid w:val="00C20C72"/>
    <w:rsid w:val="00C20E0D"/>
    <w:rsid w:val="00C2124D"/>
    <w:rsid w:val="00C21AA9"/>
    <w:rsid w:val="00C23D3C"/>
    <w:rsid w:val="00C23FB6"/>
    <w:rsid w:val="00C240AB"/>
    <w:rsid w:val="00C249BB"/>
    <w:rsid w:val="00C25F02"/>
    <w:rsid w:val="00C261E0"/>
    <w:rsid w:val="00C30399"/>
    <w:rsid w:val="00C30E3F"/>
    <w:rsid w:val="00C30FD5"/>
    <w:rsid w:val="00C31162"/>
    <w:rsid w:val="00C3131E"/>
    <w:rsid w:val="00C31E5F"/>
    <w:rsid w:val="00C3298E"/>
    <w:rsid w:val="00C34058"/>
    <w:rsid w:val="00C342E4"/>
    <w:rsid w:val="00C35CD9"/>
    <w:rsid w:val="00C37856"/>
    <w:rsid w:val="00C40D5E"/>
    <w:rsid w:val="00C426CB"/>
    <w:rsid w:val="00C43354"/>
    <w:rsid w:val="00C4405A"/>
    <w:rsid w:val="00C44890"/>
    <w:rsid w:val="00C44912"/>
    <w:rsid w:val="00C44A3A"/>
    <w:rsid w:val="00C44E47"/>
    <w:rsid w:val="00C45C1A"/>
    <w:rsid w:val="00C4612A"/>
    <w:rsid w:val="00C46220"/>
    <w:rsid w:val="00C466E9"/>
    <w:rsid w:val="00C46F16"/>
    <w:rsid w:val="00C47826"/>
    <w:rsid w:val="00C47A89"/>
    <w:rsid w:val="00C50368"/>
    <w:rsid w:val="00C50605"/>
    <w:rsid w:val="00C51AB6"/>
    <w:rsid w:val="00C51B45"/>
    <w:rsid w:val="00C52551"/>
    <w:rsid w:val="00C531FB"/>
    <w:rsid w:val="00C54A27"/>
    <w:rsid w:val="00C559AE"/>
    <w:rsid w:val="00C60216"/>
    <w:rsid w:val="00C602C6"/>
    <w:rsid w:val="00C60558"/>
    <w:rsid w:val="00C633C5"/>
    <w:rsid w:val="00C633CA"/>
    <w:rsid w:val="00C6453D"/>
    <w:rsid w:val="00C64675"/>
    <w:rsid w:val="00C64AB8"/>
    <w:rsid w:val="00C675F9"/>
    <w:rsid w:val="00C70D94"/>
    <w:rsid w:val="00C71004"/>
    <w:rsid w:val="00C715AD"/>
    <w:rsid w:val="00C71B42"/>
    <w:rsid w:val="00C71E5C"/>
    <w:rsid w:val="00C7276C"/>
    <w:rsid w:val="00C74AA7"/>
    <w:rsid w:val="00C75817"/>
    <w:rsid w:val="00C75E4E"/>
    <w:rsid w:val="00C764BB"/>
    <w:rsid w:val="00C77085"/>
    <w:rsid w:val="00C77934"/>
    <w:rsid w:val="00C8066F"/>
    <w:rsid w:val="00C809F9"/>
    <w:rsid w:val="00C80D0B"/>
    <w:rsid w:val="00C81B23"/>
    <w:rsid w:val="00C8231F"/>
    <w:rsid w:val="00C82446"/>
    <w:rsid w:val="00C8297A"/>
    <w:rsid w:val="00C83356"/>
    <w:rsid w:val="00C853A3"/>
    <w:rsid w:val="00C863A5"/>
    <w:rsid w:val="00C86667"/>
    <w:rsid w:val="00C87A9F"/>
    <w:rsid w:val="00C901BF"/>
    <w:rsid w:val="00C92A3B"/>
    <w:rsid w:val="00C92EBC"/>
    <w:rsid w:val="00C94584"/>
    <w:rsid w:val="00C94FC6"/>
    <w:rsid w:val="00C9543F"/>
    <w:rsid w:val="00C95DD4"/>
    <w:rsid w:val="00C9641E"/>
    <w:rsid w:val="00C96B74"/>
    <w:rsid w:val="00C96CA0"/>
    <w:rsid w:val="00C9792D"/>
    <w:rsid w:val="00C97E32"/>
    <w:rsid w:val="00CA098D"/>
    <w:rsid w:val="00CA0EA4"/>
    <w:rsid w:val="00CA1596"/>
    <w:rsid w:val="00CA19BF"/>
    <w:rsid w:val="00CA211C"/>
    <w:rsid w:val="00CA2256"/>
    <w:rsid w:val="00CA43D7"/>
    <w:rsid w:val="00CA5C1D"/>
    <w:rsid w:val="00CA61D2"/>
    <w:rsid w:val="00CA77EA"/>
    <w:rsid w:val="00CB02F4"/>
    <w:rsid w:val="00CB0A98"/>
    <w:rsid w:val="00CB0B4C"/>
    <w:rsid w:val="00CB1F76"/>
    <w:rsid w:val="00CB24A3"/>
    <w:rsid w:val="00CB277A"/>
    <w:rsid w:val="00CB27C7"/>
    <w:rsid w:val="00CB2828"/>
    <w:rsid w:val="00CB36BC"/>
    <w:rsid w:val="00CB3AA0"/>
    <w:rsid w:val="00CB559D"/>
    <w:rsid w:val="00CB5904"/>
    <w:rsid w:val="00CB6185"/>
    <w:rsid w:val="00CB64B7"/>
    <w:rsid w:val="00CB72AD"/>
    <w:rsid w:val="00CC01CC"/>
    <w:rsid w:val="00CC045D"/>
    <w:rsid w:val="00CC06D4"/>
    <w:rsid w:val="00CC0D21"/>
    <w:rsid w:val="00CC15C9"/>
    <w:rsid w:val="00CC4073"/>
    <w:rsid w:val="00CC43A8"/>
    <w:rsid w:val="00CC44E4"/>
    <w:rsid w:val="00CC5489"/>
    <w:rsid w:val="00CC56BB"/>
    <w:rsid w:val="00CC5C7F"/>
    <w:rsid w:val="00CC5EB3"/>
    <w:rsid w:val="00CC6BA9"/>
    <w:rsid w:val="00CC6FD6"/>
    <w:rsid w:val="00CC7334"/>
    <w:rsid w:val="00CC743B"/>
    <w:rsid w:val="00CC7B96"/>
    <w:rsid w:val="00CC7E05"/>
    <w:rsid w:val="00CC7F2D"/>
    <w:rsid w:val="00CD11F0"/>
    <w:rsid w:val="00CD2C5C"/>
    <w:rsid w:val="00CD3F0A"/>
    <w:rsid w:val="00CD484C"/>
    <w:rsid w:val="00CD4C37"/>
    <w:rsid w:val="00CD50EA"/>
    <w:rsid w:val="00CD598E"/>
    <w:rsid w:val="00CD66CA"/>
    <w:rsid w:val="00CD6862"/>
    <w:rsid w:val="00CD6EC6"/>
    <w:rsid w:val="00CD79C4"/>
    <w:rsid w:val="00CD7C4D"/>
    <w:rsid w:val="00CE068C"/>
    <w:rsid w:val="00CE15E2"/>
    <w:rsid w:val="00CE2886"/>
    <w:rsid w:val="00CE311A"/>
    <w:rsid w:val="00CE34A2"/>
    <w:rsid w:val="00CE3769"/>
    <w:rsid w:val="00CE3862"/>
    <w:rsid w:val="00CE3D95"/>
    <w:rsid w:val="00CE5AC0"/>
    <w:rsid w:val="00CE62E0"/>
    <w:rsid w:val="00CF0060"/>
    <w:rsid w:val="00CF040B"/>
    <w:rsid w:val="00CF06D5"/>
    <w:rsid w:val="00CF1114"/>
    <w:rsid w:val="00CF29A0"/>
    <w:rsid w:val="00CF2C74"/>
    <w:rsid w:val="00CF2EAE"/>
    <w:rsid w:val="00CF3BA0"/>
    <w:rsid w:val="00CF41A1"/>
    <w:rsid w:val="00CF4AC4"/>
    <w:rsid w:val="00CF5DC4"/>
    <w:rsid w:val="00CF6027"/>
    <w:rsid w:val="00CF616B"/>
    <w:rsid w:val="00CF61A0"/>
    <w:rsid w:val="00CF62CF"/>
    <w:rsid w:val="00D00934"/>
    <w:rsid w:val="00D02D0C"/>
    <w:rsid w:val="00D05443"/>
    <w:rsid w:val="00D060A0"/>
    <w:rsid w:val="00D06AF3"/>
    <w:rsid w:val="00D0766D"/>
    <w:rsid w:val="00D0792D"/>
    <w:rsid w:val="00D07BED"/>
    <w:rsid w:val="00D110B2"/>
    <w:rsid w:val="00D12565"/>
    <w:rsid w:val="00D129D9"/>
    <w:rsid w:val="00D15076"/>
    <w:rsid w:val="00D171FA"/>
    <w:rsid w:val="00D2043C"/>
    <w:rsid w:val="00D22AE6"/>
    <w:rsid w:val="00D23533"/>
    <w:rsid w:val="00D260C5"/>
    <w:rsid w:val="00D26BF4"/>
    <w:rsid w:val="00D26CB0"/>
    <w:rsid w:val="00D2793E"/>
    <w:rsid w:val="00D27EE1"/>
    <w:rsid w:val="00D302E3"/>
    <w:rsid w:val="00D306F4"/>
    <w:rsid w:val="00D31252"/>
    <w:rsid w:val="00D312CC"/>
    <w:rsid w:val="00D31B75"/>
    <w:rsid w:val="00D325E9"/>
    <w:rsid w:val="00D33216"/>
    <w:rsid w:val="00D3353D"/>
    <w:rsid w:val="00D34F43"/>
    <w:rsid w:val="00D3563A"/>
    <w:rsid w:val="00D36031"/>
    <w:rsid w:val="00D3615E"/>
    <w:rsid w:val="00D3648A"/>
    <w:rsid w:val="00D36DD0"/>
    <w:rsid w:val="00D3721F"/>
    <w:rsid w:val="00D40955"/>
    <w:rsid w:val="00D40C2D"/>
    <w:rsid w:val="00D411FF"/>
    <w:rsid w:val="00D418D6"/>
    <w:rsid w:val="00D424C0"/>
    <w:rsid w:val="00D42605"/>
    <w:rsid w:val="00D43379"/>
    <w:rsid w:val="00D43D9F"/>
    <w:rsid w:val="00D4505C"/>
    <w:rsid w:val="00D47568"/>
    <w:rsid w:val="00D5002D"/>
    <w:rsid w:val="00D50941"/>
    <w:rsid w:val="00D50F7F"/>
    <w:rsid w:val="00D52047"/>
    <w:rsid w:val="00D52069"/>
    <w:rsid w:val="00D5396A"/>
    <w:rsid w:val="00D53E02"/>
    <w:rsid w:val="00D5437A"/>
    <w:rsid w:val="00D54782"/>
    <w:rsid w:val="00D554AF"/>
    <w:rsid w:val="00D569C1"/>
    <w:rsid w:val="00D56CFA"/>
    <w:rsid w:val="00D56EF0"/>
    <w:rsid w:val="00D57348"/>
    <w:rsid w:val="00D5787B"/>
    <w:rsid w:val="00D57DD8"/>
    <w:rsid w:val="00D6067D"/>
    <w:rsid w:val="00D614D2"/>
    <w:rsid w:val="00D6235C"/>
    <w:rsid w:val="00D623E2"/>
    <w:rsid w:val="00D624F8"/>
    <w:rsid w:val="00D62573"/>
    <w:rsid w:val="00D63796"/>
    <w:rsid w:val="00D6462C"/>
    <w:rsid w:val="00D64DD7"/>
    <w:rsid w:val="00D6659D"/>
    <w:rsid w:val="00D66763"/>
    <w:rsid w:val="00D66AE3"/>
    <w:rsid w:val="00D67251"/>
    <w:rsid w:val="00D676BA"/>
    <w:rsid w:val="00D7056F"/>
    <w:rsid w:val="00D707B9"/>
    <w:rsid w:val="00D70884"/>
    <w:rsid w:val="00D70967"/>
    <w:rsid w:val="00D70DA9"/>
    <w:rsid w:val="00D73D12"/>
    <w:rsid w:val="00D73DFC"/>
    <w:rsid w:val="00D742B5"/>
    <w:rsid w:val="00D74D55"/>
    <w:rsid w:val="00D757BF"/>
    <w:rsid w:val="00D7623A"/>
    <w:rsid w:val="00D7652A"/>
    <w:rsid w:val="00D769F2"/>
    <w:rsid w:val="00D7754F"/>
    <w:rsid w:val="00D77C83"/>
    <w:rsid w:val="00D815F0"/>
    <w:rsid w:val="00D818F2"/>
    <w:rsid w:val="00D82844"/>
    <w:rsid w:val="00D82F29"/>
    <w:rsid w:val="00D839E5"/>
    <w:rsid w:val="00D83EF4"/>
    <w:rsid w:val="00D84897"/>
    <w:rsid w:val="00D848D3"/>
    <w:rsid w:val="00D8633C"/>
    <w:rsid w:val="00D86514"/>
    <w:rsid w:val="00D9063C"/>
    <w:rsid w:val="00D93936"/>
    <w:rsid w:val="00D94017"/>
    <w:rsid w:val="00D940BF"/>
    <w:rsid w:val="00D95129"/>
    <w:rsid w:val="00D95188"/>
    <w:rsid w:val="00D96367"/>
    <w:rsid w:val="00D9747A"/>
    <w:rsid w:val="00D97532"/>
    <w:rsid w:val="00D975B1"/>
    <w:rsid w:val="00D97EF4"/>
    <w:rsid w:val="00DA0889"/>
    <w:rsid w:val="00DA0DD1"/>
    <w:rsid w:val="00DA1B82"/>
    <w:rsid w:val="00DA1CEA"/>
    <w:rsid w:val="00DA2349"/>
    <w:rsid w:val="00DA2B2F"/>
    <w:rsid w:val="00DA3889"/>
    <w:rsid w:val="00DA39A5"/>
    <w:rsid w:val="00DA70CA"/>
    <w:rsid w:val="00DA789B"/>
    <w:rsid w:val="00DB02BA"/>
    <w:rsid w:val="00DB0562"/>
    <w:rsid w:val="00DB1071"/>
    <w:rsid w:val="00DB2233"/>
    <w:rsid w:val="00DB335C"/>
    <w:rsid w:val="00DB3549"/>
    <w:rsid w:val="00DB3B1D"/>
    <w:rsid w:val="00DB3F1A"/>
    <w:rsid w:val="00DB4822"/>
    <w:rsid w:val="00DB4A9B"/>
    <w:rsid w:val="00DB4AB6"/>
    <w:rsid w:val="00DB52FF"/>
    <w:rsid w:val="00DB56E0"/>
    <w:rsid w:val="00DB57CF"/>
    <w:rsid w:val="00DB5919"/>
    <w:rsid w:val="00DB5C41"/>
    <w:rsid w:val="00DB6542"/>
    <w:rsid w:val="00DB761C"/>
    <w:rsid w:val="00DB7DA5"/>
    <w:rsid w:val="00DC1E69"/>
    <w:rsid w:val="00DC2305"/>
    <w:rsid w:val="00DC38EE"/>
    <w:rsid w:val="00DC3E3D"/>
    <w:rsid w:val="00DC416D"/>
    <w:rsid w:val="00DC4494"/>
    <w:rsid w:val="00DC48DF"/>
    <w:rsid w:val="00DC4A1B"/>
    <w:rsid w:val="00DC529F"/>
    <w:rsid w:val="00DC5EEF"/>
    <w:rsid w:val="00DC68A6"/>
    <w:rsid w:val="00DD0D1A"/>
    <w:rsid w:val="00DD0DB2"/>
    <w:rsid w:val="00DD2044"/>
    <w:rsid w:val="00DD2A57"/>
    <w:rsid w:val="00DD2DE8"/>
    <w:rsid w:val="00DD324A"/>
    <w:rsid w:val="00DD3361"/>
    <w:rsid w:val="00DD42B4"/>
    <w:rsid w:val="00DD514E"/>
    <w:rsid w:val="00DD57BA"/>
    <w:rsid w:val="00DE136E"/>
    <w:rsid w:val="00DE15B5"/>
    <w:rsid w:val="00DE2986"/>
    <w:rsid w:val="00DE29C3"/>
    <w:rsid w:val="00DE34DA"/>
    <w:rsid w:val="00DE4377"/>
    <w:rsid w:val="00DE46C8"/>
    <w:rsid w:val="00DE563C"/>
    <w:rsid w:val="00DE6250"/>
    <w:rsid w:val="00DE7DB0"/>
    <w:rsid w:val="00DF0BCB"/>
    <w:rsid w:val="00DF0D30"/>
    <w:rsid w:val="00DF0F6A"/>
    <w:rsid w:val="00DF131F"/>
    <w:rsid w:val="00DF187D"/>
    <w:rsid w:val="00DF21D3"/>
    <w:rsid w:val="00DF2C1A"/>
    <w:rsid w:val="00DF2EAE"/>
    <w:rsid w:val="00DF4731"/>
    <w:rsid w:val="00DF4B32"/>
    <w:rsid w:val="00DF52DE"/>
    <w:rsid w:val="00DF5658"/>
    <w:rsid w:val="00DF5FAE"/>
    <w:rsid w:val="00E01996"/>
    <w:rsid w:val="00E01E9C"/>
    <w:rsid w:val="00E0210B"/>
    <w:rsid w:val="00E02208"/>
    <w:rsid w:val="00E0230B"/>
    <w:rsid w:val="00E0244F"/>
    <w:rsid w:val="00E0305B"/>
    <w:rsid w:val="00E03481"/>
    <w:rsid w:val="00E03A59"/>
    <w:rsid w:val="00E040E5"/>
    <w:rsid w:val="00E041E0"/>
    <w:rsid w:val="00E05C62"/>
    <w:rsid w:val="00E06416"/>
    <w:rsid w:val="00E06554"/>
    <w:rsid w:val="00E12901"/>
    <w:rsid w:val="00E12F6A"/>
    <w:rsid w:val="00E130D8"/>
    <w:rsid w:val="00E14B07"/>
    <w:rsid w:val="00E14F6D"/>
    <w:rsid w:val="00E1511F"/>
    <w:rsid w:val="00E153F4"/>
    <w:rsid w:val="00E16EEC"/>
    <w:rsid w:val="00E171B9"/>
    <w:rsid w:val="00E209DB"/>
    <w:rsid w:val="00E20AFC"/>
    <w:rsid w:val="00E2120A"/>
    <w:rsid w:val="00E21C09"/>
    <w:rsid w:val="00E21E50"/>
    <w:rsid w:val="00E22DDC"/>
    <w:rsid w:val="00E2353B"/>
    <w:rsid w:val="00E24082"/>
    <w:rsid w:val="00E2426F"/>
    <w:rsid w:val="00E24C0B"/>
    <w:rsid w:val="00E25FB4"/>
    <w:rsid w:val="00E268AD"/>
    <w:rsid w:val="00E278BD"/>
    <w:rsid w:val="00E306EB"/>
    <w:rsid w:val="00E308DA"/>
    <w:rsid w:val="00E31443"/>
    <w:rsid w:val="00E31B76"/>
    <w:rsid w:val="00E336D2"/>
    <w:rsid w:val="00E34811"/>
    <w:rsid w:val="00E34D04"/>
    <w:rsid w:val="00E35D2F"/>
    <w:rsid w:val="00E3602F"/>
    <w:rsid w:val="00E36866"/>
    <w:rsid w:val="00E40C65"/>
    <w:rsid w:val="00E4144D"/>
    <w:rsid w:val="00E42B41"/>
    <w:rsid w:val="00E4363D"/>
    <w:rsid w:val="00E4369F"/>
    <w:rsid w:val="00E445DE"/>
    <w:rsid w:val="00E4536F"/>
    <w:rsid w:val="00E45FD7"/>
    <w:rsid w:val="00E460ED"/>
    <w:rsid w:val="00E462F0"/>
    <w:rsid w:val="00E46BB5"/>
    <w:rsid w:val="00E470E5"/>
    <w:rsid w:val="00E47BBF"/>
    <w:rsid w:val="00E47E3E"/>
    <w:rsid w:val="00E50A66"/>
    <w:rsid w:val="00E51452"/>
    <w:rsid w:val="00E52306"/>
    <w:rsid w:val="00E52C73"/>
    <w:rsid w:val="00E53A75"/>
    <w:rsid w:val="00E54105"/>
    <w:rsid w:val="00E544C5"/>
    <w:rsid w:val="00E55541"/>
    <w:rsid w:val="00E55E53"/>
    <w:rsid w:val="00E561A9"/>
    <w:rsid w:val="00E56567"/>
    <w:rsid w:val="00E5667C"/>
    <w:rsid w:val="00E57621"/>
    <w:rsid w:val="00E5779C"/>
    <w:rsid w:val="00E631E9"/>
    <w:rsid w:val="00E63502"/>
    <w:rsid w:val="00E6355E"/>
    <w:rsid w:val="00E6358D"/>
    <w:rsid w:val="00E63612"/>
    <w:rsid w:val="00E6380D"/>
    <w:rsid w:val="00E63E54"/>
    <w:rsid w:val="00E63F2F"/>
    <w:rsid w:val="00E63FAB"/>
    <w:rsid w:val="00E646CE"/>
    <w:rsid w:val="00E650C8"/>
    <w:rsid w:val="00E65FEC"/>
    <w:rsid w:val="00E67408"/>
    <w:rsid w:val="00E675C0"/>
    <w:rsid w:val="00E67B25"/>
    <w:rsid w:val="00E67F8C"/>
    <w:rsid w:val="00E70165"/>
    <w:rsid w:val="00E71805"/>
    <w:rsid w:val="00E723D1"/>
    <w:rsid w:val="00E7253C"/>
    <w:rsid w:val="00E727FE"/>
    <w:rsid w:val="00E742AE"/>
    <w:rsid w:val="00E7593D"/>
    <w:rsid w:val="00E7690E"/>
    <w:rsid w:val="00E76992"/>
    <w:rsid w:val="00E7763D"/>
    <w:rsid w:val="00E8024C"/>
    <w:rsid w:val="00E80CC8"/>
    <w:rsid w:val="00E81087"/>
    <w:rsid w:val="00E811A6"/>
    <w:rsid w:val="00E823CD"/>
    <w:rsid w:val="00E834C5"/>
    <w:rsid w:val="00E83992"/>
    <w:rsid w:val="00E839CB"/>
    <w:rsid w:val="00E849AF"/>
    <w:rsid w:val="00E85303"/>
    <w:rsid w:val="00E85E78"/>
    <w:rsid w:val="00E85E9C"/>
    <w:rsid w:val="00E85EE5"/>
    <w:rsid w:val="00E864BD"/>
    <w:rsid w:val="00E86C83"/>
    <w:rsid w:val="00E87235"/>
    <w:rsid w:val="00E87AAF"/>
    <w:rsid w:val="00E9001B"/>
    <w:rsid w:val="00E9023F"/>
    <w:rsid w:val="00E91029"/>
    <w:rsid w:val="00E922DF"/>
    <w:rsid w:val="00E9236A"/>
    <w:rsid w:val="00E92C01"/>
    <w:rsid w:val="00E9321A"/>
    <w:rsid w:val="00E9366C"/>
    <w:rsid w:val="00E9547B"/>
    <w:rsid w:val="00E96000"/>
    <w:rsid w:val="00E9612B"/>
    <w:rsid w:val="00E964A3"/>
    <w:rsid w:val="00E979F7"/>
    <w:rsid w:val="00EA0740"/>
    <w:rsid w:val="00EA11EB"/>
    <w:rsid w:val="00EA1520"/>
    <w:rsid w:val="00EA2019"/>
    <w:rsid w:val="00EA2AA3"/>
    <w:rsid w:val="00EA305D"/>
    <w:rsid w:val="00EA3115"/>
    <w:rsid w:val="00EA5743"/>
    <w:rsid w:val="00EA6251"/>
    <w:rsid w:val="00EA6BF5"/>
    <w:rsid w:val="00EA6F46"/>
    <w:rsid w:val="00EA71C2"/>
    <w:rsid w:val="00EA7361"/>
    <w:rsid w:val="00EA79DE"/>
    <w:rsid w:val="00EA7A4D"/>
    <w:rsid w:val="00EA7C80"/>
    <w:rsid w:val="00EB1AB6"/>
    <w:rsid w:val="00EB218C"/>
    <w:rsid w:val="00EB3372"/>
    <w:rsid w:val="00EB393C"/>
    <w:rsid w:val="00EB39F9"/>
    <w:rsid w:val="00EB47DD"/>
    <w:rsid w:val="00EB49F7"/>
    <w:rsid w:val="00EB6034"/>
    <w:rsid w:val="00EC0718"/>
    <w:rsid w:val="00EC0818"/>
    <w:rsid w:val="00EC08A0"/>
    <w:rsid w:val="00EC0942"/>
    <w:rsid w:val="00EC0C18"/>
    <w:rsid w:val="00EC0CD9"/>
    <w:rsid w:val="00EC0DDB"/>
    <w:rsid w:val="00EC0F07"/>
    <w:rsid w:val="00EC114D"/>
    <w:rsid w:val="00EC1D0B"/>
    <w:rsid w:val="00EC43E1"/>
    <w:rsid w:val="00EC442D"/>
    <w:rsid w:val="00EC66B0"/>
    <w:rsid w:val="00EC7667"/>
    <w:rsid w:val="00EC7F27"/>
    <w:rsid w:val="00ED0806"/>
    <w:rsid w:val="00ED0F8F"/>
    <w:rsid w:val="00ED1389"/>
    <w:rsid w:val="00ED2171"/>
    <w:rsid w:val="00ED2294"/>
    <w:rsid w:val="00ED38DC"/>
    <w:rsid w:val="00ED3942"/>
    <w:rsid w:val="00ED4A45"/>
    <w:rsid w:val="00ED5650"/>
    <w:rsid w:val="00ED6804"/>
    <w:rsid w:val="00ED6DAF"/>
    <w:rsid w:val="00ED75D7"/>
    <w:rsid w:val="00ED76CE"/>
    <w:rsid w:val="00ED7D0E"/>
    <w:rsid w:val="00EE01EE"/>
    <w:rsid w:val="00EE104F"/>
    <w:rsid w:val="00EE2607"/>
    <w:rsid w:val="00EE2799"/>
    <w:rsid w:val="00EE2830"/>
    <w:rsid w:val="00EE2B30"/>
    <w:rsid w:val="00EE2C0C"/>
    <w:rsid w:val="00EE3051"/>
    <w:rsid w:val="00EE4082"/>
    <w:rsid w:val="00EE43CE"/>
    <w:rsid w:val="00EE47C9"/>
    <w:rsid w:val="00EE4D2C"/>
    <w:rsid w:val="00EE5577"/>
    <w:rsid w:val="00EE631F"/>
    <w:rsid w:val="00EE675E"/>
    <w:rsid w:val="00EF016E"/>
    <w:rsid w:val="00EF0994"/>
    <w:rsid w:val="00EF106A"/>
    <w:rsid w:val="00EF37A9"/>
    <w:rsid w:val="00EF38A4"/>
    <w:rsid w:val="00EF3E1A"/>
    <w:rsid w:val="00EF4D17"/>
    <w:rsid w:val="00EF5CD7"/>
    <w:rsid w:val="00EF68C7"/>
    <w:rsid w:val="00EF6991"/>
    <w:rsid w:val="00EF6CCC"/>
    <w:rsid w:val="00EF6F31"/>
    <w:rsid w:val="00EF73A3"/>
    <w:rsid w:val="00F004A0"/>
    <w:rsid w:val="00F006D1"/>
    <w:rsid w:val="00F00EAB"/>
    <w:rsid w:val="00F01C78"/>
    <w:rsid w:val="00F02405"/>
    <w:rsid w:val="00F02986"/>
    <w:rsid w:val="00F033DB"/>
    <w:rsid w:val="00F03A68"/>
    <w:rsid w:val="00F03AF2"/>
    <w:rsid w:val="00F046DD"/>
    <w:rsid w:val="00F06087"/>
    <w:rsid w:val="00F071AF"/>
    <w:rsid w:val="00F1027B"/>
    <w:rsid w:val="00F11836"/>
    <w:rsid w:val="00F12E70"/>
    <w:rsid w:val="00F130B8"/>
    <w:rsid w:val="00F131F1"/>
    <w:rsid w:val="00F13852"/>
    <w:rsid w:val="00F13D4C"/>
    <w:rsid w:val="00F141AC"/>
    <w:rsid w:val="00F14661"/>
    <w:rsid w:val="00F154AA"/>
    <w:rsid w:val="00F159B2"/>
    <w:rsid w:val="00F162A8"/>
    <w:rsid w:val="00F17EFF"/>
    <w:rsid w:val="00F20813"/>
    <w:rsid w:val="00F21CD3"/>
    <w:rsid w:val="00F21E80"/>
    <w:rsid w:val="00F2283B"/>
    <w:rsid w:val="00F22B7A"/>
    <w:rsid w:val="00F23458"/>
    <w:rsid w:val="00F25103"/>
    <w:rsid w:val="00F25332"/>
    <w:rsid w:val="00F255CC"/>
    <w:rsid w:val="00F26048"/>
    <w:rsid w:val="00F26AE1"/>
    <w:rsid w:val="00F2716D"/>
    <w:rsid w:val="00F301E6"/>
    <w:rsid w:val="00F30338"/>
    <w:rsid w:val="00F32988"/>
    <w:rsid w:val="00F33050"/>
    <w:rsid w:val="00F33393"/>
    <w:rsid w:val="00F333BA"/>
    <w:rsid w:val="00F3390B"/>
    <w:rsid w:val="00F33DEF"/>
    <w:rsid w:val="00F34F3C"/>
    <w:rsid w:val="00F3631D"/>
    <w:rsid w:val="00F3661F"/>
    <w:rsid w:val="00F36BA9"/>
    <w:rsid w:val="00F377B8"/>
    <w:rsid w:val="00F37831"/>
    <w:rsid w:val="00F402B2"/>
    <w:rsid w:val="00F40D30"/>
    <w:rsid w:val="00F41C25"/>
    <w:rsid w:val="00F431F3"/>
    <w:rsid w:val="00F4363D"/>
    <w:rsid w:val="00F4410F"/>
    <w:rsid w:val="00F4441B"/>
    <w:rsid w:val="00F454FE"/>
    <w:rsid w:val="00F46018"/>
    <w:rsid w:val="00F464A6"/>
    <w:rsid w:val="00F46B6D"/>
    <w:rsid w:val="00F47063"/>
    <w:rsid w:val="00F47376"/>
    <w:rsid w:val="00F47A14"/>
    <w:rsid w:val="00F47DD5"/>
    <w:rsid w:val="00F50489"/>
    <w:rsid w:val="00F50AA9"/>
    <w:rsid w:val="00F50F23"/>
    <w:rsid w:val="00F50FBB"/>
    <w:rsid w:val="00F5171E"/>
    <w:rsid w:val="00F517C8"/>
    <w:rsid w:val="00F52CE6"/>
    <w:rsid w:val="00F5307F"/>
    <w:rsid w:val="00F54024"/>
    <w:rsid w:val="00F54CA1"/>
    <w:rsid w:val="00F55A79"/>
    <w:rsid w:val="00F55A8C"/>
    <w:rsid w:val="00F55C9E"/>
    <w:rsid w:val="00F561B0"/>
    <w:rsid w:val="00F56A08"/>
    <w:rsid w:val="00F57E1D"/>
    <w:rsid w:val="00F60EB5"/>
    <w:rsid w:val="00F60F12"/>
    <w:rsid w:val="00F6157C"/>
    <w:rsid w:val="00F61C0A"/>
    <w:rsid w:val="00F62977"/>
    <w:rsid w:val="00F62E14"/>
    <w:rsid w:val="00F62ED5"/>
    <w:rsid w:val="00F63022"/>
    <w:rsid w:val="00F639CE"/>
    <w:rsid w:val="00F64146"/>
    <w:rsid w:val="00F64E24"/>
    <w:rsid w:val="00F64EE3"/>
    <w:rsid w:val="00F652FE"/>
    <w:rsid w:val="00F66676"/>
    <w:rsid w:val="00F67FED"/>
    <w:rsid w:val="00F700F4"/>
    <w:rsid w:val="00F70324"/>
    <w:rsid w:val="00F705FB"/>
    <w:rsid w:val="00F71904"/>
    <w:rsid w:val="00F71BD0"/>
    <w:rsid w:val="00F71DFB"/>
    <w:rsid w:val="00F71E43"/>
    <w:rsid w:val="00F726BB"/>
    <w:rsid w:val="00F72C08"/>
    <w:rsid w:val="00F73068"/>
    <w:rsid w:val="00F7337E"/>
    <w:rsid w:val="00F7517B"/>
    <w:rsid w:val="00F75723"/>
    <w:rsid w:val="00F75F06"/>
    <w:rsid w:val="00F75FFB"/>
    <w:rsid w:val="00F774AD"/>
    <w:rsid w:val="00F777EE"/>
    <w:rsid w:val="00F80A96"/>
    <w:rsid w:val="00F8148E"/>
    <w:rsid w:val="00F81553"/>
    <w:rsid w:val="00F82BBF"/>
    <w:rsid w:val="00F836DC"/>
    <w:rsid w:val="00F844A0"/>
    <w:rsid w:val="00F84747"/>
    <w:rsid w:val="00F8491E"/>
    <w:rsid w:val="00F84EBB"/>
    <w:rsid w:val="00F85764"/>
    <w:rsid w:val="00F85CBB"/>
    <w:rsid w:val="00F867FC"/>
    <w:rsid w:val="00F87AB3"/>
    <w:rsid w:val="00F87E8E"/>
    <w:rsid w:val="00F900B6"/>
    <w:rsid w:val="00F91FB0"/>
    <w:rsid w:val="00F923A5"/>
    <w:rsid w:val="00F92430"/>
    <w:rsid w:val="00F92FDE"/>
    <w:rsid w:val="00F93C79"/>
    <w:rsid w:val="00F943B2"/>
    <w:rsid w:val="00F946A9"/>
    <w:rsid w:val="00F953AC"/>
    <w:rsid w:val="00F959C7"/>
    <w:rsid w:val="00F95FD7"/>
    <w:rsid w:val="00F96BE2"/>
    <w:rsid w:val="00F96DDE"/>
    <w:rsid w:val="00F97153"/>
    <w:rsid w:val="00F9742E"/>
    <w:rsid w:val="00F974A2"/>
    <w:rsid w:val="00FA03FE"/>
    <w:rsid w:val="00FA1F7E"/>
    <w:rsid w:val="00FA256C"/>
    <w:rsid w:val="00FA3815"/>
    <w:rsid w:val="00FA3C9C"/>
    <w:rsid w:val="00FA6020"/>
    <w:rsid w:val="00FA612D"/>
    <w:rsid w:val="00FA68C2"/>
    <w:rsid w:val="00FA68E8"/>
    <w:rsid w:val="00FA6ECC"/>
    <w:rsid w:val="00FA7E39"/>
    <w:rsid w:val="00FB16F5"/>
    <w:rsid w:val="00FB2051"/>
    <w:rsid w:val="00FB27C3"/>
    <w:rsid w:val="00FB284B"/>
    <w:rsid w:val="00FB2867"/>
    <w:rsid w:val="00FB46A7"/>
    <w:rsid w:val="00FB4B11"/>
    <w:rsid w:val="00FB5102"/>
    <w:rsid w:val="00FB5A91"/>
    <w:rsid w:val="00FB5B3D"/>
    <w:rsid w:val="00FB6E71"/>
    <w:rsid w:val="00FB6E8D"/>
    <w:rsid w:val="00FB72E6"/>
    <w:rsid w:val="00FB76FD"/>
    <w:rsid w:val="00FC1879"/>
    <w:rsid w:val="00FC3CCC"/>
    <w:rsid w:val="00FC59BC"/>
    <w:rsid w:val="00FC5CFE"/>
    <w:rsid w:val="00FC5FF8"/>
    <w:rsid w:val="00FC62A3"/>
    <w:rsid w:val="00FC69D5"/>
    <w:rsid w:val="00FD0501"/>
    <w:rsid w:val="00FD0EE1"/>
    <w:rsid w:val="00FD1044"/>
    <w:rsid w:val="00FD190D"/>
    <w:rsid w:val="00FD346A"/>
    <w:rsid w:val="00FD4208"/>
    <w:rsid w:val="00FD741E"/>
    <w:rsid w:val="00FD76F5"/>
    <w:rsid w:val="00FE0B70"/>
    <w:rsid w:val="00FE0F8D"/>
    <w:rsid w:val="00FE1536"/>
    <w:rsid w:val="00FE1F40"/>
    <w:rsid w:val="00FE2382"/>
    <w:rsid w:val="00FE29DC"/>
    <w:rsid w:val="00FE2E17"/>
    <w:rsid w:val="00FE2FC2"/>
    <w:rsid w:val="00FE329D"/>
    <w:rsid w:val="00FE3E7E"/>
    <w:rsid w:val="00FE5106"/>
    <w:rsid w:val="00FE587A"/>
    <w:rsid w:val="00FE5D3A"/>
    <w:rsid w:val="00FE6858"/>
    <w:rsid w:val="00FE6E28"/>
    <w:rsid w:val="00FE7980"/>
    <w:rsid w:val="00FF080E"/>
    <w:rsid w:val="00FF125E"/>
    <w:rsid w:val="00FF1436"/>
    <w:rsid w:val="00FF1B8A"/>
    <w:rsid w:val="00FF2ABC"/>
    <w:rsid w:val="00FF5171"/>
    <w:rsid w:val="00FF57E2"/>
    <w:rsid w:val="00FF6691"/>
    <w:rsid w:val="00FF6728"/>
    <w:rsid w:val="00FF6B6B"/>
    <w:rsid w:val="00FF7356"/>
    <w:rsid w:val="00FF757F"/>
    <w:rsid w:val="00FF7703"/>
    <w:rsid w:val="00FF78D9"/>
    <w:rsid w:val="00FF7D13"/>
    <w:rsid w:val="00FF7E6B"/>
    <w:rsid w:val="023D4326"/>
    <w:rsid w:val="04A2D39D"/>
    <w:rsid w:val="0D353577"/>
    <w:rsid w:val="0E388B1A"/>
    <w:rsid w:val="18EA121D"/>
    <w:rsid w:val="1ACBD1D2"/>
    <w:rsid w:val="1BEB6044"/>
    <w:rsid w:val="29DAD07D"/>
    <w:rsid w:val="2F76101F"/>
    <w:rsid w:val="3134600D"/>
    <w:rsid w:val="4203F3B2"/>
    <w:rsid w:val="4292D8C3"/>
    <w:rsid w:val="4439011F"/>
    <w:rsid w:val="4802C35B"/>
    <w:rsid w:val="4E7C6B93"/>
    <w:rsid w:val="5C990295"/>
    <w:rsid w:val="5D4B8F4C"/>
    <w:rsid w:val="6016FD19"/>
    <w:rsid w:val="63F8525A"/>
    <w:rsid w:val="689FB946"/>
    <w:rsid w:val="6A3B62FE"/>
    <w:rsid w:val="6BB2DFDB"/>
    <w:rsid w:val="712E3AAC"/>
    <w:rsid w:val="79CAB406"/>
    <w:rsid w:val="7D842421"/>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shapeDefaults>
    <o:shapedefaults v:ext="edit" spidmax="2170"/>
    <o:shapelayout v:ext="edit">
      <o:idmap v:ext="edit" data="2"/>
    </o:shapelayout>
  </w:shapeDefaults>
  <w:decimalSymbol w:val=","/>
  <w:listSeparator w:val=";"/>
  <w14:docId w14:val="2CF73026"/>
  <w15:docId w15:val="{B0F25B92-0DE4-4A6D-BACF-25067B1E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BBB"/>
    <w:pPr>
      <w:spacing w:line="240" w:lineRule="auto"/>
      <w:jc w:val="both"/>
    </w:pPr>
    <w:rPr>
      <w:rFonts w:ascii="EC Square Sans Pro" w:hAnsi="EC Square Sans Pro" w:cs="Times New Roman"/>
      <w:szCs w:val="24"/>
      <w:lang w:val="en-IE"/>
    </w:rPr>
  </w:style>
  <w:style w:type="paragraph" w:styleId="Heading1">
    <w:name w:val="heading 1"/>
    <w:basedOn w:val="Normal"/>
    <w:next w:val="Normal"/>
    <w:link w:val="Heading1Char"/>
    <w:uiPriority w:val="9"/>
    <w:qFormat/>
    <w:rsid w:val="00BE145B"/>
    <w:pPr>
      <w:keepNext/>
      <w:keepLines/>
      <w:numPr>
        <w:numId w:val="1"/>
      </w:numPr>
      <w:spacing w:before="360" w:after="240"/>
      <w:ind w:left="340" w:hanging="340"/>
      <w:outlineLvl w:val="0"/>
    </w:pPr>
    <w:rPr>
      <w:rFonts w:eastAsiaTheme="majorEastAsia" w:cstheme="majorBidi"/>
      <w:b/>
      <w:color w:val="034EA2" w:themeColor="accent1"/>
      <w:sz w:val="32"/>
      <w:szCs w:val="32"/>
    </w:rPr>
  </w:style>
  <w:style w:type="paragraph" w:styleId="Heading2">
    <w:name w:val="heading 2"/>
    <w:basedOn w:val="Normal"/>
    <w:next w:val="Normal"/>
    <w:link w:val="Heading2Char"/>
    <w:uiPriority w:val="9"/>
    <w:unhideWhenUsed/>
    <w:qFormat/>
    <w:rsid w:val="002703F1"/>
    <w:pPr>
      <w:keepNext/>
      <w:keepLines/>
      <w:spacing w:before="240"/>
      <w:outlineLvl w:val="1"/>
    </w:pPr>
    <w:rPr>
      <w:rFonts w:eastAsiaTheme="majorEastAsia" w:cstheme="majorBidi"/>
      <w:caps/>
      <w:color w:val="70AD47" w:themeColor="accent2"/>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45B"/>
    <w:rPr>
      <w:rFonts w:ascii="EC Square Sans Pro" w:eastAsiaTheme="majorEastAsia" w:hAnsi="EC Square Sans Pro" w:cstheme="majorBidi"/>
      <w:b/>
      <w:color w:val="034EA2" w:themeColor="accent1"/>
      <w:sz w:val="32"/>
      <w:szCs w:val="32"/>
      <w:lang w:val="en-IE"/>
    </w:rPr>
  </w:style>
  <w:style w:type="paragraph" w:styleId="Header">
    <w:name w:val="header"/>
    <w:basedOn w:val="Normal"/>
    <w:link w:val="HeaderChar"/>
    <w:uiPriority w:val="99"/>
    <w:unhideWhenUsed/>
    <w:rsid w:val="008B6253"/>
    <w:pPr>
      <w:tabs>
        <w:tab w:val="center" w:pos="4513"/>
        <w:tab w:val="right" w:pos="9026"/>
      </w:tabs>
      <w:spacing w:after="0"/>
    </w:pPr>
  </w:style>
  <w:style w:type="character" w:customStyle="1" w:styleId="HeaderChar">
    <w:name w:val="Header Char"/>
    <w:basedOn w:val="DefaultParagraphFont"/>
    <w:link w:val="Header"/>
    <w:uiPriority w:val="99"/>
    <w:rsid w:val="008B6253"/>
    <w:rPr>
      <w:rFonts w:ascii="Times New Roman" w:hAnsi="Times New Roman" w:cs="Times New Roman"/>
      <w:sz w:val="24"/>
      <w:szCs w:val="24"/>
      <w:lang w:val="en-IE"/>
    </w:rPr>
  </w:style>
  <w:style w:type="paragraph" w:styleId="Footer">
    <w:name w:val="footer"/>
    <w:basedOn w:val="Normal"/>
    <w:link w:val="FooterChar"/>
    <w:uiPriority w:val="99"/>
    <w:unhideWhenUsed/>
    <w:rsid w:val="008B6253"/>
    <w:pPr>
      <w:tabs>
        <w:tab w:val="center" w:pos="4513"/>
        <w:tab w:val="right" w:pos="9026"/>
      </w:tabs>
      <w:spacing w:after="0"/>
    </w:pPr>
  </w:style>
  <w:style w:type="character" w:customStyle="1" w:styleId="FooterChar">
    <w:name w:val="Footer Char"/>
    <w:basedOn w:val="DefaultParagraphFont"/>
    <w:link w:val="Footer"/>
    <w:uiPriority w:val="99"/>
    <w:rsid w:val="008B6253"/>
    <w:rPr>
      <w:rFonts w:ascii="Times New Roman" w:hAnsi="Times New Roman" w:cs="Times New Roman"/>
      <w:sz w:val="24"/>
      <w:szCs w:val="24"/>
      <w:lang w:val="en-IE"/>
    </w:rPr>
  </w:style>
  <w:style w:type="paragraph" w:customStyle="1" w:styleId="FooterCoverPage">
    <w:name w:val="Footer Cover Page"/>
    <w:basedOn w:val="Normal"/>
    <w:link w:val="FooterCoverPageChar"/>
    <w:rsid w:val="008B6253"/>
    <w:pPr>
      <w:tabs>
        <w:tab w:val="center" w:pos="4535"/>
        <w:tab w:val="right" w:pos="9071"/>
        <w:tab w:val="right" w:pos="9921"/>
      </w:tabs>
      <w:spacing w:before="360" w:after="0"/>
      <w:ind w:left="-850" w:right="-850"/>
      <w:jc w:val="left"/>
    </w:pPr>
    <w:rPr>
      <w:rFonts w:ascii="Times New Roman" w:hAnsi="Times New Roman"/>
      <w:sz w:val="24"/>
    </w:rPr>
  </w:style>
  <w:style w:type="character" w:customStyle="1" w:styleId="FooterCoverPageChar">
    <w:name w:val="Footer Cover Page Char"/>
    <w:basedOn w:val="DefaultParagraphFont"/>
    <w:link w:val="FooterCoverPage"/>
    <w:rsid w:val="008B6253"/>
    <w:rPr>
      <w:rFonts w:ascii="Times New Roman" w:hAnsi="Times New Roman" w:cs="Times New Roman"/>
      <w:sz w:val="24"/>
      <w:szCs w:val="24"/>
      <w:lang w:val="en-IE"/>
    </w:rPr>
  </w:style>
  <w:style w:type="paragraph" w:customStyle="1" w:styleId="HeaderCoverPage">
    <w:name w:val="Header Cover Page"/>
    <w:basedOn w:val="Normal"/>
    <w:link w:val="HeaderCoverPageChar"/>
    <w:rsid w:val="008B6253"/>
    <w:pPr>
      <w:tabs>
        <w:tab w:val="center" w:pos="4535"/>
        <w:tab w:val="right" w:pos="9071"/>
      </w:tabs>
      <w:spacing w:after="120"/>
    </w:pPr>
    <w:rPr>
      <w:rFonts w:ascii="Times New Roman" w:hAnsi="Times New Roman"/>
      <w:sz w:val="24"/>
    </w:rPr>
  </w:style>
  <w:style w:type="character" w:customStyle="1" w:styleId="HeaderCoverPageChar">
    <w:name w:val="Header Cover Page Char"/>
    <w:basedOn w:val="DefaultParagraphFont"/>
    <w:link w:val="HeaderCoverPage"/>
    <w:rsid w:val="008B6253"/>
    <w:rPr>
      <w:rFonts w:ascii="Times New Roman" w:hAnsi="Times New Roman" w:cs="Times New Roman"/>
      <w:sz w:val="24"/>
      <w:szCs w:val="24"/>
      <w:lang w:val="en-IE"/>
    </w:rPr>
  </w:style>
  <w:style w:type="character" w:styleId="FootnoteReference">
    <w:name w:val="footnote reference"/>
    <w:aliases w:val="BVI fnr,number,SUPERS,Footnote Reference Superscript,-E Fuﬂnotenzeichen,-E Fuûnotenzeichen,-E Fußnotenzeichen,EN Footnote Reference,Footnote number,stylish,Footnote symbol,(Footnote Reference),Footnote reference number,note TESI,ftref"/>
    <w:link w:val="BVIfnrChar"/>
    <w:uiPriority w:val="99"/>
    <w:qFormat/>
    <w:rsid w:val="008B6253"/>
    <w:rPr>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t"/>
    <w:basedOn w:val="Normal"/>
    <w:link w:val="FootnoteTextChar"/>
    <w:uiPriority w:val="99"/>
    <w:qFormat/>
    <w:rsid w:val="008B6253"/>
    <w:pPr>
      <w:spacing w:after="0"/>
      <w:ind w:left="720" w:hanging="720"/>
    </w:pPr>
    <w:rPr>
      <w:rFonts w:eastAsia="Times New Roman"/>
      <w:sz w:val="20"/>
      <w:szCs w:val="20"/>
      <w:lang w:val="en-GB"/>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t Char"/>
    <w:basedOn w:val="DefaultParagraphFont"/>
    <w:link w:val="FootnoteText"/>
    <w:uiPriority w:val="99"/>
    <w:rsid w:val="008B6253"/>
    <w:rPr>
      <w:rFonts w:ascii="Times New Roman" w:eastAsia="Times New Roman" w:hAnsi="Times New Roman" w:cs="Times New Roman"/>
      <w:sz w:val="20"/>
      <w:szCs w:val="20"/>
      <w:lang w:val="en-GB"/>
    </w:rPr>
  </w:style>
  <w:style w:type="paragraph" w:styleId="TOC1">
    <w:name w:val="toc 1"/>
    <w:basedOn w:val="Normal"/>
    <w:next w:val="Normal"/>
    <w:uiPriority w:val="39"/>
    <w:qFormat/>
    <w:rsid w:val="008B6253"/>
    <w:pPr>
      <w:tabs>
        <w:tab w:val="right" w:leader="dot" w:pos="9071"/>
      </w:tabs>
      <w:spacing w:before="60" w:after="120"/>
      <w:ind w:left="850" w:hanging="850"/>
    </w:pPr>
    <w:rPr>
      <w:rFonts w:eastAsia="Times New Roman"/>
      <w:lang w:val="en-GB"/>
    </w:rPr>
  </w:style>
  <w:style w:type="paragraph" w:styleId="TOCHeading">
    <w:name w:val="TOC Heading"/>
    <w:basedOn w:val="Normal"/>
    <w:next w:val="Normal"/>
    <w:link w:val="TOCHeadingChar"/>
    <w:uiPriority w:val="39"/>
    <w:qFormat/>
    <w:rsid w:val="008B6253"/>
    <w:pPr>
      <w:spacing w:before="120" w:after="240"/>
      <w:jc w:val="center"/>
    </w:pPr>
    <w:rPr>
      <w:rFonts w:eastAsia="Times New Roman"/>
      <w:b/>
      <w:sz w:val="28"/>
      <w:lang w:val="en-GB"/>
    </w:rPr>
  </w:style>
  <w:style w:type="character" w:styleId="Hyperlink">
    <w:name w:val="Hyperlink"/>
    <w:uiPriority w:val="99"/>
    <w:rsid w:val="008B6253"/>
    <w:rPr>
      <w:rFonts w:cs="Times New Roman"/>
      <w:color w:val="0000FF"/>
      <w:u w:val="single"/>
      <w:shd w:val="clear" w:color="auto" w:fill="auto"/>
    </w:rPr>
  </w:style>
  <w:style w:type="character" w:customStyle="1" w:styleId="TOCHeadingChar">
    <w:name w:val="TOC Heading Char"/>
    <w:link w:val="TOCHeading"/>
    <w:uiPriority w:val="39"/>
    <w:rsid w:val="008B6253"/>
    <w:rPr>
      <w:rFonts w:ascii="Times New Roman" w:eastAsia="Times New Roman" w:hAnsi="Times New Roman" w:cs="Times New Roman"/>
      <w:b/>
      <w:sz w:val="28"/>
      <w:szCs w:val="24"/>
      <w:lang w:val="en-GB"/>
    </w:rPr>
  </w:style>
  <w:style w:type="paragraph" w:styleId="Subtitle">
    <w:name w:val="Subtitle"/>
    <w:basedOn w:val="Normal"/>
    <w:next w:val="Normal"/>
    <w:link w:val="SubtitleChar"/>
    <w:qFormat/>
    <w:rsid w:val="008B6253"/>
    <w:pPr>
      <w:spacing w:before="120" w:after="60"/>
      <w:jc w:val="center"/>
      <w:outlineLvl w:val="1"/>
    </w:pPr>
    <w:rPr>
      <w:rFonts w:ascii="Cambria" w:eastAsia="Times New Roman" w:hAnsi="Cambria"/>
      <w:lang w:val="en-GB"/>
    </w:rPr>
  </w:style>
  <w:style w:type="character" w:customStyle="1" w:styleId="SubtitleChar">
    <w:name w:val="Subtitle Char"/>
    <w:basedOn w:val="DefaultParagraphFont"/>
    <w:link w:val="Subtitle"/>
    <w:rsid w:val="008B6253"/>
    <w:rPr>
      <w:rFonts w:ascii="Cambria" w:eastAsia="Times New Roman" w:hAnsi="Cambria" w:cs="Times New Roman"/>
      <w:sz w:val="24"/>
      <w:szCs w:val="24"/>
      <w:lang w:val="en-GB"/>
    </w:rPr>
  </w:style>
  <w:style w:type="paragraph" w:styleId="NormalWeb">
    <w:name w:val="Normal (Web)"/>
    <w:basedOn w:val="Normal"/>
    <w:uiPriority w:val="99"/>
    <w:unhideWhenUsed/>
    <w:rsid w:val="008B6253"/>
    <w:pPr>
      <w:spacing w:before="100" w:beforeAutospacing="1" w:after="100" w:afterAutospacing="1"/>
    </w:pPr>
    <w:rPr>
      <w:rFonts w:eastAsia="Times New Roman"/>
      <w:lang w:val="en-GB" w:eastAsia="en-GB"/>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Appel note de bas de p."/>
    <w:basedOn w:val="Normal"/>
    <w:link w:val="FootnoteReference"/>
    <w:uiPriority w:val="99"/>
    <w:rsid w:val="008B6253"/>
    <w:pPr>
      <w:spacing w:line="240" w:lineRule="exact"/>
    </w:pPr>
    <w:rPr>
      <w:rFonts w:asciiTheme="minorHAnsi" w:hAnsiTheme="minorHAnsi" w:cstheme="minorBidi"/>
      <w:szCs w:val="22"/>
      <w:vertAlign w:val="superscript"/>
      <w:lang w:val="en-US"/>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Bullet 1"/>
    <w:basedOn w:val="Normal"/>
    <w:link w:val="ListParagraphChar"/>
    <w:uiPriority w:val="34"/>
    <w:qFormat/>
    <w:rsid w:val="008B6253"/>
    <w:pPr>
      <w:spacing w:line="259" w:lineRule="auto"/>
      <w:ind w:left="720"/>
      <w:contextualSpacing/>
    </w:pPr>
    <w:rPr>
      <w:rFonts w:asciiTheme="minorHAnsi" w:hAnsiTheme="minorHAnsi" w:cstheme="minorBidi"/>
      <w:szCs w:val="22"/>
      <w:lang w:val="en-GB"/>
    </w:rPr>
  </w:style>
  <w:style w:type="character" w:styleId="IntenseReference">
    <w:name w:val="Intense Reference"/>
    <w:basedOn w:val="DefaultParagraphFont"/>
    <w:uiPriority w:val="32"/>
    <w:qFormat/>
    <w:rsid w:val="008B6253"/>
    <w:rPr>
      <w:b/>
      <w:bCs/>
      <w:smallCaps/>
      <w:color w:val="034EA2" w:themeColor="accent1"/>
      <w:spacing w:val="5"/>
    </w:rPr>
  </w:style>
  <w:style w:type="table" w:styleId="GridTable1Light-Accent1">
    <w:name w:val="Grid Table 1 Light Accent 1"/>
    <w:basedOn w:val="TableNormal"/>
    <w:uiPriority w:val="46"/>
    <w:rsid w:val="008B6253"/>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77B6FC" w:themeColor="accent1" w:themeTint="66"/>
        <w:left w:val="single" w:sz="4" w:space="0" w:color="77B6FC" w:themeColor="accent1" w:themeTint="66"/>
        <w:bottom w:val="single" w:sz="4" w:space="0" w:color="77B6FC" w:themeColor="accent1" w:themeTint="66"/>
        <w:right w:val="single" w:sz="4" w:space="0" w:color="77B6FC" w:themeColor="accent1" w:themeTint="66"/>
        <w:insideH w:val="single" w:sz="4" w:space="0" w:color="77B6FC" w:themeColor="accent1" w:themeTint="66"/>
        <w:insideV w:val="single" w:sz="4" w:space="0" w:color="77B6FC" w:themeColor="accent1" w:themeTint="66"/>
      </w:tblBorders>
    </w:tblPr>
    <w:tblStylePr w:type="firstRow">
      <w:rPr>
        <w:b/>
        <w:bCs/>
      </w:rPr>
      <w:tblPr/>
      <w:tcPr>
        <w:tcBorders>
          <w:bottom w:val="single" w:sz="12" w:space="0" w:color="3391FB" w:themeColor="accent1" w:themeTint="99"/>
        </w:tcBorders>
      </w:tcPr>
    </w:tblStylePr>
    <w:tblStylePr w:type="lastRow">
      <w:rPr>
        <w:b/>
        <w:bCs/>
      </w:rPr>
      <w:tblPr/>
      <w:tcPr>
        <w:tcBorders>
          <w:top w:val="double" w:sz="2" w:space="0" w:color="3391F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basedOn w:val="DefaultParagraphFont"/>
    <w:link w:val="ListParagraph"/>
    <w:uiPriority w:val="34"/>
    <w:qFormat/>
    <w:locked/>
    <w:rsid w:val="008B6253"/>
    <w:rPr>
      <w:lang w:val="en-GB"/>
    </w:rPr>
  </w:style>
  <w:style w:type="table" w:customStyle="1" w:styleId="TableGrid1">
    <w:name w:val="Table Grid1"/>
    <w:basedOn w:val="TableNormal"/>
    <w:next w:val="TableGrid"/>
    <w:uiPriority w:val="39"/>
    <w:rsid w:val="008B6253"/>
    <w:pPr>
      <w:spacing w:after="0" w:line="240" w:lineRule="auto"/>
    </w:pPr>
    <w:rPr>
      <w:rFonts w:ascii="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6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8B6253"/>
    <w:rPr>
      <w:color w:val="0000FF"/>
      <w:shd w:val="clear" w:color="auto" w:fill="auto"/>
    </w:rPr>
  </w:style>
  <w:style w:type="paragraph" w:customStyle="1" w:styleId="Pagedecouverture">
    <w:name w:val="Page de couverture"/>
    <w:basedOn w:val="Normal"/>
    <w:next w:val="Normal"/>
    <w:rsid w:val="008B6253"/>
    <w:pPr>
      <w:spacing w:after="0"/>
    </w:pPr>
    <w:rPr>
      <w:szCs w:val="22"/>
    </w:rPr>
  </w:style>
  <w:style w:type="paragraph" w:customStyle="1" w:styleId="FooterSensitivity">
    <w:name w:val="Footer Sensitivity"/>
    <w:basedOn w:val="Normal"/>
    <w:link w:val="FooterSensitivityChar"/>
    <w:rsid w:val="008B6253"/>
    <w:pPr>
      <w:pBdr>
        <w:top w:val="single" w:sz="4" w:space="1" w:color="auto"/>
        <w:left w:val="single" w:sz="4" w:space="4" w:color="auto"/>
        <w:bottom w:val="single" w:sz="4" w:space="1" w:color="auto"/>
        <w:right w:val="single" w:sz="4" w:space="4" w:color="auto"/>
      </w:pBdr>
      <w:spacing w:before="360" w:after="0"/>
      <w:ind w:left="113" w:right="113"/>
      <w:jc w:val="center"/>
    </w:pPr>
    <w:rPr>
      <w:rFonts w:ascii="Times New Roman" w:hAnsi="Times New Roman"/>
      <w:b/>
      <w:sz w:val="32"/>
    </w:rPr>
  </w:style>
  <w:style w:type="character" w:customStyle="1" w:styleId="FooterSensitivityChar">
    <w:name w:val="Footer Sensitivity Char"/>
    <w:basedOn w:val="TOCHeadingChar"/>
    <w:link w:val="FooterSensitivity"/>
    <w:rsid w:val="008B6253"/>
    <w:rPr>
      <w:rFonts w:ascii="Times New Roman" w:eastAsia="Times New Roman" w:hAnsi="Times New Roman" w:cs="Times New Roman"/>
      <w:b/>
      <w:sz w:val="32"/>
      <w:szCs w:val="24"/>
      <w:lang w:val="en-IE"/>
    </w:rPr>
  </w:style>
  <w:style w:type="paragraph" w:customStyle="1" w:styleId="HeaderSensitivity">
    <w:name w:val="Header Sensitivity"/>
    <w:basedOn w:val="Normal"/>
    <w:link w:val="HeaderSensitivityChar"/>
    <w:rsid w:val="008B6253"/>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b/>
      <w:sz w:val="32"/>
    </w:rPr>
  </w:style>
  <w:style w:type="character" w:customStyle="1" w:styleId="HeaderSensitivityChar">
    <w:name w:val="Header Sensitivity Char"/>
    <w:basedOn w:val="TOCHeadingChar"/>
    <w:link w:val="HeaderSensitivity"/>
    <w:rsid w:val="008B6253"/>
    <w:rPr>
      <w:rFonts w:ascii="Times New Roman" w:eastAsia="Times New Roman" w:hAnsi="Times New Roman" w:cs="Times New Roman"/>
      <w:b/>
      <w:sz w:val="32"/>
      <w:szCs w:val="24"/>
      <w:lang w:val="en-IE"/>
    </w:rPr>
  </w:style>
  <w:style w:type="paragraph" w:customStyle="1" w:styleId="HeaderSensitivityRight">
    <w:name w:val="Header Sensitivity Right"/>
    <w:basedOn w:val="Normal"/>
    <w:link w:val="HeaderSensitivityRightChar"/>
    <w:rsid w:val="008B6253"/>
    <w:pPr>
      <w:spacing w:after="120"/>
      <w:jc w:val="right"/>
    </w:pPr>
    <w:rPr>
      <w:rFonts w:ascii="Times New Roman" w:hAnsi="Times New Roman"/>
      <w:sz w:val="28"/>
    </w:rPr>
  </w:style>
  <w:style w:type="character" w:customStyle="1" w:styleId="HeaderSensitivityRightChar">
    <w:name w:val="Header Sensitivity Right Char"/>
    <w:basedOn w:val="TOCHeadingChar"/>
    <w:link w:val="HeaderSensitivityRight"/>
    <w:rsid w:val="008B6253"/>
    <w:rPr>
      <w:rFonts w:ascii="Times New Roman" w:eastAsia="Times New Roman" w:hAnsi="Times New Roman" w:cs="Times New Roman"/>
      <w:b w:val="0"/>
      <w:sz w:val="28"/>
      <w:szCs w:val="24"/>
      <w:lang w:val="en-IE"/>
    </w:rPr>
  </w:style>
  <w:style w:type="table" w:customStyle="1" w:styleId="TableGrid11">
    <w:name w:val="Table Grid11"/>
    <w:basedOn w:val="TableNormal"/>
    <w:next w:val="TableGrid"/>
    <w:uiPriority w:val="39"/>
    <w:rsid w:val="00804E4F"/>
    <w:pPr>
      <w:spacing w:after="0" w:line="240" w:lineRule="auto"/>
    </w:pPr>
    <w:rPr>
      <w:rFonts w:ascii="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D554AF"/>
    <w:pPr>
      <w:spacing w:after="100"/>
      <w:ind w:left="240"/>
    </w:pPr>
  </w:style>
  <w:style w:type="character" w:styleId="CommentReference">
    <w:name w:val="annotation reference"/>
    <w:basedOn w:val="DefaultParagraphFont"/>
    <w:uiPriority w:val="99"/>
    <w:semiHidden/>
    <w:unhideWhenUsed/>
    <w:rsid w:val="00D56EF0"/>
    <w:rPr>
      <w:sz w:val="16"/>
      <w:szCs w:val="16"/>
    </w:rPr>
  </w:style>
  <w:style w:type="paragraph" w:styleId="CommentText">
    <w:name w:val="annotation text"/>
    <w:basedOn w:val="Normal"/>
    <w:link w:val="CommentTextChar"/>
    <w:uiPriority w:val="99"/>
    <w:unhideWhenUsed/>
    <w:rsid w:val="00D56EF0"/>
    <w:rPr>
      <w:sz w:val="20"/>
      <w:szCs w:val="20"/>
    </w:rPr>
  </w:style>
  <w:style w:type="character" w:customStyle="1" w:styleId="CommentTextChar">
    <w:name w:val="Comment Text Char"/>
    <w:basedOn w:val="DefaultParagraphFont"/>
    <w:link w:val="CommentText"/>
    <w:uiPriority w:val="99"/>
    <w:rsid w:val="00D56EF0"/>
    <w:rPr>
      <w:rFonts w:ascii="Times New Roman" w:hAnsi="Times New Roman" w:cs="Times New Roman"/>
      <w:sz w:val="20"/>
      <w:szCs w:val="20"/>
      <w:lang w:val="en-IE"/>
    </w:rPr>
  </w:style>
  <w:style w:type="paragraph" w:styleId="BalloonText">
    <w:name w:val="Balloon Text"/>
    <w:basedOn w:val="Normal"/>
    <w:link w:val="BalloonTextChar"/>
    <w:uiPriority w:val="99"/>
    <w:semiHidden/>
    <w:unhideWhenUsed/>
    <w:rsid w:val="00D56EF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EF0"/>
    <w:rPr>
      <w:rFonts w:ascii="Segoe UI" w:hAnsi="Segoe UI" w:cs="Segoe UI"/>
      <w:sz w:val="18"/>
      <w:szCs w:val="18"/>
      <w:lang w:val="en-IE"/>
    </w:rPr>
  </w:style>
  <w:style w:type="paragraph" w:styleId="CommentSubject">
    <w:name w:val="annotation subject"/>
    <w:basedOn w:val="CommentText"/>
    <w:next w:val="CommentText"/>
    <w:link w:val="CommentSubjectChar"/>
    <w:uiPriority w:val="99"/>
    <w:semiHidden/>
    <w:unhideWhenUsed/>
    <w:rsid w:val="002B7257"/>
    <w:rPr>
      <w:b/>
      <w:bCs/>
    </w:rPr>
  </w:style>
  <w:style w:type="character" w:customStyle="1" w:styleId="CommentSubjectChar">
    <w:name w:val="Comment Subject Char"/>
    <w:basedOn w:val="CommentTextChar"/>
    <w:link w:val="CommentSubject"/>
    <w:uiPriority w:val="99"/>
    <w:semiHidden/>
    <w:rsid w:val="002B7257"/>
    <w:rPr>
      <w:rFonts w:ascii="Times New Roman" w:hAnsi="Times New Roman" w:cs="Times New Roman"/>
      <w:b/>
      <w:bCs/>
      <w:sz w:val="20"/>
      <w:szCs w:val="20"/>
      <w:lang w:val="en-IE"/>
    </w:rPr>
  </w:style>
  <w:style w:type="paragraph" w:styleId="Revision">
    <w:name w:val="Revision"/>
    <w:hidden/>
    <w:uiPriority w:val="99"/>
    <w:semiHidden/>
    <w:rsid w:val="00E834C5"/>
    <w:pPr>
      <w:spacing w:after="0" w:line="240" w:lineRule="auto"/>
    </w:pPr>
    <w:rPr>
      <w:rFonts w:ascii="Times New Roman" w:hAnsi="Times New Roman" w:cs="Times New Roman"/>
      <w:sz w:val="24"/>
      <w:szCs w:val="24"/>
      <w:lang w:val="en-IE"/>
    </w:rPr>
  </w:style>
  <w:style w:type="character" w:styleId="Strong">
    <w:name w:val="Strong"/>
    <w:basedOn w:val="DefaultParagraphFont"/>
    <w:uiPriority w:val="22"/>
    <w:qFormat/>
    <w:rsid w:val="00BD275C"/>
    <w:rPr>
      <w:b/>
      <w:bCs/>
    </w:rPr>
  </w:style>
  <w:style w:type="character" w:customStyle="1" w:styleId="Heading2Char">
    <w:name w:val="Heading 2 Char"/>
    <w:basedOn w:val="DefaultParagraphFont"/>
    <w:link w:val="Heading2"/>
    <w:uiPriority w:val="9"/>
    <w:rsid w:val="002703F1"/>
    <w:rPr>
      <w:rFonts w:ascii="EC Square Sans Pro" w:eastAsiaTheme="majorEastAsia" w:hAnsi="EC Square Sans Pro" w:cstheme="majorBidi"/>
      <w:caps/>
      <w:color w:val="70AD47" w:themeColor="accent2"/>
      <w:sz w:val="24"/>
      <w:szCs w:val="26"/>
      <w:lang w:val="en-IE"/>
    </w:rPr>
  </w:style>
  <w:style w:type="character" w:styleId="FollowedHyperlink">
    <w:name w:val="FollowedHyperlink"/>
    <w:basedOn w:val="DefaultParagraphFont"/>
    <w:uiPriority w:val="99"/>
    <w:semiHidden/>
    <w:unhideWhenUsed/>
    <w:rsid w:val="001C3C2E"/>
    <w:rPr>
      <w:color w:val="954F72" w:themeColor="followedHyperlink"/>
      <w:u w:val="single"/>
    </w:rPr>
  </w:style>
  <w:style w:type="paragraph" w:styleId="PlainText">
    <w:name w:val="Plain Text"/>
    <w:basedOn w:val="Normal"/>
    <w:link w:val="PlainTextChar"/>
    <w:uiPriority w:val="99"/>
    <w:unhideWhenUsed/>
    <w:rsid w:val="00547755"/>
    <w:pPr>
      <w:spacing w:after="0"/>
    </w:pPr>
    <w:rPr>
      <w:rFonts w:ascii="Calibri" w:hAnsi="Calibri" w:cstheme="minorBidi"/>
      <w:szCs w:val="21"/>
      <w:lang w:val="en-GB"/>
    </w:rPr>
  </w:style>
  <w:style w:type="character" w:customStyle="1" w:styleId="PlainTextChar">
    <w:name w:val="Plain Text Char"/>
    <w:basedOn w:val="DefaultParagraphFont"/>
    <w:link w:val="PlainText"/>
    <w:uiPriority w:val="99"/>
    <w:rsid w:val="00547755"/>
    <w:rPr>
      <w:rFonts w:ascii="Calibri" w:hAnsi="Calibri"/>
      <w:szCs w:val="21"/>
      <w:lang w:val="en-GB"/>
    </w:rPr>
  </w:style>
  <w:style w:type="paragraph" w:customStyle="1" w:styleId="ecl-page-header-standardiseddescription">
    <w:name w:val="ecl-page-header-standardised__description"/>
    <w:basedOn w:val="Normal"/>
    <w:uiPriority w:val="99"/>
    <w:rsid w:val="007A1FE8"/>
    <w:pPr>
      <w:spacing w:before="100" w:beforeAutospacing="1" w:after="100" w:afterAutospacing="1"/>
    </w:pPr>
    <w:rPr>
      <w:rFonts w:eastAsia="Times New Roman"/>
      <w:lang w:val="en-GB" w:eastAsia="en-GB"/>
    </w:rPr>
  </w:style>
  <w:style w:type="character" w:customStyle="1" w:styleId="UnresolvedMention1">
    <w:name w:val="Unresolved Mention1"/>
    <w:basedOn w:val="DefaultParagraphFont"/>
    <w:uiPriority w:val="99"/>
    <w:semiHidden/>
    <w:unhideWhenUsed/>
    <w:rsid w:val="00580C86"/>
    <w:rPr>
      <w:color w:val="605E5C"/>
      <w:shd w:val="clear" w:color="auto" w:fill="E1DFDD"/>
    </w:rPr>
  </w:style>
  <w:style w:type="character" w:customStyle="1" w:styleId="UnresolvedMention">
    <w:name w:val="Unresolved Mention"/>
    <w:basedOn w:val="DefaultParagraphFont"/>
    <w:uiPriority w:val="99"/>
    <w:semiHidden/>
    <w:unhideWhenUsed/>
    <w:rsid w:val="00B7513E"/>
    <w:rPr>
      <w:color w:val="605E5C"/>
      <w:shd w:val="clear" w:color="auto" w:fill="E1DFDD"/>
    </w:rPr>
  </w:style>
  <w:style w:type="table" w:styleId="GridTable4-Accent5">
    <w:name w:val="Grid Table 4 Accent 5"/>
    <w:basedOn w:val="TableNormal"/>
    <w:uiPriority w:val="49"/>
    <w:rsid w:val="00FA6020"/>
    <w:pPr>
      <w:spacing w:after="0" w:line="240" w:lineRule="auto"/>
    </w:pPr>
    <w:rPr>
      <w:lang w:val="en-GB"/>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2">
    <w:name w:val="Text 2"/>
    <w:basedOn w:val="Normal"/>
    <w:uiPriority w:val="1"/>
    <w:qFormat/>
    <w:rsid w:val="00471184"/>
    <w:pPr>
      <w:spacing w:after="240"/>
      <w:ind w:left="1077"/>
    </w:pPr>
    <w:rPr>
      <w:rFonts w:ascii="Times New Roman" w:eastAsia="Times New Roman" w:hAnsi="Times New Roman"/>
      <w:sz w:val="24"/>
      <w:szCs w:val="20"/>
      <w:lang w:val="en-GB" w:eastAsia="en-GB"/>
    </w:rPr>
  </w:style>
  <w:style w:type="character" w:customStyle="1" w:styleId="Mention">
    <w:name w:val="Mention"/>
    <w:basedOn w:val="DefaultParagraphFont"/>
    <w:uiPriority w:val="99"/>
    <w:unhideWhenUsed/>
    <w:rsid w:val="005B0CDE"/>
    <w:rPr>
      <w:color w:val="2B579A"/>
      <w:shd w:val="clear" w:color="auto" w:fill="E1DFDD"/>
    </w:rPr>
  </w:style>
  <w:style w:type="paragraph" w:customStyle="1" w:styleId="LegalNumPar">
    <w:name w:val="LegalNumPar"/>
    <w:basedOn w:val="Normal"/>
    <w:rsid w:val="00607C1D"/>
    <w:pPr>
      <w:numPr>
        <w:numId w:val="33"/>
      </w:numPr>
      <w:spacing w:line="360" w:lineRule="auto"/>
    </w:pPr>
    <w:rPr>
      <w:sz w:val="24"/>
    </w:rPr>
  </w:style>
  <w:style w:type="paragraph" w:customStyle="1" w:styleId="LegalNumPar2">
    <w:name w:val="LegalNumPar2"/>
    <w:basedOn w:val="Normal"/>
    <w:rsid w:val="00607C1D"/>
    <w:pPr>
      <w:numPr>
        <w:ilvl w:val="1"/>
        <w:numId w:val="33"/>
      </w:numPr>
      <w:spacing w:line="360" w:lineRule="auto"/>
    </w:pPr>
    <w:rPr>
      <w:sz w:val="24"/>
    </w:rPr>
  </w:style>
  <w:style w:type="paragraph" w:customStyle="1" w:styleId="LegalNumPar3">
    <w:name w:val="LegalNumPar3"/>
    <w:basedOn w:val="Normal"/>
    <w:rsid w:val="00607C1D"/>
    <w:pPr>
      <w:numPr>
        <w:ilvl w:val="2"/>
        <w:numId w:val="33"/>
      </w:numPr>
      <w:spacing w:line="360" w:lineRule="auto"/>
    </w:pPr>
    <w:rPr>
      <w:sz w:val="24"/>
    </w:rPr>
  </w:style>
  <w:style w:type="character" w:customStyle="1" w:styleId="normaltextrun">
    <w:name w:val="normaltextrun"/>
    <w:basedOn w:val="DefaultParagraphFont"/>
    <w:rsid w:val="004C709B"/>
  </w:style>
  <w:style w:type="paragraph" w:customStyle="1" w:styleId="Languesfaisantfoi">
    <w:name w:val="Langues faisant foi"/>
    <w:basedOn w:val="Normal"/>
    <w:next w:val="Normal"/>
    <w:rsid w:val="00D70DA9"/>
    <w:pPr>
      <w:spacing w:before="360" w:after="240"/>
      <w:jc w:val="center"/>
    </w:pPr>
    <w:rPr>
      <w:rFonts w:ascii="Times New Roman" w:hAnsi="Times New Roman"/>
      <w:sz w:val="24"/>
      <w:szCs w:val="22"/>
    </w:rPr>
  </w:style>
  <w:style w:type="paragraph" w:customStyle="1" w:styleId="LanguesfaisantfoiPagedecouverture">
    <w:name w:val="Langues faisant foi (Page de couverture)"/>
    <w:basedOn w:val="Normal"/>
    <w:next w:val="Normal"/>
    <w:rsid w:val="00D70DA9"/>
    <w:pPr>
      <w:spacing w:before="360" w:after="240"/>
      <w:jc w:val="center"/>
    </w:pPr>
    <w:rPr>
      <w:rFonts w:ascii="Times New Roman" w:hAnsi="Times New Roman"/>
      <w:sz w:val="24"/>
      <w:szCs w:val="22"/>
    </w:rPr>
  </w:style>
  <w:style w:type="paragraph" w:customStyle="1" w:styleId="IntrtEEE">
    <w:name w:val="Intérêt EEE"/>
    <w:basedOn w:val="Languesfaisantfoi"/>
    <w:next w:val="Normal"/>
    <w:rsid w:val="00D70DA9"/>
    <w:pPr>
      <w:spacing w:after="0"/>
    </w:pPr>
  </w:style>
  <w:style w:type="paragraph" w:customStyle="1" w:styleId="IntrtEEEPagedecouverture">
    <w:name w:val="Intérêt EEE (Page de couverture)"/>
    <w:basedOn w:val="IntrtEEE"/>
    <w:next w:val="Normal"/>
    <w:rsid w:val="00D70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10">
      <w:bodyDiv w:val="1"/>
      <w:marLeft w:val="0"/>
      <w:marRight w:val="0"/>
      <w:marTop w:val="0"/>
      <w:marBottom w:val="0"/>
      <w:divBdr>
        <w:top w:val="none" w:sz="0" w:space="0" w:color="auto"/>
        <w:left w:val="none" w:sz="0" w:space="0" w:color="auto"/>
        <w:bottom w:val="none" w:sz="0" w:space="0" w:color="auto"/>
        <w:right w:val="none" w:sz="0" w:space="0" w:color="auto"/>
      </w:divBdr>
    </w:div>
    <w:div w:id="13697865">
      <w:bodyDiv w:val="1"/>
      <w:marLeft w:val="0"/>
      <w:marRight w:val="0"/>
      <w:marTop w:val="0"/>
      <w:marBottom w:val="0"/>
      <w:divBdr>
        <w:top w:val="none" w:sz="0" w:space="0" w:color="auto"/>
        <w:left w:val="none" w:sz="0" w:space="0" w:color="auto"/>
        <w:bottom w:val="none" w:sz="0" w:space="0" w:color="auto"/>
        <w:right w:val="none" w:sz="0" w:space="0" w:color="auto"/>
      </w:divBdr>
    </w:div>
    <w:div w:id="32507214">
      <w:bodyDiv w:val="1"/>
      <w:marLeft w:val="0"/>
      <w:marRight w:val="0"/>
      <w:marTop w:val="0"/>
      <w:marBottom w:val="0"/>
      <w:divBdr>
        <w:top w:val="none" w:sz="0" w:space="0" w:color="auto"/>
        <w:left w:val="none" w:sz="0" w:space="0" w:color="auto"/>
        <w:bottom w:val="none" w:sz="0" w:space="0" w:color="auto"/>
        <w:right w:val="none" w:sz="0" w:space="0" w:color="auto"/>
      </w:divBdr>
    </w:div>
    <w:div w:id="34670410">
      <w:bodyDiv w:val="1"/>
      <w:marLeft w:val="0"/>
      <w:marRight w:val="0"/>
      <w:marTop w:val="0"/>
      <w:marBottom w:val="0"/>
      <w:divBdr>
        <w:top w:val="none" w:sz="0" w:space="0" w:color="auto"/>
        <w:left w:val="none" w:sz="0" w:space="0" w:color="auto"/>
        <w:bottom w:val="none" w:sz="0" w:space="0" w:color="auto"/>
        <w:right w:val="none" w:sz="0" w:space="0" w:color="auto"/>
      </w:divBdr>
    </w:div>
    <w:div w:id="68700540">
      <w:bodyDiv w:val="1"/>
      <w:marLeft w:val="0"/>
      <w:marRight w:val="0"/>
      <w:marTop w:val="0"/>
      <w:marBottom w:val="0"/>
      <w:divBdr>
        <w:top w:val="none" w:sz="0" w:space="0" w:color="auto"/>
        <w:left w:val="none" w:sz="0" w:space="0" w:color="auto"/>
        <w:bottom w:val="none" w:sz="0" w:space="0" w:color="auto"/>
        <w:right w:val="none" w:sz="0" w:space="0" w:color="auto"/>
      </w:divBdr>
    </w:div>
    <w:div w:id="73863327">
      <w:bodyDiv w:val="1"/>
      <w:marLeft w:val="0"/>
      <w:marRight w:val="0"/>
      <w:marTop w:val="0"/>
      <w:marBottom w:val="0"/>
      <w:divBdr>
        <w:top w:val="none" w:sz="0" w:space="0" w:color="auto"/>
        <w:left w:val="none" w:sz="0" w:space="0" w:color="auto"/>
        <w:bottom w:val="none" w:sz="0" w:space="0" w:color="auto"/>
        <w:right w:val="none" w:sz="0" w:space="0" w:color="auto"/>
      </w:divBdr>
    </w:div>
    <w:div w:id="81609872">
      <w:bodyDiv w:val="1"/>
      <w:marLeft w:val="0"/>
      <w:marRight w:val="0"/>
      <w:marTop w:val="0"/>
      <w:marBottom w:val="0"/>
      <w:divBdr>
        <w:top w:val="none" w:sz="0" w:space="0" w:color="auto"/>
        <w:left w:val="none" w:sz="0" w:space="0" w:color="auto"/>
        <w:bottom w:val="none" w:sz="0" w:space="0" w:color="auto"/>
        <w:right w:val="none" w:sz="0" w:space="0" w:color="auto"/>
      </w:divBdr>
      <w:divsChild>
        <w:div w:id="1276669232">
          <w:marLeft w:val="0"/>
          <w:marRight w:val="0"/>
          <w:marTop w:val="0"/>
          <w:marBottom w:val="0"/>
          <w:divBdr>
            <w:top w:val="none" w:sz="0" w:space="0" w:color="auto"/>
            <w:left w:val="none" w:sz="0" w:space="0" w:color="auto"/>
            <w:bottom w:val="none" w:sz="0" w:space="0" w:color="auto"/>
            <w:right w:val="none" w:sz="0" w:space="0" w:color="auto"/>
          </w:divBdr>
        </w:div>
      </w:divsChild>
    </w:div>
    <w:div w:id="84570062">
      <w:bodyDiv w:val="1"/>
      <w:marLeft w:val="0"/>
      <w:marRight w:val="0"/>
      <w:marTop w:val="0"/>
      <w:marBottom w:val="0"/>
      <w:divBdr>
        <w:top w:val="none" w:sz="0" w:space="0" w:color="auto"/>
        <w:left w:val="none" w:sz="0" w:space="0" w:color="auto"/>
        <w:bottom w:val="none" w:sz="0" w:space="0" w:color="auto"/>
        <w:right w:val="none" w:sz="0" w:space="0" w:color="auto"/>
      </w:divBdr>
    </w:div>
    <w:div w:id="115149302">
      <w:bodyDiv w:val="1"/>
      <w:marLeft w:val="0"/>
      <w:marRight w:val="0"/>
      <w:marTop w:val="0"/>
      <w:marBottom w:val="0"/>
      <w:divBdr>
        <w:top w:val="none" w:sz="0" w:space="0" w:color="auto"/>
        <w:left w:val="none" w:sz="0" w:space="0" w:color="auto"/>
        <w:bottom w:val="none" w:sz="0" w:space="0" w:color="auto"/>
        <w:right w:val="none" w:sz="0" w:space="0" w:color="auto"/>
      </w:divBdr>
    </w:div>
    <w:div w:id="116071540">
      <w:bodyDiv w:val="1"/>
      <w:marLeft w:val="0"/>
      <w:marRight w:val="0"/>
      <w:marTop w:val="0"/>
      <w:marBottom w:val="0"/>
      <w:divBdr>
        <w:top w:val="none" w:sz="0" w:space="0" w:color="auto"/>
        <w:left w:val="none" w:sz="0" w:space="0" w:color="auto"/>
        <w:bottom w:val="none" w:sz="0" w:space="0" w:color="auto"/>
        <w:right w:val="none" w:sz="0" w:space="0" w:color="auto"/>
      </w:divBdr>
    </w:div>
    <w:div w:id="145781231">
      <w:bodyDiv w:val="1"/>
      <w:marLeft w:val="0"/>
      <w:marRight w:val="0"/>
      <w:marTop w:val="0"/>
      <w:marBottom w:val="0"/>
      <w:divBdr>
        <w:top w:val="none" w:sz="0" w:space="0" w:color="auto"/>
        <w:left w:val="none" w:sz="0" w:space="0" w:color="auto"/>
        <w:bottom w:val="none" w:sz="0" w:space="0" w:color="auto"/>
        <w:right w:val="none" w:sz="0" w:space="0" w:color="auto"/>
      </w:divBdr>
    </w:div>
    <w:div w:id="166022188">
      <w:bodyDiv w:val="1"/>
      <w:marLeft w:val="0"/>
      <w:marRight w:val="0"/>
      <w:marTop w:val="0"/>
      <w:marBottom w:val="0"/>
      <w:divBdr>
        <w:top w:val="none" w:sz="0" w:space="0" w:color="auto"/>
        <w:left w:val="none" w:sz="0" w:space="0" w:color="auto"/>
        <w:bottom w:val="none" w:sz="0" w:space="0" w:color="auto"/>
        <w:right w:val="none" w:sz="0" w:space="0" w:color="auto"/>
      </w:divBdr>
    </w:div>
    <w:div w:id="168252948">
      <w:bodyDiv w:val="1"/>
      <w:marLeft w:val="0"/>
      <w:marRight w:val="0"/>
      <w:marTop w:val="0"/>
      <w:marBottom w:val="0"/>
      <w:divBdr>
        <w:top w:val="none" w:sz="0" w:space="0" w:color="auto"/>
        <w:left w:val="none" w:sz="0" w:space="0" w:color="auto"/>
        <w:bottom w:val="none" w:sz="0" w:space="0" w:color="auto"/>
        <w:right w:val="none" w:sz="0" w:space="0" w:color="auto"/>
      </w:divBdr>
      <w:divsChild>
        <w:div w:id="182017978">
          <w:marLeft w:val="360"/>
          <w:marRight w:val="0"/>
          <w:marTop w:val="0"/>
          <w:marBottom w:val="60"/>
          <w:divBdr>
            <w:top w:val="none" w:sz="0" w:space="0" w:color="auto"/>
            <w:left w:val="none" w:sz="0" w:space="0" w:color="auto"/>
            <w:bottom w:val="none" w:sz="0" w:space="0" w:color="auto"/>
            <w:right w:val="none" w:sz="0" w:space="0" w:color="auto"/>
          </w:divBdr>
        </w:div>
      </w:divsChild>
    </w:div>
    <w:div w:id="169830019">
      <w:bodyDiv w:val="1"/>
      <w:marLeft w:val="0"/>
      <w:marRight w:val="0"/>
      <w:marTop w:val="0"/>
      <w:marBottom w:val="0"/>
      <w:divBdr>
        <w:top w:val="none" w:sz="0" w:space="0" w:color="auto"/>
        <w:left w:val="none" w:sz="0" w:space="0" w:color="auto"/>
        <w:bottom w:val="none" w:sz="0" w:space="0" w:color="auto"/>
        <w:right w:val="none" w:sz="0" w:space="0" w:color="auto"/>
      </w:divBdr>
      <w:divsChild>
        <w:div w:id="1590652496">
          <w:marLeft w:val="360"/>
          <w:marRight w:val="0"/>
          <w:marTop w:val="0"/>
          <w:marBottom w:val="60"/>
          <w:divBdr>
            <w:top w:val="none" w:sz="0" w:space="0" w:color="auto"/>
            <w:left w:val="none" w:sz="0" w:space="0" w:color="auto"/>
            <w:bottom w:val="none" w:sz="0" w:space="0" w:color="auto"/>
            <w:right w:val="none" w:sz="0" w:space="0" w:color="auto"/>
          </w:divBdr>
        </w:div>
      </w:divsChild>
    </w:div>
    <w:div w:id="175195517">
      <w:bodyDiv w:val="1"/>
      <w:marLeft w:val="0"/>
      <w:marRight w:val="0"/>
      <w:marTop w:val="0"/>
      <w:marBottom w:val="0"/>
      <w:divBdr>
        <w:top w:val="none" w:sz="0" w:space="0" w:color="auto"/>
        <w:left w:val="none" w:sz="0" w:space="0" w:color="auto"/>
        <w:bottom w:val="none" w:sz="0" w:space="0" w:color="auto"/>
        <w:right w:val="none" w:sz="0" w:space="0" w:color="auto"/>
      </w:divBdr>
    </w:div>
    <w:div w:id="198444671">
      <w:bodyDiv w:val="1"/>
      <w:marLeft w:val="0"/>
      <w:marRight w:val="0"/>
      <w:marTop w:val="0"/>
      <w:marBottom w:val="0"/>
      <w:divBdr>
        <w:top w:val="none" w:sz="0" w:space="0" w:color="auto"/>
        <w:left w:val="none" w:sz="0" w:space="0" w:color="auto"/>
        <w:bottom w:val="none" w:sz="0" w:space="0" w:color="auto"/>
        <w:right w:val="none" w:sz="0" w:space="0" w:color="auto"/>
      </w:divBdr>
    </w:div>
    <w:div w:id="204485303">
      <w:bodyDiv w:val="1"/>
      <w:marLeft w:val="0"/>
      <w:marRight w:val="0"/>
      <w:marTop w:val="0"/>
      <w:marBottom w:val="0"/>
      <w:divBdr>
        <w:top w:val="none" w:sz="0" w:space="0" w:color="auto"/>
        <w:left w:val="none" w:sz="0" w:space="0" w:color="auto"/>
        <w:bottom w:val="none" w:sz="0" w:space="0" w:color="auto"/>
        <w:right w:val="none" w:sz="0" w:space="0" w:color="auto"/>
      </w:divBdr>
    </w:div>
    <w:div w:id="210462789">
      <w:bodyDiv w:val="1"/>
      <w:marLeft w:val="0"/>
      <w:marRight w:val="0"/>
      <w:marTop w:val="0"/>
      <w:marBottom w:val="0"/>
      <w:divBdr>
        <w:top w:val="none" w:sz="0" w:space="0" w:color="auto"/>
        <w:left w:val="none" w:sz="0" w:space="0" w:color="auto"/>
        <w:bottom w:val="none" w:sz="0" w:space="0" w:color="auto"/>
        <w:right w:val="none" w:sz="0" w:space="0" w:color="auto"/>
      </w:divBdr>
    </w:div>
    <w:div w:id="212233203">
      <w:bodyDiv w:val="1"/>
      <w:marLeft w:val="0"/>
      <w:marRight w:val="0"/>
      <w:marTop w:val="0"/>
      <w:marBottom w:val="0"/>
      <w:divBdr>
        <w:top w:val="none" w:sz="0" w:space="0" w:color="auto"/>
        <w:left w:val="none" w:sz="0" w:space="0" w:color="auto"/>
        <w:bottom w:val="none" w:sz="0" w:space="0" w:color="auto"/>
        <w:right w:val="none" w:sz="0" w:space="0" w:color="auto"/>
      </w:divBdr>
    </w:div>
    <w:div w:id="222757446">
      <w:bodyDiv w:val="1"/>
      <w:marLeft w:val="0"/>
      <w:marRight w:val="0"/>
      <w:marTop w:val="0"/>
      <w:marBottom w:val="0"/>
      <w:divBdr>
        <w:top w:val="none" w:sz="0" w:space="0" w:color="auto"/>
        <w:left w:val="none" w:sz="0" w:space="0" w:color="auto"/>
        <w:bottom w:val="none" w:sz="0" w:space="0" w:color="auto"/>
        <w:right w:val="none" w:sz="0" w:space="0" w:color="auto"/>
      </w:divBdr>
    </w:div>
    <w:div w:id="226034699">
      <w:bodyDiv w:val="1"/>
      <w:marLeft w:val="0"/>
      <w:marRight w:val="0"/>
      <w:marTop w:val="0"/>
      <w:marBottom w:val="0"/>
      <w:divBdr>
        <w:top w:val="none" w:sz="0" w:space="0" w:color="auto"/>
        <w:left w:val="none" w:sz="0" w:space="0" w:color="auto"/>
        <w:bottom w:val="none" w:sz="0" w:space="0" w:color="auto"/>
        <w:right w:val="none" w:sz="0" w:space="0" w:color="auto"/>
      </w:divBdr>
    </w:div>
    <w:div w:id="237985488">
      <w:bodyDiv w:val="1"/>
      <w:marLeft w:val="0"/>
      <w:marRight w:val="0"/>
      <w:marTop w:val="0"/>
      <w:marBottom w:val="0"/>
      <w:divBdr>
        <w:top w:val="none" w:sz="0" w:space="0" w:color="auto"/>
        <w:left w:val="none" w:sz="0" w:space="0" w:color="auto"/>
        <w:bottom w:val="none" w:sz="0" w:space="0" w:color="auto"/>
        <w:right w:val="none" w:sz="0" w:space="0" w:color="auto"/>
      </w:divBdr>
    </w:div>
    <w:div w:id="238760014">
      <w:bodyDiv w:val="1"/>
      <w:marLeft w:val="0"/>
      <w:marRight w:val="0"/>
      <w:marTop w:val="0"/>
      <w:marBottom w:val="0"/>
      <w:divBdr>
        <w:top w:val="none" w:sz="0" w:space="0" w:color="auto"/>
        <w:left w:val="none" w:sz="0" w:space="0" w:color="auto"/>
        <w:bottom w:val="none" w:sz="0" w:space="0" w:color="auto"/>
        <w:right w:val="none" w:sz="0" w:space="0" w:color="auto"/>
      </w:divBdr>
    </w:div>
    <w:div w:id="265578364">
      <w:bodyDiv w:val="1"/>
      <w:marLeft w:val="0"/>
      <w:marRight w:val="0"/>
      <w:marTop w:val="0"/>
      <w:marBottom w:val="0"/>
      <w:divBdr>
        <w:top w:val="none" w:sz="0" w:space="0" w:color="auto"/>
        <w:left w:val="none" w:sz="0" w:space="0" w:color="auto"/>
        <w:bottom w:val="none" w:sz="0" w:space="0" w:color="auto"/>
        <w:right w:val="none" w:sz="0" w:space="0" w:color="auto"/>
      </w:divBdr>
    </w:div>
    <w:div w:id="279189576">
      <w:bodyDiv w:val="1"/>
      <w:marLeft w:val="0"/>
      <w:marRight w:val="0"/>
      <w:marTop w:val="0"/>
      <w:marBottom w:val="0"/>
      <w:divBdr>
        <w:top w:val="none" w:sz="0" w:space="0" w:color="auto"/>
        <w:left w:val="none" w:sz="0" w:space="0" w:color="auto"/>
        <w:bottom w:val="none" w:sz="0" w:space="0" w:color="auto"/>
        <w:right w:val="none" w:sz="0" w:space="0" w:color="auto"/>
      </w:divBdr>
    </w:div>
    <w:div w:id="284119342">
      <w:bodyDiv w:val="1"/>
      <w:marLeft w:val="0"/>
      <w:marRight w:val="0"/>
      <w:marTop w:val="0"/>
      <w:marBottom w:val="0"/>
      <w:divBdr>
        <w:top w:val="none" w:sz="0" w:space="0" w:color="auto"/>
        <w:left w:val="none" w:sz="0" w:space="0" w:color="auto"/>
        <w:bottom w:val="none" w:sz="0" w:space="0" w:color="auto"/>
        <w:right w:val="none" w:sz="0" w:space="0" w:color="auto"/>
      </w:divBdr>
    </w:div>
    <w:div w:id="287590709">
      <w:bodyDiv w:val="1"/>
      <w:marLeft w:val="0"/>
      <w:marRight w:val="0"/>
      <w:marTop w:val="0"/>
      <w:marBottom w:val="0"/>
      <w:divBdr>
        <w:top w:val="none" w:sz="0" w:space="0" w:color="auto"/>
        <w:left w:val="none" w:sz="0" w:space="0" w:color="auto"/>
        <w:bottom w:val="none" w:sz="0" w:space="0" w:color="auto"/>
        <w:right w:val="none" w:sz="0" w:space="0" w:color="auto"/>
      </w:divBdr>
      <w:divsChild>
        <w:div w:id="57674530">
          <w:marLeft w:val="360"/>
          <w:marRight w:val="0"/>
          <w:marTop w:val="0"/>
          <w:marBottom w:val="60"/>
          <w:divBdr>
            <w:top w:val="none" w:sz="0" w:space="0" w:color="auto"/>
            <w:left w:val="none" w:sz="0" w:space="0" w:color="auto"/>
            <w:bottom w:val="none" w:sz="0" w:space="0" w:color="auto"/>
            <w:right w:val="none" w:sz="0" w:space="0" w:color="auto"/>
          </w:divBdr>
        </w:div>
        <w:div w:id="521548672">
          <w:marLeft w:val="360"/>
          <w:marRight w:val="0"/>
          <w:marTop w:val="0"/>
          <w:marBottom w:val="60"/>
          <w:divBdr>
            <w:top w:val="none" w:sz="0" w:space="0" w:color="auto"/>
            <w:left w:val="none" w:sz="0" w:space="0" w:color="auto"/>
            <w:bottom w:val="none" w:sz="0" w:space="0" w:color="auto"/>
            <w:right w:val="none" w:sz="0" w:space="0" w:color="auto"/>
          </w:divBdr>
        </w:div>
      </w:divsChild>
    </w:div>
    <w:div w:id="295723376">
      <w:bodyDiv w:val="1"/>
      <w:marLeft w:val="0"/>
      <w:marRight w:val="0"/>
      <w:marTop w:val="0"/>
      <w:marBottom w:val="0"/>
      <w:divBdr>
        <w:top w:val="none" w:sz="0" w:space="0" w:color="auto"/>
        <w:left w:val="none" w:sz="0" w:space="0" w:color="auto"/>
        <w:bottom w:val="none" w:sz="0" w:space="0" w:color="auto"/>
        <w:right w:val="none" w:sz="0" w:space="0" w:color="auto"/>
      </w:divBdr>
    </w:div>
    <w:div w:id="297810240">
      <w:bodyDiv w:val="1"/>
      <w:marLeft w:val="0"/>
      <w:marRight w:val="0"/>
      <w:marTop w:val="0"/>
      <w:marBottom w:val="0"/>
      <w:divBdr>
        <w:top w:val="none" w:sz="0" w:space="0" w:color="auto"/>
        <w:left w:val="none" w:sz="0" w:space="0" w:color="auto"/>
        <w:bottom w:val="none" w:sz="0" w:space="0" w:color="auto"/>
        <w:right w:val="none" w:sz="0" w:space="0" w:color="auto"/>
      </w:divBdr>
    </w:div>
    <w:div w:id="301546889">
      <w:bodyDiv w:val="1"/>
      <w:marLeft w:val="0"/>
      <w:marRight w:val="0"/>
      <w:marTop w:val="0"/>
      <w:marBottom w:val="0"/>
      <w:divBdr>
        <w:top w:val="none" w:sz="0" w:space="0" w:color="auto"/>
        <w:left w:val="none" w:sz="0" w:space="0" w:color="auto"/>
        <w:bottom w:val="none" w:sz="0" w:space="0" w:color="auto"/>
        <w:right w:val="none" w:sz="0" w:space="0" w:color="auto"/>
      </w:divBdr>
    </w:div>
    <w:div w:id="303391389">
      <w:bodyDiv w:val="1"/>
      <w:marLeft w:val="0"/>
      <w:marRight w:val="0"/>
      <w:marTop w:val="0"/>
      <w:marBottom w:val="0"/>
      <w:divBdr>
        <w:top w:val="none" w:sz="0" w:space="0" w:color="auto"/>
        <w:left w:val="none" w:sz="0" w:space="0" w:color="auto"/>
        <w:bottom w:val="none" w:sz="0" w:space="0" w:color="auto"/>
        <w:right w:val="none" w:sz="0" w:space="0" w:color="auto"/>
      </w:divBdr>
    </w:div>
    <w:div w:id="321785287">
      <w:bodyDiv w:val="1"/>
      <w:marLeft w:val="0"/>
      <w:marRight w:val="0"/>
      <w:marTop w:val="0"/>
      <w:marBottom w:val="0"/>
      <w:divBdr>
        <w:top w:val="none" w:sz="0" w:space="0" w:color="auto"/>
        <w:left w:val="none" w:sz="0" w:space="0" w:color="auto"/>
        <w:bottom w:val="none" w:sz="0" w:space="0" w:color="auto"/>
        <w:right w:val="none" w:sz="0" w:space="0" w:color="auto"/>
      </w:divBdr>
    </w:div>
    <w:div w:id="340161298">
      <w:bodyDiv w:val="1"/>
      <w:marLeft w:val="0"/>
      <w:marRight w:val="0"/>
      <w:marTop w:val="0"/>
      <w:marBottom w:val="0"/>
      <w:divBdr>
        <w:top w:val="none" w:sz="0" w:space="0" w:color="auto"/>
        <w:left w:val="none" w:sz="0" w:space="0" w:color="auto"/>
        <w:bottom w:val="none" w:sz="0" w:space="0" w:color="auto"/>
        <w:right w:val="none" w:sz="0" w:space="0" w:color="auto"/>
      </w:divBdr>
    </w:div>
    <w:div w:id="351421111">
      <w:bodyDiv w:val="1"/>
      <w:marLeft w:val="0"/>
      <w:marRight w:val="0"/>
      <w:marTop w:val="0"/>
      <w:marBottom w:val="0"/>
      <w:divBdr>
        <w:top w:val="none" w:sz="0" w:space="0" w:color="auto"/>
        <w:left w:val="none" w:sz="0" w:space="0" w:color="auto"/>
        <w:bottom w:val="none" w:sz="0" w:space="0" w:color="auto"/>
        <w:right w:val="none" w:sz="0" w:space="0" w:color="auto"/>
      </w:divBdr>
    </w:div>
    <w:div w:id="351611388">
      <w:bodyDiv w:val="1"/>
      <w:marLeft w:val="0"/>
      <w:marRight w:val="0"/>
      <w:marTop w:val="0"/>
      <w:marBottom w:val="0"/>
      <w:divBdr>
        <w:top w:val="none" w:sz="0" w:space="0" w:color="auto"/>
        <w:left w:val="none" w:sz="0" w:space="0" w:color="auto"/>
        <w:bottom w:val="none" w:sz="0" w:space="0" w:color="auto"/>
        <w:right w:val="none" w:sz="0" w:space="0" w:color="auto"/>
      </w:divBdr>
    </w:div>
    <w:div w:id="364604937">
      <w:bodyDiv w:val="1"/>
      <w:marLeft w:val="0"/>
      <w:marRight w:val="0"/>
      <w:marTop w:val="0"/>
      <w:marBottom w:val="0"/>
      <w:divBdr>
        <w:top w:val="none" w:sz="0" w:space="0" w:color="auto"/>
        <w:left w:val="none" w:sz="0" w:space="0" w:color="auto"/>
        <w:bottom w:val="none" w:sz="0" w:space="0" w:color="auto"/>
        <w:right w:val="none" w:sz="0" w:space="0" w:color="auto"/>
      </w:divBdr>
    </w:div>
    <w:div w:id="374737370">
      <w:bodyDiv w:val="1"/>
      <w:marLeft w:val="0"/>
      <w:marRight w:val="0"/>
      <w:marTop w:val="0"/>
      <w:marBottom w:val="0"/>
      <w:divBdr>
        <w:top w:val="none" w:sz="0" w:space="0" w:color="auto"/>
        <w:left w:val="none" w:sz="0" w:space="0" w:color="auto"/>
        <w:bottom w:val="none" w:sz="0" w:space="0" w:color="auto"/>
        <w:right w:val="none" w:sz="0" w:space="0" w:color="auto"/>
      </w:divBdr>
    </w:div>
    <w:div w:id="393508607">
      <w:bodyDiv w:val="1"/>
      <w:marLeft w:val="0"/>
      <w:marRight w:val="0"/>
      <w:marTop w:val="0"/>
      <w:marBottom w:val="0"/>
      <w:divBdr>
        <w:top w:val="none" w:sz="0" w:space="0" w:color="auto"/>
        <w:left w:val="none" w:sz="0" w:space="0" w:color="auto"/>
        <w:bottom w:val="none" w:sz="0" w:space="0" w:color="auto"/>
        <w:right w:val="none" w:sz="0" w:space="0" w:color="auto"/>
      </w:divBdr>
    </w:div>
    <w:div w:id="405684663">
      <w:bodyDiv w:val="1"/>
      <w:marLeft w:val="0"/>
      <w:marRight w:val="0"/>
      <w:marTop w:val="0"/>
      <w:marBottom w:val="0"/>
      <w:divBdr>
        <w:top w:val="none" w:sz="0" w:space="0" w:color="auto"/>
        <w:left w:val="none" w:sz="0" w:space="0" w:color="auto"/>
        <w:bottom w:val="none" w:sz="0" w:space="0" w:color="auto"/>
        <w:right w:val="none" w:sz="0" w:space="0" w:color="auto"/>
      </w:divBdr>
    </w:div>
    <w:div w:id="410080985">
      <w:bodyDiv w:val="1"/>
      <w:marLeft w:val="0"/>
      <w:marRight w:val="0"/>
      <w:marTop w:val="0"/>
      <w:marBottom w:val="0"/>
      <w:divBdr>
        <w:top w:val="none" w:sz="0" w:space="0" w:color="auto"/>
        <w:left w:val="none" w:sz="0" w:space="0" w:color="auto"/>
        <w:bottom w:val="none" w:sz="0" w:space="0" w:color="auto"/>
        <w:right w:val="none" w:sz="0" w:space="0" w:color="auto"/>
      </w:divBdr>
      <w:divsChild>
        <w:div w:id="1007635415">
          <w:marLeft w:val="0"/>
          <w:marRight w:val="0"/>
          <w:marTop w:val="0"/>
          <w:marBottom w:val="0"/>
          <w:divBdr>
            <w:top w:val="none" w:sz="0" w:space="0" w:color="auto"/>
            <w:left w:val="none" w:sz="0" w:space="0" w:color="auto"/>
            <w:bottom w:val="none" w:sz="0" w:space="0" w:color="auto"/>
            <w:right w:val="none" w:sz="0" w:space="0" w:color="auto"/>
          </w:divBdr>
        </w:div>
      </w:divsChild>
    </w:div>
    <w:div w:id="442266534">
      <w:bodyDiv w:val="1"/>
      <w:marLeft w:val="0"/>
      <w:marRight w:val="0"/>
      <w:marTop w:val="0"/>
      <w:marBottom w:val="0"/>
      <w:divBdr>
        <w:top w:val="none" w:sz="0" w:space="0" w:color="auto"/>
        <w:left w:val="none" w:sz="0" w:space="0" w:color="auto"/>
        <w:bottom w:val="none" w:sz="0" w:space="0" w:color="auto"/>
        <w:right w:val="none" w:sz="0" w:space="0" w:color="auto"/>
      </w:divBdr>
    </w:div>
    <w:div w:id="455828605">
      <w:bodyDiv w:val="1"/>
      <w:marLeft w:val="0"/>
      <w:marRight w:val="0"/>
      <w:marTop w:val="0"/>
      <w:marBottom w:val="0"/>
      <w:divBdr>
        <w:top w:val="none" w:sz="0" w:space="0" w:color="auto"/>
        <w:left w:val="none" w:sz="0" w:space="0" w:color="auto"/>
        <w:bottom w:val="none" w:sz="0" w:space="0" w:color="auto"/>
        <w:right w:val="none" w:sz="0" w:space="0" w:color="auto"/>
      </w:divBdr>
    </w:div>
    <w:div w:id="483670406">
      <w:bodyDiv w:val="1"/>
      <w:marLeft w:val="0"/>
      <w:marRight w:val="0"/>
      <w:marTop w:val="0"/>
      <w:marBottom w:val="0"/>
      <w:divBdr>
        <w:top w:val="none" w:sz="0" w:space="0" w:color="auto"/>
        <w:left w:val="none" w:sz="0" w:space="0" w:color="auto"/>
        <w:bottom w:val="none" w:sz="0" w:space="0" w:color="auto"/>
        <w:right w:val="none" w:sz="0" w:space="0" w:color="auto"/>
      </w:divBdr>
    </w:div>
    <w:div w:id="498085854">
      <w:bodyDiv w:val="1"/>
      <w:marLeft w:val="0"/>
      <w:marRight w:val="0"/>
      <w:marTop w:val="0"/>
      <w:marBottom w:val="0"/>
      <w:divBdr>
        <w:top w:val="none" w:sz="0" w:space="0" w:color="auto"/>
        <w:left w:val="none" w:sz="0" w:space="0" w:color="auto"/>
        <w:bottom w:val="none" w:sz="0" w:space="0" w:color="auto"/>
        <w:right w:val="none" w:sz="0" w:space="0" w:color="auto"/>
      </w:divBdr>
    </w:div>
    <w:div w:id="570239873">
      <w:bodyDiv w:val="1"/>
      <w:marLeft w:val="0"/>
      <w:marRight w:val="0"/>
      <w:marTop w:val="0"/>
      <w:marBottom w:val="0"/>
      <w:divBdr>
        <w:top w:val="none" w:sz="0" w:space="0" w:color="auto"/>
        <w:left w:val="none" w:sz="0" w:space="0" w:color="auto"/>
        <w:bottom w:val="none" w:sz="0" w:space="0" w:color="auto"/>
        <w:right w:val="none" w:sz="0" w:space="0" w:color="auto"/>
      </w:divBdr>
    </w:div>
    <w:div w:id="573970309">
      <w:bodyDiv w:val="1"/>
      <w:marLeft w:val="0"/>
      <w:marRight w:val="0"/>
      <w:marTop w:val="0"/>
      <w:marBottom w:val="0"/>
      <w:divBdr>
        <w:top w:val="none" w:sz="0" w:space="0" w:color="auto"/>
        <w:left w:val="none" w:sz="0" w:space="0" w:color="auto"/>
        <w:bottom w:val="none" w:sz="0" w:space="0" w:color="auto"/>
        <w:right w:val="none" w:sz="0" w:space="0" w:color="auto"/>
      </w:divBdr>
    </w:div>
    <w:div w:id="581838311">
      <w:bodyDiv w:val="1"/>
      <w:marLeft w:val="0"/>
      <w:marRight w:val="0"/>
      <w:marTop w:val="0"/>
      <w:marBottom w:val="0"/>
      <w:divBdr>
        <w:top w:val="none" w:sz="0" w:space="0" w:color="auto"/>
        <w:left w:val="none" w:sz="0" w:space="0" w:color="auto"/>
        <w:bottom w:val="none" w:sz="0" w:space="0" w:color="auto"/>
        <w:right w:val="none" w:sz="0" w:space="0" w:color="auto"/>
      </w:divBdr>
    </w:div>
    <w:div w:id="595789768">
      <w:bodyDiv w:val="1"/>
      <w:marLeft w:val="0"/>
      <w:marRight w:val="0"/>
      <w:marTop w:val="0"/>
      <w:marBottom w:val="0"/>
      <w:divBdr>
        <w:top w:val="none" w:sz="0" w:space="0" w:color="auto"/>
        <w:left w:val="none" w:sz="0" w:space="0" w:color="auto"/>
        <w:bottom w:val="none" w:sz="0" w:space="0" w:color="auto"/>
        <w:right w:val="none" w:sz="0" w:space="0" w:color="auto"/>
      </w:divBdr>
    </w:div>
    <w:div w:id="596213421">
      <w:bodyDiv w:val="1"/>
      <w:marLeft w:val="0"/>
      <w:marRight w:val="0"/>
      <w:marTop w:val="0"/>
      <w:marBottom w:val="0"/>
      <w:divBdr>
        <w:top w:val="none" w:sz="0" w:space="0" w:color="auto"/>
        <w:left w:val="none" w:sz="0" w:space="0" w:color="auto"/>
        <w:bottom w:val="none" w:sz="0" w:space="0" w:color="auto"/>
        <w:right w:val="none" w:sz="0" w:space="0" w:color="auto"/>
      </w:divBdr>
    </w:div>
    <w:div w:id="600377750">
      <w:bodyDiv w:val="1"/>
      <w:marLeft w:val="0"/>
      <w:marRight w:val="0"/>
      <w:marTop w:val="0"/>
      <w:marBottom w:val="0"/>
      <w:divBdr>
        <w:top w:val="none" w:sz="0" w:space="0" w:color="auto"/>
        <w:left w:val="none" w:sz="0" w:space="0" w:color="auto"/>
        <w:bottom w:val="none" w:sz="0" w:space="0" w:color="auto"/>
        <w:right w:val="none" w:sz="0" w:space="0" w:color="auto"/>
      </w:divBdr>
    </w:div>
    <w:div w:id="608927152">
      <w:bodyDiv w:val="1"/>
      <w:marLeft w:val="0"/>
      <w:marRight w:val="0"/>
      <w:marTop w:val="0"/>
      <w:marBottom w:val="0"/>
      <w:divBdr>
        <w:top w:val="none" w:sz="0" w:space="0" w:color="auto"/>
        <w:left w:val="none" w:sz="0" w:space="0" w:color="auto"/>
        <w:bottom w:val="none" w:sz="0" w:space="0" w:color="auto"/>
        <w:right w:val="none" w:sz="0" w:space="0" w:color="auto"/>
      </w:divBdr>
    </w:div>
    <w:div w:id="652418492">
      <w:bodyDiv w:val="1"/>
      <w:marLeft w:val="0"/>
      <w:marRight w:val="0"/>
      <w:marTop w:val="0"/>
      <w:marBottom w:val="0"/>
      <w:divBdr>
        <w:top w:val="none" w:sz="0" w:space="0" w:color="auto"/>
        <w:left w:val="none" w:sz="0" w:space="0" w:color="auto"/>
        <w:bottom w:val="none" w:sz="0" w:space="0" w:color="auto"/>
        <w:right w:val="none" w:sz="0" w:space="0" w:color="auto"/>
      </w:divBdr>
    </w:div>
    <w:div w:id="663120349">
      <w:bodyDiv w:val="1"/>
      <w:marLeft w:val="0"/>
      <w:marRight w:val="0"/>
      <w:marTop w:val="0"/>
      <w:marBottom w:val="0"/>
      <w:divBdr>
        <w:top w:val="none" w:sz="0" w:space="0" w:color="auto"/>
        <w:left w:val="none" w:sz="0" w:space="0" w:color="auto"/>
        <w:bottom w:val="none" w:sz="0" w:space="0" w:color="auto"/>
        <w:right w:val="none" w:sz="0" w:space="0" w:color="auto"/>
      </w:divBdr>
    </w:div>
    <w:div w:id="666787323">
      <w:bodyDiv w:val="1"/>
      <w:marLeft w:val="0"/>
      <w:marRight w:val="0"/>
      <w:marTop w:val="0"/>
      <w:marBottom w:val="0"/>
      <w:divBdr>
        <w:top w:val="none" w:sz="0" w:space="0" w:color="auto"/>
        <w:left w:val="none" w:sz="0" w:space="0" w:color="auto"/>
        <w:bottom w:val="none" w:sz="0" w:space="0" w:color="auto"/>
        <w:right w:val="none" w:sz="0" w:space="0" w:color="auto"/>
      </w:divBdr>
    </w:div>
    <w:div w:id="709035680">
      <w:bodyDiv w:val="1"/>
      <w:marLeft w:val="0"/>
      <w:marRight w:val="0"/>
      <w:marTop w:val="0"/>
      <w:marBottom w:val="0"/>
      <w:divBdr>
        <w:top w:val="none" w:sz="0" w:space="0" w:color="auto"/>
        <w:left w:val="none" w:sz="0" w:space="0" w:color="auto"/>
        <w:bottom w:val="none" w:sz="0" w:space="0" w:color="auto"/>
        <w:right w:val="none" w:sz="0" w:space="0" w:color="auto"/>
      </w:divBdr>
    </w:div>
    <w:div w:id="716316372">
      <w:bodyDiv w:val="1"/>
      <w:marLeft w:val="0"/>
      <w:marRight w:val="0"/>
      <w:marTop w:val="0"/>
      <w:marBottom w:val="0"/>
      <w:divBdr>
        <w:top w:val="none" w:sz="0" w:space="0" w:color="auto"/>
        <w:left w:val="none" w:sz="0" w:space="0" w:color="auto"/>
        <w:bottom w:val="none" w:sz="0" w:space="0" w:color="auto"/>
        <w:right w:val="none" w:sz="0" w:space="0" w:color="auto"/>
      </w:divBdr>
    </w:div>
    <w:div w:id="722288728">
      <w:bodyDiv w:val="1"/>
      <w:marLeft w:val="0"/>
      <w:marRight w:val="0"/>
      <w:marTop w:val="0"/>
      <w:marBottom w:val="0"/>
      <w:divBdr>
        <w:top w:val="none" w:sz="0" w:space="0" w:color="auto"/>
        <w:left w:val="none" w:sz="0" w:space="0" w:color="auto"/>
        <w:bottom w:val="none" w:sz="0" w:space="0" w:color="auto"/>
        <w:right w:val="none" w:sz="0" w:space="0" w:color="auto"/>
      </w:divBdr>
    </w:div>
    <w:div w:id="732965235">
      <w:bodyDiv w:val="1"/>
      <w:marLeft w:val="0"/>
      <w:marRight w:val="0"/>
      <w:marTop w:val="0"/>
      <w:marBottom w:val="0"/>
      <w:divBdr>
        <w:top w:val="none" w:sz="0" w:space="0" w:color="auto"/>
        <w:left w:val="none" w:sz="0" w:space="0" w:color="auto"/>
        <w:bottom w:val="none" w:sz="0" w:space="0" w:color="auto"/>
        <w:right w:val="none" w:sz="0" w:space="0" w:color="auto"/>
      </w:divBdr>
      <w:divsChild>
        <w:div w:id="2105297646">
          <w:marLeft w:val="0"/>
          <w:marRight w:val="0"/>
          <w:marTop w:val="0"/>
          <w:marBottom w:val="0"/>
          <w:divBdr>
            <w:top w:val="none" w:sz="0" w:space="0" w:color="auto"/>
            <w:left w:val="none" w:sz="0" w:space="0" w:color="auto"/>
            <w:bottom w:val="none" w:sz="0" w:space="0" w:color="auto"/>
            <w:right w:val="none" w:sz="0" w:space="0" w:color="auto"/>
          </w:divBdr>
        </w:div>
      </w:divsChild>
    </w:div>
    <w:div w:id="774792856">
      <w:bodyDiv w:val="1"/>
      <w:marLeft w:val="0"/>
      <w:marRight w:val="0"/>
      <w:marTop w:val="0"/>
      <w:marBottom w:val="0"/>
      <w:divBdr>
        <w:top w:val="none" w:sz="0" w:space="0" w:color="auto"/>
        <w:left w:val="none" w:sz="0" w:space="0" w:color="auto"/>
        <w:bottom w:val="none" w:sz="0" w:space="0" w:color="auto"/>
        <w:right w:val="none" w:sz="0" w:space="0" w:color="auto"/>
      </w:divBdr>
    </w:div>
    <w:div w:id="779183452">
      <w:bodyDiv w:val="1"/>
      <w:marLeft w:val="0"/>
      <w:marRight w:val="0"/>
      <w:marTop w:val="0"/>
      <w:marBottom w:val="0"/>
      <w:divBdr>
        <w:top w:val="none" w:sz="0" w:space="0" w:color="auto"/>
        <w:left w:val="none" w:sz="0" w:space="0" w:color="auto"/>
        <w:bottom w:val="none" w:sz="0" w:space="0" w:color="auto"/>
        <w:right w:val="none" w:sz="0" w:space="0" w:color="auto"/>
      </w:divBdr>
    </w:div>
    <w:div w:id="827554824">
      <w:bodyDiv w:val="1"/>
      <w:marLeft w:val="0"/>
      <w:marRight w:val="0"/>
      <w:marTop w:val="0"/>
      <w:marBottom w:val="0"/>
      <w:divBdr>
        <w:top w:val="none" w:sz="0" w:space="0" w:color="auto"/>
        <w:left w:val="none" w:sz="0" w:space="0" w:color="auto"/>
        <w:bottom w:val="none" w:sz="0" w:space="0" w:color="auto"/>
        <w:right w:val="none" w:sz="0" w:space="0" w:color="auto"/>
      </w:divBdr>
      <w:divsChild>
        <w:div w:id="171920167">
          <w:marLeft w:val="0"/>
          <w:marRight w:val="0"/>
          <w:marTop w:val="0"/>
          <w:marBottom w:val="0"/>
          <w:divBdr>
            <w:top w:val="none" w:sz="0" w:space="0" w:color="auto"/>
            <w:left w:val="none" w:sz="0" w:space="0" w:color="auto"/>
            <w:bottom w:val="none" w:sz="0" w:space="0" w:color="auto"/>
            <w:right w:val="none" w:sz="0" w:space="0" w:color="auto"/>
          </w:divBdr>
        </w:div>
      </w:divsChild>
    </w:div>
    <w:div w:id="850220207">
      <w:bodyDiv w:val="1"/>
      <w:marLeft w:val="0"/>
      <w:marRight w:val="0"/>
      <w:marTop w:val="0"/>
      <w:marBottom w:val="0"/>
      <w:divBdr>
        <w:top w:val="none" w:sz="0" w:space="0" w:color="auto"/>
        <w:left w:val="none" w:sz="0" w:space="0" w:color="auto"/>
        <w:bottom w:val="none" w:sz="0" w:space="0" w:color="auto"/>
        <w:right w:val="none" w:sz="0" w:space="0" w:color="auto"/>
      </w:divBdr>
    </w:div>
    <w:div w:id="867186108">
      <w:bodyDiv w:val="1"/>
      <w:marLeft w:val="0"/>
      <w:marRight w:val="0"/>
      <w:marTop w:val="0"/>
      <w:marBottom w:val="0"/>
      <w:divBdr>
        <w:top w:val="none" w:sz="0" w:space="0" w:color="auto"/>
        <w:left w:val="none" w:sz="0" w:space="0" w:color="auto"/>
        <w:bottom w:val="none" w:sz="0" w:space="0" w:color="auto"/>
        <w:right w:val="none" w:sz="0" w:space="0" w:color="auto"/>
      </w:divBdr>
    </w:div>
    <w:div w:id="875892528">
      <w:bodyDiv w:val="1"/>
      <w:marLeft w:val="0"/>
      <w:marRight w:val="0"/>
      <w:marTop w:val="0"/>
      <w:marBottom w:val="0"/>
      <w:divBdr>
        <w:top w:val="none" w:sz="0" w:space="0" w:color="auto"/>
        <w:left w:val="none" w:sz="0" w:space="0" w:color="auto"/>
        <w:bottom w:val="none" w:sz="0" w:space="0" w:color="auto"/>
        <w:right w:val="none" w:sz="0" w:space="0" w:color="auto"/>
      </w:divBdr>
    </w:div>
    <w:div w:id="946889916">
      <w:bodyDiv w:val="1"/>
      <w:marLeft w:val="0"/>
      <w:marRight w:val="0"/>
      <w:marTop w:val="0"/>
      <w:marBottom w:val="0"/>
      <w:divBdr>
        <w:top w:val="none" w:sz="0" w:space="0" w:color="auto"/>
        <w:left w:val="none" w:sz="0" w:space="0" w:color="auto"/>
        <w:bottom w:val="none" w:sz="0" w:space="0" w:color="auto"/>
        <w:right w:val="none" w:sz="0" w:space="0" w:color="auto"/>
      </w:divBdr>
    </w:div>
    <w:div w:id="970861799">
      <w:bodyDiv w:val="1"/>
      <w:marLeft w:val="0"/>
      <w:marRight w:val="0"/>
      <w:marTop w:val="0"/>
      <w:marBottom w:val="0"/>
      <w:divBdr>
        <w:top w:val="none" w:sz="0" w:space="0" w:color="auto"/>
        <w:left w:val="none" w:sz="0" w:space="0" w:color="auto"/>
        <w:bottom w:val="none" w:sz="0" w:space="0" w:color="auto"/>
        <w:right w:val="none" w:sz="0" w:space="0" w:color="auto"/>
      </w:divBdr>
      <w:divsChild>
        <w:div w:id="1946419365">
          <w:marLeft w:val="0"/>
          <w:marRight w:val="0"/>
          <w:marTop w:val="0"/>
          <w:marBottom w:val="0"/>
          <w:divBdr>
            <w:top w:val="none" w:sz="0" w:space="0" w:color="auto"/>
            <w:left w:val="none" w:sz="0" w:space="0" w:color="auto"/>
            <w:bottom w:val="none" w:sz="0" w:space="0" w:color="auto"/>
            <w:right w:val="none" w:sz="0" w:space="0" w:color="auto"/>
          </w:divBdr>
        </w:div>
      </w:divsChild>
    </w:div>
    <w:div w:id="998536824">
      <w:bodyDiv w:val="1"/>
      <w:marLeft w:val="0"/>
      <w:marRight w:val="0"/>
      <w:marTop w:val="0"/>
      <w:marBottom w:val="0"/>
      <w:divBdr>
        <w:top w:val="none" w:sz="0" w:space="0" w:color="auto"/>
        <w:left w:val="none" w:sz="0" w:space="0" w:color="auto"/>
        <w:bottom w:val="none" w:sz="0" w:space="0" w:color="auto"/>
        <w:right w:val="none" w:sz="0" w:space="0" w:color="auto"/>
      </w:divBdr>
    </w:div>
    <w:div w:id="1010527088">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35279328">
      <w:bodyDiv w:val="1"/>
      <w:marLeft w:val="0"/>
      <w:marRight w:val="0"/>
      <w:marTop w:val="0"/>
      <w:marBottom w:val="0"/>
      <w:divBdr>
        <w:top w:val="none" w:sz="0" w:space="0" w:color="auto"/>
        <w:left w:val="none" w:sz="0" w:space="0" w:color="auto"/>
        <w:bottom w:val="none" w:sz="0" w:space="0" w:color="auto"/>
        <w:right w:val="none" w:sz="0" w:space="0" w:color="auto"/>
      </w:divBdr>
    </w:div>
    <w:div w:id="1045788780">
      <w:bodyDiv w:val="1"/>
      <w:marLeft w:val="0"/>
      <w:marRight w:val="0"/>
      <w:marTop w:val="0"/>
      <w:marBottom w:val="0"/>
      <w:divBdr>
        <w:top w:val="none" w:sz="0" w:space="0" w:color="auto"/>
        <w:left w:val="none" w:sz="0" w:space="0" w:color="auto"/>
        <w:bottom w:val="none" w:sz="0" w:space="0" w:color="auto"/>
        <w:right w:val="none" w:sz="0" w:space="0" w:color="auto"/>
      </w:divBdr>
    </w:div>
    <w:div w:id="1050033651">
      <w:bodyDiv w:val="1"/>
      <w:marLeft w:val="0"/>
      <w:marRight w:val="0"/>
      <w:marTop w:val="0"/>
      <w:marBottom w:val="0"/>
      <w:divBdr>
        <w:top w:val="none" w:sz="0" w:space="0" w:color="auto"/>
        <w:left w:val="none" w:sz="0" w:space="0" w:color="auto"/>
        <w:bottom w:val="none" w:sz="0" w:space="0" w:color="auto"/>
        <w:right w:val="none" w:sz="0" w:space="0" w:color="auto"/>
      </w:divBdr>
    </w:div>
    <w:div w:id="1064334944">
      <w:bodyDiv w:val="1"/>
      <w:marLeft w:val="0"/>
      <w:marRight w:val="0"/>
      <w:marTop w:val="0"/>
      <w:marBottom w:val="0"/>
      <w:divBdr>
        <w:top w:val="none" w:sz="0" w:space="0" w:color="auto"/>
        <w:left w:val="none" w:sz="0" w:space="0" w:color="auto"/>
        <w:bottom w:val="none" w:sz="0" w:space="0" w:color="auto"/>
        <w:right w:val="none" w:sz="0" w:space="0" w:color="auto"/>
      </w:divBdr>
    </w:div>
    <w:div w:id="1068455626">
      <w:bodyDiv w:val="1"/>
      <w:marLeft w:val="0"/>
      <w:marRight w:val="0"/>
      <w:marTop w:val="0"/>
      <w:marBottom w:val="0"/>
      <w:divBdr>
        <w:top w:val="none" w:sz="0" w:space="0" w:color="auto"/>
        <w:left w:val="none" w:sz="0" w:space="0" w:color="auto"/>
        <w:bottom w:val="none" w:sz="0" w:space="0" w:color="auto"/>
        <w:right w:val="none" w:sz="0" w:space="0" w:color="auto"/>
      </w:divBdr>
    </w:div>
    <w:div w:id="1124225897">
      <w:bodyDiv w:val="1"/>
      <w:marLeft w:val="0"/>
      <w:marRight w:val="0"/>
      <w:marTop w:val="0"/>
      <w:marBottom w:val="0"/>
      <w:divBdr>
        <w:top w:val="none" w:sz="0" w:space="0" w:color="auto"/>
        <w:left w:val="none" w:sz="0" w:space="0" w:color="auto"/>
        <w:bottom w:val="none" w:sz="0" w:space="0" w:color="auto"/>
        <w:right w:val="none" w:sz="0" w:space="0" w:color="auto"/>
      </w:divBdr>
    </w:div>
    <w:div w:id="1126892997">
      <w:bodyDiv w:val="1"/>
      <w:marLeft w:val="0"/>
      <w:marRight w:val="0"/>
      <w:marTop w:val="0"/>
      <w:marBottom w:val="0"/>
      <w:divBdr>
        <w:top w:val="none" w:sz="0" w:space="0" w:color="auto"/>
        <w:left w:val="none" w:sz="0" w:space="0" w:color="auto"/>
        <w:bottom w:val="none" w:sz="0" w:space="0" w:color="auto"/>
        <w:right w:val="none" w:sz="0" w:space="0" w:color="auto"/>
      </w:divBdr>
    </w:div>
    <w:div w:id="1129395399">
      <w:bodyDiv w:val="1"/>
      <w:marLeft w:val="0"/>
      <w:marRight w:val="0"/>
      <w:marTop w:val="0"/>
      <w:marBottom w:val="0"/>
      <w:divBdr>
        <w:top w:val="none" w:sz="0" w:space="0" w:color="auto"/>
        <w:left w:val="none" w:sz="0" w:space="0" w:color="auto"/>
        <w:bottom w:val="none" w:sz="0" w:space="0" w:color="auto"/>
        <w:right w:val="none" w:sz="0" w:space="0" w:color="auto"/>
      </w:divBdr>
    </w:div>
    <w:div w:id="1149324920">
      <w:bodyDiv w:val="1"/>
      <w:marLeft w:val="0"/>
      <w:marRight w:val="0"/>
      <w:marTop w:val="0"/>
      <w:marBottom w:val="0"/>
      <w:divBdr>
        <w:top w:val="none" w:sz="0" w:space="0" w:color="auto"/>
        <w:left w:val="none" w:sz="0" w:space="0" w:color="auto"/>
        <w:bottom w:val="none" w:sz="0" w:space="0" w:color="auto"/>
        <w:right w:val="none" w:sz="0" w:space="0" w:color="auto"/>
      </w:divBdr>
    </w:div>
    <w:div w:id="1156337307">
      <w:bodyDiv w:val="1"/>
      <w:marLeft w:val="0"/>
      <w:marRight w:val="0"/>
      <w:marTop w:val="0"/>
      <w:marBottom w:val="0"/>
      <w:divBdr>
        <w:top w:val="none" w:sz="0" w:space="0" w:color="auto"/>
        <w:left w:val="none" w:sz="0" w:space="0" w:color="auto"/>
        <w:bottom w:val="none" w:sz="0" w:space="0" w:color="auto"/>
        <w:right w:val="none" w:sz="0" w:space="0" w:color="auto"/>
      </w:divBdr>
    </w:div>
    <w:div w:id="1175723372">
      <w:bodyDiv w:val="1"/>
      <w:marLeft w:val="0"/>
      <w:marRight w:val="0"/>
      <w:marTop w:val="0"/>
      <w:marBottom w:val="0"/>
      <w:divBdr>
        <w:top w:val="none" w:sz="0" w:space="0" w:color="auto"/>
        <w:left w:val="none" w:sz="0" w:space="0" w:color="auto"/>
        <w:bottom w:val="none" w:sz="0" w:space="0" w:color="auto"/>
        <w:right w:val="none" w:sz="0" w:space="0" w:color="auto"/>
      </w:divBdr>
    </w:div>
    <w:div w:id="1209758364">
      <w:bodyDiv w:val="1"/>
      <w:marLeft w:val="0"/>
      <w:marRight w:val="0"/>
      <w:marTop w:val="0"/>
      <w:marBottom w:val="0"/>
      <w:divBdr>
        <w:top w:val="none" w:sz="0" w:space="0" w:color="auto"/>
        <w:left w:val="none" w:sz="0" w:space="0" w:color="auto"/>
        <w:bottom w:val="none" w:sz="0" w:space="0" w:color="auto"/>
        <w:right w:val="none" w:sz="0" w:space="0" w:color="auto"/>
      </w:divBdr>
    </w:div>
    <w:div w:id="1211502105">
      <w:bodyDiv w:val="1"/>
      <w:marLeft w:val="0"/>
      <w:marRight w:val="0"/>
      <w:marTop w:val="0"/>
      <w:marBottom w:val="0"/>
      <w:divBdr>
        <w:top w:val="none" w:sz="0" w:space="0" w:color="auto"/>
        <w:left w:val="none" w:sz="0" w:space="0" w:color="auto"/>
        <w:bottom w:val="none" w:sz="0" w:space="0" w:color="auto"/>
        <w:right w:val="none" w:sz="0" w:space="0" w:color="auto"/>
      </w:divBdr>
    </w:div>
    <w:div w:id="1228145319">
      <w:bodyDiv w:val="1"/>
      <w:marLeft w:val="0"/>
      <w:marRight w:val="0"/>
      <w:marTop w:val="0"/>
      <w:marBottom w:val="0"/>
      <w:divBdr>
        <w:top w:val="none" w:sz="0" w:space="0" w:color="auto"/>
        <w:left w:val="none" w:sz="0" w:space="0" w:color="auto"/>
        <w:bottom w:val="none" w:sz="0" w:space="0" w:color="auto"/>
        <w:right w:val="none" w:sz="0" w:space="0" w:color="auto"/>
      </w:divBdr>
    </w:div>
    <w:div w:id="1262833838">
      <w:bodyDiv w:val="1"/>
      <w:marLeft w:val="0"/>
      <w:marRight w:val="0"/>
      <w:marTop w:val="0"/>
      <w:marBottom w:val="0"/>
      <w:divBdr>
        <w:top w:val="none" w:sz="0" w:space="0" w:color="auto"/>
        <w:left w:val="none" w:sz="0" w:space="0" w:color="auto"/>
        <w:bottom w:val="none" w:sz="0" w:space="0" w:color="auto"/>
        <w:right w:val="none" w:sz="0" w:space="0" w:color="auto"/>
      </w:divBdr>
    </w:div>
    <w:div w:id="1281301926">
      <w:bodyDiv w:val="1"/>
      <w:marLeft w:val="0"/>
      <w:marRight w:val="0"/>
      <w:marTop w:val="0"/>
      <w:marBottom w:val="0"/>
      <w:divBdr>
        <w:top w:val="none" w:sz="0" w:space="0" w:color="auto"/>
        <w:left w:val="none" w:sz="0" w:space="0" w:color="auto"/>
        <w:bottom w:val="none" w:sz="0" w:space="0" w:color="auto"/>
        <w:right w:val="none" w:sz="0" w:space="0" w:color="auto"/>
      </w:divBdr>
    </w:div>
    <w:div w:id="1287276350">
      <w:bodyDiv w:val="1"/>
      <w:marLeft w:val="0"/>
      <w:marRight w:val="0"/>
      <w:marTop w:val="0"/>
      <w:marBottom w:val="0"/>
      <w:divBdr>
        <w:top w:val="none" w:sz="0" w:space="0" w:color="auto"/>
        <w:left w:val="none" w:sz="0" w:space="0" w:color="auto"/>
        <w:bottom w:val="none" w:sz="0" w:space="0" w:color="auto"/>
        <w:right w:val="none" w:sz="0" w:space="0" w:color="auto"/>
      </w:divBdr>
    </w:div>
    <w:div w:id="1288047237">
      <w:bodyDiv w:val="1"/>
      <w:marLeft w:val="0"/>
      <w:marRight w:val="0"/>
      <w:marTop w:val="0"/>
      <w:marBottom w:val="0"/>
      <w:divBdr>
        <w:top w:val="none" w:sz="0" w:space="0" w:color="auto"/>
        <w:left w:val="none" w:sz="0" w:space="0" w:color="auto"/>
        <w:bottom w:val="none" w:sz="0" w:space="0" w:color="auto"/>
        <w:right w:val="none" w:sz="0" w:space="0" w:color="auto"/>
      </w:divBdr>
      <w:divsChild>
        <w:div w:id="111679979">
          <w:marLeft w:val="0"/>
          <w:marRight w:val="0"/>
          <w:marTop w:val="0"/>
          <w:marBottom w:val="0"/>
          <w:divBdr>
            <w:top w:val="none" w:sz="0" w:space="0" w:color="auto"/>
            <w:left w:val="none" w:sz="0" w:space="0" w:color="auto"/>
            <w:bottom w:val="none" w:sz="0" w:space="0" w:color="auto"/>
            <w:right w:val="none" w:sz="0" w:space="0" w:color="auto"/>
          </w:divBdr>
        </w:div>
      </w:divsChild>
    </w:div>
    <w:div w:id="1288388856">
      <w:bodyDiv w:val="1"/>
      <w:marLeft w:val="0"/>
      <w:marRight w:val="0"/>
      <w:marTop w:val="0"/>
      <w:marBottom w:val="0"/>
      <w:divBdr>
        <w:top w:val="none" w:sz="0" w:space="0" w:color="auto"/>
        <w:left w:val="none" w:sz="0" w:space="0" w:color="auto"/>
        <w:bottom w:val="none" w:sz="0" w:space="0" w:color="auto"/>
        <w:right w:val="none" w:sz="0" w:space="0" w:color="auto"/>
      </w:divBdr>
    </w:div>
    <w:div w:id="1290404034">
      <w:bodyDiv w:val="1"/>
      <w:marLeft w:val="0"/>
      <w:marRight w:val="0"/>
      <w:marTop w:val="0"/>
      <w:marBottom w:val="0"/>
      <w:divBdr>
        <w:top w:val="none" w:sz="0" w:space="0" w:color="auto"/>
        <w:left w:val="none" w:sz="0" w:space="0" w:color="auto"/>
        <w:bottom w:val="none" w:sz="0" w:space="0" w:color="auto"/>
        <w:right w:val="none" w:sz="0" w:space="0" w:color="auto"/>
      </w:divBdr>
    </w:div>
    <w:div w:id="1315720598">
      <w:bodyDiv w:val="1"/>
      <w:marLeft w:val="0"/>
      <w:marRight w:val="0"/>
      <w:marTop w:val="0"/>
      <w:marBottom w:val="0"/>
      <w:divBdr>
        <w:top w:val="none" w:sz="0" w:space="0" w:color="auto"/>
        <w:left w:val="none" w:sz="0" w:space="0" w:color="auto"/>
        <w:bottom w:val="none" w:sz="0" w:space="0" w:color="auto"/>
        <w:right w:val="none" w:sz="0" w:space="0" w:color="auto"/>
      </w:divBdr>
    </w:div>
    <w:div w:id="1318191764">
      <w:bodyDiv w:val="1"/>
      <w:marLeft w:val="0"/>
      <w:marRight w:val="0"/>
      <w:marTop w:val="0"/>
      <w:marBottom w:val="0"/>
      <w:divBdr>
        <w:top w:val="none" w:sz="0" w:space="0" w:color="auto"/>
        <w:left w:val="none" w:sz="0" w:space="0" w:color="auto"/>
        <w:bottom w:val="none" w:sz="0" w:space="0" w:color="auto"/>
        <w:right w:val="none" w:sz="0" w:space="0" w:color="auto"/>
      </w:divBdr>
    </w:div>
    <w:div w:id="1355766291">
      <w:bodyDiv w:val="1"/>
      <w:marLeft w:val="0"/>
      <w:marRight w:val="0"/>
      <w:marTop w:val="0"/>
      <w:marBottom w:val="0"/>
      <w:divBdr>
        <w:top w:val="none" w:sz="0" w:space="0" w:color="auto"/>
        <w:left w:val="none" w:sz="0" w:space="0" w:color="auto"/>
        <w:bottom w:val="none" w:sz="0" w:space="0" w:color="auto"/>
        <w:right w:val="none" w:sz="0" w:space="0" w:color="auto"/>
      </w:divBdr>
    </w:div>
    <w:div w:id="1355961662">
      <w:bodyDiv w:val="1"/>
      <w:marLeft w:val="0"/>
      <w:marRight w:val="0"/>
      <w:marTop w:val="0"/>
      <w:marBottom w:val="0"/>
      <w:divBdr>
        <w:top w:val="none" w:sz="0" w:space="0" w:color="auto"/>
        <w:left w:val="none" w:sz="0" w:space="0" w:color="auto"/>
        <w:bottom w:val="none" w:sz="0" w:space="0" w:color="auto"/>
        <w:right w:val="none" w:sz="0" w:space="0" w:color="auto"/>
      </w:divBdr>
    </w:div>
    <w:div w:id="1362822168">
      <w:bodyDiv w:val="1"/>
      <w:marLeft w:val="0"/>
      <w:marRight w:val="0"/>
      <w:marTop w:val="0"/>
      <w:marBottom w:val="0"/>
      <w:divBdr>
        <w:top w:val="none" w:sz="0" w:space="0" w:color="auto"/>
        <w:left w:val="none" w:sz="0" w:space="0" w:color="auto"/>
        <w:bottom w:val="none" w:sz="0" w:space="0" w:color="auto"/>
        <w:right w:val="none" w:sz="0" w:space="0" w:color="auto"/>
      </w:divBdr>
    </w:div>
    <w:div w:id="1388214577">
      <w:bodyDiv w:val="1"/>
      <w:marLeft w:val="0"/>
      <w:marRight w:val="0"/>
      <w:marTop w:val="0"/>
      <w:marBottom w:val="0"/>
      <w:divBdr>
        <w:top w:val="none" w:sz="0" w:space="0" w:color="auto"/>
        <w:left w:val="none" w:sz="0" w:space="0" w:color="auto"/>
        <w:bottom w:val="none" w:sz="0" w:space="0" w:color="auto"/>
        <w:right w:val="none" w:sz="0" w:space="0" w:color="auto"/>
      </w:divBdr>
      <w:divsChild>
        <w:div w:id="859125399">
          <w:marLeft w:val="0"/>
          <w:marRight w:val="0"/>
          <w:marTop w:val="0"/>
          <w:marBottom w:val="0"/>
          <w:divBdr>
            <w:top w:val="none" w:sz="0" w:space="0" w:color="auto"/>
            <w:left w:val="none" w:sz="0" w:space="0" w:color="auto"/>
            <w:bottom w:val="none" w:sz="0" w:space="0" w:color="auto"/>
            <w:right w:val="none" w:sz="0" w:space="0" w:color="auto"/>
          </w:divBdr>
        </w:div>
      </w:divsChild>
    </w:div>
    <w:div w:id="1394163210">
      <w:bodyDiv w:val="1"/>
      <w:marLeft w:val="0"/>
      <w:marRight w:val="0"/>
      <w:marTop w:val="0"/>
      <w:marBottom w:val="0"/>
      <w:divBdr>
        <w:top w:val="none" w:sz="0" w:space="0" w:color="auto"/>
        <w:left w:val="none" w:sz="0" w:space="0" w:color="auto"/>
        <w:bottom w:val="none" w:sz="0" w:space="0" w:color="auto"/>
        <w:right w:val="none" w:sz="0" w:space="0" w:color="auto"/>
      </w:divBdr>
    </w:div>
    <w:div w:id="1411392940">
      <w:bodyDiv w:val="1"/>
      <w:marLeft w:val="0"/>
      <w:marRight w:val="0"/>
      <w:marTop w:val="0"/>
      <w:marBottom w:val="0"/>
      <w:divBdr>
        <w:top w:val="none" w:sz="0" w:space="0" w:color="auto"/>
        <w:left w:val="none" w:sz="0" w:space="0" w:color="auto"/>
        <w:bottom w:val="none" w:sz="0" w:space="0" w:color="auto"/>
        <w:right w:val="none" w:sz="0" w:space="0" w:color="auto"/>
      </w:divBdr>
    </w:div>
    <w:div w:id="1417903898">
      <w:bodyDiv w:val="1"/>
      <w:marLeft w:val="0"/>
      <w:marRight w:val="0"/>
      <w:marTop w:val="0"/>
      <w:marBottom w:val="0"/>
      <w:divBdr>
        <w:top w:val="none" w:sz="0" w:space="0" w:color="auto"/>
        <w:left w:val="none" w:sz="0" w:space="0" w:color="auto"/>
        <w:bottom w:val="none" w:sz="0" w:space="0" w:color="auto"/>
        <w:right w:val="none" w:sz="0" w:space="0" w:color="auto"/>
      </w:divBdr>
    </w:div>
    <w:div w:id="1450775992">
      <w:bodyDiv w:val="1"/>
      <w:marLeft w:val="0"/>
      <w:marRight w:val="0"/>
      <w:marTop w:val="0"/>
      <w:marBottom w:val="0"/>
      <w:divBdr>
        <w:top w:val="none" w:sz="0" w:space="0" w:color="auto"/>
        <w:left w:val="none" w:sz="0" w:space="0" w:color="auto"/>
        <w:bottom w:val="none" w:sz="0" w:space="0" w:color="auto"/>
        <w:right w:val="none" w:sz="0" w:space="0" w:color="auto"/>
      </w:divBdr>
    </w:div>
    <w:div w:id="1474521589">
      <w:bodyDiv w:val="1"/>
      <w:marLeft w:val="0"/>
      <w:marRight w:val="0"/>
      <w:marTop w:val="0"/>
      <w:marBottom w:val="0"/>
      <w:divBdr>
        <w:top w:val="none" w:sz="0" w:space="0" w:color="auto"/>
        <w:left w:val="none" w:sz="0" w:space="0" w:color="auto"/>
        <w:bottom w:val="none" w:sz="0" w:space="0" w:color="auto"/>
        <w:right w:val="none" w:sz="0" w:space="0" w:color="auto"/>
      </w:divBdr>
    </w:div>
    <w:div w:id="1474709656">
      <w:bodyDiv w:val="1"/>
      <w:marLeft w:val="0"/>
      <w:marRight w:val="0"/>
      <w:marTop w:val="0"/>
      <w:marBottom w:val="0"/>
      <w:divBdr>
        <w:top w:val="none" w:sz="0" w:space="0" w:color="auto"/>
        <w:left w:val="none" w:sz="0" w:space="0" w:color="auto"/>
        <w:bottom w:val="none" w:sz="0" w:space="0" w:color="auto"/>
        <w:right w:val="none" w:sz="0" w:space="0" w:color="auto"/>
      </w:divBdr>
    </w:div>
    <w:div w:id="1480880977">
      <w:bodyDiv w:val="1"/>
      <w:marLeft w:val="0"/>
      <w:marRight w:val="0"/>
      <w:marTop w:val="0"/>
      <w:marBottom w:val="0"/>
      <w:divBdr>
        <w:top w:val="none" w:sz="0" w:space="0" w:color="auto"/>
        <w:left w:val="none" w:sz="0" w:space="0" w:color="auto"/>
        <w:bottom w:val="none" w:sz="0" w:space="0" w:color="auto"/>
        <w:right w:val="none" w:sz="0" w:space="0" w:color="auto"/>
      </w:divBdr>
    </w:div>
    <w:div w:id="1494027023">
      <w:bodyDiv w:val="1"/>
      <w:marLeft w:val="0"/>
      <w:marRight w:val="0"/>
      <w:marTop w:val="0"/>
      <w:marBottom w:val="0"/>
      <w:divBdr>
        <w:top w:val="none" w:sz="0" w:space="0" w:color="auto"/>
        <w:left w:val="none" w:sz="0" w:space="0" w:color="auto"/>
        <w:bottom w:val="none" w:sz="0" w:space="0" w:color="auto"/>
        <w:right w:val="none" w:sz="0" w:space="0" w:color="auto"/>
      </w:divBdr>
    </w:div>
    <w:div w:id="1500196879">
      <w:bodyDiv w:val="1"/>
      <w:marLeft w:val="0"/>
      <w:marRight w:val="0"/>
      <w:marTop w:val="0"/>
      <w:marBottom w:val="0"/>
      <w:divBdr>
        <w:top w:val="none" w:sz="0" w:space="0" w:color="auto"/>
        <w:left w:val="none" w:sz="0" w:space="0" w:color="auto"/>
        <w:bottom w:val="none" w:sz="0" w:space="0" w:color="auto"/>
        <w:right w:val="none" w:sz="0" w:space="0" w:color="auto"/>
      </w:divBdr>
    </w:div>
    <w:div w:id="1519199157">
      <w:bodyDiv w:val="1"/>
      <w:marLeft w:val="0"/>
      <w:marRight w:val="0"/>
      <w:marTop w:val="0"/>
      <w:marBottom w:val="0"/>
      <w:divBdr>
        <w:top w:val="none" w:sz="0" w:space="0" w:color="auto"/>
        <w:left w:val="none" w:sz="0" w:space="0" w:color="auto"/>
        <w:bottom w:val="none" w:sz="0" w:space="0" w:color="auto"/>
        <w:right w:val="none" w:sz="0" w:space="0" w:color="auto"/>
      </w:divBdr>
    </w:div>
    <w:div w:id="1569226456">
      <w:bodyDiv w:val="1"/>
      <w:marLeft w:val="0"/>
      <w:marRight w:val="0"/>
      <w:marTop w:val="0"/>
      <w:marBottom w:val="0"/>
      <w:divBdr>
        <w:top w:val="none" w:sz="0" w:space="0" w:color="auto"/>
        <w:left w:val="none" w:sz="0" w:space="0" w:color="auto"/>
        <w:bottom w:val="none" w:sz="0" w:space="0" w:color="auto"/>
        <w:right w:val="none" w:sz="0" w:space="0" w:color="auto"/>
      </w:divBdr>
    </w:div>
    <w:div w:id="1599486988">
      <w:bodyDiv w:val="1"/>
      <w:marLeft w:val="0"/>
      <w:marRight w:val="0"/>
      <w:marTop w:val="0"/>
      <w:marBottom w:val="0"/>
      <w:divBdr>
        <w:top w:val="none" w:sz="0" w:space="0" w:color="auto"/>
        <w:left w:val="none" w:sz="0" w:space="0" w:color="auto"/>
        <w:bottom w:val="none" w:sz="0" w:space="0" w:color="auto"/>
        <w:right w:val="none" w:sz="0" w:space="0" w:color="auto"/>
      </w:divBdr>
    </w:div>
    <w:div w:id="1614945569">
      <w:bodyDiv w:val="1"/>
      <w:marLeft w:val="0"/>
      <w:marRight w:val="0"/>
      <w:marTop w:val="0"/>
      <w:marBottom w:val="0"/>
      <w:divBdr>
        <w:top w:val="none" w:sz="0" w:space="0" w:color="auto"/>
        <w:left w:val="none" w:sz="0" w:space="0" w:color="auto"/>
        <w:bottom w:val="none" w:sz="0" w:space="0" w:color="auto"/>
        <w:right w:val="none" w:sz="0" w:space="0" w:color="auto"/>
      </w:divBdr>
    </w:div>
    <w:div w:id="1638023686">
      <w:bodyDiv w:val="1"/>
      <w:marLeft w:val="0"/>
      <w:marRight w:val="0"/>
      <w:marTop w:val="0"/>
      <w:marBottom w:val="0"/>
      <w:divBdr>
        <w:top w:val="none" w:sz="0" w:space="0" w:color="auto"/>
        <w:left w:val="none" w:sz="0" w:space="0" w:color="auto"/>
        <w:bottom w:val="none" w:sz="0" w:space="0" w:color="auto"/>
        <w:right w:val="none" w:sz="0" w:space="0" w:color="auto"/>
      </w:divBdr>
    </w:div>
    <w:div w:id="1648700522">
      <w:bodyDiv w:val="1"/>
      <w:marLeft w:val="0"/>
      <w:marRight w:val="0"/>
      <w:marTop w:val="0"/>
      <w:marBottom w:val="0"/>
      <w:divBdr>
        <w:top w:val="none" w:sz="0" w:space="0" w:color="auto"/>
        <w:left w:val="none" w:sz="0" w:space="0" w:color="auto"/>
        <w:bottom w:val="none" w:sz="0" w:space="0" w:color="auto"/>
        <w:right w:val="none" w:sz="0" w:space="0" w:color="auto"/>
      </w:divBdr>
      <w:divsChild>
        <w:div w:id="1124738870">
          <w:marLeft w:val="0"/>
          <w:marRight w:val="0"/>
          <w:marTop w:val="0"/>
          <w:marBottom w:val="0"/>
          <w:divBdr>
            <w:top w:val="none" w:sz="0" w:space="0" w:color="auto"/>
            <w:left w:val="none" w:sz="0" w:space="0" w:color="auto"/>
            <w:bottom w:val="none" w:sz="0" w:space="0" w:color="auto"/>
            <w:right w:val="none" w:sz="0" w:space="0" w:color="auto"/>
          </w:divBdr>
        </w:div>
      </w:divsChild>
    </w:div>
    <w:div w:id="1660497559">
      <w:bodyDiv w:val="1"/>
      <w:marLeft w:val="0"/>
      <w:marRight w:val="0"/>
      <w:marTop w:val="0"/>
      <w:marBottom w:val="0"/>
      <w:divBdr>
        <w:top w:val="none" w:sz="0" w:space="0" w:color="auto"/>
        <w:left w:val="none" w:sz="0" w:space="0" w:color="auto"/>
        <w:bottom w:val="none" w:sz="0" w:space="0" w:color="auto"/>
        <w:right w:val="none" w:sz="0" w:space="0" w:color="auto"/>
      </w:divBdr>
    </w:div>
    <w:div w:id="1660814679">
      <w:bodyDiv w:val="1"/>
      <w:marLeft w:val="0"/>
      <w:marRight w:val="0"/>
      <w:marTop w:val="0"/>
      <w:marBottom w:val="0"/>
      <w:divBdr>
        <w:top w:val="none" w:sz="0" w:space="0" w:color="auto"/>
        <w:left w:val="none" w:sz="0" w:space="0" w:color="auto"/>
        <w:bottom w:val="none" w:sz="0" w:space="0" w:color="auto"/>
        <w:right w:val="none" w:sz="0" w:space="0" w:color="auto"/>
      </w:divBdr>
    </w:div>
    <w:div w:id="1669216219">
      <w:bodyDiv w:val="1"/>
      <w:marLeft w:val="0"/>
      <w:marRight w:val="0"/>
      <w:marTop w:val="0"/>
      <w:marBottom w:val="0"/>
      <w:divBdr>
        <w:top w:val="none" w:sz="0" w:space="0" w:color="auto"/>
        <w:left w:val="none" w:sz="0" w:space="0" w:color="auto"/>
        <w:bottom w:val="none" w:sz="0" w:space="0" w:color="auto"/>
        <w:right w:val="none" w:sz="0" w:space="0" w:color="auto"/>
      </w:divBdr>
    </w:div>
    <w:div w:id="1672757176">
      <w:bodyDiv w:val="1"/>
      <w:marLeft w:val="0"/>
      <w:marRight w:val="0"/>
      <w:marTop w:val="0"/>
      <w:marBottom w:val="0"/>
      <w:divBdr>
        <w:top w:val="none" w:sz="0" w:space="0" w:color="auto"/>
        <w:left w:val="none" w:sz="0" w:space="0" w:color="auto"/>
        <w:bottom w:val="none" w:sz="0" w:space="0" w:color="auto"/>
        <w:right w:val="none" w:sz="0" w:space="0" w:color="auto"/>
      </w:divBdr>
    </w:div>
    <w:div w:id="1675500195">
      <w:bodyDiv w:val="1"/>
      <w:marLeft w:val="0"/>
      <w:marRight w:val="0"/>
      <w:marTop w:val="0"/>
      <w:marBottom w:val="0"/>
      <w:divBdr>
        <w:top w:val="none" w:sz="0" w:space="0" w:color="auto"/>
        <w:left w:val="none" w:sz="0" w:space="0" w:color="auto"/>
        <w:bottom w:val="none" w:sz="0" w:space="0" w:color="auto"/>
        <w:right w:val="none" w:sz="0" w:space="0" w:color="auto"/>
      </w:divBdr>
    </w:div>
    <w:div w:id="1688209580">
      <w:bodyDiv w:val="1"/>
      <w:marLeft w:val="0"/>
      <w:marRight w:val="0"/>
      <w:marTop w:val="0"/>
      <w:marBottom w:val="0"/>
      <w:divBdr>
        <w:top w:val="none" w:sz="0" w:space="0" w:color="auto"/>
        <w:left w:val="none" w:sz="0" w:space="0" w:color="auto"/>
        <w:bottom w:val="none" w:sz="0" w:space="0" w:color="auto"/>
        <w:right w:val="none" w:sz="0" w:space="0" w:color="auto"/>
      </w:divBdr>
    </w:div>
    <w:div w:id="1706326875">
      <w:bodyDiv w:val="1"/>
      <w:marLeft w:val="0"/>
      <w:marRight w:val="0"/>
      <w:marTop w:val="0"/>
      <w:marBottom w:val="0"/>
      <w:divBdr>
        <w:top w:val="none" w:sz="0" w:space="0" w:color="auto"/>
        <w:left w:val="none" w:sz="0" w:space="0" w:color="auto"/>
        <w:bottom w:val="none" w:sz="0" w:space="0" w:color="auto"/>
        <w:right w:val="none" w:sz="0" w:space="0" w:color="auto"/>
      </w:divBdr>
    </w:div>
    <w:div w:id="1709911429">
      <w:bodyDiv w:val="1"/>
      <w:marLeft w:val="0"/>
      <w:marRight w:val="0"/>
      <w:marTop w:val="0"/>
      <w:marBottom w:val="0"/>
      <w:divBdr>
        <w:top w:val="none" w:sz="0" w:space="0" w:color="auto"/>
        <w:left w:val="none" w:sz="0" w:space="0" w:color="auto"/>
        <w:bottom w:val="none" w:sz="0" w:space="0" w:color="auto"/>
        <w:right w:val="none" w:sz="0" w:space="0" w:color="auto"/>
      </w:divBdr>
    </w:div>
    <w:div w:id="1714118258">
      <w:bodyDiv w:val="1"/>
      <w:marLeft w:val="0"/>
      <w:marRight w:val="0"/>
      <w:marTop w:val="0"/>
      <w:marBottom w:val="0"/>
      <w:divBdr>
        <w:top w:val="none" w:sz="0" w:space="0" w:color="auto"/>
        <w:left w:val="none" w:sz="0" w:space="0" w:color="auto"/>
        <w:bottom w:val="none" w:sz="0" w:space="0" w:color="auto"/>
        <w:right w:val="none" w:sz="0" w:space="0" w:color="auto"/>
      </w:divBdr>
    </w:div>
    <w:div w:id="1714383707">
      <w:bodyDiv w:val="1"/>
      <w:marLeft w:val="0"/>
      <w:marRight w:val="0"/>
      <w:marTop w:val="0"/>
      <w:marBottom w:val="0"/>
      <w:divBdr>
        <w:top w:val="none" w:sz="0" w:space="0" w:color="auto"/>
        <w:left w:val="none" w:sz="0" w:space="0" w:color="auto"/>
        <w:bottom w:val="none" w:sz="0" w:space="0" w:color="auto"/>
        <w:right w:val="none" w:sz="0" w:space="0" w:color="auto"/>
      </w:divBdr>
    </w:div>
    <w:div w:id="1723677598">
      <w:bodyDiv w:val="1"/>
      <w:marLeft w:val="0"/>
      <w:marRight w:val="0"/>
      <w:marTop w:val="0"/>
      <w:marBottom w:val="0"/>
      <w:divBdr>
        <w:top w:val="none" w:sz="0" w:space="0" w:color="auto"/>
        <w:left w:val="none" w:sz="0" w:space="0" w:color="auto"/>
        <w:bottom w:val="none" w:sz="0" w:space="0" w:color="auto"/>
        <w:right w:val="none" w:sz="0" w:space="0" w:color="auto"/>
      </w:divBdr>
    </w:div>
    <w:div w:id="1739015735">
      <w:bodyDiv w:val="1"/>
      <w:marLeft w:val="0"/>
      <w:marRight w:val="0"/>
      <w:marTop w:val="0"/>
      <w:marBottom w:val="0"/>
      <w:divBdr>
        <w:top w:val="none" w:sz="0" w:space="0" w:color="auto"/>
        <w:left w:val="none" w:sz="0" w:space="0" w:color="auto"/>
        <w:bottom w:val="none" w:sz="0" w:space="0" w:color="auto"/>
        <w:right w:val="none" w:sz="0" w:space="0" w:color="auto"/>
      </w:divBdr>
    </w:div>
    <w:div w:id="1762096944">
      <w:bodyDiv w:val="1"/>
      <w:marLeft w:val="0"/>
      <w:marRight w:val="0"/>
      <w:marTop w:val="0"/>
      <w:marBottom w:val="0"/>
      <w:divBdr>
        <w:top w:val="none" w:sz="0" w:space="0" w:color="auto"/>
        <w:left w:val="none" w:sz="0" w:space="0" w:color="auto"/>
        <w:bottom w:val="none" w:sz="0" w:space="0" w:color="auto"/>
        <w:right w:val="none" w:sz="0" w:space="0" w:color="auto"/>
      </w:divBdr>
    </w:div>
    <w:div w:id="1765687436">
      <w:bodyDiv w:val="1"/>
      <w:marLeft w:val="0"/>
      <w:marRight w:val="0"/>
      <w:marTop w:val="0"/>
      <w:marBottom w:val="0"/>
      <w:divBdr>
        <w:top w:val="none" w:sz="0" w:space="0" w:color="auto"/>
        <w:left w:val="none" w:sz="0" w:space="0" w:color="auto"/>
        <w:bottom w:val="none" w:sz="0" w:space="0" w:color="auto"/>
        <w:right w:val="none" w:sz="0" w:space="0" w:color="auto"/>
      </w:divBdr>
    </w:div>
    <w:div w:id="1775058306">
      <w:bodyDiv w:val="1"/>
      <w:marLeft w:val="0"/>
      <w:marRight w:val="0"/>
      <w:marTop w:val="0"/>
      <w:marBottom w:val="0"/>
      <w:divBdr>
        <w:top w:val="none" w:sz="0" w:space="0" w:color="auto"/>
        <w:left w:val="none" w:sz="0" w:space="0" w:color="auto"/>
        <w:bottom w:val="none" w:sz="0" w:space="0" w:color="auto"/>
        <w:right w:val="none" w:sz="0" w:space="0" w:color="auto"/>
      </w:divBdr>
    </w:div>
    <w:div w:id="1775784287">
      <w:bodyDiv w:val="1"/>
      <w:marLeft w:val="0"/>
      <w:marRight w:val="0"/>
      <w:marTop w:val="0"/>
      <w:marBottom w:val="0"/>
      <w:divBdr>
        <w:top w:val="none" w:sz="0" w:space="0" w:color="auto"/>
        <w:left w:val="none" w:sz="0" w:space="0" w:color="auto"/>
        <w:bottom w:val="none" w:sz="0" w:space="0" w:color="auto"/>
        <w:right w:val="none" w:sz="0" w:space="0" w:color="auto"/>
      </w:divBdr>
    </w:div>
    <w:div w:id="1785075376">
      <w:bodyDiv w:val="1"/>
      <w:marLeft w:val="0"/>
      <w:marRight w:val="0"/>
      <w:marTop w:val="0"/>
      <w:marBottom w:val="0"/>
      <w:divBdr>
        <w:top w:val="none" w:sz="0" w:space="0" w:color="auto"/>
        <w:left w:val="none" w:sz="0" w:space="0" w:color="auto"/>
        <w:bottom w:val="none" w:sz="0" w:space="0" w:color="auto"/>
        <w:right w:val="none" w:sz="0" w:space="0" w:color="auto"/>
      </w:divBdr>
    </w:div>
    <w:div w:id="1798600179">
      <w:bodyDiv w:val="1"/>
      <w:marLeft w:val="0"/>
      <w:marRight w:val="0"/>
      <w:marTop w:val="0"/>
      <w:marBottom w:val="0"/>
      <w:divBdr>
        <w:top w:val="none" w:sz="0" w:space="0" w:color="auto"/>
        <w:left w:val="none" w:sz="0" w:space="0" w:color="auto"/>
        <w:bottom w:val="none" w:sz="0" w:space="0" w:color="auto"/>
        <w:right w:val="none" w:sz="0" w:space="0" w:color="auto"/>
      </w:divBdr>
    </w:div>
    <w:div w:id="1836649100">
      <w:bodyDiv w:val="1"/>
      <w:marLeft w:val="0"/>
      <w:marRight w:val="0"/>
      <w:marTop w:val="0"/>
      <w:marBottom w:val="0"/>
      <w:divBdr>
        <w:top w:val="none" w:sz="0" w:space="0" w:color="auto"/>
        <w:left w:val="none" w:sz="0" w:space="0" w:color="auto"/>
        <w:bottom w:val="none" w:sz="0" w:space="0" w:color="auto"/>
        <w:right w:val="none" w:sz="0" w:space="0" w:color="auto"/>
      </w:divBdr>
    </w:div>
    <w:div w:id="1839616128">
      <w:bodyDiv w:val="1"/>
      <w:marLeft w:val="0"/>
      <w:marRight w:val="0"/>
      <w:marTop w:val="0"/>
      <w:marBottom w:val="0"/>
      <w:divBdr>
        <w:top w:val="none" w:sz="0" w:space="0" w:color="auto"/>
        <w:left w:val="none" w:sz="0" w:space="0" w:color="auto"/>
        <w:bottom w:val="none" w:sz="0" w:space="0" w:color="auto"/>
        <w:right w:val="none" w:sz="0" w:space="0" w:color="auto"/>
      </w:divBdr>
    </w:div>
    <w:div w:id="1840806679">
      <w:bodyDiv w:val="1"/>
      <w:marLeft w:val="0"/>
      <w:marRight w:val="0"/>
      <w:marTop w:val="0"/>
      <w:marBottom w:val="0"/>
      <w:divBdr>
        <w:top w:val="none" w:sz="0" w:space="0" w:color="auto"/>
        <w:left w:val="none" w:sz="0" w:space="0" w:color="auto"/>
        <w:bottom w:val="none" w:sz="0" w:space="0" w:color="auto"/>
        <w:right w:val="none" w:sz="0" w:space="0" w:color="auto"/>
      </w:divBdr>
    </w:div>
    <w:div w:id="1842045491">
      <w:bodyDiv w:val="1"/>
      <w:marLeft w:val="0"/>
      <w:marRight w:val="0"/>
      <w:marTop w:val="0"/>
      <w:marBottom w:val="0"/>
      <w:divBdr>
        <w:top w:val="none" w:sz="0" w:space="0" w:color="auto"/>
        <w:left w:val="none" w:sz="0" w:space="0" w:color="auto"/>
        <w:bottom w:val="none" w:sz="0" w:space="0" w:color="auto"/>
        <w:right w:val="none" w:sz="0" w:space="0" w:color="auto"/>
      </w:divBdr>
    </w:div>
    <w:div w:id="1861240334">
      <w:bodyDiv w:val="1"/>
      <w:marLeft w:val="0"/>
      <w:marRight w:val="0"/>
      <w:marTop w:val="0"/>
      <w:marBottom w:val="0"/>
      <w:divBdr>
        <w:top w:val="none" w:sz="0" w:space="0" w:color="auto"/>
        <w:left w:val="none" w:sz="0" w:space="0" w:color="auto"/>
        <w:bottom w:val="none" w:sz="0" w:space="0" w:color="auto"/>
        <w:right w:val="none" w:sz="0" w:space="0" w:color="auto"/>
      </w:divBdr>
    </w:div>
    <w:div w:id="1883394417">
      <w:bodyDiv w:val="1"/>
      <w:marLeft w:val="0"/>
      <w:marRight w:val="0"/>
      <w:marTop w:val="0"/>
      <w:marBottom w:val="0"/>
      <w:divBdr>
        <w:top w:val="none" w:sz="0" w:space="0" w:color="auto"/>
        <w:left w:val="none" w:sz="0" w:space="0" w:color="auto"/>
        <w:bottom w:val="none" w:sz="0" w:space="0" w:color="auto"/>
        <w:right w:val="none" w:sz="0" w:space="0" w:color="auto"/>
      </w:divBdr>
    </w:div>
    <w:div w:id="1894197801">
      <w:bodyDiv w:val="1"/>
      <w:marLeft w:val="0"/>
      <w:marRight w:val="0"/>
      <w:marTop w:val="0"/>
      <w:marBottom w:val="0"/>
      <w:divBdr>
        <w:top w:val="none" w:sz="0" w:space="0" w:color="auto"/>
        <w:left w:val="none" w:sz="0" w:space="0" w:color="auto"/>
        <w:bottom w:val="none" w:sz="0" w:space="0" w:color="auto"/>
        <w:right w:val="none" w:sz="0" w:space="0" w:color="auto"/>
      </w:divBdr>
    </w:div>
    <w:div w:id="1908613594">
      <w:bodyDiv w:val="1"/>
      <w:marLeft w:val="0"/>
      <w:marRight w:val="0"/>
      <w:marTop w:val="0"/>
      <w:marBottom w:val="0"/>
      <w:divBdr>
        <w:top w:val="none" w:sz="0" w:space="0" w:color="auto"/>
        <w:left w:val="none" w:sz="0" w:space="0" w:color="auto"/>
        <w:bottom w:val="none" w:sz="0" w:space="0" w:color="auto"/>
        <w:right w:val="none" w:sz="0" w:space="0" w:color="auto"/>
      </w:divBdr>
    </w:div>
    <w:div w:id="1916931386">
      <w:bodyDiv w:val="1"/>
      <w:marLeft w:val="0"/>
      <w:marRight w:val="0"/>
      <w:marTop w:val="0"/>
      <w:marBottom w:val="0"/>
      <w:divBdr>
        <w:top w:val="none" w:sz="0" w:space="0" w:color="auto"/>
        <w:left w:val="none" w:sz="0" w:space="0" w:color="auto"/>
        <w:bottom w:val="none" w:sz="0" w:space="0" w:color="auto"/>
        <w:right w:val="none" w:sz="0" w:space="0" w:color="auto"/>
      </w:divBdr>
    </w:div>
    <w:div w:id="1937863252">
      <w:bodyDiv w:val="1"/>
      <w:marLeft w:val="0"/>
      <w:marRight w:val="0"/>
      <w:marTop w:val="0"/>
      <w:marBottom w:val="0"/>
      <w:divBdr>
        <w:top w:val="none" w:sz="0" w:space="0" w:color="auto"/>
        <w:left w:val="none" w:sz="0" w:space="0" w:color="auto"/>
        <w:bottom w:val="none" w:sz="0" w:space="0" w:color="auto"/>
        <w:right w:val="none" w:sz="0" w:space="0" w:color="auto"/>
      </w:divBdr>
    </w:div>
    <w:div w:id="2004385113">
      <w:bodyDiv w:val="1"/>
      <w:marLeft w:val="0"/>
      <w:marRight w:val="0"/>
      <w:marTop w:val="0"/>
      <w:marBottom w:val="0"/>
      <w:divBdr>
        <w:top w:val="none" w:sz="0" w:space="0" w:color="auto"/>
        <w:left w:val="none" w:sz="0" w:space="0" w:color="auto"/>
        <w:bottom w:val="none" w:sz="0" w:space="0" w:color="auto"/>
        <w:right w:val="none" w:sz="0" w:space="0" w:color="auto"/>
      </w:divBdr>
    </w:div>
    <w:div w:id="2019233640">
      <w:bodyDiv w:val="1"/>
      <w:marLeft w:val="0"/>
      <w:marRight w:val="0"/>
      <w:marTop w:val="0"/>
      <w:marBottom w:val="0"/>
      <w:divBdr>
        <w:top w:val="none" w:sz="0" w:space="0" w:color="auto"/>
        <w:left w:val="none" w:sz="0" w:space="0" w:color="auto"/>
        <w:bottom w:val="none" w:sz="0" w:space="0" w:color="auto"/>
        <w:right w:val="none" w:sz="0" w:space="0" w:color="auto"/>
      </w:divBdr>
    </w:div>
    <w:div w:id="2024090852">
      <w:bodyDiv w:val="1"/>
      <w:marLeft w:val="0"/>
      <w:marRight w:val="0"/>
      <w:marTop w:val="0"/>
      <w:marBottom w:val="0"/>
      <w:divBdr>
        <w:top w:val="none" w:sz="0" w:space="0" w:color="auto"/>
        <w:left w:val="none" w:sz="0" w:space="0" w:color="auto"/>
        <w:bottom w:val="none" w:sz="0" w:space="0" w:color="auto"/>
        <w:right w:val="none" w:sz="0" w:space="0" w:color="auto"/>
      </w:divBdr>
    </w:div>
    <w:div w:id="2034918745">
      <w:bodyDiv w:val="1"/>
      <w:marLeft w:val="0"/>
      <w:marRight w:val="0"/>
      <w:marTop w:val="0"/>
      <w:marBottom w:val="0"/>
      <w:divBdr>
        <w:top w:val="none" w:sz="0" w:space="0" w:color="auto"/>
        <w:left w:val="none" w:sz="0" w:space="0" w:color="auto"/>
        <w:bottom w:val="none" w:sz="0" w:space="0" w:color="auto"/>
        <w:right w:val="none" w:sz="0" w:space="0" w:color="auto"/>
      </w:divBdr>
    </w:div>
    <w:div w:id="2045592944">
      <w:bodyDiv w:val="1"/>
      <w:marLeft w:val="0"/>
      <w:marRight w:val="0"/>
      <w:marTop w:val="0"/>
      <w:marBottom w:val="0"/>
      <w:divBdr>
        <w:top w:val="none" w:sz="0" w:space="0" w:color="auto"/>
        <w:left w:val="none" w:sz="0" w:space="0" w:color="auto"/>
        <w:bottom w:val="none" w:sz="0" w:space="0" w:color="auto"/>
        <w:right w:val="none" w:sz="0" w:space="0" w:color="auto"/>
      </w:divBdr>
    </w:div>
    <w:div w:id="2065176386">
      <w:bodyDiv w:val="1"/>
      <w:marLeft w:val="0"/>
      <w:marRight w:val="0"/>
      <w:marTop w:val="0"/>
      <w:marBottom w:val="0"/>
      <w:divBdr>
        <w:top w:val="none" w:sz="0" w:space="0" w:color="auto"/>
        <w:left w:val="none" w:sz="0" w:space="0" w:color="auto"/>
        <w:bottom w:val="none" w:sz="0" w:space="0" w:color="auto"/>
        <w:right w:val="none" w:sz="0" w:space="0" w:color="auto"/>
      </w:divBdr>
    </w:div>
    <w:div w:id="2086297183">
      <w:bodyDiv w:val="1"/>
      <w:marLeft w:val="0"/>
      <w:marRight w:val="0"/>
      <w:marTop w:val="0"/>
      <w:marBottom w:val="0"/>
      <w:divBdr>
        <w:top w:val="none" w:sz="0" w:space="0" w:color="auto"/>
        <w:left w:val="none" w:sz="0" w:space="0" w:color="auto"/>
        <w:bottom w:val="none" w:sz="0" w:space="0" w:color="auto"/>
        <w:right w:val="none" w:sz="0" w:space="0" w:color="auto"/>
      </w:divBdr>
    </w:div>
    <w:div w:id="2090495717">
      <w:bodyDiv w:val="1"/>
      <w:marLeft w:val="0"/>
      <w:marRight w:val="0"/>
      <w:marTop w:val="0"/>
      <w:marBottom w:val="0"/>
      <w:divBdr>
        <w:top w:val="none" w:sz="0" w:space="0" w:color="auto"/>
        <w:left w:val="none" w:sz="0" w:space="0" w:color="auto"/>
        <w:bottom w:val="none" w:sz="0" w:space="0" w:color="auto"/>
        <w:right w:val="none" w:sz="0" w:space="0" w:color="auto"/>
      </w:divBdr>
    </w:div>
    <w:div w:id="2107459495">
      <w:bodyDiv w:val="1"/>
      <w:marLeft w:val="0"/>
      <w:marRight w:val="0"/>
      <w:marTop w:val="0"/>
      <w:marBottom w:val="0"/>
      <w:divBdr>
        <w:top w:val="none" w:sz="0" w:space="0" w:color="auto"/>
        <w:left w:val="none" w:sz="0" w:space="0" w:color="auto"/>
        <w:bottom w:val="none" w:sz="0" w:space="0" w:color="auto"/>
        <w:right w:val="none" w:sz="0" w:space="0" w:color="auto"/>
      </w:divBdr>
    </w:div>
    <w:div w:id="2110422544">
      <w:bodyDiv w:val="1"/>
      <w:marLeft w:val="0"/>
      <w:marRight w:val="0"/>
      <w:marTop w:val="0"/>
      <w:marBottom w:val="0"/>
      <w:divBdr>
        <w:top w:val="none" w:sz="0" w:space="0" w:color="auto"/>
        <w:left w:val="none" w:sz="0" w:space="0" w:color="auto"/>
        <w:bottom w:val="none" w:sz="0" w:space="0" w:color="auto"/>
        <w:right w:val="none" w:sz="0" w:space="0" w:color="auto"/>
      </w:divBdr>
    </w:div>
    <w:div w:id="2124568664">
      <w:bodyDiv w:val="1"/>
      <w:marLeft w:val="0"/>
      <w:marRight w:val="0"/>
      <w:marTop w:val="0"/>
      <w:marBottom w:val="0"/>
      <w:divBdr>
        <w:top w:val="none" w:sz="0" w:space="0" w:color="auto"/>
        <w:left w:val="none" w:sz="0" w:space="0" w:color="auto"/>
        <w:bottom w:val="none" w:sz="0" w:space="0" w:color="auto"/>
        <w:right w:val="none" w:sz="0" w:space="0" w:color="auto"/>
      </w:divBdr>
    </w:div>
    <w:div w:id="2134397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3.png"/><Relationship Id="rId39" Type="http://schemas.openxmlformats.org/officeDocument/2006/relationships/chart" Target="charts/chart2.xml"/><Relationship Id="rId21" Type="http://schemas.openxmlformats.org/officeDocument/2006/relationships/footer" Target="footer5.xml"/><Relationship Id="rId34" Type="http://schemas.openxmlformats.org/officeDocument/2006/relationships/image" Target="media/image7.png"/><Relationship Id="rId42" Type="http://schemas.openxmlformats.org/officeDocument/2006/relationships/chart" Target="charts/chart5.xml"/><Relationship Id="rId47" Type="http://schemas.openxmlformats.org/officeDocument/2006/relationships/footer" Target="footer8.xml"/><Relationship Id="rId50" Type="http://schemas.openxmlformats.org/officeDocument/2006/relationships/header" Target="header10.xml"/><Relationship Id="rId55"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svg"/><Relationship Id="rId33" Type="http://schemas.openxmlformats.org/officeDocument/2006/relationships/image" Target="media/image11.svg"/><Relationship Id="rId38" Type="http://schemas.openxmlformats.org/officeDocument/2006/relationships/chart" Target="charts/chart1.xml"/><Relationship Id="rId46"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svg"/><Relationship Id="rId41" Type="http://schemas.openxmlformats.org/officeDocument/2006/relationships/chart" Target="charts/chart4.xml"/><Relationship Id="rId54"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image" Target="media/image6.png"/><Relationship Id="rId37" Type="http://schemas.openxmlformats.org/officeDocument/2006/relationships/hyperlink" Target="https://commission.europa.eu/document/download/402c1eae-6127-4982-bd78-ed8a1a1b427a_en?filename=2025%20NGEU%20Green%20Bonds%20Allocation%20and%20Impact%20Report.pdf" TargetMode="External"/><Relationship Id="rId40" Type="http://schemas.openxmlformats.org/officeDocument/2006/relationships/chart" Target="charts/chart3.xml"/><Relationship Id="rId45" Type="http://schemas.openxmlformats.org/officeDocument/2006/relationships/header" Target="header8.xml"/><Relationship Id="rId53"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4.png"/><Relationship Id="rId36" Type="http://schemas.openxmlformats.org/officeDocument/2006/relationships/hyperlink" Target="https://economy-finance.ec.europa.eu/eu-financial-assistance/euro-area-countries/european-financial-stabilisation-mechanism-efsm_en" TargetMode="External"/><Relationship Id="rId49" Type="http://schemas.openxmlformats.org/officeDocument/2006/relationships/footer" Target="footer9.xm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9.svg"/><Relationship Id="rId44" Type="http://schemas.openxmlformats.org/officeDocument/2006/relationships/header" Target="header7.xml"/><Relationship Id="rId52"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svg"/><Relationship Id="rId30" Type="http://schemas.openxmlformats.org/officeDocument/2006/relationships/image" Target="media/image5.png"/><Relationship Id="rId35" Type="http://schemas.openxmlformats.org/officeDocument/2006/relationships/image" Target="media/image13.svg"/><Relationship Id="rId43" Type="http://schemas.openxmlformats.org/officeDocument/2006/relationships/hyperlink" Target="https://commission.europa.eu/document/download/402c1eae-6127-4982-bd78-ed8a1a1b427a_en?filename=2025%20NGEU%20Green%20Bonds%20Allocation%20and%20Impact%20Report.pdf" TargetMode="External"/><Relationship Id="rId48" Type="http://schemas.openxmlformats.org/officeDocument/2006/relationships/header" Target="header9.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1.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strategy-and-policy/eu-budget/eu-borrower-investor-relations/nextgenerationeu-green-bonds/dashboard_en" TargetMode="External"/><Relationship Id="rId3" Type="http://schemas.openxmlformats.org/officeDocument/2006/relationships/hyperlink" Target="https://commission.europa.eu/document/download/402c1eae-6127-4982-bd78-ed8a1a1b427a_en?filename=2025%20NGEU%20Green%20Bonds%20Allocation%20and%20Impact%20Report.pdf" TargetMode="External"/><Relationship Id="rId7" Type="http://schemas.openxmlformats.org/officeDocument/2006/relationships/hyperlink" Target="https://commission.europa.eu/system/files/2023-07/Fourth%20half-yearly%20report%20on%20the%20execution%20of%20the%20EU%20borrowing%20and%20lending%20operations.PDF" TargetMode="External"/><Relationship Id="rId2" Type="http://schemas.openxmlformats.org/officeDocument/2006/relationships/hyperlink" Target="https://eur-lex.europa.eu/legal-content/EN/TXT/PDF/?uri=CELEX:52025DC0330" TargetMode="External"/><Relationship Id="rId1" Type="http://schemas.openxmlformats.org/officeDocument/2006/relationships/hyperlink" Target="https://eur-lex.europa.eu/legal-content/EN/TXT/PDF/?uri=CELEX:52025DC0637" TargetMode="External"/><Relationship Id="rId6" Type="http://schemas.openxmlformats.org/officeDocument/2006/relationships/hyperlink" Target="https://www.eca.europa.eu/Lists/ECAReplies/COM-Replies-SR-2023-16/COM-Replies-SR-2023-16_EN.pdf" TargetMode="External"/><Relationship Id="rId5" Type="http://schemas.openxmlformats.org/officeDocument/2006/relationships/hyperlink" Target="https://www.eca.europa.eu/ECAPublications/SR-2023-16/SR-2023-16_EN.pdf" TargetMode="External"/><Relationship Id="rId4" Type="http://schemas.openxmlformats.org/officeDocument/2006/relationships/hyperlink" Target="https://commission.europa.eu/document/download/abdee617-a078-4ee3-a3ec-20c7d32725b5_en?filename=NextGenerationEU%20Green%20Bonds%20Allocation%20and%20Impact%20Report%202024.pdf" TargetMode="External"/><Relationship Id="rId9" Type="http://schemas.openxmlformats.org/officeDocument/2006/relationships/hyperlink" Target="https://commission.europa.eu/strategy-and-policy/eu-budget/eu-borrower-investor-relations/nextgenerationeu-green-bonds/dashboard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BUDG\Public\NGEU%20Workstreams\_WS10_NGEU_Reporting\Semi-Annual%20Report\2025%20H2\Charts%20H2%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BUDG\Public\NGEU%20Workstreams\_WS10_NGEU_Reporting\Semi-Annual%20Report\2025%20H2\Charts%20H2%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BUDG\Public\NGEU%20Workstreams\_WS10_NGEU_Reporting\Semi-Annual%20Report\2025%20H2\Charts%20H2%20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ohelee\AppData\Local\Microsoft\Windows\INetCache\Content.Outlook\SZDDSRG1\Semi-Annual%20Report_charts_for%20translation.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hohelee\AppData\Local\Microsoft\Windows\INetCache\Content.Outlook\SZDDSRG1\Copy%20of%20semi-annual%20report%20h2%202025_jk.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'Chart 2 auction-syndication'!$A$4</c:f>
              <c:strCache>
                <c:ptCount val="1"/>
                <c:pt idx="0">
                  <c:v>Through auctions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EC Square Sans Pro" panose="020B0506040000020004" pitchFamily="34" charset="0"/>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2 auction-syndication'!$B$3:$J$3</c:f>
              <c:strCache>
                <c:ptCount val="9"/>
                <c:pt idx="0">
                  <c:v>H2 2021*</c:v>
                </c:pt>
                <c:pt idx="1">
                  <c:v>H1 2022</c:v>
                </c:pt>
                <c:pt idx="2">
                  <c:v>H2 2022</c:v>
                </c:pt>
                <c:pt idx="3">
                  <c:v>H1 2023</c:v>
                </c:pt>
                <c:pt idx="4">
                  <c:v>H2 2023</c:v>
                </c:pt>
                <c:pt idx="5">
                  <c:v>H1 2024</c:v>
                </c:pt>
                <c:pt idx="6">
                  <c:v>H2 2024</c:v>
                </c:pt>
                <c:pt idx="7">
                  <c:v>H1 2025</c:v>
                </c:pt>
                <c:pt idx="8">
                  <c:v>H2 2025</c:v>
                </c:pt>
              </c:strCache>
            </c:strRef>
          </c:cat>
          <c:val>
            <c:numRef>
              <c:f>'Chart 2 auction-syndication'!$B$4:$J$4</c:f>
              <c:numCache>
                <c:formatCode>0</c:formatCode>
                <c:ptCount val="9"/>
                <c:pt idx="0">
                  <c:v>4.99</c:v>
                </c:pt>
                <c:pt idx="1">
                  <c:v>14.99</c:v>
                </c:pt>
                <c:pt idx="2">
                  <c:v>14.81</c:v>
                </c:pt>
                <c:pt idx="3">
                  <c:v>31.21</c:v>
                </c:pt>
                <c:pt idx="4">
                  <c:v>13.69</c:v>
                </c:pt>
                <c:pt idx="5">
                  <c:v>31.8</c:v>
                </c:pt>
                <c:pt idx="6" formatCode="#,##0">
                  <c:v>27.170999999999999</c:v>
                </c:pt>
                <c:pt idx="7">
                  <c:v>34.786000000000001</c:v>
                </c:pt>
                <c:pt idx="8">
                  <c:v>30.789000000000001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3378-42DD-8EB2-9BAEB6A86F73}"/>
            </c:ext>
          </c:extLst>
        </c:ser>
        <c:ser>
          <c:idx val="1"/>
          <c:order val="1"/>
          <c:tx>
            <c:strRef>
              <c:f>'Chart 2 auction-syndication'!$A$5</c:f>
              <c:strCache>
                <c:ptCount val="1"/>
                <c:pt idx="0">
                  <c:v>Through syndications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EC Square Sans Pro" panose="020B0506040000020004" pitchFamily="34" charset="0"/>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2 auction-syndication'!$B$3:$J$3</c:f>
              <c:strCache>
                <c:ptCount val="9"/>
                <c:pt idx="0">
                  <c:v>H2 2021*</c:v>
                </c:pt>
                <c:pt idx="1">
                  <c:v>H1 2022</c:v>
                </c:pt>
                <c:pt idx="2">
                  <c:v>H2 2022</c:v>
                </c:pt>
                <c:pt idx="3">
                  <c:v>H1 2023</c:v>
                </c:pt>
                <c:pt idx="4">
                  <c:v>H2 2023</c:v>
                </c:pt>
                <c:pt idx="5">
                  <c:v>H1 2024</c:v>
                </c:pt>
                <c:pt idx="6">
                  <c:v>H2 2024</c:v>
                </c:pt>
                <c:pt idx="7">
                  <c:v>H1 2025</c:v>
                </c:pt>
                <c:pt idx="8">
                  <c:v>H2 2025</c:v>
                </c:pt>
              </c:strCache>
            </c:strRef>
          </c:cat>
          <c:val>
            <c:numRef>
              <c:f>'Chart 2 auction-syndication'!$B$5:$J$5</c:f>
              <c:numCache>
                <c:formatCode>0</c:formatCode>
                <c:ptCount val="9"/>
                <c:pt idx="0">
                  <c:v>66</c:v>
                </c:pt>
                <c:pt idx="1">
                  <c:v>35</c:v>
                </c:pt>
                <c:pt idx="2">
                  <c:v>35</c:v>
                </c:pt>
                <c:pt idx="3">
                  <c:v>47</c:v>
                </c:pt>
                <c:pt idx="4">
                  <c:v>24</c:v>
                </c:pt>
                <c:pt idx="5">
                  <c:v>42</c:v>
                </c:pt>
                <c:pt idx="6">
                  <c:v>37</c:v>
                </c:pt>
                <c:pt idx="7">
                  <c:v>51</c:v>
                </c:pt>
                <c:pt idx="8">
                  <c:v>36</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3378-42DD-8EB2-9BAEB6A86F73}"/>
            </c:ext>
          </c:extLst>
        </c:ser>
        <c:dLbls>
          <c:dLblPos val="ctr"/>
          <c:showLegendKey val="0"/>
          <c:showVal val="1"/>
          <c:showCatName val="0"/>
          <c:showSerName val="0"/>
          <c:showPercent val="0"/>
          <c:showBubbleSize val="0"/>
        </c:dLbls>
        <c:gapWidth val="150"/>
        <c:overlap val="100"/>
        <c:axId val="225272512"/>
        <c:axId val="1623674912"/>
      </c:barChart>
      <c:catAx>
        <c:axId val="2252725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EC Square Sans Pro" panose="020B0506040000020004" pitchFamily="34" charset="0"/>
                <a:ea typeface="+mn-ea"/>
                <a:cs typeface="+mn-cs"/>
              </a:defRPr>
            </a:pPr>
            <a:endParaRPr lang="en-US"/>
          </a:p>
        </c:txPr>
        <c:crossAx val="1623674912"/>
        <c:crosses val="autoZero"/>
        <c:auto val="1"/>
        <c:lblAlgn val="ctr"/>
        <c:lblOffset val="100"/>
        <c:noMultiLvlLbl val="0"/>
      </c:catAx>
      <c:valAx>
        <c:axId val="1623674912"/>
        <c:scaling>
          <c:orientation val="minMax"/>
        </c:scaling>
        <c:delete val="1"/>
        <c:axPos val="l"/>
        <c:numFmt formatCode="0" sourceLinked="1"/>
        <c:majorTickMark val="none"/>
        <c:minorTickMark val="none"/>
        <c:tickLblPos val="nextTo"/>
        <c:crossAx val="225272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EC Square Sans Pro" panose="020B05060400000200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EC Square Sans Pro" panose="020B05060400000200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2"/>
                </a:solidFill>
                <a:latin typeface="EC Square Sans Pro" panose="020B0506040000020004" pitchFamily="34" charset="0"/>
                <a:ea typeface="+mn-ea"/>
                <a:cs typeface="+mn-cs"/>
              </a:defRPr>
            </a:pPr>
            <a:r>
              <a:rPr lang="en-IE" sz="1200" b="1">
                <a:solidFill>
                  <a:schemeClr val="tx2"/>
                </a:solidFill>
              </a:rPr>
              <a:t>Distribution by investor type</a:t>
            </a:r>
          </a:p>
        </c:rich>
      </c:tx>
      <c:layout>
        <c:manualLayout>
          <c:xMode val="edge"/>
          <c:yMode val="edge"/>
          <c:x val="0.24226225527235964"/>
          <c:y val="3.2840722495894911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2"/>
              </a:solidFill>
              <a:latin typeface="EC Square Sans Pro" panose="020B0506040000020004" pitchFamily="34" charset="0"/>
              <a:ea typeface="+mn-ea"/>
              <a:cs typeface="+mn-cs"/>
            </a:defRPr>
          </a:pPr>
          <a:endParaRPr lang="en-US"/>
        </a:p>
      </c:txPr>
    </c:title>
    <c:autoTitleDeleted val="0"/>
    <c:plotArea>
      <c:layout>
        <c:manualLayout>
          <c:layoutTarget val="inner"/>
          <c:xMode val="edge"/>
          <c:yMode val="edge"/>
          <c:x val="5.5555555555555558E-3"/>
          <c:y val="0.20025663458734325"/>
          <c:w val="0.63647309711286093"/>
          <c:h val="0.73706530273459403"/>
        </c:manualLayout>
      </c:layout>
      <c:barChart>
        <c:barDir val="col"/>
        <c:grouping val="clustered"/>
        <c:varyColors val="0"/>
        <c:ser>
          <c:idx val="3"/>
          <c:order val="0"/>
          <c:tx>
            <c:strRef>
              <c:f>'Charts 3 and 4 investor split'!$A$2</c:f>
              <c:strCache>
                <c:ptCount val="1"/>
                <c:pt idx="0">
                  <c:v>Central banks / official institutions</c:v>
                </c:pt>
              </c:strCache>
            </c:strRef>
          </c:tx>
          <c:spPr>
            <a:solidFill>
              <a:srgbClr val="034EA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split'!$B$2</c:f>
              <c:numCache>
                <c:formatCode>#,##0%</c:formatCode>
                <c:ptCount val="1"/>
                <c:pt idx="0">
                  <c:v>0.2683097490000555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D93A-466A-9C21-70EBE33F503B}"/>
            </c:ext>
          </c:extLst>
        </c:ser>
        <c:ser>
          <c:idx val="1"/>
          <c:order val="1"/>
          <c:tx>
            <c:strRef>
              <c:f>'Charts 3 and 4 investor split'!$A$4</c:f>
              <c:strCache>
                <c:ptCount val="1"/>
                <c:pt idx="0">
                  <c:v>Bank treasuries</c:v>
                </c:pt>
              </c:strCache>
            </c:strRef>
          </c:tx>
          <c:spPr>
            <a:solidFill>
              <a:srgbClr val="AEAAA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split'!$B$4</c:f>
              <c:numCache>
                <c:formatCode>#,##0%</c:formatCode>
                <c:ptCount val="1"/>
                <c:pt idx="0">
                  <c:v>0.25840065394693901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D93A-466A-9C21-70EBE33F503B}"/>
            </c:ext>
          </c:extLst>
        </c:ser>
        <c:ser>
          <c:idx val="0"/>
          <c:order val="2"/>
          <c:tx>
            <c:strRef>
              <c:f>'Charts 3 and 4 investor split'!$A$3</c:f>
              <c:strCache>
                <c:ptCount val="1"/>
                <c:pt idx="0">
                  <c:v>Fund managers</c:v>
                </c:pt>
              </c:strCache>
            </c:strRef>
          </c:tx>
          <c:spPr>
            <a:solidFill>
              <a:srgbClr val="5482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split'!$B$3</c:f>
              <c:numCache>
                <c:formatCode>#,##0%</c:formatCode>
                <c:ptCount val="1"/>
                <c:pt idx="0">
                  <c:v>0.23915600632913164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D93A-466A-9C21-70EBE33F503B}"/>
            </c:ext>
          </c:extLst>
        </c:ser>
        <c:ser>
          <c:idx val="2"/>
          <c:order val="3"/>
          <c:tx>
            <c:strRef>
              <c:f>'Charts 3 and 4 investor split'!$A$5</c:f>
              <c:strCache>
                <c:ptCount val="1"/>
                <c:pt idx="0">
                  <c:v>Insurance and pension funds</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split'!$B$5</c:f>
              <c:numCache>
                <c:formatCode>#,##0%</c:formatCode>
                <c:ptCount val="1"/>
                <c:pt idx="0">
                  <c:v>0.14341890891007705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D93A-466A-9C21-70EBE33F503B}"/>
            </c:ext>
          </c:extLst>
        </c:ser>
        <c:ser>
          <c:idx val="4"/>
          <c:order val="4"/>
          <c:tx>
            <c:strRef>
              <c:f>'Charts 3 and 4 investor split'!$A$6</c:f>
              <c:strCache>
                <c:ptCount val="1"/>
                <c:pt idx="0">
                  <c:v>Banks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split'!$B$6</c:f>
              <c:numCache>
                <c:formatCode>#,##0%</c:formatCode>
                <c:ptCount val="1"/>
                <c:pt idx="0">
                  <c:v>6.6307368450526927E-2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D93A-466A-9C21-70EBE33F503B}"/>
            </c:ext>
          </c:extLst>
        </c:ser>
        <c:ser>
          <c:idx val="5"/>
          <c:order val="5"/>
          <c:tx>
            <c:strRef>
              <c:f>'Charts 3 and 4 investor split'!$A$7</c:f>
              <c:strCache>
                <c:ptCount val="1"/>
                <c:pt idx="0">
                  <c:v>Hedge funds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EC Square Sans Pro" panose="020B0506040000020004" pitchFamily="34" charset="0"/>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split'!$B$7</c:f>
              <c:numCache>
                <c:formatCode>#,##0%</c:formatCode>
                <c:ptCount val="1"/>
                <c:pt idx="0">
                  <c:v>2.4068417423462503E-2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D93A-466A-9C21-70EBE33F503B}"/>
            </c:ext>
          </c:extLst>
        </c:ser>
        <c:dLbls>
          <c:dLblPos val="outEnd"/>
          <c:showLegendKey val="0"/>
          <c:showVal val="1"/>
          <c:showCatName val="0"/>
          <c:showSerName val="0"/>
          <c:showPercent val="0"/>
          <c:showBubbleSize val="0"/>
        </c:dLbls>
        <c:gapWidth val="169"/>
        <c:overlap val="-27"/>
        <c:axId val="164727648"/>
        <c:axId val="1986662112"/>
      </c:barChart>
      <c:catAx>
        <c:axId val="164727648"/>
        <c:scaling>
          <c:orientation val="minMax"/>
        </c:scaling>
        <c:delete val="1"/>
        <c:axPos val="b"/>
        <c:numFmt formatCode="General" sourceLinked="1"/>
        <c:majorTickMark val="none"/>
        <c:minorTickMark val="none"/>
        <c:tickLblPos val="nextTo"/>
        <c:crossAx val="1986662112"/>
        <c:crosses val="autoZero"/>
        <c:auto val="1"/>
        <c:lblAlgn val="ctr"/>
        <c:lblOffset val="100"/>
        <c:noMultiLvlLbl val="0"/>
      </c:catAx>
      <c:valAx>
        <c:axId val="1986662112"/>
        <c:scaling>
          <c:orientation val="minMax"/>
        </c:scaling>
        <c:delete val="1"/>
        <c:axPos val="l"/>
        <c:numFmt formatCode="#,##0%" sourceLinked="1"/>
        <c:majorTickMark val="none"/>
        <c:minorTickMark val="none"/>
        <c:tickLblPos val="nextTo"/>
        <c:crossAx val="164727648"/>
        <c:crosses val="autoZero"/>
        <c:crossBetween val="between"/>
      </c:valAx>
      <c:spPr>
        <a:noFill/>
        <a:ln>
          <a:noFill/>
        </a:ln>
        <a:effectLst/>
      </c:spPr>
    </c:plotArea>
    <c:legend>
      <c:legendPos val="r"/>
      <c:layout>
        <c:manualLayout>
          <c:xMode val="edge"/>
          <c:yMode val="edge"/>
          <c:x val="0.64537598425196852"/>
          <c:y val="0.1612697130807367"/>
          <c:w val="0.33795734908136482"/>
          <c:h val="0.792247122955784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EC Square Sans Pro" panose="020B05060400000200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EC Square Sans Pro" panose="020B05060400000200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2"/>
                </a:solidFill>
                <a:latin typeface="EC Square Sans Pro" panose="020B0506040000020004" pitchFamily="34" charset="0"/>
                <a:ea typeface="+mn-ea"/>
                <a:cs typeface="+mn-cs"/>
              </a:defRPr>
            </a:pPr>
            <a:r>
              <a:rPr lang="en-IE" sz="1200" b="1">
                <a:solidFill>
                  <a:schemeClr val="tx2"/>
                </a:solidFill>
                <a:latin typeface="EC Square Sans Pro" panose="020B0506040000020004" pitchFamily="34" charset="0"/>
              </a:rPr>
              <a:t>Distribution by country / region</a:t>
            </a:r>
          </a:p>
        </c:rich>
      </c:tx>
      <c:layout>
        <c:manualLayout>
          <c:xMode val="edge"/>
          <c:yMode val="edge"/>
          <c:x val="0.21662575318009369"/>
          <c:y val="3.2051282051282048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2"/>
              </a:solidFill>
              <a:latin typeface="EC Square Sans Pro" panose="020B0506040000020004" pitchFamily="34" charset="0"/>
              <a:ea typeface="+mn-ea"/>
              <a:cs typeface="+mn-cs"/>
            </a:defRPr>
          </a:pPr>
          <a:endParaRPr lang="en-US"/>
        </a:p>
      </c:txPr>
    </c:title>
    <c:autoTitleDeleted val="0"/>
    <c:plotArea>
      <c:layout/>
      <c:barChart>
        <c:barDir val="col"/>
        <c:grouping val="clustered"/>
        <c:varyColors val="0"/>
        <c:ser>
          <c:idx val="0"/>
          <c:order val="0"/>
          <c:tx>
            <c:strRef>
              <c:f>'Charts 3 and 4 investor split'!$E$2</c:f>
              <c:strCache>
                <c:ptCount val="1"/>
                <c:pt idx="0">
                  <c:v>UK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split'!$F$2</c:f>
              <c:numCache>
                <c:formatCode>#,##0%</c:formatCode>
                <c:ptCount val="1"/>
                <c:pt idx="0">
                  <c:v>0.19791633442595791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F6C-49AE-9C92-D352C63B73B8}"/>
            </c:ext>
          </c:extLst>
        </c:ser>
        <c:ser>
          <c:idx val="5"/>
          <c:order val="1"/>
          <c:tx>
            <c:strRef>
              <c:f>'Charts 3 and 4 investor split'!$E$3</c:f>
              <c:strCache>
                <c:ptCount val="1"/>
                <c:pt idx="0">
                  <c:v>Nordics</c:v>
                </c:pt>
              </c:strCache>
            </c:strRef>
          </c:tx>
          <c:spPr>
            <a:solidFill>
              <a:srgbClr val="AEAAA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split'!$F$3</c:f>
              <c:numCache>
                <c:formatCode>#,##0%</c:formatCode>
                <c:ptCount val="1"/>
                <c:pt idx="0">
                  <c:v>0.13446057530474728</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F6C-49AE-9C92-D352C63B73B8}"/>
            </c:ext>
          </c:extLst>
        </c:ser>
        <c:ser>
          <c:idx val="3"/>
          <c:order val="2"/>
          <c:tx>
            <c:strRef>
              <c:f>'Charts 3 and 4 investor split'!$E$9</c:f>
              <c:strCache>
                <c:ptCount val="1"/>
                <c:pt idx="0">
                  <c:v>Iberia</c:v>
                </c:pt>
              </c:strCache>
            </c:strRef>
          </c:tx>
          <c:spPr>
            <a:solidFill>
              <a:srgbClr val="3392F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split'!$F$9</c:f>
              <c:numCache>
                <c:formatCode>#,##0%</c:formatCode>
                <c:ptCount val="1"/>
                <c:pt idx="0">
                  <c:v>8.8987490323062524E-2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F6C-49AE-9C92-D352C63B73B8}"/>
            </c:ext>
          </c:extLst>
        </c:ser>
        <c:ser>
          <c:idx val="8"/>
          <c:order val="3"/>
          <c:tx>
            <c:strRef>
              <c:f>'Charts 3 and 4 investor split'!$E$7</c:f>
              <c:strCache>
                <c:ptCount val="1"/>
                <c:pt idx="0">
                  <c:v>APAC</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split'!$F$7</c:f>
              <c:numCache>
                <c:formatCode>#,##0%</c:formatCode>
                <c:ptCount val="1"/>
                <c:pt idx="0">
                  <c:v>8.8132389198875269E-2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F6C-49AE-9C92-D352C63B73B8}"/>
            </c:ext>
          </c:extLst>
        </c:ser>
        <c:ser>
          <c:idx val="7"/>
          <c:order val="4"/>
          <c:tx>
            <c:strRef>
              <c:f>'Charts 3 and 4 investor split'!$E$6</c:f>
              <c:strCache>
                <c:ptCount val="1"/>
                <c:pt idx="0">
                  <c:v>Italy</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split'!$F$6</c:f>
              <c:numCache>
                <c:formatCode>#,##0%</c:formatCode>
                <c:ptCount val="1"/>
                <c:pt idx="0">
                  <c:v>8.2478243783460956E-2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7F6C-49AE-9C92-D352C63B73B8}"/>
            </c:ext>
          </c:extLst>
        </c:ser>
        <c:ser>
          <c:idx val="4"/>
          <c:order val="5"/>
          <c:tx>
            <c:strRef>
              <c:f>'Charts 3 and 4 investor split'!$E$8</c:f>
              <c:strCache>
                <c:ptCount val="1"/>
                <c:pt idx="0">
                  <c:v>Germany</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split'!$F$8</c:f>
              <c:numCache>
                <c:formatCode>#,##0%</c:formatCode>
                <c:ptCount val="1"/>
                <c:pt idx="0">
                  <c:v>7.9954677390371265E-2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7F6C-49AE-9C92-D352C63B73B8}"/>
            </c:ext>
          </c:extLst>
        </c:ser>
        <c:ser>
          <c:idx val="1"/>
          <c:order val="6"/>
          <c:tx>
            <c:strRef>
              <c:f>'Charts 3 and 4 investor split'!$E$4</c:f>
              <c:strCache>
                <c:ptCount val="1"/>
                <c:pt idx="0">
                  <c:v>France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split'!$F$4</c:f>
              <c:numCache>
                <c:formatCode>#,##0%</c:formatCode>
                <c:ptCount val="1"/>
                <c:pt idx="0">
                  <c:v>7.8638994461301417E-2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7F6C-49AE-9C92-D352C63B73B8}"/>
            </c:ext>
          </c:extLst>
        </c:ser>
        <c:ser>
          <c:idx val="2"/>
          <c:order val="7"/>
          <c:tx>
            <c:strRef>
              <c:f>'Charts 3 and 4 investor split'!$E$5</c:f>
              <c:strCache>
                <c:ptCount val="1"/>
                <c:pt idx="0">
                  <c:v>Benelux</c:v>
                </c:pt>
              </c:strCache>
            </c:strRef>
          </c:tx>
          <c:spPr>
            <a:solidFill>
              <a:srgbClr val="70AD4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split'!$F$5</c:f>
              <c:numCache>
                <c:formatCode>#,##0%</c:formatCode>
                <c:ptCount val="1"/>
                <c:pt idx="0">
                  <c:v>7.8304956955910013E-2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7F6C-49AE-9C92-D352C63B73B8}"/>
            </c:ext>
          </c:extLst>
        </c:ser>
        <c:ser>
          <c:idx val="11"/>
          <c:order val="8"/>
          <c:tx>
            <c:strRef>
              <c:f>'Charts 3 and 4 investor split'!$E$13</c:f>
              <c:strCache>
                <c:ptCount val="1"/>
                <c:pt idx="0">
                  <c:v>Middle-East and Africa</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split'!$F$13</c:f>
              <c:numCache>
                <c:formatCode>#,##0%</c:formatCode>
                <c:ptCount val="1"/>
                <c:pt idx="0">
                  <c:v>6.2083236120662619E-2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7F6C-49AE-9C92-D352C63B73B8}"/>
            </c:ext>
          </c:extLst>
        </c:ser>
        <c:ser>
          <c:idx val="6"/>
          <c:order val="9"/>
          <c:tx>
            <c:strRef>
              <c:f>'Charts 3 and 4 investor split'!$E$10</c:f>
              <c:strCache>
                <c:ptCount val="1"/>
                <c:pt idx="0">
                  <c:v>Other EU</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split'!$F$10</c:f>
              <c:numCache>
                <c:formatCode>#,##0%</c:formatCode>
                <c:ptCount val="1"/>
                <c:pt idx="0">
                  <c:v>5.9228315611344236E-2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7F6C-49AE-9C92-D352C63B73B8}"/>
            </c:ext>
          </c:extLst>
        </c:ser>
        <c:ser>
          <c:idx val="9"/>
          <c:order val="10"/>
          <c:tx>
            <c:strRef>
              <c:f>'Charts 3 and 4 investor split'!$E$11</c:f>
              <c:strCache>
                <c:ptCount val="1"/>
                <c:pt idx="0">
                  <c:v>Other Europe, non-EU</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split'!$F$11</c:f>
              <c:numCache>
                <c:formatCode>#,##0%</c:formatCode>
                <c:ptCount val="1"/>
                <c:pt idx="0">
                  <c:v>3.1514405674718068E-2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7F6C-49AE-9C92-D352C63B73B8}"/>
            </c:ext>
          </c:extLst>
        </c:ser>
        <c:ser>
          <c:idx val="10"/>
          <c:order val="11"/>
          <c:tx>
            <c:strRef>
              <c:f>'Charts 3 and 4 investor split'!$E$12</c:f>
              <c:strCache>
                <c:ptCount val="1"/>
                <c:pt idx="0">
                  <c:v>Americas</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'Charts 3 and 4 investor split'!$F$12</c:f>
              <c:numCache>
                <c:formatCode>#,##0%</c:formatCode>
                <c:ptCount val="1"/>
                <c:pt idx="0">
                  <c:v>1.8300380749588372E-2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B-7F6C-49AE-9C92-D352C63B73B8}"/>
            </c:ext>
          </c:extLst>
        </c:ser>
        <c:dLbls>
          <c:dLblPos val="outEnd"/>
          <c:showLegendKey val="0"/>
          <c:showVal val="1"/>
          <c:showCatName val="0"/>
          <c:showSerName val="0"/>
          <c:showPercent val="0"/>
          <c:showBubbleSize val="0"/>
        </c:dLbls>
        <c:gapWidth val="89"/>
        <c:overlap val="-27"/>
        <c:axId val="328313776"/>
        <c:axId val="2134743600"/>
      </c:barChart>
      <c:catAx>
        <c:axId val="328313776"/>
        <c:scaling>
          <c:orientation val="minMax"/>
        </c:scaling>
        <c:delete val="1"/>
        <c:axPos val="b"/>
        <c:numFmt formatCode="General" sourceLinked="1"/>
        <c:majorTickMark val="none"/>
        <c:minorTickMark val="none"/>
        <c:tickLblPos val="nextTo"/>
        <c:crossAx val="2134743600"/>
        <c:crosses val="autoZero"/>
        <c:auto val="1"/>
        <c:lblAlgn val="ctr"/>
        <c:lblOffset val="100"/>
        <c:noMultiLvlLbl val="0"/>
      </c:catAx>
      <c:valAx>
        <c:axId val="2134743600"/>
        <c:scaling>
          <c:orientation val="minMax"/>
        </c:scaling>
        <c:delete val="1"/>
        <c:axPos val="l"/>
        <c:numFmt formatCode="#,##0%" sourceLinked="1"/>
        <c:majorTickMark val="none"/>
        <c:minorTickMark val="none"/>
        <c:tickLblPos val="nextTo"/>
        <c:crossAx val="328313776"/>
        <c:crosses val="autoZero"/>
        <c:crossBetween val="between"/>
      </c:valAx>
      <c:spPr>
        <a:noFill/>
        <a:ln>
          <a:noFill/>
        </a:ln>
        <a:effectLst/>
      </c:spPr>
    </c:plotArea>
    <c:legend>
      <c:legendPos val="r"/>
      <c:layout>
        <c:manualLayout>
          <c:xMode val="edge"/>
          <c:yMode val="edge"/>
          <c:x val="0.74605489842404049"/>
          <c:y val="1.2259082865941587E-2"/>
          <c:w val="0.24170819506592517"/>
          <c:h val="0.987740917134058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EC Square Sans Pro" panose="020B0506040000020004"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117093773075149E-2"/>
          <c:y val="9.7078733323484628E-2"/>
          <c:w val="0.92474642052451117"/>
          <c:h val="0.63147919554989884"/>
        </c:manualLayout>
      </c:layout>
      <c:barChart>
        <c:barDir val="col"/>
        <c:grouping val="clustered"/>
        <c:varyColors val="0"/>
        <c:ser>
          <c:idx val="0"/>
          <c:order val="0"/>
          <c:tx>
            <c:strRef>
              <c:f>'[1]34 Market turnover'!$AA$4</c:f>
              <c:strCache>
                <c:ptCount val="1"/>
                <c:pt idx="0">
                  <c:v>EU market</c:v>
                </c:pt>
              </c:strCache>
            </c:strRef>
          </c:tx>
          <c:spPr>
            <a:solidFill>
              <a:schemeClr val="tx2"/>
            </a:solidFill>
            <a:ln>
              <a:noFill/>
            </a:ln>
            <a:effectLst/>
          </c:spPr>
          <c:invertIfNegative val="0"/>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turnover'!$AA$21:$AA$44</c:f>
              <c:numCache>
                <c:formatCode>General</c:formatCode>
                <c:ptCount val="24"/>
                <c:pt idx="0">
                  <c:v>2.897861228867351E-2</c:v>
                </c:pt>
                <c:pt idx="1">
                  <c:v>5.9288336573263892E-2</c:v>
                </c:pt>
                <c:pt idx="2">
                  <c:v>4.2181617421884372E-2</c:v>
                </c:pt>
                <c:pt idx="3">
                  <c:v>0.60100667431184907</c:v>
                </c:pt>
                <c:pt idx="4">
                  <c:v>0.56188286903496409</c:v>
                </c:pt>
                <c:pt idx="5">
                  <c:v>0.4305215756953702</c:v>
                </c:pt>
                <c:pt idx="6">
                  <c:v>0.61899459819118208</c:v>
                </c:pt>
                <c:pt idx="7">
                  <c:v>0.45106382978723403</c:v>
                </c:pt>
                <c:pt idx="8">
                  <c:v>0.52734215205658475</c:v>
                </c:pt>
                <c:pt idx="9">
                  <c:v>0.44708706680695853</c:v>
                </c:pt>
                <c:pt idx="10">
                  <c:v>0.40132058854668218</c:v>
                </c:pt>
                <c:pt idx="11">
                  <c:v>0.39621891973117379</c:v>
                </c:pt>
                <c:pt idx="12">
                  <c:v>0.65656462922102543</c:v>
                </c:pt>
                <c:pt idx="13">
                  <c:v>0.55499956649615201</c:v>
                </c:pt>
                <c:pt idx="14">
                  <c:v>0.47827581471300024</c:v>
                </c:pt>
                <c:pt idx="15">
                  <c:v>0.49056792668754567</c:v>
                </c:pt>
                <c:pt idx="16">
                  <c:v>0.65871452126370222</c:v>
                </c:pt>
                <c:pt idx="17">
                  <c:v>0.67483545678907708</c:v>
                </c:pt>
                <c:pt idx="18">
                  <c:v>0.67146697355419405</c:v>
                </c:pt>
                <c:pt idx="19">
                  <c:v>0.82866199058850532</c:v>
                </c:pt>
                <c:pt idx="20">
                  <c:v>0.93444294120589955</c:v>
                </c:pt>
                <c:pt idx="21">
                  <c:v>0.78247357847492083</c:v>
                </c:pt>
                <c:pt idx="22">
                  <c:v>1.0377812937385853</c:v>
                </c:pt>
                <c:pt idx="23">
                  <c:v>1.2194548295198613</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A22-468C-A963-DC4BC08CA8CC}"/>
            </c:ext>
          </c:extLst>
        </c:ser>
        <c:dLbls>
          <c:showLegendKey val="0"/>
          <c:showVal val="0"/>
          <c:showCatName val="0"/>
          <c:showSerName val="0"/>
          <c:showPercent val="0"/>
          <c:showBubbleSize val="0"/>
        </c:dLbls>
        <c:gapWidth val="219"/>
        <c:overlap val="-27"/>
        <c:axId val="900413560"/>
        <c:axId val="903797920"/>
      </c:barChart>
      <c:lineChart>
        <c:grouping val="standard"/>
        <c:varyColors val="0"/>
        <c:ser>
          <c:idx val="1"/>
          <c:order val="1"/>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turnover'!$AC$21:$AC$41</c:f>
              <c:numCache>
                <c:formatCode>General</c:formatCode>
                <c:ptCount val="21"/>
                <c:pt idx="0">
                  <c:v>0.45035570493348792</c:v>
                </c:pt>
                <c:pt idx="1">
                  <c:v>0.45035570493348792</c:v>
                </c:pt>
                <c:pt idx="2">
                  <c:v>0.45035570493348792</c:v>
                </c:pt>
                <c:pt idx="3">
                  <c:v>0.45035570493348792</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A22-468C-A963-DC4BC08CA8CC}"/>
            </c:ext>
          </c:extLst>
        </c:ser>
        <c:ser>
          <c:idx val="2"/>
          <c:order val="2"/>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turnover'!$AD$21:$AD$41</c:f>
              <c:numCache>
                <c:formatCode>General</c:formatCode>
                <c:ptCount val="21"/>
                <c:pt idx="4">
                  <c:v>0.43807284218590858</c:v>
                </c:pt>
                <c:pt idx="5">
                  <c:v>0.43807284218590858</c:v>
                </c:pt>
                <c:pt idx="6">
                  <c:v>0.43807284218590858</c:v>
                </c:pt>
                <c:pt idx="7">
                  <c:v>0.43807284218590858</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A22-468C-A963-DC4BC08CA8CC}"/>
            </c:ext>
          </c:extLst>
        </c:ser>
        <c:ser>
          <c:idx val="3"/>
          <c:order val="3"/>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turnover'!$AE$21:$AE$41</c:f>
              <c:numCache>
                <c:formatCode>General</c:formatCode>
                <c:ptCount val="21"/>
                <c:pt idx="8">
                  <c:v>0.50413955884518846</c:v>
                </c:pt>
                <c:pt idx="9">
                  <c:v>0.50413955884518846</c:v>
                </c:pt>
                <c:pt idx="10">
                  <c:v>0.50413955884518846</c:v>
                </c:pt>
                <c:pt idx="11">
                  <c:v>0.50413955884518846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A22-468C-A963-DC4BC08CA8CC}"/>
            </c:ext>
          </c:extLst>
        </c:ser>
        <c:ser>
          <c:idx val="4"/>
          <c:order val="4"/>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turnover'!$AF$21:$AF$41</c:f>
              <c:numCache>
                <c:formatCode>General</c:formatCode>
                <c:ptCount val="21"/>
                <c:pt idx="12">
                  <c:v>0.50712337606788926</c:v>
                </c:pt>
                <c:pt idx="13">
                  <c:v>0.50712337606788926</c:v>
                </c:pt>
                <c:pt idx="14">
                  <c:v>0.50712337606788926</c:v>
                </c:pt>
                <c:pt idx="15">
                  <c:v>0.50712337606788926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A22-468C-A963-DC4BC08CA8CC}"/>
            </c:ext>
          </c:extLst>
        </c:ser>
        <c:ser>
          <c:idx val="5"/>
          <c:order val="5"/>
          <c:tx>
            <c:strRef>
              <c:f>'[1]34 Market turnover'!$AC$4</c:f>
              <c:strCache>
                <c:ptCount val="1"/>
                <c:pt idx="0">
                  <c:v>EGB market* (average)</c:v>
                </c:pt>
              </c:strCache>
            </c:strRef>
          </c:tx>
          <c:spPr>
            <a:ln w="38100" cap="rnd">
              <a:solidFill>
                <a:srgbClr val="FFC000"/>
              </a:solidFill>
              <a:round/>
            </a:ln>
            <a:effectLst/>
          </c:spPr>
          <c:marker>
            <c:symbol val="none"/>
          </c:marker>
          <c:cat>
            <c:multiLvlStrRef>
              <c:f>'[1]34 Market turnover'!$A$21:$B$44</c:f>
              <c:multiLvlStrCache>
                <c:ptCount val="24"/>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pt idx="22">
                    <c:v>3</c:v>
                  </c:pt>
                  <c:pt idx="23">
                    <c:v>4</c:v>
                  </c:pt>
                </c:lvl>
                <c:lvl>
                  <c:pt idx="0">
                    <c:v>2020</c:v>
                  </c:pt>
                  <c:pt idx="4">
                    <c:v>2021</c:v>
                  </c:pt>
                  <c:pt idx="8">
                    <c:v>2022</c:v>
                  </c:pt>
                  <c:pt idx="12">
                    <c:v>2023</c:v>
                  </c:pt>
                  <c:pt idx="16">
                    <c:v>2024</c:v>
                  </c:pt>
                  <c:pt idx="20">
                    <c:v>2025</c:v>
                  </c:pt>
                </c:lvl>
              </c:multiLvlStrCache>
            </c:multiLvlStrRef>
          </c:cat>
          <c:val>
            <c:numRef>
              <c:f>'[1]34 Market turnover'!$AG$21:$AG$41</c:f>
              <c:numCache>
                <c:formatCode>General</c:formatCode>
                <c:ptCount val="21"/>
                <c:pt idx="16">
                  <c:v>0.58810789096114746</c:v>
                </c:pt>
                <c:pt idx="17">
                  <c:v>0.58810789096114746</c:v>
                </c:pt>
                <c:pt idx="18">
                  <c:v>0.58810789096114746</c:v>
                </c:pt>
                <c:pt idx="19">
                  <c:v>0.58810789096114746</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A22-468C-A963-DC4BC08CA8CC}"/>
            </c:ext>
          </c:extLst>
        </c:ser>
        <c:ser>
          <c:idx val="6"/>
          <c:order val="6"/>
          <c:tx>
            <c:strRef>
              <c:f>'[1]34 Market turnover'!$AC$4</c:f>
              <c:strCache>
                <c:ptCount val="1"/>
                <c:pt idx="0">
                  <c:v>EGB market* (average)</c:v>
                </c:pt>
              </c:strCache>
            </c:strRef>
          </c:tx>
          <c:spPr>
            <a:ln w="28575" cap="rnd">
              <a:solidFill>
                <a:srgbClr val="FFC000"/>
              </a:solidFill>
              <a:round/>
            </a:ln>
            <a:effectLst/>
          </c:spPr>
          <c:marker>
            <c:symbol val="none"/>
          </c:marker>
          <c:val>
            <c:numRef>
              <c:f>'[1]34 Market turnover'!$AH$21:$AH$44</c:f>
              <c:numCache>
                <c:formatCode>General</c:formatCode>
                <c:ptCount val="24"/>
                <c:pt idx="20">
                  <c:v>0.74651650429932037</c:v>
                </c:pt>
                <c:pt idx="21">
                  <c:v>0.74651650429932037</c:v>
                </c:pt>
                <c:pt idx="22">
                  <c:v>0.74651650429932037</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A22-468C-A963-DC4BC08CA8CC}"/>
            </c:ext>
          </c:extLst>
        </c:ser>
        <c:dLbls>
          <c:showLegendKey val="0"/>
          <c:showVal val="0"/>
          <c:showCatName val="0"/>
          <c:showSerName val="0"/>
          <c:showPercent val="0"/>
          <c:showBubbleSize val="0"/>
        </c:dLbls>
        <c:marker val="1"/>
        <c:smooth val="0"/>
        <c:axId val="900413560"/>
        <c:axId val="903797920"/>
      </c:lineChart>
      <c:catAx>
        <c:axId val="90041356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EC Square Sans Pro" panose="020B0506040000020004" pitchFamily="34" charset="0"/>
                <a:ea typeface="+mn-ea"/>
                <a:cs typeface="+mn-cs"/>
              </a:defRPr>
            </a:pPr>
            <a:endParaRPr lang="en-US"/>
          </a:p>
        </c:txPr>
        <c:crossAx val="903797920"/>
        <c:crosses val="autoZero"/>
        <c:auto val="1"/>
        <c:lblAlgn val="ctr"/>
        <c:lblOffset val="100"/>
        <c:noMultiLvlLbl val="0"/>
      </c:catAx>
      <c:valAx>
        <c:axId val="903797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EC Square Sans Pro" panose="020B0506040000020004" pitchFamily="34" charset="0"/>
                <a:ea typeface="+mn-ea"/>
                <a:cs typeface="+mn-cs"/>
              </a:defRPr>
            </a:pPr>
            <a:endParaRPr lang="en-US"/>
          </a:p>
        </c:txPr>
        <c:crossAx val="900413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ysClr val="windowText" lastClr="000000"/>
          </a:solidFill>
          <a:latin typeface="EC Square Sans Pro" panose="020B05060400000200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094408207359203E-2"/>
          <c:y val="7.9706845924396141E-2"/>
          <c:w val="0.89564783303731466"/>
          <c:h val="0.81843185077278446"/>
        </c:manualLayout>
      </c:layout>
      <c:lineChart>
        <c:grouping val="standard"/>
        <c:varyColors val="0"/>
        <c:ser>
          <c:idx val="0"/>
          <c:order val="0"/>
          <c:tx>
            <c:strRef>
              <c:f>Hardcoded!$B$3</c:f>
              <c:strCache>
                <c:ptCount val="1"/>
                <c:pt idx="0">
                  <c:v>Yield (10y)</c:v>
                </c:pt>
              </c:strCache>
            </c:strRef>
          </c:tx>
          <c:spPr>
            <a:ln w="28575" cap="rnd">
              <a:solidFill>
                <a:schemeClr val="accent1"/>
              </a:solidFill>
              <a:round/>
            </a:ln>
            <a:effectLst/>
          </c:spPr>
          <c:marker>
            <c:symbol val="none"/>
          </c:marker>
          <c:cat>
            <c:numRef>
              <c:f>Hardcoded!$A$4:$A$132</c:f>
              <c:numCache>
                <c:formatCode>dd\-mm\-yyyy;@</c:formatCode>
                <c:ptCount val="129"/>
                <c:pt idx="0">
                  <c:v>46023</c:v>
                </c:pt>
                <c:pt idx="1">
                  <c:v>46021</c:v>
                </c:pt>
                <c:pt idx="2">
                  <c:v>46020</c:v>
                </c:pt>
                <c:pt idx="3">
                  <c:v>46014</c:v>
                </c:pt>
                <c:pt idx="4">
                  <c:v>46013</c:v>
                </c:pt>
                <c:pt idx="5">
                  <c:v>46010</c:v>
                </c:pt>
                <c:pt idx="6">
                  <c:v>46009</c:v>
                </c:pt>
                <c:pt idx="7">
                  <c:v>46008</c:v>
                </c:pt>
                <c:pt idx="8">
                  <c:v>46007</c:v>
                </c:pt>
                <c:pt idx="9">
                  <c:v>46006</c:v>
                </c:pt>
                <c:pt idx="10">
                  <c:v>46003</c:v>
                </c:pt>
                <c:pt idx="11">
                  <c:v>46002</c:v>
                </c:pt>
                <c:pt idx="12">
                  <c:v>46001</c:v>
                </c:pt>
                <c:pt idx="13">
                  <c:v>46000</c:v>
                </c:pt>
                <c:pt idx="14">
                  <c:v>45999</c:v>
                </c:pt>
                <c:pt idx="15">
                  <c:v>45996</c:v>
                </c:pt>
                <c:pt idx="16">
                  <c:v>45995</c:v>
                </c:pt>
                <c:pt idx="17">
                  <c:v>45994</c:v>
                </c:pt>
                <c:pt idx="18">
                  <c:v>45993</c:v>
                </c:pt>
                <c:pt idx="19">
                  <c:v>45992</c:v>
                </c:pt>
                <c:pt idx="20">
                  <c:v>45989</c:v>
                </c:pt>
                <c:pt idx="21">
                  <c:v>45988</c:v>
                </c:pt>
                <c:pt idx="22">
                  <c:v>45987</c:v>
                </c:pt>
                <c:pt idx="23">
                  <c:v>45986</c:v>
                </c:pt>
                <c:pt idx="24">
                  <c:v>45985</c:v>
                </c:pt>
                <c:pt idx="25">
                  <c:v>45982</c:v>
                </c:pt>
                <c:pt idx="26">
                  <c:v>45981</c:v>
                </c:pt>
                <c:pt idx="27">
                  <c:v>45980</c:v>
                </c:pt>
                <c:pt idx="28">
                  <c:v>45979</c:v>
                </c:pt>
                <c:pt idx="29">
                  <c:v>45978</c:v>
                </c:pt>
                <c:pt idx="30">
                  <c:v>45975</c:v>
                </c:pt>
                <c:pt idx="31">
                  <c:v>45974</c:v>
                </c:pt>
                <c:pt idx="32">
                  <c:v>45973</c:v>
                </c:pt>
                <c:pt idx="33">
                  <c:v>45972</c:v>
                </c:pt>
                <c:pt idx="34">
                  <c:v>45971</c:v>
                </c:pt>
                <c:pt idx="35">
                  <c:v>45968</c:v>
                </c:pt>
                <c:pt idx="36">
                  <c:v>45967</c:v>
                </c:pt>
                <c:pt idx="37">
                  <c:v>45966</c:v>
                </c:pt>
                <c:pt idx="38">
                  <c:v>45965</c:v>
                </c:pt>
                <c:pt idx="39">
                  <c:v>45964</c:v>
                </c:pt>
                <c:pt idx="40">
                  <c:v>45961</c:v>
                </c:pt>
                <c:pt idx="41">
                  <c:v>45960</c:v>
                </c:pt>
                <c:pt idx="42">
                  <c:v>45959</c:v>
                </c:pt>
                <c:pt idx="43">
                  <c:v>45958</c:v>
                </c:pt>
                <c:pt idx="44">
                  <c:v>45957</c:v>
                </c:pt>
                <c:pt idx="45">
                  <c:v>45954</c:v>
                </c:pt>
                <c:pt idx="46">
                  <c:v>45953</c:v>
                </c:pt>
                <c:pt idx="47">
                  <c:v>45952</c:v>
                </c:pt>
                <c:pt idx="48">
                  <c:v>45951</c:v>
                </c:pt>
                <c:pt idx="49">
                  <c:v>45950</c:v>
                </c:pt>
                <c:pt idx="50">
                  <c:v>45947</c:v>
                </c:pt>
                <c:pt idx="51">
                  <c:v>45946</c:v>
                </c:pt>
                <c:pt idx="52">
                  <c:v>45945</c:v>
                </c:pt>
                <c:pt idx="53">
                  <c:v>45944</c:v>
                </c:pt>
                <c:pt idx="54">
                  <c:v>45943</c:v>
                </c:pt>
                <c:pt idx="55">
                  <c:v>45940</c:v>
                </c:pt>
                <c:pt idx="56">
                  <c:v>45939</c:v>
                </c:pt>
                <c:pt idx="57">
                  <c:v>45938</c:v>
                </c:pt>
                <c:pt idx="58">
                  <c:v>45937</c:v>
                </c:pt>
                <c:pt idx="59">
                  <c:v>45936</c:v>
                </c:pt>
                <c:pt idx="60">
                  <c:v>45933</c:v>
                </c:pt>
                <c:pt idx="61">
                  <c:v>45932</c:v>
                </c:pt>
                <c:pt idx="62">
                  <c:v>45931</c:v>
                </c:pt>
                <c:pt idx="63">
                  <c:v>45930</c:v>
                </c:pt>
                <c:pt idx="64">
                  <c:v>45929</c:v>
                </c:pt>
                <c:pt idx="65">
                  <c:v>45926</c:v>
                </c:pt>
                <c:pt idx="66">
                  <c:v>45925</c:v>
                </c:pt>
                <c:pt idx="67">
                  <c:v>45924</c:v>
                </c:pt>
                <c:pt idx="68">
                  <c:v>45923</c:v>
                </c:pt>
                <c:pt idx="69">
                  <c:v>45922</c:v>
                </c:pt>
                <c:pt idx="70">
                  <c:v>45919</c:v>
                </c:pt>
                <c:pt idx="71">
                  <c:v>45918</c:v>
                </c:pt>
                <c:pt idx="72">
                  <c:v>45917</c:v>
                </c:pt>
                <c:pt idx="73">
                  <c:v>45916</c:v>
                </c:pt>
                <c:pt idx="74">
                  <c:v>45915</c:v>
                </c:pt>
                <c:pt idx="75">
                  <c:v>45912</c:v>
                </c:pt>
                <c:pt idx="76">
                  <c:v>45911</c:v>
                </c:pt>
                <c:pt idx="77">
                  <c:v>45910</c:v>
                </c:pt>
                <c:pt idx="78">
                  <c:v>45909</c:v>
                </c:pt>
                <c:pt idx="79">
                  <c:v>45908</c:v>
                </c:pt>
                <c:pt idx="80">
                  <c:v>45905</c:v>
                </c:pt>
                <c:pt idx="81">
                  <c:v>45904</c:v>
                </c:pt>
                <c:pt idx="82">
                  <c:v>45903</c:v>
                </c:pt>
                <c:pt idx="83">
                  <c:v>45902</c:v>
                </c:pt>
                <c:pt idx="84">
                  <c:v>45901</c:v>
                </c:pt>
                <c:pt idx="85">
                  <c:v>45898</c:v>
                </c:pt>
                <c:pt idx="86">
                  <c:v>45897</c:v>
                </c:pt>
                <c:pt idx="87">
                  <c:v>45896</c:v>
                </c:pt>
                <c:pt idx="88">
                  <c:v>45895</c:v>
                </c:pt>
                <c:pt idx="89">
                  <c:v>45894</c:v>
                </c:pt>
                <c:pt idx="90">
                  <c:v>45891</c:v>
                </c:pt>
                <c:pt idx="91">
                  <c:v>45890</c:v>
                </c:pt>
                <c:pt idx="92">
                  <c:v>45889</c:v>
                </c:pt>
                <c:pt idx="93">
                  <c:v>45888</c:v>
                </c:pt>
                <c:pt idx="94">
                  <c:v>45887</c:v>
                </c:pt>
                <c:pt idx="95">
                  <c:v>45884</c:v>
                </c:pt>
                <c:pt idx="96">
                  <c:v>45883</c:v>
                </c:pt>
                <c:pt idx="97">
                  <c:v>45882</c:v>
                </c:pt>
                <c:pt idx="98">
                  <c:v>45881</c:v>
                </c:pt>
                <c:pt idx="99">
                  <c:v>45880</c:v>
                </c:pt>
                <c:pt idx="100">
                  <c:v>45877</c:v>
                </c:pt>
                <c:pt idx="101">
                  <c:v>45876</c:v>
                </c:pt>
                <c:pt idx="102">
                  <c:v>45875</c:v>
                </c:pt>
                <c:pt idx="103">
                  <c:v>45874</c:v>
                </c:pt>
                <c:pt idx="104">
                  <c:v>45873</c:v>
                </c:pt>
                <c:pt idx="105">
                  <c:v>45870</c:v>
                </c:pt>
                <c:pt idx="106">
                  <c:v>45869</c:v>
                </c:pt>
                <c:pt idx="107">
                  <c:v>45868</c:v>
                </c:pt>
                <c:pt idx="108">
                  <c:v>45867</c:v>
                </c:pt>
                <c:pt idx="109">
                  <c:v>45866</c:v>
                </c:pt>
                <c:pt idx="110">
                  <c:v>45863</c:v>
                </c:pt>
                <c:pt idx="111">
                  <c:v>45862</c:v>
                </c:pt>
                <c:pt idx="112">
                  <c:v>45861</c:v>
                </c:pt>
                <c:pt idx="113">
                  <c:v>45860</c:v>
                </c:pt>
                <c:pt idx="114">
                  <c:v>45859</c:v>
                </c:pt>
                <c:pt idx="115">
                  <c:v>45856</c:v>
                </c:pt>
                <c:pt idx="116">
                  <c:v>45855</c:v>
                </c:pt>
                <c:pt idx="117">
                  <c:v>45854</c:v>
                </c:pt>
                <c:pt idx="118">
                  <c:v>45853</c:v>
                </c:pt>
                <c:pt idx="119">
                  <c:v>45852</c:v>
                </c:pt>
                <c:pt idx="120">
                  <c:v>45849</c:v>
                </c:pt>
                <c:pt idx="121">
                  <c:v>45848</c:v>
                </c:pt>
                <c:pt idx="122">
                  <c:v>45847</c:v>
                </c:pt>
                <c:pt idx="123">
                  <c:v>45846</c:v>
                </c:pt>
                <c:pt idx="124">
                  <c:v>45845</c:v>
                </c:pt>
                <c:pt idx="125">
                  <c:v>45842</c:v>
                </c:pt>
                <c:pt idx="126">
                  <c:v>45841</c:v>
                </c:pt>
                <c:pt idx="127">
                  <c:v>45840</c:v>
                </c:pt>
                <c:pt idx="128">
                  <c:v>45839</c:v>
                </c:pt>
              </c:numCache>
            </c:numRef>
          </c:cat>
          <c:val>
            <c:numRef>
              <c:f>Hardcoded!$B$4:$B$132</c:f>
              <c:numCache>
                <c:formatCode>0.000</c:formatCode>
                <c:ptCount val="129"/>
                <c:pt idx="1">
                  <c:v>3.2010000000000001</c:v>
                </c:pt>
                <c:pt idx="2">
                  <c:v>3.1859999999999999</c:v>
                </c:pt>
                <c:pt idx="3">
                  <c:v>3.2109999999999999</c:v>
                </c:pt>
                <c:pt idx="4">
                  <c:v>3.2490000000000001</c:v>
                </c:pt>
                <c:pt idx="5">
                  <c:v>3.246</c:v>
                </c:pt>
                <c:pt idx="6">
                  <c:v>3.1909999999999998</c:v>
                </c:pt>
                <c:pt idx="7">
                  <c:v>3.21</c:v>
                </c:pt>
                <c:pt idx="8">
                  <c:v>3.1960000000000002</c:v>
                </c:pt>
                <c:pt idx="9">
                  <c:v>3.2210000000000001</c:v>
                </c:pt>
                <c:pt idx="10">
                  <c:v>3.2280000000000002</c:v>
                </c:pt>
                <c:pt idx="11">
                  <c:v>3.2109999999999999</c:v>
                </c:pt>
                <c:pt idx="12">
                  <c:v>3.22</c:v>
                </c:pt>
                <c:pt idx="13">
                  <c:v>3.23</c:v>
                </c:pt>
                <c:pt idx="14">
                  <c:v>3.2290000000000001</c:v>
                </c:pt>
                <c:pt idx="15">
                  <c:v>3.169</c:v>
                </c:pt>
                <c:pt idx="16">
                  <c:v>3.15</c:v>
                </c:pt>
                <c:pt idx="17">
                  <c:v>3.1339999999999999</c:v>
                </c:pt>
                <c:pt idx="18">
                  <c:v>3.14</c:v>
                </c:pt>
                <c:pt idx="19">
                  <c:v>3.1349999999999998</c:v>
                </c:pt>
                <c:pt idx="20">
                  <c:v>3.0760000000000001</c:v>
                </c:pt>
                <c:pt idx="21">
                  <c:v>3.069</c:v>
                </c:pt>
                <c:pt idx="22">
                  <c:v>3.0659999999999998</c:v>
                </c:pt>
                <c:pt idx="23">
                  <c:v>3.0739999999999998</c:v>
                </c:pt>
                <c:pt idx="24">
                  <c:v>3.1070000000000002</c:v>
                </c:pt>
                <c:pt idx="25">
                  <c:v>3.113</c:v>
                </c:pt>
                <c:pt idx="26">
                  <c:v>3.113</c:v>
                </c:pt>
                <c:pt idx="27">
                  <c:v>3.11</c:v>
                </c:pt>
                <c:pt idx="28">
                  <c:v>3.105</c:v>
                </c:pt>
                <c:pt idx="29">
                  <c:v>3.12</c:v>
                </c:pt>
                <c:pt idx="30">
                  <c:v>3.1269999999999998</c:v>
                </c:pt>
                <c:pt idx="31">
                  <c:v>3.0870000000000002</c:v>
                </c:pt>
                <c:pt idx="32">
                  <c:v>3.05</c:v>
                </c:pt>
                <c:pt idx="33">
                  <c:v>3.0750000000000002</c:v>
                </c:pt>
                <c:pt idx="34">
                  <c:v>3.0870000000000002</c:v>
                </c:pt>
                <c:pt idx="35">
                  <c:v>3.0990000000000002</c:v>
                </c:pt>
                <c:pt idx="36">
                  <c:v>3.077</c:v>
                </c:pt>
                <c:pt idx="37">
                  <c:v>3.097</c:v>
                </c:pt>
                <c:pt idx="38">
                  <c:v>3.0790000000000002</c:v>
                </c:pt>
                <c:pt idx="39">
                  <c:v>3.09</c:v>
                </c:pt>
                <c:pt idx="40">
                  <c:v>3.07</c:v>
                </c:pt>
                <c:pt idx="41">
                  <c:v>3.08</c:v>
                </c:pt>
                <c:pt idx="42">
                  <c:v>3.0619999999999998</c:v>
                </c:pt>
                <c:pt idx="43">
                  <c:v>3.069</c:v>
                </c:pt>
                <c:pt idx="44">
                  <c:v>3.056</c:v>
                </c:pt>
                <c:pt idx="45">
                  <c:v>3.0790000000000002</c:v>
                </c:pt>
                <c:pt idx="46">
                  <c:v>3.0329999999999999</c:v>
                </c:pt>
                <c:pt idx="47">
                  <c:v>3.0150000000000001</c:v>
                </c:pt>
                <c:pt idx="48">
                  <c:v>3</c:v>
                </c:pt>
                <c:pt idx="49">
                  <c:v>3.02</c:v>
                </c:pt>
                <c:pt idx="50">
                  <c:v>3.016</c:v>
                </c:pt>
                <c:pt idx="51">
                  <c:v>3.004</c:v>
                </c:pt>
                <c:pt idx="52">
                  <c:v>3.016</c:v>
                </c:pt>
                <c:pt idx="53">
                  <c:v>3.0539999999999998</c:v>
                </c:pt>
                <c:pt idx="54">
                  <c:v>3.0990000000000002</c:v>
                </c:pt>
                <c:pt idx="55">
                  <c:v>3.1019999999999999</c:v>
                </c:pt>
                <c:pt idx="56">
                  <c:v>3.1469999999999998</c:v>
                </c:pt>
                <c:pt idx="57">
                  <c:v>3.1339999999999999</c:v>
                </c:pt>
                <c:pt idx="58">
                  <c:v>3.1749999999999998</c:v>
                </c:pt>
                <c:pt idx="59">
                  <c:v>3.181</c:v>
                </c:pt>
                <c:pt idx="60">
                  <c:v>3.1459999999999999</c:v>
                </c:pt>
                <c:pt idx="61">
                  <c:v>3.15</c:v>
                </c:pt>
                <c:pt idx="62">
                  <c:v>3.1619999999999999</c:v>
                </c:pt>
                <c:pt idx="63">
                  <c:v>3.1619999999999999</c:v>
                </c:pt>
                <c:pt idx="64">
                  <c:v>3.1619999999999999</c:v>
                </c:pt>
                <c:pt idx="65">
                  <c:v>3.2040000000000002</c:v>
                </c:pt>
                <c:pt idx="66">
                  <c:v>3.23</c:v>
                </c:pt>
                <c:pt idx="67">
                  <c:v>3.21</c:v>
                </c:pt>
                <c:pt idx="68">
                  <c:v>3.206</c:v>
                </c:pt>
                <c:pt idx="69">
                  <c:v>3.202</c:v>
                </c:pt>
                <c:pt idx="70">
                  <c:v>3.2</c:v>
                </c:pt>
                <c:pt idx="71">
                  <c:v>3.1819999999999999</c:v>
                </c:pt>
                <c:pt idx="72">
                  <c:v>3.1309999999999998</c:v>
                </c:pt>
                <c:pt idx="73">
                  <c:v>3.1429999999999998</c:v>
                </c:pt>
                <c:pt idx="74">
                  <c:v>3.1389999999999998</c:v>
                </c:pt>
                <c:pt idx="75">
                  <c:v>3.1659999999999999</c:v>
                </c:pt>
                <c:pt idx="76">
                  <c:v>3.1030000000000002</c:v>
                </c:pt>
                <c:pt idx="77">
                  <c:v>3.113</c:v>
                </c:pt>
                <c:pt idx="78">
                  <c:v>3.125</c:v>
                </c:pt>
                <c:pt idx="79">
                  <c:v>3.1139999999999999</c:v>
                </c:pt>
                <c:pt idx="80">
                  <c:v>3.145</c:v>
                </c:pt>
                <c:pt idx="81">
                  <c:v>3.198</c:v>
                </c:pt>
                <c:pt idx="82">
                  <c:v>3.2290000000000001</c:v>
                </c:pt>
                <c:pt idx="83">
                  <c:v>3.274</c:v>
                </c:pt>
                <c:pt idx="84">
                  <c:v>3.2250000000000001</c:v>
                </c:pt>
                <c:pt idx="85">
                  <c:v>3.1989999999999998</c:v>
                </c:pt>
                <c:pt idx="86">
                  <c:v>3.1779999999999999</c:v>
                </c:pt>
                <c:pt idx="87">
                  <c:v>3.202</c:v>
                </c:pt>
                <c:pt idx="88">
                  <c:v>3.2040000000000002</c:v>
                </c:pt>
                <c:pt idx="89">
                  <c:v>3.226</c:v>
                </c:pt>
                <c:pt idx="90">
                  <c:v>3.1779999999999999</c:v>
                </c:pt>
                <c:pt idx="91">
                  <c:v>3.2210000000000001</c:v>
                </c:pt>
                <c:pt idx="92">
                  <c:v>3.1819999999999999</c:v>
                </c:pt>
                <c:pt idx="93">
                  <c:v>3.1949999999999998</c:v>
                </c:pt>
                <c:pt idx="94">
                  <c:v>3.1829999999999998</c:v>
                </c:pt>
                <c:pt idx="95">
                  <c:v>3.2010000000000001</c:v>
                </c:pt>
                <c:pt idx="96">
                  <c:v>3.1339999999999999</c:v>
                </c:pt>
                <c:pt idx="97">
                  <c:v>3.101</c:v>
                </c:pt>
                <c:pt idx="98">
                  <c:v>3.17</c:v>
                </c:pt>
                <c:pt idx="99">
                  <c:v>3.117</c:v>
                </c:pt>
                <c:pt idx="100">
                  <c:v>3.11</c:v>
                </c:pt>
                <c:pt idx="101">
                  <c:v>3.0609999999999999</c:v>
                </c:pt>
                <c:pt idx="102">
                  <c:v>3.0870000000000002</c:v>
                </c:pt>
                <c:pt idx="103">
                  <c:v>3.0630000000000002</c:v>
                </c:pt>
                <c:pt idx="104">
                  <c:v>3.0640000000000001</c:v>
                </c:pt>
                <c:pt idx="105">
                  <c:v>3.1160000000000001</c:v>
                </c:pt>
                <c:pt idx="106">
                  <c:v>3.1240000000000001</c:v>
                </c:pt>
                <c:pt idx="107">
                  <c:v>3.1480000000000001</c:v>
                </c:pt>
                <c:pt idx="108">
                  <c:v>3.141</c:v>
                </c:pt>
                <c:pt idx="109">
                  <c:v>3.1320000000000001</c:v>
                </c:pt>
                <c:pt idx="110">
                  <c:v>3.1669999999999998</c:v>
                </c:pt>
                <c:pt idx="111">
                  <c:v>3.1579999999999999</c:v>
                </c:pt>
                <c:pt idx="112">
                  <c:v>3.0990000000000002</c:v>
                </c:pt>
                <c:pt idx="113">
                  <c:v>3.0619999999999998</c:v>
                </c:pt>
                <c:pt idx="114">
                  <c:v>3.0910000000000002</c:v>
                </c:pt>
                <c:pt idx="115">
                  <c:v>3.1749999999999998</c:v>
                </c:pt>
                <c:pt idx="116">
                  <c:v>3.1579999999999999</c:v>
                </c:pt>
                <c:pt idx="117">
                  <c:v>3.1680000000000001</c:v>
                </c:pt>
                <c:pt idx="118">
                  <c:v>3.1930000000000001</c:v>
                </c:pt>
                <c:pt idx="119">
                  <c:v>3.2149999999999999</c:v>
                </c:pt>
                <c:pt idx="120">
                  <c:v>3.2</c:v>
                </c:pt>
                <c:pt idx="121">
                  <c:v>3.1829999999999998</c:v>
                </c:pt>
                <c:pt idx="122">
                  <c:v>3.161</c:v>
                </c:pt>
                <c:pt idx="123">
                  <c:v>3.173</c:v>
                </c:pt>
                <c:pt idx="124">
                  <c:v>3.125</c:v>
                </c:pt>
                <c:pt idx="125">
                  <c:v>3.0939999999999999</c:v>
                </c:pt>
                <c:pt idx="126">
                  <c:v>3.101</c:v>
                </c:pt>
                <c:pt idx="127">
                  <c:v>3.1419999999999999</c:v>
                </c:pt>
                <c:pt idx="128">
                  <c:v>3.089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4057-4998-86F3-8FB131D0D559}"/>
            </c:ext>
          </c:extLst>
        </c:ser>
        <c:dLbls>
          <c:showLegendKey val="0"/>
          <c:showVal val="0"/>
          <c:showCatName val="0"/>
          <c:showSerName val="0"/>
          <c:showPercent val="0"/>
          <c:showBubbleSize val="0"/>
        </c:dLbls>
        <c:smooth val="0"/>
        <c:axId val="833444448"/>
        <c:axId val="833453568"/>
      </c:lineChart>
      <c:dateAx>
        <c:axId val="833444448"/>
        <c:scaling>
          <c:orientation val="minMax"/>
        </c:scaling>
        <c:delete val="0"/>
        <c:axPos val="b"/>
        <c:numFmt formatCode="dd\-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33453568"/>
        <c:crosses val="autoZero"/>
        <c:auto val="0"/>
        <c:lblOffset val="100"/>
        <c:baseTimeUnit val="days"/>
        <c:majorUnit val="1"/>
        <c:majorTimeUnit val="months"/>
        <c:minorUnit val="1"/>
        <c:minorTimeUnit val="days"/>
      </c:dateAx>
      <c:valAx>
        <c:axId val="833453568"/>
        <c:scaling>
          <c:orientation val="minMax"/>
          <c:max val="3.5"/>
          <c:min val="2.5"/>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33444448"/>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Semi Annual">
      <a:dk1>
        <a:sysClr val="windowText" lastClr="000000"/>
      </a:dk1>
      <a:lt1>
        <a:sysClr val="window" lastClr="FFFFFF"/>
      </a:lt1>
      <a:dk2>
        <a:srgbClr val="44546A"/>
      </a:dk2>
      <a:lt2>
        <a:srgbClr val="E7E6E6"/>
      </a:lt2>
      <a:accent1>
        <a:srgbClr val="034EA2"/>
      </a:accent1>
      <a:accent2>
        <a:srgbClr val="70AD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B&amp;L">
    <a:dk1>
      <a:srgbClr val="4D4D4D"/>
    </a:dk1>
    <a:lt1>
      <a:srgbClr val="FFFFFF"/>
    </a:lt1>
    <a:dk2>
      <a:srgbClr val="034EA2"/>
    </a:dk2>
    <a:lt2>
      <a:srgbClr val="D3E8F9"/>
    </a:lt2>
    <a:accent1>
      <a:srgbClr val="034EA2"/>
    </a:accent1>
    <a:accent2>
      <a:srgbClr val="FFC000"/>
    </a:accent2>
    <a:accent3>
      <a:srgbClr val="4C4B9A"/>
    </a:accent3>
    <a:accent4>
      <a:srgbClr val="45A6DD"/>
    </a:accent4>
    <a:accent5>
      <a:srgbClr val="00833D"/>
    </a:accent5>
    <a:accent6>
      <a:srgbClr val="F58A4B"/>
    </a:accent6>
    <a:hlink>
      <a:srgbClr val="0563C1"/>
    </a:hlink>
    <a:folHlink>
      <a:srgbClr val="24337E"/>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F58E2EF54E454EA52B55214ED8DE92" ma:contentTypeVersion="17" ma:contentTypeDescription="Create a new document." ma:contentTypeScope="" ma:versionID="9414361dd0de931eabf26d748330bcb9">
  <xsd:schema xmlns:xsd="http://www.w3.org/2001/XMLSchema" xmlns:xs="http://www.w3.org/2001/XMLSchema" xmlns:p="http://schemas.microsoft.com/office/2006/metadata/properties" xmlns:ns2="f34d8b02-ef1e-468a-baea-6b8502d30466" xmlns:ns3="5641df17-ff07-4a01-b99c-e2ec37129fd4" targetNamespace="http://schemas.microsoft.com/office/2006/metadata/properties" ma:root="true" ma:fieldsID="29273953bb227b499625c31d9cf91650" ns2:_="" ns3:_="">
    <xsd:import namespace="f34d8b02-ef1e-468a-baea-6b8502d30466"/>
    <xsd:import namespace="5641df17-ff07-4a01-b99c-e2ec37129f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ARESnumber" minOccurs="0"/>
                <xsd:element ref="ns2:lcf76f155ced4ddcb4097134ff3c332f"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Unit" minOccurs="0"/>
                <xsd:element ref="ns2:MediaServiceSearchProperties" minOccurs="0"/>
                <xsd:element ref="ns2:Printed" minOccurs="0"/>
                <xsd:element ref="ns2:Pri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d8b02-ef1e-468a-baea-6b8502d30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RESnumber" ma:index="12" nillable="true" ma:displayName="ARES number" ma:format="Dropdown" ma:internalName="ARESnumber">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Unit" ma:index="20" nillable="true" ma:displayName="Unit" ma:format="Dropdown" ma:internalName="Unit">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Printed" ma:index="22" nillable="true" ma:displayName="Printed" ma:default="0" ma:format="Dropdown" ma:internalName="Printed">
      <xsd:simpleType>
        <xsd:restriction base="dms:Boolean"/>
      </xsd:simpleType>
    </xsd:element>
    <xsd:element name="Print" ma:index="23" nillable="true" ma:displayName="Print" ma:default="0" ma:description="File for printing" ma:format="Dropdown" ma:internalName="Pri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41df17-ff07-4a01-b99c-e2ec37129f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4d8b02-ef1e-468a-baea-6b8502d30466">
      <Terms xmlns="http://schemas.microsoft.com/office/infopath/2007/PartnerControls"/>
    </lcf76f155ced4ddcb4097134ff3c332f>
    <Unit xmlns="f34d8b02-ef1e-468a-baea-6b8502d30466" xsi:nil="true"/>
    <ARESnumber xmlns="f34d8b02-ef1e-468a-baea-6b8502d30466" xsi:nil="true"/>
    <Printed xmlns="f34d8b02-ef1e-468a-baea-6b8502d30466">false</Printed>
    <Print xmlns="f34d8b02-ef1e-468a-baea-6b8502d30466">false</Pri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1EB6-4D50-425D-9BED-4E5F5D66E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d8b02-ef1e-468a-baea-6b8502d30466"/>
    <ds:schemaRef ds:uri="5641df17-ff07-4a01-b99c-e2ec37129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D84AA-26DF-44BD-B729-4DCED448F13E}">
  <ds:schemaRefs>
    <ds:schemaRef ds:uri="http://schemas.microsoft.com/office/2006/metadata/properties"/>
    <ds:schemaRef ds:uri="http://schemas.microsoft.com/office/infopath/2007/PartnerControls"/>
    <ds:schemaRef ds:uri="f34d8b02-ef1e-468a-baea-6b8502d30466"/>
  </ds:schemaRefs>
</ds:datastoreItem>
</file>

<file path=customXml/itemProps3.xml><?xml version="1.0" encoding="utf-8"?>
<ds:datastoreItem xmlns:ds="http://schemas.openxmlformats.org/officeDocument/2006/customXml" ds:itemID="{0AFA94C4-E85F-4C7D-86AE-AE48CDBB8582}">
  <ds:schemaRefs>
    <ds:schemaRef ds:uri="http://schemas.microsoft.com/sharepoint/v3/contenttype/forms"/>
  </ds:schemaRefs>
</ds:datastoreItem>
</file>

<file path=customXml/itemProps4.xml><?xml version="1.0" encoding="utf-8"?>
<ds:datastoreItem xmlns:ds="http://schemas.openxmlformats.org/officeDocument/2006/customXml" ds:itemID="{B9CA96E5-5CE2-4B6B-8AA4-DB9C87A0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4371</Words>
  <Characters>24920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29233</CharactersWithSpaces>
  <SharedDoc>false</SharedDoc>
  <HLinks>
    <vt:vector size="96" baseType="variant">
      <vt:variant>
        <vt:i4>7667806</vt:i4>
      </vt:variant>
      <vt:variant>
        <vt:i4>51</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7667806</vt:i4>
      </vt:variant>
      <vt:variant>
        <vt:i4>48</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1441847</vt:i4>
      </vt:variant>
      <vt:variant>
        <vt:i4>38</vt:i4>
      </vt:variant>
      <vt:variant>
        <vt:i4>0</vt:i4>
      </vt:variant>
      <vt:variant>
        <vt:i4>5</vt:i4>
      </vt:variant>
      <vt:variant>
        <vt:lpwstr/>
      </vt:variant>
      <vt:variant>
        <vt:lpwstr>_Toc190904653</vt:lpwstr>
      </vt:variant>
      <vt:variant>
        <vt:i4>1441847</vt:i4>
      </vt:variant>
      <vt:variant>
        <vt:i4>32</vt:i4>
      </vt:variant>
      <vt:variant>
        <vt:i4>0</vt:i4>
      </vt:variant>
      <vt:variant>
        <vt:i4>5</vt:i4>
      </vt:variant>
      <vt:variant>
        <vt:lpwstr/>
      </vt:variant>
      <vt:variant>
        <vt:lpwstr>_Toc190904651</vt:lpwstr>
      </vt:variant>
      <vt:variant>
        <vt:i4>1441847</vt:i4>
      </vt:variant>
      <vt:variant>
        <vt:i4>26</vt:i4>
      </vt:variant>
      <vt:variant>
        <vt:i4>0</vt:i4>
      </vt:variant>
      <vt:variant>
        <vt:i4>5</vt:i4>
      </vt:variant>
      <vt:variant>
        <vt:lpwstr/>
      </vt:variant>
      <vt:variant>
        <vt:lpwstr>_Toc190904650</vt:lpwstr>
      </vt:variant>
      <vt:variant>
        <vt:i4>1507383</vt:i4>
      </vt:variant>
      <vt:variant>
        <vt:i4>20</vt:i4>
      </vt:variant>
      <vt:variant>
        <vt:i4>0</vt:i4>
      </vt:variant>
      <vt:variant>
        <vt:i4>5</vt:i4>
      </vt:variant>
      <vt:variant>
        <vt:lpwstr/>
      </vt:variant>
      <vt:variant>
        <vt:lpwstr>_Toc190904647</vt:lpwstr>
      </vt:variant>
      <vt:variant>
        <vt:i4>1507383</vt:i4>
      </vt:variant>
      <vt:variant>
        <vt:i4>14</vt:i4>
      </vt:variant>
      <vt:variant>
        <vt:i4>0</vt:i4>
      </vt:variant>
      <vt:variant>
        <vt:i4>5</vt:i4>
      </vt:variant>
      <vt:variant>
        <vt:lpwstr/>
      </vt:variant>
      <vt:variant>
        <vt:lpwstr>_Toc190904643</vt:lpwstr>
      </vt:variant>
      <vt:variant>
        <vt:i4>1507383</vt:i4>
      </vt:variant>
      <vt:variant>
        <vt:i4>8</vt:i4>
      </vt:variant>
      <vt:variant>
        <vt:i4>0</vt:i4>
      </vt:variant>
      <vt:variant>
        <vt:i4>5</vt:i4>
      </vt:variant>
      <vt:variant>
        <vt:lpwstr/>
      </vt:variant>
      <vt:variant>
        <vt:lpwstr>_Toc190904642</vt:lpwstr>
      </vt:variant>
      <vt:variant>
        <vt:i4>1507383</vt:i4>
      </vt:variant>
      <vt:variant>
        <vt:i4>2</vt:i4>
      </vt:variant>
      <vt:variant>
        <vt:i4>0</vt:i4>
      </vt:variant>
      <vt:variant>
        <vt:i4>5</vt:i4>
      </vt:variant>
      <vt:variant>
        <vt:lpwstr/>
      </vt:variant>
      <vt:variant>
        <vt:lpwstr>_Toc190904641</vt:lpwstr>
      </vt:variant>
      <vt:variant>
        <vt:i4>2097171</vt:i4>
      </vt:variant>
      <vt:variant>
        <vt:i4>18</vt:i4>
      </vt:variant>
      <vt:variant>
        <vt:i4>0</vt:i4>
      </vt:variant>
      <vt:variant>
        <vt:i4>5</vt:i4>
      </vt:variant>
      <vt:variant>
        <vt:lpwstr>https://commission.europa.eu/strategy-and-policy/eu-budget/eu-borrower-investor-relations/nextgenerationeu-green-bonds/dashboard_en</vt:lpwstr>
      </vt:variant>
      <vt:variant>
        <vt:lpwstr/>
      </vt:variant>
      <vt:variant>
        <vt:i4>7143527</vt:i4>
      </vt:variant>
      <vt:variant>
        <vt:i4>15</vt:i4>
      </vt:variant>
      <vt:variant>
        <vt:i4>0</vt:i4>
      </vt:variant>
      <vt:variant>
        <vt:i4>5</vt:i4>
      </vt:variant>
      <vt:variant>
        <vt:lpwstr>https://commission.europa.eu/system/files/2023-07/Fourth half-yearly report on the execution of the EU borrowing and lending operations.PDF</vt:lpwstr>
      </vt:variant>
      <vt:variant>
        <vt:lpwstr/>
      </vt:variant>
      <vt:variant>
        <vt:i4>7143426</vt:i4>
      </vt:variant>
      <vt:variant>
        <vt:i4>12</vt:i4>
      </vt:variant>
      <vt:variant>
        <vt:i4>0</vt:i4>
      </vt:variant>
      <vt:variant>
        <vt:i4>5</vt:i4>
      </vt:variant>
      <vt:variant>
        <vt:lpwstr>https://www.eca.europa.eu/Lists/ECAReplies/COM-Replies-SR-2023-16/COM-Replies-SR-2023-16_EN.pdf</vt:lpwstr>
      </vt:variant>
      <vt:variant>
        <vt:lpwstr/>
      </vt:variant>
      <vt:variant>
        <vt:i4>4653163</vt:i4>
      </vt:variant>
      <vt:variant>
        <vt:i4>9</vt:i4>
      </vt:variant>
      <vt:variant>
        <vt:i4>0</vt:i4>
      </vt:variant>
      <vt:variant>
        <vt:i4>5</vt:i4>
      </vt:variant>
      <vt:variant>
        <vt:lpwstr>https://www.eca.europa.eu/ECAPublications/SR-2023-16/SR-2023-16_EN.pdf</vt:lpwstr>
      </vt:variant>
      <vt:variant>
        <vt:lpwstr/>
      </vt:variant>
      <vt:variant>
        <vt:i4>7667806</vt:i4>
      </vt:variant>
      <vt:variant>
        <vt:i4>6</vt:i4>
      </vt:variant>
      <vt:variant>
        <vt:i4>0</vt:i4>
      </vt:variant>
      <vt:variant>
        <vt:i4>5</vt:i4>
      </vt:variant>
      <vt:variant>
        <vt:lpwstr>https://commission.europa.eu/document/download/abdee617-a078-4ee3-a3ec-20c7d32725b5_en?filename=NextGenerationEU%20Green%20Bonds%20Allocation%20and%20Impact%20Report%202024.pdf</vt:lpwstr>
      </vt:variant>
      <vt:variant>
        <vt:lpwstr/>
      </vt:variant>
      <vt:variant>
        <vt:i4>1179737</vt:i4>
      </vt:variant>
      <vt:variant>
        <vt:i4>3</vt:i4>
      </vt:variant>
      <vt:variant>
        <vt:i4>0</vt:i4>
      </vt:variant>
      <vt:variant>
        <vt:i4>5</vt:i4>
      </vt:variant>
      <vt:variant>
        <vt:lpwstr>https://eur-lex.europa.eu/legal-content/EN/TXT/PDF/?uri=CELEX:52024DC0240</vt:lpwstr>
      </vt:variant>
      <vt:variant>
        <vt:lpwstr/>
      </vt:variant>
      <vt:variant>
        <vt:i4>4653150</vt:i4>
      </vt:variant>
      <vt:variant>
        <vt:i4>0</vt:i4>
      </vt:variant>
      <vt:variant>
        <vt:i4>0</vt:i4>
      </vt:variant>
      <vt:variant>
        <vt:i4>5</vt:i4>
      </vt:variant>
      <vt:variant>
        <vt:lpwstr>https://commission.europa.eu/document/download/187852c2-07e0-4bef-af3f-5719b9077f2e_en?filename=COM_2024_474_1_EN_ACT_part1_v2.pdf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2026-01-19T11:19:00Z</cp:lastPrinted>
  <dcterms:created xsi:type="dcterms:W3CDTF">2026-03-26T15:48:00Z</dcterms:created>
  <dcterms:modified xsi:type="dcterms:W3CDTF">2026-04-14T08:05:00Z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2023-01-06T16:26:08Z</vt:lpwstr>
  </property>
  <property fmtid="{D5CDD505-2E9C-101B-9397-08002B2CF9AE}" pid="11" name="MSIP_Label_6bd9ddd1-4d20-43f6-abfa-fc3c07406f94_Method">
    <vt:lpwstr>Privileged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4805f13c-dee7-466f-8124-a3d55c6ed3fb</vt:lpwstr>
  </property>
  <property fmtid="{D5CDD505-2E9C-101B-9397-08002B2CF9AE}" pid="15" name="MSIP_Label_6bd9ddd1-4d20-43f6-abfa-fc3c07406f94_ContentBits">
    <vt:lpwstr>0</vt:lpwstr>
  </property>
  <property fmtid="{D5CDD505-2E9C-101B-9397-08002B2CF9AE}" pid="16" name="ContentTypeId">
    <vt:lpwstr>0x01010042F58E2EF54E454EA52B55214ED8DE92</vt:lpwstr>
  </property>
  <property fmtid="{D5CDD505-2E9C-101B-9397-08002B2CF9AE}" pid="17" name="_dlc_DocIdItemGuid">
    <vt:lpwstr>db1e2f6f-95af-4d44-836c-7358ec0b13c1</vt:lpwstr>
  </property>
  <property fmtid="{D5CDD505-2E9C-101B-9397-08002B2CF9AE}" pid="18" name="MediaServiceImageTags">
    <vt:lpwstr/>
  </property>
</Properties>
</file>