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5893E7" w14:textId="0648FE28" w:rsidR="008B6253" w:rsidRPr="001B3164" w:rsidRDefault="00AD2825" w:rsidP="00AD2825">
      <w:pPr>
        <w:pStyle w:val="Pagedecouverture"/>
        <w:rPr>
          <w:noProof/>
        </w:rPr>
      </w:pPr>
      <w:bookmarkStart w:id="0" w:name="LW_BM_COVERPAGE"/>
      <w:r>
        <w:rPr>
          <w:noProof/>
        </w:rPr>
        <w:pict w14:anchorId="347AB5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1ECD4425-2E3C-4E5A-B490-C409D5BC41E0" style="width:455.25pt;height:354.75pt">
            <v:imagedata r:id="rId11" o:title=""/>
          </v:shape>
        </w:pict>
      </w:r>
    </w:p>
    <w:bookmarkEnd w:id="0"/>
    <w:p w14:paraId="492EB121" w14:textId="77777777" w:rsidR="008B6253" w:rsidRPr="001B3164" w:rsidRDefault="008B6253" w:rsidP="008B6253">
      <w:pPr>
        <w:rPr>
          <w:noProof/>
        </w:rPr>
        <w:sectPr w:rsidR="008B6253" w:rsidRPr="001B3164" w:rsidSect="00AD282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F4E0FE7" w14:textId="77777777" w:rsidR="008B6253" w:rsidRPr="001B3164" w:rsidRDefault="008B6253" w:rsidP="008B6253">
      <w:pPr>
        <w:pStyle w:val="TOCHeading"/>
        <w:rPr>
          <w:rFonts w:eastAsiaTheme="minorHAnsi"/>
          <w:b w:val="0"/>
          <w:noProof/>
          <w:sz w:val="24"/>
          <w:lang w:val="en-IE"/>
        </w:rPr>
      </w:pPr>
      <w:bookmarkStart w:id="1" w:name="_GoBack"/>
      <w:bookmarkEnd w:id="1"/>
    </w:p>
    <w:sdt>
      <w:sdtPr>
        <w:rPr>
          <w:rFonts w:eastAsiaTheme="minorEastAsia"/>
          <w:b w:val="0"/>
          <w:noProof/>
          <w:sz w:val="24"/>
        </w:rPr>
        <w:id w:val="-874687748"/>
        <w:docPartObj>
          <w:docPartGallery w:val="Table of Contents"/>
          <w:docPartUnique/>
        </w:docPartObj>
      </w:sdtPr>
      <w:sdtEndPr>
        <w:rPr>
          <w:sz w:val="22"/>
          <w:szCs w:val="22"/>
        </w:rPr>
      </w:sdtEndPr>
      <w:sdtContent>
        <w:p w14:paraId="10C4E212" w14:textId="77777777" w:rsidR="008B6253" w:rsidRPr="001B3164" w:rsidRDefault="008B6253" w:rsidP="008B6253">
          <w:pPr>
            <w:pStyle w:val="TOCHeading"/>
            <w:rPr>
              <w:noProof/>
              <w:color w:val="034EA2" w:themeColor="accent1"/>
            </w:rPr>
          </w:pPr>
          <w:r>
            <w:rPr>
              <w:noProof/>
              <w:color w:val="034EA2" w:themeColor="accent1"/>
            </w:rPr>
            <w:t>Table des matières</w:t>
          </w:r>
        </w:p>
        <w:p w14:paraId="55E71E89" w14:textId="445CD32D" w:rsidR="00A67F74" w:rsidRDefault="008B6253">
          <w:pPr>
            <w:pStyle w:val="TOC1"/>
            <w:rPr>
              <w:rFonts w:asciiTheme="minorHAnsi" w:eastAsiaTheme="minorEastAsia" w:hAnsiTheme="minorHAnsi" w:cstheme="minorBidi"/>
              <w:noProof/>
              <w:kern w:val="2"/>
              <w:sz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25513066" w:history="1">
            <w:r w:rsidR="00A67F74" w:rsidRPr="00F250F9">
              <w:rPr>
                <w:rStyle w:val="Hyperlink"/>
                <w:noProof/>
              </w:rPr>
              <w:t>1.</w:t>
            </w:r>
            <w:r w:rsidR="00A67F74">
              <w:rPr>
                <w:rFonts w:asciiTheme="minorHAnsi" w:eastAsiaTheme="minorEastAsia" w:hAnsiTheme="minorHAnsi" w:cstheme="minorBidi"/>
                <w:noProof/>
                <w:kern w:val="2"/>
                <w:sz w:val="24"/>
                <w:lang w:val="en-IE" w:eastAsia="en-IE"/>
                <w14:ligatures w14:val="standardContextual"/>
              </w:rPr>
              <w:tab/>
            </w:r>
            <w:r w:rsidR="00A67F74" w:rsidRPr="00F250F9">
              <w:rPr>
                <w:rStyle w:val="Hyperlink"/>
                <w:noProof/>
              </w:rPr>
              <w:t>Synthèse</w:t>
            </w:r>
            <w:r w:rsidR="00A67F74">
              <w:rPr>
                <w:noProof/>
                <w:webHidden/>
              </w:rPr>
              <w:tab/>
            </w:r>
            <w:r w:rsidR="00A67F74">
              <w:rPr>
                <w:noProof/>
                <w:webHidden/>
              </w:rPr>
              <w:fldChar w:fldCharType="begin"/>
            </w:r>
            <w:r w:rsidR="00A67F74">
              <w:rPr>
                <w:noProof/>
                <w:webHidden/>
              </w:rPr>
              <w:instrText xml:space="preserve"> PAGEREF _Toc225513066 \h </w:instrText>
            </w:r>
            <w:r w:rsidR="00A67F74">
              <w:rPr>
                <w:noProof/>
                <w:webHidden/>
              </w:rPr>
            </w:r>
            <w:r w:rsidR="00A67F74">
              <w:rPr>
                <w:noProof/>
                <w:webHidden/>
              </w:rPr>
              <w:fldChar w:fldCharType="separate"/>
            </w:r>
            <w:r w:rsidR="00A67F74">
              <w:rPr>
                <w:noProof/>
                <w:webHidden/>
              </w:rPr>
              <w:t>3</w:t>
            </w:r>
            <w:r w:rsidR="00A67F74">
              <w:rPr>
                <w:noProof/>
                <w:webHidden/>
              </w:rPr>
              <w:fldChar w:fldCharType="end"/>
            </w:r>
          </w:hyperlink>
        </w:p>
        <w:p w14:paraId="1E8B3FBE" w14:textId="79DE37F4" w:rsidR="00A67F74" w:rsidRDefault="00AD2825">
          <w:pPr>
            <w:pStyle w:val="TOC1"/>
            <w:rPr>
              <w:rFonts w:asciiTheme="minorHAnsi" w:eastAsiaTheme="minorEastAsia" w:hAnsiTheme="minorHAnsi" w:cstheme="minorBidi"/>
              <w:noProof/>
              <w:kern w:val="2"/>
              <w:sz w:val="24"/>
              <w:lang w:val="en-IE" w:eastAsia="en-IE"/>
              <w14:ligatures w14:val="standardContextual"/>
            </w:rPr>
          </w:pPr>
          <w:hyperlink w:anchor="_Toc225513067" w:history="1">
            <w:r w:rsidR="00A67F74" w:rsidRPr="00F250F9">
              <w:rPr>
                <w:rStyle w:val="Hyperlink"/>
                <w:noProof/>
              </w:rPr>
              <w:t>2.</w:t>
            </w:r>
            <w:r w:rsidR="00A67F74">
              <w:rPr>
                <w:rFonts w:asciiTheme="minorHAnsi" w:eastAsiaTheme="minorEastAsia" w:hAnsiTheme="minorHAnsi" w:cstheme="minorBidi"/>
                <w:noProof/>
                <w:kern w:val="2"/>
                <w:sz w:val="24"/>
                <w:lang w:val="en-IE" w:eastAsia="en-IE"/>
                <w14:ligatures w14:val="standardContextual"/>
              </w:rPr>
              <w:tab/>
            </w:r>
            <w:r w:rsidR="00A67F74" w:rsidRPr="00F250F9">
              <w:rPr>
                <w:rStyle w:val="Hyperlink"/>
                <w:noProof/>
              </w:rPr>
              <w:t>Introduction</w:t>
            </w:r>
            <w:r w:rsidR="00A67F74">
              <w:rPr>
                <w:noProof/>
                <w:webHidden/>
              </w:rPr>
              <w:tab/>
            </w:r>
            <w:r w:rsidR="00A67F74">
              <w:rPr>
                <w:noProof/>
                <w:webHidden/>
              </w:rPr>
              <w:fldChar w:fldCharType="begin"/>
            </w:r>
            <w:r w:rsidR="00A67F74">
              <w:rPr>
                <w:noProof/>
                <w:webHidden/>
              </w:rPr>
              <w:instrText xml:space="preserve"> PAGEREF _Toc225513067 \h </w:instrText>
            </w:r>
            <w:r w:rsidR="00A67F74">
              <w:rPr>
                <w:noProof/>
                <w:webHidden/>
              </w:rPr>
            </w:r>
            <w:r w:rsidR="00A67F74">
              <w:rPr>
                <w:noProof/>
                <w:webHidden/>
              </w:rPr>
              <w:fldChar w:fldCharType="separate"/>
            </w:r>
            <w:r w:rsidR="00A67F74">
              <w:rPr>
                <w:noProof/>
                <w:webHidden/>
              </w:rPr>
              <w:t>4</w:t>
            </w:r>
            <w:r w:rsidR="00A67F74">
              <w:rPr>
                <w:noProof/>
                <w:webHidden/>
              </w:rPr>
              <w:fldChar w:fldCharType="end"/>
            </w:r>
          </w:hyperlink>
        </w:p>
        <w:p w14:paraId="5F192AEC" w14:textId="1D8EBBA2" w:rsidR="00A67F74" w:rsidRDefault="00AD2825">
          <w:pPr>
            <w:pStyle w:val="TOC1"/>
            <w:rPr>
              <w:rFonts w:asciiTheme="minorHAnsi" w:eastAsiaTheme="minorEastAsia" w:hAnsiTheme="minorHAnsi" w:cstheme="minorBidi"/>
              <w:noProof/>
              <w:kern w:val="2"/>
              <w:sz w:val="24"/>
              <w:lang w:val="en-IE" w:eastAsia="en-IE"/>
              <w14:ligatures w14:val="standardContextual"/>
            </w:rPr>
          </w:pPr>
          <w:hyperlink w:anchor="_Toc225513068" w:history="1">
            <w:r w:rsidR="00A67F74" w:rsidRPr="00F250F9">
              <w:rPr>
                <w:rStyle w:val="Hyperlink"/>
                <w:noProof/>
              </w:rPr>
              <w:t>3.</w:t>
            </w:r>
            <w:r w:rsidR="00A67F74">
              <w:rPr>
                <w:rFonts w:asciiTheme="minorHAnsi" w:eastAsiaTheme="minorEastAsia" w:hAnsiTheme="minorHAnsi" w:cstheme="minorBidi"/>
                <w:noProof/>
                <w:kern w:val="2"/>
                <w:sz w:val="24"/>
                <w:lang w:val="en-IE" w:eastAsia="en-IE"/>
                <w14:ligatures w14:val="standardContextual"/>
              </w:rPr>
              <w:tab/>
            </w:r>
            <w:r w:rsidR="00A67F74" w:rsidRPr="00F250F9">
              <w:rPr>
                <w:rStyle w:val="Hyperlink"/>
                <w:noProof/>
              </w:rPr>
              <w:t>Mise en œuvre des opérations d’emprunt au second semestre de 2025</w:t>
            </w:r>
            <w:r w:rsidR="00A67F74">
              <w:rPr>
                <w:noProof/>
                <w:webHidden/>
              </w:rPr>
              <w:tab/>
            </w:r>
            <w:r w:rsidR="00A67F74">
              <w:rPr>
                <w:noProof/>
                <w:webHidden/>
              </w:rPr>
              <w:fldChar w:fldCharType="begin"/>
            </w:r>
            <w:r w:rsidR="00A67F74">
              <w:rPr>
                <w:noProof/>
                <w:webHidden/>
              </w:rPr>
              <w:instrText xml:space="preserve"> PAGEREF _Toc225513068 \h </w:instrText>
            </w:r>
            <w:r w:rsidR="00A67F74">
              <w:rPr>
                <w:noProof/>
                <w:webHidden/>
              </w:rPr>
            </w:r>
            <w:r w:rsidR="00A67F74">
              <w:rPr>
                <w:noProof/>
                <w:webHidden/>
              </w:rPr>
              <w:fldChar w:fldCharType="separate"/>
            </w:r>
            <w:r w:rsidR="00A67F74">
              <w:rPr>
                <w:noProof/>
                <w:webHidden/>
              </w:rPr>
              <w:t>5</w:t>
            </w:r>
            <w:r w:rsidR="00A67F74">
              <w:rPr>
                <w:noProof/>
                <w:webHidden/>
              </w:rPr>
              <w:fldChar w:fldCharType="end"/>
            </w:r>
          </w:hyperlink>
        </w:p>
        <w:p w14:paraId="5A24F643" w14:textId="0B352FEC" w:rsidR="00A67F74" w:rsidRDefault="00AD2825">
          <w:pPr>
            <w:pStyle w:val="TOC1"/>
            <w:rPr>
              <w:rFonts w:asciiTheme="minorHAnsi" w:eastAsiaTheme="minorEastAsia" w:hAnsiTheme="minorHAnsi" w:cstheme="minorBidi"/>
              <w:noProof/>
              <w:kern w:val="2"/>
              <w:sz w:val="24"/>
              <w:lang w:val="en-IE" w:eastAsia="en-IE"/>
              <w14:ligatures w14:val="standardContextual"/>
            </w:rPr>
          </w:pPr>
          <w:hyperlink w:anchor="_Toc225513073" w:history="1">
            <w:r w:rsidR="00A67F74" w:rsidRPr="00F250F9">
              <w:rPr>
                <w:rStyle w:val="Hyperlink"/>
                <w:noProof/>
              </w:rPr>
              <w:t>4.</w:t>
            </w:r>
            <w:r w:rsidR="00A67F74">
              <w:rPr>
                <w:rFonts w:asciiTheme="minorHAnsi" w:eastAsiaTheme="minorEastAsia" w:hAnsiTheme="minorHAnsi" w:cstheme="minorBidi"/>
                <w:noProof/>
                <w:kern w:val="2"/>
                <w:sz w:val="24"/>
                <w:lang w:val="en-IE" w:eastAsia="en-IE"/>
                <w14:ligatures w14:val="standardContextual"/>
              </w:rPr>
              <w:tab/>
            </w:r>
            <w:r w:rsidR="00A67F74" w:rsidRPr="00F250F9">
              <w:rPr>
                <w:rStyle w:val="Hyperlink"/>
                <w:noProof/>
              </w:rPr>
              <w:t>Coût du financement et coûts de la gestion des liquidités</w:t>
            </w:r>
            <w:r w:rsidR="00A67F74">
              <w:rPr>
                <w:noProof/>
                <w:webHidden/>
              </w:rPr>
              <w:tab/>
            </w:r>
            <w:r w:rsidR="00A67F74">
              <w:rPr>
                <w:noProof/>
                <w:webHidden/>
              </w:rPr>
              <w:fldChar w:fldCharType="begin"/>
            </w:r>
            <w:r w:rsidR="00A67F74">
              <w:rPr>
                <w:noProof/>
                <w:webHidden/>
              </w:rPr>
              <w:instrText xml:space="preserve"> PAGEREF _Toc225513073 \h </w:instrText>
            </w:r>
            <w:r w:rsidR="00A67F74">
              <w:rPr>
                <w:noProof/>
                <w:webHidden/>
              </w:rPr>
            </w:r>
            <w:r w:rsidR="00A67F74">
              <w:rPr>
                <w:noProof/>
                <w:webHidden/>
              </w:rPr>
              <w:fldChar w:fldCharType="separate"/>
            </w:r>
            <w:r w:rsidR="00A67F74">
              <w:rPr>
                <w:noProof/>
                <w:webHidden/>
              </w:rPr>
              <w:t>10</w:t>
            </w:r>
            <w:r w:rsidR="00A67F74">
              <w:rPr>
                <w:noProof/>
                <w:webHidden/>
              </w:rPr>
              <w:fldChar w:fldCharType="end"/>
            </w:r>
          </w:hyperlink>
        </w:p>
        <w:p w14:paraId="1DA4863B" w14:textId="23968602" w:rsidR="00A67F74" w:rsidRDefault="00AD2825">
          <w:pPr>
            <w:pStyle w:val="TOC1"/>
            <w:rPr>
              <w:rFonts w:asciiTheme="minorHAnsi" w:eastAsiaTheme="minorEastAsia" w:hAnsiTheme="minorHAnsi" w:cstheme="minorBidi"/>
              <w:noProof/>
              <w:kern w:val="2"/>
              <w:sz w:val="24"/>
              <w:lang w:val="en-IE" w:eastAsia="en-IE"/>
              <w14:ligatures w14:val="standardContextual"/>
            </w:rPr>
          </w:pPr>
          <w:hyperlink w:anchor="_Toc225513076" w:history="1">
            <w:r w:rsidR="00A67F74" w:rsidRPr="00F250F9">
              <w:rPr>
                <w:rStyle w:val="Hyperlink"/>
                <w:noProof/>
              </w:rPr>
              <w:t>5.</w:t>
            </w:r>
            <w:r w:rsidR="00A67F74">
              <w:rPr>
                <w:rFonts w:asciiTheme="minorHAnsi" w:eastAsiaTheme="minorEastAsia" w:hAnsiTheme="minorHAnsi" w:cstheme="minorBidi"/>
                <w:noProof/>
                <w:kern w:val="2"/>
                <w:sz w:val="24"/>
                <w:lang w:val="en-IE" w:eastAsia="en-IE"/>
                <w14:ligatures w14:val="standardContextual"/>
              </w:rPr>
              <w:tab/>
            </w:r>
            <w:r w:rsidR="00A67F74" w:rsidRPr="00F250F9">
              <w:rPr>
                <w:rStyle w:val="Hyperlink"/>
                <w:noProof/>
              </w:rPr>
              <w:t>Autres jalons au premier semestre de 2025</w:t>
            </w:r>
            <w:r w:rsidR="00A67F74">
              <w:rPr>
                <w:noProof/>
                <w:webHidden/>
              </w:rPr>
              <w:tab/>
            </w:r>
            <w:r w:rsidR="00A67F74">
              <w:rPr>
                <w:noProof/>
                <w:webHidden/>
              </w:rPr>
              <w:fldChar w:fldCharType="begin"/>
            </w:r>
            <w:r w:rsidR="00A67F74">
              <w:rPr>
                <w:noProof/>
                <w:webHidden/>
              </w:rPr>
              <w:instrText xml:space="preserve"> PAGEREF _Toc225513076 \h </w:instrText>
            </w:r>
            <w:r w:rsidR="00A67F74">
              <w:rPr>
                <w:noProof/>
                <w:webHidden/>
              </w:rPr>
            </w:r>
            <w:r w:rsidR="00A67F74">
              <w:rPr>
                <w:noProof/>
                <w:webHidden/>
              </w:rPr>
              <w:fldChar w:fldCharType="separate"/>
            </w:r>
            <w:r w:rsidR="00A67F74">
              <w:rPr>
                <w:noProof/>
                <w:webHidden/>
              </w:rPr>
              <w:t>12</w:t>
            </w:r>
            <w:r w:rsidR="00A67F74">
              <w:rPr>
                <w:noProof/>
                <w:webHidden/>
              </w:rPr>
              <w:fldChar w:fldCharType="end"/>
            </w:r>
          </w:hyperlink>
        </w:p>
        <w:p w14:paraId="4BBE389C" w14:textId="6DF5787E" w:rsidR="00A67F74" w:rsidRDefault="00AD2825">
          <w:pPr>
            <w:pStyle w:val="TOC1"/>
            <w:rPr>
              <w:rFonts w:asciiTheme="minorHAnsi" w:eastAsiaTheme="minorEastAsia" w:hAnsiTheme="minorHAnsi" w:cstheme="minorBidi"/>
              <w:noProof/>
              <w:kern w:val="2"/>
              <w:sz w:val="24"/>
              <w:lang w:val="en-IE" w:eastAsia="en-IE"/>
              <w14:ligatures w14:val="standardContextual"/>
            </w:rPr>
          </w:pPr>
          <w:hyperlink w:anchor="_Toc225513077" w:history="1">
            <w:r w:rsidR="00A67F74" w:rsidRPr="00F250F9">
              <w:rPr>
                <w:rStyle w:val="Hyperlink"/>
                <w:noProof/>
              </w:rPr>
              <w:t>6.</w:t>
            </w:r>
            <w:r w:rsidR="00A67F74">
              <w:rPr>
                <w:rFonts w:asciiTheme="minorHAnsi" w:eastAsiaTheme="minorEastAsia" w:hAnsiTheme="minorHAnsi" w:cstheme="minorBidi"/>
                <w:noProof/>
                <w:kern w:val="2"/>
                <w:sz w:val="24"/>
                <w:lang w:val="en-IE" w:eastAsia="en-IE"/>
                <w14:ligatures w14:val="standardContextual"/>
              </w:rPr>
              <w:tab/>
            </w:r>
            <w:r w:rsidR="00A67F74" w:rsidRPr="00F250F9">
              <w:rPr>
                <w:rStyle w:val="Hyperlink"/>
                <w:noProof/>
              </w:rPr>
              <w:t>Perspectives d’émission pour le premier semestre de 2026</w:t>
            </w:r>
            <w:r w:rsidR="00A67F74">
              <w:rPr>
                <w:noProof/>
                <w:webHidden/>
              </w:rPr>
              <w:tab/>
            </w:r>
            <w:r w:rsidR="00A67F74">
              <w:rPr>
                <w:noProof/>
                <w:webHidden/>
              </w:rPr>
              <w:fldChar w:fldCharType="begin"/>
            </w:r>
            <w:r w:rsidR="00A67F74">
              <w:rPr>
                <w:noProof/>
                <w:webHidden/>
              </w:rPr>
              <w:instrText xml:space="preserve"> PAGEREF _Toc225513077 \h </w:instrText>
            </w:r>
            <w:r w:rsidR="00A67F74">
              <w:rPr>
                <w:noProof/>
                <w:webHidden/>
              </w:rPr>
            </w:r>
            <w:r w:rsidR="00A67F74">
              <w:rPr>
                <w:noProof/>
                <w:webHidden/>
              </w:rPr>
              <w:fldChar w:fldCharType="separate"/>
            </w:r>
            <w:r w:rsidR="00A67F74">
              <w:rPr>
                <w:noProof/>
                <w:webHidden/>
              </w:rPr>
              <w:t>13</w:t>
            </w:r>
            <w:r w:rsidR="00A67F74">
              <w:rPr>
                <w:noProof/>
                <w:webHidden/>
              </w:rPr>
              <w:fldChar w:fldCharType="end"/>
            </w:r>
          </w:hyperlink>
        </w:p>
        <w:p w14:paraId="67FF848D" w14:textId="5B8E94D5" w:rsidR="008B6253" w:rsidRPr="001B3164" w:rsidRDefault="008B6253" w:rsidP="008B6253">
          <w:pPr>
            <w:rPr>
              <w:noProof/>
            </w:rPr>
          </w:pPr>
          <w:r>
            <w:rPr>
              <w:b/>
              <w:noProof/>
            </w:rPr>
            <w:fldChar w:fldCharType="end"/>
          </w:r>
        </w:p>
      </w:sdtContent>
    </w:sdt>
    <w:p w14:paraId="508CF8A7" w14:textId="77777777" w:rsidR="008B6253" w:rsidRPr="001B3164" w:rsidRDefault="008B6253" w:rsidP="008B6253">
      <w:pPr>
        <w:rPr>
          <w:noProof/>
        </w:rPr>
      </w:pPr>
    </w:p>
    <w:p w14:paraId="4B2BF9EE" w14:textId="77777777" w:rsidR="008B6253" w:rsidRPr="001B3164" w:rsidRDefault="008B6253" w:rsidP="008B6253">
      <w:pPr>
        <w:rPr>
          <w:noProof/>
          <w:u w:val="single"/>
        </w:rPr>
        <w:sectPr w:rsidR="008B6253" w:rsidRPr="001B3164" w:rsidSect="008B6253">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0"/>
          <w:cols w:space="720"/>
          <w:docGrid w:linePitch="360"/>
        </w:sectPr>
      </w:pPr>
    </w:p>
    <w:p w14:paraId="2FAA58D2" w14:textId="509EDFEE" w:rsidR="00DE46C8" w:rsidRDefault="00F03A68" w:rsidP="003A72E2">
      <w:pPr>
        <w:spacing w:line="259" w:lineRule="auto"/>
        <w:jc w:val="left"/>
        <w:rPr>
          <w:b/>
          <w:noProof/>
          <w:color w:val="44546A" w:themeColor="text2"/>
          <w:sz w:val="28"/>
        </w:rPr>
      </w:pPr>
      <w:bookmarkStart w:id="2" w:name="infographic"/>
      <w:r>
        <w:rPr>
          <w:b/>
          <w:noProof/>
          <w:color w:val="44546A" w:themeColor="text2"/>
          <w:sz w:val="28"/>
        </w:rPr>
        <w:t>FONDS LEVÉS AU COURS DU SECOND SEMESTRE DE 2025</w:t>
      </w:r>
    </w:p>
    <w:p w14:paraId="66DCB8C9" w14:textId="49619805" w:rsidR="00F7377C" w:rsidRPr="001B3164" w:rsidRDefault="00F7377C" w:rsidP="003A72E2">
      <w:pPr>
        <w:spacing w:line="259" w:lineRule="auto"/>
        <w:jc w:val="left"/>
        <w:rPr>
          <w:rFonts w:cstheme="minorBidi"/>
          <w:b/>
          <w:bCs/>
          <w:noProof/>
          <w:color w:val="44546A" w:themeColor="text2"/>
          <w:sz w:val="28"/>
          <w:szCs w:val="28"/>
        </w:rPr>
      </w:pPr>
      <w:r>
        <w:rPr>
          <w:rFonts w:cstheme="minorBidi"/>
          <w:b/>
          <w:bCs/>
          <w:noProof/>
          <w:color w:val="44546A" w:themeColor="text2"/>
          <w:sz w:val="28"/>
          <w:szCs w:val="28"/>
        </w:rPr>
        <w:t xml:space="preserve"> </w:t>
      </w:r>
      <w:r w:rsidR="00EA7C8A" w:rsidRPr="00EA7C8A">
        <w:rPr>
          <w:noProof/>
          <w:lang w:val="en-GB" w:eastAsia="en-GB"/>
        </w:rPr>
        <w:drawing>
          <wp:inline distT="0" distB="0" distL="0" distR="0" wp14:anchorId="4011DF25" wp14:editId="156A2658">
            <wp:extent cx="5542857" cy="2009524"/>
            <wp:effectExtent l="0" t="0" r="1270" b="0"/>
            <wp:docPr id="1136645086"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645086" name="Picture 1" descr="A close-up of a document&#10;&#10;AI-generated content may be incorrect."/>
                    <pic:cNvPicPr/>
                  </pic:nvPicPr>
                  <pic:blipFill>
                    <a:blip r:embed="rId24"/>
                    <a:stretch>
                      <a:fillRect/>
                    </a:stretch>
                  </pic:blipFill>
                  <pic:spPr>
                    <a:xfrm>
                      <a:off x="0" y="0"/>
                      <a:ext cx="5542857" cy="2009524"/>
                    </a:xfrm>
                    <a:prstGeom prst="rect">
                      <a:avLst/>
                    </a:prstGeom>
                  </pic:spPr>
                </pic:pic>
              </a:graphicData>
            </a:graphic>
          </wp:inline>
        </w:drawing>
      </w:r>
    </w:p>
    <w:p w14:paraId="646258EE" w14:textId="77777777" w:rsidR="00DE46C8" w:rsidRPr="001B3164" w:rsidRDefault="00DE46C8" w:rsidP="003A72E2">
      <w:pPr>
        <w:spacing w:before="360" w:after="0"/>
        <w:jc w:val="left"/>
        <w:rPr>
          <w:b/>
          <w:bCs/>
          <w:noProof/>
          <w:color w:val="44546A" w:themeColor="text2"/>
          <w:sz w:val="28"/>
          <w:szCs w:val="28"/>
        </w:rPr>
      </w:pPr>
      <w:r>
        <w:rPr>
          <w:b/>
          <w:noProof/>
          <w:color w:val="44546A" w:themeColor="text2"/>
          <w:sz w:val="28"/>
        </w:rPr>
        <w:t>UTILISATION DU PRODUIT DES EMPRUNTS AU SECOND SEMESTRE DE 2025</w:t>
      </w:r>
    </w:p>
    <w:p w14:paraId="4376C808" w14:textId="4D20E77E" w:rsidR="00DE46C8" w:rsidRPr="001B3164" w:rsidRDefault="00DE46C8" w:rsidP="000262A2">
      <w:pPr>
        <w:rPr>
          <w:noProof/>
        </w:rPr>
      </w:pPr>
    </w:p>
    <w:p w14:paraId="21745DA6" w14:textId="43F694DF" w:rsidR="00E857E7" w:rsidRDefault="00847F7A" w:rsidP="00E45DDC">
      <w:pPr>
        <w:tabs>
          <w:tab w:val="left" w:pos="5430"/>
        </w:tabs>
        <w:jc w:val="left"/>
        <w:rPr>
          <w:rFonts w:cstheme="minorBidi"/>
          <w:b/>
          <w:bCs/>
          <w:noProof/>
          <w:color w:val="44546A" w:themeColor="text2"/>
          <w:sz w:val="28"/>
          <w:szCs w:val="28"/>
        </w:rPr>
      </w:pPr>
      <w:r w:rsidRPr="00847F7A">
        <w:rPr>
          <w:noProof/>
          <w:lang w:val="en-GB" w:eastAsia="en-GB"/>
        </w:rPr>
        <w:drawing>
          <wp:inline distT="0" distB="0" distL="0" distR="0" wp14:anchorId="39872CD8" wp14:editId="2AB964C2">
            <wp:extent cx="2724150" cy="3032280"/>
            <wp:effectExtent l="0" t="0" r="0" b="0"/>
            <wp:docPr id="14638477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37000" cy="3046584"/>
                    </a:xfrm>
                    <a:prstGeom prst="rect">
                      <a:avLst/>
                    </a:prstGeom>
                    <a:noFill/>
                    <a:ln>
                      <a:noFill/>
                    </a:ln>
                  </pic:spPr>
                </pic:pic>
              </a:graphicData>
            </a:graphic>
          </wp:inline>
        </w:drawing>
      </w:r>
      <w:r w:rsidR="003C2019">
        <w:rPr>
          <w:rFonts w:cstheme="minorBidi"/>
          <w:b/>
          <w:bCs/>
          <w:noProof/>
          <w:color w:val="44546A" w:themeColor="text2"/>
          <w:sz w:val="28"/>
          <w:szCs w:val="28"/>
        </w:rPr>
        <w:t xml:space="preserve"> </w:t>
      </w:r>
      <w:r w:rsidRPr="00847F7A">
        <w:rPr>
          <w:noProof/>
          <w:lang w:val="en-GB" w:eastAsia="en-GB"/>
        </w:rPr>
        <w:drawing>
          <wp:inline distT="0" distB="0" distL="0" distR="0" wp14:anchorId="491F4722" wp14:editId="669773EB">
            <wp:extent cx="2886075" cy="2967687"/>
            <wp:effectExtent l="0" t="0" r="0" b="0"/>
            <wp:docPr id="13565491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94285" cy="2976129"/>
                    </a:xfrm>
                    <a:prstGeom prst="rect">
                      <a:avLst/>
                    </a:prstGeom>
                    <a:noFill/>
                    <a:ln>
                      <a:noFill/>
                    </a:ln>
                  </pic:spPr>
                </pic:pic>
              </a:graphicData>
            </a:graphic>
          </wp:inline>
        </w:drawing>
      </w:r>
    </w:p>
    <w:p w14:paraId="35C2D82B" w14:textId="77777777" w:rsidR="00E857E7" w:rsidRPr="001B3164" w:rsidRDefault="00AD2825" w:rsidP="00E857E7">
      <w:pPr>
        <w:rPr>
          <w:noProof/>
        </w:rPr>
      </w:pPr>
      <w:r>
        <w:rPr>
          <w:noProof/>
        </w:rPr>
      </w:r>
      <w:r>
        <w:rPr>
          <w:noProof/>
        </w:rPr>
        <w:pict w14:anchorId="6CDB9ECA">
          <v:shapetype id="_x0000_t202" coordsize="21600,21600" o:spt="202" path="m,l,21600r21600,l21600,xe">
            <v:stroke joinstyle="miter"/>
            <v:path gradientshapeok="t" o:connecttype="rect"/>
          </v:shapetype>
          <v:shape id="_x0000_s2162" type="#_x0000_t202" style="width:214.9pt;height:18pt;mso-left-percent:-10001;mso-top-percent:-10001;mso-position-horizontal:absolute;mso-position-horizontal-relative:char;mso-position-vertical:absolute;mso-position-vertical-relative:line;mso-left-percent:-10001;mso-top-percent:-10001" filled="f" stroked="f">
            <v:textbox style="mso-next-textbox:#_x0000_s2162">
              <w:txbxContent>
                <w:p w14:paraId="4067AC8F" w14:textId="175FD637" w:rsidR="00E857E7" w:rsidRPr="00BB07E3" w:rsidRDefault="00E857E7" w:rsidP="00E857E7">
                  <w:pPr>
                    <w:rPr>
                      <w:color w:val="595959" w:themeColor="text1" w:themeTint="A6"/>
                    </w:rPr>
                  </w:pPr>
                  <w:r>
                    <w:rPr>
                      <w:i/>
                      <w:color w:val="595959" w:themeColor="text1" w:themeTint="A6"/>
                      <w:sz w:val="18"/>
                    </w:rPr>
                    <w:t xml:space="preserve">Tous les montants sont exprimés en </w:t>
                  </w:r>
                  <w:r w:rsidR="00063655">
                    <w:rPr>
                      <w:i/>
                      <w:color w:val="595959" w:themeColor="text1" w:themeTint="A6"/>
                      <w:sz w:val="18"/>
                    </w:rPr>
                    <w:t>Mrd</w:t>
                  </w:r>
                  <w:r>
                    <w:rPr>
                      <w:i/>
                      <w:color w:val="595959" w:themeColor="text1" w:themeTint="A6"/>
                      <w:sz w:val="18"/>
                    </w:rPr>
                    <w:t xml:space="preserve"> EUR</w:t>
                  </w:r>
                </w:p>
                <w:p w14:paraId="6453C97B" w14:textId="77777777" w:rsidR="00E857E7" w:rsidRPr="00BB07E3" w:rsidRDefault="00E857E7" w:rsidP="00E857E7">
                  <w:pPr>
                    <w:rPr>
                      <w:color w:val="595959" w:themeColor="text1" w:themeTint="A6"/>
                    </w:rPr>
                  </w:pPr>
                </w:p>
              </w:txbxContent>
            </v:textbox>
            <w10:wrap type="none" anchory="page"/>
            <w10:anchorlock/>
          </v:shape>
        </w:pict>
      </w:r>
    </w:p>
    <w:p w14:paraId="62A9EF9D" w14:textId="77777777" w:rsidR="005466DF" w:rsidRDefault="00DE46C8" w:rsidP="00E45DDC">
      <w:pPr>
        <w:tabs>
          <w:tab w:val="left" w:pos="5430"/>
        </w:tabs>
        <w:jc w:val="left"/>
        <w:rPr>
          <w:noProof/>
        </w:rPr>
      </w:pPr>
      <w:r>
        <w:rPr>
          <w:b/>
          <w:noProof/>
          <w:color w:val="44546A" w:themeColor="text2"/>
          <w:sz w:val="28"/>
        </w:rPr>
        <w:t>ENCOURS DES OBLIGATIONS DE L’UE</w:t>
      </w:r>
    </w:p>
    <w:p w14:paraId="30223788" w14:textId="0C3EA25F" w:rsidR="00DE46C8" w:rsidRPr="005466DF" w:rsidRDefault="00DE46C8" w:rsidP="00E45DDC">
      <w:pPr>
        <w:tabs>
          <w:tab w:val="left" w:pos="5430"/>
        </w:tabs>
        <w:jc w:val="left"/>
        <w:rPr>
          <w:noProof/>
        </w:rPr>
      </w:pPr>
      <w:r>
        <w:rPr>
          <w:noProof/>
          <w:color w:val="44546A" w:themeColor="text2"/>
        </w:rPr>
        <w:t>au 31.12.2025</w:t>
      </w:r>
      <w:r w:rsidR="00987C3A" w:rsidRPr="00987C3A">
        <w:rPr>
          <w:noProof/>
          <w:lang w:val="en-GB" w:eastAsia="en-GB"/>
        </w:rPr>
        <w:drawing>
          <wp:inline distT="0" distB="0" distL="0" distR="0" wp14:anchorId="2797A0D5" wp14:editId="4CF0F7F2">
            <wp:extent cx="5731510" cy="1964690"/>
            <wp:effectExtent l="0" t="0" r="0" b="0"/>
            <wp:docPr id="608822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1964690"/>
                    </a:xfrm>
                    <a:prstGeom prst="rect">
                      <a:avLst/>
                    </a:prstGeom>
                    <a:noFill/>
                    <a:ln>
                      <a:noFill/>
                    </a:ln>
                  </pic:spPr>
                </pic:pic>
              </a:graphicData>
            </a:graphic>
          </wp:inline>
        </w:drawing>
      </w:r>
      <w:r>
        <w:rPr>
          <w:rFonts w:asciiTheme="minorHAnsi" w:hAnsiTheme="minorHAnsi"/>
          <w:noProof/>
        </w:rPr>
        <w:t xml:space="preserve">* </w:t>
      </w:r>
      <w:r>
        <w:rPr>
          <w:noProof/>
          <w:color w:val="000000" w:themeColor="text1"/>
          <w:sz w:val="20"/>
        </w:rPr>
        <w:t>Cela inclut les produits du remboursement anticipé pour le mécanisme européen de stabilisation financière (MESF).</w:t>
      </w:r>
    </w:p>
    <w:p w14:paraId="4B8F3AA7" w14:textId="42ACC0FC" w:rsidR="003A72E2" w:rsidRDefault="003A72E2" w:rsidP="003A72E2">
      <w:pPr>
        <w:spacing w:before="360" w:after="0"/>
        <w:jc w:val="left"/>
        <w:rPr>
          <w:b/>
          <w:noProof/>
          <w:color w:val="44546A" w:themeColor="text2"/>
        </w:rPr>
      </w:pPr>
      <w:r>
        <w:rPr>
          <w:b/>
          <w:noProof/>
          <w:color w:val="44546A" w:themeColor="text2"/>
          <w:sz w:val="28"/>
        </w:rPr>
        <w:t>SUBVENTIONS ET ENCOURS DES PRÊTS FINANCÉS PAR DES EMPRUNTS</w:t>
      </w:r>
      <w:r>
        <w:rPr>
          <w:noProof/>
        </w:rPr>
        <w:t xml:space="preserve"> </w:t>
      </w:r>
      <w:r>
        <w:rPr>
          <w:noProof/>
        </w:rPr>
        <w:br/>
      </w:r>
      <w:r>
        <w:rPr>
          <w:noProof/>
          <w:color w:val="44546A" w:themeColor="text2"/>
        </w:rPr>
        <w:t>au 31.12.2025</w:t>
      </w:r>
      <w:r>
        <w:rPr>
          <w:b/>
          <w:noProof/>
          <w:color w:val="44546A" w:themeColor="text2"/>
        </w:rPr>
        <w:t xml:space="preserve"> </w:t>
      </w:r>
    </w:p>
    <w:p w14:paraId="0E32ED72" w14:textId="51F52C2C" w:rsidR="003C2019" w:rsidRPr="003A72E2" w:rsidRDefault="004C3ECA" w:rsidP="003A72E2">
      <w:pPr>
        <w:spacing w:before="360" w:after="0"/>
        <w:jc w:val="left"/>
        <w:rPr>
          <w:b/>
          <w:bCs/>
          <w:noProof/>
          <w:color w:val="44546A" w:themeColor="text2"/>
          <w:sz w:val="28"/>
          <w:szCs w:val="28"/>
        </w:rPr>
      </w:pPr>
      <w:r w:rsidRPr="004C3ECA">
        <w:rPr>
          <w:noProof/>
          <w:lang w:val="en-GB" w:eastAsia="en-GB"/>
        </w:rPr>
        <w:drawing>
          <wp:inline distT="0" distB="0" distL="0" distR="0" wp14:anchorId="14148001" wp14:editId="7C02D3FE">
            <wp:extent cx="2827614" cy="3333750"/>
            <wp:effectExtent l="0" t="0" r="0" b="0"/>
            <wp:docPr id="5951931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36981" cy="3344794"/>
                    </a:xfrm>
                    <a:prstGeom prst="rect">
                      <a:avLst/>
                    </a:prstGeom>
                    <a:noFill/>
                    <a:ln>
                      <a:noFill/>
                    </a:ln>
                  </pic:spPr>
                </pic:pic>
              </a:graphicData>
            </a:graphic>
          </wp:inline>
        </w:drawing>
      </w:r>
      <w:r w:rsidR="009C0C9C" w:rsidRPr="009C0C9C">
        <w:rPr>
          <w:noProof/>
          <w:lang w:val="en-GB" w:eastAsia="en-GB"/>
        </w:rPr>
        <w:drawing>
          <wp:inline distT="0" distB="0" distL="0" distR="0" wp14:anchorId="45AC83B4" wp14:editId="5BFEF56B">
            <wp:extent cx="2762250" cy="3244901"/>
            <wp:effectExtent l="0" t="0" r="0" b="0"/>
            <wp:docPr id="1237482094" name="Picture 1" descr="A graph of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482094" name="Picture 1" descr="A graph of numbers and text&#10;&#10;AI-generated content may be incorrect."/>
                    <pic:cNvPicPr/>
                  </pic:nvPicPr>
                  <pic:blipFill>
                    <a:blip r:embed="rId29"/>
                    <a:stretch>
                      <a:fillRect/>
                    </a:stretch>
                  </pic:blipFill>
                  <pic:spPr>
                    <a:xfrm>
                      <a:off x="0" y="0"/>
                      <a:ext cx="2768689" cy="3252465"/>
                    </a:xfrm>
                    <a:prstGeom prst="rect">
                      <a:avLst/>
                    </a:prstGeom>
                  </pic:spPr>
                </pic:pic>
              </a:graphicData>
            </a:graphic>
          </wp:inline>
        </w:drawing>
      </w:r>
    </w:p>
    <w:p w14:paraId="28D354DB" w14:textId="77777777" w:rsidR="00E45DDC" w:rsidRPr="001B3164" w:rsidRDefault="00AD2825" w:rsidP="00E45DDC">
      <w:pPr>
        <w:rPr>
          <w:noProof/>
        </w:rPr>
      </w:pPr>
      <w:r>
        <w:rPr>
          <w:noProof/>
        </w:rPr>
      </w:r>
      <w:r>
        <w:rPr>
          <w:noProof/>
        </w:rPr>
        <w:pict w14:anchorId="429681DC">
          <v:shape id="_x0000_s2161" type="#_x0000_t202" style="width:214.9pt;height:18pt;mso-left-percent:-10001;mso-top-percent:-10001;mso-position-horizontal:absolute;mso-position-horizontal-relative:char;mso-position-vertical:absolute;mso-position-vertical-relative:line;mso-left-percent:-10001;mso-top-percent:-10001" filled="f" stroked="f">
            <v:textbox style="mso-next-textbox:#_x0000_s2161">
              <w:txbxContent>
                <w:p w14:paraId="23009FC7" w14:textId="2A858B9C" w:rsidR="00E45DDC" w:rsidRPr="00BB07E3" w:rsidRDefault="00E45DDC" w:rsidP="00E45DDC">
                  <w:pPr>
                    <w:rPr>
                      <w:color w:val="595959" w:themeColor="text1" w:themeTint="A6"/>
                    </w:rPr>
                  </w:pPr>
                  <w:r>
                    <w:rPr>
                      <w:i/>
                      <w:color w:val="595959" w:themeColor="text1" w:themeTint="A6"/>
                      <w:sz w:val="18"/>
                    </w:rPr>
                    <w:t xml:space="preserve">Tous les montants sont exprimés en </w:t>
                  </w:r>
                  <w:r w:rsidR="00D366C7">
                    <w:rPr>
                      <w:i/>
                      <w:color w:val="595959" w:themeColor="text1" w:themeTint="A6"/>
                      <w:sz w:val="18"/>
                    </w:rPr>
                    <w:t>Mrd</w:t>
                  </w:r>
                  <w:r>
                    <w:rPr>
                      <w:i/>
                      <w:color w:val="595959" w:themeColor="text1" w:themeTint="A6"/>
                      <w:sz w:val="18"/>
                    </w:rPr>
                    <w:t xml:space="preserve"> EUR</w:t>
                  </w:r>
                </w:p>
                <w:p w14:paraId="69FE5A60" w14:textId="77777777" w:rsidR="00E45DDC" w:rsidRPr="00BB07E3" w:rsidRDefault="00E45DDC" w:rsidP="00E45DDC">
                  <w:pPr>
                    <w:rPr>
                      <w:color w:val="595959" w:themeColor="text1" w:themeTint="A6"/>
                    </w:rPr>
                  </w:pPr>
                </w:p>
              </w:txbxContent>
            </v:textbox>
            <w10:wrap anchory="page"/>
            <w10:anchorlock/>
          </v:shape>
        </w:pict>
      </w:r>
    </w:p>
    <w:p w14:paraId="7016E62F" w14:textId="7FC40A43" w:rsidR="003A72E2" w:rsidRPr="00863348" w:rsidRDefault="00AD2825" w:rsidP="003C2019">
      <w:pPr>
        <w:rPr>
          <w:noProof/>
        </w:rPr>
      </w:pPr>
      <w:r>
        <w:rPr>
          <w:b/>
          <w:noProof/>
          <w:color w:val="44546A" w:themeColor="text2"/>
          <w:sz w:val="28"/>
        </w:rPr>
        <w:pict w14:anchorId="6FB2DFFD">
          <v:rect id="_x0000_s2160" style="position:absolute;left:0;text-align:left;margin-left:0;margin-top:17.1pt;width:225.05pt;height:125.7pt;z-index:-251658752" fillcolor="#f5f5f5" stroked="f"/>
        </w:pict>
      </w:r>
    </w:p>
    <w:tbl>
      <w:tblPr>
        <w:tblStyle w:val="TableGrid"/>
        <w:tblW w:w="907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5F5F5"/>
        <w:tblCellMar>
          <w:top w:w="113" w:type="dxa"/>
          <w:bottom w:w="113" w:type="dxa"/>
        </w:tblCellMar>
        <w:tblLook w:val="04A0" w:firstRow="1" w:lastRow="0" w:firstColumn="1" w:lastColumn="0" w:noHBand="0" w:noVBand="1"/>
      </w:tblPr>
      <w:tblGrid>
        <w:gridCol w:w="9076"/>
      </w:tblGrid>
      <w:tr w:rsidR="00DE46C8" w:rsidRPr="001B3164" w14:paraId="017E740E" w14:textId="77777777" w:rsidTr="0E388B1A">
        <w:trPr>
          <w:trHeight w:val="1943"/>
        </w:trPr>
        <w:tc>
          <w:tcPr>
            <w:tcW w:w="9076" w:type="dxa"/>
            <w:shd w:val="clear" w:color="auto" w:fill="F5F5F5"/>
          </w:tcPr>
          <w:p w14:paraId="2BB938B8" w14:textId="51603BCA" w:rsidR="00DE46C8" w:rsidRPr="001B3164" w:rsidRDefault="00DE46C8" w:rsidP="00A11F51">
            <w:pPr>
              <w:spacing w:after="120"/>
              <w:jc w:val="left"/>
              <w:rPr>
                <w:rFonts w:cstheme="minorBidi"/>
                <w:b/>
                <w:bCs/>
                <w:noProof/>
                <w:color w:val="034EA2"/>
              </w:rPr>
            </w:pPr>
            <w:r>
              <w:rPr>
                <w:b/>
                <w:noProof/>
                <w:color w:val="034EA2"/>
              </w:rPr>
              <w:t>INFORMATIONS CLÉS concernant le S2 2025</w:t>
            </w:r>
          </w:p>
          <w:p w14:paraId="7BC1BC4A" w14:textId="013FA44F" w:rsidR="00DE46C8" w:rsidRPr="001B3164" w:rsidRDefault="00DE46C8" w:rsidP="00A11F51">
            <w:pPr>
              <w:numPr>
                <w:ilvl w:val="0"/>
                <w:numId w:val="29"/>
              </w:numPr>
              <w:spacing w:after="60"/>
              <w:ind w:left="340" w:hanging="170"/>
              <w:contextualSpacing/>
              <w:jc w:val="left"/>
              <w:rPr>
                <w:rFonts w:cstheme="minorBidi"/>
                <w:noProof/>
                <w:color w:val="034EA2"/>
              </w:rPr>
            </w:pPr>
            <w:r>
              <w:rPr>
                <w:noProof/>
                <w:color w:val="034EA2"/>
              </w:rPr>
              <w:t>Quatre syndications et six adjudications ont permis de lever 66,8 milliards d’EUR, avec une échéance moyenne d’environ 12 ans.</w:t>
            </w:r>
          </w:p>
          <w:p w14:paraId="52614DBB" w14:textId="05EFC562" w:rsidR="00DE46C8" w:rsidRPr="001B3164" w:rsidRDefault="00DE46C8" w:rsidP="000E2E6E">
            <w:pPr>
              <w:numPr>
                <w:ilvl w:val="0"/>
                <w:numId w:val="29"/>
              </w:numPr>
              <w:spacing w:after="60"/>
              <w:ind w:left="340" w:hanging="170"/>
              <w:contextualSpacing/>
              <w:jc w:val="left"/>
              <w:rPr>
                <w:rFonts w:cstheme="minorBidi"/>
                <w:noProof/>
              </w:rPr>
            </w:pPr>
            <w:r>
              <w:rPr>
                <w:noProof/>
                <w:color w:val="034EA2"/>
              </w:rPr>
              <w:t>La plupart des fonds ont été utilisés pour NextGenerationEU (74,3 milliards d’EUR) et pour l’appui à l’Ukraine (18,0 milliards d’EUR), avec des décaissements supplémentaires au titre du programme d’assistance macrofinancière (AMF) pour la Jordanie (250 millions d’EUR), de la facilité pour les réformes et la croissance en faveur des Balkans occidentaux (65,8 millions d’EUR) et de la facilité pour les réformes et la croissance en faveur de la Moldavie (18,9 millions d’EUR)</w:t>
            </w:r>
            <w:r>
              <w:rPr>
                <w:noProof/>
                <w:color w:val="034EA2" w:themeColor="accent1"/>
              </w:rPr>
              <w:t>.</w:t>
            </w:r>
          </w:p>
          <w:p w14:paraId="56E1F420" w14:textId="5D98C768" w:rsidR="00B8217B" w:rsidRDefault="00B8217B" w:rsidP="00B8217B">
            <w:pPr>
              <w:numPr>
                <w:ilvl w:val="0"/>
                <w:numId w:val="29"/>
              </w:numPr>
              <w:spacing w:after="60"/>
              <w:ind w:left="340" w:hanging="170"/>
              <w:contextualSpacing/>
              <w:jc w:val="left"/>
              <w:rPr>
                <w:rFonts w:cstheme="minorBidi"/>
                <w:noProof/>
                <w:color w:val="034EA2"/>
              </w:rPr>
            </w:pPr>
            <w:r>
              <w:rPr>
                <w:noProof/>
                <w:color w:val="034EA2"/>
              </w:rPr>
              <w:t>Le coût du financement était le suivant:</w:t>
            </w:r>
          </w:p>
          <w:p w14:paraId="6C2D02C6" w14:textId="5108C3C4" w:rsidR="00B8217B" w:rsidRDefault="00B8217B" w:rsidP="00B8217B">
            <w:pPr>
              <w:spacing w:after="60"/>
              <w:ind w:left="340"/>
              <w:contextualSpacing/>
              <w:jc w:val="left"/>
              <w:rPr>
                <w:rFonts w:cstheme="minorBidi"/>
                <w:noProof/>
                <w:color w:val="034EA2"/>
              </w:rPr>
            </w:pPr>
            <w:r>
              <w:rPr>
                <w:noProof/>
                <w:color w:val="034EA2"/>
              </w:rPr>
              <w:t xml:space="preserve">pour NextGenerationEU: 3,32 % au second semestre de 2025 contre 3,24 % au premier semestre de 2025; </w:t>
            </w:r>
          </w:p>
          <w:p w14:paraId="1073FEF9" w14:textId="770D3703" w:rsidR="00B8217B" w:rsidRDefault="00DE46C8" w:rsidP="00B8217B">
            <w:pPr>
              <w:spacing w:after="60"/>
              <w:ind w:left="340"/>
              <w:contextualSpacing/>
              <w:jc w:val="left"/>
              <w:rPr>
                <w:rFonts w:cstheme="minorBidi"/>
                <w:noProof/>
                <w:color w:val="034EA2"/>
              </w:rPr>
            </w:pPr>
            <w:r>
              <w:rPr>
                <w:noProof/>
                <w:color w:val="034EA2"/>
              </w:rPr>
              <w:t xml:space="preserve">pour la facilité pour les réformes et la croissance en faveur des Balkans occidentaux: 2,72 % contre 2,85 % au premier semestre de 2025; </w:t>
            </w:r>
          </w:p>
          <w:p w14:paraId="79EFD9AB" w14:textId="46C2CC2B" w:rsidR="00DE46C8" w:rsidRPr="00B8217B" w:rsidRDefault="00DE46C8" w:rsidP="00B8217B">
            <w:pPr>
              <w:spacing w:after="60"/>
              <w:ind w:left="340"/>
              <w:contextualSpacing/>
              <w:jc w:val="left"/>
              <w:rPr>
                <w:rFonts w:cstheme="minorBidi"/>
                <w:noProof/>
                <w:color w:val="034EA2"/>
              </w:rPr>
            </w:pPr>
            <w:r>
              <w:rPr>
                <w:noProof/>
                <w:color w:val="034EA2"/>
              </w:rPr>
              <w:t>pour les autres programmes (sans compartiments temporels): 2,76 % pour la facilité pour l’Ukraine, 2,54 % pour le prêt AMF au titre de l’initiative des prêts par l’accélération de l’utilisation des recettes extraordinaires (ERA) du G7, 2,73 % pour la facilité pour les réformes et la croissance en faveur de la Moldavie et 2,79 % pour le prêt AMF à la Jordanie.</w:t>
            </w:r>
          </w:p>
        </w:tc>
      </w:tr>
    </w:tbl>
    <w:p w14:paraId="6B36E52C" w14:textId="77777777" w:rsidR="00DE46C8" w:rsidRPr="001B3164" w:rsidRDefault="00DE46C8">
      <w:pPr>
        <w:spacing w:line="259" w:lineRule="auto"/>
        <w:rPr>
          <w:noProof/>
        </w:rPr>
      </w:pPr>
    </w:p>
    <w:p w14:paraId="51911BFE" w14:textId="235BB66F" w:rsidR="00DE46C8" w:rsidRDefault="00DE46C8">
      <w:pPr>
        <w:spacing w:line="259" w:lineRule="auto"/>
        <w:jc w:val="left"/>
        <w:rPr>
          <w:rFonts w:cstheme="minorBidi"/>
          <w:b/>
          <w:bCs/>
          <w:noProof/>
          <w:color w:val="44546A" w:themeColor="text2"/>
          <w:sz w:val="28"/>
          <w:szCs w:val="28"/>
        </w:rPr>
      </w:pPr>
      <w:r>
        <w:rPr>
          <w:noProof/>
        </w:rPr>
        <w:br w:type="page"/>
      </w:r>
    </w:p>
    <w:p w14:paraId="01987EDC" w14:textId="77777777" w:rsidR="00F13D4C" w:rsidRPr="001B3164" w:rsidRDefault="00F13D4C" w:rsidP="00BE145B">
      <w:pPr>
        <w:pStyle w:val="Heading1"/>
        <w:rPr>
          <w:noProof/>
        </w:rPr>
      </w:pPr>
      <w:bookmarkStart w:id="3" w:name="_Toc202682638"/>
      <w:bookmarkStart w:id="4" w:name="_Toc225513066"/>
      <w:bookmarkEnd w:id="2"/>
      <w:r>
        <w:rPr>
          <w:noProof/>
        </w:rPr>
        <w:t>Synthèse</w:t>
      </w:r>
      <w:bookmarkEnd w:id="3"/>
      <w:bookmarkEnd w:id="4"/>
    </w:p>
    <w:p w14:paraId="5405F434" w14:textId="21BABCB6" w:rsidR="00590DA8" w:rsidRPr="001B3164" w:rsidRDefault="00590DA8" w:rsidP="00590DA8">
      <w:pPr>
        <w:rPr>
          <w:iCs/>
          <w:noProof/>
        </w:rPr>
      </w:pPr>
      <w:bookmarkStart w:id="5" w:name="_Hlk187319594"/>
      <w:bookmarkStart w:id="6" w:name="_Hlk156385433"/>
      <w:r>
        <w:rPr>
          <w:noProof/>
        </w:rPr>
        <w:t xml:space="preserve">Au cours du second semestre de 2025, l’UE a levé 66,8 milliards d’EUR de financement à long terme dans le cadre de quatre syndications et de six adjudications. Sur ce montant, 3,4 milliards d’EUR ont été levés par l’intermédiaire d’obligations vertes NextGenerationEU. Fin 2025, l’encours des obligations de l’UE s’élevait à </w:t>
      </w:r>
      <w:r>
        <w:rPr>
          <w:noProof/>
          <w:color w:val="000000" w:themeColor="text1"/>
        </w:rPr>
        <w:t>702,1 milliards d’EUR (avec une échéance résiduelle moyenne d’environ 12 ans), dont</w:t>
      </w:r>
      <w:r>
        <w:rPr>
          <w:rFonts w:ascii="Calibri" w:hAnsi="Calibri"/>
          <w:noProof/>
          <w:color w:val="000000" w:themeColor="text1"/>
        </w:rPr>
        <w:t xml:space="preserve"> </w:t>
      </w:r>
      <w:r>
        <w:rPr>
          <w:noProof/>
          <w:color w:val="000000" w:themeColor="text1"/>
        </w:rPr>
        <w:t>78,5 milliards</w:t>
      </w:r>
      <w:r>
        <w:rPr>
          <w:noProof/>
        </w:rPr>
        <w:t xml:space="preserve"> d’EUR en </w:t>
      </w:r>
      <w:r>
        <w:rPr>
          <w:noProof/>
          <w:color w:val="000000" w:themeColor="text1"/>
        </w:rPr>
        <w:t xml:space="preserve">obligations vertes NextGenerationEU. </w:t>
      </w:r>
      <w:r>
        <w:rPr>
          <w:noProof/>
        </w:rPr>
        <w:t xml:space="preserve">L’encours des titres de créance à court terme de l’UE </w:t>
      </w:r>
      <w:r>
        <w:rPr>
          <w:noProof/>
          <w:color w:val="000000" w:themeColor="text1"/>
        </w:rPr>
        <w:t>à la fin de 2025 s’élevait à</w:t>
      </w:r>
      <w:r>
        <w:rPr>
          <w:noProof/>
        </w:rPr>
        <w:t xml:space="preserve"> 36,8 milliards d’EUR, contre 33,3 milliards d’EUR au 30 juin 2025.</w:t>
      </w:r>
    </w:p>
    <w:p w14:paraId="4E150D94" w14:textId="6CD27D56" w:rsidR="00EA6251" w:rsidRDefault="00795799" w:rsidP="00795799">
      <w:pPr>
        <w:rPr>
          <w:iCs/>
          <w:noProof/>
          <w:szCs w:val="22"/>
        </w:rPr>
      </w:pPr>
      <w:r>
        <w:rPr>
          <w:noProof/>
        </w:rPr>
        <w:t>En 2025, la Commission a levé un total de 152,6 milliards d’EUR d’obligations de l’UE, dont les</w:t>
      </w:r>
      <w:r>
        <w:rPr>
          <w:rFonts w:ascii="Calibri" w:hAnsi="Calibri"/>
          <w:noProof/>
        </w:rPr>
        <w:t xml:space="preserve"> </w:t>
      </w:r>
      <w:r>
        <w:rPr>
          <w:noProof/>
        </w:rPr>
        <w:t>85,8 milliards</w:t>
      </w:r>
      <w:r>
        <w:rPr>
          <w:rFonts w:ascii="Calibri" w:hAnsi="Calibri"/>
          <w:noProof/>
        </w:rPr>
        <w:t xml:space="preserve"> </w:t>
      </w:r>
      <w:r>
        <w:rPr>
          <w:noProof/>
        </w:rPr>
        <w:t>d’EUR levés au cours du premier semestre de l’année. Il s’agit du niveau d’émissions annuel le plus élevé de l’UE à ce jour, suivant une augmentation constante observée les années précédentes (de 120 milliards</w:t>
      </w:r>
      <w:r>
        <w:rPr>
          <w:rFonts w:ascii="Calibri" w:hAnsi="Calibri"/>
          <w:noProof/>
        </w:rPr>
        <w:t xml:space="preserve"> </w:t>
      </w:r>
      <w:r>
        <w:rPr>
          <w:noProof/>
        </w:rPr>
        <w:t>d’EUR</w:t>
      </w:r>
      <w:r>
        <w:rPr>
          <w:rFonts w:ascii="Calibri" w:hAnsi="Calibri"/>
          <w:noProof/>
        </w:rPr>
        <w:t xml:space="preserve"> </w:t>
      </w:r>
      <w:r>
        <w:rPr>
          <w:noProof/>
        </w:rPr>
        <w:t>en 2023 à 140 milliards d’EUR en 2024).</w:t>
      </w:r>
    </w:p>
    <w:p w14:paraId="3B8D1066" w14:textId="0CC10D30" w:rsidR="00EA6251" w:rsidRPr="000B7472" w:rsidRDefault="00795799" w:rsidP="00EA6251">
      <w:pPr>
        <w:rPr>
          <w:noProof/>
        </w:rPr>
      </w:pPr>
      <w:r>
        <w:rPr>
          <w:noProof/>
        </w:rPr>
        <w:t>Les obligations émises par l’UE ont continué de bénéficier d’une forte demande de la part des investisseurs, tandis que les rendements des obligations de l’UE se sont resserrés par rapport à la plupart des obligations d’État européennes (OEE). Dans un contexte de volatilité des conditions de marché touchant tous les émetteurs, le coût moyen de financement de l’UE</w:t>
      </w:r>
      <w:r>
        <w:rPr>
          <w:rStyle w:val="FootnoteReference"/>
          <w:noProof/>
        </w:rPr>
        <w:footnoteReference w:id="2"/>
      </w:r>
      <w:r>
        <w:rPr>
          <w:noProof/>
        </w:rPr>
        <w:t xml:space="preserve"> a légèrement augmenté pour atteindre 3,32 %, contre 3,17 % au premier semestre de 2025. </w:t>
      </w:r>
    </w:p>
    <w:p w14:paraId="30AB5267" w14:textId="245367CE" w:rsidR="000E2E6E" w:rsidRDefault="00ED7D0E" w:rsidP="000E2E6E">
      <w:pPr>
        <w:rPr>
          <w:noProof/>
        </w:rPr>
      </w:pPr>
      <w:r>
        <w:rPr>
          <w:noProof/>
        </w:rPr>
        <w:t>Sur le produit des émissions, 74,3 milliards d’EUR ont été décaissés pour mettre en œuvre les investissements et les réformes NextGenerationEU au cours du second semestre de 2025, soit une augmentation substantielle par rapport aux</w:t>
      </w:r>
      <w:r>
        <w:rPr>
          <w:rFonts w:ascii="Calibri" w:hAnsi="Calibri"/>
          <w:noProof/>
        </w:rPr>
        <w:t xml:space="preserve"> </w:t>
      </w:r>
      <w:r>
        <w:rPr>
          <w:noProof/>
        </w:rPr>
        <w:t>12,8 milliards</w:t>
      </w:r>
      <w:r>
        <w:rPr>
          <w:rFonts w:ascii="Calibri" w:hAnsi="Calibri"/>
          <w:noProof/>
        </w:rPr>
        <w:t xml:space="preserve"> </w:t>
      </w:r>
      <w:r>
        <w:rPr>
          <w:noProof/>
        </w:rPr>
        <w:t>d’EUR décaissés au cours du premier semestre de 2025. L’Ukraine a reçu un total de 18,0 milliards d’EUR au titre de la facilité pour l’Ukraine et du programme d’AMF au titre de l’initiative ERA menée par le G7.</w:t>
      </w:r>
      <w:bookmarkStart w:id="7" w:name="_Hlk156380977"/>
      <w:r>
        <w:rPr>
          <w:noProof/>
        </w:rPr>
        <w:t xml:space="preserve"> En outre, le produit des emprunts a été utilisé pour financer un prêt de</w:t>
      </w:r>
      <w:r>
        <w:rPr>
          <w:rFonts w:ascii="Calibri" w:hAnsi="Calibri"/>
          <w:noProof/>
        </w:rPr>
        <w:t xml:space="preserve"> </w:t>
      </w:r>
      <w:r>
        <w:rPr>
          <w:noProof/>
        </w:rPr>
        <w:t>250 millions</w:t>
      </w:r>
      <w:r>
        <w:rPr>
          <w:rFonts w:ascii="Calibri" w:hAnsi="Calibri"/>
          <w:noProof/>
        </w:rPr>
        <w:t xml:space="preserve"> </w:t>
      </w:r>
      <w:r>
        <w:rPr>
          <w:noProof/>
        </w:rPr>
        <w:t>d’EUR au titre du programme d’AMF en faveur de la Jordanie, un prêt de</w:t>
      </w:r>
      <w:r>
        <w:rPr>
          <w:rFonts w:ascii="Calibri" w:hAnsi="Calibri"/>
          <w:noProof/>
        </w:rPr>
        <w:t xml:space="preserve"> </w:t>
      </w:r>
      <w:r>
        <w:rPr>
          <w:noProof/>
        </w:rPr>
        <w:t>18,9 millions</w:t>
      </w:r>
      <w:r>
        <w:rPr>
          <w:rFonts w:ascii="Calibri" w:hAnsi="Calibri"/>
          <w:noProof/>
        </w:rPr>
        <w:t xml:space="preserve"> </w:t>
      </w:r>
      <w:r>
        <w:rPr>
          <w:noProof/>
        </w:rPr>
        <w:t>d’EUR au titre de la facilité pour les réformes et la croissance en faveur de la Moldavie et un prêt de</w:t>
      </w:r>
      <w:r>
        <w:rPr>
          <w:rFonts w:ascii="Calibri" w:hAnsi="Calibri"/>
          <w:noProof/>
        </w:rPr>
        <w:t xml:space="preserve"> </w:t>
      </w:r>
      <w:r>
        <w:rPr>
          <w:noProof/>
        </w:rPr>
        <w:t>65,8 millions</w:t>
      </w:r>
      <w:r>
        <w:rPr>
          <w:rFonts w:ascii="Calibri" w:hAnsi="Calibri"/>
          <w:noProof/>
        </w:rPr>
        <w:t xml:space="preserve"> </w:t>
      </w:r>
      <w:r>
        <w:rPr>
          <w:noProof/>
        </w:rPr>
        <w:t>d’EUR en faveur de l’Albanie, de la Macédoine du Nord et du Monténégro au titre de la facilité pour les réformes et la croissance en faveur des Balkans occidentaux.</w:t>
      </w:r>
      <w:bookmarkEnd w:id="5"/>
      <w:bookmarkEnd w:id="7"/>
      <w:r>
        <w:rPr>
          <w:noProof/>
        </w:rPr>
        <w:t xml:space="preserve"> </w:t>
      </w:r>
    </w:p>
    <w:p w14:paraId="1D9A932B" w14:textId="3B8BBC84" w:rsidR="00D74D55" w:rsidRPr="001B3164" w:rsidRDefault="00DB56E0" w:rsidP="000E2E6E">
      <w:pPr>
        <w:rPr>
          <w:noProof/>
        </w:rPr>
      </w:pPr>
      <w:r>
        <w:rPr>
          <w:noProof/>
        </w:rPr>
        <w:t>Le second semestre de 2025 a également été marqué par des remboursements de prêts en cours. La Lettonie a remboursé</w:t>
      </w:r>
      <w:r>
        <w:rPr>
          <w:rFonts w:ascii="Calibri" w:hAnsi="Calibri"/>
          <w:noProof/>
        </w:rPr>
        <w:t xml:space="preserve"> </w:t>
      </w:r>
      <w:r>
        <w:rPr>
          <w:noProof/>
        </w:rPr>
        <w:t>200 millions</w:t>
      </w:r>
      <w:r>
        <w:rPr>
          <w:rFonts w:ascii="Calibri" w:hAnsi="Calibri"/>
          <w:noProof/>
        </w:rPr>
        <w:t xml:space="preserve"> </w:t>
      </w:r>
      <w:r>
        <w:rPr>
          <w:noProof/>
        </w:rPr>
        <w:t>d’EUR au titre du mécanisme de soutien à la balance des paiements (BdP) et neuf États membres ont remboursé</w:t>
      </w:r>
      <w:r>
        <w:rPr>
          <w:rFonts w:ascii="Calibri" w:hAnsi="Calibri"/>
          <w:noProof/>
        </w:rPr>
        <w:t xml:space="preserve"> </w:t>
      </w:r>
      <w:r>
        <w:rPr>
          <w:noProof/>
        </w:rPr>
        <w:t>8 milliards</w:t>
      </w:r>
      <w:r>
        <w:rPr>
          <w:rFonts w:ascii="Calibri" w:hAnsi="Calibri"/>
          <w:noProof/>
        </w:rPr>
        <w:t xml:space="preserve"> </w:t>
      </w:r>
      <w:r>
        <w:rPr>
          <w:noProof/>
        </w:rPr>
        <w:t>d’EUR au titre du programme SURE. Outre ces remboursements réguliers, le Portugal a procédé à un remboursement anticipé de</w:t>
      </w:r>
      <w:r>
        <w:rPr>
          <w:rFonts w:ascii="Calibri" w:hAnsi="Calibri"/>
          <w:noProof/>
        </w:rPr>
        <w:t xml:space="preserve"> </w:t>
      </w:r>
      <w:r>
        <w:rPr>
          <w:noProof/>
        </w:rPr>
        <w:t>2,5 milliards</w:t>
      </w:r>
      <w:r>
        <w:rPr>
          <w:rFonts w:ascii="Calibri" w:hAnsi="Calibri"/>
          <w:noProof/>
        </w:rPr>
        <w:t xml:space="preserve"> </w:t>
      </w:r>
      <w:r>
        <w:rPr>
          <w:noProof/>
        </w:rPr>
        <w:t xml:space="preserve">d’EUR au titre du </w:t>
      </w:r>
      <w:hyperlink r:id="rId30" w:history="1">
        <w:r>
          <w:rPr>
            <w:noProof/>
          </w:rPr>
          <w:t>mécanisme européen de stabilisation financière (MESF)</w:t>
        </w:r>
      </w:hyperlink>
      <w:r>
        <w:rPr>
          <w:noProof/>
        </w:rPr>
        <w:t>.</w:t>
      </w:r>
    </w:p>
    <w:p w14:paraId="6106D649" w14:textId="6337CE15" w:rsidR="00285408" w:rsidRDefault="00EA6251">
      <w:pPr>
        <w:rPr>
          <w:noProof/>
        </w:rPr>
      </w:pPr>
      <w:r>
        <w:rPr>
          <w:noProof/>
        </w:rPr>
        <w:t>L’année 2025 s’est terminée par une augmentation des avoirs en liquidités à</w:t>
      </w:r>
      <w:r>
        <w:rPr>
          <w:rFonts w:ascii="Calibri" w:hAnsi="Calibri"/>
          <w:noProof/>
        </w:rPr>
        <w:t xml:space="preserve"> </w:t>
      </w:r>
      <w:r>
        <w:rPr>
          <w:noProof/>
        </w:rPr>
        <w:t>65,2 milliards</w:t>
      </w:r>
      <w:r>
        <w:rPr>
          <w:rFonts w:ascii="Calibri" w:hAnsi="Calibri"/>
          <w:noProof/>
        </w:rPr>
        <w:t xml:space="preserve"> </w:t>
      </w:r>
      <w:r>
        <w:rPr>
          <w:noProof/>
        </w:rPr>
        <w:t>d’EUR en vue de la préparation au volume élevé de décaissements prévus en 2026 pour financer NextGenerationEU et le nouvel instrument «Agir pour la sécurité de l’Europe»</w:t>
      </w:r>
      <w:r>
        <w:rPr>
          <w:rFonts w:ascii="Calibri" w:hAnsi="Calibri"/>
          <w:noProof/>
        </w:rPr>
        <w:t xml:space="preserve"> </w:t>
      </w:r>
      <w:r>
        <w:rPr>
          <w:noProof/>
        </w:rPr>
        <w:t>(SAFE). Ces soldes de trésorerie ont entraîné des coûts de gestion de la liquidité d’environ</w:t>
      </w:r>
      <w:r>
        <w:rPr>
          <w:rFonts w:ascii="Calibri" w:hAnsi="Calibri"/>
          <w:noProof/>
        </w:rPr>
        <w:t xml:space="preserve"> </w:t>
      </w:r>
      <w:r>
        <w:rPr>
          <w:noProof/>
        </w:rPr>
        <w:t>295 millions</w:t>
      </w:r>
      <w:r>
        <w:rPr>
          <w:rFonts w:ascii="Calibri" w:hAnsi="Calibri"/>
          <w:noProof/>
        </w:rPr>
        <w:t xml:space="preserve"> </w:t>
      </w:r>
      <w:r>
        <w:rPr>
          <w:noProof/>
        </w:rPr>
        <w:t>d’EUR en raison de leur profil de financement à long terme. La Commission gère activement ces soldes de trésorerie temporaires afin de réduire au minimum les coûts de détention, réduisant ainsi les coûts annuels d’environ</w:t>
      </w:r>
      <w:r>
        <w:rPr>
          <w:rFonts w:ascii="Calibri" w:hAnsi="Calibri"/>
          <w:noProof/>
        </w:rPr>
        <w:t xml:space="preserve"> </w:t>
      </w:r>
      <w:r>
        <w:rPr>
          <w:noProof/>
        </w:rPr>
        <w:t>85 millions</w:t>
      </w:r>
      <w:r>
        <w:rPr>
          <w:rFonts w:ascii="Calibri" w:hAnsi="Calibri"/>
          <w:noProof/>
        </w:rPr>
        <w:t xml:space="preserve"> </w:t>
      </w:r>
      <w:r>
        <w:rPr>
          <w:noProof/>
        </w:rPr>
        <w:t xml:space="preserve">d’EUR. </w:t>
      </w:r>
    </w:p>
    <w:p w14:paraId="3784F895" w14:textId="09390F52" w:rsidR="00914D8A" w:rsidRPr="001B3164" w:rsidRDefault="000A7E3C">
      <w:pPr>
        <w:rPr>
          <w:noProof/>
        </w:rPr>
      </w:pPr>
      <w:r>
        <w:rPr>
          <w:noProof/>
        </w:rPr>
        <w:t>Toute accumulation de soldes de trésorerie est temporaire. Les volumes de financement importants nécessitent un calendrier d’émission régulier et prévisible et la Commission répartit donc son émission sur les marchés au fil du temps afin d’obtenir les conditions de financement les plus avantageuses. Dans le même temps, les décaissements dépendent des spécificités de mise en œuvre de chaque programme soutenu, ce qui peut parfois conduire à une concentration des besoins de décaissement à certaines périodes de l’année et donc à une accumulation temporaire de liquidités dans le coussin de liquidité de la Commission. À mesure que nous approcherons en 2026 de la date de fin des décaissements au titre de NextGenerationEU, les entrées et les sorties de financement convergeront.</w:t>
      </w:r>
    </w:p>
    <w:p w14:paraId="72D15E6B" w14:textId="5468434F" w:rsidR="00156FA8" w:rsidRPr="00B14F69" w:rsidRDefault="00156FA8" w:rsidP="005F49D6">
      <w:pPr>
        <w:rPr>
          <w:noProof/>
        </w:rPr>
      </w:pPr>
      <w:r>
        <w:rPr>
          <w:noProof/>
        </w:rPr>
        <w:t>Comme les années précédentes, la Commission a présenté en décembre 2025 son plan de financement pour le premier semestre de 2026. Compte tenu des décaissements attendus au titre de NextGenerationEU, de SAFE et d’autres programmes, la Commission a annoncé un objectif allant jusqu’à 90 milliards d’EUR d’émissions d’obligations au cours du premier semestre de 2026.</w:t>
      </w:r>
    </w:p>
    <w:p w14:paraId="3223C4A9" w14:textId="109BCD1C" w:rsidR="00275148" w:rsidRPr="00853899" w:rsidRDefault="00156FA8" w:rsidP="005F49D6">
      <w:pPr>
        <w:rPr>
          <w:strike/>
          <w:noProof/>
        </w:rPr>
      </w:pPr>
      <w:r>
        <w:rPr>
          <w:noProof/>
        </w:rPr>
        <w:t>Par la suite, lors de sa réunion des 18 et 19 décembre 2025, le Conseil européen a approuvé un programme de prêts de</w:t>
      </w:r>
      <w:r>
        <w:rPr>
          <w:rFonts w:ascii="Calibri" w:hAnsi="Calibri"/>
          <w:noProof/>
        </w:rPr>
        <w:t xml:space="preserve"> </w:t>
      </w:r>
      <w:r>
        <w:rPr>
          <w:noProof/>
        </w:rPr>
        <w:t>90 milliards</w:t>
      </w:r>
      <w:r>
        <w:rPr>
          <w:rFonts w:ascii="Calibri" w:hAnsi="Calibri"/>
          <w:noProof/>
        </w:rPr>
        <w:t xml:space="preserve"> </w:t>
      </w:r>
      <w:r>
        <w:rPr>
          <w:noProof/>
        </w:rPr>
        <w:t>d’EUR en faveur de l’Ukraine, à financer par des emprunts de l’UE en 2026 et 2027. Pour répondre à ces nouveaux besoins de financement, la Commission utilisera toute la gamme des instruments de financement dont elle dispose dans le cadre de l’approche unifiée en matière de financement d’une manière prudente et favorable au marché.</w:t>
      </w:r>
    </w:p>
    <w:p w14:paraId="7A99BFEA" w14:textId="19A8B9F6" w:rsidR="00B162B9" w:rsidRPr="001B3164" w:rsidRDefault="00156FA8" w:rsidP="00B91B64">
      <w:pPr>
        <w:rPr>
          <w:noProof/>
        </w:rPr>
      </w:pPr>
      <w:r>
        <w:rPr>
          <w:noProof/>
          <w:color w:val="000000" w:themeColor="text1"/>
        </w:rPr>
        <w:t>En décembre 2025, la Commission a également publié</w:t>
      </w:r>
      <w:r>
        <w:rPr>
          <w:noProof/>
        </w:rPr>
        <w:t xml:space="preserve"> l’édition 2025 du </w:t>
      </w:r>
      <w:hyperlink r:id="rId31">
        <w:r>
          <w:rPr>
            <w:rStyle w:val="Hyperlink"/>
            <w:noProof/>
          </w:rPr>
          <w:t>rapport annuel d’impact et d’affectation des obligations vertes NextGenerationEU</w:t>
        </w:r>
      </w:hyperlink>
      <w:r>
        <w:rPr>
          <w:noProof/>
        </w:rPr>
        <w:t>, qui fournit des informations actualisées sur l’affectation du produit de l’émission d’obligations vertes NextGenerationEU et sur l’estimation de leurs incidences réelles et attendues sur le climat. Le rapport met en évidence une augmentation de l’émission d’obligations vertes NGEU pour lesquelles l’encours de la dette a atteint 78,5 milliards d’EUR. Il estime également que ce financement a permis de prévenir les émissions de gaz à effet de serre de l’ordre de 14 millions de tonnes de CO</w:t>
      </w:r>
      <w:r>
        <w:rPr>
          <w:noProof/>
          <w:vertAlign w:val="subscript"/>
        </w:rPr>
        <w:t>2</w:t>
      </w:r>
      <w:r>
        <w:rPr>
          <w:noProof/>
        </w:rPr>
        <w:t xml:space="preserve"> par an, ce qui constitue une amélioration considérable par rapport aux années précédentes.</w:t>
      </w:r>
    </w:p>
    <w:p w14:paraId="004D2D4D" w14:textId="77777777" w:rsidR="001401DA" w:rsidRPr="001B3164" w:rsidRDefault="008B6253" w:rsidP="00BE145B">
      <w:pPr>
        <w:pStyle w:val="Heading1"/>
        <w:rPr>
          <w:noProof/>
        </w:rPr>
      </w:pPr>
      <w:bookmarkStart w:id="8" w:name="_Toc202682639"/>
      <w:bookmarkStart w:id="9" w:name="_Toc225513067"/>
      <w:bookmarkEnd w:id="6"/>
      <w:r>
        <w:rPr>
          <w:noProof/>
        </w:rPr>
        <w:t>Introduction</w:t>
      </w:r>
      <w:bookmarkEnd w:id="8"/>
      <w:bookmarkEnd w:id="9"/>
    </w:p>
    <w:p w14:paraId="2BCF8E95" w14:textId="53388E4E" w:rsidR="00F333BA" w:rsidRPr="001B3164" w:rsidRDefault="00F333BA" w:rsidP="00F333BA">
      <w:pPr>
        <w:rPr>
          <w:noProof/>
        </w:rPr>
      </w:pPr>
      <w:r>
        <w:rPr>
          <w:noProof/>
        </w:rPr>
        <w:t>Depuis plus de 40 ans, la Commission emprunte des fonds au nom de l’Union européenne. Au cours des six dernières années, l’émission d’obligations par l’UE a fortement augmenté, l’UE faisant appel aux marchés des capitaux pour financer de grands programmes tels que SURE</w:t>
      </w:r>
      <w:r>
        <w:rPr>
          <w:rStyle w:val="FootnoteReference"/>
          <w:noProof/>
        </w:rPr>
        <w:footnoteReference w:id="3"/>
      </w:r>
      <w:r>
        <w:rPr>
          <w:noProof/>
        </w:rPr>
        <w:t>, NextGenerationEU et le soutien financier à l’Ukraine (le programme AMF+, la facilité pour l’Ukraine et le prêt AMF dans le cadre de l’initiative ERA menée par le G7).</w:t>
      </w:r>
    </w:p>
    <w:p w14:paraId="549DB907" w14:textId="25492DF3" w:rsidR="00F333BA" w:rsidRPr="001B3164" w:rsidRDefault="00F333BA" w:rsidP="00F333BA">
      <w:pPr>
        <w:rPr>
          <w:noProof/>
        </w:rPr>
      </w:pPr>
      <w:r>
        <w:rPr>
          <w:noProof/>
        </w:rPr>
        <w:t>Le présent rapport semestriel</w:t>
      </w:r>
      <w:r>
        <w:rPr>
          <w:rStyle w:val="FootnoteReference"/>
          <w:noProof/>
        </w:rPr>
        <w:footnoteReference w:id="4"/>
      </w:r>
      <w:r>
        <w:rPr>
          <w:noProof/>
        </w:rPr>
        <w:t xml:space="preserve"> fait le point sur la réalisation des opérations d’emprunt entre le 1</w:t>
      </w:r>
      <w:r>
        <w:rPr>
          <w:noProof/>
          <w:vertAlign w:val="superscript"/>
        </w:rPr>
        <w:t>er</w:t>
      </w:r>
      <w:r>
        <w:rPr>
          <w:noProof/>
        </w:rPr>
        <w:t> juillet 2025 et le 31 décembre 2025. Le rapport présente également les perspectives concernant l’émission d’obligations de l’UE au cours du premier semestre de 2026. Il n’évalue pas la manière dont le produit des émissions d’obligations de l’UE est utilisé, notamment en ce qui concerne les dépenses vertes, étant donné que cette question fait l’objet de rapports distincts, conformément au règlement régissant chaque instrument</w:t>
      </w:r>
      <w:r>
        <w:rPr>
          <w:rStyle w:val="FootnoteReference"/>
          <w:noProof/>
        </w:rPr>
        <w:footnoteReference w:id="5"/>
      </w:r>
      <w:r>
        <w:rPr>
          <w:noProof/>
        </w:rPr>
        <w:t>.</w:t>
      </w:r>
    </w:p>
    <w:p w14:paraId="41D03409" w14:textId="788BC069" w:rsidR="00F333BA" w:rsidRPr="001B3164" w:rsidRDefault="00FE0B70" w:rsidP="00F333BA">
      <w:pPr>
        <w:rPr>
          <w:noProof/>
        </w:rPr>
      </w:pPr>
      <w:r>
        <w:rPr>
          <w:noProof/>
        </w:rPr>
        <w:t>Conformément à la recommandation de la Cour des comptes européenne de juin 2023</w:t>
      </w:r>
      <w:r>
        <w:rPr>
          <w:rStyle w:val="FootnoteReference"/>
          <w:noProof/>
        </w:rPr>
        <w:footnoteReference w:id="6"/>
      </w:r>
      <w:r>
        <w:rPr>
          <w:noProof/>
        </w:rPr>
        <w:t>, la Commission fait figurer à l’annexe du présent rapport des indicateurs pour suivre la mise en œuvre de la stratégie globale de gestion de la dette qui guide</w:t>
      </w:r>
      <w:r>
        <w:rPr>
          <w:rStyle w:val="FootnoteReference"/>
          <w:noProof/>
          <w:spacing w:val="-6"/>
        </w:rPr>
        <w:footnoteReference w:id="7"/>
      </w:r>
      <w:r>
        <w:rPr>
          <w:noProof/>
        </w:rPr>
        <w:t xml:space="preserve"> l’approche unifiée de la Commission en matière de financement</w:t>
      </w:r>
      <w:r>
        <w:rPr>
          <w:rStyle w:val="FootnoteReference"/>
          <w:noProof/>
          <w:spacing w:val="-6"/>
        </w:rPr>
        <w:footnoteReference w:id="8"/>
      </w:r>
      <w:r>
        <w:rPr>
          <w:noProof/>
        </w:rPr>
        <w:t xml:space="preserve">.  </w:t>
      </w:r>
    </w:p>
    <w:p w14:paraId="6B6905B9" w14:textId="24616259" w:rsidR="008B6253" w:rsidRPr="001B3164" w:rsidRDefault="00BD5F9F" w:rsidP="00BE145B">
      <w:pPr>
        <w:pStyle w:val="Heading1"/>
        <w:rPr>
          <w:noProof/>
        </w:rPr>
      </w:pPr>
      <w:bookmarkStart w:id="10" w:name="_Ref155883558"/>
      <w:bookmarkStart w:id="11" w:name="_Ref169097162"/>
      <w:bookmarkStart w:id="12" w:name="_Toc202682640"/>
      <w:bookmarkStart w:id="13" w:name="_Toc225513068"/>
      <w:r>
        <w:rPr>
          <w:noProof/>
        </w:rPr>
        <w:t>Mise en œuvre des opérations d’emprunt au second semestre de</w:t>
      </w:r>
      <w:bookmarkEnd w:id="10"/>
      <w:r>
        <w:rPr>
          <w:noProof/>
        </w:rPr>
        <w:t xml:space="preserve"> 202</w:t>
      </w:r>
      <w:bookmarkEnd w:id="11"/>
      <w:r>
        <w:rPr>
          <w:noProof/>
        </w:rPr>
        <w:t>5</w:t>
      </w:r>
      <w:bookmarkEnd w:id="12"/>
      <w:bookmarkEnd w:id="13"/>
    </w:p>
    <w:p w14:paraId="370D7CD9" w14:textId="20DF06FD" w:rsidR="00A02D98" w:rsidRPr="001B3164" w:rsidRDefault="00A02D98" w:rsidP="00A02D98">
      <w:pPr>
        <w:rPr>
          <w:noProof/>
        </w:rPr>
      </w:pPr>
      <w:bookmarkStart w:id="14" w:name="_Toc169303166"/>
      <w:r>
        <w:rPr>
          <w:noProof/>
        </w:rPr>
        <w:t>Les sections suivantes présentent les aspects essentiels des opérations d’emprunt et de prêt de la Commission au cours du premier semestre de 2025. D’autres indicateurs utilisés pour suivre la mise en œuvre de la stratégie de financement de la Commission sont définis en annexe.</w:t>
      </w:r>
    </w:p>
    <w:p w14:paraId="1B7B6760" w14:textId="271BDC52" w:rsidR="005D6F11" w:rsidRPr="001B3164" w:rsidRDefault="003926DF" w:rsidP="002703F1">
      <w:pPr>
        <w:pStyle w:val="Heading2"/>
        <w:rPr>
          <w:noProof/>
        </w:rPr>
      </w:pPr>
      <w:bookmarkStart w:id="15" w:name="_Toc170294782"/>
      <w:bookmarkStart w:id="16" w:name="_Toc187347924"/>
      <w:bookmarkStart w:id="17" w:name="_Toc187701953"/>
      <w:bookmarkStart w:id="18" w:name="_Toc187702008"/>
      <w:bookmarkStart w:id="19" w:name="_Toc190904644"/>
      <w:bookmarkStart w:id="20" w:name="_Toc201318488"/>
      <w:bookmarkStart w:id="21" w:name="_Toc202682641"/>
      <w:bookmarkStart w:id="22" w:name="_Toc219529984"/>
      <w:bookmarkStart w:id="23" w:name="_Toc225513069"/>
      <w:r>
        <w:rPr>
          <w:noProof/>
        </w:rPr>
        <w:t>Exécution des opérations de financement au premier semestre de 202</w:t>
      </w:r>
      <w:bookmarkEnd w:id="14"/>
      <w:bookmarkEnd w:id="15"/>
      <w:bookmarkEnd w:id="16"/>
      <w:bookmarkEnd w:id="17"/>
      <w:bookmarkEnd w:id="18"/>
      <w:bookmarkEnd w:id="19"/>
      <w:r>
        <w:rPr>
          <w:noProof/>
        </w:rPr>
        <w:t>5</w:t>
      </w:r>
      <w:bookmarkEnd w:id="20"/>
      <w:bookmarkEnd w:id="21"/>
      <w:bookmarkEnd w:id="22"/>
      <w:bookmarkEnd w:id="23"/>
    </w:p>
    <w:p w14:paraId="68399FD8" w14:textId="04225B48" w:rsidR="0049203F" w:rsidRPr="001B3164" w:rsidRDefault="003D506A" w:rsidP="0049203F">
      <w:pPr>
        <w:rPr>
          <w:noProof/>
        </w:rPr>
      </w:pPr>
      <w:bookmarkStart w:id="24" w:name="_Hlk138161421"/>
      <w:r>
        <w:rPr>
          <w:noProof/>
        </w:rPr>
        <w:t>La Commission a levé un total de 66,8 milliards d’EUR d’obligations de l’UE</w:t>
      </w:r>
      <w:r>
        <w:rPr>
          <w:rStyle w:val="FootnoteReference"/>
          <w:noProof/>
        </w:rPr>
        <w:footnoteReference w:id="9"/>
      </w:r>
      <w:r>
        <w:rPr>
          <w:noProof/>
        </w:rPr>
        <w:t xml:space="preserve">, dont </w:t>
      </w:r>
      <w:r>
        <w:rPr>
          <w:noProof/>
          <w:color w:val="000000" w:themeColor="text1"/>
        </w:rPr>
        <w:t>3,4 milliards d’EUR d’obligations vertes NGEU, au cours du second semestre de 2025. L’</w:t>
      </w:r>
      <w:r>
        <w:rPr>
          <w:noProof/>
        </w:rPr>
        <w:t>échéance moyenne était d’environ 12 ans, ce qui est semblable à l’échéance moyenne des financements levés au cours du premier semestre de 2025</w:t>
      </w:r>
      <w:r>
        <w:rPr>
          <w:noProof/>
          <w:color w:val="000000" w:themeColor="text1"/>
        </w:rPr>
        <w:t xml:space="preserve">. </w:t>
      </w:r>
    </w:p>
    <w:p w14:paraId="4FB5F5F3" w14:textId="601CDE9C" w:rsidR="00AB49F5" w:rsidRPr="001B3164" w:rsidRDefault="0049203F" w:rsidP="00AB49F5">
      <w:pPr>
        <w:rPr>
          <w:noProof/>
        </w:rPr>
      </w:pPr>
      <w:r>
        <w:rPr>
          <w:noProof/>
        </w:rPr>
        <w:t xml:space="preserve">La Commission a utilisé quatre syndications (54 % du montant levé) et six adjudications (46 % du montant levé). Les obligations de l’UE ont été régulièrement émises sur la période de six mois, en tenant compte des conditions de liquidité du marché tout en assurant une présence régulière sur le marché. </w:t>
      </w:r>
      <w:bookmarkStart w:id="25" w:name="_Hlk156564741"/>
      <w:bookmarkStart w:id="26" w:name="_Hlk155181535"/>
      <w:bookmarkStart w:id="27" w:name="_Hlk169518262"/>
      <w:bookmarkStart w:id="28" w:name="_Hlk139454398"/>
    </w:p>
    <w:p w14:paraId="44D2CE78" w14:textId="51A698D3" w:rsidR="00AB49F5" w:rsidRPr="001B3164" w:rsidRDefault="00830430" w:rsidP="00AB49F5">
      <w:pPr>
        <w:rPr>
          <w:noProof/>
        </w:rPr>
      </w:pPr>
      <w:r>
        <w:rPr>
          <w:noProof/>
        </w:rPr>
        <w:t>Au 31 décembre 2025, l’encours total de la dette de l’UE s’élevait à</w:t>
      </w:r>
      <w:r>
        <w:rPr>
          <w:rFonts w:ascii="Calibri" w:hAnsi="Calibri"/>
          <w:noProof/>
          <w:color w:val="FF0000"/>
        </w:rPr>
        <w:t xml:space="preserve"> </w:t>
      </w:r>
      <w:r>
        <w:rPr>
          <w:noProof/>
        </w:rPr>
        <w:t>738,9 milliards</w:t>
      </w:r>
      <w:r>
        <w:rPr>
          <w:rFonts w:ascii="Calibri" w:hAnsi="Calibri"/>
          <w:noProof/>
        </w:rPr>
        <w:t xml:space="preserve"> </w:t>
      </w:r>
      <w:r>
        <w:rPr>
          <w:noProof/>
        </w:rPr>
        <w:t>d’EUR. L’encours des obligations de l’UE s’élevait au total à</w:t>
      </w:r>
      <w:r>
        <w:rPr>
          <w:rFonts w:ascii="Calibri" w:hAnsi="Calibri"/>
          <w:noProof/>
        </w:rPr>
        <w:t xml:space="preserve"> </w:t>
      </w:r>
      <w:r>
        <w:rPr>
          <w:noProof/>
        </w:rPr>
        <w:t>702,1 milliards d’EUR,</w:t>
      </w:r>
      <w:r>
        <w:rPr>
          <w:rFonts w:ascii="Calibri" w:hAnsi="Calibri"/>
          <w:noProof/>
        </w:rPr>
        <w:t xml:space="preserve"> </w:t>
      </w:r>
      <w:r>
        <w:rPr>
          <w:noProof/>
        </w:rPr>
        <w:t xml:space="preserve">dont 565,7 milliards d’EUR émis dans le cadre de l’approche unifiée en matière de </w:t>
      </w:r>
      <w:bookmarkStart w:id="29" w:name="_Hlk158104850"/>
      <w:bookmarkEnd w:id="25"/>
      <w:r>
        <w:rPr>
          <w:noProof/>
        </w:rPr>
        <w:t>financement.</w:t>
      </w:r>
      <w:bookmarkEnd w:id="26"/>
      <w:r>
        <w:rPr>
          <w:noProof/>
          <w:color w:val="000000" w:themeColor="text1"/>
        </w:rPr>
        <w:t xml:space="preserve"> La valeur totale de l’encours des obligations vertes NGEU s’élevait à</w:t>
      </w:r>
      <w:r>
        <w:rPr>
          <w:rFonts w:ascii="Calibri" w:hAnsi="Calibri"/>
          <w:noProof/>
          <w:color w:val="000000" w:themeColor="text1"/>
        </w:rPr>
        <w:t xml:space="preserve"> </w:t>
      </w:r>
      <w:r>
        <w:rPr>
          <w:noProof/>
          <w:color w:val="000000" w:themeColor="text1"/>
        </w:rPr>
        <w:t>78,5 milliards</w:t>
      </w:r>
      <w:r>
        <w:rPr>
          <w:rFonts w:ascii="Calibri" w:hAnsi="Calibri"/>
          <w:noProof/>
          <w:color w:val="000000" w:themeColor="text1"/>
        </w:rPr>
        <w:t xml:space="preserve"> </w:t>
      </w:r>
      <w:r>
        <w:rPr>
          <w:noProof/>
          <w:color w:val="000000" w:themeColor="text1"/>
        </w:rPr>
        <w:t>d’EUR.</w:t>
      </w:r>
      <w:bookmarkEnd w:id="27"/>
      <w:bookmarkEnd w:id="29"/>
      <w:r>
        <w:rPr>
          <w:noProof/>
        </w:rPr>
        <w:t xml:space="preserve"> En outre, fin décembre 2025, l’UE avait 36,8 milliards d’EUR d’encours de dettes sous la forme de titres de créance à court terme de l’UE.</w:t>
      </w:r>
    </w:p>
    <w:p w14:paraId="5E398C65" w14:textId="77777777" w:rsidR="005455B5" w:rsidRDefault="005455B5" w:rsidP="00810A51">
      <w:pPr>
        <w:rPr>
          <w:b/>
          <w:bCs/>
          <w:noProof/>
          <w:color w:val="034EA2" w:themeColor="accent1"/>
        </w:rPr>
      </w:pPr>
      <w:bookmarkStart w:id="30" w:name="_Hlk169095317"/>
      <w:bookmarkEnd w:id="28"/>
    </w:p>
    <w:p w14:paraId="5FDC94E2" w14:textId="7F41AF70" w:rsidR="00BA3133" w:rsidRPr="001B3164" w:rsidRDefault="00BA3133" w:rsidP="00810A51">
      <w:pPr>
        <w:rPr>
          <w:b/>
          <w:bCs/>
          <w:noProof/>
          <w:color w:val="034EA2" w:themeColor="accent1"/>
        </w:rPr>
      </w:pPr>
      <w:r>
        <w:rPr>
          <w:b/>
          <w:noProof/>
          <w:color w:val="034EA2" w:themeColor="accent1"/>
        </w:rPr>
        <w:t>Graphique 2: montants des obligations de l’UE émises dans le cadre de l’approche unifiée en matière de financement (en milliards d’EUR)</w:t>
      </w:r>
    </w:p>
    <w:p w14:paraId="2C48865B" w14:textId="492C3E22" w:rsidR="00EB47DD" w:rsidRPr="001B3164" w:rsidRDefault="009D5A35" w:rsidP="009428DB">
      <w:pPr>
        <w:rPr>
          <w:noProof/>
          <w:color w:val="3B3838" w:themeColor="background2" w:themeShade="40"/>
          <w:sz w:val="18"/>
          <w:szCs w:val="18"/>
        </w:rPr>
      </w:pPr>
      <w:r w:rsidRPr="009D5A35">
        <w:rPr>
          <w:noProof/>
          <w:color w:val="3B3838" w:themeColor="background2" w:themeShade="40"/>
          <w:sz w:val="18"/>
          <w:szCs w:val="18"/>
          <w:lang w:val="en-GB" w:eastAsia="en-GB"/>
        </w:rPr>
        <w:drawing>
          <wp:inline distT="0" distB="0" distL="0" distR="0" wp14:anchorId="41587352" wp14:editId="2C4ECAFE">
            <wp:extent cx="5731510" cy="2407285"/>
            <wp:effectExtent l="0" t="0" r="0" b="0"/>
            <wp:docPr id="1452353083" name="Picture 1" descr="A graph of numbers and colum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353083" name="Picture 1" descr="A graph of numbers and columns&#10;&#10;AI-generated content may be incorrect."/>
                    <pic:cNvPicPr/>
                  </pic:nvPicPr>
                  <pic:blipFill>
                    <a:blip r:embed="rId32"/>
                    <a:stretch>
                      <a:fillRect/>
                    </a:stretch>
                  </pic:blipFill>
                  <pic:spPr>
                    <a:xfrm>
                      <a:off x="0" y="0"/>
                      <a:ext cx="5731510" cy="2407285"/>
                    </a:xfrm>
                    <a:prstGeom prst="rect">
                      <a:avLst/>
                    </a:prstGeom>
                  </pic:spPr>
                </pic:pic>
              </a:graphicData>
            </a:graphic>
          </wp:inline>
        </w:drawing>
      </w:r>
    </w:p>
    <w:p w14:paraId="75572C3E" w14:textId="5BDD5B55" w:rsidR="009428DB" w:rsidRPr="001B3164" w:rsidRDefault="009428DB" w:rsidP="009428DB">
      <w:pPr>
        <w:rPr>
          <w:noProof/>
          <w:color w:val="3B3838" w:themeColor="background2" w:themeShade="40"/>
          <w:sz w:val="18"/>
          <w:szCs w:val="18"/>
        </w:rPr>
      </w:pPr>
      <w:r>
        <w:rPr>
          <w:noProof/>
          <w:color w:val="3B3838" w:themeColor="background2" w:themeShade="40"/>
          <w:sz w:val="18"/>
        </w:rPr>
        <w:t>*Les deux premières opérations au titre de NextGenerationEU ont eu lieu en juin 2021, mais elles ont été incluses dans le nombre relatif aux opérations effectuées au S2 2021, car elles faisaient partie du même plan de financement que les opérations réalisées au S2 2021.</w:t>
      </w:r>
    </w:p>
    <w:bookmarkEnd w:id="30"/>
    <w:p w14:paraId="2C4948E6" w14:textId="5F41F8E0" w:rsidR="009428DB" w:rsidRPr="001B3164" w:rsidRDefault="009428DB" w:rsidP="00975C27">
      <w:pPr>
        <w:jc w:val="right"/>
        <w:rPr>
          <w:i/>
          <w:iCs/>
          <w:noProof/>
          <w:color w:val="595959" w:themeColor="text1" w:themeTint="A6"/>
          <w:sz w:val="18"/>
          <w:szCs w:val="18"/>
        </w:rPr>
      </w:pPr>
      <w:r>
        <w:rPr>
          <w:i/>
          <w:noProof/>
          <w:color w:val="595959" w:themeColor="text1" w:themeTint="A6"/>
          <w:sz w:val="18"/>
        </w:rPr>
        <w:t xml:space="preserve">Tous les montants sont exprimés en </w:t>
      </w:r>
      <w:r w:rsidR="00D115BD">
        <w:rPr>
          <w:i/>
          <w:noProof/>
          <w:color w:val="595959" w:themeColor="text1" w:themeTint="A6"/>
          <w:sz w:val="18"/>
        </w:rPr>
        <w:t>Mrd</w:t>
      </w:r>
      <w:r>
        <w:rPr>
          <w:i/>
          <w:noProof/>
          <w:color w:val="595959" w:themeColor="text1" w:themeTint="A6"/>
          <w:sz w:val="18"/>
        </w:rPr>
        <w:t xml:space="preserve"> EUR</w:t>
      </w:r>
    </w:p>
    <w:p w14:paraId="55D0031D" w14:textId="77777777" w:rsidR="003926DF" w:rsidRPr="001B3164" w:rsidRDefault="003926DF" w:rsidP="005971A7">
      <w:pPr>
        <w:pStyle w:val="Heading2"/>
        <w:rPr>
          <w:noProof/>
        </w:rPr>
      </w:pPr>
      <w:bookmarkStart w:id="31" w:name="_Toc169303167"/>
      <w:bookmarkStart w:id="32" w:name="_Toc170294783"/>
      <w:bookmarkStart w:id="33" w:name="_Toc187347925"/>
      <w:bookmarkStart w:id="34" w:name="_Toc187701954"/>
      <w:bookmarkStart w:id="35" w:name="_Toc187702009"/>
      <w:bookmarkStart w:id="36" w:name="_Toc190904645"/>
      <w:bookmarkStart w:id="37" w:name="_Toc201318489"/>
      <w:bookmarkStart w:id="38" w:name="_Toc202682642"/>
      <w:bookmarkStart w:id="39" w:name="_Toc219529985"/>
      <w:bookmarkStart w:id="40" w:name="_Toc225513070"/>
      <w:bookmarkStart w:id="41" w:name="_Hlk169127536"/>
      <w:bookmarkEnd w:id="24"/>
      <w:r>
        <w:rPr>
          <w:noProof/>
        </w:rPr>
        <w:t>Décaissements</w:t>
      </w:r>
      <w:bookmarkEnd w:id="31"/>
      <w:bookmarkEnd w:id="32"/>
      <w:bookmarkEnd w:id="33"/>
      <w:bookmarkEnd w:id="34"/>
      <w:bookmarkEnd w:id="35"/>
      <w:bookmarkEnd w:id="36"/>
      <w:bookmarkEnd w:id="37"/>
      <w:bookmarkEnd w:id="38"/>
      <w:bookmarkEnd w:id="39"/>
      <w:bookmarkEnd w:id="40"/>
    </w:p>
    <w:p w14:paraId="706DD4E3" w14:textId="1BCED261" w:rsidR="005C414E" w:rsidRPr="001B3164" w:rsidRDefault="00275148" w:rsidP="005C414E">
      <w:pPr>
        <w:rPr>
          <w:noProof/>
        </w:rPr>
      </w:pPr>
      <w:bookmarkStart w:id="42" w:name="_Hlk187329427"/>
      <w:bookmarkStart w:id="43" w:name="_Hlk219531617"/>
      <w:r>
        <w:rPr>
          <w:noProof/>
        </w:rPr>
        <w:t>Au second</w:t>
      </w:r>
      <w:bookmarkEnd w:id="42"/>
      <w:r>
        <w:rPr>
          <w:noProof/>
        </w:rPr>
        <w:t xml:space="preserve"> semestre de 2025, la Commission a utilisé le produit de ses emprunts pour décaisser un total de</w:t>
      </w:r>
      <w:r>
        <w:rPr>
          <w:rFonts w:ascii="Calibri" w:hAnsi="Calibri"/>
          <w:noProof/>
        </w:rPr>
        <w:t xml:space="preserve"> </w:t>
      </w:r>
      <w:r>
        <w:rPr>
          <w:noProof/>
        </w:rPr>
        <w:t>92,6 milliards d’EUR pour toutes les politiques combinées. Sur ce montant, 74,3 milliards d’EUR ont été consacrés à NextGenerationEU, dont 72,3 milliards</w:t>
      </w:r>
      <w:r>
        <w:rPr>
          <w:rFonts w:ascii="Calibri" w:hAnsi="Calibri"/>
          <w:noProof/>
        </w:rPr>
        <w:t xml:space="preserve"> </w:t>
      </w:r>
      <w:r>
        <w:rPr>
          <w:noProof/>
        </w:rPr>
        <w:t>d’EUR ont été utilisés pour financer les plans nationaux pour la reprise et la résilience des États membres au titre de la FRR. Ce montant peut être ventilé en 27,6 milliards d’EUR sous forme de subventions à 17 États membres et</w:t>
      </w:r>
      <w:r>
        <w:rPr>
          <w:rFonts w:ascii="Calibri" w:hAnsi="Calibri"/>
          <w:noProof/>
        </w:rPr>
        <w:t xml:space="preserve"> </w:t>
      </w:r>
      <w:r>
        <w:rPr>
          <w:noProof/>
        </w:rPr>
        <w:t>44,7 milliards</w:t>
      </w:r>
      <w:r>
        <w:rPr>
          <w:rFonts w:ascii="Calibri" w:hAnsi="Calibri"/>
          <w:noProof/>
        </w:rPr>
        <w:t xml:space="preserve"> </w:t>
      </w:r>
      <w:r>
        <w:rPr>
          <w:noProof/>
        </w:rPr>
        <w:t>d’EUR sous forme de prêts à huit États membres. Ces fonds destinés à la FRR ont été versés dans un délai de six jours ouvrables en moyenne. Les 2,0 milliards d’EUR restants ont été utilisés pour financer des programmes gérés par l’UE soutenus par NextGenerationEU</w:t>
      </w:r>
      <w:bookmarkEnd w:id="43"/>
      <w:r>
        <w:rPr>
          <w:noProof/>
          <w:vertAlign w:val="superscript"/>
        </w:rPr>
        <w:footnoteReference w:id="10"/>
      </w:r>
      <w:r>
        <w:rPr>
          <w:noProof/>
        </w:rPr>
        <w:t xml:space="preserve"> </w:t>
      </w:r>
      <w:r>
        <w:rPr>
          <w:noProof/>
          <w:vertAlign w:val="superscript"/>
        </w:rPr>
        <w:footnoteReference w:id="11"/>
      </w:r>
      <w:r>
        <w:rPr>
          <w:noProof/>
        </w:rPr>
        <w:t xml:space="preserve">. </w:t>
      </w:r>
    </w:p>
    <w:p w14:paraId="408CF76F" w14:textId="1A2FCAF9" w:rsidR="00D06AF3" w:rsidRPr="001B3164" w:rsidRDefault="00E9612B" w:rsidP="00DC2305">
      <w:pPr>
        <w:rPr>
          <w:noProof/>
        </w:rPr>
      </w:pPr>
      <w:r>
        <w:rPr>
          <w:noProof/>
        </w:rPr>
        <w:t>La Commission a également décaissé 18,0 milliards d’EUR en faveur de l’Ukraine au cours du second semestre de 2025, dont 6,9 milliards d’EUR au titre de la facilité pour l’Ukraine et 11,1 milliards d’EUR au titre de l’initiative ERA menée par le G7.</w:t>
      </w:r>
      <w:r>
        <w:rPr>
          <w:noProof/>
          <w:highlight w:val="yellow"/>
        </w:rPr>
        <w:t xml:space="preserve"> </w:t>
      </w:r>
    </w:p>
    <w:p w14:paraId="5347D76C" w14:textId="0DBE5FF6" w:rsidR="005556D6" w:rsidRDefault="005C414E" w:rsidP="005556D6">
      <w:pPr>
        <w:rPr>
          <w:noProof/>
        </w:rPr>
      </w:pPr>
      <w:r>
        <w:rPr>
          <w:noProof/>
        </w:rPr>
        <w:t xml:space="preserve">Au cours du second semestre de 2025, l’émission d’obligations de l’UE a également financé un prêt AMF de 250 millions d’EUR en faveur de la Jordanie, un prêt de 18,9 millions d’EUR au titre de la facilité pour les réformes et la croissance en faveur de la Moldavie et un prêt de 65,8 millions d’EUR en faveur de l’Albanie, de la Macédoine du Nord et du Monténégro au titre de la facilité pour les réformes et la croissance en faveur des Balkans occidentaux. </w:t>
      </w:r>
    </w:p>
    <w:p w14:paraId="24083DD6" w14:textId="4B5105DB" w:rsidR="006E36AB" w:rsidRPr="001B3164" w:rsidRDefault="006E36AB" w:rsidP="006E36AB">
      <w:pPr>
        <w:pStyle w:val="Heading2"/>
        <w:rPr>
          <w:noProof/>
        </w:rPr>
      </w:pPr>
      <w:bookmarkStart w:id="46" w:name="_Toc219529986"/>
      <w:bookmarkStart w:id="47" w:name="_Toc225513071"/>
      <w:bookmarkStart w:id="48" w:name="_Hlk219531399"/>
      <w:r>
        <w:rPr>
          <w:noProof/>
        </w:rPr>
        <w:t>Remboursements</w:t>
      </w:r>
      <w:bookmarkEnd w:id="46"/>
      <w:bookmarkEnd w:id="47"/>
    </w:p>
    <w:p w14:paraId="38979D1B" w14:textId="02DA5A93" w:rsidR="00370639" w:rsidRPr="00370639" w:rsidRDefault="006E36AB" w:rsidP="006E36AB">
      <w:pPr>
        <w:rPr>
          <w:noProof/>
        </w:rPr>
      </w:pPr>
      <w:r>
        <w:rPr>
          <w:noProof/>
        </w:rPr>
        <w:t>En octobre 2025, la Lettonie a remboursé la dernière tranche de 200 millions d’EUR du soutien à la balance des paiements qu’elle a reçu au cours de la période 2009-2010.</w:t>
      </w:r>
    </w:p>
    <w:p w14:paraId="276166BB" w14:textId="29F1A1F5" w:rsidR="00370639" w:rsidRPr="00370639" w:rsidRDefault="005E3734" w:rsidP="006E36AB">
      <w:pPr>
        <w:rPr>
          <w:noProof/>
        </w:rPr>
      </w:pPr>
      <w:r>
        <w:rPr>
          <w:noProof/>
        </w:rPr>
        <w:t>Les États membres ont effectué leurs premiers remboursements du principal au titre du programme SURE en novembre 2025. Neuf États membres ont remboursé au total 8 milliards d’EUR. Les remboursements finaux sont prévus pour 2050.</w:t>
      </w:r>
    </w:p>
    <w:p w14:paraId="2C27CE75" w14:textId="6A16D5EA" w:rsidR="006E36AB" w:rsidRPr="0057043E" w:rsidRDefault="005B4970" w:rsidP="0057043E">
      <w:pPr>
        <w:rPr>
          <w:noProof/>
        </w:rPr>
      </w:pPr>
      <w:r>
        <w:rPr>
          <w:noProof/>
        </w:rPr>
        <w:t xml:space="preserve">En décembre 2025, le Portugal a procédé à un remboursement anticipé de 2,5 milliards d’EUR du prêt MESF qu’il a reçu en 2011-2014. Cela n’a pas eu d’incidence sur les obligations émises pour financer les décaissements de prêts au titre du MESF, étant donné que le remboursement a été effectué en espèces pour couvrir les passifs correspondants de la Commission. Les fonds reçus ont donc été ajoutés à la réserve de financement de la Commission dans le cadre de l’approche unifiée en matière de financement afin d’être utilisés pour d’autres programmes de soutien financier. Un encours de prêts MESF de 19,8 milliards d’EUR (pour le Portugal et l’Irlande) subsiste, le remboursement final étant actuellement prévu pour </w:t>
      </w:r>
      <w:r>
        <w:rPr>
          <w:noProof/>
          <w:color w:val="000000"/>
        </w:rPr>
        <w:t>2042</w:t>
      </w:r>
      <w:r>
        <w:rPr>
          <w:noProof/>
        </w:rPr>
        <w:t>.</w:t>
      </w:r>
    </w:p>
    <w:p w14:paraId="717B2074" w14:textId="4A3944D1" w:rsidR="00177D88" w:rsidRDefault="00177D88">
      <w:pPr>
        <w:spacing w:line="259" w:lineRule="auto"/>
        <w:jc w:val="left"/>
        <w:rPr>
          <w:rFonts w:eastAsiaTheme="majorEastAsia" w:cstheme="majorBidi"/>
          <w:caps/>
          <w:noProof/>
          <w:color w:val="70AD47" w:themeColor="accent2"/>
          <w:sz w:val="24"/>
          <w:szCs w:val="26"/>
        </w:rPr>
      </w:pPr>
      <w:bookmarkStart w:id="49" w:name="_Toc169303168"/>
      <w:bookmarkStart w:id="50" w:name="_Toc170294784"/>
      <w:bookmarkStart w:id="51" w:name="_Toc187347926"/>
      <w:bookmarkStart w:id="52" w:name="_Toc187701955"/>
      <w:bookmarkStart w:id="53" w:name="_Toc187702010"/>
      <w:bookmarkStart w:id="54" w:name="_Toc190904646"/>
      <w:bookmarkStart w:id="55" w:name="_Toc201318490"/>
      <w:bookmarkStart w:id="56" w:name="_Toc202682643"/>
      <w:bookmarkStart w:id="57" w:name="_Toc219529987"/>
      <w:bookmarkStart w:id="58" w:name="_Hlk216707238"/>
      <w:bookmarkEnd w:id="41"/>
      <w:bookmarkEnd w:id="48"/>
      <w:r>
        <w:rPr>
          <w:noProof/>
        </w:rPr>
        <w:br w:type="page"/>
      </w:r>
    </w:p>
    <w:p w14:paraId="5F4B5727" w14:textId="4A3944D1" w:rsidR="003926DF" w:rsidRPr="001B3164" w:rsidRDefault="00352DCC" w:rsidP="00A87F59">
      <w:pPr>
        <w:pStyle w:val="Heading2"/>
        <w:rPr>
          <w:noProof/>
        </w:rPr>
      </w:pPr>
      <w:bookmarkStart w:id="59" w:name="_Toc225513072"/>
      <w:r>
        <w:rPr>
          <w:noProof/>
        </w:rPr>
        <w:t>Demande des investisseurs et liquidité du marché secondaire</w:t>
      </w:r>
      <w:bookmarkEnd w:id="49"/>
      <w:bookmarkEnd w:id="50"/>
      <w:bookmarkEnd w:id="51"/>
      <w:bookmarkEnd w:id="52"/>
      <w:bookmarkEnd w:id="53"/>
      <w:bookmarkEnd w:id="54"/>
      <w:bookmarkEnd w:id="55"/>
      <w:bookmarkEnd w:id="56"/>
      <w:bookmarkEnd w:id="57"/>
      <w:bookmarkEnd w:id="59"/>
    </w:p>
    <w:p w14:paraId="685B5A31" w14:textId="3D1C1BEA" w:rsidR="00216746" w:rsidRDefault="00556A0B" w:rsidP="00216746">
      <w:pPr>
        <w:rPr>
          <w:noProof/>
        </w:rPr>
      </w:pPr>
      <w:bookmarkStart w:id="60" w:name="_Hlk139454867"/>
      <w:r>
        <w:rPr>
          <w:noProof/>
        </w:rPr>
        <w:t>Les émissions d’obligations de l’UE ont continué de bénéficier de la demande d’une base mondiale d’investisseurs équilibrée et diversifiée.</w:t>
      </w:r>
    </w:p>
    <w:p w14:paraId="2619B764" w14:textId="2B686B08" w:rsidR="00EF6F31" w:rsidRPr="001B3164" w:rsidRDefault="00EF6F31" w:rsidP="00216746">
      <w:pPr>
        <w:rPr>
          <w:b/>
          <w:bCs/>
          <w:noProof/>
          <w:color w:val="034EA2" w:themeColor="accent1"/>
        </w:rPr>
      </w:pPr>
      <w:r>
        <w:rPr>
          <w:b/>
          <w:noProof/>
          <w:color w:val="034EA2" w:themeColor="accent1"/>
        </w:rPr>
        <w:t>Graphique 3: investisseurs dans les opérations syndiquées exécutées lors du second semestre de 2025, ventilés par type d’investisseur</w:t>
      </w:r>
    </w:p>
    <w:p w14:paraId="439D48C6" w14:textId="0EA7CEB1" w:rsidR="00055CF1" w:rsidRPr="001B3164" w:rsidRDefault="00B96960" w:rsidP="00216746">
      <w:pPr>
        <w:rPr>
          <w:b/>
          <w:bCs/>
          <w:noProof/>
          <w:color w:val="034EA2" w:themeColor="accent1"/>
        </w:rPr>
      </w:pPr>
      <w:r>
        <w:rPr>
          <w:b/>
          <w:bCs/>
          <w:noProof/>
          <w:color w:val="034EA2" w:themeColor="accent1"/>
          <w:lang w:val="en-GB" w:eastAsia="en-GB"/>
        </w:rPr>
        <w:drawing>
          <wp:inline distT="0" distB="0" distL="0" distR="0" wp14:anchorId="6D1E8F9E" wp14:editId="6861E555">
            <wp:extent cx="6134735" cy="2505710"/>
            <wp:effectExtent l="0" t="0" r="0" b="0"/>
            <wp:docPr id="201678010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34735" cy="2505710"/>
                    </a:xfrm>
                    <a:prstGeom prst="rect">
                      <a:avLst/>
                    </a:prstGeom>
                    <a:noFill/>
                  </pic:spPr>
                </pic:pic>
              </a:graphicData>
            </a:graphic>
          </wp:inline>
        </w:drawing>
      </w:r>
    </w:p>
    <w:p w14:paraId="2E4A8034" w14:textId="09062668" w:rsidR="00117C59" w:rsidRDefault="005E3734" w:rsidP="00940F79">
      <w:pPr>
        <w:spacing w:after="0"/>
        <w:rPr>
          <w:rFonts w:eastAsia="Times New Roman"/>
          <w:noProof/>
          <w:szCs w:val="22"/>
        </w:rPr>
      </w:pPr>
      <w:r>
        <w:rPr>
          <w:noProof/>
        </w:rPr>
        <w:t>Au cours du second semestre de 2025, 38 % des obligations de l’UE émises par voie de syndication ont été achetées par des investisseurs ayant généralement des horizons d’investissement plus longs (c’est-à-dire des gestionnaires de fonds, des compagnies d’assurance et des fonds de pension). Les banques centrales et les institutions officielles, qui préfèrent généralement investir dans des obligations ayant des échéances allant jusqu’à 10 ans, ont représenté environ 27 % des émissions syndiquées d’obligations de l’UE et ont aussi constitué la principale source de demande. Par rapport au premier semestre de 2025, la part des banques centrales et des institutions officielles a légèrement augmenté, tandis que celle des assurances et des fonds de pension a légèrement diminué, très probablement en raison de la durée légèrement plus courte des obligations émises au second semestre de 2025.</w:t>
      </w:r>
    </w:p>
    <w:p w14:paraId="6FD7EDEC" w14:textId="77777777" w:rsidR="006758A9" w:rsidRDefault="00940F79" w:rsidP="00177D88">
      <w:pPr>
        <w:spacing w:before="280"/>
        <w:rPr>
          <w:b/>
          <w:noProof/>
          <w:color w:val="034EA2" w:themeColor="accent1"/>
        </w:rPr>
      </w:pPr>
      <w:bookmarkStart w:id="61" w:name="_Hlk207362275"/>
      <w:r>
        <w:rPr>
          <w:b/>
          <w:noProof/>
          <w:color w:val="034EA2" w:themeColor="accent1"/>
        </w:rPr>
        <w:t>Graphique 4: investisseurs dans les opérations syndiquées exécutées lors du second semestre de 2025, ventilés par pays/région</w:t>
      </w:r>
    </w:p>
    <w:p w14:paraId="4D4F2DCF" w14:textId="416236AA" w:rsidR="00940F79" w:rsidRPr="001B3164" w:rsidRDefault="006758A9" w:rsidP="00177D88">
      <w:pPr>
        <w:spacing w:before="280"/>
        <w:rPr>
          <w:b/>
          <w:bCs/>
          <w:noProof/>
          <w:color w:val="034EA2" w:themeColor="accent1"/>
        </w:rPr>
      </w:pPr>
      <w:r>
        <w:rPr>
          <w:b/>
          <w:noProof/>
          <w:color w:val="034EA2" w:themeColor="accent1"/>
          <w:lang w:val="en-GB" w:eastAsia="en-GB"/>
        </w:rPr>
        <w:drawing>
          <wp:inline distT="0" distB="0" distL="0" distR="0" wp14:anchorId="71FB8641" wp14:editId="4C380B6F">
            <wp:extent cx="6229985" cy="2677160"/>
            <wp:effectExtent l="0" t="0" r="0" b="0"/>
            <wp:docPr id="47337859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29985" cy="2677160"/>
                    </a:xfrm>
                    <a:prstGeom prst="rect">
                      <a:avLst/>
                    </a:prstGeom>
                    <a:noFill/>
                  </pic:spPr>
                </pic:pic>
              </a:graphicData>
            </a:graphic>
          </wp:inline>
        </w:drawing>
      </w:r>
    </w:p>
    <w:p w14:paraId="77C8CAF0" w14:textId="3E3D7817" w:rsidR="008A3C4A" w:rsidRPr="001B3164" w:rsidRDefault="008A3C4A" w:rsidP="00216746">
      <w:pPr>
        <w:rPr>
          <w:noProof/>
        </w:rPr>
      </w:pPr>
    </w:p>
    <w:p w14:paraId="78069FF9" w14:textId="06D94EAC" w:rsidR="00117C59" w:rsidRPr="001B3164" w:rsidRDefault="00A00A42" w:rsidP="00216746">
      <w:pPr>
        <w:rPr>
          <w:noProof/>
        </w:rPr>
      </w:pPr>
      <w:bookmarkStart w:id="62" w:name="_Hlk220508519"/>
      <w:r>
        <w:rPr>
          <w:noProof/>
        </w:rPr>
        <w:t>Au second semestre de 2025, les investisseurs situés dans l’UE représentaient 55 % des investissements dans les syndications d’obligations de l’UE, contre 66 % au premier semestre de 2025. L’augmentation du nombre d’investisseurs extérieurs à l’UE peut être principalement attribuée aux investisseurs internationaux originaires d’Asie (9 % au S2 2025 contre 5 % au S1 2025) et du Moyen-Orient et d’Afrique (6 % au S2 2025 contre 2 % au S1 2025). Le pourcentage d’investisseurs internationaux opérant depuis le Royaume-Uni est resté stable, aux alentours de 20 %. Le reste provenait de pays européens non membres de l’UE, tels que la Norvège et la Suisse.</w:t>
      </w:r>
    </w:p>
    <w:p w14:paraId="7BEDA679" w14:textId="63F8DFF9" w:rsidR="00F81553" w:rsidRPr="001B3164" w:rsidRDefault="00061AD9" w:rsidP="00F25103">
      <w:pPr>
        <w:rPr>
          <w:noProof/>
        </w:rPr>
      </w:pPr>
      <w:bookmarkStart w:id="63" w:name="_Hlk169094028"/>
      <w:bookmarkStart w:id="64" w:name="_Hlk216706884"/>
      <w:bookmarkEnd w:id="60"/>
      <w:bookmarkEnd w:id="61"/>
      <w:bookmarkEnd w:id="62"/>
      <w:r>
        <w:rPr>
          <w:noProof/>
        </w:rPr>
        <w:t>Malgré les turbulences du marché, les primes de nouvelle émission (PNI)</w:t>
      </w:r>
      <w:r>
        <w:rPr>
          <w:noProof/>
          <w:vertAlign w:val="superscript"/>
        </w:rPr>
        <w:footnoteReference w:id="12"/>
      </w:r>
      <w:r>
        <w:rPr>
          <w:noProof/>
        </w:rPr>
        <w:t xml:space="preserve">, </w:t>
      </w:r>
      <w:bookmarkStart w:id="65" w:name="_Hlk170294116"/>
      <w:bookmarkEnd w:id="63"/>
      <w:r>
        <w:rPr>
          <w:noProof/>
        </w:rPr>
        <w:t xml:space="preserve">que les investisseurs exigent à titre de concession lorsque l’UE émet des obligations par voie de syndication, sont restées modérées au second semestre de 2025, avec une moyenne d’environ 1,65 point de base. Cela correspond au niveau moyen des PNI enregistré au premier semestre de 2025, à savoir 1,6 point de base, et à celui des autres émetteurs sur des opérations comparables (mesurées selon leur taille et leur échéance). </w:t>
      </w:r>
    </w:p>
    <w:bookmarkEnd w:id="58"/>
    <w:bookmarkEnd w:id="65"/>
    <w:p w14:paraId="6718684A" w14:textId="0C52439D" w:rsidR="00733125" w:rsidRPr="00323B74" w:rsidRDefault="00323B74" w:rsidP="00733125">
      <w:pPr>
        <w:rPr>
          <w:noProof/>
        </w:rPr>
      </w:pPr>
      <w:r>
        <w:rPr>
          <w:noProof/>
        </w:rPr>
        <w:t>La liquidité du marché secondaire des obligations de l’UE s’est encore améliorée, soutenue par un système de modalités de cotation (en place depuis novembre 2023) dans le cadre duquel les spécialistes en titres publics de l’UE sont encouragés à publier des prix fiables des obligations de l’UE sur les principales plateformes électroniques de négociation d’obligations. Au cours du second semestre de 2025, le chiffre d’affaires absolu des obligations de l’UE s’est établi à 1 531 milliards d’EUR, contre 833 milliards d’EUR au second semestre de 2024.</w:t>
      </w:r>
    </w:p>
    <w:p w14:paraId="5FF675C1" w14:textId="41971F57" w:rsidR="00C34058" w:rsidRPr="001B3164" w:rsidRDefault="00831281" w:rsidP="00CE068C">
      <w:pPr>
        <w:rPr>
          <w:noProof/>
        </w:rPr>
      </w:pPr>
      <w:bookmarkStart w:id="66" w:name="_Hlk216710147"/>
      <w:r>
        <w:rPr>
          <w:noProof/>
        </w:rPr>
        <w:t xml:space="preserve">L’approche de marché adoptée par la Commission, qui consiste à abonder les lignes existantes tout en créant régulièrement de nouvelles lignes, a renforcé la liquidité de la courbe des obligations de l’UE. De nouvelles lignes à 5, 7, 15 et 30 ans ont également été lancées au cours du premier semestre de 2025. En conséquence, l’encours moyen par obligation de l’UE s’est maintenu à environ 16 milliards d’EUR à la fin de l’année 2025. </w:t>
      </w:r>
      <w:bookmarkEnd w:id="64"/>
    </w:p>
    <w:p w14:paraId="138E334A" w14:textId="66E41A3E" w:rsidR="009A0198" w:rsidRDefault="00EF6F31" w:rsidP="00177D88">
      <w:pPr>
        <w:spacing w:before="240"/>
        <w:rPr>
          <w:b/>
          <w:bCs/>
          <w:noProof/>
          <w:color w:val="034EA2" w:themeColor="accent1"/>
        </w:rPr>
      </w:pPr>
      <w:bookmarkStart w:id="67" w:name="_Hlk187333874"/>
      <w:r>
        <w:rPr>
          <w:b/>
          <w:noProof/>
          <w:color w:val="034EA2" w:themeColor="accent1"/>
        </w:rPr>
        <w:t>Graphique 5: volumes d’échanges trimestriels sur le marché secondaire des obligations de l’UE et des obligations d’État européennes (% du niveau d’encours)</w:t>
      </w:r>
    </w:p>
    <w:p w14:paraId="5338577B" w14:textId="2FFB3542" w:rsidR="008F2B75" w:rsidRPr="001B3164" w:rsidRDefault="002D1EE2" w:rsidP="009A0198">
      <w:pPr>
        <w:rPr>
          <w:b/>
          <w:bCs/>
          <w:noProof/>
          <w:color w:val="034EA2" w:themeColor="accent1"/>
        </w:rPr>
      </w:pPr>
      <w:r w:rsidRPr="002D1EE2">
        <w:rPr>
          <w:noProof/>
          <w:lang w:val="en-GB" w:eastAsia="en-GB"/>
        </w:rPr>
        <w:drawing>
          <wp:inline distT="0" distB="0" distL="0" distR="0" wp14:anchorId="5336FF44" wp14:editId="7E28B517">
            <wp:extent cx="5731510" cy="2550160"/>
            <wp:effectExtent l="0" t="0" r="0" b="0"/>
            <wp:docPr id="501206778"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206778" name="Picture 1" descr="A graph with numbers and lines&#10;&#10;AI-generated content may be incorrect."/>
                    <pic:cNvPicPr/>
                  </pic:nvPicPr>
                  <pic:blipFill>
                    <a:blip r:embed="rId35"/>
                    <a:stretch>
                      <a:fillRect/>
                    </a:stretch>
                  </pic:blipFill>
                  <pic:spPr>
                    <a:xfrm>
                      <a:off x="0" y="0"/>
                      <a:ext cx="5731510" cy="2550160"/>
                    </a:xfrm>
                    <a:prstGeom prst="rect">
                      <a:avLst/>
                    </a:prstGeom>
                  </pic:spPr>
                </pic:pic>
              </a:graphicData>
            </a:graphic>
          </wp:inline>
        </w:drawing>
      </w:r>
    </w:p>
    <w:bookmarkEnd w:id="67"/>
    <w:p w14:paraId="0595897F" w14:textId="06F1566B" w:rsidR="003E1CDE" w:rsidRPr="001B3164" w:rsidRDefault="009A0198" w:rsidP="009A0198">
      <w:pPr>
        <w:contextualSpacing/>
        <w:rPr>
          <w:noProof/>
          <w:sz w:val="20"/>
          <w:szCs w:val="20"/>
        </w:rPr>
      </w:pPr>
      <w:r>
        <w:rPr>
          <w:i/>
          <w:noProof/>
          <w:sz w:val="20"/>
        </w:rPr>
        <w:t>Source:</w:t>
      </w:r>
      <w:r>
        <w:rPr>
          <w:noProof/>
          <w:sz w:val="20"/>
        </w:rPr>
        <w:t xml:space="preserve"> Commission européenne, sur la base des données du sous-comité «marchés européens des dettes souveraines» du Comité économique et financier (ESDM). </w:t>
      </w:r>
    </w:p>
    <w:p w14:paraId="41882486" w14:textId="116E5133" w:rsidR="00B60214" w:rsidRPr="001B3164" w:rsidRDefault="009A0198" w:rsidP="009A0198">
      <w:pPr>
        <w:contextualSpacing/>
        <w:rPr>
          <w:noProof/>
          <w:sz w:val="20"/>
          <w:szCs w:val="20"/>
        </w:rPr>
      </w:pPr>
      <w:r>
        <w:rPr>
          <w:i/>
          <w:noProof/>
          <w:sz w:val="20"/>
        </w:rPr>
        <w:t>Remarque:</w:t>
      </w:r>
      <w:r>
        <w:rPr>
          <w:noProof/>
          <w:sz w:val="20"/>
        </w:rPr>
        <w:t xml:space="preserve"> dans ce graphique, le marché des obligations d’État européennes (OEE) comprend les obligations émises par les États membres de la zone euro, le Fonds européen de stabilité financière et le Mécanisme européen de stabilité. Les données ne sont pas encore disponibles pour les T3 et T4 2025.</w:t>
      </w:r>
    </w:p>
    <w:p w14:paraId="2BC99B27" w14:textId="77777777" w:rsidR="00E81087" w:rsidRPr="001B3164" w:rsidRDefault="00DB3549" w:rsidP="00A87F59">
      <w:pPr>
        <w:pStyle w:val="Heading1"/>
        <w:rPr>
          <w:noProof/>
        </w:rPr>
      </w:pPr>
      <w:bookmarkStart w:id="68" w:name="_Toc202682644"/>
      <w:bookmarkStart w:id="69" w:name="_Toc225513073"/>
      <w:bookmarkStart w:id="70" w:name="_Hlk216710259"/>
      <w:bookmarkEnd w:id="66"/>
      <w:r>
        <w:rPr>
          <w:noProof/>
        </w:rPr>
        <w:t>Coût du financement et coûts de la gestion des liquidités</w:t>
      </w:r>
      <w:bookmarkEnd w:id="68"/>
      <w:bookmarkEnd w:id="69"/>
    </w:p>
    <w:p w14:paraId="7051FF48" w14:textId="77777777" w:rsidR="001D0900" w:rsidRPr="001B3164" w:rsidRDefault="001D0900" w:rsidP="00A87F59">
      <w:pPr>
        <w:pStyle w:val="Heading2"/>
        <w:rPr>
          <w:noProof/>
        </w:rPr>
      </w:pPr>
      <w:bookmarkStart w:id="71" w:name="_Toc187701957"/>
      <w:bookmarkStart w:id="72" w:name="_Toc187702012"/>
      <w:bookmarkStart w:id="73" w:name="_Toc190904648"/>
      <w:bookmarkStart w:id="74" w:name="_Toc201318492"/>
      <w:bookmarkStart w:id="75" w:name="_Toc202682645"/>
      <w:bookmarkStart w:id="76" w:name="_Toc219529989"/>
      <w:bookmarkStart w:id="77" w:name="_Toc225513074"/>
      <w:bookmarkStart w:id="78" w:name="_Hlk219531795"/>
      <w:r>
        <w:rPr>
          <w:noProof/>
        </w:rPr>
        <w:t>Coût du financement</w:t>
      </w:r>
      <w:bookmarkEnd w:id="71"/>
      <w:bookmarkEnd w:id="72"/>
      <w:bookmarkEnd w:id="73"/>
      <w:bookmarkEnd w:id="74"/>
      <w:bookmarkEnd w:id="75"/>
      <w:bookmarkEnd w:id="76"/>
      <w:bookmarkEnd w:id="77"/>
    </w:p>
    <w:p w14:paraId="14BB5E60" w14:textId="36952E05" w:rsidR="00943313" w:rsidRPr="00D74D55" w:rsidRDefault="00943313" w:rsidP="00035235">
      <w:pPr>
        <w:rPr>
          <w:noProof/>
        </w:rPr>
      </w:pPr>
      <w:r>
        <w:rPr>
          <w:noProof/>
        </w:rPr>
        <w:t>La méthode de répartition des coûts dans le cadre de la stratégie de financement diversifiée lie les coûts de financement appliqués aux bénéficiaires (le budget de l’UE ou les bénéficiaires de prêts) aux conditions obtenues sur le marché lorsque les décaissements ont été financés</w:t>
      </w:r>
      <w:r>
        <w:rPr>
          <w:noProof/>
          <w:vertAlign w:val="superscript"/>
        </w:rPr>
        <w:footnoteReference w:id="13"/>
      </w:r>
      <w:r>
        <w:rPr>
          <w:noProof/>
        </w:rPr>
        <w:t>. En outre, selon cette méthode, les coûts d’emprunt sont répartis programme par programme.</w:t>
      </w:r>
    </w:p>
    <w:p w14:paraId="211B5618" w14:textId="62900E8E" w:rsidR="00481415" w:rsidRDefault="00831281" w:rsidP="000214CF">
      <w:pPr>
        <w:rPr>
          <w:noProof/>
        </w:rPr>
      </w:pPr>
      <w:r>
        <w:rPr>
          <w:noProof/>
        </w:rPr>
        <w:t>Le coût du financement des paiements au titre de NextGenerationEU dans le compartiment temporel de juin à décembre 2025 («TC9» dans le tableau ci-dessous) est estimé à 3,32 %, en hausse par rapport aux 3,24 % pour le compartiment temporel semestriel précédent. Fin décembre 2025, le coût du financement des décaissements au titre d’autres programmes se situait entre 2,70 % et 2,80 %, à l’exception du prêt AMF+ et du prêt AMF à l’Ukraine dans le cadre de l’initiative ERA menée par le G7, dont le coût de financement était respectivement de 3,15 % et de 2,54 %.</w:t>
      </w:r>
    </w:p>
    <w:p w14:paraId="78C1FFE2" w14:textId="37167F8E" w:rsidR="0094369E" w:rsidRDefault="00F55A8C" w:rsidP="007B6993">
      <w:pPr>
        <w:rPr>
          <w:noProof/>
        </w:rPr>
      </w:pPr>
      <w:r>
        <w:rPr>
          <w:noProof/>
        </w:rPr>
        <w:t>Les différences de coûts de financement entre les compartiments de programme sont dues aux caractéristiques de chaque programme, telles que les différences dans les échéances moyennes des instruments d’emprunt</w:t>
      </w:r>
      <w:r>
        <w:rPr>
          <w:noProof/>
          <w:vertAlign w:val="superscript"/>
        </w:rPr>
        <w:footnoteReference w:id="14"/>
      </w:r>
      <w:r>
        <w:rPr>
          <w:noProof/>
        </w:rPr>
        <w:t xml:space="preserve">. </w:t>
      </w:r>
    </w:p>
    <w:p w14:paraId="32D1CFF5" w14:textId="77777777" w:rsidR="00226F31" w:rsidRPr="001B3164" w:rsidRDefault="00226F31" w:rsidP="007B6993">
      <w:pPr>
        <w:rPr>
          <w:noProof/>
        </w:rPr>
      </w:pPr>
    </w:p>
    <w:p w14:paraId="103CA82E" w14:textId="020C9E05" w:rsidR="004F3BBB" w:rsidRDefault="00EF6F31" w:rsidP="007B6993">
      <w:pPr>
        <w:rPr>
          <w:b/>
          <w:bCs/>
          <w:noProof/>
          <w:color w:val="034EA2" w:themeColor="accent1"/>
        </w:rPr>
      </w:pPr>
      <w:bookmarkStart w:id="79" w:name="_Hlk201318293"/>
      <w:r>
        <w:rPr>
          <w:b/>
          <w:noProof/>
          <w:color w:val="034EA2" w:themeColor="accent1"/>
        </w:rPr>
        <w:t>Graphique 6: coût du financement</w:t>
      </w:r>
    </w:p>
    <w:tbl>
      <w:tblPr>
        <w:tblStyle w:val="TableGrid"/>
        <w:tblW w:w="5000" w:type="pct"/>
        <w:tblInd w:w="57" w:type="dxa"/>
        <w:tblBorders>
          <w:top w:val="none" w:sz="0" w:space="0" w:color="auto"/>
          <w:left w:val="none" w:sz="0" w:space="0" w:color="auto"/>
          <w:bottom w:val="none" w:sz="0" w:space="0" w:color="auto"/>
          <w:right w:val="none" w:sz="0" w:space="0" w:color="auto"/>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2088"/>
        <w:gridCol w:w="857"/>
        <w:gridCol w:w="775"/>
        <w:gridCol w:w="775"/>
        <w:gridCol w:w="775"/>
        <w:gridCol w:w="775"/>
        <w:gridCol w:w="775"/>
        <w:gridCol w:w="775"/>
        <w:gridCol w:w="775"/>
        <w:gridCol w:w="770"/>
      </w:tblGrid>
      <w:tr w:rsidR="004F3BBB" w:rsidRPr="001B3164" w14:paraId="43FEE23A" w14:textId="77777777" w:rsidTr="00177D88">
        <w:trPr>
          <w:trHeight w:val="567"/>
        </w:trPr>
        <w:tc>
          <w:tcPr>
            <w:tcW w:w="1142" w:type="pct"/>
            <w:vMerge w:val="restart"/>
            <w:shd w:val="clear" w:color="auto" w:fill="034EA2" w:themeFill="accent1"/>
            <w:vAlign w:val="center"/>
          </w:tcPr>
          <w:p w14:paraId="4727F012" w14:textId="77777777" w:rsidR="004F3BBB" w:rsidRPr="001B3164" w:rsidRDefault="004F3BBB" w:rsidP="001639D7">
            <w:pPr>
              <w:jc w:val="center"/>
              <w:rPr>
                <w:b/>
                <w:bCs/>
                <w:noProof/>
                <w:color w:val="FFFFFF" w:themeColor="background1"/>
              </w:rPr>
            </w:pPr>
            <w:bookmarkStart w:id="80" w:name="_Hlk169710857"/>
            <w:bookmarkEnd w:id="78"/>
            <w:bookmarkEnd w:id="79"/>
            <w:r>
              <w:rPr>
                <w:b/>
                <w:noProof/>
                <w:color w:val="FFFFFF" w:themeColor="background1"/>
              </w:rPr>
              <w:t>NextGenerationEU</w:t>
            </w:r>
          </w:p>
        </w:tc>
        <w:tc>
          <w:tcPr>
            <w:tcW w:w="469" w:type="pct"/>
            <w:shd w:val="clear" w:color="auto" w:fill="034EA2" w:themeFill="accent1"/>
            <w:vAlign w:val="center"/>
            <w:hideMark/>
          </w:tcPr>
          <w:p w14:paraId="6231D03B" w14:textId="77777777" w:rsidR="004F3BBB" w:rsidRPr="001B3164" w:rsidRDefault="004F3BBB" w:rsidP="00177D88">
            <w:pPr>
              <w:jc w:val="center"/>
              <w:rPr>
                <w:b/>
                <w:bCs/>
                <w:noProof/>
                <w:color w:val="FFFFFF" w:themeColor="background1"/>
              </w:rPr>
            </w:pPr>
            <w:r>
              <w:rPr>
                <w:b/>
                <w:noProof/>
                <w:color w:val="FFFFFF" w:themeColor="background1"/>
              </w:rPr>
              <w:t>TC1</w:t>
            </w:r>
          </w:p>
        </w:tc>
        <w:tc>
          <w:tcPr>
            <w:tcW w:w="424" w:type="pct"/>
            <w:shd w:val="clear" w:color="auto" w:fill="034EA2" w:themeFill="accent1"/>
            <w:vAlign w:val="center"/>
            <w:hideMark/>
          </w:tcPr>
          <w:p w14:paraId="2C0E64A4" w14:textId="77777777" w:rsidR="004F3BBB" w:rsidRPr="001B3164" w:rsidRDefault="004F3BBB" w:rsidP="001639D7">
            <w:pPr>
              <w:jc w:val="center"/>
              <w:rPr>
                <w:b/>
                <w:bCs/>
                <w:noProof/>
                <w:color w:val="FFFFFF" w:themeColor="background1"/>
              </w:rPr>
            </w:pPr>
            <w:r>
              <w:rPr>
                <w:b/>
                <w:noProof/>
                <w:color w:val="FFFFFF" w:themeColor="background1"/>
              </w:rPr>
              <w:t>TC2</w:t>
            </w:r>
          </w:p>
        </w:tc>
        <w:tc>
          <w:tcPr>
            <w:tcW w:w="424" w:type="pct"/>
            <w:shd w:val="clear" w:color="auto" w:fill="034EA2" w:themeFill="accent1"/>
            <w:vAlign w:val="center"/>
            <w:hideMark/>
          </w:tcPr>
          <w:p w14:paraId="3F37AF0F" w14:textId="77777777" w:rsidR="004F3BBB" w:rsidRPr="001B3164" w:rsidRDefault="004F3BBB" w:rsidP="001639D7">
            <w:pPr>
              <w:jc w:val="center"/>
              <w:rPr>
                <w:b/>
                <w:bCs/>
                <w:noProof/>
                <w:color w:val="FFFFFF" w:themeColor="background1"/>
              </w:rPr>
            </w:pPr>
            <w:r>
              <w:rPr>
                <w:b/>
                <w:noProof/>
                <w:color w:val="FFFFFF" w:themeColor="background1"/>
              </w:rPr>
              <w:t>TC3</w:t>
            </w:r>
          </w:p>
        </w:tc>
        <w:tc>
          <w:tcPr>
            <w:tcW w:w="424" w:type="pct"/>
            <w:shd w:val="clear" w:color="auto" w:fill="034EA2" w:themeFill="accent1"/>
            <w:vAlign w:val="center"/>
            <w:hideMark/>
          </w:tcPr>
          <w:p w14:paraId="5643B73A" w14:textId="77777777" w:rsidR="004F3BBB" w:rsidRPr="001B3164" w:rsidRDefault="004F3BBB" w:rsidP="001639D7">
            <w:pPr>
              <w:jc w:val="center"/>
              <w:rPr>
                <w:b/>
                <w:bCs/>
                <w:noProof/>
                <w:color w:val="FFFFFF" w:themeColor="background1"/>
              </w:rPr>
            </w:pPr>
            <w:r>
              <w:rPr>
                <w:b/>
                <w:noProof/>
                <w:color w:val="FFFFFF" w:themeColor="background1"/>
              </w:rPr>
              <w:t>TC4</w:t>
            </w:r>
          </w:p>
        </w:tc>
        <w:tc>
          <w:tcPr>
            <w:tcW w:w="424" w:type="pct"/>
            <w:shd w:val="clear" w:color="auto" w:fill="034EA2" w:themeFill="accent1"/>
            <w:vAlign w:val="center"/>
            <w:hideMark/>
          </w:tcPr>
          <w:p w14:paraId="7ED911AB" w14:textId="77777777" w:rsidR="004F3BBB" w:rsidRPr="001B3164" w:rsidRDefault="004F3BBB" w:rsidP="001639D7">
            <w:pPr>
              <w:jc w:val="center"/>
              <w:rPr>
                <w:b/>
                <w:bCs/>
                <w:noProof/>
                <w:color w:val="FFFFFF" w:themeColor="background1"/>
              </w:rPr>
            </w:pPr>
            <w:r>
              <w:rPr>
                <w:b/>
                <w:noProof/>
                <w:color w:val="FFFFFF" w:themeColor="background1"/>
              </w:rPr>
              <w:t>TC5</w:t>
            </w:r>
          </w:p>
        </w:tc>
        <w:tc>
          <w:tcPr>
            <w:tcW w:w="424" w:type="pct"/>
            <w:shd w:val="clear" w:color="auto" w:fill="034EA2" w:themeFill="accent1"/>
            <w:vAlign w:val="center"/>
          </w:tcPr>
          <w:p w14:paraId="6887D903" w14:textId="77777777" w:rsidR="004F3BBB" w:rsidRPr="001B3164" w:rsidRDefault="004F3BBB" w:rsidP="001639D7">
            <w:pPr>
              <w:jc w:val="center"/>
              <w:rPr>
                <w:b/>
                <w:bCs/>
                <w:noProof/>
                <w:color w:val="FFFFFF" w:themeColor="background1"/>
              </w:rPr>
            </w:pPr>
            <w:r>
              <w:rPr>
                <w:b/>
                <w:noProof/>
                <w:color w:val="FFFFFF" w:themeColor="background1"/>
              </w:rPr>
              <w:t>TC6</w:t>
            </w:r>
          </w:p>
        </w:tc>
        <w:tc>
          <w:tcPr>
            <w:tcW w:w="424" w:type="pct"/>
            <w:shd w:val="clear" w:color="auto" w:fill="034EA2" w:themeFill="accent1"/>
            <w:vAlign w:val="center"/>
          </w:tcPr>
          <w:p w14:paraId="3E9D26BA" w14:textId="77777777" w:rsidR="004F3BBB" w:rsidRPr="001B3164" w:rsidRDefault="004F3BBB" w:rsidP="001639D7">
            <w:pPr>
              <w:jc w:val="center"/>
              <w:rPr>
                <w:b/>
                <w:bCs/>
                <w:noProof/>
                <w:color w:val="FFFFFF" w:themeColor="background1"/>
              </w:rPr>
            </w:pPr>
            <w:r>
              <w:rPr>
                <w:b/>
                <w:noProof/>
                <w:color w:val="FFFFFF" w:themeColor="background1"/>
              </w:rPr>
              <w:t>TC7</w:t>
            </w:r>
          </w:p>
        </w:tc>
        <w:tc>
          <w:tcPr>
            <w:tcW w:w="424" w:type="pct"/>
            <w:shd w:val="clear" w:color="auto" w:fill="034EA2" w:themeFill="accent1"/>
            <w:vAlign w:val="center"/>
          </w:tcPr>
          <w:p w14:paraId="2DE370DB" w14:textId="77777777" w:rsidR="004F3BBB" w:rsidRPr="001B3164" w:rsidRDefault="004F3BBB" w:rsidP="001639D7">
            <w:pPr>
              <w:jc w:val="center"/>
              <w:rPr>
                <w:b/>
                <w:bCs/>
                <w:noProof/>
                <w:color w:val="FFFFFF" w:themeColor="background1"/>
              </w:rPr>
            </w:pPr>
            <w:r>
              <w:rPr>
                <w:b/>
                <w:noProof/>
                <w:color w:val="FFFFFF" w:themeColor="background1"/>
              </w:rPr>
              <w:t>TC8</w:t>
            </w:r>
          </w:p>
        </w:tc>
        <w:tc>
          <w:tcPr>
            <w:tcW w:w="422" w:type="pct"/>
            <w:shd w:val="clear" w:color="auto" w:fill="034EA2" w:themeFill="accent1"/>
            <w:vAlign w:val="center"/>
          </w:tcPr>
          <w:p w14:paraId="096D5FBF" w14:textId="77777777" w:rsidR="004F3BBB" w:rsidRPr="001B3164" w:rsidRDefault="004F3BBB" w:rsidP="001639D7">
            <w:pPr>
              <w:jc w:val="center"/>
              <w:rPr>
                <w:b/>
                <w:bCs/>
                <w:noProof/>
                <w:color w:val="FFFFFF" w:themeColor="background1"/>
              </w:rPr>
            </w:pPr>
            <w:r>
              <w:rPr>
                <w:b/>
                <w:noProof/>
                <w:color w:val="FFFFFF" w:themeColor="background1"/>
              </w:rPr>
              <w:t>TC9</w:t>
            </w:r>
          </w:p>
        </w:tc>
      </w:tr>
      <w:tr w:rsidR="004F3BBB" w:rsidRPr="001B3164" w14:paraId="3EEC38EB" w14:textId="77777777" w:rsidTr="00177D88">
        <w:trPr>
          <w:trHeight w:val="415"/>
        </w:trPr>
        <w:tc>
          <w:tcPr>
            <w:tcW w:w="1142" w:type="pct"/>
            <w:vMerge/>
          </w:tcPr>
          <w:p w14:paraId="24399B9F" w14:textId="77777777" w:rsidR="004F3BBB" w:rsidRPr="001B3164" w:rsidRDefault="004F3BBB" w:rsidP="001639D7">
            <w:pPr>
              <w:jc w:val="center"/>
              <w:rPr>
                <w:noProof/>
                <w:color w:val="3B3838" w:themeColor="background2" w:themeShade="40"/>
              </w:rPr>
            </w:pPr>
          </w:p>
        </w:tc>
        <w:tc>
          <w:tcPr>
            <w:tcW w:w="469" w:type="pct"/>
            <w:vAlign w:val="center"/>
            <w:hideMark/>
          </w:tcPr>
          <w:p w14:paraId="5113E05A" w14:textId="77777777" w:rsidR="004F3BBB" w:rsidRPr="001B3164" w:rsidRDefault="004F3BBB" w:rsidP="001639D7">
            <w:pPr>
              <w:jc w:val="center"/>
              <w:rPr>
                <w:noProof/>
                <w:color w:val="3B3838" w:themeColor="background2" w:themeShade="40"/>
              </w:rPr>
            </w:pPr>
            <w:r>
              <w:rPr>
                <w:noProof/>
                <w:color w:val="3B3838" w:themeColor="background2" w:themeShade="40"/>
              </w:rPr>
              <w:t>0,15 %</w:t>
            </w:r>
          </w:p>
        </w:tc>
        <w:tc>
          <w:tcPr>
            <w:tcW w:w="424" w:type="pct"/>
            <w:vAlign w:val="center"/>
            <w:hideMark/>
          </w:tcPr>
          <w:p w14:paraId="0292C261" w14:textId="75283A28" w:rsidR="004F3BBB" w:rsidRPr="001B3164" w:rsidRDefault="004F3BBB" w:rsidP="001639D7">
            <w:pPr>
              <w:jc w:val="center"/>
              <w:rPr>
                <w:noProof/>
                <w:color w:val="3B3838" w:themeColor="background2" w:themeShade="40"/>
              </w:rPr>
            </w:pPr>
            <w:r>
              <w:rPr>
                <w:noProof/>
                <w:color w:val="3B3838" w:themeColor="background2" w:themeShade="40"/>
              </w:rPr>
              <w:t>1,57 %</w:t>
            </w:r>
          </w:p>
        </w:tc>
        <w:tc>
          <w:tcPr>
            <w:tcW w:w="424" w:type="pct"/>
            <w:vAlign w:val="center"/>
            <w:hideMark/>
          </w:tcPr>
          <w:p w14:paraId="5337A302" w14:textId="234C0CFD" w:rsidR="004F3BBB" w:rsidRPr="001B3164" w:rsidRDefault="004F3BBB" w:rsidP="001639D7">
            <w:pPr>
              <w:jc w:val="center"/>
              <w:rPr>
                <w:noProof/>
                <w:color w:val="3B3838" w:themeColor="background2" w:themeShade="40"/>
              </w:rPr>
            </w:pPr>
            <w:r>
              <w:rPr>
                <w:noProof/>
                <w:color w:val="3B3838" w:themeColor="background2" w:themeShade="40"/>
              </w:rPr>
              <w:t>2,68 %</w:t>
            </w:r>
          </w:p>
        </w:tc>
        <w:tc>
          <w:tcPr>
            <w:tcW w:w="424" w:type="pct"/>
            <w:vAlign w:val="center"/>
            <w:hideMark/>
          </w:tcPr>
          <w:p w14:paraId="18755E2C" w14:textId="536EADD2" w:rsidR="004F3BBB" w:rsidRPr="001B3164" w:rsidRDefault="004F3BBB" w:rsidP="001639D7">
            <w:pPr>
              <w:jc w:val="center"/>
              <w:rPr>
                <w:noProof/>
                <w:color w:val="3B3838" w:themeColor="background2" w:themeShade="40"/>
              </w:rPr>
            </w:pPr>
            <w:r>
              <w:rPr>
                <w:noProof/>
                <w:color w:val="3B3838" w:themeColor="background2" w:themeShade="40"/>
              </w:rPr>
              <w:t>3,24 %</w:t>
            </w:r>
          </w:p>
        </w:tc>
        <w:tc>
          <w:tcPr>
            <w:tcW w:w="424" w:type="pct"/>
            <w:vAlign w:val="center"/>
            <w:hideMark/>
          </w:tcPr>
          <w:p w14:paraId="69AA6B50" w14:textId="598BDBEF" w:rsidR="004F3BBB" w:rsidRPr="001B3164" w:rsidRDefault="004F3BBB" w:rsidP="001639D7">
            <w:pPr>
              <w:jc w:val="center"/>
              <w:rPr>
                <w:noProof/>
                <w:color w:val="3B3838" w:themeColor="background2" w:themeShade="40"/>
              </w:rPr>
            </w:pPr>
            <w:r>
              <w:rPr>
                <w:noProof/>
                <w:color w:val="3B3838" w:themeColor="background2" w:themeShade="40"/>
              </w:rPr>
              <w:t>3,58 %</w:t>
            </w:r>
          </w:p>
        </w:tc>
        <w:tc>
          <w:tcPr>
            <w:tcW w:w="424" w:type="pct"/>
            <w:vAlign w:val="center"/>
          </w:tcPr>
          <w:p w14:paraId="49E3D825" w14:textId="77777777" w:rsidR="004F3BBB" w:rsidRPr="001B3164" w:rsidRDefault="004F3BBB" w:rsidP="001639D7">
            <w:pPr>
              <w:jc w:val="center"/>
              <w:rPr>
                <w:noProof/>
                <w:color w:val="3B3838" w:themeColor="background2" w:themeShade="40"/>
              </w:rPr>
            </w:pPr>
            <w:r>
              <w:rPr>
                <w:noProof/>
                <w:color w:val="3B3838" w:themeColor="background2" w:themeShade="40"/>
              </w:rPr>
              <w:t>3,19 %</w:t>
            </w:r>
          </w:p>
        </w:tc>
        <w:tc>
          <w:tcPr>
            <w:tcW w:w="424" w:type="pct"/>
            <w:vAlign w:val="center"/>
          </w:tcPr>
          <w:p w14:paraId="44E7D57D" w14:textId="2BDE25CA" w:rsidR="004F3BBB" w:rsidRPr="001B3164" w:rsidRDefault="004F3BBB" w:rsidP="001639D7">
            <w:pPr>
              <w:jc w:val="center"/>
              <w:rPr>
                <w:noProof/>
                <w:color w:val="3B3838" w:themeColor="background2" w:themeShade="40"/>
              </w:rPr>
            </w:pPr>
            <w:r>
              <w:rPr>
                <w:noProof/>
                <w:color w:val="3B3838" w:themeColor="background2" w:themeShade="40"/>
              </w:rPr>
              <w:t>3,05 %</w:t>
            </w:r>
          </w:p>
        </w:tc>
        <w:tc>
          <w:tcPr>
            <w:tcW w:w="424" w:type="pct"/>
            <w:vAlign w:val="center"/>
          </w:tcPr>
          <w:p w14:paraId="0CF5F248" w14:textId="6D46B5B0" w:rsidR="004F3BBB" w:rsidRPr="001B3164" w:rsidRDefault="004F3BBB" w:rsidP="001639D7">
            <w:pPr>
              <w:jc w:val="center"/>
              <w:rPr>
                <w:noProof/>
                <w:color w:val="3B3838" w:themeColor="background2" w:themeShade="40"/>
              </w:rPr>
            </w:pPr>
            <w:r>
              <w:rPr>
                <w:noProof/>
                <w:color w:val="3B3838" w:themeColor="background2" w:themeShade="40"/>
              </w:rPr>
              <w:t>3,24 %</w:t>
            </w:r>
          </w:p>
        </w:tc>
        <w:tc>
          <w:tcPr>
            <w:tcW w:w="422" w:type="pct"/>
            <w:vAlign w:val="center"/>
          </w:tcPr>
          <w:p w14:paraId="525C6DC6" w14:textId="77777777" w:rsidR="004F3BBB" w:rsidRPr="001B3164" w:rsidRDefault="004F3BBB" w:rsidP="001639D7">
            <w:pPr>
              <w:jc w:val="center"/>
              <w:rPr>
                <w:noProof/>
                <w:color w:val="3B3838" w:themeColor="background2" w:themeShade="40"/>
              </w:rPr>
            </w:pPr>
            <w:r>
              <w:rPr>
                <w:noProof/>
                <w:color w:val="3B3838" w:themeColor="background2" w:themeShade="40"/>
              </w:rPr>
              <w:t>3,32 %</w:t>
            </w:r>
          </w:p>
        </w:tc>
      </w:tr>
    </w:tbl>
    <w:p w14:paraId="0750701B" w14:textId="77777777" w:rsidR="004F3BBB" w:rsidRPr="004F3BBB" w:rsidRDefault="004F3BBB" w:rsidP="004F3BBB">
      <w:pPr>
        <w:spacing w:after="0"/>
        <w:rPr>
          <w:b/>
          <w:bCs/>
          <w:noProof/>
          <w:color w:val="034EA2" w:themeColor="accent1"/>
          <w:sz w:val="12"/>
          <w:szCs w:val="14"/>
        </w:rPr>
      </w:pPr>
    </w:p>
    <w:tbl>
      <w:tblPr>
        <w:tblStyle w:val="TableGrid"/>
        <w:tblW w:w="3736" w:type="dxa"/>
        <w:tblInd w:w="43" w:type="dxa"/>
        <w:tblBorders>
          <w:top w:val="none" w:sz="0" w:space="0" w:color="auto"/>
          <w:left w:val="none" w:sz="0" w:space="0" w:color="auto"/>
          <w:bottom w:val="none" w:sz="0" w:space="0" w:color="auto"/>
          <w:right w:val="none" w:sz="0" w:space="0" w:color="auto"/>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2100"/>
        <w:gridCol w:w="831"/>
        <w:gridCol w:w="805"/>
      </w:tblGrid>
      <w:tr w:rsidR="004F3BBB" w:rsidRPr="001B3164" w14:paraId="26DC53BC" w14:textId="77777777" w:rsidTr="00177D88">
        <w:trPr>
          <w:trHeight w:val="510"/>
        </w:trPr>
        <w:tc>
          <w:tcPr>
            <w:tcW w:w="2100" w:type="dxa"/>
            <w:vMerge w:val="restart"/>
            <w:shd w:val="clear" w:color="auto" w:fill="034EA2" w:themeFill="accent1"/>
            <w:vAlign w:val="center"/>
          </w:tcPr>
          <w:p w14:paraId="33E98264" w14:textId="4CB51680" w:rsidR="004F3BBB" w:rsidRPr="001B3164" w:rsidRDefault="004F3BBB" w:rsidP="001639D7">
            <w:pPr>
              <w:spacing w:line="216" w:lineRule="auto"/>
              <w:jc w:val="center"/>
              <w:rPr>
                <w:b/>
                <w:bCs/>
                <w:noProof/>
                <w:color w:val="FFFFFF" w:themeColor="background1"/>
              </w:rPr>
            </w:pPr>
            <w:r>
              <w:rPr>
                <w:b/>
                <w:noProof/>
                <w:color w:val="FFFFFF" w:themeColor="background1"/>
              </w:rPr>
              <w:t>Facilité pour les réformes et la croissance en faveur des Balkans occidentaux</w:t>
            </w:r>
          </w:p>
        </w:tc>
        <w:tc>
          <w:tcPr>
            <w:tcW w:w="831" w:type="dxa"/>
            <w:shd w:val="clear" w:color="auto" w:fill="034EA2" w:themeFill="accent1"/>
            <w:vAlign w:val="center"/>
            <w:hideMark/>
          </w:tcPr>
          <w:p w14:paraId="203C1437" w14:textId="5A2D0630" w:rsidR="004F3BBB" w:rsidRPr="001B3164" w:rsidRDefault="004F3BBB" w:rsidP="00177D88">
            <w:pPr>
              <w:jc w:val="center"/>
              <w:rPr>
                <w:b/>
                <w:bCs/>
                <w:noProof/>
                <w:color w:val="FFFFFF" w:themeColor="background1"/>
              </w:rPr>
            </w:pPr>
            <w:r>
              <w:rPr>
                <w:b/>
                <w:noProof/>
                <w:color w:val="FFFFFF" w:themeColor="background1"/>
              </w:rPr>
              <w:t>TC1</w:t>
            </w:r>
          </w:p>
        </w:tc>
        <w:tc>
          <w:tcPr>
            <w:tcW w:w="805" w:type="dxa"/>
            <w:shd w:val="clear" w:color="auto" w:fill="034EA2" w:themeFill="accent1"/>
            <w:vAlign w:val="center"/>
            <w:hideMark/>
          </w:tcPr>
          <w:p w14:paraId="3BE04C4F" w14:textId="3F0DF17A" w:rsidR="004F3BBB" w:rsidRPr="001B3164" w:rsidRDefault="004F3BBB" w:rsidP="001639D7">
            <w:pPr>
              <w:jc w:val="center"/>
              <w:rPr>
                <w:b/>
                <w:bCs/>
                <w:noProof/>
                <w:color w:val="FFFFFF" w:themeColor="background1"/>
              </w:rPr>
            </w:pPr>
            <w:r>
              <w:rPr>
                <w:b/>
                <w:noProof/>
                <w:color w:val="FFFFFF" w:themeColor="background1"/>
              </w:rPr>
              <w:t>TC2</w:t>
            </w:r>
          </w:p>
        </w:tc>
      </w:tr>
      <w:tr w:rsidR="004F3BBB" w:rsidRPr="001B3164" w14:paraId="3F8DF4A8" w14:textId="77777777" w:rsidTr="00177D88">
        <w:trPr>
          <w:trHeight w:val="415"/>
        </w:trPr>
        <w:tc>
          <w:tcPr>
            <w:tcW w:w="2100" w:type="dxa"/>
            <w:vMerge/>
          </w:tcPr>
          <w:p w14:paraId="6D850F63" w14:textId="1808E011" w:rsidR="004F3BBB" w:rsidRPr="001B3164" w:rsidRDefault="004F3BBB" w:rsidP="001639D7">
            <w:pPr>
              <w:jc w:val="center"/>
              <w:rPr>
                <w:noProof/>
                <w:color w:val="3B3838" w:themeColor="background2" w:themeShade="40"/>
              </w:rPr>
            </w:pPr>
          </w:p>
        </w:tc>
        <w:tc>
          <w:tcPr>
            <w:tcW w:w="831" w:type="dxa"/>
            <w:vAlign w:val="center"/>
            <w:hideMark/>
          </w:tcPr>
          <w:p w14:paraId="24AC3CBB" w14:textId="051C8CE7" w:rsidR="004F3BBB" w:rsidRPr="001B3164" w:rsidRDefault="004F3BBB" w:rsidP="001639D7">
            <w:pPr>
              <w:jc w:val="center"/>
              <w:rPr>
                <w:noProof/>
                <w:color w:val="3B3838" w:themeColor="background2" w:themeShade="40"/>
              </w:rPr>
            </w:pPr>
            <w:r>
              <w:rPr>
                <w:noProof/>
                <w:color w:val="3B3838" w:themeColor="background2" w:themeShade="40"/>
              </w:rPr>
              <w:t>2,85 %</w:t>
            </w:r>
          </w:p>
        </w:tc>
        <w:tc>
          <w:tcPr>
            <w:tcW w:w="805" w:type="dxa"/>
            <w:vAlign w:val="center"/>
            <w:hideMark/>
          </w:tcPr>
          <w:p w14:paraId="7EA29DD5" w14:textId="33561C03" w:rsidR="004F3BBB" w:rsidRPr="001B3164" w:rsidRDefault="004F3BBB" w:rsidP="001639D7">
            <w:pPr>
              <w:jc w:val="center"/>
              <w:rPr>
                <w:noProof/>
                <w:color w:val="3B3838" w:themeColor="background2" w:themeShade="40"/>
              </w:rPr>
            </w:pPr>
            <w:r>
              <w:rPr>
                <w:noProof/>
                <w:color w:val="3B3838" w:themeColor="background2" w:themeShade="40"/>
              </w:rPr>
              <w:t>2,72 %</w:t>
            </w:r>
          </w:p>
        </w:tc>
      </w:tr>
    </w:tbl>
    <w:p w14:paraId="43EFA9AC" w14:textId="77777777" w:rsidR="004F3BBB" w:rsidRPr="004F3BBB" w:rsidRDefault="004F3BBB" w:rsidP="004F3BBB">
      <w:pPr>
        <w:spacing w:after="0"/>
        <w:rPr>
          <w:b/>
          <w:bCs/>
          <w:noProof/>
          <w:color w:val="034EA2" w:themeColor="accent1"/>
          <w:sz w:val="12"/>
          <w:szCs w:val="14"/>
        </w:rPr>
      </w:pPr>
    </w:p>
    <w:tbl>
      <w:tblPr>
        <w:tblStyle w:val="TableGrid"/>
        <w:tblW w:w="4908" w:type="pct"/>
        <w:tblInd w:w="108" w:type="dxa"/>
        <w:tblBorders>
          <w:top w:val="none" w:sz="0" w:space="0" w:color="auto"/>
          <w:left w:val="none" w:sz="0" w:space="0" w:color="auto"/>
          <w:bottom w:val="none" w:sz="0" w:space="0" w:color="auto"/>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48"/>
        <w:gridCol w:w="2116"/>
        <w:gridCol w:w="2056"/>
        <w:gridCol w:w="2052"/>
      </w:tblGrid>
      <w:tr w:rsidR="00B14F69" w:rsidRPr="001B3164" w14:paraId="0ADD8875" w14:textId="77777777" w:rsidTr="00B14F69">
        <w:trPr>
          <w:trHeight w:val="510"/>
        </w:trPr>
        <w:tc>
          <w:tcPr>
            <w:tcW w:w="1570" w:type="pct"/>
            <w:vMerge w:val="restart"/>
            <w:shd w:val="clear" w:color="auto" w:fill="034EA2" w:themeFill="accent1"/>
            <w:vAlign w:val="center"/>
          </w:tcPr>
          <w:p w14:paraId="1EB005FC" w14:textId="77777777" w:rsidR="00B14F69" w:rsidRPr="001B3164" w:rsidRDefault="00B14F69" w:rsidP="004F3BBB">
            <w:pPr>
              <w:jc w:val="center"/>
              <w:rPr>
                <w:b/>
                <w:bCs/>
                <w:noProof/>
                <w:color w:val="FFFFFF" w:themeColor="background1"/>
              </w:rPr>
            </w:pPr>
            <w:r>
              <w:rPr>
                <w:b/>
                <w:noProof/>
                <w:color w:val="FFFFFF" w:themeColor="background1"/>
              </w:rPr>
              <w:t>Ukraine</w:t>
            </w:r>
          </w:p>
        </w:tc>
        <w:tc>
          <w:tcPr>
            <w:tcW w:w="1166" w:type="pct"/>
            <w:shd w:val="clear" w:color="auto" w:fill="034EA2" w:themeFill="accent1"/>
            <w:vAlign w:val="center"/>
          </w:tcPr>
          <w:p w14:paraId="61E2616C" w14:textId="45096544" w:rsidR="00B14F69" w:rsidRPr="001B3164" w:rsidRDefault="00B14F69" w:rsidP="001639D7">
            <w:pPr>
              <w:jc w:val="center"/>
              <w:rPr>
                <w:b/>
                <w:bCs/>
                <w:noProof/>
                <w:color w:val="FFFFFF" w:themeColor="background1"/>
              </w:rPr>
            </w:pPr>
            <w:r>
              <w:rPr>
                <w:b/>
                <w:noProof/>
                <w:color w:val="FFFFFF" w:themeColor="background1"/>
              </w:rPr>
              <w:t>Facilité pour l’Ukraine</w:t>
            </w:r>
          </w:p>
        </w:tc>
        <w:tc>
          <w:tcPr>
            <w:tcW w:w="1133" w:type="pct"/>
            <w:shd w:val="clear" w:color="auto" w:fill="034EA2" w:themeFill="accent1"/>
            <w:vAlign w:val="center"/>
          </w:tcPr>
          <w:p w14:paraId="44C05403" w14:textId="77777777" w:rsidR="00B14F69" w:rsidRPr="001B3164" w:rsidRDefault="00B14F69" w:rsidP="001639D7">
            <w:pPr>
              <w:jc w:val="center"/>
              <w:rPr>
                <w:b/>
                <w:bCs/>
                <w:noProof/>
                <w:color w:val="FFFFFF" w:themeColor="background1"/>
              </w:rPr>
            </w:pPr>
            <w:r>
              <w:rPr>
                <w:b/>
                <w:noProof/>
                <w:color w:val="FFFFFF" w:themeColor="background1"/>
              </w:rPr>
              <w:t>AMF+</w:t>
            </w:r>
          </w:p>
        </w:tc>
        <w:tc>
          <w:tcPr>
            <w:tcW w:w="1131" w:type="pct"/>
            <w:shd w:val="clear" w:color="auto" w:fill="034EA2" w:themeFill="accent1"/>
            <w:vAlign w:val="center"/>
          </w:tcPr>
          <w:p w14:paraId="2163C086" w14:textId="77777777" w:rsidR="00B14F69" w:rsidRPr="001B3164" w:rsidRDefault="00B14F69" w:rsidP="004F3BBB">
            <w:pPr>
              <w:spacing w:line="216" w:lineRule="auto"/>
              <w:jc w:val="center"/>
              <w:rPr>
                <w:b/>
                <w:bCs/>
                <w:noProof/>
                <w:color w:val="FFFFFF" w:themeColor="background1"/>
              </w:rPr>
            </w:pPr>
            <w:r>
              <w:rPr>
                <w:b/>
                <w:noProof/>
                <w:color w:val="FFFFFF" w:themeColor="background1"/>
              </w:rPr>
              <w:t>AMF en faveur de l’Ukraine</w:t>
            </w:r>
            <w:r>
              <w:rPr>
                <w:noProof/>
              </w:rPr>
              <w:t xml:space="preserve"> </w:t>
            </w:r>
            <w:r>
              <w:rPr>
                <w:noProof/>
              </w:rPr>
              <w:br/>
            </w:r>
            <w:r>
              <w:rPr>
                <w:b/>
                <w:noProof/>
                <w:color w:val="FFFFFF" w:themeColor="background1"/>
              </w:rPr>
              <w:t>(ERA du G7)</w:t>
            </w:r>
          </w:p>
        </w:tc>
      </w:tr>
      <w:tr w:rsidR="004F3BBB" w:rsidRPr="001B3164" w14:paraId="45FC15D9" w14:textId="77777777" w:rsidTr="00B14F69">
        <w:trPr>
          <w:trHeight w:val="428"/>
        </w:trPr>
        <w:tc>
          <w:tcPr>
            <w:tcW w:w="1570" w:type="pct"/>
            <w:vMerge/>
          </w:tcPr>
          <w:p w14:paraId="28CA46A7" w14:textId="147ECCB5" w:rsidR="004F3BBB" w:rsidRPr="001B3164" w:rsidRDefault="004F3BBB" w:rsidP="001639D7">
            <w:pPr>
              <w:jc w:val="center"/>
              <w:rPr>
                <w:noProof/>
                <w:color w:val="3B3838" w:themeColor="background2" w:themeShade="40"/>
              </w:rPr>
            </w:pPr>
          </w:p>
        </w:tc>
        <w:tc>
          <w:tcPr>
            <w:tcW w:w="1166" w:type="pct"/>
            <w:vAlign w:val="center"/>
          </w:tcPr>
          <w:p w14:paraId="7FE6BB06" w14:textId="5F7FEE8E" w:rsidR="004F3BBB" w:rsidRPr="001B3164" w:rsidRDefault="004F3BBB" w:rsidP="001639D7">
            <w:pPr>
              <w:jc w:val="center"/>
              <w:rPr>
                <w:noProof/>
                <w:color w:val="3B3838" w:themeColor="background2" w:themeShade="40"/>
              </w:rPr>
            </w:pPr>
            <w:r>
              <w:rPr>
                <w:noProof/>
                <w:color w:val="3B3838" w:themeColor="background2" w:themeShade="40"/>
              </w:rPr>
              <w:t>2,76 %</w:t>
            </w:r>
          </w:p>
        </w:tc>
        <w:tc>
          <w:tcPr>
            <w:tcW w:w="1133" w:type="pct"/>
            <w:vAlign w:val="center"/>
          </w:tcPr>
          <w:p w14:paraId="51A1C56C" w14:textId="77777777" w:rsidR="004F3BBB" w:rsidRPr="001B3164" w:rsidRDefault="004F3BBB" w:rsidP="001639D7">
            <w:pPr>
              <w:jc w:val="center"/>
              <w:rPr>
                <w:noProof/>
                <w:color w:val="3B3838" w:themeColor="background2" w:themeShade="40"/>
              </w:rPr>
            </w:pPr>
            <w:r>
              <w:rPr>
                <w:noProof/>
                <w:color w:val="3B3838" w:themeColor="background2" w:themeShade="40"/>
              </w:rPr>
              <w:t>3,15 %</w:t>
            </w:r>
          </w:p>
        </w:tc>
        <w:tc>
          <w:tcPr>
            <w:tcW w:w="1131" w:type="pct"/>
            <w:vAlign w:val="center"/>
          </w:tcPr>
          <w:p w14:paraId="461F9DF8" w14:textId="49EF9D45" w:rsidR="004F3BBB" w:rsidRPr="001B3164" w:rsidRDefault="004F3BBB" w:rsidP="001639D7">
            <w:pPr>
              <w:jc w:val="center"/>
              <w:rPr>
                <w:noProof/>
                <w:color w:val="3B3838" w:themeColor="background2" w:themeShade="40"/>
              </w:rPr>
            </w:pPr>
            <w:r>
              <w:rPr>
                <w:noProof/>
                <w:color w:val="3B3838" w:themeColor="background2" w:themeShade="40"/>
              </w:rPr>
              <w:t>2,54 %</w:t>
            </w:r>
          </w:p>
        </w:tc>
      </w:tr>
    </w:tbl>
    <w:p w14:paraId="527C277C" w14:textId="77777777" w:rsidR="004F3BBB" w:rsidRPr="004F3BBB" w:rsidRDefault="004F3BBB" w:rsidP="004F3BBB">
      <w:pPr>
        <w:spacing w:after="0"/>
        <w:rPr>
          <w:noProof/>
          <w:sz w:val="12"/>
          <w:szCs w:val="14"/>
        </w:rPr>
      </w:pPr>
    </w:p>
    <w:tbl>
      <w:tblPr>
        <w:tblStyle w:val="TableGrid"/>
        <w:tblW w:w="4908" w:type="pct"/>
        <w:tblInd w:w="108" w:type="dxa"/>
        <w:tblBorders>
          <w:top w:val="none" w:sz="0" w:space="0" w:color="auto"/>
          <w:left w:val="none" w:sz="0" w:space="0" w:color="auto"/>
          <w:bottom w:val="none" w:sz="0" w:space="0" w:color="auto"/>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058"/>
        <w:gridCol w:w="2380"/>
        <w:gridCol w:w="2319"/>
        <w:gridCol w:w="2315"/>
      </w:tblGrid>
      <w:tr w:rsidR="004F3BBB" w:rsidRPr="001B3164" w14:paraId="3DE12F8A" w14:textId="77777777" w:rsidTr="00177D88">
        <w:trPr>
          <w:trHeight w:val="510"/>
        </w:trPr>
        <w:tc>
          <w:tcPr>
            <w:tcW w:w="1134" w:type="pct"/>
            <w:vMerge w:val="restart"/>
            <w:shd w:val="clear" w:color="auto" w:fill="034EA2" w:themeFill="accent1"/>
            <w:vAlign w:val="center"/>
          </w:tcPr>
          <w:p w14:paraId="2C850882" w14:textId="77777777" w:rsidR="004F3BBB" w:rsidRPr="001B3164" w:rsidRDefault="004F3BBB" w:rsidP="001639D7">
            <w:pPr>
              <w:jc w:val="center"/>
              <w:rPr>
                <w:b/>
                <w:bCs/>
                <w:noProof/>
                <w:color w:val="FFFFFF" w:themeColor="background1"/>
              </w:rPr>
            </w:pPr>
            <w:r>
              <w:rPr>
                <w:b/>
                <w:noProof/>
                <w:color w:val="FFFFFF" w:themeColor="background1"/>
              </w:rPr>
              <w:t>Autres pays</w:t>
            </w:r>
          </w:p>
        </w:tc>
        <w:tc>
          <w:tcPr>
            <w:tcW w:w="1312" w:type="pct"/>
            <w:shd w:val="clear" w:color="auto" w:fill="034EA2" w:themeFill="accent1"/>
            <w:vAlign w:val="center"/>
          </w:tcPr>
          <w:p w14:paraId="06A4207C" w14:textId="77777777" w:rsidR="004F3BBB" w:rsidRPr="001B3164" w:rsidRDefault="004F3BBB" w:rsidP="001639D7">
            <w:pPr>
              <w:jc w:val="center"/>
              <w:rPr>
                <w:b/>
                <w:bCs/>
                <w:noProof/>
                <w:color w:val="FFFFFF" w:themeColor="background1"/>
              </w:rPr>
            </w:pPr>
            <w:r>
              <w:rPr>
                <w:b/>
                <w:noProof/>
                <w:color w:val="FFFFFF" w:themeColor="background1"/>
              </w:rPr>
              <w:t>AMF en faveur de l’Égypte</w:t>
            </w:r>
          </w:p>
        </w:tc>
        <w:tc>
          <w:tcPr>
            <w:tcW w:w="1278" w:type="pct"/>
            <w:shd w:val="clear" w:color="auto" w:fill="034EA2" w:themeFill="accent1"/>
            <w:vAlign w:val="center"/>
          </w:tcPr>
          <w:p w14:paraId="617EE82F" w14:textId="77777777" w:rsidR="004F3BBB" w:rsidRPr="001B3164" w:rsidRDefault="004F3BBB" w:rsidP="001639D7">
            <w:pPr>
              <w:jc w:val="center"/>
              <w:rPr>
                <w:b/>
                <w:bCs/>
                <w:noProof/>
                <w:color w:val="FFFFFF" w:themeColor="background1"/>
              </w:rPr>
            </w:pPr>
            <w:r>
              <w:rPr>
                <w:b/>
                <w:noProof/>
                <w:color w:val="FFFFFF" w:themeColor="background1"/>
              </w:rPr>
              <w:t>AMF en faveur de la Jordanie</w:t>
            </w:r>
          </w:p>
        </w:tc>
        <w:tc>
          <w:tcPr>
            <w:tcW w:w="1276" w:type="pct"/>
            <w:shd w:val="clear" w:color="auto" w:fill="034EA2" w:themeFill="accent1"/>
            <w:vAlign w:val="center"/>
          </w:tcPr>
          <w:p w14:paraId="5C9E3EEF" w14:textId="77777777" w:rsidR="004F3BBB" w:rsidRPr="001B3164" w:rsidRDefault="004F3BBB" w:rsidP="001639D7">
            <w:pPr>
              <w:jc w:val="center"/>
              <w:rPr>
                <w:b/>
                <w:bCs/>
                <w:noProof/>
                <w:color w:val="FFFFFF" w:themeColor="background1"/>
              </w:rPr>
            </w:pPr>
            <w:r>
              <w:rPr>
                <w:b/>
                <w:noProof/>
                <w:color w:val="FFFFFF" w:themeColor="background1"/>
              </w:rPr>
              <w:t>Facilité pour les réformes et la croissance en faveur de la Moldavie</w:t>
            </w:r>
          </w:p>
        </w:tc>
      </w:tr>
      <w:tr w:rsidR="004F3BBB" w:rsidRPr="001B3164" w14:paraId="09936717" w14:textId="77777777" w:rsidTr="004F3BBB">
        <w:trPr>
          <w:trHeight w:val="428"/>
        </w:trPr>
        <w:tc>
          <w:tcPr>
            <w:tcW w:w="1134" w:type="pct"/>
            <w:vMerge/>
          </w:tcPr>
          <w:p w14:paraId="02E99D60" w14:textId="77777777" w:rsidR="004F3BBB" w:rsidRPr="001B3164" w:rsidRDefault="004F3BBB" w:rsidP="001639D7">
            <w:pPr>
              <w:jc w:val="center"/>
              <w:rPr>
                <w:noProof/>
                <w:color w:val="3B3838" w:themeColor="background2" w:themeShade="40"/>
              </w:rPr>
            </w:pPr>
          </w:p>
        </w:tc>
        <w:tc>
          <w:tcPr>
            <w:tcW w:w="1312" w:type="pct"/>
            <w:vAlign w:val="center"/>
          </w:tcPr>
          <w:p w14:paraId="57470FFD" w14:textId="77777777" w:rsidR="004F3BBB" w:rsidRPr="001B3164" w:rsidRDefault="004F3BBB" w:rsidP="001639D7">
            <w:pPr>
              <w:jc w:val="center"/>
              <w:rPr>
                <w:noProof/>
                <w:color w:val="3B3838" w:themeColor="background2" w:themeShade="40"/>
              </w:rPr>
            </w:pPr>
            <w:r>
              <w:rPr>
                <w:noProof/>
                <w:color w:val="3B3838" w:themeColor="background2" w:themeShade="40"/>
              </w:rPr>
              <w:t>2,76 %</w:t>
            </w:r>
          </w:p>
        </w:tc>
        <w:tc>
          <w:tcPr>
            <w:tcW w:w="1278" w:type="pct"/>
            <w:vAlign w:val="center"/>
          </w:tcPr>
          <w:p w14:paraId="5C3D4BE1" w14:textId="77777777" w:rsidR="004F3BBB" w:rsidRPr="001B3164" w:rsidRDefault="004F3BBB" w:rsidP="001639D7">
            <w:pPr>
              <w:jc w:val="center"/>
              <w:rPr>
                <w:noProof/>
                <w:color w:val="3B3838" w:themeColor="background2" w:themeShade="40"/>
              </w:rPr>
            </w:pPr>
            <w:r>
              <w:rPr>
                <w:noProof/>
                <w:color w:val="3B3838" w:themeColor="background2" w:themeShade="40"/>
              </w:rPr>
              <w:t>2,79 %</w:t>
            </w:r>
          </w:p>
        </w:tc>
        <w:tc>
          <w:tcPr>
            <w:tcW w:w="1276" w:type="pct"/>
            <w:vAlign w:val="center"/>
          </w:tcPr>
          <w:p w14:paraId="3694E7F5" w14:textId="77777777" w:rsidR="004F3BBB" w:rsidRPr="001B3164" w:rsidRDefault="004F3BBB" w:rsidP="001639D7">
            <w:pPr>
              <w:jc w:val="center"/>
              <w:rPr>
                <w:noProof/>
                <w:color w:val="3B3838" w:themeColor="background2" w:themeShade="40"/>
              </w:rPr>
            </w:pPr>
            <w:r>
              <w:rPr>
                <w:noProof/>
                <w:color w:val="3B3838" w:themeColor="background2" w:themeShade="40"/>
              </w:rPr>
              <w:t>2,73 %</w:t>
            </w:r>
          </w:p>
        </w:tc>
      </w:tr>
    </w:tbl>
    <w:p w14:paraId="27BA2E0A" w14:textId="77777777" w:rsidR="004F3BBB" w:rsidRDefault="004F3BBB">
      <w:pPr>
        <w:spacing w:line="259" w:lineRule="auto"/>
        <w:jc w:val="left"/>
        <w:rPr>
          <w:noProof/>
        </w:rPr>
      </w:pPr>
    </w:p>
    <w:p w14:paraId="006F2D7F" w14:textId="42D62299" w:rsidR="00011761" w:rsidRPr="001B3164" w:rsidRDefault="00CF2EAE" w:rsidP="00011761">
      <w:pPr>
        <w:rPr>
          <w:noProof/>
        </w:rPr>
      </w:pPr>
      <w:r>
        <w:rPr>
          <w:noProof/>
        </w:rPr>
        <w:t xml:space="preserve">L’évolution du coût du financement reflète également les conditions qui prévalent sur le marché et qui évoluent avec le temps et ont une incidence sur le coût de l’emprunt pour les émissions de l’UE. Au cours du second semestre de 2025, les taux d’intérêt ont été volatils en raison d’incertitudes économiques et financières. Le taux d’intérêt des obligations de l’UE à 10 ans a varié entre 3,00 % et 3,27 % au cours de la période de six mois, pour finir à 3,20 %. Les écarts de rendement entre l’UE et la plupart des émetteurs d’obligations d’État européennes (OEE) se sont resserrés; l’écart de taux d’intérêt à 10 ans entre les obligations de l’UE et un panier 50/50 d’obligations souveraines allemandes et françaises a baissé d’environ 5 points de base au début du semestre à -1 point de base en décembre 2025. </w:t>
      </w:r>
    </w:p>
    <w:p w14:paraId="29DC7D9D" w14:textId="2BFA1CDA" w:rsidR="008229A6" w:rsidRDefault="008229A6" w:rsidP="00177D88">
      <w:pPr>
        <w:spacing w:before="320"/>
        <w:rPr>
          <w:b/>
          <w:bCs/>
          <w:noProof/>
          <w:color w:val="034EA2" w:themeColor="accent1"/>
        </w:rPr>
      </w:pPr>
      <w:r>
        <w:rPr>
          <w:b/>
          <w:noProof/>
          <w:color w:val="034EA2" w:themeColor="accent1"/>
        </w:rPr>
        <w:t>Graphique 7: rendements des obligations de l’UE à 10 ans</w:t>
      </w:r>
    </w:p>
    <w:p w14:paraId="7454E578" w14:textId="1CA83020" w:rsidR="002A7852" w:rsidRDefault="004467E0" w:rsidP="00177D88">
      <w:pPr>
        <w:jc w:val="center"/>
        <w:rPr>
          <w:b/>
          <w:bCs/>
          <w:noProof/>
          <w:color w:val="034EA2" w:themeColor="accent1"/>
        </w:rPr>
      </w:pPr>
      <w:r>
        <w:rPr>
          <w:noProof/>
          <w:lang w:val="en-GB" w:eastAsia="en-GB"/>
        </w:rPr>
        <w:drawing>
          <wp:inline distT="0" distB="0" distL="0" distR="0" wp14:anchorId="7B4AFB16" wp14:editId="4A767996">
            <wp:extent cx="5287010" cy="2788467"/>
            <wp:effectExtent l="0" t="0" r="0" b="0"/>
            <wp:docPr id="2144115786" name="Chart 1">
              <a:extLst xmlns:a="http://schemas.openxmlformats.org/drawingml/2006/main">
                <a:ext uri="{FF2B5EF4-FFF2-40B4-BE49-F238E27FC236}">
                  <a16:creationId xmlns:a16="http://schemas.microsoft.com/office/drawing/2014/main" id="{6E7636F5-6098-B2C0-26FC-B2D8BFC8F8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C49BAE0" w14:textId="77777777" w:rsidR="00BD6FE8" w:rsidRPr="001B3164" w:rsidRDefault="00BD6FE8" w:rsidP="00177D88">
      <w:pPr>
        <w:jc w:val="center"/>
        <w:rPr>
          <w:b/>
          <w:bCs/>
          <w:noProof/>
          <w:color w:val="034EA2" w:themeColor="accent1"/>
        </w:rPr>
      </w:pPr>
    </w:p>
    <w:p w14:paraId="5F80B38F" w14:textId="5BA1BB74" w:rsidR="00D73D12" w:rsidRPr="001B3164" w:rsidRDefault="001D0900" w:rsidP="00A87F59">
      <w:pPr>
        <w:pStyle w:val="Heading2"/>
        <w:rPr>
          <w:noProof/>
        </w:rPr>
      </w:pPr>
      <w:bookmarkStart w:id="81" w:name="_Toc169303171"/>
      <w:bookmarkStart w:id="82" w:name="_Toc170294787"/>
      <w:bookmarkStart w:id="83" w:name="_Toc187347929"/>
      <w:bookmarkStart w:id="84" w:name="_Toc187701958"/>
      <w:bookmarkStart w:id="85" w:name="_Toc187702013"/>
      <w:bookmarkStart w:id="86" w:name="_Toc190904649"/>
      <w:bookmarkStart w:id="87" w:name="_Toc201318493"/>
      <w:bookmarkStart w:id="88" w:name="_Toc202682646"/>
      <w:bookmarkStart w:id="89" w:name="_Toc219529990"/>
      <w:bookmarkStart w:id="90" w:name="_Toc225513075"/>
      <w:bookmarkStart w:id="91" w:name="_Hlk201234527"/>
      <w:bookmarkStart w:id="92" w:name="_Hlk187336294"/>
      <w:bookmarkEnd w:id="80"/>
      <w:r>
        <w:rPr>
          <w:noProof/>
        </w:rPr>
        <w:t>Coûts de gestion des</w:t>
      </w:r>
      <w:bookmarkEnd w:id="81"/>
      <w:bookmarkEnd w:id="82"/>
      <w:bookmarkEnd w:id="83"/>
      <w:bookmarkEnd w:id="84"/>
      <w:bookmarkEnd w:id="85"/>
      <w:bookmarkEnd w:id="86"/>
      <w:bookmarkEnd w:id="87"/>
      <w:r>
        <w:rPr>
          <w:noProof/>
        </w:rPr>
        <w:t xml:space="preserve"> </w:t>
      </w:r>
      <w:bookmarkEnd w:id="88"/>
      <w:r>
        <w:rPr>
          <w:noProof/>
        </w:rPr>
        <w:t xml:space="preserve"> liquidités</w:t>
      </w:r>
      <w:bookmarkEnd w:id="89"/>
      <w:bookmarkEnd w:id="90"/>
    </w:p>
    <w:p w14:paraId="1AFD2334" w14:textId="79A5F1B9" w:rsidR="00CB0B4C" w:rsidRDefault="00615BB8" w:rsidP="00CB0B4C">
      <w:pPr>
        <w:rPr>
          <w:noProof/>
        </w:rPr>
      </w:pPr>
      <w:bookmarkStart w:id="93" w:name="_Ref155257759"/>
      <w:r>
        <w:rPr>
          <w:noProof/>
        </w:rPr>
        <w:t xml:space="preserve">Les réserves de liquidité se sont établies à </w:t>
      </w:r>
      <w:bookmarkStart w:id="94" w:name="_Hlk201762160"/>
      <w:r>
        <w:rPr>
          <w:noProof/>
        </w:rPr>
        <w:t>77,4 milliards d’EUR en moyenne au second semestre</w:t>
      </w:r>
      <w:bookmarkEnd w:id="94"/>
      <w:r>
        <w:rPr>
          <w:noProof/>
        </w:rPr>
        <w:t xml:space="preserve"> de 2025, contre</w:t>
      </w:r>
      <w:r>
        <w:rPr>
          <w:rFonts w:ascii="Calibri" w:hAnsi="Calibri"/>
          <w:noProof/>
        </w:rPr>
        <w:t xml:space="preserve"> </w:t>
      </w:r>
      <w:r>
        <w:rPr>
          <w:noProof/>
        </w:rPr>
        <w:t>71,1 milliards d’EUR au premier semestre de l’année. Les sorties ont culminé à l’été, avec des sorties de 46 milliards d’EUR en août, ramenant l’encaisse à 54,0 milliards d’EUR à la fin du mois d’août, et à la fin de l’année, avec des sorties de 23 milliards d’EUR en décembre, portant le solde de trésorerie à</w:t>
      </w:r>
      <w:r>
        <w:rPr>
          <w:rFonts w:ascii="Calibri" w:hAnsi="Calibri"/>
          <w:noProof/>
        </w:rPr>
        <w:t xml:space="preserve"> </w:t>
      </w:r>
      <w:r>
        <w:rPr>
          <w:noProof/>
        </w:rPr>
        <w:t xml:space="preserve">65,2 milliards d’EUR au 31 décembre 2025. </w:t>
      </w:r>
    </w:p>
    <w:p w14:paraId="65EFDDC8" w14:textId="0112CDC6" w:rsidR="00221DD4" w:rsidRDefault="00221DD4" w:rsidP="00CB0B4C">
      <w:pPr>
        <w:rPr>
          <w:noProof/>
        </w:rPr>
      </w:pPr>
      <w:r>
        <w:rPr>
          <w:noProof/>
        </w:rPr>
        <w:t xml:space="preserve">Cette augmentation de l’encaisse moyenne reflète la nécessité de maintenir un niveau d’emprunt global élevé pour répondre à des besoins de financement importants au cours de la dernière année de NextGenerationEU, les décaissements suivant un profil plus concentré en fin de période que prévu initialement, en plus des décaissements prévus au titre de SAFE. Un calendrier d’émission régulier et prévisible est essentiel pour garantir les meilleures conditions de marché et la prévisibilité pour les investisseurs.  </w:t>
      </w:r>
    </w:p>
    <w:p w14:paraId="42839382" w14:textId="2F7F7F61" w:rsidR="00692EE3" w:rsidRPr="001B3164" w:rsidRDefault="00831281" w:rsidP="007C742B">
      <w:pPr>
        <w:rPr>
          <w:noProof/>
        </w:rPr>
      </w:pPr>
      <w:r>
        <w:rPr>
          <w:noProof/>
        </w:rPr>
        <w:t>La Commission a investi en moyenne environ 75 % du solde de trésorerie disponible dans des dépôts à terme et des opérations de prise en pension afin de réduire le report négatif associé au solde de trésorerie. Cela a donné lieu à un rendement supplémentaire de 20 à 25 points de base, soit 85 millions d’EUR par an, dont environ 70 millions d’EUR au cours du second semestre de 2025. De manière globale, le coût net de la gestion de la liquidité au second semestre de 2025 était d’environ 295 millions d’EUR</w:t>
      </w:r>
      <w:r>
        <w:rPr>
          <w:noProof/>
          <w:vertAlign w:val="superscript"/>
        </w:rPr>
        <w:footnoteReference w:id="15"/>
      </w:r>
      <w:r>
        <w:rPr>
          <w:noProof/>
        </w:rPr>
        <w:t>, contre un coût net de 195 millions d’EUR pour les avoirs en liquidités au premier semestre de 2025.</w:t>
      </w:r>
    </w:p>
    <w:p w14:paraId="515BFB12" w14:textId="031DC32F" w:rsidR="00456072" w:rsidRPr="001B3164" w:rsidRDefault="00456072" w:rsidP="00A87F59">
      <w:pPr>
        <w:pStyle w:val="Heading1"/>
        <w:rPr>
          <w:noProof/>
        </w:rPr>
      </w:pPr>
      <w:bookmarkStart w:id="96" w:name="_Ref169300365"/>
      <w:bookmarkStart w:id="97" w:name="_Ref169300367"/>
      <w:bookmarkStart w:id="98" w:name="_Toc225513076"/>
      <w:bookmarkStart w:id="99" w:name="_Hlk187423718"/>
      <w:bookmarkEnd w:id="70"/>
      <w:bookmarkEnd w:id="91"/>
      <w:bookmarkEnd w:id="92"/>
      <w:bookmarkEnd w:id="93"/>
      <w:r>
        <w:rPr>
          <w:noProof/>
        </w:rPr>
        <w:t>Autres jalons au premier semestre de 202</w:t>
      </w:r>
      <w:bookmarkEnd w:id="96"/>
      <w:bookmarkEnd w:id="97"/>
      <w:r>
        <w:rPr>
          <w:noProof/>
        </w:rPr>
        <w:t>5</w:t>
      </w:r>
      <w:bookmarkEnd w:id="98"/>
    </w:p>
    <w:p w14:paraId="752BB321" w14:textId="1DEF3C5E" w:rsidR="00AA2374" w:rsidRDefault="006E36AB" w:rsidP="00A65CF3">
      <w:pPr>
        <w:rPr>
          <w:rFonts w:eastAsiaTheme="majorEastAsia" w:cstheme="majorBidi"/>
          <w:caps/>
          <w:noProof/>
          <w:color w:val="70AD47" w:themeColor="accent2"/>
          <w:sz w:val="24"/>
          <w:szCs w:val="26"/>
        </w:rPr>
      </w:pPr>
      <w:bookmarkStart w:id="100" w:name="_Toc187702017"/>
      <w:bookmarkStart w:id="101" w:name="_Toc169303180"/>
      <w:r>
        <w:rPr>
          <w:caps/>
          <w:noProof/>
          <w:color w:val="70AD47" w:themeColor="accent2"/>
          <w:sz w:val="24"/>
        </w:rPr>
        <w:t>Rapport d’impact et d’affectation des obligations vertes NextGenerationEU 2025</w:t>
      </w:r>
    </w:p>
    <w:p w14:paraId="0E848F00" w14:textId="18473167" w:rsidR="00381AB3" w:rsidRPr="00381AB3" w:rsidRDefault="00381AB3" w:rsidP="00381AB3">
      <w:pPr>
        <w:spacing w:after="120"/>
        <w:rPr>
          <w:noProof/>
        </w:rPr>
      </w:pPr>
      <w:r>
        <w:rPr>
          <w:noProof/>
        </w:rPr>
        <w:t xml:space="preserve">Le 9 décembre 2025, la Commission a publié le quatrième </w:t>
      </w:r>
      <w:hyperlink r:id="rId37" w:history="1">
        <w:r>
          <w:rPr>
            <w:rStyle w:val="Hyperlink"/>
            <w:noProof/>
          </w:rPr>
          <w:t>rapport annuel sur l’affectation des obligations vertes NextGenerationEU et l’impact</w:t>
        </w:r>
      </w:hyperlink>
      <w:r>
        <w:rPr>
          <w:noProof/>
        </w:rPr>
        <w:t xml:space="preserve"> de son programme phare d’obligations vertes NextGenerationEU.</w:t>
      </w:r>
      <w:r>
        <w:rPr>
          <w:rFonts w:ascii="Calibri" w:hAnsi="Calibri"/>
          <w:noProof/>
        </w:rPr>
        <w:t xml:space="preserve"> </w:t>
      </w:r>
    </w:p>
    <w:p w14:paraId="0E6EB9BC" w14:textId="4BB310D9" w:rsidR="00381AB3" w:rsidRPr="00381AB3" w:rsidRDefault="00381AB3" w:rsidP="00381AB3">
      <w:pPr>
        <w:spacing w:after="120"/>
        <w:rPr>
          <w:noProof/>
        </w:rPr>
      </w:pPr>
      <w:r>
        <w:rPr>
          <w:noProof/>
        </w:rPr>
        <w:t>Le rapport, qui fournit une mise à jour annuelle de l’utilisation du produit et des incidences sur le climat des investissements financés par les obligations vertes NGEU, estime que ces investissements ont contribué à éviter 14 millions de tonnes d’émissions de CO</w:t>
      </w:r>
      <w:r>
        <w:rPr>
          <w:noProof/>
          <w:vertAlign w:val="subscript"/>
        </w:rPr>
        <w:t>2</w:t>
      </w:r>
      <w:r>
        <w:rPr>
          <w:noProof/>
        </w:rPr>
        <w:t xml:space="preserve"> par an. Cela représente une augmentation exponentielle de la prévention effective des émissions de gaz à effet de serre par rapport aux années précédentes (contre 1,5 million de tonnes équivalent CO</w:t>
      </w:r>
      <w:r>
        <w:rPr>
          <w:noProof/>
          <w:vertAlign w:val="subscript"/>
        </w:rPr>
        <w:t>2</w:t>
      </w:r>
      <w:r>
        <w:rPr>
          <w:noProof/>
        </w:rPr>
        <w:t xml:space="preserve"> par an en 2024 et 224 143 tonnes équivalent CO</w:t>
      </w:r>
      <w:r>
        <w:rPr>
          <w:noProof/>
          <w:vertAlign w:val="subscript"/>
        </w:rPr>
        <w:t>2</w:t>
      </w:r>
      <w:r>
        <w:rPr>
          <w:noProof/>
        </w:rPr>
        <w:t xml:space="preserve"> par an en 2023). Cela reflète également la durée de vie prolongée de la mise en œuvre des projets au titre de la FRR.</w:t>
      </w:r>
    </w:p>
    <w:p w14:paraId="48D826C1" w14:textId="6CF66F30" w:rsidR="00381AB3" w:rsidRPr="00381AB3" w:rsidRDefault="00E839CB" w:rsidP="00381AB3">
      <w:pPr>
        <w:spacing w:after="120"/>
        <w:rPr>
          <w:noProof/>
        </w:rPr>
      </w:pPr>
      <w:r>
        <w:rPr>
          <w:noProof/>
        </w:rPr>
        <w:t>Le rapport fournit également des informations actualisées sur l’affectation du produit et sur</w:t>
      </w:r>
      <w:r>
        <w:rPr>
          <w:rFonts w:ascii="Calibri" w:hAnsi="Calibri"/>
          <w:noProof/>
        </w:rPr>
        <w:t xml:space="preserve"> </w:t>
      </w:r>
      <w:r>
        <w:rPr>
          <w:noProof/>
        </w:rPr>
        <w:t xml:space="preserve">l’alignement sur la taxinomie de l’UE des mesures financées au moyen des </w:t>
      </w:r>
      <w:bookmarkStart w:id="102" w:name="_Hlk200395454"/>
      <w:r>
        <w:rPr>
          <w:noProof/>
        </w:rPr>
        <w:t xml:space="preserve"> obligations vertes NGEU. Pour la première fois, il comprend également des informations sur</w:t>
      </w:r>
      <w:r>
        <w:rPr>
          <w:rFonts w:ascii="Calibri" w:hAnsi="Calibri"/>
          <w:noProof/>
        </w:rPr>
        <w:t xml:space="preserve"> </w:t>
      </w:r>
      <w:r>
        <w:rPr>
          <w:noProof/>
        </w:rPr>
        <w:t>la manière dont les obligations vertes NGEU s’alignent</w:t>
      </w:r>
      <w:r>
        <w:rPr>
          <w:rFonts w:ascii="Calibri" w:hAnsi="Calibri"/>
          <w:noProof/>
        </w:rPr>
        <w:t xml:space="preserve"> </w:t>
      </w:r>
      <w:r>
        <w:rPr>
          <w:noProof/>
        </w:rPr>
        <w:t>sur les catégories correspondantes de la NACE</w:t>
      </w:r>
      <w:r>
        <w:rPr>
          <w:rStyle w:val="FootnoteReference"/>
          <w:noProof/>
        </w:rPr>
        <w:footnoteReference w:id="16"/>
      </w:r>
      <w:r>
        <w:rPr>
          <w:noProof/>
        </w:rPr>
        <w:t>. De nouveaux graphiques contribuent à rendre les résultats accessibles à un public plus large.</w:t>
      </w:r>
    </w:p>
    <w:p w14:paraId="25E3A7A7" w14:textId="4C755FCC" w:rsidR="00381AB3" w:rsidRPr="00D74D55" w:rsidRDefault="00381AB3" w:rsidP="00D74D55">
      <w:pPr>
        <w:spacing w:after="120"/>
        <w:rPr>
          <w:noProof/>
        </w:rPr>
      </w:pPr>
      <w:r>
        <w:rPr>
          <w:noProof/>
        </w:rPr>
        <w:t>L’année 2026 étant la dernière année de décaissements au titre du programme NGEU, le rapport souligne également que toute nouvelle émission d’obligations vertes NGEU (qui s’élèvent actuellement à 78,5 milliards d’EUR) dépendra de la manière dont les États membres progresseront dans la mise en œuvre et la déclaration des dépenses liées aux plans de relance liés au climat</w:t>
      </w:r>
      <w:bookmarkEnd w:id="102"/>
      <w:r>
        <w:rPr>
          <w:noProof/>
        </w:rPr>
        <w:t>. La Commission peut continuer à émettre des obligations vertes NGEU après 2026, au cours de la phase de refinancement prévue du programme NextGenerationEU, mais cela est subordonné à la déclaration en temps utile et satisfaisante des dépenses par les États membres</w:t>
      </w:r>
      <w:r>
        <w:rPr>
          <w:rStyle w:val="FootnoteReference"/>
          <w:noProof/>
        </w:rPr>
        <w:footnoteReference w:id="17"/>
      </w:r>
      <w:r>
        <w:rPr>
          <w:noProof/>
        </w:rPr>
        <w:t>.</w:t>
      </w:r>
    </w:p>
    <w:p w14:paraId="1C0AC0D4" w14:textId="046924C3" w:rsidR="001401DA" w:rsidRPr="001B3164" w:rsidRDefault="007D6C82" w:rsidP="009C1A13">
      <w:pPr>
        <w:pStyle w:val="Heading1"/>
        <w:rPr>
          <w:noProof/>
        </w:rPr>
      </w:pPr>
      <w:bookmarkStart w:id="103" w:name="_Toc225513077"/>
      <w:bookmarkStart w:id="104" w:name="_Hlk155276042"/>
      <w:bookmarkStart w:id="105" w:name="_Hlk158303590"/>
      <w:bookmarkStart w:id="106" w:name="_Hlk158382887"/>
      <w:bookmarkStart w:id="107" w:name="_Hlk201314684"/>
      <w:bookmarkEnd w:id="99"/>
      <w:bookmarkEnd w:id="100"/>
      <w:bookmarkEnd w:id="101"/>
      <w:r>
        <w:rPr>
          <w:noProof/>
        </w:rPr>
        <w:t>Perspectives d’émission pour le premier semestre de 2026</w:t>
      </w:r>
      <w:bookmarkEnd w:id="103"/>
    </w:p>
    <w:bookmarkEnd w:id="104"/>
    <w:bookmarkEnd w:id="105"/>
    <w:bookmarkEnd w:id="106"/>
    <w:p w14:paraId="67093DD6" w14:textId="77777777" w:rsidR="00F03A68" w:rsidRDefault="001875EC" w:rsidP="00AA2374">
      <w:pPr>
        <w:spacing w:after="120"/>
        <w:rPr>
          <w:noProof/>
        </w:rPr>
      </w:pPr>
      <w:r>
        <w:rPr>
          <w:noProof/>
        </w:rPr>
        <w:t xml:space="preserve">En 2026, des montants cumulés exceptionnellement élevés seront versés au titre des différentes politiques financées par </w:t>
      </w:r>
    </w:p>
    <w:p w14:paraId="67866783" w14:textId="617F2DB4" w:rsidR="001875EC" w:rsidRDefault="001875EC" w:rsidP="00AA2374">
      <w:pPr>
        <w:spacing w:after="120"/>
        <w:rPr>
          <w:noProof/>
        </w:rPr>
      </w:pPr>
      <w:r>
        <w:rPr>
          <w:noProof/>
        </w:rPr>
        <w:t xml:space="preserve"> le programme d’émission de dette de l’UE. </w:t>
      </w:r>
    </w:p>
    <w:p w14:paraId="7C669855" w14:textId="06617713" w:rsidR="001875EC" w:rsidRDefault="00FB5B3D" w:rsidP="00AA2374">
      <w:pPr>
        <w:spacing w:after="120"/>
        <w:rPr>
          <w:noProof/>
        </w:rPr>
      </w:pPr>
      <w:r>
        <w:rPr>
          <w:noProof/>
        </w:rPr>
        <w:t>L’année 2026 marque, entre autres, la dernière année des décaissements en faveur des États membres de l’UE au titre de NextGenerationEU. Un montant de 469,3 milliards d’EUR a déjà été décaissé au titre du programme (principalement financé par des emprunts), mais l’absorption des fonds restants dépendra de la mise en œuvre en temps utile des plans nationaux pour la reprise et la résilience des États membres, le 30 septembre 2026 étant la date limite de présentation des demandes de paiement final.</w:t>
      </w:r>
    </w:p>
    <w:p w14:paraId="759339E0" w14:textId="491DF1C6" w:rsidR="00941D5F" w:rsidRDefault="00941D5F" w:rsidP="00941D5F">
      <w:pPr>
        <w:spacing w:after="120"/>
        <w:rPr>
          <w:noProof/>
        </w:rPr>
      </w:pPr>
      <w:r>
        <w:rPr>
          <w:noProof/>
        </w:rPr>
        <w:t>Dans le même temps, les décaissements au titre du nouveau programme SAFE devraient commencer, avec un préfinancement allant jusqu’à 15 %. En outre, des financements provenant d’opérations d’emprunt seront nécessaires pour soutenir le voisinage de l’UE et pour refinancer l’encours des obligations arrivant à échéance afin d’assurer une gestion harmonieuse de la dette. Le produit des emprunts en 2026 sera également utilisé pour financer le nouveau prêt de soutien à l’Ukraine de</w:t>
      </w:r>
      <w:r>
        <w:rPr>
          <w:rFonts w:ascii="Calibri" w:hAnsi="Calibri"/>
          <w:noProof/>
        </w:rPr>
        <w:t xml:space="preserve"> </w:t>
      </w:r>
      <w:r>
        <w:rPr>
          <w:noProof/>
        </w:rPr>
        <w:t>90 milliards d’EUR (qui doit être décaissé en 2026-2027), pour lequel l’approbation législative devrait survenir après la conclusion d’un accord politique lors du Conseil européen du 18 décembre 2025.</w:t>
      </w:r>
    </w:p>
    <w:p w14:paraId="5123230C" w14:textId="292D0D7F" w:rsidR="00941D5F" w:rsidRDefault="00D569C1" w:rsidP="00AA2374">
      <w:pPr>
        <w:spacing w:after="120"/>
        <w:rPr>
          <w:noProof/>
        </w:rPr>
      </w:pPr>
      <w:bookmarkStart w:id="108" w:name="_Hlk219843807"/>
      <w:r>
        <w:rPr>
          <w:noProof/>
        </w:rPr>
        <w:t>Le volume élevé des besoins de financement pour 2026 se reflète dans le plan de financement de la Commission pour le premier semestre de 2026, qui combine des financements à long et à court terme. Pour le premier semestre de 2026, l’émission d’obligations de l’UE est prévue à hauteur de 90 milliards d’EUR. Cette planification fera l’objet d’un calibrage une fois que les décaissements au titre du nouveau programme de prêts en faveur de l’Ukraine seront confirmés</w:t>
      </w:r>
      <w:bookmarkEnd w:id="108"/>
      <w:r>
        <w:rPr>
          <w:noProof/>
        </w:rPr>
        <w:t>.</w:t>
      </w:r>
    </w:p>
    <w:bookmarkEnd w:id="107"/>
    <w:p w14:paraId="78599935" w14:textId="77777777" w:rsidR="000F16B2" w:rsidRPr="001B3164" w:rsidRDefault="000F16B2" w:rsidP="00F13D4C">
      <w:pPr>
        <w:rPr>
          <w:noProof/>
        </w:rPr>
        <w:sectPr w:rsidR="000F16B2" w:rsidRPr="001B3164" w:rsidSect="00CA43D7">
          <w:headerReference w:type="even" r:id="rId38"/>
          <w:headerReference w:type="default" r:id="rId39"/>
          <w:footerReference w:type="even" r:id="rId40"/>
          <w:footerReference w:type="default" r:id="rId41"/>
          <w:headerReference w:type="first" r:id="rId42"/>
          <w:footerReference w:type="first" r:id="rId43"/>
          <w:pgSz w:w="11906" w:h="16838" w:code="9"/>
          <w:pgMar w:top="1440" w:right="1440" w:bottom="1440" w:left="1440" w:header="708" w:footer="708" w:gutter="0"/>
          <w:cols w:space="708"/>
          <w:docGrid w:linePitch="360"/>
        </w:sectPr>
      </w:pPr>
    </w:p>
    <w:p w14:paraId="205789D5" w14:textId="77777777" w:rsidR="003D7F4D" w:rsidRPr="001B3164" w:rsidRDefault="00325F9E" w:rsidP="003D7F4D">
      <w:pPr>
        <w:rPr>
          <w:b/>
          <w:bCs/>
          <w:noProof/>
          <w:color w:val="034EA2" w:themeColor="accent1"/>
        </w:rPr>
      </w:pPr>
      <w:r>
        <w:rPr>
          <w:b/>
          <w:noProof/>
          <w:color w:val="034EA2" w:themeColor="accent1"/>
        </w:rPr>
        <w:t>Annexe: indicateurs de mise en œuvre relatifs à l’utilisation des moyens permettant d’atteindre les objectifs d’efficience et d’efficacité de la stratégie globale de gestion de la dette de la Commission</w:t>
      </w:r>
    </w:p>
    <w:tbl>
      <w:tblPr>
        <w:tblStyle w:val="GridTable4-Accent5"/>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single" w:sz="4" w:space="0" w:color="A6A6A6" w:themeColor="background1" w:themeShade="A6"/>
          <w:insideV w:val="single" w:sz="4" w:space="0" w:color="A6A6A6" w:themeColor="background1" w:themeShade="A6"/>
        </w:tblBorders>
        <w:tblCellMar>
          <w:top w:w="28" w:type="dxa"/>
          <w:bottom w:w="28" w:type="dxa"/>
        </w:tblCellMar>
        <w:tblLook w:val="04A0" w:firstRow="1" w:lastRow="0" w:firstColumn="1" w:lastColumn="0" w:noHBand="0" w:noVBand="1"/>
      </w:tblPr>
      <w:tblGrid>
        <w:gridCol w:w="1664"/>
        <w:gridCol w:w="3264"/>
        <w:gridCol w:w="2268"/>
        <w:gridCol w:w="2551"/>
        <w:gridCol w:w="4678"/>
      </w:tblGrid>
      <w:tr w:rsidR="003D7F4D" w:rsidRPr="001B3164" w14:paraId="67A11E1C" w14:textId="77777777" w:rsidTr="00F63022">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4928" w:type="dxa"/>
            <w:gridSpan w:val="2"/>
            <w:shd w:val="clear" w:color="auto" w:fill="034EA2" w:themeFill="accent1"/>
            <w:vAlign w:val="center"/>
          </w:tcPr>
          <w:p w14:paraId="594F625B" w14:textId="77777777" w:rsidR="003D7F4D" w:rsidRPr="001B3164" w:rsidRDefault="003D7F4D" w:rsidP="00F63022">
            <w:pPr>
              <w:jc w:val="center"/>
              <w:rPr>
                <w:noProof/>
                <w:sz w:val="18"/>
                <w:szCs w:val="18"/>
              </w:rPr>
            </w:pPr>
            <w:r>
              <w:rPr>
                <w:noProof/>
                <w:sz w:val="18"/>
              </w:rPr>
              <w:t>Moyens</w:t>
            </w:r>
          </w:p>
        </w:tc>
        <w:tc>
          <w:tcPr>
            <w:tcW w:w="2268" w:type="dxa"/>
            <w:shd w:val="clear" w:color="auto" w:fill="034EA2" w:themeFill="accent1"/>
            <w:vAlign w:val="center"/>
          </w:tcPr>
          <w:p w14:paraId="557D1CD1" w14:textId="77777777" w:rsidR="003D7F4D" w:rsidRPr="001B3164" w:rsidRDefault="003D7F4D" w:rsidP="00F63022">
            <w:pPr>
              <w:ind w:left="113" w:hanging="113"/>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Indicateur</w:t>
            </w:r>
          </w:p>
        </w:tc>
        <w:tc>
          <w:tcPr>
            <w:tcW w:w="2551" w:type="dxa"/>
            <w:shd w:val="clear" w:color="auto" w:fill="034EA2" w:themeFill="accent1"/>
            <w:vAlign w:val="center"/>
          </w:tcPr>
          <w:p w14:paraId="3BC75D03" w14:textId="2A7E0EE7" w:rsidR="003D7F4D" w:rsidRPr="001B3164" w:rsidRDefault="003D7F4D" w:rsidP="00F63022">
            <w:pPr>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Valeur au S2 2025 (sauf indication contraire)</w:t>
            </w:r>
          </w:p>
        </w:tc>
        <w:tc>
          <w:tcPr>
            <w:tcW w:w="4678" w:type="dxa"/>
            <w:shd w:val="clear" w:color="auto" w:fill="034EA2" w:themeFill="accent1"/>
            <w:vAlign w:val="center"/>
          </w:tcPr>
          <w:p w14:paraId="6A4802D2" w14:textId="62702A8A" w:rsidR="003D7F4D" w:rsidRPr="001B3164" w:rsidRDefault="003D7F4D" w:rsidP="00F63022">
            <w:pPr>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Commentaires sur l’exécution au S2 2025</w:t>
            </w:r>
          </w:p>
        </w:tc>
      </w:tr>
      <w:tr w:rsidR="003D7F4D" w:rsidRPr="001B3164" w14:paraId="12103427"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val="restart"/>
            <w:shd w:val="clear" w:color="auto" w:fill="auto"/>
          </w:tcPr>
          <w:p w14:paraId="2B0D00A0" w14:textId="77777777" w:rsidR="003D7F4D" w:rsidRPr="001B3164" w:rsidRDefault="003D7F4D" w:rsidP="00F63022">
            <w:pPr>
              <w:jc w:val="left"/>
              <w:rPr>
                <w:noProof/>
                <w:color w:val="034EA2" w:themeColor="accent1"/>
                <w:sz w:val="18"/>
                <w:szCs w:val="18"/>
              </w:rPr>
            </w:pPr>
            <w:r>
              <w:rPr>
                <w:noProof/>
                <w:color w:val="034EA2" w:themeColor="accent1"/>
                <w:sz w:val="18"/>
              </w:rPr>
              <w:t>Exécution du programme d’obligations de l’UE</w:t>
            </w:r>
          </w:p>
          <w:p w14:paraId="2CDDB58B" w14:textId="77777777" w:rsidR="003D7F4D" w:rsidRPr="001B3164" w:rsidRDefault="003D7F4D" w:rsidP="00F63022">
            <w:pPr>
              <w:rPr>
                <w:noProof/>
                <w:sz w:val="18"/>
                <w:szCs w:val="18"/>
              </w:rPr>
            </w:pPr>
          </w:p>
        </w:tc>
        <w:tc>
          <w:tcPr>
            <w:tcW w:w="3264" w:type="dxa"/>
            <w:vMerge w:val="restart"/>
            <w:shd w:val="clear" w:color="auto" w:fill="auto"/>
          </w:tcPr>
          <w:p w14:paraId="508A70E8" w14:textId="77777777" w:rsidR="003D7F4D" w:rsidRPr="001B3164" w:rsidRDefault="003D7F4D" w:rsidP="00F63022">
            <w:pPr>
              <w:pStyle w:val="ListParagraph"/>
              <w:numPr>
                <w:ilvl w:val="0"/>
                <w:numId w:val="27"/>
              </w:numPr>
              <w:spacing w:after="60" w:line="240" w:lineRule="auto"/>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rPr>
            </w:pPr>
            <w:r>
              <w:rPr>
                <w:rFonts w:ascii="EC Square Sans Pro" w:hAnsi="EC Square Sans Pro"/>
                <w:noProof/>
                <w:color w:val="034EA2" w:themeColor="accent1"/>
                <w:sz w:val="18"/>
              </w:rPr>
              <w:t xml:space="preserve"> Émissions régulières sur toute la courbe</w:t>
            </w:r>
          </w:p>
          <w:p w14:paraId="6A1A6532" w14:textId="041CE493"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Émissions régulières d’obligations de l’UE (et d’obligations vertes NextGenerationEU) couvrant toutes les échéances de la courbe (jusqu’à 30 ans) afin d’offrir à divers types d’investisseurs des possibilités d’investissement, de manière à maintenir une forte demande de la part des investisseurs et ainsi de préserver la flexibilité de déterminer les volumes d’émission et les échéances pour les différentes opérations en fonction des conditions de marché.</w:t>
            </w:r>
          </w:p>
        </w:tc>
        <w:tc>
          <w:tcPr>
            <w:tcW w:w="2268" w:type="dxa"/>
            <w:shd w:val="clear" w:color="auto" w:fill="auto"/>
          </w:tcPr>
          <w:p w14:paraId="11A9251B" w14:textId="77777777" w:rsidR="003D7F4D" w:rsidRPr="00821D7E" w:rsidRDefault="003D7F4D" w:rsidP="00F63022">
            <w:pPr>
              <w:pStyle w:val="ListParagraph"/>
              <w:numPr>
                <w:ilvl w:val="0"/>
                <w:numId w:val="20"/>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Ventilation par échéance du programme d’émission</w:t>
            </w:r>
          </w:p>
        </w:tc>
        <w:tc>
          <w:tcPr>
            <w:tcW w:w="2551" w:type="dxa"/>
            <w:shd w:val="clear" w:color="auto" w:fill="auto"/>
          </w:tcPr>
          <w:p w14:paraId="21012C8A" w14:textId="63799937"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1-4 ans: 15 %</w:t>
            </w:r>
          </w:p>
          <w:p w14:paraId="451678A8" w14:textId="4AF7CD90"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 xml:space="preserve">4-8 ans: 39 % </w:t>
            </w:r>
          </w:p>
          <w:p w14:paraId="0A1FACA9" w14:textId="1F95ED73"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8-12 ans: 11 %</w:t>
            </w:r>
          </w:p>
          <w:p w14:paraId="7C2F8AE2" w14:textId="55C309FA"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12-17 ans: 13 %</w:t>
            </w:r>
          </w:p>
          <w:p w14:paraId="46F008D8" w14:textId="36629450"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17-23 ans: 10 %</w:t>
            </w:r>
          </w:p>
          <w:p w14:paraId="01903358" w14:textId="7EE08864"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23-31 ans: 12 %</w:t>
            </w:r>
          </w:p>
        </w:tc>
        <w:tc>
          <w:tcPr>
            <w:tcW w:w="4678" w:type="dxa"/>
            <w:vMerge w:val="restart"/>
            <w:shd w:val="clear" w:color="auto" w:fill="auto"/>
          </w:tcPr>
          <w:p w14:paraId="3A0A2EBE" w14:textId="1602CE89" w:rsidR="000F0386" w:rsidRDefault="003D7F4D" w:rsidP="00F63022">
            <w:pPr>
              <w:spacing w:after="120"/>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Au S2 2025, la Commission a émis régulièrement des obligations d’échéances diverses pour fournir des liquidités sur tous les segments de la courbe de l’UE. Les opérations de financement ont été échelonnées sur le semestre afin de garantir une présence régulière sur le marché. Il y a eu moins d’opérations que lors du premier semestre de 2025, étant donné que l’objectif de financement du second semestre de 2025 d’un montant de</w:t>
            </w:r>
            <w:r>
              <w:rPr>
                <w:rFonts w:ascii="Calibri" w:hAnsi="Calibri"/>
                <w:noProof/>
                <w:sz w:val="18"/>
              </w:rPr>
              <w:t xml:space="preserve"> </w:t>
            </w:r>
            <w:r>
              <w:rPr>
                <w:noProof/>
                <w:sz w:val="18"/>
              </w:rPr>
              <w:t>70 milliards</w:t>
            </w:r>
            <w:r>
              <w:rPr>
                <w:rFonts w:ascii="Calibri" w:hAnsi="Calibri"/>
                <w:noProof/>
                <w:sz w:val="18"/>
              </w:rPr>
              <w:t xml:space="preserve"> </w:t>
            </w:r>
            <w:r>
              <w:rPr>
                <w:noProof/>
                <w:sz w:val="18"/>
              </w:rPr>
              <w:t>d’EUR était inférieur à l’objectif de financement du premier semestre de 2025, qui était de 90 milliards d’EUR. Le nombre d’opérations et le séquençage étaient similaires à ceux du S2 2024, pour lequel l’objectif de financement était de 65 milliards d’EUR.</w:t>
            </w:r>
          </w:p>
          <w:p w14:paraId="07A64E22" w14:textId="1B8DAB70" w:rsidR="003D7F4D" w:rsidRPr="001B3164" w:rsidRDefault="003D7F4D" w:rsidP="00F63022">
            <w:pPr>
              <w:spacing w:after="120"/>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 xml:space="preserve">Les émissions d’obligations vertes ont été inférieures à celles du premier semestre de 2025, reflétant le calibrage des émissions d’obligations vertes par rapport aux dépenses vertes déclarées par les États membres. </w:t>
            </w:r>
          </w:p>
        </w:tc>
      </w:tr>
      <w:tr w:rsidR="003D7F4D" w:rsidRPr="001B3164" w14:paraId="219D0FDC"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12AD6412" w14:textId="77777777" w:rsidR="003D7F4D" w:rsidRPr="001B3164" w:rsidRDefault="003D7F4D" w:rsidP="00F63022">
            <w:pPr>
              <w:jc w:val="left"/>
              <w:rPr>
                <w:noProof/>
                <w:color w:val="034EA2" w:themeColor="accent1"/>
                <w:sz w:val="18"/>
                <w:szCs w:val="18"/>
              </w:rPr>
            </w:pPr>
          </w:p>
        </w:tc>
        <w:tc>
          <w:tcPr>
            <w:tcW w:w="3264" w:type="dxa"/>
            <w:vMerge/>
          </w:tcPr>
          <w:p w14:paraId="20E4C299" w14:textId="77777777" w:rsidR="003D7F4D" w:rsidRPr="00A67F74" w:rsidRDefault="003D7F4D" w:rsidP="00F63022">
            <w:pPr>
              <w:pStyle w:val="ListParagraph"/>
              <w:numPr>
                <w:ilvl w:val="0"/>
                <w:numId w:val="27"/>
              </w:numPr>
              <w:spacing w:line="240" w:lineRule="auto"/>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lang w:val="fr-BE"/>
              </w:rPr>
            </w:pPr>
          </w:p>
        </w:tc>
        <w:tc>
          <w:tcPr>
            <w:tcW w:w="2268" w:type="dxa"/>
            <w:shd w:val="clear" w:color="auto" w:fill="auto"/>
          </w:tcPr>
          <w:p w14:paraId="030A1E52" w14:textId="77777777" w:rsidR="003D7F4D" w:rsidRPr="001B3164" w:rsidRDefault="003D7F4D" w:rsidP="00F63022">
            <w:pPr>
              <w:pStyle w:val="ListParagraph"/>
              <w:numPr>
                <w:ilvl w:val="0"/>
                <w:numId w:val="20"/>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i/>
                <w:iCs/>
                <w:noProof/>
                <w:sz w:val="18"/>
                <w:szCs w:val="18"/>
              </w:rPr>
            </w:pPr>
            <w:r>
              <w:rPr>
                <w:rFonts w:ascii="EC Square Sans Pro" w:hAnsi="EC Square Sans Pro"/>
                <w:i/>
                <w:noProof/>
                <w:sz w:val="18"/>
              </w:rPr>
              <w:t>Répartition opportune des émissions</w:t>
            </w:r>
          </w:p>
          <w:p w14:paraId="3639EA7F" w14:textId="77777777" w:rsidR="003D7F4D" w:rsidRPr="001B3164" w:rsidRDefault="003D7F4D" w:rsidP="00F63022">
            <w:pPr>
              <w:spacing w:after="40"/>
              <w:ind w:left="226" w:hanging="113"/>
              <w:jc w:val="left"/>
              <w:cnfStyle w:val="000000000000" w:firstRow="0" w:lastRow="0" w:firstColumn="0" w:lastColumn="0" w:oddVBand="0" w:evenVBand="0" w:oddHBand="0" w:evenHBand="0" w:firstRowFirstColumn="0" w:firstRowLastColumn="0" w:lastRowFirstColumn="0" w:lastRowLastColumn="0"/>
              <w:rPr>
                <w:i/>
                <w:iCs/>
                <w:noProof/>
                <w:sz w:val="18"/>
                <w:szCs w:val="18"/>
              </w:rPr>
            </w:pPr>
          </w:p>
        </w:tc>
        <w:tc>
          <w:tcPr>
            <w:tcW w:w="2551" w:type="dxa"/>
            <w:shd w:val="clear" w:color="auto" w:fill="auto"/>
          </w:tcPr>
          <w:p w14:paraId="66E5DCE5" w14:textId="3ED3F069" w:rsidR="003D7F4D" w:rsidRPr="001B3164" w:rsidRDefault="00A1453F"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Quatre syndications et six adjudications d’obligations, entraînant au moins une émission par mois.</w:t>
            </w:r>
          </w:p>
        </w:tc>
        <w:tc>
          <w:tcPr>
            <w:tcW w:w="4678" w:type="dxa"/>
            <w:vMerge/>
          </w:tcPr>
          <w:p w14:paraId="1B5832AE"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3D7F4D" w:rsidRPr="001B3164" w14:paraId="44DDC9B0"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21762BD0" w14:textId="77777777" w:rsidR="003D7F4D" w:rsidRPr="001B3164" w:rsidRDefault="003D7F4D" w:rsidP="00F63022">
            <w:pPr>
              <w:jc w:val="left"/>
              <w:rPr>
                <w:noProof/>
                <w:color w:val="034EA2" w:themeColor="accent1"/>
                <w:sz w:val="18"/>
                <w:szCs w:val="18"/>
              </w:rPr>
            </w:pPr>
          </w:p>
        </w:tc>
        <w:tc>
          <w:tcPr>
            <w:tcW w:w="3264" w:type="dxa"/>
            <w:vMerge/>
          </w:tcPr>
          <w:p w14:paraId="4D7B8994" w14:textId="77777777" w:rsidR="003D7F4D" w:rsidRPr="00A67F74" w:rsidRDefault="003D7F4D" w:rsidP="00F63022">
            <w:pPr>
              <w:pStyle w:val="ListParagraph"/>
              <w:numPr>
                <w:ilvl w:val="0"/>
                <w:numId w:val="27"/>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lang w:val="fr-BE"/>
              </w:rPr>
            </w:pPr>
          </w:p>
        </w:tc>
        <w:tc>
          <w:tcPr>
            <w:tcW w:w="2268" w:type="dxa"/>
            <w:shd w:val="clear" w:color="auto" w:fill="auto"/>
          </w:tcPr>
          <w:p w14:paraId="1759C364" w14:textId="0FCFE2B1" w:rsidR="003D7F4D" w:rsidRPr="001B3164" w:rsidRDefault="003D7F4D" w:rsidP="00F63022">
            <w:pPr>
              <w:pStyle w:val="ListParagraph"/>
              <w:numPr>
                <w:ilvl w:val="0"/>
                <w:numId w:val="20"/>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Émissions d’obligations vertes</w:t>
            </w:r>
            <w:r>
              <w:rPr>
                <w:rStyle w:val="FootnoteReference"/>
                <w:rFonts w:ascii="EC Square Sans Pro" w:hAnsi="EC Square Sans Pro" w:cs="Times New Roman"/>
                <w:i/>
                <w:iCs/>
                <w:noProof/>
                <w:sz w:val="18"/>
                <w:szCs w:val="18"/>
                <w:lang w:val="en-IE"/>
              </w:rPr>
              <w:footnoteReference w:id="18"/>
            </w:r>
          </w:p>
        </w:tc>
        <w:tc>
          <w:tcPr>
            <w:tcW w:w="2551" w:type="dxa"/>
            <w:shd w:val="clear" w:color="auto" w:fill="auto"/>
          </w:tcPr>
          <w:p w14:paraId="69A997E3" w14:textId="1167FDCE"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3,4 milliards d’EUR par abondements d’obligations de l’UE arrivant à échéance en 2033 et 2048.</w:t>
            </w:r>
          </w:p>
        </w:tc>
        <w:tc>
          <w:tcPr>
            <w:tcW w:w="4678" w:type="dxa"/>
            <w:vMerge/>
          </w:tcPr>
          <w:p w14:paraId="2A34C106"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210B93A8"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0B8F3BDC" w14:textId="77777777" w:rsidR="003D7F4D" w:rsidRPr="001B3164" w:rsidRDefault="003D7F4D" w:rsidP="00F63022">
            <w:pPr>
              <w:rPr>
                <w:noProof/>
                <w:sz w:val="18"/>
                <w:szCs w:val="18"/>
              </w:rPr>
            </w:pPr>
          </w:p>
        </w:tc>
        <w:tc>
          <w:tcPr>
            <w:tcW w:w="3264" w:type="dxa"/>
            <w:shd w:val="clear" w:color="auto" w:fill="auto"/>
          </w:tcPr>
          <w:p w14:paraId="10F80F03" w14:textId="77777777" w:rsidR="003D7F4D" w:rsidRPr="001B3164" w:rsidRDefault="003D7F4D" w:rsidP="00F63022">
            <w:pPr>
              <w:pStyle w:val="ListParagraph"/>
              <w:numPr>
                <w:ilvl w:val="0"/>
                <w:numId w:val="27"/>
              </w:numPr>
              <w:spacing w:after="60" w:line="240" w:lineRule="auto"/>
              <w:ind w:left="170" w:hanging="17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rPr>
            </w:pPr>
            <w:r>
              <w:rPr>
                <w:rFonts w:ascii="EC Square Sans Pro" w:hAnsi="EC Square Sans Pro"/>
                <w:noProof/>
                <w:color w:val="034EA2" w:themeColor="accent1"/>
                <w:sz w:val="18"/>
              </w:rPr>
              <w:t xml:space="preserve"> Parvenir à un bon équilibre entre adjudications et syndications</w:t>
            </w:r>
          </w:p>
          <w:p w14:paraId="1764A063"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Utilisation de différentes techniques de financement en respectant un équilibre approprié, selon les volumes d’émission totaux et les conditions de marché, pour gérer les risques d’exécution, améliorer la liquidité sur le marché secondaire et réduire les coûts d’emprunt.</w:t>
            </w:r>
          </w:p>
        </w:tc>
        <w:tc>
          <w:tcPr>
            <w:tcW w:w="2268" w:type="dxa"/>
            <w:shd w:val="clear" w:color="auto" w:fill="auto"/>
          </w:tcPr>
          <w:p w14:paraId="0A69B595" w14:textId="15129E33" w:rsidR="003D7F4D" w:rsidRPr="001B3164" w:rsidRDefault="000F4198" w:rsidP="00F63022">
            <w:pPr>
              <w:pStyle w:val="ListParagraph"/>
              <w:numPr>
                <w:ilvl w:val="0"/>
                <w:numId w:val="23"/>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 xml:space="preserve">Répartition des adjudications/syndications en pourcentage </w:t>
            </w:r>
          </w:p>
        </w:tc>
        <w:tc>
          <w:tcPr>
            <w:tcW w:w="2551" w:type="dxa"/>
            <w:shd w:val="clear" w:color="auto" w:fill="auto"/>
          </w:tcPr>
          <w:p w14:paraId="1467D0C6" w14:textId="5D809430"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 xml:space="preserve">46 % des émissions d’obligations effectuées par adjudication. </w:t>
            </w:r>
          </w:p>
        </w:tc>
        <w:tc>
          <w:tcPr>
            <w:tcW w:w="4678" w:type="dxa"/>
            <w:shd w:val="clear" w:color="auto" w:fill="auto"/>
          </w:tcPr>
          <w:p w14:paraId="6DC105E2" w14:textId="526D7984" w:rsidR="003D7F4D" w:rsidRPr="000F0386"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Au S2 2025, la Commission a émis 46 % des obligations de l’UE par adjudication, soit une part plus élevée qu’au S1 2025 (41 %) et au S2 2024 (42 %)</w:t>
            </w:r>
          </w:p>
        </w:tc>
      </w:tr>
      <w:tr w:rsidR="003D7F4D" w:rsidRPr="001B3164" w14:paraId="54A89D66"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542C64E1" w14:textId="77777777" w:rsidR="003D7F4D" w:rsidRPr="001B3164" w:rsidRDefault="003D7F4D" w:rsidP="00F63022">
            <w:pPr>
              <w:rPr>
                <w:noProof/>
                <w:sz w:val="18"/>
                <w:szCs w:val="18"/>
              </w:rPr>
            </w:pPr>
          </w:p>
        </w:tc>
        <w:tc>
          <w:tcPr>
            <w:tcW w:w="3264" w:type="dxa"/>
            <w:vMerge w:val="restart"/>
            <w:shd w:val="clear" w:color="auto" w:fill="auto"/>
          </w:tcPr>
          <w:p w14:paraId="4626E534" w14:textId="77777777" w:rsidR="003D7F4D" w:rsidRPr="001B3164" w:rsidRDefault="003D7F4D" w:rsidP="00F63022">
            <w:pPr>
              <w:pStyle w:val="ListParagraph"/>
              <w:numPr>
                <w:ilvl w:val="0"/>
                <w:numId w:val="27"/>
              </w:numPr>
              <w:spacing w:after="60" w:line="240" w:lineRule="auto"/>
              <w:ind w:left="170" w:hanging="17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rPr>
            </w:pPr>
            <w:r>
              <w:rPr>
                <w:rFonts w:ascii="EC Square Sans Pro" w:hAnsi="EC Square Sans Pro"/>
                <w:noProof/>
                <w:color w:val="034EA2" w:themeColor="accent1"/>
                <w:sz w:val="18"/>
              </w:rPr>
              <w:t xml:space="preserve"> Création d’obligations de référence liquides d’un montant élevé</w:t>
            </w:r>
          </w:p>
          <w:p w14:paraId="5D33D115" w14:textId="77777777"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Abondement des obligations de l’UE pour porter l’encours des différentes lignes à des niveaux correspondant à ceux des lignes de référence liquides d’un montant élevé.</w:t>
            </w:r>
          </w:p>
        </w:tc>
        <w:tc>
          <w:tcPr>
            <w:tcW w:w="2268" w:type="dxa"/>
            <w:shd w:val="clear" w:color="auto" w:fill="auto"/>
          </w:tcPr>
          <w:p w14:paraId="27E900A0" w14:textId="77777777" w:rsidR="003D7F4D" w:rsidRPr="001B3164" w:rsidRDefault="003D7F4D" w:rsidP="00F63022">
            <w:pPr>
              <w:pStyle w:val="ListParagraph"/>
              <w:numPr>
                <w:ilvl w:val="0"/>
                <w:numId w:val="22"/>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i/>
                <w:iCs/>
                <w:noProof/>
                <w:sz w:val="18"/>
                <w:szCs w:val="18"/>
              </w:rPr>
            </w:pPr>
            <w:r>
              <w:rPr>
                <w:rFonts w:ascii="EC Square Sans Pro" w:hAnsi="EC Square Sans Pro"/>
                <w:i/>
                <w:noProof/>
                <w:sz w:val="18"/>
              </w:rPr>
              <w:t>Émissions sous la forme de nouvelles obligations par rapport au volume émis sous la forme d’abondements</w:t>
            </w:r>
          </w:p>
        </w:tc>
        <w:tc>
          <w:tcPr>
            <w:tcW w:w="2551" w:type="dxa"/>
            <w:shd w:val="clear" w:color="auto" w:fill="auto"/>
          </w:tcPr>
          <w:p w14:paraId="30C9C67A" w14:textId="77777777" w:rsidR="003D7F4D" w:rsidRPr="001B3164" w:rsidRDefault="003D7F4D" w:rsidP="00F63022">
            <w:pPr>
              <w:pStyle w:val="ListParagraph"/>
              <w:numPr>
                <w:ilvl w:val="0"/>
                <w:numId w:val="15"/>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sz w:val="18"/>
                <w:szCs w:val="18"/>
              </w:rPr>
            </w:pPr>
            <w:r>
              <w:rPr>
                <w:rFonts w:ascii="EC Square Sans Pro" w:hAnsi="EC Square Sans Pro"/>
                <w:noProof/>
                <w:sz w:val="18"/>
              </w:rPr>
              <w:t xml:space="preserve">22 milliards d’EUR sous la forme de nouvelles obligations </w:t>
            </w:r>
          </w:p>
          <w:p w14:paraId="47D013AE" w14:textId="4CDBA301" w:rsidR="003D7F4D" w:rsidRPr="001B3164" w:rsidRDefault="003D7F4D" w:rsidP="00F63022">
            <w:pPr>
              <w:pStyle w:val="ListParagraph"/>
              <w:numPr>
                <w:ilvl w:val="0"/>
                <w:numId w:val="15"/>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sz w:val="18"/>
                <w:szCs w:val="18"/>
              </w:rPr>
            </w:pPr>
            <w:r>
              <w:rPr>
                <w:rFonts w:ascii="EC Square Sans Pro" w:hAnsi="EC Square Sans Pro"/>
                <w:noProof/>
                <w:sz w:val="18"/>
              </w:rPr>
              <w:t>45 milliards d’EUR sous la forme d’abondements</w:t>
            </w:r>
          </w:p>
        </w:tc>
        <w:tc>
          <w:tcPr>
            <w:tcW w:w="4678" w:type="dxa"/>
            <w:vMerge w:val="restart"/>
            <w:shd w:val="clear" w:color="auto" w:fill="auto"/>
          </w:tcPr>
          <w:p w14:paraId="148FE07E" w14:textId="7BDC3D6F" w:rsidR="003D7F4D" w:rsidRPr="00821D7E" w:rsidRDefault="00F63022" w:rsidP="00F63022">
            <w:pPr>
              <w:cnfStyle w:val="000000100000" w:firstRow="0" w:lastRow="0" w:firstColumn="0" w:lastColumn="0" w:oddVBand="0" w:evenVBand="0" w:oddHBand="1" w:evenHBand="0" w:firstRowFirstColumn="0" w:firstRowLastColumn="0" w:lastRowFirstColumn="0" w:lastRowLastColumn="0"/>
              <w:rPr>
                <w:noProof/>
                <w:spacing w:val="-4"/>
                <w:sz w:val="18"/>
                <w:szCs w:val="18"/>
              </w:rPr>
            </w:pPr>
            <w:r>
              <w:rPr>
                <w:noProof/>
                <w:sz w:val="18"/>
              </w:rPr>
              <w:t>la Commission a utilisé ses opérations pour abonder les lignes de financement existantes, les deux tiers (67 %) du volume de financement étant mobilisés sous la forme d’abondements pour soutenir la liquidité des titres de l’UE.</w:t>
            </w:r>
          </w:p>
          <w:p w14:paraId="6EA3F2ED" w14:textId="77777777" w:rsidR="003D7F4D" w:rsidRPr="00821D7E"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p w14:paraId="22AB4DEF" w14:textId="7FBD7522" w:rsidR="003D7F4D" w:rsidRPr="00821D7E"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 xml:space="preserve">De nouvelles lignes de financement ont été lancées pour fournir au marché de nouvelles lignes de référence là où elles étaient nécessaires sur la courbe et sur la base des recommandations des spécialistes en titres publics de l’UE. De nouvelles obligations à 5, 7, 15 et 30 ans ont été lancées au cours du second semestre de 2025. </w:t>
            </w:r>
          </w:p>
          <w:p w14:paraId="20D98997" w14:textId="77777777" w:rsidR="003D7F4D" w:rsidRPr="00821D7E"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p w14:paraId="54802F6F" w14:textId="7A31F231" w:rsidR="003D7F4D" w:rsidRPr="00821D7E" w:rsidRDefault="00821D7E" w:rsidP="00F63022">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L’encours moyen par obligation s’est maintenu à environ 16 milliards d’EUR fin décembre 2025, assurant ainsi la liquidité durable des obligations.</w:t>
            </w:r>
          </w:p>
        </w:tc>
      </w:tr>
      <w:tr w:rsidR="003D7F4D" w:rsidRPr="001B3164" w14:paraId="16D3C0B2"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63AB375B" w14:textId="77777777" w:rsidR="003D7F4D" w:rsidRPr="001B3164" w:rsidRDefault="003D7F4D" w:rsidP="00F63022">
            <w:pPr>
              <w:rPr>
                <w:noProof/>
                <w:sz w:val="18"/>
                <w:szCs w:val="18"/>
              </w:rPr>
            </w:pPr>
          </w:p>
        </w:tc>
        <w:tc>
          <w:tcPr>
            <w:tcW w:w="3264" w:type="dxa"/>
            <w:vMerge/>
          </w:tcPr>
          <w:p w14:paraId="3A778E14" w14:textId="77777777" w:rsidR="003D7F4D" w:rsidRPr="00A67F74" w:rsidRDefault="003D7F4D" w:rsidP="00F63022">
            <w:pPr>
              <w:pStyle w:val="ListParagraph"/>
              <w:numPr>
                <w:ilvl w:val="0"/>
                <w:numId w:val="27"/>
              </w:numPr>
              <w:spacing w:line="240" w:lineRule="auto"/>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lang w:val="fr-BE"/>
              </w:rPr>
            </w:pPr>
          </w:p>
        </w:tc>
        <w:tc>
          <w:tcPr>
            <w:tcW w:w="2268" w:type="dxa"/>
            <w:shd w:val="clear" w:color="auto" w:fill="auto"/>
          </w:tcPr>
          <w:p w14:paraId="17925DF3" w14:textId="77777777" w:rsidR="003D7F4D" w:rsidRPr="001B3164" w:rsidRDefault="003D7F4D" w:rsidP="00F63022">
            <w:pPr>
              <w:pStyle w:val="ListParagraph"/>
              <w:numPr>
                <w:ilvl w:val="0"/>
                <w:numId w:val="22"/>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Rythme d’abondement de nouvelles obligations</w:t>
            </w:r>
            <w:r>
              <w:rPr>
                <w:rStyle w:val="FootnoteReference"/>
                <w:rFonts w:ascii="EC Square Sans Pro" w:hAnsi="EC Square Sans Pro" w:cs="Times New Roman"/>
                <w:i/>
                <w:iCs/>
                <w:noProof/>
                <w:sz w:val="18"/>
                <w:szCs w:val="18"/>
                <w:lang w:val="en-IE"/>
              </w:rPr>
              <w:footnoteReference w:id="19"/>
            </w:r>
          </w:p>
        </w:tc>
        <w:tc>
          <w:tcPr>
            <w:tcW w:w="2551" w:type="dxa"/>
            <w:shd w:val="clear" w:color="auto" w:fill="auto"/>
          </w:tcPr>
          <w:p w14:paraId="652AEE18" w14:textId="1DB06291"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Environ trois mois</w:t>
            </w:r>
          </w:p>
        </w:tc>
        <w:tc>
          <w:tcPr>
            <w:tcW w:w="4678" w:type="dxa"/>
            <w:vMerge/>
          </w:tcPr>
          <w:p w14:paraId="3AFCFF1D"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3D7F4D" w:rsidRPr="001B3164" w14:paraId="2C61B3FE"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5494393D" w14:textId="77777777" w:rsidR="003D7F4D" w:rsidRPr="001B3164" w:rsidRDefault="003D7F4D" w:rsidP="00F63022">
            <w:pPr>
              <w:rPr>
                <w:noProof/>
                <w:sz w:val="18"/>
                <w:szCs w:val="18"/>
              </w:rPr>
            </w:pPr>
          </w:p>
        </w:tc>
        <w:tc>
          <w:tcPr>
            <w:tcW w:w="3264" w:type="dxa"/>
            <w:vMerge/>
          </w:tcPr>
          <w:p w14:paraId="5564CB6D" w14:textId="77777777" w:rsidR="003D7F4D" w:rsidRPr="001B3164" w:rsidRDefault="003D7F4D" w:rsidP="00F63022">
            <w:pPr>
              <w:pStyle w:val="ListParagraph"/>
              <w:numPr>
                <w:ilvl w:val="0"/>
                <w:numId w:val="27"/>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16DCEE84" w14:textId="77777777" w:rsidR="003D7F4D" w:rsidRPr="001B3164" w:rsidRDefault="003D7F4D" w:rsidP="00F63022">
            <w:pPr>
              <w:pStyle w:val="ListParagraph"/>
              <w:numPr>
                <w:ilvl w:val="0"/>
                <w:numId w:val="22"/>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i/>
                <w:iCs/>
                <w:noProof/>
                <w:sz w:val="18"/>
                <w:szCs w:val="18"/>
              </w:rPr>
            </w:pPr>
            <w:r>
              <w:rPr>
                <w:rFonts w:ascii="EC Square Sans Pro" w:hAnsi="EC Square Sans Pro"/>
                <w:i/>
                <w:noProof/>
                <w:sz w:val="18"/>
              </w:rPr>
              <w:t>Volume moyen des encours des obligations</w:t>
            </w:r>
            <w:r>
              <w:rPr>
                <w:rStyle w:val="FootnoteReference"/>
                <w:rFonts w:ascii="EC Square Sans Pro" w:hAnsi="EC Square Sans Pro" w:cs="Times New Roman"/>
                <w:i/>
                <w:iCs/>
                <w:noProof/>
                <w:sz w:val="18"/>
                <w:szCs w:val="18"/>
                <w:lang w:val="en-IE"/>
              </w:rPr>
              <w:footnoteReference w:id="20"/>
            </w:r>
          </w:p>
        </w:tc>
        <w:tc>
          <w:tcPr>
            <w:tcW w:w="2551" w:type="dxa"/>
            <w:shd w:val="clear" w:color="auto" w:fill="auto"/>
          </w:tcPr>
          <w:p w14:paraId="34B6F03B" w14:textId="2E818460"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Environ 16 milliards d’EUR</w:t>
            </w:r>
          </w:p>
        </w:tc>
        <w:tc>
          <w:tcPr>
            <w:tcW w:w="4678" w:type="dxa"/>
            <w:vMerge/>
          </w:tcPr>
          <w:p w14:paraId="692ADCB3"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2C3D0DD7"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3B42DF81" w14:textId="77777777" w:rsidR="003D7F4D" w:rsidRPr="001B3164" w:rsidRDefault="003D7F4D" w:rsidP="00F63022">
            <w:pPr>
              <w:rPr>
                <w:noProof/>
                <w:sz w:val="18"/>
                <w:szCs w:val="18"/>
              </w:rPr>
            </w:pPr>
          </w:p>
        </w:tc>
        <w:tc>
          <w:tcPr>
            <w:tcW w:w="3264" w:type="dxa"/>
            <w:vMerge/>
          </w:tcPr>
          <w:p w14:paraId="0F85359A" w14:textId="77777777" w:rsidR="003D7F4D" w:rsidRPr="001B3164" w:rsidRDefault="003D7F4D" w:rsidP="00F63022">
            <w:pPr>
              <w:pStyle w:val="ListParagraph"/>
              <w:numPr>
                <w:ilvl w:val="0"/>
                <w:numId w:val="27"/>
              </w:numPr>
              <w:spacing w:line="240" w:lineRule="auto"/>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04661157" w14:textId="77777777" w:rsidR="003D7F4D" w:rsidRPr="001B3164" w:rsidRDefault="003D7F4D" w:rsidP="00F63022">
            <w:pPr>
              <w:pStyle w:val="ListParagraph"/>
              <w:numPr>
                <w:ilvl w:val="0"/>
                <w:numId w:val="22"/>
              </w:numPr>
              <w:spacing w:after="40" w:line="240" w:lineRule="auto"/>
              <w:ind w:left="226" w:hanging="113"/>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Volume de transactions par rapport au volume d’émission</w:t>
            </w:r>
          </w:p>
        </w:tc>
        <w:tc>
          <w:tcPr>
            <w:tcW w:w="2551" w:type="dxa"/>
            <w:shd w:val="clear" w:color="auto" w:fill="auto"/>
          </w:tcPr>
          <w:p w14:paraId="5AB3F984" w14:textId="5AD1D99F" w:rsidR="003D7F4D" w:rsidRPr="00821D7E" w:rsidRDefault="00D3615E" w:rsidP="00F63022">
            <w:pPr>
              <w:jc w:val="left"/>
              <w:cnfStyle w:val="000000000000" w:firstRow="0" w:lastRow="0" w:firstColumn="0" w:lastColumn="0" w:oddVBand="0" w:evenVBand="0" w:oddHBand="0" w:evenHBand="0" w:firstRowFirstColumn="0" w:firstRowLastColumn="0" w:lastRowFirstColumn="0" w:lastRowLastColumn="0"/>
              <w:rPr>
                <w:noProof/>
                <w:sz w:val="18"/>
                <w:szCs w:val="18"/>
                <w:highlight w:val="yellow"/>
              </w:rPr>
            </w:pPr>
            <w:r>
              <w:rPr>
                <w:noProof/>
                <w:sz w:val="18"/>
              </w:rPr>
              <w:t>Environ 218 % au S2 2025, contre 162 % au S1 2025 et 144 % au S2 2024</w:t>
            </w:r>
          </w:p>
        </w:tc>
        <w:tc>
          <w:tcPr>
            <w:tcW w:w="4678" w:type="dxa"/>
            <w:vMerge/>
          </w:tcPr>
          <w:p w14:paraId="45781EA9"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3D7F4D" w:rsidRPr="00853899" w14:paraId="4DC09DFC"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3D48BFC8" w14:textId="77777777" w:rsidR="003D7F4D" w:rsidRPr="001B3164" w:rsidRDefault="003D7F4D" w:rsidP="00F63022">
            <w:pPr>
              <w:rPr>
                <w:noProof/>
                <w:sz w:val="18"/>
                <w:szCs w:val="18"/>
              </w:rPr>
            </w:pPr>
          </w:p>
        </w:tc>
        <w:tc>
          <w:tcPr>
            <w:tcW w:w="3264" w:type="dxa"/>
            <w:vMerge/>
          </w:tcPr>
          <w:p w14:paraId="2AF22ADB" w14:textId="77777777" w:rsidR="003D7F4D" w:rsidRPr="00A67F74" w:rsidRDefault="003D7F4D" w:rsidP="00F63022">
            <w:pPr>
              <w:pStyle w:val="ListParagraph"/>
              <w:numPr>
                <w:ilvl w:val="0"/>
                <w:numId w:val="27"/>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lang w:val="fr-BE"/>
              </w:rPr>
            </w:pPr>
          </w:p>
        </w:tc>
        <w:tc>
          <w:tcPr>
            <w:tcW w:w="2268" w:type="dxa"/>
            <w:shd w:val="clear" w:color="auto" w:fill="auto"/>
          </w:tcPr>
          <w:p w14:paraId="2762ED2D" w14:textId="77777777" w:rsidR="003D7F4D" w:rsidRPr="001B3164" w:rsidRDefault="003D7F4D" w:rsidP="00F63022">
            <w:pPr>
              <w:pStyle w:val="ListParagraph"/>
              <w:numPr>
                <w:ilvl w:val="0"/>
                <w:numId w:val="22"/>
              </w:numPr>
              <w:spacing w:after="40" w:line="240" w:lineRule="auto"/>
              <w:ind w:left="226" w:hanging="113"/>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Volume des transactions en valeur absolue</w:t>
            </w:r>
          </w:p>
        </w:tc>
        <w:tc>
          <w:tcPr>
            <w:tcW w:w="2551" w:type="dxa"/>
            <w:shd w:val="clear" w:color="auto" w:fill="auto"/>
          </w:tcPr>
          <w:p w14:paraId="1931941E" w14:textId="61A3063C" w:rsidR="003D7F4D" w:rsidRPr="006D47C8" w:rsidRDefault="00D3615E" w:rsidP="00F63022">
            <w:pPr>
              <w:jc w:val="left"/>
              <w:cnfStyle w:val="000000100000" w:firstRow="0" w:lastRow="0" w:firstColumn="0" w:lastColumn="0" w:oddVBand="0" w:evenVBand="0" w:oddHBand="1" w:evenHBand="0" w:firstRowFirstColumn="0" w:firstRowLastColumn="0" w:lastRowFirstColumn="0" w:lastRowLastColumn="0"/>
              <w:rPr>
                <w:noProof/>
                <w:sz w:val="18"/>
                <w:szCs w:val="18"/>
                <w:highlight w:val="yellow"/>
              </w:rPr>
            </w:pPr>
            <w:r>
              <w:rPr>
                <w:noProof/>
                <w:sz w:val="18"/>
              </w:rPr>
              <w:t>1 531 milliards d’EUR au S2 2025, contre 833 milliards d’EUR au S2 2024</w:t>
            </w:r>
          </w:p>
        </w:tc>
        <w:tc>
          <w:tcPr>
            <w:tcW w:w="4678" w:type="dxa"/>
            <w:vMerge/>
          </w:tcPr>
          <w:p w14:paraId="1E0C024A" w14:textId="77777777" w:rsidR="003D7F4D" w:rsidRPr="006D47C8"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lang w:val="de-DE"/>
              </w:rPr>
            </w:pPr>
          </w:p>
        </w:tc>
      </w:tr>
      <w:tr w:rsidR="003D7F4D" w:rsidRPr="001B3164" w14:paraId="3E3570D8"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val="restart"/>
            <w:shd w:val="clear" w:color="auto" w:fill="auto"/>
          </w:tcPr>
          <w:p w14:paraId="7179A2DD" w14:textId="77777777" w:rsidR="003D7F4D" w:rsidRPr="006D47C8" w:rsidRDefault="003D7F4D" w:rsidP="00F63022">
            <w:pPr>
              <w:rPr>
                <w:noProof/>
                <w:sz w:val="18"/>
                <w:szCs w:val="18"/>
                <w:lang w:val="de-DE"/>
              </w:rPr>
            </w:pPr>
          </w:p>
        </w:tc>
        <w:tc>
          <w:tcPr>
            <w:tcW w:w="3264" w:type="dxa"/>
            <w:vMerge w:val="restart"/>
            <w:shd w:val="clear" w:color="auto" w:fill="auto"/>
          </w:tcPr>
          <w:p w14:paraId="6269DBB7" w14:textId="77777777" w:rsidR="003D7F4D" w:rsidRPr="001B3164" w:rsidRDefault="003D7F4D" w:rsidP="00F63022">
            <w:pPr>
              <w:pStyle w:val="ListParagraph"/>
              <w:numPr>
                <w:ilvl w:val="0"/>
                <w:numId w:val="28"/>
              </w:numPr>
              <w:spacing w:after="60" w:line="240" w:lineRule="auto"/>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rPr>
            </w:pPr>
            <w:r>
              <w:rPr>
                <w:rFonts w:ascii="EC Square Sans Pro" w:hAnsi="EC Square Sans Pro"/>
                <w:noProof/>
                <w:color w:val="034EA2" w:themeColor="accent1"/>
                <w:sz w:val="18"/>
              </w:rPr>
              <w:t xml:space="preserve"> Gestion du profil des échéances des émissions d’obligations de l’UE compte tenu:</w:t>
            </w:r>
          </w:p>
          <w:p w14:paraId="121ED6D2" w14:textId="07B49BE3" w:rsidR="003D7F4D" w:rsidRPr="001B3164" w:rsidRDefault="003D7F4D" w:rsidP="00F63022">
            <w:pPr>
              <w:pStyle w:val="ListParagraph"/>
              <w:numPr>
                <w:ilvl w:val="0"/>
                <w:numId w:val="10"/>
              </w:numPr>
              <w:spacing w:after="60" w:line="240" w:lineRule="auto"/>
              <w:ind w:left="340" w:hanging="17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sz w:val="18"/>
                <w:szCs w:val="18"/>
              </w:rPr>
            </w:pPr>
            <w:r>
              <w:rPr>
                <w:rFonts w:ascii="EC Square Sans Pro" w:hAnsi="EC Square Sans Pro"/>
                <w:noProof/>
                <w:sz w:val="18"/>
              </w:rPr>
              <w:t>de la marge de manœuvre supplémentaire temporaire (pour les emprunts liés à NextGenerationEU) et de la marge de manœuvre permanente (pour l’AMF+) dans le cadre du budget de l’UE</w:t>
            </w:r>
          </w:p>
          <w:p w14:paraId="4423F9E0" w14:textId="77777777" w:rsidR="003D7F4D" w:rsidRPr="001B3164" w:rsidRDefault="003D7F4D" w:rsidP="00F63022">
            <w:pPr>
              <w:pStyle w:val="ListParagraph"/>
              <w:numPr>
                <w:ilvl w:val="0"/>
                <w:numId w:val="10"/>
              </w:numPr>
              <w:spacing w:after="60" w:line="240" w:lineRule="auto"/>
              <w:ind w:left="340" w:hanging="17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sz w:val="18"/>
                <w:szCs w:val="18"/>
              </w:rPr>
            </w:pPr>
            <w:r>
              <w:rPr>
                <w:rFonts w:ascii="EC Square Sans Pro" w:hAnsi="EC Square Sans Pro"/>
                <w:noProof/>
                <w:sz w:val="18"/>
              </w:rPr>
              <w:t xml:space="preserve">du remboursement futur des décaissements au cours d’une année donnée </w:t>
            </w:r>
          </w:p>
          <w:p w14:paraId="3335DA12" w14:textId="77777777" w:rsidR="003D7F4D" w:rsidRPr="001B3164" w:rsidRDefault="003D7F4D" w:rsidP="00F63022">
            <w:pPr>
              <w:pStyle w:val="ListParagraph"/>
              <w:numPr>
                <w:ilvl w:val="0"/>
                <w:numId w:val="10"/>
              </w:numPr>
              <w:spacing w:after="60" w:line="240" w:lineRule="auto"/>
              <w:ind w:left="340" w:hanging="17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sz w:val="18"/>
                <w:szCs w:val="18"/>
              </w:rPr>
            </w:pPr>
            <w:r>
              <w:rPr>
                <w:rFonts w:ascii="EC Square Sans Pro" w:hAnsi="EC Square Sans Pro"/>
                <w:noProof/>
                <w:sz w:val="18"/>
              </w:rPr>
              <w:t>de la stabilité des besoins futurs de refinancement</w:t>
            </w:r>
          </w:p>
          <w:p w14:paraId="33FBBA42" w14:textId="77777777" w:rsidR="003D7F4D" w:rsidRPr="001B3164" w:rsidRDefault="003D7F4D" w:rsidP="00F63022">
            <w:pPr>
              <w:pStyle w:val="ListParagraph"/>
              <w:numPr>
                <w:ilvl w:val="0"/>
                <w:numId w:val="10"/>
              </w:numPr>
              <w:spacing w:after="60" w:line="240" w:lineRule="auto"/>
              <w:ind w:left="340" w:hanging="17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sz w:val="18"/>
                <w:szCs w:val="18"/>
              </w:rPr>
            </w:pPr>
            <w:r>
              <w:rPr>
                <w:rFonts w:ascii="EC Square Sans Pro" w:hAnsi="EC Square Sans Pro"/>
                <w:noProof/>
                <w:sz w:val="18"/>
              </w:rPr>
              <w:t>de la nécessité de protéger la notation de l’UE afin de garantir un faible coût d’emprunt à long terme et une forte demande de la part de sa base d’investisseurs.</w:t>
            </w:r>
          </w:p>
        </w:tc>
        <w:tc>
          <w:tcPr>
            <w:tcW w:w="2268" w:type="dxa"/>
            <w:shd w:val="clear" w:color="auto" w:fill="auto"/>
          </w:tcPr>
          <w:p w14:paraId="5B254806" w14:textId="77777777" w:rsidR="003D7F4D" w:rsidRPr="001B3164" w:rsidRDefault="003D7F4D" w:rsidP="00F63022">
            <w:pPr>
              <w:pStyle w:val="ListParagraph"/>
              <w:numPr>
                <w:ilvl w:val="0"/>
                <w:numId w:val="21"/>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 xml:space="preserve">Échéance moyenne de l’émission </w:t>
            </w:r>
          </w:p>
        </w:tc>
        <w:tc>
          <w:tcPr>
            <w:tcW w:w="2551" w:type="dxa"/>
            <w:shd w:val="clear" w:color="auto" w:fill="auto"/>
          </w:tcPr>
          <w:p w14:paraId="4048E40C"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 xml:space="preserve">Environ 12 ans </w:t>
            </w:r>
          </w:p>
        </w:tc>
        <w:tc>
          <w:tcPr>
            <w:tcW w:w="4678" w:type="dxa"/>
            <w:vMerge w:val="restart"/>
            <w:shd w:val="clear" w:color="auto" w:fill="auto"/>
          </w:tcPr>
          <w:p w14:paraId="47618058" w14:textId="46330BB4"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Au S2 2025, les émissions d’obligations avaient une échéance moyenne de 12 ans. Cela reflète l’objectif de la Commission d’échelonner le profil des remboursements dans le temps tout en attirant les investisseurs vers les opérations sur le marché primaire de l’UE. L’échéance moyenne est restée en deçà de l’échéance moyenne maximale de 17 ans fixée dans la décision d’emprunt annuelle pour 2025.</w:t>
            </w:r>
          </w:p>
          <w:p w14:paraId="02857D99"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p w14:paraId="563010F3" w14:textId="5E04A2A9"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La durée moyenne pondérée restant à courir avant l’échéance de l’encours de la dette a légèrement diminué (se rapprochant de 11 ans après être passée en dessous du seuil de 11,5 ans au premier semestre de 2025), sous l’effet du profil des émissions et de la réduction de la dette existante.</w:t>
            </w:r>
          </w:p>
          <w:p w14:paraId="0D07273B"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p w14:paraId="6678AA98" w14:textId="0752A7B4" w:rsidR="003D7F4D" w:rsidRPr="001B3164" w:rsidRDefault="00821D7E"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Le profil de refinancement à court terme a augmenté, passant de moins de 10 % à moins de 12 %, tandis que le profil de refinancement à moyen terme est resté stable à environ 37 %, reflétant les émissions passées et le profil de remboursement.</w:t>
            </w:r>
          </w:p>
        </w:tc>
      </w:tr>
      <w:tr w:rsidR="003D7F4D" w:rsidRPr="001B3164" w14:paraId="013DE115"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2336F054" w14:textId="77777777" w:rsidR="003D7F4D" w:rsidRPr="001B3164" w:rsidRDefault="003D7F4D" w:rsidP="00F63022">
            <w:pPr>
              <w:rPr>
                <w:noProof/>
                <w:sz w:val="18"/>
                <w:szCs w:val="18"/>
              </w:rPr>
            </w:pPr>
          </w:p>
        </w:tc>
        <w:tc>
          <w:tcPr>
            <w:tcW w:w="3264" w:type="dxa"/>
            <w:vMerge/>
          </w:tcPr>
          <w:p w14:paraId="0DAE8289" w14:textId="77777777" w:rsidR="003D7F4D" w:rsidRPr="00A67F74" w:rsidRDefault="003D7F4D" w:rsidP="00F63022">
            <w:pPr>
              <w:pStyle w:val="ListParagraph"/>
              <w:numPr>
                <w:ilvl w:val="0"/>
                <w:numId w:val="28"/>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lang w:val="fr-BE"/>
              </w:rPr>
            </w:pPr>
          </w:p>
        </w:tc>
        <w:tc>
          <w:tcPr>
            <w:tcW w:w="2268" w:type="dxa"/>
            <w:shd w:val="clear" w:color="auto" w:fill="auto"/>
          </w:tcPr>
          <w:p w14:paraId="7AD28833" w14:textId="77777777" w:rsidR="003D7F4D" w:rsidRPr="001B3164" w:rsidRDefault="003D7F4D" w:rsidP="00F63022">
            <w:pPr>
              <w:pStyle w:val="ListParagraph"/>
              <w:numPr>
                <w:ilvl w:val="0"/>
                <w:numId w:val="21"/>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Durée moyenne restant à courir avant l’échéance de l’encours de la dette</w:t>
            </w:r>
          </w:p>
        </w:tc>
        <w:tc>
          <w:tcPr>
            <w:tcW w:w="2551" w:type="dxa"/>
            <w:shd w:val="clear" w:color="auto" w:fill="auto"/>
          </w:tcPr>
          <w:p w14:paraId="79C002D6" w14:textId="77777777" w:rsidR="003D7F4D" w:rsidRPr="00B01F57"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highlight w:val="yellow"/>
              </w:rPr>
            </w:pPr>
            <w:r>
              <w:rPr>
                <w:noProof/>
                <w:sz w:val="18"/>
              </w:rPr>
              <w:t>Environ 11 ans</w:t>
            </w:r>
          </w:p>
        </w:tc>
        <w:tc>
          <w:tcPr>
            <w:tcW w:w="4678" w:type="dxa"/>
            <w:vMerge/>
          </w:tcPr>
          <w:p w14:paraId="5639C4C0"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4B6D6CD1"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3DF08240" w14:textId="77777777" w:rsidR="003D7F4D" w:rsidRPr="001B3164" w:rsidRDefault="003D7F4D" w:rsidP="00F63022">
            <w:pPr>
              <w:rPr>
                <w:noProof/>
                <w:sz w:val="18"/>
                <w:szCs w:val="18"/>
              </w:rPr>
            </w:pPr>
          </w:p>
        </w:tc>
        <w:tc>
          <w:tcPr>
            <w:tcW w:w="3264" w:type="dxa"/>
            <w:vMerge/>
          </w:tcPr>
          <w:p w14:paraId="4EC19DC1" w14:textId="77777777" w:rsidR="003D7F4D" w:rsidRPr="001B3164" w:rsidRDefault="003D7F4D" w:rsidP="00F63022">
            <w:pPr>
              <w:pStyle w:val="ListParagraph"/>
              <w:numPr>
                <w:ilvl w:val="0"/>
                <w:numId w:val="28"/>
              </w:numPr>
              <w:spacing w:line="240" w:lineRule="auto"/>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74CDC582" w14:textId="77777777" w:rsidR="003D7F4D" w:rsidRPr="001B3164" w:rsidRDefault="003D7F4D" w:rsidP="00F63022">
            <w:pPr>
              <w:pStyle w:val="ListParagraph"/>
              <w:numPr>
                <w:ilvl w:val="0"/>
                <w:numId w:val="21"/>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Refinancement à court terme, c’est-à-dire le pourcentage de l’encours des obligations et des bons du Trésor arrivant à échéance dans les 12 prochains mois</w:t>
            </w:r>
          </w:p>
        </w:tc>
        <w:tc>
          <w:tcPr>
            <w:tcW w:w="2551" w:type="dxa"/>
            <w:shd w:val="clear" w:color="auto" w:fill="auto"/>
          </w:tcPr>
          <w:p w14:paraId="151F089C" w14:textId="08F84D4E" w:rsidR="003D7F4D" w:rsidRPr="00821D7E"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Moins de 12 %</w:t>
            </w:r>
          </w:p>
        </w:tc>
        <w:tc>
          <w:tcPr>
            <w:tcW w:w="4678" w:type="dxa"/>
            <w:vMerge/>
          </w:tcPr>
          <w:p w14:paraId="629A103A"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3D7F4D" w:rsidRPr="001B3164" w14:paraId="32CA9DEA"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3FF46F68" w14:textId="77777777" w:rsidR="003D7F4D" w:rsidRPr="001B3164" w:rsidRDefault="003D7F4D" w:rsidP="00F63022">
            <w:pPr>
              <w:rPr>
                <w:noProof/>
                <w:sz w:val="18"/>
                <w:szCs w:val="18"/>
              </w:rPr>
            </w:pPr>
          </w:p>
        </w:tc>
        <w:tc>
          <w:tcPr>
            <w:tcW w:w="3264" w:type="dxa"/>
            <w:vMerge/>
          </w:tcPr>
          <w:p w14:paraId="1F62CEB0" w14:textId="77777777" w:rsidR="003D7F4D" w:rsidRPr="001B3164" w:rsidRDefault="003D7F4D" w:rsidP="00F63022">
            <w:pPr>
              <w:pStyle w:val="ListParagraph"/>
              <w:numPr>
                <w:ilvl w:val="0"/>
                <w:numId w:val="28"/>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2C9FEA9D" w14:textId="65651213" w:rsidR="003D7F4D" w:rsidRPr="001B3164" w:rsidRDefault="003D7F4D" w:rsidP="00F63022">
            <w:pPr>
              <w:pStyle w:val="ListParagraph"/>
              <w:numPr>
                <w:ilvl w:val="0"/>
                <w:numId w:val="21"/>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pacing w:val="-6"/>
                <w:sz w:val="18"/>
                <w:szCs w:val="18"/>
              </w:rPr>
            </w:pPr>
            <w:r>
              <w:rPr>
                <w:rFonts w:ascii="EC Square Sans Pro" w:hAnsi="EC Square Sans Pro"/>
                <w:i/>
                <w:noProof/>
                <w:sz w:val="18"/>
              </w:rPr>
              <w:t>Refinancement à moyen terme, c’est-à-dire le pourcentage de l’encours des obligations et des bons du Trésor arrivant à échéance dans les cinq prochaines années</w:t>
            </w:r>
          </w:p>
        </w:tc>
        <w:tc>
          <w:tcPr>
            <w:tcW w:w="2551" w:type="dxa"/>
            <w:shd w:val="clear" w:color="auto" w:fill="auto"/>
          </w:tcPr>
          <w:p w14:paraId="0DF8571D" w14:textId="38BA638E" w:rsidR="003D7F4D" w:rsidRPr="00B01F57" w:rsidRDefault="00821D7E" w:rsidP="00F63022">
            <w:pPr>
              <w:cnfStyle w:val="000000100000" w:firstRow="0" w:lastRow="0" w:firstColumn="0" w:lastColumn="0" w:oddVBand="0" w:evenVBand="0" w:oddHBand="1" w:evenHBand="0" w:firstRowFirstColumn="0" w:firstRowLastColumn="0" w:lastRowFirstColumn="0" w:lastRowLastColumn="0"/>
              <w:rPr>
                <w:noProof/>
                <w:sz w:val="18"/>
                <w:szCs w:val="18"/>
                <w:highlight w:val="yellow"/>
              </w:rPr>
            </w:pPr>
            <w:r>
              <w:rPr>
                <w:noProof/>
                <w:sz w:val="18"/>
              </w:rPr>
              <w:t>Environ 37 %.</w:t>
            </w:r>
          </w:p>
        </w:tc>
        <w:tc>
          <w:tcPr>
            <w:tcW w:w="4678" w:type="dxa"/>
            <w:vMerge/>
          </w:tcPr>
          <w:p w14:paraId="0B32B15B"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44EF3590"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val="restart"/>
            <w:shd w:val="clear" w:color="auto" w:fill="auto"/>
          </w:tcPr>
          <w:p w14:paraId="2218FA25" w14:textId="77777777" w:rsidR="003D7F4D" w:rsidRPr="001B3164" w:rsidRDefault="003D7F4D" w:rsidP="00F63022">
            <w:pPr>
              <w:jc w:val="left"/>
              <w:rPr>
                <w:noProof/>
                <w:color w:val="034EA2" w:themeColor="accent1"/>
                <w:sz w:val="18"/>
                <w:szCs w:val="18"/>
              </w:rPr>
            </w:pPr>
            <w:r>
              <w:rPr>
                <w:noProof/>
                <w:color w:val="034EA2" w:themeColor="accent1"/>
                <w:sz w:val="18"/>
              </w:rPr>
              <w:t>Exécution du programme de bons du Trésor de l’UE</w:t>
            </w:r>
          </w:p>
          <w:p w14:paraId="334112A4" w14:textId="77777777" w:rsidR="003D7F4D" w:rsidRPr="001B3164" w:rsidRDefault="003D7F4D" w:rsidP="00F63022">
            <w:pPr>
              <w:rPr>
                <w:noProof/>
                <w:sz w:val="18"/>
                <w:szCs w:val="18"/>
              </w:rPr>
            </w:pPr>
          </w:p>
        </w:tc>
        <w:tc>
          <w:tcPr>
            <w:tcW w:w="3264" w:type="dxa"/>
            <w:vMerge w:val="restart"/>
            <w:shd w:val="clear" w:color="auto" w:fill="auto"/>
          </w:tcPr>
          <w:p w14:paraId="6274F611" w14:textId="618A1D98"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Émission régulière, par adjudication, de bons du Trésor de l’UE d’une échéance maximale d’un an pour attirer de nouveaux investisseurs (ou de nouveaux portefeuilles d’investisseurs existants) et pour soutenir la gestion des liquidités.</w:t>
            </w:r>
          </w:p>
        </w:tc>
        <w:tc>
          <w:tcPr>
            <w:tcW w:w="2268" w:type="dxa"/>
            <w:shd w:val="clear" w:color="auto" w:fill="auto"/>
          </w:tcPr>
          <w:p w14:paraId="3C10D7DF" w14:textId="77777777" w:rsidR="003D7F4D" w:rsidRPr="001B3164" w:rsidRDefault="003D7F4D" w:rsidP="00F63022">
            <w:pPr>
              <w:pStyle w:val="ListParagraph"/>
              <w:numPr>
                <w:ilvl w:val="0"/>
                <w:numId w:val="24"/>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i/>
                <w:iCs/>
                <w:noProof/>
                <w:sz w:val="18"/>
                <w:szCs w:val="18"/>
              </w:rPr>
            </w:pPr>
            <w:r>
              <w:rPr>
                <w:rFonts w:ascii="EC Square Sans Pro" w:hAnsi="EC Square Sans Pro"/>
                <w:i/>
                <w:noProof/>
                <w:sz w:val="18"/>
              </w:rPr>
              <w:t>Volume d’encours des bons du Trésor de l’UE</w:t>
            </w:r>
          </w:p>
        </w:tc>
        <w:tc>
          <w:tcPr>
            <w:tcW w:w="2551" w:type="dxa"/>
            <w:shd w:val="clear" w:color="auto" w:fill="auto"/>
          </w:tcPr>
          <w:p w14:paraId="6D365CDA" w14:textId="0A9E3659"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Environ 37 milliards d’EUR</w:t>
            </w:r>
          </w:p>
        </w:tc>
        <w:tc>
          <w:tcPr>
            <w:tcW w:w="4678" w:type="dxa"/>
            <w:vMerge w:val="restart"/>
            <w:shd w:val="clear" w:color="auto" w:fill="auto"/>
          </w:tcPr>
          <w:p w14:paraId="5995050A" w14:textId="257F8228" w:rsidR="003D7F4D" w:rsidRPr="001B3164" w:rsidRDefault="007C46F4"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L’encours de la dette au titre du programme de titres de créance à court terme de l’UE a augmenté, passant d’environ 30 milliards d’EUR à environ 37 milliards d’EUR sur cette période. Cette augmentation complète les émissions d’obligations de l’UE en offrant une flexibilité supplémentaire lors des périodes de pic de décaissement.</w:t>
            </w:r>
          </w:p>
        </w:tc>
      </w:tr>
      <w:tr w:rsidR="003D7F4D" w:rsidRPr="001B3164" w14:paraId="5E8C94EC"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27E6A27E" w14:textId="77777777" w:rsidR="003D7F4D" w:rsidRPr="001B3164" w:rsidRDefault="003D7F4D" w:rsidP="00F63022">
            <w:pPr>
              <w:jc w:val="left"/>
              <w:rPr>
                <w:noProof/>
                <w:color w:val="034EA2" w:themeColor="accent1"/>
                <w:sz w:val="18"/>
                <w:szCs w:val="18"/>
              </w:rPr>
            </w:pPr>
          </w:p>
        </w:tc>
        <w:tc>
          <w:tcPr>
            <w:tcW w:w="3264" w:type="dxa"/>
            <w:vMerge/>
          </w:tcPr>
          <w:p w14:paraId="55F472B2" w14:textId="77777777"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p>
        </w:tc>
        <w:tc>
          <w:tcPr>
            <w:tcW w:w="2268" w:type="dxa"/>
            <w:shd w:val="clear" w:color="auto" w:fill="auto"/>
          </w:tcPr>
          <w:p w14:paraId="1DE0F5FA" w14:textId="77777777" w:rsidR="003D7F4D" w:rsidRPr="001B3164" w:rsidRDefault="003D7F4D" w:rsidP="00F63022">
            <w:pPr>
              <w:pStyle w:val="ListParagraph"/>
              <w:numPr>
                <w:ilvl w:val="0"/>
                <w:numId w:val="24"/>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Nombre d’adjudications de bons du Trésor de l’UE</w:t>
            </w:r>
          </w:p>
        </w:tc>
        <w:tc>
          <w:tcPr>
            <w:tcW w:w="2551" w:type="dxa"/>
            <w:shd w:val="clear" w:color="auto" w:fill="auto"/>
          </w:tcPr>
          <w:p w14:paraId="5A492D18" w14:textId="27B1013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10</w:t>
            </w:r>
          </w:p>
        </w:tc>
        <w:tc>
          <w:tcPr>
            <w:tcW w:w="4678" w:type="dxa"/>
            <w:vMerge/>
          </w:tcPr>
          <w:p w14:paraId="4453D12D"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7CB8AA5E"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shd w:val="clear" w:color="auto" w:fill="auto"/>
          </w:tcPr>
          <w:p w14:paraId="5239F8F3" w14:textId="77777777" w:rsidR="003D7F4D" w:rsidRPr="001B3164" w:rsidRDefault="003D7F4D" w:rsidP="00F63022">
            <w:pPr>
              <w:rPr>
                <w:noProof/>
                <w:sz w:val="18"/>
                <w:szCs w:val="18"/>
              </w:rPr>
            </w:pPr>
            <w:r>
              <w:rPr>
                <w:noProof/>
                <w:color w:val="034EA2" w:themeColor="accent1"/>
                <w:sz w:val="18"/>
              </w:rPr>
              <w:t>Gestion des liquidités</w:t>
            </w:r>
          </w:p>
        </w:tc>
        <w:tc>
          <w:tcPr>
            <w:tcW w:w="3264" w:type="dxa"/>
            <w:shd w:val="clear" w:color="auto" w:fill="auto"/>
          </w:tcPr>
          <w:p w14:paraId="15106C9B"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Gestion d’une réserve de liquidités sur la base des obligations de paiement, des besoins en matière de décaissements et des coûts de l’encaisse, compte tenu des conditions existantes du marché.</w:t>
            </w:r>
          </w:p>
        </w:tc>
        <w:tc>
          <w:tcPr>
            <w:tcW w:w="2268" w:type="dxa"/>
            <w:shd w:val="clear" w:color="auto" w:fill="auto"/>
          </w:tcPr>
          <w:p w14:paraId="3223201F" w14:textId="77777777" w:rsidR="003D7F4D" w:rsidRPr="001B3164" w:rsidRDefault="003D7F4D" w:rsidP="00F63022">
            <w:pPr>
              <w:pStyle w:val="ListParagraph"/>
              <w:numPr>
                <w:ilvl w:val="0"/>
                <w:numId w:val="25"/>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Nombre de défauts de paiement dus à un manque de liquidités</w:t>
            </w:r>
          </w:p>
        </w:tc>
        <w:tc>
          <w:tcPr>
            <w:tcW w:w="2551" w:type="dxa"/>
            <w:shd w:val="clear" w:color="auto" w:fill="auto"/>
          </w:tcPr>
          <w:p w14:paraId="08940661"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Aucun</w:t>
            </w:r>
          </w:p>
        </w:tc>
        <w:tc>
          <w:tcPr>
            <w:tcW w:w="4678" w:type="dxa"/>
            <w:shd w:val="clear" w:color="auto" w:fill="auto"/>
          </w:tcPr>
          <w:p w14:paraId="31C564CC" w14:textId="4C8855CC"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La Commission a répondu à tous les besoins en matière de décaissements et il n’y a eu aucun défaut de règlement pendant le second semestre de 2025.</w:t>
            </w:r>
          </w:p>
        </w:tc>
      </w:tr>
      <w:tr w:rsidR="003D7F4D" w:rsidRPr="001B3164" w14:paraId="68FE992C"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shd w:val="clear" w:color="auto" w:fill="auto"/>
          </w:tcPr>
          <w:p w14:paraId="536CC432" w14:textId="77777777" w:rsidR="003D7F4D" w:rsidRPr="001B3164" w:rsidRDefault="003D7F4D" w:rsidP="00F63022">
            <w:pPr>
              <w:jc w:val="left"/>
              <w:rPr>
                <w:noProof/>
                <w:sz w:val="18"/>
                <w:szCs w:val="18"/>
              </w:rPr>
            </w:pPr>
            <w:r>
              <w:rPr>
                <w:noProof/>
                <w:color w:val="034EA2" w:themeColor="accent1"/>
                <w:sz w:val="18"/>
              </w:rPr>
              <w:t>Réseau des spécialistes en titres publics</w:t>
            </w:r>
          </w:p>
        </w:tc>
        <w:tc>
          <w:tcPr>
            <w:tcW w:w="3264" w:type="dxa"/>
            <w:shd w:val="clear" w:color="auto" w:fill="auto"/>
          </w:tcPr>
          <w:p w14:paraId="0EAF894F" w14:textId="2D333373"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Attirer un large éventail d’établissements financiers manifestant un engagement fort à soutenir les émissions de l’UE.</w:t>
            </w:r>
          </w:p>
        </w:tc>
        <w:tc>
          <w:tcPr>
            <w:tcW w:w="2268" w:type="dxa"/>
            <w:shd w:val="clear" w:color="auto" w:fill="auto"/>
          </w:tcPr>
          <w:p w14:paraId="7F3358B0" w14:textId="21EEDDD8" w:rsidR="003D7F4D" w:rsidRPr="001B3164" w:rsidRDefault="003D7F4D" w:rsidP="00F63022">
            <w:pPr>
              <w:pStyle w:val="ListParagraph"/>
              <w:numPr>
                <w:ilvl w:val="0"/>
                <w:numId w:val="13"/>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i/>
                <w:iCs/>
                <w:noProof/>
                <w:sz w:val="18"/>
                <w:szCs w:val="18"/>
              </w:rPr>
            </w:pPr>
            <w:r>
              <w:rPr>
                <w:rFonts w:ascii="EC Square Sans Pro" w:hAnsi="EC Square Sans Pro"/>
                <w:i/>
                <w:noProof/>
                <w:sz w:val="18"/>
              </w:rPr>
              <w:t>Nombre d’établissements ayant signé des engagements de souscription pour des opérations au cours des six derniers mois</w:t>
            </w:r>
          </w:p>
        </w:tc>
        <w:tc>
          <w:tcPr>
            <w:tcW w:w="2551" w:type="dxa"/>
            <w:shd w:val="clear" w:color="auto" w:fill="auto"/>
          </w:tcPr>
          <w:p w14:paraId="6FDE5298" w14:textId="10D62028" w:rsidR="003D7F4D" w:rsidRPr="00F3390B"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16 (contre 19 au</w:t>
            </w:r>
            <w:r>
              <w:rPr>
                <w:rFonts w:ascii="Calibri" w:hAnsi="Calibri"/>
                <w:noProof/>
                <w:sz w:val="18"/>
              </w:rPr>
              <w:t xml:space="preserve"> </w:t>
            </w:r>
            <w:r>
              <w:rPr>
                <w:noProof/>
                <w:sz w:val="18"/>
              </w:rPr>
              <w:t>S1 2025)</w:t>
            </w:r>
          </w:p>
        </w:tc>
        <w:tc>
          <w:tcPr>
            <w:tcW w:w="4678" w:type="dxa"/>
            <w:shd w:val="clear" w:color="auto" w:fill="auto"/>
          </w:tcPr>
          <w:p w14:paraId="3F137865" w14:textId="64D4EA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bCs/>
                <w:noProof/>
                <w:sz w:val="18"/>
                <w:szCs w:val="18"/>
              </w:rPr>
            </w:pPr>
            <w:r>
              <w:rPr>
                <w:noProof/>
                <w:sz w:val="18"/>
              </w:rPr>
              <w:t>Les spécialistes en titres publics de l’UE ont continué de soutenir la Commission, tandis que la rotation lors des syndications a permis à la Commission de faire appel à toutes les banques qui remplissent les conditions pour faire partie d’un syndicat.</w:t>
            </w:r>
          </w:p>
        </w:tc>
      </w:tr>
      <w:tr w:rsidR="003D7F4D" w:rsidRPr="001B3164" w14:paraId="59B1208E"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val="restart"/>
            <w:shd w:val="clear" w:color="auto" w:fill="auto"/>
          </w:tcPr>
          <w:p w14:paraId="0A472F10" w14:textId="77777777" w:rsidR="003D7F4D" w:rsidRPr="001B3164" w:rsidRDefault="003D7F4D" w:rsidP="00F63022">
            <w:pPr>
              <w:jc w:val="left"/>
              <w:rPr>
                <w:noProof/>
                <w:sz w:val="18"/>
                <w:szCs w:val="18"/>
              </w:rPr>
            </w:pPr>
            <w:r>
              <w:rPr>
                <w:noProof/>
                <w:color w:val="034EA2" w:themeColor="accent1"/>
                <w:sz w:val="18"/>
              </w:rPr>
              <w:t xml:space="preserve">Communication avec les différentes parties prenantes du marché et avec les émetteurs comparables </w:t>
            </w:r>
          </w:p>
        </w:tc>
        <w:tc>
          <w:tcPr>
            <w:tcW w:w="3264" w:type="dxa"/>
            <w:vMerge w:val="restart"/>
            <w:shd w:val="clear" w:color="auto" w:fill="auto"/>
          </w:tcPr>
          <w:p w14:paraId="67E538E0"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Maintien et renforcement d’un climat de confiance avec la base d’investisseurs, avec les acteurs du marché et avec les émetteurs comparables pour soutenir la demande de dette de l’UE et permettre à l’Union de mieux comprendre la dynamique du marché et les besoins des investisseurs.</w:t>
            </w:r>
          </w:p>
        </w:tc>
        <w:tc>
          <w:tcPr>
            <w:tcW w:w="2268" w:type="dxa"/>
            <w:shd w:val="clear" w:color="auto" w:fill="auto"/>
          </w:tcPr>
          <w:p w14:paraId="5FC3CED4" w14:textId="77777777" w:rsidR="003D7F4D" w:rsidRPr="001B3164" w:rsidRDefault="003D7F4D" w:rsidP="00F63022">
            <w:pPr>
              <w:pStyle w:val="ListParagraph"/>
              <w:numPr>
                <w:ilvl w:val="0"/>
                <w:numId w:val="26"/>
              </w:numPr>
              <w:spacing w:after="40"/>
              <w:ind w:left="226" w:hanging="113"/>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 xml:space="preserve">Écarts par rapport aux calendriers préalablement annoncés pour la publication des plans de financement </w:t>
            </w:r>
          </w:p>
        </w:tc>
        <w:tc>
          <w:tcPr>
            <w:tcW w:w="2551" w:type="dxa"/>
            <w:shd w:val="clear" w:color="auto" w:fill="auto"/>
          </w:tcPr>
          <w:p w14:paraId="75E2729B"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Aucun</w:t>
            </w:r>
          </w:p>
        </w:tc>
        <w:tc>
          <w:tcPr>
            <w:tcW w:w="4678" w:type="dxa"/>
            <w:vMerge w:val="restart"/>
            <w:shd w:val="clear" w:color="auto" w:fill="auto"/>
          </w:tcPr>
          <w:p w14:paraId="0B538B1D" w14:textId="77777777" w:rsidR="003D7F4D" w:rsidRPr="001B3164" w:rsidRDefault="003D7F4D" w:rsidP="00F63022">
            <w:pPr>
              <w:spacing w:after="120"/>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 xml:space="preserve">La Commission a entretenu une communication régulière et prévisible avec les marchés, conformément aux annonces précédentes. </w:t>
            </w:r>
          </w:p>
          <w:p w14:paraId="26851A04" w14:textId="51376E41" w:rsidR="007C46F4" w:rsidRDefault="007C46F4" w:rsidP="00F63022">
            <w:pPr>
              <w:spacing w:after="120"/>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Au cours du premier semestre de 2025, les dotations ont été réduites d’environ 3 milliards d’EUR, reflétant les conditions de financement lors des adjudications d’obligations et les besoins de financement finaux.</w:t>
            </w:r>
          </w:p>
          <w:p w14:paraId="407435CB" w14:textId="568DA79A" w:rsidR="003D7F4D" w:rsidRPr="001B3164" w:rsidRDefault="003D7F4D" w:rsidP="00F63022">
            <w:pPr>
              <w:spacing w:after="120"/>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La Commission a régulièrement publié des statistiques sur les investisseurs, et sa base d’investisseurs diversifiée a continué de croître.</w:t>
            </w:r>
          </w:p>
          <w:p w14:paraId="4540956C"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3D7F4D" w:rsidRPr="001B3164" w14:paraId="5781A0B5"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7B3ADCFF" w14:textId="77777777" w:rsidR="003D7F4D" w:rsidRPr="001B3164" w:rsidRDefault="003D7F4D" w:rsidP="00F63022">
            <w:pPr>
              <w:rPr>
                <w:noProof/>
                <w:color w:val="034EA2" w:themeColor="accent1"/>
                <w:sz w:val="18"/>
                <w:szCs w:val="18"/>
              </w:rPr>
            </w:pPr>
          </w:p>
        </w:tc>
        <w:tc>
          <w:tcPr>
            <w:tcW w:w="3264" w:type="dxa"/>
            <w:vMerge/>
          </w:tcPr>
          <w:p w14:paraId="1C3D14AE" w14:textId="77777777"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p>
        </w:tc>
        <w:tc>
          <w:tcPr>
            <w:tcW w:w="2268" w:type="dxa"/>
            <w:shd w:val="clear" w:color="auto" w:fill="auto"/>
          </w:tcPr>
          <w:p w14:paraId="6E4F1C5E" w14:textId="77777777" w:rsidR="003D7F4D" w:rsidRPr="001B3164" w:rsidRDefault="003D7F4D" w:rsidP="00F63022">
            <w:pPr>
              <w:pStyle w:val="ListParagraph"/>
              <w:numPr>
                <w:ilvl w:val="0"/>
                <w:numId w:val="26"/>
              </w:numPr>
              <w:spacing w:after="40"/>
              <w:ind w:left="226" w:hanging="113"/>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 xml:space="preserve">Écart par rapport aux volumes annoncés dans le plan de financement </w:t>
            </w:r>
          </w:p>
        </w:tc>
        <w:tc>
          <w:tcPr>
            <w:tcW w:w="2551" w:type="dxa"/>
            <w:shd w:val="clear" w:color="auto" w:fill="auto"/>
          </w:tcPr>
          <w:p w14:paraId="6C003516" w14:textId="6FF19CCA"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Environ 3 milliards d’EUR ou moins de 5 % (comparable au S1 2025).</w:t>
            </w:r>
          </w:p>
        </w:tc>
        <w:tc>
          <w:tcPr>
            <w:tcW w:w="4678" w:type="dxa"/>
            <w:vMerge/>
          </w:tcPr>
          <w:p w14:paraId="5F017F68"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6C0A349D"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22FF171F" w14:textId="77777777" w:rsidR="003D7F4D" w:rsidRPr="001B3164" w:rsidRDefault="003D7F4D" w:rsidP="00F63022">
            <w:pPr>
              <w:rPr>
                <w:noProof/>
                <w:color w:val="034EA2" w:themeColor="accent1"/>
                <w:sz w:val="18"/>
                <w:szCs w:val="18"/>
              </w:rPr>
            </w:pPr>
          </w:p>
        </w:tc>
        <w:tc>
          <w:tcPr>
            <w:tcW w:w="3264" w:type="dxa"/>
            <w:vMerge/>
          </w:tcPr>
          <w:p w14:paraId="2F26D229"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p>
        </w:tc>
        <w:tc>
          <w:tcPr>
            <w:tcW w:w="2268" w:type="dxa"/>
            <w:shd w:val="clear" w:color="auto" w:fill="auto"/>
          </w:tcPr>
          <w:p w14:paraId="7F5936D2" w14:textId="77777777" w:rsidR="003D7F4D" w:rsidRPr="001B3164" w:rsidRDefault="003D7F4D" w:rsidP="00F63022">
            <w:pPr>
              <w:pStyle w:val="ListParagraph"/>
              <w:numPr>
                <w:ilvl w:val="0"/>
                <w:numId w:val="26"/>
              </w:numPr>
              <w:spacing w:after="40"/>
              <w:ind w:left="226" w:hanging="113"/>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rPr>
            </w:pPr>
            <w:r>
              <w:rPr>
                <w:rFonts w:ascii="EC Square Sans Pro" w:hAnsi="EC Square Sans Pro"/>
                <w:i/>
                <w:noProof/>
                <w:sz w:val="18"/>
              </w:rPr>
              <w:t>Statistiques sur la répartition des investisseurs</w:t>
            </w:r>
          </w:p>
        </w:tc>
        <w:tc>
          <w:tcPr>
            <w:tcW w:w="2551" w:type="dxa"/>
            <w:shd w:val="clear" w:color="auto" w:fill="auto"/>
          </w:tcPr>
          <w:p w14:paraId="1C9924E1" w14:textId="77777777" w:rsidR="003D7F4D" w:rsidRPr="005C4B0C"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 xml:space="preserve">Par type: </w:t>
            </w:r>
          </w:p>
          <w:p w14:paraId="3A2898B1" w14:textId="27414B25" w:rsidR="003D7F4D" w:rsidRPr="005C4B0C"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 xml:space="preserve">banques centrales/institutions officielles 27 %, gestionnaires de fonds 24 %, trésors bancaires 36 %, compagnies d’assurances et fonds de pension 14 %, banques 7 %, fonds spéculatifs 2 % </w:t>
            </w:r>
          </w:p>
          <w:p w14:paraId="427686AF" w14:textId="024C2071"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rPr>
              <w:t>Par pays/région: Royaume-Uni 20 %, pays nordiques 13 %, France 8 %, Benelux 8 %, Italie 8 %, Asie-Pacifique 9 %, Allemagne 8 %, péninsule ibérique 9 %, autres pays de l’UE 6 %, autres pays d’Europe hors UE 3 %, Amériques 2 %, Moyen-Orient et Afrique 6 %</w:t>
            </w:r>
          </w:p>
        </w:tc>
        <w:tc>
          <w:tcPr>
            <w:tcW w:w="4678" w:type="dxa"/>
            <w:vMerge/>
          </w:tcPr>
          <w:p w14:paraId="5819ACE2"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bl>
    <w:p w14:paraId="5E91550F" w14:textId="17CEB200" w:rsidR="003D7F4D" w:rsidRPr="001B3164" w:rsidRDefault="00F63022" w:rsidP="005C5ED3">
      <w:pPr>
        <w:rPr>
          <w:b/>
          <w:bCs/>
          <w:noProof/>
          <w:color w:val="034EA2" w:themeColor="accent1"/>
        </w:rPr>
      </w:pPr>
      <w:r>
        <w:rPr>
          <w:noProof/>
        </w:rPr>
        <w:br w:type="textWrapping" w:clear="all"/>
      </w:r>
    </w:p>
    <w:sectPr w:rsidR="003D7F4D" w:rsidRPr="001B3164" w:rsidSect="00A046A3">
      <w:headerReference w:type="even" r:id="rId44"/>
      <w:headerReference w:type="default" r:id="rId45"/>
      <w:footerReference w:type="even" r:id="rId46"/>
      <w:footerReference w:type="default" r:id="rId47"/>
      <w:headerReference w:type="first" r:id="rId48"/>
      <w:footerReference w:type="first" r:id="rId49"/>
      <w:pgSz w:w="16839" w:h="11907" w:orient="landscape"/>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088C4" w14:textId="77777777" w:rsidR="00E85F36" w:rsidRDefault="00E85F36" w:rsidP="008B6253">
      <w:pPr>
        <w:spacing w:after="0"/>
      </w:pPr>
      <w:r>
        <w:separator/>
      </w:r>
    </w:p>
  </w:endnote>
  <w:endnote w:type="continuationSeparator" w:id="0">
    <w:p w14:paraId="7CB864AF" w14:textId="77777777" w:rsidR="00E85F36" w:rsidRDefault="00E85F36" w:rsidP="008B6253">
      <w:pPr>
        <w:spacing w:after="0"/>
      </w:pPr>
      <w:r>
        <w:continuationSeparator/>
      </w:r>
    </w:p>
  </w:endnote>
  <w:endnote w:type="continuationNotice" w:id="1">
    <w:p w14:paraId="7641340A" w14:textId="77777777" w:rsidR="00E85F36" w:rsidRDefault="00E85F3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C Square Sans Pro">
    <w:altName w:val="Calibri"/>
    <w:charset w:val="00"/>
    <w:family w:val="swiss"/>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unga">
    <w:panose1 w:val="00000400000000000000"/>
    <w:charset w:val="00"/>
    <w:family w:val="swiss"/>
    <w:pitch w:val="variable"/>
    <w:sig w:usb0="004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76917" w14:textId="31F796F5" w:rsidR="00AD2825" w:rsidRPr="00AD2825" w:rsidRDefault="00AD2825" w:rsidP="00AD2825">
    <w:pPr>
      <w:pStyle w:val="FooterCoverPage"/>
      <w:rPr>
        <w:rFonts w:ascii="Arial" w:hAnsi="Arial" w:cs="Arial"/>
        <w:b/>
        <w:sz w:val="48"/>
      </w:rPr>
    </w:pPr>
    <w:r w:rsidRPr="00AD2825">
      <w:rPr>
        <w:rFonts w:ascii="Arial" w:hAnsi="Arial" w:cs="Arial"/>
        <w:b/>
        <w:sz w:val="48"/>
      </w:rPr>
      <w:t>FR</w:t>
    </w:r>
    <w:r w:rsidRPr="00AD2825">
      <w:rPr>
        <w:rFonts w:ascii="Arial" w:hAnsi="Arial" w:cs="Arial"/>
        <w:b/>
        <w:sz w:val="48"/>
      </w:rPr>
      <w:tab/>
    </w:r>
    <w:r w:rsidRPr="00AD2825">
      <w:rPr>
        <w:rFonts w:ascii="Arial" w:hAnsi="Arial" w:cs="Arial"/>
        <w:b/>
        <w:sz w:val="48"/>
      </w:rPr>
      <w:tab/>
    </w:r>
    <w:r w:rsidRPr="00AD2825">
      <w:tab/>
    </w:r>
    <w:r w:rsidRPr="00AD282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CB609" w14:textId="04E7C998" w:rsidR="00AD2825" w:rsidRPr="00AD2825" w:rsidRDefault="00AD2825" w:rsidP="00AD2825">
    <w:pPr>
      <w:pStyle w:val="FooterCoverPage"/>
      <w:rPr>
        <w:rFonts w:ascii="Arial" w:hAnsi="Arial" w:cs="Arial"/>
        <w:b/>
        <w:sz w:val="48"/>
      </w:rPr>
    </w:pPr>
    <w:r w:rsidRPr="00AD2825">
      <w:rPr>
        <w:rFonts w:ascii="Arial" w:hAnsi="Arial" w:cs="Arial"/>
        <w:b/>
        <w:sz w:val="48"/>
      </w:rPr>
      <w:t>FR</w:t>
    </w:r>
    <w:r w:rsidRPr="00AD2825">
      <w:rPr>
        <w:rFonts w:ascii="Arial" w:hAnsi="Arial" w:cs="Arial"/>
        <w:b/>
        <w:sz w:val="48"/>
      </w:rPr>
      <w:tab/>
    </w:r>
    <w:r w:rsidRPr="00AD2825">
      <w:rPr>
        <w:rFonts w:ascii="Arial" w:hAnsi="Arial" w:cs="Arial"/>
        <w:b/>
        <w:sz w:val="48"/>
      </w:rPr>
      <w:tab/>
    </w:r>
    <w:r w:rsidRPr="00AD2825">
      <w:tab/>
    </w:r>
    <w:r w:rsidRPr="00AD282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94A1D" w14:textId="77777777" w:rsidR="00AD2825" w:rsidRPr="00AD2825" w:rsidRDefault="00AD2825" w:rsidP="00AD282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3F6B7" w14:textId="77777777" w:rsidR="001C2621" w:rsidRDefault="001C26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00572" w14:textId="77777777" w:rsidR="001C2621" w:rsidRPr="007352EE" w:rsidRDefault="001C2621" w:rsidP="00BD68A5">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648B6" w14:textId="77777777" w:rsidR="001C2621" w:rsidRDefault="001C262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9EF10" w14:textId="77777777" w:rsidR="001C2621" w:rsidRDefault="001C262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4095215"/>
      <w:docPartObj>
        <w:docPartGallery w:val="Page Numbers (Bottom of Page)"/>
        <w:docPartUnique/>
      </w:docPartObj>
    </w:sdtPr>
    <w:sdtEndPr>
      <w:rPr>
        <w:noProof/>
      </w:rPr>
    </w:sdtEndPr>
    <w:sdtContent>
      <w:p w14:paraId="07C6615E" w14:textId="4369EBE7" w:rsidR="001C2621" w:rsidRDefault="001C2621">
        <w:pPr>
          <w:pStyle w:val="Footer"/>
          <w:jc w:val="right"/>
        </w:pPr>
        <w:r>
          <w:fldChar w:fldCharType="begin"/>
        </w:r>
        <w:r>
          <w:instrText xml:space="preserve"> PAGE   \* MERGEFORMAT </w:instrText>
        </w:r>
        <w:r>
          <w:fldChar w:fldCharType="separate"/>
        </w:r>
        <w:r w:rsidR="00AD2825">
          <w:rPr>
            <w:noProof/>
          </w:rPr>
          <w:t>1</w:t>
        </w:r>
        <w:r>
          <w:fldChar w:fldCharType="end"/>
        </w:r>
      </w:p>
    </w:sdtContent>
  </w:sdt>
  <w:p w14:paraId="6091F71D" w14:textId="77777777" w:rsidR="001C2621" w:rsidRDefault="001C262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7F1F2" w14:textId="77777777" w:rsidR="001C2621" w:rsidRDefault="001C262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7978C" w14:textId="77777777" w:rsidR="001C2621" w:rsidRDefault="001C262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193D6" w14:textId="77777777" w:rsidR="001C2621" w:rsidRDefault="001C2621">
    <w:pPr>
      <w:pStyle w:val="Footer"/>
      <w:jc w:val="center"/>
      <w:rPr>
        <w:noProof/>
      </w:rPr>
    </w:pPr>
    <w:r>
      <w:fldChar w:fldCharType="begin"/>
    </w:r>
    <w:r>
      <w:instrText xml:space="preserve"> PAGE   \* MERGEFORMAT </w:instrText>
    </w:r>
    <w:r>
      <w:fldChar w:fldCharType="separate"/>
    </w:r>
    <w:r>
      <w:t>10</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98A3A" w14:textId="77777777" w:rsidR="001C2621" w:rsidRDefault="001C26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2BC94B" w14:textId="77777777" w:rsidR="00E85F36" w:rsidRDefault="00E85F36" w:rsidP="008B6253">
      <w:pPr>
        <w:spacing w:after="0"/>
      </w:pPr>
      <w:r>
        <w:separator/>
      </w:r>
    </w:p>
  </w:footnote>
  <w:footnote w:type="continuationSeparator" w:id="0">
    <w:p w14:paraId="41A6D6A7" w14:textId="77777777" w:rsidR="00E85F36" w:rsidRDefault="00E85F36" w:rsidP="008B6253">
      <w:pPr>
        <w:spacing w:after="0"/>
      </w:pPr>
      <w:r>
        <w:continuationSeparator/>
      </w:r>
    </w:p>
  </w:footnote>
  <w:footnote w:type="continuationNotice" w:id="1">
    <w:p w14:paraId="7A4105D5" w14:textId="77777777" w:rsidR="00E85F36" w:rsidRDefault="00E85F36">
      <w:pPr>
        <w:spacing w:after="0"/>
      </w:pPr>
    </w:p>
  </w:footnote>
  <w:footnote w:id="2">
    <w:p w14:paraId="2DBAFE82" w14:textId="2788A26D" w:rsidR="00EA6251" w:rsidRPr="000659B4" w:rsidRDefault="00EA6251" w:rsidP="00EA6251">
      <w:pPr>
        <w:pStyle w:val="FootnoteText"/>
        <w:ind w:left="0" w:firstLine="0"/>
      </w:pPr>
      <w:r>
        <w:rPr>
          <w:rStyle w:val="FootnoteReference"/>
        </w:rPr>
        <w:footnoteRef/>
      </w:r>
      <w:r>
        <w:t xml:space="preserve"> Sur la base de la méthode de répartition des coûts définie dans la décision d’exécution (UE, Euratom) 2024/1974 de la Commission.</w:t>
      </w:r>
    </w:p>
  </w:footnote>
  <w:footnote w:id="3">
    <w:p w14:paraId="5D8A9866" w14:textId="1C7E6621" w:rsidR="00F333BA" w:rsidRPr="001A5608" w:rsidRDefault="00F333BA" w:rsidP="00F333BA">
      <w:pPr>
        <w:pStyle w:val="FootnoteText"/>
      </w:pPr>
      <w:r>
        <w:rPr>
          <w:rStyle w:val="FootnoteReference"/>
        </w:rPr>
        <w:footnoteRef/>
      </w:r>
      <w:r>
        <w:rPr>
          <w:rStyle w:val="FootnoteReference"/>
        </w:rPr>
        <w:t xml:space="preserve"> </w:t>
      </w:r>
      <w:r>
        <w:t>Instrument européen de soutien temporaire à l’atténuation des risques de chômage en situation d’urgence (SURE).</w:t>
      </w:r>
    </w:p>
  </w:footnote>
  <w:footnote w:id="4">
    <w:p w14:paraId="29055CB2" w14:textId="3D3F695D" w:rsidR="00F333BA" w:rsidRPr="000659B4" w:rsidRDefault="00F333BA" w:rsidP="00F333BA">
      <w:pPr>
        <w:pStyle w:val="FootnoteText"/>
        <w:ind w:left="0" w:firstLine="0"/>
      </w:pPr>
      <w:r>
        <w:rPr>
          <w:rStyle w:val="FootnoteReference"/>
        </w:rPr>
        <w:footnoteRef/>
      </w:r>
      <w:r>
        <w:t>Rédigé conformément à l’article 13 de la décision d’exécution C(2023)8010 de la Commission établissant les modalités de la mise en œuvre de l’approche unifiée en matière de financement pour les opérations d’emprunt et de gestion de la dette.</w:t>
      </w:r>
    </w:p>
  </w:footnote>
  <w:footnote w:id="5">
    <w:p w14:paraId="4DC1D1C2" w14:textId="59A51545" w:rsidR="00F333BA" w:rsidRPr="000659B4" w:rsidRDefault="00F333BA" w:rsidP="00F333BA">
      <w:pPr>
        <w:pStyle w:val="FootnoteText"/>
        <w:ind w:left="0" w:firstLine="0"/>
      </w:pPr>
      <w:r>
        <w:rPr>
          <w:rStyle w:val="FootnoteReference"/>
        </w:rPr>
        <w:footnoteRef/>
      </w:r>
      <w:r>
        <w:t xml:space="preserve">Voir, par exemple, les rapports annuels relatifs à </w:t>
      </w:r>
      <w:hyperlink r:id="rId1" w:history="1">
        <w:r>
          <w:rPr>
            <w:rStyle w:val="Hyperlink"/>
          </w:rPr>
          <w:t>la facilité pour la reprise et la résilience</w:t>
        </w:r>
      </w:hyperlink>
      <w:r>
        <w:t xml:space="preserve"> et à </w:t>
      </w:r>
      <w:hyperlink r:id="rId2" w:history="1">
        <w:r>
          <w:rPr>
            <w:rStyle w:val="Hyperlink"/>
          </w:rPr>
          <w:t>l’assistance macrofinancière</w:t>
        </w:r>
      </w:hyperlink>
      <w:r>
        <w:t xml:space="preserve"> ainsi que le </w:t>
      </w:r>
      <w:hyperlink r:id="rId3">
        <w:r>
          <w:rPr>
            <w:rStyle w:val="Hyperlink"/>
          </w:rPr>
          <w:t>rapport d’impact et d’affectation des obligations vertes NextGenerationEU</w:t>
        </w:r>
      </w:hyperlink>
      <w:r>
        <w:t xml:space="preserve">. </w:t>
      </w:r>
    </w:p>
  </w:footnote>
  <w:footnote w:id="6">
    <w:p w14:paraId="1F98E90E" w14:textId="77777777" w:rsidR="00F333BA" w:rsidRPr="000659B4" w:rsidRDefault="00F333BA" w:rsidP="00F333BA">
      <w:pPr>
        <w:pStyle w:val="FootnoteText"/>
      </w:pPr>
      <w:r>
        <w:rPr>
          <w:rStyle w:val="FootnoteReference"/>
        </w:rPr>
        <w:footnoteRef/>
      </w:r>
      <w:hyperlink r:id="rId4" w:history="1">
        <w:r>
          <w:rPr>
            <w:rStyle w:val="Hyperlink"/>
          </w:rPr>
          <w:t>Rapport spécial nº 16/2023:</w:t>
        </w:r>
      </w:hyperlink>
      <w:hyperlink r:id="rId5" w:history="1">
        <w:r>
          <w:rPr>
            <w:rStyle w:val="Hyperlink"/>
          </w:rPr>
          <w:t>La Commission et la gestion de la dette liée à NextGenerationEU</w:t>
        </w:r>
      </w:hyperlink>
      <w:r>
        <w:t xml:space="preserve"> et </w:t>
      </w:r>
      <w:hyperlink r:id="rId6" w:history="1">
        <w:r>
          <w:rPr>
            <w:rStyle w:val="Hyperlink"/>
          </w:rPr>
          <w:t>réponses de la Commission</w:t>
        </w:r>
      </w:hyperlink>
      <w:r>
        <w:t>.</w:t>
      </w:r>
    </w:p>
  </w:footnote>
  <w:footnote w:id="7">
    <w:p w14:paraId="24C6594E" w14:textId="20AD1C35" w:rsidR="00F454FE" w:rsidRPr="00B551F9" w:rsidRDefault="00F454FE" w:rsidP="00F454FE">
      <w:pPr>
        <w:pStyle w:val="FootnoteText"/>
        <w:ind w:left="0" w:firstLine="0"/>
      </w:pPr>
      <w:r>
        <w:rPr>
          <w:rStyle w:val="FootnoteReference"/>
        </w:rPr>
        <w:footnoteRef/>
      </w:r>
      <w:r>
        <w:t xml:space="preserve">La stratégie globale de gestion de la dette est décrite dans le </w:t>
      </w:r>
      <w:hyperlink r:id="rId7" w:history="1">
        <w:r>
          <w:rPr>
            <w:rStyle w:val="Hyperlink"/>
          </w:rPr>
          <w:t>rapport semestriel sur l’exécution des opérations d’emprunt et de prêt de l’UE du 1</w:t>
        </w:r>
        <w:r>
          <w:rPr>
            <w:rStyle w:val="Hyperlink"/>
            <w:vertAlign w:val="superscript"/>
          </w:rPr>
          <w:t>er</w:t>
        </w:r>
        <w:r>
          <w:rPr>
            <w:rStyle w:val="Hyperlink"/>
          </w:rPr>
          <w:t> janvier 2023 au 30 juin 2023</w:t>
        </w:r>
      </w:hyperlink>
      <w:r>
        <w:t>.</w:t>
      </w:r>
    </w:p>
  </w:footnote>
  <w:footnote w:id="8">
    <w:p w14:paraId="48316EF0" w14:textId="298140FE" w:rsidR="00F333BA" w:rsidRPr="00B551F9" w:rsidRDefault="00F333BA" w:rsidP="00F333BA">
      <w:pPr>
        <w:pStyle w:val="FootnoteText"/>
        <w:ind w:left="0" w:firstLine="0"/>
      </w:pPr>
      <w:r>
        <w:rPr>
          <w:rStyle w:val="FootnoteReference"/>
        </w:rPr>
        <w:footnoteRef/>
      </w:r>
      <w:r>
        <w:t xml:space="preserve"> Pour tous les programmes antérieurs à NextGenerationEU, la Commission a eu recours à une approche de financement «back-to-back», en émettant des obligations et en transférant le produit directement aux pays bénéficiaires aux mêmes conditions que celles dont elle bénéficiait (mêmes taux d’intérêt et échéance). Lorsque la Commission a mis en place NextGenerationEU en 2021, elle a adopté une stratégie de financement diversifiée du même type que celle qu’utilisaient les plus grands émetteurs souverains de la zone euro, en utilisant différents instruments de financement (obligations de l’UE et titres de créance à court terme de l’UE) et techniques de financement (syndications et adjudications) pour les besoins de financement à long terme et à court terme. En décembre 2022, le Parlement et le Conseil ont modifié l’article 220 bis du règlement financier afin de permettre à la Commission d’élargir la stratégie de financement diversifiée à d’autres programmes d’emprunt de l’Union, créant une approche unifiée en matière de financement pour tous les programmes d’emprunt et de prêt de l’Union au titre de laquelle l’Union émet des obligations sous l’appellation unique d’«obligations de l’UE», et non plus sous des appellations différentes correspondant à différents programmes tels que NextGenerationEU, SURE et AMF.</w:t>
      </w:r>
    </w:p>
  </w:footnote>
  <w:footnote w:id="9">
    <w:p w14:paraId="08E23A61" w14:textId="6BB2F06A" w:rsidR="00DB0562" w:rsidRPr="000659B4" w:rsidRDefault="00DB0562" w:rsidP="00DB0562">
      <w:pPr>
        <w:pStyle w:val="FootnoteText"/>
        <w:ind w:left="0" w:firstLine="0"/>
      </w:pPr>
      <w:r>
        <w:rPr>
          <w:rStyle w:val="FootnoteReference"/>
        </w:rPr>
        <w:footnoteRef/>
      </w:r>
      <w:r>
        <w:t xml:space="preserve"> À l’instar des semestres précédents, l’écart par rapport à l’objectif du plan de financement (70 milliards d’EUR au S2 2025) reflète la sous-allocation par la Commission des montants finaux levés lors des adjudications d’obligations afin d’obtenir les conditions de financement les plus avantageuses pour ces opérations, compte tenu des offres existantes.</w:t>
      </w:r>
    </w:p>
  </w:footnote>
  <w:footnote w:id="10">
    <w:p w14:paraId="7C4D8CC2" w14:textId="77777777" w:rsidR="005C414E" w:rsidRPr="00877CA0" w:rsidRDefault="005C414E" w:rsidP="005C414E">
      <w:pPr>
        <w:pStyle w:val="FootnoteText"/>
        <w:ind w:left="113" w:hanging="113"/>
      </w:pPr>
      <w:r>
        <w:rPr>
          <w:rStyle w:val="FootnoteReference"/>
        </w:rPr>
        <w:footnoteRef/>
      </w:r>
      <w:r>
        <w:t>Ceux-ci comprennent la plateforme «Technologies stratégiques pour l’Europe» (STEP), Horizon Europe, le Fonds InvestEU, ReactEU, le mécanisme de protection civile de l’Union (rescEU), le Fonds européen agricole pour le développement rural (Feader) et le Fonds pour une transition juste.</w:t>
      </w:r>
    </w:p>
  </w:footnote>
  <w:footnote w:id="11">
    <w:p w14:paraId="461DFC51" w14:textId="7CFC615B" w:rsidR="005C414E" w:rsidRPr="00C44E47" w:rsidRDefault="005C414E" w:rsidP="005C414E">
      <w:pPr>
        <w:pStyle w:val="FootnoteText"/>
        <w:ind w:left="113" w:hanging="113"/>
      </w:pPr>
      <w:r>
        <w:rPr>
          <w:rStyle w:val="FootnoteReference"/>
        </w:rPr>
        <w:footnoteRef/>
      </w:r>
      <w:r>
        <w:t xml:space="preserve"> </w:t>
      </w:r>
      <w:bookmarkStart w:id="44" w:name="_Hlk201307211"/>
      <w:bookmarkStart w:id="45" w:name="_Hlk219531684"/>
      <w:r>
        <w:t>Depuis mi-2021, la Commission a décaissé 469,3 milliards d’EUR en faveur de NextGenerationEU, comprenant 237,5 milliards d’EUR sous forme de subventions, 155,9 milliards d’EUR sous forme de prêts aux États membres au titre de la FRR et 75,8 milliards d’EUR pour les programmes NextGenerationEU gérés par l’UE. Sur ce total de 469,3 milliards d’EUR de soutien à NextGenerationEU, 452,8 milliards d’EUR ont été financés par l’émission de titres de créance.</w:t>
      </w:r>
      <w:bookmarkEnd w:id="44"/>
      <w:r>
        <w:t xml:space="preserve"> Un montant de 16,4 milliards d’EUR supplémentaires de dépenses au titre de NextGenerationEU a été financé par d’autres sources [à savoir le système d’échange de quotas d’émissions (SEQE) et la réserve d’ajustement au Brexit].</w:t>
      </w:r>
      <w:bookmarkEnd w:id="45"/>
    </w:p>
  </w:footnote>
  <w:footnote w:id="12">
    <w:p w14:paraId="5C6F9176" w14:textId="279E48E6" w:rsidR="001C2621" w:rsidRPr="006839E6" w:rsidRDefault="001C2621" w:rsidP="006839E6">
      <w:pPr>
        <w:pStyle w:val="FootnoteText"/>
        <w:ind w:left="113" w:hanging="113"/>
      </w:pPr>
      <w:r>
        <w:rPr>
          <w:rStyle w:val="FootnoteReference"/>
        </w:rPr>
        <w:footnoteRef/>
      </w:r>
      <w:r>
        <w:t xml:space="preserve"> Cette PNI est une prime que l’émetteur paie pour persuader les investisseurs d’acheter ses obligations sur le marché primaire plutôt que sur le marché secondaire. </w:t>
      </w:r>
    </w:p>
  </w:footnote>
  <w:footnote w:id="13">
    <w:p w14:paraId="3F2C43CB" w14:textId="3A6A20BF" w:rsidR="009E499F" w:rsidRPr="00C83356" w:rsidRDefault="009E499F" w:rsidP="009E499F">
      <w:pPr>
        <w:pStyle w:val="FootnoteText"/>
        <w:ind w:left="113" w:hanging="113"/>
      </w:pPr>
      <w:r>
        <w:rPr>
          <w:rStyle w:val="FootnoteReference"/>
        </w:rPr>
        <w:footnoteRef/>
      </w:r>
      <w:r>
        <w:rPr>
          <w:rStyle w:val="FootnoteReference"/>
        </w:rPr>
        <w:t xml:space="preserve"> </w:t>
      </w:r>
      <w:r>
        <w:t>Au titre de NextGenerationEU, le coût des intérêts supportés est réparti entre le budget de l’UE et les États membres bénéficiaires de prêts, conformément à la méthode définie dans la décision d’exécution (UE) 2021/1095 de la Commission et dans la décision d’exécution (UE) 2022/9701 et la décision d’exécution (UE) 2024/1974 de la Commission qui lui ont succédé. Cette méthode distingue trois catégories de coûts différentes: i) le coût du financement du soutien non remboursable et le coût des décaissements de prêts calculés pour des compartiments temporels de six mois; ii) le coût de la détention et de la gestion des liquidités; iii) les coûts administratifs. Un cloisonnement par programme est possible depuis l’entrée en vigueur de la décision d’exécution (UE, Euratom) 2024/1974 de la Commission au cours du second semestre de 2024. Afin d’éviter tout effet rétroactif, les programmes qui ont bénéficié d’un financement et d’un décaissement avant la mise en œuvre de cette méthode (tels que les prêts AMF+ pour l’Ukraine et le financement relais exceptionnel au titre de la facilité pour l’Ukraine) restent groupés avec des opérations d’emprunt et de prêt au titre de NextGenerationEU dans le cadre de l’approche unifiée en matière de financement.</w:t>
      </w:r>
    </w:p>
  </w:footnote>
  <w:footnote w:id="14">
    <w:p w14:paraId="20319A1D" w14:textId="7B775287" w:rsidR="00711BBE" w:rsidRPr="00C83356" w:rsidRDefault="00711BBE" w:rsidP="00711BBE">
      <w:pPr>
        <w:pStyle w:val="FootnoteText"/>
        <w:ind w:left="113" w:hanging="113"/>
      </w:pPr>
      <w:r>
        <w:rPr>
          <w:rStyle w:val="FootnoteReference"/>
        </w:rPr>
        <w:footnoteRef/>
      </w:r>
      <w:r>
        <w:rPr>
          <w:rStyle w:val="FootnoteReference"/>
        </w:rPr>
        <w:t xml:space="preserve"> </w:t>
      </w:r>
      <w:r>
        <w:t>Par exemple, NextGenerationEU a actuellement une échéance moyenne de financement plus longue que d’autres programmes, en raison de la structure du plafond temporaire spécifique des «ressources propres» qui couvre le profil de remboursement de ce programme. Les obligations émises pour financer les subventions NextGenerationEU ont généralement une échéance plus longue afin de permettre la répartition dans le temps des actifs budgétaires qui seront utilisés pour rembourser les subventions NextGenerationEU.</w:t>
      </w:r>
    </w:p>
  </w:footnote>
  <w:footnote w:id="15">
    <w:p w14:paraId="29F21C6F" w14:textId="74554810" w:rsidR="00711BBE" w:rsidRPr="00C83356" w:rsidRDefault="00711BBE" w:rsidP="00711BBE">
      <w:pPr>
        <w:pStyle w:val="FootnoteText"/>
        <w:ind w:left="113" w:hanging="113"/>
      </w:pPr>
      <w:r>
        <w:rPr>
          <w:rStyle w:val="FootnoteReference"/>
        </w:rPr>
        <w:footnoteRef/>
      </w:r>
      <w:r>
        <w:rPr>
          <w:rStyle w:val="FootnoteReference"/>
        </w:rPr>
        <w:t xml:space="preserve"> </w:t>
      </w:r>
      <w:bookmarkStart w:id="95" w:name="_Hlk207365722"/>
      <w:r>
        <w:t>Certains investissements à court terme arriveront à maturité au cours du premier semestre de 2026. Conformément aux normes applicables, le montant d’environ 295 millions d’EUR ne tient pas compte du produit de ces participations, mais inclut les bénéfices investis au premier semestre de 2025 qui sont arrivés à échéance au second semestre de 2025. Selon la méthode de la comptabilité d’exercice, le coût net de la gestion des liquidités pour le second semestre de 2025 est estimé à environ 385 millions d’EUR.</w:t>
      </w:r>
      <w:bookmarkEnd w:id="95"/>
    </w:p>
  </w:footnote>
  <w:footnote w:id="16">
    <w:p w14:paraId="2ACA4746" w14:textId="6830C534" w:rsidR="00991E57" w:rsidRPr="00FB5B3D" w:rsidRDefault="00991E57" w:rsidP="00FB5B3D">
      <w:pPr>
        <w:pStyle w:val="FootnoteText"/>
      </w:pPr>
      <w:r>
        <w:rPr>
          <w:rStyle w:val="FootnoteReference"/>
        </w:rPr>
        <w:footnoteRef/>
      </w:r>
      <w:r>
        <w:t>Nomenclature statistique des activités économiques en Europe.</w:t>
      </w:r>
    </w:p>
  </w:footnote>
  <w:footnote w:id="17">
    <w:p w14:paraId="4887E03D" w14:textId="4E756363" w:rsidR="002C41B5" w:rsidRPr="002C41B5" w:rsidRDefault="002C41B5" w:rsidP="002C41B5">
      <w:pPr>
        <w:pStyle w:val="FootnoteText"/>
      </w:pPr>
      <w:r>
        <w:rPr>
          <w:rStyle w:val="FootnoteReference"/>
        </w:rPr>
        <w:footnoteRef/>
      </w:r>
      <w:r>
        <w:t xml:space="preserve"> La Commission fournit également des mises à jour régulières au moyen du</w:t>
      </w:r>
      <w:r>
        <w:rPr>
          <w:rFonts w:ascii="Calibri" w:hAnsi="Calibri"/>
        </w:rPr>
        <w:t xml:space="preserve"> </w:t>
      </w:r>
      <w:hyperlink r:id="rId8" w:tgtFrame="_blank" w:history="1">
        <w:r>
          <w:rPr>
            <w:rStyle w:val="Hyperlink"/>
          </w:rPr>
          <w:t>tableau de bord en ligne des obligations vertes NGEU</w:t>
        </w:r>
      </w:hyperlink>
      <w:r>
        <w:t>.</w:t>
      </w:r>
    </w:p>
  </w:footnote>
  <w:footnote w:id="18">
    <w:p w14:paraId="71D9BBFB" w14:textId="66A28D88" w:rsidR="003D7F4D" w:rsidRPr="00FA1F7E" w:rsidRDefault="003D7F4D" w:rsidP="003D7F4D">
      <w:pPr>
        <w:pStyle w:val="FootnoteText"/>
        <w:rPr>
          <w:sz w:val="18"/>
          <w:szCs w:val="18"/>
        </w:rPr>
      </w:pPr>
      <w:r>
        <w:rPr>
          <w:rStyle w:val="FootnoteReference"/>
          <w:sz w:val="18"/>
          <w:szCs w:val="18"/>
        </w:rPr>
        <w:footnoteRef/>
      </w:r>
      <w:r>
        <w:rPr>
          <w:sz w:val="18"/>
        </w:rPr>
        <w:t xml:space="preserve">Informations supplémentaires sur les obligations vertes NextGenerationEU: </w:t>
      </w:r>
      <w:hyperlink r:id="rId9" w:history="1">
        <w:r>
          <w:rPr>
            <w:rStyle w:val="Hyperlink"/>
            <w:sz w:val="18"/>
          </w:rPr>
          <w:t>tableau de bord des obligations vertes NGEU</w:t>
        </w:r>
      </w:hyperlink>
    </w:p>
  </w:footnote>
  <w:footnote w:id="19">
    <w:p w14:paraId="490D73F6" w14:textId="675DB444" w:rsidR="003D7F4D" w:rsidRPr="00FA1F7E" w:rsidRDefault="003D7F4D" w:rsidP="003D7F4D">
      <w:pPr>
        <w:spacing w:after="0"/>
        <w:rPr>
          <w:sz w:val="18"/>
          <w:szCs w:val="18"/>
        </w:rPr>
      </w:pPr>
      <w:r>
        <w:rPr>
          <w:rStyle w:val="FootnoteReference"/>
          <w:sz w:val="18"/>
          <w:szCs w:val="18"/>
        </w:rPr>
        <w:footnoteRef/>
      </w:r>
      <w:r>
        <w:rPr>
          <w:sz w:val="18"/>
        </w:rPr>
        <w:t xml:space="preserve"> Sur la base du nombre moyen de mois entre la nouvelle émission et le premier abondement en considérant les nouvelles lignes abondées au cours du S1 2025.</w:t>
      </w:r>
    </w:p>
    <w:p w14:paraId="24266DE0" w14:textId="77777777" w:rsidR="003D7F4D" w:rsidRPr="00391716" w:rsidRDefault="003D7F4D" w:rsidP="003D7F4D">
      <w:pPr>
        <w:pStyle w:val="FootnoteText"/>
        <w:ind w:left="0" w:firstLine="0"/>
        <w:rPr>
          <w:sz w:val="18"/>
          <w:szCs w:val="18"/>
        </w:rPr>
      </w:pPr>
    </w:p>
  </w:footnote>
  <w:footnote w:id="20">
    <w:p w14:paraId="7151E51E" w14:textId="75DD6FAE" w:rsidR="003D7F4D" w:rsidRPr="0002172B" w:rsidRDefault="003D7F4D" w:rsidP="003D7F4D">
      <w:pPr>
        <w:pStyle w:val="FootnoteText"/>
      </w:pPr>
      <w:r>
        <w:rPr>
          <w:rStyle w:val="FootnoteReference"/>
          <w:sz w:val="18"/>
          <w:szCs w:val="18"/>
        </w:rPr>
        <w:footnoteRef/>
      </w:r>
      <w:r>
        <w:rPr>
          <w:sz w:val="18"/>
        </w:rPr>
        <w:t>Encours des obligations par rapport au nombre d’obligations à la fin du S2 2024, sur la base des obligations émises dans le cadre de la stratégie de financement diversifiée.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3558E" w14:textId="77777777" w:rsidR="00AD2825" w:rsidRPr="00AD2825" w:rsidRDefault="00AD2825" w:rsidP="00AD282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33724" w14:textId="77777777" w:rsidR="00AD2825" w:rsidRPr="00AD2825" w:rsidRDefault="00AD2825" w:rsidP="00AD282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57E7B" w14:textId="77777777" w:rsidR="00AD2825" w:rsidRPr="00AD2825" w:rsidRDefault="00AD2825" w:rsidP="00AD282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8782F" w14:textId="77777777" w:rsidR="001C2621" w:rsidRDefault="001C26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BF0B2" w14:textId="77777777" w:rsidR="001C2621" w:rsidRDefault="001C262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53ECF" w14:textId="77777777" w:rsidR="001C2621" w:rsidRDefault="001C262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F893" w14:textId="77777777" w:rsidR="001C2621" w:rsidRDefault="001C262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0380C" w14:textId="77777777" w:rsidR="001C2621" w:rsidRPr="00657B16" w:rsidRDefault="001C2621" w:rsidP="008927F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04121" w14:textId="77777777" w:rsidR="001C2621" w:rsidRDefault="001C262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04DE7" w14:textId="77777777" w:rsidR="001C2621" w:rsidRDefault="001C262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14E1E" w14:textId="77777777" w:rsidR="001C2621" w:rsidRDefault="001C262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0D3D0" w14:textId="77777777" w:rsidR="001C2621" w:rsidRDefault="001C26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67285"/>
    <w:multiLevelType w:val="hybridMultilevel"/>
    <w:tmpl w:val="03C0452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161A4A"/>
    <w:multiLevelType w:val="hybridMultilevel"/>
    <w:tmpl w:val="9D847452"/>
    <w:lvl w:ilvl="0" w:tplc="0D9A2F4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BB670D"/>
    <w:multiLevelType w:val="hybridMultilevel"/>
    <w:tmpl w:val="7C3C86A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FF15449"/>
    <w:multiLevelType w:val="hybridMultilevel"/>
    <w:tmpl w:val="680CEC7A"/>
    <w:lvl w:ilvl="0" w:tplc="4DC4E9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194ED2"/>
    <w:multiLevelType w:val="hybridMultilevel"/>
    <w:tmpl w:val="2B06D7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555A0B"/>
    <w:multiLevelType w:val="hybridMultilevel"/>
    <w:tmpl w:val="04DCAB7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366335"/>
    <w:multiLevelType w:val="hybridMultilevel"/>
    <w:tmpl w:val="505C6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A7E7CA7"/>
    <w:multiLevelType w:val="hybridMultilevel"/>
    <w:tmpl w:val="DC8443FA"/>
    <w:lvl w:ilvl="0" w:tplc="36305444">
      <w:start w:val="1"/>
      <w:numFmt w:val="bullet"/>
      <w:lvlText w:val="-"/>
      <w:lvlJc w:val="left"/>
      <w:pPr>
        <w:ind w:left="720" w:hanging="360"/>
      </w:pPr>
      <w:rPr>
        <w:rFonts w:ascii="EC Square Sans Pro" w:eastAsia="Times New Roman" w:hAnsi="EC Square Sans Pro" w:cs="Times New Roman" w:hint="default"/>
        <w:b/>
        <w:bCs/>
        <w:color w:val="70AD47"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0F05598"/>
    <w:multiLevelType w:val="hybridMultilevel"/>
    <w:tmpl w:val="2C30747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3D43C7C"/>
    <w:multiLevelType w:val="hybridMultilevel"/>
    <w:tmpl w:val="58C04AA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5614371"/>
    <w:multiLevelType w:val="hybridMultilevel"/>
    <w:tmpl w:val="7C3C86A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AA71202"/>
    <w:multiLevelType w:val="hybridMultilevel"/>
    <w:tmpl w:val="28CCA644"/>
    <w:lvl w:ilvl="0" w:tplc="111E0DF2">
      <w:start w:val="1"/>
      <w:numFmt w:val="bullet"/>
      <w:lvlText w:val=""/>
      <w:lvlJc w:val="left"/>
      <w:pPr>
        <w:ind w:left="720" w:hanging="360"/>
      </w:pPr>
      <w:rPr>
        <w:rFonts w:ascii="Symbol" w:hAnsi="Symbol" w:hint="default"/>
        <w:color w:val="034EA2"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1084BB5"/>
    <w:multiLevelType w:val="hybridMultilevel"/>
    <w:tmpl w:val="DFC08A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1751D3"/>
    <w:multiLevelType w:val="hybridMultilevel"/>
    <w:tmpl w:val="2CA2CE64"/>
    <w:lvl w:ilvl="0" w:tplc="6ECAA736">
      <w:start w:val="1"/>
      <w:numFmt w:val="lowerRoman"/>
      <w:lvlText w:val="%1."/>
      <w:lvlJc w:val="right"/>
      <w:pPr>
        <w:ind w:left="720" w:hanging="360"/>
      </w:pPr>
      <w:rPr>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5E24E98"/>
    <w:multiLevelType w:val="hybridMultilevel"/>
    <w:tmpl w:val="E37CC0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727F54"/>
    <w:multiLevelType w:val="hybridMultilevel"/>
    <w:tmpl w:val="010A5B40"/>
    <w:lvl w:ilvl="0" w:tplc="42947A9C">
      <w:start w:val="1"/>
      <w:numFmt w:val="bullet"/>
      <w:lvlText w:val="•"/>
      <w:lvlJc w:val="left"/>
      <w:pPr>
        <w:tabs>
          <w:tab w:val="num" w:pos="720"/>
        </w:tabs>
        <w:ind w:left="720" w:hanging="360"/>
      </w:pPr>
      <w:rPr>
        <w:rFonts w:ascii="Arial" w:hAnsi="Arial" w:hint="default"/>
      </w:rPr>
    </w:lvl>
    <w:lvl w:ilvl="1" w:tplc="215AC05A" w:tentative="1">
      <w:start w:val="1"/>
      <w:numFmt w:val="bullet"/>
      <w:lvlText w:val="•"/>
      <w:lvlJc w:val="left"/>
      <w:pPr>
        <w:tabs>
          <w:tab w:val="num" w:pos="1440"/>
        </w:tabs>
        <w:ind w:left="1440" w:hanging="360"/>
      </w:pPr>
      <w:rPr>
        <w:rFonts w:ascii="Arial" w:hAnsi="Arial" w:hint="default"/>
      </w:rPr>
    </w:lvl>
    <w:lvl w:ilvl="2" w:tplc="ADD695E0" w:tentative="1">
      <w:start w:val="1"/>
      <w:numFmt w:val="bullet"/>
      <w:lvlText w:val="•"/>
      <w:lvlJc w:val="left"/>
      <w:pPr>
        <w:tabs>
          <w:tab w:val="num" w:pos="2160"/>
        </w:tabs>
        <w:ind w:left="2160" w:hanging="360"/>
      </w:pPr>
      <w:rPr>
        <w:rFonts w:ascii="Arial" w:hAnsi="Arial" w:hint="default"/>
      </w:rPr>
    </w:lvl>
    <w:lvl w:ilvl="3" w:tplc="529CBC18" w:tentative="1">
      <w:start w:val="1"/>
      <w:numFmt w:val="bullet"/>
      <w:lvlText w:val="•"/>
      <w:lvlJc w:val="left"/>
      <w:pPr>
        <w:tabs>
          <w:tab w:val="num" w:pos="2880"/>
        </w:tabs>
        <w:ind w:left="2880" w:hanging="360"/>
      </w:pPr>
      <w:rPr>
        <w:rFonts w:ascii="Arial" w:hAnsi="Arial" w:hint="default"/>
      </w:rPr>
    </w:lvl>
    <w:lvl w:ilvl="4" w:tplc="87264A7C" w:tentative="1">
      <w:start w:val="1"/>
      <w:numFmt w:val="bullet"/>
      <w:lvlText w:val="•"/>
      <w:lvlJc w:val="left"/>
      <w:pPr>
        <w:tabs>
          <w:tab w:val="num" w:pos="3600"/>
        </w:tabs>
        <w:ind w:left="3600" w:hanging="360"/>
      </w:pPr>
      <w:rPr>
        <w:rFonts w:ascii="Arial" w:hAnsi="Arial" w:hint="default"/>
      </w:rPr>
    </w:lvl>
    <w:lvl w:ilvl="5" w:tplc="0C662316" w:tentative="1">
      <w:start w:val="1"/>
      <w:numFmt w:val="bullet"/>
      <w:lvlText w:val="•"/>
      <w:lvlJc w:val="left"/>
      <w:pPr>
        <w:tabs>
          <w:tab w:val="num" w:pos="4320"/>
        </w:tabs>
        <w:ind w:left="4320" w:hanging="360"/>
      </w:pPr>
      <w:rPr>
        <w:rFonts w:ascii="Arial" w:hAnsi="Arial" w:hint="default"/>
      </w:rPr>
    </w:lvl>
    <w:lvl w:ilvl="6" w:tplc="6BB69D36" w:tentative="1">
      <w:start w:val="1"/>
      <w:numFmt w:val="bullet"/>
      <w:lvlText w:val="•"/>
      <w:lvlJc w:val="left"/>
      <w:pPr>
        <w:tabs>
          <w:tab w:val="num" w:pos="5040"/>
        </w:tabs>
        <w:ind w:left="5040" w:hanging="360"/>
      </w:pPr>
      <w:rPr>
        <w:rFonts w:ascii="Arial" w:hAnsi="Arial" w:hint="default"/>
      </w:rPr>
    </w:lvl>
    <w:lvl w:ilvl="7" w:tplc="AF4A540C" w:tentative="1">
      <w:start w:val="1"/>
      <w:numFmt w:val="bullet"/>
      <w:lvlText w:val="•"/>
      <w:lvlJc w:val="left"/>
      <w:pPr>
        <w:tabs>
          <w:tab w:val="num" w:pos="5760"/>
        </w:tabs>
        <w:ind w:left="5760" w:hanging="360"/>
      </w:pPr>
      <w:rPr>
        <w:rFonts w:ascii="Arial" w:hAnsi="Arial" w:hint="default"/>
      </w:rPr>
    </w:lvl>
    <w:lvl w:ilvl="8" w:tplc="CAF8005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A120080"/>
    <w:multiLevelType w:val="hybridMultilevel"/>
    <w:tmpl w:val="9D4E4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E473A4"/>
    <w:multiLevelType w:val="hybridMultilevel"/>
    <w:tmpl w:val="6D3E5978"/>
    <w:lvl w:ilvl="0" w:tplc="CDBC193C">
      <w:start w:val="1"/>
      <w:numFmt w:val="bullet"/>
      <w:lvlText w:val=""/>
      <w:lvlJc w:val="left"/>
      <w:pPr>
        <w:ind w:left="360" w:hanging="360"/>
      </w:pPr>
      <w:rPr>
        <w:rFonts w:ascii="Symbol" w:hAnsi="Symbol" w:hint="default"/>
        <w:color w:val="034EA2"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0C62327"/>
    <w:multiLevelType w:val="hybridMultilevel"/>
    <w:tmpl w:val="7E726144"/>
    <w:lvl w:ilvl="0" w:tplc="F1D08040">
      <w:start w:val="1"/>
      <w:numFmt w:val="bullet"/>
      <w:lvlText w:val="•"/>
      <w:lvlJc w:val="left"/>
      <w:pPr>
        <w:tabs>
          <w:tab w:val="num" w:pos="720"/>
        </w:tabs>
        <w:ind w:left="720" w:hanging="360"/>
      </w:pPr>
      <w:rPr>
        <w:rFonts w:ascii="Arial" w:hAnsi="Arial" w:hint="default"/>
      </w:rPr>
    </w:lvl>
    <w:lvl w:ilvl="1" w:tplc="925C4DA6" w:tentative="1">
      <w:start w:val="1"/>
      <w:numFmt w:val="bullet"/>
      <w:lvlText w:val="•"/>
      <w:lvlJc w:val="left"/>
      <w:pPr>
        <w:tabs>
          <w:tab w:val="num" w:pos="1440"/>
        </w:tabs>
        <w:ind w:left="1440" w:hanging="360"/>
      </w:pPr>
      <w:rPr>
        <w:rFonts w:ascii="Arial" w:hAnsi="Arial" w:hint="default"/>
      </w:rPr>
    </w:lvl>
    <w:lvl w:ilvl="2" w:tplc="3E7C8AA6" w:tentative="1">
      <w:start w:val="1"/>
      <w:numFmt w:val="bullet"/>
      <w:lvlText w:val="•"/>
      <w:lvlJc w:val="left"/>
      <w:pPr>
        <w:tabs>
          <w:tab w:val="num" w:pos="2160"/>
        </w:tabs>
        <w:ind w:left="2160" w:hanging="360"/>
      </w:pPr>
      <w:rPr>
        <w:rFonts w:ascii="Arial" w:hAnsi="Arial" w:hint="default"/>
      </w:rPr>
    </w:lvl>
    <w:lvl w:ilvl="3" w:tplc="A94A1B4E" w:tentative="1">
      <w:start w:val="1"/>
      <w:numFmt w:val="bullet"/>
      <w:lvlText w:val="•"/>
      <w:lvlJc w:val="left"/>
      <w:pPr>
        <w:tabs>
          <w:tab w:val="num" w:pos="2880"/>
        </w:tabs>
        <w:ind w:left="2880" w:hanging="360"/>
      </w:pPr>
      <w:rPr>
        <w:rFonts w:ascii="Arial" w:hAnsi="Arial" w:hint="default"/>
      </w:rPr>
    </w:lvl>
    <w:lvl w:ilvl="4" w:tplc="08D8C6E0" w:tentative="1">
      <w:start w:val="1"/>
      <w:numFmt w:val="bullet"/>
      <w:lvlText w:val="•"/>
      <w:lvlJc w:val="left"/>
      <w:pPr>
        <w:tabs>
          <w:tab w:val="num" w:pos="3600"/>
        </w:tabs>
        <w:ind w:left="3600" w:hanging="360"/>
      </w:pPr>
      <w:rPr>
        <w:rFonts w:ascii="Arial" w:hAnsi="Arial" w:hint="default"/>
      </w:rPr>
    </w:lvl>
    <w:lvl w:ilvl="5" w:tplc="39109110" w:tentative="1">
      <w:start w:val="1"/>
      <w:numFmt w:val="bullet"/>
      <w:lvlText w:val="•"/>
      <w:lvlJc w:val="left"/>
      <w:pPr>
        <w:tabs>
          <w:tab w:val="num" w:pos="4320"/>
        </w:tabs>
        <w:ind w:left="4320" w:hanging="360"/>
      </w:pPr>
      <w:rPr>
        <w:rFonts w:ascii="Arial" w:hAnsi="Arial" w:hint="default"/>
      </w:rPr>
    </w:lvl>
    <w:lvl w:ilvl="6" w:tplc="BA8032D4" w:tentative="1">
      <w:start w:val="1"/>
      <w:numFmt w:val="bullet"/>
      <w:lvlText w:val="•"/>
      <w:lvlJc w:val="left"/>
      <w:pPr>
        <w:tabs>
          <w:tab w:val="num" w:pos="5040"/>
        </w:tabs>
        <w:ind w:left="5040" w:hanging="360"/>
      </w:pPr>
      <w:rPr>
        <w:rFonts w:ascii="Arial" w:hAnsi="Arial" w:hint="default"/>
      </w:rPr>
    </w:lvl>
    <w:lvl w:ilvl="7" w:tplc="72C2EF70" w:tentative="1">
      <w:start w:val="1"/>
      <w:numFmt w:val="bullet"/>
      <w:lvlText w:val="•"/>
      <w:lvlJc w:val="left"/>
      <w:pPr>
        <w:tabs>
          <w:tab w:val="num" w:pos="5760"/>
        </w:tabs>
        <w:ind w:left="5760" w:hanging="360"/>
      </w:pPr>
      <w:rPr>
        <w:rFonts w:ascii="Arial" w:hAnsi="Arial" w:hint="default"/>
      </w:rPr>
    </w:lvl>
    <w:lvl w:ilvl="8" w:tplc="22848B5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6112BB0"/>
    <w:multiLevelType w:val="hybridMultilevel"/>
    <w:tmpl w:val="E9527C90"/>
    <w:lvl w:ilvl="0" w:tplc="0F465D34">
      <w:start w:val="12"/>
      <w:numFmt w:val="bullet"/>
      <w:lvlText w:val="-"/>
      <w:lvlJc w:val="left"/>
      <w:pPr>
        <w:ind w:left="720" w:hanging="360"/>
      </w:pPr>
      <w:rPr>
        <w:rFonts w:ascii="Verdana" w:eastAsia="Times New Roman" w:hAnsi="Verdana"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0A63F3E"/>
    <w:multiLevelType w:val="hybridMultilevel"/>
    <w:tmpl w:val="15F6BF5C"/>
    <w:lvl w:ilvl="0" w:tplc="FFFFFFFF">
      <w:start w:val="4"/>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1E926F6"/>
    <w:multiLevelType w:val="hybridMultilevel"/>
    <w:tmpl w:val="9282F374"/>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D205736"/>
    <w:multiLevelType w:val="multilevel"/>
    <w:tmpl w:val="FC98DC46"/>
    <w:lvl w:ilvl="0">
      <w:start w:val="1"/>
      <w:numFmt w:val="decimal"/>
      <w:pStyle w:val="Heading1"/>
      <w:lvlText w:val="%1."/>
      <w:lvlJc w:val="left"/>
      <w:pPr>
        <w:ind w:left="502" w:hanging="360"/>
      </w:pPr>
    </w:lvl>
    <w:lvl w:ilvl="1">
      <w:start w:val="2"/>
      <w:numFmt w:val="decimal"/>
      <w:isLgl/>
      <w:lvlText w:val="%1.%2"/>
      <w:lvlJc w:val="left"/>
      <w:pPr>
        <w:ind w:left="720" w:hanging="360"/>
      </w:pPr>
      <w:rPr>
        <w:rFonts w:hint="default"/>
        <w:b/>
      </w:rPr>
    </w:lvl>
    <w:lvl w:ilvl="2">
      <w:start w:val="1"/>
      <w:numFmt w:val="decimalZero"/>
      <w:isLgl/>
      <w:lvlText w:val="%1.%2.%3"/>
      <w:lvlJc w:val="left"/>
      <w:pPr>
        <w:ind w:left="1298" w:hanging="720"/>
      </w:pPr>
      <w:rPr>
        <w:rFonts w:hint="default"/>
        <w:b/>
      </w:rPr>
    </w:lvl>
    <w:lvl w:ilvl="3">
      <w:start w:val="1"/>
      <w:numFmt w:val="decimal"/>
      <w:isLgl/>
      <w:lvlText w:val="%1.%2.%3.%4"/>
      <w:lvlJc w:val="left"/>
      <w:pPr>
        <w:ind w:left="1516" w:hanging="720"/>
      </w:pPr>
      <w:rPr>
        <w:rFonts w:hint="default"/>
        <w:b/>
      </w:rPr>
    </w:lvl>
    <w:lvl w:ilvl="4">
      <w:start w:val="1"/>
      <w:numFmt w:val="decimal"/>
      <w:isLgl/>
      <w:lvlText w:val="%1.%2.%3.%4.%5"/>
      <w:lvlJc w:val="left"/>
      <w:pPr>
        <w:ind w:left="2094" w:hanging="1080"/>
      </w:pPr>
      <w:rPr>
        <w:rFonts w:hint="default"/>
        <w:b/>
      </w:rPr>
    </w:lvl>
    <w:lvl w:ilvl="5">
      <w:start w:val="1"/>
      <w:numFmt w:val="decimal"/>
      <w:isLgl/>
      <w:lvlText w:val="%1.%2.%3.%4.%5.%6"/>
      <w:lvlJc w:val="left"/>
      <w:pPr>
        <w:ind w:left="2312" w:hanging="1080"/>
      </w:pPr>
      <w:rPr>
        <w:rFonts w:hint="default"/>
        <w:b/>
      </w:rPr>
    </w:lvl>
    <w:lvl w:ilvl="6">
      <w:start w:val="1"/>
      <w:numFmt w:val="decimal"/>
      <w:isLgl/>
      <w:lvlText w:val="%1.%2.%3.%4.%5.%6.%7"/>
      <w:lvlJc w:val="left"/>
      <w:pPr>
        <w:ind w:left="2890" w:hanging="1440"/>
      </w:pPr>
      <w:rPr>
        <w:rFonts w:hint="default"/>
        <w:b/>
      </w:rPr>
    </w:lvl>
    <w:lvl w:ilvl="7">
      <w:start w:val="1"/>
      <w:numFmt w:val="decimal"/>
      <w:isLgl/>
      <w:lvlText w:val="%1.%2.%3.%4.%5.%6.%7.%8"/>
      <w:lvlJc w:val="left"/>
      <w:pPr>
        <w:ind w:left="3468" w:hanging="1800"/>
      </w:pPr>
      <w:rPr>
        <w:rFonts w:hint="default"/>
        <w:b/>
      </w:rPr>
    </w:lvl>
    <w:lvl w:ilvl="8">
      <w:start w:val="1"/>
      <w:numFmt w:val="decimal"/>
      <w:isLgl/>
      <w:lvlText w:val="%1.%2.%3.%4.%5.%6.%7.%8.%9"/>
      <w:lvlJc w:val="left"/>
      <w:pPr>
        <w:ind w:left="3686" w:hanging="1800"/>
      </w:pPr>
      <w:rPr>
        <w:rFonts w:hint="default"/>
        <w:b/>
      </w:rPr>
    </w:lvl>
  </w:abstractNum>
  <w:abstractNum w:abstractNumId="24" w15:restartNumberingAfterBreak="0">
    <w:nsid w:val="65926EE4"/>
    <w:multiLevelType w:val="hybridMultilevel"/>
    <w:tmpl w:val="D26402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F32E50"/>
    <w:multiLevelType w:val="hybridMultilevel"/>
    <w:tmpl w:val="D80CFA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25426B"/>
    <w:multiLevelType w:val="hybridMultilevel"/>
    <w:tmpl w:val="04DCAB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92166D"/>
    <w:multiLevelType w:val="hybridMultilevel"/>
    <w:tmpl w:val="135AE8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C140E52"/>
    <w:multiLevelType w:val="hybridMultilevel"/>
    <w:tmpl w:val="3188AB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078309F"/>
    <w:multiLevelType w:val="hybridMultilevel"/>
    <w:tmpl w:val="0BC6F9F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3B829CE"/>
    <w:multiLevelType w:val="hybridMultilevel"/>
    <w:tmpl w:val="0D56E2F8"/>
    <w:lvl w:ilvl="0" w:tplc="D67042A2">
      <w:start w:val="1"/>
      <w:numFmt w:val="bullet"/>
      <w:lvlText w:val="•"/>
      <w:lvlJc w:val="left"/>
      <w:pPr>
        <w:tabs>
          <w:tab w:val="num" w:pos="720"/>
        </w:tabs>
        <w:ind w:left="720" w:hanging="360"/>
      </w:pPr>
      <w:rPr>
        <w:rFonts w:ascii="Arial" w:hAnsi="Arial" w:hint="default"/>
      </w:rPr>
    </w:lvl>
    <w:lvl w:ilvl="1" w:tplc="C5A001CA" w:tentative="1">
      <w:start w:val="1"/>
      <w:numFmt w:val="bullet"/>
      <w:lvlText w:val="•"/>
      <w:lvlJc w:val="left"/>
      <w:pPr>
        <w:tabs>
          <w:tab w:val="num" w:pos="1440"/>
        </w:tabs>
        <w:ind w:left="1440" w:hanging="360"/>
      </w:pPr>
      <w:rPr>
        <w:rFonts w:ascii="Arial" w:hAnsi="Arial" w:hint="default"/>
      </w:rPr>
    </w:lvl>
    <w:lvl w:ilvl="2" w:tplc="0966FE9E" w:tentative="1">
      <w:start w:val="1"/>
      <w:numFmt w:val="bullet"/>
      <w:lvlText w:val="•"/>
      <w:lvlJc w:val="left"/>
      <w:pPr>
        <w:tabs>
          <w:tab w:val="num" w:pos="2160"/>
        </w:tabs>
        <w:ind w:left="2160" w:hanging="360"/>
      </w:pPr>
      <w:rPr>
        <w:rFonts w:ascii="Arial" w:hAnsi="Arial" w:hint="default"/>
      </w:rPr>
    </w:lvl>
    <w:lvl w:ilvl="3" w:tplc="B6BAA56C" w:tentative="1">
      <w:start w:val="1"/>
      <w:numFmt w:val="bullet"/>
      <w:lvlText w:val="•"/>
      <w:lvlJc w:val="left"/>
      <w:pPr>
        <w:tabs>
          <w:tab w:val="num" w:pos="2880"/>
        </w:tabs>
        <w:ind w:left="2880" w:hanging="360"/>
      </w:pPr>
      <w:rPr>
        <w:rFonts w:ascii="Arial" w:hAnsi="Arial" w:hint="default"/>
      </w:rPr>
    </w:lvl>
    <w:lvl w:ilvl="4" w:tplc="AC3E3172" w:tentative="1">
      <w:start w:val="1"/>
      <w:numFmt w:val="bullet"/>
      <w:lvlText w:val="•"/>
      <w:lvlJc w:val="left"/>
      <w:pPr>
        <w:tabs>
          <w:tab w:val="num" w:pos="3600"/>
        </w:tabs>
        <w:ind w:left="3600" w:hanging="360"/>
      </w:pPr>
      <w:rPr>
        <w:rFonts w:ascii="Arial" w:hAnsi="Arial" w:hint="default"/>
      </w:rPr>
    </w:lvl>
    <w:lvl w:ilvl="5" w:tplc="3F4472FC" w:tentative="1">
      <w:start w:val="1"/>
      <w:numFmt w:val="bullet"/>
      <w:lvlText w:val="•"/>
      <w:lvlJc w:val="left"/>
      <w:pPr>
        <w:tabs>
          <w:tab w:val="num" w:pos="4320"/>
        </w:tabs>
        <w:ind w:left="4320" w:hanging="360"/>
      </w:pPr>
      <w:rPr>
        <w:rFonts w:ascii="Arial" w:hAnsi="Arial" w:hint="default"/>
      </w:rPr>
    </w:lvl>
    <w:lvl w:ilvl="6" w:tplc="9392BC8A" w:tentative="1">
      <w:start w:val="1"/>
      <w:numFmt w:val="bullet"/>
      <w:lvlText w:val="•"/>
      <w:lvlJc w:val="left"/>
      <w:pPr>
        <w:tabs>
          <w:tab w:val="num" w:pos="5040"/>
        </w:tabs>
        <w:ind w:left="5040" w:hanging="360"/>
      </w:pPr>
      <w:rPr>
        <w:rFonts w:ascii="Arial" w:hAnsi="Arial" w:hint="default"/>
      </w:rPr>
    </w:lvl>
    <w:lvl w:ilvl="7" w:tplc="A95A6D3A" w:tentative="1">
      <w:start w:val="1"/>
      <w:numFmt w:val="bullet"/>
      <w:lvlText w:val="•"/>
      <w:lvlJc w:val="left"/>
      <w:pPr>
        <w:tabs>
          <w:tab w:val="num" w:pos="5760"/>
        </w:tabs>
        <w:ind w:left="5760" w:hanging="360"/>
      </w:pPr>
      <w:rPr>
        <w:rFonts w:ascii="Arial" w:hAnsi="Arial" w:hint="default"/>
      </w:rPr>
    </w:lvl>
    <w:lvl w:ilvl="8" w:tplc="C9DCB52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CF34744"/>
    <w:multiLevelType w:val="hybridMultilevel"/>
    <w:tmpl w:val="88DCC72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D7B3804"/>
    <w:multiLevelType w:val="hybridMultilevel"/>
    <w:tmpl w:val="9282F37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DB27204"/>
    <w:multiLevelType w:val="hybridMultilevel"/>
    <w:tmpl w:val="15F6BF5C"/>
    <w:lvl w:ilvl="0" w:tplc="04090017">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3"/>
  </w:num>
  <w:num w:numId="2">
    <w:abstractNumId w:val="28"/>
  </w:num>
  <w:num w:numId="3">
    <w:abstractNumId w:val="1"/>
  </w:num>
  <w:num w:numId="4">
    <w:abstractNumId w:val="20"/>
  </w:num>
  <w:num w:numId="5">
    <w:abstractNumId w:val="8"/>
  </w:num>
  <w:num w:numId="6">
    <w:abstractNumId w:val="10"/>
  </w:num>
  <w:num w:numId="7">
    <w:abstractNumId w:val="13"/>
  </w:num>
  <w:num w:numId="8">
    <w:abstractNumId w:val="15"/>
  </w:num>
  <w:num w:numId="9">
    <w:abstractNumId w:val="4"/>
  </w:num>
  <w:num w:numId="10">
    <w:abstractNumId w:val="11"/>
  </w:num>
  <w:num w:numId="11">
    <w:abstractNumId w:val="25"/>
  </w:num>
  <w:num w:numId="12">
    <w:abstractNumId w:val="24"/>
  </w:num>
  <w:num w:numId="13">
    <w:abstractNumId w:val="26"/>
  </w:num>
  <w:num w:numId="14">
    <w:abstractNumId w:val="33"/>
  </w:num>
  <w:num w:numId="15">
    <w:abstractNumId w:val="18"/>
  </w:num>
  <w:num w:numId="16">
    <w:abstractNumId w:val="5"/>
  </w:num>
  <w:num w:numId="17">
    <w:abstractNumId w:val="17"/>
  </w:num>
  <w:num w:numId="18">
    <w:abstractNumId w:val="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22"/>
  </w:num>
  <w:num w:numId="21">
    <w:abstractNumId w:val="9"/>
  </w:num>
  <w:num w:numId="22">
    <w:abstractNumId w:val="31"/>
  </w:num>
  <w:num w:numId="23">
    <w:abstractNumId w:val="32"/>
  </w:num>
  <w:num w:numId="24">
    <w:abstractNumId w:val="0"/>
  </w:num>
  <w:num w:numId="25">
    <w:abstractNumId w:val="14"/>
  </w:num>
  <w:num w:numId="26">
    <w:abstractNumId w:val="27"/>
  </w:num>
  <w:num w:numId="27">
    <w:abstractNumId w:val="2"/>
  </w:num>
  <w:num w:numId="28">
    <w:abstractNumId w:val="21"/>
  </w:num>
  <w:num w:numId="29">
    <w:abstractNumId w:val="7"/>
  </w:num>
  <w:num w:numId="30">
    <w:abstractNumId w:val="3"/>
  </w:num>
  <w:num w:numId="31">
    <w:abstractNumId w:val="12"/>
  </w:num>
  <w:num w:numId="32">
    <w:abstractNumId w:val="12"/>
  </w:num>
  <w:num w:numId="33">
    <w:abstractNumId w:val="12"/>
  </w:num>
  <w:num w:numId="34">
    <w:abstractNumId w:val="30"/>
  </w:num>
  <w:num w:numId="35">
    <w:abstractNumId w:val="19"/>
  </w:num>
  <w:num w:numId="36">
    <w:abstractNumId w:val="16"/>
  </w:num>
  <w:num w:numId="37">
    <w:abstractNumId w:val="6"/>
  </w:num>
  <w:num w:numId="38">
    <w:abstractNumId w:val="2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165"/>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EPKit_DocumentHasBeenSaved" w:val="true"/>
    <w:docVar w:name="LW_CORRIGENDUM" w:val="&lt;UNUSED&gt;"/>
    <w:docVar w:name="LW_COVERPAGE_EXISTS" w:val="True"/>
    <w:docVar w:name="LW_COVERPAGE_GUID" w:val="1ECD4425-2E3C-4E5A-B490-C409D5BC41E0"/>
    <w:docVar w:name="LW_COVERPAGE_TYPE" w:val="1"/>
    <w:docVar w:name="LW_CROSSREFERENCE" w:val="&lt;UNUSED&gt;"/>
    <w:docVar w:name="LW_DocType" w:val="NORMAL"/>
    <w:docVar w:name="LW_EMISSION" w:val="14.4.2026"/>
    <w:docVar w:name="LW_EMISSION_ISODATE" w:val="2026-04-14"/>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semestriel sur la réalisation des opérations d\u8217?emprunt et de gestion de la dette et des opérations de prêt connexes, établi conformément à l\u8217?article 13 de la décision d\u8217?exécution C(2023)8010 de la Commission_x000b__x000b__x000b__x000b_1er juillet 2025 \u8211? 31 décembre 2025"/>
    <w:docVar w:name="LW_TYPE.DOC.CP" w:val="RAPPORT DE LA COMMISSION AU PARLEMENT EUROPÉEN ET AU CONSEIL"/>
    <w:docVar w:name="LwApiVersions" w:val="LW4CoDe 1.24.5.0; LW 9.2, Build 20251112"/>
  </w:docVars>
  <w:rsids>
    <w:rsidRoot w:val="008B6253"/>
    <w:rsid w:val="000006A3"/>
    <w:rsid w:val="000016AC"/>
    <w:rsid w:val="0000198B"/>
    <w:rsid w:val="00001C79"/>
    <w:rsid w:val="00002581"/>
    <w:rsid w:val="000025FB"/>
    <w:rsid w:val="000027C3"/>
    <w:rsid w:val="00003164"/>
    <w:rsid w:val="00003760"/>
    <w:rsid w:val="000038AB"/>
    <w:rsid w:val="00003B2C"/>
    <w:rsid w:val="00004513"/>
    <w:rsid w:val="00004853"/>
    <w:rsid w:val="00004EFF"/>
    <w:rsid w:val="00005E65"/>
    <w:rsid w:val="000064F6"/>
    <w:rsid w:val="000065CB"/>
    <w:rsid w:val="00006945"/>
    <w:rsid w:val="00007866"/>
    <w:rsid w:val="00007DB0"/>
    <w:rsid w:val="000113D6"/>
    <w:rsid w:val="00011761"/>
    <w:rsid w:val="000123E4"/>
    <w:rsid w:val="00012D54"/>
    <w:rsid w:val="00012F88"/>
    <w:rsid w:val="00013124"/>
    <w:rsid w:val="000138B4"/>
    <w:rsid w:val="00013AFC"/>
    <w:rsid w:val="00015055"/>
    <w:rsid w:val="00016108"/>
    <w:rsid w:val="00016BBF"/>
    <w:rsid w:val="00017000"/>
    <w:rsid w:val="0001773F"/>
    <w:rsid w:val="00017BCF"/>
    <w:rsid w:val="00017F73"/>
    <w:rsid w:val="0002126B"/>
    <w:rsid w:val="00021271"/>
    <w:rsid w:val="000214CF"/>
    <w:rsid w:val="00021B91"/>
    <w:rsid w:val="00022392"/>
    <w:rsid w:val="00023EF2"/>
    <w:rsid w:val="0002402F"/>
    <w:rsid w:val="00024157"/>
    <w:rsid w:val="00024317"/>
    <w:rsid w:val="000248CD"/>
    <w:rsid w:val="00025D1D"/>
    <w:rsid w:val="000262A2"/>
    <w:rsid w:val="000264A7"/>
    <w:rsid w:val="00026571"/>
    <w:rsid w:val="000275EB"/>
    <w:rsid w:val="000304D4"/>
    <w:rsid w:val="00030B16"/>
    <w:rsid w:val="00031566"/>
    <w:rsid w:val="00032379"/>
    <w:rsid w:val="000339B4"/>
    <w:rsid w:val="00034162"/>
    <w:rsid w:val="00034C0A"/>
    <w:rsid w:val="00035235"/>
    <w:rsid w:val="00036A07"/>
    <w:rsid w:val="00036DE3"/>
    <w:rsid w:val="00040E1F"/>
    <w:rsid w:val="0004137B"/>
    <w:rsid w:val="0004154A"/>
    <w:rsid w:val="00042B53"/>
    <w:rsid w:val="0004460D"/>
    <w:rsid w:val="00044BC7"/>
    <w:rsid w:val="0004607D"/>
    <w:rsid w:val="00046267"/>
    <w:rsid w:val="0004632F"/>
    <w:rsid w:val="000466B2"/>
    <w:rsid w:val="00046807"/>
    <w:rsid w:val="00046F24"/>
    <w:rsid w:val="000500DD"/>
    <w:rsid w:val="00052908"/>
    <w:rsid w:val="00052C99"/>
    <w:rsid w:val="00052FDD"/>
    <w:rsid w:val="000545EE"/>
    <w:rsid w:val="00054FD5"/>
    <w:rsid w:val="000558F6"/>
    <w:rsid w:val="000559C6"/>
    <w:rsid w:val="00055CF1"/>
    <w:rsid w:val="00055E40"/>
    <w:rsid w:val="00056D87"/>
    <w:rsid w:val="00056EE5"/>
    <w:rsid w:val="000571C9"/>
    <w:rsid w:val="00057D8E"/>
    <w:rsid w:val="00060405"/>
    <w:rsid w:val="00061413"/>
    <w:rsid w:val="00061AD9"/>
    <w:rsid w:val="000623CD"/>
    <w:rsid w:val="00063474"/>
    <w:rsid w:val="00063655"/>
    <w:rsid w:val="00063876"/>
    <w:rsid w:val="00063AD8"/>
    <w:rsid w:val="0006518B"/>
    <w:rsid w:val="0006573D"/>
    <w:rsid w:val="000658E4"/>
    <w:rsid w:val="000659B4"/>
    <w:rsid w:val="00065C93"/>
    <w:rsid w:val="00065C9D"/>
    <w:rsid w:val="0006645C"/>
    <w:rsid w:val="00067AC8"/>
    <w:rsid w:val="0007120F"/>
    <w:rsid w:val="00071211"/>
    <w:rsid w:val="00071659"/>
    <w:rsid w:val="00072047"/>
    <w:rsid w:val="000720D5"/>
    <w:rsid w:val="000744F6"/>
    <w:rsid w:val="00074966"/>
    <w:rsid w:val="00075B6A"/>
    <w:rsid w:val="00075F80"/>
    <w:rsid w:val="0007609D"/>
    <w:rsid w:val="000761ED"/>
    <w:rsid w:val="00076F7B"/>
    <w:rsid w:val="000770E1"/>
    <w:rsid w:val="000777AF"/>
    <w:rsid w:val="00077F71"/>
    <w:rsid w:val="000804D7"/>
    <w:rsid w:val="00080B80"/>
    <w:rsid w:val="00081182"/>
    <w:rsid w:val="000811DA"/>
    <w:rsid w:val="00081EB2"/>
    <w:rsid w:val="000830C3"/>
    <w:rsid w:val="000831BF"/>
    <w:rsid w:val="00083C92"/>
    <w:rsid w:val="00084648"/>
    <w:rsid w:val="00085FEE"/>
    <w:rsid w:val="0008748B"/>
    <w:rsid w:val="0009033E"/>
    <w:rsid w:val="0009189C"/>
    <w:rsid w:val="000919EB"/>
    <w:rsid w:val="0009299B"/>
    <w:rsid w:val="0009414B"/>
    <w:rsid w:val="00094607"/>
    <w:rsid w:val="00094B94"/>
    <w:rsid w:val="00095BFD"/>
    <w:rsid w:val="00095DF7"/>
    <w:rsid w:val="00096802"/>
    <w:rsid w:val="00096D86"/>
    <w:rsid w:val="000973CE"/>
    <w:rsid w:val="00097D72"/>
    <w:rsid w:val="000A0545"/>
    <w:rsid w:val="000A0885"/>
    <w:rsid w:val="000A0AA1"/>
    <w:rsid w:val="000A1136"/>
    <w:rsid w:val="000A1556"/>
    <w:rsid w:val="000A26FE"/>
    <w:rsid w:val="000A2B3D"/>
    <w:rsid w:val="000A5C68"/>
    <w:rsid w:val="000A6EC7"/>
    <w:rsid w:val="000A7E3C"/>
    <w:rsid w:val="000B0652"/>
    <w:rsid w:val="000B232E"/>
    <w:rsid w:val="000B3537"/>
    <w:rsid w:val="000B4EF5"/>
    <w:rsid w:val="000B5255"/>
    <w:rsid w:val="000B6398"/>
    <w:rsid w:val="000B7472"/>
    <w:rsid w:val="000C00E3"/>
    <w:rsid w:val="000C09D9"/>
    <w:rsid w:val="000C1517"/>
    <w:rsid w:val="000C168A"/>
    <w:rsid w:val="000C26FE"/>
    <w:rsid w:val="000C3020"/>
    <w:rsid w:val="000C3CD5"/>
    <w:rsid w:val="000C41A5"/>
    <w:rsid w:val="000C5D88"/>
    <w:rsid w:val="000C7051"/>
    <w:rsid w:val="000D008A"/>
    <w:rsid w:val="000D213D"/>
    <w:rsid w:val="000D2596"/>
    <w:rsid w:val="000D2B51"/>
    <w:rsid w:val="000D2FDD"/>
    <w:rsid w:val="000D348A"/>
    <w:rsid w:val="000D5BA5"/>
    <w:rsid w:val="000D647C"/>
    <w:rsid w:val="000D7879"/>
    <w:rsid w:val="000D79AE"/>
    <w:rsid w:val="000E2B98"/>
    <w:rsid w:val="000E2CCD"/>
    <w:rsid w:val="000E2E6E"/>
    <w:rsid w:val="000E304A"/>
    <w:rsid w:val="000E3413"/>
    <w:rsid w:val="000E3BE4"/>
    <w:rsid w:val="000E4BFB"/>
    <w:rsid w:val="000E5618"/>
    <w:rsid w:val="000E5D4B"/>
    <w:rsid w:val="000E5EF5"/>
    <w:rsid w:val="000E6508"/>
    <w:rsid w:val="000E6611"/>
    <w:rsid w:val="000E6912"/>
    <w:rsid w:val="000E6982"/>
    <w:rsid w:val="000F037D"/>
    <w:rsid w:val="000F0386"/>
    <w:rsid w:val="000F0990"/>
    <w:rsid w:val="000F165A"/>
    <w:rsid w:val="000F16B2"/>
    <w:rsid w:val="000F1753"/>
    <w:rsid w:val="000F2ACA"/>
    <w:rsid w:val="000F2FB6"/>
    <w:rsid w:val="000F3C9A"/>
    <w:rsid w:val="000F4198"/>
    <w:rsid w:val="000F462D"/>
    <w:rsid w:val="000F533E"/>
    <w:rsid w:val="000F5D63"/>
    <w:rsid w:val="000F6E3B"/>
    <w:rsid w:val="000F7CB6"/>
    <w:rsid w:val="001004B8"/>
    <w:rsid w:val="00101490"/>
    <w:rsid w:val="001019EB"/>
    <w:rsid w:val="00102155"/>
    <w:rsid w:val="00102ABC"/>
    <w:rsid w:val="00102D9B"/>
    <w:rsid w:val="0010394A"/>
    <w:rsid w:val="00103A63"/>
    <w:rsid w:val="0010410E"/>
    <w:rsid w:val="0010483C"/>
    <w:rsid w:val="00104E19"/>
    <w:rsid w:val="0010771D"/>
    <w:rsid w:val="001077F9"/>
    <w:rsid w:val="00107A24"/>
    <w:rsid w:val="00110D36"/>
    <w:rsid w:val="00112CE7"/>
    <w:rsid w:val="00113042"/>
    <w:rsid w:val="0011323F"/>
    <w:rsid w:val="001137FB"/>
    <w:rsid w:val="00113B9E"/>
    <w:rsid w:val="00114207"/>
    <w:rsid w:val="00114592"/>
    <w:rsid w:val="00114B84"/>
    <w:rsid w:val="00117185"/>
    <w:rsid w:val="00117C59"/>
    <w:rsid w:val="0012011D"/>
    <w:rsid w:val="00120241"/>
    <w:rsid w:val="001208C2"/>
    <w:rsid w:val="00120B20"/>
    <w:rsid w:val="00121CE9"/>
    <w:rsid w:val="00122958"/>
    <w:rsid w:val="00122DAA"/>
    <w:rsid w:val="00125553"/>
    <w:rsid w:val="00127DB2"/>
    <w:rsid w:val="00127FC7"/>
    <w:rsid w:val="00131111"/>
    <w:rsid w:val="001311A9"/>
    <w:rsid w:val="0013129F"/>
    <w:rsid w:val="0013341B"/>
    <w:rsid w:val="001337A8"/>
    <w:rsid w:val="00134308"/>
    <w:rsid w:val="00134B25"/>
    <w:rsid w:val="00135190"/>
    <w:rsid w:val="001358C9"/>
    <w:rsid w:val="001359B6"/>
    <w:rsid w:val="00135B23"/>
    <w:rsid w:val="00135B3B"/>
    <w:rsid w:val="0013697B"/>
    <w:rsid w:val="001369B3"/>
    <w:rsid w:val="00137822"/>
    <w:rsid w:val="00137CF7"/>
    <w:rsid w:val="001401DA"/>
    <w:rsid w:val="00140C8A"/>
    <w:rsid w:val="00141100"/>
    <w:rsid w:val="00142200"/>
    <w:rsid w:val="0014295B"/>
    <w:rsid w:val="00142A07"/>
    <w:rsid w:val="00142F64"/>
    <w:rsid w:val="00143006"/>
    <w:rsid w:val="001431B8"/>
    <w:rsid w:val="00143B58"/>
    <w:rsid w:val="00144EC6"/>
    <w:rsid w:val="00146211"/>
    <w:rsid w:val="00146FCA"/>
    <w:rsid w:val="0014728B"/>
    <w:rsid w:val="00147839"/>
    <w:rsid w:val="001505D1"/>
    <w:rsid w:val="00150F73"/>
    <w:rsid w:val="0015107E"/>
    <w:rsid w:val="0015130B"/>
    <w:rsid w:val="001524C7"/>
    <w:rsid w:val="00154274"/>
    <w:rsid w:val="00154875"/>
    <w:rsid w:val="00154A51"/>
    <w:rsid w:val="001555A6"/>
    <w:rsid w:val="00156C4C"/>
    <w:rsid w:val="00156FA8"/>
    <w:rsid w:val="001574CF"/>
    <w:rsid w:val="0016009E"/>
    <w:rsid w:val="00160344"/>
    <w:rsid w:val="00160A0F"/>
    <w:rsid w:val="00160C1F"/>
    <w:rsid w:val="00161936"/>
    <w:rsid w:val="00162300"/>
    <w:rsid w:val="0016311F"/>
    <w:rsid w:val="00163BF4"/>
    <w:rsid w:val="00164FBD"/>
    <w:rsid w:val="00164FD6"/>
    <w:rsid w:val="0016530F"/>
    <w:rsid w:val="00165420"/>
    <w:rsid w:val="00166CA0"/>
    <w:rsid w:val="001672C7"/>
    <w:rsid w:val="00171240"/>
    <w:rsid w:val="001717F0"/>
    <w:rsid w:val="00171F26"/>
    <w:rsid w:val="00172528"/>
    <w:rsid w:val="00175474"/>
    <w:rsid w:val="00176299"/>
    <w:rsid w:val="001767DC"/>
    <w:rsid w:val="00177222"/>
    <w:rsid w:val="00177568"/>
    <w:rsid w:val="00177D88"/>
    <w:rsid w:val="00177D92"/>
    <w:rsid w:val="00180CE3"/>
    <w:rsid w:val="00181102"/>
    <w:rsid w:val="00181A94"/>
    <w:rsid w:val="00181E20"/>
    <w:rsid w:val="0018247B"/>
    <w:rsid w:val="0018389B"/>
    <w:rsid w:val="0018490F"/>
    <w:rsid w:val="00185E6B"/>
    <w:rsid w:val="00187563"/>
    <w:rsid w:val="001875EC"/>
    <w:rsid w:val="00190160"/>
    <w:rsid w:val="0019095B"/>
    <w:rsid w:val="00192332"/>
    <w:rsid w:val="00193439"/>
    <w:rsid w:val="001936B3"/>
    <w:rsid w:val="00194F65"/>
    <w:rsid w:val="00195E47"/>
    <w:rsid w:val="001977FA"/>
    <w:rsid w:val="001A2134"/>
    <w:rsid w:val="001A2E95"/>
    <w:rsid w:val="001A3541"/>
    <w:rsid w:val="001A445F"/>
    <w:rsid w:val="001A4667"/>
    <w:rsid w:val="001A4733"/>
    <w:rsid w:val="001A5022"/>
    <w:rsid w:val="001A5608"/>
    <w:rsid w:val="001A57FF"/>
    <w:rsid w:val="001A59C4"/>
    <w:rsid w:val="001A66D1"/>
    <w:rsid w:val="001A675E"/>
    <w:rsid w:val="001A7578"/>
    <w:rsid w:val="001B01E2"/>
    <w:rsid w:val="001B033B"/>
    <w:rsid w:val="001B0AA1"/>
    <w:rsid w:val="001B0E99"/>
    <w:rsid w:val="001B3164"/>
    <w:rsid w:val="001B31F3"/>
    <w:rsid w:val="001B3675"/>
    <w:rsid w:val="001B4862"/>
    <w:rsid w:val="001B560E"/>
    <w:rsid w:val="001B6374"/>
    <w:rsid w:val="001B6617"/>
    <w:rsid w:val="001B6959"/>
    <w:rsid w:val="001B6FE8"/>
    <w:rsid w:val="001B75AB"/>
    <w:rsid w:val="001B79B9"/>
    <w:rsid w:val="001C0880"/>
    <w:rsid w:val="001C11F1"/>
    <w:rsid w:val="001C11FB"/>
    <w:rsid w:val="001C1350"/>
    <w:rsid w:val="001C13F0"/>
    <w:rsid w:val="001C2621"/>
    <w:rsid w:val="001C28B3"/>
    <w:rsid w:val="001C33B2"/>
    <w:rsid w:val="001C3C2E"/>
    <w:rsid w:val="001C445C"/>
    <w:rsid w:val="001C542F"/>
    <w:rsid w:val="001C5859"/>
    <w:rsid w:val="001C58BD"/>
    <w:rsid w:val="001C6C43"/>
    <w:rsid w:val="001D0900"/>
    <w:rsid w:val="001D1371"/>
    <w:rsid w:val="001D15D9"/>
    <w:rsid w:val="001D2A9E"/>
    <w:rsid w:val="001D2AB4"/>
    <w:rsid w:val="001D2E91"/>
    <w:rsid w:val="001D30CA"/>
    <w:rsid w:val="001D446D"/>
    <w:rsid w:val="001D478A"/>
    <w:rsid w:val="001D47EB"/>
    <w:rsid w:val="001D5B74"/>
    <w:rsid w:val="001D69E8"/>
    <w:rsid w:val="001D72F9"/>
    <w:rsid w:val="001E0283"/>
    <w:rsid w:val="001E0480"/>
    <w:rsid w:val="001E1251"/>
    <w:rsid w:val="001E1429"/>
    <w:rsid w:val="001E1475"/>
    <w:rsid w:val="001E2E34"/>
    <w:rsid w:val="001E6FE8"/>
    <w:rsid w:val="001E7B69"/>
    <w:rsid w:val="001E7C4B"/>
    <w:rsid w:val="001F33BD"/>
    <w:rsid w:val="001F36F8"/>
    <w:rsid w:val="001F3746"/>
    <w:rsid w:val="001F3F9B"/>
    <w:rsid w:val="001F43CE"/>
    <w:rsid w:val="001F52A4"/>
    <w:rsid w:val="001F5B65"/>
    <w:rsid w:val="001F6191"/>
    <w:rsid w:val="001F66FD"/>
    <w:rsid w:val="001F6E5E"/>
    <w:rsid w:val="00202BDB"/>
    <w:rsid w:val="002039FF"/>
    <w:rsid w:val="00203B8E"/>
    <w:rsid w:val="002040AE"/>
    <w:rsid w:val="00204834"/>
    <w:rsid w:val="002055AD"/>
    <w:rsid w:val="00207920"/>
    <w:rsid w:val="002101E7"/>
    <w:rsid w:val="0021075C"/>
    <w:rsid w:val="002107DC"/>
    <w:rsid w:val="00210CCA"/>
    <w:rsid w:val="00211FA8"/>
    <w:rsid w:val="00212A39"/>
    <w:rsid w:val="0021450B"/>
    <w:rsid w:val="002148BF"/>
    <w:rsid w:val="002151F6"/>
    <w:rsid w:val="00215AFE"/>
    <w:rsid w:val="00216746"/>
    <w:rsid w:val="0021776C"/>
    <w:rsid w:val="00217ED6"/>
    <w:rsid w:val="00221DD4"/>
    <w:rsid w:val="00221E97"/>
    <w:rsid w:val="002223A2"/>
    <w:rsid w:val="002226E4"/>
    <w:rsid w:val="00222DEE"/>
    <w:rsid w:val="00224A45"/>
    <w:rsid w:val="002255AC"/>
    <w:rsid w:val="0022594B"/>
    <w:rsid w:val="0022595F"/>
    <w:rsid w:val="00226916"/>
    <w:rsid w:val="00226F31"/>
    <w:rsid w:val="0023010A"/>
    <w:rsid w:val="00231768"/>
    <w:rsid w:val="00231D56"/>
    <w:rsid w:val="00232130"/>
    <w:rsid w:val="00232636"/>
    <w:rsid w:val="002334C2"/>
    <w:rsid w:val="002338DB"/>
    <w:rsid w:val="00234977"/>
    <w:rsid w:val="00234ADF"/>
    <w:rsid w:val="00236710"/>
    <w:rsid w:val="00236727"/>
    <w:rsid w:val="00237A80"/>
    <w:rsid w:val="00240156"/>
    <w:rsid w:val="0024146E"/>
    <w:rsid w:val="0024343F"/>
    <w:rsid w:val="00243E6C"/>
    <w:rsid w:val="00243FE5"/>
    <w:rsid w:val="002469E9"/>
    <w:rsid w:val="0024722E"/>
    <w:rsid w:val="00252C49"/>
    <w:rsid w:val="00253A22"/>
    <w:rsid w:val="002547A5"/>
    <w:rsid w:val="00254D4D"/>
    <w:rsid w:val="0026079A"/>
    <w:rsid w:val="00260BF1"/>
    <w:rsid w:val="00260CFD"/>
    <w:rsid w:val="00261126"/>
    <w:rsid w:val="002619C8"/>
    <w:rsid w:val="00261F4B"/>
    <w:rsid w:val="00262915"/>
    <w:rsid w:val="00262A23"/>
    <w:rsid w:val="00262AC8"/>
    <w:rsid w:val="00264614"/>
    <w:rsid w:val="002667A6"/>
    <w:rsid w:val="0026697C"/>
    <w:rsid w:val="00266B45"/>
    <w:rsid w:val="00266C5C"/>
    <w:rsid w:val="00267604"/>
    <w:rsid w:val="002703E2"/>
    <w:rsid w:val="002703F1"/>
    <w:rsid w:val="00270C15"/>
    <w:rsid w:val="00273940"/>
    <w:rsid w:val="00274061"/>
    <w:rsid w:val="0027409A"/>
    <w:rsid w:val="00274144"/>
    <w:rsid w:val="00274E17"/>
    <w:rsid w:val="00275148"/>
    <w:rsid w:val="00275FE6"/>
    <w:rsid w:val="00276737"/>
    <w:rsid w:val="00276A09"/>
    <w:rsid w:val="00276FC8"/>
    <w:rsid w:val="00280E09"/>
    <w:rsid w:val="00281088"/>
    <w:rsid w:val="0028129F"/>
    <w:rsid w:val="002815FA"/>
    <w:rsid w:val="00282E65"/>
    <w:rsid w:val="002835C6"/>
    <w:rsid w:val="00284F80"/>
    <w:rsid w:val="00285408"/>
    <w:rsid w:val="002855E5"/>
    <w:rsid w:val="002858D3"/>
    <w:rsid w:val="00285D29"/>
    <w:rsid w:val="00286E0A"/>
    <w:rsid w:val="00287A0F"/>
    <w:rsid w:val="002913C3"/>
    <w:rsid w:val="002918A6"/>
    <w:rsid w:val="002936F3"/>
    <w:rsid w:val="00293811"/>
    <w:rsid w:val="00294403"/>
    <w:rsid w:val="00295066"/>
    <w:rsid w:val="002955CD"/>
    <w:rsid w:val="002958AA"/>
    <w:rsid w:val="00296908"/>
    <w:rsid w:val="002A1200"/>
    <w:rsid w:val="002A3273"/>
    <w:rsid w:val="002A3A30"/>
    <w:rsid w:val="002A461E"/>
    <w:rsid w:val="002A604F"/>
    <w:rsid w:val="002A6325"/>
    <w:rsid w:val="002A67DD"/>
    <w:rsid w:val="002A7852"/>
    <w:rsid w:val="002A798E"/>
    <w:rsid w:val="002B0728"/>
    <w:rsid w:val="002B107F"/>
    <w:rsid w:val="002B1A1A"/>
    <w:rsid w:val="002B278C"/>
    <w:rsid w:val="002B2A5F"/>
    <w:rsid w:val="002B2D97"/>
    <w:rsid w:val="002B33C1"/>
    <w:rsid w:val="002B3935"/>
    <w:rsid w:val="002B4027"/>
    <w:rsid w:val="002B4117"/>
    <w:rsid w:val="002B415F"/>
    <w:rsid w:val="002B535A"/>
    <w:rsid w:val="002B5B25"/>
    <w:rsid w:val="002B627C"/>
    <w:rsid w:val="002B7257"/>
    <w:rsid w:val="002C0014"/>
    <w:rsid w:val="002C0915"/>
    <w:rsid w:val="002C0B94"/>
    <w:rsid w:val="002C0C35"/>
    <w:rsid w:val="002C134A"/>
    <w:rsid w:val="002C1BE5"/>
    <w:rsid w:val="002C29AA"/>
    <w:rsid w:val="002C2D32"/>
    <w:rsid w:val="002C3985"/>
    <w:rsid w:val="002C41B5"/>
    <w:rsid w:val="002C4890"/>
    <w:rsid w:val="002C5293"/>
    <w:rsid w:val="002C59A6"/>
    <w:rsid w:val="002C69E8"/>
    <w:rsid w:val="002C6D51"/>
    <w:rsid w:val="002C6DC8"/>
    <w:rsid w:val="002C7AD0"/>
    <w:rsid w:val="002D0A9E"/>
    <w:rsid w:val="002D1554"/>
    <w:rsid w:val="002D1EE2"/>
    <w:rsid w:val="002D32CA"/>
    <w:rsid w:val="002D5366"/>
    <w:rsid w:val="002D54AC"/>
    <w:rsid w:val="002D5E8C"/>
    <w:rsid w:val="002D71E2"/>
    <w:rsid w:val="002D769E"/>
    <w:rsid w:val="002E027E"/>
    <w:rsid w:val="002E05C7"/>
    <w:rsid w:val="002E086B"/>
    <w:rsid w:val="002E0AC8"/>
    <w:rsid w:val="002E1C12"/>
    <w:rsid w:val="002E2F3C"/>
    <w:rsid w:val="002E360F"/>
    <w:rsid w:val="002E39D3"/>
    <w:rsid w:val="002E4FA7"/>
    <w:rsid w:val="002E56EE"/>
    <w:rsid w:val="002E570D"/>
    <w:rsid w:val="002E757F"/>
    <w:rsid w:val="002F10E6"/>
    <w:rsid w:val="002F24D1"/>
    <w:rsid w:val="002F28D6"/>
    <w:rsid w:val="002F459E"/>
    <w:rsid w:val="002F4F1A"/>
    <w:rsid w:val="002F58AB"/>
    <w:rsid w:val="002F58B5"/>
    <w:rsid w:val="002F6BF4"/>
    <w:rsid w:val="002F6E61"/>
    <w:rsid w:val="002F7560"/>
    <w:rsid w:val="002F7768"/>
    <w:rsid w:val="002F7DBD"/>
    <w:rsid w:val="0030157E"/>
    <w:rsid w:val="00303189"/>
    <w:rsid w:val="0030390C"/>
    <w:rsid w:val="00303954"/>
    <w:rsid w:val="0030418A"/>
    <w:rsid w:val="0030467E"/>
    <w:rsid w:val="0030557B"/>
    <w:rsid w:val="00306786"/>
    <w:rsid w:val="00306877"/>
    <w:rsid w:val="00310433"/>
    <w:rsid w:val="00311FEB"/>
    <w:rsid w:val="00312A3E"/>
    <w:rsid w:val="003130F2"/>
    <w:rsid w:val="00313841"/>
    <w:rsid w:val="00313B5F"/>
    <w:rsid w:val="00313D8B"/>
    <w:rsid w:val="00314041"/>
    <w:rsid w:val="003160E0"/>
    <w:rsid w:val="00316BEE"/>
    <w:rsid w:val="00316D24"/>
    <w:rsid w:val="003173C5"/>
    <w:rsid w:val="00320534"/>
    <w:rsid w:val="0032072E"/>
    <w:rsid w:val="00322997"/>
    <w:rsid w:val="00323B74"/>
    <w:rsid w:val="003244E6"/>
    <w:rsid w:val="003247A7"/>
    <w:rsid w:val="003257E5"/>
    <w:rsid w:val="00325F9E"/>
    <w:rsid w:val="00326FD4"/>
    <w:rsid w:val="003277B5"/>
    <w:rsid w:val="00330D09"/>
    <w:rsid w:val="00330EEA"/>
    <w:rsid w:val="00331131"/>
    <w:rsid w:val="003332D2"/>
    <w:rsid w:val="00333383"/>
    <w:rsid w:val="00334436"/>
    <w:rsid w:val="00334EED"/>
    <w:rsid w:val="003352BC"/>
    <w:rsid w:val="00335EDE"/>
    <w:rsid w:val="0033618F"/>
    <w:rsid w:val="003365D5"/>
    <w:rsid w:val="00337165"/>
    <w:rsid w:val="003377B6"/>
    <w:rsid w:val="003409E9"/>
    <w:rsid w:val="00340F05"/>
    <w:rsid w:val="00342348"/>
    <w:rsid w:val="00343040"/>
    <w:rsid w:val="003437C9"/>
    <w:rsid w:val="00343D6C"/>
    <w:rsid w:val="003468B4"/>
    <w:rsid w:val="0034695C"/>
    <w:rsid w:val="00346F00"/>
    <w:rsid w:val="00350522"/>
    <w:rsid w:val="00350B76"/>
    <w:rsid w:val="00350EEC"/>
    <w:rsid w:val="0035129A"/>
    <w:rsid w:val="0035219A"/>
    <w:rsid w:val="00352458"/>
    <w:rsid w:val="00352BF1"/>
    <w:rsid w:val="00352DCC"/>
    <w:rsid w:val="00353839"/>
    <w:rsid w:val="003547C7"/>
    <w:rsid w:val="00356700"/>
    <w:rsid w:val="00361B1E"/>
    <w:rsid w:val="0036208E"/>
    <w:rsid w:val="00363BC3"/>
    <w:rsid w:val="00364E2A"/>
    <w:rsid w:val="00365323"/>
    <w:rsid w:val="003668D8"/>
    <w:rsid w:val="00366E07"/>
    <w:rsid w:val="00367924"/>
    <w:rsid w:val="00370204"/>
    <w:rsid w:val="00370471"/>
    <w:rsid w:val="00370639"/>
    <w:rsid w:val="003707F5"/>
    <w:rsid w:val="003707FA"/>
    <w:rsid w:val="003722FA"/>
    <w:rsid w:val="00372518"/>
    <w:rsid w:val="0037406F"/>
    <w:rsid w:val="00374646"/>
    <w:rsid w:val="00374A49"/>
    <w:rsid w:val="00375246"/>
    <w:rsid w:val="0037681F"/>
    <w:rsid w:val="00380223"/>
    <w:rsid w:val="0038047B"/>
    <w:rsid w:val="00381941"/>
    <w:rsid w:val="00381AB3"/>
    <w:rsid w:val="003824EB"/>
    <w:rsid w:val="003835FD"/>
    <w:rsid w:val="00383665"/>
    <w:rsid w:val="003843F4"/>
    <w:rsid w:val="00384A09"/>
    <w:rsid w:val="00384CCF"/>
    <w:rsid w:val="003874C8"/>
    <w:rsid w:val="00387E02"/>
    <w:rsid w:val="00391716"/>
    <w:rsid w:val="003925C4"/>
    <w:rsid w:val="003926DF"/>
    <w:rsid w:val="0039294E"/>
    <w:rsid w:val="00394AA7"/>
    <w:rsid w:val="00395373"/>
    <w:rsid w:val="00395DF8"/>
    <w:rsid w:val="00396252"/>
    <w:rsid w:val="00396CA2"/>
    <w:rsid w:val="003974D6"/>
    <w:rsid w:val="003976C1"/>
    <w:rsid w:val="003A2408"/>
    <w:rsid w:val="003A39EA"/>
    <w:rsid w:val="003A42A4"/>
    <w:rsid w:val="003A47A7"/>
    <w:rsid w:val="003A4BBC"/>
    <w:rsid w:val="003A63C0"/>
    <w:rsid w:val="003A6B34"/>
    <w:rsid w:val="003A70A1"/>
    <w:rsid w:val="003A72E2"/>
    <w:rsid w:val="003A77A2"/>
    <w:rsid w:val="003A7DA8"/>
    <w:rsid w:val="003B0BAD"/>
    <w:rsid w:val="003B1D98"/>
    <w:rsid w:val="003B2793"/>
    <w:rsid w:val="003B52C9"/>
    <w:rsid w:val="003B5F66"/>
    <w:rsid w:val="003B6C79"/>
    <w:rsid w:val="003C0307"/>
    <w:rsid w:val="003C0956"/>
    <w:rsid w:val="003C2019"/>
    <w:rsid w:val="003C295F"/>
    <w:rsid w:val="003C42D1"/>
    <w:rsid w:val="003C42DA"/>
    <w:rsid w:val="003C4469"/>
    <w:rsid w:val="003C4943"/>
    <w:rsid w:val="003C524B"/>
    <w:rsid w:val="003C52F3"/>
    <w:rsid w:val="003C5F06"/>
    <w:rsid w:val="003C657A"/>
    <w:rsid w:val="003C6BF7"/>
    <w:rsid w:val="003D037E"/>
    <w:rsid w:val="003D0FED"/>
    <w:rsid w:val="003D23C8"/>
    <w:rsid w:val="003D31CE"/>
    <w:rsid w:val="003D357F"/>
    <w:rsid w:val="003D3E51"/>
    <w:rsid w:val="003D3F08"/>
    <w:rsid w:val="003D506A"/>
    <w:rsid w:val="003D5F52"/>
    <w:rsid w:val="003D7150"/>
    <w:rsid w:val="003D717C"/>
    <w:rsid w:val="003D7999"/>
    <w:rsid w:val="003D7DB4"/>
    <w:rsid w:val="003D7F22"/>
    <w:rsid w:val="003D7F4D"/>
    <w:rsid w:val="003E1782"/>
    <w:rsid w:val="003E1CDE"/>
    <w:rsid w:val="003E27DC"/>
    <w:rsid w:val="003E2F5B"/>
    <w:rsid w:val="003E3635"/>
    <w:rsid w:val="003E3C67"/>
    <w:rsid w:val="003E3DF4"/>
    <w:rsid w:val="003E4A9D"/>
    <w:rsid w:val="003E4BE8"/>
    <w:rsid w:val="003E4E21"/>
    <w:rsid w:val="003E5C55"/>
    <w:rsid w:val="003E5D06"/>
    <w:rsid w:val="003E6F22"/>
    <w:rsid w:val="003F16EC"/>
    <w:rsid w:val="003F19E5"/>
    <w:rsid w:val="003F20A5"/>
    <w:rsid w:val="003F3424"/>
    <w:rsid w:val="003F3D5E"/>
    <w:rsid w:val="003F3F62"/>
    <w:rsid w:val="003F4B58"/>
    <w:rsid w:val="003F4FEC"/>
    <w:rsid w:val="003F53BF"/>
    <w:rsid w:val="003F55A3"/>
    <w:rsid w:val="003F6229"/>
    <w:rsid w:val="003F654D"/>
    <w:rsid w:val="003F6DF3"/>
    <w:rsid w:val="003F775B"/>
    <w:rsid w:val="0040010E"/>
    <w:rsid w:val="00402C7D"/>
    <w:rsid w:val="0040365E"/>
    <w:rsid w:val="0040566D"/>
    <w:rsid w:val="00406798"/>
    <w:rsid w:val="00406FC4"/>
    <w:rsid w:val="004071C4"/>
    <w:rsid w:val="00407ED3"/>
    <w:rsid w:val="00410705"/>
    <w:rsid w:val="0041085A"/>
    <w:rsid w:val="004109ED"/>
    <w:rsid w:val="004110DC"/>
    <w:rsid w:val="00411F86"/>
    <w:rsid w:val="00412F6D"/>
    <w:rsid w:val="00415AA8"/>
    <w:rsid w:val="004166F1"/>
    <w:rsid w:val="00417698"/>
    <w:rsid w:val="00417C65"/>
    <w:rsid w:val="00420A36"/>
    <w:rsid w:val="00420A92"/>
    <w:rsid w:val="0042179B"/>
    <w:rsid w:val="00422A17"/>
    <w:rsid w:val="00422DE7"/>
    <w:rsid w:val="00423091"/>
    <w:rsid w:val="00423F17"/>
    <w:rsid w:val="0042440C"/>
    <w:rsid w:val="0042478D"/>
    <w:rsid w:val="00424B48"/>
    <w:rsid w:val="00424D8E"/>
    <w:rsid w:val="004258ED"/>
    <w:rsid w:val="00425E4F"/>
    <w:rsid w:val="004261C9"/>
    <w:rsid w:val="00426A75"/>
    <w:rsid w:val="00426ED0"/>
    <w:rsid w:val="00427760"/>
    <w:rsid w:val="00430382"/>
    <w:rsid w:val="00432655"/>
    <w:rsid w:val="00432A72"/>
    <w:rsid w:val="00432EF9"/>
    <w:rsid w:val="00434763"/>
    <w:rsid w:val="00434E9A"/>
    <w:rsid w:val="004354A2"/>
    <w:rsid w:val="004366D5"/>
    <w:rsid w:val="0043697C"/>
    <w:rsid w:val="00440BC5"/>
    <w:rsid w:val="004413CC"/>
    <w:rsid w:val="00441C73"/>
    <w:rsid w:val="00441CDD"/>
    <w:rsid w:val="00442A22"/>
    <w:rsid w:val="00442C38"/>
    <w:rsid w:val="004432DE"/>
    <w:rsid w:val="00443911"/>
    <w:rsid w:val="004446BA"/>
    <w:rsid w:val="00444C81"/>
    <w:rsid w:val="004459CA"/>
    <w:rsid w:val="00446140"/>
    <w:rsid w:val="004467E0"/>
    <w:rsid w:val="0045252A"/>
    <w:rsid w:val="00452623"/>
    <w:rsid w:val="00452999"/>
    <w:rsid w:val="00452D19"/>
    <w:rsid w:val="00453ADD"/>
    <w:rsid w:val="0045555D"/>
    <w:rsid w:val="00456072"/>
    <w:rsid w:val="00456822"/>
    <w:rsid w:val="00456C7D"/>
    <w:rsid w:val="00456D3B"/>
    <w:rsid w:val="004570E2"/>
    <w:rsid w:val="00457C98"/>
    <w:rsid w:val="00460382"/>
    <w:rsid w:val="0046152F"/>
    <w:rsid w:val="00462A26"/>
    <w:rsid w:val="00462ECF"/>
    <w:rsid w:val="0046302A"/>
    <w:rsid w:val="004650A2"/>
    <w:rsid w:val="00466FA8"/>
    <w:rsid w:val="004675E6"/>
    <w:rsid w:val="00470A50"/>
    <w:rsid w:val="00471184"/>
    <w:rsid w:val="004717D7"/>
    <w:rsid w:val="00471D64"/>
    <w:rsid w:val="0047205C"/>
    <w:rsid w:val="00472563"/>
    <w:rsid w:val="0047269B"/>
    <w:rsid w:val="004745F2"/>
    <w:rsid w:val="004751DA"/>
    <w:rsid w:val="00475680"/>
    <w:rsid w:val="00475E00"/>
    <w:rsid w:val="00476FFD"/>
    <w:rsid w:val="00477911"/>
    <w:rsid w:val="00477D1E"/>
    <w:rsid w:val="00480A1F"/>
    <w:rsid w:val="00480C03"/>
    <w:rsid w:val="00481415"/>
    <w:rsid w:val="004818A6"/>
    <w:rsid w:val="00482E48"/>
    <w:rsid w:val="0048316A"/>
    <w:rsid w:val="00483303"/>
    <w:rsid w:val="0048379F"/>
    <w:rsid w:val="00485068"/>
    <w:rsid w:val="0048674A"/>
    <w:rsid w:val="0048700A"/>
    <w:rsid w:val="00487DA6"/>
    <w:rsid w:val="004904E7"/>
    <w:rsid w:val="004908A7"/>
    <w:rsid w:val="00491026"/>
    <w:rsid w:val="00491B57"/>
    <w:rsid w:val="0049203F"/>
    <w:rsid w:val="0049239F"/>
    <w:rsid w:val="00493041"/>
    <w:rsid w:val="004930B6"/>
    <w:rsid w:val="0049506B"/>
    <w:rsid w:val="00495ADD"/>
    <w:rsid w:val="00495FD9"/>
    <w:rsid w:val="0049677E"/>
    <w:rsid w:val="004977A4"/>
    <w:rsid w:val="0049785D"/>
    <w:rsid w:val="00497AC0"/>
    <w:rsid w:val="004A00F6"/>
    <w:rsid w:val="004A0271"/>
    <w:rsid w:val="004A0BA9"/>
    <w:rsid w:val="004A0E52"/>
    <w:rsid w:val="004A127E"/>
    <w:rsid w:val="004A2681"/>
    <w:rsid w:val="004A2C87"/>
    <w:rsid w:val="004A4483"/>
    <w:rsid w:val="004A4C37"/>
    <w:rsid w:val="004A561F"/>
    <w:rsid w:val="004A61C9"/>
    <w:rsid w:val="004A73B2"/>
    <w:rsid w:val="004A7891"/>
    <w:rsid w:val="004B06F0"/>
    <w:rsid w:val="004B076D"/>
    <w:rsid w:val="004B07BD"/>
    <w:rsid w:val="004B097C"/>
    <w:rsid w:val="004B11E1"/>
    <w:rsid w:val="004B1671"/>
    <w:rsid w:val="004B29D1"/>
    <w:rsid w:val="004B3199"/>
    <w:rsid w:val="004B483E"/>
    <w:rsid w:val="004B58D1"/>
    <w:rsid w:val="004B663C"/>
    <w:rsid w:val="004B75BB"/>
    <w:rsid w:val="004B780F"/>
    <w:rsid w:val="004B7C42"/>
    <w:rsid w:val="004C17DE"/>
    <w:rsid w:val="004C1A08"/>
    <w:rsid w:val="004C23E6"/>
    <w:rsid w:val="004C2DA5"/>
    <w:rsid w:val="004C351A"/>
    <w:rsid w:val="004C3ECA"/>
    <w:rsid w:val="004C49A2"/>
    <w:rsid w:val="004C4BA9"/>
    <w:rsid w:val="004C562D"/>
    <w:rsid w:val="004C5BE8"/>
    <w:rsid w:val="004C68F8"/>
    <w:rsid w:val="004C69CA"/>
    <w:rsid w:val="004C709B"/>
    <w:rsid w:val="004C7FC5"/>
    <w:rsid w:val="004D086E"/>
    <w:rsid w:val="004D0899"/>
    <w:rsid w:val="004D0EB0"/>
    <w:rsid w:val="004D1638"/>
    <w:rsid w:val="004D1861"/>
    <w:rsid w:val="004D2EA5"/>
    <w:rsid w:val="004D39C2"/>
    <w:rsid w:val="004D4588"/>
    <w:rsid w:val="004D4B99"/>
    <w:rsid w:val="004D50C7"/>
    <w:rsid w:val="004D59F2"/>
    <w:rsid w:val="004D628F"/>
    <w:rsid w:val="004E1833"/>
    <w:rsid w:val="004E1A9B"/>
    <w:rsid w:val="004E287C"/>
    <w:rsid w:val="004E380B"/>
    <w:rsid w:val="004E3F51"/>
    <w:rsid w:val="004E49E1"/>
    <w:rsid w:val="004E4B5D"/>
    <w:rsid w:val="004E5242"/>
    <w:rsid w:val="004E7244"/>
    <w:rsid w:val="004E7BA3"/>
    <w:rsid w:val="004F0A38"/>
    <w:rsid w:val="004F2370"/>
    <w:rsid w:val="004F3029"/>
    <w:rsid w:val="004F3BBB"/>
    <w:rsid w:val="004F4654"/>
    <w:rsid w:val="004F575E"/>
    <w:rsid w:val="004F5D0C"/>
    <w:rsid w:val="004F6168"/>
    <w:rsid w:val="004F697A"/>
    <w:rsid w:val="004F72E5"/>
    <w:rsid w:val="004F748B"/>
    <w:rsid w:val="004F775B"/>
    <w:rsid w:val="004F7DB0"/>
    <w:rsid w:val="0050054D"/>
    <w:rsid w:val="00500AF1"/>
    <w:rsid w:val="00500C37"/>
    <w:rsid w:val="00500DC7"/>
    <w:rsid w:val="005018C6"/>
    <w:rsid w:val="00501B59"/>
    <w:rsid w:val="00501CA3"/>
    <w:rsid w:val="005021EA"/>
    <w:rsid w:val="005030DF"/>
    <w:rsid w:val="0050453A"/>
    <w:rsid w:val="00504C75"/>
    <w:rsid w:val="005058F7"/>
    <w:rsid w:val="005067E8"/>
    <w:rsid w:val="005072AE"/>
    <w:rsid w:val="00510A78"/>
    <w:rsid w:val="00511341"/>
    <w:rsid w:val="00511532"/>
    <w:rsid w:val="00511E31"/>
    <w:rsid w:val="00512207"/>
    <w:rsid w:val="00512726"/>
    <w:rsid w:val="00512C51"/>
    <w:rsid w:val="0051310D"/>
    <w:rsid w:val="0051368B"/>
    <w:rsid w:val="0051433A"/>
    <w:rsid w:val="00514EF3"/>
    <w:rsid w:val="00515408"/>
    <w:rsid w:val="00515675"/>
    <w:rsid w:val="00515957"/>
    <w:rsid w:val="00520896"/>
    <w:rsid w:val="00521BB3"/>
    <w:rsid w:val="00524128"/>
    <w:rsid w:val="0052432C"/>
    <w:rsid w:val="00525A42"/>
    <w:rsid w:val="00525DD6"/>
    <w:rsid w:val="0052611C"/>
    <w:rsid w:val="00526244"/>
    <w:rsid w:val="005265EE"/>
    <w:rsid w:val="00526640"/>
    <w:rsid w:val="005269EF"/>
    <w:rsid w:val="0052705F"/>
    <w:rsid w:val="00527978"/>
    <w:rsid w:val="00527BF7"/>
    <w:rsid w:val="00527BFE"/>
    <w:rsid w:val="00531685"/>
    <w:rsid w:val="00531FDF"/>
    <w:rsid w:val="00532874"/>
    <w:rsid w:val="00532E05"/>
    <w:rsid w:val="00533E04"/>
    <w:rsid w:val="0053408A"/>
    <w:rsid w:val="005341C2"/>
    <w:rsid w:val="0053490A"/>
    <w:rsid w:val="005356A3"/>
    <w:rsid w:val="005356D6"/>
    <w:rsid w:val="005367E1"/>
    <w:rsid w:val="005371A6"/>
    <w:rsid w:val="00537A70"/>
    <w:rsid w:val="00540D7B"/>
    <w:rsid w:val="0054119B"/>
    <w:rsid w:val="005428DB"/>
    <w:rsid w:val="00542A6E"/>
    <w:rsid w:val="00542EFD"/>
    <w:rsid w:val="00543FD9"/>
    <w:rsid w:val="005455B5"/>
    <w:rsid w:val="00545761"/>
    <w:rsid w:val="00545864"/>
    <w:rsid w:val="005458AE"/>
    <w:rsid w:val="00545F6E"/>
    <w:rsid w:val="00546180"/>
    <w:rsid w:val="005466DF"/>
    <w:rsid w:val="00547173"/>
    <w:rsid w:val="00547755"/>
    <w:rsid w:val="00547941"/>
    <w:rsid w:val="00547DE9"/>
    <w:rsid w:val="00547E7D"/>
    <w:rsid w:val="00550CD9"/>
    <w:rsid w:val="005515C3"/>
    <w:rsid w:val="00551B89"/>
    <w:rsid w:val="00552430"/>
    <w:rsid w:val="00552F6F"/>
    <w:rsid w:val="00553237"/>
    <w:rsid w:val="005533A7"/>
    <w:rsid w:val="005543D6"/>
    <w:rsid w:val="00554456"/>
    <w:rsid w:val="005547C4"/>
    <w:rsid w:val="005556D6"/>
    <w:rsid w:val="0055580C"/>
    <w:rsid w:val="00555E15"/>
    <w:rsid w:val="00556A0B"/>
    <w:rsid w:val="005601D1"/>
    <w:rsid w:val="0056086D"/>
    <w:rsid w:val="00560991"/>
    <w:rsid w:val="005618C7"/>
    <w:rsid w:val="00561DC2"/>
    <w:rsid w:val="00561F48"/>
    <w:rsid w:val="00562772"/>
    <w:rsid w:val="00562CEC"/>
    <w:rsid w:val="005630F9"/>
    <w:rsid w:val="0056358A"/>
    <w:rsid w:val="00563836"/>
    <w:rsid w:val="00563BBD"/>
    <w:rsid w:val="00564724"/>
    <w:rsid w:val="00564896"/>
    <w:rsid w:val="00564D50"/>
    <w:rsid w:val="00565805"/>
    <w:rsid w:val="00566DBD"/>
    <w:rsid w:val="00567602"/>
    <w:rsid w:val="0057043E"/>
    <w:rsid w:val="00570D76"/>
    <w:rsid w:val="00570D82"/>
    <w:rsid w:val="00570F8D"/>
    <w:rsid w:val="00571587"/>
    <w:rsid w:val="00571A62"/>
    <w:rsid w:val="00571A9E"/>
    <w:rsid w:val="005730AC"/>
    <w:rsid w:val="0057337E"/>
    <w:rsid w:val="00574761"/>
    <w:rsid w:val="005752F9"/>
    <w:rsid w:val="0057694A"/>
    <w:rsid w:val="00580C86"/>
    <w:rsid w:val="00581289"/>
    <w:rsid w:val="00582DDA"/>
    <w:rsid w:val="00582F34"/>
    <w:rsid w:val="00583183"/>
    <w:rsid w:val="005837D1"/>
    <w:rsid w:val="0058487B"/>
    <w:rsid w:val="00585379"/>
    <w:rsid w:val="005853E2"/>
    <w:rsid w:val="00585B47"/>
    <w:rsid w:val="00585EB8"/>
    <w:rsid w:val="005866B3"/>
    <w:rsid w:val="00587543"/>
    <w:rsid w:val="0059049F"/>
    <w:rsid w:val="005909A6"/>
    <w:rsid w:val="00590CE0"/>
    <w:rsid w:val="00590DA8"/>
    <w:rsid w:val="00591ED7"/>
    <w:rsid w:val="00592E38"/>
    <w:rsid w:val="00593541"/>
    <w:rsid w:val="0059373D"/>
    <w:rsid w:val="005939F1"/>
    <w:rsid w:val="0059445F"/>
    <w:rsid w:val="00595034"/>
    <w:rsid w:val="005956F3"/>
    <w:rsid w:val="005971A7"/>
    <w:rsid w:val="00597658"/>
    <w:rsid w:val="00597FCD"/>
    <w:rsid w:val="005A01CF"/>
    <w:rsid w:val="005A055B"/>
    <w:rsid w:val="005A0BF8"/>
    <w:rsid w:val="005A169C"/>
    <w:rsid w:val="005A214F"/>
    <w:rsid w:val="005A2447"/>
    <w:rsid w:val="005A2C6D"/>
    <w:rsid w:val="005A374D"/>
    <w:rsid w:val="005A484A"/>
    <w:rsid w:val="005A4EE1"/>
    <w:rsid w:val="005A522E"/>
    <w:rsid w:val="005A544A"/>
    <w:rsid w:val="005A76CE"/>
    <w:rsid w:val="005B02C7"/>
    <w:rsid w:val="005B0CDE"/>
    <w:rsid w:val="005B1B71"/>
    <w:rsid w:val="005B1BB2"/>
    <w:rsid w:val="005B1F67"/>
    <w:rsid w:val="005B2E28"/>
    <w:rsid w:val="005B2E50"/>
    <w:rsid w:val="005B2EFB"/>
    <w:rsid w:val="005B36AD"/>
    <w:rsid w:val="005B4970"/>
    <w:rsid w:val="005B4C56"/>
    <w:rsid w:val="005B5736"/>
    <w:rsid w:val="005B6F6B"/>
    <w:rsid w:val="005C0779"/>
    <w:rsid w:val="005C0B64"/>
    <w:rsid w:val="005C0CD1"/>
    <w:rsid w:val="005C3675"/>
    <w:rsid w:val="005C37A0"/>
    <w:rsid w:val="005C37F5"/>
    <w:rsid w:val="005C3F78"/>
    <w:rsid w:val="005C414E"/>
    <w:rsid w:val="005C41D9"/>
    <w:rsid w:val="005C4B0C"/>
    <w:rsid w:val="005C4C97"/>
    <w:rsid w:val="005C5AB7"/>
    <w:rsid w:val="005C5CF0"/>
    <w:rsid w:val="005C5ED3"/>
    <w:rsid w:val="005C63E3"/>
    <w:rsid w:val="005C6A1E"/>
    <w:rsid w:val="005C70C7"/>
    <w:rsid w:val="005C75F9"/>
    <w:rsid w:val="005D04B7"/>
    <w:rsid w:val="005D2582"/>
    <w:rsid w:val="005D297C"/>
    <w:rsid w:val="005D2E96"/>
    <w:rsid w:val="005D32E9"/>
    <w:rsid w:val="005D363C"/>
    <w:rsid w:val="005D46F7"/>
    <w:rsid w:val="005D49C0"/>
    <w:rsid w:val="005D515D"/>
    <w:rsid w:val="005D59EF"/>
    <w:rsid w:val="005D5D3C"/>
    <w:rsid w:val="005D6F11"/>
    <w:rsid w:val="005D71B6"/>
    <w:rsid w:val="005D73CE"/>
    <w:rsid w:val="005E2CD1"/>
    <w:rsid w:val="005E3734"/>
    <w:rsid w:val="005E4653"/>
    <w:rsid w:val="005E4AD8"/>
    <w:rsid w:val="005E4E8C"/>
    <w:rsid w:val="005E52B2"/>
    <w:rsid w:val="005E54EC"/>
    <w:rsid w:val="005E7022"/>
    <w:rsid w:val="005E77E4"/>
    <w:rsid w:val="005F0AA4"/>
    <w:rsid w:val="005F37FD"/>
    <w:rsid w:val="005F49D6"/>
    <w:rsid w:val="005F4F81"/>
    <w:rsid w:val="005F5F02"/>
    <w:rsid w:val="005F7189"/>
    <w:rsid w:val="005F7A04"/>
    <w:rsid w:val="005F7DED"/>
    <w:rsid w:val="005F7E9D"/>
    <w:rsid w:val="00600674"/>
    <w:rsid w:val="006008AF"/>
    <w:rsid w:val="00600959"/>
    <w:rsid w:val="00600CB1"/>
    <w:rsid w:val="00600D76"/>
    <w:rsid w:val="006012E4"/>
    <w:rsid w:val="0060139C"/>
    <w:rsid w:val="00601905"/>
    <w:rsid w:val="00601A09"/>
    <w:rsid w:val="006063F4"/>
    <w:rsid w:val="006073D6"/>
    <w:rsid w:val="00607408"/>
    <w:rsid w:val="00607C1D"/>
    <w:rsid w:val="00610648"/>
    <w:rsid w:val="006115E1"/>
    <w:rsid w:val="006142DC"/>
    <w:rsid w:val="00614787"/>
    <w:rsid w:val="006148CC"/>
    <w:rsid w:val="006153B1"/>
    <w:rsid w:val="00615A56"/>
    <w:rsid w:val="00615BB8"/>
    <w:rsid w:val="00620EEA"/>
    <w:rsid w:val="00621274"/>
    <w:rsid w:val="0062182B"/>
    <w:rsid w:val="00621889"/>
    <w:rsid w:val="006237D6"/>
    <w:rsid w:val="00625C66"/>
    <w:rsid w:val="006263DE"/>
    <w:rsid w:val="00626874"/>
    <w:rsid w:val="00626AC1"/>
    <w:rsid w:val="00630397"/>
    <w:rsid w:val="006308A2"/>
    <w:rsid w:val="00630A1F"/>
    <w:rsid w:val="006316D7"/>
    <w:rsid w:val="00631C17"/>
    <w:rsid w:val="00632AD6"/>
    <w:rsid w:val="0063369B"/>
    <w:rsid w:val="006336D6"/>
    <w:rsid w:val="006352E7"/>
    <w:rsid w:val="00635FDC"/>
    <w:rsid w:val="00637648"/>
    <w:rsid w:val="00637D21"/>
    <w:rsid w:val="00640611"/>
    <w:rsid w:val="006409AF"/>
    <w:rsid w:val="00640B75"/>
    <w:rsid w:val="00642983"/>
    <w:rsid w:val="006429A5"/>
    <w:rsid w:val="00642A38"/>
    <w:rsid w:val="00642B2C"/>
    <w:rsid w:val="006430EA"/>
    <w:rsid w:val="006432FB"/>
    <w:rsid w:val="0064354F"/>
    <w:rsid w:val="006441EE"/>
    <w:rsid w:val="00645FB5"/>
    <w:rsid w:val="006469DE"/>
    <w:rsid w:val="00647CF0"/>
    <w:rsid w:val="00647E00"/>
    <w:rsid w:val="00647EE7"/>
    <w:rsid w:val="006502DB"/>
    <w:rsid w:val="006507A6"/>
    <w:rsid w:val="00651ECE"/>
    <w:rsid w:val="00652121"/>
    <w:rsid w:val="0065253B"/>
    <w:rsid w:val="00652637"/>
    <w:rsid w:val="006526C6"/>
    <w:rsid w:val="00652D66"/>
    <w:rsid w:val="00653523"/>
    <w:rsid w:val="00654088"/>
    <w:rsid w:val="00655CA2"/>
    <w:rsid w:val="0065651F"/>
    <w:rsid w:val="006565E0"/>
    <w:rsid w:val="006601F5"/>
    <w:rsid w:val="0066057D"/>
    <w:rsid w:val="00661018"/>
    <w:rsid w:val="00661D36"/>
    <w:rsid w:val="00661F96"/>
    <w:rsid w:val="006628CD"/>
    <w:rsid w:val="006638BA"/>
    <w:rsid w:val="00663A40"/>
    <w:rsid w:val="0066452E"/>
    <w:rsid w:val="00664B89"/>
    <w:rsid w:val="00664BA9"/>
    <w:rsid w:val="00665AFE"/>
    <w:rsid w:val="00665EFD"/>
    <w:rsid w:val="006661B7"/>
    <w:rsid w:val="0066722F"/>
    <w:rsid w:val="00667E38"/>
    <w:rsid w:val="00667F84"/>
    <w:rsid w:val="006710FA"/>
    <w:rsid w:val="00671192"/>
    <w:rsid w:val="006728B2"/>
    <w:rsid w:val="006754A8"/>
    <w:rsid w:val="0067556E"/>
    <w:rsid w:val="006758A9"/>
    <w:rsid w:val="00676700"/>
    <w:rsid w:val="00676EA2"/>
    <w:rsid w:val="00677192"/>
    <w:rsid w:val="006774F7"/>
    <w:rsid w:val="006776C3"/>
    <w:rsid w:val="00680782"/>
    <w:rsid w:val="00680C46"/>
    <w:rsid w:val="00681F32"/>
    <w:rsid w:val="00683139"/>
    <w:rsid w:val="0068361C"/>
    <w:rsid w:val="00683814"/>
    <w:rsid w:val="006839E6"/>
    <w:rsid w:val="0068450A"/>
    <w:rsid w:val="0068501F"/>
    <w:rsid w:val="00685721"/>
    <w:rsid w:val="0068622C"/>
    <w:rsid w:val="00690E88"/>
    <w:rsid w:val="006913DC"/>
    <w:rsid w:val="006914EA"/>
    <w:rsid w:val="00692EE3"/>
    <w:rsid w:val="00693973"/>
    <w:rsid w:val="00694E2D"/>
    <w:rsid w:val="00695370"/>
    <w:rsid w:val="0069582D"/>
    <w:rsid w:val="0069603F"/>
    <w:rsid w:val="006963ED"/>
    <w:rsid w:val="0069675F"/>
    <w:rsid w:val="006979F3"/>
    <w:rsid w:val="006A0214"/>
    <w:rsid w:val="006A07E7"/>
    <w:rsid w:val="006A2012"/>
    <w:rsid w:val="006A3DD1"/>
    <w:rsid w:val="006A578A"/>
    <w:rsid w:val="006A66A8"/>
    <w:rsid w:val="006A72DE"/>
    <w:rsid w:val="006A74F1"/>
    <w:rsid w:val="006B0540"/>
    <w:rsid w:val="006B12D9"/>
    <w:rsid w:val="006B2FB3"/>
    <w:rsid w:val="006B472A"/>
    <w:rsid w:val="006B57DA"/>
    <w:rsid w:val="006B726B"/>
    <w:rsid w:val="006B7B45"/>
    <w:rsid w:val="006C015E"/>
    <w:rsid w:val="006C0EC4"/>
    <w:rsid w:val="006C1195"/>
    <w:rsid w:val="006C22A4"/>
    <w:rsid w:val="006C29D5"/>
    <w:rsid w:val="006C5F19"/>
    <w:rsid w:val="006C6378"/>
    <w:rsid w:val="006C6606"/>
    <w:rsid w:val="006C66D8"/>
    <w:rsid w:val="006C67C1"/>
    <w:rsid w:val="006C6ACC"/>
    <w:rsid w:val="006C76F6"/>
    <w:rsid w:val="006D00D3"/>
    <w:rsid w:val="006D00F8"/>
    <w:rsid w:val="006D0545"/>
    <w:rsid w:val="006D139D"/>
    <w:rsid w:val="006D23F1"/>
    <w:rsid w:val="006D3171"/>
    <w:rsid w:val="006D47C8"/>
    <w:rsid w:val="006D541E"/>
    <w:rsid w:val="006D5A2A"/>
    <w:rsid w:val="006D6314"/>
    <w:rsid w:val="006D6C0E"/>
    <w:rsid w:val="006D747C"/>
    <w:rsid w:val="006D76C9"/>
    <w:rsid w:val="006E10F7"/>
    <w:rsid w:val="006E1A53"/>
    <w:rsid w:val="006E2250"/>
    <w:rsid w:val="006E2644"/>
    <w:rsid w:val="006E2A5C"/>
    <w:rsid w:val="006E36AB"/>
    <w:rsid w:val="006E3BF2"/>
    <w:rsid w:val="006E6023"/>
    <w:rsid w:val="006E680B"/>
    <w:rsid w:val="006E7742"/>
    <w:rsid w:val="006E7D17"/>
    <w:rsid w:val="006F11E7"/>
    <w:rsid w:val="006F1EFC"/>
    <w:rsid w:val="006F2571"/>
    <w:rsid w:val="006F3037"/>
    <w:rsid w:val="006F3103"/>
    <w:rsid w:val="006F4E45"/>
    <w:rsid w:val="006F55DB"/>
    <w:rsid w:val="006F5904"/>
    <w:rsid w:val="006F62B3"/>
    <w:rsid w:val="006F65FE"/>
    <w:rsid w:val="006F6702"/>
    <w:rsid w:val="006F6FD4"/>
    <w:rsid w:val="006F7559"/>
    <w:rsid w:val="006F7AAA"/>
    <w:rsid w:val="0070205F"/>
    <w:rsid w:val="00702571"/>
    <w:rsid w:val="00702AD4"/>
    <w:rsid w:val="00702AE0"/>
    <w:rsid w:val="00702D9F"/>
    <w:rsid w:val="0070358A"/>
    <w:rsid w:val="0070410F"/>
    <w:rsid w:val="007042AC"/>
    <w:rsid w:val="0070507B"/>
    <w:rsid w:val="007057CC"/>
    <w:rsid w:val="007062DC"/>
    <w:rsid w:val="007070F9"/>
    <w:rsid w:val="007074E5"/>
    <w:rsid w:val="00707B56"/>
    <w:rsid w:val="00710028"/>
    <w:rsid w:val="0071009D"/>
    <w:rsid w:val="0071167C"/>
    <w:rsid w:val="007118E2"/>
    <w:rsid w:val="00711B9E"/>
    <w:rsid w:val="00711BBE"/>
    <w:rsid w:val="007120FC"/>
    <w:rsid w:val="0071330F"/>
    <w:rsid w:val="00713A64"/>
    <w:rsid w:val="00713A80"/>
    <w:rsid w:val="00713B9A"/>
    <w:rsid w:val="00713E4E"/>
    <w:rsid w:val="00714BD1"/>
    <w:rsid w:val="00715042"/>
    <w:rsid w:val="007164DA"/>
    <w:rsid w:val="00716654"/>
    <w:rsid w:val="00716DB8"/>
    <w:rsid w:val="0072000B"/>
    <w:rsid w:val="0072040A"/>
    <w:rsid w:val="00720A31"/>
    <w:rsid w:val="00720B1A"/>
    <w:rsid w:val="00721974"/>
    <w:rsid w:val="00723236"/>
    <w:rsid w:val="00723A8F"/>
    <w:rsid w:val="00724759"/>
    <w:rsid w:val="007249C2"/>
    <w:rsid w:val="007253FD"/>
    <w:rsid w:val="0073033C"/>
    <w:rsid w:val="00730738"/>
    <w:rsid w:val="00731D10"/>
    <w:rsid w:val="00732337"/>
    <w:rsid w:val="0073255F"/>
    <w:rsid w:val="00733125"/>
    <w:rsid w:val="00733174"/>
    <w:rsid w:val="007332A0"/>
    <w:rsid w:val="0073394D"/>
    <w:rsid w:val="00733BD7"/>
    <w:rsid w:val="007352C3"/>
    <w:rsid w:val="00735865"/>
    <w:rsid w:val="00735D8C"/>
    <w:rsid w:val="00736030"/>
    <w:rsid w:val="00737114"/>
    <w:rsid w:val="0074065A"/>
    <w:rsid w:val="007436A5"/>
    <w:rsid w:val="00745105"/>
    <w:rsid w:val="00745414"/>
    <w:rsid w:val="0074596B"/>
    <w:rsid w:val="00745AF5"/>
    <w:rsid w:val="00746CFD"/>
    <w:rsid w:val="00747A0A"/>
    <w:rsid w:val="00750734"/>
    <w:rsid w:val="0075167C"/>
    <w:rsid w:val="00751AE1"/>
    <w:rsid w:val="00751D64"/>
    <w:rsid w:val="00752CE1"/>
    <w:rsid w:val="00752D7D"/>
    <w:rsid w:val="0075403C"/>
    <w:rsid w:val="00755B19"/>
    <w:rsid w:val="007560BD"/>
    <w:rsid w:val="00760221"/>
    <w:rsid w:val="00760A2E"/>
    <w:rsid w:val="00761E44"/>
    <w:rsid w:val="00762752"/>
    <w:rsid w:val="00762833"/>
    <w:rsid w:val="00762CEF"/>
    <w:rsid w:val="00762E89"/>
    <w:rsid w:val="007633EC"/>
    <w:rsid w:val="00763711"/>
    <w:rsid w:val="00763ACD"/>
    <w:rsid w:val="0076452C"/>
    <w:rsid w:val="007653FA"/>
    <w:rsid w:val="007662F6"/>
    <w:rsid w:val="0076678F"/>
    <w:rsid w:val="007667FA"/>
    <w:rsid w:val="00767241"/>
    <w:rsid w:val="00767800"/>
    <w:rsid w:val="00767987"/>
    <w:rsid w:val="0077082E"/>
    <w:rsid w:val="007712C5"/>
    <w:rsid w:val="0077171F"/>
    <w:rsid w:val="00772A8D"/>
    <w:rsid w:val="00772D70"/>
    <w:rsid w:val="00773531"/>
    <w:rsid w:val="00773F0E"/>
    <w:rsid w:val="00774C7F"/>
    <w:rsid w:val="00775B43"/>
    <w:rsid w:val="00775D9C"/>
    <w:rsid w:val="00775EC1"/>
    <w:rsid w:val="00776436"/>
    <w:rsid w:val="007764AF"/>
    <w:rsid w:val="00777D12"/>
    <w:rsid w:val="00780B69"/>
    <w:rsid w:val="00780DE7"/>
    <w:rsid w:val="00781659"/>
    <w:rsid w:val="00782D0A"/>
    <w:rsid w:val="00782EAB"/>
    <w:rsid w:val="00784312"/>
    <w:rsid w:val="0078579B"/>
    <w:rsid w:val="00785CBA"/>
    <w:rsid w:val="00786210"/>
    <w:rsid w:val="00786E34"/>
    <w:rsid w:val="00786F26"/>
    <w:rsid w:val="00787AB4"/>
    <w:rsid w:val="00790A35"/>
    <w:rsid w:val="0079106F"/>
    <w:rsid w:val="007911DD"/>
    <w:rsid w:val="007912BC"/>
    <w:rsid w:val="007916CB"/>
    <w:rsid w:val="007917AA"/>
    <w:rsid w:val="00792B58"/>
    <w:rsid w:val="00792D94"/>
    <w:rsid w:val="007930D6"/>
    <w:rsid w:val="007943CC"/>
    <w:rsid w:val="00794B42"/>
    <w:rsid w:val="00795578"/>
    <w:rsid w:val="00795699"/>
    <w:rsid w:val="00795799"/>
    <w:rsid w:val="007960E0"/>
    <w:rsid w:val="007962C3"/>
    <w:rsid w:val="00796810"/>
    <w:rsid w:val="00796A10"/>
    <w:rsid w:val="00796DA8"/>
    <w:rsid w:val="007A055B"/>
    <w:rsid w:val="007A0D9A"/>
    <w:rsid w:val="007A197C"/>
    <w:rsid w:val="007A1FE8"/>
    <w:rsid w:val="007A2190"/>
    <w:rsid w:val="007A373F"/>
    <w:rsid w:val="007A5A9E"/>
    <w:rsid w:val="007A6473"/>
    <w:rsid w:val="007A660C"/>
    <w:rsid w:val="007A74E8"/>
    <w:rsid w:val="007A7DA8"/>
    <w:rsid w:val="007B0523"/>
    <w:rsid w:val="007B08DA"/>
    <w:rsid w:val="007B2A55"/>
    <w:rsid w:val="007B3621"/>
    <w:rsid w:val="007B3B54"/>
    <w:rsid w:val="007B66F0"/>
    <w:rsid w:val="007B6993"/>
    <w:rsid w:val="007B7F4E"/>
    <w:rsid w:val="007C0D23"/>
    <w:rsid w:val="007C36D5"/>
    <w:rsid w:val="007C4284"/>
    <w:rsid w:val="007C46F4"/>
    <w:rsid w:val="007C4BA8"/>
    <w:rsid w:val="007C6091"/>
    <w:rsid w:val="007C742B"/>
    <w:rsid w:val="007C76AC"/>
    <w:rsid w:val="007C7A34"/>
    <w:rsid w:val="007D00A6"/>
    <w:rsid w:val="007D0CE6"/>
    <w:rsid w:val="007D191B"/>
    <w:rsid w:val="007D3332"/>
    <w:rsid w:val="007D380E"/>
    <w:rsid w:val="007D3FC3"/>
    <w:rsid w:val="007D4E4A"/>
    <w:rsid w:val="007D607F"/>
    <w:rsid w:val="007D637F"/>
    <w:rsid w:val="007D6AD6"/>
    <w:rsid w:val="007D6C82"/>
    <w:rsid w:val="007D6E3C"/>
    <w:rsid w:val="007D7C6D"/>
    <w:rsid w:val="007E251D"/>
    <w:rsid w:val="007E2E1A"/>
    <w:rsid w:val="007E4A8A"/>
    <w:rsid w:val="007E5972"/>
    <w:rsid w:val="007E5AB1"/>
    <w:rsid w:val="007E5C6F"/>
    <w:rsid w:val="007E6C81"/>
    <w:rsid w:val="007E77E8"/>
    <w:rsid w:val="007F07C3"/>
    <w:rsid w:val="007F0ECC"/>
    <w:rsid w:val="007F10A6"/>
    <w:rsid w:val="007F28FC"/>
    <w:rsid w:val="007F2DED"/>
    <w:rsid w:val="007F3F70"/>
    <w:rsid w:val="007F3F92"/>
    <w:rsid w:val="007F5F6F"/>
    <w:rsid w:val="007F63C7"/>
    <w:rsid w:val="007F6BD3"/>
    <w:rsid w:val="007F7B35"/>
    <w:rsid w:val="00800146"/>
    <w:rsid w:val="008002D3"/>
    <w:rsid w:val="008004E8"/>
    <w:rsid w:val="008006CB"/>
    <w:rsid w:val="00800C56"/>
    <w:rsid w:val="00800EF0"/>
    <w:rsid w:val="00802724"/>
    <w:rsid w:val="008036B3"/>
    <w:rsid w:val="00804B18"/>
    <w:rsid w:val="00804D94"/>
    <w:rsid w:val="00804E4F"/>
    <w:rsid w:val="008056EF"/>
    <w:rsid w:val="00805883"/>
    <w:rsid w:val="0080768A"/>
    <w:rsid w:val="00810743"/>
    <w:rsid w:val="00810A51"/>
    <w:rsid w:val="00810A53"/>
    <w:rsid w:val="00810E0F"/>
    <w:rsid w:val="00811657"/>
    <w:rsid w:val="00811C3B"/>
    <w:rsid w:val="00812772"/>
    <w:rsid w:val="008129E9"/>
    <w:rsid w:val="00813C69"/>
    <w:rsid w:val="0081661C"/>
    <w:rsid w:val="0081666A"/>
    <w:rsid w:val="008204F3"/>
    <w:rsid w:val="00820BC1"/>
    <w:rsid w:val="008210AC"/>
    <w:rsid w:val="008211C8"/>
    <w:rsid w:val="00821699"/>
    <w:rsid w:val="00821A0B"/>
    <w:rsid w:val="00821D7E"/>
    <w:rsid w:val="008229A6"/>
    <w:rsid w:val="00822BCC"/>
    <w:rsid w:val="00822FCC"/>
    <w:rsid w:val="008248E7"/>
    <w:rsid w:val="008262CA"/>
    <w:rsid w:val="0082698E"/>
    <w:rsid w:val="00827F4B"/>
    <w:rsid w:val="00830430"/>
    <w:rsid w:val="0083106C"/>
    <w:rsid w:val="00831281"/>
    <w:rsid w:val="00831921"/>
    <w:rsid w:val="0083273D"/>
    <w:rsid w:val="00832D8D"/>
    <w:rsid w:val="00832ED7"/>
    <w:rsid w:val="0083377B"/>
    <w:rsid w:val="008349E8"/>
    <w:rsid w:val="00834F40"/>
    <w:rsid w:val="00836C79"/>
    <w:rsid w:val="0083737E"/>
    <w:rsid w:val="00837AF0"/>
    <w:rsid w:val="00840773"/>
    <w:rsid w:val="00842A57"/>
    <w:rsid w:val="008430A4"/>
    <w:rsid w:val="008437B9"/>
    <w:rsid w:val="0084414B"/>
    <w:rsid w:val="00844CB3"/>
    <w:rsid w:val="00844DD8"/>
    <w:rsid w:val="0084544F"/>
    <w:rsid w:val="0084577F"/>
    <w:rsid w:val="00845ED1"/>
    <w:rsid w:val="00846CB6"/>
    <w:rsid w:val="00847561"/>
    <w:rsid w:val="00847A54"/>
    <w:rsid w:val="00847F7A"/>
    <w:rsid w:val="0085119E"/>
    <w:rsid w:val="008519BA"/>
    <w:rsid w:val="00851DE2"/>
    <w:rsid w:val="00851FBB"/>
    <w:rsid w:val="008532B9"/>
    <w:rsid w:val="008533E8"/>
    <w:rsid w:val="00853899"/>
    <w:rsid w:val="00855155"/>
    <w:rsid w:val="00855953"/>
    <w:rsid w:val="00855CCF"/>
    <w:rsid w:val="008562DF"/>
    <w:rsid w:val="00856C42"/>
    <w:rsid w:val="00856D8B"/>
    <w:rsid w:val="008606D0"/>
    <w:rsid w:val="00860FE7"/>
    <w:rsid w:val="008611B0"/>
    <w:rsid w:val="008619D4"/>
    <w:rsid w:val="00862378"/>
    <w:rsid w:val="008632F6"/>
    <w:rsid w:val="00864262"/>
    <w:rsid w:val="00864E2C"/>
    <w:rsid w:val="00865195"/>
    <w:rsid w:val="00865480"/>
    <w:rsid w:val="008718CB"/>
    <w:rsid w:val="00872418"/>
    <w:rsid w:val="00872E1F"/>
    <w:rsid w:val="0087342A"/>
    <w:rsid w:val="00873D64"/>
    <w:rsid w:val="00874092"/>
    <w:rsid w:val="008759B5"/>
    <w:rsid w:val="00877B96"/>
    <w:rsid w:val="00877CA0"/>
    <w:rsid w:val="008803BD"/>
    <w:rsid w:val="008805AC"/>
    <w:rsid w:val="00880AA2"/>
    <w:rsid w:val="00881F53"/>
    <w:rsid w:val="0088253F"/>
    <w:rsid w:val="00882B2E"/>
    <w:rsid w:val="0088395D"/>
    <w:rsid w:val="00883EE5"/>
    <w:rsid w:val="008847AC"/>
    <w:rsid w:val="00885279"/>
    <w:rsid w:val="008855E7"/>
    <w:rsid w:val="00886DAC"/>
    <w:rsid w:val="0089037E"/>
    <w:rsid w:val="00890580"/>
    <w:rsid w:val="008907E7"/>
    <w:rsid w:val="00890FB6"/>
    <w:rsid w:val="008927F4"/>
    <w:rsid w:val="008938A9"/>
    <w:rsid w:val="00893E3B"/>
    <w:rsid w:val="0089415E"/>
    <w:rsid w:val="008943E5"/>
    <w:rsid w:val="008946CA"/>
    <w:rsid w:val="00895D25"/>
    <w:rsid w:val="00896CA7"/>
    <w:rsid w:val="00896F9A"/>
    <w:rsid w:val="008979B0"/>
    <w:rsid w:val="008A02D6"/>
    <w:rsid w:val="008A0C66"/>
    <w:rsid w:val="008A1089"/>
    <w:rsid w:val="008A17A6"/>
    <w:rsid w:val="008A2F85"/>
    <w:rsid w:val="008A3C4A"/>
    <w:rsid w:val="008A3E6A"/>
    <w:rsid w:val="008A4A43"/>
    <w:rsid w:val="008A4D9E"/>
    <w:rsid w:val="008A5FE1"/>
    <w:rsid w:val="008A6A46"/>
    <w:rsid w:val="008A6B5E"/>
    <w:rsid w:val="008A6BA6"/>
    <w:rsid w:val="008A6DA6"/>
    <w:rsid w:val="008A7DDB"/>
    <w:rsid w:val="008A7DE0"/>
    <w:rsid w:val="008B0474"/>
    <w:rsid w:val="008B0587"/>
    <w:rsid w:val="008B0676"/>
    <w:rsid w:val="008B18AF"/>
    <w:rsid w:val="008B23B9"/>
    <w:rsid w:val="008B287B"/>
    <w:rsid w:val="008B2FBC"/>
    <w:rsid w:val="008B3B6B"/>
    <w:rsid w:val="008B466E"/>
    <w:rsid w:val="008B511D"/>
    <w:rsid w:val="008B5224"/>
    <w:rsid w:val="008B5335"/>
    <w:rsid w:val="008B595F"/>
    <w:rsid w:val="008B5BDC"/>
    <w:rsid w:val="008B6206"/>
    <w:rsid w:val="008B6253"/>
    <w:rsid w:val="008C0B34"/>
    <w:rsid w:val="008C0F4B"/>
    <w:rsid w:val="008C2215"/>
    <w:rsid w:val="008C383B"/>
    <w:rsid w:val="008C3B62"/>
    <w:rsid w:val="008C3C0C"/>
    <w:rsid w:val="008C40C7"/>
    <w:rsid w:val="008C4F58"/>
    <w:rsid w:val="008C533A"/>
    <w:rsid w:val="008C60C2"/>
    <w:rsid w:val="008C63E1"/>
    <w:rsid w:val="008C687B"/>
    <w:rsid w:val="008C79A4"/>
    <w:rsid w:val="008D3098"/>
    <w:rsid w:val="008D388C"/>
    <w:rsid w:val="008D4780"/>
    <w:rsid w:val="008D4B79"/>
    <w:rsid w:val="008D4CA4"/>
    <w:rsid w:val="008D5281"/>
    <w:rsid w:val="008D536D"/>
    <w:rsid w:val="008D788C"/>
    <w:rsid w:val="008D7E8A"/>
    <w:rsid w:val="008E0BCE"/>
    <w:rsid w:val="008E17D3"/>
    <w:rsid w:val="008E1C79"/>
    <w:rsid w:val="008E1D15"/>
    <w:rsid w:val="008E2651"/>
    <w:rsid w:val="008E43C3"/>
    <w:rsid w:val="008E4F81"/>
    <w:rsid w:val="008E562E"/>
    <w:rsid w:val="008E5B42"/>
    <w:rsid w:val="008E6065"/>
    <w:rsid w:val="008E6804"/>
    <w:rsid w:val="008F079D"/>
    <w:rsid w:val="008F12BB"/>
    <w:rsid w:val="008F23DD"/>
    <w:rsid w:val="008F2B75"/>
    <w:rsid w:val="008F2F2E"/>
    <w:rsid w:val="008F3349"/>
    <w:rsid w:val="008F3C04"/>
    <w:rsid w:val="008F5DFE"/>
    <w:rsid w:val="008F7517"/>
    <w:rsid w:val="00900DE2"/>
    <w:rsid w:val="009019C0"/>
    <w:rsid w:val="00901B92"/>
    <w:rsid w:val="00901F98"/>
    <w:rsid w:val="00902938"/>
    <w:rsid w:val="00902AFF"/>
    <w:rsid w:val="0090305E"/>
    <w:rsid w:val="00903DF1"/>
    <w:rsid w:val="009040C4"/>
    <w:rsid w:val="00906359"/>
    <w:rsid w:val="00910BA2"/>
    <w:rsid w:val="00910C6C"/>
    <w:rsid w:val="00910E8F"/>
    <w:rsid w:val="00911008"/>
    <w:rsid w:val="0091353C"/>
    <w:rsid w:val="009139D9"/>
    <w:rsid w:val="00913EC8"/>
    <w:rsid w:val="0091476F"/>
    <w:rsid w:val="00914D8A"/>
    <w:rsid w:val="00915315"/>
    <w:rsid w:val="0091594F"/>
    <w:rsid w:val="00915CBF"/>
    <w:rsid w:val="009166BC"/>
    <w:rsid w:val="009175A9"/>
    <w:rsid w:val="00920161"/>
    <w:rsid w:val="0092094E"/>
    <w:rsid w:val="00920B4C"/>
    <w:rsid w:val="00921221"/>
    <w:rsid w:val="009216BF"/>
    <w:rsid w:val="00921C31"/>
    <w:rsid w:val="00921D3F"/>
    <w:rsid w:val="00922D50"/>
    <w:rsid w:val="00923220"/>
    <w:rsid w:val="009236B2"/>
    <w:rsid w:val="00924D26"/>
    <w:rsid w:val="009266EF"/>
    <w:rsid w:val="0092689E"/>
    <w:rsid w:val="00927020"/>
    <w:rsid w:val="0092755B"/>
    <w:rsid w:val="00930594"/>
    <w:rsid w:val="00931193"/>
    <w:rsid w:val="00931685"/>
    <w:rsid w:val="00931877"/>
    <w:rsid w:val="00931C51"/>
    <w:rsid w:val="009331D5"/>
    <w:rsid w:val="00933578"/>
    <w:rsid w:val="00933FF5"/>
    <w:rsid w:val="00934248"/>
    <w:rsid w:val="0093486C"/>
    <w:rsid w:val="009363AD"/>
    <w:rsid w:val="009363CC"/>
    <w:rsid w:val="00936D60"/>
    <w:rsid w:val="00937123"/>
    <w:rsid w:val="0094078E"/>
    <w:rsid w:val="009407D9"/>
    <w:rsid w:val="00940845"/>
    <w:rsid w:val="00940F79"/>
    <w:rsid w:val="009413B6"/>
    <w:rsid w:val="0094151F"/>
    <w:rsid w:val="00941A51"/>
    <w:rsid w:val="00941D5F"/>
    <w:rsid w:val="0094267A"/>
    <w:rsid w:val="009428DB"/>
    <w:rsid w:val="0094290B"/>
    <w:rsid w:val="00943313"/>
    <w:rsid w:val="0094369E"/>
    <w:rsid w:val="009438D2"/>
    <w:rsid w:val="0094495B"/>
    <w:rsid w:val="00944B16"/>
    <w:rsid w:val="00945A9D"/>
    <w:rsid w:val="00945D79"/>
    <w:rsid w:val="009465BF"/>
    <w:rsid w:val="00946949"/>
    <w:rsid w:val="00947B55"/>
    <w:rsid w:val="009507F5"/>
    <w:rsid w:val="00950D10"/>
    <w:rsid w:val="00950DBB"/>
    <w:rsid w:val="0095117B"/>
    <w:rsid w:val="009516E6"/>
    <w:rsid w:val="009536A9"/>
    <w:rsid w:val="00953920"/>
    <w:rsid w:val="00953C8B"/>
    <w:rsid w:val="0095572E"/>
    <w:rsid w:val="00956424"/>
    <w:rsid w:val="009571DF"/>
    <w:rsid w:val="0095733E"/>
    <w:rsid w:val="00960321"/>
    <w:rsid w:val="0096065D"/>
    <w:rsid w:val="0096105C"/>
    <w:rsid w:val="0096195B"/>
    <w:rsid w:val="009639A9"/>
    <w:rsid w:val="00963A1F"/>
    <w:rsid w:val="0096526A"/>
    <w:rsid w:val="009659F5"/>
    <w:rsid w:val="00965E9A"/>
    <w:rsid w:val="00965EC1"/>
    <w:rsid w:val="00966166"/>
    <w:rsid w:val="00966269"/>
    <w:rsid w:val="00966CF2"/>
    <w:rsid w:val="009678F3"/>
    <w:rsid w:val="00970261"/>
    <w:rsid w:val="009704A7"/>
    <w:rsid w:val="0097076C"/>
    <w:rsid w:val="009714A1"/>
    <w:rsid w:val="00971672"/>
    <w:rsid w:val="00971B2B"/>
    <w:rsid w:val="00972C84"/>
    <w:rsid w:val="00973A8D"/>
    <w:rsid w:val="0097414C"/>
    <w:rsid w:val="00974665"/>
    <w:rsid w:val="00974EB4"/>
    <w:rsid w:val="00975772"/>
    <w:rsid w:val="009758E3"/>
    <w:rsid w:val="00975C27"/>
    <w:rsid w:val="0097648B"/>
    <w:rsid w:val="00976AE9"/>
    <w:rsid w:val="00977E2D"/>
    <w:rsid w:val="009805C3"/>
    <w:rsid w:val="009808D5"/>
    <w:rsid w:val="00980D74"/>
    <w:rsid w:val="009811C1"/>
    <w:rsid w:val="00982FDF"/>
    <w:rsid w:val="00983819"/>
    <w:rsid w:val="00984713"/>
    <w:rsid w:val="0098518A"/>
    <w:rsid w:val="00985B09"/>
    <w:rsid w:val="00987C3A"/>
    <w:rsid w:val="00987D13"/>
    <w:rsid w:val="00991BF4"/>
    <w:rsid w:val="00991E57"/>
    <w:rsid w:val="00992168"/>
    <w:rsid w:val="00992D76"/>
    <w:rsid w:val="009938CC"/>
    <w:rsid w:val="009944DB"/>
    <w:rsid w:val="0099453B"/>
    <w:rsid w:val="0099456D"/>
    <w:rsid w:val="009946A3"/>
    <w:rsid w:val="009948BC"/>
    <w:rsid w:val="00994EDF"/>
    <w:rsid w:val="00995D0F"/>
    <w:rsid w:val="00996115"/>
    <w:rsid w:val="00996E1E"/>
    <w:rsid w:val="0099784E"/>
    <w:rsid w:val="009A0198"/>
    <w:rsid w:val="009A01E1"/>
    <w:rsid w:val="009A0CBD"/>
    <w:rsid w:val="009A16A3"/>
    <w:rsid w:val="009A1935"/>
    <w:rsid w:val="009A2C42"/>
    <w:rsid w:val="009A3010"/>
    <w:rsid w:val="009A3C57"/>
    <w:rsid w:val="009A6182"/>
    <w:rsid w:val="009A6B07"/>
    <w:rsid w:val="009A6C61"/>
    <w:rsid w:val="009A73C3"/>
    <w:rsid w:val="009A7D29"/>
    <w:rsid w:val="009B1D05"/>
    <w:rsid w:val="009B2063"/>
    <w:rsid w:val="009B2A88"/>
    <w:rsid w:val="009B2C99"/>
    <w:rsid w:val="009B3417"/>
    <w:rsid w:val="009B3A74"/>
    <w:rsid w:val="009B4285"/>
    <w:rsid w:val="009B4E2A"/>
    <w:rsid w:val="009B507C"/>
    <w:rsid w:val="009B56EB"/>
    <w:rsid w:val="009B5DE2"/>
    <w:rsid w:val="009B647F"/>
    <w:rsid w:val="009B678B"/>
    <w:rsid w:val="009B705D"/>
    <w:rsid w:val="009B74B3"/>
    <w:rsid w:val="009C0C9C"/>
    <w:rsid w:val="009C1073"/>
    <w:rsid w:val="009C1A13"/>
    <w:rsid w:val="009C1DDC"/>
    <w:rsid w:val="009C2C1E"/>
    <w:rsid w:val="009C3692"/>
    <w:rsid w:val="009C4827"/>
    <w:rsid w:val="009C4CA0"/>
    <w:rsid w:val="009C5F8F"/>
    <w:rsid w:val="009C65F9"/>
    <w:rsid w:val="009C7E88"/>
    <w:rsid w:val="009D0549"/>
    <w:rsid w:val="009D07EE"/>
    <w:rsid w:val="009D098C"/>
    <w:rsid w:val="009D0BCC"/>
    <w:rsid w:val="009D0F28"/>
    <w:rsid w:val="009D10D6"/>
    <w:rsid w:val="009D1126"/>
    <w:rsid w:val="009D18F6"/>
    <w:rsid w:val="009D2E41"/>
    <w:rsid w:val="009D31AF"/>
    <w:rsid w:val="009D32AB"/>
    <w:rsid w:val="009D3405"/>
    <w:rsid w:val="009D3933"/>
    <w:rsid w:val="009D3A0B"/>
    <w:rsid w:val="009D4A6D"/>
    <w:rsid w:val="009D5A35"/>
    <w:rsid w:val="009D5D10"/>
    <w:rsid w:val="009D60A9"/>
    <w:rsid w:val="009D6831"/>
    <w:rsid w:val="009D7B64"/>
    <w:rsid w:val="009E0388"/>
    <w:rsid w:val="009E0845"/>
    <w:rsid w:val="009E132D"/>
    <w:rsid w:val="009E1442"/>
    <w:rsid w:val="009E155D"/>
    <w:rsid w:val="009E1A95"/>
    <w:rsid w:val="009E2B64"/>
    <w:rsid w:val="009E330D"/>
    <w:rsid w:val="009E499F"/>
    <w:rsid w:val="009E5066"/>
    <w:rsid w:val="009E55D2"/>
    <w:rsid w:val="009E58BB"/>
    <w:rsid w:val="009E62F9"/>
    <w:rsid w:val="009E642A"/>
    <w:rsid w:val="009E6999"/>
    <w:rsid w:val="009E7F85"/>
    <w:rsid w:val="009F08F2"/>
    <w:rsid w:val="009F0B2D"/>
    <w:rsid w:val="009F0C8A"/>
    <w:rsid w:val="009F196E"/>
    <w:rsid w:val="009F1D3A"/>
    <w:rsid w:val="009F2A37"/>
    <w:rsid w:val="009F2CBE"/>
    <w:rsid w:val="009F3413"/>
    <w:rsid w:val="009F482B"/>
    <w:rsid w:val="009F7677"/>
    <w:rsid w:val="009F790C"/>
    <w:rsid w:val="00A00080"/>
    <w:rsid w:val="00A00A42"/>
    <w:rsid w:val="00A00FE6"/>
    <w:rsid w:val="00A0158F"/>
    <w:rsid w:val="00A02D98"/>
    <w:rsid w:val="00A0375B"/>
    <w:rsid w:val="00A03C83"/>
    <w:rsid w:val="00A041D0"/>
    <w:rsid w:val="00A046A3"/>
    <w:rsid w:val="00A0593F"/>
    <w:rsid w:val="00A066C3"/>
    <w:rsid w:val="00A067D6"/>
    <w:rsid w:val="00A074EA"/>
    <w:rsid w:val="00A0763B"/>
    <w:rsid w:val="00A07697"/>
    <w:rsid w:val="00A078D3"/>
    <w:rsid w:val="00A07ACF"/>
    <w:rsid w:val="00A07E76"/>
    <w:rsid w:val="00A1028E"/>
    <w:rsid w:val="00A1084A"/>
    <w:rsid w:val="00A1134F"/>
    <w:rsid w:val="00A11F51"/>
    <w:rsid w:val="00A12163"/>
    <w:rsid w:val="00A1301D"/>
    <w:rsid w:val="00A1362A"/>
    <w:rsid w:val="00A1427B"/>
    <w:rsid w:val="00A1453F"/>
    <w:rsid w:val="00A15D5F"/>
    <w:rsid w:val="00A1683B"/>
    <w:rsid w:val="00A171AD"/>
    <w:rsid w:val="00A2095F"/>
    <w:rsid w:val="00A21296"/>
    <w:rsid w:val="00A22F27"/>
    <w:rsid w:val="00A25E8B"/>
    <w:rsid w:val="00A2643C"/>
    <w:rsid w:val="00A270AE"/>
    <w:rsid w:val="00A273F7"/>
    <w:rsid w:val="00A27A43"/>
    <w:rsid w:val="00A31923"/>
    <w:rsid w:val="00A31C96"/>
    <w:rsid w:val="00A33E96"/>
    <w:rsid w:val="00A36B12"/>
    <w:rsid w:val="00A37440"/>
    <w:rsid w:val="00A41F10"/>
    <w:rsid w:val="00A41FD0"/>
    <w:rsid w:val="00A4264F"/>
    <w:rsid w:val="00A4309F"/>
    <w:rsid w:val="00A437E0"/>
    <w:rsid w:val="00A43C10"/>
    <w:rsid w:val="00A450A6"/>
    <w:rsid w:val="00A4558E"/>
    <w:rsid w:val="00A462A7"/>
    <w:rsid w:val="00A46D38"/>
    <w:rsid w:val="00A46F12"/>
    <w:rsid w:val="00A47572"/>
    <w:rsid w:val="00A50306"/>
    <w:rsid w:val="00A5040B"/>
    <w:rsid w:val="00A50927"/>
    <w:rsid w:val="00A5095C"/>
    <w:rsid w:val="00A50B02"/>
    <w:rsid w:val="00A50D24"/>
    <w:rsid w:val="00A512A6"/>
    <w:rsid w:val="00A51898"/>
    <w:rsid w:val="00A51F31"/>
    <w:rsid w:val="00A521CC"/>
    <w:rsid w:val="00A534AD"/>
    <w:rsid w:val="00A53651"/>
    <w:rsid w:val="00A53CD2"/>
    <w:rsid w:val="00A543D6"/>
    <w:rsid w:val="00A547D6"/>
    <w:rsid w:val="00A550DC"/>
    <w:rsid w:val="00A55ED6"/>
    <w:rsid w:val="00A568F0"/>
    <w:rsid w:val="00A5711F"/>
    <w:rsid w:val="00A5781C"/>
    <w:rsid w:val="00A60AAF"/>
    <w:rsid w:val="00A61294"/>
    <w:rsid w:val="00A62423"/>
    <w:rsid w:val="00A62854"/>
    <w:rsid w:val="00A62B4B"/>
    <w:rsid w:val="00A632F3"/>
    <w:rsid w:val="00A64F9B"/>
    <w:rsid w:val="00A65380"/>
    <w:rsid w:val="00A65782"/>
    <w:rsid w:val="00A65BCF"/>
    <w:rsid w:val="00A65CF3"/>
    <w:rsid w:val="00A66DA5"/>
    <w:rsid w:val="00A6763F"/>
    <w:rsid w:val="00A67F74"/>
    <w:rsid w:val="00A70679"/>
    <w:rsid w:val="00A70DF7"/>
    <w:rsid w:val="00A71C78"/>
    <w:rsid w:val="00A71FD1"/>
    <w:rsid w:val="00A724C9"/>
    <w:rsid w:val="00A72D25"/>
    <w:rsid w:val="00A73181"/>
    <w:rsid w:val="00A73791"/>
    <w:rsid w:val="00A73AF9"/>
    <w:rsid w:val="00A7460A"/>
    <w:rsid w:val="00A74A03"/>
    <w:rsid w:val="00A75719"/>
    <w:rsid w:val="00A759AD"/>
    <w:rsid w:val="00A80F43"/>
    <w:rsid w:val="00A8112D"/>
    <w:rsid w:val="00A81372"/>
    <w:rsid w:val="00A824B4"/>
    <w:rsid w:val="00A84C8E"/>
    <w:rsid w:val="00A84D69"/>
    <w:rsid w:val="00A855A6"/>
    <w:rsid w:val="00A85A2C"/>
    <w:rsid w:val="00A85C89"/>
    <w:rsid w:val="00A85DAB"/>
    <w:rsid w:val="00A86BD9"/>
    <w:rsid w:val="00A86EB0"/>
    <w:rsid w:val="00A87C39"/>
    <w:rsid w:val="00A87F59"/>
    <w:rsid w:val="00A9046C"/>
    <w:rsid w:val="00A9084E"/>
    <w:rsid w:val="00A92376"/>
    <w:rsid w:val="00A9239A"/>
    <w:rsid w:val="00A92957"/>
    <w:rsid w:val="00A93387"/>
    <w:rsid w:val="00A93AFA"/>
    <w:rsid w:val="00A93DF3"/>
    <w:rsid w:val="00A95AE0"/>
    <w:rsid w:val="00A95BD7"/>
    <w:rsid w:val="00A961B6"/>
    <w:rsid w:val="00A96239"/>
    <w:rsid w:val="00A96872"/>
    <w:rsid w:val="00A975EF"/>
    <w:rsid w:val="00AA1F50"/>
    <w:rsid w:val="00AA2374"/>
    <w:rsid w:val="00AA24D5"/>
    <w:rsid w:val="00AA3373"/>
    <w:rsid w:val="00AA3546"/>
    <w:rsid w:val="00AA4417"/>
    <w:rsid w:val="00AA6490"/>
    <w:rsid w:val="00AA6602"/>
    <w:rsid w:val="00AB0F9A"/>
    <w:rsid w:val="00AB1D7B"/>
    <w:rsid w:val="00AB20AA"/>
    <w:rsid w:val="00AB29A2"/>
    <w:rsid w:val="00AB2E9C"/>
    <w:rsid w:val="00AB311E"/>
    <w:rsid w:val="00AB39BC"/>
    <w:rsid w:val="00AB4083"/>
    <w:rsid w:val="00AB49F5"/>
    <w:rsid w:val="00AB4AF4"/>
    <w:rsid w:val="00AB5D50"/>
    <w:rsid w:val="00AB6607"/>
    <w:rsid w:val="00AB673C"/>
    <w:rsid w:val="00AC02DD"/>
    <w:rsid w:val="00AC1040"/>
    <w:rsid w:val="00AC1A37"/>
    <w:rsid w:val="00AC2C4C"/>
    <w:rsid w:val="00AC53AE"/>
    <w:rsid w:val="00AC5DAB"/>
    <w:rsid w:val="00AD0495"/>
    <w:rsid w:val="00AD0771"/>
    <w:rsid w:val="00AD08A6"/>
    <w:rsid w:val="00AD2825"/>
    <w:rsid w:val="00AD3417"/>
    <w:rsid w:val="00AD3476"/>
    <w:rsid w:val="00AD3976"/>
    <w:rsid w:val="00AD5145"/>
    <w:rsid w:val="00AD53EB"/>
    <w:rsid w:val="00AD5911"/>
    <w:rsid w:val="00AD734F"/>
    <w:rsid w:val="00AD788B"/>
    <w:rsid w:val="00AE21A6"/>
    <w:rsid w:val="00AE2783"/>
    <w:rsid w:val="00AE6C69"/>
    <w:rsid w:val="00AE74F3"/>
    <w:rsid w:val="00AF09CF"/>
    <w:rsid w:val="00AF12BE"/>
    <w:rsid w:val="00AF1554"/>
    <w:rsid w:val="00AF175B"/>
    <w:rsid w:val="00AF3092"/>
    <w:rsid w:val="00AF3D43"/>
    <w:rsid w:val="00AF6546"/>
    <w:rsid w:val="00AF66B9"/>
    <w:rsid w:val="00AF709D"/>
    <w:rsid w:val="00AF7D3F"/>
    <w:rsid w:val="00B005B6"/>
    <w:rsid w:val="00B0090A"/>
    <w:rsid w:val="00B01AC2"/>
    <w:rsid w:val="00B01F57"/>
    <w:rsid w:val="00B02618"/>
    <w:rsid w:val="00B02B81"/>
    <w:rsid w:val="00B03779"/>
    <w:rsid w:val="00B05538"/>
    <w:rsid w:val="00B0605A"/>
    <w:rsid w:val="00B07917"/>
    <w:rsid w:val="00B07AE0"/>
    <w:rsid w:val="00B103BF"/>
    <w:rsid w:val="00B10792"/>
    <w:rsid w:val="00B1171E"/>
    <w:rsid w:val="00B119C4"/>
    <w:rsid w:val="00B11EE8"/>
    <w:rsid w:val="00B11FAD"/>
    <w:rsid w:val="00B12B2C"/>
    <w:rsid w:val="00B12D15"/>
    <w:rsid w:val="00B14D27"/>
    <w:rsid w:val="00B14D36"/>
    <w:rsid w:val="00B14F69"/>
    <w:rsid w:val="00B16275"/>
    <w:rsid w:val="00B162B9"/>
    <w:rsid w:val="00B163C5"/>
    <w:rsid w:val="00B168E6"/>
    <w:rsid w:val="00B17556"/>
    <w:rsid w:val="00B217C5"/>
    <w:rsid w:val="00B219C7"/>
    <w:rsid w:val="00B22230"/>
    <w:rsid w:val="00B24066"/>
    <w:rsid w:val="00B2444A"/>
    <w:rsid w:val="00B24B4A"/>
    <w:rsid w:val="00B24D55"/>
    <w:rsid w:val="00B27871"/>
    <w:rsid w:val="00B27CA6"/>
    <w:rsid w:val="00B27FE1"/>
    <w:rsid w:val="00B306B7"/>
    <w:rsid w:val="00B30D3C"/>
    <w:rsid w:val="00B3107D"/>
    <w:rsid w:val="00B311E9"/>
    <w:rsid w:val="00B312C7"/>
    <w:rsid w:val="00B31927"/>
    <w:rsid w:val="00B31CC1"/>
    <w:rsid w:val="00B324F2"/>
    <w:rsid w:val="00B32B8F"/>
    <w:rsid w:val="00B33560"/>
    <w:rsid w:val="00B33BCF"/>
    <w:rsid w:val="00B345B6"/>
    <w:rsid w:val="00B34C3C"/>
    <w:rsid w:val="00B35E31"/>
    <w:rsid w:val="00B36115"/>
    <w:rsid w:val="00B36598"/>
    <w:rsid w:val="00B368C3"/>
    <w:rsid w:val="00B37171"/>
    <w:rsid w:val="00B37814"/>
    <w:rsid w:val="00B4079B"/>
    <w:rsid w:val="00B40F65"/>
    <w:rsid w:val="00B4100C"/>
    <w:rsid w:val="00B41195"/>
    <w:rsid w:val="00B42064"/>
    <w:rsid w:val="00B429BD"/>
    <w:rsid w:val="00B42A25"/>
    <w:rsid w:val="00B43DDB"/>
    <w:rsid w:val="00B456BF"/>
    <w:rsid w:val="00B45F6E"/>
    <w:rsid w:val="00B4643F"/>
    <w:rsid w:val="00B46449"/>
    <w:rsid w:val="00B46D14"/>
    <w:rsid w:val="00B47C0D"/>
    <w:rsid w:val="00B47F53"/>
    <w:rsid w:val="00B50B36"/>
    <w:rsid w:val="00B512D0"/>
    <w:rsid w:val="00B52E97"/>
    <w:rsid w:val="00B537CD"/>
    <w:rsid w:val="00B54EDF"/>
    <w:rsid w:val="00B551F9"/>
    <w:rsid w:val="00B555F7"/>
    <w:rsid w:val="00B568F1"/>
    <w:rsid w:val="00B57748"/>
    <w:rsid w:val="00B57AB1"/>
    <w:rsid w:val="00B60214"/>
    <w:rsid w:val="00B60611"/>
    <w:rsid w:val="00B608BF"/>
    <w:rsid w:val="00B636F0"/>
    <w:rsid w:val="00B648A0"/>
    <w:rsid w:val="00B64CC1"/>
    <w:rsid w:val="00B668E1"/>
    <w:rsid w:val="00B67790"/>
    <w:rsid w:val="00B70348"/>
    <w:rsid w:val="00B70F4E"/>
    <w:rsid w:val="00B71EEE"/>
    <w:rsid w:val="00B72277"/>
    <w:rsid w:val="00B7261C"/>
    <w:rsid w:val="00B72E66"/>
    <w:rsid w:val="00B73527"/>
    <w:rsid w:val="00B73E75"/>
    <w:rsid w:val="00B74CA8"/>
    <w:rsid w:val="00B7500A"/>
    <w:rsid w:val="00B7513E"/>
    <w:rsid w:val="00B75886"/>
    <w:rsid w:val="00B759EB"/>
    <w:rsid w:val="00B75C5C"/>
    <w:rsid w:val="00B75D15"/>
    <w:rsid w:val="00B76A38"/>
    <w:rsid w:val="00B77E6E"/>
    <w:rsid w:val="00B80050"/>
    <w:rsid w:val="00B804B5"/>
    <w:rsid w:val="00B804EB"/>
    <w:rsid w:val="00B8055A"/>
    <w:rsid w:val="00B81503"/>
    <w:rsid w:val="00B81F2F"/>
    <w:rsid w:val="00B8217B"/>
    <w:rsid w:val="00B828FD"/>
    <w:rsid w:val="00B83292"/>
    <w:rsid w:val="00B83DDA"/>
    <w:rsid w:val="00B861F6"/>
    <w:rsid w:val="00B86BC6"/>
    <w:rsid w:val="00B86D39"/>
    <w:rsid w:val="00B87456"/>
    <w:rsid w:val="00B87BE3"/>
    <w:rsid w:val="00B90401"/>
    <w:rsid w:val="00B908B8"/>
    <w:rsid w:val="00B9098D"/>
    <w:rsid w:val="00B909E3"/>
    <w:rsid w:val="00B90C0F"/>
    <w:rsid w:val="00B90DE3"/>
    <w:rsid w:val="00B91B64"/>
    <w:rsid w:val="00B921BB"/>
    <w:rsid w:val="00B93035"/>
    <w:rsid w:val="00B93571"/>
    <w:rsid w:val="00B935E8"/>
    <w:rsid w:val="00B93895"/>
    <w:rsid w:val="00B954C7"/>
    <w:rsid w:val="00B96418"/>
    <w:rsid w:val="00B966AD"/>
    <w:rsid w:val="00B96960"/>
    <w:rsid w:val="00B96FC3"/>
    <w:rsid w:val="00BA025A"/>
    <w:rsid w:val="00BA0B58"/>
    <w:rsid w:val="00BA20A5"/>
    <w:rsid w:val="00BA2500"/>
    <w:rsid w:val="00BA2ADF"/>
    <w:rsid w:val="00BA2ED4"/>
    <w:rsid w:val="00BA3133"/>
    <w:rsid w:val="00BA3247"/>
    <w:rsid w:val="00BA394E"/>
    <w:rsid w:val="00BA4BF0"/>
    <w:rsid w:val="00BA4F5A"/>
    <w:rsid w:val="00BA76A0"/>
    <w:rsid w:val="00BA7BA6"/>
    <w:rsid w:val="00BB005C"/>
    <w:rsid w:val="00BB0445"/>
    <w:rsid w:val="00BB05DC"/>
    <w:rsid w:val="00BB07E3"/>
    <w:rsid w:val="00BB0B4E"/>
    <w:rsid w:val="00BB1BCA"/>
    <w:rsid w:val="00BB308F"/>
    <w:rsid w:val="00BB40A8"/>
    <w:rsid w:val="00BB4D7E"/>
    <w:rsid w:val="00BB5195"/>
    <w:rsid w:val="00BB5286"/>
    <w:rsid w:val="00BB59C0"/>
    <w:rsid w:val="00BB6D5E"/>
    <w:rsid w:val="00BB6EAD"/>
    <w:rsid w:val="00BB6F0B"/>
    <w:rsid w:val="00BC0102"/>
    <w:rsid w:val="00BC051C"/>
    <w:rsid w:val="00BC09CA"/>
    <w:rsid w:val="00BC0CE6"/>
    <w:rsid w:val="00BC2B00"/>
    <w:rsid w:val="00BC3CA9"/>
    <w:rsid w:val="00BC3F44"/>
    <w:rsid w:val="00BC4EBB"/>
    <w:rsid w:val="00BC4FE1"/>
    <w:rsid w:val="00BC5BE0"/>
    <w:rsid w:val="00BC5D06"/>
    <w:rsid w:val="00BC6888"/>
    <w:rsid w:val="00BC6B7E"/>
    <w:rsid w:val="00BC6C07"/>
    <w:rsid w:val="00BD12EA"/>
    <w:rsid w:val="00BD142C"/>
    <w:rsid w:val="00BD18B3"/>
    <w:rsid w:val="00BD1A7E"/>
    <w:rsid w:val="00BD21E3"/>
    <w:rsid w:val="00BD275C"/>
    <w:rsid w:val="00BD2C72"/>
    <w:rsid w:val="00BD3D19"/>
    <w:rsid w:val="00BD3E56"/>
    <w:rsid w:val="00BD40A2"/>
    <w:rsid w:val="00BD4221"/>
    <w:rsid w:val="00BD45AF"/>
    <w:rsid w:val="00BD50FB"/>
    <w:rsid w:val="00BD527A"/>
    <w:rsid w:val="00BD54CB"/>
    <w:rsid w:val="00BD5CC8"/>
    <w:rsid w:val="00BD5EEB"/>
    <w:rsid w:val="00BD5F9F"/>
    <w:rsid w:val="00BD68A5"/>
    <w:rsid w:val="00BD6917"/>
    <w:rsid w:val="00BD6E49"/>
    <w:rsid w:val="00BD6FE8"/>
    <w:rsid w:val="00BD7489"/>
    <w:rsid w:val="00BD74EC"/>
    <w:rsid w:val="00BD7784"/>
    <w:rsid w:val="00BD7AB1"/>
    <w:rsid w:val="00BD7D77"/>
    <w:rsid w:val="00BE069B"/>
    <w:rsid w:val="00BE07B2"/>
    <w:rsid w:val="00BE0B4D"/>
    <w:rsid w:val="00BE145B"/>
    <w:rsid w:val="00BE1D7D"/>
    <w:rsid w:val="00BE2922"/>
    <w:rsid w:val="00BE2956"/>
    <w:rsid w:val="00BE318B"/>
    <w:rsid w:val="00BE40D6"/>
    <w:rsid w:val="00BE4521"/>
    <w:rsid w:val="00BE470E"/>
    <w:rsid w:val="00BE5876"/>
    <w:rsid w:val="00BE6441"/>
    <w:rsid w:val="00BE7053"/>
    <w:rsid w:val="00BE70A5"/>
    <w:rsid w:val="00BE7268"/>
    <w:rsid w:val="00BE77A7"/>
    <w:rsid w:val="00BF064E"/>
    <w:rsid w:val="00BF0898"/>
    <w:rsid w:val="00BF1739"/>
    <w:rsid w:val="00BF348C"/>
    <w:rsid w:val="00BF56CF"/>
    <w:rsid w:val="00BF5876"/>
    <w:rsid w:val="00BF79C0"/>
    <w:rsid w:val="00BF7ABF"/>
    <w:rsid w:val="00BF7E10"/>
    <w:rsid w:val="00C00C65"/>
    <w:rsid w:val="00C02227"/>
    <w:rsid w:val="00C0366E"/>
    <w:rsid w:val="00C03848"/>
    <w:rsid w:val="00C04940"/>
    <w:rsid w:val="00C04C34"/>
    <w:rsid w:val="00C0505E"/>
    <w:rsid w:val="00C05724"/>
    <w:rsid w:val="00C061CA"/>
    <w:rsid w:val="00C07DEC"/>
    <w:rsid w:val="00C07F6B"/>
    <w:rsid w:val="00C10D28"/>
    <w:rsid w:val="00C11E60"/>
    <w:rsid w:val="00C12C05"/>
    <w:rsid w:val="00C13350"/>
    <w:rsid w:val="00C13877"/>
    <w:rsid w:val="00C14137"/>
    <w:rsid w:val="00C1441C"/>
    <w:rsid w:val="00C151CC"/>
    <w:rsid w:val="00C15F2E"/>
    <w:rsid w:val="00C1605D"/>
    <w:rsid w:val="00C16A4F"/>
    <w:rsid w:val="00C17523"/>
    <w:rsid w:val="00C1764C"/>
    <w:rsid w:val="00C17C84"/>
    <w:rsid w:val="00C17F9A"/>
    <w:rsid w:val="00C20C72"/>
    <w:rsid w:val="00C20E0D"/>
    <w:rsid w:val="00C2124D"/>
    <w:rsid w:val="00C21AA9"/>
    <w:rsid w:val="00C23D3C"/>
    <w:rsid w:val="00C23FB6"/>
    <w:rsid w:val="00C240AB"/>
    <w:rsid w:val="00C249BB"/>
    <w:rsid w:val="00C25F02"/>
    <w:rsid w:val="00C261E0"/>
    <w:rsid w:val="00C30399"/>
    <w:rsid w:val="00C30E3F"/>
    <w:rsid w:val="00C30FD5"/>
    <w:rsid w:val="00C31162"/>
    <w:rsid w:val="00C3131E"/>
    <w:rsid w:val="00C31E5F"/>
    <w:rsid w:val="00C3298E"/>
    <w:rsid w:val="00C34058"/>
    <w:rsid w:val="00C342E4"/>
    <w:rsid w:val="00C35CD9"/>
    <w:rsid w:val="00C37856"/>
    <w:rsid w:val="00C40D5E"/>
    <w:rsid w:val="00C426CB"/>
    <w:rsid w:val="00C43354"/>
    <w:rsid w:val="00C4405A"/>
    <w:rsid w:val="00C44890"/>
    <w:rsid w:val="00C44912"/>
    <w:rsid w:val="00C44A3A"/>
    <w:rsid w:val="00C44E47"/>
    <w:rsid w:val="00C45C1A"/>
    <w:rsid w:val="00C4612A"/>
    <w:rsid w:val="00C46220"/>
    <w:rsid w:val="00C466E9"/>
    <w:rsid w:val="00C46F16"/>
    <w:rsid w:val="00C47826"/>
    <w:rsid w:val="00C47A89"/>
    <w:rsid w:val="00C50368"/>
    <w:rsid w:val="00C50605"/>
    <w:rsid w:val="00C51AB6"/>
    <w:rsid w:val="00C51B45"/>
    <w:rsid w:val="00C52551"/>
    <w:rsid w:val="00C531FB"/>
    <w:rsid w:val="00C54A27"/>
    <w:rsid w:val="00C559AE"/>
    <w:rsid w:val="00C60216"/>
    <w:rsid w:val="00C602C6"/>
    <w:rsid w:val="00C60558"/>
    <w:rsid w:val="00C633C5"/>
    <w:rsid w:val="00C633CA"/>
    <w:rsid w:val="00C6453D"/>
    <w:rsid w:val="00C64675"/>
    <w:rsid w:val="00C64AB8"/>
    <w:rsid w:val="00C675F9"/>
    <w:rsid w:val="00C70D94"/>
    <w:rsid w:val="00C71004"/>
    <w:rsid w:val="00C715AD"/>
    <w:rsid w:val="00C71B42"/>
    <w:rsid w:val="00C71E5C"/>
    <w:rsid w:val="00C7276C"/>
    <w:rsid w:val="00C74AA7"/>
    <w:rsid w:val="00C75817"/>
    <w:rsid w:val="00C75E4E"/>
    <w:rsid w:val="00C764BB"/>
    <w:rsid w:val="00C77085"/>
    <w:rsid w:val="00C77934"/>
    <w:rsid w:val="00C8066F"/>
    <w:rsid w:val="00C809F9"/>
    <w:rsid w:val="00C80D0B"/>
    <w:rsid w:val="00C81B23"/>
    <w:rsid w:val="00C8231F"/>
    <w:rsid w:val="00C82446"/>
    <w:rsid w:val="00C8297A"/>
    <w:rsid w:val="00C83356"/>
    <w:rsid w:val="00C853A3"/>
    <w:rsid w:val="00C863A5"/>
    <w:rsid w:val="00C86667"/>
    <w:rsid w:val="00C87A9F"/>
    <w:rsid w:val="00C901BF"/>
    <w:rsid w:val="00C92A3B"/>
    <w:rsid w:val="00C92EBC"/>
    <w:rsid w:val="00C94584"/>
    <w:rsid w:val="00C94FC6"/>
    <w:rsid w:val="00C9543F"/>
    <w:rsid w:val="00C95DD4"/>
    <w:rsid w:val="00C9641E"/>
    <w:rsid w:val="00C96B74"/>
    <w:rsid w:val="00C96CA0"/>
    <w:rsid w:val="00C9792D"/>
    <w:rsid w:val="00C97E32"/>
    <w:rsid w:val="00CA098D"/>
    <w:rsid w:val="00CA0EA4"/>
    <w:rsid w:val="00CA1596"/>
    <w:rsid w:val="00CA19BF"/>
    <w:rsid w:val="00CA211C"/>
    <w:rsid w:val="00CA2256"/>
    <w:rsid w:val="00CA43D7"/>
    <w:rsid w:val="00CA5C1D"/>
    <w:rsid w:val="00CA61D2"/>
    <w:rsid w:val="00CA77EA"/>
    <w:rsid w:val="00CB02F4"/>
    <w:rsid w:val="00CB0A98"/>
    <w:rsid w:val="00CB0B4C"/>
    <w:rsid w:val="00CB1F76"/>
    <w:rsid w:val="00CB24A3"/>
    <w:rsid w:val="00CB277A"/>
    <w:rsid w:val="00CB27C7"/>
    <w:rsid w:val="00CB2828"/>
    <w:rsid w:val="00CB36BC"/>
    <w:rsid w:val="00CB3AA0"/>
    <w:rsid w:val="00CB559D"/>
    <w:rsid w:val="00CB5904"/>
    <w:rsid w:val="00CB6185"/>
    <w:rsid w:val="00CB64B7"/>
    <w:rsid w:val="00CB72AD"/>
    <w:rsid w:val="00CC01CC"/>
    <w:rsid w:val="00CC045D"/>
    <w:rsid w:val="00CC06D4"/>
    <w:rsid w:val="00CC0D21"/>
    <w:rsid w:val="00CC15C9"/>
    <w:rsid w:val="00CC4073"/>
    <w:rsid w:val="00CC43A8"/>
    <w:rsid w:val="00CC44E4"/>
    <w:rsid w:val="00CC5489"/>
    <w:rsid w:val="00CC56BB"/>
    <w:rsid w:val="00CC5C7F"/>
    <w:rsid w:val="00CC5EB3"/>
    <w:rsid w:val="00CC6BA9"/>
    <w:rsid w:val="00CC6FD6"/>
    <w:rsid w:val="00CC7334"/>
    <w:rsid w:val="00CC743B"/>
    <w:rsid w:val="00CC7B96"/>
    <w:rsid w:val="00CC7E05"/>
    <w:rsid w:val="00CC7F2D"/>
    <w:rsid w:val="00CD11F0"/>
    <w:rsid w:val="00CD2C5C"/>
    <w:rsid w:val="00CD3F0A"/>
    <w:rsid w:val="00CD484C"/>
    <w:rsid w:val="00CD4C37"/>
    <w:rsid w:val="00CD50EA"/>
    <w:rsid w:val="00CD598E"/>
    <w:rsid w:val="00CD66CA"/>
    <w:rsid w:val="00CD6862"/>
    <w:rsid w:val="00CD6EC6"/>
    <w:rsid w:val="00CD79C4"/>
    <w:rsid w:val="00CD7C4D"/>
    <w:rsid w:val="00CE068C"/>
    <w:rsid w:val="00CE15E2"/>
    <w:rsid w:val="00CE2886"/>
    <w:rsid w:val="00CE311A"/>
    <w:rsid w:val="00CE34A2"/>
    <w:rsid w:val="00CE3769"/>
    <w:rsid w:val="00CE3862"/>
    <w:rsid w:val="00CE3D95"/>
    <w:rsid w:val="00CE5AC0"/>
    <w:rsid w:val="00CE62E0"/>
    <w:rsid w:val="00CF0060"/>
    <w:rsid w:val="00CF040B"/>
    <w:rsid w:val="00CF06D5"/>
    <w:rsid w:val="00CF1114"/>
    <w:rsid w:val="00CF29A0"/>
    <w:rsid w:val="00CF2C74"/>
    <w:rsid w:val="00CF2EAE"/>
    <w:rsid w:val="00CF3BA0"/>
    <w:rsid w:val="00CF41A1"/>
    <w:rsid w:val="00CF4AC4"/>
    <w:rsid w:val="00CF5DC4"/>
    <w:rsid w:val="00CF6027"/>
    <w:rsid w:val="00CF616B"/>
    <w:rsid w:val="00CF61A0"/>
    <w:rsid w:val="00CF62CF"/>
    <w:rsid w:val="00D00934"/>
    <w:rsid w:val="00D02D0C"/>
    <w:rsid w:val="00D05443"/>
    <w:rsid w:val="00D060A0"/>
    <w:rsid w:val="00D06AF3"/>
    <w:rsid w:val="00D0766D"/>
    <w:rsid w:val="00D0792D"/>
    <w:rsid w:val="00D07BED"/>
    <w:rsid w:val="00D110B2"/>
    <w:rsid w:val="00D115BD"/>
    <w:rsid w:val="00D12565"/>
    <w:rsid w:val="00D129D9"/>
    <w:rsid w:val="00D15076"/>
    <w:rsid w:val="00D171FA"/>
    <w:rsid w:val="00D2043C"/>
    <w:rsid w:val="00D22AE6"/>
    <w:rsid w:val="00D23533"/>
    <w:rsid w:val="00D260C5"/>
    <w:rsid w:val="00D2687D"/>
    <w:rsid w:val="00D26BF4"/>
    <w:rsid w:val="00D26CB0"/>
    <w:rsid w:val="00D2793E"/>
    <w:rsid w:val="00D27EE1"/>
    <w:rsid w:val="00D302E3"/>
    <w:rsid w:val="00D306F4"/>
    <w:rsid w:val="00D31252"/>
    <w:rsid w:val="00D312CC"/>
    <w:rsid w:val="00D31B75"/>
    <w:rsid w:val="00D325E9"/>
    <w:rsid w:val="00D33216"/>
    <w:rsid w:val="00D3353D"/>
    <w:rsid w:val="00D34F43"/>
    <w:rsid w:val="00D3563A"/>
    <w:rsid w:val="00D36031"/>
    <w:rsid w:val="00D3615E"/>
    <w:rsid w:val="00D3648A"/>
    <w:rsid w:val="00D366C7"/>
    <w:rsid w:val="00D36DD0"/>
    <w:rsid w:val="00D3721F"/>
    <w:rsid w:val="00D40955"/>
    <w:rsid w:val="00D40C2D"/>
    <w:rsid w:val="00D41171"/>
    <w:rsid w:val="00D411FF"/>
    <w:rsid w:val="00D418D6"/>
    <w:rsid w:val="00D424C0"/>
    <w:rsid w:val="00D42605"/>
    <w:rsid w:val="00D43379"/>
    <w:rsid w:val="00D43D9F"/>
    <w:rsid w:val="00D4505C"/>
    <w:rsid w:val="00D47568"/>
    <w:rsid w:val="00D5002D"/>
    <w:rsid w:val="00D50941"/>
    <w:rsid w:val="00D50F7F"/>
    <w:rsid w:val="00D52047"/>
    <w:rsid w:val="00D52069"/>
    <w:rsid w:val="00D5396A"/>
    <w:rsid w:val="00D5437A"/>
    <w:rsid w:val="00D54782"/>
    <w:rsid w:val="00D554AF"/>
    <w:rsid w:val="00D569C1"/>
    <w:rsid w:val="00D56CFA"/>
    <w:rsid w:val="00D56EF0"/>
    <w:rsid w:val="00D57348"/>
    <w:rsid w:val="00D5787B"/>
    <w:rsid w:val="00D57DD8"/>
    <w:rsid w:val="00D6067D"/>
    <w:rsid w:val="00D614D2"/>
    <w:rsid w:val="00D6235C"/>
    <w:rsid w:val="00D623E2"/>
    <w:rsid w:val="00D624F8"/>
    <w:rsid w:val="00D62573"/>
    <w:rsid w:val="00D63796"/>
    <w:rsid w:val="00D6462C"/>
    <w:rsid w:val="00D64DD7"/>
    <w:rsid w:val="00D6659D"/>
    <w:rsid w:val="00D66763"/>
    <w:rsid w:val="00D66AE3"/>
    <w:rsid w:val="00D67251"/>
    <w:rsid w:val="00D676BA"/>
    <w:rsid w:val="00D7056F"/>
    <w:rsid w:val="00D707B9"/>
    <w:rsid w:val="00D70884"/>
    <w:rsid w:val="00D70967"/>
    <w:rsid w:val="00D70DA9"/>
    <w:rsid w:val="00D73D12"/>
    <w:rsid w:val="00D73DFC"/>
    <w:rsid w:val="00D742B5"/>
    <w:rsid w:val="00D74D55"/>
    <w:rsid w:val="00D757BF"/>
    <w:rsid w:val="00D7623A"/>
    <w:rsid w:val="00D7652A"/>
    <w:rsid w:val="00D769F2"/>
    <w:rsid w:val="00D7754F"/>
    <w:rsid w:val="00D77C83"/>
    <w:rsid w:val="00D815F0"/>
    <w:rsid w:val="00D818F2"/>
    <w:rsid w:val="00D82844"/>
    <w:rsid w:val="00D82F29"/>
    <w:rsid w:val="00D839E5"/>
    <w:rsid w:val="00D83EF4"/>
    <w:rsid w:val="00D84897"/>
    <w:rsid w:val="00D848D3"/>
    <w:rsid w:val="00D8633C"/>
    <w:rsid w:val="00D86514"/>
    <w:rsid w:val="00D9063C"/>
    <w:rsid w:val="00D93936"/>
    <w:rsid w:val="00D94017"/>
    <w:rsid w:val="00D940BF"/>
    <w:rsid w:val="00D95129"/>
    <w:rsid w:val="00D95188"/>
    <w:rsid w:val="00D96367"/>
    <w:rsid w:val="00D9747A"/>
    <w:rsid w:val="00D97532"/>
    <w:rsid w:val="00D975B1"/>
    <w:rsid w:val="00D97EF4"/>
    <w:rsid w:val="00DA0889"/>
    <w:rsid w:val="00DA0DD1"/>
    <w:rsid w:val="00DA1B82"/>
    <w:rsid w:val="00DA1CEA"/>
    <w:rsid w:val="00DA2349"/>
    <w:rsid w:val="00DA2B2F"/>
    <w:rsid w:val="00DA3889"/>
    <w:rsid w:val="00DA39A5"/>
    <w:rsid w:val="00DA70CA"/>
    <w:rsid w:val="00DA789B"/>
    <w:rsid w:val="00DB02BA"/>
    <w:rsid w:val="00DB0562"/>
    <w:rsid w:val="00DB1071"/>
    <w:rsid w:val="00DB2233"/>
    <w:rsid w:val="00DB335C"/>
    <w:rsid w:val="00DB3549"/>
    <w:rsid w:val="00DB3B1D"/>
    <w:rsid w:val="00DB3F1A"/>
    <w:rsid w:val="00DB4822"/>
    <w:rsid w:val="00DB4A9B"/>
    <w:rsid w:val="00DB4AB6"/>
    <w:rsid w:val="00DB52FF"/>
    <w:rsid w:val="00DB56E0"/>
    <w:rsid w:val="00DB57CF"/>
    <w:rsid w:val="00DB5919"/>
    <w:rsid w:val="00DB5C41"/>
    <w:rsid w:val="00DB6542"/>
    <w:rsid w:val="00DB761C"/>
    <w:rsid w:val="00DB7DA5"/>
    <w:rsid w:val="00DC1E69"/>
    <w:rsid w:val="00DC2305"/>
    <w:rsid w:val="00DC38EE"/>
    <w:rsid w:val="00DC3E3D"/>
    <w:rsid w:val="00DC416D"/>
    <w:rsid w:val="00DC4494"/>
    <w:rsid w:val="00DC48DF"/>
    <w:rsid w:val="00DC4A1B"/>
    <w:rsid w:val="00DC529F"/>
    <w:rsid w:val="00DC5EEF"/>
    <w:rsid w:val="00DC68A6"/>
    <w:rsid w:val="00DD0D1A"/>
    <w:rsid w:val="00DD0DB2"/>
    <w:rsid w:val="00DD2044"/>
    <w:rsid w:val="00DD2A57"/>
    <w:rsid w:val="00DD2DE8"/>
    <w:rsid w:val="00DD324A"/>
    <w:rsid w:val="00DD3361"/>
    <w:rsid w:val="00DD42B4"/>
    <w:rsid w:val="00DD514E"/>
    <w:rsid w:val="00DD57BA"/>
    <w:rsid w:val="00DE136E"/>
    <w:rsid w:val="00DE15B5"/>
    <w:rsid w:val="00DE2986"/>
    <w:rsid w:val="00DE29C3"/>
    <w:rsid w:val="00DE34DA"/>
    <w:rsid w:val="00DE4377"/>
    <w:rsid w:val="00DE46C8"/>
    <w:rsid w:val="00DE563C"/>
    <w:rsid w:val="00DE7DB0"/>
    <w:rsid w:val="00DF0BCB"/>
    <w:rsid w:val="00DF0D30"/>
    <w:rsid w:val="00DF0F6A"/>
    <w:rsid w:val="00DF131F"/>
    <w:rsid w:val="00DF187D"/>
    <w:rsid w:val="00DF21D3"/>
    <w:rsid w:val="00DF2C1A"/>
    <w:rsid w:val="00DF2EAE"/>
    <w:rsid w:val="00DF4731"/>
    <w:rsid w:val="00DF4B32"/>
    <w:rsid w:val="00DF52DE"/>
    <w:rsid w:val="00DF5658"/>
    <w:rsid w:val="00DF5FAE"/>
    <w:rsid w:val="00E01996"/>
    <w:rsid w:val="00E01E9C"/>
    <w:rsid w:val="00E0210B"/>
    <w:rsid w:val="00E02208"/>
    <w:rsid w:val="00E0230B"/>
    <w:rsid w:val="00E0244F"/>
    <w:rsid w:val="00E0305B"/>
    <w:rsid w:val="00E03481"/>
    <w:rsid w:val="00E03A59"/>
    <w:rsid w:val="00E040E5"/>
    <w:rsid w:val="00E041E0"/>
    <w:rsid w:val="00E05C62"/>
    <w:rsid w:val="00E06416"/>
    <w:rsid w:val="00E06554"/>
    <w:rsid w:val="00E12901"/>
    <w:rsid w:val="00E12F6A"/>
    <w:rsid w:val="00E130D8"/>
    <w:rsid w:val="00E14B07"/>
    <w:rsid w:val="00E14F6D"/>
    <w:rsid w:val="00E1511F"/>
    <w:rsid w:val="00E153F4"/>
    <w:rsid w:val="00E16EEC"/>
    <w:rsid w:val="00E171B9"/>
    <w:rsid w:val="00E209DB"/>
    <w:rsid w:val="00E20AFC"/>
    <w:rsid w:val="00E2120A"/>
    <w:rsid w:val="00E21C09"/>
    <w:rsid w:val="00E21E50"/>
    <w:rsid w:val="00E22DDC"/>
    <w:rsid w:val="00E2353B"/>
    <w:rsid w:val="00E24082"/>
    <w:rsid w:val="00E2426F"/>
    <w:rsid w:val="00E24C0B"/>
    <w:rsid w:val="00E25FB4"/>
    <w:rsid w:val="00E268AD"/>
    <w:rsid w:val="00E278BD"/>
    <w:rsid w:val="00E306EB"/>
    <w:rsid w:val="00E308DA"/>
    <w:rsid w:val="00E31443"/>
    <w:rsid w:val="00E31B76"/>
    <w:rsid w:val="00E336D2"/>
    <w:rsid w:val="00E34811"/>
    <w:rsid w:val="00E34D04"/>
    <w:rsid w:val="00E35D2F"/>
    <w:rsid w:val="00E3602F"/>
    <w:rsid w:val="00E36866"/>
    <w:rsid w:val="00E40C65"/>
    <w:rsid w:val="00E4144D"/>
    <w:rsid w:val="00E42B41"/>
    <w:rsid w:val="00E4363D"/>
    <w:rsid w:val="00E4369F"/>
    <w:rsid w:val="00E445DE"/>
    <w:rsid w:val="00E4536F"/>
    <w:rsid w:val="00E45DDC"/>
    <w:rsid w:val="00E45FD7"/>
    <w:rsid w:val="00E460ED"/>
    <w:rsid w:val="00E462F0"/>
    <w:rsid w:val="00E46BB5"/>
    <w:rsid w:val="00E470E5"/>
    <w:rsid w:val="00E47BBF"/>
    <w:rsid w:val="00E47E3E"/>
    <w:rsid w:val="00E50A66"/>
    <w:rsid w:val="00E51452"/>
    <w:rsid w:val="00E52306"/>
    <w:rsid w:val="00E52C73"/>
    <w:rsid w:val="00E53A75"/>
    <w:rsid w:val="00E54105"/>
    <w:rsid w:val="00E544C5"/>
    <w:rsid w:val="00E55541"/>
    <w:rsid w:val="00E55E53"/>
    <w:rsid w:val="00E561A9"/>
    <w:rsid w:val="00E56567"/>
    <w:rsid w:val="00E5667C"/>
    <w:rsid w:val="00E57621"/>
    <w:rsid w:val="00E5779C"/>
    <w:rsid w:val="00E631E9"/>
    <w:rsid w:val="00E63502"/>
    <w:rsid w:val="00E6355E"/>
    <w:rsid w:val="00E6358D"/>
    <w:rsid w:val="00E63612"/>
    <w:rsid w:val="00E6380D"/>
    <w:rsid w:val="00E63E54"/>
    <w:rsid w:val="00E63F2F"/>
    <w:rsid w:val="00E63FAB"/>
    <w:rsid w:val="00E646CE"/>
    <w:rsid w:val="00E650C8"/>
    <w:rsid w:val="00E65FEC"/>
    <w:rsid w:val="00E67408"/>
    <w:rsid w:val="00E675C0"/>
    <w:rsid w:val="00E67B25"/>
    <w:rsid w:val="00E67F8C"/>
    <w:rsid w:val="00E70165"/>
    <w:rsid w:val="00E71805"/>
    <w:rsid w:val="00E723D1"/>
    <w:rsid w:val="00E7253C"/>
    <w:rsid w:val="00E727FE"/>
    <w:rsid w:val="00E742AE"/>
    <w:rsid w:val="00E7593D"/>
    <w:rsid w:val="00E761FD"/>
    <w:rsid w:val="00E7690E"/>
    <w:rsid w:val="00E76992"/>
    <w:rsid w:val="00E7763D"/>
    <w:rsid w:val="00E8024C"/>
    <w:rsid w:val="00E80CC8"/>
    <w:rsid w:val="00E81087"/>
    <w:rsid w:val="00E811A6"/>
    <w:rsid w:val="00E823CD"/>
    <w:rsid w:val="00E834C5"/>
    <w:rsid w:val="00E83992"/>
    <w:rsid w:val="00E839CB"/>
    <w:rsid w:val="00E849AF"/>
    <w:rsid w:val="00E85303"/>
    <w:rsid w:val="00E857E7"/>
    <w:rsid w:val="00E85E78"/>
    <w:rsid w:val="00E85E9C"/>
    <w:rsid w:val="00E85EE5"/>
    <w:rsid w:val="00E85F36"/>
    <w:rsid w:val="00E864BD"/>
    <w:rsid w:val="00E86C83"/>
    <w:rsid w:val="00E87235"/>
    <w:rsid w:val="00E87AAF"/>
    <w:rsid w:val="00E9001B"/>
    <w:rsid w:val="00E9023F"/>
    <w:rsid w:val="00E91029"/>
    <w:rsid w:val="00E922DF"/>
    <w:rsid w:val="00E9236A"/>
    <w:rsid w:val="00E92C01"/>
    <w:rsid w:val="00E9321A"/>
    <w:rsid w:val="00E9366C"/>
    <w:rsid w:val="00E9547B"/>
    <w:rsid w:val="00E96000"/>
    <w:rsid w:val="00E9612B"/>
    <w:rsid w:val="00E964A3"/>
    <w:rsid w:val="00E979F7"/>
    <w:rsid w:val="00EA0740"/>
    <w:rsid w:val="00EA11EB"/>
    <w:rsid w:val="00EA1520"/>
    <w:rsid w:val="00EA2019"/>
    <w:rsid w:val="00EA2AA3"/>
    <w:rsid w:val="00EA305D"/>
    <w:rsid w:val="00EA3115"/>
    <w:rsid w:val="00EA5743"/>
    <w:rsid w:val="00EA6251"/>
    <w:rsid w:val="00EA6BF5"/>
    <w:rsid w:val="00EA6F46"/>
    <w:rsid w:val="00EA71C2"/>
    <w:rsid w:val="00EA7361"/>
    <w:rsid w:val="00EA79DE"/>
    <w:rsid w:val="00EA7A4D"/>
    <w:rsid w:val="00EA7C80"/>
    <w:rsid w:val="00EA7C8A"/>
    <w:rsid w:val="00EB1AB6"/>
    <w:rsid w:val="00EB218C"/>
    <w:rsid w:val="00EB3372"/>
    <w:rsid w:val="00EB393C"/>
    <w:rsid w:val="00EB39F9"/>
    <w:rsid w:val="00EB47DD"/>
    <w:rsid w:val="00EB49F7"/>
    <w:rsid w:val="00EB6034"/>
    <w:rsid w:val="00EC0718"/>
    <w:rsid w:val="00EC0818"/>
    <w:rsid w:val="00EC08A0"/>
    <w:rsid w:val="00EC0942"/>
    <w:rsid w:val="00EC0C18"/>
    <w:rsid w:val="00EC0CD9"/>
    <w:rsid w:val="00EC0DDB"/>
    <w:rsid w:val="00EC0F07"/>
    <w:rsid w:val="00EC114D"/>
    <w:rsid w:val="00EC1D0B"/>
    <w:rsid w:val="00EC43E1"/>
    <w:rsid w:val="00EC442D"/>
    <w:rsid w:val="00EC66B0"/>
    <w:rsid w:val="00EC7667"/>
    <w:rsid w:val="00EC7F27"/>
    <w:rsid w:val="00ED0806"/>
    <w:rsid w:val="00ED0F8F"/>
    <w:rsid w:val="00ED1389"/>
    <w:rsid w:val="00ED2171"/>
    <w:rsid w:val="00ED2294"/>
    <w:rsid w:val="00ED38DC"/>
    <w:rsid w:val="00ED3942"/>
    <w:rsid w:val="00ED4A45"/>
    <w:rsid w:val="00ED5650"/>
    <w:rsid w:val="00ED6804"/>
    <w:rsid w:val="00ED6DAF"/>
    <w:rsid w:val="00ED75D7"/>
    <w:rsid w:val="00ED76CE"/>
    <w:rsid w:val="00ED7D0E"/>
    <w:rsid w:val="00EE01EE"/>
    <w:rsid w:val="00EE0B58"/>
    <w:rsid w:val="00EE104F"/>
    <w:rsid w:val="00EE2607"/>
    <w:rsid w:val="00EE2799"/>
    <w:rsid w:val="00EE2830"/>
    <w:rsid w:val="00EE2B30"/>
    <w:rsid w:val="00EE2C0C"/>
    <w:rsid w:val="00EE3051"/>
    <w:rsid w:val="00EE4082"/>
    <w:rsid w:val="00EE4359"/>
    <w:rsid w:val="00EE43CE"/>
    <w:rsid w:val="00EE47C9"/>
    <w:rsid w:val="00EE4D2C"/>
    <w:rsid w:val="00EE5577"/>
    <w:rsid w:val="00EE631F"/>
    <w:rsid w:val="00EE675E"/>
    <w:rsid w:val="00EF016E"/>
    <w:rsid w:val="00EF0994"/>
    <w:rsid w:val="00EF106A"/>
    <w:rsid w:val="00EF37A9"/>
    <w:rsid w:val="00EF38A4"/>
    <w:rsid w:val="00EF3E1A"/>
    <w:rsid w:val="00EF4D17"/>
    <w:rsid w:val="00EF5CD7"/>
    <w:rsid w:val="00EF68C7"/>
    <w:rsid w:val="00EF6991"/>
    <w:rsid w:val="00EF6CCC"/>
    <w:rsid w:val="00EF6F31"/>
    <w:rsid w:val="00EF73A3"/>
    <w:rsid w:val="00F004A0"/>
    <w:rsid w:val="00F006D1"/>
    <w:rsid w:val="00F00EAB"/>
    <w:rsid w:val="00F01C78"/>
    <w:rsid w:val="00F02405"/>
    <w:rsid w:val="00F02986"/>
    <w:rsid w:val="00F033DB"/>
    <w:rsid w:val="00F03A68"/>
    <w:rsid w:val="00F03AF2"/>
    <w:rsid w:val="00F046DD"/>
    <w:rsid w:val="00F06087"/>
    <w:rsid w:val="00F071AF"/>
    <w:rsid w:val="00F1027B"/>
    <w:rsid w:val="00F11836"/>
    <w:rsid w:val="00F12E70"/>
    <w:rsid w:val="00F130B8"/>
    <w:rsid w:val="00F131F1"/>
    <w:rsid w:val="00F13852"/>
    <w:rsid w:val="00F13D4C"/>
    <w:rsid w:val="00F141AC"/>
    <w:rsid w:val="00F14661"/>
    <w:rsid w:val="00F154AA"/>
    <w:rsid w:val="00F159B2"/>
    <w:rsid w:val="00F162A8"/>
    <w:rsid w:val="00F17EFF"/>
    <w:rsid w:val="00F20813"/>
    <w:rsid w:val="00F21CD3"/>
    <w:rsid w:val="00F21E80"/>
    <w:rsid w:val="00F2283B"/>
    <w:rsid w:val="00F22B7A"/>
    <w:rsid w:val="00F23458"/>
    <w:rsid w:val="00F25103"/>
    <w:rsid w:val="00F25332"/>
    <w:rsid w:val="00F255CC"/>
    <w:rsid w:val="00F26048"/>
    <w:rsid w:val="00F26AE1"/>
    <w:rsid w:val="00F2716D"/>
    <w:rsid w:val="00F301E6"/>
    <w:rsid w:val="00F30338"/>
    <w:rsid w:val="00F32988"/>
    <w:rsid w:val="00F33050"/>
    <w:rsid w:val="00F33393"/>
    <w:rsid w:val="00F333BA"/>
    <w:rsid w:val="00F3390B"/>
    <w:rsid w:val="00F33DEF"/>
    <w:rsid w:val="00F34F3C"/>
    <w:rsid w:val="00F3631D"/>
    <w:rsid w:val="00F3661F"/>
    <w:rsid w:val="00F36BA9"/>
    <w:rsid w:val="00F377B8"/>
    <w:rsid w:val="00F37831"/>
    <w:rsid w:val="00F402B2"/>
    <w:rsid w:val="00F40D30"/>
    <w:rsid w:val="00F41C25"/>
    <w:rsid w:val="00F431F3"/>
    <w:rsid w:val="00F4363D"/>
    <w:rsid w:val="00F4410F"/>
    <w:rsid w:val="00F4441B"/>
    <w:rsid w:val="00F454FE"/>
    <w:rsid w:val="00F46018"/>
    <w:rsid w:val="00F464A6"/>
    <w:rsid w:val="00F46B6D"/>
    <w:rsid w:val="00F47063"/>
    <w:rsid w:val="00F47376"/>
    <w:rsid w:val="00F47A14"/>
    <w:rsid w:val="00F47DD5"/>
    <w:rsid w:val="00F50489"/>
    <w:rsid w:val="00F50AA9"/>
    <w:rsid w:val="00F50F23"/>
    <w:rsid w:val="00F50FBB"/>
    <w:rsid w:val="00F5171E"/>
    <w:rsid w:val="00F517C8"/>
    <w:rsid w:val="00F52CE6"/>
    <w:rsid w:val="00F5307F"/>
    <w:rsid w:val="00F54024"/>
    <w:rsid w:val="00F54CA1"/>
    <w:rsid w:val="00F55A79"/>
    <w:rsid w:val="00F55A8C"/>
    <w:rsid w:val="00F55C9E"/>
    <w:rsid w:val="00F561B0"/>
    <w:rsid w:val="00F56A08"/>
    <w:rsid w:val="00F57E1D"/>
    <w:rsid w:val="00F60EB5"/>
    <w:rsid w:val="00F60F12"/>
    <w:rsid w:val="00F6157C"/>
    <w:rsid w:val="00F61C0A"/>
    <w:rsid w:val="00F62977"/>
    <w:rsid w:val="00F62E14"/>
    <w:rsid w:val="00F62ED5"/>
    <w:rsid w:val="00F63022"/>
    <w:rsid w:val="00F639CE"/>
    <w:rsid w:val="00F64146"/>
    <w:rsid w:val="00F64E24"/>
    <w:rsid w:val="00F64EE3"/>
    <w:rsid w:val="00F652FE"/>
    <w:rsid w:val="00F66676"/>
    <w:rsid w:val="00F700F4"/>
    <w:rsid w:val="00F70324"/>
    <w:rsid w:val="00F705FB"/>
    <w:rsid w:val="00F71904"/>
    <w:rsid w:val="00F71BD0"/>
    <w:rsid w:val="00F71DFB"/>
    <w:rsid w:val="00F71E43"/>
    <w:rsid w:val="00F726BB"/>
    <w:rsid w:val="00F72C08"/>
    <w:rsid w:val="00F73068"/>
    <w:rsid w:val="00F7337E"/>
    <w:rsid w:val="00F7377C"/>
    <w:rsid w:val="00F7517B"/>
    <w:rsid w:val="00F75723"/>
    <w:rsid w:val="00F75F06"/>
    <w:rsid w:val="00F75FFB"/>
    <w:rsid w:val="00F774AD"/>
    <w:rsid w:val="00F777EE"/>
    <w:rsid w:val="00F80A96"/>
    <w:rsid w:val="00F8148E"/>
    <w:rsid w:val="00F81553"/>
    <w:rsid w:val="00F82BBF"/>
    <w:rsid w:val="00F836DC"/>
    <w:rsid w:val="00F844A0"/>
    <w:rsid w:val="00F84747"/>
    <w:rsid w:val="00F8491E"/>
    <w:rsid w:val="00F84EBB"/>
    <w:rsid w:val="00F85764"/>
    <w:rsid w:val="00F85CBB"/>
    <w:rsid w:val="00F867FC"/>
    <w:rsid w:val="00F87AB3"/>
    <w:rsid w:val="00F87E8E"/>
    <w:rsid w:val="00F900B6"/>
    <w:rsid w:val="00F91FB0"/>
    <w:rsid w:val="00F923A5"/>
    <w:rsid w:val="00F92430"/>
    <w:rsid w:val="00F92FDE"/>
    <w:rsid w:val="00F93C79"/>
    <w:rsid w:val="00F943B2"/>
    <w:rsid w:val="00F946A9"/>
    <w:rsid w:val="00F953AC"/>
    <w:rsid w:val="00F959C7"/>
    <w:rsid w:val="00F95FD7"/>
    <w:rsid w:val="00F96BE2"/>
    <w:rsid w:val="00F96DDE"/>
    <w:rsid w:val="00F97153"/>
    <w:rsid w:val="00F9742E"/>
    <w:rsid w:val="00F974A2"/>
    <w:rsid w:val="00FA03FE"/>
    <w:rsid w:val="00FA1F7E"/>
    <w:rsid w:val="00FA256C"/>
    <w:rsid w:val="00FA2972"/>
    <w:rsid w:val="00FA3815"/>
    <w:rsid w:val="00FA3C9C"/>
    <w:rsid w:val="00FA6020"/>
    <w:rsid w:val="00FA612D"/>
    <w:rsid w:val="00FA68C2"/>
    <w:rsid w:val="00FA68E8"/>
    <w:rsid w:val="00FA6ECC"/>
    <w:rsid w:val="00FA7E39"/>
    <w:rsid w:val="00FB16F5"/>
    <w:rsid w:val="00FB2051"/>
    <w:rsid w:val="00FB27C3"/>
    <w:rsid w:val="00FB284B"/>
    <w:rsid w:val="00FB2867"/>
    <w:rsid w:val="00FB46A7"/>
    <w:rsid w:val="00FB4B11"/>
    <w:rsid w:val="00FB5102"/>
    <w:rsid w:val="00FB5A91"/>
    <w:rsid w:val="00FB5B3D"/>
    <w:rsid w:val="00FB6E71"/>
    <w:rsid w:val="00FB6E8D"/>
    <w:rsid w:val="00FB72E6"/>
    <w:rsid w:val="00FB76FD"/>
    <w:rsid w:val="00FC1879"/>
    <w:rsid w:val="00FC3CCC"/>
    <w:rsid w:val="00FC59BC"/>
    <w:rsid w:val="00FC5CFE"/>
    <w:rsid w:val="00FC5FF8"/>
    <w:rsid w:val="00FC62A3"/>
    <w:rsid w:val="00FC69D5"/>
    <w:rsid w:val="00FD0501"/>
    <w:rsid w:val="00FD0EE1"/>
    <w:rsid w:val="00FD1044"/>
    <w:rsid w:val="00FD190D"/>
    <w:rsid w:val="00FD346A"/>
    <w:rsid w:val="00FD4208"/>
    <w:rsid w:val="00FD741E"/>
    <w:rsid w:val="00FD76F5"/>
    <w:rsid w:val="00FE0B70"/>
    <w:rsid w:val="00FE0F8D"/>
    <w:rsid w:val="00FE1536"/>
    <w:rsid w:val="00FE1F40"/>
    <w:rsid w:val="00FE2382"/>
    <w:rsid w:val="00FE29DC"/>
    <w:rsid w:val="00FE2E17"/>
    <w:rsid w:val="00FE2FC2"/>
    <w:rsid w:val="00FE329D"/>
    <w:rsid w:val="00FE3E7E"/>
    <w:rsid w:val="00FE5106"/>
    <w:rsid w:val="00FE587A"/>
    <w:rsid w:val="00FE5D3A"/>
    <w:rsid w:val="00FE6858"/>
    <w:rsid w:val="00FE6E28"/>
    <w:rsid w:val="00FE7980"/>
    <w:rsid w:val="00FF080E"/>
    <w:rsid w:val="00FF125E"/>
    <w:rsid w:val="00FF1436"/>
    <w:rsid w:val="00FF1B8A"/>
    <w:rsid w:val="00FF2ABC"/>
    <w:rsid w:val="00FF5171"/>
    <w:rsid w:val="00FF57E2"/>
    <w:rsid w:val="00FF6691"/>
    <w:rsid w:val="00FF6728"/>
    <w:rsid w:val="00FF6B6B"/>
    <w:rsid w:val="00FF7356"/>
    <w:rsid w:val="00FF757F"/>
    <w:rsid w:val="00FF7703"/>
    <w:rsid w:val="00FF78D9"/>
    <w:rsid w:val="00FF7D13"/>
    <w:rsid w:val="00FF7E6B"/>
    <w:rsid w:val="023D4326"/>
    <w:rsid w:val="04A2D39D"/>
    <w:rsid w:val="0D353577"/>
    <w:rsid w:val="0E388B1A"/>
    <w:rsid w:val="18EA121D"/>
    <w:rsid w:val="1ACBD1D2"/>
    <w:rsid w:val="1BEB6044"/>
    <w:rsid w:val="29DAD07D"/>
    <w:rsid w:val="2F76101F"/>
    <w:rsid w:val="3134600D"/>
    <w:rsid w:val="4203F3B2"/>
    <w:rsid w:val="4292D8C3"/>
    <w:rsid w:val="4439011F"/>
    <w:rsid w:val="4802C35B"/>
    <w:rsid w:val="4E7C6B93"/>
    <w:rsid w:val="5C990295"/>
    <w:rsid w:val="5D4B8F4C"/>
    <w:rsid w:val="6016FD19"/>
    <w:rsid w:val="63F8525A"/>
    <w:rsid w:val="689FB946"/>
    <w:rsid w:val="6A3B62FE"/>
    <w:rsid w:val="6BB2DFDB"/>
    <w:rsid w:val="712E3AAC"/>
    <w:rsid w:val="79CAB406"/>
    <w:rsid w:val="7D842421"/>
  </w:rsids>
  <m:mathPr>
    <m:mathFont m:val="Cambria Math"/>
    <m:brkBin m:val="before"/>
    <m:brkBinSub m:val="--"/>
    <m:smallFrac m:val="0"/>
    <m:dispDef/>
    <m:lMargin m:val="0"/>
    <m:rMargin m:val="0"/>
    <m:defJc m:val="centerGroup"/>
    <m:wrapIndent m:val="1440"/>
    <m:intLim m:val="subSup"/>
    <m:naryLim m:val="undOvr"/>
  </m:mathPr>
  <w:themeFontLang w:val="en-US" w:eastAsia="ja-JP" w:bidi="kn-IN"/>
  <w:clrSchemeMapping w:bg1="light1" w:t1="dark1" w:bg2="light2" w:t2="dark2" w:accent1="accent1" w:accent2="accent2" w:accent3="accent3" w:accent4="accent4" w:accent5="accent5" w:accent6="accent6" w:hyperlink="hyperlink" w:followedHyperlink="followedHyperlink"/>
  <w:shapeDefaults>
    <o:shapedefaults v:ext="edit" spidmax="2165"/>
    <o:shapelayout v:ext="edit">
      <o:idmap v:ext="edit" data="2"/>
    </o:shapelayout>
  </w:shapeDefaults>
  <w:decimalSymbol w:val=","/>
  <w:listSeparator w:val=";"/>
  <w14:docId w14:val="2CF73026"/>
  <w15:docId w15:val="{B0F25B92-0DE4-4A6D-BACF-25067B1EB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BBB"/>
    <w:pPr>
      <w:spacing w:line="240" w:lineRule="auto"/>
      <w:jc w:val="both"/>
    </w:pPr>
    <w:rPr>
      <w:rFonts w:ascii="EC Square Sans Pro" w:hAnsi="EC Square Sans Pro" w:cs="Times New Roman"/>
      <w:szCs w:val="24"/>
    </w:rPr>
  </w:style>
  <w:style w:type="paragraph" w:styleId="Heading1">
    <w:name w:val="heading 1"/>
    <w:basedOn w:val="Normal"/>
    <w:next w:val="Normal"/>
    <w:link w:val="Heading1Char"/>
    <w:uiPriority w:val="9"/>
    <w:qFormat/>
    <w:rsid w:val="00BE145B"/>
    <w:pPr>
      <w:keepNext/>
      <w:keepLines/>
      <w:numPr>
        <w:numId w:val="1"/>
      </w:numPr>
      <w:spacing w:before="360" w:after="240"/>
      <w:ind w:left="340" w:hanging="340"/>
      <w:outlineLvl w:val="0"/>
    </w:pPr>
    <w:rPr>
      <w:rFonts w:eastAsiaTheme="majorEastAsia" w:cstheme="majorBidi"/>
      <w:b/>
      <w:color w:val="034EA2" w:themeColor="accent1"/>
      <w:sz w:val="32"/>
      <w:szCs w:val="32"/>
    </w:rPr>
  </w:style>
  <w:style w:type="paragraph" w:styleId="Heading2">
    <w:name w:val="heading 2"/>
    <w:basedOn w:val="Normal"/>
    <w:next w:val="Normal"/>
    <w:link w:val="Heading2Char"/>
    <w:uiPriority w:val="9"/>
    <w:unhideWhenUsed/>
    <w:qFormat/>
    <w:rsid w:val="002703F1"/>
    <w:pPr>
      <w:keepNext/>
      <w:keepLines/>
      <w:spacing w:before="240"/>
      <w:outlineLvl w:val="1"/>
    </w:pPr>
    <w:rPr>
      <w:rFonts w:eastAsiaTheme="majorEastAsia" w:cstheme="majorBidi"/>
      <w:caps/>
      <w:color w:val="70AD47" w:themeColor="accent2"/>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45B"/>
    <w:rPr>
      <w:rFonts w:ascii="EC Square Sans Pro" w:eastAsiaTheme="majorEastAsia" w:hAnsi="EC Square Sans Pro" w:cstheme="majorBidi"/>
      <w:b/>
      <w:color w:val="034EA2" w:themeColor="accent1"/>
      <w:sz w:val="32"/>
      <w:szCs w:val="32"/>
      <w:lang w:val="fr-FR"/>
    </w:rPr>
  </w:style>
  <w:style w:type="paragraph" w:styleId="Header">
    <w:name w:val="header"/>
    <w:basedOn w:val="Normal"/>
    <w:link w:val="HeaderChar"/>
    <w:uiPriority w:val="99"/>
    <w:unhideWhenUsed/>
    <w:rsid w:val="008B6253"/>
    <w:pPr>
      <w:tabs>
        <w:tab w:val="center" w:pos="4513"/>
        <w:tab w:val="right" w:pos="9026"/>
      </w:tabs>
      <w:spacing w:after="0"/>
    </w:pPr>
  </w:style>
  <w:style w:type="character" w:customStyle="1" w:styleId="HeaderChar">
    <w:name w:val="Header Char"/>
    <w:basedOn w:val="DefaultParagraphFont"/>
    <w:link w:val="Header"/>
    <w:uiPriority w:val="99"/>
    <w:rsid w:val="008B6253"/>
    <w:rPr>
      <w:rFonts w:ascii="Times New Roman" w:hAnsi="Times New Roman" w:cs="Times New Roman"/>
      <w:sz w:val="24"/>
      <w:szCs w:val="24"/>
      <w:lang w:val="fr-FR"/>
    </w:rPr>
  </w:style>
  <w:style w:type="paragraph" w:styleId="Footer">
    <w:name w:val="footer"/>
    <w:basedOn w:val="Normal"/>
    <w:link w:val="FooterChar"/>
    <w:uiPriority w:val="99"/>
    <w:unhideWhenUsed/>
    <w:rsid w:val="008B6253"/>
    <w:pPr>
      <w:tabs>
        <w:tab w:val="center" w:pos="4513"/>
        <w:tab w:val="right" w:pos="9026"/>
      </w:tabs>
      <w:spacing w:after="0"/>
    </w:pPr>
  </w:style>
  <w:style w:type="character" w:customStyle="1" w:styleId="FooterChar">
    <w:name w:val="Footer Char"/>
    <w:basedOn w:val="DefaultParagraphFont"/>
    <w:link w:val="Footer"/>
    <w:uiPriority w:val="99"/>
    <w:rsid w:val="008B6253"/>
    <w:rPr>
      <w:rFonts w:ascii="Times New Roman" w:hAnsi="Times New Roman" w:cs="Times New Roman"/>
      <w:sz w:val="24"/>
      <w:szCs w:val="24"/>
      <w:lang w:val="fr-FR"/>
    </w:rPr>
  </w:style>
  <w:style w:type="paragraph" w:customStyle="1" w:styleId="FooterCoverPage">
    <w:name w:val="Footer Cover Page"/>
    <w:basedOn w:val="Normal"/>
    <w:link w:val="FooterCoverPageChar"/>
    <w:rsid w:val="008B6253"/>
    <w:pPr>
      <w:tabs>
        <w:tab w:val="center" w:pos="4535"/>
        <w:tab w:val="right" w:pos="9071"/>
        <w:tab w:val="right" w:pos="9921"/>
      </w:tabs>
      <w:spacing w:before="360" w:after="0"/>
      <w:ind w:left="-850" w:right="-850"/>
      <w:jc w:val="left"/>
    </w:pPr>
    <w:rPr>
      <w:rFonts w:ascii="Times New Roman" w:hAnsi="Times New Roman"/>
      <w:sz w:val="24"/>
    </w:rPr>
  </w:style>
  <w:style w:type="character" w:customStyle="1" w:styleId="FooterCoverPageChar">
    <w:name w:val="Footer Cover Page Char"/>
    <w:basedOn w:val="DefaultParagraphFont"/>
    <w:link w:val="FooterCoverPage"/>
    <w:rsid w:val="008B6253"/>
    <w:rPr>
      <w:rFonts w:ascii="Times New Roman" w:hAnsi="Times New Roman" w:cs="Times New Roman"/>
      <w:sz w:val="24"/>
      <w:szCs w:val="24"/>
    </w:rPr>
  </w:style>
  <w:style w:type="paragraph" w:customStyle="1" w:styleId="HeaderCoverPage">
    <w:name w:val="Header Cover Page"/>
    <w:basedOn w:val="Normal"/>
    <w:link w:val="HeaderCoverPageChar"/>
    <w:rsid w:val="008B6253"/>
    <w:pPr>
      <w:tabs>
        <w:tab w:val="center" w:pos="4535"/>
        <w:tab w:val="right" w:pos="9071"/>
      </w:tabs>
      <w:spacing w:after="120"/>
    </w:pPr>
    <w:rPr>
      <w:rFonts w:ascii="Times New Roman" w:hAnsi="Times New Roman"/>
      <w:sz w:val="24"/>
    </w:rPr>
  </w:style>
  <w:style w:type="character" w:customStyle="1" w:styleId="HeaderCoverPageChar">
    <w:name w:val="Header Cover Page Char"/>
    <w:basedOn w:val="DefaultParagraphFont"/>
    <w:link w:val="HeaderCoverPage"/>
    <w:rsid w:val="008B6253"/>
    <w:rPr>
      <w:rFonts w:ascii="Times New Roman" w:hAnsi="Times New Roman" w:cs="Times New Roman"/>
      <w:sz w:val="24"/>
      <w:szCs w:val="24"/>
    </w:rPr>
  </w:style>
  <w:style w:type="character" w:styleId="FootnoteReference">
    <w:name w:val="footnote reference"/>
    <w:aliases w:val="BVI fnr,number,SUPERS,Footnote Reference Superscript,-E Fuﬂnotenzeichen,-E Fuûnotenzeichen,-E Fußnotenzeichen,EN Footnote Reference,Footnote number,stylish,Footnote symbol,(Footnote Reference),Footnote reference number,note TESI,ftref"/>
    <w:link w:val="BVIfnrChar"/>
    <w:uiPriority w:val="99"/>
    <w:qFormat/>
    <w:rsid w:val="008B6253"/>
    <w:rPr>
      <w:vertAlign w:val="superscript"/>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t"/>
    <w:basedOn w:val="Normal"/>
    <w:link w:val="FootnoteTextChar"/>
    <w:uiPriority w:val="99"/>
    <w:qFormat/>
    <w:rsid w:val="008B6253"/>
    <w:pPr>
      <w:spacing w:after="0"/>
      <w:ind w:left="720" w:hanging="720"/>
    </w:pPr>
    <w:rPr>
      <w:rFonts w:eastAsia="Times New Roman"/>
      <w:sz w:val="20"/>
      <w:szCs w:val="20"/>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t Char"/>
    <w:basedOn w:val="DefaultParagraphFont"/>
    <w:link w:val="FootnoteText"/>
    <w:uiPriority w:val="99"/>
    <w:rsid w:val="008B6253"/>
    <w:rPr>
      <w:rFonts w:ascii="Times New Roman" w:eastAsia="Times New Roman" w:hAnsi="Times New Roman" w:cs="Times New Roman"/>
      <w:sz w:val="20"/>
      <w:szCs w:val="20"/>
      <w:lang w:val="fr-FR"/>
    </w:rPr>
  </w:style>
  <w:style w:type="paragraph" w:styleId="TOC1">
    <w:name w:val="toc 1"/>
    <w:basedOn w:val="Normal"/>
    <w:next w:val="Normal"/>
    <w:uiPriority w:val="39"/>
    <w:qFormat/>
    <w:rsid w:val="008B6253"/>
    <w:pPr>
      <w:tabs>
        <w:tab w:val="right" w:leader="dot" w:pos="9071"/>
      </w:tabs>
      <w:spacing w:before="60" w:after="120"/>
      <w:ind w:left="850" w:hanging="850"/>
    </w:pPr>
    <w:rPr>
      <w:rFonts w:eastAsia="Times New Roman"/>
    </w:rPr>
  </w:style>
  <w:style w:type="paragraph" w:styleId="TOCHeading">
    <w:name w:val="TOC Heading"/>
    <w:basedOn w:val="Normal"/>
    <w:next w:val="Normal"/>
    <w:link w:val="TOCHeadingChar"/>
    <w:uiPriority w:val="39"/>
    <w:qFormat/>
    <w:rsid w:val="008B6253"/>
    <w:pPr>
      <w:spacing w:before="120" w:after="240"/>
      <w:jc w:val="center"/>
    </w:pPr>
    <w:rPr>
      <w:rFonts w:eastAsia="Times New Roman"/>
      <w:b/>
      <w:sz w:val="28"/>
    </w:rPr>
  </w:style>
  <w:style w:type="character" w:styleId="Hyperlink">
    <w:name w:val="Hyperlink"/>
    <w:uiPriority w:val="99"/>
    <w:rsid w:val="008B6253"/>
    <w:rPr>
      <w:rFonts w:cs="Times New Roman"/>
      <w:color w:val="0000FF"/>
      <w:u w:val="single"/>
      <w:shd w:val="clear" w:color="auto" w:fill="auto"/>
    </w:rPr>
  </w:style>
  <w:style w:type="character" w:customStyle="1" w:styleId="TOCHeadingChar">
    <w:name w:val="TOC Heading Char"/>
    <w:link w:val="TOCHeading"/>
    <w:uiPriority w:val="39"/>
    <w:rsid w:val="008B6253"/>
    <w:rPr>
      <w:rFonts w:ascii="Times New Roman" w:eastAsia="Times New Roman" w:hAnsi="Times New Roman" w:cs="Times New Roman"/>
      <w:b/>
      <w:sz w:val="28"/>
      <w:szCs w:val="24"/>
      <w:lang w:val="fr-FR"/>
    </w:rPr>
  </w:style>
  <w:style w:type="paragraph" w:styleId="Subtitle">
    <w:name w:val="Subtitle"/>
    <w:basedOn w:val="Normal"/>
    <w:next w:val="Normal"/>
    <w:link w:val="SubtitleChar"/>
    <w:qFormat/>
    <w:rsid w:val="008B6253"/>
    <w:pPr>
      <w:spacing w:before="120" w:after="60"/>
      <w:jc w:val="center"/>
      <w:outlineLvl w:val="1"/>
    </w:pPr>
    <w:rPr>
      <w:rFonts w:ascii="Cambria" w:eastAsia="Times New Roman" w:hAnsi="Cambria"/>
    </w:rPr>
  </w:style>
  <w:style w:type="character" w:customStyle="1" w:styleId="SubtitleChar">
    <w:name w:val="Subtitle Char"/>
    <w:basedOn w:val="DefaultParagraphFont"/>
    <w:link w:val="Subtitle"/>
    <w:rsid w:val="008B6253"/>
    <w:rPr>
      <w:rFonts w:ascii="Cambria" w:eastAsia="Times New Roman" w:hAnsi="Cambria" w:cs="Times New Roman"/>
      <w:sz w:val="24"/>
      <w:szCs w:val="24"/>
      <w:lang w:val="fr-FR"/>
    </w:rPr>
  </w:style>
  <w:style w:type="paragraph" w:styleId="NormalWeb">
    <w:name w:val="Normal (Web)"/>
    <w:basedOn w:val="Normal"/>
    <w:uiPriority w:val="99"/>
    <w:unhideWhenUsed/>
    <w:rsid w:val="008B6253"/>
    <w:pPr>
      <w:spacing w:before="100" w:beforeAutospacing="1" w:after="100" w:afterAutospacing="1"/>
    </w:pPr>
    <w:rPr>
      <w:rFonts w:eastAsia="Times New Roman"/>
      <w:lang w:eastAsia="en-GB"/>
    </w:rPr>
  </w:style>
  <w:style w:type="paragraph" w:customStyle="1" w:styleId="BVIfnrChar">
    <w:name w:val="BVI fnr Char"/>
    <w:aliases w:val="Appel note de bas de p.;BVI fnr Car Car Car Car, BVI fnr Car Car,BVI fnr Car, BVI fnr Car Car Car Car, BVI fnr Car Car Car Car Char,Appel note de bas de p..BVI fnr Car Car Car Car, BVI fnr Char,Appel note de bas de p."/>
    <w:basedOn w:val="Normal"/>
    <w:link w:val="FootnoteReference"/>
    <w:uiPriority w:val="99"/>
    <w:rsid w:val="008B6253"/>
    <w:pPr>
      <w:spacing w:line="240" w:lineRule="exact"/>
    </w:pPr>
    <w:rPr>
      <w:rFonts w:asciiTheme="minorHAnsi" w:hAnsiTheme="minorHAnsi" w:cstheme="minorBidi"/>
      <w:szCs w:val="22"/>
      <w:vertAlign w:val="superscript"/>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OBC Bullet,L,Bullet 1"/>
    <w:basedOn w:val="Normal"/>
    <w:link w:val="ListParagraphChar"/>
    <w:uiPriority w:val="34"/>
    <w:qFormat/>
    <w:rsid w:val="008B6253"/>
    <w:pPr>
      <w:spacing w:line="259" w:lineRule="auto"/>
      <w:ind w:left="720"/>
      <w:contextualSpacing/>
    </w:pPr>
    <w:rPr>
      <w:rFonts w:asciiTheme="minorHAnsi" w:hAnsiTheme="minorHAnsi" w:cstheme="minorBidi"/>
      <w:szCs w:val="22"/>
    </w:rPr>
  </w:style>
  <w:style w:type="character" w:styleId="IntenseReference">
    <w:name w:val="Intense Reference"/>
    <w:basedOn w:val="DefaultParagraphFont"/>
    <w:uiPriority w:val="32"/>
    <w:qFormat/>
    <w:rsid w:val="008B6253"/>
    <w:rPr>
      <w:b/>
      <w:bCs/>
      <w:smallCaps/>
      <w:color w:val="034EA2" w:themeColor="accent1"/>
      <w:spacing w:val="5"/>
    </w:rPr>
  </w:style>
  <w:style w:type="table" w:styleId="GridTable1Light-Accent1">
    <w:name w:val="Grid Table 1 Light Accent 1"/>
    <w:basedOn w:val="TableNormal"/>
    <w:uiPriority w:val="46"/>
    <w:rsid w:val="008B6253"/>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77B6FC" w:themeColor="accent1" w:themeTint="66"/>
        <w:left w:val="single" w:sz="4" w:space="0" w:color="77B6FC" w:themeColor="accent1" w:themeTint="66"/>
        <w:bottom w:val="single" w:sz="4" w:space="0" w:color="77B6FC" w:themeColor="accent1" w:themeTint="66"/>
        <w:right w:val="single" w:sz="4" w:space="0" w:color="77B6FC" w:themeColor="accent1" w:themeTint="66"/>
        <w:insideH w:val="single" w:sz="4" w:space="0" w:color="77B6FC" w:themeColor="accent1" w:themeTint="66"/>
        <w:insideV w:val="single" w:sz="4" w:space="0" w:color="77B6FC" w:themeColor="accent1" w:themeTint="66"/>
      </w:tblBorders>
    </w:tblPr>
    <w:tblStylePr w:type="firstRow">
      <w:rPr>
        <w:b/>
        <w:bCs/>
      </w:rPr>
      <w:tblPr/>
      <w:tcPr>
        <w:tcBorders>
          <w:bottom w:val="single" w:sz="12" w:space="0" w:color="3391FB" w:themeColor="accent1" w:themeTint="99"/>
        </w:tcBorders>
      </w:tcPr>
    </w:tblStylePr>
    <w:tblStylePr w:type="lastRow">
      <w:rPr>
        <w:b/>
        <w:bCs/>
      </w:rPr>
      <w:tblPr/>
      <w:tcPr>
        <w:tcBorders>
          <w:top w:val="double" w:sz="2" w:space="0" w:color="3391FB"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OBC Bullet Char"/>
    <w:basedOn w:val="DefaultParagraphFont"/>
    <w:link w:val="ListParagraph"/>
    <w:uiPriority w:val="34"/>
    <w:qFormat/>
    <w:locked/>
    <w:rsid w:val="008B6253"/>
    <w:rPr>
      <w:lang w:val="fr-FR"/>
    </w:rPr>
  </w:style>
  <w:style w:type="table" w:customStyle="1" w:styleId="TableGrid1">
    <w:name w:val="Table Grid1"/>
    <w:basedOn w:val="TableNormal"/>
    <w:next w:val="TableGrid"/>
    <w:uiPriority w:val="39"/>
    <w:rsid w:val="008B6253"/>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B6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8B6253"/>
    <w:rPr>
      <w:color w:val="0000FF"/>
      <w:shd w:val="clear" w:color="auto" w:fill="auto"/>
    </w:rPr>
  </w:style>
  <w:style w:type="paragraph" w:customStyle="1" w:styleId="Pagedecouverture">
    <w:name w:val="Page de couverture"/>
    <w:basedOn w:val="Normal"/>
    <w:next w:val="Normal"/>
    <w:rsid w:val="008B6253"/>
    <w:pPr>
      <w:spacing w:after="0"/>
    </w:pPr>
    <w:rPr>
      <w:szCs w:val="22"/>
    </w:rPr>
  </w:style>
  <w:style w:type="paragraph" w:customStyle="1" w:styleId="FooterSensitivity">
    <w:name w:val="Footer Sensitivity"/>
    <w:basedOn w:val="Normal"/>
    <w:link w:val="FooterSensitivityChar"/>
    <w:rsid w:val="008B6253"/>
    <w:pPr>
      <w:pBdr>
        <w:top w:val="single" w:sz="4" w:space="1" w:color="auto"/>
        <w:left w:val="single" w:sz="4" w:space="4" w:color="auto"/>
        <w:bottom w:val="single" w:sz="4" w:space="1" w:color="auto"/>
        <w:right w:val="single" w:sz="4" w:space="4" w:color="auto"/>
      </w:pBdr>
      <w:spacing w:before="360" w:after="0"/>
      <w:ind w:left="113" w:right="113"/>
      <w:jc w:val="center"/>
    </w:pPr>
    <w:rPr>
      <w:rFonts w:ascii="Times New Roman" w:hAnsi="Times New Roman"/>
      <w:b/>
      <w:sz w:val="32"/>
    </w:rPr>
  </w:style>
  <w:style w:type="character" w:customStyle="1" w:styleId="FooterSensitivityChar">
    <w:name w:val="Footer Sensitivity Char"/>
    <w:basedOn w:val="TOCHeadingChar"/>
    <w:link w:val="FooterSensitivity"/>
    <w:rsid w:val="008B6253"/>
    <w:rPr>
      <w:rFonts w:ascii="Times New Roman" w:eastAsia="Times New Roman" w:hAnsi="Times New Roman" w:cs="Times New Roman"/>
      <w:b/>
      <w:sz w:val="32"/>
      <w:szCs w:val="24"/>
      <w:lang w:val="fr-FR"/>
    </w:rPr>
  </w:style>
  <w:style w:type="paragraph" w:customStyle="1" w:styleId="HeaderSensitivity">
    <w:name w:val="Header Sensitivity"/>
    <w:basedOn w:val="Normal"/>
    <w:link w:val="HeaderSensitivityChar"/>
    <w:rsid w:val="008B6253"/>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b/>
      <w:sz w:val="32"/>
    </w:rPr>
  </w:style>
  <w:style w:type="character" w:customStyle="1" w:styleId="HeaderSensitivityChar">
    <w:name w:val="Header Sensitivity Char"/>
    <w:basedOn w:val="TOCHeadingChar"/>
    <w:link w:val="HeaderSensitivity"/>
    <w:rsid w:val="008B6253"/>
    <w:rPr>
      <w:rFonts w:ascii="Times New Roman" w:eastAsia="Times New Roman" w:hAnsi="Times New Roman" w:cs="Times New Roman"/>
      <w:b/>
      <w:sz w:val="32"/>
      <w:szCs w:val="24"/>
      <w:lang w:val="fr-FR"/>
    </w:rPr>
  </w:style>
  <w:style w:type="paragraph" w:customStyle="1" w:styleId="HeaderSensitivityRight">
    <w:name w:val="Header Sensitivity Right"/>
    <w:basedOn w:val="Normal"/>
    <w:link w:val="HeaderSensitivityRightChar"/>
    <w:rsid w:val="008B6253"/>
    <w:pPr>
      <w:spacing w:after="120"/>
      <w:jc w:val="right"/>
    </w:pPr>
    <w:rPr>
      <w:rFonts w:ascii="Times New Roman" w:hAnsi="Times New Roman"/>
      <w:sz w:val="28"/>
    </w:rPr>
  </w:style>
  <w:style w:type="character" w:customStyle="1" w:styleId="HeaderSensitivityRightChar">
    <w:name w:val="Header Sensitivity Right Char"/>
    <w:basedOn w:val="TOCHeadingChar"/>
    <w:link w:val="HeaderSensitivityRight"/>
    <w:rsid w:val="008B6253"/>
    <w:rPr>
      <w:rFonts w:ascii="Times New Roman" w:eastAsia="Times New Roman" w:hAnsi="Times New Roman" w:cs="Times New Roman"/>
      <w:b w:val="0"/>
      <w:sz w:val="28"/>
      <w:szCs w:val="24"/>
      <w:lang w:val="fr-FR"/>
    </w:rPr>
  </w:style>
  <w:style w:type="table" w:customStyle="1" w:styleId="TableGrid11">
    <w:name w:val="Table Grid11"/>
    <w:basedOn w:val="TableNormal"/>
    <w:next w:val="TableGrid"/>
    <w:uiPriority w:val="39"/>
    <w:rsid w:val="00804E4F"/>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D554AF"/>
    <w:pPr>
      <w:spacing w:after="100"/>
      <w:ind w:left="240"/>
    </w:pPr>
  </w:style>
  <w:style w:type="character" w:styleId="CommentReference">
    <w:name w:val="annotation reference"/>
    <w:basedOn w:val="DefaultParagraphFont"/>
    <w:uiPriority w:val="99"/>
    <w:semiHidden/>
    <w:unhideWhenUsed/>
    <w:rsid w:val="00D56EF0"/>
    <w:rPr>
      <w:sz w:val="16"/>
      <w:szCs w:val="16"/>
    </w:rPr>
  </w:style>
  <w:style w:type="paragraph" w:styleId="CommentText">
    <w:name w:val="annotation text"/>
    <w:basedOn w:val="Normal"/>
    <w:link w:val="CommentTextChar"/>
    <w:uiPriority w:val="99"/>
    <w:unhideWhenUsed/>
    <w:rsid w:val="00D56EF0"/>
    <w:rPr>
      <w:sz w:val="20"/>
      <w:szCs w:val="20"/>
    </w:rPr>
  </w:style>
  <w:style w:type="character" w:customStyle="1" w:styleId="CommentTextChar">
    <w:name w:val="Comment Text Char"/>
    <w:basedOn w:val="DefaultParagraphFont"/>
    <w:link w:val="CommentText"/>
    <w:uiPriority w:val="99"/>
    <w:rsid w:val="00D56EF0"/>
    <w:rPr>
      <w:rFonts w:ascii="Times New Roman" w:hAnsi="Times New Roman" w:cs="Times New Roman"/>
      <w:sz w:val="20"/>
      <w:szCs w:val="20"/>
      <w:lang w:val="fr-FR"/>
    </w:rPr>
  </w:style>
  <w:style w:type="paragraph" w:styleId="BalloonText">
    <w:name w:val="Balloon Text"/>
    <w:basedOn w:val="Normal"/>
    <w:link w:val="BalloonTextChar"/>
    <w:uiPriority w:val="99"/>
    <w:semiHidden/>
    <w:unhideWhenUsed/>
    <w:rsid w:val="00D56EF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EF0"/>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2B7257"/>
    <w:rPr>
      <w:b/>
      <w:bCs/>
    </w:rPr>
  </w:style>
  <w:style w:type="character" w:customStyle="1" w:styleId="CommentSubjectChar">
    <w:name w:val="Comment Subject Char"/>
    <w:basedOn w:val="CommentTextChar"/>
    <w:link w:val="CommentSubject"/>
    <w:uiPriority w:val="99"/>
    <w:semiHidden/>
    <w:rsid w:val="002B7257"/>
    <w:rPr>
      <w:rFonts w:ascii="Times New Roman" w:hAnsi="Times New Roman" w:cs="Times New Roman"/>
      <w:b/>
      <w:bCs/>
      <w:sz w:val="20"/>
      <w:szCs w:val="20"/>
      <w:lang w:val="fr-FR"/>
    </w:rPr>
  </w:style>
  <w:style w:type="paragraph" w:styleId="Revision">
    <w:name w:val="Revision"/>
    <w:hidden/>
    <w:uiPriority w:val="99"/>
    <w:semiHidden/>
    <w:rsid w:val="00E834C5"/>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D275C"/>
    <w:rPr>
      <w:b/>
      <w:bCs/>
    </w:rPr>
  </w:style>
  <w:style w:type="character" w:customStyle="1" w:styleId="Heading2Char">
    <w:name w:val="Heading 2 Char"/>
    <w:basedOn w:val="DefaultParagraphFont"/>
    <w:link w:val="Heading2"/>
    <w:uiPriority w:val="9"/>
    <w:rsid w:val="002703F1"/>
    <w:rPr>
      <w:rFonts w:ascii="EC Square Sans Pro" w:eastAsiaTheme="majorEastAsia" w:hAnsi="EC Square Sans Pro" w:cstheme="majorBidi"/>
      <w:caps/>
      <w:color w:val="70AD47" w:themeColor="accent2"/>
      <w:sz w:val="24"/>
      <w:szCs w:val="26"/>
      <w:lang w:val="fr-FR"/>
    </w:rPr>
  </w:style>
  <w:style w:type="character" w:styleId="FollowedHyperlink">
    <w:name w:val="FollowedHyperlink"/>
    <w:basedOn w:val="DefaultParagraphFont"/>
    <w:uiPriority w:val="99"/>
    <w:semiHidden/>
    <w:unhideWhenUsed/>
    <w:rsid w:val="001C3C2E"/>
    <w:rPr>
      <w:color w:val="954F72" w:themeColor="followedHyperlink"/>
      <w:u w:val="single"/>
    </w:rPr>
  </w:style>
  <w:style w:type="paragraph" w:styleId="PlainText">
    <w:name w:val="Plain Text"/>
    <w:basedOn w:val="Normal"/>
    <w:link w:val="PlainTextChar"/>
    <w:uiPriority w:val="99"/>
    <w:unhideWhenUsed/>
    <w:rsid w:val="00547755"/>
    <w:pPr>
      <w:spacing w:after="0"/>
    </w:pPr>
    <w:rPr>
      <w:rFonts w:ascii="Calibri" w:hAnsi="Calibri" w:cstheme="minorBidi"/>
      <w:szCs w:val="21"/>
    </w:rPr>
  </w:style>
  <w:style w:type="character" w:customStyle="1" w:styleId="PlainTextChar">
    <w:name w:val="Plain Text Char"/>
    <w:basedOn w:val="DefaultParagraphFont"/>
    <w:link w:val="PlainText"/>
    <w:uiPriority w:val="99"/>
    <w:rsid w:val="00547755"/>
    <w:rPr>
      <w:rFonts w:ascii="Calibri" w:hAnsi="Calibri"/>
      <w:szCs w:val="21"/>
      <w:lang w:val="fr-FR"/>
    </w:rPr>
  </w:style>
  <w:style w:type="paragraph" w:customStyle="1" w:styleId="ecl-page-header-standardiseddescription">
    <w:name w:val="ecl-page-header-standardised__description"/>
    <w:basedOn w:val="Normal"/>
    <w:uiPriority w:val="99"/>
    <w:rsid w:val="007A1FE8"/>
    <w:pPr>
      <w:spacing w:before="100" w:beforeAutospacing="1" w:after="100" w:afterAutospacing="1"/>
    </w:pPr>
    <w:rPr>
      <w:rFonts w:eastAsia="Times New Roman"/>
      <w:lang w:eastAsia="en-GB"/>
    </w:rPr>
  </w:style>
  <w:style w:type="character" w:customStyle="1" w:styleId="UnresolvedMention1">
    <w:name w:val="Unresolved Mention1"/>
    <w:basedOn w:val="DefaultParagraphFont"/>
    <w:uiPriority w:val="99"/>
    <w:semiHidden/>
    <w:unhideWhenUsed/>
    <w:rsid w:val="00580C86"/>
    <w:rPr>
      <w:color w:val="605E5C"/>
      <w:shd w:val="clear" w:color="auto" w:fill="E1DFDD"/>
    </w:rPr>
  </w:style>
  <w:style w:type="character" w:customStyle="1" w:styleId="UnresolvedMention">
    <w:name w:val="Unresolved Mention"/>
    <w:basedOn w:val="DefaultParagraphFont"/>
    <w:uiPriority w:val="99"/>
    <w:semiHidden/>
    <w:unhideWhenUsed/>
    <w:rsid w:val="00B7513E"/>
    <w:rPr>
      <w:color w:val="605E5C"/>
      <w:shd w:val="clear" w:color="auto" w:fill="E1DFDD"/>
    </w:rPr>
  </w:style>
  <w:style w:type="table" w:styleId="GridTable4-Accent5">
    <w:name w:val="Grid Table 4 Accent 5"/>
    <w:basedOn w:val="TableNormal"/>
    <w:uiPriority w:val="49"/>
    <w:rsid w:val="00FA602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Text2">
    <w:name w:val="Text 2"/>
    <w:basedOn w:val="Normal"/>
    <w:uiPriority w:val="1"/>
    <w:qFormat/>
    <w:rsid w:val="00471184"/>
    <w:pPr>
      <w:spacing w:after="240"/>
      <w:ind w:left="1077"/>
    </w:pPr>
    <w:rPr>
      <w:rFonts w:ascii="Times New Roman" w:eastAsia="Times New Roman" w:hAnsi="Times New Roman"/>
      <w:sz w:val="24"/>
      <w:szCs w:val="20"/>
      <w:lang w:eastAsia="en-GB"/>
    </w:rPr>
  </w:style>
  <w:style w:type="character" w:customStyle="1" w:styleId="Mention">
    <w:name w:val="Mention"/>
    <w:basedOn w:val="DefaultParagraphFont"/>
    <w:uiPriority w:val="99"/>
    <w:unhideWhenUsed/>
    <w:rsid w:val="005B0CDE"/>
    <w:rPr>
      <w:color w:val="2B579A"/>
      <w:shd w:val="clear" w:color="auto" w:fill="E1DFDD"/>
    </w:rPr>
  </w:style>
  <w:style w:type="paragraph" w:customStyle="1" w:styleId="LegalNumPar">
    <w:name w:val="LegalNumPar"/>
    <w:basedOn w:val="Normal"/>
    <w:rsid w:val="00607C1D"/>
    <w:pPr>
      <w:numPr>
        <w:numId w:val="33"/>
      </w:numPr>
      <w:spacing w:line="360" w:lineRule="auto"/>
    </w:pPr>
    <w:rPr>
      <w:sz w:val="24"/>
    </w:rPr>
  </w:style>
  <w:style w:type="paragraph" w:customStyle="1" w:styleId="LegalNumPar2">
    <w:name w:val="LegalNumPar2"/>
    <w:basedOn w:val="Normal"/>
    <w:rsid w:val="00607C1D"/>
    <w:pPr>
      <w:numPr>
        <w:ilvl w:val="1"/>
        <w:numId w:val="33"/>
      </w:numPr>
      <w:spacing w:line="360" w:lineRule="auto"/>
    </w:pPr>
    <w:rPr>
      <w:sz w:val="24"/>
    </w:rPr>
  </w:style>
  <w:style w:type="paragraph" w:customStyle="1" w:styleId="LegalNumPar3">
    <w:name w:val="LegalNumPar3"/>
    <w:basedOn w:val="Normal"/>
    <w:rsid w:val="00607C1D"/>
    <w:pPr>
      <w:numPr>
        <w:ilvl w:val="2"/>
        <w:numId w:val="33"/>
      </w:numPr>
      <w:spacing w:line="360" w:lineRule="auto"/>
    </w:pPr>
    <w:rPr>
      <w:sz w:val="24"/>
    </w:rPr>
  </w:style>
  <w:style w:type="character" w:customStyle="1" w:styleId="normaltextrun">
    <w:name w:val="normaltextrun"/>
    <w:basedOn w:val="DefaultParagraphFont"/>
    <w:rsid w:val="004C709B"/>
  </w:style>
  <w:style w:type="paragraph" w:customStyle="1" w:styleId="Languesfaisantfoi">
    <w:name w:val="Langues faisant foi"/>
    <w:basedOn w:val="Normal"/>
    <w:next w:val="Normal"/>
    <w:rsid w:val="00D70DA9"/>
    <w:pPr>
      <w:spacing w:before="360" w:after="240"/>
      <w:jc w:val="center"/>
    </w:pPr>
    <w:rPr>
      <w:rFonts w:ascii="Times New Roman" w:hAnsi="Times New Roman"/>
      <w:sz w:val="24"/>
      <w:szCs w:val="22"/>
    </w:rPr>
  </w:style>
  <w:style w:type="paragraph" w:customStyle="1" w:styleId="LanguesfaisantfoiPagedecouverture">
    <w:name w:val="Langues faisant foi (Page de couverture)"/>
    <w:basedOn w:val="Normal"/>
    <w:next w:val="Normal"/>
    <w:rsid w:val="00D70DA9"/>
    <w:pPr>
      <w:spacing w:before="360" w:after="240"/>
      <w:jc w:val="center"/>
    </w:pPr>
    <w:rPr>
      <w:rFonts w:ascii="Times New Roman" w:hAnsi="Times New Roman"/>
      <w:sz w:val="24"/>
      <w:szCs w:val="22"/>
    </w:rPr>
  </w:style>
  <w:style w:type="paragraph" w:customStyle="1" w:styleId="IntrtEEE">
    <w:name w:val="Intérêt EEE"/>
    <w:basedOn w:val="Languesfaisantfoi"/>
    <w:next w:val="Normal"/>
    <w:rsid w:val="00D70DA9"/>
    <w:pPr>
      <w:spacing w:after="0"/>
    </w:pPr>
  </w:style>
  <w:style w:type="paragraph" w:customStyle="1" w:styleId="IntrtEEEPagedecouverture">
    <w:name w:val="Intérêt EEE (Page de couverture)"/>
    <w:basedOn w:val="IntrtEEE"/>
    <w:next w:val="Normal"/>
    <w:rsid w:val="00D70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110">
      <w:bodyDiv w:val="1"/>
      <w:marLeft w:val="0"/>
      <w:marRight w:val="0"/>
      <w:marTop w:val="0"/>
      <w:marBottom w:val="0"/>
      <w:divBdr>
        <w:top w:val="none" w:sz="0" w:space="0" w:color="auto"/>
        <w:left w:val="none" w:sz="0" w:space="0" w:color="auto"/>
        <w:bottom w:val="none" w:sz="0" w:space="0" w:color="auto"/>
        <w:right w:val="none" w:sz="0" w:space="0" w:color="auto"/>
      </w:divBdr>
    </w:div>
    <w:div w:id="13697865">
      <w:bodyDiv w:val="1"/>
      <w:marLeft w:val="0"/>
      <w:marRight w:val="0"/>
      <w:marTop w:val="0"/>
      <w:marBottom w:val="0"/>
      <w:divBdr>
        <w:top w:val="none" w:sz="0" w:space="0" w:color="auto"/>
        <w:left w:val="none" w:sz="0" w:space="0" w:color="auto"/>
        <w:bottom w:val="none" w:sz="0" w:space="0" w:color="auto"/>
        <w:right w:val="none" w:sz="0" w:space="0" w:color="auto"/>
      </w:divBdr>
    </w:div>
    <w:div w:id="32507214">
      <w:bodyDiv w:val="1"/>
      <w:marLeft w:val="0"/>
      <w:marRight w:val="0"/>
      <w:marTop w:val="0"/>
      <w:marBottom w:val="0"/>
      <w:divBdr>
        <w:top w:val="none" w:sz="0" w:space="0" w:color="auto"/>
        <w:left w:val="none" w:sz="0" w:space="0" w:color="auto"/>
        <w:bottom w:val="none" w:sz="0" w:space="0" w:color="auto"/>
        <w:right w:val="none" w:sz="0" w:space="0" w:color="auto"/>
      </w:divBdr>
    </w:div>
    <w:div w:id="34670410">
      <w:bodyDiv w:val="1"/>
      <w:marLeft w:val="0"/>
      <w:marRight w:val="0"/>
      <w:marTop w:val="0"/>
      <w:marBottom w:val="0"/>
      <w:divBdr>
        <w:top w:val="none" w:sz="0" w:space="0" w:color="auto"/>
        <w:left w:val="none" w:sz="0" w:space="0" w:color="auto"/>
        <w:bottom w:val="none" w:sz="0" w:space="0" w:color="auto"/>
        <w:right w:val="none" w:sz="0" w:space="0" w:color="auto"/>
      </w:divBdr>
    </w:div>
    <w:div w:id="68700540">
      <w:bodyDiv w:val="1"/>
      <w:marLeft w:val="0"/>
      <w:marRight w:val="0"/>
      <w:marTop w:val="0"/>
      <w:marBottom w:val="0"/>
      <w:divBdr>
        <w:top w:val="none" w:sz="0" w:space="0" w:color="auto"/>
        <w:left w:val="none" w:sz="0" w:space="0" w:color="auto"/>
        <w:bottom w:val="none" w:sz="0" w:space="0" w:color="auto"/>
        <w:right w:val="none" w:sz="0" w:space="0" w:color="auto"/>
      </w:divBdr>
    </w:div>
    <w:div w:id="73863327">
      <w:bodyDiv w:val="1"/>
      <w:marLeft w:val="0"/>
      <w:marRight w:val="0"/>
      <w:marTop w:val="0"/>
      <w:marBottom w:val="0"/>
      <w:divBdr>
        <w:top w:val="none" w:sz="0" w:space="0" w:color="auto"/>
        <w:left w:val="none" w:sz="0" w:space="0" w:color="auto"/>
        <w:bottom w:val="none" w:sz="0" w:space="0" w:color="auto"/>
        <w:right w:val="none" w:sz="0" w:space="0" w:color="auto"/>
      </w:divBdr>
    </w:div>
    <w:div w:id="81609872">
      <w:bodyDiv w:val="1"/>
      <w:marLeft w:val="0"/>
      <w:marRight w:val="0"/>
      <w:marTop w:val="0"/>
      <w:marBottom w:val="0"/>
      <w:divBdr>
        <w:top w:val="none" w:sz="0" w:space="0" w:color="auto"/>
        <w:left w:val="none" w:sz="0" w:space="0" w:color="auto"/>
        <w:bottom w:val="none" w:sz="0" w:space="0" w:color="auto"/>
        <w:right w:val="none" w:sz="0" w:space="0" w:color="auto"/>
      </w:divBdr>
      <w:divsChild>
        <w:div w:id="1276669232">
          <w:marLeft w:val="0"/>
          <w:marRight w:val="0"/>
          <w:marTop w:val="0"/>
          <w:marBottom w:val="0"/>
          <w:divBdr>
            <w:top w:val="none" w:sz="0" w:space="0" w:color="auto"/>
            <w:left w:val="none" w:sz="0" w:space="0" w:color="auto"/>
            <w:bottom w:val="none" w:sz="0" w:space="0" w:color="auto"/>
            <w:right w:val="none" w:sz="0" w:space="0" w:color="auto"/>
          </w:divBdr>
        </w:div>
      </w:divsChild>
    </w:div>
    <w:div w:id="84570062">
      <w:bodyDiv w:val="1"/>
      <w:marLeft w:val="0"/>
      <w:marRight w:val="0"/>
      <w:marTop w:val="0"/>
      <w:marBottom w:val="0"/>
      <w:divBdr>
        <w:top w:val="none" w:sz="0" w:space="0" w:color="auto"/>
        <w:left w:val="none" w:sz="0" w:space="0" w:color="auto"/>
        <w:bottom w:val="none" w:sz="0" w:space="0" w:color="auto"/>
        <w:right w:val="none" w:sz="0" w:space="0" w:color="auto"/>
      </w:divBdr>
    </w:div>
    <w:div w:id="115149302">
      <w:bodyDiv w:val="1"/>
      <w:marLeft w:val="0"/>
      <w:marRight w:val="0"/>
      <w:marTop w:val="0"/>
      <w:marBottom w:val="0"/>
      <w:divBdr>
        <w:top w:val="none" w:sz="0" w:space="0" w:color="auto"/>
        <w:left w:val="none" w:sz="0" w:space="0" w:color="auto"/>
        <w:bottom w:val="none" w:sz="0" w:space="0" w:color="auto"/>
        <w:right w:val="none" w:sz="0" w:space="0" w:color="auto"/>
      </w:divBdr>
    </w:div>
    <w:div w:id="116071540">
      <w:bodyDiv w:val="1"/>
      <w:marLeft w:val="0"/>
      <w:marRight w:val="0"/>
      <w:marTop w:val="0"/>
      <w:marBottom w:val="0"/>
      <w:divBdr>
        <w:top w:val="none" w:sz="0" w:space="0" w:color="auto"/>
        <w:left w:val="none" w:sz="0" w:space="0" w:color="auto"/>
        <w:bottom w:val="none" w:sz="0" w:space="0" w:color="auto"/>
        <w:right w:val="none" w:sz="0" w:space="0" w:color="auto"/>
      </w:divBdr>
    </w:div>
    <w:div w:id="145781231">
      <w:bodyDiv w:val="1"/>
      <w:marLeft w:val="0"/>
      <w:marRight w:val="0"/>
      <w:marTop w:val="0"/>
      <w:marBottom w:val="0"/>
      <w:divBdr>
        <w:top w:val="none" w:sz="0" w:space="0" w:color="auto"/>
        <w:left w:val="none" w:sz="0" w:space="0" w:color="auto"/>
        <w:bottom w:val="none" w:sz="0" w:space="0" w:color="auto"/>
        <w:right w:val="none" w:sz="0" w:space="0" w:color="auto"/>
      </w:divBdr>
    </w:div>
    <w:div w:id="166022188">
      <w:bodyDiv w:val="1"/>
      <w:marLeft w:val="0"/>
      <w:marRight w:val="0"/>
      <w:marTop w:val="0"/>
      <w:marBottom w:val="0"/>
      <w:divBdr>
        <w:top w:val="none" w:sz="0" w:space="0" w:color="auto"/>
        <w:left w:val="none" w:sz="0" w:space="0" w:color="auto"/>
        <w:bottom w:val="none" w:sz="0" w:space="0" w:color="auto"/>
        <w:right w:val="none" w:sz="0" w:space="0" w:color="auto"/>
      </w:divBdr>
    </w:div>
    <w:div w:id="168252948">
      <w:bodyDiv w:val="1"/>
      <w:marLeft w:val="0"/>
      <w:marRight w:val="0"/>
      <w:marTop w:val="0"/>
      <w:marBottom w:val="0"/>
      <w:divBdr>
        <w:top w:val="none" w:sz="0" w:space="0" w:color="auto"/>
        <w:left w:val="none" w:sz="0" w:space="0" w:color="auto"/>
        <w:bottom w:val="none" w:sz="0" w:space="0" w:color="auto"/>
        <w:right w:val="none" w:sz="0" w:space="0" w:color="auto"/>
      </w:divBdr>
      <w:divsChild>
        <w:div w:id="182017978">
          <w:marLeft w:val="360"/>
          <w:marRight w:val="0"/>
          <w:marTop w:val="0"/>
          <w:marBottom w:val="60"/>
          <w:divBdr>
            <w:top w:val="none" w:sz="0" w:space="0" w:color="auto"/>
            <w:left w:val="none" w:sz="0" w:space="0" w:color="auto"/>
            <w:bottom w:val="none" w:sz="0" w:space="0" w:color="auto"/>
            <w:right w:val="none" w:sz="0" w:space="0" w:color="auto"/>
          </w:divBdr>
        </w:div>
      </w:divsChild>
    </w:div>
    <w:div w:id="169830019">
      <w:bodyDiv w:val="1"/>
      <w:marLeft w:val="0"/>
      <w:marRight w:val="0"/>
      <w:marTop w:val="0"/>
      <w:marBottom w:val="0"/>
      <w:divBdr>
        <w:top w:val="none" w:sz="0" w:space="0" w:color="auto"/>
        <w:left w:val="none" w:sz="0" w:space="0" w:color="auto"/>
        <w:bottom w:val="none" w:sz="0" w:space="0" w:color="auto"/>
        <w:right w:val="none" w:sz="0" w:space="0" w:color="auto"/>
      </w:divBdr>
      <w:divsChild>
        <w:div w:id="1590652496">
          <w:marLeft w:val="360"/>
          <w:marRight w:val="0"/>
          <w:marTop w:val="0"/>
          <w:marBottom w:val="60"/>
          <w:divBdr>
            <w:top w:val="none" w:sz="0" w:space="0" w:color="auto"/>
            <w:left w:val="none" w:sz="0" w:space="0" w:color="auto"/>
            <w:bottom w:val="none" w:sz="0" w:space="0" w:color="auto"/>
            <w:right w:val="none" w:sz="0" w:space="0" w:color="auto"/>
          </w:divBdr>
        </w:div>
      </w:divsChild>
    </w:div>
    <w:div w:id="175195517">
      <w:bodyDiv w:val="1"/>
      <w:marLeft w:val="0"/>
      <w:marRight w:val="0"/>
      <w:marTop w:val="0"/>
      <w:marBottom w:val="0"/>
      <w:divBdr>
        <w:top w:val="none" w:sz="0" w:space="0" w:color="auto"/>
        <w:left w:val="none" w:sz="0" w:space="0" w:color="auto"/>
        <w:bottom w:val="none" w:sz="0" w:space="0" w:color="auto"/>
        <w:right w:val="none" w:sz="0" w:space="0" w:color="auto"/>
      </w:divBdr>
    </w:div>
    <w:div w:id="198444671">
      <w:bodyDiv w:val="1"/>
      <w:marLeft w:val="0"/>
      <w:marRight w:val="0"/>
      <w:marTop w:val="0"/>
      <w:marBottom w:val="0"/>
      <w:divBdr>
        <w:top w:val="none" w:sz="0" w:space="0" w:color="auto"/>
        <w:left w:val="none" w:sz="0" w:space="0" w:color="auto"/>
        <w:bottom w:val="none" w:sz="0" w:space="0" w:color="auto"/>
        <w:right w:val="none" w:sz="0" w:space="0" w:color="auto"/>
      </w:divBdr>
    </w:div>
    <w:div w:id="204485303">
      <w:bodyDiv w:val="1"/>
      <w:marLeft w:val="0"/>
      <w:marRight w:val="0"/>
      <w:marTop w:val="0"/>
      <w:marBottom w:val="0"/>
      <w:divBdr>
        <w:top w:val="none" w:sz="0" w:space="0" w:color="auto"/>
        <w:left w:val="none" w:sz="0" w:space="0" w:color="auto"/>
        <w:bottom w:val="none" w:sz="0" w:space="0" w:color="auto"/>
        <w:right w:val="none" w:sz="0" w:space="0" w:color="auto"/>
      </w:divBdr>
    </w:div>
    <w:div w:id="210462789">
      <w:bodyDiv w:val="1"/>
      <w:marLeft w:val="0"/>
      <w:marRight w:val="0"/>
      <w:marTop w:val="0"/>
      <w:marBottom w:val="0"/>
      <w:divBdr>
        <w:top w:val="none" w:sz="0" w:space="0" w:color="auto"/>
        <w:left w:val="none" w:sz="0" w:space="0" w:color="auto"/>
        <w:bottom w:val="none" w:sz="0" w:space="0" w:color="auto"/>
        <w:right w:val="none" w:sz="0" w:space="0" w:color="auto"/>
      </w:divBdr>
    </w:div>
    <w:div w:id="212233203">
      <w:bodyDiv w:val="1"/>
      <w:marLeft w:val="0"/>
      <w:marRight w:val="0"/>
      <w:marTop w:val="0"/>
      <w:marBottom w:val="0"/>
      <w:divBdr>
        <w:top w:val="none" w:sz="0" w:space="0" w:color="auto"/>
        <w:left w:val="none" w:sz="0" w:space="0" w:color="auto"/>
        <w:bottom w:val="none" w:sz="0" w:space="0" w:color="auto"/>
        <w:right w:val="none" w:sz="0" w:space="0" w:color="auto"/>
      </w:divBdr>
    </w:div>
    <w:div w:id="222757446">
      <w:bodyDiv w:val="1"/>
      <w:marLeft w:val="0"/>
      <w:marRight w:val="0"/>
      <w:marTop w:val="0"/>
      <w:marBottom w:val="0"/>
      <w:divBdr>
        <w:top w:val="none" w:sz="0" w:space="0" w:color="auto"/>
        <w:left w:val="none" w:sz="0" w:space="0" w:color="auto"/>
        <w:bottom w:val="none" w:sz="0" w:space="0" w:color="auto"/>
        <w:right w:val="none" w:sz="0" w:space="0" w:color="auto"/>
      </w:divBdr>
    </w:div>
    <w:div w:id="226034699">
      <w:bodyDiv w:val="1"/>
      <w:marLeft w:val="0"/>
      <w:marRight w:val="0"/>
      <w:marTop w:val="0"/>
      <w:marBottom w:val="0"/>
      <w:divBdr>
        <w:top w:val="none" w:sz="0" w:space="0" w:color="auto"/>
        <w:left w:val="none" w:sz="0" w:space="0" w:color="auto"/>
        <w:bottom w:val="none" w:sz="0" w:space="0" w:color="auto"/>
        <w:right w:val="none" w:sz="0" w:space="0" w:color="auto"/>
      </w:divBdr>
    </w:div>
    <w:div w:id="237985488">
      <w:bodyDiv w:val="1"/>
      <w:marLeft w:val="0"/>
      <w:marRight w:val="0"/>
      <w:marTop w:val="0"/>
      <w:marBottom w:val="0"/>
      <w:divBdr>
        <w:top w:val="none" w:sz="0" w:space="0" w:color="auto"/>
        <w:left w:val="none" w:sz="0" w:space="0" w:color="auto"/>
        <w:bottom w:val="none" w:sz="0" w:space="0" w:color="auto"/>
        <w:right w:val="none" w:sz="0" w:space="0" w:color="auto"/>
      </w:divBdr>
    </w:div>
    <w:div w:id="238760014">
      <w:bodyDiv w:val="1"/>
      <w:marLeft w:val="0"/>
      <w:marRight w:val="0"/>
      <w:marTop w:val="0"/>
      <w:marBottom w:val="0"/>
      <w:divBdr>
        <w:top w:val="none" w:sz="0" w:space="0" w:color="auto"/>
        <w:left w:val="none" w:sz="0" w:space="0" w:color="auto"/>
        <w:bottom w:val="none" w:sz="0" w:space="0" w:color="auto"/>
        <w:right w:val="none" w:sz="0" w:space="0" w:color="auto"/>
      </w:divBdr>
    </w:div>
    <w:div w:id="265578364">
      <w:bodyDiv w:val="1"/>
      <w:marLeft w:val="0"/>
      <w:marRight w:val="0"/>
      <w:marTop w:val="0"/>
      <w:marBottom w:val="0"/>
      <w:divBdr>
        <w:top w:val="none" w:sz="0" w:space="0" w:color="auto"/>
        <w:left w:val="none" w:sz="0" w:space="0" w:color="auto"/>
        <w:bottom w:val="none" w:sz="0" w:space="0" w:color="auto"/>
        <w:right w:val="none" w:sz="0" w:space="0" w:color="auto"/>
      </w:divBdr>
    </w:div>
    <w:div w:id="279189576">
      <w:bodyDiv w:val="1"/>
      <w:marLeft w:val="0"/>
      <w:marRight w:val="0"/>
      <w:marTop w:val="0"/>
      <w:marBottom w:val="0"/>
      <w:divBdr>
        <w:top w:val="none" w:sz="0" w:space="0" w:color="auto"/>
        <w:left w:val="none" w:sz="0" w:space="0" w:color="auto"/>
        <w:bottom w:val="none" w:sz="0" w:space="0" w:color="auto"/>
        <w:right w:val="none" w:sz="0" w:space="0" w:color="auto"/>
      </w:divBdr>
    </w:div>
    <w:div w:id="284119342">
      <w:bodyDiv w:val="1"/>
      <w:marLeft w:val="0"/>
      <w:marRight w:val="0"/>
      <w:marTop w:val="0"/>
      <w:marBottom w:val="0"/>
      <w:divBdr>
        <w:top w:val="none" w:sz="0" w:space="0" w:color="auto"/>
        <w:left w:val="none" w:sz="0" w:space="0" w:color="auto"/>
        <w:bottom w:val="none" w:sz="0" w:space="0" w:color="auto"/>
        <w:right w:val="none" w:sz="0" w:space="0" w:color="auto"/>
      </w:divBdr>
    </w:div>
    <w:div w:id="287590709">
      <w:bodyDiv w:val="1"/>
      <w:marLeft w:val="0"/>
      <w:marRight w:val="0"/>
      <w:marTop w:val="0"/>
      <w:marBottom w:val="0"/>
      <w:divBdr>
        <w:top w:val="none" w:sz="0" w:space="0" w:color="auto"/>
        <w:left w:val="none" w:sz="0" w:space="0" w:color="auto"/>
        <w:bottom w:val="none" w:sz="0" w:space="0" w:color="auto"/>
        <w:right w:val="none" w:sz="0" w:space="0" w:color="auto"/>
      </w:divBdr>
      <w:divsChild>
        <w:div w:id="57674530">
          <w:marLeft w:val="360"/>
          <w:marRight w:val="0"/>
          <w:marTop w:val="0"/>
          <w:marBottom w:val="60"/>
          <w:divBdr>
            <w:top w:val="none" w:sz="0" w:space="0" w:color="auto"/>
            <w:left w:val="none" w:sz="0" w:space="0" w:color="auto"/>
            <w:bottom w:val="none" w:sz="0" w:space="0" w:color="auto"/>
            <w:right w:val="none" w:sz="0" w:space="0" w:color="auto"/>
          </w:divBdr>
        </w:div>
        <w:div w:id="521548672">
          <w:marLeft w:val="360"/>
          <w:marRight w:val="0"/>
          <w:marTop w:val="0"/>
          <w:marBottom w:val="60"/>
          <w:divBdr>
            <w:top w:val="none" w:sz="0" w:space="0" w:color="auto"/>
            <w:left w:val="none" w:sz="0" w:space="0" w:color="auto"/>
            <w:bottom w:val="none" w:sz="0" w:space="0" w:color="auto"/>
            <w:right w:val="none" w:sz="0" w:space="0" w:color="auto"/>
          </w:divBdr>
        </w:div>
      </w:divsChild>
    </w:div>
    <w:div w:id="295723376">
      <w:bodyDiv w:val="1"/>
      <w:marLeft w:val="0"/>
      <w:marRight w:val="0"/>
      <w:marTop w:val="0"/>
      <w:marBottom w:val="0"/>
      <w:divBdr>
        <w:top w:val="none" w:sz="0" w:space="0" w:color="auto"/>
        <w:left w:val="none" w:sz="0" w:space="0" w:color="auto"/>
        <w:bottom w:val="none" w:sz="0" w:space="0" w:color="auto"/>
        <w:right w:val="none" w:sz="0" w:space="0" w:color="auto"/>
      </w:divBdr>
    </w:div>
    <w:div w:id="297810240">
      <w:bodyDiv w:val="1"/>
      <w:marLeft w:val="0"/>
      <w:marRight w:val="0"/>
      <w:marTop w:val="0"/>
      <w:marBottom w:val="0"/>
      <w:divBdr>
        <w:top w:val="none" w:sz="0" w:space="0" w:color="auto"/>
        <w:left w:val="none" w:sz="0" w:space="0" w:color="auto"/>
        <w:bottom w:val="none" w:sz="0" w:space="0" w:color="auto"/>
        <w:right w:val="none" w:sz="0" w:space="0" w:color="auto"/>
      </w:divBdr>
    </w:div>
    <w:div w:id="301546889">
      <w:bodyDiv w:val="1"/>
      <w:marLeft w:val="0"/>
      <w:marRight w:val="0"/>
      <w:marTop w:val="0"/>
      <w:marBottom w:val="0"/>
      <w:divBdr>
        <w:top w:val="none" w:sz="0" w:space="0" w:color="auto"/>
        <w:left w:val="none" w:sz="0" w:space="0" w:color="auto"/>
        <w:bottom w:val="none" w:sz="0" w:space="0" w:color="auto"/>
        <w:right w:val="none" w:sz="0" w:space="0" w:color="auto"/>
      </w:divBdr>
    </w:div>
    <w:div w:id="303391389">
      <w:bodyDiv w:val="1"/>
      <w:marLeft w:val="0"/>
      <w:marRight w:val="0"/>
      <w:marTop w:val="0"/>
      <w:marBottom w:val="0"/>
      <w:divBdr>
        <w:top w:val="none" w:sz="0" w:space="0" w:color="auto"/>
        <w:left w:val="none" w:sz="0" w:space="0" w:color="auto"/>
        <w:bottom w:val="none" w:sz="0" w:space="0" w:color="auto"/>
        <w:right w:val="none" w:sz="0" w:space="0" w:color="auto"/>
      </w:divBdr>
    </w:div>
    <w:div w:id="321785287">
      <w:bodyDiv w:val="1"/>
      <w:marLeft w:val="0"/>
      <w:marRight w:val="0"/>
      <w:marTop w:val="0"/>
      <w:marBottom w:val="0"/>
      <w:divBdr>
        <w:top w:val="none" w:sz="0" w:space="0" w:color="auto"/>
        <w:left w:val="none" w:sz="0" w:space="0" w:color="auto"/>
        <w:bottom w:val="none" w:sz="0" w:space="0" w:color="auto"/>
        <w:right w:val="none" w:sz="0" w:space="0" w:color="auto"/>
      </w:divBdr>
    </w:div>
    <w:div w:id="340161298">
      <w:bodyDiv w:val="1"/>
      <w:marLeft w:val="0"/>
      <w:marRight w:val="0"/>
      <w:marTop w:val="0"/>
      <w:marBottom w:val="0"/>
      <w:divBdr>
        <w:top w:val="none" w:sz="0" w:space="0" w:color="auto"/>
        <w:left w:val="none" w:sz="0" w:space="0" w:color="auto"/>
        <w:bottom w:val="none" w:sz="0" w:space="0" w:color="auto"/>
        <w:right w:val="none" w:sz="0" w:space="0" w:color="auto"/>
      </w:divBdr>
    </w:div>
    <w:div w:id="351421111">
      <w:bodyDiv w:val="1"/>
      <w:marLeft w:val="0"/>
      <w:marRight w:val="0"/>
      <w:marTop w:val="0"/>
      <w:marBottom w:val="0"/>
      <w:divBdr>
        <w:top w:val="none" w:sz="0" w:space="0" w:color="auto"/>
        <w:left w:val="none" w:sz="0" w:space="0" w:color="auto"/>
        <w:bottom w:val="none" w:sz="0" w:space="0" w:color="auto"/>
        <w:right w:val="none" w:sz="0" w:space="0" w:color="auto"/>
      </w:divBdr>
    </w:div>
    <w:div w:id="351611388">
      <w:bodyDiv w:val="1"/>
      <w:marLeft w:val="0"/>
      <w:marRight w:val="0"/>
      <w:marTop w:val="0"/>
      <w:marBottom w:val="0"/>
      <w:divBdr>
        <w:top w:val="none" w:sz="0" w:space="0" w:color="auto"/>
        <w:left w:val="none" w:sz="0" w:space="0" w:color="auto"/>
        <w:bottom w:val="none" w:sz="0" w:space="0" w:color="auto"/>
        <w:right w:val="none" w:sz="0" w:space="0" w:color="auto"/>
      </w:divBdr>
    </w:div>
    <w:div w:id="364604937">
      <w:bodyDiv w:val="1"/>
      <w:marLeft w:val="0"/>
      <w:marRight w:val="0"/>
      <w:marTop w:val="0"/>
      <w:marBottom w:val="0"/>
      <w:divBdr>
        <w:top w:val="none" w:sz="0" w:space="0" w:color="auto"/>
        <w:left w:val="none" w:sz="0" w:space="0" w:color="auto"/>
        <w:bottom w:val="none" w:sz="0" w:space="0" w:color="auto"/>
        <w:right w:val="none" w:sz="0" w:space="0" w:color="auto"/>
      </w:divBdr>
    </w:div>
    <w:div w:id="374737370">
      <w:bodyDiv w:val="1"/>
      <w:marLeft w:val="0"/>
      <w:marRight w:val="0"/>
      <w:marTop w:val="0"/>
      <w:marBottom w:val="0"/>
      <w:divBdr>
        <w:top w:val="none" w:sz="0" w:space="0" w:color="auto"/>
        <w:left w:val="none" w:sz="0" w:space="0" w:color="auto"/>
        <w:bottom w:val="none" w:sz="0" w:space="0" w:color="auto"/>
        <w:right w:val="none" w:sz="0" w:space="0" w:color="auto"/>
      </w:divBdr>
    </w:div>
    <w:div w:id="393508607">
      <w:bodyDiv w:val="1"/>
      <w:marLeft w:val="0"/>
      <w:marRight w:val="0"/>
      <w:marTop w:val="0"/>
      <w:marBottom w:val="0"/>
      <w:divBdr>
        <w:top w:val="none" w:sz="0" w:space="0" w:color="auto"/>
        <w:left w:val="none" w:sz="0" w:space="0" w:color="auto"/>
        <w:bottom w:val="none" w:sz="0" w:space="0" w:color="auto"/>
        <w:right w:val="none" w:sz="0" w:space="0" w:color="auto"/>
      </w:divBdr>
    </w:div>
    <w:div w:id="405684663">
      <w:bodyDiv w:val="1"/>
      <w:marLeft w:val="0"/>
      <w:marRight w:val="0"/>
      <w:marTop w:val="0"/>
      <w:marBottom w:val="0"/>
      <w:divBdr>
        <w:top w:val="none" w:sz="0" w:space="0" w:color="auto"/>
        <w:left w:val="none" w:sz="0" w:space="0" w:color="auto"/>
        <w:bottom w:val="none" w:sz="0" w:space="0" w:color="auto"/>
        <w:right w:val="none" w:sz="0" w:space="0" w:color="auto"/>
      </w:divBdr>
    </w:div>
    <w:div w:id="410080985">
      <w:bodyDiv w:val="1"/>
      <w:marLeft w:val="0"/>
      <w:marRight w:val="0"/>
      <w:marTop w:val="0"/>
      <w:marBottom w:val="0"/>
      <w:divBdr>
        <w:top w:val="none" w:sz="0" w:space="0" w:color="auto"/>
        <w:left w:val="none" w:sz="0" w:space="0" w:color="auto"/>
        <w:bottom w:val="none" w:sz="0" w:space="0" w:color="auto"/>
        <w:right w:val="none" w:sz="0" w:space="0" w:color="auto"/>
      </w:divBdr>
      <w:divsChild>
        <w:div w:id="1007635415">
          <w:marLeft w:val="0"/>
          <w:marRight w:val="0"/>
          <w:marTop w:val="0"/>
          <w:marBottom w:val="0"/>
          <w:divBdr>
            <w:top w:val="none" w:sz="0" w:space="0" w:color="auto"/>
            <w:left w:val="none" w:sz="0" w:space="0" w:color="auto"/>
            <w:bottom w:val="none" w:sz="0" w:space="0" w:color="auto"/>
            <w:right w:val="none" w:sz="0" w:space="0" w:color="auto"/>
          </w:divBdr>
        </w:div>
      </w:divsChild>
    </w:div>
    <w:div w:id="442266534">
      <w:bodyDiv w:val="1"/>
      <w:marLeft w:val="0"/>
      <w:marRight w:val="0"/>
      <w:marTop w:val="0"/>
      <w:marBottom w:val="0"/>
      <w:divBdr>
        <w:top w:val="none" w:sz="0" w:space="0" w:color="auto"/>
        <w:left w:val="none" w:sz="0" w:space="0" w:color="auto"/>
        <w:bottom w:val="none" w:sz="0" w:space="0" w:color="auto"/>
        <w:right w:val="none" w:sz="0" w:space="0" w:color="auto"/>
      </w:divBdr>
    </w:div>
    <w:div w:id="455828605">
      <w:bodyDiv w:val="1"/>
      <w:marLeft w:val="0"/>
      <w:marRight w:val="0"/>
      <w:marTop w:val="0"/>
      <w:marBottom w:val="0"/>
      <w:divBdr>
        <w:top w:val="none" w:sz="0" w:space="0" w:color="auto"/>
        <w:left w:val="none" w:sz="0" w:space="0" w:color="auto"/>
        <w:bottom w:val="none" w:sz="0" w:space="0" w:color="auto"/>
        <w:right w:val="none" w:sz="0" w:space="0" w:color="auto"/>
      </w:divBdr>
    </w:div>
    <w:div w:id="483670406">
      <w:bodyDiv w:val="1"/>
      <w:marLeft w:val="0"/>
      <w:marRight w:val="0"/>
      <w:marTop w:val="0"/>
      <w:marBottom w:val="0"/>
      <w:divBdr>
        <w:top w:val="none" w:sz="0" w:space="0" w:color="auto"/>
        <w:left w:val="none" w:sz="0" w:space="0" w:color="auto"/>
        <w:bottom w:val="none" w:sz="0" w:space="0" w:color="auto"/>
        <w:right w:val="none" w:sz="0" w:space="0" w:color="auto"/>
      </w:divBdr>
    </w:div>
    <w:div w:id="498085854">
      <w:bodyDiv w:val="1"/>
      <w:marLeft w:val="0"/>
      <w:marRight w:val="0"/>
      <w:marTop w:val="0"/>
      <w:marBottom w:val="0"/>
      <w:divBdr>
        <w:top w:val="none" w:sz="0" w:space="0" w:color="auto"/>
        <w:left w:val="none" w:sz="0" w:space="0" w:color="auto"/>
        <w:bottom w:val="none" w:sz="0" w:space="0" w:color="auto"/>
        <w:right w:val="none" w:sz="0" w:space="0" w:color="auto"/>
      </w:divBdr>
    </w:div>
    <w:div w:id="570239873">
      <w:bodyDiv w:val="1"/>
      <w:marLeft w:val="0"/>
      <w:marRight w:val="0"/>
      <w:marTop w:val="0"/>
      <w:marBottom w:val="0"/>
      <w:divBdr>
        <w:top w:val="none" w:sz="0" w:space="0" w:color="auto"/>
        <w:left w:val="none" w:sz="0" w:space="0" w:color="auto"/>
        <w:bottom w:val="none" w:sz="0" w:space="0" w:color="auto"/>
        <w:right w:val="none" w:sz="0" w:space="0" w:color="auto"/>
      </w:divBdr>
    </w:div>
    <w:div w:id="573970309">
      <w:bodyDiv w:val="1"/>
      <w:marLeft w:val="0"/>
      <w:marRight w:val="0"/>
      <w:marTop w:val="0"/>
      <w:marBottom w:val="0"/>
      <w:divBdr>
        <w:top w:val="none" w:sz="0" w:space="0" w:color="auto"/>
        <w:left w:val="none" w:sz="0" w:space="0" w:color="auto"/>
        <w:bottom w:val="none" w:sz="0" w:space="0" w:color="auto"/>
        <w:right w:val="none" w:sz="0" w:space="0" w:color="auto"/>
      </w:divBdr>
    </w:div>
    <w:div w:id="581838311">
      <w:bodyDiv w:val="1"/>
      <w:marLeft w:val="0"/>
      <w:marRight w:val="0"/>
      <w:marTop w:val="0"/>
      <w:marBottom w:val="0"/>
      <w:divBdr>
        <w:top w:val="none" w:sz="0" w:space="0" w:color="auto"/>
        <w:left w:val="none" w:sz="0" w:space="0" w:color="auto"/>
        <w:bottom w:val="none" w:sz="0" w:space="0" w:color="auto"/>
        <w:right w:val="none" w:sz="0" w:space="0" w:color="auto"/>
      </w:divBdr>
    </w:div>
    <w:div w:id="595789768">
      <w:bodyDiv w:val="1"/>
      <w:marLeft w:val="0"/>
      <w:marRight w:val="0"/>
      <w:marTop w:val="0"/>
      <w:marBottom w:val="0"/>
      <w:divBdr>
        <w:top w:val="none" w:sz="0" w:space="0" w:color="auto"/>
        <w:left w:val="none" w:sz="0" w:space="0" w:color="auto"/>
        <w:bottom w:val="none" w:sz="0" w:space="0" w:color="auto"/>
        <w:right w:val="none" w:sz="0" w:space="0" w:color="auto"/>
      </w:divBdr>
    </w:div>
    <w:div w:id="596213421">
      <w:bodyDiv w:val="1"/>
      <w:marLeft w:val="0"/>
      <w:marRight w:val="0"/>
      <w:marTop w:val="0"/>
      <w:marBottom w:val="0"/>
      <w:divBdr>
        <w:top w:val="none" w:sz="0" w:space="0" w:color="auto"/>
        <w:left w:val="none" w:sz="0" w:space="0" w:color="auto"/>
        <w:bottom w:val="none" w:sz="0" w:space="0" w:color="auto"/>
        <w:right w:val="none" w:sz="0" w:space="0" w:color="auto"/>
      </w:divBdr>
    </w:div>
    <w:div w:id="600377750">
      <w:bodyDiv w:val="1"/>
      <w:marLeft w:val="0"/>
      <w:marRight w:val="0"/>
      <w:marTop w:val="0"/>
      <w:marBottom w:val="0"/>
      <w:divBdr>
        <w:top w:val="none" w:sz="0" w:space="0" w:color="auto"/>
        <w:left w:val="none" w:sz="0" w:space="0" w:color="auto"/>
        <w:bottom w:val="none" w:sz="0" w:space="0" w:color="auto"/>
        <w:right w:val="none" w:sz="0" w:space="0" w:color="auto"/>
      </w:divBdr>
    </w:div>
    <w:div w:id="608927152">
      <w:bodyDiv w:val="1"/>
      <w:marLeft w:val="0"/>
      <w:marRight w:val="0"/>
      <w:marTop w:val="0"/>
      <w:marBottom w:val="0"/>
      <w:divBdr>
        <w:top w:val="none" w:sz="0" w:space="0" w:color="auto"/>
        <w:left w:val="none" w:sz="0" w:space="0" w:color="auto"/>
        <w:bottom w:val="none" w:sz="0" w:space="0" w:color="auto"/>
        <w:right w:val="none" w:sz="0" w:space="0" w:color="auto"/>
      </w:divBdr>
    </w:div>
    <w:div w:id="652418492">
      <w:bodyDiv w:val="1"/>
      <w:marLeft w:val="0"/>
      <w:marRight w:val="0"/>
      <w:marTop w:val="0"/>
      <w:marBottom w:val="0"/>
      <w:divBdr>
        <w:top w:val="none" w:sz="0" w:space="0" w:color="auto"/>
        <w:left w:val="none" w:sz="0" w:space="0" w:color="auto"/>
        <w:bottom w:val="none" w:sz="0" w:space="0" w:color="auto"/>
        <w:right w:val="none" w:sz="0" w:space="0" w:color="auto"/>
      </w:divBdr>
    </w:div>
    <w:div w:id="663120349">
      <w:bodyDiv w:val="1"/>
      <w:marLeft w:val="0"/>
      <w:marRight w:val="0"/>
      <w:marTop w:val="0"/>
      <w:marBottom w:val="0"/>
      <w:divBdr>
        <w:top w:val="none" w:sz="0" w:space="0" w:color="auto"/>
        <w:left w:val="none" w:sz="0" w:space="0" w:color="auto"/>
        <w:bottom w:val="none" w:sz="0" w:space="0" w:color="auto"/>
        <w:right w:val="none" w:sz="0" w:space="0" w:color="auto"/>
      </w:divBdr>
    </w:div>
    <w:div w:id="666787323">
      <w:bodyDiv w:val="1"/>
      <w:marLeft w:val="0"/>
      <w:marRight w:val="0"/>
      <w:marTop w:val="0"/>
      <w:marBottom w:val="0"/>
      <w:divBdr>
        <w:top w:val="none" w:sz="0" w:space="0" w:color="auto"/>
        <w:left w:val="none" w:sz="0" w:space="0" w:color="auto"/>
        <w:bottom w:val="none" w:sz="0" w:space="0" w:color="auto"/>
        <w:right w:val="none" w:sz="0" w:space="0" w:color="auto"/>
      </w:divBdr>
    </w:div>
    <w:div w:id="709035680">
      <w:bodyDiv w:val="1"/>
      <w:marLeft w:val="0"/>
      <w:marRight w:val="0"/>
      <w:marTop w:val="0"/>
      <w:marBottom w:val="0"/>
      <w:divBdr>
        <w:top w:val="none" w:sz="0" w:space="0" w:color="auto"/>
        <w:left w:val="none" w:sz="0" w:space="0" w:color="auto"/>
        <w:bottom w:val="none" w:sz="0" w:space="0" w:color="auto"/>
        <w:right w:val="none" w:sz="0" w:space="0" w:color="auto"/>
      </w:divBdr>
    </w:div>
    <w:div w:id="716316372">
      <w:bodyDiv w:val="1"/>
      <w:marLeft w:val="0"/>
      <w:marRight w:val="0"/>
      <w:marTop w:val="0"/>
      <w:marBottom w:val="0"/>
      <w:divBdr>
        <w:top w:val="none" w:sz="0" w:space="0" w:color="auto"/>
        <w:left w:val="none" w:sz="0" w:space="0" w:color="auto"/>
        <w:bottom w:val="none" w:sz="0" w:space="0" w:color="auto"/>
        <w:right w:val="none" w:sz="0" w:space="0" w:color="auto"/>
      </w:divBdr>
    </w:div>
    <w:div w:id="722288728">
      <w:bodyDiv w:val="1"/>
      <w:marLeft w:val="0"/>
      <w:marRight w:val="0"/>
      <w:marTop w:val="0"/>
      <w:marBottom w:val="0"/>
      <w:divBdr>
        <w:top w:val="none" w:sz="0" w:space="0" w:color="auto"/>
        <w:left w:val="none" w:sz="0" w:space="0" w:color="auto"/>
        <w:bottom w:val="none" w:sz="0" w:space="0" w:color="auto"/>
        <w:right w:val="none" w:sz="0" w:space="0" w:color="auto"/>
      </w:divBdr>
    </w:div>
    <w:div w:id="732965235">
      <w:bodyDiv w:val="1"/>
      <w:marLeft w:val="0"/>
      <w:marRight w:val="0"/>
      <w:marTop w:val="0"/>
      <w:marBottom w:val="0"/>
      <w:divBdr>
        <w:top w:val="none" w:sz="0" w:space="0" w:color="auto"/>
        <w:left w:val="none" w:sz="0" w:space="0" w:color="auto"/>
        <w:bottom w:val="none" w:sz="0" w:space="0" w:color="auto"/>
        <w:right w:val="none" w:sz="0" w:space="0" w:color="auto"/>
      </w:divBdr>
      <w:divsChild>
        <w:div w:id="2105297646">
          <w:marLeft w:val="0"/>
          <w:marRight w:val="0"/>
          <w:marTop w:val="0"/>
          <w:marBottom w:val="0"/>
          <w:divBdr>
            <w:top w:val="none" w:sz="0" w:space="0" w:color="auto"/>
            <w:left w:val="none" w:sz="0" w:space="0" w:color="auto"/>
            <w:bottom w:val="none" w:sz="0" w:space="0" w:color="auto"/>
            <w:right w:val="none" w:sz="0" w:space="0" w:color="auto"/>
          </w:divBdr>
        </w:div>
      </w:divsChild>
    </w:div>
    <w:div w:id="774792856">
      <w:bodyDiv w:val="1"/>
      <w:marLeft w:val="0"/>
      <w:marRight w:val="0"/>
      <w:marTop w:val="0"/>
      <w:marBottom w:val="0"/>
      <w:divBdr>
        <w:top w:val="none" w:sz="0" w:space="0" w:color="auto"/>
        <w:left w:val="none" w:sz="0" w:space="0" w:color="auto"/>
        <w:bottom w:val="none" w:sz="0" w:space="0" w:color="auto"/>
        <w:right w:val="none" w:sz="0" w:space="0" w:color="auto"/>
      </w:divBdr>
    </w:div>
    <w:div w:id="779183452">
      <w:bodyDiv w:val="1"/>
      <w:marLeft w:val="0"/>
      <w:marRight w:val="0"/>
      <w:marTop w:val="0"/>
      <w:marBottom w:val="0"/>
      <w:divBdr>
        <w:top w:val="none" w:sz="0" w:space="0" w:color="auto"/>
        <w:left w:val="none" w:sz="0" w:space="0" w:color="auto"/>
        <w:bottom w:val="none" w:sz="0" w:space="0" w:color="auto"/>
        <w:right w:val="none" w:sz="0" w:space="0" w:color="auto"/>
      </w:divBdr>
    </w:div>
    <w:div w:id="827554824">
      <w:bodyDiv w:val="1"/>
      <w:marLeft w:val="0"/>
      <w:marRight w:val="0"/>
      <w:marTop w:val="0"/>
      <w:marBottom w:val="0"/>
      <w:divBdr>
        <w:top w:val="none" w:sz="0" w:space="0" w:color="auto"/>
        <w:left w:val="none" w:sz="0" w:space="0" w:color="auto"/>
        <w:bottom w:val="none" w:sz="0" w:space="0" w:color="auto"/>
        <w:right w:val="none" w:sz="0" w:space="0" w:color="auto"/>
      </w:divBdr>
      <w:divsChild>
        <w:div w:id="171920167">
          <w:marLeft w:val="0"/>
          <w:marRight w:val="0"/>
          <w:marTop w:val="0"/>
          <w:marBottom w:val="0"/>
          <w:divBdr>
            <w:top w:val="none" w:sz="0" w:space="0" w:color="auto"/>
            <w:left w:val="none" w:sz="0" w:space="0" w:color="auto"/>
            <w:bottom w:val="none" w:sz="0" w:space="0" w:color="auto"/>
            <w:right w:val="none" w:sz="0" w:space="0" w:color="auto"/>
          </w:divBdr>
        </w:div>
      </w:divsChild>
    </w:div>
    <w:div w:id="850220207">
      <w:bodyDiv w:val="1"/>
      <w:marLeft w:val="0"/>
      <w:marRight w:val="0"/>
      <w:marTop w:val="0"/>
      <w:marBottom w:val="0"/>
      <w:divBdr>
        <w:top w:val="none" w:sz="0" w:space="0" w:color="auto"/>
        <w:left w:val="none" w:sz="0" w:space="0" w:color="auto"/>
        <w:bottom w:val="none" w:sz="0" w:space="0" w:color="auto"/>
        <w:right w:val="none" w:sz="0" w:space="0" w:color="auto"/>
      </w:divBdr>
    </w:div>
    <w:div w:id="867186108">
      <w:bodyDiv w:val="1"/>
      <w:marLeft w:val="0"/>
      <w:marRight w:val="0"/>
      <w:marTop w:val="0"/>
      <w:marBottom w:val="0"/>
      <w:divBdr>
        <w:top w:val="none" w:sz="0" w:space="0" w:color="auto"/>
        <w:left w:val="none" w:sz="0" w:space="0" w:color="auto"/>
        <w:bottom w:val="none" w:sz="0" w:space="0" w:color="auto"/>
        <w:right w:val="none" w:sz="0" w:space="0" w:color="auto"/>
      </w:divBdr>
    </w:div>
    <w:div w:id="875892528">
      <w:bodyDiv w:val="1"/>
      <w:marLeft w:val="0"/>
      <w:marRight w:val="0"/>
      <w:marTop w:val="0"/>
      <w:marBottom w:val="0"/>
      <w:divBdr>
        <w:top w:val="none" w:sz="0" w:space="0" w:color="auto"/>
        <w:left w:val="none" w:sz="0" w:space="0" w:color="auto"/>
        <w:bottom w:val="none" w:sz="0" w:space="0" w:color="auto"/>
        <w:right w:val="none" w:sz="0" w:space="0" w:color="auto"/>
      </w:divBdr>
    </w:div>
    <w:div w:id="946889916">
      <w:bodyDiv w:val="1"/>
      <w:marLeft w:val="0"/>
      <w:marRight w:val="0"/>
      <w:marTop w:val="0"/>
      <w:marBottom w:val="0"/>
      <w:divBdr>
        <w:top w:val="none" w:sz="0" w:space="0" w:color="auto"/>
        <w:left w:val="none" w:sz="0" w:space="0" w:color="auto"/>
        <w:bottom w:val="none" w:sz="0" w:space="0" w:color="auto"/>
        <w:right w:val="none" w:sz="0" w:space="0" w:color="auto"/>
      </w:divBdr>
    </w:div>
    <w:div w:id="970861799">
      <w:bodyDiv w:val="1"/>
      <w:marLeft w:val="0"/>
      <w:marRight w:val="0"/>
      <w:marTop w:val="0"/>
      <w:marBottom w:val="0"/>
      <w:divBdr>
        <w:top w:val="none" w:sz="0" w:space="0" w:color="auto"/>
        <w:left w:val="none" w:sz="0" w:space="0" w:color="auto"/>
        <w:bottom w:val="none" w:sz="0" w:space="0" w:color="auto"/>
        <w:right w:val="none" w:sz="0" w:space="0" w:color="auto"/>
      </w:divBdr>
      <w:divsChild>
        <w:div w:id="1946419365">
          <w:marLeft w:val="0"/>
          <w:marRight w:val="0"/>
          <w:marTop w:val="0"/>
          <w:marBottom w:val="0"/>
          <w:divBdr>
            <w:top w:val="none" w:sz="0" w:space="0" w:color="auto"/>
            <w:left w:val="none" w:sz="0" w:space="0" w:color="auto"/>
            <w:bottom w:val="none" w:sz="0" w:space="0" w:color="auto"/>
            <w:right w:val="none" w:sz="0" w:space="0" w:color="auto"/>
          </w:divBdr>
        </w:div>
      </w:divsChild>
    </w:div>
    <w:div w:id="998536824">
      <w:bodyDiv w:val="1"/>
      <w:marLeft w:val="0"/>
      <w:marRight w:val="0"/>
      <w:marTop w:val="0"/>
      <w:marBottom w:val="0"/>
      <w:divBdr>
        <w:top w:val="none" w:sz="0" w:space="0" w:color="auto"/>
        <w:left w:val="none" w:sz="0" w:space="0" w:color="auto"/>
        <w:bottom w:val="none" w:sz="0" w:space="0" w:color="auto"/>
        <w:right w:val="none" w:sz="0" w:space="0" w:color="auto"/>
      </w:divBdr>
    </w:div>
    <w:div w:id="1010527088">
      <w:bodyDiv w:val="1"/>
      <w:marLeft w:val="0"/>
      <w:marRight w:val="0"/>
      <w:marTop w:val="0"/>
      <w:marBottom w:val="0"/>
      <w:divBdr>
        <w:top w:val="none" w:sz="0" w:space="0" w:color="auto"/>
        <w:left w:val="none" w:sz="0" w:space="0" w:color="auto"/>
        <w:bottom w:val="none" w:sz="0" w:space="0" w:color="auto"/>
        <w:right w:val="none" w:sz="0" w:space="0" w:color="auto"/>
      </w:divBdr>
    </w:div>
    <w:div w:id="1012679696">
      <w:bodyDiv w:val="1"/>
      <w:marLeft w:val="0"/>
      <w:marRight w:val="0"/>
      <w:marTop w:val="0"/>
      <w:marBottom w:val="0"/>
      <w:divBdr>
        <w:top w:val="none" w:sz="0" w:space="0" w:color="auto"/>
        <w:left w:val="none" w:sz="0" w:space="0" w:color="auto"/>
        <w:bottom w:val="none" w:sz="0" w:space="0" w:color="auto"/>
        <w:right w:val="none" w:sz="0" w:space="0" w:color="auto"/>
      </w:divBdr>
    </w:div>
    <w:div w:id="1035279328">
      <w:bodyDiv w:val="1"/>
      <w:marLeft w:val="0"/>
      <w:marRight w:val="0"/>
      <w:marTop w:val="0"/>
      <w:marBottom w:val="0"/>
      <w:divBdr>
        <w:top w:val="none" w:sz="0" w:space="0" w:color="auto"/>
        <w:left w:val="none" w:sz="0" w:space="0" w:color="auto"/>
        <w:bottom w:val="none" w:sz="0" w:space="0" w:color="auto"/>
        <w:right w:val="none" w:sz="0" w:space="0" w:color="auto"/>
      </w:divBdr>
    </w:div>
    <w:div w:id="1045788780">
      <w:bodyDiv w:val="1"/>
      <w:marLeft w:val="0"/>
      <w:marRight w:val="0"/>
      <w:marTop w:val="0"/>
      <w:marBottom w:val="0"/>
      <w:divBdr>
        <w:top w:val="none" w:sz="0" w:space="0" w:color="auto"/>
        <w:left w:val="none" w:sz="0" w:space="0" w:color="auto"/>
        <w:bottom w:val="none" w:sz="0" w:space="0" w:color="auto"/>
        <w:right w:val="none" w:sz="0" w:space="0" w:color="auto"/>
      </w:divBdr>
    </w:div>
    <w:div w:id="1050033651">
      <w:bodyDiv w:val="1"/>
      <w:marLeft w:val="0"/>
      <w:marRight w:val="0"/>
      <w:marTop w:val="0"/>
      <w:marBottom w:val="0"/>
      <w:divBdr>
        <w:top w:val="none" w:sz="0" w:space="0" w:color="auto"/>
        <w:left w:val="none" w:sz="0" w:space="0" w:color="auto"/>
        <w:bottom w:val="none" w:sz="0" w:space="0" w:color="auto"/>
        <w:right w:val="none" w:sz="0" w:space="0" w:color="auto"/>
      </w:divBdr>
    </w:div>
    <w:div w:id="1064334944">
      <w:bodyDiv w:val="1"/>
      <w:marLeft w:val="0"/>
      <w:marRight w:val="0"/>
      <w:marTop w:val="0"/>
      <w:marBottom w:val="0"/>
      <w:divBdr>
        <w:top w:val="none" w:sz="0" w:space="0" w:color="auto"/>
        <w:left w:val="none" w:sz="0" w:space="0" w:color="auto"/>
        <w:bottom w:val="none" w:sz="0" w:space="0" w:color="auto"/>
        <w:right w:val="none" w:sz="0" w:space="0" w:color="auto"/>
      </w:divBdr>
    </w:div>
    <w:div w:id="1068455626">
      <w:bodyDiv w:val="1"/>
      <w:marLeft w:val="0"/>
      <w:marRight w:val="0"/>
      <w:marTop w:val="0"/>
      <w:marBottom w:val="0"/>
      <w:divBdr>
        <w:top w:val="none" w:sz="0" w:space="0" w:color="auto"/>
        <w:left w:val="none" w:sz="0" w:space="0" w:color="auto"/>
        <w:bottom w:val="none" w:sz="0" w:space="0" w:color="auto"/>
        <w:right w:val="none" w:sz="0" w:space="0" w:color="auto"/>
      </w:divBdr>
    </w:div>
    <w:div w:id="1124225897">
      <w:bodyDiv w:val="1"/>
      <w:marLeft w:val="0"/>
      <w:marRight w:val="0"/>
      <w:marTop w:val="0"/>
      <w:marBottom w:val="0"/>
      <w:divBdr>
        <w:top w:val="none" w:sz="0" w:space="0" w:color="auto"/>
        <w:left w:val="none" w:sz="0" w:space="0" w:color="auto"/>
        <w:bottom w:val="none" w:sz="0" w:space="0" w:color="auto"/>
        <w:right w:val="none" w:sz="0" w:space="0" w:color="auto"/>
      </w:divBdr>
    </w:div>
    <w:div w:id="1126892997">
      <w:bodyDiv w:val="1"/>
      <w:marLeft w:val="0"/>
      <w:marRight w:val="0"/>
      <w:marTop w:val="0"/>
      <w:marBottom w:val="0"/>
      <w:divBdr>
        <w:top w:val="none" w:sz="0" w:space="0" w:color="auto"/>
        <w:left w:val="none" w:sz="0" w:space="0" w:color="auto"/>
        <w:bottom w:val="none" w:sz="0" w:space="0" w:color="auto"/>
        <w:right w:val="none" w:sz="0" w:space="0" w:color="auto"/>
      </w:divBdr>
    </w:div>
    <w:div w:id="1129395399">
      <w:bodyDiv w:val="1"/>
      <w:marLeft w:val="0"/>
      <w:marRight w:val="0"/>
      <w:marTop w:val="0"/>
      <w:marBottom w:val="0"/>
      <w:divBdr>
        <w:top w:val="none" w:sz="0" w:space="0" w:color="auto"/>
        <w:left w:val="none" w:sz="0" w:space="0" w:color="auto"/>
        <w:bottom w:val="none" w:sz="0" w:space="0" w:color="auto"/>
        <w:right w:val="none" w:sz="0" w:space="0" w:color="auto"/>
      </w:divBdr>
    </w:div>
    <w:div w:id="1149324920">
      <w:bodyDiv w:val="1"/>
      <w:marLeft w:val="0"/>
      <w:marRight w:val="0"/>
      <w:marTop w:val="0"/>
      <w:marBottom w:val="0"/>
      <w:divBdr>
        <w:top w:val="none" w:sz="0" w:space="0" w:color="auto"/>
        <w:left w:val="none" w:sz="0" w:space="0" w:color="auto"/>
        <w:bottom w:val="none" w:sz="0" w:space="0" w:color="auto"/>
        <w:right w:val="none" w:sz="0" w:space="0" w:color="auto"/>
      </w:divBdr>
    </w:div>
    <w:div w:id="1156337307">
      <w:bodyDiv w:val="1"/>
      <w:marLeft w:val="0"/>
      <w:marRight w:val="0"/>
      <w:marTop w:val="0"/>
      <w:marBottom w:val="0"/>
      <w:divBdr>
        <w:top w:val="none" w:sz="0" w:space="0" w:color="auto"/>
        <w:left w:val="none" w:sz="0" w:space="0" w:color="auto"/>
        <w:bottom w:val="none" w:sz="0" w:space="0" w:color="auto"/>
        <w:right w:val="none" w:sz="0" w:space="0" w:color="auto"/>
      </w:divBdr>
    </w:div>
    <w:div w:id="1175723372">
      <w:bodyDiv w:val="1"/>
      <w:marLeft w:val="0"/>
      <w:marRight w:val="0"/>
      <w:marTop w:val="0"/>
      <w:marBottom w:val="0"/>
      <w:divBdr>
        <w:top w:val="none" w:sz="0" w:space="0" w:color="auto"/>
        <w:left w:val="none" w:sz="0" w:space="0" w:color="auto"/>
        <w:bottom w:val="none" w:sz="0" w:space="0" w:color="auto"/>
        <w:right w:val="none" w:sz="0" w:space="0" w:color="auto"/>
      </w:divBdr>
    </w:div>
    <w:div w:id="1209758364">
      <w:bodyDiv w:val="1"/>
      <w:marLeft w:val="0"/>
      <w:marRight w:val="0"/>
      <w:marTop w:val="0"/>
      <w:marBottom w:val="0"/>
      <w:divBdr>
        <w:top w:val="none" w:sz="0" w:space="0" w:color="auto"/>
        <w:left w:val="none" w:sz="0" w:space="0" w:color="auto"/>
        <w:bottom w:val="none" w:sz="0" w:space="0" w:color="auto"/>
        <w:right w:val="none" w:sz="0" w:space="0" w:color="auto"/>
      </w:divBdr>
    </w:div>
    <w:div w:id="1211502105">
      <w:bodyDiv w:val="1"/>
      <w:marLeft w:val="0"/>
      <w:marRight w:val="0"/>
      <w:marTop w:val="0"/>
      <w:marBottom w:val="0"/>
      <w:divBdr>
        <w:top w:val="none" w:sz="0" w:space="0" w:color="auto"/>
        <w:left w:val="none" w:sz="0" w:space="0" w:color="auto"/>
        <w:bottom w:val="none" w:sz="0" w:space="0" w:color="auto"/>
        <w:right w:val="none" w:sz="0" w:space="0" w:color="auto"/>
      </w:divBdr>
    </w:div>
    <w:div w:id="1228145319">
      <w:bodyDiv w:val="1"/>
      <w:marLeft w:val="0"/>
      <w:marRight w:val="0"/>
      <w:marTop w:val="0"/>
      <w:marBottom w:val="0"/>
      <w:divBdr>
        <w:top w:val="none" w:sz="0" w:space="0" w:color="auto"/>
        <w:left w:val="none" w:sz="0" w:space="0" w:color="auto"/>
        <w:bottom w:val="none" w:sz="0" w:space="0" w:color="auto"/>
        <w:right w:val="none" w:sz="0" w:space="0" w:color="auto"/>
      </w:divBdr>
    </w:div>
    <w:div w:id="1262833838">
      <w:bodyDiv w:val="1"/>
      <w:marLeft w:val="0"/>
      <w:marRight w:val="0"/>
      <w:marTop w:val="0"/>
      <w:marBottom w:val="0"/>
      <w:divBdr>
        <w:top w:val="none" w:sz="0" w:space="0" w:color="auto"/>
        <w:left w:val="none" w:sz="0" w:space="0" w:color="auto"/>
        <w:bottom w:val="none" w:sz="0" w:space="0" w:color="auto"/>
        <w:right w:val="none" w:sz="0" w:space="0" w:color="auto"/>
      </w:divBdr>
    </w:div>
    <w:div w:id="1281301926">
      <w:bodyDiv w:val="1"/>
      <w:marLeft w:val="0"/>
      <w:marRight w:val="0"/>
      <w:marTop w:val="0"/>
      <w:marBottom w:val="0"/>
      <w:divBdr>
        <w:top w:val="none" w:sz="0" w:space="0" w:color="auto"/>
        <w:left w:val="none" w:sz="0" w:space="0" w:color="auto"/>
        <w:bottom w:val="none" w:sz="0" w:space="0" w:color="auto"/>
        <w:right w:val="none" w:sz="0" w:space="0" w:color="auto"/>
      </w:divBdr>
    </w:div>
    <w:div w:id="1287276350">
      <w:bodyDiv w:val="1"/>
      <w:marLeft w:val="0"/>
      <w:marRight w:val="0"/>
      <w:marTop w:val="0"/>
      <w:marBottom w:val="0"/>
      <w:divBdr>
        <w:top w:val="none" w:sz="0" w:space="0" w:color="auto"/>
        <w:left w:val="none" w:sz="0" w:space="0" w:color="auto"/>
        <w:bottom w:val="none" w:sz="0" w:space="0" w:color="auto"/>
        <w:right w:val="none" w:sz="0" w:space="0" w:color="auto"/>
      </w:divBdr>
    </w:div>
    <w:div w:id="1288047237">
      <w:bodyDiv w:val="1"/>
      <w:marLeft w:val="0"/>
      <w:marRight w:val="0"/>
      <w:marTop w:val="0"/>
      <w:marBottom w:val="0"/>
      <w:divBdr>
        <w:top w:val="none" w:sz="0" w:space="0" w:color="auto"/>
        <w:left w:val="none" w:sz="0" w:space="0" w:color="auto"/>
        <w:bottom w:val="none" w:sz="0" w:space="0" w:color="auto"/>
        <w:right w:val="none" w:sz="0" w:space="0" w:color="auto"/>
      </w:divBdr>
      <w:divsChild>
        <w:div w:id="111679979">
          <w:marLeft w:val="0"/>
          <w:marRight w:val="0"/>
          <w:marTop w:val="0"/>
          <w:marBottom w:val="0"/>
          <w:divBdr>
            <w:top w:val="none" w:sz="0" w:space="0" w:color="auto"/>
            <w:left w:val="none" w:sz="0" w:space="0" w:color="auto"/>
            <w:bottom w:val="none" w:sz="0" w:space="0" w:color="auto"/>
            <w:right w:val="none" w:sz="0" w:space="0" w:color="auto"/>
          </w:divBdr>
        </w:div>
      </w:divsChild>
    </w:div>
    <w:div w:id="1288388856">
      <w:bodyDiv w:val="1"/>
      <w:marLeft w:val="0"/>
      <w:marRight w:val="0"/>
      <w:marTop w:val="0"/>
      <w:marBottom w:val="0"/>
      <w:divBdr>
        <w:top w:val="none" w:sz="0" w:space="0" w:color="auto"/>
        <w:left w:val="none" w:sz="0" w:space="0" w:color="auto"/>
        <w:bottom w:val="none" w:sz="0" w:space="0" w:color="auto"/>
        <w:right w:val="none" w:sz="0" w:space="0" w:color="auto"/>
      </w:divBdr>
    </w:div>
    <w:div w:id="1290404034">
      <w:bodyDiv w:val="1"/>
      <w:marLeft w:val="0"/>
      <w:marRight w:val="0"/>
      <w:marTop w:val="0"/>
      <w:marBottom w:val="0"/>
      <w:divBdr>
        <w:top w:val="none" w:sz="0" w:space="0" w:color="auto"/>
        <w:left w:val="none" w:sz="0" w:space="0" w:color="auto"/>
        <w:bottom w:val="none" w:sz="0" w:space="0" w:color="auto"/>
        <w:right w:val="none" w:sz="0" w:space="0" w:color="auto"/>
      </w:divBdr>
    </w:div>
    <w:div w:id="1315720598">
      <w:bodyDiv w:val="1"/>
      <w:marLeft w:val="0"/>
      <w:marRight w:val="0"/>
      <w:marTop w:val="0"/>
      <w:marBottom w:val="0"/>
      <w:divBdr>
        <w:top w:val="none" w:sz="0" w:space="0" w:color="auto"/>
        <w:left w:val="none" w:sz="0" w:space="0" w:color="auto"/>
        <w:bottom w:val="none" w:sz="0" w:space="0" w:color="auto"/>
        <w:right w:val="none" w:sz="0" w:space="0" w:color="auto"/>
      </w:divBdr>
    </w:div>
    <w:div w:id="1318191764">
      <w:bodyDiv w:val="1"/>
      <w:marLeft w:val="0"/>
      <w:marRight w:val="0"/>
      <w:marTop w:val="0"/>
      <w:marBottom w:val="0"/>
      <w:divBdr>
        <w:top w:val="none" w:sz="0" w:space="0" w:color="auto"/>
        <w:left w:val="none" w:sz="0" w:space="0" w:color="auto"/>
        <w:bottom w:val="none" w:sz="0" w:space="0" w:color="auto"/>
        <w:right w:val="none" w:sz="0" w:space="0" w:color="auto"/>
      </w:divBdr>
    </w:div>
    <w:div w:id="1355766291">
      <w:bodyDiv w:val="1"/>
      <w:marLeft w:val="0"/>
      <w:marRight w:val="0"/>
      <w:marTop w:val="0"/>
      <w:marBottom w:val="0"/>
      <w:divBdr>
        <w:top w:val="none" w:sz="0" w:space="0" w:color="auto"/>
        <w:left w:val="none" w:sz="0" w:space="0" w:color="auto"/>
        <w:bottom w:val="none" w:sz="0" w:space="0" w:color="auto"/>
        <w:right w:val="none" w:sz="0" w:space="0" w:color="auto"/>
      </w:divBdr>
    </w:div>
    <w:div w:id="1355961662">
      <w:bodyDiv w:val="1"/>
      <w:marLeft w:val="0"/>
      <w:marRight w:val="0"/>
      <w:marTop w:val="0"/>
      <w:marBottom w:val="0"/>
      <w:divBdr>
        <w:top w:val="none" w:sz="0" w:space="0" w:color="auto"/>
        <w:left w:val="none" w:sz="0" w:space="0" w:color="auto"/>
        <w:bottom w:val="none" w:sz="0" w:space="0" w:color="auto"/>
        <w:right w:val="none" w:sz="0" w:space="0" w:color="auto"/>
      </w:divBdr>
    </w:div>
    <w:div w:id="1362822168">
      <w:bodyDiv w:val="1"/>
      <w:marLeft w:val="0"/>
      <w:marRight w:val="0"/>
      <w:marTop w:val="0"/>
      <w:marBottom w:val="0"/>
      <w:divBdr>
        <w:top w:val="none" w:sz="0" w:space="0" w:color="auto"/>
        <w:left w:val="none" w:sz="0" w:space="0" w:color="auto"/>
        <w:bottom w:val="none" w:sz="0" w:space="0" w:color="auto"/>
        <w:right w:val="none" w:sz="0" w:space="0" w:color="auto"/>
      </w:divBdr>
    </w:div>
    <w:div w:id="1388214577">
      <w:bodyDiv w:val="1"/>
      <w:marLeft w:val="0"/>
      <w:marRight w:val="0"/>
      <w:marTop w:val="0"/>
      <w:marBottom w:val="0"/>
      <w:divBdr>
        <w:top w:val="none" w:sz="0" w:space="0" w:color="auto"/>
        <w:left w:val="none" w:sz="0" w:space="0" w:color="auto"/>
        <w:bottom w:val="none" w:sz="0" w:space="0" w:color="auto"/>
        <w:right w:val="none" w:sz="0" w:space="0" w:color="auto"/>
      </w:divBdr>
      <w:divsChild>
        <w:div w:id="859125399">
          <w:marLeft w:val="0"/>
          <w:marRight w:val="0"/>
          <w:marTop w:val="0"/>
          <w:marBottom w:val="0"/>
          <w:divBdr>
            <w:top w:val="none" w:sz="0" w:space="0" w:color="auto"/>
            <w:left w:val="none" w:sz="0" w:space="0" w:color="auto"/>
            <w:bottom w:val="none" w:sz="0" w:space="0" w:color="auto"/>
            <w:right w:val="none" w:sz="0" w:space="0" w:color="auto"/>
          </w:divBdr>
        </w:div>
      </w:divsChild>
    </w:div>
    <w:div w:id="1394163210">
      <w:bodyDiv w:val="1"/>
      <w:marLeft w:val="0"/>
      <w:marRight w:val="0"/>
      <w:marTop w:val="0"/>
      <w:marBottom w:val="0"/>
      <w:divBdr>
        <w:top w:val="none" w:sz="0" w:space="0" w:color="auto"/>
        <w:left w:val="none" w:sz="0" w:space="0" w:color="auto"/>
        <w:bottom w:val="none" w:sz="0" w:space="0" w:color="auto"/>
        <w:right w:val="none" w:sz="0" w:space="0" w:color="auto"/>
      </w:divBdr>
    </w:div>
    <w:div w:id="1411392940">
      <w:bodyDiv w:val="1"/>
      <w:marLeft w:val="0"/>
      <w:marRight w:val="0"/>
      <w:marTop w:val="0"/>
      <w:marBottom w:val="0"/>
      <w:divBdr>
        <w:top w:val="none" w:sz="0" w:space="0" w:color="auto"/>
        <w:left w:val="none" w:sz="0" w:space="0" w:color="auto"/>
        <w:bottom w:val="none" w:sz="0" w:space="0" w:color="auto"/>
        <w:right w:val="none" w:sz="0" w:space="0" w:color="auto"/>
      </w:divBdr>
    </w:div>
    <w:div w:id="1417903898">
      <w:bodyDiv w:val="1"/>
      <w:marLeft w:val="0"/>
      <w:marRight w:val="0"/>
      <w:marTop w:val="0"/>
      <w:marBottom w:val="0"/>
      <w:divBdr>
        <w:top w:val="none" w:sz="0" w:space="0" w:color="auto"/>
        <w:left w:val="none" w:sz="0" w:space="0" w:color="auto"/>
        <w:bottom w:val="none" w:sz="0" w:space="0" w:color="auto"/>
        <w:right w:val="none" w:sz="0" w:space="0" w:color="auto"/>
      </w:divBdr>
    </w:div>
    <w:div w:id="1450775992">
      <w:bodyDiv w:val="1"/>
      <w:marLeft w:val="0"/>
      <w:marRight w:val="0"/>
      <w:marTop w:val="0"/>
      <w:marBottom w:val="0"/>
      <w:divBdr>
        <w:top w:val="none" w:sz="0" w:space="0" w:color="auto"/>
        <w:left w:val="none" w:sz="0" w:space="0" w:color="auto"/>
        <w:bottom w:val="none" w:sz="0" w:space="0" w:color="auto"/>
        <w:right w:val="none" w:sz="0" w:space="0" w:color="auto"/>
      </w:divBdr>
    </w:div>
    <w:div w:id="1474521589">
      <w:bodyDiv w:val="1"/>
      <w:marLeft w:val="0"/>
      <w:marRight w:val="0"/>
      <w:marTop w:val="0"/>
      <w:marBottom w:val="0"/>
      <w:divBdr>
        <w:top w:val="none" w:sz="0" w:space="0" w:color="auto"/>
        <w:left w:val="none" w:sz="0" w:space="0" w:color="auto"/>
        <w:bottom w:val="none" w:sz="0" w:space="0" w:color="auto"/>
        <w:right w:val="none" w:sz="0" w:space="0" w:color="auto"/>
      </w:divBdr>
    </w:div>
    <w:div w:id="1474709656">
      <w:bodyDiv w:val="1"/>
      <w:marLeft w:val="0"/>
      <w:marRight w:val="0"/>
      <w:marTop w:val="0"/>
      <w:marBottom w:val="0"/>
      <w:divBdr>
        <w:top w:val="none" w:sz="0" w:space="0" w:color="auto"/>
        <w:left w:val="none" w:sz="0" w:space="0" w:color="auto"/>
        <w:bottom w:val="none" w:sz="0" w:space="0" w:color="auto"/>
        <w:right w:val="none" w:sz="0" w:space="0" w:color="auto"/>
      </w:divBdr>
    </w:div>
    <w:div w:id="1480880977">
      <w:bodyDiv w:val="1"/>
      <w:marLeft w:val="0"/>
      <w:marRight w:val="0"/>
      <w:marTop w:val="0"/>
      <w:marBottom w:val="0"/>
      <w:divBdr>
        <w:top w:val="none" w:sz="0" w:space="0" w:color="auto"/>
        <w:left w:val="none" w:sz="0" w:space="0" w:color="auto"/>
        <w:bottom w:val="none" w:sz="0" w:space="0" w:color="auto"/>
        <w:right w:val="none" w:sz="0" w:space="0" w:color="auto"/>
      </w:divBdr>
    </w:div>
    <w:div w:id="1494027023">
      <w:bodyDiv w:val="1"/>
      <w:marLeft w:val="0"/>
      <w:marRight w:val="0"/>
      <w:marTop w:val="0"/>
      <w:marBottom w:val="0"/>
      <w:divBdr>
        <w:top w:val="none" w:sz="0" w:space="0" w:color="auto"/>
        <w:left w:val="none" w:sz="0" w:space="0" w:color="auto"/>
        <w:bottom w:val="none" w:sz="0" w:space="0" w:color="auto"/>
        <w:right w:val="none" w:sz="0" w:space="0" w:color="auto"/>
      </w:divBdr>
    </w:div>
    <w:div w:id="1500196879">
      <w:bodyDiv w:val="1"/>
      <w:marLeft w:val="0"/>
      <w:marRight w:val="0"/>
      <w:marTop w:val="0"/>
      <w:marBottom w:val="0"/>
      <w:divBdr>
        <w:top w:val="none" w:sz="0" w:space="0" w:color="auto"/>
        <w:left w:val="none" w:sz="0" w:space="0" w:color="auto"/>
        <w:bottom w:val="none" w:sz="0" w:space="0" w:color="auto"/>
        <w:right w:val="none" w:sz="0" w:space="0" w:color="auto"/>
      </w:divBdr>
    </w:div>
    <w:div w:id="1519199157">
      <w:bodyDiv w:val="1"/>
      <w:marLeft w:val="0"/>
      <w:marRight w:val="0"/>
      <w:marTop w:val="0"/>
      <w:marBottom w:val="0"/>
      <w:divBdr>
        <w:top w:val="none" w:sz="0" w:space="0" w:color="auto"/>
        <w:left w:val="none" w:sz="0" w:space="0" w:color="auto"/>
        <w:bottom w:val="none" w:sz="0" w:space="0" w:color="auto"/>
        <w:right w:val="none" w:sz="0" w:space="0" w:color="auto"/>
      </w:divBdr>
    </w:div>
    <w:div w:id="1569226456">
      <w:bodyDiv w:val="1"/>
      <w:marLeft w:val="0"/>
      <w:marRight w:val="0"/>
      <w:marTop w:val="0"/>
      <w:marBottom w:val="0"/>
      <w:divBdr>
        <w:top w:val="none" w:sz="0" w:space="0" w:color="auto"/>
        <w:left w:val="none" w:sz="0" w:space="0" w:color="auto"/>
        <w:bottom w:val="none" w:sz="0" w:space="0" w:color="auto"/>
        <w:right w:val="none" w:sz="0" w:space="0" w:color="auto"/>
      </w:divBdr>
    </w:div>
    <w:div w:id="1599486988">
      <w:bodyDiv w:val="1"/>
      <w:marLeft w:val="0"/>
      <w:marRight w:val="0"/>
      <w:marTop w:val="0"/>
      <w:marBottom w:val="0"/>
      <w:divBdr>
        <w:top w:val="none" w:sz="0" w:space="0" w:color="auto"/>
        <w:left w:val="none" w:sz="0" w:space="0" w:color="auto"/>
        <w:bottom w:val="none" w:sz="0" w:space="0" w:color="auto"/>
        <w:right w:val="none" w:sz="0" w:space="0" w:color="auto"/>
      </w:divBdr>
    </w:div>
    <w:div w:id="1614945569">
      <w:bodyDiv w:val="1"/>
      <w:marLeft w:val="0"/>
      <w:marRight w:val="0"/>
      <w:marTop w:val="0"/>
      <w:marBottom w:val="0"/>
      <w:divBdr>
        <w:top w:val="none" w:sz="0" w:space="0" w:color="auto"/>
        <w:left w:val="none" w:sz="0" w:space="0" w:color="auto"/>
        <w:bottom w:val="none" w:sz="0" w:space="0" w:color="auto"/>
        <w:right w:val="none" w:sz="0" w:space="0" w:color="auto"/>
      </w:divBdr>
    </w:div>
    <w:div w:id="1638023686">
      <w:bodyDiv w:val="1"/>
      <w:marLeft w:val="0"/>
      <w:marRight w:val="0"/>
      <w:marTop w:val="0"/>
      <w:marBottom w:val="0"/>
      <w:divBdr>
        <w:top w:val="none" w:sz="0" w:space="0" w:color="auto"/>
        <w:left w:val="none" w:sz="0" w:space="0" w:color="auto"/>
        <w:bottom w:val="none" w:sz="0" w:space="0" w:color="auto"/>
        <w:right w:val="none" w:sz="0" w:space="0" w:color="auto"/>
      </w:divBdr>
    </w:div>
    <w:div w:id="1648700522">
      <w:bodyDiv w:val="1"/>
      <w:marLeft w:val="0"/>
      <w:marRight w:val="0"/>
      <w:marTop w:val="0"/>
      <w:marBottom w:val="0"/>
      <w:divBdr>
        <w:top w:val="none" w:sz="0" w:space="0" w:color="auto"/>
        <w:left w:val="none" w:sz="0" w:space="0" w:color="auto"/>
        <w:bottom w:val="none" w:sz="0" w:space="0" w:color="auto"/>
        <w:right w:val="none" w:sz="0" w:space="0" w:color="auto"/>
      </w:divBdr>
      <w:divsChild>
        <w:div w:id="1124738870">
          <w:marLeft w:val="0"/>
          <w:marRight w:val="0"/>
          <w:marTop w:val="0"/>
          <w:marBottom w:val="0"/>
          <w:divBdr>
            <w:top w:val="none" w:sz="0" w:space="0" w:color="auto"/>
            <w:left w:val="none" w:sz="0" w:space="0" w:color="auto"/>
            <w:bottom w:val="none" w:sz="0" w:space="0" w:color="auto"/>
            <w:right w:val="none" w:sz="0" w:space="0" w:color="auto"/>
          </w:divBdr>
        </w:div>
      </w:divsChild>
    </w:div>
    <w:div w:id="1660497559">
      <w:bodyDiv w:val="1"/>
      <w:marLeft w:val="0"/>
      <w:marRight w:val="0"/>
      <w:marTop w:val="0"/>
      <w:marBottom w:val="0"/>
      <w:divBdr>
        <w:top w:val="none" w:sz="0" w:space="0" w:color="auto"/>
        <w:left w:val="none" w:sz="0" w:space="0" w:color="auto"/>
        <w:bottom w:val="none" w:sz="0" w:space="0" w:color="auto"/>
        <w:right w:val="none" w:sz="0" w:space="0" w:color="auto"/>
      </w:divBdr>
    </w:div>
    <w:div w:id="1660814679">
      <w:bodyDiv w:val="1"/>
      <w:marLeft w:val="0"/>
      <w:marRight w:val="0"/>
      <w:marTop w:val="0"/>
      <w:marBottom w:val="0"/>
      <w:divBdr>
        <w:top w:val="none" w:sz="0" w:space="0" w:color="auto"/>
        <w:left w:val="none" w:sz="0" w:space="0" w:color="auto"/>
        <w:bottom w:val="none" w:sz="0" w:space="0" w:color="auto"/>
        <w:right w:val="none" w:sz="0" w:space="0" w:color="auto"/>
      </w:divBdr>
    </w:div>
    <w:div w:id="1669216219">
      <w:bodyDiv w:val="1"/>
      <w:marLeft w:val="0"/>
      <w:marRight w:val="0"/>
      <w:marTop w:val="0"/>
      <w:marBottom w:val="0"/>
      <w:divBdr>
        <w:top w:val="none" w:sz="0" w:space="0" w:color="auto"/>
        <w:left w:val="none" w:sz="0" w:space="0" w:color="auto"/>
        <w:bottom w:val="none" w:sz="0" w:space="0" w:color="auto"/>
        <w:right w:val="none" w:sz="0" w:space="0" w:color="auto"/>
      </w:divBdr>
    </w:div>
    <w:div w:id="1672757176">
      <w:bodyDiv w:val="1"/>
      <w:marLeft w:val="0"/>
      <w:marRight w:val="0"/>
      <w:marTop w:val="0"/>
      <w:marBottom w:val="0"/>
      <w:divBdr>
        <w:top w:val="none" w:sz="0" w:space="0" w:color="auto"/>
        <w:left w:val="none" w:sz="0" w:space="0" w:color="auto"/>
        <w:bottom w:val="none" w:sz="0" w:space="0" w:color="auto"/>
        <w:right w:val="none" w:sz="0" w:space="0" w:color="auto"/>
      </w:divBdr>
    </w:div>
    <w:div w:id="1675500195">
      <w:bodyDiv w:val="1"/>
      <w:marLeft w:val="0"/>
      <w:marRight w:val="0"/>
      <w:marTop w:val="0"/>
      <w:marBottom w:val="0"/>
      <w:divBdr>
        <w:top w:val="none" w:sz="0" w:space="0" w:color="auto"/>
        <w:left w:val="none" w:sz="0" w:space="0" w:color="auto"/>
        <w:bottom w:val="none" w:sz="0" w:space="0" w:color="auto"/>
        <w:right w:val="none" w:sz="0" w:space="0" w:color="auto"/>
      </w:divBdr>
    </w:div>
    <w:div w:id="1688209580">
      <w:bodyDiv w:val="1"/>
      <w:marLeft w:val="0"/>
      <w:marRight w:val="0"/>
      <w:marTop w:val="0"/>
      <w:marBottom w:val="0"/>
      <w:divBdr>
        <w:top w:val="none" w:sz="0" w:space="0" w:color="auto"/>
        <w:left w:val="none" w:sz="0" w:space="0" w:color="auto"/>
        <w:bottom w:val="none" w:sz="0" w:space="0" w:color="auto"/>
        <w:right w:val="none" w:sz="0" w:space="0" w:color="auto"/>
      </w:divBdr>
    </w:div>
    <w:div w:id="1706326875">
      <w:bodyDiv w:val="1"/>
      <w:marLeft w:val="0"/>
      <w:marRight w:val="0"/>
      <w:marTop w:val="0"/>
      <w:marBottom w:val="0"/>
      <w:divBdr>
        <w:top w:val="none" w:sz="0" w:space="0" w:color="auto"/>
        <w:left w:val="none" w:sz="0" w:space="0" w:color="auto"/>
        <w:bottom w:val="none" w:sz="0" w:space="0" w:color="auto"/>
        <w:right w:val="none" w:sz="0" w:space="0" w:color="auto"/>
      </w:divBdr>
    </w:div>
    <w:div w:id="1709911429">
      <w:bodyDiv w:val="1"/>
      <w:marLeft w:val="0"/>
      <w:marRight w:val="0"/>
      <w:marTop w:val="0"/>
      <w:marBottom w:val="0"/>
      <w:divBdr>
        <w:top w:val="none" w:sz="0" w:space="0" w:color="auto"/>
        <w:left w:val="none" w:sz="0" w:space="0" w:color="auto"/>
        <w:bottom w:val="none" w:sz="0" w:space="0" w:color="auto"/>
        <w:right w:val="none" w:sz="0" w:space="0" w:color="auto"/>
      </w:divBdr>
    </w:div>
    <w:div w:id="1714118258">
      <w:bodyDiv w:val="1"/>
      <w:marLeft w:val="0"/>
      <w:marRight w:val="0"/>
      <w:marTop w:val="0"/>
      <w:marBottom w:val="0"/>
      <w:divBdr>
        <w:top w:val="none" w:sz="0" w:space="0" w:color="auto"/>
        <w:left w:val="none" w:sz="0" w:space="0" w:color="auto"/>
        <w:bottom w:val="none" w:sz="0" w:space="0" w:color="auto"/>
        <w:right w:val="none" w:sz="0" w:space="0" w:color="auto"/>
      </w:divBdr>
    </w:div>
    <w:div w:id="1714383707">
      <w:bodyDiv w:val="1"/>
      <w:marLeft w:val="0"/>
      <w:marRight w:val="0"/>
      <w:marTop w:val="0"/>
      <w:marBottom w:val="0"/>
      <w:divBdr>
        <w:top w:val="none" w:sz="0" w:space="0" w:color="auto"/>
        <w:left w:val="none" w:sz="0" w:space="0" w:color="auto"/>
        <w:bottom w:val="none" w:sz="0" w:space="0" w:color="auto"/>
        <w:right w:val="none" w:sz="0" w:space="0" w:color="auto"/>
      </w:divBdr>
    </w:div>
    <w:div w:id="1723677598">
      <w:bodyDiv w:val="1"/>
      <w:marLeft w:val="0"/>
      <w:marRight w:val="0"/>
      <w:marTop w:val="0"/>
      <w:marBottom w:val="0"/>
      <w:divBdr>
        <w:top w:val="none" w:sz="0" w:space="0" w:color="auto"/>
        <w:left w:val="none" w:sz="0" w:space="0" w:color="auto"/>
        <w:bottom w:val="none" w:sz="0" w:space="0" w:color="auto"/>
        <w:right w:val="none" w:sz="0" w:space="0" w:color="auto"/>
      </w:divBdr>
    </w:div>
    <w:div w:id="1739015735">
      <w:bodyDiv w:val="1"/>
      <w:marLeft w:val="0"/>
      <w:marRight w:val="0"/>
      <w:marTop w:val="0"/>
      <w:marBottom w:val="0"/>
      <w:divBdr>
        <w:top w:val="none" w:sz="0" w:space="0" w:color="auto"/>
        <w:left w:val="none" w:sz="0" w:space="0" w:color="auto"/>
        <w:bottom w:val="none" w:sz="0" w:space="0" w:color="auto"/>
        <w:right w:val="none" w:sz="0" w:space="0" w:color="auto"/>
      </w:divBdr>
    </w:div>
    <w:div w:id="1762096944">
      <w:bodyDiv w:val="1"/>
      <w:marLeft w:val="0"/>
      <w:marRight w:val="0"/>
      <w:marTop w:val="0"/>
      <w:marBottom w:val="0"/>
      <w:divBdr>
        <w:top w:val="none" w:sz="0" w:space="0" w:color="auto"/>
        <w:left w:val="none" w:sz="0" w:space="0" w:color="auto"/>
        <w:bottom w:val="none" w:sz="0" w:space="0" w:color="auto"/>
        <w:right w:val="none" w:sz="0" w:space="0" w:color="auto"/>
      </w:divBdr>
    </w:div>
    <w:div w:id="1765687436">
      <w:bodyDiv w:val="1"/>
      <w:marLeft w:val="0"/>
      <w:marRight w:val="0"/>
      <w:marTop w:val="0"/>
      <w:marBottom w:val="0"/>
      <w:divBdr>
        <w:top w:val="none" w:sz="0" w:space="0" w:color="auto"/>
        <w:left w:val="none" w:sz="0" w:space="0" w:color="auto"/>
        <w:bottom w:val="none" w:sz="0" w:space="0" w:color="auto"/>
        <w:right w:val="none" w:sz="0" w:space="0" w:color="auto"/>
      </w:divBdr>
    </w:div>
    <w:div w:id="1775058306">
      <w:bodyDiv w:val="1"/>
      <w:marLeft w:val="0"/>
      <w:marRight w:val="0"/>
      <w:marTop w:val="0"/>
      <w:marBottom w:val="0"/>
      <w:divBdr>
        <w:top w:val="none" w:sz="0" w:space="0" w:color="auto"/>
        <w:left w:val="none" w:sz="0" w:space="0" w:color="auto"/>
        <w:bottom w:val="none" w:sz="0" w:space="0" w:color="auto"/>
        <w:right w:val="none" w:sz="0" w:space="0" w:color="auto"/>
      </w:divBdr>
    </w:div>
    <w:div w:id="1775784287">
      <w:bodyDiv w:val="1"/>
      <w:marLeft w:val="0"/>
      <w:marRight w:val="0"/>
      <w:marTop w:val="0"/>
      <w:marBottom w:val="0"/>
      <w:divBdr>
        <w:top w:val="none" w:sz="0" w:space="0" w:color="auto"/>
        <w:left w:val="none" w:sz="0" w:space="0" w:color="auto"/>
        <w:bottom w:val="none" w:sz="0" w:space="0" w:color="auto"/>
        <w:right w:val="none" w:sz="0" w:space="0" w:color="auto"/>
      </w:divBdr>
    </w:div>
    <w:div w:id="1785075376">
      <w:bodyDiv w:val="1"/>
      <w:marLeft w:val="0"/>
      <w:marRight w:val="0"/>
      <w:marTop w:val="0"/>
      <w:marBottom w:val="0"/>
      <w:divBdr>
        <w:top w:val="none" w:sz="0" w:space="0" w:color="auto"/>
        <w:left w:val="none" w:sz="0" w:space="0" w:color="auto"/>
        <w:bottom w:val="none" w:sz="0" w:space="0" w:color="auto"/>
        <w:right w:val="none" w:sz="0" w:space="0" w:color="auto"/>
      </w:divBdr>
    </w:div>
    <w:div w:id="1798600179">
      <w:bodyDiv w:val="1"/>
      <w:marLeft w:val="0"/>
      <w:marRight w:val="0"/>
      <w:marTop w:val="0"/>
      <w:marBottom w:val="0"/>
      <w:divBdr>
        <w:top w:val="none" w:sz="0" w:space="0" w:color="auto"/>
        <w:left w:val="none" w:sz="0" w:space="0" w:color="auto"/>
        <w:bottom w:val="none" w:sz="0" w:space="0" w:color="auto"/>
        <w:right w:val="none" w:sz="0" w:space="0" w:color="auto"/>
      </w:divBdr>
    </w:div>
    <w:div w:id="1836649100">
      <w:bodyDiv w:val="1"/>
      <w:marLeft w:val="0"/>
      <w:marRight w:val="0"/>
      <w:marTop w:val="0"/>
      <w:marBottom w:val="0"/>
      <w:divBdr>
        <w:top w:val="none" w:sz="0" w:space="0" w:color="auto"/>
        <w:left w:val="none" w:sz="0" w:space="0" w:color="auto"/>
        <w:bottom w:val="none" w:sz="0" w:space="0" w:color="auto"/>
        <w:right w:val="none" w:sz="0" w:space="0" w:color="auto"/>
      </w:divBdr>
    </w:div>
    <w:div w:id="1839616128">
      <w:bodyDiv w:val="1"/>
      <w:marLeft w:val="0"/>
      <w:marRight w:val="0"/>
      <w:marTop w:val="0"/>
      <w:marBottom w:val="0"/>
      <w:divBdr>
        <w:top w:val="none" w:sz="0" w:space="0" w:color="auto"/>
        <w:left w:val="none" w:sz="0" w:space="0" w:color="auto"/>
        <w:bottom w:val="none" w:sz="0" w:space="0" w:color="auto"/>
        <w:right w:val="none" w:sz="0" w:space="0" w:color="auto"/>
      </w:divBdr>
    </w:div>
    <w:div w:id="1840806679">
      <w:bodyDiv w:val="1"/>
      <w:marLeft w:val="0"/>
      <w:marRight w:val="0"/>
      <w:marTop w:val="0"/>
      <w:marBottom w:val="0"/>
      <w:divBdr>
        <w:top w:val="none" w:sz="0" w:space="0" w:color="auto"/>
        <w:left w:val="none" w:sz="0" w:space="0" w:color="auto"/>
        <w:bottom w:val="none" w:sz="0" w:space="0" w:color="auto"/>
        <w:right w:val="none" w:sz="0" w:space="0" w:color="auto"/>
      </w:divBdr>
    </w:div>
    <w:div w:id="1842045491">
      <w:bodyDiv w:val="1"/>
      <w:marLeft w:val="0"/>
      <w:marRight w:val="0"/>
      <w:marTop w:val="0"/>
      <w:marBottom w:val="0"/>
      <w:divBdr>
        <w:top w:val="none" w:sz="0" w:space="0" w:color="auto"/>
        <w:left w:val="none" w:sz="0" w:space="0" w:color="auto"/>
        <w:bottom w:val="none" w:sz="0" w:space="0" w:color="auto"/>
        <w:right w:val="none" w:sz="0" w:space="0" w:color="auto"/>
      </w:divBdr>
    </w:div>
    <w:div w:id="1861240334">
      <w:bodyDiv w:val="1"/>
      <w:marLeft w:val="0"/>
      <w:marRight w:val="0"/>
      <w:marTop w:val="0"/>
      <w:marBottom w:val="0"/>
      <w:divBdr>
        <w:top w:val="none" w:sz="0" w:space="0" w:color="auto"/>
        <w:left w:val="none" w:sz="0" w:space="0" w:color="auto"/>
        <w:bottom w:val="none" w:sz="0" w:space="0" w:color="auto"/>
        <w:right w:val="none" w:sz="0" w:space="0" w:color="auto"/>
      </w:divBdr>
    </w:div>
    <w:div w:id="1883394417">
      <w:bodyDiv w:val="1"/>
      <w:marLeft w:val="0"/>
      <w:marRight w:val="0"/>
      <w:marTop w:val="0"/>
      <w:marBottom w:val="0"/>
      <w:divBdr>
        <w:top w:val="none" w:sz="0" w:space="0" w:color="auto"/>
        <w:left w:val="none" w:sz="0" w:space="0" w:color="auto"/>
        <w:bottom w:val="none" w:sz="0" w:space="0" w:color="auto"/>
        <w:right w:val="none" w:sz="0" w:space="0" w:color="auto"/>
      </w:divBdr>
    </w:div>
    <w:div w:id="1894197801">
      <w:bodyDiv w:val="1"/>
      <w:marLeft w:val="0"/>
      <w:marRight w:val="0"/>
      <w:marTop w:val="0"/>
      <w:marBottom w:val="0"/>
      <w:divBdr>
        <w:top w:val="none" w:sz="0" w:space="0" w:color="auto"/>
        <w:left w:val="none" w:sz="0" w:space="0" w:color="auto"/>
        <w:bottom w:val="none" w:sz="0" w:space="0" w:color="auto"/>
        <w:right w:val="none" w:sz="0" w:space="0" w:color="auto"/>
      </w:divBdr>
    </w:div>
    <w:div w:id="1908613594">
      <w:bodyDiv w:val="1"/>
      <w:marLeft w:val="0"/>
      <w:marRight w:val="0"/>
      <w:marTop w:val="0"/>
      <w:marBottom w:val="0"/>
      <w:divBdr>
        <w:top w:val="none" w:sz="0" w:space="0" w:color="auto"/>
        <w:left w:val="none" w:sz="0" w:space="0" w:color="auto"/>
        <w:bottom w:val="none" w:sz="0" w:space="0" w:color="auto"/>
        <w:right w:val="none" w:sz="0" w:space="0" w:color="auto"/>
      </w:divBdr>
    </w:div>
    <w:div w:id="1916931386">
      <w:bodyDiv w:val="1"/>
      <w:marLeft w:val="0"/>
      <w:marRight w:val="0"/>
      <w:marTop w:val="0"/>
      <w:marBottom w:val="0"/>
      <w:divBdr>
        <w:top w:val="none" w:sz="0" w:space="0" w:color="auto"/>
        <w:left w:val="none" w:sz="0" w:space="0" w:color="auto"/>
        <w:bottom w:val="none" w:sz="0" w:space="0" w:color="auto"/>
        <w:right w:val="none" w:sz="0" w:space="0" w:color="auto"/>
      </w:divBdr>
    </w:div>
    <w:div w:id="1937863252">
      <w:bodyDiv w:val="1"/>
      <w:marLeft w:val="0"/>
      <w:marRight w:val="0"/>
      <w:marTop w:val="0"/>
      <w:marBottom w:val="0"/>
      <w:divBdr>
        <w:top w:val="none" w:sz="0" w:space="0" w:color="auto"/>
        <w:left w:val="none" w:sz="0" w:space="0" w:color="auto"/>
        <w:bottom w:val="none" w:sz="0" w:space="0" w:color="auto"/>
        <w:right w:val="none" w:sz="0" w:space="0" w:color="auto"/>
      </w:divBdr>
    </w:div>
    <w:div w:id="2004385113">
      <w:bodyDiv w:val="1"/>
      <w:marLeft w:val="0"/>
      <w:marRight w:val="0"/>
      <w:marTop w:val="0"/>
      <w:marBottom w:val="0"/>
      <w:divBdr>
        <w:top w:val="none" w:sz="0" w:space="0" w:color="auto"/>
        <w:left w:val="none" w:sz="0" w:space="0" w:color="auto"/>
        <w:bottom w:val="none" w:sz="0" w:space="0" w:color="auto"/>
        <w:right w:val="none" w:sz="0" w:space="0" w:color="auto"/>
      </w:divBdr>
    </w:div>
    <w:div w:id="2019233640">
      <w:bodyDiv w:val="1"/>
      <w:marLeft w:val="0"/>
      <w:marRight w:val="0"/>
      <w:marTop w:val="0"/>
      <w:marBottom w:val="0"/>
      <w:divBdr>
        <w:top w:val="none" w:sz="0" w:space="0" w:color="auto"/>
        <w:left w:val="none" w:sz="0" w:space="0" w:color="auto"/>
        <w:bottom w:val="none" w:sz="0" w:space="0" w:color="auto"/>
        <w:right w:val="none" w:sz="0" w:space="0" w:color="auto"/>
      </w:divBdr>
    </w:div>
    <w:div w:id="2024090852">
      <w:bodyDiv w:val="1"/>
      <w:marLeft w:val="0"/>
      <w:marRight w:val="0"/>
      <w:marTop w:val="0"/>
      <w:marBottom w:val="0"/>
      <w:divBdr>
        <w:top w:val="none" w:sz="0" w:space="0" w:color="auto"/>
        <w:left w:val="none" w:sz="0" w:space="0" w:color="auto"/>
        <w:bottom w:val="none" w:sz="0" w:space="0" w:color="auto"/>
        <w:right w:val="none" w:sz="0" w:space="0" w:color="auto"/>
      </w:divBdr>
    </w:div>
    <w:div w:id="2034918745">
      <w:bodyDiv w:val="1"/>
      <w:marLeft w:val="0"/>
      <w:marRight w:val="0"/>
      <w:marTop w:val="0"/>
      <w:marBottom w:val="0"/>
      <w:divBdr>
        <w:top w:val="none" w:sz="0" w:space="0" w:color="auto"/>
        <w:left w:val="none" w:sz="0" w:space="0" w:color="auto"/>
        <w:bottom w:val="none" w:sz="0" w:space="0" w:color="auto"/>
        <w:right w:val="none" w:sz="0" w:space="0" w:color="auto"/>
      </w:divBdr>
    </w:div>
    <w:div w:id="2045592944">
      <w:bodyDiv w:val="1"/>
      <w:marLeft w:val="0"/>
      <w:marRight w:val="0"/>
      <w:marTop w:val="0"/>
      <w:marBottom w:val="0"/>
      <w:divBdr>
        <w:top w:val="none" w:sz="0" w:space="0" w:color="auto"/>
        <w:left w:val="none" w:sz="0" w:space="0" w:color="auto"/>
        <w:bottom w:val="none" w:sz="0" w:space="0" w:color="auto"/>
        <w:right w:val="none" w:sz="0" w:space="0" w:color="auto"/>
      </w:divBdr>
    </w:div>
    <w:div w:id="2065176386">
      <w:bodyDiv w:val="1"/>
      <w:marLeft w:val="0"/>
      <w:marRight w:val="0"/>
      <w:marTop w:val="0"/>
      <w:marBottom w:val="0"/>
      <w:divBdr>
        <w:top w:val="none" w:sz="0" w:space="0" w:color="auto"/>
        <w:left w:val="none" w:sz="0" w:space="0" w:color="auto"/>
        <w:bottom w:val="none" w:sz="0" w:space="0" w:color="auto"/>
        <w:right w:val="none" w:sz="0" w:space="0" w:color="auto"/>
      </w:divBdr>
    </w:div>
    <w:div w:id="2086297183">
      <w:bodyDiv w:val="1"/>
      <w:marLeft w:val="0"/>
      <w:marRight w:val="0"/>
      <w:marTop w:val="0"/>
      <w:marBottom w:val="0"/>
      <w:divBdr>
        <w:top w:val="none" w:sz="0" w:space="0" w:color="auto"/>
        <w:left w:val="none" w:sz="0" w:space="0" w:color="auto"/>
        <w:bottom w:val="none" w:sz="0" w:space="0" w:color="auto"/>
        <w:right w:val="none" w:sz="0" w:space="0" w:color="auto"/>
      </w:divBdr>
    </w:div>
    <w:div w:id="2090495717">
      <w:bodyDiv w:val="1"/>
      <w:marLeft w:val="0"/>
      <w:marRight w:val="0"/>
      <w:marTop w:val="0"/>
      <w:marBottom w:val="0"/>
      <w:divBdr>
        <w:top w:val="none" w:sz="0" w:space="0" w:color="auto"/>
        <w:left w:val="none" w:sz="0" w:space="0" w:color="auto"/>
        <w:bottom w:val="none" w:sz="0" w:space="0" w:color="auto"/>
        <w:right w:val="none" w:sz="0" w:space="0" w:color="auto"/>
      </w:divBdr>
    </w:div>
    <w:div w:id="2107459495">
      <w:bodyDiv w:val="1"/>
      <w:marLeft w:val="0"/>
      <w:marRight w:val="0"/>
      <w:marTop w:val="0"/>
      <w:marBottom w:val="0"/>
      <w:divBdr>
        <w:top w:val="none" w:sz="0" w:space="0" w:color="auto"/>
        <w:left w:val="none" w:sz="0" w:space="0" w:color="auto"/>
        <w:bottom w:val="none" w:sz="0" w:space="0" w:color="auto"/>
        <w:right w:val="none" w:sz="0" w:space="0" w:color="auto"/>
      </w:divBdr>
    </w:div>
    <w:div w:id="2110422544">
      <w:bodyDiv w:val="1"/>
      <w:marLeft w:val="0"/>
      <w:marRight w:val="0"/>
      <w:marTop w:val="0"/>
      <w:marBottom w:val="0"/>
      <w:divBdr>
        <w:top w:val="none" w:sz="0" w:space="0" w:color="auto"/>
        <w:left w:val="none" w:sz="0" w:space="0" w:color="auto"/>
        <w:bottom w:val="none" w:sz="0" w:space="0" w:color="auto"/>
        <w:right w:val="none" w:sz="0" w:space="0" w:color="auto"/>
      </w:divBdr>
    </w:div>
    <w:div w:id="2124568664">
      <w:bodyDiv w:val="1"/>
      <w:marLeft w:val="0"/>
      <w:marRight w:val="0"/>
      <w:marTop w:val="0"/>
      <w:marBottom w:val="0"/>
      <w:divBdr>
        <w:top w:val="none" w:sz="0" w:space="0" w:color="auto"/>
        <w:left w:val="none" w:sz="0" w:space="0" w:color="auto"/>
        <w:bottom w:val="none" w:sz="0" w:space="0" w:color="auto"/>
        <w:right w:val="none" w:sz="0" w:space="0" w:color="auto"/>
      </w:divBdr>
    </w:div>
    <w:div w:id="2134397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4.emf"/><Relationship Id="rId39"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image" Target="media/image10.png"/><Relationship Id="rId42" Type="http://schemas.openxmlformats.org/officeDocument/2006/relationships/header" Target="header9.xml"/><Relationship Id="rId47" Type="http://schemas.openxmlformats.org/officeDocument/2006/relationships/footer" Target="footer11.xml"/><Relationship Id="rId50"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emf"/><Relationship Id="rId33" Type="http://schemas.openxmlformats.org/officeDocument/2006/relationships/image" Target="media/image9.png"/><Relationship Id="rId38" Type="http://schemas.openxmlformats.org/officeDocument/2006/relationships/header" Target="header7.xml"/><Relationship Id="rId46"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image" Target="media/image7.png"/><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png"/><Relationship Id="rId32" Type="http://schemas.openxmlformats.org/officeDocument/2006/relationships/image" Target="media/image8.png"/><Relationship Id="rId37" Type="http://schemas.openxmlformats.org/officeDocument/2006/relationships/hyperlink" Target="https://commission.europa.eu/document/download/402c1eae-6127-4982-bd78-ed8a1a1b427a_en?filename=2025%20NGEU%20Green%20Bonds%20Allocation%20and%20Impact%20Report.pdf" TargetMode="External"/><Relationship Id="rId40" Type="http://schemas.openxmlformats.org/officeDocument/2006/relationships/footer" Target="footer7.xml"/><Relationship Id="rId45"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image" Target="media/image6.emf"/><Relationship Id="rId36" Type="http://schemas.openxmlformats.org/officeDocument/2006/relationships/chart" Target="charts/chart1.xml"/><Relationship Id="rId49"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yperlink" Target="https://commission.europa.eu/document/download/402c1eae-6127-4982-bd78-ed8a1a1b427a_en?filename=2025%20NGEU%20Green%20Bonds%20Allocation%20and%20Impact%20Report.pdf" TargetMode="External"/><Relationship Id="rId44"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5.emf"/><Relationship Id="rId30" Type="http://schemas.openxmlformats.org/officeDocument/2006/relationships/hyperlink" Target="https://economy-finance.ec.europa.eu/eu-financial-assistance/euro-area-countries/european-financial-stabilisation-mechanism-efsm_en" TargetMode="External"/><Relationship Id="rId35" Type="http://schemas.openxmlformats.org/officeDocument/2006/relationships/image" Target="media/image11.png"/><Relationship Id="rId43" Type="http://schemas.openxmlformats.org/officeDocument/2006/relationships/footer" Target="footer9.xml"/><Relationship Id="rId48" Type="http://schemas.openxmlformats.org/officeDocument/2006/relationships/header" Target="header12.xml"/><Relationship Id="rId8" Type="http://schemas.openxmlformats.org/officeDocument/2006/relationships/webSettings" Target="webSettings.xml"/><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strategy-and-policy/eu-budget/eu-borrower-investor-relations/nextgenerationeu-green-bonds/dashboard_en" TargetMode="External"/><Relationship Id="rId3" Type="http://schemas.openxmlformats.org/officeDocument/2006/relationships/hyperlink" Target="https://commission.europa.eu/document/download/402c1eae-6127-4982-bd78-ed8a1a1b427a_en?filename=2025%20NGEU%20Green%20Bonds%20Allocation%20and%20Impact%20Report.pdf" TargetMode="External"/><Relationship Id="rId7" Type="http://schemas.openxmlformats.org/officeDocument/2006/relationships/hyperlink" Target="https://commission.europa.eu/system/files/2023-07/Fourth%20half-yearly%20report%20on%20the%20execution%20of%20the%20EU%20borrowing%20and%20lending%20operations.PDF" TargetMode="External"/><Relationship Id="rId2" Type="http://schemas.openxmlformats.org/officeDocument/2006/relationships/hyperlink" Target="https://eur-lex.europa.eu/legal-content/FR/TXT/PDF/?uri=CELEX:52025DC0330" TargetMode="External"/><Relationship Id="rId1" Type="http://schemas.openxmlformats.org/officeDocument/2006/relationships/hyperlink" Target="https://eur-lex.europa.eu/legal-content/FR/TXT/PDF/?uri=CELEX:52025DC0637" TargetMode="External"/><Relationship Id="rId6" Type="http://schemas.openxmlformats.org/officeDocument/2006/relationships/hyperlink" Target="https://www.eca.europa.eu/Lists/ECAReplies/COM-Replies-SR-2023-16/COM-Replies-SR-2023-16_FR.pdf" TargetMode="External"/><Relationship Id="rId5" Type="http://schemas.openxmlformats.org/officeDocument/2006/relationships/hyperlink" Target="https://www.eca.europa.eu/ECAPublications/SR-2023-16/SR-2023-16_FR.pdf" TargetMode="External"/><Relationship Id="rId4" Type="http://schemas.openxmlformats.org/officeDocument/2006/relationships/hyperlink" Target="https://www.eca.europa.eu/ECAPublications/SR-2023-16/SR-2023-16_FR.pdf" TargetMode="External"/><Relationship Id="rId9" Type="http://schemas.openxmlformats.org/officeDocument/2006/relationships/hyperlink" Target="https://commission.europa.eu/strategy-and-policy/eu-budget/eu-borrower-investor-relations/nextgenerationeu-green-bonds/dashboard_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hohelee\AppData\Local\Microsoft\Windows\INetCache\Content.Outlook\SZDDSRG1\Copy%20of%20semi-annual%20report%20h2%202025_jk.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4094408207359203E-2"/>
          <c:y val="7.9706845924396141E-2"/>
          <c:w val="0.89564783303731466"/>
          <c:h val="0.81843185077278446"/>
        </c:manualLayout>
      </c:layout>
      <c:lineChart>
        <c:grouping val="standard"/>
        <c:varyColors val="0"/>
        <c:ser>
          <c:idx val="0"/>
          <c:order val="0"/>
          <c:tx>
            <c:strRef>
              <c:f>Hardcoded!$B$3</c:f>
              <c:strCache>
                <c:ptCount val="1"/>
                <c:pt idx="0">
                  <c:v>Yield (10y)</c:v>
                </c:pt>
              </c:strCache>
            </c:strRef>
          </c:tx>
          <c:spPr>
            <a:ln w="28575" cap="rnd">
              <a:solidFill>
                <a:schemeClr val="accent1"/>
              </a:solidFill>
              <a:round/>
            </a:ln>
            <a:effectLst/>
          </c:spPr>
          <c:marker>
            <c:symbol val="none"/>
          </c:marker>
          <c:cat>
            <c:numRef>
              <c:f>Hardcoded!$A$4:$A$132</c:f>
              <c:numCache>
                <c:formatCode>dd\-mm\-yyyy;@</c:formatCode>
                <c:ptCount val="129"/>
                <c:pt idx="0">
                  <c:v>46023</c:v>
                </c:pt>
                <c:pt idx="1">
                  <c:v>46021</c:v>
                </c:pt>
                <c:pt idx="2">
                  <c:v>46020</c:v>
                </c:pt>
                <c:pt idx="3">
                  <c:v>46014</c:v>
                </c:pt>
                <c:pt idx="4">
                  <c:v>46013</c:v>
                </c:pt>
                <c:pt idx="5">
                  <c:v>46010</c:v>
                </c:pt>
                <c:pt idx="6">
                  <c:v>46009</c:v>
                </c:pt>
                <c:pt idx="7">
                  <c:v>46008</c:v>
                </c:pt>
                <c:pt idx="8">
                  <c:v>46007</c:v>
                </c:pt>
                <c:pt idx="9">
                  <c:v>46006</c:v>
                </c:pt>
                <c:pt idx="10">
                  <c:v>46003</c:v>
                </c:pt>
                <c:pt idx="11">
                  <c:v>46002</c:v>
                </c:pt>
                <c:pt idx="12">
                  <c:v>46001</c:v>
                </c:pt>
                <c:pt idx="13">
                  <c:v>46000</c:v>
                </c:pt>
                <c:pt idx="14">
                  <c:v>45999</c:v>
                </c:pt>
                <c:pt idx="15">
                  <c:v>45996</c:v>
                </c:pt>
                <c:pt idx="16">
                  <c:v>45995</c:v>
                </c:pt>
                <c:pt idx="17">
                  <c:v>45994</c:v>
                </c:pt>
                <c:pt idx="18">
                  <c:v>45993</c:v>
                </c:pt>
                <c:pt idx="19">
                  <c:v>45992</c:v>
                </c:pt>
                <c:pt idx="20">
                  <c:v>45989</c:v>
                </c:pt>
                <c:pt idx="21">
                  <c:v>45988</c:v>
                </c:pt>
                <c:pt idx="22">
                  <c:v>45987</c:v>
                </c:pt>
                <c:pt idx="23">
                  <c:v>45986</c:v>
                </c:pt>
                <c:pt idx="24">
                  <c:v>45985</c:v>
                </c:pt>
                <c:pt idx="25">
                  <c:v>45982</c:v>
                </c:pt>
                <c:pt idx="26">
                  <c:v>45981</c:v>
                </c:pt>
                <c:pt idx="27">
                  <c:v>45980</c:v>
                </c:pt>
                <c:pt idx="28">
                  <c:v>45979</c:v>
                </c:pt>
                <c:pt idx="29">
                  <c:v>45978</c:v>
                </c:pt>
                <c:pt idx="30">
                  <c:v>45975</c:v>
                </c:pt>
                <c:pt idx="31">
                  <c:v>45974</c:v>
                </c:pt>
                <c:pt idx="32">
                  <c:v>45973</c:v>
                </c:pt>
                <c:pt idx="33">
                  <c:v>45972</c:v>
                </c:pt>
                <c:pt idx="34">
                  <c:v>45971</c:v>
                </c:pt>
                <c:pt idx="35">
                  <c:v>45968</c:v>
                </c:pt>
                <c:pt idx="36">
                  <c:v>45967</c:v>
                </c:pt>
                <c:pt idx="37">
                  <c:v>45966</c:v>
                </c:pt>
                <c:pt idx="38">
                  <c:v>45965</c:v>
                </c:pt>
                <c:pt idx="39">
                  <c:v>45964</c:v>
                </c:pt>
                <c:pt idx="40">
                  <c:v>45961</c:v>
                </c:pt>
                <c:pt idx="41">
                  <c:v>45960</c:v>
                </c:pt>
                <c:pt idx="42">
                  <c:v>45959</c:v>
                </c:pt>
                <c:pt idx="43">
                  <c:v>45958</c:v>
                </c:pt>
                <c:pt idx="44">
                  <c:v>45957</c:v>
                </c:pt>
                <c:pt idx="45">
                  <c:v>45954</c:v>
                </c:pt>
                <c:pt idx="46">
                  <c:v>45953</c:v>
                </c:pt>
                <c:pt idx="47">
                  <c:v>45952</c:v>
                </c:pt>
                <c:pt idx="48">
                  <c:v>45951</c:v>
                </c:pt>
                <c:pt idx="49">
                  <c:v>45950</c:v>
                </c:pt>
                <c:pt idx="50">
                  <c:v>45947</c:v>
                </c:pt>
                <c:pt idx="51">
                  <c:v>45946</c:v>
                </c:pt>
                <c:pt idx="52">
                  <c:v>45945</c:v>
                </c:pt>
                <c:pt idx="53">
                  <c:v>45944</c:v>
                </c:pt>
                <c:pt idx="54">
                  <c:v>45943</c:v>
                </c:pt>
                <c:pt idx="55">
                  <c:v>45940</c:v>
                </c:pt>
                <c:pt idx="56">
                  <c:v>45939</c:v>
                </c:pt>
                <c:pt idx="57">
                  <c:v>45938</c:v>
                </c:pt>
                <c:pt idx="58">
                  <c:v>45937</c:v>
                </c:pt>
                <c:pt idx="59">
                  <c:v>45936</c:v>
                </c:pt>
                <c:pt idx="60">
                  <c:v>45933</c:v>
                </c:pt>
                <c:pt idx="61">
                  <c:v>45932</c:v>
                </c:pt>
                <c:pt idx="62">
                  <c:v>45931</c:v>
                </c:pt>
                <c:pt idx="63">
                  <c:v>45930</c:v>
                </c:pt>
                <c:pt idx="64">
                  <c:v>45929</c:v>
                </c:pt>
                <c:pt idx="65">
                  <c:v>45926</c:v>
                </c:pt>
                <c:pt idx="66">
                  <c:v>45925</c:v>
                </c:pt>
                <c:pt idx="67">
                  <c:v>45924</c:v>
                </c:pt>
                <c:pt idx="68">
                  <c:v>45923</c:v>
                </c:pt>
                <c:pt idx="69">
                  <c:v>45922</c:v>
                </c:pt>
                <c:pt idx="70">
                  <c:v>45919</c:v>
                </c:pt>
                <c:pt idx="71">
                  <c:v>45918</c:v>
                </c:pt>
                <c:pt idx="72">
                  <c:v>45917</c:v>
                </c:pt>
                <c:pt idx="73">
                  <c:v>45916</c:v>
                </c:pt>
                <c:pt idx="74">
                  <c:v>45915</c:v>
                </c:pt>
                <c:pt idx="75">
                  <c:v>45912</c:v>
                </c:pt>
                <c:pt idx="76">
                  <c:v>45911</c:v>
                </c:pt>
                <c:pt idx="77">
                  <c:v>45910</c:v>
                </c:pt>
                <c:pt idx="78">
                  <c:v>45909</c:v>
                </c:pt>
                <c:pt idx="79">
                  <c:v>45908</c:v>
                </c:pt>
                <c:pt idx="80">
                  <c:v>45905</c:v>
                </c:pt>
                <c:pt idx="81">
                  <c:v>45904</c:v>
                </c:pt>
                <c:pt idx="82">
                  <c:v>45903</c:v>
                </c:pt>
                <c:pt idx="83">
                  <c:v>45902</c:v>
                </c:pt>
                <c:pt idx="84">
                  <c:v>45901</c:v>
                </c:pt>
                <c:pt idx="85">
                  <c:v>45898</c:v>
                </c:pt>
                <c:pt idx="86">
                  <c:v>45897</c:v>
                </c:pt>
                <c:pt idx="87">
                  <c:v>45896</c:v>
                </c:pt>
                <c:pt idx="88">
                  <c:v>45895</c:v>
                </c:pt>
                <c:pt idx="89">
                  <c:v>45894</c:v>
                </c:pt>
                <c:pt idx="90">
                  <c:v>45891</c:v>
                </c:pt>
                <c:pt idx="91">
                  <c:v>45890</c:v>
                </c:pt>
                <c:pt idx="92">
                  <c:v>45889</c:v>
                </c:pt>
                <c:pt idx="93">
                  <c:v>45888</c:v>
                </c:pt>
                <c:pt idx="94">
                  <c:v>45887</c:v>
                </c:pt>
                <c:pt idx="95">
                  <c:v>45884</c:v>
                </c:pt>
                <c:pt idx="96">
                  <c:v>45883</c:v>
                </c:pt>
                <c:pt idx="97">
                  <c:v>45882</c:v>
                </c:pt>
                <c:pt idx="98">
                  <c:v>45881</c:v>
                </c:pt>
                <c:pt idx="99">
                  <c:v>45880</c:v>
                </c:pt>
                <c:pt idx="100">
                  <c:v>45877</c:v>
                </c:pt>
                <c:pt idx="101">
                  <c:v>45876</c:v>
                </c:pt>
                <c:pt idx="102">
                  <c:v>45875</c:v>
                </c:pt>
                <c:pt idx="103">
                  <c:v>45874</c:v>
                </c:pt>
                <c:pt idx="104">
                  <c:v>45873</c:v>
                </c:pt>
                <c:pt idx="105">
                  <c:v>45870</c:v>
                </c:pt>
                <c:pt idx="106">
                  <c:v>45869</c:v>
                </c:pt>
                <c:pt idx="107">
                  <c:v>45868</c:v>
                </c:pt>
                <c:pt idx="108">
                  <c:v>45867</c:v>
                </c:pt>
                <c:pt idx="109">
                  <c:v>45866</c:v>
                </c:pt>
                <c:pt idx="110">
                  <c:v>45863</c:v>
                </c:pt>
                <c:pt idx="111">
                  <c:v>45862</c:v>
                </c:pt>
                <c:pt idx="112">
                  <c:v>45861</c:v>
                </c:pt>
                <c:pt idx="113">
                  <c:v>45860</c:v>
                </c:pt>
                <c:pt idx="114">
                  <c:v>45859</c:v>
                </c:pt>
                <c:pt idx="115">
                  <c:v>45856</c:v>
                </c:pt>
                <c:pt idx="116">
                  <c:v>45855</c:v>
                </c:pt>
                <c:pt idx="117">
                  <c:v>45854</c:v>
                </c:pt>
                <c:pt idx="118">
                  <c:v>45853</c:v>
                </c:pt>
                <c:pt idx="119">
                  <c:v>45852</c:v>
                </c:pt>
                <c:pt idx="120">
                  <c:v>45849</c:v>
                </c:pt>
                <c:pt idx="121">
                  <c:v>45848</c:v>
                </c:pt>
                <c:pt idx="122">
                  <c:v>45847</c:v>
                </c:pt>
                <c:pt idx="123">
                  <c:v>45846</c:v>
                </c:pt>
                <c:pt idx="124">
                  <c:v>45845</c:v>
                </c:pt>
                <c:pt idx="125">
                  <c:v>45842</c:v>
                </c:pt>
                <c:pt idx="126">
                  <c:v>45841</c:v>
                </c:pt>
                <c:pt idx="127">
                  <c:v>45840</c:v>
                </c:pt>
                <c:pt idx="128">
                  <c:v>45839</c:v>
                </c:pt>
              </c:numCache>
            </c:numRef>
          </c:cat>
          <c:val>
            <c:numRef>
              <c:f>Hardcoded!$B$4:$B$132</c:f>
              <c:numCache>
                <c:formatCode>0.000</c:formatCode>
                <c:ptCount val="129"/>
                <c:pt idx="1">
                  <c:v>3.2010000000000001</c:v>
                </c:pt>
                <c:pt idx="2">
                  <c:v>3.1859999999999999</c:v>
                </c:pt>
                <c:pt idx="3">
                  <c:v>3.2109999999999999</c:v>
                </c:pt>
                <c:pt idx="4">
                  <c:v>3.2490000000000001</c:v>
                </c:pt>
                <c:pt idx="5">
                  <c:v>3.246</c:v>
                </c:pt>
                <c:pt idx="6">
                  <c:v>3.1909999999999998</c:v>
                </c:pt>
                <c:pt idx="7">
                  <c:v>3.21</c:v>
                </c:pt>
                <c:pt idx="8">
                  <c:v>3.1960000000000002</c:v>
                </c:pt>
                <c:pt idx="9">
                  <c:v>3.2210000000000001</c:v>
                </c:pt>
                <c:pt idx="10">
                  <c:v>3.2280000000000002</c:v>
                </c:pt>
                <c:pt idx="11">
                  <c:v>3.2109999999999999</c:v>
                </c:pt>
                <c:pt idx="12">
                  <c:v>3.22</c:v>
                </c:pt>
                <c:pt idx="13">
                  <c:v>3.23</c:v>
                </c:pt>
                <c:pt idx="14">
                  <c:v>3.2290000000000001</c:v>
                </c:pt>
                <c:pt idx="15">
                  <c:v>3.169</c:v>
                </c:pt>
                <c:pt idx="16">
                  <c:v>3.15</c:v>
                </c:pt>
                <c:pt idx="17">
                  <c:v>3.1339999999999999</c:v>
                </c:pt>
                <c:pt idx="18">
                  <c:v>3.14</c:v>
                </c:pt>
                <c:pt idx="19">
                  <c:v>3.1349999999999998</c:v>
                </c:pt>
                <c:pt idx="20">
                  <c:v>3.0760000000000001</c:v>
                </c:pt>
                <c:pt idx="21">
                  <c:v>3.069</c:v>
                </c:pt>
                <c:pt idx="22">
                  <c:v>3.0659999999999998</c:v>
                </c:pt>
                <c:pt idx="23">
                  <c:v>3.0739999999999998</c:v>
                </c:pt>
                <c:pt idx="24">
                  <c:v>3.1070000000000002</c:v>
                </c:pt>
                <c:pt idx="25">
                  <c:v>3.113</c:v>
                </c:pt>
                <c:pt idx="26">
                  <c:v>3.113</c:v>
                </c:pt>
                <c:pt idx="27">
                  <c:v>3.11</c:v>
                </c:pt>
                <c:pt idx="28">
                  <c:v>3.105</c:v>
                </c:pt>
                <c:pt idx="29">
                  <c:v>3.12</c:v>
                </c:pt>
                <c:pt idx="30">
                  <c:v>3.1269999999999998</c:v>
                </c:pt>
                <c:pt idx="31">
                  <c:v>3.0870000000000002</c:v>
                </c:pt>
                <c:pt idx="32">
                  <c:v>3.05</c:v>
                </c:pt>
                <c:pt idx="33">
                  <c:v>3.0750000000000002</c:v>
                </c:pt>
                <c:pt idx="34">
                  <c:v>3.0870000000000002</c:v>
                </c:pt>
                <c:pt idx="35">
                  <c:v>3.0990000000000002</c:v>
                </c:pt>
                <c:pt idx="36">
                  <c:v>3.077</c:v>
                </c:pt>
                <c:pt idx="37">
                  <c:v>3.097</c:v>
                </c:pt>
                <c:pt idx="38">
                  <c:v>3.0790000000000002</c:v>
                </c:pt>
                <c:pt idx="39">
                  <c:v>3.09</c:v>
                </c:pt>
                <c:pt idx="40">
                  <c:v>3.07</c:v>
                </c:pt>
                <c:pt idx="41">
                  <c:v>3.08</c:v>
                </c:pt>
                <c:pt idx="42">
                  <c:v>3.0619999999999998</c:v>
                </c:pt>
                <c:pt idx="43">
                  <c:v>3.069</c:v>
                </c:pt>
                <c:pt idx="44">
                  <c:v>3.056</c:v>
                </c:pt>
                <c:pt idx="45">
                  <c:v>3.0790000000000002</c:v>
                </c:pt>
                <c:pt idx="46">
                  <c:v>3.0329999999999999</c:v>
                </c:pt>
                <c:pt idx="47">
                  <c:v>3.0150000000000001</c:v>
                </c:pt>
                <c:pt idx="48">
                  <c:v>3</c:v>
                </c:pt>
                <c:pt idx="49">
                  <c:v>3.02</c:v>
                </c:pt>
                <c:pt idx="50">
                  <c:v>3.016</c:v>
                </c:pt>
                <c:pt idx="51">
                  <c:v>3.004</c:v>
                </c:pt>
                <c:pt idx="52">
                  <c:v>3.016</c:v>
                </c:pt>
                <c:pt idx="53">
                  <c:v>3.0539999999999998</c:v>
                </c:pt>
                <c:pt idx="54">
                  <c:v>3.0990000000000002</c:v>
                </c:pt>
                <c:pt idx="55">
                  <c:v>3.1019999999999999</c:v>
                </c:pt>
                <c:pt idx="56">
                  <c:v>3.1469999999999998</c:v>
                </c:pt>
                <c:pt idx="57">
                  <c:v>3.1339999999999999</c:v>
                </c:pt>
                <c:pt idx="58">
                  <c:v>3.1749999999999998</c:v>
                </c:pt>
                <c:pt idx="59">
                  <c:v>3.181</c:v>
                </c:pt>
                <c:pt idx="60">
                  <c:v>3.1459999999999999</c:v>
                </c:pt>
                <c:pt idx="61">
                  <c:v>3.15</c:v>
                </c:pt>
                <c:pt idx="62">
                  <c:v>3.1619999999999999</c:v>
                </c:pt>
                <c:pt idx="63">
                  <c:v>3.1619999999999999</c:v>
                </c:pt>
                <c:pt idx="64">
                  <c:v>3.1619999999999999</c:v>
                </c:pt>
                <c:pt idx="65">
                  <c:v>3.2040000000000002</c:v>
                </c:pt>
                <c:pt idx="66">
                  <c:v>3.23</c:v>
                </c:pt>
                <c:pt idx="67">
                  <c:v>3.21</c:v>
                </c:pt>
                <c:pt idx="68">
                  <c:v>3.206</c:v>
                </c:pt>
                <c:pt idx="69">
                  <c:v>3.202</c:v>
                </c:pt>
                <c:pt idx="70">
                  <c:v>3.2</c:v>
                </c:pt>
                <c:pt idx="71">
                  <c:v>3.1819999999999999</c:v>
                </c:pt>
                <c:pt idx="72">
                  <c:v>3.1309999999999998</c:v>
                </c:pt>
                <c:pt idx="73">
                  <c:v>3.1429999999999998</c:v>
                </c:pt>
                <c:pt idx="74">
                  <c:v>3.1389999999999998</c:v>
                </c:pt>
                <c:pt idx="75">
                  <c:v>3.1659999999999999</c:v>
                </c:pt>
                <c:pt idx="76">
                  <c:v>3.1030000000000002</c:v>
                </c:pt>
                <c:pt idx="77">
                  <c:v>3.113</c:v>
                </c:pt>
                <c:pt idx="78">
                  <c:v>3.125</c:v>
                </c:pt>
                <c:pt idx="79">
                  <c:v>3.1139999999999999</c:v>
                </c:pt>
                <c:pt idx="80">
                  <c:v>3.145</c:v>
                </c:pt>
                <c:pt idx="81">
                  <c:v>3.198</c:v>
                </c:pt>
                <c:pt idx="82">
                  <c:v>3.2290000000000001</c:v>
                </c:pt>
                <c:pt idx="83">
                  <c:v>3.274</c:v>
                </c:pt>
                <c:pt idx="84">
                  <c:v>3.2250000000000001</c:v>
                </c:pt>
                <c:pt idx="85">
                  <c:v>3.1989999999999998</c:v>
                </c:pt>
                <c:pt idx="86">
                  <c:v>3.1779999999999999</c:v>
                </c:pt>
                <c:pt idx="87">
                  <c:v>3.202</c:v>
                </c:pt>
                <c:pt idx="88">
                  <c:v>3.2040000000000002</c:v>
                </c:pt>
                <c:pt idx="89">
                  <c:v>3.226</c:v>
                </c:pt>
                <c:pt idx="90">
                  <c:v>3.1779999999999999</c:v>
                </c:pt>
                <c:pt idx="91">
                  <c:v>3.2210000000000001</c:v>
                </c:pt>
                <c:pt idx="92">
                  <c:v>3.1819999999999999</c:v>
                </c:pt>
                <c:pt idx="93">
                  <c:v>3.1949999999999998</c:v>
                </c:pt>
                <c:pt idx="94">
                  <c:v>3.1829999999999998</c:v>
                </c:pt>
                <c:pt idx="95">
                  <c:v>3.2010000000000001</c:v>
                </c:pt>
                <c:pt idx="96">
                  <c:v>3.1339999999999999</c:v>
                </c:pt>
                <c:pt idx="97">
                  <c:v>3.101</c:v>
                </c:pt>
                <c:pt idx="98">
                  <c:v>3.17</c:v>
                </c:pt>
                <c:pt idx="99">
                  <c:v>3.117</c:v>
                </c:pt>
                <c:pt idx="100">
                  <c:v>3.11</c:v>
                </c:pt>
                <c:pt idx="101">
                  <c:v>3.0609999999999999</c:v>
                </c:pt>
                <c:pt idx="102">
                  <c:v>3.0870000000000002</c:v>
                </c:pt>
                <c:pt idx="103">
                  <c:v>3.0630000000000002</c:v>
                </c:pt>
                <c:pt idx="104">
                  <c:v>3.0640000000000001</c:v>
                </c:pt>
                <c:pt idx="105">
                  <c:v>3.1160000000000001</c:v>
                </c:pt>
                <c:pt idx="106">
                  <c:v>3.1240000000000001</c:v>
                </c:pt>
                <c:pt idx="107">
                  <c:v>3.1480000000000001</c:v>
                </c:pt>
                <c:pt idx="108">
                  <c:v>3.141</c:v>
                </c:pt>
                <c:pt idx="109">
                  <c:v>3.1320000000000001</c:v>
                </c:pt>
                <c:pt idx="110">
                  <c:v>3.1669999999999998</c:v>
                </c:pt>
                <c:pt idx="111">
                  <c:v>3.1579999999999999</c:v>
                </c:pt>
                <c:pt idx="112">
                  <c:v>3.0990000000000002</c:v>
                </c:pt>
                <c:pt idx="113">
                  <c:v>3.0619999999999998</c:v>
                </c:pt>
                <c:pt idx="114">
                  <c:v>3.0910000000000002</c:v>
                </c:pt>
                <c:pt idx="115">
                  <c:v>3.1749999999999998</c:v>
                </c:pt>
                <c:pt idx="116">
                  <c:v>3.1579999999999999</c:v>
                </c:pt>
                <c:pt idx="117">
                  <c:v>3.1680000000000001</c:v>
                </c:pt>
                <c:pt idx="118">
                  <c:v>3.1930000000000001</c:v>
                </c:pt>
                <c:pt idx="119">
                  <c:v>3.2149999999999999</c:v>
                </c:pt>
                <c:pt idx="120">
                  <c:v>3.2</c:v>
                </c:pt>
                <c:pt idx="121">
                  <c:v>3.1829999999999998</c:v>
                </c:pt>
                <c:pt idx="122">
                  <c:v>3.161</c:v>
                </c:pt>
                <c:pt idx="123">
                  <c:v>3.173</c:v>
                </c:pt>
                <c:pt idx="124">
                  <c:v>3.125</c:v>
                </c:pt>
                <c:pt idx="125">
                  <c:v>3.0939999999999999</c:v>
                </c:pt>
                <c:pt idx="126">
                  <c:v>3.101</c:v>
                </c:pt>
                <c:pt idx="127">
                  <c:v>3.1419999999999999</c:v>
                </c:pt>
                <c:pt idx="128">
                  <c:v>3.089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4057-4998-86F3-8FB131D0D559}"/>
            </c:ext>
          </c:extLst>
        </c:ser>
        <c:dLbls>
          <c:showLegendKey val="0"/>
          <c:showVal val="0"/>
          <c:showCatName val="0"/>
          <c:showSerName val="0"/>
          <c:showPercent val="0"/>
          <c:showBubbleSize val="0"/>
        </c:dLbls>
        <c:smooth val="0"/>
        <c:axId val="833444448"/>
        <c:axId val="833453568"/>
      </c:lineChart>
      <c:dateAx>
        <c:axId val="833444448"/>
        <c:scaling>
          <c:orientation val="minMax"/>
        </c:scaling>
        <c:delete val="0"/>
        <c:axPos val="b"/>
        <c:numFmt formatCode="dd\-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833453568"/>
        <c:crosses val="autoZero"/>
        <c:auto val="0"/>
        <c:lblOffset val="100"/>
        <c:baseTimeUnit val="days"/>
        <c:majorUnit val="1"/>
        <c:majorTimeUnit val="months"/>
        <c:minorUnit val="1"/>
        <c:minorTimeUnit val="days"/>
      </c:dateAx>
      <c:valAx>
        <c:axId val="833453568"/>
        <c:scaling>
          <c:orientation val="minMax"/>
          <c:max val="3.5"/>
          <c:min val="2.5"/>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833444448"/>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Semi Annual">
      <a:dk1>
        <a:sysClr val="windowText" lastClr="000000"/>
      </a:dk1>
      <a:lt1>
        <a:sysClr val="window" lastClr="FFFFFF"/>
      </a:lt1>
      <a:dk2>
        <a:srgbClr val="44546A"/>
      </a:dk2>
      <a:lt2>
        <a:srgbClr val="E7E6E6"/>
      </a:lt2>
      <a:accent1>
        <a:srgbClr val="034EA2"/>
      </a:accent1>
      <a:accent2>
        <a:srgbClr val="70AD47"/>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F58E2EF54E454EA52B55214ED8DE92" ma:contentTypeVersion="17" ma:contentTypeDescription="Create a new document." ma:contentTypeScope="" ma:versionID="9414361dd0de931eabf26d748330bcb9">
  <xsd:schema xmlns:xsd="http://www.w3.org/2001/XMLSchema" xmlns:xs="http://www.w3.org/2001/XMLSchema" xmlns:p="http://schemas.microsoft.com/office/2006/metadata/properties" xmlns:ns2="f34d8b02-ef1e-468a-baea-6b8502d30466" xmlns:ns3="5641df17-ff07-4a01-b99c-e2ec37129fd4" targetNamespace="http://schemas.microsoft.com/office/2006/metadata/properties" ma:root="true" ma:fieldsID="29273953bb227b499625c31d9cf91650" ns2:_="" ns3:_="">
    <xsd:import namespace="f34d8b02-ef1e-468a-baea-6b8502d30466"/>
    <xsd:import namespace="5641df17-ff07-4a01-b99c-e2ec37129f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ARESnumber" minOccurs="0"/>
                <xsd:element ref="ns2:lcf76f155ced4ddcb4097134ff3c332f"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Unit" minOccurs="0"/>
                <xsd:element ref="ns2:MediaServiceSearchProperties" minOccurs="0"/>
                <xsd:element ref="ns2:Printed" minOccurs="0"/>
                <xsd:element ref="ns2:Pri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4d8b02-ef1e-468a-baea-6b8502d304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ARESnumber" ma:index="12" nillable="true" ma:displayName="ARES number" ma:format="Dropdown" ma:internalName="ARESnumber">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Unit" ma:index="20" nillable="true" ma:displayName="Unit" ma:format="Dropdown" ma:internalName="Unit">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Printed" ma:index="22" nillable="true" ma:displayName="Printed" ma:default="0" ma:format="Dropdown" ma:internalName="Printed">
      <xsd:simpleType>
        <xsd:restriction base="dms:Boolean"/>
      </xsd:simpleType>
    </xsd:element>
    <xsd:element name="Print" ma:index="23" nillable="true" ma:displayName="Print" ma:default="0" ma:description="File for printing" ma:format="Dropdown" ma:internalName="Pri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641df17-ff07-4a01-b99c-e2ec37129f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4d8b02-ef1e-468a-baea-6b8502d30466">
      <Terms xmlns="http://schemas.microsoft.com/office/infopath/2007/PartnerControls"/>
    </lcf76f155ced4ddcb4097134ff3c332f>
    <Unit xmlns="f34d8b02-ef1e-468a-baea-6b8502d30466" xsi:nil="true"/>
    <ARESnumber xmlns="f34d8b02-ef1e-468a-baea-6b8502d30466" xsi:nil="true"/>
    <Printed xmlns="f34d8b02-ef1e-468a-baea-6b8502d30466">false</Printed>
    <Print xmlns="f34d8b02-ef1e-468a-baea-6b8502d30466">false</Prin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E1EB6-4D50-425D-9BED-4E5F5D66E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4d8b02-ef1e-468a-baea-6b8502d30466"/>
    <ds:schemaRef ds:uri="5641df17-ff07-4a01-b99c-e2ec37129f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A94C4-E85F-4C7D-86AE-AE48CDBB8582}">
  <ds:schemaRefs>
    <ds:schemaRef ds:uri="http://schemas.microsoft.com/sharepoint/v3/contenttype/forms"/>
  </ds:schemaRefs>
</ds:datastoreItem>
</file>

<file path=customXml/itemProps3.xml><?xml version="1.0" encoding="utf-8"?>
<ds:datastoreItem xmlns:ds="http://schemas.openxmlformats.org/officeDocument/2006/customXml" ds:itemID="{1DDD84AA-26DF-44BD-B729-4DCED448F13E}">
  <ds:schemaRefs>
    <ds:schemaRef ds:uri="http://schemas.microsoft.com/office/2006/metadata/properties"/>
    <ds:schemaRef ds:uri="http://schemas.microsoft.com/office/infopath/2007/PartnerControls"/>
    <ds:schemaRef ds:uri="f34d8b02-ef1e-468a-baea-6b8502d30466"/>
  </ds:schemaRefs>
</ds:datastoreItem>
</file>

<file path=customXml/itemProps4.xml><?xml version="1.0" encoding="utf-8"?>
<ds:datastoreItem xmlns:ds="http://schemas.openxmlformats.org/officeDocument/2006/customXml" ds:itemID="{1E511903-3796-418F-8EDB-F7728A63C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13</Pages>
  <Words>5458</Words>
  <Characters>31114</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36500</CharactersWithSpaces>
  <SharedDoc>false</SharedDoc>
  <HLinks>
    <vt:vector size="96" baseType="variant">
      <vt:variant>
        <vt:i4>7667806</vt:i4>
      </vt:variant>
      <vt:variant>
        <vt:i4>51</vt:i4>
      </vt:variant>
      <vt:variant>
        <vt:i4>0</vt:i4>
      </vt:variant>
      <vt:variant>
        <vt:i4>5</vt:i4>
      </vt:variant>
      <vt:variant>
        <vt:lpwstr>https://commission.europa.eu/document/download/abdee617-a078-4ee3-a3ec-20c7d32725b5_en?filename=NextGenerationEU%20Green%20Bonds%20Allocation%20and%20Impact%20Report%202024.pdf</vt:lpwstr>
      </vt:variant>
      <vt:variant>
        <vt:lpwstr/>
      </vt:variant>
      <vt:variant>
        <vt:i4>7667806</vt:i4>
      </vt:variant>
      <vt:variant>
        <vt:i4>48</vt:i4>
      </vt:variant>
      <vt:variant>
        <vt:i4>0</vt:i4>
      </vt:variant>
      <vt:variant>
        <vt:i4>5</vt:i4>
      </vt:variant>
      <vt:variant>
        <vt:lpwstr>https://commission.europa.eu/document/download/abdee617-a078-4ee3-a3ec-20c7d32725b5_en?filename=NextGenerationEU%20Green%20Bonds%20Allocation%20and%20Impact%20Report%202024.pdf</vt:lpwstr>
      </vt:variant>
      <vt:variant>
        <vt:lpwstr/>
      </vt:variant>
      <vt:variant>
        <vt:i4>1441847</vt:i4>
      </vt:variant>
      <vt:variant>
        <vt:i4>38</vt:i4>
      </vt:variant>
      <vt:variant>
        <vt:i4>0</vt:i4>
      </vt:variant>
      <vt:variant>
        <vt:i4>5</vt:i4>
      </vt:variant>
      <vt:variant>
        <vt:lpwstr/>
      </vt:variant>
      <vt:variant>
        <vt:lpwstr>_Toc190904653</vt:lpwstr>
      </vt:variant>
      <vt:variant>
        <vt:i4>1441847</vt:i4>
      </vt:variant>
      <vt:variant>
        <vt:i4>32</vt:i4>
      </vt:variant>
      <vt:variant>
        <vt:i4>0</vt:i4>
      </vt:variant>
      <vt:variant>
        <vt:i4>5</vt:i4>
      </vt:variant>
      <vt:variant>
        <vt:lpwstr/>
      </vt:variant>
      <vt:variant>
        <vt:lpwstr>_Toc190904651</vt:lpwstr>
      </vt:variant>
      <vt:variant>
        <vt:i4>1441847</vt:i4>
      </vt:variant>
      <vt:variant>
        <vt:i4>26</vt:i4>
      </vt:variant>
      <vt:variant>
        <vt:i4>0</vt:i4>
      </vt:variant>
      <vt:variant>
        <vt:i4>5</vt:i4>
      </vt:variant>
      <vt:variant>
        <vt:lpwstr/>
      </vt:variant>
      <vt:variant>
        <vt:lpwstr>_Toc190904650</vt:lpwstr>
      </vt:variant>
      <vt:variant>
        <vt:i4>1507383</vt:i4>
      </vt:variant>
      <vt:variant>
        <vt:i4>20</vt:i4>
      </vt:variant>
      <vt:variant>
        <vt:i4>0</vt:i4>
      </vt:variant>
      <vt:variant>
        <vt:i4>5</vt:i4>
      </vt:variant>
      <vt:variant>
        <vt:lpwstr/>
      </vt:variant>
      <vt:variant>
        <vt:lpwstr>_Toc190904647</vt:lpwstr>
      </vt:variant>
      <vt:variant>
        <vt:i4>1507383</vt:i4>
      </vt:variant>
      <vt:variant>
        <vt:i4>14</vt:i4>
      </vt:variant>
      <vt:variant>
        <vt:i4>0</vt:i4>
      </vt:variant>
      <vt:variant>
        <vt:i4>5</vt:i4>
      </vt:variant>
      <vt:variant>
        <vt:lpwstr/>
      </vt:variant>
      <vt:variant>
        <vt:lpwstr>_Toc190904643</vt:lpwstr>
      </vt:variant>
      <vt:variant>
        <vt:i4>1507383</vt:i4>
      </vt:variant>
      <vt:variant>
        <vt:i4>8</vt:i4>
      </vt:variant>
      <vt:variant>
        <vt:i4>0</vt:i4>
      </vt:variant>
      <vt:variant>
        <vt:i4>5</vt:i4>
      </vt:variant>
      <vt:variant>
        <vt:lpwstr/>
      </vt:variant>
      <vt:variant>
        <vt:lpwstr>_Toc190904642</vt:lpwstr>
      </vt:variant>
      <vt:variant>
        <vt:i4>1507383</vt:i4>
      </vt:variant>
      <vt:variant>
        <vt:i4>2</vt:i4>
      </vt:variant>
      <vt:variant>
        <vt:i4>0</vt:i4>
      </vt:variant>
      <vt:variant>
        <vt:i4>5</vt:i4>
      </vt:variant>
      <vt:variant>
        <vt:lpwstr/>
      </vt:variant>
      <vt:variant>
        <vt:lpwstr>_Toc190904641</vt:lpwstr>
      </vt:variant>
      <vt:variant>
        <vt:i4>2097171</vt:i4>
      </vt:variant>
      <vt:variant>
        <vt:i4>18</vt:i4>
      </vt:variant>
      <vt:variant>
        <vt:i4>0</vt:i4>
      </vt:variant>
      <vt:variant>
        <vt:i4>5</vt:i4>
      </vt:variant>
      <vt:variant>
        <vt:lpwstr>https://commission.europa.eu/strategy-and-policy/eu-budget/eu-borrower-investor-relations/nextgenerationeu-green-bonds/dashboard_en</vt:lpwstr>
      </vt:variant>
      <vt:variant>
        <vt:lpwstr/>
      </vt:variant>
      <vt:variant>
        <vt:i4>7143527</vt:i4>
      </vt:variant>
      <vt:variant>
        <vt:i4>15</vt:i4>
      </vt:variant>
      <vt:variant>
        <vt:i4>0</vt:i4>
      </vt:variant>
      <vt:variant>
        <vt:i4>5</vt:i4>
      </vt:variant>
      <vt:variant>
        <vt:lpwstr>https://commission.europa.eu/system/files/2023-07/Fourth half-yearly report on the execution of the EU borrowing and lending operations.PDF</vt:lpwstr>
      </vt:variant>
      <vt:variant>
        <vt:lpwstr/>
      </vt:variant>
      <vt:variant>
        <vt:i4>7143426</vt:i4>
      </vt:variant>
      <vt:variant>
        <vt:i4>12</vt:i4>
      </vt:variant>
      <vt:variant>
        <vt:i4>0</vt:i4>
      </vt:variant>
      <vt:variant>
        <vt:i4>5</vt:i4>
      </vt:variant>
      <vt:variant>
        <vt:lpwstr>https://www.eca.europa.eu/Lists/ECAReplies/COM-Replies-SR-2023-16/COM-Replies-SR-2023-16_EN.pdf</vt:lpwstr>
      </vt:variant>
      <vt:variant>
        <vt:lpwstr/>
      </vt:variant>
      <vt:variant>
        <vt:i4>4653163</vt:i4>
      </vt:variant>
      <vt:variant>
        <vt:i4>9</vt:i4>
      </vt:variant>
      <vt:variant>
        <vt:i4>0</vt:i4>
      </vt:variant>
      <vt:variant>
        <vt:i4>5</vt:i4>
      </vt:variant>
      <vt:variant>
        <vt:lpwstr>https://www.eca.europa.eu/ECAPublications/SR-2023-16/SR-2023-16_EN.pdf</vt:lpwstr>
      </vt:variant>
      <vt:variant>
        <vt:lpwstr/>
      </vt:variant>
      <vt:variant>
        <vt:i4>7667806</vt:i4>
      </vt:variant>
      <vt:variant>
        <vt:i4>6</vt:i4>
      </vt:variant>
      <vt:variant>
        <vt:i4>0</vt:i4>
      </vt:variant>
      <vt:variant>
        <vt:i4>5</vt:i4>
      </vt:variant>
      <vt:variant>
        <vt:lpwstr>https://commission.europa.eu/document/download/abdee617-a078-4ee3-a3ec-20c7d32725b5_en?filename=NextGenerationEU%20Green%20Bonds%20Allocation%20and%20Impact%20Report%202024.pdf</vt:lpwstr>
      </vt:variant>
      <vt:variant>
        <vt:lpwstr/>
      </vt:variant>
      <vt:variant>
        <vt:i4>1179737</vt:i4>
      </vt:variant>
      <vt:variant>
        <vt:i4>3</vt:i4>
      </vt:variant>
      <vt:variant>
        <vt:i4>0</vt:i4>
      </vt:variant>
      <vt:variant>
        <vt:i4>5</vt:i4>
      </vt:variant>
      <vt:variant>
        <vt:lpwstr>https://eur-lex.europa.eu/legal-content/EN/TXT/PDF/?uri=CELEX:52024DC0240</vt:lpwstr>
      </vt:variant>
      <vt:variant>
        <vt:lpwstr/>
      </vt:variant>
      <vt:variant>
        <vt:i4>4653150</vt:i4>
      </vt:variant>
      <vt:variant>
        <vt:i4>0</vt:i4>
      </vt:variant>
      <vt:variant>
        <vt:i4>0</vt:i4>
      </vt:variant>
      <vt:variant>
        <vt:i4>5</vt:i4>
      </vt:variant>
      <vt:variant>
        <vt:lpwstr>https://commission.europa.eu/document/download/187852c2-07e0-4bef-af3f-5719b9077f2e_en?filename=COM_2024_474_1_EN_ACT_part1_v2.pdf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cp:lastPrinted>2026-01-19T11:19:00Z</cp:lastPrinted>
  <dcterms:created xsi:type="dcterms:W3CDTF">2026-03-26T15:48:00Z</dcterms:created>
  <dcterms:modified xsi:type="dcterms:W3CDTF">2026-04-14T08:08:00Z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7.0.1, Build 20200226</vt:lpwstr>
  </property>
  <property fmtid="{D5CDD505-2E9C-101B-9397-08002B2CF9AE}" pid="9" name="MSIP_Label_6bd9ddd1-4d20-43f6-abfa-fc3c07406f94_Enabled">
    <vt:lpwstr>true</vt:lpwstr>
  </property>
  <property fmtid="{D5CDD505-2E9C-101B-9397-08002B2CF9AE}" pid="10" name="MSIP_Label_6bd9ddd1-4d20-43f6-abfa-fc3c07406f94_SetDate">
    <vt:lpwstr>2023-01-06T16:26:08Z</vt:lpwstr>
  </property>
  <property fmtid="{D5CDD505-2E9C-101B-9397-08002B2CF9AE}" pid="11" name="MSIP_Label_6bd9ddd1-4d20-43f6-abfa-fc3c07406f94_Method">
    <vt:lpwstr>Privileged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4805f13c-dee7-466f-8124-a3d55c6ed3fb</vt:lpwstr>
  </property>
  <property fmtid="{D5CDD505-2E9C-101B-9397-08002B2CF9AE}" pid="15" name="MSIP_Label_6bd9ddd1-4d20-43f6-abfa-fc3c07406f94_ContentBits">
    <vt:lpwstr>0</vt:lpwstr>
  </property>
  <property fmtid="{D5CDD505-2E9C-101B-9397-08002B2CF9AE}" pid="16" name="ContentTypeId">
    <vt:lpwstr>0x01010042F58E2EF54E454EA52B55214ED8DE92</vt:lpwstr>
  </property>
  <property fmtid="{D5CDD505-2E9C-101B-9397-08002B2CF9AE}" pid="17" name="_dlc_DocIdItemGuid">
    <vt:lpwstr>db1e2f6f-95af-4d44-836c-7358ec0b13c1</vt:lpwstr>
  </property>
  <property fmtid="{D5CDD505-2E9C-101B-9397-08002B2CF9AE}" pid="18" name="MediaServiceImageTags">
    <vt:lpwstr/>
  </property>
</Properties>
</file>