
<file path=[Content_Types].xml><?xml version="1.0" encoding="utf-8"?>
<Types xmlns="http://schemas.openxmlformats.org/package/2006/content-types">
  <Default Extension="png" ContentType="image/png"/>
  <Default Extension="bin" ContentType="application/vnd.openxmlformats-officedocument.oleObject"/>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893E7" w14:textId="2B249219" w:rsidR="008B6253" w:rsidRPr="001B3164" w:rsidRDefault="00901876" w:rsidP="00901876">
      <w:pPr>
        <w:pStyle w:val="Pagedecouverture"/>
        <w:rPr>
          <w:noProof/>
        </w:rPr>
      </w:pPr>
      <w:bookmarkStart w:id="0" w:name="LW_BM_COVERPAGE"/>
      <w:r>
        <w:rPr>
          <w:noProof/>
        </w:rPr>
        <w:pict w14:anchorId="3F45FC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EBA1951-1B1E-4F7E-8C5E-8ACE460CF026" style="width:455.25pt;height:382.5pt">
            <v:imagedata r:id="rId11" o:title=""/>
          </v:shape>
        </w:pict>
      </w:r>
    </w:p>
    <w:bookmarkEnd w:id="0"/>
    <w:p w14:paraId="492EB121" w14:textId="77777777" w:rsidR="008B6253" w:rsidRPr="001B3164" w:rsidRDefault="008B6253" w:rsidP="008B6253">
      <w:pPr>
        <w:rPr>
          <w:noProof/>
        </w:rPr>
        <w:sectPr w:rsidR="008B6253" w:rsidRPr="001B3164" w:rsidSect="0090187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F4E0FE7" w14:textId="77777777" w:rsidR="008B6253" w:rsidRPr="001B3164" w:rsidRDefault="008B6253" w:rsidP="008B6253">
      <w:pPr>
        <w:pStyle w:val="TOCHeading"/>
        <w:rPr>
          <w:rFonts w:eastAsiaTheme="minorHAnsi"/>
          <w:b w:val="0"/>
          <w:noProof/>
          <w:sz w:val="24"/>
          <w:lang w:val="en-IE"/>
        </w:rPr>
      </w:pPr>
      <w:bookmarkStart w:id="1" w:name="_GoBack"/>
      <w:bookmarkEnd w:id="1"/>
    </w:p>
    <w:sdt>
      <w:sdtPr>
        <w:rPr>
          <w:rFonts w:eastAsiaTheme="minorEastAsia"/>
          <w:b w:val="0"/>
          <w:noProof/>
          <w:sz w:val="24"/>
        </w:rPr>
        <w:id w:val="-874687748"/>
        <w:docPartObj>
          <w:docPartGallery w:val="Table of Contents"/>
          <w:docPartUnique/>
        </w:docPartObj>
      </w:sdtPr>
      <w:sdtEndPr>
        <w:rPr>
          <w:sz w:val="22"/>
          <w:szCs w:val="22"/>
        </w:rPr>
      </w:sdtEndPr>
      <w:sdtContent>
        <w:p w14:paraId="10C4E212" w14:textId="77777777" w:rsidR="008B6253" w:rsidRPr="001B3164" w:rsidRDefault="008B6253" w:rsidP="008B6253">
          <w:pPr>
            <w:pStyle w:val="TOCHeading"/>
            <w:rPr>
              <w:noProof/>
              <w:color w:val="034EA2" w:themeColor="accent1"/>
            </w:rPr>
          </w:pPr>
          <w:r>
            <w:rPr>
              <w:noProof/>
              <w:color w:val="034EA2" w:themeColor="accent1"/>
            </w:rPr>
            <w:t>Cuprins</w:t>
          </w:r>
        </w:p>
        <w:p w14:paraId="5EA99B68" w14:textId="7B0CF23F" w:rsidR="00E55962" w:rsidRDefault="008B6253">
          <w:pPr>
            <w:pStyle w:val="TOC1"/>
            <w:rPr>
              <w:rFonts w:asciiTheme="minorHAnsi" w:eastAsiaTheme="minorEastAsia" w:hAnsiTheme="minorHAnsi" w:cstheme="minorBidi"/>
              <w:noProof/>
              <w:kern w:val="2"/>
              <w:sz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25760803" w:history="1">
            <w:r w:rsidR="00E55962" w:rsidRPr="005F3BAE">
              <w:rPr>
                <w:rStyle w:val="Hyperlink"/>
                <w:noProof/>
              </w:rPr>
              <w:t>1.</w:t>
            </w:r>
            <w:r w:rsidR="00E55962">
              <w:rPr>
                <w:rFonts w:asciiTheme="minorHAnsi" w:eastAsiaTheme="minorEastAsia" w:hAnsiTheme="minorHAnsi" w:cstheme="minorBidi"/>
                <w:noProof/>
                <w:kern w:val="2"/>
                <w:sz w:val="24"/>
                <w:lang w:val="en-IE" w:eastAsia="en-IE"/>
                <w14:ligatures w14:val="standardContextual"/>
              </w:rPr>
              <w:tab/>
            </w:r>
            <w:r w:rsidR="00E55962" w:rsidRPr="005F3BAE">
              <w:rPr>
                <w:rStyle w:val="Hyperlink"/>
                <w:noProof/>
              </w:rPr>
              <w:t>Rezumat</w:t>
            </w:r>
            <w:r w:rsidR="00E55962">
              <w:rPr>
                <w:noProof/>
                <w:webHidden/>
              </w:rPr>
              <w:tab/>
            </w:r>
            <w:r w:rsidR="00E55962">
              <w:rPr>
                <w:noProof/>
                <w:webHidden/>
              </w:rPr>
              <w:fldChar w:fldCharType="begin"/>
            </w:r>
            <w:r w:rsidR="00E55962">
              <w:rPr>
                <w:noProof/>
                <w:webHidden/>
              </w:rPr>
              <w:instrText xml:space="preserve"> PAGEREF _Toc225760803 \h </w:instrText>
            </w:r>
            <w:r w:rsidR="00E55962">
              <w:rPr>
                <w:noProof/>
                <w:webHidden/>
              </w:rPr>
            </w:r>
            <w:r w:rsidR="00E55962">
              <w:rPr>
                <w:noProof/>
                <w:webHidden/>
              </w:rPr>
              <w:fldChar w:fldCharType="separate"/>
            </w:r>
            <w:r w:rsidR="00C5619D">
              <w:rPr>
                <w:noProof/>
                <w:webHidden/>
              </w:rPr>
              <w:t>3</w:t>
            </w:r>
            <w:r w:rsidR="00E55962">
              <w:rPr>
                <w:noProof/>
                <w:webHidden/>
              </w:rPr>
              <w:fldChar w:fldCharType="end"/>
            </w:r>
          </w:hyperlink>
        </w:p>
        <w:p w14:paraId="2BBBBEB2" w14:textId="377E6B50" w:rsidR="00E55962" w:rsidRDefault="00901876">
          <w:pPr>
            <w:pStyle w:val="TOC1"/>
            <w:rPr>
              <w:rFonts w:asciiTheme="minorHAnsi" w:eastAsiaTheme="minorEastAsia" w:hAnsiTheme="minorHAnsi" w:cstheme="minorBidi"/>
              <w:noProof/>
              <w:kern w:val="2"/>
              <w:sz w:val="24"/>
              <w:lang w:val="en-IE" w:eastAsia="en-IE"/>
              <w14:ligatures w14:val="standardContextual"/>
            </w:rPr>
          </w:pPr>
          <w:hyperlink w:anchor="_Toc225760804" w:history="1">
            <w:r w:rsidR="00E55962" w:rsidRPr="005F3BAE">
              <w:rPr>
                <w:rStyle w:val="Hyperlink"/>
                <w:noProof/>
              </w:rPr>
              <w:t>2.</w:t>
            </w:r>
            <w:r w:rsidR="00E55962">
              <w:rPr>
                <w:rFonts w:asciiTheme="minorHAnsi" w:eastAsiaTheme="minorEastAsia" w:hAnsiTheme="minorHAnsi" w:cstheme="minorBidi"/>
                <w:noProof/>
                <w:kern w:val="2"/>
                <w:sz w:val="24"/>
                <w:lang w:val="en-IE" w:eastAsia="en-IE"/>
                <w14:ligatures w14:val="standardContextual"/>
              </w:rPr>
              <w:tab/>
            </w:r>
            <w:r w:rsidR="00E55962" w:rsidRPr="005F3BAE">
              <w:rPr>
                <w:rStyle w:val="Hyperlink"/>
                <w:noProof/>
              </w:rPr>
              <w:t>Introducere</w:t>
            </w:r>
            <w:r w:rsidR="00E55962">
              <w:rPr>
                <w:noProof/>
                <w:webHidden/>
              </w:rPr>
              <w:tab/>
            </w:r>
            <w:r w:rsidR="00E55962">
              <w:rPr>
                <w:noProof/>
                <w:webHidden/>
              </w:rPr>
              <w:fldChar w:fldCharType="begin"/>
            </w:r>
            <w:r w:rsidR="00E55962">
              <w:rPr>
                <w:noProof/>
                <w:webHidden/>
              </w:rPr>
              <w:instrText xml:space="preserve"> PAGEREF _Toc225760804 \h </w:instrText>
            </w:r>
            <w:r w:rsidR="00E55962">
              <w:rPr>
                <w:noProof/>
                <w:webHidden/>
              </w:rPr>
            </w:r>
            <w:r w:rsidR="00E55962">
              <w:rPr>
                <w:noProof/>
                <w:webHidden/>
              </w:rPr>
              <w:fldChar w:fldCharType="separate"/>
            </w:r>
            <w:r w:rsidR="00C5619D">
              <w:rPr>
                <w:noProof/>
                <w:webHidden/>
              </w:rPr>
              <w:t>4</w:t>
            </w:r>
            <w:r w:rsidR="00E55962">
              <w:rPr>
                <w:noProof/>
                <w:webHidden/>
              </w:rPr>
              <w:fldChar w:fldCharType="end"/>
            </w:r>
          </w:hyperlink>
        </w:p>
        <w:p w14:paraId="5C8F8B4E" w14:textId="3DFC68CD" w:rsidR="00E55962" w:rsidRDefault="00901876">
          <w:pPr>
            <w:pStyle w:val="TOC1"/>
            <w:rPr>
              <w:rFonts w:asciiTheme="minorHAnsi" w:eastAsiaTheme="minorEastAsia" w:hAnsiTheme="minorHAnsi" w:cstheme="minorBidi"/>
              <w:noProof/>
              <w:kern w:val="2"/>
              <w:sz w:val="24"/>
              <w:lang w:val="en-IE" w:eastAsia="en-IE"/>
              <w14:ligatures w14:val="standardContextual"/>
            </w:rPr>
          </w:pPr>
          <w:hyperlink w:anchor="_Toc225760805" w:history="1">
            <w:r w:rsidR="00E55962" w:rsidRPr="005F3BAE">
              <w:rPr>
                <w:rStyle w:val="Hyperlink"/>
                <w:noProof/>
              </w:rPr>
              <w:t>3.</w:t>
            </w:r>
            <w:r w:rsidR="00E55962">
              <w:rPr>
                <w:rFonts w:asciiTheme="minorHAnsi" w:eastAsiaTheme="minorEastAsia" w:hAnsiTheme="minorHAnsi" w:cstheme="minorBidi"/>
                <w:noProof/>
                <w:kern w:val="2"/>
                <w:sz w:val="24"/>
                <w:lang w:val="en-IE" w:eastAsia="en-IE"/>
                <w14:ligatures w14:val="standardContextual"/>
              </w:rPr>
              <w:tab/>
            </w:r>
            <w:r w:rsidR="00E55962" w:rsidRPr="005F3BAE">
              <w:rPr>
                <w:rStyle w:val="Hyperlink"/>
                <w:noProof/>
              </w:rPr>
              <w:t>Realizarea operațiunilor de împrumut în al doilea semestru al anului 2025</w:t>
            </w:r>
            <w:r w:rsidR="00E55962">
              <w:rPr>
                <w:noProof/>
                <w:webHidden/>
              </w:rPr>
              <w:tab/>
            </w:r>
            <w:r w:rsidR="00E55962">
              <w:rPr>
                <w:noProof/>
                <w:webHidden/>
              </w:rPr>
              <w:fldChar w:fldCharType="begin"/>
            </w:r>
            <w:r w:rsidR="00E55962">
              <w:rPr>
                <w:noProof/>
                <w:webHidden/>
              </w:rPr>
              <w:instrText xml:space="preserve"> PAGEREF _Toc225760805 \h </w:instrText>
            </w:r>
            <w:r w:rsidR="00E55962">
              <w:rPr>
                <w:noProof/>
                <w:webHidden/>
              </w:rPr>
            </w:r>
            <w:r w:rsidR="00E55962">
              <w:rPr>
                <w:noProof/>
                <w:webHidden/>
              </w:rPr>
              <w:fldChar w:fldCharType="separate"/>
            </w:r>
            <w:r w:rsidR="00C5619D">
              <w:rPr>
                <w:noProof/>
                <w:webHidden/>
              </w:rPr>
              <w:t>5</w:t>
            </w:r>
            <w:r w:rsidR="00E55962">
              <w:rPr>
                <w:noProof/>
                <w:webHidden/>
              </w:rPr>
              <w:fldChar w:fldCharType="end"/>
            </w:r>
          </w:hyperlink>
        </w:p>
        <w:p w14:paraId="33B99601" w14:textId="6E11B081" w:rsidR="00E55962" w:rsidRDefault="00901876">
          <w:pPr>
            <w:pStyle w:val="TOC1"/>
            <w:rPr>
              <w:rFonts w:asciiTheme="minorHAnsi" w:eastAsiaTheme="minorEastAsia" w:hAnsiTheme="minorHAnsi" w:cstheme="minorBidi"/>
              <w:noProof/>
              <w:kern w:val="2"/>
              <w:sz w:val="24"/>
              <w:lang w:val="en-IE" w:eastAsia="en-IE"/>
              <w14:ligatures w14:val="standardContextual"/>
            </w:rPr>
          </w:pPr>
          <w:hyperlink w:anchor="_Toc225760810" w:history="1">
            <w:r w:rsidR="00E55962" w:rsidRPr="005F3BAE">
              <w:rPr>
                <w:rStyle w:val="Hyperlink"/>
                <w:noProof/>
              </w:rPr>
              <w:t>4.</w:t>
            </w:r>
            <w:r w:rsidR="00E55962">
              <w:rPr>
                <w:rFonts w:asciiTheme="minorHAnsi" w:eastAsiaTheme="minorEastAsia" w:hAnsiTheme="minorHAnsi" w:cstheme="minorBidi"/>
                <w:noProof/>
                <w:kern w:val="2"/>
                <w:sz w:val="24"/>
                <w:lang w:val="en-IE" w:eastAsia="en-IE"/>
                <w14:ligatures w14:val="standardContextual"/>
              </w:rPr>
              <w:tab/>
            </w:r>
            <w:r w:rsidR="00E55962" w:rsidRPr="005F3BAE">
              <w:rPr>
                <w:rStyle w:val="Hyperlink"/>
                <w:noProof/>
              </w:rPr>
              <w:t>Costul finanțării și costurile de administrare a lichidității</w:t>
            </w:r>
            <w:r w:rsidR="00E55962">
              <w:rPr>
                <w:noProof/>
                <w:webHidden/>
              </w:rPr>
              <w:tab/>
            </w:r>
            <w:r w:rsidR="00E55962">
              <w:rPr>
                <w:noProof/>
                <w:webHidden/>
              </w:rPr>
              <w:fldChar w:fldCharType="begin"/>
            </w:r>
            <w:r w:rsidR="00E55962">
              <w:rPr>
                <w:noProof/>
                <w:webHidden/>
              </w:rPr>
              <w:instrText xml:space="preserve"> PAGEREF _Toc225760810 \h </w:instrText>
            </w:r>
            <w:r w:rsidR="00E55962">
              <w:rPr>
                <w:noProof/>
                <w:webHidden/>
              </w:rPr>
            </w:r>
            <w:r w:rsidR="00E55962">
              <w:rPr>
                <w:noProof/>
                <w:webHidden/>
              </w:rPr>
              <w:fldChar w:fldCharType="separate"/>
            </w:r>
            <w:r w:rsidR="00C5619D">
              <w:rPr>
                <w:noProof/>
                <w:webHidden/>
              </w:rPr>
              <w:t>10</w:t>
            </w:r>
            <w:r w:rsidR="00E55962">
              <w:rPr>
                <w:noProof/>
                <w:webHidden/>
              </w:rPr>
              <w:fldChar w:fldCharType="end"/>
            </w:r>
          </w:hyperlink>
        </w:p>
        <w:p w14:paraId="267C5708" w14:textId="5CC86082" w:rsidR="00E55962" w:rsidRDefault="00901876">
          <w:pPr>
            <w:pStyle w:val="TOC1"/>
            <w:rPr>
              <w:rFonts w:asciiTheme="minorHAnsi" w:eastAsiaTheme="minorEastAsia" w:hAnsiTheme="minorHAnsi" w:cstheme="minorBidi"/>
              <w:noProof/>
              <w:kern w:val="2"/>
              <w:sz w:val="24"/>
              <w:lang w:val="en-IE" w:eastAsia="en-IE"/>
              <w14:ligatures w14:val="standardContextual"/>
            </w:rPr>
          </w:pPr>
          <w:hyperlink w:anchor="_Toc225760813" w:history="1">
            <w:r w:rsidR="00E55962" w:rsidRPr="005F3BAE">
              <w:rPr>
                <w:rStyle w:val="Hyperlink"/>
                <w:noProof/>
              </w:rPr>
              <w:t>5.</w:t>
            </w:r>
            <w:r w:rsidR="00E55962">
              <w:rPr>
                <w:rFonts w:asciiTheme="minorHAnsi" w:eastAsiaTheme="minorEastAsia" w:hAnsiTheme="minorHAnsi" w:cstheme="minorBidi"/>
                <w:noProof/>
                <w:kern w:val="2"/>
                <w:sz w:val="24"/>
                <w:lang w:val="en-IE" w:eastAsia="en-IE"/>
                <w14:ligatures w14:val="standardContextual"/>
              </w:rPr>
              <w:tab/>
            </w:r>
            <w:r w:rsidR="00E55962" w:rsidRPr="005F3BAE">
              <w:rPr>
                <w:rStyle w:val="Hyperlink"/>
                <w:noProof/>
              </w:rPr>
              <w:t>Alte jaloane aferente celui de-al doilea semestru al anului 2025</w:t>
            </w:r>
            <w:r w:rsidR="00E55962">
              <w:rPr>
                <w:noProof/>
                <w:webHidden/>
              </w:rPr>
              <w:tab/>
            </w:r>
            <w:r w:rsidR="00E55962">
              <w:rPr>
                <w:noProof/>
                <w:webHidden/>
              </w:rPr>
              <w:fldChar w:fldCharType="begin"/>
            </w:r>
            <w:r w:rsidR="00E55962">
              <w:rPr>
                <w:noProof/>
                <w:webHidden/>
              </w:rPr>
              <w:instrText xml:space="preserve"> PAGEREF _Toc225760813 \h </w:instrText>
            </w:r>
            <w:r w:rsidR="00E55962">
              <w:rPr>
                <w:noProof/>
                <w:webHidden/>
              </w:rPr>
            </w:r>
            <w:r w:rsidR="00E55962">
              <w:rPr>
                <w:noProof/>
                <w:webHidden/>
              </w:rPr>
              <w:fldChar w:fldCharType="separate"/>
            </w:r>
            <w:r w:rsidR="00C5619D">
              <w:rPr>
                <w:noProof/>
                <w:webHidden/>
              </w:rPr>
              <w:t>12</w:t>
            </w:r>
            <w:r w:rsidR="00E55962">
              <w:rPr>
                <w:noProof/>
                <w:webHidden/>
              </w:rPr>
              <w:fldChar w:fldCharType="end"/>
            </w:r>
          </w:hyperlink>
        </w:p>
        <w:p w14:paraId="0B23A760" w14:textId="5010EA2F" w:rsidR="00E55962" w:rsidRDefault="00901876">
          <w:pPr>
            <w:pStyle w:val="TOC1"/>
            <w:rPr>
              <w:rFonts w:asciiTheme="minorHAnsi" w:eastAsiaTheme="minorEastAsia" w:hAnsiTheme="minorHAnsi" w:cstheme="minorBidi"/>
              <w:noProof/>
              <w:kern w:val="2"/>
              <w:sz w:val="24"/>
              <w:lang w:val="en-IE" w:eastAsia="en-IE"/>
              <w14:ligatures w14:val="standardContextual"/>
            </w:rPr>
          </w:pPr>
          <w:hyperlink w:anchor="_Toc225760814" w:history="1">
            <w:r w:rsidR="00E55962" w:rsidRPr="005F3BAE">
              <w:rPr>
                <w:rStyle w:val="Hyperlink"/>
                <w:noProof/>
              </w:rPr>
              <w:t>6.</w:t>
            </w:r>
            <w:r w:rsidR="00E55962">
              <w:rPr>
                <w:rFonts w:asciiTheme="minorHAnsi" w:eastAsiaTheme="minorEastAsia" w:hAnsiTheme="minorHAnsi" w:cstheme="minorBidi"/>
                <w:noProof/>
                <w:kern w:val="2"/>
                <w:sz w:val="24"/>
                <w:lang w:val="en-IE" w:eastAsia="en-IE"/>
                <w14:ligatures w14:val="standardContextual"/>
              </w:rPr>
              <w:tab/>
            </w:r>
            <w:r w:rsidR="00E55962" w:rsidRPr="005F3BAE">
              <w:rPr>
                <w:rStyle w:val="Hyperlink"/>
                <w:noProof/>
              </w:rPr>
              <w:t>Perspectiva privind emisiunile pentru primul semestru al anului 2026</w:t>
            </w:r>
            <w:r w:rsidR="00E55962">
              <w:rPr>
                <w:noProof/>
                <w:webHidden/>
              </w:rPr>
              <w:tab/>
            </w:r>
            <w:r w:rsidR="00E55962">
              <w:rPr>
                <w:noProof/>
                <w:webHidden/>
              </w:rPr>
              <w:fldChar w:fldCharType="begin"/>
            </w:r>
            <w:r w:rsidR="00E55962">
              <w:rPr>
                <w:noProof/>
                <w:webHidden/>
              </w:rPr>
              <w:instrText xml:space="preserve"> PAGEREF _Toc225760814 \h </w:instrText>
            </w:r>
            <w:r w:rsidR="00E55962">
              <w:rPr>
                <w:noProof/>
                <w:webHidden/>
              </w:rPr>
            </w:r>
            <w:r w:rsidR="00E55962">
              <w:rPr>
                <w:noProof/>
                <w:webHidden/>
              </w:rPr>
              <w:fldChar w:fldCharType="separate"/>
            </w:r>
            <w:r w:rsidR="00C5619D">
              <w:rPr>
                <w:noProof/>
                <w:webHidden/>
              </w:rPr>
              <w:t>12</w:t>
            </w:r>
            <w:r w:rsidR="00E55962">
              <w:rPr>
                <w:noProof/>
                <w:webHidden/>
              </w:rPr>
              <w:fldChar w:fldCharType="end"/>
            </w:r>
          </w:hyperlink>
        </w:p>
        <w:p w14:paraId="67FF848D" w14:textId="71D8BCB4" w:rsidR="008B6253" w:rsidRPr="001B3164" w:rsidRDefault="008B6253" w:rsidP="008B6253">
          <w:pPr>
            <w:rPr>
              <w:noProof/>
            </w:rPr>
          </w:pPr>
          <w:r>
            <w:rPr>
              <w:b/>
              <w:noProof/>
            </w:rPr>
            <w:fldChar w:fldCharType="end"/>
          </w:r>
        </w:p>
      </w:sdtContent>
    </w:sdt>
    <w:p w14:paraId="508CF8A7" w14:textId="77777777" w:rsidR="008B6253" w:rsidRPr="001B3164" w:rsidRDefault="008B6253" w:rsidP="008B6253">
      <w:pPr>
        <w:rPr>
          <w:noProof/>
        </w:rPr>
      </w:pPr>
    </w:p>
    <w:p w14:paraId="4B2BF9EE" w14:textId="77777777" w:rsidR="008B6253" w:rsidRPr="001B3164" w:rsidRDefault="008B6253" w:rsidP="008B6253">
      <w:pPr>
        <w:rPr>
          <w:noProof/>
          <w:u w:val="single"/>
        </w:rPr>
        <w:sectPr w:rsidR="008B6253" w:rsidRPr="001B3164" w:rsidSect="008B6253">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60"/>
        </w:sectPr>
      </w:pPr>
    </w:p>
    <w:p w14:paraId="2FAA58D2" w14:textId="5510A326" w:rsidR="00DE46C8" w:rsidRPr="001B3164" w:rsidRDefault="00901876" w:rsidP="003A72E2">
      <w:pPr>
        <w:spacing w:line="259" w:lineRule="auto"/>
        <w:jc w:val="left"/>
        <w:rPr>
          <w:rFonts w:cstheme="minorBidi"/>
          <w:b/>
          <w:bCs/>
          <w:noProof/>
          <w:color w:val="44546A" w:themeColor="text2"/>
          <w:sz w:val="28"/>
          <w:szCs w:val="28"/>
        </w:rPr>
      </w:pPr>
      <w:bookmarkStart w:id="2" w:name="infographic"/>
      <w:r>
        <w:rPr>
          <w:noProof/>
        </w:rPr>
        <w:pict w14:anchorId="170C4D2F">
          <v:rect id="Rectangle 26" o:spid="_x0000_s2147" style="position:absolute;margin-left:0;margin-top:23.35pt;width:3in;height:135.3pt;z-index:-251661313;visibility:visible;mso-width-relative:margin;mso-height-relative:margin;v-text-anchor:middle" fillcolor="#f5f5f5" stroked="f" strokeweight="1pt"/>
        </w:pict>
      </w:r>
      <w:r>
        <w:rPr>
          <w:rFonts w:asciiTheme="minorHAnsi" w:hAnsiTheme="minorHAnsi"/>
          <w:noProof/>
        </w:rPr>
        <w:pict w14:anchorId="6DD4C812">
          <v:rect id="_x0000_s2157" style="position:absolute;margin-left:232.3pt;margin-top:25.6pt;width:219.25pt;height:135.3pt;z-index:-2516582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" fillcolor="#f5f5f5" stroked="f" strokeweight="1pt"/>
        </w:pict>
      </w:r>
      <w:r w:rsidR="00F03A68">
        <w:rPr>
          <w:b/>
          <w:noProof/>
          <w:color w:val="44546A" w:themeColor="text2"/>
          <w:sz w:val="28"/>
        </w:rPr>
        <w:t>FINANȚAREA MOBILIZATĂ ÎN AL DOILEA SEMESTRU AL ANULUI 2025</w:t>
      </w:r>
    </w:p>
    <w:p w14:paraId="351E3EF7" w14:textId="0164B470" w:rsidR="00DE46C8" w:rsidRPr="001B3164" w:rsidRDefault="00901876" w:rsidP="008D45F1">
      <w:pPr>
        <w:spacing w:after="0" w:line="259" w:lineRule="auto"/>
        <w:jc w:val="left"/>
        <w:rPr>
          <w:rFonts w:asciiTheme="minorHAnsi" w:hAnsiTheme="minorHAnsi" w:cstheme="minorBidi"/>
          <w:noProof/>
          <w:szCs w:val="22"/>
        </w:rPr>
      </w:pPr>
      <w:r>
        <w:rPr>
          <w:b/>
          <w:noProof/>
          <w:color w:val="44546A" w:themeColor="text2"/>
          <w:sz w:val="28"/>
        </w:rPr>
        <w:pict w14:anchorId="4DF9B441">
          <v:shapetype id="_x0000_t202" coordsize="21600,21600" o:spt="202" path="m,l,21600r21600,l21600,xe">
            <v:stroke joinstyle="miter"/>
            <v:path gradientshapeok="t" o:connecttype="rect"/>
          </v:shapetype>
          <v:shape id="_x0000_s2158" type="#_x0000_t202" style="position:absolute;margin-left:273pt;margin-top:2.4pt;width:142.75pt;height:68pt;z-index:251658249;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" fillcolor="#f5f5f5" stroked="f">
            <v:textbox style="mso-next-textbox:#_x0000_s2158" inset="0,,0">
              <w:txbxContent>
                <w:p w14:paraId="2F4C9C4F" w14:textId="61BD1CAB" w:rsidR="00DE46C8" w:rsidRDefault="00DE46C8" w:rsidP="00782523">
                  <w:pPr>
                    <w:jc w:val="center"/>
                  </w:pPr>
                  <w:r>
                    <w:rPr>
                      <w:b/>
                      <w:color w:val="44546A" w:themeColor="text2"/>
                      <w:sz w:val="20"/>
                    </w:rPr>
                    <w:t>Titlurile de valoare pe termen scurt ale UE</w:t>
                  </w:r>
                  <w:r w:rsidR="001A72C2">
                    <w:rPr>
                      <w:b/>
                      <w:color w:val="44546A" w:themeColor="text2"/>
                      <w:sz w:val="20"/>
                    </w:rPr>
                    <w:t xml:space="preserve"> </w:t>
                  </w:r>
                  <w:r>
                    <w:br/>
                  </w:r>
                  <w:r>
                    <w:rPr>
                      <w:b/>
                      <w:color w:val="44546A" w:themeColor="text2"/>
                      <w:sz w:val="20"/>
                    </w:rPr>
                    <w:t>rămase de rambursat la 31.12.2025</w:t>
                  </w:r>
                </w:p>
              </w:txbxContent>
            </v:textbox>
          </v:shape>
        </w:pict>
      </w:r>
      <w:r w:rsidR="00DE46C8">
        <w:rPr>
          <w:noProof/>
          <w:lang w:val="en-GB" w:eastAsia="en-GB"/>
        </w:rPr>
        <w:drawing>
          <wp:anchor distT="0" distB="0" distL="114300" distR="114300" simplePos="0" relativeHeight="251659264" behindDoc="0" locked="0" layoutInCell="1" allowOverlap="1" wp14:anchorId="3DB19BFB" wp14:editId="61B9CEB6">
            <wp:simplePos x="0" y="0"/>
            <wp:positionH relativeFrom="column">
              <wp:posOffset>3011915</wp:posOffset>
            </wp:positionH>
            <wp:positionV relativeFrom="paragraph">
              <wp:posOffset>339725</wp:posOffset>
            </wp:positionV>
            <wp:extent cx="2624455" cy="1295400"/>
            <wp:effectExtent l="0" t="0" r="0" b="0"/>
            <wp:wrapNone/>
            <wp:docPr id="1209256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37687" name="Picture 1"/>
                    <pic:cNvPicPr/>
                  </pic:nvPicPr>
                  <pic:blipFill rotWithShape="1">
                    <a:blip r:embed="rId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rcRect l="47893" t="28144" r="2430" b="3959"/>
                    <a:stretch>
                      <a:fillRect/>
                    </a:stretch>
                  </pic:blipFill>
                  <pic:spPr bwMode="auto">
                    <a:xfrm>
                      <a:off x="0" y="0"/>
                      <a:ext cx="2624455" cy="1295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E46C8">
        <w:rPr>
          <w:noProof/>
          <w:lang w:val="en-GB" w:eastAsia="en-GB"/>
        </w:rPr>
        <w:drawing>
          <wp:anchor distT="0" distB="0" distL="114300" distR="114300" simplePos="0" relativeHeight="251656192" behindDoc="0" locked="0" layoutInCell="1" allowOverlap="1" wp14:anchorId="3402A9A5" wp14:editId="6532EA18">
            <wp:simplePos x="0" y="0"/>
            <wp:positionH relativeFrom="column">
              <wp:posOffset>3011915</wp:posOffset>
            </wp:positionH>
            <wp:positionV relativeFrom="paragraph">
              <wp:posOffset>339725</wp:posOffset>
            </wp:positionV>
            <wp:extent cx="2624455" cy="1295400"/>
            <wp:effectExtent l="0" t="0" r="0" b="0"/>
            <wp:wrapNone/>
            <wp:docPr id="1787531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37687" name="Picture 1"/>
                    <pic:cNvPicPr/>
                  </pic:nvPicPr>
                  <pic:blipFill rotWithShape="1">
                    <a:blip r:embed="rId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rcRect l="47893" t="28144" r="2430" b="3959"/>
                    <a:stretch>
                      <a:fillRect/>
                    </a:stretch>
                  </pic:blipFill>
                  <pic:spPr bwMode="auto">
                    <a:xfrm>
                      <a:off x="0" y="0"/>
                      <a:ext cx="2624455" cy="1295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20AC8" w:rsidRPr="00A20AC8">
        <w:rPr>
          <w:rFonts w:asciiTheme="minorHAnsi" w:hAnsiTheme="minorHAnsi" w:cstheme="minorBidi"/>
          <w:noProof/>
          <w:szCs w:val="22"/>
          <w:lang w:val="en-GB" w:eastAsia="en-GB"/>
        </w:rPr>
        <w:drawing>
          <wp:inline distT="0" distB="0" distL="0" distR="0" wp14:anchorId="5A141424" wp14:editId="06EEE36C">
            <wp:extent cx="2723090" cy="1710047"/>
            <wp:effectExtent l="0" t="0" r="0" b="0"/>
            <wp:docPr id="1144235840" name="Picture 1" descr="A chart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35840" name="Picture 1" descr="A chart of a number of people&#10;&#10;AI-generated content may be incorrect."/>
                    <pic:cNvPicPr/>
                  </pic:nvPicPr>
                  <pic:blipFill>
                    <a:blip r:embed="rId26"/>
                    <a:stretch>
                      <a:fillRect/>
                    </a:stretch>
                  </pic:blipFill>
                  <pic:spPr>
                    <a:xfrm>
                      <a:off x="0" y="0"/>
                      <a:ext cx="2730943" cy="1714979"/>
                    </a:xfrm>
                    <a:prstGeom prst="rect">
                      <a:avLst/>
                    </a:prstGeom>
                  </pic:spPr>
                </pic:pic>
              </a:graphicData>
            </a:graphic>
          </wp:inline>
        </w:drawing>
      </w:r>
    </w:p>
    <w:p w14:paraId="646258EE" w14:textId="77777777" w:rsidR="00DE46C8" w:rsidRDefault="00DE46C8" w:rsidP="003A72E2">
      <w:pPr>
        <w:spacing w:before="360" w:after="0"/>
        <w:jc w:val="left"/>
        <w:rPr>
          <w:b/>
          <w:noProof/>
          <w:color w:val="44546A" w:themeColor="text2"/>
          <w:sz w:val="28"/>
        </w:rPr>
      </w:pPr>
      <w:r>
        <w:rPr>
          <w:b/>
          <w:noProof/>
          <w:color w:val="44546A" w:themeColor="text2"/>
          <w:sz w:val="28"/>
        </w:rPr>
        <w:t>UTILIZAREA VENITURILOR DIN ÎMPRUMUTURI ÎN AL DOILEA SEMESTRU AL ANULUI 2025</w:t>
      </w:r>
    </w:p>
    <w:p w14:paraId="3229D8C9" w14:textId="68A4FFE4" w:rsidR="00A76484" w:rsidRPr="00515B44" w:rsidRDefault="00A76484" w:rsidP="00515B44">
      <w:pPr>
        <w:spacing w:after="0"/>
        <w:jc w:val="left"/>
        <w:rPr>
          <w:b/>
          <w:bCs/>
          <w:noProof/>
          <w:color w:val="44546A" w:themeColor="text2"/>
          <w:szCs w:val="22"/>
        </w:rPr>
      </w:pPr>
    </w:p>
    <w:p w14:paraId="2BFA7C14" w14:textId="23FAA1FB" w:rsidR="00DE46C8" w:rsidRPr="001B3164" w:rsidRDefault="00901876" w:rsidP="00E06416">
      <w:pPr>
        <w:rPr>
          <w:noProof/>
        </w:rPr>
      </w:pPr>
      <w:r>
        <w:rPr>
          <w:noProof/>
        </w:rPr>
        <w:pict w14:anchorId="0E8ABF73">
          <v:shape id="Text Box 1" o:spid="_x0000_s2154" type="#_x0000_t202" style="position:absolute;left:0;text-align:left;margin-left:102.85pt;margin-top:5.9pt;width:101.9pt;height:30.05pt;z-index:25165824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" fillcolor="#f5f5f5" stroked="f">
            <v:textbox style="mso-next-textbox:#Text Box 1" inset="0,,0">
              <w:txbxContent>
                <w:p w14:paraId="017ABA9D" w14:textId="77777777" w:rsidR="00DE46C8" w:rsidRDefault="00DE46C8" w:rsidP="004B7C42">
                  <w:pPr>
                    <w:jc w:val="center"/>
                  </w:pPr>
                  <w:r>
                    <w:rPr>
                      <w:b/>
                      <w:color w:val="44546A" w:themeColor="text2"/>
                      <w:sz w:val="20"/>
                    </w:rPr>
                    <w:t>Finanțare NGEU prin împrumuturi</w:t>
                  </w:r>
                </w:p>
              </w:txbxContent>
            </v:textbox>
          </v:shape>
        </w:pict>
      </w:r>
      <w:r>
        <w:rPr>
          <w:noProof/>
          <w:color w:val="000000" w:themeColor="text1"/>
          <w:sz w:val="20"/>
        </w:rPr>
        <w:pict w14:anchorId="039FE74C">
          <v:shape id="_x0000_s2166" type="#_x0000_t202" style="position:absolute;left:0;text-align:left;margin-left:0;margin-top:510.25pt;width:201.05pt;height:22.4pt;z-index:251658255;mso-position-horizontal-relative:text;mso-position-vertical-relative:page" filled="f" stroked="f">
            <v:textbox style="mso-next-textbox:#_x0000_s2166">
              <w:txbxContent>
                <w:p w14:paraId="42702C7F" w14:textId="77777777" w:rsidR="00F92430" w:rsidRPr="00BB07E3" w:rsidRDefault="00F92430" w:rsidP="00F92430">
                  <w:pPr>
                    <w:rPr>
                      <w:color w:val="595959" w:themeColor="text1" w:themeTint="A6"/>
                    </w:rPr>
                  </w:pPr>
                  <w:r>
                    <w:rPr>
                      <w:i/>
                      <w:color w:val="595959" w:themeColor="text1" w:themeTint="A6"/>
                      <w:sz w:val="18"/>
                    </w:rPr>
                    <w:t>Toate sumele sunt exprimate în miliarde EUR</w:t>
                  </w:r>
                </w:p>
                <w:p w14:paraId="6467DCB3" w14:textId="77777777" w:rsidR="00F92430" w:rsidRPr="00BB07E3" w:rsidRDefault="00F92430" w:rsidP="00F92430">
                  <w:pPr>
                    <w:rPr>
                      <w:color w:val="595959" w:themeColor="text1" w:themeTint="A6"/>
                    </w:rPr>
                  </w:pPr>
                </w:p>
              </w:txbxContent>
            </v:textbox>
            <w10:wrap anchory="page"/>
          </v:shape>
        </w:pict>
      </w:r>
      <w:r>
        <w:rPr>
          <w:noProof/>
        </w:rPr>
        <w:pict w14:anchorId="7BDF588B">
          <v:shape id="_x0000_s2152" type="#_x0000_t202" style="position:absolute;left:0;text-align:left;margin-left:18.55pt;margin-top:2.75pt;width:74.7pt;height:32pt;z-index:251658245" fillcolor="#f5f5f5" stroked="f">
            <v:textbox style="mso-next-textbox:#_x0000_s2152" inset="0,,0">
              <w:txbxContent>
                <w:p w14:paraId="60E74288" w14:textId="77777777" w:rsidR="00DE46C8" w:rsidRPr="00544DEE" w:rsidRDefault="00DE46C8" w:rsidP="00BD7489">
                  <w:pPr>
                    <w:jc w:val="center"/>
                    <w:rPr>
                      <w:b/>
                      <w:bCs/>
                      <w:color w:val="44546A" w:themeColor="text2"/>
                      <w:sz w:val="20"/>
                      <w:szCs w:val="20"/>
                    </w:rPr>
                  </w:pPr>
                  <w:r>
                    <w:rPr>
                      <w:b/>
                      <w:color w:val="44546A" w:themeColor="text2"/>
                      <w:sz w:val="20"/>
                    </w:rPr>
                    <w:t>Total NGEU 78,4 miliarde EUR</w:t>
                  </w:r>
                </w:p>
                <w:p w14:paraId="22F0407D" w14:textId="77777777" w:rsidR="00DE46C8" w:rsidRDefault="00DE46C8"/>
              </w:txbxContent>
            </v:textbox>
          </v:shape>
        </w:pict>
      </w:r>
      <w:r>
        <w:rPr>
          <w:b/>
          <w:noProof/>
          <w:color w:val="44546A" w:themeColor="text2"/>
          <w:sz w:val="28"/>
        </w:rPr>
        <w:pict w14:anchorId="7F84F395">
          <v:shape id="_x0000_s2156" type="#_x0000_t202" style="position:absolute;left:0;text-align:left;margin-left:232.3pt;margin-top:7.9pt;width:171.6pt;height:192pt;z-index:251658247;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" fillcolor="#f5f5f5" stroked="f">
            <v:textbox style="mso-next-textbox:#_x0000_s2156" inset="0,,0">
              <w:txbxContent>
                <w:p w14:paraId="2F223EA2" w14:textId="77777777" w:rsidR="00DE46C8" w:rsidRDefault="00DE46C8" w:rsidP="00782523">
                  <w:pPr>
                    <w:jc w:val="center"/>
                    <w:rPr>
                      <w:b/>
                      <w:color w:val="44546A" w:themeColor="text2"/>
                      <w:sz w:val="20"/>
                    </w:rPr>
                  </w:pPr>
                  <w:r>
                    <w:rPr>
                      <w:b/>
                      <w:color w:val="44546A" w:themeColor="text2"/>
                      <w:sz w:val="20"/>
                    </w:rPr>
                    <w:t>Alte programe</w:t>
                  </w:r>
                </w:p>
                <w:p w14:paraId="07D2FE77" w14:textId="53D5E134" w:rsidR="00A20AC8" w:rsidRDefault="00A20AC8" w:rsidP="00782523">
                  <w:pPr>
                    <w:jc w:val="center"/>
                  </w:pPr>
                  <w:r w:rsidRPr="00A20AC8">
                    <w:rPr>
                      <w:noProof/>
                      <w:lang w:val="en-GB" w:eastAsia="en-GB"/>
                    </w:rPr>
                    <w:drawing>
                      <wp:inline distT="0" distB="0" distL="0" distR="0" wp14:anchorId="4F2D5DC2" wp14:editId="2AD570CD">
                        <wp:extent cx="2148840" cy="2161309"/>
                        <wp:effectExtent l="0" t="0" r="0" b="0"/>
                        <wp:docPr id="104673383" name="Picture 1" descr="A blue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3383" name="Picture 1" descr="A blue rectangular object with white text&#10;&#10;AI-generated content may be incorrect."/>
                                <pic:cNvPicPr/>
                              </pic:nvPicPr>
                              <pic:blipFill>
                                <a:blip r:embed="rId27"/>
                                <a:stretch>
                                  <a:fillRect/>
                                </a:stretch>
                              </pic:blipFill>
                              <pic:spPr>
                                <a:xfrm>
                                  <a:off x="0" y="0"/>
                                  <a:ext cx="2206994" cy="2219801"/>
                                </a:xfrm>
                                <a:prstGeom prst="rect">
                                  <a:avLst/>
                                </a:prstGeom>
                              </pic:spPr>
                            </pic:pic>
                          </a:graphicData>
                        </a:graphic>
                      </wp:inline>
                    </w:drawing>
                  </w:r>
                </w:p>
              </w:txbxContent>
            </v:textbox>
          </v:shape>
        </w:pict>
      </w:r>
      <w:r>
        <w:rPr>
          <w:b/>
          <w:noProof/>
          <w:color w:val="44546A" w:themeColor="text2"/>
          <w:sz w:val="28"/>
        </w:rPr>
        <w:pict w14:anchorId="2A819065">
          <v:rect id="_x0000_s2151" style="position:absolute;left:0;text-align:left;margin-left:232.3pt;margin-top:9.1pt;width:172.6pt;height:196.35pt;z-index:-251658236" fillcolor="#f5f5f5" stroked="f"/>
        </w:pict>
      </w:r>
      <w:r>
        <w:rPr>
          <w:b/>
          <w:noProof/>
          <w:color w:val="44546A" w:themeColor="text2"/>
          <w:sz w:val="28"/>
        </w:rPr>
        <w:pict w14:anchorId="478D3082">
          <v:rect id="_x0000_s2149" style="position:absolute;left:0;text-align:left;margin-left:-.6pt;margin-top:9.1pt;width:209.75pt;height:196.35pt;z-index:-251658237" fillcolor="#f5f5f5" stroked="f"/>
        </w:pict>
      </w:r>
      <w:r w:rsidR="00515B44" w:rsidRPr="00515B44">
        <w:rPr>
          <w:noProof/>
          <w:lang w:val="en-GB" w:eastAsia="en-GB"/>
        </w:rPr>
        <w:drawing>
          <wp:inline distT="0" distB="0" distL="0" distR="0" wp14:anchorId="4AA49592" wp14:editId="71576933">
            <wp:extent cx="2774934" cy="2592126"/>
            <wp:effectExtent l="0" t="0" r="0" b="0"/>
            <wp:docPr id="1350636622"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636622" name="Picture 1" descr="A screenshot of a graph&#10;&#10;AI-generated content may be incorrect."/>
                    <pic:cNvPicPr/>
                  </pic:nvPicPr>
                  <pic:blipFill>
                    <a:blip r:embed="rId28"/>
                    <a:stretch>
                      <a:fillRect/>
                    </a:stretch>
                  </pic:blipFill>
                  <pic:spPr>
                    <a:xfrm>
                      <a:off x="0" y="0"/>
                      <a:ext cx="2791150" cy="2607273"/>
                    </a:xfrm>
                    <a:prstGeom prst="rect">
                      <a:avLst/>
                    </a:prstGeom>
                  </pic:spPr>
                </pic:pic>
              </a:graphicData>
            </a:graphic>
          </wp:inline>
        </w:drawing>
      </w:r>
    </w:p>
    <w:p w14:paraId="4376C808" w14:textId="32469E5B" w:rsidR="00DE46C8" w:rsidRPr="001B3164" w:rsidRDefault="00DE46C8" w:rsidP="000262A2">
      <w:pPr>
        <w:rPr>
          <w:noProof/>
        </w:rPr>
      </w:pPr>
    </w:p>
    <w:p w14:paraId="7B0A7B4C" w14:textId="38DA607E" w:rsidR="00DE46C8" w:rsidRDefault="00DE46C8" w:rsidP="004E2840">
      <w:pPr>
        <w:keepNext/>
        <w:spacing w:before="360"/>
        <w:jc w:val="left"/>
        <w:rPr>
          <w:rFonts w:cstheme="minorBidi"/>
          <w:b/>
          <w:bCs/>
          <w:noProof/>
          <w:color w:val="44546A" w:themeColor="text2"/>
          <w:szCs w:val="22"/>
        </w:rPr>
      </w:pPr>
      <w:r>
        <w:rPr>
          <w:b/>
          <w:noProof/>
          <w:color w:val="44546A" w:themeColor="text2"/>
          <w:sz w:val="28"/>
        </w:rPr>
        <w:t>OBLIGAȚIUNI ALE UE RĂMASE DE RAMBURSAT</w:t>
      </w:r>
      <w:r w:rsidR="001A72C2">
        <w:rPr>
          <w:b/>
          <w:noProof/>
          <w:color w:val="44546A" w:themeColor="text2"/>
          <w:sz w:val="28"/>
        </w:rPr>
        <w:t xml:space="preserve"> </w:t>
      </w:r>
      <w:r>
        <w:rPr>
          <w:noProof/>
        </w:rPr>
        <w:br/>
      </w:r>
      <w:r>
        <w:rPr>
          <w:noProof/>
          <w:color w:val="44546A" w:themeColor="text2"/>
        </w:rPr>
        <w:t>la 31.12.2025</w:t>
      </w:r>
      <w:r>
        <w:rPr>
          <w:b/>
          <w:noProof/>
          <w:color w:val="44546A" w:themeColor="text2"/>
        </w:rPr>
        <w:t xml:space="preserve"> </w:t>
      </w:r>
    </w:p>
    <w:p w14:paraId="5C291BF4" w14:textId="3C22D030" w:rsidR="00DE46C8" w:rsidRPr="004F3BBB" w:rsidRDefault="00BC4B6E" w:rsidP="004F3BBB">
      <w:pPr>
        <w:jc w:val="left"/>
        <w:rPr>
          <w:noProof/>
        </w:rPr>
      </w:pPr>
      <w:r w:rsidRPr="00BC4B6E">
        <w:rPr>
          <w:noProof/>
          <w:lang w:val="en-GB" w:eastAsia="en-GB"/>
        </w:rPr>
        <w:drawing>
          <wp:inline distT="0" distB="0" distL="0" distR="0" wp14:anchorId="1E9990CA" wp14:editId="6789AC80">
            <wp:extent cx="5731510" cy="1962150"/>
            <wp:effectExtent l="0" t="0" r="0" b="0"/>
            <wp:docPr id="1693167949" name="Picture 1" descr="A green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67949" name="Picture 1" descr="A green and black text&#10;&#10;AI-generated content may be incorrect."/>
                    <pic:cNvPicPr/>
                  </pic:nvPicPr>
                  <pic:blipFill>
                    <a:blip r:embed="rId29"/>
                    <a:stretch>
                      <a:fillRect/>
                    </a:stretch>
                  </pic:blipFill>
                  <pic:spPr>
                    <a:xfrm>
                      <a:off x="0" y="0"/>
                      <a:ext cx="5731510" cy="1962150"/>
                    </a:xfrm>
                    <a:prstGeom prst="rect">
                      <a:avLst/>
                    </a:prstGeom>
                  </pic:spPr>
                </pic:pic>
              </a:graphicData>
            </a:graphic>
          </wp:inline>
        </w:drawing>
      </w:r>
    </w:p>
    <w:p w14:paraId="30223788" w14:textId="77777777" w:rsidR="00DE46C8" w:rsidRDefault="00DE46C8" w:rsidP="00B814CE">
      <w:pPr>
        <w:spacing w:after="320"/>
        <w:rPr>
          <w:rFonts w:eastAsia="Arial" w:cs="Arial"/>
          <w:noProof/>
          <w:color w:val="000000" w:themeColor="text1"/>
          <w:sz w:val="20"/>
          <w:szCs w:val="20"/>
        </w:rPr>
      </w:pPr>
      <w:r>
        <w:rPr>
          <w:rFonts w:asciiTheme="minorHAnsi" w:hAnsiTheme="minorHAnsi"/>
          <w:noProof/>
        </w:rPr>
        <w:t xml:space="preserve">* </w:t>
      </w:r>
      <w:r>
        <w:rPr>
          <w:noProof/>
          <w:color w:val="000000" w:themeColor="text1"/>
          <w:sz w:val="20"/>
        </w:rPr>
        <w:t>Aceasta include încasările din rambursarea anticipată pentru MESF.</w:t>
      </w:r>
    </w:p>
    <w:p w14:paraId="4B8F3AA7" w14:textId="3230397D" w:rsidR="003A72E2" w:rsidRPr="003A72E2" w:rsidRDefault="003A72E2" w:rsidP="003A72E2">
      <w:pPr>
        <w:spacing w:before="360" w:after="0"/>
        <w:jc w:val="left"/>
        <w:rPr>
          <w:b/>
          <w:bCs/>
          <w:noProof/>
          <w:color w:val="44546A" w:themeColor="text2"/>
          <w:sz w:val="28"/>
          <w:szCs w:val="28"/>
        </w:rPr>
      </w:pPr>
      <w:r>
        <w:rPr>
          <w:b/>
          <w:noProof/>
          <w:color w:val="44546A" w:themeColor="text2"/>
          <w:sz w:val="28"/>
        </w:rPr>
        <w:t>GRANTURI ȘI CREDITE ÎN CURS DE DERULARE FINANȚATE PRIN ÎMPRUMUTURI</w:t>
      </w:r>
      <w:r>
        <w:rPr>
          <w:noProof/>
        </w:rPr>
        <w:t xml:space="preserve"> </w:t>
      </w:r>
      <w:r>
        <w:rPr>
          <w:noProof/>
        </w:rPr>
        <w:br/>
      </w:r>
      <w:r>
        <w:rPr>
          <w:noProof/>
          <w:color w:val="44546A" w:themeColor="text2"/>
        </w:rPr>
        <w:t>la 31.12.2025</w:t>
      </w:r>
      <w:r>
        <w:rPr>
          <w:b/>
          <w:noProof/>
          <w:color w:val="44546A" w:themeColor="text2"/>
        </w:rPr>
        <w:t xml:space="preserve"> </w:t>
      </w:r>
    </w:p>
    <w:p w14:paraId="604FF0C0" w14:textId="3E7654E5" w:rsidR="003A72E2" w:rsidRPr="001B3164" w:rsidRDefault="00901876" w:rsidP="003A72E2">
      <w:pPr>
        <w:rPr>
          <w:noProof/>
        </w:rPr>
      </w:pPr>
      <w:r>
        <w:rPr>
          <w:b/>
          <w:noProof/>
          <w:color w:val="44546A" w:themeColor="text2"/>
          <w:sz w:val="28"/>
        </w:rPr>
        <w:pict w14:anchorId="6FB2DFFD">
          <v:rect id="_x0000_s2160" style="position:absolute;left:0;text-align:left;margin-left:0;margin-top:7.05pt;width:219.45pt;height:221.7pt;z-index:-251658228" fillcolor="#f5f5f5" stroked="f"/>
        </w:pict>
      </w:r>
      <w:r>
        <w:rPr>
          <w:b/>
          <w:noProof/>
          <w:color w:val="44546A" w:themeColor="text2"/>
          <w:sz w:val="28"/>
        </w:rPr>
        <w:pict w14:anchorId="39899F59">
          <v:shape id="_x0000_s2159" type="#_x0000_t202" style="position:absolute;left:0;text-align:left;margin-left:232.3pt;margin-top:6.65pt;width:215.2pt;height:223.5pt;z-index:251658250;visibility:visible;mso-wrap-distance-left:9pt;mso-wrap-distance-top:0;mso-wrap-distance-right:9pt;mso-wrap-distance-bottom:0;mso-position-horizontal-relative:text;mso-position-vertical-relative:text;mso-width-relative:page;mso-height-relative:page;v-text-anchor:top" fillcolor="#f5f5f5" stroked="f">
            <v:textbox style="mso-next-textbox:#_x0000_s2159" inset="0,,0">
              <w:txbxContent>
                <w:p w14:paraId="44D91D19" w14:textId="10F89E6D" w:rsidR="003A72E2" w:rsidRDefault="00515B44" w:rsidP="003A72E2">
                  <w:pPr>
                    <w:jc w:val="center"/>
                  </w:pPr>
                  <w:r>
                    <w:rPr>
                      <w:noProof/>
                      <w:lang w:val="en-GB" w:eastAsia="en-GB"/>
                    </w:rPr>
                    <w:drawing>
                      <wp:inline distT="0" distB="0" distL="0" distR="0" wp14:anchorId="2CE27525" wp14:editId="791692F2">
                        <wp:extent cx="2259330" cy="2747010"/>
                        <wp:effectExtent l="0" t="0" r="7620" b="0"/>
                        <wp:docPr id="1823735986" name="Picture 1" descr="A graph of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35986" name="Picture 1" descr="A graph of numbers and text&#10;&#10;AI-generated content may be incorrect."/>
                                <pic:cNvPicPr/>
                              </pic:nvPicPr>
                              <pic:blipFill>
                                <a:blip r:embed="rId30"/>
                                <a:stretch>
                                  <a:fillRect/>
                                </a:stretch>
                              </pic:blipFill>
                              <pic:spPr>
                                <a:xfrm>
                                  <a:off x="0" y="0"/>
                                  <a:ext cx="2259330" cy="2747010"/>
                                </a:xfrm>
                                <a:prstGeom prst="rect">
                                  <a:avLst/>
                                </a:prstGeom>
                              </pic:spPr>
                            </pic:pic>
                          </a:graphicData>
                        </a:graphic>
                      </wp:inline>
                    </w:drawing>
                  </w:r>
                </w:p>
              </w:txbxContent>
            </v:textbox>
          </v:shape>
        </w:pict>
      </w:r>
      <w:r>
        <w:rPr>
          <w:b/>
          <w:noProof/>
          <w:color w:val="44546A" w:themeColor="text2"/>
          <w:sz w:val="28"/>
        </w:rPr>
        <w:pict w14:anchorId="3C47D1C4">
          <v:shape id="_x0000_s2163" type="#_x0000_t202" style="position:absolute;left:0;text-align:left;margin-left:102pt;margin-top:7.3pt;width:86.25pt;height:32pt;z-index:251658254;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" fillcolor="#f5f5f5" stroked="f">
            <v:textbox style="mso-next-textbox:#_x0000_s2163" inset="0,,0">
              <w:txbxContent>
                <w:p w14:paraId="583E0EBD" w14:textId="77777777" w:rsidR="003A72E2" w:rsidRDefault="003A72E2" w:rsidP="003A72E2">
                  <w:pPr>
                    <w:jc w:val="center"/>
                  </w:pPr>
                  <w:r>
                    <w:rPr>
                      <w:b/>
                      <w:color w:val="44546A" w:themeColor="text2"/>
                      <w:sz w:val="20"/>
                    </w:rPr>
                    <w:t>Finanțare NGEU prin împrumuturi</w:t>
                  </w:r>
                </w:p>
              </w:txbxContent>
            </v:textbox>
          </v:shape>
        </w:pict>
      </w:r>
      <w:r>
        <w:rPr>
          <w:b/>
          <w:noProof/>
          <w:color w:val="44546A" w:themeColor="text2"/>
          <w:sz w:val="28"/>
        </w:rPr>
        <w:pict w14:anchorId="2A471290">
          <v:shape id="_x0000_s2162" type="#_x0000_t202" style="position:absolute;left:0;text-align:left;margin-left:9.7pt;margin-top:7.05pt;width:83.9pt;height:32pt;z-index:251658253" fillcolor="#f5f5f5" stroked="f">
            <v:textbox style="mso-next-textbox:#_x0000_s2162" inset="0,,0">
              <w:txbxContent>
                <w:p w14:paraId="5FC84D83" w14:textId="77777777" w:rsidR="003A72E2" w:rsidRPr="00544DEE" w:rsidRDefault="003A72E2" w:rsidP="003A72E2">
                  <w:pPr>
                    <w:jc w:val="center"/>
                    <w:rPr>
                      <w:b/>
                      <w:bCs/>
                      <w:color w:val="44546A" w:themeColor="text2"/>
                      <w:sz w:val="20"/>
                      <w:szCs w:val="20"/>
                    </w:rPr>
                  </w:pPr>
                  <w:r>
                    <w:rPr>
                      <w:b/>
                      <w:color w:val="44546A" w:themeColor="text2"/>
                      <w:sz w:val="20"/>
                    </w:rPr>
                    <w:t>Total NGEU 469,3 miliarde EUR</w:t>
                  </w:r>
                </w:p>
                <w:p w14:paraId="2252872A" w14:textId="77777777" w:rsidR="003A72E2" w:rsidRDefault="003A72E2" w:rsidP="003A72E2"/>
              </w:txbxContent>
            </v:textbox>
          </v:shape>
        </w:pict>
      </w:r>
    </w:p>
    <w:p w14:paraId="75D3DD73" w14:textId="77777777" w:rsidR="003A72E2" w:rsidRPr="001B3164" w:rsidRDefault="003A72E2" w:rsidP="003A72E2">
      <w:pPr>
        <w:tabs>
          <w:tab w:val="left" w:pos="2450"/>
        </w:tabs>
        <w:rPr>
          <w:noProof/>
        </w:rPr>
      </w:pPr>
      <w:r>
        <w:rPr>
          <w:noProof/>
        </w:rPr>
        <w:tab/>
      </w:r>
    </w:p>
    <w:p w14:paraId="5BE36D9A" w14:textId="6945A20C" w:rsidR="003A72E2" w:rsidRPr="001B3164" w:rsidRDefault="00901876" w:rsidP="003A72E2">
      <w:pPr>
        <w:rPr>
          <w:noProof/>
        </w:rPr>
      </w:pPr>
      <w:r>
        <w:rPr>
          <w:noProof/>
        </w:rPr>
        <w:pict w14:anchorId="039FE74C">
          <v:shape id="_x0000_s2167" type="#_x0000_t202" style="position:absolute;left:0;text-align:left;margin-left:0;margin-top:353.1pt;width:192pt;height:18.25pt;z-index:251658256;mso-position-horizontal-relative:text;mso-position-vertical-relative:page" filled="f" stroked="f">
            <v:textbox style="mso-next-textbox:#_x0000_s2167">
              <w:txbxContent>
                <w:p w14:paraId="46821042" w14:textId="77777777" w:rsidR="00C31162" w:rsidRPr="00BB07E3" w:rsidRDefault="00C31162" w:rsidP="00C31162">
                  <w:pPr>
                    <w:rPr>
                      <w:color w:val="595959" w:themeColor="text1" w:themeTint="A6"/>
                    </w:rPr>
                  </w:pPr>
                  <w:r>
                    <w:rPr>
                      <w:i/>
                      <w:color w:val="595959" w:themeColor="text1" w:themeTint="A6"/>
                      <w:sz w:val="18"/>
                    </w:rPr>
                    <w:t>Toate sumele sunt exprimate în miliarde EUR</w:t>
                  </w:r>
                </w:p>
                <w:p w14:paraId="06B6844E" w14:textId="77777777" w:rsidR="00C31162" w:rsidRPr="00BB07E3" w:rsidRDefault="00C31162" w:rsidP="00C31162">
                  <w:pPr>
                    <w:rPr>
                      <w:color w:val="595959" w:themeColor="text1" w:themeTint="A6"/>
                    </w:rPr>
                  </w:pPr>
                </w:p>
              </w:txbxContent>
            </v:textbox>
            <w10:wrap anchory="page"/>
          </v:shape>
        </w:pict>
      </w:r>
      <w:r w:rsidR="00662863" w:rsidRPr="00662863">
        <w:rPr>
          <w:noProof/>
          <w:lang w:val="en-GB" w:eastAsia="en-GB"/>
        </w:rPr>
        <w:drawing>
          <wp:inline distT="0" distB="0" distL="0" distR="0" wp14:anchorId="297B8E41" wp14:editId="2454B4CD">
            <wp:extent cx="2778826" cy="2362835"/>
            <wp:effectExtent l="0" t="0" r="0" b="0"/>
            <wp:docPr id="1896670666" name="Picture 1" descr="A graph of numbers and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70666" name="Picture 1" descr="A graph of numbers and a number of people&#10;&#10;AI-generated content may be incorrect."/>
                    <pic:cNvPicPr/>
                  </pic:nvPicPr>
                  <pic:blipFill>
                    <a:blip r:embed="rId31"/>
                    <a:stretch>
                      <a:fillRect/>
                    </a:stretch>
                  </pic:blipFill>
                  <pic:spPr>
                    <a:xfrm>
                      <a:off x="0" y="0"/>
                      <a:ext cx="2798860" cy="2379870"/>
                    </a:xfrm>
                    <a:prstGeom prst="rect">
                      <a:avLst/>
                    </a:prstGeom>
                  </pic:spPr>
                </pic:pic>
              </a:graphicData>
            </a:graphic>
          </wp:inline>
        </w:drawing>
      </w:r>
    </w:p>
    <w:p w14:paraId="7016E62F" w14:textId="63599CDE" w:rsidR="003A72E2" w:rsidRPr="00863348" w:rsidRDefault="003A72E2" w:rsidP="00B814CE">
      <w:pPr>
        <w:spacing w:after="320"/>
        <w:rPr>
          <w:noProof/>
        </w:rPr>
      </w:pPr>
    </w:p>
    <w:tbl>
      <w:tblPr>
        <w:tblStyle w:val="TableGrid"/>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5F5F5"/>
        <w:tblCellMar>
          <w:top w:w="113" w:type="dxa"/>
          <w:bottom w:w="113" w:type="dxa"/>
        </w:tblCellMar>
        <w:tblLook w:val="04A0" w:firstRow="1" w:lastRow="0" w:firstColumn="1" w:lastColumn="0" w:noHBand="0" w:noVBand="1"/>
      </w:tblPr>
      <w:tblGrid>
        <w:gridCol w:w="9076"/>
      </w:tblGrid>
      <w:tr w:rsidR="00DE46C8" w:rsidRPr="001B3164" w14:paraId="017E740E" w14:textId="77777777" w:rsidTr="0E388B1A">
        <w:trPr>
          <w:trHeight w:val="1943"/>
        </w:trPr>
        <w:tc>
          <w:tcPr>
            <w:tcW w:w="9076" w:type="dxa"/>
            <w:shd w:val="clear" w:color="auto" w:fill="F5F5F5"/>
          </w:tcPr>
          <w:p w14:paraId="2BB938B8" w14:textId="0D8DAE49" w:rsidR="00DE46C8" w:rsidRPr="001B3164" w:rsidRDefault="00DE46C8" w:rsidP="00A11F51">
            <w:pPr>
              <w:spacing w:after="120"/>
              <w:jc w:val="left"/>
              <w:rPr>
                <w:rFonts w:cstheme="minorBidi"/>
                <w:b/>
                <w:bCs/>
                <w:noProof/>
                <w:color w:val="034EA2"/>
              </w:rPr>
            </w:pPr>
            <w:r>
              <w:rPr>
                <w:b/>
                <w:noProof/>
                <w:color w:val="034EA2"/>
              </w:rPr>
              <w:t>DATE ESENȚIALE referitoare la S2 2025</w:t>
            </w:r>
          </w:p>
          <w:p w14:paraId="7BC1BC4A" w14:textId="013FA44F" w:rsidR="00DE46C8" w:rsidRPr="001B3164" w:rsidRDefault="00DE46C8" w:rsidP="00A11F51">
            <w:pPr>
              <w:numPr>
                <w:ilvl w:val="0"/>
                <w:numId w:val="29"/>
              </w:numPr>
              <w:spacing w:after="60"/>
              <w:ind w:left="340" w:hanging="170"/>
              <w:contextualSpacing/>
              <w:jc w:val="left"/>
              <w:rPr>
                <w:rFonts w:cstheme="minorBidi"/>
                <w:noProof/>
                <w:color w:val="034EA2"/>
              </w:rPr>
            </w:pPr>
            <w:r>
              <w:rPr>
                <w:noProof/>
                <w:color w:val="034EA2"/>
              </w:rPr>
              <w:t>Patru sindicalizări și șase licitații pentru a atrage 66,8 miliarde EUR, cu o scadență medie de aproximativ 12 ani.</w:t>
            </w:r>
          </w:p>
          <w:p w14:paraId="52614DBB" w14:textId="05EFC562" w:rsidR="00DE46C8" w:rsidRPr="001B3164" w:rsidRDefault="00DE46C8" w:rsidP="000E2E6E">
            <w:pPr>
              <w:numPr>
                <w:ilvl w:val="0"/>
                <w:numId w:val="29"/>
              </w:numPr>
              <w:spacing w:after="60"/>
              <w:ind w:left="340" w:hanging="170"/>
              <w:contextualSpacing/>
              <w:jc w:val="left"/>
              <w:rPr>
                <w:rFonts w:cstheme="minorBidi"/>
                <w:noProof/>
              </w:rPr>
            </w:pPr>
            <w:r>
              <w:rPr>
                <w:noProof/>
                <w:color w:val="034EA2"/>
              </w:rPr>
              <w:t>Majoritatea fondurilor au fost utilizate pentru NextGenerationEU (74,3 miliarde EUR) și pentru a sprijini Ucraina (18,0 miliarde EUR), cu plăți suplimentare în cadrul programului de asistență macrofinanciară (AMF) pentru Iordania (250 de milioane EUR), al Mecanismului de reformă și creștere pentru Balcanii de Vest (65,8 milioane EUR) și al Mecanismului de reformă și creștere pentru Republica Moldova (18,9 milioane EUR).</w:t>
            </w:r>
          </w:p>
          <w:p w14:paraId="56E1F420" w14:textId="5D98C768" w:rsidR="00B8217B" w:rsidRDefault="00B8217B" w:rsidP="00B8217B">
            <w:pPr>
              <w:numPr>
                <w:ilvl w:val="0"/>
                <w:numId w:val="29"/>
              </w:numPr>
              <w:spacing w:after="60"/>
              <w:ind w:left="340" w:hanging="170"/>
              <w:contextualSpacing/>
              <w:jc w:val="left"/>
              <w:rPr>
                <w:rFonts w:cstheme="minorBidi"/>
                <w:noProof/>
                <w:color w:val="034EA2"/>
              </w:rPr>
            </w:pPr>
            <w:r>
              <w:rPr>
                <w:noProof/>
                <w:color w:val="034EA2"/>
              </w:rPr>
              <w:t>Costul finanțării a fost:</w:t>
            </w:r>
          </w:p>
          <w:p w14:paraId="6C2D02C6" w14:textId="5108C3C4" w:rsidR="00B8217B" w:rsidRDefault="00B8217B" w:rsidP="00B8217B">
            <w:pPr>
              <w:spacing w:after="60"/>
              <w:ind w:left="340"/>
              <w:contextualSpacing/>
              <w:jc w:val="left"/>
              <w:rPr>
                <w:rFonts w:cstheme="minorBidi"/>
                <w:noProof/>
                <w:color w:val="034EA2"/>
              </w:rPr>
            </w:pPr>
            <w:r>
              <w:rPr>
                <w:noProof/>
                <w:color w:val="034EA2"/>
              </w:rPr>
              <w:t xml:space="preserve">Pentru NextGenerationEU: 3,32 % în al doilea semestru al anului 2025, față de 3,24 % în primul semestru al anului 2025. </w:t>
            </w:r>
          </w:p>
          <w:p w14:paraId="1073FEF9" w14:textId="770D3703" w:rsidR="00B8217B" w:rsidRDefault="00DE46C8" w:rsidP="00B8217B">
            <w:pPr>
              <w:spacing w:after="60"/>
              <w:ind w:left="340"/>
              <w:contextualSpacing/>
              <w:jc w:val="left"/>
              <w:rPr>
                <w:rFonts w:cstheme="minorBidi"/>
                <w:noProof/>
                <w:color w:val="034EA2"/>
              </w:rPr>
            </w:pPr>
            <w:r>
              <w:rPr>
                <w:noProof/>
                <w:color w:val="034EA2"/>
              </w:rPr>
              <w:t xml:space="preserve">Pentru Mecanismul de reformă și creștere pentru Balcanii de Vest: 2,72 % față de 2,85 % în primul semestru al anului 2025. </w:t>
            </w:r>
          </w:p>
          <w:p w14:paraId="79EFD9AB" w14:textId="46C2CC2B" w:rsidR="00DE46C8" w:rsidRPr="00B8217B" w:rsidRDefault="00DE46C8" w:rsidP="00B8217B">
            <w:pPr>
              <w:spacing w:after="60"/>
              <w:ind w:left="340"/>
              <w:contextualSpacing/>
              <w:jc w:val="left"/>
              <w:rPr>
                <w:rFonts w:cstheme="minorBidi"/>
                <w:noProof/>
                <w:color w:val="034EA2"/>
              </w:rPr>
            </w:pPr>
            <w:r>
              <w:rPr>
                <w:noProof/>
                <w:color w:val="034EA2"/>
              </w:rPr>
              <w:t>Pentru celelalte programe (fără compartimente temporale): 2,76 % pentru Mecanismul pentru Ucraina, 2,54 % pentru împrumutul AMF din cadrul inițiativei G7 privind împrumuturile pentru accelerarea veniturilor extraordinare (ERA), 2,73 % pentru Mecanismul de reformă și creștere pentru Republica Moldova și 2,79 % pentru împrumutul AMF acordat Iordaniei.</w:t>
            </w:r>
          </w:p>
        </w:tc>
      </w:tr>
    </w:tbl>
    <w:p w14:paraId="6B36E52C" w14:textId="77777777" w:rsidR="00DE46C8" w:rsidRPr="001B3164" w:rsidRDefault="00DE46C8">
      <w:pPr>
        <w:spacing w:line="259" w:lineRule="auto"/>
        <w:rPr>
          <w:noProof/>
        </w:rPr>
      </w:pPr>
    </w:p>
    <w:p w14:paraId="51911BFE" w14:textId="235BB66F" w:rsidR="00DE46C8" w:rsidRDefault="00DE46C8">
      <w:pPr>
        <w:spacing w:line="259" w:lineRule="auto"/>
        <w:jc w:val="left"/>
        <w:rPr>
          <w:rFonts w:cstheme="minorBidi"/>
          <w:b/>
          <w:bCs/>
          <w:noProof/>
          <w:color w:val="44546A" w:themeColor="text2"/>
          <w:sz w:val="28"/>
          <w:szCs w:val="28"/>
        </w:rPr>
      </w:pPr>
      <w:r>
        <w:rPr>
          <w:noProof/>
        </w:rPr>
        <w:br w:type="page"/>
      </w:r>
    </w:p>
    <w:p w14:paraId="01987EDC" w14:textId="77777777" w:rsidR="00F13D4C" w:rsidRPr="001B3164" w:rsidRDefault="00F13D4C" w:rsidP="00BE145B">
      <w:pPr>
        <w:pStyle w:val="Heading1"/>
        <w:rPr>
          <w:noProof/>
        </w:rPr>
      </w:pPr>
      <w:bookmarkStart w:id="3" w:name="_Toc202682638"/>
      <w:bookmarkStart w:id="4" w:name="_Toc225760803"/>
      <w:bookmarkEnd w:id="2"/>
      <w:r>
        <w:rPr>
          <w:noProof/>
        </w:rPr>
        <w:t>Rezumat</w:t>
      </w:r>
      <w:bookmarkEnd w:id="3"/>
      <w:bookmarkEnd w:id="4"/>
    </w:p>
    <w:p w14:paraId="5405F434" w14:textId="5048BB60" w:rsidR="00590DA8" w:rsidRPr="001B3164" w:rsidRDefault="00590DA8" w:rsidP="00590DA8">
      <w:pPr>
        <w:rPr>
          <w:iCs/>
          <w:noProof/>
        </w:rPr>
      </w:pPr>
      <w:bookmarkStart w:id="5" w:name="_Hlk187319594"/>
      <w:bookmarkStart w:id="6" w:name="_Hlk156385433"/>
      <w:r>
        <w:rPr>
          <w:noProof/>
        </w:rPr>
        <w:t>În al doilea semestru al anului 2025, UE a atras finanțări pe termen lung în cuantum de 66,8</w:t>
      </w:r>
      <w:r w:rsidR="00A76484">
        <w:rPr>
          <w:rFonts w:ascii="Calibri" w:hAnsi="Calibri" w:cs="Calibri"/>
          <w:noProof/>
        </w:rPr>
        <w:t> </w:t>
      </w:r>
      <w:r>
        <w:rPr>
          <w:noProof/>
        </w:rPr>
        <w:t>miliarde EUR prin patru sindicalizări și șase licitații. Din această finanțare pe termen lung, 3,4</w:t>
      </w:r>
      <w:r w:rsidR="00A76484">
        <w:rPr>
          <w:rFonts w:ascii="Calibri" w:hAnsi="Calibri" w:cs="Calibri"/>
          <w:noProof/>
        </w:rPr>
        <w:t> </w:t>
      </w:r>
      <w:r>
        <w:rPr>
          <w:noProof/>
        </w:rPr>
        <w:t xml:space="preserve">miliarde EUR au fost atrase prin obligațiuni verzi NextGenerationEU. La sfârșitul anului 2025, la nivelul UE, </w:t>
      </w:r>
      <w:r>
        <w:rPr>
          <w:noProof/>
          <w:color w:val="000000" w:themeColor="text1"/>
        </w:rPr>
        <w:t>cuantumul obligațiunilor UE rămase de rambursat era de 702,1 miliarde EUR (cu o scadență reziduală medie de aproximativ 12 ani), din care</w:t>
      </w:r>
      <w:r>
        <w:rPr>
          <w:rFonts w:ascii="Calibri" w:hAnsi="Calibri"/>
          <w:noProof/>
          <w:color w:val="000000" w:themeColor="text1"/>
        </w:rPr>
        <w:t xml:space="preserve"> </w:t>
      </w:r>
      <w:r>
        <w:rPr>
          <w:noProof/>
          <w:color w:val="000000" w:themeColor="text1"/>
        </w:rPr>
        <w:t xml:space="preserve">78,5 miliarde EUR </w:t>
      </w:r>
      <w:r>
        <w:rPr>
          <w:noProof/>
        </w:rPr>
        <w:t>sub formă de obligațiuni verzi NextGenerationEU</w:t>
      </w:r>
      <w:r>
        <w:rPr>
          <w:noProof/>
          <w:color w:val="000000" w:themeColor="text1"/>
        </w:rPr>
        <w:t xml:space="preserve">. </w:t>
      </w:r>
      <w:r>
        <w:rPr>
          <w:noProof/>
        </w:rPr>
        <w:t>Titlurile de valoare pe termen scurt ale UE restante</w:t>
      </w:r>
      <w:r>
        <w:rPr>
          <w:noProof/>
          <w:color w:val="000000" w:themeColor="text1"/>
        </w:rPr>
        <w:t xml:space="preserve"> la sfârșitul anului 2025 se ridicau la </w:t>
      </w:r>
      <w:r>
        <w:rPr>
          <w:noProof/>
        </w:rPr>
        <w:t>36,8 miliarde EUR, în creștere de la 33,3 miliarde EUR la 30 iunie 2025.</w:t>
      </w:r>
    </w:p>
    <w:p w14:paraId="4E150D94" w14:textId="40EAC876" w:rsidR="00EA6251" w:rsidRDefault="00795799" w:rsidP="00795799">
      <w:pPr>
        <w:rPr>
          <w:iCs/>
          <w:noProof/>
          <w:szCs w:val="22"/>
        </w:rPr>
      </w:pPr>
      <w:r>
        <w:rPr>
          <w:noProof/>
        </w:rPr>
        <w:t>În 2025, Comisia a atras finanțări în cuantum de 152,6 miliarde EUR sub formă de obligațiuni ale UE, inclusiv cele</w:t>
      </w:r>
      <w:r>
        <w:rPr>
          <w:rFonts w:ascii="Calibri" w:hAnsi="Calibri"/>
          <w:noProof/>
        </w:rPr>
        <w:t xml:space="preserve"> </w:t>
      </w:r>
      <w:r>
        <w:rPr>
          <w:noProof/>
        </w:rPr>
        <w:t>85,8</w:t>
      </w:r>
      <w:r>
        <w:rPr>
          <w:rFonts w:ascii="Calibri" w:hAnsi="Calibri"/>
          <w:noProof/>
        </w:rPr>
        <w:t xml:space="preserve"> </w:t>
      </w:r>
      <w:r>
        <w:rPr>
          <w:noProof/>
        </w:rPr>
        <w:t>miliarde EUR atrase în primul semestru al anului. Aceasta este cea mai mare emisiune anuală a UE de până în prezent, după o creșterea constantă în anii precedenți (de la 120</w:t>
      </w:r>
      <w:r w:rsidR="00A76484">
        <w:rPr>
          <w:rFonts w:ascii="Calibri" w:hAnsi="Calibri" w:cs="Calibri"/>
          <w:noProof/>
        </w:rPr>
        <w:t> </w:t>
      </w:r>
      <w:r>
        <w:rPr>
          <w:noProof/>
        </w:rPr>
        <w:t>de miliarde EUR în 2023 la</w:t>
      </w:r>
      <w:r>
        <w:rPr>
          <w:rFonts w:ascii="Calibri" w:hAnsi="Calibri"/>
          <w:noProof/>
        </w:rPr>
        <w:t xml:space="preserve"> </w:t>
      </w:r>
      <w:r>
        <w:rPr>
          <w:noProof/>
        </w:rPr>
        <w:t>140</w:t>
      </w:r>
      <w:r>
        <w:rPr>
          <w:rFonts w:ascii="Calibri" w:hAnsi="Calibri"/>
          <w:noProof/>
        </w:rPr>
        <w:t xml:space="preserve"> </w:t>
      </w:r>
      <w:r>
        <w:rPr>
          <w:noProof/>
        </w:rPr>
        <w:t>de miliarde EUR în 2024).</w:t>
      </w:r>
    </w:p>
    <w:p w14:paraId="3B8D1066" w14:textId="0CC10D30" w:rsidR="00EA6251" w:rsidRPr="000B7472" w:rsidRDefault="00795799" w:rsidP="00EA6251">
      <w:pPr>
        <w:rPr>
          <w:noProof/>
        </w:rPr>
      </w:pPr>
      <w:r>
        <w:rPr>
          <w:noProof/>
        </w:rPr>
        <w:t>Obligațiunile emise de UE au continuat să beneficieze de o cerere puternică din partea investitorilor, în timp ce randamentele obligațiunilor UE s-au redus în raport cu majoritatea obligațiunilor de stat europene (EGB). În contextul unor condiții de piață volatile care afectează toți emitenții, costul mediu al finanțării UE</w:t>
      </w:r>
      <w:r>
        <w:rPr>
          <w:rStyle w:val="FootnoteReference"/>
          <w:noProof/>
        </w:rPr>
        <w:footnoteReference w:id="2"/>
      </w:r>
      <w:r>
        <w:rPr>
          <w:noProof/>
        </w:rPr>
        <w:t xml:space="preserve"> a crescut ușor, ajungând la 3,32 %, față de 3,17 % în primul semestru al anului 2025. </w:t>
      </w:r>
    </w:p>
    <w:p w14:paraId="30AB5267" w14:textId="245367CE" w:rsidR="000E2E6E" w:rsidRDefault="00ED7D0E" w:rsidP="000E2E6E">
      <w:pPr>
        <w:rPr>
          <w:noProof/>
        </w:rPr>
      </w:pPr>
      <w:r>
        <w:rPr>
          <w:noProof/>
        </w:rPr>
        <w:t>În al doilea semestru al anului 2025, 74,3 miliarde EUR din încasările din emisiuni au fost plătite pentru a pune în aplicare investițiile și reformele NextGenerationEU, ceea ce reprezintă o creștere substanțială față de cele</w:t>
      </w:r>
      <w:r>
        <w:rPr>
          <w:rFonts w:ascii="Calibri" w:hAnsi="Calibri"/>
          <w:noProof/>
        </w:rPr>
        <w:t xml:space="preserve"> </w:t>
      </w:r>
      <w:r>
        <w:rPr>
          <w:noProof/>
        </w:rPr>
        <w:t>12,8</w:t>
      </w:r>
      <w:r>
        <w:rPr>
          <w:rFonts w:ascii="Calibri" w:hAnsi="Calibri"/>
          <w:noProof/>
        </w:rPr>
        <w:t xml:space="preserve"> </w:t>
      </w:r>
      <w:r>
        <w:rPr>
          <w:noProof/>
        </w:rPr>
        <w:t>miliarde EUR plătite în primul semestru al anului 2025. Ucraina a primit în total 18,0 miliarde EUR în cadrul Mecanismului pentru Ucraina și al programului AMF în contextul inițiativei ERA a G7.</w:t>
      </w:r>
      <w:bookmarkStart w:id="7" w:name="_Hlk156380977"/>
      <w:r>
        <w:rPr>
          <w:noProof/>
        </w:rPr>
        <w:t xml:space="preserve"> În plus, veniturile din împrumuturi au fost utilizate pentru a finanța un împrumut în valoare de</w:t>
      </w:r>
      <w:r>
        <w:rPr>
          <w:rFonts w:ascii="Calibri" w:hAnsi="Calibri"/>
          <w:noProof/>
        </w:rPr>
        <w:t xml:space="preserve"> </w:t>
      </w:r>
      <w:r>
        <w:rPr>
          <w:noProof/>
        </w:rPr>
        <w:t>250</w:t>
      </w:r>
      <w:r>
        <w:rPr>
          <w:rFonts w:ascii="Calibri" w:hAnsi="Calibri"/>
          <w:noProof/>
        </w:rPr>
        <w:t xml:space="preserve"> </w:t>
      </w:r>
      <w:r>
        <w:rPr>
          <w:noProof/>
        </w:rPr>
        <w:t>de milioane EUR în cadrul programului AMF pentru Iordania, un împrumut în valoare de</w:t>
      </w:r>
      <w:r>
        <w:rPr>
          <w:rFonts w:ascii="Calibri" w:hAnsi="Calibri"/>
          <w:noProof/>
        </w:rPr>
        <w:t xml:space="preserve"> </w:t>
      </w:r>
      <w:r>
        <w:rPr>
          <w:noProof/>
        </w:rPr>
        <w:t>18,9</w:t>
      </w:r>
      <w:r>
        <w:rPr>
          <w:rFonts w:ascii="Calibri" w:hAnsi="Calibri"/>
          <w:noProof/>
        </w:rPr>
        <w:t xml:space="preserve"> </w:t>
      </w:r>
      <w:r>
        <w:rPr>
          <w:noProof/>
        </w:rPr>
        <w:t>milioane EUR în cadrul Mecanismului de reformă și creștere pentru Republica Moldova și împrumuturi în valoare de</w:t>
      </w:r>
      <w:r>
        <w:rPr>
          <w:rFonts w:ascii="Calibri" w:hAnsi="Calibri"/>
          <w:noProof/>
        </w:rPr>
        <w:t xml:space="preserve"> </w:t>
      </w:r>
      <w:r>
        <w:rPr>
          <w:noProof/>
        </w:rPr>
        <w:t>65,8</w:t>
      </w:r>
      <w:r>
        <w:rPr>
          <w:rFonts w:ascii="Calibri" w:hAnsi="Calibri"/>
          <w:noProof/>
        </w:rPr>
        <w:t xml:space="preserve"> </w:t>
      </w:r>
      <w:r>
        <w:rPr>
          <w:noProof/>
        </w:rPr>
        <w:t>milioane EUR pentru Albania, Macedonia de Nord și Muntenegru în cadrul Mecanismului de reformă și creștere pentru Balcanii de Vest.</w:t>
      </w:r>
      <w:bookmarkEnd w:id="5"/>
      <w:bookmarkEnd w:id="7"/>
      <w:r>
        <w:rPr>
          <w:noProof/>
        </w:rPr>
        <w:t xml:space="preserve"> </w:t>
      </w:r>
    </w:p>
    <w:p w14:paraId="1D9A932B" w14:textId="02492E9F" w:rsidR="00D74D55" w:rsidRPr="001B3164" w:rsidRDefault="00DB56E0" w:rsidP="000E2E6E">
      <w:pPr>
        <w:rPr>
          <w:noProof/>
        </w:rPr>
      </w:pPr>
      <w:r>
        <w:rPr>
          <w:noProof/>
        </w:rPr>
        <w:t>În al doilea semestru al anului 2025 s-au înregistrat, de asemenea, rambursări ale împrumuturilor restante. Letonia a rambursat</w:t>
      </w:r>
      <w:r>
        <w:rPr>
          <w:rFonts w:ascii="Calibri" w:hAnsi="Calibri"/>
          <w:noProof/>
        </w:rPr>
        <w:t xml:space="preserve"> </w:t>
      </w:r>
      <w:r>
        <w:rPr>
          <w:noProof/>
        </w:rPr>
        <w:t>200</w:t>
      </w:r>
      <w:r>
        <w:rPr>
          <w:rFonts w:ascii="Calibri" w:hAnsi="Calibri"/>
          <w:noProof/>
        </w:rPr>
        <w:t xml:space="preserve"> </w:t>
      </w:r>
      <w:r>
        <w:rPr>
          <w:noProof/>
        </w:rPr>
        <w:t>de milioane EUR în cadrul mecanismului pentru balanța de plăți (BPM), iar nouă state membre au rambursat</w:t>
      </w:r>
      <w:r>
        <w:rPr>
          <w:rFonts w:ascii="Calibri" w:hAnsi="Calibri"/>
          <w:noProof/>
        </w:rPr>
        <w:t xml:space="preserve"> </w:t>
      </w:r>
      <w:r>
        <w:rPr>
          <w:noProof/>
        </w:rPr>
        <w:t>8</w:t>
      </w:r>
      <w:r>
        <w:rPr>
          <w:rFonts w:ascii="Calibri" w:hAnsi="Calibri"/>
          <w:noProof/>
        </w:rPr>
        <w:t xml:space="preserve"> </w:t>
      </w:r>
      <w:r>
        <w:rPr>
          <w:noProof/>
        </w:rPr>
        <w:t>miliarde EUR în cadrul programului SURE. Pe lângă aceste rambursări periodice, Portugalia a efectuat o rambursare anticipată în valoare de</w:t>
      </w:r>
      <w:r>
        <w:rPr>
          <w:rFonts w:ascii="Calibri" w:hAnsi="Calibri"/>
          <w:noProof/>
        </w:rPr>
        <w:t xml:space="preserve"> </w:t>
      </w:r>
      <w:r>
        <w:rPr>
          <w:noProof/>
        </w:rPr>
        <w:t>2,5</w:t>
      </w:r>
      <w:r w:rsidR="00A76484">
        <w:rPr>
          <w:rFonts w:ascii="Calibri" w:hAnsi="Calibri"/>
          <w:noProof/>
        </w:rPr>
        <w:t> </w:t>
      </w:r>
      <w:r>
        <w:rPr>
          <w:noProof/>
        </w:rPr>
        <w:t xml:space="preserve">miliarde EUR în cadrul </w:t>
      </w:r>
      <w:hyperlink r:id="rId32" w:history="1">
        <w:r>
          <w:rPr>
            <w:noProof/>
          </w:rPr>
          <w:t>Mecanismului european de stabilizare financiară (MESF)</w:t>
        </w:r>
      </w:hyperlink>
      <w:r>
        <w:rPr>
          <w:noProof/>
        </w:rPr>
        <w:t>.</w:t>
      </w:r>
    </w:p>
    <w:p w14:paraId="6106D649" w14:textId="6337CE15" w:rsidR="00285408" w:rsidRDefault="00EA6251">
      <w:pPr>
        <w:rPr>
          <w:noProof/>
        </w:rPr>
      </w:pPr>
      <w:r>
        <w:rPr>
          <w:noProof/>
        </w:rPr>
        <w:t>Anul 2025 s-a încheiat cu o creștere a deținerilor de lichidități la</w:t>
      </w:r>
      <w:r>
        <w:rPr>
          <w:rFonts w:ascii="Calibri" w:hAnsi="Calibri"/>
          <w:noProof/>
        </w:rPr>
        <w:t xml:space="preserve"> </w:t>
      </w:r>
      <w:r>
        <w:rPr>
          <w:noProof/>
        </w:rPr>
        <w:t>65,2</w:t>
      </w:r>
      <w:r>
        <w:rPr>
          <w:rFonts w:ascii="Calibri" w:hAnsi="Calibri"/>
          <w:noProof/>
        </w:rPr>
        <w:t xml:space="preserve"> </w:t>
      </w:r>
      <w:r>
        <w:rPr>
          <w:noProof/>
        </w:rPr>
        <w:t>miliarde EUR pentru pregătirea volumului mare de plăți prevăzute în 2026 în vederea finanțării NextGenerationEU și a noului</w:t>
      </w:r>
      <w:r>
        <w:rPr>
          <w:rFonts w:ascii="Calibri" w:hAnsi="Calibri"/>
          <w:noProof/>
        </w:rPr>
        <w:t xml:space="preserve"> </w:t>
      </w:r>
      <w:r>
        <w:rPr>
          <w:noProof/>
        </w:rPr>
        <w:t>instrument „Acțiunea pentru securitatea Europei” (SAFE). Aceste solduri de numerar au condus la costuri de administrare a lichidității de aproximativ</w:t>
      </w:r>
      <w:r>
        <w:rPr>
          <w:rFonts w:ascii="Calibri" w:hAnsi="Calibri"/>
          <w:noProof/>
        </w:rPr>
        <w:t xml:space="preserve"> </w:t>
      </w:r>
      <w:r>
        <w:rPr>
          <w:noProof/>
        </w:rPr>
        <w:t>295</w:t>
      </w:r>
      <w:r>
        <w:rPr>
          <w:rFonts w:ascii="Calibri" w:hAnsi="Calibri"/>
          <w:noProof/>
        </w:rPr>
        <w:t xml:space="preserve"> </w:t>
      </w:r>
      <w:r>
        <w:rPr>
          <w:noProof/>
        </w:rPr>
        <w:t>de milioane EUR din cauza profilului lor de finanțare pe termen lung. Comisia gestionează în mod activ aceste solduri de numerar temporare pentru a reduce la minimum costurile de deținere, reducând astfel costurile anuale cu aproximativ</w:t>
      </w:r>
      <w:r>
        <w:rPr>
          <w:rFonts w:ascii="Calibri" w:hAnsi="Calibri"/>
          <w:noProof/>
        </w:rPr>
        <w:t xml:space="preserve"> </w:t>
      </w:r>
      <w:r>
        <w:rPr>
          <w:noProof/>
        </w:rPr>
        <w:t>85</w:t>
      </w:r>
      <w:r>
        <w:rPr>
          <w:rFonts w:ascii="Calibri" w:hAnsi="Calibri"/>
          <w:noProof/>
        </w:rPr>
        <w:t xml:space="preserve"> </w:t>
      </w:r>
      <w:r>
        <w:rPr>
          <w:noProof/>
        </w:rPr>
        <w:t xml:space="preserve">de milioane EUR. </w:t>
      </w:r>
    </w:p>
    <w:p w14:paraId="3784F895" w14:textId="09390F52" w:rsidR="00914D8A" w:rsidRPr="001B3164" w:rsidRDefault="000A7E3C">
      <w:pPr>
        <w:rPr>
          <w:noProof/>
        </w:rPr>
      </w:pPr>
      <w:r>
        <w:rPr>
          <w:noProof/>
        </w:rPr>
        <w:t>Orice acumulare de solduri de numerar este temporară. Volumele mari de finanțare necesită un calendar regulat și previzibil al emisiunilor și, prin urmare, Comisia își extinde emisiunile pe piețe în timp pentru a obține cele mai avantajoase condiții de finanțare. În același timp, plățile depind de particularitățile de punere în aplicare ale fiecărui program sprijinit, ceea ce poate duce uneori la o concentrare a nevoilor de plată în anumite perioade ale anului și, prin urmare, la acumularea temporară de lichidități în rezerva de lichidități a Comisiei. Pe măsură ce ne apropiem de data-limită din 2026 pentru plățile NextGenerationEU, se va realiza convergența intrărilor și ieșirilor finanțărilor.</w:t>
      </w:r>
    </w:p>
    <w:p w14:paraId="72D15E6B" w14:textId="5468434F" w:rsidR="00156FA8" w:rsidRPr="00B14F69" w:rsidRDefault="00156FA8" w:rsidP="005F49D6">
      <w:pPr>
        <w:rPr>
          <w:noProof/>
        </w:rPr>
      </w:pPr>
      <w:r>
        <w:rPr>
          <w:noProof/>
        </w:rPr>
        <w:t>La fel ca în anii precedenți, Comisia și-a prezentat în decembrie 2025 planul de finanțare pentru primul semestru al anului 2026. Ținând seama de plățile preconizate în cadrul NextGenerationEU, SAFE și al altor programe, Comisia a anunțat un obiectiv de până la 90 de miliarde EUR sub formă de emisiuni de obligațiuni în primul semestru al anului 2026.</w:t>
      </w:r>
    </w:p>
    <w:p w14:paraId="3223C4A9" w14:textId="109BCD1C" w:rsidR="00275148" w:rsidRPr="00853899" w:rsidRDefault="00156FA8" w:rsidP="005F49D6">
      <w:pPr>
        <w:rPr>
          <w:strike/>
          <w:noProof/>
        </w:rPr>
      </w:pPr>
      <w:r>
        <w:rPr>
          <w:noProof/>
        </w:rPr>
        <w:t>Ulterior, în cadrul reuniunii sale din 18-19 decembrie 2025, Consiliul European a convenit asupra unui program de împrumut în valoare de</w:t>
      </w:r>
      <w:r>
        <w:rPr>
          <w:rFonts w:ascii="Calibri" w:hAnsi="Calibri"/>
          <w:noProof/>
        </w:rPr>
        <w:t xml:space="preserve"> </w:t>
      </w:r>
      <w:r>
        <w:rPr>
          <w:noProof/>
        </w:rPr>
        <w:t>90</w:t>
      </w:r>
      <w:r>
        <w:rPr>
          <w:rFonts w:ascii="Calibri" w:hAnsi="Calibri"/>
          <w:noProof/>
        </w:rPr>
        <w:t xml:space="preserve"> </w:t>
      </w:r>
      <w:r>
        <w:rPr>
          <w:noProof/>
        </w:rPr>
        <w:t>de miliarde EUR pentru Ucraina, care urmează să fie finanțat prin împrumuturi din partea UE în 2026 și 2027. Pentru a răspunde acestor noi nevoi de finanțare, Comisia va utiliza întreaga gamă de instrumente de finanțare de care dispune în cadrul abordării de finanțare unificată într-un mod prudent și favorabil pieței.</w:t>
      </w:r>
    </w:p>
    <w:p w14:paraId="7A99BFEA" w14:textId="4CD45F3C" w:rsidR="00B162B9" w:rsidRPr="001B3164" w:rsidRDefault="00156FA8" w:rsidP="00B91B64">
      <w:pPr>
        <w:rPr>
          <w:noProof/>
        </w:rPr>
      </w:pPr>
      <w:r>
        <w:rPr>
          <w:noProof/>
          <w:color w:val="000000" w:themeColor="text1"/>
        </w:rPr>
        <w:t xml:space="preserve">În decembrie 2025, Comisia a publicat, de asemenea, </w:t>
      </w:r>
      <w:r>
        <w:rPr>
          <w:noProof/>
        </w:rPr>
        <w:t xml:space="preserve">ediția din 2025 a </w:t>
      </w:r>
      <w:hyperlink r:id="rId33">
        <w:r>
          <w:rPr>
            <w:rStyle w:val="Hyperlink"/>
            <w:noProof/>
          </w:rPr>
          <w:t>raportului anual privind alocarea și impactul obligațiunilor verzi NextGenerationEU</w:t>
        </w:r>
      </w:hyperlink>
      <w:r>
        <w:rPr>
          <w:noProof/>
        </w:rPr>
        <w:t>, care oferă informații actualizate cu privire la alocarea încasărilor obținute din emisiunea de obligațiuni verzi NGEU, precum și la impactul acestora asupra climei, atât cel real, cât și cel preconizat. Raportul evidențiază o creștere a emisiunii de obligațiuni verzi NGEU pentru care datoria restantă a ajuns la 78,5 miliarde EUR. De</w:t>
      </w:r>
      <w:r w:rsidR="008C5F90">
        <w:rPr>
          <w:rFonts w:ascii="Calibri" w:hAnsi="Calibri" w:cs="Calibri"/>
          <w:noProof/>
        </w:rPr>
        <w:t> </w:t>
      </w:r>
      <w:r>
        <w:rPr>
          <w:noProof/>
        </w:rPr>
        <w:t>asemenea, Comisia estimează că această finanțare a permis prevenirea emisiilor de gaze cu efect de seră de ordinul a 14 milioane de tone de CO</w:t>
      </w:r>
      <w:r>
        <w:rPr>
          <w:noProof/>
          <w:vertAlign w:val="subscript"/>
        </w:rPr>
        <w:t>2</w:t>
      </w:r>
      <w:r>
        <w:rPr>
          <w:noProof/>
        </w:rPr>
        <w:t xml:space="preserve"> pe an, ceea ce reprezintă o îmbunătățire substanțială în comparație cu anii precedenți.</w:t>
      </w:r>
    </w:p>
    <w:p w14:paraId="004D2D4D" w14:textId="77777777" w:rsidR="001401DA" w:rsidRPr="001B3164" w:rsidRDefault="008B6253" w:rsidP="00BE145B">
      <w:pPr>
        <w:pStyle w:val="Heading1"/>
        <w:rPr>
          <w:noProof/>
        </w:rPr>
      </w:pPr>
      <w:bookmarkStart w:id="8" w:name="_Toc202682639"/>
      <w:bookmarkStart w:id="9" w:name="_Toc225760804"/>
      <w:bookmarkEnd w:id="6"/>
      <w:r>
        <w:rPr>
          <w:noProof/>
        </w:rPr>
        <w:t>Introducere</w:t>
      </w:r>
      <w:bookmarkEnd w:id="8"/>
      <w:bookmarkEnd w:id="9"/>
    </w:p>
    <w:p w14:paraId="2BCF8E95" w14:textId="53388E4E" w:rsidR="00F333BA" w:rsidRPr="001B3164" w:rsidRDefault="00F333BA" w:rsidP="00F333BA">
      <w:pPr>
        <w:rPr>
          <w:noProof/>
        </w:rPr>
      </w:pPr>
      <w:r>
        <w:rPr>
          <w:noProof/>
        </w:rPr>
        <w:t>Comisia împrumută fonduri în numele UE de peste 40 de ani. În ultimii șase ani s-a înregistrat o creștere semnificativă a emisiunii de obligațiuni de către UE, deoarece aceasta se bazează pe piețele de capital pentru a finanța programe ample, cum ar fi SURE</w:t>
      </w:r>
      <w:r>
        <w:rPr>
          <w:rStyle w:val="FootnoteReference"/>
          <w:noProof/>
        </w:rPr>
        <w:footnoteReference w:id="3"/>
      </w:r>
      <w:r>
        <w:rPr>
          <w:noProof/>
        </w:rPr>
        <w:t>, NextGenerationEU și sprijinul financiar pentru Ucraina (AMF+, Mecanismul pentru Ucraina și împrumutul AMF în cadrul inițiativei G7 ERA).</w:t>
      </w:r>
    </w:p>
    <w:p w14:paraId="549DB907" w14:textId="25492DF3" w:rsidR="00F333BA" w:rsidRPr="001B3164" w:rsidRDefault="00F333BA" w:rsidP="00F333BA">
      <w:pPr>
        <w:rPr>
          <w:noProof/>
        </w:rPr>
      </w:pPr>
      <w:r>
        <w:rPr>
          <w:noProof/>
        </w:rPr>
        <w:t>Prezentul raport semestrial</w:t>
      </w:r>
      <w:r>
        <w:rPr>
          <w:rStyle w:val="FootnoteReference"/>
          <w:noProof/>
        </w:rPr>
        <w:footnoteReference w:id="4"/>
      </w:r>
      <w:r>
        <w:rPr>
          <w:noProof/>
        </w:rPr>
        <w:t xml:space="preserve"> analizează punerea în aplicare a operațiunilor de împrumut în perioada 1 iulie 2025-31 decembrie 2025. De asemenea, raportul oferă o perspectivă asupra emisiunii de obligațiuni ale UE din primul semestru al anului 2026. Acesta nu evaluează modul în care sunt utilizate veniturile din emisiunile de obligațiuni ale UE, inclusiv în ceea ce privește cheltuielile verzi, întrucât acest aspect este discutat în rapoartele separate emise în temeiul regulamentelor care reglementează fiecare instrument în parte</w:t>
      </w:r>
      <w:r>
        <w:rPr>
          <w:rStyle w:val="FootnoteReference"/>
          <w:noProof/>
        </w:rPr>
        <w:footnoteReference w:id="5"/>
      </w:r>
      <w:r>
        <w:rPr>
          <w:noProof/>
        </w:rPr>
        <w:t>.</w:t>
      </w:r>
    </w:p>
    <w:p w14:paraId="41D03409" w14:textId="28975E23" w:rsidR="00F333BA" w:rsidRPr="001B3164" w:rsidRDefault="00FE0B70" w:rsidP="00F333BA">
      <w:pPr>
        <w:rPr>
          <w:noProof/>
        </w:rPr>
      </w:pPr>
      <w:r>
        <w:rPr>
          <w:noProof/>
        </w:rPr>
        <w:t>În conformitate cu recomandarea Curții de Conturi Europene din iunie 2023</w:t>
      </w:r>
      <w:r>
        <w:rPr>
          <w:rStyle w:val="FootnoteReference"/>
          <w:noProof/>
        </w:rPr>
        <w:footnoteReference w:id="6"/>
      </w:r>
      <w:r>
        <w:rPr>
          <w:noProof/>
        </w:rPr>
        <w:t>, anexa la prezentul raport prezintă indicatori pentru monitorizarea punerii în aplicare a strategiei globale de administrare a datoriei care ghidează</w:t>
      </w:r>
      <w:r>
        <w:rPr>
          <w:rStyle w:val="FootnoteReference"/>
          <w:noProof/>
          <w:spacing w:val="-6"/>
        </w:rPr>
        <w:footnoteReference w:id="7"/>
      </w:r>
      <w:r>
        <w:rPr>
          <w:noProof/>
        </w:rPr>
        <w:t xml:space="preserve"> abordarea de finanțare unificată a Comisiei</w:t>
      </w:r>
      <w:r>
        <w:rPr>
          <w:rStyle w:val="FootnoteReference"/>
          <w:noProof/>
          <w:spacing w:val="-6"/>
        </w:rPr>
        <w:footnoteReference w:id="8"/>
      </w:r>
      <w:r>
        <w:rPr>
          <w:noProof/>
        </w:rPr>
        <w:t>.</w:t>
      </w:r>
      <w:r w:rsidR="001A72C2">
        <w:rPr>
          <w:noProof/>
        </w:rPr>
        <w:t xml:space="preserve"> </w:t>
      </w:r>
    </w:p>
    <w:p w14:paraId="6B6905B9" w14:textId="24616259" w:rsidR="008B6253" w:rsidRPr="001B3164" w:rsidRDefault="00BD5F9F" w:rsidP="00BE145B">
      <w:pPr>
        <w:pStyle w:val="Heading1"/>
        <w:rPr>
          <w:noProof/>
        </w:rPr>
      </w:pPr>
      <w:bookmarkStart w:id="10" w:name="_Ref155883558"/>
      <w:bookmarkStart w:id="11" w:name="_Ref169097162"/>
      <w:bookmarkStart w:id="12" w:name="_Toc202682640"/>
      <w:bookmarkStart w:id="13" w:name="_Toc225760805"/>
      <w:r>
        <w:rPr>
          <w:noProof/>
        </w:rPr>
        <w:t xml:space="preserve">Realizarea operațiunilor de împrumut în al doilea semestru al anului </w:t>
      </w:r>
      <w:bookmarkEnd w:id="10"/>
      <w:r>
        <w:rPr>
          <w:noProof/>
        </w:rPr>
        <w:t>202</w:t>
      </w:r>
      <w:bookmarkEnd w:id="11"/>
      <w:r>
        <w:rPr>
          <w:noProof/>
        </w:rPr>
        <w:t>5</w:t>
      </w:r>
      <w:bookmarkEnd w:id="12"/>
      <w:bookmarkEnd w:id="13"/>
    </w:p>
    <w:p w14:paraId="370D7CD9" w14:textId="20DF06FD" w:rsidR="00A02D98" w:rsidRPr="001B3164" w:rsidRDefault="00A02D98" w:rsidP="00A02D98">
      <w:pPr>
        <w:rPr>
          <w:noProof/>
        </w:rPr>
      </w:pPr>
      <w:bookmarkStart w:id="14" w:name="_Toc169303166"/>
      <w:r>
        <w:rPr>
          <w:noProof/>
        </w:rPr>
        <w:t>Următoarele secțiuni prezintă aspecte-cheie ale operațiunilor de împrumut și de credit ale Comisiei din al doilea semestru al anului 2025. Alți indicatori utilizați pentru monitorizarea punerii în aplicare a strategiei de finanțare a Comisiei sunt prezentați în anexă.</w:t>
      </w:r>
    </w:p>
    <w:p w14:paraId="1B7B6760" w14:textId="271BDC52" w:rsidR="005D6F11" w:rsidRPr="001B3164" w:rsidRDefault="003926DF" w:rsidP="002703F1">
      <w:pPr>
        <w:pStyle w:val="Heading2"/>
        <w:rPr>
          <w:noProof/>
        </w:rPr>
      </w:pPr>
      <w:bookmarkStart w:id="15" w:name="_Toc170294782"/>
      <w:bookmarkStart w:id="16" w:name="_Toc187347924"/>
      <w:bookmarkStart w:id="17" w:name="_Toc187701953"/>
      <w:bookmarkStart w:id="18" w:name="_Toc187702008"/>
      <w:bookmarkStart w:id="19" w:name="_Toc190904644"/>
      <w:bookmarkStart w:id="20" w:name="_Toc201318488"/>
      <w:bookmarkStart w:id="21" w:name="_Toc202682641"/>
      <w:bookmarkStart w:id="22" w:name="_Toc219529984"/>
      <w:bookmarkStart w:id="23" w:name="_Toc225760806"/>
      <w:r>
        <w:rPr>
          <w:noProof/>
        </w:rPr>
        <w:t>Executarea operațiunilor de finanțare în al doilea semestru al anului 202</w:t>
      </w:r>
      <w:bookmarkEnd w:id="14"/>
      <w:bookmarkEnd w:id="15"/>
      <w:bookmarkEnd w:id="16"/>
      <w:bookmarkEnd w:id="17"/>
      <w:bookmarkEnd w:id="18"/>
      <w:bookmarkEnd w:id="19"/>
      <w:r>
        <w:rPr>
          <w:noProof/>
        </w:rPr>
        <w:t>5</w:t>
      </w:r>
      <w:bookmarkEnd w:id="20"/>
      <w:bookmarkEnd w:id="21"/>
      <w:bookmarkEnd w:id="22"/>
      <w:bookmarkEnd w:id="23"/>
    </w:p>
    <w:p w14:paraId="68399FD8" w14:textId="04225B48" w:rsidR="0049203F" w:rsidRPr="001B3164" w:rsidRDefault="003D506A" w:rsidP="0049203F">
      <w:pPr>
        <w:rPr>
          <w:noProof/>
        </w:rPr>
      </w:pPr>
      <w:bookmarkStart w:id="24" w:name="_Hlk138161421"/>
      <w:r>
        <w:rPr>
          <w:noProof/>
        </w:rPr>
        <w:t>În al doilea semestru al anului 2025, Comisia a atras finanțări în cuantum de</w:t>
      </w:r>
      <w:r>
        <w:rPr>
          <w:noProof/>
          <w:color w:val="000000" w:themeColor="text1"/>
        </w:rPr>
        <w:t xml:space="preserve"> 66,8 miliarde EUR sub formă de obligațiuni ale UE</w:t>
      </w:r>
      <w:r>
        <w:rPr>
          <w:rStyle w:val="FootnoteReference"/>
          <w:noProof/>
        </w:rPr>
        <w:footnoteReference w:id="9"/>
      </w:r>
      <w:r>
        <w:rPr>
          <w:noProof/>
          <w:color w:val="000000" w:themeColor="text1"/>
        </w:rPr>
        <w:t xml:space="preserve">, inclusiv 3,4 miliarde EUR sub formă de obligațiuni verzi NGEU. </w:t>
      </w:r>
      <w:r>
        <w:rPr>
          <w:noProof/>
        </w:rPr>
        <w:t>Scadența medie a fost de aproximativ 12 ani, similară cu scadența medie a finanțării atrase în primul semestru al anului 2025</w:t>
      </w:r>
      <w:r>
        <w:rPr>
          <w:noProof/>
          <w:color w:val="000000" w:themeColor="text1"/>
        </w:rPr>
        <w:t xml:space="preserve">. </w:t>
      </w:r>
    </w:p>
    <w:p w14:paraId="4FB5F5F3" w14:textId="601CDE9C" w:rsidR="00AB49F5" w:rsidRPr="001B3164" w:rsidRDefault="0049203F" w:rsidP="00AB49F5">
      <w:pPr>
        <w:rPr>
          <w:noProof/>
        </w:rPr>
      </w:pPr>
      <w:r>
        <w:rPr>
          <w:noProof/>
        </w:rPr>
        <w:t xml:space="preserve">Comisia a utilizat patru sindicalizări (54 % din suma colectată) și șase licitații (46 % din suma colectată). Obligațiunile UE au fost emise periodic pe parcursul întregului semestru, ținând seama de condițiile de lichiditate ale pieței și asigurând în același timp o prezență regulată pe piață. </w:t>
      </w:r>
      <w:bookmarkStart w:id="25" w:name="_Hlk156564741"/>
      <w:bookmarkStart w:id="26" w:name="_Hlk155181535"/>
      <w:bookmarkStart w:id="27" w:name="_Hlk169518262"/>
      <w:bookmarkStart w:id="28" w:name="_Hlk139454398"/>
    </w:p>
    <w:p w14:paraId="44D2CE78" w14:textId="51A698D3" w:rsidR="00AB49F5" w:rsidRPr="001B3164" w:rsidRDefault="00830430" w:rsidP="00AB49F5">
      <w:pPr>
        <w:rPr>
          <w:noProof/>
        </w:rPr>
      </w:pPr>
      <w:r w:rsidRPr="00E461C3">
        <w:rPr>
          <w:noProof/>
          <w:spacing w:val="-4"/>
        </w:rPr>
        <w:t>La 31 decembrie 2025, datoria restantă totală a UE era de</w:t>
      </w:r>
      <w:r w:rsidRPr="00E461C3">
        <w:rPr>
          <w:rFonts w:ascii="Calibri" w:hAnsi="Calibri"/>
          <w:noProof/>
          <w:color w:val="FF0000"/>
          <w:spacing w:val="-4"/>
        </w:rPr>
        <w:t xml:space="preserve"> </w:t>
      </w:r>
      <w:r w:rsidRPr="00E461C3">
        <w:rPr>
          <w:noProof/>
          <w:spacing w:val="-4"/>
        </w:rPr>
        <w:t>738,9</w:t>
      </w:r>
      <w:r w:rsidRPr="00E461C3">
        <w:rPr>
          <w:rFonts w:ascii="Calibri" w:hAnsi="Calibri"/>
          <w:noProof/>
          <w:spacing w:val="-4"/>
        </w:rPr>
        <w:t xml:space="preserve"> </w:t>
      </w:r>
      <w:r w:rsidRPr="00E461C3">
        <w:rPr>
          <w:noProof/>
          <w:spacing w:val="-4"/>
        </w:rPr>
        <w:t>miliarde EUR. Obligațiunile UE rămase de rambursat erau în cuantum total de</w:t>
      </w:r>
      <w:r w:rsidRPr="00E461C3">
        <w:rPr>
          <w:rFonts w:ascii="Calibri" w:hAnsi="Calibri"/>
          <w:noProof/>
          <w:spacing w:val="-4"/>
        </w:rPr>
        <w:t xml:space="preserve"> </w:t>
      </w:r>
      <w:r w:rsidRPr="00E461C3">
        <w:rPr>
          <w:noProof/>
          <w:spacing w:val="-4"/>
        </w:rPr>
        <w:t>702,1 miliarde EUR, din care</w:t>
      </w:r>
      <w:r w:rsidRPr="00E461C3">
        <w:rPr>
          <w:rFonts w:ascii="Calibri" w:hAnsi="Calibri"/>
          <w:noProof/>
          <w:spacing w:val="-4"/>
        </w:rPr>
        <w:t xml:space="preserve"> </w:t>
      </w:r>
      <w:r w:rsidRPr="00E461C3">
        <w:rPr>
          <w:noProof/>
          <w:spacing w:val="-4"/>
        </w:rPr>
        <w:t xml:space="preserve">565,7 miliarde EUR au fost emise în cadrul </w:t>
      </w:r>
      <w:bookmarkStart w:id="29" w:name="_Hlk158104850"/>
      <w:bookmarkEnd w:id="25"/>
      <w:r w:rsidRPr="00E461C3">
        <w:rPr>
          <w:noProof/>
          <w:spacing w:val="-4"/>
        </w:rPr>
        <w:t>abordării de finanțare unificată.</w:t>
      </w:r>
      <w:bookmarkEnd w:id="26"/>
      <w:r w:rsidRPr="00E461C3">
        <w:rPr>
          <w:noProof/>
          <w:color w:val="000000" w:themeColor="text1"/>
          <w:spacing w:val="-4"/>
        </w:rPr>
        <w:t xml:space="preserve"> Valoarea totală a obligațiunilor verzi NGEU rămase de rambursat era de</w:t>
      </w:r>
      <w:r w:rsidRPr="00E461C3">
        <w:rPr>
          <w:rFonts w:ascii="Calibri" w:hAnsi="Calibri"/>
          <w:noProof/>
          <w:color w:val="000000" w:themeColor="text1"/>
          <w:spacing w:val="-4"/>
        </w:rPr>
        <w:t xml:space="preserve"> </w:t>
      </w:r>
      <w:r w:rsidRPr="00E461C3">
        <w:rPr>
          <w:noProof/>
          <w:color w:val="000000" w:themeColor="text1"/>
          <w:spacing w:val="-4"/>
        </w:rPr>
        <w:t>78,5</w:t>
      </w:r>
      <w:r w:rsidRPr="00E461C3">
        <w:rPr>
          <w:rFonts w:ascii="Calibri" w:hAnsi="Calibri"/>
          <w:noProof/>
          <w:color w:val="000000" w:themeColor="text1"/>
          <w:spacing w:val="-4"/>
        </w:rPr>
        <w:t xml:space="preserve"> </w:t>
      </w:r>
      <w:r w:rsidRPr="00E461C3">
        <w:rPr>
          <w:noProof/>
          <w:color w:val="000000" w:themeColor="text1"/>
          <w:spacing w:val="-4"/>
        </w:rPr>
        <w:t>miliarde EUR.</w:t>
      </w:r>
      <w:bookmarkEnd w:id="27"/>
      <w:bookmarkEnd w:id="29"/>
      <w:r w:rsidRPr="00E461C3">
        <w:rPr>
          <w:noProof/>
          <w:spacing w:val="-4"/>
        </w:rPr>
        <w:t xml:space="preserve"> În plus, la sfârșitul lunii decembrie 2025, UE avea credite restante în valoare de 36,8 miliarde EUR prin intermediul titlurilor de valoare pe termen scurt ale UE</w:t>
      </w:r>
      <w:r>
        <w:rPr>
          <w:noProof/>
        </w:rPr>
        <w:t>.</w:t>
      </w:r>
    </w:p>
    <w:p w14:paraId="5E398C65" w14:textId="77777777" w:rsidR="005455B5" w:rsidRDefault="005455B5" w:rsidP="00810A51">
      <w:pPr>
        <w:rPr>
          <w:b/>
          <w:bCs/>
          <w:noProof/>
          <w:color w:val="034EA2" w:themeColor="accent1"/>
        </w:rPr>
      </w:pPr>
      <w:bookmarkStart w:id="30" w:name="_Hlk169095317"/>
      <w:bookmarkEnd w:id="28"/>
    </w:p>
    <w:p w14:paraId="5FDC94E2" w14:textId="7F41AF70" w:rsidR="00BA3133" w:rsidRPr="001B3164" w:rsidRDefault="00BA3133" w:rsidP="00A76484">
      <w:pPr>
        <w:keepNext/>
        <w:rPr>
          <w:b/>
          <w:bCs/>
          <w:noProof/>
          <w:color w:val="034EA2" w:themeColor="accent1"/>
        </w:rPr>
      </w:pPr>
      <w:r>
        <w:rPr>
          <w:b/>
          <w:noProof/>
          <w:color w:val="034EA2" w:themeColor="accent1"/>
        </w:rPr>
        <w:t>Diagrama 2: Cuantumurile obligațiunilor UE emise în cadrul abordării de finanțare unificată (în miliarde EUR)</w:t>
      </w:r>
    </w:p>
    <w:p w14:paraId="2C48865B" w14:textId="3BA5F481" w:rsidR="00EB47DD" w:rsidRPr="001B3164" w:rsidRDefault="00A76484" w:rsidP="009428DB">
      <w:pPr>
        <w:rPr>
          <w:noProof/>
          <w:color w:val="3B3838" w:themeColor="background2" w:themeShade="40"/>
          <w:sz w:val="18"/>
          <w:szCs w:val="18"/>
        </w:rPr>
      </w:pPr>
      <w:r w:rsidRPr="00A76484">
        <w:rPr>
          <w:noProof/>
          <w:color w:val="3B3838" w:themeColor="background2" w:themeShade="40"/>
          <w:sz w:val="18"/>
          <w:szCs w:val="18"/>
          <w:lang w:val="en-GB" w:eastAsia="en-GB"/>
        </w:rPr>
        <w:drawing>
          <wp:inline distT="0" distB="0" distL="0" distR="0" wp14:anchorId="68A1DEFD" wp14:editId="784EC5B1">
            <wp:extent cx="5735782" cy="2140073"/>
            <wp:effectExtent l="0" t="0" r="0" b="0"/>
            <wp:docPr id="487941974" name="Picture 1" descr="A graph of numbers and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41974" name="Picture 1" descr="A graph of numbers and a number of people&#10;&#10;AI-generated content may be incorrect."/>
                    <pic:cNvPicPr/>
                  </pic:nvPicPr>
                  <pic:blipFill>
                    <a:blip r:embed="rId34"/>
                    <a:stretch>
                      <a:fillRect/>
                    </a:stretch>
                  </pic:blipFill>
                  <pic:spPr>
                    <a:xfrm>
                      <a:off x="0" y="0"/>
                      <a:ext cx="5760413" cy="2149263"/>
                    </a:xfrm>
                    <a:prstGeom prst="rect">
                      <a:avLst/>
                    </a:prstGeom>
                  </pic:spPr>
                </pic:pic>
              </a:graphicData>
            </a:graphic>
          </wp:inline>
        </w:drawing>
      </w:r>
    </w:p>
    <w:p w14:paraId="75572C3E" w14:textId="5BDD5B55" w:rsidR="009428DB" w:rsidRPr="001B3164" w:rsidRDefault="009428DB" w:rsidP="009428DB">
      <w:pPr>
        <w:rPr>
          <w:noProof/>
          <w:color w:val="3B3838" w:themeColor="background2" w:themeShade="40"/>
          <w:sz w:val="18"/>
          <w:szCs w:val="18"/>
        </w:rPr>
      </w:pPr>
      <w:r>
        <w:rPr>
          <w:noProof/>
          <w:color w:val="3B3838" w:themeColor="background2" w:themeShade="40"/>
          <w:sz w:val="18"/>
        </w:rPr>
        <w:t>* Primele două tranzacții NextGenerationEU au avut loc în iunie 2021, dar acestea au fost incluse în cifra aferentă a S2 2021 deoarece au făcut parte din același plan de finanțare ca tranzacțiile care au avut loc în semestrul respectiv.</w:t>
      </w:r>
    </w:p>
    <w:bookmarkEnd w:id="30"/>
    <w:p w14:paraId="2C4948E6" w14:textId="44FEDCB1" w:rsidR="009428DB" w:rsidRPr="001B3164" w:rsidRDefault="009428DB" w:rsidP="00975C27">
      <w:pPr>
        <w:jc w:val="right"/>
        <w:rPr>
          <w:i/>
          <w:iCs/>
          <w:noProof/>
          <w:color w:val="595959" w:themeColor="text1" w:themeTint="A6"/>
          <w:sz w:val="18"/>
          <w:szCs w:val="18"/>
        </w:rPr>
      </w:pPr>
      <w:r>
        <w:rPr>
          <w:i/>
          <w:noProof/>
          <w:color w:val="595959" w:themeColor="text1" w:themeTint="A6"/>
          <w:sz w:val="18"/>
        </w:rPr>
        <w:t>Toate sumele sunt exprimate în miliarde EUR</w:t>
      </w:r>
    </w:p>
    <w:p w14:paraId="55D0031D" w14:textId="77777777" w:rsidR="003926DF" w:rsidRPr="001B3164" w:rsidRDefault="003926DF" w:rsidP="005971A7">
      <w:pPr>
        <w:pStyle w:val="Heading2"/>
        <w:rPr>
          <w:noProof/>
        </w:rPr>
      </w:pPr>
      <w:bookmarkStart w:id="31" w:name="_Toc169303167"/>
      <w:bookmarkStart w:id="32" w:name="_Toc170294783"/>
      <w:bookmarkStart w:id="33" w:name="_Toc187347925"/>
      <w:bookmarkStart w:id="34" w:name="_Toc187701954"/>
      <w:bookmarkStart w:id="35" w:name="_Toc187702009"/>
      <w:bookmarkStart w:id="36" w:name="_Toc190904645"/>
      <w:bookmarkStart w:id="37" w:name="_Toc201318489"/>
      <w:bookmarkStart w:id="38" w:name="_Toc202682642"/>
      <w:bookmarkStart w:id="39" w:name="_Toc219529985"/>
      <w:bookmarkStart w:id="40" w:name="_Toc225760807"/>
      <w:bookmarkStart w:id="41" w:name="_Hlk169127536"/>
      <w:bookmarkEnd w:id="24"/>
      <w:r>
        <w:rPr>
          <w:noProof/>
        </w:rPr>
        <w:t>Plăți</w:t>
      </w:r>
      <w:bookmarkEnd w:id="31"/>
      <w:bookmarkEnd w:id="32"/>
      <w:bookmarkEnd w:id="33"/>
      <w:bookmarkEnd w:id="34"/>
      <w:bookmarkEnd w:id="35"/>
      <w:bookmarkEnd w:id="36"/>
      <w:bookmarkEnd w:id="37"/>
      <w:bookmarkEnd w:id="38"/>
      <w:bookmarkEnd w:id="39"/>
      <w:bookmarkEnd w:id="40"/>
    </w:p>
    <w:p w14:paraId="706DD4E3" w14:textId="43236E18" w:rsidR="005C414E" w:rsidRPr="001B3164" w:rsidRDefault="00275148" w:rsidP="005C414E">
      <w:pPr>
        <w:rPr>
          <w:noProof/>
        </w:rPr>
      </w:pPr>
      <w:bookmarkStart w:id="42" w:name="_Hlk187329427"/>
      <w:bookmarkStart w:id="43" w:name="_Hlk219531617"/>
      <w:r>
        <w:rPr>
          <w:noProof/>
        </w:rPr>
        <w:t>În al</w:t>
      </w:r>
      <w:bookmarkEnd w:id="42"/>
      <w:r>
        <w:rPr>
          <w:noProof/>
        </w:rPr>
        <w:t xml:space="preserve"> doilea semestru al anului 2025, Comisia și-a utilizat veniturile din împrumuturi pentru a plăti un cuantum total de</w:t>
      </w:r>
      <w:r>
        <w:rPr>
          <w:rFonts w:ascii="Calibri" w:hAnsi="Calibri"/>
          <w:noProof/>
        </w:rPr>
        <w:t xml:space="preserve"> </w:t>
      </w:r>
      <w:r>
        <w:rPr>
          <w:noProof/>
        </w:rPr>
        <w:t>92,6 miliarde EUR pentru toate politicile combinate. Din acest cuantum, 74,3</w:t>
      </w:r>
      <w:r w:rsidR="00A76484">
        <w:rPr>
          <w:rFonts w:ascii="Calibri" w:hAnsi="Calibri" w:cs="Calibri"/>
          <w:noProof/>
        </w:rPr>
        <w:t> </w:t>
      </w:r>
      <w:r>
        <w:rPr>
          <w:noProof/>
        </w:rPr>
        <w:t>miliarde EUR au fost alocate NextGenerationEU, din care</w:t>
      </w:r>
      <w:r>
        <w:rPr>
          <w:rFonts w:ascii="Calibri" w:hAnsi="Calibri"/>
          <w:noProof/>
        </w:rPr>
        <w:t xml:space="preserve"> </w:t>
      </w:r>
      <w:r>
        <w:rPr>
          <w:noProof/>
        </w:rPr>
        <w:t>72,3 miliarde EUR au fost utilizate pentru a finanța planurile naționale de redresare și reziliență ale statelor membre în cadrul MRR. Cuantumul sus-menționat poate fi împărțit în 27,6 miliarde EUR sub formă de granturi pentru 17</w:t>
      </w:r>
      <w:r w:rsidR="00A76484">
        <w:rPr>
          <w:rFonts w:ascii="Calibri" w:hAnsi="Calibri" w:cs="Calibri"/>
          <w:noProof/>
        </w:rPr>
        <w:t> </w:t>
      </w:r>
      <w:r>
        <w:rPr>
          <w:noProof/>
        </w:rPr>
        <w:t>state membre și</w:t>
      </w:r>
      <w:r>
        <w:rPr>
          <w:rFonts w:ascii="Calibri" w:hAnsi="Calibri"/>
          <w:noProof/>
        </w:rPr>
        <w:t xml:space="preserve"> </w:t>
      </w:r>
      <w:r>
        <w:rPr>
          <w:noProof/>
        </w:rPr>
        <w:t>44,7</w:t>
      </w:r>
      <w:r>
        <w:rPr>
          <w:rFonts w:ascii="Calibri" w:hAnsi="Calibri"/>
          <w:noProof/>
        </w:rPr>
        <w:t xml:space="preserve"> </w:t>
      </w:r>
      <w:r>
        <w:rPr>
          <w:noProof/>
        </w:rPr>
        <w:t>miliarde EUR sub formă de împrumuturi acordate unui număr de opt state membre. Fondurile pentru MRR au fost plătite, în medie, în termen de șase zile lucrătoare. Restul de 2,0 miliarde EUR a fost utilizat pentru a finanța programele gestionate de UE și sprijinite de NextGenerationEU</w:t>
      </w:r>
      <w:bookmarkEnd w:id="43"/>
      <w:r>
        <w:rPr>
          <w:noProof/>
          <w:vertAlign w:val="superscript"/>
        </w:rPr>
        <w:footnoteReference w:id="10"/>
      </w:r>
      <w:r>
        <w:rPr>
          <w:noProof/>
        </w:rPr>
        <w:t xml:space="preserve"> </w:t>
      </w:r>
      <w:r>
        <w:rPr>
          <w:noProof/>
          <w:vertAlign w:val="superscript"/>
        </w:rPr>
        <w:footnoteReference w:id="11"/>
      </w:r>
      <w:r>
        <w:rPr>
          <w:noProof/>
        </w:rPr>
        <w:t xml:space="preserve">. </w:t>
      </w:r>
    </w:p>
    <w:p w14:paraId="408CF76F" w14:textId="1A2FCAF9" w:rsidR="00D06AF3" w:rsidRPr="001B3164" w:rsidRDefault="00E9612B" w:rsidP="00DC2305">
      <w:pPr>
        <w:rPr>
          <w:noProof/>
        </w:rPr>
      </w:pPr>
      <w:r>
        <w:rPr>
          <w:noProof/>
        </w:rPr>
        <w:t>De asemenea, Comisia a plătit Ucrainei 18,0 miliarde EUR în al doilea semestru al anului 2025, din care 6,9 miliarde EUR în cadrul Mecanismului pentru Ucraina și 11,1 miliarde EUR în cadrul programului AMF pentru Ucraina, ca parte a inițiativei G7 privind împrumuturile ERA.</w:t>
      </w:r>
      <w:r>
        <w:rPr>
          <w:noProof/>
          <w:highlight w:val="yellow"/>
        </w:rPr>
        <w:t xml:space="preserve"> </w:t>
      </w:r>
    </w:p>
    <w:p w14:paraId="5347D76C" w14:textId="0DBE5FF6" w:rsidR="005556D6" w:rsidRDefault="005C414E" w:rsidP="005556D6">
      <w:pPr>
        <w:rPr>
          <w:noProof/>
        </w:rPr>
      </w:pPr>
      <w:r>
        <w:rPr>
          <w:noProof/>
        </w:rPr>
        <w:t xml:space="preserve">În al doilea semestru al anului 2025, emisiunea de obligațiuni ale UE a finanțat, de asemenea, un împrumut AMF în valoare de 250 de milioane EUR acordat Iordaniei, un împrumut în valoare de 18,9 milioane EUR în cadrul Mecanismului de reformă și creștere pentru Republica Moldova, precum și împrumuturi în valoare de 65,8 milioane EUR acordate Albaniei, Macedoniei de Nord și Muntenegrului în cadrul Mecanismului de reformă și creștere pentru Balcanii de Vest. </w:t>
      </w:r>
    </w:p>
    <w:p w14:paraId="24083DD6" w14:textId="4B5105DB" w:rsidR="006E36AB" w:rsidRPr="001B3164" w:rsidRDefault="006E36AB" w:rsidP="006E36AB">
      <w:pPr>
        <w:pStyle w:val="Heading2"/>
        <w:rPr>
          <w:noProof/>
        </w:rPr>
      </w:pPr>
      <w:bookmarkStart w:id="46" w:name="_Toc219529986"/>
      <w:bookmarkStart w:id="47" w:name="_Toc225760808"/>
      <w:bookmarkStart w:id="48" w:name="_Hlk219531399"/>
      <w:r>
        <w:rPr>
          <w:noProof/>
        </w:rPr>
        <w:t>Rambursări</w:t>
      </w:r>
      <w:bookmarkEnd w:id="46"/>
      <w:bookmarkEnd w:id="47"/>
    </w:p>
    <w:p w14:paraId="38979D1B" w14:textId="02DA5A93" w:rsidR="00370639" w:rsidRPr="00370639" w:rsidRDefault="006E36AB" w:rsidP="006E36AB">
      <w:pPr>
        <w:rPr>
          <w:noProof/>
        </w:rPr>
      </w:pPr>
      <w:r>
        <w:rPr>
          <w:noProof/>
        </w:rPr>
        <w:t>În octombrie 2025, Letonia a rambursat ultima tranșă de 200 de milioane EUR din sprijinul pe care l-a primit în cadrul mecanismului pentru balanța de plăți (BPM) în perioada 2009-2010.</w:t>
      </w:r>
    </w:p>
    <w:p w14:paraId="276166BB" w14:textId="29F1A1F5" w:rsidR="00370639" w:rsidRPr="00370639" w:rsidRDefault="005E3734" w:rsidP="006E36AB">
      <w:pPr>
        <w:rPr>
          <w:noProof/>
        </w:rPr>
      </w:pPr>
      <w:r>
        <w:rPr>
          <w:noProof/>
        </w:rPr>
        <w:t>Statele membre au efectuat primele rambursări ale principalului în cadrul programului SURE în noiembrie 2025. Nouă state membre au rambursat în total 8 miliarde EUR. Rambursările finale sunt programate pentru anul 2050.</w:t>
      </w:r>
    </w:p>
    <w:p w14:paraId="2C27CE75" w14:textId="6A16D5EA" w:rsidR="006E36AB" w:rsidRPr="0057043E" w:rsidRDefault="005B4970" w:rsidP="0057043E">
      <w:pPr>
        <w:rPr>
          <w:noProof/>
        </w:rPr>
      </w:pPr>
      <w:r>
        <w:rPr>
          <w:noProof/>
        </w:rPr>
        <w:t xml:space="preserve">În decembrie 2025, Portugalia a efectuat o rambursare anticipată în valoare de 2,5 miliarde EUR a împrumutului pe care l-a primit în cardul MESF în perioada 2011-2014. Acest lucru nu a afectat obligațiunile emise pentru a finanța plățile împrumuturilor acordate în cardul MESF, deoarece rambursarea a fost efectuată în numerar pentru a acoperi datoriile corespunzătoare ale Comisiei. Prin urmare, fondurile primite au fost adăugate la rezerva de finanțare a Comisiei în cadrul abordării de finanțare unificată, urmând să fie utilizate pentru alte programe de sprijin financiar. Suma de 19,8 miliarde EUR sub formă de împrumuturi MESF (pentru Portugalia și Irlanda) rămâne în prezent restantă, rambursarea finală fiind programată în prezent pentru </w:t>
      </w:r>
      <w:r>
        <w:rPr>
          <w:noProof/>
          <w:color w:val="000000"/>
        </w:rPr>
        <w:t>2042</w:t>
      </w:r>
      <w:r>
        <w:rPr>
          <w:noProof/>
        </w:rPr>
        <w:t>.</w:t>
      </w:r>
    </w:p>
    <w:p w14:paraId="717B2074" w14:textId="4A3944D1" w:rsidR="00177D88" w:rsidRDefault="00177D88">
      <w:pPr>
        <w:spacing w:line="259" w:lineRule="auto"/>
        <w:jc w:val="left"/>
        <w:rPr>
          <w:rFonts w:eastAsiaTheme="majorEastAsia" w:cstheme="majorBidi"/>
          <w:caps/>
          <w:noProof/>
          <w:color w:val="70AD47" w:themeColor="accent2"/>
          <w:sz w:val="24"/>
          <w:szCs w:val="26"/>
        </w:rPr>
      </w:pPr>
      <w:bookmarkStart w:id="49" w:name="_Toc169303168"/>
      <w:bookmarkStart w:id="50" w:name="_Toc170294784"/>
      <w:bookmarkStart w:id="51" w:name="_Toc187347926"/>
      <w:bookmarkStart w:id="52" w:name="_Toc187701955"/>
      <w:bookmarkStart w:id="53" w:name="_Toc187702010"/>
      <w:bookmarkStart w:id="54" w:name="_Toc190904646"/>
      <w:bookmarkStart w:id="55" w:name="_Toc201318490"/>
      <w:bookmarkStart w:id="56" w:name="_Toc202682643"/>
      <w:bookmarkStart w:id="57" w:name="_Toc219529987"/>
      <w:bookmarkStart w:id="58" w:name="_Hlk216707238"/>
      <w:bookmarkEnd w:id="41"/>
      <w:bookmarkEnd w:id="48"/>
      <w:r>
        <w:rPr>
          <w:noProof/>
        </w:rPr>
        <w:br w:type="page"/>
      </w:r>
    </w:p>
    <w:p w14:paraId="5F4B5727" w14:textId="4A3944D1" w:rsidR="003926DF" w:rsidRPr="001B3164" w:rsidRDefault="00352DCC" w:rsidP="00A87F59">
      <w:pPr>
        <w:pStyle w:val="Heading2"/>
        <w:rPr>
          <w:noProof/>
        </w:rPr>
      </w:pPr>
      <w:bookmarkStart w:id="59" w:name="_Toc225760809"/>
      <w:r>
        <w:rPr>
          <w:noProof/>
        </w:rPr>
        <w:t>Cererea din partea investitorilor și lichiditatea pieței secundare</w:t>
      </w:r>
      <w:bookmarkEnd w:id="49"/>
      <w:bookmarkEnd w:id="50"/>
      <w:bookmarkEnd w:id="51"/>
      <w:bookmarkEnd w:id="52"/>
      <w:bookmarkEnd w:id="53"/>
      <w:bookmarkEnd w:id="54"/>
      <w:bookmarkEnd w:id="55"/>
      <w:bookmarkEnd w:id="56"/>
      <w:bookmarkEnd w:id="57"/>
      <w:bookmarkEnd w:id="59"/>
    </w:p>
    <w:p w14:paraId="685B5A31" w14:textId="3D1C1BEA" w:rsidR="00216746" w:rsidRDefault="00556A0B" w:rsidP="00216746">
      <w:pPr>
        <w:rPr>
          <w:noProof/>
        </w:rPr>
      </w:pPr>
      <w:bookmarkStart w:id="60" w:name="_Hlk139454867"/>
      <w:r>
        <w:rPr>
          <w:noProof/>
        </w:rPr>
        <w:t>Emisiunile de obligațiuni ale UE au continuat să beneficieze de cerere din partea unei baze echilibrate și diversificate de investitori la nivel mondial.</w:t>
      </w:r>
    </w:p>
    <w:p w14:paraId="2619B764" w14:textId="2B686B08" w:rsidR="00EF6F31" w:rsidRPr="001B3164" w:rsidRDefault="00EF6F31" w:rsidP="00216746">
      <w:pPr>
        <w:rPr>
          <w:b/>
          <w:bCs/>
          <w:noProof/>
          <w:color w:val="034EA2" w:themeColor="accent1"/>
        </w:rPr>
      </w:pPr>
      <w:r>
        <w:rPr>
          <w:b/>
          <w:noProof/>
          <w:color w:val="034EA2" w:themeColor="accent1"/>
        </w:rPr>
        <w:t>Graficul 3: Investitori din cadrul tranzacțiilor sindicalizate executate în S2 2025 în funcție de tipul de investitor</w:t>
      </w:r>
    </w:p>
    <w:p w14:paraId="439D48C6" w14:textId="43D43134" w:rsidR="00055CF1" w:rsidRPr="001B3164" w:rsidRDefault="00874034" w:rsidP="00216746">
      <w:pPr>
        <w:rPr>
          <w:b/>
          <w:bCs/>
          <w:noProof/>
          <w:color w:val="034EA2" w:themeColor="accent1"/>
        </w:rPr>
      </w:pPr>
      <w:r w:rsidRPr="00874034">
        <w:rPr>
          <w:b/>
          <w:bCs/>
          <w:noProof/>
          <w:color w:val="034EA2" w:themeColor="accent1"/>
          <w:lang w:val="en-GB" w:eastAsia="en-GB"/>
        </w:rPr>
        <w:drawing>
          <wp:inline distT="0" distB="0" distL="0" distR="0" wp14:anchorId="3E706631" wp14:editId="637E9E5C">
            <wp:extent cx="5664200" cy="2244436"/>
            <wp:effectExtent l="0" t="0" r="0" b="0"/>
            <wp:docPr id="1789034095" name="Picture 1"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34095" name="Picture 1" descr="A graph with different colored squares&#10;&#10;AI-generated content may be incorrect."/>
                    <pic:cNvPicPr/>
                  </pic:nvPicPr>
                  <pic:blipFill>
                    <a:blip r:embed="rId35"/>
                    <a:stretch>
                      <a:fillRect/>
                    </a:stretch>
                  </pic:blipFill>
                  <pic:spPr>
                    <a:xfrm>
                      <a:off x="0" y="0"/>
                      <a:ext cx="5681957" cy="2251472"/>
                    </a:xfrm>
                    <a:prstGeom prst="rect">
                      <a:avLst/>
                    </a:prstGeom>
                  </pic:spPr>
                </pic:pic>
              </a:graphicData>
            </a:graphic>
          </wp:inline>
        </w:drawing>
      </w:r>
    </w:p>
    <w:p w14:paraId="2E4A8034" w14:textId="09062668" w:rsidR="00117C59" w:rsidRDefault="005E3734" w:rsidP="00940F79">
      <w:pPr>
        <w:spacing w:after="0"/>
        <w:rPr>
          <w:rFonts w:eastAsia="Times New Roman"/>
          <w:noProof/>
          <w:szCs w:val="22"/>
        </w:rPr>
      </w:pPr>
      <w:r>
        <w:rPr>
          <w:noProof/>
        </w:rPr>
        <w:t>În al doilea semestru al anului 2025, 38 % din obligațiunile UE emise prin sindicalizare au fost achiziționate de investitori care au, de obicei, orizonturi de investiții mai lungi (și anume administratori de fonduri, societăți de asigurări și fonduri de pensii). Băncile centrale și instituțiile oficiale, care preferă de obicei să investească în obligațiuni cu scadențe de până la 10 ani, au reprezentat aproximativ 27 % din emisiunile sindicalizate de obligațiuni ale UE și au reprezentat, de asemenea, cea mai mare sursă unică de cerere. Comparativ cu primul semestru al anului 2025, ponderea băncilor centrale și a instituțiilor oficiale a crescut ușor, în timp ce ponderea asigurărilor și a fondurilor de pensii a scăzut într-o oarecare măsură, cel mai probabil din cauza scadențelor ușor mai scurte ale obligațiunilor emise în al doilea semestru al anului 2025.</w:t>
      </w:r>
    </w:p>
    <w:p w14:paraId="4D4F2DCF" w14:textId="4BFC063F" w:rsidR="00940F79" w:rsidRPr="001B3164" w:rsidRDefault="00940F79" w:rsidP="00177D88">
      <w:pPr>
        <w:spacing w:before="280"/>
        <w:rPr>
          <w:b/>
          <w:bCs/>
          <w:noProof/>
          <w:color w:val="034EA2" w:themeColor="accent1"/>
        </w:rPr>
      </w:pPr>
      <w:bookmarkStart w:id="61" w:name="_Hlk207362275"/>
      <w:r>
        <w:rPr>
          <w:b/>
          <w:noProof/>
          <w:color w:val="034EA2" w:themeColor="accent1"/>
        </w:rPr>
        <w:t>Graficul 4: Investitori din cadrul tranzacțiilor sindicalizate executate în S2 2025 în funcție de țară/regiune</w:t>
      </w:r>
    </w:p>
    <w:p w14:paraId="77C8CAF0" w14:textId="2E823F93" w:rsidR="008A3C4A" w:rsidRPr="001B3164" w:rsidRDefault="00874034" w:rsidP="00216746">
      <w:pPr>
        <w:rPr>
          <w:noProof/>
        </w:rPr>
      </w:pPr>
      <w:r w:rsidRPr="00874034">
        <w:rPr>
          <w:noProof/>
          <w:lang w:val="en-GB" w:eastAsia="en-GB"/>
        </w:rPr>
        <w:drawing>
          <wp:inline distT="0" distB="0" distL="0" distR="0" wp14:anchorId="55CDA78B" wp14:editId="651AF17F">
            <wp:extent cx="5731259" cy="2353587"/>
            <wp:effectExtent l="0" t="0" r="0" b="0"/>
            <wp:docPr id="1517289337"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289337" name="Picture 1" descr="A graph with different colored bars&#10;&#10;AI-generated content may be incorrect."/>
                    <pic:cNvPicPr/>
                  </pic:nvPicPr>
                  <pic:blipFill>
                    <a:blip r:embed="rId36"/>
                    <a:stretch>
                      <a:fillRect/>
                    </a:stretch>
                  </pic:blipFill>
                  <pic:spPr>
                    <a:xfrm>
                      <a:off x="0" y="0"/>
                      <a:ext cx="5737131" cy="2355998"/>
                    </a:xfrm>
                    <a:prstGeom prst="rect">
                      <a:avLst/>
                    </a:prstGeom>
                  </pic:spPr>
                </pic:pic>
              </a:graphicData>
            </a:graphic>
          </wp:inline>
        </w:drawing>
      </w:r>
    </w:p>
    <w:p w14:paraId="78069FF9" w14:textId="06D94EAC" w:rsidR="00117C59" w:rsidRPr="001B3164" w:rsidRDefault="00A00A42" w:rsidP="00216746">
      <w:pPr>
        <w:rPr>
          <w:noProof/>
        </w:rPr>
      </w:pPr>
      <w:bookmarkStart w:id="62" w:name="_Hlk220508519"/>
      <w:r>
        <w:rPr>
          <w:noProof/>
        </w:rPr>
        <w:t>În al doilea semestru al anului 2025, investitorii situați în UE au reprezentat 55 % din investițiile în sindicalizarea obligațiunilor UE, față de 66 % în primul semestru al anului 2025. Creșterea numărului de investitori din afara UE poate fi atribuită în principal investitorilor internaționali din Asia (9 % în S2 2025 față de 5 % în S1 2025) și din Orientul Mijlociu și Africa (6 % în S2 2025 față de 2 % în S1 2025). Procentul investitorilor internaționali care își desfășoară activitatea din Regatul Unit a rămas stabil, la aproximativ 20 %. Restul proveneau din state europene care nu sunt membre ale UE, cum ar fi Norvegia și Elveția.</w:t>
      </w:r>
    </w:p>
    <w:p w14:paraId="7BEDA679" w14:textId="63F8DFF9" w:rsidR="00F81553" w:rsidRPr="001B3164" w:rsidRDefault="00061AD9" w:rsidP="00F25103">
      <w:pPr>
        <w:rPr>
          <w:noProof/>
        </w:rPr>
      </w:pPr>
      <w:bookmarkStart w:id="63" w:name="_Hlk169094028"/>
      <w:bookmarkStart w:id="64" w:name="_Hlk216706884"/>
      <w:bookmarkEnd w:id="60"/>
      <w:bookmarkEnd w:id="61"/>
      <w:bookmarkEnd w:id="62"/>
      <w:r>
        <w:rPr>
          <w:noProof/>
        </w:rPr>
        <w:t>În pofida mediului de piață turbulent, prima de emisiune nouă (PEN)</w:t>
      </w:r>
      <w:r>
        <w:rPr>
          <w:noProof/>
          <w:vertAlign w:val="superscript"/>
        </w:rPr>
        <w:footnoteReference w:id="12"/>
      </w:r>
      <w:r>
        <w:rPr>
          <w:noProof/>
        </w:rPr>
        <w:t xml:space="preserve"> </w:t>
      </w:r>
      <w:bookmarkStart w:id="65" w:name="_Hlk170294116"/>
      <w:bookmarkEnd w:id="63"/>
      <w:r>
        <w:rPr>
          <w:noProof/>
        </w:rPr>
        <w:t xml:space="preserve">pe care investitorii o solicită ca o concesie atunci când UE emite obligațiuni prin sindicalizare a rămas modestă în al doilea semestru al anului 2025, cu o medie de aproximativ 1,65 puncte de bază. Acest lucru a fost în concordanță cu valoarea medie a PEN de 1,6 puncte de bază din primul semestru al anului 2025 și cu cea a altor emitenți pentru tranzacții comparabile (măsurată în funcție de dimensiune și scadență). </w:t>
      </w:r>
    </w:p>
    <w:bookmarkEnd w:id="58"/>
    <w:bookmarkEnd w:id="65"/>
    <w:p w14:paraId="6718684A" w14:textId="0C52439D" w:rsidR="00733125" w:rsidRPr="00323B74" w:rsidRDefault="00323B74" w:rsidP="00733125">
      <w:pPr>
        <w:rPr>
          <w:noProof/>
        </w:rPr>
      </w:pPr>
      <w:r>
        <w:rPr>
          <w:noProof/>
        </w:rPr>
        <w:t>Lichiditatea obligațiunilor UE pe piața secundară a continuat să se îmbunătățească, fiind sprijinită de un sistem de mecanisme de cotație (în vigoare din noiembrie 2023), în cadrul căruia dealerii primari din UE sunt încurajați să propună prețuri fiabile ale obligațiunilor UE pe principalele platforme electronice de tranzacționare a obligațiunilor. În al doilea semestru al anului 2025, cifra de afaceri absolută a obligațiunilor UE a fost de 1 531 de miliarde EUR, față de 833 de miliarde EUR în al doilea semestru al anului 2024.</w:t>
      </w:r>
    </w:p>
    <w:p w14:paraId="5FF675C1" w14:textId="5ABC53EA" w:rsidR="00C34058" w:rsidRPr="001B3164" w:rsidRDefault="00831281" w:rsidP="00CE068C">
      <w:pPr>
        <w:rPr>
          <w:noProof/>
        </w:rPr>
      </w:pPr>
      <w:bookmarkStart w:id="66" w:name="_Hlk216710147"/>
      <w:r>
        <w:rPr>
          <w:noProof/>
        </w:rPr>
        <w:t>Abordarea de piață a Comisiei constând în utilizarea liniilor existente, creând în același timp în mod regulat altele noi, a consolidat lichiditatea curbei obligațiunilor UE. În al doilea semestru al anului</w:t>
      </w:r>
      <w:r w:rsidR="008C5F90">
        <w:rPr>
          <w:rFonts w:ascii="Calibri" w:hAnsi="Calibri" w:cs="Calibri"/>
          <w:noProof/>
        </w:rPr>
        <w:t> </w:t>
      </w:r>
      <w:r>
        <w:rPr>
          <w:noProof/>
        </w:rPr>
        <w:t>2025, au fost lansate obligațiuni cu scadența la 5, 7, 15 și 30 de ani. Prin urmare, valoarea medie restantă per obligațiune a UE se ridica la aproximativ 16 miliarde EUR la sfârșitul anului</w:t>
      </w:r>
      <w:r w:rsidR="008C5F90">
        <w:rPr>
          <w:rFonts w:ascii="Calibri" w:hAnsi="Calibri" w:cs="Calibri"/>
          <w:noProof/>
        </w:rPr>
        <w:t> </w:t>
      </w:r>
      <w:r>
        <w:rPr>
          <w:noProof/>
        </w:rPr>
        <w:t xml:space="preserve">2025. </w:t>
      </w:r>
      <w:bookmarkEnd w:id="64"/>
    </w:p>
    <w:p w14:paraId="138E334A" w14:textId="66E41A3E" w:rsidR="009A0198" w:rsidRDefault="00EF6F31" w:rsidP="00177D88">
      <w:pPr>
        <w:spacing w:before="240"/>
        <w:rPr>
          <w:b/>
          <w:bCs/>
          <w:noProof/>
          <w:color w:val="034EA2" w:themeColor="accent1"/>
        </w:rPr>
      </w:pPr>
      <w:bookmarkStart w:id="67" w:name="_Hlk187333874"/>
      <w:r>
        <w:rPr>
          <w:b/>
          <w:noProof/>
          <w:color w:val="034EA2" w:themeColor="accent1"/>
        </w:rPr>
        <w:t>Graficul 5: Cifra de afaceri trimestrială pe piața secundară aferentă obligațiunilor UE și obligațiunilor de stat europene (% din volumul restant)</w:t>
      </w:r>
    </w:p>
    <w:p w14:paraId="5338577B" w14:textId="1BF7384A" w:rsidR="008F2B75" w:rsidRPr="001B3164" w:rsidRDefault="00652CAC" w:rsidP="009A0198">
      <w:pPr>
        <w:rPr>
          <w:b/>
          <w:bCs/>
          <w:noProof/>
          <w:color w:val="034EA2" w:themeColor="accent1"/>
        </w:rPr>
      </w:pPr>
      <w:r>
        <w:rPr>
          <w:noProof/>
          <w:lang w:val="en-GB" w:eastAsia="en-GB"/>
        </w:rPr>
        <w:drawing>
          <wp:inline distT="0" distB="0" distL="0" distR="0" wp14:anchorId="20B77E7D" wp14:editId="18B73134">
            <wp:extent cx="5731510" cy="2735249"/>
            <wp:effectExtent l="0" t="0" r="0" b="0"/>
            <wp:docPr id="20429098" name="Chart 1">
              <a:extLst xmlns:a="http://schemas.openxmlformats.org/drawingml/2006/main">
                <a:ext uri="{FF2B5EF4-FFF2-40B4-BE49-F238E27FC236}">
                  <a16:creationId xmlns:a16="http://schemas.microsoft.com/office/drawing/2014/main" id="{2F61FB7B-576C-45B9-8C68-C22ED19ECF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bookmarkEnd w:id="67"/>
    <w:p w14:paraId="0595897F" w14:textId="06F1566B" w:rsidR="003E1CDE" w:rsidRPr="001B3164" w:rsidRDefault="009A0198" w:rsidP="009A0198">
      <w:pPr>
        <w:contextualSpacing/>
        <w:rPr>
          <w:noProof/>
          <w:sz w:val="20"/>
          <w:szCs w:val="20"/>
        </w:rPr>
      </w:pPr>
      <w:r>
        <w:rPr>
          <w:i/>
          <w:noProof/>
          <w:sz w:val="20"/>
        </w:rPr>
        <w:t>Sursa:</w:t>
      </w:r>
      <w:r>
        <w:rPr>
          <w:noProof/>
          <w:sz w:val="20"/>
        </w:rPr>
        <w:t xml:space="preserve"> Comisia Europeană, pe baza datelor de la Subcomitetul privind piețele datoriei suverane ale UE (ESDM) din cadrul Comitetului economic și financiar. </w:t>
      </w:r>
    </w:p>
    <w:p w14:paraId="41882486" w14:textId="116E5133" w:rsidR="00B60214" w:rsidRPr="001B3164" w:rsidRDefault="009A0198" w:rsidP="009A0198">
      <w:pPr>
        <w:contextualSpacing/>
        <w:rPr>
          <w:noProof/>
          <w:sz w:val="20"/>
          <w:szCs w:val="20"/>
        </w:rPr>
      </w:pPr>
      <w:r>
        <w:rPr>
          <w:i/>
          <w:noProof/>
          <w:sz w:val="20"/>
        </w:rPr>
        <w:t>Notă:</w:t>
      </w:r>
      <w:r>
        <w:rPr>
          <w:noProof/>
          <w:sz w:val="20"/>
        </w:rPr>
        <w:t xml:space="preserve"> În acest grafic, piața obligațiunilor de stat europene (EGB) include obligațiunile emise de statele suverane din zona euro, Fondul european de stabilitate financiară și Mecanismul european de stabilitate. Nu sunt încă disponibile date pentru T3 și T4 2025.</w:t>
      </w:r>
    </w:p>
    <w:p w14:paraId="2BC99B27" w14:textId="77777777" w:rsidR="00E81087" w:rsidRPr="001B3164" w:rsidRDefault="00DB3549" w:rsidP="00A87F59">
      <w:pPr>
        <w:pStyle w:val="Heading1"/>
        <w:rPr>
          <w:noProof/>
        </w:rPr>
      </w:pPr>
      <w:bookmarkStart w:id="68" w:name="_Toc202682644"/>
      <w:bookmarkStart w:id="69" w:name="_Toc225760810"/>
      <w:bookmarkStart w:id="70" w:name="_Hlk216710259"/>
      <w:bookmarkEnd w:id="66"/>
      <w:r>
        <w:rPr>
          <w:noProof/>
        </w:rPr>
        <w:t>Costul finanțării și costurile de administrare a lichidității</w:t>
      </w:r>
      <w:bookmarkEnd w:id="68"/>
      <w:bookmarkEnd w:id="69"/>
    </w:p>
    <w:p w14:paraId="7051FF48" w14:textId="77777777" w:rsidR="001D0900" w:rsidRPr="001B3164" w:rsidRDefault="001D0900" w:rsidP="00A87F59">
      <w:pPr>
        <w:pStyle w:val="Heading2"/>
        <w:rPr>
          <w:noProof/>
        </w:rPr>
      </w:pPr>
      <w:bookmarkStart w:id="71" w:name="_Toc187701957"/>
      <w:bookmarkStart w:id="72" w:name="_Toc187702012"/>
      <w:bookmarkStart w:id="73" w:name="_Toc190904648"/>
      <w:bookmarkStart w:id="74" w:name="_Toc201318492"/>
      <w:bookmarkStart w:id="75" w:name="_Toc202682645"/>
      <w:bookmarkStart w:id="76" w:name="_Toc219529989"/>
      <w:bookmarkStart w:id="77" w:name="_Toc225760811"/>
      <w:bookmarkStart w:id="78" w:name="_Hlk219531795"/>
      <w:r>
        <w:rPr>
          <w:noProof/>
        </w:rPr>
        <w:t>Costul finanțării</w:t>
      </w:r>
      <w:bookmarkEnd w:id="71"/>
      <w:bookmarkEnd w:id="72"/>
      <w:bookmarkEnd w:id="73"/>
      <w:bookmarkEnd w:id="74"/>
      <w:bookmarkEnd w:id="75"/>
      <w:bookmarkEnd w:id="76"/>
      <w:bookmarkEnd w:id="77"/>
    </w:p>
    <w:p w14:paraId="14BB5E60" w14:textId="36952E05" w:rsidR="00943313" w:rsidRPr="00D74D55" w:rsidRDefault="00943313" w:rsidP="00035235">
      <w:pPr>
        <w:rPr>
          <w:noProof/>
        </w:rPr>
      </w:pPr>
      <w:r>
        <w:rPr>
          <w:noProof/>
        </w:rPr>
        <w:t>Metodologia de alocare a costurilor din cadrul strategiei de finanțare diversificate corelează costurile de finanțare imputate beneficiarilor (bugetul UE sau beneficiarii împrumuturilor) cu condițiile de piață existente la momentul finanțării plăților</w:t>
      </w:r>
      <w:r>
        <w:rPr>
          <w:noProof/>
          <w:vertAlign w:val="superscript"/>
        </w:rPr>
        <w:footnoteReference w:id="13"/>
      </w:r>
      <w:r>
        <w:rPr>
          <w:noProof/>
        </w:rPr>
        <w:t>. În plus, în conformitate cu această metodologie, costurile îndatorării sunt alocate în funcție de program.</w:t>
      </w:r>
    </w:p>
    <w:p w14:paraId="211B5618" w14:textId="62900E8E" w:rsidR="00481415" w:rsidRDefault="00831281" w:rsidP="000214CF">
      <w:pPr>
        <w:rPr>
          <w:noProof/>
        </w:rPr>
      </w:pPr>
      <w:r>
        <w:rPr>
          <w:noProof/>
        </w:rPr>
        <w:t>Costul finanțării pentru plățile NextGenerationEU în compartimentul temporal iunie-decembrie 2025 („CT9” în tabelul de mai jos) este estimat la 3,32 %, în creștere de la 3,24 % pentru compartimentul temporal anterior de șase luni. La sfârșitul lunii decembrie 2025, costul finanțării pentru plățile efectuate în cadrul altor programe a fost cuprins între 2,70 % și 2,80 %, cu excepția împrumutului AMF+ și a împrumutului AMF acordat Ucrainei ca parte a inițiativei ERA a G7, care au avut un cost de finanțare de 3,15 % și, respectiv, 2,54 %.</w:t>
      </w:r>
    </w:p>
    <w:p w14:paraId="78C1FFE2" w14:textId="37167F8E" w:rsidR="0094369E" w:rsidRDefault="00F55A8C" w:rsidP="007B6993">
      <w:pPr>
        <w:rPr>
          <w:noProof/>
        </w:rPr>
      </w:pPr>
      <w:r>
        <w:rPr>
          <w:noProof/>
        </w:rPr>
        <w:t>Diferențele în ceea ce privește costurile de finanțare între compartimentele programului reflectă caracteristicile programului, cum ar fi diferențele în ceea ce privește scadențele medii ale instrumentelor de împrumut</w:t>
      </w:r>
      <w:r>
        <w:rPr>
          <w:noProof/>
          <w:vertAlign w:val="superscript"/>
        </w:rPr>
        <w:footnoteReference w:id="14"/>
      </w:r>
      <w:r>
        <w:rPr>
          <w:noProof/>
        </w:rPr>
        <w:t xml:space="preserve">. </w:t>
      </w:r>
    </w:p>
    <w:p w14:paraId="32D1CFF5" w14:textId="77777777" w:rsidR="00226F31" w:rsidRPr="001B3164" w:rsidRDefault="00226F31" w:rsidP="007B6993">
      <w:pPr>
        <w:rPr>
          <w:noProof/>
        </w:rPr>
      </w:pPr>
    </w:p>
    <w:p w14:paraId="103CA82E" w14:textId="020C9E05" w:rsidR="004F3BBB" w:rsidRDefault="00EF6F31" w:rsidP="007B6993">
      <w:pPr>
        <w:rPr>
          <w:b/>
          <w:bCs/>
          <w:noProof/>
          <w:color w:val="034EA2" w:themeColor="accent1"/>
        </w:rPr>
      </w:pPr>
      <w:bookmarkStart w:id="79" w:name="_Hlk201318293"/>
      <w:r>
        <w:rPr>
          <w:b/>
          <w:noProof/>
          <w:color w:val="034EA2" w:themeColor="accent1"/>
        </w:rPr>
        <w:t>Graficul 6: Costul finanțării</w:t>
      </w:r>
    </w:p>
    <w:tbl>
      <w:tblPr>
        <w:tblStyle w:val="TableGrid"/>
        <w:tblW w:w="5000" w:type="pct"/>
        <w:tblInd w:w="57"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2088"/>
        <w:gridCol w:w="857"/>
        <w:gridCol w:w="775"/>
        <w:gridCol w:w="775"/>
        <w:gridCol w:w="775"/>
        <w:gridCol w:w="775"/>
        <w:gridCol w:w="775"/>
        <w:gridCol w:w="775"/>
        <w:gridCol w:w="775"/>
        <w:gridCol w:w="770"/>
      </w:tblGrid>
      <w:tr w:rsidR="004F3BBB" w:rsidRPr="001B3164" w14:paraId="43FEE23A" w14:textId="77777777" w:rsidTr="00177D88">
        <w:trPr>
          <w:trHeight w:val="567"/>
        </w:trPr>
        <w:tc>
          <w:tcPr>
            <w:tcW w:w="1142" w:type="pct"/>
            <w:vMerge w:val="restart"/>
            <w:shd w:val="clear" w:color="auto" w:fill="034EA2" w:themeFill="accent1"/>
            <w:vAlign w:val="center"/>
          </w:tcPr>
          <w:p w14:paraId="4727F012" w14:textId="77777777" w:rsidR="004F3BBB" w:rsidRPr="001B3164" w:rsidRDefault="004F3BBB" w:rsidP="001639D7">
            <w:pPr>
              <w:jc w:val="center"/>
              <w:rPr>
                <w:b/>
                <w:bCs/>
                <w:noProof/>
                <w:color w:val="FFFFFF" w:themeColor="background1"/>
              </w:rPr>
            </w:pPr>
            <w:bookmarkStart w:id="80" w:name="_Hlk169710857"/>
            <w:bookmarkEnd w:id="78"/>
            <w:bookmarkEnd w:id="79"/>
            <w:r>
              <w:rPr>
                <w:b/>
                <w:noProof/>
                <w:color w:val="FFFFFF" w:themeColor="background1"/>
              </w:rPr>
              <w:t>NextGenerationEU</w:t>
            </w:r>
          </w:p>
        </w:tc>
        <w:tc>
          <w:tcPr>
            <w:tcW w:w="469" w:type="pct"/>
            <w:shd w:val="clear" w:color="auto" w:fill="034EA2" w:themeFill="accent1"/>
            <w:vAlign w:val="center"/>
            <w:hideMark/>
          </w:tcPr>
          <w:p w14:paraId="6231D03B" w14:textId="77777777" w:rsidR="004F3BBB" w:rsidRPr="001B3164" w:rsidRDefault="004F3BBB" w:rsidP="00177D88">
            <w:pPr>
              <w:jc w:val="center"/>
              <w:rPr>
                <w:b/>
                <w:bCs/>
                <w:noProof/>
                <w:color w:val="FFFFFF" w:themeColor="background1"/>
              </w:rPr>
            </w:pPr>
            <w:r>
              <w:rPr>
                <w:b/>
                <w:noProof/>
                <w:color w:val="FFFFFF" w:themeColor="background1"/>
              </w:rPr>
              <w:t>CT1</w:t>
            </w:r>
          </w:p>
        </w:tc>
        <w:tc>
          <w:tcPr>
            <w:tcW w:w="424" w:type="pct"/>
            <w:shd w:val="clear" w:color="auto" w:fill="034EA2" w:themeFill="accent1"/>
            <w:vAlign w:val="center"/>
            <w:hideMark/>
          </w:tcPr>
          <w:p w14:paraId="2C0E64A4" w14:textId="77777777" w:rsidR="004F3BBB" w:rsidRPr="001B3164" w:rsidRDefault="004F3BBB" w:rsidP="001639D7">
            <w:pPr>
              <w:jc w:val="center"/>
              <w:rPr>
                <w:b/>
                <w:bCs/>
                <w:noProof/>
                <w:color w:val="FFFFFF" w:themeColor="background1"/>
              </w:rPr>
            </w:pPr>
            <w:r>
              <w:rPr>
                <w:b/>
                <w:noProof/>
                <w:color w:val="FFFFFF" w:themeColor="background1"/>
              </w:rPr>
              <w:t>CT2</w:t>
            </w:r>
          </w:p>
        </w:tc>
        <w:tc>
          <w:tcPr>
            <w:tcW w:w="424" w:type="pct"/>
            <w:shd w:val="clear" w:color="auto" w:fill="034EA2" w:themeFill="accent1"/>
            <w:vAlign w:val="center"/>
            <w:hideMark/>
          </w:tcPr>
          <w:p w14:paraId="3F37AF0F" w14:textId="77777777" w:rsidR="004F3BBB" w:rsidRPr="001B3164" w:rsidRDefault="004F3BBB" w:rsidP="001639D7">
            <w:pPr>
              <w:jc w:val="center"/>
              <w:rPr>
                <w:b/>
                <w:bCs/>
                <w:noProof/>
                <w:color w:val="FFFFFF" w:themeColor="background1"/>
              </w:rPr>
            </w:pPr>
            <w:r>
              <w:rPr>
                <w:b/>
                <w:noProof/>
                <w:color w:val="FFFFFF" w:themeColor="background1"/>
              </w:rPr>
              <w:t>CT3</w:t>
            </w:r>
          </w:p>
        </w:tc>
        <w:tc>
          <w:tcPr>
            <w:tcW w:w="424" w:type="pct"/>
            <w:shd w:val="clear" w:color="auto" w:fill="034EA2" w:themeFill="accent1"/>
            <w:vAlign w:val="center"/>
            <w:hideMark/>
          </w:tcPr>
          <w:p w14:paraId="5643B73A" w14:textId="77777777" w:rsidR="004F3BBB" w:rsidRPr="001B3164" w:rsidRDefault="004F3BBB" w:rsidP="001639D7">
            <w:pPr>
              <w:jc w:val="center"/>
              <w:rPr>
                <w:b/>
                <w:bCs/>
                <w:noProof/>
                <w:color w:val="FFFFFF" w:themeColor="background1"/>
              </w:rPr>
            </w:pPr>
            <w:r>
              <w:rPr>
                <w:b/>
                <w:noProof/>
                <w:color w:val="FFFFFF" w:themeColor="background1"/>
              </w:rPr>
              <w:t>CT4</w:t>
            </w:r>
          </w:p>
        </w:tc>
        <w:tc>
          <w:tcPr>
            <w:tcW w:w="424" w:type="pct"/>
            <w:shd w:val="clear" w:color="auto" w:fill="034EA2" w:themeFill="accent1"/>
            <w:vAlign w:val="center"/>
            <w:hideMark/>
          </w:tcPr>
          <w:p w14:paraId="7ED911AB" w14:textId="77777777" w:rsidR="004F3BBB" w:rsidRPr="001B3164" w:rsidRDefault="004F3BBB" w:rsidP="001639D7">
            <w:pPr>
              <w:jc w:val="center"/>
              <w:rPr>
                <w:b/>
                <w:bCs/>
                <w:noProof/>
                <w:color w:val="FFFFFF" w:themeColor="background1"/>
              </w:rPr>
            </w:pPr>
            <w:r>
              <w:rPr>
                <w:b/>
                <w:noProof/>
                <w:color w:val="FFFFFF" w:themeColor="background1"/>
              </w:rPr>
              <w:t>CT5</w:t>
            </w:r>
          </w:p>
        </w:tc>
        <w:tc>
          <w:tcPr>
            <w:tcW w:w="424" w:type="pct"/>
            <w:shd w:val="clear" w:color="auto" w:fill="034EA2" w:themeFill="accent1"/>
            <w:vAlign w:val="center"/>
          </w:tcPr>
          <w:p w14:paraId="6887D903" w14:textId="77777777" w:rsidR="004F3BBB" w:rsidRPr="001B3164" w:rsidRDefault="004F3BBB" w:rsidP="001639D7">
            <w:pPr>
              <w:jc w:val="center"/>
              <w:rPr>
                <w:b/>
                <w:bCs/>
                <w:noProof/>
                <w:color w:val="FFFFFF" w:themeColor="background1"/>
              </w:rPr>
            </w:pPr>
            <w:r>
              <w:rPr>
                <w:b/>
                <w:noProof/>
                <w:color w:val="FFFFFF" w:themeColor="background1"/>
              </w:rPr>
              <w:t>CT6</w:t>
            </w:r>
          </w:p>
        </w:tc>
        <w:tc>
          <w:tcPr>
            <w:tcW w:w="424" w:type="pct"/>
            <w:shd w:val="clear" w:color="auto" w:fill="034EA2" w:themeFill="accent1"/>
            <w:vAlign w:val="center"/>
          </w:tcPr>
          <w:p w14:paraId="3E9D26BA" w14:textId="77777777" w:rsidR="004F3BBB" w:rsidRPr="001B3164" w:rsidRDefault="004F3BBB" w:rsidP="001639D7">
            <w:pPr>
              <w:jc w:val="center"/>
              <w:rPr>
                <w:b/>
                <w:bCs/>
                <w:noProof/>
                <w:color w:val="FFFFFF" w:themeColor="background1"/>
              </w:rPr>
            </w:pPr>
            <w:r>
              <w:rPr>
                <w:b/>
                <w:noProof/>
                <w:color w:val="FFFFFF" w:themeColor="background1"/>
              </w:rPr>
              <w:t>CT7</w:t>
            </w:r>
          </w:p>
        </w:tc>
        <w:tc>
          <w:tcPr>
            <w:tcW w:w="424" w:type="pct"/>
            <w:shd w:val="clear" w:color="auto" w:fill="034EA2" w:themeFill="accent1"/>
            <w:vAlign w:val="center"/>
          </w:tcPr>
          <w:p w14:paraId="2DE370DB" w14:textId="77777777" w:rsidR="004F3BBB" w:rsidRPr="001B3164" w:rsidRDefault="004F3BBB" w:rsidP="001639D7">
            <w:pPr>
              <w:jc w:val="center"/>
              <w:rPr>
                <w:b/>
                <w:bCs/>
                <w:noProof/>
                <w:color w:val="FFFFFF" w:themeColor="background1"/>
              </w:rPr>
            </w:pPr>
            <w:r>
              <w:rPr>
                <w:b/>
                <w:noProof/>
                <w:color w:val="FFFFFF" w:themeColor="background1"/>
              </w:rPr>
              <w:t>CT8</w:t>
            </w:r>
          </w:p>
        </w:tc>
        <w:tc>
          <w:tcPr>
            <w:tcW w:w="422" w:type="pct"/>
            <w:shd w:val="clear" w:color="auto" w:fill="034EA2" w:themeFill="accent1"/>
            <w:vAlign w:val="center"/>
          </w:tcPr>
          <w:p w14:paraId="096D5FBF" w14:textId="77777777" w:rsidR="004F3BBB" w:rsidRPr="001B3164" w:rsidRDefault="004F3BBB" w:rsidP="001639D7">
            <w:pPr>
              <w:jc w:val="center"/>
              <w:rPr>
                <w:b/>
                <w:bCs/>
                <w:noProof/>
                <w:color w:val="FFFFFF" w:themeColor="background1"/>
              </w:rPr>
            </w:pPr>
            <w:r>
              <w:rPr>
                <w:b/>
                <w:noProof/>
                <w:color w:val="FFFFFF" w:themeColor="background1"/>
              </w:rPr>
              <w:t>CT9</w:t>
            </w:r>
          </w:p>
        </w:tc>
      </w:tr>
      <w:tr w:rsidR="004F3BBB" w:rsidRPr="001B3164" w14:paraId="3EEC38EB" w14:textId="77777777" w:rsidTr="00177D88">
        <w:trPr>
          <w:trHeight w:val="415"/>
        </w:trPr>
        <w:tc>
          <w:tcPr>
            <w:tcW w:w="1142" w:type="pct"/>
            <w:vMerge/>
          </w:tcPr>
          <w:p w14:paraId="24399B9F" w14:textId="77777777" w:rsidR="004F3BBB" w:rsidRPr="001B3164" w:rsidRDefault="004F3BBB" w:rsidP="001639D7">
            <w:pPr>
              <w:jc w:val="center"/>
              <w:rPr>
                <w:noProof/>
                <w:color w:val="3B3838" w:themeColor="background2" w:themeShade="40"/>
              </w:rPr>
            </w:pPr>
          </w:p>
        </w:tc>
        <w:tc>
          <w:tcPr>
            <w:tcW w:w="469" w:type="pct"/>
            <w:vAlign w:val="center"/>
            <w:hideMark/>
          </w:tcPr>
          <w:p w14:paraId="5113E05A" w14:textId="77777777" w:rsidR="004F3BBB" w:rsidRPr="001B3164" w:rsidRDefault="004F3BBB" w:rsidP="001639D7">
            <w:pPr>
              <w:jc w:val="center"/>
              <w:rPr>
                <w:noProof/>
                <w:color w:val="3B3838" w:themeColor="background2" w:themeShade="40"/>
              </w:rPr>
            </w:pPr>
            <w:r>
              <w:rPr>
                <w:noProof/>
                <w:color w:val="3B3838" w:themeColor="background2" w:themeShade="40"/>
              </w:rPr>
              <w:t>0,15 %</w:t>
            </w:r>
          </w:p>
        </w:tc>
        <w:tc>
          <w:tcPr>
            <w:tcW w:w="424" w:type="pct"/>
            <w:vAlign w:val="center"/>
            <w:hideMark/>
          </w:tcPr>
          <w:p w14:paraId="0292C261" w14:textId="75283A28" w:rsidR="004F3BBB" w:rsidRPr="001B3164" w:rsidRDefault="004F3BBB" w:rsidP="001639D7">
            <w:pPr>
              <w:jc w:val="center"/>
              <w:rPr>
                <w:noProof/>
                <w:color w:val="3B3838" w:themeColor="background2" w:themeShade="40"/>
              </w:rPr>
            </w:pPr>
            <w:r>
              <w:rPr>
                <w:noProof/>
                <w:color w:val="3B3838" w:themeColor="background2" w:themeShade="40"/>
              </w:rPr>
              <w:t>1,57 %</w:t>
            </w:r>
          </w:p>
        </w:tc>
        <w:tc>
          <w:tcPr>
            <w:tcW w:w="424" w:type="pct"/>
            <w:vAlign w:val="center"/>
            <w:hideMark/>
          </w:tcPr>
          <w:p w14:paraId="5337A302" w14:textId="234C0CFD" w:rsidR="004F3BBB" w:rsidRPr="001B3164" w:rsidRDefault="004F3BBB" w:rsidP="001639D7">
            <w:pPr>
              <w:jc w:val="center"/>
              <w:rPr>
                <w:noProof/>
                <w:color w:val="3B3838" w:themeColor="background2" w:themeShade="40"/>
              </w:rPr>
            </w:pPr>
            <w:r>
              <w:rPr>
                <w:noProof/>
                <w:color w:val="3B3838" w:themeColor="background2" w:themeShade="40"/>
              </w:rPr>
              <w:t>2,68 %</w:t>
            </w:r>
          </w:p>
        </w:tc>
        <w:tc>
          <w:tcPr>
            <w:tcW w:w="424" w:type="pct"/>
            <w:vAlign w:val="center"/>
            <w:hideMark/>
          </w:tcPr>
          <w:p w14:paraId="18755E2C" w14:textId="536EADD2" w:rsidR="004F3BBB" w:rsidRPr="001B3164" w:rsidRDefault="004F3BBB" w:rsidP="001639D7">
            <w:pPr>
              <w:jc w:val="center"/>
              <w:rPr>
                <w:noProof/>
                <w:color w:val="3B3838" w:themeColor="background2" w:themeShade="40"/>
              </w:rPr>
            </w:pPr>
            <w:r>
              <w:rPr>
                <w:noProof/>
                <w:color w:val="3B3838" w:themeColor="background2" w:themeShade="40"/>
              </w:rPr>
              <w:t>3,24 %</w:t>
            </w:r>
          </w:p>
        </w:tc>
        <w:tc>
          <w:tcPr>
            <w:tcW w:w="424" w:type="pct"/>
            <w:vAlign w:val="center"/>
            <w:hideMark/>
          </w:tcPr>
          <w:p w14:paraId="69AA6B50" w14:textId="598BDBEF" w:rsidR="004F3BBB" w:rsidRPr="001B3164" w:rsidRDefault="004F3BBB" w:rsidP="001639D7">
            <w:pPr>
              <w:jc w:val="center"/>
              <w:rPr>
                <w:noProof/>
                <w:color w:val="3B3838" w:themeColor="background2" w:themeShade="40"/>
              </w:rPr>
            </w:pPr>
            <w:r>
              <w:rPr>
                <w:noProof/>
                <w:color w:val="3B3838" w:themeColor="background2" w:themeShade="40"/>
              </w:rPr>
              <w:t>3,58 %</w:t>
            </w:r>
          </w:p>
        </w:tc>
        <w:tc>
          <w:tcPr>
            <w:tcW w:w="424" w:type="pct"/>
            <w:vAlign w:val="center"/>
          </w:tcPr>
          <w:p w14:paraId="49E3D825" w14:textId="77777777" w:rsidR="004F3BBB" w:rsidRPr="001B3164" w:rsidRDefault="004F3BBB" w:rsidP="001639D7">
            <w:pPr>
              <w:jc w:val="center"/>
              <w:rPr>
                <w:noProof/>
                <w:color w:val="3B3838" w:themeColor="background2" w:themeShade="40"/>
              </w:rPr>
            </w:pPr>
            <w:r>
              <w:rPr>
                <w:noProof/>
                <w:color w:val="3B3838" w:themeColor="background2" w:themeShade="40"/>
              </w:rPr>
              <w:t>3,19 %</w:t>
            </w:r>
          </w:p>
        </w:tc>
        <w:tc>
          <w:tcPr>
            <w:tcW w:w="424" w:type="pct"/>
            <w:vAlign w:val="center"/>
          </w:tcPr>
          <w:p w14:paraId="44E7D57D" w14:textId="2BDE25CA" w:rsidR="004F3BBB" w:rsidRPr="001B3164" w:rsidRDefault="004F3BBB" w:rsidP="001639D7">
            <w:pPr>
              <w:jc w:val="center"/>
              <w:rPr>
                <w:noProof/>
                <w:color w:val="3B3838" w:themeColor="background2" w:themeShade="40"/>
              </w:rPr>
            </w:pPr>
            <w:r>
              <w:rPr>
                <w:noProof/>
                <w:color w:val="3B3838" w:themeColor="background2" w:themeShade="40"/>
              </w:rPr>
              <w:t>3,05 %</w:t>
            </w:r>
          </w:p>
        </w:tc>
        <w:tc>
          <w:tcPr>
            <w:tcW w:w="424" w:type="pct"/>
            <w:vAlign w:val="center"/>
          </w:tcPr>
          <w:p w14:paraId="0CF5F248" w14:textId="6D46B5B0" w:rsidR="004F3BBB" w:rsidRPr="001B3164" w:rsidRDefault="004F3BBB" w:rsidP="001639D7">
            <w:pPr>
              <w:jc w:val="center"/>
              <w:rPr>
                <w:noProof/>
                <w:color w:val="3B3838" w:themeColor="background2" w:themeShade="40"/>
              </w:rPr>
            </w:pPr>
            <w:r>
              <w:rPr>
                <w:noProof/>
                <w:color w:val="3B3838" w:themeColor="background2" w:themeShade="40"/>
              </w:rPr>
              <w:t>3,24 %</w:t>
            </w:r>
          </w:p>
        </w:tc>
        <w:tc>
          <w:tcPr>
            <w:tcW w:w="422" w:type="pct"/>
            <w:vAlign w:val="center"/>
          </w:tcPr>
          <w:p w14:paraId="525C6DC6" w14:textId="77777777" w:rsidR="004F3BBB" w:rsidRPr="001B3164" w:rsidRDefault="004F3BBB" w:rsidP="001639D7">
            <w:pPr>
              <w:jc w:val="center"/>
              <w:rPr>
                <w:noProof/>
                <w:color w:val="3B3838" w:themeColor="background2" w:themeShade="40"/>
              </w:rPr>
            </w:pPr>
            <w:r>
              <w:rPr>
                <w:noProof/>
                <w:color w:val="3B3838" w:themeColor="background2" w:themeShade="40"/>
              </w:rPr>
              <w:t>3,32 %</w:t>
            </w:r>
          </w:p>
        </w:tc>
      </w:tr>
    </w:tbl>
    <w:p w14:paraId="0750701B" w14:textId="77777777" w:rsidR="004F3BBB" w:rsidRPr="004F3BBB" w:rsidRDefault="004F3BBB" w:rsidP="004F3BBB">
      <w:pPr>
        <w:spacing w:after="0"/>
        <w:rPr>
          <w:b/>
          <w:bCs/>
          <w:noProof/>
          <w:color w:val="034EA2" w:themeColor="accent1"/>
          <w:sz w:val="12"/>
          <w:szCs w:val="14"/>
        </w:rPr>
      </w:pPr>
    </w:p>
    <w:tbl>
      <w:tblPr>
        <w:tblStyle w:val="TableGrid"/>
        <w:tblW w:w="3736" w:type="dxa"/>
        <w:tblInd w:w="43"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2100"/>
        <w:gridCol w:w="831"/>
        <w:gridCol w:w="805"/>
      </w:tblGrid>
      <w:tr w:rsidR="004F3BBB" w:rsidRPr="001B3164" w14:paraId="26DC53BC" w14:textId="77777777" w:rsidTr="00177D88">
        <w:trPr>
          <w:trHeight w:val="510"/>
        </w:trPr>
        <w:tc>
          <w:tcPr>
            <w:tcW w:w="2100" w:type="dxa"/>
            <w:vMerge w:val="restart"/>
            <w:shd w:val="clear" w:color="auto" w:fill="034EA2" w:themeFill="accent1"/>
            <w:vAlign w:val="center"/>
          </w:tcPr>
          <w:p w14:paraId="33E98264" w14:textId="4CB51680" w:rsidR="004F3BBB" w:rsidRPr="001B3164" w:rsidRDefault="004F3BBB" w:rsidP="001639D7">
            <w:pPr>
              <w:spacing w:line="216" w:lineRule="auto"/>
              <w:jc w:val="center"/>
              <w:rPr>
                <w:b/>
                <w:bCs/>
                <w:noProof/>
                <w:color w:val="FFFFFF" w:themeColor="background1"/>
              </w:rPr>
            </w:pPr>
            <w:r>
              <w:rPr>
                <w:b/>
                <w:noProof/>
                <w:color w:val="FFFFFF" w:themeColor="background1"/>
              </w:rPr>
              <w:t>Mecanismul de reformă și creștere pentru Balcanii de Vest</w:t>
            </w:r>
          </w:p>
        </w:tc>
        <w:tc>
          <w:tcPr>
            <w:tcW w:w="831" w:type="dxa"/>
            <w:shd w:val="clear" w:color="auto" w:fill="034EA2" w:themeFill="accent1"/>
            <w:vAlign w:val="center"/>
            <w:hideMark/>
          </w:tcPr>
          <w:p w14:paraId="203C1437" w14:textId="5A2D0630" w:rsidR="004F3BBB" w:rsidRPr="001B3164" w:rsidRDefault="004F3BBB" w:rsidP="00177D88">
            <w:pPr>
              <w:jc w:val="center"/>
              <w:rPr>
                <w:b/>
                <w:bCs/>
                <w:noProof/>
                <w:color w:val="FFFFFF" w:themeColor="background1"/>
              </w:rPr>
            </w:pPr>
            <w:r>
              <w:rPr>
                <w:b/>
                <w:noProof/>
                <w:color w:val="FFFFFF" w:themeColor="background1"/>
              </w:rPr>
              <w:t>CT1</w:t>
            </w:r>
          </w:p>
        </w:tc>
        <w:tc>
          <w:tcPr>
            <w:tcW w:w="805" w:type="dxa"/>
            <w:shd w:val="clear" w:color="auto" w:fill="034EA2" w:themeFill="accent1"/>
            <w:vAlign w:val="center"/>
            <w:hideMark/>
          </w:tcPr>
          <w:p w14:paraId="3BE04C4F" w14:textId="3F0DF17A" w:rsidR="004F3BBB" w:rsidRPr="001B3164" w:rsidRDefault="004F3BBB" w:rsidP="001639D7">
            <w:pPr>
              <w:jc w:val="center"/>
              <w:rPr>
                <w:b/>
                <w:bCs/>
                <w:noProof/>
                <w:color w:val="FFFFFF" w:themeColor="background1"/>
              </w:rPr>
            </w:pPr>
            <w:r>
              <w:rPr>
                <w:b/>
                <w:noProof/>
                <w:color w:val="FFFFFF" w:themeColor="background1"/>
              </w:rPr>
              <w:t>CT2</w:t>
            </w:r>
          </w:p>
        </w:tc>
      </w:tr>
      <w:tr w:rsidR="004F3BBB" w:rsidRPr="001B3164" w14:paraId="3F8DF4A8" w14:textId="77777777" w:rsidTr="00177D88">
        <w:trPr>
          <w:trHeight w:val="415"/>
        </w:trPr>
        <w:tc>
          <w:tcPr>
            <w:tcW w:w="2100" w:type="dxa"/>
            <w:vMerge/>
          </w:tcPr>
          <w:p w14:paraId="6D850F63" w14:textId="1808E011" w:rsidR="004F3BBB" w:rsidRPr="001B3164" w:rsidRDefault="004F3BBB" w:rsidP="001639D7">
            <w:pPr>
              <w:jc w:val="center"/>
              <w:rPr>
                <w:noProof/>
                <w:color w:val="3B3838" w:themeColor="background2" w:themeShade="40"/>
              </w:rPr>
            </w:pPr>
          </w:p>
        </w:tc>
        <w:tc>
          <w:tcPr>
            <w:tcW w:w="831" w:type="dxa"/>
            <w:vAlign w:val="center"/>
            <w:hideMark/>
          </w:tcPr>
          <w:p w14:paraId="24AC3CBB" w14:textId="051C8CE7" w:rsidR="004F3BBB" w:rsidRPr="001B3164" w:rsidRDefault="004F3BBB" w:rsidP="001639D7">
            <w:pPr>
              <w:jc w:val="center"/>
              <w:rPr>
                <w:noProof/>
                <w:color w:val="3B3838" w:themeColor="background2" w:themeShade="40"/>
              </w:rPr>
            </w:pPr>
            <w:r>
              <w:rPr>
                <w:noProof/>
                <w:color w:val="3B3838" w:themeColor="background2" w:themeShade="40"/>
              </w:rPr>
              <w:t>2,85 %</w:t>
            </w:r>
          </w:p>
        </w:tc>
        <w:tc>
          <w:tcPr>
            <w:tcW w:w="805" w:type="dxa"/>
            <w:vAlign w:val="center"/>
            <w:hideMark/>
          </w:tcPr>
          <w:p w14:paraId="7EA29DD5" w14:textId="33561C03" w:rsidR="004F3BBB" w:rsidRPr="001B3164" w:rsidRDefault="004F3BBB" w:rsidP="001639D7">
            <w:pPr>
              <w:jc w:val="center"/>
              <w:rPr>
                <w:noProof/>
                <w:color w:val="3B3838" w:themeColor="background2" w:themeShade="40"/>
              </w:rPr>
            </w:pPr>
            <w:r>
              <w:rPr>
                <w:noProof/>
                <w:color w:val="3B3838" w:themeColor="background2" w:themeShade="40"/>
              </w:rPr>
              <w:t>2,72 %</w:t>
            </w:r>
          </w:p>
        </w:tc>
      </w:tr>
    </w:tbl>
    <w:p w14:paraId="43EFA9AC" w14:textId="77777777" w:rsidR="004F3BBB" w:rsidRPr="004F3BBB" w:rsidRDefault="004F3BBB" w:rsidP="004F3BBB">
      <w:pPr>
        <w:spacing w:after="0"/>
        <w:rPr>
          <w:b/>
          <w:bCs/>
          <w:noProof/>
          <w:color w:val="034EA2" w:themeColor="accent1"/>
          <w:sz w:val="12"/>
          <w:szCs w:val="14"/>
        </w:rPr>
      </w:pPr>
    </w:p>
    <w:tbl>
      <w:tblPr>
        <w:tblStyle w:val="TableGrid"/>
        <w:tblW w:w="4908" w:type="pct"/>
        <w:tblInd w:w="108"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48"/>
        <w:gridCol w:w="2116"/>
        <w:gridCol w:w="2056"/>
        <w:gridCol w:w="2052"/>
      </w:tblGrid>
      <w:tr w:rsidR="00B14F69" w:rsidRPr="001B3164" w14:paraId="0ADD8875" w14:textId="77777777" w:rsidTr="00B14F69">
        <w:trPr>
          <w:trHeight w:val="510"/>
        </w:trPr>
        <w:tc>
          <w:tcPr>
            <w:tcW w:w="1570" w:type="pct"/>
            <w:vMerge w:val="restart"/>
            <w:shd w:val="clear" w:color="auto" w:fill="034EA2" w:themeFill="accent1"/>
            <w:vAlign w:val="center"/>
          </w:tcPr>
          <w:p w14:paraId="1EB005FC" w14:textId="77777777" w:rsidR="00B14F69" w:rsidRPr="001B3164" w:rsidRDefault="00B14F69" w:rsidP="004F3BBB">
            <w:pPr>
              <w:jc w:val="center"/>
              <w:rPr>
                <w:b/>
                <w:bCs/>
                <w:noProof/>
                <w:color w:val="FFFFFF" w:themeColor="background1"/>
              </w:rPr>
            </w:pPr>
            <w:r>
              <w:rPr>
                <w:b/>
                <w:noProof/>
                <w:color w:val="FFFFFF" w:themeColor="background1"/>
              </w:rPr>
              <w:t>Ucraina</w:t>
            </w:r>
          </w:p>
        </w:tc>
        <w:tc>
          <w:tcPr>
            <w:tcW w:w="1166" w:type="pct"/>
            <w:shd w:val="clear" w:color="auto" w:fill="034EA2" w:themeFill="accent1"/>
            <w:vAlign w:val="center"/>
          </w:tcPr>
          <w:p w14:paraId="61E2616C" w14:textId="45096544" w:rsidR="00B14F69" w:rsidRPr="001B3164" w:rsidRDefault="00B14F69" w:rsidP="001639D7">
            <w:pPr>
              <w:jc w:val="center"/>
              <w:rPr>
                <w:b/>
                <w:bCs/>
                <w:noProof/>
                <w:color w:val="FFFFFF" w:themeColor="background1"/>
              </w:rPr>
            </w:pPr>
            <w:r>
              <w:rPr>
                <w:b/>
                <w:noProof/>
                <w:color w:val="FFFFFF" w:themeColor="background1"/>
              </w:rPr>
              <w:t>Mecanismul pentru Ucraina</w:t>
            </w:r>
          </w:p>
        </w:tc>
        <w:tc>
          <w:tcPr>
            <w:tcW w:w="1133" w:type="pct"/>
            <w:shd w:val="clear" w:color="auto" w:fill="034EA2" w:themeFill="accent1"/>
            <w:vAlign w:val="center"/>
          </w:tcPr>
          <w:p w14:paraId="44C05403" w14:textId="77777777" w:rsidR="00B14F69" w:rsidRPr="001B3164" w:rsidRDefault="00B14F69" w:rsidP="001639D7">
            <w:pPr>
              <w:jc w:val="center"/>
              <w:rPr>
                <w:b/>
                <w:bCs/>
                <w:noProof/>
                <w:color w:val="FFFFFF" w:themeColor="background1"/>
              </w:rPr>
            </w:pPr>
            <w:r>
              <w:rPr>
                <w:b/>
                <w:noProof/>
                <w:color w:val="FFFFFF" w:themeColor="background1"/>
              </w:rPr>
              <w:t>AMF+</w:t>
            </w:r>
          </w:p>
        </w:tc>
        <w:tc>
          <w:tcPr>
            <w:tcW w:w="1131" w:type="pct"/>
            <w:shd w:val="clear" w:color="auto" w:fill="034EA2" w:themeFill="accent1"/>
            <w:vAlign w:val="center"/>
          </w:tcPr>
          <w:p w14:paraId="2163C086" w14:textId="77777777" w:rsidR="00B14F69" w:rsidRPr="001B3164" w:rsidRDefault="00B14F69" w:rsidP="004F3BBB">
            <w:pPr>
              <w:spacing w:line="216" w:lineRule="auto"/>
              <w:jc w:val="center"/>
              <w:rPr>
                <w:b/>
                <w:bCs/>
                <w:noProof/>
                <w:color w:val="FFFFFF" w:themeColor="background1"/>
              </w:rPr>
            </w:pPr>
            <w:r>
              <w:rPr>
                <w:b/>
                <w:noProof/>
                <w:color w:val="FFFFFF" w:themeColor="background1"/>
              </w:rPr>
              <w:t>AMF Ucraina</w:t>
            </w:r>
            <w:r>
              <w:rPr>
                <w:noProof/>
              </w:rPr>
              <w:t xml:space="preserve"> </w:t>
            </w:r>
            <w:r>
              <w:rPr>
                <w:noProof/>
              </w:rPr>
              <w:br/>
            </w:r>
            <w:r>
              <w:rPr>
                <w:b/>
                <w:noProof/>
                <w:color w:val="FFFFFF" w:themeColor="background1"/>
              </w:rPr>
              <w:t>(G7 ERA)</w:t>
            </w:r>
          </w:p>
        </w:tc>
      </w:tr>
      <w:tr w:rsidR="004F3BBB" w:rsidRPr="001B3164" w14:paraId="45FC15D9" w14:textId="77777777" w:rsidTr="00B14F69">
        <w:trPr>
          <w:trHeight w:val="428"/>
        </w:trPr>
        <w:tc>
          <w:tcPr>
            <w:tcW w:w="1570" w:type="pct"/>
            <w:vMerge/>
          </w:tcPr>
          <w:p w14:paraId="28CA46A7" w14:textId="147ECCB5" w:rsidR="004F3BBB" w:rsidRPr="001B3164" w:rsidRDefault="004F3BBB" w:rsidP="001639D7">
            <w:pPr>
              <w:jc w:val="center"/>
              <w:rPr>
                <w:noProof/>
                <w:color w:val="3B3838" w:themeColor="background2" w:themeShade="40"/>
              </w:rPr>
            </w:pPr>
          </w:p>
        </w:tc>
        <w:tc>
          <w:tcPr>
            <w:tcW w:w="1166" w:type="pct"/>
            <w:vAlign w:val="center"/>
          </w:tcPr>
          <w:p w14:paraId="7FE6BB06" w14:textId="5F7FEE8E" w:rsidR="004F3BBB" w:rsidRPr="001B3164" w:rsidRDefault="004F3BBB" w:rsidP="001639D7">
            <w:pPr>
              <w:jc w:val="center"/>
              <w:rPr>
                <w:noProof/>
                <w:color w:val="3B3838" w:themeColor="background2" w:themeShade="40"/>
              </w:rPr>
            </w:pPr>
            <w:r>
              <w:rPr>
                <w:noProof/>
                <w:color w:val="3B3838" w:themeColor="background2" w:themeShade="40"/>
              </w:rPr>
              <w:t>2,76 %</w:t>
            </w:r>
          </w:p>
        </w:tc>
        <w:tc>
          <w:tcPr>
            <w:tcW w:w="1133" w:type="pct"/>
            <w:vAlign w:val="center"/>
          </w:tcPr>
          <w:p w14:paraId="51A1C56C" w14:textId="77777777" w:rsidR="004F3BBB" w:rsidRPr="001B3164" w:rsidRDefault="004F3BBB" w:rsidP="001639D7">
            <w:pPr>
              <w:jc w:val="center"/>
              <w:rPr>
                <w:noProof/>
                <w:color w:val="3B3838" w:themeColor="background2" w:themeShade="40"/>
              </w:rPr>
            </w:pPr>
            <w:r>
              <w:rPr>
                <w:noProof/>
                <w:color w:val="3B3838" w:themeColor="background2" w:themeShade="40"/>
              </w:rPr>
              <w:t>3,15 %</w:t>
            </w:r>
          </w:p>
        </w:tc>
        <w:tc>
          <w:tcPr>
            <w:tcW w:w="1131" w:type="pct"/>
            <w:vAlign w:val="center"/>
          </w:tcPr>
          <w:p w14:paraId="461F9DF8" w14:textId="49EF9D45" w:rsidR="004F3BBB" w:rsidRPr="001B3164" w:rsidRDefault="004F3BBB" w:rsidP="001639D7">
            <w:pPr>
              <w:jc w:val="center"/>
              <w:rPr>
                <w:noProof/>
                <w:color w:val="3B3838" w:themeColor="background2" w:themeShade="40"/>
              </w:rPr>
            </w:pPr>
            <w:r>
              <w:rPr>
                <w:noProof/>
                <w:color w:val="3B3838" w:themeColor="background2" w:themeShade="40"/>
              </w:rPr>
              <w:t>2,54 %</w:t>
            </w:r>
          </w:p>
        </w:tc>
      </w:tr>
    </w:tbl>
    <w:p w14:paraId="527C277C" w14:textId="77777777" w:rsidR="004F3BBB" w:rsidRPr="004F3BBB" w:rsidRDefault="004F3BBB" w:rsidP="004F3BBB">
      <w:pPr>
        <w:spacing w:after="0"/>
        <w:rPr>
          <w:noProof/>
          <w:sz w:val="12"/>
          <w:szCs w:val="14"/>
        </w:rPr>
      </w:pPr>
    </w:p>
    <w:tbl>
      <w:tblPr>
        <w:tblStyle w:val="TableGrid"/>
        <w:tblW w:w="4908" w:type="pct"/>
        <w:tblInd w:w="108"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058"/>
        <w:gridCol w:w="2380"/>
        <w:gridCol w:w="2319"/>
        <w:gridCol w:w="2315"/>
      </w:tblGrid>
      <w:tr w:rsidR="004F3BBB" w:rsidRPr="001B3164" w14:paraId="3DE12F8A" w14:textId="77777777" w:rsidTr="00177D88">
        <w:trPr>
          <w:trHeight w:val="510"/>
        </w:trPr>
        <w:tc>
          <w:tcPr>
            <w:tcW w:w="1134" w:type="pct"/>
            <w:vMerge w:val="restart"/>
            <w:shd w:val="clear" w:color="auto" w:fill="034EA2" w:themeFill="accent1"/>
            <w:vAlign w:val="center"/>
          </w:tcPr>
          <w:p w14:paraId="2C850882" w14:textId="77777777" w:rsidR="004F3BBB" w:rsidRPr="001B3164" w:rsidRDefault="004F3BBB" w:rsidP="001639D7">
            <w:pPr>
              <w:jc w:val="center"/>
              <w:rPr>
                <w:b/>
                <w:bCs/>
                <w:noProof/>
                <w:color w:val="FFFFFF" w:themeColor="background1"/>
              </w:rPr>
            </w:pPr>
            <w:r>
              <w:rPr>
                <w:b/>
                <w:noProof/>
                <w:color w:val="FFFFFF" w:themeColor="background1"/>
              </w:rPr>
              <w:t>Alte țări</w:t>
            </w:r>
          </w:p>
        </w:tc>
        <w:tc>
          <w:tcPr>
            <w:tcW w:w="1312" w:type="pct"/>
            <w:shd w:val="clear" w:color="auto" w:fill="034EA2" w:themeFill="accent1"/>
            <w:vAlign w:val="center"/>
          </w:tcPr>
          <w:p w14:paraId="06A4207C" w14:textId="77777777" w:rsidR="004F3BBB" w:rsidRPr="001B3164" w:rsidRDefault="004F3BBB" w:rsidP="001639D7">
            <w:pPr>
              <w:jc w:val="center"/>
              <w:rPr>
                <w:b/>
                <w:bCs/>
                <w:noProof/>
                <w:color w:val="FFFFFF" w:themeColor="background1"/>
              </w:rPr>
            </w:pPr>
            <w:r>
              <w:rPr>
                <w:b/>
                <w:noProof/>
                <w:color w:val="FFFFFF" w:themeColor="background1"/>
              </w:rPr>
              <w:t>AMF Egipt</w:t>
            </w:r>
          </w:p>
        </w:tc>
        <w:tc>
          <w:tcPr>
            <w:tcW w:w="1278" w:type="pct"/>
            <w:shd w:val="clear" w:color="auto" w:fill="034EA2" w:themeFill="accent1"/>
            <w:vAlign w:val="center"/>
          </w:tcPr>
          <w:p w14:paraId="617EE82F" w14:textId="77777777" w:rsidR="004F3BBB" w:rsidRPr="001B3164" w:rsidRDefault="004F3BBB" w:rsidP="001639D7">
            <w:pPr>
              <w:jc w:val="center"/>
              <w:rPr>
                <w:b/>
                <w:bCs/>
                <w:noProof/>
                <w:color w:val="FFFFFF" w:themeColor="background1"/>
              </w:rPr>
            </w:pPr>
            <w:r>
              <w:rPr>
                <w:b/>
                <w:noProof/>
                <w:color w:val="FFFFFF" w:themeColor="background1"/>
              </w:rPr>
              <w:t>AMF Iordania</w:t>
            </w:r>
          </w:p>
        </w:tc>
        <w:tc>
          <w:tcPr>
            <w:tcW w:w="1276" w:type="pct"/>
            <w:shd w:val="clear" w:color="auto" w:fill="034EA2" w:themeFill="accent1"/>
            <w:vAlign w:val="center"/>
          </w:tcPr>
          <w:p w14:paraId="5C9E3EEF" w14:textId="77777777" w:rsidR="004F3BBB" w:rsidRPr="001B3164" w:rsidRDefault="004F3BBB" w:rsidP="001639D7">
            <w:pPr>
              <w:jc w:val="center"/>
              <w:rPr>
                <w:b/>
                <w:bCs/>
                <w:noProof/>
                <w:color w:val="FFFFFF" w:themeColor="background1"/>
              </w:rPr>
            </w:pPr>
            <w:r>
              <w:rPr>
                <w:b/>
                <w:noProof/>
                <w:color w:val="FFFFFF" w:themeColor="background1"/>
              </w:rPr>
              <w:t>Mecanismul de reformă și creștere pentru Republica Moldova</w:t>
            </w:r>
          </w:p>
        </w:tc>
      </w:tr>
      <w:tr w:rsidR="004F3BBB" w:rsidRPr="001B3164" w14:paraId="09936717" w14:textId="77777777" w:rsidTr="004F3BBB">
        <w:trPr>
          <w:trHeight w:val="428"/>
        </w:trPr>
        <w:tc>
          <w:tcPr>
            <w:tcW w:w="1134" w:type="pct"/>
            <w:vMerge/>
          </w:tcPr>
          <w:p w14:paraId="02E99D60" w14:textId="77777777" w:rsidR="004F3BBB" w:rsidRPr="001B3164" w:rsidRDefault="004F3BBB" w:rsidP="001639D7">
            <w:pPr>
              <w:jc w:val="center"/>
              <w:rPr>
                <w:noProof/>
                <w:color w:val="3B3838" w:themeColor="background2" w:themeShade="40"/>
              </w:rPr>
            </w:pPr>
          </w:p>
        </w:tc>
        <w:tc>
          <w:tcPr>
            <w:tcW w:w="1312" w:type="pct"/>
            <w:vAlign w:val="center"/>
          </w:tcPr>
          <w:p w14:paraId="57470FFD" w14:textId="77777777" w:rsidR="004F3BBB" w:rsidRPr="001B3164" w:rsidRDefault="004F3BBB" w:rsidP="001639D7">
            <w:pPr>
              <w:jc w:val="center"/>
              <w:rPr>
                <w:noProof/>
                <w:color w:val="3B3838" w:themeColor="background2" w:themeShade="40"/>
              </w:rPr>
            </w:pPr>
            <w:r>
              <w:rPr>
                <w:noProof/>
                <w:color w:val="3B3838" w:themeColor="background2" w:themeShade="40"/>
              </w:rPr>
              <w:t>2,76 %</w:t>
            </w:r>
          </w:p>
        </w:tc>
        <w:tc>
          <w:tcPr>
            <w:tcW w:w="1278" w:type="pct"/>
            <w:vAlign w:val="center"/>
          </w:tcPr>
          <w:p w14:paraId="5C3D4BE1" w14:textId="77777777" w:rsidR="004F3BBB" w:rsidRPr="001B3164" w:rsidRDefault="004F3BBB" w:rsidP="001639D7">
            <w:pPr>
              <w:jc w:val="center"/>
              <w:rPr>
                <w:noProof/>
                <w:color w:val="3B3838" w:themeColor="background2" w:themeShade="40"/>
              </w:rPr>
            </w:pPr>
            <w:r>
              <w:rPr>
                <w:noProof/>
                <w:color w:val="3B3838" w:themeColor="background2" w:themeShade="40"/>
              </w:rPr>
              <w:t>2,79 %</w:t>
            </w:r>
          </w:p>
        </w:tc>
        <w:tc>
          <w:tcPr>
            <w:tcW w:w="1276" w:type="pct"/>
            <w:vAlign w:val="center"/>
          </w:tcPr>
          <w:p w14:paraId="3694E7F5" w14:textId="77777777" w:rsidR="004F3BBB" w:rsidRPr="001B3164" w:rsidRDefault="004F3BBB" w:rsidP="001639D7">
            <w:pPr>
              <w:jc w:val="center"/>
              <w:rPr>
                <w:noProof/>
                <w:color w:val="3B3838" w:themeColor="background2" w:themeShade="40"/>
              </w:rPr>
            </w:pPr>
            <w:r>
              <w:rPr>
                <w:noProof/>
                <w:color w:val="3B3838" w:themeColor="background2" w:themeShade="40"/>
              </w:rPr>
              <w:t>2,73 %</w:t>
            </w:r>
          </w:p>
        </w:tc>
      </w:tr>
    </w:tbl>
    <w:p w14:paraId="27BA2E0A" w14:textId="77777777" w:rsidR="004F3BBB" w:rsidRDefault="004F3BBB">
      <w:pPr>
        <w:spacing w:line="259" w:lineRule="auto"/>
        <w:jc w:val="left"/>
        <w:rPr>
          <w:noProof/>
        </w:rPr>
      </w:pPr>
    </w:p>
    <w:p w14:paraId="006F2D7F" w14:textId="42D62299" w:rsidR="00011761" w:rsidRPr="001B3164" w:rsidRDefault="00CF2EAE" w:rsidP="00011761">
      <w:pPr>
        <w:rPr>
          <w:noProof/>
        </w:rPr>
      </w:pPr>
      <w:r>
        <w:rPr>
          <w:noProof/>
        </w:rPr>
        <w:t xml:space="preserve">Modificările costului finanțării reflectă, de asemenea, condițiile predominante de pe piață, care se modifică în timp și influențează costul îndatorării pentru emisiunile UE. În al doilea semestru al anului 2025, ratele dobânzilor au fost volatile din cauza incertitudinilor economice și financiare. Rata dobânzii pentru obligațiunile UE cu scadența la 10 ani a variat între 3,00 % și 3,27 % în cursul semestrului, ajungând la 3,20 %. Spreadurile randamentelor dintre UE și majoritatea emitenților de obligațiuni de stat europene s-au redus, spreadul ratei dobânzii pe 10 ani între obligațiunile UE și un coș 50/50 de obligațiuni suverane germane/franceze scăzând de la aproximativ 5 puncte de bază la începutul semestrului la -1 punct de bază în decembrie 2025. </w:t>
      </w:r>
    </w:p>
    <w:p w14:paraId="29DC7D9D" w14:textId="2BFA1CDA" w:rsidR="008229A6" w:rsidRDefault="008229A6" w:rsidP="00177D88">
      <w:pPr>
        <w:spacing w:before="320"/>
        <w:rPr>
          <w:b/>
          <w:bCs/>
          <w:noProof/>
          <w:color w:val="034EA2" w:themeColor="accent1"/>
        </w:rPr>
      </w:pPr>
      <w:r>
        <w:rPr>
          <w:b/>
          <w:noProof/>
          <w:color w:val="034EA2" w:themeColor="accent1"/>
        </w:rPr>
        <w:t>Graficul 7: Randamentele la obligațiunile UE cu scadența la 10 ani</w:t>
      </w:r>
    </w:p>
    <w:p w14:paraId="7454E578" w14:textId="262D9A85" w:rsidR="002A7852" w:rsidRDefault="00874034" w:rsidP="00177D88">
      <w:pPr>
        <w:jc w:val="center"/>
        <w:rPr>
          <w:b/>
          <w:bCs/>
          <w:noProof/>
          <w:color w:val="034EA2" w:themeColor="accent1"/>
        </w:rPr>
      </w:pPr>
      <w:r w:rsidRPr="00874034">
        <w:rPr>
          <w:b/>
          <w:bCs/>
          <w:noProof/>
          <w:color w:val="034EA2" w:themeColor="accent1"/>
          <w:lang w:val="en-GB" w:eastAsia="en-GB"/>
        </w:rPr>
        <w:drawing>
          <wp:inline distT="0" distB="0" distL="0" distR="0" wp14:anchorId="3E8DADDE" wp14:editId="10268C0B">
            <wp:extent cx="5523608" cy="2512612"/>
            <wp:effectExtent l="0" t="0" r="0" b="0"/>
            <wp:docPr id="2056358102" name="Picture 1" descr="A graph showing the growth of the stock mar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58102" name="Picture 1" descr="A graph showing the growth of the stock market&#10;&#10;AI-generated content may be incorrect."/>
                    <pic:cNvPicPr/>
                  </pic:nvPicPr>
                  <pic:blipFill>
                    <a:blip r:embed="rId38"/>
                    <a:stretch>
                      <a:fillRect/>
                    </a:stretch>
                  </pic:blipFill>
                  <pic:spPr>
                    <a:xfrm>
                      <a:off x="0" y="0"/>
                      <a:ext cx="5535436" cy="2517992"/>
                    </a:xfrm>
                    <a:prstGeom prst="rect">
                      <a:avLst/>
                    </a:prstGeom>
                  </pic:spPr>
                </pic:pic>
              </a:graphicData>
            </a:graphic>
          </wp:inline>
        </w:drawing>
      </w:r>
    </w:p>
    <w:p w14:paraId="4C49BAE0" w14:textId="77777777" w:rsidR="00BD6FE8" w:rsidRPr="001B3164" w:rsidRDefault="00BD6FE8" w:rsidP="00177D88">
      <w:pPr>
        <w:jc w:val="center"/>
        <w:rPr>
          <w:b/>
          <w:bCs/>
          <w:noProof/>
          <w:color w:val="034EA2" w:themeColor="accent1"/>
        </w:rPr>
      </w:pPr>
    </w:p>
    <w:p w14:paraId="5F80B38F" w14:textId="5BA1BB74" w:rsidR="00D73D12" w:rsidRPr="001B3164" w:rsidRDefault="001D0900" w:rsidP="00A87F59">
      <w:pPr>
        <w:pStyle w:val="Heading2"/>
        <w:rPr>
          <w:noProof/>
        </w:rPr>
      </w:pPr>
      <w:bookmarkStart w:id="81" w:name="_Toc169303171"/>
      <w:bookmarkStart w:id="82" w:name="_Toc170294787"/>
      <w:bookmarkStart w:id="83" w:name="_Toc187347929"/>
      <w:bookmarkStart w:id="84" w:name="_Toc187701958"/>
      <w:bookmarkStart w:id="85" w:name="_Toc187702013"/>
      <w:bookmarkStart w:id="86" w:name="_Toc190904649"/>
      <w:bookmarkStart w:id="87" w:name="_Toc201318493"/>
      <w:bookmarkStart w:id="88" w:name="_Toc202682646"/>
      <w:bookmarkStart w:id="89" w:name="_Toc219529990"/>
      <w:bookmarkStart w:id="90" w:name="_Toc225760812"/>
      <w:bookmarkStart w:id="91" w:name="_Hlk201234527"/>
      <w:bookmarkStart w:id="92" w:name="_Hlk187336294"/>
      <w:bookmarkEnd w:id="80"/>
      <w:r>
        <w:rPr>
          <w:noProof/>
        </w:rPr>
        <w:t>Costurile</w:t>
      </w:r>
      <w:bookmarkEnd w:id="81"/>
      <w:bookmarkEnd w:id="82"/>
      <w:bookmarkEnd w:id="83"/>
      <w:bookmarkEnd w:id="84"/>
      <w:bookmarkEnd w:id="85"/>
      <w:bookmarkEnd w:id="86"/>
      <w:bookmarkEnd w:id="87"/>
      <w:r>
        <w:rPr>
          <w:noProof/>
        </w:rPr>
        <w:t xml:space="preserve"> de administrare a lichidității</w:t>
      </w:r>
      <w:bookmarkEnd w:id="88"/>
      <w:bookmarkEnd w:id="89"/>
      <w:bookmarkEnd w:id="90"/>
    </w:p>
    <w:p w14:paraId="1AFD2334" w14:textId="2C6A7CB1" w:rsidR="00CB0B4C" w:rsidRDefault="00615BB8" w:rsidP="00CB0B4C">
      <w:pPr>
        <w:rPr>
          <w:noProof/>
        </w:rPr>
      </w:pPr>
      <w:bookmarkStart w:id="93" w:name="_Ref155257759"/>
      <w:r>
        <w:rPr>
          <w:noProof/>
        </w:rPr>
        <w:t xml:space="preserve">Deținerile de lichidități s-au ridicat, în medie, la </w:t>
      </w:r>
      <w:bookmarkStart w:id="94" w:name="_Hlk201762160"/>
      <w:r>
        <w:rPr>
          <w:noProof/>
        </w:rPr>
        <w:t>77,4 miliarde EUR în al doilea semestru al anului</w:t>
      </w:r>
      <w:r w:rsidR="00874034">
        <w:rPr>
          <w:rFonts w:ascii="Calibri" w:hAnsi="Calibri" w:cs="Calibri"/>
          <w:noProof/>
        </w:rPr>
        <w:t> </w:t>
      </w:r>
      <w:r>
        <w:rPr>
          <w:noProof/>
        </w:rPr>
        <w:t>2025</w:t>
      </w:r>
      <w:bookmarkEnd w:id="94"/>
      <w:r>
        <w:rPr>
          <w:noProof/>
        </w:rPr>
        <w:t>, în creștere de la</w:t>
      </w:r>
      <w:r>
        <w:rPr>
          <w:rFonts w:ascii="Calibri" w:hAnsi="Calibri"/>
          <w:noProof/>
        </w:rPr>
        <w:t xml:space="preserve"> </w:t>
      </w:r>
      <w:r>
        <w:rPr>
          <w:noProof/>
        </w:rPr>
        <w:t>71,1 miliarde EUR în primul semestru al anului. Ieșirile au atins un nivel maxim în vară, ridicându-se la 46 de miliarde EUR în august, deținerile de lichidități s-au redus la 54,0 miliarde EUR la sfârșitul lunii august, iar la sfârșitul anului, în decembrie, ieșirile au fost în cuantum de 23 de miliarde EUR, soldul de numerar ajungând la</w:t>
      </w:r>
      <w:r>
        <w:rPr>
          <w:rFonts w:ascii="Calibri" w:hAnsi="Calibri"/>
          <w:noProof/>
        </w:rPr>
        <w:t xml:space="preserve"> </w:t>
      </w:r>
      <w:r>
        <w:rPr>
          <w:noProof/>
        </w:rPr>
        <w:t>65,2 miliarde EUR la 31</w:t>
      </w:r>
      <w:r w:rsidR="00874034">
        <w:rPr>
          <w:rFonts w:ascii="Calibri" w:hAnsi="Calibri" w:cs="Calibri"/>
          <w:noProof/>
        </w:rPr>
        <w:t> </w:t>
      </w:r>
      <w:r>
        <w:rPr>
          <w:noProof/>
        </w:rPr>
        <w:t xml:space="preserve">decembrie 2025. </w:t>
      </w:r>
    </w:p>
    <w:p w14:paraId="65EFDDC8" w14:textId="15DB801A" w:rsidR="00221DD4" w:rsidRDefault="00221DD4" w:rsidP="00CB0B4C">
      <w:pPr>
        <w:rPr>
          <w:noProof/>
        </w:rPr>
      </w:pPr>
      <w:r>
        <w:rPr>
          <w:noProof/>
        </w:rPr>
        <w:t>Această creștere a deținerilor medii de lichidități a reflectat necesitatea de a menține un nivel ridicat al împrumuturilor globale pentru a răspunde cerințelor de finanțare considerabile în ultimul an al NextGenerationEU – cu plăți care urmează un profil mai concentrat la sfârșitul perioadei decât se preconizase inițial – în plus față de plățile preconizate în cadrul SAFE. Un calendar regulat și previzibil al emisiunilor este esențial pentru a asigura cele mai bune condiții de piață și previzibilitate pentru investitori.</w:t>
      </w:r>
      <w:r w:rsidR="001A72C2">
        <w:rPr>
          <w:noProof/>
        </w:rPr>
        <w:t xml:space="preserve"> </w:t>
      </w:r>
    </w:p>
    <w:p w14:paraId="42839382" w14:textId="2F7F7F61" w:rsidR="00692EE3" w:rsidRPr="001B3164" w:rsidRDefault="00831281" w:rsidP="007C742B">
      <w:pPr>
        <w:rPr>
          <w:noProof/>
        </w:rPr>
      </w:pPr>
      <w:r>
        <w:rPr>
          <w:noProof/>
        </w:rPr>
        <w:t>Comisia a investit, în medie, aproximativ 75 % din soldul de numerar disponibil în depozite la termen și tranzacții reverse repo pentru a reduce reportarea negativă asociată soldului de numerar. Acest lucru a creat un randament suplimentar de 20-25 de puncte de bază, care corespunde unui cuantum de 85 de milioane EUR anual, din care aproximativ 70 de milioane EUR în al doilea semestru al anului 2025. În ansamblu, costul net de administrare a lichidității în al doilea semestru al anului 2025 a fost de aproximativ 295 de milioane EUR</w:t>
      </w:r>
      <w:r>
        <w:rPr>
          <w:noProof/>
          <w:vertAlign w:val="superscript"/>
        </w:rPr>
        <w:footnoteReference w:id="15"/>
      </w:r>
      <w:r>
        <w:rPr>
          <w:noProof/>
        </w:rPr>
        <w:t>, comparativ cu un cost net de 195 de milioane EUR aferent deținerilor de lichidități în primul semestru al anului 2025.</w:t>
      </w:r>
    </w:p>
    <w:p w14:paraId="515BFB12" w14:textId="7D4EEE3A" w:rsidR="00456072" w:rsidRPr="001B3164" w:rsidRDefault="00456072" w:rsidP="00A87F59">
      <w:pPr>
        <w:pStyle w:val="Heading1"/>
        <w:rPr>
          <w:noProof/>
        </w:rPr>
      </w:pPr>
      <w:bookmarkStart w:id="96" w:name="_Ref169300365"/>
      <w:bookmarkStart w:id="97" w:name="_Ref169300367"/>
      <w:bookmarkStart w:id="98" w:name="_Toc225760813"/>
      <w:bookmarkStart w:id="99" w:name="_Hlk187423718"/>
      <w:bookmarkEnd w:id="70"/>
      <w:bookmarkEnd w:id="91"/>
      <w:bookmarkEnd w:id="92"/>
      <w:bookmarkEnd w:id="93"/>
      <w:r>
        <w:rPr>
          <w:noProof/>
        </w:rPr>
        <w:t>Alte jaloane aferente celui de-al doilea semestru al anului</w:t>
      </w:r>
      <w:r w:rsidR="008C5F90">
        <w:rPr>
          <w:rFonts w:ascii="Calibri" w:hAnsi="Calibri" w:cs="Calibri"/>
          <w:noProof/>
        </w:rPr>
        <w:t> </w:t>
      </w:r>
      <w:r>
        <w:rPr>
          <w:noProof/>
        </w:rPr>
        <w:t>202</w:t>
      </w:r>
      <w:bookmarkEnd w:id="96"/>
      <w:bookmarkEnd w:id="97"/>
      <w:r>
        <w:rPr>
          <w:noProof/>
        </w:rPr>
        <w:t>5</w:t>
      </w:r>
      <w:bookmarkEnd w:id="98"/>
    </w:p>
    <w:p w14:paraId="752BB321" w14:textId="1DEF3C5E" w:rsidR="00AA2374" w:rsidRDefault="006E36AB" w:rsidP="00A65CF3">
      <w:pPr>
        <w:rPr>
          <w:rFonts w:eastAsiaTheme="majorEastAsia" w:cstheme="majorBidi"/>
          <w:caps/>
          <w:noProof/>
          <w:color w:val="70AD47" w:themeColor="accent2"/>
          <w:sz w:val="24"/>
          <w:szCs w:val="26"/>
        </w:rPr>
      </w:pPr>
      <w:bookmarkStart w:id="100" w:name="_Toc187702017"/>
      <w:bookmarkStart w:id="101" w:name="_Toc169303180"/>
      <w:r>
        <w:rPr>
          <w:caps/>
          <w:noProof/>
          <w:color w:val="70AD47" w:themeColor="accent2"/>
          <w:sz w:val="24"/>
        </w:rPr>
        <w:t>2025 NGEU Green Bonds Allocation and Impact report (Raportul privind alocarea și impactul obligațiunilor verzi NextGenerationEU)</w:t>
      </w:r>
    </w:p>
    <w:p w14:paraId="0E848F00" w14:textId="18473167" w:rsidR="00381AB3" w:rsidRPr="00381AB3" w:rsidRDefault="00381AB3" w:rsidP="00381AB3">
      <w:pPr>
        <w:spacing w:after="120"/>
        <w:rPr>
          <w:noProof/>
        </w:rPr>
      </w:pPr>
      <w:r>
        <w:rPr>
          <w:noProof/>
        </w:rPr>
        <w:t xml:space="preserve">La 9 decembrie 2025, Comisia a publicat cel de al patrulea </w:t>
      </w:r>
      <w:hyperlink r:id="rId39" w:history="1">
        <w:r>
          <w:rPr>
            <w:rStyle w:val="Hyperlink"/>
            <w:noProof/>
          </w:rPr>
          <w:t>raport anual privind alocarea și impactul obligațiunilor verzi NextGenerationEU</w:t>
        </w:r>
      </w:hyperlink>
      <w:r>
        <w:rPr>
          <w:noProof/>
        </w:rPr>
        <w:t xml:space="preserve"> în cadrul programului său emblematic NGEU privind obligațiunile verzi.</w:t>
      </w:r>
      <w:r>
        <w:rPr>
          <w:rFonts w:ascii="Calibri" w:hAnsi="Calibri"/>
          <w:noProof/>
        </w:rPr>
        <w:t xml:space="preserve"> </w:t>
      </w:r>
    </w:p>
    <w:p w14:paraId="0E6EB9BC" w14:textId="4BB310D9" w:rsidR="00381AB3" w:rsidRPr="00381AB3" w:rsidRDefault="00381AB3" w:rsidP="00381AB3">
      <w:pPr>
        <w:spacing w:after="120"/>
        <w:rPr>
          <w:noProof/>
        </w:rPr>
      </w:pPr>
      <w:r>
        <w:rPr>
          <w:noProof/>
        </w:rPr>
        <w:t>Raportul, care oferă o actualizare anuală cu privire la utilizarea veniturilor obținute și la impactul asupra climei al investițiilor finanțate prin obligațiunile verzi NGEU, estimează că aceste investiții au contribuit la prevenirea a 14 milioane de tone de emisii de CO</w:t>
      </w:r>
      <w:r>
        <w:rPr>
          <w:noProof/>
          <w:vertAlign w:val="subscript"/>
        </w:rPr>
        <w:t>2</w:t>
      </w:r>
      <w:r>
        <w:rPr>
          <w:noProof/>
        </w:rPr>
        <w:t xml:space="preserve"> pe an. Aceasta reprezintă o creștere exponențială a prevenirii efective a emisiilor de gaze cu efect de seră în comparație cu anii precedenți (de la 1,5 milioane de tone de echivalent CO</w:t>
      </w:r>
      <w:r>
        <w:rPr>
          <w:noProof/>
          <w:vertAlign w:val="subscript"/>
        </w:rPr>
        <w:t>2</w:t>
      </w:r>
      <w:r>
        <w:rPr>
          <w:noProof/>
        </w:rPr>
        <w:t xml:space="preserve"> pe an în 2024 și 224 143 de tone de echivalent CO</w:t>
      </w:r>
      <w:r>
        <w:rPr>
          <w:noProof/>
          <w:vertAlign w:val="subscript"/>
        </w:rPr>
        <w:t>2</w:t>
      </w:r>
      <w:r>
        <w:rPr>
          <w:noProof/>
        </w:rPr>
        <w:t xml:space="preserve"> pe an în 2023). Acest lucru reflectă, de asemenea, durata prelungită a punerii în aplicare a proiectelor în cadrul MRR.</w:t>
      </w:r>
    </w:p>
    <w:p w14:paraId="48D826C1" w14:textId="4DF03872" w:rsidR="00381AB3" w:rsidRPr="00381AB3" w:rsidRDefault="00E839CB" w:rsidP="00381AB3">
      <w:pPr>
        <w:spacing w:after="120"/>
        <w:rPr>
          <w:noProof/>
        </w:rPr>
      </w:pPr>
      <w:r>
        <w:rPr>
          <w:noProof/>
        </w:rPr>
        <w:t>Raportul oferă, de asemenea, informații actualizate cu privire la alocarea încasărilor și la alinierea la</w:t>
      </w:r>
      <w:r>
        <w:rPr>
          <w:rFonts w:ascii="Calibri" w:hAnsi="Calibri"/>
          <w:noProof/>
        </w:rPr>
        <w:t xml:space="preserve"> </w:t>
      </w:r>
      <w:r>
        <w:rPr>
          <w:noProof/>
        </w:rPr>
        <w:t>taxonomia UE a măsurilor finanțate prin</w:t>
      </w:r>
      <w:r w:rsidR="001A72C2">
        <w:rPr>
          <w:noProof/>
        </w:rPr>
        <w:t xml:space="preserve"> </w:t>
      </w:r>
      <w:bookmarkStart w:id="102" w:name="_Hlk200395454"/>
      <w:r>
        <w:rPr>
          <w:noProof/>
        </w:rPr>
        <w:t>obligațiunile verzi NGEU. Pentru prima dată, acesta include, de asemenea, informații cu privire la modul în care</w:t>
      </w:r>
      <w:r>
        <w:rPr>
          <w:rFonts w:ascii="Calibri" w:hAnsi="Calibri"/>
          <w:noProof/>
        </w:rPr>
        <w:t xml:space="preserve"> </w:t>
      </w:r>
      <w:r>
        <w:rPr>
          <w:noProof/>
        </w:rPr>
        <w:t>obligațiunile verzi NGEU</w:t>
      </w:r>
      <w:r>
        <w:rPr>
          <w:rFonts w:ascii="Calibri" w:hAnsi="Calibri"/>
          <w:noProof/>
        </w:rPr>
        <w:t xml:space="preserve"> </w:t>
      </w:r>
      <w:r>
        <w:rPr>
          <w:noProof/>
        </w:rPr>
        <w:t>se aliniază la categoriile NACE</w:t>
      </w:r>
      <w:r>
        <w:rPr>
          <w:rStyle w:val="FootnoteReference"/>
          <w:noProof/>
        </w:rPr>
        <w:footnoteReference w:id="16"/>
      </w:r>
      <w:r>
        <w:rPr>
          <w:noProof/>
        </w:rPr>
        <w:t xml:space="preserve"> corespunzătoare. Noile grafice contribuie la punerea rezultatelor la dispoziția unui public mai larg.</w:t>
      </w:r>
    </w:p>
    <w:p w14:paraId="25E3A7A7" w14:textId="4C755FCC" w:rsidR="00381AB3" w:rsidRPr="00D74D55" w:rsidRDefault="00381AB3" w:rsidP="00D74D55">
      <w:pPr>
        <w:spacing w:after="120"/>
        <w:rPr>
          <w:noProof/>
        </w:rPr>
      </w:pPr>
      <w:r>
        <w:rPr>
          <w:noProof/>
        </w:rPr>
        <w:t xml:space="preserve">Având în vedere că 2026 marchează ultimul an de plăți în cadrul programului NGEU, raportul subliniază, de asemenea, că orice nouă emisiune de obligațiuni verzi NGEU (care se ridică în prezent la 78,5 miliarde EUR) va depinde de progresele înregistrate de statele membre în ceea ce privește punerea în aplicare și raportarea cheltuielilor legate de climă din planul de redresare </w:t>
      </w:r>
      <w:bookmarkEnd w:id="102"/>
      <w:r>
        <w:rPr>
          <w:noProof/>
        </w:rPr>
        <w:t>. Comisia poate continua să emită obligațiuni verzi NGEU după 2026, în faza planificată de refinanțare a programului NextGenerationEU, dar acest lucru este condiționat de raportarea în timp util și cu rezultate satisfăcătoare a cheltuielilor de către statele membre</w:t>
      </w:r>
      <w:r>
        <w:rPr>
          <w:rStyle w:val="FootnoteReference"/>
          <w:noProof/>
        </w:rPr>
        <w:footnoteReference w:id="17"/>
      </w:r>
      <w:r>
        <w:rPr>
          <w:noProof/>
        </w:rPr>
        <w:t>.</w:t>
      </w:r>
    </w:p>
    <w:p w14:paraId="1C0AC0D4" w14:textId="046924C3" w:rsidR="001401DA" w:rsidRPr="001B3164" w:rsidRDefault="007D6C82" w:rsidP="009C1A13">
      <w:pPr>
        <w:pStyle w:val="Heading1"/>
        <w:rPr>
          <w:noProof/>
        </w:rPr>
      </w:pPr>
      <w:bookmarkStart w:id="103" w:name="_Toc225760814"/>
      <w:bookmarkStart w:id="104" w:name="_Hlk155276042"/>
      <w:bookmarkStart w:id="105" w:name="_Hlk158303590"/>
      <w:bookmarkStart w:id="106" w:name="_Hlk158382887"/>
      <w:bookmarkStart w:id="107" w:name="_Hlk201314684"/>
      <w:bookmarkEnd w:id="99"/>
      <w:bookmarkEnd w:id="100"/>
      <w:bookmarkEnd w:id="101"/>
      <w:r>
        <w:rPr>
          <w:noProof/>
        </w:rPr>
        <w:t>Perspectiva privind emisiunile pentru primul semestru al anului 2026</w:t>
      </w:r>
      <w:bookmarkEnd w:id="103"/>
    </w:p>
    <w:bookmarkEnd w:id="104"/>
    <w:bookmarkEnd w:id="105"/>
    <w:bookmarkEnd w:id="106"/>
    <w:p w14:paraId="67093DD6" w14:textId="77777777" w:rsidR="00F03A68" w:rsidRDefault="001875EC" w:rsidP="00AA2374">
      <w:pPr>
        <w:spacing w:after="120"/>
        <w:rPr>
          <w:noProof/>
        </w:rPr>
      </w:pPr>
      <w:r>
        <w:rPr>
          <w:noProof/>
        </w:rPr>
        <w:t>În 2026 vor fi plătite cuantumuri agregate excepțional de ridicate în cadrul diferitelor politici finanțate prin</w:t>
      </w:r>
    </w:p>
    <w:p w14:paraId="67866783" w14:textId="617F2DB4" w:rsidR="001875EC" w:rsidRDefault="001875EC" w:rsidP="00AA2374">
      <w:pPr>
        <w:spacing w:after="120"/>
        <w:rPr>
          <w:noProof/>
        </w:rPr>
      </w:pPr>
      <w:r>
        <w:rPr>
          <w:noProof/>
        </w:rPr>
        <w:t xml:space="preserve"> programul UE de emisiuni de titluri de creanță. </w:t>
      </w:r>
    </w:p>
    <w:p w14:paraId="7C669855" w14:textId="6A0ECD16" w:rsidR="001875EC" w:rsidRDefault="00FB5B3D" w:rsidP="00AA2374">
      <w:pPr>
        <w:spacing w:after="120"/>
        <w:rPr>
          <w:noProof/>
        </w:rPr>
      </w:pPr>
      <w:r>
        <w:rPr>
          <w:noProof/>
        </w:rPr>
        <w:t>Printre altele, 2026 marchează ultimul an al plăților către statele membre ale UE în cadrul NextGenerationEU. În cadrul programului s-au efectuat deja plăți în valoare de 469,3 miliarde EUR (finanțate în principal prin împrumuturi), dar absorbția fondurilor rămase va depinde de punerea în aplicare la timp a planurilor naționale de redresare și reziliență ale statelor membre, 30</w:t>
      </w:r>
      <w:r w:rsidR="008C5F90">
        <w:rPr>
          <w:rFonts w:ascii="Calibri" w:hAnsi="Calibri" w:cs="Calibri"/>
          <w:noProof/>
        </w:rPr>
        <w:t> </w:t>
      </w:r>
      <w:r>
        <w:rPr>
          <w:noProof/>
        </w:rPr>
        <w:t>septembrie</w:t>
      </w:r>
      <w:r w:rsidR="008C5F90">
        <w:rPr>
          <w:rFonts w:ascii="Calibri" w:hAnsi="Calibri" w:cs="Calibri"/>
          <w:noProof/>
        </w:rPr>
        <w:t> </w:t>
      </w:r>
      <w:r>
        <w:rPr>
          <w:noProof/>
        </w:rPr>
        <w:t>2026 fiind termenul pentru depunerea cererilor finale de plată.</w:t>
      </w:r>
    </w:p>
    <w:p w14:paraId="759339E0" w14:textId="2287C1D1" w:rsidR="00941D5F" w:rsidRDefault="00941D5F" w:rsidP="00941D5F">
      <w:pPr>
        <w:spacing w:after="120"/>
        <w:rPr>
          <w:noProof/>
        </w:rPr>
      </w:pPr>
      <w:r>
        <w:rPr>
          <w:noProof/>
        </w:rPr>
        <w:t>În același timp, sunt planificate să înceapă plățile din cadrul noului program SAFE, începând cu o prefinanțare de până la 15 %. În plus, va fi nevoie de finanțare din operațiunile de împrumut pentru a sprijini vecinătatea UE și pentru refinanțarea obligațiunilor restante scadente, cu scopul de a asigura buna administrare a datoriei. De asemenea, veniturile obținute din împrumuturi în 2026 vor fi utilizate pentru a finanța noul împrumut de sprijin pentru Ucraina în valoare de</w:t>
      </w:r>
      <w:r>
        <w:rPr>
          <w:rFonts w:ascii="Calibri" w:hAnsi="Calibri"/>
          <w:noProof/>
        </w:rPr>
        <w:t xml:space="preserve"> </w:t>
      </w:r>
      <w:r>
        <w:rPr>
          <w:noProof/>
        </w:rPr>
        <w:t>90 de miliarde EUR (care urmează să fie plătit în perioada 2026-2027), pentru care este în curs aprobarea legislativă, după ce s-a ajuns la un acord politic în cadrul Consiliului European din 18</w:t>
      </w:r>
      <w:r w:rsidR="008C5F90">
        <w:rPr>
          <w:rFonts w:ascii="Calibri" w:hAnsi="Calibri" w:cs="Calibri"/>
          <w:noProof/>
        </w:rPr>
        <w:t> </w:t>
      </w:r>
      <w:r>
        <w:rPr>
          <w:noProof/>
        </w:rPr>
        <w:t>decembrie</w:t>
      </w:r>
      <w:r w:rsidR="008C5F90">
        <w:rPr>
          <w:rFonts w:ascii="Calibri" w:hAnsi="Calibri" w:cs="Calibri"/>
          <w:noProof/>
        </w:rPr>
        <w:t> </w:t>
      </w:r>
      <w:r>
        <w:rPr>
          <w:noProof/>
        </w:rPr>
        <w:t>2025.</w:t>
      </w:r>
    </w:p>
    <w:p w14:paraId="5123230C" w14:textId="292D0D7F" w:rsidR="00941D5F" w:rsidRDefault="00D569C1" w:rsidP="00AA2374">
      <w:pPr>
        <w:spacing w:after="120"/>
        <w:rPr>
          <w:noProof/>
        </w:rPr>
      </w:pPr>
      <w:bookmarkStart w:id="108" w:name="_Hlk219843807"/>
      <w:r>
        <w:rPr>
          <w:noProof/>
        </w:rPr>
        <w:t>Volumul ridicat al nevoilor de finanțare pentru 2026 se reflectă în planul de finanțare al Comisiei pentru primul semestru al anului 2026, cu o combinație de finanțare pe termen lung și pe termen scurt. Pentru primul semestru al anului 2026, este planificată o emisiune de obligațiuni ale UE în valoare de 90 de miliarde EUR. Această planificare face obiectul calibrării odată ce plățile din cadrul noului program de împrumut pentru Ucraina sunt confirmate</w:t>
      </w:r>
      <w:bookmarkEnd w:id="108"/>
      <w:r>
        <w:rPr>
          <w:noProof/>
        </w:rPr>
        <w:t>.</w:t>
      </w:r>
    </w:p>
    <w:bookmarkEnd w:id="107"/>
    <w:p w14:paraId="78599935" w14:textId="77777777" w:rsidR="000F16B2" w:rsidRPr="001B3164" w:rsidRDefault="000F16B2" w:rsidP="00F13D4C">
      <w:pPr>
        <w:rPr>
          <w:noProof/>
        </w:rPr>
        <w:sectPr w:rsidR="000F16B2" w:rsidRPr="001B3164" w:rsidSect="00CA43D7">
          <w:headerReference w:type="even" r:id="rId40"/>
          <w:headerReference w:type="default" r:id="rId41"/>
          <w:footerReference w:type="even" r:id="rId42"/>
          <w:footerReference w:type="default" r:id="rId43"/>
          <w:headerReference w:type="first" r:id="rId44"/>
          <w:footerReference w:type="first" r:id="rId45"/>
          <w:pgSz w:w="11906" w:h="16838" w:code="9"/>
          <w:pgMar w:top="1440" w:right="1440" w:bottom="1440" w:left="1440" w:header="708" w:footer="708" w:gutter="0"/>
          <w:cols w:space="708"/>
          <w:docGrid w:linePitch="360"/>
        </w:sectPr>
      </w:pPr>
    </w:p>
    <w:p w14:paraId="205789D5" w14:textId="77777777" w:rsidR="003D7F4D" w:rsidRPr="001B3164" w:rsidRDefault="00325F9E" w:rsidP="003D7F4D">
      <w:pPr>
        <w:rPr>
          <w:b/>
          <w:bCs/>
          <w:noProof/>
          <w:color w:val="034EA2" w:themeColor="accent1"/>
        </w:rPr>
      </w:pPr>
      <w:r>
        <w:rPr>
          <w:b/>
          <w:noProof/>
          <w:color w:val="034EA2" w:themeColor="accent1"/>
        </w:rPr>
        <w:t>Anexă: Indicatori de punere în aplicare privind utilizarea mijloacelor pentru obținerea de rezultate în raport cu obiectivele de eficiență și eficacitate ale strategiei generale a Comisiei de administrare a datoriei</w:t>
      </w:r>
    </w:p>
    <w:tbl>
      <w:tblPr>
        <w:tblStyle w:val="GridTable4-Accent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single" w:sz="4" w:space="0" w:color="A6A6A6" w:themeColor="background1" w:themeShade="A6"/>
          <w:insideV w:val="single" w:sz="4" w:space="0" w:color="A6A6A6" w:themeColor="background1" w:themeShade="A6"/>
        </w:tblBorders>
        <w:tblCellMar>
          <w:top w:w="28" w:type="dxa"/>
          <w:bottom w:w="28" w:type="dxa"/>
        </w:tblCellMar>
        <w:tblLook w:val="04A0" w:firstRow="1" w:lastRow="0" w:firstColumn="1" w:lastColumn="0" w:noHBand="0" w:noVBand="1"/>
      </w:tblPr>
      <w:tblGrid>
        <w:gridCol w:w="1664"/>
        <w:gridCol w:w="3264"/>
        <w:gridCol w:w="2268"/>
        <w:gridCol w:w="2551"/>
        <w:gridCol w:w="4678"/>
      </w:tblGrid>
      <w:tr w:rsidR="003D7F4D" w:rsidRPr="001B3164" w14:paraId="67A11E1C" w14:textId="77777777" w:rsidTr="00F63022">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928" w:type="dxa"/>
            <w:gridSpan w:val="2"/>
            <w:shd w:val="clear" w:color="auto" w:fill="034EA2" w:themeFill="accent1"/>
            <w:vAlign w:val="center"/>
          </w:tcPr>
          <w:p w14:paraId="594F625B" w14:textId="77777777" w:rsidR="003D7F4D" w:rsidRPr="001B3164" w:rsidRDefault="003D7F4D" w:rsidP="00F63022">
            <w:pPr>
              <w:jc w:val="center"/>
              <w:rPr>
                <w:noProof/>
                <w:sz w:val="18"/>
                <w:szCs w:val="18"/>
              </w:rPr>
            </w:pPr>
            <w:r>
              <w:rPr>
                <w:noProof/>
                <w:sz w:val="18"/>
              </w:rPr>
              <w:t>Mijloace</w:t>
            </w:r>
          </w:p>
        </w:tc>
        <w:tc>
          <w:tcPr>
            <w:tcW w:w="2268" w:type="dxa"/>
            <w:shd w:val="clear" w:color="auto" w:fill="034EA2" w:themeFill="accent1"/>
            <w:vAlign w:val="center"/>
          </w:tcPr>
          <w:p w14:paraId="557D1CD1" w14:textId="77777777" w:rsidR="003D7F4D" w:rsidRPr="001B3164" w:rsidRDefault="003D7F4D" w:rsidP="00F63022">
            <w:pPr>
              <w:ind w:left="113" w:hanging="113"/>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Denumire indicator</w:t>
            </w:r>
          </w:p>
        </w:tc>
        <w:tc>
          <w:tcPr>
            <w:tcW w:w="2551" w:type="dxa"/>
            <w:shd w:val="clear" w:color="auto" w:fill="034EA2" w:themeFill="accent1"/>
            <w:vAlign w:val="center"/>
          </w:tcPr>
          <w:p w14:paraId="3BC75D03" w14:textId="2A7E0EE7" w:rsidR="003D7F4D" w:rsidRPr="001B3164" w:rsidRDefault="003D7F4D" w:rsidP="00F63022">
            <w:pPr>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Valoarea în S2 2025 (cu excepția cazului în care se indică altfel)</w:t>
            </w:r>
          </w:p>
        </w:tc>
        <w:tc>
          <w:tcPr>
            <w:tcW w:w="4678" w:type="dxa"/>
            <w:shd w:val="clear" w:color="auto" w:fill="034EA2" w:themeFill="accent1"/>
            <w:vAlign w:val="center"/>
          </w:tcPr>
          <w:p w14:paraId="6A4802D2" w14:textId="62702A8A" w:rsidR="003D7F4D" w:rsidRPr="001B3164" w:rsidRDefault="003D7F4D" w:rsidP="00F63022">
            <w:pPr>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Comentarii privind execuția în S2 2025</w:t>
            </w:r>
          </w:p>
        </w:tc>
      </w:tr>
      <w:tr w:rsidR="003D7F4D" w:rsidRPr="001B3164" w14:paraId="12103427"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2B0D00A0" w14:textId="77777777" w:rsidR="003D7F4D" w:rsidRPr="001B3164" w:rsidRDefault="003D7F4D" w:rsidP="00F63022">
            <w:pPr>
              <w:jc w:val="left"/>
              <w:rPr>
                <w:noProof/>
                <w:color w:val="034EA2" w:themeColor="accent1"/>
                <w:sz w:val="18"/>
                <w:szCs w:val="18"/>
              </w:rPr>
            </w:pPr>
            <w:r>
              <w:rPr>
                <w:noProof/>
                <w:color w:val="034EA2" w:themeColor="accent1"/>
                <w:sz w:val="18"/>
              </w:rPr>
              <w:t>Punerea în aplicare a programului de obligațiuni ale UE</w:t>
            </w:r>
          </w:p>
          <w:p w14:paraId="2CDDB58B" w14:textId="77777777" w:rsidR="003D7F4D" w:rsidRPr="001B3164" w:rsidRDefault="003D7F4D" w:rsidP="00F63022">
            <w:pPr>
              <w:rPr>
                <w:noProof/>
                <w:sz w:val="18"/>
                <w:szCs w:val="18"/>
              </w:rPr>
            </w:pPr>
          </w:p>
        </w:tc>
        <w:tc>
          <w:tcPr>
            <w:tcW w:w="3264" w:type="dxa"/>
            <w:vMerge w:val="restart"/>
            <w:shd w:val="clear" w:color="auto" w:fill="auto"/>
          </w:tcPr>
          <w:p w14:paraId="508A70E8" w14:textId="77777777" w:rsidR="003D7F4D" w:rsidRPr="001B3164" w:rsidRDefault="003D7F4D" w:rsidP="00F63022">
            <w:pPr>
              <w:pStyle w:val="ListParagraph"/>
              <w:numPr>
                <w:ilvl w:val="0"/>
                <w:numId w:val="27"/>
              </w:numPr>
              <w:spacing w:after="60" w:line="240" w:lineRule="auto"/>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rPr>
            </w:pPr>
            <w:r>
              <w:rPr>
                <w:rFonts w:ascii="EC Square Sans Pro" w:hAnsi="EC Square Sans Pro"/>
                <w:noProof/>
                <w:color w:val="034EA2" w:themeColor="accent1"/>
                <w:sz w:val="18"/>
              </w:rPr>
              <w:t xml:space="preserve"> Emisiuni regulate pe curbă</w:t>
            </w:r>
          </w:p>
          <w:p w14:paraId="6A1A6532" w14:textId="041CE493"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Emisiuni regulate de obligațiuni ale UE (și de obligațiuni verzi NextGenerationEU) cu toate scadențele de pe curbă (până la 30 de ani) pentru a oferi diferitelor tipuri de investitori oportunități de investiții ca modalitate de a menține o cerere puternică din partea investitorilor și, astfel, flexibilitatea de a determina volumul emisiunilor și scadențele pentru tranzacțiile individuale pe baza condițiilor de piață.</w:t>
            </w:r>
          </w:p>
        </w:tc>
        <w:tc>
          <w:tcPr>
            <w:tcW w:w="2268" w:type="dxa"/>
            <w:shd w:val="clear" w:color="auto" w:fill="auto"/>
          </w:tcPr>
          <w:p w14:paraId="11A9251B" w14:textId="77777777" w:rsidR="003D7F4D" w:rsidRPr="00821D7E" w:rsidRDefault="003D7F4D" w:rsidP="00F63022">
            <w:pPr>
              <w:pStyle w:val="ListParagraph"/>
              <w:numPr>
                <w:ilvl w:val="0"/>
                <w:numId w:val="20"/>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Împărțirea în funcție de scadență a programului de emisiune</w:t>
            </w:r>
          </w:p>
        </w:tc>
        <w:tc>
          <w:tcPr>
            <w:tcW w:w="2551" w:type="dxa"/>
            <w:shd w:val="clear" w:color="auto" w:fill="auto"/>
          </w:tcPr>
          <w:p w14:paraId="21012C8A" w14:textId="63799937"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1-4 ani: 15 %</w:t>
            </w:r>
          </w:p>
          <w:p w14:paraId="451678A8" w14:textId="4AF7CD90"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 xml:space="preserve">4-8 ani: 39 % </w:t>
            </w:r>
          </w:p>
          <w:p w14:paraId="0A1FACA9" w14:textId="1F95ED73"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8-12 ani: 11 %</w:t>
            </w:r>
          </w:p>
          <w:p w14:paraId="7C2F8AE2" w14:textId="55C309FA"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12-17 ani: 13 %</w:t>
            </w:r>
          </w:p>
          <w:p w14:paraId="46F008D8" w14:textId="36629450"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17-23 de ani: 10 %</w:t>
            </w:r>
          </w:p>
          <w:p w14:paraId="01903358" w14:textId="7EE08864"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23-31 de ani: 12 %</w:t>
            </w:r>
          </w:p>
        </w:tc>
        <w:tc>
          <w:tcPr>
            <w:tcW w:w="4678" w:type="dxa"/>
            <w:vMerge w:val="restart"/>
            <w:shd w:val="clear" w:color="auto" w:fill="auto"/>
          </w:tcPr>
          <w:p w14:paraId="3A0A2EBE" w14:textId="1602CE89" w:rsidR="000F0386" w:rsidRDefault="003D7F4D" w:rsidP="00F63022">
            <w:pPr>
              <w:spacing w:after="120"/>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În S2 2025, Comisia a efectuat emisiuni regulate de obligațiuni cu scadențe diferite pentru a furniza curbei UE lichidități pe toate segmentele. Tranzacțiile de finanțare au fost repartizate pe parcursul întregii perioade de șase luni, pentru a asigura o prezență regulată pe piață. S-au realizat mai puține tranzacții decât în S1 2025, deoarece ținta de finanțare pentru S2 2025, de până la</w:t>
            </w:r>
            <w:r>
              <w:rPr>
                <w:rFonts w:ascii="Calibri" w:hAnsi="Calibri"/>
                <w:noProof/>
                <w:sz w:val="18"/>
              </w:rPr>
              <w:t xml:space="preserve"> </w:t>
            </w:r>
            <w:r>
              <w:rPr>
                <w:noProof/>
                <w:sz w:val="18"/>
              </w:rPr>
              <w:t>70</w:t>
            </w:r>
            <w:r>
              <w:rPr>
                <w:rFonts w:ascii="Calibri" w:hAnsi="Calibri"/>
                <w:noProof/>
                <w:sz w:val="18"/>
              </w:rPr>
              <w:t xml:space="preserve"> </w:t>
            </w:r>
            <w:r>
              <w:rPr>
                <w:noProof/>
                <w:sz w:val="18"/>
              </w:rPr>
              <w:t>de miliarde EUR, a fost mai redusă decât cea pentru S1 2025, de 90 de miliarde EUR. Numărul de operațiuni și succesiunea acestora au fost similare cu cele din S2 2024, când ținta de finanțare a fost de 65 de miliarde EUR.</w:t>
            </w:r>
          </w:p>
          <w:p w14:paraId="07A64E22" w14:textId="1B8DAB70" w:rsidR="003D7F4D" w:rsidRPr="001B3164" w:rsidRDefault="003D7F4D" w:rsidP="00F63022">
            <w:pPr>
              <w:spacing w:after="120"/>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 xml:space="preserve">Emisiunea de obligațiuni verzi a înregistrat un nivel mai scăzut decât în primul semestru al anului 2025, reflectând calibrarea emisiunilor de obligațiuni verzi la cheltuielile verzi raportate de statele membre. </w:t>
            </w:r>
          </w:p>
        </w:tc>
      </w:tr>
      <w:tr w:rsidR="003D7F4D" w:rsidRPr="001B3164" w14:paraId="219D0FDC"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12AD6412" w14:textId="77777777" w:rsidR="003D7F4D" w:rsidRPr="001B3164" w:rsidRDefault="003D7F4D" w:rsidP="00F63022">
            <w:pPr>
              <w:jc w:val="left"/>
              <w:rPr>
                <w:noProof/>
                <w:color w:val="034EA2" w:themeColor="accent1"/>
                <w:sz w:val="18"/>
                <w:szCs w:val="18"/>
              </w:rPr>
            </w:pPr>
          </w:p>
        </w:tc>
        <w:tc>
          <w:tcPr>
            <w:tcW w:w="3264" w:type="dxa"/>
            <w:vMerge/>
          </w:tcPr>
          <w:p w14:paraId="20E4C299" w14:textId="77777777" w:rsidR="003D7F4D" w:rsidRPr="0098425C" w:rsidRDefault="003D7F4D" w:rsidP="00F63022">
            <w:pPr>
              <w:pStyle w:val="ListParagraph"/>
              <w:numPr>
                <w:ilvl w:val="0"/>
                <w:numId w:val="27"/>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rPr>
            </w:pPr>
          </w:p>
        </w:tc>
        <w:tc>
          <w:tcPr>
            <w:tcW w:w="2268" w:type="dxa"/>
            <w:shd w:val="clear" w:color="auto" w:fill="auto"/>
          </w:tcPr>
          <w:p w14:paraId="030A1E52" w14:textId="77777777" w:rsidR="003D7F4D" w:rsidRPr="001B3164" w:rsidRDefault="003D7F4D" w:rsidP="00F63022">
            <w:pPr>
              <w:pStyle w:val="ListParagraph"/>
              <w:numPr>
                <w:ilvl w:val="0"/>
                <w:numId w:val="20"/>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Distribuirea în timp util a emisiunilor</w:t>
            </w:r>
          </w:p>
          <w:p w14:paraId="3639EA7F" w14:textId="77777777" w:rsidR="003D7F4D" w:rsidRPr="001B3164" w:rsidRDefault="003D7F4D" w:rsidP="00F63022">
            <w:pPr>
              <w:spacing w:after="40"/>
              <w:ind w:left="226" w:hanging="113"/>
              <w:jc w:val="left"/>
              <w:cnfStyle w:val="000000000000" w:firstRow="0" w:lastRow="0" w:firstColumn="0" w:lastColumn="0" w:oddVBand="0" w:evenVBand="0" w:oddHBand="0" w:evenHBand="0" w:firstRowFirstColumn="0" w:firstRowLastColumn="0" w:lastRowFirstColumn="0" w:lastRowLastColumn="0"/>
              <w:rPr>
                <w:i/>
                <w:iCs/>
                <w:noProof/>
                <w:sz w:val="18"/>
                <w:szCs w:val="18"/>
              </w:rPr>
            </w:pPr>
          </w:p>
        </w:tc>
        <w:tc>
          <w:tcPr>
            <w:tcW w:w="2551" w:type="dxa"/>
            <w:shd w:val="clear" w:color="auto" w:fill="auto"/>
          </w:tcPr>
          <w:p w14:paraId="66E5DCE5" w14:textId="3ED3F069" w:rsidR="003D7F4D" w:rsidRPr="001B3164" w:rsidRDefault="00A1453F"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Patru sindicalizări și șase licitații de obligațiuni, având ca rezultat cel puțin o emisiune pe lună.</w:t>
            </w:r>
          </w:p>
        </w:tc>
        <w:tc>
          <w:tcPr>
            <w:tcW w:w="4678" w:type="dxa"/>
            <w:vMerge/>
          </w:tcPr>
          <w:p w14:paraId="1B5832AE"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44DDC9B0"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1762BD0" w14:textId="77777777" w:rsidR="003D7F4D" w:rsidRPr="001B3164" w:rsidRDefault="003D7F4D" w:rsidP="00F63022">
            <w:pPr>
              <w:jc w:val="left"/>
              <w:rPr>
                <w:noProof/>
                <w:color w:val="034EA2" w:themeColor="accent1"/>
                <w:sz w:val="18"/>
                <w:szCs w:val="18"/>
              </w:rPr>
            </w:pPr>
          </w:p>
        </w:tc>
        <w:tc>
          <w:tcPr>
            <w:tcW w:w="3264" w:type="dxa"/>
            <w:vMerge/>
          </w:tcPr>
          <w:p w14:paraId="4D7B8994" w14:textId="77777777" w:rsidR="003D7F4D" w:rsidRPr="0098425C" w:rsidRDefault="003D7F4D" w:rsidP="00F63022">
            <w:pPr>
              <w:pStyle w:val="ListParagraph"/>
              <w:numPr>
                <w:ilvl w:val="0"/>
                <w:numId w:val="27"/>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rPr>
            </w:pPr>
          </w:p>
        </w:tc>
        <w:tc>
          <w:tcPr>
            <w:tcW w:w="2268" w:type="dxa"/>
            <w:shd w:val="clear" w:color="auto" w:fill="auto"/>
          </w:tcPr>
          <w:p w14:paraId="1759C364" w14:textId="0FCFE2B1" w:rsidR="003D7F4D" w:rsidRPr="001B3164" w:rsidRDefault="003D7F4D" w:rsidP="00F63022">
            <w:pPr>
              <w:pStyle w:val="ListParagraph"/>
              <w:numPr>
                <w:ilvl w:val="0"/>
                <w:numId w:val="20"/>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Emisiuni de obligațiuni verzi</w:t>
            </w:r>
            <w:r>
              <w:rPr>
                <w:rStyle w:val="FootnoteReference"/>
                <w:rFonts w:ascii="EC Square Sans Pro" w:hAnsi="EC Square Sans Pro" w:cs="Times New Roman"/>
                <w:i/>
                <w:iCs/>
                <w:noProof/>
                <w:sz w:val="18"/>
                <w:szCs w:val="18"/>
                <w:lang w:val="en-IE"/>
              </w:rPr>
              <w:footnoteReference w:id="18"/>
            </w:r>
          </w:p>
        </w:tc>
        <w:tc>
          <w:tcPr>
            <w:tcW w:w="2551" w:type="dxa"/>
            <w:shd w:val="clear" w:color="auto" w:fill="auto"/>
          </w:tcPr>
          <w:p w14:paraId="69A997E3" w14:textId="1167FDCE"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3,4 miliarde EUR, prin accesarea obligațiunilor UE cu scadența în 2033 și 2048.</w:t>
            </w:r>
          </w:p>
        </w:tc>
        <w:tc>
          <w:tcPr>
            <w:tcW w:w="4678" w:type="dxa"/>
            <w:vMerge/>
          </w:tcPr>
          <w:p w14:paraId="2A34C106"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210B93A8"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0B8F3BDC" w14:textId="77777777" w:rsidR="003D7F4D" w:rsidRPr="001B3164" w:rsidRDefault="003D7F4D" w:rsidP="00F63022">
            <w:pPr>
              <w:rPr>
                <w:noProof/>
                <w:sz w:val="18"/>
                <w:szCs w:val="18"/>
              </w:rPr>
            </w:pPr>
          </w:p>
        </w:tc>
        <w:tc>
          <w:tcPr>
            <w:tcW w:w="3264" w:type="dxa"/>
            <w:shd w:val="clear" w:color="auto" w:fill="auto"/>
          </w:tcPr>
          <w:p w14:paraId="10F80F03" w14:textId="77777777" w:rsidR="003D7F4D" w:rsidRPr="001B3164" w:rsidRDefault="003D7F4D" w:rsidP="00F63022">
            <w:pPr>
              <w:pStyle w:val="ListParagraph"/>
              <w:numPr>
                <w:ilvl w:val="0"/>
                <w:numId w:val="27"/>
              </w:numPr>
              <w:spacing w:after="60" w:line="240" w:lineRule="auto"/>
              <w:ind w:left="17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rPr>
            </w:pPr>
            <w:r>
              <w:rPr>
                <w:rFonts w:ascii="EC Square Sans Pro" w:hAnsi="EC Square Sans Pro"/>
                <w:noProof/>
                <w:color w:val="034EA2" w:themeColor="accent1"/>
                <w:sz w:val="18"/>
              </w:rPr>
              <w:t xml:space="preserve"> Realizarea unui echilibru adecvat între licitații și sindicalizări</w:t>
            </w:r>
          </w:p>
          <w:p w14:paraId="1764A063"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Utilizarea diferitelor tehnici de finanțare cu un echilibru adecvat, în funcție de volumul total al emisiunilor și de condițiile de piață, pentru a gestiona riscurile de execuție, a îmbunătăți lichiditatea pieței secundare și a îmbunătăți costurile îndatorării.</w:t>
            </w:r>
          </w:p>
        </w:tc>
        <w:tc>
          <w:tcPr>
            <w:tcW w:w="2268" w:type="dxa"/>
            <w:shd w:val="clear" w:color="auto" w:fill="auto"/>
          </w:tcPr>
          <w:p w14:paraId="0A69B595" w14:textId="15129E33" w:rsidR="003D7F4D" w:rsidRPr="001B3164" w:rsidRDefault="000F4198" w:rsidP="00F63022">
            <w:pPr>
              <w:pStyle w:val="ListParagraph"/>
              <w:numPr>
                <w:ilvl w:val="0"/>
                <w:numId w:val="23"/>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 xml:space="preserve">Împărțirea licitații/sindicalizări în % </w:t>
            </w:r>
          </w:p>
        </w:tc>
        <w:tc>
          <w:tcPr>
            <w:tcW w:w="2551" w:type="dxa"/>
            <w:shd w:val="clear" w:color="auto" w:fill="auto"/>
          </w:tcPr>
          <w:p w14:paraId="1467D0C6" w14:textId="5D809430"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46 % din emisiunile de obligațiuni prin licitație. </w:t>
            </w:r>
          </w:p>
        </w:tc>
        <w:tc>
          <w:tcPr>
            <w:tcW w:w="4678" w:type="dxa"/>
            <w:shd w:val="clear" w:color="auto" w:fill="auto"/>
          </w:tcPr>
          <w:p w14:paraId="6DC105E2" w14:textId="526D7984" w:rsidR="003D7F4D" w:rsidRPr="000F0386"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În S2 2025, Comisia a emis 46 % din obligațiunile UE prin licitație, o pondere mai mare decât în S1 2025 (41 %) și S2 2024 (42 %).</w:t>
            </w:r>
          </w:p>
        </w:tc>
      </w:tr>
      <w:tr w:rsidR="003D7F4D" w:rsidRPr="001B3164" w14:paraId="54A89D66"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542C64E1" w14:textId="77777777" w:rsidR="003D7F4D" w:rsidRPr="001B3164" w:rsidRDefault="003D7F4D" w:rsidP="00F63022">
            <w:pPr>
              <w:rPr>
                <w:noProof/>
                <w:sz w:val="18"/>
                <w:szCs w:val="18"/>
              </w:rPr>
            </w:pPr>
          </w:p>
        </w:tc>
        <w:tc>
          <w:tcPr>
            <w:tcW w:w="3264" w:type="dxa"/>
            <w:vMerge w:val="restart"/>
            <w:shd w:val="clear" w:color="auto" w:fill="auto"/>
          </w:tcPr>
          <w:p w14:paraId="4626E534" w14:textId="77777777" w:rsidR="003D7F4D" w:rsidRPr="001B3164" w:rsidRDefault="003D7F4D" w:rsidP="00F63022">
            <w:pPr>
              <w:pStyle w:val="ListParagraph"/>
              <w:numPr>
                <w:ilvl w:val="0"/>
                <w:numId w:val="27"/>
              </w:numPr>
              <w:spacing w:after="60" w:line="240" w:lineRule="auto"/>
              <w:ind w:left="170" w:hanging="17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rPr>
            </w:pPr>
            <w:r>
              <w:rPr>
                <w:rFonts w:ascii="EC Square Sans Pro" w:hAnsi="EC Square Sans Pro"/>
                <w:noProof/>
                <w:color w:val="034EA2" w:themeColor="accent1"/>
                <w:sz w:val="18"/>
              </w:rPr>
              <w:t xml:space="preserve"> Crearea de obligațiuni de referință mari și lichide</w:t>
            </w:r>
          </w:p>
          <w:p w14:paraId="5D33D115" w14:textId="77777777"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Emisiuni continue ale obligațiunilor UE pentru a aduce volumul restant al diferitelor linii la niveluri proporționale cu liniile de referință mari și lichide.</w:t>
            </w:r>
          </w:p>
        </w:tc>
        <w:tc>
          <w:tcPr>
            <w:tcW w:w="2268" w:type="dxa"/>
            <w:shd w:val="clear" w:color="auto" w:fill="auto"/>
          </w:tcPr>
          <w:p w14:paraId="27E900A0" w14:textId="77777777" w:rsidR="003D7F4D" w:rsidRPr="001B3164" w:rsidRDefault="003D7F4D" w:rsidP="00F63022">
            <w:pPr>
              <w:pStyle w:val="ListParagraph"/>
              <w:numPr>
                <w:ilvl w:val="0"/>
                <w:numId w:val="22"/>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Emisiuni prin obligațiuni noi față de volumul emis prin emisiuni continue</w:t>
            </w:r>
          </w:p>
        </w:tc>
        <w:tc>
          <w:tcPr>
            <w:tcW w:w="2551" w:type="dxa"/>
            <w:shd w:val="clear" w:color="auto" w:fill="auto"/>
          </w:tcPr>
          <w:p w14:paraId="30C9C67A" w14:textId="77777777" w:rsidR="003D7F4D" w:rsidRPr="001B3164" w:rsidRDefault="003D7F4D" w:rsidP="00F63022">
            <w:pPr>
              <w:pStyle w:val="ListParagraph"/>
              <w:numPr>
                <w:ilvl w:val="0"/>
                <w:numId w:val="15"/>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 xml:space="preserve">22 de miliarde EUR prin obligațiuni noi </w:t>
            </w:r>
          </w:p>
          <w:p w14:paraId="47D013AE" w14:textId="4CDBA301" w:rsidR="003D7F4D" w:rsidRPr="001B3164" w:rsidRDefault="003D7F4D" w:rsidP="00F63022">
            <w:pPr>
              <w:pStyle w:val="ListParagraph"/>
              <w:numPr>
                <w:ilvl w:val="0"/>
                <w:numId w:val="15"/>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45 de miliarde EUR prin emisiuni continue</w:t>
            </w:r>
          </w:p>
        </w:tc>
        <w:tc>
          <w:tcPr>
            <w:tcW w:w="4678" w:type="dxa"/>
            <w:vMerge w:val="restart"/>
            <w:shd w:val="clear" w:color="auto" w:fill="auto"/>
          </w:tcPr>
          <w:p w14:paraId="148FE07E" w14:textId="7BDC3D6F" w:rsidR="003D7F4D" w:rsidRPr="00821D7E" w:rsidRDefault="00F63022" w:rsidP="00F63022">
            <w:pPr>
              <w:cnfStyle w:val="000000100000" w:firstRow="0" w:lastRow="0" w:firstColumn="0" w:lastColumn="0" w:oddVBand="0" w:evenVBand="0" w:oddHBand="1" w:evenHBand="0" w:firstRowFirstColumn="0" w:firstRowLastColumn="0" w:lastRowFirstColumn="0" w:lastRowLastColumn="0"/>
              <w:rPr>
                <w:noProof/>
                <w:spacing w:val="-4"/>
                <w:sz w:val="18"/>
                <w:szCs w:val="18"/>
              </w:rPr>
            </w:pPr>
            <w:r>
              <w:rPr>
                <w:noProof/>
                <w:sz w:val="18"/>
              </w:rPr>
              <w:t>Comisia a utilizat tranzacțiile sale pentru a suplimenta liniile de finanțare existente, două treimi (67 %) din volumul finanțării fiind mobilizat prin intermediul rezervelor pentru a sprijini lichiditatea titlurilor de valoare ale UE.</w:t>
            </w:r>
          </w:p>
          <w:p w14:paraId="6EA3F2ED" w14:textId="77777777" w:rsidR="003D7F4D" w:rsidRPr="00821D7E"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p w14:paraId="22AB4DEF" w14:textId="7FBD7522" w:rsidR="003D7F4D" w:rsidRPr="00821D7E"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 xml:space="preserve">Au fost lansate noi linii de finanțare pentru a furniza pieței noi linii de referință în cazul în care a fost necesar pe curbă și pe baza recomandărilor dealerilor primari din UE. În al doilea semestru al anului 2025, au fost lansate obligațiuni cu scadența la 5, 7, 15 și 30 de ani. </w:t>
            </w:r>
          </w:p>
          <w:p w14:paraId="20D98997" w14:textId="77777777" w:rsidR="003D7F4D" w:rsidRPr="00821D7E"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p w14:paraId="54802F6F" w14:textId="7A31F231" w:rsidR="003D7F4D" w:rsidRPr="00821D7E" w:rsidRDefault="00821D7E"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Valoarea medie restantă per obligațiune a stagnat la aproximativ 16 miliarde EUR până la sfârșitul lunii decembrie 2025, asigurând lichiditatea consecventă a obligațiunilor.</w:t>
            </w:r>
          </w:p>
        </w:tc>
      </w:tr>
      <w:tr w:rsidR="003D7F4D" w:rsidRPr="001B3164" w14:paraId="16D3C0B2"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63AB375B" w14:textId="77777777" w:rsidR="003D7F4D" w:rsidRPr="001B3164" w:rsidRDefault="003D7F4D" w:rsidP="00F63022">
            <w:pPr>
              <w:rPr>
                <w:noProof/>
                <w:sz w:val="18"/>
                <w:szCs w:val="18"/>
              </w:rPr>
            </w:pPr>
          </w:p>
        </w:tc>
        <w:tc>
          <w:tcPr>
            <w:tcW w:w="3264" w:type="dxa"/>
            <w:vMerge/>
          </w:tcPr>
          <w:p w14:paraId="3A778E14" w14:textId="77777777" w:rsidR="003D7F4D" w:rsidRPr="00E55962" w:rsidRDefault="003D7F4D" w:rsidP="00F63022">
            <w:pPr>
              <w:pStyle w:val="ListParagraph"/>
              <w:numPr>
                <w:ilvl w:val="0"/>
                <w:numId w:val="27"/>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rPr>
            </w:pPr>
          </w:p>
        </w:tc>
        <w:tc>
          <w:tcPr>
            <w:tcW w:w="2268" w:type="dxa"/>
            <w:shd w:val="clear" w:color="auto" w:fill="auto"/>
          </w:tcPr>
          <w:p w14:paraId="17925DF3" w14:textId="77777777" w:rsidR="003D7F4D" w:rsidRPr="001B3164" w:rsidRDefault="003D7F4D" w:rsidP="00F63022">
            <w:pPr>
              <w:pStyle w:val="ListParagraph"/>
              <w:numPr>
                <w:ilvl w:val="0"/>
                <w:numId w:val="22"/>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Viteza de emisiune continuă de noi obligațiuni</w:t>
            </w:r>
            <w:r>
              <w:rPr>
                <w:rStyle w:val="FootnoteReference"/>
                <w:rFonts w:ascii="EC Square Sans Pro" w:hAnsi="EC Square Sans Pro" w:cs="Times New Roman"/>
                <w:i/>
                <w:iCs/>
                <w:noProof/>
                <w:sz w:val="18"/>
                <w:szCs w:val="18"/>
                <w:lang w:val="en-IE"/>
              </w:rPr>
              <w:footnoteReference w:id="19"/>
            </w:r>
          </w:p>
        </w:tc>
        <w:tc>
          <w:tcPr>
            <w:tcW w:w="2551" w:type="dxa"/>
            <w:shd w:val="clear" w:color="auto" w:fill="auto"/>
          </w:tcPr>
          <w:p w14:paraId="652AEE18" w14:textId="1DB06291"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Aproximativ trei luni</w:t>
            </w:r>
          </w:p>
        </w:tc>
        <w:tc>
          <w:tcPr>
            <w:tcW w:w="4678" w:type="dxa"/>
            <w:vMerge/>
          </w:tcPr>
          <w:p w14:paraId="3AFCFF1D"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2C61B3FE"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5494393D" w14:textId="77777777" w:rsidR="003D7F4D" w:rsidRPr="001B3164" w:rsidRDefault="003D7F4D" w:rsidP="00F63022">
            <w:pPr>
              <w:rPr>
                <w:noProof/>
                <w:sz w:val="18"/>
                <w:szCs w:val="18"/>
              </w:rPr>
            </w:pPr>
          </w:p>
        </w:tc>
        <w:tc>
          <w:tcPr>
            <w:tcW w:w="3264" w:type="dxa"/>
            <w:vMerge/>
          </w:tcPr>
          <w:p w14:paraId="5564CB6D" w14:textId="77777777" w:rsidR="003D7F4D" w:rsidRPr="001B3164" w:rsidRDefault="003D7F4D" w:rsidP="00F63022">
            <w:pPr>
              <w:pStyle w:val="ListParagraph"/>
              <w:numPr>
                <w:ilvl w:val="0"/>
                <w:numId w:val="27"/>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16DCEE84" w14:textId="77777777" w:rsidR="003D7F4D" w:rsidRPr="001B3164" w:rsidRDefault="003D7F4D" w:rsidP="00F63022">
            <w:pPr>
              <w:pStyle w:val="ListParagraph"/>
              <w:numPr>
                <w:ilvl w:val="0"/>
                <w:numId w:val="22"/>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Valoarea medie a obligațiunilor rămase de rambursat</w:t>
            </w:r>
            <w:r>
              <w:rPr>
                <w:rStyle w:val="FootnoteReference"/>
                <w:rFonts w:ascii="EC Square Sans Pro" w:hAnsi="EC Square Sans Pro" w:cs="Times New Roman"/>
                <w:i/>
                <w:iCs/>
                <w:noProof/>
                <w:sz w:val="18"/>
                <w:szCs w:val="18"/>
                <w:lang w:val="en-IE"/>
              </w:rPr>
              <w:footnoteReference w:id="20"/>
            </w:r>
          </w:p>
        </w:tc>
        <w:tc>
          <w:tcPr>
            <w:tcW w:w="2551" w:type="dxa"/>
            <w:shd w:val="clear" w:color="auto" w:fill="auto"/>
          </w:tcPr>
          <w:p w14:paraId="34B6F03B" w14:textId="2E818460"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Aproximativ 16 miliarde EUR</w:t>
            </w:r>
          </w:p>
        </w:tc>
        <w:tc>
          <w:tcPr>
            <w:tcW w:w="4678" w:type="dxa"/>
            <w:vMerge/>
          </w:tcPr>
          <w:p w14:paraId="692ADCB3"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2C3D0DD7"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B42DF81" w14:textId="77777777" w:rsidR="003D7F4D" w:rsidRPr="001B3164" w:rsidRDefault="003D7F4D" w:rsidP="00F63022">
            <w:pPr>
              <w:rPr>
                <w:noProof/>
                <w:sz w:val="18"/>
                <w:szCs w:val="18"/>
              </w:rPr>
            </w:pPr>
          </w:p>
        </w:tc>
        <w:tc>
          <w:tcPr>
            <w:tcW w:w="3264" w:type="dxa"/>
            <w:vMerge/>
          </w:tcPr>
          <w:p w14:paraId="0F85359A" w14:textId="77777777" w:rsidR="003D7F4D" w:rsidRPr="001B3164" w:rsidRDefault="003D7F4D" w:rsidP="00F63022">
            <w:pPr>
              <w:pStyle w:val="ListParagraph"/>
              <w:numPr>
                <w:ilvl w:val="0"/>
                <w:numId w:val="27"/>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04661157" w14:textId="77777777" w:rsidR="003D7F4D" w:rsidRPr="001B3164" w:rsidRDefault="003D7F4D" w:rsidP="00F63022">
            <w:pPr>
              <w:pStyle w:val="ListParagraph"/>
              <w:numPr>
                <w:ilvl w:val="0"/>
                <w:numId w:val="22"/>
              </w:numPr>
              <w:spacing w:after="40" w:line="240" w:lineRule="auto"/>
              <w:ind w:left="226" w:hanging="113"/>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Cifra de afaceri raportată la volumul emisiunilor</w:t>
            </w:r>
          </w:p>
        </w:tc>
        <w:tc>
          <w:tcPr>
            <w:tcW w:w="2551" w:type="dxa"/>
            <w:shd w:val="clear" w:color="auto" w:fill="auto"/>
          </w:tcPr>
          <w:p w14:paraId="5AB3F984" w14:textId="5AD1D99F" w:rsidR="003D7F4D" w:rsidRPr="00821D7E" w:rsidRDefault="00D3615E" w:rsidP="00F63022">
            <w:pPr>
              <w:jc w:val="left"/>
              <w:cnfStyle w:val="000000000000" w:firstRow="0" w:lastRow="0" w:firstColumn="0" w:lastColumn="0" w:oddVBand="0" w:evenVBand="0" w:oddHBand="0" w:evenHBand="0" w:firstRowFirstColumn="0" w:firstRowLastColumn="0" w:lastRowFirstColumn="0" w:lastRowLastColumn="0"/>
              <w:rPr>
                <w:noProof/>
                <w:sz w:val="18"/>
                <w:szCs w:val="18"/>
                <w:highlight w:val="yellow"/>
              </w:rPr>
            </w:pPr>
            <w:r>
              <w:rPr>
                <w:noProof/>
                <w:sz w:val="18"/>
              </w:rPr>
              <w:t>Aproximativ 218 % în S2 2025 față de 162 % în S1 2025 și 144 % în S2 2024</w:t>
            </w:r>
          </w:p>
        </w:tc>
        <w:tc>
          <w:tcPr>
            <w:tcW w:w="4678" w:type="dxa"/>
            <w:vMerge/>
          </w:tcPr>
          <w:p w14:paraId="45781EA9"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853899" w14:paraId="4DC09DFC"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D48BFC8" w14:textId="77777777" w:rsidR="003D7F4D" w:rsidRPr="001B3164" w:rsidRDefault="003D7F4D" w:rsidP="00F63022">
            <w:pPr>
              <w:rPr>
                <w:noProof/>
                <w:sz w:val="18"/>
                <w:szCs w:val="18"/>
              </w:rPr>
            </w:pPr>
          </w:p>
        </w:tc>
        <w:tc>
          <w:tcPr>
            <w:tcW w:w="3264" w:type="dxa"/>
            <w:vMerge/>
          </w:tcPr>
          <w:p w14:paraId="2AF22ADB" w14:textId="77777777" w:rsidR="003D7F4D" w:rsidRPr="001B3164" w:rsidRDefault="003D7F4D" w:rsidP="00F63022">
            <w:pPr>
              <w:pStyle w:val="ListParagraph"/>
              <w:numPr>
                <w:ilvl w:val="0"/>
                <w:numId w:val="27"/>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2762ED2D" w14:textId="77777777" w:rsidR="003D7F4D" w:rsidRPr="001B3164" w:rsidRDefault="003D7F4D" w:rsidP="00F63022">
            <w:pPr>
              <w:pStyle w:val="ListParagraph"/>
              <w:numPr>
                <w:ilvl w:val="0"/>
                <w:numId w:val="22"/>
              </w:numPr>
              <w:spacing w:after="40" w:line="240" w:lineRule="auto"/>
              <w:ind w:left="226" w:hanging="113"/>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Cifra de afaceri absolută</w:t>
            </w:r>
          </w:p>
        </w:tc>
        <w:tc>
          <w:tcPr>
            <w:tcW w:w="2551" w:type="dxa"/>
            <w:shd w:val="clear" w:color="auto" w:fill="auto"/>
          </w:tcPr>
          <w:p w14:paraId="1931941E" w14:textId="61A3063C" w:rsidR="003D7F4D" w:rsidRPr="006D47C8" w:rsidRDefault="00D3615E" w:rsidP="00F63022">
            <w:pPr>
              <w:jc w:val="left"/>
              <w:cnfStyle w:val="000000100000" w:firstRow="0" w:lastRow="0" w:firstColumn="0" w:lastColumn="0" w:oddVBand="0" w:evenVBand="0" w:oddHBand="1" w:evenHBand="0" w:firstRowFirstColumn="0" w:firstRowLastColumn="0" w:lastRowFirstColumn="0" w:lastRowLastColumn="0"/>
              <w:rPr>
                <w:noProof/>
                <w:sz w:val="18"/>
                <w:szCs w:val="18"/>
                <w:highlight w:val="yellow"/>
              </w:rPr>
            </w:pPr>
            <w:r>
              <w:rPr>
                <w:noProof/>
                <w:sz w:val="18"/>
              </w:rPr>
              <w:t>1 531 de miliarde EUR în S2 2025 față de 833 de miliarde EUR în S2 2024</w:t>
            </w:r>
          </w:p>
        </w:tc>
        <w:tc>
          <w:tcPr>
            <w:tcW w:w="4678" w:type="dxa"/>
            <w:vMerge/>
          </w:tcPr>
          <w:p w14:paraId="1E0C024A" w14:textId="77777777" w:rsidR="003D7F4D" w:rsidRPr="0098425C"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lang w:val="fr-FR"/>
              </w:rPr>
            </w:pPr>
          </w:p>
        </w:tc>
      </w:tr>
      <w:tr w:rsidR="003D7F4D" w:rsidRPr="001B3164" w14:paraId="3E3570D8"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7179A2DD" w14:textId="77777777" w:rsidR="003D7F4D" w:rsidRPr="0098425C" w:rsidRDefault="003D7F4D" w:rsidP="00F63022">
            <w:pPr>
              <w:rPr>
                <w:noProof/>
                <w:sz w:val="18"/>
                <w:szCs w:val="18"/>
                <w:lang w:val="fr-FR"/>
              </w:rPr>
            </w:pPr>
          </w:p>
        </w:tc>
        <w:tc>
          <w:tcPr>
            <w:tcW w:w="3264" w:type="dxa"/>
            <w:vMerge w:val="restart"/>
            <w:shd w:val="clear" w:color="auto" w:fill="auto"/>
          </w:tcPr>
          <w:p w14:paraId="6269DBB7" w14:textId="77777777" w:rsidR="003D7F4D" w:rsidRPr="001B3164" w:rsidRDefault="003D7F4D" w:rsidP="00F63022">
            <w:pPr>
              <w:pStyle w:val="ListParagraph"/>
              <w:numPr>
                <w:ilvl w:val="0"/>
                <w:numId w:val="28"/>
              </w:numPr>
              <w:spacing w:after="60" w:line="240" w:lineRule="auto"/>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rPr>
            </w:pPr>
            <w:r>
              <w:rPr>
                <w:rFonts w:ascii="EC Square Sans Pro" w:hAnsi="EC Square Sans Pro"/>
                <w:noProof/>
                <w:color w:val="034EA2" w:themeColor="accent1"/>
                <w:sz w:val="18"/>
              </w:rPr>
              <w:t xml:space="preserve"> Gestionarea profilului de scadență al emisiunilor de obligațiuni ale UE, ținând seama în mod corespunzător de:</w:t>
            </w:r>
          </w:p>
          <w:p w14:paraId="121ED6D2" w14:textId="07B49BE3"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marja de manevră suplimentară temporară (pentru împrumuturile legate de NextGenerationEU) și marja de manevră permanentă (pentru AMF+) în cadrul bugetului UE</w:t>
            </w:r>
          </w:p>
          <w:p w14:paraId="4423F9E0" w14:textId="77777777"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 xml:space="preserve">răscumpărarea viitoare a plăților în orice an dat </w:t>
            </w:r>
          </w:p>
          <w:p w14:paraId="3335DA12" w14:textId="77777777"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nevoile de reînnoire viitoare stabile</w:t>
            </w:r>
          </w:p>
          <w:p w14:paraId="33FBBA42" w14:textId="77777777"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necesitatea de a proteja ratingul UE pentru a asigura costuri scăzute ale îndatorării pe termen lung și o cerere puternică din partea bazei sale de investitori principali.</w:t>
            </w:r>
          </w:p>
        </w:tc>
        <w:tc>
          <w:tcPr>
            <w:tcW w:w="2268" w:type="dxa"/>
            <w:shd w:val="clear" w:color="auto" w:fill="auto"/>
          </w:tcPr>
          <w:p w14:paraId="5B254806" w14:textId="77777777" w:rsidR="003D7F4D" w:rsidRPr="001B3164" w:rsidRDefault="003D7F4D" w:rsidP="00F63022">
            <w:pPr>
              <w:pStyle w:val="ListParagraph"/>
              <w:numPr>
                <w:ilvl w:val="0"/>
                <w:numId w:val="21"/>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 xml:space="preserve">Scadența medie a emisiunii </w:t>
            </w:r>
          </w:p>
        </w:tc>
        <w:tc>
          <w:tcPr>
            <w:tcW w:w="2551" w:type="dxa"/>
            <w:shd w:val="clear" w:color="auto" w:fill="auto"/>
          </w:tcPr>
          <w:p w14:paraId="4048E40C"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Aproximativ 12 ani </w:t>
            </w:r>
          </w:p>
        </w:tc>
        <w:tc>
          <w:tcPr>
            <w:tcW w:w="4678" w:type="dxa"/>
            <w:vMerge w:val="restart"/>
            <w:shd w:val="clear" w:color="auto" w:fill="auto"/>
          </w:tcPr>
          <w:p w14:paraId="47618058" w14:textId="46330BB4"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În S2 2025, emisiunile de obligațiuni ale UE au avut o scadență medie de 12 ani. Acest lucru a reflectat necesitatea de a repartiza profilul răscumpărării în timp, atrăgând totodată investitori către tranzacțiile de pe piața primară a UE. Scadența medie a rămas sub scadența medie maximă de 17 ani stabilită în decizia anuală de împrumut pentru 2025.</w:t>
            </w:r>
          </w:p>
          <w:p w14:paraId="02857D99"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p w14:paraId="563010F3" w14:textId="5E04A2A9"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Durata medie ponderată până la scadență a datoriei restante a scăzut ușor (apropiindu-se mai mult de 11 ani, după ce a scăzut sub 11,5 ani în primul semestru al anului 2025), fiind determinată de profilul emisiunii și de reeșalonarea datoriei existente.</w:t>
            </w:r>
          </w:p>
          <w:p w14:paraId="0D07273B"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p w14:paraId="6678AA98" w14:textId="0752A7B4" w:rsidR="003D7F4D" w:rsidRPr="001B3164" w:rsidRDefault="00821D7E"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Profilul de refinanțare pe termen scurt a crescut de la mai puțin de 10 % la mai puțin de 12 %, în timp ce profilul de refinanțare pe termen mediu a rămas stabil, la aproximativ 37 %, reflectând emisiunile anterioare și profilul de răscumpărare.</w:t>
            </w:r>
          </w:p>
        </w:tc>
      </w:tr>
      <w:tr w:rsidR="003D7F4D" w:rsidRPr="001B3164" w14:paraId="013DE115"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336F054" w14:textId="77777777" w:rsidR="003D7F4D" w:rsidRPr="001B3164" w:rsidRDefault="003D7F4D" w:rsidP="00F63022">
            <w:pPr>
              <w:rPr>
                <w:noProof/>
                <w:sz w:val="18"/>
                <w:szCs w:val="18"/>
              </w:rPr>
            </w:pPr>
          </w:p>
        </w:tc>
        <w:tc>
          <w:tcPr>
            <w:tcW w:w="3264" w:type="dxa"/>
            <w:vMerge/>
          </w:tcPr>
          <w:p w14:paraId="0DAE8289" w14:textId="77777777" w:rsidR="003D7F4D" w:rsidRPr="00E55962" w:rsidRDefault="003D7F4D" w:rsidP="00F63022">
            <w:pPr>
              <w:pStyle w:val="ListParagraph"/>
              <w:numPr>
                <w:ilvl w:val="0"/>
                <w:numId w:val="28"/>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fr-FR"/>
              </w:rPr>
            </w:pPr>
          </w:p>
        </w:tc>
        <w:tc>
          <w:tcPr>
            <w:tcW w:w="2268" w:type="dxa"/>
            <w:shd w:val="clear" w:color="auto" w:fill="auto"/>
          </w:tcPr>
          <w:p w14:paraId="7AD28833" w14:textId="77777777" w:rsidR="003D7F4D" w:rsidRPr="001B3164" w:rsidRDefault="003D7F4D" w:rsidP="00F63022">
            <w:pPr>
              <w:pStyle w:val="ListParagraph"/>
              <w:numPr>
                <w:ilvl w:val="0"/>
                <w:numId w:val="21"/>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Perioada medie până la scadență a datoriei restante</w:t>
            </w:r>
          </w:p>
        </w:tc>
        <w:tc>
          <w:tcPr>
            <w:tcW w:w="2551" w:type="dxa"/>
            <w:shd w:val="clear" w:color="auto" w:fill="auto"/>
          </w:tcPr>
          <w:p w14:paraId="79C002D6" w14:textId="77777777" w:rsidR="003D7F4D" w:rsidRPr="00B01F57"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highlight w:val="yellow"/>
              </w:rPr>
            </w:pPr>
            <w:r>
              <w:rPr>
                <w:noProof/>
                <w:sz w:val="18"/>
              </w:rPr>
              <w:t>Aproximativ 11 ani</w:t>
            </w:r>
          </w:p>
        </w:tc>
        <w:tc>
          <w:tcPr>
            <w:tcW w:w="4678" w:type="dxa"/>
            <w:vMerge/>
          </w:tcPr>
          <w:p w14:paraId="5639C4C0"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4B6D6CD1"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DF08240" w14:textId="77777777" w:rsidR="003D7F4D" w:rsidRPr="001B3164" w:rsidRDefault="003D7F4D" w:rsidP="00F63022">
            <w:pPr>
              <w:rPr>
                <w:noProof/>
                <w:sz w:val="18"/>
                <w:szCs w:val="18"/>
              </w:rPr>
            </w:pPr>
          </w:p>
        </w:tc>
        <w:tc>
          <w:tcPr>
            <w:tcW w:w="3264" w:type="dxa"/>
            <w:vMerge/>
          </w:tcPr>
          <w:p w14:paraId="4EC19DC1" w14:textId="77777777" w:rsidR="003D7F4D" w:rsidRPr="001B3164" w:rsidRDefault="003D7F4D" w:rsidP="00F63022">
            <w:pPr>
              <w:pStyle w:val="ListParagraph"/>
              <w:numPr>
                <w:ilvl w:val="0"/>
                <w:numId w:val="28"/>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74CDC582" w14:textId="77777777" w:rsidR="003D7F4D" w:rsidRPr="001B3164" w:rsidRDefault="003D7F4D" w:rsidP="00F63022">
            <w:pPr>
              <w:pStyle w:val="ListParagraph"/>
              <w:numPr>
                <w:ilvl w:val="0"/>
                <w:numId w:val="21"/>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Refinanțarea pe termen scurt, adică procentul din stocul restant de obligațiuni și titluri de valoare pe termen scurt scadente în următoarele 12 luni</w:t>
            </w:r>
          </w:p>
        </w:tc>
        <w:tc>
          <w:tcPr>
            <w:tcW w:w="2551" w:type="dxa"/>
            <w:shd w:val="clear" w:color="auto" w:fill="auto"/>
          </w:tcPr>
          <w:p w14:paraId="151F089C" w14:textId="08F84D4E" w:rsidR="003D7F4D" w:rsidRPr="00821D7E"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Sub 12 %</w:t>
            </w:r>
          </w:p>
        </w:tc>
        <w:tc>
          <w:tcPr>
            <w:tcW w:w="4678" w:type="dxa"/>
            <w:vMerge/>
          </w:tcPr>
          <w:p w14:paraId="629A103A"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32CA9DEA"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FF46F68" w14:textId="77777777" w:rsidR="003D7F4D" w:rsidRPr="001B3164" w:rsidRDefault="003D7F4D" w:rsidP="00F63022">
            <w:pPr>
              <w:rPr>
                <w:noProof/>
                <w:sz w:val="18"/>
                <w:szCs w:val="18"/>
              </w:rPr>
            </w:pPr>
          </w:p>
        </w:tc>
        <w:tc>
          <w:tcPr>
            <w:tcW w:w="3264" w:type="dxa"/>
            <w:vMerge/>
          </w:tcPr>
          <w:p w14:paraId="1F62CEB0" w14:textId="77777777" w:rsidR="003D7F4D" w:rsidRPr="001B3164" w:rsidRDefault="003D7F4D" w:rsidP="00F63022">
            <w:pPr>
              <w:pStyle w:val="ListParagraph"/>
              <w:numPr>
                <w:ilvl w:val="0"/>
                <w:numId w:val="28"/>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2C9FEA9D" w14:textId="65651213" w:rsidR="003D7F4D" w:rsidRPr="001B3164" w:rsidRDefault="003D7F4D" w:rsidP="00F63022">
            <w:pPr>
              <w:pStyle w:val="ListParagraph"/>
              <w:numPr>
                <w:ilvl w:val="0"/>
                <w:numId w:val="21"/>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pacing w:val="-6"/>
                <w:sz w:val="18"/>
                <w:szCs w:val="18"/>
              </w:rPr>
            </w:pPr>
            <w:r>
              <w:rPr>
                <w:rFonts w:ascii="EC Square Sans Pro" w:hAnsi="EC Square Sans Pro"/>
                <w:i/>
                <w:noProof/>
                <w:sz w:val="18"/>
              </w:rPr>
              <w:t>Refinanțarea pe termen mediu, adică procentul din stocul restant de obligațiuni și titluri de valoare pe termen scurt scadente în următorii cinci ani</w:t>
            </w:r>
          </w:p>
        </w:tc>
        <w:tc>
          <w:tcPr>
            <w:tcW w:w="2551" w:type="dxa"/>
            <w:shd w:val="clear" w:color="auto" w:fill="auto"/>
          </w:tcPr>
          <w:p w14:paraId="0DF8571D" w14:textId="38BA638E" w:rsidR="003D7F4D" w:rsidRPr="00B01F57" w:rsidRDefault="00821D7E" w:rsidP="00F63022">
            <w:pPr>
              <w:cnfStyle w:val="000000100000" w:firstRow="0" w:lastRow="0" w:firstColumn="0" w:lastColumn="0" w:oddVBand="0" w:evenVBand="0" w:oddHBand="1" w:evenHBand="0" w:firstRowFirstColumn="0" w:firstRowLastColumn="0" w:lastRowFirstColumn="0" w:lastRowLastColumn="0"/>
              <w:rPr>
                <w:noProof/>
                <w:sz w:val="18"/>
                <w:szCs w:val="18"/>
                <w:highlight w:val="yellow"/>
              </w:rPr>
            </w:pPr>
            <w:r>
              <w:rPr>
                <w:noProof/>
                <w:sz w:val="18"/>
              </w:rPr>
              <w:t>Aproximativ 37 %.</w:t>
            </w:r>
          </w:p>
        </w:tc>
        <w:tc>
          <w:tcPr>
            <w:tcW w:w="4678" w:type="dxa"/>
            <w:vMerge/>
          </w:tcPr>
          <w:p w14:paraId="0B32B15B"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44EF3590"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2218FA25" w14:textId="77777777" w:rsidR="003D7F4D" w:rsidRPr="001B3164" w:rsidRDefault="003D7F4D" w:rsidP="00F63022">
            <w:pPr>
              <w:jc w:val="left"/>
              <w:rPr>
                <w:noProof/>
                <w:color w:val="034EA2" w:themeColor="accent1"/>
                <w:sz w:val="18"/>
                <w:szCs w:val="18"/>
              </w:rPr>
            </w:pPr>
            <w:r>
              <w:rPr>
                <w:noProof/>
                <w:color w:val="034EA2" w:themeColor="accent1"/>
                <w:sz w:val="18"/>
              </w:rPr>
              <w:t>Punerea în aplicare a programului de titluri de valoare pe termen scurt ale UE</w:t>
            </w:r>
          </w:p>
          <w:p w14:paraId="334112A4" w14:textId="77777777" w:rsidR="003D7F4D" w:rsidRPr="001B3164" w:rsidRDefault="003D7F4D" w:rsidP="00F63022">
            <w:pPr>
              <w:rPr>
                <w:noProof/>
                <w:sz w:val="18"/>
                <w:szCs w:val="18"/>
              </w:rPr>
            </w:pPr>
          </w:p>
        </w:tc>
        <w:tc>
          <w:tcPr>
            <w:tcW w:w="3264" w:type="dxa"/>
            <w:vMerge w:val="restart"/>
            <w:shd w:val="clear" w:color="auto" w:fill="auto"/>
          </w:tcPr>
          <w:p w14:paraId="6274F611" w14:textId="618A1D98"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Emisiunea regulată de titluri de valoare pe termen scurt ale UE cu scadențe de până la un an prin licitație, pentru a atrage investitori suplimentari (sau portofolii suplimentare ale investitorilor existenți) și pentru a sprijini administrarea lichidității.</w:t>
            </w:r>
          </w:p>
        </w:tc>
        <w:tc>
          <w:tcPr>
            <w:tcW w:w="2268" w:type="dxa"/>
            <w:shd w:val="clear" w:color="auto" w:fill="auto"/>
          </w:tcPr>
          <w:p w14:paraId="3C10D7DF" w14:textId="77777777" w:rsidR="003D7F4D" w:rsidRPr="001B3164" w:rsidRDefault="003D7F4D" w:rsidP="00F63022">
            <w:pPr>
              <w:pStyle w:val="ListParagraph"/>
              <w:numPr>
                <w:ilvl w:val="0"/>
                <w:numId w:val="24"/>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Volumul restant al titlurilor de valoare pe termen scurt ale UE</w:t>
            </w:r>
          </w:p>
        </w:tc>
        <w:tc>
          <w:tcPr>
            <w:tcW w:w="2551" w:type="dxa"/>
            <w:shd w:val="clear" w:color="auto" w:fill="auto"/>
          </w:tcPr>
          <w:p w14:paraId="6D365CDA" w14:textId="0A9E3659"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Aproximativ 37 de miliarde EUR</w:t>
            </w:r>
          </w:p>
        </w:tc>
        <w:tc>
          <w:tcPr>
            <w:tcW w:w="4678" w:type="dxa"/>
            <w:vMerge w:val="restart"/>
            <w:shd w:val="clear" w:color="auto" w:fill="auto"/>
          </w:tcPr>
          <w:p w14:paraId="5995050A" w14:textId="257F8228" w:rsidR="003D7F4D" w:rsidRPr="001B3164" w:rsidRDefault="007C46F4"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În cursul perioadei, datoria restantă în cadrul programului de titluri de valoare pe termen scurt ale UE a înregistrat o creștere, de la aproximativ 30 de miliarde EUR la aproximativ 37 de miliarde EUR. Această creștere completează emisiunile de obligațiuni ale UE prin asigurarea unei flexibilități suplimentare în perioadele de vârf ale plăților.</w:t>
            </w:r>
          </w:p>
        </w:tc>
      </w:tr>
      <w:tr w:rsidR="003D7F4D" w:rsidRPr="001B3164" w14:paraId="5E8C94EC"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7E6A27E" w14:textId="77777777" w:rsidR="003D7F4D" w:rsidRPr="001B3164" w:rsidRDefault="003D7F4D" w:rsidP="00F63022">
            <w:pPr>
              <w:jc w:val="left"/>
              <w:rPr>
                <w:noProof/>
                <w:color w:val="034EA2" w:themeColor="accent1"/>
                <w:sz w:val="18"/>
                <w:szCs w:val="18"/>
              </w:rPr>
            </w:pPr>
          </w:p>
        </w:tc>
        <w:tc>
          <w:tcPr>
            <w:tcW w:w="3264" w:type="dxa"/>
            <w:vMerge/>
          </w:tcPr>
          <w:p w14:paraId="55F472B2" w14:textId="77777777"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p>
        </w:tc>
        <w:tc>
          <w:tcPr>
            <w:tcW w:w="2268" w:type="dxa"/>
            <w:shd w:val="clear" w:color="auto" w:fill="auto"/>
          </w:tcPr>
          <w:p w14:paraId="1DE0F5FA" w14:textId="77777777" w:rsidR="003D7F4D" w:rsidRPr="001B3164" w:rsidRDefault="003D7F4D" w:rsidP="00F63022">
            <w:pPr>
              <w:pStyle w:val="ListParagraph"/>
              <w:numPr>
                <w:ilvl w:val="0"/>
                <w:numId w:val="24"/>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Numărul de licitații pentru titluri de valoare pe termen scurt ale UE</w:t>
            </w:r>
          </w:p>
        </w:tc>
        <w:tc>
          <w:tcPr>
            <w:tcW w:w="2551" w:type="dxa"/>
            <w:shd w:val="clear" w:color="auto" w:fill="auto"/>
          </w:tcPr>
          <w:p w14:paraId="5A492D18" w14:textId="27B1013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10</w:t>
            </w:r>
          </w:p>
        </w:tc>
        <w:tc>
          <w:tcPr>
            <w:tcW w:w="4678" w:type="dxa"/>
            <w:vMerge/>
          </w:tcPr>
          <w:p w14:paraId="4453D12D"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7CB8AA5E"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shd w:val="clear" w:color="auto" w:fill="auto"/>
          </w:tcPr>
          <w:p w14:paraId="5239F8F3" w14:textId="77777777" w:rsidR="003D7F4D" w:rsidRPr="001B3164" w:rsidRDefault="003D7F4D" w:rsidP="00F63022">
            <w:pPr>
              <w:rPr>
                <w:noProof/>
                <w:sz w:val="18"/>
                <w:szCs w:val="18"/>
              </w:rPr>
            </w:pPr>
            <w:r>
              <w:rPr>
                <w:noProof/>
                <w:color w:val="034EA2" w:themeColor="accent1"/>
                <w:sz w:val="18"/>
              </w:rPr>
              <w:t>Administrarea lichidității</w:t>
            </w:r>
          </w:p>
        </w:tc>
        <w:tc>
          <w:tcPr>
            <w:tcW w:w="3264" w:type="dxa"/>
            <w:shd w:val="clear" w:color="auto" w:fill="auto"/>
          </w:tcPr>
          <w:p w14:paraId="15106C9B"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Gestionarea unui portofoliu de lichidități în funcție de obligațiile de plată, necesarul de plăți și costurile aferente deținerii de numerar, ținând seama în mod corespunzător de condițiile predominante de pe piață.</w:t>
            </w:r>
          </w:p>
        </w:tc>
        <w:tc>
          <w:tcPr>
            <w:tcW w:w="2268" w:type="dxa"/>
            <w:shd w:val="clear" w:color="auto" w:fill="auto"/>
          </w:tcPr>
          <w:p w14:paraId="3223201F" w14:textId="77777777" w:rsidR="003D7F4D" w:rsidRPr="001B3164" w:rsidRDefault="003D7F4D" w:rsidP="00F63022">
            <w:pPr>
              <w:pStyle w:val="ListParagraph"/>
              <w:numPr>
                <w:ilvl w:val="0"/>
                <w:numId w:val="25"/>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Numărul de plăți neefectuate din cauza lipsei de lichidități</w:t>
            </w:r>
          </w:p>
        </w:tc>
        <w:tc>
          <w:tcPr>
            <w:tcW w:w="2551" w:type="dxa"/>
            <w:shd w:val="clear" w:color="auto" w:fill="auto"/>
          </w:tcPr>
          <w:p w14:paraId="08940661"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Niciuna</w:t>
            </w:r>
          </w:p>
        </w:tc>
        <w:tc>
          <w:tcPr>
            <w:tcW w:w="4678" w:type="dxa"/>
            <w:shd w:val="clear" w:color="auto" w:fill="auto"/>
          </w:tcPr>
          <w:p w14:paraId="31C564CC" w14:textId="4C8855CC"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Comisia a satisfăcut toate nevoile de plată și nu au existat deficiențe în ceea ce privește decontarea în cursul celui de-al doilea semestru al anului 2025.</w:t>
            </w:r>
          </w:p>
        </w:tc>
      </w:tr>
      <w:tr w:rsidR="003D7F4D" w:rsidRPr="001B3164" w14:paraId="68FE992C"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shd w:val="clear" w:color="auto" w:fill="auto"/>
          </w:tcPr>
          <w:p w14:paraId="536CC432" w14:textId="77777777" w:rsidR="003D7F4D" w:rsidRPr="001B3164" w:rsidRDefault="003D7F4D" w:rsidP="00F63022">
            <w:pPr>
              <w:jc w:val="left"/>
              <w:rPr>
                <w:noProof/>
                <w:sz w:val="18"/>
                <w:szCs w:val="18"/>
              </w:rPr>
            </w:pPr>
            <w:r>
              <w:rPr>
                <w:noProof/>
                <w:color w:val="034EA2" w:themeColor="accent1"/>
                <w:sz w:val="18"/>
              </w:rPr>
              <w:t>Rețeaua de dealeri primari</w:t>
            </w:r>
          </w:p>
        </w:tc>
        <w:tc>
          <w:tcPr>
            <w:tcW w:w="3264" w:type="dxa"/>
            <w:shd w:val="clear" w:color="auto" w:fill="auto"/>
          </w:tcPr>
          <w:p w14:paraId="0EAF894F" w14:textId="2D333373"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Atragerea unei game largi de instituții financiare cu un angajament ferm de a sprijini emisiunile UE.</w:t>
            </w:r>
          </w:p>
        </w:tc>
        <w:tc>
          <w:tcPr>
            <w:tcW w:w="2268" w:type="dxa"/>
            <w:shd w:val="clear" w:color="auto" w:fill="auto"/>
          </w:tcPr>
          <w:p w14:paraId="7F3358B0" w14:textId="21EEDDD8" w:rsidR="003D7F4D" w:rsidRPr="001B3164" w:rsidRDefault="003D7F4D" w:rsidP="00F63022">
            <w:pPr>
              <w:pStyle w:val="ListParagraph"/>
              <w:numPr>
                <w:ilvl w:val="0"/>
                <w:numId w:val="13"/>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Numărul de instituții care au semnat angajamente de subscriere pentru tranzacții în ultimele șase luni</w:t>
            </w:r>
          </w:p>
        </w:tc>
        <w:tc>
          <w:tcPr>
            <w:tcW w:w="2551" w:type="dxa"/>
            <w:shd w:val="clear" w:color="auto" w:fill="auto"/>
          </w:tcPr>
          <w:p w14:paraId="6FDE5298" w14:textId="10D62028" w:rsidR="003D7F4D" w:rsidRPr="00F3390B"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16 (față de 19 în S1</w:t>
            </w:r>
            <w:r>
              <w:rPr>
                <w:rFonts w:ascii="Calibri" w:hAnsi="Calibri"/>
                <w:noProof/>
                <w:sz w:val="18"/>
              </w:rPr>
              <w:t xml:space="preserve"> </w:t>
            </w:r>
            <w:r>
              <w:rPr>
                <w:noProof/>
                <w:sz w:val="18"/>
              </w:rPr>
              <w:t>2025)</w:t>
            </w:r>
          </w:p>
        </w:tc>
        <w:tc>
          <w:tcPr>
            <w:tcW w:w="4678" w:type="dxa"/>
            <w:shd w:val="clear" w:color="auto" w:fill="auto"/>
          </w:tcPr>
          <w:p w14:paraId="3F137865" w14:textId="64D4EA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bCs/>
                <w:noProof/>
                <w:sz w:val="18"/>
                <w:szCs w:val="18"/>
              </w:rPr>
            </w:pPr>
            <w:r>
              <w:rPr>
                <w:noProof/>
                <w:sz w:val="18"/>
              </w:rPr>
              <w:t>Dealerii primari din UE au continuat să sprijine Comisia, iar rotația la nivelul sindicalizărilor a ajutat Comisia să utilizeze în mod optim toate băncile eligibile pentru a face parte dintr-un consorțiu.</w:t>
            </w:r>
          </w:p>
        </w:tc>
      </w:tr>
      <w:tr w:rsidR="003D7F4D" w:rsidRPr="001B3164" w14:paraId="59B1208E"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0A472F10" w14:textId="77777777" w:rsidR="003D7F4D" w:rsidRPr="001B3164" w:rsidRDefault="003D7F4D" w:rsidP="00F63022">
            <w:pPr>
              <w:jc w:val="left"/>
              <w:rPr>
                <w:noProof/>
                <w:sz w:val="18"/>
                <w:szCs w:val="18"/>
              </w:rPr>
            </w:pPr>
            <w:r>
              <w:rPr>
                <w:noProof/>
                <w:color w:val="034EA2" w:themeColor="accent1"/>
                <w:sz w:val="18"/>
              </w:rPr>
              <w:t xml:space="preserve">Comunicarea cu diverse părți interesate de pe piață și cu emitenți similari </w:t>
            </w:r>
          </w:p>
        </w:tc>
        <w:tc>
          <w:tcPr>
            <w:tcW w:w="3264" w:type="dxa"/>
            <w:vMerge w:val="restart"/>
            <w:shd w:val="clear" w:color="auto" w:fill="auto"/>
          </w:tcPr>
          <w:p w14:paraId="67E538E0"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Menținerea și consolidarea încrederii bazei de investitori, participanților la piață și emitenților similari pentru a sprijini cererea de titluri de creanță ale UE și pentru a îmbunătăți înțelegerea de către UE a dinamicii pieței și a nevoilor investitorilor.</w:t>
            </w:r>
          </w:p>
        </w:tc>
        <w:tc>
          <w:tcPr>
            <w:tcW w:w="2268" w:type="dxa"/>
            <w:shd w:val="clear" w:color="auto" w:fill="auto"/>
          </w:tcPr>
          <w:p w14:paraId="5FC3CED4" w14:textId="77777777" w:rsidR="003D7F4D" w:rsidRPr="001B3164" w:rsidRDefault="003D7F4D" w:rsidP="00F63022">
            <w:pPr>
              <w:pStyle w:val="ListParagraph"/>
              <w:numPr>
                <w:ilvl w:val="0"/>
                <w:numId w:val="26"/>
              </w:numPr>
              <w:spacing w:after="40"/>
              <w:ind w:left="226" w:hanging="113"/>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 xml:space="preserve">Abateri de la termenele anunțate în prealabil pentru publicarea planurilor de finanțare </w:t>
            </w:r>
          </w:p>
        </w:tc>
        <w:tc>
          <w:tcPr>
            <w:tcW w:w="2551" w:type="dxa"/>
            <w:shd w:val="clear" w:color="auto" w:fill="auto"/>
          </w:tcPr>
          <w:p w14:paraId="75E2729B"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Niciuna</w:t>
            </w:r>
          </w:p>
        </w:tc>
        <w:tc>
          <w:tcPr>
            <w:tcW w:w="4678" w:type="dxa"/>
            <w:vMerge w:val="restart"/>
            <w:shd w:val="clear" w:color="auto" w:fill="auto"/>
          </w:tcPr>
          <w:p w14:paraId="0B538B1D" w14:textId="77777777" w:rsidR="003D7F4D" w:rsidRPr="001B3164" w:rsidRDefault="003D7F4D" w:rsidP="00F63022">
            <w:pPr>
              <w:spacing w:after="120"/>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Comisia a menținut o comunicare regulată și previzibilă cu piețele, în conformitate cu anunțurile anterioare. </w:t>
            </w:r>
          </w:p>
          <w:p w14:paraId="26851A04" w14:textId="51376E41" w:rsidR="007C46F4" w:rsidRDefault="007C46F4" w:rsidP="00F63022">
            <w:pPr>
              <w:spacing w:after="120"/>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În cursul primului semestru al anului 2025, s-a înregistrat o reducere a alocărilor cu aproximativ 3 miliarde EUR, reflectând condițiile de finanțare din cadrul licitațiilor de obligațiuni și nevoile finale de finanțare.</w:t>
            </w:r>
          </w:p>
          <w:p w14:paraId="407435CB" w14:textId="568DA79A" w:rsidR="003D7F4D" w:rsidRPr="001B3164" w:rsidRDefault="003D7F4D" w:rsidP="00F63022">
            <w:pPr>
              <w:spacing w:after="120"/>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Comisia a publicat regulat statistici privind investitorii, iar baza sa diversificată de investitori a continuat să crească.</w:t>
            </w:r>
          </w:p>
          <w:p w14:paraId="4540956C"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5781A0B5"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7B3ADCFF" w14:textId="77777777" w:rsidR="003D7F4D" w:rsidRPr="001B3164" w:rsidRDefault="003D7F4D" w:rsidP="00F63022">
            <w:pPr>
              <w:rPr>
                <w:noProof/>
                <w:color w:val="034EA2" w:themeColor="accent1"/>
                <w:sz w:val="18"/>
                <w:szCs w:val="18"/>
              </w:rPr>
            </w:pPr>
          </w:p>
        </w:tc>
        <w:tc>
          <w:tcPr>
            <w:tcW w:w="3264" w:type="dxa"/>
            <w:vMerge/>
          </w:tcPr>
          <w:p w14:paraId="1C3D14AE" w14:textId="77777777"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p>
        </w:tc>
        <w:tc>
          <w:tcPr>
            <w:tcW w:w="2268" w:type="dxa"/>
            <w:shd w:val="clear" w:color="auto" w:fill="auto"/>
          </w:tcPr>
          <w:p w14:paraId="6E4F1C5E" w14:textId="77777777" w:rsidR="003D7F4D" w:rsidRPr="001B3164" w:rsidRDefault="003D7F4D" w:rsidP="00F63022">
            <w:pPr>
              <w:pStyle w:val="ListParagraph"/>
              <w:numPr>
                <w:ilvl w:val="0"/>
                <w:numId w:val="26"/>
              </w:numPr>
              <w:spacing w:after="40"/>
              <w:ind w:left="226" w:hanging="113"/>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 xml:space="preserve">Abaterea de la volumele anunțate în planul de finanțare </w:t>
            </w:r>
          </w:p>
        </w:tc>
        <w:tc>
          <w:tcPr>
            <w:tcW w:w="2551" w:type="dxa"/>
            <w:shd w:val="clear" w:color="auto" w:fill="auto"/>
          </w:tcPr>
          <w:p w14:paraId="6C003516" w14:textId="6FF19CCA"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Aproximativ 3 miliarde EUR sau mai puțin de 5 % (similar cu abaterea din S1 2025).</w:t>
            </w:r>
          </w:p>
        </w:tc>
        <w:tc>
          <w:tcPr>
            <w:tcW w:w="4678" w:type="dxa"/>
            <w:vMerge/>
          </w:tcPr>
          <w:p w14:paraId="5F017F68"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6C0A349D"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2FF171F" w14:textId="77777777" w:rsidR="003D7F4D" w:rsidRPr="001B3164" w:rsidRDefault="003D7F4D" w:rsidP="00F63022">
            <w:pPr>
              <w:rPr>
                <w:noProof/>
                <w:color w:val="034EA2" w:themeColor="accent1"/>
                <w:sz w:val="18"/>
                <w:szCs w:val="18"/>
              </w:rPr>
            </w:pPr>
          </w:p>
        </w:tc>
        <w:tc>
          <w:tcPr>
            <w:tcW w:w="3264" w:type="dxa"/>
            <w:vMerge/>
          </w:tcPr>
          <w:p w14:paraId="2F26D229"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p>
        </w:tc>
        <w:tc>
          <w:tcPr>
            <w:tcW w:w="2268" w:type="dxa"/>
            <w:shd w:val="clear" w:color="auto" w:fill="auto"/>
          </w:tcPr>
          <w:p w14:paraId="7F5936D2" w14:textId="77777777" w:rsidR="003D7F4D" w:rsidRPr="001B3164" w:rsidRDefault="003D7F4D" w:rsidP="00F63022">
            <w:pPr>
              <w:pStyle w:val="ListParagraph"/>
              <w:numPr>
                <w:ilvl w:val="0"/>
                <w:numId w:val="26"/>
              </w:numPr>
              <w:spacing w:after="40"/>
              <w:ind w:left="226" w:hanging="113"/>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Statistici privind distribuția investitorilor</w:t>
            </w:r>
          </w:p>
        </w:tc>
        <w:tc>
          <w:tcPr>
            <w:tcW w:w="2551" w:type="dxa"/>
            <w:shd w:val="clear" w:color="auto" w:fill="auto"/>
          </w:tcPr>
          <w:p w14:paraId="1C9924E1" w14:textId="77777777" w:rsidR="003D7F4D" w:rsidRPr="005C4B0C"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În funcție de tip: </w:t>
            </w:r>
          </w:p>
          <w:p w14:paraId="3A2898B1" w14:textId="27414B25" w:rsidR="003D7F4D" w:rsidRPr="005C4B0C"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bănci centrale/instituții oficiale 27 %, administratori de fonduri 24 %, departamente de trezorerie ale băncilor 36 %, asigurări și fonduri de pensii 14 %, bănci 7 %, fonduri de hedging 2 % </w:t>
            </w:r>
          </w:p>
          <w:p w14:paraId="427686AF" w14:textId="024C2071"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În funcție de țară/regiune: Regatul Unit 20 %, țările nordice 13 %, Franța 8 %, Benelux 8 %, Italia 8 %, Asia-Pacific 9 %, Germania 8 %, Peninsula Iberică 9 %, alte state membre ale UE 6 %, țări din afara UE 3 %, cele două Americi 2 %, Orientul Mijlociu și Africa 6 %</w:t>
            </w:r>
          </w:p>
        </w:tc>
        <w:tc>
          <w:tcPr>
            <w:tcW w:w="4678" w:type="dxa"/>
            <w:vMerge/>
          </w:tcPr>
          <w:p w14:paraId="5819ACE2"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bl>
    <w:p w14:paraId="5E91550F" w14:textId="17CEB200" w:rsidR="003D7F4D" w:rsidRPr="001B3164" w:rsidRDefault="00F63022" w:rsidP="005C5ED3">
      <w:pPr>
        <w:rPr>
          <w:b/>
          <w:bCs/>
          <w:noProof/>
          <w:color w:val="034EA2" w:themeColor="accent1"/>
        </w:rPr>
      </w:pPr>
      <w:r>
        <w:rPr>
          <w:noProof/>
        </w:rPr>
        <w:br w:type="textWrapping" w:clear="all"/>
      </w:r>
    </w:p>
    <w:sectPr w:rsidR="003D7F4D" w:rsidRPr="001B3164" w:rsidSect="00A046A3">
      <w:headerReference w:type="even" r:id="rId46"/>
      <w:headerReference w:type="default" r:id="rId47"/>
      <w:footerReference w:type="even" r:id="rId48"/>
      <w:footerReference w:type="default" r:id="rId49"/>
      <w:headerReference w:type="first" r:id="rId50"/>
      <w:footerReference w:type="first" r:id="rId51"/>
      <w:pgSz w:w="16839" w:h="11907" w:orient="landscape"/>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D8C49" w14:textId="77777777" w:rsidR="00B14F69" w:rsidRDefault="00B14F69" w:rsidP="008B6253">
      <w:pPr>
        <w:spacing w:after="0"/>
      </w:pPr>
      <w:r>
        <w:separator/>
      </w:r>
    </w:p>
  </w:endnote>
  <w:endnote w:type="continuationSeparator" w:id="0">
    <w:p w14:paraId="7BF8DFDB" w14:textId="77777777" w:rsidR="00B14F69" w:rsidRDefault="00B14F69" w:rsidP="008B6253">
      <w:pPr>
        <w:spacing w:after="0"/>
      </w:pPr>
      <w:r>
        <w:continuationSeparator/>
      </w:r>
    </w:p>
  </w:endnote>
  <w:endnote w:type="continuationNotice" w:id="1">
    <w:p w14:paraId="38A0540A" w14:textId="77777777" w:rsidR="00B14F69" w:rsidRDefault="00B14F6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w:altName w:val="Calibri"/>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E2E97" w14:textId="3F6CDE81" w:rsidR="00901876" w:rsidRPr="00901876" w:rsidRDefault="00901876" w:rsidP="00901876">
    <w:pPr>
      <w:pStyle w:val="FooterCoverPage"/>
      <w:rPr>
        <w:rFonts w:ascii="Arial" w:hAnsi="Arial" w:cs="Arial"/>
        <w:b/>
        <w:sz w:val="48"/>
      </w:rPr>
    </w:pPr>
    <w:r w:rsidRPr="00901876">
      <w:rPr>
        <w:rFonts w:ascii="Arial" w:hAnsi="Arial" w:cs="Arial"/>
        <w:b/>
        <w:sz w:val="48"/>
      </w:rPr>
      <w:t>RO</w:t>
    </w:r>
    <w:r w:rsidRPr="00901876">
      <w:rPr>
        <w:rFonts w:ascii="Arial" w:hAnsi="Arial" w:cs="Arial"/>
        <w:b/>
        <w:sz w:val="48"/>
      </w:rPr>
      <w:tab/>
    </w:r>
    <w:r w:rsidRPr="00901876">
      <w:rPr>
        <w:rFonts w:ascii="Arial" w:hAnsi="Arial" w:cs="Arial"/>
        <w:b/>
        <w:sz w:val="48"/>
      </w:rPr>
      <w:tab/>
    </w:r>
    <w:r w:rsidRPr="00901876">
      <w:tab/>
    </w:r>
    <w:r w:rsidRPr="0090187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7E938" w14:textId="137BE868" w:rsidR="00901876" w:rsidRPr="00901876" w:rsidRDefault="00901876" w:rsidP="00901876">
    <w:pPr>
      <w:pStyle w:val="FooterCoverPage"/>
      <w:rPr>
        <w:rFonts w:ascii="Arial" w:hAnsi="Arial" w:cs="Arial"/>
        <w:b/>
        <w:sz w:val="48"/>
      </w:rPr>
    </w:pPr>
    <w:r w:rsidRPr="00901876">
      <w:rPr>
        <w:rFonts w:ascii="Arial" w:hAnsi="Arial" w:cs="Arial"/>
        <w:b/>
        <w:sz w:val="48"/>
      </w:rPr>
      <w:t>RO</w:t>
    </w:r>
    <w:r w:rsidRPr="00901876">
      <w:rPr>
        <w:rFonts w:ascii="Arial" w:hAnsi="Arial" w:cs="Arial"/>
        <w:b/>
        <w:sz w:val="48"/>
      </w:rPr>
      <w:tab/>
    </w:r>
    <w:r w:rsidRPr="00901876">
      <w:rPr>
        <w:rFonts w:ascii="Arial" w:hAnsi="Arial" w:cs="Arial"/>
        <w:b/>
        <w:sz w:val="48"/>
      </w:rPr>
      <w:tab/>
    </w:r>
    <w:r w:rsidRPr="00901876">
      <w:tab/>
    </w:r>
    <w:r w:rsidRPr="0090187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F1425" w14:textId="77777777" w:rsidR="00901876" w:rsidRPr="00901876" w:rsidRDefault="00901876" w:rsidP="009018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3F6B7" w14:textId="77777777" w:rsidR="001C2621" w:rsidRDefault="001C26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00572" w14:textId="77777777" w:rsidR="001C2621" w:rsidRPr="007352EE" w:rsidRDefault="001C2621" w:rsidP="00BD68A5">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648B6" w14:textId="77777777" w:rsidR="001C2621" w:rsidRDefault="001C262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9EF10" w14:textId="77777777" w:rsidR="001C2621" w:rsidRDefault="001C26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095215"/>
      <w:docPartObj>
        <w:docPartGallery w:val="Page Numbers (Bottom of Page)"/>
        <w:docPartUnique/>
      </w:docPartObj>
    </w:sdtPr>
    <w:sdtEndPr>
      <w:rPr>
        <w:noProof/>
      </w:rPr>
    </w:sdtEndPr>
    <w:sdtContent>
      <w:p w14:paraId="07C6615E" w14:textId="24DBDDF5" w:rsidR="001C2621" w:rsidRDefault="001C2621">
        <w:pPr>
          <w:pStyle w:val="Footer"/>
          <w:jc w:val="right"/>
        </w:pPr>
        <w:r>
          <w:fldChar w:fldCharType="begin"/>
        </w:r>
        <w:r>
          <w:instrText xml:space="preserve"> PAGE   \* MERGEFORMAT </w:instrText>
        </w:r>
        <w:r>
          <w:fldChar w:fldCharType="separate"/>
        </w:r>
        <w:r w:rsidR="00901876">
          <w:rPr>
            <w:noProof/>
          </w:rPr>
          <w:t>13</w:t>
        </w:r>
        <w:r>
          <w:fldChar w:fldCharType="end"/>
        </w:r>
      </w:p>
    </w:sdtContent>
  </w:sdt>
  <w:p w14:paraId="6091F71D" w14:textId="77777777" w:rsidR="001C2621" w:rsidRDefault="001C26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7F1F2" w14:textId="77777777" w:rsidR="001C2621" w:rsidRDefault="001C262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7978C" w14:textId="77777777" w:rsidR="001C2621" w:rsidRDefault="001C262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193D6" w14:textId="3B9AC0B2" w:rsidR="001C2621" w:rsidRDefault="001C2621">
    <w:pPr>
      <w:pStyle w:val="Footer"/>
      <w:jc w:val="center"/>
      <w:rPr>
        <w:noProof/>
      </w:rPr>
    </w:pPr>
    <w:r>
      <w:fldChar w:fldCharType="begin"/>
    </w:r>
    <w:r>
      <w:instrText xml:space="preserve"> PAGE   \* MERGEFORMAT </w:instrText>
    </w:r>
    <w:r>
      <w:fldChar w:fldCharType="separate"/>
    </w:r>
    <w:r w:rsidR="000152FF">
      <w:rPr>
        <w:noProof/>
      </w:rPr>
      <w:t>14</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98A3A" w14:textId="77777777" w:rsidR="001C2621" w:rsidRDefault="001C26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132C0" w14:textId="77777777" w:rsidR="00B14F69" w:rsidRDefault="00B14F69" w:rsidP="008B6253">
      <w:pPr>
        <w:spacing w:after="0"/>
      </w:pPr>
      <w:r>
        <w:separator/>
      </w:r>
    </w:p>
  </w:footnote>
  <w:footnote w:type="continuationSeparator" w:id="0">
    <w:p w14:paraId="25A569F7" w14:textId="77777777" w:rsidR="00B14F69" w:rsidRDefault="00B14F69" w:rsidP="008B6253">
      <w:pPr>
        <w:spacing w:after="0"/>
      </w:pPr>
      <w:r>
        <w:continuationSeparator/>
      </w:r>
    </w:p>
  </w:footnote>
  <w:footnote w:type="continuationNotice" w:id="1">
    <w:p w14:paraId="66C5F478" w14:textId="77777777" w:rsidR="00B14F69" w:rsidRDefault="00B14F69">
      <w:pPr>
        <w:spacing w:after="0"/>
      </w:pPr>
    </w:p>
  </w:footnote>
  <w:footnote w:id="2">
    <w:p w14:paraId="2DBAFE82" w14:textId="2788A26D" w:rsidR="00EA6251" w:rsidRPr="000659B4" w:rsidRDefault="00EA6251" w:rsidP="00EA6251">
      <w:pPr>
        <w:pStyle w:val="FootnoteText"/>
        <w:ind w:left="0" w:firstLine="0"/>
      </w:pPr>
      <w:r>
        <w:rPr>
          <w:rStyle w:val="FootnoteReference"/>
        </w:rPr>
        <w:footnoteRef/>
      </w:r>
      <w:r>
        <w:t xml:space="preserve"> Pe baza metodologiei de alocare a costurilor prevăzută în Decizia de punere în aplicare (UE) 2024/1974 a Comisiei.</w:t>
      </w:r>
    </w:p>
  </w:footnote>
  <w:footnote w:id="3">
    <w:p w14:paraId="5D8A9866" w14:textId="1C7E6621" w:rsidR="00F333BA" w:rsidRPr="001A5608" w:rsidRDefault="00F333BA" w:rsidP="00F333BA">
      <w:pPr>
        <w:pStyle w:val="FootnoteText"/>
      </w:pPr>
      <w:r>
        <w:rPr>
          <w:rStyle w:val="FootnoteReference"/>
        </w:rPr>
        <w:footnoteRef/>
      </w:r>
      <w:r>
        <w:rPr>
          <w:rStyle w:val="FootnoteReference"/>
        </w:rPr>
        <w:t xml:space="preserve"> </w:t>
      </w:r>
      <w:r w:rsidRPr="00E461C3">
        <w:rPr>
          <w:spacing w:val="-4"/>
        </w:rPr>
        <w:t>Instrumentul european de sprijin temporar pentru atenuarea riscurilor de șomaj într-o situație de urgență (SURE).</w:t>
      </w:r>
    </w:p>
  </w:footnote>
  <w:footnote w:id="4">
    <w:p w14:paraId="29055CB2" w14:textId="3D3F695D" w:rsidR="00F333BA" w:rsidRPr="000659B4" w:rsidRDefault="00F333BA" w:rsidP="00F333BA">
      <w:pPr>
        <w:pStyle w:val="FootnoteText"/>
        <w:ind w:left="0" w:firstLine="0"/>
      </w:pPr>
      <w:r>
        <w:rPr>
          <w:rStyle w:val="FootnoteReference"/>
        </w:rPr>
        <w:footnoteRef/>
      </w:r>
      <w:r>
        <w:t xml:space="preserve"> Elaborat în temeiul articolului 13 din Decizia de punere în aplicare C(2023) 8010 a Comisiei privind măsurile de punere în aplicare a abordării de finanțare unificată pentru operațiunile de împrumut și de gestionare a datoriei.</w:t>
      </w:r>
    </w:p>
  </w:footnote>
  <w:footnote w:id="5">
    <w:p w14:paraId="4DC1D1C2" w14:textId="59A51545" w:rsidR="00F333BA" w:rsidRPr="000659B4" w:rsidRDefault="00F333BA" w:rsidP="00F333BA">
      <w:pPr>
        <w:pStyle w:val="FootnoteText"/>
        <w:ind w:left="0" w:firstLine="0"/>
      </w:pPr>
      <w:r>
        <w:rPr>
          <w:rStyle w:val="FootnoteReference"/>
        </w:rPr>
        <w:footnoteRef/>
      </w:r>
      <w:r>
        <w:t xml:space="preserve"> A se vedea, de exemplu, rapoartele anuale privind </w:t>
      </w:r>
      <w:hyperlink r:id="rId1" w:history="1">
        <w:r>
          <w:rPr>
            <w:rStyle w:val="Hyperlink"/>
          </w:rPr>
          <w:t>Mecanismul de redresare și reziliență</w:t>
        </w:r>
      </w:hyperlink>
      <w:r>
        <w:t xml:space="preserve"> și </w:t>
      </w:r>
      <w:hyperlink r:id="rId2" w:history="1">
        <w:r>
          <w:rPr>
            <w:rStyle w:val="Hyperlink"/>
          </w:rPr>
          <w:t>asistența macrofinanciară</w:t>
        </w:r>
      </w:hyperlink>
      <w:r>
        <w:t xml:space="preserve">, precum și </w:t>
      </w:r>
      <w:hyperlink r:id="rId3">
        <w:r>
          <w:rPr>
            <w:rStyle w:val="Hyperlink"/>
          </w:rPr>
          <w:t>raportul privind alocarea și impactul obligațiunilor verzi NextGenerationEU</w:t>
        </w:r>
      </w:hyperlink>
      <w:r>
        <w:t xml:space="preserve">. </w:t>
      </w:r>
    </w:p>
  </w:footnote>
  <w:footnote w:id="6">
    <w:p w14:paraId="1F98E90E" w14:textId="77777777" w:rsidR="00F333BA" w:rsidRPr="000659B4" w:rsidRDefault="00F333BA" w:rsidP="00F333BA">
      <w:pPr>
        <w:pStyle w:val="FootnoteText"/>
      </w:pPr>
      <w:r>
        <w:rPr>
          <w:rStyle w:val="FootnoteReference"/>
        </w:rPr>
        <w:footnoteRef/>
      </w:r>
      <w:r>
        <w:t xml:space="preserve"> </w:t>
      </w:r>
      <w:hyperlink r:id="rId4" w:history="1">
        <w:r>
          <w:rPr>
            <w:rStyle w:val="Hyperlink"/>
          </w:rPr>
          <w:t>Raportul special 16/2023:</w:t>
        </w:r>
      </w:hyperlink>
      <w:hyperlink r:id="rId5" w:history="1">
        <w:r>
          <w:rPr>
            <w:rStyle w:val="Hyperlink"/>
          </w:rPr>
          <w:t xml:space="preserve"> Administrarea datoriei NGEU la nivelul Comisiei</w:t>
        </w:r>
      </w:hyperlink>
      <w:r>
        <w:t xml:space="preserve"> și </w:t>
      </w:r>
      <w:hyperlink r:id="rId6" w:history="1">
        <w:r>
          <w:rPr>
            <w:rStyle w:val="Hyperlink"/>
          </w:rPr>
          <w:t>Răspunsurile Comisiei</w:t>
        </w:r>
      </w:hyperlink>
      <w:r>
        <w:t>.</w:t>
      </w:r>
    </w:p>
  </w:footnote>
  <w:footnote w:id="7">
    <w:p w14:paraId="24C6594E" w14:textId="20AD1C35" w:rsidR="00F454FE" w:rsidRPr="00B551F9" w:rsidRDefault="00F454FE" w:rsidP="00F454FE">
      <w:pPr>
        <w:pStyle w:val="FootnoteText"/>
        <w:ind w:left="0" w:firstLine="0"/>
      </w:pPr>
      <w:r>
        <w:rPr>
          <w:rStyle w:val="FootnoteReference"/>
        </w:rPr>
        <w:footnoteRef/>
      </w:r>
      <w:r>
        <w:t xml:space="preserve"> Strategia generală de administrare a datoriei este descrisă în </w:t>
      </w:r>
      <w:hyperlink r:id="rId7" w:history="1">
        <w:r>
          <w:rPr>
            <w:rStyle w:val="Hyperlink"/>
          </w:rPr>
          <w:t>raportul semestrial cu privire la realizarea operațiunilor de împrumut și de credit ale UE din perioada 1 ianuarie 2023-30 iunie 2023</w:t>
        </w:r>
      </w:hyperlink>
      <w:r>
        <w:t>.</w:t>
      </w:r>
    </w:p>
  </w:footnote>
  <w:footnote w:id="8">
    <w:p w14:paraId="48316EF0" w14:textId="712CC869" w:rsidR="00F333BA" w:rsidRPr="00B551F9" w:rsidRDefault="00F333BA" w:rsidP="00F333BA">
      <w:pPr>
        <w:pStyle w:val="FootnoteText"/>
        <w:ind w:left="0" w:firstLine="0"/>
      </w:pPr>
      <w:r>
        <w:rPr>
          <w:rStyle w:val="FootnoteReference"/>
        </w:rPr>
        <w:footnoteRef/>
      </w:r>
      <w:r>
        <w:t xml:space="preserve"> P</w:t>
      </w:r>
      <w:r w:rsidRPr="00E461C3">
        <w:rPr>
          <w:spacing w:val="-2"/>
        </w:rPr>
        <w:t>entru toate programele anterioare NextGenerationEU, Comisia a utilizat o abordare de finanțare „back</w:t>
      </w:r>
      <w:r w:rsidR="00A76484" w:rsidRPr="00E461C3">
        <w:rPr>
          <w:spacing w:val="-2"/>
        </w:rPr>
        <w:t>­</w:t>
      </w:r>
      <w:r w:rsidRPr="00E461C3">
        <w:rPr>
          <w:spacing w:val="-2"/>
        </w:rPr>
        <w:t>to</w:t>
      </w:r>
      <w:r w:rsidR="00A76484" w:rsidRPr="00E461C3">
        <w:rPr>
          <w:spacing w:val="-2"/>
        </w:rPr>
        <w:t>­</w:t>
      </w:r>
      <w:r w:rsidRPr="00E461C3">
        <w:rPr>
          <w:spacing w:val="-2"/>
        </w:rPr>
        <w:t xml:space="preserve">back”, emițând obligațiuni și transferând veniturile direct către țările beneficiare în aceleași condiții în care le-a primit (adică aceeași rată a dobânzii și aceeași scadență). Atunci când a înființat </w:t>
      </w:r>
      <w:r>
        <w:t>NextGenerationEU în 2021, Comisia a adoptat o strategie de finanțare diversificată de tipul celei utilizate de cei mai mari emitenți suverani din zona euro, utilizând diferite instrumente de finanțare (obligațiuni UE și titluri de valoare pe termen scurt ale UE) și tehnici de finanțare (sindicalizări și licitații) pentru nevoile de finanțare pe termen lung și pe termen scurt. În decembrie 2022, Parlamentul și Consiliul au modificat articolul 220a din Regulamentul financiar pentru a permite Comisiei să își extindă strategia de finanțare diversificată la alte programe de împrumut ale UE, creând o abordare de finanțare unificată pentru toate programele de împrumut și de creditare ale UE în cadrul cărora UE emite obligațiuni UE cu marcă unică „obligațiuni ale UE”, nu obligațiuni desemnate separat pentru programe individuale, cum ar fi NextGenerationEU, SURE și AMF.</w:t>
      </w:r>
    </w:p>
  </w:footnote>
  <w:footnote w:id="9">
    <w:p w14:paraId="08E23A61" w14:textId="6BB2F06A" w:rsidR="00DB0562" w:rsidRPr="000659B4" w:rsidRDefault="00DB0562" w:rsidP="00DB0562">
      <w:pPr>
        <w:pStyle w:val="FootnoteText"/>
        <w:ind w:left="0" w:firstLine="0"/>
      </w:pPr>
      <w:r>
        <w:rPr>
          <w:rStyle w:val="FootnoteReference"/>
        </w:rPr>
        <w:footnoteRef/>
      </w:r>
      <w:r>
        <w:t xml:space="preserve"> În concordanță cu semestrele anterioare, diferența față de ținta planului de finanțare (70 de miliarde EUR în S2 2025) se datorează alocării insuficiente de către Comisie a sumelor finale atrase prin intermediul licitațiilor de obligațiuni pentru a asigura cele mai atractive condiții de finanțare pentru aceste tranzacții, având în vedere oferta câștigătoare.</w:t>
      </w:r>
    </w:p>
  </w:footnote>
  <w:footnote w:id="10">
    <w:p w14:paraId="7C4D8CC2" w14:textId="77777777" w:rsidR="005C414E" w:rsidRPr="00877CA0" w:rsidRDefault="005C414E" w:rsidP="005C414E">
      <w:pPr>
        <w:pStyle w:val="FootnoteText"/>
        <w:ind w:left="113" w:hanging="113"/>
      </w:pPr>
      <w:r>
        <w:rPr>
          <w:rStyle w:val="FootnoteReference"/>
        </w:rPr>
        <w:footnoteRef/>
      </w:r>
      <w:r>
        <w:t xml:space="preserve"> Printre acestea se numără platforma Tehnologii strategice pentru Europa (STEP), Orizont Europa, Fondul InvestEU, ReactEU, Mecanismul de protecție civilă al UE (RescEU), Fondul european agricol pentru dezvoltare rurală (FEADR) și Fondul pentru o tranziție justă.</w:t>
      </w:r>
    </w:p>
  </w:footnote>
  <w:footnote w:id="11">
    <w:p w14:paraId="461DFC51" w14:textId="50ECB4AF" w:rsidR="005C414E" w:rsidRPr="00C44E47" w:rsidRDefault="005C414E" w:rsidP="005C414E">
      <w:pPr>
        <w:pStyle w:val="FootnoteText"/>
        <w:ind w:left="113" w:hanging="113"/>
      </w:pPr>
      <w:r>
        <w:rPr>
          <w:rStyle w:val="FootnoteReference"/>
        </w:rPr>
        <w:footnoteRef/>
      </w:r>
      <w:r>
        <w:t xml:space="preserve"> </w:t>
      </w:r>
      <w:bookmarkStart w:id="44" w:name="_Hlk201307211"/>
      <w:bookmarkStart w:id="45" w:name="_Hlk219531684"/>
      <w:r>
        <w:t>De la jumătatea anului 2021, Comisia a plătit 469,3 miliarde EUR pentru a sprijini NextGenerationEU. Acest cuantum cuprinde 237,5 miliarde EUR sub formă de granturi și 155,9 miliarde EUR sub formă de împrumuturi acordate statelor membre în cadrul MRR și 75,8 miliarde EUR pentru programele NextGenerationEU gestionate de UE. Din sprijinul total pentru NextGenerationEU, în cuantum de 469,3</w:t>
      </w:r>
      <w:r w:rsidR="00A76484">
        <w:t>­</w:t>
      </w:r>
      <w:r>
        <w:t>miliarde EUR, 452,8 miliarde EUR au fost finanțate prin emiterea de titluri de creanță</w:t>
      </w:r>
      <w:bookmarkEnd w:id="44"/>
      <w:r>
        <w:t>. Cheltuieli suplimentare din cadrul NextGenerationEU în cuantum de 16,4 miliarde EUR au fost finanțate din alte surse [și anume schema de comercializare a certificatelor de emisii (ETS) și Rezerva de ajustare la Brexit (RAB)].</w:t>
      </w:r>
      <w:bookmarkEnd w:id="45"/>
    </w:p>
  </w:footnote>
  <w:footnote w:id="12">
    <w:p w14:paraId="5C6F9176" w14:textId="279E48E6" w:rsidR="001C2621" w:rsidRPr="006839E6" w:rsidRDefault="001C2621" w:rsidP="006839E6">
      <w:pPr>
        <w:pStyle w:val="FootnoteText"/>
        <w:ind w:left="113" w:hanging="113"/>
      </w:pPr>
      <w:r>
        <w:rPr>
          <w:rStyle w:val="FootnoteReference"/>
        </w:rPr>
        <w:footnoteRef/>
      </w:r>
      <w:r>
        <w:t xml:space="preserve"> PEN este o primă pe care emitentul o plătește pentru a-i convinge pe investitori să îi cumpere obligațiunile pe piața primară și nu de pe piața secundară. </w:t>
      </w:r>
    </w:p>
  </w:footnote>
  <w:footnote w:id="13">
    <w:p w14:paraId="3F2C43CB" w14:textId="3A6A20BF" w:rsidR="009E499F" w:rsidRPr="00C83356" w:rsidRDefault="009E499F" w:rsidP="009E499F">
      <w:pPr>
        <w:pStyle w:val="FootnoteText"/>
        <w:ind w:left="113" w:hanging="113"/>
      </w:pPr>
      <w:r>
        <w:rPr>
          <w:rStyle w:val="FootnoteReference"/>
        </w:rPr>
        <w:footnoteRef/>
      </w:r>
      <w:r>
        <w:rPr>
          <w:rStyle w:val="FootnoteReference"/>
        </w:rPr>
        <w:t xml:space="preserve"> </w:t>
      </w:r>
      <w:r>
        <w:t>În cadrul NextGenerationEU, costurile cu dobânzile suportate sunt alocate bugetului UE și statelor membre care primesc împrumuturi în conformitate cu metodologia prevăzută în Decizia de punere în aplicare (UE) 2021/1095 a Comisiei și în succesoarele acesteia, Decizia de punere în aplicare (UE) 2022/9701 a Comisiei și Decizia de punere în aplicare (UE) 2024/1974 a Comisiei. În cadrul acestei metodologii se disting trei categorii diferite de costuri: (i) costul finanțării pentru finanțarea plății sprijinului nerambursabil și a împrumuturilor, calculat pentru compartimente temporale semestriale, (ii) costul aferent deținerii și administrării lichidității și (iii) costurile administrative. Compartimentarea pe programe a fost posibilă de la intrarea în vigoare, în cel de-al doilea semestru al anului 2024, a Deciziei de punere în aplicare (UE, Euratom) 2024/1974 a Comisiei. Pentru a evita orice efect retroactiv, programele care au fost finanțate și plătite înainte de punerea în aplicare a acestei metodologii (cum ar fi împrumuturile AMF + acordate Ucrainei și finanțările excepționale de tip punte aferente Mecanismului pentru Ucraina) rămân grupate cu operațiunile de împrumut și de creditare ale NextGenerationEU în cadrul abordării de finanțare unificată.</w:t>
      </w:r>
    </w:p>
  </w:footnote>
  <w:footnote w:id="14">
    <w:p w14:paraId="20319A1D" w14:textId="7B775287" w:rsidR="00711BBE" w:rsidRPr="00C83356" w:rsidRDefault="00711BBE" w:rsidP="00711BBE">
      <w:pPr>
        <w:pStyle w:val="FootnoteText"/>
        <w:ind w:left="113" w:hanging="113"/>
      </w:pPr>
      <w:r>
        <w:rPr>
          <w:rStyle w:val="FootnoteReference"/>
        </w:rPr>
        <w:footnoteRef/>
      </w:r>
      <w:r>
        <w:rPr>
          <w:rStyle w:val="FootnoteReference"/>
        </w:rPr>
        <w:t xml:space="preserve"> </w:t>
      </w:r>
      <w:r>
        <w:t>De exemplu, NextGenerationEU are în prezent o scadență medie mai mare a finanțării decât alte programe, din cauza structurii plafonului temporar specific al „resurselor proprii” care acoperă profilul de rambursare al NextGenerationEU. Obligațiunile emise pentru finanțarea granturilor NextGenerationEU au, de regulă, o scadență mai mare pentru a permite ca activele bugetare care vor fi utilizate pentru rambursarea granturilor NextGenerationEU să fie distribuite în timp.</w:t>
      </w:r>
    </w:p>
  </w:footnote>
  <w:footnote w:id="15">
    <w:p w14:paraId="29F21C6F" w14:textId="74554810" w:rsidR="00711BBE" w:rsidRPr="00C83356" w:rsidRDefault="00711BBE" w:rsidP="00711BBE">
      <w:pPr>
        <w:pStyle w:val="FootnoteText"/>
        <w:ind w:left="113" w:hanging="113"/>
      </w:pPr>
      <w:r>
        <w:rPr>
          <w:rStyle w:val="FootnoteReference"/>
        </w:rPr>
        <w:footnoteRef/>
      </w:r>
      <w:r>
        <w:rPr>
          <w:rStyle w:val="FootnoteReference"/>
        </w:rPr>
        <w:t xml:space="preserve"> </w:t>
      </w:r>
      <w:bookmarkStart w:id="95" w:name="_Hlk207365722"/>
      <w:r>
        <w:t>Unele investiții pe termen scurt vor ajunge la scadență în S1 2026. În conformitate cu standardele relevante, cuantumul de aproximativ 295 de milioane EUR nu ține seama de veniturile obținute din aceste participații, dar include beneficiile investite în S1 2025, care au ajuns la scadență în S2 2025. Pe bază de angajamente, costul net de administrare a lichidității pentru S2 2025 este estimat la aproximativ 385 de milioane EUR.</w:t>
      </w:r>
      <w:bookmarkEnd w:id="95"/>
    </w:p>
  </w:footnote>
  <w:footnote w:id="16">
    <w:p w14:paraId="2ACA4746" w14:textId="6830C534" w:rsidR="00991E57" w:rsidRPr="00FB5B3D" w:rsidRDefault="00991E57" w:rsidP="00FB5B3D">
      <w:pPr>
        <w:pStyle w:val="FootnoteText"/>
      </w:pPr>
      <w:r>
        <w:rPr>
          <w:rStyle w:val="FootnoteReference"/>
        </w:rPr>
        <w:footnoteRef/>
      </w:r>
      <w:r>
        <w:t xml:space="preserve"> Nomenclatorul statistic al activităților economice în Europa.</w:t>
      </w:r>
    </w:p>
  </w:footnote>
  <w:footnote w:id="17">
    <w:p w14:paraId="4887E03D" w14:textId="4E756363" w:rsidR="002C41B5" w:rsidRPr="002C41B5" w:rsidRDefault="002C41B5" w:rsidP="002C41B5">
      <w:pPr>
        <w:pStyle w:val="FootnoteText"/>
      </w:pPr>
      <w:r>
        <w:rPr>
          <w:rStyle w:val="FootnoteReference"/>
        </w:rPr>
        <w:footnoteRef/>
      </w:r>
      <w:r>
        <w:t xml:space="preserve"> Comisia furnizează, de asemenea, actualizări periodice prin intermediul</w:t>
      </w:r>
      <w:r>
        <w:rPr>
          <w:rFonts w:ascii="Calibri" w:hAnsi="Calibri"/>
        </w:rPr>
        <w:t xml:space="preserve"> </w:t>
      </w:r>
      <w:hyperlink r:id="rId8" w:tgtFrame="_blank" w:history="1">
        <w:r>
          <w:rPr>
            <w:rStyle w:val="Hyperlink"/>
          </w:rPr>
          <w:t>tabloului de bord privind obligațiunile verzi NGEU</w:t>
        </w:r>
      </w:hyperlink>
      <w:r>
        <w:t>, disponibil online.</w:t>
      </w:r>
    </w:p>
  </w:footnote>
  <w:footnote w:id="18">
    <w:p w14:paraId="71D9BBFB" w14:textId="66A28D88" w:rsidR="003D7F4D" w:rsidRPr="00FA1F7E" w:rsidRDefault="003D7F4D" w:rsidP="003D7F4D">
      <w:pPr>
        <w:pStyle w:val="FootnoteText"/>
        <w:rPr>
          <w:sz w:val="18"/>
          <w:szCs w:val="18"/>
        </w:rPr>
      </w:pPr>
      <w:r>
        <w:rPr>
          <w:rStyle w:val="FootnoteReference"/>
          <w:sz w:val="18"/>
          <w:szCs w:val="18"/>
        </w:rPr>
        <w:footnoteRef/>
      </w:r>
      <w:r>
        <w:rPr>
          <w:sz w:val="18"/>
        </w:rPr>
        <w:t xml:space="preserve"> Mai multe informații privind obligațiunile verzi NextGenerationEU: </w:t>
      </w:r>
      <w:hyperlink r:id="rId9" w:history="1">
        <w:r>
          <w:rPr>
            <w:rStyle w:val="Hyperlink"/>
            <w:sz w:val="18"/>
          </w:rPr>
          <w:t>Tabloul de bord privind obligațiunile verzi NGEU</w:t>
        </w:r>
      </w:hyperlink>
      <w:r>
        <w:t>.</w:t>
      </w:r>
    </w:p>
  </w:footnote>
  <w:footnote w:id="19">
    <w:p w14:paraId="490D73F6" w14:textId="675DB444" w:rsidR="003D7F4D" w:rsidRPr="00FA1F7E" w:rsidRDefault="003D7F4D" w:rsidP="003D7F4D">
      <w:pPr>
        <w:spacing w:after="0"/>
        <w:rPr>
          <w:sz w:val="18"/>
          <w:szCs w:val="18"/>
        </w:rPr>
      </w:pPr>
      <w:r>
        <w:rPr>
          <w:rStyle w:val="FootnoteReference"/>
          <w:sz w:val="18"/>
          <w:szCs w:val="18"/>
        </w:rPr>
        <w:footnoteRef/>
      </w:r>
      <w:r>
        <w:rPr>
          <w:sz w:val="18"/>
        </w:rPr>
        <w:t xml:space="preserve"> Pe baza numărului mediu de luni dintre emisiunea nouă și prima emisiune continuă atunci când se iau în considerare liniile noi care beneficiază de emisiuni continue pe parcursul S1 2025.</w:t>
      </w:r>
    </w:p>
    <w:p w14:paraId="24266DE0" w14:textId="77777777" w:rsidR="003D7F4D" w:rsidRPr="00391716" w:rsidRDefault="003D7F4D" w:rsidP="003D7F4D">
      <w:pPr>
        <w:pStyle w:val="FootnoteText"/>
        <w:ind w:left="0" w:firstLine="0"/>
        <w:rPr>
          <w:sz w:val="18"/>
          <w:szCs w:val="18"/>
        </w:rPr>
      </w:pPr>
    </w:p>
  </w:footnote>
  <w:footnote w:id="20">
    <w:p w14:paraId="7151E51E" w14:textId="75DD6FAE" w:rsidR="003D7F4D" w:rsidRPr="0002172B" w:rsidRDefault="003D7F4D" w:rsidP="003D7F4D">
      <w:pPr>
        <w:pStyle w:val="FootnoteText"/>
      </w:pPr>
      <w:r>
        <w:rPr>
          <w:rStyle w:val="FootnoteReference"/>
          <w:sz w:val="18"/>
          <w:szCs w:val="18"/>
        </w:rPr>
        <w:footnoteRef/>
      </w:r>
      <w:r>
        <w:rPr>
          <w:sz w:val="18"/>
        </w:rPr>
        <w:t xml:space="preserve"> Obligațiuni rămase de rambursat din numărul de obligațiuni de la sfârșitul S2 2024, pe baza obligațiunilor emise în cadrul strategiei de finanțare diversificată.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0D7D" w14:textId="77777777" w:rsidR="00901876" w:rsidRPr="00901876" w:rsidRDefault="00901876" w:rsidP="0090187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A61A4" w14:textId="77777777" w:rsidR="00901876" w:rsidRPr="00901876" w:rsidRDefault="00901876" w:rsidP="009018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60925" w14:textId="77777777" w:rsidR="00901876" w:rsidRPr="00901876" w:rsidRDefault="00901876" w:rsidP="009018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8782F" w14:textId="77777777" w:rsidR="001C2621" w:rsidRDefault="001C26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F0B2" w14:textId="77777777" w:rsidR="001C2621" w:rsidRDefault="001C26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53ECF" w14:textId="77777777" w:rsidR="001C2621" w:rsidRDefault="001C26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F893" w14:textId="77777777" w:rsidR="001C2621" w:rsidRDefault="001C26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0380C" w14:textId="77777777" w:rsidR="001C2621" w:rsidRPr="00657B16" w:rsidRDefault="001C2621" w:rsidP="008927F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4121" w14:textId="77777777" w:rsidR="001C2621" w:rsidRDefault="001C26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04DE7" w14:textId="77777777" w:rsidR="001C2621" w:rsidRDefault="001C26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14E1E" w14:textId="77777777" w:rsidR="001C2621" w:rsidRDefault="001C262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0D3D0" w14:textId="77777777" w:rsidR="001C2621" w:rsidRDefault="001C26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7285"/>
    <w:multiLevelType w:val="hybridMultilevel"/>
    <w:tmpl w:val="03C0452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161A4A"/>
    <w:multiLevelType w:val="hybridMultilevel"/>
    <w:tmpl w:val="9D847452"/>
    <w:lvl w:ilvl="0" w:tplc="0D9A2F4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B670D"/>
    <w:multiLevelType w:val="hybridMultilevel"/>
    <w:tmpl w:val="7C3C86A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FF15449"/>
    <w:multiLevelType w:val="hybridMultilevel"/>
    <w:tmpl w:val="680CEC7A"/>
    <w:lvl w:ilvl="0" w:tplc="4DC4E9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194ED2"/>
    <w:multiLevelType w:val="hybridMultilevel"/>
    <w:tmpl w:val="2B06D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55A0B"/>
    <w:multiLevelType w:val="hybridMultilevel"/>
    <w:tmpl w:val="04DCAB7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366335"/>
    <w:multiLevelType w:val="hybridMultilevel"/>
    <w:tmpl w:val="505C6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7E7CA7"/>
    <w:multiLevelType w:val="hybridMultilevel"/>
    <w:tmpl w:val="DC8443FA"/>
    <w:lvl w:ilvl="0" w:tplc="36305444">
      <w:start w:val="1"/>
      <w:numFmt w:val="bullet"/>
      <w:lvlText w:val="-"/>
      <w:lvlJc w:val="left"/>
      <w:pPr>
        <w:ind w:left="720" w:hanging="360"/>
      </w:pPr>
      <w:rPr>
        <w:rFonts w:ascii="EC Square Sans Pro" w:eastAsia="Times New Roman" w:hAnsi="EC Square Sans Pro" w:cs="Times New Roman" w:hint="default"/>
        <w:b/>
        <w:bCs/>
        <w:color w:val="70AD47"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F05598"/>
    <w:multiLevelType w:val="hybridMultilevel"/>
    <w:tmpl w:val="2C30747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3D43C7C"/>
    <w:multiLevelType w:val="hybridMultilevel"/>
    <w:tmpl w:val="58C04AA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5614371"/>
    <w:multiLevelType w:val="hybridMultilevel"/>
    <w:tmpl w:val="7C3C86A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A71202"/>
    <w:multiLevelType w:val="hybridMultilevel"/>
    <w:tmpl w:val="28CCA644"/>
    <w:lvl w:ilvl="0" w:tplc="111E0DF2">
      <w:start w:val="1"/>
      <w:numFmt w:val="bullet"/>
      <w:lvlText w:val=""/>
      <w:lvlJc w:val="left"/>
      <w:pPr>
        <w:ind w:left="720" w:hanging="360"/>
      </w:pPr>
      <w:rPr>
        <w:rFonts w:ascii="Symbol" w:hAnsi="Symbol" w:hint="default"/>
        <w:color w:val="034EA2"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1084BB5"/>
    <w:multiLevelType w:val="hybridMultilevel"/>
    <w:tmpl w:val="DFC08A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751D3"/>
    <w:multiLevelType w:val="hybridMultilevel"/>
    <w:tmpl w:val="2CA2CE64"/>
    <w:lvl w:ilvl="0" w:tplc="6ECAA736">
      <w:start w:val="1"/>
      <w:numFmt w:val="lowerRoman"/>
      <w:lvlText w:val="%1."/>
      <w:lvlJc w:val="right"/>
      <w:pPr>
        <w:ind w:left="720" w:hanging="360"/>
      </w:pPr>
      <w:rPr>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E24E98"/>
    <w:multiLevelType w:val="hybridMultilevel"/>
    <w:tmpl w:val="E37CC0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727F54"/>
    <w:multiLevelType w:val="hybridMultilevel"/>
    <w:tmpl w:val="010A5B40"/>
    <w:lvl w:ilvl="0" w:tplc="42947A9C">
      <w:start w:val="1"/>
      <w:numFmt w:val="bullet"/>
      <w:lvlText w:val="•"/>
      <w:lvlJc w:val="left"/>
      <w:pPr>
        <w:tabs>
          <w:tab w:val="num" w:pos="720"/>
        </w:tabs>
        <w:ind w:left="720" w:hanging="360"/>
      </w:pPr>
      <w:rPr>
        <w:rFonts w:ascii="Arial" w:hAnsi="Arial" w:hint="default"/>
      </w:rPr>
    </w:lvl>
    <w:lvl w:ilvl="1" w:tplc="215AC05A" w:tentative="1">
      <w:start w:val="1"/>
      <w:numFmt w:val="bullet"/>
      <w:lvlText w:val="•"/>
      <w:lvlJc w:val="left"/>
      <w:pPr>
        <w:tabs>
          <w:tab w:val="num" w:pos="1440"/>
        </w:tabs>
        <w:ind w:left="1440" w:hanging="360"/>
      </w:pPr>
      <w:rPr>
        <w:rFonts w:ascii="Arial" w:hAnsi="Arial" w:hint="default"/>
      </w:rPr>
    </w:lvl>
    <w:lvl w:ilvl="2" w:tplc="ADD695E0" w:tentative="1">
      <w:start w:val="1"/>
      <w:numFmt w:val="bullet"/>
      <w:lvlText w:val="•"/>
      <w:lvlJc w:val="left"/>
      <w:pPr>
        <w:tabs>
          <w:tab w:val="num" w:pos="2160"/>
        </w:tabs>
        <w:ind w:left="2160" w:hanging="360"/>
      </w:pPr>
      <w:rPr>
        <w:rFonts w:ascii="Arial" w:hAnsi="Arial" w:hint="default"/>
      </w:rPr>
    </w:lvl>
    <w:lvl w:ilvl="3" w:tplc="529CBC18" w:tentative="1">
      <w:start w:val="1"/>
      <w:numFmt w:val="bullet"/>
      <w:lvlText w:val="•"/>
      <w:lvlJc w:val="left"/>
      <w:pPr>
        <w:tabs>
          <w:tab w:val="num" w:pos="2880"/>
        </w:tabs>
        <w:ind w:left="2880" w:hanging="360"/>
      </w:pPr>
      <w:rPr>
        <w:rFonts w:ascii="Arial" w:hAnsi="Arial" w:hint="default"/>
      </w:rPr>
    </w:lvl>
    <w:lvl w:ilvl="4" w:tplc="87264A7C" w:tentative="1">
      <w:start w:val="1"/>
      <w:numFmt w:val="bullet"/>
      <w:lvlText w:val="•"/>
      <w:lvlJc w:val="left"/>
      <w:pPr>
        <w:tabs>
          <w:tab w:val="num" w:pos="3600"/>
        </w:tabs>
        <w:ind w:left="3600" w:hanging="360"/>
      </w:pPr>
      <w:rPr>
        <w:rFonts w:ascii="Arial" w:hAnsi="Arial" w:hint="default"/>
      </w:rPr>
    </w:lvl>
    <w:lvl w:ilvl="5" w:tplc="0C662316" w:tentative="1">
      <w:start w:val="1"/>
      <w:numFmt w:val="bullet"/>
      <w:lvlText w:val="•"/>
      <w:lvlJc w:val="left"/>
      <w:pPr>
        <w:tabs>
          <w:tab w:val="num" w:pos="4320"/>
        </w:tabs>
        <w:ind w:left="4320" w:hanging="360"/>
      </w:pPr>
      <w:rPr>
        <w:rFonts w:ascii="Arial" w:hAnsi="Arial" w:hint="default"/>
      </w:rPr>
    </w:lvl>
    <w:lvl w:ilvl="6" w:tplc="6BB69D36" w:tentative="1">
      <w:start w:val="1"/>
      <w:numFmt w:val="bullet"/>
      <w:lvlText w:val="•"/>
      <w:lvlJc w:val="left"/>
      <w:pPr>
        <w:tabs>
          <w:tab w:val="num" w:pos="5040"/>
        </w:tabs>
        <w:ind w:left="5040" w:hanging="360"/>
      </w:pPr>
      <w:rPr>
        <w:rFonts w:ascii="Arial" w:hAnsi="Arial" w:hint="default"/>
      </w:rPr>
    </w:lvl>
    <w:lvl w:ilvl="7" w:tplc="AF4A540C" w:tentative="1">
      <w:start w:val="1"/>
      <w:numFmt w:val="bullet"/>
      <w:lvlText w:val="•"/>
      <w:lvlJc w:val="left"/>
      <w:pPr>
        <w:tabs>
          <w:tab w:val="num" w:pos="5760"/>
        </w:tabs>
        <w:ind w:left="5760" w:hanging="360"/>
      </w:pPr>
      <w:rPr>
        <w:rFonts w:ascii="Arial" w:hAnsi="Arial" w:hint="default"/>
      </w:rPr>
    </w:lvl>
    <w:lvl w:ilvl="8" w:tplc="CAF8005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A120080"/>
    <w:multiLevelType w:val="hybridMultilevel"/>
    <w:tmpl w:val="9D4E4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E473A4"/>
    <w:multiLevelType w:val="hybridMultilevel"/>
    <w:tmpl w:val="6D3E5978"/>
    <w:lvl w:ilvl="0" w:tplc="CDBC193C">
      <w:start w:val="1"/>
      <w:numFmt w:val="bullet"/>
      <w:lvlText w:val=""/>
      <w:lvlJc w:val="left"/>
      <w:pPr>
        <w:ind w:left="360" w:hanging="360"/>
      </w:pPr>
      <w:rPr>
        <w:rFonts w:ascii="Symbol" w:hAnsi="Symbol" w:hint="default"/>
        <w:color w:val="034EA2"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0C62327"/>
    <w:multiLevelType w:val="hybridMultilevel"/>
    <w:tmpl w:val="7E726144"/>
    <w:lvl w:ilvl="0" w:tplc="F1D08040">
      <w:start w:val="1"/>
      <w:numFmt w:val="bullet"/>
      <w:lvlText w:val="•"/>
      <w:lvlJc w:val="left"/>
      <w:pPr>
        <w:tabs>
          <w:tab w:val="num" w:pos="720"/>
        </w:tabs>
        <w:ind w:left="720" w:hanging="360"/>
      </w:pPr>
      <w:rPr>
        <w:rFonts w:ascii="Arial" w:hAnsi="Arial" w:hint="default"/>
      </w:rPr>
    </w:lvl>
    <w:lvl w:ilvl="1" w:tplc="925C4DA6" w:tentative="1">
      <w:start w:val="1"/>
      <w:numFmt w:val="bullet"/>
      <w:lvlText w:val="•"/>
      <w:lvlJc w:val="left"/>
      <w:pPr>
        <w:tabs>
          <w:tab w:val="num" w:pos="1440"/>
        </w:tabs>
        <w:ind w:left="1440" w:hanging="360"/>
      </w:pPr>
      <w:rPr>
        <w:rFonts w:ascii="Arial" w:hAnsi="Arial" w:hint="default"/>
      </w:rPr>
    </w:lvl>
    <w:lvl w:ilvl="2" w:tplc="3E7C8AA6" w:tentative="1">
      <w:start w:val="1"/>
      <w:numFmt w:val="bullet"/>
      <w:lvlText w:val="•"/>
      <w:lvlJc w:val="left"/>
      <w:pPr>
        <w:tabs>
          <w:tab w:val="num" w:pos="2160"/>
        </w:tabs>
        <w:ind w:left="2160" w:hanging="360"/>
      </w:pPr>
      <w:rPr>
        <w:rFonts w:ascii="Arial" w:hAnsi="Arial" w:hint="default"/>
      </w:rPr>
    </w:lvl>
    <w:lvl w:ilvl="3" w:tplc="A94A1B4E" w:tentative="1">
      <w:start w:val="1"/>
      <w:numFmt w:val="bullet"/>
      <w:lvlText w:val="•"/>
      <w:lvlJc w:val="left"/>
      <w:pPr>
        <w:tabs>
          <w:tab w:val="num" w:pos="2880"/>
        </w:tabs>
        <w:ind w:left="2880" w:hanging="360"/>
      </w:pPr>
      <w:rPr>
        <w:rFonts w:ascii="Arial" w:hAnsi="Arial" w:hint="default"/>
      </w:rPr>
    </w:lvl>
    <w:lvl w:ilvl="4" w:tplc="08D8C6E0" w:tentative="1">
      <w:start w:val="1"/>
      <w:numFmt w:val="bullet"/>
      <w:lvlText w:val="•"/>
      <w:lvlJc w:val="left"/>
      <w:pPr>
        <w:tabs>
          <w:tab w:val="num" w:pos="3600"/>
        </w:tabs>
        <w:ind w:left="3600" w:hanging="360"/>
      </w:pPr>
      <w:rPr>
        <w:rFonts w:ascii="Arial" w:hAnsi="Arial" w:hint="default"/>
      </w:rPr>
    </w:lvl>
    <w:lvl w:ilvl="5" w:tplc="39109110" w:tentative="1">
      <w:start w:val="1"/>
      <w:numFmt w:val="bullet"/>
      <w:lvlText w:val="•"/>
      <w:lvlJc w:val="left"/>
      <w:pPr>
        <w:tabs>
          <w:tab w:val="num" w:pos="4320"/>
        </w:tabs>
        <w:ind w:left="4320" w:hanging="360"/>
      </w:pPr>
      <w:rPr>
        <w:rFonts w:ascii="Arial" w:hAnsi="Arial" w:hint="default"/>
      </w:rPr>
    </w:lvl>
    <w:lvl w:ilvl="6" w:tplc="BA8032D4" w:tentative="1">
      <w:start w:val="1"/>
      <w:numFmt w:val="bullet"/>
      <w:lvlText w:val="•"/>
      <w:lvlJc w:val="left"/>
      <w:pPr>
        <w:tabs>
          <w:tab w:val="num" w:pos="5040"/>
        </w:tabs>
        <w:ind w:left="5040" w:hanging="360"/>
      </w:pPr>
      <w:rPr>
        <w:rFonts w:ascii="Arial" w:hAnsi="Arial" w:hint="default"/>
      </w:rPr>
    </w:lvl>
    <w:lvl w:ilvl="7" w:tplc="72C2EF70" w:tentative="1">
      <w:start w:val="1"/>
      <w:numFmt w:val="bullet"/>
      <w:lvlText w:val="•"/>
      <w:lvlJc w:val="left"/>
      <w:pPr>
        <w:tabs>
          <w:tab w:val="num" w:pos="5760"/>
        </w:tabs>
        <w:ind w:left="5760" w:hanging="360"/>
      </w:pPr>
      <w:rPr>
        <w:rFonts w:ascii="Arial" w:hAnsi="Arial" w:hint="default"/>
      </w:rPr>
    </w:lvl>
    <w:lvl w:ilvl="8" w:tplc="22848B5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6112BB0"/>
    <w:multiLevelType w:val="hybridMultilevel"/>
    <w:tmpl w:val="E9527C90"/>
    <w:lvl w:ilvl="0" w:tplc="0F465D34">
      <w:start w:val="12"/>
      <w:numFmt w:val="bullet"/>
      <w:lvlText w:val="-"/>
      <w:lvlJc w:val="left"/>
      <w:pPr>
        <w:ind w:left="720" w:hanging="360"/>
      </w:pPr>
      <w:rPr>
        <w:rFonts w:ascii="Verdana" w:eastAsia="Times New Roman" w:hAnsi="Verdana"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0A63F3E"/>
    <w:multiLevelType w:val="hybridMultilevel"/>
    <w:tmpl w:val="15F6BF5C"/>
    <w:lvl w:ilvl="0" w:tplc="FFFFFFFF">
      <w:start w:val="4"/>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1E926F6"/>
    <w:multiLevelType w:val="hybridMultilevel"/>
    <w:tmpl w:val="9282F37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D205736"/>
    <w:multiLevelType w:val="multilevel"/>
    <w:tmpl w:val="FC98DC46"/>
    <w:lvl w:ilvl="0">
      <w:start w:val="1"/>
      <w:numFmt w:val="decimal"/>
      <w:pStyle w:val="Heading1"/>
      <w:lvlText w:val="%1."/>
      <w:lvlJc w:val="left"/>
      <w:pPr>
        <w:ind w:left="502" w:hanging="360"/>
      </w:pPr>
    </w:lvl>
    <w:lvl w:ilvl="1">
      <w:start w:val="2"/>
      <w:numFmt w:val="decimal"/>
      <w:isLgl/>
      <w:lvlText w:val="%1.%2"/>
      <w:lvlJc w:val="left"/>
      <w:pPr>
        <w:ind w:left="720" w:hanging="360"/>
      </w:pPr>
      <w:rPr>
        <w:rFonts w:hint="default"/>
        <w:b/>
      </w:rPr>
    </w:lvl>
    <w:lvl w:ilvl="2">
      <w:start w:val="1"/>
      <w:numFmt w:val="decimalZero"/>
      <w:isLgl/>
      <w:lvlText w:val="%1.%2.%3"/>
      <w:lvlJc w:val="left"/>
      <w:pPr>
        <w:ind w:left="1298" w:hanging="720"/>
      </w:pPr>
      <w:rPr>
        <w:rFonts w:hint="default"/>
        <w:b/>
      </w:rPr>
    </w:lvl>
    <w:lvl w:ilvl="3">
      <w:start w:val="1"/>
      <w:numFmt w:val="decimal"/>
      <w:isLgl/>
      <w:lvlText w:val="%1.%2.%3.%4"/>
      <w:lvlJc w:val="left"/>
      <w:pPr>
        <w:ind w:left="1516" w:hanging="720"/>
      </w:pPr>
      <w:rPr>
        <w:rFonts w:hint="default"/>
        <w:b/>
      </w:rPr>
    </w:lvl>
    <w:lvl w:ilvl="4">
      <w:start w:val="1"/>
      <w:numFmt w:val="decimal"/>
      <w:isLgl/>
      <w:lvlText w:val="%1.%2.%3.%4.%5"/>
      <w:lvlJc w:val="left"/>
      <w:pPr>
        <w:ind w:left="2094" w:hanging="1080"/>
      </w:pPr>
      <w:rPr>
        <w:rFonts w:hint="default"/>
        <w:b/>
      </w:rPr>
    </w:lvl>
    <w:lvl w:ilvl="5">
      <w:start w:val="1"/>
      <w:numFmt w:val="decimal"/>
      <w:isLgl/>
      <w:lvlText w:val="%1.%2.%3.%4.%5.%6"/>
      <w:lvlJc w:val="left"/>
      <w:pPr>
        <w:ind w:left="2312" w:hanging="1080"/>
      </w:pPr>
      <w:rPr>
        <w:rFonts w:hint="default"/>
        <w:b/>
      </w:rPr>
    </w:lvl>
    <w:lvl w:ilvl="6">
      <w:start w:val="1"/>
      <w:numFmt w:val="decimal"/>
      <w:isLgl/>
      <w:lvlText w:val="%1.%2.%3.%4.%5.%6.%7"/>
      <w:lvlJc w:val="left"/>
      <w:pPr>
        <w:ind w:left="2890" w:hanging="1440"/>
      </w:pPr>
      <w:rPr>
        <w:rFonts w:hint="default"/>
        <w:b/>
      </w:rPr>
    </w:lvl>
    <w:lvl w:ilvl="7">
      <w:start w:val="1"/>
      <w:numFmt w:val="decimal"/>
      <w:isLgl/>
      <w:lvlText w:val="%1.%2.%3.%4.%5.%6.%7.%8"/>
      <w:lvlJc w:val="left"/>
      <w:pPr>
        <w:ind w:left="3468" w:hanging="1800"/>
      </w:pPr>
      <w:rPr>
        <w:rFonts w:hint="default"/>
        <w:b/>
      </w:rPr>
    </w:lvl>
    <w:lvl w:ilvl="8">
      <w:start w:val="1"/>
      <w:numFmt w:val="decimal"/>
      <w:isLgl/>
      <w:lvlText w:val="%1.%2.%3.%4.%5.%6.%7.%8.%9"/>
      <w:lvlJc w:val="left"/>
      <w:pPr>
        <w:ind w:left="3686" w:hanging="1800"/>
      </w:pPr>
      <w:rPr>
        <w:rFonts w:hint="default"/>
        <w:b/>
      </w:rPr>
    </w:lvl>
  </w:abstractNum>
  <w:abstractNum w:abstractNumId="24" w15:restartNumberingAfterBreak="0">
    <w:nsid w:val="65926EE4"/>
    <w:multiLevelType w:val="hybridMultilevel"/>
    <w:tmpl w:val="D26402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F32E50"/>
    <w:multiLevelType w:val="hybridMultilevel"/>
    <w:tmpl w:val="D80CFA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25426B"/>
    <w:multiLevelType w:val="hybridMultilevel"/>
    <w:tmpl w:val="04DCAB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2166D"/>
    <w:multiLevelType w:val="hybridMultilevel"/>
    <w:tmpl w:val="135AE8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C140E52"/>
    <w:multiLevelType w:val="hybridMultilevel"/>
    <w:tmpl w:val="3188A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078309F"/>
    <w:multiLevelType w:val="hybridMultilevel"/>
    <w:tmpl w:val="0BC6F9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3B829CE"/>
    <w:multiLevelType w:val="hybridMultilevel"/>
    <w:tmpl w:val="0D56E2F8"/>
    <w:lvl w:ilvl="0" w:tplc="D67042A2">
      <w:start w:val="1"/>
      <w:numFmt w:val="bullet"/>
      <w:lvlText w:val="•"/>
      <w:lvlJc w:val="left"/>
      <w:pPr>
        <w:tabs>
          <w:tab w:val="num" w:pos="720"/>
        </w:tabs>
        <w:ind w:left="720" w:hanging="360"/>
      </w:pPr>
      <w:rPr>
        <w:rFonts w:ascii="Arial" w:hAnsi="Arial" w:hint="default"/>
      </w:rPr>
    </w:lvl>
    <w:lvl w:ilvl="1" w:tplc="C5A001CA" w:tentative="1">
      <w:start w:val="1"/>
      <w:numFmt w:val="bullet"/>
      <w:lvlText w:val="•"/>
      <w:lvlJc w:val="left"/>
      <w:pPr>
        <w:tabs>
          <w:tab w:val="num" w:pos="1440"/>
        </w:tabs>
        <w:ind w:left="1440" w:hanging="360"/>
      </w:pPr>
      <w:rPr>
        <w:rFonts w:ascii="Arial" w:hAnsi="Arial" w:hint="default"/>
      </w:rPr>
    </w:lvl>
    <w:lvl w:ilvl="2" w:tplc="0966FE9E" w:tentative="1">
      <w:start w:val="1"/>
      <w:numFmt w:val="bullet"/>
      <w:lvlText w:val="•"/>
      <w:lvlJc w:val="left"/>
      <w:pPr>
        <w:tabs>
          <w:tab w:val="num" w:pos="2160"/>
        </w:tabs>
        <w:ind w:left="2160" w:hanging="360"/>
      </w:pPr>
      <w:rPr>
        <w:rFonts w:ascii="Arial" w:hAnsi="Arial" w:hint="default"/>
      </w:rPr>
    </w:lvl>
    <w:lvl w:ilvl="3" w:tplc="B6BAA56C" w:tentative="1">
      <w:start w:val="1"/>
      <w:numFmt w:val="bullet"/>
      <w:lvlText w:val="•"/>
      <w:lvlJc w:val="left"/>
      <w:pPr>
        <w:tabs>
          <w:tab w:val="num" w:pos="2880"/>
        </w:tabs>
        <w:ind w:left="2880" w:hanging="360"/>
      </w:pPr>
      <w:rPr>
        <w:rFonts w:ascii="Arial" w:hAnsi="Arial" w:hint="default"/>
      </w:rPr>
    </w:lvl>
    <w:lvl w:ilvl="4" w:tplc="AC3E3172" w:tentative="1">
      <w:start w:val="1"/>
      <w:numFmt w:val="bullet"/>
      <w:lvlText w:val="•"/>
      <w:lvlJc w:val="left"/>
      <w:pPr>
        <w:tabs>
          <w:tab w:val="num" w:pos="3600"/>
        </w:tabs>
        <w:ind w:left="3600" w:hanging="360"/>
      </w:pPr>
      <w:rPr>
        <w:rFonts w:ascii="Arial" w:hAnsi="Arial" w:hint="default"/>
      </w:rPr>
    </w:lvl>
    <w:lvl w:ilvl="5" w:tplc="3F4472FC" w:tentative="1">
      <w:start w:val="1"/>
      <w:numFmt w:val="bullet"/>
      <w:lvlText w:val="•"/>
      <w:lvlJc w:val="left"/>
      <w:pPr>
        <w:tabs>
          <w:tab w:val="num" w:pos="4320"/>
        </w:tabs>
        <w:ind w:left="4320" w:hanging="360"/>
      </w:pPr>
      <w:rPr>
        <w:rFonts w:ascii="Arial" w:hAnsi="Arial" w:hint="default"/>
      </w:rPr>
    </w:lvl>
    <w:lvl w:ilvl="6" w:tplc="9392BC8A" w:tentative="1">
      <w:start w:val="1"/>
      <w:numFmt w:val="bullet"/>
      <w:lvlText w:val="•"/>
      <w:lvlJc w:val="left"/>
      <w:pPr>
        <w:tabs>
          <w:tab w:val="num" w:pos="5040"/>
        </w:tabs>
        <w:ind w:left="5040" w:hanging="360"/>
      </w:pPr>
      <w:rPr>
        <w:rFonts w:ascii="Arial" w:hAnsi="Arial" w:hint="default"/>
      </w:rPr>
    </w:lvl>
    <w:lvl w:ilvl="7" w:tplc="A95A6D3A" w:tentative="1">
      <w:start w:val="1"/>
      <w:numFmt w:val="bullet"/>
      <w:lvlText w:val="•"/>
      <w:lvlJc w:val="left"/>
      <w:pPr>
        <w:tabs>
          <w:tab w:val="num" w:pos="5760"/>
        </w:tabs>
        <w:ind w:left="5760" w:hanging="360"/>
      </w:pPr>
      <w:rPr>
        <w:rFonts w:ascii="Arial" w:hAnsi="Arial" w:hint="default"/>
      </w:rPr>
    </w:lvl>
    <w:lvl w:ilvl="8" w:tplc="C9DCB52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CF34744"/>
    <w:multiLevelType w:val="hybridMultilevel"/>
    <w:tmpl w:val="88DCC72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D7B3804"/>
    <w:multiLevelType w:val="hybridMultilevel"/>
    <w:tmpl w:val="9282F37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B27204"/>
    <w:multiLevelType w:val="hybridMultilevel"/>
    <w:tmpl w:val="15F6BF5C"/>
    <w:lvl w:ilvl="0" w:tplc="04090017">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28"/>
  </w:num>
  <w:num w:numId="3">
    <w:abstractNumId w:val="1"/>
  </w:num>
  <w:num w:numId="4">
    <w:abstractNumId w:val="20"/>
  </w:num>
  <w:num w:numId="5">
    <w:abstractNumId w:val="8"/>
  </w:num>
  <w:num w:numId="6">
    <w:abstractNumId w:val="10"/>
  </w:num>
  <w:num w:numId="7">
    <w:abstractNumId w:val="13"/>
  </w:num>
  <w:num w:numId="8">
    <w:abstractNumId w:val="15"/>
  </w:num>
  <w:num w:numId="9">
    <w:abstractNumId w:val="4"/>
  </w:num>
  <w:num w:numId="10">
    <w:abstractNumId w:val="11"/>
  </w:num>
  <w:num w:numId="11">
    <w:abstractNumId w:val="25"/>
  </w:num>
  <w:num w:numId="12">
    <w:abstractNumId w:val="24"/>
  </w:num>
  <w:num w:numId="13">
    <w:abstractNumId w:val="26"/>
  </w:num>
  <w:num w:numId="14">
    <w:abstractNumId w:val="33"/>
  </w:num>
  <w:num w:numId="15">
    <w:abstractNumId w:val="18"/>
  </w:num>
  <w:num w:numId="16">
    <w:abstractNumId w:val="5"/>
  </w:num>
  <w:num w:numId="17">
    <w:abstractNumId w:val="17"/>
  </w:num>
  <w:num w:numId="18">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2"/>
  </w:num>
  <w:num w:numId="21">
    <w:abstractNumId w:val="9"/>
  </w:num>
  <w:num w:numId="22">
    <w:abstractNumId w:val="31"/>
  </w:num>
  <w:num w:numId="23">
    <w:abstractNumId w:val="32"/>
  </w:num>
  <w:num w:numId="24">
    <w:abstractNumId w:val="0"/>
  </w:num>
  <w:num w:numId="25">
    <w:abstractNumId w:val="14"/>
  </w:num>
  <w:num w:numId="26">
    <w:abstractNumId w:val="27"/>
  </w:num>
  <w:num w:numId="27">
    <w:abstractNumId w:val="2"/>
  </w:num>
  <w:num w:numId="28">
    <w:abstractNumId w:val="21"/>
  </w:num>
  <w:num w:numId="29">
    <w:abstractNumId w:val="7"/>
  </w:num>
  <w:num w:numId="30">
    <w:abstractNumId w:val="3"/>
  </w:num>
  <w:num w:numId="31">
    <w:abstractNumId w:val="12"/>
  </w:num>
  <w:num w:numId="32">
    <w:abstractNumId w:val="12"/>
  </w:num>
  <w:num w:numId="33">
    <w:abstractNumId w:val="12"/>
  </w:num>
  <w:num w:numId="34">
    <w:abstractNumId w:val="30"/>
  </w:num>
  <w:num w:numId="35">
    <w:abstractNumId w:val="19"/>
  </w:num>
  <w:num w:numId="36">
    <w:abstractNumId w:val="16"/>
  </w:num>
  <w:num w:numId="37">
    <w:abstractNumId w:val="6"/>
  </w:num>
  <w:num w:numId="38">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170"/>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2EBA1951-1B1E-4F7E-8C5E-8ACE460CF026"/>
    <w:docVar w:name="LW_COVERPAGE_TYPE" w:val="1"/>
    <w:docVar w:name="LW_CROSSREFERENCE" w:val="&lt;UNUSED&gt;"/>
    <w:docVar w:name="LW_DocType" w:val="NORMAL"/>
    <w:docVar w:name="LW_EMISSION" w:val="14.4.2026"/>
    <w:docVar w:name="LW_EMISSION_ISODATE" w:val="2026-04-14"/>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 semestrial privind realizarea opera\u539?iunilor de împrumut \u537?i de administrare a datoriei \u537?i a opera\u539?iunilor de credit conexe în temeiul articolului 13 din Decizia de punere în aplicare C(2023)8010 a Comisiei_x000d__x000d__x000d__x000d__x000d__x000d__x000d__x000d__x000d__x000d__x000d__x000d__x000d__x000d__x000d__x000d__x000b__x000d__x000d__x000d__x000d__x000d__x000d__x000d__x000d__x000d__x000d__x000d__x000d__x000d__x000d__x000d__x000d__x000b__x000d__x000d__x000d__x000d__x000d__x000d__x000d__x000d__x000d__x000d__x000d__x000d__x000d__x000d__x000d__x000d__x000d__x000d__x000d__x000d__x000d__x000d__x000d__x000b__x000d__x000d__x000d__x000d__x000d__x000d__x000d__x000d__x000d__x000d__x000d__x000d__x000d__x000d__x000d__x000d__x000d__x000d__x000d__x000d__x000d__x000d__x000b__x000d_1 iulie 2025 - 31 decembrie 2025_x000d__x000d__x000d__x000d__x000d__x000d__x000d__x000d__x000d__x000d__x000d__x000d__x000d__x000d__x000d__x000d__x000d__x000d__x000d__x000d__x000d__x000d__x000d__x000b__x000d__x000d__x000d__x000d__x000d__x000d__x000d__x000d__x000d__x000d__x000d__x000d__x000d__x000d__x000d__x000d__x000d__x000d__x000d__x000d__x000d__x000d__x000b__x000d_"/>
    <w:docVar w:name="LW_TYPE.DOC.CP" w:val="RAPORT AL COMISIEI C\u258?TRE PARLAMENTUL EUROPEAN \u536?I CONSILIU"/>
    <w:docVar w:name="LwApiVersions" w:val="LW4CoDe 1.24.5.0; LW 9.2, Build 20251112"/>
  </w:docVars>
  <w:rsids>
    <w:rsidRoot w:val="008B6253"/>
    <w:rsid w:val="000006A3"/>
    <w:rsid w:val="000016AC"/>
    <w:rsid w:val="0000198B"/>
    <w:rsid w:val="00001C79"/>
    <w:rsid w:val="00002581"/>
    <w:rsid w:val="000025FB"/>
    <w:rsid w:val="000027C3"/>
    <w:rsid w:val="00003164"/>
    <w:rsid w:val="00003760"/>
    <w:rsid w:val="000038AB"/>
    <w:rsid w:val="00003B2C"/>
    <w:rsid w:val="00004513"/>
    <w:rsid w:val="00004853"/>
    <w:rsid w:val="00004EFF"/>
    <w:rsid w:val="00005E65"/>
    <w:rsid w:val="000064F6"/>
    <w:rsid w:val="000065CB"/>
    <w:rsid w:val="00006945"/>
    <w:rsid w:val="00007866"/>
    <w:rsid w:val="00007DB0"/>
    <w:rsid w:val="000113D6"/>
    <w:rsid w:val="00011761"/>
    <w:rsid w:val="000123E4"/>
    <w:rsid w:val="00012D54"/>
    <w:rsid w:val="00012F88"/>
    <w:rsid w:val="00013124"/>
    <w:rsid w:val="000138B4"/>
    <w:rsid w:val="00013AFC"/>
    <w:rsid w:val="00015055"/>
    <w:rsid w:val="000152FF"/>
    <w:rsid w:val="00016108"/>
    <w:rsid w:val="00016BBF"/>
    <w:rsid w:val="00017000"/>
    <w:rsid w:val="0001773F"/>
    <w:rsid w:val="00017BCF"/>
    <w:rsid w:val="00017F73"/>
    <w:rsid w:val="0002126B"/>
    <w:rsid w:val="00021271"/>
    <w:rsid w:val="000214CF"/>
    <w:rsid w:val="00021B91"/>
    <w:rsid w:val="00022392"/>
    <w:rsid w:val="0002402F"/>
    <w:rsid w:val="00024157"/>
    <w:rsid w:val="00024317"/>
    <w:rsid w:val="000248CD"/>
    <w:rsid w:val="00025D1D"/>
    <w:rsid w:val="000262A2"/>
    <w:rsid w:val="000264A7"/>
    <w:rsid w:val="00026571"/>
    <w:rsid w:val="000275EB"/>
    <w:rsid w:val="000301AA"/>
    <w:rsid w:val="000304D4"/>
    <w:rsid w:val="00030B16"/>
    <w:rsid w:val="00031566"/>
    <w:rsid w:val="00032379"/>
    <w:rsid w:val="000339B4"/>
    <w:rsid w:val="00034162"/>
    <w:rsid w:val="00034C0A"/>
    <w:rsid w:val="00035235"/>
    <w:rsid w:val="00036A07"/>
    <w:rsid w:val="00036DE3"/>
    <w:rsid w:val="00040E1F"/>
    <w:rsid w:val="0004137B"/>
    <w:rsid w:val="0004154A"/>
    <w:rsid w:val="00042B53"/>
    <w:rsid w:val="0004460D"/>
    <w:rsid w:val="00044BC7"/>
    <w:rsid w:val="0004607D"/>
    <w:rsid w:val="00046267"/>
    <w:rsid w:val="0004632F"/>
    <w:rsid w:val="000466B2"/>
    <w:rsid w:val="00046807"/>
    <w:rsid w:val="00046F24"/>
    <w:rsid w:val="000500DD"/>
    <w:rsid w:val="00052C99"/>
    <w:rsid w:val="00052E65"/>
    <w:rsid w:val="00052FDD"/>
    <w:rsid w:val="000545EE"/>
    <w:rsid w:val="00054FD5"/>
    <w:rsid w:val="000558F6"/>
    <w:rsid w:val="000559C6"/>
    <w:rsid w:val="00055CF1"/>
    <w:rsid w:val="00055E40"/>
    <w:rsid w:val="00056D87"/>
    <w:rsid w:val="00056EE5"/>
    <w:rsid w:val="000571C9"/>
    <w:rsid w:val="00057D8E"/>
    <w:rsid w:val="00060405"/>
    <w:rsid w:val="00061413"/>
    <w:rsid w:val="00061AD9"/>
    <w:rsid w:val="000623CD"/>
    <w:rsid w:val="00063474"/>
    <w:rsid w:val="00063876"/>
    <w:rsid w:val="00063AD8"/>
    <w:rsid w:val="0006518B"/>
    <w:rsid w:val="0006573D"/>
    <w:rsid w:val="000658E4"/>
    <w:rsid w:val="000659B4"/>
    <w:rsid w:val="00065C93"/>
    <w:rsid w:val="00065C9D"/>
    <w:rsid w:val="0006645C"/>
    <w:rsid w:val="00067AC8"/>
    <w:rsid w:val="0007120F"/>
    <w:rsid w:val="00071211"/>
    <w:rsid w:val="00071659"/>
    <w:rsid w:val="00072047"/>
    <w:rsid w:val="000720D5"/>
    <w:rsid w:val="000744F6"/>
    <w:rsid w:val="00074966"/>
    <w:rsid w:val="00075B6A"/>
    <w:rsid w:val="00075F80"/>
    <w:rsid w:val="0007609D"/>
    <w:rsid w:val="000761ED"/>
    <w:rsid w:val="00076F7B"/>
    <w:rsid w:val="000770E1"/>
    <w:rsid w:val="000777AF"/>
    <w:rsid w:val="00077F71"/>
    <w:rsid w:val="000804D7"/>
    <w:rsid w:val="00080B80"/>
    <w:rsid w:val="00081182"/>
    <w:rsid w:val="000811DA"/>
    <w:rsid w:val="00081EB2"/>
    <w:rsid w:val="000830C3"/>
    <w:rsid w:val="000831BF"/>
    <w:rsid w:val="00083C92"/>
    <w:rsid w:val="00084648"/>
    <w:rsid w:val="00085FEE"/>
    <w:rsid w:val="0008748B"/>
    <w:rsid w:val="0009033E"/>
    <w:rsid w:val="0009189C"/>
    <w:rsid w:val="000919EB"/>
    <w:rsid w:val="0009299B"/>
    <w:rsid w:val="0009414B"/>
    <w:rsid w:val="00094607"/>
    <w:rsid w:val="00094B94"/>
    <w:rsid w:val="00095BFD"/>
    <w:rsid w:val="00095DF7"/>
    <w:rsid w:val="00096802"/>
    <w:rsid w:val="00096D86"/>
    <w:rsid w:val="000973CE"/>
    <w:rsid w:val="00097D72"/>
    <w:rsid w:val="000A0545"/>
    <w:rsid w:val="000A0885"/>
    <w:rsid w:val="000A0AA1"/>
    <w:rsid w:val="000A1136"/>
    <w:rsid w:val="000A1556"/>
    <w:rsid w:val="000A26FE"/>
    <w:rsid w:val="000A2B3D"/>
    <w:rsid w:val="000A5C68"/>
    <w:rsid w:val="000A6EC7"/>
    <w:rsid w:val="000A7E3C"/>
    <w:rsid w:val="000B0652"/>
    <w:rsid w:val="000B232E"/>
    <w:rsid w:val="000B3537"/>
    <w:rsid w:val="000B4EF5"/>
    <w:rsid w:val="000B5255"/>
    <w:rsid w:val="000B6398"/>
    <w:rsid w:val="000B7472"/>
    <w:rsid w:val="000C00E3"/>
    <w:rsid w:val="000C09D9"/>
    <w:rsid w:val="000C1517"/>
    <w:rsid w:val="000C168A"/>
    <w:rsid w:val="000C26FE"/>
    <w:rsid w:val="000C3020"/>
    <w:rsid w:val="000C3CD5"/>
    <w:rsid w:val="000C41A5"/>
    <w:rsid w:val="000C5D88"/>
    <w:rsid w:val="000C7051"/>
    <w:rsid w:val="000D008A"/>
    <w:rsid w:val="000D213D"/>
    <w:rsid w:val="000D2596"/>
    <w:rsid w:val="000D2B51"/>
    <w:rsid w:val="000D2FDD"/>
    <w:rsid w:val="000D348A"/>
    <w:rsid w:val="000D5BA5"/>
    <w:rsid w:val="000D647C"/>
    <w:rsid w:val="000D7879"/>
    <w:rsid w:val="000D79AE"/>
    <w:rsid w:val="000E2B98"/>
    <w:rsid w:val="000E2CCD"/>
    <w:rsid w:val="000E2E6E"/>
    <w:rsid w:val="000E304A"/>
    <w:rsid w:val="000E3413"/>
    <w:rsid w:val="000E3BE4"/>
    <w:rsid w:val="000E4BFB"/>
    <w:rsid w:val="000E5618"/>
    <w:rsid w:val="000E5D4B"/>
    <w:rsid w:val="000E5EF5"/>
    <w:rsid w:val="000E6508"/>
    <w:rsid w:val="000E6611"/>
    <w:rsid w:val="000E6912"/>
    <w:rsid w:val="000E6982"/>
    <w:rsid w:val="000F037D"/>
    <w:rsid w:val="000F0386"/>
    <w:rsid w:val="000F0990"/>
    <w:rsid w:val="000F165A"/>
    <w:rsid w:val="000F16B2"/>
    <w:rsid w:val="000F1753"/>
    <w:rsid w:val="000F2ACA"/>
    <w:rsid w:val="000F2FB6"/>
    <w:rsid w:val="000F3C9A"/>
    <w:rsid w:val="000F4198"/>
    <w:rsid w:val="000F462D"/>
    <w:rsid w:val="000F533E"/>
    <w:rsid w:val="000F5D63"/>
    <w:rsid w:val="000F6E3B"/>
    <w:rsid w:val="000F7CB6"/>
    <w:rsid w:val="001004B8"/>
    <w:rsid w:val="00101490"/>
    <w:rsid w:val="001019EB"/>
    <w:rsid w:val="00102155"/>
    <w:rsid w:val="00102ABC"/>
    <w:rsid w:val="00102D9B"/>
    <w:rsid w:val="0010394A"/>
    <w:rsid w:val="00103A63"/>
    <w:rsid w:val="0010410E"/>
    <w:rsid w:val="0010483C"/>
    <w:rsid w:val="00104E19"/>
    <w:rsid w:val="0010771D"/>
    <w:rsid w:val="001077F9"/>
    <w:rsid w:val="00107A24"/>
    <w:rsid w:val="00110D36"/>
    <w:rsid w:val="00112CE7"/>
    <w:rsid w:val="00113042"/>
    <w:rsid w:val="0011323F"/>
    <w:rsid w:val="001137FB"/>
    <w:rsid w:val="00113B9E"/>
    <w:rsid w:val="00114207"/>
    <w:rsid w:val="00114592"/>
    <w:rsid w:val="00114B84"/>
    <w:rsid w:val="00117185"/>
    <w:rsid w:val="00117C59"/>
    <w:rsid w:val="0012011D"/>
    <w:rsid w:val="00120241"/>
    <w:rsid w:val="001208C2"/>
    <w:rsid w:val="00120B20"/>
    <w:rsid w:val="00121CE9"/>
    <w:rsid w:val="00122958"/>
    <w:rsid w:val="00122DAA"/>
    <w:rsid w:val="00125553"/>
    <w:rsid w:val="00127DB2"/>
    <w:rsid w:val="00127FC7"/>
    <w:rsid w:val="00131111"/>
    <w:rsid w:val="001311A9"/>
    <w:rsid w:val="0013129F"/>
    <w:rsid w:val="0013341B"/>
    <w:rsid w:val="001337A8"/>
    <w:rsid w:val="00134308"/>
    <w:rsid w:val="00135190"/>
    <w:rsid w:val="001358C9"/>
    <w:rsid w:val="001359B6"/>
    <w:rsid w:val="00135B23"/>
    <w:rsid w:val="00135B3B"/>
    <w:rsid w:val="0013697B"/>
    <w:rsid w:val="001369B3"/>
    <w:rsid w:val="00137822"/>
    <w:rsid w:val="00137CF7"/>
    <w:rsid w:val="001401DA"/>
    <w:rsid w:val="00140C8A"/>
    <w:rsid w:val="00141100"/>
    <w:rsid w:val="00142200"/>
    <w:rsid w:val="0014295B"/>
    <w:rsid w:val="00142A07"/>
    <w:rsid w:val="00142F64"/>
    <w:rsid w:val="00143006"/>
    <w:rsid w:val="001431B8"/>
    <w:rsid w:val="00143B58"/>
    <w:rsid w:val="00144EC6"/>
    <w:rsid w:val="00146211"/>
    <w:rsid w:val="00146FCA"/>
    <w:rsid w:val="0014728B"/>
    <w:rsid w:val="00147839"/>
    <w:rsid w:val="001505D1"/>
    <w:rsid w:val="00150F73"/>
    <w:rsid w:val="0015107E"/>
    <w:rsid w:val="0015130B"/>
    <w:rsid w:val="001524C7"/>
    <w:rsid w:val="00154274"/>
    <w:rsid w:val="00154875"/>
    <w:rsid w:val="00154A51"/>
    <w:rsid w:val="001555A6"/>
    <w:rsid w:val="00156FA8"/>
    <w:rsid w:val="001574CF"/>
    <w:rsid w:val="0016009E"/>
    <w:rsid w:val="00160344"/>
    <w:rsid w:val="00160A0F"/>
    <w:rsid w:val="00160C1F"/>
    <w:rsid w:val="00161936"/>
    <w:rsid w:val="00162300"/>
    <w:rsid w:val="0016311F"/>
    <w:rsid w:val="00163BF4"/>
    <w:rsid w:val="00164FBD"/>
    <w:rsid w:val="00164FD6"/>
    <w:rsid w:val="0016530F"/>
    <w:rsid w:val="00165420"/>
    <w:rsid w:val="00166CA0"/>
    <w:rsid w:val="001672C7"/>
    <w:rsid w:val="00171240"/>
    <w:rsid w:val="001717F0"/>
    <w:rsid w:val="00171F26"/>
    <w:rsid w:val="00172528"/>
    <w:rsid w:val="00175474"/>
    <w:rsid w:val="00176299"/>
    <w:rsid w:val="001767DC"/>
    <w:rsid w:val="00177222"/>
    <w:rsid w:val="00177568"/>
    <w:rsid w:val="00177D88"/>
    <w:rsid w:val="00177D92"/>
    <w:rsid w:val="00180CE3"/>
    <w:rsid w:val="00181102"/>
    <w:rsid w:val="00181A94"/>
    <w:rsid w:val="00181E20"/>
    <w:rsid w:val="0018247B"/>
    <w:rsid w:val="0018389B"/>
    <w:rsid w:val="0018490F"/>
    <w:rsid w:val="00185E6B"/>
    <w:rsid w:val="00187563"/>
    <w:rsid w:val="001875EC"/>
    <w:rsid w:val="00190160"/>
    <w:rsid w:val="0019095B"/>
    <w:rsid w:val="00192332"/>
    <w:rsid w:val="00193439"/>
    <w:rsid w:val="001936B3"/>
    <w:rsid w:val="00194F65"/>
    <w:rsid w:val="00195E47"/>
    <w:rsid w:val="001977FA"/>
    <w:rsid w:val="001A2134"/>
    <w:rsid w:val="001A2E95"/>
    <w:rsid w:val="001A3541"/>
    <w:rsid w:val="001A445F"/>
    <w:rsid w:val="001A4667"/>
    <w:rsid w:val="001A4733"/>
    <w:rsid w:val="001A5022"/>
    <w:rsid w:val="001A5608"/>
    <w:rsid w:val="001A57FF"/>
    <w:rsid w:val="001A59C4"/>
    <w:rsid w:val="001A66D1"/>
    <w:rsid w:val="001A675E"/>
    <w:rsid w:val="001A72C2"/>
    <w:rsid w:val="001A7578"/>
    <w:rsid w:val="001B01E2"/>
    <w:rsid w:val="001B033B"/>
    <w:rsid w:val="001B0AA1"/>
    <w:rsid w:val="001B0E99"/>
    <w:rsid w:val="001B3164"/>
    <w:rsid w:val="001B31F3"/>
    <w:rsid w:val="001B3675"/>
    <w:rsid w:val="001B4862"/>
    <w:rsid w:val="001B560E"/>
    <w:rsid w:val="001B6374"/>
    <w:rsid w:val="001B6617"/>
    <w:rsid w:val="001B6959"/>
    <w:rsid w:val="001B6FE8"/>
    <w:rsid w:val="001B75AB"/>
    <w:rsid w:val="001B79B9"/>
    <w:rsid w:val="001C0880"/>
    <w:rsid w:val="001C11F1"/>
    <w:rsid w:val="001C11FB"/>
    <w:rsid w:val="001C1350"/>
    <w:rsid w:val="001C13F0"/>
    <w:rsid w:val="001C2621"/>
    <w:rsid w:val="001C28B3"/>
    <w:rsid w:val="001C33B2"/>
    <w:rsid w:val="001C3C2E"/>
    <w:rsid w:val="001C445C"/>
    <w:rsid w:val="001C542F"/>
    <w:rsid w:val="001C5859"/>
    <w:rsid w:val="001C58BD"/>
    <w:rsid w:val="001C6C43"/>
    <w:rsid w:val="001D0900"/>
    <w:rsid w:val="001D1371"/>
    <w:rsid w:val="001D15D9"/>
    <w:rsid w:val="001D2A9E"/>
    <w:rsid w:val="001D2AB4"/>
    <w:rsid w:val="001D2E91"/>
    <w:rsid w:val="001D30CA"/>
    <w:rsid w:val="001D446D"/>
    <w:rsid w:val="001D478A"/>
    <w:rsid w:val="001D47EB"/>
    <w:rsid w:val="001D5B74"/>
    <w:rsid w:val="001D69E8"/>
    <w:rsid w:val="001D72F9"/>
    <w:rsid w:val="001E0283"/>
    <w:rsid w:val="001E0480"/>
    <w:rsid w:val="001E1251"/>
    <w:rsid w:val="001E1429"/>
    <w:rsid w:val="001E1475"/>
    <w:rsid w:val="001E2E34"/>
    <w:rsid w:val="001E6FE8"/>
    <w:rsid w:val="001E7B69"/>
    <w:rsid w:val="001E7C4B"/>
    <w:rsid w:val="001F33BD"/>
    <w:rsid w:val="001F36F8"/>
    <w:rsid w:val="001F3746"/>
    <w:rsid w:val="001F3F9B"/>
    <w:rsid w:val="001F43CE"/>
    <w:rsid w:val="001F52A4"/>
    <w:rsid w:val="001F5B65"/>
    <w:rsid w:val="001F6191"/>
    <w:rsid w:val="001F66FD"/>
    <w:rsid w:val="001F6E5E"/>
    <w:rsid w:val="00202BDB"/>
    <w:rsid w:val="002039FF"/>
    <w:rsid w:val="00203B8E"/>
    <w:rsid w:val="002040AE"/>
    <w:rsid w:val="00204834"/>
    <w:rsid w:val="00204F9C"/>
    <w:rsid w:val="002055AD"/>
    <w:rsid w:val="00207920"/>
    <w:rsid w:val="002101E7"/>
    <w:rsid w:val="0021075C"/>
    <w:rsid w:val="002107DC"/>
    <w:rsid w:val="00210CCA"/>
    <w:rsid w:val="00211FA8"/>
    <w:rsid w:val="00212A39"/>
    <w:rsid w:val="0021450B"/>
    <w:rsid w:val="002148BF"/>
    <w:rsid w:val="002151F6"/>
    <w:rsid w:val="00216746"/>
    <w:rsid w:val="0021776C"/>
    <w:rsid w:val="00217ED6"/>
    <w:rsid w:val="00221DD4"/>
    <w:rsid w:val="00221E97"/>
    <w:rsid w:val="002223A2"/>
    <w:rsid w:val="002226E4"/>
    <w:rsid w:val="00222DEE"/>
    <w:rsid w:val="00224A45"/>
    <w:rsid w:val="002255AC"/>
    <w:rsid w:val="0022594B"/>
    <w:rsid w:val="0022595F"/>
    <w:rsid w:val="00226916"/>
    <w:rsid w:val="00226F31"/>
    <w:rsid w:val="0023010A"/>
    <w:rsid w:val="00231768"/>
    <w:rsid w:val="00231D56"/>
    <w:rsid w:val="00232130"/>
    <w:rsid w:val="00232636"/>
    <w:rsid w:val="002334C2"/>
    <w:rsid w:val="002338DB"/>
    <w:rsid w:val="00234977"/>
    <w:rsid w:val="00234ADF"/>
    <w:rsid w:val="00236710"/>
    <w:rsid w:val="00236727"/>
    <w:rsid w:val="00237A80"/>
    <w:rsid w:val="00240156"/>
    <w:rsid w:val="0024146E"/>
    <w:rsid w:val="0024343F"/>
    <w:rsid w:val="00243E6C"/>
    <w:rsid w:val="00243FE5"/>
    <w:rsid w:val="002469E9"/>
    <w:rsid w:val="0024722E"/>
    <w:rsid w:val="00252C49"/>
    <w:rsid w:val="00253A22"/>
    <w:rsid w:val="002547A5"/>
    <w:rsid w:val="00254D4D"/>
    <w:rsid w:val="0026079A"/>
    <w:rsid w:val="00260BF1"/>
    <w:rsid w:val="00260CFD"/>
    <w:rsid w:val="00261126"/>
    <w:rsid w:val="002619C8"/>
    <w:rsid w:val="00261F4B"/>
    <w:rsid w:val="00262915"/>
    <w:rsid w:val="00262A23"/>
    <w:rsid w:val="00262AC8"/>
    <w:rsid w:val="00264614"/>
    <w:rsid w:val="002667A6"/>
    <w:rsid w:val="0026697C"/>
    <w:rsid w:val="00266B45"/>
    <w:rsid w:val="00266C5C"/>
    <w:rsid w:val="00267604"/>
    <w:rsid w:val="002703E2"/>
    <w:rsid w:val="002703F1"/>
    <w:rsid w:val="00270C15"/>
    <w:rsid w:val="00273940"/>
    <w:rsid w:val="00274061"/>
    <w:rsid w:val="0027409A"/>
    <w:rsid w:val="00274144"/>
    <w:rsid w:val="00274E17"/>
    <w:rsid w:val="00275148"/>
    <w:rsid w:val="00275FE6"/>
    <w:rsid w:val="00276737"/>
    <w:rsid w:val="00276FC8"/>
    <w:rsid w:val="00280E09"/>
    <w:rsid w:val="00281088"/>
    <w:rsid w:val="0028129F"/>
    <w:rsid w:val="002815FA"/>
    <w:rsid w:val="00282E65"/>
    <w:rsid w:val="002835C6"/>
    <w:rsid w:val="00284F80"/>
    <w:rsid w:val="00285408"/>
    <w:rsid w:val="002855E5"/>
    <w:rsid w:val="002858D3"/>
    <w:rsid w:val="00285D29"/>
    <w:rsid w:val="00286E0A"/>
    <w:rsid w:val="00287A0F"/>
    <w:rsid w:val="002913C3"/>
    <w:rsid w:val="002918A6"/>
    <w:rsid w:val="002936F3"/>
    <w:rsid w:val="00293811"/>
    <w:rsid w:val="00294403"/>
    <w:rsid w:val="00295066"/>
    <w:rsid w:val="002955CD"/>
    <w:rsid w:val="002958AA"/>
    <w:rsid w:val="00296908"/>
    <w:rsid w:val="002A1200"/>
    <w:rsid w:val="002A3273"/>
    <w:rsid w:val="002A3A30"/>
    <w:rsid w:val="002A461E"/>
    <w:rsid w:val="002A604F"/>
    <w:rsid w:val="002A6325"/>
    <w:rsid w:val="002A67DD"/>
    <w:rsid w:val="002A7852"/>
    <w:rsid w:val="002A798E"/>
    <w:rsid w:val="002B0728"/>
    <w:rsid w:val="002B107F"/>
    <w:rsid w:val="002B1A1A"/>
    <w:rsid w:val="002B278C"/>
    <w:rsid w:val="002B2A5F"/>
    <w:rsid w:val="002B2D97"/>
    <w:rsid w:val="002B33C1"/>
    <w:rsid w:val="002B3935"/>
    <w:rsid w:val="002B4027"/>
    <w:rsid w:val="002B4117"/>
    <w:rsid w:val="002B415F"/>
    <w:rsid w:val="002B535A"/>
    <w:rsid w:val="002B5B25"/>
    <w:rsid w:val="002B627C"/>
    <w:rsid w:val="002B7257"/>
    <w:rsid w:val="002C0014"/>
    <w:rsid w:val="002C0915"/>
    <w:rsid w:val="002C0B94"/>
    <w:rsid w:val="002C0C35"/>
    <w:rsid w:val="002C134A"/>
    <w:rsid w:val="002C1BE5"/>
    <w:rsid w:val="002C29AA"/>
    <w:rsid w:val="002C2D32"/>
    <w:rsid w:val="002C3985"/>
    <w:rsid w:val="002C41B5"/>
    <w:rsid w:val="002C4890"/>
    <w:rsid w:val="002C5293"/>
    <w:rsid w:val="002C59A6"/>
    <w:rsid w:val="002C69E8"/>
    <w:rsid w:val="002C6D51"/>
    <w:rsid w:val="002C6DC8"/>
    <w:rsid w:val="002C7AD0"/>
    <w:rsid w:val="002D0A9E"/>
    <w:rsid w:val="002D1554"/>
    <w:rsid w:val="002D32CA"/>
    <w:rsid w:val="002D5366"/>
    <w:rsid w:val="002D54AC"/>
    <w:rsid w:val="002D5E8C"/>
    <w:rsid w:val="002D71E2"/>
    <w:rsid w:val="002D769E"/>
    <w:rsid w:val="002E027E"/>
    <w:rsid w:val="002E05C7"/>
    <w:rsid w:val="002E086B"/>
    <w:rsid w:val="002E0AC8"/>
    <w:rsid w:val="002E1C12"/>
    <w:rsid w:val="002E2F3C"/>
    <w:rsid w:val="002E360F"/>
    <w:rsid w:val="002E39D3"/>
    <w:rsid w:val="002E4FA7"/>
    <w:rsid w:val="002E56EE"/>
    <w:rsid w:val="002E570D"/>
    <w:rsid w:val="002E757F"/>
    <w:rsid w:val="002F10E6"/>
    <w:rsid w:val="002F24D1"/>
    <w:rsid w:val="002F28D6"/>
    <w:rsid w:val="002F459E"/>
    <w:rsid w:val="002F4F1A"/>
    <w:rsid w:val="002F58AB"/>
    <w:rsid w:val="002F58B5"/>
    <w:rsid w:val="002F6BF4"/>
    <w:rsid w:val="002F6E61"/>
    <w:rsid w:val="002F7560"/>
    <w:rsid w:val="002F7768"/>
    <w:rsid w:val="002F7DBD"/>
    <w:rsid w:val="0030157E"/>
    <w:rsid w:val="00303189"/>
    <w:rsid w:val="0030390C"/>
    <w:rsid w:val="00303954"/>
    <w:rsid w:val="0030418A"/>
    <w:rsid w:val="0030467E"/>
    <w:rsid w:val="0030557B"/>
    <w:rsid w:val="00306786"/>
    <w:rsid w:val="00306877"/>
    <w:rsid w:val="00310433"/>
    <w:rsid w:val="00311FEB"/>
    <w:rsid w:val="00312A3E"/>
    <w:rsid w:val="003130F2"/>
    <w:rsid w:val="00313841"/>
    <w:rsid w:val="00313B5F"/>
    <w:rsid w:val="00313D8B"/>
    <w:rsid w:val="00314041"/>
    <w:rsid w:val="003160E0"/>
    <w:rsid w:val="00316BEE"/>
    <w:rsid w:val="00316D24"/>
    <w:rsid w:val="003173C5"/>
    <w:rsid w:val="00320534"/>
    <w:rsid w:val="0032072E"/>
    <w:rsid w:val="00322997"/>
    <w:rsid w:val="00323B74"/>
    <w:rsid w:val="003244E6"/>
    <w:rsid w:val="003247A7"/>
    <w:rsid w:val="003257E5"/>
    <w:rsid w:val="00325F9E"/>
    <w:rsid w:val="00326FD4"/>
    <w:rsid w:val="003277B5"/>
    <w:rsid w:val="00330D09"/>
    <w:rsid w:val="00330EEA"/>
    <w:rsid w:val="00331131"/>
    <w:rsid w:val="003332D2"/>
    <w:rsid w:val="00333383"/>
    <w:rsid w:val="00334436"/>
    <w:rsid w:val="00334EED"/>
    <w:rsid w:val="003352BC"/>
    <w:rsid w:val="00335EDE"/>
    <w:rsid w:val="0033618F"/>
    <w:rsid w:val="003365D5"/>
    <w:rsid w:val="00337165"/>
    <w:rsid w:val="003377B6"/>
    <w:rsid w:val="003409E9"/>
    <w:rsid w:val="00340F05"/>
    <w:rsid w:val="00342348"/>
    <w:rsid w:val="00343040"/>
    <w:rsid w:val="003437C9"/>
    <w:rsid w:val="00343D6C"/>
    <w:rsid w:val="003468B4"/>
    <w:rsid w:val="0034695C"/>
    <w:rsid w:val="00350522"/>
    <w:rsid w:val="00350B76"/>
    <w:rsid w:val="00350EEC"/>
    <w:rsid w:val="0035129A"/>
    <w:rsid w:val="0035219A"/>
    <w:rsid w:val="00352458"/>
    <w:rsid w:val="00352BF1"/>
    <w:rsid w:val="00352DCC"/>
    <w:rsid w:val="00353839"/>
    <w:rsid w:val="003547C7"/>
    <w:rsid w:val="00356700"/>
    <w:rsid w:val="00361B1E"/>
    <w:rsid w:val="00363BC3"/>
    <w:rsid w:val="00364E2A"/>
    <w:rsid w:val="00365323"/>
    <w:rsid w:val="003668D8"/>
    <w:rsid w:val="00366E07"/>
    <w:rsid w:val="00367924"/>
    <w:rsid w:val="00370204"/>
    <w:rsid w:val="00370471"/>
    <w:rsid w:val="00370639"/>
    <w:rsid w:val="003707F5"/>
    <w:rsid w:val="003707FA"/>
    <w:rsid w:val="003722FA"/>
    <w:rsid w:val="00372518"/>
    <w:rsid w:val="0037406F"/>
    <w:rsid w:val="00374646"/>
    <w:rsid w:val="00374A49"/>
    <w:rsid w:val="00375246"/>
    <w:rsid w:val="0037681F"/>
    <w:rsid w:val="00380223"/>
    <w:rsid w:val="0038047B"/>
    <w:rsid w:val="00381941"/>
    <w:rsid w:val="00381AB3"/>
    <w:rsid w:val="003824EB"/>
    <w:rsid w:val="003835FD"/>
    <w:rsid w:val="00383665"/>
    <w:rsid w:val="003843F4"/>
    <w:rsid w:val="00384A09"/>
    <w:rsid w:val="00384CCF"/>
    <w:rsid w:val="003874C8"/>
    <w:rsid w:val="00387E02"/>
    <w:rsid w:val="00391716"/>
    <w:rsid w:val="003925C4"/>
    <w:rsid w:val="003926DF"/>
    <w:rsid w:val="0039294E"/>
    <w:rsid w:val="00394AA7"/>
    <w:rsid w:val="00395373"/>
    <w:rsid w:val="00395DF8"/>
    <w:rsid w:val="00396252"/>
    <w:rsid w:val="00396CA2"/>
    <w:rsid w:val="003974D6"/>
    <w:rsid w:val="003976C1"/>
    <w:rsid w:val="003A2408"/>
    <w:rsid w:val="003A39EA"/>
    <w:rsid w:val="003A42A4"/>
    <w:rsid w:val="003A47A7"/>
    <w:rsid w:val="003A4BBC"/>
    <w:rsid w:val="003A63C0"/>
    <w:rsid w:val="003A6B34"/>
    <w:rsid w:val="003A70A1"/>
    <w:rsid w:val="003A72E2"/>
    <w:rsid w:val="003A77A2"/>
    <w:rsid w:val="003A7DA8"/>
    <w:rsid w:val="003B0BAD"/>
    <w:rsid w:val="003B1D98"/>
    <w:rsid w:val="003B2793"/>
    <w:rsid w:val="003B52C9"/>
    <w:rsid w:val="003B5F66"/>
    <w:rsid w:val="003B6C79"/>
    <w:rsid w:val="003C0307"/>
    <w:rsid w:val="003C0956"/>
    <w:rsid w:val="003C295F"/>
    <w:rsid w:val="003C42D1"/>
    <w:rsid w:val="003C42DA"/>
    <w:rsid w:val="003C4469"/>
    <w:rsid w:val="003C4943"/>
    <w:rsid w:val="003C524B"/>
    <w:rsid w:val="003C52F3"/>
    <w:rsid w:val="003C5F06"/>
    <w:rsid w:val="003C657A"/>
    <w:rsid w:val="003C6BF7"/>
    <w:rsid w:val="003D037E"/>
    <w:rsid w:val="003D0FED"/>
    <w:rsid w:val="003D23C8"/>
    <w:rsid w:val="003D31CE"/>
    <w:rsid w:val="003D357F"/>
    <w:rsid w:val="003D3E51"/>
    <w:rsid w:val="003D3F08"/>
    <w:rsid w:val="003D506A"/>
    <w:rsid w:val="003D5F52"/>
    <w:rsid w:val="003D7150"/>
    <w:rsid w:val="003D717C"/>
    <w:rsid w:val="003D7999"/>
    <w:rsid w:val="003D7DB4"/>
    <w:rsid w:val="003D7F22"/>
    <w:rsid w:val="003D7F4D"/>
    <w:rsid w:val="003E1782"/>
    <w:rsid w:val="003E1CDE"/>
    <w:rsid w:val="003E27DC"/>
    <w:rsid w:val="003E2F5B"/>
    <w:rsid w:val="003E3635"/>
    <w:rsid w:val="003E3C67"/>
    <w:rsid w:val="003E3DF4"/>
    <w:rsid w:val="003E4A9D"/>
    <w:rsid w:val="003E4BE8"/>
    <w:rsid w:val="003E4E21"/>
    <w:rsid w:val="003E5C55"/>
    <w:rsid w:val="003E5D06"/>
    <w:rsid w:val="003E6F22"/>
    <w:rsid w:val="003F16EC"/>
    <w:rsid w:val="003F19E5"/>
    <w:rsid w:val="003F20A5"/>
    <w:rsid w:val="003F3424"/>
    <w:rsid w:val="003F3D5E"/>
    <w:rsid w:val="003F3F62"/>
    <w:rsid w:val="003F4B58"/>
    <w:rsid w:val="003F4FEC"/>
    <w:rsid w:val="003F53BF"/>
    <w:rsid w:val="003F55A3"/>
    <w:rsid w:val="003F6229"/>
    <w:rsid w:val="003F654D"/>
    <w:rsid w:val="003F6DF3"/>
    <w:rsid w:val="003F775B"/>
    <w:rsid w:val="0040010E"/>
    <w:rsid w:val="00402C7D"/>
    <w:rsid w:val="0040365E"/>
    <w:rsid w:val="0040566D"/>
    <w:rsid w:val="00406798"/>
    <w:rsid w:val="00406FC4"/>
    <w:rsid w:val="004071C4"/>
    <w:rsid w:val="00407ED3"/>
    <w:rsid w:val="00410705"/>
    <w:rsid w:val="0041085A"/>
    <w:rsid w:val="004109ED"/>
    <w:rsid w:val="004110DC"/>
    <w:rsid w:val="00411F86"/>
    <w:rsid w:val="00412F6D"/>
    <w:rsid w:val="00415AA8"/>
    <w:rsid w:val="004166F1"/>
    <w:rsid w:val="00417698"/>
    <w:rsid w:val="00417C65"/>
    <w:rsid w:val="00420A36"/>
    <w:rsid w:val="00420A92"/>
    <w:rsid w:val="0042179B"/>
    <w:rsid w:val="00422A17"/>
    <w:rsid w:val="00422DE7"/>
    <w:rsid w:val="00423091"/>
    <w:rsid w:val="00423F17"/>
    <w:rsid w:val="0042440C"/>
    <w:rsid w:val="0042478D"/>
    <w:rsid w:val="00424B48"/>
    <w:rsid w:val="00424D8E"/>
    <w:rsid w:val="004258ED"/>
    <w:rsid w:val="00425E4F"/>
    <w:rsid w:val="004261C9"/>
    <w:rsid w:val="00426A75"/>
    <w:rsid w:val="00426ED0"/>
    <w:rsid w:val="00427760"/>
    <w:rsid w:val="00430382"/>
    <w:rsid w:val="00432655"/>
    <w:rsid w:val="00432A72"/>
    <w:rsid w:val="00432EF9"/>
    <w:rsid w:val="00434763"/>
    <w:rsid w:val="00434E9A"/>
    <w:rsid w:val="004354A2"/>
    <w:rsid w:val="004366D5"/>
    <w:rsid w:val="0043697C"/>
    <w:rsid w:val="00440BC5"/>
    <w:rsid w:val="004413CC"/>
    <w:rsid w:val="00441C73"/>
    <w:rsid w:val="00441CDD"/>
    <w:rsid w:val="00442A22"/>
    <w:rsid w:val="00442C38"/>
    <w:rsid w:val="004432DE"/>
    <w:rsid w:val="00443911"/>
    <w:rsid w:val="004446BA"/>
    <w:rsid w:val="00444C81"/>
    <w:rsid w:val="004459CA"/>
    <w:rsid w:val="00446140"/>
    <w:rsid w:val="004467E0"/>
    <w:rsid w:val="0045252A"/>
    <w:rsid w:val="00452999"/>
    <w:rsid w:val="00452D19"/>
    <w:rsid w:val="00453ADD"/>
    <w:rsid w:val="0045555D"/>
    <w:rsid w:val="00456072"/>
    <w:rsid w:val="00456822"/>
    <w:rsid w:val="00456C7D"/>
    <w:rsid w:val="00456D3B"/>
    <w:rsid w:val="004570E2"/>
    <w:rsid w:val="00457C98"/>
    <w:rsid w:val="00460382"/>
    <w:rsid w:val="0046152F"/>
    <w:rsid w:val="00462A26"/>
    <w:rsid w:val="00462ECF"/>
    <w:rsid w:val="0046302A"/>
    <w:rsid w:val="004650A2"/>
    <w:rsid w:val="00466FA8"/>
    <w:rsid w:val="004675E6"/>
    <w:rsid w:val="00470A50"/>
    <w:rsid w:val="00471184"/>
    <w:rsid w:val="004717D7"/>
    <w:rsid w:val="00471D64"/>
    <w:rsid w:val="00472360"/>
    <w:rsid w:val="00472563"/>
    <w:rsid w:val="0047269B"/>
    <w:rsid w:val="004745F2"/>
    <w:rsid w:val="004751DA"/>
    <w:rsid w:val="00475680"/>
    <w:rsid w:val="00475E00"/>
    <w:rsid w:val="00476FFD"/>
    <w:rsid w:val="00477911"/>
    <w:rsid w:val="00477D1E"/>
    <w:rsid w:val="00480A1F"/>
    <w:rsid w:val="00480C03"/>
    <w:rsid w:val="00481415"/>
    <w:rsid w:val="004818A6"/>
    <w:rsid w:val="00482E48"/>
    <w:rsid w:val="0048316A"/>
    <w:rsid w:val="00483303"/>
    <w:rsid w:val="0048379F"/>
    <w:rsid w:val="00485068"/>
    <w:rsid w:val="0048674A"/>
    <w:rsid w:val="0048700A"/>
    <w:rsid w:val="00487DA6"/>
    <w:rsid w:val="004904E7"/>
    <w:rsid w:val="004908A7"/>
    <w:rsid w:val="00491026"/>
    <w:rsid w:val="00491B57"/>
    <w:rsid w:val="0049203F"/>
    <w:rsid w:val="0049239F"/>
    <w:rsid w:val="00493041"/>
    <w:rsid w:val="004930B6"/>
    <w:rsid w:val="0049506B"/>
    <w:rsid w:val="00495A51"/>
    <w:rsid w:val="00495ADD"/>
    <w:rsid w:val="00495FD9"/>
    <w:rsid w:val="00496521"/>
    <w:rsid w:val="0049677E"/>
    <w:rsid w:val="004977A4"/>
    <w:rsid w:val="0049785D"/>
    <w:rsid w:val="00497AC0"/>
    <w:rsid w:val="004A00F6"/>
    <w:rsid w:val="004A0271"/>
    <w:rsid w:val="004A0BA9"/>
    <w:rsid w:val="004A0E52"/>
    <w:rsid w:val="004A127E"/>
    <w:rsid w:val="004A2681"/>
    <w:rsid w:val="004A2C87"/>
    <w:rsid w:val="004A4483"/>
    <w:rsid w:val="004A4C37"/>
    <w:rsid w:val="004A561F"/>
    <w:rsid w:val="004A61C9"/>
    <w:rsid w:val="004A73B2"/>
    <w:rsid w:val="004A7891"/>
    <w:rsid w:val="004B06F0"/>
    <w:rsid w:val="004B076D"/>
    <w:rsid w:val="004B07BD"/>
    <w:rsid w:val="004B097C"/>
    <w:rsid w:val="004B11E1"/>
    <w:rsid w:val="004B1671"/>
    <w:rsid w:val="004B29D1"/>
    <w:rsid w:val="004B3199"/>
    <w:rsid w:val="004B483E"/>
    <w:rsid w:val="004B58D1"/>
    <w:rsid w:val="004B663C"/>
    <w:rsid w:val="004B75BB"/>
    <w:rsid w:val="004B780F"/>
    <w:rsid w:val="004B7C42"/>
    <w:rsid w:val="004C17DE"/>
    <w:rsid w:val="004C1A08"/>
    <w:rsid w:val="004C23E6"/>
    <w:rsid w:val="004C2DA5"/>
    <w:rsid w:val="004C351A"/>
    <w:rsid w:val="004C49A2"/>
    <w:rsid w:val="004C4BA9"/>
    <w:rsid w:val="004C562D"/>
    <w:rsid w:val="004C5BE8"/>
    <w:rsid w:val="004C68F8"/>
    <w:rsid w:val="004C69CA"/>
    <w:rsid w:val="004C709B"/>
    <w:rsid w:val="004C7FC5"/>
    <w:rsid w:val="004D086E"/>
    <w:rsid w:val="004D0899"/>
    <w:rsid w:val="004D0EB0"/>
    <w:rsid w:val="004D1638"/>
    <w:rsid w:val="004D1861"/>
    <w:rsid w:val="004D2EA5"/>
    <w:rsid w:val="004D39C2"/>
    <w:rsid w:val="004D4588"/>
    <w:rsid w:val="004D4B99"/>
    <w:rsid w:val="004D50C7"/>
    <w:rsid w:val="004D59F2"/>
    <w:rsid w:val="004D628F"/>
    <w:rsid w:val="004E1833"/>
    <w:rsid w:val="004E1A9B"/>
    <w:rsid w:val="004E2840"/>
    <w:rsid w:val="004E287C"/>
    <w:rsid w:val="004E380B"/>
    <w:rsid w:val="004E3F51"/>
    <w:rsid w:val="004E49E1"/>
    <w:rsid w:val="004E4B5D"/>
    <w:rsid w:val="004E5242"/>
    <w:rsid w:val="004E7244"/>
    <w:rsid w:val="004E7BA3"/>
    <w:rsid w:val="004F0A38"/>
    <w:rsid w:val="004F2370"/>
    <w:rsid w:val="004F3029"/>
    <w:rsid w:val="004F3BBB"/>
    <w:rsid w:val="004F4654"/>
    <w:rsid w:val="004F575E"/>
    <w:rsid w:val="004F5D0C"/>
    <w:rsid w:val="004F6168"/>
    <w:rsid w:val="004F697A"/>
    <w:rsid w:val="004F72E5"/>
    <w:rsid w:val="004F748B"/>
    <w:rsid w:val="004F775B"/>
    <w:rsid w:val="004F7DB0"/>
    <w:rsid w:val="0050054D"/>
    <w:rsid w:val="00500AF1"/>
    <w:rsid w:val="00500C37"/>
    <w:rsid w:val="00500DC7"/>
    <w:rsid w:val="005018C6"/>
    <w:rsid w:val="00501B59"/>
    <w:rsid w:val="00501CA3"/>
    <w:rsid w:val="005021EA"/>
    <w:rsid w:val="005030DF"/>
    <w:rsid w:val="0050453A"/>
    <w:rsid w:val="00504C75"/>
    <w:rsid w:val="005058F7"/>
    <w:rsid w:val="005067E8"/>
    <w:rsid w:val="005072AE"/>
    <w:rsid w:val="00510A78"/>
    <w:rsid w:val="00511341"/>
    <w:rsid w:val="00511532"/>
    <w:rsid w:val="00512207"/>
    <w:rsid w:val="00512726"/>
    <w:rsid w:val="00512C51"/>
    <w:rsid w:val="0051310D"/>
    <w:rsid w:val="0051368B"/>
    <w:rsid w:val="0051433A"/>
    <w:rsid w:val="00514EF3"/>
    <w:rsid w:val="00515408"/>
    <w:rsid w:val="00515675"/>
    <w:rsid w:val="00515957"/>
    <w:rsid w:val="00515B44"/>
    <w:rsid w:val="00520896"/>
    <w:rsid w:val="00521BB3"/>
    <w:rsid w:val="00524128"/>
    <w:rsid w:val="0052432C"/>
    <w:rsid w:val="00525A42"/>
    <w:rsid w:val="00525DD6"/>
    <w:rsid w:val="0052611C"/>
    <w:rsid w:val="00526244"/>
    <w:rsid w:val="005265EE"/>
    <w:rsid w:val="00526640"/>
    <w:rsid w:val="005269EF"/>
    <w:rsid w:val="0052705F"/>
    <w:rsid w:val="00527978"/>
    <w:rsid w:val="00527BF7"/>
    <w:rsid w:val="00527BFE"/>
    <w:rsid w:val="00531685"/>
    <w:rsid w:val="00531FDF"/>
    <w:rsid w:val="00532874"/>
    <w:rsid w:val="00532E05"/>
    <w:rsid w:val="00533E04"/>
    <w:rsid w:val="0053408A"/>
    <w:rsid w:val="005341C2"/>
    <w:rsid w:val="0053490A"/>
    <w:rsid w:val="005356A3"/>
    <w:rsid w:val="005356D6"/>
    <w:rsid w:val="005367E1"/>
    <w:rsid w:val="005371A6"/>
    <w:rsid w:val="00537A70"/>
    <w:rsid w:val="00540D7B"/>
    <w:rsid w:val="0054119B"/>
    <w:rsid w:val="005428DB"/>
    <w:rsid w:val="00542A6E"/>
    <w:rsid w:val="00542EFD"/>
    <w:rsid w:val="00543FD9"/>
    <w:rsid w:val="005455B5"/>
    <w:rsid w:val="00545761"/>
    <w:rsid w:val="00545864"/>
    <w:rsid w:val="005458AE"/>
    <w:rsid w:val="00545F6E"/>
    <w:rsid w:val="00546180"/>
    <w:rsid w:val="00547173"/>
    <w:rsid w:val="00547755"/>
    <w:rsid w:val="00547941"/>
    <w:rsid w:val="00547DE9"/>
    <w:rsid w:val="00547E7D"/>
    <w:rsid w:val="00550CD9"/>
    <w:rsid w:val="005515C3"/>
    <w:rsid w:val="00551B89"/>
    <w:rsid w:val="00552430"/>
    <w:rsid w:val="00552F6F"/>
    <w:rsid w:val="00553237"/>
    <w:rsid w:val="005533A7"/>
    <w:rsid w:val="005543D6"/>
    <w:rsid w:val="00554456"/>
    <w:rsid w:val="005547C4"/>
    <w:rsid w:val="005556D6"/>
    <w:rsid w:val="0055580C"/>
    <w:rsid w:val="00555E15"/>
    <w:rsid w:val="00556A0B"/>
    <w:rsid w:val="005601D1"/>
    <w:rsid w:val="0056086D"/>
    <w:rsid w:val="00560991"/>
    <w:rsid w:val="005618C7"/>
    <w:rsid w:val="00561DC2"/>
    <w:rsid w:val="00561F48"/>
    <w:rsid w:val="00562772"/>
    <w:rsid w:val="00562CEC"/>
    <w:rsid w:val="005630F9"/>
    <w:rsid w:val="0056358A"/>
    <w:rsid w:val="00563836"/>
    <w:rsid w:val="00563BBD"/>
    <w:rsid w:val="00564724"/>
    <w:rsid w:val="00564896"/>
    <w:rsid w:val="00564D50"/>
    <w:rsid w:val="00565805"/>
    <w:rsid w:val="00566DBD"/>
    <w:rsid w:val="00567602"/>
    <w:rsid w:val="0057043E"/>
    <w:rsid w:val="00570D76"/>
    <w:rsid w:val="00570D82"/>
    <w:rsid w:val="00570F8D"/>
    <w:rsid w:val="00571587"/>
    <w:rsid w:val="00571A62"/>
    <w:rsid w:val="00571A9E"/>
    <w:rsid w:val="005730AC"/>
    <w:rsid w:val="0057337E"/>
    <w:rsid w:val="00574761"/>
    <w:rsid w:val="005752F9"/>
    <w:rsid w:val="0057694A"/>
    <w:rsid w:val="00580C86"/>
    <w:rsid w:val="00581289"/>
    <w:rsid w:val="00582DDA"/>
    <w:rsid w:val="00582F34"/>
    <w:rsid w:val="00583183"/>
    <w:rsid w:val="005837D1"/>
    <w:rsid w:val="0058487B"/>
    <w:rsid w:val="00585379"/>
    <w:rsid w:val="005853E2"/>
    <w:rsid w:val="00585B47"/>
    <w:rsid w:val="00585EB8"/>
    <w:rsid w:val="005866B3"/>
    <w:rsid w:val="00587543"/>
    <w:rsid w:val="0059049F"/>
    <w:rsid w:val="005909A6"/>
    <w:rsid w:val="00590CE0"/>
    <w:rsid w:val="00590DA8"/>
    <w:rsid w:val="00591ED7"/>
    <w:rsid w:val="00592E38"/>
    <w:rsid w:val="00593541"/>
    <w:rsid w:val="0059373D"/>
    <w:rsid w:val="005939F1"/>
    <w:rsid w:val="00595034"/>
    <w:rsid w:val="005956F3"/>
    <w:rsid w:val="005971A7"/>
    <w:rsid w:val="00597658"/>
    <w:rsid w:val="00597FCD"/>
    <w:rsid w:val="005A01CF"/>
    <w:rsid w:val="005A055B"/>
    <w:rsid w:val="005A0BF8"/>
    <w:rsid w:val="005A169C"/>
    <w:rsid w:val="005A214F"/>
    <w:rsid w:val="005A2447"/>
    <w:rsid w:val="005A2C6D"/>
    <w:rsid w:val="005A374D"/>
    <w:rsid w:val="005A484A"/>
    <w:rsid w:val="005A4EE1"/>
    <w:rsid w:val="005A522E"/>
    <w:rsid w:val="005A544A"/>
    <w:rsid w:val="005A76CE"/>
    <w:rsid w:val="005B02C7"/>
    <w:rsid w:val="005B0CDE"/>
    <w:rsid w:val="005B1B71"/>
    <w:rsid w:val="005B1BB2"/>
    <w:rsid w:val="005B1F67"/>
    <w:rsid w:val="005B2E28"/>
    <w:rsid w:val="005B2E50"/>
    <w:rsid w:val="005B2EFB"/>
    <w:rsid w:val="005B36AD"/>
    <w:rsid w:val="005B4970"/>
    <w:rsid w:val="005B4C56"/>
    <w:rsid w:val="005B5736"/>
    <w:rsid w:val="005B6F6B"/>
    <w:rsid w:val="005C0779"/>
    <w:rsid w:val="005C0B64"/>
    <w:rsid w:val="005C0CD1"/>
    <w:rsid w:val="005C3675"/>
    <w:rsid w:val="005C37A0"/>
    <w:rsid w:val="005C37F5"/>
    <w:rsid w:val="005C3F78"/>
    <w:rsid w:val="005C414E"/>
    <w:rsid w:val="005C41D9"/>
    <w:rsid w:val="005C4B0C"/>
    <w:rsid w:val="005C4C97"/>
    <w:rsid w:val="005C5AB7"/>
    <w:rsid w:val="005C5CF0"/>
    <w:rsid w:val="005C5ED3"/>
    <w:rsid w:val="005C63E3"/>
    <w:rsid w:val="005C6A1E"/>
    <w:rsid w:val="005C70C7"/>
    <w:rsid w:val="005C75F9"/>
    <w:rsid w:val="005D04B7"/>
    <w:rsid w:val="005D2582"/>
    <w:rsid w:val="005D297C"/>
    <w:rsid w:val="005D2E96"/>
    <w:rsid w:val="005D32E9"/>
    <w:rsid w:val="005D363C"/>
    <w:rsid w:val="005D46F7"/>
    <w:rsid w:val="005D49C0"/>
    <w:rsid w:val="005D515D"/>
    <w:rsid w:val="005D59EF"/>
    <w:rsid w:val="005D5D3C"/>
    <w:rsid w:val="005D6F11"/>
    <w:rsid w:val="005D71B6"/>
    <w:rsid w:val="005D73CE"/>
    <w:rsid w:val="005E2CD1"/>
    <w:rsid w:val="005E3734"/>
    <w:rsid w:val="005E4653"/>
    <w:rsid w:val="005E4AD8"/>
    <w:rsid w:val="005E4E8C"/>
    <w:rsid w:val="005E52B2"/>
    <w:rsid w:val="005E54EC"/>
    <w:rsid w:val="005E7022"/>
    <w:rsid w:val="005E77E4"/>
    <w:rsid w:val="005F0AA4"/>
    <w:rsid w:val="005F37FD"/>
    <w:rsid w:val="005F49D6"/>
    <w:rsid w:val="005F4F81"/>
    <w:rsid w:val="005F5F02"/>
    <w:rsid w:val="005F7189"/>
    <w:rsid w:val="005F7A04"/>
    <w:rsid w:val="005F7DED"/>
    <w:rsid w:val="005F7E9D"/>
    <w:rsid w:val="00600674"/>
    <w:rsid w:val="006008AF"/>
    <w:rsid w:val="00600959"/>
    <w:rsid w:val="00600CB1"/>
    <w:rsid w:val="00600D76"/>
    <w:rsid w:val="006012E4"/>
    <w:rsid w:val="0060139C"/>
    <w:rsid w:val="00601905"/>
    <w:rsid w:val="00601A09"/>
    <w:rsid w:val="0060292D"/>
    <w:rsid w:val="006063F4"/>
    <w:rsid w:val="006073D6"/>
    <w:rsid w:val="00607408"/>
    <w:rsid w:val="00607C1D"/>
    <w:rsid w:val="00610648"/>
    <w:rsid w:val="006115E1"/>
    <w:rsid w:val="006142DC"/>
    <w:rsid w:val="00614787"/>
    <w:rsid w:val="006148CC"/>
    <w:rsid w:val="006153B1"/>
    <w:rsid w:val="00615A56"/>
    <w:rsid w:val="00615BB8"/>
    <w:rsid w:val="00620EEA"/>
    <w:rsid w:val="00621274"/>
    <w:rsid w:val="0062182B"/>
    <w:rsid w:val="00621889"/>
    <w:rsid w:val="006237D6"/>
    <w:rsid w:val="00625C66"/>
    <w:rsid w:val="006263DE"/>
    <w:rsid w:val="00626874"/>
    <w:rsid w:val="00626AC1"/>
    <w:rsid w:val="00630397"/>
    <w:rsid w:val="006308A2"/>
    <w:rsid w:val="00630A1F"/>
    <w:rsid w:val="006316D7"/>
    <w:rsid w:val="00631C17"/>
    <w:rsid w:val="00632AD6"/>
    <w:rsid w:val="0063369B"/>
    <w:rsid w:val="006336D6"/>
    <w:rsid w:val="006352E7"/>
    <w:rsid w:val="00635FDC"/>
    <w:rsid w:val="00637648"/>
    <w:rsid w:val="00637D21"/>
    <w:rsid w:val="00640611"/>
    <w:rsid w:val="006409AF"/>
    <w:rsid w:val="00640B75"/>
    <w:rsid w:val="00642983"/>
    <w:rsid w:val="006429A5"/>
    <w:rsid w:val="00642A38"/>
    <w:rsid w:val="00642B2C"/>
    <w:rsid w:val="006430EA"/>
    <w:rsid w:val="006432FB"/>
    <w:rsid w:val="0064354F"/>
    <w:rsid w:val="006441EE"/>
    <w:rsid w:val="00645FB5"/>
    <w:rsid w:val="006469DE"/>
    <w:rsid w:val="00647CF0"/>
    <w:rsid w:val="00647E00"/>
    <w:rsid w:val="00647EE7"/>
    <w:rsid w:val="006502DB"/>
    <w:rsid w:val="006507A6"/>
    <w:rsid w:val="00651ECE"/>
    <w:rsid w:val="00652121"/>
    <w:rsid w:val="0065253B"/>
    <w:rsid w:val="00652637"/>
    <w:rsid w:val="006526C6"/>
    <w:rsid w:val="00652CAC"/>
    <w:rsid w:val="00652D66"/>
    <w:rsid w:val="00653523"/>
    <w:rsid w:val="00654088"/>
    <w:rsid w:val="00655CA2"/>
    <w:rsid w:val="0065651F"/>
    <w:rsid w:val="006565E0"/>
    <w:rsid w:val="006601F5"/>
    <w:rsid w:val="0066057D"/>
    <w:rsid w:val="00661018"/>
    <w:rsid w:val="00661D36"/>
    <w:rsid w:val="00661F96"/>
    <w:rsid w:val="00662863"/>
    <w:rsid w:val="006628CD"/>
    <w:rsid w:val="006638BA"/>
    <w:rsid w:val="00663A40"/>
    <w:rsid w:val="0066452E"/>
    <w:rsid w:val="00664B89"/>
    <w:rsid w:val="00664BA9"/>
    <w:rsid w:val="00665AFE"/>
    <w:rsid w:val="00665EFD"/>
    <w:rsid w:val="006661B7"/>
    <w:rsid w:val="0066722F"/>
    <w:rsid w:val="00667E38"/>
    <w:rsid w:val="00667F84"/>
    <w:rsid w:val="006710FA"/>
    <w:rsid w:val="00671192"/>
    <w:rsid w:val="006728B2"/>
    <w:rsid w:val="006754A8"/>
    <w:rsid w:val="0067556E"/>
    <w:rsid w:val="00676700"/>
    <w:rsid w:val="00676EA2"/>
    <w:rsid w:val="00677192"/>
    <w:rsid w:val="006774F7"/>
    <w:rsid w:val="006776C3"/>
    <w:rsid w:val="00680782"/>
    <w:rsid w:val="00680C46"/>
    <w:rsid w:val="00681F32"/>
    <w:rsid w:val="00683139"/>
    <w:rsid w:val="0068361C"/>
    <w:rsid w:val="00683814"/>
    <w:rsid w:val="006839E6"/>
    <w:rsid w:val="0068450A"/>
    <w:rsid w:val="0068501F"/>
    <w:rsid w:val="00685721"/>
    <w:rsid w:val="0068622C"/>
    <w:rsid w:val="00690E88"/>
    <w:rsid w:val="006913DC"/>
    <w:rsid w:val="006914EA"/>
    <w:rsid w:val="00692EE3"/>
    <w:rsid w:val="00693973"/>
    <w:rsid w:val="00694E2D"/>
    <w:rsid w:val="00695370"/>
    <w:rsid w:val="0069582D"/>
    <w:rsid w:val="0069603F"/>
    <w:rsid w:val="006963ED"/>
    <w:rsid w:val="0069675F"/>
    <w:rsid w:val="006979F3"/>
    <w:rsid w:val="006A0214"/>
    <w:rsid w:val="006A07E7"/>
    <w:rsid w:val="006A3DD1"/>
    <w:rsid w:val="006A578A"/>
    <w:rsid w:val="006A66A8"/>
    <w:rsid w:val="006A72DE"/>
    <w:rsid w:val="006A74F1"/>
    <w:rsid w:val="006B0540"/>
    <w:rsid w:val="006B12D9"/>
    <w:rsid w:val="006B2FB3"/>
    <w:rsid w:val="006B472A"/>
    <w:rsid w:val="006B57DA"/>
    <w:rsid w:val="006B726B"/>
    <w:rsid w:val="006B7B45"/>
    <w:rsid w:val="006C015E"/>
    <w:rsid w:val="006C0EC4"/>
    <w:rsid w:val="006C1195"/>
    <w:rsid w:val="006C22A4"/>
    <w:rsid w:val="006C29D5"/>
    <w:rsid w:val="006C3927"/>
    <w:rsid w:val="006C5F19"/>
    <w:rsid w:val="006C6378"/>
    <w:rsid w:val="006C6606"/>
    <w:rsid w:val="006C66D8"/>
    <w:rsid w:val="006C67C1"/>
    <w:rsid w:val="006C6ACC"/>
    <w:rsid w:val="006C76F6"/>
    <w:rsid w:val="006D00D3"/>
    <w:rsid w:val="006D00F8"/>
    <w:rsid w:val="006D0545"/>
    <w:rsid w:val="006D139D"/>
    <w:rsid w:val="006D23F1"/>
    <w:rsid w:val="006D3171"/>
    <w:rsid w:val="006D47C8"/>
    <w:rsid w:val="006D541E"/>
    <w:rsid w:val="006D5A2A"/>
    <w:rsid w:val="006D6314"/>
    <w:rsid w:val="006D6C0E"/>
    <w:rsid w:val="006D747C"/>
    <w:rsid w:val="006D76C9"/>
    <w:rsid w:val="006E10F7"/>
    <w:rsid w:val="006E1A53"/>
    <w:rsid w:val="006E2250"/>
    <w:rsid w:val="006E2644"/>
    <w:rsid w:val="006E2A5C"/>
    <w:rsid w:val="006E36AB"/>
    <w:rsid w:val="006E3BF2"/>
    <w:rsid w:val="006E6023"/>
    <w:rsid w:val="006E680B"/>
    <w:rsid w:val="006E71CD"/>
    <w:rsid w:val="006E7742"/>
    <w:rsid w:val="006E7D17"/>
    <w:rsid w:val="006F11E7"/>
    <w:rsid w:val="006F1EFC"/>
    <w:rsid w:val="006F2571"/>
    <w:rsid w:val="006F3037"/>
    <w:rsid w:val="006F3103"/>
    <w:rsid w:val="006F4E45"/>
    <w:rsid w:val="006F55DB"/>
    <w:rsid w:val="006F5904"/>
    <w:rsid w:val="006F62B3"/>
    <w:rsid w:val="006F65FE"/>
    <w:rsid w:val="006F6702"/>
    <w:rsid w:val="006F6FD4"/>
    <w:rsid w:val="006F7559"/>
    <w:rsid w:val="006F7AAA"/>
    <w:rsid w:val="0070205F"/>
    <w:rsid w:val="00702571"/>
    <w:rsid w:val="00702AD4"/>
    <w:rsid w:val="00702AE0"/>
    <w:rsid w:val="00702D9F"/>
    <w:rsid w:val="0070358A"/>
    <w:rsid w:val="0070410F"/>
    <w:rsid w:val="007042AC"/>
    <w:rsid w:val="0070507B"/>
    <w:rsid w:val="007057CC"/>
    <w:rsid w:val="007062DC"/>
    <w:rsid w:val="007070F9"/>
    <w:rsid w:val="007074E5"/>
    <w:rsid w:val="00707B56"/>
    <w:rsid w:val="00710028"/>
    <w:rsid w:val="0071009D"/>
    <w:rsid w:val="0071167C"/>
    <w:rsid w:val="007118E2"/>
    <w:rsid w:val="00711B9E"/>
    <w:rsid w:val="00711BBE"/>
    <w:rsid w:val="007120FC"/>
    <w:rsid w:val="0071330F"/>
    <w:rsid w:val="0071386E"/>
    <w:rsid w:val="00713A64"/>
    <w:rsid w:val="00713A80"/>
    <w:rsid w:val="00713B9A"/>
    <w:rsid w:val="00713E4E"/>
    <w:rsid w:val="00714BD1"/>
    <w:rsid w:val="00715042"/>
    <w:rsid w:val="007164DA"/>
    <w:rsid w:val="00716654"/>
    <w:rsid w:val="00716DB8"/>
    <w:rsid w:val="0072000B"/>
    <w:rsid w:val="0072040A"/>
    <w:rsid w:val="00720A31"/>
    <w:rsid w:val="00720B1A"/>
    <w:rsid w:val="00723236"/>
    <w:rsid w:val="00723A8F"/>
    <w:rsid w:val="00724759"/>
    <w:rsid w:val="007249C2"/>
    <w:rsid w:val="007253FD"/>
    <w:rsid w:val="0073033C"/>
    <w:rsid w:val="00730738"/>
    <w:rsid w:val="00731D10"/>
    <w:rsid w:val="00732337"/>
    <w:rsid w:val="0073255F"/>
    <w:rsid w:val="00733125"/>
    <w:rsid w:val="00733174"/>
    <w:rsid w:val="007332A0"/>
    <w:rsid w:val="0073394D"/>
    <w:rsid w:val="00733BD7"/>
    <w:rsid w:val="007352C3"/>
    <w:rsid w:val="00735865"/>
    <w:rsid w:val="00735D8C"/>
    <w:rsid w:val="00736030"/>
    <w:rsid w:val="00737114"/>
    <w:rsid w:val="0074065A"/>
    <w:rsid w:val="007436A5"/>
    <w:rsid w:val="00745105"/>
    <w:rsid w:val="00745414"/>
    <w:rsid w:val="0074596B"/>
    <w:rsid w:val="00745AF5"/>
    <w:rsid w:val="00746CFD"/>
    <w:rsid w:val="00747A0A"/>
    <w:rsid w:val="00750734"/>
    <w:rsid w:val="0075167C"/>
    <w:rsid w:val="00751AE1"/>
    <w:rsid w:val="00751D64"/>
    <w:rsid w:val="00752CE1"/>
    <w:rsid w:val="00752D7D"/>
    <w:rsid w:val="0075403C"/>
    <w:rsid w:val="00755B19"/>
    <w:rsid w:val="007560BD"/>
    <w:rsid w:val="00760221"/>
    <w:rsid w:val="00760A2E"/>
    <w:rsid w:val="00761E44"/>
    <w:rsid w:val="00762752"/>
    <w:rsid w:val="00762833"/>
    <w:rsid w:val="00762CEF"/>
    <w:rsid w:val="00762E89"/>
    <w:rsid w:val="007633EC"/>
    <w:rsid w:val="00763711"/>
    <w:rsid w:val="00763ACD"/>
    <w:rsid w:val="0076452C"/>
    <w:rsid w:val="007653FA"/>
    <w:rsid w:val="007662F6"/>
    <w:rsid w:val="0076678F"/>
    <w:rsid w:val="007667FA"/>
    <w:rsid w:val="00767241"/>
    <w:rsid w:val="00767800"/>
    <w:rsid w:val="00767987"/>
    <w:rsid w:val="0077082E"/>
    <w:rsid w:val="007712C5"/>
    <w:rsid w:val="0077171F"/>
    <w:rsid w:val="00772A8D"/>
    <w:rsid w:val="00772D70"/>
    <w:rsid w:val="00773531"/>
    <w:rsid w:val="00773F0E"/>
    <w:rsid w:val="00774C7F"/>
    <w:rsid w:val="00775B43"/>
    <w:rsid w:val="00775D9C"/>
    <w:rsid w:val="00775EC1"/>
    <w:rsid w:val="00776436"/>
    <w:rsid w:val="007764AF"/>
    <w:rsid w:val="00777D12"/>
    <w:rsid w:val="00780B69"/>
    <w:rsid w:val="00780DE7"/>
    <w:rsid w:val="00781659"/>
    <w:rsid w:val="00782D0A"/>
    <w:rsid w:val="00782EAB"/>
    <w:rsid w:val="00784312"/>
    <w:rsid w:val="0078579B"/>
    <w:rsid w:val="00785CBA"/>
    <w:rsid w:val="00786210"/>
    <w:rsid w:val="00786E34"/>
    <w:rsid w:val="00786F26"/>
    <w:rsid w:val="00787AB4"/>
    <w:rsid w:val="00790A35"/>
    <w:rsid w:val="0079106F"/>
    <w:rsid w:val="007911DD"/>
    <w:rsid w:val="007912BC"/>
    <w:rsid w:val="007916CB"/>
    <w:rsid w:val="007917AA"/>
    <w:rsid w:val="00792B58"/>
    <w:rsid w:val="00792D94"/>
    <w:rsid w:val="007930D6"/>
    <w:rsid w:val="007943CC"/>
    <w:rsid w:val="00794B42"/>
    <w:rsid w:val="00795578"/>
    <w:rsid w:val="00795699"/>
    <w:rsid w:val="00795799"/>
    <w:rsid w:val="007960E0"/>
    <w:rsid w:val="007962C3"/>
    <w:rsid w:val="00796810"/>
    <w:rsid w:val="00796A10"/>
    <w:rsid w:val="00796DA8"/>
    <w:rsid w:val="007A055B"/>
    <w:rsid w:val="007A0D9A"/>
    <w:rsid w:val="007A197C"/>
    <w:rsid w:val="007A1FE8"/>
    <w:rsid w:val="007A2190"/>
    <w:rsid w:val="007A373F"/>
    <w:rsid w:val="007A5A9E"/>
    <w:rsid w:val="007A6473"/>
    <w:rsid w:val="007A660C"/>
    <w:rsid w:val="007A74E8"/>
    <w:rsid w:val="007A7DA8"/>
    <w:rsid w:val="007B0523"/>
    <w:rsid w:val="007B08DA"/>
    <w:rsid w:val="007B2A55"/>
    <w:rsid w:val="007B3621"/>
    <w:rsid w:val="007B3B54"/>
    <w:rsid w:val="007B66F0"/>
    <w:rsid w:val="007B6993"/>
    <w:rsid w:val="007B7F4E"/>
    <w:rsid w:val="007C0D23"/>
    <w:rsid w:val="007C36D5"/>
    <w:rsid w:val="007C4284"/>
    <w:rsid w:val="007C46F4"/>
    <w:rsid w:val="007C4BA8"/>
    <w:rsid w:val="007C6091"/>
    <w:rsid w:val="007C742B"/>
    <w:rsid w:val="007C76AC"/>
    <w:rsid w:val="007C7A34"/>
    <w:rsid w:val="007D00A6"/>
    <w:rsid w:val="007D0CE6"/>
    <w:rsid w:val="007D191B"/>
    <w:rsid w:val="007D3332"/>
    <w:rsid w:val="007D380E"/>
    <w:rsid w:val="007D3FC3"/>
    <w:rsid w:val="007D4E4A"/>
    <w:rsid w:val="007D607F"/>
    <w:rsid w:val="007D637F"/>
    <w:rsid w:val="007D6AD6"/>
    <w:rsid w:val="007D6C82"/>
    <w:rsid w:val="007D6E3C"/>
    <w:rsid w:val="007D7C6D"/>
    <w:rsid w:val="007E251D"/>
    <w:rsid w:val="007E2E1A"/>
    <w:rsid w:val="007E4A8A"/>
    <w:rsid w:val="007E5972"/>
    <w:rsid w:val="007E5AB1"/>
    <w:rsid w:val="007E5C6F"/>
    <w:rsid w:val="007E6C81"/>
    <w:rsid w:val="007E77E8"/>
    <w:rsid w:val="007F07C3"/>
    <w:rsid w:val="007F0ECC"/>
    <w:rsid w:val="007F10A6"/>
    <w:rsid w:val="007F28FC"/>
    <w:rsid w:val="007F2DED"/>
    <w:rsid w:val="007F3F70"/>
    <w:rsid w:val="007F3F92"/>
    <w:rsid w:val="007F5F6F"/>
    <w:rsid w:val="007F63C7"/>
    <w:rsid w:val="007F6BD3"/>
    <w:rsid w:val="007F7B35"/>
    <w:rsid w:val="00800146"/>
    <w:rsid w:val="008002D3"/>
    <w:rsid w:val="008004E8"/>
    <w:rsid w:val="00800C56"/>
    <w:rsid w:val="00800EF0"/>
    <w:rsid w:val="00802724"/>
    <w:rsid w:val="008036B3"/>
    <w:rsid w:val="00804B18"/>
    <w:rsid w:val="00804D94"/>
    <w:rsid w:val="00804E4F"/>
    <w:rsid w:val="008056EF"/>
    <w:rsid w:val="00805883"/>
    <w:rsid w:val="00806ECA"/>
    <w:rsid w:val="0080768A"/>
    <w:rsid w:val="00810743"/>
    <w:rsid w:val="00810A51"/>
    <w:rsid w:val="00810A53"/>
    <w:rsid w:val="00810E0F"/>
    <w:rsid w:val="00811657"/>
    <w:rsid w:val="00811C3B"/>
    <w:rsid w:val="00812772"/>
    <w:rsid w:val="008129E9"/>
    <w:rsid w:val="00813C69"/>
    <w:rsid w:val="0081419F"/>
    <w:rsid w:val="0081661C"/>
    <w:rsid w:val="0081666A"/>
    <w:rsid w:val="00817F0E"/>
    <w:rsid w:val="008204F3"/>
    <w:rsid w:val="00820BC1"/>
    <w:rsid w:val="008210AC"/>
    <w:rsid w:val="008211C8"/>
    <w:rsid w:val="00821699"/>
    <w:rsid w:val="00821A0B"/>
    <w:rsid w:val="00821D7E"/>
    <w:rsid w:val="008229A6"/>
    <w:rsid w:val="00822BCC"/>
    <w:rsid w:val="00822FCC"/>
    <w:rsid w:val="008248E7"/>
    <w:rsid w:val="008262CA"/>
    <w:rsid w:val="0082698E"/>
    <w:rsid w:val="00827F4B"/>
    <w:rsid w:val="00830430"/>
    <w:rsid w:val="0083106C"/>
    <w:rsid w:val="00831281"/>
    <w:rsid w:val="00831921"/>
    <w:rsid w:val="0083273D"/>
    <w:rsid w:val="00832D8D"/>
    <w:rsid w:val="00832ED7"/>
    <w:rsid w:val="0083377B"/>
    <w:rsid w:val="008349E8"/>
    <w:rsid w:val="00834F40"/>
    <w:rsid w:val="00836C79"/>
    <w:rsid w:val="0083737E"/>
    <w:rsid w:val="00837AF0"/>
    <w:rsid w:val="00840773"/>
    <w:rsid w:val="00842A57"/>
    <w:rsid w:val="008430A4"/>
    <w:rsid w:val="008437B9"/>
    <w:rsid w:val="0084414B"/>
    <w:rsid w:val="00844CB3"/>
    <w:rsid w:val="00844DD8"/>
    <w:rsid w:val="0084544F"/>
    <w:rsid w:val="0084577F"/>
    <w:rsid w:val="00845ED1"/>
    <w:rsid w:val="00846CB6"/>
    <w:rsid w:val="00847561"/>
    <w:rsid w:val="00847A54"/>
    <w:rsid w:val="0085119E"/>
    <w:rsid w:val="008519BA"/>
    <w:rsid w:val="00851DE2"/>
    <w:rsid w:val="00851FBB"/>
    <w:rsid w:val="008532B9"/>
    <w:rsid w:val="008533E8"/>
    <w:rsid w:val="00853899"/>
    <w:rsid w:val="00855155"/>
    <w:rsid w:val="00855953"/>
    <w:rsid w:val="00855CCF"/>
    <w:rsid w:val="008562DF"/>
    <w:rsid w:val="00856C42"/>
    <w:rsid w:val="00856D8B"/>
    <w:rsid w:val="008606D0"/>
    <w:rsid w:val="00860FE7"/>
    <w:rsid w:val="008611B0"/>
    <w:rsid w:val="008619D4"/>
    <w:rsid w:val="00862378"/>
    <w:rsid w:val="008632F6"/>
    <w:rsid w:val="00864262"/>
    <w:rsid w:val="00864E2C"/>
    <w:rsid w:val="00865195"/>
    <w:rsid w:val="00865480"/>
    <w:rsid w:val="008718CB"/>
    <w:rsid w:val="00872418"/>
    <w:rsid w:val="00872E1F"/>
    <w:rsid w:val="0087342A"/>
    <w:rsid w:val="00873D64"/>
    <w:rsid w:val="00874034"/>
    <w:rsid w:val="00874092"/>
    <w:rsid w:val="008759B5"/>
    <w:rsid w:val="00877B96"/>
    <w:rsid w:val="00877CA0"/>
    <w:rsid w:val="008803BD"/>
    <w:rsid w:val="008805AC"/>
    <w:rsid w:val="00880AA2"/>
    <w:rsid w:val="00881F53"/>
    <w:rsid w:val="0088253F"/>
    <w:rsid w:val="00882B2E"/>
    <w:rsid w:val="0088395D"/>
    <w:rsid w:val="00883EE5"/>
    <w:rsid w:val="008847AC"/>
    <w:rsid w:val="00885279"/>
    <w:rsid w:val="008855E7"/>
    <w:rsid w:val="00886DAC"/>
    <w:rsid w:val="0089037E"/>
    <w:rsid w:val="00890580"/>
    <w:rsid w:val="008907E7"/>
    <w:rsid w:val="00890FB6"/>
    <w:rsid w:val="008927F4"/>
    <w:rsid w:val="008938A9"/>
    <w:rsid w:val="00893E3B"/>
    <w:rsid w:val="0089415E"/>
    <w:rsid w:val="008943E5"/>
    <w:rsid w:val="008946CA"/>
    <w:rsid w:val="00895D25"/>
    <w:rsid w:val="00896CA7"/>
    <w:rsid w:val="00896F9A"/>
    <w:rsid w:val="008979B0"/>
    <w:rsid w:val="008A02D6"/>
    <w:rsid w:val="008A0C66"/>
    <w:rsid w:val="008A17A6"/>
    <w:rsid w:val="008A2F85"/>
    <w:rsid w:val="008A3C4A"/>
    <w:rsid w:val="008A3E6A"/>
    <w:rsid w:val="008A4A43"/>
    <w:rsid w:val="008A4D9E"/>
    <w:rsid w:val="008A5FE1"/>
    <w:rsid w:val="008A6A46"/>
    <w:rsid w:val="008A6B5E"/>
    <w:rsid w:val="008A6BA6"/>
    <w:rsid w:val="008A6DA6"/>
    <w:rsid w:val="008A7DDB"/>
    <w:rsid w:val="008A7DE0"/>
    <w:rsid w:val="008B0474"/>
    <w:rsid w:val="008B0587"/>
    <w:rsid w:val="008B0676"/>
    <w:rsid w:val="008B18AF"/>
    <w:rsid w:val="008B23B9"/>
    <w:rsid w:val="008B287B"/>
    <w:rsid w:val="008B2FBC"/>
    <w:rsid w:val="008B3B6B"/>
    <w:rsid w:val="008B466E"/>
    <w:rsid w:val="008B511D"/>
    <w:rsid w:val="008B5224"/>
    <w:rsid w:val="008B5335"/>
    <w:rsid w:val="008B595F"/>
    <w:rsid w:val="008B5BDC"/>
    <w:rsid w:val="008B6206"/>
    <w:rsid w:val="008B6253"/>
    <w:rsid w:val="008C0B34"/>
    <w:rsid w:val="008C0F4B"/>
    <w:rsid w:val="008C2215"/>
    <w:rsid w:val="008C383B"/>
    <w:rsid w:val="008C3B62"/>
    <w:rsid w:val="008C3C0C"/>
    <w:rsid w:val="008C40C7"/>
    <w:rsid w:val="008C4F58"/>
    <w:rsid w:val="008C533A"/>
    <w:rsid w:val="008C5F90"/>
    <w:rsid w:val="008C60C2"/>
    <w:rsid w:val="008C63E1"/>
    <w:rsid w:val="008C687B"/>
    <w:rsid w:val="008C79A4"/>
    <w:rsid w:val="008D3098"/>
    <w:rsid w:val="008D388C"/>
    <w:rsid w:val="008D4780"/>
    <w:rsid w:val="008D4B79"/>
    <w:rsid w:val="008D4CA4"/>
    <w:rsid w:val="008D5281"/>
    <w:rsid w:val="008D536D"/>
    <w:rsid w:val="008D788C"/>
    <w:rsid w:val="008D7E8A"/>
    <w:rsid w:val="008E0BCE"/>
    <w:rsid w:val="008E17D3"/>
    <w:rsid w:val="008E1C79"/>
    <w:rsid w:val="008E1D15"/>
    <w:rsid w:val="008E2651"/>
    <w:rsid w:val="008E43C3"/>
    <w:rsid w:val="008E4F81"/>
    <w:rsid w:val="008E562E"/>
    <w:rsid w:val="008E5B42"/>
    <w:rsid w:val="008E6065"/>
    <w:rsid w:val="008E6804"/>
    <w:rsid w:val="008F079D"/>
    <w:rsid w:val="008F12BB"/>
    <w:rsid w:val="008F23DD"/>
    <w:rsid w:val="008F2B75"/>
    <w:rsid w:val="008F2F2E"/>
    <w:rsid w:val="008F3349"/>
    <w:rsid w:val="008F3C04"/>
    <w:rsid w:val="008F5DFE"/>
    <w:rsid w:val="008F7517"/>
    <w:rsid w:val="00900DE2"/>
    <w:rsid w:val="00901876"/>
    <w:rsid w:val="009019C0"/>
    <w:rsid w:val="00901B92"/>
    <w:rsid w:val="00901F98"/>
    <w:rsid w:val="00902938"/>
    <w:rsid w:val="00902AFF"/>
    <w:rsid w:val="0090305E"/>
    <w:rsid w:val="00903DF1"/>
    <w:rsid w:val="009040C4"/>
    <w:rsid w:val="00906359"/>
    <w:rsid w:val="00910BA2"/>
    <w:rsid w:val="00910C6C"/>
    <w:rsid w:val="00910E8F"/>
    <w:rsid w:val="00911008"/>
    <w:rsid w:val="0091353C"/>
    <w:rsid w:val="009139D9"/>
    <w:rsid w:val="00913EC8"/>
    <w:rsid w:val="0091476F"/>
    <w:rsid w:val="00914D8A"/>
    <w:rsid w:val="00915315"/>
    <w:rsid w:val="0091594F"/>
    <w:rsid w:val="00915CBF"/>
    <w:rsid w:val="009166BC"/>
    <w:rsid w:val="009175A9"/>
    <w:rsid w:val="00920161"/>
    <w:rsid w:val="0092094E"/>
    <w:rsid w:val="00920B4C"/>
    <w:rsid w:val="00921221"/>
    <w:rsid w:val="009216BF"/>
    <w:rsid w:val="00921C31"/>
    <w:rsid w:val="00921D3F"/>
    <w:rsid w:val="00922D50"/>
    <w:rsid w:val="00923220"/>
    <w:rsid w:val="009236B2"/>
    <w:rsid w:val="00924D26"/>
    <w:rsid w:val="009266EF"/>
    <w:rsid w:val="0092689E"/>
    <w:rsid w:val="00927020"/>
    <w:rsid w:val="0092755B"/>
    <w:rsid w:val="00930594"/>
    <w:rsid w:val="00931193"/>
    <w:rsid w:val="00931685"/>
    <w:rsid w:val="00931877"/>
    <w:rsid w:val="00931C51"/>
    <w:rsid w:val="009331D5"/>
    <w:rsid w:val="00933578"/>
    <w:rsid w:val="00933FF5"/>
    <w:rsid w:val="00934248"/>
    <w:rsid w:val="0093486C"/>
    <w:rsid w:val="009363AD"/>
    <w:rsid w:val="009363CC"/>
    <w:rsid w:val="00936D60"/>
    <w:rsid w:val="00937123"/>
    <w:rsid w:val="0094078E"/>
    <w:rsid w:val="009407D9"/>
    <w:rsid w:val="00940845"/>
    <w:rsid w:val="00940F79"/>
    <w:rsid w:val="009413B6"/>
    <w:rsid w:val="0094151F"/>
    <w:rsid w:val="00941A51"/>
    <w:rsid w:val="00941D5F"/>
    <w:rsid w:val="0094267A"/>
    <w:rsid w:val="009428DB"/>
    <w:rsid w:val="0094290B"/>
    <w:rsid w:val="00943313"/>
    <w:rsid w:val="0094369E"/>
    <w:rsid w:val="009438D2"/>
    <w:rsid w:val="0094495B"/>
    <w:rsid w:val="00944B16"/>
    <w:rsid w:val="00945A9D"/>
    <w:rsid w:val="00945D79"/>
    <w:rsid w:val="009465BF"/>
    <w:rsid w:val="00946949"/>
    <w:rsid w:val="00947B55"/>
    <w:rsid w:val="009507F5"/>
    <w:rsid w:val="00950D10"/>
    <w:rsid w:val="00950DBB"/>
    <w:rsid w:val="0095117B"/>
    <w:rsid w:val="009516E6"/>
    <w:rsid w:val="009536A9"/>
    <w:rsid w:val="00953920"/>
    <w:rsid w:val="0095572E"/>
    <w:rsid w:val="00956424"/>
    <w:rsid w:val="009571DF"/>
    <w:rsid w:val="0095730E"/>
    <w:rsid w:val="0095733E"/>
    <w:rsid w:val="00960321"/>
    <w:rsid w:val="0096065D"/>
    <w:rsid w:val="0096105C"/>
    <w:rsid w:val="0096195B"/>
    <w:rsid w:val="009639A9"/>
    <w:rsid w:val="00963A1F"/>
    <w:rsid w:val="0096526A"/>
    <w:rsid w:val="009659F5"/>
    <w:rsid w:val="00965E9A"/>
    <w:rsid w:val="00965EC1"/>
    <w:rsid w:val="00966166"/>
    <w:rsid w:val="00966269"/>
    <w:rsid w:val="00966CF2"/>
    <w:rsid w:val="009678F3"/>
    <w:rsid w:val="00970261"/>
    <w:rsid w:val="009704A7"/>
    <w:rsid w:val="0097076C"/>
    <w:rsid w:val="009714A1"/>
    <w:rsid w:val="00971672"/>
    <w:rsid w:val="00971B2B"/>
    <w:rsid w:val="00972C84"/>
    <w:rsid w:val="00973A8D"/>
    <w:rsid w:val="0097414C"/>
    <w:rsid w:val="00974665"/>
    <w:rsid w:val="00974EB4"/>
    <w:rsid w:val="00975772"/>
    <w:rsid w:val="009758E3"/>
    <w:rsid w:val="00975C27"/>
    <w:rsid w:val="0097648B"/>
    <w:rsid w:val="00976AE9"/>
    <w:rsid w:val="00977E2D"/>
    <w:rsid w:val="009805C3"/>
    <w:rsid w:val="009808D5"/>
    <w:rsid w:val="00980D74"/>
    <w:rsid w:val="009811C1"/>
    <w:rsid w:val="00982FDF"/>
    <w:rsid w:val="00983819"/>
    <w:rsid w:val="0098425C"/>
    <w:rsid w:val="00984713"/>
    <w:rsid w:val="0098518A"/>
    <w:rsid w:val="00985B09"/>
    <w:rsid w:val="00987D13"/>
    <w:rsid w:val="00991BF4"/>
    <w:rsid w:val="00991E57"/>
    <w:rsid w:val="00992168"/>
    <w:rsid w:val="00992D76"/>
    <w:rsid w:val="009938CC"/>
    <w:rsid w:val="009944DB"/>
    <w:rsid w:val="0099453B"/>
    <w:rsid w:val="0099456D"/>
    <w:rsid w:val="009946A3"/>
    <w:rsid w:val="009948BC"/>
    <w:rsid w:val="00994EDF"/>
    <w:rsid w:val="00995D0F"/>
    <w:rsid w:val="00996115"/>
    <w:rsid w:val="00996E1E"/>
    <w:rsid w:val="0099784E"/>
    <w:rsid w:val="009A0198"/>
    <w:rsid w:val="009A01E1"/>
    <w:rsid w:val="009A0CBD"/>
    <w:rsid w:val="009A16A3"/>
    <w:rsid w:val="009A1935"/>
    <w:rsid w:val="009A2C42"/>
    <w:rsid w:val="009A3010"/>
    <w:rsid w:val="009A3C57"/>
    <w:rsid w:val="009A6182"/>
    <w:rsid w:val="009A6B07"/>
    <w:rsid w:val="009A6C61"/>
    <w:rsid w:val="009A73C3"/>
    <w:rsid w:val="009A7D29"/>
    <w:rsid w:val="009B1D05"/>
    <w:rsid w:val="009B2063"/>
    <w:rsid w:val="009B2A88"/>
    <w:rsid w:val="009B2C99"/>
    <w:rsid w:val="009B3417"/>
    <w:rsid w:val="009B3A74"/>
    <w:rsid w:val="009B4285"/>
    <w:rsid w:val="009B4E2A"/>
    <w:rsid w:val="009B507C"/>
    <w:rsid w:val="009B56EB"/>
    <w:rsid w:val="009B5DE2"/>
    <w:rsid w:val="009B647F"/>
    <w:rsid w:val="009B678B"/>
    <w:rsid w:val="009B705D"/>
    <w:rsid w:val="009B74B3"/>
    <w:rsid w:val="009C1073"/>
    <w:rsid w:val="009C1A13"/>
    <w:rsid w:val="009C1DDC"/>
    <w:rsid w:val="009C2C1E"/>
    <w:rsid w:val="009C3692"/>
    <w:rsid w:val="009C4827"/>
    <w:rsid w:val="009C4CA0"/>
    <w:rsid w:val="009C5F8F"/>
    <w:rsid w:val="009C65F9"/>
    <w:rsid w:val="009C7E88"/>
    <w:rsid w:val="009D0549"/>
    <w:rsid w:val="009D07EE"/>
    <w:rsid w:val="009D098C"/>
    <w:rsid w:val="009D0BCC"/>
    <w:rsid w:val="009D0F28"/>
    <w:rsid w:val="009D10D6"/>
    <w:rsid w:val="009D1126"/>
    <w:rsid w:val="009D18F6"/>
    <w:rsid w:val="009D2E41"/>
    <w:rsid w:val="009D31AF"/>
    <w:rsid w:val="009D32AB"/>
    <w:rsid w:val="009D3405"/>
    <w:rsid w:val="009D3933"/>
    <w:rsid w:val="009D3A0B"/>
    <w:rsid w:val="009D4A3A"/>
    <w:rsid w:val="009D4A6D"/>
    <w:rsid w:val="009D5D10"/>
    <w:rsid w:val="009D60A9"/>
    <w:rsid w:val="009D6831"/>
    <w:rsid w:val="009D7B64"/>
    <w:rsid w:val="009E0388"/>
    <w:rsid w:val="009E0845"/>
    <w:rsid w:val="009E132D"/>
    <w:rsid w:val="009E1442"/>
    <w:rsid w:val="009E155D"/>
    <w:rsid w:val="009E1A95"/>
    <w:rsid w:val="009E2B64"/>
    <w:rsid w:val="009E330D"/>
    <w:rsid w:val="009E499F"/>
    <w:rsid w:val="009E5066"/>
    <w:rsid w:val="009E55D2"/>
    <w:rsid w:val="009E58BB"/>
    <w:rsid w:val="009E62F9"/>
    <w:rsid w:val="009E642A"/>
    <w:rsid w:val="009E6999"/>
    <w:rsid w:val="009E7F85"/>
    <w:rsid w:val="009F08F2"/>
    <w:rsid w:val="009F0B2D"/>
    <w:rsid w:val="009F0C8A"/>
    <w:rsid w:val="009F196E"/>
    <w:rsid w:val="009F1D3A"/>
    <w:rsid w:val="009F2A37"/>
    <w:rsid w:val="009F2CBE"/>
    <w:rsid w:val="009F3413"/>
    <w:rsid w:val="009F482B"/>
    <w:rsid w:val="009F7677"/>
    <w:rsid w:val="009F790C"/>
    <w:rsid w:val="00A00080"/>
    <w:rsid w:val="00A00A42"/>
    <w:rsid w:val="00A00FE6"/>
    <w:rsid w:val="00A0158F"/>
    <w:rsid w:val="00A02D98"/>
    <w:rsid w:val="00A0375B"/>
    <w:rsid w:val="00A03C83"/>
    <w:rsid w:val="00A041D0"/>
    <w:rsid w:val="00A046A3"/>
    <w:rsid w:val="00A0593F"/>
    <w:rsid w:val="00A066C3"/>
    <w:rsid w:val="00A067D6"/>
    <w:rsid w:val="00A074EA"/>
    <w:rsid w:val="00A0763B"/>
    <w:rsid w:val="00A07697"/>
    <w:rsid w:val="00A078D3"/>
    <w:rsid w:val="00A07ACF"/>
    <w:rsid w:val="00A07E76"/>
    <w:rsid w:val="00A1028E"/>
    <w:rsid w:val="00A1084A"/>
    <w:rsid w:val="00A1134F"/>
    <w:rsid w:val="00A11F51"/>
    <w:rsid w:val="00A12163"/>
    <w:rsid w:val="00A1301D"/>
    <w:rsid w:val="00A134A4"/>
    <w:rsid w:val="00A1362A"/>
    <w:rsid w:val="00A1427B"/>
    <w:rsid w:val="00A1453F"/>
    <w:rsid w:val="00A15D5F"/>
    <w:rsid w:val="00A1683B"/>
    <w:rsid w:val="00A171AD"/>
    <w:rsid w:val="00A2095F"/>
    <w:rsid w:val="00A20AC8"/>
    <w:rsid w:val="00A21296"/>
    <w:rsid w:val="00A22F27"/>
    <w:rsid w:val="00A25E8B"/>
    <w:rsid w:val="00A2643C"/>
    <w:rsid w:val="00A270AE"/>
    <w:rsid w:val="00A273F7"/>
    <w:rsid w:val="00A27A43"/>
    <w:rsid w:val="00A31923"/>
    <w:rsid w:val="00A31C96"/>
    <w:rsid w:val="00A36B12"/>
    <w:rsid w:val="00A37440"/>
    <w:rsid w:val="00A41F10"/>
    <w:rsid w:val="00A41FD0"/>
    <w:rsid w:val="00A4264F"/>
    <w:rsid w:val="00A42838"/>
    <w:rsid w:val="00A4309F"/>
    <w:rsid w:val="00A437E0"/>
    <w:rsid w:val="00A43C10"/>
    <w:rsid w:val="00A450A6"/>
    <w:rsid w:val="00A4558E"/>
    <w:rsid w:val="00A462A7"/>
    <w:rsid w:val="00A46D38"/>
    <w:rsid w:val="00A46F12"/>
    <w:rsid w:val="00A47572"/>
    <w:rsid w:val="00A50306"/>
    <w:rsid w:val="00A5040B"/>
    <w:rsid w:val="00A50927"/>
    <w:rsid w:val="00A5095C"/>
    <w:rsid w:val="00A50B02"/>
    <w:rsid w:val="00A50D24"/>
    <w:rsid w:val="00A512A6"/>
    <w:rsid w:val="00A51898"/>
    <w:rsid w:val="00A51F31"/>
    <w:rsid w:val="00A521CC"/>
    <w:rsid w:val="00A534AD"/>
    <w:rsid w:val="00A53651"/>
    <w:rsid w:val="00A53CD2"/>
    <w:rsid w:val="00A543D6"/>
    <w:rsid w:val="00A547D6"/>
    <w:rsid w:val="00A550DC"/>
    <w:rsid w:val="00A55ED6"/>
    <w:rsid w:val="00A568F0"/>
    <w:rsid w:val="00A5711F"/>
    <w:rsid w:val="00A5781C"/>
    <w:rsid w:val="00A60AAF"/>
    <w:rsid w:val="00A61294"/>
    <w:rsid w:val="00A62423"/>
    <w:rsid w:val="00A62854"/>
    <w:rsid w:val="00A62B4B"/>
    <w:rsid w:val="00A632F3"/>
    <w:rsid w:val="00A64F9B"/>
    <w:rsid w:val="00A65380"/>
    <w:rsid w:val="00A65782"/>
    <w:rsid w:val="00A65BCF"/>
    <w:rsid w:val="00A65CF3"/>
    <w:rsid w:val="00A66DA5"/>
    <w:rsid w:val="00A6763F"/>
    <w:rsid w:val="00A70679"/>
    <w:rsid w:val="00A70DF7"/>
    <w:rsid w:val="00A71C78"/>
    <w:rsid w:val="00A71FD1"/>
    <w:rsid w:val="00A724C9"/>
    <w:rsid w:val="00A72D25"/>
    <w:rsid w:val="00A73181"/>
    <w:rsid w:val="00A73791"/>
    <w:rsid w:val="00A73AF9"/>
    <w:rsid w:val="00A7460A"/>
    <w:rsid w:val="00A74A03"/>
    <w:rsid w:val="00A75719"/>
    <w:rsid w:val="00A759AD"/>
    <w:rsid w:val="00A76484"/>
    <w:rsid w:val="00A80F43"/>
    <w:rsid w:val="00A8112D"/>
    <w:rsid w:val="00A81372"/>
    <w:rsid w:val="00A824B4"/>
    <w:rsid w:val="00A84C8E"/>
    <w:rsid w:val="00A84D69"/>
    <w:rsid w:val="00A855A6"/>
    <w:rsid w:val="00A85A2C"/>
    <w:rsid w:val="00A85C89"/>
    <w:rsid w:val="00A85DAB"/>
    <w:rsid w:val="00A86BD9"/>
    <w:rsid w:val="00A86EB0"/>
    <w:rsid w:val="00A87C39"/>
    <w:rsid w:val="00A87F59"/>
    <w:rsid w:val="00A9046C"/>
    <w:rsid w:val="00A9084E"/>
    <w:rsid w:val="00A92376"/>
    <w:rsid w:val="00A9239A"/>
    <w:rsid w:val="00A92957"/>
    <w:rsid w:val="00A93387"/>
    <w:rsid w:val="00A93AFA"/>
    <w:rsid w:val="00A93DF3"/>
    <w:rsid w:val="00A95AE0"/>
    <w:rsid w:val="00A95BD7"/>
    <w:rsid w:val="00A961B6"/>
    <w:rsid w:val="00A96239"/>
    <w:rsid w:val="00A96872"/>
    <w:rsid w:val="00A975EF"/>
    <w:rsid w:val="00AA1F50"/>
    <w:rsid w:val="00AA2374"/>
    <w:rsid w:val="00AA24D5"/>
    <w:rsid w:val="00AA3373"/>
    <w:rsid w:val="00AA3546"/>
    <w:rsid w:val="00AA4417"/>
    <w:rsid w:val="00AA6490"/>
    <w:rsid w:val="00AA6602"/>
    <w:rsid w:val="00AB0F9A"/>
    <w:rsid w:val="00AB1D7B"/>
    <w:rsid w:val="00AB20AA"/>
    <w:rsid w:val="00AB29A2"/>
    <w:rsid w:val="00AB2E9C"/>
    <w:rsid w:val="00AB311E"/>
    <w:rsid w:val="00AB39BC"/>
    <w:rsid w:val="00AB4083"/>
    <w:rsid w:val="00AB49F5"/>
    <w:rsid w:val="00AB4AF4"/>
    <w:rsid w:val="00AB5D50"/>
    <w:rsid w:val="00AB6607"/>
    <w:rsid w:val="00AB673C"/>
    <w:rsid w:val="00AC02DD"/>
    <w:rsid w:val="00AC1040"/>
    <w:rsid w:val="00AC1A37"/>
    <w:rsid w:val="00AC2C4C"/>
    <w:rsid w:val="00AC53AE"/>
    <w:rsid w:val="00AC5DAB"/>
    <w:rsid w:val="00AD0495"/>
    <w:rsid w:val="00AD0771"/>
    <w:rsid w:val="00AD08A6"/>
    <w:rsid w:val="00AD3417"/>
    <w:rsid w:val="00AD3476"/>
    <w:rsid w:val="00AD3976"/>
    <w:rsid w:val="00AD5145"/>
    <w:rsid w:val="00AD53EB"/>
    <w:rsid w:val="00AD5911"/>
    <w:rsid w:val="00AD734F"/>
    <w:rsid w:val="00AD788B"/>
    <w:rsid w:val="00AE21A6"/>
    <w:rsid w:val="00AE2783"/>
    <w:rsid w:val="00AE6C69"/>
    <w:rsid w:val="00AE74F3"/>
    <w:rsid w:val="00AF09CF"/>
    <w:rsid w:val="00AF12BE"/>
    <w:rsid w:val="00AF1554"/>
    <w:rsid w:val="00AF175B"/>
    <w:rsid w:val="00AF3092"/>
    <w:rsid w:val="00AF3D43"/>
    <w:rsid w:val="00AF6546"/>
    <w:rsid w:val="00AF66B9"/>
    <w:rsid w:val="00AF709D"/>
    <w:rsid w:val="00AF7D3F"/>
    <w:rsid w:val="00B005B6"/>
    <w:rsid w:val="00B0090A"/>
    <w:rsid w:val="00B01AC2"/>
    <w:rsid w:val="00B01F57"/>
    <w:rsid w:val="00B02618"/>
    <w:rsid w:val="00B02B81"/>
    <w:rsid w:val="00B03779"/>
    <w:rsid w:val="00B05538"/>
    <w:rsid w:val="00B0605A"/>
    <w:rsid w:val="00B07917"/>
    <w:rsid w:val="00B07AE0"/>
    <w:rsid w:val="00B103BF"/>
    <w:rsid w:val="00B10792"/>
    <w:rsid w:val="00B1171E"/>
    <w:rsid w:val="00B119C4"/>
    <w:rsid w:val="00B11EE8"/>
    <w:rsid w:val="00B11FAD"/>
    <w:rsid w:val="00B12B2C"/>
    <w:rsid w:val="00B12D15"/>
    <w:rsid w:val="00B14D27"/>
    <w:rsid w:val="00B14D36"/>
    <w:rsid w:val="00B14F69"/>
    <w:rsid w:val="00B16275"/>
    <w:rsid w:val="00B162B9"/>
    <w:rsid w:val="00B163C5"/>
    <w:rsid w:val="00B168E6"/>
    <w:rsid w:val="00B17556"/>
    <w:rsid w:val="00B217C5"/>
    <w:rsid w:val="00B219C7"/>
    <w:rsid w:val="00B22230"/>
    <w:rsid w:val="00B24066"/>
    <w:rsid w:val="00B2444A"/>
    <w:rsid w:val="00B24B4A"/>
    <w:rsid w:val="00B24D55"/>
    <w:rsid w:val="00B27871"/>
    <w:rsid w:val="00B27CA6"/>
    <w:rsid w:val="00B27FE1"/>
    <w:rsid w:val="00B3047C"/>
    <w:rsid w:val="00B306B7"/>
    <w:rsid w:val="00B3107D"/>
    <w:rsid w:val="00B311E9"/>
    <w:rsid w:val="00B312C7"/>
    <w:rsid w:val="00B31927"/>
    <w:rsid w:val="00B31CC1"/>
    <w:rsid w:val="00B324F2"/>
    <w:rsid w:val="00B32B8F"/>
    <w:rsid w:val="00B33560"/>
    <w:rsid w:val="00B33BCF"/>
    <w:rsid w:val="00B345B6"/>
    <w:rsid w:val="00B34C3C"/>
    <w:rsid w:val="00B35E31"/>
    <w:rsid w:val="00B36115"/>
    <w:rsid w:val="00B36598"/>
    <w:rsid w:val="00B368C3"/>
    <w:rsid w:val="00B37171"/>
    <w:rsid w:val="00B37814"/>
    <w:rsid w:val="00B4079B"/>
    <w:rsid w:val="00B40F65"/>
    <w:rsid w:val="00B4100C"/>
    <w:rsid w:val="00B41195"/>
    <w:rsid w:val="00B42064"/>
    <w:rsid w:val="00B429BD"/>
    <w:rsid w:val="00B42A25"/>
    <w:rsid w:val="00B43DDB"/>
    <w:rsid w:val="00B456BF"/>
    <w:rsid w:val="00B45F6E"/>
    <w:rsid w:val="00B4643F"/>
    <w:rsid w:val="00B46449"/>
    <w:rsid w:val="00B46D14"/>
    <w:rsid w:val="00B47C0D"/>
    <w:rsid w:val="00B47F53"/>
    <w:rsid w:val="00B50B36"/>
    <w:rsid w:val="00B512D0"/>
    <w:rsid w:val="00B52E97"/>
    <w:rsid w:val="00B537CD"/>
    <w:rsid w:val="00B54EDF"/>
    <w:rsid w:val="00B551F9"/>
    <w:rsid w:val="00B555F7"/>
    <w:rsid w:val="00B559DD"/>
    <w:rsid w:val="00B568F1"/>
    <w:rsid w:val="00B57748"/>
    <w:rsid w:val="00B57AB1"/>
    <w:rsid w:val="00B60214"/>
    <w:rsid w:val="00B60611"/>
    <w:rsid w:val="00B608BF"/>
    <w:rsid w:val="00B636F0"/>
    <w:rsid w:val="00B648A0"/>
    <w:rsid w:val="00B64CC1"/>
    <w:rsid w:val="00B668E1"/>
    <w:rsid w:val="00B67790"/>
    <w:rsid w:val="00B70348"/>
    <w:rsid w:val="00B70F4E"/>
    <w:rsid w:val="00B71EEE"/>
    <w:rsid w:val="00B72277"/>
    <w:rsid w:val="00B7261C"/>
    <w:rsid w:val="00B72E66"/>
    <w:rsid w:val="00B72F70"/>
    <w:rsid w:val="00B73527"/>
    <w:rsid w:val="00B73E75"/>
    <w:rsid w:val="00B74CA8"/>
    <w:rsid w:val="00B7500A"/>
    <w:rsid w:val="00B7513E"/>
    <w:rsid w:val="00B75886"/>
    <w:rsid w:val="00B759EB"/>
    <w:rsid w:val="00B75C5C"/>
    <w:rsid w:val="00B75D15"/>
    <w:rsid w:val="00B76A38"/>
    <w:rsid w:val="00B77E6E"/>
    <w:rsid w:val="00B80050"/>
    <w:rsid w:val="00B804EB"/>
    <w:rsid w:val="00B8055A"/>
    <w:rsid w:val="00B81503"/>
    <w:rsid w:val="00B81F2F"/>
    <w:rsid w:val="00B8217B"/>
    <w:rsid w:val="00B828FD"/>
    <w:rsid w:val="00B83292"/>
    <w:rsid w:val="00B83DDA"/>
    <w:rsid w:val="00B861F6"/>
    <w:rsid w:val="00B86BC6"/>
    <w:rsid w:val="00B86D39"/>
    <w:rsid w:val="00B87456"/>
    <w:rsid w:val="00B87BE3"/>
    <w:rsid w:val="00B908B8"/>
    <w:rsid w:val="00B9098D"/>
    <w:rsid w:val="00B909E3"/>
    <w:rsid w:val="00B90C0F"/>
    <w:rsid w:val="00B90DE3"/>
    <w:rsid w:val="00B91B64"/>
    <w:rsid w:val="00B921BB"/>
    <w:rsid w:val="00B93035"/>
    <w:rsid w:val="00B93571"/>
    <w:rsid w:val="00B935E8"/>
    <w:rsid w:val="00B93895"/>
    <w:rsid w:val="00B954C7"/>
    <w:rsid w:val="00B96418"/>
    <w:rsid w:val="00B966AD"/>
    <w:rsid w:val="00B96FC3"/>
    <w:rsid w:val="00BA025A"/>
    <w:rsid w:val="00BA0B58"/>
    <w:rsid w:val="00BA20A5"/>
    <w:rsid w:val="00BA2500"/>
    <w:rsid w:val="00BA2ADF"/>
    <w:rsid w:val="00BA2ED4"/>
    <w:rsid w:val="00BA3133"/>
    <w:rsid w:val="00BA3247"/>
    <w:rsid w:val="00BA394E"/>
    <w:rsid w:val="00BA4BF0"/>
    <w:rsid w:val="00BA4F5A"/>
    <w:rsid w:val="00BA76A0"/>
    <w:rsid w:val="00BA7BA6"/>
    <w:rsid w:val="00BB005C"/>
    <w:rsid w:val="00BB0445"/>
    <w:rsid w:val="00BB05DC"/>
    <w:rsid w:val="00BB07E3"/>
    <w:rsid w:val="00BB0B4E"/>
    <w:rsid w:val="00BB1BCA"/>
    <w:rsid w:val="00BB308F"/>
    <w:rsid w:val="00BB40A8"/>
    <w:rsid w:val="00BB4D7E"/>
    <w:rsid w:val="00BB5195"/>
    <w:rsid w:val="00BB5286"/>
    <w:rsid w:val="00BB59C0"/>
    <w:rsid w:val="00BB6D5E"/>
    <w:rsid w:val="00BB6EAD"/>
    <w:rsid w:val="00BB6F0B"/>
    <w:rsid w:val="00BC0102"/>
    <w:rsid w:val="00BC051C"/>
    <w:rsid w:val="00BC09CA"/>
    <w:rsid w:val="00BC0CE6"/>
    <w:rsid w:val="00BC2B00"/>
    <w:rsid w:val="00BC3CA9"/>
    <w:rsid w:val="00BC3F44"/>
    <w:rsid w:val="00BC4B6E"/>
    <w:rsid w:val="00BC4EBB"/>
    <w:rsid w:val="00BC4FE1"/>
    <w:rsid w:val="00BC5BE0"/>
    <w:rsid w:val="00BC5D06"/>
    <w:rsid w:val="00BC6888"/>
    <w:rsid w:val="00BC6B7E"/>
    <w:rsid w:val="00BC6C07"/>
    <w:rsid w:val="00BD12EA"/>
    <w:rsid w:val="00BD142C"/>
    <w:rsid w:val="00BD18B3"/>
    <w:rsid w:val="00BD1A7E"/>
    <w:rsid w:val="00BD21E3"/>
    <w:rsid w:val="00BD275C"/>
    <w:rsid w:val="00BD2C72"/>
    <w:rsid w:val="00BD3D19"/>
    <w:rsid w:val="00BD3E56"/>
    <w:rsid w:val="00BD40A2"/>
    <w:rsid w:val="00BD4221"/>
    <w:rsid w:val="00BD45AF"/>
    <w:rsid w:val="00BD50FB"/>
    <w:rsid w:val="00BD527A"/>
    <w:rsid w:val="00BD54CB"/>
    <w:rsid w:val="00BD5CC8"/>
    <w:rsid w:val="00BD5EEB"/>
    <w:rsid w:val="00BD5F9F"/>
    <w:rsid w:val="00BD68A5"/>
    <w:rsid w:val="00BD6917"/>
    <w:rsid w:val="00BD6E49"/>
    <w:rsid w:val="00BD6FE8"/>
    <w:rsid w:val="00BD7489"/>
    <w:rsid w:val="00BD74EC"/>
    <w:rsid w:val="00BD7784"/>
    <w:rsid w:val="00BD7AB1"/>
    <w:rsid w:val="00BD7D77"/>
    <w:rsid w:val="00BE069B"/>
    <w:rsid w:val="00BE07B2"/>
    <w:rsid w:val="00BE0B4D"/>
    <w:rsid w:val="00BE145B"/>
    <w:rsid w:val="00BE1D7D"/>
    <w:rsid w:val="00BE2922"/>
    <w:rsid w:val="00BE2956"/>
    <w:rsid w:val="00BE318B"/>
    <w:rsid w:val="00BE40D6"/>
    <w:rsid w:val="00BE4521"/>
    <w:rsid w:val="00BE470E"/>
    <w:rsid w:val="00BE5876"/>
    <w:rsid w:val="00BE6441"/>
    <w:rsid w:val="00BE7053"/>
    <w:rsid w:val="00BE70A5"/>
    <w:rsid w:val="00BE7268"/>
    <w:rsid w:val="00BE77A7"/>
    <w:rsid w:val="00BF064E"/>
    <w:rsid w:val="00BF0898"/>
    <w:rsid w:val="00BF1739"/>
    <w:rsid w:val="00BF348C"/>
    <w:rsid w:val="00BF56CF"/>
    <w:rsid w:val="00BF5876"/>
    <w:rsid w:val="00BF79C0"/>
    <w:rsid w:val="00BF7ABF"/>
    <w:rsid w:val="00BF7E10"/>
    <w:rsid w:val="00C00C65"/>
    <w:rsid w:val="00C02227"/>
    <w:rsid w:val="00C0366E"/>
    <w:rsid w:val="00C03848"/>
    <w:rsid w:val="00C04940"/>
    <w:rsid w:val="00C04C34"/>
    <w:rsid w:val="00C0505E"/>
    <w:rsid w:val="00C05724"/>
    <w:rsid w:val="00C061CA"/>
    <w:rsid w:val="00C07DEC"/>
    <w:rsid w:val="00C07F6B"/>
    <w:rsid w:val="00C10D28"/>
    <w:rsid w:val="00C11E60"/>
    <w:rsid w:val="00C12C05"/>
    <w:rsid w:val="00C13350"/>
    <w:rsid w:val="00C13877"/>
    <w:rsid w:val="00C14137"/>
    <w:rsid w:val="00C1441C"/>
    <w:rsid w:val="00C151CC"/>
    <w:rsid w:val="00C15F2E"/>
    <w:rsid w:val="00C1605D"/>
    <w:rsid w:val="00C16A4F"/>
    <w:rsid w:val="00C17523"/>
    <w:rsid w:val="00C1764C"/>
    <w:rsid w:val="00C17C84"/>
    <w:rsid w:val="00C17F9A"/>
    <w:rsid w:val="00C20C72"/>
    <w:rsid w:val="00C20E0D"/>
    <w:rsid w:val="00C2124D"/>
    <w:rsid w:val="00C21AA9"/>
    <w:rsid w:val="00C23D3C"/>
    <w:rsid w:val="00C23FB6"/>
    <w:rsid w:val="00C240AB"/>
    <w:rsid w:val="00C249BB"/>
    <w:rsid w:val="00C25F02"/>
    <w:rsid w:val="00C261E0"/>
    <w:rsid w:val="00C30399"/>
    <w:rsid w:val="00C30E3F"/>
    <w:rsid w:val="00C30FD5"/>
    <w:rsid w:val="00C31162"/>
    <w:rsid w:val="00C3131E"/>
    <w:rsid w:val="00C31E5F"/>
    <w:rsid w:val="00C3298E"/>
    <w:rsid w:val="00C34058"/>
    <w:rsid w:val="00C342E4"/>
    <w:rsid w:val="00C35CD9"/>
    <w:rsid w:val="00C37856"/>
    <w:rsid w:val="00C40D5E"/>
    <w:rsid w:val="00C426CB"/>
    <w:rsid w:val="00C43354"/>
    <w:rsid w:val="00C4405A"/>
    <w:rsid w:val="00C44890"/>
    <w:rsid w:val="00C44912"/>
    <w:rsid w:val="00C44A3A"/>
    <w:rsid w:val="00C44E47"/>
    <w:rsid w:val="00C45C1A"/>
    <w:rsid w:val="00C4612A"/>
    <w:rsid w:val="00C46220"/>
    <w:rsid w:val="00C466E9"/>
    <w:rsid w:val="00C46F16"/>
    <w:rsid w:val="00C47826"/>
    <w:rsid w:val="00C47A89"/>
    <w:rsid w:val="00C50368"/>
    <w:rsid w:val="00C50605"/>
    <w:rsid w:val="00C51AB6"/>
    <w:rsid w:val="00C51B45"/>
    <w:rsid w:val="00C52551"/>
    <w:rsid w:val="00C53013"/>
    <w:rsid w:val="00C531FB"/>
    <w:rsid w:val="00C54A27"/>
    <w:rsid w:val="00C559AE"/>
    <w:rsid w:val="00C5619D"/>
    <w:rsid w:val="00C60216"/>
    <w:rsid w:val="00C602C6"/>
    <w:rsid w:val="00C60558"/>
    <w:rsid w:val="00C633C5"/>
    <w:rsid w:val="00C633CA"/>
    <w:rsid w:val="00C6453D"/>
    <w:rsid w:val="00C64675"/>
    <w:rsid w:val="00C64AB8"/>
    <w:rsid w:val="00C675F9"/>
    <w:rsid w:val="00C70D94"/>
    <w:rsid w:val="00C71004"/>
    <w:rsid w:val="00C715AD"/>
    <w:rsid w:val="00C71B42"/>
    <w:rsid w:val="00C71E5C"/>
    <w:rsid w:val="00C7276C"/>
    <w:rsid w:val="00C74AA7"/>
    <w:rsid w:val="00C75817"/>
    <w:rsid w:val="00C75E4E"/>
    <w:rsid w:val="00C764BB"/>
    <w:rsid w:val="00C77085"/>
    <w:rsid w:val="00C77934"/>
    <w:rsid w:val="00C8066F"/>
    <w:rsid w:val="00C809F9"/>
    <w:rsid w:val="00C80D0B"/>
    <w:rsid w:val="00C81B23"/>
    <w:rsid w:val="00C8231F"/>
    <w:rsid w:val="00C82446"/>
    <w:rsid w:val="00C8297A"/>
    <w:rsid w:val="00C83356"/>
    <w:rsid w:val="00C853A3"/>
    <w:rsid w:val="00C863A5"/>
    <w:rsid w:val="00C86667"/>
    <w:rsid w:val="00C87A9F"/>
    <w:rsid w:val="00C901BF"/>
    <w:rsid w:val="00C92A3B"/>
    <w:rsid w:val="00C92EBC"/>
    <w:rsid w:val="00C94584"/>
    <w:rsid w:val="00C94FC6"/>
    <w:rsid w:val="00C9543F"/>
    <w:rsid w:val="00C95DD4"/>
    <w:rsid w:val="00C9641E"/>
    <w:rsid w:val="00C96B74"/>
    <w:rsid w:val="00C96CA0"/>
    <w:rsid w:val="00C9792D"/>
    <w:rsid w:val="00C97E32"/>
    <w:rsid w:val="00CA098D"/>
    <w:rsid w:val="00CA0EA4"/>
    <w:rsid w:val="00CA1596"/>
    <w:rsid w:val="00CA19BF"/>
    <w:rsid w:val="00CA211C"/>
    <w:rsid w:val="00CA2256"/>
    <w:rsid w:val="00CA43D7"/>
    <w:rsid w:val="00CA5C1D"/>
    <w:rsid w:val="00CA61D2"/>
    <w:rsid w:val="00CA77EA"/>
    <w:rsid w:val="00CB02F4"/>
    <w:rsid w:val="00CB0A98"/>
    <w:rsid w:val="00CB0B4C"/>
    <w:rsid w:val="00CB1F76"/>
    <w:rsid w:val="00CB24A3"/>
    <w:rsid w:val="00CB277A"/>
    <w:rsid w:val="00CB27C7"/>
    <w:rsid w:val="00CB2828"/>
    <w:rsid w:val="00CB36BC"/>
    <w:rsid w:val="00CB3AA0"/>
    <w:rsid w:val="00CB559D"/>
    <w:rsid w:val="00CB5904"/>
    <w:rsid w:val="00CB6185"/>
    <w:rsid w:val="00CB64B7"/>
    <w:rsid w:val="00CB72AD"/>
    <w:rsid w:val="00CC01CC"/>
    <w:rsid w:val="00CC045D"/>
    <w:rsid w:val="00CC06D4"/>
    <w:rsid w:val="00CC0D21"/>
    <w:rsid w:val="00CC15C9"/>
    <w:rsid w:val="00CC4073"/>
    <w:rsid w:val="00CC43A8"/>
    <w:rsid w:val="00CC44E4"/>
    <w:rsid w:val="00CC5489"/>
    <w:rsid w:val="00CC56BB"/>
    <w:rsid w:val="00CC5C7F"/>
    <w:rsid w:val="00CC5EB3"/>
    <w:rsid w:val="00CC6BA9"/>
    <w:rsid w:val="00CC6FD6"/>
    <w:rsid w:val="00CC7334"/>
    <w:rsid w:val="00CC743B"/>
    <w:rsid w:val="00CC7B96"/>
    <w:rsid w:val="00CC7E05"/>
    <w:rsid w:val="00CC7F2D"/>
    <w:rsid w:val="00CD11F0"/>
    <w:rsid w:val="00CD2C5C"/>
    <w:rsid w:val="00CD3F0A"/>
    <w:rsid w:val="00CD484C"/>
    <w:rsid w:val="00CD4C37"/>
    <w:rsid w:val="00CD50EA"/>
    <w:rsid w:val="00CD598E"/>
    <w:rsid w:val="00CD66CA"/>
    <w:rsid w:val="00CD6862"/>
    <w:rsid w:val="00CD6EC6"/>
    <w:rsid w:val="00CD79C4"/>
    <w:rsid w:val="00CD7C4D"/>
    <w:rsid w:val="00CE068C"/>
    <w:rsid w:val="00CE15E2"/>
    <w:rsid w:val="00CE2886"/>
    <w:rsid w:val="00CE311A"/>
    <w:rsid w:val="00CE34A2"/>
    <w:rsid w:val="00CE3769"/>
    <w:rsid w:val="00CE3862"/>
    <w:rsid w:val="00CE3D95"/>
    <w:rsid w:val="00CE5AC0"/>
    <w:rsid w:val="00CE62E0"/>
    <w:rsid w:val="00CF0060"/>
    <w:rsid w:val="00CF040B"/>
    <w:rsid w:val="00CF06D5"/>
    <w:rsid w:val="00CF1114"/>
    <w:rsid w:val="00CF29A0"/>
    <w:rsid w:val="00CF2C74"/>
    <w:rsid w:val="00CF2EAE"/>
    <w:rsid w:val="00CF3BA0"/>
    <w:rsid w:val="00CF41A1"/>
    <w:rsid w:val="00CF4AC4"/>
    <w:rsid w:val="00CF5DC4"/>
    <w:rsid w:val="00CF6027"/>
    <w:rsid w:val="00CF616B"/>
    <w:rsid w:val="00CF61A0"/>
    <w:rsid w:val="00CF62CF"/>
    <w:rsid w:val="00D00934"/>
    <w:rsid w:val="00D02D0C"/>
    <w:rsid w:val="00D05443"/>
    <w:rsid w:val="00D060A0"/>
    <w:rsid w:val="00D06AF3"/>
    <w:rsid w:val="00D0766D"/>
    <w:rsid w:val="00D0792D"/>
    <w:rsid w:val="00D07BED"/>
    <w:rsid w:val="00D110B2"/>
    <w:rsid w:val="00D12565"/>
    <w:rsid w:val="00D129D9"/>
    <w:rsid w:val="00D138AA"/>
    <w:rsid w:val="00D15076"/>
    <w:rsid w:val="00D171FA"/>
    <w:rsid w:val="00D2043C"/>
    <w:rsid w:val="00D22AE6"/>
    <w:rsid w:val="00D23331"/>
    <w:rsid w:val="00D23533"/>
    <w:rsid w:val="00D260C5"/>
    <w:rsid w:val="00D26BF4"/>
    <w:rsid w:val="00D26CB0"/>
    <w:rsid w:val="00D2793E"/>
    <w:rsid w:val="00D27EE1"/>
    <w:rsid w:val="00D302E3"/>
    <w:rsid w:val="00D306F4"/>
    <w:rsid w:val="00D31252"/>
    <w:rsid w:val="00D312CC"/>
    <w:rsid w:val="00D31B75"/>
    <w:rsid w:val="00D325E9"/>
    <w:rsid w:val="00D33216"/>
    <w:rsid w:val="00D3353D"/>
    <w:rsid w:val="00D34F43"/>
    <w:rsid w:val="00D3563A"/>
    <w:rsid w:val="00D36031"/>
    <w:rsid w:val="00D3615E"/>
    <w:rsid w:val="00D3648A"/>
    <w:rsid w:val="00D36DD0"/>
    <w:rsid w:val="00D3721F"/>
    <w:rsid w:val="00D40955"/>
    <w:rsid w:val="00D40C2D"/>
    <w:rsid w:val="00D411FF"/>
    <w:rsid w:val="00D418D6"/>
    <w:rsid w:val="00D424C0"/>
    <w:rsid w:val="00D42605"/>
    <w:rsid w:val="00D43379"/>
    <w:rsid w:val="00D43D9F"/>
    <w:rsid w:val="00D4505C"/>
    <w:rsid w:val="00D47568"/>
    <w:rsid w:val="00D5002D"/>
    <w:rsid w:val="00D50941"/>
    <w:rsid w:val="00D50F7F"/>
    <w:rsid w:val="00D52047"/>
    <w:rsid w:val="00D52069"/>
    <w:rsid w:val="00D5396A"/>
    <w:rsid w:val="00D5437A"/>
    <w:rsid w:val="00D54782"/>
    <w:rsid w:val="00D554AF"/>
    <w:rsid w:val="00D569C1"/>
    <w:rsid w:val="00D56CFA"/>
    <w:rsid w:val="00D56EF0"/>
    <w:rsid w:val="00D57348"/>
    <w:rsid w:val="00D5787B"/>
    <w:rsid w:val="00D57DD8"/>
    <w:rsid w:val="00D6067D"/>
    <w:rsid w:val="00D614D2"/>
    <w:rsid w:val="00D6235C"/>
    <w:rsid w:val="00D623E2"/>
    <w:rsid w:val="00D624F8"/>
    <w:rsid w:val="00D62573"/>
    <w:rsid w:val="00D63796"/>
    <w:rsid w:val="00D6462C"/>
    <w:rsid w:val="00D64DD7"/>
    <w:rsid w:val="00D6659D"/>
    <w:rsid w:val="00D66763"/>
    <w:rsid w:val="00D66AE3"/>
    <w:rsid w:val="00D67251"/>
    <w:rsid w:val="00D676BA"/>
    <w:rsid w:val="00D7056F"/>
    <w:rsid w:val="00D707B9"/>
    <w:rsid w:val="00D70884"/>
    <w:rsid w:val="00D70967"/>
    <w:rsid w:val="00D70DA9"/>
    <w:rsid w:val="00D73D12"/>
    <w:rsid w:val="00D73DFC"/>
    <w:rsid w:val="00D742B5"/>
    <w:rsid w:val="00D74D55"/>
    <w:rsid w:val="00D757BF"/>
    <w:rsid w:val="00D7623A"/>
    <w:rsid w:val="00D7652A"/>
    <w:rsid w:val="00D769F2"/>
    <w:rsid w:val="00D7754F"/>
    <w:rsid w:val="00D77C83"/>
    <w:rsid w:val="00D815F0"/>
    <w:rsid w:val="00D818F2"/>
    <w:rsid w:val="00D82844"/>
    <w:rsid w:val="00D82F29"/>
    <w:rsid w:val="00D839E5"/>
    <w:rsid w:val="00D83EF4"/>
    <w:rsid w:val="00D84897"/>
    <w:rsid w:val="00D848D3"/>
    <w:rsid w:val="00D8633C"/>
    <w:rsid w:val="00D86514"/>
    <w:rsid w:val="00D9063C"/>
    <w:rsid w:val="00D93936"/>
    <w:rsid w:val="00D94017"/>
    <w:rsid w:val="00D940BF"/>
    <w:rsid w:val="00D95129"/>
    <w:rsid w:val="00D95188"/>
    <w:rsid w:val="00D96103"/>
    <w:rsid w:val="00D96367"/>
    <w:rsid w:val="00D9747A"/>
    <w:rsid w:val="00D97532"/>
    <w:rsid w:val="00D975B1"/>
    <w:rsid w:val="00D97EF4"/>
    <w:rsid w:val="00DA0889"/>
    <w:rsid w:val="00DA0DD1"/>
    <w:rsid w:val="00DA1B82"/>
    <w:rsid w:val="00DA1CEA"/>
    <w:rsid w:val="00DA2349"/>
    <w:rsid w:val="00DA2B2F"/>
    <w:rsid w:val="00DA3889"/>
    <w:rsid w:val="00DA39A5"/>
    <w:rsid w:val="00DA70CA"/>
    <w:rsid w:val="00DA789B"/>
    <w:rsid w:val="00DB02BA"/>
    <w:rsid w:val="00DB0562"/>
    <w:rsid w:val="00DB1071"/>
    <w:rsid w:val="00DB2233"/>
    <w:rsid w:val="00DB335C"/>
    <w:rsid w:val="00DB3549"/>
    <w:rsid w:val="00DB3B1D"/>
    <w:rsid w:val="00DB3F1A"/>
    <w:rsid w:val="00DB4822"/>
    <w:rsid w:val="00DB4A9B"/>
    <w:rsid w:val="00DB4AB6"/>
    <w:rsid w:val="00DB4CB9"/>
    <w:rsid w:val="00DB52FF"/>
    <w:rsid w:val="00DB56E0"/>
    <w:rsid w:val="00DB57CF"/>
    <w:rsid w:val="00DB5919"/>
    <w:rsid w:val="00DB5C41"/>
    <w:rsid w:val="00DB6542"/>
    <w:rsid w:val="00DB761C"/>
    <w:rsid w:val="00DB7DA5"/>
    <w:rsid w:val="00DC1E69"/>
    <w:rsid w:val="00DC2305"/>
    <w:rsid w:val="00DC38EE"/>
    <w:rsid w:val="00DC3E3D"/>
    <w:rsid w:val="00DC416D"/>
    <w:rsid w:val="00DC4494"/>
    <w:rsid w:val="00DC48DF"/>
    <w:rsid w:val="00DC4A1B"/>
    <w:rsid w:val="00DC529F"/>
    <w:rsid w:val="00DC5EEF"/>
    <w:rsid w:val="00DC68A6"/>
    <w:rsid w:val="00DD0D1A"/>
    <w:rsid w:val="00DD0DB2"/>
    <w:rsid w:val="00DD2044"/>
    <w:rsid w:val="00DD2A57"/>
    <w:rsid w:val="00DD2DE8"/>
    <w:rsid w:val="00DD324A"/>
    <w:rsid w:val="00DD3361"/>
    <w:rsid w:val="00DD42B4"/>
    <w:rsid w:val="00DD514E"/>
    <w:rsid w:val="00DD57BA"/>
    <w:rsid w:val="00DE136E"/>
    <w:rsid w:val="00DE15B5"/>
    <w:rsid w:val="00DE2986"/>
    <w:rsid w:val="00DE29C3"/>
    <w:rsid w:val="00DE34DA"/>
    <w:rsid w:val="00DE4377"/>
    <w:rsid w:val="00DE46C8"/>
    <w:rsid w:val="00DE563C"/>
    <w:rsid w:val="00DE7DB0"/>
    <w:rsid w:val="00DF0BCB"/>
    <w:rsid w:val="00DF0D30"/>
    <w:rsid w:val="00DF0F6A"/>
    <w:rsid w:val="00DF131F"/>
    <w:rsid w:val="00DF187D"/>
    <w:rsid w:val="00DF21D3"/>
    <w:rsid w:val="00DF2C1A"/>
    <w:rsid w:val="00DF2EAE"/>
    <w:rsid w:val="00DF4731"/>
    <w:rsid w:val="00DF4B32"/>
    <w:rsid w:val="00DF52DE"/>
    <w:rsid w:val="00DF5658"/>
    <w:rsid w:val="00DF5FAE"/>
    <w:rsid w:val="00E01996"/>
    <w:rsid w:val="00E01E9C"/>
    <w:rsid w:val="00E0210B"/>
    <w:rsid w:val="00E02208"/>
    <w:rsid w:val="00E0230B"/>
    <w:rsid w:val="00E0244F"/>
    <w:rsid w:val="00E0305B"/>
    <w:rsid w:val="00E03481"/>
    <w:rsid w:val="00E03A59"/>
    <w:rsid w:val="00E040E5"/>
    <w:rsid w:val="00E041E0"/>
    <w:rsid w:val="00E05C62"/>
    <w:rsid w:val="00E06416"/>
    <w:rsid w:val="00E06554"/>
    <w:rsid w:val="00E12901"/>
    <w:rsid w:val="00E12F6A"/>
    <w:rsid w:val="00E130D8"/>
    <w:rsid w:val="00E14B07"/>
    <w:rsid w:val="00E14F6D"/>
    <w:rsid w:val="00E1511F"/>
    <w:rsid w:val="00E153F4"/>
    <w:rsid w:val="00E16EEC"/>
    <w:rsid w:val="00E171B9"/>
    <w:rsid w:val="00E209DB"/>
    <w:rsid w:val="00E20AFC"/>
    <w:rsid w:val="00E2120A"/>
    <w:rsid w:val="00E21C09"/>
    <w:rsid w:val="00E21E50"/>
    <w:rsid w:val="00E22DDC"/>
    <w:rsid w:val="00E2353B"/>
    <w:rsid w:val="00E24082"/>
    <w:rsid w:val="00E2426F"/>
    <w:rsid w:val="00E24C0B"/>
    <w:rsid w:val="00E25FB4"/>
    <w:rsid w:val="00E268AD"/>
    <w:rsid w:val="00E278BD"/>
    <w:rsid w:val="00E306EB"/>
    <w:rsid w:val="00E308DA"/>
    <w:rsid w:val="00E31443"/>
    <w:rsid w:val="00E31B76"/>
    <w:rsid w:val="00E336D2"/>
    <w:rsid w:val="00E34811"/>
    <w:rsid w:val="00E34D04"/>
    <w:rsid w:val="00E35D2F"/>
    <w:rsid w:val="00E3602F"/>
    <w:rsid w:val="00E36866"/>
    <w:rsid w:val="00E40C65"/>
    <w:rsid w:val="00E4144D"/>
    <w:rsid w:val="00E42B41"/>
    <w:rsid w:val="00E4363D"/>
    <w:rsid w:val="00E4369F"/>
    <w:rsid w:val="00E445DE"/>
    <w:rsid w:val="00E4536F"/>
    <w:rsid w:val="00E45FD7"/>
    <w:rsid w:val="00E460ED"/>
    <w:rsid w:val="00E461C3"/>
    <w:rsid w:val="00E462F0"/>
    <w:rsid w:val="00E46BB5"/>
    <w:rsid w:val="00E470E5"/>
    <w:rsid w:val="00E47BBF"/>
    <w:rsid w:val="00E47E3E"/>
    <w:rsid w:val="00E50A66"/>
    <w:rsid w:val="00E51452"/>
    <w:rsid w:val="00E52306"/>
    <w:rsid w:val="00E52C73"/>
    <w:rsid w:val="00E53A75"/>
    <w:rsid w:val="00E54105"/>
    <w:rsid w:val="00E544C5"/>
    <w:rsid w:val="00E55541"/>
    <w:rsid w:val="00E55962"/>
    <w:rsid w:val="00E55E53"/>
    <w:rsid w:val="00E561A9"/>
    <w:rsid w:val="00E56567"/>
    <w:rsid w:val="00E5667C"/>
    <w:rsid w:val="00E57621"/>
    <w:rsid w:val="00E5779C"/>
    <w:rsid w:val="00E631E9"/>
    <w:rsid w:val="00E63502"/>
    <w:rsid w:val="00E6355E"/>
    <w:rsid w:val="00E6358D"/>
    <w:rsid w:val="00E63612"/>
    <w:rsid w:val="00E6380D"/>
    <w:rsid w:val="00E63E54"/>
    <w:rsid w:val="00E63F2F"/>
    <w:rsid w:val="00E63FAB"/>
    <w:rsid w:val="00E646CE"/>
    <w:rsid w:val="00E650C8"/>
    <w:rsid w:val="00E65FEC"/>
    <w:rsid w:val="00E67408"/>
    <w:rsid w:val="00E675C0"/>
    <w:rsid w:val="00E67B25"/>
    <w:rsid w:val="00E67F8C"/>
    <w:rsid w:val="00E70165"/>
    <w:rsid w:val="00E71805"/>
    <w:rsid w:val="00E723D1"/>
    <w:rsid w:val="00E7253C"/>
    <w:rsid w:val="00E727FE"/>
    <w:rsid w:val="00E742AE"/>
    <w:rsid w:val="00E7593D"/>
    <w:rsid w:val="00E7690E"/>
    <w:rsid w:val="00E76992"/>
    <w:rsid w:val="00E7763D"/>
    <w:rsid w:val="00E8024C"/>
    <w:rsid w:val="00E80CC8"/>
    <w:rsid w:val="00E81087"/>
    <w:rsid w:val="00E811A6"/>
    <w:rsid w:val="00E823CD"/>
    <w:rsid w:val="00E834C5"/>
    <w:rsid w:val="00E83992"/>
    <w:rsid w:val="00E839CB"/>
    <w:rsid w:val="00E849AF"/>
    <w:rsid w:val="00E85303"/>
    <w:rsid w:val="00E85E78"/>
    <w:rsid w:val="00E85E9C"/>
    <w:rsid w:val="00E85EE5"/>
    <w:rsid w:val="00E864BD"/>
    <w:rsid w:val="00E86C83"/>
    <w:rsid w:val="00E87235"/>
    <w:rsid w:val="00E87AAF"/>
    <w:rsid w:val="00E9001B"/>
    <w:rsid w:val="00E9023F"/>
    <w:rsid w:val="00E91029"/>
    <w:rsid w:val="00E922DF"/>
    <w:rsid w:val="00E9236A"/>
    <w:rsid w:val="00E92C01"/>
    <w:rsid w:val="00E9321A"/>
    <w:rsid w:val="00E9366C"/>
    <w:rsid w:val="00E9547B"/>
    <w:rsid w:val="00E96000"/>
    <w:rsid w:val="00E9612B"/>
    <w:rsid w:val="00E964A3"/>
    <w:rsid w:val="00E979F7"/>
    <w:rsid w:val="00EA0740"/>
    <w:rsid w:val="00EA11EB"/>
    <w:rsid w:val="00EA1520"/>
    <w:rsid w:val="00EA2019"/>
    <w:rsid w:val="00EA2AA3"/>
    <w:rsid w:val="00EA305D"/>
    <w:rsid w:val="00EA3115"/>
    <w:rsid w:val="00EA5743"/>
    <w:rsid w:val="00EA6251"/>
    <w:rsid w:val="00EA6BF5"/>
    <w:rsid w:val="00EA6F46"/>
    <w:rsid w:val="00EA71C2"/>
    <w:rsid w:val="00EA7361"/>
    <w:rsid w:val="00EA79DE"/>
    <w:rsid w:val="00EA7A4D"/>
    <w:rsid w:val="00EA7C80"/>
    <w:rsid w:val="00EB1AB6"/>
    <w:rsid w:val="00EB218C"/>
    <w:rsid w:val="00EB3372"/>
    <w:rsid w:val="00EB393C"/>
    <w:rsid w:val="00EB39F9"/>
    <w:rsid w:val="00EB47DD"/>
    <w:rsid w:val="00EB49F7"/>
    <w:rsid w:val="00EB6034"/>
    <w:rsid w:val="00EC0718"/>
    <w:rsid w:val="00EC0818"/>
    <w:rsid w:val="00EC08A0"/>
    <w:rsid w:val="00EC0942"/>
    <w:rsid w:val="00EC0C18"/>
    <w:rsid w:val="00EC0CD9"/>
    <w:rsid w:val="00EC0DDB"/>
    <w:rsid w:val="00EC0F07"/>
    <w:rsid w:val="00EC114D"/>
    <w:rsid w:val="00EC1D0B"/>
    <w:rsid w:val="00EC43E1"/>
    <w:rsid w:val="00EC442D"/>
    <w:rsid w:val="00EC45BE"/>
    <w:rsid w:val="00EC66B0"/>
    <w:rsid w:val="00EC7667"/>
    <w:rsid w:val="00EC7F27"/>
    <w:rsid w:val="00ED0806"/>
    <w:rsid w:val="00ED0F8F"/>
    <w:rsid w:val="00ED1389"/>
    <w:rsid w:val="00ED17E7"/>
    <w:rsid w:val="00ED2171"/>
    <w:rsid w:val="00ED2294"/>
    <w:rsid w:val="00ED38DC"/>
    <w:rsid w:val="00ED3942"/>
    <w:rsid w:val="00ED4A45"/>
    <w:rsid w:val="00ED5650"/>
    <w:rsid w:val="00ED6804"/>
    <w:rsid w:val="00ED6DAF"/>
    <w:rsid w:val="00ED75D7"/>
    <w:rsid w:val="00ED76CE"/>
    <w:rsid w:val="00ED7D0E"/>
    <w:rsid w:val="00EE01EE"/>
    <w:rsid w:val="00EE104F"/>
    <w:rsid w:val="00EE2607"/>
    <w:rsid w:val="00EE2799"/>
    <w:rsid w:val="00EE2830"/>
    <w:rsid w:val="00EE2B30"/>
    <w:rsid w:val="00EE2C0C"/>
    <w:rsid w:val="00EE3051"/>
    <w:rsid w:val="00EE4082"/>
    <w:rsid w:val="00EE43CE"/>
    <w:rsid w:val="00EE47C9"/>
    <w:rsid w:val="00EE4D2C"/>
    <w:rsid w:val="00EE5577"/>
    <w:rsid w:val="00EE631F"/>
    <w:rsid w:val="00EE675E"/>
    <w:rsid w:val="00EF016E"/>
    <w:rsid w:val="00EF0994"/>
    <w:rsid w:val="00EF106A"/>
    <w:rsid w:val="00EF37A9"/>
    <w:rsid w:val="00EF38A4"/>
    <w:rsid w:val="00EF3E1A"/>
    <w:rsid w:val="00EF4D17"/>
    <w:rsid w:val="00EF5CD7"/>
    <w:rsid w:val="00EF68C7"/>
    <w:rsid w:val="00EF6991"/>
    <w:rsid w:val="00EF6CCC"/>
    <w:rsid w:val="00EF6F31"/>
    <w:rsid w:val="00EF73A3"/>
    <w:rsid w:val="00F004A0"/>
    <w:rsid w:val="00F006D1"/>
    <w:rsid w:val="00F00EAB"/>
    <w:rsid w:val="00F01C78"/>
    <w:rsid w:val="00F02405"/>
    <w:rsid w:val="00F02986"/>
    <w:rsid w:val="00F033DB"/>
    <w:rsid w:val="00F03A68"/>
    <w:rsid w:val="00F03AF2"/>
    <w:rsid w:val="00F046DD"/>
    <w:rsid w:val="00F06087"/>
    <w:rsid w:val="00F071AF"/>
    <w:rsid w:val="00F1027B"/>
    <w:rsid w:val="00F11836"/>
    <w:rsid w:val="00F12E70"/>
    <w:rsid w:val="00F130B8"/>
    <w:rsid w:val="00F131F1"/>
    <w:rsid w:val="00F13852"/>
    <w:rsid w:val="00F13D4C"/>
    <w:rsid w:val="00F141AC"/>
    <w:rsid w:val="00F14661"/>
    <w:rsid w:val="00F154AA"/>
    <w:rsid w:val="00F159B2"/>
    <w:rsid w:val="00F162A8"/>
    <w:rsid w:val="00F17EFF"/>
    <w:rsid w:val="00F20813"/>
    <w:rsid w:val="00F21CD3"/>
    <w:rsid w:val="00F21E80"/>
    <w:rsid w:val="00F2283B"/>
    <w:rsid w:val="00F22B7A"/>
    <w:rsid w:val="00F23458"/>
    <w:rsid w:val="00F25103"/>
    <w:rsid w:val="00F25332"/>
    <w:rsid w:val="00F255CC"/>
    <w:rsid w:val="00F26048"/>
    <w:rsid w:val="00F26AE1"/>
    <w:rsid w:val="00F2716D"/>
    <w:rsid w:val="00F301E6"/>
    <w:rsid w:val="00F30338"/>
    <w:rsid w:val="00F32988"/>
    <w:rsid w:val="00F33050"/>
    <w:rsid w:val="00F33393"/>
    <w:rsid w:val="00F333BA"/>
    <w:rsid w:val="00F3390B"/>
    <w:rsid w:val="00F33DEF"/>
    <w:rsid w:val="00F34F3C"/>
    <w:rsid w:val="00F3631D"/>
    <w:rsid w:val="00F3661F"/>
    <w:rsid w:val="00F36BA9"/>
    <w:rsid w:val="00F377B8"/>
    <w:rsid w:val="00F37831"/>
    <w:rsid w:val="00F402B2"/>
    <w:rsid w:val="00F40D30"/>
    <w:rsid w:val="00F41C25"/>
    <w:rsid w:val="00F431F3"/>
    <w:rsid w:val="00F4363D"/>
    <w:rsid w:val="00F4410F"/>
    <w:rsid w:val="00F4441B"/>
    <w:rsid w:val="00F454FE"/>
    <w:rsid w:val="00F46018"/>
    <w:rsid w:val="00F464A6"/>
    <w:rsid w:val="00F46B6D"/>
    <w:rsid w:val="00F47063"/>
    <w:rsid w:val="00F47376"/>
    <w:rsid w:val="00F47A14"/>
    <w:rsid w:val="00F47DD5"/>
    <w:rsid w:val="00F50489"/>
    <w:rsid w:val="00F50AA9"/>
    <w:rsid w:val="00F50F23"/>
    <w:rsid w:val="00F50FBB"/>
    <w:rsid w:val="00F5171E"/>
    <w:rsid w:val="00F517C8"/>
    <w:rsid w:val="00F52CE6"/>
    <w:rsid w:val="00F5307F"/>
    <w:rsid w:val="00F54024"/>
    <w:rsid w:val="00F54CA1"/>
    <w:rsid w:val="00F55A79"/>
    <w:rsid w:val="00F55A8C"/>
    <w:rsid w:val="00F55C9E"/>
    <w:rsid w:val="00F561B0"/>
    <w:rsid w:val="00F56A08"/>
    <w:rsid w:val="00F57E1D"/>
    <w:rsid w:val="00F60EB5"/>
    <w:rsid w:val="00F60F12"/>
    <w:rsid w:val="00F6157C"/>
    <w:rsid w:val="00F61C0A"/>
    <w:rsid w:val="00F62977"/>
    <w:rsid w:val="00F62E14"/>
    <w:rsid w:val="00F62ED5"/>
    <w:rsid w:val="00F63022"/>
    <w:rsid w:val="00F639CE"/>
    <w:rsid w:val="00F64146"/>
    <w:rsid w:val="00F64E24"/>
    <w:rsid w:val="00F64EE3"/>
    <w:rsid w:val="00F652FE"/>
    <w:rsid w:val="00F66676"/>
    <w:rsid w:val="00F700F4"/>
    <w:rsid w:val="00F70324"/>
    <w:rsid w:val="00F705FB"/>
    <w:rsid w:val="00F71904"/>
    <w:rsid w:val="00F71BD0"/>
    <w:rsid w:val="00F71DFB"/>
    <w:rsid w:val="00F71E43"/>
    <w:rsid w:val="00F726BB"/>
    <w:rsid w:val="00F72C08"/>
    <w:rsid w:val="00F73068"/>
    <w:rsid w:val="00F7337E"/>
    <w:rsid w:val="00F7517B"/>
    <w:rsid w:val="00F75723"/>
    <w:rsid w:val="00F75F06"/>
    <w:rsid w:val="00F75FFB"/>
    <w:rsid w:val="00F774AD"/>
    <w:rsid w:val="00F777EE"/>
    <w:rsid w:val="00F80A96"/>
    <w:rsid w:val="00F8148E"/>
    <w:rsid w:val="00F81553"/>
    <w:rsid w:val="00F82BBF"/>
    <w:rsid w:val="00F836DC"/>
    <w:rsid w:val="00F844A0"/>
    <w:rsid w:val="00F84747"/>
    <w:rsid w:val="00F8491E"/>
    <w:rsid w:val="00F84EBB"/>
    <w:rsid w:val="00F85764"/>
    <w:rsid w:val="00F85CBB"/>
    <w:rsid w:val="00F867FC"/>
    <w:rsid w:val="00F87AB3"/>
    <w:rsid w:val="00F87E8E"/>
    <w:rsid w:val="00F900B6"/>
    <w:rsid w:val="00F91FB0"/>
    <w:rsid w:val="00F923A5"/>
    <w:rsid w:val="00F92430"/>
    <w:rsid w:val="00F92FDE"/>
    <w:rsid w:val="00F93C79"/>
    <w:rsid w:val="00F943B2"/>
    <w:rsid w:val="00F946A9"/>
    <w:rsid w:val="00F953AC"/>
    <w:rsid w:val="00F959C7"/>
    <w:rsid w:val="00F95FD7"/>
    <w:rsid w:val="00F96BE2"/>
    <w:rsid w:val="00F96DDE"/>
    <w:rsid w:val="00F97153"/>
    <w:rsid w:val="00F9742E"/>
    <w:rsid w:val="00F974A2"/>
    <w:rsid w:val="00FA03FE"/>
    <w:rsid w:val="00FA1F7E"/>
    <w:rsid w:val="00FA256C"/>
    <w:rsid w:val="00FA3815"/>
    <w:rsid w:val="00FA3C9C"/>
    <w:rsid w:val="00FA6020"/>
    <w:rsid w:val="00FA612D"/>
    <w:rsid w:val="00FA68C2"/>
    <w:rsid w:val="00FA68E8"/>
    <w:rsid w:val="00FA6ECC"/>
    <w:rsid w:val="00FA7E39"/>
    <w:rsid w:val="00FB16F5"/>
    <w:rsid w:val="00FB2051"/>
    <w:rsid w:val="00FB27C3"/>
    <w:rsid w:val="00FB284B"/>
    <w:rsid w:val="00FB2867"/>
    <w:rsid w:val="00FB46A7"/>
    <w:rsid w:val="00FB4B11"/>
    <w:rsid w:val="00FB5102"/>
    <w:rsid w:val="00FB5A91"/>
    <w:rsid w:val="00FB5B3D"/>
    <w:rsid w:val="00FB6E71"/>
    <w:rsid w:val="00FB6E8D"/>
    <w:rsid w:val="00FB72E6"/>
    <w:rsid w:val="00FB76FD"/>
    <w:rsid w:val="00FC1879"/>
    <w:rsid w:val="00FC3CCC"/>
    <w:rsid w:val="00FC59BC"/>
    <w:rsid w:val="00FC5CFE"/>
    <w:rsid w:val="00FC5FF8"/>
    <w:rsid w:val="00FC62A3"/>
    <w:rsid w:val="00FC69D5"/>
    <w:rsid w:val="00FD0501"/>
    <w:rsid w:val="00FD0EE1"/>
    <w:rsid w:val="00FD1044"/>
    <w:rsid w:val="00FD190D"/>
    <w:rsid w:val="00FD346A"/>
    <w:rsid w:val="00FD4208"/>
    <w:rsid w:val="00FD741E"/>
    <w:rsid w:val="00FD76F5"/>
    <w:rsid w:val="00FE0B70"/>
    <w:rsid w:val="00FE0F8D"/>
    <w:rsid w:val="00FE1536"/>
    <w:rsid w:val="00FE1F40"/>
    <w:rsid w:val="00FE2382"/>
    <w:rsid w:val="00FE29DC"/>
    <w:rsid w:val="00FE2E17"/>
    <w:rsid w:val="00FE2FC2"/>
    <w:rsid w:val="00FE329D"/>
    <w:rsid w:val="00FE3E7E"/>
    <w:rsid w:val="00FE5106"/>
    <w:rsid w:val="00FE587A"/>
    <w:rsid w:val="00FE5D3A"/>
    <w:rsid w:val="00FE6858"/>
    <w:rsid w:val="00FE6E28"/>
    <w:rsid w:val="00FE7980"/>
    <w:rsid w:val="00FF080E"/>
    <w:rsid w:val="00FF125E"/>
    <w:rsid w:val="00FF1436"/>
    <w:rsid w:val="00FF1B8A"/>
    <w:rsid w:val="00FF2ABC"/>
    <w:rsid w:val="00FF5171"/>
    <w:rsid w:val="00FF57E2"/>
    <w:rsid w:val="00FF6691"/>
    <w:rsid w:val="00FF6728"/>
    <w:rsid w:val="00FF6B6B"/>
    <w:rsid w:val="00FF7356"/>
    <w:rsid w:val="00FF757F"/>
    <w:rsid w:val="00FF7703"/>
    <w:rsid w:val="00FF78D9"/>
    <w:rsid w:val="00FF7D13"/>
    <w:rsid w:val="00FF7E6B"/>
    <w:rsid w:val="023D4326"/>
    <w:rsid w:val="04A2D39D"/>
    <w:rsid w:val="0D353577"/>
    <w:rsid w:val="0E388B1A"/>
    <w:rsid w:val="18EA121D"/>
    <w:rsid w:val="1ACBD1D2"/>
    <w:rsid w:val="1BEB6044"/>
    <w:rsid w:val="29DAD07D"/>
    <w:rsid w:val="2F76101F"/>
    <w:rsid w:val="3134600D"/>
    <w:rsid w:val="4203F3B2"/>
    <w:rsid w:val="4292D8C3"/>
    <w:rsid w:val="4439011F"/>
    <w:rsid w:val="4802C35B"/>
    <w:rsid w:val="4E7C6B93"/>
    <w:rsid w:val="5C990295"/>
    <w:rsid w:val="5D4B8F4C"/>
    <w:rsid w:val="6016FD19"/>
    <w:rsid w:val="63F8525A"/>
    <w:rsid w:val="689FB946"/>
    <w:rsid w:val="6A3B62FE"/>
    <w:rsid w:val="6BB2DFDB"/>
    <w:rsid w:val="712E3AAC"/>
    <w:rsid w:val="79CAB406"/>
    <w:rsid w:val="7D842421"/>
  </w:rsids>
  <m:mathPr>
    <m:mathFont m:val="Cambria Math"/>
    <m:brkBin m:val="before"/>
    <m:brkBinSub m:val="--"/>
    <m:smallFrac m:val="0"/>
    <m:dispDef/>
    <m:lMargin m:val="0"/>
    <m:rMargin m:val="0"/>
    <m:defJc m:val="centerGroup"/>
    <m:wrapIndent m:val="1440"/>
    <m:intLim m:val="subSup"/>
    <m:naryLim m:val="undOvr"/>
  </m:mathPr>
  <w:themeFontLang w:val="en-US" w:eastAsia="ja-JP" w:bidi="kn-IN"/>
  <w:clrSchemeMapping w:bg1="light1" w:t1="dark1" w:bg2="light2" w:t2="dark2" w:accent1="accent1" w:accent2="accent2" w:accent3="accent3" w:accent4="accent4" w:accent5="accent5" w:accent6="accent6" w:hyperlink="hyperlink" w:followedHyperlink="followedHyperlink"/>
  <w:shapeDefaults>
    <o:shapedefaults v:ext="edit" spidmax="2170"/>
    <o:shapelayout v:ext="edit">
      <o:idmap v:ext="edit" data="2"/>
    </o:shapelayout>
  </w:shapeDefaults>
  <w:decimalSymbol w:val=","/>
  <w:listSeparator w:val=";"/>
  <w14:docId w14:val="2CF73026"/>
  <w15:docId w15:val="{B0F25B92-0DE4-4A6D-BACF-25067B1E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BBB"/>
    <w:pPr>
      <w:spacing w:line="240" w:lineRule="auto"/>
      <w:jc w:val="both"/>
    </w:pPr>
    <w:rPr>
      <w:rFonts w:ascii="EC Square Sans Pro" w:hAnsi="EC Square Sans Pro" w:cs="Times New Roman"/>
      <w:szCs w:val="24"/>
    </w:rPr>
  </w:style>
  <w:style w:type="paragraph" w:styleId="Heading1">
    <w:name w:val="heading 1"/>
    <w:basedOn w:val="Normal"/>
    <w:next w:val="Normal"/>
    <w:link w:val="Heading1Char"/>
    <w:uiPriority w:val="9"/>
    <w:qFormat/>
    <w:rsid w:val="00BE145B"/>
    <w:pPr>
      <w:keepNext/>
      <w:keepLines/>
      <w:numPr>
        <w:numId w:val="1"/>
      </w:numPr>
      <w:spacing w:before="360" w:after="240"/>
      <w:ind w:left="340" w:hanging="340"/>
      <w:outlineLvl w:val="0"/>
    </w:pPr>
    <w:rPr>
      <w:rFonts w:eastAsiaTheme="majorEastAsia" w:cstheme="majorBidi"/>
      <w:b/>
      <w:color w:val="034EA2" w:themeColor="accent1"/>
      <w:sz w:val="32"/>
      <w:szCs w:val="32"/>
    </w:rPr>
  </w:style>
  <w:style w:type="paragraph" w:styleId="Heading2">
    <w:name w:val="heading 2"/>
    <w:basedOn w:val="Normal"/>
    <w:next w:val="Normal"/>
    <w:link w:val="Heading2Char"/>
    <w:uiPriority w:val="9"/>
    <w:unhideWhenUsed/>
    <w:qFormat/>
    <w:rsid w:val="002703F1"/>
    <w:pPr>
      <w:keepNext/>
      <w:keepLines/>
      <w:spacing w:before="240"/>
      <w:outlineLvl w:val="1"/>
    </w:pPr>
    <w:rPr>
      <w:rFonts w:eastAsiaTheme="majorEastAsia" w:cstheme="majorBidi"/>
      <w:caps/>
      <w:color w:val="70AD47" w:themeColor="accent2"/>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45B"/>
    <w:rPr>
      <w:rFonts w:ascii="EC Square Sans Pro" w:eastAsiaTheme="majorEastAsia" w:hAnsi="EC Square Sans Pro" w:cstheme="majorBidi"/>
      <w:b/>
      <w:color w:val="034EA2" w:themeColor="accent1"/>
      <w:sz w:val="32"/>
      <w:szCs w:val="32"/>
      <w:lang w:val="ro-RO"/>
    </w:rPr>
  </w:style>
  <w:style w:type="paragraph" w:styleId="Header">
    <w:name w:val="header"/>
    <w:basedOn w:val="Normal"/>
    <w:link w:val="HeaderChar"/>
    <w:uiPriority w:val="99"/>
    <w:unhideWhenUsed/>
    <w:rsid w:val="008B6253"/>
    <w:pPr>
      <w:tabs>
        <w:tab w:val="center" w:pos="4513"/>
        <w:tab w:val="right" w:pos="9026"/>
      </w:tabs>
      <w:spacing w:after="0"/>
    </w:pPr>
  </w:style>
  <w:style w:type="character" w:customStyle="1" w:styleId="HeaderChar">
    <w:name w:val="Header Char"/>
    <w:basedOn w:val="DefaultParagraphFont"/>
    <w:link w:val="Header"/>
    <w:uiPriority w:val="99"/>
    <w:rsid w:val="008B6253"/>
    <w:rPr>
      <w:rFonts w:ascii="Times New Roman" w:hAnsi="Times New Roman" w:cs="Times New Roman"/>
      <w:sz w:val="24"/>
      <w:szCs w:val="24"/>
      <w:lang w:val="ro-RO"/>
    </w:rPr>
  </w:style>
  <w:style w:type="paragraph" w:styleId="Footer">
    <w:name w:val="footer"/>
    <w:basedOn w:val="Normal"/>
    <w:link w:val="FooterChar"/>
    <w:uiPriority w:val="99"/>
    <w:unhideWhenUsed/>
    <w:rsid w:val="008B6253"/>
    <w:pPr>
      <w:tabs>
        <w:tab w:val="center" w:pos="4513"/>
        <w:tab w:val="right" w:pos="9026"/>
      </w:tabs>
      <w:spacing w:after="0"/>
    </w:pPr>
  </w:style>
  <w:style w:type="character" w:customStyle="1" w:styleId="FooterChar">
    <w:name w:val="Footer Char"/>
    <w:basedOn w:val="DefaultParagraphFont"/>
    <w:link w:val="Footer"/>
    <w:uiPriority w:val="99"/>
    <w:rsid w:val="008B6253"/>
    <w:rPr>
      <w:rFonts w:ascii="Times New Roman" w:hAnsi="Times New Roman" w:cs="Times New Roman"/>
      <w:sz w:val="24"/>
      <w:szCs w:val="24"/>
      <w:lang w:val="ro-RO"/>
    </w:rPr>
  </w:style>
  <w:style w:type="paragraph" w:customStyle="1" w:styleId="FooterCoverPage">
    <w:name w:val="Footer Cover Page"/>
    <w:basedOn w:val="Normal"/>
    <w:link w:val="FooterCoverPageChar"/>
    <w:rsid w:val="008B6253"/>
    <w:pPr>
      <w:tabs>
        <w:tab w:val="center" w:pos="4535"/>
        <w:tab w:val="right" w:pos="9071"/>
        <w:tab w:val="right" w:pos="9921"/>
      </w:tabs>
      <w:spacing w:before="360" w:after="0"/>
      <w:ind w:left="-850" w:right="-850"/>
      <w:jc w:val="left"/>
    </w:pPr>
    <w:rPr>
      <w:rFonts w:ascii="Times New Roman" w:hAnsi="Times New Roman"/>
      <w:sz w:val="24"/>
    </w:rPr>
  </w:style>
  <w:style w:type="character" w:customStyle="1" w:styleId="FooterCoverPageChar">
    <w:name w:val="Footer Cover Page Char"/>
    <w:basedOn w:val="DefaultParagraphFont"/>
    <w:link w:val="FooterCoverPage"/>
    <w:rsid w:val="008B6253"/>
    <w:rPr>
      <w:rFonts w:ascii="Times New Roman" w:hAnsi="Times New Roman" w:cs="Times New Roman"/>
      <w:sz w:val="24"/>
      <w:szCs w:val="24"/>
    </w:rPr>
  </w:style>
  <w:style w:type="paragraph" w:customStyle="1" w:styleId="HeaderCoverPage">
    <w:name w:val="Header Cover Page"/>
    <w:basedOn w:val="Normal"/>
    <w:link w:val="HeaderCoverPageChar"/>
    <w:rsid w:val="008B6253"/>
    <w:pPr>
      <w:tabs>
        <w:tab w:val="center" w:pos="4535"/>
        <w:tab w:val="right" w:pos="9071"/>
      </w:tabs>
      <w:spacing w:after="120"/>
    </w:pPr>
    <w:rPr>
      <w:rFonts w:ascii="Times New Roman" w:hAnsi="Times New Roman"/>
      <w:sz w:val="24"/>
    </w:rPr>
  </w:style>
  <w:style w:type="character" w:customStyle="1" w:styleId="HeaderCoverPageChar">
    <w:name w:val="Header Cover Page Char"/>
    <w:basedOn w:val="DefaultParagraphFont"/>
    <w:link w:val="HeaderCoverPage"/>
    <w:rsid w:val="008B6253"/>
    <w:rPr>
      <w:rFonts w:ascii="Times New Roman" w:hAnsi="Times New Roman" w:cs="Times New Roman"/>
      <w:sz w:val="24"/>
      <w:szCs w:val="24"/>
    </w:rPr>
  </w:style>
  <w:style w:type="character" w:styleId="FootnoteReference">
    <w:name w:val="footnote reference"/>
    <w:aliases w:val="BVI fnr,number,SUPERS,Footnote Reference Superscript,-E Fuﬂnotenzeichen,-E Fuûnotenzeichen,-E Fußnotenzeichen,EN Footnote Reference,Footnote number,stylish,Footnote symbol,(Footnote Reference),Footnote reference number,note TESI,ftref"/>
    <w:link w:val="BVIfnrChar"/>
    <w:uiPriority w:val="99"/>
    <w:qFormat/>
    <w:rsid w:val="008B6253"/>
    <w:rPr>
      <w:vertAlign w:val="superscript"/>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t"/>
    <w:basedOn w:val="Normal"/>
    <w:link w:val="FootnoteTextChar"/>
    <w:uiPriority w:val="99"/>
    <w:qFormat/>
    <w:rsid w:val="008B6253"/>
    <w:pPr>
      <w:spacing w:after="0"/>
      <w:ind w:left="720" w:hanging="720"/>
    </w:pPr>
    <w:rPr>
      <w:rFonts w:eastAsia="Times New Roman"/>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t Char"/>
    <w:basedOn w:val="DefaultParagraphFont"/>
    <w:link w:val="FootnoteText"/>
    <w:uiPriority w:val="99"/>
    <w:rsid w:val="008B6253"/>
    <w:rPr>
      <w:rFonts w:ascii="Times New Roman" w:eastAsia="Times New Roman" w:hAnsi="Times New Roman" w:cs="Times New Roman"/>
      <w:sz w:val="20"/>
      <w:szCs w:val="20"/>
      <w:lang w:val="ro-RO"/>
    </w:rPr>
  </w:style>
  <w:style w:type="paragraph" w:styleId="TOC1">
    <w:name w:val="toc 1"/>
    <w:basedOn w:val="Normal"/>
    <w:next w:val="Normal"/>
    <w:uiPriority w:val="39"/>
    <w:qFormat/>
    <w:rsid w:val="008B6253"/>
    <w:pPr>
      <w:tabs>
        <w:tab w:val="right" w:leader="dot" w:pos="9071"/>
      </w:tabs>
      <w:spacing w:before="60" w:after="120"/>
      <w:ind w:left="850" w:hanging="850"/>
    </w:pPr>
    <w:rPr>
      <w:rFonts w:eastAsia="Times New Roman"/>
    </w:rPr>
  </w:style>
  <w:style w:type="paragraph" w:styleId="TOCHeading">
    <w:name w:val="TOC Heading"/>
    <w:basedOn w:val="Normal"/>
    <w:next w:val="Normal"/>
    <w:link w:val="TOCHeadingChar"/>
    <w:uiPriority w:val="39"/>
    <w:qFormat/>
    <w:rsid w:val="008B6253"/>
    <w:pPr>
      <w:spacing w:before="120" w:after="240"/>
      <w:jc w:val="center"/>
    </w:pPr>
    <w:rPr>
      <w:rFonts w:eastAsia="Times New Roman"/>
      <w:b/>
      <w:sz w:val="28"/>
    </w:rPr>
  </w:style>
  <w:style w:type="character" w:styleId="Hyperlink">
    <w:name w:val="Hyperlink"/>
    <w:uiPriority w:val="99"/>
    <w:rsid w:val="008B6253"/>
    <w:rPr>
      <w:rFonts w:cs="Times New Roman"/>
      <w:color w:val="0000FF"/>
      <w:u w:val="single"/>
      <w:shd w:val="clear" w:color="auto" w:fill="auto"/>
    </w:rPr>
  </w:style>
  <w:style w:type="character" w:customStyle="1" w:styleId="TOCHeadingChar">
    <w:name w:val="TOC Heading Char"/>
    <w:link w:val="TOCHeading"/>
    <w:uiPriority w:val="39"/>
    <w:rsid w:val="008B6253"/>
    <w:rPr>
      <w:rFonts w:ascii="Times New Roman" w:eastAsia="Times New Roman" w:hAnsi="Times New Roman" w:cs="Times New Roman"/>
      <w:b/>
      <w:sz w:val="28"/>
      <w:szCs w:val="24"/>
      <w:lang w:val="ro-RO"/>
    </w:rPr>
  </w:style>
  <w:style w:type="paragraph" w:styleId="Subtitle">
    <w:name w:val="Subtitle"/>
    <w:basedOn w:val="Normal"/>
    <w:next w:val="Normal"/>
    <w:link w:val="SubtitleChar"/>
    <w:qFormat/>
    <w:rsid w:val="008B6253"/>
    <w:pPr>
      <w:spacing w:before="120" w:after="60"/>
      <w:jc w:val="center"/>
      <w:outlineLvl w:val="1"/>
    </w:pPr>
    <w:rPr>
      <w:rFonts w:ascii="Cambria" w:eastAsia="Times New Roman" w:hAnsi="Cambria"/>
    </w:rPr>
  </w:style>
  <w:style w:type="character" w:customStyle="1" w:styleId="SubtitleChar">
    <w:name w:val="Subtitle Char"/>
    <w:basedOn w:val="DefaultParagraphFont"/>
    <w:link w:val="Subtitle"/>
    <w:rsid w:val="008B6253"/>
    <w:rPr>
      <w:rFonts w:ascii="Cambria" w:eastAsia="Times New Roman" w:hAnsi="Cambria" w:cs="Times New Roman"/>
      <w:sz w:val="24"/>
      <w:szCs w:val="24"/>
      <w:lang w:val="ro-RO"/>
    </w:rPr>
  </w:style>
  <w:style w:type="paragraph" w:styleId="NormalWeb">
    <w:name w:val="Normal (Web)"/>
    <w:basedOn w:val="Normal"/>
    <w:uiPriority w:val="99"/>
    <w:unhideWhenUsed/>
    <w:rsid w:val="008B6253"/>
    <w:pPr>
      <w:spacing w:before="100" w:beforeAutospacing="1" w:after="100" w:afterAutospacing="1"/>
    </w:pPr>
    <w:rPr>
      <w:rFonts w:eastAsia="Times New Roman"/>
      <w:lang w:eastAsia="en-GB"/>
    </w:rPr>
  </w:style>
  <w:style w:type="paragraph" w:customStyle="1" w:styleId="BVIfnrChar">
    <w:name w:val="BVI fnr Char"/>
    <w:aliases w:val="Appel note de bas de p.;BVI fnr Car Car Car Car, BVI fnr Car Car,BVI fnr Car, BVI fnr Car Car Car Car, BVI fnr Car Car Car Car Char,Appel note de bas de p..BVI fnr Car Car Car Car, BVI fnr Char,Appel note de bas de p."/>
    <w:basedOn w:val="Normal"/>
    <w:link w:val="FootnoteReference"/>
    <w:uiPriority w:val="99"/>
    <w:rsid w:val="008B6253"/>
    <w:pPr>
      <w:spacing w:line="240" w:lineRule="exact"/>
    </w:pPr>
    <w:rPr>
      <w:rFonts w:asciiTheme="minorHAnsi" w:hAnsiTheme="minorHAnsi" w:cstheme="minorBidi"/>
      <w:szCs w:val="22"/>
      <w:vertAlign w:val="superscript"/>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Bullet 1"/>
    <w:basedOn w:val="Normal"/>
    <w:link w:val="ListParagraphChar"/>
    <w:uiPriority w:val="34"/>
    <w:qFormat/>
    <w:rsid w:val="008B6253"/>
    <w:pPr>
      <w:spacing w:line="259" w:lineRule="auto"/>
      <w:ind w:left="720"/>
      <w:contextualSpacing/>
    </w:pPr>
    <w:rPr>
      <w:rFonts w:asciiTheme="minorHAnsi" w:hAnsiTheme="minorHAnsi" w:cstheme="minorBidi"/>
      <w:szCs w:val="22"/>
    </w:rPr>
  </w:style>
  <w:style w:type="character" w:styleId="IntenseReference">
    <w:name w:val="Intense Reference"/>
    <w:basedOn w:val="DefaultParagraphFont"/>
    <w:uiPriority w:val="32"/>
    <w:qFormat/>
    <w:rsid w:val="008B6253"/>
    <w:rPr>
      <w:b/>
      <w:bCs/>
      <w:smallCaps/>
      <w:color w:val="034EA2" w:themeColor="accent1"/>
      <w:spacing w:val="5"/>
    </w:rPr>
  </w:style>
  <w:style w:type="table" w:styleId="GridTable1Light-Accent1">
    <w:name w:val="Grid Table 1 Light Accent 1"/>
    <w:basedOn w:val="TableNormal"/>
    <w:uiPriority w:val="46"/>
    <w:rsid w:val="008B6253"/>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77B6FC" w:themeColor="accent1" w:themeTint="66"/>
        <w:left w:val="single" w:sz="4" w:space="0" w:color="77B6FC" w:themeColor="accent1" w:themeTint="66"/>
        <w:bottom w:val="single" w:sz="4" w:space="0" w:color="77B6FC" w:themeColor="accent1" w:themeTint="66"/>
        <w:right w:val="single" w:sz="4" w:space="0" w:color="77B6FC" w:themeColor="accent1" w:themeTint="66"/>
        <w:insideH w:val="single" w:sz="4" w:space="0" w:color="77B6FC" w:themeColor="accent1" w:themeTint="66"/>
        <w:insideV w:val="single" w:sz="4" w:space="0" w:color="77B6FC" w:themeColor="accent1" w:themeTint="66"/>
      </w:tblBorders>
    </w:tblPr>
    <w:tblStylePr w:type="firstRow">
      <w:rPr>
        <w:b/>
        <w:bCs/>
      </w:rPr>
      <w:tblPr/>
      <w:tcPr>
        <w:tcBorders>
          <w:bottom w:val="single" w:sz="12" w:space="0" w:color="3391FB" w:themeColor="accent1" w:themeTint="99"/>
        </w:tcBorders>
      </w:tcPr>
    </w:tblStylePr>
    <w:tblStylePr w:type="lastRow">
      <w:rPr>
        <w:b/>
        <w:bCs/>
      </w:rPr>
      <w:tblPr/>
      <w:tcPr>
        <w:tcBorders>
          <w:top w:val="double" w:sz="2" w:space="0" w:color="3391F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basedOn w:val="DefaultParagraphFont"/>
    <w:link w:val="ListParagraph"/>
    <w:uiPriority w:val="34"/>
    <w:qFormat/>
    <w:locked/>
    <w:rsid w:val="008B6253"/>
    <w:rPr>
      <w:lang w:val="ro-RO"/>
    </w:rPr>
  </w:style>
  <w:style w:type="table" w:customStyle="1" w:styleId="TableGrid1">
    <w:name w:val="Table Grid1"/>
    <w:basedOn w:val="TableNormal"/>
    <w:next w:val="TableGrid"/>
    <w:uiPriority w:val="39"/>
    <w:rsid w:val="008B6253"/>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B6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8B6253"/>
    <w:rPr>
      <w:color w:val="0000FF"/>
      <w:shd w:val="clear" w:color="auto" w:fill="auto"/>
    </w:rPr>
  </w:style>
  <w:style w:type="paragraph" w:customStyle="1" w:styleId="Pagedecouverture">
    <w:name w:val="Page de couverture"/>
    <w:basedOn w:val="Normal"/>
    <w:next w:val="Normal"/>
    <w:rsid w:val="008B6253"/>
    <w:pPr>
      <w:spacing w:after="0"/>
    </w:pPr>
    <w:rPr>
      <w:szCs w:val="22"/>
    </w:rPr>
  </w:style>
  <w:style w:type="paragraph" w:customStyle="1" w:styleId="FooterSensitivity">
    <w:name w:val="Footer Sensitivity"/>
    <w:basedOn w:val="Normal"/>
    <w:link w:val="FooterSensitivityChar"/>
    <w:rsid w:val="008B6253"/>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TOCHeadingChar"/>
    <w:link w:val="FooterSensitivity"/>
    <w:rsid w:val="008B6253"/>
    <w:rPr>
      <w:rFonts w:ascii="Times New Roman" w:eastAsia="Times New Roman" w:hAnsi="Times New Roman" w:cs="Times New Roman"/>
      <w:b/>
      <w:sz w:val="32"/>
      <w:szCs w:val="24"/>
      <w:lang w:val="ro-RO"/>
    </w:rPr>
  </w:style>
  <w:style w:type="paragraph" w:customStyle="1" w:styleId="HeaderSensitivity">
    <w:name w:val="Header Sensitivity"/>
    <w:basedOn w:val="Normal"/>
    <w:link w:val="HeaderSensitivityChar"/>
    <w:rsid w:val="008B6253"/>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TOCHeadingChar"/>
    <w:link w:val="HeaderSensitivity"/>
    <w:rsid w:val="008B6253"/>
    <w:rPr>
      <w:rFonts w:ascii="Times New Roman" w:eastAsia="Times New Roman" w:hAnsi="Times New Roman" w:cs="Times New Roman"/>
      <w:b/>
      <w:sz w:val="32"/>
      <w:szCs w:val="24"/>
      <w:lang w:val="ro-RO"/>
    </w:rPr>
  </w:style>
  <w:style w:type="paragraph" w:customStyle="1" w:styleId="HeaderSensitivityRight">
    <w:name w:val="Header Sensitivity Right"/>
    <w:basedOn w:val="Normal"/>
    <w:link w:val="HeaderSensitivityRightChar"/>
    <w:rsid w:val="008B6253"/>
    <w:pPr>
      <w:spacing w:after="120"/>
      <w:jc w:val="right"/>
    </w:pPr>
    <w:rPr>
      <w:rFonts w:ascii="Times New Roman" w:hAnsi="Times New Roman"/>
      <w:sz w:val="28"/>
    </w:rPr>
  </w:style>
  <w:style w:type="character" w:customStyle="1" w:styleId="HeaderSensitivityRightChar">
    <w:name w:val="Header Sensitivity Right Char"/>
    <w:basedOn w:val="TOCHeadingChar"/>
    <w:link w:val="HeaderSensitivityRight"/>
    <w:rsid w:val="008B6253"/>
    <w:rPr>
      <w:rFonts w:ascii="Times New Roman" w:eastAsia="Times New Roman" w:hAnsi="Times New Roman" w:cs="Times New Roman"/>
      <w:b w:val="0"/>
      <w:sz w:val="28"/>
      <w:szCs w:val="24"/>
      <w:lang w:val="ro-RO"/>
    </w:rPr>
  </w:style>
  <w:style w:type="table" w:customStyle="1" w:styleId="TableGrid11">
    <w:name w:val="Table Grid11"/>
    <w:basedOn w:val="TableNormal"/>
    <w:next w:val="TableGrid"/>
    <w:uiPriority w:val="39"/>
    <w:rsid w:val="00804E4F"/>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D554AF"/>
    <w:pPr>
      <w:spacing w:after="100"/>
      <w:ind w:left="240"/>
    </w:pPr>
  </w:style>
  <w:style w:type="character" w:styleId="CommentReference">
    <w:name w:val="annotation reference"/>
    <w:basedOn w:val="DefaultParagraphFont"/>
    <w:uiPriority w:val="99"/>
    <w:semiHidden/>
    <w:unhideWhenUsed/>
    <w:rsid w:val="00D56EF0"/>
    <w:rPr>
      <w:sz w:val="16"/>
      <w:szCs w:val="16"/>
    </w:rPr>
  </w:style>
  <w:style w:type="paragraph" w:styleId="CommentText">
    <w:name w:val="annotation text"/>
    <w:basedOn w:val="Normal"/>
    <w:link w:val="CommentTextChar"/>
    <w:uiPriority w:val="99"/>
    <w:unhideWhenUsed/>
    <w:rsid w:val="00D56EF0"/>
    <w:rPr>
      <w:sz w:val="20"/>
      <w:szCs w:val="20"/>
    </w:rPr>
  </w:style>
  <w:style w:type="character" w:customStyle="1" w:styleId="CommentTextChar">
    <w:name w:val="Comment Text Char"/>
    <w:basedOn w:val="DefaultParagraphFont"/>
    <w:link w:val="CommentText"/>
    <w:uiPriority w:val="99"/>
    <w:rsid w:val="00D56EF0"/>
    <w:rPr>
      <w:rFonts w:ascii="Times New Roman" w:hAnsi="Times New Roman" w:cs="Times New Roman"/>
      <w:sz w:val="20"/>
      <w:szCs w:val="20"/>
      <w:lang w:val="ro-RO"/>
    </w:rPr>
  </w:style>
  <w:style w:type="paragraph" w:styleId="BalloonText">
    <w:name w:val="Balloon Text"/>
    <w:basedOn w:val="Normal"/>
    <w:link w:val="BalloonTextChar"/>
    <w:uiPriority w:val="99"/>
    <w:semiHidden/>
    <w:unhideWhenUsed/>
    <w:rsid w:val="00D56EF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EF0"/>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2B7257"/>
    <w:rPr>
      <w:b/>
      <w:bCs/>
    </w:rPr>
  </w:style>
  <w:style w:type="character" w:customStyle="1" w:styleId="CommentSubjectChar">
    <w:name w:val="Comment Subject Char"/>
    <w:basedOn w:val="CommentTextChar"/>
    <w:link w:val="CommentSubject"/>
    <w:uiPriority w:val="99"/>
    <w:semiHidden/>
    <w:rsid w:val="002B7257"/>
    <w:rPr>
      <w:rFonts w:ascii="Times New Roman" w:hAnsi="Times New Roman" w:cs="Times New Roman"/>
      <w:b/>
      <w:bCs/>
      <w:sz w:val="20"/>
      <w:szCs w:val="20"/>
      <w:lang w:val="ro-RO"/>
    </w:rPr>
  </w:style>
  <w:style w:type="paragraph" w:styleId="Revision">
    <w:name w:val="Revision"/>
    <w:hidden/>
    <w:uiPriority w:val="99"/>
    <w:semiHidden/>
    <w:rsid w:val="00E834C5"/>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D275C"/>
    <w:rPr>
      <w:b/>
      <w:bCs/>
    </w:rPr>
  </w:style>
  <w:style w:type="character" w:customStyle="1" w:styleId="Heading2Char">
    <w:name w:val="Heading 2 Char"/>
    <w:basedOn w:val="DefaultParagraphFont"/>
    <w:link w:val="Heading2"/>
    <w:uiPriority w:val="9"/>
    <w:rsid w:val="002703F1"/>
    <w:rPr>
      <w:rFonts w:ascii="EC Square Sans Pro" w:eastAsiaTheme="majorEastAsia" w:hAnsi="EC Square Sans Pro" w:cstheme="majorBidi"/>
      <w:caps/>
      <w:color w:val="70AD47" w:themeColor="accent2"/>
      <w:sz w:val="24"/>
      <w:szCs w:val="26"/>
      <w:lang w:val="ro-RO"/>
    </w:rPr>
  </w:style>
  <w:style w:type="character" w:styleId="FollowedHyperlink">
    <w:name w:val="FollowedHyperlink"/>
    <w:basedOn w:val="DefaultParagraphFont"/>
    <w:uiPriority w:val="99"/>
    <w:semiHidden/>
    <w:unhideWhenUsed/>
    <w:rsid w:val="001C3C2E"/>
    <w:rPr>
      <w:color w:val="954F72" w:themeColor="followedHyperlink"/>
      <w:u w:val="single"/>
    </w:rPr>
  </w:style>
  <w:style w:type="paragraph" w:styleId="PlainText">
    <w:name w:val="Plain Text"/>
    <w:basedOn w:val="Normal"/>
    <w:link w:val="PlainTextChar"/>
    <w:uiPriority w:val="99"/>
    <w:unhideWhenUsed/>
    <w:rsid w:val="00547755"/>
    <w:pPr>
      <w:spacing w:after="0"/>
    </w:pPr>
    <w:rPr>
      <w:rFonts w:ascii="Calibri" w:hAnsi="Calibri" w:cstheme="minorBidi"/>
      <w:szCs w:val="21"/>
    </w:rPr>
  </w:style>
  <w:style w:type="character" w:customStyle="1" w:styleId="PlainTextChar">
    <w:name w:val="Plain Text Char"/>
    <w:basedOn w:val="DefaultParagraphFont"/>
    <w:link w:val="PlainText"/>
    <w:uiPriority w:val="99"/>
    <w:rsid w:val="00547755"/>
    <w:rPr>
      <w:rFonts w:ascii="Calibri" w:hAnsi="Calibri"/>
      <w:szCs w:val="21"/>
      <w:lang w:val="ro-RO"/>
    </w:rPr>
  </w:style>
  <w:style w:type="paragraph" w:customStyle="1" w:styleId="ecl-page-header-standardiseddescription">
    <w:name w:val="ecl-page-header-standardised__description"/>
    <w:basedOn w:val="Normal"/>
    <w:uiPriority w:val="99"/>
    <w:rsid w:val="007A1FE8"/>
    <w:pPr>
      <w:spacing w:before="100" w:beforeAutospacing="1" w:after="100" w:afterAutospacing="1"/>
    </w:pPr>
    <w:rPr>
      <w:rFonts w:eastAsia="Times New Roman"/>
      <w:lang w:eastAsia="en-GB"/>
    </w:rPr>
  </w:style>
  <w:style w:type="character" w:customStyle="1" w:styleId="UnresolvedMention1">
    <w:name w:val="Unresolved Mention1"/>
    <w:basedOn w:val="DefaultParagraphFont"/>
    <w:uiPriority w:val="99"/>
    <w:semiHidden/>
    <w:unhideWhenUsed/>
    <w:rsid w:val="00580C86"/>
    <w:rPr>
      <w:color w:val="605E5C"/>
      <w:shd w:val="clear" w:color="auto" w:fill="E1DFDD"/>
    </w:rPr>
  </w:style>
  <w:style w:type="character" w:customStyle="1" w:styleId="UnresolvedMention">
    <w:name w:val="Unresolved Mention"/>
    <w:basedOn w:val="DefaultParagraphFont"/>
    <w:uiPriority w:val="99"/>
    <w:semiHidden/>
    <w:unhideWhenUsed/>
    <w:rsid w:val="00B7513E"/>
    <w:rPr>
      <w:color w:val="605E5C"/>
      <w:shd w:val="clear" w:color="auto" w:fill="E1DFDD"/>
    </w:rPr>
  </w:style>
  <w:style w:type="table" w:styleId="GridTable4-Accent5">
    <w:name w:val="Grid Table 4 Accent 5"/>
    <w:basedOn w:val="TableNormal"/>
    <w:uiPriority w:val="49"/>
    <w:rsid w:val="00FA602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Text2">
    <w:name w:val="Text 2"/>
    <w:basedOn w:val="Normal"/>
    <w:uiPriority w:val="1"/>
    <w:qFormat/>
    <w:rsid w:val="00471184"/>
    <w:pPr>
      <w:spacing w:after="240"/>
      <w:ind w:left="1077"/>
    </w:pPr>
    <w:rPr>
      <w:rFonts w:ascii="Times New Roman" w:eastAsia="Times New Roman" w:hAnsi="Times New Roman"/>
      <w:sz w:val="24"/>
      <w:szCs w:val="20"/>
      <w:lang w:eastAsia="en-GB"/>
    </w:rPr>
  </w:style>
  <w:style w:type="character" w:customStyle="1" w:styleId="Mention">
    <w:name w:val="Mention"/>
    <w:basedOn w:val="DefaultParagraphFont"/>
    <w:uiPriority w:val="99"/>
    <w:unhideWhenUsed/>
    <w:rsid w:val="005B0CDE"/>
    <w:rPr>
      <w:color w:val="2B579A"/>
      <w:shd w:val="clear" w:color="auto" w:fill="E1DFDD"/>
    </w:rPr>
  </w:style>
  <w:style w:type="paragraph" w:customStyle="1" w:styleId="LegalNumPar">
    <w:name w:val="LegalNumPar"/>
    <w:basedOn w:val="Normal"/>
    <w:rsid w:val="00607C1D"/>
    <w:pPr>
      <w:numPr>
        <w:numId w:val="33"/>
      </w:numPr>
      <w:spacing w:line="360" w:lineRule="auto"/>
    </w:pPr>
    <w:rPr>
      <w:sz w:val="24"/>
    </w:rPr>
  </w:style>
  <w:style w:type="paragraph" w:customStyle="1" w:styleId="LegalNumPar2">
    <w:name w:val="LegalNumPar2"/>
    <w:basedOn w:val="Normal"/>
    <w:rsid w:val="00607C1D"/>
    <w:pPr>
      <w:numPr>
        <w:ilvl w:val="1"/>
        <w:numId w:val="33"/>
      </w:numPr>
      <w:spacing w:line="360" w:lineRule="auto"/>
    </w:pPr>
    <w:rPr>
      <w:sz w:val="24"/>
    </w:rPr>
  </w:style>
  <w:style w:type="paragraph" w:customStyle="1" w:styleId="LegalNumPar3">
    <w:name w:val="LegalNumPar3"/>
    <w:basedOn w:val="Normal"/>
    <w:rsid w:val="00607C1D"/>
    <w:pPr>
      <w:numPr>
        <w:ilvl w:val="2"/>
        <w:numId w:val="33"/>
      </w:numPr>
      <w:spacing w:line="360" w:lineRule="auto"/>
    </w:pPr>
    <w:rPr>
      <w:sz w:val="24"/>
    </w:rPr>
  </w:style>
  <w:style w:type="character" w:customStyle="1" w:styleId="normaltextrun">
    <w:name w:val="normaltextrun"/>
    <w:basedOn w:val="DefaultParagraphFont"/>
    <w:rsid w:val="004C709B"/>
  </w:style>
  <w:style w:type="paragraph" w:customStyle="1" w:styleId="Languesfaisantfoi">
    <w:name w:val="Langues faisant foi"/>
    <w:basedOn w:val="Normal"/>
    <w:next w:val="Normal"/>
    <w:rsid w:val="00D70DA9"/>
    <w:pPr>
      <w:spacing w:before="360" w:after="240"/>
      <w:jc w:val="center"/>
    </w:pPr>
    <w:rPr>
      <w:rFonts w:ascii="Times New Roman" w:hAnsi="Times New Roman"/>
      <w:sz w:val="24"/>
      <w:szCs w:val="22"/>
    </w:rPr>
  </w:style>
  <w:style w:type="paragraph" w:customStyle="1" w:styleId="LanguesfaisantfoiPagedecouverture">
    <w:name w:val="Langues faisant foi (Page de couverture)"/>
    <w:basedOn w:val="Normal"/>
    <w:next w:val="Normal"/>
    <w:rsid w:val="00D70DA9"/>
    <w:pPr>
      <w:spacing w:before="360" w:after="240"/>
      <w:jc w:val="center"/>
    </w:pPr>
    <w:rPr>
      <w:rFonts w:ascii="Times New Roman" w:hAnsi="Times New Roman"/>
      <w:sz w:val="24"/>
      <w:szCs w:val="22"/>
    </w:rPr>
  </w:style>
  <w:style w:type="paragraph" w:customStyle="1" w:styleId="IntrtEEE">
    <w:name w:val="Intérêt EEE"/>
    <w:basedOn w:val="Languesfaisantfoi"/>
    <w:next w:val="Normal"/>
    <w:rsid w:val="00D70DA9"/>
    <w:pPr>
      <w:spacing w:after="0"/>
    </w:pPr>
  </w:style>
  <w:style w:type="paragraph" w:customStyle="1" w:styleId="IntrtEEEPagedecouverture">
    <w:name w:val="Intérêt EEE (Page de couverture)"/>
    <w:basedOn w:val="IntrtEEE"/>
    <w:next w:val="Normal"/>
    <w:rsid w:val="00D70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110">
      <w:bodyDiv w:val="1"/>
      <w:marLeft w:val="0"/>
      <w:marRight w:val="0"/>
      <w:marTop w:val="0"/>
      <w:marBottom w:val="0"/>
      <w:divBdr>
        <w:top w:val="none" w:sz="0" w:space="0" w:color="auto"/>
        <w:left w:val="none" w:sz="0" w:space="0" w:color="auto"/>
        <w:bottom w:val="none" w:sz="0" w:space="0" w:color="auto"/>
        <w:right w:val="none" w:sz="0" w:space="0" w:color="auto"/>
      </w:divBdr>
    </w:div>
    <w:div w:id="13697865">
      <w:bodyDiv w:val="1"/>
      <w:marLeft w:val="0"/>
      <w:marRight w:val="0"/>
      <w:marTop w:val="0"/>
      <w:marBottom w:val="0"/>
      <w:divBdr>
        <w:top w:val="none" w:sz="0" w:space="0" w:color="auto"/>
        <w:left w:val="none" w:sz="0" w:space="0" w:color="auto"/>
        <w:bottom w:val="none" w:sz="0" w:space="0" w:color="auto"/>
        <w:right w:val="none" w:sz="0" w:space="0" w:color="auto"/>
      </w:divBdr>
    </w:div>
    <w:div w:id="32507214">
      <w:bodyDiv w:val="1"/>
      <w:marLeft w:val="0"/>
      <w:marRight w:val="0"/>
      <w:marTop w:val="0"/>
      <w:marBottom w:val="0"/>
      <w:divBdr>
        <w:top w:val="none" w:sz="0" w:space="0" w:color="auto"/>
        <w:left w:val="none" w:sz="0" w:space="0" w:color="auto"/>
        <w:bottom w:val="none" w:sz="0" w:space="0" w:color="auto"/>
        <w:right w:val="none" w:sz="0" w:space="0" w:color="auto"/>
      </w:divBdr>
    </w:div>
    <w:div w:id="34670410">
      <w:bodyDiv w:val="1"/>
      <w:marLeft w:val="0"/>
      <w:marRight w:val="0"/>
      <w:marTop w:val="0"/>
      <w:marBottom w:val="0"/>
      <w:divBdr>
        <w:top w:val="none" w:sz="0" w:space="0" w:color="auto"/>
        <w:left w:val="none" w:sz="0" w:space="0" w:color="auto"/>
        <w:bottom w:val="none" w:sz="0" w:space="0" w:color="auto"/>
        <w:right w:val="none" w:sz="0" w:space="0" w:color="auto"/>
      </w:divBdr>
    </w:div>
    <w:div w:id="68700540">
      <w:bodyDiv w:val="1"/>
      <w:marLeft w:val="0"/>
      <w:marRight w:val="0"/>
      <w:marTop w:val="0"/>
      <w:marBottom w:val="0"/>
      <w:divBdr>
        <w:top w:val="none" w:sz="0" w:space="0" w:color="auto"/>
        <w:left w:val="none" w:sz="0" w:space="0" w:color="auto"/>
        <w:bottom w:val="none" w:sz="0" w:space="0" w:color="auto"/>
        <w:right w:val="none" w:sz="0" w:space="0" w:color="auto"/>
      </w:divBdr>
    </w:div>
    <w:div w:id="73863327">
      <w:bodyDiv w:val="1"/>
      <w:marLeft w:val="0"/>
      <w:marRight w:val="0"/>
      <w:marTop w:val="0"/>
      <w:marBottom w:val="0"/>
      <w:divBdr>
        <w:top w:val="none" w:sz="0" w:space="0" w:color="auto"/>
        <w:left w:val="none" w:sz="0" w:space="0" w:color="auto"/>
        <w:bottom w:val="none" w:sz="0" w:space="0" w:color="auto"/>
        <w:right w:val="none" w:sz="0" w:space="0" w:color="auto"/>
      </w:divBdr>
    </w:div>
    <w:div w:id="81609872">
      <w:bodyDiv w:val="1"/>
      <w:marLeft w:val="0"/>
      <w:marRight w:val="0"/>
      <w:marTop w:val="0"/>
      <w:marBottom w:val="0"/>
      <w:divBdr>
        <w:top w:val="none" w:sz="0" w:space="0" w:color="auto"/>
        <w:left w:val="none" w:sz="0" w:space="0" w:color="auto"/>
        <w:bottom w:val="none" w:sz="0" w:space="0" w:color="auto"/>
        <w:right w:val="none" w:sz="0" w:space="0" w:color="auto"/>
      </w:divBdr>
      <w:divsChild>
        <w:div w:id="1276669232">
          <w:marLeft w:val="0"/>
          <w:marRight w:val="0"/>
          <w:marTop w:val="0"/>
          <w:marBottom w:val="0"/>
          <w:divBdr>
            <w:top w:val="none" w:sz="0" w:space="0" w:color="auto"/>
            <w:left w:val="none" w:sz="0" w:space="0" w:color="auto"/>
            <w:bottom w:val="none" w:sz="0" w:space="0" w:color="auto"/>
            <w:right w:val="none" w:sz="0" w:space="0" w:color="auto"/>
          </w:divBdr>
        </w:div>
      </w:divsChild>
    </w:div>
    <w:div w:id="84570062">
      <w:bodyDiv w:val="1"/>
      <w:marLeft w:val="0"/>
      <w:marRight w:val="0"/>
      <w:marTop w:val="0"/>
      <w:marBottom w:val="0"/>
      <w:divBdr>
        <w:top w:val="none" w:sz="0" w:space="0" w:color="auto"/>
        <w:left w:val="none" w:sz="0" w:space="0" w:color="auto"/>
        <w:bottom w:val="none" w:sz="0" w:space="0" w:color="auto"/>
        <w:right w:val="none" w:sz="0" w:space="0" w:color="auto"/>
      </w:divBdr>
    </w:div>
    <w:div w:id="115149302">
      <w:bodyDiv w:val="1"/>
      <w:marLeft w:val="0"/>
      <w:marRight w:val="0"/>
      <w:marTop w:val="0"/>
      <w:marBottom w:val="0"/>
      <w:divBdr>
        <w:top w:val="none" w:sz="0" w:space="0" w:color="auto"/>
        <w:left w:val="none" w:sz="0" w:space="0" w:color="auto"/>
        <w:bottom w:val="none" w:sz="0" w:space="0" w:color="auto"/>
        <w:right w:val="none" w:sz="0" w:space="0" w:color="auto"/>
      </w:divBdr>
    </w:div>
    <w:div w:id="116071540">
      <w:bodyDiv w:val="1"/>
      <w:marLeft w:val="0"/>
      <w:marRight w:val="0"/>
      <w:marTop w:val="0"/>
      <w:marBottom w:val="0"/>
      <w:divBdr>
        <w:top w:val="none" w:sz="0" w:space="0" w:color="auto"/>
        <w:left w:val="none" w:sz="0" w:space="0" w:color="auto"/>
        <w:bottom w:val="none" w:sz="0" w:space="0" w:color="auto"/>
        <w:right w:val="none" w:sz="0" w:space="0" w:color="auto"/>
      </w:divBdr>
    </w:div>
    <w:div w:id="145781231">
      <w:bodyDiv w:val="1"/>
      <w:marLeft w:val="0"/>
      <w:marRight w:val="0"/>
      <w:marTop w:val="0"/>
      <w:marBottom w:val="0"/>
      <w:divBdr>
        <w:top w:val="none" w:sz="0" w:space="0" w:color="auto"/>
        <w:left w:val="none" w:sz="0" w:space="0" w:color="auto"/>
        <w:bottom w:val="none" w:sz="0" w:space="0" w:color="auto"/>
        <w:right w:val="none" w:sz="0" w:space="0" w:color="auto"/>
      </w:divBdr>
    </w:div>
    <w:div w:id="166022188">
      <w:bodyDiv w:val="1"/>
      <w:marLeft w:val="0"/>
      <w:marRight w:val="0"/>
      <w:marTop w:val="0"/>
      <w:marBottom w:val="0"/>
      <w:divBdr>
        <w:top w:val="none" w:sz="0" w:space="0" w:color="auto"/>
        <w:left w:val="none" w:sz="0" w:space="0" w:color="auto"/>
        <w:bottom w:val="none" w:sz="0" w:space="0" w:color="auto"/>
        <w:right w:val="none" w:sz="0" w:space="0" w:color="auto"/>
      </w:divBdr>
    </w:div>
    <w:div w:id="168252948">
      <w:bodyDiv w:val="1"/>
      <w:marLeft w:val="0"/>
      <w:marRight w:val="0"/>
      <w:marTop w:val="0"/>
      <w:marBottom w:val="0"/>
      <w:divBdr>
        <w:top w:val="none" w:sz="0" w:space="0" w:color="auto"/>
        <w:left w:val="none" w:sz="0" w:space="0" w:color="auto"/>
        <w:bottom w:val="none" w:sz="0" w:space="0" w:color="auto"/>
        <w:right w:val="none" w:sz="0" w:space="0" w:color="auto"/>
      </w:divBdr>
      <w:divsChild>
        <w:div w:id="182017978">
          <w:marLeft w:val="360"/>
          <w:marRight w:val="0"/>
          <w:marTop w:val="0"/>
          <w:marBottom w:val="60"/>
          <w:divBdr>
            <w:top w:val="none" w:sz="0" w:space="0" w:color="auto"/>
            <w:left w:val="none" w:sz="0" w:space="0" w:color="auto"/>
            <w:bottom w:val="none" w:sz="0" w:space="0" w:color="auto"/>
            <w:right w:val="none" w:sz="0" w:space="0" w:color="auto"/>
          </w:divBdr>
        </w:div>
      </w:divsChild>
    </w:div>
    <w:div w:id="169830019">
      <w:bodyDiv w:val="1"/>
      <w:marLeft w:val="0"/>
      <w:marRight w:val="0"/>
      <w:marTop w:val="0"/>
      <w:marBottom w:val="0"/>
      <w:divBdr>
        <w:top w:val="none" w:sz="0" w:space="0" w:color="auto"/>
        <w:left w:val="none" w:sz="0" w:space="0" w:color="auto"/>
        <w:bottom w:val="none" w:sz="0" w:space="0" w:color="auto"/>
        <w:right w:val="none" w:sz="0" w:space="0" w:color="auto"/>
      </w:divBdr>
      <w:divsChild>
        <w:div w:id="1590652496">
          <w:marLeft w:val="360"/>
          <w:marRight w:val="0"/>
          <w:marTop w:val="0"/>
          <w:marBottom w:val="60"/>
          <w:divBdr>
            <w:top w:val="none" w:sz="0" w:space="0" w:color="auto"/>
            <w:left w:val="none" w:sz="0" w:space="0" w:color="auto"/>
            <w:bottom w:val="none" w:sz="0" w:space="0" w:color="auto"/>
            <w:right w:val="none" w:sz="0" w:space="0" w:color="auto"/>
          </w:divBdr>
        </w:div>
      </w:divsChild>
    </w:div>
    <w:div w:id="175195517">
      <w:bodyDiv w:val="1"/>
      <w:marLeft w:val="0"/>
      <w:marRight w:val="0"/>
      <w:marTop w:val="0"/>
      <w:marBottom w:val="0"/>
      <w:divBdr>
        <w:top w:val="none" w:sz="0" w:space="0" w:color="auto"/>
        <w:left w:val="none" w:sz="0" w:space="0" w:color="auto"/>
        <w:bottom w:val="none" w:sz="0" w:space="0" w:color="auto"/>
        <w:right w:val="none" w:sz="0" w:space="0" w:color="auto"/>
      </w:divBdr>
    </w:div>
    <w:div w:id="198444671">
      <w:bodyDiv w:val="1"/>
      <w:marLeft w:val="0"/>
      <w:marRight w:val="0"/>
      <w:marTop w:val="0"/>
      <w:marBottom w:val="0"/>
      <w:divBdr>
        <w:top w:val="none" w:sz="0" w:space="0" w:color="auto"/>
        <w:left w:val="none" w:sz="0" w:space="0" w:color="auto"/>
        <w:bottom w:val="none" w:sz="0" w:space="0" w:color="auto"/>
        <w:right w:val="none" w:sz="0" w:space="0" w:color="auto"/>
      </w:divBdr>
    </w:div>
    <w:div w:id="204485303">
      <w:bodyDiv w:val="1"/>
      <w:marLeft w:val="0"/>
      <w:marRight w:val="0"/>
      <w:marTop w:val="0"/>
      <w:marBottom w:val="0"/>
      <w:divBdr>
        <w:top w:val="none" w:sz="0" w:space="0" w:color="auto"/>
        <w:left w:val="none" w:sz="0" w:space="0" w:color="auto"/>
        <w:bottom w:val="none" w:sz="0" w:space="0" w:color="auto"/>
        <w:right w:val="none" w:sz="0" w:space="0" w:color="auto"/>
      </w:divBdr>
    </w:div>
    <w:div w:id="210462789">
      <w:bodyDiv w:val="1"/>
      <w:marLeft w:val="0"/>
      <w:marRight w:val="0"/>
      <w:marTop w:val="0"/>
      <w:marBottom w:val="0"/>
      <w:divBdr>
        <w:top w:val="none" w:sz="0" w:space="0" w:color="auto"/>
        <w:left w:val="none" w:sz="0" w:space="0" w:color="auto"/>
        <w:bottom w:val="none" w:sz="0" w:space="0" w:color="auto"/>
        <w:right w:val="none" w:sz="0" w:space="0" w:color="auto"/>
      </w:divBdr>
    </w:div>
    <w:div w:id="212233203">
      <w:bodyDiv w:val="1"/>
      <w:marLeft w:val="0"/>
      <w:marRight w:val="0"/>
      <w:marTop w:val="0"/>
      <w:marBottom w:val="0"/>
      <w:divBdr>
        <w:top w:val="none" w:sz="0" w:space="0" w:color="auto"/>
        <w:left w:val="none" w:sz="0" w:space="0" w:color="auto"/>
        <w:bottom w:val="none" w:sz="0" w:space="0" w:color="auto"/>
        <w:right w:val="none" w:sz="0" w:space="0" w:color="auto"/>
      </w:divBdr>
    </w:div>
    <w:div w:id="222757446">
      <w:bodyDiv w:val="1"/>
      <w:marLeft w:val="0"/>
      <w:marRight w:val="0"/>
      <w:marTop w:val="0"/>
      <w:marBottom w:val="0"/>
      <w:divBdr>
        <w:top w:val="none" w:sz="0" w:space="0" w:color="auto"/>
        <w:left w:val="none" w:sz="0" w:space="0" w:color="auto"/>
        <w:bottom w:val="none" w:sz="0" w:space="0" w:color="auto"/>
        <w:right w:val="none" w:sz="0" w:space="0" w:color="auto"/>
      </w:divBdr>
    </w:div>
    <w:div w:id="226034699">
      <w:bodyDiv w:val="1"/>
      <w:marLeft w:val="0"/>
      <w:marRight w:val="0"/>
      <w:marTop w:val="0"/>
      <w:marBottom w:val="0"/>
      <w:divBdr>
        <w:top w:val="none" w:sz="0" w:space="0" w:color="auto"/>
        <w:left w:val="none" w:sz="0" w:space="0" w:color="auto"/>
        <w:bottom w:val="none" w:sz="0" w:space="0" w:color="auto"/>
        <w:right w:val="none" w:sz="0" w:space="0" w:color="auto"/>
      </w:divBdr>
    </w:div>
    <w:div w:id="237985488">
      <w:bodyDiv w:val="1"/>
      <w:marLeft w:val="0"/>
      <w:marRight w:val="0"/>
      <w:marTop w:val="0"/>
      <w:marBottom w:val="0"/>
      <w:divBdr>
        <w:top w:val="none" w:sz="0" w:space="0" w:color="auto"/>
        <w:left w:val="none" w:sz="0" w:space="0" w:color="auto"/>
        <w:bottom w:val="none" w:sz="0" w:space="0" w:color="auto"/>
        <w:right w:val="none" w:sz="0" w:space="0" w:color="auto"/>
      </w:divBdr>
    </w:div>
    <w:div w:id="238760014">
      <w:bodyDiv w:val="1"/>
      <w:marLeft w:val="0"/>
      <w:marRight w:val="0"/>
      <w:marTop w:val="0"/>
      <w:marBottom w:val="0"/>
      <w:divBdr>
        <w:top w:val="none" w:sz="0" w:space="0" w:color="auto"/>
        <w:left w:val="none" w:sz="0" w:space="0" w:color="auto"/>
        <w:bottom w:val="none" w:sz="0" w:space="0" w:color="auto"/>
        <w:right w:val="none" w:sz="0" w:space="0" w:color="auto"/>
      </w:divBdr>
    </w:div>
    <w:div w:id="265578364">
      <w:bodyDiv w:val="1"/>
      <w:marLeft w:val="0"/>
      <w:marRight w:val="0"/>
      <w:marTop w:val="0"/>
      <w:marBottom w:val="0"/>
      <w:divBdr>
        <w:top w:val="none" w:sz="0" w:space="0" w:color="auto"/>
        <w:left w:val="none" w:sz="0" w:space="0" w:color="auto"/>
        <w:bottom w:val="none" w:sz="0" w:space="0" w:color="auto"/>
        <w:right w:val="none" w:sz="0" w:space="0" w:color="auto"/>
      </w:divBdr>
    </w:div>
    <w:div w:id="279189576">
      <w:bodyDiv w:val="1"/>
      <w:marLeft w:val="0"/>
      <w:marRight w:val="0"/>
      <w:marTop w:val="0"/>
      <w:marBottom w:val="0"/>
      <w:divBdr>
        <w:top w:val="none" w:sz="0" w:space="0" w:color="auto"/>
        <w:left w:val="none" w:sz="0" w:space="0" w:color="auto"/>
        <w:bottom w:val="none" w:sz="0" w:space="0" w:color="auto"/>
        <w:right w:val="none" w:sz="0" w:space="0" w:color="auto"/>
      </w:divBdr>
    </w:div>
    <w:div w:id="284119342">
      <w:bodyDiv w:val="1"/>
      <w:marLeft w:val="0"/>
      <w:marRight w:val="0"/>
      <w:marTop w:val="0"/>
      <w:marBottom w:val="0"/>
      <w:divBdr>
        <w:top w:val="none" w:sz="0" w:space="0" w:color="auto"/>
        <w:left w:val="none" w:sz="0" w:space="0" w:color="auto"/>
        <w:bottom w:val="none" w:sz="0" w:space="0" w:color="auto"/>
        <w:right w:val="none" w:sz="0" w:space="0" w:color="auto"/>
      </w:divBdr>
    </w:div>
    <w:div w:id="287590709">
      <w:bodyDiv w:val="1"/>
      <w:marLeft w:val="0"/>
      <w:marRight w:val="0"/>
      <w:marTop w:val="0"/>
      <w:marBottom w:val="0"/>
      <w:divBdr>
        <w:top w:val="none" w:sz="0" w:space="0" w:color="auto"/>
        <w:left w:val="none" w:sz="0" w:space="0" w:color="auto"/>
        <w:bottom w:val="none" w:sz="0" w:space="0" w:color="auto"/>
        <w:right w:val="none" w:sz="0" w:space="0" w:color="auto"/>
      </w:divBdr>
      <w:divsChild>
        <w:div w:id="57674530">
          <w:marLeft w:val="360"/>
          <w:marRight w:val="0"/>
          <w:marTop w:val="0"/>
          <w:marBottom w:val="60"/>
          <w:divBdr>
            <w:top w:val="none" w:sz="0" w:space="0" w:color="auto"/>
            <w:left w:val="none" w:sz="0" w:space="0" w:color="auto"/>
            <w:bottom w:val="none" w:sz="0" w:space="0" w:color="auto"/>
            <w:right w:val="none" w:sz="0" w:space="0" w:color="auto"/>
          </w:divBdr>
        </w:div>
        <w:div w:id="521548672">
          <w:marLeft w:val="360"/>
          <w:marRight w:val="0"/>
          <w:marTop w:val="0"/>
          <w:marBottom w:val="60"/>
          <w:divBdr>
            <w:top w:val="none" w:sz="0" w:space="0" w:color="auto"/>
            <w:left w:val="none" w:sz="0" w:space="0" w:color="auto"/>
            <w:bottom w:val="none" w:sz="0" w:space="0" w:color="auto"/>
            <w:right w:val="none" w:sz="0" w:space="0" w:color="auto"/>
          </w:divBdr>
        </w:div>
      </w:divsChild>
    </w:div>
    <w:div w:id="295723376">
      <w:bodyDiv w:val="1"/>
      <w:marLeft w:val="0"/>
      <w:marRight w:val="0"/>
      <w:marTop w:val="0"/>
      <w:marBottom w:val="0"/>
      <w:divBdr>
        <w:top w:val="none" w:sz="0" w:space="0" w:color="auto"/>
        <w:left w:val="none" w:sz="0" w:space="0" w:color="auto"/>
        <w:bottom w:val="none" w:sz="0" w:space="0" w:color="auto"/>
        <w:right w:val="none" w:sz="0" w:space="0" w:color="auto"/>
      </w:divBdr>
    </w:div>
    <w:div w:id="297810240">
      <w:bodyDiv w:val="1"/>
      <w:marLeft w:val="0"/>
      <w:marRight w:val="0"/>
      <w:marTop w:val="0"/>
      <w:marBottom w:val="0"/>
      <w:divBdr>
        <w:top w:val="none" w:sz="0" w:space="0" w:color="auto"/>
        <w:left w:val="none" w:sz="0" w:space="0" w:color="auto"/>
        <w:bottom w:val="none" w:sz="0" w:space="0" w:color="auto"/>
        <w:right w:val="none" w:sz="0" w:space="0" w:color="auto"/>
      </w:divBdr>
    </w:div>
    <w:div w:id="301546889">
      <w:bodyDiv w:val="1"/>
      <w:marLeft w:val="0"/>
      <w:marRight w:val="0"/>
      <w:marTop w:val="0"/>
      <w:marBottom w:val="0"/>
      <w:divBdr>
        <w:top w:val="none" w:sz="0" w:space="0" w:color="auto"/>
        <w:left w:val="none" w:sz="0" w:space="0" w:color="auto"/>
        <w:bottom w:val="none" w:sz="0" w:space="0" w:color="auto"/>
        <w:right w:val="none" w:sz="0" w:space="0" w:color="auto"/>
      </w:divBdr>
    </w:div>
    <w:div w:id="303391389">
      <w:bodyDiv w:val="1"/>
      <w:marLeft w:val="0"/>
      <w:marRight w:val="0"/>
      <w:marTop w:val="0"/>
      <w:marBottom w:val="0"/>
      <w:divBdr>
        <w:top w:val="none" w:sz="0" w:space="0" w:color="auto"/>
        <w:left w:val="none" w:sz="0" w:space="0" w:color="auto"/>
        <w:bottom w:val="none" w:sz="0" w:space="0" w:color="auto"/>
        <w:right w:val="none" w:sz="0" w:space="0" w:color="auto"/>
      </w:divBdr>
    </w:div>
    <w:div w:id="321785287">
      <w:bodyDiv w:val="1"/>
      <w:marLeft w:val="0"/>
      <w:marRight w:val="0"/>
      <w:marTop w:val="0"/>
      <w:marBottom w:val="0"/>
      <w:divBdr>
        <w:top w:val="none" w:sz="0" w:space="0" w:color="auto"/>
        <w:left w:val="none" w:sz="0" w:space="0" w:color="auto"/>
        <w:bottom w:val="none" w:sz="0" w:space="0" w:color="auto"/>
        <w:right w:val="none" w:sz="0" w:space="0" w:color="auto"/>
      </w:divBdr>
    </w:div>
    <w:div w:id="340161298">
      <w:bodyDiv w:val="1"/>
      <w:marLeft w:val="0"/>
      <w:marRight w:val="0"/>
      <w:marTop w:val="0"/>
      <w:marBottom w:val="0"/>
      <w:divBdr>
        <w:top w:val="none" w:sz="0" w:space="0" w:color="auto"/>
        <w:left w:val="none" w:sz="0" w:space="0" w:color="auto"/>
        <w:bottom w:val="none" w:sz="0" w:space="0" w:color="auto"/>
        <w:right w:val="none" w:sz="0" w:space="0" w:color="auto"/>
      </w:divBdr>
    </w:div>
    <w:div w:id="351421111">
      <w:bodyDiv w:val="1"/>
      <w:marLeft w:val="0"/>
      <w:marRight w:val="0"/>
      <w:marTop w:val="0"/>
      <w:marBottom w:val="0"/>
      <w:divBdr>
        <w:top w:val="none" w:sz="0" w:space="0" w:color="auto"/>
        <w:left w:val="none" w:sz="0" w:space="0" w:color="auto"/>
        <w:bottom w:val="none" w:sz="0" w:space="0" w:color="auto"/>
        <w:right w:val="none" w:sz="0" w:space="0" w:color="auto"/>
      </w:divBdr>
    </w:div>
    <w:div w:id="351611388">
      <w:bodyDiv w:val="1"/>
      <w:marLeft w:val="0"/>
      <w:marRight w:val="0"/>
      <w:marTop w:val="0"/>
      <w:marBottom w:val="0"/>
      <w:divBdr>
        <w:top w:val="none" w:sz="0" w:space="0" w:color="auto"/>
        <w:left w:val="none" w:sz="0" w:space="0" w:color="auto"/>
        <w:bottom w:val="none" w:sz="0" w:space="0" w:color="auto"/>
        <w:right w:val="none" w:sz="0" w:space="0" w:color="auto"/>
      </w:divBdr>
    </w:div>
    <w:div w:id="364604937">
      <w:bodyDiv w:val="1"/>
      <w:marLeft w:val="0"/>
      <w:marRight w:val="0"/>
      <w:marTop w:val="0"/>
      <w:marBottom w:val="0"/>
      <w:divBdr>
        <w:top w:val="none" w:sz="0" w:space="0" w:color="auto"/>
        <w:left w:val="none" w:sz="0" w:space="0" w:color="auto"/>
        <w:bottom w:val="none" w:sz="0" w:space="0" w:color="auto"/>
        <w:right w:val="none" w:sz="0" w:space="0" w:color="auto"/>
      </w:divBdr>
    </w:div>
    <w:div w:id="374737370">
      <w:bodyDiv w:val="1"/>
      <w:marLeft w:val="0"/>
      <w:marRight w:val="0"/>
      <w:marTop w:val="0"/>
      <w:marBottom w:val="0"/>
      <w:divBdr>
        <w:top w:val="none" w:sz="0" w:space="0" w:color="auto"/>
        <w:left w:val="none" w:sz="0" w:space="0" w:color="auto"/>
        <w:bottom w:val="none" w:sz="0" w:space="0" w:color="auto"/>
        <w:right w:val="none" w:sz="0" w:space="0" w:color="auto"/>
      </w:divBdr>
    </w:div>
    <w:div w:id="393508607">
      <w:bodyDiv w:val="1"/>
      <w:marLeft w:val="0"/>
      <w:marRight w:val="0"/>
      <w:marTop w:val="0"/>
      <w:marBottom w:val="0"/>
      <w:divBdr>
        <w:top w:val="none" w:sz="0" w:space="0" w:color="auto"/>
        <w:left w:val="none" w:sz="0" w:space="0" w:color="auto"/>
        <w:bottom w:val="none" w:sz="0" w:space="0" w:color="auto"/>
        <w:right w:val="none" w:sz="0" w:space="0" w:color="auto"/>
      </w:divBdr>
    </w:div>
    <w:div w:id="405684663">
      <w:bodyDiv w:val="1"/>
      <w:marLeft w:val="0"/>
      <w:marRight w:val="0"/>
      <w:marTop w:val="0"/>
      <w:marBottom w:val="0"/>
      <w:divBdr>
        <w:top w:val="none" w:sz="0" w:space="0" w:color="auto"/>
        <w:left w:val="none" w:sz="0" w:space="0" w:color="auto"/>
        <w:bottom w:val="none" w:sz="0" w:space="0" w:color="auto"/>
        <w:right w:val="none" w:sz="0" w:space="0" w:color="auto"/>
      </w:divBdr>
    </w:div>
    <w:div w:id="410080985">
      <w:bodyDiv w:val="1"/>
      <w:marLeft w:val="0"/>
      <w:marRight w:val="0"/>
      <w:marTop w:val="0"/>
      <w:marBottom w:val="0"/>
      <w:divBdr>
        <w:top w:val="none" w:sz="0" w:space="0" w:color="auto"/>
        <w:left w:val="none" w:sz="0" w:space="0" w:color="auto"/>
        <w:bottom w:val="none" w:sz="0" w:space="0" w:color="auto"/>
        <w:right w:val="none" w:sz="0" w:space="0" w:color="auto"/>
      </w:divBdr>
      <w:divsChild>
        <w:div w:id="1007635415">
          <w:marLeft w:val="0"/>
          <w:marRight w:val="0"/>
          <w:marTop w:val="0"/>
          <w:marBottom w:val="0"/>
          <w:divBdr>
            <w:top w:val="none" w:sz="0" w:space="0" w:color="auto"/>
            <w:left w:val="none" w:sz="0" w:space="0" w:color="auto"/>
            <w:bottom w:val="none" w:sz="0" w:space="0" w:color="auto"/>
            <w:right w:val="none" w:sz="0" w:space="0" w:color="auto"/>
          </w:divBdr>
        </w:div>
      </w:divsChild>
    </w:div>
    <w:div w:id="442266534">
      <w:bodyDiv w:val="1"/>
      <w:marLeft w:val="0"/>
      <w:marRight w:val="0"/>
      <w:marTop w:val="0"/>
      <w:marBottom w:val="0"/>
      <w:divBdr>
        <w:top w:val="none" w:sz="0" w:space="0" w:color="auto"/>
        <w:left w:val="none" w:sz="0" w:space="0" w:color="auto"/>
        <w:bottom w:val="none" w:sz="0" w:space="0" w:color="auto"/>
        <w:right w:val="none" w:sz="0" w:space="0" w:color="auto"/>
      </w:divBdr>
    </w:div>
    <w:div w:id="455828605">
      <w:bodyDiv w:val="1"/>
      <w:marLeft w:val="0"/>
      <w:marRight w:val="0"/>
      <w:marTop w:val="0"/>
      <w:marBottom w:val="0"/>
      <w:divBdr>
        <w:top w:val="none" w:sz="0" w:space="0" w:color="auto"/>
        <w:left w:val="none" w:sz="0" w:space="0" w:color="auto"/>
        <w:bottom w:val="none" w:sz="0" w:space="0" w:color="auto"/>
        <w:right w:val="none" w:sz="0" w:space="0" w:color="auto"/>
      </w:divBdr>
    </w:div>
    <w:div w:id="483670406">
      <w:bodyDiv w:val="1"/>
      <w:marLeft w:val="0"/>
      <w:marRight w:val="0"/>
      <w:marTop w:val="0"/>
      <w:marBottom w:val="0"/>
      <w:divBdr>
        <w:top w:val="none" w:sz="0" w:space="0" w:color="auto"/>
        <w:left w:val="none" w:sz="0" w:space="0" w:color="auto"/>
        <w:bottom w:val="none" w:sz="0" w:space="0" w:color="auto"/>
        <w:right w:val="none" w:sz="0" w:space="0" w:color="auto"/>
      </w:divBdr>
    </w:div>
    <w:div w:id="498085854">
      <w:bodyDiv w:val="1"/>
      <w:marLeft w:val="0"/>
      <w:marRight w:val="0"/>
      <w:marTop w:val="0"/>
      <w:marBottom w:val="0"/>
      <w:divBdr>
        <w:top w:val="none" w:sz="0" w:space="0" w:color="auto"/>
        <w:left w:val="none" w:sz="0" w:space="0" w:color="auto"/>
        <w:bottom w:val="none" w:sz="0" w:space="0" w:color="auto"/>
        <w:right w:val="none" w:sz="0" w:space="0" w:color="auto"/>
      </w:divBdr>
    </w:div>
    <w:div w:id="570239873">
      <w:bodyDiv w:val="1"/>
      <w:marLeft w:val="0"/>
      <w:marRight w:val="0"/>
      <w:marTop w:val="0"/>
      <w:marBottom w:val="0"/>
      <w:divBdr>
        <w:top w:val="none" w:sz="0" w:space="0" w:color="auto"/>
        <w:left w:val="none" w:sz="0" w:space="0" w:color="auto"/>
        <w:bottom w:val="none" w:sz="0" w:space="0" w:color="auto"/>
        <w:right w:val="none" w:sz="0" w:space="0" w:color="auto"/>
      </w:divBdr>
    </w:div>
    <w:div w:id="573970309">
      <w:bodyDiv w:val="1"/>
      <w:marLeft w:val="0"/>
      <w:marRight w:val="0"/>
      <w:marTop w:val="0"/>
      <w:marBottom w:val="0"/>
      <w:divBdr>
        <w:top w:val="none" w:sz="0" w:space="0" w:color="auto"/>
        <w:left w:val="none" w:sz="0" w:space="0" w:color="auto"/>
        <w:bottom w:val="none" w:sz="0" w:space="0" w:color="auto"/>
        <w:right w:val="none" w:sz="0" w:space="0" w:color="auto"/>
      </w:divBdr>
    </w:div>
    <w:div w:id="581838311">
      <w:bodyDiv w:val="1"/>
      <w:marLeft w:val="0"/>
      <w:marRight w:val="0"/>
      <w:marTop w:val="0"/>
      <w:marBottom w:val="0"/>
      <w:divBdr>
        <w:top w:val="none" w:sz="0" w:space="0" w:color="auto"/>
        <w:left w:val="none" w:sz="0" w:space="0" w:color="auto"/>
        <w:bottom w:val="none" w:sz="0" w:space="0" w:color="auto"/>
        <w:right w:val="none" w:sz="0" w:space="0" w:color="auto"/>
      </w:divBdr>
    </w:div>
    <w:div w:id="595789768">
      <w:bodyDiv w:val="1"/>
      <w:marLeft w:val="0"/>
      <w:marRight w:val="0"/>
      <w:marTop w:val="0"/>
      <w:marBottom w:val="0"/>
      <w:divBdr>
        <w:top w:val="none" w:sz="0" w:space="0" w:color="auto"/>
        <w:left w:val="none" w:sz="0" w:space="0" w:color="auto"/>
        <w:bottom w:val="none" w:sz="0" w:space="0" w:color="auto"/>
        <w:right w:val="none" w:sz="0" w:space="0" w:color="auto"/>
      </w:divBdr>
    </w:div>
    <w:div w:id="596213421">
      <w:bodyDiv w:val="1"/>
      <w:marLeft w:val="0"/>
      <w:marRight w:val="0"/>
      <w:marTop w:val="0"/>
      <w:marBottom w:val="0"/>
      <w:divBdr>
        <w:top w:val="none" w:sz="0" w:space="0" w:color="auto"/>
        <w:left w:val="none" w:sz="0" w:space="0" w:color="auto"/>
        <w:bottom w:val="none" w:sz="0" w:space="0" w:color="auto"/>
        <w:right w:val="none" w:sz="0" w:space="0" w:color="auto"/>
      </w:divBdr>
    </w:div>
    <w:div w:id="600377750">
      <w:bodyDiv w:val="1"/>
      <w:marLeft w:val="0"/>
      <w:marRight w:val="0"/>
      <w:marTop w:val="0"/>
      <w:marBottom w:val="0"/>
      <w:divBdr>
        <w:top w:val="none" w:sz="0" w:space="0" w:color="auto"/>
        <w:left w:val="none" w:sz="0" w:space="0" w:color="auto"/>
        <w:bottom w:val="none" w:sz="0" w:space="0" w:color="auto"/>
        <w:right w:val="none" w:sz="0" w:space="0" w:color="auto"/>
      </w:divBdr>
    </w:div>
    <w:div w:id="608927152">
      <w:bodyDiv w:val="1"/>
      <w:marLeft w:val="0"/>
      <w:marRight w:val="0"/>
      <w:marTop w:val="0"/>
      <w:marBottom w:val="0"/>
      <w:divBdr>
        <w:top w:val="none" w:sz="0" w:space="0" w:color="auto"/>
        <w:left w:val="none" w:sz="0" w:space="0" w:color="auto"/>
        <w:bottom w:val="none" w:sz="0" w:space="0" w:color="auto"/>
        <w:right w:val="none" w:sz="0" w:space="0" w:color="auto"/>
      </w:divBdr>
    </w:div>
    <w:div w:id="652418492">
      <w:bodyDiv w:val="1"/>
      <w:marLeft w:val="0"/>
      <w:marRight w:val="0"/>
      <w:marTop w:val="0"/>
      <w:marBottom w:val="0"/>
      <w:divBdr>
        <w:top w:val="none" w:sz="0" w:space="0" w:color="auto"/>
        <w:left w:val="none" w:sz="0" w:space="0" w:color="auto"/>
        <w:bottom w:val="none" w:sz="0" w:space="0" w:color="auto"/>
        <w:right w:val="none" w:sz="0" w:space="0" w:color="auto"/>
      </w:divBdr>
    </w:div>
    <w:div w:id="663120349">
      <w:bodyDiv w:val="1"/>
      <w:marLeft w:val="0"/>
      <w:marRight w:val="0"/>
      <w:marTop w:val="0"/>
      <w:marBottom w:val="0"/>
      <w:divBdr>
        <w:top w:val="none" w:sz="0" w:space="0" w:color="auto"/>
        <w:left w:val="none" w:sz="0" w:space="0" w:color="auto"/>
        <w:bottom w:val="none" w:sz="0" w:space="0" w:color="auto"/>
        <w:right w:val="none" w:sz="0" w:space="0" w:color="auto"/>
      </w:divBdr>
    </w:div>
    <w:div w:id="666787323">
      <w:bodyDiv w:val="1"/>
      <w:marLeft w:val="0"/>
      <w:marRight w:val="0"/>
      <w:marTop w:val="0"/>
      <w:marBottom w:val="0"/>
      <w:divBdr>
        <w:top w:val="none" w:sz="0" w:space="0" w:color="auto"/>
        <w:left w:val="none" w:sz="0" w:space="0" w:color="auto"/>
        <w:bottom w:val="none" w:sz="0" w:space="0" w:color="auto"/>
        <w:right w:val="none" w:sz="0" w:space="0" w:color="auto"/>
      </w:divBdr>
    </w:div>
    <w:div w:id="709035680">
      <w:bodyDiv w:val="1"/>
      <w:marLeft w:val="0"/>
      <w:marRight w:val="0"/>
      <w:marTop w:val="0"/>
      <w:marBottom w:val="0"/>
      <w:divBdr>
        <w:top w:val="none" w:sz="0" w:space="0" w:color="auto"/>
        <w:left w:val="none" w:sz="0" w:space="0" w:color="auto"/>
        <w:bottom w:val="none" w:sz="0" w:space="0" w:color="auto"/>
        <w:right w:val="none" w:sz="0" w:space="0" w:color="auto"/>
      </w:divBdr>
    </w:div>
    <w:div w:id="716316372">
      <w:bodyDiv w:val="1"/>
      <w:marLeft w:val="0"/>
      <w:marRight w:val="0"/>
      <w:marTop w:val="0"/>
      <w:marBottom w:val="0"/>
      <w:divBdr>
        <w:top w:val="none" w:sz="0" w:space="0" w:color="auto"/>
        <w:left w:val="none" w:sz="0" w:space="0" w:color="auto"/>
        <w:bottom w:val="none" w:sz="0" w:space="0" w:color="auto"/>
        <w:right w:val="none" w:sz="0" w:space="0" w:color="auto"/>
      </w:divBdr>
    </w:div>
    <w:div w:id="722288728">
      <w:bodyDiv w:val="1"/>
      <w:marLeft w:val="0"/>
      <w:marRight w:val="0"/>
      <w:marTop w:val="0"/>
      <w:marBottom w:val="0"/>
      <w:divBdr>
        <w:top w:val="none" w:sz="0" w:space="0" w:color="auto"/>
        <w:left w:val="none" w:sz="0" w:space="0" w:color="auto"/>
        <w:bottom w:val="none" w:sz="0" w:space="0" w:color="auto"/>
        <w:right w:val="none" w:sz="0" w:space="0" w:color="auto"/>
      </w:divBdr>
    </w:div>
    <w:div w:id="732965235">
      <w:bodyDiv w:val="1"/>
      <w:marLeft w:val="0"/>
      <w:marRight w:val="0"/>
      <w:marTop w:val="0"/>
      <w:marBottom w:val="0"/>
      <w:divBdr>
        <w:top w:val="none" w:sz="0" w:space="0" w:color="auto"/>
        <w:left w:val="none" w:sz="0" w:space="0" w:color="auto"/>
        <w:bottom w:val="none" w:sz="0" w:space="0" w:color="auto"/>
        <w:right w:val="none" w:sz="0" w:space="0" w:color="auto"/>
      </w:divBdr>
      <w:divsChild>
        <w:div w:id="2105297646">
          <w:marLeft w:val="0"/>
          <w:marRight w:val="0"/>
          <w:marTop w:val="0"/>
          <w:marBottom w:val="0"/>
          <w:divBdr>
            <w:top w:val="none" w:sz="0" w:space="0" w:color="auto"/>
            <w:left w:val="none" w:sz="0" w:space="0" w:color="auto"/>
            <w:bottom w:val="none" w:sz="0" w:space="0" w:color="auto"/>
            <w:right w:val="none" w:sz="0" w:space="0" w:color="auto"/>
          </w:divBdr>
        </w:div>
      </w:divsChild>
    </w:div>
    <w:div w:id="774792856">
      <w:bodyDiv w:val="1"/>
      <w:marLeft w:val="0"/>
      <w:marRight w:val="0"/>
      <w:marTop w:val="0"/>
      <w:marBottom w:val="0"/>
      <w:divBdr>
        <w:top w:val="none" w:sz="0" w:space="0" w:color="auto"/>
        <w:left w:val="none" w:sz="0" w:space="0" w:color="auto"/>
        <w:bottom w:val="none" w:sz="0" w:space="0" w:color="auto"/>
        <w:right w:val="none" w:sz="0" w:space="0" w:color="auto"/>
      </w:divBdr>
    </w:div>
    <w:div w:id="779183452">
      <w:bodyDiv w:val="1"/>
      <w:marLeft w:val="0"/>
      <w:marRight w:val="0"/>
      <w:marTop w:val="0"/>
      <w:marBottom w:val="0"/>
      <w:divBdr>
        <w:top w:val="none" w:sz="0" w:space="0" w:color="auto"/>
        <w:left w:val="none" w:sz="0" w:space="0" w:color="auto"/>
        <w:bottom w:val="none" w:sz="0" w:space="0" w:color="auto"/>
        <w:right w:val="none" w:sz="0" w:space="0" w:color="auto"/>
      </w:divBdr>
    </w:div>
    <w:div w:id="827554824">
      <w:bodyDiv w:val="1"/>
      <w:marLeft w:val="0"/>
      <w:marRight w:val="0"/>
      <w:marTop w:val="0"/>
      <w:marBottom w:val="0"/>
      <w:divBdr>
        <w:top w:val="none" w:sz="0" w:space="0" w:color="auto"/>
        <w:left w:val="none" w:sz="0" w:space="0" w:color="auto"/>
        <w:bottom w:val="none" w:sz="0" w:space="0" w:color="auto"/>
        <w:right w:val="none" w:sz="0" w:space="0" w:color="auto"/>
      </w:divBdr>
      <w:divsChild>
        <w:div w:id="171920167">
          <w:marLeft w:val="0"/>
          <w:marRight w:val="0"/>
          <w:marTop w:val="0"/>
          <w:marBottom w:val="0"/>
          <w:divBdr>
            <w:top w:val="none" w:sz="0" w:space="0" w:color="auto"/>
            <w:left w:val="none" w:sz="0" w:space="0" w:color="auto"/>
            <w:bottom w:val="none" w:sz="0" w:space="0" w:color="auto"/>
            <w:right w:val="none" w:sz="0" w:space="0" w:color="auto"/>
          </w:divBdr>
        </w:div>
      </w:divsChild>
    </w:div>
    <w:div w:id="850220207">
      <w:bodyDiv w:val="1"/>
      <w:marLeft w:val="0"/>
      <w:marRight w:val="0"/>
      <w:marTop w:val="0"/>
      <w:marBottom w:val="0"/>
      <w:divBdr>
        <w:top w:val="none" w:sz="0" w:space="0" w:color="auto"/>
        <w:left w:val="none" w:sz="0" w:space="0" w:color="auto"/>
        <w:bottom w:val="none" w:sz="0" w:space="0" w:color="auto"/>
        <w:right w:val="none" w:sz="0" w:space="0" w:color="auto"/>
      </w:divBdr>
    </w:div>
    <w:div w:id="867186108">
      <w:bodyDiv w:val="1"/>
      <w:marLeft w:val="0"/>
      <w:marRight w:val="0"/>
      <w:marTop w:val="0"/>
      <w:marBottom w:val="0"/>
      <w:divBdr>
        <w:top w:val="none" w:sz="0" w:space="0" w:color="auto"/>
        <w:left w:val="none" w:sz="0" w:space="0" w:color="auto"/>
        <w:bottom w:val="none" w:sz="0" w:space="0" w:color="auto"/>
        <w:right w:val="none" w:sz="0" w:space="0" w:color="auto"/>
      </w:divBdr>
    </w:div>
    <w:div w:id="875892528">
      <w:bodyDiv w:val="1"/>
      <w:marLeft w:val="0"/>
      <w:marRight w:val="0"/>
      <w:marTop w:val="0"/>
      <w:marBottom w:val="0"/>
      <w:divBdr>
        <w:top w:val="none" w:sz="0" w:space="0" w:color="auto"/>
        <w:left w:val="none" w:sz="0" w:space="0" w:color="auto"/>
        <w:bottom w:val="none" w:sz="0" w:space="0" w:color="auto"/>
        <w:right w:val="none" w:sz="0" w:space="0" w:color="auto"/>
      </w:divBdr>
    </w:div>
    <w:div w:id="946889916">
      <w:bodyDiv w:val="1"/>
      <w:marLeft w:val="0"/>
      <w:marRight w:val="0"/>
      <w:marTop w:val="0"/>
      <w:marBottom w:val="0"/>
      <w:divBdr>
        <w:top w:val="none" w:sz="0" w:space="0" w:color="auto"/>
        <w:left w:val="none" w:sz="0" w:space="0" w:color="auto"/>
        <w:bottom w:val="none" w:sz="0" w:space="0" w:color="auto"/>
        <w:right w:val="none" w:sz="0" w:space="0" w:color="auto"/>
      </w:divBdr>
    </w:div>
    <w:div w:id="970861799">
      <w:bodyDiv w:val="1"/>
      <w:marLeft w:val="0"/>
      <w:marRight w:val="0"/>
      <w:marTop w:val="0"/>
      <w:marBottom w:val="0"/>
      <w:divBdr>
        <w:top w:val="none" w:sz="0" w:space="0" w:color="auto"/>
        <w:left w:val="none" w:sz="0" w:space="0" w:color="auto"/>
        <w:bottom w:val="none" w:sz="0" w:space="0" w:color="auto"/>
        <w:right w:val="none" w:sz="0" w:space="0" w:color="auto"/>
      </w:divBdr>
      <w:divsChild>
        <w:div w:id="1946419365">
          <w:marLeft w:val="0"/>
          <w:marRight w:val="0"/>
          <w:marTop w:val="0"/>
          <w:marBottom w:val="0"/>
          <w:divBdr>
            <w:top w:val="none" w:sz="0" w:space="0" w:color="auto"/>
            <w:left w:val="none" w:sz="0" w:space="0" w:color="auto"/>
            <w:bottom w:val="none" w:sz="0" w:space="0" w:color="auto"/>
            <w:right w:val="none" w:sz="0" w:space="0" w:color="auto"/>
          </w:divBdr>
        </w:div>
      </w:divsChild>
    </w:div>
    <w:div w:id="998536824">
      <w:bodyDiv w:val="1"/>
      <w:marLeft w:val="0"/>
      <w:marRight w:val="0"/>
      <w:marTop w:val="0"/>
      <w:marBottom w:val="0"/>
      <w:divBdr>
        <w:top w:val="none" w:sz="0" w:space="0" w:color="auto"/>
        <w:left w:val="none" w:sz="0" w:space="0" w:color="auto"/>
        <w:bottom w:val="none" w:sz="0" w:space="0" w:color="auto"/>
        <w:right w:val="none" w:sz="0" w:space="0" w:color="auto"/>
      </w:divBdr>
    </w:div>
    <w:div w:id="1010527088">
      <w:bodyDiv w:val="1"/>
      <w:marLeft w:val="0"/>
      <w:marRight w:val="0"/>
      <w:marTop w:val="0"/>
      <w:marBottom w:val="0"/>
      <w:divBdr>
        <w:top w:val="none" w:sz="0" w:space="0" w:color="auto"/>
        <w:left w:val="none" w:sz="0" w:space="0" w:color="auto"/>
        <w:bottom w:val="none" w:sz="0" w:space="0" w:color="auto"/>
        <w:right w:val="none" w:sz="0" w:space="0" w:color="auto"/>
      </w:divBdr>
    </w:div>
    <w:div w:id="1012679696">
      <w:bodyDiv w:val="1"/>
      <w:marLeft w:val="0"/>
      <w:marRight w:val="0"/>
      <w:marTop w:val="0"/>
      <w:marBottom w:val="0"/>
      <w:divBdr>
        <w:top w:val="none" w:sz="0" w:space="0" w:color="auto"/>
        <w:left w:val="none" w:sz="0" w:space="0" w:color="auto"/>
        <w:bottom w:val="none" w:sz="0" w:space="0" w:color="auto"/>
        <w:right w:val="none" w:sz="0" w:space="0" w:color="auto"/>
      </w:divBdr>
    </w:div>
    <w:div w:id="1035279328">
      <w:bodyDiv w:val="1"/>
      <w:marLeft w:val="0"/>
      <w:marRight w:val="0"/>
      <w:marTop w:val="0"/>
      <w:marBottom w:val="0"/>
      <w:divBdr>
        <w:top w:val="none" w:sz="0" w:space="0" w:color="auto"/>
        <w:left w:val="none" w:sz="0" w:space="0" w:color="auto"/>
        <w:bottom w:val="none" w:sz="0" w:space="0" w:color="auto"/>
        <w:right w:val="none" w:sz="0" w:space="0" w:color="auto"/>
      </w:divBdr>
    </w:div>
    <w:div w:id="1045788780">
      <w:bodyDiv w:val="1"/>
      <w:marLeft w:val="0"/>
      <w:marRight w:val="0"/>
      <w:marTop w:val="0"/>
      <w:marBottom w:val="0"/>
      <w:divBdr>
        <w:top w:val="none" w:sz="0" w:space="0" w:color="auto"/>
        <w:left w:val="none" w:sz="0" w:space="0" w:color="auto"/>
        <w:bottom w:val="none" w:sz="0" w:space="0" w:color="auto"/>
        <w:right w:val="none" w:sz="0" w:space="0" w:color="auto"/>
      </w:divBdr>
    </w:div>
    <w:div w:id="1050033651">
      <w:bodyDiv w:val="1"/>
      <w:marLeft w:val="0"/>
      <w:marRight w:val="0"/>
      <w:marTop w:val="0"/>
      <w:marBottom w:val="0"/>
      <w:divBdr>
        <w:top w:val="none" w:sz="0" w:space="0" w:color="auto"/>
        <w:left w:val="none" w:sz="0" w:space="0" w:color="auto"/>
        <w:bottom w:val="none" w:sz="0" w:space="0" w:color="auto"/>
        <w:right w:val="none" w:sz="0" w:space="0" w:color="auto"/>
      </w:divBdr>
    </w:div>
    <w:div w:id="1064334944">
      <w:bodyDiv w:val="1"/>
      <w:marLeft w:val="0"/>
      <w:marRight w:val="0"/>
      <w:marTop w:val="0"/>
      <w:marBottom w:val="0"/>
      <w:divBdr>
        <w:top w:val="none" w:sz="0" w:space="0" w:color="auto"/>
        <w:left w:val="none" w:sz="0" w:space="0" w:color="auto"/>
        <w:bottom w:val="none" w:sz="0" w:space="0" w:color="auto"/>
        <w:right w:val="none" w:sz="0" w:space="0" w:color="auto"/>
      </w:divBdr>
    </w:div>
    <w:div w:id="1068455626">
      <w:bodyDiv w:val="1"/>
      <w:marLeft w:val="0"/>
      <w:marRight w:val="0"/>
      <w:marTop w:val="0"/>
      <w:marBottom w:val="0"/>
      <w:divBdr>
        <w:top w:val="none" w:sz="0" w:space="0" w:color="auto"/>
        <w:left w:val="none" w:sz="0" w:space="0" w:color="auto"/>
        <w:bottom w:val="none" w:sz="0" w:space="0" w:color="auto"/>
        <w:right w:val="none" w:sz="0" w:space="0" w:color="auto"/>
      </w:divBdr>
    </w:div>
    <w:div w:id="1113551852">
      <w:bodyDiv w:val="1"/>
      <w:marLeft w:val="0"/>
      <w:marRight w:val="0"/>
      <w:marTop w:val="0"/>
      <w:marBottom w:val="0"/>
      <w:divBdr>
        <w:top w:val="none" w:sz="0" w:space="0" w:color="auto"/>
        <w:left w:val="none" w:sz="0" w:space="0" w:color="auto"/>
        <w:bottom w:val="none" w:sz="0" w:space="0" w:color="auto"/>
        <w:right w:val="none" w:sz="0" w:space="0" w:color="auto"/>
      </w:divBdr>
    </w:div>
    <w:div w:id="1124225897">
      <w:bodyDiv w:val="1"/>
      <w:marLeft w:val="0"/>
      <w:marRight w:val="0"/>
      <w:marTop w:val="0"/>
      <w:marBottom w:val="0"/>
      <w:divBdr>
        <w:top w:val="none" w:sz="0" w:space="0" w:color="auto"/>
        <w:left w:val="none" w:sz="0" w:space="0" w:color="auto"/>
        <w:bottom w:val="none" w:sz="0" w:space="0" w:color="auto"/>
        <w:right w:val="none" w:sz="0" w:space="0" w:color="auto"/>
      </w:divBdr>
    </w:div>
    <w:div w:id="1126892997">
      <w:bodyDiv w:val="1"/>
      <w:marLeft w:val="0"/>
      <w:marRight w:val="0"/>
      <w:marTop w:val="0"/>
      <w:marBottom w:val="0"/>
      <w:divBdr>
        <w:top w:val="none" w:sz="0" w:space="0" w:color="auto"/>
        <w:left w:val="none" w:sz="0" w:space="0" w:color="auto"/>
        <w:bottom w:val="none" w:sz="0" w:space="0" w:color="auto"/>
        <w:right w:val="none" w:sz="0" w:space="0" w:color="auto"/>
      </w:divBdr>
    </w:div>
    <w:div w:id="1129395399">
      <w:bodyDiv w:val="1"/>
      <w:marLeft w:val="0"/>
      <w:marRight w:val="0"/>
      <w:marTop w:val="0"/>
      <w:marBottom w:val="0"/>
      <w:divBdr>
        <w:top w:val="none" w:sz="0" w:space="0" w:color="auto"/>
        <w:left w:val="none" w:sz="0" w:space="0" w:color="auto"/>
        <w:bottom w:val="none" w:sz="0" w:space="0" w:color="auto"/>
        <w:right w:val="none" w:sz="0" w:space="0" w:color="auto"/>
      </w:divBdr>
    </w:div>
    <w:div w:id="1149324920">
      <w:bodyDiv w:val="1"/>
      <w:marLeft w:val="0"/>
      <w:marRight w:val="0"/>
      <w:marTop w:val="0"/>
      <w:marBottom w:val="0"/>
      <w:divBdr>
        <w:top w:val="none" w:sz="0" w:space="0" w:color="auto"/>
        <w:left w:val="none" w:sz="0" w:space="0" w:color="auto"/>
        <w:bottom w:val="none" w:sz="0" w:space="0" w:color="auto"/>
        <w:right w:val="none" w:sz="0" w:space="0" w:color="auto"/>
      </w:divBdr>
    </w:div>
    <w:div w:id="1156337307">
      <w:bodyDiv w:val="1"/>
      <w:marLeft w:val="0"/>
      <w:marRight w:val="0"/>
      <w:marTop w:val="0"/>
      <w:marBottom w:val="0"/>
      <w:divBdr>
        <w:top w:val="none" w:sz="0" w:space="0" w:color="auto"/>
        <w:left w:val="none" w:sz="0" w:space="0" w:color="auto"/>
        <w:bottom w:val="none" w:sz="0" w:space="0" w:color="auto"/>
        <w:right w:val="none" w:sz="0" w:space="0" w:color="auto"/>
      </w:divBdr>
    </w:div>
    <w:div w:id="1175723372">
      <w:bodyDiv w:val="1"/>
      <w:marLeft w:val="0"/>
      <w:marRight w:val="0"/>
      <w:marTop w:val="0"/>
      <w:marBottom w:val="0"/>
      <w:divBdr>
        <w:top w:val="none" w:sz="0" w:space="0" w:color="auto"/>
        <w:left w:val="none" w:sz="0" w:space="0" w:color="auto"/>
        <w:bottom w:val="none" w:sz="0" w:space="0" w:color="auto"/>
        <w:right w:val="none" w:sz="0" w:space="0" w:color="auto"/>
      </w:divBdr>
    </w:div>
    <w:div w:id="1209758364">
      <w:bodyDiv w:val="1"/>
      <w:marLeft w:val="0"/>
      <w:marRight w:val="0"/>
      <w:marTop w:val="0"/>
      <w:marBottom w:val="0"/>
      <w:divBdr>
        <w:top w:val="none" w:sz="0" w:space="0" w:color="auto"/>
        <w:left w:val="none" w:sz="0" w:space="0" w:color="auto"/>
        <w:bottom w:val="none" w:sz="0" w:space="0" w:color="auto"/>
        <w:right w:val="none" w:sz="0" w:space="0" w:color="auto"/>
      </w:divBdr>
    </w:div>
    <w:div w:id="1211502105">
      <w:bodyDiv w:val="1"/>
      <w:marLeft w:val="0"/>
      <w:marRight w:val="0"/>
      <w:marTop w:val="0"/>
      <w:marBottom w:val="0"/>
      <w:divBdr>
        <w:top w:val="none" w:sz="0" w:space="0" w:color="auto"/>
        <w:left w:val="none" w:sz="0" w:space="0" w:color="auto"/>
        <w:bottom w:val="none" w:sz="0" w:space="0" w:color="auto"/>
        <w:right w:val="none" w:sz="0" w:space="0" w:color="auto"/>
      </w:divBdr>
    </w:div>
    <w:div w:id="1228145319">
      <w:bodyDiv w:val="1"/>
      <w:marLeft w:val="0"/>
      <w:marRight w:val="0"/>
      <w:marTop w:val="0"/>
      <w:marBottom w:val="0"/>
      <w:divBdr>
        <w:top w:val="none" w:sz="0" w:space="0" w:color="auto"/>
        <w:left w:val="none" w:sz="0" w:space="0" w:color="auto"/>
        <w:bottom w:val="none" w:sz="0" w:space="0" w:color="auto"/>
        <w:right w:val="none" w:sz="0" w:space="0" w:color="auto"/>
      </w:divBdr>
    </w:div>
    <w:div w:id="1262833838">
      <w:bodyDiv w:val="1"/>
      <w:marLeft w:val="0"/>
      <w:marRight w:val="0"/>
      <w:marTop w:val="0"/>
      <w:marBottom w:val="0"/>
      <w:divBdr>
        <w:top w:val="none" w:sz="0" w:space="0" w:color="auto"/>
        <w:left w:val="none" w:sz="0" w:space="0" w:color="auto"/>
        <w:bottom w:val="none" w:sz="0" w:space="0" w:color="auto"/>
        <w:right w:val="none" w:sz="0" w:space="0" w:color="auto"/>
      </w:divBdr>
    </w:div>
    <w:div w:id="1281301926">
      <w:bodyDiv w:val="1"/>
      <w:marLeft w:val="0"/>
      <w:marRight w:val="0"/>
      <w:marTop w:val="0"/>
      <w:marBottom w:val="0"/>
      <w:divBdr>
        <w:top w:val="none" w:sz="0" w:space="0" w:color="auto"/>
        <w:left w:val="none" w:sz="0" w:space="0" w:color="auto"/>
        <w:bottom w:val="none" w:sz="0" w:space="0" w:color="auto"/>
        <w:right w:val="none" w:sz="0" w:space="0" w:color="auto"/>
      </w:divBdr>
    </w:div>
    <w:div w:id="1287276350">
      <w:bodyDiv w:val="1"/>
      <w:marLeft w:val="0"/>
      <w:marRight w:val="0"/>
      <w:marTop w:val="0"/>
      <w:marBottom w:val="0"/>
      <w:divBdr>
        <w:top w:val="none" w:sz="0" w:space="0" w:color="auto"/>
        <w:left w:val="none" w:sz="0" w:space="0" w:color="auto"/>
        <w:bottom w:val="none" w:sz="0" w:space="0" w:color="auto"/>
        <w:right w:val="none" w:sz="0" w:space="0" w:color="auto"/>
      </w:divBdr>
    </w:div>
    <w:div w:id="1288047237">
      <w:bodyDiv w:val="1"/>
      <w:marLeft w:val="0"/>
      <w:marRight w:val="0"/>
      <w:marTop w:val="0"/>
      <w:marBottom w:val="0"/>
      <w:divBdr>
        <w:top w:val="none" w:sz="0" w:space="0" w:color="auto"/>
        <w:left w:val="none" w:sz="0" w:space="0" w:color="auto"/>
        <w:bottom w:val="none" w:sz="0" w:space="0" w:color="auto"/>
        <w:right w:val="none" w:sz="0" w:space="0" w:color="auto"/>
      </w:divBdr>
      <w:divsChild>
        <w:div w:id="111679979">
          <w:marLeft w:val="0"/>
          <w:marRight w:val="0"/>
          <w:marTop w:val="0"/>
          <w:marBottom w:val="0"/>
          <w:divBdr>
            <w:top w:val="none" w:sz="0" w:space="0" w:color="auto"/>
            <w:left w:val="none" w:sz="0" w:space="0" w:color="auto"/>
            <w:bottom w:val="none" w:sz="0" w:space="0" w:color="auto"/>
            <w:right w:val="none" w:sz="0" w:space="0" w:color="auto"/>
          </w:divBdr>
        </w:div>
      </w:divsChild>
    </w:div>
    <w:div w:id="1288388856">
      <w:bodyDiv w:val="1"/>
      <w:marLeft w:val="0"/>
      <w:marRight w:val="0"/>
      <w:marTop w:val="0"/>
      <w:marBottom w:val="0"/>
      <w:divBdr>
        <w:top w:val="none" w:sz="0" w:space="0" w:color="auto"/>
        <w:left w:val="none" w:sz="0" w:space="0" w:color="auto"/>
        <w:bottom w:val="none" w:sz="0" w:space="0" w:color="auto"/>
        <w:right w:val="none" w:sz="0" w:space="0" w:color="auto"/>
      </w:divBdr>
    </w:div>
    <w:div w:id="1290404034">
      <w:bodyDiv w:val="1"/>
      <w:marLeft w:val="0"/>
      <w:marRight w:val="0"/>
      <w:marTop w:val="0"/>
      <w:marBottom w:val="0"/>
      <w:divBdr>
        <w:top w:val="none" w:sz="0" w:space="0" w:color="auto"/>
        <w:left w:val="none" w:sz="0" w:space="0" w:color="auto"/>
        <w:bottom w:val="none" w:sz="0" w:space="0" w:color="auto"/>
        <w:right w:val="none" w:sz="0" w:space="0" w:color="auto"/>
      </w:divBdr>
    </w:div>
    <w:div w:id="1315720598">
      <w:bodyDiv w:val="1"/>
      <w:marLeft w:val="0"/>
      <w:marRight w:val="0"/>
      <w:marTop w:val="0"/>
      <w:marBottom w:val="0"/>
      <w:divBdr>
        <w:top w:val="none" w:sz="0" w:space="0" w:color="auto"/>
        <w:left w:val="none" w:sz="0" w:space="0" w:color="auto"/>
        <w:bottom w:val="none" w:sz="0" w:space="0" w:color="auto"/>
        <w:right w:val="none" w:sz="0" w:space="0" w:color="auto"/>
      </w:divBdr>
    </w:div>
    <w:div w:id="1318191764">
      <w:bodyDiv w:val="1"/>
      <w:marLeft w:val="0"/>
      <w:marRight w:val="0"/>
      <w:marTop w:val="0"/>
      <w:marBottom w:val="0"/>
      <w:divBdr>
        <w:top w:val="none" w:sz="0" w:space="0" w:color="auto"/>
        <w:left w:val="none" w:sz="0" w:space="0" w:color="auto"/>
        <w:bottom w:val="none" w:sz="0" w:space="0" w:color="auto"/>
        <w:right w:val="none" w:sz="0" w:space="0" w:color="auto"/>
      </w:divBdr>
    </w:div>
    <w:div w:id="1355766291">
      <w:bodyDiv w:val="1"/>
      <w:marLeft w:val="0"/>
      <w:marRight w:val="0"/>
      <w:marTop w:val="0"/>
      <w:marBottom w:val="0"/>
      <w:divBdr>
        <w:top w:val="none" w:sz="0" w:space="0" w:color="auto"/>
        <w:left w:val="none" w:sz="0" w:space="0" w:color="auto"/>
        <w:bottom w:val="none" w:sz="0" w:space="0" w:color="auto"/>
        <w:right w:val="none" w:sz="0" w:space="0" w:color="auto"/>
      </w:divBdr>
    </w:div>
    <w:div w:id="1355961662">
      <w:bodyDiv w:val="1"/>
      <w:marLeft w:val="0"/>
      <w:marRight w:val="0"/>
      <w:marTop w:val="0"/>
      <w:marBottom w:val="0"/>
      <w:divBdr>
        <w:top w:val="none" w:sz="0" w:space="0" w:color="auto"/>
        <w:left w:val="none" w:sz="0" w:space="0" w:color="auto"/>
        <w:bottom w:val="none" w:sz="0" w:space="0" w:color="auto"/>
        <w:right w:val="none" w:sz="0" w:space="0" w:color="auto"/>
      </w:divBdr>
    </w:div>
    <w:div w:id="1362822168">
      <w:bodyDiv w:val="1"/>
      <w:marLeft w:val="0"/>
      <w:marRight w:val="0"/>
      <w:marTop w:val="0"/>
      <w:marBottom w:val="0"/>
      <w:divBdr>
        <w:top w:val="none" w:sz="0" w:space="0" w:color="auto"/>
        <w:left w:val="none" w:sz="0" w:space="0" w:color="auto"/>
        <w:bottom w:val="none" w:sz="0" w:space="0" w:color="auto"/>
        <w:right w:val="none" w:sz="0" w:space="0" w:color="auto"/>
      </w:divBdr>
    </w:div>
    <w:div w:id="1388214577">
      <w:bodyDiv w:val="1"/>
      <w:marLeft w:val="0"/>
      <w:marRight w:val="0"/>
      <w:marTop w:val="0"/>
      <w:marBottom w:val="0"/>
      <w:divBdr>
        <w:top w:val="none" w:sz="0" w:space="0" w:color="auto"/>
        <w:left w:val="none" w:sz="0" w:space="0" w:color="auto"/>
        <w:bottom w:val="none" w:sz="0" w:space="0" w:color="auto"/>
        <w:right w:val="none" w:sz="0" w:space="0" w:color="auto"/>
      </w:divBdr>
      <w:divsChild>
        <w:div w:id="859125399">
          <w:marLeft w:val="0"/>
          <w:marRight w:val="0"/>
          <w:marTop w:val="0"/>
          <w:marBottom w:val="0"/>
          <w:divBdr>
            <w:top w:val="none" w:sz="0" w:space="0" w:color="auto"/>
            <w:left w:val="none" w:sz="0" w:space="0" w:color="auto"/>
            <w:bottom w:val="none" w:sz="0" w:space="0" w:color="auto"/>
            <w:right w:val="none" w:sz="0" w:space="0" w:color="auto"/>
          </w:divBdr>
        </w:div>
      </w:divsChild>
    </w:div>
    <w:div w:id="1394163210">
      <w:bodyDiv w:val="1"/>
      <w:marLeft w:val="0"/>
      <w:marRight w:val="0"/>
      <w:marTop w:val="0"/>
      <w:marBottom w:val="0"/>
      <w:divBdr>
        <w:top w:val="none" w:sz="0" w:space="0" w:color="auto"/>
        <w:left w:val="none" w:sz="0" w:space="0" w:color="auto"/>
        <w:bottom w:val="none" w:sz="0" w:space="0" w:color="auto"/>
        <w:right w:val="none" w:sz="0" w:space="0" w:color="auto"/>
      </w:divBdr>
    </w:div>
    <w:div w:id="1411392940">
      <w:bodyDiv w:val="1"/>
      <w:marLeft w:val="0"/>
      <w:marRight w:val="0"/>
      <w:marTop w:val="0"/>
      <w:marBottom w:val="0"/>
      <w:divBdr>
        <w:top w:val="none" w:sz="0" w:space="0" w:color="auto"/>
        <w:left w:val="none" w:sz="0" w:space="0" w:color="auto"/>
        <w:bottom w:val="none" w:sz="0" w:space="0" w:color="auto"/>
        <w:right w:val="none" w:sz="0" w:space="0" w:color="auto"/>
      </w:divBdr>
    </w:div>
    <w:div w:id="1417903898">
      <w:bodyDiv w:val="1"/>
      <w:marLeft w:val="0"/>
      <w:marRight w:val="0"/>
      <w:marTop w:val="0"/>
      <w:marBottom w:val="0"/>
      <w:divBdr>
        <w:top w:val="none" w:sz="0" w:space="0" w:color="auto"/>
        <w:left w:val="none" w:sz="0" w:space="0" w:color="auto"/>
        <w:bottom w:val="none" w:sz="0" w:space="0" w:color="auto"/>
        <w:right w:val="none" w:sz="0" w:space="0" w:color="auto"/>
      </w:divBdr>
    </w:div>
    <w:div w:id="1450775992">
      <w:bodyDiv w:val="1"/>
      <w:marLeft w:val="0"/>
      <w:marRight w:val="0"/>
      <w:marTop w:val="0"/>
      <w:marBottom w:val="0"/>
      <w:divBdr>
        <w:top w:val="none" w:sz="0" w:space="0" w:color="auto"/>
        <w:left w:val="none" w:sz="0" w:space="0" w:color="auto"/>
        <w:bottom w:val="none" w:sz="0" w:space="0" w:color="auto"/>
        <w:right w:val="none" w:sz="0" w:space="0" w:color="auto"/>
      </w:divBdr>
    </w:div>
    <w:div w:id="1474521589">
      <w:bodyDiv w:val="1"/>
      <w:marLeft w:val="0"/>
      <w:marRight w:val="0"/>
      <w:marTop w:val="0"/>
      <w:marBottom w:val="0"/>
      <w:divBdr>
        <w:top w:val="none" w:sz="0" w:space="0" w:color="auto"/>
        <w:left w:val="none" w:sz="0" w:space="0" w:color="auto"/>
        <w:bottom w:val="none" w:sz="0" w:space="0" w:color="auto"/>
        <w:right w:val="none" w:sz="0" w:space="0" w:color="auto"/>
      </w:divBdr>
    </w:div>
    <w:div w:id="1474709656">
      <w:bodyDiv w:val="1"/>
      <w:marLeft w:val="0"/>
      <w:marRight w:val="0"/>
      <w:marTop w:val="0"/>
      <w:marBottom w:val="0"/>
      <w:divBdr>
        <w:top w:val="none" w:sz="0" w:space="0" w:color="auto"/>
        <w:left w:val="none" w:sz="0" w:space="0" w:color="auto"/>
        <w:bottom w:val="none" w:sz="0" w:space="0" w:color="auto"/>
        <w:right w:val="none" w:sz="0" w:space="0" w:color="auto"/>
      </w:divBdr>
    </w:div>
    <w:div w:id="1480880977">
      <w:bodyDiv w:val="1"/>
      <w:marLeft w:val="0"/>
      <w:marRight w:val="0"/>
      <w:marTop w:val="0"/>
      <w:marBottom w:val="0"/>
      <w:divBdr>
        <w:top w:val="none" w:sz="0" w:space="0" w:color="auto"/>
        <w:left w:val="none" w:sz="0" w:space="0" w:color="auto"/>
        <w:bottom w:val="none" w:sz="0" w:space="0" w:color="auto"/>
        <w:right w:val="none" w:sz="0" w:space="0" w:color="auto"/>
      </w:divBdr>
    </w:div>
    <w:div w:id="1494027023">
      <w:bodyDiv w:val="1"/>
      <w:marLeft w:val="0"/>
      <w:marRight w:val="0"/>
      <w:marTop w:val="0"/>
      <w:marBottom w:val="0"/>
      <w:divBdr>
        <w:top w:val="none" w:sz="0" w:space="0" w:color="auto"/>
        <w:left w:val="none" w:sz="0" w:space="0" w:color="auto"/>
        <w:bottom w:val="none" w:sz="0" w:space="0" w:color="auto"/>
        <w:right w:val="none" w:sz="0" w:space="0" w:color="auto"/>
      </w:divBdr>
    </w:div>
    <w:div w:id="1500196879">
      <w:bodyDiv w:val="1"/>
      <w:marLeft w:val="0"/>
      <w:marRight w:val="0"/>
      <w:marTop w:val="0"/>
      <w:marBottom w:val="0"/>
      <w:divBdr>
        <w:top w:val="none" w:sz="0" w:space="0" w:color="auto"/>
        <w:left w:val="none" w:sz="0" w:space="0" w:color="auto"/>
        <w:bottom w:val="none" w:sz="0" w:space="0" w:color="auto"/>
        <w:right w:val="none" w:sz="0" w:space="0" w:color="auto"/>
      </w:divBdr>
    </w:div>
    <w:div w:id="1519199157">
      <w:bodyDiv w:val="1"/>
      <w:marLeft w:val="0"/>
      <w:marRight w:val="0"/>
      <w:marTop w:val="0"/>
      <w:marBottom w:val="0"/>
      <w:divBdr>
        <w:top w:val="none" w:sz="0" w:space="0" w:color="auto"/>
        <w:left w:val="none" w:sz="0" w:space="0" w:color="auto"/>
        <w:bottom w:val="none" w:sz="0" w:space="0" w:color="auto"/>
        <w:right w:val="none" w:sz="0" w:space="0" w:color="auto"/>
      </w:divBdr>
    </w:div>
    <w:div w:id="1569226456">
      <w:bodyDiv w:val="1"/>
      <w:marLeft w:val="0"/>
      <w:marRight w:val="0"/>
      <w:marTop w:val="0"/>
      <w:marBottom w:val="0"/>
      <w:divBdr>
        <w:top w:val="none" w:sz="0" w:space="0" w:color="auto"/>
        <w:left w:val="none" w:sz="0" w:space="0" w:color="auto"/>
        <w:bottom w:val="none" w:sz="0" w:space="0" w:color="auto"/>
        <w:right w:val="none" w:sz="0" w:space="0" w:color="auto"/>
      </w:divBdr>
    </w:div>
    <w:div w:id="1599486988">
      <w:bodyDiv w:val="1"/>
      <w:marLeft w:val="0"/>
      <w:marRight w:val="0"/>
      <w:marTop w:val="0"/>
      <w:marBottom w:val="0"/>
      <w:divBdr>
        <w:top w:val="none" w:sz="0" w:space="0" w:color="auto"/>
        <w:left w:val="none" w:sz="0" w:space="0" w:color="auto"/>
        <w:bottom w:val="none" w:sz="0" w:space="0" w:color="auto"/>
        <w:right w:val="none" w:sz="0" w:space="0" w:color="auto"/>
      </w:divBdr>
    </w:div>
    <w:div w:id="1614945569">
      <w:bodyDiv w:val="1"/>
      <w:marLeft w:val="0"/>
      <w:marRight w:val="0"/>
      <w:marTop w:val="0"/>
      <w:marBottom w:val="0"/>
      <w:divBdr>
        <w:top w:val="none" w:sz="0" w:space="0" w:color="auto"/>
        <w:left w:val="none" w:sz="0" w:space="0" w:color="auto"/>
        <w:bottom w:val="none" w:sz="0" w:space="0" w:color="auto"/>
        <w:right w:val="none" w:sz="0" w:space="0" w:color="auto"/>
      </w:divBdr>
    </w:div>
    <w:div w:id="1638023686">
      <w:bodyDiv w:val="1"/>
      <w:marLeft w:val="0"/>
      <w:marRight w:val="0"/>
      <w:marTop w:val="0"/>
      <w:marBottom w:val="0"/>
      <w:divBdr>
        <w:top w:val="none" w:sz="0" w:space="0" w:color="auto"/>
        <w:left w:val="none" w:sz="0" w:space="0" w:color="auto"/>
        <w:bottom w:val="none" w:sz="0" w:space="0" w:color="auto"/>
        <w:right w:val="none" w:sz="0" w:space="0" w:color="auto"/>
      </w:divBdr>
    </w:div>
    <w:div w:id="1648700522">
      <w:bodyDiv w:val="1"/>
      <w:marLeft w:val="0"/>
      <w:marRight w:val="0"/>
      <w:marTop w:val="0"/>
      <w:marBottom w:val="0"/>
      <w:divBdr>
        <w:top w:val="none" w:sz="0" w:space="0" w:color="auto"/>
        <w:left w:val="none" w:sz="0" w:space="0" w:color="auto"/>
        <w:bottom w:val="none" w:sz="0" w:space="0" w:color="auto"/>
        <w:right w:val="none" w:sz="0" w:space="0" w:color="auto"/>
      </w:divBdr>
      <w:divsChild>
        <w:div w:id="1124738870">
          <w:marLeft w:val="0"/>
          <w:marRight w:val="0"/>
          <w:marTop w:val="0"/>
          <w:marBottom w:val="0"/>
          <w:divBdr>
            <w:top w:val="none" w:sz="0" w:space="0" w:color="auto"/>
            <w:left w:val="none" w:sz="0" w:space="0" w:color="auto"/>
            <w:bottom w:val="none" w:sz="0" w:space="0" w:color="auto"/>
            <w:right w:val="none" w:sz="0" w:space="0" w:color="auto"/>
          </w:divBdr>
        </w:div>
      </w:divsChild>
    </w:div>
    <w:div w:id="1660497559">
      <w:bodyDiv w:val="1"/>
      <w:marLeft w:val="0"/>
      <w:marRight w:val="0"/>
      <w:marTop w:val="0"/>
      <w:marBottom w:val="0"/>
      <w:divBdr>
        <w:top w:val="none" w:sz="0" w:space="0" w:color="auto"/>
        <w:left w:val="none" w:sz="0" w:space="0" w:color="auto"/>
        <w:bottom w:val="none" w:sz="0" w:space="0" w:color="auto"/>
        <w:right w:val="none" w:sz="0" w:space="0" w:color="auto"/>
      </w:divBdr>
    </w:div>
    <w:div w:id="1660814679">
      <w:bodyDiv w:val="1"/>
      <w:marLeft w:val="0"/>
      <w:marRight w:val="0"/>
      <w:marTop w:val="0"/>
      <w:marBottom w:val="0"/>
      <w:divBdr>
        <w:top w:val="none" w:sz="0" w:space="0" w:color="auto"/>
        <w:left w:val="none" w:sz="0" w:space="0" w:color="auto"/>
        <w:bottom w:val="none" w:sz="0" w:space="0" w:color="auto"/>
        <w:right w:val="none" w:sz="0" w:space="0" w:color="auto"/>
      </w:divBdr>
    </w:div>
    <w:div w:id="1669216219">
      <w:bodyDiv w:val="1"/>
      <w:marLeft w:val="0"/>
      <w:marRight w:val="0"/>
      <w:marTop w:val="0"/>
      <w:marBottom w:val="0"/>
      <w:divBdr>
        <w:top w:val="none" w:sz="0" w:space="0" w:color="auto"/>
        <w:left w:val="none" w:sz="0" w:space="0" w:color="auto"/>
        <w:bottom w:val="none" w:sz="0" w:space="0" w:color="auto"/>
        <w:right w:val="none" w:sz="0" w:space="0" w:color="auto"/>
      </w:divBdr>
    </w:div>
    <w:div w:id="1672757176">
      <w:bodyDiv w:val="1"/>
      <w:marLeft w:val="0"/>
      <w:marRight w:val="0"/>
      <w:marTop w:val="0"/>
      <w:marBottom w:val="0"/>
      <w:divBdr>
        <w:top w:val="none" w:sz="0" w:space="0" w:color="auto"/>
        <w:left w:val="none" w:sz="0" w:space="0" w:color="auto"/>
        <w:bottom w:val="none" w:sz="0" w:space="0" w:color="auto"/>
        <w:right w:val="none" w:sz="0" w:space="0" w:color="auto"/>
      </w:divBdr>
    </w:div>
    <w:div w:id="1675500195">
      <w:bodyDiv w:val="1"/>
      <w:marLeft w:val="0"/>
      <w:marRight w:val="0"/>
      <w:marTop w:val="0"/>
      <w:marBottom w:val="0"/>
      <w:divBdr>
        <w:top w:val="none" w:sz="0" w:space="0" w:color="auto"/>
        <w:left w:val="none" w:sz="0" w:space="0" w:color="auto"/>
        <w:bottom w:val="none" w:sz="0" w:space="0" w:color="auto"/>
        <w:right w:val="none" w:sz="0" w:space="0" w:color="auto"/>
      </w:divBdr>
    </w:div>
    <w:div w:id="1688209580">
      <w:bodyDiv w:val="1"/>
      <w:marLeft w:val="0"/>
      <w:marRight w:val="0"/>
      <w:marTop w:val="0"/>
      <w:marBottom w:val="0"/>
      <w:divBdr>
        <w:top w:val="none" w:sz="0" w:space="0" w:color="auto"/>
        <w:left w:val="none" w:sz="0" w:space="0" w:color="auto"/>
        <w:bottom w:val="none" w:sz="0" w:space="0" w:color="auto"/>
        <w:right w:val="none" w:sz="0" w:space="0" w:color="auto"/>
      </w:divBdr>
    </w:div>
    <w:div w:id="1706326875">
      <w:bodyDiv w:val="1"/>
      <w:marLeft w:val="0"/>
      <w:marRight w:val="0"/>
      <w:marTop w:val="0"/>
      <w:marBottom w:val="0"/>
      <w:divBdr>
        <w:top w:val="none" w:sz="0" w:space="0" w:color="auto"/>
        <w:left w:val="none" w:sz="0" w:space="0" w:color="auto"/>
        <w:bottom w:val="none" w:sz="0" w:space="0" w:color="auto"/>
        <w:right w:val="none" w:sz="0" w:space="0" w:color="auto"/>
      </w:divBdr>
    </w:div>
    <w:div w:id="1709911429">
      <w:bodyDiv w:val="1"/>
      <w:marLeft w:val="0"/>
      <w:marRight w:val="0"/>
      <w:marTop w:val="0"/>
      <w:marBottom w:val="0"/>
      <w:divBdr>
        <w:top w:val="none" w:sz="0" w:space="0" w:color="auto"/>
        <w:left w:val="none" w:sz="0" w:space="0" w:color="auto"/>
        <w:bottom w:val="none" w:sz="0" w:space="0" w:color="auto"/>
        <w:right w:val="none" w:sz="0" w:space="0" w:color="auto"/>
      </w:divBdr>
    </w:div>
    <w:div w:id="1714118258">
      <w:bodyDiv w:val="1"/>
      <w:marLeft w:val="0"/>
      <w:marRight w:val="0"/>
      <w:marTop w:val="0"/>
      <w:marBottom w:val="0"/>
      <w:divBdr>
        <w:top w:val="none" w:sz="0" w:space="0" w:color="auto"/>
        <w:left w:val="none" w:sz="0" w:space="0" w:color="auto"/>
        <w:bottom w:val="none" w:sz="0" w:space="0" w:color="auto"/>
        <w:right w:val="none" w:sz="0" w:space="0" w:color="auto"/>
      </w:divBdr>
    </w:div>
    <w:div w:id="1714383707">
      <w:bodyDiv w:val="1"/>
      <w:marLeft w:val="0"/>
      <w:marRight w:val="0"/>
      <w:marTop w:val="0"/>
      <w:marBottom w:val="0"/>
      <w:divBdr>
        <w:top w:val="none" w:sz="0" w:space="0" w:color="auto"/>
        <w:left w:val="none" w:sz="0" w:space="0" w:color="auto"/>
        <w:bottom w:val="none" w:sz="0" w:space="0" w:color="auto"/>
        <w:right w:val="none" w:sz="0" w:space="0" w:color="auto"/>
      </w:divBdr>
    </w:div>
    <w:div w:id="1723677598">
      <w:bodyDiv w:val="1"/>
      <w:marLeft w:val="0"/>
      <w:marRight w:val="0"/>
      <w:marTop w:val="0"/>
      <w:marBottom w:val="0"/>
      <w:divBdr>
        <w:top w:val="none" w:sz="0" w:space="0" w:color="auto"/>
        <w:left w:val="none" w:sz="0" w:space="0" w:color="auto"/>
        <w:bottom w:val="none" w:sz="0" w:space="0" w:color="auto"/>
        <w:right w:val="none" w:sz="0" w:space="0" w:color="auto"/>
      </w:divBdr>
    </w:div>
    <w:div w:id="1739015735">
      <w:bodyDiv w:val="1"/>
      <w:marLeft w:val="0"/>
      <w:marRight w:val="0"/>
      <w:marTop w:val="0"/>
      <w:marBottom w:val="0"/>
      <w:divBdr>
        <w:top w:val="none" w:sz="0" w:space="0" w:color="auto"/>
        <w:left w:val="none" w:sz="0" w:space="0" w:color="auto"/>
        <w:bottom w:val="none" w:sz="0" w:space="0" w:color="auto"/>
        <w:right w:val="none" w:sz="0" w:space="0" w:color="auto"/>
      </w:divBdr>
    </w:div>
    <w:div w:id="1762096944">
      <w:bodyDiv w:val="1"/>
      <w:marLeft w:val="0"/>
      <w:marRight w:val="0"/>
      <w:marTop w:val="0"/>
      <w:marBottom w:val="0"/>
      <w:divBdr>
        <w:top w:val="none" w:sz="0" w:space="0" w:color="auto"/>
        <w:left w:val="none" w:sz="0" w:space="0" w:color="auto"/>
        <w:bottom w:val="none" w:sz="0" w:space="0" w:color="auto"/>
        <w:right w:val="none" w:sz="0" w:space="0" w:color="auto"/>
      </w:divBdr>
    </w:div>
    <w:div w:id="1765687436">
      <w:bodyDiv w:val="1"/>
      <w:marLeft w:val="0"/>
      <w:marRight w:val="0"/>
      <w:marTop w:val="0"/>
      <w:marBottom w:val="0"/>
      <w:divBdr>
        <w:top w:val="none" w:sz="0" w:space="0" w:color="auto"/>
        <w:left w:val="none" w:sz="0" w:space="0" w:color="auto"/>
        <w:bottom w:val="none" w:sz="0" w:space="0" w:color="auto"/>
        <w:right w:val="none" w:sz="0" w:space="0" w:color="auto"/>
      </w:divBdr>
    </w:div>
    <w:div w:id="1775058306">
      <w:bodyDiv w:val="1"/>
      <w:marLeft w:val="0"/>
      <w:marRight w:val="0"/>
      <w:marTop w:val="0"/>
      <w:marBottom w:val="0"/>
      <w:divBdr>
        <w:top w:val="none" w:sz="0" w:space="0" w:color="auto"/>
        <w:left w:val="none" w:sz="0" w:space="0" w:color="auto"/>
        <w:bottom w:val="none" w:sz="0" w:space="0" w:color="auto"/>
        <w:right w:val="none" w:sz="0" w:space="0" w:color="auto"/>
      </w:divBdr>
    </w:div>
    <w:div w:id="1775784287">
      <w:bodyDiv w:val="1"/>
      <w:marLeft w:val="0"/>
      <w:marRight w:val="0"/>
      <w:marTop w:val="0"/>
      <w:marBottom w:val="0"/>
      <w:divBdr>
        <w:top w:val="none" w:sz="0" w:space="0" w:color="auto"/>
        <w:left w:val="none" w:sz="0" w:space="0" w:color="auto"/>
        <w:bottom w:val="none" w:sz="0" w:space="0" w:color="auto"/>
        <w:right w:val="none" w:sz="0" w:space="0" w:color="auto"/>
      </w:divBdr>
    </w:div>
    <w:div w:id="1785075376">
      <w:bodyDiv w:val="1"/>
      <w:marLeft w:val="0"/>
      <w:marRight w:val="0"/>
      <w:marTop w:val="0"/>
      <w:marBottom w:val="0"/>
      <w:divBdr>
        <w:top w:val="none" w:sz="0" w:space="0" w:color="auto"/>
        <w:left w:val="none" w:sz="0" w:space="0" w:color="auto"/>
        <w:bottom w:val="none" w:sz="0" w:space="0" w:color="auto"/>
        <w:right w:val="none" w:sz="0" w:space="0" w:color="auto"/>
      </w:divBdr>
    </w:div>
    <w:div w:id="1798600179">
      <w:bodyDiv w:val="1"/>
      <w:marLeft w:val="0"/>
      <w:marRight w:val="0"/>
      <w:marTop w:val="0"/>
      <w:marBottom w:val="0"/>
      <w:divBdr>
        <w:top w:val="none" w:sz="0" w:space="0" w:color="auto"/>
        <w:left w:val="none" w:sz="0" w:space="0" w:color="auto"/>
        <w:bottom w:val="none" w:sz="0" w:space="0" w:color="auto"/>
        <w:right w:val="none" w:sz="0" w:space="0" w:color="auto"/>
      </w:divBdr>
    </w:div>
    <w:div w:id="1836649100">
      <w:bodyDiv w:val="1"/>
      <w:marLeft w:val="0"/>
      <w:marRight w:val="0"/>
      <w:marTop w:val="0"/>
      <w:marBottom w:val="0"/>
      <w:divBdr>
        <w:top w:val="none" w:sz="0" w:space="0" w:color="auto"/>
        <w:left w:val="none" w:sz="0" w:space="0" w:color="auto"/>
        <w:bottom w:val="none" w:sz="0" w:space="0" w:color="auto"/>
        <w:right w:val="none" w:sz="0" w:space="0" w:color="auto"/>
      </w:divBdr>
    </w:div>
    <w:div w:id="1839616128">
      <w:bodyDiv w:val="1"/>
      <w:marLeft w:val="0"/>
      <w:marRight w:val="0"/>
      <w:marTop w:val="0"/>
      <w:marBottom w:val="0"/>
      <w:divBdr>
        <w:top w:val="none" w:sz="0" w:space="0" w:color="auto"/>
        <w:left w:val="none" w:sz="0" w:space="0" w:color="auto"/>
        <w:bottom w:val="none" w:sz="0" w:space="0" w:color="auto"/>
        <w:right w:val="none" w:sz="0" w:space="0" w:color="auto"/>
      </w:divBdr>
    </w:div>
    <w:div w:id="1840806679">
      <w:bodyDiv w:val="1"/>
      <w:marLeft w:val="0"/>
      <w:marRight w:val="0"/>
      <w:marTop w:val="0"/>
      <w:marBottom w:val="0"/>
      <w:divBdr>
        <w:top w:val="none" w:sz="0" w:space="0" w:color="auto"/>
        <w:left w:val="none" w:sz="0" w:space="0" w:color="auto"/>
        <w:bottom w:val="none" w:sz="0" w:space="0" w:color="auto"/>
        <w:right w:val="none" w:sz="0" w:space="0" w:color="auto"/>
      </w:divBdr>
    </w:div>
    <w:div w:id="1842045491">
      <w:bodyDiv w:val="1"/>
      <w:marLeft w:val="0"/>
      <w:marRight w:val="0"/>
      <w:marTop w:val="0"/>
      <w:marBottom w:val="0"/>
      <w:divBdr>
        <w:top w:val="none" w:sz="0" w:space="0" w:color="auto"/>
        <w:left w:val="none" w:sz="0" w:space="0" w:color="auto"/>
        <w:bottom w:val="none" w:sz="0" w:space="0" w:color="auto"/>
        <w:right w:val="none" w:sz="0" w:space="0" w:color="auto"/>
      </w:divBdr>
    </w:div>
    <w:div w:id="1861240334">
      <w:bodyDiv w:val="1"/>
      <w:marLeft w:val="0"/>
      <w:marRight w:val="0"/>
      <w:marTop w:val="0"/>
      <w:marBottom w:val="0"/>
      <w:divBdr>
        <w:top w:val="none" w:sz="0" w:space="0" w:color="auto"/>
        <w:left w:val="none" w:sz="0" w:space="0" w:color="auto"/>
        <w:bottom w:val="none" w:sz="0" w:space="0" w:color="auto"/>
        <w:right w:val="none" w:sz="0" w:space="0" w:color="auto"/>
      </w:divBdr>
    </w:div>
    <w:div w:id="1883394417">
      <w:bodyDiv w:val="1"/>
      <w:marLeft w:val="0"/>
      <w:marRight w:val="0"/>
      <w:marTop w:val="0"/>
      <w:marBottom w:val="0"/>
      <w:divBdr>
        <w:top w:val="none" w:sz="0" w:space="0" w:color="auto"/>
        <w:left w:val="none" w:sz="0" w:space="0" w:color="auto"/>
        <w:bottom w:val="none" w:sz="0" w:space="0" w:color="auto"/>
        <w:right w:val="none" w:sz="0" w:space="0" w:color="auto"/>
      </w:divBdr>
    </w:div>
    <w:div w:id="1894197801">
      <w:bodyDiv w:val="1"/>
      <w:marLeft w:val="0"/>
      <w:marRight w:val="0"/>
      <w:marTop w:val="0"/>
      <w:marBottom w:val="0"/>
      <w:divBdr>
        <w:top w:val="none" w:sz="0" w:space="0" w:color="auto"/>
        <w:left w:val="none" w:sz="0" w:space="0" w:color="auto"/>
        <w:bottom w:val="none" w:sz="0" w:space="0" w:color="auto"/>
        <w:right w:val="none" w:sz="0" w:space="0" w:color="auto"/>
      </w:divBdr>
    </w:div>
    <w:div w:id="1908613594">
      <w:bodyDiv w:val="1"/>
      <w:marLeft w:val="0"/>
      <w:marRight w:val="0"/>
      <w:marTop w:val="0"/>
      <w:marBottom w:val="0"/>
      <w:divBdr>
        <w:top w:val="none" w:sz="0" w:space="0" w:color="auto"/>
        <w:left w:val="none" w:sz="0" w:space="0" w:color="auto"/>
        <w:bottom w:val="none" w:sz="0" w:space="0" w:color="auto"/>
        <w:right w:val="none" w:sz="0" w:space="0" w:color="auto"/>
      </w:divBdr>
    </w:div>
    <w:div w:id="1916931386">
      <w:bodyDiv w:val="1"/>
      <w:marLeft w:val="0"/>
      <w:marRight w:val="0"/>
      <w:marTop w:val="0"/>
      <w:marBottom w:val="0"/>
      <w:divBdr>
        <w:top w:val="none" w:sz="0" w:space="0" w:color="auto"/>
        <w:left w:val="none" w:sz="0" w:space="0" w:color="auto"/>
        <w:bottom w:val="none" w:sz="0" w:space="0" w:color="auto"/>
        <w:right w:val="none" w:sz="0" w:space="0" w:color="auto"/>
      </w:divBdr>
    </w:div>
    <w:div w:id="1937863252">
      <w:bodyDiv w:val="1"/>
      <w:marLeft w:val="0"/>
      <w:marRight w:val="0"/>
      <w:marTop w:val="0"/>
      <w:marBottom w:val="0"/>
      <w:divBdr>
        <w:top w:val="none" w:sz="0" w:space="0" w:color="auto"/>
        <w:left w:val="none" w:sz="0" w:space="0" w:color="auto"/>
        <w:bottom w:val="none" w:sz="0" w:space="0" w:color="auto"/>
        <w:right w:val="none" w:sz="0" w:space="0" w:color="auto"/>
      </w:divBdr>
    </w:div>
    <w:div w:id="2004385113">
      <w:bodyDiv w:val="1"/>
      <w:marLeft w:val="0"/>
      <w:marRight w:val="0"/>
      <w:marTop w:val="0"/>
      <w:marBottom w:val="0"/>
      <w:divBdr>
        <w:top w:val="none" w:sz="0" w:space="0" w:color="auto"/>
        <w:left w:val="none" w:sz="0" w:space="0" w:color="auto"/>
        <w:bottom w:val="none" w:sz="0" w:space="0" w:color="auto"/>
        <w:right w:val="none" w:sz="0" w:space="0" w:color="auto"/>
      </w:divBdr>
    </w:div>
    <w:div w:id="2019233640">
      <w:bodyDiv w:val="1"/>
      <w:marLeft w:val="0"/>
      <w:marRight w:val="0"/>
      <w:marTop w:val="0"/>
      <w:marBottom w:val="0"/>
      <w:divBdr>
        <w:top w:val="none" w:sz="0" w:space="0" w:color="auto"/>
        <w:left w:val="none" w:sz="0" w:space="0" w:color="auto"/>
        <w:bottom w:val="none" w:sz="0" w:space="0" w:color="auto"/>
        <w:right w:val="none" w:sz="0" w:space="0" w:color="auto"/>
      </w:divBdr>
    </w:div>
    <w:div w:id="2024090852">
      <w:bodyDiv w:val="1"/>
      <w:marLeft w:val="0"/>
      <w:marRight w:val="0"/>
      <w:marTop w:val="0"/>
      <w:marBottom w:val="0"/>
      <w:divBdr>
        <w:top w:val="none" w:sz="0" w:space="0" w:color="auto"/>
        <w:left w:val="none" w:sz="0" w:space="0" w:color="auto"/>
        <w:bottom w:val="none" w:sz="0" w:space="0" w:color="auto"/>
        <w:right w:val="none" w:sz="0" w:space="0" w:color="auto"/>
      </w:divBdr>
    </w:div>
    <w:div w:id="2034918745">
      <w:bodyDiv w:val="1"/>
      <w:marLeft w:val="0"/>
      <w:marRight w:val="0"/>
      <w:marTop w:val="0"/>
      <w:marBottom w:val="0"/>
      <w:divBdr>
        <w:top w:val="none" w:sz="0" w:space="0" w:color="auto"/>
        <w:left w:val="none" w:sz="0" w:space="0" w:color="auto"/>
        <w:bottom w:val="none" w:sz="0" w:space="0" w:color="auto"/>
        <w:right w:val="none" w:sz="0" w:space="0" w:color="auto"/>
      </w:divBdr>
    </w:div>
    <w:div w:id="2045592944">
      <w:bodyDiv w:val="1"/>
      <w:marLeft w:val="0"/>
      <w:marRight w:val="0"/>
      <w:marTop w:val="0"/>
      <w:marBottom w:val="0"/>
      <w:divBdr>
        <w:top w:val="none" w:sz="0" w:space="0" w:color="auto"/>
        <w:left w:val="none" w:sz="0" w:space="0" w:color="auto"/>
        <w:bottom w:val="none" w:sz="0" w:space="0" w:color="auto"/>
        <w:right w:val="none" w:sz="0" w:space="0" w:color="auto"/>
      </w:divBdr>
    </w:div>
    <w:div w:id="2065176386">
      <w:bodyDiv w:val="1"/>
      <w:marLeft w:val="0"/>
      <w:marRight w:val="0"/>
      <w:marTop w:val="0"/>
      <w:marBottom w:val="0"/>
      <w:divBdr>
        <w:top w:val="none" w:sz="0" w:space="0" w:color="auto"/>
        <w:left w:val="none" w:sz="0" w:space="0" w:color="auto"/>
        <w:bottom w:val="none" w:sz="0" w:space="0" w:color="auto"/>
        <w:right w:val="none" w:sz="0" w:space="0" w:color="auto"/>
      </w:divBdr>
    </w:div>
    <w:div w:id="2086297183">
      <w:bodyDiv w:val="1"/>
      <w:marLeft w:val="0"/>
      <w:marRight w:val="0"/>
      <w:marTop w:val="0"/>
      <w:marBottom w:val="0"/>
      <w:divBdr>
        <w:top w:val="none" w:sz="0" w:space="0" w:color="auto"/>
        <w:left w:val="none" w:sz="0" w:space="0" w:color="auto"/>
        <w:bottom w:val="none" w:sz="0" w:space="0" w:color="auto"/>
        <w:right w:val="none" w:sz="0" w:space="0" w:color="auto"/>
      </w:divBdr>
    </w:div>
    <w:div w:id="2090495717">
      <w:bodyDiv w:val="1"/>
      <w:marLeft w:val="0"/>
      <w:marRight w:val="0"/>
      <w:marTop w:val="0"/>
      <w:marBottom w:val="0"/>
      <w:divBdr>
        <w:top w:val="none" w:sz="0" w:space="0" w:color="auto"/>
        <w:left w:val="none" w:sz="0" w:space="0" w:color="auto"/>
        <w:bottom w:val="none" w:sz="0" w:space="0" w:color="auto"/>
        <w:right w:val="none" w:sz="0" w:space="0" w:color="auto"/>
      </w:divBdr>
    </w:div>
    <w:div w:id="2107459495">
      <w:bodyDiv w:val="1"/>
      <w:marLeft w:val="0"/>
      <w:marRight w:val="0"/>
      <w:marTop w:val="0"/>
      <w:marBottom w:val="0"/>
      <w:divBdr>
        <w:top w:val="none" w:sz="0" w:space="0" w:color="auto"/>
        <w:left w:val="none" w:sz="0" w:space="0" w:color="auto"/>
        <w:bottom w:val="none" w:sz="0" w:space="0" w:color="auto"/>
        <w:right w:val="none" w:sz="0" w:space="0" w:color="auto"/>
      </w:divBdr>
    </w:div>
    <w:div w:id="2110422544">
      <w:bodyDiv w:val="1"/>
      <w:marLeft w:val="0"/>
      <w:marRight w:val="0"/>
      <w:marTop w:val="0"/>
      <w:marBottom w:val="0"/>
      <w:divBdr>
        <w:top w:val="none" w:sz="0" w:space="0" w:color="auto"/>
        <w:left w:val="none" w:sz="0" w:space="0" w:color="auto"/>
        <w:bottom w:val="none" w:sz="0" w:space="0" w:color="auto"/>
        <w:right w:val="none" w:sz="0" w:space="0" w:color="auto"/>
      </w:divBdr>
    </w:div>
    <w:div w:id="2124568664">
      <w:bodyDiv w:val="1"/>
      <w:marLeft w:val="0"/>
      <w:marRight w:val="0"/>
      <w:marTop w:val="0"/>
      <w:marBottom w:val="0"/>
      <w:divBdr>
        <w:top w:val="none" w:sz="0" w:space="0" w:color="auto"/>
        <w:left w:val="none" w:sz="0" w:space="0" w:color="auto"/>
        <w:bottom w:val="none" w:sz="0" w:space="0" w:color="auto"/>
        <w:right w:val="none" w:sz="0" w:space="0" w:color="auto"/>
      </w:divBdr>
    </w:div>
    <w:div w:id="2134397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3.png"/><Relationship Id="rId39" Type="http://schemas.openxmlformats.org/officeDocument/2006/relationships/hyperlink" Target="https://commission.europa.eu/document/download/402c1eae-6127-4982-bd78-ed8a1a1b427a_en?filename=2025%20NGEU%20Green%20Bonds%20Allocation%20and%20Impact%20Report.pdf"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image" Target="media/image9.png"/><Relationship Id="rId42" Type="http://schemas.openxmlformats.org/officeDocument/2006/relationships/footer" Target="footer7.xml"/><Relationship Id="rId47" Type="http://schemas.openxmlformats.org/officeDocument/2006/relationships/header" Target="header11.xml"/><Relationship Id="rId50"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svg"/><Relationship Id="rId33" Type="http://schemas.openxmlformats.org/officeDocument/2006/relationships/hyperlink" Target="https://commission.europa.eu/document/download/402c1eae-6127-4982-bd78-ed8a1a1b427a_en?filename=2025%20NGEU%20Green%20Bonds%20Allocation%20and%20Impact%20Report.pdf" TargetMode="External"/><Relationship Id="rId38" Type="http://schemas.openxmlformats.org/officeDocument/2006/relationships/image" Target="media/image12.png"/><Relationship Id="rId46"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image" Target="media/image6.png"/><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hyperlink" Target="https://economy-finance.ec.europa.eu/eu-financial-assistance/euro-area-countries/european-financial-stabilisation-mechanism-efsm_en" TargetMode="External"/><Relationship Id="rId37" Type="http://schemas.openxmlformats.org/officeDocument/2006/relationships/chart" Target="charts/chart1.xml"/><Relationship Id="rId40" Type="http://schemas.openxmlformats.org/officeDocument/2006/relationships/header" Target="header7.xml"/><Relationship Id="rId45" Type="http://schemas.openxmlformats.org/officeDocument/2006/relationships/footer" Target="footer9.xml"/><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5.png"/><Relationship Id="rId36" Type="http://schemas.openxmlformats.org/officeDocument/2006/relationships/image" Target="media/image11.png"/><Relationship Id="rId49"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8.png"/><Relationship Id="rId44" Type="http://schemas.openxmlformats.org/officeDocument/2006/relationships/header" Target="header9.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0.png"/><Relationship Id="rId43" Type="http://schemas.openxmlformats.org/officeDocument/2006/relationships/footer" Target="footer8.xml"/><Relationship Id="rId48" Type="http://schemas.openxmlformats.org/officeDocument/2006/relationships/footer" Target="footer10.xml"/><Relationship Id="rId8" Type="http://schemas.openxmlformats.org/officeDocument/2006/relationships/webSettings" Target="webSettings.xml"/><Relationship Id="rId51" Type="http://schemas.openxmlformats.org/officeDocument/2006/relationships/footer" Target="footer12.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strategy-and-policy/eu-budget/eu-borrower-investor-relations/nextgenerationeu-green-bonds/dashboard_en" TargetMode="External"/><Relationship Id="rId3" Type="http://schemas.openxmlformats.org/officeDocument/2006/relationships/hyperlink" Target="https://commission.europa.eu/document/download/402c1eae-6127-4982-bd78-ed8a1a1b427a_en?filename=2025%20NGEU%20Green%20Bonds%20Allocation%20and%20Impact%20Report.pdf" TargetMode="External"/><Relationship Id="rId7" Type="http://schemas.openxmlformats.org/officeDocument/2006/relationships/hyperlink" Target="https://eur-lex.europa.eu/legal-content/RO/TXT/PDF/?uri=CELEX:52023DC0461" TargetMode="External"/><Relationship Id="rId2" Type="http://schemas.openxmlformats.org/officeDocument/2006/relationships/hyperlink" Target="https://eur-lex.europa.eu/legal-content/RO/TXT/PDF/?uri=CELEX:52025DC0330" TargetMode="External"/><Relationship Id="rId1" Type="http://schemas.openxmlformats.org/officeDocument/2006/relationships/hyperlink" Target="https://eur-lex.europa.eu/legal-content/RO/TXT/PDF/?uri=CELEX:52025DC0637" TargetMode="External"/><Relationship Id="rId6" Type="http://schemas.openxmlformats.org/officeDocument/2006/relationships/hyperlink" Target="https://www.eca.europa.eu/Lists/ECAReplies/COM-Replies-SR-2023-16/COM-Replies-SR-2023-16_RO.pdf" TargetMode="External"/><Relationship Id="rId5" Type="http://schemas.openxmlformats.org/officeDocument/2006/relationships/hyperlink" Target="https://www.eca.europa.eu/ECAPublications/SR-2023-16/SR-2023-16_RO.pdf" TargetMode="External"/><Relationship Id="rId4" Type="http://schemas.openxmlformats.org/officeDocument/2006/relationships/hyperlink" Target="https://www.eca.europa.eu/ECAPublications/SR-2023-16/SR-2023-16_RO.pdf" TargetMode="External"/><Relationship Id="rId9" Type="http://schemas.openxmlformats.org/officeDocument/2006/relationships/hyperlink" Target="https://commission.europa.eu/strategy-and-policy/eu-budget/eu-borrower-investor-relations/nextgenerationeu-green-bonds/dashboard_en"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117093773075149E-2"/>
          <c:y val="9.7078733323484628E-2"/>
          <c:w val="0.92474642052451117"/>
          <c:h val="0.63147919554989884"/>
        </c:manualLayout>
      </c:layout>
      <c:barChart>
        <c:barDir val="col"/>
        <c:grouping val="clustered"/>
        <c:varyColors val="0"/>
        <c:ser>
          <c:idx val="0"/>
          <c:order val="0"/>
          <c:tx>
            <c:strRef>
              <c:f>'[1]34 Market turnover'!$AA$4</c:f>
              <c:strCache>
                <c:ptCount val="1"/>
                <c:pt idx="0">
                  <c:v>EU market</c:v>
                </c:pt>
              </c:strCache>
            </c:strRef>
          </c:tx>
          <c:spPr>
            <a:solidFill>
              <a:schemeClr val="tx2"/>
            </a:solidFill>
            <a:ln>
              <a:noFill/>
            </a:ln>
            <a:effectLst/>
          </c:spPr>
          <c:invertIfNegative val="0"/>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turnover'!$AA$21:$AA$44</c:f>
              <c:numCache>
                <c:formatCode>General</c:formatCode>
                <c:ptCount val="24"/>
                <c:pt idx="0">
                  <c:v>2.897861228867351E-2</c:v>
                </c:pt>
                <c:pt idx="1">
                  <c:v>5.9288336573263892E-2</c:v>
                </c:pt>
                <c:pt idx="2">
                  <c:v>4.2181617421884372E-2</c:v>
                </c:pt>
                <c:pt idx="3">
                  <c:v>0.60100667431184907</c:v>
                </c:pt>
                <c:pt idx="4">
                  <c:v>0.56188286903496409</c:v>
                </c:pt>
                <c:pt idx="5">
                  <c:v>0.4305215756953702</c:v>
                </c:pt>
                <c:pt idx="6">
                  <c:v>0.61899459819118208</c:v>
                </c:pt>
                <c:pt idx="7">
                  <c:v>0.45106382978723403</c:v>
                </c:pt>
                <c:pt idx="8">
                  <c:v>0.52734215205658475</c:v>
                </c:pt>
                <c:pt idx="9">
                  <c:v>0.44708706680695853</c:v>
                </c:pt>
                <c:pt idx="10">
                  <c:v>0.40132058854668218</c:v>
                </c:pt>
                <c:pt idx="11">
                  <c:v>0.39621891973117379</c:v>
                </c:pt>
                <c:pt idx="12">
                  <c:v>0.65656462922102543</c:v>
                </c:pt>
                <c:pt idx="13">
                  <c:v>0.55499956649615201</c:v>
                </c:pt>
                <c:pt idx="14">
                  <c:v>0.47827581471300024</c:v>
                </c:pt>
                <c:pt idx="15">
                  <c:v>0.49056792668754567</c:v>
                </c:pt>
                <c:pt idx="16">
                  <c:v>0.65871452126370222</c:v>
                </c:pt>
                <c:pt idx="17">
                  <c:v>0.67483545678907708</c:v>
                </c:pt>
                <c:pt idx="18">
                  <c:v>0.67146697355419405</c:v>
                </c:pt>
                <c:pt idx="19">
                  <c:v>0.82866199058850532</c:v>
                </c:pt>
                <c:pt idx="20">
                  <c:v>0.93444294120589955</c:v>
                </c:pt>
                <c:pt idx="21">
                  <c:v>0.78247357847492083</c:v>
                </c:pt>
                <c:pt idx="22">
                  <c:v>1.0377812937385853</c:v>
                </c:pt>
                <c:pt idx="23">
                  <c:v>1.2194548295198613</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8FA-4378-8DEA-04170BB0FC1B}"/>
            </c:ext>
          </c:extLst>
        </c:ser>
        <c:dLbls>
          <c:showLegendKey val="0"/>
          <c:showVal val="0"/>
          <c:showCatName val="0"/>
          <c:showSerName val="0"/>
          <c:showPercent val="0"/>
          <c:showBubbleSize val="0"/>
        </c:dLbls>
        <c:gapWidth val="219"/>
        <c:overlap val="-27"/>
        <c:axId val="900413560"/>
        <c:axId val="903797920"/>
      </c:barChart>
      <c:lineChart>
        <c:grouping val="standard"/>
        <c:varyColors val="0"/>
        <c:ser>
          <c:idx val="1"/>
          <c:order val="1"/>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turnover'!$AC$21:$AC$41</c:f>
              <c:numCache>
                <c:formatCode>General</c:formatCode>
                <c:ptCount val="21"/>
                <c:pt idx="0">
                  <c:v>0.45035570493348792</c:v>
                </c:pt>
                <c:pt idx="1">
                  <c:v>0.45035570493348792</c:v>
                </c:pt>
                <c:pt idx="2">
                  <c:v>0.45035570493348792</c:v>
                </c:pt>
                <c:pt idx="3">
                  <c:v>0.45035570493348792</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D8FA-4378-8DEA-04170BB0FC1B}"/>
            </c:ext>
          </c:extLst>
        </c:ser>
        <c:ser>
          <c:idx val="2"/>
          <c:order val="2"/>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turnover'!$AD$21:$AD$41</c:f>
              <c:numCache>
                <c:formatCode>General</c:formatCode>
                <c:ptCount val="21"/>
                <c:pt idx="4">
                  <c:v>0.43807284218590858</c:v>
                </c:pt>
                <c:pt idx="5">
                  <c:v>0.43807284218590858</c:v>
                </c:pt>
                <c:pt idx="6">
                  <c:v>0.43807284218590858</c:v>
                </c:pt>
                <c:pt idx="7">
                  <c:v>0.43807284218590858</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D8FA-4378-8DEA-04170BB0FC1B}"/>
            </c:ext>
          </c:extLst>
        </c:ser>
        <c:ser>
          <c:idx val="3"/>
          <c:order val="3"/>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turnover'!$AE$21:$AE$41</c:f>
              <c:numCache>
                <c:formatCode>General</c:formatCode>
                <c:ptCount val="21"/>
                <c:pt idx="8">
                  <c:v>0.50413955884518846</c:v>
                </c:pt>
                <c:pt idx="9">
                  <c:v>0.50413955884518846</c:v>
                </c:pt>
                <c:pt idx="10">
                  <c:v>0.50413955884518846</c:v>
                </c:pt>
                <c:pt idx="11">
                  <c:v>0.50413955884518846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D8FA-4378-8DEA-04170BB0FC1B}"/>
            </c:ext>
          </c:extLst>
        </c:ser>
        <c:ser>
          <c:idx val="4"/>
          <c:order val="4"/>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turnover'!$AF$21:$AF$41</c:f>
              <c:numCache>
                <c:formatCode>General</c:formatCode>
                <c:ptCount val="21"/>
                <c:pt idx="12">
                  <c:v>0.50712337606788926</c:v>
                </c:pt>
                <c:pt idx="13">
                  <c:v>0.50712337606788926</c:v>
                </c:pt>
                <c:pt idx="14">
                  <c:v>0.50712337606788926</c:v>
                </c:pt>
                <c:pt idx="15">
                  <c:v>0.50712337606788926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D8FA-4378-8DEA-04170BB0FC1B}"/>
            </c:ext>
          </c:extLst>
        </c:ser>
        <c:ser>
          <c:idx val="5"/>
          <c:order val="5"/>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turnover'!$AG$21:$AG$41</c:f>
              <c:numCache>
                <c:formatCode>General</c:formatCode>
                <c:ptCount val="21"/>
                <c:pt idx="16">
                  <c:v>0.58810789096114746</c:v>
                </c:pt>
                <c:pt idx="17">
                  <c:v>0.58810789096114746</c:v>
                </c:pt>
                <c:pt idx="18">
                  <c:v>0.58810789096114746</c:v>
                </c:pt>
                <c:pt idx="19">
                  <c:v>0.58810789096114746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D8FA-4378-8DEA-04170BB0FC1B}"/>
            </c:ext>
          </c:extLst>
        </c:ser>
        <c:ser>
          <c:idx val="6"/>
          <c:order val="6"/>
          <c:tx>
            <c:strRef>
              <c:f>'[1]34 Market turnover'!$AC$4</c:f>
              <c:strCache>
                <c:ptCount val="1"/>
                <c:pt idx="0">
                  <c:v>EGB market* (average)</c:v>
                </c:pt>
              </c:strCache>
            </c:strRef>
          </c:tx>
          <c:spPr>
            <a:ln w="28575" cap="rnd">
              <a:solidFill>
                <a:srgbClr val="FFC000"/>
              </a:solidFill>
              <a:round/>
            </a:ln>
            <a:effectLst/>
          </c:spPr>
          <c:marker>
            <c:symbol val="none"/>
          </c:marker>
          <c:val>
            <c:numRef>
              <c:f>'[1]34 Market turnover'!$AH$21:$AH$44</c:f>
              <c:numCache>
                <c:formatCode>General</c:formatCode>
                <c:ptCount val="24"/>
                <c:pt idx="20">
                  <c:v>0.74651650429932037</c:v>
                </c:pt>
                <c:pt idx="21">
                  <c:v>0.74651650429932037</c:v>
                </c:pt>
                <c:pt idx="22">
                  <c:v>0.74651650429932037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D8FA-4378-8DEA-04170BB0FC1B}"/>
            </c:ext>
          </c:extLst>
        </c:ser>
        <c:dLbls>
          <c:showLegendKey val="0"/>
          <c:showVal val="0"/>
          <c:showCatName val="0"/>
          <c:showSerName val="0"/>
          <c:showPercent val="0"/>
          <c:showBubbleSize val="0"/>
        </c:dLbls>
        <c:marker val="1"/>
        <c:smooth val="0"/>
        <c:axId val="900413560"/>
        <c:axId val="903797920"/>
      </c:lineChart>
      <c:catAx>
        <c:axId val="90041356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EC Square Sans Pro" panose="020B0506040000020004" pitchFamily="34" charset="0"/>
                <a:ea typeface="+mn-ea"/>
                <a:cs typeface="+mn-cs"/>
              </a:defRPr>
            </a:pPr>
            <a:endParaRPr lang="en-US"/>
          </a:p>
        </c:txPr>
        <c:crossAx val="903797920"/>
        <c:crosses val="autoZero"/>
        <c:auto val="1"/>
        <c:lblAlgn val="ctr"/>
        <c:lblOffset val="100"/>
        <c:noMultiLvlLbl val="0"/>
      </c:catAx>
      <c:valAx>
        <c:axId val="903797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EC Square Sans Pro" panose="020B0506040000020004" pitchFamily="34" charset="0"/>
                <a:ea typeface="+mn-ea"/>
                <a:cs typeface="+mn-cs"/>
              </a:defRPr>
            </a:pPr>
            <a:endParaRPr lang="en-US"/>
          </a:p>
        </c:txPr>
        <c:crossAx val="9004135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ysClr val="windowText" lastClr="000000"/>
          </a:solidFill>
          <a:latin typeface="EC Square Sans Pro" panose="020B05060400000200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Semi Annual">
      <a:dk1>
        <a:sysClr val="windowText" lastClr="000000"/>
      </a:dk1>
      <a:lt1>
        <a:sysClr val="window" lastClr="FFFFFF"/>
      </a:lt1>
      <a:dk2>
        <a:srgbClr val="44546A"/>
      </a:dk2>
      <a:lt2>
        <a:srgbClr val="E7E6E6"/>
      </a:lt2>
      <a:accent1>
        <a:srgbClr val="034EA2"/>
      </a:accent1>
      <a:accent2>
        <a:srgbClr val="70AD47"/>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B&amp;L">
    <a:dk1>
      <a:srgbClr val="4D4D4D"/>
    </a:dk1>
    <a:lt1>
      <a:srgbClr val="FFFFFF"/>
    </a:lt1>
    <a:dk2>
      <a:srgbClr val="034EA2"/>
    </a:dk2>
    <a:lt2>
      <a:srgbClr val="D3E8F9"/>
    </a:lt2>
    <a:accent1>
      <a:srgbClr val="034EA2"/>
    </a:accent1>
    <a:accent2>
      <a:srgbClr val="FFC000"/>
    </a:accent2>
    <a:accent3>
      <a:srgbClr val="4C4B9A"/>
    </a:accent3>
    <a:accent4>
      <a:srgbClr val="45A6DD"/>
    </a:accent4>
    <a:accent5>
      <a:srgbClr val="00833D"/>
    </a:accent5>
    <a:accent6>
      <a:srgbClr val="F58A4B"/>
    </a:accent6>
    <a:hlink>
      <a:srgbClr val="0563C1"/>
    </a:hlink>
    <a:folHlink>
      <a:srgbClr val="24337E"/>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F58E2EF54E454EA52B55214ED8DE92" ma:contentTypeVersion="17" ma:contentTypeDescription="Create a new document." ma:contentTypeScope="" ma:versionID="9414361dd0de931eabf26d748330bcb9">
  <xsd:schema xmlns:xsd="http://www.w3.org/2001/XMLSchema" xmlns:xs="http://www.w3.org/2001/XMLSchema" xmlns:p="http://schemas.microsoft.com/office/2006/metadata/properties" xmlns:ns2="f34d8b02-ef1e-468a-baea-6b8502d30466" xmlns:ns3="5641df17-ff07-4a01-b99c-e2ec37129fd4" targetNamespace="http://schemas.microsoft.com/office/2006/metadata/properties" ma:root="true" ma:fieldsID="29273953bb227b499625c31d9cf91650" ns2:_="" ns3:_="">
    <xsd:import namespace="f34d8b02-ef1e-468a-baea-6b8502d30466"/>
    <xsd:import namespace="5641df17-ff07-4a01-b99c-e2ec37129f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ARESnumber" minOccurs="0"/>
                <xsd:element ref="ns2:lcf76f155ced4ddcb4097134ff3c332f"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Unit" minOccurs="0"/>
                <xsd:element ref="ns2:MediaServiceSearchProperties" minOccurs="0"/>
                <xsd:element ref="ns2:Printed" minOccurs="0"/>
                <xsd:element ref="ns2:Pri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d8b02-ef1e-468a-baea-6b8502d30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RESnumber" ma:index="12" nillable="true" ma:displayName="ARES number" ma:format="Dropdown" ma:internalName="ARESnumber">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Unit" ma:index="20" nillable="true" ma:displayName="Unit" ma:format="Dropdown" ma:internalName="Unit">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Printed" ma:index="22" nillable="true" ma:displayName="Printed" ma:default="0" ma:format="Dropdown" ma:internalName="Printed">
      <xsd:simpleType>
        <xsd:restriction base="dms:Boolean"/>
      </xsd:simpleType>
    </xsd:element>
    <xsd:element name="Print" ma:index="23" nillable="true" ma:displayName="Print" ma:default="0" ma:description="File for printing" ma:format="Dropdown" ma:internalName="Pri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41df17-ff07-4a01-b99c-e2ec37129f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4d8b02-ef1e-468a-baea-6b8502d30466">
      <Terms xmlns="http://schemas.microsoft.com/office/infopath/2007/PartnerControls"/>
    </lcf76f155ced4ddcb4097134ff3c332f>
    <Unit xmlns="f34d8b02-ef1e-468a-baea-6b8502d30466" xsi:nil="true"/>
    <ARESnumber xmlns="f34d8b02-ef1e-468a-baea-6b8502d30466" xsi:nil="true"/>
    <Printed xmlns="f34d8b02-ef1e-468a-baea-6b8502d30466">false</Printed>
    <Print xmlns="f34d8b02-ef1e-468a-baea-6b8502d30466">false</Prin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A94C4-E85F-4C7D-86AE-AE48CDBB8582}">
  <ds:schemaRefs>
    <ds:schemaRef ds:uri="http://schemas.microsoft.com/sharepoint/v3/contenttype/forms"/>
  </ds:schemaRefs>
</ds:datastoreItem>
</file>

<file path=customXml/itemProps2.xml><?xml version="1.0" encoding="utf-8"?>
<ds:datastoreItem xmlns:ds="http://schemas.openxmlformats.org/officeDocument/2006/customXml" ds:itemID="{667E1EB6-4D50-425D-9BED-4E5F5D66E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d8b02-ef1e-468a-baea-6b8502d30466"/>
    <ds:schemaRef ds:uri="5641df17-ff07-4a01-b99c-e2ec37129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DD84AA-26DF-44BD-B729-4DCED448F13E}">
  <ds:schemaRefs>
    <ds:schemaRef ds:uri="http://schemas.microsoft.com/office/2006/metadata/properties"/>
    <ds:schemaRef ds:uri="http://schemas.microsoft.com/office/infopath/2007/PartnerControls"/>
    <ds:schemaRef ds:uri="f34d8b02-ef1e-468a-baea-6b8502d30466"/>
  </ds:schemaRefs>
</ds:datastoreItem>
</file>

<file path=customXml/itemProps4.xml><?xml version="1.0" encoding="utf-8"?>
<ds:datastoreItem xmlns:ds="http://schemas.openxmlformats.org/officeDocument/2006/customXml" ds:itemID="{2D0746BE-DB97-4B06-B3B5-8FD45AC31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17</Pages>
  <Words>5337</Words>
  <Characters>30424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35690</CharactersWithSpaces>
  <SharedDoc>false</SharedDoc>
  <HLinks>
    <vt:vector size="96" baseType="variant">
      <vt:variant>
        <vt:i4>7667806</vt:i4>
      </vt:variant>
      <vt:variant>
        <vt:i4>51</vt:i4>
      </vt:variant>
      <vt:variant>
        <vt:i4>0</vt:i4>
      </vt:variant>
      <vt:variant>
        <vt:i4>5</vt:i4>
      </vt:variant>
      <vt:variant>
        <vt:lpwstr>https://commission.europa.eu/document/download/abdee617-a078-4ee3-a3ec-20c7d32725b5_en?filename=NextGenerationEU%20Green%20Bonds%20Allocation%20and%20Impact%20Report%202024.pdf</vt:lpwstr>
      </vt:variant>
      <vt:variant>
        <vt:lpwstr/>
      </vt:variant>
      <vt:variant>
        <vt:i4>7667806</vt:i4>
      </vt:variant>
      <vt:variant>
        <vt:i4>48</vt:i4>
      </vt:variant>
      <vt:variant>
        <vt:i4>0</vt:i4>
      </vt:variant>
      <vt:variant>
        <vt:i4>5</vt:i4>
      </vt:variant>
      <vt:variant>
        <vt:lpwstr>https://commission.europa.eu/document/download/abdee617-a078-4ee3-a3ec-20c7d32725b5_en?filename=NextGenerationEU%20Green%20Bonds%20Allocation%20and%20Impact%20Report%202024.pdf</vt:lpwstr>
      </vt:variant>
      <vt:variant>
        <vt:lpwstr/>
      </vt:variant>
      <vt:variant>
        <vt:i4>1441847</vt:i4>
      </vt:variant>
      <vt:variant>
        <vt:i4>38</vt:i4>
      </vt:variant>
      <vt:variant>
        <vt:i4>0</vt:i4>
      </vt:variant>
      <vt:variant>
        <vt:i4>5</vt:i4>
      </vt:variant>
      <vt:variant>
        <vt:lpwstr/>
      </vt:variant>
      <vt:variant>
        <vt:lpwstr>_Toc190904653</vt:lpwstr>
      </vt:variant>
      <vt:variant>
        <vt:i4>1441847</vt:i4>
      </vt:variant>
      <vt:variant>
        <vt:i4>32</vt:i4>
      </vt:variant>
      <vt:variant>
        <vt:i4>0</vt:i4>
      </vt:variant>
      <vt:variant>
        <vt:i4>5</vt:i4>
      </vt:variant>
      <vt:variant>
        <vt:lpwstr/>
      </vt:variant>
      <vt:variant>
        <vt:lpwstr>_Toc190904651</vt:lpwstr>
      </vt:variant>
      <vt:variant>
        <vt:i4>1441847</vt:i4>
      </vt:variant>
      <vt:variant>
        <vt:i4>26</vt:i4>
      </vt:variant>
      <vt:variant>
        <vt:i4>0</vt:i4>
      </vt:variant>
      <vt:variant>
        <vt:i4>5</vt:i4>
      </vt:variant>
      <vt:variant>
        <vt:lpwstr/>
      </vt:variant>
      <vt:variant>
        <vt:lpwstr>_Toc190904650</vt:lpwstr>
      </vt:variant>
      <vt:variant>
        <vt:i4>1507383</vt:i4>
      </vt:variant>
      <vt:variant>
        <vt:i4>20</vt:i4>
      </vt:variant>
      <vt:variant>
        <vt:i4>0</vt:i4>
      </vt:variant>
      <vt:variant>
        <vt:i4>5</vt:i4>
      </vt:variant>
      <vt:variant>
        <vt:lpwstr/>
      </vt:variant>
      <vt:variant>
        <vt:lpwstr>_Toc190904647</vt:lpwstr>
      </vt:variant>
      <vt:variant>
        <vt:i4>1507383</vt:i4>
      </vt:variant>
      <vt:variant>
        <vt:i4>14</vt:i4>
      </vt:variant>
      <vt:variant>
        <vt:i4>0</vt:i4>
      </vt:variant>
      <vt:variant>
        <vt:i4>5</vt:i4>
      </vt:variant>
      <vt:variant>
        <vt:lpwstr/>
      </vt:variant>
      <vt:variant>
        <vt:lpwstr>_Toc190904643</vt:lpwstr>
      </vt:variant>
      <vt:variant>
        <vt:i4>1507383</vt:i4>
      </vt:variant>
      <vt:variant>
        <vt:i4>8</vt:i4>
      </vt:variant>
      <vt:variant>
        <vt:i4>0</vt:i4>
      </vt:variant>
      <vt:variant>
        <vt:i4>5</vt:i4>
      </vt:variant>
      <vt:variant>
        <vt:lpwstr/>
      </vt:variant>
      <vt:variant>
        <vt:lpwstr>_Toc190904642</vt:lpwstr>
      </vt:variant>
      <vt:variant>
        <vt:i4>1507383</vt:i4>
      </vt:variant>
      <vt:variant>
        <vt:i4>2</vt:i4>
      </vt:variant>
      <vt:variant>
        <vt:i4>0</vt:i4>
      </vt:variant>
      <vt:variant>
        <vt:i4>5</vt:i4>
      </vt:variant>
      <vt:variant>
        <vt:lpwstr/>
      </vt:variant>
      <vt:variant>
        <vt:lpwstr>_Toc190904641</vt:lpwstr>
      </vt:variant>
      <vt:variant>
        <vt:i4>2097171</vt:i4>
      </vt:variant>
      <vt:variant>
        <vt:i4>18</vt:i4>
      </vt:variant>
      <vt:variant>
        <vt:i4>0</vt:i4>
      </vt:variant>
      <vt:variant>
        <vt:i4>5</vt:i4>
      </vt:variant>
      <vt:variant>
        <vt:lpwstr>https://commission.europa.eu/strategy-and-policy/eu-budget/eu-borrower-investor-relations/nextgenerationeu-green-bonds/dashboard_en</vt:lpwstr>
      </vt:variant>
      <vt:variant>
        <vt:lpwstr/>
      </vt:variant>
      <vt:variant>
        <vt:i4>7143527</vt:i4>
      </vt:variant>
      <vt:variant>
        <vt:i4>15</vt:i4>
      </vt:variant>
      <vt:variant>
        <vt:i4>0</vt:i4>
      </vt:variant>
      <vt:variant>
        <vt:i4>5</vt:i4>
      </vt:variant>
      <vt:variant>
        <vt:lpwstr>https://commission.europa.eu/system/files/2023-07/Fourth half-yearly report on the execution of the EU borrowing and lending operations.PDF</vt:lpwstr>
      </vt:variant>
      <vt:variant>
        <vt:lpwstr/>
      </vt:variant>
      <vt:variant>
        <vt:i4>7143426</vt:i4>
      </vt:variant>
      <vt:variant>
        <vt:i4>12</vt:i4>
      </vt:variant>
      <vt:variant>
        <vt:i4>0</vt:i4>
      </vt:variant>
      <vt:variant>
        <vt:i4>5</vt:i4>
      </vt:variant>
      <vt:variant>
        <vt:lpwstr>https://www.eca.europa.eu/Lists/ECAReplies/COM-Replies-SR-2023-16/COM-Replies-SR-2023-16_EN.pdf</vt:lpwstr>
      </vt:variant>
      <vt:variant>
        <vt:lpwstr/>
      </vt:variant>
      <vt:variant>
        <vt:i4>4653163</vt:i4>
      </vt:variant>
      <vt:variant>
        <vt:i4>9</vt:i4>
      </vt:variant>
      <vt:variant>
        <vt:i4>0</vt:i4>
      </vt:variant>
      <vt:variant>
        <vt:i4>5</vt:i4>
      </vt:variant>
      <vt:variant>
        <vt:lpwstr>https://www.eca.europa.eu/ECAPublications/SR-2023-16/SR-2023-16_EN.pdf</vt:lpwstr>
      </vt:variant>
      <vt:variant>
        <vt:lpwstr/>
      </vt:variant>
      <vt:variant>
        <vt:i4>7667806</vt:i4>
      </vt:variant>
      <vt:variant>
        <vt:i4>6</vt:i4>
      </vt:variant>
      <vt:variant>
        <vt:i4>0</vt:i4>
      </vt:variant>
      <vt:variant>
        <vt:i4>5</vt:i4>
      </vt:variant>
      <vt:variant>
        <vt:lpwstr>https://commission.europa.eu/document/download/abdee617-a078-4ee3-a3ec-20c7d32725b5_en?filename=NextGenerationEU%20Green%20Bonds%20Allocation%20and%20Impact%20Report%202024.pdf</vt:lpwstr>
      </vt:variant>
      <vt:variant>
        <vt:lpwstr/>
      </vt:variant>
      <vt:variant>
        <vt:i4>1179737</vt:i4>
      </vt:variant>
      <vt:variant>
        <vt:i4>3</vt:i4>
      </vt:variant>
      <vt:variant>
        <vt:i4>0</vt:i4>
      </vt:variant>
      <vt:variant>
        <vt:i4>5</vt:i4>
      </vt:variant>
      <vt:variant>
        <vt:lpwstr>https://eur-lex.europa.eu/legal-content/EN/TXT/PDF/?uri=CELEX:52024DC0240</vt:lpwstr>
      </vt:variant>
      <vt:variant>
        <vt:lpwstr/>
      </vt:variant>
      <vt:variant>
        <vt:i4>4653150</vt:i4>
      </vt:variant>
      <vt:variant>
        <vt:i4>0</vt:i4>
      </vt:variant>
      <vt:variant>
        <vt:i4>0</vt:i4>
      </vt:variant>
      <vt:variant>
        <vt:i4>5</vt:i4>
      </vt:variant>
      <vt:variant>
        <vt:lpwstr>https://commission.europa.eu/document/download/187852c2-07e0-4bef-af3f-5719b9077f2e_en?filename=COM_2024_474_1_EN_ACT_part1_v2.pdf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2026-01-19T11:19:00Z</cp:lastPrinted>
  <dcterms:created xsi:type="dcterms:W3CDTF">2026-03-26T15:48:00Z</dcterms:created>
  <dcterms:modified xsi:type="dcterms:W3CDTF">2026-04-14T08:05:00Z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20200226</vt:lpwstr>
  </property>
  <property fmtid="{D5CDD505-2E9C-101B-9397-08002B2CF9AE}" pid="9" name="MSIP_Label_6bd9ddd1-4d20-43f6-abfa-fc3c07406f94_Enabled">
    <vt:lpwstr>true</vt:lpwstr>
  </property>
  <property fmtid="{D5CDD505-2E9C-101B-9397-08002B2CF9AE}" pid="10" name="MSIP_Label_6bd9ddd1-4d20-43f6-abfa-fc3c07406f94_SetDate">
    <vt:lpwstr>2023-01-06T16:26:08Z</vt:lpwstr>
  </property>
  <property fmtid="{D5CDD505-2E9C-101B-9397-08002B2CF9AE}" pid="11" name="MSIP_Label_6bd9ddd1-4d20-43f6-abfa-fc3c07406f94_Method">
    <vt:lpwstr>Privileged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4805f13c-dee7-466f-8124-a3d55c6ed3fb</vt:lpwstr>
  </property>
  <property fmtid="{D5CDD505-2E9C-101B-9397-08002B2CF9AE}" pid="15" name="MSIP_Label_6bd9ddd1-4d20-43f6-abfa-fc3c07406f94_ContentBits">
    <vt:lpwstr>0</vt:lpwstr>
  </property>
  <property fmtid="{D5CDD505-2E9C-101B-9397-08002B2CF9AE}" pid="16" name="ContentTypeId">
    <vt:lpwstr>0x01010042F58E2EF54E454EA52B55214ED8DE92</vt:lpwstr>
  </property>
  <property fmtid="{D5CDD505-2E9C-101B-9397-08002B2CF9AE}" pid="17" name="_dlc_DocIdItemGuid">
    <vt:lpwstr>db1e2f6f-95af-4d44-836c-7358ec0b13c1</vt:lpwstr>
  </property>
  <property fmtid="{D5CDD505-2E9C-101B-9397-08002B2CF9AE}" pid="18" name="MediaServiceImageTags">
    <vt:lpwstr/>
  </property>
</Properties>
</file>