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0C46E" w14:textId="57B2C8E1" w:rsidR="00A13C5C" w:rsidRDefault="00D01676" w:rsidP="00D01676">
      <w:pPr>
        <w:pStyle w:val="Pagedecouverture"/>
        <w:rPr>
          <w:noProof/>
        </w:rPr>
      </w:pPr>
      <w:bookmarkStart w:id="0" w:name="LW_BM_COVERPAGE"/>
      <w:r>
        <w:rPr>
          <w:noProof/>
        </w:rPr>
        <w:pict w14:anchorId="29C36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0DAB53B-4270-49F9-AC1D-EE9F3C67F982" style="width:455.25pt;height:342pt">
            <v:imagedata r:id="rId8" o:title=""/>
          </v:shape>
        </w:pict>
      </w:r>
    </w:p>
    <w:bookmarkEnd w:id="0"/>
    <w:p w14:paraId="4D90687F" w14:textId="77777777" w:rsidR="00A13C5C" w:rsidRDefault="00A13C5C" w:rsidP="00A13C5C">
      <w:pPr>
        <w:rPr>
          <w:noProof/>
        </w:rPr>
        <w:sectPr w:rsidR="00A13C5C" w:rsidSect="00D0167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bookmarkStart w:id="2" w:name="_Toc86061890" w:displacedByCustomXml="next"/>
    <w:bookmarkStart w:id="3" w:name="_Toc86154512" w:displacedByCustomXml="next"/>
    <w:bookmarkStart w:id="4" w:name="_Toc185413377" w:displacedByCustomXml="next"/>
    <w:sdt>
      <w:sdtPr>
        <w:rPr>
          <w:noProof/>
        </w:rPr>
        <w:id w:val="68371494"/>
        <w:docPartObj>
          <w:docPartGallery w:val="Table of Contents"/>
          <w:docPartUnique/>
        </w:docPartObj>
      </w:sdtPr>
      <w:sdtEndPr/>
      <w:sdtContent>
        <w:p w14:paraId="082050CF" w14:textId="767E9C8B" w:rsidR="00D331A7" w:rsidRPr="00995F44" w:rsidRDefault="00D331A7" w:rsidP="00D331A7">
          <w:pPr>
            <w:tabs>
              <w:tab w:val="left" w:pos="851"/>
              <w:tab w:val="right" w:leader="dot" w:pos="9016"/>
            </w:tabs>
            <w:spacing w:after="100"/>
            <w:ind w:left="426" w:hanging="426"/>
            <w:jc w:val="center"/>
            <w:rPr>
              <w:rFonts w:ascii="Times New Roman" w:hAnsi="Times New Roman" w:cs="Times New Roman"/>
              <w:noProof/>
            </w:rPr>
          </w:pPr>
          <w:r w:rsidRPr="005C0B93">
            <w:rPr>
              <w:rFonts w:ascii="Times New Roman" w:hAnsi="Times New Roman" w:cs="Times New Roman"/>
              <w:noProof/>
            </w:rPr>
            <w:t>Table of Contents</w:t>
          </w:r>
        </w:p>
        <w:p w14:paraId="2AEBA685" w14:textId="7464D857" w:rsidR="00CD62B5" w:rsidRPr="00CD62B5" w:rsidRDefault="00D331A7">
          <w:pPr>
            <w:pStyle w:val="TOC1"/>
            <w:rPr>
              <w:rFonts w:asciiTheme="minorHAnsi" w:eastAsiaTheme="minorEastAsia" w:hAnsiTheme="minorHAnsi" w:cstheme="minorBidi"/>
              <w:kern w:val="2"/>
              <w:lang w:eastAsia="en-GB"/>
              <w14:ligatures w14:val="standardContextual"/>
            </w:rPr>
          </w:pPr>
          <w:r w:rsidRPr="00995F44">
            <w:fldChar w:fldCharType="begin"/>
          </w:r>
          <w:r w:rsidRPr="00995F44">
            <w:instrText>TOC \o "1-3" \h \z \u</w:instrText>
          </w:r>
          <w:r w:rsidRPr="00995F44">
            <w:fldChar w:fldCharType="separate"/>
          </w:r>
          <w:hyperlink w:anchor="_Toc209798637" w:history="1">
            <w:r w:rsidR="00CD62B5" w:rsidRPr="00CD62B5">
              <w:rPr>
                <w:rStyle w:val="Hyperlink"/>
              </w:rPr>
              <w:t>1.</w:t>
            </w:r>
            <w:r w:rsidR="00CD62B5" w:rsidRPr="00CD62B5">
              <w:rPr>
                <w:rFonts w:asciiTheme="minorHAnsi" w:eastAsiaTheme="minorEastAsia" w:hAnsiTheme="minorHAnsi" w:cstheme="minorBidi"/>
                <w:kern w:val="2"/>
                <w:lang w:eastAsia="en-GB"/>
                <w14:ligatures w14:val="standardContextual"/>
              </w:rPr>
              <w:tab/>
            </w:r>
            <w:r w:rsidR="00CD62B5" w:rsidRPr="00CD62B5">
              <w:rPr>
                <w:rStyle w:val="Hyperlink"/>
              </w:rPr>
              <w:t>Introduction</w:t>
            </w:r>
            <w:r w:rsidR="00CD62B5" w:rsidRPr="00CD62B5">
              <w:rPr>
                <w:webHidden/>
              </w:rPr>
              <w:tab/>
            </w:r>
            <w:r w:rsidR="00CD62B5" w:rsidRPr="00CD62B5">
              <w:rPr>
                <w:webHidden/>
              </w:rPr>
              <w:fldChar w:fldCharType="begin"/>
            </w:r>
            <w:r w:rsidR="00CD62B5" w:rsidRPr="00CD62B5">
              <w:rPr>
                <w:webHidden/>
              </w:rPr>
              <w:instrText xml:space="preserve"> PAGEREF _Toc209798637 \h </w:instrText>
            </w:r>
            <w:r w:rsidR="00CD62B5" w:rsidRPr="00CD62B5">
              <w:rPr>
                <w:webHidden/>
              </w:rPr>
            </w:r>
            <w:r w:rsidR="00CD62B5" w:rsidRPr="00CD62B5">
              <w:rPr>
                <w:webHidden/>
              </w:rPr>
              <w:fldChar w:fldCharType="separate"/>
            </w:r>
            <w:r w:rsidR="00FF5288">
              <w:rPr>
                <w:webHidden/>
              </w:rPr>
              <w:t>2</w:t>
            </w:r>
            <w:r w:rsidR="00CD62B5" w:rsidRPr="00CD62B5">
              <w:rPr>
                <w:webHidden/>
              </w:rPr>
              <w:fldChar w:fldCharType="end"/>
            </w:r>
          </w:hyperlink>
        </w:p>
        <w:p w14:paraId="2D5FFAA9" w14:textId="6D56D4BA" w:rsidR="00CD62B5" w:rsidRPr="00CD62B5" w:rsidRDefault="00D01676">
          <w:pPr>
            <w:pStyle w:val="TOC1"/>
            <w:rPr>
              <w:rFonts w:asciiTheme="minorHAnsi" w:eastAsiaTheme="minorEastAsia" w:hAnsiTheme="minorHAnsi" w:cstheme="minorBidi"/>
              <w:kern w:val="2"/>
              <w:lang w:eastAsia="en-GB"/>
              <w14:ligatures w14:val="standardContextual"/>
            </w:rPr>
          </w:pPr>
          <w:hyperlink w:anchor="_Toc209798638" w:history="1">
            <w:r w:rsidR="00CD62B5" w:rsidRPr="00CD62B5">
              <w:rPr>
                <w:rStyle w:val="Hyperlink"/>
              </w:rPr>
              <w:t>2.</w:t>
            </w:r>
            <w:r w:rsidR="00CD62B5" w:rsidRPr="00CD62B5">
              <w:rPr>
                <w:rFonts w:asciiTheme="minorHAnsi" w:eastAsiaTheme="minorEastAsia" w:hAnsiTheme="minorHAnsi" w:cstheme="minorBidi"/>
                <w:kern w:val="2"/>
                <w:lang w:eastAsia="en-GB"/>
                <w14:ligatures w14:val="standardContextual"/>
              </w:rPr>
              <w:tab/>
            </w:r>
            <w:r w:rsidR="00CD62B5" w:rsidRPr="00CD62B5">
              <w:rPr>
                <w:rStyle w:val="Hyperlink"/>
              </w:rPr>
              <w:t>Institutional framework</w:t>
            </w:r>
            <w:r w:rsidR="00CD62B5" w:rsidRPr="00CD62B5">
              <w:rPr>
                <w:webHidden/>
              </w:rPr>
              <w:tab/>
            </w:r>
            <w:r w:rsidR="00CD62B5" w:rsidRPr="00CD62B5">
              <w:rPr>
                <w:webHidden/>
              </w:rPr>
              <w:fldChar w:fldCharType="begin"/>
            </w:r>
            <w:r w:rsidR="00CD62B5" w:rsidRPr="00CD62B5">
              <w:rPr>
                <w:webHidden/>
              </w:rPr>
              <w:instrText xml:space="preserve"> PAGEREF _Toc209798638 \h </w:instrText>
            </w:r>
            <w:r w:rsidR="00CD62B5" w:rsidRPr="00CD62B5">
              <w:rPr>
                <w:webHidden/>
              </w:rPr>
            </w:r>
            <w:r w:rsidR="00CD62B5" w:rsidRPr="00CD62B5">
              <w:rPr>
                <w:webHidden/>
              </w:rPr>
              <w:fldChar w:fldCharType="separate"/>
            </w:r>
            <w:r w:rsidR="00FF5288">
              <w:rPr>
                <w:webHidden/>
              </w:rPr>
              <w:t>3</w:t>
            </w:r>
            <w:r w:rsidR="00CD62B5" w:rsidRPr="00CD62B5">
              <w:rPr>
                <w:webHidden/>
              </w:rPr>
              <w:fldChar w:fldCharType="end"/>
            </w:r>
          </w:hyperlink>
        </w:p>
        <w:p w14:paraId="561FDDAA" w14:textId="7F36773F" w:rsidR="00CD62B5" w:rsidRPr="00CD62B5" w:rsidRDefault="00D01676">
          <w:pPr>
            <w:pStyle w:val="TOC1"/>
            <w:rPr>
              <w:rFonts w:asciiTheme="minorHAnsi" w:eastAsiaTheme="minorEastAsia" w:hAnsiTheme="minorHAnsi" w:cstheme="minorBidi"/>
              <w:kern w:val="2"/>
              <w:lang w:eastAsia="en-GB"/>
              <w14:ligatures w14:val="standardContextual"/>
            </w:rPr>
          </w:pPr>
          <w:hyperlink w:anchor="_Toc209798639" w:history="1">
            <w:r w:rsidR="00CD62B5" w:rsidRPr="00CD62B5">
              <w:rPr>
                <w:rStyle w:val="Hyperlink"/>
              </w:rPr>
              <w:t>3.</w:t>
            </w:r>
            <w:r w:rsidR="00CD62B5" w:rsidRPr="00CD62B5">
              <w:rPr>
                <w:rFonts w:asciiTheme="minorHAnsi" w:eastAsiaTheme="minorEastAsia" w:hAnsiTheme="minorHAnsi" w:cstheme="minorBidi"/>
                <w:kern w:val="2"/>
                <w:lang w:eastAsia="en-GB"/>
                <w14:ligatures w14:val="standardContextual"/>
              </w:rPr>
              <w:tab/>
            </w:r>
            <w:r w:rsidR="00CD62B5" w:rsidRPr="00CD62B5">
              <w:rPr>
                <w:rStyle w:val="Hyperlink"/>
              </w:rPr>
              <w:t>Complaints and dispute settlement</w:t>
            </w:r>
            <w:r w:rsidR="00CD62B5" w:rsidRPr="00CD62B5">
              <w:rPr>
                <w:webHidden/>
              </w:rPr>
              <w:tab/>
            </w:r>
            <w:r w:rsidR="00CD62B5" w:rsidRPr="00CD62B5">
              <w:rPr>
                <w:webHidden/>
              </w:rPr>
              <w:fldChar w:fldCharType="begin"/>
            </w:r>
            <w:r w:rsidR="00CD62B5" w:rsidRPr="00CD62B5">
              <w:rPr>
                <w:webHidden/>
              </w:rPr>
              <w:instrText xml:space="preserve"> PAGEREF _Toc209798639 \h </w:instrText>
            </w:r>
            <w:r w:rsidR="00CD62B5" w:rsidRPr="00CD62B5">
              <w:rPr>
                <w:webHidden/>
              </w:rPr>
            </w:r>
            <w:r w:rsidR="00CD62B5" w:rsidRPr="00CD62B5">
              <w:rPr>
                <w:webHidden/>
              </w:rPr>
              <w:fldChar w:fldCharType="separate"/>
            </w:r>
            <w:r w:rsidR="00FF5288">
              <w:rPr>
                <w:webHidden/>
              </w:rPr>
              <w:t>4</w:t>
            </w:r>
            <w:r w:rsidR="00CD62B5" w:rsidRPr="00CD62B5">
              <w:rPr>
                <w:webHidden/>
              </w:rPr>
              <w:fldChar w:fldCharType="end"/>
            </w:r>
          </w:hyperlink>
        </w:p>
        <w:p w14:paraId="1F87AC69" w14:textId="376A8590" w:rsidR="00CD62B5" w:rsidRPr="00CD62B5" w:rsidRDefault="00D01676">
          <w:pPr>
            <w:pStyle w:val="TOC2"/>
            <w:rPr>
              <w:rFonts w:eastAsiaTheme="minorEastAsia"/>
              <w:noProof/>
              <w:kern w:val="2"/>
              <w:sz w:val="24"/>
              <w:szCs w:val="24"/>
              <w:lang w:eastAsia="en-GB"/>
              <w14:ligatures w14:val="standardContextual"/>
            </w:rPr>
          </w:pPr>
          <w:hyperlink w:anchor="_Toc209798640" w:history="1">
            <w:r w:rsidR="00CD62B5" w:rsidRPr="00CD62B5">
              <w:rPr>
                <w:rStyle w:val="Hyperlink"/>
                <w:rFonts w:ascii="Times New Roman" w:hAnsi="Times New Roman" w:cs="Times New Roman"/>
                <w:noProof/>
              </w:rPr>
              <w:t>3.1.</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Complaints</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_Toc209798640 \h </w:instrText>
            </w:r>
            <w:r w:rsidR="00CD62B5" w:rsidRPr="00CD62B5">
              <w:rPr>
                <w:noProof/>
                <w:webHidden/>
              </w:rPr>
            </w:r>
            <w:r w:rsidR="00CD62B5" w:rsidRPr="00CD62B5">
              <w:rPr>
                <w:noProof/>
                <w:webHidden/>
              </w:rPr>
              <w:fldChar w:fldCharType="separate"/>
            </w:r>
            <w:r w:rsidR="00FF5288">
              <w:rPr>
                <w:noProof/>
                <w:webHidden/>
              </w:rPr>
              <w:t>4</w:t>
            </w:r>
            <w:r w:rsidR="00CD62B5" w:rsidRPr="00CD62B5">
              <w:rPr>
                <w:noProof/>
                <w:webHidden/>
              </w:rPr>
              <w:fldChar w:fldCharType="end"/>
            </w:r>
          </w:hyperlink>
        </w:p>
        <w:p w14:paraId="32EDEFF8" w14:textId="4D2A5B37" w:rsidR="00CD62B5" w:rsidRPr="00CD62B5" w:rsidRDefault="00D01676">
          <w:pPr>
            <w:pStyle w:val="TOC2"/>
            <w:rPr>
              <w:rFonts w:eastAsiaTheme="minorEastAsia"/>
              <w:noProof/>
              <w:kern w:val="2"/>
              <w:sz w:val="24"/>
              <w:szCs w:val="24"/>
              <w:lang w:eastAsia="en-GB"/>
              <w14:ligatures w14:val="standardContextual"/>
            </w:rPr>
          </w:pPr>
          <w:hyperlink w:anchor="_Toc209798641" w:history="1">
            <w:r w:rsidR="00CD62B5" w:rsidRPr="00CD62B5">
              <w:rPr>
                <w:rStyle w:val="Hyperlink"/>
                <w:rFonts w:ascii="Times New Roman" w:eastAsia="Times New Roman" w:hAnsi="Times New Roman" w:cs="Times New Roman"/>
                <w:noProof/>
              </w:rPr>
              <w:t>3.2.</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eastAsia="Times New Roman" w:hAnsi="Times New Roman" w:cs="Times New Roman"/>
                <w:noProof/>
              </w:rPr>
              <w:t>Dispute settlement</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_Toc209798641 \h </w:instrText>
            </w:r>
            <w:r w:rsidR="00CD62B5" w:rsidRPr="00CD62B5">
              <w:rPr>
                <w:noProof/>
                <w:webHidden/>
              </w:rPr>
            </w:r>
            <w:r w:rsidR="00CD62B5" w:rsidRPr="00CD62B5">
              <w:rPr>
                <w:noProof/>
                <w:webHidden/>
              </w:rPr>
              <w:fldChar w:fldCharType="separate"/>
            </w:r>
            <w:r w:rsidR="00FF5288">
              <w:rPr>
                <w:noProof/>
                <w:webHidden/>
              </w:rPr>
              <w:t>4</w:t>
            </w:r>
            <w:r w:rsidR="00CD62B5" w:rsidRPr="00CD62B5">
              <w:rPr>
                <w:noProof/>
                <w:webHidden/>
              </w:rPr>
              <w:fldChar w:fldCharType="end"/>
            </w:r>
          </w:hyperlink>
        </w:p>
        <w:p w14:paraId="6D1BBCEE" w14:textId="0EC589FB" w:rsidR="00CD62B5" w:rsidRPr="00CD62B5" w:rsidRDefault="00D01676">
          <w:pPr>
            <w:pStyle w:val="TOC1"/>
            <w:rPr>
              <w:rFonts w:asciiTheme="minorHAnsi" w:eastAsiaTheme="minorEastAsia" w:hAnsiTheme="minorHAnsi" w:cstheme="minorBidi"/>
              <w:kern w:val="2"/>
              <w:lang w:eastAsia="en-GB"/>
              <w14:ligatures w14:val="standardContextual"/>
            </w:rPr>
          </w:pPr>
          <w:hyperlink w:anchor="_Toc209798642" w:history="1">
            <w:r w:rsidR="00CD62B5" w:rsidRPr="00CD62B5">
              <w:rPr>
                <w:rStyle w:val="Hyperlink"/>
              </w:rPr>
              <w:t>4.</w:t>
            </w:r>
            <w:r w:rsidR="00CD62B5" w:rsidRPr="00CD62B5">
              <w:rPr>
                <w:rFonts w:asciiTheme="minorHAnsi" w:eastAsiaTheme="minorEastAsia" w:hAnsiTheme="minorHAnsi" w:cstheme="minorBidi"/>
                <w:kern w:val="2"/>
                <w:lang w:eastAsia="en-GB"/>
                <w14:ligatures w14:val="standardContextual"/>
              </w:rPr>
              <w:tab/>
            </w:r>
            <w:r w:rsidR="00CD62B5" w:rsidRPr="00CD62B5">
              <w:rPr>
                <w:rStyle w:val="Hyperlink"/>
              </w:rPr>
              <w:t>Sectoral implementation</w:t>
            </w:r>
            <w:r w:rsidR="00CD62B5" w:rsidRPr="00CD62B5">
              <w:rPr>
                <w:webHidden/>
              </w:rPr>
              <w:tab/>
            </w:r>
            <w:r w:rsidR="00CD62B5" w:rsidRPr="00CD62B5">
              <w:rPr>
                <w:webHidden/>
              </w:rPr>
              <w:fldChar w:fldCharType="begin"/>
            </w:r>
            <w:r w:rsidR="00CD62B5" w:rsidRPr="00CD62B5">
              <w:rPr>
                <w:webHidden/>
              </w:rPr>
              <w:instrText xml:space="preserve"> PAGEREF _Toc209798642 \h </w:instrText>
            </w:r>
            <w:r w:rsidR="00CD62B5" w:rsidRPr="00CD62B5">
              <w:rPr>
                <w:webHidden/>
              </w:rPr>
            </w:r>
            <w:r w:rsidR="00CD62B5" w:rsidRPr="00CD62B5">
              <w:rPr>
                <w:webHidden/>
              </w:rPr>
              <w:fldChar w:fldCharType="separate"/>
            </w:r>
            <w:r w:rsidR="00FF5288">
              <w:rPr>
                <w:webHidden/>
              </w:rPr>
              <w:t>5</w:t>
            </w:r>
            <w:r w:rsidR="00CD62B5" w:rsidRPr="00CD62B5">
              <w:rPr>
                <w:webHidden/>
              </w:rPr>
              <w:fldChar w:fldCharType="end"/>
            </w:r>
          </w:hyperlink>
        </w:p>
        <w:p w14:paraId="5C2BED5F" w14:textId="063F5BB4" w:rsidR="00CD62B5" w:rsidRPr="00CD62B5" w:rsidRDefault="00D01676">
          <w:pPr>
            <w:pStyle w:val="TOC2"/>
            <w:rPr>
              <w:rFonts w:eastAsiaTheme="minorEastAsia"/>
              <w:noProof/>
              <w:kern w:val="2"/>
              <w:sz w:val="24"/>
              <w:szCs w:val="24"/>
              <w:lang w:eastAsia="en-GB"/>
              <w14:ligatures w14:val="standardContextual"/>
            </w:rPr>
          </w:pPr>
          <w:hyperlink w:anchor="_Toc209798643" w:history="1">
            <w:r w:rsidR="00CD62B5" w:rsidRPr="00CD62B5">
              <w:rPr>
                <w:rStyle w:val="Hyperlink"/>
                <w:rFonts w:ascii="Times New Roman" w:hAnsi="Times New Roman" w:cs="Times New Roman"/>
                <w:noProof/>
              </w:rPr>
              <w:t>4.1.</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Trade in goods</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_Toc209798643 \h </w:instrText>
            </w:r>
            <w:r w:rsidR="00CD62B5" w:rsidRPr="00CD62B5">
              <w:rPr>
                <w:noProof/>
                <w:webHidden/>
              </w:rPr>
            </w:r>
            <w:r w:rsidR="00CD62B5" w:rsidRPr="00CD62B5">
              <w:rPr>
                <w:noProof/>
                <w:webHidden/>
              </w:rPr>
              <w:fldChar w:fldCharType="separate"/>
            </w:r>
            <w:r w:rsidR="00FF5288">
              <w:rPr>
                <w:noProof/>
                <w:webHidden/>
              </w:rPr>
              <w:t>5</w:t>
            </w:r>
            <w:r w:rsidR="00CD62B5" w:rsidRPr="00CD62B5">
              <w:rPr>
                <w:noProof/>
                <w:webHidden/>
              </w:rPr>
              <w:fldChar w:fldCharType="end"/>
            </w:r>
          </w:hyperlink>
        </w:p>
        <w:p w14:paraId="1C3E398B" w14:textId="6D8202BB" w:rsidR="00CD62B5" w:rsidRPr="00CD62B5" w:rsidRDefault="00D01676">
          <w:pPr>
            <w:pStyle w:val="TOC2"/>
            <w:rPr>
              <w:rFonts w:eastAsiaTheme="minorEastAsia"/>
              <w:noProof/>
              <w:kern w:val="2"/>
              <w:sz w:val="24"/>
              <w:szCs w:val="24"/>
              <w:lang w:eastAsia="en-GB"/>
              <w14:ligatures w14:val="standardContextual"/>
            </w:rPr>
          </w:pPr>
          <w:hyperlink w:anchor="_Toc209798644" w:history="1">
            <w:r w:rsidR="00CD62B5" w:rsidRPr="00CD62B5">
              <w:rPr>
                <w:rStyle w:val="Hyperlink"/>
                <w:rFonts w:ascii="Times New Roman" w:hAnsi="Times New Roman" w:cs="Times New Roman"/>
                <w:noProof/>
              </w:rPr>
              <w:t>4.2.</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Services and investment, digital trade, public procurement, and small and medium-sized enterprises</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_Toc209798644 \h </w:instrText>
            </w:r>
            <w:r w:rsidR="00CD62B5" w:rsidRPr="00CD62B5">
              <w:rPr>
                <w:noProof/>
                <w:webHidden/>
              </w:rPr>
            </w:r>
            <w:r w:rsidR="00CD62B5" w:rsidRPr="00CD62B5">
              <w:rPr>
                <w:noProof/>
                <w:webHidden/>
              </w:rPr>
              <w:fldChar w:fldCharType="separate"/>
            </w:r>
            <w:r w:rsidR="00FF5288">
              <w:rPr>
                <w:noProof/>
                <w:webHidden/>
              </w:rPr>
              <w:t>7</w:t>
            </w:r>
            <w:r w:rsidR="00CD62B5" w:rsidRPr="00CD62B5">
              <w:rPr>
                <w:noProof/>
                <w:webHidden/>
              </w:rPr>
              <w:fldChar w:fldCharType="end"/>
            </w:r>
          </w:hyperlink>
        </w:p>
        <w:p w14:paraId="1A324FC8" w14:textId="09AB63AE" w:rsidR="00CD62B5" w:rsidRPr="00CD62B5" w:rsidRDefault="00D01676">
          <w:pPr>
            <w:pStyle w:val="TOC2"/>
            <w:rPr>
              <w:rFonts w:eastAsiaTheme="minorEastAsia"/>
              <w:noProof/>
              <w:kern w:val="2"/>
              <w:sz w:val="24"/>
              <w:szCs w:val="24"/>
              <w:lang w:eastAsia="en-GB"/>
              <w14:ligatures w14:val="standardContextual"/>
            </w:rPr>
          </w:pPr>
          <w:hyperlink w:anchor="_Toc209798645" w:history="1">
            <w:r w:rsidR="00CD62B5" w:rsidRPr="00CD62B5">
              <w:rPr>
                <w:rStyle w:val="Hyperlink"/>
                <w:rFonts w:ascii="Times New Roman" w:hAnsi="Times New Roman" w:cs="Times New Roman"/>
                <w:noProof/>
              </w:rPr>
              <w:t>4.3.</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Intellectual property rights.</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_Toc209798645 \h </w:instrText>
            </w:r>
            <w:r w:rsidR="00CD62B5" w:rsidRPr="00CD62B5">
              <w:rPr>
                <w:noProof/>
                <w:webHidden/>
              </w:rPr>
            </w:r>
            <w:r w:rsidR="00CD62B5" w:rsidRPr="00CD62B5">
              <w:rPr>
                <w:noProof/>
                <w:webHidden/>
              </w:rPr>
              <w:fldChar w:fldCharType="separate"/>
            </w:r>
            <w:r w:rsidR="00FF5288">
              <w:rPr>
                <w:noProof/>
                <w:webHidden/>
              </w:rPr>
              <w:t>9</w:t>
            </w:r>
            <w:r w:rsidR="00CD62B5" w:rsidRPr="00CD62B5">
              <w:rPr>
                <w:noProof/>
                <w:webHidden/>
              </w:rPr>
              <w:fldChar w:fldCharType="end"/>
            </w:r>
          </w:hyperlink>
        </w:p>
        <w:p w14:paraId="172B6DAC" w14:textId="4AF6B682" w:rsidR="00CD62B5" w:rsidRPr="00CD62B5" w:rsidRDefault="00D01676">
          <w:pPr>
            <w:pStyle w:val="TOC2"/>
            <w:rPr>
              <w:rFonts w:eastAsiaTheme="minorEastAsia"/>
              <w:noProof/>
              <w:kern w:val="2"/>
              <w:sz w:val="24"/>
              <w:szCs w:val="24"/>
              <w:lang w:eastAsia="en-GB"/>
              <w14:ligatures w14:val="standardContextual"/>
            </w:rPr>
          </w:pPr>
          <w:hyperlink w:anchor="_Toc209798646" w:history="1">
            <w:r w:rsidR="00CD62B5" w:rsidRPr="00CD62B5">
              <w:rPr>
                <w:rStyle w:val="Hyperlink"/>
                <w:rFonts w:ascii="Times New Roman" w:hAnsi="Times New Roman" w:cs="Times New Roman"/>
                <w:noProof/>
              </w:rPr>
              <w:t>4.4.</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Level playing field</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_Toc209798646 \h </w:instrText>
            </w:r>
            <w:r w:rsidR="00CD62B5" w:rsidRPr="00CD62B5">
              <w:rPr>
                <w:noProof/>
                <w:webHidden/>
              </w:rPr>
            </w:r>
            <w:r w:rsidR="00CD62B5" w:rsidRPr="00CD62B5">
              <w:rPr>
                <w:noProof/>
                <w:webHidden/>
              </w:rPr>
              <w:fldChar w:fldCharType="separate"/>
            </w:r>
            <w:r w:rsidR="00FF5288">
              <w:rPr>
                <w:noProof/>
                <w:webHidden/>
              </w:rPr>
              <w:t>9</w:t>
            </w:r>
            <w:r w:rsidR="00CD62B5" w:rsidRPr="00CD62B5">
              <w:rPr>
                <w:noProof/>
                <w:webHidden/>
              </w:rPr>
              <w:fldChar w:fldCharType="end"/>
            </w:r>
          </w:hyperlink>
        </w:p>
        <w:p w14:paraId="781B13EE" w14:textId="66E22D53" w:rsidR="00CD62B5" w:rsidRPr="00CD62B5" w:rsidRDefault="00D01676">
          <w:pPr>
            <w:pStyle w:val="TOC2"/>
            <w:rPr>
              <w:rFonts w:eastAsiaTheme="minorEastAsia"/>
              <w:noProof/>
              <w:kern w:val="2"/>
              <w:sz w:val="24"/>
              <w:szCs w:val="24"/>
              <w:lang w:eastAsia="en-GB"/>
              <w14:ligatures w14:val="standardContextual"/>
            </w:rPr>
          </w:pPr>
          <w:hyperlink w:anchor="_Toc209798647" w:history="1">
            <w:r w:rsidR="00CD62B5" w:rsidRPr="00CD62B5">
              <w:rPr>
                <w:rStyle w:val="Hyperlink"/>
                <w:rFonts w:ascii="Times New Roman" w:hAnsi="Times New Roman" w:cs="Times New Roman"/>
                <w:noProof/>
              </w:rPr>
              <w:t>4.5.</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Energy</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_Toc209798647 \h </w:instrText>
            </w:r>
            <w:r w:rsidR="00CD62B5" w:rsidRPr="00CD62B5">
              <w:rPr>
                <w:noProof/>
                <w:webHidden/>
              </w:rPr>
            </w:r>
            <w:r w:rsidR="00CD62B5" w:rsidRPr="00CD62B5">
              <w:rPr>
                <w:noProof/>
                <w:webHidden/>
              </w:rPr>
              <w:fldChar w:fldCharType="separate"/>
            </w:r>
            <w:r w:rsidR="00FF5288">
              <w:rPr>
                <w:noProof/>
                <w:webHidden/>
              </w:rPr>
              <w:t>10</w:t>
            </w:r>
            <w:r w:rsidR="00CD62B5" w:rsidRPr="00CD62B5">
              <w:rPr>
                <w:noProof/>
                <w:webHidden/>
              </w:rPr>
              <w:fldChar w:fldCharType="end"/>
            </w:r>
          </w:hyperlink>
        </w:p>
        <w:p w14:paraId="41D8975C" w14:textId="41CEE2C9" w:rsidR="00CD62B5" w:rsidRPr="00CD62B5" w:rsidRDefault="00D01676">
          <w:pPr>
            <w:pStyle w:val="TOC2"/>
            <w:rPr>
              <w:rFonts w:eastAsiaTheme="minorEastAsia"/>
              <w:noProof/>
              <w:kern w:val="2"/>
              <w:sz w:val="24"/>
              <w:szCs w:val="24"/>
              <w:lang w:eastAsia="en-GB"/>
              <w14:ligatures w14:val="standardContextual"/>
            </w:rPr>
          </w:pPr>
          <w:hyperlink w:anchor="_Toc209798648" w:history="1">
            <w:r w:rsidR="00CD62B5" w:rsidRPr="00CD62B5">
              <w:rPr>
                <w:rStyle w:val="Hyperlink"/>
                <w:rFonts w:ascii="Times New Roman" w:hAnsi="Times New Roman" w:cs="Times New Roman"/>
                <w:noProof/>
              </w:rPr>
              <w:t>4.6.</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Transport</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_Toc209798648 \h </w:instrText>
            </w:r>
            <w:r w:rsidR="00CD62B5" w:rsidRPr="00CD62B5">
              <w:rPr>
                <w:noProof/>
                <w:webHidden/>
              </w:rPr>
            </w:r>
            <w:r w:rsidR="00CD62B5" w:rsidRPr="00CD62B5">
              <w:rPr>
                <w:noProof/>
                <w:webHidden/>
              </w:rPr>
              <w:fldChar w:fldCharType="separate"/>
            </w:r>
            <w:r w:rsidR="00FF5288">
              <w:rPr>
                <w:noProof/>
                <w:webHidden/>
              </w:rPr>
              <w:t>11</w:t>
            </w:r>
            <w:r w:rsidR="00CD62B5" w:rsidRPr="00CD62B5">
              <w:rPr>
                <w:noProof/>
                <w:webHidden/>
              </w:rPr>
              <w:fldChar w:fldCharType="end"/>
            </w:r>
          </w:hyperlink>
        </w:p>
        <w:p w14:paraId="2D336EAD" w14:textId="728820B7" w:rsidR="00CD62B5" w:rsidRPr="00CD62B5" w:rsidRDefault="00D01676">
          <w:pPr>
            <w:pStyle w:val="TOC2"/>
            <w:rPr>
              <w:rFonts w:eastAsiaTheme="minorEastAsia"/>
              <w:noProof/>
              <w:kern w:val="2"/>
              <w:sz w:val="24"/>
              <w:szCs w:val="24"/>
              <w:lang w:eastAsia="en-GB"/>
              <w14:ligatures w14:val="standardContextual"/>
            </w:rPr>
          </w:pPr>
          <w:hyperlink w:anchor="_Toc209798649" w:history="1">
            <w:r w:rsidR="00CD62B5" w:rsidRPr="00CD62B5">
              <w:rPr>
                <w:rStyle w:val="Hyperlink"/>
                <w:rFonts w:ascii="Times New Roman" w:hAnsi="Times New Roman" w:cs="Times New Roman"/>
                <w:noProof/>
              </w:rPr>
              <w:t>4.7.</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Fisheries</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_Toc209798649 \h </w:instrText>
            </w:r>
            <w:r w:rsidR="00CD62B5" w:rsidRPr="00CD62B5">
              <w:rPr>
                <w:noProof/>
                <w:webHidden/>
              </w:rPr>
            </w:r>
            <w:r w:rsidR="00CD62B5" w:rsidRPr="00CD62B5">
              <w:rPr>
                <w:noProof/>
                <w:webHidden/>
              </w:rPr>
              <w:fldChar w:fldCharType="separate"/>
            </w:r>
            <w:r w:rsidR="00FF5288">
              <w:rPr>
                <w:noProof/>
                <w:webHidden/>
              </w:rPr>
              <w:t>12</w:t>
            </w:r>
            <w:r w:rsidR="00CD62B5" w:rsidRPr="00CD62B5">
              <w:rPr>
                <w:noProof/>
                <w:webHidden/>
              </w:rPr>
              <w:fldChar w:fldCharType="end"/>
            </w:r>
          </w:hyperlink>
        </w:p>
        <w:p w14:paraId="2929BCEA" w14:textId="44136AE6" w:rsidR="00CD62B5" w:rsidRPr="00CD62B5" w:rsidRDefault="00D01676">
          <w:pPr>
            <w:pStyle w:val="TOC2"/>
            <w:rPr>
              <w:rFonts w:eastAsiaTheme="minorEastAsia"/>
              <w:noProof/>
              <w:kern w:val="2"/>
              <w:sz w:val="24"/>
              <w:szCs w:val="24"/>
              <w:lang w:eastAsia="en-GB"/>
              <w14:ligatures w14:val="standardContextual"/>
            </w:rPr>
          </w:pPr>
          <w:hyperlink w:anchor="_Toc209798650" w:history="1">
            <w:r w:rsidR="00CD62B5" w:rsidRPr="00CD62B5">
              <w:rPr>
                <w:rStyle w:val="Hyperlink"/>
                <w:rFonts w:ascii="Times New Roman" w:hAnsi="Times New Roman" w:cs="Times New Roman"/>
                <w:noProof/>
              </w:rPr>
              <w:t>4.8.</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Social security coordination</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_Toc209798650 \h </w:instrText>
            </w:r>
            <w:r w:rsidR="00CD62B5" w:rsidRPr="00CD62B5">
              <w:rPr>
                <w:noProof/>
                <w:webHidden/>
              </w:rPr>
            </w:r>
            <w:r w:rsidR="00CD62B5" w:rsidRPr="00CD62B5">
              <w:rPr>
                <w:noProof/>
                <w:webHidden/>
              </w:rPr>
              <w:fldChar w:fldCharType="separate"/>
            </w:r>
            <w:r w:rsidR="00FF5288">
              <w:rPr>
                <w:noProof/>
                <w:webHidden/>
              </w:rPr>
              <w:t>12</w:t>
            </w:r>
            <w:r w:rsidR="00CD62B5" w:rsidRPr="00CD62B5">
              <w:rPr>
                <w:noProof/>
                <w:webHidden/>
              </w:rPr>
              <w:fldChar w:fldCharType="end"/>
            </w:r>
          </w:hyperlink>
        </w:p>
        <w:p w14:paraId="41411D39" w14:textId="46217BBF" w:rsidR="00CD62B5" w:rsidRPr="00CD62B5" w:rsidRDefault="00D01676">
          <w:pPr>
            <w:pStyle w:val="TOC2"/>
            <w:rPr>
              <w:rFonts w:eastAsiaTheme="minorEastAsia"/>
              <w:noProof/>
              <w:kern w:val="2"/>
              <w:sz w:val="24"/>
              <w:szCs w:val="24"/>
              <w:lang w:eastAsia="en-GB"/>
              <w14:ligatures w14:val="standardContextual"/>
            </w:rPr>
          </w:pPr>
          <w:hyperlink w:anchor="_Toc209798651" w:history="1">
            <w:r w:rsidR="00CD62B5" w:rsidRPr="00CD62B5">
              <w:rPr>
                <w:rStyle w:val="Hyperlink"/>
                <w:rFonts w:ascii="Times New Roman" w:hAnsi="Times New Roman" w:cs="Times New Roman"/>
                <w:noProof/>
              </w:rPr>
              <w:t>4.9.</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Law enforcement and judicial cooperation in criminal matters</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_Toc209798651 \h </w:instrText>
            </w:r>
            <w:r w:rsidR="00CD62B5" w:rsidRPr="00CD62B5">
              <w:rPr>
                <w:noProof/>
                <w:webHidden/>
              </w:rPr>
            </w:r>
            <w:r w:rsidR="00CD62B5" w:rsidRPr="00CD62B5">
              <w:rPr>
                <w:noProof/>
                <w:webHidden/>
              </w:rPr>
              <w:fldChar w:fldCharType="separate"/>
            </w:r>
            <w:r w:rsidR="00FF5288">
              <w:rPr>
                <w:noProof/>
                <w:webHidden/>
              </w:rPr>
              <w:t>12</w:t>
            </w:r>
            <w:r w:rsidR="00CD62B5" w:rsidRPr="00CD62B5">
              <w:rPr>
                <w:noProof/>
                <w:webHidden/>
              </w:rPr>
              <w:fldChar w:fldCharType="end"/>
            </w:r>
          </w:hyperlink>
        </w:p>
        <w:p w14:paraId="7A0AE0BB" w14:textId="015254BD" w:rsidR="00CD62B5" w:rsidRPr="00CD62B5" w:rsidRDefault="00D01676">
          <w:pPr>
            <w:pStyle w:val="TOC2"/>
            <w:rPr>
              <w:rFonts w:eastAsiaTheme="minorEastAsia"/>
              <w:noProof/>
              <w:kern w:val="2"/>
              <w:sz w:val="24"/>
              <w:szCs w:val="24"/>
              <w:lang w:eastAsia="en-GB"/>
              <w14:ligatures w14:val="standardContextual"/>
            </w:rPr>
          </w:pPr>
          <w:hyperlink w:anchor="_Toc209798652" w:history="1">
            <w:r w:rsidR="00CD62B5" w:rsidRPr="00CD62B5">
              <w:rPr>
                <w:rStyle w:val="Hyperlink"/>
                <w:rFonts w:ascii="Times New Roman" w:hAnsi="Times New Roman" w:cs="Times New Roman"/>
                <w:noProof/>
              </w:rPr>
              <w:t>4.10.</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Association of the United Kingdom to certain EU programmes</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_Toc209798652 \h </w:instrText>
            </w:r>
            <w:r w:rsidR="00CD62B5" w:rsidRPr="00CD62B5">
              <w:rPr>
                <w:noProof/>
                <w:webHidden/>
              </w:rPr>
            </w:r>
            <w:r w:rsidR="00CD62B5" w:rsidRPr="00CD62B5">
              <w:rPr>
                <w:noProof/>
                <w:webHidden/>
              </w:rPr>
              <w:fldChar w:fldCharType="separate"/>
            </w:r>
            <w:r w:rsidR="00FF5288">
              <w:rPr>
                <w:noProof/>
                <w:webHidden/>
              </w:rPr>
              <w:t>13</w:t>
            </w:r>
            <w:r w:rsidR="00CD62B5" w:rsidRPr="00CD62B5">
              <w:rPr>
                <w:noProof/>
                <w:webHidden/>
              </w:rPr>
              <w:fldChar w:fldCharType="end"/>
            </w:r>
          </w:hyperlink>
        </w:p>
        <w:p w14:paraId="0E5C5BA6" w14:textId="674E2C60" w:rsidR="00CD62B5" w:rsidRPr="00CD62B5" w:rsidRDefault="00D01676">
          <w:pPr>
            <w:pStyle w:val="TOC2"/>
            <w:rPr>
              <w:rFonts w:eastAsiaTheme="minorEastAsia"/>
              <w:noProof/>
              <w:kern w:val="2"/>
              <w:sz w:val="24"/>
              <w:szCs w:val="24"/>
              <w:lang w:eastAsia="en-GB"/>
              <w14:ligatures w14:val="standardContextual"/>
            </w:rPr>
          </w:pPr>
          <w:hyperlink w:anchor="_Toc209798653" w:history="1">
            <w:r w:rsidR="00CD62B5" w:rsidRPr="00CD62B5">
              <w:rPr>
                <w:rStyle w:val="Hyperlink"/>
                <w:rFonts w:ascii="Times New Roman" w:eastAsia="Times New Roman" w:hAnsi="Times New Roman" w:cs="Times New Roman"/>
                <w:noProof/>
              </w:rPr>
              <w:t>4.11.</w:t>
            </w:r>
            <w:r w:rsidR="00CD62B5" w:rsidRPr="00CD62B5">
              <w:rPr>
                <w:rFonts w:eastAsiaTheme="minorEastAsia"/>
                <w:noProof/>
                <w:kern w:val="2"/>
                <w:sz w:val="24"/>
                <w:szCs w:val="24"/>
                <w:lang w:eastAsia="en-GB"/>
                <w14:ligatures w14:val="standardContextual"/>
              </w:rPr>
              <w:tab/>
            </w:r>
            <w:r w:rsidR="00CD62B5" w:rsidRPr="00CD62B5">
              <w:rPr>
                <w:rStyle w:val="Hyperlink"/>
                <w:rFonts w:ascii="Times New Roman" w:hAnsi="Times New Roman" w:cs="Times New Roman"/>
                <w:noProof/>
              </w:rPr>
              <w:t>Other areas</w:t>
            </w:r>
            <w:r w:rsidR="00CD62B5" w:rsidRPr="00CD62B5">
              <w:rPr>
                <w:noProof/>
                <w:webHidden/>
              </w:rPr>
              <w:tab/>
            </w:r>
            <w:r w:rsidR="00CD62B5" w:rsidRPr="00CD62B5">
              <w:rPr>
                <w:noProof/>
                <w:webHidden/>
              </w:rPr>
              <w:fldChar w:fldCharType="begin"/>
            </w:r>
            <w:r w:rsidR="00CD62B5" w:rsidRPr="00CD62B5">
              <w:rPr>
                <w:noProof/>
                <w:webHidden/>
              </w:rPr>
              <w:instrText xml:space="preserve"> PAGEREF _Toc209798653 \h </w:instrText>
            </w:r>
            <w:r w:rsidR="00CD62B5" w:rsidRPr="00CD62B5">
              <w:rPr>
                <w:noProof/>
                <w:webHidden/>
              </w:rPr>
            </w:r>
            <w:r w:rsidR="00CD62B5" w:rsidRPr="00CD62B5">
              <w:rPr>
                <w:noProof/>
                <w:webHidden/>
              </w:rPr>
              <w:fldChar w:fldCharType="separate"/>
            </w:r>
            <w:r w:rsidR="00FF5288">
              <w:rPr>
                <w:noProof/>
                <w:webHidden/>
              </w:rPr>
              <w:t>14</w:t>
            </w:r>
            <w:r w:rsidR="00CD62B5" w:rsidRPr="00CD62B5">
              <w:rPr>
                <w:noProof/>
                <w:webHidden/>
              </w:rPr>
              <w:fldChar w:fldCharType="end"/>
            </w:r>
          </w:hyperlink>
        </w:p>
        <w:p w14:paraId="0834B092" w14:textId="0EF44E6C" w:rsidR="00CD62B5" w:rsidRPr="00CD62B5" w:rsidRDefault="00D01676">
          <w:pPr>
            <w:pStyle w:val="TOC1"/>
            <w:rPr>
              <w:rFonts w:asciiTheme="minorHAnsi" w:eastAsiaTheme="minorEastAsia" w:hAnsiTheme="minorHAnsi" w:cstheme="minorBidi"/>
              <w:kern w:val="2"/>
              <w:lang w:eastAsia="en-GB"/>
              <w14:ligatures w14:val="standardContextual"/>
            </w:rPr>
          </w:pPr>
          <w:hyperlink w:anchor="_Toc209798654" w:history="1">
            <w:r w:rsidR="00CD62B5" w:rsidRPr="00CD62B5">
              <w:rPr>
                <w:rStyle w:val="Hyperlink"/>
              </w:rPr>
              <w:t>5.</w:t>
            </w:r>
            <w:r w:rsidR="00CD62B5" w:rsidRPr="00CD62B5">
              <w:rPr>
                <w:rFonts w:asciiTheme="minorHAnsi" w:eastAsiaTheme="minorEastAsia" w:hAnsiTheme="minorHAnsi" w:cstheme="minorBidi"/>
                <w:kern w:val="2"/>
                <w:lang w:eastAsia="en-GB"/>
                <w14:ligatures w14:val="standardContextual"/>
              </w:rPr>
              <w:tab/>
            </w:r>
            <w:r w:rsidR="00CD62B5" w:rsidRPr="00CD62B5">
              <w:rPr>
                <w:rStyle w:val="Hyperlink"/>
              </w:rPr>
              <w:t>Developments in the law of the United Kingdom</w:t>
            </w:r>
            <w:r w:rsidR="00CD62B5" w:rsidRPr="00CD62B5">
              <w:rPr>
                <w:webHidden/>
              </w:rPr>
              <w:tab/>
            </w:r>
            <w:r w:rsidR="00CD62B5" w:rsidRPr="00CD62B5">
              <w:rPr>
                <w:webHidden/>
              </w:rPr>
              <w:fldChar w:fldCharType="begin"/>
            </w:r>
            <w:r w:rsidR="00CD62B5" w:rsidRPr="00CD62B5">
              <w:rPr>
                <w:webHidden/>
              </w:rPr>
              <w:instrText xml:space="preserve"> PAGEREF _Toc209798654 \h </w:instrText>
            </w:r>
            <w:r w:rsidR="00CD62B5" w:rsidRPr="00CD62B5">
              <w:rPr>
                <w:webHidden/>
              </w:rPr>
            </w:r>
            <w:r w:rsidR="00CD62B5" w:rsidRPr="00CD62B5">
              <w:rPr>
                <w:webHidden/>
              </w:rPr>
              <w:fldChar w:fldCharType="separate"/>
            </w:r>
            <w:r w:rsidR="00FF5288">
              <w:rPr>
                <w:webHidden/>
              </w:rPr>
              <w:t>14</w:t>
            </w:r>
            <w:r w:rsidR="00CD62B5" w:rsidRPr="00CD62B5">
              <w:rPr>
                <w:webHidden/>
              </w:rPr>
              <w:fldChar w:fldCharType="end"/>
            </w:r>
          </w:hyperlink>
        </w:p>
        <w:p w14:paraId="68668C88" w14:textId="2FF6B080" w:rsidR="00CD62B5" w:rsidRPr="00CD62B5" w:rsidRDefault="00D01676">
          <w:pPr>
            <w:pStyle w:val="TOC1"/>
            <w:rPr>
              <w:rFonts w:asciiTheme="minorHAnsi" w:eastAsiaTheme="minorEastAsia" w:hAnsiTheme="minorHAnsi" w:cstheme="minorBidi"/>
              <w:kern w:val="2"/>
              <w:lang w:eastAsia="en-GB"/>
              <w14:ligatures w14:val="standardContextual"/>
            </w:rPr>
          </w:pPr>
          <w:hyperlink w:anchor="_Toc209798655" w:history="1">
            <w:r w:rsidR="00CD62B5" w:rsidRPr="00CD62B5">
              <w:rPr>
                <w:rStyle w:val="Hyperlink"/>
              </w:rPr>
              <w:t>6.</w:t>
            </w:r>
            <w:r w:rsidR="00CD62B5" w:rsidRPr="00CD62B5">
              <w:rPr>
                <w:rFonts w:asciiTheme="minorHAnsi" w:eastAsiaTheme="minorEastAsia" w:hAnsiTheme="minorHAnsi" w:cstheme="minorBidi"/>
                <w:kern w:val="2"/>
                <w:lang w:eastAsia="en-GB"/>
                <w14:ligatures w14:val="standardContextual"/>
              </w:rPr>
              <w:tab/>
            </w:r>
            <w:r w:rsidR="00CD62B5" w:rsidRPr="00CD62B5">
              <w:rPr>
                <w:rStyle w:val="Hyperlink"/>
              </w:rPr>
              <w:t>Conclusions</w:t>
            </w:r>
            <w:r w:rsidR="00CD62B5" w:rsidRPr="00CD62B5">
              <w:rPr>
                <w:webHidden/>
              </w:rPr>
              <w:tab/>
            </w:r>
            <w:r w:rsidR="00CD62B5" w:rsidRPr="00CD62B5">
              <w:rPr>
                <w:webHidden/>
              </w:rPr>
              <w:fldChar w:fldCharType="begin"/>
            </w:r>
            <w:r w:rsidR="00CD62B5" w:rsidRPr="00CD62B5">
              <w:rPr>
                <w:webHidden/>
              </w:rPr>
              <w:instrText xml:space="preserve"> PAGEREF _Toc209798655 \h </w:instrText>
            </w:r>
            <w:r w:rsidR="00CD62B5" w:rsidRPr="00CD62B5">
              <w:rPr>
                <w:webHidden/>
              </w:rPr>
            </w:r>
            <w:r w:rsidR="00CD62B5" w:rsidRPr="00CD62B5">
              <w:rPr>
                <w:webHidden/>
              </w:rPr>
              <w:fldChar w:fldCharType="separate"/>
            </w:r>
            <w:r w:rsidR="00FF5288">
              <w:rPr>
                <w:webHidden/>
              </w:rPr>
              <w:t>16</w:t>
            </w:r>
            <w:r w:rsidR="00CD62B5" w:rsidRPr="00CD62B5">
              <w:rPr>
                <w:webHidden/>
              </w:rPr>
              <w:fldChar w:fldCharType="end"/>
            </w:r>
          </w:hyperlink>
        </w:p>
        <w:p w14:paraId="412A1FCA" w14:textId="4FADBDED" w:rsidR="00CD62B5" w:rsidRPr="00CD62B5" w:rsidRDefault="00D01676">
          <w:pPr>
            <w:pStyle w:val="TOC1"/>
            <w:rPr>
              <w:rFonts w:asciiTheme="minorHAnsi" w:eastAsiaTheme="minorEastAsia" w:hAnsiTheme="minorHAnsi" w:cstheme="minorBidi"/>
              <w:kern w:val="2"/>
              <w:lang w:eastAsia="en-GB"/>
              <w14:ligatures w14:val="standardContextual"/>
            </w:rPr>
          </w:pPr>
          <w:hyperlink w:anchor="_Toc209798656" w:history="1">
            <w:r w:rsidR="00CD62B5" w:rsidRPr="00CD62B5">
              <w:rPr>
                <w:rStyle w:val="Hyperlink"/>
              </w:rPr>
              <w:t>Annex 1: Meetings of the joint bodies and other structures established by the TCA</w:t>
            </w:r>
            <w:r w:rsidR="00CD62B5" w:rsidRPr="00CD62B5">
              <w:rPr>
                <w:webHidden/>
              </w:rPr>
              <w:tab/>
            </w:r>
            <w:r w:rsidR="00CD62B5" w:rsidRPr="00CD62B5">
              <w:rPr>
                <w:webHidden/>
              </w:rPr>
              <w:fldChar w:fldCharType="begin"/>
            </w:r>
            <w:r w:rsidR="00CD62B5" w:rsidRPr="00CD62B5">
              <w:rPr>
                <w:webHidden/>
              </w:rPr>
              <w:instrText xml:space="preserve"> PAGEREF _Toc209798656 \h </w:instrText>
            </w:r>
            <w:r w:rsidR="00CD62B5" w:rsidRPr="00CD62B5">
              <w:rPr>
                <w:webHidden/>
              </w:rPr>
            </w:r>
            <w:r w:rsidR="00CD62B5" w:rsidRPr="00CD62B5">
              <w:rPr>
                <w:webHidden/>
              </w:rPr>
              <w:fldChar w:fldCharType="separate"/>
            </w:r>
            <w:r w:rsidR="00FF5288">
              <w:rPr>
                <w:webHidden/>
              </w:rPr>
              <w:t>17</w:t>
            </w:r>
            <w:r w:rsidR="00CD62B5" w:rsidRPr="00CD62B5">
              <w:rPr>
                <w:webHidden/>
              </w:rPr>
              <w:fldChar w:fldCharType="end"/>
            </w:r>
          </w:hyperlink>
        </w:p>
        <w:p w14:paraId="08124ED2" w14:textId="1A4DC93E" w:rsidR="00CD62B5" w:rsidRPr="00CD62B5" w:rsidRDefault="00D01676">
          <w:pPr>
            <w:pStyle w:val="TOC1"/>
            <w:rPr>
              <w:rFonts w:asciiTheme="minorHAnsi" w:eastAsiaTheme="minorEastAsia" w:hAnsiTheme="minorHAnsi" w:cstheme="minorBidi"/>
              <w:kern w:val="2"/>
              <w:lang w:eastAsia="en-GB"/>
              <w14:ligatures w14:val="standardContextual"/>
            </w:rPr>
          </w:pPr>
          <w:hyperlink w:anchor="_Toc209798657" w:history="1">
            <w:r w:rsidR="00CD62B5" w:rsidRPr="00CD62B5">
              <w:rPr>
                <w:rStyle w:val="Hyperlink"/>
              </w:rPr>
              <w:t xml:space="preserve">Annex 2: </w:t>
            </w:r>
            <w:r w:rsidR="00CD62B5" w:rsidRPr="005F5C58">
              <w:rPr>
                <w:rStyle w:val="Hyperlink"/>
              </w:rPr>
              <w:t>Decisions, recommendations and declarations adopted by the Partnership Council and Committees established by the TCA</w:t>
            </w:r>
            <w:r w:rsidR="00CD62B5" w:rsidRPr="00CD62B5">
              <w:rPr>
                <w:webHidden/>
              </w:rPr>
              <w:tab/>
            </w:r>
            <w:r w:rsidR="00CD62B5" w:rsidRPr="00CD62B5">
              <w:rPr>
                <w:webHidden/>
              </w:rPr>
              <w:fldChar w:fldCharType="begin"/>
            </w:r>
            <w:r w:rsidR="00CD62B5" w:rsidRPr="00CD62B5">
              <w:rPr>
                <w:webHidden/>
              </w:rPr>
              <w:instrText xml:space="preserve"> PAGEREF _Toc209798657 \h </w:instrText>
            </w:r>
            <w:r w:rsidR="00CD62B5" w:rsidRPr="00CD62B5">
              <w:rPr>
                <w:webHidden/>
              </w:rPr>
            </w:r>
            <w:r w:rsidR="00CD62B5" w:rsidRPr="00CD62B5">
              <w:rPr>
                <w:webHidden/>
              </w:rPr>
              <w:fldChar w:fldCharType="separate"/>
            </w:r>
            <w:r w:rsidR="00FF5288">
              <w:rPr>
                <w:webHidden/>
              </w:rPr>
              <w:t>19</w:t>
            </w:r>
            <w:r w:rsidR="00CD62B5" w:rsidRPr="00CD62B5">
              <w:rPr>
                <w:webHidden/>
              </w:rPr>
              <w:fldChar w:fldCharType="end"/>
            </w:r>
          </w:hyperlink>
        </w:p>
        <w:p w14:paraId="416677E0" w14:textId="23D7882B" w:rsidR="00CD62B5" w:rsidRDefault="00D01676">
          <w:pPr>
            <w:pStyle w:val="TOC1"/>
            <w:rPr>
              <w:rFonts w:asciiTheme="minorHAnsi" w:eastAsiaTheme="minorEastAsia" w:hAnsiTheme="minorHAnsi" w:cstheme="minorBidi"/>
              <w:kern w:val="2"/>
              <w:lang w:eastAsia="en-GB"/>
              <w14:ligatures w14:val="standardContextual"/>
            </w:rPr>
          </w:pPr>
          <w:hyperlink w:anchor="_Toc209798658" w:history="1">
            <w:r w:rsidR="00CD62B5" w:rsidRPr="00CD62B5">
              <w:rPr>
                <w:rStyle w:val="Hyperlink"/>
              </w:rPr>
              <w:t>Annex 3: Overview of the implementation of the TCA- related actions agreed in the Common Understanding</w:t>
            </w:r>
            <w:r w:rsidR="00CD62B5" w:rsidRPr="00CD62B5">
              <w:rPr>
                <w:webHidden/>
              </w:rPr>
              <w:tab/>
            </w:r>
            <w:r w:rsidR="00CD62B5" w:rsidRPr="00CD62B5">
              <w:rPr>
                <w:webHidden/>
              </w:rPr>
              <w:fldChar w:fldCharType="begin"/>
            </w:r>
            <w:r w:rsidR="00CD62B5" w:rsidRPr="00CD62B5">
              <w:rPr>
                <w:webHidden/>
              </w:rPr>
              <w:instrText xml:space="preserve"> PAGEREF _Toc209798658 \h </w:instrText>
            </w:r>
            <w:r w:rsidR="00CD62B5" w:rsidRPr="00CD62B5">
              <w:rPr>
                <w:webHidden/>
              </w:rPr>
            </w:r>
            <w:r w:rsidR="00CD62B5" w:rsidRPr="00CD62B5">
              <w:rPr>
                <w:webHidden/>
              </w:rPr>
              <w:fldChar w:fldCharType="separate"/>
            </w:r>
            <w:r w:rsidR="00FF5288">
              <w:rPr>
                <w:webHidden/>
              </w:rPr>
              <w:t>20</w:t>
            </w:r>
            <w:r w:rsidR="00CD62B5" w:rsidRPr="00CD62B5">
              <w:rPr>
                <w:webHidden/>
              </w:rPr>
              <w:fldChar w:fldCharType="end"/>
            </w:r>
          </w:hyperlink>
        </w:p>
        <w:p w14:paraId="06944297" w14:textId="13119EF3" w:rsidR="00D331A7" w:rsidRDefault="00D331A7" w:rsidP="00D331A7">
          <w:pPr>
            <w:tabs>
              <w:tab w:val="left" w:pos="435"/>
              <w:tab w:val="left" w:pos="851"/>
              <w:tab w:val="right" w:leader="dot" w:pos="9015"/>
            </w:tabs>
            <w:spacing w:after="100"/>
            <w:ind w:left="426" w:hanging="426"/>
            <w:rPr>
              <w:noProof/>
            </w:rPr>
          </w:pPr>
          <w:r w:rsidRPr="00995F44">
            <w:rPr>
              <w:rFonts w:ascii="Times New Roman" w:hAnsi="Times New Roman" w:cs="Times New Roman"/>
              <w:noProof/>
            </w:rPr>
            <w:fldChar w:fldCharType="end"/>
          </w:r>
        </w:p>
      </w:sdtContent>
    </w:sdt>
    <w:p w14:paraId="52CFE944" w14:textId="144B4421" w:rsidR="00D331A7" w:rsidRDefault="00D331A7" w:rsidP="00D8292C">
      <w:pPr>
        <w:tabs>
          <w:tab w:val="left" w:pos="7538"/>
        </w:tabs>
        <w:rPr>
          <w:noProof/>
        </w:rPr>
      </w:pPr>
    </w:p>
    <w:p w14:paraId="55DF7F5C" w14:textId="687525FD" w:rsidR="006D1404" w:rsidRPr="0086076B" w:rsidRDefault="33A451BC"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5" w:name="_Toc204769314"/>
      <w:bookmarkStart w:id="6" w:name="_Toc209798637"/>
      <w:r w:rsidRPr="0086076B">
        <w:rPr>
          <w:rFonts w:ascii="Times New Roman" w:hAnsi="Times New Roman" w:cs="Times New Roman"/>
          <w:b/>
          <w:bCs/>
          <w:noProof/>
          <w:color w:val="auto"/>
        </w:rPr>
        <w:t>Introduction</w:t>
      </w:r>
      <w:bookmarkEnd w:id="5"/>
      <w:bookmarkEnd w:id="6"/>
      <w:bookmarkEnd w:id="4"/>
      <w:bookmarkEnd w:id="3"/>
      <w:bookmarkEnd w:id="2"/>
    </w:p>
    <w:p w14:paraId="61AE3D67" w14:textId="400E8AC4" w:rsidR="002A4EFB" w:rsidRDefault="0095620A" w:rsidP="6A5D11F7">
      <w:pPr>
        <w:spacing w:before="100" w:beforeAutospacing="1" w:after="100" w:afterAutospacing="1" w:line="240" w:lineRule="auto"/>
        <w:jc w:val="both"/>
        <w:rPr>
          <w:rFonts w:ascii="Times New Roman" w:hAnsi="Times New Roman" w:cs="Times New Roman"/>
          <w:noProof/>
          <w:sz w:val="24"/>
          <w:szCs w:val="24"/>
        </w:rPr>
      </w:pPr>
      <w:r w:rsidRPr="0095620A">
        <w:rPr>
          <w:rFonts w:ascii="Times New Roman" w:hAnsi="Times New Roman" w:cs="Times New Roman"/>
          <w:noProof/>
          <w:sz w:val="24"/>
          <w:szCs w:val="24"/>
        </w:rPr>
        <w:t xml:space="preserve">In 2025, the European Union (EU) and the </w:t>
      </w:r>
      <w:r>
        <w:rPr>
          <w:rFonts w:ascii="Times New Roman" w:hAnsi="Times New Roman" w:cs="Times New Roman"/>
          <w:noProof/>
          <w:sz w:val="24"/>
          <w:szCs w:val="24"/>
        </w:rPr>
        <w:t xml:space="preserve">United Kingdom </w:t>
      </w:r>
      <w:r w:rsidRPr="0095620A">
        <w:rPr>
          <w:rFonts w:ascii="Times New Roman" w:hAnsi="Times New Roman" w:cs="Times New Roman"/>
          <w:noProof/>
          <w:sz w:val="24"/>
          <w:szCs w:val="24"/>
        </w:rPr>
        <w:t xml:space="preserve">of Great Britain and Northern Ireland (United Kingdom) </w:t>
      </w:r>
      <w:r w:rsidR="00287BCF">
        <w:rPr>
          <w:rFonts w:ascii="Times New Roman" w:hAnsi="Times New Roman" w:cs="Times New Roman"/>
          <w:noProof/>
          <w:sz w:val="24"/>
          <w:szCs w:val="24"/>
        </w:rPr>
        <w:t>took a significant</w:t>
      </w:r>
      <w:r w:rsidRPr="0095620A">
        <w:rPr>
          <w:rFonts w:ascii="Times New Roman" w:hAnsi="Times New Roman" w:cs="Times New Roman"/>
          <w:noProof/>
          <w:sz w:val="24"/>
          <w:szCs w:val="24"/>
        </w:rPr>
        <w:t xml:space="preserve"> step forward in their relationship </w:t>
      </w:r>
      <w:r w:rsidR="00287BCF" w:rsidRPr="00287BCF">
        <w:rPr>
          <w:rFonts w:ascii="Times New Roman" w:hAnsi="Times New Roman" w:cs="Times New Roman"/>
          <w:noProof/>
          <w:sz w:val="24"/>
          <w:szCs w:val="24"/>
        </w:rPr>
        <w:t xml:space="preserve">by holding the first bilateral </w:t>
      </w:r>
      <w:r w:rsidR="00A502EA">
        <w:rPr>
          <w:rFonts w:ascii="Times New Roman" w:hAnsi="Times New Roman" w:cs="Times New Roman"/>
          <w:noProof/>
          <w:sz w:val="24"/>
          <w:szCs w:val="24"/>
        </w:rPr>
        <w:t>s</w:t>
      </w:r>
      <w:r w:rsidR="00287BCF" w:rsidRPr="00287BCF">
        <w:rPr>
          <w:rFonts w:ascii="Times New Roman" w:hAnsi="Times New Roman" w:cs="Times New Roman"/>
          <w:noProof/>
          <w:sz w:val="24"/>
          <w:szCs w:val="24"/>
        </w:rPr>
        <w:t>ummit since the U</w:t>
      </w:r>
      <w:r w:rsidR="00287BCF">
        <w:rPr>
          <w:rFonts w:ascii="Times New Roman" w:hAnsi="Times New Roman" w:cs="Times New Roman"/>
          <w:noProof/>
          <w:sz w:val="24"/>
          <w:szCs w:val="24"/>
        </w:rPr>
        <w:t>nited Kingdom</w:t>
      </w:r>
      <w:r w:rsidR="00287BCF" w:rsidRPr="00287BCF">
        <w:rPr>
          <w:rFonts w:ascii="Times New Roman" w:hAnsi="Times New Roman" w:cs="Times New Roman"/>
          <w:noProof/>
          <w:sz w:val="24"/>
          <w:szCs w:val="24"/>
        </w:rPr>
        <w:t>'s departure from the EU</w:t>
      </w:r>
      <w:r w:rsidR="00287BCF">
        <w:rPr>
          <w:rFonts w:ascii="Times New Roman" w:hAnsi="Times New Roman" w:cs="Times New Roman"/>
          <w:noProof/>
          <w:sz w:val="24"/>
          <w:szCs w:val="24"/>
        </w:rPr>
        <w:t xml:space="preserve">. </w:t>
      </w:r>
      <w:r w:rsidR="00287BCF" w:rsidRPr="00287BCF">
        <w:rPr>
          <w:rFonts w:ascii="Times New Roman" w:hAnsi="Times New Roman" w:cs="Times New Roman"/>
          <w:noProof/>
          <w:sz w:val="24"/>
          <w:szCs w:val="24"/>
        </w:rPr>
        <w:t xml:space="preserve">The </w:t>
      </w:r>
      <w:r w:rsidR="00A502EA">
        <w:rPr>
          <w:rFonts w:ascii="Times New Roman" w:hAnsi="Times New Roman" w:cs="Times New Roman"/>
          <w:noProof/>
          <w:sz w:val="24"/>
          <w:szCs w:val="24"/>
        </w:rPr>
        <w:t>s</w:t>
      </w:r>
      <w:r w:rsidR="00287BCF" w:rsidRPr="00287BCF">
        <w:rPr>
          <w:rFonts w:ascii="Times New Roman" w:hAnsi="Times New Roman" w:cs="Times New Roman"/>
          <w:noProof/>
          <w:sz w:val="24"/>
          <w:szCs w:val="24"/>
        </w:rPr>
        <w:t xml:space="preserve">ummit on 19 May </w:t>
      </w:r>
      <w:r w:rsidR="4A5054D8" w:rsidRPr="00287BCF">
        <w:rPr>
          <w:rFonts w:ascii="Times New Roman" w:hAnsi="Times New Roman" w:cs="Times New Roman"/>
          <w:noProof/>
          <w:sz w:val="24"/>
          <w:szCs w:val="24"/>
        </w:rPr>
        <w:t xml:space="preserve">2025 </w:t>
      </w:r>
      <w:r w:rsidR="00287BCF" w:rsidRPr="00287BCF">
        <w:rPr>
          <w:rFonts w:ascii="Times New Roman" w:hAnsi="Times New Roman" w:cs="Times New Roman"/>
          <w:noProof/>
          <w:sz w:val="24"/>
          <w:szCs w:val="24"/>
        </w:rPr>
        <w:t>in London marked a renewed commitment to cooperation</w:t>
      </w:r>
      <w:r w:rsidR="00CF0A63">
        <w:rPr>
          <w:rFonts w:ascii="Times New Roman" w:hAnsi="Times New Roman" w:cs="Times New Roman"/>
          <w:noProof/>
          <w:sz w:val="24"/>
          <w:szCs w:val="24"/>
        </w:rPr>
        <w:t>. The</w:t>
      </w:r>
      <w:r w:rsidR="00287BCF" w:rsidRPr="00287BCF">
        <w:rPr>
          <w:rFonts w:ascii="Times New Roman" w:hAnsi="Times New Roman" w:cs="Times New Roman"/>
          <w:noProof/>
          <w:sz w:val="24"/>
          <w:szCs w:val="24"/>
        </w:rPr>
        <w:t xml:space="preserve"> leaders</w:t>
      </w:r>
      <w:r w:rsidR="00CF0A63" w:rsidRPr="00CF0A63">
        <w:rPr>
          <w:noProof/>
        </w:rPr>
        <w:t xml:space="preserve"> </w:t>
      </w:r>
      <w:r w:rsidR="00CF0A63" w:rsidRPr="00CF0A63">
        <w:rPr>
          <w:rFonts w:ascii="Times New Roman" w:hAnsi="Times New Roman" w:cs="Times New Roman"/>
          <w:noProof/>
          <w:sz w:val="24"/>
          <w:szCs w:val="24"/>
        </w:rPr>
        <w:t xml:space="preserve">welcomed agreement on the EU-UK Security and Defence Partnership </w:t>
      </w:r>
      <w:r w:rsidR="00CF0A63">
        <w:rPr>
          <w:rFonts w:ascii="Times New Roman" w:hAnsi="Times New Roman" w:cs="Times New Roman"/>
          <w:noProof/>
          <w:sz w:val="24"/>
          <w:szCs w:val="24"/>
        </w:rPr>
        <w:t>and</w:t>
      </w:r>
      <w:r w:rsidR="00287BCF" w:rsidRPr="00287BCF">
        <w:rPr>
          <w:rFonts w:ascii="Times New Roman" w:hAnsi="Times New Roman" w:cs="Times New Roman"/>
          <w:noProof/>
          <w:sz w:val="24"/>
          <w:szCs w:val="24"/>
        </w:rPr>
        <w:t xml:space="preserve"> agree</w:t>
      </w:r>
      <w:r w:rsidR="00CF0A63">
        <w:rPr>
          <w:rFonts w:ascii="Times New Roman" w:hAnsi="Times New Roman" w:cs="Times New Roman"/>
          <w:noProof/>
          <w:sz w:val="24"/>
          <w:szCs w:val="24"/>
        </w:rPr>
        <w:t>d</w:t>
      </w:r>
      <w:r w:rsidR="00287BCF" w:rsidRPr="00287BCF">
        <w:rPr>
          <w:rFonts w:ascii="Times New Roman" w:hAnsi="Times New Roman" w:cs="Times New Roman"/>
          <w:noProof/>
          <w:sz w:val="24"/>
          <w:szCs w:val="24"/>
        </w:rPr>
        <w:t xml:space="preserve"> </w:t>
      </w:r>
      <w:r w:rsidR="00C976FE">
        <w:rPr>
          <w:rFonts w:ascii="Times New Roman" w:hAnsi="Times New Roman" w:cs="Times New Roman"/>
          <w:noProof/>
          <w:sz w:val="24"/>
          <w:szCs w:val="24"/>
        </w:rPr>
        <w:t xml:space="preserve">to </w:t>
      </w:r>
      <w:r w:rsidR="00287BCF" w:rsidRPr="00287BCF">
        <w:rPr>
          <w:rFonts w:ascii="Times New Roman" w:hAnsi="Times New Roman" w:cs="Times New Roman"/>
          <w:noProof/>
          <w:sz w:val="24"/>
          <w:szCs w:val="24"/>
        </w:rPr>
        <w:t xml:space="preserve">establish a new </w:t>
      </w:r>
      <w:r w:rsidR="006312C2">
        <w:rPr>
          <w:rFonts w:ascii="Times New Roman" w:hAnsi="Times New Roman" w:cs="Times New Roman"/>
          <w:noProof/>
          <w:sz w:val="24"/>
          <w:szCs w:val="24"/>
        </w:rPr>
        <w:t>s</w:t>
      </w:r>
      <w:r w:rsidR="00287BCF" w:rsidRPr="00287BCF">
        <w:rPr>
          <w:rFonts w:ascii="Times New Roman" w:hAnsi="Times New Roman" w:cs="Times New Roman"/>
          <w:noProof/>
          <w:sz w:val="24"/>
          <w:szCs w:val="24"/>
        </w:rPr>
        <w:t xml:space="preserve">trategic </w:t>
      </w:r>
      <w:r w:rsidR="006312C2">
        <w:rPr>
          <w:rFonts w:ascii="Times New Roman" w:hAnsi="Times New Roman" w:cs="Times New Roman"/>
          <w:noProof/>
          <w:sz w:val="24"/>
          <w:szCs w:val="24"/>
        </w:rPr>
        <w:t>p</w:t>
      </w:r>
      <w:r w:rsidR="00287BCF" w:rsidRPr="00287BCF">
        <w:rPr>
          <w:rFonts w:ascii="Times New Roman" w:hAnsi="Times New Roman" w:cs="Times New Roman"/>
          <w:noProof/>
          <w:sz w:val="24"/>
          <w:szCs w:val="24"/>
        </w:rPr>
        <w:t>artnership</w:t>
      </w:r>
      <w:r w:rsidR="00C976FE" w:rsidRPr="00F97D5F">
        <w:rPr>
          <w:rStyle w:val="FootnoteReference"/>
          <w:rFonts w:ascii="Times New Roman" w:hAnsi="Times New Roman" w:cs="Times New Roman"/>
          <w:noProof/>
          <w:sz w:val="24"/>
          <w:szCs w:val="24"/>
        </w:rPr>
        <w:footnoteReference w:id="2"/>
      </w:r>
      <w:r w:rsidR="00C976FE">
        <w:rPr>
          <w:rFonts w:ascii="Times New Roman" w:hAnsi="Times New Roman" w:cs="Times New Roman"/>
          <w:noProof/>
          <w:sz w:val="24"/>
          <w:szCs w:val="24"/>
        </w:rPr>
        <w:t xml:space="preserve"> </w:t>
      </w:r>
      <w:r w:rsidR="00287BCF" w:rsidRPr="00287BCF">
        <w:rPr>
          <w:rFonts w:ascii="Times New Roman" w:hAnsi="Times New Roman" w:cs="Times New Roman"/>
          <w:noProof/>
          <w:sz w:val="24"/>
          <w:szCs w:val="24"/>
        </w:rPr>
        <w:t>based on the Withdrawal Agreement</w:t>
      </w:r>
      <w:r w:rsidR="00DF6F61" w:rsidRPr="00F97D5F">
        <w:rPr>
          <w:rStyle w:val="FootnoteReference"/>
          <w:rFonts w:ascii="Times New Roman" w:hAnsi="Times New Roman" w:cs="Times New Roman"/>
          <w:noProof/>
          <w:sz w:val="24"/>
          <w:szCs w:val="24"/>
        </w:rPr>
        <w:footnoteReference w:id="3"/>
      </w:r>
      <w:r w:rsidR="00287BCF">
        <w:rPr>
          <w:rFonts w:ascii="Times New Roman" w:hAnsi="Times New Roman" w:cs="Times New Roman"/>
          <w:noProof/>
          <w:sz w:val="24"/>
          <w:szCs w:val="24"/>
        </w:rPr>
        <w:t xml:space="preserve">, </w:t>
      </w:r>
      <w:r w:rsidR="00287BCF" w:rsidRPr="00287BCF">
        <w:rPr>
          <w:rFonts w:ascii="Times New Roman" w:hAnsi="Times New Roman" w:cs="Times New Roman"/>
          <w:noProof/>
          <w:sz w:val="24"/>
          <w:szCs w:val="24"/>
        </w:rPr>
        <w:t>including the Windsor Framework</w:t>
      </w:r>
      <w:r w:rsidR="00846AF8" w:rsidRPr="00F97D5F">
        <w:rPr>
          <w:rStyle w:val="FootnoteReference"/>
          <w:rFonts w:ascii="Times New Roman" w:hAnsi="Times New Roman" w:cs="Times New Roman"/>
          <w:noProof/>
          <w:sz w:val="24"/>
          <w:szCs w:val="24"/>
        </w:rPr>
        <w:footnoteReference w:id="4"/>
      </w:r>
      <w:r w:rsidR="00287BCF">
        <w:rPr>
          <w:rFonts w:ascii="Times New Roman" w:hAnsi="Times New Roman" w:cs="Times New Roman"/>
          <w:noProof/>
          <w:sz w:val="24"/>
          <w:szCs w:val="24"/>
        </w:rPr>
        <w:t>, a</w:t>
      </w:r>
      <w:r w:rsidR="00287BCF" w:rsidRPr="00287BCF">
        <w:rPr>
          <w:rFonts w:ascii="Times New Roman" w:hAnsi="Times New Roman" w:cs="Times New Roman"/>
          <w:noProof/>
          <w:sz w:val="24"/>
          <w:szCs w:val="24"/>
        </w:rPr>
        <w:t>nd the Trade and Cooperation Agreement (TCA</w:t>
      </w:r>
      <w:r w:rsidR="00F52662">
        <w:rPr>
          <w:rFonts w:ascii="Times New Roman" w:hAnsi="Times New Roman" w:cs="Times New Roman"/>
          <w:noProof/>
          <w:sz w:val="24"/>
          <w:szCs w:val="24"/>
        </w:rPr>
        <w:t>, or ‘the Agreement’</w:t>
      </w:r>
      <w:r w:rsidR="00287BCF" w:rsidRPr="00287BCF">
        <w:rPr>
          <w:rFonts w:ascii="Times New Roman" w:hAnsi="Times New Roman" w:cs="Times New Roman"/>
          <w:noProof/>
          <w:sz w:val="24"/>
          <w:szCs w:val="24"/>
        </w:rPr>
        <w:t>)</w:t>
      </w:r>
      <w:r w:rsidR="00846AF8" w:rsidRPr="00F97D5F">
        <w:rPr>
          <w:rStyle w:val="FootnoteReference"/>
          <w:rFonts w:ascii="Times New Roman" w:hAnsi="Times New Roman" w:cs="Times New Roman"/>
          <w:noProof/>
          <w:sz w:val="24"/>
          <w:szCs w:val="24"/>
        </w:rPr>
        <w:footnoteReference w:id="5"/>
      </w:r>
      <w:r w:rsidR="00D853C9" w:rsidRPr="00D853C9">
        <w:rPr>
          <w:rFonts w:ascii="Times New Roman" w:hAnsi="Times New Roman" w:cs="Times New Roman"/>
          <w:noProof/>
          <w:sz w:val="24"/>
          <w:szCs w:val="24"/>
        </w:rPr>
        <w:t>.</w:t>
      </w:r>
    </w:p>
    <w:p w14:paraId="1E2C7B3E" w14:textId="2733584D" w:rsidR="00FB2183" w:rsidRDefault="004C2491" w:rsidP="00FB2183">
      <w:pPr>
        <w:spacing w:before="100" w:beforeAutospacing="1" w:after="100" w:afterAutospacing="1" w:line="240" w:lineRule="auto"/>
        <w:jc w:val="both"/>
        <w:rPr>
          <w:rFonts w:ascii="Times New Roman" w:hAnsi="Times New Roman" w:cs="Times New Roman"/>
          <w:noProof/>
          <w:sz w:val="24"/>
          <w:szCs w:val="24"/>
        </w:rPr>
      </w:pPr>
      <w:r w:rsidRPr="004C2491">
        <w:rPr>
          <w:rFonts w:ascii="Times New Roman" w:hAnsi="Times New Roman" w:cs="Times New Roman"/>
          <w:noProof/>
          <w:sz w:val="24"/>
          <w:szCs w:val="24"/>
        </w:rPr>
        <w:t>The renewed agenda for enhanced bilateral cooperation</w:t>
      </w:r>
      <w:r w:rsidR="00287BCF">
        <w:rPr>
          <w:rFonts w:ascii="Times New Roman" w:hAnsi="Times New Roman" w:cs="Times New Roman"/>
          <w:noProof/>
          <w:sz w:val="24"/>
          <w:szCs w:val="24"/>
        </w:rPr>
        <w:t xml:space="preserve"> – </w:t>
      </w:r>
      <w:r w:rsidR="00287BCF" w:rsidRPr="007D1256">
        <w:rPr>
          <w:rFonts w:ascii="Times New Roman" w:hAnsi="Times New Roman" w:cs="Times New Roman"/>
          <w:noProof/>
          <w:sz w:val="24"/>
          <w:szCs w:val="24"/>
        </w:rPr>
        <w:t>the Common Understanding</w:t>
      </w:r>
      <w:r w:rsidR="001017A9" w:rsidRPr="00F97D5F">
        <w:rPr>
          <w:rStyle w:val="FootnoteReference"/>
          <w:rFonts w:ascii="Times New Roman" w:hAnsi="Times New Roman" w:cs="Times New Roman"/>
          <w:noProof/>
          <w:sz w:val="24"/>
          <w:szCs w:val="24"/>
        </w:rPr>
        <w:footnoteReference w:id="6"/>
      </w:r>
      <w:r w:rsidR="00287BCF">
        <w:rPr>
          <w:rFonts w:ascii="Times New Roman" w:hAnsi="Times New Roman" w:cs="Times New Roman"/>
          <w:noProof/>
          <w:sz w:val="24"/>
          <w:szCs w:val="24"/>
        </w:rPr>
        <w:t xml:space="preserve"> </w:t>
      </w:r>
      <w:r w:rsidR="00B54BBC">
        <w:rPr>
          <w:rFonts w:ascii="Times New Roman" w:hAnsi="Times New Roman" w:cs="Times New Roman"/>
          <w:noProof/>
          <w:sz w:val="24"/>
          <w:szCs w:val="24"/>
        </w:rPr>
        <w:t>-</w:t>
      </w:r>
      <w:r w:rsidR="00287BCF">
        <w:rPr>
          <w:rFonts w:ascii="Times New Roman" w:hAnsi="Times New Roman" w:cs="Times New Roman"/>
          <w:noProof/>
          <w:sz w:val="24"/>
          <w:szCs w:val="24"/>
        </w:rPr>
        <w:t xml:space="preserve"> </w:t>
      </w:r>
      <w:r w:rsidRPr="004C2491">
        <w:rPr>
          <w:rFonts w:ascii="Times New Roman" w:hAnsi="Times New Roman" w:cs="Times New Roman"/>
          <w:noProof/>
          <w:sz w:val="24"/>
          <w:szCs w:val="24"/>
        </w:rPr>
        <w:t>reflects a shared commitment to the full, timely and faithful implementation of these agreements</w:t>
      </w:r>
      <w:r w:rsidR="00087994">
        <w:rPr>
          <w:rFonts w:ascii="Times New Roman" w:hAnsi="Times New Roman" w:cs="Times New Roman"/>
          <w:noProof/>
          <w:sz w:val="24"/>
          <w:szCs w:val="24"/>
        </w:rPr>
        <w:t xml:space="preserve">. </w:t>
      </w:r>
      <w:r w:rsidR="00FB2183" w:rsidRPr="00C865BE">
        <w:rPr>
          <w:rFonts w:ascii="Times New Roman" w:hAnsi="Times New Roman" w:cs="Times New Roman"/>
          <w:noProof/>
          <w:sz w:val="24"/>
          <w:szCs w:val="24"/>
        </w:rPr>
        <w:t xml:space="preserve">Regarding the TCA, </w:t>
      </w:r>
      <w:r w:rsidR="00FB2183">
        <w:rPr>
          <w:rFonts w:ascii="Times New Roman" w:hAnsi="Times New Roman" w:cs="Times New Roman"/>
          <w:noProof/>
          <w:sz w:val="24"/>
          <w:szCs w:val="24"/>
        </w:rPr>
        <w:t>the Common Understanding</w:t>
      </w:r>
      <w:r w:rsidR="00FB2183" w:rsidRPr="00C865BE">
        <w:rPr>
          <w:rFonts w:ascii="Times New Roman" w:hAnsi="Times New Roman" w:cs="Times New Roman"/>
          <w:noProof/>
          <w:sz w:val="24"/>
          <w:szCs w:val="24"/>
        </w:rPr>
        <w:t xml:space="preserve"> outlines actions to </w:t>
      </w:r>
      <w:r w:rsidR="00FB2183">
        <w:rPr>
          <w:rFonts w:ascii="Times New Roman" w:hAnsi="Times New Roman" w:cs="Times New Roman"/>
          <w:noProof/>
          <w:sz w:val="24"/>
          <w:szCs w:val="24"/>
        </w:rPr>
        <w:t xml:space="preserve">increase cooperation, </w:t>
      </w:r>
      <w:r w:rsidR="00FB2183" w:rsidRPr="00C976FE">
        <w:rPr>
          <w:rFonts w:ascii="Times New Roman" w:hAnsi="Times New Roman" w:cs="Times New Roman"/>
          <w:noProof/>
          <w:sz w:val="24"/>
          <w:szCs w:val="24"/>
        </w:rPr>
        <w:t>includ</w:t>
      </w:r>
      <w:r w:rsidR="00FB2183">
        <w:rPr>
          <w:rFonts w:ascii="Times New Roman" w:hAnsi="Times New Roman" w:cs="Times New Roman"/>
          <w:noProof/>
          <w:sz w:val="24"/>
          <w:szCs w:val="24"/>
        </w:rPr>
        <w:t>ing</w:t>
      </w:r>
      <w:r w:rsidR="00FB2183" w:rsidRPr="00C976FE">
        <w:rPr>
          <w:rFonts w:ascii="Times New Roman" w:hAnsi="Times New Roman" w:cs="Times New Roman"/>
          <w:noProof/>
          <w:sz w:val="24"/>
          <w:szCs w:val="24"/>
        </w:rPr>
        <w:t xml:space="preserve"> securing full reciprocal access to fishing waters until 30 June 2038, </w:t>
      </w:r>
      <w:r w:rsidR="00FB2183" w:rsidRPr="00150EB5">
        <w:rPr>
          <w:rFonts w:ascii="Times New Roman" w:hAnsi="Times New Roman" w:cs="Times New Roman"/>
          <w:noProof/>
          <w:sz w:val="24"/>
          <w:szCs w:val="24"/>
        </w:rPr>
        <w:t xml:space="preserve">extending energy cooperation, strengthening health-security collaboration, progressing the linkage of emissions trading systems, addressing </w:t>
      </w:r>
      <w:r w:rsidR="00FB2183">
        <w:rPr>
          <w:rFonts w:ascii="Times New Roman" w:hAnsi="Times New Roman" w:cs="Times New Roman"/>
          <w:noProof/>
          <w:sz w:val="24"/>
          <w:szCs w:val="24"/>
        </w:rPr>
        <w:t xml:space="preserve">implementation of specific TCA </w:t>
      </w:r>
      <w:r w:rsidR="00FB2183" w:rsidRPr="00150EB5">
        <w:rPr>
          <w:rFonts w:ascii="Times New Roman" w:hAnsi="Times New Roman" w:cs="Times New Roman"/>
          <w:noProof/>
          <w:sz w:val="24"/>
          <w:szCs w:val="24"/>
        </w:rPr>
        <w:t>service</w:t>
      </w:r>
      <w:r w:rsidR="00FB2183">
        <w:rPr>
          <w:rFonts w:ascii="Times New Roman" w:hAnsi="Times New Roman" w:cs="Times New Roman"/>
          <w:noProof/>
          <w:sz w:val="24"/>
          <w:szCs w:val="24"/>
        </w:rPr>
        <w:t>s</w:t>
      </w:r>
      <w:r w:rsidR="00FB2183" w:rsidRPr="00150EB5">
        <w:rPr>
          <w:rFonts w:ascii="Times New Roman" w:hAnsi="Times New Roman" w:cs="Times New Roman"/>
          <w:noProof/>
          <w:sz w:val="24"/>
          <w:szCs w:val="24"/>
        </w:rPr>
        <w:t>-provision</w:t>
      </w:r>
      <w:r w:rsidR="00FB2183">
        <w:rPr>
          <w:rFonts w:ascii="Times New Roman" w:hAnsi="Times New Roman" w:cs="Times New Roman"/>
          <w:noProof/>
          <w:sz w:val="24"/>
          <w:szCs w:val="24"/>
        </w:rPr>
        <w:t>s</w:t>
      </w:r>
      <w:r w:rsidR="00FB2183" w:rsidRPr="00150EB5">
        <w:rPr>
          <w:rFonts w:ascii="Times New Roman" w:hAnsi="Times New Roman" w:cs="Times New Roman"/>
          <w:noProof/>
          <w:sz w:val="24"/>
          <w:szCs w:val="24"/>
        </w:rPr>
        <w:t>, reinforcing judicial</w:t>
      </w:r>
      <w:r w:rsidR="00FB2183">
        <w:rPr>
          <w:rFonts w:ascii="Times New Roman" w:hAnsi="Times New Roman" w:cs="Times New Roman"/>
          <w:noProof/>
          <w:sz w:val="24"/>
          <w:szCs w:val="24"/>
        </w:rPr>
        <w:t xml:space="preserve">, </w:t>
      </w:r>
      <w:r w:rsidR="00FB2183" w:rsidRPr="00150EB5">
        <w:rPr>
          <w:rFonts w:ascii="Times New Roman" w:hAnsi="Times New Roman" w:cs="Times New Roman"/>
          <w:noProof/>
          <w:sz w:val="24"/>
          <w:szCs w:val="24"/>
        </w:rPr>
        <w:t>law-enforcement</w:t>
      </w:r>
      <w:r w:rsidR="00FB2183">
        <w:rPr>
          <w:rFonts w:ascii="Times New Roman" w:hAnsi="Times New Roman" w:cs="Times New Roman"/>
          <w:noProof/>
          <w:sz w:val="24"/>
          <w:szCs w:val="24"/>
        </w:rPr>
        <w:t>,</w:t>
      </w:r>
      <w:r w:rsidR="00FB2183" w:rsidRPr="00C976FE">
        <w:rPr>
          <w:rFonts w:ascii="Times New Roman" w:hAnsi="Times New Roman" w:cs="Times New Roman"/>
          <w:noProof/>
          <w:sz w:val="24"/>
          <w:szCs w:val="24"/>
        </w:rPr>
        <w:t xml:space="preserve"> competition polic</w:t>
      </w:r>
      <w:r w:rsidR="00FB2183">
        <w:rPr>
          <w:rFonts w:ascii="Times New Roman" w:hAnsi="Times New Roman" w:cs="Times New Roman"/>
          <w:noProof/>
          <w:sz w:val="24"/>
          <w:szCs w:val="24"/>
        </w:rPr>
        <w:t>y cooperation, and</w:t>
      </w:r>
      <w:r w:rsidR="00FB2183" w:rsidRPr="00674B7C">
        <w:rPr>
          <w:rFonts w:ascii="Times New Roman" w:hAnsi="Times New Roman" w:cs="Times New Roman"/>
          <w:noProof/>
          <w:sz w:val="24"/>
          <w:szCs w:val="24"/>
        </w:rPr>
        <w:t xml:space="preserve"> </w:t>
      </w:r>
      <w:r w:rsidR="00FB2183" w:rsidRPr="00150EB5">
        <w:rPr>
          <w:rFonts w:ascii="Times New Roman" w:hAnsi="Times New Roman" w:cs="Times New Roman"/>
          <w:noProof/>
          <w:sz w:val="24"/>
          <w:szCs w:val="24"/>
        </w:rPr>
        <w:t>associating the U</w:t>
      </w:r>
      <w:r w:rsidR="00FB2183">
        <w:rPr>
          <w:rFonts w:ascii="Times New Roman" w:hAnsi="Times New Roman" w:cs="Times New Roman"/>
          <w:noProof/>
          <w:sz w:val="24"/>
          <w:szCs w:val="24"/>
        </w:rPr>
        <w:t xml:space="preserve">nited </w:t>
      </w:r>
      <w:r w:rsidR="00FB2183" w:rsidRPr="00150EB5">
        <w:rPr>
          <w:rFonts w:ascii="Times New Roman" w:hAnsi="Times New Roman" w:cs="Times New Roman"/>
          <w:noProof/>
          <w:sz w:val="24"/>
          <w:szCs w:val="24"/>
        </w:rPr>
        <w:t>K</w:t>
      </w:r>
      <w:r w:rsidR="00FB2183">
        <w:rPr>
          <w:rFonts w:ascii="Times New Roman" w:hAnsi="Times New Roman" w:cs="Times New Roman"/>
          <w:noProof/>
          <w:sz w:val="24"/>
          <w:szCs w:val="24"/>
        </w:rPr>
        <w:t>ingdom</w:t>
      </w:r>
      <w:r w:rsidR="00FB2183" w:rsidRPr="00150EB5">
        <w:rPr>
          <w:rFonts w:ascii="Times New Roman" w:hAnsi="Times New Roman" w:cs="Times New Roman"/>
          <w:noProof/>
          <w:sz w:val="24"/>
          <w:szCs w:val="24"/>
        </w:rPr>
        <w:t xml:space="preserve"> </w:t>
      </w:r>
      <w:r w:rsidR="00FB2183">
        <w:rPr>
          <w:rFonts w:ascii="Times New Roman" w:hAnsi="Times New Roman" w:cs="Times New Roman"/>
          <w:noProof/>
          <w:sz w:val="24"/>
          <w:szCs w:val="24"/>
        </w:rPr>
        <w:t>to</w:t>
      </w:r>
      <w:r w:rsidR="00FB2183" w:rsidRPr="00150EB5">
        <w:rPr>
          <w:rFonts w:ascii="Times New Roman" w:hAnsi="Times New Roman" w:cs="Times New Roman"/>
          <w:noProof/>
          <w:sz w:val="24"/>
          <w:szCs w:val="24"/>
        </w:rPr>
        <w:t xml:space="preserve"> Erasmus+</w:t>
      </w:r>
      <w:r w:rsidR="00FB2183">
        <w:rPr>
          <w:rFonts w:ascii="Times New Roman" w:hAnsi="Times New Roman" w:cs="Times New Roman"/>
          <w:noProof/>
          <w:sz w:val="24"/>
          <w:szCs w:val="24"/>
        </w:rPr>
        <w:t xml:space="preserve"> programme. </w:t>
      </w:r>
    </w:p>
    <w:p w14:paraId="042A3A7C" w14:textId="1F86F810" w:rsidR="00FA7FF2" w:rsidRDefault="00FA7FF2" w:rsidP="00FA7FF2">
      <w:pPr>
        <w:spacing w:before="100" w:beforeAutospacing="1" w:after="100" w:afterAutospacing="1" w:line="240" w:lineRule="auto"/>
        <w:jc w:val="both"/>
        <w:rPr>
          <w:rFonts w:ascii="Times New Roman" w:hAnsi="Times New Roman" w:cs="Times New Roman"/>
          <w:noProof/>
          <w:sz w:val="24"/>
          <w:szCs w:val="24"/>
        </w:rPr>
      </w:pPr>
      <w:r w:rsidRPr="00FD3F1B">
        <w:rPr>
          <w:rFonts w:ascii="Times New Roman" w:hAnsi="Times New Roman" w:cs="Times New Roman"/>
          <w:noProof/>
          <w:sz w:val="24"/>
          <w:szCs w:val="24"/>
        </w:rPr>
        <w:t>By the end of 2025,</w:t>
      </w:r>
      <w:r w:rsidR="001D0DF7">
        <w:rPr>
          <w:rFonts w:ascii="Times New Roman" w:hAnsi="Times New Roman" w:cs="Times New Roman"/>
          <w:noProof/>
          <w:sz w:val="24"/>
          <w:szCs w:val="24"/>
        </w:rPr>
        <w:t xml:space="preserve"> </w:t>
      </w:r>
      <w:r w:rsidR="008A73FA">
        <w:rPr>
          <w:rFonts w:ascii="Times New Roman" w:hAnsi="Times New Roman" w:cs="Times New Roman"/>
          <w:noProof/>
          <w:sz w:val="24"/>
          <w:szCs w:val="24"/>
        </w:rPr>
        <w:t>significant progress</w:t>
      </w:r>
      <w:r w:rsidRPr="00FD3F1B">
        <w:rPr>
          <w:rFonts w:ascii="Times New Roman" w:hAnsi="Times New Roman" w:cs="Times New Roman"/>
          <w:noProof/>
          <w:sz w:val="24"/>
          <w:szCs w:val="24"/>
        </w:rPr>
        <w:t xml:space="preserve"> </w:t>
      </w:r>
      <w:r w:rsidR="0053550E">
        <w:rPr>
          <w:rFonts w:ascii="Times New Roman" w:hAnsi="Times New Roman" w:cs="Times New Roman"/>
          <w:noProof/>
          <w:sz w:val="24"/>
          <w:szCs w:val="24"/>
        </w:rPr>
        <w:t>had been</w:t>
      </w:r>
      <w:r>
        <w:rPr>
          <w:rFonts w:ascii="Times New Roman" w:hAnsi="Times New Roman" w:cs="Times New Roman"/>
          <w:noProof/>
          <w:sz w:val="24"/>
          <w:szCs w:val="24"/>
        </w:rPr>
        <w:t xml:space="preserve"> </w:t>
      </w:r>
      <w:r w:rsidRPr="00FD3F1B">
        <w:rPr>
          <w:rFonts w:ascii="Times New Roman" w:hAnsi="Times New Roman" w:cs="Times New Roman"/>
          <w:noProof/>
          <w:sz w:val="24"/>
          <w:szCs w:val="24"/>
        </w:rPr>
        <w:t>reached in implement</w:t>
      </w:r>
      <w:r>
        <w:rPr>
          <w:rFonts w:ascii="Times New Roman" w:hAnsi="Times New Roman" w:cs="Times New Roman"/>
          <w:noProof/>
          <w:sz w:val="24"/>
          <w:szCs w:val="24"/>
        </w:rPr>
        <w:t>ing</w:t>
      </w:r>
      <w:r w:rsidRPr="00FD3F1B">
        <w:rPr>
          <w:rFonts w:ascii="Times New Roman" w:hAnsi="Times New Roman" w:cs="Times New Roman"/>
          <w:noProof/>
          <w:sz w:val="24"/>
          <w:szCs w:val="24"/>
        </w:rPr>
        <w:t xml:space="preserve"> the Common Understanding. An agreement in principle was secured on the United Kingdom’s participation in Erasmus+</w:t>
      </w:r>
      <w:r w:rsidRPr="00F97D5F">
        <w:rPr>
          <w:rStyle w:val="FootnoteReference"/>
          <w:rFonts w:ascii="Times New Roman" w:hAnsi="Times New Roman" w:cs="Times New Roman"/>
          <w:noProof/>
          <w:sz w:val="24"/>
          <w:szCs w:val="24"/>
        </w:rPr>
        <w:footnoteReference w:id="7"/>
      </w:r>
      <w:r w:rsidRPr="00FD3F1B">
        <w:rPr>
          <w:rFonts w:ascii="Times New Roman" w:hAnsi="Times New Roman" w:cs="Times New Roman"/>
          <w:noProof/>
          <w:sz w:val="24"/>
          <w:szCs w:val="24"/>
        </w:rPr>
        <w:t>, and exploratory discussions on the U</w:t>
      </w:r>
      <w:r>
        <w:rPr>
          <w:rFonts w:ascii="Times New Roman" w:hAnsi="Times New Roman" w:cs="Times New Roman"/>
          <w:noProof/>
          <w:sz w:val="24"/>
          <w:szCs w:val="24"/>
        </w:rPr>
        <w:t xml:space="preserve">nited </w:t>
      </w:r>
      <w:r w:rsidRPr="00FD3F1B">
        <w:rPr>
          <w:rFonts w:ascii="Times New Roman" w:hAnsi="Times New Roman" w:cs="Times New Roman"/>
          <w:noProof/>
          <w:sz w:val="24"/>
          <w:szCs w:val="24"/>
        </w:rPr>
        <w:t>K</w:t>
      </w:r>
      <w:r>
        <w:rPr>
          <w:rFonts w:ascii="Times New Roman" w:hAnsi="Times New Roman" w:cs="Times New Roman"/>
          <w:noProof/>
          <w:sz w:val="24"/>
          <w:szCs w:val="24"/>
        </w:rPr>
        <w:t>ingdom’</w:t>
      </w:r>
      <w:r w:rsidRPr="00FD3F1B">
        <w:rPr>
          <w:rFonts w:ascii="Times New Roman" w:hAnsi="Times New Roman" w:cs="Times New Roman"/>
          <w:noProof/>
          <w:sz w:val="24"/>
          <w:szCs w:val="24"/>
        </w:rPr>
        <w:t>s possible participation in the EU internal electricity market were concluded, paving the way for further progress in 2026.</w:t>
      </w:r>
      <w:r w:rsidR="00C33B4E">
        <w:rPr>
          <w:rFonts w:ascii="Times New Roman" w:hAnsi="Times New Roman" w:cs="Times New Roman"/>
          <w:noProof/>
          <w:sz w:val="24"/>
          <w:szCs w:val="24"/>
        </w:rPr>
        <w:t xml:space="preserve"> </w:t>
      </w:r>
    </w:p>
    <w:p w14:paraId="4929F703" w14:textId="69C54E72" w:rsidR="00087994" w:rsidRDefault="00FA7FF2"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Cooperation also continued on a number </w:t>
      </w:r>
      <w:r w:rsidR="00150EB5" w:rsidRPr="00150EB5">
        <w:rPr>
          <w:rFonts w:ascii="Times New Roman" w:hAnsi="Times New Roman" w:cs="Times New Roman"/>
          <w:noProof/>
          <w:sz w:val="24"/>
          <w:szCs w:val="24"/>
        </w:rPr>
        <w:t xml:space="preserve">of initiatives </w:t>
      </w:r>
      <w:r>
        <w:rPr>
          <w:rFonts w:ascii="Times New Roman" w:hAnsi="Times New Roman" w:cs="Times New Roman"/>
          <w:noProof/>
          <w:sz w:val="24"/>
          <w:szCs w:val="24"/>
        </w:rPr>
        <w:t xml:space="preserve">that </w:t>
      </w:r>
      <w:r w:rsidR="00150EB5" w:rsidRPr="00150EB5">
        <w:rPr>
          <w:rFonts w:ascii="Times New Roman" w:hAnsi="Times New Roman" w:cs="Times New Roman"/>
          <w:noProof/>
          <w:sz w:val="24"/>
          <w:szCs w:val="24"/>
        </w:rPr>
        <w:t>fall outside the scope of the TCA</w:t>
      </w:r>
      <w:r>
        <w:rPr>
          <w:rFonts w:ascii="Times New Roman" w:hAnsi="Times New Roman" w:cs="Times New Roman"/>
          <w:noProof/>
          <w:sz w:val="24"/>
          <w:szCs w:val="24"/>
        </w:rPr>
        <w:t>.</w:t>
      </w:r>
      <w:r w:rsidR="00B8400F">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These included </w:t>
      </w:r>
      <w:r w:rsidR="00B8400F">
        <w:rPr>
          <w:rFonts w:ascii="Times New Roman" w:hAnsi="Times New Roman" w:cs="Times New Roman"/>
          <w:noProof/>
          <w:sz w:val="24"/>
          <w:szCs w:val="24"/>
        </w:rPr>
        <w:t>n</w:t>
      </w:r>
      <w:r w:rsidR="00150EB5" w:rsidRPr="00150EB5">
        <w:rPr>
          <w:rFonts w:ascii="Times New Roman" w:hAnsi="Times New Roman" w:cs="Times New Roman"/>
          <w:noProof/>
          <w:sz w:val="24"/>
          <w:szCs w:val="24"/>
        </w:rPr>
        <w:t xml:space="preserve">egotiating </w:t>
      </w:r>
      <w:r w:rsidR="00150EB5">
        <w:rPr>
          <w:rFonts w:ascii="Times New Roman" w:hAnsi="Times New Roman" w:cs="Times New Roman"/>
          <w:noProof/>
          <w:sz w:val="24"/>
          <w:szCs w:val="24"/>
        </w:rPr>
        <w:t>agreement</w:t>
      </w:r>
      <w:r w:rsidR="001D0DF7">
        <w:rPr>
          <w:rFonts w:ascii="Times New Roman" w:hAnsi="Times New Roman" w:cs="Times New Roman"/>
          <w:noProof/>
          <w:sz w:val="24"/>
          <w:szCs w:val="24"/>
        </w:rPr>
        <w:t>s</w:t>
      </w:r>
      <w:r w:rsidR="00150EB5">
        <w:rPr>
          <w:rFonts w:ascii="Times New Roman" w:hAnsi="Times New Roman" w:cs="Times New Roman"/>
          <w:noProof/>
          <w:sz w:val="24"/>
          <w:szCs w:val="24"/>
        </w:rPr>
        <w:t xml:space="preserve"> on a</w:t>
      </w:r>
      <w:r w:rsidR="00150EB5" w:rsidRPr="00150EB5">
        <w:rPr>
          <w:rFonts w:ascii="Times New Roman" w:hAnsi="Times New Roman" w:cs="Times New Roman"/>
          <w:noProof/>
          <w:sz w:val="24"/>
          <w:szCs w:val="24"/>
        </w:rPr>
        <w:t xml:space="preserve"> common sanitary and phytosanitary area</w:t>
      </w:r>
      <w:r w:rsidR="001D0DF7">
        <w:rPr>
          <w:rFonts w:ascii="Times New Roman" w:hAnsi="Times New Roman" w:cs="Times New Roman"/>
          <w:noProof/>
          <w:sz w:val="24"/>
          <w:szCs w:val="24"/>
        </w:rPr>
        <w:t xml:space="preserve"> </w:t>
      </w:r>
      <w:r w:rsidR="008A73FA">
        <w:rPr>
          <w:rFonts w:ascii="Times New Roman" w:hAnsi="Times New Roman" w:cs="Times New Roman"/>
          <w:noProof/>
          <w:sz w:val="24"/>
          <w:szCs w:val="24"/>
        </w:rPr>
        <w:t xml:space="preserve">and </w:t>
      </w:r>
      <w:r w:rsidR="003136BD">
        <w:rPr>
          <w:rFonts w:ascii="Times New Roman" w:hAnsi="Times New Roman" w:cs="Times New Roman"/>
          <w:noProof/>
          <w:sz w:val="24"/>
          <w:szCs w:val="24"/>
        </w:rPr>
        <w:t xml:space="preserve">the </w:t>
      </w:r>
      <w:r w:rsidR="001D0DF7" w:rsidRPr="001D0DF7">
        <w:rPr>
          <w:rFonts w:ascii="Times New Roman" w:hAnsi="Times New Roman" w:cs="Times New Roman"/>
          <w:noProof/>
          <w:sz w:val="24"/>
          <w:szCs w:val="24"/>
        </w:rPr>
        <w:t>Youth Experience Scheme</w:t>
      </w:r>
      <w:r w:rsidR="001D0DF7">
        <w:rPr>
          <w:rFonts w:ascii="Times New Roman" w:hAnsi="Times New Roman" w:cs="Times New Roman"/>
          <w:noProof/>
          <w:sz w:val="24"/>
          <w:szCs w:val="24"/>
        </w:rPr>
        <w:t xml:space="preserve">, as well as </w:t>
      </w:r>
      <w:r w:rsidR="00093EEE">
        <w:rPr>
          <w:rFonts w:ascii="Times New Roman" w:hAnsi="Times New Roman" w:cs="Times New Roman"/>
          <w:noProof/>
          <w:sz w:val="24"/>
          <w:szCs w:val="24"/>
        </w:rPr>
        <w:t xml:space="preserve">cooperation on </w:t>
      </w:r>
      <w:r w:rsidR="00150EB5" w:rsidRPr="00150EB5">
        <w:rPr>
          <w:rFonts w:ascii="Times New Roman" w:hAnsi="Times New Roman" w:cs="Times New Roman"/>
          <w:noProof/>
          <w:sz w:val="24"/>
          <w:szCs w:val="24"/>
        </w:rPr>
        <w:t>irregular migration</w:t>
      </w:r>
      <w:r w:rsidR="00150EB5">
        <w:rPr>
          <w:rFonts w:ascii="Times New Roman" w:hAnsi="Times New Roman" w:cs="Times New Roman"/>
          <w:noProof/>
          <w:sz w:val="24"/>
          <w:szCs w:val="24"/>
        </w:rPr>
        <w:t xml:space="preserve">, </w:t>
      </w:r>
      <w:r w:rsidR="00150EB5" w:rsidRPr="00150EB5">
        <w:rPr>
          <w:rFonts w:ascii="Times New Roman" w:hAnsi="Times New Roman" w:cs="Times New Roman"/>
          <w:noProof/>
          <w:sz w:val="24"/>
          <w:szCs w:val="24"/>
        </w:rPr>
        <w:t>including its external dimension</w:t>
      </w:r>
      <w:r w:rsidR="00D8292C">
        <w:rPr>
          <w:rFonts w:ascii="Times New Roman" w:hAnsi="Times New Roman" w:cs="Times New Roman"/>
          <w:noProof/>
          <w:sz w:val="24"/>
          <w:szCs w:val="24"/>
        </w:rPr>
        <w:t xml:space="preserve">. </w:t>
      </w:r>
      <w:r w:rsidR="00150EB5">
        <w:rPr>
          <w:rFonts w:ascii="Times New Roman" w:hAnsi="Times New Roman" w:cs="Times New Roman"/>
          <w:noProof/>
          <w:sz w:val="24"/>
          <w:szCs w:val="24"/>
        </w:rPr>
        <w:t xml:space="preserve">Both sides also committed </w:t>
      </w:r>
      <w:r w:rsidR="00150EB5" w:rsidRPr="00150EB5">
        <w:rPr>
          <w:rFonts w:ascii="Times New Roman" w:hAnsi="Times New Roman" w:cs="Times New Roman"/>
          <w:noProof/>
          <w:sz w:val="24"/>
          <w:szCs w:val="24"/>
        </w:rPr>
        <w:t xml:space="preserve">to exchange information on </w:t>
      </w:r>
      <w:r w:rsidR="00C45991">
        <w:rPr>
          <w:rFonts w:ascii="Times New Roman" w:hAnsi="Times New Roman" w:cs="Times New Roman"/>
          <w:noProof/>
          <w:sz w:val="24"/>
          <w:szCs w:val="24"/>
        </w:rPr>
        <w:t>efficient</w:t>
      </w:r>
      <w:r w:rsidR="00C45991" w:rsidRPr="00150EB5">
        <w:rPr>
          <w:rFonts w:ascii="Times New Roman" w:hAnsi="Times New Roman" w:cs="Times New Roman"/>
          <w:noProof/>
          <w:sz w:val="24"/>
          <w:szCs w:val="24"/>
        </w:rPr>
        <w:t xml:space="preserve"> </w:t>
      </w:r>
      <w:r w:rsidR="00150EB5" w:rsidRPr="00150EB5">
        <w:rPr>
          <w:rFonts w:ascii="Times New Roman" w:hAnsi="Times New Roman" w:cs="Times New Roman"/>
          <w:noProof/>
          <w:sz w:val="24"/>
          <w:szCs w:val="24"/>
        </w:rPr>
        <w:t>border management and to pursue technical regulatory dialogues on energy technologies</w:t>
      </w:r>
      <w:r w:rsidR="00150EB5">
        <w:rPr>
          <w:rFonts w:ascii="Times New Roman" w:hAnsi="Times New Roman" w:cs="Times New Roman"/>
          <w:noProof/>
          <w:sz w:val="24"/>
          <w:szCs w:val="24"/>
        </w:rPr>
        <w:t>,</w:t>
      </w:r>
      <w:r w:rsidR="00150EB5" w:rsidRPr="00150EB5">
        <w:rPr>
          <w:rFonts w:ascii="Times New Roman" w:hAnsi="Times New Roman" w:cs="Times New Roman"/>
          <w:noProof/>
          <w:sz w:val="24"/>
          <w:szCs w:val="24"/>
        </w:rPr>
        <w:t xml:space="preserve"> drug risks and threats.</w:t>
      </w:r>
    </w:p>
    <w:p w14:paraId="1A9BC1F0" w14:textId="770E15CB" w:rsidR="00DC13CC" w:rsidRPr="00F006D0" w:rsidRDefault="00E31ED7"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fifth report on the implementation and application of the TCA, </w:t>
      </w:r>
      <w:r w:rsidRPr="00F006D0">
        <w:rPr>
          <w:rFonts w:ascii="Times New Roman" w:hAnsi="Times New Roman" w:cs="Times New Roman"/>
          <w:noProof/>
          <w:sz w:val="24"/>
          <w:szCs w:val="24"/>
        </w:rPr>
        <w:t>as required by Article</w:t>
      </w:r>
      <w:r w:rsidR="00F97D5F">
        <w:rPr>
          <w:rFonts w:ascii="Times New Roman" w:hAnsi="Times New Roman" w:cs="Times New Roman"/>
          <w:noProof/>
          <w:sz w:val="24"/>
          <w:szCs w:val="24"/>
        </w:rPr>
        <w:t> </w:t>
      </w:r>
      <w:r w:rsidRPr="00F006D0">
        <w:rPr>
          <w:rFonts w:ascii="Times New Roman" w:hAnsi="Times New Roman" w:cs="Times New Roman"/>
          <w:noProof/>
          <w:sz w:val="24"/>
          <w:szCs w:val="24"/>
        </w:rPr>
        <w:t xml:space="preserve">2(4) of </w:t>
      </w:r>
      <w:bookmarkStart w:id="7" w:name="_Hlk209776665"/>
      <w:r w:rsidRPr="00F006D0">
        <w:rPr>
          <w:rFonts w:ascii="Times New Roman" w:hAnsi="Times New Roman" w:cs="Times New Roman"/>
          <w:noProof/>
          <w:sz w:val="24"/>
          <w:szCs w:val="24"/>
        </w:rPr>
        <w:t>Council Decision (EU) 2021/689 of 29 April 2021</w:t>
      </w:r>
      <w:bookmarkEnd w:id="7"/>
      <w:r w:rsidRPr="00F97D5F">
        <w:rPr>
          <w:rFonts w:ascii="Times New Roman" w:hAnsi="Times New Roman" w:cs="Times New Roman"/>
          <w:noProof/>
          <w:sz w:val="24"/>
          <w:szCs w:val="24"/>
          <w:vertAlign w:val="superscript"/>
        </w:rPr>
        <w:footnoteReference w:id="8"/>
      </w:r>
      <w:r>
        <w:rPr>
          <w:rFonts w:ascii="Times New Roman" w:hAnsi="Times New Roman" w:cs="Times New Roman"/>
          <w:noProof/>
          <w:sz w:val="24"/>
          <w:szCs w:val="24"/>
        </w:rPr>
        <w:t>,</w:t>
      </w:r>
      <w:r w:rsidR="006E5CC8">
        <w:rPr>
          <w:rFonts w:ascii="Times New Roman" w:hAnsi="Times New Roman" w:cs="Times New Roman"/>
          <w:noProof/>
          <w:sz w:val="24"/>
          <w:szCs w:val="24"/>
        </w:rPr>
        <w:t xml:space="preserve"> presents </w:t>
      </w:r>
      <w:r w:rsidR="00316718" w:rsidRPr="00316718">
        <w:rPr>
          <w:rFonts w:ascii="Times New Roman" w:hAnsi="Times New Roman" w:cs="Times New Roman"/>
          <w:noProof/>
          <w:sz w:val="24"/>
          <w:szCs w:val="24"/>
        </w:rPr>
        <w:t xml:space="preserve">key developments in </w:t>
      </w:r>
      <w:r w:rsidR="006E5CC8">
        <w:rPr>
          <w:rFonts w:ascii="Times New Roman" w:hAnsi="Times New Roman" w:cs="Times New Roman"/>
          <w:noProof/>
          <w:sz w:val="24"/>
          <w:szCs w:val="24"/>
        </w:rPr>
        <w:t>2025.</w:t>
      </w:r>
      <w:r w:rsidR="00C42733">
        <w:rPr>
          <w:rFonts w:ascii="Times New Roman" w:hAnsi="Times New Roman" w:cs="Times New Roman"/>
          <w:noProof/>
          <w:sz w:val="24"/>
          <w:szCs w:val="24"/>
        </w:rPr>
        <w:t xml:space="preserve"> </w:t>
      </w:r>
      <w:r w:rsidR="006E5CC8" w:rsidRPr="006E5CC8">
        <w:rPr>
          <w:rFonts w:ascii="Times New Roman" w:hAnsi="Times New Roman" w:cs="Times New Roman"/>
          <w:noProof/>
          <w:sz w:val="24"/>
          <w:szCs w:val="24"/>
        </w:rPr>
        <w:t xml:space="preserve">It covers the functioning of the institutional framework (Section 2), </w:t>
      </w:r>
      <w:r w:rsidR="00AC3D73">
        <w:rPr>
          <w:rFonts w:ascii="Times New Roman" w:hAnsi="Times New Roman" w:cs="Times New Roman"/>
          <w:noProof/>
          <w:sz w:val="24"/>
          <w:szCs w:val="24"/>
        </w:rPr>
        <w:t>complaints and</w:t>
      </w:r>
      <w:r w:rsidR="006E5CC8" w:rsidRPr="006E5CC8">
        <w:rPr>
          <w:rFonts w:ascii="Times New Roman" w:hAnsi="Times New Roman" w:cs="Times New Roman"/>
          <w:noProof/>
          <w:sz w:val="24"/>
          <w:szCs w:val="24"/>
        </w:rPr>
        <w:t xml:space="preserve"> dispute settlement (Section 3), </w:t>
      </w:r>
      <w:r w:rsidR="00C45991">
        <w:rPr>
          <w:rFonts w:ascii="Times New Roman" w:hAnsi="Times New Roman" w:cs="Times New Roman"/>
          <w:noProof/>
          <w:sz w:val="24"/>
          <w:szCs w:val="24"/>
        </w:rPr>
        <w:t>and</w:t>
      </w:r>
      <w:r w:rsidR="006E5CC8" w:rsidRPr="006E5CC8">
        <w:rPr>
          <w:rFonts w:ascii="Times New Roman" w:hAnsi="Times New Roman" w:cs="Times New Roman"/>
          <w:noProof/>
          <w:sz w:val="24"/>
          <w:szCs w:val="24"/>
        </w:rPr>
        <w:t xml:space="preserve"> progress across the various areas of the TCA, </w:t>
      </w:r>
      <w:r w:rsidR="00C42733" w:rsidRPr="00C42733">
        <w:rPr>
          <w:rFonts w:ascii="Times New Roman" w:hAnsi="Times New Roman" w:cs="Times New Roman"/>
          <w:noProof/>
          <w:sz w:val="24"/>
          <w:szCs w:val="24"/>
        </w:rPr>
        <w:t xml:space="preserve">including updates on the implementation of </w:t>
      </w:r>
      <w:r w:rsidR="00084B11">
        <w:rPr>
          <w:rFonts w:ascii="Times New Roman" w:hAnsi="Times New Roman" w:cs="Times New Roman"/>
          <w:noProof/>
          <w:sz w:val="24"/>
          <w:szCs w:val="24"/>
        </w:rPr>
        <w:t xml:space="preserve">the </w:t>
      </w:r>
      <w:r w:rsidR="00C42733" w:rsidRPr="00C42733">
        <w:rPr>
          <w:rFonts w:ascii="Times New Roman" w:hAnsi="Times New Roman" w:cs="Times New Roman"/>
          <w:noProof/>
          <w:sz w:val="24"/>
          <w:szCs w:val="24"/>
        </w:rPr>
        <w:t xml:space="preserve">actions agreed </w:t>
      </w:r>
      <w:r w:rsidR="00C11E67">
        <w:rPr>
          <w:rFonts w:ascii="Times New Roman" w:hAnsi="Times New Roman" w:cs="Times New Roman"/>
          <w:noProof/>
          <w:sz w:val="24"/>
          <w:szCs w:val="24"/>
        </w:rPr>
        <w:t>in the Common Understanding</w:t>
      </w:r>
      <w:r w:rsidR="006E5CC8" w:rsidRPr="006E5CC8">
        <w:rPr>
          <w:rFonts w:ascii="Times New Roman" w:hAnsi="Times New Roman" w:cs="Times New Roman"/>
          <w:noProof/>
          <w:sz w:val="24"/>
          <w:szCs w:val="24"/>
        </w:rPr>
        <w:t xml:space="preserve"> (Section 4). The report also highlights legislative developments in the United Kingdom that affect the TCA’s implementation (Section 5</w:t>
      </w:r>
      <w:r w:rsidR="00316718" w:rsidRPr="00316718">
        <w:rPr>
          <w:rFonts w:ascii="Times New Roman" w:hAnsi="Times New Roman" w:cs="Times New Roman"/>
          <w:noProof/>
          <w:sz w:val="24"/>
          <w:szCs w:val="24"/>
        </w:rPr>
        <w:t>).</w:t>
      </w:r>
    </w:p>
    <w:p w14:paraId="14B51BD5" w14:textId="60B652B0" w:rsidR="006D1404" w:rsidRPr="0086076B" w:rsidRDefault="33A451BC"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8" w:name="_Toc86061892"/>
      <w:bookmarkStart w:id="9" w:name="_Toc86154514"/>
      <w:bookmarkStart w:id="10" w:name="_Toc185413378"/>
      <w:bookmarkStart w:id="11" w:name="_Toc204769315"/>
      <w:bookmarkStart w:id="12" w:name="_Toc209798638"/>
      <w:r w:rsidRPr="0086076B">
        <w:rPr>
          <w:rFonts w:ascii="Times New Roman" w:hAnsi="Times New Roman" w:cs="Times New Roman"/>
          <w:b/>
          <w:bCs/>
          <w:noProof/>
          <w:color w:val="auto"/>
        </w:rPr>
        <w:t>Institutional framework</w:t>
      </w:r>
      <w:bookmarkEnd w:id="8"/>
      <w:bookmarkEnd w:id="9"/>
      <w:bookmarkEnd w:id="10"/>
      <w:bookmarkEnd w:id="11"/>
      <w:bookmarkEnd w:id="12"/>
    </w:p>
    <w:p w14:paraId="0FC06E13" w14:textId="79B91B83" w:rsidR="00024D39" w:rsidRPr="00F006D0" w:rsidRDefault="00176FCA" w:rsidP="00470A6D">
      <w:pPr>
        <w:spacing w:before="100" w:beforeAutospacing="1" w:after="100" w:afterAutospacing="1" w:line="240" w:lineRule="auto"/>
        <w:jc w:val="both"/>
        <w:rPr>
          <w:rFonts w:ascii="Times New Roman" w:hAnsi="Times New Roman" w:cs="Times New Roman"/>
          <w:noProof/>
          <w:sz w:val="24"/>
          <w:szCs w:val="24"/>
        </w:rPr>
      </w:pPr>
      <w:r w:rsidRPr="00176FCA">
        <w:rPr>
          <w:rFonts w:ascii="Times New Roman" w:hAnsi="Times New Roman" w:cs="Times New Roman"/>
          <w:noProof/>
          <w:sz w:val="24"/>
          <w:szCs w:val="24"/>
        </w:rPr>
        <w:t>This section outlines the key activities and developments of the joint bodies and other structures established under the TCA</w:t>
      </w:r>
      <w:r w:rsidR="003541AF">
        <w:rPr>
          <w:rFonts w:ascii="Times New Roman" w:hAnsi="Times New Roman" w:cs="Times New Roman"/>
          <w:noProof/>
          <w:sz w:val="24"/>
          <w:szCs w:val="24"/>
        </w:rPr>
        <w:t xml:space="preserve"> to </w:t>
      </w:r>
      <w:r w:rsidRPr="00176FCA">
        <w:rPr>
          <w:rFonts w:ascii="Times New Roman" w:hAnsi="Times New Roman" w:cs="Times New Roman"/>
          <w:noProof/>
          <w:sz w:val="24"/>
          <w:szCs w:val="24"/>
        </w:rPr>
        <w:t xml:space="preserve">monitor and facilitate its implementation. A </w:t>
      </w:r>
      <w:r>
        <w:rPr>
          <w:rFonts w:ascii="Times New Roman" w:hAnsi="Times New Roman" w:cs="Times New Roman"/>
          <w:noProof/>
          <w:sz w:val="24"/>
          <w:szCs w:val="24"/>
        </w:rPr>
        <w:t>full</w:t>
      </w:r>
      <w:r w:rsidRPr="00176FCA">
        <w:rPr>
          <w:rFonts w:ascii="Times New Roman" w:hAnsi="Times New Roman" w:cs="Times New Roman"/>
          <w:noProof/>
          <w:sz w:val="24"/>
          <w:szCs w:val="24"/>
        </w:rPr>
        <w:t xml:space="preserve"> list of meetings is pr</w:t>
      </w:r>
      <w:r>
        <w:rPr>
          <w:rFonts w:ascii="Times New Roman" w:hAnsi="Times New Roman" w:cs="Times New Roman"/>
          <w:noProof/>
          <w:sz w:val="24"/>
          <w:szCs w:val="24"/>
        </w:rPr>
        <w:t>esented</w:t>
      </w:r>
      <w:r w:rsidRPr="00176FCA">
        <w:rPr>
          <w:rFonts w:ascii="Times New Roman" w:hAnsi="Times New Roman" w:cs="Times New Roman"/>
          <w:noProof/>
          <w:sz w:val="24"/>
          <w:szCs w:val="24"/>
        </w:rPr>
        <w:t xml:space="preserve"> in Annex</w:t>
      </w:r>
      <w:r w:rsidR="00290082">
        <w:rPr>
          <w:rFonts w:ascii="Times New Roman" w:hAnsi="Times New Roman" w:cs="Times New Roman"/>
          <w:noProof/>
          <w:sz w:val="24"/>
          <w:szCs w:val="24"/>
        </w:rPr>
        <w:t xml:space="preserve"> 1.</w:t>
      </w:r>
    </w:p>
    <w:p w14:paraId="6E3660B6" w14:textId="00B50AA4" w:rsidR="001B6AD6" w:rsidRDefault="7473CE49" w:rsidP="001B6AD6">
      <w:pPr>
        <w:spacing w:before="100" w:beforeAutospacing="1" w:after="100" w:afterAutospacing="1" w:line="240" w:lineRule="auto"/>
        <w:jc w:val="both"/>
        <w:rPr>
          <w:rFonts w:ascii="Times New Roman" w:hAnsi="Times New Roman" w:cs="Times New Roman"/>
          <w:noProof/>
          <w:sz w:val="24"/>
          <w:szCs w:val="24"/>
        </w:rPr>
      </w:pPr>
      <w:r w:rsidRPr="0037000C">
        <w:rPr>
          <w:rFonts w:ascii="Times New Roman" w:hAnsi="Times New Roman" w:cs="Times New Roman"/>
          <w:noProof/>
          <w:sz w:val="24"/>
          <w:szCs w:val="24"/>
        </w:rPr>
        <w:t xml:space="preserve">The </w:t>
      </w:r>
      <w:r w:rsidR="00503B4F">
        <w:rPr>
          <w:rFonts w:ascii="Times New Roman" w:eastAsia="Times New Roman" w:hAnsi="Times New Roman" w:cs="Times New Roman"/>
          <w:b/>
          <w:bCs/>
          <w:noProof/>
          <w:sz w:val="24"/>
          <w:szCs w:val="24"/>
        </w:rPr>
        <w:t>c</w:t>
      </w:r>
      <w:r w:rsidR="00C1595E" w:rsidRPr="0037000C">
        <w:rPr>
          <w:rFonts w:ascii="Times New Roman" w:eastAsia="Times New Roman" w:hAnsi="Times New Roman" w:cs="Times New Roman"/>
          <w:b/>
          <w:bCs/>
          <w:noProof/>
          <w:sz w:val="24"/>
          <w:szCs w:val="24"/>
        </w:rPr>
        <w:t>ommittees</w:t>
      </w:r>
      <w:r w:rsidR="00C1595E" w:rsidRPr="0037000C">
        <w:rPr>
          <w:rFonts w:ascii="Times New Roman" w:hAnsi="Times New Roman" w:cs="Times New Roman"/>
          <w:noProof/>
          <w:sz w:val="24"/>
          <w:szCs w:val="24"/>
        </w:rPr>
        <w:t xml:space="preserve"> </w:t>
      </w:r>
      <w:r w:rsidRPr="0037000C">
        <w:rPr>
          <w:rFonts w:ascii="Times New Roman" w:hAnsi="Times New Roman" w:cs="Times New Roman"/>
          <w:noProof/>
          <w:sz w:val="24"/>
          <w:szCs w:val="24"/>
        </w:rPr>
        <w:t xml:space="preserve">established under Article 8 of the TCA </w:t>
      </w:r>
      <w:r w:rsidR="00764330" w:rsidRPr="0037000C">
        <w:rPr>
          <w:rFonts w:ascii="Times New Roman" w:hAnsi="Times New Roman" w:cs="Times New Roman"/>
          <w:noProof/>
          <w:sz w:val="24"/>
          <w:szCs w:val="24"/>
        </w:rPr>
        <w:t>met</w:t>
      </w:r>
      <w:r w:rsidRPr="0037000C">
        <w:rPr>
          <w:rFonts w:ascii="Times New Roman" w:hAnsi="Times New Roman" w:cs="Times New Roman"/>
          <w:noProof/>
          <w:sz w:val="24"/>
          <w:szCs w:val="24"/>
        </w:rPr>
        <w:t xml:space="preserve"> throughout the year. These meetings enabled structured reviews of progress on commitments made in the TCA</w:t>
      </w:r>
      <w:r w:rsidR="00503B4F">
        <w:rPr>
          <w:rFonts w:ascii="Times New Roman" w:hAnsi="Times New Roman" w:cs="Times New Roman"/>
          <w:noProof/>
          <w:sz w:val="24"/>
          <w:szCs w:val="24"/>
        </w:rPr>
        <w:t xml:space="preserve"> and provided </w:t>
      </w:r>
      <w:r w:rsidRPr="0037000C">
        <w:rPr>
          <w:rFonts w:ascii="Times New Roman" w:hAnsi="Times New Roman" w:cs="Times New Roman"/>
          <w:noProof/>
          <w:sz w:val="24"/>
          <w:szCs w:val="24"/>
        </w:rPr>
        <w:t xml:space="preserve">a platform for technical exchanges on various implementation issues, including forthcoming regulatory developments. </w:t>
      </w:r>
      <w:r w:rsidR="009D79E3" w:rsidRPr="0037000C">
        <w:rPr>
          <w:rFonts w:ascii="Times New Roman" w:hAnsi="Times New Roman" w:cs="Times New Roman"/>
          <w:noProof/>
          <w:sz w:val="24"/>
          <w:szCs w:val="24"/>
        </w:rPr>
        <w:t>S</w:t>
      </w:r>
      <w:r w:rsidRPr="0037000C">
        <w:rPr>
          <w:rFonts w:ascii="Times New Roman" w:hAnsi="Times New Roman" w:cs="Times New Roman"/>
          <w:noProof/>
          <w:sz w:val="24"/>
          <w:szCs w:val="24"/>
        </w:rPr>
        <w:t>everal decisions and recommendations were adopted</w:t>
      </w:r>
      <w:r w:rsidR="00084B11">
        <w:rPr>
          <w:rFonts w:ascii="Times New Roman" w:hAnsi="Times New Roman" w:cs="Times New Roman"/>
          <w:noProof/>
          <w:sz w:val="24"/>
          <w:szCs w:val="24"/>
        </w:rPr>
        <w:t>, which are presented</w:t>
      </w:r>
      <w:r w:rsidR="00CB5C9B" w:rsidRPr="0037000C">
        <w:rPr>
          <w:rFonts w:ascii="Times New Roman" w:hAnsi="Times New Roman" w:cs="Times New Roman"/>
          <w:noProof/>
          <w:sz w:val="24"/>
          <w:szCs w:val="24"/>
        </w:rPr>
        <w:t xml:space="preserve"> </w:t>
      </w:r>
      <w:r w:rsidRPr="0037000C">
        <w:rPr>
          <w:rFonts w:ascii="Times New Roman" w:hAnsi="Times New Roman" w:cs="Times New Roman"/>
          <w:noProof/>
          <w:sz w:val="24"/>
          <w:szCs w:val="24"/>
        </w:rPr>
        <w:t xml:space="preserve">in Annex </w:t>
      </w:r>
      <w:r w:rsidR="0037000C">
        <w:rPr>
          <w:rFonts w:ascii="Times New Roman" w:hAnsi="Times New Roman" w:cs="Times New Roman"/>
          <w:noProof/>
          <w:sz w:val="24"/>
          <w:szCs w:val="24"/>
        </w:rPr>
        <w:t>2</w:t>
      </w:r>
      <w:r w:rsidR="00DE5C12">
        <w:rPr>
          <w:rFonts w:ascii="Times New Roman" w:hAnsi="Times New Roman" w:cs="Times New Roman"/>
          <w:noProof/>
          <w:sz w:val="24"/>
          <w:szCs w:val="24"/>
        </w:rPr>
        <w:t xml:space="preserve">. </w:t>
      </w:r>
      <w:r w:rsidR="001B6AD6">
        <w:rPr>
          <w:rFonts w:ascii="Times New Roman" w:hAnsi="Times New Roman" w:cs="Times New Roman"/>
          <w:noProof/>
          <w:sz w:val="24"/>
          <w:szCs w:val="24"/>
        </w:rPr>
        <w:t xml:space="preserve">Where relevant, the meetings of the Specialised Committees were preceded by the meetings of the </w:t>
      </w:r>
      <w:r w:rsidR="00C44004">
        <w:rPr>
          <w:rFonts w:ascii="Times New Roman" w:hAnsi="Times New Roman" w:cs="Times New Roman"/>
          <w:b/>
          <w:bCs/>
          <w:noProof/>
          <w:sz w:val="24"/>
          <w:szCs w:val="24"/>
        </w:rPr>
        <w:t>w</w:t>
      </w:r>
      <w:r w:rsidR="001B6AD6" w:rsidRPr="00DE5C12">
        <w:rPr>
          <w:rFonts w:ascii="Times New Roman" w:hAnsi="Times New Roman" w:cs="Times New Roman"/>
          <w:b/>
          <w:bCs/>
          <w:noProof/>
          <w:sz w:val="24"/>
          <w:szCs w:val="24"/>
        </w:rPr>
        <w:t xml:space="preserve">orking </w:t>
      </w:r>
      <w:r w:rsidR="00C44004">
        <w:rPr>
          <w:rFonts w:ascii="Times New Roman" w:hAnsi="Times New Roman" w:cs="Times New Roman"/>
          <w:b/>
          <w:bCs/>
          <w:noProof/>
          <w:sz w:val="24"/>
          <w:szCs w:val="24"/>
        </w:rPr>
        <w:t>g</w:t>
      </w:r>
      <w:r w:rsidR="001B6AD6" w:rsidRPr="00DE5C12">
        <w:rPr>
          <w:rFonts w:ascii="Times New Roman" w:hAnsi="Times New Roman" w:cs="Times New Roman"/>
          <w:b/>
          <w:bCs/>
          <w:noProof/>
          <w:sz w:val="24"/>
          <w:szCs w:val="24"/>
        </w:rPr>
        <w:t>roups</w:t>
      </w:r>
      <w:r w:rsidR="001B6AD6" w:rsidRPr="00DE5C12">
        <w:rPr>
          <w:rFonts w:ascii="Times New Roman" w:hAnsi="Times New Roman" w:cs="Times New Roman"/>
          <w:noProof/>
          <w:sz w:val="24"/>
          <w:szCs w:val="24"/>
        </w:rPr>
        <w:t>, established under Article 9 of the TCA</w:t>
      </w:r>
      <w:r w:rsidR="001B6AD6" w:rsidRPr="00F97D5F">
        <w:rPr>
          <w:rStyle w:val="FootnoteReference"/>
          <w:rFonts w:ascii="Times New Roman" w:hAnsi="Times New Roman" w:cs="Times New Roman"/>
          <w:noProof/>
          <w:sz w:val="24"/>
          <w:szCs w:val="24"/>
        </w:rPr>
        <w:footnoteReference w:id="9"/>
      </w:r>
      <w:r w:rsidR="001B6AD6">
        <w:rPr>
          <w:rFonts w:ascii="Times New Roman" w:hAnsi="Times New Roman" w:cs="Times New Roman"/>
          <w:noProof/>
          <w:sz w:val="24"/>
          <w:szCs w:val="24"/>
        </w:rPr>
        <w:t>.</w:t>
      </w:r>
    </w:p>
    <w:p w14:paraId="1ACC876B" w14:textId="68CDD745" w:rsidR="00A60811" w:rsidRDefault="0B76E0F5" w:rsidP="00470A6D">
      <w:pPr>
        <w:spacing w:before="100" w:beforeAutospacing="1" w:after="100" w:afterAutospacing="1" w:line="240" w:lineRule="auto"/>
        <w:jc w:val="both"/>
        <w:rPr>
          <w:rFonts w:ascii="Times New Roman" w:hAnsi="Times New Roman" w:cs="Times New Roman"/>
          <w:noProof/>
          <w:sz w:val="24"/>
          <w:szCs w:val="24"/>
        </w:rPr>
      </w:pPr>
      <w:r w:rsidRPr="00BD3AD7">
        <w:rPr>
          <w:rFonts w:ascii="Times New Roman" w:hAnsi="Times New Roman" w:cs="Times New Roman"/>
          <w:noProof/>
          <w:sz w:val="24"/>
          <w:szCs w:val="24"/>
        </w:rPr>
        <w:t xml:space="preserve">The </w:t>
      </w:r>
      <w:r w:rsidRPr="00BD3AD7">
        <w:rPr>
          <w:rFonts w:ascii="Times New Roman" w:eastAsia="Times New Roman" w:hAnsi="Times New Roman" w:cs="Times New Roman"/>
          <w:b/>
          <w:bCs/>
          <w:noProof/>
          <w:sz w:val="24"/>
          <w:szCs w:val="24"/>
        </w:rPr>
        <w:t>Parliamentary Partnership Assembly</w:t>
      </w:r>
      <w:r w:rsidRPr="00BD3AD7">
        <w:rPr>
          <w:rFonts w:ascii="Times New Roman" w:hAnsi="Times New Roman" w:cs="Times New Roman"/>
          <w:noProof/>
          <w:sz w:val="24"/>
          <w:szCs w:val="24"/>
        </w:rPr>
        <w:t xml:space="preserve">, established under Article 11 of the TCA, </w:t>
      </w:r>
      <w:r w:rsidR="003D6027" w:rsidRPr="00BD3AD7">
        <w:rPr>
          <w:rFonts w:ascii="Times New Roman" w:hAnsi="Times New Roman" w:cs="Times New Roman"/>
          <w:noProof/>
          <w:sz w:val="24"/>
          <w:szCs w:val="24"/>
        </w:rPr>
        <w:t xml:space="preserve">met </w:t>
      </w:r>
      <w:r w:rsidR="00A60811" w:rsidRPr="00BD3AD7">
        <w:rPr>
          <w:rFonts w:ascii="Times New Roman" w:hAnsi="Times New Roman" w:cs="Times New Roman"/>
          <w:noProof/>
          <w:sz w:val="24"/>
          <w:szCs w:val="24"/>
        </w:rPr>
        <w:t>twice: o</w:t>
      </w:r>
      <w:r w:rsidR="003D6027" w:rsidRPr="00BD3AD7">
        <w:rPr>
          <w:rFonts w:ascii="Times New Roman" w:hAnsi="Times New Roman" w:cs="Times New Roman"/>
          <w:noProof/>
          <w:sz w:val="24"/>
          <w:szCs w:val="24"/>
        </w:rPr>
        <w:t>n 17 and 18 March in Brussels</w:t>
      </w:r>
      <w:r w:rsidR="003D6027" w:rsidRPr="00F97D5F">
        <w:rPr>
          <w:rStyle w:val="FootnoteReference"/>
          <w:rFonts w:ascii="Times New Roman" w:hAnsi="Times New Roman" w:cs="Times New Roman"/>
          <w:noProof/>
          <w:sz w:val="24"/>
          <w:szCs w:val="24"/>
        </w:rPr>
        <w:footnoteReference w:id="10"/>
      </w:r>
      <w:r w:rsidR="00A60811" w:rsidRPr="00BD3AD7">
        <w:rPr>
          <w:rFonts w:ascii="Times New Roman" w:hAnsi="Times New Roman" w:cs="Times New Roman"/>
          <w:noProof/>
          <w:sz w:val="24"/>
          <w:szCs w:val="24"/>
        </w:rPr>
        <w:t xml:space="preserve"> and on 17 and 18</w:t>
      </w:r>
      <w:r w:rsidR="00A60811" w:rsidRPr="00A60811">
        <w:rPr>
          <w:rFonts w:ascii="Times New Roman" w:hAnsi="Times New Roman" w:cs="Times New Roman"/>
          <w:noProof/>
          <w:sz w:val="24"/>
          <w:szCs w:val="24"/>
        </w:rPr>
        <w:t xml:space="preserve"> November in London</w:t>
      </w:r>
      <w:r w:rsidR="00A60811" w:rsidRPr="00F97D5F">
        <w:rPr>
          <w:rStyle w:val="FootnoteReference"/>
          <w:rFonts w:ascii="Times New Roman" w:hAnsi="Times New Roman" w:cs="Times New Roman"/>
          <w:noProof/>
          <w:sz w:val="24"/>
          <w:szCs w:val="24"/>
        </w:rPr>
        <w:footnoteReference w:id="11"/>
      </w:r>
      <w:r w:rsidR="00A60811">
        <w:rPr>
          <w:rFonts w:ascii="Times New Roman" w:hAnsi="Times New Roman" w:cs="Times New Roman"/>
          <w:noProof/>
          <w:sz w:val="24"/>
          <w:szCs w:val="24"/>
        </w:rPr>
        <w:t xml:space="preserve">. </w:t>
      </w:r>
      <w:r w:rsidR="00F85BA6">
        <w:rPr>
          <w:rFonts w:ascii="Times New Roman" w:hAnsi="Times New Roman" w:cs="Times New Roman"/>
          <w:noProof/>
          <w:sz w:val="24"/>
          <w:szCs w:val="24"/>
        </w:rPr>
        <w:t>These</w:t>
      </w:r>
      <w:r w:rsidR="00F85BA6" w:rsidRPr="00A60811">
        <w:rPr>
          <w:rFonts w:ascii="Times New Roman" w:hAnsi="Times New Roman" w:cs="Times New Roman"/>
          <w:noProof/>
          <w:sz w:val="24"/>
          <w:szCs w:val="24"/>
        </w:rPr>
        <w:t xml:space="preserve"> </w:t>
      </w:r>
      <w:r w:rsidR="00A60811" w:rsidRPr="00A60811">
        <w:rPr>
          <w:rFonts w:ascii="Times New Roman" w:hAnsi="Times New Roman" w:cs="Times New Roman"/>
          <w:noProof/>
          <w:sz w:val="24"/>
          <w:szCs w:val="24"/>
        </w:rPr>
        <w:t>meetings focused on foreign and security policy, climate and energy, workers’ rights, cultural exchanges, artificial intelligence, data and digital cooperation, youth opportunities, trade, customs, sanitary and phytosanitary measures, and regulatory cooperation in financial services.</w:t>
      </w:r>
      <w:r w:rsidR="00A60811">
        <w:rPr>
          <w:rFonts w:ascii="Times New Roman" w:hAnsi="Times New Roman" w:cs="Times New Roman"/>
          <w:noProof/>
          <w:sz w:val="24"/>
          <w:szCs w:val="24"/>
        </w:rPr>
        <w:t xml:space="preserve"> </w:t>
      </w:r>
      <w:r w:rsidR="00A60811" w:rsidRPr="00A60811">
        <w:rPr>
          <w:rFonts w:ascii="Times New Roman" w:hAnsi="Times New Roman" w:cs="Times New Roman"/>
          <w:noProof/>
          <w:sz w:val="24"/>
          <w:szCs w:val="24"/>
        </w:rPr>
        <w:t>Following the March meeting, the Assembly issued a recommendation to the Partnership Council on strengthening EU</w:t>
      </w:r>
      <w:r w:rsidR="000C576B">
        <w:rPr>
          <w:rFonts w:ascii="Times New Roman" w:hAnsi="Times New Roman" w:cs="Times New Roman"/>
          <w:noProof/>
          <w:sz w:val="24"/>
          <w:szCs w:val="24"/>
        </w:rPr>
        <w:t>-</w:t>
      </w:r>
      <w:r w:rsidR="00A60811" w:rsidRPr="00A60811">
        <w:rPr>
          <w:rFonts w:ascii="Times New Roman" w:hAnsi="Times New Roman" w:cs="Times New Roman"/>
          <w:noProof/>
          <w:sz w:val="24"/>
          <w:szCs w:val="24"/>
        </w:rPr>
        <w:t xml:space="preserve">UK cooperation ahead of the 19 May </w:t>
      </w:r>
      <w:r w:rsidR="00A60811" w:rsidRPr="007C7F97">
        <w:rPr>
          <w:rFonts w:ascii="Times New Roman" w:hAnsi="Times New Roman" w:cs="Times New Roman"/>
          <w:noProof/>
          <w:sz w:val="24"/>
          <w:szCs w:val="24"/>
        </w:rPr>
        <w:t>Summit</w:t>
      </w:r>
      <w:r w:rsidR="00A60811" w:rsidRPr="00F97D5F">
        <w:rPr>
          <w:rStyle w:val="FootnoteReference"/>
          <w:rFonts w:ascii="Times New Roman" w:hAnsi="Times New Roman" w:cs="Times New Roman"/>
          <w:noProof/>
          <w:sz w:val="24"/>
          <w:szCs w:val="24"/>
        </w:rPr>
        <w:footnoteReference w:id="12"/>
      </w:r>
      <w:r w:rsidR="00A60811" w:rsidRPr="007C7F97">
        <w:rPr>
          <w:rFonts w:ascii="Times New Roman" w:hAnsi="Times New Roman" w:cs="Times New Roman"/>
          <w:noProof/>
          <w:sz w:val="24"/>
          <w:szCs w:val="24"/>
        </w:rPr>
        <w:t>,</w:t>
      </w:r>
      <w:r w:rsidR="00A60811" w:rsidRPr="00A60811">
        <w:rPr>
          <w:rFonts w:ascii="Times New Roman" w:hAnsi="Times New Roman" w:cs="Times New Roman"/>
          <w:noProof/>
          <w:sz w:val="24"/>
          <w:szCs w:val="24"/>
        </w:rPr>
        <w:t xml:space="preserve"> and following the November meeting, on security, trade and global challenges</w:t>
      </w:r>
      <w:r w:rsidR="00A60811" w:rsidRPr="00F97D5F">
        <w:rPr>
          <w:rStyle w:val="FootnoteReference"/>
          <w:rFonts w:ascii="Times New Roman" w:hAnsi="Times New Roman" w:cs="Times New Roman"/>
          <w:noProof/>
          <w:sz w:val="24"/>
          <w:szCs w:val="24"/>
        </w:rPr>
        <w:footnoteReference w:id="13"/>
      </w:r>
      <w:r w:rsidR="00A60811" w:rsidRPr="00A60811">
        <w:rPr>
          <w:rFonts w:ascii="Times New Roman" w:hAnsi="Times New Roman" w:cs="Times New Roman"/>
          <w:noProof/>
          <w:sz w:val="24"/>
          <w:szCs w:val="24"/>
        </w:rPr>
        <w:t>.</w:t>
      </w:r>
    </w:p>
    <w:p w14:paraId="52E896DF" w14:textId="5D9CA95E" w:rsidR="00D72AC6" w:rsidRPr="00C5508E" w:rsidRDefault="069323B9" w:rsidP="00BE203F">
      <w:pPr>
        <w:tabs>
          <w:tab w:val="left" w:pos="5670"/>
        </w:tabs>
        <w:spacing w:before="100" w:beforeAutospacing="1" w:after="100" w:afterAutospacing="1" w:line="240" w:lineRule="auto"/>
        <w:jc w:val="both"/>
        <w:rPr>
          <w:rFonts w:ascii="Times New Roman" w:hAnsi="Times New Roman" w:cs="Times New Roman"/>
          <w:noProof/>
          <w:sz w:val="24"/>
          <w:szCs w:val="24"/>
        </w:rPr>
      </w:pPr>
      <w:r w:rsidRPr="00C5508E">
        <w:rPr>
          <w:rFonts w:ascii="Times New Roman" w:hAnsi="Times New Roman" w:cs="Times New Roman"/>
          <w:noProof/>
          <w:sz w:val="24"/>
          <w:szCs w:val="24"/>
        </w:rPr>
        <w:t>The EU</w:t>
      </w:r>
      <w:r w:rsidRPr="00C5508E">
        <w:rPr>
          <w:rFonts w:ascii="Times New Roman" w:eastAsia="Times New Roman" w:hAnsi="Times New Roman" w:cs="Times New Roman"/>
          <w:b/>
          <w:bCs/>
          <w:noProof/>
          <w:sz w:val="24"/>
          <w:szCs w:val="24"/>
        </w:rPr>
        <w:t xml:space="preserve"> Domestic Advisory Group</w:t>
      </w:r>
      <w:r w:rsidRPr="00C5508E">
        <w:rPr>
          <w:rFonts w:ascii="Times New Roman" w:hAnsi="Times New Roman" w:cs="Times New Roman"/>
          <w:noProof/>
          <w:sz w:val="24"/>
          <w:szCs w:val="24"/>
        </w:rPr>
        <w:t xml:space="preserve">, </w:t>
      </w:r>
      <w:r w:rsidR="647DF052" w:rsidRPr="00C5508E">
        <w:rPr>
          <w:rFonts w:ascii="Times New Roman" w:hAnsi="Times New Roman" w:cs="Times New Roman"/>
          <w:noProof/>
          <w:sz w:val="24"/>
          <w:szCs w:val="24"/>
        </w:rPr>
        <w:t xml:space="preserve">established under </w:t>
      </w:r>
      <w:r w:rsidRPr="00C5508E">
        <w:rPr>
          <w:rFonts w:ascii="Times New Roman" w:hAnsi="Times New Roman" w:cs="Times New Roman"/>
          <w:noProof/>
          <w:sz w:val="24"/>
          <w:szCs w:val="24"/>
        </w:rPr>
        <w:t>Article 13 of the TCA</w:t>
      </w:r>
      <w:r w:rsidR="00865BFD" w:rsidRPr="00C5508E">
        <w:rPr>
          <w:rFonts w:ascii="Times New Roman" w:hAnsi="Times New Roman" w:cs="Times New Roman"/>
          <w:noProof/>
          <w:sz w:val="24"/>
          <w:szCs w:val="24"/>
        </w:rPr>
        <w:t xml:space="preserve"> and composed of representatives from civil society organisations</w:t>
      </w:r>
      <w:r w:rsidR="00865BFD" w:rsidRPr="00F97D5F">
        <w:rPr>
          <w:rStyle w:val="FootnoteReference"/>
          <w:rFonts w:ascii="Times New Roman" w:hAnsi="Times New Roman" w:cs="Times New Roman"/>
          <w:noProof/>
          <w:sz w:val="24"/>
          <w:szCs w:val="24"/>
        </w:rPr>
        <w:footnoteReference w:id="14"/>
      </w:r>
      <w:r w:rsidR="00865BFD" w:rsidRPr="00C5508E">
        <w:rPr>
          <w:rFonts w:ascii="Times New Roman" w:hAnsi="Times New Roman" w:cs="Times New Roman"/>
          <w:noProof/>
          <w:sz w:val="24"/>
          <w:szCs w:val="24"/>
        </w:rPr>
        <w:t>,</w:t>
      </w:r>
      <w:r w:rsidRPr="00C5508E">
        <w:rPr>
          <w:rFonts w:ascii="Times New Roman" w:hAnsi="Times New Roman" w:cs="Times New Roman"/>
          <w:noProof/>
          <w:sz w:val="24"/>
          <w:szCs w:val="24"/>
        </w:rPr>
        <w:t xml:space="preserve"> met</w:t>
      </w:r>
      <w:r w:rsidR="00891B28" w:rsidRPr="00C5508E">
        <w:rPr>
          <w:rFonts w:ascii="Times New Roman" w:hAnsi="Times New Roman" w:cs="Times New Roman"/>
          <w:noProof/>
          <w:sz w:val="24"/>
          <w:szCs w:val="24"/>
        </w:rPr>
        <w:t xml:space="preserve"> several times</w:t>
      </w:r>
      <w:r w:rsidR="006E2725" w:rsidRPr="00C5508E">
        <w:rPr>
          <w:rFonts w:ascii="Times New Roman" w:hAnsi="Times New Roman" w:cs="Times New Roman"/>
          <w:noProof/>
          <w:sz w:val="24"/>
          <w:szCs w:val="24"/>
        </w:rPr>
        <w:t xml:space="preserve"> in 2025</w:t>
      </w:r>
      <w:r w:rsidR="008F5F97" w:rsidRPr="00C5508E">
        <w:rPr>
          <w:rFonts w:ascii="Times New Roman" w:hAnsi="Times New Roman" w:cs="Times New Roman"/>
          <w:noProof/>
          <w:sz w:val="24"/>
          <w:szCs w:val="24"/>
        </w:rPr>
        <w:t>.</w:t>
      </w:r>
      <w:r w:rsidRPr="00C5508E">
        <w:rPr>
          <w:rFonts w:ascii="Times New Roman" w:hAnsi="Times New Roman" w:cs="Times New Roman"/>
          <w:noProof/>
          <w:sz w:val="24"/>
          <w:szCs w:val="24"/>
        </w:rPr>
        <w:t xml:space="preserve"> </w:t>
      </w:r>
      <w:r w:rsidR="00D72AC6" w:rsidRPr="00C5508E">
        <w:rPr>
          <w:rFonts w:ascii="Times New Roman" w:hAnsi="Times New Roman" w:cs="Times New Roman"/>
          <w:noProof/>
          <w:sz w:val="24"/>
          <w:szCs w:val="24"/>
        </w:rPr>
        <w:t xml:space="preserve">At its meeting on 13 June, the </w:t>
      </w:r>
      <w:r w:rsidR="00F85BA6">
        <w:rPr>
          <w:rFonts w:ascii="Times New Roman" w:hAnsi="Times New Roman" w:cs="Times New Roman"/>
          <w:noProof/>
          <w:sz w:val="24"/>
          <w:szCs w:val="24"/>
        </w:rPr>
        <w:t>g</w:t>
      </w:r>
      <w:r w:rsidR="00D72AC6" w:rsidRPr="00C5508E">
        <w:rPr>
          <w:rFonts w:ascii="Times New Roman" w:hAnsi="Times New Roman" w:cs="Times New Roman"/>
          <w:noProof/>
          <w:sz w:val="24"/>
          <w:szCs w:val="24"/>
        </w:rPr>
        <w:t xml:space="preserve">roup discussed the outcome of the </w:t>
      </w:r>
      <w:r w:rsidR="00CD7B5D">
        <w:rPr>
          <w:rFonts w:ascii="Times New Roman" w:hAnsi="Times New Roman" w:cs="Times New Roman"/>
          <w:noProof/>
          <w:sz w:val="24"/>
          <w:szCs w:val="24"/>
        </w:rPr>
        <w:t>s</w:t>
      </w:r>
      <w:r w:rsidR="00D72AC6" w:rsidRPr="00C5508E">
        <w:rPr>
          <w:rFonts w:ascii="Times New Roman" w:hAnsi="Times New Roman" w:cs="Times New Roman"/>
          <w:noProof/>
          <w:sz w:val="24"/>
          <w:szCs w:val="24"/>
        </w:rPr>
        <w:t xml:space="preserve">ummit. This discussion </w:t>
      </w:r>
      <w:r w:rsidR="00891B28" w:rsidRPr="00C5508E">
        <w:rPr>
          <w:rFonts w:ascii="Times New Roman" w:hAnsi="Times New Roman" w:cs="Times New Roman"/>
          <w:noProof/>
          <w:sz w:val="24"/>
          <w:szCs w:val="24"/>
        </w:rPr>
        <w:t>resulted</w:t>
      </w:r>
      <w:r w:rsidR="00D72AC6" w:rsidRPr="00C5508E">
        <w:rPr>
          <w:rFonts w:ascii="Times New Roman" w:hAnsi="Times New Roman" w:cs="Times New Roman"/>
          <w:noProof/>
          <w:sz w:val="24"/>
          <w:szCs w:val="24"/>
        </w:rPr>
        <w:t xml:space="preserve"> </w:t>
      </w:r>
      <w:r w:rsidR="007F348B">
        <w:rPr>
          <w:rFonts w:ascii="Times New Roman" w:hAnsi="Times New Roman" w:cs="Times New Roman"/>
          <w:noProof/>
          <w:sz w:val="24"/>
          <w:szCs w:val="24"/>
        </w:rPr>
        <w:t xml:space="preserve">in </w:t>
      </w:r>
      <w:r w:rsidR="00D72AC6" w:rsidRPr="00C5508E">
        <w:rPr>
          <w:rFonts w:ascii="Times New Roman" w:hAnsi="Times New Roman" w:cs="Times New Roman"/>
          <w:noProof/>
          <w:sz w:val="24"/>
          <w:szCs w:val="24"/>
        </w:rPr>
        <w:t xml:space="preserve">a </w:t>
      </w:r>
      <w:r w:rsidR="00CD7B5D">
        <w:rPr>
          <w:rFonts w:ascii="Times New Roman" w:hAnsi="Times New Roman" w:cs="Times New Roman"/>
          <w:noProof/>
          <w:sz w:val="24"/>
          <w:szCs w:val="24"/>
        </w:rPr>
        <w:t>j</w:t>
      </w:r>
      <w:r w:rsidR="00D72AC6" w:rsidRPr="00C5508E">
        <w:rPr>
          <w:rFonts w:ascii="Times New Roman" w:hAnsi="Times New Roman" w:cs="Times New Roman"/>
          <w:noProof/>
          <w:sz w:val="24"/>
          <w:szCs w:val="24"/>
        </w:rPr>
        <w:t xml:space="preserve">oint </w:t>
      </w:r>
      <w:r w:rsidR="00CD7B5D">
        <w:rPr>
          <w:rFonts w:ascii="Times New Roman" w:hAnsi="Times New Roman" w:cs="Times New Roman"/>
          <w:noProof/>
          <w:sz w:val="24"/>
          <w:szCs w:val="24"/>
        </w:rPr>
        <w:t>s</w:t>
      </w:r>
      <w:r w:rsidR="00D72AC6" w:rsidRPr="00C5508E">
        <w:rPr>
          <w:rFonts w:ascii="Times New Roman" w:hAnsi="Times New Roman" w:cs="Times New Roman"/>
          <w:noProof/>
          <w:sz w:val="24"/>
          <w:szCs w:val="24"/>
        </w:rPr>
        <w:t>tatement</w:t>
      </w:r>
      <w:r w:rsidR="00D72AC6" w:rsidRPr="00F97D5F">
        <w:rPr>
          <w:rStyle w:val="FootnoteReference"/>
          <w:rFonts w:ascii="Times New Roman" w:hAnsi="Times New Roman" w:cs="Times New Roman"/>
          <w:noProof/>
          <w:sz w:val="24"/>
          <w:szCs w:val="24"/>
        </w:rPr>
        <w:footnoteReference w:id="15"/>
      </w:r>
      <w:r w:rsidR="00D72AC6" w:rsidRPr="00C5508E">
        <w:rPr>
          <w:rFonts w:ascii="Times New Roman" w:hAnsi="Times New Roman" w:cs="Times New Roman"/>
          <w:noProof/>
          <w:sz w:val="24"/>
          <w:szCs w:val="24"/>
        </w:rPr>
        <w:t>, adopted</w:t>
      </w:r>
      <w:r w:rsidR="00891B28" w:rsidRPr="00C5508E">
        <w:rPr>
          <w:rFonts w:ascii="Times New Roman" w:hAnsi="Times New Roman" w:cs="Times New Roman"/>
          <w:noProof/>
          <w:sz w:val="24"/>
          <w:szCs w:val="24"/>
        </w:rPr>
        <w:t xml:space="preserve"> with the</w:t>
      </w:r>
      <w:r w:rsidR="00D72AC6" w:rsidRPr="00C5508E">
        <w:rPr>
          <w:rFonts w:ascii="Times New Roman" w:hAnsi="Times New Roman" w:cs="Times New Roman"/>
          <w:noProof/>
          <w:sz w:val="24"/>
          <w:szCs w:val="24"/>
        </w:rPr>
        <w:t xml:space="preserve"> United Kingdom Domestic Advisory Group during their meeting on 23 June in London, calling for the prompt implementation of the actions </w:t>
      </w:r>
      <w:r w:rsidR="00891B28" w:rsidRPr="00C5508E">
        <w:rPr>
          <w:rFonts w:ascii="Times New Roman" w:hAnsi="Times New Roman" w:cs="Times New Roman"/>
          <w:noProof/>
          <w:sz w:val="24"/>
          <w:szCs w:val="24"/>
        </w:rPr>
        <w:t>set out</w:t>
      </w:r>
      <w:r w:rsidR="00D72AC6" w:rsidRPr="00C5508E">
        <w:rPr>
          <w:rFonts w:ascii="Times New Roman" w:hAnsi="Times New Roman" w:cs="Times New Roman"/>
          <w:noProof/>
          <w:sz w:val="24"/>
          <w:szCs w:val="24"/>
        </w:rPr>
        <w:t xml:space="preserve"> in the Common Understanding.</w:t>
      </w:r>
      <w:r w:rsidR="00BE203F" w:rsidRPr="00C5508E">
        <w:rPr>
          <w:rFonts w:ascii="Times New Roman" w:hAnsi="Times New Roman" w:cs="Times New Roman"/>
          <w:noProof/>
          <w:sz w:val="24"/>
          <w:szCs w:val="24"/>
        </w:rPr>
        <w:t xml:space="preserve"> At its 16 September meeting, the Commission provided an update to the </w:t>
      </w:r>
      <w:r w:rsidR="00025795" w:rsidRPr="00863DB4">
        <w:rPr>
          <w:rFonts w:ascii="Times New Roman" w:eastAsia="Times New Roman" w:hAnsi="Times New Roman" w:cs="Times New Roman"/>
          <w:noProof/>
          <w:sz w:val="24"/>
          <w:szCs w:val="24"/>
        </w:rPr>
        <w:t>Domestic Advisory Group</w:t>
      </w:r>
      <w:r w:rsidR="00BE203F" w:rsidRPr="00C5508E">
        <w:rPr>
          <w:rFonts w:ascii="Times New Roman" w:hAnsi="Times New Roman" w:cs="Times New Roman"/>
          <w:noProof/>
          <w:sz w:val="24"/>
          <w:szCs w:val="24"/>
        </w:rPr>
        <w:t xml:space="preserve"> on the implementation of the Common Understanding</w:t>
      </w:r>
      <w:r w:rsidR="00C5508E" w:rsidRPr="00C5508E">
        <w:rPr>
          <w:rFonts w:ascii="Times New Roman" w:hAnsi="Times New Roman" w:cs="Times New Roman"/>
          <w:noProof/>
          <w:sz w:val="24"/>
          <w:szCs w:val="24"/>
        </w:rPr>
        <w:t>.</w:t>
      </w:r>
    </w:p>
    <w:p w14:paraId="687BAD7E" w14:textId="10875B20" w:rsidR="00B24474" w:rsidRDefault="0AADE778" w:rsidP="00470A6D">
      <w:pPr>
        <w:spacing w:before="100" w:beforeAutospacing="1" w:after="100" w:afterAutospacing="1" w:line="240" w:lineRule="auto"/>
        <w:jc w:val="both"/>
        <w:rPr>
          <w:rFonts w:ascii="Times New Roman" w:hAnsi="Times New Roman" w:cs="Times New Roman"/>
          <w:noProof/>
          <w:sz w:val="24"/>
          <w:szCs w:val="24"/>
        </w:rPr>
      </w:pPr>
      <w:r w:rsidRPr="00B63E34">
        <w:rPr>
          <w:rFonts w:ascii="Times New Roman" w:hAnsi="Times New Roman" w:cs="Times New Roman"/>
          <w:noProof/>
          <w:sz w:val="24"/>
          <w:szCs w:val="24"/>
        </w:rPr>
        <w:t xml:space="preserve">The </w:t>
      </w:r>
      <w:r w:rsidRPr="00B63E34">
        <w:rPr>
          <w:rFonts w:ascii="Times New Roman" w:eastAsia="Times New Roman" w:hAnsi="Times New Roman" w:cs="Times New Roman"/>
          <w:b/>
          <w:bCs/>
          <w:noProof/>
          <w:sz w:val="24"/>
          <w:szCs w:val="24"/>
        </w:rPr>
        <w:t>Civil Society Forum</w:t>
      </w:r>
      <w:r w:rsidRPr="00B63E34">
        <w:rPr>
          <w:rFonts w:ascii="Times New Roman" w:hAnsi="Times New Roman" w:cs="Times New Roman"/>
          <w:noProof/>
          <w:sz w:val="24"/>
          <w:szCs w:val="24"/>
        </w:rPr>
        <w:t>, established under Article 14 of the TCA to facilitate dialogue on the implementation of Part Two of the Agreement</w:t>
      </w:r>
      <w:r w:rsidR="00D673CA" w:rsidRPr="00B63E34">
        <w:rPr>
          <w:rFonts w:ascii="Times New Roman" w:hAnsi="Times New Roman" w:cs="Times New Roman"/>
          <w:noProof/>
          <w:sz w:val="24"/>
          <w:szCs w:val="24"/>
        </w:rPr>
        <w:t xml:space="preserve">, </w:t>
      </w:r>
      <w:r w:rsidRPr="00B63E34">
        <w:rPr>
          <w:rFonts w:ascii="Times New Roman" w:hAnsi="Times New Roman" w:cs="Times New Roman"/>
          <w:noProof/>
          <w:sz w:val="24"/>
          <w:szCs w:val="24"/>
        </w:rPr>
        <w:t>which covers trade, transport, fisheries and other arrangements</w:t>
      </w:r>
      <w:r w:rsidR="00D673CA" w:rsidRPr="00B63E34">
        <w:rPr>
          <w:rFonts w:ascii="Times New Roman" w:hAnsi="Times New Roman" w:cs="Times New Roman"/>
          <w:noProof/>
          <w:sz w:val="24"/>
          <w:szCs w:val="24"/>
        </w:rPr>
        <w:t xml:space="preserve">, </w:t>
      </w:r>
      <w:r w:rsidRPr="00B63E34">
        <w:rPr>
          <w:rFonts w:ascii="Times New Roman" w:hAnsi="Times New Roman" w:cs="Times New Roman"/>
          <w:noProof/>
          <w:sz w:val="24"/>
          <w:szCs w:val="24"/>
        </w:rPr>
        <w:t xml:space="preserve">was held </w:t>
      </w:r>
      <w:r w:rsidR="00D72AC6" w:rsidRPr="00B63E34">
        <w:rPr>
          <w:rFonts w:ascii="Times New Roman" w:hAnsi="Times New Roman" w:cs="Times New Roman"/>
          <w:noProof/>
          <w:sz w:val="24"/>
          <w:szCs w:val="24"/>
        </w:rPr>
        <w:t xml:space="preserve">for the fourth time </w:t>
      </w:r>
      <w:r w:rsidRPr="00B63E34">
        <w:rPr>
          <w:rFonts w:ascii="Times New Roman" w:hAnsi="Times New Roman" w:cs="Times New Roman"/>
          <w:noProof/>
          <w:sz w:val="24"/>
          <w:szCs w:val="24"/>
        </w:rPr>
        <w:t>on 2</w:t>
      </w:r>
      <w:r w:rsidR="00D72AC6" w:rsidRPr="00B63E34">
        <w:rPr>
          <w:rFonts w:ascii="Times New Roman" w:hAnsi="Times New Roman" w:cs="Times New Roman"/>
          <w:noProof/>
          <w:sz w:val="24"/>
          <w:szCs w:val="24"/>
        </w:rPr>
        <w:t xml:space="preserve">4 June </w:t>
      </w:r>
      <w:r w:rsidRPr="00B63E34">
        <w:rPr>
          <w:rFonts w:ascii="Times New Roman" w:hAnsi="Times New Roman" w:cs="Times New Roman"/>
          <w:noProof/>
          <w:sz w:val="24"/>
          <w:szCs w:val="24"/>
        </w:rPr>
        <w:t xml:space="preserve">in </w:t>
      </w:r>
      <w:r w:rsidR="00D72AC6" w:rsidRPr="00B63E34">
        <w:rPr>
          <w:rFonts w:ascii="Times New Roman" w:hAnsi="Times New Roman" w:cs="Times New Roman"/>
          <w:noProof/>
          <w:sz w:val="24"/>
          <w:szCs w:val="24"/>
        </w:rPr>
        <w:t>London</w:t>
      </w:r>
      <w:r w:rsidR="00D72AC6" w:rsidRPr="00F97D5F">
        <w:rPr>
          <w:rStyle w:val="FootnoteReference"/>
          <w:rFonts w:ascii="Times New Roman" w:hAnsi="Times New Roman" w:cs="Times New Roman"/>
          <w:noProof/>
          <w:sz w:val="24"/>
          <w:szCs w:val="24"/>
        </w:rPr>
        <w:footnoteReference w:id="16"/>
      </w:r>
      <w:r w:rsidRPr="00B63E34">
        <w:rPr>
          <w:rFonts w:ascii="Times New Roman" w:hAnsi="Times New Roman" w:cs="Times New Roman"/>
          <w:noProof/>
          <w:sz w:val="24"/>
          <w:szCs w:val="24"/>
        </w:rPr>
        <w:t xml:space="preserve">. </w:t>
      </w:r>
      <w:r w:rsidR="00764330" w:rsidRPr="00B63E34">
        <w:rPr>
          <w:rFonts w:ascii="Times New Roman" w:hAnsi="Times New Roman" w:cs="Times New Roman"/>
          <w:noProof/>
          <w:sz w:val="24"/>
          <w:szCs w:val="24"/>
        </w:rPr>
        <w:t>As</w:t>
      </w:r>
      <w:r w:rsidR="00CC5961" w:rsidRPr="00B63E34">
        <w:rPr>
          <w:rFonts w:ascii="Times New Roman" w:hAnsi="Times New Roman" w:cs="Times New Roman"/>
          <w:noProof/>
          <w:sz w:val="24"/>
          <w:szCs w:val="24"/>
        </w:rPr>
        <w:t xml:space="preserve"> in previous years, the </w:t>
      </w:r>
      <w:r w:rsidR="005708CC">
        <w:rPr>
          <w:rFonts w:ascii="Times New Roman" w:hAnsi="Times New Roman" w:cs="Times New Roman"/>
          <w:noProof/>
          <w:sz w:val="24"/>
          <w:szCs w:val="24"/>
        </w:rPr>
        <w:t>forum</w:t>
      </w:r>
      <w:r w:rsidR="005708CC" w:rsidRPr="00B63E34">
        <w:rPr>
          <w:rFonts w:ascii="Times New Roman" w:hAnsi="Times New Roman" w:cs="Times New Roman"/>
          <w:noProof/>
          <w:sz w:val="24"/>
          <w:szCs w:val="24"/>
        </w:rPr>
        <w:t xml:space="preserve"> </w:t>
      </w:r>
      <w:r w:rsidRPr="00B63E34">
        <w:rPr>
          <w:rFonts w:ascii="Times New Roman" w:hAnsi="Times New Roman" w:cs="Times New Roman"/>
          <w:noProof/>
          <w:sz w:val="24"/>
          <w:szCs w:val="24"/>
        </w:rPr>
        <w:t xml:space="preserve">focused on implementation issues </w:t>
      </w:r>
      <w:r w:rsidR="00764330" w:rsidRPr="00B63E34">
        <w:rPr>
          <w:rFonts w:ascii="Times New Roman" w:hAnsi="Times New Roman" w:cs="Times New Roman"/>
          <w:noProof/>
          <w:sz w:val="24"/>
          <w:szCs w:val="24"/>
        </w:rPr>
        <w:t xml:space="preserve">related </w:t>
      </w:r>
      <w:r w:rsidRPr="00B63E34">
        <w:rPr>
          <w:rFonts w:ascii="Times New Roman" w:hAnsi="Times New Roman" w:cs="Times New Roman"/>
          <w:noProof/>
          <w:sz w:val="24"/>
          <w:szCs w:val="24"/>
        </w:rPr>
        <w:t>to trade in goods</w:t>
      </w:r>
      <w:r w:rsidR="00D72AC6" w:rsidRPr="00B63E34">
        <w:rPr>
          <w:rFonts w:ascii="Times New Roman" w:hAnsi="Times New Roman" w:cs="Times New Roman"/>
          <w:noProof/>
          <w:sz w:val="24"/>
          <w:szCs w:val="24"/>
        </w:rPr>
        <w:t xml:space="preserve"> and services</w:t>
      </w:r>
      <w:r w:rsidRPr="00B63E34">
        <w:rPr>
          <w:rFonts w:ascii="Times New Roman" w:hAnsi="Times New Roman" w:cs="Times New Roman"/>
          <w:noProof/>
          <w:sz w:val="24"/>
          <w:szCs w:val="24"/>
        </w:rPr>
        <w:t xml:space="preserve">, </w:t>
      </w:r>
      <w:r w:rsidR="00D72AC6" w:rsidRPr="00B63E34">
        <w:rPr>
          <w:rFonts w:ascii="Times New Roman" w:hAnsi="Times New Roman" w:cs="Times New Roman"/>
          <w:noProof/>
          <w:sz w:val="24"/>
          <w:szCs w:val="24"/>
        </w:rPr>
        <w:t xml:space="preserve">energy and climate, </w:t>
      </w:r>
      <w:r w:rsidR="00DA4727" w:rsidRPr="00B63E34">
        <w:rPr>
          <w:rFonts w:ascii="Times New Roman" w:hAnsi="Times New Roman" w:cs="Times New Roman"/>
          <w:noProof/>
          <w:sz w:val="24"/>
          <w:szCs w:val="24"/>
        </w:rPr>
        <w:t xml:space="preserve">the </w:t>
      </w:r>
      <w:r w:rsidRPr="00B63E34">
        <w:rPr>
          <w:rFonts w:ascii="Times New Roman" w:hAnsi="Times New Roman" w:cs="Times New Roman"/>
          <w:noProof/>
          <w:sz w:val="24"/>
          <w:szCs w:val="24"/>
        </w:rPr>
        <w:t xml:space="preserve">level playing field, </w:t>
      </w:r>
      <w:r w:rsidR="00D72AC6" w:rsidRPr="00B63E34">
        <w:rPr>
          <w:rFonts w:ascii="Times New Roman" w:hAnsi="Times New Roman" w:cs="Times New Roman"/>
          <w:noProof/>
          <w:sz w:val="24"/>
          <w:szCs w:val="24"/>
        </w:rPr>
        <w:t xml:space="preserve">sustainability and </w:t>
      </w:r>
      <w:r w:rsidRPr="00B63E34">
        <w:rPr>
          <w:rFonts w:ascii="Times New Roman" w:hAnsi="Times New Roman" w:cs="Times New Roman"/>
          <w:noProof/>
          <w:sz w:val="24"/>
          <w:szCs w:val="24"/>
        </w:rPr>
        <w:t xml:space="preserve">regulatory cooperation. </w:t>
      </w:r>
      <w:r w:rsidR="00DA4727" w:rsidRPr="00B63E34">
        <w:rPr>
          <w:rFonts w:ascii="Times New Roman" w:hAnsi="Times New Roman" w:cs="Times New Roman"/>
          <w:noProof/>
          <w:sz w:val="24"/>
          <w:szCs w:val="24"/>
        </w:rPr>
        <w:t xml:space="preserve">Most participants welcomed the momentum in the relationship following the 19 May </w:t>
      </w:r>
      <w:r w:rsidR="005708CC">
        <w:rPr>
          <w:rFonts w:ascii="Times New Roman" w:hAnsi="Times New Roman" w:cs="Times New Roman"/>
          <w:noProof/>
          <w:sz w:val="24"/>
          <w:szCs w:val="24"/>
        </w:rPr>
        <w:t>s</w:t>
      </w:r>
      <w:r w:rsidR="00DA4727" w:rsidRPr="00B63E34">
        <w:rPr>
          <w:rFonts w:ascii="Times New Roman" w:hAnsi="Times New Roman" w:cs="Times New Roman"/>
          <w:noProof/>
          <w:sz w:val="24"/>
          <w:szCs w:val="24"/>
        </w:rPr>
        <w:t>ummit and expressed hope that this dynamic would continue.</w:t>
      </w:r>
    </w:p>
    <w:p w14:paraId="45497713" w14:textId="43FC5A16" w:rsidR="002417C8" w:rsidRDefault="00727987"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Pr="002417C8">
        <w:rPr>
          <w:rFonts w:ascii="Times New Roman" w:hAnsi="Times New Roman" w:cs="Times New Roman"/>
          <w:noProof/>
          <w:sz w:val="24"/>
          <w:szCs w:val="24"/>
        </w:rPr>
        <w:t xml:space="preserve">he </w:t>
      </w:r>
      <w:r w:rsidRPr="002417C8">
        <w:rPr>
          <w:rFonts w:ascii="Times New Roman" w:hAnsi="Times New Roman" w:cs="Times New Roman"/>
          <w:b/>
          <w:bCs/>
          <w:noProof/>
          <w:sz w:val="24"/>
          <w:szCs w:val="24"/>
        </w:rPr>
        <w:t>Partnership Council</w:t>
      </w:r>
      <w:r w:rsidRPr="002417C8">
        <w:rPr>
          <w:rFonts w:ascii="Times New Roman" w:hAnsi="Times New Roman" w:cs="Times New Roman"/>
          <w:noProof/>
          <w:sz w:val="24"/>
          <w:szCs w:val="24"/>
        </w:rPr>
        <w:t xml:space="preserve"> convene</w:t>
      </w:r>
      <w:r>
        <w:rPr>
          <w:rFonts w:ascii="Times New Roman" w:hAnsi="Times New Roman" w:cs="Times New Roman"/>
          <w:noProof/>
          <w:sz w:val="24"/>
          <w:szCs w:val="24"/>
        </w:rPr>
        <w:t>d</w:t>
      </w:r>
      <w:r w:rsidRPr="002417C8">
        <w:rPr>
          <w:rFonts w:ascii="Times New Roman" w:hAnsi="Times New Roman" w:cs="Times New Roman"/>
          <w:noProof/>
          <w:sz w:val="24"/>
          <w:szCs w:val="24"/>
        </w:rPr>
        <w:t xml:space="preserve"> </w:t>
      </w:r>
      <w:r>
        <w:rPr>
          <w:rFonts w:ascii="Times New Roman" w:hAnsi="Times New Roman" w:cs="Times New Roman"/>
          <w:noProof/>
          <w:sz w:val="24"/>
          <w:szCs w:val="24"/>
        </w:rPr>
        <w:t xml:space="preserve">on </w:t>
      </w:r>
      <w:r w:rsidR="007971BC">
        <w:rPr>
          <w:rFonts w:ascii="Times New Roman" w:hAnsi="Times New Roman" w:cs="Times New Roman"/>
          <w:noProof/>
          <w:sz w:val="24"/>
          <w:szCs w:val="24"/>
        </w:rPr>
        <w:t xml:space="preserve">2 February </w:t>
      </w:r>
      <w:r w:rsidR="007971BC" w:rsidRPr="002417C8">
        <w:rPr>
          <w:rFonts w:ascii="Times New Roman" w:hAnsi="Times New Roman" w:cs="Times New Roman"/>
          <w:noProof/>
          <w:sz w:val="24"/>
          <w:szCs w:val="24"/>
        </w:rPr>
        <w:t>2026</w:t>
      </w:r>
      <w:r w:rsidR="007971BC">
        <w:rPr>
          <w:rStyle w:val="FootnoteReference"/>
          <w:rFonts w:ascii="Times New Roman" w:hAnsi="Times New Roman" w:cs="Times New Roman"/>
          <w:noProof/>
          <w:sz w:val="24"/>
          <w:szCs w:val="24"/>
        </w:rPr>
        <w:footnoteReference w:id="17"/>
      </w:r>
      <w:r w:rsidR="007971BC" w:rsidRPr="002417C8">
        <w:rPr>
          <w:rFonts w:ascii="Times New Roman" w:hAnsi="Times New Roman" w:cs="Times New Roman"/>
          <w:noProof/>
          <w:sz w:val="24"/>
          <w:szCs w:val="24"/>
        </w:rPr>
        <w:t>.</w:t>
      </w:r>
    </w:p>
    <w:p w14:paraId="41A2A212" w14:textId="4E72E036" w:rsidR="003579A8" w:rsidRPr="0086076B" w:rsidRDefault="00862667"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13" w:name="_Toc185413379"/>
      <w:bookmarkStart w:id="14" w:name="_Toc204769316"/>
      <w:bookmarkStart w:id="15" w:name="_Toc209798639"/>
      <w:r w:rsidRPr="0086076B">
        <w:rPr>
          <w:rFonts w:ascii="Times New Roman" w:hAnsi="Times New Roman" w:cs="Times New Roman"/>
          <w:b/>
          <w:bCs/>
          <w:noProof/>
          <w:color w:val="auto"/>
        </w:rPr>
        <w:t xml:space="preserve">Complaints and </w:t>
      </w:r>
      <w:r w:rsidR="3639C545" w:rsidRPr="0086076B">
        <w:rPr>
          <w:rFonts w:ascii="Times New Roman" w:hAnsi="Times New Roman" w:cs="Times New Roman"/>
          <w:b/>
          <w:bCs/>
          <w:noProof/>
          <w:color w:val="auto"/>
        </w:rPr>
        <w:t>dispute settlement</w:t>
      </w:r>
      <w:bookmarkEnd w:id="13"/>
      <w:bookmarkEnd w:id="14"/>
      <w:bookmarkEnd w:id="15"/>
    </w:p>
    <w:p w14:paraId="5DD5C24A" w14:textId="4F4F1819" w:rsidR="004247D1" w:rsidRPr="00F006D0" w:rsidRDefault="007A1520"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Pr="007A1520">
        <w:rPr>
          <w:rFonts w:ascii="Times New Roman" w:hAnsi="Times New Roman" w:cs="Times New Roman"/>
          <w:noProof/>
          <w:sz w:val="24"/>
          <w:szCs w:val="24"/>
        </w:rPr>
        <w:t>his section summari</w:t>
      </w:r>
      <w:r>
        <w:rPr>
          <w:rFonts w:ascii="Times New Roman" w:hAnsi="Times New Roman" w:cs="Times New Roman"/>
          <w:noProof/>
          <w:sz w:val="24"/>
          <w:szCs w:val="24"/>
        </w:rPr>
        <w:t>s</w:t>
      </w:r>
      <w:r w:rsidRPr="007A1520">
        <w:rPr>
          <w:rFonts w:ascii="Times New Roman" w:hAnsi="Times New Roman" w:cs="Times New Roman"/>
          <w:noProof/>
          <w:sz w:val="24"/>
          <w:szCs w:val="24"/>
        </w:rPr>
        <w:t xml:space="preserve">es the </w:t>
      </w:r>
      <w:r w:rsidR="00FC151B">
        <w:rPr>
          <w:rFonts w:ascii="Times New Roman" w:hAnsi="Times New Roman" w:cs="Times New Roman"/>
          <w:noProof/>
          <w:sz w:val="24"/>
          <w:szCs w:val="24"/>
        </w:rPr>
        <w:t>work</w:t>
      </w:r>
      <w:r w:rsidRPr="007A1520">
        <w:rPr>
          <w:rFonts w:ascii="Times New Roman" w:hAnsi="Times New Roman" w:cs="Times New Roman"/>
          <w:noProof/>
          <w:sz w:val="24"/>
          <w:szCs w:val="24"/>
        </w:rPr>
        <w:t xml:space="preserve"> of the mechanisms established to address complaints from EU stakeholders, resolve disputes and enforce TCA commitments</w:t>
      </w:r>
      <w:r>
        <w:rPr>
          <w:rFonts w:ascii="Times New Roman" w:hAnsi="Times New Roman" w:cs="Times New Roman"/>
          <w:noProof/>
          <w:sz w:val="24"/>
          <w:szCs w:val="24"/>
        </w:rPr>
        <w:t>.</w:t>
      </w:r>
    </w:p>
    <w:p w14:paraId="402CD965" w14:textId="6E63DE5E" w:rsidR="00862667" w:rsidRPr="0086076B" w:rsidRDefault="00862667" w:rsidP="00470A6D">
      <w:pPr>
        <w:pStyle w:val="Heading2"/>
        <w:keepNext w:val="0"/>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16" w:name="_Toc185413380"/>
      <w:bookmarkStart w:id="17" w:name="_Toc204769317"/>
      <w:bookmarkStart w:id="18" w:name="_Toc209798640"/>
      <w:r w:rsidRPr="0086076B">
        <w:rPr>
          <w:rFonts w:ascii="Times New Roman" w:hAnsi="Times New Roman" w:cs="Times New Roman"/>
          <w:b/>
          <w:bCs/>
          <w:noProof/>
          <w:color w:val="auto"/>
        </w:rPr>
        <w:t>Complaints</w:t>
      </w:r>
      <w:bookmarkEnd w:id="16"/>
      <w:bookmarkEnd w:id="17"/>
      <w:bookmarkEnd w:id="18"/>
    </w:p>
    <w:p w14:paraId="40C7EEC2" w14:textId="20750E1B" w:rsidR="00862667" w:rsidRPr="00046813" w:rsidRDefault="00862667" w:rsidP="05B2B5AE">
      <w:pPr>
        <w:spacing w:before="100" w:beforeAutospacing="1" w:after="100" w:afterAutospacing="1" w:line="240" w:lineRule="auto"/>
        <w:jc w:val="both"/>
        <w:rPr>
          <w:rFonts w:ascii="Times New Roman" w:eastAsia="Times New Roman" w:hAnsi="Times New Roman" w:cs="Times New Roman"/>
          <w:noProof/>
          <w:sz w:val="24"/>
          <w:szCs w:val="24"/>
        </w:rPr>
      </w:pPr>
      <w:r w:rsidRPr="00F006D0">
        <w:rPr>
          <w:rFonts w:ascii="Times New Roman" w:eastAsia="Times New Roman" w:hAnsi="Times New Roman" w:cs="Times New Roman"/>
          <w:noProof/>
          <w:sz w:val="24"/>
          <w:szCs w:val="24"/>
        </w:rPr>
        <w:t xml:space="preserve">In </w:t>
      </w:r>
      <w:r w:rsidRPr="000A6ECD">
        <w:rPr>
          <w:rFonts w:ascii="Times New Roman" w:eastAsia="Times New Roman" w:hAnsi="Times New Roman" w:cs="Times New Roman"/>
          <w:noProof/>
          <w:sz w:val="24"/>
          <w:szCs w:val="24"/>
        </w:rPr>
        <w:t>202</w:t>
      </w:r>
      <w:r w:rsidR="008A3AB4" w:rsidRPr="000A6ECD">
        <w:rPr>
          <w:rFonts w:ascii="Times New Roman" w:eastAsia="Times New Roman" w:hAnsi="Times New Roman" w:cs="Times New Roman"/>
          <w:noProof/>
          <w:sz w:val="24"/>
          <w:szCs w:val="24"/>
        </w:rPr>
        <w:t>5</w:t>
      </w:r>
      <w:r w:rsidRPr="00C13EF7">
        <w:rPr>
          <w:rFonts w:ascii="Times New Roman" w:eastAsia="Times New Roman" w:hAnsi="Times New Roman" w:cs="Times New Roman"/>
          <w:noProof/>
          <w:sz w:val="24"/>
          <w:szCs w:val="24"/>
        </w:rPr>
        <w:t xml:space="preserve">, </w:t>
      </w:r>
      <w:r w:rsidR="005C3148">
        <w:rPr>
          <w:rFonts w:ascii="Times New Roman" w:eastAsia="Times New Roman" w:hAnsi="Times New Roman" w:cs="Times New Roman"/>
          <w:noProof/>
          <w:sz w:val="24"/>
          <w:szCs w:val="24"/>
        </w:rPr>
        <w:t>six</w:t>
      </w:r>
      <w:r w:rsidRPr="00C13EF7">
        <w:rPr>
          <w:rFonts w:ascii="Times New Roman" w:eastAsia="Times New Roman" w:hAnsi="Times New Roman" w:cs="Times New Roman"/>
          <w:noProof/>
          <w:sz w:val="24"/>
          <w:szCs w:val="24"/>
        </w:rPr>
        <w:t xml:space="preserve"> complaints</w:t>
      </w:r>
      <w:r w:rsidRPr="00F006D0">
        <w:rPr>
          <w:rFonts w:ascii="Times New Roman" w:eastAsia="Times New Roman" w:hAnsi="Times New Roman" w:cs="Times New Roman"/>
          <w:noProof/>
          <w:sz w:val="24"/>
          <w:szCs w:val="24"/>
        </w:rPr>
        <w:t xml:space="preserve"> were submitted through the tools set up by the </w:t>
      </w:r>
      <w:r w:rsidRPr="00046813">
        <w:rPr>
          <w:rFonts w:ascii="Times New Roman" w:eastAsia="Times New Roman" w:hAnsi="Times New Roman" w:cs="Times New Roman"/>
          <w:noProof/>
          <w:sz w:val="24"/>
          <w:szCs w:val="24"/>
        </w:rPr>
        <w:t>Commission</w:t>
      </w:r>
      <w:r w:rsidR="001D34C0" w:rsidRPr="00046813">
        <w:rPr>
          <w:rFonts w:ascii="Times New Roman" w:eastAsia="Times New Roman" w:hAnsi="Times New Roman" w:cs="Times New Roman"/>
          <w:noProof/>
          <w:sz w:val="24"/>
          <w:szCs w:val="24"/>
        </w:rPr>
        <w:t xml:space="preserve"> to ensure efficient monitoring of the</w:t>
      </w:r>
      <w:r w:rsidR="00112D7E" w:rsidRPr="00046813">
        <w:rPr>
          <w:rFonts w:ascii="Times New Roman" w:eastAsia="Times New Roman" w:hAnsi="Times New Roman" w:cs="Times New Roman"/>
          <w:noProof/>
          <w:sz w:val="24"/>
          <w:szCs w:val="24"/>
        </w:rPr>
        <w:t xml:space="preserve"> TCA</w:t>
      </w:r>
      <w:r w:rsidR="00F87919">
        <w:rPr>
          <w:rFonts w:ascii="Times New Roman" w:eastAsia="Times New Roman" w:hAnsi="Times New Roman" w:cs="Times New Roman"/>
          <w:noProof/>
          <w:sz w:val="24"/>
          <w:szCs w:val="24"/>
        </w:rPr>
        <w:t>’s</w:t>
      </w:r>
      <w:r w:rsidR="001D34C0" w:rsidRPr="00046813">
        <w:rPr>
          <w:rFonts w:ascii="Times New Roman" w:eastAsia="Times New Roman" w:hAnsi="Times New Roman" w:cs="Times New Roman"/>
          <w:noProof/>
          <w:sz w:val="24"/>
          <w:szCs w:val="24"/>
        </w:rPr>
        <w:t xml:space="preserve"> implementation</w:t>
      </w:r>
      <w:r w:rsidRPr="00F97D5F">
        <w:rPr>
          <w:rFonts w:ascii="Times New Roman" w:hAnsi="Times New Roman" w:cs="Times New Roman"/>
          <w:noProof/>
          <w:vertAlign w:val="superscript"/>
        </w:rPr>
        <w:footnoteReference w:id="18"/>
      </w:r>
      <w:r w:rsidR="00046813">
        <w:rPr>
          <w:rFonts w:ascii="Times New Roman" w:eastAsia="Times New Roman" w:hAnsi="Times New Roman" w:cs="Times New Roman"/>
          <w:noProof/>
          <w:sz w:val="24"/>
          <w:szCs w:val="24"/>
        </w:rPr>
        <w:t>.</w:t>
      </w:r>
      <w:r w:rsidR="390736BF" w:rsidRPr="00046813">
        <w:rPr>
          <w:rFonts w:ascii="Times New Roman" w:eastAsia="Times New Roman" w:hAnsi="Times New Roman" w:cs="Times New Roman"/>
          <w:noProof/>
          <w:sz w:val="24"/>
          <w:szCs w:val="24"/>
        </w:rPr>
        <w:t xml:space="preserve"> </w:t>
      </w:r>
      <w:r w:rsidR="00BA4E5E" w:rsidRPr="00BA4E5E">
        <w:rPr>
          <w:rFonts w:ascii="Times New Roman" w:eastAsia="Times New Roman" w:hAnsi="Times New Roman" w:cs="Times New Roman"/>
          <w:noProof/>
          <w:sz w:val="24"/>
          <w:szCs w:val="24"/>
        </w:rPr>
        <w:t xml:space="preserve">Only </w:t>
      </w:r>
      <w:r w:rsidR="005C3148">
        <w:rPr>
          <w:rFonts w:ascii="Times New Roman" w:eastAsia="Times New Roman" w:hAnsi="Times New Roman" w:cs="Times New Roman"/>
          <w:noProof/>
          <w:sz w:val="24"/>
          <w:szCs w:val="24"/>
        </w:rPr>
        <w:t>two</w:t>
      </w:r>
      <w:r w:rsidR="00BA4E5E" w:rsidRPr="00BA4E5E">
        <w:rPr>
          <w:rFonts w:ascii="Times New Roman" w:eastAsia="Times New Roman" w:hAnsi="Times New Roman" w:cs="Times New Roman"/>
          <w:noProof/>
          <w:sz w:val="24"/>
          <w:szCs w:val="24"/>
        </w:rPr>
        <w:t xml:space="preserve"> complaint</w:t>
      </w:r>
      <w:r w:rsidR="005C3148">
        <w:rPr>
          <w:rFonts w:ascii="Times New Roman" w:eastAsia="Times New Roman" w:hAnsi="Times New Roman" w:cs="Times New Roman"/>
          <w:noProof/>
          <w:sz w:val="24"/>
          <w:szCs w:val="24"/>
        </w:rPr>
        <w:t>s</w:t>
      </w:r>
      <w:r w:rsidR="00BA4E5E" w:rsidRPr="00BA4E5E">
        <w:rPr>
          <w:rFonts w:ascii="Times New Roman" w:eastAsia="Times New Roman" w:hAnsi="Times New Roman" w:cs="Times New Roman"/>
          <w:noProof/>
          <w:sz w:val="24"/>
          <w:szCs w:val="24"/>
        </w:rPr>
        <w:t xml:space="preserve"> concerned the implementation of the TCA</w:t>
      </w:r>
      <w:r w:rsidR="00BA4E5E" w:rsidRPr="00F97D5F">
        <w:rPr>
          <w:rStyle w:val="FootnoteReference"/>
          <w:rFonts w:ascii="Times New Roman" w:eastAsia="Times New Roman" w:hAnsi="Times New Roman" w:cs="Times New Roman"/>
          <w:noProof/>
          <w:sz w:val="24"/>
          <w:szCs w:val="24"/>
        </w:rPr>
        <w:footnoteReference w:id="19"/>
      </w:r>
      <w:r w:rsidR="002B53E6">
        <w:rPr>
          <w:rFonts w:ascii="Times New Roman" w:eastAsia="Times New Roman" w:hAnsi="Times New Roman" w:cs="Times New Roman"/>
          <w:noProof/>
          <w:sz w:val="24"/>
          <w:szCs w:val="24"/>
        </w:rPr>
        <w:t xml:space="preserve">. </w:t>
      </w:r>
      <w:r w:rsidR="390736BF" w:rsidRPr="00046813">
        <w:rPr>
          <w:rFonts w:ascii="Times New Roman" w:eastAsia="Times New Roman" w:hAnsi="Times New Roman" w:cs="Times New Roman"/>
          <w:noProof/>
          <w:sz w:val="24"/>
          <w:szCs w:val="24"/>
        </w:rPr>
        <w:t xml:space="preserve">The remaining </w:t>
      </w:r>
      <w:r w:rsidR="00C73D55">
        <w:rPr>
          <w:rFonts w:ascii="Times New Roman" w:eastAsia="Times New Roman" w:hAnsi="Times New Roman" w:cs="Times New Roman"/>
          <w:noProof/>
          <w:sz w:val="24"/>
          <w:szCs w:val="24"/>
        </w:rPr>
        <w:t xml:space="preserve">four </w:t>
      </w:r>
      <w:r w:rsidR="390736BF" w:rsidRPr="00046813">
        <w:rPr>
          <w:rFonts w:ascii="Times New Roman" w:eastAsia="Times New Roman" w:hAnsi="Times New Roman" w:cs="Times New Roman"/>
          <w:noProof/>
          <w:sz w:val="24"/>
          <w:szCs w:val="24"/>
        </w:rPr>
        <w:t xml:space="preserve">submissions </w:t>
      </w:r>
      <w:r w:rsidR="009D7D53">
        <w:rPr>
          <w:rFonts w:ascii="Times New Roman" w:eastAsia="Times New Roman" w:hAnsi="Times New Roman" w:cs="Times New Roman"/>
          <w:noProof/>
          <w:sz w:val="24"/>
          <w:szCs w:val="24"/>
        </w:rPr>
        <w:t xml:space="preserve">related </w:t>
      </w:r>
      <w:r w:rsidR="390736BF" w:rsidRPr="00046813">
        <w:rPr>
          <w:rFonts w:ascii="Times New Roman" w:eastAsia="Times New Roman" w:hAnsi="Times New Roman" w:cs="Times New Roman"/>
          <w:noProof/>
          <w:sz w:val="24"/>
          <w:szCs w:val="24"/>
        </w:rPr>
        <w:t>to matters outside the scope of the T</w:t>
      </w:r>
      <w:r w:rsidR="670B683E" w:rsidRPr="00046813">
        <w:rPr>
          <w:rFonts w:ascii="Times New Roman" w:eastAsia="Times New Roman" w:hAnsi="Times New Roman" w:cs="Times New Roman"/>
          <w:noProof/>
          <w:sz w:val="24"/>
          <w:szCs w:val="24"/>
        </w:rPr>
        <w:t xml:space="preserve">CA </w:t>
      </w:r>
      <w:r w:rsidR="390736BF" w:rsidRPr="00046813">
        <w:rPr>
          <w:rFonts w:ascii="Times New Roman" w:eastAsia="Times New Roman" w:hAnsi="Times New Roman" w:cs="Times New Roman"/>
          <w:noProof/>
          <w:sz w:val="24"/>
          <w:szCs w:val="24"/>
        </w:rPr>
        <w:t xml:space="preserve">and </w:t>
      </w:r>
      <w:r w:rsidR="005708CC">
        <w:rPr>
          <w:rFonts w:ascii="Times New Roman" w:eastAsia="Times New Roman" w:hAnsi="Times New Roman" w:cs="Times New Roman"/>
          <w:noProof/>
          <w:sz w:val="24"/>
          <w:szCs w:val="24"/>
        </w:rPr>
        <w:t>the Commission addressed them accordingly</w:t>
      </w:r>
      <w:r w:rsidR="00046813">
        <w:rPr>
          <w:rFonts w:ascii="Times New Roman" w:eastAsia="Times New Roman" w:hAnsi="Times New Roman" w:cs="Times New Roman"/>
          <w:noProof/>
          <w:sz w:val="24"/>
          <w:szCs w:val="24"/>
        </w:rPr>
        <w:t>.</w:t>
      </w:r>
    </w:p>
    <w:p w14:paraId="5EC85A68" w14:textId="1D076C06" w:rsidR="004350B3" w:rsidRPr="0086076B" w:rsidRDefault="3B7D07B8" w:rsidP="00470A6D">
      <w:pPr>
        <w:pStyle w:val="Heading2"/>
        <w:keepNext w:val="0"/>
        <w:keepLines w:val="0"/>
        <w:numPr>
          <w:ilvl w:val="1"/>
          <w:numId w:val="55"/>
        </w:numPr>
        <w:spacing w:before="100" w:beforeAutospacing="1" w:after="100" w:afterAutospacing="1" w:line="240" w:lineRule="auto"/>
        <w:ind w:left="1077"/>
        <w:rPr>
          <w:rFonts w:ascii="Times New Roman" w:eastAsia="Times New Roman" w:hAnsi="Times New Roman" w:cs="Times New Roman"/>
          <w:b/>
          <w:bCs/>
          <w:noProof/>
          <w:color w:val="auto"/>
        </w:rPr>
      </w:pPr>
      <w:bookmarkStart w:id="19" w:name="_Toc185413381"/>
      <w:bookmarkStart w:id="20" w:name="_Toc204769318"/>
      <w:bookmarkStart w:id="21" w:name="_Toc209798641"/>
      <w:r w:rsidRPr="0086076B">
        <w:rPr>
          <w:rFonts w:ascii="Times New Roman" w:eastAsia="Times New Roman" w:hAnsi="Times New Roman" w:cs="Times New Roman"/>
          <w:b/>
          <w:bCs/>
          <w:noProof/>
          <w:color w:val="auto"/>
        </w:rPr>
        <w:t>Dispute settlement</w:t>
      </w:r>
      <w:bookmarkEnd w:id="19"/>
      <w:bookmarkEnd w:id="20"/>
      <w:bookmarkEnd w:id="21"/>
    </w:p>
    <w:p w14:paraId="26A935A9" w14:textId="7D799734" w:rsidR="009C24DE" w:rsidRDefault="003163D4" w:rsidP="00470A6D">
      <w:pPr>
        <w:spacing w:before="100" w:beforeAutospacing="1" w:after="100" w:afterAutospacing="1" w:line="240" w:lineRule="auto"/>
        <w:jc w:val="both"/>
        <w:rPr>
          <w:rFonts w:ascii="Times New Roman" w:hAnsi="Times New Roman" w:cs="Times New Roman"/>
          <w:noProof/>
          <w:sz w:val="24"/>
          <w:szCs w:val="24"/>
        </w:rPr>
      </w:pPr>
      <w:bookmarkStart w:id="22" w:name="_Hlk181272529"/>
      <w:r>
        <w:rPr>
          <w:rFonts w:ascii="Times New Roman" w:hAnsi="Times New Roman" w:cs="Times New Roman"/>
          <w:noProof/>
          <w:sz w:val="24"/>
          <w:szCs w:val="24"/>
        </w:rPr>
        <w:t>T</w:t>
      </w:r>
      <w:r w:rsidR="005F588D" w:rsidRPr="005F588D">
        <w:rPr>
          <w:rFonts w:ascii="Times New Roman" w:hAnsi="Times New Roman" w:cs="Times New Roman"/>
          <w:noProof/>
          <w:sz w:val="24"/>
          <w:szCs w:val="24"/>
        </w:rPr>
        <w:t xml:space="preserve">he arbitration proceedings the EU </w:t>
      </w:r>
      <w:r w:rsidR="005708CC" w:rsidRPr="005F588D">
        <w:rPr>
          <w:rFonts w:ascii="Times New Roman" w:hAnsi="Times New Roman" w:cs="Times New Roman"/>
          <w:noProof/>
          <w:sz w:val="24"/>
          <w:szCs w:val="24"/>
        </w:rPr>
        <w:t xml:space="preserve">initiated </w:t>
      </w:r>
      <w:r w:rsidR="005F588D" w:rsidRPr="005F588D">
        <w:rPr>
          <w:rFonts w:ascii="Times New Roman" w:hAnsi="Times New Roman" w:cs="Times New Roman"/>
          <w:noProof/>
          <w:sz w:val="24"/>
          <w:szCs w:val="24"/>
        </w:rPr>
        <w:t>on 25 October 2024, pursuant to Article 739 of the TCA, concerning the United Kingdom’s decision to prohibit sandeel fishing in its waters as of 26 March 2024, were concluded on 28 April 2025.</w:t>
      </w:r>
    </w:p>
    <w:p w14:paraId="21614D9F" w14:textId="409BA7E5" w:rsidR="009C24DE" w:rsidRDefault="005F588D" w:rsidP="00470A6D">
      <w:pPr>
        <w:spacing w:before="100" w:beforeAutospacing="1" w:after="100" w:afterAutospacing="1" w:line="240" w:lineRule="auto"/>
        <w:jc w:val="both"/>
        <w:rPr>
          <w:rFonts w:ascii="Times New Roman" w:hAnsi="Times New Roman" w:cs="Times New Roman"/>
          <w:noProof/>
          <w:sz w:val="24"/>
          <w:szCs w:val="24"/>
        </w:rPr>
      </w:pPr>
      <w:r w:rsidRPr="005F588D">
        <w:rPr>
          <w:rFonts w:ascii="Times New Roman" w:hAnsi="Times New Roman" w:cs="Times New Roman"/>
          <w:noProof/>
          <w:sz w:val="24"/>
          <w:szCs w:val="24"/>
        </w:rPr>
        <w:t>In its ruling</w:t>
      </w:r>
      <w:r w:rsidR="006A1351" w:rsidRPr="00F97D5F">
        <w:rPr>
          <w:rStyle w:val="FootnoteReference"/>
          <w:rFonts w:ascii="Times New Roman" w:hAnsi="Times New Roman" w:cs="Times New Roman"/>
          <w:noProof/>
          <w:sz w:val="24"/>
          <w:szCs w:val="24"/>
        </w:rPr>
        <w:footnoteReference w:id="20"/>
      </w:r>
      <w:r w:rsidRPr="005F588D">
        <w:rPr>
          <w:rFonts w:ascii="Times New Roman" w:hAnsi="Times New Roman" w:cs="Times New Roman"/>
          <w:noProof/>
          <w:sz w:val="24"/>
          <w:szCs w:val="24"/>
        </w:rPr>
        <w:t xml:space="preserve">, the </w:t>
      </w:r>
      <w:r w:rsidR="00542D5F">
        <w:rPr>
          <w:rFonts w:ascii="Times New Roman" w:hAnsi="Times New Roman" w:cs="Times New Roman"/>
          <w:noProof/>
          <w:sz w:val="24"/>
          <w:szCs w:val="24"/>
        </w:rPr>
        <w:t>a</w:t>
      </w:r>
      <w:r w:rsidRPr="005F588D">
        <w:rPr>
          <w:rFonts w:ascii="Times New Roman" w:hAnsi="Times New Roman" w:cs="Times New Roman"/>
          <w:noProof/>
          <w:sz w:val="24"/>
          <w:szCs w:val="24"/>
        </w:rPr>
        <w:t xml:space="preserve">rbitration </w:t>
      </w:r>
      <w:r w:rsidR="00542D5F">
        <w:rPr>
          <w:rFonts w:ascii="Times New Roman" w:hAnsi="Times New Roman" w:cs="Times New Roman"/>
          <w:noProof/>
          <w:sz w:val="24"/>
          <w:szCs w:val="24"/>
        </w:rPr>
        <w:t>t</w:t>
      </w:r>
      <w:r w:rsidRPr="005F588D">
        <w:rPr>
          <w:rFonts w:ascii="Times New Roman" w:hAnsi="Times New Roman" w:cs="Times New Roman"/>
          <w:noProof/>
          <w:sz w:val="24"/>
          <w:szCs w:val="24"/>
        </w:rPr>
        <w:t xml:space="preserve">ribunal found that the prohibition of sandeel fishing in English waters was inconsistent with the United Kingdom’s obligations under Article 496(1) of the TCA, read in conjunction with Article 494(3)(f). The </w:t>
      </w:r>
      <w:r w:rsidR="00542D5F">
        <w:rPr>
          <w:rFonts w:ascii="Times New Roman" w:hAnsi="Times New Roman" w:cs="Times New Roman"/>
          <w:noProof/>
          <w:sz w:val="24"/>
          <w:szCs w:val="24"/>
        </w:rPr>
        <w:t>t</w:t>
      </w:r>
      <w:r w:rsidRPr="005F588D">
        <w:rPr>
          <w:rFonts w:ascii="Times New Roman" w:hAnsi="Times New Roman" w:cs="Times New Roman"/>
          <w:noProof/>
          <w:sz w:val="24"/>
          <w:szCs w:val="24"/>
        </w:rPr>
        <w:t xml:space="preserve">ribunal concluded that the United Kingdom </w:t>
      </w:r>
      <w:r w:rsidR="00FD0D27">
        <w:rPr>
          <w:rFonts w:ascii="Times New Roman" w:hAnsi="Times New Roman" w:cs="Times New Roman"/>
          <w:noProof/>
          <w:sz w:val="24"/>
          <w:szCs w:val="24"/>
        </w:rPr>
        <w:t xml:space="preserve">had </w:t>
      </w:r>
      <w:r w:rsidRPr="005F588D">
        <w:rPr>
          <w:rFonts w:ascii="Times New Roman" w:hAnsi="Times New Roman" w:cs="Times New Roman"/>
          <w:noProof/>
          <w:sz w:val="24"/>
          <w:szCs w:val="24"/>
        </w:rPr>
        <w:t xml:space="preserve">failed to give due regard to the principle of proportionality in adopting the measure. It further determined that </w:t>
      </w:r>
      <w:r w:rsidR="00093869">
        <w:rPr>
          <w:rFonts w:ascii="Times New Roman" w:hAnsi="Times New Roman" w:cs="Times New Roman"/>
          <w:noProof/>
          <w:sz w:val="24"/>
          <w:szCs w:val="24"/>
        </w:rPr>
        <w:t xml:space="preserve">as a result, </w:t>
      </w:r>
      <w:r w:rsidRPr="005F588D">
        <w:rPr>
          <w:rFonts w:ascii="Times New Roman" w:hAnsi="Times New Roman" w:cs="Times New Roman"/>
          <w:noProof/>
          <w:sz w:val="24"/>
          <w:szCs w:val="24"/>
        </w:rPr>
        <w:t>the United Kingdom</w:t>
      </w:r>
      <w:r w:rsidR="00827C54">
        <w:rPr>
          <w:rFonts w:ascii="Times New Roman" w:hAnsi="Times New Roman" w:cs="Times New Roman"/>
          <w:noProof/>
          <w:sz w:val="24"/>
          <w:szCs w:val="24"/>
        </w:rPr>
        <w:t xml:space="preserve"> had</w:t>
      </w:r>
      <w:r w:rsidRPr="005F588D">
        <w:rPr>
          <w:rFonts w:ascii="Times New Roman" w:hAnsi="Times New Roman" w:cs="Times New Roman"/>
          <w:noProof/>
          <w:sz w:val="24"/>
          <w:szCs w:val="24"/>
        </w:rPr>
        <w:t xml:space="preserve"> breached its obligation to grant full access to its waters for sandeel fishing, in accordance with Article</w:t>
      </w:r>
      <w:r w:rsidR="00FD2E1A">
        <w:rPr>
          <w:rFonts w:ascii="Times New Roman" w:hAnsi="Times New Roman" w:cs="Times New Roman"/>
          <w:noProof/>
          <w:sz w:val="24"/>
          <w:szCs w:val="24"/>
        </w:rPr>
        <w:t> </w:t>
      </w:r>
      <w:r w:rsidRPr="005F588D">
        <w:rPr>
          <w:rFonts w:ascii="Times New Roman" w:hAnsi="Times New Roman" w:cs="Times New Roman"/>
          <w:noProof/>
          <w:sz w:val="24"/>
          <w:szCs w:val="24"/>
        </w:rPr>
        <w:t xml:space="preserve">2(1)(a) of Annex 38 to the TCA. </w:t>
      </w:r>
      <w:r w:rsidR="00093869">
        <w:rPr>
          <w:rFonts w:ascii="Times New Roman" w:hAnsi="Times New Roman" w:cs="Times New Roman"/>
          <w:noProof/>
          <w:sz w:val="24"/>
          <w:szCs w:val="24"/>
        </w:rPr>
        <w:t xml:space="preserve">The ruling required </w:t>
      </w:r>
      <w:r w:rsidRPr="005F588D">
        <w:rPr>
          <w:rFonts w:ascii="Times New Roman" w:hAnsi="Times New Roman" w:cs="Times New Roman"/>
          <w:noProof/>
          <w:sz w:val="24"/>
          <w:szCs w:val="24"/>
        </w:rPr>
        <w:t xml:space="preserve">the United Kingdom to take the necessary measures to bring itself into </w:t>
      </w:r>
      <w:r w:rsidR="00257434" w:rsidRPr="005F588D">
        <w:rPr>
          <w:rFonts w:ascii="Times New Roman" w:hAnsi="Times New Roman" w:cs="Times New Roman"/>
          <w:noProof/>
          <w:sz w:val="24"/>
          <w:szCs w:val="24"/>
        </w:rPr>
        <w:t>co</w:t>
      </w:r>
      <w:r w:rsidR="00257434">
        <w:rPr>
          <w:rFonts w:ascii="Times New Roman" w:hAnsi="Times New Roman" w:cs="Times New Roman"/>
          <w:noProof/>
          <w:sz w:val="24"/>
          <w:szCs w:val="24"/>
        </w:rPr>
        <w:t>mpliance</w:t>
      </w:r>
      <w:r w:rsidR="00257434" w:rsidRPr="005F588D">
        <w:rPr>
          <w:rFonts w:ascii="Times New Roman" w:hAnsi="Times New Roman" w:cs="Times New Roman"/>
          <w:noProof/>
          <w:sz w:val="24"/>
          <w:szCs w:val="24"/>
        </w:rPr>
        <w:t xml:space="preserve"> </w:t>
      </w:r>
      <w:r w:rsidRPr="005F588D">
        <w:rPr>
          <w:rFonts w:ascii="Times New Roman" w:hAnsi="Times New Roman" w:cs="Times New Roman"/>
          <w:noProof/>
          <w:sz w:val="24"/>
          <w:szCs w:val="24"/>
        </w:rPr>
        <w:t>with the relevant provisions of the TCA.</w:t>
      </w:r>
    </w:p>
    <w:p w14:paraId="0E0483B8" w14:textId="37A6B301" w:rsidR="00D3563F" w:rsidRDefault="00093869" w:rsidP="00470A6D">
      <w:pPr>
        <w:spacing w:before="100" w:beforeAutospacing="1" w:after="100" w:afterAutospacing="1" w:line="240" w:lineRule="auto"/>
        <w:jc w:val="both"/>
        <w:rPr>
          <w:rFonts w:ascii="Times New Roman" w:hAnsi="Times New Roman" w:cs="Times New Roman"/>
          <w:noProof/>
          <w:sz w:val="24"/>
          <w:szCs w:val="24"/>
        </w:rPr>
      </w:pPr>
      <w:r w:rsidRPr="00093869">
        <w:rPr>
          <w:rFonts w:ascii="Times New Roman" w:hAnsi="Times New Roman" w:cs="Times New Roman"/>
          <w:noProof/>
          <w:sz w:val="24"/>
          <w:szCs w:val="24"/>
        </w:rPr>
        <w:t>The U</w:t>
      </w:r>
      <w:r w:rsidR="009C24DE">
        <w:rPr>
          <w:rFonts w:ascii="Times New Roman" w:hAnsi="Times New Roman" w:cs="Times New Roman"/>
          <w:noProof/>
          <w:sz w:val="24"/>
          <w:szCs w:val="24"/>
        </w:rPr>
        <w:t xml:space="preserve">nited </w:t>
      </w:r>
      <w:r w:rsidR="008C0FA2" w:rsidRPr="00093869">
        <w:rPr>
          <w:rFonts w:ascii="Times New Roman" w:hAnsi="Times New Roman" w:cs="Times New Roman"/>
          <w:noProof/>
          <w:sz w:val="24"/>
          <w:szCs w:val="24"/>
        </w:rPr>
        <w:t>K</w:t>
      </w:r>
      <w:r w:rsidR="008C0FA2">
        <w:rPr>
          <w:rFonts w:ascii="Times New Roman" w:hAnsi="Times New Roman" w:cs="Times New Roman"/>
          <w:noProof/>
          <w:sz w:val="24"/>
          <w:szCs w:val="24"/>
        </w:rPr>
        <w:t>ingdom</w:t>
      </w:r>
      <w:r w:rsidRPr="00093869">
        <w:rPr>
          <w:rFonts w:ascii="Times New Roman" w:hAnsi="Times New Roman" w:cs="Times New Roman"/>
          <w:noProof/>
          <w:sz w:val="24"/>
          <w:szCs w:val="24"/>
        </w:rPr>
        <w:t xml:space="preserve"> subsequently revised its assessment by including updated scientific elements and impact assessments and </w:t>
      </w:r>
      <w:r w:rsidR="00FE6AAB">
        <w:rPr>
          <w:rFonts w:ascii="Times New Roman" w:hAnsi="Times New Roman" w:cs="Times New Roman"/>
          <w:noProof/>
          <w:sz w:val="24"/>
          <w:szCs w:val="24"/>
        </w:rPr>
        <w:t xml:space="preserve">made a new </w:t>
      </w:r>
      <w:r w:rsidRPr="00093869">
        <w:rPr>
          <w:rFonts w:ascii="Times New Roman" w:hAnsi="Times New Roman" w:cs="Times New Roman"/>
          <w:noProof/>
          <w:sz w:val="24"/>
          <w:szCs w:val="24"/>
        </w:rPr>
        <w:t>deci</w:t>
      </w:r>
      <w:r w:rsidR="00FE6AAB">
        <w:rPr>
          <w:rFonts w:ascii="Times New Roman" w:hAnsi="Times New Roman" w:cs="Times New Roman"/>
          <w:noProof/>
          <w:sz w:val="24"/>
          <w:szCs w:val="24"/>
        </w:rPr>
        <w:t xml:space="preserve">sion </w:t>
      </w:r>
      <w:r w:rsidRPr="00093869">
        <w:rPr>
          <w:rFonts w:ascii="Times New Roman" w:hAnsi="Times New Roman" w:cs="Times New Roman"/>
          <w:noProof/>
          <w:sz w:val="24"/>
          <w:szCs w:val="24"/>
        </w:rPr>
        <w:t>on the closure of English waters to sandeel</w:t>
      </w:r>
      <w:r w:rsidR="00742A28" w:rsidRPr="00742A28">
        <w:rPr>
          <w:rFonts w:ascii="Times New Roman" w:hAnsi="Times New Roman" w:cs="Times New Roman"/>
          <w:noProof/>
          <w:sz w:val="24"/>
          <w:szCs w:val="24"/>
        </w:rPr>
        <w:t xml:space="preserve"> </w:t>
      </w:r>
      <w:r w:rsidR="00742A28" w:rsidRPr="00093869">
        <w:rPr>
          <w:rFonts w:ascii="Times New Roman" w:hAnsi="Times New Roman" w:cs="Times New Roman"/>
          <w:noProof/>
          <w:sz w:val="24"/>
          <w:szCs w:val="24"/>
        </w:rPr>
        <w:t>fishing</w:t>
      </w:r>
      <w:r w:rsidRPr="00093869">
        <w:rPr>
          <w:rFonts w:ascii="Times New Roman" w:hAnsi="Times New Roman" w:cs="Times New Roman"/>
          <w:noProof/>
          <w:sz w:val="24"/>
          <w:szCs w:val="24"/>
        </w:rPr>
        <w:t xml:space="preserve">. On 25 June 2025, </w:t>
      </w:r>
      <w:r w:rsidR="009C24DE">
        <w:rPr>
          <w:rFonts w:ascii="Times New Roman" w:hAnsi="Times New Roman" w:cs="Times New Roman"/>
          <w:noProof/>
          <w:sz w:val="24"/>
          <w:szCs w:val="24"/>
        </w:rPr>
        <w:t>it</w:t>
      </w:r>
      <w:r w:rsidRPr="00093869">
        <w:rPr>
          <w:rFonts w:ascii="Times New Roman" w:hAnsi="Times New Roman" w:cs="Times New Roman"/>
          <w:noProof/>
          <w:sz w:val="24"/>
          <w:szCs w:val="24"/>
        </w:rPr>
        <w:t xml:space="preserve"> notified the EU of the measures it had taken to bring itself into compliance with the ruling. The Commission assessed that information</w:t>
      </w:r>
      <w:r w:rsidR="009C24DE">
        <w:rPr>
          <w:rFonts w:ascii="Times New Roman" w:hAnsi="Times New Roman" w:cs="Times New Roman"/>
          <w:noProof/>
          <w:sz w:val="24"/>
          <w:szCs w:val="24"/>
        </w:rPr>
        <w:t xml:space="preserve"> </w:t>
      </w:r>
      <w:r w:rsidRPr="00093869">
        <w:rPr>
          <w:rFonts w:ascii="Times New Roman" w:hAnsi="Times New Roman" w:cs="Times New Roman"/>
          <w:noProof/>
          <w:sz w:val="24"/>
          <w:szCs w:val="24"/>
        </w:rPr>
        <w:t>in light of the ruling</w:t>
      </w:r>
      <w:r w:rsidR="006F2932">
        <w:rPr>
          <w:rFonts w:ascii="Times New Roman" w:hAnsi="Times New Roman" w:cs="Times New Roman"/>
          <w:noProof/>
          <w:sz w:val="24"/>
          <w:szCs w:val="24"/>
        </w:rPr>
        <w:t xml:space="preserve"> </w:t>
      </w:r>
      <w:r w:rsidRPr="00093869">
        <w:rPr>
          <w:rFonts w:ascii="Times New Roman" w:hAnsi="Times New Roman" w:cs="Times New Roman"/>
          <w:noProof/>
          <w:sz w:val="24"/>
          <w:szCs w:val="24"/>
        </w:rPr>
        <w:t>and concluded against requesting a compliance review.</w:t>
      </w:r>
    </w:p>
    <w:p w14:paraId="5E042427" w14:textId="0748626E" w:rsidR="00BD4DEC" w:rsidRPr="00BD4DEC" w:rsidRDefault="00CF2581" w:rsidP="00470A6D">
      <w:pPr>
        <w:spacing w:before="100" w:beforeAutospacing="1" w:after="100" w:afterAutospacing="1" w:line="240" w:lineRule="auto"/>
        <w:jc w:val="both"/>
        <w:rPr>
          <w:rFonts w:ascii="Times New Roman" w:hAnsi="Times New Roman" w:cs="Times New Roman"/>
          <w:noProof/>
          <w:sz w:val="24"/>
          <w:szCs w:val="24"/>
        </w:rPr>
      </w:pPr>
      <w:r w:rsidRPr="00C13EF7">
        <w:rPr>
          <w:rFonts w:ascii="Times New Roman" w:hAnsi="Times New Roman" w:cs="Times New Roman"/>
          <w:noProof/>
          <w:sz w:val="24"/>
          <w:szCs w:val="24"/>
        </w:rPr>
        <w:t>Regarding t</w:t>
      </w:r>
      <w:r w:rsidR="00BD4DEC" w:rsidRPr="00C13EF7">
        <w:rPr>
          <w:rFonts w:ascii="Times New Roman" w:hAnsi="Times New Roman" w:cs="Times New Roman"/>
          <w:noProof/>
          <w:sz w:val="24"/>
          <w:szCs w:val="24"/>
        </w:rPr>
        <w:t xml:space="preserve">he panel of experts for disputes relating to the chapter on the level playing field for open and fair competition and sustainable development, pursuant to Article 409 of the </w:t>
      </w:r>
      <w:r w:rsidR="00C33B4E">
        <w:rPr>
          <w:rFonts w:ascii="Times New Roman" w:hAnsi="Times New Roman" w:cs="Times New Roman"/>
          <w:noProof/>
          <w:sz w:val="24"/>
          <w:szCs w:val="24"/>
        </w:rPr>
        <w:t xml:space="preserve">TCA </w:t>
      </w:r>
      <w:r w:rsidR="000657BD" w:rsidRPr="000657BD">
        <w:rPr>
          <w:rFonts w:ascii="Times New Roman" w:hAnsi="Times New Roman" w:cs="Times New Roman"/>
          <w:noProof/>
          <w:sz w:val="24"/>
          <w:szCs w:val="24"/>
        </w:rPr>
        <w:t xml:space="preserve">on 23 February 2026 the </w:t>
      </w:r>
      <w:r w:rsidR="007E3B5A">
        <w:rPr>
          <w:rFonts w:ascii="Times New Roman" w:hAnsi="Times New Roman" w:cs="Times New Roman"/>
          <w:noProof/>
          <w:sz w:val="24"/>
          <w:szCs w:val="24"/>
        </w:rPr>
        <w:t xml:space="preserve">Commission adopted a proposal for a </w:t>
      </w:r>
      <w:r w:rsidR="000657BD" w:rsidRPr="000657BD">
        <w:rPr>
          <w:rFonts w:ascii="Times New Roman" w:hAnsi="Times New Roman" w:cs="Times New Roman"/>
          <w:noProof/>
          <w:sz w:val="24"/>
          <w:szCs w:val="24"/>
        </w:rPr>
        <w:t>Council decision to establish the list of individuals who are willing and able to serve as members of the panel of experts</w:t>
      </w:r>
      <w:r w:rsidR="007E3B5A">
        <w:rPr>
          <w:rStyle w:val="FootnoteReference"/>
          <w:rFonts w:ascii="Times New Roman" w:hAnsi="Times New Roman" w:cs="Times New Roman"/>
          <w:noProof/>
          <w:sz w:val="24"/>
          <w:szCs w:val="24"/>
        </w:rPr>
        <w:footnoteReference w:id="21"/>
      </w:r>
      <w:r w:rsidR="000657BD">
        <w:rPr>
          <w:rFonts w:ascii="Times New Roman" w:hAnsi="Times New Roman" w:cs="Times New Roman"/>
          <w:noProof/>
          <w:sz w:val="24"/>
          <w:szCs w:val="24"/>
        </w:rPr>
        <w:t xml:space="preserve">. </w:t>
      </w:r>
    </w:p>
    <w:p w14:paraId="137590D4" w14:textId="42269B5E" w:rsidR="006D1404" w:rsidRPr="0086076B" w:rsidRDefault="33A451BC"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23" w:name="_Toc185413382"/>
      <w:bookmarkStart w:id="24" w:name="_Toc204769319"/>
      <w:bookmarkStart w:id="25" w:name="_Toc209798642"/>
      <w:bookmarkEnd w:id="22"/>
      <w:r w:rsidRPr="0086076B">
        <w:rPr>
          <w:rFonts w:ascii="Times New Roman" w:hAnsi="Times New Roman" w:cs="Times New Roman"/>
          <w:b/>
          <w:bCs/>
          <w:noProof/>
          <w:color w:val="auto"/>
        </w:rPr>
        <w:t>Sectoral implementation</w:t>
      </w:r>
      <w:bookmarkEnd w:id="23"/>
      <w:bookmarkEnd w:id="24"/>
      <w:bookmarkEnd w:id="25"/>
    </w:p>
    <w:p w14:paraId="0DE58DA4" w14:textId="77C95A41" w:rsidR="00764E6C" w:rsidRPr="00F006D0" w:rsidRDefault="00554FBD" w:rsidP="00470A6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w:t>
      </w:r>
      <w:r w:rsidRPr="00554FBD">
        <w:rPr>
          <w:rFonts w:ascii="Times New Roman" w:eastAsia="Times New Roman" w:hAnsi="Times New Roman" w:cs="Times New Roman"/>
          <w:noProof/>
          <w:sz w:val="24"/>
          <w:szCs w:val="24"/>
        </w:rPr>
        <w:t xml:space="preserve">his section highlights achievements in the policy areas </w:t>
      </w:r>
      <w:r>
        <w:rPr>
          <w:rFonts w:ascii="Times New Roman" w:eastAsia="Times New Roman" w:hAnsi="Times New Roman" w:cs="Times New Roman"/>
          <w:noProof/>
          <w:sz w:val="24"/>
          <w:szCs w:val="24"/>
        </w:rPr>
        <w:t xml:space="preserve">covered </w:t>
      </w:r>
      <w:r w:rsidR="00E7319A">
        <w:rPr>
          <w:rFonts w:ascii="Times New Roman" w:eastAsia="Times New Roman" w:hAnsi="Times New Roman" w:cs="Times New Roman"/>
          <w:noProof/>
          <w:sz w:val="24"/>
          <w:szCs w:val="24"/>
        </w:rPr>
        <w:t>by</w:t>
      </w:r>
      <w:r w:rsidRPr="00554FBD">
        <w:rPr>
          <w:rFonts w:ascii="Times New Roman" w:eastAsia="Times New Roman" w:hAnsi="Times New Roman" w:cs="Times New Roman"/>
          <w:noProof/>
          <w:sz w:val="24"/>
          <w:szCs w:val="24"/>
        </w:rPr>
        <w:t xml:space="preserve"> the TCA, </w:t>
      </w:r>
      <w:r w:rsidR="00E7319A">
        <w:rPr>
          <w:rFonts w:ascii="Times New Roman" w:eastAsia="Times New Roman" w:hAnsi="Times New Roman" w:cs="Times New Roman"/>
          <w:noProof/>
          <w:sz w:val="24"/>
          <w:szCs w:val="24"/>
        </w:rPr>
        <w:t xml:space="preserve">and </w:t>
      </w:r>
      <w:r w:rsidRPr="00554FBD">
        <w:rPr>
          <w:rFonts w:ascii="Times New Roman" w:eastAsia="Times New Roman" w:hAnsi="Times New Roman" w:cs="Times New Roman"/>
          <w:noProof/>
          <w:sz w:val="24"/>
          <w:szCs w:val="24"/>
        </w:rPr>
        <w:t xml:space="preserve">the progress made in implementing the actions agreed in the Common Understanding </w:t>
      </w:r>
      <w:r w:rsidR="000A7D53">
        <w:rPr>
          <w:rFonts w:ascii="Times New Roman" w:eastAsia="Times New Roman" w:hAnsi="Times New Roman" w:cs="Times New Roman"/>
          <w:noProof/>
          <w:sz w:val="24"/>
          <w:szCs w:val="24"/>
        </w:rPr>
        <w:t xml:space="preserve">that </w:t>
      </w:r>
      <w:r>
        <w:rPr>
          <w:rFonts w:ascii="Times New Roman" w:eastAsia="Times New Roman" w:hAnsi="Times New Roman" w:cs="Times New Roman"/>
          <w:noProof/>
          <w:sz w:val="24"/>
          <w:szCs w:val="24"/>
        </w:rPr>
        <w:t xml:space="preserve">fall </w:t>
      </w:r>
      <w:r w:rsidRPr="00554FBD">
        <w:rPr>
          <w:rFonts w:ascii="Times New Roman" w:eastAsia="Times New Roman" w:hAnsi="Times New Roman" w:cs="Times New Roman"/>
          <w:noProof/>
          <w:sz w:val="24"/>
          <w:szCs w:val="24"/>
        </w:rPr>
        <w:t>within the scope of the TCA.</w:t>
      </w:r>
      <w:r w:rsidR="007C7C51">
        <w:rPr>
          <w:rFonts w:ascii="Times New Roman" w:eastAsia="Times New Roman" w:hAnsi="Times New Roman" w:cs="Times New Roman"/>
          <w:noProof/>
          <w:sz w:val="24"/>
          <w:szCs w:val="24"/>
        </w:rPr>
        <w:t xml:space="preserve"> </w:t>
      </w:r>
      <w:r w:rsidR="00CD619A" w:rsidRPr="00CD619A">
        <w:rPr>
          <w:rFonts w:ascii="Times New Roman" w:eastAsia="Times New Roman" w:hAnsi="Times New Roman" w:cs="Times New Roman"/>
          <w:noProof/>
          <w:sz w:val="24"/>
          <w:szCs w:val="24"/>
        </w:rPr>
        <w:t>It also presents data on trade flows in goods and services between the EU and the United Kingdom</w:t>
      </w:r>
      <w:r w:rsidR="00CD619A">
        <w:rPr>
          <w:rFonts w:ascii="Times New Roman" w:eastAsia="Times New Roman" w:hAnsi="Times New Roman" w:cs="Times New Roman"/>
          <w:noProof/>
          <w:sz w:val="24"/>
          <w:szCs w:val="24"/>
        </w:rPr>
        <w:t>.</w:t>
      </w:r>
    </w:p>
    <w:p w14:paraId="18A6A513" w14:textId="62E78BCC" w:rsidR="006D1404" w:rsidRPr="0086076B" w:rsidRDefault="33A451BC" w:rsidP="00470A6D">
      <w:pPr>
        <w:pStyle w:val="Heading2"/>
        <w:keepNext w:val="0"/>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26" w:name="_Toc185413383"/>
      <w:bookmarkStart w:id="27" w:name="_Toc204769320"/>
      <w:bookmarkStart w:id="28" w:name="_Toc209798643"/>
      <w:r w:rsidRPr="0086076B">
        <w:rPr>
          <w:rFonts w:ascii="Times New Roman" w:hAnsi="Times New Roman" w:cs="Times New Roman"/>
          <w:b/>
          <w:bCs/>
          <w:noProof/>
          <w:color w:val="auto"/>
        </w:rPr>
        <w:t>Trade in goods</w:t>
      </w:r>
      <w:bookmarkEnd w:id="26"/>
      <w:bookmarkEnd w:id="27"/>
      <w:bookmarkEnd w:id="28"/>
    </w:p>
    <w:p w14:paraId="7B427CB0" w14:textId="02987943" w:rsidR="00786D3D" w:rsidRPr="00F006D0" w:rsidRDefault="3EA7FCBB" w:rsidP="00470A6D">
      <w:pPr>
        <w:spacing w:before="100" w:beforeAutospacing="1" w:after="100" w:afterAutospacing="1" w:line="240" w:lineRule="auto"/>
        <w:jc w:val="both"/>
        <w:rPr>
          <w:rFonts w:ascii="Times New Roman" w:eastAsia="Times New Roman" w:hAnsi="Times New Roman" w:cs="Times New Roman"/>
          <w:noProof/>
          <w:sz w:val="24"/>
          <w:szCs w:val="24"/>
        </w:rPr>
      </w:pPr>
      <w:r w:rsidRPr="00F006D0">
        <w:rPr>
          <w:rFonts w:ascii="Times New Roman" w:eastAsia="Times New Roman" w:hAnsi="Times New Roman" w:cs="Times New Roman"/>
          <w:noProof/>
          <w:sz w:val="24"/>
          <w:szCs w:val="24"/>
        </w:rPr>
        <w:t xml:space="preserve">Overall, the trade-related arrangements </w:t>
      </w:r>
      <w:r w:rsidR="576304FA" w:rsidRPr="00F006D0">
        <w:rPr>
          <w:rFonts w:ascii="Times New Roman" w:eastAsia="Times New Roman" w:hAnsi="Times New Roman" w:cs="Times New Roman"/>
          <w:noProof/>
          <w:sz w:val="24"/>
          <w:szCs w:val="24"/>
        </w:rPr>
        <w:t>set out</w:t>
      </w:r>
      <w:r w:rsidRPr="00F006D0">
        <w:rPr>
          <w:rFonts w:ascii="Times New Roman" w:eastAsia="Times New Roman" w:hAnsi="Times New Roman" w:cs="Times New Roman"/>
          <w:noProof/>
          <w:sz w:val="24"/>
          <w:szCs w:val="24"/>
        </w:rPr>
        <w:t xml:space="preserve"> in the TCA </w:t>
      </w:r>
      <w:r w:rsidR="083FDF09" w:rsidRPr="00F006D0">
        <w:rPr>
          <w:rFonts w:ascii="Times New Roman" w:eastAsia="Times New Roman" w:hAnsi="Times New Roman" w:cs="Times New Roman"/>
          <w:noProof/>
          <w:sz w:val="24"/>
          <w:szCs w:val="24"/>
        </w:rPr>
        <w:t xml:space="preserve">have been effective and functioned </w:t>
      </w:r>
      <w:r w:rsidR="00AC08A2">
        <w:rPr>
          <w:rFonts w:ascii="Times New Roman" w:eastAsia="Times New Roman" w:hAnsi="Times New Roman" w:cs="Times New Roman"/>
          <w:noProof/>
          <w:sz w:val="24"/>
          <w:szCs w:val="24"/>
        </w:rPr>
        <w:t>well</w:t>
      </w:r>
      <w:r w:rsidR="083FDF09" w:rsidRPr="00F006D0">
        <w:rPr>
          <w:rFonts w:ascii="Times New Roman" w:eastAsia="Times New Roman" w:hAnsi="Times New Roman" w:cs="Times New Roman"/>
          <w:noProof/>
          <w:sz w:val="24"/>
          <w:szCs w:val="24"/>
        </w:rPr>
        <w:t>.</w:t>
      </w:r>
    </w:p>
    <w:p w14:paraId="243C2595" w14:textId="46307EA7" w:rsidR="008E0385" w:rsidRDefault="42B9BA73" w:rsidP="3B674C25">
      <w:pPr>
        <w:spacing w:before="100" w:beforeAutospacing="1" w:after="100" w:afterAutospacing="1" w:line="240" w:lineRule="auto"/>
        <w:jc w:val="both"/>
        <w:rPr>
          <w:rFonts w:ascii="Times New Roman" w:eastAsia="Times New Roman" w:hAnsi="Times New Roman" w:cs="Times New Roman"/>
          <w:noProof/>
          <w:sz w:val="24"/>
          <w:szCs w:val="24"/>
        </w:rPr>
      </w:pPr>
      <w:r w:rsidRPr="00F006D0">
        <w:rPr>
          <w:rFonts w:ascii="Times New Roman" w:eastAsia="Times New Roman" w:hAnsi="Times New Roman" w:cs="Times New Roman"/>
          <w:noProof/>
          <w:sz w:val="24"/>
          <w:szCs w:val="24"/>
        </w:rPr>
        <w:t xml:space="preserve">In </w:t>
      </w:r>
      <w:r w:rsidR="2D6A3B80" w:rsidRPr="00F006D0">
        <w:rPr>
          <w:rFonts w:ascii="Times New Roman" w:eastAsia="Times New Roman" w:hAnsi="Times New Roman" w:cs="Times New Roman"/>
          <w:noProof/>
          <w:sz w:val="24"/>
          <w:szCs w:val="24"/>
        </w:rPr>
        <w:t xml:space="preserve">line with </w:t>
      </w:r>
      <w:r w:rsidRPr="00F006D0">
        <w:rPr>
          <w:rFonts w:ascii="Times New Roman" w:eastAsia="Times New Roman" w:hAnsi="Times New Roman" w:cs="Times New Roman"/>
          <w:noProof/>
          <w:sz w:val="24"/>
          <w:szCs w:val="24"/>
        </w:rPr>
        <w:t xml:space="preserve">Article 31 of the TCA, </w:t>
      </w:r>
      <w:r w:rsidR="04CC3A8B" w:rsidRPr="00F006D0">
        <w:rPr>
          <w:rFonts w:ascii="Times New Roman" w:eastAsia="Times New Roman" w:hAnsi="Times New Roman" w:cs="Times New Roman"/>
          <w:noProof/>
          <w:sz w:val="24"/>
          <w:szCs w:val="24"/>
        </w:rPr>
        <w:t>the EU and the United Kingdom</w:t>
      </w:r>
      <w:r w:rsidRPr="00F006D0">
        <w:rPr>
          <w:rFonts w:ascii="Times New Roman" w:eastAsia="Times New Roman" w:hAnsi="Times New Roman" w:cs="Times New Roman"/>
          <w:noProof/>
          <w:sz w:val="24"/>
          <w:szCs w:val="24"/>
        </w:rPr>
        <w:t xml:space="preserve"> exchanged</w:t>
      </w:r>
      <w:r w:rsidR="00D71C78">
        <w:rPr>
          <w:rFonts w:ascii="Times New Roman" w:eastAsia="Times New Roman" w:hAnsi="Times New Roman" w:cs="Times New Roman"/>
          <w:noProof/>
          <w:sz w:val="24"/>
          <w:szCs w:val="24"/>
        </w:rPr>
        <w:t xml:space="preserve"> </w:t>
      </w:r>
      <w:r w:rsidR="6D1848A7" w:rsidRPr="00F006D0">
        <w:rPr>
          <w:rFonts w:ascii="Times New Roman" w:eastAsia="Times New Roman" w:hAnsi="Times New Roman" w:cs="Times New Roman"/>
          <w:noProof/>
          <w:sz w:val="24"/>
          <w:szCs w:val="24"/>
        </w:rPr>
        <w:t>import statistics</w:t>
      </w:r>
      <w:r w:rsidR="006F2932" w:rsidRPr="00F97D5F">
        <w:rPr>
          <w:rStyle w:val="FootnoteReference"/>
          <w:rFonts w:ascii="Times New Roman" w:eastAsia="Times New Roman" w:hAnsi="Times New Roman" w:cs="Times New Roman"/>
          <w:noProof/>
          <w:sz w:val="24"/>
          <w:szCs w:val="24"/>
        </w:rPr>
        <w:footnoteReference w:id="22"/>
      </w:r>
      <w:r w:rsidR="006F2932">
        <w:rPr>
          <w:rFonts w:ascii="Times New Roman" w:eastAsia="Times New Roman" w:hAnsi="Times New Roman" w:cs="Times New Roman"/>
          <w:noProof/>
          <w:sz w:val="24"/>
          <w:szCs w:val="24"/>
        </w:rPr>
        <w:t xml:space="preserve">. </w:t>
      </w:r>
      <w:r w:rsidR="001B39E9" w:rsidRPr="006F2932">
        <w:rPr>
          <w:rFonts w:ascii="Times New Roman" w:eastAsia="Times New Roman" w:hAnsi="Times New Roman" w:cs="Times New Roman"/>
          <w:noProof/>
          <w:sz w:val="24"/>
          <w:szCs w:val="24"/>
        </w:rPr>
        <w:t>These show that approximately 39.5% of EU exports to the United Kingdom and 48</w:t>
      </w:r>
      <w:r w:rsidR="001B39E9" w:rsidRPr="001B39E9">
        <w:rPr>
          <w:rFonts w:ascii="Times New Roman" w:eastAsia="Times New Roman" w:hAnsi="Times New Roman" w:cs="Times New Roman"/>
          <w:noProof/>
          <w:sz w:val="24"/>
          <w:szCs w:val="24"/>
        </w:rPr>
        <w:t xml:space="preserve">.5% of EU imports from the United Kingdom were eligible for preferential treatment under the trade agreement. </w:t>
      </w:r>
      <w:r w:rsidR="00036505" w:rsidRPr="001B39E9">
        <w:rPr>
          <w:rFonts w:ascii="Times New Roman" w:eastAsia="Times New Roman" w:hAnsi="Times New Roman" w:cs="Times New Roman"/>
          <w:noProof/>
          <w:sz w:val="24"/>
          <w:szCs w:val="24"/>
        </w:rPr>
        <w:t>The remaining trade flows concerned tariff lines that were already duty-free on an MFN basis.</w:t>
      </w:r>
      <w:r w:rsidR="000D7DA0">
        <w:rPr>
          <w:rFonts w:ascii="Times New Roman" w:eastAsia="Times New Roman" w:hAnsi="Times New Roman" w:cs="Times New Roman"/>
          <w:noProof/>
          <w:sz w:val="24"/>
          <w:szCs w:val="24"/>
        </w:rPr>
        <w:t xml:space="preserve"> </w:t>
      </w:r>
    </w:p>
    <w:p w14:paraId="4C429E98" w14:textId="1566CFBC" w:rsidR="00565046" w:rsidRPr="00F006D0" w:rsidRDefault="42B9BA73" w:rsidP="3B674C25">
      <w:pPr>
        <w:spacing w:before="100" w:beforeAutospacing="1" w:after="100" w:afterAutospacing="1" w:line="240" w:lineRule="auto"/>
        <w:jc w:val="both"/>
        <w:rPr>
          <w:rFonts w:ascii="Times New Roman" w:eastAsia="Times New Roman" w:hAnsi="Times New Roman" w:cs="Times New Roman"/>
          <w:noProof/>
          <w:sz w:val="24"/>
          <w:szCs w:val="24"/>
        </w:rPr>
      </w:pPr>
      <w:r w:rsidRPr="001B39E9">
        <w:rPr>
          <w:rFonts w:ascii="Times New Roman" w:eastAsia="Times New Roman" w:hAnsi="Times New Roman" w:cs="Times New Roman"/>
          <w:noProof/>
          <w:sz w:val="24"/>
          <w:szCs w:val="24"/>
        </w:rPr>
        <w:t xml:space="preserve">The </w:t>
      </w:r>
      <w:r w:rsidR="284ECF51" w:rsidRPr="001B39E9">
        <w:rPr>
          <w:rFonts w:ascii="Times New Roman" w:eastAsia="Times New Roman" w:hAnsi="Times New Roman" w:cs="Times New Roman"/>
          <w:noProof/>
          <w:sz w:val="24"/>
          <w:szCs w:val="24"/>
        </w:rPr>
        <w:t xml:space="preserve">preference </w:t>
      </w:r>
      <w:r w:rsidR="04CC3A8B" w:rsidRPr="001B39E9">
        <w:rPr>
          <w:rFonts w:ascii="Times New Roman" w:eastAsia="Times New Roman" w:hAnsi="Times New Roman" w:cs="Times New Roman"/>
          <w:noProof/>
          <w:sz w:val="24"/>
          <w:szCs w:val="24"/>
        </w:rPr>
        <w:t>utilisation rates</w:t>
      </w:r>
      <w:r w:rsidR="007E5B4E" w:rsidRPr="00F97D5F">
        <w:rPr>
          <w:rStyle w:val="FootnoteReference"/>
          <w:rFonts w:ascii="Times New Roman" w:eastAsia="Times New Roman" w:hAnsi="Times New Roman" w:cs="Times New Roman"/>
          <w:noProof/>
          <w:sz w:val="24"/>
          <w:szCs w:val="24"/>
        </w:rPr>
        <w:footnoteReference w:id="23"/>
      </w:r>
      <w:r w:rsidR="04CC3A8B" w:rsidRPr="001B39E9">
        <w:rPr>
          <w:rFonts w:ascii="Times New Roman" w:eastAsia="Times New Roman" w:hAnsi="Times New Roman" w:cs="Times New Roman"/>
          <w:noProof/>
          <w:sz w:val="24"/>
          <w:szCs w:val="24"/>
        </w:rPr>
        <w:t xml:space="preserve"> remain high and are comparable to those of the previous year: 8</w:t>
      </w:r>
      <w:r w:rsidR="001B39E9" w:rsidRPr="001B39E9">
        <w:rPr>
          <w:rFonts w:ascii="Times New Roman" w:eastAsia="Times New Roman" w:hAnsi="Times New Roman" w:cs="Times New Roman"/>
          <w:noProof/>
          <w:sz w:val="24"/>
          <w:szCs w:val="24"/>
        </w:rPr>
        <w:t>8</w:t>
      </w:r>
      <w:r w:rsidR="04CC3A8B" w:rsidRPr="001B39E9">
        <w:rPr>
          <w:rFonts w:ascii="Times New Roman" w:eastAsia="Times New Roman" w:hAnsi="Times New Roman" w:cs="Times New Roman"/>
          <w:noProof/>
          <w:sz w:val="24"/>
          <w:szCs w:val="24"/>
        </w:rPr>
        <w:t>% of</w:t>
      </w:r>
      <w:r w:rsidR="04CC3A8B" w:rsidRPr="00F006D0">
        <w:rPr>
          <w:rFonts w:ascii="Times New Roman" w:eastAsia="Times New Roman" w:hAnsi="Times New Roman" w:cs="Times New Roman"/>
          <w:noProof/>
          <w:sz w:val="24"/>
          <w:szCs w:val="24"/>
        </w:rPr>
        <w:t xml:space="preserve"> EU preference</w:t>
      </w:r>
      <w:r w:rsidR="00267658" w:rsidRPr="00F006D0">
        <w:rPr>
          <w:rFonts w:ascii="Times New Roman" w:eastAsia="Times New Roman" w:hAnsi="Times New Roman" w:cs="Times New Roman"/>
          <w:noProof/>
          <w:sz w:val="24"/>
          <w:szCs w:val="24"/>
        </w:rPr>
        <w:t>-</w:t>
      </w:r>
      <w:r w:rsidR="04CC3A8B" w:rsidRPr="00F006D0">
        <w:rPr>
          <w:rFonts w:ascii="Times New Roman" w:eastAsia="Times New Roman" w:hAnsi="Times New Roman" w:cs="Times New Roman"/>
          <w:noProof/>
          <w:sz w:val="24"/>
          <w:szCs w:val="24"/>
        </w:rPr>
        <w:t xml:space="preserve">eligible goods exported to the United Kingdom </w:t>
      </w:r>
      <w:r w:rsidR="04CC3A8B" w:rsidRPr="001B39E9">
        <w:rPr>
          <w:rFonts w:ascii="Times New Roman" w:eastAsia="Times New Roman" w:hAnsi="Times New Roman" w:cs="Times New Roman"/>
          <w:noProof/>
          <w:sz w:val="24"/>
          <w:szCs w:val="24"/>
        </w:rPr>
        <w:t xml:space="preserve">and </w:t>
      </w:r>
      <w:r w:rsidR="00574A0D" w:rsidRPr="001B39E9">
        <w:rPr>
          <w:rFonts w:ascii="Times New Roman" w:eastAsia="Times New Roman" w:hAnsi="Times New Roman" w:cs="Times New Roman"/>
          <w:noProof/>
          <w:sz w:val="24"/>
          <w:szCs w:val="24"/>
        </w:rPr>
        <w:t>8</w:t>
      </w:r>
      <w:r w:rsidR="001B39E9" w:rsidRPr="001B39E9">
        <w:rPr>
          <w:rFonts w:ascii="Times New Roman" w:eastAsia="Times New Roman" w:hAnsi="Times New Roman" w:cs="Times New Roman"/>
          <w:noProof/>
          <w:sz w:val="24"/>
          <w:szCs w:val="24"/>
        </w:rPr>
        <w:t>3.</w:t>
      </w:r>
      <w:r w:rsidR="001B39E9">
        <w:rPr>
          <w:rFonts w:ascii="Times New Roman" w:eastAsia="Times New Roman" w:hAnsi="Times New Roman" w:cs="Times New Roman"/>
          <w:noProof/>
          <w:sz w:val="24"/>
          <w:szCs w:val="24"/>
        </w:rPr>
        <w:t>2</w:t>
      </w:r>
      <w:r w:rsidR="04CC3A8B" w:rsidRPr="00F006D0">
        <w:rPr>
          <w:rFonts w:ascii="Times New Roman" w:eastAsia="Times New Roman" w:hAnsi="Times New Roman" w:cs="Times New Roman"/>
          <w:noProof/>
          <w:sz w:val="24"/>
          <w:szCs w:val="24"/>
        </w:rPr>
        <w:t>% of preference</w:t>
      </w:r>
      <w:r w:rsidR="00267658" w:rsidRPr="00F006D0">
        <w:rPr>
          <w:rFonts w:ascii="Times New Roman" w:eastAsia="Times New Roman" w:hAnsi="Times New Roman" w:cs="Times New Roman"/>
          <w:noProof/>
          <w:sz w:val="24"/>
          <w:szCs w:val="24"/>
        </w:rPr>
        <w:t>-</w:t>
      </w:r>
      <w:r w:rsidR="04CC3A8B" w:rsidRPr="00F006D0">
        <w:rPr>
          <w:rFonts w:ascii="Times New Roman" w:eastAsia="Times New Roman" w:hAnsi="Times New Roman" w:cs="Times New Roman"/>
          <w:noProof/>
          <w:sz w:val="24"/>
          <w:szCs w:val="24"/>
        </w:rPr>
        <w:t xml:space="preserve">eligible goods imported from the United Kingdom </w:t>
      </w:r>
      <w:r w:rsidR="00267658" w:rsidRPr="00F006D0">
        <w:rPr>
          <w:rFonts w:ascii="Times New Roman" w:eastAsia="Times New Roman" w:hAnsi="Times New Roman" w:cs="Times New Roman"/>
          <w:noProof/>
          <w:sz w:val="24"/>
          <w:szCs w:val="24"/>
        </w:rPr>
        <w:t>benefited from</w:t>
      </w:r>
      <w:r w:rsidR="04CC3A8B" w:rsidRPr="00F006D0">
        <w:rPr>
          <w:rFonts w:ascii="Times New Roman" w:eastAsia="Times New Roman" w:hAnsi="Times New Roman" w:cs="Times New Roman"/>
          <w:noProof/>
          <w:sz w:val="24"/>
          <w:szCs w:val="24"/>
        </w:rPr>
        <w:t xml:space="preserve"> the preferences under the TCA. These rates are</w:t>
      </w:r>
      <w:r w:rsidR="00267658" w:rsidRPr="00F006D0">
        <w:rPr>
          <w:rFonts w:ascii="Times New Roman" w:eastAsia="Times New Roman" w:hAnsi="Times New Roman" w:cs="Times New Roman"/>
          <w:noProof/>
          <w:sz w:val="24"/>
          <w:szCs w:val="24"/>
        </w:rPr>
        <w:t xml:space="preserve"> consistent with those observed for other partners with wh</w:t>
      </w:r>
      <w:r w:rsidR="009D7D53">
        <w:rPr>
          <w:rFonts w:ascii="Times New Roman" w:eastAsia="Times New Roman" w:hAnsi="Times New Roman" w:cs="Times New Roman"/>
          <w:noProof/>
          <w:sz w:val="24"/>
          <w:szCs w:val="24"/>
        </w:rPr>
        <w:t>ich</w:t>
      </w:r>
      <w:r w:rsidR="00267658" w:rsidRPr="00F006D0">
        <w:rPr>
          <w:rFonts w:ascii="Times New Roman" w:eastAsia="Times New Roman" w:hAnsi="Times New Roman" w:cs="Times New Roman"/>
          <w:noProof/>
          <w:sz w:val="24"/>
          <w:szCs w:val="24"/>
        </w:rPr>
        <w:t xml:space="preserve"> the</w:t>
      </w:r>
      <w:r w:rsidR="04CC3A8B" w:rsidRPr="00F006D0">
        <w:rPr>
          <w:rFonts w:ascii="Times New Roman" w:eastAsia="Times New Roman" w:hAnsi="Times New Roman" w:cs="Times New Roman"/>
          <w:noProof/>
          <w:sz w:val="24"/>
          <w:szCs w:val="24"/>
        </w:rPr>
        <w:t xml:space="preserve"> EU</w:t>
      </w:r>
      <w:r w:rsidR="00267658" w:rsidRPr="00F006D0">
        <w:rPr>
          <w:rFonts w:ascii="Times New Roman" w:eastAsia="Times New Roman" w:hAnsi="Times New Roman" w:cs="Times New Roman"/>
          <w:noProof/>
          <w:sz w:val="24"/>
          <w:szCs w:val="24"/>
        </w:rPr>
        <w:t xml:space="preserve"> has</w:t>
      </w:r>
      <w:r w:rsidR="04CC3A8B" w:rsidRPr="00F006D0">
        <w:rPr>
          <w:rFonts w:ascii="Times New Roman" w:eastAsia="Times New Roman" w:hAnsi="Times New Roman" w:cs="Times New Roman"/>
          <w:noProof/>
          <w:sz w:val="24"/>
          <w:szCs w:val="24"/>
        </w:rPr>
        <w:t xml:space="preserve"> free trade agreements</w:t>
      </w:r>
      <w:r w:rsidR="000B7200" w:rsidRPr="00F97D5F">
        <w:rPr>
          <w:rStyle w:val="FootnoteReference"/>
          <w:rFonts w:ascii="Times New Roman" w:eastAsia="Times New Roman" w:hAnsi="Times New Roman" w:cs="Times New Roman"/>
          <w:noProof/>
          <w:sz w:val="24"/>
          <w:szCs w:val="24"/>
        </w:rPr>
        <w:footnoteReference w:id="24"/>
      </w:r>
      <w:r w:rsidR="008F5F97">
        <w:rPr>
          <w:rFonts w:ascii="Times New Roman" w:eastAsia="Times New Roman" w:hAnsi="Times New Roman" w:cs="Times New Roman"/>
          <w:noProof/>
          <w:sz w:val="24"/>
          <w:szCs w:val="24"/>
        </w:rPr>
        <w:t>.</w:t>
      </w:r>
    </w:p>
    <w:p w14:paraId="4C69AD7C" w14:textId="14226C88" w:rsidR="00050116" w:rsidRPr="00E9362D" w:rsidRDefault="00CA2DC7" w:rsidP="00470A6D">
      <w:pPr>
        <w:spacing w:before="100" w:beforeAutospacing="1" w:after="100" w:afterAutospacing="1" w:line="240" w:lineRule="auto"/>
        <w:jc w:val="both"/>
        <w:rPr>
          <w:rFonts w:ascii="Times New Roman" w:eastAsia="Times New Roman" w:hAnsi="Times New Roman" w:cs="Times New Roman"/>
          <w:noProof/>
          <w:sz w:val="24"/>
          <w:szCs w:val="24"/>
        </w:rPr>
      </w:pPr>
      <w:bookmarkStart w:id="30" w:name="_Hlk204787258"/>
      <w:bookmarkStart w:id="31" w:name="_Hlk148710669"/>
      <w:r w:rsidRPr="00CA2DC7">
        <w:rPr>
          <w:rFonts w:ascii="Times New Roman" w:eastAsia="Times New Roman" w:hAnsi="Times New Roman" w:cs="Times New Roman"/>
          <w:noProof/>
          <w:sz w:val="24"/>
          <w:szCs w:val="24"/>
        </w:rPr>
        <w:t xml:space="preserve">An </w:t>
      </w:r>
      <w:r w:rsidRPr="00E9362D">
        <w:rPr>
          <w:rFonts w:ascii="Times New Roman" w:eastAsia="Times New Roman" w:hAnsi="Times New Roman" w:cs="Times New Roman"/>
          <w:noProof/>
          <w:sz w:val="24"/>
          <w:szCs w:val="24"/>
        </w:rPr>
        <w:t>overview of the development of</w:t>
      </w:r>
      <w:r w:rsidRPr="00E9362D">
        <w:rPr>
          <w:rFonts w:ascii="Times New Roman" w:eastAsia="Times New Roman" w:hAnsi="Times New Roman" w:cs="Times New Roman"/>
          <w:b/>
          <w:bCs/>
          <w:noProof/>
          <w:sz w:val="24"/>
          <w:szCs w:val="24"/>
        </w:rPr>
        <w:t xml:space="preserve"> trade flows in goods</w:t>
      </w:r>
      <w:r w:rsidRPr="00F97D5F">
        <w:rPr>
          <w:rFonts w:ascii="Times New Roman" w:eastAsia="Times New Roman" w:hAnsi="Times New Roman" w:cs="Times New Roman"/>
          <w:noProof/>
          <w:vertAlign w:val="superscript"/>
        </w:rPr>
        <w:footnoteReference w:id="25"/>
      </w:r>
      <w:r w:rsidRPr="00E9362D">
        <w:rPr>
          <w:rFonts w:ascii="Times New Roman" w:eastAsia="Times New Roman" w:hAnsi="Times New Roman" w:cs="Times New Roman"/>
          <w:b/>
          <w:bCs/>
          <w:noProof/>
          <w:sz w:val="24"/>
          <w:szCs w:val="24"/>
        </w:rPr>
        <w:t xml:space="preserve"> </w:t>
      </w:r>
      <w:r w:rsidRPr="00E9362D">
        <w:rPr>
          <w:rFonts w:ascii="Times New Roman" w:eastAsia="Times New Roman" w:hAnsi="Times New Roman" w:cs="Times New Roman"/>
          <w:noProof/>
          <w:sz w:val="24"/>
          <w:szCs w:val="24"/>
        </w:rPr>
        <w:t>between the EU and the United Kingdom in 2025 is presented below.</w:t>
      </w:r>
    </w:p>
    <w:bookmarkEnd w:id="30"/>
    <w:p w14:paraId="381B9F1A" w14:textId="2D379EE3" w:rsidR="00CE052D" w:rsidRDefault="00CE052D" w:rsidP="00CE052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w:t>
      </w:r>
      <w:r w:rsidRPr="00C13EF7">
        <w:rPr>
          <w:rFonts w:ascii="Times New Roman" w:eastAsia="Times New Roman" w:hAnsi="Times New Roman" w:cs="Times New Roman"/>
          <w:noProof/>
          <w:sz w:val="24"/>
          <w:szCs w:val="24"/>
        </w:rPr>
        <w:t xml:space="preserve">he EU recorded a substantial trade surplus </w:t>
      </w:r>
      <w:r>
        <w:rPr>
          <w:rFonts w:ascii="Times New Roman" w:eastAsia="Times New Roman" w:hAnsi="Times New Roman" w:cs="Times New Roman"/>
          <w:noProof/>
          <w:sz w:val="24"/>
          <w:szCs w:val="24"/>
        </w:rPr>
        <w:t xml:space="preserve">in </w:t>
      </w:r>
      <w:r w:rsidRPr="00C13EF7">
        <w:rPr>
          <w:rFonts w:ascii="Times New Roman" w:eastAsia="Times New Roman" w:hAnsi="Times New Roman" w:cs="Times New Roman"/>
          <w:noProof/>
          <w:sz w:val="24"/>
          <w:szCs w:val="24"/>
        </w:rPr>
        <w:t xml:space="preserve">goods with the United Kingdom, amounting to EUR </w:t>
      </w:r>
      <w:r>
        <w:rPr>
          <w:rFonts w:ascii="Times New Roman" w:eastAsia="Times New Roman" w:hAnsi="Times New Roman" w:cs="Times New Roman"/>
          <w:noProof/>
          <w:sz w:val="24"/>
          <w:szCs w:val="24"/>
        </w:rPr>
        <w:t>188</w:t>
      </w:r>
      <w:r w:rsidRPr="00C13EF7">
        <w:rPr>
          <w:rFonts w:ascii="Times New Roman" w:eastAsia="Times New Roman" w:hAnsi="Times New Roman" w:cs="Times New Roman"/>
          <w:noProof/>
          <w:sz w:val="24"/>
          <w:szCs w:val="24"/>
        </w:rPr>
        <w:t xml:space="preserve"> billion. The EU exported goods worth EUR </w:t>
      </w:r>
      <w:r>
        <w:rPr>
          <w:rFonts w:ascii="Times New Roman" w:eastAsia="Times New Roman" w:hAnsi="Times New Roman" w:cs="Times New Roman"/>
          <w:noProof/>
          <w:sz w:val="24"/>
          <w:szCs w:val="24"/>
        </w:rPr>
        <w:t>346</w:t>
      </w:r>
      <w:r w:rsidRPr="00C13EF7">
        <w:rPr>
          <w:rFonts w:ascii="Times New Roman" w:eastAsia="Times New Roman" w:hAnsi="Times New Roman" w:cs="Times New Roman"/>
          <w:noProof/>
          <w:sz w:val="24"/>
          <w:szCs w:val="24"/>
        </w:rPr>
        <w:t xml:space="preserve"> billion to the United Kingdom, which represents an increase of </w:t>
      </w:r>
      <w:r>
        <w:rPr>
          <w:rFonts w:ascii="Times New Roman" w:eastAsia="Times New Roman" w:hAnsi="Times New Roman" w:cs="Times New Roman"/>
          <w:noProof/>
          <w:sz w:val="24"/>
          <w:szCs w:val="24"/>
        </w:rPr>
        <w:t>0.8</w:t>
      </w:r>
      <w:r w:rsidRPr="00C13EF7">
        <w:rPr>
          <w:rFonts w:ascii="Times New Roman" w:eastAsia="Times New Roman" w:hAnsi="Times New Roman" w:cs="Times New Roman"/>
          <w:noProof/>
          <w:sz w:val="24"/>
          <w:szCs w:val="24"/>
        </w:rPr>
        <w:t>% compared to 2024</w:t>
      </w:r>
      <w:r>
        <w:rPr>
          <w:rFonts w:ascii="Times New Roman" w:eastAsia="Times New Roman" w:hAnsi="Times New Roman" w:cs="Times New Roman"/>
          <w:noProof/>
          <w:sz w:val="24"/>
          <w:szCs w:val="24"/>
        </w:rPr>
        <w:t xml:space="preserve">. </w:t>
      </w:r>
      <w:r w:rsidRPr="00C13EF7">
        <w:rPr>
          <w:rFonts w:ascii="Times New Roman" w:eastAsia="Times New Roman" w:hAnsi="Times New Roman" w:cs="Times New Roman"/>
          <w:noProof/>
          <w:sz w:val="24"/>
          <w:szCs w:val="24"/>
        </w:rPr>
        <w:t xml:space="preserve">Goods imports from the United Kingdom amounted to EUR </w:t>
      </w:r>
      <w:r>
        <w:rPr>
          <w:rFonts w:ascii="Times New Roman" w:eastAsia="Times New Roman" w:hAnsi="Times New Roman" w:cs="Times New Roman"/>
          <w:noProof/>
          <w:sz w:val="24"/>
          <w:szCs w:val="24"/>
        </w:rPr>
        <w:t>159</w:t>
      </w:r>
      <w:r w:rsidRPr="00C13EF7">
        <w:rPr>
          <w:rFonts w:ascii="Times New Roman" w:eastAsia="Times New Roman" w:hAnsi="Times New Roman" w:cs="Times New Roman"/>
          <w:noProof/>
          <w:sz w:val="24"/>
          <w:szCs w:val="24"/>
        </w:rPr>
        <w:t xml:space="preserve"> billion, representing a </w:t>
      </w:r>
      <w:r>
        <w:rPr>
          <w:rFonts w:ascii="Times New Roman" w:eastAsia="Times New Roman" w:hAnsi="Times New Roman" w:cs="Times New Roman"/>
          <w:noProof/>
          <w:sz w:val="24"/>
          <w:szCs w:val="24"/>
        </w:rPr>
        <w:t>3.1</w:t>
      </w:r>
      <w:r w:rsidRPr="00C13EF7">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reduction</w:t>
      </w:r>
      <w:r w:rsidRPr="00C13EF7">
        <w:rPr>
          <w:rFonts w:ascii="Times New Roman" w:eastAsia="Times New Roman" w:hAnsi="Times New Roman" w:cs="Times New Roman"/>
          <w:noProof/>
          <w:sz w:val="24"/>
          <w:szCs w:val="24"/>
        </w:rPr>
        <w:t xml:space="preserve"> compared to 2024</w:t>
      </w:r>
      <w:r>
        <w:rPr>
          <w:rFonts w:ascii="Times New Roman" w:eastAsia="Times New Roman" w:hAnsi="Times New Roman" w:cs="Times New Roman"/>
          <w:noProof/>
          <w:sz w:val="24"/>
          <w:szCs w:val="24"/>
        </w:rPr>
        <w:t>.</w:t>
      </w:r>
    </w:p>
    <w:p w14:paraId="0E33E134" w14:textId="4E2BB93C" w:rsidR="00CE052D" w:rsidRPr="00C13EF7" w:rsidRDefault="00CE052D" w:rsidP="00CE052D">
      <w:pPr>
        <w:spacing w:before="100" w:beforeAutospacing="1" w:after="100" w:afterAutospacing="1" w:line="240" w:lineRule="auto"/>
        <w:jc w:val="both"/>
        <w:rPr>
          <w:rFonts w:ascii="Times New Roman" w:eastAsia="Times New Roman" w:hAnsi="Times New Roman" w:cs="Times New Roman"/>
          <w:noProof/>
          <w:sz w:val="24"/>
          <w:szCs w:val="24"/>
        </w:rPr>
      </w:pPr>
      <w:r w:rsidRPr="00C13EF7">
        <w:rPr>
          <w:rFonts w:ascii="Times New Roman" w:eastAsia="Times New Roman" w:hAnsi="Times New Roman" w:cs="Times New Roman"/>
          <w:noProof/>
          <w:sz w:val="24"/>
          <w:szCs w:val="24"/>
        </w:rPr>
        <w:t>The sectors showing the strongest growth in EU exports to the United Kingdom were</w:t>
      </w:r>
      <w:r>
        <w:rPr>
          <w:rFonts w:ascii="Times New Roman" w:eastAsia="Times New Roman" w:hAnsi="Times New Roman" w:cs="Times New Roman"/>
          <w:noProof/>
          <w:sz w:val="24"/>
          <w:szCs w:val="24"/>
        </w:rPr>
        <w:t xml:space="preserve"> fo</w:t>
      </w:r>
      <w:r w:rsidRPr="00C13EF7">
        <w:rPr>
          <w:rFonts w:ascii="Times New Roman" w:eastAsia="Times New Roman" w:hAnsi="Times New Roman" w:cs="Times New Roman"/>
          <w:noProof/>
          <w:sz w:val="24"/>
          <w:szCs w:val="24"/>
        </w:rPr>
        <w:t>od, drinks, and tobacco (+</w:t>
      </w:r>
      <w:r>
        <w:rPr>
          <w:rFonts w:ascii="Times New Roman" w:eastAsia="Times New Roman" w:hAnsi="Times New Roman" w:cs="Times New Roman"/>
          <w:noProof/>
          <w:sz w:val="24"/>
          <w:szCs w:val="24"/>
        </w:rPr>
        <w:t>3.5</w:t>
      </w:r>
      <w:r w:rsidRPr="00C13EF7">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raw materials (+3.3%), and</w:t>
      </w:r>
      <w:r w:rsidRPr="00C13EF7">
        <w:rPr>
          <w:rFonts w:ascii="Times New Roman" w:eastAsia="Times New Roman" w:hAnsi="Times New Roman" w:cs="Times New Roman"/>
          <w:noProof/>
          <w:sz w:val="24"/>
          <w:szCs w:val="24"/>
        </w:rPr>
        <w:t xml:space="preserve"> chemicals and related products (+</w:t>
      </w:r>
      <w:r>
        <w:rPr>
          <w:rFonts w:ascii="Times New Roman" w:eastAsia="Times New Roman" w:hAnsi="Times New Roman" w:cs="Times New Roman"/>
          <w:noProof/>
          <w:sz w:val="24"/>
          <w:szCs w:val="24"/>
        </w:rPr>
        <w:t>3.3</w:t>
      </w:r>
      <w:r w:rsidRPr="00C13EF7">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w:t>
      </w:r>
      <w:r w:rsidRPr="00C13EF7">
        <w:rPr>
          <w:rFonts w:ascii="Times New Roman" w:eastAsia="Times New Roman" w:hAnsi="Times New Roman" w:cs="Times New Roman"/>
          <w:noProof/>
          <w:sz w:val="24"/>
          <w:szCs w:val="24"/>
        </w:rPr>
        <w:t xml:space="preserve"> </w:t>
      </w:r>
      <w:r w:rsidRPr="00CE052D">
        <w:rPr>
          <w:rFonts w:ascii="Times New Roman" w:eastAsia="Times New Roman" w:hAnsi="Times New Roman" w:cs="Times New Roman"/>
          <w:noProof/>
          <w:sz w:val="24"/>
          <w:szCs w:val="24"/>
        </w:rPr>
        <w:t xml:space="preserve">The only export category that declined was mineral fuels </w:t>
      </w:r>
      <w:r>
        <w:rPr>
          <w:rFonts w:ascii="Times New Roman" w:eastAsia="Times New Roman" w:hAnsi="Times New Roman" w:cs="Times New Roman"/>
          <w:noProof/>
          <w:sz w:val="24"/>
          <w:szCs w:val="24"/>
        </w:rPr>
        <w:t>(-2.5%)</w:t>
      </w:r>
      <w:r w:rsidRPr="00C13EF7">
        <w:rPr>
          <w:rFonts w:ascii="Times New Roman" w:eastAsia="Times New Roman" w:hAnsi="Times New Roman" w:cs="Times New Roman"/>
          <w:noProof/>
          <w:sz w:val="24"/>
          <w:szCs w:val="24"/>
        </w:rPr>
        <w:t xml:space="preserve">. On the import side, </w:t>
      </w:r>
      <w:r w:rsidR="00B73F36">
        <w:rPr>
          <w:rFonts w:ascii="Times New Roman" w:eastAsia="Times New Roman" w:hAnsi="Times New Roman" w:cs="Times New Roman"/>
          <w:noProof/>
          <w:sz w:val="24"/>
          <w:szCs w:val="24"/>
        </w:rPr>
        <w:t>t</w:t>
      </w:r>
      <w:r>
        <w:rPr>
          <w:rFonts w:ascii="Times New Roman" w:eastAsia="Times New Roman" w:hAnsi="Times New Roman" w:cs="Times New Roman"/>
          <w:noProof/>
          <w:sz w:val="24"/>
          <w:szCs w:val="24"/>
        </w:rPr>
        <w:t xml:space="preserve">here were increases for </w:t>
      </w:r>
      <w:r w:rsidRPr="00C13EF7">
        <w:rPr>
          <w:rFonts w:ascii="Times New Roman" w:eastAsia="Times New Roman" w:hAnsi="Times New Roman" w:cs="Times New Roman"/>
          <w:noProof/>
          <w:sz w:val="24"/>
          <w:szCs w:val="24"/>
        </w:rPr>
        <w:t>imports of food, drinks, and tobacco (+</w:t>
      </w:r>
      <w:r>
        <w:rPr>
          <w:rFonts w:ascii="Times New Roman" w:eastAsia="Times New Roman" w:hAnsi="Times New Roman" w:cs="Times New Roman"/>
          <w:noProof/>
          <w:sz w:val="24"/>
          <w:szCs w:val="24"/>
        </w:rPr>
        <w:t>3.8</w:t>
      </w:r>
      <w:r w:rsidRPr="00C13EF7">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and</w:t>
      </w:r>
      <w:r w:rsidRPr="00C13EF7">
        <w:rPr>
          <w:rFonts w:ascii="Times New Roman" w:eastAsia="Times New Roman" w:hAnsi="Times New Roman" w:cs="Times New Roman"/>
          <w:noProof/>
          <w:sz w:val="24"/>
          <w:szCs w:val="24"/>
        </w:rPr>
        <w:t xml:space="preserve"> raw materials (+4.1%)</w:t>
      </w:r>
      <w:r>
        <w:rPr>
          <w:rFonts w:ascii="Times New Roman" w:eastAsia="Times New Roman" w:hAnsi="Times New Roman" w:cs="Times New Roman"/>
          <w:noProof/>
          <w:sz w:val="24"/>
          <w:szCs w:val="24"/>
        </w:rPr>
        <w:t>,</w:t>
      </w:r>
      <w:r w:rsidRPr="00C13EF7">
        <w:rPr>
          <w:rFonts w:ascii="Times New Roman" w:eastAsia="Times New Roman" w:hAnsi="Times New Roman" w:cs="Times New Roman"/>
          <w:noProof/>
          <w:sz w:val="24"/>
          <w:szCs w:val="24"/>
        </w:rPr>
        <w:t xml:space="preserve"> while imports of the remaining goods categories declined. </w:t>
      </w:r>
      <w:r w:rsidR="00B73F36">
        <w:rPr>
          <w:rFonts w:ascii="Times New Roman" w:eastAsia="Times New Roman" w:hAnsi="Times New Roman" w:cs="Times New Roman"/>
          <w:noProof/>
          <w:sz w:val="24"/>
          <w:szCs w:val="24"/>
        </w:rPr>
        <w:t>T</w:t>
      </w:r>
      <w:r w:rsidR="00B73F36" w:rsidRPr="00C13EF7">
        <w:rPr>
          <w:rFonts w:ascii="Times New Roman" w:eastAsia="Times New Roman" w:hAnsi="Times New Roman" w:cs="Times New Roman"/>
          <w:noProof/>
          <w:sz w:val="24"/>
          <w:szCs w:val="24"/>
        </w:rPr>
        <w:t>he largest decrease was observed in mineral fuels (-</w:t>
      </w:r>
      <w:r w:rsidR="00B73F36">
        <w:rPr>
          <w:rFonts w:ascii="Times New Roman" w:eastAsia="Times New Roman" w:hAnsi="Times New Roman" w:cs="Times New Roman"/>
          <w:noProof/>
          <w:sz w:val="24"/>
          <w:szCs w:val="24"/>
        </w:rPr>
        <w:t>14.2</w:t>
      </w:r>
      <w:r w:rsidR="00B73F36" w:rsidRPr="00C13EF7">
        <w:rPr>
          <w:rFonts w:ascii="Times New Roman" w:eastAsia="Times New Roman" w:hAnsi="Times New Roman" w:cs="Times New Roman"/>
          <w:noProof/>
          <w:sz w:val="24"/>
          <w:szCs w:val="24"/>
        </w:rPr>
        <w:t xml:space="preserve">%). </w:t>
      </w:r>
      <w:r w:rsidRPr="00C13EF7">
        <w:rPr>
          <w:rFonts w:ascii="Times New Roman" w:eastAsia="Times New Roman" w:hAnsi="Times New Roman" w:cs="Times New Roman"/>
          <w:noProof/>
          <w:sz w:val="24"/>
          <w:szCs w:val="24"/>
        </w:rPr>
        <w:t xml:space="preserve">Overall, these developments highlight a divergence in trade dynamics across sectors, with energy-related products continuing to contract, whereas food, drinks, and tobacco, </w:t>
      </w:r>
      <w:r>
        <w:rPr>
          <w:rFonts w:ascii="Times New Roman" w:eastAsia="Times New Roman" w:hAnsi="Times New Roman" w:cs="Times New Roman"/>
          <w:noProof/>
          <w:sz w:val="24"/>
          <w:szCs w:val="24"/>
        </w:rPr>
        <w:t xml:space="preserve">and </w:t>
      </w:r>
      <w:r w:rsidRPr="00C13EF7">
        <w:rPr>
          <w:rFonts w:ascii="Times New Roman" w:eastAsia="Times New Roman" w:hAnsi="Times New Roman" w:cs="Times New Roman"/>
          <w:noProof/>
          <w:sz w:val="24"/>
          <w:szCs w:val="24"/>
        </w:rPr>
        <w:t xml:space="preserve">raw materials maintained moderate growth. </w:t>
      </w:r>
    </w:p>
    <w:p w14:paraId="77532E40" w14:textId="27715C9B" w:rsidR="00CE052D" w:rsidRPr="00C13EF7" w:rsidRDefault="00CE052D" w:rsidP="00CE052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w:t>
      </w:r>
      <w:r w:rsidRPr="00C13EF7">
        <w:rPr>
          <w:rFonts w:ascii="Times New Roman" w:eastAsia="Times New Roman" w:hAnsi="Times New Roman" w:cs="Times New Roman"/>
          <w:noProof/>
          <w:sz w:val="24"/>
          <w:szCs w:val="24"/>
        </w:rPr>
        <w:t xml:space="preserve">ompared to other non-EU countries, EU trade in goods with the United Kingdom </w:t>
      </w:r>
      <w:r>
        <w:rPr>
          <w:rFonts w:ascii="Times New Roman" w:eastAsia="Times New Roman" w:hAnsi="Times New Roman" w:cs="Times New Roman"/>
          <w:noProof/>
          <w:sz w:val="24"/>
          <w:szCs w:val="24"/>
        </w:rPr>
        <w:t>was</w:t>
      </w:r>
      <w:r w:rsidRPr="00C13EF7">
        <w:rPr>
          <w:rFonts w:ascii="Times New Roman" w:eastAsia="Times New Roman" w:hAnsi="Times New Roman" w:cs="Times New Roman"/>
          <w:noProof/>
          <w:sz w:val="24"/>
          <w:szCs w:val="24"/>
        </w:rPr>
        <w:t xml:space="preserve"> less dynamic. </w:t>
      </w:r>
      <w:r>
        <w:rPr>
          <w:rFonts w:ascii="Times New Roman" w:eastAsia="Times New Roman" w:hAnsi="Times New Roman" w:cs="Times New Roman"/>
          <w:noProof/>
          <w:sz w:val="24"/>
          <w:szCs w:val="24"/>
        </w:rPr>
        <w:t>In 2025</w:t>
      </w:r>
      <w:r w:rsidRPr="00C13EF7">
        <w:rPr>
          <w:rFonts w:ascii="Times New Roman" w:eastAsia="Times New Roman" w:hAnsi="Times New Roman" w:cs="Times New Roman"/>
          <w:noProof/>
          <w:sz w:val="24"/>
          <w:szCs w:val="24"/>
        </w:rPr>
        <w:t xml:space="preserve">, EU exports to other non-EU countries increased by </w:t>
      </w:r>
      <w:r>
        <w:rPr>
          <w:rFonts w:ascii="Times New Roman" w:eastAsia="Times New Roman" w:hAnsi="Times New Roman" w:cs="Times New Roman"/>
          <w:noProof/>
          <w:sz w:val="24"/>
          <w:szCs w:val="24"/>
        </w:rPr>
        <w:t>2.4</w:t>
      </w:r>
      <w:r w:rsidRPr="00C13EF7">
        <w:rPr>
          <w:rFonts w:ascii="Times New Roman" w:eastAsia="Times New Roman" w:hAnsi="Times New Roman" w:cs="Times New Roman"/>
          <w:noProof/>
          <w:sz w:val="24"/>
          <w:szCs w:val="24"/>
        </w:rPr>
        <w:t xml:space="preserve">% compared </w:t>
      </w:r>
      <w:r>
        <w:rPr>
          <w:rFonts w:ascii="Times New Roman" w:eastAsia="Times New Roman" w:hAnsi="Times New Roman" w:cs="Times New Roman"/>
          <w:noProof/>
          <w:sz w:val="24"/>
          <w:szCs w:val="24"/>
        </w:rPr>
        <w:t>to</w:t>
      </w:r>
      <w:r w:rsidRPr="00C13EF7">
        <w:rPr>
          <w:rFonts w:ascii="Times New Roman" w:eastAsia="Times New Roman" w:hAnsi="Times New Roman" w:cs="Times New Roman"/>
          <w:noProof/>
          <w:sz w:val="24"/>
          <w:szCs w:val="24"/>
        </w:rPr>
        <w:t xml:space="preserve"> 2024</w:t>
      </w:r>
      <w:r>
        <w:rPr>
          <w:rFonts w:ascii="Times New Roman" w:eastAsia="Times New Roman" w:hAnsi="Times New Roman" w:cs="Times New Roman"/>
          <w:noProof/>
          <w:sz w:val="24"/>
          <w:szCs w:val="24"/>
        </w:rPr>
        <w:t>, while</w:t>
      </w:r>
      <w:r w:rsidRPr="00C13EF7">
        <w:rPr>
          <w:rFonts w:ascii="Times New Roman" w:eastAsia="Times New Roman" w:hAnsi="Times New Roman" w:cs="Times New Roman"/>
          <w:noProof/>
          <w:sz w:val="24"/>
          <w:szCs w:val="24"/>
        </w:rPr>
        <w:t xml:space="preserve"> EU imports from other non-EU countries rose, by </w:t>
      </w:r>
      <w:r>
        <w:rPr>
          <w:rFonts w:ascii="Times New Roman" w:eastAsia="Times New Roman" w:hAnsi="Times New Roman" w:cs="Times New Roman"/>
          <w:noProof/>
          <w:sz w:val="24"/>
          <w:szCs w:val="24"/>
        </w:rPr>
        <w:t>2.9</w:t>
      </w:r>
      <w:r w:rsidRPr="00C13EF7">
        <w:rPr>
          <w:rFonts w:ascii="Times New Roman" w:eastAsia="Times New Roman" w:hAnsi="Times New Roman" w:cs="Times New Roman"/>
          <w:noProof/>
          <w:sz w:val="24"/>
          <w:szCs w:val="24"/>
        </w:rPr>
        <w:t>%. In 2025, total trade in goods with the United Kingdom accounted for 9.8% of the EU’s overall trade with international partners, down from 10.</w:t>
      </w:r>
      <w:r>
        <w:rPr>
          <w:rFonts w:ascii="Times New Roman" w:eastAsia="Times New Roman" w:hAnsi="Times New Roman" w:cs="Times New Roman"/>
          <w:noProof/>
          <w:sz w:val="24"/>
          <w:szCs w:val="24"/>
        </w:rPr>
        <w:t>1</w:t>
      </w:r>
      <w:r w:rsidRPr="00C13EF7">
        <w:rPr>
          <w:rFonts w:ascii="Times New Roman" w:eastAsia="Times New Roman" w:hAnsi="Times New Roman" w:cs="Times New Roman"/>
          <w:noProof/>
          <w:sz w:val="24"/>
          <w:szCs w:val="24"/>
        </w:rPr>
        <w:t xml:space="preserve">% in 2024. The United Kingdom remained the second-largest destination for EU exports, receiving 13.1% of total EU goods exports, compared </w:t>
      </w:r>
      <w:r>
        <w:rPr>
          <w:rFonts w:ascii="Times New Roman" w:eastAsia="Times New Roman" w:hAnsi="Times New Roman" w:cs="Times New Roman"/>
          <w:noProof/>
          <w:sz w:val="24"/>
          <w:szCs w:val="24"/>
        </w:rPr>
        <w:t>to</w:t>
      </w:r>
      <w:r w:rsidRPr="00C13EF7">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13.3</w:t>
      </w:r>
      <w:r w:rsidRPr="00C13EF7">
        <w:rPr>
          <w:rFonts w:ascii="Times New Roman" w:eastAsia="Times New Roman" w:hAnsi="Times New Roman" w:cs="Times New Roman"/>
          <w:noProof/>
          <w:sz w:val="24"/>
          <w:szCs w:val="24"/>
        </w:rPr>
        <w:t>% in 2024, after the United States (</w:t>
      </w:r>
      <w:r>
        <w:rPr>
          <w:rFonts w:ascii="Times New Roman" w:eastAsia="Times New Roman" w:hAnsi="Times New Roman" w:cs="Times New Roman"/>
          <w:noProof/>
          <w:sz w:val="24"/>
          <w:szCs w:val="24"/>
        </w:rPr>
        <w:t>20.9</w:t>
      </w:r>
      <w:r w:rsidRPr="00C13EF7">
        <w:rPr>
          <w:rFonts w:ascii="Times New Roman" w:eastAsia="Times New Roman" w:hAnsi="Times New Roman" w:cs="Times New Roman"/>
          <w:noProof/>
          <w:sz w:val="24"/>
          <w:szCs w:val="24"/>
        </w:rPr>
        <w:t xml:space="preserve">%). On the import side, the United Kingdom was the source of </w:t>
      </w:r>
      <w:r>
        <w:rPr>
          <w:rFonts w:ascii="Times New Roman" w:eastAsia="Times New Roman" w:hAnsi="Times New Roman" w:cs="Times New Roman"/>
          <w:noProof/>
          <w:sz w:val="24"/>
          <w:szCs w:val="24"/>
        </w:rPr>
        <w:t>6.3</w:t>
      </w:r>
      <w:r w:rsidRPr="00C13EF7">
        <w:rPr>
          <w:rFonts w:ascii="Times New Roman" w:eastAsia="Times New Roman" w:hAnsi="Times New Roman" w:cs="Times New Roman"/>
          <w:noProof/>
          <w:sz w:val="24"/>
          <w:szCs w:val="24"/>
        </w:rPr>
        <w:t xml:space="preserve">% of the EU’s goods imports, down from </w:t>
      </w:r>
      <w:r>
        <w:rPr>
          <w:rFonts w:ascii="Times New Roman" w:eastAsia="Times New Roman" w:hAnsi="Times New Roman" w:cs="Times New Roman"/>
          <w:noProof/>
          <w:sz w:val="24"/>
          <w:szCs w:val="24"/>
        </w:rPr>
        <w:t>6.7</w:t>
      </w:r>
      <w:r w:rsidRPr="00C13EF7">
        <w:rPr>
          <w:rFonts w:ascii="Times New Roman" w:eastAsia="Times New Roman" w:hAnsi="Times New Roman" w:cs="Times New Roman"/>
          <w:noProof/>
          <w:sz w:val="24"/>
          <w:szCs w:val="24"/>
        </w:rPr>
        <w:t>% in 2024, ranking third after China (</w:t>
      </w:r>
      <w:r>
        <w:rPr>
          <w:rFonts w:ascii="Times New Roman" w:eastAsia="Times New Roman" w:hAnsi="Times New Roman" w:cs="Times New Roman"/>
          <w:noProof/>
          <w:sz w:val="24"/>
          <w:szCs w:val="24"/>
        </w:rPr>
        <w:t>22.3</w:t>
      </w:r>
      <w:r w:rsidRPr="00C13EF7">
        <w:rPr>
          <w:rFonts w:ascii="Times New Roman" w:eastAsia="Times New Roman" w:hAnsi="Times New Roman" w:cs="Times New Roman"/>
          <w:noProof/>
          <w:sz w:val="24"/>
          <w:szCs w:val="24"/>
        </w:rPr>
        <w:t xml:space="preserve">%) and the United States (14.1%). These figures confirm </w:t>
      </w:r>
      <w:r>
        <w:rPr>
          <w:rFonts w:ascii="Times New Roman" w:eastAsia="Times New Roman" w:hAnsi="Times New Roman" w:cs="Times New Roman"/>
          <w:noProof/>
          <w:sz w:val="24"/>
          <w:szCs w:val="24"/>
        </w:rPr>
        <w:t xml:space="preserve">the continuation of </w:t>
      </w:r>
      <w:r w:rsidRPr="00C13EF7">
        <w:rPr>
          <w:rFonts w:ascii="Times New Roman" w:eastAsia="Times New Roman" w:hAnsi="Times New Roman" w:cs="Times New Roman"/>
          <w:noProof/>
          <w:sz w:val="24"/>
          <w:szCs w:val="24"/>
        </w:rPr>
        <w:t xml:space="preserve">a trend </w:t>
      </w:r>
      <w:r>
        <w:rPr>
          <w:rFonts w:ascii="Times New Roman" w:eastAsia="Times New Roman" w:hAnsi="Times New Roman" w:cs="Times New Roman"/>
          <w:noProof/>
          <w:sz w:val="24"/>
          <w:szCs w:val="24"/>
        </w:rPr>
        <w:t xml:space="preserve">identified in the previous Commission’s annual reports on the implementation of the TCA, whereby </w:t>
      </w:r>
      <w:r w:rsidRPr="00C13EF7">
        <w:rPr>
          <w:rFonts w:ascii="Times New Roman" w:eastAsia="Times New Roman" w:hAnsi="Times New Roman" w:cs="Times New Roman"/>
          <w:noProof/>
          <w:sz w:val="24"/>
          <w:szCs w:val="24"/>
        </w:rPr>
        <w:t>trade in goods with other non-EU partners expanded more rapidly than trade with the United Kingdom</w:t>
      </w:r>
      <w:r>
        <w:rPr>
          <w:rFonts w:ascii="Times New Roman" w:eastAsia="Times New Roman" w:hAnsi="Times New Roman" w:cs="Times New Roman"/>
          <w:noProof/>
          <w:sz w:val="24"/>
          <w:szCs w:val="24"/>
        </w:rPr>
        <w:t xml:space="preserve"> since its withdrawal from the EU</w:t>
      </w:r>
      <w:r w:rsidRPr="00C13EF7">
        <w:rPr>
          <w:rFonts w:ascii="Times New Roman" w:eastAsia="Times New Roman" w:hAnsi="Times New Roman" w:cs="Times New Roman"/>
          <w:noProof/>
          <w:sz w:val="24"/>
          <w:szCs w:val="24"/>
        </w:rPr>
        <w:t>.</w:t>
      </w:r>
    </w:p>
    <w:p w14:paraId="4D224D74" w14:textId="0B9B2F96" w:rsidR="00CE052D" w:rsidRDefault="00AB5C7B" w:rsidP="00CE052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When looking at how</w:t>
      </w:r>
      <w:r w:rsidR="00CE052D" w:rsidRPr="00C13EF7">
        <w:rPr>
          <w:rFonts w:ascii="Times New Roman" w:hAnsi="Times New Roman" w:cs="Times New Roman"/>
          <w:noProof/>
          <w:sz w:val="24"/>
          <w:szCs w:val="24"/>
        </w:rPr>
        <w:t xml:space="preserve"> trade in goods </w:t>
      </w:r>
      <w:r>
        <w:rPr>
          <w:rFonts w:ascii="Times New Roman" w:hAnsi="Times New Roman" w:cs="Times New Roman"/>
          <w:noProof/>
          <w:sz w:val="24"/>
          <w:szCs w:val="24"/>
        </w:rPr>
        <w:t xml:space="preserve">has developed </w:t>
      </w:r>
      <w:r w:rsidR="00CE052D">
        <w:rPr>
          <w:rFonts w:ascii="Times New Roman" w:hAnsi="Times New Roman" w:cs="Times New Roman"/>
          <w:noProof/>
          <w:sz w:val="24"/>
          <w:szCs w:val="24"/>
        </w:rPr>
        <w:t xml:space="preserve">since </w:t>
      </w:r>
      <w:r w:rsidR="00CE052D" w:rsidRPr="00C13EF7">
        <w:rPr>
          <w:rFonts w:ascii="Times New Roman" w:hAnsi="Times New Roman" w:cs="Times New Roman"/>
          <w:noProof/>
          <w:sz w:val="24"/>
          <w:szCs w:val="24"/>
        </w:rPr>
        <w:t xml:space="preserve">the TCA began to apply in 2021, EU exports to the United Kingdom have shown consistent growth. In 2025, exports reached </w:t>
      </w:r>
      <w:r w:rsidR="00CE052D">
        <w:rPr>
          <w:rFonts w:ascii="Times New Roman" w:hAnsi="Times New Roman" w:cs="Times New Roman"/>
          <w:noProof/>
          <w:sz w:val="24"/>
          <w:szCs w:val="24"/>
        </w:rPr>
        <w:t>EUR 346</w:t>
      </w:r>
      <w:r w:rsidR="00CE052D" w:rsidRPr="00C13EF7">
        <w:rPr>
          <w:rFonts w:ascii="Times New Roman" w:hAnsi="Times New Roman" w:cs="Times New Roman"/>
          <w:noProof/>
          <w:sz w:val="24"/>
          <w:szCs w:val="24"/>
        </w:rPr>
        <w:t xml:space="preserve"> billion, up from </w:t>
      </w:r>
      <w:r w:rsidR="00CE052D">
        <w:rPr>
          <w:rFonts w:ascii="Times New Roman" w:hAnsi="Times New Roman" w:cs="Times New Roman"/>
          <w:noProof/>
          <w:sz w:val="24"/>
          <w:szCs w:val="24"/>
        </w:rPr>
        <w:t>EUR</w:t>
      </w:r>
      <w:r w:rsidR="00CE052D" w:rsidRPr="00C13EF7" w:rsidDel="0028674C">
        <w:rPr>
          <w:rFonts w:ascii="Times New Roman" w:hAnsi="Times New Roman" w:cs="Times New Roman"/>
          <w:noProof/>
          <w:sz w:val="24"/>
          <w:szCs w:val="24"/>
        </w:rPr>
        <w:t xml:space="preserve"> </w:t>
      </w:r>
      <w:r w:rsidR="00CE052D">
        <w:rPr>
          <w:rFonts w:ascii="Times New Roman" w:hAnsi="Times New Roman" w:cs="Times New Roman"/>
          <w:noProof/>
          <w:sz w:val="24"/>
          <w:szCs w:val="24"/>
        </w:rPr>
        <w:t>282</w:t>
      </w:r>
      <w:r w:rsidR="00CE052D" w:rsidRPr="00C13EF7">
        <w:rPr>
          <w:rFonts w:ascii="Times New Roman" w:hAnsi="Times New Roman" w:cs="Times New Roman"/>
          <w:noProof/>
          <w:sz w:val="24"/>
          <w:szCs w:val="24"/>
        </w:rPr>
        <w:t xml:space="preserve"> </w:t>
      </w:r>
      <w:r w:rsidR="00CE052D" w:rsidRPr="00DE0E87">
        <w:rPr>
          <w:rFonts w:ascii="Times New Roman" w:hAnsi="Times New Roman" w:cs="Times New Roman"/>
          <w:noProof/>
          <w:sz w:val="24"/>
          <w:szCs w:val="24"/>
        </w:rPr>
        <w:t xml:space="preserve">billion in 2021, an increase of </w:t>
      </w:r>
      <w:r w:rsidR="00CE052D">
        <w:rPr>
          <w:rFonts w:ascii="Times New Roman" w:hAnsi="Times New Roman" w:cs="Times New Roman"/>
          <w:noProof/>
          <w:sz w:val="24"/>
          <w:szCs w:val="24"/>
        </w:rPr>
        <w:t>23</w:t>
      </w:r>
      <w:r w:rsidR="00CE052D" w:rsidRPr="00DE0E87">
        <w:rPr>
          <w:rFonts w:ascii="Times New Roman" w:hAnsi="Times New Roman" w:cs="Times New Roman"/>
          <w:noProof/>
          <w:sz w:val="24"/>
          <w:szCs w:val="24"/>
        </w:rPr>
        <w:t>%. The strongest annual growth occurred between 2021 and 2022, reflecting a</w:t>
      </w:r>
      <w:r w:rsidR="00CE052D" w:rsidRPr="00C13EF7">
        <w:rPr>
          <w:rFonts w:ascii="Times New Roman" w:hAnsi="Times New Roman" w:cs="Times New Roman"/>
          <w:noProof/>
          <w:sz w:val="24"/>
          <w:szCs w:val="24"/>
        </w:rPr>
        <w:t xml:space="preserve"> rebound from the </w:t>
      </w:r>
      <w:r w:rsidR="00CE052D">
        <w:rPr>
          <w:rFonts w:ascii="Times New Roman" w:hAnsi="Times New Roman" w:cs="Times New Roman"/>
          <w:noProof/>
          <w:sz w:val="24"/>
          <w:szCs w:val="24"/>
        </w:rPr>
        <w:t xml:space="preserve">impact of </w:t>
      </w:r>
      <w:r w:rsidR="00CE052D" w:rsidRPr="00C13EF7">
        <w:rPr>
          <w:rFonts w:ascii="Times New Roman" w:hAnsi="Times New Roman" w:cs="Times New Roman"/>
          <w:noProof/>
          <w:sz w:val="24"/>
          <w:szCs w:val="24"/>
        </w:rPr>
        <w:t xml:space="preserve">COVID-19. In contrast, EU imports from the United Kingdom followed a more volatile path, rising sharply from </w:t>
      </w:r>
      <w:r w:rsidR="00CE052D">
        <w:rPr>
          <w:rFonts w:ascii="Times New Roman" w:hAnsi="Times New Roman" w:cs="Times New Roman"/>
          <w:noProof/>
          <w:sz w:val="24"/>
          <w:szCs w:val="24"/>
        </w:rPr>
        <w:t>EUR</w:t>
      </w:r>
      <w:r w:rsidR="00CE052D" w:rsidRPr="00C13EF7" w:rsidDel="0028674C">
        <w:rPr>
          <w:rFonts w:ascii="Times New Roman" w:hAnsi="Times New Roman" w:cs="Times New Roman"/>
          <w:noProof/>
          <w:sz w:val="24"/>
          <w:szCs w:val="24"/>
        </w:rPr>
        <w:t xml:space="preserve"> </w:t>
      </w:r>
      <w:r w:rsidR="00CE052D">
        <w:rPr>
          <w:rFonts w:ascii="Times New Roman" w:hAnsi="Times New Roman" w:cs="Times New Roman"/>
          <w:noProof/>
          <w:sz w:val="24"/>
          <w:szCs w:val="24"/>
        </w:rPr>
        <w:t>147</w:t>
      </w:r>
      <w:r w:rsidR="00CE052D" w:rsidRPr="00C13EF7">
        <w:rPr>
          <w:rFonts w:ascii="Times New Roman" w:hAnsi="Times New Roman" w:cs="Times New Roman"/>
          <w:noProof/>
          <w:sz w:val="24"/>
          <w:szCs w:val="24"/>
        </w:rPr>
        <w:t xml:space="preserve"> billion in 2021 to </w:t>
      </w:r>
      <w:r w:rsidR="00CE052D">
        <w:rPr>
          <w:rFonts w:ascii="Times New Roman" w:hAnsi="Times New Roman" w:cs="Times New Roman"/>
          <w:noProof/>
          <w:sz w:val="24"/>
          <w:szCs w:val="24"/>
        </w:rPr>
        <w:t>EUR</w:t>
      </w:r>
      <w:r w:rsidR="00CE052D" w:rsidRPr="00C13EF7" w:rsidDel="0028674C">
        <w:rPr>
          <w:rFonts w:ascii="Times New Roman" w:hAnsi="Times New Roman" w:cs="Times New Roman"/>
          <w:noProof/>
          <w:sz w:val="24"/>
          <w:szCs w:val="24"/>
        </w:rPr>
        <w:t xml:space="preserve"> </w:t>
      </w:r>
      <w:r w:rsidR="00CE052D">
        <w:rPr>
          <w:rFonts w:ascii="Times New Roman" w:hAnsi="Times New Roman" w:cs="Times New Roman"/>
          <w:noProof/>
          <w:sz w:val="24"/>
          <w:szCs w:val="24"/>
        </w:rPr>
        <w:t>216</w:t>
      </w:r>
      <w:r w:rsidR="00CE052D" w:rsidRPr="00C13EF7">
        <w:rPr>
          <w:rFonts w:ascii="Times New Roman" w:hAnsi="Times New Roman" w:cs="Times New Roman"/>
          <w:noProof/>
          <w:sz w:val="24"/>
          <w:szCs w:val="24"/>
        </w:rPr>
        <w:t xml:space="preserve"> billion in 2022, also reflecting post-pandemic adjustment, before declining steadily to </w:t>
      </w:r>
      <w:r w:rsidR="00CE052D">
        <w:rPr>
          <w:rFonts w:ascii="Times New Roman" w:hAnsi="Times New Roman" w:cs="Times New Roman"/>
          <w:noProof/>
          <w:sz w:val="24"/>
          <w:szCs w:val="24"/>
        </w:rPr>
        <w:t>EUR</w:t>
      </w:r>
      <w:r w:rsidR="00CE052D" w:rsidRPr="00C13EF7" w:rsidDel="0028674C">
        <w:rPr>
          <w:rFonts w:ascii="Times New Roman" w:hAnsi="Times New Roman" w:cs="Times New Roman"/>
          <w:noProof/>
          <w:sz w:val="24"/>
          <w:szCs w:val="24"/>
        </w:rPr>
        <w:t xml:space="preserve"> </w:t>
      </w:r>
      <w:r w:rsidR="00CE052D">
        <w:rPr>
          <w:rFonts w:ascii="Times New Roman" w:hAnsi="Times New Roman" w:cs="Times New Roman"/>
          <w:noProof/>
          <w:sz w:val="24"/>
          <w:szCs w:val="24"/>
        </w:rPr>
        <w:t>159</w:t>
      </w:r>
      <w:r w:rsidR="00CE052D" w:rsidRPr="00C13EF7">
        <w:rPr>
          <w:rFonts w:ascii="Times New Roman" w:hAnsi="Times New Roman" w:cs="Times New Roman"/>
          <w:noProof/>
          <w:sz w:val="24"/>
          <w:szCs w:val="24"/>
        </w:rPr>
        <w:t xml:space="preserve"> billion in 2025. This divergence between exports and imports suggests that the EU economy adapted effectively to the new trade conditions with the United Kingdom following its departure from the EU. </w:t>
      </w:r>
    </w:p>
    <w:p w14:paraId="7633CEC8" w14:textId="4B561CF3" w:rsidR="00F44321" w:rsidRPr="008C0FA2" w:rsidRDefault="00B4181E" w:rsidP="00076B08">
      <w:pPr>
        <w:spacing w:before="100" w:beforeAutospacing="1" w:after="100" w:afterAutospacing="1" w:line="240" w:lineRule="auto"/>
        <w:jc w:val="both"/>
        <w:rPr>
          <w:rFonts w:ascii="Times New Roman" w:hAnsi="Times New Roman" w:cs="Times New Roman"/>
          <w:noProof/>
          <w:sz w:val="24"/>
          <w:szCs w:val="24"/>
          <w:highlight w:val="lightGray"/>
        </w:rPr>
      </w:pPr>
      <w:r>
        <w:rPr>
          <w:noProof/>
          <w:lang w:eastAsia="en-GB"/>
        </w:rPr>
        <w:drawing>
          <wp:inline distT="0" distB="0" distL="0" distR="0" wp14:anchorId="41A170B7" wp14:editId="696DFF89">
            <wp:extent cx="5726430" cy="3326130"/>
            <wp:effectExtent l="0" t="0" r="7620" b="7620"/>
            <wp:docPr id="733813258" name="Chart 1">
              <a:extLst xmlns:a="http://schemas.openxmlformats.org/drawingml/2006/main">
                <a:ext uri="{FF2B5EF4-FFF2-40B4-BE49-F238E27FC236}">
                  <a16:creationId xmlns:a16="http://schemas.microsoft.com/office/drawing/2014/main" id="{561C2DC1-12BD-3BF1-487D-AA4C483875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38369C9" w14:textId="1096D3C9" w:rsidR="00F44321" w:rsidRPr="00C13EF7" w:rsidRDefault="00F44321" w:rsidP="00F44321">
      <w:pPr>
        <w:rPr>
          <w:i/>
          <w:iCs/>
          <w:noProof/>
        </w:rPr>
      </w:pPr>
      <w:r w:rsidRPr="00C13EF7">
        <w:rPr>
          <w:i/>
          <w:iCs/>
          <w:noProof/>
        </w:rPr>
        <w:t xml:space="preserve">Figure </w:t>
      </w:r>
      <w:r w:rsidR="0028674C">
        <w:rPr>
          <w:i/>
          <w:iCs/>
          <w:noProof/>
        </w:rPr>
        <w:t>1</w:t>
      </w:r>
      <w:r w:rsidRPr="00C13EF7">
        <w:rPr>
          <w:i/>
          <w:iCs/>
          <w:noProof/>
        </w:rPr>
        <w:t xml:space="preserve">: </w:t>
      </w:r>
      <w:r w:rsidR="00B84BEB" w:rsidRPr="00C13EF7">
        <w:rPr>
          <w:i/>
          <w:iCs/>
          <w:noProof/>
        </w:rPr>
        <w:t xml:space="preserve">EU </w:t>
      </w:r>
      <w:r w:rsidR="006F4898" w:rsidRPr="00C13EF7">
        <w:rPr>
          <w:i/>
          <w:iCs/>
          <w:noProof/>
        </w:rPr>
        <w:t>trade in good</w:t>
      </w:r>
      <w:r w:rsidR="00601CE2" w:rsidRPr="00C13EF7">
        <w:rPr>
          <w:i/>
          <w:iCs/>
          <w:noProof/>
        </w:rPr>
        <w:t>s</w:t>
      </w:r>
      <w:r w:rsidR="006F4898" w:rsidRPr="00C13EF7">
        <w:rPr>
          <w:i/>
          <w:iCs/>
          <w:noProof/>
        </w:rPr>
        <w:t xml:space="preserve"> with the U</w:t>
      </w:r>
      <w:r w:rsidR="00F000E4" w:rsidRPr="00C13EF7">
        <w:rPr>
          <w:i/>
          <w:iCs/>
          <w:noProof/>
        </w:rPr>
        <w:t>nited Kingdom</w:t>
      </w:r>
      <w:r w:rsidR="000F11D5" w:rsidRPr="00C13EF7">
        <w:rPr>
          <w:i/>
          <w:iCs/>
          <w:noProof/>
        </w:rPr>
        <w:t xml:space="preserve">, </w:t>
      </w:r>
      <w:r w:rsidR="00B84BEB" w:rsidRPr="00C13EF7">
        <w:rPr>
          <w:i/>
          <w:iCs/>
          <w:noProof/>
        </w:rPr>
        <w:t>2021-2025,</w:t>
      </w:r>
      <w:r w:rsidR="007A474A">
        <w:rPr>
          <w:i/>
          <w:iCs/>
          <w:noProof/>
        </w:rPr>
        <w:t xml:space="preserve"> in</w:t>
      </w:r>
      <w:r w:rsidR="00B84BEB" w:rsidRPr="00C13EF7">
        <w:rPr>
          <w:i/>
          <w:iCs/>
          <w:noProof/>
        </w:rPr>
        <w:t xml:space="preserve"> </w:t>
      </w:r>
      <w:r w:rsidR="006C338B" w:rsidRPr="00C13EF7">
        <w:rPr>
          <w:i/>
          <w:iCs/>
          <w:noProof/>
        </w:rPr>
        <w:t>EUR billion</w:t>
      </w:r>
      <w:r w:rsidR="00B84BEB" w:rsidRPr="00C13EF7">
        <w:rPr>
          <w:i/>
          <w:iCs/>
          <w:noProof/>
        </w:rPr>
        <w:t>,</w:t>
      </w:r>
      <w:r w:rsidR="006C338B" w:rsidRPr="00C13EF7">
        <w:rPr>
          <w:i/>
          <w:iCs/>
          <w:noProof/>
        </w:rPr>
        <w:t xml:space="preserve"> s</w:t>
      </w:r>
      <w:r w:rsidRPr="00C13EF7">
        <w:rPr>
          <w:i/>
          <w:iCs/>
          <w:noProof/>
        </w:rPr>
        <w:t xml:space="preserve">ource: Eurostat (dataset </w:t>
      </w:r>
      <w:hyperlink r:id="rId16" w:history="1">
        <w:r w:rsidR="00E337D2" w:rsidRPr="004870DC">
          <w:rPr>
            <w:rStyle w:val="Hyperlink"/>
            <w:i/>
            <w:iCs/>
            <w:noProof/>
          </w:rPr>
          <w:t>ext_lt_maineu</w:t>
        </w:r>
      </w:hyperlink>
      <w:r w:rsidRPr="00C13EF7">
        <w:rPr>
          <w:i/>
          <w:iCs/>
          <w:noProof/>
        </w:rPr>
        <w:t>)</w:t>
      </w:r>
    </w:p>
    <w:p w14:paraId="23714695" w14:textId="54500DF8" w:rsidR="006D1404" w:rsidRPr="0086076B" w:rsidRDefault="5A876DED" w:rsidP="00470A6D">
      <w:pPr>
        <w:pStyle w:val="Heading2"/>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32" w:name="_Toc185413384"/>
      <w:bookmarkStart w:id="33" w:name="_Toc204769321"/>
      <w:bookmarkStart w:id="34" w:name="_Toc209798644"/>
      <w:bookmarkStart w:id="35" w:name="_Hlk190384460"/>
      <w:bookmarkEnd w:id="31"/>
      <w:r w:rsidRPr="00C13EF7">
        <w:rPr>
          <w:rFonts w:ascii="Times New Roman" w:hAnsi="Times New Roman" w:cs="Times New Roman"/>
          <w:b/>
          <w:bCs/>
          <w:noProof/>
          <w:color w:val="auto"/>
        </w:rPr>
        <w:t xml:space="preserve">Services and investment, digital trade, public </w:t>
      </w:r>
      <w:r w:rsidR="00A04AAC" w:rsidRPr="00C13EF7">
        <w:rPr>
          <w:rFonts w:ascii="Times New Roman" w:hAnsi="Times New Roman" w:cs="Times New Roman"/>
          <w:b/>
          <w:bCs/>
          <w:noProof/>
          <w:color w:val="auto"/>
        </w:rPr>
        <w:t>procurement,</w:t>
      </w:r>
      <w:r w:rsidRPr="00C13EF7">
        <w:rPr>
          <w:rFonts w:ascii="Times New Roman" w:hAnsi="Times New Roman" w:cs="Times New Roman"/>
          <w:b/>
          <w:bCs/>
          <w:noProof/>
          <w:color w:val="auto"/>
        </w:rPr>
        <w:t xml:space="preserve"> and small</w:t>
      </w:r>
      <w:r w:rsidRPr="0086076B">
        <w:rPr>
          <w:rFonts w:ascii="Times New Roman" w:hAnsi="Times New Roman" w:cs="Times New Roman"/>
          <w:b/>
          <w:bCs/>
          <w:noProof/>
          <w:color w:val="auto"/>
        </w:rPr>
        <w:t xml:space="preserve"> and medium-sized enterprises</w:t>
      </w:r>
      <w:bookmarkEnd w:id="32"/>
      <w:bookmarkEnd w:id="33"/>
      <w:bookmarkEnd w:id="34"/>
    </w:p>
    <w:p w14:paraId="39F08706" w14:textId="77777777" w:rsidR="000D7DA0" w:rsidRDefault="00B8510B" w:rsidP="000D7DA0">
      <w:pPr>
        <w:spacing w:before="100" w:beforeAutospacing="1" w:after="100" w:afterAutospacing="1" w:line="240" w:lineRule="auto"/>
        <w:jc w:val="both"/>
        <w:rPr>
          <w:rFonts w:ascii="Times New Roman" w:eastAsia="Times New Roman" w:hAnsi="Times New Roman" w:cs="Times New Roman"/>
          <w:noProof/>
          <w:sz w:val="24"/>
          <w:szCs w:val="24"/>
        </w:rPr>
      </w:pPr>
      <w:r w:rsidRPr="00B8510B">
        <w:rPr>
          <w:rFonts w:ascii="Times New Roman" w:eastAsia="Times New Roman" w:hAnsi="Times New Roman" w:cs="Times New Roman"/>
          <w:noProof/>
          <w:sz w:val="24"/>
          <w:szCs w:val="24"/>
        </w:rPr>
        <w:t xml:space="preserve">The implementation of the TCA in the areas of services and investment, digital trade, intellectual property, public procurement, and small and medium-sized enterprises </w:t>
      </w:r>
      <w:r w:rsidR="00B23283">
        <w:rPr>
          <w:rFonts w:ascii="Times New Roman" w:eastAsia="Times New Roman" w:hAnsi="Times New Roman" w:cs="Times New Roman"/>
          <w:noProof/>
          <w:sz w:val="24"/>
          <w:szCs w:val="24"/>
        </w:rPr>
        <w:t xml:space="preserve">has </w:t>
      </w:r>
      <w:r w:rsidRPr="00B8510B">
        <w:rPr>
          <w:rFonts w:ascii="Times New Roman" w:eastAsia="Times New Roman" w:hAnsi="Times New Roman" w:cs="Times New Roman"/>
          <w:noProof/>
          <w:sz w:val="24"/>
          <w:szCs w:val="24"/>
        </w:rPr>
        <w:t>generally proceeded smoothly,</w:t>
      </w:r>
      <w:r w:rsidR="006111E0">
        <w:rPr>
          <w:rFonts w:ascii="Times New Roman" w:eastAsia="Times New Roman" w:hAnsi="Times New Roman" w:cs="Times New Roman"/>
          <w:noProof/>
          <w:sz w:val="24"/>
          <w:szCs w:val="24"/>
        </w:rPr>
        <w:t xml:space="preserve"> with the exception of </w:t>
      </w:r>
      <w:r w:rsidR="00D44870">
        <w:rPr>
          <w:rFonts w:ascii="Times New Roman" w:eastAsia="Times New Roman" w:hAnsi="Times New Roman" w:cs="Times New Roman"/>
          <w:noProof/>
          <w:sz w:val="24"/>
          <w:szCs w:val="24"/>
        </w:rPr>
        <w:t xml:space="preserve">persistent </w:t>
      </w:r>
      <w:r w:rsidR="00B23283">
        <w:rPr>
          <w:rFonts w:ascii="Times New Roman" w:eastAsia="Times New Roman" w:hAnsi="Times New Roman" w:cs="Times New Roman"/>
          <w:noProof/>
          <w:sz w:val="24"/>
          <w:szCs w:val="24"/>
        </w:rPr>
        <w:t>problems</w:t>
      </w:r>
      <w:r w:rsidR="00D44870">
        <w:rPr>
          <w:rFonts w:ascii="Times New Roman" w:eastAsia="Times New Roman" w:hAnsi="Times New Roman" w:cs="Times New Roman"/>
          <w:noProof/>
          <w:sz w:val="24"/>
          <w:szCs w:val="24"/>
        </w:rPr>
        <w:t xml:space="preserve"> related to </w:t>
      </w:r>
      <w:r w:rsidRPr="00B8510B">
        <w:rPr>
          <w:rFonts w:ascii="Times New Roman" w:eastAsia="Times New Roman" w:hAnsi="Times New Roman" w:cs="Times New Roman"/>
          <w:noProof/>
          <w:sz w:val="24"/>
          <w:szCs w:val="24"/>
        </w:rPr>
        <w:t xml:space="preserve">the United Kingdom’s </w:t>
      </w:r>
      <w:r w:rsidRPr="00B8510B">
        <w:rPr>
          <w:rFonts w:ascii="Times New Roman" w:eastAsia="Times New Roman" w:hAnsi="Times New Roman" w:cs="Times New Roman"/>
          <w:b/>
          <w:bCs/>
          <w:noProof/>
          <w:sz w:val="24"/>
          <w:szCs w:val="24"/>
        </w:rPr>
        <w:t>sponsorship system for visas</w:t>
      </w:r>
      <w:r w:rsidRPr="00F97D5F">
        <w:rPr>
          <w:rStyle w:val="FootnoteReference"/>
          <w:rFonts w:ascii="Times New Roman" w:eastAsia="Times New Roman" w:hAnsi="Times New Roman" w:cs="Times New Roman"/>
          <w:noProof/>
          <w:sz w:val="24"/>
          <w:szCs w:val="24"/>
        </w:rPr>
        <w:footnoteReference w:id="26"/>
      </w:r>
      <w:r w:rsidRPr="00C954BB">
        <w:rPr>
          <w:rFonts w:ascii="Times New Roman" w:eastAsia="Times New Roman" w:hAnsi="Times New Roman" w:cs="Times New Roman"/>
          <w:noProof/>
          <w:sz w:val="24"/>
          <w:szCs w:val="24"/>
        </w:rPr>
        <w:t xml:space="preserve"> </w:t>
      </w:r>
      <w:r w:rsidR="000D7DA0">
        <w:rPr>
          <w:rFonts w:ascii="Times New Roman" w:eastAsia="Times New Roman" w:hAnsi="Times New Roman" w:cs="Times New Roman"/>
          <w:noProof/>
          <w:sz w:val="24"/>
          <w:szCs w:val="24"/>
        </w:rPr>
        <w:t xml:space="preserve">applied </w:t>
      </w:r>
      <w:r w:rsidR="000D7DA0" w:rsidRPr="00B8510B">
        <w:rPr>
          <w:rFonts w:ascii="Times New Roman" w:eastAsia="Times New Roman" w:hAnsi="Times New Roman" w:cs="Times New Roman"/>
          <w:noProof/>
          <w:sz w:val="24"/>
          <w:szCs w:val="24"/>
        </w:rPr>
        <w:t>to EU service providers</w:t>
      </w:r>
      <w:r w:rsidR="000D7DA0">
        <w:rPr>
          <w:rFonts w:ascii="Times New Roman" w:eastAsia="Times New Roman" w:hAnsi="Times New Roman" w:cs="Times New Roman"/>
          <w:noProof/>
          <w:sz w:val="24"/>
          <w:szCs w:val="24"/>
        </w:rPr>
        <w:t xml:space="preserve"> who are covered by the TCA. </w:t>
      </w:r>
    </w:p>
    <w:bookmarkEnd w:id="35"/>
    <w:p w14:paraId="6665E26B" w14:textId="1AF1FFA9" w:rsidR="000D7DA0" w:rsidRDefault="000D7DA0" w:rsidP="000D7DA0">
      <w:pPr>
        <w:spacing w:before="100" w:beforeAutospacing="1" w:after="100" w:afterAutospacing="1" w:line="240" w:lineRule="auto"/>
        <w:jc w:val="both"/>
        <w:rPr>
          <w:rFonts w:ascii="Times New Roman" w:eastAsia="Times New Roman" w:hAnsi="Times New Roman" w:cs="Times New Roman"/>
          <w:noProof/>
          <w:sz w:val="24"/>
          <w:szCs w:val="24"/>
        </w:rPr>
      </w:pPr>
      <w:r w:rsidRPr="00B8510B">
        <w:rPr>
          <w:rFonts w:ascii="Times New Roman" w:eastAsia="Times New Roman" w:hAnsi="Times New Roman" w:cs="Times New Roman"/>
          <w:noProof/>
          <w:sz w:val="24"/>
          <w:szCs w:val="24"/>
        </w:rPr>
        <w:t>Since 2022, the EU has consistently rais</w:t>
      </w:r>
      <w:r>
        <w:rPr>
          <w:rFonts w:ascii="Times New Roman" w:eastAsia="Times New Roman" w:hAnsi="Times New Roman" w:cs="Times New Roman"/>
          <w:noProof/>
          <w:sz w:val="24"/>
          <w:szCs w:val="24"/>
        </w:rPr>
        <w:t>ed</w:t>
      </w:r>
      <w:r w:rsidRPr="00B8510B">
        <w:rPr>
          <w:rFonts w:ascii="Times New Roman" w:eastAsia="Times New Roman" w:hAnsi="Times New Roman" w:cs="Times New Roman"/>
          <w:noProof/>
          <w:sz w:val="24"/>
          <w:szCs w:val="24"/>
        </w:rPr>
        <w:t xml:space="preserve"> concerns within the TCA joint bodies about the system’s complexity, disproportionate burden, and lack of clarity</w:t>
      </w:r>
      <w:r>
        <w:rPr>
          <w:rStyle w:val="FootnoteReference"/>
          <w:rFonts w:ascii="Times New Roman" w:eastAsia="Times New Roman" w:hAnsi="Times New Roman" w:cs="Times New Roman"/>
          <w:noProof/>
          <w:sz w:val="24"/>
          <w:szCs w:val="24"/>
        </w:rPr>
        <w:footnoteReference w:id="27"/>
      </w:r>
      <w:r w:rsidRPr="009E42DD">
        <w:rPr>
          <w:rFonts w:ascii="Times New Roman" w:eastAsia="Times New Roman" w:hAnsi="Times New Roman" w:cs="Times New Roman"/>
          <w:noProof/>
          <w:sz w:val="24"/>
          <w:szCs w:val="24"/>
        </w:rPr>
        <w:t>.</w:t>
      </w:r>
      <w:r w:rsidRPr="00B8510B">
        <w:rPr>
          <w:rFonts w:ascii="Times New Roman" w:eastAsia="Times New Roman" w:hAnsi="Times New Roman" w:cs="Times New Roman"/>
          <w:noProof/>
          <w:sz w:val="24"/>
          <w:szCs w:val="24"/>
        </w:rPr>
        <w:t xml:space="preserve"> </w:t>
      </w:r>
      <w:r w:rsidRPr="007376F0">
        <w:rPr>
          <w:rFonts w:ascii="Times New Roman" w:eastAsia="Times New Roman" w:hAnsi="Times New Roman" w:cs="Times New Roman"/>
          <w:noProof/>
          <w:sz w:val="24"/>
          <w:szCs w:val="24"/>
        </w:rPr>
        <w:t xml:space="preserve">The sponsorship requirement continues to </w:t>
      </w:r>
      <w:r w:rsidRPr="00DE0E87">
        <w:rPr>
          <w:rFonts w:ascii="Times New Roman" w:eastAsia="Times New Roman" w:hAnsi="Times New Roman" w:cs="Times New Roman"/>
          <w:noProof/>
          <w:sz w:val="24"/>
          <w:szCs w:val="24"/>
        </w:rPr>
        <w:t>hinder the effective implementation of the TCA for EU service suppliers, as reflected by the issuance of only</w:t>
      </w:r>
      <w:r>
        <w:rPr>
          <w:rFonts w:ascii="Times New Roman" w:eastAsia="Times New Roman" w:hAnsi="Times New Roman" w:cs="Times New Roman"/>
          <w:noProof/>
          <w:sz w:val="24"/>
          <w:szCs w:val="24"/>
        </w:rPr>
        <w:t xml:space="preserve"> 49</w:t>
      </w:r>
      <w:r w:rsidRPr="00DE0E87" w:rsidDel="00AE6695">
        <w:rPr>
          <w:rFonts w:ascii="Times New Roman" w:eastAsia="Times New Roman" w:hAnsi="Times New Roman" w:cs="Times New Roman"/>
          <w:noProof/>
          <w:sz w:val="24"/>
          <w:szCs w:val="24"/>
        </w:rPr>
        <w:t xml:space="preserve"> </w:t>
      </w:r>
      <w:r w:rsidRPr="00DE0E87">
        <w:rPr>
          <w:rFonts w:ascii="Times New Roman" w:eastAsia="Times New Roman" w:hAnsi="Times New Roman" w:cs="Times New Roman"/>
          <w:noProof/>
          <w:sz w:val="24"/>
          <w:szCs w:val="24"/>
        </w:rPr>
        <w:t>visas</w:t>
      </w:r>
      <w:r w:rsidRPr="007376F0">
        <w:rPr>
          <w:rFonts w:ascii="Times New Roman" w:eastAsia="Times New Roman" w:hAnsi="Times New Roman" w:cs="Times New Roman"/>
          <w:noProof/>
          <w:sz w:val="24"/>
          <w:szCs w:val="24"/>
        </w:rPr>
        <w:t xml:space="preserve"> in the first nine months of 2025</w:t>
      </w:r>
      <w:r>
        <w:rPr>
          <w:rFonts w:ascii="Times New Roman" w:eastAsia="Times New Roman" w:hAnsi="Times New Roman" w:cs="Times New Roman"/>
          <w:noProof/>
          <w:sz w:val="24"/>
          <w:szCs w:val="24"/>
        </w:rPr>
        <w:t xml:space="preserve"> to EU nationals under the Service Supplier route, which covers EU Independent Professionals and Contractual Service Suppliers</w:t>
      </w:r>
      <w:r w:rsidRPr="007376F0">
        <w:rPr>
          <w:rFonts w:ascii="Times New Roman" w:eastAsia="Times New Roman" w:hAnsi="Times New Roman" w:cs="Times New Roman"/>
          <w:noProof/>
          <w:sz w:val="24"/>
          <w:szCs w:val="24"/>
        </w:rPr>
        <w:t xml:space="preserve">. As a result, EU service providers </w:t>
      </w:r>
      <w:r>
        <w:rPr>
          <w:rFonts w:ascii="Times New Roman" w:eastAsia="Times New Roman" w:hAnsi="Times New Roman" w:cs="Times New Roman"/>
          <w:noProof/>
          <w:sz w:val="24"/>
          <w:szCs w:val="24"/>
        </w:rPr>
        <w:t>continue to</w:t>
      </w:r>
      <w:r w:rsidRPr="007376F0">
        <w:rPr>
          <w:rFonts w:ascii="Times New Roman" w:eastAsia="Times New Roman" w:hAnsi="Times New Roman" w:cs="Times New Roman"/>
          <w:noProof/>
          <w:sz w:val="24"/>
          <w:szCs w:val="24"/>
        </w:rPr>
        <w:t xml:space="preserve"> encounter significant barriers to serving clients in the United Kingdom, while the</w:t>
      </w:r>
      <w:r>
        <w:rPr>
          <w:rFonts w:ascii="Times New Roman" w:eastAsia="Times New Roman" w:hAnsi="Times New Roman" w:cs="Times New Roman"/>
          <w:noProof/>
          <w:sz w:val="24"/>
          <w:szCs w:val="24"/>
        </w:rPr>
        <w:t xml:space="preserve"> government</w:t>
      </w:r>
      <w:r w:rsidRPr="007376F0">
        <w:rPr>
          <w:rFonts w:ascii="Times New Roman" w:eastAsia="Times New Roman" w:hAnsi="Times New Roman" w:cs="Times New Roman"/>
          <w:noProof/>
          <w:sz w:val="24"/>
          <w:szCs w:val="24"/>
        </w:rPr>
        <w:t xml:space="preserve"> remains </w:t>
      </w:r>
      <w:r>
        <w:rPr>
          <w:rFonts w:ascii="Times New Roman" w:eastAsia="Times New Roman" w:hAnsi="Times New Roman" w:cs="Times New Roman"/>
          <w:noProof/>
          <w:sz w:val="24"/>
          <w:szCs w:val="24"/>
        </w:rPr>
        <w:t>reluctant</w:t>
      </w:r>
      <w:r w:rsidRPr="007376F0">
        <w:rPr>
          <w:rFonts w:ascii="Times New Roman" w:eastAsia="Times New Roman" w:hAnsi="Times New Roman" w:cs="Times New Roman"/>
          <w:noProof/>
          <w:sz w:val="24"/>
          <w:szCs w:val="24"/>
        </w:rPr>
        <w:t xml:space="preserve"> to address t</w:t>
      </w:r>
      <w:r>
        <w:rPr>
          <w:rFonts w:ascii="Times New Roman" w:eastAsia="Times New Roman" w:hAnsi="Times New Roman" w:cs="Times New Roman"/>
          <w:noProof/>
          <w:sz w:val="24"/>
          <w:szCs w:val="24"/>
        </w:rPr>
        <w:t>he</w:t>
      </w:r>
      <w:r w:rsidRPr="007376F0">
        <w:rPr>
          <w:rFonts w:ascii="Times New Roman" w:eastAsia="Times New Roman" w:hAnsi="Times New Roman" w:cs="Times New Roman"/>
          <w:noProof/>
          <w:sz w:val="24"/>
          <w:szCs w:val="24"/>
        </w:rPr>
        <w:t xml:space="preserve"> issue.</w:t>
      </w:r>
      <w:r>
        <w:rPr>
          <w:rFonts w:ascii="Times New Roman" w:eastAsia="Times New Roman" w:hAnsi="Times New Roman" w:cs="Times New Roman"/>
          <w:noProof/>
          <w:sz w:val="24"/>
          <w:szCs w:val="24"/>
        </w:rPr>
        <w:t xml:space="preserve"> </w:t>
      </w:r>
      <w:r w:rsidR="00BD2ED4">
        <w:rPr>
          <w:rFonts w:ascii="Times New Roman" w:eastAsia="Times New Roman" w:hAnsi="Times New Roman" w:cs="Times New Roman"/>
          <w:noProof/>
          <w:sz w:val="24"/>
          <w:szCs w:val="24"/>
        </w:rPr>
        <w:t>A</w:t>
      </w:r>
      <w:r w:rsidR="00BD2ED4" w:rsidRPr="00C4758D">
        <w:rPr>
          <w:rFonts w:ascii="Times New Roman" w:eastAsia="Times New Roman" w:hAnsi="Times New Roman" w:cs="Times New Roman"/>
          <w:noProof/>
          <w:sz w:val="24"/>
          <w:szCs w:val="24"/>
        </w:rPr>
        <w:t>s agreed in the Common Understanding</w:t>
      </w:r>
      <w:r w:rsidR="00BD2ED4">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a</w:t>
      </w:r>
      <w:r w:rsidRPr="00C4758D">
        <w:rPr>
          <w:rFonts w:ascii="Times New Roman" w:eastAsia="Times New Roman" w:hAnsi="Times New Roman" w:cs="Times New Roman"/>
          <w:noProof/>
          <w:sz w:val="24"/>
          <w:szCs w:val="24"/>
        </w:rPr>
        <w:t xml:space="preserve"> dialogue on the </w:t>
      </w:r>
      <w:r>
        <w:rPr>
          <w:rFonts w:ascii="Times New Roman" w:eastAsia="Times New Roman" w:hAnsi="Times New Roman" w:cs="Times New Roman"/>
          <w:noProof/>
          <w:sz w:val="24"/>
          <w:szCs w:val="24"/>
        </w:rPr>
        <w:t xml:space="preserve">implementation of the TCA’s commitments on the </w:t>
      </w:r>
      <w:r w:rsidRPr="00C4758D">
        <w:rPr>
          <w:rFonts w:ascii="Times New Roman" w:eastAsia="Times New Roman" w:hAnsi="Times New Roman" w:cs="Times New Roman"/>
          <w:noProof/>
          <w:sz w:val="24"/>
          <w:szCs w:val="24"/>
        </w:rPr>
        <w:t xml:space="preserve">entry and temporary stay of natural persons for business purposes, </w:t>
      </w:r>
      <w:r>
        <w:rPr>
          <w:rFonts w:ascii="Times New Roman" w:eastAsia="Times New Roman" w:hAnsi="Times New Roman" w:cs="Times New Roman"/>
          <w:noProof/>
          <w:sz w:val="24"/>
          <w:szCs w:val="24"/>
        </w:rPr>
        <w:t xml:space="preserve">aims </w:t>
      </w:r>
      <w:r w:rsidRPr="00C4758D">
        <w:rPr>
          <w:rFonts w:ascii="Times New Roman" w:eastAsia="Times New Roman" w:hAnsi="Times New Roman" w:cs="Times New Roman"/>
          <w:noProof/>
          <w:sz w:val="24"/>
          <w:szCs w:val="24"/>
        </w:rPr>
        <w:t xml:space="preserve">to resolve this long-standing issue </w:t>
      </w:r>
      <w:r>
        <w:rPr>
          <w:rFonts w:ascii="Times New Roman" w:eastAsia="Times New Roman" w:hAnsi="Times New Roman" w:cs="Times New Roman"/>
          <w:noProof/>
          <w:sz w:val="24"/>
          <w:szCs w:val="24"/>
        </w:rPr>
        <w:t xml:space="preserve">that </w:t>
      </w:r>
      <w:r w:rsidRPr="00C4758D">
        <w:rPr>
          <w:rFonts w:ascii="Times New Roman" w:eastAsia="Times New Roman" w:hAnsi="Times New Roman" w:cs="Times New Roman"/>
          <w:noProof/>
          <w:sz w:val="24"/>
          <w:szCs w:val="24"/>
        </w:rPr>
        <w:t>hamper</w:t>
      </w:r>
      <w:r>
        <w:rPr>
          <w:rFonts w:ascii="Times New Roman" w:eastAsia="Times New Roman" w:hAnsi="Times New Roman" w:cs="Times New Roman"/>
          <w:noProof/>
          <w:sz w:val="24"/>
          <w:szCs w:val="24"/>
        </w:rPr>
        <w:t>s</w:t>
      </w:r>
      <w:r w:rsidRPr="00C4758D">
        <w:rPr>
          <w:rFonts w:ascii="Times New Roman" w:eastAsia="Times New Roman" w:hAnsi="Times New Roman" w:cs="Times New Roman"/>
          <w:noProof/>
          <w:sz w:val="24"/>
          <w:szCs w:val="24"/>
        </w:rPr>
        <w:t xml:space="preserve"> the full implementation of the TCA.</w:t>
      </w:r>
      <w:r>
        <w:rPr>
          <w:rFonts w:ascii="Times New Roman" w:eastAsia="Times New Roman" w:hAnsi="Times New Roman" w:cs="Times New Roman"/>
          <w:noProof/>
          <w:sz w:val="24"/>
          <w:szCs w:val="24"/>
        </w:rPr>
        <w:t xml:space="preserve"> </w:t>
      </w:r>
    </w:p>
    <w:p w14:paraId="6DAC217F" w14:textId="4FA2B177" w:rsidR="000D7DA0" w:rsidRPr="00F006D0" w:rsidRDefault="000D7DA0" w:rsidP="000D7DA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Another dialogue was</w:t>
      </w:r>
      <w:r w:rsidRPr="50A57368">
        <w:rPr>
          <w:rFonts w:ascii="Times New Roman" w:eastAsia="Times New Roman" w:hAnsi="Times New Roman" w:cs="Times New Roman"/>
          <w:noProof/>
          <w:sz w:val="24"/>
          <w:szCs w:val="24"/>
        </w:rPr>
        <w:t xml:space="preserve"> set up </w:t>
      </w:r>
      <w:r>
        <w:rPr>
          <w:rFonts w:ascii="Times New Roman" w:eastAsia="Times New Roman" w:hAnsi="Times New Roman" w:cs="Times New Roman"/>
          <w:noProof/>
          <w:sz w:val="24"/>
          <w:szCs w:val="24"/>
        </w:rPr>
        <w:t xml:space="preserve">on </w:t>
      </w:r>
      <w:r w:rsidRPr="00C13EF7">
        <w:rPr>
          <w:rFonts w:ascii="Times New Roman" w:eastAsia="Times New Roman" w:hAnsi="Times New Roman" w:cs="Times New Roman"/>
          <w:noProof/>
          <w:sz w:val="24"/>
          <w:szCs w:val="24"/>
        </w:rPr>
        <w:t>the</w:t>
      </w:r>
      <w:r>
        <w:rPr>
          <w:rFonts w:ascii="Times New Roman" w:eastAsia="Times New Roman" w:hAnsi="Times New Roman" w:cs="Times New Roman"/>
          <w:noProof/>
          <w:sz w:val="24"/>
          <w:szCs w:val="24"/>
        </w:rPr>
        <w:t xml:space="preserve"> implementation of the TCA’s commitments on the</w:t>
      </w:r>
      <w:r w:rsidRPr="00C13EF7">
        <w:rPr>
          <w:rFonts w:ascii="Times New Roman" w:eastAsia="Times New Roman" w:hAnsi="Times New Roman" w:cs="Times New Roman"/>
          <w:noProof/>
          <w:sz w:val="24"/>
          <w:szCs w:val="24"/>
        </w:rPr>
        <w:t xml:space="preserve"> </w:t>
      </w:r>
      <w:r w:rsidRPr="00C13EF7">
        <w:rPr>
          <w:rFonts w:ascii="Times New Roman" w:eastAsia="Times New Roman" w:hAnsi="Times New Roman" w:cs="Times New Roman"/>
          <w:b/>
          <w:bCs/>
          <w:noProof/>
          <w:sz w:val="24"/>
          <w:szCs w:val="24"/>
        </w:rPr>
        <w:t>recognition of professional qualifications</w:t>
      </w:r>
      <w:r w:rsidRPr="00C13EF7">
        <w:rPr>
          <w:rFonts w:ascii="Times New Roman" w:eastAsia="Times New Roman" w:hAnsi="Times New Roman" w:cs="Times New Roman"/>
          <w:noProof/>
          <w:sz w:val="24"/>
          <w:szCs w:val="24"/>
        </w:rPr>
        <w:t>, in line with the Common Understanding</w:t>
      </w:r>
      <w:r>
        <w:rPr>
          <w:rFonts w:ascii="Times New Roman" w:eastAsia="Times New Roman" w:hAnsi="Times New Roman" w:cs="Times New Roman"/>
          <w:noProof/>
          <w:sz w:val="24"/>
          <w:szCs w:val="24"/>
        </w:rPr>
        <w:t>.</w:t>
      </w:r>
    </w:p>
    <w:p w14:paraId="0175AA10" w14:textId="1116248D" w:rsidR="00D03CCA" w:rsidRDefault="00D03CCA" w:rsidP="00D03CCA">
      <w:pPr>
        <w:spacing w:before="100" w:beforeAutospacing="1" w:after="100" w:afterAutospacing="1" w:line="240" w:lineRule="auto"/>
        <w:jc w:val="both"/>
        <w:rPr>
          <w:rFonts w:ascii="Times New Roman" w:eastAsia="Times New Roman" w:hAnsi="Times New Roman" w:cs="Times New Roman"/>
          <w:noProof/>
          <w:sz w:val="24"/>
          <w:szCs w:val="24"/>
        </w:rPr>
      </w:pPr>
      <w:r w:rsidRPr="00DB2614">
        <w:rPr>
          <w:rFonts w:ascii="Times New Roman" w:eastAsia="Times New Roman" w:hAnsi="Times New Roman" w:cs="Times New Roman"/>
          <w:noProof/>
          <w:sz w:val="24"/>
          <w:szCs w:val="24"/>
        </w:rPr>
        <w:t xml:space="preserve">In the area of </w:t>
      </w:r>
      <w:r w:rsidRPr="00DB2614">
        <w:rPr>
          <w:rFonts w:ascii="Times New Roman" w:eastAsia="Times New Roman" w:hAnsi="Times New Roman" w:cs="Times New Roman"/>
          <w:b/>
          <w:bCs/>
          <w:noProof/>
          <w:sz w:val="24"/>
          <w:szCs w:val="24"/>
        </w:rPr>
        <w:t>financial services</w:t>
      </w:r>
      <w:r w:rsidRPr="00DB2614">
        <w:rPr>
          <w:rFonts w:ascii="Times New Roman" w:eastAsia="Times New Roman" w:hAnsi="Times New Roman" w:cs="Times New Roman"/>
          <w:noProof/>
          <w:sz w:val="24"/>
          <w:szCs w:val="24"/>
        </w:rPr>
        <w:t>, the EU</w:t>
      </w:r>
      <w:r>
        <w:rPr>
          <w:rFonts w:ascii="Times New Roman" w:eastAsia="Times New Roman" w:hAnsi="Times New Roman" w:cs="Times New Roman"/>
          <w:noProof/>
          <w:sz w:val="24"/>
          <w:szCs w:val="24"/>
        </w:rPr>
        <w:t xml:space="preserve"> - </w:t>
      </w:r>
      <w:r w:rsidRPr="00DB2614">
        <w:rPr>
          <w:rFonts w:ascii="Times New Roman" w:eastAsia="Times New Roman" w:hAnsi="Times New Roman" w:cs="Times New Roman"/>
          <w:noProof/>
          <w:sz w:val="24"/>
          <w:szCs w:val="24"/>
        </w:rPr>
        <w:t>United Kingdom Financial Regulatory Forum</w:t>
      </w:r>
      <w:r>
        <w:rPr>
          <w:rFonts w:ascii="Times New Roman" w:eastAsia="Times New Roman" w:hAnsi="Times New Roman" w:cs="Times New Roman"/>
          <w:noProof/>
          <w:sz w:val="24"/>
          <w:szCs w:val="24"/>
        </w:rPr>
        <w:t>,</w:t>
      </w:r>
      <w:r w:rsidRPr="00DB2614">
        <w:rPr>
          <w:rFonts w:ascii="Times New Roman" w:eastAsia="Times New Roman" w:hAnsi="Times New Roman" w:cs="Times New Roman"/>
          <w:noProof/>
          <w:sz w:val="24"/>
          <w:szCs w:val="24"/>
        </w:rPr>
        <w:t xml:space="preserve"> held in accordance with the Memorandum of Understanding</w:t>
      </w:r>
      <w:r w:rsidRPr="00F97D5F">
        <w:rPr>
          <w:rStyle w:val="FootnoteReference"/>
          <w:rFonts w:ascii="Times New Roman" w:eastAsia="Times New Roman" w:hAnsi="Times New Roman" w:cs="Times New Roman"/>
          <w:noProof/>
          <w:sz w:val="24"/>
          <w:szCs w:val="24"/>
        </w:rPr>
        <w:footnoteReference w:id="28"/>
      </w:r>
      <w:r w:rsidRPr="00DB2614">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of</w:t>
      </w:r>
      <w:r w:rsidRPr="00DB2614">
        <w:rPr>
          <w:rFonts w:ascii="Times New Roman" w:eastAsia="Times New Roman" w:hAnsi="Times New Roman" w:cs="Times New Roman"/>
          <w:noProof/>
          <w:sz w:val="24"/>
          <w:szCs w:val="24"/>
        </w:rPr>
        <w:t xml:space="preserve"> 2023, </w:t>
      </w:r>
      <w:r>
        <w:rPr>
          <w:rFonts w:ascii="Times New Roman" w:eastAsia="Times New Roman" w:hAnsi="Times New Roman" w:cs="Times New Roman"/>
          <w:noProof/>
          <w:sz w:val="24"/>
          <w:szCs w:val="24"/>
        </w:rPr>
        <w:t xml:space="preserve">met twice in 2025: </w:t>
      </w:r>
      <w:r w:rsidRPr="00DB2614">
        <w:rPr>
          <w:rFonts w:ascii="Times New Roman" w:eastAsia="Times New Roman" w:hAnsi="Times New Roman" w:cs="Times New Roman"/>
          <w:noProof/>
          <w:sz w:val="24"/>
          <w:szCs w:val="24"/>
        </w:rPr>
        <w:t>on 12 February in London</w:t>
      </w:r>
      <w:r>
        <w:rPr>
          <w:rFonts w:ascii="Times New Roman" w:eastAsia="Times New Roman" w:hAnsi="Times New Roman" w:cs="Times New Roman"/>
          <w:noProof/>
          <w:sz w:val="24"/>
          <w:szCs w:val="24"/>
        </w:rPr>
        <w:t xml:space="preserve"> and on 1 October in Brussels. </w:t>
      </w:r>
      <w:r w:rsidRPr="00DB2614">
        <w:rPr>
          <w:rFonts w:ascii="Times New Roman" w:eastAsia="Times New Roman" w:hAnsi="Times New Roman" w:cs="Times New Roman"/>
          <w:noProof/>
          <w:sz w:val="24"/>
          <w:szCs w:val="24"/>
        </w:rPr>
        <w:t xml:space="preserve">Discussions </w:t>
      </w:r>
      <w:r>
        <w:rPr>
          <w:rFonts w:ascii="Times New Roman" w:eastAsia="Times New Roman" w:hAnsi="Times New Roman" w:cs="Times New Roman"/>
          <w:noProof/>
          <w:sz w:val="24"/>
          <w:szCs w:val="24"/>
        </w:rPr>
        <w:t>covered</w:t>
      </w:r>
      <w:r w:rsidRPr="00DB2614">
        <w:rPr>
          <w:rFonts w:ascii="Times New Roman" w:eastAsia="Times New Roman" w:hAnsi="Times New Roman" w:cs="Times New Roman"/>
          <w:noProof/>
          <w:sz w:val="24"/>
          <w:szCs w:val="24"/>
        </w:rPr>
        <w:t xml:space="preserve"> a range of topics, including macroeconomic and financial stability outlooks, banking regulation, digital </w:t>
      </w:r>
      <w:r>
        <w:rPr>
          <w:rFonts w:ascii="Times New Roman" w:eastAsia="Times New Roman" w:hAnsi="Times New Roman" w:cs="Times New Roman"/>
          <w:noProof/>
          <w:sz w:val="24"/>
          <w:szCs w:val="24"/>
        </w:rPr>
        <w:t>finance</w:t>
      </w:r>
      <w:r w:rsidRPr="00DB2614">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capital </w:t>
      </w:r>
      <w:r w:rsidRPr="00DB2614">
        <w:rPr>
          <w:rFonts w:ascii="Times New Roman" w:eastAsia="Times New Roman" w:hAnsi="Times New Roman" w:cs="Times New Roman"/>
          <w:noProof/>
          <w:sz w:val="24"/>
          <w:szCs w:val="24"/>
        </w:rPr>
        <w:t xml:space="preserve">market reforms and sustainable finance. Following </w:t>
      </w:r>
      <w:r>
        <w:rPr>
          <w:rFonts w:ascii="Times New Roman" w:eastAsia="Times New Roman" w:hAnsi="Times New Roman" w:cs="Times New Roman"/>
          <w:noProof/>
          <w:sz w:val="24"/>
          <w:szCs w:val="24"/>
        </w:rPr>
        <w:t>both</w:t>
      </w:r>
      <w:r w:rsidRPr="00DB2614">
        <w:rPr>
          <w:rFonts w:ascii="Times New Roman" w:eastAsia="Times New Roman" w:hAnsi="Times New Roman" w:cs="Times New Roman"/>
          <w:noProof/>
          <w:sz w:val="24"/>
          <w:szCs w:val="24"/>
        </w:rPr>
        <w:t xml:space="preserve"> meeting</w:t>
      </w:r>
      <w:r>
        <w:rPr>
          <w:rFonts w:ascii="Times New Roman" w:eastAsia="Times New Roman" w:hAnsi="Times New Roman" w:cs="Times New Roman"/>
          <w:noProof/>
          <w:sz w:val="24"/>
          <w:szCs w:val="24"/>
        </w:rPr>
        <w:t>s</w:t>
      </w:r>
      <w:r w:rsidRPr="00DB2614">
        <w:rPr>
          <w:rFonts w:ascii="Times New Roman" w:eastAsia="Times New Roman" w:hAnsi="Times New Roman" w:cs="Times New Roman"/>
          <w:noProof/>
          <w:sz w:val="24"/>
          <w:szCs w:val="24"/>
        </w:rPr>
        <w:t>, joint statement</w:t>
      </w:r>
      <w:r>
        <w:rPr>
          <w:rFonts w:ascii="Times New Roman" w:eastAsia="Times New Roman" w:hAnsi="Times New Roman" w:cs="Times New Roman"/>
          <w:noProof/>
          <w:sz w:val="24"/>
          <w:szCs w:val="24"/>
        </w:rPr>
        <w:t>s</w:t>
      </w:r>
      <w:r w:rsidRPr="00F97D5F">
        <w:rPr>
          <w:rStyle w:val="FootnoteReference"/>
          <w:rFonts w:ascii="Times New Roman" w:eastAsia="Times New Roman" w:hAnsi="Times New Roman" w:cs="Times New Roman"/>
          <w:noProof/>
          <w:sz w:val="24"/>
          <w:szCs w:val="24"/>
        </w:rPr>
        <w:footnoteReference w:id="29"/>
      </w:r>
      <w:r w:rsidRPr="00DB2614">
        <w:rPr>
          <w:rFonts w:ascii="Times New Roman" w:eastAsia="Times New Roman" w:hAnsi="Times New Roman" w:cs="Times New Roman"/>
          <w:noProof/>
          <w:sz w:val="24"/>
          <w:szCs w:val="24"/>
        </w:rPr>
        <w:t xml:space="preserve"> w</w:t>
      </w:r>
      <w:r>
        <w:rPr>
          <w:rFonts w:ascii="Times New Roman" w:eastAsia="Times New Roman" w:hAnsi="Times New Roman" w:cs="Times New Roman"/>
          <w:noProof/>
          <w:sz w:val="24"/>
          <w:szCs w:val="24"/>
        </w:rPr>
        <w:t>ere</w:t>
      </w:r>
      <w:r w:rsidRPr="00DB2614">
        <w:rPr>
          <w:rFonts w:ascii="Times New Roman" w:eastAsia="Times New Roman" w:hAnsi="Times New Roman" w:cs="Times New Roman"/>
          <w:noProof/>
          <w:sz w:val="24"/>
          <w:szCs w:val="24"/>
        </w:rPr>
        <w:t xml:space="preserve"> issued summarising the outcomes.</w:t>
      </w:r>
    </w:p>
    <w:p w14:paraId="59404A5F" w14:textId="6BC2CD6C" w:rsidR="00E8406E" w:rsidRPr="00E1040D" w:rsidRDefault="00286F43" w:rsidP="00470A6D">
      <w:pPr>
        <w:spacing w:before="100" w:beforeAutospacing="1" w:after="100" w:afterAutospacing="1" w:line="240" w:lineRule="auto"/>
        <w:jc w:val="both"/>
        <w:rPr>
          <w:rFonts w:ascii="Times New Roman" w:eastAsia="Times New Roman" w:hAnsi="Times New Roman" w:cs="Times New Roman"/>
          <w:noProof/>
          <w:sz w:val="24"/>
          <w:szCs w:val="24"/>
        </w:rPr>
      </w:pPr>
      <w:bookmarkStart w:id="36" w:name="_Hlk184225968"/>
      <w:r w:rsidRPr="00286F43">
        <w:rPr>
          <w:rFonts w:ascii="Times New Roman" w:eastAsia="Times New Roman" w:hAnsi="Times New Roman" w:cs="Times New Roman"/>
          <w:noProof/>
          <w:sz w:val="24"/>
          <w:szCs w:val="24"/>
        </w:rPr>
        <w:t xml:space="preserve">An overview of </w:t>
      </w:r>
      <w:r w:rsidRPr="00286F43">
        <w:rPr>
          <w:rFonts w:ascii="Times New Roman" w:eastAsia="Times New Roman" w:hAnsi="Times New Roman" w:cs="Times New Roman"/>
          <w:b/>
          <w:bCs/>
          <w:noProof/>
          <w:sz w:val="24"/>
          <w:szCs w:val="24"/>
        </w:rPr>
        <w:t>trade flows in services</w:t>
      </w:r>
      <w:r w:rsidRPr="00286F43">
        <w:rPr>
          <w:rFonts w:ascii="Times New Roman" w:eastAsia="Times New Roman" w:hAnsi="Times New Roman" w:cs="Times New Roman"/>
          <w:noProof/>
          <w:sz w:val="24"/>
          <w:szCs w:val="24"/>
        </w:rPr>
        <w:t xml:space="preserve"> between the EU and the United Kingdom in 2025 is provided below</w:t>
      </w:r>
      <w:r w:rsidR="00E8406E" w:rsidRPr="00F97D5F">
        <w:rPr>
          <w:rFonts w:ascii="Times New Roman" w:eastAsia="Times New Roman" w:hAnsi="Times New Roman" w:cs="Times New Roman"/>
          <w:noProof/>
          <w:sz w:val="24"/>
          <w:szCs w:val="24"/>
          <w:vertAlign w:val="superscript"/>
        </w:rPr>
        <w:footnoteReference w:id="30"/>
      </w:r>
      <w:r w:rsidR="007E0391" w:rsidRPr="00E1040D">
        <w:rPr>
          <w:rFonts w:ascii="Times New Roman" w:eastAsia="Times New Roman" w:hAnsi="Times New Roman" w:cs="Times New Roman"/>
          <w:noProof/>
          <w:sz w:val="24"/>
          <w:szCs w:val="24"/>
        </w:rPr>
        <w:t>.</w:t>
      </w:r>
    </w:p>
    <w:p w14:paraId="7D44BF00" w14:textId="53FAF043" w:rsidR="00AB5C7B" w:rsidRPr="00C13EF7" w:rsidRDefault="002E2FC3" w:rsidP="00AB5C7B">
      <w:pPr>
        <w:spacing w:before="100" w:beforeAutospacing="1" w:after="100" w:afterAutospacing="1" w:line="240" w:lineRule="auto"/>
        <w:jc w:val="both"/>
        <w:rPr>
          <w:rFonts w:ascii="Times New Roman" w:eastAsia="Times New Roman" w:hAnsi="Times New Roman" w:cs="Times New Roman"/>
          <w:noProof/>
          <w:sz w:val="24"/>
          <w:szCs w:val="24"/>
        </w:rPr>
      </w:pPr>
      <w:bookmarkStart w:id="37" w:name="_Hlk214522268"/>
      <w:bookmarkStart w:id="38" w:name="_Hlk184331826"/>
      <w:r>
        <w:rPr>
          <w:rFonts w:ascii="Times New Roman" w:eastAsia="Times New Roman" w:hAnsi="Times New Roman" w:cs="Times New Roman"/>
          <w:noProof/>
          <w:sz w:val="24"/>
          <w:szCs w:val="24"/>
        </w:rPr>
        <w:t>I</w:t>
      </w:r>
      <w:r w:rsidR="00AB5C7B" w:rsidRPr="00C13EF7">
        <w:rPr>
          <w:rFonts w:ascii="Times New Roman" w:eastAsia="Times New Roman" w:hAnsi="Times New Roman" w:cs="Times New Roman"/>
          <w:noProof/>
          <w:sz w:val="24"/>
          <w:szCs w:val="24"/>
        </w:rPr>
        <w:t xml:space="preserve">n the first </w:t>
      </w:r>
      <w:bookmarkStart w:id="39" w:name="_Hlk222925372"/>
      <w:r w:rsidR="00AB5C7B">
        <w:rPr>
          <w:rFonts w:ascii="Times New Roman" w:eastAsia="Times New Roman" w:hAnsi="Times New Roman" w:cs="Times New Roman"/>
          <w:noProof/>
          <w:sz w:val="24"/>
          <w:szCs w:val="24"/>
        </w:rPr>
        <w:t>three quarters</w:t>
      </w:r>
      <w:r w:rsidR="00AB5C7B" w:rsidRPr="00C13EF7">
        <w:rPr>
          <w:rFonts w:ascii="Times New Roman" w:eastAsia="Times New Roman" w:hAnsi="Times New Roman" w:cs="Times New Roman"/>
          <w:noProof/>
          <w:sz w:val="24"/>
          <w:szCs w:val="24"/>
        </w:rPr>
        <w:t xml:space="preserve"> </w:t>
      </w:r>
      <w:bookmarkEnd w:id="39"/>
      <w:r w:rsidR="00AB5C7B" w:rsidRPr="00C13EF7">
        <w:rPr>
          <w:rFonts w:ascii="Times New Roman" w:eastAsia="Times New Roman" w:hAnsi="Times New Roman" w:cs="Times New Roman"/>
          <w:noProof/>
          <w:sz w:val="24"/>
          <w:szCs w:val="24"/>
        </w:rPr>
        <w:t xml:space="preserve">of 2025, the EU exported services worth EUR </w:t>
      </w:r>
      <w:r w:rsidR="00AB5C7B">
        <w:rPr>
          <w:rFonts w:ascii="Times New Roman" w:eastAsia="Times New Roman" w:hAnsi="Times New Roman" w:cs="Times New Roman"/>
          <w:noProof/>
          <w:sz w:val="24"/>
          <w:szCs w:val="24"/>
        </w:rPr>
        <w:t>230</w:t>
      </w:r>
      <w:r w:rsidR="00AB5C7B" w:rsidRPr="00C13EF7">
        <w:rPr>
          <w:rFonts w:ascii="Times New Roman" w:eastAsia="Times New Roman" w:hAnsi="Times New Roman" w:cs="Times New Roman"/>
          <w:noProof/>
          <w:sz w:val="24"/>
          <w:szCs w:val="24"/>
        </w:rPr>
        <w:t xml:space="preserve"> billion to the United Kingdom, which represents an increase of </w:t>
      </w:r>
      <w:r w:rsidR="00AB5C7B">
        <w:rPr>
          <w:rFonts w:ascii="Times New Roman" w:eastAsia="Times New Roman" w:hAnsi="Times New Roman" w:cs="Times New Roman"/>
          <w:noProof/>
          <w:sz w:val="24"/>
          <w:szCs w:val="24"/>
        </w:rPr>
        <w:t>5</w:t>
      </w:r>
      <w:r w:rsidR="00AB5C7B" w:rsidRPr="00C13EF7">
        <w:rPr>
          <w:rFonts w:ascii="Times New Roman" w:eastAsia="Times New Roman" w:hAnsi="Times New Roman" w:cs="Times New Roman"/>
          <w:noProof/>
          <w:sz w:val="24"/>
          <w:szCs w:val="24"/>
        </w:rPr>
        <w:t>.1% compared to the same period in 2024</w:t>
      </w:r>
      <w:bookmarkEnd w:id="37"/>
      <w:r w:rsidR="00AB5C7B" w:rsidRPr="00C13EF7">
        <w:rPr>
          <w:rFonts w:ascii="Times New Roman" w:eastAsia="Times New Roman" w:hAnsi="Times New Roman" w:cs="Times New Roman"/>
          <w:noProof/>
          <w:sz w:val="24"/>
          <w:szCs w:val="24"/>
        </w:rPr>
        <w:t xml:space="preserve">. </w:t>
      </w:r>
      <w:bookmarkStart w:id="40" w:name="_Hlk214522310"/>
      <w:r w:rsidR="00AB5C7B" w:rsidRPr="00C13EF7">
        <w:rPr>
          <w:rFonts w:ascii="Times New Roman" w:eastAsia="Times New Roman" w:hAnsi="Times New Roman" w:cs="Times New Roman"/>
          <w:noProof/>
          <w:sz w:val="24"/>
          <w:szCs w:val="24"/>
        </w:rPr>
        <w:t xml:space="preserve">The value of imports from the United Kingdom in the first </w:t>
      </w:r>
      <w:r w:rsidR="00AB5C7B">
        <w:rPr>
          <w:rFonts w:ascii="Times New Roman" w:eastAsia="Times New Roman" w:hAnsi="Times New Roman" w:cs="Times New Roman"/>
          <w:noProof/>
          <w:sz w:val="24"/>
          <w:szCs w:val="24"/>
        </w:rPr>
        <w:t>three quarters</w:t>
      </w:r>
      <w:r w:rsidR="00AB5C7B" w:rsidRPr="00C13EF7">
        <w:rPr>
          <w:rFonts w:ascii="Times New Roman" w:eastAsia="Times New Roman" w:hAnsi="Times New Roman" w:cs="Times New Roman"/>
          <w:noProof/>
          <w:sz w:val="24"/>
          <w:szCs w:val="24"/>
        </w:rPr>
        <w:t xml:space="preserve"> of 2025 was EUR 1</w:t>
      </w:r>
      <w:r w:rsidR="00AB5C7B">
        <w:rPr>
          <w:rFonts w:ascii="Times New Roman" w:eastAsia="Times New Roman" w:hAnsi="Times New Roman" w:cs="Times New Roman"/>
          <w:noProof/>
          <w:sz w:val="24"/>
          <w:szCs w:val="24"/>
        </w:rPr>
        <w:t>83</w:t>
      </w:r>
      <w:r w:rsidR="00AB5C7B" w:rsidRPr="00C13EF7">
        <w:rPr>
          <w:rFonts w:ascii="Times New Roman" w:eastAsia="Times New Roman" w:hAnsi="Times New Roman" w:cs="Times New Roman"/>
          <w:noProof/>
          <w:sz w:val="24"/>
          <w:szCs w:val="24"/>
        </w:rPr>
        <w:t xml:space="preserve"> billion, representing a </w:t>
      </w:r>
      <w:r w:rsidR="00AB5C7B">
        <w:rPr>
          <w:rFonts w:ascii="Times New Roman" w:eastAsia="Times New Roman" w:hAnsi="Times New Roman" w:cs="Times New Roman"/>
          <w:noProof/>
          <w:sz w:val="24"/>
          <w:szCs w:val="24"/>
        </w:rPr>
        <w:t>4</w:t>
      </w:r>
      <w:r w:rsidR="00AB5C7B" w:rsidRPr="00C13EF7">
        <w:rPr>
          <w:rFonts w:ascii="Times New Roman" w:eastAsia="Times New Roman" w:hAnsi="Times New Roman" w:cs="Times New Roman"/>
          <w:noProof/>
          <w:sz w:val="24"/>
          <w:szCs w:val="24"/>
        </w:rPr>
        <w:t>% increase compared to the same period in 2024</w:t>
      </w:r>
      <w:bookmarkEnd w:id="40"/>
      <w:r w:rsidR="00AB5C7B" w:rsidRPr="00C13EF7">
        <w:rPr>
          <w:rFonts w:ascii="Times New Roman" w:eastAsia="Times New Roman" w:hAnsi="Times New Roman" w:cs="Times New Roman"/>
          <w:noProof/>
          <w:sz w:val="24"/>
          <w:szCs w:val="24"/>
        </w:rPr>
        <w:t xml:space="preserve">. In the first </w:t>
      </w:r>
      <w:r w:rsidR="00AB5C7B">
        <w:rPr>
          <w:rFonts w:ascii="Times New Roman" w:eastAsia="Times New Roman" w:hAnsi="Times New Roman" w:cs="Times New Roman"/>
          <w:noProof/>
          <w:sz w:val="24"/>
          <w:szCs w:val="24"/>
        </w:rPr>
        <w:t>three quarters</w:t>
      </w:r>
      <w:r w:rsidR="00AB5C7B" w:rsidRPr="00C13EF7">
        <w:rPr>
          <w:rFonts w:ascii="Times New Roman" w:eastAsia="Times New Roman" w:hAnsi="Times New Roman" w:cs="Times New Roman"/>
          <w:noProof/>
          <w:sz w:val="24"/>
          <w:szCs w:val="24"/>
        </w:rPr>
        <w:t xml:space="preserve"> of 2025, the EU ran a services trade surplus with the United Kingdom </w:t>
      </w:r>
      <w:r w:rsidR="00AB5C7B">
        <w:rPr>
          <w:rFonts w:ascii="Times New Roman" w:eastAsia="Times New Roman" w:hAnsi="Times New Roman" w:cs="Times New Roman"/>
          <w:noProof/>
          <w:sz w:val="24"/>
          <w:szCs w:val="24"/>
        </w:rPr>
        <w:t xml:space="preserve">of </w:t>
      </w:r>
      <w:r w:rsidR="00AB5C7B" w:rsidRPr="00C13EF7">
        <w:rPr>
          <w:rFonts w:ascii="Times New Roman" w:eastAsia="Times New Roman" w:hAnsi="Times New Roman" w:cs="Times New Roman"/>
          <w:noProof/>
          <w:sz w:val="24"/>
          <w:szCs w:val="24"/>
        </w:rPr>
        <w:t xml:space="preserve">EUR </w:t>
      </w:r>
      <w:r w:rsidR="00AB5C7B">
        <w:rPr>
          <w:rFonts w:ascii="Times New Roman" w:eastAsia="Times New Roman" w:hAnsi="Times New Roman" w:cs="Times New Roman"/>
          <w:noProof/>
          <w:sz w:val="24"/>
          <w:szCs w:val="24"/>
        </w:rPr>
        <w:t>4</w:t>
      </w:r>
      <w:r w:rsidR="00AB5C7B" w:rsidRPr="00C13EF7">
        <w:rPr>
          <w:rFonts w:ascii="Times New Roman" w:eastAsia="Times New Roman" w:hAnsi="Times New Roman" w:cs="Times New Roman"/>
          <w:noProof/>
          <w:sz w:val="24"/>
          <w:szCs w:val="24"/>
        </w:rPr>
        <w:t>7 billion.</w:t>
      </w:r>
      <w:r w:rsidR="00AB5C7B">
        <w:rPr>
          <w:rFonts w:ascii="Times New Roman" w:eastAsia="Times New Roman" w:hAnsi="Times New Roman" w:cs="Times New Roman"/>
          <w:noProof/>
          <w:sz w:val="24"/>
          <w:szCs w:val="24"/>
        </w:rPr>
        <w:t xml:space="preserve"> </w:t>
      </w:r>
      <w:r w:rsidR="00AB5C7B" w:rsidRPr="00C13EF7">
        <w:rPr>
          <w:rFonts w:ascii="Times New Roman" w:eastAsia="Times New Roman" w:hAnsi="Times New Roman" w:cs="Times New Roman"/>
          <w:noProof/>
          <w:sz w:val="24"/>
          <w:szCs w:val="24"/>
        </w:rPr>
        <w:t xml:space="preserve">The sectors in which EU exports to the United Kingdom recorded the strongest growth in 2025 compared </w:t>
      </w:r>
      <w:r w:rsidR="00AB5C7B">
        <w:rPr>
          <w:rFonts w:ascii="Times New Roman" w:eastAsia="Times New Roman" w:hAnsi="Times New Roman" w:cs="Times New Roman"/>
          <w:noProof/>
          <w:sz w:val="24"/>
          <w:szCs w:val="24"/>
        </w:rPr>
        <w:t>to</w:t>
      </w:r>
      <w:r w:rsidR="00AB5C7B" w:rsidRPr="00C13EF7">
        <w:rPr>
          <w:rFonts w:ascii="Times New Roman" w:eastAsia="Times New Roman" w:hAnsi="Times New Roman" w:cs="Times New Roman"/>
          <w:noProof/>
          <w:sz w:val="24"/>
          <w:szCs w:val="24"/>
        </w:rPr>
        <w:t xml:space="preserve"> 2024 were </w:t>
      </w:r>
      <w:r w:rsidR="00AB5C7B">
        <w:rPr>
          <w:rFonts w:ascii="Times New Roman" w:eastAsia="Times New Roman" w:hAnsi="Times New Roman" w:cs="Times New Roman"/>
          <w:noProof/>
          <w:sz w:val="24"/>
          <w:szCs w:val="24"/>
        </w:rPr>
        <w:t xml:space="preserve">maintenance and repair services (+20.7%) and </w:t>
      </w:r>
      <w:r w:rsidR="00AB5C7B" w:rsidRPr="00C13EF7">
        <w:rPr>
          <w:rFonts w:ascii="Times New Roman" w:eastAsia="Times New Roman" w:hAnsi="Times New Roman" w:cs="Times New Roman"/>
          <w:noProof/>
          <w:sz w:val="24"/>
          <w:szCs w:val="24"/>
        </w:rPr>
        <w:t>charges for the use of intellectual property (+</w:t>
      </w:r>
      <w:r w:rsidR="00AB5C7B">
        <w:rPr>
          <w:rFonts w:ascii="Times New Roman" w:eastAsia="Times New Roman" w:hAnsi="Times New Roman" w:cs="Times New Roman"/>
          <w:noProof/>
          <w:sz w:val="24"/>
          <w:szCs w:val="24"/>
        </w:rPr>
        <w:t>20.3</w:t>
      </w:r>
      <w:r w:rsidR="00AB5C7B" w:rsidRPr="00C13EF7">
        <w:rPr>
          <w:rFonts w:ascii="Times New Roman" w:eastAsia="Times New Roman" w:hAnsi="Times New Roman" w:cs="Times New Roman"/>
          <w:noProof/>
          <w:sz w:val="24"/>
          <w:szCs w:val="24"/>
        </w:rPr>
        <w:t>%). On the import side, the largest increases from the United Kingdom were observed in charges for the use of intellectual property (+</w:t>
      </w:r>
      <w:r w:rsidR="00AB5C7B">
        <w:rPr>
          <w:rFonts w:ascii="Times New Roman" w:eastAsia="Times New Roman" w:hAnsi="Times New Roman" w:cs="Times New Roman"/>
          <w:noProof/>
          <w:sz w:val="24"/>
          <w:szCs w:val="24"/>
        </w:rPr>
        <w:t>15</w:t>
      </w:r>
      <w:r w:rsidR="00AB5C7B" w:rsidRPr="00C13EF7">
        <w:rPr>
          <w:rFonts w:ascii="Times New Roman" w:eastAsia="Times New Roman" w:hAnsi="Times New Roman" w:cs="Times New Roman"/>
          <w:noProof/>
          <w:sz w:val="24"/>
          <w:szCs w:val="24"/>
        </w:rPr>
        <w:t xml:space="preserve">%), </w:t>
      </w:r>
      <w:r w:rsidR="00AB5C7B">
        <w:rPr>
          <w:rFonts w:ascii="Times New Roman" w:eastAsia="Times New Roman" w:hAnsi="Times New Roman" w:cs="Times New Roman"/>
          <w:noProof/>
          <w:sz w:val="24"/>
          <w:szCs w:val="24"/>
        </w:rPr>
        <w:t>followed by travel (+12.2%)</w:t>
      </w:r>
      <w:r w:rsidR="00AB5C7B" w:rsidRPr="00C13EF7">
        <w:rPr>
          <w:rFonts w:ascii="Times New Roman" w:eastAsia="Times New Roman" w:hAnsi="Times New Roman" w:cs="Times New Roman"/>
          <w:noProof/>
          <w:sz w:val="24"/>
          <w:szCs w:val="24"/>
        </w:rPr>
        <w:t>.</w:t>
      </w:r>
    </w:p>
    <w:p w14:paraId="5160684C" w14:textId="4AF966CA" w:rsidR="00AB5C7B" w:rsidRDefault="00AB5C7B" w:rsidP="00AB5C7B">
      <w:pPr>
        <w:spacing w:before="100" w:beforeAutospacing="1" w:after="100" w:afterAutospacing="1" w:line="240" w:lineRule="auto"/>
        <w:jc w:val="both"/>
        <w:rPr>
          <w:rFonts w:ascii="Times New Roman" w:eastAsia="Times New Roman" w:hAnsi="Times New Roman" w:cs="Times New Roman"/>
          <w:noProof/>
          <w:sz w:val="24"/>
          <w:szCs w:val="24"/>
        </w:rPr>
      </w:pPr>
      <w:r w:rsidRPr="00C13EF7">
        <w:rPr>
          <w:rFonts w:ascii="Times New Roman" w:eastAsia="Times New Roman" w:hAnsi="Times New Roman" w:cs="Times New Roman"/>
          <w:noProof/>
          <w:sz w:val="24"/>
          <w:szCs w:val="24"/>
        </w:rPr>
        <w:t xml:space="preserve">In the first </w:t>
      </w:r>
      <w:r>
        <w:rPr>
          <w:rFonts w:ascii="Times New Roman" w:eastAsia="Times New Roman" w:hAnsi="Times New Roman" w:cs="Times New Roman"/>
          <w:noProof/>
          <w:sz w:val="24"/>
          <w:szCs w:val="24"/>
        </w:rPr>
        <w:t>three quarters</w:t>
      </w:r>
      <w:r w:rsidRPr="00C13EF7">
        <w:rPr>
          <w:rFonts w:ascii="Times New Roman" w:eastAsia="Times New Roman" w:hAnsi="Times New Roman" w:cs="Times New Roman"/>
          <w:noProof/>
          <w:sz w:val="24"/>
          <w:szCs w:val="24"/>
        </w:rPr>
        <w:t xml:space="preserve"> of 2025, total trade in services with the United Kingdom accounted for 18.</w:t>
      </w:r>
      <w:r>
        <w:rPr>
          <w:rFonts w:ascii="Times New Roman" w:eastAsia="Times New Roman" w:hAnsi="Times New Roman" w:cs="Times New Roman"/>
          <w:noProof/>
          <w:sz w:val="24"/>
          <w:szCs w:val="24"/>
        </w:rPr>
        <w:t>7</w:t>
      </w:r>
      <w:r w:rsidRPr="00C13EF7">
        <w:rPr>
          <w:rFonts w:ascii="Times New Roman" w:eastAsia="Times New Roman" w:hAnsi="Times New Roman" w:cs="Times New Roman"/>
          <w:noProof/>
          <w:sz w:val="24"/>
          <w:szCs w:val="24"/>
        </w:rPr>
        <w:t xml:space="preserve">% of the EU’s total trade with its international partners, </w:t>
      </w:r>
      <w:r>
        <w:rPr>
          <w:rFonts w:ascii="Times New Roman" w:eastAsia="Times New Roman" w:hAnsi="Times New Roman" w:cs="Times New Roman"/>
          <w:noProof/>
          <w:sz w:val="24"/>
          <w:szCs w:val="24"/>
        </w:rPr>
        <w:t>down</w:t>
      </w:r>
      <w:r w:rsidRPr="00C13EF7">
        <w:rPr>
          <w:rFonts w:ascii="Times New Roman" w:eastAsia="Times New Roman" w:hAnsi="Times New Roman" w:cs="Times New Roman"/>
          <w:noProof/>
          <w:sz w:val="24"/>
          <w:szCs w:val="24"/>
        </w:rPr>
        <w:t xml:space="preserve"> from 18.</w:t>
      </w:r>
      <w:r>
        <w:rPr>
          <w:rFonts w:ascii="Times New Roman" w:eastAsia="Times New Roman" w:hAnsi="Times New Roman" w:cs="Times New Roman"/>
          <w:noProof/>
          <w:sz w:val="24"/>
          <w:szCs w:val="24"/>
        </w:rPr>
        <w:t>6</w:t>
      </w:r>
      <w:r w:rsidRPr="00C13EF7">
        <w:rPr>
          <w:rFonts w:ascii="Times New Roman" w:eastAsia="Times New Roman" w:hAnsi="Times New Roman" w:cs="Times New Roman"/>
          <w:noProof/>
          <w:sz w:val="24"/>
          <w:szCs w:val="24"/>
        </w:rPr>
        <w:t>% in the same period of 2024. The United Kingdom was the destination of 19.</w:t>
      </w:r>
      <w:r>
        <w:rPr>
          <w:rFonts w:ascii="Times New Roman" w:eastAsia="Times New Roman" w:hAnsi="Times New Roman" w:cs="Times New Roman"/>
          <w:noProof/>
          <w:sz w:val="24"/>
          <w:szCs w:val="24"/>
        </w:rPr>
        <w:t>8</w:t>
      </w:r>
      <w:r w:rsidRPr="00C13EF7">
        <w:rPr>
          <w:rFonts w:ascii="Times New Roman" w:eastAsia="Times New Roman" w:hAnsi="Times New Roman" w:cs="Times New Roman"/>
          <w:noProof/>
          <w:sz w:val="24"/>
          <w:szCs w:val="24"/>
        </w:rPr>
        <w:t xml:space="preserve">% of EU services exports in the first </w:t>
      </w:r>
      <w:r>
        <w:rPr>
          <w:rFonts w:ascii="Times New Roman" w:eastAsia="Times New Roman" w:hAnsi="Times New Roman" w:cs="Times New Roman"/>
          <w:noProof/>
          <w:sz w:val="24"/>
          <w:szCs w:val="24"/>
        </w:rPr>
        <w:t>three quarters</w:t>
      </w:r>
      <w:r w:rsidRPr="00C13EF7">
        <w:rPr>
          <w:rFonts w:ascii="Times New Roman" w:eastAsia="Times New Roman" w:hAnsi="Times New Roman" w:cs="Times New Roman"/>
          <w:noProof/>
          <w:sz w:val="24"/>
          <w:szCs w:val="24"/>
        </w:rPr>
        <w:t xml:space="preserve"> of 2025 (compared to 1</w:t>
      </w:r>
      <w:r>
        <w:rPr>
          <w:rFonts w:ascii="Times New Roman" w:eastAsia="Times New Roman" w:hAnsi="Times New Roman" w:cs="Times New Roman"/>
          <w:noProof/>
          <w:sz w:val="24"/>
          <w:szCs w:val="24"/>
        </w:rPr>
        <w:t>9.1</w:t>
      </w:r>
      <w:r w:rsidRPr="00C13EF7">
        <w:rPr>
          <w:rFonts w:ascii="Times New Roman" w:eastAsia="Times New Roman" w:hAnsi="Times New Roman" w:cs="Times New Roman"/>
          <w:noProof/>
          <w:sz w:val="24"/>
          <w:szCs w:val="24"/>
        </w:rPr>
        <w:t>% in the same period of 2024), second to the United States (21.</w:t>
      </w:r>
      <w:r>
        <w:rPr>
          <w:rFonts w:ascii="Times New Roman" w:eastAsia="Times New Roman" w:hAnsi="Times New Roman" w:cs="Times New Roman"/>
          <w:noProof/>
          <w:sz w:val="24"/>
          <w:szCs w:val="24"/>
        </w:rPr>
        <w:t>5</w:t>
      </w:r>
      <w:r w:rsidRPr="00C13EF7">
        <w:rPr>
          <w:rFonts w:ascii="Times New Roman" w:eastAsia="Times New Roman" w:hAnsi="Times New Roman" w:cs="Times New Roman"/>
          <w:noProof/>
          <w:sz w:val="24"/>
          <w:szCs w:val="24"/>
        </w:rPr>
        <w:t>%). The United Kingdom was the origin of 17.</w:t>
      </w:r>
      <w:r>
        <w:rPr>
          <w:rFonts w:ascii="Times New Roman" w:eastAsia="Times New Roman" w:hAnsi="Times New Roman" w:cs="Times New Roman"/>
          <w:noProof/>
          <w:sz w:val="24"/>
          <w:szCs w:val="24"/>
        </w:rPr>
        <w:t>5</w:t>
      </w:r>
      <w:r w:rsidRPr="00C13EF7">
        <w:rPr>
          <w:rFonts w:ascii="Times New Roman" w:eastAsia="Times New Roman" w:hAnsi="Times New Roman" w:cs="Times New Roman"/>
          <w:noProof/>
          <w:sz w:val="24"/>
          <w:szCs w:val="24"/>
        </w:rPr>
        <w:t xml:space="preserve">% of the EU’s imports in the first </w:t>
      </w:r>
      <w:r>
        <w:rPr>
          <w:rFonts w:ascii="Times New Roman" w:eastAsia="Times New Roman" w:hAnsi="Times New Roman" w:cs="Times New Roman"/>
          <w:noProof/>
          <w:sz w:val="24"/>
          <w:szCs w:val="24"/>
        </w:rPr>
        <w:t>three quarters</w:t>
      </w:r>
      <w:r w:rsidRPr="00C13EF7">
        <w:rPr>
          <w:rFonts w:ascii="Times New Roman" w:eastAsia="Times New Roman" w:hAnsi="Times New Roman" w:cs="Times New Roman"/>
          <w:noProof/>
          <w:sz w:val="24"/>
          <w:szCs w:val="24"/>
        </w:rPr>
        <w:t xml:space="preserve"> of 2025 (compared to 1</w:t>
      </w:r>
      <w:r>
        <w:rPr>
          <w:rFonts w:ascii="Times New Roman" w:eastAsia="Times New Roman" w:hAnsi="Times New Roman" w:cs="Times New Roman"/>
          <w:noProof/>
          <w:sz w:val="24"/>
          <w:szCs w:val="24"/>
        </w:rPr>
        <w:t>7.9</w:t>
      </w:r>
      <w:r w:rsidRPr="00C13EF7">
        <w:rPr>
          <w:rFonts w:ascii="Times New Roman" w:eastAsia="Times New Roman" w:hAnsi="Times New Roman" w:cs="Times New Roman"/>
          <w:noProof/>
          <w:sz w:val="24"/>
          <w:szCs w:val="24"/>
        </w:rPr>
        <w:t>% in the same period of 2024), second to the United States (3</w:t>
      </w:r>
      <w:r>
        <w:rPr>
          <w:rFonts w:ascii="Times New Roman" w:eastAsia="Times New Roman" w:hAnsi="Times New Roman" w:cs="Times New Roman"/>
          <w:noProof/>
          <w:sz w:val="24"/>
          <w:szCs w:val="24"/>
        </w:rPr>
        <w:t>6.5</w:t>
      </w:r>
      <w:r w:rsidRPr="00C13EF7">
        <w:rPr>
          <w:rFonts w:ascii="Times New Roman" w:eastAsia="Times New Roman" w:hAnsi="Times New Roman" w:cs="Times New Roman"/>
          <w:noProof/>
          <w:sz w:val="24"/>
          <w:szCs w:val="24"/>
        </w:rPr>
        <w:t>%).</w:t>
      </w:r>
    </w:p>
    <w:p w14:paraId="7A8E0AD7" w14:textId="52282BDF" w:rsidR="00AB5C7B" w:rsidRDefault="00AB5C7B" w:rsidP="00AB5C7B">
      <w:pPr>
        <w:spacing w:before="100" w:beforeAutospacing="1" w:after="100" w:afterAutospacing="1" w:line="240" w:lineRule="auto"/>
        <w:jc w:val="both"/>
        <w:rPr>
          <w:rFonts w:ascii="Times New Roman" w:hAnsi="Times New Roman" w:cs="Times New Roman"/>
          <w:noProof/>
          <w:sz w:val="24"/>
          <w:szCs w:val="24"/>
        </w:rPr>
      </w:pPr>
      <w:bookmarkStart w:id="41" w:name="_Hlk214522424"/>
      <w:r w:rsidRPr="00C13EF7">
        <w:rPr>
          <w:rFonts w:ascii="Times New Roman" w:hAnsi="Times New Roman" w:cs="Times New Roman"/>
          <w:noProof/>
          <w:sz w:val="24"/>
          <w:szCs w:val="24"/>
        </w:rPr>
        <w:t>When looking at how trade in services has</w:t>
      </w:r>
      <w:r>
        <w:rPr>
          <w:rFonts w:ascii="Times New Roman" w:hAnsi="Times New Roman" w:cs="Times New Roman"/>
          <w:noProof/>
          <w:sz w:val="24"/>
          <w:szCs w:val="24"/>
        </w:rPr>
        <w:t xml:space="preserve"> developed since </w:t>
      </w:r>
      <w:r w:rsidRPr="00C13EF7">
        <w:rPr>
          <w:rFonts w:ascii="Times New Roman" w:hAnsi="Times New Roman" w:cs="Times New Roman"/>
          <w:noProof/>
          <w:sz w:val="24"/>
          <w:szCs w:val="24"/>
        </w:rPr>
        <w:t xml:space="preserve">the TCA began to apply in 2021, EU exports of services to the United Kingdom have shown steady growth, rising from </w:t>
      </w:r>
      <w:r>
        <w:rPr>
          <w:rFonts w:ascii="Times New Roman" w:hAnsi="Times New Roman" w:cs="Times New Roman"/>
          <w:noProof/>
          <w:sz w:val="24"/>
          <w:szCs w:val="24"/>
        </w:rPr>
        <w:t>EUR 150</w:t>
      </w:r>
      <w:r w:rsidRPr="00C13EF7">
        <w:rPr>
          <w:rFonts w:ascii="Times New Roman" w:hAnsi="Times New Roman" w:cs="Times New Roman"/>
          <w:noProof/>
          <w:sz w:val="24"/>
          <w:szCs w:val="24"/>
        </w:rPr>
        <w:t xml:space="preserve"> billion in the first </w:t>
      </w:r>
      <w:r>
        <w:rPr>
          <w:rFonts w:ascii="Times New Roman" w:hAnsi="Times New Roman" w:cs="Times New Roman"/>
          <w:noProof/>
          <w:sz w:val="24"/>
          <w:szCs w:val="24"/>
        </w:rPr>
        <w:t>three quarters</w:t>
      </w:r>
      <w:r w:rsidRPr="00C13EF7">
        <w:rPr>
          <w:rFonts w:ascii="Times New Roman" w:hAnsi="Times New Roman" w:cs="Times New Roman"/>
          <w:noProof/>
          <w:sz w:val="24"/>
          <w:szCs w:val="24"/>
        </w:rPr>
        <w:t xml:space="preserve"> of 2021 to </w:t>
      </w:r>
      <w:r>
        <w:rPr>
          <w:rFonts w:ascii="Times New Roman" w:hAnsi="Times New Roman" w:cs="Times New Roman"/>
          <w:noProof/>
          <w:sz w:val="24"/>
          <w:szCs w:val="24"/>
        </w:rPr>
        <w:t>EUR</w:t>
      </w:r>
      <w:r w:rsidRPr="00C13EF7" w:rsidDel="009A4823">
        <w:rPr>
          <w:rFonts w:ascii="Times New Roman" w:hAnsi="Times New Roman" w:cs="Times New Roman"/>
          <w:noProof/>
          <w:sz w:val="24"/>
          <w:szCs w:val="24"/>
        </w:rPr>
        <w:t xml:space="preserve"> </w:t>
      </w:r>
      <w:r>
        <w:rPr>
          <w:rFonts w:ascii="Times New Roman" w:hAnsi="Times New Roman" w:cs="Times New Roman"/>
          <w:noProof/>
          <w:sz w:val="24"/>
          <w:szCs w:val="24"/>
        </w:rPr>
        <w:t>230</w:t>
      </w:r>
      <w:r w:rsidRPr="00C13EF7">
        <w:rPr>
          <w:rFonts w:ascii="Times New Roman" w:hAnsi="Times New Roman" w:cs="Times New Roman"/>
          <w:noProof/>
          <w:sz w:val="24"/>
          <w:szCs w:val="24"/>
        </w:rPr>
        <w:t xml:space="preserve"> billion in the first </w:t>
      </w:r>
      <w:r>
        <w:rPr>
          <w:rFonts w:ascii="Times New Roman" w:hAnsi="Times New Roman" w:cs="Times New Roman"/>
          <w:noProof/>
          <w:sz w:val="24"/>
          <w:szCs w:val="24"/>
        </w:rPr>
        <w:t>three quarters</w:t>
      </w:r>
      <w:r w:rsidRPr="00C13EF7">
        <w:rPr>
          <w:rFonts w:ascii="Times New Roman" w:hAnsi="Times New Roman" w:cs="Times New Roman"/>
          <w:noProof/>
          <w:sz w:val="24"/>
          <w:szCs w:val="24"/>
        </w:rPr>
        <w:t xml:space="preserve"> of 2025, an increase of over 5</w:t>
      </w:r>
      <w:r>
        <w:rPr>
          <w:rFonts w:ascii="Times New Roman" w:hAnsi="Times New Roman" w:cs="Times New Roman"/>
          <w:noProof/>
          <w:sz w:val="24"/>
          <w:szCs w:val="24"/>
        </w:rPr>
        <w:t>3</w:t>
      </w:r>
      <w:r w:rsidRPr="00C13EF7">
        <w:rPr>
          <w:rFonts w:ascii="Times New Roman" w:hAnsi="Times New Roman" w:cs="Times New Roman"/>
          <w:noProof/>
          <w:sz w:val="24"/>
          <w:szCs w:val="24"/>
        </w:rPr>
        <w:t xml:space="preserve">%. EU imports of services from the United Kingdom also increased steadily, from </w:t>
      </w:r>
      <w:r>
        <w:rPr>
          <w:rFonts w:ascii="Times New Roman" w:hAnsi="Times New Roman" w:cs="Times New Roman"/>
          <w:noProof/>
          <w:sz w:val="24"/>
          <w:szCs w:val="24"/>
        </w:rPr>
        <w:t>EUR</w:t>
      </w:r>
      <w:r w:rsidRPr="00C13EF7" w:rsidDel="009A4823">
        <w:rPr>
          <w:rFonts w:ascii="Times New Roman" w:hAnsi="Times New Roman" w:cs="Times New Roman"/>
          <w:noProof/>
          <w:sz w:val="24"/>
          <w:szCs w:val="24"/>
        </w:rPr>
        <w:t xml:space="preserve"> </w:t>
      </w:r>
      <w:r>
        <w:rPr>
          <w:rFonts w:ascii="Times New Roman" w:hAnsi="Times New Roman" w:cs="Times New Roman"/>
          <w:noProof/>
          <w:sz w:val="24"/>
          <w:szCs w:val="24"/>
        </w:rPr>
        <w:t>125</w:t>
      </w:r>
      <w:r w:rsidRPr="00C13EF7">
        <w:rPr>
          <w:rFonts w:ascii="Times New Roman" w:hAnsi="Times New Roman" w:cs="Times New Roman"/>
          <w:noProof/>
          <w:sz w:val="24"/>
          <w:szCs w:val="24"/>
        </w:rPr>
        <w:t xml:space="preserve"> billion in 2021 to </w:t>
      </w:r>
      <w:r>
        <w:rPr>
          <w:rFonts w:ascii="Times New Roman" w:hAnsi="Times New Roman" w:cs="Times New Roman"/>
          <w:noProof/>
          <w:sz w:val="24"/>
          <w:szCs w:val="24"/>
        </w:rPr>
        <w:t>EUR</w:t>
      </w:r>
      <w:r w:rsidRPr="00C13EF7" w:rsidDel="009A4823">
        <w:rPr>
          <w:rFonts w:ascii="Times New Roman" w:hAnsi="Times New Roman" w:cs="Times New Roman"/>
          <w:noProof/>
          <w:sz w:val="24"/>
          <w:szCs w:val="24"/>
        </w:rPr>
        <w:t xml:space="preserve"> </w:t>
      </w:r>
      <w:r>
        <w:rPr>
          <w:rFonts w:ascii="Times New Roman" w:hAnsi="Times New Roman" w:cs="Times New Roman"/>
          <w:noProof/>
          <w:sz w:val="24"/>
          <w:szCs w:val="24"/>
        </w:rPr>
        <w:t>183</w:t>
      </w:r>
      <w:r w:rsidRPr="00C13EF7">
        <w:rPr>
          <w:rFonts w:ascii="Times New Roman" w:hAnsi="Times New Roman" w:cs="Times New Roman"/>
          <w:noProof/>
          <w:sz w:val="24"/>
          <w:szCs w:val="24"/>
        </w:rPr>
        <w:t xml:space="preserve"> billion in 2025 (+47%). </w:t>
      </w:r>
      <w:bookmarkEnd w:id="41"/>
      <w:r w:rsidRPr="00C13EF7">
        <w:rPr>
          <w:rFonts w:ascii="Times New Roman" w:hAnsi="Times New Roman" w:cs="Times New Roman"/>
          <w:noProof/>
          <w:sz w:val="24"/>
          <w:szCs w:val="24"/>
        </w:rPr>
        <w:t xml:space="preserve">The strongest growth occurred between 2021 and 2022, </w:t>
      </w:r>
      <w:bookmarkStart w:id="42" w:name="_Hlk214523018"/>
      <w:r w:rsidRPr="00C13EF7">
        <w:rPr>
          <w:rFonts w:ascii="Times New Roman" w:hAnsi="Times New Roman" w:cs="Times New Roman"/>
          <w:noProof/>
          <w:sz w:val="24"/>
          <w:szCs w:val="24"/>
        </w:rPr>
        <w:t xml:space="preserve">reflecting a rebound from the </w:t>
      </w:r>
      <w:bookmarkEnd w:id="42"/>
      <w:r>
        <w:rPr>
          <w:rFonts w:ascii="Times New Roman" w:hAnsi="Times New Roman" w:cs="Times New Roman"/>
          <w:noProof/>
          <w:sz w:val="24"/>
          <w:szCs w:val="24"/>
        </w:rPr>
        <w:t xml:space="preserve">impact of </w:t>
      </w:r>
      <w:r w:rsidRPr="00C13EF7">
        <w:rPr>
          <w:rFonts w:ascii="Times New Roman" w:hAnsi="Times New Roman" w:cs="Times New Roman"/>
          <w:noProof/>
          <w:sz w:val="24"/>
          <w:szCs w:val="24"/>
        </w:rPr>
        <w:t>COVID-19 on travel, tourism, and other service sectors. Overall, these trends indicate that trade in services with the United Kingdom has been expanding steadily for both exports and imports.</w:t>
      </w:r>
      <w:r>
        <w:rPr>
          <w:rFonts w:ascii="Times New Roman" w:hAnsi="Times New Roman" w:cs="Times New Roman"/>
          <w:noProof/>
          <w:sz w:val="24"/>
          <w:szCs w:val="24"/>
        </w:rPr>
        <w:t xml:space="preserve"> </w:t>
      </w:r>
    </w:p>
    <w:p w14:paraId="5D4552F4" w14:textId="126A98EE" w:rsidR="00B84BEB" w:rsidRPr="00B84BEB" w:rsidRDefault="006A1CD1" w:rsidP="00B84BEB">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1E799EEE" wp14:editId="4E003CF7">
            <wp:extent cx="5731510" cy="3421882"/>
            <wp:effectExtent l="0" t="0" r="0" b="0"/>
            <wp:docPr id="1466463438" name="Picture 1" descr="A graph of the number of companies in the export mar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63438" name="Picture 1" descr="A graph of the number of companies in the export marke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421882"/>
                    </a:xfrm>
                    <a:prstGeom prst="rect">
                      <a:avLst/>
                    </a:prstGeom>
                    <a:noFill/>
                  </pic:spPr>
                </pic:pic>
              </a:graphicData>
            </a:graphic>
          </wp:inline>
        </w:drawing>
      </w:r>
    </w:p>
    <w:p w14:paraId="478C3A79" w14:textId="4369C53E" w:rsidR="00B84BEB" w:rsidRPr="00D455C1" w:rsidRDefault="00B84BEB" w:rsidP="00B84BEB">
      <w:pPr>
        <w:rPr>
          <w:i/>
          <w:iCs/>
          <w:noProof/>
        </w:rPr>
      </w:pPr>
      <w:r w:rsidRPr="00D455C1">
        <w:rPr>
          <w:i/>
          <w:iCs/>
          <w:noProof/>
        </w:rPr>
        <w:t xml:space="preserve">Figure </w:t>
      </w:r>
      <w:r w:rsidR="008765A7">
        <w:rPr>
          <w:i/>
          <w:iCs/>
          <w:noProof/>
        </w:rPr>
        <w:t>2</w:t>
      </w:r>
      <w:r w:rsidRPr="00D455C1">
        <w:rPr>
          <w:i/>
          <w:iCs/>
          <w:noProof/>
        </w:rPr>
        <w:t xml:space="preserve">: EU </w:t>
      </w:r>
      <w:r w:rsidR="00601CE2" w:rsidRPr="00D455C1">
        <w:rPr>
          <w:i/>
          <w:iCs/>
          <w:noProof/>
        </w:rPr>
        <w:t>trade in</w:t>
      </w:r>
      <w:r w:rsidRPr="00D455C1">
        <w:rPr>
          <w:i/>
          <w:iCs/>
          <w:noProof/>
        </w:rPr>
        <w:t xml:space="preserve"> services </w:t>
      </w:r>
      <w:r w:rsidR="00601CE2" w:rsidRPr="00D455C1">
        <w:rPr>
          <w:i/>
          <w:iCs/>
          <w:noProof/>
        </w:rPr>
        <w:t>with the U</w:t>
      </w:r>
      <w:r w:rsidR="00C27000" w:rsidRPr="00D455C1">
        <w:rPr>
          <w:i/>
          <w:iCs/>
          <w:noProof/>
        </w:rPr>
        <w:t>nited Kingdom</w:t>
      </w:r>
      <w:r w:rsidRPr="00D455C1">
        <w:rPr>
          <w:i/>
          <w:iCs/>
          <w:noProof/>
        </w:rPr>
        <w:t xml:space="preserve">, </w:t>
      </w:r>
      <w:r w:rsidR="006A1CD1" w:rsidRPr="006A1CD1">
        <w:rPr>
          <w:i/>
          <w:iCs/>
          <w:noProof/>
        </w:rPr>
        <w:t>first three quarters of</w:t>
      </w:r>
      <w:r w:rsidRPr="00D455C1">
        <w:rPr>
          <w:i/>
          <w:iCs/>
          <w:noProof/>
        </w:rPr>
        <w:t xml:space="preserve"> 2021-2025, </w:t>
      </w:r>
      <w:r w:rsidR="006C338B" w:rsidRPr="00D455C1">
        <w:rPr>
          <w:i/>
          <w:iCs/>
          <w:noProof/>
        </w:rPr>
        <w:t>EUR billion</w:t>
      </w:r>
      <w:r w:rsidRPr="00D455C1">
        <w:rPr>
          <w:i/>
          <w:iCs/>
          <w:noProof/>
        </w:rPr>
        <w:t xml:space="preserve">, </w:t>
      </w:r>
      <w:r w:rsidR="006C338B" w:rsidRPr="00D455C1">
        <w:rPr>
          <w:i/>
          <w:iCs/>
          <w:noProof/>
        </w:rPr>
        <w:t>s</w:t>
      </w:r>
      <w:r w:rsidRPr="00D455C1">
        <w:rPr>
          <w:i/>
          <w:iCs/>
          <w:noProof/>
        </w:rPr>
        <w:t xml:space="preserve">ource: Eurostat (dataset </w:t>
      </w:r>
      <w:hyperlink r:id="rId18" w:history="1">
        <w:r w:rsidR="0022419E" w:rsidRPr="0093138B">
          <w:rPr>
            <w:rStyle w:val="Hyperlink"/>
            <w:noProof/>
          </w:rPr>
          <w:t>bop_eu6_q</w:t>
        </w:r>
      </w:hyperlink>
      <w:r w:rsidRPr="00D455C1">
        <w:rPr>
          <w:i/>
          <w:iCs/>
          <w:noProof/>
        </w:rPr>
        <w:t>)</w:t>
      </w:r>
    </w:p>
    <w:p w14:paraId="5BEF67C5" w14:textId="7CCF3DCC" w:rsidR="00C229A5" w:rsidRPr="0067486A" w:rsidRDefault="00C229A5"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43" w:name="_Toc204769322"/>
      <w:bookmarkStart w:id="44" w:name="_Toc209798645"/>
      <w:bookmarkStart w:id="45" w:name="_Toc185413385"/>
      <w:bookmarkEnd w:id="36"/>
      <w:bookmarkEnd w:id="38"/>
      <w:r w:rsidRPr="0067486A">
        <w:rPr>
          <w:rFonts w:ascii="Times New Roman" w:hAnsi="Times New Roman" w:cs="Times New Roman"/>
          <w:b/>
          <w:bCs/>
          <w:noProof/>
          <w:color w:val="auto"/>
        </w:rPr>
        <w:t xml:space="preserve">Intellectual </w:t>
      </w:r>
      <w:r w:rsidR="008D4044" w:rsidRPr="0067486A">
        <w:rPr>
          <w:rFonts w:ascii="Times New Roman" w:hAnsi="Times New Roman" w:cs="Times New Roman"/>
          <w:b/>
          <w:bCs/>
          <w:noProof/>
          <w:color w:val="auto"/>
        </w:rPr>
        <w:t>p</w:t>
      </w:r>
      <w:r w:rsidRPr="0067486A">
        <w:rPr>
          <w:rFonts w:ascii="Times New Roman" w:hAnsi="Times New Roman" w:cs="Times New Roman"/>
          <w:b/>
          <w:bCs/>
          <w:noProof/>
          <w:color w:val="auto"/>
        </w:rPr>
        <w:t xml:space="preserve">roperty </w:t>
      </w:r>
      <w:r w:rsidR="008D4044" w:rsidRPr="0067486A">
        <w:rPr>
          <w:rFonts w:ascii="Times New Roman" w:hAnsi="Times New Roman" w:cs="Times New Roman"/>
          <w:b/>
          <w:bCs/>
          <w:noProof/>
          <w:color w:val="auto"/>
        </w:rPr>
        <w:t>r</w:t>
      </w:r>
      <w:r w:rsidRPr="0067486A">
        <w:rPr>
          <w:rFonts w:ascii="Times New Roman" w:hAnsi="Times New Roman" w:cs="Times New Roman"/>
          <w:b/>
          <w:bCs/>
          <w:noProof/>
          <w:color w:val="auto"/>
        </w:rPr>
        <w:t>ights</w:t>
      </w:r>
      <w:bookmarkEnd w:id="43"/>
      <w:bookmarkEnd w:id="44"/>
    </w:p>
    <w:p w14:paraId="4CB80B80" w14:textId="7790B84A" w:rsidR="002530EB" w:rsidRPr="00F006D0" w:rsidRDefault="0071342F" w:rsidP="6A5D11F7">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w:t>
      </w:r>
      <w:r w:rsidR="0067486A" w:rsidRPr="6A5D11F7">
        <w:rPr>
          <w:rFonts w:ascii="Times New Roman" w:eastAsia="Times New Roman" w:hAnsi="Times New Roman" w:cs="Times New Roman"/>
          <w:noProof/>
          <w:sz w:val="24"/>
          <w:szCs w:val="24"/>
        </w:rPr>
        <w:t xml:space="preserve">he EU Intellectual Property Office and the United Kingdom’s Intellectual Property Office </w:t>
      </w:r>
      <w:r>
        <w:rPr>
          <w:rFonts w:ascii="Times New Roman" w:eastAsia="Times New Roman" w:hAnsi="Times New Roman" w:cs="Times New Roman"/>
          <w:noProof/>
          <w:sz w:val="24"/>
          <w:szCs w:val="24"/>
        </w:rPr>
        <w:t xml:space="preserve">continued their discussions </w:t>
      </w:r>
      <w:r w:rsidR="0067486A" w:rsidRPr="6A5D11F7">
        <w:rPr>
          <w:rFonts w:ascii="Times New Roman" w:eastAsia="Times New Roman" w:hAnsi="Times New Roman" w:cs="Times New Roman"/>
          <w:noProof/>
          <w:sz w:val="24"/>
          <w:szCs w:val="24"/>
        </w:rPr>
        <w:t>on a memorandum of understanding to improve administrative cooperation</w:t>
      </w:r>
      <w:r>
        <w:rPr>
          <w:rFonts w:ascii="Times New Roman" w:eastAsia="Times New Roman" w:hAnsi="Times New Roman" w:cs="Times New Roman"/>
          <w:noProof/>
          <w:sz w:val="24"/>
          <w:szCs w:val="24"/>
        </w:rPr>
        <w:t xml:space="preserve"> in the area of intellectual property</w:t>
      </w:r>
      <w:r w:rsidR="0067486A" w:rsidRPr="6A5D11F7">
        <w:rPr>
          <w:rFonts w:ascii="Times New Roman" w:eastAsia="Times New Roman" w:hAnsi="Times New Roman" w:cs="Times New Roman"/>
          <w:noProof/>
          <w:sz w:val="24"/>
          <w:szCs w:val="24"/>
        </w:rPr>
        <w:t xml:space="preserve">, as </w:t>
      </w:r>
      <w:r w:rsidR="6C2049FD" w:rsidRPr="6A5D11F7">
        <w:rPr>
          <w:rFonts w:ascii="Times New Roman" w:eastAsia="Times New Roman" w:hAnsi="Times New Roman" w:cs="Times New Roman"/>
          <w:noProof/>
          <w:sz w:val="24"/>
          <w:szCs w:val="24"/>
        </w:rPr>
        <w:t>referred to</w:t>
      </w:r>
      <w:r w:rsidR="0067486A" w:rsidRPr="6A5D11F7">
        <w:rPr>
          <w:rFonts w:ascii="Times New Roman" w:eastAsia="Times New Roman" w:hAnsi="Times New Roman" w:cs="Times New Roman"/>
          <w:noProof/>
          <w:sz w:val="24"/>
          <w:szCs w:val="24"/>
        </w:rPr>
        <w:t xml:space="preserve"> in Article 273(2)(g) of the TCA</w:t>
      </w:r>
      <w:r w:rsidR="00206650">
        <w:rPr>
          <w:rFonts w:ascii="Times New Roman" w:eastAsia="Times New Roman" w:hAnsi="Times New Roman" w:cs="Times New Roman"/>
          <w:noProof/>
          <w:sz w:val="24"/>
          <w:szCs w:val="24"/>
        </w:rPr>
        <w:t>.</w:t>
      </w:r>
    </w:p>
    <w:p w14:paraId="21E2CF68" w14:textId="3C000EE4" w:rsidR="00DF5454" w:rsidRPr="0086076B" w:rsidRDefault="00DF5454"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46" w:name="_Toc204769323"/>
      <w:bookmarkStart w:id="47" w:name="_Toc209798646"/>
      <w:r w:rsidRPr="0086076B">
        <w:rPr>
          <w:rFonts w:ascii="Times New Roman" w:hAnsi="Times New Roman" w:cs="Times New Roman"/>
          <w:b/>
          <w:bCs/>
          <w:noProof/>
          <w:color w:val="auto"/>
        </w:rPr>
        <w:t xml:space="preserve">Level </w:t>
      </w:r>
      <w:r w:rsidR="00BC0D56" w:rsidRPr="0086076B">
        <w:rPr>
          <w:rFonts w:ascii="Times New Roman" w:hAnsi="Times New Roman" w:cs="Times New Roman"/>
          <w:b/>
          <w:bCs/>
          <w:noProof/>
          <w:color w:val="auto"/>
        </w:rPr>
        <w:t xml:space="preserve">playing </w:t>
      </w:r>
      <w:bookmarkEnd w:id="45"/>
      <w:r w:rsidR="00BC0D56" w:rsidRPr="0086076B">
        <w:rPr>
          <w:rFonts w:ascii="Times New Roman" w:hAnsi="Times New Roman" w:cs="Times New Roman"/>
          <w:b/>
          <w:bCs/>
          <w:noProof/>
          <w:color w:val="auto"/>
        </w:rPr>
        <w:t>field</w:t>
      </w:r>
      <w:bookmarkEnd w:id="46"/>
      <w:bookmarkEnd w:id="47"/>
    </w:p>
    <w:p w14:paraId="394EB410" w14:textId="18559878" w:rsidR="0071342F" w:rsidRDefault="00D455C1" w:rsidP="00C104C4">
      <w:pPr>
        <w:spacing w:before="100" w:beforeAutospacing="1" w:after="100" w:afterAutospacing="1" w:line="240" w:lineRule="auto"/>
        <w:jc w:val="both"/>
        <w:rPr>
          <w:rFonts w:ascii="Times New Roman" w:hAnsi="Times New Roman" w:cs="Times New Roman"/>
          <w:noProof/>
          <w:sz w:val="24"/>
          <w:szCs w:val="24"/>
        </w:rPr>
      </w:pPr>
      <w:r w:rsidRPr="00C104C4">
        <w:rPr>
          <w:rFonts w:ascii="Times New Roman" w:hAnsi="Times New Roman" w:cs="Times New Roman"/>
          <w:noProof/>
          <w:sz w:val="24"/>
          <w:szCs w:val="24"/>
        </w:rPr>
        <w:t>As noted in the Common Understanding, the first supplementary agreement under Article</w:t>
      </w:r>
      <w:r w:rsidR="0071342F">
        <w:rPr>
          <w:rFonts w:ascii="Times New Roman" w:hAnsi="Times New Roman" w:cs="Times New Roman"/>
          <w:noProof/>
          <w:sz w:val="24"/>
          <w:szCs w:val="24"/>
        </w:rPr>
        <w:t> </w:t>
      </w:r>
      <w:r w:rsidRPr="00C104C4">
        <w:rPr>
          <w:rFonts w:ascii="Times New Roman" w:hAnsi="Times New Roman" w:cs="Times New Roman"/>
          <w:noProof/>
          <w:sz w:val="24"/>
          <w:szCs w:val="24"/>
        </w:rPr>
        <w:t xml:space="preserve">361(4) of the </w:t>
      </w:r>
      <w:r w:rsidRPr="008937E9">
        <w:rPr>
          <w:rFonts w:ascii="Times New Roman" w:hAnsi="Times New Roman" w:cs="Times New Roman"/>
          <w:noProof/>
          <w:sz w:val="24"/>
          <w:szCs w:val="24"/>
        </w:rPr>
        <w:t xml:space="preserve">TCA </w:t>
      </w:r>
      <w:r w:rsidR="00D17AE0" w:rsidRPr="008937E9">
        <w:rPr>
          <w:rFonts w:ascii="Times New Roman" w:hAnsi="Times New Roman" w:cs="Times New Roman"/>
          <w:noProof/>
          <w:sz w:val="24"/>
          <w:szCs w:val="24"/>
        </w:rPr>
        <w:t>was</w:t>
      </w:r>
      <w:r w:rsidRPr="008937E9">
        <w:rPr>
          <w:rFonts w:ascii="Times New Roman" w:hAnsi="Times New Roman" w:cs="Times New Roman"/>
          <w:noProof/>
          <w:sz w:val="24"/>
          <w:szCs w:val="24"/>
        </w:rPr>
        <w:t xml:space="preserve"> agreed </w:t>
      </w:r>
      <w:r w:rsidR="00D17AE0" w:rsidRPr="008937E9">
        <w:rPr>
          <w:rFonts w:ascii="Times New Roman" w:hAnsi="Times New Roman" w:cs="Times New Roman"/>
          <w:noProof/>
          <w:sz w:val="24"/>
          <w:szCs w:val="24"/>
        </w:rPr>
        <w:t xml:space="preserve">in 2025 </w:t>
      </w:r>
      <w:r w:rsidRPr="008937E9">
        <w:rPr>
          <w:rFonts w:ascii="Times New Roman" w:hAnsi="Times New Roman" w:cs="Times New Roman"/>
          <w:noProof/>
          <w:sz w:val="24"/>
          <w:szCs w:val="24"/>
        </w:rPr>
        <w:t xml:space="preserve">and </w:t>
      </w:r>
      <w:r w:rsidR="00B06BD4">
        <w:rPr>
          <w:rFonts w:ascii="Times New Roman" w:hAnsi="Times New Roman" w:cs="Times New Roman"/>
          <w:noProof/>
          <w:sz w:val="24"/>
          <w:szCs w:val="24"/>
        </w:rPr>
        <w:t xml:space="preserve">signed </w:t>
      </w:r>
      <w:r w:rsidR="00C97CB3">
        <w:rPr>
          <w:rFonts w:ascii="Times New Roman" w:hAnsi="Times New Roman" w:cs="Times New Roman"/>
          <w:noProof/>
          <w:sz w:val="24"/>
          <w:szCs w:val="24"/>
        </w:rPr>
        <w:t>on 25</w:t>
      </w:r>
      <w:r w:rsidR="00B06BD4">
        <w:rPr>
          <w:rFonts w:ascii="Times New Roman" w:hAnsi="Times New Roman" w:cs="Times New Roman"/>
          <w:noProof/>
          <w:sz w:val="24"/>
          <w:szCs w:val="24"/>
        </w:rPr>
        <w:t xml:space="preserve"> February</w:t>
      </w:r>
      <w:r w:rsidR="008937E9" w:rsidRPr="008937E9">
        <w:rPr>
          <w:rFonts w:ascii="Times New Roman" w:hAnsi="Times New Roman" w:cs="Times New Roman"/>
          <w:noProof/>
          <w:sz w:val="24"/>
          <w:szCs w:val="24"/>
        </w:rPr>
        <w:t xml:space="preserve"> </w:t>
      </w:r>
      <w:r w:rsidR="00D17AE0" w:rsidRPr="008937E9">
        <w:rPr>
          <w:rFonts w:ascii="Times New Roman" w:hAnsi="Times New Roman" w:cs="Times New Roman"/>
          <w:noProof/>
          <w:sz w:val="24"/>
          <w:szCs w:val="24"/>
        </w:rPr>
        <w:t>2026</w:t>
      </w:r>
      <w:r w:rsidR="008937E9">
        <w:rPr>
          <w:rStyle w:val="FootnoteReference"/>
          <w:rFonts w:ascii="Times New Roman" w:hAnsi="Times New Roman" w:cs="Times New Roman"/>
          <w:noProof/>
          <w:sz w:val="24"/>
          <w:szCs w:val="24"/>
        </w:rPr>
        <w:footnoteReference w:id="31"/>
      </w:r>
      <w:r w:rsidRPr="008937E9">
        <w:rPr>
          <w:rFonts w:ascii="Times New Roman" w:hAnsi="Times New Roman" w:cs="Times New Roman"/>
          <w:noProof/>
          <w:sz w:val="24"/>
          <w:szCs w:val="24"/>
        </w:rPr>
        <w:t>. T</w:t>
      </w:r>
      <w:r w:rsidR="00E86DA7" w:rsidRPr="008937E9">
        <w:rPr>
          <w:rFonts w:ascii="Times New Roman" w:hAnsi="Times New Roman" w:cs="Times New Roman"/>
          <w:noProof/>
          <w:sz w:val="24"/>
          <w:szCs w:val="24"/>
        </w:rPr>
        <w:t xml:space="preserve">he </w:t>
      </w:r>
      <w:bookmarkStart w:id="48" w:name="_Hlk215156914"/>
      <w:r w:rsidR="00E86DA7" w:rsidRPr="008937E9">
        <w:rPr>
          <w:rFonts w:ascii="Times New Roman" w:hAnsi="Times New Roman" w:cs="Times New Roman"/>
          <w:noProof/>
          <w:sz w:val="24"/>
          <w:szCs w:val="24"/>
        </w:rPr>
        <w:t>Competition Cooperation Agreement</w:t>
      </w:r>
      <w:bookmarkEnd w:id="48"/>
      <w:r w:rsidR="0071342F" w:rsidRPr="008937E9">
        <w:rPr>
          <w:rFonts w:ascii="Times New Roman" w:hAnsi="Times New Roman" w:cs="Times New Roman"/>
          <w:noProof/>
          <w:sz w:val="24"/>
          <w:szCs w:val="24"/>
        </w:rPr>
        <w:t>:</w:t>
      </w:r>
    </w:p>
    <w:p w14:paraId="4CAEE030" w14:textId="06A371B6" w:rsidR="0071342F" w:rsidRPr="00DD4985" w:rsidRDefault="00E86DA7"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sidRPr="00DD4985">
        <w:rPr>
          <w:rFonts w:ascii="Times New Roman" w:hAnsi="Times New Roman" w:cs="Times New Roman"/>
          <w:noProof/>
          <w:sz w:val="24"/>
          <w:szCs w:val="24"/>
        </w:rPr>
        <w:t>put</w:t>
      </w:r>
      <w:r w:rsidR="008E6C03">
        <w:rPr>
          <w:rFonts w:ascii="Times New Roman" w:hAnsi="Times New Roman" w:cs="Times New Roman"/>
          <w:noProof/>
          <w:sz w:val="24"/>
          <w:szCs w:val="24"/>
        </w:rPr>
        <w:t>s</w:t>
      </w:r>
      <w:r w:rsidRPr="00DD4985">
        <w:rPr>
          <w:rFonts w:ascii="Times New Roman" w:hAnsi="Times New Roman" w:cs="Times New Roman"/>
          <w:noProof/>
          <w:sz w:val="24"/>
          <w:szCs w:val="24"/>
        </w:rPr>
        <w:t xml:space="preserve"> in place a framework for cooperation on competition matters between, on the one </w:t>
      </w:r>
      <w:r w:rsidR="00995FC7" w:rsidRPr="00DD4985">
        <w:rPr>
          <w:rFonts w:ascii="Times New Roman" w:hAnsi="Times New Roman" w:cs="Times New Roman"/>
          <w:noProof/>
          <w:sz w:val="24"/>
          <w:szCs w:val="24"/>
        </w:rPr>
        <w:t>hand</w:t>
      </w:r>
      <w:r w:rsidRPr="00DD4985">
        <w:rPr>
          <w:rFonts w:ascii="Times New Roman" w:hAnsi="Times New Roman" w:cs="Times New Roman"/>
          <w:noProof/>
          <w:sz w:val="24"/>
          <w:szCs w:val="24"/>
        </w:rPr>
        <w:t>, the Commission and EU Member States' competition authorities and, on the other, the United Kingdom’s Competition and Markets Authority</w:t>
      </w:r>
      <w:r w:rsidR="0071342F" w:rsidRPr="00DD4985">
        <w:rPr>
          <w:rFonts w:ascii="Times New Roman" w:hAnsi="Times New Roman" w:cs="Times New Roman"/>
          <w:noProof/>
          <w:sz w:val="24"/>
          <w:szCs w:val="24"/>
        </w:rPr>
        <w:t>;</w:t>
      </w:r>
    </w:p>
    <w:p w14:paraId="77FE1980" w14:textId="55A71A29" w:rsidR="0071342F" w:rsidRPr="00DD4985" w:rsidRDefault="002D1213"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sidRPr="00DD4985">
        <w:rPr>
          <w:rFonts w:ascii="Times New Roman" w:hAnsi="Times New Roman" w:cs="Times New Roman"/>
          <w:noProof/>
          <w:sz w:val="24"/>
          <w:szCs w:val="24"/>
        </w:rPr>
        <w:t>provide</w:t>
      </w:r>
      <w:r w:rsidR="008E6C03">
        <w:rPr>
          <w:rFonts w:ascii="Times New Roman" w:hAnsi="Times New Roman" w:cs="Times New Roman"/>
          <w:noProof/>
          <w:sz w:val="24"/>
          <w:szCs w:val="24"/>
        </w:rPr>
        <w:t>s</w:t>
      </w:r>
      <w:r w:rsidR="00903CE3" w:rsidRPr="00DD4985">
        <w:rPr>
          <w:rFonts w:ascii="Times New Roman" w:hAnsi="Times New Roman" w:cs="Times New Roman"/>
          <w:noProof/>
          <w:sz w:val="24"/>
          <w:szCs w:val="24"/>
        </w:rPr>
        <w:t xml:space="preserve"> that important antitrust and merger investigations </w:t>
      </w:r>
      <w:r w:rsidR="00F75CA0" w:rsidRPr="00DD4985">
        <w:rPr>
          <w:rFonts w:ascii="Times New Roman" w:hAnsi="Times New Roman" w:cs="Times New Roman"/>
          <w:noProof/>
          <w:sz w:val="24"/>
          <w:szCs w:val="24"/>
        </w:rPr>
        <w:t>should be</w:t>
      </w:r>
      <w:r w:rsidR="00903CE3" w:rsidRPr="00DD4985">
        <w:rPr>
          <w:rFonts w:ascii="Times New Roman" w:hAnsi="Times New Roman" w:cs="Times New Roman"/>
          <w:noProof/>
          <w:sz w:val="24"/>
          <w:szCs w:val="24"/>
        </w:rPr>
        <w:t xml:space="preserve"> brought to each </w:t>
      </w:r>
      <w:r w:rsidR="00392AF2" w:rsidRPr="00DD4985">
        <w:rPr>
          <w:rFonts w:ascii="Times New Roman" w:hAnsi="Times New Roman" w:cs="Times New Roman"/>
          <w:noProof/>
          <w:sz w:val="24"/>
          <w:szCs w:val="24"/>
        </w:rPr>
        <w:t>party’s</w:t>
      </w:r>
      <w:r w:rsidR="00903CE3" w:rsidRPr="00DD4985">
        <w:rPr>
          <w:rFonts w:ascii="Times New Roman" w:hAnsi="Times New Roman" w:cs="Times New Roman"/>
          <w:noProof/>
          <w:sz w:val="24"/>
          <w:szCs w:val="24"/>
        </w:rPr>
        <w:t xml:space="preserve"> attention</w:t>
      </w:r>
      <w:r w:rsidR="0071342F" w:rsidRPr="00DD4985">
        <w:rPr>
          <w:rFonts w:ascii="Times New Roman" w:hAnsi="Times New Roman" w:cs="Times New Roman"/>
          <w:noProof/>
          <w:sz w:val="24"/>
          <w:szCs w:val="24"/>
        </w:rPr>
        <w:t>;</w:t>
      </w:r>
      <w:r w:rsidR="00903CE3" w:rsidRPr="00DD4985">
        <w:rPr>
          <w:rFonts w:ascii="Times New Roman" w:hAnsi="Times New Roman" w:cs="Times New Roman"/>
          <w:noProof/>
          <w:sz w:val="24"/>
          <w:szCs w:val="24"/>
        </w:rPr>
        <w:t xml:space="preserve"> </w:t>
      </w:r>
    </w:p>
    <w:p w14:paraId="2BA4C5F7" w14:textId="126EC8D7" w:rsidR="0071342F" w:rsidRPr="00DD4985" w:rsidRDefault="00903CE3"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sidRPr="00DD4985">
        <w:rPr>
          <w:rFonts w:ascii="Times New Roman" w:hAnsi="Times New Roman" w:cs="Times New Roman"/>
          <w:noProof/>
          <w:sz w:val="24"/>
          <w:szCs w:val="24"/>
        </w:rPr>
        <w:t>allow</w:t>
      </w:r>
      <w:r w:rsidR="008E6C03">
        <w:rPr>
          <w:rFonts w:ascii="Times New Roman" w:hAnsi="Times New Roman" w:cs="Times New Roman"/>
          <w:noProof/>
          <w:sz w:val="24"/>
          <w:szCs w:val="24"/>
        </w:rPr>
        <w:t>s</w:t>
      </w:r>
      <w:r w:rsidRPr="00DD4985">
        <w:rPr>
          <w:rFonts w:ascii="Times New Roman" w:hAnsi="Times New Roman" w:cs="Times New Roman"/>
          <w:noProof/>
          <w:sz w:val="24"/>
          <w:szCs w:val="24"/>
        </w:rPr>
        <w:t xml:space="preserve"> the coordination of investigations between the jurisdictions involved when necessary </w:t>
      </w:r>
      <w:r w:rsidR="0053598F">
        <w:rPr>
          <w:rFonts w:ascii="Times New Roman" w:hAnsi="Times New Roman" w:cs="Times New Roman"/>
          <w:noProof/>
          <w:sz w:val="24"/>
          <w:szCs w:val="24"/>
        </w:rPr>
        <w:t>(</w:t>
      </w:r>
      <w:r w:rsidRPr="00DD4985">
        <w:rPr>
          <w:rFonts w:ascii="Times New Roman" w:hAnsi="Times New Roman" w:cs="Times New Roman"/>
          <w:noProof/>
          <w:sz w:val="24"/>
          <w:szCs w:val="24"/>
        </w:rPr>
        <w:t>which on the EU side may involve the Commission or Member State</w:t>
      </w:r>
      <w:r w:rsidR="008E6C03">
        <w:rPr>
          <w:rFonts w:ascii="Times New Roman" w:hAnsi="Times New Roman" w:cs="Times New Roman"/>
          <w:noProof/>
          <w:sz w:val="24"/>
          <w:szCs w:val="24"/>
        </w:rPr>
        <w:t>s’</w:t>
      </w:r>
      <w:r w:rsidRPr="00DD4985">
        <w:rPr>
          <w:rFonts w:ascii="Times New Roman" w:hAnsi="Times New Roman" w:cs="Times New Roman"/>
          <w:noProof/>
          <w:sz w:val="24"/>
          <w:szCs w:val="24"/>
        </w:rPr>
        <w:t xml:space="preserve"> competition authorities</w:t>
      </w:r>
      <w:r w:rsidR="003C1CD9" w:rsidRPr="00DD4985">
        <w:rPr>
          <w:rFonts w:ascii="Times New Roman" w:hAnsi="Times New Roman" w:cs="Times New Roman"/>
          <w:noProof/>
          <w:sz w:val="24"/>
          <w:szCs w:val="24"/>
        </w:rPr>
        <w:t>,</w:t>
      </w:r>
      <w:r w:rsidRPr="00DD4985">
        <w:rPr>
          <w:rFonts w:ascii="Times New Roman" w:hAnsi="Times New Roman" w:cs="Times New Roman"/>
          <w:noProof/>
          <w:sz w:val="24"/>
          <w:szCs w:val="24"/>
        </w:rPr>
        <w:t xml:space="preserve"> depending on the case</w:t>
      </w:r>
      <w:r w:rsidR="0053598F">
        <w:rPr>
          <w:rFonts w:ascii="Times New Roman" w:hAnsi="Times New Roman" w:cs="Times New Roman"/>
          <w:noProof/>
          <w:sz w:val="24"/>
          <w:szCs w:val="24"/>
        </w:rPr>
        <w:t>)</w:t>
      </w:r>
      <w:r w:rsidR="0071342F" w:rsidRPr="00DD4985">
        <w:rPr>
          <w:rFonts w:ascii="Times New Roman" w:hAnsi="Times New Roman" w:cs="Times New Roman"/>
          <w:noProof/>
          <w:sz w:val="24"/>
          <w:szCs w:val="24"/>
        </w:rPr>
        <w:t>;</w:t>
      </w:r>
    </w:p>
    <w:p w14:paraId="2CAD454A" w14:textId="3F1B8C9D" w:rsidR="0080197F" w:rsidRPr="00DD4985" w:rsidRDefault="00903CE3"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sidRPr="00DD4985">
        <w:rPr>
          <w:rFonts w:ascii="Times New Roman" w:hAnsi="Times New Roman" w:cs="Times New Roman"/>
          <w:noProof/>
          <w:sz w:val="24"/>
          <w:szCs w:val="24"/>
        </w:rPr>
        <w:t>set</w:t>
      </w:r>
      <w:r w:rsidR="008E6C03">
        <w:rPr>
          <w:rFonts w:ascii="Times New Roman" w:hAnsi="Times New Roman" w:cs="Times New Roman"/>
          <w:noProof/>
          <w:sz w:val="24"/>
          <w:szCs w:val="24"/>
        </w:rPr>
        <w:t>s</w:t>
      </w:r>
      <w:r w:rsidRPr="00DD4985">
        <w:rPr>
          <w:rFonts w:ascii="Times New Roman" w:hAnsi="Times New Roman" w:cs="Times New Roman"/>
          <w:noProof/>
          <w:sz w:val="24"/>
          <w:szCs w:val="24"/>
        </w:rPr>
        <w:t xml:space="preserve"> out clear principles of cooperation </w:t>
      </w:r>
      <w:r w:rsidR="006A181B" w:rsidRPr="00DD4985">
        <w:rPr>
          <w:rFonts w:ascii="Times New Roman" w:hAnsi="Times New Roman" w:cs="Times New Roman"/>
          <w:noProof/>
          <w:sz w:val="24"/>
          <w:szCs w:val="24"/>
        </w:rPr>
        <w:t>designed to</w:t>
      </w:r>
      <w:r w:rsidRPr="00DD4985">
        <w:rPr>
          <w:rFonts w:ascii="Times New Roman" w:hAnsi="Times New Roman" w:cs="Times New Roman"/>
          <w:noProof/>
          <w:sz w:val="24"/>
          <w:szCs w:val="24"/>
        </w:rPr>
        <w:t xml:space="preserve"> avoid conflicts between jurisdictions.</w:t>
      </w:r>
    </w:p>
    <w:p w14:paraId="41244E06" w14:textId="06032026" w:rsidR="006D1404" w:rsidRDefault="5A876DED" w:rsidP="0080197F">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49" w:name="_Toc185413386"/>
      <w:bookmarkStart w:id="50" w:name="_Toc204769324"/>
      <w:bookmarkStart w:id="51" w:name="_Toc209798647"/>
      <w:r w:rsidRPr="0086076B">
        <w:rPr>
          <w:rFonts w:ascii="Times New Roman" w:hAnsi="Times New Roman" w:cs="Times New Roman"/>
          <w:b/>
          <w:bCs/>
          <w:noProof/>
          <w:color w:val="auto"/>
        </w:rPr>
        <w:t>Energy</w:t>
      </w:r>
      <w:bookmarkEnd w:id="49"/>
      <w:bookmarkEnd w:id="50"/>
      <w:bookmarkEnd w:id="51"/>
    </w:p>
    <w:p w14:paraId="6CCE9F77" w14:textId="56DA0E39" w:rsidR="00DC4CB9" w:rsidRPr="003029C6" w:rsidRDefault="003029C6" w:rsidP="00DC4CB9">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most significant </w:t>
      </w:r>
      <w:r w:rsidR="0053598F">
        <w:rPr>
          <w:rFonts w:ascii="Times New Roman" w:hAnsi="Times New Roman" w:cs="Times New Roman"/>
          <w:noProof/>
          <w:sz w:val="24"/>
          <w:szCs w:val="24"/>
        </w:rPr>
        <w:t xml:space="preserve">energy-related </w:t>
      </w:r>
      <w:r>
        <w:rPr>
          <w:rFonts w:ascii="Times New Roman" w:hAnsi="Times New Roman" w:cs="Times New Roman"/>
          <w:noProof/>
          <w:sz w:val="24"/>
          <w:szCs w:val="24"/>
        </w:rPr>
        <w:t xml:space="preserve">development in 2025 was the political agreement reached at the EU-United Kingdom </w:t>
      </w:r>
      <w:r w:rsidR="0053598F">
        <w:rPr>
          <w:rFonts w:ascii="Times New Roman" w:hAnsi="Times New Roman" w:cs="Times New Roman"/>
          <w:noProof/>
          <w:sz w:val="24"/>
          <w:szCs w:val="24"/>
        </w:rPr>
        <w:t>s</w:t>
      </w:r>
      <w:r>
        <w:rPr>
          <w:rFonts w:ascii="Times New Roman" w:hAnsi="Times New Roman" w:cs="Times New Roman"/>
          <w:noProof/>
          <w:sz w:val="24"/>
          <w:szCs w:val="24"/>
        </w:rPr>
        <w:t xml:space="preserve">ummit on 19 May </w:t>
      </w:r>
      <w:r w:rsidR="0018144C">
        <w:rPr>
          <w:rFonts w:ascii="Times New Roman" w:hAnsi="Times New Roman" w:cs="Times New Roman"/>
          <w:noProof/>
          <w:sz w:val="24"/>
          <w:szCs w:val="24"/>
        </w:rPr>
        <w:t xml:space="preserve">to extend </w:t>
      </w:r>
      <w:r w:rsidR="002469D3">
        <w:rPr>
          <w:rFonts w:ascii="Times New Roman" w:hAnsi="Times New Roman" w:cs="Times New Roman"/>
          <w:noProof/>
          <w:sz w:val="24"/>
          <w:szCs w:val="24"/>
        </w:rPr>
        <w:t xml:space="preserve">energy </w:t>
      </w:r>
      <w:r w:rsidR="00551111">
        <w:rPr>
          <w:rFonts w:ascii="Times New Roman" w:hAnsi="Times New Roman" w:cs="Times New Roman"/>
          <w:noProof/>
          <w:sz w:val="24"/>
          <w:szCs w:val="24"/>
        </w:rPr>
        <w:t xml:space="preserve">cooperation </w:t>
      </w:r>
      <w:r w:rsidR="00A2741E">
        <w:rPr>
          <w:rFonts w:ascii="Times New Roman" w:hAnsi="Times New Roman" w:cs="Times New Roman"/>
          <w:noProof/>
          <w:sz w:val="24"/>
          <w:szCs w:val="24"/>
        </w:rPr>
        <w:t xml:space="preserve">between the parties </w:t>
      </w:r>
      <w:r w:rsidR="00551111">
        <w:rPr>
          <w:rFonts w:ascii="Times New Roman" w:hAnsi="Times New Roman" w:cs="Times New Roman"/>
          <w:noProof/>
          <w:sz w:val="24"/>
          <w:szCs w:val="24"/>
        </w:rPr>
        <w:t>on a continuous basis.</w:t>
      </w:r>
      <w:r w:rsidR="000B421A">
        <w:rPr>
          <w:rFonts w:ascii="Times New Roman" w:hAnsi="Times New Roman" w:cs="Times New Roman"/>
          <w:noProof/>
          <w:sz w:val="24"/>
          <w:szCs w:val="24"/>
        </w:rPr>
        <w:t xml:space="preserve"> </w:t>
      </w:r>
      <w:r w:rsidR="00A46322">
        <w:rPr>
          <w:rFonts w:ascii="Times New Roman" w:hAnsi="Times New Roman" w:cs="Times New Roman"/>
          <w:noProof/>
          <w:sz w:val="24"/>
          <w:szCs w:val="24"/>
        </w:rPr>
        <w:t>Both sides</w:t>
      </w:r>
      <w:r w:rsidR="000B421A">
        <w:rPr>
          <w:rFonts w:ascii="Times New Roman" w:hAnsi="Times New Roman" w:cs="Times New Roman"/>
          <w:noProof/>
          <w:sz w:val="24"/>
          <w:szCs w:val="24"/>
        </w:rPr>
        <w:t xml:space="preserve"> shared the political understanding that the</w:t>
      </w:r>
      <w:r w:rsidR="003A40C4">
        <w:rPr>
          <w:rFonts w:ascii="Times New Roman" w:hAnsi="Times New Roman" w:cs="Times New Roman"/>
          <w:noProof/>
          <w:sz w:val="24"/>
          <w:szCs w:val="24"/>
        </w:rPr>
        <w:t xml:space="preserve"> </w:t>
      </w:r>
      <w:r w:rsidR="0053598F">
        <w:rPr>
          <w:rFonts w:ascii="Times New Roman" w:hAnsi="Times New Roman" w:cs="Times New Roman"/>
          <w:noProof/>
          <w:sz w:val="24"/>
          <w:szCs w:val="24"/>
        </w:rPr>
        <w:t>TCA’s energy-related</w:t>
      </w:r>
      <w:r w:rsidR="000B421A">
        <w:rPr>
          <w:rFonts w:ascii="Times New Roman" w:hAnsi="Times New Roman" w:cs="Times New Roman"/>
          <w:noProof/>
          <w:sz w:val="24"/>
          <w:szCs w:val="24"/>
        </w:rPr>
        <w:t xml:space="preserve"> objectives should be pursued on a continuous basis</w:t>
      </w:r>
      <w:r w:rsidR="00A46322">
        <w:rPr>
          <w:rFonts w:ascii="Times New Roman" w:hAnsi="Times New Roman" w:cs="Times New Roman"/>
          <w:noProof/>
          <w:sz w:val="24"/>
          <w:szCs w:val="24"/>
        </w:rPr>
        <w:t xml:space="preserve">, making it </w:t>
      </w:r>
      <w:r w:rsidR="000B421A">
        <w:rPr>
          <w:rFonts w:ascii="Times New Roman" w:hAnsi="Times New Roman" w:cs="Times New Roman"/>
          <w:noProof/>
          <w:sz w:val="24"/>
          <w:szCs w:val="24"/>
        </w:rPr>
        <w:t>appropriate to extend the application of th</w:t>
      </w:r>
      <w:r w:rsidR="00A46322">
        <w:rPr>
          <w:rFonts w:ascii="Times New Roman" w:hAnsi="Times New Roman" w:cs="Times New Roman"/>
          <w:noProof/>
          <w:sz w:val="24"/>
          <w:szCs w:val="24"/>
        </w:rPr>
        <w:t xml:space="preserve">e energy title. </w:t>
      </w:r>
      <w:r w:rsidR="004603B8">
        <w:rPr>
          <w:rFonts w:ascii="Times New Roman" w:hAnsi="Times New Roman" w:cs="Times New Roman"/>
          <w:noProof/>
          <w:sz w:val="24"/>
          <w:szCs w:val="24"/>
        </w:rPr>
        <w:t xml:space="preserve">This </w:t>
      </w:r>
      <w:r w:rsidR="00F1036F">
        <w:rPr>
          <w:rFonts w:ascii="Times New Roman" w:hAnsi="Times New Roman" w:cs="Times New Roman"/>
          <w:noProof/>
          <w:sz w:val="24"/>
          <w:szCs w:val="24"/>
        </w:rPr>
        <w:t xml:space="preserve">was </w:t>
      </w:r>
      <w:r w:rsidR="004603B8">
        <w:rPr>
          <w:rFonts w:ascii="Times New Roman" w:hAnsi="Times New Roman" w:cs="Times New Roman"/>
          <w:noProof/>
          <w:sz w:val="24"/>
          <w:szCs w:val="24"/>
        </w:rPr>
        <w:t xml:space="preserve">formalised through </w:t>
      </w:r>
      <w:r w:rsidR="00551111">
        <w:rPr>
          <w:rFonts w:ascii="Times New Roman" w:hAnsi="Times New Roman" w:cs="Times New Roman"/>
          <w:noProof/>
          <w:sz w:val="24"/>
          <w:szCs w:val="24"/>
        </w:rPr>
        <w:t xml:space="preserve">the adoption of </w:t>
      </w:r>
      <w:r w:rsidR="00DC4CB9" w:rsidRPr="00DC4CB9">
        <w:rPr>
          <w:rFonts w:ascii="Times New Roman" w:hAnsi="Times New Roman" w:cs="Times New Roman"/>
          <w:noProof/>
          <w:sz w:val="24"/>
          <w:szCs w:val="24"/>
        </w:rPr>
        <w:t>Declaration No 1/2025</w:t>
      </w:r>
      <w:r w:rsidR="00DC4CB9" w:rsidRPr="00F97D5F">
        <w:rPr>
          <w:rStyle w:val="FootnoteReference"/>
          <w:rFonts w:ascii="Times New Roman" w:hAnsi="Times New Roman" w:cs="Times New Roman"/>
          <w:noProof/>
          <w:sz w:val="24"/>
          <w:szCs w:val="24"/>
        </w:rPr>
        <w:footnoteReference w:id="32"/>
      </w:r>
      <w:r w:rsidR="00DC4CB9" w:rsidRPr="00DC4CB9">
        <w:rPr>
          <w:rFonts w:ascii="Times New Roman" w:hAnsi="Times New Roman" w:cs="Times New Roman"/>
          <w:noProof/>
          <w:sz w:val="24"/>
          <w:szCs w:val="24"/>
        </w:rPr>
        <w:t xml:space="preserve"> and </w:t>
      </w:r>
      <w:r w:rsidR="009D5980">
        <w:rPr>
          <w:rFonts w:ascii="Times New Roman" w:hAnsi="Times New Roman" w:cs="Times New Roman"/>
          <w:noProof/>
          <w:sz w:val="24"/>
          <w:szCs w:val="24"/>
        </w:rPr>
        <w:t xml:space="preserve">of </w:t>
      </w:r>
      <w:r w:rsidR="00DC4CB9" w:rsidRPr="00DC4CB9">
        <w:rPr>
          <w:rFonts w:ascii="Times New Roman" w:hAnsi="Times New Roman" w:cs="Times New Roman"/>
          <w:noProof/>
          <w:sz w:val="24"/>
          <w:szCs w:val="24"/>
        </w:rPr>
        <w:t xml:space="preserve">Decision </w:t>
      </w:r>
      <w:r w:rsidR="004603B8">
        <w:rPr>
          <w:rFonts w:ascii="Times New Roman" w:hAnsi="Times New Roman" w:cs="Times New Roman"/>
          <w:noProof/>
          <w:sz w:val="24"/>
          <w:szCs w:val="24"/>
        </w:rPr>
        <w:t>N</w:t>
      </w:r>
      <w:r w:rsidR="00DC4CB9" w:rsidRPr="00DC4CB9">
        <w:rPr>
          <w:rFonts w:ascii="Times New Roman" w:hAnsi="Times New Roman" w:cs="Times New Roman"/>
          <w:noProof/>
          <w:sz w:val="24"/>
          <w:szCs w:val="24"/>
        </w:rPr>
        <w:t>o 2/2025</w:t>
      </w:r>
      <w:r w:rsidR="00DC4CB9" w:rsidRPr="00F97D5F">
        <w:rPr>
          <w:rStyle w:val="FootnoteReference"/>
          <w:rFonts w:ascii="Times New Roman" w:hAnsi="Times New Roman" w:cs="Times New Roman"/>
          <w:noProof/>
          <w:sz w:val="24"/>
          <w:szCs w:val="24"/>
        </w:rPr>
        <w:footnoteReference w:id="33"/>
      </w:r>
      <w:r w:rsidR="00DC4CB9" w:rsidRPr="00DC4CB9">
        <w:rPr>
          <w:rFonts w:ascii="Times New Roman" w:hAnsi="Times New Roman" w:cs="Times New Roman"/>
          <w:noProof/>
          <w:sz w:val="24"/>
          <w:szCs w:val="24"/>
        </w:rPr>
        <w:t xml:space="preserve"> of the Partnership Council</w:t>
      </w:r>
      <w:r w:rsidR="00F1036F">
        <w:rPr>
          <w:rFonts w:ascii="Times New Roman" w:hAnsi="Times New Roman" w:cs="Times New Roman"/>
          <w:noProof/>
          <w:sz w:val="24"/>
          <w:szCs w:val="24"/>
        </w:rPr>
        <w:t xml:space="preserve"> of 19 June 20</w:t>
      </w:r>
      <w:r w:rsidR="00C27000">
        <w:rPr>
          <w:rFonts w:ascii="Times New Roman" w:hAnsi="Times New Roman" w:cs="Times New Roman"/>
          <w:noProof/>
          <w:sz w:val="24"/>
          <w:szCs w:val="24"/>
        </w:rPr>
        <w:t>2</w:t>
      </w:r>
      <w:r w:rsidR="00F1036F">
        <w:rPr>
          <w:rFonts w:ascii="Times New Roman" w:hAnsi="Times New Roman" w:cs="Times New Roman"/>
          <w:noProof/>
          <w:sz w:val="24"/>
          <w:szCs w:val="24"/>
        </w:rPr>
        <w:t>5</w:t>
      </w:r>
      <w:r w:rsidR="00914B9D">
        <w:rPr>
          <w:rFonts w:ascii="Times New Roman" w:hAnsi="Times New Roman" w:cs="Times New Roman"/>
          <w:noProof/>
          <w:sz w:val="24"/>
          <w:szCs w:val="24"/>
        </w:rPr>
        <w:t xml:space="preserve"> </w:t>
      </w:r>
      <w:r w:rsidR="00DB4EAA">
        <w:rPr>
          <w:rFonts w:ascii="Times New Roman" w:hAnsi="Times New Roman" w:cs="Times New Roman"/>
          <w:noProof/>
          <w:sz w:val="24"/>
          <w:szCs w:val="24"/>
        </w:rPr>
        <w:t>that</w:t>
      </w:r>
      <w:r w:rsidR="00914B9D">
        <w:rPr>
          <w:rFonts w:ascii="Times New Roman" w:hAnsi="Times New Roman" w:cs="Times New Roman"/>
          <w:noProof/>
          <w:sz w:val="24"/>
          <w:szCs w:val="24"/>
        </w:rPr>
        <w:t xml:space="preserve"> </w:t>
      </w:r>
      <w:r w:rsidR="00D96C9E">
        <w:rPr>
          <w:rFonts w:ascii="Times New Roman" w:hAnsi="Times New Roman" w:cs="Times New Roman"/>
          <w:noProof/>
          <w:sz w:val="24"/>
          <w:szCs w:val="24"/>
        </w:rPr>
        <w:t>pro</w:t>
      </w:r>
      <w:r w:rsidR="0034411B">
        <w:rPr>
          <w:rFonts w:ascii="Times New Roman" w:hAnsi="Times New Roman" w:cs="Times New Roman"/>
          <w:noProof/>
          <w:sz w:val="24"/>
          <w:szCs w:val="24"/>
        </w:rPr>
        <w:t xml:space="preserve">vides for the </w:t>
      </w:r>
      <w:r w:rsidR="004603B8" w:rsidRPr="004603B8">
        <w:rPr>
          <w:rFonts w:ascii="Times New Roman" w:hAnsi="Times New Roman" w:cs="Times New Roman"/>
          <w:noProof/>
          <w:sz w:val="24"/>
          <w:szCs w:val="24"/>
        </w:rPr>
        <w:t xml:space="preserve">first extension until 31 March 2027. </w:t>
      </w:r>
      <w:r w:rsidR="00A46322" w:rsidRPr="00A46322">
        <w:rPr>
          <w:rFonts w:ascii="Times New Roman" w:hAnsi="Times New Roman" w:cs="Times New Roman"/>
          <w:noProof/>
          <w:sz w:val="24"/>
          <w:szCs w:val="24"/>
        </w:rPr>
        <w:t xml:space="preserve">This framework offers stability and predictability for stakeholders in both the </w:t>
      </w:r>
      <w:r w:rsidR="00DB4EAA">
        <w:rPr>
          <w:rFonts w:ascii="Times New Roman" w:hAnsi="Times New Roman" w:cs="Times New Roman"/>
          <w:noProof/>
          <w:sz w:val="24"/>
          <w:szCs w:val="24"/>
        </w:rPr>
        <w:t>EU</w:t>
      </w:r>
      <w:r w:rsidR="00A46322" w:rsidRPr="00A46322">
        <w:rPr>
          <w:rFonts w:ascii="Times New Roman" w:hAnsi="Times New Roman" w:cs="Times New Roman"/>
          <w:noProof/>
          <w:sz w:val="24"/>
          <w:szCs w:val="24"/>
        </w:rPr>
        <w:t xml:space="preserve"> and the United Kingdom, facilitates business, and ensures market stability</w:t>
      </w:r>
      <w:r w:rsidR="00865E0A">
        <w:rPr>
          <w:rFonts w:ascii="Times New Roman" w:hAnsi="Times New Roman" w:cs="Times New Roman"/>
          <w:noProof/>
          <w:sz w:val="24"/>
          <w:szCs w:val="24"/>
        </w:rPr>
        <w:t>.</w:t>
      </w:r>
    </w:p>
    <w:p w14:paraId="3D767F4F" w14:textId="1B450F1C" w:rsidR="001A412E" w:rsidRDefault="00D62585" w:rsidP="001A412E">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w:t>
      </w:r>
      <w:r w:rsidR="001A412E">
        <w:rPr>
          <w:rFonts w:ascii="Times New Roman" w:hAnsi="Times New Roman" w:cs="Times New Roman"/>
          <w:noProof/>
          <w:sz w:val="24"/>
          <w:szCs w:val="24"/>
        </w:rPr>
        <w:t>regard</w:t>
      </w:r>
      <w:r>
        <w:rPr>
          <w:rFonts w:ascii="Times New Roman" w:hAnsi="Times New Roman" w:cs="Times New Roman"/>
          <w:noProof/>
          <w:sz w:val="24"/>
          <w:szCs w:val="24"/>
        </w:rPr>
        <w:t>s</w:t>
      </w:r>
      <w:r w:rsidR="001A412E">
        <w:rPr>
          <w:rFonts w:ascii="Times New Roman" w:hAnsi="Times New Roman" w:cs="Times New Roman"/>
          <w:noProof/>
          <w:sz w:val="24"/>
          <w:szCs w:val="24"/>
        </w:rPr>
        <w:t xml:space="preserve"> the electricity trading arrangements, the Specialised Committee on Energy continued its examination of</w:t>
      </w:r>
      <w:r w:rsidR="001A412E" w:rsidRPr="00B36C6B">
        <w:rPr>
          <w:rFonts w:ascii="Times New Roman" w:hAnsi="Times New Roman" w:cs="Times New Roman"/>
          <w:noProof/>
          <w:sz w:val="24"/>
          <w:szCs w:val="24"/>
        </w:rPr>
        <w:t xml:space="preserve"> the Multi-Region Loose Volume Coupling </w:t>
      </w:r>
      <w:r w:rsidR="001A412E">
        <w:rPr>
          <w:rFonts w:ascii="Times New Roman" w:hAnsi="Times New Roman" w:cs="Times New Roman"/>
          <w:noProof/>
          <w:sz w:val="24"/>
          <w:szCs w:val="24"/>
        </w:rPr>
        <w:t xml:space="preserve">(MRLVC) </w:t>
      </w:r>
      <w:r w:rsidR="001A412E" w:rsidRPr="00B36C6B">
        <w:rPr>
          <w:rFonts w:ascii="Times New Roman" w:hAnsi="Times New Roman" w:cs="Times New Roman"/>
          <w:noProof/>
          <w:sz w:val="24"/>
          <w:szCs w:val="24"/>
        </w:rPr>
        <w:t xml:space="preserve">referred to in Annex 29 </w:t>
      </w:r>
      <w:r w:rsidR="001A412E">
        <w:rPr>
          <w:rFonts w:ascii="Times New Roman" w:hAnsi="Times New Roman" w:cs="Times New Roman"/>
          <w:noProof/>
          <w:sz w:val="24"/>
          <w:szCs w:val="24"/>
        </w:rPr>
        <w:t>to</w:t>
      </w:r>
      <w:r w:rsidR="001A412E" w:rsidRPr="00B36C6B">
        <w:rPr>
          <w:rFonts w:ascii="Times New Roman" w:hAnsi="Times New Roman" w:cs="Times New Roman"/>
          <w:noProof/>
          <w:sz w:val="24"/>
          <w:szCs w:val="24"/>
        </w:rPr>
        <w:t xml:space="preserve"> the TCA</w:t>
      </w:r>
      <w:r w:rsidR="001A412E">
        <w:rPr>
          <w:rFonts w:ascii="Times New Roman" w:hAnsi="Times New Roman" w:cs="Times New Roman"/>
          <w:noProof/>
          <w:sz w:val="24"/>
          <w:szCs w:val="24"/>
        </w:rPr>
        <w:t xml:space="preserve">. In accordance with </w:t>
      </w:r>
      <w:r w:rsidR="001A412E" w:rsidRPr="00B36C6B">
        <w:rPr>
          <w:rFonts w:ascii="Times New Roman" w:hAnsi="Times New Roman" w:cs="Times New Roman"/>
          <w:noProof/>
          <w:sz w:val="24"/>
          <w:szCs w:val="24"/>
        </w:rPr>
        <w:t>Recommendation No. 1/2024</w:t>
      </w:r>
      <w:r w:rsidR="001A412E" w:rsidRPr="00F97D5F">
        <w:rPr>
          <w:rStyle w:val="FootnoteReference"/>
          <w:rFonts w:ascii="Times New Roman" w:hAnsi="Times New Roman" w:cs="Times New Roman"/>
          <w:noProof/>
          <w:sz w:val="24"/>
          <w:szCs w:val="24"/>
        </w:rPr>
        <w:footnoteReference w:id="34"/>
      </w:r>
      <w:r w:rsidR="001A412E" w:rsidRPr="00B36C6B">
        <w:rPr>
          <w:rFonts w:ascii="Times New Roman" w:hAnsi="Times New Roman" w:cs="Times New Roman"/>
          <w:noProof/>
          <w:sz w:val="24"/>
          <w:szCs w:val="24"/>
        </w:rPr>
        <w:t xml:space="preserve">, the Transmission System Operators for electricity of the EU and the United Kingdom submitted </w:t>
      </w:r>
      <w:r w:rsidR="001A412E">
        <w:rPr>
          <w:rFonts w:ascii="Times New Roman" w:hAnsi="Times New Roman" w:cs="Times New Roman"/>
          <w:noProof/>
          <w:sz w:val="24"/>
          <w:szCs w:val="24"/>
        </w:rPr>
        <w:t xml:space="preserve">to the Specialised Committee on Energy </w:t>
      </w:r>
      <w:r w:rsidR="001A412E" w:rsidRPr="00B36C6B">
        <w:rPr>
          <w:rFonts w:ascii="Times New Roman" w:hAnsi="Times New Roman" w:cs="Times New Roman"/>
          <w:noProof/>
          <w:sz w:val="24"/>
          <w:szCs w:val="24"/>
        </w:rPr>
        <w:t>a joint report</w:t>
      </w:r>
      <w:r w:rsidR="001A412E">
        <w:rPr>
          <w:rFonts w:ascii="Times New Roman" w:hAnsi="Times New Roman" w:cs="Times New Roman"/>
          <w:noProof/>
          <w:sz w:val="24"/>
          <w:szCs w:val="24"/>
        </w:rPr>
        <w:t xml:space="preserve"> on</w:t>
      </w:r>
      <w:r w:rsidR="001A412E" w:rsidRPr="00B36C6B">
        <w:rPr>
          <w:rFonts w:ascii="Times New Roman" w:hAnsi="Times New Roman" w:cs="Times New Roman"/>
          <w:noProof/>
          <w:sz w:val="24"/>
          <w:szCs w:val="24"/>
        </w:rPr>
        <w:t xml:space="preserve"> the implementation of the </w:t>
      </w:r>
      <w:r w:rsidR="001A412E">
        <w:rPr>
          <w:rFonts w:ascii="Times New Roman" w:hAnsi="Times New Roman" w:cs="Times New Roman"/>
          <w:noProof/>
          <w:sz w:val="24"/>
          <w:szCs w:val="24"/>
        </w:rPr>
        <w:t xml:space="preserve">MRLVC </w:t>
      </w:r>
      <w:r w:rsidR="001A412E" w:rsidRPr="00B36C6B">
        <w:rPr>
          <w:rFonts w:ascii="Times New Roman" w:hAnsi="Times New Roman" w:cs="Times New Roman"/>
          <w:noProof/>
          <w:sz w:val="24"/>
          <w:szCs w:val="24"/>
        </w:rPr>
        <w:t xml:space="preserve">on 30 September 2025. </w:t>
      </w:r>
      <w:bookmarkStart w:id="52" w:name="_Hlk214543247"/>
      <w:r w:rsidR="001A412E">
        <w:rPr>
          <w:rFonts w:ascii="Times New Roman" w:hAnsi="Times New Roman" w:cs="Times New Roman"/>
          <w:noProof/>
          <w:sz w:val="24"/>
          <w:szCs w:val="24"/>
        </w:rPr>
        <w:t>In turn, o</w:t>
      </w:r>
      <w:r w:rsidR="001A412E" w:rsidRPr="00B36C6B">
        <w:rPr>
          <w:rFonts w:ascii="Times New Roman" w:hAnsi="Times New Roman" w:cs="Times New Roman"/>
          <w:noProof/>
          <w:sz w:val="24"/>
          <w:szCs w:val="24"/>
        </w:rPr>
        <w:t>n 27 and 28 October 2025 respectively, the United Kingdom’s national energy regulators and the EU Agency for the Cooperation of Energy Regulators submitted their informal opinions to the Specialised Committee on Energy</w:t>
      </w:r>
      <w:bookmarkEnd w:id="52"/>
      <w:r w:rsidR="001A412E">
        <w:rPr>
          <w:rFonts w:ascii="Times New Roman" w:hAnsi="Times New Roman" w:cs="Times New Roman"/>
          <w:noProof/>
          <w:sz w:val="24"/>
          <w:szCs w:val="24"/>
        </w:rPr>
        <w:t xml:space="preserve">, which </w:t>
      </w:r>
      <w:r w:rsidR="001A412E" w:rsidRPr="00B36C6B">
        <w:rPr>
          <w:rFonts w:ascii="Times New Roman" w:hAnsi="Times New Roman" w:cs="Times New Roman"/>
          <w:noProof/>
          <w:sz w:val="24"/>
          <w:szCs w:val="24"/>
        </w:rPr>
        <w:t>will further assess</w:t>
      </w:r>
      <w:r w:rsidR="0029358A">
        <w:rPr>
          <w:rFonts w:ascii="Times New Roman" w:hAnsi="Times New Roman" w:cs="Times New Roman"/>
          <w:noProof/>
          <w:sz w:val="24"/>
          <w:szCs w:val="24"/>
        </w:rPr>
        <w:t xml:space="preserve"> the opinions</w:t>
      </w:r>
      <w:r w:rsidR="001A412E">
        <w:rPr>
          <w:rFonts w:ascii="Times New Roman" w:hAnsi="Times New Roman" w:cs="Times New Roman"/>
          <w:noProof/>
          <w:sz w:val="24"/>
          <w:szCs w:val="24"/>
        </w:rPr>
        <w:t xml:space="preserve"> in 2026</w:t>
      </w:r>
      <w:r w:rsidR="001A412E" w:rsidRPr="00B36C6B">
        <w:rPr>
          <w:rFonts w:ascii="Times New Roman" w:hAnsi="Times New Roman" w:cs="Times New Roman"/>
          <w:noProof/>
          <w:sz w:val="24"/>
          <w:szCs w:val="24"/>
        </w:rPr>
        <w:t>.</w:t>
      </w:r>
      <w:r w:rsidR="001A412E">
        <w:rPr>
          <w:rFonts w:ascii="Times New Roman" w:hAnsi="Times New Roman" w:cs="Times New Roman"/>
          <w:noProof/>
          <w:sz w:val="24"/>
          <w:szCs w:val="24"/>
        </w:rPr>
        <w:t xml:space="preserve"> These documents did not establish a satisfactory way of proceeding with </w:t>
      </w:r>
      <w:r w:rsidR="008F2672">
        <w:rPr>
          <w:rFonts w:ascii="Times New Roman" w:hAnsi="Times New Roman" w:cs="Times New Roman"/>
          <w:noProof/>
          <w:sz w:val="24"/>
          <w:szCs w:val="24"/>
        </w:rPr>
        <w:t xml:space="preserve">the </w:t>
      </w:r>
      <w:r w:rsidR="001A412E">
        <w:rPr>
          <w:rFonts w:ascii="Times New Roman" w:hAnsi="Times New Roman" w:cs="Times New Roman"/>
          <w:noProof/>
          <w:sz w:val="24"/>
          <w:szCs w:val="24"/>
        </w:rPr>
        <w:t>M</w:t>
      </w:r>
      <w:r w:rsidR="000344EF">
        <w:rPr>
          <w:rFonts w:ascii="Times New Roman" w:hAnsi="Times New Roman" w:cs="Times New Roman"/>
          <w:noProof/>
          <w:sz w:val="24"/>
          <w:szCs w:val="24"/>
        </w:rPr>
        <w:t>RLVC</w:t>
      </w:r>
      <w:r w:rsidR="001A412E">
        <w:rPr>
          <w:rFonts w:ascii="Times New Roman" w:hAnsi="Times New Roman" w:cs="Times New Roman"/>
          <w:noProof/>
          <w:sz w:val="24"/>
          <w:szCs w:val="24"/>
        </w:rPr>
        <w:t>.</w:t>
      </w:r>
    </w:p>
    <w:p w14:paraId="4C0F8813" w14:textId="77324CBF" w:rsidR="00E81BD4" w:rsidRPr="0065255E" w:rsidRDefault="001A412E" w:rsidP="003E301C">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a result, </w:t>
      </w:r>
      <w:r w:rsidR="00E81BD4">
        <w:rPr>
          <w:rFonts w:ascii="Times New Roman" w:hAnsi="Times New Roman" w:cs="Times New Roman"/>
          <w:noProof/>
          <w:sz w:val="24"/>
          <w:szCs w:val="24"/>
        </w:rPr>
        <w:t xml:space="preserve">on the basis of </w:t>
      </w:r>
      <w:r w:rsidR="008E09B7">
        <w:rPr>
          <w:rFonts w:ascii="Times New Roman" w:hAnsi="Times New Roman" w:cs="Times New Roman"/>
          <w:noProof/>
          <w:sz w:val="24"/>
          <w:szCs w:val="24"/>
        </w:rPr>
        <w:t xml:space="preserve">the Common Understanding, </w:t>
      </w:r>
      <w:r w:rsidR="00D06D16">
        <w:rPr>
          <w:rFonts w:ascii="Times New Roman" w:hAnsi="Times New Roman" w:cs="Times New Roman"/>
          <w:noProof/>
          <w:sz w:val="24"/>
          <w:szCs w:val="24"/>
        </w:rPr>
        <w:t>the European Commission and the United Kingdom</w:t>
      </w:r>
      <w:r w:rsidR="00E81BD4" w:rsidRPr="00E81BD4">
        <w:rPr>
          <w:rFonts w:ascii="Times New Roman" w:hAnsi="Times New Roman" w:cs="Times New Roman"/>
          <w:noProof/>
          <w:sz w:val="24"/>
          <w:szCs w:val="24"/>
        </w:rPr>
        <w:t xml:space="preserve"> h</w:t>
      </w:r>
      <w:r w:rsidR="00E81BD4">
        <w:rPr>
          <w:rFonts w:ascii="Times New Roman" w:hAnsi="Times New Roman" w:cs="Times New Roman"/>
          <w:noProof/>
          <w:sz w:val="24"/>
          <w:szCs w:val="24"/>
        </w:rPr>
        <w:t xml:space="preserve">eld and </w:t>
      </w:r>
      <w:r w:rsidR="00E81BD4" w:rsidRPr="00E81BD4">
        <w:rPr>
          <w:rFonts w:ascii="Times New Roman" w:hAnsi="Times New Roman" w:cs="Times New Roman"/>
          <w:noProof/>
          <w:sz w:val="24"/>
          <w:szCs w:val="24"/>
        </w:rPr>
        <w:t xml:space="preserve">concluded exploratory talks on the United Kingdom's participation </w:t>
      </w:r>
      <w:r w:rsidR="00E81BD4" w:rsidRPr="0065255E">
        <w:rPr>
          <w:rFonts w:ascii="Times New Roman" w:hAnsi="Times New Roman" w:cs="Times New Roman"/>
          <w:noProof/>
          <w:sz w:val="24"/>
          <w:szCs w:val="24"/>
        </w:rPr>
        <w:t xml:space="preserve">in </w:t>
      </w:r>
      <w:r w:rsidR="00D06D16" w:rsidRPr="0065255E">
        <w:rPr>
          <w:rFonts w:ascii="Times New Roman" w:hAnsi="Times New Roman" w:cs="Times New Roman"/>
          <w:noProof/>
          <w:sz w:val="24"/>
          <w:szCs w:val="24"/>
        </w:rPr>
        <w:t>the E</w:t>
      </w:r>
      <w:r w:rsidR="00692022">
        <w:rPr>
          <w:rFonts w:ascii="Times New Roman" w:hAnsi="Times New Roman" w:cs="Times New Roman"/>
          <w:noProof/>
          <w:sz w:val="24"/>
          <w:szCs w:val="24"/>
        </w:rPr>
        <w:t>U</w:t>
      </w:r>
      <w:r w:rsidR="00D06D16" w:rsidRPr="0065255E">
        <w:rPr>
          <w:rFonts w:ascii="Times New Roman" w:hAnsi="Times New Roman" w:cs="Times New Roman"/>
          <w:noProof/>
          <w:sz w:val="24"/>
          <w:szCs w:val="24"/>
        </w:rPr>
        <w:t xml:space="preserve"> internal electricity market</w:t>
      </w:r>
      <w:r w:rsidR="000E1B56" w:rsidRPr="0065255E">
        <w:rPr>
          <w:rFonts w:ascii="Times New Roman" w:hAnsi="Times New Roman" w:cs="Times New Roman"/>
          <w:noProof/>
          <w:sz w:val="24"/>
          <w:szCs w:val="24"/>
        </w:rPr>
        <w:t xml:space="preserve">. </w:t>
      </w:r>
      <w:r w:rsidR="00E81BD4" w:rsidRPr="0065255E">
        <w:rPr>
          <w:rFonts w:ascii="Times New Roman" w:hAnsi="Times New Roman" w:cs="Times New Roman"/>
          <w:noProof/>
          <w:sz w:val="24"/>
          <w:szCs w:val="24"/>
        </w:rPr>
        <w:t xml:space="preserve">The European Commission has on this basis adopted a recommendation for a negotiation framework for the participation of the United Kingdom in the internal electricity market of the </w:t>
      </w:r>
      <w:r w:rsidR="00DB4EAA">
        <w:rPr>
          <w:rFonts w:ascii="Times New Roman" w:hAnsi="Times New Roman" w:cs="Times New Roman"/>
          <w:noProof/>
          <w:sz w:val="24"/>
          <w:szCs w:val="24"/>
        </w:rPr>
        <w:t>EU</w:t>
      </w:r>
      <w:r w:rsidR="00DB4EAA" w:rsidRPr="0065255E">
        <w:rPr>
          <w:rFonts w:ascii="Times New Roman" w:hAnsi="Times New Roman" w:cs="Times New Roman"/>
          <w:noProof/>
          <w:sz w:val="24"/>
          <w:szCs w:val="24"/>
        </w:rPr>
        <w:t xml:space="preserve"> </w:t>
      </w:r>
      <w:r w:rsidR="00E81BD4" w:rsidRPr="0065255E">
        <w:rPr>
          <w:rFonts w:ascii="Times New Roman" w:hAnsi="Times New Roman" w:cs="Times New Roman"/>
          <w:noProof/>
          <w:sz w:val="24"/>
          <w:szCs w:val="24"/>
        </w:rPr>
        <w:t>and on the financial contribution of the U</w:t>
      </w:r>
      <w:r w:rsidR="003E301C" w:rsidRPr="0065255E">
        <w:rPr>
          <w:rFonts w:ascii="Times New Roman" w:hAnsi="Times New Roman" w:cs="Times New Roman"/>
          <w:noProof/>
          <w:sz w:val="24"/>
          <w:szCs w:val="24"/>
        </w:rPr>
        <w:t xml:space="preserve">nited </w:t>
      </w:r>
      <w:r w:rsidR="00E81BD4" w:rsidRPr="0065255E">
        <w:rPr>
          <w:rFonts w:ascii="Times New Roman" w:hAnsi="Times New Roman" w:cs="Times New Roman"/>
          <w:noProof/>
          <w:sz w:val="24"/>
          <w:szCs w:val="24"/>
        </w:rPr>
        <w:t>K</w:t>
      </w:r>
      <w:r w:rsidR="003E301C" w:rsidRPr="0065255E">
        <w:rPr>
          <w:rFonts w:ascii="Times New Roman" w:hAnsi="Times New Roman" w:cs="Times New Roman"/>
          <w:noProof/>
          <w:sz w:val="24"/>
          <w:szCs w:val="24"/>
        </w:rPr>
        <w:t>ingdom</w:t>
      </w:r>
      <w:r w:rsidR="00E81BD4" w:rsidRPr="0065255E">
        <w:rPr>
          <w:rFonts w:ascii="Times New Roman" w:hAnsi="Times New Roman" w:cs="Times New Roman"/>
          <w:noProof/>
          <w:sz w:val="24"/>
          <w:szCs w:val="24"/>
        </w:rPr>
        <w:t xml:space="preserve"> towards reducing economic and social disparities between the regions of the </w:t>
      </w:r>
      <w:r w:rsidR="00DB4EAA">
        <w:rPr>
          <w:rFonts w:ascii="Times New Roman" w:hAnsi="Times New Roman" w:cs="Times New Roman"/>
          <w:noProof/>
          <w:sz w:val="24"/>
          <w:szCs w:val="24"/>
        </w:rPr>
        <w:t>EU</w:t>
      </w:r>
      <w:r w:rsidR="003E301C" w:rsidRPr="00F97D5F">
        <w:rPr>
          <w:rStyle w:val="FootnoteReference"/>
          <w:rFonts w:ascii="Times New Roman" w:hAnsi="Times New Roman" w:cs="Times New Roman"/>
          <w:noProof/>
          <w:sz w:val="24"/>
          <w:szCs w:val="24"/>
        </w:rPr>
        <w:footnoteReference w:id="35"/>
      </w:r>
      <w:r w:rsidR="00E81BD4" w:rsidRPr="0065255E">
        <w:rPr>
          <w:rFonts w:ascii="Times New Roman" w:hAnsi="Times New Roman" w:cs="Times New Roman"/>
          <w:noProof/>
          <w:sz w:val="24"/>
          <w:szCs w:val="24"/>
        </w:rPr>
        <w:t>.</w:t>
      </w:r>
    </w:p>
    <w:p w14:paraId="26B131D9" w14:textId="6F1ACA29" w:rsidR="007E1D53" w:rsidRPr="0065255E" w:rsidRDefault="008F2672" w:rsidP="00A050CA">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Lastly</w:t>
      </w:r>
      <w:r w:rsidR="00D74006" w:rsidRPr="0065255E">
        <w:rPr>
          <w:rFonts w:ascii="Times New Roman" w:hAnsi="Times New Roman" w:cs="Times New Roman"/>
          <w:noProof/>
          <w:sz w:val="24"/>
          <w:szCs w:val="24"/>
        </w:rPr>
        <w:t>,</w:t>
      </w:r>
      <w:r w:rsidR="007E1D53" w:rsidRPr="0065255E">
        <w:rPr>
          <w:rFonts w:ascii="Times New Roman" w:hAnsi="Times New Roman" w:cs="Times New Roman"/>
          <w:noProof/>
          <w:sz w:val="24"/>
          <w:szCs w:val="24"/>
        </w:rPr>
        <w:t xml:space="preserve"> the Working Group on Security of Supply</w:t>
      </w:r>
      <w:r w:rsidR="00904937" w:rsidRPr="0065255E">
        <w:rPr>
          <w:rFonts w:ascii="Times New Roman" w:hAnsi="Times New Roman" w:cs="Times New Roman"/>
          <w:noProof/>
          <w:sz w:val="24"/>
          <w:szCs w:val="24"/>
        </w:rPr>
        <w:t>,</w:t>
      </w:r>
      <w:r w:rsidR="007E2AF9" w:rsidRPr="0065255E">
        <w:rPr>
          <w:rFonts w:ascii="Times New Roman" w:hAnsi="Times New Roman" w:cs="Times New Roman"/>
          <w:noProof/>
          <w:sz w:val="24"/>
          <w:szCs w:val="24"/>
        </w:rPr>
        <w:t xml:space="preserve"> established by Decision No 2/2024</w:t>
      </w:r>
      <w:r w:rsidR="00C31234" w:rsidRPr="00F97D5F">
        <w:rPr>
          <w:rStyle w:val="FootnoteReference"/>
          <w:rFonts w:ascii="Times New Roman" w:hAnsi="Times New Roman" w:cs="Times New Roman"/>
          <w:noProof/>
          <w:sz w:val="24"/>
          <w:szCs w:val="24"/>
        </w:rPr>
        <w:footnoteReference w:id="36"/>
      </w:r>
      <w:r w:rsidR="00C31234" w:rsidRPr="0065255E">
        <w:rPr>
          <w:rFonts w:ascii="Times New Roman" w:hAnsi="Times New Roman" w:cs="Times New Roman"/>
          <w:noProof/>
          <w:sz w:val="24"/>
          <w:szCs w:val="24"/>
        </w:rPr>
        <w:t xml:space="preserve"> of the Specialised Committee on Energy</w:t>
      </w:r>
      <w:r w:rsidR="00904937" w:rsidRPr="0065255E">
        <w:rPr>
          <w:rFonts w:ascii="Times New Roman" w:hAnsi="Times New Roman" w:cs="Times New Roman"/>
          <w:noProof/>
          <w:sz w:val="24"/>
          <w:szCs w:val="24"/>
        </w:rPr>
        <w:t>,</w:t>
      </w:r>
      <w:r w:rsidR="007E2AF9" w:rsidRPr="0065255E">
        <w:rPr>
          <w:rFonts w:ascii="Times New Roman" w:hAnsi="Times New Roman" w:cs="Times New Roman"/>
          <w:noProof/>
          <w:sz w:val="24"/>
          <w:szCs w:val="24"/>
        </w:rPr>
        <w:t xml:space="preserve"> met t</w:t>
      </w:r>
      <w:r w:rsidR="00A050CA" w:rsidRPr="0065255E">
        <w:rPr>
          <w:rFonts w:ascii="Times New Roman" w:hAnsi="Times New Roman" w:cs="Times New Roman"/>
          <w:noProof/>
          <w:sz w:val="24"/>
          <w:szCs w:val="24"/>
        </w:rPr>
        <w:t>hree</w:t>
      </w:r>
      <w:r w:rsidR="007E2AF9" w:rsidRPr="0065255E">
        <w:rPr>
          <w:rFonts w:ascii="Times New Roman" w:hAnsi="Times New Roman" w:cs="Times New Roman"/>
          <w:noProof/>
          <w:sz w:val="24"/>
          <w:szCs w:val="24"/>
        </w:rPr>
        <w:t xml:space="preserve"> </w:t>
      </w:r>
      <w:r w:rsidR="00A050CA" w:rsidRPr="0065255E">
        <w:rPr>
          <w:rFonts w:ascii="Times New Roman" w:hAnsi="Times New Roman" w:cs="Times New Roman"/>
          <w:noProof/>
          <w:sz w:val="24"/>
          <w:szCs w:val="24"/>
        </w:rPr>
        <w:t>times in 2025</w:t>
      </w:r>
      <w:r w:rsidR="00904937" w:rsidRPr="0065255E">
        <w:rPr>
          <w:rFonts w:ascii="Times New Roman" w:hAnsi="Times New Roman" w:cs="Times New Roman"/>
          <w:noProof/>
          <w:sz w:val="24"/>
          <w:szCs w:val="24"/>
        </w:rPr>
        <w:t xml:space="preserve"> to adopt</w:t>
      </w:r>
      <w:r w:rsidR="00505ABD" w:rsidRPr="0065255E">
        <w:rPr>
          <w:rFonts w:ascii="Times New Roman" w:hAnsi="Times New Roman" w:cs="Times New Roman"/>
          <w:noProof/>
          <w:sz w:val="24"/>
          <w:szCs w:val="24"/>
        </w:rPr>
        <w:t xml:space="preserve"> its Terms of Reference and </w:t>
      </w:r>
      <w:r w:rsidR="00904937" w:rsidRPr="0065255E">
        <w:rPr>
          <w:rFonts w:ascii="Times New Roman" w:hAnsi="Times New Roman" w:cs="Times New Roman"/>
          <w:noProof/>
          <w:sz w:val="24"/>
          <w:szCs w:val="24"/>
        </w:rPr>
        <w:t>to discuss</w:t>
      </w:r>
      <w:r w:rsidR="00946C2A" w:rsidRPr="0065255E">
        <w:rPr>
          <w:rFonts w:ascii="Times New Roman" w:hAnsi="Times New Roman" w:cs="Times New Roman"/>
          <w:noProof/>
          <w:sz w:val="24"/>
          <w:szCs w:val="24"/>
        </w:rPr>
        <w:t xml:space="preserve"> </w:t>
      </w:r>
      <w:r w:rsidR="003834E0" w:rsidRPr="0065255E">
        <w:rPr>
          <w:rFonts w:ascii="Times New Roman" w:hAnsi="Times New Roman" w:cs="Times New Roman"/>
          <w:noProof/>
          <w:sz w:val="24"/>
          <w:szCs w:val="24"/>
        </w:rPr>
        <w:t>security of supply ahead of the summer and winter</w:t>
      </w:r>
      <w:r w:rsidR="00904937" w:rsidRPr="0065255E">
        <w:rPr>
          <w:rFonts w:ascii="Times New Roman" w:hAnsi="Times New Roman" w:cs="Times New Roman"/>
          <w:noProof/>
          <w:sz w:val="24"/>
          <w:szCs w:val="24"/>
        </w:rPr>
        <w:t xml:space="preserve"> periods</w:t>
      </w:r>
      <w:r w:rsidR="003834E0" w:rsidRPr="0065255E">
        <w:rPr>
          <w:rFonts w:ascii="Times New Roman" w:hAnsi="Times New Roman" w:cs="Times New Roman"/>
          <w:noProof/>
          <w:sz w:val="24"/>
          <w:szCs w:val="24"/>
        </w:rPr>
        <w:t>.</w:t>
      </w:r>
    </w:p>
    <w:p w14:paraId="4B35EA80" w14:textId="0C3A93D4" w:rsidR="006D1404" w:rsidRPr="0065255E" w:rsidRDefault="5A876DED" w:rsidP="00470A6D">
      <w:pPr>
        <w:pStyle w:val="Heading2"/>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53" w:name="_Hlk157433161"/>
      <w:bookmarkStart w:id="54" w:name="_Toc185413387"/>
      <w:bookmarkStart w:id="55" w:name="_Toc204769325"/>
      <w:bookmarkStart w:id="56" w:name="_Toc209798648"/>
      <w:bookmarkEnd w:id="53"/>
      <w:r w:rsidRPr="0065255E">
        <w:rPr>
          <w:rFonts w:ascii="Times New Roman" w:hAnsi="Times New Roman" w:cs="Times New Roman"/>
          <w:b/>
          <w:bCs/>
          <w:noProof/>
          <w:color w:val="auto"/>
        </w:rPr>
        <w:t>Transport</w:t>
      </w:r>
      <w:bookmarkEnd w:id="54"/>
      <w:bookmarkEnd w:id="55"/>
      <w:bookmarkEnd w:id="56"/>
    </w:p>
    <w:p w14:paraId="6321356A" w14:textId="71CA7975" w:rsidR="00520836" w:rsidRPr="00411895" w:rsidRDefault="3DF2D69C" w:rsidP="00470A6D">
      <w:pPr>
        <w:spacing w:before="100" w:beforeAutospacing="1" w:after="100" w:afterAutospacing="1" w:line="240" w:lineRule="auto"/>
        <w:jc w:val="both"/>
        <w:rPr>
          <w:rFonts w:ascii="Times New Roman" w:eastAsia="Calibri" w:hAnsi="Times New Roman" w:cs="Times New Roman"/>
          <w:noProof/>
          <w:sz w:val="24"/>
          <w:szCs w:val="24"/>
        </w:rPr>
      </w:pPr>
      <w:r w:rsidRPr="0065255E">
        <w:rPr>
          <w:rFonts w:ascii="Times New Roman" w:eastAsia="Calibri" w:hAnsi="Times New Roman" w:cs="Times New Roman"/>
          <w:noProof/>
          <w:sz w:val="24"/>
          <w:szCs w:val="24"/>
        </w:rPr>
        <w:t>Implementation of the TCA in the area of transport</w:t>
      </w:r>
      <w:r w:rsidR="31EA5F6C" w:rsidRPr="0065255E">
        <w:rPr>
          <w:rFonts w:ascii="Times New Roman" w:eastAsia="Calibri" w:hAnsi="Times New Roman" w:cs="Times New Roman"/>
          <w:noProof/>
          <w:sz w:val="24"/>
          <w:szCs w:val="24"/>
        </w:rPr>
        <w:t xml:space="preserve"> proceeded smoothly, focus</w:t>
      </w:r>
      <w:r w:rsidR="0066529A" w:rsidRPr="0065255E">
        <w:rPr>
          <w:rFonts w:ascii="Times New Roman" w:eastAsia="Calibri" w:hAnsi="Times New Roman" w:cs="Times New Roman"/>
          <w:noProof/>
          <w:sz w:val="24"/>
          <w:szCs w:val="24"/>
        </w:rPr>
        <w:t>ing</w:t>
      </w:r>
      <w:r w:rsidR="31EA5F6C" w:rsidRPr="0065255E">
        <w:rPr>
          <w:rFonts w:ascii="Times New Roman" w:eastAsia="Calibri" w:hAnsi="Times New Roman" w:cs="Times New Roman"/>
          <w:noProof/>
          <w:sz w:val="24"/>
          <w:szCs w:val="24"/>
        </w:rPr>
        <w:t xml:space="preserve"> on the </w:t>
      </w:r>
      <w:r w:rsidR="31EA5F6C" w:rsidRPr="00411895">
        <w:rPr>
          <w:rFonts w:ascii="Times New Roman" w:eastAsia="Calibri" w:hAnsi="Times New Roman" w:cs="Times New Roman"/>
          <w:noProof/>
          <w:sz w:val="24"/>
          <w:szCs w:val="24"/>
        </w:rPr>
        <w:t xml:space="preserve">effective exercise of the rights mutually granted by the </w:t>
      </w:r>
      <w:r w:rsidR="0066529A" w:rsidRPr="00411895">
        <w:rPr>
          <w:rFonts w:ascii="Times New Roman" w:eastAsia="Calibri" w:hAnsi="Times New Roman" w:cs="Times New Roman"/>
          <w:noProof/>
          <w:sz w:val="24"/>
          <w:szCs w:val="24"/>
        </w:rPr>
        <w:t>parties</w:t>
      </w:r>
      <w:r w:rsidR="31EA5F6C" w:rsidRPr="00411895">
        <w:rPr>
          <w:rFonts w:ascii="Times New Roman" w:eastAsia="Calibri" w:hAnsi="Times New Roman" w:cs="Times New Roman"/>
          <w:noProof/>
          <w:sz w:val="24"/>
          <w:szCs w:val="24"/>
        </w:rPr>
        <w:t>.</w:t>
      </w:r>
    </w:p>
    <w:p w14:paraId="5409AED8" w14:textId="57F61107" w:rsidR="00DB5952" w:rsidRPr="002F3EF0" w:rsidRDefault="00DB5952" w:rsidP="00DB5952">
      <w:pPr>
        <w:spacing w:before="100" w:beforeAutospacing="1" w:after="100" w:afterAutospacing="1" w:line="240" w:lineRule="auto"/>
        <w:jc w:val="both"/>
        <w:rPr>
          <w:rFonts w:ascii="Times New Roman" w:eastAsia="Calibri" w:hAnsi="Times New Roman" w:cs="Times New Roman"/>
          <w:noProof/>
          <w:sz w:val="24"/>
          <w:szCs w:val="24"/>
        </w:rPr>
      </w:pPr>
      <w:r w:rsidRPr="00411895">
        <w:rPr>
          <w:rFonts w:ascii="Times New Roman" w:eastAsia="Calibri" w:hAnsi="Times New Roman" w:cs="Times New Roman"/>
          <w:noProof/>
          <w:sz w:val="24"/>
          <w:szCs w:val="24"/>
        </w:rPr>
        <w:t xml:space="preserve">In the area of </w:t>
      </w:r>
      <w:r w:rsidRPr="00411895">
        <w:rPr>
          <w:rFonts w:ascii="Times New Roman" w:eastAsia="Calibri" w:hAnsi="Times New Roman" w:cs="Times New Roman"/>
          <w:b/>
          <w:bCs/>
          <w:noProof/>
          <w:sz w:val="24"/>
          <w:szCs w:val="24"/>
        </w:rPr>
        <w:t>aviation safety</w:t>
      </w:r>
      <w:r w:rsidRPr="00411895">
        <w:rPr>
          <w:rFonts w:ascii="Times New Roman" w:eastAsia="Calibri" w:hAnsi="Times New Roman" w:cs="Times New Roman"/>
          <w:noProof/>
          <w:sz w:val="24"/>
          <w:szCs w:val="24"/>
        </w:rPr>
        <w:t xml:space="preserve">, of the </w:t>
      </w:r>
      <w:r>
        <w:rPr>
          <w:rFonts w:ascii="Times New Roman" w:eastAsia="Calibri" w:hAnsi="Times New Roman" w:cs="Times New Roman"/>
          <w:noProof/>
          <w:sz w:val="24"/>
          <w:szCs w:val="24"/>
        </w:rPr>
        <w:t>32</w:t>
      </w:r>
      <w:r w:rsidRPr="00411895">
        <w:rPr>
          <w:rFonts w:ascii="Times New Roman" w:eastAsia="Calibri" w:hAnsi="Times New Roman" w:cs="Times New Roman"/>
          <w:noProof/>
          <w:sz w:val="24"/>
          <w:szCs w:val="24"/>
        </w:rPr>
        <w:t xml:space="preserve"> applications for validation of certificates issued by the United Kingdom’s Civil Aviation Authority, </w:t>
      </w:r>
      <w:r>
        <w:rPr>
          <w:rFonts w:ascii="Times New Roman" w:eastAsia="Calibri" w:hAnsi="Times New Roman" w:cs="Times New Roman"/>
          <w:noProof/>
          <w:sz w:val="24"/>
          <w:szCs w:val="24"/>
        </w:rPr>
        <w:t>23</w:t>
      </w:r>
      <w:r w:rsidRPr="00411895">
        <w:rPr>
          <w:rFonts w:ascii="Times New Roman" w:eastAsia="Calibri" w:hAnsi="Times New Roman" w:cs="Times New Roman"/>
          <w:noProof/>
          <w:sz w:val="24"/>
          <w:szCs w:val="24"/>
        </w:rPr>
        <w:t xml:space="preserve"> </w:t>
      </w:r>
      <w:r w:rsidR="00016EB0">
        <w:rPr>
          <w:rFonts w:ascii="Times New Roman" w:eastAsia="Calibri" w:hAnsi="Times New Roman" w:cs="Times New Roman"/>
          <w:noProof/>
          <w:sz w:val="24"/>
          <w:szCs w:val="24"/>
        </w:rPr>
        <w:t>were</w:t>
      </w:r>
      <w:r w:rsidRPr="00411895">
        <w:rPr>
          <w:rFonts w:ascii="Times New Roman" w:eastAsia="Calibri" w:hAnsi="Times New Roman" w:cs="Times New Roman"/>
          <w:noProof/>
          <w:sz w:val="24"/>
          <w:szCs w:val="24"/>
        </w:rPr>
        <w:t xml:space="preserve"> approved </w:t>
      </w:r>
      <w:r w:rsidRPr="002F3EF0">
        <w:rPr>
          <w:rFonts w:ascii="Times New Roman" w:eastAsia="Calibri" w:hAnsi="Times New Roman" w:cs="Times New Roman"/>
          <w:noProof/>
          <w:sz w:val="24"/>
          <w:szCs w:val="24"/>
        </w:rPr>
        <w:t xml:space="preserve">by the EU Aviation Safety Agency (EASA) under Article 446 in conjunction with Annex 30 of the TCA. With support </w:t>
      </w:r>
      <w:r w:rsidR="00016EB0">
        <w:rPr>
          <w:rFonts w:ascii="Times New Roman" w:eastAsia="Calibri" w:hAnsi="Times New Roman" w:cs="Times New Roman"/>
          <w:noProof/>
          <w:sz w:val="24"/>
          <w:szCs w:val="24"/>
        </w:rPr>
        <w:t>of</w:t>
      </w:r>
      <w:r w:rsidRPr="002F3EF0">
        <w:rPr>
          <w:rFonts w:ascii="Times New Roman" w:eastAsia="Calibri" w:hAnsi="Times New Roman" w:cs="Times New Roman"/>
          <w:noProof/>
          <w:sz w:val="24"/>
          <w:szCs w:val="24"/>
        </w:rPr>
        <w:t xml:space="preserve"> the EASA, the United Kingdom authorities validated 4 of 11 projects submitted by EU applicants, </w:t>
      </w:r>
      <w:r w:rsidR="00016EB0">
        <w:rPr>
          <w:rFonts w:ascii="Times New Roman" w:eastAsia="Calibri" w:hAnsi="Times New Roman" w:cs="Times New Roman"/>
          <w:noProof/>
          <w:sz w:val="24"/>
          <w:szCs w:val="24"/>
        </w:rPr>
        <w:t xml:space="preserve">which is </w:t>
      </w:r>
      <w:r w:rsidRPr="002F3EF0">
        <w:rPr>
          <w:rFonts w:ascii="Times New Roman" w:eastAsia="Calibri" w:hAnsi="Times New Roman" w:cs="Times New Roman"/>
          <w:noProof/>
          <w:sz w:val="24"/>
          <w:szCs w:val="24"/>
        </w:rPr>
        <w:t>consistent with expected activity levels for certificate validation.</w:t>
      </w:r>
    </w:p>
    <w:p w14:paraId="128565B2" w14:textId="36C8C0BC" w:rsidR="00DB5952" w:rsidRPr="00F006D0" w:rsidRDefault="00DB5952" w:rsidP="00DB5952">
      <w:pPr>
        <w:spacing w:before="100" w:beforeAutospacing="1" w:after="100" w:afterAutospacing="1" w:line="240" w:lineRule="auto"/>
        <w:jc w:val="both"/>
        <w:rPr>
          <w:rFonts w:ascii="Times New Roman" w:eastAsia="Calibri" w:hAnsi="Times New Roman" w:cs="Times New Roman"/>
          <w:noProof/>
        </w:rPr>
      </w:pPr>
      <w:r w:rsidRPr="002F3EF0">
        <w:rPr>
          <w:rFonts w:ascii="Times New Roman" w:eastAsia="Calibri" w:hAnsi="Times New Roman" w:cs="Times New Roman"/>
          <w:noProof/>
          <w:sz w:val="24"/>
          <w:szCs w:val="24"/>
        </w:rPr>
        <w:t xml:space="preserve">In the area of </w:t>
      </w:r>
      <w:r w:rsidRPr="002F3EF0">
        <w:rPr>
          <w:rFonts w:ascii="Times New Roman" w:eastAsia="Calibri" w:hAnsi="Times New Roman" w:cs="Times New Roman"/>
          <w:b/>
          <w:bCs/>
          <w:noProof/>
          <w:sz w:val="24"/>
          <w:szCs w:val="24"/>
        </w:rPr>
        <w:t>air transport</w:t>
      </w:r>
      <w:r w:rsidRPr="002F3EF0">
        <w:rPr>
          <w:rFonts w:ascii="Times New Roman" w:eastAsia="Calibri" w:hAnsi="Times New Roman" w:cs="Times New Roman"/>
          <w:noProof/>
          <w:sz w:val="24"/>
          <w:szCs w:val="24"/>
        </w:rPr>
        <w:t>, by the end of 2025, air traffic between the EU and the United Kingdom was expected to have reached pre-pandemic levels. A total of 26 arrangements</w:t>
      </w:r>
      <w:r w:rsidRPr="00411895">
        <w:rPr>
          <w:rFonts w:ascii="Times New Roman" w:eastAsia="Calibri" w:hAnsi="Times New Roman" w:cs="Times New Roman"/>
          <w:noProof/>
          <w:sz w:val="24"/>
          <w:szCs w:val="24"/>
        </w:rPr>
        <w:t xml:space="preserve"> on all-cargo services and procedures for the approval of non-scheduled flights </w:t>
      </w:r>
      <w:r w:rsidR="00016EB0">
        <w:rPr>
          <w:rFonts w:ascii="Times New Roman" w:eastAsia="Calibri" w:hAnsi="Times New Roman" w:cs="Times New Roman"/>
          <w:noProof/>
          <w:sz w:val="24"/>
          <w:szCs w:val="24"/>
        </w:rPr>
        <w:t>were</w:t>
      </w:r>
      <w:r w:rsidRPr="00411895">
        <w:rPr>
          <w:rFonts w:ascii="Times New Roman" w:eastAsia="Calibri" w:hAnsi="Times New Roman" w:cs="Times New Roman"/>
          <w:noProof/>
          <w:sz w:val="24"/>
          <w:szCs w:val="24"/>
        </w:rPr>
        <w:t xml:space="preserve"> concluded between </w:t>
      </w:r>
      <w:r w:rsidR="00016EB0">
        <w:rPr>
          <w:rFonts w:ascii="Times New Roman" w:eastAsia="Calibri" w:hAnsi="Times New Roman" w:cs="Times New Roman"/>
          <w:noProof/>
          <w:sz w:val="24"/>
          <w:szCs w:val="24"/>
        </w:rPr>
        <w:t xml:space="preserve">the </w:t>
      </w:r>
      <w:r w:rsidRPr="00411895">
        <w:rPr>
          <w:rFonts w:ascii="Times New Roman" w:eastAsia="Calibri" w:hAnsi="Times New Roman" w:cs="Times New Roman"/>
          <w:noProof/>
          <w:sz w:val="24"/>
          <w:szCs w:val="24"/>
        </w:rPr>
        <w:t>EU Member States and the United Kingdom under Articles 419(4) and 419(9) of the TCA</w:t>
      </w:r>
      <w:r w:rsidR="00016EB0" w:rsidRPr="002F3EF0">
        <w:rPr>
          <w:rStyle w:val="FootnoteReference"/>
          <w:rFonts w:ascii="Times New Roman" w:eastAsia="Calibri" w:hAnsi="Times New Roman" w:cs="Times New Roman"/>
          <w:noProof/>
          <w:sz w:val="24"/>
          <w:szCs w:val="24"/>
        </w:rPr>
        <w:footnoteReference w:id="37"/>
      </w:r>
      <w:r w:rsidRPr="00411895">
        <w:rPr>
          <w:rFonts w:ascii="Times New Roman" w:eastAsia="Calibri" w:hAnsi="Times New Roman" w:cs="Times New Roman"/>
          <w:noProof/>
          <w:sz w:val="24"/>
          <w:szCs w:val="24"/>
        </w:rPr>
        <w:t xml:space="preserve">. </w:t>
      </w:r>
      <w:r w:rsidRPr="00411895">
        <w:rPr>
          <w:rFonts w:ascii="Times New Roman" w:eastAsia="Times New Roman" w:hAnsi="Times New Roman" w:cs="Times New Roman"/>
          <w:noProof/>
          <w:sz w:val="24"/>
          <w:szCs w:val="24"/>
        </w:rPr>
        <w:t>Additionally, the EU Member States and the United Kingdom granted ad-</w:t>
      </w:r>
      <w:r w:rsidRPr="0066529A">
        <w:rPr>
          <w:rFonts w:ascii="Times New Roman" w:eastAsia="Times New Roman" w:hAnsi="Times New Roman" w:cs="Times New Roman"/>
          <w:noProof/>
          <w:sz w:val="24"/>
          <w:szCs w:val="24"/>
        </w:rPr>
        <w:t>hoc authorisations for scheduled flights carrying goods or passengers between the United Kingdom and the EU beyond the freedoms provided for in Article 419 of the TCA.  The U</w:t>
      </w:r>
      <w:r>
        <w:rPr>
          <w:rFonts w:ascii="Times New Roman" w:eastAsia="Times New Roman" w:hAnsi="Times New Roman" w:cs="Times New Roman"/>
          <w:noProof/>
          <w:sz w:val="24"/>
          <w:szCs w:val="24"/>
        </w:rPr>
        <w:t xml:space="preserve">nited </w:t>
      </w:r>
      <w:r w:rsidRPr="0066529A">
        <w:rPr>
          <w:rFonts w:ascii="Times New Roman" w:eastAsia="Times New Roman" w:hAnsi="Times New Roman" w:cs="Times New Roman"/>
          <w:noProof/>
          <w:sz w:val="24"/>
          <w:szCs w:val="24"/>
        </w:rPr>
        <w:t>K</w:t>
      </w:r>
      <w:r>
        <w:rPr>
          <w:rFonts w:ascii="Times New Roman" w:eastAsia="Times New Roman" w:hAnsi="Times New Roman" w:cs="Times New Roman"/>
          <w:noProof/>
          <w:sz w:val="24"/>
          <w:szCs w:val="24"/>
        </w:rPr>
        <w:t>ingdom</w:t>
      </w:r>
      <w:r w:rsidRPr="0066529A">
        <w:rPr>
          <w:rFonts w:ascii="Times New Roman" w:eastAsia="Times New Roman" w:hAnsi="Times New Roman" w:cs="Times New Roman"/>
          <w:noProof/>
          <w:sz w:val="24"/>
          <w:szCs w:val="24"/>
        </w:rPr>
        <w:t xml:space="preserve"> and 25 Member States granted these authorisations by means of ”block permits” covering a number of flights for a given air carrier. </w:t>
      </w:r>
    </w:p>
    <w:p w14:paraId="229B0D3F" w14:textId="5B82697B" w:rsidR="00DB5952" w:rsidRPr="00F006D0" w:rsidRDefault="00DB5952" w:rsidP="00DB5952">
      <w:pPr>
        <w:spacing w:before="100" w:beforeAutospacing="1" w:after="100" w:afterAutospacing="1" w:line="240" w:lineRule="auto"/>
        <w:jc w:val="both"/>
        <w:rPr>
          <w:rFonts w:ascii="Times New Roman" w:eastAsia="Times New Roman" w:hAnsi="Times New Roman" w:cs="Times New Roman"/>
          <w:noProof/>
          <w:sz w:val="24"/>
          <w:szCs w:val="24"/>
        </w:rPr>
      </w:pPr>
      <w:r w:rsidRPr="00F006D0">
        <w:rPr>
          <w:rFonts w:ascii="Times New Roman" w:eastAsia="Times New Roman" w:hAnsi="Times New Roman" w:cs="Times New Roman"/>
          <w:noProof/>
          <w:sz w:val="24"/>
          <w:szCs w:val="24"/>
        </w:rPr>
        <w:t xml:space="preserve">In </w:t>
      </w:r>
      <w:r>
        <w:rPr>
          <w:rFonts w:ascii="Times New Roman" w:eastAsia="Times New Roman" w:hAnsi="Times New Roman" w:cs="Times New Roman"/>
          <w:noProof/>
          <w:sz w:val="24"/>
          <w:szCs w:val="24"/>
        </w:rPr>
        <w:t xml:space="preserve">the area of </w:t>
      </w:r>
      <w:r w:rsidRPr="00F006D0">
        <w:rPr>
          <w:rFonts w:ascii="Times New Roman" w:eastAsia="Times New Roman" w:hAnsi="Times New Roman" w:cs="Times New Roman"/>
          <w:b/>
          <w:bCs/>
          <w:noProof/>
          <w:sz w:val="24"/>
          <w:szCs w:val="24"/>
        </w:rPr>
        <w:t>road transport</w:t>
      </w:r>
      <w:r w:rsidRPr="00F006D0">
        <w:rPr>
          <w:rFonts w:ascii="Times New Roman" w:eastAsia="Times New Roman" w:hAnsi="Times New Roman" w:cs="Times New Roman"/>
          <w:noProof/>
          <w:sz w:val="24"/>
          <w:szCs w:val="24"/>
        </w:rPr>
        <w:t xml:space="preserve">, </w:t>
      </w:r>
      <w:r w:rsidRPr="00E65816">
        <w:rPr>
          <w:rFonts w:ascii="Times New Roman" w:eastAsia="Times New Roman" w:hAnsi="Times New Roman" w:cs="Times New Roman"/>
          <w:noProof/>
          <w:sz w:val="24"/>
          <w:szCs w:val="24"/>
        </w:rPr>
        <w:t xml:space="preserve">work continued to implement the provisions </w:t>
      </w:r>
      <w:r>
        <w:rPr>
          <w:rFonts w:ascii="Times New Roman" w:eastAsia="Times New Roman" w:hAnsi="Times New Roman" w:cs="Times New Roman"/>
          <w:noProof/>
          <w:sz w:val="24"/>
          <w:szCs w:val="24"/>
        </w:rPr>
        <w:t xml:space="preserve">of the TCA </w:t>
      </w:r>
      <w:r w:rsidRPr="00E65816">
        <w:rPr>
          <w:rFonts w:ascii="Times New Roman" w:eastAsia="Times New Roman" w:hAnsi="Times New Roman" w:cs="Times New Roman"/>
          <w:noProof/>
          <w:sz w:val="24"/>
          <w:szCs w:val="24"/>
        </w:rPr>
        <w:t xml:space="preserve">on the exchange of information and data </w:t>
      </w:r>
      <w:r>
        <w:rPr>
          <w:rFonts w:ascii="Times New Roman" w:eastAsia="Times New Roman" w:hAnsi="Times New Roman" w:cs="Times New Roman"/>
          <w:noProof/>
          <w:sz w:val="24"/>
          <w:szCs w:val="24"/>
        </w:rPr>
        <w:t>contained in</w:t>
      </w:r>
      <w:r w:rsidRPr="00E65816">
        <w:rPr>
          <w:rFonts w:ascii="Times New Roman" w:eastAsia="Times New Roman" w:hAnsi="Times New Roman" w:cs="Times New Roman"/>
          <w:noProof/>
          <w:sz w:val="24"/>
          <w:szCs w:val="24"/>
        </w:rPr>
        <w:t xml:space="preserve"> national electronic registers (c.f. Article 14, Section 1 of Part A of TCA Annex 31). This included connecting</w:t>
      </w:r>
      <w:r>
        <w:rPr>
          <w:rFonts w:ascii="Times New Roman" w:eastAsia="Times New Roman" w:hAnsi="Times New Roman" w:cs="Times New Roman"/>
          <w:noProof/>
          <w:sz w:val="24"/>
          <w:szCs w:val="24"/>
        </w:rPr>
        <w:t xml:space="preserve">, as of 1 January 2026, </w:t>
      </w:r>
      <w:r w:rsidRPr="00E65816">
        <w:rPr>
          <w:rFonts w:ascii="Times New Roman" w:eastAsia="Times New Roman" w:hAnsi="Times New Roman" w:cs="Times New Roman"/>
          <w:noProof/>
          <w:sz w:val="24"/>
          <w:szCs w:val="24"/>
        </w:rPr>
        <w:t>the United Kingdom to the European Registers of Road Undertakings, which links national registers of road transport operators</w:t>
      </w:r>
      <w:r>
        <w:rPr>
          <w:rFonts w:ascii="Times New Roman" w:eastAsia="Times New Roman" w:hAnsi="Times New Roman" w:cs="Times New Roman"/>
          <w:noProof/>
          <w:sz w:val="24"/>
          <w:szCs w:val="24"/>
        </w:rPr>
        <w:t xml:space="preserve">, allowing the exchange of information on serious infringements committed by road transport undertakings in the other Party, as well as other information contained in the national electronic registers. </w:t>
      </w:r>
      <w:r w:rsidRPr="00E65816">
        <w:rPr>
          <w:rFonts w:ascii="Times New Roman" w:eastAsia="Times New Roman" w:hAnsi="Times New Roman" w:cs="Times New Roman"/>
          <w:noProof/>
          <w:sz w:val="24"/>
          <w:szCs w:val="24"/>
        </w:rPr>
        <w:t>These initiatives aim to strengthen cooperation and improve data sharing between the EU and the United Kingdom</w:t>
      </w:r>
      <w:r>
        <w:rPr>
          <w:rFonts w:ascii="Times New Roman" w:eastAsia="Times New Roman" w:hAnsi="Times New Roman" w:cs="Times New Roman"/>
          <w:noProof/>
          <w:sz w:val="24"/>
          <w:szCs w:val="24"/>
        </w:rPr>
        <w:t>, and were formalised through Decisions No 1/2025, No 2/2025 and No 3/2025 of the Specialised Committee on Road Transport</w:t>
      </w:r>
      <w:r>
        <w:rPr>
          <w:rStyle w:val="FootnoteReference"/>
          <w:rFonts w:ascii="Times New Roman" w:eastAsia="Times New Roman" w:hAnsi="Times New Roman" w:cs="Times New Roman"/>
          <w:noProof/>
          <w:sz w:val="24"/>
          <w:szCs w:val="24"/>
        </w:rPr>
        <w:footnoteReference w:id="38"/>
      </w:r>
      <w:r w:rsidRPr="00E65816">
        <w:rPr>
          <w:rFonts w:ascii="Times New Roman" w:eastAsia="Times New Roman" w:hAnsi="Times New Roman" w:cs="Times New Roman"/>
          <w:noProof/>
          <w:sz w:val="24"/>
          <w:szCs w:val="24"/>
        </w:rPr>
        <w:t>.</w:t>
      </w:r>
    </w:p>
    <w:p w14:paraId="29BC8358" w14:textId="7CB14664" w:rsidR="00F12521" w:rsidRDefault="33A451BC"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57" w:name="_Toc185413388"/>
      <w:bookmarkStart w:id="58" w:name="_Toc204769326"/>
      <w:bookmarkStart w:id="59" w:name="_Toc209798649"/>
      <w:r w:rsidRPr="0086076B">
        <w:rPr>
          <w:rFonts w:ascii="Times New Roman" w:hAnsi="Times New Roman" w:cs="Times New Roman"/>
          <w:b/>
          <w:bCs/>
          <w:noProof/>
          <w:color w:val="auto"/>
        </w:rPr>
        <w:t>Fisheries</w:t>
      </w:r>
      <w:bookmarkEnd w:id="57"/>
      <w:bookmarkEnd w:id="58"/>
      <w:bookmarkEnd w:id="59"/>
    </w:p>
    <w:p w14:paraId="581315E5" w14:textId="43779723" w:rsidR="00B7366F" w:rsidRDefault="00A9100D" w:rsidP="00A9100D">
      <w:pPr>
        <w:spacing w:before="100" w:beforeAutospacing="1" w:after="100" w:afterAutospacing="1" w:line="240" w:lineRule="auto"/>
        <w:jc w:val="both"/>
        <w:rPr>
          <w:rFonts w:ascii="Times New Roman" w:hAnsi="Times New Roman" w:cs="Times New Roman"/>
          <w:noProof/>
          <w:sz w:val="24"/>
          <w:szCs w:val="24"/>
        </w:rPr>
      </w:pPr>
      <w:r w:rsidRPr="00A9100D">
        <w:rPr>
          <w:rFonts w:ascii="Times New Roman" w:hAnsi="Times New Roman" w:cs="Times New Roman"/>
          <w:noProof/>
          <w:sz w:val="24"/>
          <w:szCs w:val="24"/>
        </w:rPr>
        <w:t xml:space="preserve">The </w:t>
      </w:r>
      <w:r w:rsidR="00B923D8">
        <w:rPr>
          <w:rFonts w:ascii="Times New Roman" w:hAnsi="Times New Roman" w:cs="Times New Roman"/>
          <w:noProof/>
          <w:sz w:val="24"/>
          <w:szCs w:val="24"/>
        </w:rPr>
        <w:t xml:space="preserve">landmark </w:t>
      </w:r>
      <w:r w:rsidRPr="00A9100D">
        <w:rPr>
          <w:rFonts w:ascii="Times New Roman" w:hAnsi="Times New Roman" w:cs="Times New Roman"/>
          <w:noProof/>
          <w:sz w:val="24"/>
          <w:szCs w:val="24"/>
        </w:rPr>
        <w:t xml:space="preserve">political agreement reached at the EU–United Kingdom Summit to guarantee full reciprocal access to waters beyond 30 June 2026 </w:t>
      </w:r>
      <w:r w:rsidR="00FC671F">
        <w:rPr>
          <w:rFonts w:ascii="Times New Roman" w:hAnsi="Times New Roman" w:cs="Times New Roman"/>
          <w:noProof/>
          <w:sz w:val="24"/>
          <w:szCs w:val="24"/>
        </w:rPr>
        <w:t>until</w:t>
      </w:r>
      <w:r w:rsidRPr="00A9100D">
        <w:rPr>
          <w:rFonts w:ascii="Times New Roman" w:hAnsi="Times New Roman" w:cs="Times New Roman"/>
          <w:noProof/>
          <w:sz w:val="24"/>
          <w:szCs w:val="24"/>
        </w:rPr>
        <w:t xml:space="preserve"> 30 June 2038 </w:t>
      </w:r>
      <w:r w:rsidR="007E6C7F">
        <w:rPr>
          <w:rFonts w:ascii="Times New Roman" w:hAnsi="Times New Roman" w:cs="Times New Roman"/>
          <w:noProof/>
          <w:sz w:val="24"/>
          <w:szCs w:val="24"/>
        </w:rPr>
        <w:t xml:space="preserve">is </w:t>
      </w:r>
      <w:r w:rsidRPr="00A9100D">
        <w:rPr>
          <w:rFonts w:ascii="Times New Roman" w:hAnsi="Times New Roman" w:cs="Times New Roman"/>
          <w:noProof/>
          <w:sz w:val="24"/>
          <w:szCs w:val="24"/>
        </w:rPr>
        <w:t>the most significant development in the area of fisheries. Formalised through Decision No. 1/2025</w:t>
      </w:r>
      <w:r w:rsidRPr="00F97D5F">
        <w:rPr>
          <w:rStyle w:val="FootnoteReference"/>
          <w:rFonts w:ascii="Times New Roman" w:hAnsi="Times New Roman" w:cs="Times New Roman"/>
          <w:noProof/>
          <w:sz w:val="24"/>
          <w:szCs w:val="24"/>
        </w:rPr>
        <w:footnoteReference w:id="39"/>
      </w:r>
      <w:r w:rsidRPr="00A9100D">
        <w:rPr>
          <w:rFonts w:ascii="Times New Roman" w:hAnsi="Times New Roman" w:cs="Times New Roman"/>
          <w:noProof/>
          <w:sz w:val="24"/>
          <w:szCs w:val="24"/>
        </w:rPr>
        <w:t xml:space="preserve"> of the Partnership Council and Decision No. 1/2025</w:t>
      </w:r>
      <w:r w:rsidRPr="00F97D5F">
        <w:rPr>
          <w:rStyle w:val="FootnoteReference"/>
          <w:rFonts w:ascii="Times New Roman" w:hAnsi="Times New Roman" w:cs="Times New Roman"/>
          <w:noProof/>
          <w:sz w:val="24"/>
          <w:szCs w:val="24"/>
        </w:rPr>
        <w:footnoteReference w:id="40"/>
      </w:r>
      <w:r w:rsidRPr="00A9100D">
        <w:rPr>
          <w:rFonts w:ascii="Times New Roman" w:hAnsi="Times New Roman" w:cs="Times New Roman"/>
          <w:noProof/>
          <w:sz w:val="24"/>
          <w:szCs w:val="24"/>
        </w:rPr>
        <w:t xml:space="preserve"> of the Specialised Committee on Fisheries under the </w:t>
      </w:r>
      <w:r>
        <w:rPr>
          <w:rFonts w:ascii="Times New Roman" w:hAnsi="Times New Roman" w:cs="Times New Roman"/>
          <w:noProof/>
          <w:sz w:val="24"/>
          <w:szCs w:val="24"/>
        </w:rPr>
        <w:t>TCA</w:t>
      </w:r>
      <w:r w:rsidR="00B923D8">
        <w:rPr>
          <w:rFonts w:ascii="Times New Roman" w:hAnsi="Times New Roman" w:cs="Times New Roman"/>
          <w:noProof/>
          <w:sz w:val="24"/>
          <w:szCs w:val="24"/>
        </w:rPr>
        <w:t>,</w:t>
      </w:r>
      <w:r w:rsidRPr="00A9100D">
        <w:rPr>
          <w:rFonts w:ascii="Times New Roman" w:hAnsi="Times New Roman" w:cs="Times New Roman"/>
          <w:noProof/>
          <w:sz w:val="24"/>
          <w:szCs w:val="24"/>
        </w:rPr>
        <w:t xml:space="preserve"> </w:t>
      </w:r>
      <w:r w:rsidR="00B923D8" w:rsidRPr="00B923D8">
        <w:rPr>
          <w:rFonts w:ascii="Times New Roman" w:hAnsi="Times New Roman" w:cs="Times New Roman"/>
          <w:noProof/>
          <w:sz w:val="24"/>
          <w:szCs w:val="24"/>
        </w:rPr>
        <w:t>this agreement provides long-term stability and predictability for EU fishers, securing their rights</w:t>
      </w:r>
      <w:r w:rsidR="0063558E">
        <w:rPr>
          <w:rFonts w:ascii="Times New Roman" w:hAnsi="Times New Roman" w:cs="Times New Roman"/>
          <w:noProof/>
          <w:sz w:val="24"/>
          <w:szCs w:val="24"/>
        </w:rPr>
        <w:t xml:space="preserve"> and </w:t>
      </w:r>
      <w:r w:rsidR="00B923D8" w:rsidRPr="00B923D8">
        <w:rPr>
          <w:rFonts w:ascii="Times New Roman" w:hAnsi="Times New Roman" w:cs="Times New Roman"/>
          <w:noProof/>
          <w:sz w:val="24"/>
          <w:szCs w:val="24"/>
        </w:rPr>
        <w:t xml:space="preserve">safeguarding livelihoods, </w:t>
      </w:r>
      <w:r w:rsidR="00E6411C">
        <w:rPr>
          <w:rFonts w:ascii="Times New Roman" w:hAnsi="Times New Roman" w:cs="Times New Roman"/>
          <w:noProof/>
          <w:sz w:val="24"/>
          <w:szCs w:val="24"/>
        </w:rPr>
        <w:t>and marks</w:t>
      </w:r>
      <w:r w:rsidR="00B923D8" w:rsidRPr="00B923D8">
        <w:rPr>
          <w:rFonts w:ascii="Times New Roman" w:hAnsi="Times New Roman" w:cs="Times New Roman"/>
          <w:noProof/>
          <w:sz w:val="24"/>
          <w:szCs w:val="24"/>
        </w:rPr>
        <w:t xml:space="preserve"> a </w:t>
      </w:r>
      <w:r w:rsidR="005A2BA7" w:rsidRPr="00B923D8">
        <w:rPr>
          <w:rFonts w:ascii="Times New Roman" w:hAnsi="Times New Roman" w:cs="Times New Roman"/>
          <w:noProof/>
          <w:sz w:val="24"/>
          <w:szCs w:val="24"/>
        </w:rPr>
        <w:t xml:space="preserve">significant step </w:t>
      </w:r>
      <w:r w:rsidR="005A2BA7">
        <w:rPr>
          <w:rFonts w:ascii="Times New Roman" w:hAnsi="Times New Roman" w:cs="Times New Roman"/>
          <w:noProof/>
          <w:sz w:val="24"/>
          <w:szCs w:val="24"/>
        </w:rPr>
        <w:t>forward</w:t>
      </w:r>
      <w:r w:rsidR="004A2556">
        <w:rPr>
          <w:rFonts w:ascii="Times New Roman" w:hAnsi="Times New Roman" w:cs="Times New Roman"/>
          <w:noProof/>
          <w:sz w:val="24"/>
          <w:szCs w:val="24"/>
        </w:rPr>
        <w:t xml:space="preserve"> in</w:t>
      </w:r>
      <w:r w:rsidR="004A2556" w:rsidRPr="00B923D8">
        <w:rPr>
          <w:rFonts w:ascii="Times New Roman" w:hAnsi="Times New Roman" w:cs="Times New Roman"/>
          <w:noProof/>
          <w:sz w:val="24"/>
          <w:szCs w:val="24"/>
        </w:rPr>
        <w:t xml:space="preserve"> </w:t>
      </w:r>
      <w:r w:rsidR="00B923D8" w:rsidRPr="00B923D8">
        <w:rPr>
          <w:rFonts w:ascii="Times New Roman" w:hAnsi="Times New Roman" w:cs="Times New Roman"/>
          <w:noProof/>
          <w:sz w:val="24"/>
          <w:szCs w:val="24"/>
        </w:rPr>
        <w:t>the implementation of the Common Understanding</w:t>
      </w:r>
      <w:r w:rsidR="00B923D8">
        <w:rPr>
          <w:rFonts w:ascii="Times New Roman" w:hAnsi="Times New Roman" w:cs="Times New Roman"/>
          <w:noProof/>
          <w:sz w:val="24"/>
          <w:szCs w:val="24"/>
        </w:rPr>
        <w:t>.</w:t>
      </w:r>
    </w:p>
    <w:p w14:paraId="7DC693C0" w14:textId="5DEDF008" w:rsidR="00B33843" w:rsidRDefault="00B33843" w:rsidP="00A14452">
      <w:pPr>
        <w:spacing w:before="100" w:beforeAutospacing="1" w:after="100" w:afterAutospacing="1" w:line="240" w:lineRule="auto"/>
        <w:jc w:val="both"/>
        <w:rPr>
          <w:rFonts w:ascii="Times New Roman" w:hAnsi="Times New Roman" w:cs="Times New Roman"/>
          <w:noProof/>
          <w:sz w:val="24"/>
          <w:szCs w:val="24"/>
        </w:rPr>
      </w:pPr>
      <w:bookmarkStart w:id="60" w:name="_Hlk218760230"/>
      <w:bookmarkStart w:id="61" w:name="_Hlk210125164"/>
      <w:r w:rsidRPr="0087143C">
        <w:rPr>
          <w:rFonts w:ascii="Times New Roman" w:hAnsi="Times New Roman" w:cs="Times New Roman"/>
          <w:noProof/>
          <w:sz w:val="24"/>
          <w:szCs w:val="24"/>
        </w:rPr>
        <w:t>Furthermore, the Commission actively engaged in discussions with the United Kingdom regarding its marine protected areas. While fully supporting the protection of marine ecosystems, the Commission highlight</w:t>
      </w:r>
      <w:r w:rsidR="004E7FBE">
        <w:rPr>
          <w:rFonts w:ascii="Times New Roman" w:hAnsi="Times New Roman" w:cs="Times New Roman"/>
          <w:noProof/>
          <w:sz w:val="24"/>
          <w:szCs w:val="24"/>
        </w:rPr>
        <w:t>s</w:t>
      </w:r>
      <w:r w:rsidRPr="0087143C">
        <w:rPr>
          <w:rFonts w:ascii="Times New Roman" w:hAnsi="Times New Roman" w:cs="Times New Roman"/>
          <w:noProof/>
          <w:sz w:val="24"/>
          <w:szCs w:val="24"/>
        </w:rPr>
        <w:t xml:space="preserve"> the need for approaches that balance conservation with socio-economic considerations</w:t>
      </w:r>
      <w:r w:rsidR="000079C2">
        <w:rPr>
          <w:rFonts w:ascii="Times New Roman" w:hAnsi="Times New Roman" w:cs="Times New Roman"/>
          <w:noProof/>
          <w:sz w:val="24"/>
          <w:szCs w:val="24"/>
        </w:rPr>
        <w:t xml:space="preserve"> and protection of EU fishing rights</w:t>
      </w:r>
      <w:r w:rsidRPr="0087143C">
        <w:rPr>
          <w:rFonts w:ascii="Times New Roman" w:hAnsi="Times New Roman" w:cs="Times New Roman"/>
          <w:noProof/>
          <w:sz w:val="24"/>
          <w:szCs w:val="24"/>
        </w:rPr>
        <w:t xml:space="preserve">. </w:t>
      </w:r>
      <w:r w:rsidRPr="009555D5">
        <w:rPr>
          <w:rFonts w:ascii="Times New Roman" w:hAnsi="Times New Roman" w:cs="Times New Roman"/>
          <w:noProof/>
          <w:sz w:val="24"/>
          <w:szCs w:val="24"/>
        </w:rPr>
        <w:t xml:space="preserve">The Commission remains committed to constructive dialogue </w:t>
      </w:r>
      <w:r w:rsidR="005443EF" w:rsidRPr="00411895">
        <w:rPr>
          <w:rFonts w:ascii="Times New Roman" w:hAnsi="Times New Roman" w:cs="Times New Roman"/>
          <w:noProof/>
          <w:sz w:val="24"/>
          <w:szCs w:val="24"/>
        </w:rPr>
        <w:t>with the United Kingdom’s authorities.</w:t>
      </w:r>
    </w:p>
    <w:bookmarkEnd w:id="60"/>
    <w:p w14:paraId="7684B2D5" w14:textId="5DCEBD49" w:rsidR="00A9100D" w:rsidRPr="00A9100D" w:rsidRDefault="0023461A" w:rsidP="00A9100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Lastly</w:t>
      </w:r>
      <w:r w:rsidR="008E1204" w:rsidRPr="00ED09AF">
        <w:rPr>
          <w:rFonts w:ascii="Times New Roman" w:hAnsi="Times New Roman" w:cs="Times New Roman"/>
          <w:noProof/>
          <w:sz w:val="24"/>
          <w:szCs w:val="24"/>
        </w:rPr>
        <w:t>, i</w:t>
      </w:r>
      <w:r w:rsidR="00BA41AC" w:rsidRPr="00ED09AF">
        <w:rPr>
          <w:rFonts w:ascii="Times New Roman" w:hAnsi="Times New Roman" w:cs="Times New Roman"/>
          <w:noProof/>
          <w:sz w:val="24"/>
          <w:szCs w:val="24"/>
        </w:rPr>
        <w:t xml:space="preserve">n December 2025, the EU and the United Kingdom concluded their annual consultations under Article 498 of the TCA to determine the total allowable catches for shared stocks in 2026. </w:t>
      </w:r>
      <w:r w:rsidR="00ED09AF" w:rsidRPr="00ED09AF">
        <w:rPr>
          <w:rFonts w:ascii="Times New Roman" w:hAnsi="Times New Roman" w:cs="Times New Roman"/>
          <w:noProof/>
          <w:sz w:val="24"/>
          <w:szCs w:val="24"/>
        </w:rPr>
        <w:t>The agreement ensures </w:t>
      </w:r>
      <w:r w:rsidR="00B816FA">
        <w:rPr>
          <w:rFonts w:ascii="Times New Roman" w:hAnsi="Times New Roman" w:cs="Times New Roman"/>
          <w:noProof/>
          <w:sz w:val="24"/>
          <w:szCs w:val="24"/>
        </w:rPr>
        <w:t xml:space="preserve">that </w:t>
      </w:r>
      <w:r w:rsidR="00ED09AF" w:rsidRPr="00ED09AF">
        <w:rPr>
          <w:rFonts w:ascii="Times New Roman" w:hAnsi="Times New Roman" w:cs="Times New Roman"/>
          <w:noProof/>
          <w:sz w:val="24"/>
          <w:szCs w:val="24"/>
        </w:rPr>
        <w:t>EU fleets can fish up to 288</w:t>
      </w:r>
      <w:r w:rsidR="00CC7354">
        <w:rPr>
          <w:rFonts w:ascii="Times New Roman" w:hAnsi="Times New Roman" w:cs="Times New Roman"/>
          <w:noProof/>
          <w:sz w:val="24"/>
          <w:szCs w:val="24"/>
        </w:rPr>
        <w:t> </w:t>
      </w:r>
      <w:r w:rsidR="00ED09AF" w:rsidRPr="00ED09AF">
        <w:rPr>
          <w:rFonts w:ascii="Times New Roman" w:hAnsi="Times New Roman" w:cs="Times New Roman"/>
          <w:noProof/>
          <w:sz w:val="24"/>
          <w:szCs w:val="24"/>
        </w:rPr>
        <w:t>000 tonnes, worth over </w:t>
      </w:r>
      <w:r w:rsidR="002527AD">
        <w:rPr>
          <w:rFonts w:ascii="Times New Roman" w:hAnsi="Times New Roman" w:cs="Times New Roman"/>
          <w:noProof/>
          <w:sz w:val="24"/>
          <w:szCs w:val="24"/>
        </w:rPr>
        <w:t>EUR</w:t>
      </w:r>
      <w:r w:rsidR="00CC7354">
        <w:rPr>
          <w:rFonts w:ascii="Times New Roman" w:hAnsi="Times New Roman" w:cs="Times New Roman"/>
          <w:noProof/>
          <w:sz w:val="24"/>
          <w:szCs w:val="24"/>
        </w:rPr>
        <w:t> </w:t>
      </w:r>
      <w:r w:rsidR="00ED09AF" w:rsidRPr="00ED09AF">
        <w:rPr>
          <w:rFonts w:ascii="Times New Roman" w:hAnsi="Times New Roman" w:cs="Times New Roman"/>
          <w:noProof/>
          <w:sz w:val="24"/>
          <w:szCs w:val="24"/>
        </w:rPr>
        <w:t>1.2</w:t>
      </w:r>
      <w:r w:rsidR="00352C54">
        <w:rPr>
          <w:rFonts w:ascii="Times New Roman" w:hAnsi="Times New Roman" w:cs="Times New Roman"/>
          <w:noProof/>
          <w:sz w:val="24"/>
          <w:szCs w:val="24"/>
        </w:rPr>
        <w:t> </w:t>
      </w:r>
      <w:r w:rsidR="00ED09AF" w:rsidRPr="00ED09AF">
        <w:rPr>
          <w:rFonts w:ascii="Times New Roman" w:hAnsi="Times New Roman" w:cs="Times New Roman"/>
          <w:noProof/>
          <w:sz w:val="24"/>
          <w:szCs w:val="24"/>
        </w:rPr>
        <w:t>billion</w:t>
      </w:r>
      <w:r w:rsidR="00BA41AC" w:rsidRPr="00ED09AF">
        <w:rPr>
          <w:rFonts w:ascii="Times New Roman" w:hAnsi="Times New Roman" w:cs="Times New Roman"/>
          <w:noProof/>
          <w:sz w:val="24"/>
          <w:szCs w:val="24"/>
        </w:rPr>
        <w:t>.</w:t>
      </w:r>
    </w:p>
    <w:p w14:paraId="2F3DBB23" w14:textId="12FB78F2" w:rsidR="006D1404" w:rsidRPr="0086076B" w:rsidRDefault="33A451BC"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62" w:name="_Toc185413389"/>
      <w:bookmarkStart w:id="63" w:name="_Toc204769327"/>
      <w:bookmarkStart w:id="64" w:name="_Toc209798650"/>
      <w:bookmarkEnd w:id="61"/>
      <w:r w:rsidRPr="0086076B">
        <w:rPr>
          <w:rFonts w:ascii="Times New Roman" w:hAnsi="Times New Roman" w:cs="Times New Roman"/>
          <w:b/>
          <w:bCs/>
          <w:noProof/>
          <w:color w:val="auto"/>
        </w:rPr>
        <w:t>Social security coordination</w:t>
      </w:r>
      <w:bookmarkEnd w:id="62"/>
      <w:bookmarkEnd w:id="63"/>
      <w:bookmarkEnd w:id="64"/>
    </w:p>
    <w:p w14:paraId="5A6C51B1" w14:textId="7A85E211" w:rsidR="01125C26" w:rsidRDefault="01125C26" w:rsidP="001D0BC1">
      <w:pPr>
        <w:spacing w:before="100" w:beforeAutospacing="1" w:after="100" w:afterAutospacing="1" w:line="240" w:lineRule="auto"/>
        <w:jc w:val="both"/>
        <w:rPr>
          <w:rFonts w:ascii="Times New Roman" w:eastAsia="Times New Roman" w:hAnsi="Times New Roman" w:cs="Times New Roman"/>
          <w:noProof/>
          <w:sz w:val="24"/>
          <w:szCs w:val="24"/>
        </w:rPr>
      </w:pPr>
      <w:r w:rsidRPr="76A0B38E">
        <w:rPr>
          <w:rFonts w:ascii="Times New Roman" w:eastAsia="Times New Roman" w:hAnsi="Times New Roman" w:cs="Times New Roman"/>
          <w:noProof/>
          <w:sz w:val="24"/>
          <w:szCs w:val="24"/>
        </w:rPr>
        <w:t>As in previous years, the implementation of the Protocol on Social Security Coordination to the TCA (‘the Protocol’) continued in a constructive manner, with no systemic or structural issues identified.</w:t>
      </w:r>
    </w:p>
    <w:p w14:paraId="3F455BA4" w14:textId="69F2E688" w:rsidR="01125C26" w:rsidRDefault="01125C26" w:rsidP="00411895">
      <w:pPr>
        <w:spacing w:line="240" w:lineRule="auto"/>
        <w:jc w:val="both"/>
        <w:rPr>
          <w:rFonts w:ascii="Times New Roman" w:eastAsia="Times New Roman" w:hAnsi="Times New Roman" w:cs="Times New Roman"/>
          <w:noProof/>
          <w:sz w:val="24"/>
          <w:szCs w:val="24"/>
        </w:rPr>
      </w:pPr>
      <w:r w:rsidRPr="76A0B38E">
        <w:rPr>
          <w:rFonts w:ascii="Times New Roman" w:eastAsia="Times New Roman" w:hAnsi="Times New Roman" w:cs="Times New Roman"/>
          <w:noProof/>
          <w:sz w:val="24"/>
          <w:szCs w:val="24"/>
        </w:rPr>
        <w:t xml:space="preserve">The Specialised Committee on Social Security Coordination carried out its technical work, in particular on: (i) changes to structured electronic documents and portable documents; (ii) procedures for reimbursing the cost of sickness benefits; (iii) the transposition of relevant decisions of the Administrative Commission for the Coordination of Social Security Systems; and (iv) exploratory talks on the possibility of including a new provision in the implementing rules of the Protocol, allowing States to derogate from the rules on applicable legislation by common agreement in well-defined situations and in the interest of the persons concerned. </w:t>
      </w:r>
      <w:r w:rsidR="00420C47">
        <w:rPr>
          <w:rFonts w:ascii="Times New Roman" w:eastAsia="Times New Roman" w:hAnsi="Times New Roman" w:cs="Times New Roman"/>
          <w:noProof/>
          <w:sz w:val="24"/>
          <w:szCs w:val="24"/>
        </w:rPr>
        <w:t>N</w:t>
      </w:r>
      <w:r w:rsidRPr="76A0B38E">
        <w:rPr>
          <w:rFonts w:ascii="Times New Roman" w:eastAsia="Times New Roman" w:hAnsi="Times New Roman" w:cs="Times New Roman"/>
          <w:noProof/>
          <w:sz w:val="24"/>
          <w:szCs w:val="24"/>
        </w:rPr>
        <w:t xml:space="preserve">o Decisions or Recommendations </w:t>
      </w:r>
      <w:r w:rsidR="00420C47" w:rsidRPr="76A0B38E">
        <w:rPr>
          <w:rFonts w:ascii="Times New Roman" w:eastAsia="Times New Roman" w:hAnsi="Times New Roman" w:cs="Times New Roman"/>
          <w:noProof/>
          <w:sz w:val="24"/>
          <w:szCs w:val="24"/>
        </w:rPr>
        <w:t xml:space="preserve">were </w:t>
      </w:r>
      <w:r w:rsidRPr="76A0B38E">
        <w:rPr>
          <w:rFonts w:ascii="Times New Roman" w:eastAsia="Times New Roman" w:hAnsi="Times New Roman" w:cs="Times New Roman"/>
          <w:noProof/>
          <w:sz w:val="24"/>
          <w:szCs w:val="24"/>
        </w:rPr>
        <w:t>adopted in 2025.</w:t>
      </w:r>
    </w:p>
    <w:p w14:paraId="7A26BA23" w14:textId="70077539" w:rsidR="006D1404" w:rsidRPr="0086076B" w:rsidRDefault="33A451BC"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65" w:name="_Toc185413390"/>
      <w:bookmarkStart w:id="66" w:name="_Toc204769328"/>
      <w:bookmarkStart w:id="67" w:name="_Toc209798651"/>
      <w:r w:rsidRPr="0086076B">
        <w:rPr>
          <w:rFonts w:ascii="Times New Roman" w:hAnsi="Times New Roman" w:cs="Times New Roman"/>
          <w:b/>
          <w:bCs/>
          <w:noProof/>
          <w:color w:val="auto"/>
        </w:rPr>
        <w:t>Law enforcement and judicial cooperation in criminal matters</w:t>
      </w:r>
      <w:bookmarkEnd w:id="65"/>
      <w:bookmarkEnd w:id="66"/>
      <w:bookmarkEnd w:id="67"/>
    </w:p>
    <w:p w14:paraId="5BA06319" w14:textId="64BCFB75" w:rsidR="00AE3EE8" w:rsidRDefault="00AE3EE8" w:rsidP="00470A6D">
      <w:pPr>
        <w:spacing w:before="100" w:beforeAutospacing="1" w:after="100" w:afterAutospacing="1" w:line="240" w:lineRule="auto"/>
        <w:jc w:val="both"/>
        <w:rPr>
          <w:rFonts w:ascii="Times New Roman" w:eastAsia="Times New Roman" w:hAnsi="Times New Roman" w:cs="Times New Roman"/>
          <w:noProof/>
          <w:sz w:val="24"/>
          <w:szCs w:val="24"/>
        </w:rPr>
      </w:pPr>
      <w:r w:rsidRPr="00AE3EE8">
        <w:rPr>
          <w:rFonts w:ascii="Times New Roman" w:eastAsia="Times New Roman" w:hAnsi="Times New Roman" w:cs="Times New Roman"/>
          <w:noProof/>
          <w:sz w:val="24"/>
          <w:szCs w:val="24"/>
        </w:rPr>
        <w:t xml:space="preserve">In 2025, </w:t>
      </w:r>
      <w:r w:rsidR="00263800">
        <w:rPr>
          <w:rFonts w:ascii="Times New Roman" w:eastAsia="Times New Roman" w:hAnsi="Times New Roman" w:cs="Times New Roman"/>
          <w:noProof/>
          <w:sz w:val="24"/>
          <w:szCs w:val="24"/>
        </w:rPr>
        <w:t>further</w:t>
      </w:r>
      <w:r w:rsidR="00263800" w:rsidRPr="00AE3EE8">
        <w:rPr>
          <w:rFonts w:ascii="Times New Roman" w:eastAsia="Times New Roman" w:hAnsi="Times New Roman" w:cs="Times New Roman"/>
          <w:noProof/>
          <w:sz w:val="24"/>
          <w:szCs w:val="24"/>
        </w:rPr>
        <w:t xml:space="preserve"> </w:t>
      </w:r>
      <w:r w:rsidRPr="00AE3EE8">
        <w:rPr>
          <w:rFonts w:ascii="Times New Roman" w:eastAsia="Times New Roman" w:hAnsi="Times New Roman" w:cs="Times New Roman"/>
          <w:noProof/>
          <w:sz w:val="24"/>
          <w:szCs w:val="24"/>
        </w:rPr>
        <w:t>progress was made in enhancing cooperation in this area.</w:t>
      </w:r>
    </w:p>
    <w:p w14:paraId="4091524D" w14:textId="0978DE52" w:rsidR="00AE3EE8" w:rsidRDefault="00AE3EE8" w:rsidP="00AE3EE8">
      <w:pPr>
        <w:spacing w:before="100" w:beforeAutospacing="1" w:after="100" w:afterAutospacing="1" w:line="240" w:lineRule="auto"/>
        <w:jc w:val="both"/>
        <w:rPr>
          <w:rFonts w:ascii="Times New Roman" w:eastAsia="Times New Roman" w:hAnsi="Times New Roman" w:cs="Times New Roman"/>
          <w:noProof/>
          <w:sz w:val="24"/>
          <w:szCs w:val="24"/>
        </w:rPr>
      </w:pPr>
      <w:r w:rsidRPr="00AE3EE8">
        <w:rPr>
          <w:rFonts w:ascii="Times New Roman" w:eastAsia="Times New Roman" w:hAnsi="Times New Roman" w:cs="Times New Roman"/>
          <w:noProof/>
          <w:sz w:val="24"/>
          <w:szCs w:val="24"/>
        </w:rPr>
        <w:t xml:space="preserve">By the end of </w:t>
      </w:r>
      <w:r w:rsidR="005A2BA7">
        <w:rPr>
          <w:rFonts w:ascii="Times New Roman" w:eastAsia="Times New Roman" w:hAnsi="Times New Roman" w:cs="Times New Roman"/>
          <w:noProof/>
          <w:sz w:val="24"/>
          <w:szCs w:val="24"/>
        </w:rPr>
        <w:t>the year</w:t>
      </w:r>
      <w:r w:rsidRPr="00AE3EE8">
        <w:rPr>
          <w:rFonts w:ascii="Times New Roman" w:eastAsia="Times New Roman" w:hAnsi="Times New Roman" w:cs="Times New Roman"/>
          <w:noProof/>
          <w:sz w:val="24"/>
          <w:szCs w:val="24"/>
        </w:rPr>
        <w:t>, 2</w:t>
      </w:r>
      <w:r w:rsidR="00305A8B">
        <w:rPr>
          <w:rFonts w:ascii="Times New Roman" w:eastAsia="Times New Roman" w:hAnsi="Times New Roman" w:cs="Times New Roman"/>
          <w:noProof/>
          <w:sz w:val="24"/>
          <w:szCs w:val="24"/>
        </w:rPr>
        <w:t>5</w:t>
      </w:r>
      <w:r w:rsidRPr="00AE3EE8">
        <w:rPr>
          <w:rFonts w:ascii="Times New Roman" w:eastAsia="Times New Roman" w:hAnsi="Times New Roman" w:cs="Times New Roman"/>
          <w:noProof/>
          <w:sz w:val="24"/>
          <w:szCs w:val="24"/>
        </w:rPr>
        <w:t xml:space="preserve"> Member States and the United Kingdom had granted each other access to their national fingerprint databases, in accordance with Article 534 of the TCA.</w:t>
      </w:r>
      <w:r>
        <w:rPr>
          <w:rFonts w:ascii="Times New Roman" w:eastAsia="Times New Roman" w:hAnsi="Times New Roman" w:cs="Times New Roman"/>
          <w:noProof/>
          <w:sz w:val="24"/>
          <w:szCs w:val="24"/>
        </w:rPr>
        <w:t xml:space="preserve"> </w:t>
      </w:r>
      <w:r w:rsidRPr="00AE3EE8">
        <w:rPr>
          <w:rFonts w:ascii="Times New Roman" w:eastAsia="Times New Roman" w:hAnsi="Times New Roman" w:cs="Times New Roman"/>
          <w:noProof/>
          <w:sz w:val="24"/>
          <w:szCs w:val="24"/>
        </w:rPr>
        <w:t>This built on the progress made in 2024, when all Member States and the United Kingdom granted each other access to their national DNA databases for automated searching, in line with Article 530 of the TCA.</w:t>
      </w:r>
    </w:p>
    <w:p w14:paraId="6C37DB65" w14:textId="391CF3AD" w:rsidR="00764E6C" w:rsidRDefault="00AE3EE8" w:rsidP="00AE3EE8">
      <w:pPr>
        <w:spacing w:before="100" w:beforeAutospacing="1" w:after="100" w:afterAutospacing="1" w:line="240" w:lineRule="auto"/>
        <w:jc w:val="both"/>
        <w:rPr>
          <w:rFonts w:ascii="Times New Roman" w:eastAsia="Times New Roman" w:hAnsi="Times New Roman" w:cs="Times New Roman"/>
          <w:noProof/>
          <w:sz w:val="24"/>
          <w:szCs w:val="24"/>
        </w:rPr>
      </w:pPr>
      <w:r w:rsidRPr="00AE3EE8">
        <w:rPr>
          <w:rFonts w:ascii="Times New Roman" w:eastAsia="Times New Roman" w:hAnsi="Times New Roman" w:cs="Times New Roman"/>
          <w:noProof/>
          <w:sz w:val="24"/>
          <w:szCs w:val="24"/>
        </w:rPr>
        <w:t>Concerning the exchange of vehicle registration data, an evaluation visit and pilot project were carried out in the United Kingdom to assess its implementation of the obligations set out in Part Three, Title II of the TCA. Based on the resulting evaluation report of</w:t>
      </w:r>
      <w:r w:rsidR="00305A8B">
        <w:rPr>
          <w:rFonts w:ascii="Times New Roman" w:eastAsia="Times New Roman" w:hAnsi="Times New Roman" w:cs="Times New Roman"/>
          <w:noProof/>
          <w:sz w:val="24"/>
          <w:szCs w:val="24"/>
        </w:rPr>
        <w:t xml:space="preserve"> 17 October 2025</w:t>
      </w:r>
      <w:r w:rsidRPr="00AE3EE8">
        <w:rPr>
          <w:rFonts w:ascii="Times New Roman" w:eastAsia="Times New Roman" w:hAnsi="Times New Roman" w:cs="Times New Roman"/>
          <w:noProof/>
          <w:sz w:val="24"/>
          <w:szCs w:val="24"/>
        </w:rPr>
        <w:t xml:space="preserve">, the Council </w:t>
      </w:r>
      <w:r w:rsidRPr="005A2BA7">
        <w:rPr>
          <w:rFonts w:ascii="Times New Roman" w:eastAsia="Times New Roman" w:hAnsi="Times New Roman" w:cs="Times New Roman"/>
          <w:noProof/>
          <w:sz w:val="24"/>
          <w:szCs w:val="24"/>
        </w:rPr>
        <w:t>will</w:t>
      </w:r>
      <w:r w:rsidRPr="00AE3EE8">
        <w:rPr>
          <w:rFonts w:ascii="Times New Roman" w:eastAsia="Times New Roman" w:hAnsi="Times New Roman" w:cs="Times New Roman"/>
          <w:noProof/>
          <w:sz w:val="24"/>
          <w:szCs w:val="24"/>
        </w:rPr>
        <w:t xml:space="preserve"> determine the date from which Member States may begin supplying data to the United </w:t>
      </w:r>
      <w:r w:rsidRPr="004E689D">
        <w:rPr>
          <w:rFonts w:ascii="Times New Roman" w:eastAsia="Times New Roman" w:hAnsi="Times New Roman" w:cs="Times New Roman"/>
          <w:noProof/>
          <w:sz w:val="24"/>
          <w:szCs w:val="24"/>
        </w:rPr>
        <w:t>Kingdom. Once</w:t>
      </w:r>
      <w:r w:rsidRPr="00AE3EE8">
        <w:rPr>
          <w:rFonts w:ascii="Times New Roman" w:eastAsia="Times New Roman" w:hAnsi="Times New Roman" w:cs="Times New Roman"/>
          <w:noProof/>
          <w:sz w:val="24"/>
          <w:szCs w:val="24"/>
        </w:rPr>
        <w:t xml:space="preserve"> this decision </w:t>
      </w:r>
      <w:r w:rsidR="00172F6B">
        <w:rPr>
          <w:rFonts w:ascii="Times New Roman" w:eastAsia="Times New Roman" w:hAnsi="Times New Roman" w:cs="Times New Roman"/>
          <w:noProof/>
          <w:sz w:val="24"/>
          <w:szCs w:val="24"/>
        </w:rPr>
        <w:t>has been</w:t>
      </w:r>
      <w:r w:rsidRPr="00AE3EE8">
        <w:rPr>
          <w:rFonts w:ascii="Times New Roman" w:eastAsia="Times New Roman" w:hAnsi="Times New Roman" w:cs="Times New Roman"/>
          <w:noProof/>
          <w:sz w:val="24"/>
          <w:szCs w:val="24"/>
        </w:rPr>
        <w:t xml:space="preserve"> adopted, both the Member States and the United Kingdom will be able to conduct automated searches in each other’s national databases, as provided under Article 537 of the TCA.</w:t>
      </w:r>
    </w:p>
    <w:p w14:paraId="218532FD" w14:textId="2E880FA9" w:rsidR="00305A8B" w:rsidRDefault="00305A8B"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On </w:t>
      </w:r>
      <w:r w:rsidR="00180E77">
        <w:rPr>
          <w:rFonts w:ascii="Times New Roman" w:eastAsia="Times New Roman" w:hAnsi="Times New Roman" w:cs="Times New Roman"/>
          <w:noProof/>
          <w:sz w:val="24"/>
          <w:szCs w:val="24"/>
        </w:rPr>
        <w:t>24 September, Europol and the United Kingdom’s National Crime Agency signed a working arrangement on the liaison officers seconded by the United Kingdom to Europol. It allows the United Kingdom to second up to 20 liaison officers to Europol and specifies the liaison officers’ tasks, their rights and obligations and the costs involved in accordance with Article 577(2)(d) of the TCA.</w:t>
      </w:r>
    </w:p>
    <w:p w14:paraId="3E663A9B" w14:textId="42F8ECFE" w:rsidR="00263800" w:rsidRDefault="00263800"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 accordance with Article 630(2) </w:t>
      </w:r>
      <w:r w:rsidR="00A05B8D">
        <w:rPr>
          <w:rFonts w:ascii="Times New Roman" w:eastAsia="Times New Roman" w:hAnsi="Times New Roman" w:cs="Times New Roman"/>
          <w:noProof/>
          <w:sz w:val="24"/>
          <w:szCs w:val="24"/>
        </w:rPr>
        <w:t xml:space="preserve">of the </w:t>
      </w:r>
      <w:r>
        <w:rPr>
          <w:rFonts w:ascii="Times New Roman" w:eastAsia="Times New Roman" w:hAnsi="Times New Roman" w:cs="Times New Roman"/>
          <w:noProof/>
          <w:sz w:val="24"/>
          <w:szCs w:val="24"/>
        </w:rPr>
        <w:t>TCA, the E</w:t>
      </w:r>
      <w:r w:rsidR="000344EF">
        <w:rPr>
          <w:rFonts w:ascii="Times New Roman" w:eastAsia="Times New Roman" w:hAnsi="Times New Roman" w:cs="Times New Roman"/>
          <w:noProof/>
          <w:sz w:val="24"/>
          <w:szCs w:val="24"/>
        </w:rPr>
        <w:t>U</w:t>
      </w:r>
      <w:r>
        <w:rPr>
          <w:rFonts w:ascii="Times New Roman" w:eastAsia="Times New Roman" w:hAnsi="Times New Roman" w:cs="Times New Roman"/>
          <w:noProof/>
          <w:sz w:val="24"/>
          <w:szCs w:val="24"/>
        </w:rPr>
        <w:t xml:space="preserve"> reviewed its notifications to the United Kingdom as regards surrender of requested persons and notified the </w:t>
      </w:r>
      <w:r w:rsidR="00E671D5">
        <w:rPr>
          <w:rFonts w:ascii="Times New Roman" w:eastAsia="Times New Roman" w:hAnsi="Times New Roman" w:cs="Times New Roman"/>
          <w:noProof/>
          <w:sz w:val="24"/>
          <w:szCs w:val="24"/>
        </w:rPr>
        <w:t>Specialised Committee on Law Enforcement and Judicial Cooperation</w:t>
      </w:r>
      <w:r>
        <w:rPr>
          <w:rFonts w:ascii="Times New Roman" w:eastAsia="Times New Roman" w:hAnsi="Times New Roman" w:cs="Times New Roman"/>
          <w:noProof/>
          <w:sz w:val="24"/>
          <w:szCs w:val="24"/>
        </w:rPr>
        <w:t xml:space="preserve"> accordingly. Such </w:t>
      </w:r>
      <w:r w:rsidR="004A2556">
        <w:rPr>
          <w:rFonts w:ascii="Times New Roman" w:eastAsia="Times New Roman" w:hAnsi="Times New Roman" w:cs="Times New Roman"/>
          <w:noProof/>
          <w:sz w:val="24"/>
          <w:szCs w:val="24"/>
        </w:rPr>
        <w:t xml:space="preserve">a </w:t>
      </w:r>
      <w:r>
        <w:rPr>
          <w:rFonts w:ascii="Times New Roman" w:eastAsia="Times New Roman" w:hAnsi="Times New Roman" w:cs="Times New Roman"/>
          <w:noProof/>
          <w:sz w:val="24"/>
          <w:szCs w:val="24"/>
        </w:rPr>
        <w:t xml:space="preserve">review </w:t>
      </w:r>
      <w:r w:rsidR="0093194F">
        <w:rPr>
          <w:rFonts w:ascii="Times New Roman" w:eastAsia="Times New Roman" w:hAnsi="Times New Roman" w:cs="Times New Roman"/>
          <w:noProof/>
          <w:sz w:val="24"/>
          <w:szCs w:val="24"/>
        </w:rPr>
        <w:t>must</w:t>
      </w:r>
      <w:r>
        <w:rPr>
          <w:rFonts w:ascii="Times New Roman" w:eastAsia="Times New Roman" w:hAnsi="Times New Roman" w:cs="Times New Roman"/>
          <w:noProof/>
          <w:sz w:val="24"/>
          <w:szCs w:val="24"/>
        </w:rPr>
        <w:t xml:space="preserve"> be done every five years </w:t>
      </w:r>
      <w:r w:rsidR="00E921DD">
        <w:rPr>
          <w:rFonts w:ascii="Times New Roman" w:eastAsia="Times New Roman" w:hAnsi="Times New Roman" w:cs="Times New Roman"/>
          <w:noProof/>
          <w:sz w:val="24"/>
          <w:szCs w:val="24"/>
        </w:rPr>
        <w:t>following</w:t>
      </w:r>
      <w:r>
        <w:rPr>
          <w:rFonts w:ascii="Times New Roman" w:eastAsia="Times New Roman" w:hAnsi="Times New Roman" w:cs="Times New Roman"/>
          <w:noProof/>
          <w:sz w:val="24"/>
          <w:szCs w:val="24"/>
        </w:rPr>
        <w:t xml:space="preserve"> the entry into force of the TCA</w:t>
      </w:r>
      <w:r w:rsidR="004E689D" w:rsidRPr="00F97D5F">
        <w:rPr>
          <w:rStyle w:val="FootnoteReference"/>
          <w:rFonts w:ascii="Times New Roman" w:eastAsia="Times New Roman" w:hAnsi="Times New Roman" w:cs="Times New Roman"/>
          <w:noProof/>
          <w:sz w:val="24"/>
          <w:szCs w:val="24"/>
        </w:rPr>
        <w:footnoteReference w:id="41"/>
      </w:r>
      <w:r>
        <w:rPr>
          <w:rFonts w:ascii="Times New Roman" w:eastAsia="Times New Roman" w:hAnsi="Times New Roman" w:cs="Times New Roman"/>
          <w:noProof/>
          <w:sz w:val="24"/>
          <w:szCs w:val="24"/>
        </w:rPr>
        <w:t>.</w:t>
      </w:r>
    </w:p>
    <w:p w14:paraId="5E3C5BB2" w14:textId="47735B9B" w:rsidR="006D1404" w:rsidRPr="0086076B" w:rsidRDefault="4EF2814B"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68" w:name="_Toc185413391"/>
      <w:bookmarkStart w:id="69" w:name="_Toc204769329"/>
      <w:bookmarkStart w:id="70" w:name="_Toc209798652"/>
      <w:r w:rsidRPr="0086076B">
        <w:rPr>
          <w:rFonts w:ascii="Times New Roman" w:hAnsi="Times New Roman" w:cs="Times New Roman"/>
          <w:b/>
          <w:bCs/>
          <w:noProof/>
          <w:color w:val="auto"/>
        </w:rPr>
        <w:t xml:space="preserve">Association of the United Kingdom to certain </w:t>
      </w:r>
      <w:r w:rsidR="1F2D10B3" w:rsidRPr="0086076B">
        <w:rPr>
          <w:rFonts w:ascii="Times New Roman" w:hAnsi="Times New Roman" w:cs="Times New Roman"/>
          <w:b/>
          <w:bCs/>
          <w:noProof/>
          <w:color w:val="auto"/>
        </w:rPr>
        <w:t xml:space="preserve">EU </w:t>
      </w:r>
      <w:r w:rsidR="33A451BC" w:rsidRPr="0086076B">
        <w:rPr>
          <w:rFonts w:ascii="Times New Roman" w:hAnsi="Times New Roman" w:cs="Times New Roman"/>
          <w:b/>
          <w:bCs/>
          <w:noProof/>
          <w:color w:val="auto"/>
        </w:rPr>
        <w:t>programmes</w:t>
      </w:r>
      <w:bookmarkEnd w:id="68"/>
      <w:bookmarkEnd w:id="69"/>
      <w:bookmarkEnd w:id="70"/>
    </w:p>
    <w:p w14:paraId="5699DD03" w14:textId="07C2BE5D" w:rsidR="00B66F0C" w:rsidRPr="00F52880" w:rsidRDefault="00B66F0C" w:rsidP="00B66F0C">
      <w:pPr>
        <w:spacing w:before="100" w:beforeAutospacing="1" w:after="100" w:afterAutospacing="1" w:line="240" w:lineRule="auto"/>
        <w:jc w:val="both"/>
        <w:rPr>
          <w:rFonts w:ascii="Times New Roman" w:eastAsia="Times New Roman" w:hAnsi="Times New Roman" w:cs="Times New Roman"/>
          <w:noProof/>
          <w:sz w:val="24"/>
          <w:szCs w:val="24"/>
        </w:rPr>
      </w:pPr>
      <w:r w:rsidRPr="00B66F0C">
        <w:rPr>
          <w:rFonts w:ascii="Times New Roman" w:eastAsia="Times New Roman" w:hAnsi="Times New Roman" w:cs="Times New Roman"/>
          <w:noProof/>
          <w:sz w:val="24"/>
          <w:szCs w:val="24"/>
        </w:rPr>
        <w:t xml:space="preserve">As of 2024, the United Kingdom has </w:t>
      </w:r>
      <w:r>
        <w:rPr>
          <w:rFonts w:ascii="Times New Roman" w:eastAsia="Times New Roman" w:hAnsi="Times New Roman" w:cs="Times New Roman"/>
          <w:noProof/>
          <w:sz w:val="24"/>
          <w:szCs w:val="24"/>
        </w:rPr>
        <w:t>been associated to</w:t>
      </w:r>
      <w:r w:rsidRPr="00B66F0C">
        <w:rPr>
          <w:rFonts w:ascii="Times New Roman" w:eastAsia="Times New Roman" w:hAnsi="Times New Roman" w:cs="Times New Roman"/>
          <w:noProof/>
          <w:sz w:val="24"/>
          <w:szCs w:val="24"/>
        </w:rPr>
        <w:t xml:space="preserve"> several EU programmes, including Horizon Europe and the Copernicus component of the Union Space programme. This enables entities from the United Kingdom to engage in collaborative research and innovation projects </w:t>
      </w:r>
      <w:r w:rsidRPr="00F52880">
        <w:rPr>
          <w:rFonts w:ascii="Times New Roman" w:eastAsia="Times New Roman" w:hAnsi="Times New Roman" w:cs="Times New Roman"/>
          <w:noProof/>
          <w:sz w:val="24"/>
          <w:szCs w:val="24"/>
        </w:rPr>
        <w:t>across the EU and beyond.</w:t>
      </w:r>
    </w:p>
    <w:p w14:paraId="18F03217" w14:textId="3992EB39" w:rsidR="00EC3EB0" w:rsidRPr="00F52880" w:rsidRDefault="00BD370D" w:rsidP="00B66F0C">
      <w:pPr>
        <w:spacing w:before="100" w:beforeAutospacing="1" w:after="100" w:afterAutospacing="1" w:line="240" w:lineRule="auto"/>
        <w:jc w:val="both"/>
        <w:rPr>
          <w:rFonts w:ascii="Times New Roman" w:eastAsia="Times New Roman" w:hAnsi="Times New Roman" w:cs="Times New Roman"/>
          <w:noProof/>
          <w:sz w:val="24"/>
          <w:szCs w:val="24"/>
        </w:rPr>
      </w:pPr>
      <w:r w:rsidRPr="00F52880">
        <w:rPr>
          <w:rFonts w:ascii="Times New Roman" w:eastAsia="Times New Roman" w:hAnsi="Times New Roman" w:cs="Times New Roman"/>
          <w:noProof/>
          <w:sz w:val="24"/>
          <w:szCs w:val="24"/>
        </w:rPr>
        <w:t>According to t</w:t>
      </w:r>
      <w:r w:rsidR="00EC3EB0" w:rsidRPr="00F52880">
        <w:rPr>
          <w:rFonts w:ascii="Times New Roman" w:eastAsia="Times New Roman" w:hAnsi="Times New Roman" w:cs="Times New Roman"/>
          <w:noProof/>
          <w:sz w:val="24"/>
          <w:szCs w:val="24"/>
        </w:rPr>
        <w:t>he latest data</w:t>
      </w:r>
      <w:r w:rsidR="000C5317">
        <w:rPr>
          <w:rStyle w:val="FootnoteReference"/>
          <w:rFonts w:ascii="Times New Roman" w:eastAsia="Times New Roman" w:hAnsi="Times New Roman" w:cs="Times New Roman"/>
          <w:noProof/>
          <w:sz w:val="24"/>
          <w:szCs w:val="24"/>
        </w:rPr>
        <w:footnoteReference w:id="42"/>
      </w:r>
      <w:r w:rsidR="002A1177">
        <w:rPr>
          <w:rFonts w:ascii="Times New Roman" w:eastAsia="Times New Roman" w:hAnsi="Times New Roman" w:cs="Times New Roman"/>
          <w:noProof/>
          <w:sz w:val="24"/>
          <w:szCs w:val="24"/>
        </w:rPr>
        <w:t>,</w:t>
      </w:r>
      <w:r w:rsidR="00EC3EB0" w:rsidRPr="00F52880">
        <w:rPr>
          <w:rFonts w:ascii="Times New Roman" w:eastAsia="Times New Roman" w:hAnsi="Times New Roman" w:cs="Times New Roman"/>
          <w:noProof/>
          <w:sz w:val="24"/>
          <w:szCs w:val="24"/>
        </w:rPr>
        <w:t xml:space="preserve"> </w:t>
      </w:r>
      <w:r w:rsidR="002A1177" w:rsidRPr="00F52880">
        <w:rPr>
          <w:rFonts w:ascii="Times New Roman" w:eastAsia="Times New Roman" w:hAnsi="Times New Roman" w:cs="Times New Roman"/>
          <w:noProof/>
          <w:sz w:val="24"/>
          <w:szCs w:val="24"/>
        </w:rPr>
        <w:t xml:space="preserve">since 2024 </w:t>
      </w:r>
      <w:r w:rsidRPr="00F52880">
        <w:rPr>
          <w:rFonts w:ascii="Times New Roman" w:eastAsia="Times New Roman" w:hAnsi="Times New Roman" w:cs="Times New Roman"/>
          <w:noProof/>
          <w:sz w:val="24"/>
          <w:szCs w:val="24"/>
        </w:rPr>
        <w:t>the United Kingdom has been the f</w:t>
      </w:r>
      <w:r w:rsidR="00C5618F">
        <w:rPr>
          <w:rFonts w:ascii="Times New Roman" w:eastAsia="Times New Roman" w:hAnsi="Times New Roman" w:cs="Times New Roman"/>
          <w:noProof/>
          <w:sz w:val="24"/>
          <w:szCs w:val="24"/>
        </w:rPr>
        <w:t>ourth</w:t>
      </w:r>
      <w:r w:rsidRPr="00F52880">
        <w:rPr>
          <w:rFonts w:ascii="Times New Roman" w:eastAsia="Times New Roman" w:hAnsi="Times New Roman" w:cs="Times New Roman"/>
          <w:noProof/>
          <w:sz w:val="24"/>
          <w:szCs w:val="24"/>
        </w:rPr>
        <w:t xml:space="preserve">-largest recipient of grants </w:t>
      </w:r>
      <w:r w:rsidR="002A1177">
        <w:rPr>
          <w:rFonts w:ascii="Times New Roman" w:eastAsia="Times New Roman" w:hAnsi="Times New Roman" w:cs="Times New Roman"/>
          <w:noProof/>
          <w:sz w:val="24"/>
          <w:szCs w:val="24"/>
        </w:rPr>
        <w:t xml:space="preserve">of </w:t>
      </w:r>
      <w:r w:rsidR="00C5618F">
        <w:rPr>
          <w:rFonts w:ascii="Times New Roman" w:eastAsia="Times New Roman" w:hAnsi="Times New Roman" w:cs="Times New Roman"/>
          <w:noProof/>
          <w:sz w:val="24"/>
          <w:szCs w:val="24"/>
        </w:rPr>
        <w:t>all</w:t>
      </w:r>
      <w:r w:rsidRPr="00F52880">
        <w:rPr>
          <w:rFonts w:ascii="Times New Roman" w:eastAsia="Times New Roman" w:hAnsi="Times New Roman" w:cs="Times New Roman"/>
          <w:noProof/>
          <w:sz w:val="24"/>
          <w:szCs w:val="24"/>
        </w:rPr>
        <w:t xml:space="preserve"> participating countries </w:t>
      </w:r>
      <w:r w:rsidR="00352C54">
        <w:rPr>
          <w:rFonts w:ascii="Times New Roman" w:eastAsia="Times New Roman" w:hAnsi="Times New Roman" w:cs="Times New Roman"/>
          <w:noProof/>
          <w:sz w:val="24"/>
          <w:szCs w:val="24"/>
        </w:rPr>
        <w:t>(</w:t>
      </w:r>
      <w:r w:rsidRPr="00F52880">
        <w:rPr>
          <w:rFonts w:ascii="Times New Roman" w:eastAsia="Times New Roman" w:hAnsi="Times New Roman" w:cs="Times New Roman"/>
          <w:noProof/>
          <w:sz w:val="24"/>
          <w:szCs w:val="24"/>
        </w:rPr>
        <w:t xml:space="preserve">after Germany, Spain, </w:t>
      </w:r>
      <w:r w:rsidR="00C5618F">
        <w:rPr>
          <w:rFonts w:ascii="Times New Roman" w:eastAsia="Times New Roman" w:hAnsi="Times New Roman" w:cs="Times New Roman"/>
          <w:noProof/>
          <w:sz w:val="24"/>
          <w:szCs w:val="24"/>
        </w:rPr>
        <w:t xml:space="preserve">and </w:t>
      </w:r>
      <w:r w:rsidRPr="00F52880">
        <w:rPr>
          <w:rFonts w:ascii="Times New Roman" w:eastAsia="Times New Roman" w:hAnsi="Times New Roman" w:cs="Times New Roman"/>
          <w:noProof/>
          <w:sz w:val="24"/>
          <w:szCs w:val="24"/>
        </w:rPr>
        <w:t>Fran</w:t>
      </w:r>
      <w:r w:rsidR="00877382" w:rsidRPr="00F52880">
        <w:rPr>
          <w:rFonts w:ascii="Times New Roman" w:eastAsia="Times New Roman" w:hAnsi="Times New Roman" w:cs="Times New Roman"/>
          <w:noProof/>
          <w:sz w:val="24"/>
          <w:szCs w:val="24"/>
        </w:rPr>
        <w:t>c</w:t>
      </w:r>
      <w:r w:rsidRPr="00F52880">
        <w:rPr>
          <w:rFonts w:ascii="Times New Roman" w:eastAsia="Times New Roman" w:hAnsi="Times New Roman" w:cs="Times New Roman"/>
          <w:noProof/>
          <w:sz w:val="24"/>
          <w:szCs w:val="24"/>
        </w:rPr>
        <w:t>e</w:t>
      </w:r>
      <w:r w:rsidRPr="00F97D5F">
        <w:rPr>
          <w:rStyle w:val="FootnoteReference"/>
          <w:rFonts w:ascii="Times New Roman" w:eastAsia="Times New Roman" w:hAnsi="Times New Roman" w:cs="Times New Roman"/>
          <w:noProof/>
          <w:sz w:val="24"/>
          <w:szCs w:val="24"/>
        </w:rPr>
        <w:footnoteReference w:id="43"/>
      </w:r>
      <w:r w:rsidR="00352C54">
        <w:rPr>
          <w:rFonts w:ascii="Times New Roman" w:eastAsia="Times New Roman" w:hAnsi="Times New Roman" w:cs="Times New Roman"/>
          <w:noProof/>
          <w:sz w:val="24"/>
          <w:szCs w:val="24"/>
        </w:rPr>
        <w:t>)</w:t>
      </w:r>
      <w:r w:rsidR="00462ADB">
        <w:rPr>
          <w:rFonts w:ascii="Times New Roman" w:eastAsia="Times New Roman" w:hAnsi="Times New Roman" w:cs="Times New Roman"/>
          <w:noProof/>
          <w:sz w:val="24"/>
          <w:szCs w:val="24"/>
        </w:rPr>
        <w:t>,</w:t>
      </w:r>
      <w:r w:rsidRPr="00F52880">
        <w:rPr>
          <w:rFonts w:ascii="Times New Roman" w:eastAsia="Times New Roman" w:hAnsi="Times New Roman" w:cs="Times New Roman"/>
          <w:noProof/>
          <w:sz w:val="24"/>
          <w:szCs w:val="24"/>
        </w:rPr>
        <w:t xml:space="preserve"> with </w:t>
      </w:r>
      <w:r w:rsidR="00352C54">
        <w:rPr>
          <w:rFonts w:ascii="Times New Roman" w:eastAsia="Times New Roman" w:hAnsi="Times New Roman" w:cs="Times New Roman"/>
          <w:noProof/>
          <w:sz w:val="24"/>
          <w:szCs w:val="24"/>
        </w:rPr>
        <w:t xml:space="preserve">UK </w:t>
      </w:r>
      <w:r w:rsidR="00B66F0C" w:rsidRPr="00F52880">
        <w:rPr>
          <w:rFonts w:ascii="Times New Roman" w:eastAsia="Times New Roman" w:hAnsi="Times New Roman" w:cs="Times New Roman"/>
          <w:noProof/>
          <w:sz w:val="24"/>
          <w:szCs w:val="24"/>
        </w:rPr>
        <w:t>entities secur</w:t>
      </w:r>
      <w:r w:rsidRPr="00F52880">
        <w:rPr>
          <w:rFonts w:ascii="Times New Roman" w:eastAsia="Times New Roman" w:hAnsi="Times New Roman" w:cs="Times New Roman"/>
          <w:noProof/>
          <w:sz w:val="24"/>
          <w:szCs w:val="24"/>
        </w:rPr>
        <w:t>ing</w:t>
      </w:r>
      <w:r w:rsidR="00B66F0C" w:rsidRPr="00F52880">
        <w:rPr>
          <w:rFonts w:ascii="Times New Roman" w:eastAsia="Times New Roman" w:hAnsi="Times New Roman" w:cs="Times New Roman"/>
          <w:noProof/>
          <w:sz w:val="24"/>
          <w:szCs w:val="24"/>
        </w:rPr>
        <w:t xml:space="preserve"> approximately </w:t>
      </w:r>
      <w:r w:rsidR="009A4823">
        <w:rPr>
          <w:rFonts w:ascii="Times New Roman" w:hAnsi="Times New Roman" w:cs="Times New Roman"/>
          <w:noProof/>
          <w:sz w:val="24"/>
          <w:szCs w:val="24"/>
        </w:rPr>
        <w:t>EUR</w:t>
      </w:r>
      <w:r w:rsidR="00462ADB">
        <w:rPr>
          <w:rFonts w:ascii="Times New Roman" w:eastAsia="Times New Roman" w:hAnsi="Times New Roman" w:cs="Times New Roman"/>
          <w:noProof/>
          <w:sz w:val="24"/>
          <w:szCs w:val="24"/>
        </w:rPr>
        <w:t> </w:t>
      </w:r>
      <w:r w:rsidR="00AC0DCE">
        <w:rPr>
          <w:rFonts w:ascii="Times New Roman" w:eastAsia="Times New Roman" w:hAnsi="Times New Roman" w:cs="Times New Roman"/>
          <w:noProof/>
          <w:sz w:val="24"/>
          <w:szCs w:val="24"/>
        </w:rPr>
        <w:t>1.2</w:t>
      </w:r>
      <w:r w:rsidR="00462ADB">
        <w:rPr>
          <w:rFonts w:ascii="Times New Roman" w:eastAsia="Times New Roman" w:hAnsi="Times New Roman" w:cs="Times New Roman"/>
          <w:noProof/>
          <w:sz w:val="24"/>
          <w:szCs w:val="24"/>
        </w:rPr>
        <w:t> </w:t>
      </w:r>
      <w:r w:rsidR="00AC0DCE">
        <w:rPr>
          <w:rFonts w:ascii="Times New Roman" w:eastAsia="Times New Roman" w:hAnsi="Times New Roman" w:cs="Times New Roman"/>
          <w:noProof/>
          <w:sz w:val="24"/>
          <w:szCs w:val="24"/>
        </w:rPr>
        <w:t>b</w:t>
      </w:r>
      <w:r w:rsidR="00B66F0C" w:rsidRPr="00F52880">
        <w:rPr>
          <w:rFonts w:ascii="Times New Roman" w:eastAsia="Times New Roman" w:hAnsi="Times New Roman" w:cs="Times New Roman"/>
          <w:noProof/>
          <w:sz w:val="24"/>
          <w:szCs w:val="24"/>
        </w:rPr>
        <w:t>illion in Horizon Europe funding</w:t>
      </w:r>
      <w:r w:rsidRPr="00F52880">
        <w:rPr>
          <w:rFonts w:ascii="Times New Roman" w:eastAsia="Times New Roman" w:hAnsi="Times New Roman" w:cs="Times New Roman"/>
          <w:noProof/>
          <w:sz w:val="24"/>
          <w:szCs w:val="24"/>
        </w:rPr>
        <w:t>.</w:t>
      </w:r>
      <w:r w:rsidR="005F535D" w:rsidRPr="00F52880">
        <w:rPr>
          <w:rFonts w:ascii="Times New Roman" w:eastAsia="Times New Roman" w:hAnsi="Times New Roman" w:cs="Times New Roman"/>
          <w:noProof/>
          <w:sz w:val="24"/>
          <w:szCs w:val="24"/>
        </w:rPr>
        <w:t xml:space="preserve"> </w:t>
      </w:r>
      <w:r w:rsidR="00B66F0C" w:rsidRPr="00F52880">
        <w:rPr>
          <w:rFonts w:ascii="Times New Roman" w:eastAsia="Times New Roman" w:hAnsi="Times New Roman" w:cs="Times New Roman"/>
          <w:noProof/>
          <w:sz w:val="24"/>
          <w:szCs w:val="24"/>
        </w:rPr>
        <w:t xml:space="preserve">The United Kingdom also leads in Marie Skłodowska-Curie actions, </w:t>
      </w:r>
      <w:r w:rsidR="00EC3EB0" w:rsidRPr="00F52880">
        <w:rPr>
          <w:rFonts w:ascii="Times New Roman" w:eastAsia="Times New Roman" w:hAnsi="Times New Roman" w:cs="Times New Roman"/>
          <w:noProof/>
          <w:sz w:val="24"/>
          <w:szCs w:val="24"/>
        </w:rPr>
        <w:t>enabling its universities and institutions to participate in doctoral networks and coordinate projects.</w:t>
      </w:r>
    </w:p>
    <w:p w14:paraId="3224EBC7" w14:textId="6EEE91C3" w:rsidR="000F4C0B" w:rsidRDefault="00B66F0C" w:rsidP="00E10EB6">
      <w:pPr>
        <w:spacing w:before="100" w:beforeAutospacing="1" w:after="100" w:afterAutospacing="1" w:line="240" w:lineRule="auto"/>
        <w:jc w:val="both"/>
        <w:rPr>
          <w:rFonts w:ascii="Times New Roman" w:eastAsia="Times New Roman" w:hAnsi="Times New Roman" w:cs="Times New Roman"/>
          <w:noProof/>
          <w:sz w:val="24"/>
          <w:szCs w:val="24"/>
        </w:rPr>
      </w:pPr>
      <w:r w:rsidRPr="00F52880">
        <w:rPr>
          <w:rFonts w:ascii="Times New Roman" w:eastAsia="Times New Roman" w:hAnsi="Times New Roman" w:cs="Times New Roman"/>
          <w:noProof/>
          <w:sz w:val="24"/>
          <w:szCs w:val="24"/>
        </w:rPr>
        <w:t xml:space="preserve">Furthermore, at the </w:t>
      </w:r>
      <w:r w:rsidR="00BD370D" w:rsidRPr="00F52880">
        <w:rPr>
          <w:rFonts w:ascii="Times New Roman" w:eastAsia="Times New Roman" w:hAnsi="Times New Roman" w:cs="Times New Roman"/>
          <w:noProof/>
          <w:sz w:val="24"/>
          <w:szCs w:val="24"/>
        </w:rPr>
        <w:t xml:space="preserve">May </w:t>
      </w:r>
      <w:r w:rsidRPr="00F52880">
        <w:rPr>
          <w:rFonts w:ascii="Times New Roman" w:eastAsia="Times New Roman" w:hAnsi="Times New Roman" w:cs="Times New Roman"/>
          <w:noProof/>
          <w:sz w:val="24"/>
          <w:szCs w:val="24"/>
        </w:rPr>
        <w:t xml:space="preserve">2025 </w:t>
      </w:r>
      <w:r w:rsidR="00352C54">
        <w:rPr>
          <w:rFonts w:ascii="Times New Roman" w:eastAsia="Times New Roman" w:hAnsi="Times New Roman" w:cs="Times New Roman"/>
          <w:noProof/>
          <w:sz w:val="24"/>
          <w:szCs w:val="24"/>
        </w:rPr>
        <w:t>s</w:t>
      </w:r>
      <w:r w:rsidRPr="00F52880">
        <w:rPr>
          <w:rFonts w:ascii="Times New Roman" w:eastAsia="Times New Roman" w:hAnsi="Times New Roman" w:cs="Times New Roman"/>
          <w:noProof/>
          <w:sz w:val="24"/>
          <w:szCs w:val="24"/>
        </w:rPr>
        <w:t xml:space="preserve">ummit, both parties agreed to </w:t>
      </w:r>
      <w:r w:rsidR="0004105D">
        <w:rPr>
          <w:rFonts w:ascii="Times New Roman" w:eastAsia="Times New Roman" w:hAnsi="Times New Roman" w:cs="Times New Roman"/>
          <w:noProof/>
          <w:sz w:val="24"/>
          <w:szCs w:val="24"/>
        </w:rPr>
        <w:t>work towards</w:t>
      </w:r>
      <w:r w:rsidRPr="00F52880">
        <w:rPr>
          <w:rFonts w:ascii="Times New Roman" w:eastAsia="Times New Roman" w:hAnsi="Times New Roman" w:cs="Times New Roman"/>
          <w:noProof/>
          <w:sz w:val="24"/>
          <w:szCs w:val="24"/>
        </w:rPr>
        <w:t xml:space="preserve"> the United Kingdom’s association </w:t>
      </w:r>
      <w:r w:rsidR="00BD370D" w:rsidRPr="00F52880">
        <w:rPr>
          <w:rFonts w:ascii="Times New Roman" w:eastAsia="Times New Roman" w:hAnsi="Times New Roman" w:cs="Times New Roman"/>
          <w:noProof/>
          <w:sz w:val="24"/>
          <w:szCs w:val="24"/>
        </w:rPr>
        <w:t xml:space="preserve">to </w:t>
      </w:r>
      <w:r w:rsidRPr="00F52880">
        <w:rPr>
          <w:rFonts w:ascii="Times New Roman" w:eastAsia="Times New Roman" w:hAnsi="Times New Roman" w:cs="Times New Roman"/>
          <w:noProof/>
          <w:sz w:val="24"/>
          <w:szCs w:val="24"/>
        </w:rPr>
        <w:t xml:space="preserve">the Erasmus+ programme. Negotiations </w:t>
      </w:r>
      <w:r w:rsidR="00BD370D" w:rsidRPr="00F52880">
        <w:rPr>
          <w:rFonts w:ascii="Times New Roman" w:eastAsia="Times New Roman" w:hAnsi="Times New Roman" w:cs="Times New Roman"/>
          <w:noProof/>
          <w:sz w:val="24"/>
          <w:szCs w:val="24"/>
        </w:rPr>
        <w:t>for the</w:t>
      </w:r>
      <w:r w:rsidR="00F50999">
        <w:rPr>
          <w:rFonts w:ascii="Times New Roman" w:eastAsia="Times New Roman" w:hAnsi="Times New Roman" w:cs="Times New Roman"/>
          <w:noProof/>
          <w:sz w:val="24"/>
          <w:szCs w:val="24"/>
        </w:rPr>
        <w:t xml:space="preserve"> United Kingdom’s association as of 1 January</w:t>
      </w:r>
      <w:r w:rsidR="00BD370D" w:rsidRPr="00F52880">
        <w:rPr>
          <w:rFonts w:ascii="Times New Roman" w:eastAsia="Times New Roman" w:hAnsi="Times New Roman" w:cs="Times New Roman"/>
          <w:noProof/>
          <w:sz w:val="24"/>
          <w:szCs w:val="24"/>
        </w:rPr>
        <w:t xml:space="preserve"> 2027 </w:t>
      </w:r>
      <w:r w:rsidR="00674B7C" w:rsidRPr="00F52880">
        <w:rPr>
          <w:rFonts w:ascii="Times New Roman" w:eastAsia="Times New Roman" w:hAnsi="Times New Roman" w:cs="Times New Roman"/>
          <w:noProof/>
          <w:sz w:val="24"/>
          <w:szCs w:val="24"/>
        </w:rPr>
        <w:t xml:space="preserve">were concluded </w:t>
      </w:r>
      <w:r w:rsidR="00BD2ED4">
        <w:rPr>
          <w:rFonts w:ascii="Times New Roman" w:eastAsia="Times New Roman" w:hAnsi="Times New Roman" w:cs="Times New Roman"/>
          <w:noProof/>
          <w:sz w:val="24"/>
          <w:szCs w:val="24"/>
        </w:rPr>
        <w:t xml:space="preserve">by the Commission </w:t>
      </w:r>
      <w:r w:rsidR="00674B7C" w:rsidRPr="00F52880">
        <w:rPr>
          <w:rFonts w:ascii="Times New Roman" w:eastAsia="Times New Roman" w:hAnsi="Times New Roman" w:cs="Times New Roman"/>
          <w:noProof/>
          <w:sz w:val="24"/>
          <w:szCs w:val="24"/>
        </w:rPr>
        <w:t xml:space="preserve">in </w:t>
      </w:r>
      <w:r w:rsidR="00EE38AE" w:rsidRPr="00F52880">
        <w:rPr>
          <w:rFonts w:ascii="Times New Roman" w:eastAsia="Times New Roman" w:hAnsi="Times New Roman" w:cs="Times New Roman"/>
          <w:noProof/>
          <w:sz w:val="24"/>
          <w:szCs w:val="24"/>
        </w:rPr>
        <w:t>December 2025</w:t>
      </w:r>
      <w:r w:rsidR="00BD370D" w:rsidRPr="00F97D5F">
        <w:rPr>
          <w:rStyle w:val="FootnoteReference"/>
          <w:rFonts w:ascii="Times New Roman" w:eastAsia="Times New Roman" w:hAnsi="Times New Roman" w:cs="Times New Roman"/>
          <w:noProof/>
          <w:sz w:val="24"/>
          <w:szCs w:val="24"/>
        </w:rPr>
        <w:footnoteReference w:id="44"/>
      </w:r>
      <w:r w:rsidR="00877382" w:rsidRPr="00F52880">
        <w:rPr>
          <w:rFonts w:ascii="Times New Roman" w:eastAsia="Times New Roman" w:hAnsi="Times New Roman" w:cs="Times New Roman"/>
          <w:noProof/>
          <w:sz w:val="24"/>
          <w:szCs w:val="24"/>
        </w:rPr>
        <w:t xml:space="preserve">. </w:t>
      </w:r>
      <w:r w:rsidR="00977079" w:rsidRPr="00F52880">
        <w:rPr>
          <w:rFonts w:ascii="Times New Roman" w:eastAsia="Times New Roman" w:hAnsi="Times New Roman" w:cs="Times New Roman"/>
          <w:noProof/>
          <w:sz w:val="24"/>
          <w:szCs w:val="24"/>
        </w:rPr>
        <w:t>Th</w:t>
      </w:r>
      <w:r w:rsidR="00977079">
        <w:rPr>
          <w:rFonts w:ascii="Times New Roman" w:eastAsia="Times New Roman" w:hAnsi="Times New Roman" w:cs="Times New Roman"/>
          <w:noProof/>
          <w:sz w:val="24"/>
          <w:szCs w:val="24"/>
        </w:rPr>
        <w:t>ey</w:t>
      </w:r>
      <w:r w:rsidR="00977079" w:rsidRPr="00F52880">
        <w:rPr>
          <w:rFonts w:ascii="Times New Roman" w:eastAsia="Times New Roman" w:hAnsi="Times New Roman" w:cs="Times New Roman"/>
          <w:noProof/>
          <w:sz w:val="24"/>
          <w:szCs w:val="24"/>
        </w:rPr>
        <w:t xml:space="preserve"> </w:t>
      </w:r>
      <w:r w:rsidR="00877382" w:rsidRPr="00F52880">
        <w:rPr>
          <w:rFonts w:ascii="Times New Roman" w:eastAsia="Times New Roman" w:hAnsi="Times New Roman" w:cs="Times New Roman"/>
          <w:noProof/>
          <w:sz w:val="24"/>
          <w:szCs w:val="24"/>
        </w:rPr>
        <w:t xml:space="preserve">will be followed by a Commission proposal </w:t>
      </w:r>
      <w:r w:rsidR="00BD2ED4">
        <w:rPr>
          <w:rFonts w:ascii="Times New Roman" w:eastAsia="Times New Roman" w:hAnsi="Times New Roman" w:cs="Times New Roman"/>
          <w:noProof/>
          <w:sz w:val="24"/>
          <w:szCs w:val="24"/>
        </w:rPr>
        <w:t xml:space="preserve">to the Council </w:t>
      </w:r>
      <w:r w:rsidR="00877382" w:rsidRPr="00F52880">
        <w:rPr>
          <w:rFonts w:ascii="Times New Roman" w:eastAsia="Times New Roman" w:hAnsi="Times New Roman" w:cs="Times New Roman"/>
          <w:noProof/>
          <w:sz w:val="24"/>
          <w:szCs w:val="24"/>
        </w:rPr>
        <w:t xml:space="preserve">for an amendment of Protocol I </w:t>
      </w:r>
      <w:r w:rsidR="00462F58">
        <w:rPr>
          <w:rFonts w:ascii="Times New Roman" w:eastAsia="Times New Roman" w:hAnsi="Times New Roman" w:cs="Times New Roman"/>
          <w:noProof/>
          <w:sz w:val="24"/>
          <w:szCs w:val="24"/>
        </w:rPr>
        <w:t>to</w:t>
      </w:r>
      <w:r w:rsidR="00462F58" w:rsidRPr="00F52880">
        <w:rPr>
          <w:rFonts w:ascii="Times New Roman" w:eastAsia="Times New Roman" w:hAnsi="Times New Roman" w:cs="Times New Roman"/>
          <w:noProof/>
          <w:sz w:val="24"/>
          <w:szCs w:val="24"/>
        </w:rPr>
        <w:t xml:space="preserve"> </w:t>
      </w:r>
      <w:r w:rsidR="00877382" w:rsidRPr="00F52880">
        <w:rPr>
          <w:rFonts w:ascii="Times New Roman" w:eastAsia="Times New Roman" w:hAnsi="Times New Roman" w:cs="Times New Roman"/>
          <w:noProof/>
          <w:sz w:val="24"/>
          <w:szCs w:val="24"/>
        </w:rPr>
        <w:t>the T</w:t>
      </w:r>
      <w:r w:rsidR="00F73B35">
        <w:rPr>
          <w:rFonts w:ascii="Times New Roman" w:eastAsia="Times New Roman" w:hAnsi="Times New Roman" w:cs="Times New Roman"/>
          <w:noProof/>
          <w:sz w:val="24"/>
          <w:szCs w:val="24"/>
        </w:rPr>
        <w:t>CA</w:t>
      </w:r>
      <w:r w:rsidR="00877382" w:rsidRPr="00F52880">
        <w:rPr>
          <w:rFonts w:ascii="Times New Roman" w:eastAsia="Times New Roman" w:hAnsi="Times New Roman" w:cs="Times New Roman"/>
          <w:noProof/>
          <w:sz w:val="24"/>
          <w:szCs w:val="24"/>
        </w:rPr>
        <w:t xml:space="preserve">, </w:t>
      </w:r>
      <w:r w:rsidR="00AD18C1">
        <w:rPr>
          <w:rFonts w:ascii="Times New Roman" w:eastAsia="Times New Roman" w:hAnsi="Times New Roman" w:cs="Times New Roman"/>
          <w:noProof/>
          <w:sz w:val="24"/>
          <w:szCs w:val="24"/>
        </w:rPr>
        <w:t>which in turn</w:t>
      </w:r>
      <w:r w:rsidR="00877382" w:rsidRPr="00F52880">
        <w:rPr>
          <w:rFonts w:ascii="Times New Roman" w:eastAsia="Times New Roman" w:hAnsi="Times New Roman" w:cs="Times New Roman"/>
          <w:noProof/>
          <w:sz w:val="24"/>
          <w:szCs w:val="24"/>
        </w:rPr>
        <w:t xml:space="preserve"> will be followed by the legislative and procedural steps</w:t>
      </w:r>
      <w:r w:rsidR="00444300">
        <w:rPr>
          <w:rFonts w:ascii="Times New Roman" w:eastAsia="Times New Roman" w:hAnsi="Times New Roman" w:cs="Times New Roman"/>
          <w:noProof/>
          <w:sz w:val="24"/>
          <w:szCs w:val="24"/>
        </w:rPr>
        <w:t xml:space="preserve"> required</w:t>
      </w:r>
      <w:r w:rsidR="00877382" w:rsidRPr="00F52880">
        <w:rPr>
          <w:rFonts w:ascii="Times New Roman" w:eastAsia="Times New Roman" w:hAnsi="Times New Roman" w:cs="Times New Roman"/>
          <w:noProof/>
          <w:sz w:val="24"/>
          <w:szCs w:val="24"/>
        </w:rPr>
        <w:t xml:space="preserve"> for the Specialised Committee on Participation in Union Programmes to adopt the updated terms of Protocol I, governing the United Kingdom’s association with Erasmus+. This marks a significant step towards broader participation in </w:t>
      </w:r>
      <w:r w:rsidR="00F50999">
        <w:rPr>
          <w:rFonts w:ascii="Times New Roman" w:eastAsia="Times New Roman" w:hAnsi="Times New Roman" w:cs="Times New Roman"/>
          <w:noProof/>
          <w:sz w:val="24"/>
          <w:szCs w:val="24"/>
        </w:rPr>
        <w:t>mobilities between the EU and the United Kingdom, as well as cooperation in all sectors covered by the programme (education, training, youth and sport)</w:t>
      </w:r>
      <w:r w:rsidR="00F50999" w:rsidRPr="00F52880">
        <w:rPr>
          <w:rFonts w:ascii="Times New Roman" w:eastAsia="Times New Roman" w:hAnsi="Times New Roman" w:cs="Times New Roman"/>
          <w:noProof/>
          <w:sz w:val="24"/>
          <w:szCs w:val="24"/>
        </w:rPr>
        <w:t>.</w:t>
      </w:r>
    </w:p>
    <w:p w14:paraId="6D4ABEFD" w14:textId="2AAC12F7" w:rsidR="00446FCC" w:rsidRPr="00446FCC" w:rsidRDefault="00446FCC" w:rsidP="007F7326">
      <w:pPr>
        <w:pStyle w:val="Heading2"/>
        <w:numPr>
          <w:ilvl w:val="1"/>
          <w:numId w:val="55"/>
        </w:numPr>
        <w:spacing w:before="100" w:beforeAutospacing="1" w:after="100" w:afterAutospacing="1" w:line="240" w:lineRule="auto"/>
        <w:rPr>
          <w:rFonts w:ascii="Times New Roman" w:eastAsia="Times New Roman" w:hAnsi="Times New Roman" w:cs="Times New Roman"/>
          <w:b/>
          <w:bCs/>
          <w:noProof/>
          <w:color w:val="auto"/>
        </w:rPr>
      </w:pPr>
      <w:bookmarkStart w:id="71" w:name="_Toc209798653"/>
      <w:r w:rsidRPr="00446FCC">
        <w:rPr>
          <w:rFonts w:ascii="Times New Roman" w:hAnsi="Times New Roman" w:cs="Times New Roman"/>
          <w:b/>
          <w:bCs/>
          <w:noProof/>
          <w:color w:val="auto"/>
        </w:rPr>
        <w:t>Other areas</w:t>
      </w:r>
      <w:bookmarkEnd w:id="71"/>
    </w:p>
    <w:p w14:paraId="06B769E2" w14:textId="121C8889" w:rsidR="00023CFA" w:rsidRPr="00F52880" w:rsidRDefault="00A94F20" w:rsidP="00470A6D">
      <w:pPr>
        <w:spacing w:before="100" w:beforeAutospacing="1" w:after="100" w:afterAutospacing="1" w:line="240" w:lineRule="auto"/>
        <w:jc w:val="both"/>
        <w:rPr>
          <w:rFonts w:ascii="Times New Roman" w:eastAsia="Times New Roman" w:hAnsi="Times New Roman" w:cs="Times New Roman"/>
          <w:noProof/>
          <w:sz w:val="24"/>
          <w:szCs w:val="24"/>
        </w:rPr>
      </w:pPr>
      <w:bookmarkStart w:id="72" w:name="_Hlk215156840"/>
      <w:r w:rsidRPr="00A94F20">
        <w:rPr>
          <w:rFonts w:ascii="Times New Roman" w:eastAsia="Times New Roman" w:hAnsi="Times New Roman" w:cs="Times New Roman"/>
          <w:noProof/>
          <w:sz w:val="24"/>
          <w:szCs w:val="24"/>
        </w:rPr>
        <w:t xml:space="preserve">In the area of </w:t>
      </w:r>
      <w:r w:rsidRPr="00A94F20">
        <w:rPr>
          <w:rFonts w:ascii="Times New Roman" w:eastAsia="Times New Roman" w:hAnsi="Times New Roman" w:cs="Times New Roman"/>
          <w:b/>
          <w:bCs/>
          <w:noProof/>
          <w:sz w:val="24"/>
          <w:szCs w:val="24"/>
        </w:rPr>
        <w:t>health security</w:t>
      </w:r>
      <w:r w:rsidRPr="00A94F20">
        <w:rPr>
          <w:rFonts w:ascii="Times New Roman" w:eastAsia="Times New Roman" w:hAnsi="Times New Roman" w:cs="Times New Roman"/>
          <w:noProof/>
          <w:sz w:val="24"/>
          <w:szCs w:val="24"/>
        </w:rPr>
        <w:t>, exploratory talks were held with a view to maximi</w:t>
      </w:r>
      <w:r w:rsidR="00B84500">
        <w:rPr>
          <w:rFonts w:ascii="Times New Roman" w:eastAsia="Times New Roman" w:hAnsi="Times New Roman" w:cs="Times New Roman"/>
          <w:noProof/>
          <w:sz w:val="24"/>
          <w:szCs w:val="24"/>
        </w:rPr>
        <w:t>s</w:t>
      </w:r>
      <w:r w:rsidRPr="00A94F20">
        <w:rPr>
          <w:rFonts w:ascii="Times New Roman" w:eastAsia="Times New Roman" w:hAnsi="Times New Roman" w:cs="Times New Roman"/>
          <w:noProof/>
          <w:sz w:val="24"/>
          <w:szCs w:val="24"/>
        </w:rPr>
        <w:t xml:space="preserve">ing bilateral cooperation on the detection </w:t>
      </w:r>
      <w:r w:rsidR="00873F80">
        <w:rPr>
          <w:rFonts w:ascii="Times New Roman" w:eastAsia="Times New Roman" w:hAnsi="Times New Roman" w:cs="Times New Roman"/>
          <w:noProof/>
          <w:sz w:val="24"/>
          <w:szCs w:val="24"/>
        </w:rPr>
        <w:t xml:space="preserve">of </w:t>
      </w:r>
      <w:r w:rsidRPr="00A94F20">
        <w:rPr>
          <w:rFonts w:ascii="Times New Roman" w:eastAsia="Times New Roman" w:hAnsi="Times New Roman" w:cs="Times New Roman"/>
          <w:noProof/>
          <w:sz w:val="24"/>
          <w:szCs w:val="24"/>
        </w:rPr>
        <w:t xml:space="preserve">and preparedness for future pandemics, </w:t>
      </w:r>
      <w:r w:rsidR="00873F80">
        <w:rPr>
          <w:rFonts w:ascii="Times New Roman" w:eastAsia="Times New Roman" w:hAnsi="Times New Roman" w:cs="Times New Roman"/>
          <w:noProof/>
          <w:sz w:val="24"/>
          <w:szCs w:val="24"/>
        </w:rPr>
        <w:t>and</w:t>
      </w:r>
      <w:r w:rsidRPr="00A94F20">
        <w:rPr>
          <w:rFonts w:ascii="Times New Roman" w:eastAsia="Times New Roman" w:hAnsi="Times New Roman" w:cs="Times New Roman"/>
          <w:noProof/>
          <w:sz w:val="24"/>
          <w:szCs w:val="24"/>
        </w:rPr>
        <w:t xml:space="preserve"> on </w:t>
      </w:r>
      <w:r w:rsidRPr="00F52880">
        <w:rPr>
          <w:rFonts w:ascii="Times New Roman" w:eastAsia="Times New Roman" w:hAnsi="Times New Roman" w:cs="Times New Roman"/>
          <w:noProof/>
          <w:sz w:val="24"/>
          <w:szCs w:val="24"/>
        </w:rPr>
        <w:t>the response to emerging health threats.</w:t>
      </w:r>
    </w:p>
    <w:p w14:paraId="619399A7" w14:textId="3DDF9C4C" w:rsidR="001E56AA" w:rsidRDefault="001E56AA" w:rsidP="00470A6D">
      <w:pPr>
        <w:spacing w:before="100" w:beforeAutospacing="1" w:after="100" w:afterAutospacing="1" w:line="240" w:lineRule="auto"/>
        <w:jc w:val="both"/>
        <w:rPr>
          <w:rFonts w:ascii="Times New Roman" w:eastAsia="Times New Roman" w:hAnsi="Times New Roman" w:cs="Times New Roman"/>
          <w:noProof/>
          <w:sz w:val="24"/>
          <w:szCs w:val="24"/>
        </w:rPr>
      </w:pPr>
      <w:r w:rsidRPr="00F52880">
        <w:rPr>
          <w:rFonts w:ascii="Times New Roman" w:eastAsia="Times New Roman" w:hAnsi="Times New Roman" w:cs="Times New Roman"/>
          <w:noProof/>
          <w:sz w:val="24"/>
          <w:szCs w:val="24"/>
        </w:rPr>
        <w:t xml:space="preserve">In line with the Common </w:t>
      </w:r>
      <w:r w:rsidR="00C13EF7" w:rsidRPr="00F52880">
        <w:rPr>
          <w:rFonts w:ascii="Times New Roman" w:eastAsia="Times New Roman" w:hAnsi="Times New Roman" w:cs="Times New Roman"/>
          <w:noProof/>
          <w:sz w:val="24"/>
          <w:szCs w:val="24"/>
        </w:rPr>
        <w:t>Understanding and</w:t>
      </w:r>
      <w:r w:rsidRPr="00F52880">
        <w:rPr>
          <w:rFonts w:ascii="Times New Roman" w:eastAsia="Times New Roman" w:hAnsi="Times New Roman" w:cs="Times New Roman"/>
          <w:noProof/>
          <w:sz w:val="24"/>
          <w:szCs w:val="24"/>
        </w:rPr>
        <w:t xml:space="preserve"> following the Council’s adoption on 11 June 2025 of a Decision</w:t>
      </w:r>
      <w:r w:rsidRPr="00F97D5F">
        <w:rPr>
          <w:rStyle w:val="FootnoteReference"/>
          <w:rFonts w:ascii="Times New Roman" w:eastAsia="Times New Roman" w:hAnsi="Times New Roman" w:cs="Times New Roman"/>
          <w:noProof/>
          <w:sz w:val="24"/>
          <w:szCs w:val="24"/>
        </w:rPr>
        <w:footnoteReference w:id="45"/>
      </w:r>
      <w:r w:rsidRPr="00F52880">
        <w:rPr>
          <w:rFonts w:ascii="Times New Roman" w:eastAsia="Times New Roman" w:hAnsi="Times New Roman" w:cs="Times New Roman"/>
          <w:noProof/>
          <w:sz w:val="24"/>
          <w:szCs w:val="24"/>
        </w:rPr>
        <w:t xml:space="preserve"> and negotiation directives, negotiations beg</w:t>
      </w:r>
      <w:r w:rsidR="002A1177">
        <w:rPr>
          <w:rFonts w:ascii="Times New Roman" w:eastAsia="Times New Roman" w:hAnsi="Times New Roman" w:cs="Times New Roman"/>
          <w:noProof/>
          <w:sz w:val="24"/>
          <w:szCs w:val="24"/>
        </w:rPr>
        <w:t>a</w:t>
      </w:r>
      <w:r w:rsidRPr="00F52880">
        <w:rPr>
          <w:rFonts w:ascii="Times New Roman" w:eastAsia="Times New Roman" w:hAnsi="Times New Roman" w:cs="Times New Roman"/>
          <w:noProof/>
          <w:sz w:val="24"/>
          <w:szCs w:val="24"/>
        </w:rPr>
        <w:t xml:space="preserve">n with a view to concluding an international agreement on the </w:t>
      </w:r>
      <w:r w:rsidRPr="00F52880">
        <w:rPr>
          <w:rFonts w:ascii="Times New Roman" w:eastAsia="Times New Roman" w:hAnsi="Times New Roman" w:cs="Times New Roman"/>
          <w:b/>
          <w:bCs/>
          <w:noProof/>
          <w:sz w:val="24"/>
          <w:szCs w:val="24"/>
        </w:rPr>
        <w:t>Youth Experience Scheme</w:t>
      </w:r>
      <w:r w:rsidRPr="00F52880">
        <w:rPr>
          <w:rFonts w:ascii="Times New Roman" w:eastAsia="Times New Roman" w:hAnsi="Times New Roman" w:cs="Times New Roman"/>
          <w:noProof/>
          <w:sz w:val="24"/>
          <w:szCs w:val="24"/>
        </w:rPr>
        <w:t>, introducing a new visa pathway and facilitating the participation of young people from the EU and the United Kingdom in a range of activities.</w:t>
      </w:r>
    </w:p>
    <w:p w14:paraId="3F12493A" w14:textId="0289FC29" w:rsidR="006D1404" w:rsidRPr="0086076B" w:rsidRDefault="27FE4BCF" w:rsidP="000E5D73">
      <w:pPr>
        <w:pStyle w:val="Heading1"/>
        <w:keepLines w:val="0"/>
        <w:numPr>
          <w:ilvl w:val="0"/>
          <w:numId w:val="55"/>
        </w:numPr>
        <w:spacing w:before="100" w:beforeAutospacing="1" w:after="100" w:afterAutospacing="1" w:line="240" w:lineRule="auto"/>
        <w:rPr>
          <w:rFonts w:ascii="Times New Roman" w:hAnsi="Times New Roman" w:cs="Times New Roman"/>
          <w:b/>
          <w:bCs/>
          <w:noProof/>
          <w:color w:val="auto"/>
        </w:rPr>
      </w:pPr>
      <w:bookmarkStart w:id="73" w:name="_Toc86154517"/>
      <w:bookmarkStart w:id="74" w:name="_Toc185413393"/>
      <w:bookmarkStart w:id="75" w:name="_Toc204769330"/>
      <w:bookmarkStart w:id="76" w:name="_Toc209798654"/>
      <w:bookmarkEnd w:id="72"/>
      <w:r w:rsidRPr="71022153">
        <w:rPr>
          <w:rFonts w:ascii="Times New Roman" w:hAnsi="Times New Roman" w:cs="Times New Roman"/>
          <w:b/>
          <w:bCs/>
          <w:noProof/>
          <w:color w:val="auto"/>
        </w:rPr>
        <w:t>Developments</w:t>
      </w:r>
      <w:r w:rsidR="33A451BC" w:rsidRPr="71022153">
        <w:rPr>
          <w:rFonts w:ascii="Times New Roman" w:hAnsi="Times New Roman" w:cs="Times New Roman"/>
          <w:b/>
          <w:bCs/>
          <w:noProof/>
          <w:color w:val="auto"/>
        </w:rPr>
        <w:t xml:space="preserve"> in </w:t>
      </w:r>
      <w:r w:rsidR="344188E6" w:rsidRPr="71022153">
        <w:rPr>
          <w:rFonts w:ascii="Times New Roman" w:hAnsi="Times New Roman" w:cs="Times New Roman"/>
          <w:b/>
          <w:bCs/>
          <w:noProof/>
          <w:color w:val="auto"/>
        </w:rPr>
        <w:t xml:space="preserve">the </w:t>
      </w:r>
      <w:r w:rsidR="33A451BC" w:rsidRPr="71022153">
        <w:rPr>
          <w:rFonts w:ascii="Times New Roman" w:hAnsi="Times New Roman" w:cs="Times New Roman"/>
          <w:b/>
          <w:bCs/>
          <w:noProof/>
          <w:color w:val="auto"/>
        </w:rPr>
        <w:t xml:space="preserve">law of </w:t>
      </w:r>
      <w:bookmarkEnd w:id="73"/>
      <w:r w:rsidR="33A451BC" w:rsidRPr="71022153">
        <w:rPr>
          <w:rFonts w:ascii="Times New Roman" w:hAnsi="Times New Roman" w:cs="Times New Roman"/>
          <w:b/>
          <w:bCs/>
          <w:noProof/>
          <w:color w:val="auto"/>
        </w:rPr>
        <w:t>the United Kingdom</w:t>
      </w:r>
      <w:bookmarkEnd w:id="74"/>
      <w:bookmarkEnd w:id="75"/>
      <w:bookmarkEnd w:id="76"/>
    </w:p>
    <w:p w14:paraId="01EEAF13" w14:textId="5B0A9DA4" w:rsidR="009C4EB8" w:rsidRDefault="00225BB2"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Pursuant to the ongoing monitoring by the Commission, t</w:t>
      </w:r>
      <w:r w:rsidR="00B51317" w:rsidRPr="00B51317">
        <w:rPr>
          <w:rFonts w:ascii="Times New Roman" w:eastAsia="Times New Roman" w:hAnsi="Times New Roman" w:cs="Times New Roman"/>
          <w:noProof/>
          <w:sz w:val="24"/>
          <w:szCs w:val="24"/>
        </w:rPr>
        <w:t xml:space="preserve">his section reviews legislative developments in the United Kingdom, as required by Article 2(4) of Council Decision (EU) 2021/689, with </w:t>
      </w:r>
      <w:r w:rsidR="00A31A57">
        <w:rPr>
          <w:rFonts w:ascii="Times New Roman" w:eastAsia="Times New Roman" w:hAnsi="Times New Roman" w:cs="Times New Roman"/>
          <w:noProof/>
          <w:sz w:val="24"/>
          <w:szCs w:val="24"/>
        </w:rPr>
        <w:t xml:space="preserve">a </w:t>
      </w:r>
      <w:r w:rsidR="00B51317" w:rsidRPr="00B51317">
        <w:rPr>
          <w:rFonts w:ascii="Times New Roman" w:eastAsia="Times New Roman" w:hAnsi="Times New Roman" w:cs="Times New Roman"/>
          <w:noProof/>
          <w:sz w:val="24"/>
          <w:szCs w:val="24"/>
        </w:rPr>
        <w:t xml:space="preserve">particular focus on </w:t>
      </w:r>
      <w:r w:rsidR="00426ADE" w:rsidRPr="00B51317">
        <w:rPr>
          <w:rFonts w:ascii="Times New Roman" w:eastAsia="Times New Roman" w:hAnsi="Times New Roman" w:cs="Times New Roman"/>
          <w:noProof/>
          <w:sz w:val="24"/>
          <w:szCs w:val="24"/>
        </w:rPr>
        <w:t xml:space="preserve">the most significant </w:t>
      </w:r>
      <w:r w:rsidR="00BA41AC">
        <w:rPr>
          <w:rFonts w:ascii="Times New Roman" w:eastAsia="Times New Roman" w:hAnsi="Times New Roman" w:cs="Times New Roman"/>
          <w:noProof/>
          <w:sz w:val="24"/>
          <w:szCs w:val="24"/>
        </w:rPr>
        <w:t>measures</w:t>
      </w:r>
      <w:r w:rsidR="00426ADE">
        <w:rPr>
          <w:rFonts w:ascii="Times New Roman" w:eastAsia="Times New Roman" w:hAnsi="Times New Roman" w:cs="Times New Roman"/>
          <w:noProof/>
          <w:sz w:val="24"/>
          <w:szCs w:val="24"/>
        </w:rPr>
        <w:t xml:space="preserve"> </w:t>
      </w:r>
      <w:r w:rsidR="00B51317" w:rsidRPr="00B51317">
        <w:rPr>
          <w:rFonts w:ascii="Times New Roman" w:eastAsia="Times New Roman" w:hAnsi="Times New Roman" w:cs="Times New Roman"/>
          <w:noProof/>
          <w:sz w:val="24"/>
          <w:szCs w:val="24"/>
        </w:rPr>
        <w:t>relevant to TCA implementation</w:t>
      </w:r>
      <w:r w:rsidR="009C4EB8" w:rsidRPr="009C4EB8">
        <w:rPr>
          <w:rFonts w:ascii="Times New Roman" w:eastAsia="Times New Roman" w:hAnsi="Times New Roman" w:cs="Times New Roman"/>
          <w:noProof/>
          <w:sz w:val="24"/>
          <w:szCs w:val="24"/>
        </w:rPr>
        <w:t>.</w:t>
      </w:r>
    </w:p>
    <w:p w14:paraId="43031B4E" w14:textId="1404317F" w:rsidR="007D3844" w:rsidRPr="006146F7" w:rsidRDefault="007D3844" w:rsidP="007D3844">
      <w:pPr>
        <w:spacing w:before="100" w:beforeAutospacing="1" w:after="100" w:afterAutospacing="1" w:line="240" w:lineRule="auto"/>
        <w:jc w:val="both"/>
        <w:rPr>
          <w:rFonts w:ascii="Times New Roman" w:eastAsia="Times New Roman" w:hAnsi="Times New Roman" w:cs="Times New Roman"/>
          <w:noProof/>
          <w:sz w:val="24"/>
          <w:szCs w:val="24"/>
        </w:rPr>
      </w:pPr>
      <w:r w:rsidRPr="006146F7">
        <w:rPr>
          <w:rFonts w:ascii="Times New Roman" w:eastAsia="Times New Roman" w:hAnsi="Times New Roman" w:cs="Times New Roman"/>
          <w:noProof/>
          <w:sz w:val="24"/>
          <w:szCs w:val="24"/>
        </w:rPr>
        <w:t xml:space="preserve">In the area of </w:t>
      </w:r>
      <w:r w:rsidRPr="006146F7">
        <w:rPr>
          <w:rFonts w:ascii="Times New Roman" w:eastAsia="Times New Roman" w:hAnsi="Times New Roman" w:cs="Times New Roman"/>
          <w:b/>
          <w:bCs/>
          <w:noProof/>
          <w:sz w:val="24"/>
          <w:szCs w:val="24"/>
        </w:rPr>
        <w:t>subsidy control</w:t>
      </w:r>
      <w:r w:rsidRPr="006146F7">
        <w:rPr>
          <w:rFonts w:ascii="Times New Roman" w:eastAsia="Times New Roman" w:hAnsi="Times New Roman" w:cs="Times New Roman"/>
          <w:noProof/>
          <w:sz w:val="24"/>
          <w:szCs w:val="24"/>
        </w:rPr>
        <w:t>, the government continued to refine the framework established under the Subsidy Control Act 2022</w:t>
      </w:r>
      <w:r>
        <w:rPr>
          <w:rStyle w:val="FootnoteReference"/>
          <w:rFonts w:ascii="Times New Roman" w:eastAsia="Times New Roman" w:hAnsi="Times New Roman" w:cs="Times New Roman"/>
          <w:noProof/>
          <w:sz w:val="24"/>
          <w:szCs w:val="24"/>
        </w:rPr>
        <w:footnoteReference w:id="46"/>
      </w:r>
      <w:r w:rsidRPr="006146F7">
        <w:rPr>
          <w:rFonts w:ascii="Times New Roman" w:eastAsia="Times New Roman" w:hAnsi="Times New Roman" w:cs="Times New Roman"/>
          <w:noProof/>
          <w:sz w:val="24"/>
          <w:szCs w:val="24"/>
        </w:rPr>
        <w:t>. The Subsidy Control (Subsidies and Schemes of Interest or Particular Interest) (Amendment) Regulations 2025</w:t>
      </w:r>
      <w:r w:rsidRPr="006146F7">
        <w:rPr>
          <w:rStyle w:val="FootnoteReference"/>
          <w:rFonts w:ascii="Times New Roman" w:eastAsia="Times New Roman" w:hAnsi="Times New Roman" w:cs="Times New Roman"/>
          <w:noProof/>
          <w:sz w:val="24"/>
          <w:szCs w:val="24"/>
        </w:rPr>
        <w:footnoteReference w:id="47"/>
      </w:r>
      <w:r w:rsidRPr="006146F7">
        <w:rPr>
          <w:rFonts w:ascii="Times New Roman" w:eastAsia="Times New Roman" w:hAnsi="Times New Roman" w:cs="Times New Roman"/>
          <w:noProof/>
          <w:sz w:val="24"/>
          <w:szCs w:val="24"/>
        </w:rPr>
        <w:t>, effective from August</w:t>
      </w:r>
      <w:r w:rsidR="00BE2C45">
        <w:rPr>
          <w:rFonts w:ascii="Times New Roman" w:eastAsia="Times New Roman" w:hAnsi="Times New Roman" w:cs="Times New Roman"/>
          <w:noProof/>
          <w:sz w:val="24"/>
          <w:szCs w:val="24"/>
        </w:rPr>
        <w:t xml:space="preserve"> 2025</w:t>
      </w:r>
      <w:r w:rsidRPr="006146F7">
        <w:rPr>
          <w:rFonts w:ascii="Times New Roman" w:eastAsia="Times New Roman" w:hAnsi="Times New Roman" w:cs="Times New Roman"/>
          <w:noProof/>
          <w:sz w:val="24"/>
          <w:szCs w:val="24"/>
        </w:rPr>
        <w:t xml:space="preserve">, increased the financial threshold for mandatory referral of subsidies </w:t>
      </w:r>
      <w:r w:rsidRPr="002452F4">
        <w:rPr>
          <w:rFonts w:ascii="Times New Roman" w:eastAsia="Times New Roman" w:hAnsi="Times New Roman" w:cs="Times New Roman"/>
          <w:noProof/>
          <w:sz w:val="24"/>
          <w:szCs w:val="24"/>
        </w:rPr>
        <w:t>and schemes in non-sensitive sectors</w:t>
      </w:r>
      <w:r w:rsidRPr="006146F7">
        <w:rPr>
          <w:rFonts w:ascii="Times New Roman" w:eastAsia="Times New Roman" w:hAnsi="Times New Roman" w:cs="Times New Roman"/>
          <w:noProof/>
          <w:sz w:val="24"/>
          <w:szCs w:val="24"/>
        </w:rPr>
        <w:t xml:space="preserve"> to the Competition and Markets Authority from </w:t>
      </w:r>
      <w:r w:rsidRPr="00783363">
        <w:rPr>
          <w:rFonts w:ascii="Times New Roman" w:eastAsia="Times New Roman" w:hAnsi="Times New Roman" w:cs="Times New Roman"/>
          <w:noProof/>
          <w:sz w:val="24"/>
          <w:szCs w:val="24"/>
        </w:rPr>
        <w:t>GBP</w:t>
      </w:r>
      <w:r w:rsidR="00BE2C45">
        <w:rPr>
          <w:rFonts w:ascii="Times New Roman" w:eastAsia="Times New Roman" w:hAnsi="Times New Roman" w:cs="Times New Roman"/>
          <w:noProof/>
          <w:sz w:val="24"/>
          <w:szCs w:val="24"/>
        </w:rPr>
        <w:t xml:space="preserve"> </w:t>
      </w:r>
      <w:r w:rsidRPr="006146F7">
        <w:rPr>
          <w:rFonts w:ascii="Times New Roman" w:eastAsia="Times New Roman" w:hAnsi="Times New Roman" w:cs="Times New Roman"/>
          <w:noProof/>
          <w:sz w:val="24"/>
          <w:szCs w:val="24"/>
        </w:rPr>
        <w:t xml:space="preserve">10 million to </w:t>
      </w:r>
      <w:r w:rsidRPr="00783363">
        <w:rPr>
          <w:rFonts w:ascii="Times New Roman" w:eastAsia="Times New Roman" w:hAnsi="Times New Roman" w:cs="Times New Roman"/>
          <w:noProof/>
          <w:sz w:val="24"/>
          <w:szCs w:val="24"/>
        </w:rPr>
        <w:t>GBP</w:t>
      </w:r>
      <w:r w:rsidR="00BE2C45">
        <w:rPr>
          <w:rFonts w:ascii="Times New Roman" w:eastAsia="Times New Roman" w:hAnsi="Times New Roman" w:cs="Times New Roman"/>
          <w:noProof/>
          <w:sz w:val="24"/>
          <w:szCs w:val="24"/>
        </w:rPr>
        <w:t xml:space="preserve"> </w:t>
      </w:r>
      <w:r w:rsidRPr="006146F7">
        <w:rPr>
          <w:rFonts w:ascii="Times New Roman" w:eastAsia="Times New Roman" w:hAnsi="Times New Roman" w:cs="Times New Roman"/>
          <w:noProof/>
          <w:sz w:val="24"/>
          <w:szCs w:val="24"/>
        </w:rPr>
        <w:t>25 million.</w:t>
      </w:r>
      <w:r w:rsidRPr="00946689">
        <w:rPr>
          <w:noProof/>
        </w:rPr>
        <w:t xml:space="preserve"> </w:t>
      </w:r>
      <w:r>
        <w:rPr>
          <w:rFonts w:ascii="Times New Roman" w:eastAsia="Times New Roman" w:hAnsi="Times New Roman" w:cs="Times New Roman"/>
          <w:noProof/>
          <w:sz w:val="24"/>
          <w:szCs w:val="24"/>
        </w:rPr>
        <w:t xml:space="preserve">As a result, the </w:t>
      </w:r>
      <w:r w:rsidRPr="006146F7">
        <w:rPr>
          <w:rFonts w:ascii="Times New Roman" w:eastAsia="Times New Roman" w:hAnsi="Times New Roman" w:cs="Times New Roman"/>
          <w:noProof/>
          <w:sz w:val="24"/>
          <w:szCs w:val="24"/>
        </w:rPr>
        <w:t>Competition and Markets Authority</w:t>
      </w:r>
      <w:r>
        <w:rPr>
          <w:rFonts w:ascii="Times New Roman" w:eastAsia="Times New Roman" w:hAnsi="Times New Roman" w:cs="Times New Roman"/>
          <w:noProof/>
          <w:sz w:val="24"/>
          <w:szCs w:val="24"/>
        </w:rPr>
        <w:t xml:space="preserve"> estimated a</w:t>
      </w:r>
      <w:r w:rsidRPr="00946689">
        <w:rPr>
          <w:rFonts w:ascii="Times New Roman" w:eastAsia="Times New Roman" w:hAnsi="Times New Roman" w:cs="Times New Roman"/>
          <w:noProof/>
          <w:sz w:val="24"/>
          <w:szCs w:val="24"/>
        </w:rPr>
        <w:t xml:space="preserve"> 28% reduction in the number of subsidies scrutinised by Subsidy Advi</w:t>
      </w:r>
      <w:r w:rsidR="007C2090">
        <w:rPr>
          <w:rFonts w:ascii="Times New Roman" w:eastAsia="Times New Roman" w:hAnsi="Times New Roman" w:cs="Times New Roman"/>
          <w:noProof/>
          <w:sz w:val="24"/>
          <w:szCs w:val="24"/>
        </w:rPr>
        <w:t>c</w:t>
      </w:r>
      <w:r w:rsidRPr="00946689">
        <w:rPr>
          <w:rFonts w:ascii="Times New Roman" w:eastAsia="Times New Roman" w:hAnsi="Times New Roman" w:cs="Times New Roman"/>
          <w:noProof/>
          <w:sz w:val="24"/>
          <w:szCs w:val="24"/>
        </w:rPr>
        <w:t>e Unit</w:t>
      </w:r>
      <w:r>
        <w:rPr>
          <w:rFonts w:ascii="Times New Roman" w:eastAsia="Times New Roman" w:hAnsi="Times New Roman" w:cs="Times New Roman"/>
          <w:noProof/>
          <w:sz w:val="24"/>
          <w:szCs w:val="24"/>
        </w:rPr>
        <w:t>.</w:t>
      </w:r>
    </w:p>
    <w:p w14:paraId="50E46F1B" w14:textId="1B32F897" w:rsidR="00E81C30" w:rsidRPr="006146F7" w:rsidRDefault="00E81C30" w:rsidP="00E81C30">
      <w:pPr>
        <w:spacing w:before="100" w:beforeAutospacing="1" w:after="100" w:afterAutospacing="1" w:line="240" w:lineRule="auto"/>
        <w:jc w:val="both"/>
        <w:rPr>
          <w:rFonts w:ascii="Times New Roman" w:eastAsia="Times New Roman" w:hAnsi="Times New Roman" w:cs="Times New Roman"/>
          <w:noProof/>
          <w:sz w:val="24"/>
          <w:szCs w:val="24"/>
        </w:rPr>
      </w:pPr>
      <w:r w:rsidRPr="006146F7">
        <w:rPr>
          <w:rFonts w:ascii="Times New Roman" w:eastAsia="Times New Roman" w:hAnsi="Times New Roman" w:cs="Times New Roman"/>
          <w:noProof/>
          <w:sz w:val="24"/>
          <w:szCs w:val="24"/>
        </w:rPr>
        <w:t xml:space="preserve">In the field of </w:t>
      </w:r>
      <w:r w:rsidRPr="006146F7">
        <w:rPr>
          <w:rFonts w:ascii="Times New Roman" w:eastAsia="Times New Roman" w:hAnsi="Times New Roman" w:cs="Times New Roman"/>
          <w:b/>
          <w:bCs/>
          <w:noProof/>
          <w:sz w:val="24"/>
          <w:szCs w:val="24"/>
        </w:rPr>
        <w:t>labour and social standards</w:t>
      </w:r>
      <w:r w:rsidRPr="006146F7">
        <w:rPr>
          <w:rFonts w:ascii="Times New Roman" w:eastAsia="Times New Roman" w:hAnsi="Times New Roman" w:cs="Times New Roman"/>
          <w:noProof/>
          <w:sz w:val="24"/>
          <w:szCs w:val="24"/>
        </w:rPr>
        <w:t xml:space="preserve">, the Employment Rights </w:t>
      </w:r>
      <w:r w:rsidR="00FB459C">
        <w:rPr>
          <w:rFonts w:ascii="Times New Roman" w:eastAsia="Times New Roman" w:hAnsi="Times New Roman" w:cs="Times New Roman"/>
          <w:noProof/>
          <w:sz w:val="24"/>
          <w:szCs w:val="24"/>
        </w:rPr>
        <w:t>Act 2025</w:t>
      </w:r>
      <w:r w:rsidR="00836903" w:rsidRPr="00F97D5F">
        <w:rPr>
          <w:rStyle w:val="FootnoteReference"/>
          <w:rFonts w:ascii="Times New Roman" w:eastAsia="Times New Roman" w:hAnsi="Times New Roman" w:cs="Times New Roman"/>
          <w:noProof/>
          <w:sz w:val="24"/>
          <w:szCs w:val="24"/>
        </w:rPr>
        <w:footnoteReference w:id="48"/>
      </w:r>
      <w:r w:rsidRPr="006146F7">
        <w:rPr>
          <w:rFonts w:ascii="Times New Roman" w:eastAsia="Times New Roman" w:hAnsi="Times New Roman" w:cs="Times New Roman"/>
          <w:noProof/>
          <w:sz w:val="24"/>
          <w:szCs w:val="24"/>
        </w:rPr>
        <w:t xml:space="preserve"> </w:t>
      </w:r>
      <w:r w:rsidR="0078057D" w:rsidRPr="006146F7">
        <w:rPr>
          <w:rFonts w:ascii="Times New Roman" w:eastAsia="Times New Roman" w:hAnsi="Times New Roman" w:cs="Times New Roman"/>
          <w:noProof/>
          <w:sz w:val="24"/>
          <w:szCs w:val="24"/>
        </w:rPr>
        <w:t>introduce</w:t>
      </w:r>
      <w:r w:rsidR="0078057D">
        <w:rPr>
          <w:rFonts w:ascii="Times New Roman" w:eastAsia="Times New Roman" w:hAnsi="Times New Roman" w:cs="Times New Roman"/>
          <w:noProof/>
          <w:sz w:val="24"/>
          <w:szCs w:val="24"/>
        </w:rPr>
        <w:t>d</w:t>
      </w:r>
      <w:r w:rsidR="0078057D" w:rsidRPr="006146F7">
        <w:rPr>
          <w:rFonts w:ascii="Times New Roman" w:eastAsia="Times New Roman" w:hAnsi="Times New Roman" w:cs="Times New Roman"/>
          <w:noProof/>
          <w:sz w:val="24"/>
          <w:szCs w:val="24"/>
        </w:rPr>
        <w:t xml:space="preserve"> </w:t>
      </w:r>
      <w:r w:rsidR="002816B4" w:rsidRPr="006146F7">
        <w:rPr>
          <w:rFonts w:ascii="Times New Roman" w:eastAsia="Times New Roman" w:hAnsi="Times New Roman" w:cs="Times New Roman"/>
          <w:noProof/>
          <w:sz w:val="24"/>
          <w:szCs w:val="24"/>
        </w:rPr>
        <w:t xml:space="preserve">employment law </w:t>
      </w:r>
      <w:r w:rsidRPr="006146F7">
        <w:rPr>
          <w:rFonts w:ascii="Times New Roman" w:eastAsia="Times New Roman" w:hAnsi="Times New Roman" w:cs="Times New Roman"/>
          <w:noProof/>
          <w:sz w:val="24"/>
          <w:szCs w:val="24"/>
        </w:rPr>
        <w:t>reforms in England, Scotland and Wales. Key provisions</w:t>
      </w:r>
      <w:r w:rsidR="00D30A94">
        <w:rPr>
          <w:rFonts w:ascii="Times New Roman" w:eastAsia="Times New Roman" w:hAnsi="Times New Roman" w:cs="Times New Roman"/>
          <w:noProof/>
          <w:sz w:val="24"/>
          <w:szCs w:val="24"/>
        </w:rPr>
        <w:t>, welcomed by the EU,</w:t>
      </w:r>
      <w:r w:rsidRPr="006146F7">
        <w:rPr>
          <w:rFonts w:ascii="Times New Roman" w:eastAsia="Times New Roman" w:hAnsi="Times New Roman" w:cs="Times New Roman"/>
          <w:noProof/>
          <w:sz w:val="24"/>
          <w:szCs w:val="24"/>
        </w:rPr>
        <w:t xml:space="preserve"> include updates to redundancy procedures, equality duties for employers, trade union functions and enforcement of labour market legislation.</w:t>
      </w:r>
      <w:r w:rsidR="00670DDE">
        <w:rPr>
          <w:rFonts w:ascii="Times New Roman" w:eastAsia="Times New Roman" w:hAnsi="Times New Roman" w:cs="Times New Roman"/>
          <w:noProof/>
          <w:sz w:val="24"/>
          <w:szCs w:val="24"/>
        </w:rPr>
        <w:t xml:space="preserve"> In particular, </w:t>
      </w:r>
      <w:r w:rsidR="00B8386D">
        <w:rPr>
          <w:rFonts w:ascii="Times New Roman" w:eastAsia="Times New Roman" w:hAnsi="Times New Roman" w:cs="Times New Roman"/>
          <w:noProof/>
          <w:sz w:val="24"/>
          <w:szCs w:val="24"/>
        </w:rPr>
        <w:t>this Act</w:t>
      </w:r>
      <w:r w:rsidR="00670DDE">
        <w:rPr>
          <w:rFonts w:ascii="Times New Roman" w:eastAsia="Times New Roman" w:hAnsi="Times New Roman" w:cs="Times New Roman"/>
          <w:noProof/>
          <w:sz w:val="24"/>
          <w:szCs w:val="24"/>
        </w:rPr>
        <w:t xml:space="preserve"> seeks to end </w:t>
      </w:r>
      <w:r w:rsidR="00670DDE" w:rsidRPr="00670DDE">
        <w:rPr>
          <w:rFonts w:ascii="Times New Roman" w:eastAsia="Times New Roman" w:hAnsi="Times New Roman" w:cs="Times New Roman"/>
          <w:noProof/>
          <w:sz w:val="24"/>
          <w:szCs w:val="24"/>
        </w:rPr>
        <w:t>zero-hour contracts by granting rights to guaranteed hours</w:t>
      </w:r>
      <w:r w:rsidR="00670DDE">
        <w:rPr>
          <w:rFonts w:ascii="Times New Roman" w:eastAsia="Times New Roman" w:hAnsi="Times New Roman" w:cs="Times New Roman"/>
          <w:noProof/>
          <w:sz w:val="24"/>
          <w:szCs w:val="24"/>
        </w:rPr>
        <w:t xml:space="preserve"> and to </w:t>
      </w:r>
      <w:r w:rsidR="00670DDE" w:rsidRPr="00670DDE">
        <w:rPr>
          <w:rFonts w:ascii="Times New Roman" w:eastAsia="Times New Roman" w:hAnsi="Times New Roman" w:cs="Times New Roman"/>
          <w:noProof/>
          <w:sz w:val="24"/>
          <w:szCs w:val="24"/>
        </w:rPr>
        <w:t xml:space="preserve">modernise trade union legislation, including </w:t>
      </w:r>
      <w:r w:rsidR="00A5477E">
        <w:rPr>
          <w:rFonts w:ascii="Times New Roman" w:eastAsia="Times New Roman" w:hAnsi="Times New Roman" w:cs="Times New Roman"/>
          <w:noProof/>
          <w:sz w:val="24"/>
          <w:szCs w:val="24"/>
        </w:rPr>
        <w:t>by</w:t>
      </w:r>
      <w:r w:rsidR="00A5477E" w:rsidRPr="00670DDE">
        <w:rPr>
          <w:rFonts w:ascii="Times New Roman" w:eastAsia="Times New Roman" w:hAnsi="Times New Roman" w:cs="Times New Roman"/>
          <w:noProof/>
          <w:sz w:val="24"/>
          <w:szCs w:val="24"/>
        </w:rPr>
        <w:t xml:space="preserve"> </w:t>
      </w:r>
      <w:r w:rsidR="00670DDE" w:rsidRPr="00670DDE">
        <w:rPr>
          <w:rFonts w:ascii="Times New Roman" w:eastAsia="Times New Roman" w:hAnsi="Times New Roman" w:cs="Times New Roman"/>
          <w:noProof/>
          <w:sz w:val="24"/>
          <w:szCs w:val="24"/>
        </w:rPr>
        <w:t>repea</w:t>
      </w:r>
      <w:r w:rsidR="00A5477E">
        <w:rPr>
          <w:rFonts w:ascii="Times New Roman" w:eastAsia="Times New Roman" w:hAnsi="Times New Roman" w:cs="Times New Roman"/>
          <w:noProof/>
          <w:sz w:val="24"/>
          <w:szCs w:val="24"/>
        </w:rPr>
        <w:t>ling</w:t>
      </w:r>
      <w:r w:rsidR="00670DDE" w:rsidRPr="00670DDE">
        <w:rPr>
          <w:rFonts w:ascii="Times New Roman" w:eastAsia="Times New Roman" w:hAnsi="Times New Roman" w:cs="Times New Roman"/>
          <w:noProof/>
          <w:sz w:val="24"/>
          <w:szCs w:val="24"/>
        </w:rPr>
        <w:t xml:space="preserve"> the </w:t>
      </w:r>
      <w:r w:rsidR="006F43EC">
        <w:rPr>
          <w:rFonts w:ascii="Times New Roman" w:eastAsia="Times New Roman" w:hAnsi="Times New Roman" w:cs="Times New Roman"/>
          <w:noProof/>
          <w:sz w:val="24"/>
          <w:szCs w:val="24"/>
        </w:rPr>
        <w:t xml:space="preserve">controversial </w:t>
      </w:r>
      <w:r w:rsidR="00670DDE" w:rsidRPr="00670DDE">
        <w:rPr>
          <w:rFonts w:ascii="Times New Roman" w:eastAsia="Times New Roman" w:hAnsi="Times New Roman" w:cs="Times New Roman"/>
          <w:noProof/>
          <w:sz w:val="24"/>
          <w:szCs w:val="24"/>
        </w:rPr>
        <w:t>Strikes (Minimum Service Levels) Act 2023</w:t>
      </w:r>
      <w:r w:rsidR="00670DDE" w:rsidRPr="00F97D5F">
        <w:rPr>
          <w:rStyle w:val="FootnoteReference"/>
          <w:rFonts w:ascii="Times New Roman" w:eastAsia="Times New Roman" w:hAnsi="Times New Roman" w:cs="Times New Roman"/>
          <w:noProof/>
          <w:sz w:val="24"/>
          <w:szCs w:val="24"/>
        </w:rPr>
        <w:footnoteReference w:id="49"/>
      </w:r>
      <w:r w:rsidR="006F43EC">
        <w:rPr>
          <w:rFonts w:ascii="Times New Roman" w:eastAsia="Times New Roman" w:hAnsi="Times New Roman" w:cs="Times New Roman"/>
          <w:noProof/>
          <w:sz w:val="24"/>
          <w:szCs w:val="24"/>
        </w:rPr>
        <w:t xml:space="preserve">, </w:t>
      </w:r>
      <w:r w:rsidR="00431EF6">
        <w:rPr>
          <w:rFonts w:ascii="Times New Roman" w:eastAsia="Times New Roman" w:hAnsi="Times New Roman" w:cs="Times New Roman"/>
          <w:noProof/>
          <w:sz w:val="24"/>
          <w:szCs w:val="24"/>
        </w:rPr>
        <w:t xml:space="preserve">highlighted </w:t>
      </w:r>
      <w:r w:rsidR="00431EF6" w:rsidRPr="00431EF6">
        <w:rPr>
          <w:rFonts w:ascii="Times New Roman" w:eastAsia="Times New Roman" w:hAnsi="Times New Roman" w:cs="Times New Roman"/>
          <w:noProof/>
          <w:sz w:val="24"/>
          <w:szCs w:val="24"/>
        </w:rPr>
        <w:t>by the Commission in its 2023 TCA implementation report</w:t>
      </w:r>
      <w:r w:rsidR="0018706E" w:rsidRPr="00F97D5F">
        <w:rPr>
          <w:rStyle w:val="FootnoteReference"/>
          <w:rFonts w:ascii="Times New Roman" w:eastAsia="Times New Roman" w:hAnsi="Times New Roman" w:cs="Times New Roman"/>
          <w:noProof/>
          <w:sz w:val="24"/>
          <w:szCs w:val="24"/>
        </w:rPr>
        <w:footnoteReference w:id="50"/>
      </w:r>
      <w:r w:rsidR="00431EF6">
        <w:rPr>
          <w:rFonts w:ascii="Times New Roman" w:eastAsia="Times New Roman" w:hAnsi="Times New Roman" w:cs="Times New Roman"/>
          <w:noProof/>
          <w:sz w:val="24"/>
          <w:szCs w:val="24"/>
        </w:rPr>
        <w:t>.</w:t>
      </w:r>
    </w:p>
    <w:p w14:paraId="25BF688E" w14:textId="3A01553A" w:rsidR="00E661FF" w:rsidRDefault="00A5477E"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As regards</w:t>
      </w:r>
      <w:r w:rsidR="00E81C30" w:rsidRPr="006146F7">
        <w:rPr>
          <w:rFonts w:ascii="Times New Roman" w:eastAsia="Times New Roman" w:hAnsi="Times New Roman" w:cs="Times New Roman"/>
          <w:noProof/>
          <w:sz w:val="24"/>
          <w:szCs w:val="24"/>
        </w:rPr>
        <w:t xml:space="preserve"> </w:t>
      </w:r>
      <w:r w:rsidR="00E81C30" w:rsidRPr="006146F7">
        <w:rPr>
          <w:rFonts w:ascii="Times New Roman" w:eastAsia="Times New Roman" w:hAnsi="Times New Roman" w:cs="Times New Roman"/>
          <w:b/>
          <w:bCs/>
          <w:noProof/>
          <w:sz w:val="24"/>
          <w:szCs w:val="24"/>
        </w:rPr>
        <w:t>climate and environmental</w:t>
      </w:r>
      <w:r w:rsidR="00E81C30" w:rsidRPr="006146F7">
        <w:rPr>
          <w:rFonts w:ascii="Times New Roman" w:eastAsia="Times New Roman" w:hAnsi="Times New Roman" w:cs="Times New Roman"/>
          <w:noProof/>
          <w:sz w:val="24"/>
          <w:szCs w:val="24"/>
        </w:rPr>
        <w:t xml:space="preserve"> legislation</w:t>
      </w:r>
      <w:r w:rsidR="008F23E8" w:rsidRPr="006146F7">
        <w:rPr>
          <w:rFonts w:ascii="Times New Roman" w:eastAsia="Times New Roman" w:hAnsi="Times New Roman" w:cs="Times New Roman"/>
          <w:noProof/>
          <w:sz w:val="24"/>
          <w:szCs w:val="24"/>
        </w:rPr>
        <w:t xml:space="preserve">, </w:t>
      </w:r>
      <w:r w:rsidR="00E81C30" w:rsidRPr="006146F7">
        <w:rPr>
          <w:rFonts w:ascii="Times New Roman" w:eastAsia="Times New Roman" w:hAnsi="Times New Roman" w:cs="Times New Roman"/>
          <w:noProof/>
          <w:sz w:val="24"/>
          <w:szCs w:val="24"/>
        </w:rPr>
        <w:t>the Great British Energy Act 2025</w:t>
      </w:r>
      <w:r w:rsidR="003758D3" w:rsidRPr="00F97D5F">
        <w:rPr>
          <w:rStyle w:val="FootnoteReference"/>
          <w:rFonts w:ascii="Times New Roman" w:eastAsia="Times New Roman" w:hAnsi="Times New Roman" w:cs="Times New Roman"/>
          <w:noProof/>
          <w:sz w:val="24"/>
          <w:szCs w:val="24"/>
        </w:rPr>
        <w:footnoteReference w:id="51"/>
      </w:r>
      <w:r w:rsidR="00E81C30" w:rsidRPr="006146F7">
        <w:rPr>
          <w:rFonts w:ascii="Times New Roman" w:eastAsia="Times New Roman" w:hAnsi="Times New Roman" w:cs="Times New Roman"/>
          <w:noProof/>
          <w:sz w:val="24"/>
          <w:szCs w:val="24"/>
        </w:rPr>
        <w:t xml:space="preserve"> establish</w:t>
      </w:r>
      <w:r w:rsidR="00212267" w:rsidRPr="006146F7">
        <w:rPr>
          <w:rFonts w:ascii="Times New Roman" w:eastAsia="Times New Roman" w:hAnsi="Times New Roman" w:cs="Times New Roman"/>
          <w:noProof/>
          <w:sz w:val="24"/>
          <w:szCs w:val="24"/>
        </w:rPr>
        <w:t>e</w:t>
      </w:r>
      <w:r w:rsidR="00945223" w:rsidRPr="006146F7">
        <w:rPr>
          <w:rFonts w:ascii="Times New Roman" w:eastAsia="Times New Roman" w:hAnsi="Times New Roman" w:cs="Times New Roman"/>
          <w:noProof/>
          <w:sz w:val="24"/>
          <w:szCs w:val="24"/>
        </w:rPr>
        <w:t>s</w:t>
      </w:r>
      <w:r w:rsidR="00E81C30" w:rsidRPr="006146F7">
        <w:rPr>
          <w:rFonts w:ascii="Times New Roman" w:eastAsia="Times New Roman" w:hAnsi="Times New Roman" w:cs="Times New Roman"/>
          <w:noProof/>
          <w:sz w:val="24"/>
          <w:szCs w:val="24"/>
        </w:rPr>
        <w:t xml:space="preserve"> Great British Energy (GBE), a </w:t>
      </w:r>
      <w:r w:rsidR="008D6096" w:rsidRPr="006146F7">
        <w:rPr>
          <w:rFonts w:ascii="Times New Roman" w:eastAsia="Times New Roman" w:hAnsi="Times New Roman" w:cs="Times New Roman"/>
          <w:noProof/>
          <w:sz w:val="24"/>
          <w:szCs w:val="24"/>
        </w:rPr>
        <w:t>publicly</w:t>
      </w:r>
      <w:r w:rsidR="008D6096">
        <w:rPr>
          <w:rFonts w:ascii="Times New Roman" w:eastAsia="Times New Roman" w:hAnsi="Times New Roman" w:cs="Times New Roman"/>
          <w:noProof/>
          <w:sz w:val="24"/>
          <w:szCs w:val="24"/>
        </w:rPr>
        <w:t xml:space="preserve"> owned</w:t>
      </w:r>
      <w:r w:rsidR="00E81C30" w:rsidRPr="006146F7">
        <w:rPr>
          <w:rFonts w:ascii="Times New Roman" w:eastAsia="Times New Roman" w:hAnsi="Times New Roman" w:cs="Times New Roman"/>
          <w:noProof/>
          <w:sz w:val="24"/>
          <w:szCs w:val="24"/>
        </w:rPr>
        <w:t xml:space="preserve"> energy company tasked with accelerating the development of clean domestic energy. </w:t>
      </w:r>
      <w:r w:rsidR="00E14306">
        <w:rPr>
          <w:rFonts w:ascii="Times New Roman" w:eastAsia="Times New Roman" w:hAnsi="Times New Roman" w:cs="Times New Roman"/>
          <w:noProof/>
          <w:sz w:val="24"/>
          <w:szCs w:val="24"/>
        </w:rPr>
        <w:t xml:space="preserve">This </w:t>
      </w:r>
      <w:r w:rsidR="00E81C30" w:rsidRPr="006146F7">
        <w:rPr>
          <w:rFonts w:ascii="Times New Roman" w:eastAsia="Times New Roman" w:hAnsi="Times New Roman" w:cs="Times New Roman"/>
          <w:noProof/>
          <w:sz w:val="24"/>
          <w:szCs w:val="24"/>
        </w:rPr>
        <w:t xml:space="preserve">Act grants GBE the authority to invest in and manage energy generation infrastructure, </w:t>
      </w:r>
      <w:r w:rsidR="00FB3A4D">
        <w:rPr>
          <w:rFonts w:ascii="Times New Roman" w:eastAsia="Times New Roman" w:hAnsi="Times New Roman" w:cs="Times New Roman"/>
          <w:noProof/>
          <w:sz w:val="24"/>
          <w:szCs w:val="24"/>
        </w:rPr>
        <w:t xml:space="preserve">thereby </w:t>
      </w:r>
      <w:r w:rsidR="00E81C30" w:rsidRPr="006146F7">
        <w:rPr>
          <w:rFonts w:ascii="Times New Roman" w:eastAsia="Times New Roman" w:hAnsi="Times New Roman" w:cs="Times New Roman"/>
          <w:noProof/>
          <w:sz w:val="24"/>
          <w:szCs w:val="24"/>
        </w:rPr>
        <w:t>promoting environmental sustainability and energy security</w:t>
      </w:r>
      <w:r w:rsidR="006B08B2" w:rsidRPr="006146F7">
        <w:rPr>
          <w:rFonts w:ascii="Times New Roman" w:eastAsia="Times New Roman" w:hAnsi="Times New Roman" w:cs="Times New Roman"/>
          <w:noProof/>
          <w:sz w:val="24"/>
          <w:szCs w:val="24"/>
        </w:rPr>
        <w:t xml:space="preserve">. </w:t>
      </w:r>
      <w:r w:rsidR="00E661FF" w:rsidRPr="00E661FF">
        <w:rPr>
          <w:rFonts w:ascii="Times New Roman" w:eastAsia="Times New Roman" w:hAnsi="Times New Roman" w:cs="Times New Roman"/>
          <w:noProof/>
          <w:sz w:val="24"/>
          <w:szCs w:val="24"/>
        </w:rPr>
        <w:t xml:space="preserve">With more than </w:t>
      </w:r>
      <w:r w:rsidR="00783363" w:rsidRPr="00783363">
        <w:rPr>
          <w:rFonts w:ascii="Times New Roman" w:eastAsia="Times New Roman" w:hAnsi="Times New Roman" w:cs="Times New Roman"/>
          <w:noProof/>
          <w:sz w:val="24"/>
          <w:szCs w:val="24"/>
        </w:rPr>
        <w:t>GBP</w:t>
      </w:r>
      <w:r w:rsidR="00A25A5A">
        <w:rPr>
          <w:rFonts w:ascii="Times New Roman" w:eastAsia="Times New Roman" w:hAnsi="Times New Roman" w:cs="Times New Roman"/>
          <w:noProof/>
          <w:sz w:val="24"/>
          <w:szCs w:val="24"/>
        </w:rPr>
        <w:t> </w:t>
      </w:r>
      <w:r w:rsidR="00E661FF" w:rsidRPr="00E661FF">
        <w:rPr>
          <w:rFonts w:ascii="Times New Roman" w:eastAsia="Times New Roman" w:hAnsi="Times New Roman" w:cs="Times New Roman"/>
          <w:noProof/>
          <w:sz w:val="24"/>
          <w:szCs w:val="24"/>
        </w:rPr>
        <w:t>8.3 billion to be invested, the Commission is carefully overseeing implementation to ensure</w:t>
      </w:r>
      <w:r w:rsidR="00A25A5A">
        <w:rPr>
          <w:rFonts w:ascii="Times New Roman" w:eastAsia="Times New Roman" w:hAnsi="Times New Roman" w:cs="Times New Roman"/>
          <w:noProof/>
          <w:sz w:val="24"/>
          <w:szCs w:val="24"/>
        </w:rPr>
        <w:t xml:space="preserve"> that</w:t>
      </w:r>
      <w:r w:rsidR="00E661FF" w:rsidRPr="00E661FF">
        <w:rPr>
          <w:rFonts w:ascii="Times New Roman" w:eastAsia="Times New Roman" w:hAnsi="Times New Roman" w:cs="Times New Roman"/>
          <w:noProof/>
          <w:sz w:val="24"/>
          <w:szCs w:val="24"/>
        </w:rPr>
        <w:t xml:space="preserve"> it aligns with the United Kingdom’s TCA commitments</w:t>
      </w:r>
      <w:r w:rsidR="00E661FF">
        <w:rPr>
          <w:rFonts w:ascii="Times New Roman" w:eastAsia="Times New Roman" w:hAnsi="Times New Roman" w:cs="Times New Roman"/>
          <w:noProof/>
          <w:sz w:val="24"/>
          <w:szCs w:val="24"/>
        </w:rPr>
        <w:t>.</w:t>
      </w:r>
    </w:p>
    <w:p w14:paraId="6FD30062" w14:textId="632DDCAD" w:rsidR="00E81C30" w:rsidRPr="006146F7" w:rsidRDefault="00212267" w:rsidP="00E661FF">
      <w:pPr>
        <w:spacing w:before="100" w:beforeAutospacing="1" w:after="100" w:afterAutospacing="1" w:line="240" w:lineRule="auto"/>
        <w:jc w:val="both"/>
        <w:rPr>
          <w:rFonts w:ascii="Times New Roman" w:eastAsia="Times New Roman" w:hAnsi="Times New Roman" w:cs="Times New Roman"/>
          <w:noProof/>
          <w:sz w:val="24"/>
          <w:szCs w:val="24"/>
        </w:rPr>
      </w:pPr>
      <w:r w:rsidRPr="006146F7">
        <w:rPr>
          <w:rFonts w:ascii="Times New Roman" w:eastAsia="Times New Roman" w:hAnsi="Times New Roman" w:cs="Times New Roman"/>
          <w:noProof/>
          <w:sz w:val="24"/>
          <w:szCs w:val="24"/>
        </w:rPr>
        <w:t>Furthermore, t</w:t>
      </w:r>
      <w:r w:rsidR="00E81C30" w:rsidRPr="006146F7">
        <w:rPr>
          <w:rFonts w:ascii="Times New Roman" w:eastAsia="Times New Roman" w:hAnsi="Times New Roman" w:cs="Times New Roman"/>
          <w:noProof/>
          <w:sz w:val="24"/>
          <w:szCs w:val="24"/>
        </w:rPr>
        <w:t xml:space="preserve">he Planning and Infrastructure </w:t>
      </w:r>
      <w:r w:rsidR="00D30A94">
        <w:rPr>
          <w:rFonts w:ascii="Times New Roman" w:eastAsia="Times New Roman" w:hAnsi="Times New Roman" w:cs="Times New Roman"/>
          <w:noProof/>
          <w:sz w:val="24"/>
          <w:szCs w:val="24"/>
        </w:rPr>
        <w:t>Act 2025</w:t>
      </w:r>
      <w:r w:rsidRPr="00F97D5F">
        <w:rPr>
          <w:rStyle w:val="FootnoteReference"/>
          <w:rFonts w:ascii="Times New Roman" w:eastAsia="Times New Roman" w:hAnsi="Times New Roman" w:cs="Times New Roman"/>
          <w:noProof/>
          <w:sz w:val="24"/>
          <w:szCs w:val="24"/>
        </w:rPr>
        <w:footnoteReference w:id="52"/>
      </w:r>
      <w:r w:rsidR="00E81C30" w:rsidRPr="006146F7">
        <w:rPr>
          <w:rFonts w:ascii="Times New Roman" w:eastAsia="Times New Roman" w:hAnsi="Times New Roman" w:cs="Times New Roman"/>
          <w:noProof/>
          <w:sz w:val="24"/>
          <w:szCs w:val="24"/>
        </w:rPr>
        <w:t xml:space="preserve"> seeks to streamline the delivery of critical infrastructure</w:t>
      </w:r>
      <w:r w:rsidR="005D1F46">
        <w:rPr>
          <w:rFonts w:ascii="Times New Roman" w:eastAsia="Times New Roman" w:hAnsi="Times New Roman" w:cs="Times New Roman"/>
          <w:noProof/>
          <w:sz w:val="24"/>
          <w:szCs w:val="24"/>
        </w:rPr>
        <w:t xml:space="preserve"> by</w:t>
      </w:r>
      <w:r w:rsidR="00E81C30" w:rsidRPr="006146F7">
        <w:rPr>
          <w:rFonts w:ascii="Times New Roman" w:eastAsia="Times New Roman" w:hAnsi="Times New Roman" w:cs="Times New Roman"/>
          <w:noProof/>
          <w:sz w:val="24"/>
          <w:szCs w:val="24"/>
        </w:rPr>
        <w:t xml:space="preserve"> introduc</w:t>
      </w:r>
      <w:r w:rsidR="005D1F46">
        <w:rPr>
          <w:rFonts w:ascii="Times New Roman" w:eastAsia="Times New Roman" w:hAnsi="Times New Roman" w:cs="Times New Roman"/>
          <w:noProof/>
          <w:sz w:val="24"/>
          <w:szCs w:val="24"/>
        </w:rPr>
        <w:t>ing</w:t>
      </w:r>
      <w:r w:rsidR="00E81C30" w:rsidRPr="006146F7">
        <w:rPr>
          <w:rFonts w:ascii="Times New Roman" w:eastAsia="Times New Roman" w:hAnsi="Times New Roman" w:cs="Times New Roman"/>
          <w:noProof/>
          <w:sz w:val="24"/>
          <w:szCs w:val="24"/>
        </w:rPr>
        <w:t xml:space="preserve"> strategic spatial planning across </w:t>
      </w:r>
      <w:r w:rsidR="00E661FF" w:rsidRPr="006146F7">
        <w:rPr>
          <w:rFonts w:ascii="Times New Roman" w:eastAsia="Times New Roman" w:hAnsi="Times New Roman" w:cs="Times New Roman"/>
          <w:noProof/>
          <w:sz w:val="24"/>
          <w:szCs w:val="24"/>
        </w:rPr>
        <w:t>England and</w:t>
      </w:r>
      <w:r w:rsidR="00E81C30" w:rsidRPr="006146F7">
        <w:rPr>
          <w:rFonts w:ascii="Times New Roman" w:eastAsia="Times New Roman" w:hAnsi="Times New Roman" w:cs="Times New Roman"/>
          <w:noProof/>
          <w:sz w:val="24"/>
          <w:szCs w:val="24"/>
        </w:rPr>
        <w:t xml:space="preserve"> fast-track</w:t>
      </w:r>
      <w:r w:rsidR="005D1F46">
        <w:rPr>
          <w:rFonts w:ascii="Times New Roman" w:eastAsia="Times New Roman" w:hAnsi="Times New Roman" w:cs="Times New Roman"/>
          <w:noProof/>
          <w:sz w:val="24"/>
          <w:szCs w:val="24"/>
        </w:rPr>
        <w:t>ing</w:t>
      </w:r>
      <w:r w:rsidR="00E81C30" w:rsidRPr="006146F7">
        <w:rPr>
          <w:rFonts w:ascii="Times New Roman" w:eastAsia="Times New Roman" w:hAnsi="Times New Roman" w:cs="Times New Roman"/>
          <w:noProof/>
          <w:sz w:val="24"/>
          <w:szCs w:val="24"/>
        </w:rPr>
        <w:t xml:space="preserve"> major projects to support economic growth and environmental sustainability</w:t>
      </w:r>
      <w:r w:rsidR="005D1F46">
        <w:rPr>
          <w:rFonts w:ascii="Times New Roman" w:eastAsia="Times New Roman" w:hAnsi="Times New Roman" w:cs="Times New Roman"/>
          <w:noProof/>
          <w:sz w:val="24"/>
          <w:szCs w:val="24"/>
        </w:rPr>
        <w:t>.</w:t>
      </w:r>
      <w:r w:rsidR="00E661FF">
        <w:rPr>
          <w:rFonts w:ascii="Times New Roman" w:eastAsia="Times New Roman" w:hAnsi="Times New Roman" w:cs="Times New Roman"/>
          <w:noProof/>
          <w:sz w:val="24"/>
          <w:szCs w:val="24"/>
        </w:rPr>
        <w:t xml:space="preserve"> </w:t>
      </w:r>
      <w:r w:rsidR="00E721A4">
        <w:rPr>
          <w:rFonts w:ascii="Times New Roman" w:eastAsia="Times New Roman" w:hAnsi="Times New Roman" w:cs="Times New Roman"/>
          <w:noProof/>
          <w:sz w:val="24"/>
          <w:szCs w:val="24"/>
        </w:rPr>
        <w:t xml:space="preserve">This </w:t>
      </w:r>
      <w:r w:rsidR="00B559A1">
        <w:rPr>
          <w:rFonts w:ascii="Times New Roman" w:eastAsia="Times New Roman" w:hAnsi="Times New Roman" w:cs="Times New Roman"/>
          <w:noProof/>
          <w:sz w:val="24"/>
          <w:szCs w:val="24"/>
        </w:rPr>
        <w:t>A</w:t>
      </w:r>
      <w:r w:rsidR="00D30A94">
        <w:rPr>
          <w:rFonts w:ascii="Times New Roman" w:eastAsia="Times New Roman" w:hAnsi="Times New Roman" w:cs="Times New Roman"/>
          <w:noProof/>
          <w:sz w:val="24"/>
          <w:szCs w:val="24"/>
        </w:rPr>
        <w:t>ct</w:t>
      </w:r>
      <w:r w:rsidR="00E661FF">
        <w:rPr>
          <w:rFonts w:ascii="Times New Roman" w:eastAsia="Times New Roman" w:hAnsi="Times New Roman" w:cs="Times New Roman"/>
          <w:noProof/>
          <w:sz w:val="24"/>
          <w:szCs w:val="24"/>
        </w:rPr>
        <w:t xml:space="preserve"> </w:t>
      </w:r>
      <w:r w:rsidR="00E661FF" w:rsidRPr="00E661FF">
        <w:rPr>
          <w:rFonts w:ascii="Times New Roman" w:eastAsia="Times New Roman" w:hAnsi="Times New Roman" w:cs="Times New Roman"/>
          <w:noProof/>
          <w:sz w:val="24"/>
          <w:szCs w:val="24"/>
        </w:rPr>
        <w:t>overhaul</w:t>
      </w:r>
      <w:r w:rsidR="00D30A94">
        <w:rPr>
          <w:rFonts w:ascii="Times New Roman" w:eastAsia="Times New Roman" w:hAnsi="Times New Roman" w:cs="Times New Roman"/>
          <w:noProof/>
          <w:sz w:val="24"/>
          <w:szCs w:val="24"/>
        </w:rPr>
        <w:t>s</w:t>
      </w:r>
      <w:r w:rsidR="00E661FF" w:rsidRPr="00E661FF">
        <w:rPr>
          <w:rFonts w:ascii="Times New Roman" w:eastAsia="Times New Roman" w:hAnsi="Times New Roman" w:cs="Times New Roman"/>
          <w:noProof/>
          <w:sz w:val="24"/>
          <w:szCs w:val="24"/>
        </w:rPr>
        <w:t xml:space="preserve"> </w:t>
      </w:r>
      <w:r w:rsidR="00E661FF">
        <w:rPr>
          <w:rFonts w:ascii="Times New Roman" w:eastAsia="Times New Roman" w:hAnsi="Times New Roman" w:cs="Times New Roman"/>
          <w:noProof/>
          <w:sz w:val="24"/>
          <w:szCs w:val="24"/>
        </w:rPr>
        <w:t>the</w:t>
      </w:r>
      <w:r w:rsidR="00E661FF" w:rsidRPr="00E661FF">
        <w:rPr>
          <w:rFonts w:ascii="Times New Roman" w:eastAsia="Times New Roman" w:hAnsi="Times New Roman" w:cs="Times New Roman"/>
          <w:noProof/>
          <w:sz w:val="24"/>
          <w:szCs w:val="24"/>
        </w:rPr>
        <w:t xml:space="preserve"> planning and infrastructure rules, replacing environmental planning obligations with a levy on developers paid into the Nature Restoration Fund to finance restoration projects. It also streamlines approvals for </w:t>
      </w:r>
      <w:r w:rsidR="00E721A4">
        <w:rPr>
          <w:rFonts w:ascii="Times New Roman" w:eastAsia="Times New Roman" w:hAnsi="Times New Roman" w:cs="Times New Roman"/>
          <w:noProof/>
          <w:sz w:val="24"/>
          <w:szCs w:val="24"/>
        </w:rPr>
        <w:t>‘n</w:t>
      </w:r>
      <w:r w:rsidR="00E661FF" w:rsidRPr="00E661FF">
        <w:rPr>
          <w:rFonts w:ascii="Times New Roman" w:eastAsia="Times New Roman" w:hAnsi="Times New Roman" w:cs="Times New Roman"/>
          <w:noProof/>
          <w:sz w:val="24"/>
          <w:szCs w:val="24"/>
        </w:rPr>
        <w:t xml:space="preserve">ationally </w:t>
      </w:r>
      <w:r w:rsidR="00E721A4">
        <w:rPr>
          <w:rFonts w:ascii="Times New Roman" w:eastAsia="Times New Roman" w:hAnsi="Times New Roman" w:cs="Times New Roman"/>
          <w:noProof/>
          <w:sz w:val="24"/>
          <w:szCs w:val="24"/>
        </w:rPr>
        <w:t>s</w:t>
      </w:r>
      <w:r w:rsidR="00E661FF" w:rsidRPr="00E661FF">
        <w:rPr>
          <w:rFonts w:ascii="Times New Roman" w:eastAsia="Times New Roman" w:hAnsi="Times New Roman" w:cs="Times New Roman"/>
          <w:noProof/>
          <w:sz w:val="24"/>
          <w:szCs w:val="24"/>
        </w:rPr>
        <w:t xml:space="preserve">ignificant </w:t>
      </w:r>
      <w:r w:rsidR="00E721A4">
        <w:rPr>
          <w:rFonts w:ascii="Times New Roman" w:eastAsia="Times New Roman" w:hAnsi="Times New Roman" w:cs="Times New Roman"/>
          <w:noProof/>
          <w:sz w:val="24"/>
          <w:szCs w:val="24"/>
        </w:rPr>
        <w:t>i</w:t>
      </w:r>
      <w:r w:rsidR="00E661FF" w:rsidRPr="00E661FF">
        <w:rPr>
          <w:rFonts w:ascii="Times New Roman" w:eastAsia="Times New Roman" w:hAnsi="Times New Roman" w:cs="Times New Roman"/>
          <w:noProof/>
          <w:sz w:val="24"/>
          <w:szCs w:val="24"/>
        </w:rPr>
        <w:t xml:space="preserve">nfrastructure </w:t>
      </w:r>
      <w:r w:rsidR="00E721A4">
        <w:rPr>
          <w:rFonts w:ascii="Times New Roman" w:eastAsia="Times New Roman" w:hAnsi="Times New Roman" w:cs="Times New Roman"/>
          <w:noProof/>
          <w:sz w:val="24"/>
          <w:szCs w:val="24"/>
        </w:rPr>
        <w:t>p</w:t>
      </w:r>
      <w:r w:rsidR="00E661FF" w:rsidRPr="00E661FF">
        <w:rPr>
          <w:rFonts w:ascii="Times New Roman" w:eastAsia="Times New Roman" w:hAnsi="Times New Roman" w:cs="Times New Roman"/>
          <w:noProof/>
          <w:sz w:val="24"/>
          <w:szCs w:val="24"/>
        </w:rPr>
        <w:t>rojects</w:t>
      </w:r>
      <w:r w:rsidR="00E721A4">
        <w:rPr>
          <w:rFonts w:ascii="Times New Roman" w:eastAsia="Times New Roman" w:hAnsi="Times New Roman" w:cs="Times New Roman"/>
          <w:noProof/>
          <w:sz w:val="24"/>
          <w:szCs w:val="24"/>
        </w:rPr>
        <w:t>’</w:t>
      </w:r>
      <w:r w:rsidR="00E661FF" w:rsidRPr="00E661FF">
        <w:rPr>
          <w:rFonts w:ascii="Times New Roman" w:eastAsia="Times New Roman" w:hAnsi="Times New Roman" w:cs="Times New Roman"/>
          <w:noProof/>
          <w:sz w:val="24"/>
          <w:szCs w:val="24"/>
        </w:rPr>
        <w:t xml:space="preserve"> and electricity infrastructure.</w:t>
      </w:r>
      <w:r w:rsidR="00E661FF">
        <w:rPr>
          <w:rFonts w:ascii="Times New Roman" w:eastAsia="Times New Roman" w:hAnsi="Times New Roman" w:cs="Times New Roman"/>
          <w:noProof/>
          <w:sz w:val="24"/>
          <w:szCs w:val="24"/>
        </w:rPr>
        <w:t xml:space="preserve"> </w:t>
      </w:r>
      <w:r w:rsidR="00E721A4">
        <w:rPr>
          <w:rFonts w:ascii="Times New Roman" w:eastAsia="Times New Roman" w:hAnsi="Times New Roman" w:cs="Times New Roman"/>
          <w:noProof/>
          <w:sz w:val="24"/>
          <w:szCs w:val="24"/>
        </w:rPr>
        <w:t>It</w:t>
      </w:r>
      <w:r w:rsidR="00D30A94" w:rsidRPr="00D30A94">
        <w:rPr>
          <w:rFonts w:ascii="Times New Roman" w:eastAsia="Times New Roman" w:hAnsi="Times New Roman" w:cs="Times New Roman"/>
          <w:noProof/>
          <w:sz w:val="24"/>
          <w:szCs w:val="24"/>
        </w:rPr>
        <w:t xml:space="preserve"> is a major development in the area and </w:t>
      </w:r>
      <w:r w:rsidR="00D30A94">
        <w:rPr>
          <w:rFonts w:ascii="Times New Roman" w:eastAsia="Times New Roman" w:hAnsi="Times New Roman" w:cs="Times New Roman"/>
          <w:noProof/>
          <w:sz w:val="24"/>
          <w:szCs w:val="24"/>
        </w:rPr>
        <w:t>t</w:t>
      </w:r>
      <w:r w:rsidR="00E661FF" w:rsidRPr="00E661FF">
        <w:rPr>
          <w:rFonts w:ascii="Times New Roman" w:eastAsia="Times New Roman" w:hAnsi="Times New Roman" w:cs="Times New Roman"/>
          <w:noProof/>
          <w:sz w:val="24"/>
          <w:szCs w:val="24"/>
        </w:rPr>
        <w:t xml:space="preserve">he </w:t>
      </w:r>
      <w:r w:rsidR="00E661FF">
        <w:rPr>
          <w:rFonts w:ascii="Times New Roman" w:eastAsia="Times New Roman" w:hAnsi="Times New Roman" w:cs="Times New Roman"/>
          <w:noProof/>
          <w:sz w:val="24"/>
          <w:szCs w:val="24"/>
        </w:rPr>
        <w:t>Commission</w:t>
      </w:r>
      <w:r w:rsidR="00E661FF" w:rsidRPr="00E661FF">
        <w:rPr>
          <w:rFonts w:ascii="Times New Roman" w:eastAsia="Times New Roman" w:hAnsi="Times New Roman" w:cs="Times New Roman"/>
          <w:noProof/>
          <w:sz w:val="24"/>
          <w:szCs w:val="24"/>
        </w:rPr>
        <w:t xml:space="preserve"> is </w:t>
      </w:r>
      <w:r w:rsidR="00D30A94">
        <w:rPr>
          <w:rFonts w:ascii="Times New Roman" w:eastAsia="Times New Roman" w:hAnsi="Times New Roman" w:cs="Times New Roman"/>
          <w:noProof/>
          <w:sz w:val="24"/>
          <w:szCs w:val="24"/>
        </w:rPr>
        <w:t xml:space="preserve">actively </w:t>
      </w:r>
      <w:r w:rsidR="00E661FF" w:rsidRPr="00E661FF">
        <w:rPr>
          <w:rFonts w:ascii="Times New Roman" w:eastAsia="Times New Roman" w:hAnsi="Times New Roman" w:cs="Times New Roman"/>
          <w:noProof/>
          <w:sz w:val="24"/>
          <w:szCs w:val="24"/>
        </w:rPr>
        <w:t xml:space="preserve">monitoring </w:t>
      </w:r>
      <w:r w:rsidR="00D30A94">
        <w:rPr>
          <w:rFonts w:ascii="Times New Roman" w:eastAsia="Times New Roman" w:hAnsi="Times New Roman" w:cs="Times New Roman"/>
          <w:noProof/>
          <w:sz w:val="24"/>
          <w:szCs w:val="24"/>
        </w:rPr>
        <w:t xml:space="preserve">its </w:t>
      </w:r>
      <w:r w:rsidR="00E661FF" w:rsidRPr="00E661FF">
        <w:rPr>
          <w:rFonts w:ascii="Times New Roman" w:eastAsia="Times New Roman" w:hAnsi="Times New Roman" w:cs="Times New Roman"/>
          <w:noProof/>
          <w:sz w:val="24"/>
          <w:szCs w:val="24"/>
        </w:rPr>
        <w:t xml:space="preserve">impact on trade, investment and </w:t>
      </w:r>
      <w:r w:rsidR="00D30A94">
        <w:rPr>
          <w:rFonts w:ascii="Times New Roman" w:eastAsia="Times New Roman" w:hAnsi="Times New Roman" w:cs="Times New Roman"/>
          <w:noProof/>
          <w:sz w:val="24"/>
          <w:szCs w:val="24"/>
        </w:rPr>
        <w:t>potential non-</w:t>
      </w:r>
      <w:r w:rsidR="00E661FF" w:rsidRPr="00E661FF">
        <w:rPr>
          <w:rFonts w:ascii="Times New Roman" w:eastAsia="Times New Roman" w:hAnsi="Times New Roman" w:cs="Times New Roman"/>
          <w:noProof/>
          <w:sz w:val="24"/>
          <w:szCs w:val="24"/>
        </w:rPr>
        <w:t xml:space="preserve">compliance with </w:t>
      </w:r>
      <w:r w:rsidR="00C73DB0">
        <w:rPr>
          <w:rFonts w:ascii="Times New Roman" w:eastAsia="Times New Roman" w:hAnsi="Times New Roman" w:cs="Times New Roman"/>
          <w:noProof/>
          <w:sz w:val="24"/>
          <w:szCs w:val="24"/>
        </w:rPr>
        <w:t xml:space="preserve">the </w:t>
      </w:r>
      <w:r w:rsidR="00E661FF" w:rsidRPr="00E661FF">
        <w:rPr>
          <w:rFonts w:ascii="Times New Roman" w:eastAsia="Times New Roman" w:hAnsi="Times New Roman" w:cs="Times New Roman"/>
          <w:noProof/>
          <w:sz w:val="24"/>
          <w:szCs w:val="24"/>
        </w:rPr>
        <w:t>non-regression obligations under the TCA.</w:t>
      </w:r>
    </w:p>
    <w:p w14:paraId="0C283AFC" w14:textId="74C297D5" w:rsidR="00144CF1" w:rsidRDefault="00E81C30" w:rsidP="00E81C30">
      <w:pPr>
        <w:spacing w:before="100" w:beforeAutospacing="1" w:after="100" w:afterAutospacing="1" w:line="240" w:lineRule="auto"/>
        <w:jc w:val="both"/>
        <w:rPr>
          <w:rFonts w:ascii="Times New Roman" w:eastAsia="Times New Roman" w:hAnsi="Times New Roman" w:cs="Times New Roman"/>
          <w:noProof/>
          <w:sz w:val="24"/>
          <w:szCs w:val="24"/>
        </w:rPr>
      </w:pPr>
      <w:r w:rsidRPr="006146F7">
        <w:rPr>
          <w:rFonts w:ascii="Times New Roman" w:eastAsia="Times New Roman" w:hAnsi="Times New Roman" w:cs="Times New Roman"/>
          <w:noProof/>
          <w:sz w:val="24"/>
          <w:szCs w:val="24"/>
        </w:rPr>
        <w:t>In</w:t>
      </w:r>
      <w:r w:rsidR="00945223" w:rsidRPr="006146F7">
        <w:rPr>
          <w:rFonts w:ascii="Times New Roman" w:eastAsia="Times New Roman" w:hAnsi="Times New Roman" w:cs="Times New Roman"/>
          <w:noProof/>
          <w:sz w:val="24"/>
          <w:szCs w:val="24"/>
        </w:rPr>
        <w:t xml:space="preserve"> the area of</w:t>
      </w:r>
      <w:r w:rsidRPr="006146F7">
        <w:rPr>
          <w:rFonts w:ascii="Times New Roman" w:eastAsia="Times New Roman" w:hAnsi="Times New Roman" w:cs="Times New Roman"/>
          <w:noProof/>
          <w:sz w:val="24"/>
          <w:szCs w:val="24"/>
        </w:rPr>
        <w:t xml:space="preserve"> </w:t>
      </w:r>
      <w:r w:rsidRPr="006146F7">
        <w:rPr>
          <w:rFonts w:ascii="Times New Roman" w:eastAsia="Times New Roman" w:hAnsi="Times New Roman" w:cs="Times New Roman"/>
          <w:b/>
          <w:bCs/>
          <w:noProof/>
          <w:sz w:val="24"/>
          <w:szCs w:val="24"/>
        </w:rPr>
        <w:t>product regulation</w:t>
      </w:r>
      <w:r w:rsidRPr="006146F7">
        <w:rPr>
          <w:rFonts w:ascii="Times New Roman" w:eastAsia="Times New Roman" w:hAnsi="Times New Roman" w:cs="Times New Roman"/>
          <w:noProof/>
          <w:sz w:val="24"/>
          <w:szCs w:val="24"/>
        </w:rPr>
        <w:t>, the Product Regulation and Metrology Act 2025</w:t>
      </w:r>
      <w:r w:rsidR="00945223" w:rsidRPr="00F97D5F">
        <w:rPr>
          <w:rStyle w:val="FootnoteReference"/>
          <w:rFonts w:ascii="Times New Roman" w:eastAsia="Times New Roman" w:hAnsi="Times New Roman" w:cs="Times New Roman"/>
          <w:noProof/>
          <w:sz w:val="24"/>
          <w:szCs w:val="24"/>
        </w:rPr>
        <w:footnoteReference w:id="53"/>
      </w:r>
      <w:r w:rsidRPr="006146F7">
        <w:rPr>
          <w:rFonts w:ascii="Times New Roman" w:eastAsia="Times New Roman" w:hAnsi="Times New Roman" w:cs="Times New Roman"/>
          <w:noProof/>
          <w:sz w:val="24"/>
          <w:szCs w:val="24"/>
        </w:rPr>
        <w:t xml:space="preserve"> represents a comprehensive reform of the U</w:t>
      </w:r>
      <w:r w:rsidR="00727632" w:rsidRPr="006146F7">
        <w:rPr>
          <w:rFonts w:ascii="Times New Roman" w:eastAsia="Times New Roman" w:hAnsi="Times New Roman" w:cs="Times New Roman"/>
          <w:noProof/>
          <w:sz w:val="24"/>
          <w:szCs w:val="24"/>
        </w:rPr>
        <w:t xml:space="preserve">nited </w:t>
      </w:r>
      <w:r w:rsidRPr="006146F7">
        <w:rPr>
          <w:rFonts w:ascii="Times New Roman" w:eastAsia="Times New Roman" w:hAnsi="Times New Roman" w:cs="Times New Roman"/>
          <w:noProof/>
          <w:sz w:val="24"/>
          <w:szCs w:val="24"/>
        </w:rPr>
        <w:t>K</w:t>
      </w:r>
      <w:r w:rsidR="00727632" w:rsidRPr="006146F7">
        <w:rPr>
          <w:rFonts w:ascii="Times New Roman" w:eastAsia="Times New Roman" w:hAnsi="Times New Roman" w:cs="Times New Roman"/>
          <w:noProof/>
          <w:sz w:val="24"/>
          <w:szCs w:val="24"/>
        </w:rPr>
        <w:t>ingdom</w:t>
      </w:r>
      <w:r w:rsidRPr="006146F7">
        <w:rPr>
          <w:rFonts w:ascii="Times New Roman" w:eastAsia="Times New Roman" w:hAnsi="Times New Roman" w:cs="Times New Roman"/>
          <w:noProof/>
          <w:sz w:val="24"/>
          <w:szCs w:val="24"/>
        </w:rPr>
        <w:t>’s product safety, metrology, and consumer protection framework. It empowers the Secretary of State to introduce regulations governing product safety, efficiency and accuracy, including for weighing and measuring devices, and extends to product</w:t>
      </w:r>
      <w:r w:rsidR="00321E94" w:rsidRPr="00321E94">
        <w:rPr>
          <w:rFonts w:ascii="Times New Roman" w:eastAsia="Times New Roman" w:hAnsi="Times New Roman" w:cs="Times New Roman"/>
          <w:noProof/>
          <w:sz w:val="24"/>
          <w:szCs w:val="24"/>
        </w:rPr>
        <w:t xml:space="preserve"> </w:t>
      </w:r>
      <w:r w:rsidR="00321E94" w:rsidRPr="006146F7">
        <w:rPr>
          <w:rFonts w:ascii="Times New Roman" w:eastAsia="Times New Roman" w:hAnsi="Times New Roman" w:cs="Times New Roman"/>
          <w:noProof/>
          <w:sz w:val="24"/>
          <w:szCs w:val="24"/>
        </w:rPr>
        <w:t>installers</w:t>
      </w:r>
      <w:r w:rsidRPr="006146F7">
        <w:rPr>
          <w:rFonts w:ascii="Times New Roman" w:eastAsia="Times New Roman" w:hAnsi="Times New Roman" w:cs="Times New Roman"/>
          <w:noProof/>
          <w:sz w:val="24"/>
          <w:szCs w:val="24"/>
        </w:rPr>
        <w:t xml:space="preserve">. </w:t>
      </w:r>
      <w:r w:rsidR="00B8386D">
        <w:rPr>
          <w:rFonts w:ascii="Times New Roman" w:eastAsia="Times New Roman" w:hAnsi="Times New Roman" w:cs="Times New Roman"/>
          <w:noProof/>
          <w:sz w:val="24"/>
          <w:szCs w:val="24"/>
        </w:rPr>
        <w:t>It</w:t>
      </w:r>
      <w:r w:rsidRPr="006146F7">
        <w:rPr>
          <w:rFonts w:ascii="Times New Roman" w:eastAsia="Times New Roman" w:hAnsi="Times New Roman" w:cs="Times New Roman"/>
          <w:noProof/>
          <w:sz w:val="24"/>
          <w:szCs w:val="24"/>
        </w:rPr>
        <w:t xml:space="preserve"> also enables standardisation of measurement units, sets</w:t>
      </w:r>
      <w:r w:rsidR="00FD1042">
        <w:rPr>
          <w:rFonts w:ascii="Times New Roman" w:eastAsia="Times New Roman" w:hAnsi="Times New Roman" w:cs="Times New Roman"/>
          <w:noProof/>
          <w:sz w:val="24"/>
          <w:szCs w:val="24"/>
        </w:rPr>
        <w:t xml:space="preserve"> out</w:t>
      </w:r>
      <w:r w:rsidRPr="006146F7">
        <w:rPr>
          <w:rFonts w:ascii="Times New Roman" w:eastAsia="Times New Roman" w:hAnsi="Times New Roman" w:cs="Times New Roman"/>
          <w:noProof/>
          <w:sz w:val="24"/>
          <w:szCs w:val="24"/>
        </w:rPr>
        <w:t xml:space="preserve"> procedures for regulatory oversight and provides for coordination with devolved administrations. While certain sectors, such as food, medicines, military equipment, aircraft and some agricultural products, are excluded, </w:t>
      </w:r>
      <w:r w:rsidR="00B8386D">
        <w:rPr>
          <w:rFonts w:ascii="Times New Roman" w:eastAsia="Times New Roman" w:hAnsi="Times New Roman" w:cs="Times New Roman"/>
          <w:noProof/>
          <w:sz w:val="24"/>
          <w:szCs w:val="24"/>
        </w:rPr>
        <w:t>this</w:t>
      </w:r>
      <w:r w:rsidR="00B8386D" w:rsidRPr="006146F7">
        <w:rPr>
          <w:rFonts w:ascii="Times New Roman" w:eastAsia="Times New Roman" w:hAnsi="Times New Roman" w:cs="Times New Roman"/>
          <w:noProof/>
          <w:sz w:val="24"/>
          <w:szCs w:val="24"/>
        </w:rPr>
        <w:t xml:space="preserve"> </w:t>
      </w:r>
      <w:r w:rsidRPr="006146F7">
        <w:rPr>
          <w:rFonts w:ascii="Times New Roman" w:eastAsia="Times New Roman" w:hAnsi="Times New Roman" w:cs="Times New Roman"/>
          <w:noProof/>
          <w:sz w:val="24"/>
          <w:szCs w:val="24"/>
        </w:rPr>
        <w:t>Act lays the foundation</w:t>
      </w:r>
      <w:r w:rsidR="00C61A9F">
        <w:rPr>
          <w:rFonts w:ascii="Times New Roman" w:eastAsia="Times New Roman" w:hAnsi="Times New Roman" w:cs="Times New Roman"/>
          <w:noProof/>
          <w:sz w:val="24"/>
          <w:szCs w:val="24"/>
        </w:rPr>
        <w:t>s</w:t>
      </w:r>
      <w:r w:rsidRPr="006146F7">
        <w:rPr>
          <w:rFonts w:ascii="Times New Roman" w:eastAsia="Times New Roman" w:hAnsi="Times New Roman" w:cs="Times New Roman"/>
          <w:noProof/>
          <w:sz w:val="24"/>
          <w:szCs w:val="24"/>
        </w:rPr>
        <w:t xml:space="preserve"> for future secondary legislation, including rules targeting online marketplaces and digital trade.</w:t>
      </w:r>
      <w:r w:rsidR="00144CF1">
        <w:rPr>
          <w:rFonts w:ascii="Times New Roman" w:eastAsia="Times New Roman" w:hAnsi="Times New Roman" w:cs="Times New Roman"/>
          <w:noProof/>
          <w:sz w:val="24"/>
          <w:szCs w:val="24"/>
        </w:rPr>
        <w:t xml:space="preserve"> </w:t>
      </w:r>
      <w:r w:rsidR="00144CF1" w:rsidRPr="00144CF1">
        <w:rPr>
          <w:rFonts w:ascii="Times New Roman" w:eastAsia="Times New Roman" w:hAnsi="Times New Roman" w:cs="Times New Roman"/>
          <w:noProof/>
          <w:sz w:val="24"/>
          <w:szCs w:val="24"/>
        </w:rPr>
        <w:t xml:space="preserve">Monitoring the </w:t>
      </w:r>
      <w:r w:rsidR="00C61A9F">
        <w:rPr>
          <w:rFonts w:ascii="Times New Roman" w:eastAsia="Times New Roman" w:hAnsi="Times New Roman" w:cs="Times New Roman"/>
          <w:noProof/>
          <w:sz w:val="24"/>
          <w:szCs w:val="24"/>
        </w:rPr>
        <w:t>A</w:t>
      </w:r>
      <w:r w:rsidR="00C61A9F" w:rsidRPr="00144CF1">
        <w:rPr>
          <w:rFonts w:ascii="Times New Roman" w:eastAsia="Times New Roman" w:hAnsi="Times New Roman" w:cs="Times New Roman"/>
          <w:noProof/>
          <w:sz w:val="24"/>
          <w:szCs w:val="24"/>
        </w:rPr>
        <w:t xml:space="preserve">ct’s </w:t>
      </w:r>
      <w:r w:rsidR="00144CF1" w:rsidRPr="00144CF1">
        <w:rPr>
          <w:rFonts w:ascii="Times New Roman" w:eastAsia="Times New Roman" w:hAnsi="Times New Roman" w:cs="Times New Roman"/>
          <w:noProof/>
          <w:sz w:val="24"/>
          <w:szCs w:val="24"/>
        </w:rPr>
        <w:t xml:space="preserve">implementation is vital </w:t>
      </w:r>
      <w:r w:rsidR="001C23BF">
        <w:rPr>
          <w:rFonts w:ascii="Times New Roman" w:eastAsia="Times New Roman" w:hAnsi="Times New Roman" w:cs="Times New Roman"/>
          <w:noProof/>
          <w:sz w:val="24"/>
          <w:szCs w:val="24"/>
        </w:rPr>
        <w:t xml:space="preserve">to enable </w:t>
      </w:r>
      <w:r w:rsidR="00144CF1" w:rsidRPr="00144CF1">
        <w:rPr>
          <w:rFonts w:ascii="Times New Roman" w:eastAsia="Times New Roman" w:hAnsi="Times New Roman" w:cs="Times New Roman"/>
          <w:noProof/>
          <w:sz w:val="24"/>
          <w:szCs w:val="24"/>
        </w:rPr>
        <w:t>the Commission to maintain TCA compliance and anticipate regulatory changes affecting cross-border trade</w:t>
      </w:r>
      <w:r w:rsidR="006749E2">
        <w:rPr>
          <w:rFonts w:ascii="Times New Roman" w:eastAsia="Times New Roman" w:hAnsi="Times New Roman" w:cs="Times New Roman"/>
          <w:noProof/>
          <w:sz w:val="24"/>
          <w:szCs w:val="24"/>
        </w:rPr>
        <w:t>.</w:t>
      </w:r>
    </w:p>
    <w:p w14:paraId="3A825B03" w14:textId="20610E3D" w:rsidR="006749E2" w:rsidRDefault="006749E2" w:rsidP="00E81C30">
      <w:pPr>
        <w:spacing w:before="100" w:beforeAutospacing="1" w:after="100" w:afterAutospacing="1" w:line="240" w:lineRule="auto"/>
        <w:jc w:val="both"/>
        <w:rPr>
          <w:rFonts w:ascii="Times New Roman" w:eastAsia="Times New Roman" w:hAnsi="Times New Roman" w:cs="Times New Roman"/>
          <w:noProof/>
          <w:sz w:val="24"/>
          <w:szCs w:val="24"/>
        </w:rPr>
      </w:pPr>
      <w:r w:rsidRPr="001E56AA">
        <w:rPr>
          <w:rFonts w:ascii="Times New Roman" w:eastAsia="Times New Roman" w:hAnsi="Times New Roman" w:cs="Times New Roman"/>
          <w:noProof/>
          <w:sz w:val="24"/>
          <w:szCs w:val="24"/>
        </w:rPr>
        <w:t xml:space="preserve">In the area of </w:t>
      </w:r>
      <w:r w:rsidRPr="001E56AA">
        <w:rPr>
          <w:rFonts w:ascii="Times New Roman" w:eastAsia="Times New Roman" w:hAnsi="Times New Roman" w:cs="Times New Roman"/>
          <w:b/>
          <w:bCs/>
          <w:noProof/>
          <w:sz w:val="24"/>
          <w:szCs w:val="24"/>
        </w:rPr>
        <w:t>data protection</w:t>
      </w:r>
      <w:r w:rsidRPr="001E56AA">
        <w:rPr>
          <w:rFonts w:ascii="Times New Roman" w:eastAsia="Times New Roman" w:hAnsi="Times New Roman" w:cs="Times New Roman"/>
          <w:noProof/>
          <w:sz w:val="24"/>
          <w:szCs w:val="24"/>
        </w:rPr>
        <w:t>, the Data (Use and Access) Act 2025</w:t>
      </w:r>
      <w:r w:rsidRPr="00F97D5F">
        <w:rPr>
          <w:rStyle w:val="FootnoteReference"/>
          <w:rFonts w:ascii="Times New Roman" w:eastAsia="Times New Roman" w:hAnsi="Times New Roman" w:cs="Times New Roman"/>
          <w:noProof/>
          <w:sz w:val="24"/>
          <w:szCs w:val="24"/>
        </w:rPr>
        <w:footnoteReference w:id="54"/>
      </w:r>
      <w:r w:rsidRPr="001E56AA">
        <w:rPr>
          <w:rFonts w:ascii="Times New Roman" w:eastAsia="Times New Roman" w:hAnsi="Times New Roman" w:cs="Times New Roman"/>
          <w:noProof/>
          <w:sz w:val="24"/>
          <w:szCs w:val="24"/>
        </w:rPr>
        <w:t xml:space="preserve">, enacted in June 2025 and entering into force progressively between June 2025 and June 2026, reforms </w:t>
      </w:r>
      <w:r w:rsidR="004A2556" w:rsidRPr="001E56AA">
        <w:rPr>
          <w:rFonts w:ascii="Times New Roman" w:eastAsia="Times New Roman" w:hAnsi="Times New Roman" w:cs="Times New Roman"/>
          <w:noProof/>
          <w:sz w:val="24"/>
          <w:szCs w:val="24"/>
        </w:rPr>
        <w:t xml:space="preserve">the </w:t>
      </w:r>
      <w:r w:rsidRPr="001E56AA">
        <w:rPr>
          <w:rFonts w:ascii="Times New Roman" w:eastAsia="Times New Roman" w:hAnsi="Times New Roman" w:cs="Times New Roman"/>
          <w:noProof/>
          <w:sz w:val="24"/>
          <w:szCs w:val="24"/>
        </w:rPr>
        <w:t>United Kingdom’s data protection</w:t>
      </w:r>
      <w:r w:rsidR="001E56AA" w:rsidRPr="001E56AA">
        <w:rPr>
          <w:rFonts w:ascii="Times New Roman" w:eastAsia="Times New Roman" w:hAnsi="Times New Roman" w:cs="Times New Roman"/>
          <w:noProof/>
          <w:sz w:val="24"/>
          <w:szCs w:val="24"/>
        </w:rPr>
        <w:t xml:space="preserve"> </w:t>
      </w:r>
      <w:r w:rsidRPr="001E56AA">
        <w:rPr>
          <w:rFonts w:ascii="Times New Roman" w:eastAsia="Times New Roman" w:hAnsi="Times New Roman" w:cs="Times New Roman"/>
          <w:noProof/>
          <w:sz w:val="24"/>
          <w:szCs w:val="24"/>
        </w:rPr>
        <w:t xml:space="preserve">framework for digital verification and data sharing. </w:t>
      </w:r>
      <w:r w:rsidR="00B8386D">
        <w:rPr>
          <w:rFonts w:ascii="Times New Roman" w:eastAsia="Times New Roman" w:hAnsi="Times New Roman" w:cs="Times New Roman"/>
          <w:noProof/>
          <w:sz w:val="24"/>
          <w:szCs w:val="24"/>
        </w:rPr>
        <w:t>This</w:t>
      </w:r>
      <w:r w:rsidR="00B8386D" w:rsidRPr="001E56AA">
        <w:rPr>
          <w:rFonts w:ascii="Times New Roman" w:eastAsia="Times New Roman" w:hAnsi="Times New Roman" w:cs="Times New Roman"/>
          <w:noProof/>
          <w:sz w:val="24"/>
          <w:szCs w:val="24"/>
        </w:rPr>
        <w:t xml:space="preserve"> </w:t>
      </w:r>
      <w:r w:rsidRPr="001E56AA">
        <w:rPr>
          <w:rFonts w:ascii="Times New Roman" w:eastAsia="Times New Roman" w:hAnsi="Times New Roman" w:cs="Times New Roman"/>
          <w:noProof/>
          <w:sz w:val="24"/>
          <w:szCs w:val="24"/>
        </w:rPr>
        <w:t>Act amends the General Data Protection Regulation and Data Protection Act 2018, establishing new legal grounds for processing personal data in certain public interest areas, enabling Smart Data schemes for secure data sharing, creating a legal framework for digital identity services, and setting up a National Underground Asset Register.</w:t>
      </w:r>
    </w:p>
    <w:p w14:paraId="7491E04D" w14:textId="56910B66" w:rsidR="00640672" w:rsidRDefault="00640672"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w:t>
      </w:r>
      <w:r w:rsidRPr="00640672">
        <w:rPr>
          <w:rFonts w:ascii="Times New Roman" w:eastAsia="Times New Roman" w:hAnsi="Times New Roman" w:cs="Times New Roman"/>
          <w:noProof/>
          <w:sz w:val="24"/>
          <w:szCs w:val="24"/>
        </w:rPr>
        <w:t>n June 2025, the European Commission adopted a six-month technical extension of the two 2021 adequacy decisions</w:t>
      </w:r>
      <w:r w:rsidRPr="00F97D5F">
        <w:rPr>
          <w:rStyle w:val="FootnoteReference"/>
          <w:rFonts w:ascii="Times New Roman" w:eastAsia="Times New Roman" w:hAnsi="Times New Roman" w:cs="Times New Roman"/>
          <w:noProof/>
          <w:sz w:val="24"/>
          <w:szCs w:val="24"/>
        </w:rPr>
        <w:footnoteReference w:id="55"/>
      </w:r>
      <w:r w:rsidR="00854FF8">
        <w:rPr>
          <w:rFonts w:ascii="Times New Roman" w:eastAsia="Times New Roman" w:hAnsi="Times New Roman" w:cs="Times New Roman"/>
          <w:noProof/>
          <w:sz w:val="24"/>
          <w:szCs w:val="24"/>
        </w:rPr>
        <w:t xml:space="preserve"> in order</w:t>
      </w:r>
      <w:r w:rsidRPr="00640672">
        <w:rPr>
          <w:rFonts w:ascii="Times New Roman" w:eastAsia="Times New Roman" w:hAnsi="Times New Roman" w:cs="Times New Roman"/>
          <w:noProof/>
          <w:sz w:val="24"/>
          <w:szCs w:val="24"/>
        </w:rPr>
        <w:t xml:space="preserve"> to assess the implications of the Data </w:t>
      </w:r>
      <w:r w:rsidRPr="006749E2">
        <w:rPr>
          <w:rFonts w:ascii="Times New Roman" w:eastAsia="Times New Roman" w:hAnsi="Times New Roman" w:cs="Times New Roman"/>
          <w:noProof/>
          <w:sz w:val="24"/>
          <w:szCs w:val="24"/>
        </w:rPr>
        <w:t>(Use and Access) Act 2025</w:t>
      </w:r>
      <w:r w:rsidRPr="0064067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In July 2025, </w:t>
      </w:r>
      <w:r w:rsidR="00854FF8">
        <w:rPr>
          <w:rFonts w:ascii="Times New Roman" w:eastAsia="Times New Roman" w:hAnsi="Times New Roman" w:cs="Times New Roman"/>
          <w:noProof/>
          <w:sz w:val="24"/>
          <w:szCs w:val="24"/>
        </w:rPr>
        <w:t>it</w:t>
      </w:r>
      <w:r w:rsidR="00854FF8" w:rsidRPr="00854FF8">
        <w:rPr>
          <w:rFonts w:ascii="Times New Roman" w:eastAsia="Times New Roman" w:hAnsi="Times New Roman" w:cs="Times New Roman"/>
          <w:noProof/>
          <w:sz w:val="24"/>
          <w:szCs w:val="24"/>
        </w:rPr>
        <w:t xml:space="preserve"> concluded that the United Kingdom's legal framework provides data protection safeguards</w:t>
      </w:r>
      <w:r w:rsidR="005833A7">
        <w:rPr>
          <w:rFonts w:ascii="Times New Roman" w:eastAsia="Times New Roman" w:hAnsi="Times New Roman" w:cs="Times New Roman"/>
          <w:noProof/>
          <w:sz w:val="24"/>
          <w:szCs w:val="24"/>
        </w:rPr>
        <w:t xml:space="preserve">, </w:t>
      </w:r>
      <w:r w:rsidR="005833A7" w:rsidRPr="005833A7">
        <w:rPr>
          <w:rFonts w:ascii="Times New Roman" w:eastAsia="Times New Roman" w:hAnsi="Times New Roman" w:cs="Times New Roman"/>
          <w:noProof/>
          <w:sz w:val="24"/>
          <w:szCs w:val="24"/>
        </w:rPr>
        <w:t>including those amended by the Data (Use and Access) Act 2025</w:t>
      </w:r>
      <w:r w:rsidR="005833A7">
        <w:rPr>
          <w:rFonts w:ascii="Times New Roman" w:eastAsia="Times New Roman" w:hAnsi="Times New Roman" w:cs="Times New Roman"/>
          <w:noProof/>
          <w:sz w:val="24"/>
          <w:szCs w:val="24"/>
        </w:rPr>
        <w:t xml:space="preserve">, </w:t>
      </w:r>
      <w:r w:rsidR="00854FF8" w:rsidRPr="00854FF8">
        <w:rPr>
          <w:rFonts w:ascii="Times New Roman" w:eastAsia="Times New Roman" w:hAnsi="Times New Roman" w:cs="Times New Roman"/>
          <w:noProof/>
          <w:sz w:val="24"/>
          <w:szCs w:val="24"/>
        </w:rPr>
        <w:t>essentially equivalent to those of the EU</w:t>
      </w:r>
      <w:r w:rsidR="004B1A85">
        <w:rPr>
          <w:rFonts w:ascii="Times New Roman" w:eastAsia="Times New Roman" w:hAnsi="Times New Roman" w:cs="Times New Roman"/>
          <w:noProof/>
          <w:sz w:val="24"/>
          <w:szCs w:val="24"/>
        </w:rPr>
        <w:t>,</w:t>
      </w:r>
      <w:r w:rsidR="00854FF8" w:rsidRPr="00854FF8">
        <w:rPr>
          <w:rFonts w:ascii="Times New Roman" w:eastAsia="Times New Roman" w:hAnsi="Times New Roman" w:cs="Times New Roman"/>
          <w:noProof/>
          <w:sz w:val="24"/>
          <w:szCs w:val="24"/>
        </w:rPr>
        <w:t xml:space="preserve"> </w:t>
      </w:r>
      <w:r w:rsidR="00854FF8" w:rsidRPr="00362362">
        <w:rPr>
          <w:rFonts w:ascii="Times New Roman" w:eastAsia="Times New Roman" w:hAnsi="Times New Roman" w:cs="Times New Roman"/>
          <w:noProof/>
          <w:sz w:val="24"/>
          <w:szCs w:val="24"/>
        </w:rPr>
        <w:t>and subsequently launched the process for the Council to adopt new adequacy decisions</w:t>
      </w:r>
      <w:r w:rsidR="003A2C95" w:rsidRPr="00F97D5F">
        <w:rPr>
          <w:rStyle w:val="FootnoteReference"/>
          <w:rFonts w:ascii="Times New Roman" w:eastAsia="Times New Roman" w:hAnsi="Times New Roman" w:cs="Times New Roman"/>
          <w:noProof/>
          <w:sz w:val="24"/>
          <w:szCs w:val="24"/>
        </w:rPr>
        <w:footnoteReference w:id="56"/>
      </w:r>
      <w:r w:rsidR="003A2C95" w:rsidRPr="00362362">
        <w:rPr>
          <w:rFonts w:ascii="Times New Roman" w:eastAsia="Times New Roman" w:hAnsi="Times New Roman" w:cs="Times New Roman"/>
          <w:noProof/>
          <w:sz w:val="24"/>
          <w:szCs w:val="24"/>
        </w:rPr>
        <w:t>.</w:t>
      </w:r>
      <w:r w:rsidR="003A2C95">
        <w:rPr>
          <w:rFonts w:ascii="Times New Roman" w:eastAsia="Times New Roman" w:hAnsi="Times New Roman" w:cs="Times New Roman"/>
          <w:noProof/>
          <w:sz w:val="24"/>
          <w:szCs w:val="24"/>
        </w:rPr>
        <w:t xml:space="preserve"> </w:t>
      </w:r>
      <w:r w:rsidR="00362362" w:rsidRPr="00285299">
        <w:rPr>
          <w:rFonts w:ascii="Times New Roman" w:eastAsia="Times New Roman" w:hAnsi="Times New Roman" w:cs="Times New Roman"/>
          <w:noProof/>
          <w:sz w:val="24"/>
          <w:szCs w:val="24"/>
        </w:rPr>
        <w:t>On 19 December 2025, these adequacy decisions were adopted</w:t>
      </w:r>
      <w:r w:rsidR="00736AFA" w:rsidRPr="00F97D5F">
        <w:rPr>
          <w:rStyle w:val="FootnoteReference"/>
          <w:rFonts w:ascii="Times New Roman" w:eastAsia="Times New Roman" w:hAnsi="Times New Roman" w:cs="Times New Roman"/>
          <w:noProof/>
          <w:sz w:val="24"/>
          <w:szCs w:val="24"/>
        </w:rPr>
        <w:footnoteReference w:id="57"/>
      </w:r>
      <w:r w:rsidR="00362362" w:rsidRPr="00285299">
        <w:rPr>
          <w:rFonts w:ascii="Times New Roman" w:eastAsia="Times New Roman" w:hAnsi="Times New Roman" w:cs="Times New Roman"/>
          <w:noProof/>
          <w:sz w:val="24"/>
          <w:szCs w:val="24"/>
        </w:rPr>
        <w:t>.</w:t>
      </w:r>
      <w:r w:rsidR="00362362">
        <w:rPr>
          <w:rFonts w:ascii="Times New Roman" w:eastAsia="Times New Roman" w:hAnsi="Times New Roman" w:cs="Times New Roman"/>
          <w:noProof/>
          <w:sz w:val="24"/>
          <w:szCs w:val="24"/>
        </w:rPr>
        <w:t xml:space="preserve"> The adequacy decisions will be periodically reviewed after four years and will expire on 27 December 2031, unless</w:t>
      </w:r>
      <w:r w:rsidR="00165562">
        <w:rPr>
          <w:rFonts w:ascii="Times New Roman" w:eastAsia="Times New Roman" w:hAnsi="Times New Roman" w:cs="Times New Roman"/>
          <w:noProof/>
          <w:sz w:val="24"/>
          <w:szCs w:val="24"/>
        </w:rPr>
        <w:t xml:space="preserve"> they are</w:t>
      </w:r>
      <w:r w:rsidR="00362362">
        <w:rPr>
          <w:rFonts w:ascii="Times New Roman" w:eastAsia="Times New Roman" w:hAnsi="Times New Roman" w:cs="Times New Roman"/>
          <w:noProof/>
          <w:sz w:val="24"/>
          <w:szCs w:val="24"/>
        </w:rPr>
        <w:t xml:space="preserve"> extended.</w:t>
      </w:r>
    </w:p>
    <w:p w14:paraId="44996096" w14:textId="692EDF65" w:rsidR="006D1404" w:rsidRPr="0086076B" w:rsidRDefault="33A451BC" w:rsidP="71022153">
      <w:pPr>
        <w:pStyle w:val="Heading1"/>
        <w:keepNext w:val="0"/>
        <w:keepLines w:val="0"/>
        <w:numPr>
          <w:ilvl w:val="0"/>
          <w:numId w:val="55"/>
        </w:numPr>
        <w:spacing w:before="100" w:beforeAutospacing="1" w:after="100" w:afterAutospacing="1" w:line="240" w:lineRule="auto"/>
        <w:rPr>
          <w:rFonts w:ascii="Times New Roman" w:hAnsi="Times New Roman" w:cs="Times New Roman"/>
          <w:b/>
          <w:bCs/>
          <w:noProof/>
          <w:color w:val="auto"/>
        </w:rPr>
      </w:pPr>
      <w:bookmarkStart w:id="77" w:name="_Toc120291013"/>
      <w:bookmarkStart w:id="78" w:name="_Toc86061903"/>
      <w:bookmarkStart w:id="79" w:name="_Toc86154525"/>
      <w:bookmarkStart w:id="80" w:name="_Toc185413397"/>
      <w:bookmarkStart w:id="81" w:name="_Toc204769334"/>
      <w:bookmarkStart w:id="82" w:name="_Toc209798655"/>
      <w:bookmarkEnd w:id="77"/>
      <w:r w:rsidRPr="71022153">
        <w:rPr>
          <w:rFonts w:ascii="Times New Roman" w:hAnsi="Times New Roman" w:cs="Times New Roman"/>
          <w:b/>
          <w:bCs/>
          <w:noProof/>
          <w:color w:val="auto"/>
        </w:rPr>
        <w:t>Conclusions</w:t>
      </w:r>
      <w:bookmarkEnd w:id="78"/>
      <w:bookmarkEnd w:id="79"/>
      <w:bookmarkEnd w:id="80"/>
      <w:bookmarkEnd w:id="81"/>
      <w:bookmarkEnd w:id="82"/>
    </w:p>
    <w:p w14:paraId="42E1930E" w14:textId="27695B5A" w:rsidR="00CB29E2" w:rsidRPr="00CB29E2" w:rsidRDefault="00CB29E2" w:rsidP="00CB29E2">
      <w:pPr>
        <w:spacing w:before="100" w:beforeAutospacing="1" w:after="100" w:afterAutospacing="1" w:line="240" w:lineRule="auto"/>
        <w:jc w:val="both"/>
        <w:rPr>
          <w:rFonts w:ascii="Times New Roman" w:hAnsi="Times New Roman" w:cs="Times New Roman"/>
          <w:noProof/>
          <w:sz w:val="24"/>
          <w:szCs w:val="24"/>
        </w:rPr>
      </w:pPr>
      <w:r w:rsidRPr="00CB29E2">
        <w:rPr>
          <w:rFonts w:ascii="Times New Roman" w:hAnsi="Times New Roman" w:cs="Times New Roman"/>
          <w:noProof/>
          <w:sz w:val="24"/>
          <w:szCs w:val="24"/>
        </w:rPr>
        <w:t>After five years of implementation, the TCA has proven to be a robust and effective foundation for EU–United Kingdom relations</w:t>
      </w:r>
      <w:r w:rsidR="00693E0B">
        <w:rPr>
          <w:rFonts w:ascii="Times New Roman" w:hAnsi="Times New Roman" w:cs="Times New Roman"/>
          <w:noProof/>
          <w:sz w:val="24"/>
          <w:szCs w:val="24"/>
        </w:rPr>
        <w:t>, the i</w:t>
      </w:r>
      <w:r w:rsidRPr="00CB29E2">
        <w:rPr>
          <w:rFonts w:ascii="Times New Roman" w:hAnsi="Times New Roman" w:cs="Times New Roman"/>
          <w:noProof/>
          <w:sz w:val="24"/>
          <w:szCs w:val="24"/>
        </w:rPr>
        <w:t>mplementation</w:t>
      </w:r>
      <w:r w:rsidR="00693E0B">
        <w:rPr>
          <w:rFonts w:ascii="Times New Roman" w:hAnsi="Times New Roman" w:cs="Times New Roman"/>
          <w:noProof/>
          <w:sz w:val="24"/>
          <w:szCs w:val="24"/>
        </w:rPr>
        <w:t xml:space="preserve"> of which </w:t>
      </w:r>
      <w:r w:rsidRPr="00CB29E2">
        <w:rPr>
          <w:rFonts w:ascii="Times New Roman" w:hAnsi="Times New Roman" w:cs="Times New Roman"/>
          <w:noProof/>
          <w:sz w:val="24"/>
          <w:szCs w:val="24"/>
        </w:rPr>
        <w:t xml:space="preserve">has </w:t>
      </w:r>
      <w:r w:rsidR="00693E0B">
        <w:rPr>
          <w:rFonts w:ascii="Times New Roman" w:hAnsi="Times New Roman" w:cs="Times New Roman"/>
          <w:noProof/>
          <w:sz w:val="24"/>
          <w:szCs w:val="24"/>
        </w:rPr>
        <w:t>progressed well</w:t>
      </w:r>
      <w:r w:rsidRPr="00CB29E2">
        <w:rPr>
          <w:rFonts w:ascii="Times New Roman" w:hAnsi="Times New Roman" w:cs="Times New Roman"/>
          <w:noProof/>
          <w:sz w:val="24"/>
          <w:szCs w:val="24"/>
        </w:rPr>
        <w:t xml:space="preserve"> overall</w:t>
      </w:r>
      <w:r w:rsidR="00693E0B">
        <w:rPr>
          <w:rFonts w:ascii="Times New Roman" w:hAnsi="Times New Roman" w:cs="Times New Roman"/>
          <w:noProof/>
          <w:sz w:val="24"/>
          <w:szCs w:val="24"/>
        </w:rPr>
        <w:t>. T</w:t>
      </w:r>
      <w:r w:rsidRPr="00CB29E2">
        <w:rPr>
          <w:rFonts w:ascii="Times New Roman" w:hAnsi="Times New Roman" w:cs="Times New Roman"/>
          <w:noProof/>
          <w:sz w:val="24"/>
          <w:szCs w:val="24"/>
        </w:rPr>
        <w:t>he issues identified in this report represent exceptions</w:t>
      </w:r>
      <w:r w:rsidR="00456F23">
        <w:rPr>
          <w:rFonts w:ascii="Times New Roman" w:hAnsi="Times New Roman" w:cs="Times New Roman"/>
          <w:noProof/>
          <w:sz w:val="24"/>
          <w:szCs w:val="24"/>
        </w:rPr>
        <w:t>,</w:t>
      </w:r>
      <w:r w:rsidRPr="00CB29E2">
        <w:rPr>
          <w:rFonts w:ascii="Times New Roman" w:hAnsi="Times New Roman" w:cs="Times New Roman"/>
          <w:noProof/>
          <w:sz w:val="24"/>
          <w:szCs w:val="24"/>
        </w:rPr>
        <w:t xml:space="preserve"> considering the breadth and depth of cooperation established under the TCA.</w:t>
      </w:r>
    </w:p>
    <w:p w14:paraId="62D35BCC" w14:textId="4FBDAF7E" w:rsidR="00CB29E2" w:rsidRPr="00CB29E2" w:rsidRDefault="00CB29E2" w:rsidP="00CB29E2">
      <w:pPr>
        <w:spacing w:before="100" w:beforeAutospacing="1" w:after="100" w:afterAutospacing="1" w:line="240" w:lineRule="auto"/>
        <w:jc w:val="both"/>
        <w:rPr>
          <w:rFonts w:ascii="Times New Roman" w:hAnsi="Times New Roman" w:cs="Times New Roman"/>
          <w:noProof/>
          <w:sz w:val="24"/>
          <w:szCs w:val="24"/>
        </w:rPr>
      </w:pPr>
      <w:r w:rsidRPr="00CB29E2">
        <w:rPr>
          <w:rFonts w:ascii="Times New Roman" w:hAnsi="Times New Roman" w:cs="Times New Roman"/>
          <w:noProof/>
          <w:sz w:val="24"/>
          <w:szCs w:val="24"/>
        </w:rPr>
        <w:t xml:space="preserve">As reaffirmed in the Common Understanding adopted at the first EU–United Kingdom </w:t>
      </w:r>
      <w:r w:rsidR="002E2FC3">
        <w:rPr>
          <w:rFonts w:ascii="Times New Roman" w:hAnsi="Times New Roman" w:cs="Times New Roman"/>
          <w:noProof/>
          <w:sz w:val="24"/>
          <w:szCs w:val="24"/>
        </w:rPr>
        <w:t>s</w:t>
      </w:r>
      <w:r w:rsidRPr="00CB29E2">
        <w:rPr>
          <w:rFonts w:ascii="Times New Roman" w:hAnsi="Times New Roman" w:cs="Times New Roman"/>
          <w:noProof/>
          <w:sz w:val="24"/>
          <w:szCs w:val="24"/>
        </w:rPr>
        <w:t xml:space="preserve">ummit on 19 May 2025, the TCA remains a cornerstone for developing the new </w:t>
      </w:r>
      <w:r w:rsidR="00B8386D">
        <w:rPr>
          <w:rFonts w:ascii="Times New Roman" w:hAnsi="Times New Roman" w:cs="Times New Roman"/>
          <w:noProof/>
          <w:sz w:val="24"/>
          <w:szCs w:val="24"/>
        </w:rPr>
        <w:t>s</w:t>
      </w:r>
      <w:r w:rsidRPr="00CB29E2">
        <w:rPr>
          <w:rFonts w:ascii="Times New Roman" w:hAnsi="Times New Roman" w:cs="Times New Roman"/>
          <w:noProof/>
          <w:sz w:val="24"/>
          <w:szCs w:val="24"/>
        </w:rPr>
        <w:t xml:space="preserve">trategic </w:t>
      </w:r>
      <w:r w:rsidR="00B8386D">
        <w:rPr>
          <w:rFonts w:ascii="Times New Roman" w:hAnsi="Times New Roman" w:cs="Times New Roman"/>
          <w:noProof/>
          <w:sz w:val="24"/>
          <w:szCs w:val="24"/>
        </w:rPr>
        <w:t>p</w:t>
      </w:r>
      <w:r w:rsidRPr="00CB29E2">
        <w:rPr>
          <w:rFonts w:ascii="Times New Roman" w:hAnsi="Times New Roman" w:cs="Times New Roman"/>
          <w:noProof/>
          <w:sz w:val="24"/>
          <w:szCs w:val="24"/>
        </w:rPr>
        <w:t>artnership between the EU and the United Kingdom and continues to serve as the principal instrument for deepening cooperation in a changing geopolitical context.</w:t>
      </w:r>
    </w:p>
    <w:p w14:paraId="057651B9" w14:textId="01F1C7B7" w:rsidR="000B0C31" w:rsidRPr="00CB29E2" w:rsidRDefault="00CB29E2" w:rsidP="00155310">
      <w:pPr>
        <w:spacing w:before="100" w:beforeAutospacing="1" w:after="100" w:afterAutospacing="1" w:line="240" w:lineRule="auto"/>
        <w:jc w:val="both"/>
        <w:rPr>
          <w:rFonts w:ascii="Times New Roman" w:hAnsi="Times New Roman" w:cs="Times New Roman"/>
          <w:noProof/>
          <w:sz w:val="24"/>
          <w:szCs w:val="24"/>
        </w:rPr>
      </w:pPr>
      <w:r w:rsidRPr="00CB29E2">
        <w:rPr>
          <w:rFonts w:ascii="Times New Roman" w:hAnsi="Times New Roman" w:cs="Times New Roman"/>
          <w:noProof/>
          <w:sz w:val="24"/>
          <w:szCs w:val="24"/>
        </w:rPr>
        <w:t xml:space="preserve">The Commission’s assessment confirms that, five years on, the TCA provides a stable, predictable and mutually beneficial framework that will be further </w:t>
      </w:r>
      <w:r w:rsidR="004E02E6">
        <w:rPr>
          <w:rFonts w:ascii="Times New Roman" w:hAnsi="Times New Roman" w:cs="Times New Roman"/>
          <w:noProof/>
          <w:sz w:val="24"/>
          <w:szCs w:val="24"/>
        </w:rPr>
        <w:t>strengthen</w:t>
      </w:r>
      <w:r w:rsidR="004E02E6" w:rsidRPr="00CB29E2">
        <w:rPr>
          <w:rFonts w:ascii="Times New Roman" w:hAnsi="Times New Roman" w:cs="Times New Roman"/>
          <w:noProof/>
          <w:sz w:val="24"/>
          <w:szCs w:val="24"/>
        </w:rPr>
        <w:t xml:space="preserve">ed </w:t>
      </w:r>
      <w:r w:rsidRPr="00CB29E2">
        <w:rPr>
          <w:rFonts w:ascii="Times New Roman" w:hAnsi="Times New Roman" w:cs="Times New Roman"/>
          <w:noProof/>
          <w:sz w:val="24"/>
          <w:szCs w:val="24"/>
        </w:rPr>
        <w:t>by the new agreements envisaged under the Common Understanding.</w:t>
      </w:r>
    </w:p>
    <w:p w14:paraId="4DBF3B62" w14:textId="77777777" w:rsidR="00CB29E2" w:rsidRDefault="00CB29E2">
      <w:pPr>
        <w:rPr>
          <w:rFonts w:ascii="Times New Roman" w:eastAsiaTheme="majorEastAsia" w:hAnsi="Times New Roman" w:cs="Times New Roman"/>
          <w:b/>
          <w:bCs/>
          <w:noProof/>
          <w:sz w:val="32"/>
          <w:szCs w:val="32"/>
        </w:rPr>
      </w:pPr>
      <w:bookmarkStart w:id="83" w:name="_Toc185413398"/>
      <w:bookmarkStart w:id="84" w:name="_Toc204769335"/>
      <w:bookmarkStart w:id="85" w:name="_Toc209798656"/>
      <w:r>
        <w:rPr>
          <w:rFonts w:ascii="Times New Roman" w:hAnsi="Times New Roman" w:cs="Times New Roman"/>
          <w:b/>
          <w:bCs/>
          <w:noProof/>
        </w:rPr>
        <w:br w:type="page"/>
      </w:r>
    </w:p>
    <w:p w14:paraId="78E52ABD" w14:textId="00C003F4" w:rsidR="006D1404" w:rsidRPr="00157ED4" w:rsidRDefault="00537043" w:rsidP="6A5D11F7">
      <w:pPr>
        <w:pStyle w:val="Heading1"/>
        <w:keepNext w:val="0"/>
        <w:keepLines w:val="0"/>
        <w:spacing w:before="100" w:beforeAutospacing="1" w:after="100" w:afterAutospacing="1" w:line="240" w:lineRule="auto"/>
        <w:rPr>
          <w:rFonts w:ascii="Times New Roman" w:hAnsi="Times New Roman" w:cs="Times New Roman"/>
          <w:b/>
          <w:bCs/>
          <w:noProof/>
          <w:color w:val="auto"/>
        </w:rPr>
      </w:pPr>
      <w:r w:rsidRPr="00090BFB">
        <w:rPr>
          <w:rFonts w:ascii="Times New Roman" w:hAnsi="Times New Roman" w:cs="Times New Roman"/>
          <w:b/>
          <w:bCs/>
          <w:noProof/>
          <w:color w:val="auto"/>
        </w:rPr>
        <w:t xml:space="preserve">Annex </w:t>
      </w:r>
      <w:r w:rsidR="001B243A" w:rsidRPr="00090BFB">
        <w:rPr>
          <w:rFonts w:ascii="Times New Roman" w:hAnsi="Times New Roman" w:cs="Times New Roman"/>
          <w:b/>
          <w:bCs/>
          <w:noProof/>
          <w:color w:val="auto"/>
        </w:rPr>
        <w:t>1</w:t>
      </w:r>
      <w:r w:rsidRPr="00090BFB">
        <w:rPr>
          <w:rFonts w:ascii="Times New Roman" w:hAnsi="Times New Roman" w:cs="Times New Roman"/>
          <w:b/>
          <w:bCs/>
          <w:noProof/>
          <w:color w:val="auto"/>
        </w:rPr>
        <w:t xml:space="preserve">: </w:t>
      </w:r>
      <w:r w:rsidR="3FE0163A" w:rsidRPr="00090BFB">
        <w:rPr>
          <w:rFonts w:ascii="Times New Roman" w:hAnsi="Times New Roman" w:cs="Times New Roman"/>
          <w:b/>
          <w:bCs/>
          <w:noProof/>
          <w:color w:val="auto"/>
        </w:rPr>
        <w:t>Meetings</w:t>
      </w:r>
      <w:r w:rsidR="00721DFB">
        <w:rPr>
          <w:rFonts w:ascii="Times New Roman" w:hAnsi="Times New Roman" w:cs="Times New Roman"/>
          <w:b/>
          <w:bCs/>
          <w:noProof/>
          <w:color w:val="auto"/>
        </w:rPr>
        <w:t xml:space="preserve"> </w:t>
      </w:r>
      <w:r w:rsidR="3FE0163A" w:rsidRPr="00090BFB">
        <w:rPr>
          <w:rFonts w:ascii="Times New Roman" w:hAnsi="Times New Roman" w:cs="Times New Roman"/>
          <w:b/>
          <w:bCs/>
          <w:noProof/>
          <w:color w:val="auto"/>
        </w:rPr>
        <w:t>of the joint bodies and other structures established by the TCA</w:t>
      </w:r>
      <w:bookmarkEnd w:id="83"/>
      <w:bookmarkEnd w:id="84"/>
      <w:bookmarkEnd w:id="85"/>
      <w:r w:rsidR="00101E60" w:rsidRPr="00F97D5F">
        <w:rPr>
          <w:rStyle w:val="FootnoteReference"/>
          <w:rFonts w:ascii="Times New Roman" w:hAnsi="Times New Roman" w:cs="Times New Roman"/>
          <w:noProof/>
          <w:color w:val="auto"/>
        </w:rPr>
        <w:footnoteReference w:id="58"/>
      </w:r>
    </w:p>
    <w:tbl>
      <w:tblPr>
        <w:tblStyle w:val="TableGrid"/>
        <w:tblW w:w="9103" w:type="dxa"/>
        <w:tblLook w:val="04A0" w:firstRow="1" w:lastRow="0" w:firstColumn="1" w:lastColumn="0" w:noHBand="0" w:noVBand="1"/>
      </w:tblPr>
      <w:tblGrid>
        <w:gridCol w:w="1661"/>
        <w:gridCol w:w="7442"/>
      </w:tblGrid>
      <w:tr w:rsidR="00F006D0" w:rsidRPr="00F006D0" w14:paraId="2538BE6C" w14:textId="77777777" w:rsidTr="00BF7CBB">
        <w:trPr>
          <w:trHeight w:val="227"/>
        </w:trPr>
        <w:tc>
          <w:tcPr>
            <w:tcW w:w="1661" w:type="dxa"/>
            <w:shd w:val="clear" w:color="auto" w:fill="BFBFBF" w:themeFill="background1" w:themeFillShade="BF"/>
            <w:hideMark/>
          </w:tcPr>
          <w:p w14:paraId="52070644" w14:textId="77777777" w:rsidR="00487231" w:rsidRPr="00F006D0" w:rsidRDefault="00487231" w:rsidP="00470A6D">
            <w:pPr>
              <w:spacing w:before="100" w:beforeAutospacing="1" w:after="100" w:afterAutospacing="1"/>
              <w:rPr>
                <w:rFonts w:ascii="Times New Roman" w:hAnsi="Times New Roman" w:cs="Times New Roman"/>
                <w:b/>
                <w:bCs/>
                <w:noProof/>
                <w:sz w:val="24"/>
                <w:szCs w:val="24"/>
              </w:rPr>
            </w:pPr>
            <w:r w:rsidRPr="00F006D0">
              <w:rPr>
                <w:rFonts w:ascii="Times New Roman" w:hAnsi="Times New Roman" w:cs="Times New Roman"/>
                <w:b/>
                <w:bCs/>
                <w:noProof/>
                <w:sz w:val="24"/>
                <w:szCs w:val="24"/>
              </w:rPr>
              <w:t>Date</w:t>
            </w:r>
          </w:p>
          <w:p w14:paraId="728846B3" w14:textId="77777777" w:rsidR="00487231" w:rsidRPr="00F006D0" w:rsidRDefault="00487231" w:rsidP="00470A6D">
            <w:pPr>
              <w:spacing w:before="100" w:beforeAutospacing="1" w:after="100" w:afterAutospacing="1"/>
              <w:rPr>
                <w:rFonts w:ascii="Times New Roman" w:hAnsi="Times New Roman" w:cs="Times New Roman"/>
                <w:b/>
                <w:bCs/>
                <w:noProof/>
                <w:sz w:val="24"/>
                <w:szCs w:val="24"/>
              </w:rPr>
            </w:pPr>
          </w:p>
        </w:tc>
        <w:tc>
          <w:tcPr>
            <w:tcW w:w="7442" w:type="dxa"/>
            <w:shd w:val="clear" w:color="auto" w:fill="BFBFBF" w:themeFill="background1" w:themeFillShade="BF"/>
            <w:hideMark/>
          </w:tcPr>
          <w:p w14:paraId="710D45B9" w14:textId="77777777" w:rsidR="00487231" w:rsidRPr="00F006D0" w:rsidRDefault="00487231" w:rsidP="00470A6D">
            <w:pPr>
              <w:spacing w:before="100" w:beforeAutospacing="1" w:after="100" w:afterAutospacing="1"/>
              <w:rPr>
                <w:rFonts w:ascii="Times New Roman" w:hAnsi="Times New Roman" w:cs="Times New Roman"/>
                <w:b/>
                <w:bCs/>
                <w:noProof/>
                <w:sz w:val="24"/>
                <w:szCs w:val="24"/>
              </w:rPr>
            </w:pPr>
            <w:r w:rsidRPr="00F006D0">
              <w:rPr>
                <w:rFonts w:ascii="Times New Roman" w:hAnsi="Times New Roman" w:cs="Times New Roman"/>
                <w:b/>
                <w:bCs/>
                <w:noProof/>
                <w:sz w:val="24"/>
                <w:szCs w:val="24"/>
              </w:rPr>
              <w:t>Joint body/structure</w:t>
            </w:r>
          </w:p>
        </w:tc>
      </w:tr>
      <w:tr w:rsidR="00792558" w:rsidRPr="00F006D0" w14:paraId="0D8A811A" w14:textId="77777777" w:rsidTr="00BF7CBB">
        <w:tc>
          <w:tcPr>
            <w:tcW w:w="1661" w:type="dxa"/>
            <w:vAlign w:val="center"/>
          </w:tcPr>
          <w:p w14:paraId="0CEE0496" w14:textId="055C264D"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28 January</w:t>
            </w:r>
          </w:p>
        </w:tc>
        <w:tc>
          <w:tcPr>
            <w:tcW w:w="7442" w:type="dxa"/>
            <w:vAlign w:val="center"/>
          </w:tcPr>
          <w:p w14:paraId="2232AFAF" w14:textId="41A85E70"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Energy Security of Supply (Working Group): 1</w:t>
            </w:r>
            <w:r w:rsidRPr="004E3ECA">
              <w:rPr>
                <w:rFonts w:ascii="Times New Roman" w:hAnsi="Times New Roman" w:cs="Times New Roman"/>
                <w:noProof/>
                <w:sz w:val="24"/>
                <w:szCs w:val="24"/>
                <w:vertAlign w:val="superscript"/>
              </w:rPr>
              <w:t>st</w:t>
            </w:r>
            <w:r w:rsidRPr="004E3ECA">
              <w:rPr>
                <w:rFonts w:ascii="Times New Roman" w:hAnsi="Times New Roman" w:cs="Times New Roman"/>
                <w:noProof/>
                <w:sz w:val="24"/>
                <w:szCs w:val="24"/>
              </w:rPr>
              <w:t xml:space="preserve"> meeting</w:t>
            </w:r>
          </w:p>
        </w:tc>
      </w:tr>
      <w:tr w:rsidR="00792558" w:rsidRPr="00F006D0" w14:paraId="22CF46B2" w14:textId="77777777" w:rsidTr="00BF7CBB">
        <w:tc>
          <w:tcPr>
            <w:tcW w:w="1661" w:type="dxa"/>
            <w:vAlign w:val="center"/>
          </w:tcPr>
          <w:p w14:paraId="15878296" w14:textId="3B35FA4A"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4 February</w:t>
            </w:r>
          </w:p>
        </w:tc>
        <w:tc>
          <w:tcPr>
            <w:tcW w:w="7442" w:type="dxa"/>
            <w:vAlign w:val="center"/>
          </w:tcPr>
          <w:p w14:paraId="0AA97A8E" w14:textId="637E0EC2"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Dialogue on Counter-</w:t>
            </w:r>
            <w:r w:rsidR="00A80027">
              <w:rPr>
                <w:rFonts w:ascii="Times New Roman" w:hAnsi="Times New Roman" w:cs="Times New Roman"/>
                <w:noProof/>
                <w:sz w:val="24"/>
                <w:szCs w:val="24"/>
              </w:rPr>
              <w:t>T</w:t>
            </w:r>
            <w:r w:rsidRPr="004E3ECA">
              <w:rPr>
                <w:rFonts w:ascii="Times New Roman" w:hAnsi="Times New Roman" w:cs="Times New Roman"/>
                <w:noProof/>
                <w:sz w:val="24"/>
                <w:szCs w:val="24"/>
              </w:rPr>
              <w:t>errorism – Art</w:t>
            </w:r>
            <w:r w:rsidR="00B8386D">
              <w:rPr>
                <w:rFonts w:ascii="Times New Roman" w:hAnsi="Times New Roman" w:cs="Times New Roman"/>
                <w:noProof/>
                <w:sz w:val="24"/>
                <w:szCs w:val="24"/>
              </w:rPr>
              <w:t>icle </w:t>
            </w:r>
            <w:r w:rsidRPr="004E3ECA">
              <w:rPr>
                <w:rFonts w:ascii="Times New Roman" w:hAnsi="Times New Roman" w:cs="Times New Roman"/>
                <w:noProof/>
                <w:sz w:val="24"/>
                <w:szCs w:val="24"/>
              </w:rPr>
              <w:t>768 TCA: 2</w:t>
            </w:r>
            <w:r w:rsidRPr="004E3ECA">
              <w:rPr>
                <w:rFonts w:ascii="Times New Roman" w:hAnsi="Times New Roman" w:cs="Times New Roman"/>
                <w:noProof/>
                <w:sz w:val="24"/>
                <w:szCs w:val="24"/>
                <w:vertAlign w:val="superscript"/>
              </w:rPr>
              <w:t>nd</w:t>
            </w:r>
            <w:r w:rsidRPr="004E3ECA">
              <w:rPr>
                <w:rFonts w:ascii="Times New Roman" w:hAnsi="Times New Roman" w:cs="Times New Roman"/>
                <w:noProof/>
                <w:sz w:val="24"/>
                <w:szCs w:val="24"/>
              </w:rPr>
              <w:t xml:space="preserve"> meeting</w:t>
            </w:r>
          </w:p>
        </w:tc>
      </w:tr>
      <w:tr w:rsidR="00792558" w:rsidRPr="00F006D0" w14:paraId="24479BAE" w14:textId="77777777" w:rsidTr="00BF7CBB">
        <w:tc>
          <w:tcPr>
            <w:tcW w:w="1661" w:type="dxa"/>
            <w:vAlign w:val="center"/>
          </w:tcPr>
          <w:p w14:paraId="04D7DB7B" w14:textId="20CFCA11"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10 February</w:t>
            </w:r>
          </w:p>
        </w:tc>
        <w:tc>
          <w:tcPr>
            <w:tcW w:w="7442" w:type="dxa"/>
            <w:vAlign w:val="center"/>
          </w:tcPr>
          <w:p w14:paraId="680BB5BA" w14:textId="76090EAD"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Cooperation by supervisors (environment/climate) – Art</w:t>
            </w:r>
            <w:r w:rsidR="00B8386D">
              <w:rPr>
                <w:rFonts w:ascii="Times New Roman" w:hAnsi="Times New Roman" w:cs="Times New Roman"/>
                <w:noProof/>
                <w:sz w:val="24"/>
                <w:szCs w:val="24"/>
              </w:rPr>
              <w:t>icle </w:t>
            </w:r>
            <w:r w:rsidRPr="004E3ECA">
              <w:rPr>
                <w:rFonts w:ascii="Times New Roman" w:hAnsi="Times New Roman" w:cs="Times New Roman"/>
                <w:noProof/>
                <w:sz w:val="24"/>
                <w:szCs w:val="24"/>
              </w:rPr>
              <w:t>395 TCA: 1st meeting</w:t>
            </w:r>
          </w:p>
        </w:tc>
      </w:tr>
      <w:tr w:rsidR="00792558" w:rsidRPr="00F006D0" w14:paraId="6C1AC1AD" w14:textId="77777777" w:rsidTr="00BF7CBB">
        <w:tc>
          <w:tcPr>
            <w:tcW w:w="1661" w:type="dxa"/>
            <w:vAlign w:val="center"/>
          </w:tcPr>
          <w:p w14:paraId="6A2C2665" w14:textId="5E87B834"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12 February</w:t>
            </w:r>
          </w:p>
        </w:tc>
        <w:tc>
          <w:tcPr>
            <w:tcW w:w="7442" w:type="dxa"/>
            <w:vAlign w:val="center"/>
          </w:tcPr>
          <w:p w14:paraId="3AC9D5C5" w14:textId="1CD2471A" w:rsidR="00792558" w:rsidRPr="004E3ECA" w:rsidRDefault="00386F61"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 xml:space="preserve">EU – UK </w:t>
            </w:r>
            <w:r w:rsidR="00792558" w:rsidRPr="004E3ECA">
              <w:rPr>
                <w:rFonts w:ascii="Times New Roman" w:hAnsi="Times New Roman" w:cs="Times New Roman"/>
                <w:noProof/>
                <w:sz w:val="24"/>
                <w:szCs w:val="24"/>
              </w:rPr>
              <w:t>Financial Regulatory Forum: 3</w:t>
            </w:r>
            <w:r w:rsidR="00792558" w:rsidRPr="004E3ECA">
              <w:rPr>
                <w:rFonts w:ascii="Times New Roman" w:hAnsi="Times New Roman" w:cs="Times New Roman"/>
                <w:noProof/>
                <w:sz w:val="24"/>
                <w:szCs w:val="24"/>
                <w:vertAlign w:val="superscript"/>
              </w:rPr>
              <w:t>rd</w:t>
            </w:r>
            <w:r w:rsidR="00792558" w:rsidRPr="004E3ECA">
              <w:rPr>
                <w:rFonts w:ascii="Times New Roman" w:hAnsi="Times New Roman" w:cs="Times New Roman"/>
                <w:noProof/>
                <w:sz w:val="24"/>
                <w:szCs w:val="24"/>
              </w:rPr>
              <w:t xml:space="preserve"> meeting</w:t>
            </w:r>
          </w:p>
        </w:tc>
      </w:tr>
      <w:tr w:rsidR="00792558" w:rsidRPr="00F006D0" w14:paraId="06D070F4" w14:textId="77777777" w:rsidTr="00BF7CBB">
        <w:tc>
          <w:tcPr>
            <w:tcW w:w="1661" w:type="dxa"/>
            <w:vAlign w:val="center"/>
          </w:tcPr>
          <w:p w14:paraId="59850541" w14:textId="17B28E6A"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 xml:space="preserve">26 February </w:t>
            </w:r>
          </w:p>
        </w:tc>
        <w:tc>
          <w:tcPr>
            <w:tcW w:w="7442" w:type="dxa"/>
            <w:vAlign w:val="center"/>
          </w:tcPr>
          <w:p w14:paraId="5F276EBF" w14:textId="7973276A"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Fisheries (Working Group): 9</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792558" w:rsidRPr="00F006D0" w14:paraId="40920834" w14:textId="77777777" w:rsidTr="00BF7CBB">
        <w:tc>
          <w:tcPr>
            <w:tcW w:w="1661" w:type="dxa"/>
            <w:vAlign w:val="center"/>
          </w:tcPr>
          <w:p w14:paraId="19F2CC8A" w14:textId="167D28E6"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17-18 March</w:t>
            </w:r>
          </w:p>
        </w:tc>
        <w:tc>
          <w:tcPr>
            <w:tcW w:w="7442" w:type="dxa"/>
            <w:vAlign w:val="center"/>
          </w:tcPr>
          <w:p w14:paraId="129D88B3" w14:textId="51BBFCA0"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Parliamentary Partnership Assembly: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792558" w:rsidRPr="00F006D0" w14:paraId="26EE21AC" w14:textId="77777777" w:rsidTr="00BF7CBB">
        <w:tc>
          <w:tcPr>
            <w:tcW w:w="1661" w:type="dxa"/>
            <w:vAlign w:val="center"/>
          </w:tcPr>
          <w:p w14:paraId="3D51902D" w14:textId="5A96B31B"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25 March</w:t>
            </w:r>
          </w:p>
        </w:tc>
        <w:tc>
          <w:tcPr>
            <w:tcW w:w="7442" w:type="dxa"/>
            <w:vAlign w:val="center"/>
          </w:tcPr>
          <w:p w14:paraId="7D14EDA7" w14:textId="33D76E5A"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EU Domestic Advisory Group: 14</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792558" w:rsidRPr="00F006D0" w14:paraId="082C9BA4" w14:textId="77777777" w:rsidTr="00BF7CBB">
        <w:tc>
          <w:tcPr>
            <w:tcW w:w="1661" w:type="dxa"/>
            <w:vAlign w:val="center"/>
          </w:tcPr>
          <w:p w14:paraId="2D4F8DD1" w14:textId="6192700B"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14 May</w:t>
            </w:r>
          </w:p>
        </w:tc>
        <w:tc>
          <w:tcPr>
            <w:tcW w:w="7442" w:type="dxa"/>
            <w:vAlign w:val="center"/>
          </w:tcPr>
          <w:p w14:paraId="60005793" w14:textId="6AB13F92"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Fisheries (Specialised Committee): 10</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792558" w:rsidRPr="00F006D0" w14:paraId="751D5DC4" w14:textId="77777777" w:rsidTr="00BF7CBB">
        <w:tc>
          <w:tcPr>
            <w:tcW w:w="1661" w:type="dxa"/>
            <w:vAlign w:val="center"/>
          </w:tcPr>
          <w:p w14:paraId="325B9202" w14:textId="49E14AF5"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22 May</w:t>
            </w:r>
          </w:p>
        </w:tc>
        <w:tc>
          <w:tcPr>
            <w:tcW w:w="7442" w:type="dxa"/>
            <w:vAlign w:val="center"/>
          </w:tcPr>
          <w:p w14:paraId="7DFD2FBD" w14:textId="2CE0ABD1"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Energy Security of Supply (Working Group): 2</w:t>
            </w:r>
            <w:r w:rsidRPr="004E3ECA">
              <w:rPr>
                <w:rFonts w:ascii="Times New Roman" w:hAnsi="Times New Roman" w:cs="Times New Roman"/>
                <w:noProof/>
                <w:sz w:val="24"/>
                <w:szCs w:val="24"/>
                <w:vertAlign w:val="superscript"/>
              </w:rPr>
              <w:t>nd</w:t>
            </w:r>
            <w:r w:rsidRPr="004E3ECA">
              <w:rPr>
                <w:rFonts w:ascii="Times New Roman" w:hAnsi="Times New Roman" w:cs="Times New Roman"/>
                <w:noProof/>
                <w:sz w:val="24"/>
                <w:szCs w:val="24"/>
              </w:rPr>
              <w:t xml:space="preserve"> meting</w:t>
            </w:r>
          </w:p>
        </w:tc>
      </w:tr>
      <w:tr w:rsidR="00792558" w:rsidRPr="00F006D0" w14:paraId="729354C7" w14:textId="77777777" w:rsidTr="00BF7CBB">
        <w:tc>
          <w:tcPr>
            <w:tcW w:w="1661" w:type="dxa"/>
            <w:vAlign w:val="center"/>
          </w:tcPr>
          <w:p w14:paraId="02A32F01" w14:textId="63058799"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4 June</w:t>
            </w:r>
          </w:p>
        </w:tc>
        <w:tc>
          <w:tcPr>
            <w:tcW w:w="7442" w:type="dxa"/>
            <w:vAlign w:val="center"/>
          </w:tcPr>
          <w:p w14:paraId="494EE426" w14:textId="422C3A5B"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Organic products (Working Group): 2</w:t>
            </w:r>
            <w:r w:rsidRPr="004E3ECA">
              <w:rPr>
                <w:rFonts w:ascii="Times New Roman" w:hAnsi="Times New Roman" w:cs="Times New Roman"/>
                <w:noProof/>
                <w:sz w:val="24"/>
                <w:szCs w:val="24"/>
                <w:vertAlign w:val="superscript"/>
              </w:rPr>
              <w:t>nd</w:t>
            </w:r>
            <w:r w:rsidRPr="004E3ECA">
              <w:rPr>
                <w:rFonts w:ascii="Times New Roman" w:hAnsi="Times New Roman" w:cs="Times New Roman"/>
                <w:noProof/>
                <w:sz w:val="24"/>
                <w:szCs w:val="24"/>
              </w:rPr>
              <w:t xml:space="preserve"> meeting</w:t>
            </w:r>
          </w:p>
        </w:tc>
      </w:tr>
      <w:tr w:rsidR="00792558" w:rsidRPr="00F006D0" w14:paraId="26FD90DB" w14:textId="77777777" w:rsidTr="00BF7CBB">
        <w:tc>
          <w:tcPr>
            <w:tcW w:w="1661" w:type="dxa"/>
            <w:vAlign w:val="center"/>
          </w:tcPr>
          <w:p w14:paraId="1928585F" w14:textId="662FD651"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5 June</w:t>
            </w:r>
          </w:p>
        </w:tc>
        <w:tc>
          <w:tcPr>
            <w:tcW w:w="7442" w:type="dxa"/>
            <w:vAlign w:val="center"/>
          </w:tcPr>
          <w:p w14:paraId="3BD2F493" w14:textId="35C78F33"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Medicinal Products (Working Group): 2</w:t>
            </w:r>
            <w:r w:rsidRPr="004E3ECA">
              <w:rPr>
                <w:rFonts w:ascii="Times New Roman" w:hAnsi="Times New Roman" w:cs="Times New Roman"/>
                <w:noProof/>
                <w:sz w:val="24"/>
                <w:szCs w:val="24"/>
                <w:vertAlign w:val="superscript"/>
              </w:rPr>
              <w:t>nd</w:t>
            </w:r>
            <w:r w:rsidRPr="004E3ECA">
              <w:rPr>
                <w:rFonts w:ascii="Times New Roman" w:hAnsi="Times New Roman" w:cs="Times New Roman"/>
                <w:noProof/>
                <w:sz w:val="24"/>
                <w:szCs w:val="24"/>
              </w:rPr>
              <w:t xml:space="preserve"> meeting</w:t>
            </w:r>
          </w:p>
        </w:tc>
      </w:tr>
      <w:tr w:rsidR="00792558" w:rsidRPr="00F006D0" w14:paraId="21103B8A" w14:textId="77777777" w:rsidTr="00BF7CBB">
        <w:tc>
          <w:tcPr>
            <w:tcW w:w="1661" w:type="dxa"/>
            <w:vAlign w:val="center"/>
          </w:tcPr>
          <w:p w14:paraId="100C6E84" w14:textId="609C01FC"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11 June</w:t>
            </w:r>
          </w:p>
        </w:tc>
        <w:tc>
          <w:tcPr>
            <w:tcW w:w="7442" w:type="dxa"/>
            <w:vAlign w:val="center"/>
          </w:tcPr>
          <w:p w14:paraId="47F870E7" w14:textId="43CD5EB6"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Air transport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792558" w:rsidRPr="00F006D0" w14:paraId="5E2647EB" w14:textId="77777777" w:rsidTr="00BF7CBB">
        <w:tc>
          <w:tcPr>
            <w:tcW w:w="1661" w:type="dxa"/>
            <w:vAlign w:val="center"/>
          </w:tcPr>
          <w:p w14:paraId="06C8ED03" w14:textId="5C050241"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 xml:space="preserve">12 June </w:t>
            </w:r>
          </w:p>
        </w:tc>
        <w:tc>
          <w:tcPr>
            <w:tcW w:w="7442" w:type="dxa"/>
            <w:vAlign w:val="center"/>
          </w:tcPr>
          <w:p w14:paraId="65393154" w14:textId="38B73506"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Motor vehicles and parts (Working Group): 2</w:t>
            </w:r>
            <w:r w:rsidRPr="004E3ECA">
              <w:rPr>
                <w:rFonts w:ascii="Times New Roman" w:hAnsi="Times New Roman" w:cs="Times New Roman"/>
                <w:noProof/>
                <w:sz w:val="24"/>
                <w:szCs w:val="24"/>
                <w:vertAlign w:val="superscript"/>
              </w:rPr>
              <w:t>nd</w:t>
            </w:r>
            <w:r w:rsidRPr="004E3ECA">
              <w:rPr>
                <w:rFonts w:ascii="Times New Roman" w:hAnsi="Times New Roman" w:cs="Times New Roman"/>
                <w:noProof/>
                <w:sz w:val="24"/>
                <w:szCs w:val="24"/>
              </w:rPr>
              <w:t xml:space="preserve"> meeting</w:t>
            </w:r>
          </w:p>
        </w:tc>
      </w:tr>
      <w:tr w:rsidR="00792558" w:rsidRPr="00F006D0" w14:paraId="33E4B31E" w14:textId="77777777" w:rsidTr="00BF7CBB">
        <w:tc>
          <w:tcPr>
            <w:tcW w:w="1661" w:type="dxa"/>
            <w:vAlign w:val="center"/>
          </w:tcPr>
          <w:p w14:paraId="7DA1EB7E" w14:textId="47344C0F"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13 June</w:t>
            </w:r>
          </w:p>
        </w:tc>
        <w:tc>
          <w:tcPr>
            <w:tcW w:w="7442" w:type="dxa"/>
            <w:vAlign w:val="center"/>
          </w:tcPr>
          <w:p w14:paraId="47D43AE8" w14:textId="6779F6E7"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EU Domestic Advisory Group: 15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792558" w:rsidRPr="00F006D0" w14:paraId="24B66C51" w14:textId="77777777" w:rsidTr="00BF7CBB">
        <w:tc>
          <w:tcPr>
            <w:tcW w:w="1661" w:type="dxa"/>
            <w:vAlign w:val="center"/>
          </w:tcPr>
          <w:p w14:paraId="67B861C2" w14:textId="3C56AA20"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18 June</w:t>
            </w:r>
          </w:p>
        </w:tc>
        <w:tc>
          <w:tcPr>
            <w:tcW w:w="7442" w:type="dxa"/>
            <w:vAlign w:val="center"/>
          </w:tcPr>
          <w:p w14:paraId="278B43D8" w14:textId="4D01DFF2"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Energy (Specialised Committee): 6</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792558" w:rsidRPr="00F006D0" w14:paraId="7B9A7173" w14:textId="77777777" w:rsidTr="00BF7CBB">
        <w:tc>
          <w:tcPr>
            <w:tcW w:w="1661" w:type="dxa"/>
            <w:vAlign w:val="center"/>
          </w:tcPr>
          <w:p w14:paraId="056637C5" w14:textId="63C95CD3"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24 June</w:t>
            </w:r>
          </w:p>
        </w:tc>
        <w:tc>
          <w:tcPr>
            <w:tcW w:w="7442" w:type="dxa"/>
            <w:vAlign w:val="center"/>
          </w:tcPr>
          <w:p w14:paraId="3D7639F6" w14:textId="5BF9338F" w:rsidR="00792558" w:rsidRPr="004E3ECA" w:rsidRDefault="00792558"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Civil Society Forum: 4</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140DBCAC" w14:textId="77777777" w:rsidTr="00BF7CBB">
        <w:tc>
          <w:tcPr>
            <w:tcW w:w="1661" w:type="dxa"/>
            <w:vAlign w:val="center"/>
          </w:tcPr>
          <w:p w14:paraId="6EFF35DF" w14:textId="102C5E0A"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16 July</w:t>
            </w:r>
          </w:p>
        </w:tc>
        <w:tc>
          <w:tcPr>
            <w:tcW w:w="7442" w:type="dxa"/>
            <w:vAlign w:val="center"/>
          </w:tcPr>
          <w:p w14:paraId="7747AEE7" w14:textId="0A0ABED0"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Fisheries (Working Group): 10</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13F6DD8B" w14:textId="77777777" w:rsidTr="00BF7CBB">
        <w:tc>
          <w:tcPr>
            <w:tcW w:w="1661" w:type="dxa"/>
            <w:vAlign w:val="center"/>
          </w:tcPr>
          <w:p w14:paraId="46588D13" w14:textId="22A5CC04"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17 September</w:t>
            </w:r>
          </w:p>
        </w:tc>
        <w:tc>
          <w:tcPr>
            <w:tcW w:w="7442" w:type="dxa"/>
            <w:vAlign w:val="center"/>
          </w:tcPr>
          <w:p w14:paraId="4E28F2C9" w14:textId="3D839926"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Fisheries (Specialised Committee): 11</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7C654B80" w14:textId="77777777" w:rsidTr="00BF7CBB">
        <w:tc>
          <w:tcPr>
            <w:tcW w:w="1661" w:type="dxa"/>
            <w:vAlign w:val="center"/>
          </w:tcPr>
          <w:p w14:paraId="009DCCC8" w14:textId="7BA59EDC" w:rsidR="008D7052" w:rsidRPr="004E3ECA" w:rsidRDefault="00E453DD"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29 September</w:t>
            </w:r>
          </w:p>
        </w:tc>
        <w:tc>
          <w:tcPr>
            <w:tcW w:w="7442" w:type="dxa"/>
            <w:vAlign w:val="center"/>
          </w:tcPr>
          <w:p w14:paraId="40C5B95F" w14:textId="7C971ED8"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Sanitary and Phytosanitary Measures (Trade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28E4CDE8" w14:textId="77777777" w:rsidTr="00BF7CBB">
        <w:tc>
          <w:tcPr>
            <w:tcW w:w="1661" w:type="dxa"/>
            <w:vAlign w:val="center"/>
          </w:tcPr>
          <w:p w14:paraId="550E5892" w14:textId="05695931"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1 October</w:t>
            </w:r>
          </w:p>
        </w:tc>
        <w:tc>
          <w:tcPr>
            <w:tcW w:w="7442" w:type="dxa"/>
            <w:vAlign w:val="center"/>
          </w:tcPr>
          <w:p w14:paraId="2268C89C" w14:textId="4342D8C1"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EU-UK Financial Regulatory Forum: 4</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3E9AD88C" w14:textId="77777777" w:rsidTr="00BF7CBB">
        <w:tc>
          <w:tcPr>
            <w:tcW w:w="1661" w:type="dxa"/>
            <w:vAlign w:val="center"/>
          </w:tcPr>
          <w:p w14:paraId="6CBC10D3" w14:textId="2EBC714D"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2 October</w:t>
            </w:r>
          </w:p>
        </w:tc>
        <w:tc>
          <w:tcPr>
            <w:tcW w:w="7442" w:type="dxa"/>
            <w:vAlign w:val="center"/>
          </w:tcPr>
          <w:p w14:paraId="05DE5CCD" w14:textId="79181232"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Administrative Cooperation in VAT and Recovery of Taxes and Duties (Trade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0394CCF9" w14:textId="77777777" w:rsidTr="00BF7CBB">
        <w:tc>
          <w:tcPr>
            <w:tcW w:w="1661" w:type="dxa"/>
            <w:vAlign w:val="center"/>
          </w:tcPr>
          <w:p w14:paraId="557255EA" w14:textId="1621FBEF"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8 October</w:t>
            </w:r>
          </w:p>
        </w:tc>
        <w:tc>
          <w:tcPr>
            <w:tcW w:w="7442" w:type="dxa"/>
            <w:vAlign w:val="center"/>
          </w:tcPr>
          <w:p w14:paraId="1E56D0CB" w14:textId="2B7F01B3"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Public Procurement (Trade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5BB42817" w14:textId="77777777" w:rsidTr="00BF7CBB">
        <w:tc>
          <w:tcPr>
            <w:tcW w:w="1661" w:type="dxa"/>
            <w:vAlign w:val="center"/>
          </w:tcPr>
          <w:p w14:paraId="72B0C72B" w14:textId="5E6B46D0"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9 October</w:t>
            </w:r>
          </w:p>
        </w:tc>
        <w:tc>
          <w:tcPr>
            <w:tcW w:w="7442" w:type="dxa"/>
            <w:vAlign w:val="center"/>
          </w:tcPr>
          <w:p w14:paraId="02D5B602" w14:textId="2972F17F"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Intellectual Property (Trade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038D95FF" w14:textId="77777777" w:rsidTr="00BF7CBB">
        <w:tc>
          <w:tcPr>
            <w:tcW w:w="1661" w:type="dxa"/>
            <w:vAlign w:val="center"/>
          </w:tcPr>
          <w:p w14:paraId="6067EC4A" w14:textId="1041D063"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15 October</w:t>
            </w:r>
          </w:p>
        </w:tc>
        <w:tc>
          <w:tcPr>
            <w:tcW w:w="7442" w:type="dxa"/>
            <w:vAlign w:val="center"/>
          </w:tcPr>
          <w:p w14:paraId="0DE0C90C" w14:textId="1776D5C8" w:rsidR="008D7052" w:rsidRPr="004E3ECA" w:rsidRDefault="008D7052" w:rsidP="00DB0117">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Level Playing Field for Open and Fair Competition and Sustainable Development</w:t>
            </w:r>
            <w:r w:rsidR="00DB0117">
              <w:rPr>
                <w:rFonts w:ascii="Times New Roman" w:hAnsi="Times New Roman" w:cs="Times New Roman"/>
                <w:noProof/>
                <w:sz w:val="24"/>
                <w:szCs w:val="24"/>
              </w:rPr>
              <w:t xml:space="preserve"> </w:t>
            </w:r>
            <w:r w:rsidRPr="004E3ECA">
              <w:rPr>
                <w:rFonts w:ascii="Times New Roman" w:hAnsi="Times New Roman" w:cs="Times New Roman"/>
                <w:noProof/>
                <w:sz w:val="24"/>
                <w:szCs w:val="24"/>
              </w:rPr>
              <w:t>(Trade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2692AC4C" w14:textId="77777777" w:rsidTr="00BF7CBB">
        <w:tc>
          <w:tcPr>
            <w:tcW w:w="1661" w:type="dxa"/>
            <w:vAlign w:val="center"/>
          </w:tcPr>
          <w:p w14:paraId="77DAF0B2" w14:textId="4CA9C0C1"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16 October</w:t>
            </w:r>
          </w:p>
        </w:tc>
        <w:tc>
          <w:tcPr>
            <w:tcW w:w="7442" w:type="dxa"/>
            <w:vAlign w:val="center"/>
          </w:tcPr>
          <w:p w14:paraId="2550C497" w14:textId="189BB513"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Customs Cooperation and Rules of Origin (Trade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w:t>
            </w:r>
            <w:r w:rsidR="00DB0117">
              <w:rPr>
                <w:rFonts w:ascii="Times New Roman" w:hAnsi="Times New Roman" w:cs="Times New Roman"/>
                <w:noProof/>
                <w:sz w:val="24"/>
                <w:szCs w:val="24"/>
              </w:rPr>
              <w:t>eeting</w:t>
            </w:r>
          </w:p>
        </w:tc>
      </w:tr>
      <w:tr w:rsidR="008D7052" w:rsidRPr="00F006D0" w14:paraId="55F8B2AF" w14:textId="77777777" w:rsidTr="00BF7CBB">
        <w:tc>
          <w:tcPr>
            <w:tcW w:w="1661" w:type="dxa"/>
            <w:vAlign w:val="center"/>
          </w:tcPr>
          <w:p w14:paraId="2D83A036" w14:textId="78EABCEA"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22 October</w:t>
            </w:r>
          </w:p>
        </w:tc>
        <w:tc>
          <w:tcPr>
            <w:tcW w:w="7442" w:type="dxa"/>
            <w:vAlign w:val="center"/>
          </w:tcPr>
          <w:p w14:paraId="2DA60ACA" w14:textId="40EBD278"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Technical Barriers to Trade (Trade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36FF98D9" w14:textId="77777777" w:rsidTr="00BF7CBB">
        <w:tc>
          <w:tcPr>
            <w:tcW w:w="1661" w:type="dxa"/>
            <w:vAlign w:val="center"/>
          </w:tcPr>
          <w:p w14:paraId="7BE4C7A5" w14:textId="0705B185"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23 October</w:t>
            </w:r>
          </w:p>
        </w:tc>
        <w:tc>
          <w:tcPr>
            <w:tcW w:w="7442" w:type="dxa"/>
            <w:vAlign w:val="center"/>
          </w:tcPr>
          <w:p w14:paraId="12CBFEEE" w14:textId="06979301"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Services, Investment and Digital Trade (Trade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50341E" w:rsidRPr="00F006D0" w14:paraId="14F14061" w14:textId="77777777" w:rsidTr="00BF7CBB">
        <w:tc>
          <w:tcPr>
            <w:tcW w:w="1661" w:type="dxa"/>
            <w:vAlign w:val="center"/>
          </w:tcPr>
          <w:p w14:paraId="5034C046" w14:textId="490CF111" w:rsidR="0050341E" w:rsidRDefault="0050341E" w:rsidP="0050341E">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30 October</w:t>
            </w:r>
          </w:p>
        </w:tc>
        <w:tc>
          <w:tcPr>
            <w:tcW w:w="7442" w:type="dxa"/>
            <w:vAlign w:val="center"/>
          </w:tcPr>
          <w:p w14:paraId="12C11938" w14:textId="1088F5B7" w:rsidR="0050341E" w:rsidRPr="004E3ECA" w:rsidRDefault="0050341E" w:rsidP="0050341E">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Road Transport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 </w:t>
            </w:r>
          </w:p>
        </w:tc>
      </w:tr>
      <w:tr w:rsidR="008D7052" w:rsidRPr="00F006D0" w14:paraId="03ADF3D4" w14:textId="77777777" w:rsidTr="00BF7CBB">
        <w:tc>
          <w:tcPr>
            <w:tcW w:w="1661" w:type="dxa"/>
            <w:vAlign w:val="center"/>
          </w:tcPr>
          <w:p w14:paraId="03023307" w14:textId="62AC5FAB"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6 November</w:t>
            </w:r>
          </w:p>
        </w:tc>
        <w:tc>
          <w:tcPr>
            <w:tcW w:w="7442" w:type="dxa"/>
            <w:vAlign w:val="center"/>
          </w:tcPr>
          <w:p w14:paraId="066C4C0B" w14:textId="436FCE78"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Goods (Trade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DB0117" w:rsidRPr="00F006D0" w14:paraId="27D0B194" w14:textId="77777777" w:rsidTr="00BF7CBB">
        <w:tc>
          <w:tcPr>
            <w:tcW w:w="1661" w:type="dxa"/>
            <w:vAlign w:val="center"/>
          </w:tcPr>
          <w:p w14:paraId="2C12FA8E" w14:textId="291BA340" w:rsidR="00DB0117" w:rsidRDefault="00DB0117" w:rsidP="00DB0117">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7 November</w:t>
            </w:r>
          </w:p>
        </w:tc>
        <w:tc>
          <w:tcPr>
            <w:tcW w:w="7442" w:type="dxa"/>
            <w:vAlign w:val="center"/>
          </w:tcPr>
          <w:p w14:paraId="6F22DEF8" w14:textId="24528553" w:rsidR="00DB0117" w:rsidRPr="004E3ECA" w:rsidRDefault="00DB0117" w:rsidP="00DB0117">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Energy (Specialised Committee): 7</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3955CBC1" w14:textId="77777777" w:rsidTr="00BF7CBB">
        <w:tc>
          <w:tcPr>
            <w:tcW w:w="1661" w:type="dxa"/>
            <w:vAlign w:val="center"/>
          </w:tcPr>
          <w:p w14:paraId="7505E392" w14:textId="72A5778D"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12 November</w:t>
            </w:r>
          </w:p>
        </w:tc>
        <w:tc>
          <w:tcPr>
            <w:tcW w:w="7442" w:type="dxa"/>
            <w:vAlign w:val="center"/>
          </w:tcPr>
          <w:p w14:paraId="7DF84AAD" w14:textId="2B767D29"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Regulatory Cooperation (Trade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7A4B7683" w14:textId="77777777" w:rsidTr="00BF7CBB">
        <w:tc>
          <w:tcPr>
            <w:tcW w:w="1661" w:type="dxa"/>
            <w:vAlign w:val="center"/>
          </w:tcPr>
          <w:p w14:paraId="7577DF5A" w14:textId="5756D7B8" w:rsidR="008D7052" w:rsidRPr="00BE46DE" w:rsidRDefault="00BE46DE" w:rsidP="00470A6D">
            <w:pPr>
              <w:spacing w:before="100" w:beforeAutospacing="1" w:after="100" w:afterAutospacing="1"/>
              <w:rPr>
                <w:rFonts w:ascii="Times New Roman" w:hAnsi="Times New Roman" w:cs="Times New Roman"/>
                <w:noProof/>
                <w:sz w:val="24"/>
                <w:szCs w:val="24"/>
              </w:rPr>
            </w:pPr>
            <w:r w:rsidRPr="00BE46DE">
              <w:rPr>
                <w:rFonts w:ascii="Times New Roman" w:hAnsi="Times New Roman" w:cs="Times New Roman"/>
                <w:noProof/>
                <w:sz w:val="24"/>
                <w:szCs w:val="24"/>
              </w:rPr>
              <w:t>18 – 19 November</w:t>
            </w:r>
          </w:p>
        </w:tc>
        <w:tc>
          <w:tcPr>
            <w:tcW w:w="7442" w:type="dxa"/>
            <w:vAlign w:val="center"/>
          </w:tcPr>
          <w:p w14:paraId="12C06766" w14:textId="2D609A12" w:rsidR="008D7052" w:rsidRPr="00BE46DE" w:rsidRDefault="008D7052" w:rsidP="00470A6D">
            <w:pPr>
              <w:spacing w:before="100" w:beforeAutospacing="1" w:after="100" w:afterAutospacing="1"/>
              <w:rPr>
                <w:rFonts w:ascii="Times New Roman" w:hAnsi="Times New Roman" w:cs="Times New Roman"/>
                <w:noProof/>
                <w:sz w:val="24"/>
                <w:szCs w:val="24"/>
              </w:rPr>
            </w:pPr>
            <w:r w:rsidRPr="00BE46DE">
              <w:rPr>
                <w:rFonts w:ascii="Times New Roman" w:hAnsi="Times New Roman" w:cs="Times New Roman"/>
                <w:noProof/>
                <w:sz w:val="24"/>
                <w:szCs w:val="24"/>
              </w:rPr>
              <w:t>Parliamentary Partnership Assembly: 6</w:t>
            </w:r>
            <w:r w:rsidRPr="00BE46DE">
              <w:rPr>
                <w:rFonts w:ascii="Times New Roman" w:hAnsi="Times New Roman" w:cs="Times New Roman"/>
                <w:noProof/>
                <w:sz w:val="24"/>
                <w:szCs w:val="24"/>
                <w:vertAlign w:val="superscript"/>
              </w:rPr>
              <w:t>th</w:t>
            </w:r>
            <w:r w:rsidRPr="00BE46DE">
              <w:rPr>
                <w:rFonts w:ascii="Times New Roman" w:hAnsi="Times New Roman" w:cs="Times New Roman"/>
                <w:noProof/>
                <w:sz w:val="24"/>
                <w:szCs w:val="24"/>
              </w:rPr>
              <w:t xml:space="preserve"> meeting</w:t>
            </w:r>
          </w:p>
        </w:tc>
      </w:tr>
      <w:tr w:rsidR="00153F3B" w:rsidRPr="00F006D0" w14:paraId="0E4A58C2" w14:textId="77777777" w:rsidTr="00BF7CBB">
        <w:tc>
          <w:tcPr>
            <w:tcW w:w="1661" w:type="dxa"/>
            <w:vAlign w:val="center"/>
          </w:tcPr>
          <w:p w14:paraId="6E5F0CF1" w14:textId="75D116AF" w:rsidR="00153F3B"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21 November</w:t>
            </w:r>
          </w:p>
        </w:tc>
        <w:tc>
          <w:tcPr>
            <w:tcW w:w="7442" w:type="dxa"/>
            <w:vAlign w:val="center"/>
          </w:tcPr>
          <w:p w14:paraId="4F807661" w14:textId="113061AD" w:rsidR="00153F3B" w:rsidRPr="004E3ECA" w:rsidRDefault="00153F3B" w:rsidP="00470A6D">
            <w:pPr>
              <w:spacing w:before="100" w:beforeAutospacing="1" w:after="100" w:afterAutospacing="1"/>
              <w:rPr>
                <w:rFonts w:ascii="Times New Roman" w:hAnsi="Times New Roman" w:cs="Times New Roman"/>
                <w:noProof/>
                <w:sz w:val="24"/>
                <w:szCs w:val="24"/>
              </w:rPr>
            </w:pPr>
            <w:r w:rsidRPr="00153F3B">
              <w:rPr>
                <w:rFonts w:ascii="Times New Roman" w:hAnsi="Times New Roman" w:cs="Times New Roman"/>
                <w:noProof/>
                <w:sz w:val="24"/>
                <w:szCs w:val="24"/>
              </w:rPr>
              <w:t>Dialogue on Harmful Tax Regimes: 2nd meeting</w:t>
            </w:r>
          </w:p>
        </w:tc>
      </w:tr>
      <w:tr w:rsidR="008D7052" w:rsidRPr="00F006D0" w14:paraId="15E7374F" w14:textId="77777777" w:rsidTr="00BF7CBB">
        <w:tc>
          <w:tcPr>
            <w:tcW w:w="1661" w:type="dxa"/>
            <w:vAlign w:val="center"/>
          </w:tcPr>
          <w:p w14:paraId="2AF1248C" w14:textId="016166F4"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26 November</w:t>
            </w:r>
          </w:p>
        </w:tc>
        <w:tc>
          <w:tcPr>
            <w:tcW w:w="7442" w:type="dxa"/>
            <w:vAlign w:val="center"/>
          </w:tcPr>
          <w:p w14:paraId="0013E28F" w14:textId="62417D62"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Aviation Safety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0420BB1D" w14:textId="77777777" w:rsidTr="00BF7CBB">
        <w:tc>
          <w:tcPr>
            <w:tcW w:w="1661" w:type="dxa"/>
            <w:vAlign w:val="center"/>
          </w:tcPr>
          <w:p w14:paraId="42F1AFA1" w14:textId="2CEC0C39"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1 December</w:t>
            </w:r>
          </w:p>
        </w:tc>
        <w:tc>
          <w:tcPr>
            <w:tcW w:w="7442" w:type="dxa"/>
            <w:vAlign w:val="center"/>
          </w:tcPr>
          <w:p w14:paraId="4CEB90D9" w14:textId="76B6F8AF"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Social security coordination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430CC0E3" w14:textId="77777777" w:rsidTr="00BF7CBB">
        <w:tc>
          <w:tcPr>
            <w:tcW w:w="1661" w:type="dxa"/>
            <w:vAlign w:val="center"/>
          </w:tcPr>
          <w:p w14:paraId="3D18A43F" w14:textId="37EF8E22" w:rsidR="008D7052" w:rsidRPr="004E3ECA" w:rsidRDefault="00206650"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4 December</w:t>
            </w:r>
          </w:p>
        </w:tc>
        <w:tc>
          <w:tcPr>
            <w:tcW w:w="7442" w:type="dxa"/>
            <w:vAlign w:val="center"/>
          </w:tcPr>
          <w:p w14:paraId="7561C699" w14:textId="5B508E1E" w:rsidR="008D7052" w:rsidRPr="004E3ECA" w:rsidRDefault="008D7052" w:rsidP="00470A6D">
            <w:pPr>
              <w:spacing w:before="100" w:beforeAutospacing="1" w:after="100" w:afterAutospacing="1"/>
              <w:rPr>
                <w:rFonts w:ascii="Times New Roman" w:hAnsi="Times New Roman" w:cs="Times New Roman"/>
                <w:noProof/>
                <w:sz w:val="24"/>
                <w:szCs w:val="24"/>
              </w:rPr>
            </w:pPr>
            <w:r w:rsidRPr="00153F3B">
              <w:rPr>
                <w:rFonts w:ascii="Times New Roman" w:hAnsi="Times New Roman" w:cs="Times New Roman"/>
                <w:noProof/>
                <w:sz w:val="24"/>
                <w:szCs w:val="24"/>
              </w:rPr>
              <w:t>Trade Partnership Committee: 5</w:t>
            </w:r>
            <w:r w:rsidRPr="00153F3B">
              <w:rPr>
                <w:rFonts w:ascii="Times New Roman" w:hAnsi="Times New Roman" w:cs="Times New Roman"/>
                <w:noProof/>
                <w:sz w:val="24"/>
                <w:szCs w:val="24"/>
                <w:vertAlign w:val="superscript"/>
              </w:rPr>
              <w:t>th</w:t>
            </w:r>
            <w:r w:rsidRPr="00153F3B">
              <w:rPr>
                <w:rFonts w:ascii="Times New Roman" w:hAnsi="Times New Roman" w:cs="Times New Roman"/>
                <w:noProof/>
                <w:sz w:val="24"/>
                <w:szCs w:val="24"/>
              </w:rPr>
              <w:t xml:space="preserve"> meeting</w:t>
            </w:r>
            <w:r w:rsidRPr="004E3ECA">
              <w:rPr>
                <w:rFonts w:ascii="Times New Roman" w:hAnsi="Times New Roman" w:cs="Times New Roman"/>
                <w:noProof/>
                <w:sz w:val="24"/>
                <w:szCs w:val="24"/>
              </w:rPr>
              <w:t xml:space="preserve"> </w:t>
            </w:r>
          </w:p>
        </w:tc>
      </w:tr>
      <w:tr w:rsidR="008D7052" w:rsidRPr="00F006D0" w14:paraId="49552707" w14:textId="77777777" w:rsidTr="00BF7CBB">
        <w:tc>
          <w:tcPr>
            <w:tcW w:w="1661" w:type="dxa"/>
            <w:vAlign w:val="center"/>
          </w:tcPr>
          <w:p w14:paraId="1368C1DA" w14:textId="5B9563F1" w:rsidR="008D7052" w:rsidRPr="004E3ECA" w:rsidRDefault="0050341E"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4 December</w:t>
            </w:r>
          </w:p>
        </w:tc>
        <w:tc>
          <w:tcPr>
            <w:tcW w:w="7442" w:type="dxa"/>
            <w:vAlign w:val="center"/>
          </w:tcPr>
          <w:p w14:paraId="34E17BBF" w14:textId="62C70CCF" w:rsidR="008D7052" w:rsidRPr="004E3ECA" w:rsidRDefault="008D7052" w:rsidP="00470A6D">
            <w:pPr>
              <w:spacing w:before="100" w:beforeAutospacing="1" w:after="100" w:afterAutospacing="1"/>
              <w:rPr>
                <w:rFonts w:ascii="Times New Roman" w:hAnsi="Times New Roman" w:cs="Times New Roman"/>
                <w:noProof/>
                <w:sz w:val="24"/>
                <w:szCs w:val="24"/>
              </w:rPr>
            </w:pPr>
            <w:r w:rsidRPr="004E3ECA">
              <w:rPr>
                <w:rFonts w:ascii="Times New Roman" w:hAnsi="Times New Roman" w:cs="Times New Roman"/>
                <w:noProof/>
                <w:sz w:val="24"/>
                <w:szCs w:val="24"/>
              </w:rPr>
              <w:t>Law Enforcement and Judicial Cooperation (Specialised Committee): 5</w:t>
            </w:r>
            <w:r w:rsidRPr="004E3ECA">
              <w:rPr>
                <w:rFonts w:ascii="Times New Roman" w:hAnsi="Times New Roman" w:cs="Times New Roman"/>
                <w:noProof/>
                <w:sz w:val="24"/>
                <w:szCs w:val="24"/>
                <w:vertAlign w:val="superscript"/>
              </w:rPr>
              <w:t>th</w:t>
            </w:r>
            <w:r w:rsidRPr="004E3ECA">
              <w:rPr>
                <w:rFonts w:ascii="Times New Roman" w:hAnsi="Times New Roman" w:cs="Times New Roman"/>
                <w:noProof/>
                <w:sz w:val="24"/>
                <w:szCs w:val="24"/>
              </w:rPr>
              <w:t xml:space="preserve"> meeting</w:t>
            </w:r>
          </w:p>
        </w:tc>
      </w:tr>
      <w:tr w:rsidR="008D7052" w:rsidRPr="00F006D0" w14:paraId="7032F7F9" w14:textId="77777777" w:rsidTr="00BF7CBB">
        <w:tc>
          <w:tcPr>
            <w:tcW w:w="1661" w:type="dxa"/>
            <w:vAlign w:val="center"/>
          </w:tcPr>
          <w:p w14:paraId="568E3695" w14:textId="756F568C" w:rsidR="008D7052" w:rsidRPr="004E3ECA" w:rsidRDefault="00153F3B" w:rsidP="00470A6D">
            <w:pPr>
              <w:spacing w:before="100" w:beforeAutospacing="1" w:after="100" w:afterAutospacing="1"/>
              <w:rPr>
                <w:rFonts w:ascii="Times New Roman" w:hAnsi="Times New Roman" w:cs="Times New Roman"/>
                <w:noProof/>
                <w:sz w:val="24"/>
                <w:szCs w:val="24"/>
              </w:rPr>
            </w:pPr>
            <w:bookmarkStart w:id="86" w:name="_Hlk215156625"/>
            <w:r>
              <w:rPr>
                <w:rFonts w:ascii="Times New Roman" w:hAnsi="Times New Roman" w:cs="Times New Roman"/>
                <w:noProof/>
                <w:sz w:val="24"/>
                <w:szCs w:val="24"/>
              </w:rPr>
              <w:t>9 – 10 December</w:t>
            </w:r>
          </w:p>
        </w:tc>
        <w:tc>
          <w:tcPr>
            <w:tcW w:w="7442" w:type="dxa"/>
            <w:vAlign w:val="center"/>
          </w:tcPr>
          <w:p w14:paraId="28D0E020" w14:textId="5484F9C2" w:rsidR="008D7052" w:rsidRPr="00153F3B" w:rsidRDefault="008D7052" w:rsidP="00470A6D">
            <w:pPr>
              <w:spacing w:before="100" w:beforeAutospacing="1" w:after="100" w:afterAutospacing="1"/>
              <w:rPr>
                <w:rFonts w:ascii="Times New Roman" w:hAnsi="Times New Roman" w:cs="Times New Roman"/>
                <w:noProof/>
                <w:sz w:val="24"/>
                <w:szCs w:val="24"/>
              </w:rPr>
            </w:pPr>
            <w:r w:rsidRPr="00153F3B">
              <w:rPr>
                <w:rFonts w:ascii="Times New Roman" w:hAnsi="Times New Roman" w:cs="Times New Roman"/>
                <w:noProof/>
                <w:sz w:val="24"/>
                <w:szCs w:val="24"/>
              </w:rPr>
              <w:t>Dialogue on Cyber issues – Art</w:t>
            </w:r>
            <w:r w:rsidR="00A80027">
              <w:rPr>
                <w:rFonts w:ascii="Times New Roman" w:hAnsi="Times New Roman" w:cs="Times New Roman"/>
                <w:noProof/>
                <w:sz w:val="24"/>
                <w:szCs w:val="24"/>
              </w:rPr>
              <w:t>icle </w:t>
            </w:r>
            <w:r w:rsidRPr="00153F3B">
              <w:rPr>
                <w:rFonts w:ascii="Times New Roman" w:hAnsi="Times New Roman" w:cs="Times New Roman"/>
                <w:noProof/>
                <w:sz w:val="24"/>
                <w:szCs w:val="24"/>
              </w:rPr>
              <w:t>703 TCA: 3</w:t>
            </w:r>
            <w:r w:rsidRPr="00153F3B">
              <w:rPr>
                <w:rFonts w:ascii="Times New Roman" w:hAnsi="Times New Roman" w:cs="Times New Roman"/>
                <w:noProof/>
                <w:sz w:val="24"/>
                <w:szCs w:val="24"/>
                <w:vertAlign w:val="superscript"/>
              </w:rPr>
              <w:t>rd</w:t>
            </w:r>
            <w:r w:rsidRPr="00153F3B">
              <w:rPr>
                <w:rFonts w:ascii="Times New Roman" w:hAnsi="Times New Roman" w:cs="Times New Roman"/>
                <w:noProof/>
                <w:sz w:val="24"/>
                <w:szCs w:val="24"/>
              </w:rPr>
              <w:t xml:space="preserve"> meeting</w:t>
            </w:r>
          </w:p>
        </w:tc>
      </w:tr>
      <w:tr w:rsidR="008D7052" w:rsidRPr="00F006D0" w14:paraId="344F8DE6" w14:textId="77777777" w:rsidTr="00BF7CBB">
        <w:tc>
          <w:tcPr>
            <w:tcW w:w="1661" w:type="dxa"/>
            <w:vAlign w:val="center"/>
          </w:tcPr>
          <w:p w14:paraId="0706EB29" w14:textId="52269998" w:rsidR="008D7052" w:rsidRPr="004E3ECA"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15 December</w:t>
            </w:r>
          </w:p>
        </w:tc>
        <w:tc>
          <w:tcPr>
            <w:tcW w:w="7442" w:type="dxa"/>
            <w:vAlign w:val="center"/>
          </w:tcPr>
          <w:p w14:paraId="2F78472E" w14:textId="7E5E53B4" w:rsidR="008D7052" w:rsidRPr="00153F3B" w:rsidRDefault="00153F3B" w:rsidP="00470A6D">
            <w:pPr>
              <w:spacing w:before="100" w:beforeAutospacing="1" w:after="100" w:afterAutospacing="1"/>
              <w:rPr>
                <w:rFonts w:ascii="Times New Roman" w:hAnsi="Times New Roman" w:cs="Times New Roman"/>
                <w:noProof/>
                <w:sz w:val="24"/>
                <w:szCs w:val="24"/>
              </w:rPr>
            </w:pPr>
            <w:r w:rsidRPr="00153F3B">
              <w:rPr>
                <w:rFonts w:ascii="Times New Roman" w:hAnsi="Times New Roman" w:cs="Times New Roman"/>
                <w:noProof/>
                <w:sz w:val="24"/>
                <w:szCs w:val="24"/>
              </w:rPr>
              <w:t>Participation in Union Programmes (Specialised Committee): 5</w:t>
            </w:r>
            <w:r w:rsidRPr="00153F3B">
              <w:rPr>
                <w:rFonts w:ascii="Times New Roman" w:hAnsi="Times New Roman" w:cs="Times New Roman"/>
                <w:noProof/>
                <w:sz w:val="24"/>
                <w:szCs w:val="24"/>
                <w:vertAlign w:val="superscript"/>
              </w:rPr>
              <w:t>th</w:t>
            </w:r>
            <w:r w:rsidRPr="00153F3B">
              <w:rPr>
                <w:rFonts w:ascii="Times New Roman" w:hAnsi="Times New Roman" w:cs="Times New Roman"/>
                <w:noProof/>
                <w:sz w:val="24"/>
                <w:szCs w:val="24"/>
              </w:rPr>
              <w:t xml:space="preserve"> meeting</w:t>
            </w:r>
          </w:p>
        </w:tc>
      </w:tr>
    </w:tbl>
    <w:p w14:paraId="5105B79E" w14:textId="77777777" w:rsidR="00DF1978" w:rsidRDefault="00DF1978" w:rsidP="00470A6D">
      <w:pPr>
        <w:pStyle w:val="Heading1"/>
        <w:keepNext w:val="0"/>
        <w:keepLines w:val="0"/>
        <w:spacing w:before="100" w:beforeAutospacing="1" w:after="100" w:afterAutospacing="1" w:line="240" w:lineRule="auto"/>
        <w:rPr>
          <w:rFonts w:ascii="Times New Roman" w:hAnsi="Times New Roman" w:cs="Times New Roman"/>
          <w:b/>
          <w:bCs/>
          <w:noProof/>
          <w:color w:val="auto"/>
        </w:rPr>
      </w:pPr>
      <w:bookmarkStart w:id="87" w:name="_Toc185413400"/>
      <w:bookmarkStart w:id="88" w:name="_Toc204769336"/>
      <w:bookmarkEnd w:id="86"/>
    </w:p>
    <w:p w14:paraId="433041FF" w14:textId="77777777" w:rsidR="00DF1978" w:rsidRDefault="00DF1978" w:rsidP="00470A6D">
      <w:pPr>
        <w:spacing w:before="100" w:beforeAutospacing="1" w:after="100" w:afterAutospacing="1" w:line="240" w:lineRule="auto"/>
        <w:rPr>
          <w:rFonts w:ascii="Times New Roman" w:eastAsiaTheme="majorEastAsia" w:hAnsi="Times New Roman" w:cs="Times New Roman"/>
          <w:b/>
          <w:bCs/>
          <w:noProof/>
          <w:sz w:val="32"/>
          <w:szCs w:val="32"/>
        </w:rPr>
      </w:pPr>
      <w:r>
        <w:rPr>
          <w:rFonts w:ascii="Times New Roman" w:hAnsi="Times New Roman" w:cs="Times New Roman"/>
          <w:b/>
          <w:bCs/>
          <w:noProof/>
        </w:rPr>
        <w:br w:type="page"/>
      </w:r>
    </w:p>
    <w:p w14:paraId="11EBED9A" w14:textId="0C6E6B82" w:rsidR="001A76E8" w:rsidRPr="00157ED4" w:rsidRDefault="7AFBC456" w:rsidP="00470A6D">
      <w:pPr>
        <w:pStyle w:val="Heading1"/>
        <w:keepNext w:val="0"/>
        <w:keepLines w:val="0"/>
        <w:spacing w:before="100" w:beforeAutospacing="1" w:after="100" w:afterAutospacing="1" w:line="240" w:lineRule="auto"/>
        <w:rPr>
          <w:rFonts w:ascii="Times New Roman" w:hAnsi="Times New Roman" w:cs="Times New Roman"/>
          <w:b/>
          <w:bCs/>
          <w:noProof/>
          <w:color w:val="auto"/>
          <w:sz w:val="31"/>
          <w:szCs w:val="31"/>
        </w:rPr>
      </w:pPr>
      <w:bookmarkStart w:id="89" w:name="_Toc209798657"/>
      <w:r w:rsidRPr="00101E60">
        <w:rPr>
          <w:rFonts w:ascii="Times New Roman" w:hAnsi="Times New Roman" w:cs="Times New Roman"/>
          <w:b/>
          <w:bCs/>
          <w:noProof/>
          <w:color w:val="auto"/>
        </w:rPr>
        <w:t xml:space="preserve">Annex </w:t>
      </w:r>
      <w:r w:rsidR="001B243A" w:rsidRPr="00101E60">
        <w:rPr>
          <w:rFonts w:ascii="Times New Roman" w:hAnsi="Times New Roman" w:cs="Times New Roman"/>
          <w:b/>
          <w:bCs/>
          <w:noProof/>
          <w:color w:val="auto"/>
        </w:rPr>
        <w:t>2</w:t>
      </w:r>
      <w:r w:rsidRPr="00101E60">
        <w:rPr>
          <w:rFonts w:ascii="Times New Roman" w:hAnsi="Times New Roman" w:cs="Times New Roman"/>
          <w:b/>
          <w:bCs/>
          <w:noProof/>
          <w:color w:val="auto"/>
        </w:rPr>
        <w:t>:</w:t>
      </w:r>
      <w:r w:rsidRPr="00101E60">
        <w:rPr>
          <w:rFonts w:ascii="Times New Roman" w:hAnsi="Times New Roman" w:cs="Times New Roman"/>
          <w:b/>
          <w:bCs/>
          <w:noProof/>
          <w:color w:val="auto"/>
          <w:sz w:val="31"/>
          <w:szCs w:val="31"/>
        </w:rPr>
        <w:t xml:space="preserve"> </w:t>
      </w:r>
      <w:r w:rsidR="757CC58B" w:rsidRPr="00101E60">
        <w:rPr>
          <w:rFonts w:ascii="Times New Roman" w:hAnsi="Times New Roman" w:cs="Times New Roman"/>
          <w:b/>
          <w:bCs/>
          <w:noProof/>
          <w:color w:val="auto"/>
        </w:rPr>
        <w:t>Decisions</w:t>
      </w:r>
      <w:r w:rsidR="008B0374" w:rsidRPr="00101E60">
        <w:rPr>
          <w:rFonts w:ascii="Times New Roman" w:hAnsi="Times New Roman" w:cs="Times New Roman"/>
          <w:b/>
          <w:bCs/>
          <w:noProof/>
          <w:color w:val="auto"/>
        </w:rPr>
        <w:t xml:space="preserve">, </w:t>
      </w:r>
      <w:r w:rsidR="757CC58B" w:rsidRPr="00101E60">
        <w:rPr>
          <w:rFonts w:ascii="Times New Roman" w:hAnsi="Times New Roman" w:cs="Times New Roman"/>
          <w:b/>
          <w:bCs/>
          <w:noProof/>
          <w:color w:val="auto"/>
        </w:rPr>
        <w:t xml:space="preserve">recommendations </w:t>
      </w:r>
      <w:r w:rsidR="008B0374" w:rsidRPr="00101E60">
        <w:rPr>
          <w:rFonts w:ascii="Times New Roman" w:hAnsi="Times New Roman" w:cs="Times New Roman"/>
          <w:b/>
          <w:bCs/>
          <w:noProof/>
          <w:color w:val="auto"/>
        </w:rPr>
        <w:t xml:space="preserve">and declarations </w:t>
      </w:r>
      <w:r w:rsidR="757CC58B" w:rsidRPr="00101E60">
        <w:rPr>
          <w:rFonts w:ascii="Times New Roman" w:hAnsi="Times New Roman" w:cs="Times New Roman"/>
          <w:b/>
          <w:bCs/>
          <w:noProof/>
          <w:color w:val="auto"/>
        </w:rPr>
        <w:t>adopted by the</w:t>
      </w:r>
      <w:r w:rsidR="757CC58B" w:rsidRPr="00101E60">
        <w:rPr>
          <w:rFonts w:ascii="Times New Roman" w:hAnsi="Times New Roman" w:cs="Times New Roman"/>
          <w:b/>
          <w:bCs/>
          <w:noProof/>
          <w:color w:val="auto"/>
          <w:sz w:val="31"/>
          <w:szCs w:val="31"/>
        </w:rPr>
        <w:t xml:space="preserve"> Partnership Council </w:t>
      </w:r>
      <w:r w:rsidR="00C554F9" w:rsidRPr="00101E60">
        <w:rPr>
          <w:rFonts w:ascii="Times New Roman" w:hAnsi="Times New Roman" w:cs="Times New Roman"/>
          <w:b/>
          <w:bCs/>
          <w:noProof/>
          <w:color w:val="auto"/>
          <w:sz w:val="31"/>
          <w:szCs w:val="31"/>
        </w:rPr>
        <w:t>and</w:t>
      </w:r>
      <w:r w:rsidR="757CC58B" w:rsidRPr="00101E60">
        <w:rPr>
          <w:rFonts w:ascii="Times New Roman" w:hAnsi="Times New Roman" w:cs="Times New Roman"/>
          <w:b/>
          <w:bCs/>
          <w:noProof/>
          <w:color w:val="auto"/>
          <w:sz w:val="31"/>
          <w:szCs w:val="31"/>
        </w:rPr>
        <w:t xml:space="preserve"> Committees established by the T</w:t>
      </w:r>
      <w:r w:rsidR="00C76B39" w:rsidRPr="00101E60">
        <w:rPr>
          <w:rFonts w:ascii="Times New Roman" w:hAnsi="Times New Roman" w:cs="Times New Roman"/>
          <w:b/>
          <w:bCs/>
          <w:noProof/>
          <w:color w:val="auto"/>
          <w:sz w:val="31"/>
          <w:szCs w:val="31"/>
        </w:rPr>
        <w:t>CA</w:t>
      </w:r>
      <w:bookmarkStart w:id="90" w:name="_Hlk187697968"/>
      <w:bookmarkEnd w:id="87"/>
      <w:bookmarkEnd w:id="88"/>
      <w:bookmarkEnd w:id="89"/>
    </w:p>
    <w:tbl>
      <w:tblPr>
        <w:tblStyle w:val="TableGrid"/>
        <w:tblW w:w="0" w:type="auto"/>
        <w:tblInd w:w="-34" w:type="dxa"/>
        <w:tblLook w:val="04A0" w:firstRow="1" w:lastRow="0" w:firstColumn="1" w:lastColumn="0" w:noHBand="0" w:noVBand="1"/>
      </w:tblPr>
      <w:tblGrid>
        <w:gridCol w:w="1560"/>
        <w:gridCol w:w="7716"/>
      </w:tblGrid>
      <w:tr w:rsidR="00F006D0" w:rsidRPr="00F006D0" w14:paraId="4D25622D" w14:textId="77777777" w:rsidTr="008C47FD">
        <w:tc>
          <w:tcPr>
            <w:tcW w:w="1560" w:type="dxa"/>
            <w:shd w:val="clear" w:color="auto" w:fill="D0CECE" w:themeFill="background2" w:themeFillShade="E6"/>
          </w:tcPr>
          <w:p w14:paraId="760E1FFE" w14:textId="77777777" w:rsidR="00040652" w:rsidRPr="00F006D0" w:rsidRDefault="00040652" w:rsidP="00470A6D">
            <w:pPr>
              <w:spacing w:before="100" w:beforeAutospacing="1" w:after="100" w:afterAutospacing="1"/>
              <w:rPr>
                <w:rFonts w:ascii="Times New Roman" w:eastAsia="Times New Roman" w:hAnsi="Times New Roman" w:cs="Times New Roman"/>
                <w:b/>
                <w:bCs/>
                <w:noProof/>
                <w:sz w:val="24"/>
                <w:szCs w:val="24"/>
              </w:rPr>
            </w:pPr>
            <w:r w:rsidRPr="00F006D0">
              <w:rPr>
                <w:rFonts w:ascii="Times New Roman" w:eastAsia="Times New Roman" w:hAnsi="Times New Roman" w:cs="Times New Roman"/>
                <w:b/>
                <w:bCs/>
                <w:noProof/>
                <w:sz w:val="24"/>
                <w:szCs w:val="24"/>
              </w:rPr>
              <w:t>Date</w:t>
            </w:r>
          </w:p>
        </w:tc>
        <w:tc>
          <w:tcPr>
            <w:tcW w:w="7716" w:type="dxa"/>
            <w:shd w:val="clear" w:color="auto" w:fill="D0CECE" w:themeFill="background2" w:themeFillShade="E6"/>
          </w:tcPr>
          <w:p w14:paraId="16EE404C" w14:textId="77777777" w:rsidR="00040652" w:rsidRPr="00F006D0" w:rsidRDefault="00040652" w:rsidP="00470A6D">
            <w:pPr>
              <w:spacing w:before="100" w:beforeAutospacing="1" w:after="100" w:afterAutospacing="1"/>
              <w:rPr>
                <w:rFonts w:ascii="Times New Roman" w:eastAsia="Times New Roman" w:hAnsi="Times New Roman" w:cs="Times New Roman"/>
                <w:b/>
                <w:bCs/>
                <w:noProof/>
                <w:sz w:val="24"/>
                <w:szCs w:val="24"/>
              </w:rPr>
            </w:pPr>
            <w:r w:rsidRPr="00F006D0">
              <w:rPr>
                <w:rFonts w:ascii="Times New Roman" w:eastAsia="Times New Roman" w:hAnsi="Times New Roman" w:cs="Times New Roman"/>
                <w:b/>
                <w:bCs/>
                <w:noProof/>
                <w:sz w:val="24"/>
                <w:szCs w:val="24"/>
              </w:rPr>
              <w:t>Decision or Recommendation</w:t>
            </w:r>
          </w:p>
        </w:tc>
      </w:tr>
      <w:tr w:rsidR="00F67C44" w:rsidRPr="00F006D0" w14:paraId="0A820F82" w14:textId="77777777" w:rsidTr="008C47FD">
        <w:tc>
          <w:tcPr>
            <w:tcW w:w="1560" w:type="dxa"/>
          </w:tcPr>
          <w:p w14:paraId="6F1F37D8" w14:textId="29078AFA" w:rsidR="00F67C44" w:rsidRDefault="00853323" w:rsidP="00470A6D">
            <w:pPr>
              <w:spacing w:before="100" w:beforeAutospacing="1" w:after="100" w:afterAutospacing="1"/>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18</w:t>
            </w:r>
            <w:r w:rsidR="00F67C44">
              <w:rPr>
                <w:rFonts w:ascii="Times New Roman" w:eastAsia="Times New Roman" w:hAnsi="Times New Roman" w:cs="Times New Roman"/>
                <w:noProof/>
                <w:sz w:val="24"/>
                <w:szCs w:val="24"/>
              </w:rPr>
              <w:t xml:space="preserve"> June 2025</w:t>
            </w:r>
          </w:p>
        </w:tc>
        <w:tc>
          <w:tcPr>
            <w:tcW w:w="7716" w:type="dxa"/>
          </w:tcPr>
          <w:p w14:paraId="1BAE5866" w14:textId="2C9681D9" w:rsidR="00F67C44" w:rsidRPr="00F67C44" w:rsidRDefault="00F67C44" w:rsidP="00470A6D">
            <w:pPr>
              <w:spacing w:before="100" w:beforeAutospacing="1" w:after="100" w:afterAutospacing="1"/>
              <w:jc w:val="both"/>
              <w:rPr>
                <w:rFonts w:ascii="Times New Roman" w:eastAsia="Times New Roman" w:hAnsi="Times New Roman" w:cs="Times New Roman"/>
                <w:noProof/>
                <w:sz w:val="24"/>
                <w:szCs w:val="24"/>
              </w:rPr>
            </w:pPr>
            <w:r w:rsidRPr="00F67C44">
              <w:rPr>
                <w:rFonts w:ascii="Times New Roman" w:eastAsia="Times New Roman" w:hAnsi="Times New Roman" w:cs="Times New Roman"/>
                <w:noProof/>
                <w:sz w:val="24"/>
                <w:szCs w:val="24"/>
              </w:rPr>
              <w:t>Decision No 1/2025 of the Partnership Council issuing an interpretation of Article 508(2)(d) of the Trade and Cooperation Agreement</w:t>
            </w:r>
            <w:r w:rsidRPr="00F97D5F">
              <w:rPr>
                <w:rStyle w:val="FootnoteReference"/>
                <w:rFonts w:ascii="Times New Roman" w:eastAsia="Times New Roman" w:hAnsi="Times New Roman" w:cs="Times New Roman"/>
                <w:noProof/>
                <w:sz w:val="24"/>
                <w:szCs w:val="24"/>
              </w:rPr>
              <w:footnoteReference w:id="59"/>
            </w:r>
          </w:p>
        </w:tc>
      </w:tr>
      <w:tr w:rsidR="00F006D0" w:rsidRPr="00F006D0" w14:paraId="79A78066" w14:textId="77777777" w:rsidTr="008C47FD">
        <w:tc>
          <w:tcPr>
            <w:tcW w:w="1560" w:type="dxa"/>
          </w:tcPr>
          <w:p w14:paraId="7496C444" w14:textId="0CF631AE" w:rsidR="00040652" w:rsidRPr="00F006D0" w:rsidRDefault="00F67C44" w:rsidP="00470A6D">
            <w:pPr>
              <w:spacing w:before="100" w:beforeAutospacing="1" w:after="100" w:afterAutospacing="1"/>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19 June 2025</w:t>
            </w:r>
          </w:p>
        </w:tc>
        <w:tc>
          <w:tcPr>
            <w:tcW w:w="7716" w:type="dxa"/>
          </w:tcPr>
          <w:p w14:paraId="56F46A86" w14:textId="109286CE" w:rsidR="00040652" w:rsidRPr="00F006D0" w:rsidRDefault="00F67C44" w:rsidP="00470A6D">
            <w:pPr>
              <w:spacing w:before="100" w:beforeAutospacing="1" w:after="100" w:afterAutospacing="1"/>
              <w:jc w:val="both"/>
              <w:rPr>
                <w:rFonts w:ascii="Times New Roman" w:hAnsi="Times New Roman" w:cs="Times New Roman"/>
                <w:noProof/>
                <w:sz w:val="24"/>
                <w:szCs w:val="24"/>
              </w:rPr>
            </w:pPr>
            <w:r w:rsidRPr="00F67C44">
              <w:rPr>
                <w:rFonts w:ascii="Times New Roman" w:hAnsi="Times New Roman" w:cs="Times New Roman"/>
                <w:noProof/>
                <w:sz w:val="24"/>
                <w:szCs w:val="24"/>
              </w:rPr>
              <w:t>Decision No 2/2025 of the Partnership Council issuing an interpretation of Article 331(2) and extending the application of Part Two, Heading One, Title VIII on energy, of the Trade and Cooperation Agreement</w:t>
            </w:r>
            <w:r w:rsidRPr="00F97D5F">
              <w:rPr>
                <w:rStyle w:val="FootnoteReference"/>
                <w:rFonts w:ascii="Times New Roman" w:hAnsi="Times New Roman" w:cs="Times New Roman"/>
                <w:noProof/>
                <w:sz w:val="24"/>
                <w:szCs w:val="24"/>
              </w:rPr>
              <w:footnoteReference w:id="60"/>
            </w:r>
          </w:p>
        </w:tc>
      </w:tr>
      <w:tr w:rsidR="00764227" w:rsidRPr="00F006D0" w14:paraId="3B3180ED" w14:textId="77777777" w:rsidTr="008C47FD">
        <w:tc>
          <w:tcPr>
            <w:tcW w:w="1560" w:type="dxa"/>
          </w:tcPr>
          <w:p w14:paraId="29F5D493" w14:textId="061C8D01" w:rsidR="00764227" w:rsidRPr="00F006D0" w:rsidRDefault="00764227" w:rsidP="00470A6D">
            <w:pPr>
              <w:spacing w:before="100" w:beforeAutospacing="1" w:after="100" w:afterAutospacing="1"/>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19 June 2025</w:t>
            </w:r>
          </w:p>
        </w:tc>
        <w:tc>
          <w:tcPr>
            <w:tcW w:w="7716" w:type="dxa"/>
          </w:tcPr>
          <w:p w14:paraId="56E8C745" w14:textId="3ABE36F7" w:rsidR="00764227" w:rsidRPr="00F006D0" w:rsidRDefault="00764227" w:rsidP="00470A6D">
            <w:pPr>
              <w:spacing w:before="100" w:beforeAutospacing="1" w:after="100" w:afterAutospacing="1"/>
              <w:jc w:val="both"/>
              <w:rPr>
                <w:rFonts w:ascii="Times New Roman" w:eastAsia="Times New Roman" w:hAnsi="Times New Roman" w:cs="Times New Roman"/>
                <w:noProof/>
                <w:sz w:val="24"/>
                <w:szCs w:val="24"/>
              </w:rPr>
            </w:pPr>
            <w:r w:rsidRPr="00F67C44">
              <w:rPr>
                <w:rFonts w:ascii="Times New Roman" w:eastAsia="Times New Roman" w:hAnsi="Times New Roman" w:cs="Times New Roman"/>
                <w:noProof/>
                <w:sz w:val="24"/>
                <w:szCs w:val="24"/>
              </w:rPr>
              <w:t>Joint Declaration 1/2025 of the Union and the United Kingdom in the Partnership Council established by the Trade and Cooperation Agreement</w:t>
            </w:r>
            <w:r w:rsidRPr="00F97D5F">
              <w:rPr>
                <w:rStyle w:val="FootnoteReference"/>
                <w:rFonts w:ascii="Times New Roman" w:eastAsia="Times New Roman" w:hAnsi="Times New Roman" w:cs="Times New Roman"/>
                <w:noProof/>
                <w:sz w:val="24"/>
                <w:szCs w:val="24"/>
              </w:rPr>
              <w:footnoteReference w:id="61"/>
            </w:r>
          </w:p>
        </w:tc>
      </w:tr>
      <w:tr w:rsidR="00F006D0" w:rsidRPr="00F006D0" w14:paraId="0422E4B9" w14:textId="77777777" w:rsidTr="008C47FD">
        <w:tc>
          <w:tcPr>
            <w:tcW w:w="1560" w:type="dxa"/>
          </w:tcPr>
          <w:p w14:paraId="752BDC49" w14:textId="24BB8A4C" w:rsidR="00040652" w:rsidRPr="00F006D0" w:rsidRDefault="003071B8" w:rsidP="00470A6D">
            <w:pPr>
              <w:spacing w:before="100" w:beforeAutospacing="1" w:after="100" w:afterAutospacing="1"/>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19 June 2025</w:t>
            </w:r>
          </w:p>
        </w:tc>
        <w:tc>
          <w:tcPr>
            <w:tcW w:w="7716" w:type="dxa"/>
          </w:tcPr>
          <w:p w14:paraId="2EAED4B5" w14:textId="6B60E169" w:rsidR="00040652" w:rsidRPr="00F006D0" w:rsidRDefault="00A22C1C" w:rsidP="00470A6D">
            <w:pPr>
              <w:spacing w:before="100" w:beforeAutospacing="1" w:after="100" w:afterAutospacing="1"/>
              <w:jc w:val="both"/>
              <w:rPr>
                <w:rFonts w:ascii="Times New Roman" w:eastAsia="Times New Roman" w:hAnsi="Times New Roman" w:cs="Times New Roman"/>
                <w:noProof/>
                <w:sz w:val="24"/>
                <w:szCs w:val="24"/>
              </w:rPr>
            </w:pPr>
            <w:r w:rsidRPr="00A22C1C">
              <w:rPr>
                <w:rFonts w:ascii="Times New Roman" w:eastAsia="Times New Roman" w:hAnsi="Times New Roman" w:cs="Times New Roman"/>
                <w:noProof/>
                <w:sz w:val="24"/>
                <w:szCs w:val="24"/>
              </w:rPr>
              <w:t>Decision No 1/2025 of the Specialised Committee on Fisheries as regards the arrangements on the level and conditions of access granted by each Party to vessels of the other Party to fish in its waters from 1 July 2026 to 30 June 2038</w:t>
            </w:r>
            <w:r w:rsidRPr="00F97D5F">
              <w:rPr>
                <w:rStyle w:val="FootnoteReference"/>
                <w:rFonts w:ascii="Times New Roman" w:eastAsia="Times New Roman" w:hAnsi="Times New Roman" w:cs="Times New Roman"/>
                <w:noProof/>
                <w:sz w:val="24"/>
                <w:szCs w:val="24"/>
              </w:rPr>
              <w:footnoteReference w:id="62"/>
            </w:r>
          </w:p>
        </w:tc>
      </w:tr>
      <w:tr w:rsidR="00F006D0" w:rsidRPr="00F006D0" w14:paraId="4E0A5D17" w14:textId="77777777" w:rsidTr="008C47FD">
        <w:tc>
          <w:tcPr>
            <w:tcW w:w="1560" w:type="dxa"/>
          </w:tcPr>
          <w:p w14:paraId="4277D2B8" w14:textId="0157DF29" w:rsidR="00C76B39" w:rsidRPr="007049DB" w:rsidRDefault="007049DB" w:rsidP="00470A6D">
            <w:pPr>
              <w:spacing w:before="100" w:beforeAutospacing="1" w:after="100" w:afterAutospacing="1"/>
              <w:rPr>
                <w:rFonts w:ascii="Times New Roman" w:eastAsia="Times New Roman" w:hAnsi="Times New Roman" w:cs="Times New Roman"/>
                <w:noProof/>
                <w:sz w:val="24"/>
                <w:szCs w:val="24"/>
                <w:highlight w:val="yellow"/>
              </w:rPr>
            </w:pPr>
            <w:r w:rsidRPr="00B21CE1">
              <w:rPr>
                <w:rFonts w:ascii="Times New Roman" w:eastAsia="Times New Roman" w:hAnsi="Times New Roman" w:cs="Times New Roman"/>
                <w:noProof/>
                <w:sz w:val="24"/>
                <w:szCs w:val="24"/>
              </w:rPr>
              <w:t>31 July 2025</w:t>
            </w:r>
          </w:p>
        </w:tc>
        <w:tc>
          <w:tcPr>
            <w:tcW w:w="7716" w:type="dxa"/>
          </w:tcPr>
          <w:p w14:paraId="09DBBDBB" w14:textId="031F2083" w:rsidR="00C76B39" w:rsidRPr="007049DB" w:rsidRDefault="00A75372" w:rsidP="00470A6D">
            <w:pPr>
              <w:spacing w:before="100" w:beforeAutospacing="1" w:after="100" w:afterAutospacing="1"/>
              <w:jc w:val="both"/>
              <w:rPr>
                <w:rFonts w:ascii="Times New Roman" w:eastAsia="Calibri" w:hAnsi="Times New Roman" w:cs="Times New Roman"/>
                <w:noProof/>
                <w:sz w:val="24"/>
                <w:szCs w:val="24"/>
              </w:rPr>
            </w:pPr>
            <w:r w:rsidRPr="00A75372">
              <w:rPr>
                <w:rFonts w:ascii="Times New Roman" w:eastAsia="Calibri" w:hAnsi="Times New Roman" w:cs="Times New Roman"/>
                <w:noProof/>
                <w:sz w:val="24"/>
                <w:szCs w:val="24"/>
              </w:rPr>
              <w:t xml:space="preserve">Decision No 1/2025 of the Trade Specialised Committee on Administrative Cooperation in VAT and Recovery of Taxes and Duties of 31 July 2025 amending Decision No 4/2023 on standard forms for the communication of information and statistical data, the transmission of information via the common communication network and the practical arrangements for the </w:t>
            </w:r>
            <w:r w:rsidRPr="007039BF">
              <w:rPr>
                <w:rFonts w:ascii="Times New Roman" w:eastAsia="Calibri" w:hAnsi="Times New Roman" w:cs="Times New Roman"/>
                <w:noProof/>
                <w:sz w:val="24"/>
                <w:szCs w:val="24"/>
              </w:rPr>
              <w:t>organisation of contacts between central liaison offices and liaison departments</w:t>
            </w:r>
            <w:r w:rsidR="007049DB" w:rsidRPr="00F97D5F">
              <w:rPr>
                <w:rStyle w:val="FootnoteReference"/>
                <w:rFonts w:ascii="Times New Roman" w:eastAsia="Calibri" w:hAnsi="Times New Roman" w:cs="Times New Roman"/>
                <w:noProof/>
                <w:sz w:val="24"/>
                <w:szCs w:val="24"/>
              </w:rPr>
              <w:footnoteReference w:id="63"/>
            </w:r>
          </w:p>
        </w:tc>
      </w:tr>
      <w:tr w:rsidR="008C47FD" w:rsidRPr="00F006D0" w14:paraId="1DB67225" w14:textId="77777777" w:rsidTr="008C47FD">
        <w:tc>
          <w:tcPr>
            <w:tcW w:w="1560" w:type="dxa"/>
          </w:tcPr>
          <w:p w14:paraId="673FC51C" w14:textId="77777777" w:rsidR="008C47FD" w:rsidRPr="00B21CE1" w:rsidRDefault="008C47FD" w:rsidP="00637692">
            <w:pPr>
              <w:spacing w:before="100" w:beforeAutospacing="1" w:after="100" w:afterAutospacing="1"/>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30 October 2025</w:t>
            </w:r>
          </w:p>
        </w:tc>
        <w:tc>
          <w:tcPr>
            <w:tcW w:w="7716" w:type="dxa"/>
          </w:tcPr>
          <w:p w14:paraId="1479BF8E" w14:textId="77777777" w:rsidR="008C47FD" w:rsidRPr="00A75372" w:rsidRDefault="008C47FD" w:rsidP="00637692">
            <w:pPr>
              <w:spacing w:before="100" w:beforeAutospacing="1" w:after="100" w:afterAutospacing="1"/>
              <w:jc w:val="both"/>
              <w:rPr>
                <w:rFonts w:ascii="Times New Roman" w:eastAsia="Calibri" w:hAnsi="Times New Roman" w:cs="Times New Roman"/>
                <w:noProof/>
                <w:sz w:val="24"/>
                <w:szCs w:val="24"/>
              </w:rPr>
            </w:pPr>
            <w:bookmarkStart w:id="91" w:name="_Hlk222926831"/>
            <w:r>
              <w:rPr>
                <w:rFonts w:ascii="Times New Roman" w:eastAsia="Calibri" w:hAnsi="Times New Roman" w:cs="Times New Roman"/>
                <w:noProof/>
                <w:sz w:val="24"/>
                <w:szCs w:val="24"/>
              </w:rPr>
              <w:t>Decision No 1/2025 of the Specialised Committee on Road Transport on a list of categories, types and degrees of seriousness of serious infringements which may lead to the loss of good repute for a road haulage operator</w:t>
            </w:r>
            <w:bookmarkEnd w:id="91"/>
            <w:r>
              <w:rPr>
                <w:rStyle w:val="FootnoteReference"/>
                <w:rFonts w:ascii="Times New Roman" w:eastAsia="Calibri" w:hAnsi="Times New Roman" w:cs="Times New Roman"/>
                <w:noProof/>
                <w:sz w:val="24"/>
                <w:szCs w:val="24"/>
              </w:rPr>
              <w:footnoteReference w:id="64"/>
            </w:r>
          </w:p>
        </w:tc>
      </w:tr>
      <w:tr w:rsidR="008C47FD" w:rsidRPr="00F006D0" w14:paraId="1F4D8855" w14:textId="77777777" w:rsidTr="008C47FD">
        <w:tc>
          <w:tcPr>
            <w:tcW w:w="1560" w:type="dxa"/>
          </w:tcPr>
          <w:p w14:paraId="7B45BAD2" w14:textId="77777777" w:rsidR="008C47FD" w:rsidRPr="00B21CE1" w:rsidRDefault="008C47FD" w:rsidP="00637692">
            <w:pPr>
              <w:spacing w:before="100" w:beforeAutospacing="1" w:after="100" w:afterAutospacing="1"/>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30 October 2025</w:t>
            </w:r>
          </w:p>
        </w:tc>
        <w:tc>
          <w:tcPr>
            <w:tcW w:w="7716" w:type="dxa"/>
          </w:tcPr>
          <w:p w14:paraId="3D1D1222" w14:textId="77777777" w:rsidR="008C47FD" w:rsidRPr="00A75372" w:rsidRDefault="008C47FD" w:rsidP="00637692">
            <w:pPr>
              <w:spacing w:before="100" w:beforeAutospacing="1" w:after="100" w:afterAutospacing="1"/>
              <w:jc w:val="both"/>
              <w:rPr>
                <w:rFonts w:ascii="Times New Roman" w:eastAsia="Calibri" w:hAnsi="Times New Roman" w:cs="Times New Roman"/>
                <w:noProof/>
                <w:sz w:val="24"/>
                <w:szCs w:val="24"/>
              </w:rPr>
            </w:pPr>
            <w:bookmarkStart w:id="93" w:name="_Hlk222926868"/>
            <w:r>
              <w:rPr>
                <w:rFonts w:ascii="Times New Roman" w:eastAsia="Calibri" w:hAnsi="Times New Roman" w:cs="Times New Roman"/>
                <w:noProof/>
                <w:sz w:val="24"/>
                <w:szCs w:val="24"/>
              </w:rPr>
              <w:t>Decision No 2/2025 of the Specialised Committee on Road Transport on the national electronic registers of road transport undertakings and the modalities of the exchange of information contained in those registers</w:t>
            </w:r>
            <w:bookmarkEnd w:id="93"/>
            <w:r>
              <w:rPr>
                <w:rStyle w:val="FootnoteReference"/>
                <w:rFonts w:ascii="Times New Roman" w:eastAsia="Calibri" w:hAnsi="Times New Roman" w:cs="Times New Roman"/>
                <w:noProof/>
                <w:sz w:val="24"/>
                <w:szCs w:val="24"/>
              </w:rPr>
              <w:footnoteReference w:id="65"/>
            </w:r>
          </w:p>
        </w:tc>
      </w:tr>
      <w:tr w:rsidR="008C47FD" w:rsidRPr="00F006D0" w14:paraId="3A64B17B" w14:textId="77777777" w:rsidTr="008C47FD">
        <w:tc>
          <w:tcPr>
            <w:tcW w:w="1560" w:type="dxa"/>
          </w:tcPr>
          <w:p w14:paraId="7C73E085" w14:textId="77777777" w:rsidR="008C47FD" w:rsidRPr="00B21CE1" w:rsidRDefault="008C47FD" w:rsidP="00637692">
            <w:pPr>
              <w:spacing w:before="100" w:beforeAutospacing="1" w:after="100" w:afterAutospacing="1"/>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30 October 2025</w:t>
            </w:r>
          </w:p>
        </w:tc>
        <w:tc>
          <w:tcPr>
            <w:tcW w:w="7716" w:type="dxa"/>
          </w:tcPr>
          <w:p w14:paraId="04793EA3" w14:textId="77777777" w:rsidR="008C47FD" w:rsidRPr="00A75372" w:rsidRDefault="008C47FD" w:rsidP="00637692">
            <w:pPr>
              <w:spacing w:before="100" w:beforeAutospacing="1" w:after="100" w:afterAutospacing="1"/>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Decision No 3/2025 of the Specialised Committee on Road Transport </w:t>
            </w:r>
            <w:r w:rsidRPr="002F3EF0">
              <w:rPr>
                <w:rFonts w:ascii="Times New Roman" w:eastAsia="Calibri" w:hAnsi="Times New Roman" w:cs="Times New Roman"/>
                <w:noProof/>
                <w:sz w:val="24"/>
                <w:szCs w:val="24"/>
              </w:rPr>
              <w:t>on the amount and modalities of the United Kingdom’s financial contribution to certain road transport information systems managed by the Union and the amendment to Decision No 1/2022 of the Specialised Committee on Road Transport</w:t>
            </w:r>
            <w:r>
              <w:rPr>
                <w:rStyle w:val="FootnoteReference"/>
                <w:rFonts w:ascii="Times New Roman" w:eastAsia="Calibri" w:hAnsi="Times New Roman" w:cs="Times New Roman"/>
                <w:noProof/>
                <w:sz w:val="24"/>
                <w:szCs w:val="24"/>
              </w:rPr>
              <w:footnoteReference w:id="66"/>
            </w:r>
            <w:r>
              <w:rPr>
                <w:rFonts w:ascii="Times New Roman" w:eastAsia="Calibri" w:hAnsi="Times New Roman" w:cs="Times New Roman"/>
                <w:noProof/>
                <w:sz w:val="24"/>
                <w:szCs w:val="24"/>
              </w:rPr>
              <w:t xml:space="preserve"> </w:t>
            </w:r>
          </w:p>
        </w:tc>
      </w:tr>
    </w:tbl>
    <w:p w14:paraId="02E118BD" w14:textId="655E33D7" w:rsidR="001B243A" w:rsidRDefault="001B243A" w:rsidP="00470A6D">
      <w:pPr>
        <w:pStyle w:val="Heading1"/>
        <w:keepNext w:val="0"/>
        <w:keepLines w:val="0"/>
        <w:spacing w:before="100" w:beforeAutospacing="1" w:after="100" w:afterAutospacing="1" w:line="240" w:lineRule="auto"/>
        <w:rPr>
          <w:rFonts w:ascii="Times New Roman" w:hAnsi="Times New Roman" w:cs="Times New Roman"/>
          <w:b/>
          <w:bCs/>
          <w:noProof/>
          <w:color w:val="auto"/>
        </w:rPr>
      </w:pPr>
      <w:r>
        <w:rPr>
          <w:noProof/>
        </w:rPr>
        <w:br w:type="page"/>
      </w:r>
      <w:bookmarkStart w:id="95" w:name="_Toc204769337"/>
      <w:bookmarkStart w:id="96" w:name="_Toc209798658"/>
      <w:r w:rsidRPr="009E033A">
        <w:rPr>
          <w:rFonts w:ascii="Times New Roman" w:hAnsi="Times New Roman" w:cs="Times New Roman"/>
          <w:b/>
          <w:bCs/>
          <w:noProof/>
          <w:color w:val="auto"/>
        </w:rPr>
        <w:t xml:space="preserve">Annex 3: Overview of the implementation of the TCA-related actions </w:t>
      </w:r>
      <w:r w:rsidR="00C11E67" w:rsidRPr="009E033A">
        <w:rPr>
          <w:rFonts w:ascii="Times New Roman" w:hAnsi="Times New Roman" w:cs="Times New Roman"/>
          <w:b/>
          <w:bCs/>
          <w:noProof/>
          <w:color w:val="auto"/>
        </w:rPr>
        <w:t>agreed in the Common Understanding</w:t>
      </w:r>
      <w:bookmarkEnd w:id="95"/>
      <w:bookmarkEnd w:id="96"/>
    </w:p>
    <w:tbl>
      <w:tblPr>
        <w:tblStyle w:val="TableGrid"/>
        <w:tblW w:w="0" w:type="auto"/>
        <w:tblInd w:w="-34" w:type="dxa"/>
        <w:tblLook w:val="04A0" w:firstRow="1" w:lastRow="0" w:firstColumn="1" w:lastColumn="0" w:noHBand="0" w:noVBand="1"/>
      </w:tblPr>
      <w:tblGrid>
        <w:gridCol w:w="2977"/>
        <w:gridCol w:w="6237"/>
      </w:tblGrid>
      <w:tr w:rsidR="001B243A" w:rsidRPr="00F006D0" w14:paraId="04742748" w14:textId="77777777">
        <w:tc>
          <w:tcPr>
            <w:tcW w:w="2977" w:type="dxa"/>
            <w:shd w:val="clear" w:color="auto" w:fill="D0CECE" w:themeFill="background2" w:themeFillShade="E6"/>
          </w:tcPr>
          <w:p w14:paraId="107EBAC4" w14:textId="77777777" w:rsidR="001B243A" w:rsidRPr="00F006D0" w:rsidRDefault="001B243A" w:rsidP="00470A6D">
            <w:pPr>
              <w:spacing w:before="100" w:beforeAutospacing="1" w:after="100" w:afterAutospacing="1"/>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Action/area of cooperation</w:t>
            </w:r>
          </w:p>
        </w:tc>
        <w:tc>
          <w:tcPr>
            <w:tcW w:w="6237" w:type="dxa"/>
            <w:shd w:val="clear" w:color="auto" w:fill="D0CECE" w:themeFill="background2" w:themeFillShade="E6"/>
          </w:tcPr>
          <w:p w14:paraId="68CFBC35" w14:textId="77777777" w:rsidR="001B243A" w:rsidRPr="00F006D0" w:rsidRDefault="001B243A" w:rsidP="00470A6D">
            <w:pPr>
              <w:spacing w:before="100" w:beforeAutospacing="1" w:after="100" w:afterAutospacing="1"/>
              <w:rPr>
                <w:rFonts w:ascii="Times New Roman" w:eastAsia="Times New Roman" w:hAnsi="Times New Roman" w:cs="Times New Roman"/>
                <w:b/>
                <w:bCs/>
                <w:noProof/>
                <w:sz w:val="24"/>
                <w:szCs w:val="24"/>
              </w:rPr>
            </w:pPr>
            <w:r w:rsidRPr="00F006D0">
              <w:rPr>
                <w:rFonts w:ascii="Times New Roman" w:eastAsia="Times New Roman" w:hAnsi="Times New Roman" w:cs="Times New Roman"/>
                <w:b/>
                <w:bCs/>
                <w:noProof/>
                <w:sz w:val="24"/>
                <w:szCs w:val="24"/>
              </w:rPr>
              <w:t>State of play</w:t>
            </w:r>
          </w:p>
        </w:tc>
      </w:tr>
      <w:tr w:rsidR="001B243A" w:rsidRPr="00F006D0" w14:paraId="0FA81AF2" w14:textId="77777777">
        <w:tc>
          <w:tcPr>
            <w:tcW w:w="2977" w:type="dxa"/>
          </w:tcPr>
          <w:p w14:paraId="7713A974" w14:textId="77777777"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cs="Times New Roman"/>
                <w:noProof/>
                <w:sz w:val="24"/>
                <w:szCs w:val="24"/>
              </w:rPr>
              <w:t>F</w:t>
            </w:r>
            <w:r w:rsidRPr="00FF40A4">
              <w:rPr>
                <w:rFonts w:ascii="Times New Roman" w:hAnsi="Times New Roman" w:cs="Times New Roman"/>
                <w:noProof/>
                <w:sz w:val="24"/>
                <w:szCs w:val="24"/>
              </w:rPr>
              <w:t>ull reciprocal access to fishing waters until 30 June 2038</w:t>
            </w:r>
          </w:p>
        </w:tc>
        <w:tc>
          <w:tcPr>
            <w:tcW w:w="6237" w:type="dxa"/>
          </w:tcPr>
          <w:p w14:paraId="4858BF1A" w14:textId="0EEE656F" w:rsidR="001B243A" w:rsidRPr="00F006D0" w:rsidRDefault="00B21CE1" w:rsidP="00470A6D">
            <w:pPr>
              <w:spacing w:before="100" w:beforeAutospacing="1" w:after="100" w:afterAutospacing="1"/>
              <w:jc w:val="both"/>
              <w:rPr>
                <w:rFonts w:ascii="Times New Roman" w:eastAsia="Times New Roman" w:hAnsi="Times New Roman" w:cs="Times New Roman"/>
                <w:noProof/>
                <w:sz w:val="24"/>
                <w:szCs w:val="24"/>
              </w:rPr>
            </w:pPr>
            <w:r w:rsidRPr="00A9100D">
              <w:rPr>
                <w:rFonts w:ascii="Times New Roman" w:hAnsi="Times New Roman" w:cs="Times New Roman"/>
                <w:noProof/>
                <w:sz w:val="24"/>
                <w:szCs w:val="24"/>
              </w:rPr>
              <w:t>Decision No. 1/2025</w:t>
            </w:r>
            <w:r w:rsidRPr="00F97D5F">
              <w:rPr>
                <w:rStyle w:val="FootnoteReference"/>
                <w:rFonts w:ascii="Times New Roman" w:hAnsi="Times New Roman" w:cs="Times New Roman"/>
                <w:noProof/>
                <w:sz w:val="24"/>
                <w:szCs w:val="24"/>
              </w:rPr>
              <w:footnoteReference w:id="67"/>
            </w:r>
            <w:r w:rsidRPr="00A9100D">
              <w:rPr>
                <w:rFonts w:ascii="Times New Roman" w:hAnsi="Times New Roman" w:cs="Times New Roman"/>
                <w:noProof/>
                <w:sz w:val="24"/>
                <w:szCs w:val="24"/>
              </w:rPr>
              <w:t xml:space="preserve"> of the Partnership Council </w:t>
            </w:r>
            <w:r w:rsidR="00433244">
              <w:rPr>
                <w:rFonts w:ascii="Times New Roman" w:hAnsi="Times New Roman" w:cs="Times New Roman"/>
                <w:noProof/>
                <w:sz w:val="24"/>
                <w:szCs w:val="24"/>
              </w:rPr>
              <w:t xml:space="preserve">of 18 June 2025 </w:t>
            </w:r>
            <w:r w:rsidRPr="00A9100D">
              <w:rPr>
                <w:rFonts w:ascii="Times New Roman" w:hAnsi="Times New Roman" w:cs="Times New Roman"/>
                <w:noProof/>
                <w:sz w:val="24"/>
                <w:szCs w:val="24"/>
              </w:rPr>
              <w:t>and Decision No. 1/2025</w:t>
            </w:r>
            <w:r w:rsidRPr="00F97D5F">
              <w:rPr>
                <w:rStyle w:val="FootnoteReference"/>
                <w:rFonts w:ascii="Times New Roman" w:hAnsi="Times New Roman" w:cs="Times New Roman"/>
                <w:noProof/>
                <w:sz w:val="24"/>
                <w:szCs w:val="24"/>
              </w:rPr>
              <w:footnoteReference w:id="68"/>
            </w:r>
            <w:r w:rsidRPr="00A9100D">
              <w:rPr>
                <w:rFonts w:ascii="Times New Roman" w:hAnsi="Times New Roman" w:cs="Times New Roman"/>
                <w:noProof/>
                <w:sz w:val="24"/>
                <w:szCs w:val="24"/>
              </w:rPr>
              <w:t xml:space="preserve"> of the Specialised Committee on Fisheries</w:t>
            </w:r>
            <w:r w:rsidR="00433244">
              <w:rPr>
                <w:rFonts w:ascii="Times New Roman" w:hAnsi="Times New Roman" w:cs="Times New Roman"/>
                <w:noProof/>
                <w:sz w:val="24"/>
                <w:szCs w:val="24"/>
              </w:rPr>
              <w:t xml:space="preserve"> of 1 July 2025 </w:t>
            </w:r>
            <w:r>
              <w:rPr>
                <w:rFonts w:ascii="Times New Roman" w:hAnsi="Times New Roman" w:cs="Times New Roman"/>
                <w:noProof/>
                <w:sz w:val="24"/>
                <w:szCs w:val="24"/>
              </w:rPr>
              <w:t xml:space="preserve">provide for full and reciprocal access to waters beyond </w:t>
            </w:r>
            <w:r w:rsidRPr="00A9100D">
              <w:rPr>
                <w:rFonts w:ascii="Times New Roman" w:hAnsi="Times New Roman" w:cs="Times New Roman"/>
                <w:noProof/>
                <w:sz w:val="24"/>
                <w:szCs w:val="24"/>
              </w:rPr>
              <w:t xml:space="preserve">30 June 2026 </w:t>
            </w:r>
            <w:r w:rsidR="00F153B0">
              <w:rPr>
                <w:rFonts w:ascii="Times New Roman" w:hAnsi="Times New Roman" w:cs="Times New Roman"/>
                <w:noProof/>
                <w:sz w:val="24"/>
                <w:szCs w:val="24"/>
              </w:rPr>
              <w:t>until</w:t>
            </w:r>
            <w:r w:rsidRPr="00A9100D">
              <w:rPr>
                <w:rFonts w:ascii="Times New Roman" w:hAnsi="Times New Roman" w:cs="Times New Roman"/>
                <w:noProof/>
                <w:sz w:val="24"/>
                <w:szCs w:val="24"/>
              </w:rPr>
              <w:t xml:space="preserve"> 30 June </w:t>
            </w:r>
            <w:r>
              <w:rPr>
                <w:rFonts w:ascii="Times New Roman" w:hAnsi="Times New Roman" w:cs="Times New Roman"/>
                <w:noProof/>
                <w:sz w:val="24"/>
                <w:szCs w:val="24"/>
              </w:rPr>
              <w:t xml:space="preserve">2038. </w:t>
            </w:r>
          </w:p>
        </w:tc>
      </w:tr>
      <w:tr w:rsidR="001B243A" w:rsidRPr="00F006D0" w14:paraId="6A333B27" w14:textId="77777777">
        <w:tc>
          <w:tcPr>
            <w:tcW w:w="2977" w:type="dxa"/>
          </w:tcPr>
          <w:p w14:paraId="3F1E68DE" w14:textId="77777777"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Extension of </w:t>
            </w:r>
            <w:r w:rsidRPr="00FF40A4">
              <w:rPr>
                <w:rFonts w:ascii="Times New Roman" w:hAnsi="Times New Roman" w:cs="Times New Roman"/>
                <w:noProof/>
                <w:sz w:val="24"/>
                <w:szCs w:val="24"/>
              </w:rPr>
              <w:t>energy cooperation</w:t>
            </w:r>
          </w:p>
        </w:tc>
        <w:tc>
          <w:tcPr>
            <w:tcW w:w="6237" w:type="dxa"/>
          </w:tcPr>
          <w:p w14:paraId="0CA9D3E9" w14:textId="479A89D5" w:rsidR="001B243A" w:rsidRPr="00F006D0" w:rsidRDefault="00A10D75" w:rsidP="00470A6D">
            <w:pPr>
              <w:spacing w:before="100" w:beforeAutospacing="1" w:after="100" w:afterAutospacing="1"/>
              <w:jc w:val="both"/>
              <w:rPr>
                <w:rFonts w:ascii="Times New Roman" w:hAnsi="Times New Roman" w:cs="Times New Roman"/>
                <w:noProof/>
                <w:sz w:val="24"/>
                <w:szCs w:val="24"/>
              </w:rPr>
            </w:pPr>
            <w:r w:rsidRPr="00DC4CB9">
              <w:rPr>
                <w:rFonts w:ascii="Times New Roman" w:hAnsi="Times New Roman" w:cs="Times New Roman"/>
                <w:noProof/>
                <w:sz w:val="24"/>
                <w:szCs w:val="24"/>
              </w:rPr>
              <w:t>Declaration No 1/2025</w:t>
            </w:r>
            <w:r w:rsidRPr="00F97D5F">
              <w:rPr>
                <w:rStyle w:val="FootnoteReference"/>
                <w:rFonts w:ascii="Times New Roman" w:hAnsi="Times New Roman" w:cs="Times New Roman"/>
                <w:noProof/>
                <w:sz w:val="24"/>
                <w:szCs w:val="24"/>
              </w:rPr>
              <w:footnoteReference w:id="69"/>
            </w:r>
            <w:r w:rsidRPr="00DC4CB9">
              <w:rPr>
                <w:rFonts w:ascii="Times New Roman" w:hAnsi="Times New Roman" w:cs="Times New Roman"/>
                <w:noProof/>
                <w:sz w:val="24"/>
                <w:szCs w:val="24"/>
              </w:rPr>
              <w:t xml:space="preserve"> and Decision </w:t>
            </w:r>
            <w:r>
              <w:rPr>
                <w:rFonts w:ascii="Times New Roman" w:hAnsi="Times New Roman" w:cs="Times New Roman"/>
                <w:noProof/>
                <w:sz w:val="24"/>
                <w:szCs w:val="24"/>
              </w:rPr>
              <w:t>N</w:t>
            </w:r>
            <w:r w:rsidRPr="00DC4CB9">
              <w:rPr>
                <w:rFonts w:ascii="Times New Roman" w:hAnsi="Times New Roman" w:cs="Times New Roman"/>
                <w:noProof/>
                <w:sz w:val="24"/>
                <w:szCs w:val="24"/>
              </w:rPr>
              <w:t>o 2/2025</w:t>
            </w:r>
            <w:r w:rsidRPr="00F97D5F">
              <w:rPr>
                <w:rStyle w:val="FootnoteReference"/>
                <w:rFonts w:ascii="Times New Roman" w:hAnsi="Times New Roman" w:cs="Times New Roman"/>
                <w:noProof/>
                <w:sz w:val="24"/>
                <w:szCs w:val="24"/>
              </w:rPr>
              <w:footnoteReference w:id="70"/>
            </w:r>
            <w:r w:rsidRPr="00DC4CB9">
              <w:rPr>
                <w:rFonts w:ascii="Times New Roman" w:hAnsi="Times New Roman" w:cs="Times New Roman"/>
                <w:noProof/>
                <w:sz w:val="24"/>
                <w:szCs w:val="24"/>
              </w:rPr>
              <w:t xml:space="preserve"> of the Partnership Council</w:t>
            </w:r>
            <w:r>
              <w:rPr>
                <w:rFonts w:ascii="Times New Roman" w:hAnsi="Times New Roman" w:cs="Times New Roman"/>
                <w:noProof/>
                <w:sz w:val="24"/>
                <w:szCs w:val="24"/>
              </w:rPr>
              <w:t xml:space="preserve"> of 19 June 2025 </w:t>
            </w:r>
            <w:r w:rsidRPr="004603B8">
              <w:rPr>
                <w:rFonts w:ascii="Times New Roman" w:hAnsi="Times New Roman" w:cs="Times New Roman"/>
                <w:noProof/>
                <w:sz w:val="24"/>
                <w:szCs w:val="24"/>
              </w:rPr>
              <w:t>provide for the continued application of the TCA’s energy provisions. The first extension will apply until 31 March 2027, with further extensions to follow on an annual basis.</w:t>
            </w:r>
          </w:p>
        </w:tc>
      </w:tr>
      <w:tr w:rsidR="001B243A" w:rsidRPr="00F006D0" w14:paraId="2D15223D" w14:textId="77777777">
        <w:tc>
          <w:tcPr>
            <w:tcW w:w="2977" w:type="dxa"/>
          </w:tcPr>
          <w:p w14:paraId="4A713922" w14:textId="1055ED4E"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cs="Times New Roman"/>
                <w:noProof/>
                <w:sz w:val="24"/>
                <w:szCs w:val="24"/>
              </w:rPr>
              <w:t>W</w:t>
            </w:r>
            <w:r w:rsidRPr="00FF40A4">
              <w:rPr>
                <w:rFonts w:ascii="Times New Roman" w:hAnsi="Times New Roman" w:cs="Times New Roman"/>
                <w:noProof/>
                <w:sz w:val="24"/>
                <w:szCs w:val="24"/>
              </w:rPr>
              <w:t>orking towards linking both parties’ emission</w:t>
            </w:r>
            <w:r w:rsidR="003C6D8D">
              <w:rPr>
                <w:rFonts w:ascii="Times New Roman" w:hAnsi="Times New Roman" w:cs="Times New Roman"/>
                <w:noProof/>
                <w:sz w:val="24"/>
                <w:szCs w:val="24"/>
              </w:rPr>
              <w:t>s</w:t>
            </w:r>
            <w:r w:rsidRPr="00FF40A4">
              <w:rPr>
                <w:rFonts w:ascii="Times New Roman" w:hAnsi="Times New Roman" w:cs="Times New Roman"/>
                <w:noProof/>
                <w:sz w:val="24"/>
                <w:szCs w:val="24"/>
              </w:rPr>
              <w:t xml:space="preserve"> trading systems</w:t>
            </w:r>
          </w:p>
        </w:tc>
        <w:tc>
          <w:tcPr>
            <w:tcW w:w="6237" w:type="dxa"/>
          </w:tcPr>
          <w:p w14:paraId="74A9B1C1" w14:textId="3E7A026A" w:rsidR="001B243A" w:rsidRPr="00F006D0" w:rsidRDefault="00AC273F"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Following </w:t>
            </w:r>
            <w:r w:rsidRPr="00AC273F">
              <w:rPr>
                <w:rFonts w:ascii="Times New Roman" w:eastAsia="Times New Roman" w:hAnsi="Times New Roman" w:cs="Times New Roman"/>
                <w:noProof/>
                <w:sz w:val="24"/>
                <w:szCs w:val="24"/>
              </w:rPr>
              <w:t xml:space="preserve">the </w:t>
            </w:r>
            <w:r>
              <w:rPr>
                <w:rFonts w:ascii="Times New Roman" w:eastAsia="Times New Roman" w:hAnsi="Times New Roman" w:cs="Times New Roman"/>
                <w:noProof/>
                <w:sz w:val="24"/>
                <w:szCs w:val="24"/>
              </w:rPr>
              <w:t xml:space="preserve">adoption of the </w:t>
            </w:r>
            <w:r w:rsidRPr="00AC273F">
              <w:rPr>
                <w:rFonts w:ascii="Times New Roman" w:eastAsia="Times New Roman" w:hAnsi="Times New Roman" w:cs="Times New Roman"/>
                <w:noProof/>
                <w:sz w:val="24"/>
                <w:szCs w:val="24"/>
              </w:rPr>
              <w:t>Council</w:t>
            </w:r>
            <w:r>
              <w:rPr>
                <w:rFonts w:ascii="Times New Roman" w:eastAsia="Times New Roman" w:hAnsi="Times New Roman" w:cs="Times New Roman"/>
                <w:noProof/>
                <w:sz w:val="24"/>
                <w:szCs w:val="24"/>
              </w:rPr>
              <w:t>’s negotiating mandate on 17 November 2025, negotiation</w:t>
            </w:r>
            <w:r w:rsidR="00766EA3">
              <w:rPr>
                <w:rFonts w:ascii="Times New Roman" w:eastAsia="Times New Roman" w:hAnsi="Times New Roman" w:cs="Times New Roman"/>
                <w:noProof/>
                <w:sz w:val="24"/>
                <w:szCs w:val="24"/>
              </w:rPr>
              <w:t>s</w:t>
            </w:r>
            <w:r>
              <w:rPr>
                <w:rFonts w:ascii="Times New Roman" w:eastAsia="Times New Roman" w:hAnsi="Times New Roman" w:cs="Times New Roman"/>
                <w:noProof/>
                <w:sz w:val="24"/>
                <w:szCs w:val="24"/>
              </w:rPr>
              <w:t xml:space="preserve"> began. </w:t>
            </w:r>
          </w:p>
        </w:tc>
      </w:tr>
      <w:tr w:rsidR="00D13CD5" w:rsidRPr="009E033A" w14:paraId="1FB9D752" w14:textId="77777777">
        <w:tc>
          <w:tcPr>
            <w:tcW w:w="2977" w:type="dxa"/>
          </w:tcPr>
          <w:p w14:paraId="2F412437" w14:textId="56940615" w:rsidR="00D13CD5" w:rsidRPr="009E033A" w:rsidRDefault="00D13CD5" w:rsidP="00470A6D">
            <w:pPr>
              <w:spacing w:before="100" w:beforeAutospacing="1" w:after="100" w:afterAutospacing="1"/>
              <w:rPr>
                <w:rFonts w:ascii="Times New Roman" w:hAnsi="Times New Roman" w:cs="Times New Roman"/>
                <w:noProof/>
                <w:sz w:val="24"/>
                <w:szCs w:val="24"/>
              </w:rPr>
            </w:pPr>
            <w:r>
              <w:rPr>
                <w:rFonts w:ascii="Times New Roman" w:hAnsi="Times New Roman" w:cs="Times New Roman"/>
                <w:noProof/>
                <w:sz w:val="24"/>
                <w:szCs w:val="24"/>
              </w:rPr>
              <w:t>Association of the United Kingdom to Erasmus+</w:t>
            </w:r>
          </w:p>
        </w:tc>
        <w:tc>
          <w:tcPr>
            <w:tcW w:w="6237" w:type="dxa"/>
          </w:tcPr>
          <w:p w14:paraId="71172380" w14:textId="1FBE21A1" w:rsidR="00D13CD5" w:rsidRPr="00AC273F" w:rsidDel="00D13CD5" w:rsidRDefault="00BD2ED4" w:rsidP="00470A6D">
            <w:pPr>
              <w:spacing w:before="100" w:beforeAutospacing="1" w:after="100" w:afterAutospacing="1"/>
              <w:jc w:val="both"/>
              <w:rPr>
                <w:rFonts w:ascii="Times New Roman" w:eastAsia="Times New Roman" w:hAnsi="Times New Roman" w:cs="Times New Roman"/>
                <w:noProof/>
                <w:sz w:val="24"/>
                <w:szCs w:val="24"/>
              </w:rPr>
            </w:pPr>
            <w:r w:rsidRPr="00F52880">
              <w:rPr>
                <w:rFonts w:ascii="Times New Roman" w:eastAsia="Times New Roman" w:hAnsi="Times New Roman" w:cs="Times New Roman"/>
                <w:noProof/>
                <w:sz w:val="24"/>
                <w:szCs w:val="24"/>
              </w:rPr>
              <w:t>Negotiations for the</w:t>
            </w:r>
            <w:r>
              <w:rPr>
                <w:rFonts w:ascii="Times New Roman" w:eastAsia="Times New Roman" w:hAnsi="Times New Roman" w:cs="Times New Roman"/>
                <w:noProof/>
                <w:sz w:val="24"/>
                <w:szCs w:val="24"/>
              </w:rPr>
              <w:t xml:space="preserve"> United Kingdom’s association as of 1 January</w:t>
            </w:r>
            <w:r w:rsidRPr="00F52880">
              <w:rPr>
                <w:rFonts w:ascii="Times New Roman" w:eastAsia="Times New Roman" w:hAnsi="Times New Roman" w:cs="Times New Roman"/>
                <w:noProof/>
                <w:sz w:val="24"/>
                <w:szCs w:val="24"/>
              </w:rPr>
              <w:t xml:space="preserve"> 2027 were concluded </w:t>
            </w:r>
            <w:r>
              <w:rPr>
                <w:rFonts w:ascii="Times New Roman" w:eastAsia="Times New Roman" w:hAnsi="Times New Roman" w:cs="Times New Roman"/>
                <w:noProof/>
                <w:sz w:val="24"/>
                <w:szCs w:val="24"/>
              </w:rPr>
              <w:t xml:space="preserve">by the Commission </w:t>
            </w:r>
            <w:r w:rsidRPr="00F52880">
              <w:rPr>
                <w:rFonts w:ascii="Times New Roman" w:eastAsia="Times New Roman" w:hAnsi="Times New Roman" w:cs="Times New Roman"/>
                <w:noProof/>
                <w:sz w:val="24"/>
                <w:szCs w:val="24"/>
              </w:rPr>
              <w:t>in December 202</w:t>
            </w:r>
            <w:r w:rsidR="001D45F8">
              <w:rPr>
                <w:rFonts w:ascii="Times New Roman" w:eastAsia="Times New Roman" w:hAnsi="Times New Roman" w:cs="Times New Roman"/>
                <w:noProof/>
                <w:sz w:val="24"/>
                <w:szCs w:val="24"/>
              </w:rPr>
              <w:t>5.</w:t>
            </w:r>
          </w:p>
        </w:tc>
      </w:tr>
      <w:tr w:rsidR="001B243A" w:rsidRPr="009E033A" w14:paraId="4C978D9F" w14:textId="77777777">
        <w:tc>
          <w:tcPr>
            <w:tcW w:w="2977" w:type="dxa"/>
          </w:tcPr>
          <w:p w14:paraId="1ECF5202" w14:textId="77777777" w:rsidR="001B243A" w:rsidRPr="009E033A" w:rsidRDefault="001B243A" w:rsidP="00470A6D">
            <w:pPr>
              <w:spacing w:before="100" w:beforeAutospacing="1" w:after="100" w:afterAutospacing="1"/>
              <w:rPr>
                <w:rFonts w:ascii="Times New Roman" w:eastAsia="Times New Roman" w:hAnsi="Times New Roman" w:cs="Times New Roman"/>
                <w:noProof/>
                <w:sz w:val="24"/>
                <w:szCs w:val="24"/>
              </w:rPr>
            </w:pPr>
            <w:r w:rsidRPr="009E033A">
              <w:rPr>
                <w:rFonts w:ascii="Times New Roman" w:hAnsi="Times New Roman" w:cs="Times New Roman"/>
                <w:noProof/>
                <w:sz w:val="24"/>
                <w:szCs w:val="24"/>
              </w:rPr>
              <w:t>Enhancing the provision of services</w:t>
            </w:r>
          </w:p>
        </w:tc>
        <w:tc>
          <w:tcPr>
            <w:tcW w:w="6237" w:type="dxa"/>
          </w:tcPr>
          <w:p w14:paraId="1289D405" w14:textId="77BD3254" w:rsidR="001B243A" w:rsidRPr="009E033A" w:rsidRDefault="00BE2C45" w:rsidP="00470A6D">
            <w:pPr>
              <w:spacing w:before="100" w:beforeAutospacing="1" w:after="100" w:afterAutospacing="1"/>
              <w:jc w:val="both"/>
              <w:rPr>
                <w:rFonts w:ascii="Times New Roman" w:eastAsia="Times New Roman" w:hAnsi="Times New Roman" w:cs="Times New Roman"/>
                <w:i/>
                <w:iCs/>
                <w:noProof/>
                <w:sz w:val="24"/>
                <w:szCs w:val="24"/>
              </w:rPr>
            </w:pPr>
            <w:r w:rsidRPr="00BE2C45">
              <w:rPr>
                <w:rFonts w:ascii="Times New Roman" w:eastAsia="Times New Roman" w:hAnsi="Times New Roman" w:cs="Times New Roman"/>
                <w:noProof/>
                <w:sz w:val="24"/>
                <w:szCs w:val="24"/>
              </w:rPr>
              <w:t xml:space="preserve">Dedicated dialogues on the implementation of the </w:t>
            </w:r>
            <w:r>
              <w:rPr>
                <w:rFonts w:ascii="Times New Roman" w:eastAsia="Times New Roman" w:hAnsi="Times New Roman" w:cs="Times New Roman"/>
                <w:noProof/>
                <w:sz w:val="24"/>
                <w:szCs w:val="24"/>
              </w:rPr>
              <w:t>TCA</w:t>
            </w:r>
            <w:r w:rsidRPr="00BE2C45">
              <w:rPr>
                <w:rFonts w:ascii="Times New Roman" w:eastAsia="Times New Roman" w:hAnsi="Times New Roman" w:cs="Times New Roman"/>
                <w:noProof/>
                <w:sz w:val="24"/>
                <w:szCs w:val="24"/>
              </w:rPr>
              <w:t xml:space="preserve"> as regards entry and temporary stay of natural persons for business purposes, including the sponsorship scheme, and the recognition of professional qualifications</w:t>
            </w:r>
            <w:r>
              <w:rPr>
                <w:rFonts w:ascii="Times New Roman" w:eastAsia="Times New Roman" w:hAnsi="Times New Roman" w:cs="Times New Roman"/>
                <w:noProof/>
                <w:sz w:val="24"/>
                <w:szCs w:val="24"/>
              </w:rPr>
              <w:t xml:space="preserve">, reporting </w:t>
            </w:r>
            <w:r w:rsidRPr="00BE2C45">
              <w:rPr>
                <w:rFonts w:ascii="Times New Roman" w:eastAsia="Times New Roman" w:hAnsi="Times New Roman" w:cs="Times New Roman"/>
                <w:noProof/>
                <w:sz w:val="24"/>
                <w:szCs w:val="24"/>
              </w:rPr>
              <w:t xml:space="preserve">to the TCA </w:t>
            </w:r>
            <w:r>
              <w:rPr>
                <w:rFonts w:ascii="Times New Roman" w:eastAsia="Times New Roman" w:hAnsi="Times New Roman" w:cs="Times New Roman"/>
                <w:noProof/>
                <w:sz w:val="24"/>
                <w:szCs w:val="24"/>
              </w:rPr>
              <w:t>j</w:t>
            </w:r>
            <w:r w:rsidRPr="00BE2C45">
              <w:rPr>
                <w:rFonts w:ascii="Times New Roman" w:eastAsia="Times New Roman" w:hAnsi="Times New Roman" w:cs="Times New Roman"/>
                <w:noProof/>
                <w:sz w:val="24"/>
                <w:szCs w:val="24"/>
              </w:rPr>
              <w:t xml:space="preserve">oint </w:t>
            </w:r>
            <w:r>
              <w:rPr>
                <w:rFonts w:ascii="Times New Roman" w:eastAsia="Times New Roman" w:hAnsi="Times New Roman" w:cs="Times New Roman"/>
                <w:noProof/>
                <w:sz w:val="24"/>
                <w:szCs w:val="24"/>
              </w:rPr>
              <w:t>b</w:t>
            </w:r>
            <w:r w:rsidRPr="00BE2C45">
              <w:rPr>
                <w:rFonts w:ascii="Times New Roman" w:eastAsia="Times New Roman" w:hAnsi="Times New Roman" w:cs="Times New Roman"/>
                <w:noProof/>
                <w:sz w:val="24"/>
                <w:szCs w:val="24"/>
              </w:rPr>
              <w:t>odies</w:t>
            </w:r>
          </w:p>
        </w:tc>
      </w:tr>
      <w:tr w:rsidR="001B243A" w:rsidRPr="009E033A" w14:paraId="57FB8490" w14:textId="77777777">
        <w:tc>
          <w:tcPr>
            <w:tcW w:w="2977" w:type="dxa"/>
          </w:tcPr>
          <w:p w14:paraId="6D20E360" w14:textId="77777777" w:rsidR="001B243A" w:rsidRPr="009E033A" w:rsidRDefault="001B243A" w:rsidP="00470A6D">
            <w:pPr>
              <w:spacing w:before="100" w:beforeAutospacing="1" w:after="100" w:afterAutospacing="1"/>
              <w:rPr>
                <w:rFonts w:ascii="Times New Roman" w:eastAsia="Times New Roman" w:hAnsi="Times New Roman" w:cs="Times New Roman"/>
                <w:noProof/>
                <w:sz w:val="24"/>
                <w:szCs w:val="24"/>
              </w:rPr>
            </w:pPr>
            <w:r w:rsidRPr="009E033A">
              <w:rPr>
                <w:rFonts w:ascii="Times New Roman" w:hAnsi="Times New Roman" w:cs="Times New Roman"/>
                <w:noProof/>
                <w:sz w:val="24"/>
                <w:szCs w:val="24"/>
              </w:rPr>
              <w:t>Maximising cooperation on health security</w:t>
            </w:r>
          </w:p>
        </w:tc>
        <w:tc>
          <w:tcPr>
            <w:tcW w:w="6237" w:type="dxa"/>
          </w:tcPr>
          <w:p w14:paraId="21BFD92E" w14:textId="60D4E466" w:rsidR="001B243A" w:rsidRPr="009E033A" w:rsidRDefault="00A94F20" w:rsidP="00470A6D">
            <w:pPr>
              <w:spacing w:before="100" w:beforeAutospacing="1" w:after="100" w:afterAutospacing="1"/>
              <w:jc w:val="both"/>
              <w:rPr>
                <w:rFonts w:ascii="Times New Roman" w:eastAsia="Times New Roman" w:hAnsi="Times New Roman" w:cs="Times New Roman"/>
                <w:noProof/>
                <w:sz w:val="24"/>
                <w:szCs w:val="24"/>
              </w:rPr>
            </w:pPr>
            <w:r w:rsidRPr="009E033A">
              <w:rPr>
                <w:rFonts w:ascii="Times New Roman" w:eastAsia="Times New Roman" w:hAnsi="Times New Roman" w:cs="Times New Roman"/>
                <w:noProof/>
                <w:sz w:val="24"/>
                <w:szCs w:val="24"/>
              </w:rPr>
              <w:t>Exploratory talks continue.</w:t>
            </w:r>
          </w:p>
        </w:tc>
      </w:tr>
      <w:tr w:rsidR="001B243A" w:rsidRPr="00F006D0" w14:paraId="3EF59CCD" w14:textId="77777777">
        <w:tc>
          <w:tcPr>
            <w:tcW w:w="2977" w:type="dxa"/>
          </w:tcPr>
          <w:p w14:paraId="671973C2" w14:textId="77777777" w:rsidR="001B243A" w:rsidRPr="009E033A" w:rsidRDefault="001B243A" w:rsidP="00470A6D">
            <w:pPr>
              <w:spacing w:before="100" w:beforeAutospacing="1" w:after="100" w:afterAutospacing="1"/>
              <w:rPr>
                <w:rFonts w:ascii="Times New Roman" w:eastAsia="Times New Roman" w:hAnsi="Times New Roman" w:cs="Times New Roman"/>
                <w:noProof/>
                <w:sz w:val="24"/>
                <w:szCs w:val="24"/>
              </w:rPr>
            </w:pPr>
            <w:r w:rsidRPr="009E033A">
              <w:rPr>
                <w:rFonts w:ascii="Times New Roman" w:hAnsi="Times New Roman" w:cs="Times New Roman"/>
                <w:noProof/>
                <w:sz w:val="24"/>
                <w:szCs w:val="24"/>
              </w:rPr>
              <w:t>Strengthening judicial cooperation in criminal matters and law enforcement</w:t>
            </w:r>
          </w:p>
        </w:tc>
        <w:tc>
          <w:tcPr>
            <w:tcW w:w="6237" w:type="dxa"/>
          </w:tcPr>
          <w:p w14:paraId="567AC572" w14:textId="63271916" w:rsidR="001B243A" w:rsidRPr="00F006D0" w:rsidRDefault="009E033A" w:rsidP="00470A6D">
            <w:pPr>
              <w:spacing w:before="100" w:beforeAutospacing="1" w:after="100" w:afterAutospacing="1"/>
              <w:jc w:val="both"/>
              <w:rPr>
                <w:rFonts w:ascii="Times New Roman" w:eastAsia="Times New Roman" w:hAnsi="Times New Roman" w:cs="Times New Roman"/>
                <w:noProof/>
                <w:sz w:val="24"/>
                <w:szCs w:val="24"/>
              </w:rPr>
            </w:pPr>
            <w:r w:rsidRPr="009E033A">
              <w:rPr>
                <w:rFonts w:ascii="Times New Roman" w:eastAsia="Times New Roman" w:hAnsi="Times New Roman" w:cs="Times New Roman"/>
                <w:noProof/>
                <w:sz w:val="24"/>
                <w:szCs w:val="24"/>
              </w:rPr>
              <w:t>Exploratory talks continue</w:t>
            </w:r>
            <w:r w:rsidR="00766EA3">
              <w:rPr>
                <w:rFonts w:ascii="Times New Roman" w:eastAsia="Times New Roman" w:hAnsi="Times New Roman" w:cs="Times New Roman"/>
                <w:noProof/>
                <w:sz w:val="24"/>
                <w:szCs w:val="24"/>
              </w:rPr>
              <w:t>.</w:t>
            </w:r>
          </w:p>
        </w:tc>
      </w:tr>
      <w:tr w:rsidR="001B243A" w:rsidRPr="00F006D0" w14:paraId="0751E247" w14:textId="77777777">
        <w:tc>
          <w:tcPr>
            <w:tcW w:w="2977" w:type="dxa"/>
          </w:tcPr>
          <w:p w14:paraId="6F8D3E02" w14:textId="77777777"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Competition cooperation agreement </w:t>
            </w:r>
          </w:p>
        </w:tc>
        <w:tc>
          <w:tcPr>
            <w:tcW w:w="6237" w:type="dxa"/>
          </w:tcPr>
          <w:p w14:paraId="1890D541" w14:textId="0FA6A9B4" w:rsidR="001B243A" w:rsidRPr="00F006D0" w:rsidRDefault="00C46761"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Competition Cooperation Agreement</w:t>
            </w:r>
            <w:r w:rsidR="00101E60">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between the EU and the United Kingdom</w:t>
            </w:r>
            <w:r w:rsidR="00766EA3">
              <w:rPr>
                <w:rFonts w:ascii="Times New Roman" w:eastAsia="Times New Roman" w:hAnsi="Times New Roman" w:cs="Times New Roman"/>
                <w:noProof/>
                <w:sz w:val="24"/>
                <w:szCs w:val="24"/>
              </w:rPr>
              <w:t xml:space="preserve"> </w:t>
            </w:r>
            <w:r w:rsidR="00BD2ED4" w:rsidRPr="008937E9">
              <w:rPr>
                <w:rFonts w:ascii="Times New Roman" w:hAnsi="Times New Roman" w:cs="Times New Roman"/>
                <w:noProof/>
                <w:sz w:val="24"/>
                <w:szCs w:val="24"/>
              </w:rPr>
              <w:t xml:space="preserve">was agreed in 2025 and </w:t>
            </w:r>
            <w:r w:rsidR="00BD2ED4">
              <w:rPr>
                <w:rFonts w:ascii="Times New Roman" w:hAnsi="Times New Roman" w:cs="Times New Roman"/>
                <w:noProof/>
                <w:sz w:val="24"/>
                <w:szCs w:val="24"/>
              </w:rPr>
              <w:t>signed in February</w:t>
            </w:r>
            <w:r w:rsidR="00BD2ED4" w:rsidRPr="008937E9">
              <w:rPr>
                <w:rFonts w:ascii="Times New Roman" w:hAnsi="Times New Roman" w:cs="Times New Roman"/>
                <w:noProof/>
                <w:sz w:val="24"/>
                <w:szCs w:val="24"/>
              </w:rPr>
              <w:t xml:space="preserve"> 2026</w:t>
            </w:r>
            <w:r w:rsidR="00101E60">
              <w:rPr>
                <w:rFonts w:ascii="Times New Roman" w:eastAsia="Times New Roman" w:hAnsi="Times New Roman" w:cs="Times New Roman"/>
                <w:noProof/>
                <w:sz w:val="24"/>
                <w:szCs w:val="24"/>
              </w:rPr>
              <w:t>.</w:t>
            </w:r>
          </w:p>
        </w:tc>
      </w:tr>
      <w:bookmarkEnd w:id="90"/>
    </w:tbl>
    <w:p w14:paraId="49AD2CD4" w14:textId="23F3777C" w:rsidR="00040652" w:rsidRPr="001B243A" w:rsidRDefault="00040652" w:rsidP="00F44491">
      <w:pPr>
        <w:spacing w:before="100" w:beforeAutospacing="1" w:after="100" w:afterAutospacing="1" w:line="240" w:lineRule="auto"/>
        <w:rPr>
          <w:noProof/>
        </w:rPr>
      </w:pPr>
    </w:p>
    <w:sectPr w:rsidR="00040652" w:rsidRPr="001B243A" w:rsidSect="00656149">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18"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1661E" w14:textId="77777777" w:rsidR="00CF526D" w:rsidRDefault="00CF526D" w:rsidP="003E5080">
      <w:pPr>
        <w:spacing w:after="0" w:line="240" w:lineRule="auto"/>
      </w:pPr>
      <w:r>
        <w:separator/>
      </w:r>
    </w:p>
  </w:endnote>
  <w:endnote w:type="continuationSeparator" w:id="0">
    <w:p w14:paraId="3BC4A96D" w14:textId="77777777" w:rsidR="00CF526D" w:rsidRDefault="00CF526D" w:rsidP="003E5080">
      <w:pPr>
        <w:spacing w:after="0" w:line="240" w:lineRule="auto"/>
      </w:pPr>
      <w:r>
        <w:continuationSeparator/>
      </w:r>
    </w:p>
  </w:endnote>
  <w:endnote w:type="continuationNotice" w:id="1">
    <w:p w14:paraId="7D6F6EE9" w14:textId="77777777" w:rsidR="00CF526D" w:rsidRDefault="00CF52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34CB8" w14:textId="12E40D41" w:rsidR="00D01676" w:rsidRPr="00D01676" w:rsidRDefault="00D01676" w:rsidP="00D01676">
    <w:pPr>
      <w:pStyle w:val="FooterCoverPage"/>
      <w:rPr>
        <w:rFonts w:ascii="Arial" w:hAnsi="Arial" w:cs="Arial"/>
        <w:b/>
        <w:sz w:val="48"/>
      </w:rPr>
    </w:pPr>
    <w:r w:rsidRPr="00D01676">
      <w:rPr>
        <w:rFonts w:ascii="Arial" w:hAnsi="Arial" w:cs="Arial"/>
        <w:b/>
        <w:sz w:val="48"/>
      </w:rPr>
      <w:t>EN</w:t>
    </w:r>
    <w:r w:rsidRPr="00D01676">
      <w:rPr>
        <w:rFonts w:ascii="Arial" w:hAnsi="Arial" w:cs="Arial"/>
        <w:b/>
        <w:sz w:val="48"/>
      </w:rPr>
      <w:tab/>
    </w:r>
    <w:r w:rsidRPr="00D01676">
      <w:rPr>
        <w:rFonts w:ascii="Arial" w:hAnsi="Arial" w:cs="Arial"/>
        <w:b/>
        <w:sz w:val="48"/>
      </w:rPr>
      <w:tab/>
    </w:r>
    <w:r w:rsidRPr="00D01676">
      <w:tab/>
    </w:r>
    <w:r w:rsidRPr="00D0167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C1775" w14:textId="7499F593" w:rsidR="00D01676" w:rsidRPr="00D01676" w:rsidRDefault="00D01676" w:rsidP="00D01676">
    <w:pPr>
      <w:pStyle w:val="FooterCoverPage"/>
      <w:rPr>
        <w:rFonts w:ascii="Arial" w:hAnsi="Arial" w:cs="Arial"/>
        <w:b/>
        <w:sz w:val="48"/>
      </w:rPr>
    </w:pPr>
    <w:r w:rsidRPr="00D01676">
      <w:rPr>
        <w:rFonts w:ascii="Arial" w:hAnsi="Arial" w:cs="Arial"/>
        <w:b/>
        <w:sz w:val="48"/>
      </w:rPr>
      <w:t>EN</w:t>
    </w:r>
    <w:r w:rsidRPr="00D01676">
      <w:rPr>
        <w:rFonts w:ascii="Arial" w:hAnsi="Arial" w:cs="Arial"/>
        <w:b/>
        <w:sz w:val="48"/>
      </w:rPr>
      <w:tab/>
    </w:r>
    <w:r w:rsidRPr="00D01676">
      <w:rPr>
        <w:rFonts w:ascii="Arial" w:hAnsi="Arial" w:cs="Arial"/>
        <w:b/>
        <w:sz w:val="48"/>
      </w:rPr>
      <w:tab/>
    </w:r>
    <w:r w:rsidRPr="00D01676">
      <w:tab/>
    </w:r>
    <w:r w:rsidRPr="00D0167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45537" w14:textId="77777777" w:rsidR="00D01676" w:rsidRPr="00D01676" w:rsidRDefault="00D01676" w:rsidP="00D016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56874" w14:textId="77777777" w:rsidR="00656149" w:rsidRDefault="00656149" w:rsidP="00073840">
    <w:pPr>
      <w:pStyle w:val="Footer"/>
      <w:jc w:val="right"/>
    </w:pPr>
    <w:r>
      <w:fldChar w:fldCharType="begin"/>
    </w:r>
    <w:r>
      <w:instrText xml:space="preserve"> PAGE   \* MERGEFORMAT </w:instrText>
    </w:r>
    <w:r>
      <w:fldChar w:fldCharType="separate"/>
    </w:r>
    <w:r>
      <w:rPr>
        <w:noProof/>
      </w:rPr>
      <w:t>4</w:t>
    </w:r>
    <w:r>
      <w:rPr>
        <w:noProof/>
      </w:rPr>
      <w:fldChar w:fldCharType="end"/>
    </w:r>
  </w:p>
  <w:p w14:paraId="1EF51F8F" w14:textId="77777777" w:rsidR="00656149" w:rsidRDefault="00656149" w:rsidP="00073840">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635974"/>
      <w:docPartObj>
        <w:docPartGallery w:val="Page Numbers (Bottom of Page)"/>
        <w:docPartUnique/>
      </w:docPartObj>
    </w:sdtPr>
    <w:sdtEndPr>
      <w:rPr>
        <w:rFonts w:ascii="Times New Roman" w:hAnsi="Times New Roman" w:cs="Times New Roman"/>
        <w:noProof/>
      </w:rPr>
    </w:sdtEndPr>
    <w:sdtContent>
      <w:p w14:paraId="3C94C359" w14:textId="36DB83D2" w:rsidR="00656149" w:rsidRPr="009A44EE" w:rsidRDefault="00656149" w:rsidP="00CB2675">
        <w:pPr>
          <w:pStyle w:val="Footer"/>
          <w:jc w:val="center"/>
          <w:rPr>
            <w:rFonts w:ascii="Times New Roman" w:hAnsi="Times New Roman" w:cs="Times New Roman"/>
          </w:rPr>
        </w:pPr>
        <w:r w:rsidRPr="009A44EE">
          <w:rPr>
            <w:rFonts w:ascii="Times New Roman" w:hAnsi="Times New Roman" w:cs="Times New Roman"/>
          </w:rPr>
          <w:fldChar w:fldCharType="begin"/>
        </w:r>
        <w:r w:rsidRPr="009A44EE">
          <w:rPr>
            <w:rFonts w:ascii="Times New Roman" w:hAnsi="Times New Roman" w:cs="Times New Roman"/>
          </w:rPr>
          <w:instrText xml:space="preserve"> PAGE   \* MERGEFORMAT </w:instrText>
        </w:r>
        <w:r w:rsidRPr="009A44EE">
          <w:rPr>
            <w:rFonts w:ascii="Times New Roman" w:hAnsi="Times New Roman" w:cs="Times New Roman"/>
          </w:rPr>
          <w:fldChar w:fldCharType="separate"/>
        </w:r>
        <w:r w:rsidR="00D01676">
          <w:rPr>
            <w:rFonts w:ascii="Times New Roman" w:hAnsi="Times New Roman" w:cs="Times New Roman"/>
            <w:noProof/>
          </w:rPr>
          <w:t>6</w:t>
        </w:r>
        <w:r w:rsidRPr="009A44EE">
          <w:rPr>
            <w:rFonts w:ascii="Times New Roman" w:hAnsi="Times New Roman" w:cs="Times New Roman"/>
            <w:noProof/>
          </w:rPr>
          <w:fldChar w:fldCharType="end"/>
        </w:r>
      </w:p>
    </w:sdtContent>
  </w:sdt>
  <w:p w14:paraId="32171423" w14:textId="77777777" w:rsidR="00656149" w:rsidRDefault="0065614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686626"/>
      <w:docPartObj>
        <w:docPartGallery w:val="Page Numbers (Bottom of Page)"/>
        <w:docPartUnique/>
      </w:docPartObj>
    </w:sdtPr>
    <w:sdtEndPr>
      <w:rPr>
        <w:rFonts w:ascii="Times New Roman" w:hAnsi="Times New Roman" w:cs="Times New Roman"/>
        <w:noProof/>
      </w:rPr>
    </w:sdtEndPr>
    <w:sdtContent>
      <w:p w14:paraId="000216C7" w14:textId="09D8C24C" w:rsidR="00CB2675" w:rsidRPr="00764E6C" w:rsidRDefault="00CB2675">
        <w:pPr>
          <w:pStyle w:val="Footer"/>
          <w:jc w:val="center"/>
          <w:rPr>
            <w:rFonts w:ascii="Times New Roman" w:hAnsi="Times New Roman" w:cs="Times New Roman"/>
          </w:rPr>
        </w:pPr>
        <w:r w:rsidRPr="00764E6C">
          <w:rPr>
            <w:rFonts w:ascii="Times New Roman" w:hAnsi="Times New Roman" w:cs="Times New Roman"/>
          </w:rPr>
          <w:fldChar w:fldCharType="begin"/>
        </w:r>
        <w:r w:rsidRPr="00764E6C">
          <w:rPr>
            <w:rFonts w:ascii="Times New Roman" w:hAnsi="Times New Roman" w:cs="Times New Roman"/>
          </w:rPr>
          <w:instrText xml:space="preserve"> PAGE   \* MERGEFORMAT </w:instrText>
        </w:r>
        <w:r w:rsidRPr="00764E6C">
          <w:rPr>
            <w:rFonts w:ascii="Times New Roman" w:hAnsi="Times New Roman" w:cs="Times New Roman"/>
          </w:rPr>
          <w:fldChar w:fldCharType="separate"/>
        </w:r>
        <w:r w:rsidR="00D01676">
          <w:rPr>
            <w:rFonts w:ascii="Times New Roman" w:hAnsi="Times New Roman" w:cs="Times New Roman"/>
            <w:noProof/>
          </w:rPr>
          <w:t>1</w:t>
        </w:r>
        <w:r w:rsidRPr="00764E6C">
          <w:rPr>
            <w:rFonts w:ascii="Times New Roman" w:hAnsi="Times New Roman" w:cs="Times New Roman"/>
            <w:noProof/>
          </w:rPr>
          <w:fldChar w:fldCharType="end"/>
        </w:r>
      </w:p>
    </w:sdtContent>
  </w:sdt>
  <w:p w14:paraId="5D6CEF75" w14:textId="77777777" w:rsidR="00656149" w:rsidRDefault="00656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73812" w14:textId="77777777" w:rsidR="00CF526D" w:rsidRDefault="00CF526D" w:rsidP="003E5080">
      <w:pPr>
        <w:spacing w:after="0" w:line="240" w:lineRule="auto"/>
      </w:pPr>
      <w:r>
        <w:separator/>
      </w:r>
    </w:p>
  </w:footnote>
  <w:footnote w:type="continuationSeparator" w:id="0">
    <w:p w14:paraId="3B7146C3" w14:textId="77777777" w:rsidR="00CF526D" w:rsidRDefault="00CF526D" w:rsidP="003E5080">
      <w:pPr>
        <w:spacing w:after="0" w:line="240" w:lineRule="auto"/>
      </w:pPr>
      <w:r>
        <w:continuationSeparator/>
      </w:r>
    </w:p>
  </w:footnote>
  <w:footnote w:type="continuationNotice" w:id="1">
    <w:p w14:paraId="40011624" w14:textId="77777777" w:rsidR="00CF526D" w:rsidRDefault="00CF526D">
      <w:pPr>
        <w:spacing w:after="0" w:line="240" w:lineRule="auto"/>
      </w:pPr>
    </w:p>
  </w:footnote>
  <w:footnote w:id="2">
    <w:p w14:paraId="75957F4E" w14:textId="5AA7DB73" w:rsidR="00C976FE" w:rsidRPr="00054215" w:rsidRDefault="00C976FE" w:rsidP="00C976FE">
      <w:pPr>
        <w:pStyle w:val="FootnoteText"/>
        <w:jc w:val="both"/>
        <w:rPr>
          <w:rFonts w:ascii="Times New Roman" w:hAnsi="Times New Roman" w:cs="Times New Roman"/>
        </w:rPr>
      </w:pPr>
      <w:r w:rsidRPr="00054215">
        <w:rPr>
          <w:rStyle w:val="FootnoteReference"/>
          <w:rFonts w:ascii="Times New Roman" w:hAnsi="Times New Roman" w:cs="Times New Roman"/>
        </w:rPr>
        <w:footnoteRef/>
      </w:r>
      <w:r w:rsidRPr="00054215">
        <w:rPr>
          <w:rFonts w:ascii="Times New Roman" w:hAnsi="Times New Roman" w:cs="Times New Roman"/>
        </w:rPr>
        <w:t xml:space="preserve"> UK-EU Summit 2025</w:t>
      </w:r>
      <w:r>
        <w:rPr>
          <w:rFonts w:ascii="Times New Roman" w:hAnsi="Times New Roman" w:cs="Times New Roman"/>
        </w:rPr>
        <w:t xml:space="preserve"> - </w:t>
      </w:r>
      <w:r w:rsidRPr="00054215">
        <w:rPr>
          <w:rFonts w:ascii="Times New Roman" w:hAnsi="Times New Roman" w:cs="Times New Roman"/>
        </w:rPr>
        <w:t xml:space="preserve">Joint Statement </w:t>
      </w:r>
      <w:hyperlink r:id="rId1" w:history="1">
        <w:r w:rsidRPr="00054215">
          <w:rPr>
            <w:rStyle w:val="Hyperlink"/>
            <w:rFonts w:ascii="Times New Roman" w:hAnsi="Times New Roman" w:cs="Times New Roman"/>
          </w:rPr>
          <w:t>https://www.consilium.europa.eu/media/1edla1hi/eu-uk_joint-statement.pdf</w:t>
        </w:r>
      </w:hyperlink>
      <w:r w:rsidR="00C45991" w:rsidRPr="004F21B5">
        <w:rPr>
          <w:rFonts w:ascii="Times New Roman" w:hAnsi="Times New Roman" w:cs="Times New Roman"/>
        </w:rPr>
        <w:t>.</w:t>
      </w:r>
    </w:p>
  </w:footnote>
  <w:footnote w:id="3">
    <w:p w14:paraId="26CF5AB0" w14:textId="749AAC1B" w:rsidR="00DF6F61" w:rsidRPr="00846AF8" w:rsidRDefault="00DF6F61">
      <w:pPr>
        <w:pStyle w:val="FootnoteText"/>
        <w:rPr>
          <w:rFonts w:ascii="Times New Roman" w:hAnsi="Times New Roman" w:cs="Times New Roman"/>
        </w:rPr>
      </w:pPr>
      <w:r w:rsidRPr="00DF6F61">
        <w:rPr>
          <w:rStyle w:val="FootnoteReference"/>
          <w:rFonts w:ascii="Times New Roman" w:hAnsi="Times New Roman" w:cs="Times New Roman"/>
        </w:rPr>
        <w:footnoteRef/>
      </w:r>
      <w:r w:rsidRPr="00DF6F61">
        <w:rPr>
          <w:rFonts w:ascii="Times New Roman" w:hAnsi="Times New Roman" w:cs="Times New Roman"/>
        </w:rPr>
        <w:t xml:space="preserve"> Agreement on the withdrawal of the United Kingdom of Great Britain and Northern Ireland from the European Union and the European Atomic Energy Community</w:t>
      </w:r>
      <w:r w:rsidR="00846AF8">
        <w:rPr>
          <w:rFonts w:ascii="Times New Roman" w:hAnsi="Times New Roman" w:cs="Times New Roman"/>
        </w:rPr>
        <w:t xml:space="preserve"> </w:t>
      </w:r>
      <w:r w:rsidRPr="00DF6F61">
        <w:rPr>
          <w:rFonts w:ascii="Times New Roman" w:hAnsi="Times New Roman" w:cs="Times New Roman"/>
        </w:rPr>
        <w:t xml:space="preserve">2019/C 384 I/01 </w:t>
      </w:r>
      <w:hyperlink r:id="rId2" w:history="1">
        <w:r w:rsidRPr="00846AF8">
          <w:rPr>
            <w:rStyle w:val="Hyperlink"/>
            <w:rFonts w:ascii="Times New Roman" w:hAnsi="Times New Roman" w:cs="Times New Roman"/>
          </w:rPr>
          <w:t>https://eur-lex.europa.eu/legal-content/EN/TXT/?uri=CELEX%3A12019W/TXT%2802%29</w:t>
        </w:r>
      </w:hyperlink>
      <w:r w:rsidR="00C45991" w:rsidRPr="004F21B5">
        <w:rPr>
          <w:rFonts w:ascii="Times New Roman" w:hAnsi="Times New Roman" w:cs="Times New Roman"/>
        </w:rPr>
        <w:t>.</w:t>
      </w:r>
    </w:p>
  </w:footnote>
  <w:footnote w:id="4">
    <w:p w14:paraId="58D490EB" w14:textId="77777777" w:rsidR="00846AF8" w:rsidRPr="00846AF8" w:rsidRDefault="00846AF8" w:rsidP="00846AF8">
      <w:pPr>
        <w:pStyle w:val="FootnoteText"/>
        <w:rPr>
          <w:rFonts w:ascii="Times New Roman" w:hAnsi="Times New Roman" w:cs="Times New Roman"/>
        </w:rPr>
      </w:pPr>
      <w:r w:rsidRPr="00846AF8">
        <w:rPr>
          <w:rStyle w:val="FootnoteReference"/>
          <w:rFonts w:ascii="Times New Roman" w:hAnsi="Times New Roman" w:cs="Times New Roman"/>
        </w:rPr>
        <w:footnoteRef/>
      </w:r>
      <w:r w:rsidRPr="00846AF8">
        <w:rPr>
          <w:rFonts w:ascii="Times New Roman" w:hAnsi="Times New Roman" w:cs="Times New Roman"/>
        </w:rPr>
        <w:t xml:space="preserve"> Windsor Political Declaration by the European Commission and the Government of the United Kingdom</w:t>
      </w:r>
    </w:p>
    <w:p w14:paraId="511EC776" w14:textId="6CC98623" w:rsidR="00846AF8" w:rsidRPr="00846AF8" w:rsidRDefault="00846AF8">
      <w:pPr>
        <w:pStyle w:val="FootnoteText"/>
        <w:rPr>
          <w:rFonts w:ascii="Times New Roman" w:hAnsi="Times New Roman" w:cs="Times New Roman"/>
        </w:rPr>
      </w:pPr>
      <w:r w:rsidRPr="00846AF8">
        <w:rPr>
          <w:rFonts w:ascii="Times New Roman" w:hAnsi="Times New Roman" w:cs="Times New Roman"/>
        </w:rPr>
        <w:t xml:space="preserve"> </w:t>
      </w:r>
      <w:hyperlink r:id="rId3" w:history="1">
        <w:r w:rsidRPr="00846AF8">
          <w:rPr>
            <w:rStyle w:val="Hyperlink"/>
            <w:rFonts w:ascii="Times New Roman" w:hAnsi="Times New Roman" w:cs="Times New Roman"/>
          </w:rPr>
          <w:t>https://commission.europa.eu/publications/windsor-political-declaration-european-commission-and-government-united-kingdom_en</w:t>
        </w:r>
      </w:hyperlink>
      <w:r w:rsidR="00C45991" w:rsidRPr="004F21B5">
        <w:rPr>
          <w:rFonts w:ascii="Times New Roman" w:hAnsi="Times New Roman" w:cs="Times New Roman"/>
        </w:rPr>
        <w:t>.</w:t>
      </w:r>
    </w:p>
  </w:footnote>
  <w:footnote w:id="5">
    <w:p w14:paraId="5B7F9EA1" w14:textId="0A2BD026" w:rsidR="00846AF8" w:rsidRPr="00846AF8" w:rsidRDefault="00846AF8">
      <w:pPr>
        <w:pStyle w:val="FootnoteText"/>
        <w:rPr>
          <w:rFonts w:ascii="Times New Roman" w:hAnsi="Times New Roman" w:cs="Times New Roman"/>
        </w:rPr>
      </w:pPr>
      <w:r w:rsidRPr="00846AF8">
        <w:rPr>
          <w:rStyle w:val="FootnoteReference"/>
          <w:rFonts w:ascii="Times New Roman" w:hAnsi="Times New Roman" w:cs="Times New Roman"/>
        </w:rPr>
        <w:footnoteRef/>
      </w:r>
      <w:r w:rsidRPr="00846AF8">
        <w:rPr>
          <w:rFonts w:ascii="Times New Roman" w:hAnsi="Times New Roman" w:cs="Times New Roman"/>
        </w:rPr>
        <w:t xml:space="preserve"> Trade and Cooperation Agreement between the European Union and the European Atomic Energy Community, of the one part, and the United Kingdom of Great Britain and Northern Ireland, of the other part </w:t>
      </w:r>
      <w:hyperlink r:id="rId4" w:history="1">
        <w:r w:rsidRPr="00846AF8">
          <w:rPr>
            <w:rStyle w:val="Hyperlink"/>
            <w:rFonts w:ascii="Times New Roman" w:hAnsi="Times New Roman" w:cs="Times New Roman"/>
          </w:rPr>
          <w:t>https://eur-lex.europa.eu/eli/agree_internation/2021/689(1)/oj/eng</w:t>
        </w:r>
      </w:hyperlink>
      <w:r w:rsidR="00C45991">
        <w:rPr>
          <w:rFonts w:ascii="Times New Roman" w:hAnsi="Times New Roman" w:cs="Times New Roman"/>
        </w:rPr>
        <w:t>.</w:t>
      </w:r>
    </w:p>
  </w:footnote>
  <w:footnote w:id="6">
    <w:p w14:paraId="54C2A237" w14:textId="77777777" w:rsidR="001017A9" w:rsidRPr="00F52880" w:rsidRDefault="001017A9" w:rsidP="001017A9">
      <w:pPr>
        <w:pStyle w:val="FootnoteText"/>
        <w:jc w:val="both"/>
        <w:rPr>
          <w:rFonts w:ascii="Times New Roman" w:hAnsi="Times New Roman" w:cs="Times New Roman"/>
        </w:rPr>
      </w:pPr>
      <w:r w:rsidRPr="00846AF8">
        <w:rPr>
          <w:rStyle w:val="FootnoteReference"/>
          <w:rFonts w:ascii="Times New Roman" w:hAnsi="Times New Roman" w:cs="Times New Roman"/>
        </w:rPr>
        <w:footnoteRef/>
      </w:r>
      <w:r w:rsidRPr="00846AF8">
        <w:rPr>
          <w:rFonts w:ascii="Times New Roman" w:hAnsi="Times New Roman" w:cs="Times New Roman"/>
        </w:rPr>
        <w:t xml:space="preserve">A </w:t>
      </w:r>
      <w:r w:rsidRPr="00F52880">
        <w:rPr>
          <w:rFonts w:ascii="Times New Roman" w:hAnsi="Times New Roman" w:cs="Times New Roman"/>
        </w:rPr>
        <w:t>renewed agenda for European Union – United Kingdom cooperation Common Understanding</w:t>
      </w:r>
    </w:p>
    <w:p w14:paraId="49D5FB56" w14:textId="4DDCF6C7" w:rsidR="001017A9" w:rsidRPr="00F52880" w:rsidRDefault="001017A9" w:rsidP="001017A9">
      <w:pPr>
        <w:pStyle w:val="FootnoteText"/>
        <w:jc w:val="both"/>
        <w:rPr>
          <w:rFonts w:ascii="Times New Roman" w:hAnsi="Times New Roman" w:cs="Times New Roman"/>
        </w:rPr>
      </w:pPr>
      <w:r w:rsidRPr="00F52880">
        <w:rPr>
          <w:rFonts w:ascii="Times New Roman" w:hAnsi="Times New Roman" w:cs="Times New Roman"/>
        </w:rPr>
        <w:t xml:space="preserve"> </w:t>
      </w:r>
      <w:hyperlink r:id="rId5" w:history="1">
        <w:r w:rsidRPr="00F52880">
          <w:rPr>
            <w:rStyle w:val="Hyperlink"/>
            <w:rFonts w:ascii="Times New Roman" w:hAnsi="Times New Roman" w:cs="Times New Roman"/>
          </w:rPr>
          <w:t>https://ec.europa.eu/commission/presscorner/detail/en/statement_25_1267</w:t>
        </w:r>
      </w:hyperlink>
      <w:r w:rsidR="00C45991">
        <w:rPr>
          <w:rFonts w:ascii="Times New Roman" w:hAnsi="Times New Roman" w:cs="Times New Roman"/>
        </w:rPr>
        <w:t>.</w:t>
      </w:r>
    </w:p>
  </w:footnote>
  <w:footnote w:id="7">
    <w:p w14:paraId="63124ED5" w14:textId="30F41A3E" w:rsidR="00FA7FF2" w:rsidRPr="00FD3F1B" w:rsidRDefault="00FA7FF2" w:rsidP="00FA7FF2">
      <w:pPr>
        <w:pStyle w:val="FootnoteText"/>
      </w:pPr>
      <w:r w:rsidRPr="00F52880">
        <w:rPr>
          <w:rStyle w:val="FootnoteReference"/>
          <w:rFonts w:ascii="Times New Roman" w:hAnsi="Times New Roman" w:cs="Times New Roman"/>
        </w:rPr>
        <w:footnoteRef/>
      </w:r>
      <w:r w:rsidRPr="00F52880">
        <w:rPr>
          <w:rFonts w:ascii="Times New Roman" w:hAnsi="Times New Roman" w:cs="Times New Roman"/>
        </w:rPr>
        <w:t xml:space="preserve"> </w:t>
      </w:r>
      <w:hyperlink r:id="rId6" w:history="1">
        <w:r w:rsidRPr="00F52880">
          <w:rPr>
            <w:rStyle w:val="Hyperlink"/>
            <w:rFonts w:ascii="Times New Roman" w:hAnsi="Times New Roman" w:cs="Times New Roman"/>
          </w:rPr>
          <w:t>https://ec.europa.eu/commission/presscorner/detail/en/statement_25_3103</w:t>
        </w:r>
      </w:hyperlink>
      <w:r w:rsidR="00C45991">
        <w:rPr>
          <w:rFonts w:ascii="Times New Roman" w:hAnsi="Times New Roman" w:cs="Times New Roman"/>
        </w:rPr>
        <w:t>.</w:t>
      </w:r>
    </w:p>
  </w:footnote>
  <w:footnote w:id="8">
    <w:p w14:paraId="4988E30B" w14:textId="77777777" w:rsidR="00E31ED7" w:rsidRPr="004F21B5" w:rsidRDefault="00E31ED7" w:rsidP="004F21B5">
      <w:pPr>
        <w:pStyle w:val="FootnoteText"/>
        <w:spacing w:after="120"/>
        <w:jc w:val="both"/>
        <w:rPr>
          <w:rFonts w:ascii="Times New Roman" w:hAnsi="Times New Roman" w:cs="Times New Roman"/>
        </w:rPr>
      </w:pPr>
      <w:r w:rsidRPr="004F21B5">
        <w:rPr>
          <w:rStyle w:val="FootnoteReference"/>
          <w:rFonts w:ascii="Times New Roman" w:hAnsi="Times New Roman" w:cs="Times New Roman"/>
        </w:rPr>
        <w:footnoteRef/>
      </w:r>
      <w:r w:rsidRPr="004F21B5">
        <w:rPr>
          <w:rFonts w:ascii="Times New Roman" w:hAnsi="Times New Roman" w:cs="Times New Roman"/>
        </w:rPr>
        <w:t xml:space="preserve"> Council Decision (EU) 2021/689 of 29 April 2021 on the conclusion, on behalf of the Union, of the Trade and Cooperation Agreement between the European Union and the European Atomic Energy Community, of the one part, and the United Kingdom of Great Britain and Northern Ireland, of the other part, and of the Agreement between the European Union and the United Kingdom of Great Britain and Northern Ireland concerning security procedures for exchanging and protecting classified information, OJ L149, 30.4.2021, p.2: </w:t>
      </w:r>
      <w:r w:rsidRPr="004F21B5">
        <w:rPr>
          <w:rFonts w:ascii="Times New Roman" w:hAnsi="Times New Roman" w:cs="Times New Roman"/>
          <w:color w:val="0563C1" w:themeColor="hyperlink"/>
          <w:u w:val="single"/>
        </w:rPr>
        <w:t xml:space="preserve">ELI: </w:t>
      </w:r>
      <w:hyperlink r:id="rId7" w:history="1">
        <w:r w:rsidRPr="004F21B5">
          <w:rPr>
            <w:rStyle w:val="Hyperlink"/>
            <w:rFonts w:ascii="Times New Roman" w:hAnsi="Times New Roman" w:cs="Times New Roman"/>
          </w:rPr>
          <w:t>http://data.europa.eu/eli/dec/2021/689/oj</w:t>
        </w:r>
      </w:hyperlink>
      <w:r w:rsidRPr="004F21B5">
        <w:rPr>
          <w:rFonts w:ascii="Times New Roman" w:hAnsi="Times New Roman" w:cs="Times New Roman"/>
        </w:rPr>
        <w:t>.</w:t>
      </w:r>
    </w:p>
  </w:footnote>
  <w:footnote w:id="9">
    <w:p w14:paraId="3F9ED5BF" w14:textId="143DC43E" w:rsidR="001B6AD6" w:rsidRPr="00095FFB" w:rsidRDefault="001B6AD6" w:rsidP="001B6AD6">
      <w:pPr>
        <w:pStyle w:val="FootnoteText"/>
      </w:pPr>
      <w:r w:rsidRPr="00C95D06">
        <w:rPr>
          <w:rStyle w:val="FootnoteReference"/>
          <w:rFonts w:ascii="Times New Roman" w:hAnsi="Times New Roman" w:cs="Times New Roman"/>
        </w:rPr>
        <w:footnoteRef/>
      </w:r>
      <w:r w:rsidRPr="00C95D06">
        <w:rPr>
          <w:rFonts w:ascii="Times New Roman" w:hAnsi="Times New Roman" w:cs="Times New Roman"/>
        </w:rPr>
        <w:t xml:space="preserve"> Working Group</w:t>
      </w:r>
      <w:r>
        <w:rPr>
          <w:rFonts w:ascii="Times New Roman" w:hAnsi="Times New Roman" w:cs="Times New Roman"/>
        </w:rPr>
        <w:t>s</w:t>
      </w:r>
      <w:r w:rsidRPr="00C95D06">
        <w:rPr>
          <w:rFonts w:ascii="Times New Roman" w:hAnsi="Times New Roman" w:cs="Times New Roman"/>
        </w:rPr>
        <w:t xml:space="preserve"> on</w:t>
      </w:r>
      <w:r>
        <w:rPr>
          <w:rFonts w:ascii="Times New Roman" w:hAnsi="Times New Roman" w:cs="Times New Roman"/>
        </w:rPr>
        <w:t xml:space="preserve">: </w:t>
      </w:r>
      <w:r w:rsidRPr="00C95D06">
        <w:rPr>
          <w:rFonts w:ascii="Times New Roman" w:hAnsi="Times New Roman" w:cs="Times New Roman"/>
        </w:rPr>
        <w:t xml:space="preserve">Organic Products, Motor Vehicles and Parts, </w:t>
      </w:r>
      <w:r>
        <w:rPr>
          <w:rFonts w:ascii="Times New Roman" w:hAnsi="Times New Roman" w:cs="Times New Roman"/>
        </w:rPr>
        <w:t>M</w:t>
      </w:r>
      <w:r w:rsidRPr="00C95D06">
        <w:rPr>
          <w:rFonts w:ascii="Times New Roman" w:hAnsi="Times New Roman" w:cs="Times New Roman"/>
        </w:rPr>
        <w:t>edicinal Products</w:t>
      </w:r>
      <w:r>
        <w:rPr>
          <w:rFonts w:ascii="Times New Roman" w:hAnsi="Times New Roman" w:cs="Times New Roman"/>
        </w:rPr>
        <w:t xml:space="preserve"> and </w:t>
      </w:r>
      <w:r w:rsidRPr="00C95D06">
        <w:rPr>
          <w:rFonts w:ascii="Times New Roman" w:hAnsi="Times New Roman" w:cs="Times New Roman"/>
        </w:rPr>
        <w:t xml:space="preserve">Social Security </w:t>
      </w:r>
      <w:r w:rsidRPr="00095FFB">
        <w:rPr>
          <w:rFonts w:ascii="Times New Roman" w:hAnsi="Times New Roman" w:cs="Times New Roman"/>
        </w:rPr>
        <w:t>Coordination</w:t>
      </w:r>
      <w:r w:rsidR="00C45991">
        <w:rPr>
          <w:rFonts w:ascii="Times New Roman" w:hAnsi="Times New Roman" w:cs="Times New Roman"/>
        </w:rPr>
        <w:t>.</w:t>
      </w:r>
    </w:p>
  </w:footnote>
  <w:footnote w:id="10">
    <w:p w14:paraId="4591E44A" w14:textId="433CF58B" w:rsidR="00095FFB" w:rsidRPr="00095FFB" w:rsidRDefault="003D6027" w:rsidP="00095FFB">
      <w:pPr>
        <w:pStyle w:val="FootnoteText"/>
        <w:rPr>
          <w:rFonts w:ascii="Times New Roman" w:hAnsi="Times New Roman" w:cs="Times New Roman"/>
        </w:rPr>
      </w:pPr>
      <w:r w:rsidRPr="00095FFB">
        <w:rPr>
          <w:rStyle w:val="FootnoteReference"/>
          <w:rFonts w:ascii="Times New Roman" w:hAnsi="Times New Roman" w:cs="Times New Roman"/>
        </w:rPr>
        <w:footnoteRef/>
      </w:r>
      <w:r w:rsidRPr="00095FFB">
        <w:rPr>
          <w:rFonts w:ascii="Times New Roman" w:hAnsi="Times New Roman" w:cs="Times New Roman"/>
        </w:rPr>
        <w:t xml:space="preserve"> </w:t>
      </w:r>
      <w:r w:rsidR="00230E9C">
        <w:rPr>
          <w:rFonts w:ascii="Times New Roman" w:hAnsi="Times New Roman" w:cs="Times New Roman"/>
        </w:rPr>
        <w:t>Fif</w:t>
      </w:r>
      <w:r w:rsidR="00095FFB" w:rsidRPr="00095FFB">
        <w:rPr>
          <w:rFonts w:ascii="Times New Roman" w:hAnsi="Times New Roman" w:cs="Times New Roman"/>
        </w:rPr>
        <w:t>th EU-UK Parliamentary Partnership Assembly, 17-18 March 2025, Brussels</w:t>
      </w:r>
      <w:r w:rsidR="00C45991">
        <w:rPr>
          <w:rFonts w:ascii="Times New Roman" w:hAnsi="Times New Roman" w:cs="Times New Roman"/>
        </w:rPr>
        <w:t>.</w:t>
      </w:r>
    </w:p>
    <w:p w14:paraId="1F1CC57F" w14:textId="14A4AA2B" w:rsidR="003D6027" w:rsidRPr="00270FCE" w:rsidRDefault="00D01676" w:rsidP="004F21B5">
      <w:pPr>
        <w:pStyle w:val="FootnoteText"/>
        <w:rPr>
          <w:rFonts w:ascii="Times New Roman" w:hAnsi="Times New Roman" w:cs="Times New Roman"/>
        </w:rPr>
      </w:pPr>
      <w:hyperlink r:id="rId8" w:history="1">
        <w:r w:rsidR="003D6027" w:rsidRPr="00270FCE">
          <w:rPr>
            <w:rStyle w:val="Hyperlink"/>
            <w:rFonts w:ascii="Times New Roman" w:hAnsi="Times New Roman" w:cs="Times New Roman"/>
          </w:rPr>
          <w:t>https://www.europarl.europa.eu/delegations/en/5th-eu-uk-parliamentary-partnership-asse/product-details/20250224DPU39839</w:t>
        </w:r>
      </w:hyperlink>
      <w:r w:rsidR="00C45991">
        <w:rPr>
          <w:rFonts w:ascii="Times New Roman" w:hAnsi="Times New Roman" w:cs="Times New Roman"/>
        </w:rPr>
        <w:t>.</w:t>
      </w:r>
    </w:p>
  </w:footnote>
  <w:footnote w:id="11">
    <w:p w14:paraId="50C6C1DB" w14:textId="0C20F0D7" w:rsidR="00A60811" w:rsidRPr="00270FCE" w:rsidRDefault="00A60811">
      <w:pPr>
        <w:pStyle w:val="FootnoteText"/>
      </w:pPr>
      <w:r w:rsidRPr="00270FCE">
        <w:rPr>
          <w:rStyle w:val="FootnoteReference"/>
          <w:rFonts w:ascii="Times New Roman" w:hAnsi="Times New Roman" w:cs="Times New Roman"/>
        </w:rPr>
        <w:footnoteRef/>
      </w:r>
      <w:r w:rsidRPr="00270FCE">
        <w:rPr>
          <w:rFonts w:ascii="Times New Roman" w:hAnsi="Times New Roman" w:cs="Times New Roman"/>
        </w:rPr>
        <w:t xml:space="preserve"> </w:t>
      </w:r>
      <w:hyperlink r:id="rId9" w:history="1">
        <w:r w:rsidR="00270FCE" w:rsidRPr="00270FCE">
          <w:rPr>
            <w:rStyle w:val="Hyperlink"/>
            <w:rFonts w:ascii="Times New Roman" w:hAnsi="Times New Roman" w:cs="Times New Roman"/>
          </w:rPr>
          <w:t>https://www.europarl.europa.eu/delegations/en/d-uk/activities/inter-parliamentary</w:t>
        </w:r>
      </w:hyperlink>
      <w:r w:rsidR="00C45991">
        <w:t>.</w:t>
      </w:r>
    </w:p>
  </w:footnote>
  <w:footnote w:id="12">
    <w:p w14:paraId="7E3C3949" w14:textId="66C42AF1" w:rsidR="00A60811" w:rsidRPr="00270FCE" w:rsidRDefault="00A60811" w:rsidP="00A60811">
      <w:pPr>
        <w:pStyle w:val="FootnoteText"/>
        <w:rPr>
          <w:rFonts w:ascii="Times New Roman" w:hAnsi="Times New Roman" w:cs="Times New Roman"/>
        </w:rPr>
      </w:pPr>
      <w:r w:rsidRPr="00270FCE">
        <w:rPr>
          <w:rStyle w:val="FootnoteReference"/>
          <w:rFonts w:ascii="Times New Roman" w:hAnsi="Times New Roman" w:cs="Times New Roman"/>
        </w:rPr>
        <w:footnoteRef/>
      </w:r>
      <w:r w:rsidRPr="00270FCE">
        <w:rPr>
          <w:rFonts w:ascii="Times New Roman" w:hAnsi="Times New Roman" w:cs="Times New Roman"/>
        </w:rPr>
        <w:t xml:space="preserve"> Recommendation on strengthening the EU-UK partnership</w:t>
      </w:r>
      <w:r w:rsidR="00C45991">
        <w:rPr>
          <w:rFonts w:ascii="Times New Roman" w:hAnsi="Times New Roman" w:cs="Times New Roman"/>
        </w:rPr>
        <w:t>.</w:t>
      </w:r>
      <w:r w:rsidRPr="00270FCE">
        <w:rPr>
          <w:rFonts w:ascii="Times New Roman" w:hAnsi="Times New Roman" w:cs="Times New Roman"/>
        </w:rPr>
        <w:t xml:space="preserve"> </w:t>
      </w:r>
      <w:hyperlink r:id="rId10" w:history="1">
        <w:r w:rsidRPr="00270FCE">
          <w:rPr>
            <w:rStyle w:val="Hyperlink"/>
            <w:rFonts w:ascii="Times New Roman" w:hAnsi="Times New Roman" w:cs="Times New Roman"/>
          </w:rPr>
          <w:t>https://www.europarl.europa.eu/cmsdata/293904/5th%20PPA%20Recommendation%2017.03.25.pdf</w:t>
        </w:r>
      </w:hyperlink>
      <w:r w:rsidR="00C45991">
        <w:rPr>
          <w:rFonts w:ascii="Times New Roman" w:hAnsi="Times New Roman" w:cs="Times New Roman"/>
        </w:rPr>
        <w:t>.</w:t>
      </w:r>
    </w:p>
  </w:footnote>
  <w:footnote w:id="13">
    <w:p w14:paraId="17A8A0B6" w14:textId="0EB03A4B" w:rsidR="00A60811" w:rsidRPr="00270FCE" w:rsidRDefault="00A60811">
      <w:pPr>
        <w:pStyle w:val="FootnoteText"/>
        <w:rPr>
          <w:rFonts w:ascii="Times New Roman" w:hAnsi="Times New Roman" w:cs="Times New Roman"/>
        </w:rPr>
      </w:pPr>
      <w:r w:rsidRPr="00270FCE">
        <w:rPr>
          <w:rStyle w:val="FootnoteReference"/>
          <w:rFonts w:ascii="Times New Roman" w:hAnsi="Times New Roman" w:cs="Times New Roman"/>
        </w:rPr>
        <w:footnoteRef/>
      </w:r>
      <w:r w:rsidRPr="00270FCE">
        <w:rPr>
          <w:rFonts w:ascii="Times New Roman" w:hAnsi="Times New Roman" w:cs="Times New Roman"/>
        </w:rPr>
        <w:t xml:space="preserve"> </w:t>
      </w:r>
      <w:hyperlink r:id="rId11" w:history="1">
        <w:r w:rsidR="00270FCE" w:rsidRPr="00270FCE">
          <w:rPr>
            <w:rStyle w:val="Hyperlink"/>
            <w:rFonts w:ascii="Times New Roman" w:hAnsi="Times New Roman" w:cs="Times New Roman"/>
          </w:rPr>
          <w:t>https://www.europarl.europa.eu/cmsdata/300310/6th%20PPA%20-%20Recommendation%20on%20trade,%20security%20and%20global%20challenges.pdf</w:t>
        </w:r>
      </w:hyperlink>
      <w:r w:rsidR="00C45991">
        <w:rPr>
          <w:rFonts w:ascii="Times New Roman" w:hAnsi="Times New Roman" w:cs="Times New Roman"/>
        </w:rPr>
        <w:t>.</w:t>
      </w:r>
    </w:p>
  </w:footnote>
  <w:footnote w:id="14">
    <w:p w14:paraId="6BFDC906" w14:textId="19B90173" w:rsidR="00095FFB" w:rsidRPr="00270FCE" w:rsidRDefault="00865BFD" w:rsidP="00095FFB">
      <w:pPr>
        <w:pStyle w:val="FootnoteText"/>
        <w:rPr>
          <w:rFonts w:ascii="Times New Roman" w:hAnsi="Times New Roman" w:cs="Times New Roman"/>
          <w:b/>
          <w:bCs/>
        </w:rPr>
      </w:pPr>
      <w:r w:rsidRPr="00270FCE">
        <w:rPr>
          <w:rStyle w:val="FootnoteReference"/>
          <w:rFonts w:ascii="Times New Roman" w:hAnsi="Times New Roman" w:cs="Times New Roman"/>
        </w:rPr>
        <w:footnoteRef/>
      </w:r>
      <w:r w:rsidRPr="00270FCE">
        <w:rPr>
          <w:rFonts w:ascii="Times New Roman" w:hAnsi="Times New Roman" w:cs="Times New Roman"/>
        </w:rPr>
        <w:t xml:space="preserve"> </w:t>
      </w:r>
      <w:r w:rsidR="00095FFB" w:rsidRPr="00270FCE">
        <w:rPr>
          <w:rFonts w:ascii="Times New Roman" w:hAnsi="Times New Roman" w:cs="Times New Roman"/>
        </w:rPr>
        <w:t>The EU Domestic Advisory Group under the EU-UK TCA</w:t>
      </w:r>
    </w:p>
    <w:p w14:paraId="12087600" w14:textId="1784F6E3" w:rsidR="00865BFD" w:rsidRPr="004F21B5" w:rsidRDefault="00D01676" w:rsidP="004F21B5">
      <w:pPr>
        <w:pStyle w:val="FootnoteText"/>
        <w:rPr>
          <w:rFonts w:ascii="Times New Roman" w:hAnsi="Times New Roman" w:cs="Times New Roman"/>
        </w:rPr>
      </w:pPr>
      <w:hyperlink r:id="rId12" w:history="1">
        <w:r w:rsidR="00865BFD" w:rsidRPr="004F21B5">
          <w:rPr>
            <w:rStyle w:val="Hyperlink"/>
            <w:rFonts w:ascii="Times New Roman" w:hAnsi="Times New Roman" w:cs="Times New Roman"/>
          </w:rPr>
          <w:t>https://www.eesc.europa.eu/en/sections-other-bodies/other/eu-domestic-advisory-group-under-eu-uk-tca</w:t>
        </w:r>
      </w:hyperlink>
      <w:r w:rsidR="00C45991">
        <w:rPr>
          <w:rFonts w:ascii="Times New Roman" w:hAnsi="Times New Roman" w:cs="Times New Roman"/>
        </w:rPr>
        <w:t>.</w:t>
      </w:r>
    </w:p>
  </w:footnote>
  <w:footnote w:id="15">
    <w:p w14:paraId="54D2A8F8" w14:textId="6300284C" w:rsidR="00D72AC6" w:rsidRPr="004F21B5" w:rsidRDefault="00D72AC6" w:rsidP="004F21B5">
      <w:pPr>
        <w:pStyle w:val="FootnoteText"/>
        <w:rPr>
          <w:rFonts w:ascii="Times New Roman" w:hAnsi="Times New Roman" w:cs="Times New Roman"/>
        </w:rPr>
      </w:pPr>
      <w:r w:rsidRPr="004F21B5">
        <w:rPr>
          <w:rStyle w:val="FootnoteReference"/>
          <w:rFonts w:ascii="Times New Roman" w:hAnsi="Times New Roman" w:cs="Times New Roman"/>
        </w:rPr>
        <w:footnoteRef/>
      </w:r>
      <w:r w:rsidRPr="004F21B5">
        <w:rPr>
          <w:rFonts w:ascii="Times New Roman" w:hAnsi="Times New Roman" w:cs="Times New Roman"/>
        </w:rPr>
        <w:t xml:space="preserve"> </w:t>
      </w:r>
      <w:r w:rsidR="00095FFB" w:rsidRPr="00095FFB">
        <w:rPr>
          <w:rFonts w:ascii="Times New Roman" w:hAnsi="Times New Roman" w:cs="Times New Roman"/>
        </w:rPr>
        <w:t>Joint Statement</w:t>
      </w:r>
      <w:r w:rsidR="00095FFB">
        <w:rPr>
          <w:rFonts w:ascii="Times New Roman" w:hAnsi="Times New Roman" w:cs="Times New Roman"/>
        </w:rPr>
        <w:t xml:space="preserve"> </w:t>
      </w:r>
      <w:hyperlink r:id="rId13" w:history="1">
        <w:r w:rsidR="00095FFB" w:rsidRPr="00644C6C">
          <w:rPr>
            <w:rStyle w:val="Hyperlink"/>
            <w:rFonts w:ascii="Times New Roman" w:hAnsi="Times New Roman" w:cs="Times New Roman"/>
          </w:rPr>
          <w:t>https://www.eesc.europa.eu/sites/default/files/2025-06/eu-uk_dags_joint_statement_2025.pdf</w:t>
        </w:r>
      </w:hyperlink>
      <w:r w:rsidR="00025795">
        <w:rPr>
          <w:rFonts w:ascii="Times New Roman" w:hAnsi="Times New Roman" w:cs="Times New Roman"/>
        </w:rPr>
        <w:t>.</w:t>
      </w:r>
    </w:p>
  </w:footnote>
  <w:footnote w:id="16">
    <w:p w14:paraId="25C08730" w14:textId="5FFDB2FC" w:rsidR="00D72AC6" w:rsidRPr="007359FB" w:rsidRDefault="00D72AC6" w:rsidP="004F21B5">
      <w:pPr>
        <w:pStyle w:val="FootnoteText"/>
        <w:rPr>
          <w:rFonts w:ascii="Times New Roman" w:hAnsi="Times New Roman" w:cs="Times New Roman"/>
        </w:rPr>
      </w:pPr>
      <w:r w:rsidRPr="004F21B5">
        <w:rPr>
          <w:rStyle w:val="FootnoteReference"/>
          <w:rFonts w:ascii="Times New Roman" w:hAnsi="Times New Roman" w:cs="Times New Roman"/>
        </w:rPr>
        <w:footnoteRef/>
      </w:r>
      <w:r w:rsidR="00267671" w:rsidRPr="00267671">
        <w:rPr>
          <w:rFonts w:ascii="Times New Roman" w:hAnsi="Times New Roman" w:cs="Times New Roman"/>
        </w:rPr>
        <w:t xml:space="preserve"> Fourth EU – UK </w:t>
      </w:r>
      <w:r w:rsidR="00267671">
        <w:rPr>
          <w:rFonts w:ascii="Times New Roman" w:hAnsi="Times New Roman" w:cs="Times New Roman"/>
        </w:rPr>
        <w:t xml:space="preserve">Trade and Cooperation Agreement </w:t>
      </w:r>
      <w:r w:rsidR="00267671" w:rsidRPr="00267671">
        <w:rPr>
          <w:rFonts w:ascii="Times New Roman" w:hAnsi="Times New Roman" w:cs="Times New Roman"/>
        </w:rPr>
        <w:t>Civil</w:t>
      </w:r>
      <w:r w:rsidR="00267671">
        <w:rPr>
          <w:rFonts w:ascii="Times New Roman" w:hAnsi="Times New Roman" w:cs="Times New Roman"/>
        </w:rPr>
        <w:t xml:space="preserve"> Society Forum</w:t>
      </w:r>
      <w:r w:rsidR="00F97D5F">
        <w:rPr>
          <w:rFonts w:ascii="Times New Roman" w:hAnsi="Times New Roman" w:cs="Times New Roman"/>
        </w:rPr>
        <w:t xml:space="preserve"> </w:t>
      </w:r>
      <w:hyperlink r:id="rId14" w:history="1">
        <w:r w:rsidRPr="007359FB">
          <w:rPr>
            <w:rStyle w:val="Hyperlink"/>
            <w:rFonts w:ascii="Times New Roman" w:hAnsi="Times New Roman" w:cs="Times New Roman"/>
          </w:rPr>
          <w:t>https://policy.trade.ec.europa.eu/events/fourth-eu-uk-trade-and-cooperation-agreement-civil-society-forum-2025-06-24_en</w:t>
        </w:r>
      </w:hyperlink>
      <w:r w:rsidR="00EC2ECF">
        <w:rPr>
          <w:rFonts w:ascii="Times New Roman" w:hAnsi="Times New Roman" w:cs="Times New Roman"/>
        </w:rPr>
        <w:t>.</w:t>
      </w:r>
    </w:p>
  </w:footnote>
  <w:footnote w:id="17">
    <w:p w14:paraId="515663C2" w14:textId="77777777" w:rsidR="007971BC" w:rsidRPr="007971BC" w:rsidRDefault="007971BC" w:rsidP="007971BC">
      <w:pPr>
        <w:pStyle w:val="FootnoteText"/>
        <w:rPr>
          <w:rFonts w:ascii="Times New Roman" w:hAnsi="Times New Roman" w:cs="Times New Roman"/>
        </w:rPr>
      </w:pPr>
      <w:r w:rsidRPr="007971BC">
        <w:rPr>
          <w:rStyle w:val="FootnoteReference"/>
          <w:rFonts w:ascii="Times New Roman" w:hAnsi="Times New Roman" w:cs="Times New Roman"/>
        </w:rPr>
        <w:footnoteRef/>
      </w:r>
      <w:r w:rsidRPr="007971BC">
        <w:rPr>
          <w:rFonts w:ascii="Times New Roman" w:hAnsi="Times New Roman" w:cs="Times New Roman"/>
        </w:rPr>
        <w:t xml:space="preserve"> Fourth meeting of the Partnership Council</w:t>
      </w:r>
    </w:p>
    <w:p w14:paraId="7A3DDA9F" w14:textId="77777777" w:rsidR="007971BC" w:rsidRPr="007971BC" w:rsidRDefault="00D01676" w:rsidP="007971BC">
      <w:pPr>
        <w:pStyle w:val="FootnoteText"/>
        <w:rPr>
          <w:rFonts w:ascii="Times New Roman" w:hAnsi="Times New Roman" w:cs="Times New Roman"/>
          <w:lang w:val="en-IE"/>
        </w:rPr>
      </w:pPr>
      <w:hyperlink r:id="rId15" w:history="1">
        <w:r w:rsidR="007971BC" w:rsidRPr="007971BC">
          <w:rPr>
            <w:rStyle w:val="Hyperlink"/>
            <w:rFonts w:ascii="Times New Roman" w:hAnsi="Times New Roman" w:cs="Times New Roman"/>
          </w:rPr>
          <w:t>Fourth meeting of the Partnership Council - European Commission</w:t>
        </w:r>
      </w:hyperlink>
    </w:p>
  </w:footnote>
  <w:footnote w:id="18">
    <w:p w14:paraId="616FD0A9" w14:textId="77777777" w:rsidR="007359FB" w:rsidRPr="007359FB" w:rsidRDefault="00862667" w:rsidP="007359FB">
      <w:pPr>
        <w:pStyle w:val="FootnoteText"/>
        <w:jc w:val="both"/>
        <w:rPr>
          <w:rFonts w:ascii="Times New Roman" w:hAnsi="Times New Roman" w:cs="Times New Roman"/>
        </w:rPr>
      </w:pPr>
      <w:r w:rsidRPr="007359FB">
        <w:rPr>
          <w:rStyle w:val="FootnoteReference"/>
          <w:rFonts w:ascii="Times New Roman" w:hAnsi="Times New Roman" w:cs="Times New Roman"/>
        </w:rPr>
        <w:footnoteRef/>
      </w:r>
      <w:r w:rsidRPr="007359FB">
        <w:rPr>
          <w:rFonts w:ascii="Times New Roman" w:hAnsi="Times New Roman" w:cs="Times New Roman"/>
        </w:rPr>
        <w:t xml:space="preserve"> </w:t>
      </w:r>
      <w:r w:rsidR="007359FB" w:rsidRPr="007359FB">
        <w:rPr>
          <w:rFonts w:ascii="Times New Roman" w:hAnsi="Times New Roman" w:cs="Times New Roman"/>
        </w:rPr>
        <w:t>EU-UK Trade and Cooperation Agreement - complaint form</w:t>
      </w:r>
    </w:p>
    <w:p w14:paraId="728CFCDE" w14:textId="37739E16" w:rsidR="007359FB" w:rsidRPr="007359FB" w:rsidRDefault="00D01676" w:rsidP="007359FB">
      <w:pPr>
        <w:pStyle w:val="FootnoteText"/>
        <w:jc w:val="both"/>
        <w:rPr>
          <w:rFonts w:ascii="Times New Roman" w:hAnsi="Times New Roman" w:cs="Times New Roman"/>
        </w:rPr>
      </w:pPr>
      <w:hyperlink r:id="rId16" w:history="1">
        <w:r w:rsidR="00862667" w:rsidRPr="007359FB">
          <w:rPr>
            <w:rStyle w:val="Hyperlink"/>
            <w:rFonts w:ascii="Times New Roman" w:hAnsi="Times New Roman" w:cs="Times New Roman"/>
          </w:rPr>
          <w:t>https://ec.europa.eu/assets/sg/complaint_eu_uk_tca/complaints_en/</w:t>
        </w:r>
      </w:hyperlink>
      <w:r w:rsidR="00862667" w:rsidRPr="007359FB">
        <w:rPr>
          <w:rFonts w:ascii="Times New Roman" w:hAnsi="Times New Roman" w:cs="Times New Roman"/>
        </w:rPr>
        <w:t xml:space="preserve"> and </w:t>
      </w:r>
      <w:r w:rsidR="007359FB" w:rsidRPr="007359FB">
        <w:rPr>
          <w:rFonts w:ascii="Times New Roman" w:hAnsi="Times New Roman" w:cs="Times New Roman"/>
        </w:rPr>
        <w:t>Single</w:t>
      </w:r>
      <w:r w:rsidR="007359FB">
        <w:rPr>
          <w:rFonts w:ascii="Times New Roman" w:hAnsi="Times New Roman" w:cs="Times New Roman"/>
        </w:rPr>
        <w:t>-</w:t>
      </w:r>
      <w:r w:rsidR="007359FB" w:rsidRPr="007359FB">
        <w:rPr>
          <w:rFonts w:ascii="Times New Roman" w:hAnsi="Times New Roman" w:cs="Times New Roman"/>
        </w:rPr>
        <w:t>Entry Point</w:t>
      </w:r>
    </w:p>
    <w:p w14:paraId="24596BD5" w14:textId="5B389C2D" w:rsidR="00862667" w:rsidRPr="006A1351" w:rsidRDefault="007359FB" w:rsidP="004F21B5">
      <w:pPr>
        <w:pStyle w:val="FootnoteText"/>
        <w:jc w:val="both"/>
        <w:rPr>
          <w:rFonts w:ascii="Times New Roman" w:hAnsi="Times New Roman" w:cs="Times New Roman"/>
        </w:rPr>
      </w:pPr>
      <w:r>
        <w:t xml:space="preserve"> </w:t>
      </w:r>
      <w:hyperlink r:id="rId17" w:history="1">
        <w:r w:rsidRPr="00644C6C">
          <w:rPr>
            <w:rStyle w:val="Hyperlink"/>
            <w:rFonts w:ascii="Times New Roman" w:hAnsi="Times New Roman" w:cs="Times New Roman"/>
          </w:rPr>
          <w:t>https://trade.ec.europa.eu/access-to-markets/en/content/single-entry-point-0</w:t>
        </w:r>
      </w:hyperlink>
      <w:r w:rsidR="00CB2FA3" w:rsidRPr="006A1351">
        <w:rPr>
          <w:rFonts w:ascii="Times New Roman" w:hAnsi="Times New Roman" w:cs="Times New Roman"/>
        </w:rPr>
        <w:t>.</w:t>
      </w:r>
    </w:p>
  </w:footnote>
  <w:footnote w:id="19">
    <w:p w14:paraId="76B76CE4" w14:textId="1F5FD2BE" w:rsidR="00BA4E5E" w:rsidRPr="00DE0E87" w:rsidRDefault="00BA4E5E" w:rsidP="00DE0E87">
      <w:pPr>
        <w:pStyle w:val="FootnoteText"/>
        <w:jc w:val="both"/>
        <w:rPr>
          <w:rFonts w:ascii="Times New Roman" w:hAnsi="Times New Roman" w:cs="Times New Roman"/>
        </w:rPr>
      </w:pPr>
      <w:r w:rsidRPr="00DE0E87">
        <w:rPr>
          <w:rStyle w:val="FootnoteReference"/>
          <w:rFonts w:ascii="Times New Roman" w:hAnsi="Times New Roman" w:cs="Times New Roman"/>
        </w:rPr>
        <w:footnoteRef/>
      </w:r>
      <w:r w:rsidRPr="00DE0E87">
        <w:rPr>
          <w:rFonts w:ascii="Times New Roman" w:hAnsi="Times New Roman" w:cs="Times New Roman"/>
        </w:rPr>
        <w:t xml:space="preserve"> </w:t>
      </w:r>
      <w:r w:rsidR="005C3148">
        <w:rPr>
          <w:rFonts w:ascii="Times New Roman" w:hAnsi="Times New Roman" w:cs="Times New Roman"/>
        </w:rPr>
        <w:t xml:space="preserve">One </w:t>
      </w:r>
      <w:r w:rsidR="005C3148" w:rsidRPr="00DE0E87">
        <w:rPr>
          <w:rFonts w:ascii="Times New Roman" w:hAnsi="Times New Roman" w:cs="Times New Roman"/>
        </w:rPr>
        <w:t xml:space="preserve">complaint alleged the incorrect application of the TCA </w:t>
      </w:r>
      <w:r w:rsidR="005C3148">
        <w:rPr>
          <w:rFonts w:ascii="Times New Roman" w:hAnsi="Times New Roman" w:cs="Times New Roman"/>
        </w:rPr>
        <w:t>by</w:t>
      </w:r>
      <w:r w:rsidR="005C3148" w:rsidRPr="00DE0E87">
        <w:rPr>
          <w:rFonts w:ascii="Times New Roman" w:hAnsi="Times New Roman" w:cs="Times New Roman"/>
        </w:rPr>
        <w:t xml:space="preserve"> a Member State authority’s decision to share old criminal records with the United Kingdom under Article 649(2). The Commission services verified the issue </w:t>
      </w:r>
      <w:r w:rsidR="005C3148">
        <w:rPr>
          <w:rFonts w:ascii="Times New Roman" w:hAnsi="Times New Roman" w:cs="Times New Roman"/>
        </w:rPr>
        <w:t xml:space="preserve">and </w:t>
      </w:r>
      <w:r w:rsidR="005C3148" w:rsidRPr="00DE0E87">
        <w:rPr>
          <w:rFonts w:ascii="Times New Roman" w:hAnsi="Times New Roman" w:cs="Times New Roman"/>
        </w:rPr>
        <w:t>informed the complainant that it is the law of the Member State that regulates for how long the information on old convictions should be transmitted and what will be the scope of the transmitted information.</w:t>
      </w:r>
      <w:r w:rsidR="005C3148">
        <w:rPr>
          <w:rFonts w:ascii="Times New Roman" w:hAnsi="Times New Roman" w:cs="Times New Roman"/>
        </w:rPr>
        <w:t xml:space="preserve"> The second complaint</w:t>
      </w:r>
      <w:r w:rsidR="005C3148" w:rsidRPr="003D2A5C">
        <w:rPr>
          <w:rFonts w:ascii="Times New Roman" w:hAnsi="Times New Roman" w:cs="Times New Roman"/>
        </w:rPr>
        <w:t xml:space="preserve"> concern</w:t>
      </w:r>
      <w:r w:rsidR="005C3148">
        <w:rPr>
          <w:rFonts w:ascii="Times New Roman" w:hAnsi="Times New Roman" w:cs="Times New Roman"/>
        </w:rPr>
        <w:t xml:space="preserve">ed the </w:t>
      </w:r>
      <w:r w:rsidR="005C3148" w:rsidRPr="003D2A5C">
        <w:rPr>
          <w:rFonts w:ascii="Times New Roman" w:hAnsi="Times New Roman" w:cs="Times New Roman"/>
        </w:rPr>
        <w:t>U</w:t>
      </w:r>
      <w:r w:rsidR="005C3148">
        <w:rPr>
          <w:rFonts w:ascii="Times New Roman" w:hAnsi="Times New Roman" w:cs="Times New Roman"/>
        </w:rPr>
        <w:t xml:space="preserve">nited </w:t>
      </w:r>
      <w:r w:rsidR="005C3148" w:rsidRPr="003D2A5C">
        <w:rPr>
          <w:rFonts w:ascii="Times New Roman" w:hAnsi="Times New Roman" w:cs="Times New Roman"/>
        </w:rPr>
        <w:t>K</w:t>
      </w:r>
      <w:r w:rsidR="005C3148">
        <w:rPr>
          <w:rFonts w:ascii="Times New Roman" w:hAnsi="Times New Roman" w:cs="Times New Roman"/>
        </w:rPr>
        <w:t>ingdom</w:t>
      </w:r>
      <w:r w:rsidR="005C3148" w:rsidRPr="003D2A5C">
        <w:rPr>
          <w:rFonts w:ascii="Times New Roman" w:hAnsi="Times New Roman" w:cs="Times New Roman"/>
        </w:rPr>
        <w:t>’s Contracts for Difference Scheme for Renewable Electricity Generation - Allocation Round 7. At the date of this report, the Commission has not concluded the assessment of this complaint.</w:t>
      </w:r>
    </w:p>
  </w:footnote>
  <w:footnote w:id="20">
    <w:p w14:paraId="2065D78E" w14:textId="323769C3" w:rsidR="006A1351" w:rsidRPr="006A1351" w:rsidRDefault="006A1351">
      <w:pPr>
        <w:pStyle w:val="FootnoteText"/>
      </w:pPr>
      <w:r w:rsidRPr="006A1351">
        <w:rPr>
          <w:rStyle w:val="FootnoteReference"/>
          <w:rFonts w:ascii="Times New Roman" w:hAnsi="Times New Roman" w:cs="Times New Roman"/>
        </w:rPr>
        <w:footnoteRef/>
      </w:r>
      <w:r w:rsidRPr="006A1351">
        <w:rPr>
          <w:rFonts w:ascii="Times New Roman" w:hAnsi="Times New Roman" w:cs="Times New Roman"/>
        </w:rPr>
        <w:t xml:space="preserve"> </w:t>
      </w:r>
      <w:r w:rsidR="007359FB" w:rsidRPr="007359FB">
        <w:rPr>
          <w:rFonts w:ascii="Times New Roman" w:hAnsi="Times New Roman" w:cs="Times New Roman"/>
        </w:rPr>
        <w:t>PCA CASE No. 2024-45</w:t>
      </w:r>
      <w:r w:rsidR="007359FB">
        <w:rPr>
          <w:rFonts w:ascii="Times New Roman" w:hAnsi="Times New Roman" w:cs="Times New Roman"/>
        </w:rPr>
        <w:t xml:space="preserve"> </w:t>
      </w:r>
      <w:hyperlink r:id="rId18" w:history="1">
        <w:r w:rsidR="007359FB" w:rsidRPr="00644C6C">
          <w:rPr>
            <w:rStyle w:val="Hyperlink"/>
            <w:rFonts w:ascii="Times New Roman" w:hAnsi="Times New Roman" w:cs="Times New Roman"/>
          </w:rPr>
          <w:t>https://pcacases.com/web/sendAttach/70467</w:t>
        </w:r>
      </w:hyperlink>
      <w:r w:rsidR="00EC2ECF">
        <w:t>.</w:t>
      </w:r>
    </w:p>
  </w:footnote>
  <w:footnote w:id="21">
    <w:p w14:paraId="0BBDDB8E" w14:textId="07AA9DE8" w:rsidR="007E3B5A" w:rsidRPr="00C53FC6" w:rsidRDefault="007E3B5A">
      <w:pPr>
        <w:pStyle w:val="FootnoteText"/>
        <w:rPr>
          <w:rFonts w:ascii="Times New Roman" w:hAnsi="Times New Roman" w:cs="Times New Roman"/>
        </w:rPr>
      </w:pPr>
      <w:r w:rsidRPr="00C53FC6">
        <w:rPr>
          <w:rStyle w:val="FootnoteReference"/>
          <w:rFonts w:ascii="Times New Roman" w:hAnsi="Times New Roman" w:cs="Times New Roman"/>
        </w:rPr>
        <w:footnoteRef/>
      </w:r>
      <w:r w:rsidRPr="00C53FC6">
        <w:rPr>
          <w:rFonts w:ascii="Times New Roman" w:hAnsi="Times New Roman" w:cs="Times New Roman"/>
        </w:rPr>
        <w:t xml:space="preserve"> Proposal for a Council decision on the position to be taken on behalf of the European Union within the Trade Specialised Committee on Level Playing Field for Open and Fair Competition and Sustainable Development established by the Trade and Cooperation Agreement between the European Union and the European Atomic Energy Community, of the one part, and the United Kingdom of Great Britain and Northern Ireland, of the other part as regards the adoption of a decision to establish a list of individuals who are willing and able to serve as members of the panel of experts established under Article 409 of the Trade and Cooperation Agreement </w:t>
      </w:r>
      <w:hyperlink r:id="rId19" w:history="1">
        <w:r w:rsidRPr="00C53FC6">
          <w:rPr>
            <w:rStyle w:val="Hyperlink"/>
            <w:rFonts w:ascii="Times New Roman" w:hAnsi="Times New Roman" w:cs="Times New Roman"/>
          </w:rPr>
          <w:t>https://eur-lex.europa.eu/legal-content/EN/TXT/HTML/?uri=CELEX:52026PC0089</w:t>
        </w:r>
      </w:hyperlink>
      <w:r w:rsidRPr="00C53FC6">
        <w:rPr>
          <w:rFonts w:ascii="Times New Roman" w:hAnsi="Times New Roman" w:cs="Times New Roman"/>
        </w:rPr>
        <w:t xml:space="preserve"> </w:t>
      </w:r>
    </w:p>
  </w:footnote>
  <w:footnote w:id="22">
    <w:p w14:paraId="26C1F84B" w14:textId="2479A685" w:rsidR="006F2932" w:rsidRPr="006F2932" w:rsidRDefault="006F2932">
      <w:pPr>
        <w:pStyle w:val="FootnoteText"/>
      </w:pPr>
      <w:r>
        <w:rPr>
          <w:rStyle w:val="FootnoteReference"/>
        </w:rPr>
        <w:footnoteRef/>
      </w:r>
      <w:r>
        <w:t xml:space="preserve"> </w:t>
      </w:r>
      <w:bookmarkStart w:id="29" w:name="_Hlk158194613"/>
      <w:r w:rsidRPr="00BB7C1E">
        <w:rPr>
          <w:rFonts w:ascii="Times New Roman" w:hAnsi="Times New Roman" w:cs="Times New Roman"/>
        </w:rPr>
        <w:t xml:space="preserve">The </w:t>
      </w:r>
      <w:r>
        <w:rPr>
          <w:rFonts w:ascii="Times New Roman" w:hAnsi="Times New Roman" w:cs="Times New Roman"/>
        </w:rPr>
        <w:t>statistics</w:t>
      </w:r>
      <w:r w:rsidRPr="00BB7C1E">
        <w:rPr>
          <w:rFonts w:ascii="Times New Roman" w:hAnsi="Times New Roman" w:cs="Times New Roman"/>
        </w:rPr>
        <w:t xml:space="preserve"> </w:t>
      </w:r>
      <w:r>
        <w:rPr>
          <w:rFonts w:ascii="Times New Roman" w:hAnsi="Times New Roman" w:cs="Times New Roman"/>
        </w:rPr>
        <w:t>covered</w:t>
      </w:r>
      <w:r w:rsidRPr="00BB7C1E">
        <w:rPr>
          <w:rFonts w:ascii="Times New Roman" w:hAnsi="Times New Roman" w:cs="Times New Roman"/>
        </w:rPr>
        <w:t xml:space="preserve"> </w:t>
      </w:r>
      <w:r>
        <w:rPr>
          <w:rFonts w:ascii="Times New Roman" w:hAnsi="Times New Roman" w:cs="Times New Roman"/>
        </w:rPr>
        <w:t xml:space="preserve">imports in </w:t>
      </w:r>
      <w:r w:rsidRPr="00BB7C1E">
        <w:rPr>
          <w:rFonts w:ascii="Times New Roman" w:hAnsi="Times New Roman" w:cs="Times New Roman"/>
        </w:rPr>
        <w:t>202</w:t>
      </w:r>
      <w:bookmarkEnd w:id="29"/>
      <w:r w:rsidRPr="00BB7C1E">
        <w:rPr>
          <w:rFonts w:ascii="Times New Roman" w:hAnsi="Times New Roman" w:cs="Times New Roman"/>
        </w:rPr>
        <w:t>4</w:t>
      </w:r>
      <w:r>
        <w:rPr>
          <w:rFonts w:ascii="Times New Roman" w:hAnsi="Times New Roman" w:cs="Times New Roman"/>
        </w:rPr>
        <w:t>.</w:t>
      </w:r>
    </w:p>
  </w:footnote>
  <w:footnote w:id="23">
    <w:p w14:paraId="0235A4B5" w14:textId="73C8258C" w:rsidR="007E5B4E" w:rsidRPr="00BB7C1E" w:rsidRDefault="007E5B4E" w:rsidP="004F21B5">
      <w:pPr>
        <w:pStyle w:val="FootnoteText"/>
        <w:jc w:val="both"/>
        <w:rPr>
          <w:rFonts w:ascii="Times New Roman" w:hAnsi="Times New Roman" w:cs="Times New Roman"/>
        </w:rPr>
      </w:pPr>
      <w:r w:rsidRPr="00BB7C1E">
        <w:rPr>
          <w:rStyle w:val="FootnoteReference"/>
          <w:rFonts w:ascii="Times New Roman" w:hAnsi="Times New Roman" w:cs="Times New Roman"/>
        </w:rPr>
        <w:footnoteRef/>
      </w:r>
      <w:r w:rsidR="00002B7E" w:rsidRPr="00BB7C1E">
        <w:rPr>
          <w:rFonts w:ascii="Times New Roman" w:hAnsi="Times New Roman" w:cs="Times New Roman"/>
        </w:rPr>
        <w:t xml:space="preserve"> </w:t>
      </w:r>
      <w:r w:rsidRPr="00BB7C1E">
        <w:rPr>
          <w:rFonts w:ascii="Times New Roman" w:hAnsi="Times New Roman" w:cs="Times New Roman"/>
        </w:rPr>
        <w:t>The preference utilisation rate reflects the share of imports or exports entering under trade preferences as a share of the total value of imports or exports eligible for preferences by partner country.</w:t>
      </w:r>
    </w:p>
  </w:footnote>
  <w:footnote w:id="24">
    <w:p w14:paraId="13C40051" w14:textId="1D021361" w:rsidR="000B7200" w:rsidRPr="00BB7C1E" w:rsidRDefault="000B7200" w:rsidP="004F21B5">
      <w:pPr>
        <w:pStyle w:val="FootnoteText"/>
        <w:jc w:val="both"/>
        <w:rPr>
          <w:rFonts w:ascii="Times New Roman" w:hAnsi="Times New Roman" w:cs="Times New Roman"/>
        </w:rPr>
      </w:pPr>
      <w:r w:rsidRPr="00BB7C1E">
        <w:rPr>
          <w:rStyle w:val="FootnoteReference"/>
          <w:rFonts w:ascii="Times New Roman" w:hAnsi="Times New Roman" w:cs="Times New Roman"/>
        </w:rPr>
        <w:footnoteRef/>
      </w:r>
      <w:r w:rsidRPr="00BB7C1E">
        <w:rPr>
          <w:rFonts w:ascii="Times New Roman" w:hAnsi="Times New Roman" w:cs="Times New Roman"/>
        </w:rPr>
        <w:t xml:space="preserve"> For </w:t>
      </w:r>
      <w:r w:rsidR="002F4168" w:rsidRPr="00BB7C1E">
        <w:rPr>
          <w:rFonts w:ascii="Times New Roman" w:hAnsi="Times New Roman" w:cs="Times New Roman"/>
        </w:rPr>
        <w:t xml:space="preserve">further </w:t>
      </w:r>
      <w:r w:rsidRPr="00BB7C1E">
        <w:rPr>
          <w:rFonts w:ascii="Times New Roman" w:hAnsi="Times New Roman" w:cs="Times New Roman"/>
        </w:rPr>
        <w:t>details</w:t>
      </w:r>
      <w:r w:rsidR="002F4168" w:rsidRPr="00BB7C1E">
        <w:rPr>
          <w:rFonts w:ascii="Times New Roman" w:hAnsi="Times New Roman" w:cs="Times New Roman"/>
        </w:rPr>
        <w:t xml:space="preserve"> on the implementation of the EU’s free trade agreements,</w:t>
      </w:r>
      <w:r w:rsidRPr="00BB7C1E">
        <w:rPr>
          <w:rFonts w:ascii="Times New Roman" w:hAnsi="Times New Roman" w:cs="Times New Roman"/>
        </w:rPr>
        <w:t xml:space="preserve"> see the Report from the Commission to the European Parliament, the Council, the European Economic and Social Committee and the Committee of the Regions on the Implementation and Enforcement of EU Trade Policy: </w:t>
      </w:r>
      <w:hyperlink r:id="rId20" w:history="1">
        <w:r w:rsidRPr="00BB7C1E">
          <w:rPr>
            <w:rStyle w:val="Hyperlink"/>
            <w:rFonts w:ascii="Times New Roman" w:hAnsi="Times New Roman" w:cs="Times New Roman"/>
          </w:rPr>
          <w:t>https://policy.trade.ec.europa.eu/enforcement-and-protection/implementing-and-enforcing-eu-trade-agreements_en</w:t>
        </w:r>
      </w:hyperlink>
      <w:r w:rsidR="00CB2FA3" w:rsidRPr="00BB7C1E">
        <w:rPr>
          <w:rFonts w:ascii="Times New Roman" w:hAnsi="Times New Roman" w:cs="Times New Roman"/>
        </w:rPr>
        <w:t>.</w:t>
      </w:r>
    </w:p>
  </w:footnote>
  <w:footnote w:id="25">
    <w:p w14:paraId="0CC97C07" w14:textId="77777777" w:rsidR="00CA2DC7" w:rsidRPr="00BB7C1E" w:rsidRDefault="00CA2DC7" w:rsidP="00CA2DC7">
      <w:pPr>
        <w:pStyle w:val="oCarCar1"/>
        <w:rPr>
          <w:rFonts w:ascii="Times New Roman" w:hAnsi="Times New Roman" w:cs="Times New Roman"/>
        </w:rPr>
      </w:pPr>
      <w:r w:rsidRPr="00BB7C1E">
        <w:rPr>
          <w:rStyle w:val="FootnoteReference"/>
          <w:rFonts w:ascii="Times New Roman" w:hAnsi="Times New Roman" w:cs="Times New Roman"/>
        </w:rPr>
        <w:footnoteRef/>
      </w:r>
      <w:r w:rsidRPr="00BB7C1E">
        <w:rPr>
          <w:rFonts w:ascii="Times New Roman" w:hAnsi="Times New Roman" w:cs="Times New Roman"/>
        </w:rPr>
        <w:t xml:space="preserve"> All figures are based – unless specified otherwise – on Eurostat data: </w:t>
      </w:r>
      <w:hyperlink r:id="rId21" w:history="1">
        <w:r w:rsidRPr="00BB7C1E">
          <w:rPr>
            <w:rStyle w:val="Hyperlink"/>
            <w:rFonts w:ascii="Times New Roman" w:hAnsi="Times New Roman" w:cs="Times New Roman"/>
          </w:rPr>
          <w:t>https://ec.europa.eu/eurostat/web/international-trade-in-goods/overview</w:t>
        </w:r>
      </w:hyperlink>
      <w:r w:rsidRPr="00BB7C1E">
        <w:rPr>
          <w:rFonts w:ascii="Times New Roman" w:hAnsi="Times New Roman" w:cs="Times New Roman"/>
        </w:rPr>
        <w:t>.</w:t>
      </w:r>
    </w:p>
  </w:footnote>
  <w:footnote w:id="26">
    <w:p w14:paraId="42D2101F" w14:textId="72CCB7A6" w:rsidR="00EE202D" w:rsidRPr="00EE202D" w:rsidRDefault="00B8510B" w:rsidP="00EE202D">
      <w:pPr>
        <w:pStyle w:val="FootnoteText"/>
        <w:rPr>
          <w:rFonts w:ascii="Times New Roman" w:hAnsi="Times New Roman" w:cs="Times New Roman"/>
        </w:rPr>
      </w:pPr>
      <w:r w:rsidRPr="00EE202D">
        <w:rPr>
          <w:rStyle w:val="FootnoteReference"/>
          <w:rFonts w:ascii="Times New Roman" w:hAnsi="Times New Roman" w:cs="Times New Roman"/>
        </w:rPr>
        <w:footnoteRef/>
      </w:r>
      <w:r w:rsidR="00EE202D" w:rsidRPr="00EE202D">
        <w:rPr>
          <w:rFonts w:ascii="Times New Roman" w:hAnsi="Times New Roman" w:cs="Times New Roman"/>
        </w:rPr>
        <w:t xml:space="preserve"> Service Supplier visa (Global Business Mobility)</w:t>
      </w:r>
    </w:p>
    <w:p w14:paraId="67C7CE6E" w14:textId="06F350D6" w:rsidR="00B8510B" w:rsidRPr="001F1FC5" w:rsidRDefault="00F97D5F" w:rsidP="00B8510B">
      <w:pPr>
        <w:pStyle w:val="FootnoteText"/>
        <w:rPr>
          <w:rFonts w:ascii="Times New Roman" w:hAnsi="Times New Roman" w:cs="Times New Roman"/>
        </w:rPr>
      </w:pPr>
      <w:r>
        <w:rPr>
          <w:rFonts w:ascii="Times New Roman" w:hAnsi="Times New Roman" w:cs="Times New Roman"/>
        </w:rPr>
        <w:t xml:space="preserve"> </w:t>
      </w:r>
      <w:hyperlink r:id="rId22" w:history="1">
        <w:r w:rsidR="00B8510B" w:rsidRPr="001F1FC5">
          <w:rPr>
            <w:rStyle w:val="Hyperlink"/>
            <w:rFonts w:ascii="Times New Roman" w:hAnsi="Times New Roman" w:cs="Times New Roman"/>
          </w:rPr>
          <w:t>https://www.gov.uk/service-supplier-visa/eligibility</w:t>
        </w:r>
      </w:hyperlink>
      <w:r w:rsidR="00D6414F">
        <w:rPr>
          <w:rFonts w:ascii="Times New Roman" w:hAnsi="Times New Roman" w:cs="Times New Roman"/>
        </w:rPr>
        <w:t>.</w:t>
      </w:r>
    </w:p>
  </w:footnote>
  <w:footnote w:id="27">
    <w:p w14:paraId="7F8E0449" w14:textId="77777777" w:rsidR="000D7DA0" w:rsidRPr="00DB2614" w:rsidRDefault="000D7DA0" w:rsidP="000D7DA0">
      <w:pPr>
        <w:pStyle w:val="FootnoteText"/>
        <w:rPr>
          <w:rFonts w:ascii="Times New Roman" w:hAnsi="Times New Roman" w:cs="Times New Roman"/>
        </w:rPr>
      </w:pPr>
      <w:r w:rsidRPr="00DB2614">
        <w:rPr>
          <w:rStyle w:val="FootnoteReference"/>
          <w:rFonts w:ascii="Times New Roman" w:hAnsi="Times New Roman" w:cs="Times New Roman"/>
        </w:rPr>
        <w:footnoteRef/>
      </w:r>
      <w:r w:rsidRPr="00DB2614">
        <w:rPr>
          <w:rFonts w:ascii="Times New Roman" w:hAnsi="Times New Roman" w:cs="Times New Roman"/>
        </w:rPr>
        <w:t xml:space="preserve"> See the Commission’s reports on the TCA implementation of the TCA for the years 2022, 2023 and 2024. </w:t>
      </w:r>
    </w:p>
  </w:footnote>
  <w:footnote w:id="28">
    <w:p w14:paraId="1A09CA5B" w14:textId="77777777" w:rsidR="00D03CCA" w:rsidRPr="000614F7" w:rsidRDefault="00D03CCA" w:rsidP="00D03CCA">
      <w:pPr>
        <w:pStyle w:val="FootnoteText"/>
        <w:rPr>
          <w:rFonts w:ascii="Times New Roman" w:hAnsi="Times New Roman" w:cs="Times New Roman"/>
        </w:rPr>
      </w:pPr>
      <w:r w:rsidRPr="00DB2614">
        <w:rPr>
          <w:rStyle w:val="FootnoteReference"/>
          <w:rFonts w:ascii="Times New Roman" w:hAnsi="Times New Roman" w:cs="Times New Roman"/>
        </w:rPr>
        <w:footnoteRef/>
      </w:r>
      <w:r>
        <w:rPr>
          <w:rFonts w:ascii="Times New Roman" w:hAnsi="Times New Roman" w:cs="Times New Roman"/>
        </w:rPr>
        <w:t xml:space="preserve"> </w:t>
      </w:r>
      <w:r w:rsidRPr="000614F7">
        <w:rPr>
          <w:rFonts w:ascii="Times New Roman" w:hAnsi="Times New Roman" w:cs="Times New Roman"/>
        </w:rPr>
        <w:t>Memorandum of Understanding establishing a framework for financial services regulatory</w:t>
      </w:r>
    </w:p>
    <w:p w14:paraId="04A4D4CA" w14:textId="77777777" w:rsidR="00D03CCA" w:rsidRPr="000614F7" w:rsidRDefault="00D03CCA" w:rsidP="00D03CCA">
      <w:pPr>
        <w:pStyle w:val="FootnoteText"/>
        <w:rPr>
          <w:rFonts w:ascii="Times New Roman" w:hAnsi="Times New Roman" w:cs="Times New Roman"/>
        </w:rPr>
      </w:pPr>
      <w:r w:rsidRPr="000614F7">
        <w:rPr>
          <w:rFonts w:ascii="Times New Roman" w:hAnsi="Times New Roman" w:cs="Times New Roman"/>
        </w:rPr>
        <w:t>cooperation between the European Union and the United Kingdom of Great Britain and</w:t>
      </w:r>
    </w:p>
    <w:p w14:paraId="4283EC30" w14:textId="77777777" w:rsidR="00D03CCA" w:rsidRPr="00820904" w:rsidRDefault="00D03CCA" w:rsidP="00D03CCA">
      <w:pPr>
        <w:pStyle w:val="FootnoteText"/>
        <w:rPr>
          <w:rFonts w:ascii="Times New Roman" w:hAnsi="Times New Roman" w:cs="Times New Roman"/>
        </w:rPr>
      </w:pPr>
      <w:r w:rsidRPr="000614F7">
        <w:rPr>
          <w:rFonts w:ascii="Times New Roman" w:hAnsi="Times New Roman" w:cs="Times New Roman"/>
        </w:rPr>
        <w:t>Northern Ireland</w:t>
      </w:r>
      <w:r>
        <w:rPr>
          <w:rFonts w:ascii="Times New Roman" w:hAnsi="Times New Roman" w:cs="Times New Roman"/>
        </w:rPr>
        <w:t xml:space="preserve">: </w:t>
      </w:r>
      <w:hyperlink r:id="rId23" w:history="1">
        <w:r w:rsidRPr="00820904">
          <w:rPr>
            <w:rStyle w:val="Hyperlink"/>
            <w:rFonts w:ascii="Times New Roman" w:hAnsi="Times New Roman" w:cs="Times New Roman"/>
          </w:rPr>
          <w:t>https://finance.ec.europa.eu/system/files/2023-09/230627-memorandum-understanding-financial-services-eu-uk_en.pdf</w:t>
        </w:r>
      </w:hyperlink>
      <w:r>
        <w:rPr>
          <w:rFonts w:ascii="Times New Roman" w:hAnsi="Times New Roman" w:cs="Times New Roman"/>
        </w:rPr>
        <w:t>.</w:t>
      </w:r>
    </w:p>
  </w:footnote>
  <w:footnote w:id="29">
    <w:p w14:paraId="5A08C25E" w14:textId="77777777" w:rsidR="00D03CCA" w:rsidRPr="00F600F9" w:rsidRDefault="00D03CCA" w:rsidP="00D03CCA">
      <w:pPr>
        <w:pStyle w:val="FootnoteText"/>
        <w:rPr>
          <w:rFonts w:ascii="Times New Roman" w:hAnsi="Times New Roman" w:cs="Times New Roman"/>
        </w:rPr>
      </w:pPr>
      <w:r w:rsidRPr="00820904">
        <w:rPr>
          <w:rStyle w:val="FootnoteReference"/>
          <w:rFonts w:ascii="Times New Roman" w:hAnsi="Times New Roman" w:cs="Times New Roman"/>
        </w:rPr>
        <w:footnoteRef/>
      </w:r>
      <w:r>
        <w:rPr>
          <w:rFonts w:ascii="Times New Roman" w:hAnsi="Times New Roman" w:cs="Times New Roman"/>
        </w:rPr>
        <w:t xml:space="preserve"> </w:t>
      </w:r>
      <w:hyperlink r:id="rId24" w:history="1">
        <w:r w:rsidRPr="00217A12">
          <w:rPr>
            <w:rStyle w:val="Hyperlink"/>
            <w:rFonts w:ascii="Times New Roman" w:hAnsi="Times New Roman" w:cs="Times New Roman"/>
          </w:rPr>
          <w:t>https://finance.ec.europa.eu/eu-and-world/bilateral-relations/regulatory-dialogues-united-kingdom_en</w:t>
        </w:r>
      </w:hyperlink>
      <w:r>
        <w:rPr>
          <w:rFonts w:ascii="Times New Roman" w:hAnsi="Times New Roman" w:cs="Times New Roman"/>
        </w:rPr>
        <w:t>.</w:t>
      </w:r>
    </w:p>
  </w:footnote>
  <w:footnote w:id="30">
    <w:p w14:paraId="788188CC" w14:textId="70C84FB5" w:rsidR="00E8406E" w:rsidRPr="008B263A" w:rsidRDefault="00E8406E" w:rsidP="004F21B5">
      <w:pPr>
        <w:pStyle w:val="FootnoteText"/>
        <w:rPr>
          <w:rFonts w:ascii="Times New Roman" w:hAnsi="Times New Roman" w:cs="Times New Roman"/>
        </w:rPr>
      </w:pPr>
      <w:r w:rsidRPr="004F21B5">
        <w:rPr>
          <w:rStyle w:val="FootnoteReference"/>
          <w:rFonts w:ascii="Times New Roman" w:hAnsi="Times New Roman" w:cs="Times New Roman"/>
        </w:rPr>
        <w:footnoteRef/>
      </w:r>
      <w:r w:rsidRPr="004F21B5">
        <w:rPr>
          <w:rFonts w:ascii="Times New Roman" w:hAnsi="Times New Roman" w:cs="Times New Roman"/>
        </w:rPr>
        <w:t xml:space="preserve"> All figures are based </w:t>
      </w:r>
      <w:r w:rsidR="008C1C1D" w:rsidRPr="004F21B5">
        <w:rPr>
          <w:rFonts w:ascii="Times New Roman" w:hAnsi="Times New Roman" w:cs="Times New Roman"/>
        </w:rPr>
        <w:t xml:space="preserve">– </w:t>
      </w:r>
      <w:r w:rsidR="006E282F" w:rsidRPr="004F21B5">
        <w:rPr>
          <w:rFonts w:ascii="Times New Roman" w:hAnsi="Times New Roman" w:cs="Times New Roman"/>
        </w:rPr>
        <w:t>unless</w:t>
      </w:r>
      <w:r w:rsidR="00F22EB0" w:rsidRPr="004F21B5">
        <w:rPr>
          <w:rFonts w:ascii="Times New Roman" w:hAnsi="Times New Roman" w:cs="Times New Roman"/>
        </w:rPr>
        <w:t xml:space="preserve"> specified otherwise </w:t>
      </w:r>
      <w:r w:rsidR="008C1C1D" w:rsidRPr="004F21B5">
        <w:rPr>
          <w:rFonts w:ascii="Times New Roman" w:hAnsi="Times New Roman" w:cs="Times New Roman"/>
        </w:rPr>
        <w:t>–</w:t>
      </w:r>
      <w:r w:rsidR="00F22EB0" w:rsidRPr="004F21B5">
        <w:rPr>
          <w:rFonts w:ascii="Times New Roman" w:hAnsi="Times New Roman" w:cs="Times New Roman"/>
        </w:rPr>
        <w:t xml:space="preserve"> </w:t>
      </w:r>
      <w:r w:rsidRPr="004F21B5">
        <w:rPr>
          <w:rFonts w:ascii="Times New Roman" w:hAnsi="Times New Roman" w:cs="Times New Roman"/>
        </w:rPr>
        <w:t>on Eurostat data</w:t>
      </w:r>
      <w:r w:rsidR="00F22EB0" w:rsidRPr="004F21B5">
        <w:rPr>
          <w:rFonts w:ascii="Times New Roman" w:hAnsi="Times New Roman" w:cs="Times New Roman"/>
        </w:rPr>
        <w:t xml:space="preserve">: </w:t>
      </w:r>
      <w:hyperlink r:id="rId25" w:history="1">
        <w:r w:rsidR="00F22EB0" w:rsidRPr="004F21B5">
          <w:rPr>
            <w:rStyle w:val="Hyperlink"/>
            <w:rFonts w:ascii="Times New Roman" w:hAnsi="Times New Roman" w:cs="Times New Roman"/>
          </w:rPr>
          <w:t>https://ec.europa.eu/eurostat/web/balance-of-payments/overview</w:t>
        </w:r>
      </w:hyperlink>
      <w:r w:rsidR="00F97D5F">
        <w:rPr>
          <w:rFonts w:ascii="Times New Roman" w:hAnsi="Times New Roman" w:cs="Times New Roman"/>
        </w:rPr>
        <w:t xml:space="preserve"> </w:t>
      </w:r>
      <w:r w:rsidR="000926C2">
        <w:rPr>
          <w:rFonts w:ascii="Times New Roman" w:hAnsi="Times New Roman" w:cs="Times New Roman"/>
        </w:rPr>
        <w:t xml:space="preserve">and </w:t>
      </w:r>
      <w:hyperlink r:id="rId26" w:history="1">
        <w:r w:rsidR="00B21CE1" w:rsidRPr="00644C6C">
          <w:rPr>
            <w:rStyle w:val="Hyperlink"/>
            <w:rFonts w:ascii="Times New Roman" w:hAnsi="Times New Roman" w:cs="Times New Roman"/>
          </w:rPr>
          <w:t>https://ec.europa.eu/eurostat/web/international-trade-in-services/overview</w:t>
        </w:r>
      </w:hyperlink>
      <w:r w:rsidR="00CB2FA3" w:rsidRPr="004F21B5">
        <w:rPr>
          <w:rFonts w:ascii="Times New Roman" w:hAnsi="Times New Roman" w:cs="Times New Roman"/>
        </w:rPr>
        <w:t>.</w:t>
      </w:r>
    </w:p>
  </w:footnote>
  <w:footnote w:id="31">
    <w:p w14:paraId="22B04B35" w14:textId="4209552C" w:rsidR="008937E9" w:rsidRPr="00B06BD4" w:rsidRDefault="008937E9">
      <w:pPr>
        <w:pStyle w:val="FootnoteText"/>
        <w:rPr>
          <w:rFonts w:ascii="Times New Roman" w:hAnsi="Times New Roman" w:cs="Times New Roman"/>
        </w:rPr>
      </w:pPr>
      <w:r w:rsidRPr="00B06BD4">
        <w:rPr>
          <w:rStyle w:val="FootnoteReference"/>
          <w:rFonts w:ascii="Times New Roman" w:hAnsi="Times New Roman" w:cs="Times New Roman"/>
        </w:rPr>
        <w:footnoteRef/>
      </w:r>
      <w:r w:rsidRPr="00B06BD4">
        <w:rPr>
          <w:rFonts w:ascii="Times New Roman" w:hAnsi="Times New Roman" w:cs="Times New Roman"/>
        </w:rPr>
        <w:t xml:space="preserve"> </w:t>
      </w:r>
      <w:hyperlink r:id="rId27" w:history="1">
        <w:r w:rsidR="002723C0" w:rsidRPr="002723C0">
          <w:rPr>
            <w:rStyle w:val="Hyperlink"/>
            <w:rFonts w:ascii="Times New Roman" w:hAnsi="Times New Roman" w:cs="Times New Roman"/>
            <w:lang w:val="en-IE"/>
          </w:rPr>
          <w:t>https://ec.europa.eu/commission/presscorner/detail/en/ip_26_454</w:t>
        </w:r>
      </w:hyperlink>
      <w:r w:rsidR="002723C0" w:rsidRPr="002723C0">
        <w:rPr>
          <w:rFonts w:ascii="Times New Roman" w:hAnsi="Times New Roman" w:cs="Times New Roman"/>
          <w:lang w:val="en-IE"/>
        </w:rPr>
        <w:t xml:space="preserve">  </w:t>
      </w:r>
    </w:p>
  </w:footnote>
  <w:footnote w:id="32">
    <w:p w14:paraId="25EAA47D" w14:textId="0B935FF2" w:rsidR="00DC4CB9" w:rsidRPr="00DC4CB9" w:rsidRDefault="00DC4CB9" w:rsidP="00DC4CB9">
      <w:pPr>
        <w:pStyle w:val="FootnoteText"/>
        <w:jc w:val="both"/>
        <w:rPr>
          <w:rFonts w:ascii="Times New Roman" w:hAnsi="Times New Roman" w:cs="Times New Roman"/>
        </w:rPr>
      </w:pPr>
      <w:r w:rsidRPr="00DC4CB9">
        <w:rPr>
          <w:rStyle w:val="FootnoteReference"/>
          <w:rFonts w:ascii="Times New Roman" w:hAnsi="Times New Roman" w:cs="Times New Roman"/>
        </w:rPr>
        <w:footnoteRef/>
      </w:r>
      <w:r w:rsidRPr="00DC4CB9">
        <w:rPr>
          <w:rFonts w:ascii="Times New Roman" w:hAnsi="Times New Roman" w:cs="Times New Roman"/>
        </w:rPr>
        <w:t xml:space="preserve"> Joint Declaration 1/2025 of the Union and the United Kingdom in the Partnership Council established by the Trade and Cooperation Agreement between the European Union and the European Atomic Energy Community, of the one part, and the United Kingdom of Great Britain and Northern Ireland, of the other part of 19 June 2025 </w:t>
      </w:r>
      <w:hyperlink r:id="rId28" w:history="1">
        <w:r w:rsidRPr="00DC4CB9">
          <w:rPr>
            <w:rStyle w:val="Hyperlink"/>
            <w:rFonts w:ascii="Times New Roman" w:hAnsi="Times New Roman" w:cs="Times New Roman"/>
          </w:rPr>
          <w:t>https://eur-lex.europa.eu/legal-content/EN/TXT/?uri=OJ%3AL_202501232</w:t>
        </w:r>
      </w:hyperlink>
      <w:r w:rsidR="007757DE">
        <w:rPr>
          <w:rFonts w:ascii="Times New Roman" w:hAnsi="Times New Roman" w:cs="Times New Roman"/>
        </w:rPr>
        <w:t>.</w:t>
      </w:r>
    </w:p>
  </w:footnote>
  <w:footnote w:id="33">
    <w:p w14:paraId="74927A7D" w14:textId="2FD486AE" w:rsidR="00DC4CB9" w:rsidRPr="00DC4CB9" w:rsidRDefault="00DC4CB9" w:rsidP="00DC4CB9">
      <w:pPr>
        <w:pStyle w:val="FootnoteText"/>
        <w:jc w:val="both"/>
      </w:pPr>
      <w:r w:rsidRPr="00DC4CB9">
        <w:rPr>
          <w:rStyle w:val="FootnoteReference"/>
          <w:rFonts w:ascii="Times New Roman" w:hAnsi="Times New Roman" w:cs="Times New Roman"/>
        </w:rPr>
        <w:footnoteRef/>
      </w:r>
      <w:r w:rsidRPr="00DC4CB9">
        <w:rPr>
          <w:rFonts w:ascii="Times New Roman" w:hAnsi="Times New Roman" w:cs="Times New Roman"/>
        </w:rPr>
        <w:t xml:space="preserve"> Decision No 2/2025 of the Partnership Council established by the Trade and Cooperation Agreement between the European Union and the European Atomic Energy Community, of the one part, and the United Kingdom of Great Britain and Northern Ireland, of the other part of 19 June 2025 issuing an interpretation of Article 331(2) and extending the application of Part Two, Heading One, Title VIII on energy, of the Trade and Cooperation Agreement between the European Union and the European Atomic Energy Community, of the one part, and the United Kingdom of Great Britain and Northern Ireland, of the other part </w:t>
      </w:r>
      <w:hyperlink r:id="rId29" w:history="1">
        <w:r w:rsidRPr="00DC4CB9">
          <w:rPr>
            <w:rStyle w:val="Hyperlink"/>
            <w:rFonts w:ascii="Times New Roman" w:hAnsi="Times New Roman" w:cs="Times New Roman"/>
          </w:rPr>
          <w:t>https://eur-lex.europa.eu/legal-content/EN/TXT/?uri=OJ%3AL_202501230</w:t>
        </w:r>
      </w:hyperlink>
      <w:r w:rsidR="007757DE">
        <w:t>.</w:t>
      </w:r>
    </w:p>
  </w:footnote>
  <w:footnote w:id="34">
    <w:p w14:paraId="05FEDA23" w14:textId="2BBC4F76" w:rsidR="001A412E" w:rsidRPr="002237FC" w:rsidRDefault="001A412E" w:rsidP="001A412E">
      <w:pPr>
        <w:pStyle w:val="FootnoteText"/>
        <w:jc w:val="both"/>
        <w:rPr>
          <w:rFonts w:ascii="Times New Roman" w:hAnsi="Times New Roman" w:cs="Times New Roman"/>
          <w:i/>
          <w:iCs/>
          <w:lang w:val="en-US"/>
        </w:rPr>
      </w:pPr>
      <w:r>
        <w:rPr>
          <w:rStyle w:val="FootnoteReference"/>
        </w:rPr>
        <w:footnoteRef/>
      </w:r>
      <w:r w:rsidRPr="00583B32">
        <w:rPr>
          <w:lang w:val="en-US"/>
        </w:rPr>
        <w:t xml:space="preserve"> </w:t>
      </w:r>
      <w:r w:rsidRPr="00583B32">
        <w:rPr>
          <w:rFonts w:ascii="Times New Roman" w:hAnsi="Times New Roman" w:cs="Times New Roman"/>
        </w:rPr>
        <w:t xml:space="preserve">Recommendation No 1/2024 of the Specialised Committee on Energy established by Article 8(1), point (l), of the Trade and Cooperation Agreement between the European Union and the European Atomic Energy Community, of the one part, and the United Kingdom of Great Britain and Northern Ireland, of the other part of 19 December 2024 to each Party concerning the preparation of technical procedures for the efficient use of </w:t>
      </w:r>
      <w:r w:rsidRPr="002237FC">
        <w:rPr>
          <w:rFonts w:ascii="Times New Roman" w:hAnsi="Times New Roman" w:cs="Times New Roman"/>
        </w:rPr>
        <w:t>electricity interconnectors</w:t>
      </w:r>
      <w:r w:rsidR="00D62585">
        <w:rPr>
          <w:rFonts w:ascii="Times New Roman" w:hAnsi="Times New Roman" w:cs="Times New Roman"/>
        </w:rPr>
        <w:t>:</w:t>
      </w:r>
    </w:p>
    <w:p w14:paraId="1D031B6D" w14:textId="1AD0CEB8" w:rsidR="001A412E" w:rsidRPr="0057302A" w:rsidRDefault="00D01676" w:rsidP="001A412E">
      <w:pPr>
        <w:pStyle w:val="FootnoteText"/>
        <w:jc w:val="both"/>
        <w:rPr>
          <w:rFonts w:ascii="Times New Roman" w:hAnsi="Times New Roman" w:cs="Times New Roman"/>
          <w:lang w:val="en-US"/>
        </w:rPr>
      </w:pPr>
      <w:hyperlink r:id="rId30" w:history="1">
        <w:r w:rsidR="001A412E" w:rsidRPr="0057302A">
          <w:rPr>
            <w:rStyle w:val="Hyperlink"/>
            <w:rFonts w:ascii="Times New Roman" w:hAnsi="Times New Roman" w:cs="Times New Roman"/>
          </w:rPr>
          <w:t>https://eur-lex.europa.eu/legal-content/EN/TXT/?uri=CELEX%3A22025D0706&amp;qid=1756374227559</w:t>
        </w:r>
      </w:hyperlink>
      <w:r w:rsidR="007757DE">
        <w:t>.</w:t>
      </w:r>
    </w:p>
  </w:footnote>
  <w:footnote w:id="35">
    <w:p w14:paraId="7BBF6A47" w14:textId="21E2CB40" w:rsidR="003E301C" w:rsidRPr="00E81BD4" w:rsidRDefault="003E301C" w:rsidP="003E301C">
      <w:pPr>
        <w:pStyle w:val="FootnoteText"/>
      </w:pPr>
      <w:r w:rsidRPr="0057302A">
        <w:rPr>
          <w:rStyle w:val="FootnoteReference"/>
          <w:rFonts w:ascii="Times New Roman" w:hAnsi="Times New Roman" w:cs="Times New Roman"/>
        </w:rPr>
        <w:footnoteRef/>
      </w:r>
      <w:r w:rsidRPr="0057302A">
        <w:rPr>
          <w:rFonts w:ascii="Times New Roman" w:hAnsi="Times New Roman" w:cs="Times New Roman"/>
        </w:rPr>
        <w:t xml:space="preserve"> </w:t>
      </w:r>
      <w:hyperlink r:id="rId31" w:history="1">
        <w:r w:rsidR="0057302A" w:rsidRPr="0057302A">
          <w:rPr>
            <w:rStyle w:val="Hyperlink"/>
            <w:rFonts w:ascii="Times New Roman" w:hAnsi="Times New Roman" w:cs="Times New Roman"/>
          </w:rPr>
          <w:t>https://eur-lex.europa.eu/legal-content/EN/TXT/HTML/?uri=COM:2025:804:FIN</w:t>
        </w:r>
      </w:hyperlink>
      <w:r w:rsidR="007757DE">
        <w:t>.</w:t>
      </w:r>
    </w:p>
  </w:footnote>
  <w:footnote w:id="36">
    <w:p w14:paraId="2DCF85CD" w14:textId="414C0C80" w:rsidR="00C31234" w:rsidRPr="006C4F09" w:rsidRDefault="00C31234">
      <w:pPr>
        <w:pStyle w:val="FootnoteText"/>
        <w:rPr>
          <w:rFonts w:ascii="Times New Roman" w:hAnsi="Times New Roman" w:cs="Times New Roman"/>
          <w:lang w:val="en-US"/>
        </w:rPr>
      </w:pPr>
      <w:r w:rsidRPr="0066529A">
        <w:rPr>
          <w:rStyle w:val="FootnoteReference"/>
          <w:rFonts w:ascii="Times New Roman" w:hAnsi="Times New Roman" w:cs="Times New Roman"/>
        </w:rPr>
        <w:footnoteRef/>
      </w:r>
      <w:r w:rsidRPr="0066529A">
        <w:rPr>
          <w:rFonts w:ascii="Times New Roman" w:hAnsi="Times New Roman" w:cs="Times New Roman"/>
          <w:lang w:val="en-US"/>
        </w:rPr>
        <w:t xml:space="preserve"> </w:t>
      </w:r>
      <w:r w:rsidR="00ED0FD6" w:rsidRPr="0066529A">
        <w:rPr>
          <w:rFonts w:ascii="Times New Roman" w:hAnsi="Times New Roman" w:cs="Times New Roman"/>
        </w:rPr>
        <w:t xml:space="preserve">Decision No 2/2024 of the Specialised Committee on Energy established by Article 8(1)(l) of the Trade and Cooperation Agreement between the European Union and the European Atomic Energy Community, of the one </w:t>
      </w:r>
      <w:r w:rsidR="00ED0FD6" w:rsidRPr="006C4F09">
        <w:rPr>
          <w:rFonts w:ascii="Times New Roman" w:hAnsi="Times New Roman" w:cs="Times New Roman"/>
        </w:rPr>
        <w:t xml:space="preserve">part, and the United Kingdom of Great Britain and Northern Ireland, of the other part of 7 November 2024 as regards the establishment of a Working Group on Security of Supply, </w:t>
      </w:r>
      <w:hyperlink r:id="rId32" w:history="1">
        <w:r w:rsidR="00DC50F3" w:rsidRPr="006C4F09">
          <w:rPr>
            <w:rStyle w:val="Hyperlink"/>
            <w:rFonts w:ascii="Times New Roman" w:hAnsi="Times New Roman" w:cs="Times New Roman"/>
          </w:rPr>
          <w:t>https://eur-lex.europa.eu/legal-content/EN/TXT/?uri=CELEX%3A22025D0705&amp;qid=1756375999645</w:t>
        </w:r>
      </w:hyperlink>
      <w:r w:rsidR="001B0A35">
        <w:t>.</w:t>
      </w:r>
    </w:p>
  </w:footnote>
  <w:footnote w:id="37">
    <w:p w14:paraId="4E8C1182" w14:textId="77777777" w:rsidR="00016EB0" w:rsidRPr="0066529A" w:rsidRDefault="00016EB0" w:rsidP="00016EB0">
      <w:pPr>
        <w:pStyle w:val="FootnoteText"/>
        <w:jc w:val="both"/>
        <w:rPr>
          <w:rFonts w:ascii="Times New Roman" w:hAnsi="Times New Roman" w:cs="Times New Roman"/>
        </w:rPr>
      </w:pPr>
      <w:r w:rsidRPr="006C4F09">
        <w:rPr>
          <w:rStyle w:val="FootnoteReference"/>
          <w:rFonts w:ascii="Times New Roman" w:hAnsi="Times New Roman" w:cs="Times New Roman"/>
        </w:rPr>
        <w:footnoteRef/>
      </w:r>
      <w:r w:rsidRPr="006C4F09">
        <w:rPr>
          <w:rFonts w:ascii="Times New Roman" w:hAnsi="Times New Roman" w:cs="Times New Roman"/>
        </w:rPr>
        <w:t xml:space="preserve"> The following Member States signed bilateral agreements with the United Kingdom: Austria, Belgium, Bulgaria, Croatia, Cyprus, Czechia, Denmark, Estonia, Finland, France, Germany, Greece, Hungary, Italy, Ireland, Latvia, Lithuania, Luxembourg, Malta, Netherlands, Slovakia, Slovenia and Sweden.</w:t>
      </w:r>
    </w:p>
  </w:footnote>
  <w:footnote w:id="38">
    <w:p w14:paraId="14CB13D4" w14:textId="5277C7E1" w:rsidR="00DB5952" w:rsidRPr="006B530F" w:rsidRDefault="00DB5952" w:rsidP="006B530F">
      <w:pPr>
        <w:pStyle w:val="FootnoteText"/>
        <w:jc w:val="both"/>
        <w:rPr>
          <w:rFonts w:ascii="Times New Roman" w:hAnsi="Times New Roman" w:cs="Times New Roman"/>
        </w:rPr>
      </w:pPr>
      <w:r w:rsidRPr="006B530F">
        <w:rPr>
          <w:rStyle w:val="FootnoteReference"/>
          <w:rFonts w:ascii="Times New Roman" w:hAnsi="Times New Roman" w:cs="Times New Roman"/>
        </w:rPr>
        <w:footnoteRef/>
      </w:r>
      <w:r w:rsidR="006B530F" w:rsidRPr="006B530F">
        <w:rPr>
          <w:rFonts w:ascii="Times New Roman" w:hAnsi="Times New Roman" w:cs="Times New Roman"/>
        </w:rPr>
        <w:t xml:space="preserve"> Decision No 1/2025 of the Specialised Committee on Road Transport on a list of categories, types and degrees of seriousness of serious infringements which may lead to the loss of good repute for a road haulage operator </w:t>
      </w:r>
      <w:hyperlink r:id="rId33" w:history="1">
        <w:r w:rsidR="006B530F" w:rsidRPr="006B530F">
          <w:rPr>
            <w:rStyle w:val="Hyperlink"/>
            <w:rFonts w:ascii="Times New Roman" w:hAnsi="Times New Roman" w:cs="Times New Roman"/>
          </w:rPr>
          <w:t>EUR-Lex - 22025D2330 - EN - EUR-Lex</w:t>
        </w:r>
      </w:hyperlink>
      <w:r w:rsidR="006B530F" w:rsidRPr="006B530F">
        <w:rPr>
          <w:rFonts w:ascii="Times New Roman" w:hAnsi="Times New Roman" w:cs="Times New Roman"/>
        </w:rPr>
        <w:t xml:space="preserve"> and Decision No 2/2025 of the Specialised Committee on Road Transport on the national electronic registers of road transport undertakings and the modalities of the exchange of information contained in those registers </w:t>
      </w:r>
      <w:hyperlink r:id="rId34" w:history="1">
        <w:r w:rsidR="006B530F" w:rsidRPr="006B530F">
          <w:rPr>
            <w:rStyle w:val="Hyperlink"/>
            <w:rFonts w:ascii="Times New Roman" w:hAnsi="Times New Roman" w:cs="Times New Roman"/>
          </w:rPr>
          <w:t>https://eur-lex.europa.eu/legal-content/EN/TXT/?uri=OJ:L_202502331</w:t>
        </w:r>
      </w:hyperlink>
      <w:r w:rsidR="006B530F" w:rsidRPr="006B530F">
        <w:rPr>
          <w:rFonts w:ascii="Times New Roman" w:hAnsi="Times New Roman" w:cs="Times New Roman"/>
        </w:rPr>
        <w:t xml:space="preserve"> </w:t>
      </w:r>
    </w:p>
  </w:footnote>
  <w:footnote w:id="39">
    <w:p w14:paraId="44677093" w14:textId="2682CFD7" w:rsidR="00A9100D" w:rsidRPr="00A9100D" w:rsidRDefault="00A9100D" w:rsidP="00A9100D">
      <w:pPr>
        <w:pStyle w:val="FootnoteText"/>
        <w:jc w:val="both"/>
        <w:rPr>
          <w:rFonts w:ascii="Times New Roman" w:hAnsi="Times New Roman" w:cs="Times New Roman"/>
        </w:rPr>
      </w:pPr>
      <w:r w:rsidRPr="00A9100D">
        <w:rPr>
          <w:rStyle w:val="FootnoteReference"/>
          <w:rFonts w:ascii="Times New Roman" w:hAnsi="Times New Roman" w:cs="Times New Roman"/>
        </w:rPr>
        <w:footnoteRef/>
      </w:r>
      <w:r w:rsidRPr="00A9100D">
        <w:rPr>
          <w:rFonts w:ascii="Times New Roman" w:hAnsi="Times New Roman" w:cs="Times New Roman"/>
        </w:rPr>
        <w:t xml:space="preserve"> Decision No 1/2025 of the Partnership Council established by the Trade and Cooperation Agreement between the European Union and the European Atomic Energy Community, of the one part, and the United Kingdom of Great Britain and Northern Ireland, of the other part of 18 June 2025 issuing an interpretation of Article 508(2)(d) of the Trade and Cooperation Agreement between the European Union and the European Atomic Energy Community, of the one part, and the United Kingdom of Great Britain and Northern Ireland, of the other part</w:t>
      </w:r>
      <w:r w:rsidR="007218E5">
        <w:rPr>
          <w:rFonts w:ascii="Times New Roman" w:hAnsi="Times New Roman" w:cs="Times New Roman"/>
        </w:rPr>
        <w:t>:</w:t>
      </w:r>
      <w:r w:rsidRPr="00A9100D">
        <w:rPr>
          <w:rFonts w:ascii="Times New Roman" w:hAnsi="Times New Roman" w:cs="Times New Roman"/>
        </w:rPr>
        <w:t xml:space="preserve"> </w:t>
      </w:r>
      <w:hyperlink r:id="rId35" w:history="1">
        <w:r w:rsidRPr="00A9100D">
          <w:rPr>
            <w:rStyle w:val="Hyperlink"/>
            <w:rFonts w:ascii="Times New Roman" w:hAnsi="Times New Roman" w:cs="Times New Roman"/>
          </w:rPr>
          <w:t>https://eur-lex.europa.eu/legal-content/EN/TXT/?uri=OJ%3AL_202501229</w:t>
        </w:r>
      </w:hyperlink>
      <w:r w:rsidR="007218E5">
        <w:rPr>
          <w:rFonts w:ascii="Times New Roman" w:hAnsi="Times New Roman" w:cs="Times New Roman"/>
        </w:rPr>
        <w:t>.</w:t>
      </w:r>
    </w:p>
  </w:footnote>
  <w:footnote w:id="40">
    <w:p w14:paraId="02C09CC1" w14:textId="036C3C2F" w:rsidR="00A9100D" w:rsidRPr="00A9100D" w:rsidRDefault="00A9100D" w:rsidP="00A9100D">
      <w:pPr>
        <w:pStyle w:val="FootnoteText"/>
        <w:jc w:val="both"/>
      </w:pPr>
      <w:r w:rsidRPr="00A9100D">
        <w:rPr>
          <w:rStyle w:val="FootnoteReference"/>
          <w:rFonts w:ascii="Times New Roman" w:hAnsi="Times New Roman" w:cs="Times New Roman"/>
        </w:rPr>
        <w:footnoteRef/>
      </w:r>
      <w:r w:rsidRPr="00A9100D">
        <w:rPr>
          <w:rFonts w:ascii="Times New Roman" w:hAnsi="Times New Roman" w:cs="Times New Roman"/>
        </w:rPr>
        <w:t xml:space="preserve"> Decision No 1/2025 of the Specialised Committee on Fisheries as regards the arrangements on the level and conditions of access granted by each Party to vessels of the other Party to fish in its waters from 1 July 2026 to 30 June 2038</w:t>
      </w:r>
      <w:r w:rsidR="007218E5">
        <w:rPr>
          <w:rFonts w:ascii="Times New Roman" w:hAnsi="Times New Roman" w:cs="Times New Roman"/>
        </w:rPr>
        <w:t>:</w:t>
      </w:r>
      <w:r w:rsidRPr="00A9100D">
        <w:rPr>
          <w:rFonts w:ascii="Times New Roman" w:hAnsi="Times New Roman" w:cs="Times New Roman"/>
        </w:rPr>
        <w:t xml:space="preserve"> </w:t>
      </w:r>
      <w:hyperlink r:id="rId36" w:history="1">
        <w:r w:rsidRPr="00A9100D">
          <w:rPr>
            <w:rStyle w:val="Hyperlink"/>
            <w:rFonts w:ascii="Times New Roman" w:hAnsi="Times New Roman" w:cs="Times New Roman"/>
          </w:rPr>
          <w:t>https://eur-lex.europa.eu/legal-content/EN/TXT/?uri=OJ:L_202501231</w:t>
        </w:r>
      </w:hyperlink>
      <w:r w:rsidR="007218E5">
        <w:t>.</w:t>
      </w:r>
    </w:p>
  </w:footnote>
  <w:footnote w:id="41">
    <w:p w14:paraId="40AA7418" w14:textId="7A2BE07C" w:rsidR="004E689D" w:rsidRPr="005A2BA7" w:rsidRDefault="004E689D" w:rsidP="004E689D">
      <w:pPr>
        <w:pStyle w:val="FootnoteText"/>
        <w:rPr>
          <w:rFonts w:ascii="Times New Roman" w:hAnsi="Times New Roman" w:cs="Times New Roman"/>
        </w:rPr>
      </w:pPr>
      <w:r w:rsidRPr="005A2BA7">
        <w:rPr>
          <w:rStyle w:val="FootnoteReference"/>
          <w:rFonts w:ascii="Times New Roman" w:hAnsi="Times New Roman" w:cs="Times New Roman"/>
        </w:rPr>
        <w:footnoteRef/>
      </w:r>
      <w:r w:rsidRPr="005A2BA7">
        <w:rPr>
          <w:rFonts w:ascii="Times New Roman" w:hAnsi="Times New Roman" w:cs="Times New Roman"/>
        </w:rPr>
        <w:t xml:space="preserve"> Notifications under Part Three – Law Enforcement and Judicial Cooperation in Criminal Matters of the Trade and Cooperation Agreement between the European Union and the United Kingdom – Review of the notifications made to the United Kingdom as part of the joint review of Part Three of the Trade and Cooperation Agreement (Article 630 TCA)</w:t>
      </w:r>
      <w:r w:rsidR="0093194F">
        <w:rPr>
          <w:rFonts w:ascii="Times New Roman" w:hAnsi="Times New Roman" w:cs="Times New Roman"/>
        </w:rPr>
        <w:t>:</w:t>
      </w:r>
      <w:r w:rsidRPr="005A2BA7">
        <w:rPr>
          <w:rFonts w:ascii="Times New Roman" w:hAnsi="Times New Roman" w:cs="Times New Roman"/>
        </w:rPr>
        <w:t xml:space="preserve"> </w:t>
      </w:r>
      <w:hyperlink r:id="rId37" w:history="1">
        <w:r w:rsidRPr="005A2BA7">
          <w:rPr>
            <w:rStyle w:val="Hyperlink"/>
            <w:rFonts w:ascii="Times New Roman" w:hAnsi="Times New Roman" w:cs="Times New Roman"/>
          </w:rPr>
          <w:t>https://eur-lex.europa.eu/legal-content/EN/TXT/?uri=OJ:C_202506451</w:t>
        </w:r>
      </w:hyperlink>
      <w:r w:rsidR="0093194F">
        <w:rPr>
          <w:rFonts w:ascii="Times New Roman" w:hAnsi="Times New Roman" w:cs="Times New Roman"/>
        </w:rPr>
        <w:t>.</w:t>
      </w:r>
    </w:p>
  </w:footnote>
  <w:footnote w:id="42">
    <w:p w14:paraId="76010AD3" w14:textId="75819E4D" w:rsidR="000C5317" w:rsidRDefault="000C5317">
      <w:pPr>
        <w:pStyle w:val="FootnoteText"/>
      </w:pPr>
      <w:r>
        <w:rPr>
          <w:rStyle w:val="FootnoteReference"/>
        </w:rPr>
        <w:footnoteRef/>
      </w:r>
      <w:r>
        <w:t xml:space="preserve"> </w:t>
      </w:r>
      <w:r>
        <w:rPr>
          <w:rFonts w:ascii="Times New Roman" w:hAnsi="Times New Roman" w:cs="Times New Roman"/>
        </w:rPr>
        <w:t>Data as of October 2025</w:t>
      </w:r>
    </w:p>
  </w:footnote>
  <w:footnote w:id="43">
    <w:p w14:paraId="3A4A753D" w14:textId="65377431" w:rsidR="00BD370D" w:rsidRPr="00F52880" w:rsidRDefault="00BD370D" w:rsidP="00BD370D">
      <w:pPr>
        <w:pStyle w:val="FootnoteText"/>
        <w:rPr>
          <w:rFonts w:ascii="Times New Roman" w:hAnsi="Times New Roman" w:cs="Times New Roman"/>
        </w:rPr>
      </w:pPr>
      <w:r w:rsidRPr="00F52880">
        <w:rPr>
          <w:rStyle w:val="FootnoteReference"/>
          <w:rFonts w:ascii="Times New Roman" w:hAnsi="Times New Roman" w:cs="Times New Roman"/>
        </w:rPr>
        <w:footnoteRef/>
      </w:r>
      <w:r w:rsidRPr="00F52880">
        <w:rPr>
          <w:rFonts w:ascii="Times New Roman" w:hAnsi="Times New Roman" w:cs="Times New Roman"/>
        </w:rPr>
        <w:t xml:space="preserve"> Horizon Dashboard: </w:t>
      </w:r>
      <w:hyperlink r:id="rId38" w:history="1">
        <w:r w:rsidRPr="00F52880">
          <w:rPr>
            <w:rStyle w:val="Hyperlink"/>
            <w:rFonts w:ascii="Times New Roman" w:hAnsi="Times New Roman" w:cs="Times New Roman"/>
          </w:rPr>
          <w:t>R&amp;I Country Profile - Welcome | Sheet - Qlik Sense</w:t>
        </w:r>
      </w:hyperlink>
    </w:p>
  </w:footnote>
  <w:footnote w:id="44">
    <w:p w14:paraId="15609000" w14:textId="1B7179D5" w:rsidR="00BD370D" w:rsidRPr="00CD620E" w:rsidRDefault="00BD370D">
      <w:pPr>
        <w:pStyle w:val="FootnoteText"/>
        <w:rPr>
          <w:lang w:val="et-EE"/>
        </w:rPr>
      </w:pPr>
      <w:r w:rsidRPr="00F52880">
        <w:rPr>
          <w:rStyle w:val="FootnoteReference"/>
          <w:rFonts w:ascii="Times New Roman" w:hAnsi="Times New Roman" w:cs="Times New Roman"/>
        </w:rPr>
        <w:footnoteRef/>
      </w:r>
      <w:r w:rsidRPr="00F52880">
        <w:rPr>
          <w:rFonts w:ascii="Times New Roman" w:hAnsi="Times New Roman" w:cs="Times New Roman"/>
        </w:rPr>
        <w:t xml:space="preserve"> </w:t>
      </w:r>
      <w:hyperlink r:id="rId39" w:history="1">
        <w:r w:rsidR="00F52880" w:rsidRPr="00F52880">
          <w:rPr>
            <w:rStyle w:val="Hyperlink"/>
            <w:rFonts w:ascii="Times New Roman" w:hAnsi="Times New Roman" w:cs="Times New Roman"/>
          </w:rPr>
          <w:t>https://ec.europa.eu/commission/presscorner/detail/en/statement_25_3103</w:t>
        </w:r>
      </w:hyperlink>
      <w:r w:rsidR="0093194F">
        <w:t>.</w:t>
      </w:r>
    </w:p>
  </w:footnote>
  <w:footnote w:id="45">
    <w:p w14:paraId="24F86AC0" w14:textId="7CBD391D" w:rsidR="001E56AA" w:rsidRPr="007D3844" w:rsidRDefault="001E56AA" w:rsidP="001E56AA">
      <w:pPr>
        <w:pStyle w:val="FootnoteText"/>
        <w:rPr>
          <w:rFonts w:ascii="Times New Roman" w:hAnsi="Times New Roman" w:cs="Times New Roman"/>
        </w:rPr>
      </w:pPr>
      <w:r w:rsidRPr="001E56AA">
        <w:rPr>
          <w:rStyle w:val="FootnoteReference"/>
          <w:rFonts w:ascii="Times New Roman" w:hAnsi="Times New Roman" w:cs="Times New Roman"/>
        </w:rPr>
        <w:footnoteRef/>
      </w:r>
      <w:r w:rsidRPr="001E56AA">
        <w:rPr>
          <w:rFonts w:ascii="Times New Roman" w:hAnsi="Times New Roman" w:cs="Times New Roman"/>
        </w:rPr>
        <w:t xml:space="preserve"> Council Decision (EU) 2025/1286 of 20 June 2025 authorising the opening of negotiations with the United </w:t>
      </w:r>
      <w:r w:rsidRPr="007D3844">
        <w:rPr>
          <w:rFonts w:ascii="Times New Roman" w:hAnsi="Times New Roman" w:cs="Times New Roman"/>
        </w:rPr>
        <w:t xml:space="preserve">Kingdom of Great Britain and Northern Ireland for an agreement on a youth experience scheme </w:t>
      </w:r>
      <w:hyperlink r:id="rId40" w:history="1">
        <w:r w:rsidRPr="007D3844">
          <w:rPr>
            <w:rStyle w:val="Hyperlink"/>
            <w:rFonts w:ascii="Times New Roman" w:hAnsi="Times New Roman" w:cs="Times New Roman"/>
          </w:rPr>
          <w:t>https://eur-lex.europa.eu/eli/dec/2025/1286/oj/eng</w:t>
        </w:r>
      </w:hyperlink>
      <w:r w:rsidR="00873F80" w:rsidRPr="007D3844">
        <w:rPr>
          <w:rFonts w:ascii="Times New Roman" w:hAnsi="Times New Roman" w:cs="Times New Roman"/>
        </w:rPr>
        <w:t>.</w:t>
      </w:r>
    </w:p>
  </w:footnote>
  <w:footnote w:id="46">
    <w:p w14:paraId="1AEBC27D" w14:textId="2782EFD4" w:rsidR="007D3844" w:rsidRPr="007D3844" w:rsidRDefault="007D3844">
      <w:pPr>
        <w:pStyle w:val="FootnoteText"/>
        <w:rPr>
          <w:rFonts w:ascii="Times New Roman" w:hAnsi="Times New Roman" w:cs="Times New Roman"/>
        </w:rPr>
      </w:pPr>
      <w:r w:rsidRPr="007D3844">
        <w:rPr>
          <w:rStyle w:val="FootnoteReference"/>
          <w:rFonts w:ascii="Times New Roman" w:hAnsi="Times New Roman" w:cs="Times New Roman"/>
        </w:rPr>
        <w:footnoteRef/>
      </w:r>
      <w:r w:rsidRPr="007D3844">
        <w:rPr>
          <w:rFonts w:ascii="Times New Roman" w:hAnsi="Times New Roman" w:cs="Times New Roman"/>
        </w:rPr>
        <w:t xml:space="preserve"> </w:t>
      </w:r>
      <w:hyperlink r:id="rId41" w:history="1">
        <w:r w:rsidRPr="007D3844">
          <w:rPr>
            <w:rStyle w:val="Hyperlink"/>
            <w:rFonts w:ascii="Times New Roman" w:hAnsi="Times New Roman" w:cs="Times New Roman"/>
          </w:rPr>
          <w:t>Subsidy Control Act 2022</w:t>
        </w:r>
      </w:hyperlink>
      <w:r w:rsidRPr="007D3844">
        <w:rPr>
          <w:rFonts w:ascii="Times New Roman" w:hAnsi="Times New Roman" w:cs="Times New Roman"/>
        </w:rPr>
        <w:t xml:space="preserve"> </w:t>
      </w:r>
    </w:p>
  </w:footnote>
  <w:footnote w:id="47">
    <w:p w14:paraId="693B47CA" w14:textId="77777777" w:rsidR="007D3844" w:rsidRPr="00FB459C" w:rsidRDefault="007D3844" w:rsidP="007D3844">
      <w:pPr>
        <w:pStyle w:val="FootnoteText"/>
        <w:rPr>
          <w:rFonts w:ascii="Times New Roman" w:hAnsi="Times New Roman" w:cs="Times New Roman"/>
        </w:rPr>
      </w:pPr>
      <w:r w:rsidRPr="007D3844">
        <w:rPr>
          <w:rStyle w:val="FootnoteReference"/>
          <w:rFonts w:ascii="Times New Roman" w:hAnsi="Times New Roman" w:cs="Times New Roman"/>
        </w:rPr>
        <w:footnoteRef/>
      </w:r>
      <w:r w:rsidRPr="007D3844">
        <w:rPr>
          <w:rFonts w:ascii="Times New Roman" w:hAnsi="Times New Roman" w:cs="Times New Roman"/>
        </w:rPr>
        <w:t xml:space="preserve"> </w:t>
      </w:r>
      <w:hyperlink r:id="rId42" w:history="1">
        <w:r w:rsidRPr="007D3844">
          <w:rPr>
            <w:rStyle w:val="Hyperlink"/>
            <w:rFonts w:ascii="Times New Roman" w:hAnsi="Times New Roman" w:cs="Times New Roman"/>
          </w:rPr>
          <w:t>https://www.legislation.gov.uk/uksi/2025/845/made</w:t>
        </w:r>
      </w:hyperlink>
      <w:r w:rsidRPr="00FB459C">
        <w:rPr>
          <w:rFonts w:ascii="Times New Roman" w:hAnsi="Times New Roman" w:cs="Times New Roman"/>
        </w:rPr>
        <w:t xml:space="preserve"> </w:t>
      </w:r>
    </w:p>
  </w:footnote>
  <w:footnote w:id="48">
    <w:p w14:paraId="60B18121" w14:textId="6BDC0AA1" w:rsidR="00836903" w:rsidRPr="001E56AA" w:rsidRDefault="00836903">
      <w:pPr>
        <w:pStyle w:val="FootnoteText"/>
        <w:rPr>
          <w:rFonts w:ascii="Times New Roman" w:hAnsi="Times New Roman" w:cs="Times New Roman"/>
        </w:rPr>
      </w:pPr>
      <w:r w:rsidRPr="00FB459C">
        <w:rPr>
          <w:rStyle w:val="FootnoteReference"/>
          <w:rFonts w:ascii="Times New Roman" w:hAnsi="Times New Roman" w:cs="Times New Roman"/>
        </w:rPr>
        <w:footnoteRef/>
      </w:r>
      <w:r w:rsidRPr="00FB459C">
        <w:rPr>
          <w:rFonts w:ascii="Times New Roman" w:hAnsi="Times New Roman" w:cs="Times New Roman"/>
        </w:rPr>
        <w:t xml:space="preserve"> </w:t>
      </w:r>
      <w:r w:rsidR="00FB459C" w:rsidRPr="009445AC">
        <w:rPr>
          <w:rFonts w:ascii="Times New Roman" w:hAnsi="Times New Roman" w:cs="Times New Roman"/>
        </w:rPr>
        <w:t>https://assets.publishing.service.gov.uk/media/69440cd78f4636fa2c547e8a/employment-rights-act-2025-overview.pdf</w:t>
      </w:r>
      <w:r w:rsidR="00873F80">
        <w:rPr>
          <w:rFonts w:ascii="Times New Roman" w:hAnsi="Times New Roman" w:cs="Times New Roman"/>
        </w:rPr>
        <w:t>.</w:t>
      </w:r>
    </w:p>
  </w:footnote>
  <w:footnote w:id="49">
    <w:p w14:paraId="403A8039" w14:textId="2BA61A95" w:rsidR="00670DDE" w:rsidRPr="0018706E" w:rsidRDefault="00670DDE">
      <w:pPr>
        <w:pStyle w:val="FootnoteText"/>
        <w:rPr>
          <w:rFonts w:ascii="Times New Roman" w:hAnsi="Times New Roman" w:cs="Times New Roman"/>
        </w:rPr>
      </w:pPr>
      <w:r w:rsidRPr="0018706E">
        <w:rPr>
          <w:rStyle w:val="FootnoteReference"/>
          <w:rFonts w:ascii="Times New Roman" w:hAnsi="Times New Roman" w:cs="Times New Roman"/>
        </w:rPr>
        <w:footnoteRef/>
      </w:r>
      <w:r w:rsidRPr="0018706E">
        <w:rPr>
          <w:rFonts w:ascii="Times New Roman" w:hAnsi="Times New Roman" w:cs="Times New Roman"/>
        </w:rPr>
        <w:t xml:space="preserve"> </w:t>
      </w:r>
      <w:hyperlink r:id="rId43" w:history="1">
        <w:r w:rsidRPr="0018706E">
          <w:rPr>
            <w:rStyle w:val="Hyperlink"/>
            <w:rFonts w:ascii="Times New Roman" w:hAnsi="Times New Roman" w:cs="Times New Roman"/>
          </w:rPr>
          <w:t>https://www.legislation.gov.uk/ukpga/2023/39</w:t>
        </w:r>
      </w:hyperlink>
      <w:r w:rsidR="00873F80">
        <w:rPr>
          <w:rFonts w:ascii="Times New Roman" w:hAnsi="Times New Roman" w:cs="Times New Roman"/>
        </w:rPr>
        <w:t>.</w:t>
      </w:r>
    </w:p>
  </w:footnote>
  <w:footnote w:id="50">
    <w:p w14:paraId="1ABBFF10" w14:textId="1E568D9D" w:rsidR="0018706E" w:rsidRPr="0018706E" w:rsidRDefault="0018706E">
      <w:pPr>
        <w:pStyle w:val="FootnoteText"/>
        <w:rPr>
          <w:rFonts w:ascii="Times New Roman" w:hAnsi="Times New Roman" w:cs="Times New Roman"/>
        </w:rPr>
      </w:pPr>
      <w:r w:rsidRPr="0018706E">
        <w:rPr>
          <w:rStyle w:val="FootnoteReference"/>
          <w:rFonts w:ascii="Times New Roman" w:hAnsi="Times New Roman" w:cs="Times New Roman"/>
        </w:rPr>
        <w:footnoteRef/>
      </w:r>
      <w:r w:rsidRPr="0018706E">
        <w:rPr>
          <w:rFonts w:ascii="Times New Roman" w:hAnsi="Times New Roman" w:cs="Times New Roman"/>
        </w:rPr>
        <w:t xml:space="preserve"> </w:t>
      </w:r>
      <w:hyperlink r:id="rId44" w:history="1">
        <w:r w:rsidRPr="0018706E">
          <w:rPr>
            <w:rStyle w:val="Hyperlink"/>
            <w:rFonts w:ascii="Times New Roman" w:hAnsi="Times New Roman" w:cs="Times New Roman"/>
          </w:rPr>
          <w:t>https://eur-lex.europa.eu/legal-content/EN/TXT/?uri=celex:52024DC0127</w:t>
        </w:r>
      </w:hyperlink>
      <w:r w:rsidR="00873F80">
        <w:rPr>
          <w:rFonts w:ascii="Times New Roman" w:hAnsi="Times New Roman" w:cs="Times New Roman"/>
        </w:rPr>
        <w:t>.</w:t>
      </w:r>
    </w:p>
  </w:footnote>
  <w:footnote w:id="51">
    <w:p w14:paraId="596F5552" w14:textId="79839573" w:rsidR="003758D3" w:rsidRPr="0018706E" w:rsidRDefault="003758D3">
      <w:pPr>
        <w:pStyle w:val="FootnoteText"/>
        <w:rPr>
          <w:rFonts w:ascii="Times New Roman" w:hAnsi="Times New Roman" w:cs="Times New Roman"/>
        </w:rPr>
      </w:pPr>
      <w:r w:rsidRPr="0018706E">
        <w:rPr>
          <w:rStyle w:val="FootnoteReference"/>
          <w:rFonts w:ascii="Times New Roman" w:hAnsi="Times New Roman" w:cs="Times New Roman"/>
        </w:rPr>
        <w:footnoteRef/>
      </w:r>
      <w:r w:rsidRPr="0018706E">
        <w:rPr>
          <w:rFonts w:ascii="Times New Roman" w:hAnsi="Times New Roman" w:cs="Times New Roman"/>
        </w:rPr>
        <w:t xml:space="preserve"> </w:t>
      </w:r>
      <w:hyperlink r:id="rId45" w:history="1">
        <w:r w:rsidRPr="0018706E">
          <w:rPr>
            <w:rStyle w:val="Hyperlink"/>
            <w:rFonts w:ascii="Times New Roman" w:hAnsi="Times New Roman" w:cs="Times New Roman"/>
          </w:rPr>
          <w:t>https://www.legislation.gov.uk/ukpga/2025/16</w:t>
        </w:r>
      </w:hyperlink>
      <w:r w:rsidR="00873F80">
        <w:rPr>
          <w:rFonts w:ascii="Times New Roman" w:hAnsi="Times New Roman" w:cs="Times New Roman"/>
        </w:rPr>
        <w:t>.</w:t>
      </w:r>
    </w:p>
  </w:footnote>
  <w:footnote w:id="52">
    <w:p w14:paraId="7E103CB6" w14:textId="466C01DE" w:rsidR="00212267" w:rsidRPr="00670DDE" w:rsidRDefault="00212267">
      <w:pPr>
        <w:pStyle w:val="FootnoteText"/>
        <w:rPr>
          <w:rFonts w:ascii="Times New Roman" w:hAnsi="Times New Roman" w:cs="Times New Roman"/>
        </w:rPr>
      </w:pPr>
      <w:r w:rsidRPr="0018706E">
        <w:rPr>
          <w:rStyle w:val="FootnoteReference"/>
          <w:rFonts w:ascii="Times New Roman" w:hAnsi="Times New Roman" w:cs="Times New Roman"/>
        </w:rPr>
        <w:footnoteRef/>
      </w:r>
      <w:r w:rsidRPr="0018706E">
        <w:rPr>
          <w:rFonts w:ascii="Times New Roman" w:hAnsi="Times New Roman" w:cs="Times New Roman"/>
        </w:rPr>
        <w:t xml:space="preserve"> </w:t>
      </w:r>
      <w:hyperlink r:id="rId46" w:history="1">
        <w:r w:rsidR="00D30A94" w:rsidRPr="004F00DC">
          <w:rPr>
            <w:rStyle w:val="Hyperlink"/>
            <w:rFonts w:ascii="Times New Roman" w:hAnsi="Times New Roman" w:cs="Times New Roman"/>
          </w:rPr>
          <w:t>https://www.legislation.gov.uk/ukpga/2025/34/enacted</w:t>
        </w:r>
      </w:hyperlink>
      <w:r w:rsidR="00A45D49">
        <w:rPr>
          <w:rFonts w:ascii="Times New Roman" w:hAnsi="Times New Roman" w:cs="Times New Roman"/>
        </w:rPr>
        <w:t>.</w:t>
      </w:r>
    </w:p>
  </w:footnote>
  <w:footnote w:id="53">
    <w:p w14:paraId="25D70552" w14:textId="389074F8" w:rsidR="00945223" w:rsidRPr="003A2C95" w:rsidRDefault="00945223">
      <w:pPr>
        <w:pStyle w:val="FootnoteText"/>
        <w:rPr>
          <w:rFonts w:ascii="Times New Roman" w:hAnsi="Times New Roman" w:cs="Times New Roman"/>
        </w:rPr>
      </w:pPr>
      <w:r w:rsidRPr="003A2C95">
        <w:rPr>
          <w:rStyle w:val="FootnoteReference"/>
          <w:rFonts w:ascii="Times New Roman" w:hAnsi="Times New Roman" w:cs="Times New Roman"/>
        </w:rPr>
        <w:footnoteRef/>
      </w:r>
      <w:r w:rsidRPr="003A2C95">
        <w:rPr>
          <w:rFonts w:ascii="Times New Roman" w:hAnsi="Times New Roman" w:cs="Times New Roman"/>
        </w:rPr>
        <w:t xml:space="preserve"> </w:t>
      </w:r>
      <w:hyperlink r:id="rId47" w:history="1">
        <w:r w:rsidRPr="003A2C95">
          <w:rPr>
            <w:rStyle w:val="Hyperlink"/>
            <w:rFonts w:ascii="Times New Roman" w:hAnsi="Times New Roman" w:cs="Times New Roman"/>
          </w:rPr>
          <w:t>https://www.legislation.gov.uk/ukpga/2025/20</w:t>
        </w:r>
      </w:hyperlink>
      <w:r w:rsidR="00A45D49">
        <w:rPr>
          <w:rFonts w:ascii="Times New Roman" w:hAnsi="Times New Roman" w:cs="Times New Roman"/>
        </w:rPr>
        <w:t>.</w:t>
      </w:r>
    </w:p>
  </w:footnote>
  <w:footnote w:id="54">
    <w:p w14:paraId="7779E441" w14:textId="18E42756" w:rsidR="006749E2" w:rsidRPr="003A2C95" w:rsidRDefault="006749E2">
      <w:pPr>
        <w:pStyle w:val="FootnoteText"/>
        <w:rPr>
          <w:rFonts w:ascii="Times New Roman" w:hAnsi="Times New Roman" w:cs="Times New Roman"/>
        </w:rPr>
      </w:pPr>
      <w:r w:rsidRPr="003A2C95">
        <w:rPr>
          <w:rStyle w:val="FootnoteReference"/>
          <w:rFonts w:ascii="Times New Roman" w:hAnsi="Times New Roman" w:cs="Times New Roman"/>
        </w:rPr>
        <w:footnoteRef/>
      </w:r>
      <w:r w:rsidRPr="003A2C95">
        <w:rPr>
          <w:rFonts w:ascii="Times New Roman" w:hAnsi="Times New Roman" w:cs="Times New Roman"/>
        </w:rPr>
        <w:t xml:space="preserve"> </w:t>
      </w:r>
      <w:hyperlink r:id="rId48" w:history="1">
        <w:r w:rsidRPr="003A2C95">
          <w:rPr>
            <w:rStyle w:val="Hyperlink"/>
            <w:rFonts w:ascii="Times New Roman" w:hAnsi="Times New Roman" w:cs="Times New Roman"/>
          </w:rPr>
          <w:t>https://www.legislation.gov.uk/ukpga/2025/18/contents</w:t>
        </w:r>
      </w:hyperlink>
      <w:r w:rsidR="00A45D49">
        <w:rPr>
          <w:rFonts w:ascii="Times New Roman" w:hAnsi="Times New Roman" w:cs="Times New Roman"/>
        </w:rPr>
        <w:t>.</w:t>
      </w:r>
    </w:p>
  </w:footnote>
  <w:footnote w:id="55">
    <w:p w14:paraId="533BDCF8" w14:textId="03C5CE89" w:rsidR="00640672" w:rsidRPr="003A2C95" w:rsidRDefault="00640672" w:rsidP="00640672">
      <w:pPr>
        <w:pStyle w:val="FootnoteText"/>
        <w:rPr>
          <w:rFonts w:ascii="Times New Roman" w:hAnsi="Times New Roman" w:cs="Times New Roman"/>
        </w:rPr>
      </w:pPr>
      <w:r w:rsidRPr="003A2C95">
        <w:rPr>
          <w:rStyle w:val="FootnoteReference"/>
          <w:rFonts w:ascii="Times New Roman" w:hAnsi="Times New Roman" w:cs="Times New Roman"/>
        </w:rPr>
        <w:footnoteRef/>
      </w:r>
      <w:r w:rsidRPr="003A2C95">
        <w:rPr>
          <w:rFonts w:ascii="Times New Roman" w:hAnsi="Times New Roman" w:cs="Times New Roman"/>
        </w:rPr>
        <w:t xml:space="preserve"> Commission Implementing Decision of 24 June 2025 amending Implementing Decision (EU) 2021/1772 of 28 June 2021 pursuant to Regulation (EU) 2016/679 of the European Parliament and of the Council on the adequate protection of personal data by the United Kingdom: </w:t>
      </w:r>
      <w:hyperlink r:id="rId49" w:history="1">
        <w:r w:rsidRPr="003A2C95">
          <w:rPr>
            <w:rStyle w:val="Hyperlink"/>
            <w:rFonts w:ascii="Times New Roman" w:hAnsi="Times New Roman" w:cs="Times New Roman"/>
          </w:rPr>
          <w:t>https://commission.europa.eu/document/download/adaf1cfc-6c2d-43a4-9e9a-928c64f2f983_en?filename=Extension%20of%20the%20UK%20Data%20Adequacy%20Decision.pdf</w:t>
        </w:r>
      </w:hyperlink>
      <w:r w:rsidR="00A45D49">
        <w:rPr>
          <w:rFonts w:ascii="Times New Roman" w:hAnsi="Times New Roman" w:cs="Times New Roman"/>
        </w:rPr>
        <w:t>.</w:t>
      </w:r>
    </w:p>
  </w:footnote>
  <w:footnote w:id="56">
    <w:p w14:paraId="7EF1C424" w14:textId="18C4BEA1" w:rsidR="003A2C95" w:rsidRPr="003A2C95" w:rsidRDefault="003A2C95" w:rsidP="003A2C95">
      <w:pPr>
        <w:pStyle w:val="FootnoteText"/>
        <w:rPr>
          <w:rFonts w:ascii="Times New Roman" w:hAnsi="Times New Roman" w:cs="Times New Roman"/>
        </w:rPr>
      </w:pPr>
      <w:r w:rsidRPr="003A2C95">
        <w:rPr>
          <w:rStyle w:val="FootnoteReference"/>
          <w:rFonts w:ascii="Times New Roman" w:hAnsi="Times New Roman" w:cs="Times New Roman"/>
        </w:rPr>
        <w:footnoteRef/>
      </w:r>
      <w:r w:rsidRPr="003A2C95">
        <w:rPr>
          <w:rFonts w:ascii="Times New Roman" w:hAnsi="Times New Roman" w:cs="Times New Roman"/>
        </w:rPr>
        <w:t xml:space="preserve"> Commission Implementing Decision amending Commission Implementing Decision (EU) 2021/1772 of 28 June 2021 pursuant to Regulation (EU) 2016/679 of the European Parliament and of the Council on the</w:t>
      </w:r>
    </w:p>
    <w:p w14:paraId="4FEE8992" w14:textId="33875A06" w:rsidR="003A2C95" w:rsidRPr="003A2C95" w:rsidRDefault="003A2C95" w:rsidP="003A2C95">
      <w:pPr>
        <w:pStyle w:val="FootnoteText"/>
      </w:pPr>
      <w:r w:rsidRPr="003A2C95">
        <w:rPr>
          <w:rFonts w:ascii="Times New Roman" w:hAnsi="Times New Roman" w:cs="Times New Roman"/>
        </w:rPr>
        <w:t>adequate protection of personal data by the United Kingdom (notified under document C(2021)4800)</w:t>
      </w:r>
      <w:r w:rsidR="00854FF8">
        <w:rPr>
          <w:rFonts w:ascii="Times New Roman" w:hAnsi="Times New Roman" w:cs="Times New Roman"/>
        </w:rPr>
        <w:t>:</w:t>
      </w:r>
      <w:r w:rsidRPr="003A2C95">
        <w:rPr>
          <w:rFonts w:ascii="Times New Roman" w:hAnsi="Times New Roman" w:cs="Times New Roman"/>
        </w:rPr>
        <w:t xml:space="preserve"> </w:t>
      </w:r>
      <w:hyperlink r:id="rId50" w:history="1">
        <w:r w:rsidRPr="003A2C95">
          <w:rPr>
            <w:rStyle w:val="Hyperlink"/>
            <w:rFonts w:ascii="Times New Roman" w:hAnsi="Times New Roman" w:cs="Times New Roman"/>
          </w:rPr>
          <w:t>https://commission.europa.eu/document/download/6f636fa0-30d4-4c05-a713-64484ad913fa_en?filename=Draft%20Renewal%20of%20EU%20adequacy%20decision%20for%20the%20UK%20under%20the%20GDPR.pdf</w:t>
        </w:r>
      </w:hyperlink>
      <w:r w:rsidR="00A45D49">
        <w:t>.</w:t>
      </w:r>
    </w:p>
  </w:footnote>
  <w:footnote w:id="57">
    <w:p w14:paraId="5EB4474A" w14:textId="6A9567E7" w:rsidR="00736AFA" w:rsidRPr="00285299" w:rsidRDefault="00736AFA">
      <w:pPr>
        <w:pStyle w:val="FootnoteText"/>
        <w:rPr>
          <w:rFonts w:ascii="Times New Roman" w:hAnsi="Times New Roman" w:cs="Times New Roman"/>
        </w:rPr>
      </w:pPr>
      <w:r w:rsidRPr="00285299">
        <w:rPr>
          <w:rStyle w:val="FootnoteReference"/>
          <w:rFonts w:ascii="Times New Roman" w:hAnsi="Times New Roman" w:cs="Times New Roman"/>
        </w:rPr>
        <w:footnoteRef/>
      </w:r>
      <w:r w:rsidRPr="00285299">
        <w:rPr>
          <w:rFonts w:ascii="Times New Roman" w:hAnsi="Times New Roman" w:cs="Times New Roman"/>
        </w:rPr>
        <w:t xml:space="preserve"> </w:t>
      </w:r>
      <w:hyperlink r:id="rId51" w:history="1">
        <w:r w:rsidR="00285299" w:rsidRPr="00285299">
          <w:rPr>
            <w:rStyle w:val="Hyperlink"/>
            <w:rFonts w:ascii="Times New Roman" w:hAnsi="Times New Roman" w:cs="Times New Roman"/>
          </w:rPr>
          <w:t>https://ec.europa.eu/commission/presscorner/detail/en/ip_25_3059</w:t>
        </w:r>
      </w:hyperlink>
      <w:r w:rsidR="00165562">
        <w:rPr>
          <w:rFonts w:ascii="Times New Roman" w:hAnsi="Times New Roman" w:cs="Times New Roman"/>
        </w:rPr>
        <w:t>.</w:t>
      </w:r>
    </w:p>
  </w:footnote>
  <w:footnote w:id="58">
    <w:p w14:paraId="0B34A20D" w14:textId="77777777" w:rsidR="00101E60" w:rsidRPr="00C95D06" w:rsidRDefault="00101E60" w:rsidP="00101E60">
      <w:pPr>
        <w:pStyle w:val="FootnoteText"/>
        <w:jc w:val="both"/>
        <w:rPr>
          <w:rFonts w:ascii="Times New Roman" w:hAnsi="Times New Roman" w:cs="Times New Roman"/>
        </w:rPr>
      </w:pPr>
      <w:r>
        <w:rPr>
          <w:rStyle w:val="FootnoteReference"/>
        </w:rPr>
        <w:footnoteRef/>
      </w:r>
      <w:r>
        <w:t xml:space="preserve"> </w:t>
      </w:r>
      <w:r w:rsidRPr="00176FCA">
        <w:rPr>
          <w:rFonts w:ascii="Times New Roman" w:hAnsi="Times New Roman" w:cs="Times New Roman"/>
        </w:rPr>
        <w:t xml:space="preserve">Agendas and minutes of the meetings of the Partnership Council and Specialised Committees under the TCA are available at: </w:t>
      </w:r>
      <w:hyperlink r:id="rId52" w:history="1">
        <w:r w:rsidRPr="00176FCA">
          <w:rPr>
            <w:rStyle w:val="Hyperlink"/>
            <w:rFonts w:ascii="Times New Roman" w:hAnsi="Times New Roman" w:cs="Times New Roman"/>
          </w:rPr>
          <w:t>https://ec.europa.eu/info/strategy/relations-non-eu-countries/relations-united-kingdom/eu-uk-trade-and-cooperation-agreement/meetings-eu-uk-partnership-council-and-specialised-committees-under-trade-and-cooperation-agreement_en</w:t>
        </w:r>
      </w:hyperlink>
      <w:r w:rsidRPr="00C95D06">
        <w:rPr>
          <w:rFonts w:ascii="Times New Roman" w:hAnsi="Times New Roman" w:cs="Times New Roman"/>
        </w:rPr>
        <w:t>.</w:t>
      </w:r>
    </w:p>
    <w:p w14:paraId="51131AB8" w14:textId="7D3970D6" w:rsidR="00101E60" w:rsidRPr="00101E60" w:rsidRDefault="00101E60">
      <w:pPr>
        <w:pStyle w:val="FootnoteText"/>
      </w:pPr>
    </w:p>
  </w:footnote>
  <w:footnote w:id="59">
    <w:p w14:paraId="2500389A" w14:textId="5C2F039A" w:rsidR="00F67C44" w:rsidRPr="00AC273F" w:rsidRDefault="00F67C44">
      <w:pPr>
        <w:pStyle w:val="FootnoteText"/>
        <w:rPr>
          <w:rFonts w:ascii="Times New Roman" w:hAnsi="Times New Roman" w:cs="Times New Roman"/>
        </w:rPr>
      </w:pPr>
      <w:r w:rsidRPr="00AC273F">
        <w:rPr>
          <w:rStyle w:val="FootnoteReference"/>
          <w:rFonts w:ascii="Times New Roman" w:hAnsi="Times New Roman" w:cs="Times New Roman"/>
        </w:rPr>
        <w:footnoteRef/>
      </w:r>
      <w:r w:rsidRPr="00AC273F">
        <w:rPr>
          <w:rFonts w:ascii="Times New Roman" w:hAnsi="Times New Roman" w:cs="Times New Roman"/>
        </w:rPr>
        <w:t xml:space="preserve"> </w:t>
      </w:r>
      <w:hyperlink r:id="rId53" w:history="1">
        <w:r w:rsidRPr="00AC273F">
          <w:rPr>
            <w:rStyle w:val="Hyperlink"/>
            <w:rFonts w:ascii="Times New Roman" w:hAnsi="Times New Roman" w:cs="Times New Roman"/>
          </w:rPr>
          <w:t>https://eur-lex.europa.eu/legal-content/EN/TXT/?uri=OJ%3AL_202501229</w:t>
        </w:r>
      </w:hyperlink>
      <w:r w:rsidR="00653397">
        <w:rPr>
          <w:rFonts w:ascii="Times New Roman" w:hAnsi="Times New Roman" w:cs="Times New Roman"/>
        </w:rPr>
        <w:t>.</w:t>
      </w:r>
    </w:p>
  </w:footnote>
  <w:footnote w:id="60">
    <w:p w14:paraId="604A53A4" w14:textId="12AA05C4" w:rsidR="00F67C44" w:rsidRPr="00AC273F" w:rsidRDefault="00F67C44">
      <w:pPr>
        <w:pStyle w:val="FootnoteText"/>
        <w:rPr>
          <w:rFonts w:ascii="Times New Roman" w:hAnsi="Times New Roman" w:cs="Times New Roman"/>
        </w:rPr>
      </w:pPr>
      <w:r w:rsidRPr="00AC273F">
        <w:rPr>
          <w:rStyle w:val="FootnoteReference"/>
          <w:rFonts w:ascii="Times New Roman" w:hAnsi="Times New Roman" w:cs="Times New Roman"/>
        </w:rPr>
        <w:footnoteRef/>
      </w:r>
      <w:r w:rsidRPr="00AC273F">
        <w:rPr>
          <w:rFonts w:ascii="Times New Roman" w:hAnsi="Times New Roman" w:cs="Times New Roman"/>
        </w:rPr>
        <w:t xml:space="preserve"> </w:t>
      </w:r>
      <w:hyperlink r:id="rId54" w:history="1">
        <w:r w:rsidRPr="00AC273F">
          <w:rPr>
            <w:rStyle w:val="Hyperlink"/>
            <w:rFonts w:ascii="Times New Roman" w:hAnsi="Times New Roman" w:cs="Times New Roman"/>
          </w:rPr>
          <w:t>https://eur-lex.europa.eu/legal-content/EN/TXT/?uri=OJ%3AL_202501230</w:t>
        </w:r>
      </w:hyperlink>
      <w:r w:rsidR="00653397">
        <w:rPr>
          <w:rFonts w:ascii="Times New Roman" w:hAnsi="Times New Roman" w:cs="Times New Roman"/>
        </w:rPr>
        <w:t>.</w:t>
      </w:r>
    </w:p>
  </w:footnote>
  <w:footnote w:id="61">
    <w:p w14:paraId="2E4F7D4B" w14:textId="1FABDA04" w:rsidR="00764227" w:rsidRPr="00AC273F" w:rsidRDefault="00764227">
      <w:pPr>
        <w:pStyle w:val="FootnoteText"/>
        <w:rPr>
          <w:rFonts w:ascii="Times New Roman" w:hAnsi="Times New Roman" w:cs="Times New Roman"/>
        </w:rPr>
      </w:pPr>
      <w:r w:rsidRPr="00AC273F">
        <w:rPr>
          <w:rStyle w:val="FootnoteReference"/>
          <w:rFonts w:ascii="Times New Roman" w:hAnsi="Times New Roman" w:cs="Times New Roman"/>
        </w:rPr>
        <w:footnoteRef/>
      </w:r>
      <w:r w:rsidRPr="00AC273F">
        <w:rPr>
          <w:rFonts w:ascii="Times New Roman" w:hAnsi="Times New Roman" w:cs="Times New Roman"/>
        </w:rPr>
        <w:t xml:space="preserve"> </w:t>
      </w:r>
      <w:hyperlink r:id="rId55" w:history="1">
        <w:r w:rsidRPr="00AC273F">
          <w:rPr>
            <w:rStyle w:val="Hyperlink"/>
            <w:rFonts w:ascii="Times New Roman" w:hAnsi="Times New Roman" w:cs="Times New Roman"/>
          </w:rPr>
          <w:t>https://eur-lex.europa.eu/legal-content/EN/TXT/?uri=OJ%3AL_202501232</w:t>
        </w:r>
      </w:hyperlink>
      <w:r w:rsidR="00653397">
        <w:rPr>
          <w:rFonts w:ascii="Times New Roman" w:hAnsi="Times New Roman" w:cs="Times New Roman"/>
        </w:rPr>
        <w:t>.</w:t>
      </w:r>
    </w:p>
  </w:footnote>
  <w:footnote w:id="62">
    <w:p w14:paraId="7EB46291" w14:textId="1ED78C91" w:rsidR="00A22C1C" w:rsidRPr="00AC273F" w:rsidRDefault="00A22C1C">
      <w:pPr>
        <w:pStyle w:val="FootnoteText"/>
        <w:rPr>
          <w:rFonts w:ascii="Times New Roman" w:hAnsi="Times New Roman" w:cs="Times New Roman"/>
        </w:rPr>
      </w:pPr>
      <w:r w:rsidRPr="00AC273F">
        <w:rPr>
          <w:rStyle w:val="FootnoteReference"/>
          <w:rFonts w:ascii="Times New Roman" w:hAnsi="Times New Roman" w:cs="Times New Roman"/>
        </w:rPr>
        <w:footnoteRef/>
      </w:r>
      <w:r w:rsidRPr="00AC273F">
        <w:rPr>
          <w:rFonts w:ascii="Times New Roman" w:hAnsi="Times New Roman" w:cs="Times New Roman"/>
        </w:rPr>
        <w:t xml:space="preserve"> </w:t>
      </w:r>
      <w:hyperlink r:id="rId56" w:history="1">
        <w:r w:rsidRPr="00AC273F">
          <w:rPr>
            <w:rStyle w:val="Hyperlink"/>
            <w:rFonts w:ascii="Times New Roman" w:hAnsi="Times New Roman" w:cs="Times New Roman"/>
          </w:rPr>
          <w:t>https://eur-lex.europa.eu/legal-content/EN/TXT/?uri=OJ:L_202501231</w:t>
        </w:r>
      </w:hyperlink>
      <w:r w:rsidR="00653397">
        <w:rPr>
          <w:rFonts w:ascii="Times New Roman" w:hAnsi="Times New Roman" w:cs="Times New Roman"/>
        </w:rPr>
        <w:t>.</w:t>
      </w:r>
    </w:p>
  </w:footnote>
  <w:footnote w:id="63">
    <w:p w14:paraId="6FDD5313" w14:textId="4E386A98" w:rsidR="007049DB" w:rsidRPr="00AC273F" w:rsidRDefault="007049DB">
      <w:pPr>
        <w:pStyle w:val="FootnoteText"/>
        <w:rPr>
          <w:rFonts w:ascii="Times New Roman" w:hAnsi="Times New Roman" w:cs="Times New Roman"/>
        </w:rPr>
      </w:pPr>
      <w:r w:rsidRPr="00AC273F">
        <w:rPr>
          <w:rStyle w:val="FootnoteReference"/>
          <w:rFonts w:ascii="Times New Roman" w:hAnsi="Times New Roman" w:cs="Times New Roman"/>
        </w:rPr>
        <w:footnoteRef/>
      </w:r>
      <w:r w:rsidRPr="00AC273F">
        <w:rPr>
          <w:rFonts w:ascii="Times New Roman" w:hAnsi="Times New Roman" w:cs="Times New Roman"/>
        </w:rPr>
        <w:t xml:space="preserve"> </w:t>
      </w:r>
      <w:hyperlink r:id="rId57" w:history="1">
        <w:r w:rsidR="00A75372" w:rsidRPr="00AC273F">
          <w:rPr>
            <w:rStyle w:val="Hyperlink"/>
            <w:rFonts w:ascii="Times New Roman" w:hAnsi="Times New Roman" w:cs="Times New Roman"/>
          </w:rPr>
          <w:t>https://eur-lex.europa.eu/legal-content/EN/TXT/?uri=OJ:L_202501755</w:t>
        </w:r>
      </w:hyperlink>
      <w:r w:rsidR="00653397">
        <w:rPr>
          <w:rFonts w:ascii="Times New Roman" w:hAnsi="Times New Roman" w:cs="Times New Roman"/>
        </w:rPr>
        <w:t>.</w:t>
      </w:r>
    </w:p>
  </w:footnote>
  <w:footnote w:id="64">
    <w:p w14:paraId="43F9935A" w14:textId="77777777" w:rsidR="008C47FD" w:rsidRPr="008C47FD" w:rsidRDefault="008C47FD" w:rsidP="008C47FD">
      <w:pPr>
        <w:pStyle w:val="FootnoteText"/>
        <w:rPr>
          <w:rFonts w:ascii="Times New Roman" w:hAnsi="Times New Roman" w:cs="Times New Roman"/>
          <w:lang w:val="fr-FR"/>
        </w:rPr>
      </w:pPr>
      <w:r w:rsidRPr="008C47FD">
        <w:rPr>
          <w:rStyle w:val="FootnoteReference"/>
          <w:rFonts w:ascii="Times New Roman" w:hAnsi="Times New Roman" w:cs="Times New Roman"/>
        </w:rPr>
        <w:footnoteRef/>
      </w:r>
      <w:r w:rsidRPr="008C47FD">
        <w:rPr>
          <w:rFonts w:ascii="Times New Roman" w:hAnsi="Times New Roman" w:cs="Times New Roman"/>
          <w:lang w:val="fr-FR"/>
        </w:rPr>
        <w:t xml:space="preserve"> </w:t>
      </w:r>
      <w:bookmarkStart w:id="92" w:name="_Hlk222926852"/>
      <w:r w:rsidRPr="008C47FD">
        <w:rPr>
          <w:rFonts w:ascii="Times New Roman" w:hAnsi="Times New Roman" w:cs="Times New Roman"/>
          <w:color w:val="0563C1" w:themeColor="hyperlink"/>
          <w:u w:val="single"/>
        </w:rPr>
        <w:fldChar w:fldCharType="begin"/>
      </w:r>
      <w:r w:rsidRPr="008C47FD">
        <w:rPr>
          <w:rFonts w:ascii="Times New Roman" w:hAnsi="Times New Roman" w:cs="Times New Roman"/>
          <w:color w:val="0563C1" w:themeColor="hyperlink"/>
          <w:u w:val="single"/>
          <w:lang w:val="fr-BE"/>
        </w:rPr>
        <w:instrText>HYPERLINK "https://eur-lex.europa.eu/legal-content/EN/TXT/?uri=CELEX:22025D2330"</w:instrText>
      </w:r>
      <w:r w:rsidRPr="008C47FD">
        <w:rPr>
          <w:rFonts w:ascii="Times New Roman" w:hAnsi="Times New Roman" w:cs="Times New Roman"/>
          <w:color w:val="0563C1" w:themeColor="hyperlink"/>
          <w:u w:val="single"/>
        </w:rPr>
        <w:fldChar w:fldCharType="separate"/>
      </w:r>
      <w:r w:rsidRPr="008C47FD">
        <w:rPr>
          <w:rStyle w:val="Hyperlink"/>
          <w:rFonts w:ascii="Times New Roman" w:hAnsi="Times New Roman" w:cs="Times New Roman"/>
          <w:lang w:val="fr-FR"/>
        </w:rPr>
        <w:t>EUR-Lex - 22025D2330 - EN - EUR-Lex</w:t>
      </w:r>
      <w:r w:rsidRPr="008C47FD">
        <w:rPr>
          <w:rFonts w:ascii="Times New Roman" w:hAnsi="Times New Roman" w:cs="Times New Roman"/>
          <w:color w:val="0563C1" w:themeColor="hyperlink"/>
          <w:u w:val="single"/>
        </w:rPr>
        <w:fldChar w:fldCharType="end"/>
      </w:r>
      <w:r w:rsidRPr="008C47FD">
        <w:rPr>
          <w:rFonts w:ascii="Times New Roman" w:hAnsi="Times New Roman" w:cs="Times New Roman"/>
          <w:lang w:val="fr-FR"/>
        </w:rPr>
        <w:t>.</w:t>
      </w:r>
      <w:bookmarkEnd w:id="92"/>
    </w:p>
  </w:footnote>
  <w:footnote w:id="65">
    <w:p w14:paraId="5896AB1A" w14:textId="77777777" w:rsidR="008C47FD" w:rsidRPr="008C47FD" w:rsidRDefault="008C47FD" w:rsidP="008C47FD">
      <w:pPr>
        <w:pStyle w:val="FootnoteText"/>
        <w:rPr>
          <w:rFonts w:ascii="Times New Roman" w:hAnsi="Times New Roman" w:cs="Times New Roman"/>
          <w:lang w:val="fr-FR"/>
        </w:rPr>
      </w:pPr>
      <w:r w:rsidRPr="008C47FD">
        <w:rPr>
          <w:rStyle w:val="FootnoteReference"/>
          <w:rFonts w:ascii="Times New Roman" w:hAnsi="Times New Roman" w:cs="Times New Roman"/>
        </w:rPr>
        <w:footnoteRef/>
      </w:r>
      <w:r w:rsidRPr="008C47FD">
        <w:rPr>
          <w:rFonts w:ascii="Times New Roman" w:hAnsi="Times New Roman" w:cs="Times New Roman"/>
          <w:lang w:val="fr-FR"/>
        </w:rPr>
        <w:t xml:space="preserve"> </w:t>
      </w:r>
      <w:bookmarkStart w:id="94" w:name="_Hlk222926879"/>
      <w:r w:rsidRPr="008C47FD">
        <w:rPr>
          <w:rFonts w:ascii="Times New Roman" w:hAnsi="Times New Roman" w:cs="Times New Roman"/>
          <w:lang w:val="fr-FR"/>
        </w:rPr>
        <w:t>https://eur-lex.europa.eu/legal-content/EN/TXT/?uri=OJ:L_202502331</w:t>
      </w:r>
      <w:bookmarkEnd w:id="94"/>
    </w:p>
  </w:footnote>
  <w:footnote w:id="66">
    <w:p w14:paraId="272EE242" w14:textId="77777777" w:rsidR="008C47FD" w:rsidRPr="008C47FD" w:rsidRDefault="008C47FD" w:rsidP="008C47FD">
      <w:pPr>
        <w:pStyle w:val="FootnoteText"/>
        <w:rPr>
          <w:rFonts w:ascii="Times New Roman" w:hAnsi="Times New Roman" w:cs="Times New Roman"/>
          <w:lang w:val="fr-FR"/>
        </w:rPr>
      </w:pPr>
      <w:r w:rsidRPr="008C47FD">
        <w:rPr>
          <w:rStyle w:val="FootnoteReference"/>
          <w:rFonts w:ascii="Times New Roman" w:hAnsi="Times New Roman" w:cs="Times New Roman"/>
        </w:rPr>
        <w:footnoteRef/>
      </w:r>
      <w:r w:rsidRPr="008C47FD">
        <w:rPr>
          <w:rFonts w:ascii="Times New Roman" w:hAnsi="Times New Roman" w:cs="Times New Roman"/>
          <w:lang w:val="fr-FR"/>
        </w:rPr>
        <w:t xml:space="preserve"> </w:t>
      </w:r>
      <w:hyperlink r:id="rId58" w:history="1">
        <w:r w:rsidRPr="008C47FD">
          <w:rPr>
            <w:rStyle w:val="Hyperlink"/>
            <w:rFonts w:ascii="Times New Roman" w:hAnsi="Times New Roman" w:cs="Times New Roman"/>
            <w:lang w:val="fr-FR"/>
          </w:rPr>
          <w:t>EUR-Lex - 22025D2329 - EN - EUR-Lex</w:t>
        </w:r>
      </w:hyperlink>
      <w:r w:rsidRPr="008C47FD">
        <w:rPr>
          <w:rFonts w:ascii="Times New Roman" w:hAnsi="Times New Roman" w:cs="Times New Roman"/>
          <w:lang w:val="fr-FR"/>
        </w:rPr>
        <w:t>.</w:t>
      </w:r>
    </w:p>
  </w:footnote>
  <w:footnote w:id="67">
    <w:p w14:paraId="449C28AA" w14:textId="6AB61482" w:rsidR="00B21CE1" w:rsidRPr="00A9100D" w:rsidRDefault="00B21CE1" w:rsidP="00B21CE1">
      <w:pPr>
        <w:pStyle w:val="FootnoteText"/>
        <w:jc w:val="both"/>
        <w:rPr>
          <w:rFonts w:ascii="Times New Roman" w:hAnsi="Times New Roman" w:cs="Times New Roman"/>
        </w:rPr>
      </w:pPr>
      <w:r w:rsidRPr="00A9100D">
        <w:rPr>
          <w:rStyle w:val="FootnoteReference"/>
          <w:rFonts w:ascii="Times New Roman" w:hAnsi="Times New Roman" w:cs="Times New Roman"/>
        </w:rPr>
        <w:footnoteRef/>
      </w:r>
      <w:r w:rsidRPr="00A9100D">
        <w:rPr>
          <w:rFonts w:ascii="Times New Roman" w:hAnsi="Times New Roman" w:cs="Times New Roman"/>
        </w:rPr>
        <w:t xml:space="preserve"> Decision No 1/2025 of the Partnership Council established by the Trade and Cooperation Agreement between the European Union and the European Atomic Energy Community, of the one part, and the United Kingdom of Great Britain and Northern Ireland, of the other part of 18 June 2025 issuing an interpretation of Article 508(2)(d) of the Trade and Cooperation Agreement between the European Union and the European Atomic Energy Community, of the one part, and the United Kingdom of Great Britain and Northern Ireland, of the other part </w:t>
      </w:r>
      <w:hyperlink r:id="rId59" w:history="1">
        <w:r w:rsidRPr="00A9100D">
          <w:rPr>
            <w:rStyle w:val="Hyperlink"/>
            <w:rFonts w:ascii="Times New Roman" w:hAnsi="Times New Roman" w:cs="Times New Roman"/>
          </w:rPr>
          <w:t>https://eur-lex.europa.eu/legal-content/EN/TXT/?uri=OJ%3AL_202501229</w:t>
        </w:r>
      </w:hyperlink>
    </w:p>
  </w:footnote>
  <w:footnote w:id="68">
    <w:p w14:paraId="35D0DB26" w14:textId="663DC07A" w:rsidR="00B21CE1" w:rsidRPr="00A9100D" w:rsidRDefault="00B21CE1" w:rsidP="00B21CE1">
      <w:pPr>
        <w:pStyle w:val="FootnoteText"/>
        <w:jc w:val="both"/>
      </w:pPr>
      <w:r w:rsidRPr="00A9100D">
        <w:rPr>
          <w:rStyle w:val="FootnoteReference"/>
          <w:rFonts w:ascii="Times New Roman" w:hAnsi="Times New Roman" w:cs="Times New Roman"/>
        </w:rPr>
        <w:footnoteRef/>
      </w:r>
      <w:r w:rsidRPr="00A9100D">
        <w:rPr>
          <w:rFonts w:ascii="Times New Roman" w:hAnsi="Times New Roman" w:cs="Times New Roman"/>
        </w:rPr>
        <w:t xml:space="preserve"> Decision No 1/2025 of the Specialised Committee on Fisheries as regards the arrangements on the level and conditions of access granted by each Party to vessels of the other Party to fish in its waters from 1 July 2026 to 30 June 2038 </w:t>
      </w:r>
      <w:hyperlink r:id="rId60" w:history="1">
        <w:r w:rsidRPr="00A9100D">
          <w:rPr>
            <w:rStyle w:val="Hyperlink"/>
            <w:rFonts w:ascii="Times New Roman" w:hAnsi="Times New Roman" w:cs="Times New Roman"/>
          </w:rPr>
          <w:t>https://eur-lex.europa.eu/legal-content/EN/TXT/?uri=OJ:L_202501231</w:t>
        </w:r>
      </w:hyperlink>
    </w:p>
  </w:footnote>
  <w:footnote w:id="69">
    <w:p w14:paraId="4A0E2D24" w14:textId="6A0DEED2" w:rsidR="00A10D75" w:rsidRPr="00DC4CB9" w:rsidRDefault="00A10D75" w:rsidP="00A10D75">
      <w:pPr>
        <w:pStyle w:val="FootnoteText"/>
        <w:jc w:val="both"/>
        <w:rPr>
          <w:rFonts w:ascii="Times New Roman" w:hAnsi="Times New Roman" w:cs="Times New Roman"/>
        </w:rPr>
      </w:pPr>
      <w:r w:rsidRPr="00DC4CB9">
        <w:rPr>
          <w:rStyle w:val="FootnoteReference"/>
          <w:rFonts w:ascii="Times New Roman" w:hAnsi="Times New Roman" w:cs="Times New Roman"/>
        </w:rPr>
        <w:footnoteRef/>
      </w:r>
      <w:r w:rsidRPr="00DC4CB9">
        <w:rPr>
          <w:rFonts w:ascii="Times New Roman" w:hAnsi="Times New Roman" w:cs="Times New Roman"/>
        </w:rPr>
        <w:t xml:space="preserve"> Joint Declaration 1/2025 of the Union and the United Kingdom in the Partnership Council established by the Trade and Cooperation Agreement between the European Union and the European Atomic Energy Community, of the one part, and the United Kingdom of Great Britain and Northern Ireland, of the other part of 19 June 2025 </w:t>
      </w:r>
      <w:hyperlink r:id="rId61" w:history="1">
        <w:r w:rsidRPr="00DC4CB9">
          <w:rPr>
            <w:rStyle w:val="Hyperlink"/>
            <w:rFonts w:ascii="Times New Roman" w:hAnsi="Times New Roman" w:cs="Times New Roman"/>
          </w:rPr>
          <w:t>https://eur-lex.europa.eu/legal-content/EN/TXT/?uri=OJ%3AL_202501232</w:t>
        </w:r>
      </w:hyperlink>
    </w:p>
  </w:footnote>
  <w:footnote w:id="70">
    <w:p w14:paraId="1CE68929" w14:textId="338FDAB6" w:rsidR="00A10D75" w:rsidRPr="00DC4CB9" w:rsidRDefault="00A10D75" w:rsidP="00A10D75">
      <w:pPr>
        <w:pStyle w:val="FootnoteText"/>
        <w:jc w:val="both"/>
      </w:pPr>
      <w:r w:rsidRPr="00DC4CB9">
        <w:rPr>
          <w:rStyle w:val="FootnoteReference"/>
          <w:rFonts w:ascii="Times New Roman" w:hAnsi="Times New Roman" w:cs="Times New Roman"/>
        </w:rPr>
        <w:footnoteRef/>
      </w:r>
      <w:r w:rsidRPr="00DC4CB9">
        <w:rPr>
          <w:rFonts w:ascii="Times New Roman" w:hAnsi="Times New Roman" w:cs="Times New Roman"/>
        </w:rPr>
        <w:t xml:space="preserve"> Decision No 2/2025 of the Partnership Council established by the Trade and Cooperation Agreement between the European Union and the European Atomic Energy Community, of the one part, and the United Kingdom of Great Britain and Northern Ireland, of the other part of 19 June 2025 issuing an interpretation of Article 331(2) and extending the application of Part Two, Heading One, Title VIII on energy, of the Trade and Cooperation Agreement between the European Union and the European Atomic Energy Community, of the one part, and the United Kingdom of Great Britain and Northern Ireland, of the other part </w:t>
      </w:r>
      <w:hyperlink r:id="rId62" w:history="1">
        <w:r w:rsidRPr="00DC4CB9">
          <w:rPr>
            <w:rStyle w:val="Hyperlink"/>
            <w:rFonts w:ascii="Times New Roman" w:hAnsi="Times New Roman" w:cs="Times New Roman"/>
          </w:rPr>
          <w:t>https://eur-lex.europa.eu/legal-content/EN/TXT/?uri=OJ%3AL_202501230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3A4EA" w14:textId="77777777" w:rsidR="00D01676" w:rsidRPr="00D01676" w:rsidRDefault="00D01676" w:rsidP="00D0167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09F70" w14:textId="77777777" w:rsidR="00D01676" w:rsidRPr="00D01676" w:rsidRDefault="00D01676" w:rsidP="00D016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A663F" w14:textId="77777777" w:rsidR="00D01676" w:rsidRPr="00D01676" w:rsidRDefault="00D01676" w:rsidP="00D016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9F337" w14:textId="77777777" w:rsidR="00656149" w:rsidRDefault="00656149" w:rsidP="0007384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156ED" w14:textId="77777777" w:rsidR="00656149" w:rsidRDefault="00656149" w:rsidP="0007384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CF9D" w14:textId="77777777" w:rsidR="00656149" w:rsidRDefault="00656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011EA"/>
    <w:multiLevelType w:val="hybridMultilevel"/>
    <w:tmpl w:val="0C4C2B9E"/>
    <w:lvl w:ilvl="0" w:tplc="F3049B36">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E346B5"/>
    <w:multiLevelType w:val="hybridMultilevel"/>
    <w:tmpl w:val="B7CA3A30"/>
    <w:lvl w:ilvl="0" w:tplc="C16AA0AA">
      <w:start w:val="1"/>
      <w:numFmt w:val="bullet"/>
      <w:lvlText w:val="·"/>
      <w:lvlJc w:val="left"/>
      <w:pPr>
        <w:ind w:left="720" w:hanging="360"/>
      </w:pPr>
      <w:rPr>
        <w:rFonts w:ascii="Symbol" w:hAnsi="Symbol" w:hint="default"/>
      </w:rPr>
    </w:lvl>
    <w:lvl w:ilvl="1" w:tplc="203ADCCA">
      <w:start w:val="1"/>
      <w:numFmt w:val="bullet"/>
      <w:lvlText w:val="o"/>
      <w:lvlJc w:val="left"/>
      <w:pPr>
        <w:ind w:left="1440" w:hanging="360"/>
      </w:pPr>
      <w:rPr>
        <w:rFonts w:ascii="Courier New" w:hAnsi="Courier New" w:hint="default"/>
      </w:rPr>
    </w:lvl>
    <w:lvl w:ilvl="2" w:tplc="BDA2687A">
      <w:start w:val="1"/>
      <w:numFmt w:val="bullet"/>
      <w:lvlText w:val=""/>
      <w:lvlJc w:val="left"/>
      <w:pPr>
        <w:ind w:left="2160" w:hanging="360"/>
      </w:pPr>
      <w:rPr>
        <w:rFonts w:ascii="Wingdings" w:hAnsi="Wingdings" w:hint="default"/>
      </w:rPr>
    </w:lvl>
    <w:lvl w:ilvl="3" w:tplc="9838193A">
      <w:start w:val="1"/>
      <w:numFmt w:val="bullet"/>
      <w:lvlText w:val=""/>
      <w:lvlJc w:val="left"/>
      <w:pPr>
        <w:ind w:left="2880" w:hanging="360"/>
      </w:pPr>
      <w:rPr>
        <w:rFonts w:ascii="Symbol" w:hAnsi="Symbol" w:hint="default"/>
      </w:rPr>
    </w:lvl>
    <w:lvl w:ilvl="4" w:tplc="20945298">
      <w:start w:val="1"/>
      <w:numFmt w:val="bullet"/>
      <w:lvlText w:val="o"/>
      <w:lvlJc w:val="left"/>
      <w:pPr>
        <w:ind w:left="3600" w:hanging="360"/>
      </w:pPr>
      <w:rPr>
        <w:rFonts w:ascii="Courier New" w:hAnsi="Courier New" w:hint="default"/>
      </w:rPr>
    </w:lvl>
    <w:lvl w:ilvl="5" w:tplc="1A12790E">
      <w:start w:val="1"/>
      <w:numFmt w:val="bullet"/>
      <w:lvlText w:val=""/>
      <w:lvlJc w:val="left"/>
      <w:pPr>
        <w:ind w:left="4320" w:hanging="360"/>
      </w:pPr>
      <w:rPr>
        <w:rFonts w:ascii="Wingdings" w:hAnsi="Wingdings" w:hint="default"/>
      </w:rPr>
    </w:lvl>
    <w:lvl w:ilvl="6" w:tplc="A8C64DC8">
      <w:start w:val="1"/>
      <w:numFmt w:val="bullet"/>
      <w:lvlText w:val=""/>
      <w:lvlJc w:val="left"/>
      <w:pPr>
        <w:ind w:left="5040" w:hanging="360"/>
      </w:pPr>
      <w:rPr>
        <w:rFonts w:ascii="Symbol" w:hAnsi="Symbol" w:hint="default"/>
      </w:rPr>
    </w:lvl>
    <w:lvl w:ilvl="7" w:tplc="78A02AD8">
      <w:start w:val="1"/>
      <w:numFmt w:val="bullet"/>
      <w:lvlText w:val="o"/>
      <w:lvlJc w:val="left"/>
      <w:pPr>
        <w:ind w:left="5760" w:hanging="360"/>
      </w:pPr>
      <w:rPr>
        <w:rFonts w:ascii="Courier New" w:hAnsi="Courier New" w:hint="default"/>
      </w:rPr>
    </w:lvl>
    <w:lvl w:ilvl="8" w:tplc="E91EDCEC">
      <w:start w:val="1"/>
      <w:numFmt w:val="bullet"/>
      <w:lvlText w:val=""/>
      <w:lvlJc w:val="left"/>
      <w:pPr>
        <w:ind w:left="6480" w:hanging="360"/>
      </w:pPr>
      <w:rPr>
        <w:rFonts w:ascii="Wingdings" w:hAnsi="Wingdings" w:hint="default"/>
      </w:rPr>
    </w:lvl>
  </w:abstractNum>
  <w:abstractNum w:abstractNumId="2" w15:restartNumberingAfterBreak="0">
    <w:nsid w:val="03F8B7B9"/>
    <w:multiLevelType w:val="hybridMultilevel"/>
    <w:tmpl w:val="C6928C84"/>
    <w:lvl w:ilvl="0" w:tplc="0DF837BE">
      <w:start w:val="1"/>
      <w:numFmt w:val="bullet"/>
      <w:lvlText w:val=""/>
      <w:lvlJc w:val="left"/>
      <w:pPr>
        <w:ind w:left="720" w:hanging="360"/>
      </w:pPr>
      <w:rPr>
        <w:rFonts w:ascii="Symbol" w:hAnsi="Symbol" w:hint="default"/>
      </w:rPr>
    </w:lvl>
    <w:lvl w:ilvl="1" w:tplc="C20A8A80">
      <w:start w:val="1"/>
      <w:numFmt w:val="bullet"/>
      <w:lvlText w:val="o"/>
      <w:lvlJc w:val="left"/>
      <w:pPr>
        <w:ind w:left="1440" w:hanging="360"/>
      </w:pPr>
      <w:rPr>
        <w:rFonts w:ascii="Courier New" w:hAnsi="Courier New" w:hint="default"/>
      </w:rPr>
    </w:lvl>
    <w:lvl w:ilvl="2" w:tplc="BA54C512">
      <w:start w:val="1"/>
      <w:numFmt w:val="bullet"/>
      <w:lvlText w:val=""/>
      <w:lvlJc w:val="left"/>
      <w:pPr>
        <w:ind w:left="2160" w:hanging="360"/>
      </w:pPr>
      <w:rPr>
        <w:rFonts w:ascii="Wingdings" w:hAnsi="Wingdings" w:hint="default"/>
      </w:rPr>
    </w:lvl>
    <w:lvl w:ilvl="3" w:tplc="F5C4FF3E">
      <w:start w:val="1"/>
      <w:numFmt w:val="bullet"/>
      <w:lvlText w:val=""/>
      <w:lvlJc w:val="left"/>
      <w:pPr>
        <w:ind w:left="2880" w:hanging="360"/>
      </w:pPr>
      <w:rPr>
        <w:rFonts w:ascii="Symbol" w:hAnsi="Symbol" w:hint="default"/>
      </w:rPr>
    </w:lvl>
    <w:lvl w:ilvl="4" w:tplc="97BCAB42">
      <w:start w:val="1"/>
      <w:numFmt w:val="bullet"/>
      <w:lvlText w:val="o"/>
      <w:lvlJc w:val="left"/>
      <w:pPr>
        <w:ind w:left="3600" w:hanging="360"/>
      </w:pPr>
      <w:rPr>
        <w:rFonts w:ascii="Courier New" w:hAnsi="Courier New" w:hint="default"/>
      </w:rPr>
    </w:lvl>
    <w:lvl w:ilvl="5" w:tplc="7E120428">
      <w:start w:val="1"/>
      <w:numFmt w:val="bullet"/>
      <w:lvlText w:val=""/>
      <w:lvlJc w:val="left"/>
      <w:pPr>
        <w:ind w:left="4320" w:hanging="360"/>
      </w:pPr>
      <w:rPr>
        <w:rFonts w:ascii="Wingdings" w:hAnsi="Wingdings" w:hint="default"/>
      </w:rPr>
    </w:lvl>
    <w:lvl w:ilvl="6" w:tplc="AC6C56EC">
      <w:start w:val="1"/>
      <w:numFmt w:val="bullet"/>
      <w:lvlText w:val=""/>
      <w:lvlJc w:val="left"/>
      <w:pPr>
        <w:ind w:left="5040" w:hanging="360"/>
      </w:pPr>
      <w:rPr>
        <w:rFonts w:ascii="Symbol" w:hAnsi="Symbol" w:hint="default"/>
      </w:rPr>
    </w:lvl>
    <w:lvl w:ilvl="7" w:tplc="3092DCC2">
      <w:start w:val="1"/>
      <w:numFmt w:val="bullet"/>
      <w:lvlText w:val="o"/>
      <w:lvlJc w:val="left"/>
      <w:pPr>
        <w:ind w:left="5760" w:hanging="360"/>
      </w:pPr>
      <w:rPr>
        <w:rFonts w:ascii="Courier New" w:hAnsi="Courier New" w:hint="default"/>
      </w:rPr>
    </w:lvl>
    <w:lvl w:ilvl="8" w:tplc="82A45428">
      <w:start w:val="1"/>
      <w:numFmt w:val="bullet"/>
      <w:lvlText w:val=""/>
      <w:lvlJc w:val="left"/>
      <w:pPr>
        <w:ind w:left="6480" w:hanging="360"/>
      </w:pPr>
      <w:rPr>
        <w:rFonts w:ascii="Wingdings" w:hAnsi="Wingdings" w:hint="default"/>
      </w:rPr>
    </w:lvl>
  </w:abstractNum>
  <w:abstractNum w:abstractNumId="3" w15:restartNumberingAfterBreak="0">
    <w:nsid w:val="051059EC"/>
    <w:multiLevelType w:val="hybridMultilevel"/>
    <w:tmpl w:val="0B2E4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B5B44A"/>
    <w:multiLevelType w:val="hybridMultilevel"/>
    <w:tmpl w:val="62362092"/>
    <w:lvl w:ilvl="0" w:tplc="DB4EF0AA">
      <w:start w:val="1"/>
      <w:numFmt w:val="bullet"/>
      <w:lvlText w:val="-"/>
      <w:lvlJc w:val="left"/>
      <w:pPr>
        <w:ind w:left="720" w:hanging="360"/>
      </w:pPr>
      <w:rPr>
        <w:rFonts w:ascii="Calibri" w:hAnsi="Calibri" w:hint="default"/>
      </w:rPr>
    </w:lvl>
    <w:lvl w:ilvl="1" w:tplc="3C90E556">
      <w:start w:val="1"/>
      <w:numFmt w:val="bullet"/>
      <w:lvlText w:val="o"/>
      <w:lvlJc w:val="left"/>
      <w:pPr>
        <w:ind w:left="1440" w:hanging="360"/>
      </w:pPr>
      <w:rPr>
        <w:rFonts w:ascii="Courier New" w:hAnsi="Courier New" w:hint="default"/>
      </w:rPr>
    </w:lvl>
    <w:lvl w:ilvl="2" w:tplc="CB02C54C">
      <w:start w:val="1"/>
      <w:numFmt w:val="bullet"/>
      <w:lvlText w:val=""/>
      <w:lvlJc w:val="left"/>
      <w:pPr>
        <w:ind w:left="2160" w:hanging="360"/>
      </w:pPr>
      <w:rPr>
        <w:rFonts w:ascii="Wingdings" w:hAnsi="Wingdings" w:hint="default"/>
      </w:rPr>
    </w:lvl>
    <w:lvl w:ilvl="3" w:tplc="6D00FB02">
      <w:start w:val="1"/>
      <w:numFmt w:val="bullet"/>
      <w:lvlText w:val=""/>
      <w:lvlJc w:val="left"/>
      <w:pPr>
        <w:ind w:left="2880" w:hanging="360"/>
      </w:pPr>
      <w:rPr>
        <w:rFonts w:ascii="Symbol" w:hAnsi="Symbol" w:hint="default"/>
      </w:rPr>
    </w:lvl>
    <w:lvl w:ilvl="4" w:tplc="32B24F86">
      <w:start w:val="1"/>
      <w:numFmt w:val="bullet"/>
      <w:lvlText w:val="o"/>
      <w:lvlJc w:val="left"/>
      <w:pPr>
        <w:ind w:left="3600" w:hanging="360"/>
      </w:pPr>
      <w:rPr>
        <w:rFonts w:ascii="Courier New" w:hAnsi="Courier New" w:hint="default"/>
      </w:rPr>
    </w:lvl>
    <w:lvl w:ilvl="5" w:tplc="32F8C684">
      <w:start w:val="1"/>
      <w:numFmt w:val="bullet"/>
      <w:lvlText w:val=""/>
      <w:lvlJc w:val="left"/>
      <w:pPr>
        <w:ind w:left="4320" w:hanging="360"/>
      </w:pPr>
      <w:rPr>
        <w:rFonts w:ascii="Wingdings" w:hAnsi="Wingdings" w:hint="default"/>
      </w:rPr>
    </w:lvl>
    <w:lvl w:ilvl="6" w:tplc="50262DB6">
      <w:start w:val="1"/>
      <w:numFmt w:val="bullet"/>
      <w:lvlText w:val=""/>
      <w:lvlJc w:val="left"/>
      <w:pPr>
        <w:ind w:left="5040" w:hanging="360"/>
      </w:pPr>
      <w:rPr>
        <w:rFonts w:ascii="Symbol" w:hAnsi="Symbol" w:hint="default"/>
      </w:rPr>
    </w:lvl>
    <w:lvl w:ilvl="7" w:tplc="EE2E0D36">
      <w:start w:val="1"/>
      <w:numFmt w:val="bullet"/>
      <w:lvlText w:val="o"/>
      <w:lvlJc w:val="left"/>
      <w:pPr>
        <w:ind w:left="5760" w:hanging="360"/>
      </w:pPr>
      <w:rPr>
        <w:rFonts w:ascii="Courier New" w:hAnsi="Courier New" w:hint="default"/>
      </w:rPr>
    </w:lvl>
    <w:lvl w:ilvl="8" w:tplc="24366F3C">
      <w:start w:val="1"/>
      <w:numFmt w:val="bullet"/>
      <w:lvlText w:val=""/>
      <w:lvlJc w:val="left"/>
      <w:pPr>
        <w:ind w:left="6480" w:hanging="360"/>
      </w:pPr>
      <w:rPr>
        <w:rFonts w:ascii="Wingdings" w:hAnsi="Wingdings" w:hint="default"/>
      </w:rPr>
    </w:lvl>
  </w:abstractNum>
  <w:abstractNum w:abstractNumId="5" w15:restartNumberingAfterBreak="0">
    <w:nsid w:val="06B86DE1"/>
    <w:multiLevelType w:val="hybridMultilevel"/>
    <w:tmpl w:val="34A636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504660"/>
    <w:multiLevelType w:val="hybridMultilevel"/>
    <w:tmpl w:val="AD4E1F58"/>
    <w:lvl w:ilvl="0" w:tplc="1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FF553FD"/>
    <w:multiLevelType w:val="multilevel"/>
    <w:tmpl w:val="C32E4A1C"/>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117D71"/>
    <w:multiLevelType w:val="multilevel"/>
    <w:tmpl w:val="440E4B88"/>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7B0C30"/>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784192"/>
    <w:multiLevelType w:val="hybridMultilevel"/>
    <w:tmpl w:val="681EB4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6A91549"/>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8AB1946"/>
    <w:multiLevelType w:val="multilevel"/>
    <w:tmpl w:val="ECB441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A9C887D"/>
    <w:multiLevelType w:val="hybridMultilevel"/>
    <w:tmpl w:val="30023C44"/>
    <w:lvl w:ilvl="0" w:tplc="812E4DA2">
      <w:start w:val="1"/>
      <w:numFmt w:val="bullet"/>
      <w:lvlText w:val="·"/>
      <w:lvlJc w:val="left"/>
      <w:pPr>
        <w:ind w:left="720" w:hanging="360"/>
      </w:pPr>
      <w:rPr>
        <w:rFonts w:ascii="Symbol" w:hAnsi="Symbol" w:hint="default"/>
      </w:rPr>
    </w:lvl>
    <w:lvl w:ilvl="1" w:tplc="D5A0198E">
      <w:start w:val="1"/>
      <w:numFmt w:val="bullet"/>
      <w:lvlText w:val="o"/>
      <w:lvlJc w:val="left"/>
      <w:pPr>
        <w:ind w:left="1440" w:hanging="360"/>
      </w:pPr>
      <w:rPr>
        <w:rFonts w:ascii="Courier New" w:hAnsi="Courier New" w:hint="default"/>
      </w:rPr>
    </w:lvl>
    <w:lvl w:ilvl="2" w:tplc="B99C2B40">
      <w:start w:val="1"/>
      <w:numFmt w:val="bullet"/>
      <w:lvlText w:val=""/>
      <w:lvlJc w:val="left"/>
      <w:pPr>
        <w:ind w:left="2160" w:hanging="360"/>
      </w:pPr>
      <w:rPr>
        <w:rFonts w:ascii="Wingdings" w:hAnsi="Wingdings" w:hint="default"/>
      </w:rPr>
    </w:lvl>
    <w:lvl w:ilvl="3" w:tplc="97088834">
      <w:start w:val="1"/>
      <w:numFmt w:val="bullet"/>
      <w:lvlText w:val=""/>
      <w:lvlJc w:val="left"/>
      <w:pPr>
        <w:ind w:left="2880" w:hanging="360"/>
      </w:pPr>
      <w:rPr>
        <w:rFonts w:ascii="Symbol" w:hAnsi="Symbol" w:hint="default"/>
      </w:rPr>
    </w:lvl>
    <w:lvl w:ilvl="4" w:tplc="9FF06654">
      <w:start w:val="1"/>
      <w:numFmt w:val="bullet"/>
      <w:lvlText w:val="o"/>
      <w:lvlJc w:val="left"/>
      <w:pPr>
        <w:ind w:left="3600" w:hanging="360"/>
      </w:pPr>
      <w:rPr>
        <w:rFonts w:ascii="Courier New" w:hAnsi="Courier New" w:hint="default"/>
      </w:rPr>
    </w:lvl>
    <w:lvl w:ilvl="5" w:tplc="037635F2">
      <w:start w:val="1"/>
      <w:numFmt w:val="bullet"/>
      <w:lvlText w:val=""/>
      <w:lvlJc w:val="left"/>
      <w:pPr>
        <w:ind w:left="4320" w:hanging="360"/>
      </w:pPr>
      <w:rPr>
        <w:rFonts w:ascii="Wingdings" w:hAnsi="Wingdings" w:hint="default"/>
      </w:rPr>
    </w:lvl>
    <w:lvl w:ilvl="6" w:tplc="0BF616BE">
      <w:start w:val="1"/>
      <w:numFmt w:val="bullet"/>
      <w:lvlText w:val=""/>
      <w:lvlJc w:val="left"/>
      <w:pPr>
        <w:ind w:left="5040" w:hanging="360"/>
      </w:pPr>
      <w:rPr>
        <w:rFonts w:ascii="Symbol" w:hAnsi="Symbol" w:hint="default"/>
      </w:rPr>
    </w:lvl>
    <w:lvl w:ilvl="7" w:tplc="D8C6E128">
      <w:start w:val="1"/>
      <w:numFmt w:val="bullet"/>
      <w:lvlText w:val="o"/>
      <w:lvlJc w:val="left"/>
      <w:pPr>
        <w:ind w:left="5760" w:hanging="360"/>
      </w:pPr>
      <w:rPr>
        <w:rFonts w:ascii="Courier New" w:hAnsi="Courier New" w:hint="default"/>
      </w:rPr>
    </w:lvl>
    <w:lvl w:ilvl="8" w:tplc="564E4D5C">
      <w:start w:val="1"/>
      <w:numFmt w:val="bullet"/>
      <w:lvlText w:val=""/>
      <w:lvlJc w:val="left"/>
      <w:pPr>
        <w:ind w:left="6480" w:hanging="360"/>
      </w:pPr>
      <w:rPr>
        <w:rFonts w:ascii="Wingdings" w:hAnsi="Wingdings" w:hint="default"/>
      </w:rPr>
    </w:lvl>
  </w:abstractNum>
  <w:abstractNum w:abstractNumId="14" w15:restartNumberingAfterBreak="0">
    <w:nsid w:val="1B681634"/>
    <w:multiLevelType w:val="multilevel"/>
    <w:tmpl w:val="176874A4"/>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D066455"/>
    <w:multiLevelType w:val="hybridMultilevel"/>
    <w:tmpl w:val="6486D560"/>
    <w:lvl w:ilvl="0" w:tplc="4FCA626E">
      <w:start w:val="1"/>
      <w:numFmt w:val="bullet"/>
      <w:lvlText w:val=""/>
      <w:lvlJc w:val="left"/>
      <w:pPr>
        <w:ind w:left="720" w:hanging="360"/>
      </w:pPr>
      <w:rPr>
        <w:rFonts w:ascii="Symbol" w:hAnsi="Symbol" w:hint="default"/>
      </w:rPr>
    </w:lvl>
    <w:lvl w:ilvl="1" w:tplc="97C25E6E">
      <w:start w:val="1"/>
      <w:numFmt w:val="bullet"/>
      <w:lvlText w:val="o"/>
      <w:lvlJc w:val="left"/>
      <w:pPr>
        <w:ind w:left="1440" w:hanging="360"/>
      </w:pPr>
      <w:rPr>
        <w:rFonts w:ascii="Courier New" w:hAnsi="Courier New" w:hint="default"/>
      </w:rPr>
    </w:lvl>
    <w:lvl w:ilvl="2" w:tplc="113EB96C">
      <w:start w:val="1"/>
      <w:numFmt w:val="bullet"/>
      <w:lvlText w:val=""/>
      <w:lvlJc w:val="left"/>
      <w:pPr>
        <w:ind w:left="2160" w:hanging="360"/>
      </w:pPr>
      <w:rPr>
        <w:rFonts w:ascii="Wingdings" w:hAnsi="Wingdings" w:hint="default"/>
      </w:rPr>
    </w:lvl>
    <w:lvl w:ilvl="3" w:tplc="F3861FFA">
      <w:start w:val="1"/>
      <w:numFmt w:val="bullet"/>
      <w:lvlText w:val=""/>
      <w:lvlJc w:val="left"/>
      <w:pPr>
        <w:ind w:left="2880" w:hanging="360"/>
      </w:pPr>
      <w:rPr>
        <w:rFonts w:ascii="Symbol" w:hAnsi="Symbol" w:hint="default"/>
      </w:rPr>
    </w:lvl>
    <w:lvl w:ilvl="4" w:tplc="1C2662BA">
      <w:start w:val="1"/>
      <w:numFmt w:val="bullet"/>
      <w:lvlText w:val="o"/>
      <w:lvlJc w:val="left"/>
      <w:pPr>
        <w:ind w:left="3600" w:hanging="360"/>
      </w:pPr>
      <w:rPr>
        <w:rFonts w:ascii="Courier New" w:hAnsi="Courier New" w:hint="default"/>
      </w:rPr>
    </w:lvl>
    <w:lvl w:ilvl="5" w:tplc="E7B0DA18">
      <w:start w:val="1"/>
      <w:numFmt w:val="bullet"/>
      <w:lvlText w:val=""/>
      <w:lvlJc w:val="left"/>
      <w:pPr>
        <w:ind w:left="4320" w:hanging="360"/>
      </w:pPr>
      <w:rPr>
        <w:rFonts w:ascii="Wingdings" w:hAnsi="Wingdings" w:hint="default"/>
      </w:rPr>
    </w:lvl>
    <w:lvl w:ilvl="6" w:tplc="8500DEE2">
      <w:start w:val="1"/>
      <w:numFmt w:val="bullet"/>
      <w:lvlText w:val=""/>
      <w:lvlJc w:val="left"/>
      <w:pPr>
        <w:ind w:left="5040" w:hanging="360"/>
      </w:pPr>
      <w:rPr>
        <w:rFonts w:ascii="Symbol" w:hAnsi="Symbol" w:hint="default"/>
      </w:rPr>
    </w:lvl>
    <w:lvl w:ilvl="7" w:tplc="2F18F128">
      <w:start w:val="1"/>
      <w:numFmt w:val="bullet"/>
      <w:lvlText w:val="o"/>
      <w:lvlJc w:val="left"/>
      <w:pPr>
        <w:ind w:left="5760" w:hanging="360"/>
      </w:pPr>
      <w:rPr>
        <w:rFonts w:ascii="Courier New" w:hAnsi="Courier New" w:hint="default"/>
      </w:rPr>
    </w:lvl>
    <w:lvl w:ilvl="8" w:tplc="124C5710">
      <w:start w:val="1"/>
      <w:numFmt w:val="bullet"/>
      <w:lvlText w:val=""/>
      <w:lvlJc w:val="left"/>
      <w:pPr>
        <w:ind w:left="6480" w:hanging="360"/>
      </w:pPr>
      <w:rPr>
        <w:rFonts w:ascii="Wingdings" w:hAnsi="Wingdings" w:hint="default"/>
      </w:rPr>
    </w:lvl>
  </w:abstractNum>
  <w:abstractNum w:abstractNumId="16" w15:restartNumberingAfterBreak="0">
    <w:nsid w:val="1E57C548"/>
    <w:multiLevelType w:val="hybridMultilevel"/>
    <w:tmpl w:val="B97E8806"/>
    <w:lvl w:ilvl="0" w:tplc="F5E4C564">
      <w:numFmt w:val="none"/>
      <w:lvlText w:val=""/>
      <w:lvlJc w:val="left"/>
      <w:pPr>
        <w:tabs>
          <w:tab w:val="num" w:pos="360"/>
        </w:tabs>
      </w:pPr>
    </w:lvl>
    <w:lvl w:ilvl="1" w:tplc="2932A6E0">
      <w:start w:val="1"/>
      <w:numFmt w:val="lowerLetter"/>
      <w:lvlText w:val="%2."/>
      <w:lvlJc w:val="left"/>
      <w:pPr>
        <w:ind w:left="1437" w:hanging="360"/>
      </w:pPr>
    </w:lvl>
    <w:lvl w:ilvl="2" w:tplc="87E8508C">
      <w:start w:val="1"/>
      <w:numFmt w:val="lowerRoman"/>
      <w:lvlText w:val="%3."/>
      <w:lvlJc w:val="right"/>
      <w:pPr>
        <w:ind w:left="2157" w:hanging="180"/>
      </w:pPr>
    </w:lvl>
    <w:lvl w:ilvl="3" w:tplc="8F182F76">
      <w:start w:val="1"/>
      <w:numFmt w:val="decimal"/>
      <w:lvlText w:val="%4."/>
      <w:lvlJc w:val="left"/>
      <w:pPr>
        <w:ind w:left="2877" w:hanging="360"/>
      </w:pPr>
    </w:lvl>
    <w:lvl w:ilvl="4" w:tplc="422CEAA0">
      <w:start w:val="1"/>
      <w:numFmt w:val="lowerLetter"/>
      <w:lvlText w:val="%5."/>
      <w:lvlJc w:val="left"/>
      <w:pPr>
        <w:ind w:left="3597" w:hanging="360"/>
      </w:pPr>
    </w:lvl>
    <w:lvl w:ilvl="5" w:tplc="AB9C0C9C">
      <w:start w:val="1"/>
      <w:numFmt w:val="lowerRoman"/>
      <w:lvlText w:val="%6."/>
      <w:lvlJc w:val="right"/>
      <w:pPr>
        <w:ind w:left="4317" w:hanging="180"/>
      </w:pPr>
    </w:lvl>
    <w:lvl w:ilvl="6" w:tplc="358CCBEC">
      <w:start w:val="1"/>
      <w:numFmt w:val="decimal"/>
      <w:lvlText w:val="%7."/>
      <w:lvlJc w:val="left"/>
      <w:pPr>
        <w:ind w:left="5037" w:hanging="360"/>
      </w:pPr>
    </w:lvl>
    <w:lvl w:ilvl="7" w:tplc="D00AA292">
      <w:start w:val="1"/>
      <w:numFmt w:val="lowerLetter"/>
      <w:lvlText w:val="%8."/>
      <w:lvlJc w:val="left"/>
      <w:pPr>
        <w:ind w:left="5757" w:hanging="360"/>
      </w:pPr>
    </w:lvl>
    <w:lvl w:ilvl="8" w:tplc="6BC4B5A8">
      <w:start w:val="1"/>
      <w:numFmt w:val="lowerRoman"/>
      <w:lvlText w:val="%9."/>
      <w:lvlJc w:val="right"/>
      <w:pPr>
        <w:ind w:left="6477" w:hanging="180"/>
      </w:pPr>
    </w:lvl>
  </w:abstractNum>
  <w:abstractNum w:abstractNumId="17" w15:restartNumberingAfterBreak="0">
    <w:nsid w:val="216C580D"/>
    <w:multiLevelType w:val="hybridMultilevel"/>
    <w:tmpl w:val="6256F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5986A20"/>
    <w:multiLevelType w:val="hybridMultilevel"/>
    <w:tmpl w:val="549663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97F1A7D"/>
    <w:multiLevelType w:val="hybridMultilevel"/>
    <w:tmpl w:val="CBDC6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9D33E63"/>
    <w:multiLevelType w:val="hybridMultilevel"/>
    <w:tmpl w:val="43FA2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0B1A30"/>
    <w:multiLevelType w:val="multilevel"/>
    <w:tmpl w:val="ECB441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DA87A40"/>
    <w:multiLevelType w:val="hybridMultilevel"/>
    <w:tmpl w:val="8CEA5820"/>
    <w:lvl w:ilvl="0" w:tplc="230E58F4">
      <w:start w:val="1"/>
      <w:numFmt w:val="bullet"/>
      <w:lvlText w:val="·"/>
      <w:lvlJc w:val="left"/>
      <w:pPr>
        <w:ind w:left="720" w:hanging="360"/>
      </w:pPr>
      <w:rPr>
        <w:rFonts w:ascii="Symbol" w:hAnsi="Symbol" w:hint="default"/>
      </w:rPr>
    </w:lvl>
    <w:lvl w:ilvl="1" w:tplc="00C6166E">
      <w:start w:val="1"/>
      <w:numFmt w:val="bullet"/>
      <w:lvlText w:val="o"/>
      <w:lvlJc w:val="left"/>
      <w:pPr>
        <w:ind w:left="1440" w:hanging="360"/>
      </w:pPr>
      <w:rPr>
        <w:rFonts w:ascii="Courier New" w:hAnsi="Courier New" w:hint="default"/>
      </w:rPr>
    </w:lvl>
    <w:lvl w:ilvl="2" w:tplc="E58014F6">
      <w:start w:val="1"/>
      <w:numFmt w:val="bullet"/>
      <w:lvlText w:val=""/>
      <w:lvlJc w:val="left"/>
      <w:pPr>
        <w:ind w:left="2160" w:hanging="360"/>
      </w:pPr>
      <w:rPr>
        <w:rFonts w:ascii="Wingdings" w:hAnsi="Wingdings" w:hint="default"/>
      </w:rPr>
    </w:lvl>
    <w:lvl w:ilvl="3" w:tplc="60C031B6">
      <w:start w:val="1"/>
      <w:numFmt w:val="bullet"/>
      <w:lvlText w:val=""/>
      <w:lvlJc w:val="left"/>
      <w:pPr>
        <w:ind w:left="2880" w:hanging="360"/>
      </w:pPr>
      <w:rPr>
        <w:rFonts w:ascii="Symbol" w:hAnsi="Symbol" w:hint="default"/>
      </w:rPr>
    </w:lvl>
    <w:lvl w:ilvl="4" w:tplc="6BA890BC">
      <w:start w:val="1"/>
      <w:numFmt w:val="bullet"/>
      <w:lvlText w:val="o"/>
      <w:lvlJc w:val="left"/>
      <w:pPr>
        <w:ind w:left="3600" w:hanging="360"/>
      </w:pPr>
      <w:rPr>
        <w:rFonts w:ascii="Courier New" w:hAnsi="Courier New" w:hint="default"/>
      </w:rPr>
    </w:lvl>
    <w:lvl w:ilvl="5" w:tplc="E4D0C4B8">
      <w:start w:val="1"/>
      <w:numFmt w:val="bullet"/>
      <w:lvlText w:val=""/>
      <w:lvlJc w:val="left"/>
      <w:pPr>
        <w:ind w:left="4320" w:hanging="360"/>
      </w:pPr>
      <w:rPr>
        <w:rFonts w:ascii="Wingdings" w:hAnsi="Wingdings" w:hint="default"/>
      </w:rPr>
    </w:lvl>
    <w:lvl w:ilvl="6" w:tplc="60702F4C">
      <w:start w:val="1"/>
      <w:numFmt w:val="bullet"/>
      <w:lvlText w:val=""/>
      <w:lvlJc w:val="left"/>
      <w:pPr>
        <w:ind w:left="5040" w:hanging="360"/>
      </w:pPr>
      <w:rPr>
        <w:rFonts w:ascii="Symbol" w:hAnsi="Symbol" w:hint="default"/>
      </w:rPr>
    </w:lvl>
    <w:lvl w:ilvl="7" w:tplc="E65A9212">
      <w:start w:val="1"/>
      <w:numFmt w:val="bullet"/>
      <w:lvlText w:val="o"/>
      <w:lvlJc w:val="left"/>
      <w:pPr>
        <w:ind w:left="5760" w:hanging="360"/>
      </w:pPr>
      <w:rPr>
        <w:rFonts w:ascii="Courier New" w:hAnsi="Courier New" w:hint="default"/>
      </w:rPr>
    </w:lvl>
    <w:lvl w:ilvl="8" w:tplc="23D2A6C4">
      <w:start w:val="1"/>
      <w:numFmt w:val="bullet"/>
      <w:lvlText w:val=""/>
      <w:lvlJc w:val="left"/>
      <w:pPr>
        <w:ind w:left="6480" w:hanging="360"/>
      </w:pPr>
      <w:rPr>
        <w:rFonts w:ascii="Wingdings" w:hAnsi="Wingdings" w:hint="default"/>
      </w:rPr>
    </w:lvl>
  </w:abstractNum>
  <w:abstractNum w:abstractNumId="23" w15:restartNumberingAfterBreak="0">
    <w:nsid w:val="2F5C2088"/>
    <w:multiLevelType w:val="hybridMultilevel"/>
    <w:tmpl w:val="CAB64B10"/>
    <w:lvl w:ilvl="0" w:tplc="8202FB4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653F77"/>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0D88E63"/>
    <w:multiLevelType w:val="hybridMultilevel"/>
    <w:tmpl w:val="F4529B22"/>
    <w:lvl w:ilvl="0" w:tplc="F4E6E3C6">
      <w:start w:val="1"/>
      <w:numFmt w:val="bullet"/>
      <w:lvlText w:val="·"/>
      <w:lvlJc w:val="left"/>
      <w:pPr>
        <w:ind w:left="720" w:hanging="360"/>
      </w:pPr>
      <w:rPr>
        <w:rFonts w:ascii="Symbol" w:hAnsi="Symbol" w:hint="default"/>
      </w:rPr>
    </w:lvl>
    <w:lvl w:ilvl="1" w:tplc="B9B6EC86">
      <w:start w:val="1"/>
      <w:numFmt w:val="bullet"/>
      <w:lvlText w:val="o"/>
      <w:lvlJc w:val="left"/>
      <w:pPr>
        <w:ind w:left="1440" w:hanging="360"/>
      </w:pPr>
      <w:rPr>
        <w:rFonts w:ascii="Courier New" w:hAnsi="Courier New" w:hint="default"/>
      </w:rPr>
    </w:lvl>
    <w:lvl w:ilvl="2" w:tplc="80860B82">
      <w:start w:val="1"/>
      <w:numFmt w:val="bullet"/>
      <w:lvlText w:val=""/>
      <w:lvlJc w:val="left"/>
      <w:pPr>
        <w:ind w:left="2160" w:hanging="360"/>
      </w:pPr>
      <w:rPr>
        <w:rFonts w:ascii="Wingdings" w:hAnsi="Wingdings" w:hint="default"/>
      </w:rPr>
    </w:lvl>
    <w:lvl w:ilvl="3" w:tplc="DE26EACA">
      <w:start w:val="1"/>
      <w:numFmt w:val="bullet"/>
      <w:lvlText w:val=""/>
      <w:lvlJc w:val="left"/>
      <w:pPr>
        <w:ind w:left="2880" w:hanging="360"/>
      </w:pPr>
      <w:rPr>
        <w:rFonts w:ascii="Symbol" w:hAnsi="Symbol" w:hint="default"/>
      </w:rPr>
    </w:lvl>
    <w:lvl w:ilvl="4" w:tplc="FECED558">
      <w:start w:val="1"/>
      <w:numFmt w:val="bullet"/>
      <w:lvlText w:val="o"/>
      <w:lvlJc w:val="left"/>
      <w:pPr>
        <w:ind w:left="3600" w:hanging="360"/>
      </w:pPr>
      <w:rPr>
        <w:rFonts w:ascii="Courier New" w:hAnsi="Courier New" w:hint="default"/>
      </w:rPr>
    </w:lvl>
    <w:lvl w:ilvl="5" w:tplc="23D2A90E">
      <w:start w:val="1"/>
      <w:numFmt w:val="bullet"/>
      <w:lvlText w:val=""/>
      <w:lvlJc w:val="left"/>
      <w:pPr>
        <w:ind w:left="4320" w:hanging="360"/>
      </w:pPr>
      <w:rPr>
        <w:rFonts w:ascii="Wingdings" w:hAnsi="Wingdings" w:hint="default"/>
      </w:rPr>
    </w:lvl>
    <w:lvl w:ilvl="6" w:tplc="F36AE38E">
      <w:start w:val="1"/>
      <w:numFmt w:val="bullet"/>
      <w:lvlText w:val=""/>
      <w:lvlJc w:val="left"/>
      <w:pPr>
        <w:ind w:left="5040" w:hanging="360"/>
      </w:pPr>
      <w:rPr>
        <w:rFonts w:ascii="Symbol" w:hAnsi="Symbol" w:hint="default"/>
      </w:rPr>
    </w:lvl>
    <w:lvl w:ilvl="7" w:tplc="74623270">
      <w:start w:val="1"/>
      <w:numFmt w:val="bullet"/>
      <w:lvlText w:val="o"/>
      <w:lvlJc w:val="left"/>
      <w:pPr>
        <w:ind w:left="5760" w:hanging="360"/>
      </w:pPr>
      <w:rPr>
        <w:rFonts w:ascii="Courier New" w:hAnsi="Courier New" w:hint="default"/>
      </w:rPr>
    </w:lvl>
    <w:lvl w:ilvl="8" w:tplc="400EEF10">
      <w:start w:val="1"/>
      <w:numFmt w:val="bullet"/>
      <w:lvlText w:val=""/>
      <w:lvlJc w:val="left"/>
      <w:pPr>
        <w:ind w:left="6480" w:hanging="360"/>
      </w:pPr>
      <w:rPr>
        <w:rFonts w:ascii="Wingdings" w:hAnsi="Wingdings" w:hint="default"/>
      </w:rPr>
    </w:lvl>
  </w:abstractNum>
  <w:abstractNum w:abstractNumId="26" w15:restartNumberingAfterBreak="0">
    <w:nsid w:val="32676382"/>
    <w:multiLevelType w:val="hybridMultilevel"/>
    <w:tmpl w:val="7478B7DA"/>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27" w15:restartNumberingAfterBreak="0">
    <w:nsid w:val="32AC2495"/>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32C2CFA7"/>
    <w:multiLevelType w:val="hybridMultilevel"/>
    <w:tmpl w:val="B6D2478A"/>
    <w:lvl w:ilvl="0" w:tplc="089EFA84">
      <w:numFmt w:val="none"/>
      <w:lvlText w:val=""/>
      <w:lvlJc w:val="left"/>
      <w:pPr>
        <w:tabs>
          <w:tab w:val="num" w:pos="360"/>
        </w:tabs>
      </w:pPr>
    </w:lvl>
    <w:lvl w:ilvl="1" w:tplc="3EBC1EBA">
      <w:start w:val="1"/>
      <w:numFmt w:val="lowerLetter"/>
      <w:lvlText w:val="%2."/>
      <w:lvlJc w:val="left"/>
      <w:pPr>
        <w:ind w:left="1440" w:hanging="360"/>
      </w:pPr>
    </w:lvl>
    <w:lvl w:ilvl="2" w:tplc="45BA56A8">
      <w:start w:val="1"/>
      <w:numFmt w:val="lowerRoman"/>
      <w:lvlText w:val="%3."/>
      <w:lvlJc w:val="right"/>
      <w:pPr>
        <w:ind w:left="2160" w:hanging="180"/>
      </w:pPr>
    </w:lvl>
    <w:lvl w:ilvl="3" w:tplc="D6BC877C">
      <w:start w:val="1"/>
      <w:numFmt w:val="decimal"/>
      <w:lvlText w:val="%4."/>
      <w:lvlJc w:val="left"/>
      <w:pPr>
        <w:ind w:left="2880" w:hanging="360"/>
      </w:pPr>
    </w:lvl>
    <w:lvl w:ilvl="4" w:tplc="1882851C">
      <w:start w:val="1"/>
      <w:numFmt w:val="lowerLetter"/>
      <w:lvlText w:val="%5."/>
      <w:lvlJc w:val="left"/>
      <w:pPr>
        <w:ind w:left="3600" w:hanging="360"/>
      </w:pPr>
    </w:lvl>
    <w:lvl w:ilvl="5" w:tplc="E9E0F31E">
      <w:start w:val="1"/>
      <w:numFmt w:val="lowerRoman"/>
      <w:lvlText w:val="%6."/>
      <w:lvlJc w:val="right"/>
      <w:pPr>
        <w:ind w:left="4320" w:hanging="180"/>
      </w:pPr>
    </w:lvl>
    <w:lvl w:ilvl="6" w:tplc="558AE584">
      <w:start w:val="1"/>
      <w:numFmt w:val="decimal"/>
      <w:lvlText w:val="%7."/>
      <w:lvlJc w:val="left"/>
      <w:pPr>
        <w:ind w:left="5040" w:hanging="360"/>
      </w:pPr>
    </w:lvl>
    <w:lvl w:ilvl="7" w:tplc="B5A85F60">
      <w:start w:val="1"/>
      <w:numFmt w:val="lowerLetter"/>
      <w:lvlText w:val="%8."/>
      <w:lvlJc w:val="left"/>
      <w:pPr>
        <w:ind w:left="5760" w:hanging="360"/>
      </w:pPr>
    </w:lvl>
    <w:lvl w:ilvl="8" w:tplc="542A356A">
      <w:start w:val="1"/>
      <w:numFmt w:val="lowerRoman"/>
      <w:lvlText w:val="%9."/>
      <w:lvlJc w:val="right"/>
      <w:pPr>
        <w:ind w:left="6480" w:hanging="180"/>
      </w:pPr>
    </w:lvl>
  </w:abstractNum>
  <w:abstractNum w:abstractNumId="29" w15:restartNumberingAfterBreak="0">
    <w:nsid w:val="38F979D2"/>
    <w:multiLevelType w:val="hybridMultilevel"/>
    <w:tmpl w:val="F516FFF8"/>
    <w:lvl w:ilvl="0" w:tplc="ABFA1B34">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0" w15:restartNumberingAfterBreak="0">
    <w:nsid w:val="393F6AE9"/>
    <w:multiLevelType w:val="hybridMultilevel"/>
    <w:tmpl w:val="8D4C2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A575005"/>
    <w:multiLevelType w:val="hybridMultilevel"/>
    <w:tmpl w:val="2D42A382"/>
    <w:lvl w:ilvl="0" w:tplc="4438861E">
      <w:start w:val="1"/>
      <w:numFmt w:val="decimal"/>
      <w:lvlText w:val="%1)"/>
      <w:lvlJc w:val="left"/>
      <w:pPr>
        <w:ind w:left="1020" w:hanging="360"/>
      </w:pPr>
    </w:lvl>
    <w:lvl w:ilvl="1" w:tplc="AC26A8EC">
      <w:start w:val="1"/>
      <w:numFmt w:val="decimal"/>
      <w:lvlText w:val="%2)"/>
      <w:lvlJc w:val="left"/>
      <w:pPr>
        <w:ind w:left="1020" w:hanging="360"/>
      </w:pPr>
    </w:lvl>
    <w:lvl w:ilvl="2" w:tplc="ED9E6C28">
      <w:start w:val="1"/>
      <w:numFmt w:val="decimal"/>
      <w:lvlText w:val="%3)"/>
      <w:lvlJc w:val="left"/>
      <w:pPr>
        <w:ind w:left="1020" w:hanging="360"/>
      </w:pPr>
    </w:lvl>
    <w:lvl w:ilvl="3" w:tplc="A11EA2EC">
      <w:start w:val="1"/>
      <w:numFmt w:val="decimal"/>
      <w:lvlText w:val="%4)"/>
      <w:lvlJc w:val="left"/>
      <w:pPr>
        <w:ind w:left="1020" w:hanging="360"/>
      </w:pPr>
    </w:lvl>
    <w:lvl w:ilvl="4" w:tplc="E468EF38">
      <w:start w:val="1"/>
      <w:numFmt w:val="decimal"/>
      <w:lvlText w:val="%5)"/>
      <w:lvlJc w:val="left"/>
      <w:pPr>
        <w:ind w:left="1020" w:hanging="360"/>
      </w:pPr>
    </w:lvl>
    <w:lvl w:ilvl="5" w:tplc="C5725190">
      <w:start w:val="1"/>
      <w:numFmt w:val="decimal"/>
      <w:lvlText w:val="%6)"/>
      <w:lvlJc w:val="left"/>
      <w:pPr>
        <w:ind w:left="1020" w:hanging="360"/>
      </w:pPr>
    </w:lvl>
    <w:lvl w:ilvl="6" w:tplc="7A104DF0">
      <w:start w:val="1"/>
      <w:numFmt w:val="decimal"/>
      <w:lvlText w:val="%7)"/>
      <w:lvlJc w:val="left"/>
      <w:pPr>
        <w:ind w:left="1020" w:hanging="360"/>
      </w:pPr>
    </w:lvl>
    <w:lvl w:ilvl="7" w:tplc="55368304">
      <w:start w:val="1"/>
      <w:numFmt w:val="decimal"/>
      <w:lvlText w:val="%8)"/>
      <w:lvlJc w:val="left"/>
      <w:pPr>
        <w:ind w:left="1020" w:hanging="360"/>
      </w:pPr>
    </w:lvl>
    <w:lvl w:ilvl="8" w:tplc="A1222F9C">
      <w:start w:val="1"/>
      <w:numFmt w:val="decimal"/>
      <w:lvlText w:val="%9)"/>
      <w:lvlJc w:val="left"/>
      <w:pPr>
        <w:ind w:left="1020" w:hanging="360"/>
      </w:pPr>
    </w:lvl>
  </w:abstractNum>
  <w:abstractNum w:abstractNumId="32" w15:restartNumberingAfterBreak="0">
    <w:nsid w:val="3B903B3C"/>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3BEE844A"/>
    <w:multiLevelType w:val="hybridMultilevel"/>
    <w:tmpl w:val="F530C7F2"/>
    <w:lvl w:ilvl="0" w:tplc="2812BFA8">
      <w:start w:val="1"/>
      <w:numFmt w:val="bullet"/>
      <w:lvlText w:val="-"/>
      <w:lvlJc w:val="left"/>
      <w:pPr>
        <w:ind w:left="720" w:hanging="360"/>
      </w:pPr>
      <w:rPr>
        <w:rFonts w:ascii="Calibri" w:hAnsi="Calibri" w:hint="default"/>
      </w:rPr>
    </w:lvl>
    <w:lvl w:ilvl="1" w:tplc="0E4CF494">
      <w:start w:val="1"/>
      <w:numFmt w:val="bullet"/>
      <w:lvlText w:val="o"/>
      <w:lvlJc w:val="left"/>
      <w:pPr>
        <w:ind w:left="1440" w:hanging="360"/>
      </w:pPr>
      <w:rPr>
        <w:rFonts w:ascii="Courier New" w:hAnsi="Courier New" w:hint="default"/>
      </w:rPr>
    </w:lvl>
    <w:lvl w:ilvl="2" w:tplc="918E89F2">
      <w:start w:val="1"/>
      <w:numFmt w:val="bullet"/>
      <w:lvlText w:val=""/>
      <w:lvlJc w:val="left"/>
      <w:pPr>
        <w:ind w:left="2160" w:hanging="360"/>
      </w:pPr>
      <w:rPr>
        <w:rFonts w:ascii="Wingdings" w:hAnsi="Wingdings" w:hint="default"/>
      </w:rPr>
    </w:lvl>
    <w:lvl w:ilvl="3" w:tplc="8DF0A1DC">
      <w:start w:val="1"/>
      <w:numFmt w:val="bullet"/>
      <w:lvlText w:val=""/>
      <w:lvlJc w:val="left"/>
      <w:pPr>
        <w:ind w:left="2880" w:hanging="360"/>
      </w:pPr>
      <w:rPr>
        <w:rFonts w:ascii="Symbol" w:hAnsi="Symbol" w:hint="default"/>
      </w:rPr>
    </w:lvl>
    <w:lvl w:ilvl="4" w:tplc="EF88BF76">
      <w:start w:val="1"/>
      <w:numFmt w:val="bullet"/>
      <w:lvlText w:val="o"/>
      <w:lvlJc w:val="left"/>
      <w:pPr>
        <w:ind w:left="3600" w:hanging="360"/>
      </w:pPr>
      <w:rPr>
        <w:rFonts w:ascii="Courier New" w:hAnsi="Courier New" w:hint="default"/>
      </w:rPr>
    </w:lvl>
    <w:lvl w:ilvl="5" w:tplc="872AE9D4">
      <w:start w:val="1"/>
      <w:numFmt w:val="bullet"/>
      <w:lvlText w:val=""/>
      <w:lvlJc w:val="left"/>
      <w:pPr>
        <w:ind w:left="4320" w:hanging="360"/>
      </w:pPr>
      <w:rPr>
        <w:rFonts w:ascii="Wingdings" w:hAnsi="Wingdings" w:hint="default"/>
      </w:rPr>
    </w:lvl>
    <w:lvl w:ilvl="6" w:tplc="E7C40BC8">
      <w:start w:val="1"/>
      <w:numFmt w:val="bullet"/>
      <w:lvlText w:val=""/>
      <w:lvlJc w:val="left"/>
      <w:pPr>
        <w:ind w:left="5040" w:hanging="360"/>
      </w:pPr>
      <w:rPr>
        <w:rFonts w:ascii="Symbol" w:hAnsi="Symbol" w:hint="default"/>
      </w:rPr>
    </w:lvl>
    <w:lvl w:ilvl="7" w:tplc="372852B6">
      <w:start w:val="1"/>
      <w:numFmt w:val="bullet"/>
      <w:lvlText w:val="o"/>
      <w:lvlJc w:val="left"/>
      <w:pPr>
        <w:ind w:left="5760" w:hanging="360"/>
      </w:pPr>
      <w:rPr>
        <w:rFonts w:ascii="Courier New" w:hAnsi="Courier New" w:hint="default"/>
      </w:rPr>
    </w:lvl>
    <w:lvl w:ilvl="8" w:tplc="A260CEB4">
      <w:start w:val="1"/>
      <w:numFmt w:val="bullet"/>
      <w:lvlText w:val=""/>
      <w:lvlJc w:val="left"/>
      <w:pPr>
        <w:ind w:left="6480" w:hanging="360"/>
      </w:pPr>
      <w:rPr>
        <w:rFonts w:ascii="Wingdings" w:hAnsi="Wingdings" w:hint="default"/>
      </w:rPr>
    </w:lvl>
  </w:abstractNum>
  <w:abstractNum w:abstractNumId="34" w15:restartNumberingAfterBreak="0">
    <w:nsid w:val="3BF3B791"/>
    <w:multiLevelType w:val="hybridMultilevel"/>
    <w:tmpl w:val="A22296AE"/>
    <w:lvl w:ilvl="0" w:tplc="3D42877A">
      <w:numFmt w:val="none"/>
      <w:lvlText w:val=""/>
      <w:lvlJc w:val="left"/>
      <w:pPr>
        <w:tabs>
          <w:tab w:val="num" w:pos="360"/>
        </w:tabs>
      </w:pPr>
    </w:lvl>
    <w:lvl w:ilvl="1" w:tplc="F0D2271A">
      <w:start w:val="1"/>
      <w:numFmt w:val="lowerLetter"/>
      <w:lvlText w:val="%2."/>
      <w:lvlJc w:val="left"/>
      <w:pPr>
        <w:ind w:left="1437" w:hanging="360"/>
      </w:pPr>
    </w:lvl>
    <w:lvl w:ilvl="2" w:tplc="843C6BF2">
      <w:start w:val="1"/>
      <w:numFmt w:val="lowerRoman"/>
      <w:lvlText w:val="%3."/>
      <w:lvlJc w:val="right"/>
      <w:pPr>
        <w:ind w:left="2157" w:hanging="180"/>
      </w:pPr>
    </w:lvl>
    <w:lvl w:ilvl="3" w:tplc="88D002B2">
      <w:start w:val="1"/>
      <w:numFmt w:val="decimal"/>
      <w:lvlText w:val="%4."/>
      <w:lvlJc w:val="left"/>
      <w:pPr>
        <w:ind w:left="2877" w:hanging="360"/>
      </w:pPr>
    </w:lvl>
    <w:lvl w:ilvl="4" w:tplc="BE8EF3D4">
      <w:start w:val="1"/>
      <w:numFmt w:val="lowerLetter"/>
      <w:lvlText w:val="%5."/>
      <w:lvlJc w:val="left"/>
      <w:pPr>
        <w:ind w:left="3597" w:hanging="360"/>
      </w:pPr>
    </w:lvl>
    <w:lvl w:ilvl="5" w:tplc="C17E8016">
      <w:start w:val="1"/>
      <w:numFmt w:val="lowerRoman"/>
      <w:lvlText w:val="%6."/>
      <w:lvlJc w:val="right"/>
      <w:pPr>
        <w:ind w:left="4317" w:hanging="180"/>
      </w:pPr>
    </w:lvl>
    <w:lvl w:ilvl="6" w:tplc="6EF07092">
      <w:start w:val="1"/>
      <w:numFmt w:val="decimal"/>
      <w:lvlText w:val="%7."/>
      <w:lvlJc w:val="left"/>
      <w:pPr>
        <w:ind w:left="5037" w:hanging="360"/>
      </w:pPr>
    </w:lvl>
    <w:lvl w:ilvl="7" w:tplc="0EB0BBF8">
      <w:start w:val="1"/>
      <w:numFmt w:val="lowerLetter"/>
      <w:lvlText w:val="%8."/>
      <w:lvlJc w:val="left"/>
      <w:pPr>
        <w:ind w:left="5757" w:hanging="360"/>
      </w:pPr>
    </w:lvl>
    <w:lvl w:ilvl="8" w:tplc="992CBADC">
      <w:start w:val="1"/>
      <w:numFmt w:val="lowerRoman"/>
      <w:lvlText w:val="%9."/>
      <w:lvlJc w:val="right"/>
      <w:pPr>
        <w:ind w:left="6477" w:hanging="180"/>
      </w:pPr>
    </w:lvl>
  </w:abstractNum>
  <w:abstractNum w:abstractNumId="35" w15:restartNumberingAfterBreak="0">
    <w:nsid w:val="3E14567B"/>
    <w:multiLevelType w:val="hybridMultilevel"/>
    <w:tmpl w:val="050292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3E18EA44"/>
    <w:multiLevelType w:val="hybridMultilevel"/>
    <w:tmpl w:val="921E2B90"/>
    <w:lvl w:ilvl="0" w:tplc="AEAA6272">
      <w:numFmt w:val="none"/>
      <w:lvlText w:val=""/>
      <w:lvlJc w:val="left"/>
      <w:pPr>
        <w:tabs>
          <w:tab w:val="num" w:pos="360"/>
        </w:tabs>
      </w:pPr>
    </w:lvl>
    <w:lvl w:ilvl="1" w:tplc="428C6A14">
      <w:start w:val="1"/>
      <w:numFmt w:val="lowerLetter"/>
      <w:lvlText w:val="%2."/>
      <w:lvlJc w:val="left"/>
      <w:pPr>
        <w:ind w:left="1440" w:hanging="360"/>
      </w:pPr>
    </w:lvl>
    <w:lvl w:ilvl="2" w:tplc="D74287DE">
      <w:start w:val="1"/>
      <w:numFmt w:val="lowerRoman"/>
      <w:lvlText w:val="%3."/>
      <w:lvlJc w:val="right"/>
      <w:pPr>
        <w:ind w:left="2160" w:hanging="180"/>
      </w:pPr>
    </w:lvl>
    <w:lvl w:ilvl="3" w:tplc="EE4680F0">
      <w:start w:val="1"/>
      <w:numFmt w:val="decimal"/>
      <w:lvlText w:val="%4."/>
      <w:lvlJc w:val="left"/>
      <w:pPr>
        <w:ind w:left="2880" w:hanging="360"/>
      </w:pPr>
    </w:lvl>
    <w:lvl w:ilvl="4" w:tplc="116CA952">
      <w:start w:val="1"/>
      <w:numFmt w:val="lowerLetter"/>
      <w:lvlText w:val="%5."/>
      <w:lvlJc w:val="left"/>
      <w:pPr>
        <w:ind w:left="3600" w:hanging="360"/>
      </w:pPr>
    </w:lvl>
    <w:lvl w:ilvl="5" w:tplc="5904843C">
      <w:start w:val="1"/>
      <w:numFmt w:val="lowerRoman"/>
      <w:lvlText w:val="%6."/>
      <w:lvlJc w:val="right"/>
      <w:pPr>
        <w:ind w:left="4320" w:hanging="180"/>
      </w:pPr>
    </w:lvl>
    <w:lvl w:ilvl="6" w:tplc="9C32DB8A">
      <w:start w:val="1"/>
      <w:numFmt w:val="decimal"/>
      <w:lvlText w:val="%7."/>
      <w:lvlJc w:val="left"/>
      <w:pPr>
        <w:ind w:left="5040" w:hanging="360"/>
      </w:pPr>
    </w:lvl>
    <w:lvl w:ilvl="7" w:tplc="F39A2082">
      <w:start w:val="1"/>
      <w:numFmt w:val="lowerLetter"/>
      <w:lvlText w:val="%8."/>
      <w:lvlJc w:val="left"/>
      <w:pPr>
        <w:ind w:left="5760" w:hanging="360"/>
      </w:pPr>
    </w:lvl>
    <w:lvl w:ilvl="8" w:tplc="68DE8660">
      <w:start w:val="1"/>
      <w:numFmt w:val="lowerRoman"/>
      <w:lvlText w:val="%9."/>
      <w:lvlJc w:val="right"/>
      <w:pPr>
        <w:ind w:left="6480" w:hanging="180"/>
      </w:pPr>
    </w:lvl>
  </w:abstractNum>
  <w:abstractNum w:abstractNumId="37" w15:restartNumberingAfterBreak="0">
    <w:nsid w:val="41C974EE"/>
    <w:multiLevelType w:val="hybridMultilevel"/>
    <w:tmpl w:val="68BC7AF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1D53C6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44E0A120"/>
    <w:multiLevelType w:val="hybridMultilevel"/>
    <w:tmpl w:val="70747BEC"/>
    <w:lvl w:ilvl="0" w:tplc="9CCCDB62">
      <w:start w:val="1"/>
      <w:numFmt w:val="bullet"/>
      <w:lvlText w:val=""/>
      <w:lvlJc w:val="left"/>
      <w:pPr>
        <w:ind w:left="720" w:hanging="360"/>
      </w:pPr>
      <w:rPr>
        <w:rFonts w:ascii="Symbol" w:hAnsi="Symbol" w:hint="default"/>
      </w:rPr>
    </w:lvl>
    <w:lvl w:ilvl="1" w:tplc="DACA3946">
      <w:start w:val="1"/>
      <w:numFmt w:val="bullet"/>
      <w:lvlText w:val="o"/>
      <w:lvlJc w:val="left"/>
      <w:pPr>
        <w:ind w:left="1440" w:hanging="360"/>
      </w:pPr>
      <w:rPr>
        <w:rFonts w:ascii="Courier New" w:hAnsi="Courier New" w:hint="default"/>
      </w:rPr>
    </w:lvl>
    <w:lvl w:ilvl="2" w:tplc="8FE2536E">
      <w:start w:val="1"/>
      <w:numFmt w:val="bullet"/>
      <w:lvlText w:val=""/>
      <w:lvlJc w:val="left"/>
      <w:pPr>
        <w:ind w:left="2160" w:hanging="360"/>
      </w:pPr>
      <w:rPr>
        <w:rFonts w:ascii="Wingdings" w:hAnsi="Wingdings" w:hint="default"/>
      </w:rPr>
    </w:lvl>
    <w:lvl w:ilvl="3" w:tplc="2A5A37C2">
      <w:start w:val="1"/>
      <w:numFmt w:val="bullet"/>
      <w:lvlText w:val=""/>
      <w:lvlJc w:val="left"/>
      <w:pPr>
        <w:ind w:left="2880" w:hanging="360"/>
      </w:pPr>
      <w:rPr>
        <w:rFonts w:ascii="Symbol" w:hAnsi="Symbol" w:hint="default"/>
      </w:rPr>
    </w:lvl>
    <w:lvl w:ilvl="4" w:tplc="86B8C17A">
      <w:start w:val="1"/>
      <w:numFmt w:val="bullet"/>
      <w:lvlText w:val="o"/>
      <w:lvlJc w:val="left"/>
      <w:pPr>
        <w:ind w:left="3600" w:hanging="360"/>
      </w:pPr>
      <w:rPr>
        <w:rFonts w:ascii="Courier New" w:hAnsi="Courier New" w:hint="default"/>
      </w:rPr>
    </w:lvl>
    <w:lvl w:ilvl="5" w:tplc="F9F6046C">
      <w:start w:val="1"/>
      <w:numFmt w:val="bullet"/>
      <w:lvlText w:val=""/>
      <w:lvlJc w:val="left"/>
      <w:pPr>
        <w:ind w:left="4320" w:hanging="360"/>
      </w:pPr>
      <w:rPr>
        <w:rFonts w:ascii="Wingdings" w:hAnsi="Wingdings" w:hint="default"/>
      </w:rPr>
    </w:lvl>
    <w:lvl w:ilvl="6" w:tplc="171A9994">
      <w:start w:val="1"/>
      <w:numFmt w:val="bullet"/>
      <w:lvlText w:val=""/>
      <w:lvlJc w:val="left"/>
      <w:pPr>
        <w:ind w:left="5040" w:hanging="360"/>
      </w:pPr>
      <w:rPr>
        <w:rFonts w:ascii="Symbol" w:hAnsi="Symbol" w:hint="default"/>
      </w:rPr>
    </w:lvl>
    <w:lvl w:ilvl="7" w:tplc="4DB22CCE">
      <w:start w:val="1"/>
      <w:numFmt w:val="bullet"/>
      <w:lvlText w:val="o"/>
      <w:lvlJc w:val="left"/>
      <w:pPr>
        <w:ind w:left="5760" w:hanging="360"/>
      </w:pPr>
      <w:rPr>
        <w:rFonts w:ascii="Courier New" w:hAnsi="Courier New" w:hint="default"/>
      </w:rPr>
    </w:lvl>
    <w:lvl w:ilvl="8" w:tplc="59ACAFBA">
      <w:start w:val="1"/>
      <w:numFmt w:val="bullet"/>
      <w:lvlText w:val=""/>
      <w:lvlJc w:val="left"/>
      <w:pPr>
        <w:ind w:left="6480" w:hanging="360"/>
      </w:pPr>
      <w:rPr>
        <w:rFonts w:ascii="Wingdings" w:hAnsi="Wingdings" w:hint="default"/>
      </w:rPr>
    </w:lvl>
  </w:abstractNum>
  <w:abstractNum w:abstractNumId="40" w15:restartNumberingAfterBreak="0">
    <w:nsid w:val="468A517D"/>
    <w:multiLevelType w:val="hybridMultilevel"/>
    <w:tmpl w:val="D21E6D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48A237AA"/>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A670E74"/>
    <w:multiLevelType w:val="multilevel"/>
    <w:tmpl w:val="ECB441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039736A"/>
    <w:multiLevelType w:val="hybridMultilevel"/>
    <w:tmpl w:val="0D3E7F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53AD6343"/>
    <w:multiLevelType w:val="hybridMultilevel"/>
    <w:tmpl w:val="836660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55ED3A74"/>
    <w:multiLevelType w:val="hybridMultilevel"/>
    <w:tmpl w:val="1A6AB2F6"/>
    <w:lvl w:ilvl="0" w:tplc="1988FB36">
      <w:start w:val="1"/>
      <w:numFmt w:val="bullet"/>
      <w:lvlText w:val=""/>
      <w:lvlJc w:val="left"/>
      <w:pPr>
        <w:ind w:left="720" w:hanging="360"/>
      </w:pPr>
      <w:rPr>
        <w:rFonts w:ascii="Symbol" w:hAnsi="Symbol" w:hint="default"/>
      </w:rPr>
    </w:lvl>
    <w:lvl w:ilvl="1" w:tplc="F6941D84">
      <w:start w:val="1"/>
      <w:numFmt w:val="bullet"/>
      <w:lvlText w:val="o"/>
      <w:lvlJc w:val="left"/>
      <w:pPr>
        <w:ind w:left="1440" w:hanging="360"/>
      </w:pPr>
      <w:rPr>
        <w:rFonts w:ascii="Courier New" w:hAnsi="Courier New" w:hint="default"/>
      </w:rPr>
    </w:lvl>
    <w:lvl w:ilvl="2" w:tplc="DB921DE0">
      <w:start w:val="1"/>
      <w:numFmt w:val="bullet"/>
      <w:lvlText w:val=""/>
      <w:lvlJc w:val="left"/>
      <w:pPr>
        <w:ind w:left="2160" w:hanging="360"/>
      </w:pPr>
      <w:rPr>
        <w:rFonts w:ascii="Wingdings" w:hAnsi="Wingdings" w:hint="default"/>
      </w:rPr>
    </w:lvl>
    <w:lvl w:ilvl="3" w:tplc="A504F8BC">
      <w:start w:val="1"/>
      <w:numFmt w:val="bullet"/>
      <w:lvlText w:val=""/>
      <w:lvlJc w:val="left"/>
      <w:pPr>
        <w:ind w:left="2880" w:hanging="360"/>
      </w:pPr>
      <w:rPr>
        <w:rFonts w:ascii="Symbol" w:hAnsi="Symbol" w:hint="default"/>
      </w:rPr>
    </w:lvl>
    <w:lvl w:ilvl="4" w:tplc="089A7798">
      <w:start w:val="1"/>
      <w:numFmt w:val="bullet"/>
      <w:lvlText w:val="o"/>
      <w:lvlJc w:val="left"/>
      <w:pPr>
        <w:ind w:left="3600" w:hanging="360"/>
      </w:pPr>
      <w:rPr>
        <w:rFonts w:ascii="Courier New" w:hAnsi="Courier New" w:hint="default"/>
      </w:rPr>
    </w:lvl>
    <w:lvl w:ilvl="5" w:tplc="7076F7E4">
      <w:start w:val="1"/>
      <w:numFmt w:val="bullet"/>
      <w:lvlText w:val=""/>
      <w:lvlJc w:val="left"/>
      <w:pPr>
        <w:ind w:left="4320" w:hanging="360"/>
      </w:pPr>
      <w:rPr>
        <w:rFonts w:ascii="Wingdings" w:hAnsi="Wingdings" w:hint="default"/>
      </w:rPr>
    </w:lvl>
    <w:lvl w:ilvl="6" w:tplc="A2F4158E">
      <w:start w:val="1"/>
      <w:numFmt w:val="bullet"/>
      <w:lvlText w:val=""/>
      <w:lvlJc w:val="left"/>
      <w:pPr>
        <w:ind w:left="5040" w:hanging="360"/>
      </w:pPr>
      <w:rPr>
        <w:rFonts w:ascii="Symbol" w:hAnsi="Symbol" w:hint="default"/>
      </w:rPr>
    </w:lvl>
    <w:lvl w:ilvl="7" w:tplc="56F6B282">
      <w:start w:val="1"/>
      <w:numFmt w:val="bullet"/>
      <w:lvlText w:val="o"/>
      <w:lvlJc w:val="left"/>
      <w:pPr>
        <w:ind w:left="5760" w:hanging="360"/>
      </w:pPr>
      <w:rPr>
        <w:rFonts w:ascii="Courier New" w:hAnsi="Courier New" w:hint="default"/>
      </w:rPr>
    </w:lvl>
    <w:lvl w:ilvl="8" w:tplc="91D66BA8">
      <w:start w:val="1"/>
      <w:numFmt w:val="bullet"/>
      <w:lvlText w:val=""/>
      <w:lvlJc w:val="left"/>
      <w:pPr>
        <w:ind w:left="6480" w:hanging="360"/>
      </w:pPr>
      <w:rPr>
        <w:rFonts w:ascii="Wingdings" w:hAnsi="Wingdings" w:hint="default"/>
      </w:rPr>
    </w:lvl>
  </w:abstractNum>
  <w:abstractNum w:abstractNumId="47" w15:restartNumberingAfterBreak="0">
    <w:nsid w:val="5B6F76CC"/>
    <w:multiLevelType w:val="multilevel"/>
    <w:tmpl w:val="8E583D90"/>
    <w:lvl w:ilvl="0">
      <w:start w:val="4"/>
      <w:numFmt w:val="decimal"/>
      <w:lvlText w:val="%1"/>
      <w:lvlJc w:val="left"/>
      <w:pPr>
        <w:ind w:left="465" w:hanging="465"/>
      </w:pPr>
      <w:rPr>
        <w:rFonts w:hint="default"/>
      </w:rPr>
    </w:lvl>
    <w:lvl w:ilvl="1">
      <w:start w:val="11"/>
      <w:numFmt w:val="decimal"/>
      <w:lvlText w:val="%1.%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8" w15:restartNumberingAfterBreak="0">
    <w:nsid w:val="5C8A3E06"/>
    <w:multiLevelType w:val="hybridMultilevel"/>
    <w:tmpl w:val="9990A774"/>
    <w:lvl w:ilvl="0" w:tplc="85522EC0">
      <w:start w:val="1"/>
      <w:numFmt w:val="bullet"/>
      <w:lvlText w:val=""/>
      <w:lvlJc w:val="left"/>
      <w:pPr>
        <w:ind w:left="720" w:hanging="360"/>
      </w:pPr>
      <w:rPr>
        <w:rFonts w:ascii="Symbol" w:hAnsi="Symbol" w:hint="default"/>
      </w:rPr>
    </w:lvl>
    <w:lvl w:ilvl="1" w:tplc="0AB07216">
      <w:start w:val="1"/>
      <w:numFmt w:val="bullet"/>
      <w:lvlText w:val="o"/>
      <w:lvlJc w:val="left"/>
      <w:pPr>
        <w:ind w:left="1440" w:hanging="360"/>
      </w:pPr>
      <w:rPr>
        <w:rFonts w:ascii="Courier New" w:hAnsi="Courier New" w:hint="default"/>
      </w:rPr>
    </w:lvl>
    <w:lvl w:ilvl="2" w:tplc="3050EABC">
      <w:start w:val="1"/>
      <w:numFmt w:val="bullet"/>
      <w:lvlText w:val=""/>
      <w:lvlJc w:val="left"/>
      <w:pPr>
        <w:ind w:left="2160" w:hanging="360"/>
      </w:pPr>
      <w:rPr>
        <w:rFonts w:ascii="Wingdings" w:hAnsi="Wingdings" w:hint="default"/>
      </w:rPr>
    </w:lvl>
    <w:lvl w:ilvl="3" w:tplc="C344A81A">
      <w:start w:val="1"/>
      <w:numFmt w:val="bullet"/>
      <w:lvlText w:val=""/>
      <w:lvlJc w:val="left"/>
      <w:pPr>
        <w:ind w:left="2880" w:hanging="360"/>
      </w:pPr>
      <w:rPr>
        <w:rFonts w:ascii="Symbol" w:hAnsi="Symbol" w:hint="default"/>
      </w:rPr>
    </w:lvl>
    <w:lvl w:ilvl="4" w:tplc="63A4FC6A">
      <w:start w:val="1"/>
      <w:numFmt w:val="bullet"/>
      <w:lvlText w:val="o"/>
      <w:lvlJc w:val="left"/>
      <w:pPr>
        <w:ind w:left="3600" w:hanging="360"/>
      </w:pPr>
      <w:rPr>
        <w:rFonts w:ascii="Courier New" w:hAnsi="Courier New" w:hint="default"/>
      </w:rPr>
    </w:lvl>
    <w:lvl w:ilvl="5" w:tplc="0A861B94">
      <w:start w:val="1"/>
      <w:numFmt w:val="bullet"/>
      <w:lvlText w:val=""/>
      <w:lvlJc w:val="left"/>
      <w:pPr>
        <w:ind w:left="4320" w:hanging="360"/>
      </w:pPr>
      <w:rPr>
        <w:rFonts w:ascii="Wingdings" w:hAnsi="Wingdings" w:hint="default"/>
      </w:rPr>
    </w:lvl>
    <w:lvl w:ilvl="6" w:tplc="72405BCC">
      <w:start w:val="1"/>
      <w:numFmt w:val="bullet"/>
      <w:lvlText w:val=""/>
      <w:lvlJc w:val="left"/>
      <w:pPr>
        <w:ind w:left="5040" w:hanging="360"/>
      </w:pPr>
      <w:rPr>
        <w:rFonts w:ascii="Symbol" w:hAnsi="Symbol" w:hint="default"/>
      </w:rPr>
    </w:lvl>
    <w:lvl w:ilvl="7" w:tplc="F744B188">
      <w:start w:val="1"/>
      <w:numFmt w:val="bullet"/>
      <w:lvlText w:val="o"/>
      <w:lvlJc w:val="left"/>
      <w:pPr>
        <w:ind w:left="5760" w:hanging="360"/>
      </w:pPr>
      <w:rPr>
        <w:rFonts w:ascii="Courier New" w:hAnsi="Courier New" w:hint="default"/>
      </w:rPr>
    </w:lvl>
    <w:lvl w:ilvl="8" w:tplc="30E87E3A">
      <w:start w:val="1"/>
      <w:numFmt w:val="bullet"/>
      <w:lvlText w:val=""/>
      <w:lvlJc w:val="left"/>
      <w:pPr>
        <w:ind w:left="6480" w:hanging="360"/>
      </w:pPr>
      <w:rPr>
        <w:rFonts w:ascii="Wingdings" w:hAnsi="Wingdings" w:hint="default"/>
      </w:rPr>
    </w:lvl>
  </w:abstractNum>
  <w:abstractNum w:abstractNumId="49" w15:restartNumberingAfterBreak="0">
    <w:nsid w:val="5D6F3C48"/>
    <w:multiLevelType w:val="hybridMultilevel"/>
    <w:tmpl w:val="CDBEAB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D8E59BC"/>
    <w:multiLevelType w:val="hybridMultilevel"/>
    <w:tmpl w:val="C7F6AA48"/>
    <w:lvl w:ilvl="0" w:tplc="721C039C">
      <w:start w:val="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DA26A19"/>
    <w:multiLevelType w:val="multilevel"/>
    <w:tmpl w:val="FFE6B8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F4B0483"/>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03D457D"/>
    <w:multiLevelType w:val="hybridMultilevel"/>
    <w:tmpl w:val="1082CC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0D1E02B"/>
    <w:multiLevelType w:val="hybridMultilevel"/>
    <w:tmpl w:val="30267516"/>
    <w:lvl w:ilvl="0" w:tplc="41BAFE56">
      <w:start w:val="1"/>
      <w:numFmt w:val="bullet"/>
      <w:lvlText w:val="·"/>
      <w:lvlJc w:val="left"/>
      <w:pPr>
        <w:ind w:left="720" w:hanging="360"/>
      </w:pPr>
      <w:rPr>
        <w:rFonts w:ascii="Symbol" w:hAnsi="Symbol" w:hint="default"/>
      </w:rPr>
    </w:lvl>
    <w:lvl w:ilvl="1" w:tplc="B434DCFC">
      <w:start w:val="1"/>
      <w:numFmt w:val="bullet"/>
      <w:lvlText w:val="o"/>
      <w:lvlJc w:val="left"/>
      <w:pPr>
        <w:ind w:left="1440" w:hanging="360"/>
      </w:pPr>
      <w:rPr>
        <w:rFonts w:ascii="Courier New" w:hAnsi="Courier New" w:hint="default"/>
      </w:rPr>
    </w:lvl>
    <w:lvl w:ilvl="2" w:tplc="5142A43A">
      <w:start w:val="1"/>
      <w:numFmt w:val="bullet"/>
      <w:lvlText w:val=""/>
      <w:lvlJc w:val="left"/>
      <w:pPr>
        <w:ind w:left="2160" w:hanging="360"/>
      </w:pPr>
      <w:rPr>
        <w:rFonts w:ascii="Wingdings" w:hAnsi="Wingdings" w:hint="default"/>
      </w:rPr>
    </w:lvl>
    <w:lvl w:ilvl="3" w:tplc="EC229AEA">
      <w:start w:val="1"/>
      <w:numFmt w:val="bullet"/>
      <w:lvlText w:val=""/>
      <w:lvlJc w:val="left"/>
      <w:pPr>
        <w:ind w:left="2880" w:hanging="360"/>
      </w:pPr>
      <w:rPr>
        <w:rFonts w:ascii="Symbol" w:hAnsi="Symbol" w:hint="default"/>
      </w:rPr>
    </w:lvl>
    <w:lvl w:ilvl="4" w:tplc="9E827398">
      <w:start w:val="1"/>
      <w:numFmt w:val="bullet"/>
      <w:lvlText w:val="o"/>
      <w:lvlJc w:val="left"/>
      <w:pPr>
        <w:ind w:left="3600" w:hanging="360"/>
      </w:pPr>
      <w:rPr>
        <w:rFonts w:ascii="Courier New" w:hAnsi="Courier New" w:hint="default"/>
      </w:rPr>
    </w:lvl>
    <w:lvl w:ilvl="5" w:tplc="F1E4376C">
      <w:start w:val="1"/>
      <w:numFmt w:val="bullet"/>
      <w:lvlText w:val=""/>
      <w:lvlJc w:val="left"/>
      <w:pPr>
        <w:ind w:left="4320" w:hanging="360"/>
      </w:pPr>
      <w:rPr>
        <w:rFonts w:ascii="Wingdings" w:hAnsi="Wingdings" w:hint="default"/>
      </w:rPr>
    </w:lvl>
    <w:lvl w:ilvl="6" w:tplc="98405556">
      <w:start w:val="1"/>
      <w:numFmt w:val="bullet"/>
      <w:lvlText w:val=""/>
      <w:lvlJc w:val="left"/>
      <w:pPr>
        <w:ind w:left="5040" w:hanging="360"/>
      </w:pPr>
      <w:rPr>
        <w:rFonts w:ascii="Symbol" w:hAnsi="Symbol" w:hint="default"/>
      </w:rPr>
    </w:lvl>
    <w:lvl w:ilvl="7" w:tplc="3CB44896">
      <w:start w:val="1"/>
      <w:numFmt w:val="bullet"/>
      <w:lvlText w:val="o"/>
      <w:lvlJc w:val="left"/>
      <w:pPr>
        <w:ind w:left="5760" w:hanging="360"/>
      </w:pPr>
      <w:rPr>
        <w:rFonts w:ascii="Courier New" w:hAnsi="Courier New" w:hint="default"/>
      </w:rPr>
    </w:lvl>
    <w:lvl w:ilvl="8" w:tplc="272C4D58">
      <w:start w:val="1"/>
      <w:numFmt w:val="bullet"/>
      <w:lvlText w:val=""/>
      <w:lvlJc w:val="left"/>
      <w:pPr>
        <w:ind w:left="6480" w:hanging="360"/>
      </w:pPr>
      <w:rPr>
        <w:rFonts w:ascii="Wingdings" w:hAnsi="Wingdings" w:hint="default"/>
      </w:rPr>
    </w:lvl>
  </w:abstractNum>
  <w:abstractNum w:abstractNumId="55" w15:restartNumberingAfterBreak="0">
    <w:nsid w:val="6263411A"/>
    <w:multiLevelType w:val="hybridMultilevel"/>
    <w:tmpl w:val="9C862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65B8111B"/>
    <w:multiLevelType w:val="hybridMultilevel"/>
    <w:tmpl w:val="83165916"/>
    <w:lvl w:ilvl="0" w:tplc="874CDF42">
      <w:start w:val="1"/>
      <w:numFmt w:val="bullet"/>
      <w:lvlText w:val="-"/>
      <w:lvlJc w:val="left"/>
      <w:pPr>
        <w:ind w:left="1080" w:hanging="360"/>
      </w:pPr>
      <w:rPr>
        <w:rFonts w:ascii="Calibri" w:eastAsia="Calibri" w:hAnsi="Calibri" w:cs="Calibri"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57" w15:restartNumberingAfterBreak="0">
    <w:nsid w:val="67531A74"/>
    <w:multiLevelType w:val="hybridMultilevel"/>
    <w:tmpl w:val="3A1A65C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6D24832A"/>
    <w:multiLevelType w:val="hybridMultilevel"/>
    <w:tmpl w:val="FE0CC7BE"/>
    <w:lvl w:ilvl="0" w:tplc="368C05A8">
      <w:start w:val="1"/>
      <w:numFmt w:val="bullet"/>
      <w:lvlText w:val="·"/>
      <w:lvlJc w:val="left"/>
      <w:pPr>
        <w:ind w:left="720" w:hanging="360"/>
      </w:pPr>
      <w:rPr>
        <w:rFonts w:ascii="Symbol" w:hAnsi="Symbol" w:hint="default"/>
      </w:rPr>
    </w:lvl>
    <w:lvl w:ilvl="1" w:tplc="36CA6508">
      <w:start w:val="1"/>
      <w:numFmt w:val="bullet"/>
      <w:lvlText w:val="o"/>
      <w:lvlJc w:val="left"/>
      <w:pPr>
        <w:ind w:left="1440" w:hanging="360"/>
      </w:pPr>
      <w:rPr>
        <w:rFonts w:ascii="Courier New" w:hAnsi="Courier New" w:hint="default"/>
      </w:rPr>
    </w:lvl>
    <w:lvl w:ilvl="2" w:tplc="7FA67FB6">
      <w:start w:val="1"/>
      <w:numFmt w:val="bullet"/>
      <w:lvlText w:val=""/>
      <w:lvlJc w:val="left"/>
      <w:pPr>
        <w:ind w:left="2160" w:hanging="360"/>
      </w:pPr>
      <w:rPr>
        <w:rFonts w:ascii="Wingdings" w:hAnsi="Wingdings" w:hint="default"/>
      </w:rPr>
    </w:lvl>
    <w:lvl w:ilvl="3" w:tplc="0F02251A">
      <w:start w:val="1"/>
      <w:numFmt w:val="bullet"/>
      <w:lvlText w:val=""/>
      <w:lvlJc w:val="left"/>
      <w:pPr>
        <w:ind w:left="2880" w:hanging="360"/>
      </w:pPr>
      <w:rPr>
        <w:rFonts w:ascii="Symbol" w:hAnsi="Symbol" w:hint="default"/>
      </w:rPr>
    </w:lvl>
    <w:lvl w:ilvl="4" w:tplc="BEFAFE26">
      <w:start w:val="1"/>
      <w:numFmt w:val="bullet"/>
      <w:lvlText w:val="o"/>
      <w:lvlJc w:val="left"/>
      <w:pPr>
        <w:ind w:left="3600" w:hanging="360"/>
      </w:pPr>
      <w:rPr>
        <w:rFonts w:ascii="Courier New" w:hAnsi="Courier New" w:hint="default"/>
      </w:rPr>
    </w:lvl>
    <w:lvl w:ilvl="5" w:tplc="B3D46156">
      <w:start w:val="1"/>
      <w:numFmt w:val="bullet"/>
      <w:lvlText w:val=""/>
      <w:lvlJc w:val="left"/>
      <w:pPr>
        <w:ind w:left="4320" w:hanging="360"/>
      </w:pPr>
      <w:rPr>
        <w:rFonts w:ascii="Wingdings" w:hAnsi="Wingdings" w:hint="default"/>
      </w:rPr>
    </w:lvl>
    <w:lvl w:ilvl="6" w:tplc="BCB02586">
      <w:start w:val="1"/>
      <w:numFmt w:val="bullet"/>
      <w:lvlText w:val=""/>
      <w:lvlJc w:val="left"/>
      <w:pPr>
        <w:ind w:left="5040" w:hanging="360"/>
      </w:pPr>
      <w:rPr>
        <w:rFonts w:ascii="Symbol" w:hAnsi="Symbol" w:hint="default"/>
      </w:rPr>
    </w:lvl>
    <w:lvl w:ilvl="7" w:tplc="C9AC46D8">
      <w:start w:val="1"/>
      <w:numFmt w:val="bullet"/>
      <w:lvlText w:val="o"/>
      <w:lvlJc w:val="left"/>
      <w:pPr>
        <w:ind w:left="5760" w:hanging="360"/>
      </w:pPr>
      <w:rPr>
        <w:rFonts w:ascii="Courier New" w:hAnsi="Courier New" w:hint="default"/>
      </w:rPr>
    </w:lvl>
    <w:lvl w:ilvl="8" w:tplc="3160BB3C">
      <w:start w:val="1"/>
      <w:numFmt w:val="bullet"/>
      <w:lvlText w:val=""/>
      <w:lvlJc w:val="left"/>
      <w:pPr>
        <w:ind w:left="6480" w:hanging="360"/>
      </w:pPr>
      <w:rPr>
        <w:rFonts w:ascii="Wingdings" w:hAnsi="Wingdings" w:hint="default"/>
      </w:rPr>
    </w:lvl>
  </w:abstractNum>
  <w:abstractNum w:abstractNumId="59" w15:restartNumberingAfterBreak="0">
    <w:nsid w:val="6F852277"/>
    <w:multiLevelType w:val="hybridMultilevel"/>
    <w:tmpl w:val="89DC286C"/>
    <w:lvl w:ilvl="0" w:tplc="5B009D2E">
      <w:start w:val="2"/>
      <w:numFmt w:val="bullet"/>
      <w:lvlText w:val="-"/>
      <w:lvlJc w:val="left"/>
      <w:pPr>
        <w:ind w:left="1080" w:hanging="360"/>
      </w:pPr>
      <w:rPr>
        <w:rFonts w:ascii="Aptos" w:eastAsia="Aptos" w:hAnsi="Aptos"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0" w15:restartNumberingAfterBreak="0">
    <w:nsid w:val="7028C21A"/>
    <w:multiLevelType w:val="hybridMultilevel"/>
    <w:tmpl w:val="FAC4FDE8"/>
    <w:lvl w:ilvl="0" w:tplc="45B6C7D6">
      <w:start w:val="1"/>
      <w:numFmt w:val="bullet"/>
      <w:lvlText w:val=""/>
      <w:lvlJc w:val="left"/>
      <w:pPr>
        <w:ind w:left="720" w:hanging="360"/>
      </w:pPr>
      <w:rPr>
        <w:rFonts w:ascii="Symbol" w:hAnsi="Symbol" w:hint="default"/>
      </w:rPr>
    </w:lvl>
    <w:lvl w:ilvl="1" w:tplc="FF94556A">
      <w:start w:val="1"/>
      <w:numFmt w:val="bullet"/>
      <w:lvlText w:val="o"/>
      <w:lvlJc w:val="left"/>
      <w:pPr>
        <w:ind w:left="1440" w:hanging="360"/>
      </w:pPr>
      <w:rPr>
        <w:rFonts w:ascii="Courier New" w:hAnsi="Courier New" w:hint="default"/>
      </w:rPr>
    </w:lvl>
    <w:lvl w:ilvl="2" w:tplc="4B8C8BCE">
      <w:start w:val="1"/>
      <w:numFmt w:val="bullet"/>
      <w:lvlText w:val=""/>
      <w:lvlJc w:val="left"/>
      <w:pPr>
        <w:ind w:left="2160" w:hanging="360"/>
      </w:pPr>
      <w:rPr>
        <w:rFonts w:ascii="Wingdings" w:hAnsi="Wingdings" w:hint="default"/>
      </w:rPr>
    </w:lvl>
    <w:lvl w:ilvl="3" w:tplc="E076AA28">
      <w:start w:val="1"/>
      <w:numFmt w:val="bullet"/>
      <w:lvlText w:val=""/>
      <w:lvlJc w:val="left"/>
      <w:pPr>
        <w:ind w:left="2880" w:hanging="360"/>
      </w:pPr>
      <w:rPr>
        <w:rFonts w:ascii="Symbol" w:hAnsi="Symbol" w:hint="default"/>
      </w:rPr>
    </w:lvl>
    <w:lvl w:ilvl="4" w:tplc="53A4419A">
      <w:start w:val="1"/>
      <w:numFmt w:val="bullet"/>
      <w:lvlText w:val="o"/>
      <w:lvlJc w:val="left"/>
      <w:pPr>
        <w:ind w:left="3600" w:hanging="360"/>
      </w:pPr>
      <w:rPr>
        <w:rFonts w:ascii="Courier New" w:hAnsi="Courier New" w:hint="default"/>
      </w:rPr>
    </w:lvl>
    <w:lvl w:ilvl="5" w:tplc="FF74A136">
      <w:start w:val="1"/>
      <w:numFmt w:val="bullet"/>
      <w:lvlText w:val=""/>
      <w:lvlJc w:val="left"/>
      <w:pPr>
        <w:ind w:left="4320" w:hanging="360"/>
      </w:pPr>
      <w:rPr>
        <w:rFonts w:ascii="Wingdings" w:hAnsi="Wingdings" w:hint="default"/>
      </w:rPr>
    </w:lvl>
    <w:lvl w:ilvl="6" w:tplc="425C4E56">
      <w:start w:val="1"/>
      <w:numFmt w:val="bullet"/>
      <w:lvlText w:val=""/>
      <w:lvlJc w:val="left"/>
      <w:pPr>
        <w:ind w:left="5040" w:hanging="360"/>
      </w:pPr>
      <w:rPr>
        <w:rFonts w:ascii="Symbol" w:hAnsi="Symbol" w:hint="default"/>
      </w:rPr>
    </w:lvl>
    <w:lvl w:ilvl="7" w:tplc="ADAE900A">
      <w:start w:val="1"/>
      <w:numFmt w:val="bullet"/>
      <w:lvlText w:val="o"/>
      <w:lvlJc w:val="left"/>
      <w:pPr>
        <w:ind w:left="5760" w:hanging="360"/>
      </w:pPr>
      <w:rPr>
        <w:rFonts w:ascii="Courier New" w:hAnsi="Courier New" w:hint="default"/>
      </w:rPr>
    </w:lvl>
    <w:lvl w:ilvl="8" w:tplc="6016C9BC">
      <w:start w:val="1"/>
      <w:numFmt w:val="bullet"/>
      <w:lvlText w:val=""/>
      <w:lvlJc w:val="left"/>
      <w:pPr>
        <w:ind w:left="6480" w:hanging="360"/>
      </w:pPr>
      <w:rPr>
        <w:rFonts w:ascii="Wingdings" w:hAnsi="Wingdings" w:hint="default"/>
      </w:rPr>
    </w:lvl>
  </w:abstractNum>
  <w:abstractNum w:abstractNumId="61" w15:restartNumberingAfterBreak="0">
    <w:nsid w:val="74954C1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2" w15:restartNumberingAfterBreak="0">
    <w:nsid w:val="76491D28"/>
    <w:multiLevelType w:val="hybridMultilevel"/>
    <w:tmpl w:val="82BE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83132DF"/>
    <w:multiLevelType w:val="hybridMultilevel"/>
    <w:tmpl w:val="868C09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84D6D5D"/>
    <w:multiLevelType w:val="hybridMultilevel"/>
    <w:tmpl w:val="81761B32"/>
    <w:lvl w:ilvl="0" w:tplc="D38428A0">
      <w:numFmt w:val="none"/>
      <w:lvlText w:val=""/>
      <w:lvlJc w:val="left"/>
      <w:pPr>
        <w:tabs>
          <w:tab w:val="num" w:pos="360"/>
        </w:tabs>
      </w:pPr>
    </w:lvl>
    <w:lvl w:ilvl="1" w:tplc="D36460CC">
      <w:start w:val="1"/>
      <w:numFmt w:val="lowerLetter"/>
      <w:lvlText w:val="%2."/>
      <w:lvlJc w:val="left"/>
      <w:pPr>
        <w:ind w:left="1440" w:hanging="360"/>
      </w:pPr>
    </w:lvl>
    <w:lvl w:ilvl="2" w:tplc="00F876DA">
      <w:start w:val="1"/>
      <w:numFmt w:val="lowerRoman"/>
      <w:lvlText w:val="%3."/>
      <w:lvlJc w:val="right"/>
      <w:pPr>
        <w:ind w:left="2160" w:hanging="180"/>
      </w:pPr>
    </w:lvl>
    <w:lvl w:ilvl="3" w:tplc="F4A2A93C">
      <w:start w:val="1"/>
      <w:numFmt w:val="decimal"/>
      <w:lvlText w:val="%4."/>
      <w:lvlJc w:val="left"/>
      <w:pPr>
        <w:ind w:left="2880" w:hanging="360"/>
      </w:pPr>
    </w:lvl>
    <w:lvl w:ilvl="4" w:tplc="1366B08E">
      <w:start w:val="1"/>
      <w:numFmt w:val="lowerLetter"/>
      <w:lvlText w:val="%5."/>
      <w:lvlJc w:val="left"/>
      <w:pPr>
        <w:ind w:left="3600" w:hanging="360"/>
      </w:pPr>
    </w:lvl>
    <w:lvl w:ilvl="5" w:tplc="AD8ED516">
      <w:start w:val="1"/>
      <w:numFmt w:val="lowerRoman"/>
      <w:lvlText w:val="%6."/>
      <w:lvlJc w:val="right"/>
      <w:pPr>
        <w:ind w:left="4320" w:hanging="180"/>
      </w:pPr>
    </w:lvl>
    <w:lvl w:ilvl="6" w:tplc="306631F2">
      <w:start w:val="1"/>
      <w:numFmt w:val="decimal"/>
      <w:lvlText w:val="%7."/>
      <w:lvlJc w:val="left"/>
      <w:pPr>
        <w:ind w:left="5040" w:hanging="360"/>
      </w:pPr>
    </w:lvl>
    <w:lvl w:ilvl="7" w:tplc="64AEECD4">
      <w:start w:val="1"/>
      <w:numFmt w:val="lowerLetter"/>
      <w:lvlText w:val="%8."/>
      <w:lvlJc w:val="left"/>
      <w:pPr>
        <w:ind w:left="5760" w:hanging="360"/>
      </w:pPr>
    </w:lvl>
    <w:lvl w:ilvl="8" w:tplc="0186B208">
      <w:start w:val="1"/>
      <w:numFmt w:val="lowerRoman"/>
      <w:lvlText w:val="%9."/>
      <w:lvlJc w:val="right"/>
      <w:pPr>
        <w:ind w:left="6480" w:hanging="180"/>
      </w:pPr>
    </w:lvl>
  </w:abstractNum>
  <w:abstractNum w:abstractNumId="65" w15:restartNumberingAfterBreak="0">
    <w:nsid w:val="795D3ACD"/>
    <w:multiLevelType w:val="hybridMultilevel"/>
    <w:tmpl w:val="04AECA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79975DA1"/>
    <w:multiLevelType w:val="hybridMultilevel"/>
    <w:tmpl w:val="762E4276"/>
    <w:lvl w:ilvl="0" w:tplc="0902F4A6">
      <w:start w:val="1"/>
      <w:numFmt w:val="bullet"/>
      <w:lvlText w:val="·"/>
      <w:lvlJc w:val="left"/>
      <w:pPr>
        <w:ind w:left="720" w:hanging="360"/>
      </w:pPr>
      <w:rPr>
        <w:rFonts w:ascii="Symbol" w:hAnsi="Symbol" w:hint="default"/>
      </w:rPr>
    </w:lvl>
    <w:lvl w:ilvl="1" w:tplc="08F28374">
      <w:start w:val="1"/>
      <w:numFmt w:val="bullet"/>
      <w:lvlText w:val="o"/>
      <w:lvlJc w:val="left"/>
      <w:pPr>
        <w:ind w:left="1440" w:hanging="360"/>
      </w:pPr>
      <w:rPr>
        <w:rFonts w:ascii="Courier New" w:hAnsi="Courier New" w:hint="default"/>
      </w:rPr>
    </w:lvl>
    <w:lvl w:ilvl="2" w:tplc="89C485C2">
      <w:start w:val="1"/>
      <w:numFmt w:val="bullet"/>
      <w:lvlText w:val=""/>
      <w:lvlJc w:val="left"/>
      <w:pPr>
        <w:ind w:left="2160" w:hanging="360"/>
      </w:pPr>
      <w:rPr>
        <w:rFonts w:ascii="Wingdings" w:hAnsi="Wingdings" w:hint="default"/>
      </w:rPr>
    </w:lvl>
    <w:lvl w:ilvl="3" w:tplc="052EFBA2">
      <w:start w:val="1"/>
      <w:numFmt w:val="bullet"/>
      <w:lvlText w:val=""/>
      <w:lvlJc w:val="left"/>
      <w:pPr>
        <w:ind w:left="2880" w:hanging="360"/>
      </w:pPr>
      <w:rPr>
        <w:rFonts w:ascii="Symbol" w:hAnsi="Symbol" w:hint="default"/>
      </w:rPr>
    </w:lvl>
    <w:lvl w:ilvl="4" w:tplc="3216BBD0">
      <w:start w:val="1"/>
      <w:numFmt w:val="bullet"/>
      <w:lvlText w:val="o"/>
      <w:lvlJc w:val="left"/>
      <w:pPr>
        <w:ind w:left="3600" w:hanging="360"/>
      </w:pPr>
      <w:rPr>
        <w:rFonts w:ascii="Courier New" w:hAnsi="Courier New" w:hint="default"/>
      </w:rPr>
    </w:lvl>
    <w:lvl w:ilvl="5" w:tplc="A5E004B0">
      <w:start w:val="1"/>
      <w:numFmt w:val="bullet"/>
      <w:lvlText w:val=""/>
      <w:lvlJc w:val="left"/>
      <w:pPr>
        <w:ind w:left="4320" w:hanging="360"/>
      </w:pPr>
      <w:rPr>
        <w:rFonts w:ascii="Wingdings" w:hAnsi="Wingdings" w:hint="default"/>
      </w:rPr>
    </w:lvl>
    <w:lvl w:ilvl="6" w:tplc="1124D14A">
      <w:start w:val="1"/>
      <w:numFmt w:val="bullet"/>
      <w:lvlText w:val=""/>
      <w:lvlJc w:val="left"/>
      <w:pPr>
        <w:ind w:left="5040" w:hanging="360"/>
      </w:pPr>
      <w:rPr>
        <w:rFonts w:ascii="Symbol" w:hAnsi="Symbol" w:hint="default"/>
      </w:rPr>
    </w:lvl>
    <w:lvl w:ilvl="7" w:tplc="7B6EBEA4">
      <w:start w:val="1"/>
      <w:numFmt w:val="bullet"/>
      <w:lvlText w:val="o"/>
      <w:lvlJc w:val="left"/>
      <w:pPr>
        <w:ind w:left="5760" w:hanging="360"/>
      </w:pPr>
      <w:rPr>
        <w:rFonts w:ascii="Courier New" w:hAnsi="Courier New" w:hint="default"/>
      </w:rPr>
    </w:lvl>
    <w:lvl w:ilvl="8" w:tplc="2E76B868">
      <w:start w:val="1"/>
      <w:numFmt w:val="bullet"/>
      <w:lvlText w:val=""/>
      <w:lvlJc w:val="left"/>
      <w:pPr>
        <w:ind w:left="6480" w:hanging="360"/>
      </w:pPr>
      <w:rPr>
        <w:rFonts w:ascii="Wingdings" w:hAnsi="Wingdings" w:hint="default"/>
      </w:rPr>
    </w:lvl>
  </w:abstractNum>
  <w:abstractNum w:abstractNumId="67" w15:restartNumberingAfterBreak="0">
    <w:nsid w:val="7FFE0871"/>
    <w:multiLevelType w:val="hybridMultilevel"/>
    <w:tmpl w:val="077806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0"/>
  </w:num>
  <w:num w:numId="2">
    <w:abstractNumId w:val="15"/>
  </w:num>
  <w:num w:numId="3">
    <w:abstractNumId w:val="2"/>
  </w:num>
  <w:num w:numId="4">
    <w:abstractNumId w:val="48"/>
  </w:num>
  <w:num w:numId="5">
    <w:abstractNumId w:val="39"/>
  </w:num>
  <w:num w:numId="6">
    <w:abstractNumId w:val="13"/>
  </w:num>
  <w:num w:numId="7">
    <w:abstractNumId w:val="34"/>
  </w:num>
  <w:num w:numId="8">
    <w:abstractNumId w:val="16"/>
  </w:num>
  <w:num w:numId="9">
    <w:abstractNumId w:val="46"/>
  </w:num>
  <w:num w:numId="10">
    <w:abstractNumId w:val="36"/>
  </w:num>
  <w:num w:numId="11">
    <w:abstractNumId w:val="28"/>
  </w:num>
  <w:num w:numId="12">
    <w:abstractNumId w:val="66"/>
  </w:num>
  <w:num w:numId="13">
    <w:abstractNumId w:val="58"/>
  </w:num>
  <w:num w:numId="14">
    <w:abstractNumId w:val="22"/>
  </w:num>
  <w:num w:numId="15">
    <w:abstractNumId w:val="54"/>
  </w:num>
  <w:num w:numId="16">
    <w:abstractNumId w:val="1"/>
  </w:num>
  <w:num w:numId="17">
    <w:abstractNumId w:val="33"/>
  </w:num>
  <w:num w:numId="18">
    <w:abstractNumId w:val="4"/>
  </w:num>
  <w:num w:numId="19">
    <w:abstractNumId w:val="25"/>
  </w:num>
  <w:num w:numId="20">
    <w:abstractNumId w:val="11"/>
  </w:num>
  <w:num w:numId="21">
    <w:abstractNumId w:val="45"/>
  </w:num>
  <w:num w:numId="22">
    <w:abstractNumId w:val="52"/>
  </w:num>
  <w:num w:numId="23">
    <w:abstractNumId w:val="7"/>
  </w:num>
  <w:num w:numId="24">
    <w:abstractNumId w:val="8"/>
  </w:num>
  <w:num w:numId="25">
    <w:abstractNumId w:val="64"/>
  </w:num>
  <w:num w:numId="26">
    <w:abstractNumId w:val="65"/>
  </w:num>
  <w:num w:numId="27">
    <w:abstractNumId w:val="23"/>
  </w:num>
  <w:num w:numId="28">
    <w:abstractNumId w:val="20"/>
  </w:num>
  <w:num w:numId="29">
    <w:abstractNumId w:val="67"/>
  </w:num>
  <w:num w:numId="30">
    <w:abstractNumId w:val="44"/>
  </w:num>
  <w:num w:numId="31">
    <w:abstractNumId w:val="62"/>
  </w:num>
  <w:num w:numId="32">
    <w:abstractNumId w:val="9"/>
  </w:num>
  <w:num w:numId="33">
    <w:abstractNumId w:val="3"/>
  </w:num>
  <w:num w:numId="34">
    <w:abstractNumId w:val="42"/>
  </w:num>
  <w:num w:numId="35">
    <w:abstractNumId w:val="18"/>
  </w:num>
  <w:num w:numId="36">
    <w:abstractNumId w:val="17"/>
  </w:num>
  <w:num w:numId="37">
    <w:abstractNumId w:val="30"/>
  </w:num>
  <w:num w:numId="38">
    <w:abstractNumId w:val="10"/>
  </w:num>
  <w:num w:numId="39">
    <w:abstractNumId w:val="32"/>
  </w:num>
  <w:num w:numId="40">
    <w:abstractNumId w:val="61"/>
  </w:num>
  <w:num w:numId="41">
    <w:abstractNumId w:val="49"/>
  </w:num>
  <w:num w:numId="42">
    <w:abstractNumId w:val="26"/>
  </w:num>
  <w:num w:numId="43">
    <w:abstractNumId w:val="55"/>
  </w:num>
  <w:num w:numId="44">
    <w:abstractNumId w:val="35"/>
  </w:num>
  <w:num w:numId="45">
    <w:abstractNumId w:val="63"/>
  </w:num>
  <w:num w:numId="46">
    <w:abstractNumId w:val="51"/>
  </w:num>
  <w:num w:numId="47">
    <w:abstractNumId w:val="19"/>
  </w:num>
  <w:num w:numId="48">
    <w:abstractNumId w:val="38"/>
  </w:num>
  <w:num w:numId="49">
    <w:abstractNumId w:val="40"/>
  </w:num>
  <w:num w:numId="50">
    <w:abstractNumId w:val="50"/>
  </w:num>
  <w:num w:numId="51">
    <w:abstractNumId w:val="41"/>
  </w:num>
  <w:num w:numId="52">
    <w:abstractNumId w:val="27"/>
  </w:num>
  <w:num w:numId="53">
    <w:abstractNumId w:val="24"/>
  </w:num>
  <w:num w:numId="54">
    <w:abstractNumId w:val="14"/>
  </w:num>
  <w:num w:numId="55">
    <w:abstractNumId w:val="43"/>
  </w:num>
  <w:num w:numId="56">
    <w:abstractNumId w:val="12"/>
  </w:num>
  <w:num w:numId="57">
    <w:abstractNumId w:val="29"/>
  </w:num>
  <w:num w:numId="58">
    <w:abstractNumId w:val="37"/>
  </w:num>
  <w:num w:numId="59">
    <w:abstractNumId w:val="53"/>
  </w:num>
  <w:num w:numId="60">
    <w:abstractNumId w:val="56"/>
  </w:num>
  <w:num w:numId="61">
    <w:abstractNumId w:val="6"/>
  </w:num>
  <w:num w:numId="62">
    <w:abstractNumId w:val="0"/>
  </w:num>
  <w:num w:numId="63">
    <w:abstractNumId w:val="57"/>
  </w:num>
  <w:num w:numId="64">
    <w:abstractNumId w:val="31"/>
  </w:num>
  <w:num w:numId="65">
    <w:abstractNumId w:val="21"/>
  </w:num>
  <w:num w:numId="66">
    <w:abstractNumId w:val="47"/>
  </w:num>
  <w:num w:numId="67">
    <w:abstractNumId w:val="59"/>
  </w:num>
  <w:num w:numId="68">
    <w:abstractNumId w:val="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de-DE" w:vendorID="64" w:dllVersion="0" w:nlCheck="1" w:checkStyle="0"/>
  <w:activeWritingStyle w:appName="MSWord" w:lang="fr-BE"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B0DAB53B-4270-49F9-AC1D-EE9F3C67F982"/>
    <w:docVar w:name="LW_COVERPAGE_TYPE" w:val="1"/>
    <w:docVar w:name="LW_CROSSREFERENCE" w:val="&lt;UNUSED&gt;"/>
    <w:docVar w:name="LW_DocType" w:val="NORMAL"/>
    <w:docVar w:name="LW_EMISSION" w:val="21.4.2026"/>
    <w:docVar w:name="LW_EMISSION_ISODATE" w:val="2026-04-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and application of the Trade and Cooperation Agreement between the European Union and the United Kingdom of Great Britain and Northern Ireland_x000d__x000d__x000d__x000d__x000d__x000d__x000d__x000d__x000d__x000d__x000d__x000d__x000d__x000d__x000d__x000b__x000d__x000d__x000d__x000d__x000d__x000d__x000d__x000d__x000d__x000d__x000d__x000d__x000d__x000d__x000d__x000d__x000b_1 January \u8211? 31 December 2025"/>
    <w:docVar w:name="LW_TYPE.DOC.CP" w:val="REPORT FROM THE COMMISSION TO THE EUROPEAN PARLIAMENT AND THE COUNCIL"/>
    <w:docVar w:name="LwApiVersions" w:val="LW4CoDe 1.24.5.0; LW 9.2, Build 20251112"/>
  </w:docVars>
  <w:rsids>
    <w:rsidRoot w:val="00D54585"/>
    <w:rsid w:val="00000306"/>
    <w:rsid w:val="000007A4"/>
    <w:rsid w:val="0000104B"/>
    <w:rsid w:val="00001275"/>
    <w:rsid w:val="0000188D"/>
    <w:rsid w:val="00001891"/>
    <w:rsid w:val="00002647"/>
    <w:rsid w:val="00002B7E"/>
    <w:rsid w:val="000032CF"/>
    <w:rsid w:val="00003840"/>
    <w:rsid w:val="00003FCC"/>
    <w:rsid w:val="00004111"/>
    <w:rsid w:val="00004751"/>
    <w:rsid w:val="00004D10"/>
    <w:rsid w:val="00004D1D"/>
    <w:rsid w:val="00005207"/>
    <w:rsid w:val="00005308"/>
    <w:rsid w:val="00005C07"/>
    <w:rsid w:val="00005C6E"/>
    <w:rsid w:val="0000609D"/>
    <w:rsid w:val="000061F3"/>
    <w:rsid w:val="000065A9"/>
    <w:rsid w:val="00006788"/>
    <w:rsid w:val="00006C00"/>
    <w:rsid w:val="00006D0B"/>
    <w:rsid w:val="00007142"/>
    <w:rsid w:val="00007848"/>
    <w:rsid w:val="000079C2"/>
    <w:rsid w:val="00007E74"/>
    <w:rsid w:val="000104AB"/>
    <w:rsid w:val="00010783"/>
    <w:rsid w:val="00010BA6"/>
    <w:rsid w:val="00010E1E"/>
    <w:rsid w:val="00010E78"/>
    <w:rsid w:val="0001117E"/>
    <w:rsid w:val="00011335"/>
    <w:rsid w:val="000113C6"/>
    <w:rsid w:val="0001158A"/>
    <w:rsid w:val="000115DE"/>
    <w:rsid w:val="00011B9E"/>
    <w:rsid w:val="00012286"/>
    <w:rsid w:val="00012658"/>
    <w:rsid w:val="00012710"/>
    <w:rsid w:val="00012C9B"/>
    <w:rsid w:val="00012ECB"/>
    <w:rsid w:val="0001303C"/>
    <w:rsid w:val="0001325C"/>
    <w:rsid w:val="00013508"/>
    <w:rsid w:val="00013525"/>
    <w:rsid w:val="00013B49"/>
    <w:rsid w:val="000142C1"/>
    <w:rsid w:val="00014693"/>
    <w:rsid w:val="000146AB"/>
    <w:rsid w:val="0001481C"/>
    <w:rsid w:val="00014D1B"/>
    <w:rsid w:val="00015337"/>
    <w:rsid w:val="000153A1"/>
    <w:rsid w:val="000153E0"/>
    <w:rsid w:val="000157FF"/>
    <w:rsid w:val="0001587D"/>
    <w:rsid w:val="00015F9B"/>
    <w:rsid w:val="00016550"/>
    <w:rsid w:val="000168BD"/>
    <w:rsid w:val="00016C53"/>
    <w:rsid w:val="00016EB0"/>
    <w:rsid w:val="000175C8"/>
    <w:rsid w:val="00017D6D"/>
    <w:rsid w:val="000200F1"/>
    <w:rsid w:val="000207EE"/>
    <w:rsid w:val="00020EC8"/>
    <w:rsid w:val="000216FD"/>
    <w:rsid w:val="000217E8"/>
    <w:rsid w:val="00021B26"/>
    <w:rsid w:val="00021CAA"/>
    <w:rsid w:val="00021D74"/>
    <w:rsid w:val="00021E9C"/>
    <w:rsid w:val="00021F00"/>
    <w:rsid w:val="000223BE"/>
    <w:rsid w:val="000225AE"/>
    <w:rsid w:val="00022783"/>
    <w:rsid w:val="00022A83"/>
    <w:rsid w:val="0002324A"/>
    <w:rsid w:val="00023CFA"/>
    <w:rsid w:val="0002423B"/>
    <w:rsid w:val="00024562"/>
    <w:rsid w:val="00024752"/>
    <w:rsid w:val="00024840"/>
    <w:rsid w:val="00024AB7"/>
    <w:rsid w:val="00024D39"/>
    <w:rsid w:val="0002515A"/>
    <w:rsid w:val="00025219"/>
    <w:rsid w:val="000252E0"/>
    <w:rsid w:val="000252ED"/>
    <w:rsid w:val="00025303"/>
    <w:rsid w:val="00025795"/>
    <w:rsid w:val="00025BB9"/>
    <w:rsid w:val="000260AA"/>
    <w:rsid w:val="000261D3"/>
    <w:rsid w:val="00026471"/>
    <w:rsid w:val="00026618"/>
    <w:rsid w:val="0002672F"/>
    <w:rsid w:val="00026E9E"/>
    <w:rsid w:val="00026F98"/>
    <w:rsid w:val="000271BF"/>
    <w:rsid w:val="000271C4"/>
    <w:rsid w:val="000276CC"/>
    <w:rsid w:val="00027CD9"/>
    <w:rsid w:val="00030013"/>
    <w:rsid w:val="000301EA"/>
    <w:rsid w:val="00030347"/>
    <w:rsid w:val="00030436"/>
    <w:rsid w:val="000306F0"/>
    <w:rsid w:val="00030988"/>
    <w:rsid w:val="00030E17"/>
    <w:rsid w:val="00031009"/>
    <w:rsid w:val="000310FD"/>
    <w:rsid w:val="00031464"/>
    <w:rsid w:val="00031830"/>
    <w:rsid w:val="00032120"/>
    <w:rsid w:val="000322C0"/>
    <w:rsid w:val="0003247B"/>
    <w:rsid w:val="000325EE"/>
    <w:rsid w:val="00033010"/>
    <w:rsid w:val="00033520"/>
    <w:rsid w:val="000335E7"/>
    <w:rsid w:val="000338D6"/>
    <w:rsid w:val="00033C0A"/>
    <w:rsid w:val="00033C13"/>
    <w:rsid w:val="0003427B"/>
    <w:rsid w:val="0003431F"/>
    <w:rsid w:val="00034447"/>
    <w:rsid w:val="000344EF"/>
    <w:rsid w:val="00034714"/>
    <w:rsid w:val="00034BAF"/>
    <w:rsid w:val="00034D82"/>
    <w:rsid w:val="000352A1"/>
    <w:rsid w:val="00035DDE"/>
    <w:rsid w:val="00035F8D"/>
    <w:rsid w:val="000361B5"/>
    <w:rsid w:val="00036505"/>
    <w:rsid w:val="000368B4"/>
    <w:rsid w:val="00036B14"/>
    <w:rsid w:val="00036B1B"/>
    <w:rsid w:val="00036B52"/>
    <w:rsid w:val="00037256"/>
    <w:rsid w:val="00037355"/>
    <w:rsid w:val="000379C6"/>
    <w:rsid w:val="00037D7B"/>
    <w:rsid w:val="00040337"/>
    <w:rsid w:val="000403C9"/>
    <w:rsid w:val="00040621"/>
    <w:rsid w:val="00040652"/>
    <w:rsid w:val="00040729"/>
    <w:rsid w:val="0004079B"/>
    <w:rsid w:val="00040810"/>
    <w:rsid w:val="0004094C"/>
    <w:rsid w:val="00040B22"/>
    <w:rsid w:val="0004105D"/>
    <w:rsid w:val="0004124E"/>
    <w:rsid w:val="0004141C"/>
    <w:rsid w:val="00041423"/>
    <w:rsid w:val="00041741"/>
    <w:rsid w:val="00041BE4"/>
    <w:rsid w:val="00041BEA"/>
    <w:rsid w:val="00041C04"/>
    <w:rsid w:val="00041C0E"/>
    <w:rsid w:val="00041C4F"/>
    <w:rsid w:val="00041CF6"/>
    <w:rsid w:val="00041EA1"/>
    <w:rsid w:val="00042229"/>
    <w:rsid w:val="00042251"/>
    <w:rsid w:val="00042371"/>
    <w:rsid w:val="000425F8"/>
    <w:rsid w:val="0004269C"/>
    <w:rsid w:val="000427B7"/>
    <w:rsid w:val="0004321E"/>
    <w:rsid w:val="000440CE"/>
    <w:rsid w:val="000446CA"/>
    <w:rsid w:val="00044B61"/>
    <w:rsid w:val="00044D30"/>
    <w:rsid w:val="00044D5B"/>
    <w:rsid w:val="00045096"/>
    <w:rsid w:val="000450A1"/>
    <w:rsid w:val="000452FC"/>
    <w:rsid w:val="0004588D"/>
    <w:rsid w:val="000458AD"/>
    <w:rsid w:val="000459F6"/>
    <w:rsid w:val="00045C33"/>
    <w:rsid w:val="0004609E"/>
    <w:rsid w:val="00046138"/>
    <w:rsid w:val="000463D3"/>
    <w:rsid w:val="000466FE"/>
    <w:rsid w:val="00046813"/>
    <w:rsid w:val="000468D3"/>
    <w:rsid w:val="00046AFE"/>
    <w:rsid w:val="00046BC6"/>
    <w:rsid w:val="000475FA"/>
    <w:rsid w:val="00047747"/>
    <w:rsid w:val="00047A42"/>
    <w:rsid w:val="00047C4B"/>
    <w:rsid w:val="00050116"/>
    <w:rsid w:val="00050F75"/>
    <w:rsid w:val="000510E5"/>
    <w:rsid w:val="00051418"/>
    <w:rsid w:val="00052618"/>
    <w:rsid w:val="000528AB"/>
    <w:rsid w:val="0005296D"/>
    <w:rsid w:val="00052993"/>
    <w:rsid w:val="000534CE"/>
    <w:rsid w:val="000537F7"/>
    <w:rsid w:val="00053B5A"/>
    <w:rsid w:val="00053D4D"/>
    <w:rsid w:val="00053E24"/>
    <w:rsid w:val="00053F5E"/>
    <w:rsid w:val="00054215"/>
    <w:rsid w:val="000543FB"/>
    <w:rsid w:val="00054488"/>
    <w:rsid w:val="0005453F"/>
    <w:rsid w:val="00054561"/>
    <w:rsid w:val="0005470B"/>
    <w:rsid w:val="0005493B"/>
    <w:rsid w:val="00054EE6"/>
    <w:rsid w:val="00055E8F"/>
    <w:rsid w:val="00055F72"/>
    <w:rsid w:val="00055FE8"/>
    <w:rsid w:val="00056C49"/>
    <w:rsid w:val="00056CAD"/>
    <w:rsid w:val="00056E2C"/>
    <w:rsid w:val="0005708D"/>
    <w:rsid w:val="0005718A"/>
    <w:rsid w:val="0005730C"/>
    <w:rsid w:val="00057FE1"/>
    <w:rsid w:val="0006000B"/>
    <w:rsid w:val="00060274"/>
    <w:rsid w:val="00060307"/>
    <w:rsid w:val="000603BC"/>
    <w:rsid w:val="0006063C"/>
    <w:rsid w:val="00060A22"/>
    <w:rsid w:val="00061246"/>
    <w:rsid w:val="000614F7"/>
    <w:rsid w:val="00061766"/>
    <w:rsid w:val="00061B7A"/>
    <w:rsid w:val="00061C6F"/>
    <w:rsid w:val="00061E77"/>
    <w:rsid w:val="00062591"/>
    <w:rsid w:val="000625F1"/>
    <w:rsid w:val="00062E29"/>
    <w:rsid w:val="00063633"/>
    <w:rsid w:val="00063F6C"/>
    <w:rsid w:val="000642DC"/>
    <w:rsid w:val="00064305"/>
    <w:rsid w:val="00064A64"/>
    <w:rsid w:val="00064FB9"/>
    <w:rsid w:val="000651DF"/>
    <w:rsid w:val="000656A6"/>
    <w:rsid w:val="000657BD"/>
    <w:rsid w:val="000659CC"/>
    <w:rsid w:val="00065E31"/>
    <w:rsid w:val="00065F22"/>
    <w:rsid w:val="00065FFE"/>
    <w:rsid w:val="00066658"/>
    <w:rsid w:val="00066724"/>
    <w:rsid w:val="0006721F"/>
    <w:rsid w:val="00067416"/>
    <w:rsid w:val="000700A0"/>
    <w:rsid w:val="00070C32"/>
    <w:rsid w:val="000712B5"/>
    <w:rsid w:val="00071555"/>
    <w:rsid w:val="0007178A"/>
    <w:rsid w:val="00071DC2"/>
    <w:rsid w:val="00071F9F"/>
    <w:rsid w:val="0007231C"/>
    <w:rsid w:val="00072891"/>
    <w:rsid w:val="00072CA9"/>
    <w:rsid w:val="00072E05"/>
    <w:rsid w:val="00073205"/>
    <w:rsid w:val="0007344F"/>
    <w:rsid w:val="0007361D"/>
    <w:rsid w:val="00073840"/>
    <w:rsid w:val="000739A6"/>
    <w:rsid w:val="000745BC"/>
    <w:rsid w:val="000747B9"/>
    <w:rsid w:val="00074B7C"/>
    <w:rsid w:val="00074BBB"/>
    <w:rsid w:val="00075370"/>
    <w:rsid w:val="000753EA"/>
    <w:rsid w:val="000754A6"/>
    <w:rsid w:val="0007551C"/>
    <w:rsid w:val="00075D85"/>
    <w:rsid w:val="00075EB1"/>
    <w:rsid w:val="000760FB"/>
    <w:rsid w:val="00076178"/>
    <w:rsid w:val="00076B08"/>
    <w:rsid w:val="00077421"/>
    <w:rsid w:val="000776F5"/>
    <w:rsid w:val="00077B8B"/>
    <w:rsid w:val="00077D94"/>
    <w:rsid w:val="00077EE7"/>
    <w:rsid w:val="000801B6"/>
    <w:rsid w:val="00080357"/>
    <w:rsid w:val="000803FE"/>
    <w:rsid w:val="00080483"/>
    <w:rsid w:val="000809CB"/>
    <w:rsid w:val="00080A48"/>
    <w:rsid w:val="00080A58"/>
    <w:rsid w:val="00080B1D"/>
    <w:rsid w:val="00081323"/>
    <w:rsid w:val="000813C2"/>
    <w:rsid w:val="0008161B"/>
    <w:rsid w:val="00081670"/>
    <w:rsid w:val="0008185F"/>
    <w:rsid w:val="00081C8C"/>
    <w:rsid w:val="00081E8C"/>
    <w:rsid w:val="00082071"/>
    <w:rsid w:val="000824AF"/>
    <w:rsid w:val="000824B8"/>
    <w:rsid w:val="0008255D"/>
    <w:rsid w:val="00083233"/>
    <w:rsid w:val="00083380"/>
    <w:rsid w:val="00083695"/>
    <w:rsid w:val="00083ABD"/>
    <w:rsid w:val="00083B96"/>
    <w:rsid w:val="00083F72"/>
    <w:rsid w:val="00084B11"/>
    <w:rsid w:val="00084CCD"/>
    <w:rsid w:val="00085204"/>
    <w:rsid w:val="000852AA"/>
    <w:rsid w:val="0008552E"/>
    <w:rsid w:val="00085596"/>
    <w:rsid w:val="00085676"/>
    <w:rsid w:val="00085C22"/>
    <w:rsid w:val="0008616A"/>
    <w:rsid w:val="000864EC"/>
    <w:rsid w:val="000869A5"/>
    <w:rsid w:val="00086A99"/>
    <w:rsid w:val="0008713D"/>
    <w:rsid w:val="000876F0"/>
    <w:rsid w:val="00087994"/>
    <w:rsid w:val="00087F49"/>
    <w:rsid w:val="0009001D"/>
    <w:rsid w:val="00090202"/>
    <w:rsid w:val="00090274"/>
    <w:rsid w:val="00090BFB"/>
    <w:rsid w:val="00091500"/>
    <w:rsid w:val="00091644"/>
    <w:rsid w:val="00092127"/>
    <w:rsid w:val="0009252B"/>
    <w:rsid w:val="000926C2"/>
    <w:rsid w:val="0009273D"/>
    <w:rsid w:val="00092957"/>
    <w:rsid w:val="00093055"/>
    <w:rsid w:val="000933D8"/>
    <w:rsid w:val="000935CA"/>
    <w:rsid w:val="000937D0"/>
    <w:rsid w:val="00093869"/>
    <w:rsid w:val="00093A9F"/>
    <w:rsid w:val="00093EEE"/>
    <w:rsid w:val="0009414C"/>
    <w:rsid w:val="000943A9"/>
    <w:rsid w:val="00094417"/>
    <w:rsid w:val="000948FB"/>
    <w:rsid w:val="00094901"/>
    <w:rsid w:val="0009501B"/>
    <w:rsid w:val="00095415"/>
    <w:rsid w:val="00095492"/>
    <w:rsid w:val="00095B61"/>
    <w:rsid w:val="00095DBD"/>
    <w:rsid w:val="00095ED2"/>
    <w:rsid w:val="00095FFB"/>
    <w:rsid w:val="0009657C"/>
    <w:rsid w:val="00096A6A"/>
    <w:rsid w:val="00097002"/>
    <w:rsid w:val="000972FB"/>
    <w:rsid w:val="0009743D"/>
    <w:rsid w:val="000A0397"/>
    <w:rsid w:val="000A05B3"/>
    <w:rsid w:val="000A109E"/>
    <w:rsid w:val="000A1126"/>
    <w:rsid w:val="000A1275"/>
    <w:rsid w:val="000A17C2"/>
    <w:rsid w:val="000A18C9"/>
    <w:rsid w:val="000A1D08"/>
    <w:rsid w:val="000A1D39"/>
    <w:rsid w:val="000A2113"/>
    <w:rsid w:val="000A217F"/>
    <w:rsid w:val="000A2575"/>
    <w:rsid w:val="000A25DA"/>
    <w:rsid w:val="000A2BC6"/>
    <w:rsid w:val="000A2C56"/>
    <w:rsid w:val="000A2F0B"/>
    <w:rsid w:val="000A312F"/>
    <w:rsid w:val="000A3281"/>
    <w:rsid w:val="000A3B2C"/>
    <w:rsid w:val="000A3BE6"/>
    <w:rsid w:val="000A3CCE"/>
    <w:rsid w:val="000A4312"/>
    <w:rsid w:val="000A48EB"/>
    <w:rsid w:val="000A4DA5"/>
    <w:rsid w:val="000A52FA"/>
    <w:rsid w:val="000A5313"/>
    <w:rsid w:val="000A5FE4"/>
    <w:rsid w:val="000A6097"/>
    <w:rsid w:val="000A642E"/>
    <w:rsid w:val="000A681D"/>
    <w:rsid w:val="000A695E"/>
    <w:rsid w:val="000A69A5"/>
    <w:rsid w:val="000A6ECD"/>
    <w:rsid w:val="000A6EFE"/>
    <w:rsid w:val="000A70E7"/>
    <w:rsid w:val="000A7239"/>
    <w:rsid w:val="000A778C"/>
    <w:rsid w:val="000A7D53"/>
    <w:rsid w:val="000B0172"/>
    <w:rsid w:val="000B026C"/>
    <w:rsid w:val="000B0C31"/>
    <w:rsid w:val="000B0D52"/>
    <w:rsid w:val="000B1449"/>
    <w:rsid w:val="000B1C34"/>
    <w:rsid w:val="000B2193"/>
    <w:rsid w:val="000B220A"/>
    <w:rsid w:val="000B2634"/>
    <w:rsid w:val="000B27A8"/>
    <w:rsid w:val="000B2D5E"/>
    <w:rsid w:val="000B356D"/>
    <w:rsid w:val="000B3592"/>
    <w:rsid w:val="000B39A8"/>
    <w:rsid w:val="000B3C86"/>
    <w:rsid w:val="000B3E46"/>
    <w:rsid w:val="000B3F3B"/>
    <w:rsid w:val="000B3F6B"/>
    <w:rsid w:val="000B4065"/>
    <w:rsid w:val="000B421A"/>
    <w:rsid w:val="000B4318"/>
    <w:rsid w:val="000B499E"/>
    <w:rsid w:val="000B49E2"/>
    <w:rsid w:val="000B4A15"/>
    <w:rsid w:val="000B4E0D"/>
    <w:rsid w:val="000B4FE4"/>
    <w:rsid w:val="000B5394"/>
    <w:rsid w:val="000B5489"/>
    <w:rsid w:val="000B5560"/>
    <w:rsid w:val="000B5B10"/>
    <w:rsid w:val="000B5D5D"/>
    <w:rsid w:val="000B5E5F"/>
    <w:rsid w:val="000B60FF"/>
    <w:rsid w:val="000B66B1"/>
    <w:rsid w:val="000B67DF"/>
    <w:rsid w:val="000B6DC1"/>
    <w:rsid w:val="000B6DDB"/>
    <w:rsid w:val="000B6E82"/>
    <w:rsid w:val="000B7200"/>
    <w:rsid w:val="000B79E7"/>
    <w:rsid w:val="000C00B9"/>
    <w:rsid w:val="000C084C"/>
    <w:rsid w:val="000C08C4"/>
    <w:rsid w:val="000C0AA4"/>
    <w:rsid w:val="000C0E09"/>
    <w:rsid w:val="000C0FA1"/>
    <w:rsid w:val="000C117A"/>
    <w:rsid w:val="000C1229"/>
    <w:rsid w:val="000C182E"/>
    <w:rsid w:val="000C1847"/>
    <w:rsid w:val="000C2118"/>
    <w:rsid w:val="000C23FF"/>
    <w:rsid w:val="000C2500"/>
    <w:rsid w:val="000C26EB"/>
    <w:rsid w:val="000C37CF"/>
    <w:rsid w:val="000C380D"/>
    <w:rsid w:val="000C3CF9"/>
    <w:rsid w:val="000C3FBD"/>
    <w:rsid w:val="000C4554"/>
    <w:rsid w:val="000C46FA"/>
    <w:rsid w:val="000C4776"/>
    <w:rsid w:val="000C4BF7"/>
    <w:rsid w:val="000C4F88"/>
    <w:rsid w:val="000C5317"/>
    <w:rsid w:val="000C543E"/>
    <w:rsid w:val="000C5741"/>
    <w:rsid w:val="000C576B"/>
    <w:rsid w:val="000C584A"/>
    <w:rsid w:val="000C61A9"/>
    <w:rsid w:val="000C665B"/>
    <w:rsid w:val="000C6787"/>
    <w:rsid w:val="000C68EF"/>
    <w:rsid w:val="000C753C"/>
    <w:rsid w:val="000C7834"/>
    <w:rsid w:val="000C7B30"/>
    <w:rsid w:val="000C7B8F"/>
    <w:rsid w:val="000C7DBA"/>
    <w:rsid w:val="000C7E5D"/>
    <w:rsid w:val="000D0590"/>
    <w:rsid w:val="000D0591"/>
    <w:rsid w:val="000D067B"/>
    <w:rsid w:val="000D0CBC"/>
    <w:rsid w:val="000D10E3"/>
    <w:rsid w:val="000D16CB"/>
    <w:rsid w:val="000D181D"/>
    <w:rsid w:val="000D1BCC"/>
    <w:rsid w:val="000D1FDC"/>
    <w:rsid w:val="000D22CE"/>
    <w:rsid w:val="000D230E"/>
    <w:rsid w:val="000D252F"/>
    <w:rsid w:val="000D2B25"/>
    <w:rsid w:val="000D36CA"/>
    <w:rsid w:val="000D3866"/>
    <w:rsid w:val="000D399F"/>
    <w:rsid w:val="000D3C77"/>
    <w:rsid w:val="000D4735"/>
    <w:rsid w:val="000D48BF"/>
    <w:rsid w:val="000D4AC2"/>
    <w:rsid w:val="000D4D0A"/>
    <w:rsid w:val="000D4D16"/>
    <w:rsid w:val="000D4D8F"/>
    <w:rsid w:val="000D4E03"/>
    <w:rsid w:val="000D4F2F"/>
    <w:rsid w:val="000D4FD0"/>
    <w:rsid w:val="000D4FD2"/>
    <w:rsid w:val="000D5254"/>
    <w:rsid w:val="000D53D6"/>
    <w:rsid w:val="000D5AE7"/>
    <w:rsid w:val="000D5B0E"/>
    <w:rsid w:val="000D5B2C"/>
    <w:rsid w:val="000D5CA6"/>
    <w:rsid w:val="000D5D1C"/>
    <w:rsid w:val="000D6265"/>
    <w:rsid w:val="000D6294"/>
    <w:rsid w:val="000D62C4"/>
    <w:rsid w:val="000D6458"/>
    <w:rsid w:val="000D659F"/>
    <w:rsid w:val="000D6C06"/>
    <w:rsid w:val="000D6C5B"/>
    <w:rsid w:val="000D6E6D"/>
    <w:rsid w:val="000D6F6A"/>
    <w:rsid w:val="000D6FCD"/>
    <w:rsid w:val="000D75C2"/>
    <w:rsid w:val="000D770C"/>
    <w:rsid w:val="000D7DA0"/>
    <w:rsid w:val="000D7E0E"/>
    <w:rsid w:val="000E00AE"/>
    <w:rsid w:val="000E059D"/>
    <w:rsid w:val="000E07D9"/>
    <w:rsid w:val="000E07E7"/>
    <w:rsid w:val="000E087B"/>
    <w:rsid w:val="000E0BA2"/>
    <w:rsid w:val="000E0F4C"/>
    <w:rsid w:val="000E103F"/>
    <w:rsid w:val="000E1060"/>
    <w:rsid w:val="000E1761"/>
    <w:rsid w:val="000E19D8"/>
    <w:rsid w:val="000E1B56"/>
    <w:rsid w:val="000E232D"/>
    <w:rsid w:val="000E2713"/>
    <w:rsid w:val="000E2C0D"/>
    <w:rsid w:val="000E2C32"/>
    <w:rsid w:val="000E2EE7"/>
    <w:rsid w:val="000E2F49"/>
    <w:rsid w:val="000E348C"/>
    <w:rsid w:val="000E4252"/>
    <w:rsid w:val="000E4365"/>
    <w:rsid w:val="000E4497"/>
    <w:rsid w:val="000E45C7"/>
    <w:rsid w:val="000E4C12"/>
    <w:rsid w:val="000E4DBB"/>
    <w:rsid w:val="000E540B"/>
    <w:rsid w:val="000E561C"/>
    <w:rsid w:val="000E57A7"/>
    <w:rsid w:val="000E5879"/>
    <w:rsid w:val="000E59C0"/>
    <w:rsid w:val="000E5D73"/>
    <w:rsid w:val="000E634D"/>
    <w:rsid w:val="000E6483"/>
    <w:rsid w:val="000E666C"/>
    <w:rsid w:val="000E66E3"/>
    <w:rsid w:val="000E692A"/>
    <w:rsid w:val="000E6A39"/>
    <w:rsid w:val="000E6D17"/>
    <w:rsid w:val="000E7215"/>
    <w:rsid w:val="000E7BB3"/>
    <w:rsid w:val="000F02F1"/>
    <w:rsid w:val="000F066D"/>
    <w:rsid w:val="000F0B07"/>
    <w:rsid w:val="000F0F22"/>
    <w:rsid w:val="000F10AD"/>
    <w:rsid w:val="000F11B6"/>
    <w:rsid w:val="000F11D5"/>
    <w:rsid w:val="000F123D"/>
    <w:rsid w:val="000F207C"/>
    <w:rsid w:val="000F2628"/>
    <w:rsid w:val="000F2954"/>
    <w:rsid w:val="000F2F21"/>
    <w:rsid w:val="000F309F"/>
    <w:rsid w:val="000F3284"/>
    <w:rsid w:val="000F3431"/>
    <w:rsid w:val="000F370C"/>
    <w:rsid w:val="000F4090"/>
    <w:rsid w:val="000F4487"/>
    <w:rsid w:val="000F47FF"/>
    <w:rsid w:val="000F4AD7"/>
    <w:rsid w:val="000F4B62"/>
    <w:rsid w:val="000F4C0B"/>
    <w:rsid w:val="000F4C4F"/>
    <w:rsid w:val="000F4E35"/>
    <w:rsid w:val="000F4FB7"/>
    <w:rsid w:val="000F52BD"/>
    <w:rsid w:val="000F5876"/>
    <w:rsid w:val="000F5D2D"/>
    <w:rsid w:val="000F5D51"/>
    <w:rsid w:val="000F6245"/>
    <w:rsid w:val="000F643C"/>
    <w:rsid w:val="000F64C5"/>
    <w:rsid w:val="000F7230"/>
    <w:rsid w:val="000F757A"/>
    <w:rsid w:val="000F7A1F"/>
    <w:rsid w:val="000F7BFF"/>
    <w:rsid w:val="0010013B"/>
    <w:rsid w:val="0010078B"/>
    <w:rsid w:val="001009B7"/>
    <w:rsid w:val="00100EF7"/>
    <w:rsid w:val="001011D8"/>
    <w:rsid w:val="00101518"/>
    <w:rsid w:val="001017A9"/>
    <w:rsid w:val="00101891"/>
    <w:rsid w:val="00101AA1"/>
    <w:rsid w:val="00101B27"/>
    <w:rsid w:val="00101BB1"/>
    <w:rsid w:val="00101E60"/>
    <w:rsid w:val="00102330"/>
    <w:rsid w:val="001026D8"/>
    <w:rsid w:val="001028A3"/>
    <w:rsid w:val="00102E35"/>
    <w:rsid w:val="00103136"/>
    <w:rsid w:val="0010376E"/>
    <w:rsid w:val="00103E5B"/>
    <w:rsid w:val="0010435A"/>
    <w:rsid w:val="001049D0"/>
    <w:rsid w:val="00104A73"/>
    <w:rsid w:val="00104ACE"/>
    <w:rsid w:val="00105957"/>
    <w:rsid w:val="00105FB9"/>
    <w:rsid w:val="00106318"/>
    <w:rsid w:val="00106863"/>
    <w:rsid w:val="001068F6"/>
    <w:rsid w:val="00106CFD"/>
    <w:rsid w:val="00106EF4"/>
    <w:rsid w:val="001070D3"/>
    <w:rsid w:val="00107172"/>
    <w:rsid w:val="00107623"/>
    <w:rsid w:val="00107B8E"/>
    <w:rsid w:val="00107D62"/>
    <w:rsid w:val="00107F30"/>
    <w:rsid w:val="001103D9"/>
    <w:rsid w:val="0011055D"/>
    <w:rsid w:val="00110844"/>
    <w:rsid w:val="001108D8"/>
    <w:rsid w:val="001110D5"/>
    <w:rsid w:val="0011174F"/>
    <w:rsid w:val="0011222B"/>
    <w:rsid w:val="00112239"/>
    <w:rsid w:val="00112273"/>
    <w:rsid w:val="00112393"/>
    <w:rsid w:val="001129BB"/>
    <w:rsid w:val="00112BD9"/>
    <w:rsid w:val="00112D7E"/>
    <w:rsid w:val="00113BBD"/>
    <w:rsid w:val="00114156"/>
    <w:rsid w:val="00114920"/>
    <w:rsid w:val="00114B94"/>
    <w:rsid w:val="00114BA9"/>
    <w:rsid w:val="00115706"/>
    <w:rsid w:val="00115A1B"/>
    <w:rsid w:val="00115D8A"/>
    <w:rsid w:val="001165CA"/>
    <w:rsid w:val="00117233"/>
    <w:rsid w:val="001172BB"/>
    <w:rsid w:val="0011746B"/>
    <w:rsid w:val="001178A2"/>
    <w:rsid w:val="0011792A"/>
    <w:rsid w:val="00117E26"/>
    <w:rsid w:val="0012006D"/>
    <w:rsid w:val="001202A5"/>
    <w:rsid w:val="001204AC"/>
    <w:rsid w:val="00120950"/>
    <w:rsid w:val="00120F8C"/>
    <w:rsid w:val="001210A7"/>
    <w:rsid w:val="001212CC"/>
    <w:rsid w:val="00121467"/>
    <w:rsid w:val="00121B0C"/>
    <w:rsid w:val="00121E35"/>
    <w:rsid w:val="00121E53"/>
    <w:rsid w:val="00122E2D"/>
    <w:rsid w:val="00122F7A"/>
    <w:rsid w:val="001234EC"/>
    <w:rsid w:val="001238B5"/>
    <w:rsid w:val="00123F45"/>
    <w:rsid w:val="00124041"/>
    <w:rsid w:val="001242E6"/>
    <w:rsid w:val="001245C1"/>
    <w:rsid w:val="00124E04"/>
    <w:rsid w:val="0012505F"/>
    <w:rsid w:val="00125408"/>
    <w:rsid w:val="001256C0"/>
    <w:rsid w:val="0012593C"/>
    <w:rsid w:val="00125C50"/>
    <w:rsid w:val="00125D36"/>
    <w:rsid w:val="001265A7"/>
    <w:rsid w:val="001268AD"/>
    <w:rsid w:val="00126970"/>
    <w:rsid w:val="00126A2D"/>
    <w:rsid w:val="001270BD"/>
    <w:rsid w:val="001273CB"/>
    <w:rsid w:val="0012763D"/>
    <w:rsid w:val="00127904"/>
    <w:rsid w:val="00127ADC"/>
    <w:rsid w:val="00127E8A"/>
    <w:rsid w:val="00130144"/>
    <w:rsid w:val="001301F8"/>
    <w:rsid w:val="001302B4"/>
    <w:rsid w:val="00130681"/>
    <w:rsid w:val="00130CFD"/>
    <w:rsid w:val="00130DA7"/>
    <w:rsid w:val="0013147C"/>
    <w:rsid w:val="001316B5"/>
    <w:rsid w:val="001316DA"/>
    <w:rsid w:val="00131868"/>
    <w:rsid w:val="0013189E"/>
    <w:rsid w:val="00131D08"/>
    <w:rsid w:val="0013267A"/>
    <w:rsid w:val="001326DB"/>
    <w:rsid w:val="00132F79"/>
    <w:rsid w:val="001331E3"/>
    <w:rsid w:val="0013328D"/>
    <w:rsid w:val="0013345F"/>
    <w:rsid w:val="0013364B"/>
    <w:rsid w:val="001339E6"/>
    <w:rsid w:val="00133E3D"/>
    <w:rsid w:val="00133F1E"/>
    <w:rsid w:val="00133FAF"/>
    <w:rsid w:val="00134138"/>
    <w:rsid w:val="001345B7"/>
    <w:rsid w:val="001345E4"/>
    <w:rsid w:val="00134B77"/>
    <w:rsid w:val="00134BEE"/>
    <w:rsid w:val="00134C85"/>
    <w:rsid w:val="00134FA5"/>
    <w:rsid w:val="00134FFB"/>
    <w:rsid w:val="001358BC"/>
    <w:rsid w:val="00135A51"/>
    <w:rsid w:val="00135D0E"/>
    <w:rsid w:val="00135F65"/>
    <w:rsid w:val="00135F79"/>
    <w:rsid w:val="00136009"/>
    <w:rsid w:val="00136729"/>
    <w:rsid w:val="00136A04"/>
    <w:rsid w:val="00136B2A"/>
    <w:rsid w:val="0013707E"/>
    <w:rsid w:val="00137354"/>
    <w:rsid w:val="0013747A"/>
    <w:rsid w:val="001374F4"/>
    <w:rsid w:val="001377C7"/>
    <w:rsid w:val="001377FA"/>
    <w:rsid w:val="00137A98"/>
    <w:rsid w:val="00137D4F"/>
    <w:rsid w:val="00140053"/>
    <w:rsid w:val="001404E5"/>
    <w:rsid w:val="00140564"/>
    <w:rsid w:val="00140835"/>
    <w:rsid w:val="00140875"/>
    <w:rsid w:val="00140A43"/>
    <w:rsid w:val="00140B3B"/>
    <w:rsid w:val="00140FC1"/>
    <w:rsid w:val="00141385"/>
    <w:rsid w:val="001413B3"/>
    <w:rsid w:val="001413F5"/>
    <w:rsid w:val="0014197A"/>
    <w:rsid w:val="00141E71"/>
    <w:rsid w:val="001424E2"/>
    <w:rsid w:val="001429B6"/>
    <w:rsid w:val="00142D1C"/>
    <w:rsid w:val="0014308A"/>
    <w:rsid w:val="0014312D"/>
    <w:rsid w:val="00143227"/>
    <w:rsid w:val="0014342D"/>
    <w:rsid w:val="00143AAA"/>
    <w:rsid w:val="00143B4F"/>
    <w:rsid w:val="00143CFE"/>
    <w:rsid w:val="00143E16"/>
    <w:rsid w:val="00144257"/>
    <w:rsid w:val="00144922"/>
    <w:rsid w:val="00144996"/>
    <w:rsid w:val="00144ABF"/>
    <w:rsid w:val="00144CF1"/>
    <w:rsid w:val="00144F8A"/>
    <w:rsid w:val="001450F6"/>
    <w:rsid w:val="0014551D"/>
    <w:rsid w:val="00145E28"/>
    <w:rsid w:val="00146101"/>
    <w:rsid w:val="001461C0"/>
    <w:rsid w:val="001461CA"/>
    <w:rsid w:val="001462D7"/>
    <w:rsid w:val="00146DA7"/>
    <w:rsid w:val="00146DE7"/>
    <w:rsid w:val="00146EB0"/>
    <w:rsid w:val="0014779D"/>
    <w:rsid w:val="00147953"/>
    <w:rsid w:val="00147DE5"/>
    <w:rsid w:val="00150335"/>
    <w:rsid w:val="00150664"/>
    <w:rsid w:val="00150790"/>
    <w:rsid w:val="00150CCD"/>
    <w:rsid w:val="00150EB5"/>
    <w:rsid w:val="0015122A"/>
    <w:rsid w:val="001518AE"/>
    <w:rsid w:val="00151A6D"/>
    <w:rsid w:val="00151C16"/>
    <w:rsid w:val="00151CF5"/>
    <w:rsid w:val="0015205A"/>
    <w:rsid w:val="00152115"/>
    <w:rsid w:val="0015276A"/>
    <w:rsid w:val="00152780"/>
    <w:rsid w:val="00152812"/>
    <w:rsid w:val="0015291C"/>
    <w:rsid w:val="001529C8"/>
    <w:rsid w:val="0015311B"/>
    <w:rsid w:val="0015331C"/>
    <w:rsid w:val="0015346D"/>
    <w:rsid w:val="001534CA"/>
    <w:rsid w:val="001535D8"/>
    <w:rsid w:val="00153963"/>
    <w:rsid w:val="00153F3B"/>
    <w:rsid w:val="00154048"/>
    <w:rsid w:val="00154492"/>
    <w:rsid w:val="001546A7"/>
    <w:rsid w:val="001548C0"/>
    <w:rsid w:val="0015491A"/>
    <w:rsid w:val="00154A9C"/>
    <w:rsid w:val="00154CF6"/>
    <w:rsid w:val="00154F62"/>
    <w:rsid w:val="0015519F"/>
    <w:rsid w:val="0015527F"/>
    <w:rsid w:val="00155310"/>
    <w:rsid w:val="001554BB"/>
    <w:rsid w:val="0015580C"/>
    <w:rsid w:val="00155877"/>
    <w:rsid w:val="00155C6E"/>
    <w:rsid w:val="00155E7B"/>
    <w:rsid w:val="0015640B"/>
    <w:rsid w:val="00156B5D"/>
    <w:rsid w:val="0015785B"/>
    <w:rsid w:val="00157A9F"/>
    <w:rsid w:val="00157B27"/>
    <w:rsid w:val="00157E89"/>
    <w:rsid w:val="00157ED4"/>
    <w:rsid w:val="001601E5"/>
    <w:rsid w:val="001605D6"/>
    <w:rsid w:val="00160BDC"/>
    <w:rsid w:val="00161AC1"/>
    <w:rsid w:val="00161C1F"/>
    <w:rsid w:val="00161CB5"/>
    <w:rsid w:val="00161CDF"/>
    <w:rsid w:val="00161E4F"/>
    <w:rsid w:val="001621DB"/>
    <w:rsid w:val="001629FA"/>
    <w:rsid w:val="00162C31"/>
    <w:rsid w:val="001630D1"/>
    <w:rsid w:val="0016319E"/>
    <w:rsid w:val="00163276"/>
    <w:rsid w:val="00163384"/>
    <w:rsid w:val="001634D6"/>
    <w:rsid w:val="0016353D"/>
    <w:rsid w:val="0016392A"/>
    <w:rsid w:val="00163A50"/>
    <w:rsid w:val="00163FF6"/>
    <w:rsid w:val="0016416B"/>
    <w:rsid w:val="00164436"/>
    <w:rsid w:val="00164E7B"/>
    <w:rsid w:val="00164FC8"/>
    <w:rsid w:val="001650BC"/>
    <w:rsid w:val="00165510"/>
    <w:rsid w:val="00165562"/>
    <w:rsid w:val="0016558F"/>
    <w:rsid w:val="001656BD"/>
    <w:rsid w:val="00165CAE"/>
    <w:rsid w:val="00165D89"/>
    <w:rsid w:val="0016646A"/>
    <w:rsid w:val="0016676D"/>
    <w:rsid w:val="001672C6"/>
    <w:rsid w:val="0016733A"/>
    <w:rsid w:val="00167699"/>
    <w:rsid w:val="00167A20"/>
    <w:rsid w:val="00167BB2"/>
    <w:rsid w:val="00167CAF"/>
    <w:rsid w:val="00167E5A"/>
    <w:rsid w:val="00170304"/>
    <w:rsid w:val="00170729"/>
    <w:rsid w:val="0017074A"/>
    <w:rsid w:val="00170893"/>
    <w:rsid w:val="001708E5"/>
    <w:rsid w:val="001719C8"/>
    <w:rsid w:val="00171B5E"/>
    <w:rsid w:val="00171CD7"/>
    <w:rsid w:val="00171D5C"/>
    <w:rsid w:val="001720BA"/>
    <w:rsid w:val="0017291A"/>
    <w:rsid w:val="0017297D"/>
    <w:rsid w:val="00172F5A"/>
    <w:rsid w:val="00172F6B"/>
    <w:rsid w:val="00173738"/>
    <w:rsid w:val="00173925"/>
    <w:rsid w:val="00173A62"/>
    <w:rsid w:val="00173D4B"/>
    <w:rsid w:val="00173DF2"/>
    <w:rsid w:val="00173E25"/>
    <w:rsid w:val="00173E80"/>
    <w:rsid w:val="00174375"/>
    <w:rsid w:val="001749D5"/>
    <w:rsid w:val="00174D4A"/>
    <w:rsid w:val="00175209"/>
    <w:rsid w:val="0017543C"/>
    <w:rsid w:val="00175499"/>
    <w:rsid w:val="0017570C"/>
    <w:rsid w:val="001757C1"/>
    <w:rsid w:val="001757EB"/>
    <w:rsid w:val="001760D5"/>
    <w:rsid w:val="0017632F"/>
    <w:rsid w:val="0017679F"/>
    <w:rsid w:val="001768BD"/>
    <w:rsid w:val="00176904"/>
    <w:rsid w:val="00176F54"/>
    <w:rsid w:val="00176FCA"/>
    <w:rsid w:val="00177041"/>
    <w:rsid w:val="0017720A"/>
    <w:rsid w:val="001772B0"/>
    <w:rsid w:val="00177638"/>
    <w:rsid w:val="0017778F"/>
    <w:rsid w:val="00177F5C"/>
    <w:rsid w:val="0017EF6E"/>
    <w:rsid w:val="00180096"/>
    <w:rsid w:val="0018017D"/>
    <w:rsid w:val="001804AC"/>
    <w:rsid w:val="001807FD"/>
    <w:rsid w:val="001809BC"/>
    <w:rsid w:val="001809FC"/>
    <w:rsid w:val="00180BFD"/>
    <w:rsid w:val="00180E77"/>
    <w:rsid w:val="00180E99"/>
    <w:rsid w:val="00180FEC"/>
    <w:rsid w:val="0018101A"/>
    <w:rsid w:val="0018144C"/>
    <w:rsid w:val="00181940"/>
    <w:rsid w:val="00181BB6"/>
    <w:rsid w:val="00181DE3"/>
    <w:rsid w:val="00181DEC"/>
    <w:rsid w:val="001820C2"/>
    <w:rsid w:val="001823EE"/>
    <w:rsid w:val="001825CF"/>
    <w:rsid w:val="001826B4"/>
    <w:rsid w:val="00182926"/>
    <w:rsid w:val="00182DCB"/>
    <w:rsid w:val="001831B0"/>
    <w:rsid w:val="001838DB"/>
    <w:rsid w:val="0018471F"/>
    <w:rsid w:val="00184BBA"/>
    <w:rsid w:val="00184CDE"/>
    <w:rsid w:val="00184D17"/>
    <w:rsid w:val="00184DC8"/>
    <w:rsid w:val="00185459"/>
    <w:rsid w:val="001858D4"/>
    <w:rsid w:val="0018614C"/>
    <w:rsid w:val="00186D96"/>
    <w:rsid w:val="0018706E"/>
    <w:rsid w:val="001875E4"/>
    <w:rsid w:val="00187805"/>
    <w:rsid w:val="00187945"/>
    <w:rsid w:val="001879F3"/>
    <w:rsid w:val="00187B41"/>
    <w:rsid w:val="00187CC2"/>
    <w:rsid w:val="0018964E"/>
    <w:rsid w:val="0018AAD9"/>
    <w:rsid w:val="00190024"/>
    <w:rsid w:val="00190A8F"/>
    <w:rsid w:val="00190DD0"/>
    <w:rsid w:val="00190F17"/>
    <w:rsid w:val="001910DD"/>
    <w:rsid w:val="00191251"/>
    <w:rsid w:val="00191278"/>
    <w:rsid w:val="001912B2"/>
    <w:rsid w:val="0019166C"/>
    <w:rsid w:val="001916D2"/>
    <w:rsid w:val="0019175F"/>
    <w:rsid w:val="001918B6"/>
    <w:rsid w:val="00191D78"/>
    <w:rsid w:val="00191EFB"/>
    <w:rsid w:val="00191F1D"/>
    <w:rsid w:val="00192413"/>
    <w:rsid w:val="0019262B"/>
    <w:rsid w:val="00192D49"/>
    <w:rsid w:val="00192EE0"/>
    <w:rsid w:val="00192F86"/>
    <w:rsid w:val="001932C9"/>
    <w:rsid w:val="001934BE"/>
    <w:rsid w:val="001937B8"/>
    <w:rsid w:val="00193ED2"/>
    <w:rsid w:val="00193FCD"/>
    <w:rsid w:val="001943A1"/>
    <w:rsid w:val="001948C0"/>
    <w:rsid w:val="00194A50"/>
    <w:rsid w:val="00194D0A"/>
    <w:rsid w:val="00194FF9"/>
    <w:rsid w:val="00195509"/>
    <w:rsid w:val="001962AF"/>
    <w:rsid w:val="001964CA"/>
    <w:rsid w:val="00196A86"/>
    <w:rsid w:val="00196B7F"/>
    <w:rsid w:val="00196F3D"/>
    <w:rsid w:val="0019775F"/>
    <w:rsid w:val="00197E14"/>
    <w:rsid w:val="001A045E"/>
    <w:rsid w:val="001A04AE"/>
    <w:rsid w:val="001A05AF"/>
    <w:rsid w:val="001A076C"/>
    <w:rsid w:val="001A0947"/>
    <w:rsid w:val="001A0AC7"/>
    <w:rsid w:val="001A0B0A"/>
    <w:rsid w:val="001A0D88"/>
    <w:rsid w:val="001A0DCB"/>
    <w:rsid w:val="001A0EB1"/>
    <w:rsid w:val="001A14C9"/>
    <w:rsid w:val="001A15B3"/>
    <w:rsid w:val="001A16A6"/>
    <w:rsid w:val="001A19D5"/>
    <w:rsid w:val="001A20DF"/>
    <w:rsid w:val="001A2810"/>
    <w:rsid w:val="001A2A13"/>
    <w:rsid w:val="001A2DBA"/>
    <w:rsid w:val="001A2F52"/>
    <w:rsid w:val="001A3855"/>
    <w:rsid w:val="001A3B9E"/>
    <w:rsid w:val="001A3CDB"/>
    <w:rsid w:val="001A412E"/>
    <w:rsid w:val="001A4881"/>
    <w:rsid w:val="001A4A55"/>
    <w:rsid w:val="001A4D1A"/>
    <w:rsid w:val="001A4FDA"/>
    <w:rsid w:val="001A57C7"/>
    <w:rsid w:val="001A5EFA"/>
    <w:rsid w:val="001A610B"/>
    <w:rsid w:val="001A6355"/>
    <w:rsid w:val="001A6482"/>
    <w:rsid w:val="001A64FB"/>
    <w:rsid w:val="001A66D3"/>
    <w:rsid w:val="001A69DF"/>
    <w:rsid w:val="001A72A0"/>
    <w:rsid w:val="001A730F"/>
    <w:rsid w:val="001A73DB"/>
    <w:rsid w:val="001A746A"/>
    <w:rsid w:val="001A7491"/>
    <w:rsid w:val="001A74E5"/>
    <w:rsid w:val="001A76E8"/>
    <w:rsid w:val="001A76F2"/>
    <w:rsid w:val="001A7C2C"/>
    <w:rsid w:val="001A7C69"/>
    <w:rsid w:val="001B01A7"/>
    <w:rsid w:val="001B023A"/>
    <w:rsid w:val="001B03BD"/>
    <w:rsid w:val="001B05E4"/>
    <w:rsid w:val="001B09F8"/>
    <w:rsid w:val="001B0A35"/>
    <w:rsid w:val="001B0D82"/>
    <w:rsid w:val="001B138A"/>
    <w:rsid w:val="001B1404"/>
    <w:rsid w:val="001B14B8"/>
    <w:rsid w:val="001B1514"/>
    <w:rsid w:val="001B16EC"/>
    <w:rsid w:val="001B170F"/>
    <w:rsid w:val="001B1C55"/>
    <w:rsid w:val="001B1D80"/>
    <w:rsid w:val="001B210C"/>
    <w:rsid w:val="001B2362"/>
    <w:rsid w:val="001B243A"/>
    <w:rsid w:val="001B24A8"/>
    <w:rsid w:val="001B2891"/>
    <w:rsid w:val="001B2B72"/>
    <w:rsid w:val="001B3050"/>
    <w:rsid w:val="001B38BA"/>
    <w:rsid w:val="001B39E9"/>
    <w:rsid w:val="001B39FC"/>
    <w:rsid w:val="001B3B48"/>
    <w:rsid w:val="001B4209"/>
    <w:rsid w:val="001B43AD"/>
    <w:rsid w:val="001B4578"/>
    <w:rsid w:val="001B4684"/>
    <w:rsid w:val="001B47A4"/>
    <w:rsid w:val="001B4B18"/>
    <w:rsid w:val="001B4C8F"/>
    <w:rsid w:val="001B4EF9"/>
    <w:rsid w:val="001B521E"/>
    <w:rsid w:val="001B5DD8"/>
    <w:rsid w:val="001B603A"/>
    <w:rsid w:val="001B606D"/>
    <w:rsid w:val="001B6AD6"/>
    <w:rsid w:val="001B6AEB"/>
    <w:rsid w:val="001B6BD1"/>
    <w:rsid w:val="001B6CF3"/>
    <w:rsid w:val="001B7B0D"/>
    <w:rsid w:val="001C01D6"/>
    <w:rsid w:val="001C0674"/>
    <w:rsid w:val="001C08BB"/>
    <w:rsid w:val="001C0C11"/>
    <w:rsid w:val="001C13CE"/>
    <w:rsid w:val="001C143D"/>
    <w:rsid w:val="001C15A6"/>
    <w:rsid w:val="001C189E"/>
    <w:rsid w:val="001C1AF7"/>
    <w:rsid w:val="001C1DBF"/>
    <w:rsid w:val="001C23BF"/>
    <w:rsid w:val="001C24E6"/>
    <w:rsid w:val="001C2CAE"/>
    <w:rsid w:val="001C33C0"/>
    <w:rsid w:val="001C36BB"/>
    <w:rsid w:val="001C37A3"/>
    <w:rsid w:val="001C3888"/>
    <w:rsid w:val="001C3A8A"/>
    <w:rsid w:val="001C3BAC"/>
    <w:rsid w:val="001C3CA6"/>
    <w:rsid w:val="001C3D74"/>
    <w:rsid w:val="001C4234"/>
    <w:rsid w:val="001C4AB3"/>
    <w:rsid w:val="001C4BE4"/>
    <w:rsid w:val="001C58E4"/>
    <w:rsid w:val="001C5B76"/>
    <w:rsid w:val="001C60E7"/>
    <w:rsid w:val="001C6170"/>
    <w:rsid w:val="001C682A"/>
    <w:rsid w:val="001C690C"/>
    <w:rsid w:val="001C69F7"/>
    <w:rsid w:val="001C6AA5"/>
    <w:rsid w:val="001C6C2A"/>
    <w:rsid w:val="001C6CAD"/>
    <w:rsid w:val="001C6D60"/>
    <w:rsid w:val="001C6DDF"/>
    <w:rsid w:val="001C6E1A"/>
    <w:rsid w:val="001C6EC8"/>
    <w:rsid w:val="001C7C60"/>
    <w:rsid w:val="001CBD9C"/>
    <w:rsid w:val="001D0177"/>
    <w:rsid w:val="001D04D2"/>
    <w:rsid w:val="001D0BC1"/>
    <w:rsid w:val="001D0CC6"/>
    <w:rsid w:val="001D0D67"/>
    <w:rsid w:val="001D0DF7"/>
    <w:rsid w:val="001D0FAB"/>
    <w:rsid w:val="001D1690"/>
    <w:rsid w:val="001D1746"/>
    <w:rsid w:val="001D197C"/>
    <w:rsid w:val="001D1D30"/>
    <w:rsid w:val="001D1E77"/>
    <w:rsid w:val="001D226E"/>
    <w:rsid w:val="001D2425"/>
    <w:rsid w:val="001D24A1"/>
    <w:rsid w:val="001D274B"/>
    <w:rsid w:val="001D2EEB"/>
    <w:rsid w:val="001D34C0"/>
    <w:rsid w:val="001D356D"/>
    <w:rsid w:val="001D3ABE"/>
    <w:rsid w:val="001D3E28"/>
    <w:rsid w:val="001D4065"/>
    <w:rsid w:val="001D416B"/>
    <w:rsid w:val="001D4308"/>
    <w:rsid w:val="001D43C8"/>
    <w:rsid w:val="001D459A"/>
    <w:rsid w:val="001D45F8"/>
    <w:rsid w:val="001D4719"/>
    <w:rsid w:val="001D494D"/>
    <w:rsid w:val="001D4B86"/>
    <w:rsid w:val="001D50DC"/>
    <w:rsid w:val="001D5581"/>
    <w:rsid w:val="001D5666"/>
    <w:rsid w:val="001D5778"/>
    <w:rsid w:val="001D5B2D"/>
    <w:rsid w:val="001D674C"/>
    <w:rsid w:val="001D6766"/>
    <w:rsid w:val="001D7079"/>
    <w:rsid w:val="001D725B"/>
    <w:rsid w:val="001D740B"/>
    <w:rsid w:val="001D7B3D"/>
    <w:rsid w:val="001E01AF"/>
    <w:rsid w:val="001E020B"/>
    <w:rsid w:val="001E0222"/>
    <w:rsid w:val="001E043D"/>
    <w:rsid w:val="001E04D9"/>
    <w:rsid w:val="001E0A65"/>
    <w:rsid w:val="001E1D65"/>
    <w:rsid w:val="001E1DED"/>
    <w:rsid w:val="001E1F98"/>
    <w:rsid w:val="001E2034"/>
    <w:rsid w:val="001E2057"/>
    <w:rsid w:val="001E264D"/>
    <w:rsid w:val="001E26D2"/>
    <w:rsid w:val="001E27CA"/>
    <w:rsid w:val="001E2A4B"/>
    <w:rsid w:val="001E2C32"/>
    <w:rsid w:val="001E2DC7"/>
    <w:rsid w:val="001E3109"/>
    <w:rsid w:val="001E31F9"/>
    <w:rsid w:val="001E39DA"/>
    <w:rsid w:val="001E45A7"/>
    <w:rsid w:val="001E4785"/>
    <w:rsid w:val="001E53C3"/>
    <w:rsid w:val="001E553E"/>
    <w:rsid w:val="001E5682"/>
    <w:rsid w:val="001E56A5"/>
    <w:rsid w:val="001E56AA"/>
    <w:rsid w:val="001E5ADE"/>
    <w:rsid w:val="001E5E23"/>
    <w:rsid w:val="001E5FC9"/>
    <w:rsid w:val="001E6B6A"/>
    <w:rsid w:val="001E6B6F"/>
    <w:rsid w:val="001E6D3B"/>
    <w:rsid w:val="001E6DFE"/>
    <w:rsid w:val="001E6F0B"/>
    <w:rsid w:val="001E70DD"/>
    <w:rsid w:val="001E716C"/>
    <w:rsid w:val="001E73ED"/>
    <w:rsid w:val="001E74D4"/>
    <w:rsid w:val="001E7679"/>
    <w:rsid w:val="001E7691"/>
    <w:rsid w:val="001E7B95"/>
    <w:rsid w:val="001E7B99"/>
    <w:rsid w:val="001E7E00"/>
    <w:rsid w:val="001E7E06"/>
    <w:rsid w:val="001ECADF"/>
    <w:rsid w:val="001F00B8"/>
    <w:rsid w:val="001F096B"/>
    <w:rsid w:val="001F0B89"/>
    <w:rsid w:val="001F1272"/>
    <w:rsid w:val="001F13DF"/>
    <w:rsid w:val="001F1556"/>
    <w:rsid w:val="001F1A3A"/>
    <w:rsid w:val="001F1F20"/>
    <w:rsid w:val="001F1FC5"/>
    <w:rsid w:val="001F2302"/>
    <w:rsid w:val="001F2547"/>
    <w:rsid w:val="001F293D"/>
    <w:rsid w:val="001F2C03"/>
    <w:rsid w:val="001F2CD5"/>
    <w:rsid w:val="001F2DBC"/>
    <w:rsid w:val="001F3223"/>
    <w:rsid w:val="001F3B60"/>
    <w:rsid w:val="001F3BA2"/>
    <w:rsid w:val="001F3C8B"/>
    <w:rsid w:val="001F3CB4"/>
    <w:rsid w:val="001F3DD7"/>
    <w:rsid w:val="001F3E05"/>
    <w:rsid w:val="001F3F50"/>
    <w:rsid w:val="001F455E"/>
    <w:rsid w:val="001F4A0D"/>
    <w:rsid w:val="001F4B43"/>
    <w:rsid w:val="001F4CF6"/>
    <w:rsid w:val="001F4D13"/>
    <w:rsid w:val="001F4DEE"/>
    <w:rsid w:val="001F5499"/>
    <w:rsid w:val="001F574B"/>
    <w:rsid w:val="001F59E3"/>
    <w:rsid w:val="001F5FC7"/>
    <w:rsid w:val="001F6054"/>
    <w:rsid w:val="001F6130"/>
    <w:rsid w:val="001F6B18"/>
    <w:rsid w:val="001F6FDF"/>
    <w:rsid w:val="001F71AF"/>
    <w:rsid w:val="001F7271"/>
    <w:rsid w:val="001F7719"/>
    <w:rsid w:val="001F773A"/>
    <w:rsid w:val="001F77B4"/>
    <w:rsid w:val="001F77C8"/>
    <w:rsid w:val="001F77C9"/>
    <w:rsid w:val="001F79F7"/>
    <w:rsid w:val="001F7E0F"/>
    <w:rsid w:val="001F7E6A"/>
    <w:rsid w:val="001F7F65"/>
    <w:rsid w:val="00200139"/>
    <w:rsid w:val="00200468"/>
    <w:rsid w:val="002005D5"/>
    <w:rsid w:val="0020067E"/>
    <w:rsid w:val="00200A3D"/>
    <w:rsid w:val="00200B3F"/>
    <w:rsid w:val="00201810"/>
    <w:rsid w:val="00201C58"/>
    <w:rsid w:val="00201C5C"/>
    <w:rsid w:val="00201D57"/>
    <w:rsid w:val="00201DBE"/>
    <w:rsid w:val="00201E22"/>
    <w:rsid w:val="00202070"/>
    <w:rsid w:val="00202B3F"/>
    <w:rsid w:val="00202F94"/>
    <w:rsid w:val="00202F96"/>
    <w:rsid w:val="00203588"/>
    <w:rsid w:val="0020394C"/>
    <w:rsid w:val="00203A68"/>
    <w:rsid w:val="00203BD5"/>
    <w:rsid w:val="00204296"/>
    <w:rsid w:val="002050F8"/>
    <w:rsid w:val="00205669"/>
    <w:rsid w:val="002056B4"/>
    <w:rsid w:val="00205AF1"/>
    <w:rsid w:val="00205F1F"/>
    <w:rsid w:val="00206650"/>
    <w:rsid w:val="0020690A"/>
    <w:rsid w:val="00207045"/>
    <w:rsid w:val="002072E7"/>
    <w:rsid w:val="002074B9"/>
    <w:rsid w:val="00207564"/>
    <w:rsid w:val="0020769B"/>
    <w:rsid w:val="002076B0"/>
    <w:rsid w:val="0020782B"/>
    <w:rsid w:val="00207FB8"/>
    <w:rsid w:val="002101E1"/>
    <w:rsid w:val="00210393"/>
    <w:rsid w:val="002103AC"/>
    <w:rsid w:val="00210498"/>
    <w:rsid w:val="002109DA"/>
    <w:rsid w:val="00210E31"/>
    <w:rsid w:val="002113EF"/>
    <w:rsid w:val="00211BF5"/>
    <w:rsid w:val="00212267"/>
    <w:rsid w:val="00212950"/>
    <w:rsid w:val="00212C00"/>
    <w:rsid w:val="00212D2A"/>
    <w:rsid w:val="00212FCE"/>
    <w:rsid w:val="002132B6"/>
    <w:rsid w:val="0021364B"/>
    <w:rsid w:val="00213C54"/>
    <w:rsid w:val="00214397"/>
    <w:rsid w:val="00214714"/>
    <w:rsid w:val="00214844"/>
    <w:rsid w:val="002148E4"/>
    <w:rsid w:val="00214AD5"/>
    <w:rsid w:val="00215567"/>
    <w:rsid w:val="00215617"/>
    <w:rsid w:val="00215654"/>
    <w:rsid w:val="00215C02"/>
    <w:rsid w:val="002160E4"/>
    <w:rsid w:val="00216208"/>
    <w:rsid w:val="002162A3"/>
    <w:rsid w:val="002164A6"/>
    <w:rsid w:val="0021655C"/>
    <w:rsid w:val="00216592"/>
    <w:rsid w:val="002167B5"/>
    <w:rsid w:val="00216B4D"/>
    <w:rsid w:val="00216B6D"/>
    <w:rsid w:val="00216F4C"/>
    <w:rsid w:val="002172CD"/>
    <w:rsid w:val="00217870"/>
    <w:rsid w:val="00217DE2"/>
    <w:rsid w:val="00217E5D"/>
    <w:rsid w:val="002210D6"/>
    <w:rsid w:val="002215A5"/>
    <w:rsid w:val="0022190B"/>
    <w:rsid w:val="00221D4A"/>
    <w:rsid w:val="00222C98"/>
    <w:rsid w:val="00222CD0"/>
    <w:rsid w:val="00222DDC"/>
    <w:rsid w:val="0022353D"/>
    <w:rsid w:val="002237FC"/>
    <w:rsid w:val="002238B7"/>
    <w:rsid w:val="00223A21"/>
    <w:rsid w:val="00223E23"/>
    <w:rsid w:val="0022419E"/>
    <w:rsid w:val="002245C0"/>
    <w:rsid w:val="00224838"/>
    <w:rsid w:val="00224CEA"/>
    <w:rsid w:val="002254D2"/>
    <w:rsid w:val="0022565A"/>
    <w:rsid w:val="002259A9"/>
    <w:rsid w:val="00225BB2"/>
    <w:rsid w:val="00225FB1"/>
    <w:rsid w:val="002262A6"/>
    <w:rsid w:val="0022640D"/>
    <w:rsid w:val="002268BB"/>
    <w:rsid w:val="00226D41"/>
    <w:rsid w:val="00226DF3"/>
    <w:rsid w:val="00227084"/>
    <w:rsid w:val="00227386"/>
    <w:rsid w:val="00227810"/>
    <w:rsid w:val="00227B79"/>
    <w:rsid w:val="00230534"/>
    <w:rsid w:val="00230E9C"/>
    <w:rsid w:val="00231073"/>
    <w:rsid w:val="0023129F"/>
    <w:rsid w:val="00231808"/>
    <w:rsid w:val="002318B2"/>
    <w:rsid w:val="00232064"/>
    <w:rsid w:val="0023222D"/>
    <w:rsid w:val="00232B09"/>
    <w:rsid w:val="00232D02"/>
    <w:rsid w:val="00232DB8"/>
    <w:rsid w:val="002330BA"/>
    <w:rsid w:val="00233237"/>
    <w:rsid w:val="002336D1"/>
    <w:rsid w:val="00233D83"/>
    <w:rsid w:val="00233E60"/>
    <w:rsid w:val="00234103"/>
    <w:rsid w:val="00234340"/>
    <w:rsid w:val="00234471"/>
    <w:rsid w:val="0023461A"/>
    <w:rsid w:val="00234A1C"/>
    <w:rsid w:val="00234ABE"/>
    <w:rsid w:val="00234BA8"/>
    <w:rsid w:val="00234F22"/>
    <w:rsid w:val="00235231"/>
    <w:rsid w:val="002354BE"/>
    <w:rsid w:val="002354D5"/>
    <w:rsid w:val="0023554A"/>
    <w:rsid w:val="00235788"/>
    <w:rsid w:val="0023590E"/>
    <w:rsid w:val="0023655A"/>
    <w:rsid w:val="002366EF"/>
    <w:rsid w:val="00236901"/>
    <w:rsid w:val="00237096"/>
    <w:rsid w:val="00237774"/>
    <w:rsid w:val="00237A8C"/>
    <w:rsid w:val="00237AC6"/>
    <w:rsid w:val="00237D14"/>
    <w:rsid w:val="00237E0F"/>
    <w:rsid w:val="00237F99"/>
    <w:rsid w:val="0024002C"/>
    <w:rsid w:val="002400DB"/>
    <w:rsid w:val="0024015D"/>
    <w:rsid w:val="002407C1"/>
    <w:rsid w:val="00240C86"/>
    <w:rsid w:val="00240F37"/>
    <w:rsid w:val="0024124B"/>
    <w:rsid w:val="00241289"/>
    <w:rsid w:val="002415D1"/>
    <w:rsid w:val="002417C8"/>
    <w:rsid w:val="00241AAD"/>
    <w:rsid w:val="00241AEB"/>
    <w:rsid w:val="00241B4E"/>
    <w:rsid w:val="00241C0A"/>
    <w:rsid w:val="00241EF4"/>
    <w:rsid w:val="002426DA"/>
    <w:rsid w:val="00242AB6"/>
    <w:rsid w:val="00242D91"/>
    <w:rsid w:val="00242E30"/>
    <w:rsid w:val="00242E33"/>
    <w:rsid w:val="00243094"/>
    <w:rsid w:val="0024319C"/>
    <w:rsid w:val="00243785"/>
    <w:rsid w:val="00243C85"/>
    <w:rsid w:val="00244012"/>
    <w:rsid w:val="002440F0"/>
    <w:rsid w:val="0024431B"/>
    <w:rsid w:val="0024436A"/>
    <w:rsid w:val="00244461"/>
    <w:rsid w:val="0024451E"/>
    <w:rsid w:val="0024452A"/>
    <w:rsid w:val="002450AE"/>
    <w:rsid w:val="00245747"/>
    <w:rsid w:val="002457CF"/>
    <w:rsid w:val="00245905"/>
    <w:rsid w:val="00245B72"/>
    <w:rsid w:val="00245E5D"/>
    <w:rsid w:val="00246256"/>
    <w:rsid w:val="002462A4"/>
    <w:rsid w:val="002463D6"/>
    <w:rsid w:val="002469D3"/>
    <w:rsid w:val="00246B56"/>
    <w:rsid w:val="00246BF8"/>
    <w:rsid w:val="00246E4F"/>
    <w:rsid w:val="00246F60"/>
    <w:rsid w:val="00247768"/>
    <w:rsid w:val="00247C30"/>
    <w:rsid w:val="00247C3C"/>
    <w:rsid w:val="00250012"/>
    <w:rsid w:val="002500DC"/>
    <w:rsid w:val="0025038E"/>
    <w:rsid w:val="0025051E"/>
    <w:rsid w:val="00250E0E"/>
    <w:rsid w:val="00250E21"/>
    <w:rsid w:val="00250E78"/>
    <w:rsid w:val="00250F12"/>
    <w:rsid w:val="00250F70"/>
    <w:rsid w:val="0025151D"/>
    <w:rsid w:val="00251969"/>
    <w:rsid w:val="00251B7A"/>
    <w:rsid w:val="0025218D"/>
    <w:rsid w:val="002527AD"/>
    <w:rsid w:val="00252813"/>
    <w:rsid w:val="00252847"/>
    <w:rsid w:val="002530EB"/>
    <w:rsid w:val="0025310C"/>
    <w:rsid w:val="00253324"/>
    <w:rsid w:val="0025337A"/>
    <w:rsid w:val="00253963"/>
    <w:rsid w:val="00253B63"/>
    <w:rsid w:val="00253F2E"/>
    <w:rsid w:val="00254059"/>
    <w:rsid w:val="002542C8"/>
    <w:rsid w:val="002543E8"/>
    <w:rsid w:val="00254665"/>
    <w:rsid w:val="00254701"/>
    <w:rsid w:val="002548AE"/>
    <w:rsid w:val="00254973"/>
    <w:rsid w:val="00254C4C"/>
    <w:rsid w:val="002562E4"/>
    <w:rsid w:val="0025689B"/>
    <w:rsid w:val="00256FAA"/>
    <w:rsid w:val="00256FC4"/>
    <w:rsid w:val="0025720F"/>
    <w:rsid w:val="0025739E"/>
    <w:rsid w:val="00257434"/>
    <w:rsid w:val="002574E1"/>
    <w:rsid w:val="002577BC"/>
    <w:rsid w:val="00257823"/>
    <w:rsid w:val="002578C1"/>
    <w:rsid w:val="002601FF"/>
    <w:rsid w:val="0026029B"/>
    <w:rsid w:val="0026033D"/>
    <w:rsid w:val="002606EC"/>
    <w:rsid w:val="0026072E"/>
    <w:rsid w:val="002608D7"/>
    <w:rsid w:val="00260A0A"/>
    <w:rsid w:val="00260BEF"/>
    <w:rsid w:val="002611CF"/>
    <w:rsid w:val="0026171C"/>
    <w:rsid w:val="00261C49"/>
    <w:rsid w:val="00261C77"/>
    <w:rsid w:val="00262152"/>
    <w:rsid w:val="00262652"/>
    <w:rsid w:val="0026274C"/>
    <w:rsid w:val="00262A0B"/>
    <w:rsid w:val="00262DE9"/>
    <w:rsid w:val="00263372"/>
    <w:rsid w:val="00263471"/>
    <w:rsid w:val="0026347D"/>
    <w:rsid w:val="0026352E"/>
    <w:rsid w:val="002635CA"/>
    <w:rsid w:val="00263800"/>
    <w:rsid w:val="00263B12"/>
    <w:rsid w:val="00263FB1"/>
    <w:rsid w:val="00264937"/>
    <w:rsid w:val="0026540A"/>
    <w:rsid w:val="00265A82"/>
    <w:rsid w:val="002661B8"/>
    <w:rsid w:val="002661CF"/>
    <w:rsid w:val="00266238"/>
    <w:rsid w:val="002663C5"/>
    <w:rsid w:val="00266758"/>
    <w:rsid w:val="0026681E"/>
    <w:rsid w:val="00266A7B"/>
    <w:rsid w:val="00266EFB"/>
    <w:rsid w:val="0026737D"/>
    <w:rsid w:val="002673DB"/>
    <w:rsid w:val="00267658"/>
    <w:rsid w:val="00267671"/>
    <w:rsid w:val="00267F88"/>
    <w:rsid w:val="00270221"/>
    <w:rsid w:val="00270833"/>
    <w:rsid w:val="00270AEF"/>
    <w:rsid w:val="00270BA8"/>
    <w:rsid w:val="00270D47"/>
    <w:rsid w:val="00270FCE"/>
    <w:rsid w:val="00272124"/>
    <w:rsid w:val="00272210"/>
    <w:rsid w:val="002723C0"/>
    <w:rsid w:val="002726E1"/>
    <w:rsid w:val="0027276E"/>
    <w:rsid w:val="00272ED3"/>
    <w:rsid w:val="002736B3"/>
    <w:rsid w:val="002736F5"/>
    <w:rsid w:val="0027370F"/>
    <w:rsid w:val="0027383E"/>
    <w:rsid w:val="002739DA"/>
    <w:rsid w:val="00274057"/>
    <w:rsid w:val="002740C9"/>
    <w:rsid w:val="00274253"/>
    <w:rsid w:val="002743A1"/>
    <w:rsid w:val="002748EE"/>
    <w:rsid w:val="00274963"/>
    <w:rsid w:val="002749DD"/>
    <w:rsid w:val="00274BA9"/>
    <w:rsid w:val="00274E45"/>
    <w:rsid w:val="0027583D"/>
    <w:rsid w:val="00275F77"/>
    <w:rsid w:val="002761B6"/>
    <w:rsid w:val="00276F27"/>
    <w:rsid w:val="002777DF"/>
    <w:rsid w:val="00277A64"/>
    <w:rsid w:val="00277A8D"/>
    <w:rsid w:val="00280047"/>
    <w:rsid w:val="002810BC"/>
    <w:rsid w:val="002811A4"/>
    <w:rsid w:val="002816B4"/>
    <w:rsid w:val="00281768"/>
    <w:rsid w:val="00281BDE"/>
    <w:rsid w:val="00281ECC"/>
    <w:rsid w:val="002822A0"/>
    <w:rsid w:val="00282949"/>
    <w:rsid w:val="00282EDE"/>
    <w:rsid w:val="00283186"/>
    <w:rsid w:val="00283222"/>
    <w:rsid w:val="00283594"/>
    <w:rsid w:val="002838FC"/>
    <w:rsid w:val="0028392F"/>
    <w:rsid w:val="00283A12"/>
    <w:rsid w:val="00283A95"/>
    <w:rsid w:val="00283A9F"/>
    <w:rsid w:val="00283AB9"/>
    <w:rsid w:val="00284199"/>
    <w:rsid w:val="002844A5"/>
    <w:rsid w:val="002847F7"/>
    <w:rsid w:val="00284A39"/>
    <w:rsid w:val="00284EB0"/>
    <w:rsid w:val="00285299"/>
    <w:rsid w:val="0028563B"/>
    <w:rsid w:val="00285916"/>
    <w:rsid w:val="00286396"/>
    <w:rsid w:val="0028674C"/>
    <w:rsid w:val="002869E0"/>
    <w:rsid w:val="00286BE8"/>
    <w:rsid w:val="00286F43"/>
    <w:rsid w:val="00287221"/>
    <w:rsid w:val="0028745C"/>
    <w:rsid w:val="00287722"/>
    <w:rsid w:val="00287AB5"/>
    <w:rsid w:val="00287BCF"/>
    <w:rsid w:val="00287CFF"/>
    <w:rsid w:val="00287DC1"/>
    <w:rsid w:val="00290082"/>
    <w:rsid w:val="002903D9"/>
    <w:rsid w:val="00290AB1"/>
    <w:rsid w:val="00291267"/>
    <w:rsid w:val="002914AA"/>
    <w:rsid w:val="00291502"/>
    <w:rsid w:val="00291530"/>
    <w:rsid w:val="002918DF"/>
    <w:rsid w:val="00292300"/>
    <w:rsid w:val="002927BC"/>
    <w:rsid w:val="0029294F"/>
    <w:rsid w:val="00292B43"/>
    <w:rsid w:val="00292CD2"/>
    <w:rsid w:val="002933B5"/>
    <w:rsid w:val="002934E5"/>
    <w:rsid w:val="0029353E"/>
    <w:rsid w:val="0029358A"/>
    <w:rsid w:val="002937DB"/>
    <w:rsid w:val="00293901"/>
    <w:rsid w:val="00293EA7"/>
    <w:rsid w:val="00293F45"/>
    <w:rsid w:val="002943BB"/>
    <w:rsid w:val="00294671"/>
    <w:rsid w:val="00294AFD"/>
    <w:rsid w:val="002951F1"/>
    <w:rsid w:val="00296511"/>
    <w:rsid w:val="0029684C"/>
    <w:rsid w:val="0029684D"/>
    <w:rsid w:val="0029707D"/>
    <w:rsid w:val="00297631"/>
    <w:rsid w:val="002976F0"/>
    <w:rsid w:val="0029783B"/>
    <w:rsid w:val="00297F90"/>
    <w:rsid w:val="002A009C"/>
    <w:rsid w:val="002A0C6B"/>
    <w:rsid w:val="002A0CCA"/>
    <w:rsid w:val="002A0DEE"/>
    <w:rsid w:val="002A0EBC"/>
    <w:rsid w:val="002A1177"/>
    <w:rsid w:val="002A149A"/>
    <w:rsid w:val="002A1815"/>
    <w:rsid w:val="002A1BCA"/>
    <w:rsid w:val="002A1BD8"/>
    <w:rsid w:val="002A2401"/>
    <w:rsid w:val="002A2A57"/>
    <w:rsid w:val="002A3183"/>
    <w:rsid w:val="002A35A0"/>
    <w:rsid w:val="002A35E3"/>
    <w:rsid w:val="002A3762"/>
    <w:rsid w:val="002A3A29"/>
    <w:rsid w:val="002A4182"/>
    <w:rsid w:val="002A41E2"/>
    <w:rsid w:val="002A433E"/>
    <w:rsid w:val="002A44AE"/>
    <w:rsid w:val="002A46C0"/>
    <w:rsid w:val="002A4A34"/>
    <w:rsid w:val="002A4ECE"/>
    <w:rsid w:val="002A4EFB"/>
    <w:rsid w:val="002A5538"/>
    <w:rsid w:val="002A558B"/>
    <w:rsid w:val="002A5893"/>
    <w:rsid w:val="002A604E"/>
    <w:rsid w:val="002A6314"/>
    <w:rsid w:val="002A66AF"/>
    <w:rsid w:val="002A6771"/>
    <w:rsid w:val="002A6954"/>
    <w:rsid w:val="002A6FB6"/>
    <w:rsid w:val="002A7AAB"/>
    <w:rsid w:val="002A7E27"/>
    <w:rsid w:val="002B09A5"/>
    <w:rsid w:val="002B0B64"/>
    <w:rsid w:val="002B0C09"/>
    <w:rsid w:val="002B1607"/>
    <w:rsid w:val="002B1B12"/>
    <w:rsid w:val="002B1B87"/>
    <w:rsid w:val="002B2212"/>
    <w:rsid w:val="002B28B0"/>
    <w:rsid w:val="002B2CB8"/>
    <w:rsid w:val="002B3419"/>
    <w:rsid w:val="002B3518"/>
    <w:rsid w:val="002B3778"/>
    <w:rsid w:val="002B3F24"/>
    <w:rsid w:val="002B4230"/>
    <w:rsid w:val="002B4626"/>
    <w:rsid w:val="002B4B73"/>
    <w:rsid w:val="002B5016"/>
    <w:rsid w:val="002B53E6"/>
    <w:rsid w:val="002B5760"/>
    <w:rsid w:val="002B5891"/>
    <w:rsid w:val="002B65FA"/>
    <w:rsid w:val="002B6893"/>
    <w:rsid w:val="002B68E8"/>
    <w:rsid w:val="002B69D0"/>
    <w:rsid w:val="002B6E39"/>
    <w:rsid w:val="002B6FA6"/>
    <w:rsid w:val="002B7453"/>
    <w:rsid w:val="002B7D0B"/>
    <w:rsid w:val="002C00B9"/>
    <w:rsid w:val="002C0389"/>
    <w:rsid w:val="002C070E"/>
    <w:rsid w:val="002C0996"/>
    <w:rsid w:val="002C0A0E"/>
    <w:rsid w:val="002C0A29"/>
    <w:rsid w:val="002C0B00"/>
    <w:rsid w:val="002C0B8E"/>
    <w:rsid w:val="002C1160"/>
    <w:rsid w:val="002C12F3"/>
    <w:rsid w:val="002C13A0"/>
    <w:rsid w:val="002C14AF"/>
    <w:rsid w:val="002C14C6"/>
    <w:rsid w:val="002C17C4"/>
    <w:rsid w:val="002C1895"/>
    <w:rsid w:val="002C207C"/>
    <w:rsid w:val="002C21BC"/>
    <w:rsid w:val="002C2276"/>
    <w:rsid w:val="002C26D9"/>
    <w:rsid w:val="002C2723"/>
    <w:rsid w:val="002C2742"/>
    <w:rsid w:val="002C3814"/>
    <w:rsid w:val="002C3BC0"/>
    <w:rsid w:val="002C406F"/>
    <w:rsid w:val="002C4954"/>
    <w:rsid w:val="002C4CF4"/>
    <w:rsid w:val="002C4D27"/>
    <w:rsid w:val="002C4EF9"/>
    <w:rsid w:val="002C5711"/>
    <w:rsid w:val="002C5786"/>
    <w:rsid w:val="002C5A8B"/>
    <w:rsid w:val="002C5E64"/>
    <w:rsid w:val="002C68CD"/>
    <w:rsid w:val="002C70DB"/>
    <w:rsid w:val="002C70F3"/>
    <w:rsid w:val="002C78C8"/>
    <w:rsid w:val="002C7D9C"/>
    <w:rsid w:val="002C7EB2"/>
    <w:rsid w:val="002D01A6"/>
    <w:rsid w:val="002D036C"/>
    <w:rsid w:val="002D040F"/>
    <w:rsid w:val="002D050E"/>
    <w:rsid w:val="002D0533"/>
    <w:rsid w:val="002D0812"/>
    <w:rsid w:val="002D0CD9"/>
    <w:rsid w:val="002D11E2"/>
    <w:rsid w:val="002D1213"/>
    <w:rsid w:val="002D18B7"/>
    <w:rsid w:val="002D1DAF"/>
    <w:rsid w:val="002D2466"/>
    <w:rsid w:val="002D28A0"/>
    <w:rsid w:val="002D2B9F"/>
    <w:rsid w:val="002D2DA9"/>
    <w:rsid w:val="002D37F7"/>
    <w:rsid w:val="002D3E5F"/>
    <w:rsid w:val="002D3F2D"/>
    <w:rsid w:val="002D4169"/>
    <w:rsid w:val="002D4257"/>
    <w:rsid w:val="002D4600"/>
    <w:rsid w:val="002D4BBB"/>
    <w:rsid w:val="002D4BE8"/>
    <w:rsid w:val="002D5D6B"/>
    <w:rsid w:val="002D6121"/>
    <w:rsid w:val="002D6261"/>
    <w:rsid w:val="002D65BE"/>
    <w:rsid w:val="002D6A3C"/>
    <w:rsid w:val="002D6BF8"/>
    <w:rsid w:val="002D779E"/>
    <w:rsid w:val="002D77C1"/>
    <w:rsid w:val="002D7B09"/>
    <w:rsid w:val="002E031C"/>
    <w:rsid w:val="002E0658"/>
    <w:rsid w:val="002E0960"/>
    <w:rsid w:val="002E0FFD"/>
    <w:rsid w:val="002E105B"/>
    <w:rsid w:val="002E1078"/>
    <w:rsid w:val="002E10B6"/>
    <w:rsid w:val="002E18B7"/>
    <w:rsid w:val="002E1BE3"/>
    <w:rsid w:val="002E2B52"/>
    <w:rsid w:val="002E2E00"/>
    <w:rsid w:val="002E2FC3"/>
    <w:rsid w:val="002E32A4"/>
    <w:rsid w:val="002E32A5"/>
    <w:rsid w:val="002E393B"/>
    <w:rsid w:val="002E39AE"/>
    <w:rsid w:val="002E3DEA"/>
    <w:rsid w:val="002E40F1"/>
    <w:rsid w:val="002E4211"/>
    <w:rsid w:val="002E46D8"/>
    <w:rsid w:val="002E5017"/>
    <w:rsid w:val="002E5114"/>
    <w:rsid w:val="002E57F4"/>
    <w:rsid w:val="002E5F16"/>
    <w:rsid w:val="002E5F8C"/>
    <w:rsid w:val="002E6A94"/>
    <w:rsid w:val="002E6D46"/>
    <w:rsid w:val="002E6EE6"/>
    <w:rsid w:val="002E71AC"/>
    <w:rsid w:val="002E72E0"/>
    <w:rsid w:val="002E7684"/>
    <w:rsid w:val="002E783F"/>
    <w:rsid w:val="002E7AD8"/>
    <w:rsid w:val="002F014B"/>
    <w:rsid w:val="002F036E"/>
    <w:rsid w:val="002F064A"/>
    <w:rsid w:val="002F0947"/>
    <w:rsid w:val="002F0F4D"/>
    <w:rsid w:val="002F129F"/>
    <w:rsid w:val="002F1F64"/>
    <w:rsid w:val="002F1FC8"/>
    <w:rsid w:val="002F2668"/>
    <w:rsid w:val="002F2937"/>
    <w:rsid w:val="002F2D13"/>
    <w:rsid w:val="002F2DC4"/>
    <w:rsid w:val="002F31F1"/>
    <w:rsid w:val="002F3774"/>
    <w:rsid w:val="002F3B1D"/>
    <w:rsid w:val="002F3F60"/>
    <w:rsid w:val="002F4168"/>
    <w:rsid w:val="002F4234"/>
    <w:rsid w:val="002F4A03"/>
    <w:rsid w:val="002F4A4E"/>
    <w:rsid w:val="002F502D"/>
    <w:rsid w:val="002F54A1"/>
    <w:rsid w:val="002F5AFE"/>
    <w:rsid w:val="002F5B7C"/>
    <w:rsid w:val="002F5CD1"/>
    <w:rsid w:val="002F5EAD"/>
    <w:rsid w:val="002F5F74"/>
    <w:rsid w:val="002F61CE"/>
    <w:rsid w:val="003001C3"/>
    <w:rsid w:val="00300871"/>
    <w:rsid w:val="003008BF"/>
    <w:rsid w:val="00300F35"/>
    <w:rsid w:val="00301170"/>
    <w:rsid w:val="003013D6"/>
    <w:rsid w:val="00301715"/>
    <w:rsid w:val="00301785"/>
    <w:rsid w:val="00301A99"/>
    <w:rsid w:val="00301D6A"/>
    <w:rsid w:val="00302295"/>
    <w:rsid w:val="0030229D"/>
    <w:rsid w:val="003029C6"/>
    <w:rsid w:val="00303022"/>
    <w:rsid w:val="003035D7"/>
    <w:rsid w:val="003037AC"/>
    <w:rsid w:val="00303C60"/>
    <w:rsid w:val="00303C99"/>
    <w:rsid w:val="00303E69"/>
    <w:rsid w:val="00303EA6"/>
    <w:rsid w:val="0030405E"/>
    <w:rsid w:val="003042D0"/>
    <w:rsid w:val="003045C6"/>
    <w:rsid w:val="00304746"/>
    <w:rsid w:val="00304876"/>
    <w:rsid w:val="003048B2"/>
    <w:rsid w:val="0030498B"/>
    <w:rsid w:val="00304B25"/>
    <w:rsid w:val="00304B5C"/>
    <w:rsid w:val="00304DEC"/>
    <w:rsid w:val="00304E35"/>
    <w:rsid w:val="00305557"/>
    <w:rsid w:val="00305A8B"/>
    <w:rsid w:val="00305AC9"/>
    <w:rsid w:val="00306019"/>
    <w:rsid w:val="00306463"/>
    <w:rsid w:val="003066C9"/>
    <w:rsid w:val="00306A6A"/>
    <w:rsid w:val="00306B7A"/>
    <w:rsid w:val="003071B8"/>
    <w:rsid w:val="0030729C"/>
    <w:rsid w:val="00307907"/>
    <w:rsid w:val="00307914"/>
    <w:rsid w:val="00307924"/>
    <w:rsid w:val="00307944"/>
    <w:rsid w:val="003105AC"/>
    <w:rsid w:val="00310609"/>
    <w:rsid w:val="00310A67"/>
    <w:rsid w:val="00310AB4"/>
    <w:rsid w:val="00310E9E"/>
    <w:rsid w:val="00310FE5"/>
    <w:rsid w:val="003124EF"/>
    <w:rsid w:val="0031251A"/>
    <w:rsid w:val="0031268A"/>
    <w:rsid w:val="003126F8"/>
    <w:rsid w:val="00312A05"/>
    <w:rsid w:val="00312B2D"/>
    <w:rsid w:val="00312B84"/>
    <w:rsid w:val="00312D2C"/>
    <w:rsid w:val="00312DB4"/>
    <w:rsid w:val="00312F2F"/>
    <w:rsid w:val="0031306C"/>
    <w:rsid w:val="003130D7"/>
    <w:rsid w:val="00313611"/>
    <w:rsid w:val="003136BD"/>
    <w:rsid w:val="00313C28"/>
    <w:rsid w:val="00313FC9"/>
    <w:rsid w:val="00314F54"/>
    <w:rsid w:val="003163D4"/>
    <w:rsid w:val="00316508"/>
    <w:rsid w:val="00316718"/>
    <w:rsid w:val="00316C3A"/>
    <w:rsid w:val="00316C79"/>
    <w:rsid w:val="00316E7E"/>
    <w:rsid w:val="00316F29"/>
    <w:rsid w:val="00317BBC"/>
    <w:rsid w:val="00317BDA"/>
    <w:rsid w:val="00317F6A"/>
    <w:rsid w:val="003201DF"/>
    <w:rsid w:val="0032054E"/>
    <w:rsid w:val="003208BD"/>
    <w:rsid w:val="00320B25"/>
    <w:rsid w:val="00320B95"/>
    <w:rsid w:val="00320F04"/>
    <w:rsid w:val="00321301"/>
    <w:rsid w:val="00321508"/>
    <w:rsid w:val="00321E94"/>
    <w:rsid w:val="0032230B"/>
    <w:rsid w:val="00322611"/>
    <w:rsid w:val="00322838"/>
    <w:rsid w:val="003229C6"/>
    <w:rsid w:val="00322CFC"/>
    <w:rsid w:val="00322D20"/>
    <w:rsid w:val="003234B0"/>
    <w:rsid w:val="0032360A"/>
    <w:rsid w:val="00323983"/>
    <w:rsid w:val="00323B38"/>
    <w:rsid w:val="00323BB8"/>
    <w:rsid w:val="00323BEC"/>
    <w:rsid w:val="00323FE9"/>
    <w:rsid w:val="00324241"/>
    <w:rsid w:val="00324319"/>
    <w:rsid w:val="00324321"/>
    <w:rsid w:val="00324684"/>
    <w:rsid w:val="00324A27"/>
    <w:rsid w:val="00324C32"/>
    <w:rsid w:val="0032538F"/>
    <w:rsid w:val="0032546D"/>
    <w:rsid w:val="003255A5"/>
    <w:rsid w:val="003255EC"/>
    <w:rsid w:val="0032597E"/>
    <w:rsid w:val="00325EA9"/>
    <w:rsid w:val="00326477"/>
    <w:rsid w:val="00326930"/>
    <w:rsid w:val="00326E5B"/>
    <w:rsid w:val="003271BB"/>
    <w:rsid w:val="00327923"/>
    <w:rsid w:val="00327A16"/>
    <w:rsid w:val="00327D60"/>
    <w:rsid w:val="00327FA4"/>
    <w:rsid w:val="003301AC"/>
    <w:rsid w:val="00330389"/>
    <w:rsid w:val="00330803"/>
    <w:rsid w:val="0033095D"/>
    <w:rsid w:val="00330F43"/>
    <w:rsid w:val="00331045"/>
    <w:rsid w:val="003317B1"/>
    <w:rsid w:val="00331873"/>
    <w:rsid w:val="00331B74"/>
    <w:rsid w:val="00331D01"/>
    <w:rsid w:val="003324BA"/>
    <w:rsid w:val="00332A1D"/>
    <w:rsid w:val="00332AAE"/>
    <w:rsid w:val="003330A7"/>
    <w:rsid w:val="003332D8"/>
    <w:rsid w:val="0033373C"/>
    <w:rsid w:val="00333E30"/>
    <w:rsid w:val="00333EC3"/>
    <w:rsid w:val="0033468B"/>
    <w:rsid w:val="0033487D"/>
    <w:rsid w:val="003349BB"/>
    <w:rsid w:val="00334BF4"/>
    <w:rsid w:val="00334E9D"/>
    <w:rsid w:val="003352B9"/>
    <w:rsid w:val="00335360"/>
    <w:rsid w:val="0033588A"/>
    <w:rsid w:val="00335D9E"/>
    <w:rsid w:val="00335E6A"/>
    <w:rsid w:val="00335EFD"/>
    <w:rsid w:val="003360F5"/>
    <w:rsid w:val="00336494"/>
    <w:rsid w:val="0033669F"/>
    <w:rsid w:val="003367DC"/>
    <w:rsid w:val="0033691D"/>
    <w:rsid w:val="00336927"/>
    <w:rsid w:val="00336929"/>
    <w:rsid w:val="00336E3E"/>
    <w:rsid w:val="0033734E"/>
    <w:rsid w:val="00337C0E"/>
    <w:rsid w:val="003405AB"/>
    <w:rsid w:val="003407B9"/>
    <w:rsid w:val="00341E71"/>
    <w:rsid w:val="00341E77"/>
    <w:rsid w:val="00341F5D"/>
    <w:rsid w:val="0034253F"/>
    <w:rsid w:val="0034308C"/>
    <w:rsid w:val="0034345B"/>
    <w:rsid w:val="003435BA"/>
    <w:rsid w:val="0034361E"/>
    <w:rsid w:val="00343DAF"/>
    <w:rsid w:val="0034411B"/>
    <w:rsid w:val="003444BD"/>
    <w:rsid w:val="003447F5"/>
    <w:rsid w:val="0034484E"/>
    <w:rsid w:val="00344917"/>
    <w:rsid w:val="00344969"/>
    <w:rsid w:val="00344A3E"/>
    <w:rsid w:val="00344C60"/>
    <w:rsid w:val="00344E8C"/>
    <w:rsid w:val="00345569"/>
    <w:rsid w:val="00345843"/>
    <w:rsid w:val="00345974"/>
    <w:rsid w:val="00345AF9"/>
    <w:rsid w:val="003460D4"/>
    <w:rsid w:val="0034613B"/>
    <w:rsid w:val="003465C1"/>
    <w:rsid w:val="0034677B"/>
    <w:rsid w:val="00346B95"/>
    <w:rsid w:val="00346DC9"/>
    <w:rsid w:val="00346FE9"/>
    <w:rsid w:val="0034704D"/>
    <w:rsid w:val="003470A1"/>
    <w:rsid w:val="00347302"/>
    <w:rsid w:val="0034763C"/>
    <w:rsid w:val="0034785C"/>
    <w:rsid w:val="00347AC2"/>
    <w:rsid w:val="0034F39B"/>
    <w:rsid w:val="00350418"/>
    <w:rsid w:val="003504F6"/>
    <w:rsid w:val="00350883"/>
    <w:rsid w:val="00350889"/>
    <w:rsid w:val="003508D7"/>
    <w:rsid w:val="00350F5F"/>
    <w:rsid w:val="003511CE"/>
    <w:rsid w:val="00351585"/>
    <w:rsid w:val="00351657"/>
    <w:rsid w:val="00351CA0"/>
    <w:rsid w:val="00352091"/>
    <w:rsid w:val="003520B1"/>
    <w:rsid w:val="00352655"/>
    <w:rsid w:val="00352C54"/>
    <w:rsid w:val="00352E98"/>
    <w:rsid w:val="0035373E"/>
    <w:rsid w:val="0035386B"/>
    <w:rsid w:val="00353D56"/>
    <w:rsid w:val="003541AF"/>
    <w:rsid w:val="003541D5"/>
    <w:rsid w:val="00354E91"/>
    <w:rsid w:val="00355325"/>
    <w:rsid w:val="00355461"/>
    <w:rsid w:val="003554AD"/>
    <w:rsid w:val="0035626F"/>
    <w:rsid w:val="00356884"/>
    <w:rsid w:val="00356FAE"/>
    <w:rsid w:val="00357057"/>
    <w:rsid w:val="003573C2"/>
    <w:rsid w:val="003576F1"/>
    <w:rsid w:val="003579A8"/>
    <w:rsid w:val="00357C71"/>
    <w:rsid w:val="00357E32"/>
    <w:rsid w:val="00357EB1"/>
    <w:rsid w:val="00360031"/>
    <w:rsid w:val="003602A5"/>
    <w:rsid w:val="0036071D"/>
    <w:rsid w:val="00360B71"/>
    <w:rsid w:val="00360CFA"/>
    <w:rsid w:val="00361153"/>
    <w:rsid w:val="003615C2"/>
    <w:rsid w:val="00361C56"/>
    <w:rsid w:val="00361FCD"/>
    <w:rsid w:val="00362362"/>
    <w:rsid w:val="00362542"/>
    <w:rsid w:val="0036267D"/>
    <w:rsid w:val="0036279E"/>
    <w:rsid w:val="00362B6C"/>
    <w:rsid w:val="00363071"/>
    <w:rsid w:val="00363191"/>
    <w:rsid w:val="0036337D"/>
    <w:rsid w:val="00363579"/>
    <w:rsid w:val="0036372E"/>
    <w:rsid w:val="00363CFE"/>
    <w:rsid w:val="00363F01"/>
    <w:rsid w:val="00364308"/>
    <w:rsid w:val="003643F3"/>
    <w:rsid w:val="00364E2A"/>
    <w:rsid w:val="00364FEC"/>
    <w:rsid w:val="003653F9"/>
    <w:rsid w:val="00365BCF"/>
    <w:rsid w:val="00365D25"/>
    <w:rsid w:val="003664D7"/>
    <w:rsid w:val="00366B93"/>
    <w:rsid w:val="00366BDF"/>
    <w:rsid w:val="00366BF8"/>
    <w:rsid w:val="00366F14"/>
    <w:rsid w:val="003672D0"/>
    <w:rsid w:val="0036749F"/>
    <w:rsid w:val="003674D3"/>
    <w:rsid w:val="0036760B"/>
    <w:rsid w:val="00367A44"/>
    <w:rsid w:val="00367AE9"/>
    <w:rsid w:val="0037000C"/>
    <w:rsid w:val="00370213"/>
    <w:rsid w:val="00370348"/>
    <w:rsid w:val="0037059B"/>
    <w:rsid w:val="003705C4"/>
    <w:rsid w:val="00370BFF"/>
    <w:rsid w:val="00370C02"/>
    <w:rsid w:val="00371020"/>
    <w:rsid w:val="0037121F"/>
    <w:rsid w:val="00371517"/>
    <w:rsid w:val="003716B0"/>
    <w:rsid w:val="003716F3"/>
    <w:rsid w:val="003717C4"/>
    <w:rsid w:val="003717D7"/>
    <w:rsid w:val="00371FBC"/>
    <w:rsid w:val="00372159"/>
    <w:rsid w:val="0037249E"/>
    <w:rsid w:val="00372A3D"/>
    <w:rsid w:val="00372BB8"/>
    <w:rsid w:val="00372BF9"/>
    <w:rsid w:val="00373261"/>
    <w:rsid w:val="00373318"/>
    <w:rsid w:val="00373647"/>
    <w:rsid w:val="00373C14"/>
    <w:rsid w:val="00373DA3"/>
    <w:rsid w:val="00373E67"/>
    <w:rsid w:val="00373FD1"/>
    <w:rsid w:val="0037415D"/>
    <w:rsid w:val="0037417E"/>
    <w:rsid w:val="0037423F"/>
    <w:rsid w:val="00374602"/>
    <w:rsid w:val="00374681"/>
    <w:rsid w:val="00374B52"/>
    <w:rsid w:val="00374EB1"/>
    <w:rsid w:val="00374F99"/>
    <w:rsid w:val="003751A6"/>
    <w:rsid w:val="00375227"/>
    <w:rsid w:val="003754C9"/>
    <w:rsid w:val="003754F0"/>
    <w:rsid w:val="00375658"/>
    <w:rsid w:val="003756E6"/>
    <w:rsid w:val="003758D3"/>
    <w:rsid w:val="00375DD0"/>
    <w:rsid w:val="00375F0B"/>
    <w:rsid w:val="003765B2"/>
    <w:rsid w:val="0037661A"/>
    <w:rsid w:val="003767BB"/>
    <w:rsid w:val="00376943"/>
    <w:rsid w:val="00376A42"/>
    <w:rsid w:val="00376A99"/>
    <w:rsid w:val="00376AED"/>
    <w:rsid w:val="0037723A"/>
    <w:rsid w:val="003776BE"/>
    <w:rsid w:val="00377E24"/>
    <w:rsid w:val="00377EA7"/>
    <w:rsid w:val="00380242"/>
    <w:rsid w:val="00380A5D"/>
    <w:rsid w:val="00380ADE"/>
    <w:rsid w:val="00380BB4"/>
    <w:rsid w:val="00380C4B"/>
    <w:rsid w:val="00380D06"/>
    <w:rsid w:val="00380D80"/>
    <w:rsid w:val="00381396"/>
    <w:rsid w:val="0038170F"/>
    <w:rsid w:val="003818BC"/>
    <w:rsid w:val="00382231"/>
    <w:rsid w:val="003825AE"/>
    <w:rsid w:val="00382679"/>
    <w:rsid w:val="003828CD"/>
    <w:rsid w:val="0038290C"/>
    <w:rsid w:val="00382AED"/>
    <w:rsid w:val="00382CDF"/>
    <w:rsid w:val="00382EEF"/>
    <w:rsid w:val="0038310F"/>
    <w:rsid w:val="0038332C"/>
    <w:rsid w:val="0038333F"/>
    <w:rsid w:val="003834E0"/>
    <w:rsid w:val="00383DEE"/>
    <w:rsid w:val="003843E0"/>
    <w:rsid w:val="0038465B"/>
    <w:rsid w:val="00384B28"/>
    <w:rsid w:val="003852EF"/>
    <w:rsid w:val="003853CF"/>
    <w:rsid w:val="00385DD4"/>
    <w:rsid w:val="00385DF2"/>
    <w:rsid w:val="0038627A"/>
    <w:rsid w:val="00386880"/>
    <w:rsid w:val="00386B86"/>
    <w:rsid w:val="00386E1F"/>
    <w:rsid w:val="00386F61"/>
    <w:rsid w:val="003873E2"/>
    <w:rsid w:val="00387ACF"/>
    <w:rsid w:val="00387BBD"/>
    <w:rsid w:val="0039001E"/>
    <w:rsid w:val="00390232"/>
    <w:rsid w:val="00390596"/>
    <w:rsid w:val="0039118E"/>
    <w:rsid w:val="003913E7"/>
    <w:rsid w:val="00391595"/>
    <w:rsid w:val="00391928"/>
    <w:rsid w:val="0039198D"/>
    <w:rsid w:val="00391EFE"/>
    <w:rsid w:val="003926BB"/>
    <w:rsid w:val="00392793"/>
    <w:rsid w:val="00392AF2"/>
    <w:rsid w:val="0039305E"/>
    <w:rsid w:val="00393192"/>
    <w:rsid w:val="0039327F"/>
    <w:rsid w:val="00393B85"/>
    <w:rsid w:val="00393B9E"/>
    <w:rsid w:val="0039451E"/>
    <w:rsid w:val="00394595"/>
    <w:rsid w:val="003952B6"/>
    <w:rsid w:val="003959AB"/>
    <w:rsid w:val="00395CF1"/>
    <w:rsid w:val="003961D2"/>
    <w:rsid w:val="003967E9"/>
    <w:rsid w:val="00396A56"/>
    <w:rsid w:val="003978DC"/>
    <w:rsid w:val="003979FE"/>
    <w:rsid w:val="00397E7D"/>
    <w:rsid w:val="00397EE4"/>
    <w:rsid w:val="003A0036"/>
    <w:rsid w:val="003A0558"/>
    <w:rsid w:val="003A094E"/>
    <w:rsid w:val="003A0D8D"/>
    <w:rsid w:val="003A10C9"/>
    <w:rsid w:val="003A16A8"/>
    <w:rsid w:val="003A19D0"/>
    <w:rsid w:val="003A1F97"/>
    <w:rsid w:val="003A2396"/>
    <w:rsid w:val="003A272F"/>
    <w:rsid w:val="003A2914"/>
    <w:rsid w:val="003A2C95"/>
    <w:rsid w:val="003A30AF"/>
    <w:rsid w:val="003A3624"/>
    <w:rsid w:val="003A3904"/>
    <w:rsid w:val="003A40C4"/>
    <w:rsid w:val="003A45D4"/>
    <w:rsid w:val="003A4654"/>
    <w:rsid w:val="003A4C9F"/>
    <w:rsid w:val="003A4DE8"/>
    <w:rsid w:val="003A4E08"/>
    <w:rsid w:val="003A4F8A"/>
    <w:rsid w:val="003A4FFE"/>
    <w:rsid w:val="003A52D0"/>
    <w:rsid w:val="003A5397"/>
    <w:rsid w:val="003A58BC"/>
    <w:rsid w:val="003A5915"/>
    <w:rsid w:val="003A5F2D"/>
    <w:rsid w:val="003A5FCC"/>
    <w:rsid w:val="003A5FDD"/>
    <w:rsid w:val="003A629D"/>
    <w:rsid w:val="003A6351"/>
    <w:rsid w:val="003A64C9"/>
    <w:rsid w:val="003A6995"/>
    <w:rsid w:val="003A721A"/>
    <w:rsid w:val="003A75A0"/>
    <w:rsid w:val="003B0130"/>
    <w:rsid w:val="003B064C"/>
    <w:rsid w:val="003B06DD"/>
    <w:rsid w:val="003B07C1"/>
    <w:rsid w:val="003B08C1"/>
    <w:rsid w:val="003B0BF0"/>
    <w:rsid w:val="003B0CED"/>
    <w:rsid w:val="003B0DC8"/>
    <w:rsid w:val="003B0E80"/>
    <w:rsid w:val="003B12F4"/>
    <w:rsid w:val="003B1584"/>
    <w:rsid w:val="003B240A"/>
    <w:rsid w:val="003B2F6C"/>
    <w:rsid w:val="003B342C"/>
    <w:rsid w:val="003B3859"/>
    <w:rsid w:val="003B3C67"/>
    <w:rsid w:val="003B3D43"/>
    <w:rsid w:val="003B3D6C"/>
    <w:rsid w:val="003B3DC2"/>
    <w:rsid w:val="003B428E"/>
    <w:rsid w:val="003B4331"/>
    <w:rsid w:val="003B456B"/>
    <w:rsid w:val="003B4671"/>
    <w:rsid w:val="003B4FDC"/>
    <w:rsid w:val="003B5439"/>
    <w:rsid w:val="003B55E0"/>
    <w:rsid w:val="003B55F6"/>
    <w:rsid w:val="003B5C15"/>
    <w:rsid w:val="003B5EA8"/>
    <w:rsid w:val="003B6086"/>
    <w:rsid w:val="003B6737"/>
    <w:rsid w:val="003B6AF0"/>
    <w:rsid w:val="003B6C3A"/>
    <w:rsid w:val="003B70A2"/>
    <w:rsid w:val="003B76DE"/>
    <w:rsid w:val="003B7A27"/>
    <w:rsid w:val="003B7F19"/>
    <w:rsid w:val="003C00DD"/>
    <w:rsid w:val="003C012F"/>
    <w:rsid w:val="003C055C"/>
    <w:rsid w:val="003C0B25"/>
    <w:rsid w:val="003C1246"/>
    <w:rsid w:val="003C153C"/>
    <w:rsid w:val="003C168A"/>
    <w:rsid w:val="003C1809"/>
    <w:rsid w:val="003C1B4C"/>
    <w:rsid w:val="003C1BA9"/>
    <w:rsid w:val="003C1CD9"/>
    <w:rsid w:val="003C20E1"/>
    <w:rsid w:val="003C229A"/>
    <w:rsid w:val="003C2489"/>
    <w:rsid w:val="003C281E"/>
    <w:rsid w:val="003C2AD0"/>
    <w:rsid w:val="003C2C3C"/>
    <w:rsid w:val="003C2CBD"/>
    <w:rsid w:val="003C2EEE"/>
    <w:rsid w:val="003C2F44"/>
    <w:rsid w:val="003C30FE"/>
    <w:rsid w:val="003C3BFB"/>
    <w:rsid w:val="003C3E1D"/>
    <w:rsid w:val="003C3F35"/>
    <w:rsid w:val="003C405E"/>
    <w:rsid w:val="003C4970"/>
    <w:rsid w:val="003C58F9"/>
    <w:rsid w:val="003C5CCD"/>
    <w:rsid w:val="003C61FB"/>
    <w:rsid w:val="003C628B"/>
    <w:rsid w:val="003C64ED"/>
    <w:rsid w:val="003C669F"/>
    <w:rsid w:val="003C6719"/>
    <w:rsid w:val="003C67FD"/>
    <w:rsid w:val="003C6953"/>
    <w:rsid w:val="003C6C41"/>
    <w:rsid w:val="003C6D8D"/>
    <w:rsid w:val="003C701A"/>
    <w:rsid w:val="003C76AC"/>
    <w:rsid w:val="003C7933"/>
    <w:rsid w:val="003C7A20"/>
    <w:rsid w:val="003C7A72"/>
    <w:rsid w:val="003C7AB2"/>
    <w:rsid w:val="003C7B11"/>
    <w:rsid w:val="003C7C59"/>
    <w:rsid w:val="003D000F"/>
    <w:rsid w:val="003D043B"/>
    <w:rsid w:val="003D0691"/>
    <w:rsid w:val="003D07EA"/>
    <w:rsid w:val="003D0AAC"/>
    <w:rsid w:val="003D0EBD"/>
    <w:rsid w:val="003D1415"/>
    <w:rsid w:val="003D178F"/>
    <w:rsid w:val="003D1B7A"/>
    <w:rsid w:val="003D2642"/>
    <w:rsid w:val="003D27C2"/>
    <w:rsid w:val="003D2D67"/>
    <w:rsid w:val="003D3055"/>
    <w:rsid w:val="003D33B8"/>
    <w:rsid w:val="003D3514"/>
    <w:rsid w:val="003D395E"/>
    <w:rsid w:val="003D3A45"/>
    <w:rsid w:val="003D42D6"/>
    <w:rsid w:val="003D4475"/>
    <w:rsid w:val="003D44D4"/>
    <w:rsid w:val="003D44D5"/>
    <w:rsid w:val="003D4518"/>
    <w:rsid w:val="003D459A"/>
    <w:rsid w:val="003D46ED"/>
    <w:rsid w:val="003D4DF8"/>
    <w:rsid w:val="003D501C"/>
    <w:rsid w:val="003D59E5"/>
    <w:rsid w:val="003D5F9E"/>
    <w:rsid w:val="003D6027"/>
    <w:rsid w:val="003D6497"/>
    <w:rsid w:val="003D65A0"/>
    <w:rsid w:val="003D666C"/>
    <w:rsid w:val="003D6763"/>
    <w:rsid w:val="003D68BE"/>
    <w:rsid w:val="003D69D8"/>
    <w:rsid w:val="003D6C51"/>
    <w:rsid w:val="003D6F97"/>
    <w:rsid w:val="003D736C"/>
    <w:rsid w:val="003E0129"/>
    <w:rsid w:val="003E014A"/>
    <w:rsid w:val="003E048C"/>
    <w:rsid w:val="003E0518"/>
    <w:rsid w:val="003E0645"/>
    <w:rsid w:val="003E1510"/>
    <w:rsid w:val="003E1570"/>
    <w:rsid w:val="003E1848"/>
    <w:rsid w:val="003E18B3"/>
    <w:rsid w:val="003E1D87"/>
    <w:rsid w:val="003E1E57"/>
    <w:rsid w:val="003E2341"/>
    <w:rsid w:val="003E25E8"/>
    <w:rsid w:val="003E26B3"/>
    <w:rsid w:val="003E298C"/>
    <w:rsid w:val="003E2B07"/>
    <w:rsid w:val="003E301C"/>
    <w:rsid w:val="003E3085"/>
    <w:rsid w:val="003E31D3"/>
    <w:rsid w:val="003E395B"/>
    <w:rsid w:val="003E3E68"/>
    <w:rsid w:val="003E3FDA"/>
    <w:rsid w:val="003E4484"/>
    <w:rsid w:val="003E47FD"/>
    <w:rsid w:val="003E492E"/>
    <w:rsid w:val="003E4A84"/>
    <w:rsid w:val="003E4C25"/>
    <w:rsid w:val="003E4C9E"/>
    <w:rsid w:val="003E4D43"/>
    <w:rsid w:val="003E4E57"/>
    <w:rsid w:val="003E5009"/>
    <w:rsid w:val="003E5080"/>
    <w:rsid w:val="003E529E"/>
    <w:rsid w:val="003E554B"/>
    <w:rsid w:val="003E6630"/>
    <w:rsid w:val="003E68E9"/>
    <w:rsid w:val="003E6B02"/>
    <w:rsid w:val="003E6C71"/>
    <w:rsid w:val="003E6CF3"/>
    <w:rsid w:val="003E6FA5"/>
    <w:rsid w:val="003E6FC0"/>
    <w:rsid w:val="003E71D9"/>
    <w:rsid w:val="003E721A"/>
    <w:rsid w:val="003E7798"/>
    <w:rsid w:val="003E7A79"/>
    <w:rsid w:val="003E7EE7"/>
    <w:rsid w:val="003F02CF"/>
    <w:rsid w:val="003F0FD5"/>
    <w:rsid w:val="003F202C"/>
    <w:rsid w:val="003F2FC6"/>
    <w:rsid w:val="003F3623"/>
    <w:rsid w:val="003F3806"/>
    <w:rsid w:val="003F3871"/>
    <w:rsid w:val="003F3C1A"/>
    <w:rsid w:val="003F3CB0"/>
    <w:rsid w:val="003F42C1"/>
    <w:rsid w:val="003F4848"/>
    <w:rsid w:val="003F49AE"/>
    <w:rsid w:val="003F5A1C"/>
    <w:rsid w:val="003F5A53"/>
    <w:rsid w:val="003F5F71"/>
    <w:rsid w:val="003F604C"/>
    <w:rsid w:val="003F6324"/>
    <w:rsid w:val="003F6807"/>
    <w:rsid w:val="003F6ADA"/>
    <w:rsid w:val="003F6E10"/>
    <w:rsid w:val="003F7223"/>
    <w:rsid w:val="003F75AA"/>
    <w:rsid w:val="003F7DB7"/>
    <w:rsid w:val="003F7E76"/>
    <w:rsid w:val="00400494"/>
    <w:rsid w:val="004007F5"/>
    <w:rsid w:val="00400DD8"/>
    <w:rsid w:val="00401002"/>
    <w:rsid w:val="00401559"/>
    <w:rsid w:val="004015F9"/>
    <w:rsid w:val="00401673"/>
    <w:rsid w:val="004016D8"/>
    <w:rsid w:val="004018F2"/>
    <w:rsid w:val="00401D07"/>
    <w:rsid w:val="00401D7B"/>
    <w:rsid w:val="0040270C"/>
    <w:rsid w:val="0040299F"/>
    <w:rsid w:val="00402E7F"/>
    <w:rsid w:val="00403094"/>
    <w:rsid w:val="00403323"/>
    <w:rsid w:val="004035CE"/>
    <w:rsid w:val="00403ACA"/>
    <w:rsid w:val="00403CC7"/>
    <w:rsid w:val="00403DA7"/>
    <w:rsid w:val="00403EB6"/>
    <w:rsid w:val="00403F96"/>
    <w:rsid w:val="004041F7"/>
    <w:rsid w:val="004045A9"/>
    <w:rsid w:val="00404C9B"/>
    <w:rsid w:val="00404D98"/>
    <w:rsid w:val="00405889"/>
    <w:rsid w:val="00405C69"/>
    <w:rsid w:val="00405DFA"/>
    <w:rsid w:val="004060CD"/>
    <w:rsid w:val="004064DC"/>
    <w:rsid w:val="00406810"/>
    <w:rsid w:val="004068CB"/>
    <w:rsid w:val="00407143"/>
    <w:rsid w:val="0040735D"/>
    <w:rsid w:val="004074C0"/>
    <w:rsid w:val="004078F2"/>
    <w:rsid w:val="00407CEC"/>
    <w:rsid w:val="00407EF6"/>
    <w:rsid w:val="00410272"/>
    <w:rsid w:val="00410280"/>
    <w:rsid w:val="004107FA"/>
    <w:rsid w:val="0041099E"/>
    <w:rsid w:val="00410D32"/>
    <w:rsid w:val="00410D38"/>
    <w:rsid w:val="00411895"/>
    <w:rsid w:val="00412017"/>
    <w:rsid w:val="00412284"/>
    <w:rsid w:val="0041239C"/>
    <w:rsid w:val="004128F6"/>
    <w:rsid w:val="00412B44"/>
    <w:rsid w:val="004130C1"/>
    <w:rsid w:val="0041354F"/>
    <w:rsid w:val="00413925"/>
    <w:rsid w:val="00413A4E"/>
    <w:rsid w:val="00414180"/>
    <w:rsid w:val="0041447C"/>
    <w:rsid w:val="004144D8"/>
    <w:rsid w:val="00414550"/>
    <w:rsid w:val="004146D3"/>
    <w:rsid w:val="00415038"/>
    <w:rsid w:val="004152A1"/>
    <w:rsid w:val="004155BE"/>
    <w:rsid w:val="0041565A"/>
    <w:rsid w:val="00415B08"/>
    <w:rsid w:val="00415C02"/>
    <w:rsid w:val="00415D66"/>
    <w:rsid w:val="00415E84"/>
    <w:rsid w:val="00415FBC"/>
    <w:rsid w:val="00416471"/>
    <w:rsid w:val="00416601"/>
    <w:rsid w:val="0041667C"/>
    <w:rsid w:val="004168A1"/>
    <w:rsid w:val="004168CC"/>
    <w:rsid w:val="00416A31"/>
    <w:rsid w:val="0041719B"/>
    <w:rsid w:val="004174EF"/>
    <w:rsid w:val="00417967"/>
    <w:rsid w:val="00417E00"/>
    <w:rsid w:val="00417F6E"/>
    <w:rsid w:val="0042071B"/>
    <w:rsid w:val="00420C47"/>
    <w:rsid w:val="00420DF7"/>
    <w:rsid w:val="004212BB"/>
    <w:rsid w:val="00421678"/>
    <w:rsid w:val="00421869"/>
    <w:rsid w:val="0042187B"/>
    <w:rsid w:val="004218AC"/>
    <w:rsid w:val="00421E9E"/>
    <w:rsid w:val="00421FF9"/>
    <w:rsid w:val="004223EE"/>
    <w:rsid w:val="004226AE"/>
    <w:rsid w:val="004226BB"/>
    <w:rsid w:val="004226C6"/>
    <w:rsid w:val="00422C9F"/>
    <w:rsid w:val="00422F8B"/>
    <w:rsid w:val="004235F5"/>
    <w:rsid w:val="004236E6"/>
    <w:rsid w:val="0042384E"/>
    <w:rsid w:val="0042386E"/>
    <w:rsid w:val="00423EF4"/>
    <w:rsid w:val="0042412A"/>
    <w:rsid w:val="00424190"/>
    <w:rsid w:val="004241E6"/>
    <w:rsid w:val="004247D1"/>
    <w:rsid w:val="00424890"/>
    <w:rsid w:val="00424E09"/>
    <w:rsid w:val="00424E57"/>
    <w:rsid w:val="0042598F"/>
    <w:rsid w:val="004259E9"/>
    <w:rsid w:val="00425B22"/>
    <w:rsid w:val="00426057"/>
    <w:rsid w:val="00426202"/>
    <w:rsid w:val="0042662C"/>
    <w:rsid w:val="0042699B"/>
    <w:rsid w:val="00426ADE"/>
    <w:rsid w:val="00426F7C"/>
    <w:rsid w:val="004270D8"/>
    <w:rsid w:val="00427506"/>
    <w:rsid w:val="0042754D"/>
    <w:rsid w:val="00427584"/>
    <w:rsid w:val="00427708"/>
    <w:rsid w:val="004277DE"/>
    <w:rsid w:val="00427B56"/>
    <w:rsid w:val="00427E1E"/>
    <w:rsid w:val="004303AA"/>
    <w:rsid w:val="00430449"/>
    <w:rsid w:val="004304A1"/>
    <w:rsid w:val="00430537"/>
    <w:rsid w:val="00430601"/>
    <w:rsid w:val="00430609"/>
    <w:rsid w:val="00430AB1"/>
    <w:rsid w:val="00430CB1"/>
    <w:rsid w:val="00430F52"/>
    <w:rsid w:val="004311B6"/>
    <w:rsid w:val="004311FB"/>
    <w:rsid w:val="00431781"/>
    <w:rsid w:val="004318CE"/>
    <w:rsid w:val="00431EF6"/>
    <w:rsid w:val="00431F62"/>
    <w:rsid w:val="00432382"/>
    <w:rsid w:val="00432407"/>
    <w:rsid w:val="00432F75"/>
    <w:rsid w:val="0043315A"/>
    <w:rsid w:val="00433178"/>
    <w:rsid w:val="004331AC"/>
    <w:rsid w:val="004331E9"/>
    <w:rsid w:val="00433244"/>
    <w:rsid w:val="00433485"/>
    <w:rsid w:val="004334F4"/>
    <w:rsid w:val="004335A1"/>
    <w:rsid w:val="00433A37"/>
    <w:rsid w:val="00433FBC"/>
    <w:rsid w:val="00434115"/>
    <w:rsid w:val="00434D76"/>
    <w:rsid w:val="004350B3"/>
    <w:rsid w:val="0043511A"/>
    <w:rsid w:val="004351DB"/>
    <w:rsid w:val="004353E8"/>
    <w:rsid w:val="00435FB7"/>
    <w:rsid w:val="00436402"/>
    <w:rsid w:val="00436438"/>
    <w:rsid w:val="00436456"/>
    <w:rsid w:val="00436A29"/>
    <w:rsid w:val="00436A39"/>
    <w:rsid w:val="00436C20"/>
    <w:rsid w:val="00436D11"/>
    <w:rsid w:val="00436F39"/>
    <w:rsid w:val="0043727F"/>
    <w:rsid w:val="004372BE"/>
    <w:rsid w:val="00437483"/>
    <w:rsid w:val="00437C09"/>
    <w:rsid w:val="00437DD1"/>
    <w:rsid w:val="00437E60"/>
    <w:rsid w:val="00437EDD"/>
    <w:rsid w:val="0044002B"/>
    <w:rsid w:val="004401F9"/>
    <w:rsid w:val="004403A6"/>
    <w:rsid w:val="00440924"/>
    <w:rsid w:val="00440AFC"/>
    <w:rsid w:val="00440B1B"/>
    <w:rsid w:val="00440B78"/>
    <w:rsid w:val="00441A6C"/>
    <w:rsid w:val="00441AB1"/>
    <w:rsid w:val="00441B61"/>
    <w:rsid w:val="00441CA0"/>
    <w:rsid w:val="00441EA7"/>
    <w:rsid w:val="004423D0"/>
    <w:rsid w:val="0044244B"/>
    <w:rsid w:val="004428C0"/>
    <w:rsid w:val="00442B46"/>
    <w:rsid w:val="00442B92"/>
    <w:rsid w:val="00442BD7"/>
    <w:rsid w:val="00442E98"/>
    <w:rsid w:val="0044308E"/>
    <w:rsid w:val="00443119"/>
    <w:rsid w:val="004437A2"/>
    <w:rsid w:val="00443993"/>
    <w:rsid w:val="00443A47"/>
    <w:rsid w:val="00444015"/>
    <w:rsid w:val="00444300"/>
    <w:rsid w:val="00444394"/>
    <w:rsid w:val="004448A8"/>
    <w:rsid w:val="00444FC7"/>
    <w:rsid w:val="0044519B"/>
    <w:rsid w:val="00445C5B"/>
    <w:rsid w:val="00445EBE"/>
    <w:rsid w:val="004462D3"/>
    <w:rsid w:val="004466F3"/>
    <w:rsid w:val="004469D3"/>
    <w:rsid w:val="00446A57"/>
    <w:rsid w:val="00446FCC"/>
    <w:rsid w:val="00447AC7"/>
    <w:rsid w:val="00447E1D"/>
    <w:rsid w:val="00447E47"/>
    <w:rsid w:val="004504F6"/>
    <w:rsid w:val="0045051A"/>
    <w:rsid w:val="00450552"/>
    <w:rsid w:val="00450753"/>
    <w:rsid w:val="0045091F"/>
    <w:rsid w:val="00450B1E"/>
    <w:rsid w:val="004512BF"/>
    <w:rsid w:val="0045294F"/>
    <w:rsid w:val="004532D0"/>
    <w:rsid w:val="0045382D"/>
    <w:rsid w:val="00453A77"/>
    <w:rsid w:val="00453D3C"/>
    <w:rsid w:val="00453F94"/>
    <w:rsid w:val="004544E2"/>
    <w:rsid w:val="00454604"/>
    <w:rsid w:val="004547E3"/>
    <w:rsid w:val="004547F6"/>
    <w:rsid w:val="0045481A"/>
    <w:rsid w:val="004548D6"/>
    <w:rsid w:val="00454C0E"/>
    <w:rsid w:val="004550B2"/>
    <w:rsid w:val="00455189"/>
    <w:rsid w:val="00455693"/>
    <w:rsid w:val="00455944"/>
    <w:rsid w:val="00455A02"/>
    <w:rsid w:val="00456112"/>
    <w:rsid w:val="004569E8"/>
    <w:rsid w:val="00456B65"/>
    <w:rsid w:val="00456F23"/>
    <w:rsid w:val="00457002"/>
    <w:rsid w:val="0045732C"/>
    <w:rsid w:val="004575A2"/>
    <w:rsid w:val="00457769"/>
    <w:rsid w:val="0045783D"/>
    <w:rsid w:val="0045798F"/>
    <w:rsid w:val="00457AFE"/>
    <w:rsid w:val="0045C25A"/>
    <w:rsid w:val="0046011E"/>
    <w:rsid w:val="004601C5"/>
    <w:rsid w:val="0046028F"/>
    <w:rsid w:val="004603B8"/>
    <w:rsid w:val="004608C9"/>
    <w:rsid w:val="00460BBA"/>
    <w:rsid w:val="00460D7C"/>
    <w:rsid w:val="00460E8E"/>
    <w:rsid w:val="004611B1"/>
    <w:rsid w:val="0046147C"/>
    <w:rsid w:val="0046171E"/>
    <w:rsid w:val="00461FA7"/>
    <w:rsid w:val="00462036"/>
    <w:rsid w:val="0046207B"/>
    <w:rsid w:val="00462ADB"/>
    <w:rsid w:val="00462C96"/>
    <w:rsid w:val="00462D5F"/>
    <w:rsid w:val="00462F58"/>
    <w:rsid w:val="004630BC"/>
    <w:rsid w:val="004632FA"/>
    <w:rsid w:val="00463935"/>
    <w:rsid w:val="00463A07"/>
    <w:rsid w:val="00463CF4"/>
    <w:rsid w:val="00464A14"/>
    <w:rsid w:val="00464D6A"/>
    <w:rsid w:val="0046516F"/>
    <w:rsid w:val="00465F97"/>
    <w:rsid w:val="00466328"/>
    <w:rsid w:val="00467256"/>
    <w:rsid w:val="00467344"/>
    <w:rsid w:val="004673C9"/>
    <w:rsid w:val="004675C8"/>
    <w:rsid w:val="004675EF"/>
    <w:rsid w:val="004700FF"/>
    <w:rsid w:val="004701FE"/>
    <w:rsid w:val="0047049B"/>
    <w:rsid w:val="00470A6D"/>
    <w:rsid w:val="00470A71"/>
    <w:rsid w:val="00470DCB"/>
    <w:rsid w:val="004711FD"/>
    <w:rsid w:val="0047132B"/>
    <w:rsid w:val="00471E90"/>
    <w:rsid w:val="0047210A"/>
    <w:rsid w:val="00472669"/>
    <w:rsid w:val="00473400"/>
    <w:rsid w:val="00473667"/>
    <w:rsid w:val="004739AD"/>
    <w:rsid w:val="00473A9B"/>
    <w:rsid w:val="00473CA0"/>
    <w:rsid w:val="00473F05"/>
    <w:rsid w:val="0047404B"/>
    <w:rsid w:val="004744CD"/>
    <w:rsid w:val="00474D18"/>
    <w:rsid w:val="00475458"/>
    <w:rsid w:val="00475691"/>
    <w:rsid w:val="00476524"/>
    <w:rsid w:val="00476B40"/>
    <w:rsid w:val="00476D61"/>
    <w:rsid w:val="00476D6D"/>
    <w:rsid w:val="00476E0A"/>
    <w:rsid w:val="00476F0A"/>
    <w:rsid w:val="00477488"/>
    <w:rsid w:val="004774D0"/>
    <w:rsid w:val="0047779A"/>
    <w:rsid w:val="00480352"/>
    <w:rsid w:val="00480773"/>
    <w:rsid w:val="00480864"/>
    <w:rsid w:val="004808E4"/>
    <w:rsid w:val="00480BE5"/>
    <w:rsid w:val="00480F98"/>
    <w:rsid w:val="00481053"/>
    <w:rsid w:val="004811A9"/>
    <w:rsid w:val="00481607"/>
    <w:rsid w:val="00481FC0"/>
    <w:rsid w:val="0048225D"/>
    <w:rsid w:val="004825AE"/>
    <w:rsid w:val="00482609"/>
    <w:rsid w:val="00482802"/>
    <w:rsid w:val="00482B83"/>
    <w:rsid w:val="00483032"/>
    <w:rsid w:val="00483370"/>
    <w:rsid w:val="00483946"/>
    <w:rsid w:val="00483C0B"/>
    <w:rsid w:val="00483CC0"/>
    <w:rsid w:val="00483DD5"/>
    <w:rsid w:val="00484106"/>
    <w:rsid w:val="0048439A"/>
    <w:rsid w:val="0048519D"/>
    <w:rsid w:val="004857DC"/>
    <w:rsid w:val="00485DF3"/>
    <w:rsid w:val="00485EAE"/>
    <w:rsid w:val="004861DC"/>
    <w:rsid w:val="00486313"/>
    <w:rsid w:val="00486512"/>
    <w:rsid w:val="00486666"/>
    <w:rsid w:val="004868AA"/>
    <w:rsid w:val="00486EA2"/>
    <w:rsid w:val="00486FBD"/>
    <w:rsid w:val="0048710A"/>
    <w:rsid w:val="00487231"/>
    <w:rsid w:val="0048734B"/>
    <w:rsid w:val="00487616"/>
    <w:rsid w:val="0048768B"/>
    <w:rsid w:val="00487715"/>
    <w:rsid w:val="00487847"/>
    <w:rsid w:val="004878F8"/>
    <w:rsid w:val="0048797A"/>
    <w:rsid w:val="00487D62"/>
    <w:rsid w:val="00487E54"/>
    <w:rsid w:val="00490308"/>
    <w:rsid w:val="00490598"/>
    <w:rsid w:val="00490ABA"/>
    <w:rsid w:val="00490FDE"/>
    <w:rsid w:val="004917A8"/>
    <w:rsid w:val="00491D15"/>
    <w:rsid w:val="00491D81"/>
    <w:rsid w:val="00491FD2"/>
    <w:rsid w:val="00492092"/>
    <w:rsid w:val="00492A4E"/>
    <w:rsid w:val="00492EA6"/>
    <w:rsid w:val="004932AD"/>
    <w:rsid w:val="0049346B"/>
    <w:rsid w:val="00493954"/>
    <w:rsid w:val="00493B5A"/>
    <w:rsid w:val="00493BD0"/>
    <w:rsid w:val="00493D72"/>
    <w:rsid w:val="00493F58"/>
    <w:rsid w:val="00494091"/>
    <w:rsid w:val="00494438"/>
    <w:rsid w:val="0049458A"/>
    <w:rsid w:val="004946C5"/>
    <w:rsid w:val="00494CF8"/>
    <w:rsid w:val="00495002"/>
    <w:rsid w:val="0049529B"/>
    <w:rsid w:val="004963BD"/>
    <w:rsid w:val="00496819"/>
    <w:rsid w:val="00496BF9"/>
    <w:rsid w:val="00496DDB"/>
    <w:rsid w:val="00496FC3"/>
    <w:rsid w:val="0049733C"/>
    <w:rsid w:val="004977E0"/>
    <w:rsid w:val="00497DF4"/>
    <w:rsid w:val="004A01B1"/>
    <w:rsid w:val="004A0509"/>
    <w:rsid w:val="004A0FBB"/>
    <w:rsid w:val="004A10DD"/>
    <w:rsid w:val="004A117A"/>
    <w:rsid w:val="004A12AB"/>
    <w:rsid w:val="004A15DC"/>
    <w:rsid w:val="004A19F5"/>
    <w:rsid w:val="004A1B96"/>
    <w:rsid w:val="004A1C23"/>
    <w:rsid w:val="004A22F8"/>
    <w:rsid w:val="004A2556"/>
    <w:rsid w:val="004A2AAB"/>
    <w:rsid w:val="004A2BA7"/>
    <w:rsid w:val="004A382C"/>
    <w:rsid w:val="004A39D8"/>
    <w:rsid w:val="004A3C4D"/>
    <w:rsid w:val="004A3C70"/>
    <w:rsid w:val="004A44F7"/>
    <w:rsid w:val="004A4830"/>
    <w:rsid w:val="004A48AE"/>
    <w:rsid w:val="004A4904"/>
    <w:rsid w:val="004A4B4C"/>
    <w:rsid w:val="004A5230"/>
    <w:rsid w:val="004A532F"/>
    <w:rsid w:val="004A55C8"/>
    <w:rsid w:val="004A5606"/>
    <w:rsid w:val="004A5F2C"/>
    <w:rsid w:val="004A60E1"/>
    <w:rsid w:val="004A6468"/>
    <w:rsid w:val="004A686D"/>
    <w:rsid w:val="004A6AE9"/>
    <w:rsid w:val="004A6CB9"/>
    <w:rsid w:val="004A6CC4"/>
    <w:rsid w:val="004A6D4E"/>
    <w:rsid w:val="004A798C"/>
    <w:rsid w:val="004A7A54"/>
    <w:rsid w:val="004A7B0A"/>
    <w:rsid w:val="004A7B0B"/>
    <w:rsid w:val="004A7BA6"/>
    <w:rsid w:val="004B08C3"/>
    <w:rsid w:val="004B0A71"/>
    <w:rsid w:val="004B0ECA"/>
    <w:rsid w:val="004B15D8"/>
    <w:rsid w:val="004B1752"/>
    <w:rsid w:val="004B1A85"/>
    <w:rsid w:val="004B1ABA"/>
    <w:rsid w:val="004B1B5A"/>
    <w:rsid w:val="004B2404"/>
    <w:rsid w:val="004B2A4C"/>
    <w:rsid w:val="004B382E"/>
    <w:rsid w:val="004B3BAC"/>
    <w:rsid w:val="004B3E5D"/>
    <w:rsid w:val="004B44EE"/>
    <w:rsid w:val="004B452C"/>
    <w:rsid w:val="004B45EF"/>
    <w:rsid w:val="004B4869"/>
    <w:rsid w:val="004B4C7D"/>
    <w:rsid w:val="004B4D30"/>
    <w:rsid w:val="004B506F"/>
    <w:rsid w:val="004B5458"/>
    <w:rsid w:val="004B54F2"/>
    <w:rsid w:val="004B5619"/>
    <w:rsid w:val="004B568C"/>
    <w:rsid w:val="004B57DA"/>
    <w:rsid w:val="004B5965"/>
    <w:rsid w:val="004B5A0B"/>
    <w:rsid w:val="004B5A4F"/>
    <w:rsid w:val="004B5E25"/>
    <w:rsid w:val="004B5EF7"/>
    <w:rsid w:val="004B609F"/>
    <w:rsid w:val="004B63B0"/>
    <w:rsid w:val="004B6683"/>
    <w:rsid w:val="004B68CB"/>
    <w:rsid w:val="004B6CC0"/>
    <w:rsid w:val="004B70C8"/>
    <w:rsid w:val="004B742B"/>
    <w:rsid w:val="004B779F"/>
    <w:rsid w:val="004B7CB5"/>
    <w:rsid w:val="004B7EB9"/>
    <w:rsid w:val="004B7EDC"/>
    <w:rsid w:val="004C029B"/>
    <w:rsid w:val="004C079C"/>
    <w:rsid w:val="004C07C5"/>
    <w:rsid w:val="004C0A32"/>
    <w:rsid w:val="004C0A6D"/>
    <w:rsid w:val="004C0D38"/>
    <w:rsid w:val="004C0E61"/>
    <w:rsid w:val="004C1090"/>
    <w:rsid w:val="004C1136"/>
    <w:rsid w:val="004C12C8"/>
    <w:rsid w:val="004C139E"/>
    <w:rsid w:val="004C1537"/>
    <w:rsid w:val="004C16B6"/>
    <w:rsid w:val="004C16ED"/>
    <w:rsid w:val="004C1948"/>
    <w:rsid w:val="004C19B1"/>
    <w:rsid w:val="004C1A7E"/>
    <w:rsid w:val="004C23ED"/>
    <w:rsid w:val="004C2491"/>
    <w:rsid w:val="004C2AFD"/>
    <w:rsid w:val="004C32F3"/>
    <w:rsid w:val="004C35C6"/>
    <w:rsid w:val="004C37EE"/>
    <w:rsid w:val="004C3C3F"/>
    <w:rsid w:val="004C4154"/>
    <w:rsid w:val="004C41FD"/>
    <w:rsid w:val="004C4984"/>
    <w:rsid w:val="004C4FC9"/>
    <w:rsid w:val="004C547C"/>
    <w:rsid w:val="004C5F26"/>
    <w:rsid w:val="004C5FE6"/>
    <w:rsid w:val="004C6297"/>
    <w:rsid w:val="004C6DE5"/>
    <w:rsid w:val="004C7450"/>
    <w:rsid w:val="004C77CE"/>
    <w:rsid w:val="004C7BC4"/>
    <w:rsid w:val="004C7ED2"/>
    <w:rsid w:val="004D02E1"/>
    <w:rsid w:val="004D09E1"/>
    <w:rsid w:val="004D0C9F"/>
    <w:rsid w:val="004D0CE0"/>
    <w:rsid w:val="004D0EEA"/>
    <w:rsid w:val="004D0F1C"/>
    <w:rsid w:val="004D17EE"/>
    <w:rsid w:val="004D21D0"/>
    <w:rsid w:val="004D2540"/>
    <w:rsid w:val="004D2A38"/>
    <w:rsid w:val="004D2C03"/>
    <w:rsid w:val="004D2CF9"/>
    <w:rsid w:val="004D2D21"/>
    <w:rsid w:val="004D3240"/>
    <w:rsid w:val="004D381A"/>
    <w:rsid w:val="004D3BC9"/>
    <w:rsid w:val="004D3F6C"/>
    <w:rsid w:val="004D42ED"/>
    <w:rsid w:val="004D43F2"/>
    <w:rsid w:val="004D465D"/>
    <w:rsid w:val="004D4966"/>
    <w:rsid w:val="004D4BF4"/>
    <w:rsid w:val="004D4CC6"/>
    <w:rsid w:val="004D5335"/>
    <w:rsid w:val="004D5393"/>
    <w:rsid w:val="004D552F"/>
    <w:rsid w:val="004D60CE"/>
    <w:rsid w:val="004D6B0A"/>
    <w:rsid w:val="004D6BA2"/>
    <w:rsid w:val="004D6F74"/>
    <w:rsid w:val="004D6FB1"/>
    <w:rsid w:val="004E02E6"/>
    <w:rsid w:val="004E0340"/>
    <w:rsid w:val="004E0649"/>
    <w:rsid w:val="004E06E8"/>
    <w:rsid w:val="004E0AAF"/>
    <w:rsid w:val="004E0C8A"/>
    <w:rsid w:val="004E1079"/>
    <w:rsid w:val="004E1101"/>
    <w:rsid w:val="004E111E"/>
    <w:rsid w:val="004E172D"/>
    <w:rsid w:val="004E1F33"/>
    <w:rsid w:val="004E2046"/>
    <w:rsid w:val="004E20AA"/>
    <w:rsid w:val="004E2554"/>
    <w:rsid w:val="004E285D"/>
    <w:rsid w:val="004E2B6B"/>
    <w:rsid w:val="004E2CE1"/>
    <w:rsid w:val="004E2D7C"/>
    <w:rsid w:val="004E3083"/>
    <w:rsid w:val="004E30BF"/>
    <w:rsid w:val="004E337B"/>
    <w:rsid w:val="004E36C6"/>
    <w:rsid w:val="004E37BD"/>
    <w:rsid w:val="004E38CD"/>
    <w:rsid w:val="004E39DF"/>
    <w:rsid w:val="004E3A27"/>
    <w:rsid w:val="004E3CB3"/>
    <w:rsid w:val="004E3DD5"/>
    <w:rsid w:val="004E3ECA"/>
    <w:rsid w:val="004E3FD8"/>
    <w:rsid w:val="004E41DD"/>
    <w:rsid w:val="004E4264"/>
    <w:rsid w:val="004E44BE"/>
    <w:rsid w:val="004E4511"/>
    <w:rsid w:val="004E4C41"/>
    <w:rsid w:val="004E5317"/>
    <w:rsid w:val="004E5320"/>
    <w:rsid w:val="004E571D"/>
    <w:rsid w:val="004E59D2"/>
    <w:rsid w:val="004E607C"/>
    <w:rsid w:val="004E6586"/>
    <w:rsid w:val="004E6722"/>
    <w:rsid w:val="004E689D"/>
    <w:rsid w:val="004E6FCB"/>
    <w:rsid w:val="004E7054"/>
    <w:rsid w:val="004E71C5"/>
    <w:rsid w:val="004E789C"/>
    <w:rsid w:val="004E796F"/>
    <w:rsid w:val="004E7991"/>
    <w:rsid w:val="004E7FBE"/>
    <w:rsid w:val="004F000A"/>
    <w:rsid w:val="004F03E8"/>
    <w:rsid w:val="004F1882"/>
    <w:rsid w:val="004F192D"/>
    <w:rsid w:val="004F20C6"/>
    <w:rsid w:val="004F21B5"/>
    <w:rsid w:val="004F27A3"/>
    <w:rsid w:val="004F29FC"/>
    <w:rsid w:val="004F2C5B"/>
    <w:rsid w:val="004F2C8B"/>
    <w:rsid w:val="004F2DC8"/>
    <w:rsid w:val="004F2E1F"/>
    <w:rsid w:val="004F2E71"/>
    <w:rsid w:val="004F3293"/>
    <w:rsid w:val="004F391F"/>
    <w:rsid w:val="004F394D"/>
    <w:rsid w:val="004F4138"/>
    <w:rsid w:val="004F4231"/>
    <w:rsid w:val="004F45C4"/>
    <w:rsid w:val="004F4755"/>
    <w:rsid w:val="004F4857"/>
    <w:rsid w:val="004F4DC0"/>
    <w:rsid w:val="004F50DB"/>
    <w:rsid w:val="004F5128"/>
    <w:rsid w:val="004F52AA"/>
    <w:rsid w:val="004F57A1"/>
    <w:rsid w:val="004F5A2F"/>
    <w:rsid w:val="004F5B99"/>
    <w:rsid w:val="004F6221"/>
    <w:rsid w:val="004F627B"/>
    <w:rsid w:val="004F62B3"/>
    <w:rsid w:val="004F6A69"/>
    <w:rsid w:val="004F6DFE"/>
    <w:rsid w:val="004F7173"/>
    <w:rsid w:val="004F7285"/>
    <w:rsid w:val="004F765E"/>
    <w:rsid w:val="004F7CCC"/>
    <w:rsid w:val="0050018F"/>
    <w:rsid w:val="0050029A"/>
    <w:rsid w:val="00500442"/>
    <w:rsid w:val="00500598"/>
    <w:rsid w:val="0050079B"/>
    <w:rsid w:val="005007DD"/>
    <w:rsid w:val="00500D0D"/>
    <w:rsid w:val="00500EDB"/>
    <w:rsid w:val="00500F30"/>
    <w:rsid w:val="00500F6A"/>
    <w:rsid w:val="00501203"/>
    <w:rsid w:val="0050124B"/>
    <w:rsid w:val="005019BC"/>
    <w:rsid w:val="00501BE1"/>
    <w:rsid w:val="00501CF1"/>
    <w:rsid w:val="0050215C"/>
    <w:rsid w:val="005027CA"/>
    <w:rsid w:val="00502933"/>
    <w:rsid w:val="00502EA6"/>
    <w:rsid w:val="0050341E"/>
    <w:rsid w:val="0050351D"/>
    <w:rsid w:val="005038E6"/>
    <w:rsid w:val="00503B3B"/>
    <w:rsid w:val="00503B4F"/>
    <w:rsid w:val="00503E98"/>
    <w:rsid w:val="00504035"/>
    <w:rsid w:val="00504267"/>
    <w:rsid w:val="00504B4C"/>
    <w:rsid w:val="00504BC7"/>
    <w:rsid w:val="00504E13"/>
    <w:rsid w:val="00504F28"/>
    <w:rsid w:val="00505967"/>
    <w:rsid w:val="00505AAE"/>
    <w:rsid w:val="00505ABD"/>
    <w:rsid w:val="00505DD8"/>
    <w:rsid w:val="00506904"/>
    <w:rsid w:val="00506A3B"/>
    <w:rsid w:val="00506C16"/>
    <w:rsid w:val="00507383"/>
    <w:rsid w:val="00507487"/>
    <w:rsid w:val="00507D59"/>
    <w:rsid w:val="00507E5D"/>
    <w:rsid w:val="00507F40"/>
    <w:rsid w:val="00507F90"/>
    <w:rsid w:val="00507FC4"/>
    <w:rsid w:val="00510785"/>
    <w:rsid w:val="005107A0"/>
    <w:rsid w:val="00510CA0"/>
    <w:rsid w:val="00510DE2"/>
    <w:rsid w:val="00510F8C"/>
    <w:rsid w:val="00511875"/>
    <w:rsid w:val="00512579"/>
    <w:rsid w:val="00512BB0"/>
    <w:rsid w:val="00512D90"/>
    <w:rsid w:val="00512E8E"/>
    <w:rsid w:val="00512F1F"/>
    <w:rsid w:val="005130D6"/>
    <w:rsid w:val="00513246"/>
    <w:rsid w:val="005139E6"/>
    <w:rsid w:val="005144BB"/>
    <w:rsid w:val="00514BEC"/>
    <w:rsid w:val="005153C6"/>
    <w:rsid w:val="00515E88"/>
    <w:rsid w:val="005167DC"/>
    <w:rsid w:val="005167DE"/>
    <w:rsid w:val="00516A09"/>
    <w:rsid w:val="00516B1D"/>
    <w:rsid w:val="00516C72"/>
    <w:rsid w:val="00516EAC"/>
    <w:rsid w:val="00516EC7"/>
    <w:rsid w:val="005170A9"/>
    <w:rsid w:val="00517165"/>
    <w:rsid w:val="0051754F"/>
    <w:rsid w:val="00517685"/>
    <w:rsid w:val="0051786A"/>
    <w:rsid w:val="005179B0"/>
    <w:rsid w:val="00517BF1"/>
    <w:rsid w:val="00517C87"/>
    <w:rsid w:val="00517D26"/>
    <w:rsid w:val="00517DDE"/>
    <w:rsid w:val="0052029C"/>
    <w:rsid w:val="00520400"/>
    <w:rsid w:val="0052046A"/>
    <w:rsid w:val="00520629"/>
    <w:rsid w:val="005206A4"/>
    <w:rsid w:val="0052079E"/>
    <w:rsid w:val="00520836"/>
    <w:rsid w:val="00520A7B"/>
    <w:rsid w:val="0052116F"/>
    <w:rsid w:val="005212E4"/>
    <w:rsid w:val="005216A4"/>
    <w:rsid w:val="00521D77"/>
    <w:rsid w:val="005227C1"/>
    <w:rsid w:val="00522A0E"/>
    <w:rsid w:val="00522A9A"/>
    <w:rsid w:val="00522DEA"/>
    <w:rsid w:val="00523290"/>
    <w:rsid w:val="00523579"/>
    <w:rsid w:val="005236D9"/>
    <w:rsid w:val="00524040"/>
    <w:rsid w:val="005241DD"/>
    <w:rsid w:val="005244C6"/>
    <w:rsid w:val="005245B7"/>
    <w:rsid w:val="0052465A"/>
    <w:rsid w:val="00524720"/>
    <w:rsid w:val="005248F8"/>
    <w:rsid w:val="005253B3"/>
    <w:rsid w:val="00525883"/>
    <w:rsid w:val="00525DB0"/>
    <w:rsid w:val="00525F66"/>
    <w:rsid w:val="0052622F"/>
    <w:rsid w:val="0052645D"/>
    <w:rsid w:val="00526F42"/>
    <w:rsid w:val="00527EE2"/>
    <w:rsid w:val="00530148"/>
    <w:rsid w:val="00530245"/>
    <w:rsid w:val="005303A3"/>
    <w:rsid w:val="0053044E"/>
    <w:rsid w:val="005305AB"/>
    <w:rsid w:val="00530F04"/>
    <w:rsid w:val="00530F73"/>
    <w:rsid w:val="005313C0"/>
    <w:rsid w:val="0053165F"/>
    <w:rsid w:val="00531776"/>
    <w:rsid w:val="005319E8"/>
    <w:rsid w:val="00531C43"/>
    <w:rsid w:val="00531E04"/>
    <w:rsid w:val="00531E79"/>
    <w:rsid w:val="00532308"/>
    <w:rsid w:val="0053230B"/>
    <w:rsid w:val="00532433"/>
    <w:rsid w:val="005325BA"/>
    <w:rsid w:val="0053286D"/>
    <w:rsid w:val="005328B9"/>
    <w:rsid w:val="00532B6C"/>
    <w:rsid w:val="00532F4B"/>
    <w:rsid w:val="005333D7"/>
    <w:rsid w:val="005335B3"/>
    <w:rsid w:val="005337AC"/>
    <w:rsid w:val="00533B0E"/>
    <w:rsid w:val="00533BEE"/>
    <w:rsid w:val="00533D41"/>
    <w:rsid w:val="00533D50"/>
    <w:rsid w:val="00533D62"/>
    <w:rsid w:val="00533E44"/>
    <w:rsid w:val="005342E2"/>
    <w:rsid w:val="0053476B"/>
    <w:rsid w:val="00534921"/>
    <w:rsid w:val="005353FC"/>
    <w:rsid w:val="0053550E"/>
    <w:rsid w:val="0053598F"/>
    <w:rsid w:val="005359F8"/>
    <w:rsid w:val="00535BBC"/>
    <w:rsid w:val="00535C84"/>
    <w:rsid w:val="005361A5"/>
    <w:rsid w:val="0053627D"/>
    <w:rsid w:val="00536325"/>
    <w:rsid w:val="005367CA"/>
    <w:rsid w:val="005368CB"/>
    <w:rsid w:val="00536DAB"/>
    <w:rsid w:val="00537043"/>
    <w:rsid w:val="005374CE"/>
    <w:rsid w:val="00537828"/>
    <w:rsid w:val="005379DB"/>
    <w:rsid w:val="00537B69"/>
    <w:rsid w:val="005406D1"/>
    <w:rsid w:val="00540752"/>
    <w:rsid w:val="005408CD"/>
    <w:rsid w:val="00540DF6"/>
    <w:rsid w:val="005416EE"/>
    <w:rsid w:val="00541D4A"/>
    <w:rsid w:val="00542456"/>
    <w:rsid w:val="0054264E"/>
    <w:rsid w:val="005428F6"/>
    <w:rsid w:val="00542914"/>
    <w:rsid w:val="00542BA1"/>
    <w:rsid w:val="00542D5F"/>
    <w:rsid w:val="00542F87"/>
    <w:rsid w:val="005431B7"/>
    <w:rsid w:val="0054337B"/>
    <w:rsid w:val="005435B4"/>
    <w:rsid w:val="0054380C"/>
    <w:rsid w:val="0054385E"/>
    <w:rsid w:val="005443EF"/>
    <w:rsid w:val="00544619"/>
    <w:rsid w:val="00544712"/>
    <w:rsid w:val="00544B49"/>
    <w:rsid w:val="00544CBE"/>
    <w:rsid w:val="0054570D"/>
    <w:rsid w:val="00545ACA"/>
    <w:rsid w:val="00545C11"/>
    <w:rsid w:val="0054605C"/>
    <w:rsid w:val="0054609A"/>
    <w:rsid w:val="00546AB0"/>
    <w:rsid w:val="00546F7C"/>
    <w:rsid w:val="0054756C"/>
    <w:rsid w:val="005478FC"/>
    <w:rsid w:val="0054C776"/>
    <w:rsid w:val="00550094"/>
    <w:rsid w:val="00550234"/>
    <w:rsid w:val="005508C2"/>
    <w:rsid w:val="00550BC2"/>
    <w:rsid w:val="00550F54"/>
    <w:rsid w:val="00551111"/>
    <w:rsid w:val="005519F8"/>
    <w:rsid w:val="00551CD0"/>
    <w:rsid w:val="0055216E"/>
    <w:rsid w:val="0055246F"/>
    <w:rsid w:val="00552727"/>
    <w:rsid w:val="00552A33"/>
    <w:rsid w:val="00552A95"/>
    <w:rsid w:val="00552F39"/>
    <w:rsid w:val="005531C8"/>
    <w:rsid w:val="005532BC"/>
    <w:rsid w:val="00553E16"/>
    <w:rsid w:val="00553E7C"/>
    <w:rsid w:val="005544FC"/>
    <w:rsid w:val="00554720"/>
    <w:rsid w:val="0055474C"/>
    <w:rsid w:val="00554FBD"/>
    <w:rsid w:val="00555325"/>
    <w:rsid w:val="00555565"/>
    <w:rsid w:val="0055570C"/>
    <w:rsid w:val="005557E3"/>
    <w:rsid w:val="00555B7E"/>
    <w:rsid w:val="00555C92"/>
    <w:rsid w:val="00556957"/>
    <w:rsid w:val="00556C38"/>
    <w:rsid w:val="00556EA8"/>
    <w:rsid w:val="00557237"/>
    <w:rsid w:val="00557322"/>
    <w:rsid w:val="005579E7"/>
    <w:rsid w:val="00557DF2"/>
    <w:rsid w:val="00557FD0"/>
    <w:rsid w:val="0056016B"/>
    <w:rsid w:val="005602EA"/>
    <w:rsid w:val="00560434"/>
    <w:rsid w:val="00560F04"/>
    <w:rsid w:val="005614CB"/>
    <w:rsid w:val="00561C70"/>
    <w:rsid w:val="00561D46"/>
    <w:rsid w:val="0056207F"/>
    <w:rsid w:val="005621A4"/>
    <w:rsid w:val="00562615"/>
    <w:rsid w:val="005626DD"/>
    <w:rsid w:val="00562B99"/>
    <w:rsid w:val="005636F6"/>
    <w:rsid w:val="00563830"/>
    <w:rsid w:val="005640DC"/>
    <w:rsid w:val="0056419F"/>
    <w:rsid w:val="00564A79"/>
    <w:rsid w:val="00565046"/>
    <w:rsid w:val="005650BD"/>
    <w:rsid w:val="005651AE"/>
    <w:rsid w:val="0056561F"/>
    <w:rsid w:val="00565FDC"/>
    <w:rsid w:val="00565FFC"/>
    <w:rsid w:val="005664CE"/>
    <w:rsid w:val="005668F1"/>
    <w:rsid w:val="00566921"/>
    <w:rsid w:val="00566AE1"/>
    <w:rsid w:val="005672E5"/>
    <w:rsid w:val="005673E4"/>
    <w:rsid w:val="005677DF"/>
    <w:rsid w:val="005679DC"/>
    <w:rsid w:val="00567C79"/>
    <w:rsid w:val="0057011E"/>
    <w:rsid w:val="00570293"/>
    <w:rsid w:val="005708CC"/>
    <w:rsid w:val="00570C61"/>
    <w:rsid w:val="00570E36"/>
    <w:rsid w:val="00571181"/>
    <w:rsid w:val="0057125A"/>
    <w:rsid w:val="0057126C"/>
    <w:rsid w:val="005715C2"/>
    <w:rsid w:val="0057172B"/>
    <w:rsid w:val="005717A5"/>
    <w:rsid w:val="00571806"/>
    <w:rsid w:val="0057185E"/>
    <w:rsid w:val="0057234C"/>
    <w:rsid w:val="0057302A"/>
    <w:rsid w:val="005730C2"/>
    <w:rsid w:val="00573317"/>
    <w:rsid w:val="0057336E"/>
    <w:rsid w:val="00573554"/>
    <w:rsid w:val="0057369D"/>
    <w:rsid w:val="00574791"/>
    <w:rsid w:val="005749B2"/>
    <w:rsid w:val="00574A0D"/>
    <w:rsid w:val="00574C56"/>
    <w:rsid w:val="00574CC5"/>
    <w:rsid w:val="00574EFC"/>
    <w:rsid w:val="0057526F"/>
    <w:rsid w:val="005759D3"/>
    <w:rsid w:val="0057607B"/>
    <w:rsid w:val="00576721"/>
    <w:rsid w:val="0057677E"/>
    <w:rsid w:val="0057688A"/>
    <w:rsid w:val="005769CE"/>
    <w:rsid w:val="00576B5A"/>
    <w:rsid w:val="00577458"/>
    <w:rsid w:val="00577600"/>
    <w:rsid w:val="00577A81"/>
    <w:rsid w:val="00577FAC"/>
    <w:rsid w:val="0058101D"/>
    <w:rsid w:val="00581105"/>
    <w:rsid w:val="0058115C"/>
    <w:rsid w:val="005813F9"/>
    <w:rsid w:val="00581506"/>
    <w:rsid w:val="00581724"/>
    <w:rsid w:val="0058199A"/>
    <w:rsid w:val="005819E2"/>
    <w:rsid w:val="00581B58"/>
    <w:rsid w:val="00581C91"/>
    <w:rsid w:val="00581E55"/>
    <w:rsid w:val="0058232F"/>
    <w:rsid w:val="00582B28"/>
    <w:rsid w:val="0058301B"/>
    <w:rsid w:val="005833A7"/>
    <w:rsid w:val="00583923"/>
    <w:rsid w:val="00583B32"/>
    <w:rsid w:val="00584B0B"/>
    <w:rsid w:val="00584EA1"/>
    <w:rsid w:val="00584FC5"/>
    <w:rsid w:val="00585047"/>
    <w:rsid w:val="00585964"/>
    <w:rsid w:val="00585AFA"/>
    <w:rsid w:val="00585CA2"/>
    <w:rsid w:val="00586931"/>
    <w:rsid w:val="00587467"/>
    <w:rsid w:val="005874CA"/>
    <w:rsid w:val="005879B8"/>
    <w:rsid w:val="00587AC0"/>
    <w:rsid w:val="00590292"/>
    <w:rsid w:val="00590594"/>
    <w:rsid w:val="00590B76"/>
    <w:rsid w:val="00590F5B"/>
    <w:rsid w:val="0059146D"/>
    <w:rsid w:val="005914A8"/>
    <w:rsid w:val="0059179D"/>
    <w:rsid w:val="005918DA"/>
    <w:rsid w:val="00591A57"/>
    <w:rsid w:val="005924E7"/>
    <w:rsid w:val="0059263A"/>
    <w:rsid w:val="00592778"/>
    <w:rsid w:val="005927E1"/>
    <w:rsid w:val="005929F1"/>
    <w:rsid w:val="00593206"/>
    <w:rsid w:val="0059354C"/>
    <w:rsid w:val="00593A0B"/>
    <w:rsid w:val="0059413A"/>
    <w:rsid w:val="005943E3"/>
    <w:rsid w:val="005945AB"/>
    <w:rsid w:val="0059477F"/>
    <w:rsid w:val="005948F0"/>
    <w:rsid w:val="00594917"/>
    <w:rsid w:val="00594AC6"/>
    <w:rsid w:val="00594E8E"/>
    <w:rsid w:val="0059525D"/>
    <w:rsid w:val="0059538A"/>
    <w:rsid w:val="005956D6"/>
    <w:rsid w:val="0059578D"/>
    <w:rsid w:val="00595C87"/>
    <w:rsid w:val="00595FF9"/>
    <w:rsid w:val="00596785"/>
    <w:rsid w:val="00596FFE"/>
    <w:rsid w:val="005970FD"/>
    <w:rsid w:val="005978A9"/>
    <w:rsid w:val="00597E3B"/>
    <w:rsid w:val="00597F94"/>
    <w:rsid w:val="00597FA1"/>
    <w:rsid w:val="005A0418"/>
    <w:rsid w:val="005A0688"/>
    <w:rsid w:val="005A06D1"/>
    <w:rsid w:val="005A081D"/>
    <w:rsid w:val="005A0879"/>
    <w:rsid w:val="005A08F6"/>
    <w:rsid w:val="005A0E08"/>
    <w:rsid w:val="005A10FA"/>
    <w:rsid w:val="005A115C"/>
    <w:rsid w:val="005A13E2"/>
    <w:rsid w:val="005A161E"/>
    <w:rsid w:val="005A181E"/>
    <w:rsid w:val="005A18B6"/>
    <w:rsid w:val="005A19A8"/>
    <w:rsid w:val="005A1E0E"/>
    <w:rsid w:val="005A21A8"/>
    <w:rsid w:val="005A2499"/>
    <w:rsid w:val="005A2A79"/>
    <w:rsid w:val="005A2BA7"/>
    <w:rsid w:val="005A2C75"/>
    <w:rsid w:val="005A3340"/>
    <w:rsid w:val="005A379D"/>
    <w:rsid w:val="005A3986"/>
    <w:rsid w:val="005A4E50"/>
    <w:rsid w:val="005A5B1D"/>
    <w:rsid w:val="005A5CA5"/>
    <w:rsid w:val="005A61E3"/>
    <w:rsid w:val="005A652E"/>
    <w:rsid w:val="005A6874"/>
    <w:rsid w:val="005A694C"/>
    <w:rsid w:val="005A69DC"/>
    <w:rsid w:val="005A6A36"/>
    <w:rsid w:val="005A6B12"/>
    <w:rsid w:val="005A729A"/>
    <w:rsid w:val="005A73B3"/>
    <w:rsid w:val="005A74B5"/>
    <w:rsid w:val="005A77C3"/>
    <w:rsid w:val="005A78AC"/>
    <w:rsid w:val="005A7977"/>
    <w:rsid w:val="005A7BC6"/>
    <w:rsid w:val="005A7E64"/>
    <w:rsid w:val="005AB887"/>
    <w:rsid w:val="005B0226"/>
    <w:rsid w:val="005B0455"/>
    <w:rsid w:val="005B04F6"/>
    <w:rsid w:val="005B0856"/>
    <w:rsid w:val="005B0FDA"/>
    <w:rsid w:val="005B102F"/>
    <w:rsid w:val="005B179B"/>
    <w:rsid w:val="005B1A15"/>
    <w:rsid w:val="005B2067"/>
    <w:rsid w:val="005B22B3"/>
    <w:rsid w:val="005B254F"/>
    <w:rsid w:val="005B2AB6"/>
    <w:rsid w:val="005B2C51"/>
    <w:rsid w:val="005B2EA1"/>
    <w:rsid w:val="005B2FEC"/>
    <w:rsid w:val="005B313B"/>
    <w:rsid w:val="005B35BB"/>
    <w:rsid w:val="005B376D"/>
    <w:rsid w:val="005B3FD5"/>
    <w:rsid w:val="005B42F1"/>
    <w:rsid w:val="005B4899"/>
    <w:rsid w:val="005B4C6F"/>
    <w:rsid w:val="005B4CE3"/>
    <w:rsid w:val="005B53FC"/>
    <w:rsid w:val="005B5A7C"/>
    <w:rsid w:val="005B651E"/>
    <w:rsid w:val="005B6667"/>
    <w:rsid w:val="005B6BDD"/>
    <w:rsid w:val="005B6C61"/>
    <w:rsid w:val="005B6CE2"/>
    <w:rsid w:val="005B72F5"/>
    <w:rsid w:val="005B7CA1"/>
    <w:rsid w:val="005C09DD"/>
    <w:rsid w:val="005C0AFC"/>
    <w:rsid w:val="005C0B93"/>
    <w:rsid w:val="005C0CCB"/>
    <w:rsid w:val="005C165D"/>
    <w:rsid w:val="005C1A1A"/>
    <w:rsid w:val="005C1F34"/>
    <w:rsid w:val="005C208F"/>
    <w:rsid w:val="005C30C9"/>
    <w:rsid w:val="005C3148"/>
    <w:rsid w:val="005C321A"/>
    <w:rsid w:val="005C3442"/>
    <w:rsid w:val="005C344E"/>
    <w:rsid w:val="005C376C"/>
    <w:rsid w:val="005C3FA3"/>
    <w:rsid w:val="005C41E6"/>
    <w:rsid w:val="005C43AD"/>
    <w:rsid w:val="005C45CB"/>
    <w:rsid w:val="005C4F98"/>
    <w:rsid w:val="005C58DB"/>
    <w:rsid w:val="005C5A27"/>
    <w:rsid w:val="005C5B19"/>
    <w:rsid w:val="005C5BD7"/>
    <w:rsid w:val="005C5C98"/>
    <w:rsid w:val="005C5F50"/>
    <w:rsid w:val="005C6422"/>
    <w:rsid w:val="005C64C9"/>
    <w:rsid w:val="005C64CC"/>
    <w:rsid w:val="005C651E"/>
    <w:rsid w:val="005C66BA"/>
    <w:rsid w:val="005C6F8A"/>
    <w:rsid w:val="005C717B"/>
    <w:rsid w:val="005C7269"/>
    <w:rsid w:val="005C7520"/>
    <w:rsid w:val="005C77A9"/>
    <w:rsid w:val="005C7E0B"/>
    <w:rsid w:val="005C7F14"/>
    <w:rsid w:val="005D0884"/>
    <w:rsid w:val="005D0BD7"/>
    <w:rsid w:val="005D0DCA"/>
    <w:rsid w:val="005D0EC0"/>
    <w:rsid w:val="005D0F62"/>
    <w:rsid w:val="005D1439"/>
    <w:rsid w:val="005D1B81"/>
    <w:rsid w:val="005D1D00"/>
    <w:rsid w:val="005D1F46"/>
    <w:rsid w:val="005D1F87"/>
    <w:rsid w:val="005D2375"/>
    <w:rsid w:val="005D2503"/>
    <w:rsid w:val="005D2C1C"/>
    <w:rsid w:val="005D30C6"/>
    <w:rsid w:val="005D31C9"/>
    <w:rsid w:val="005D31F2"/>
    <w:rsid w:val="005D3742"/>
    <w:rsid w:val="005D3885"/>
    <w:rsid w:val="005D390B"/>
    <w:rsid w:val="005D3C33"/>
    <w:rsid w:val="005D4391"/>
    <w:rsid w:val="005D4856"/>
    <w:rsid w:val="005D4AF4"/>
    <w:rsid w:val="005D4EE4"/>
    <w:rsid w:val="005D5225"/>
    <w:rsid w:val="005D5C33"/>
    <w:rsid w:val="005D5ED9"/>
    <w:rsid w:val="005D6557"/>
    <w:rsid w:val="005D66F5"/>
    <w:rsid w:val="005D7032"/>
    <w:rsid w:val="005D716C"/>
    <w:rsid w:val="005D7456"/>
    <w:rsid w:val="005D7550"/>
    <w:rsid w:val="005D7567"/>
    <w:rsid w:val="005D760A"/>
    <w:rsid w:val="005E0290"/>
    <w:rsid w:val="005E09BB"/>
    <w:rsid w:val="005E136A"/>
    <w:rsid w:val="005E154E"/>
    <w:rsid w:val="005E17B1"/>
    <w:rsid w:val="005E25EE"/>
    <w:rsid w:val="005E28EF"/>
    <w:rsid w:val="005E2CB0"/>
    <w:rsid w:val="005E2D15"/>
    <w:rsid w:val="005E2F08"/>
    <w:rsid w:val="005E3A48"/>
    <w:rsid w:val="005E3ECD"/>
    <w:rsid w:val="005E451A"/>
    <w:rsid w:val="005E47B5"/>
    <w:rsid w:val="005E49D6"/>
    <w:rsid w:val="005E4C58"/>
    <w:rsid w:val="005E5479"/>
    <w:rsid w:val="005E5880"/>
    <w:rsid w:val="005E6592"/>
    <w:rsid w:val="005E69DF"/>
    <w:rsid w:val="005E70EF"/>
    <w:rsid w:val="005E725A"/>
    <w:rsid w:val="005E7324"/>
    <w:rsid w:val="005E764F"/>
    <w:rsid w:val="005E77F2"/>
    <w:rsid w:val="005E7AB2"/>
    <w:rsid w:val="005E7C85"/>
    <w:rsid w:val="005E7D0D"/>
    <w:rsid w:val="005E7EAD"/>
    <w:rsid w:val="005E7F1A"/>
    <w:rsid w:val="005F0220"/>
    <w:rsid w:val="005F093D"/>
    <w:rsid w:val="005F0A0B"/>
    <w:rsid w:val="005F0DF0"/>
    <w:rsid w:val="005F107C"/>
    <w:rsid w:val="005F1148"/>
    <w:rsid w:val="005F1471"/>
    <w:rsid w:val="005F15BB"/>
    <w:rsid w:val="005F1663"/>
    <w:rsid w:val="005F172B"/>
    <w:rsid w:val="005F19A3"/>
    <w:rsid w:val="005F1F16"/>
    <w:rsid w:val="005F229F"/>
    <w:rsid w:val="005F23C8"/>
    <w:rsid w:val="005F244D"/>
    <w:rsid w:val="005F26B6"/>
    <w:rsid w:val="005F2A13"/>
    <w:rsid w:val="005F2DB6"/>
    <w:rsid w:val="005F313A"/>
    <w:rsid w:val="005F321C"/>
    <w:rsid w:val="005F3254"/>
    <w:rsid w:val="005F32A4"/>
    <w:rsid w:val="005F3532"/>
    <w:rsid w:val="005F35F4"/>
    <w:rsid w:val="005F3766"/>
    <w:rsid w:val="005F3A12"/>
    <w:rsid w:val="005F3BCF"/>
    <w:rsid w:val="005F3D50"/>
    <w:rsid w:val="005F4073"/>
    <w:rsid w:val="005F40C6"/>
    <w:rsid w:val="005F4579"/>
    <w:rsid w:val="005F488C"/>
    <w:rsid w:val="005F48ED"/>
    <w:rsid w:val="005F4F39"/>
    <w:rsid w:val="005F535D"/>
    <w:rsid w:val="005F54B2"/>
    <w:rsid w:val="005F588D"/>
    <w:rsid w:val="005F5B5E"/>
    <w:rsid w:val="005F5C58"/>
    <w:rsid w:val="005F5D94"/>
    <w:rsid w:val="005F60BE"/>
    <w:rsid w:val="005F612F"/>
    <w:rsid w:val="005F63AE"/>
    <w:rsid w:val="005F63EB"/>
    <w:rsid w:val="005F64C0"/>
    <w:rsid w:val="005F6D6B"/>
    <w:rsid w:val="005F6E2D"/>
    <w:rsid w:val="005F6EF6"/>
    <w:rsid w:val="005F728B"/>
    <w:rsid w:val="005F76FB"/>
    <w:rsid w:val="005F7E1C"/>
    <w:rsid w:val="00600192"/>
    <w:rsid w:val="0060041D"/>
    <w:rsid w:val="006007B1"/>
    <w:rsid w:val="0060147F"/>
    <w:rsid w:val="006017D1"/>
    <w:rsid w:val="00601CE2"/>
    <w:rsid w:val="00601E06"/>
    <w:rsid w:val="00601E48"/>
    <w:rsid w:val="006020CC"/>
    <w:rsid w:val="00602621"/>
    <w:rsid w:val="00602E66"/>
    <w:rsid w:val="00603228"/>
    <w:rsid w:val="006032DB"/>
    <w:rsid w:val="0060356E"/>
    <w:rsid w:val="00603664"/>
    <w:rsid w:val="00603818"/>
    <w:rsid w:val="00604DD9"/>
    <w:rsid w:val="00604E91"/>
    <w:rsid w:val="0060507F"/>
    <w:rsid w:val="0060528B"/>
    <w:rsid w:val="0060613D"/>
    <w:rsid w:val="006061A6"/>
    <w:rsid w:val="006061E8"/>
    <w:rsid w:val="006062C5"/>
    <w:rsid w:val="00606A65"/>
    <w:rsid w:val="00606CB3"/>
    <w:rsid w:val="00606E81"/>
    <w:rsid w:val="00607D5D"/>
    <w:rsid w:val="00609785"/>
    <w:rsid w:val="0061057C"/>
    <w:rsid w:val="00610662"/>
    <w:rsid w:val="00610828"/>
    <w:rsid w:val="00610D4F"/>
    <w:rsid w:val="00610D5A"/>
    <w:rsid w:val="006111E0"/>
    <w:rsid w:val="0061146D"/>
    <w:rsid w:val="006114D5"/>
    <w:rsid w:val="00611579"/>
    <w:rsid w:val="0061179A"/>
    <w:rsid w:val="00611901"/>
    <w:rsid w:val="0061196F"/>
    <w:rsid w:val="00611A81"/>
    <w:rsid w:val="00611B7D"/>
    <w:rsid w:val="00611E6A"/>
    <w:rsid w:val="0061219A"/>
    <w:rsid w:val="006122D1"/>
    <w:rsid w:val="00612545"/>
    <w:rsid w:val="00612EE5"/>
    <w:rsid w:val="00613136"/>
    <w:rsid w:val="00613142"/>
    <w:rsid w:val="0061317C"/>
    <w:rsid w:val="0061328C"/>
    <w:rsid w:val="00613412"/>
    <w:rsid w:val="006138A4"/>
    <w:rsid w:val="006139F6"/>
    <w:rsid w:val="00613FC8"/>
    <w:rsid w:val="0061423E"/>
    <w:rsid w:val="006146F7"/>
    <w:rsid w:val="00614935"/>
    <w:rsid w:val="00614B20"/>
    <w:rsid w:val="00614EF9"/>
    <w:rsid w:val="00615040"/>
    <w:rsid w:val="006159B7"/>
    <w:rsid w:val="00615A99"/>
    <w:rsid w:val="00615D7F"/>
    <w:rsid w:val="00615FA7"/>
    <w:rsid w:val="0061626D"/>
    <w:rsid w:val="006175CD"/>
    <w:rsid w:val="006176BE"/>
    <w:rsid w:val="00617D5E"/>
    <w:rsid w:val="00617E21"/>
    <w:rsid w:val="0061ADBF"/>
    <w:rsid w:val="00620543"/>
    <w:rsid w:val="0062056D"/>
    <w:rsid w:val="006205B7"/>
    <w:rsid w:val="006206C7"/>
    <w:rsid w:val="00620A07"/>
    <w:rsid w:val="00620E54"/>
    <w:rsid w:val="0062112B"/>
    <w:rsid w:val="006212AD"/>
    <w:rsid w:val="006219C4"/>
    <w:rsid w:val="00621B2B"/>
    <w:rsid w:val="00621DFD"/>
    <w:rsid w:val="00621ECB"/>
    <w:rsid w:val="00622118"/>
    <w:rsid w:val="0062220B"/>
    <w:rsid w:val="0062225E"/>
    <w:rsid w:val="00622511"/>
    <w:rsid w:val="006228CD"/>
    <w:rsid w:val="00622A87"/>
    <w:rsid w:val="00622C44"/>
    <w:rsid w:val="00622C81"/>
    <w:rsid w:val="00622C8A"/>
    <w:rsid w:val="00622E9C"/>
    <w:rsid w:val="006236E3"/>
    <w:rsid w:val="0062387A"/>
    <w:rsid w:val="00623E23"/>
    <w:rsid w:val="006246D1"/>
    <w:rsid w:val="00624911"/>
    <w:rsid w:val="0062492F"/>
    <w:rsid w:val="0062506C"/>
    <w:rsid w:val="006255C1"/>
    <w:rsid w:val="0062560D"/>
    <w:rsid w:val="00625AF6"/>
    <w:rsid w:val="0062625B"/>
    <w:rsid w:val="0062684F"/>
    <w:rsid w:val="006269EB"/>
    <w:rsid w:val="00626B9C"/>
    <w:rsid w:val="00626FEC"/>
    <w:rsid w:val="006276F0"/>
    <w:rsid w:val="00627811"/>
    <w:rsid w:val="00627BBB"/>
    <w:rsid w:val="00627C30"/>
    <w:rsid w:val="0063055F"/>
    <w:rsid w:val="00630618"/>
    <w:rsid w:val="00630680"/>
    <w:rsid w:val="00630965"/>
    <w:rsid w:val="00630D4F"/>
    <w:rsid w:val="006312C2"/>
    <w:rsid w:val="00631361"/>
    <w:rsid w:val="00631E93"/>
    <w:rsid w:val="0063226C"/>
    <w:rsid w:val="0063238F"/>
    <w:rsid w:val="0063257F"/>
    <w:rsid w:val="00632623"/>
    <w:rsid w:val="00632A02"/>
    <w:rsid w:val="00632B79"/>
    <w:rsid w:val="00632CAE"/>
    <w:rsid w:val="00633015"/>
    <w:rsid w:val="006334CF"/>
    <w:rsid w:val="0063367F"/>
    <w:rsid w:val="006341CB"/>
    <w:rsid w:val="006346B1"/>
    <w:rsid w:val="00634C11"/>
    <w:rsid w:val="0063558E"/>
    <w:rsid w:val="00635CC6"/>
    <w:rsid w:val="00635D16"/>
    <w:rsid w:val="00635D99"/>
    <w:rsid w:val="006363DD"/>
    <w:rsid w:val="00636780"/>
    <w:rsid w:val="00637069"/>
    <w:rsid w:val="0063753A"/>
    <w:rsid w:val="00637D9E"/>
    <w:rsid w:val="00637F14"/>
    <w:rsid w:val="00640358"/>
    <w:rsid w:val="00640672"/>
    <w:rsid w:val="00640AD4"/>
    <w:rsid w:val="00640BC5"/>
    <w:rsid w:val="0064144A"/>
    <w:rsid w:val="0064168C"/>
    <w:rsid w:val="00641703"/>
    <w:rsid w:val="00641706"/>
    <w:rsid w:val="00641947"/>
    <w:rsid w:val="00641CE6"/>
    <w:rsid w:val="006421C5"/>
    <w:rsid w:val="006421FF"/>
    <w:rsid w:val="0064246C"/>
    <w:rsid w:val="0064261F"/>
    <w:rsid w:val="00642650"/>
    <w:rsid w:val="0064295E"/>
    <w:rsid w:val="00642B37"/>
    <w:rsid w:val="006430E6"/>
    <w:rsid w:val="00643462"/>
    <w:rsid w:val="00643630"/>
    <w:rsid w:val="006436FF"/>
    <w:rsid w:val="006437C3"/>
    <w:rsid w:val="00643A76"/>
    <w:rsid w:val="00644670"/>
    <w:rsid w:val="00644696"/>
    <w:rsid w:val="0064493E"/>
    <w:rsid w:val="00644DE8"/>
    <w:rsid w:val="0064510E"/>
    <w:rsid w:val="00645BE2"/>
    <w:rsid w:val="00645CFA"/>
    <w:rsid w:val="006470FC"/>
    <w:rsid w:val="00647469"/>
    <w:rsid w:val="006478E3"/>
    <w:rsid w:val="0064798A"/>
    <w:rsid w:val="00647A50"/>
    <w:rsid w:val="00650004"/>
    <w:rsid w:val="00650095"/>
    <w:rsid w:val="006502AF"/>
    <w:rsid w:val="006503BE"/>
    <w:rsid w:val="0065041A"/>
    <w:rsid w:val="00650C57"/>
    <w:rsid w:val="00650F3C"/>
    <w:rsid w:val="0065120F"/>
    <w:rsid w:val="0065129D"/>
    <w:rsid w:val="006512B6"/>
    <w:rsid w:val="00651A1B"/>
    <w:rsid w:val="00651DC0"/>
    <w:rsid w:val="0065255E"/>
    <w:rsid w:val="006525F6"/>
    <w:rsid w:val="0065297A"/>
    <w:rsid w:val="00652A91"/>
    <w:rsid w:val="00652E2B"/>
    <w:rsid w:val="00653120"/>
    <w:rsid w:val="00653397"/>
    <w:rsid w:val="006538B8"/>
    <w:rsid w:val="006542F4"/>
    <w:rsid w:val="0065494A"/>
    <w:rsid w:val="006549EF"/>
    <w:rsid w:val="00654A08"/>
    <w:rsid w:val="00654AFF"/>
    <w:rsid w:val="00654C9B"/>
    <w:rsid w:val="00654FB7"/>
    <w:rsid w:val="00655207"/>
    <w:rsid w:val="00655BCE"/>
    <w:rsid w:val="00656027"/>
    <w:rsid w:val="00656149"/>
    <w:rsid w:val="00656F37"/>
    <w:rsid w:val="00657A2E"/>
    <w:rsid w:val="00657C93"/>
    <w:rsid w:val="006605A4"/>
    <w:rsid w:val="00660A4F"/>
    <w:rsid w:val="00660B63"/>
    <w:rsid w:val="00660C4A"/>
    <w:rsid w:val="00660F17"/>
    <w:rsid w:val="0066120C"/>
    <w:rsid w:val="006627A0"/>
    <w:rsid w:val="0066338C"/>
    <w:rsid w:val="006635DD"/>
    <w:rsid w:val="0066367F"/>
    <w:rsid w:val="006636CD"/>
    <w:rsid w:val="0066382C"/>
    <w:rsid w:val="00663E77"/>
    <w:rsid w:val="006644D7"/>
    <w:rsid w:val="00664D0F"/>
    <w:rsid w:val="00664D3D"/>
    <w:rsid w:val="00664D87"/>
    <w:rsid w:val="0066529A"/>
    <w:rsid w:val="00665747"/>
    <w:rsid w:val="00666315"/>
    <w:rsid w:val="00667003"/>
    <w:rsid w:val="006673FF"/>
    <w:rsid w:val="00667479"/>
    <w:rsid w:val="006674D9"/>
    <w:rsid w:val="00667D78"/>
    <w:rsid w:val="0067072D"/>
    <w:rsid w:val="00670DDE"/>
    <w:rsid w:val="0067122E"/>
    <w:rsid w:val="00671294"/>
    <w:rsid w:val="006714F7"/>
    <w:rsid w:val="00671659"/>
    <w:rsid w:val="00671A30"/>
    <w:rsid w:val="00671C03"/>
    <w:rsid w:val="00671F30"/>
    <w:rsid w:val="006722F6"/>
    <w:rsid w:val="0067269F"/>
    <w:rsid w:val="00672E06"/>
    <w:rsid w:val="00672EA9"/>
    <w:rsid w:val="006730B3"/>
    <w:rsid w:val="00673527"/>
    <w:rsid w:val="00673707"/>
    <w:rsid w:val="00673AA6"/>
    <w:rsid w:val="00673CFA"/>
    <w:rsid w:val="0067436F"/>
    <w:rsid w:val="00674805"/>
    <w:rsid w:val="0067486A"/>
    <w:rsid w:val="00674916"/>
    <w:rsid w:val="006749E2"/>
    <w:rsid w:val="00674B7C"/>
    <w:rsid w:val="00674BDF"/>
    <w:rsid w:val="00674E0D"/>
    <w:rsid w:val="00674F90"/>
    <w:rsid w:val="006750C0"/>
    <w:rsid w:val="006757CD"/>
    <w:rsid w:val="00675AEA"/>
    <w:rsid w:val="00675EB1"/>
    <w:rsid w:val="0067638B"/>
    <w:rsid w:val="0067648B"/>
    <w:rsid w:val="0067674F"/>
    <w:rsid w:val="00676905"/>
    <w:rsid w:val="006769EA"/>
    <w:rsid w:val="00676DBF"/>
    <w:rsid w:val="00677346"/>
    <w:rsid w:val="00677651"/>
    <w:rsid w:val="00677CDC"/>
    <w:rsid w:val="00677CF0"/>
    <w:rsid w:val="00677EBB"/>
    <w:rsid w:val="00677F92"/>
    <w:rsid w:val="0068095E"/>
    <w:rsid w:val="00681CBA"/>
    <w:rsid w:val="00681D34"/>
    <w:rsid w:val="006820CC"/>
    <w:rsid w:val="006820F8"/>
    <w:rsid w:val="0068257E"/>
    <w:rsid w:val="00682719"/>
    <w:rsid w:val="00682892"/>
    <w:rsid w:val="00682B09"/>
    <w:rsid w:val="0068304F"/>
    <w:rsid w:val="00683408"/>
    <w:rsid w:val="00683453"/>
    <w:rsid w:val="006839E0"/>
    <w:rsid w:val="00683C68"/>
    <w:rsid w:val="00683CA1"/>
    <w:rsid w:val="00683E69"/>
    <w:rsid w:val="00684195"/>
    <w:rsid w:val="0068467B"/>
    <w:rsid w:val="00684C77"/>
    <w:rsid w:val="00684DE1"/>
    <w:rsid w:val="006854DA"/>
    <w:rsid w:val="00685786"/>
    <w:rsid w:val="00685B33"/>
    <w:rsid w:val="006864D8"/>
    <w:rsid w:val="00686911"/>
    <w:rsid w:val="006869D6"/>
    <w:rsid w:val="00686D3A"/>
    <w:rsid w:val="00686DC3"/>
    <w:rsid w:val="00687404"/>
    <w:rsid w:val="0068788A"/>
    <w:rsid w:val="00687A5C"/>
    <w:rsid w:val="00687F62"/>
    <w:rsid w:val="00687F93"/>
    <w:rsid w:val="0069013E"/>
    <w:rsid w:val="006901AB"/>
    <w:rsid w:val="0069027E"/>
    <w:rsid w:val="00690321"/>
    <w:rsid w:val="00690338"/>
    <w:rsid w:val="0069045D"/>
    <w:rsid w:val="0069073B"/>
    <w:rsid w:val="00690941"/>
    <w:rsid w:val="00691421"/>
    <w:rsid w:val="00692022"/>
    <w:rsid w:val="00693365"/>
    <w:rsid w:val="006934D4"/>
    <w:rsid w:val="0069368E"/>
    <w:rsid w:val="00693E0B"/>
    <w:rsid w:val="00693E1D"/>
    <w:rsid w:val="00693F81"/>
    <w:rsid w:val="006941D0"/>
    <w:rsid w:val="006943F8"/>
    <w:rsid w:val="00695518"/>
    <w:rsid w:val="0069568D"/>
    <w:rsid w:val="006959E1"/>
    <w:rsid w:val="00696708"/>
    <w:rsid w:val="00696B3A"/>
    <w:rsid w:val="00696D5A"/>
    <w:rsid w:val="0069714F"/>
    <w:rsid w:val="0069732E"/>
    <w:rsid w:val="00697D49"/>
    <w:rsid w:val="006A0308"/>
    <w:rsid w:val="006A0FFA"/>
    <w:rsid w:val="006A1235"/>
    <w:rsid w:val="006A1287"/>
    <w:rsid w:val="006A1351"/>
    <w:rsid w:val="006A1495"/>
    <w:rsid w:val="006A15EB"/>
    <w:rsid w:val="006A167A"/>
    <w:rsid w:val="006A181B"/>
    <w:rsid w:val="006A1897"/>
    <w:rsid w:val="006A1900"/>
    <w:rsid w:val="006A1A76"/>
    <w:rsid w:val="006A1CD1"/>
    <w:rsid w:val="006A1FD3"/>
    <w:rsid w:val="006A284A"/>
    <w:rsid w:val="006A31C2"/>
    <w:rsid w:val="006A34D0"/>
    <w:rsid w:val="006A4B20"/>
    <w:rsid w:val="006A4BE0"/>
    <w:rsid w:val="006A4C39"/>
    <w:rsid w:val="006A4CE7"/>
    <w:rsid w:val="006A508E"/>
    <w:rsid w:val="006A5290"/>
    <w:rsid w:val="006A531B"/>
    <w:rsid w:val="006A56C7"/>
    <w:rsid w:val="006A5854"/>
    <w:rsid w:val="006A5B71"/>
    <w:rsid w:val="006A5CB1"/>
    <w:rsid w:val="006A5E5F"/>
    <w:rsid w:val="006A6C6D"/>
    <w:rsid w:val="006A6E66"/>
    <w:rsid w:val="006A6E6A"/>
    <w:rsid w:val="006A6F05"/>
    <w:rsid w:val="006A7275"/>
    <w:rsid w:val="006A7308"/>
    <w:rsid w:val="006A7A4E"/>
    <w:rsid w:val="006A7D03"/>
    <w:rsid w:val="006B0529"/>
    <w:rsid w:val="006B0730"/>
    <w:rsid w:val="006B08B2"/>
    <w:rsid w:val="006B093A"/>
    <w:rsid w:val="006B0B8F"/>
    <w:rsid w:val="006B0C4F"/>
    <w:rsid w:val="006B0D92"/>
    <w:rsid w:val="006B148B"/>
    <w:rsid w:val="006B174D"/>
    <w:rsid w:val="006B1A4C"/>
    <w:rsid w:val="006B1E8A"/>
    <w:rsid w:val="006B1F89"/>
    <w:rsid w:val="006B21BD"/>
    <w:rsid w:val="006B236B"/>
    <w:rsid w:val="006B2E20"/>
    <w:rsid w:val="006B32F0"/>
    <w:rsid w:val="006B3680"/>
    <w:rsid w:val="006B36A4"/>
    <w:rsid w:val="006B39B9"/>
    <w:rsid w:val="006B3C1C"/>
    <w:rsid w:val="006B3D87"/>
    <w:rsid w:val="006B403F"/>
    <w:rsid w:val="006B40F3"/>
    <w:rsid w:val="006B4AF7"/>
    <w:rsid w:val="006B4B89"/>
    <w:rsid w:val="006B4E76"/>
    <w:rsid w:val="006B501E"/>
    <w:rsid w:val="006B5091"/>
    <w:rsid w:val="006B5279"/>
    <w:rsid w:val="006B530F"/>
    <w:rsid w:val="006B5672"/>
    <w:rsid w:val="006B57B2"/>
    <w:rsid w:val="006B5975"/>
    <w:rsid w:val="006B5AFA"/>
    <w:rsid w:val="006B5EFA"/>
    <w:rsid w:val="006B6108"/>
    <w:rsid w:val="006B61B8"/>
    <w:rsid w:val="006B645F"/>
    <w:rsid w:val="006B6D53"/>
    <w:rsid w:val="006B6E92"/>
    <w:rsid w:val="006B6F05"/>
    <w:rsid w:val="006B7626"/>
    <w:rsid w:val="006B765F"/>
    <w:rsid w:val="006B786B"/>
    <w:rsid w:val="006B7DCC"/>
    <w:rsid w:val="006B7E78"/>
    <w:rsid w:val="006C08AF"/>
    <w:rsid w:val="006C0C72"/>
    <w:rsid w:val="006C1267"/>
    <w:rsid w:val="006C1DA9"/>
    <w:rsid w:val="006C20F9"/>
    <w:rsid w:val="006C22D8"/>
    <w:rsid w:val="006C24C9"/>
    <w:rsid w:val="006C2641"/>
    <w:rsid w:val="006C272F"/>
    <w:rsid w:val="006C29B4"/>
    <w:rsid w:val="006C29D7"/>
    <w:rsid w:val="006C30ED"/>
    <w:rsid w:val="006C338B"/>
    <w:rsid w:val="006C3A29"/>
    <w:rsid w:val="006C3B87"/>
    <w:rsid w:val="006C4034"/>
    <w:rsid w:val="006C4748"/>
    <w:rsid w:val="006C4896"/>
    <w:rsid w:val="006C4C7E"/>
    <w:rsid w:val="006C4E7A"/>
    <w:rsid w:val="006C4EE4"/>
    <w:rsid w:val="006C4F09"/>
    <w:rsid w:val="006C5003"/>
    <w:rsid w:val="006C58A7"/>
    <w:rsid w:val="006C5BE3"/>
    <w:rsid w:val="006C5DBA"/>
    <w:rsid w:val="006C600C"/>
    <w:rsid w:val="006C6229"/>
    <w:rsid w:val="006C6691"/>
    <w:rsid w:val="006C6997"/>
    <w:rsid w:val="006C6B68"/>
    <w:rsid w:val="006C7A5E"/>
    <w:rsid w:val="006C7AEC"/>
    <w:rsid w:val="006C7D7C"/>
    <w:rsid w:val="006C7DA8"/>
    <w:rsid w:val="006CA05A"/>
    <w:rsid w:val="006D02FF"/>
    <w:rsid w:val="006D074E"/>
    <w:rsid w:val="006D0BE8"/>
    <w:rsid w:val="006D0FFF"/>
    <w:rsid w:val="006D1085"/>
    <w:rsid w:val="006D1404"/>
    <w:rsid w:val="006D1954"/>
    <w:rsid w:val="006D1CA6"/>
    <w:rsid w:val="006D1D1F"/>
    <w:rsid w:val="006D1E70"/>
    <w:rsid w:val="006D2528"/>
    <w:rsid w:val="006D26E1"/>
    <w:rsid w:val="006D2B16"/>
    <w:rsid w:val="006D2E01"/>
    <w:rsid w:val="006D2ED7"/>
    <w:rsid w:val="006D3538"/>
    <w:rsid w:val="006D3ADB"/>
    <w:rsid w:val="006D3C52"/>
    <w:rsid w:val="006D407A"/>
    <w:rsid w:val="006D4AA5"/>
    <w:rsid w:val="006D5146"/>
    <w:rsid w:val="006D5721"/>
    <w:rsid w:val="006D5799"/>
    <w:rsid w:val="006D5DDB"/>
    <w:rsid w:val="006D6646"/>
    <w:rsid w:val="006D6718"/>
    <w:rsid w:val="006D6758"/>
    <w:rsid w:val="006D6874"/>
    <w:rsid w:val="006D6A1D"/>
    <w:rsid w:val="006D6F03"/>
    <w:rsid w:val="006D76D6"/>
    <w:rsid w:val="006D7A58"/>
    <w:rsid w:val="006D7D1A"/>
    <w:rsid w:val="006E00C4"/>
    <w:rsid w:val="006E032B"/>
    <w:rsid w:val="006E038E"/>
    <w:rsid w:val="006E075B"/>
    <w:rsid w:val="006E08AB"/>
    <w:rsid w:val="006E08BD"/>
    <w:rsid w:val="006E0D1E"/>
    <w:rsid w:val="006E0DB9"/>
    <w:rsid w:val="006E0DCF"/>
    <w:rsid w:val="006E0DFD"/>
    <w:rsid w:val="006E0E16"/>
    <w:rsid w:val="006E1245"/>
    <w:rsid w:val="006E15DD"/>
    <w:rsid w:val="006E16E2"/>
    <w:rsid w:val="006E19E1"/>
    <w:rsid w:val="006E1B12"/>
    <w:rsid w:val="006E1CA7"/>
    <w:rsid w:val="006E2288"/>
    <w:rsid w:val="006E2656"/>
    <w:rsid w:val="006E2695"/>
    <w:rsid w:val="006E2725"/>
    <w:rsid w:val="006E282F"/>
    <w:rsid w:val="006E2A97"/>
    <w:rsid w:val="006E338B"/>
    <w:rsid w:val="006E3710"/>
    <w:rsid w:val="006E3A8B"/>
    <w:rsid w:val="006E3C7F"/>
    <w:rsid w:val="006E4287"/>
    <w:rsid w:val="006E452E"/>
    <w:rsid w:val="006E480C"/>
    <w:rsid w:val="006E510B"/>
    <w:rsid w:val="006E510F"/>
    <w:rsid w:val="006E57F1"/>
    <w:rsid w:val="006E5CC8"/>
    <w:rsid w:val="006E5D72"/>
    <w:rsid w:val="006E6079"/>
    <w:rsid w:val="006E63F6"/>
    <w:rsid w:val="006E6660"/>
    <w:rsid w:val="006E6788"/>
    <w:rsid w:val="006E6BE6"/>
    <w:rsid w:val="006E6D7D"/>
    <w:rsid w:val="006E6FB7"/>
    <w:rsid w:val="006E6FD7"/>
    <w:rsid w:val="006E74FD"/>
    <w:rsid w:val="006E7C45"/>
    <w:rsid w:val="006E7DD3"/>
    <w:rsid w:val="006E7FDD"/>
    <w:rsid w:val="006E9EE9"/>
    <w:rsid w:val="006F0271"/>
    <w:rsid w:val="006F14A8"/>
    <w:rsid w:val="006F15C9"/>
    <w:rsid w:val="006F1A21"/>
    <w:rsid w:val="006F1E79"/>
    <w:rsid w:val="006F20B5"/>
    <w:rsid w:val="006F253A"/>
    <w:rsid w:val="006F2932"/>
    <w:rsid w:val="006F2A5F"/>
    <w:rsid w:val="006F2BBC"/>
    <w:rsid w:val="006F2EE0"/>
    <w:rsid w:val="006F3484"/>
    <w:rsid w:val="006F39FD"/>
    <w:rsid w:val="006F3D13"/>
    <w:rsid w:val="006F43EC"/>
    <w:rsid w:val="006F4421"/>
    <w:rsid w:val="006F4898"/>
    <w:rsid w:val="006F491D"/>
    <w:rsid w:val="006F5302"/>
    <w:rsid w:val="006F5553"/>
    <w:rsid w:val="006F5658"/>
    <w:rsid w:val="006F5CBE"/>
    <w:rsid w:val="006F5DB1"/>
    <w:rsid w:val="006F6211"/>
    <w:rsid w:val="006F629F"/>
    <w:rsid w:val="006F6E76"/>
    <w:rsid w:val="006F6FEB"/>
    <w:rsid w:val="006F72A3"/>
    <w:rsid w:val="006F79BE"/>
    <w:rsid w:val="006F7A2A"/>
    <w:rsid w:val="00700283"/>
    <w:rsid w:val="00700461"/>
    <w:rsid w:val="007004B4"/>
    <w:rsid w:val="007005A0"/>
    <w:rsid w:val="0070084F"/>
    <w:rsid w:val="007009D0"/>
    <w:rsid w:val="0070114B"/>
    <w:rsid w:val="00701602"/>
    <w:rsid w:val="00701746"/>
    <w:rsid w:val="00701930"/>
    <w:rsid w:val="00701BCE"/>
    <w:rsid w:val="00702277"/>
    <w:rsid w:val="0070249B"/>
    <w:rsid w:val="0070272F"/>
    <w:rsid w:val="00702CBF"/>
    <w:rsid w:val="00702D90"/>
    <w:rsid w:val="00703714"/>
    <w:rsid w:val="007039BF"/>
    <w:rsid w:val="007049DB"/>
    <w:rsid w:val="007049FE"/>
    <w:rsid w:val="007053F4"/>
    <w:rsid w:val="0070576F"/>
    <w:rsid w:val="0070596F"/>
    <w:rsid w:val="00705C91"/>
    <w:rsid w:val="00705DD5"/>
    <w:rsid w:val="007060B4"/>
    <w:rsid w:val="00706221"/>
    <w:rsid w:val="007062BA"/>
    <w:rsid w:val="007062FB"/>
    <w:rsid w:val="00706641"/>
    <w:rsid w:val="007066CA"/>
    <w:rsid w:val="0070682B"/>
    <w:rsid w:val="00706870"/>
    <w:rsid w:val="007068CB"/>
    <w:rsid w:val="00706A6E"/>
    <w:rsid w:val="00706C2F"/>
    <w:rsid w:val="00706F4A"/>
    <w:rsid w:val="007071B9"/>
    <w:rsid w:val="0070751C"/>
    <w:rsid w:val="0070789C"/>
    <w:rsid w:val="00707A57"/>
    <w:rsid w:val="00707D11"/>
    <w:rsid w:val="007104F1"/>
    <w:rsid w:val="0071053F"/>
    <w:rsid w:val="007108D4"/>
    <w:rsid w:val="00710EAE"/>
    <w:rsid w:val="007111DB"/>
    <w:rsid w:val="00711854"/>
    <w:rsid w:val="007119B3"/>
    <w:rsid w:val="00711DCC"/>
    <w:rsid w:val="00712816"/>
    <w:rsid w:val="00712BE2"/>
    <w:rsid w:val="00712BE5"/>
    <w:rsid w:val="00713072"/>
    <w:rsid w:val="0071342F"/>
    <w:rsid w:val="007137A7"/>
    <w:rsid w:val="007137EE"/>
    <w:rsid w:val="00713E05"/>
    <w:rsid w:val="0071426A"/>
    <w:rsid w:val="0071447B"/>
    <w:rsid w:val="007146F5"/>
    <w:rsid w:val="00714FDE"/>
    <w:rsid w:val="00715110"/>
    <w:rsid w:val="007157E1"/>
    <w:rsid w:val="00715E05"/>
    <w:rsid w:val="0071638E"/>
    <w:rsid w:val="0071655E"/>
    <w:rsid w:val="00716920"/>
    <w:rsid w:val="00716B8B"/>
    <w:rsid w:val="00716FE4"/>
    <w:rsid w:val="00717454"/>
    <w:rsid w:val="007178E8"/>
    <w:rsid w:val="00717D5C"/>
    <w:rsid w:val="0072095E"/>
    <w:rsid w:val="007211E2"/>
    <w:rsid w:val="007218E5"/>
    <w:rsid w:val="00721C6F"/>
    <w:rsid w:val="00721DFB"/>
    <w:rsid w:val="00721F97"/>
    <w:rsid w:val="00722166"/>
    <w:rsid w:val="007221F7"/>
    <w:rsid w:val="00722410"/>
    <w:rsid w:val="00722861"/>
    <w:rsid w:val="007229E6"/>
    <w:rsid w:val="00722E06"/>
    <w:rsid w:val="0072303C"/>
    <w:rsid w:val="00723065"/>
    <w:rsid w:val="007235C4"/>
    <w:rsid w:val="00723655"/>
    <w:rsid w:val="0072432A"/>
    <w:rsid w:val="0072483D"/>
    <w:rsid w:val="007248DA"/>
    <w:rsid w:val="0072496B"/>
    <w:rsid w:val="00724C7E"/>
    <w:rsid w:val="00724CDC"/>
    <w:rsid w:val="00724D34"/>
    <w:rsid w:val="00724E4F"/>
    <w:rsid w:val="00725113"/>
    <w:rsid w:val="0072560E"/>
    <w:rsid w:val="007257B4"/>
    <w:rsid w:val="00725AD1"/>
    <w:rsid w:val="00725CE0"/>
    <w:rsid w:val="00725DD0"/>
    <w:rsid w:val="00725DF2"/>
    <w:rsid w:val="00725FDB"/>
    <w:rsid w:val="007260D8"/>
    <w:rsid w:val="007260DE"/>
    <w:rsid w:val="00726292"/>
    <w:rsid w:val="007265E7"/>
    <w:rsid w:val="00726635"/>
    <w:rsid w:val="007268B1"/>
    <w:rsid w:val="007269AA"/>
    <w:rsid w:val="00726D56"/>
    <w:rsid w:val="00726F42"/>
    <w:rsid w:val="00727047"/>
    <w:rsid w:val="007271D3"/>
    <w:rsid w:val="00727219"/>
    <w:rsid w:val="007273A9"/>
    <w:rsid w:val="007273CC"/>
    <w:rsid w:val="00727632"/>
    <w:rsid w:val="00727987"/>
    <w:rsid w:val="00727CBF"/>
    <w:rsid w:val="00727EE8"/>
    <w:rsid w:val="0073001C"/>
    <w:rsid w:val="0073054D"/>
    <w:rsid w:val="00731435"/>
    <w:rsid w:val="00731477"/>
    <w:rsid w:val="00731C3E"/>
    <w:rsid w:val="0073246A"/>
    <w:rsid w:val="007327BB"/>
    <w:rsid w:val="00732CB6"/>
    <w:rsid w:val="00733A2B"/>
    <w:rsid w:val="00733D14"/>
    <w:rsid w:val="00733DB3"/>
    <w:rsid w:val="0073405A"/>
    <w:rsid w:val="00734615"/>
    <w:rsid w:val="0073464B"/>
    <w:rsid w:val="00734B6B"/>
    <w:rsid w:val="00734BB2"/>
    <w:rsid w:val="00734F01"/>
    <w:rsid w:val="00735125"/>
    <w:rsid w:val="007353CE"/>
    <w:rsid w:val="00735580"/>
    <w:rsid w:val="007355D8"/>
    <w:rsid w:val="00735619"/>
    <w:rsid w:val="0073586E"/>
    <w:rsid w:val="007359FB"/>
    <w:rsid w:val="00735E9C"/>
    <w:rsid w:val="00735EAA"/>
    <w:rsid w:val="00735F57"/>
    <w:rsid w:val="0073610A"/>
    <w:rsid w:val="00736300"/>
    <w:rsid w:val="00736338"/>
    <w:rsid w:val="00736407"/>
    <w:rsid w:val="00736AFA"/>
    <w:rsid w:val="00736CD4"/>
    <w:rsid w:val="00737265"/>
    <w:rsid w:val="00737658"/>
    <w:rsid w:val="007376F0"/>
    <w:rsid w:val="007377D1"/>
    <w:rsid w:val="0073780D"/>
    <w:rsid w:val="00737D8B"/>
    <w:rsid w:val="00737F81"/>
    <w:rsid w:val="00737FE9"/>
    <w:rsid w:val="00740118"/>
    <w:rsid w:val="00740485"/>
    <w:rsid w:val="0074074A"/>
    <w:rsid w:val="00740775"/>
    <w:rsid w:val="00740987"/>
    <w:rsid w:val="00741359"/>
    <w:rsid w:val="0074177D"/>
    <w:rsid w:val="00741DBB"/>
    <w:rsid w:val="00742181"/>
    <w:rsid w:val="00742373"/>
    <w:rsid w:val="00742419"/>
    <w:rsid w:val="00742606"/>
    <w:rsid w:val="00742A28"/>
    <w:rsid w:val="00742A3D"/>
    <w:rsid w:val="00742B33"/>
    <w:rsid w:val="00742CC0"/>
    <w:rsid w:val="00742FF1"/>
    <w:rsid w:val="00743722"/>
    <w:rsid w:val="00743EBF"/>
    <w:rsid w:val="0074444C"/>
    <w:rsid w:val="007446BF"/>
    <w:rsid w:val="00744998"/>
    <w:rsid w:val="00744D92"/>
    <w:rsid w:val="00744EC0"/>
    <w:rsid w:val="00745526"/>
    <w:rsid w:val="00745A7D"/>
    <w:rsid w:val="00745ADD"/>
    <w:rsid w:val="00745CE9"/>
    <w:rsid w:val="00745D6B"/>
    <w:rsid w:val="00745DD3"/>
    <w:rsid w:val="00745E7C"/>
    <w:rsid w:val="00745FF4"/>
    <w:rsid w:val="00746093"/>
    <w:rsid w:val="00746AE5"/>
    <w:rsid w:val="00746C35"/>
    <w:rsid w:val="00746EB5"/>
    <w:rsid w:val="0074707C"/>
    <w:rsid w:val="00747351"/>
    <w:rsid w:val="007473D8"/>
    <w:rsid w:val="007475BA"/>
    <w:rsid w:val="00747AF4"/>
    <w:rsid w:val="00750A54"/>
    <w:rsid w:val="00750C92"/>
    <w:rsid w:val="00750CD5"/>
    <w:rsid w:val="00750DF6"/>
    <w:rsid w:val="00750F76"/>
    <w:rsid w:val="00750FD7"/>
    <w:rsid w:val="007510B8"/>
    <w:rsid w:val="007511E1"/>
    <w:rsid w:val="007512DD"/>
    <w:rsid w:val="00751647"/>
    <w:rsid w:val="00751741"/>
    <w:rsid w:val="00751AEC"/>
    <w:rsid w:val="00752326"/>
    <w:rsid w:val="0075245A"/>
    <w:rsid w:val="00752A0B"/>
    <w:rsid w:val="00752E9D"/>
    <w:rsid w:val="00753119"/>
    <w:rsid w:val="007531B4"/>
    <w:rsid w:val="0075333A"/>
    <w:rsid w:val="007538DE"/>
    <w:rsid w:val="00753D24"/>
    <w:rsid w:val="00753D6E"/>
    <w:rsid w:val="00753F68"/>
    <w:rsid w:val="00753FE7"/>
    <w:rsid w:val="0075405E"/>
    <w:rsid w:val="007541D0"/>
    <w:rsid w:val="00754374"/>
    <w:rsid w:val="0075483C"/>
    <w:rsid w:val="00754B9D"/>
    <w:rsid w:val="00754CA3"/>
    <w:rsid w:val="007552B5"/>
    <w:rsid w:val="007554A7"/>
    <w:rsid w:val="0075577D"/>
    <w:rsid w:val="007557FF"/>
    <w:rsid w:val="00755C7F"/>
    <w:rsid w:val="00755F64"/>
    <w:rsid w:val="00755FFA"/>
    <w:rsid w:val="00756161"/>
    <w:rsid w:val="00756186"/>
    <w:rsid w:val="007563B4"/>
    <w:rsid w:val="007566CE"/>
    <w:rsid w:val="00756743"/>
    <w:rsid w:val="00756BED"/>
    <w:rsid w:val="00757215"/>
    <w:rsid w:val="00757DEB"/>
    <w:rsid w:val="0076035C"/>
    <w:rsid w:val="0076070C"/>
    <w:rsid w:val="00760E18"/>
    <w:rsid w:val="00760FEF"/>
    <w:rsid w:val="0076111C"/>
    <w:rsid w:val="007613B9"/>
    <w:rsid w:val="007615B3"/>
    <w:rsid w:val="00761F8E"/>
    <w:rsid w:val="0076239C"/>
    <w:rsid w:val="00762881"/>
    <w:rsid w:val="00762D89"/>
    <w:rsid w:val="007633D6"/>
    <w:rsid w:val="00763508"/>
    <w:rsid w:val="00763561"/>
    <w:rsid w:val="007641E7"/>
    <w:rsid w:val="00764227"/>
    <w:rsid w:val="00764330"/>
    <w:rsid w:val="007648D8"/>
    <w:rsid w:val="00764D4D"/>
    <w:rsid w:val="00764E6C"/>
    <w:rsid w:val="0076581D"/>
    <w:rsid w:val="007658DB"/>
    <w:rsid w:val="00765B4C"/>
    <w:rsid w:val="00765E49"/>
    <w:rsid w:val="00765F4F"/>
    <w:rsid w:val="0076665E"/>
    <w:rsid w:val="007666C1"/>
    <w:rsid w:val="0076681F"/>
    <w:rsid w:val="0076687D"/>
    <w:rsid w:val="007668D6"/>
    <w:rsid w:val="0076690C"/>
    <w:rsid w:val="00766928"/>
    <w:rsid w:val="00766D77"/>
    <w:rsid w:val="00766EA3"/>
    <w:rsid w:val="00766F8D"/>
    <w:rsid w:val="00767145"/>
    <w:rsid w:val="007671C9"/>
    <w:rsid w:val="007674D5"/>
    <w:rsid w:val="0076758C"/>
    <w:rsid w:val="00770072"/>
    <w:rsid w:val="007700DF"/>
    <w:rsid w:val="0077012A"/>
    <w:rsid w:val="00770F8C"/>
    <w:rsid w:val="007710F6"/>
    <w:rsid w:val="007711BF"/>
    <w:rsid w:val="00771287"/>
    <w:rsid w:val="00771297"/>
    <w:rsid w:val="00771730"/>
    <w:rsid w:val="00771DC7"/>
    <w:rsid w:val="00771F68"/>
    <w:rsid w:val="007721EB"/>
    <w:rsid w:val="00772342"/>
    <w:rsid w:val="00772575"/>
    <w:rsid w:val="00772C7A"/>
    <w:rsid w:val="00773289"/>
    <w:rsid w:val="00773CD5"/>
    <w:rsid w:val="00773F37"/>
    <w:rsid w:val="007743BB"/>
    <w:rsid w:val="00774EDC"/>
    <w:rsid w:val="00774F99"/>
    <w:rsid w:val="00775116"/>
    <w:rsid w:val="00775657"/>
    <w:rsid w:val="007757DE"/>
    <w:rsid w:val="007757F2"/>
    <w:rsid w:val="00775A4E"/>
    <w:rsid w:val="00775ADB"/>
    <w:rsid w:val="00775C3E"/>
    <w:rsid w:val="00775E25"/>
    <w:rsid w:val="007767B4"/>
    <w:rsid w:val="00776823"/>
    <w:rsid w:val="007769FA"/>
    <w:rsid w:val="00776D63"/>
    <w:rsid w:val="00776FAA"/>
    <w:rsid w:val="0077717B"/>
    <w:rsid w:val="007771EB"/>
    <w:rsid w:val="00777571"/>
    <w:rsid w:val="00777BA6"/>
    <w:rsid w:val="00777EA4"/>
    <w:rsid w:val="0078026E"/>
    <w:rsid w:val="00780392"/>
    <w:rsid w:val="007803F7"/>
    <w:rsid w:val="0078057D"/>
    <w:rsid w:val="007805D8"/>
    <w:rsid w:val="00780804"/>
    <w:rsid w:val="00780B5B"/>
    <w:rsid w:val="00781026"/>
    <w:rsid w:val="00781556"/>
    <w:rsid w:val="007816BB"/>
    <w:rsid w:val="00781826"/>
    <w:rsid w:val="00781F55"/>
    <w:rsid w:val="007824D3"/>
    <w:rsid w:val="00782692"/>
    <w:rsid w:val="00782747"/>
    <w:rsid w:val="007827BE"/>
    <w:rsid w:val="00782993"/>
    <w:rsid w:val="0078313C"/>
    <w:rsid w:val="00783363"/>
    <w:rsid w:val="007837A1"/>
    <w:rsid w:val="007841D3"/>
    <w:rsid w:val="0078424E"/>
    <w:rsid w:val="007842A1"/>
    <w:rsid w:val="00784722"/>
    <w:rsid w:val="007847C5"/>
    <w:rsid w:val="00784FE0"/>
    <w:rsid w:val="00785715"/>
    <w:rsid w:val="00785862"/>
    <w:rsid w:val="00785896"/>
    <w:rsid w:val="00785B18"/>
    <w:rsid w:val="00785DD5"/>
    <w:rsid w:val="00786323"/>
    <w:rsid w:val="00786638"/>
    <w:rsid w:val="00786D3D"/>
    <w:rsid w:val="00786FAB"/>
    <w:rsid w:val="0078727D"/>
    <w:rsid w:val="007872D7"/>
    <w:rsid w:val="0078733B"/>
    <w:rsid w:val="00787773"/>
    <w:rsid w:val="00787866"/>
    <w:rsid w:val="00790022"/>
    <w:rsid w:val="00790836"/>
    <w:rsid w:val="00790CB1"/>
    <w:rsid w:val="00791163"/>
    <w:rsid w:val="0079149D"/>
    <w:rsid w:val="00791531"/>
    <w:rsid w:val="007919AE"/>
    <w:rsid w:val="007922B5"/>
    <w:rsid w:val="007922C5"/>
    <w:rsid w:val="007923EC"/>
    <w:rsid w:val="00792483"/>
    <w:rsid w:val="00792558"/>
    <w:rsid w:val="007926E6"/>
    <w:rsid w:val="0079289F"/>
    <w:rsid w:val="007929CD"/>
    <w:rsid w:val="00792ACE"/>
    <w:rsid w:val="00792D7F"/>
    <w:rsid w:val="00793374"/>
    <w:rsid w:val="007938B4"/>
    <w:rsid w:val="00793949"/>
    <w:rsid w:val="00794375"/>
    <w:rsid w:val="00794677"/>
    <w:rsid w:val="00794E86"/>
    <w:rsid w:val="00794F5F"/>
    <w:rsid w:val="00795201"/>
    <w:rsid w:val="00795990"/>
    <w:rsid w:val="007959A2"/>
    <w:rsid w:val="007959D4"/>
    <w:rsid w:val="007959DC"/>
    <w:rsid w:val="00795B61"/>
    <w:rsid w:val="00795FA8"/>
    <w:rsid w:val="00796293"/>
    <w:rsid w:val="00796354"/>
    <w:rsid w:val="007971BC"/>
    <w:rsid w:val="00797379"/>
    <w:rsid w:val="007974F5"/>
    <w:rsid w:val="007A01CD"/>
    <w:rsid w:val="007A0566"/>
    <w:rsid w:val="007A0CF5"/>
    <w:rsid w:val="007A1520"/>
    <w:rsid w:val="007A1DB0"/>
    <w:rsid w:val="007A1EE5"/>
    <w:rsid w:val="007A216A"/>
    <w:rsid w:val="007A22F5"/>
    <w:rsid w:val="007A2702"/>
    <w:rsid w:val="007A33AA"/>
    <w:rsid w:val="007A3515"/>
    <w:rsid w:val="007A36FD"/>
    <w:rsid w:val="007A3F6B"/>
    <w:rsid w:val="007A41A0"/>
    <w:rsid w:val="007A4306"/>
    <w:rsid w:val="007A4570"/>
    <w:rsid w:val="007A45CD"/>
    <w:rsid w:val="007A470E"/>
    <w:rsid w:val="007A474A"/>
    <w:rsid w:val="007A4A21"/>
    <w:rsid w:val="007A4B1C"/>
    <w:rsid w:val="007A5526"/>
    <w:rsid w:val="007A595D"/>
    <w:rsid w:val="007A5966"/>
    <w:rsid w:val="007A5CD8"/>
    <w:rsid w:val="007A625C"/>
    <w:rsid w:val="007A6C97"/>
    <w:rsid w:val="007A7209"/>
    <w:rsid w:val="007A7C05"/>
    <w:rsid w:val="007B01BD"/>
    <w:rsid w:val="007B06B2"/>
    <w:rsid w:val="007B0DD3"/>
    <w:rsid w:val="007B0F57"/>
    <w:rsid w:val="007B119C"/>
    <w:rsid w:val="007B162B"/>
    <w:rsid w:val="007B19DF"/>
    <w:rsid w:val="007B1A17"/>
    <w:rsid w:val="007B1F8E"/>
    <w:rsid w:val="007B23AB"/>
    <w:rsid w:val="007B278A"/>
    <w:rsid w:val="007B2ACC"/>
    <w:rsid w:val="007B2C77"/>
    <w:rsid w:val="007B2C8B"/>
    <w:rsid w:val="007B2DE5"/>
    <w:rsid w:val="007B2E90"/>
    <w:rsid w:val="007B2FBB"/>
    <w:rsid w:val="007B37B3"/>
    <w:rsid w:val="007B398C"/>
    <w:rsid w:val="007B410A"/>
    <w:rsid w:val="007B4990"/>
    <w:rsid w:val="007B4B8F"/>
    <w:rsid w:val="007B51C4"/>
    <w:rsid w:val="007B52DB"/>
    <w:rsid w:val="007B547B"/>
    <w:rsid w:val="007B573B"/>
    <w:rsid w:val="007B5793"/>
    <w:rsid w:val="007B5822"/>
    <w:rsid w:val="007B58DF"/>
    <w:rsid w:val="007B5AFB"/>
    <w:rsid w:val="007B67BF"/>
    <w:rsid w:val="007B6EFB"/>
    <w:rsid w:val="007B739A"/>
    <w:rsid w:val="007B7586"/>
    <w:rsid w:val="007B75BF"/>
    <w:rsid w:val="007B79F8"/>
    <w:rsid w:val="007B7A00"/>
    <w:rsid w:val="007C016D"/>
    <w:rsid w:val="007C0609"/>
    <w:rsid w:val="007C07E8"/>
    <w:rsid w:val="007C124A"/>
    <w:rsid w:val="007C1771"/>
    <w:rsid w:val="007C19A4"/>
    <w:rsid w:val="007C1BC5"/>
    <w:rsid w:val="007C1F26"/>
    <w:rsid w:val="007C2090"/>
    <w:rsid w:val="007C2209"/>
    <w:rsid w:val="007C2B4C"/>
    <w:rsid w:val="007C2DEF"/>
    <w:rsid w:val="007C2E56"/>
    <w:rsid w:val="007C3173"/>
    <w:rsid w:val="007C3D55"/>
    <w:rsid w:val="007C3E41"/>
    <w:rsid w:val="007C3FCE"/>
    <w:rsid w:val="007C49E3"/>
    <w:rsid w:val="007C4C5B"/>
    <w:rsid w:val="007C5570"/>
    <w:rsid w:val="007C607B"/>
    <w:rsid w:val="007C7A55"/>
    <w:rsid w:val="007C7C51"/>
    <w:rsid w:val="007C7CEA"/>
    <w:rsid w:val="007C7CEE"/>
    <w:rsid w:val="007C7E8B"/>
    <w:rsid w:val="007C7F97"/>
    <w:rsid w:val="007D021A"/>
    <w:rsid w:val="007D0382"/>
    <w:rsid w:val="007D053F"/>
    <w:rsid w:val="007D08D3"/>
    <w:rsid w:val="007D0D04"/>
    <w:rsid w:val="007D0D70"/>
    <w:rsid w:val="007D0F02"/>
    <w:rsid w:val="007D0F4E"/>
    <w:rsid w:val="007D0F6E"/>
    <w:rsid w:val="007D120A"/>
    <w:rsid w:val="007D1256"/>
    <w:rsid w:val="007D196D"/>
    <w:rsid w:val="007D21DB"/>
    <w:rsid w:val="007D2378"/>
    <w:rsid w:val="007D24AD"/>
    <w:rsid w:val="007D262D"/>
    <w:rsid w:val="007D2C68"/>
    <w:rsid w:val="007D3012"/>
    <w:rsid w:val="007D356B"/>
    <w:rsid w:val="007D3705"/>
    <w:rsid w:val="007D3844"/>
    <w:rsid w:val="007D469D"/>
    <w:rsid w:val="007D4720"/>
    <w:rsid w:val="007D475E"/>
    <w:rsid w:val="007D4AF7"/>
    <w:rsid w:val="007D4B03"/>
    <w:rsid w:val="007D4B95"/>
    <w:rsid w:val="007D514F"/>
    <w:rsid w:val="007D52D0"/>
    <w:rsid w:val="007D533D"/>
    <w:rsid w:val="007D59D3"/>
    <w:rsid w:val="007D5A61"/>
    <w:rsid w:val="007D5F7C"/>
    <w:rsid w:val="007D6100"/>
    <w:rsid w:val="007D63F8"/>
    <w:rsid w:val="007D6D7E"/>
    <w:rsid w:val="007D6E46"/>
    <w:rsid w:val="007D76EF"/>
    <w:rsid w:val="007D793B"/>
    <w:rsid w:val="007D7963"/>
    <w:rsid w:val="007D7E92"/>
    <w:rsid w:val="007D7FD4"/>
    <w:rsid w:val="007E032B"/>
    <w:rsid w:val="007E0391"/>
    <w:rsid w:val="007E03D0"/>
    <w:rsid w:val="007E0634"/>
    <w:rsid w:val="007E091A"/>
    <w:rsid w:val="007E0A11"/>
    <w:rsid w:val="007E0E03"/>
    <w:rsid w:val="007E12D9"/>
    <w:rsid w:val="007E13C6"/>
    <w:rsid w:val="007E1B15"/>
    <w:rsid w:val="007E1D53"/>
    <w:rsid w:val="007E2256"/>
    <w:rsid w:val="007E2AF9"/>
    <w:rsid w:val="007E2C66"/>
    <w:rsid w:val="007E2E4D"/>
    <w:rsid w:val="007E3427"/>
    <w:rsid w:val="007E35B7"/>
    <w:rsid w:val="007E37FB"/>
    <w:rsid w:val="007E3A37"/>
    <w:rsid w:val="007E3A99"/>
    <w:rsid w:val="007E3B5A"/>
    <w:rsid w:val="007E3D38"/>
    <w:rsid w:val="007E43A2"/>
    <w:rsid w:val="007E477D"/>
    <w:rsid w:val="007E47AE"/>
    <w:rsid w:val="007E4C9A"/>
    <w:rsid w:val="007E4D41"/>
    <w:rsid w:val="007E4F90"/>
    <w:rsid w:val="007E4FED"/>
    <w:rsid w:val="007E5071"/>
    <w:rsid w:val="007E5603"/>
    <w:rsid w:val="007E5645"/>
    <w:rsid w:val="007E5B4E"/>
    <w:rsid w:val="007E5CCD"/>
    <w:rsid w:val="007E5EFB"/>
    <w:rsid w:val="007E602B"/>
    <w:rsid w:val="007E64AB"/>
    <w:rsid w:val="007E66A9"/>
    <w:rsid w:val="007E6838"/>
    <w:rsid w:val="007E6C7F"/>
    <w:rsid w:val="007E7051"/>
    <w:rsid w:val="007E7C01"/>
    <w:rsid w:val="007F091F"/>
    <w:rsid w:val="007F0968"/>
    <w:rsid w:val="007F09AF"/>
    <w:rsid w:val="007F0B4C"/>
    <w:rsid w:val="007F1197"/>
    <w:rsid w:val="007F1330"/>
    <w:rsid w:val="007F1465"/>
    <w:rsid w:val="007F14DF"/>
    <w:rsid w:val="007F2089"/>
    <w:rsid w:val="007F26DF"/>
    <w:rsid w:val="007F2734"/>
    <w:rsid w:val="007F2AFB"/>
    <w:rsid w:val="007F2BA5"/>
    <w:rsid w:val="007F2E28"/>
    <w:rsid w:val="007F326C"/>
    <w:rsid w:val="007F348B"/>
    <w:rsid w:val="007F34DB"/>
    <w:rsid w:val="007F3572"/>
    <w:rsid w:val="007F3B04"/>
    <w:rsid w:val="007F3BCF"/>
    <w:rsid w:val="007F3DCF"/>
    <w:rsid w:val="007F4001"/>
    <w:rsid w:val="007F4032"/>
    <w:rsid w:val="007F408A"/>
    <w:rsid w:val="007F40A9"/>
    <w:rsid w:val="007F4364"/>
    <w:rsid w:val="007F44D1"/>
    <w:rsid w:val="007F48DC"/>
    <w:rsid w:val="007F4E8D"/>
    <w:rsid w:val="007F5115"/>
    <w:rsid w:val="007F53A9"/>
    <w:rsid w:val="007F5E6D"/>
    <w:rsid w:val="007F5EEE"/>
    <w:rsid w:val="007F601C"/>
    <w:rsid w:val="007F634C"/>
    <w:rsid w:val="007F639A"/>
    <w:rsid w:val="007F662D"/>
    <w:rsid w:val="007F683C"/>
    <w:rsid w:val="007F6940"/>
    <w:rsid w:val="007F6E5A"/>
    <w:rsid w:val="007F72BA"/>
    <w:rsid w:val="007F7326"/>
    <w:rsid w:val="007F7727"/>
    <w:rsid w:val="0080026D"/>
    <w:rsid w:val="00800A10"/>
    <w:rsid w:val="0080147B"/>
    <w:rsid w:val="00801550"/>
    <w:rsid w:val="0080188C"/>
    <w:rsid w:val="008018D4"/>
    <w:rsid w:val="0080197F"/>
    <w:rsid w:val="0080203D"/>
    <w:rsid w:val="0080227D"/>
    <w:rsid w:val="00802361"/>
    <w:rsid w:val="0080236C"/>
    <w:rsid w:val="00802A96"/>
    <w:rsid w:val="008030C5"/>
    <w:rsid w:val="00803285"/>
    <w:rsid w:val="008037D5"/>
    <w:rsid w:val="00803BED"/>
    <w:rsid w:val="00804EDF"/>
    <w:rsid w:val="008053AF"/>
    <w:rsid w:val="0080559B"/>
    <w:rsid w:val="008056E3"/>
    <w:rsid w:val="008059F9"/>
    <w:rsid w:val="00805BEC"/>
    <w:rsid w:val="00805CE4"/>
    <w:rsid w:val="008061B8"/>
    <w:rsid w:val="008062D0"/>
    <w:rsid w:val="008063B3"/>
    <w:rsid w:val="00806550"/>
    <w:rsid w:val="008067A2"/>
    <w:rsid w:val="00806BD5"/>
    <w:rsid w:val="00806D0C"/>
    <w:rsid w:val="00806FED"/>
    <w:rsid w:val="0080726B"/>
    <w:rsid w:val="0080752F"/>
    <w:rsid w:val="00807621"/>
    <w:rsid w:val="0080798B"/>
    <w:rsid w:val="00807D74"/>
    <w:rsid w:val="00807D79"/>
    <w:rsid w:val="0081117B"/>
    <w:rsid w:val="008116C0"/>
    <w:rsid w:val="008118CE"/>
    <w:rsid w:val="00811950"/>
    <w:rsid w:val="00811955"/>
    <w:rsid w:val="00811B06"/>
    <w:rsid w:val="00811C74"/>
    <w:rsid w:val="00811D30"/>
    <w:rsid w:val="00811D64"/>
    <w:rsid w:val="008120E1"/>
    <w:rsid w:val="0081218D"/>
    <w:rsid w:val="0081269D"/>
    <w:rsid w:val="0081303F"/>
    <w:rsid w:val="008131B4"/>
    <w:rsid w:val="008132C9"/>
    <w:rsid w:val="0081338D"/>
    <w:rsid w:val="008139A9"/>
    <w:rsid w:val="0081456D"/>
    <w:rsid w:val="008148F4"/>
    <w:rsid w:val="00814DB8"/>
    <w:rsid w:val="00814E02"/>
    <w:rsid w:val="00814E28"/>
    <w:rsid w:val="0081502E"/>
    <w:rsid w:val="00815153"/>
    <w:rsid w:val="008158BD"/>
    <w:rsid w:val="00816207"/>
    <w:rsid w:val="00816235"/>
    <w:rsid w:val="0081631D"/>
    <w:rsid w:val="00816363"/>
    <w:rsid w:val="00816982"/>
    <w:rsid w:val="00816C51"/>
    <w:rsid w:val="00817AE1"/>
    <w:rsid w:val="00817BA4"/>
    <w:rsid w:val="00817EF1"/>
    <w:rsid w:val="00820487"/>
    <w:rsid w:val="008204B5"/>
    <w:rsid w:val="008207D9"/>
    <w:rsid w:val="00820904"/>
    <w:rsid w:val="00820BAF"/>
    <w:rsid w:val="008210A5"/>
    <w:rsid w:val="0082199F"/>
    <w:rsid w:val="00821D59"/>
    <w:rsid w:val="00821F14"/>
    <w:rsid w:val="0082249D"/>
    <w:rsid w:val="00822692"/>
    <w:rsid w:val="00822AC0"/>
    <w:rsid w:val="00822D4F"/>
    <w:rsid w:val="0082304E"/>
    <w:rsid w:val="008230B5"/>
    <w:rsid w:val="0082322B"/>
    <w:rsid w:val="00823252"/>
    <w:rsid w:val="00823285"/>
    <w:rsid w:val="008235FB"/>
    <w:rsid w:val="00823867"/>
    <w:rsid w:val="00823BCA"/>
    <w:rsid w:val="00823F5B"/>
    <w:rsid w:val="00824199"/>
    <w:rsid w:val="0082432E"/>
    <w:rsid w:val="008243F1"/>
    <w:rsid w:val="00824420"/>
    <w:rsid w:val="00824F2A"/>
    <w:rsid w:val="00824F77"/>
    <w:rsid w:val="008253A8"/>
    <w:rsid w:val="008254D6"/>
    <w:rsid w:val="008257AD"/>
    <w:rsid w:val="008257EC"/>
    <w:rsid w:val="00825C03"/>
    <w:rsid w:val="00825F8F"/>
    <w:rsid w:val="008261F9"/>
    <w:rsid w:val="008262F2"/>
    <w:rsid w:val="008263F0"/>
    <w:rsid w:val="008265EF"/>
    <w:rsid w:val="008266C1"/>
    <w:rsid w:val="00826B64"/>
    <w:rsid w:val="00826E1E"/>
    <w:rsid w:val="0082729C"/>
    <w:rsid w:val="008275A5"/>
    <w:rsid w:val="008275E1"/>
    <w:rsid w:val="0082768F"/>
    <w:rsid w:val="00827745"/>
    <w:rsid w:val="00827BD8"/>
    <w:rsid w:val="00827C54"/>
    <w:rsid w:val="00827D26"/>
    <w:rsid w:val="00827D4B"/>
    <w:rsid w:val="00827E3C"/>
    <w:rsid w:val="00827E69"/>
    <w:rsid w:val="00831115"/>
    <w:rsid w:val="008314FD"/>
    <w:rsid w:val="008318F0"/>
    <w:rsid w:val="00831F01"/>
    <w:rsid w:val="00831FA8"/>
    <w:rsid w:val="008321D9"/>
    <w:rsid w:val="008322F0"/>
    <w:rsid w:val="008327F9"/>
    <w:rsid w:val="00832E94"/>
    <w:rsid w:val="0083358E"/>
    <w:rsid w:val="00833777"/>
    <w:rsid w:val="00833DFB"/>
    <w:rsid w:val="008352A3"/>
    <w:rsid w:val="0083554E"/>
    <w:rsid w:val="00835689"/>
    <w:rsid w:val="00835C38"/>
    <w:rsid w:val="008360A8"/>
    <w:rsid w:val="0083639F"/>
    <w:rsid w:val="00836680"/>
    <w:rsid w:val="00836842"/>
    <w:rsid w:val="00836903"/>
    <w:rsid w:val="00836A86"/>
    <w:rsid w:val="00836BCC"/>
    <w:rsid w:val="00837020"/>
    <w:rsid w:val="0083786C"/>
    <w:rsid w:val="008402B2"/>
    <w:rsid w:val="0084039E"/>
    <w:rsid w:val="00841348"/>
    <w:rsid w:val="008417AD"/>
    <w:rsid w:val="00841AA8"/>
    <w:rsid w:val="00841FF4"/>
    <w:rsid w:val="00842675"/>
    <w:rsid w:val="00842753"/>
    <w:rsid w:val="00842CD6"/>
    <w:rsid w:val="00842FFC"/>
    <w:rsid w:val="008434FD"/>
    <w:rsid w:val="008436BE"/>
    <w:rsid w:val="00843ABD"/>
    <w:rsid w:val="00843C1A"/>
    <w:rsid w:val="00843DE7"/>
    <w:rsid w:val="0084414B"/>
    <w:rsid w:val="0084439E"/>
    <w:rsid w:val="00845B58"/>
    <w:rsid w:val="00845F1F"/>
    <w:rsid w:val="008464FC"/>
    <w:rsid w:val="008465F9"/>
    <w:rsid w:val="00846724"/>
    <w:rsid w:val="0084687F"/>
    <w:rsid w:val="0084697C"/>
    <w:rsid w:val="00846AF8"/>
    <w:rsid w:val="008471F2"/>
    <w:rsid w:val="00847219"/>
    <w:rsid w:val="00847478"/>
    <w:rsid w:val="00847680"/>
    <w:rsid w:val="00847C93"/>
    <w:rsid w:val="00847E33"/>
    <w:rsid w:val="00850125"/>
    <w:rsid w:val="008501A4"/>
    <w:rsid w:val="008501F4"/>
    <w:rsid w:val="008502D3"/>
    <w:rsid w:val="00850D3D"/>
    <w:rsid w:val="00850E32"/>
    <w:rsid w:val="00851326"/>
    <w:rsid w:val="00851872"/>
    <w:rsid w:val="0085192D"/>
    <w:rsid w:val="00851C92"/>
    <w:rsid w:val="00851DA5"/>
    <w:rsid w:val="0085249B"/>
    <w:rsid w:val="0085263D"/>
    <w:rsid w:val="00852C89"/>
    <w:rsid w:val="00852D55"/>
    <w:rsid w:val="00853176"/>
    <w:rsid w:val="00853323"/>
    <w:rsid w:val="008534C1"/>
    <w:rsid w:val="008534E2"/>
    <w:rsid w:val="00853E64"/>
    <w:rsid w:val="00853F5D"/>
    <w:rsid w:val="0085406D"/>
    <w:rsid w:val="0085406E"/>
    <w:rsid w:val="0085450C"/>
    <w:rsid w:val="00854585"/>
    <w:rsid w:val="008545C6"/>
    <w:rsid w:val="00854A4E"/>
    <w:rsid w:val="00854C25"/>
    <w:rsid w:val="00854D93"/>
    <w:rsid w:val="00854DD7"/>
    <w:rsid w:val="00854FF8"/>
    <w:rsid w:val="008550C6"/>
    <w:rsid w:val="00855163"/>
    <w:rsid w:val="008557F1"/>
    <w:rsid w:val="00855DA2"/>
    <w:rsid w:val="00855DF0"/>
    <w:rsid w:val="008560CE"/>
    <w:rsid w:val="008561A6"/>
    <w:rsid w:val="008564DA"/>
    <w:rsid w:val="00857044"/>
    <w:rsid w:val="008570D3"/>
    <w:rsid w:val="008579E3"/>
    <w:rsid w:val="00857B4D"/>
    <w:rsid w:val="00857C28"/>
    <w:rsid w:val="00860617"/>
    <w:rsid w:val="008606CC"/>
    <w:rsid w:val="0086076B"/>
    <w:rsid w:val="008607E1"/>
    <w:rsid w:val="00860B71"/>
    <w:rsid w:val="0086171C"/>
    <w:rsid w:val="00861883"/>
    <w:rsid w:val="008618CA"/>
    <w:rsid w:val="008619BC"/>
    <w:rsid w:val="00861DC9"/>
    <w:rsid w:val="008622E4"/>
    <w:rsid w:val="008623CA"/>
    <w:rsid w:val="008623FE"/>
    <w:rsid w:val="00862655"/>
    <w:rsid w:val="00862667"/>
    <w:rsid w:val="0086279B"/>
    <w:rsid w:val="00862FFA"/>
    <w:rsid w:val="00863AAB"/>
    <w:rsid w:val="00863BA0"/>
    <w:rsid w:val="00863DB4"/>
    <w:rsid w:val="00863E70"/>
    <w:rsid w:val="00863FE2"/>
    <w:rsid w:val="008641D0"/>
    <w:rsid w:val="00864286"/>
    <w:rsid w:val="00864461"/>
    <w:rsid w:val="00864859"/>
    <w:rsid w:val="00864879"/>
    <w:rsid w:val="00864E19"/>
    <w:rsid w:val="00864E47"/>
    <w:rsid w:val="00864F0F"/>
    <w:rsid w:val="00865100"/>
    <w:rsid w:val="00865445"/>
    <w:rsid w:val="00865483"/>
    <w:rsid w:val="008657AF"/>
    <w:rsid w:val="0086594F"/>
    <w:rsid w:val="0086599F"/>
    <w:rsid w:val="00865B87"/>
    <w:rsid w:val="00865BFD"/>
    <w:rsid w:val="00865E0A"/>
    <w:rsid w:val="00865F76"/>
    <w:rsid w:val="00866571"/>
    <w:rsid w:val="0086687A"/>
    <w:rsid w:val="00866A5C"/>
    <w:rsid w:val="00866B22"/>
    <w:rsid w:val="00866E49"/>
    <w:rsid w:val="00867217"/>
    <w:rsid w:val="00867B0F"/>
    <w:rsid w:val="00867FCB"/>
    <w:rsid w:val="00870847"/>
    <w:rsid w:val="0087089B"/>
    <w:rsid w:val="00870E07"/>
    <w:rsid w:val="00870F42"/>
    <w:rsid w:val="00870F54"/>
    <w:rsid w:val="00871092"/>
    <w:rsid w:val="00871236"/>
    <w:rsid w:val="0087143C"/>
    <w:rsid w:val="0087170F"/>
    <w:rsid w:val="00871817"/>
    <w:rsid w:val="00871D76"/>
    <w:rsid w:val="00872018"/>
    <w:rsid w:val="00872463"/>
    <w:rsid w:val="00872609"/>
    <w:rsid w:val="00872F79"/>
    <w:rsid w:val="00873031"/>
    <w:rsid w:val="008733C0"/>
    <w:rsid w:val="008734E2"/>
    <w:rsid w:val="00873950"/>
    <w:rsid w:val="00873AE6"/>
    <w:rsid w:val="00873EA9"/>
    <w:rsid w:val="00873F80"/>
    <w:rsid w:val="0087457D"/>
    <w:rsid w:val="0087491C"/>
    <w:rsid w:val="00874ABA"/>
    <w:rsid w:val="00874B03"/>
    <w:rsid w:val="00874B97"/>
    <w:rsid w:val="00874D9C"/>
    <w:rsid w:val="00874FBB"/>
    <w:rsid w:val="008756A8"/>
    <w:rsid w:val="008759F9"/>
    <w:rsid w:val="00875D2F"/>
    <w:rsid w:val="00876138"/>
    <w:rsid w:val="008765A7"/>
    <w:rsid w:val="00876EFD"/>
    <w:rsid w:val="00877050"/>
    <w:rsid w:val="00877382"/>
    <w:rsid w:val="008774A2"/>
    <w:rsid w:val="00877907"/>
    <w:rsid w:val="00877E1B"/>
    <w:rsid w:val="00877EEE"/>
    <w:rsid w:val="00877F26"/>
    <w:rsid w:val="00880030"/>
    <w:rsid w:val="00880373"/>
    <w:rsid w:val="008808E3"/>
    <w:rsid w:val="00880FF0"/>
    <w:rsid w:val="008810CD"/>
    <w:rsid w:val="008813D4"/>
    <w:rsid w:val="0088172E"/>
    <w:rsid w:val="00881A1B"/>
    <w:rsid w:val="00881D55"/>
    <w:rsid w:val="00881E11"/>
    <w:rsid w:val="0088221C"/>
    <w:rsid w:val="0088276A"/>
    <w:rsid w:val="00882F23"/>
    <w:rsid w:val="0088305E"/>
    <w:rsid w:val="00883797"/>
    <w:rsid w:val="008839E5"/>
    <w:rsid w:val="00884070"/>
    <w:rsid w:val="0088408C"/>
    <w:rsid w:val="008848D9"/>
    <w:rsid w:val="00884A1F"/>
    <w:rsid w:val="00884BDF"/>
    <w:rsid w:val="00885147"/>
    <w:rsid w:val="0088568D"/>
    <w:rsid w:val="008862A5"/>
    <w:rsid w:val="00886685"/>
    <w:rsid w:val="0088702C"/>
    <w:rsid w:val="008872BC"/>
    <w:rsid w:val="008873BF"/>
    <w:rsid w:val="0088742C"/>
    <w:rsid w:val="0088759A"/>
    <w:rsid w:val="00887B76"/>
    <w:rsid w:val="00887C39"/>
    <w:rsid w:val="0089015A"/>
    <w:rsid w:val="008905BE"/>
    <w:rsid w:val="008906F4"/>
    <w:rsid w:val="008906FE"/>
    <w:rsid w:val="00891255"/>
    <w:rsid w:val="00891488"/>
    <w:rsid w:val="0089151B"/>
    <w:rsid w:val="00891676"/>
    <w:rsid w:val="00891B28"/>
    <w:rsid w:val="00891DFD"/>
    <w:rsid w:val="00892105"/>
    <w:rsid w:val="008922A8"/>
    <w:rsid w:val="008928FF"/>
    <w:rsid w:val="00892E7C"/>
    <w:rsid w:val="00893265"/>
    <w:rsid w:val="008937D7"/>
    <w:rsid w:val="008937E9"/>
    <w:rsid w:val="00893D3B"/>
    <w:rsid w:val="0089405F"/>
    <w:rsid w:val="008944EF"/>
    <w:rsid w:val="00894508"/>
    <w:rsid w:val="00894540"/>
    <w:rsid w:val="00895196"/>
    <w:rsid w:val="008959A0"/>
    <w:rsid w:val="00896129"/>
    <w:rsid w:val="00896461"/>
    <w:rsid w:val="008968A0"/>
    <w:rsid w:val="00896ADA"/>
    <w:rsid w:val="00896F7F"/>
    <w:rsid w:val="008973DB"/>
    <w:rsid w:val="00897686"/>
    <w:rsid w:val="00897B6C"/>
    <w:rsid w:val="008A0434"/>
    <w:rsid w:val="008A0A85"/>
    <w:rsid w:val="008A0B92"/>
    <w:rsid w:val="008A128A"/>
    <w:rsid w:val="008A1665"/>
    <w:rsid w:val="008A18C5"/>
    <w:rsid w:val="008A1D86"/>
    <w:rsid w:val="008A24B7"/>
    <w:rsid w:val="008A25CD"/>
    <w:rsid w:val="008A2630"/>
    <w:rsid w:val="008A2C35"/>
    <w:rsid w:val="008A2D03"/>
    <w:rsid w:val="008A3022"/>
    <w:rsid w:val="008A3181"/>
    <w:rsid w:val="008A37D5"/>
    <w:rsid w:val="008A3AB4"/>
    <w:rsid w:val="008A3D2D"/>
    <w:rsid w:val="008A419C"/>
    <w:rsid w:val="008A4359"/>
    <w:rsid w:val="008A465F"/>
    <w:rsid w:val="008A4774"/>
    <w:rsid w:val="008A4911"/>
    <w:rsid w:val="008A4D52"/>
    <w:rsid w:val="008A531D"/>
    <w:rsid w:val="008A58AB"/>
    <w:rsid w:val="008A6970"/>
    <w:rsid w:val="008A6E84"/>
    <w:rsid w:val="008A6F9C"/>
    <w:rsid w:val="008A716B"/>
    <w:rsid w:val="008A73FA"/>
    <w:rsid w:val="008A76ED"/>
    <w:rsid w:val="008A79ED"/>
    <w:rsid w:val="008A7AE3"/>
    <w:rsid w:val="008B0150"/>
    <w:rsid w:val="008B0319"/>
    <w:rsid w:val="008B0374"/>
    <w:rsid w:val="008B03E0"/>
    <w:rsid w:val="008B0638"/>
    <w:rsid w:val="008B083D"/>
    <w:rsid w:val="008B090B"/>
    <w:rsid w:val="008B1616"/>
    <w:rsid w:val="008B1629"/>
    <w:rsid w:val="008B169D"/>
    <w:rsid w:val="008B16CA"/>
    <w:rsid w:val="008B1FB8"/>
    <w:rsid w:val="008B240D"/>
    <w:rsid w:val="008B263A"/>
    <w:rsid w:val="008B26F2"/>
    <w:rsid w:val="008B2A00"/>
    <w:rsid w:val="008B2ADA"/>
    <w:rsid w:val="008B2CC7"/>
    <w:rsid w:val="008B2E2F"/>
    <w:rsid w:val="008B3E8D"/>
    <w:rsid w:val="008B3F05"/>
    <w:rsid w:val="008B4029"/>
    <w:rsid w:val="008B42CA"/>
    <w:rsid w:val="008B4A47"/>
    <w:rsid w:val="008B4A74"/>
    <w:rsid w:val="008B51D6"/>
    <w:rsid w:val="008B524F"/>
    <w:rsid w:val="008B5E01"/>
    <w:rsid w:val="008B5E61"/>
    <w:rsid w:val="008B5E70"/>
    <w:rsid w:val="008B6077"/>
    <w:rsid w:val="008B648B"/>
    <w:rsid w:val="008B65DD"/>
    <w:rsid w:val="008B678B"/>
    <w:rsid w:val="008B6E1D"/>
    <w:rsid w:val="008B6F20"/>
    <w:rsid w:val="008B745F"/>
    <w:rsid w:val="008B74D9"/>
    <w:rsid w:val="008B7526"/>
    <w:rsid w:val="008B7F3E"/>
    <w:rsid w:val="008C00CC"/>
    <w:rsid w:val="008C01C6"/>
    <w:rsid w:val="008C027D"/>
    <w:rsid w:val="008C070D"/>
    <w:rsid w:val="008C0E21"/>
    <w:rsid w:val="008C0FA2"/>
    <w:rsid w:val="008C0FF0"/>
    <w:rsid w:val="008C1315"/>
    <w:rsid w:val="008C1469"/>
    <w:rsid w:val="008C1764"/>
    <w:rsid w:val="008C1840"/>
    <w:rsid w:val="008C1C1D"/>
    <w:rsid w:val="008C1FC7"/>
    <w:rsid w:val="008C1FF1"/>
    <w:rsid w:val="008C21A7"/>
    <w:rsid w:val="008C2B04"/>
    <w:rsid w:val="008C2C98"/>
    <w:rsid w:val="008C3080"/>
    <w:rsid w:val="008C310E"/>
    <w:rsid w:val="008C324A"/>
    <w:rsid w:val="008C3927"/>
    <w:rsid w:val="008C3AE5"/>
    <w:rsid w:val="008C3D91"/>
    <w:rsid w:val="008C3E08"/>
    <w:rsid w:val="008C43A9"/>
    <w:rsid w:val="008C4508"/>
    <w:rsid w:val="008C4565"/>
    <w:rsid w:val="008C4633"/>
    <w:rsid w:val="008C47FD"/>
    <w:rsid w:val="008C4C69"/>
    <w:rsid w:val="008C4CE4"/>
    <w:rsid w:val="008C507F"/>
    <w:rsid w:val="008C53DD"/>
    <w:rsid w:val="008C57A7"/>
    <w:rsid w:val="008C57BE"/>
    <w:rsid w:val="008C5B49"/>
    <w:rsid w:val="008C5B6F"/>
    <w:rsid w:val="008C5E17"/>
    <w:rsid w:val="008C6483"/>
    <w:rsid w:val="008C69B6"/>
    <w:rsid w:val="008C6A5E"/>
    <w:rsid w:val="008C6A79"/>
    <w:rsid w:val="008C6F83"/>
    <w:rsid w:val="008C70B6"/>
    <w:rsid w:val="008C778A"/>
    <w:rsid w:val="008C7803"/>
    <w:rsid w:val="008C78D2"/>
    <w:rsid w:val="008C7A34"/>
    <w:rsid w:val="008C7A6F"/>
    <w:rsid w:val="008C7B23"/>
    <w:rsid w:val="008CFDB2"/>
    <w:rsid w:val="008D0283"/>
    <w:rsid w:val="008D0660"/>
    <w:rsid w:val="008D0A97"/>
    <w:rsid w:val="008D11F9"/>
    <w:rsid w:val="008D13C0"/>
    <w:rsid w:val="008D1636"/>
    <w:rsid w:val="008D1BCD"/>
    <w:rsid w:val="008D24D1"/>
    <w:rsid w:val="008D29AD"/>
    <w:rsid w:val="008D29C0"/>
    <w:rsid w:val="008D2E3A"/>
    <w:rsid w:val="008D30E2"/>
    <w:rsid w:val="008D34AD"/>
    <w:rsid w:val="008D35E4"/>
    <w:rsid w:val="008D3710"/>
    <w:rsid w:val="008D397C"/>
    <w:rsid w:val="008D3A33"/>
    <w:rsid w:val="008D3A5F"/>
    <w:rsid w:val="008D3FF3"/>
    <w:rsid w:val="008D4044"/>
    <w:rsid w:val="008D48C4"/>
    <w:rsid w:val="008D4A62"/>
    <w:rsid w:val="008D4E18"/>
    <w:rsid w:val="008D4F9B"/>
    <w:rsid w:val="008D5BA8"/>
    <w:rsid w:val="008D5E12"/>
    <w:rsid w:val="008D5E56"/>
    <w:rsid w:val="008D5EF4"/>
    <w:rsid w:val="008D5F08"/>
    <w:rsid w:val="008D6096"/>
    <w:rsid w:val="008D6203"/>
    <w:rsid w:val="008D6DB9"/>
    <w:rsid w:val="008D703E"/>
    <w:rsid w:val="008D7052"/>
    <w:rsid w:val="008D74DF"/>
    <w:rsid w:val="008D75F7"/>
    <w:rsid w:val="008D77C8"/>
    <w:rsid w:val="008D7959"/>
    <w:rsid w:val="008D7C47"/>
    <w:rsid w:val="008D7D9E"/>
    <w:rsid w:val="008E017B"/>
    <w:rsid w:val="008E01AB"/>
    <w:rsid w:val="008E0385"/>
    <w:rsid w:val="008E0437"/>
    <w:rsid w:val="008E04ED"/>
    <w:rsid w:val="008E071F"/>
    <w:rsid w:val="008E09B7"/>
    <w:rsid w:val="008E0B68"/>
    <w:rsid w:val="008E0F46"/>
    <w:rsid w:val="008E0FF8"/>
    <w:rsid w:val="008E1054"/>
    <w:rsid w:val="008E1204"/>
    <w:rsid w:val="008E19DE"/>
    <w:rsid w:val="008E1A13"/>
    <w:rsid w:val="008E1CD5"/>
    <w:rsid w:val="008E267C"/>
    <w:rsid w:val="008E2AEF"/>
    <w:rsid w:val="008E2BE8"/>
    <w:rsid w:val="008E30AB"/>
    <w:rsid w:val="008E329C"/>
    <w:rsid w:val="008E3433"/>
    <w:rsid w:val="008E3721"/>
    <w:rsid w:val="008E3843"/>
    <w:rsid w:val="008E388A"/>
    <w:rsid w:val="008E38F2"/>
    <w:rsid w:val="008E3E06"/>
    <w:rsid w:val="008E3EB1"/>
    <w:rsid w:val="008E45A0"/>
    <w:rsid w:val="008E4B02"/>
    <w:rsid w:val="008E5154"/>
    <w:rsid w:val="008E5574"/>
    <w:rsid w:val="008E5939"/>
    <w:rsid w:val="008E606F"/>
    <w:rsid w:val="008E66C8"/>
    <w:rsid w:val="008E6A82"/>
    <w:rsid w:val="008E6AE8"/>
    <w:rsid w:val="008E6C03"/>
    <w:rsid w:val="008E707B"/>
    <w:rsid w:val="008E70AF"/>
    <w:rsid w:val="008E71B9"/>
    <w:rsid w:val="008E7570"/>
    <w:rsid w:val="008E76E7"/>
    <w:rsid w:val="008E7855"/>
    <w:rsid w:val="008E7C70"/>
    <w:rsid w:val="008F0248"/>
    <w:rsid w:val="008F027D"/>
    <w:rsid w:val="008F02B5"/>
    <w:rsid w:val="008F05F4"/>
    <w:rsid w:val="008F0CFB"/>
    <w:rsid w:val="008F0D2E"/>
    <w:rsid w:val="008F0DB6"/>
    <w:rsid w:val="008F0DEF"/>
    <w:rsid w:val="008F0EF3"/>
    <w:rsid w:val="008F0EF4"/>
    <w:rsid w:val="008F11FE"/>
    <w:rsid w:val="008F1BAB"/>
    <w:rsid w:val="008F21D1"/>
    <w:rsid w:val="008F23E8"/>
    <w:rsid w:val="008F241A"/>
    <w:rsid w:val="008F2456"/>
    <w:rsid w:val="008F2631"/>
    <w:rsid w:val="008F2672"/>
    <w:rsid w:val="008F2F1A"/>
    <w:rsid w:val="008F333B"/>
    <w:rsid w:val="008F3616"/>
    <w:rsid w:val="008F3A8C"/>
    <w:rsid w:val="008F3DDF"/>
    <w:rsid w:val="008F4676"/>
    <w:rsid w:val="008F4A25"/>
    <w:rsid w:val="008F4C47"/>
    <w:rsid w:val="008F4D8A"/>
    <w:rsid w:val="008F4EC6"/>
    <w:rsid w:val="008F503F"/>
    <w:rsid w:val="008F569D"/>
    <w:rsid w:val="008F57BE"/>
    <w:rsid w:val="008F5F97"/>
    <w:rsid w:val="008F6433"/>
    <w:rsid w:val="008F67A8"/>
    <w:rsid w:val="008F6810"/>
    <w:rsid w:val="008F6966"/>
    <w:rsid w:val="008F6995"/>
    <w:rsid w:val="008F6B1D"/>
    <w:rsid w:val="008F6B6E"/>
    <w:rsid w:val="008F6BDB"/>
    <w:rsid w:val="008F6D32"/>
    <w:rsid w:val="008F766D"/>
    <w:rsid w:val="008F7702"/>
    <w:rsid w:val="008F7D33"/>
    <w:rsid w:val="009000F2"/>
    <w:rsid w:val="009002BE"/>
    <w:rsid w:val="0090052B"/>
    <w:rsid w:val="0090085E"/>
    <w:rsid w:val="009008D8"/>
    <w:rsid w:val="00900B58"/>
    <w:rsid w:val="00900C46"/>
    <w:rsid w:val="0090132D"/>
    <w:rsid w:val="009018F3"/>
    <w:rsid w:val="00901DFB"/>
    <w:rsid w:val="00901F4C"/>
    <w:rsid w:val="00902543"/>
    <w:rsid w:val="0090282A"/>
    <w:rsid w:val="009028A5"/>
    <w:rsid w:val="009028D8"/>
    <w:rsid w:val="00902E4D"/>
    <w:rsid w:val="009030F0"/>
    <w:rsid w:val="00903450"/>
    <w:rsid w:val="00903A0D"/>
    <w:rsid w:val="00903B6A"/>
    <w:rsid w:val="00903CE3"/>
    <w:rsid w:val="00903E42"/>
    <w:rsid w:val="00904096"/>
    <w:rsid w:val="009044C8"/>
    <w:rsid w:val="00904937"/>
    <w:rsid w:val="00904A0A"/>
    <w:rsid w:val="00904C4C"/>
    <w:rsid w:val="00905222"/>
    <w:rsid w:val="009059A0"/>
    <w:rsid w:val="00905AA7"/>
    <w:rsid w:val="00905D4C"/>
    <w:rsid w:val="00905F78"/>
    <w:rsid w:val="009060DD"/>
    <w:rsid w:val="0090658A"/>
    <w:rsid w:val="00906700"/>
    <w:rsid w:val="00906757"/>
    <w:rsid w:val="0090697E"/>
    <w:rsid w:val="00906AC0"/>
    <w:rsid w:val="00906B5C"/>
    <w:rsid w:val="00906BF0"/>
    <w:rsid w:val="009074C6"/>
    <w:rsid w:val="00907767"/>
    <w:rsid w:val="00907843"/>
    <w:rsid w:val="009079D4"/>
    <w:rsid w:val="0091031D"/>
    <w:rsid w:val="0091056F"/>
    <w:rsid w:val="00910597"/>
    <w:rsid w:val="0091069E"/>
    <w:rsid w:val="00910CDD"/>
    <w:rsid w:val="0091101B"/>
    <w:rsid w:val="009111D6"/>
    <w:rsid w:val="0091163F"/>
    <w:rsid w:val="00911E43"/>
    <w:rsid w:val="0091231B"/>
    <w:rsid w:val="009126A3"/>
    <w:rsid w:val="0091285B"/>
    <w:rsid w:val="00912B0F"/>
    <w:rsid w:val="009130F5"/>
    <w:rsid w:val="00913124"/>
    <w:rsid w:val="009133CB"/>
    <w:rsid w:val="00913540"/>
    <w:rsid w:val="00913724"/>
    <w:rsid w:val="00913C7A"/>
    <w:rsid w:val="00913DF6"/>
    <w:rsid w:val="00913ECD"/>
    <w:rsid w:val="009145AA"/>
    <w:rsid w:val="00914B9D"/>
    <w:rsid w:val="00914CE0"/>
    <w:rsid w:val="00914DC5"/>
    <w:rsid w:val="0091506C"/>
    <w:rsid w:val="00915A5C"/>
    <w:rsid w:val="00915BB6"/>
    <w:rsid w:val="00915E1E"/>
    <w:rsid w:val="00915F0F"/>
    <w:rsid w:val="009161BE"/>
    <w:rsid w:val="009161EA"/>
    <w:rsid w:val="009164B7"/>
    <w:rsid w:val="00916C39"/>
    <w:rsid w:val="009173DC"/>
    <w:rsid w:val="00917564"/>
    <w:rsid w:val="00917C15"/>
    <w:rsid w:val="00917ED4"/>
    <w:rsid w:val="0092027B"/>
    <w:rsid w:val="00920C7B"/>
    <w:rsid w:val="00920EEA"/>
    <w:rsid w:val="00920F18"/>
    <w:rsid w:val="009214CA"/>
    <w:rsid w:val="00921907"/>
    <w:rsid w:val="00922A70"/>
    <w:rsid w:val="00922B7D"/>
    <w:rsid w:val="00922DEC"/>
    <w:rsid w:val="00922E06"/>
    <w:rsid w:val="0092356B"/>
    <w:rsid w:val="00923E08"/>
    <w:rsid w:val="009240E8"/>
    <w:rsid w:val="00924757"/>
    <w:rsid w:val="00924DE7"/>
    <w:rsid w:val="0092558C"/>
    <w:rsid w:val="0092568F"/>
    <w:rsid w:val="009257EA"/>
    <w:rsid w:val="0092597A"/>
    <w:rsid w:val="00925AD5"/>
    <w:rsid w:val="00925E2C"/>
    <w:rsid w:val="00926031"/>
    <w:rsid w:val="00926371"/>
    <w:rsid w:val="009269F6"/>
    <w:rsid w:val="00926B86"/>
    <w:rsid w:val="00926BDA"/>
    <w:rsid w:val="00926D64"/>
    <w:rsid w:val="00926ED3"/>
    <w:rsid w:val="00926F4D"/>
    <w:rsid w:val="00926FFE"/>
    <w:rsid w:val="009277F4"/>
    <w:rsid w:val="00927911"/>
    <w:rsid w:val="00927E46"/>
    <w:rsid w:val="0093036F"/>
    <w:rsid w:val="00930678"/>
    <w:rsid w:val="00930736"/>
    <w:rsid w:val="009309FA"/>
    <w:rsid w:val="009311CF"/>
    <w:rsid w:val="0093138B"/>
    <w:rsid w:val="00931466"/>
    <w:rsid w:val="0093194F"/>
    <w:rsid w:val="00931E05"/>
    <w:rsid w:val="00931F0C"/>
    <w:rsid w:val="009321FF"/>
    <w:rsid w:val="009322FB"/>
    <w:rsid w:val="0093233E"/>
    <w:rsid w:val="00932608"/>
    <w:rsid w:val="00932A10"/>
    <w:rsid w:val="00932CD7"/>
    <w:rsid w:val="009331E0"/>
    <w:rsid w:val="0093331D"/>
    <w:rsid w:val="009348EE"/>
    <w:rsid w:val="00934CD3"/>
    <w:rsid w:val="00934D96"/>
    <w:rsid w:val="00934DF7"/>
    <w:rsid w:val="00935E66"/>
    <w:rsid w:val="009360E3"/>
    <w:rsid w:val="0093622D"/>
    <w:rsid w:val="009364BC"/>
    <w:rsid w:val="00936614"/>
    <w:rsid w:val="00936726"/>
    <w:rsid w:val="00936851"/>
    <w:rsid w:val="00936D32"/>
    <w:rsid w:val="00937458"/>
    <w:rsid w:val="0093764C"/>
    <w:rsid w:val="00937751"/>
    <w:rsid w:val="00937860"/>
    <w:rsid w:val="00937C29"/>
    <w:rsid w:val="00937DEE"/>
    <w:rsid w:val="00937FC4"/>
    <w:rsid w:val="0094097E"/>
    <w:rsid w:val="00941206"/>
    <w:rsid w:val="00941746"/>
    <w:rsid w:val="0094175F"/>
    <w:rsid w:val="00941AC0"/>
    <w:rsid w:val="00941B0F"/>
    <w:rsid w:val="00941C48"/>
    <w:rsid w:val="00941E91"/>
    <w:rsid w:val="00941F10"/>
    <w:rsid w:val="00941F9C"/>
    <w:rsid w:val="00942895"/>
    <w:rsid w:val="00942EBA"/>
    <w:rsid w:val="00943068"/>
    <w:rsid w:val="009438A6"/>
    <w:rsid w:val="0094390B"/>
    <w:rsid w:val="00943F97"/>
    <w:rsid w:val="009443F0"/>
    <w:rsid w:val="00944518"/>
    <w:rsid w:val="009445AC"/>
    <w:rsid w:val="00944779"/>
    <w:rsid w:val="00944947"/>
    <w:rsid w:val="00944C12"/>
    <w:rsid w:val="00944D7D"/>
    <w:rsid w:val="00944F5D"/>
    <w:rsid w:val="009450C2"/>
    <w:rsid w:val="0094519E"/>
    <w:rsid w:val="00945223"/>
    <w:rsid w:val="009453A1"/>
    <w:rsid w:val="0094554F"/>
    <w:rsid w:val="0094564D"/>
    <w:rsid w:val="00945770"/>
    <w:rsid w:val="009459F0"/>
    <w:rsid w:val="00945F9A"/>
    <w:rsid w:val="00946289"/>
    <w:rsid w:val="009464D9"/>
    <w:rsid w:val="00946A0A"/>
    <w:rsid w:val="00946C2A"/>
    <w:rsid w:val="00946F8E"/>
    <w:rsid w:val="009475FF"/>
    <w:rsid w:val="00950167"/>
    <w:rsid w:val="009501CB"/>
    <w:rsid w:val="00950208"/>
    <w:rsid w:val="009505F8"/>
    <w:rsid w:val="00950705"/>
    <w:rsid w:val="00950C74"/>
    <w:rsid w:val="00950F82"/>
    <w:rsid w:val="00950F85"/>
    <w:rsid w:val="00951675"/>
    <w:rsid w:val="00951B4E"/>
    <w:rsid w:val="00951C35"/>
    <w:rsid w:val="00951DBA"/>
    <w:rsid w:val="00952139"/>
    <w:rsid w:val="009523D0"/>
    <w:rsid w:val="00952661"/>
    <w:rsid w:val="00952864"/>
    <w:rsid w:val="009528D6"/>
    <w:rsid w:val="00952FB8"/>
    <w:rsid w:val="00953065"/>
    <w:rsid w:val="00953228"/>
    <w:rsid w:val="00953621"/>
    <w:rsid w:val="00953C2C"/>
    <w:rsid w:val="00953D72"/>
    <w:rsid w:val="00954029"/>
    <w:rsid w:val="009547FF"/>
    <w:rsid w:val="00954F0B"/>
    <w:rsid w:val="00955402"/>
    <w:rsid w:val="009555D5"/>
    <w:rsid w:val="00955C32"/>
    <w:rsid w:val="0095620A"/>
    <w:rsid w:val="00956899"/>
    <w:rsid w:val="00956B46"/>
    <w:rsid w:val="00956C95"/>
    <w:rsid w:val="009570F1"/>
    <w:rsid w:val="0095713E"/>
    <w:rsid w:val="009574AC"/>
    <w:rsid w:val="00957540"/>
    <w:rsid w:val="00957ACF"/>
    <w:rsid w:val="00957C7B"/>
    <w:rsid w:val="009602BF"/>
    <w:rsid w:val="00960330"/>
    <w:rsid w:val="009605A1"/>
    <w:rsid w:val="009609C9"/>
    <w:rsid w:val="00960B12"/>
    <w:rsid w:val="00960CD7"/>
    <w:rsid w:val="00960D51"/>
    <w:rsid w:val="0096132A"/>
    <w:rsid w:val="00961529"/>
    <w:rsid w:val="009616FB"/>
    <w:rsid w:val="00961891"/>
    <w:rsid w:val="009618B3"/>
    <w:rsid w:val="00961A65"/>
    <w:rsid w:val="00961DC0"/>
    <w:rsid w:val="00961E04"/>
    <w:rsid w:val="0096230A"/>
    <w:rsid w:val="009624BF"/>
    <w:rsid w:val="009630C9"/>
    <w:rsid w:val="00963119"/>
    <w:rsid w:val="00963346"/>
    <w:rsid w:val="009634D1"/>
    <w:rsid w:val="00963A11"/>
    <w:rsid w:val="00963E57"/>
    <w:rsid w:val="00964239"/>
    <w:rsid w:val="009644A7"/>
    <w:rsid w:val="00964B5B"/>
    <w:rsid w:val="00964B81"/>
    <w:rsid w:val="00964BBB"/>
    <w:rsid w:val="00964EB5"/>
    <w:rsid w:val="00965216"/>
    <w:rsid w:val="00965895"/>
    <w:rsid w:val="00965F1F"/>
    <w:rsid w:val="00966204"/>
    <w:rsid w:val="009662F0"/>
    <w:rsid w:val="009668F7"/>
    <w:rsid w:val="0096756C"/>
    <w:rsid w:val="0096757D"/>
    <w:rsid w:val="009677B7"/>
    <w:rsid w:val="0096788C"/>
    <w:rsid w:val="00967FE2"/>
    <w:rsid w:val="0097031C"/>
    <w:rsid w:val="00970379"/>
    <w:rsid w:val="009705E3"/>
    <w:rsid w:val="0097073C"/>
    <w:rsid w:val="00970786"/>
    <w:rsid w:val="00970897"/>
    <w:rsid w:val="00970BC8"/>
    <w:rsid w:val="00970E45"/>
    <w:rsid w:val="0097127C"/>
    <w:rsid w:val="009717F8"/>
    <w:rsid w:val="00971AE8"/>
    <w:rsid w:val="00971D4E"/>
    <w:rsid w:val="00971D99"/>
    <w:rsid w:val="00971EBD"/>
    <w:rsid w:val="0097215C"/>
    <w:rsid w:val="00972A91"/>
    <w:rsid w:val="0097321D"/>
    <w:rsid w:val="009734E2"/>
    <w:rsid w:val="009737D4"/>
    <w:rsid w:val="00973BBD"/>
    <w:rsid w:val="00973BF2"/>
    <w:rsid w:val="00973CDA"/>
    <w:rsid w:val="00973E21"/>
    <w:rsid w:val="00973E65"/>
    <w:rsid w:val="00973EA7"/>
    <w:rsid w:val="009742EA"/>
    <w:rsid w:val="00974573"/>
    <w:rsid w:val="00974614"/>
    <w:rsid w:val="00974858"/>
    <w:rsid w:val="009759BA"/>
    <w:rsid w:val="00975D00"/>
    <w:rsid w:val="00975EE3"/>
    <w:rsid w:val="00976203"/>
    <w:rsid w:val="009762F8"/>
    <w:rsid w:val="00976434"/>
    <w:rsid w:val="009764EF"/>
    <w:rsid w:val="0097671F"/>
    <w:rsid w:val="00976AB2"/>
    <w:rsid w:val="00976FF1"/>
    <w:rsid w:val="00977079"/>
    <w:rsid w:val="0097711D"/>
    <w:rsid w:val="00977543"/>
    <w:rsid w:val="00977A1C"/>
    <w:rsid w:val="00977E8F"/>
    <w:rsid w:val="00980161"/>
    <w:rsid w:val="0098036D"/>
    <w:rsid w:val="00981223"/>
    <w:rsid w:val="009814D5"/>
    <w:rsid w:val="009816FF"/>
    <w:rsid w:val="0098205D"/>
    <w:rsid w:val="009824C4"/>
    <w:rsid w:val="00982621"/>
    <w:rsid w:val="00982743"/>
    <w:rsid w:val="0098292E"/>
    <w:rsid w:val="00982CA2"/>
    <w:rsid w:val="0098308E"/>
    <w:rsid w:val="00983215"/>
    <w:rsid w:val="009832F9"/>
    <w:rsid w:val="00983814"/>
    <w:rsid w:val="00983C6C"/>
    <w:rsid w:val="009840FB"/>
    <w:rsid w:val="00984590"/>
    <w:rsid w:val="00984D22"/>
    <w:rsid w:val="00984E78"/>
    <w:rsid w:val="00984F3B"/>
    <w:rsid w:val="00985163"/>
    <w:rsid w:val="0098552B"/>
    <w:rsid w:val="0098558D"/>
    <w:rsid w:val="0098564A"/>
    <w:rsid w:val="0098576B"/>
    <w:rsid w:val="00985780"/>
    <w:rsid w:val="00985EF6"/>
    <w:rsid w:val="00986056"/>
    <w:rsid w:val="00986381"/>
    <w:rsid w:val="00986541"/>
    <w:rsid w:val="00986684"/>
    <w:rsid w:val="00986965"/>
    <w:rsid w:val="00986AD5"/>
    <w:rsid w:val="009875B4"/>
    <w:rsid w:val="009878D7"/>
    <w:rsid w:val="00987D88"/>
    <w:rsid w:val="009907E5"/>
    <w:rsid w:val="009916E4"/>
    <w:rsid w:val="0099197A"/>
    <w:rsid w:val="00991A30"/>
    <w:rsid w:val="00991D4B"/>
    <w:rsid w:val="00991EAF"/>
    <w:rsid w:val="0099292A"/>
    <w:rsid w:val="009929B5"/>
    <w:rsid w:val="00992A12"/>
    <w:rsid w:val="00992D41"/>
    <w:rsid w:val="009931C6"/>
    <w:rsid w:val="009939E2"/>
    <w:rsid w:val="00993A93"/>
    <w:rsid w:val="00993B45"/>
    <w:rsid w:val="009942DB"/>
    <w:rsid w:val="0099432C"/>
    <w:rsid w:val="00994410"/>
    <w:rsid w:val="009947AE"/>
    <w:rsid w:val="0099510E"/>
    <w:rsid w:val="009953A2"/>
    <w:rsid w:val="00995795"/>
    <w:rsid w:val="00995E7C"/>
    <w:rsid w:val="00995ECC"/>
    <w:rsid w:val="00995F44"/>
    <w:rsid w:val="00995FC7"/>
    <w:rsid w:val="009960AB"/>
    <w:rsid w:val="00996338"/>
    <w:rsid w:val="0099662B"/>
    <w:rsid w:val="00996A04"/>
    <w:rsid w:val="00997509"/>
    <w:rsid w:val="00997806"/>
    <w:rsid w:val="00997D5E"/>
    <w:rsid w:val="009A05A4"/>
    <w:rsid w:val="009A0679"/>
    <w:rsid w:val="009A082B"/>
    <w:rsid w:val="009A0EC2"/>
    <w:rsid w:val="009A1055"/>
    <w:rsid w:val="009A18BB"/>
    <w:rsid w:val="009A1A2B"/>
    <w:rsid w:val="009A1D0F"/>
    <w:rsid w:val="009A24F5"/>
    <w:rsid w:val="009A27F8"/>
    <w:rsid w:val="009A2D99"/>
    <w:rsid w:val="009A2E32"/>
    <w:rsid w:val="009A37A1"/>
    <w:rsid w:val="009A3A0C"/>
    <w:rsid w:val="009A3D95"/>
    <w:rsid w:val="009A3DB4"/>
    <w:rsid w:val="009A40F3"/>
    <w:rsid w:val="009A41CE"/>
    <w:rsid w:val="009A44EE"/>
    <w:rsid w:val="009A465C"/>
    <w:rsid w:val="009A468A"/>
    <w:rsid w:val="009A4823"/>
    <w:rsid w:val="009A4A9C"/>
    <w:rsid w:val="009A55A8"/>
    <w:rsid w:val="009A59C9"/>
    <w:rsid w:val="009A5C42"/>
    <w:rsid w:val="009A5FEF"/>
    <w:rsid w:val="009A649C"/>
    <w:rsid w:val="009A6B6F"/>
    <w:rsid w:val="009A6BA6"/>
    <w:rsid w:val="009A701E"/>
    <w:rsid w:val="009A7149"/>
    <w:rsid w:val="009A72B5"/>
    <w:rsid w:val="009A74D7"/>
    <w:rsid w:val="009A757B"/>
    <w:rsid w:val="009A76F9"/>
    <w:rsid w:val="009A7998"/>
    <w:rsid w:val="009A7A4C"/>
    <w:rsid w:val="009A7CAA"/>
    <w:rsid w:val="009B0207"/>
    <w:rsid w:val="009B0DBC"/>
    <w:rsid w:val="009B0DCC"/>
    <w:rsid w:val="009B1650"/>
    <w:rsid w:val="009B17F7"/>
    <w:rsid w:val="009B1FEE"/>
    <w:rsid w:val="009B21CD"/>
    <w:rsid w:val="009B229C"/>
    <w:rsid w:val="009B22A3"/>
    <w:rsid w:val="009B2827"/>
    <w:rsid w:val="009B2A34"/>
    <w:rsid w:val="009B2B3E"/>
    <w:rsid w:val="009B2B70"/>
    <w:rsid w:val="009B2C8F"/>
    <w:rsid w:val="009B2DFE"/>
    <w:rsid w:val="009B2F2B"/>
    <w:rsid w:val="009B3925"/>
    <w:rsid w:val="009B3C19"/>
    <w:rsid w:val="009B3E59"/>
    <w:rsid w:val="009B3FC5"/>
    <w:rsid w:val="009B4217"/>
    <w:rsid w:val="009B436E"/>
    <w:rsid w:val="009B4559"/>
    <w:rsid w:val="009B498D"/>
    <w:rsid w:val="009B4B8A"/>
    <w:rsid w:val="009B4BE0"/>
    <w:rsid w:val="009B4F58"/>
    <w:rsid w:val="009B527C"/>
    <w:rsid w:val="009B53E9"/>
    <w:rsid w:val="009B553C"/>
    <w:rsid w:val="009B582E"/>
    <w:rsid w:val="009B600C"/>
    <w:rsid w:val="009B6194"/>
    <w:rsid w:val="009B623C"/>
    <w:rsid w:val="009B6346"/>
    <w:rsid w:val="009B6664"/>
    <w:rsid w:val="009B6AF7"/>
    <w:rsid w:val="009B70E9"/>
    <w:rsid w:val="009B728C"/>
    <w:rsid w:val="009B7993"/>
    <w:rsid w:val="009C025A"/>
    <w:rsid w:val="009C0AE8"/>
    <w:rsid w:val="009C0C6B"/>
    <w:rsid w:val="009C0D93"/>
    <w:rsid w:val="009C11B1"/>
    <w:rsid w:val="009C1329"/>
    <w:rsid w:val="009C14B1"/>
    <w:rsid w:val="009C1520"/>
    <w:rsid w:val="009C1677"/>
    <w:rsid w:val="009C1B15"/>
    <w:rsid w:val="009C1E63"/>
    <w:rsid w:val="009C1F34"/>
    <w:rsid w:val="009C241E"/>
    <w:rsid w:val="009C24DE"/>
    <w:rsid w:val="009C268D"/>
    <w:rsid w:val="009C2CD2"/>
    <w:rsid w:val="009C317C"/>
    <w:rsid w:val="009C3EB4"/>
    <w:rsid w:val="009C46B7"/>
    <w:rsid w:val="009C4B94"/>
    <w:rsid w:val="009C4EB8"/>
    <w:rsid w:val="009C4EFF"/>
    <w:rsid w:val="009C4F1C"/>
    <w:rsid w:val="009C50C5"/>
    <w:rsid w:val="009C56DE"/>
    <w:rsid w:val="009C56F3"/>
    <w:rsid w:val="009C5BE8"/>
    <w:rsid w:val="009C5F5C"/>
    <w:rsid w:val="009C6D83"/>
    <w:rsid w:val="009C6E03"/>
    <w:rsid w:val="009C704C"/>
    <w:rsid w:val="009C70A7"/>
    <w:rsid w:val="009C717F"/>
    <w:rsid w:val="009C76CF"/>
    <w:rsid w:val="009C77AA"/>
    <w:rsid w:val="009C785B"/>
    <w:rsid w:val="009C7D1E"/>
    <w:rsid w:val="009D02A7"/>
    <w:rsid w:val="009D03B1"/>
    <w:rsid w:val="009D1187"/>
    <w:rsid w:val="009D118B"/>
    <w:rsid w:val="009D1386"/>
    <w:rsid w:val="009D15A8"/>
    <w:rsid w:val="009D20B4"/>
    <w:rsid w:val="009D20B8"/>
    <w:rsid w:val="009D2138"/>
    <w:rsid w:val="009D227E"/>
    <w:rsid w:val="009D29BD"/>
    <w:rsid w:val="009D3528"/>
    <w:rsid w:val="009D3A6B"/>
    <w:rsid w:val="009D3AF6"/>
    <w:rsid w:val="009D3B0E"/>
    <w:rsid w:val="009D3B94"/>
    <w:rsid w:val="009D4121"/>
    <w:rsid w:val="009D44B7"/>
    <w:rsid w:val="009D486D"/>
    <w:rsid w:val="009D495C"/>
    <w:rsid w:val="009D4B79"/>
    <w:rsid w:val="009D4BEB"/>
    <w:rsid w:val="009D54C3"/>
    <w:rsid w:val="009D5762"/>
    <w:rsid w:val="009D5799"/>
    <w:rsid w:val="009D5809"/>
    <w:rsid w:val="009D5980"/>
    <w:rsid w:val="009D59DB"/>
    <w:rsid w:val="009D5B67"/>
    <w:rsid w:val="009D5DD7"/>
    <w:rsid w:val="009D5F7F"/>
    <w:rsid w:val="009D6517"/>
    <w:rsid w:val="009D6587"/>
    <w:rsid w:val="009D6AF3"/>
    <w:rsid w:val="009D73A2"/>
    <w:rsid w:val="009D74C2"/>
    <w:rsid w:val="009D75B3"/>
    <w:rsid w:val="009D79E3"/>
    <w:rsid w:val="009D7BDA"/>
    <w:rsid w:val="009D7C3F"/>
    <w:rsid w:val="009D7CE1"/>
    <w:rsid w:val="009D7D53"/>
    <w:rsid w:val="009D7E9F"/>
    <w:rsid w:val="009E033A"/>
    <w:rsid w:val="009E0666"/>
    <w:rsid w:val="009E0A22"/>
    <w:rsid w:val="009E0EE4"/>
    <w:rsid w:val="009E1244"/>
    <w:rsid w:val="009E13AA"/>
    <w:rsid w:val="009E1649"/>
    <w:rsid w:val="009E16EB"/>
    <w:rsid w:val="009E170B"/>
    <w:rsid w:val="009E1796"/>
    <w:rsid w:val="009E1BEB"/>
    <w:rsid w:val="009E2095"/>
    <w:rsid w:val="009E2360"/>
    <w:rsid w:val="009E2CEF"/>
    <w:rsid w:val="009E2D54"/>
    <w:rsid w:val="009E30C3"/>
    <w:rsid w:val="009E316B"/>
    <w:rsid w:val="009E397A"/>
    <w:rsid w:val="009E3BDA"/>
    <w:rsid w:val="009E3C5C"/>
    <w:rsid w:val="009E3F57"/>
    <w:rsid w:val="009E4059"/>
    <w:rsid w:val="009E42DD"/>
    <w:rsid w:val="009E4642"/>
    <w:rsid w:val="009E48CA"/>
    <w:rsid w:val="009E4D0E"/>
    <w:rsid w:val="009E4F6C"/>
    <w:rsid w:val="009E50AC"/>
    <w:rsid w:val="009E51EB"/>
    <w:rsid w:val="009E5550"/>
    <w:rsid w:val="009E56AD"/>
    <w:rsid w:val="009E5887"/>
    <w:rsid w:val="009E59AC"/>
    <w:rsid w:val="009E6084"/>
    <w:rsid w:val="009E63F3"/>
    <w:rsid w:val="009E68B7"/>
    <w:rsid w:val="009E6B5D"/>
    <w:rsid w:val="009E7D30"/>
    <w:rsid w:val="009F00D9"/>
    <w:rsid w:val="009F01E5"/>
    <w:rsid w:val="009F04CA"/>
    <w:rsid w:val="009F04E8"/>
    <w:rsid w:val="009F0716"/>
    <w:rsid w:val="009F0EFC"/>
    <w:rsid w:val="009F11C7"/>
    <w:rsid w:val="009F1394"/>
    <w:rsid w:val="009F2128"/>
    <w:rsid w:val="009F2152"/>
    <w:rsid w:val="009F24B1"/>
    <w:rsid w:val="009F2586"/>
    <w:rsid w:val="009F2B88"/>
    <w:rsid w:val="009F31B4"/>
    <w:rsid w:val="009F338D"/>
    <w:rsid w:val="009F33FB"/>
    <w:rsid w:val="009F364B"/>
    <w:rsid w:val="009F39EB"/>
    <w:rsid w:val="009F3D74"/>
    <w:rsid w:val="009F41EF"/>
    <w:rsid w:val="009F4239"/>
    <w:rsid w:val="009F49AB"/>
    <w:rsid w:val="009F4AE0"/>
    <w:rsid w:val="009F4CD6"/>
    <w:rsid w:val="009F50C2"/>
    <w:rsid w:val="009F5466"/>
    <w:rsid w:val="009F5491"/>
    <w:rsid w:val="009F5C34"/>
    <w:rsid w:val="009F5F66"/>
    <w:rsid w:val="009F63A7"/>
    <w:rsid w:val="009F6468"/>
    <w:rsid w:val="009F64F9"/>
    <w:rsid w:val="009F6A94"/>
    <w:rsid w:val="009F6B1D"/>
    <w:rsid w:val="009F6C56"/>
    <w:rsid w:val="009F6CE5"/>
    <w:rsid w:val="009F6F4D"/>
    <w:rsid w:val="009F7070"/>
    <w:rsid w:val="009F7092"/>
    <w:rsid w:val="009F7404"/>
    <w:rsid w:val="009F76CF"/>
    <w:rsid w:val="009F79E9"/>
    <w:rsid w:val="009F7A32"/>
    <w:rsid w:val="009F7C5F"/>
    <w:rsid w:val="009FCC30"/>
    <w:rsid w:val="00A0016F"/>
    <w:rsid w:val="00A00930"/>
    <w:rsid w:val="00A017F5"/>
    <w:rsid w:val="00A01CD9"/>
    <w:rsid w:val="00A01D32"/>
    <w:rsid w:val="00A02464"/>
    <w:rsid w:val="00A025CB"/>
    <w:rsid w:val="00A02945"/>
    <w:rsid w:val="00A02DAE"/>
    <w:rsid w:val="00A03222"/>
    <w:rsid w:val="00A033F6"/>
    <w:rsid w:val="00A03476"/>
    <w:rsid w:val="00A03645"/>
    <w:rsid w:val="00A03B8C"/>
    <w:rsid w:val="00A03F85"/>
    <w:rsid w:val="00A04AAC"/>
    <w:rsid w:val="00A04C08"/>
    <w:rsid w:val="00A04D91"/>
    <w:rsid w:val="00A04E05"/>
    <w:rsid w:val="00A0506E"/>
    <w:rsid w:val="00A050CA"/>
    <w:rsid w:val="00A05668"/>
    <w:rsid w:val="00A05734"/>
    <w:rsid w:val="00A05AF5"/>
    <w:rsid w:val="00A05B8D"/>
    <w:rsid w:val="00A0625C"/>
    <w:rsid w:val="00A06376"/>
    <w:rsid w:val="00A063D8"/>
    <w:rsid w:val="00A066F2"/>
    <w:rsid w:val="00A0688A"/>
    <w:rsid w:val="00A06B03"/>
    <w:rsid w:val="00A06B13"/>
    <w:rsid w:val="00A06BEF"/>
    <w:rsid w:val="00A06BF1"/>
    <w:rsid w:val="00A100A0"/>
    <w:rsid w:val="00A106CD"/>
    <w:rsid w:val="00A107F4"/>
    <w:rsid w:val="00A10D75"/>
    <w:rsid w:val="00A111C0"/>
    <w:rsid w:val="00A11311"/>
    <w:rsid w:val="00A114C4"/>
    <w:rsid w:val="00A12605"/>
    <w:rsid w:val="00A12C48"/>
    <w:rsid w:val="00A12C8A"/>
    <w:rsid w:val="00A12E2F"/>
    <w:rsid w:val="00A12E5F"/>
    <w:rsid w:val="00A13028"/>
    <w:rsid w:val="00A13137"/>
    <w:rsid w:val="00A13185"/>
    <w:rsid w:val="00A1358F"/>
    <w:rsid w:val="00A1359A"/>
    <w:rsid w:val="00A13945"/>
    <w:rsid w:val="00A13AFA"/>
    <w:rsid w:val="00A13C5C"/>
    <w:rsid w:val="00A14079"/>
    <w:rsid w:val="00A142C7"/>
    <w:rsid w:val="00A14447"/>
    <w:rsid w:val="00A14452"/>
    <w:rsid w:val="00A146C1"/>
    <w:rsid w:val="00A14B88"/>
    <w:rsid w:val="00A15265"/>
    <w:rsid w:val="00A15D67"/>
    <w:rsid w:val="00A15EA7"/>
    <w:rsid w:val="00A1625C"/>
    <w:rsid w:val="00A1657D"/>
    <w:rsid w:val="00A16708"/>
    <w:rsid w:val="00A16AF4"/>
    <w:rsid w:val="00A16BA5"/>
    <w:rsid w:val="00A172BA"/>
    <w:rsid w:val="00A173E5"/>
    <w:rsid w:val="00A1788A"/>
    <w:rsid w:val="00A17C06"/>
    <w:rsid w:val="00A17C3E"/>
    <w:rsid w:val="00A20187"/>
    <w:rsid w:val="00A206BC"/>
    <w:rsid w:val="00A20A6F"/>
    <w:rsid w:val="00A20B29"/>
    <w:rsid w:val="00A20BB3"/>
    <w:rsid w:val="00A20FE0"/>
    <w:rsid w:val="00A212D2"/>
    <w:rsid w:val="00A212FD"/>
    <w:rsid w:val="00A215A7"/>
    <w:rsid w:val="00A2161E"/>
    <w:rsid w:val="00A218BE"/>
    <w:rsid w:val="00A21987"/>
    <w:rsid w:val="00A2285B"/>
    <w:rsid w:val="00A228F6"/>
    <w:rsid w:val="00A229CF"/>
    <w:rsid w:val="00A22A72"/>
    <w:rsid w:val="00A22B0E"/>
    <w:rsid w:val="00A22C1C"/>
    <w:rsid w:val="00A22D84"/>
    <w:rsid w:val="00A22F77"/>
    <w:rsid w:val="00A23369"/>
    <w:rsid w:val="00A2343D"/>
    <w:rsid w:val="00A23454"/>
    <w:rsid w:val="00A238DC"/>
    <w:rsid w:val="00A23CC9"/>
    <w:rsid w:val="00A23ED2"/>
    <w:rsid w:val="00A247A4"/>
    <w:rsid w:val="00A247F2"/>
    <w:rsid w:val="00A24A95"/>
    <w:rsid w:val="00A24B7E"/>
    <w:rsid w:val="00A24E42"/>
    <w:rsid w:val="00A2517F"/>
    <w:rsid w:val="00A25410"/>
    <w:rsid w:val="00A25754"/>
    <w:rsid w:val="00A25A5A"/>
    <w:rsid w:val="00A25AAF"/>
    <w:rsid w:val="00A25AF5"/>
    <w:rsid w:val="00A25DA1"/>
    <w:rsid w:val="00A2601A"/>
    <w:rsid w:val="00A2602E"/>
    <w:rsid w:val="00A265A1"/>
    <w:rsid w:val="00A26A93"/>
    <w:rsid w:val="00A26B8E"/>
    <w:rsid w:val="00A27182"/>
    <w:rsid w:val="00A27296"/>
    <w:rsid w:val="00A272A0"/>
    <w:rsid w:val="00A272CE"/>
    <w:rsid w:val="00A2735B"/>
    <w:rsid w:val="00A2741E"/>
    <w:rsid w:val="00A274B0"/>
    <w:rsid w:val="00A27787"/>
    <w:rsid w:val="00A27798"/>
    <w:rsid w:val="00A2799B"/>
    <w:rsid w:val="00A27C48"/>
    <w:rsid w:val="00A27C97"/>
    <w:rsid w:val="00A27FD0"/>
    <w:rsid w:val="00A300AE"/>
    <w:rsid w:val="00A3049F"/>
    <w:rsid w:val="00A30573"/>
    <w:rsid w:val="00A305E1"/>
    <w:rsid w:val="00A309FC"/>
    <w:rsid w:val="00A30A01"/>
    <w:rsid w:val="00A30DD6"/>
    <w:rsid w:val="00A30E1D"/>
    <w:rsid w:val="00A30ECE"/>
    <w:rsid w:val="00A310B5"/>
    <w:rsid w:val="00A3147A"/>
    <w:rsid w:val="00A31820"/>
    <w:rsid w:val="00A31A57"/>
    <w:rsid w:val="00A31E4B"/>
    <w:rsid w:val="00A3245F"/>
    <w:rsid w:val="00A32924"/>
    <w:rsid w:val="00A32D1B"/>
    <w:rsid w:val="00A33162"/>
    <w:rsid w:val="00A33449"/>
    <w:rsid w:val="00A336A7"/>
    <w:rsid w:val="00A337BE"/>
    <w:rsid w:val="00A337D4"/>
    <w:rsid w:val="00A33BD3"/>
    <w:rsid w:val="00A33C8A"/>
    <w:rsid w:val="00A33DAF"/>
    <w:rsid w:val="00A344C3"/>
    <w:rsid w:val="00A348A7"/>
    <w:rsid w:val="00A35D5C"/>
    <w:rsid w:val="00A35D72"/>
    <w:rsid w:val="00A3616E"/>
    <w:rsid w:val="00A3618A"/>
    <w:rsid w:val="00A36283"/>
    <w:rsid w:val="00A36451"/>
    <w:rsid w:val="00A36A55"/>
    <w:rsid w:val="00A36FDF"/>
    <w:rsid w:val="00A37FD1"/>
    <w:rsid w:val="00A405D8"/>
    <w:rsid w:val="00A4082D"/>
    <w:rsid w:val="00A40D1E"/>
    <w:rsid w:val="00A41B4F"/>
    <w:rsid w:val="00A41E7C"/>
    <w:rsid w:val="00A42C4C"/>
    <w:rsid w:val="00A42D1A"/>
    <w:rsid w:val="00A42D66"/>
    <w:rsid w:val="00A42DF3"/>
    <w:rsid w:val="00A4326E"/>
    <w:rsid w:val="00A434B6"/>
    <w:rsid w:val="00A438E3"/>
    <w:rsid w:val="00A43E48"/>
    <w:rsid w:val="00A43E9E"/>
    <w:rsid w:val="00A43EFD"/>
    <w:rsid w:val="00A44084"/>
    <w:rsid w:val="00A441F6"/>
    <w:rsid w:val="00A44579"/>
    <w:rsid w:val="00A44F41"/>
    <w:rsid w:val="00A44F53"/>
    <w:rsid w:val="00A450AF"/>
    <w:rsid w:val="00A4510A"/>
    <w:rsid w:val="00A455AC"/>
    <w:rsid w:val="00A45737"/>
    <w:rsid w:val="00A4574E"/>
    <w:rsid w:val="00A45D2F"/>
    <w:rsid w:val="00A45D49"/>
    <w:rsid w:val="00A46322"/>
    <w:rsid w:val="00A46878"/>
    <w:rsid w:val="00A46C7B"/>
    <w:rsid w:val="00A46CEF"/>
    <w:rsid w:val="00A46D0D"/>
    <w:rsid w:val="00A46E2F"/>
    <w:rsid w:val="00A472DE"/>
    <w:rsid w:val="00A473AF"/>
    <w:rsid w:val="00A474E1"/>
    <w:rsid w:val="00A47BA9"/>
    <w:rsid w:val="00A47C35"/>
    <w:rsid w:val="00A47CF8"/>
    <w:rsid w:val="00A47F63"/>
    <w:rsid w:val="00A502EA"/>
    <w:rsid w:val="00A50352"/>
    <w:rsid w:val="00A503C9"/>
    <w:rsid w:val="00A5045C"/>
    <w:rsid w:val="00A5081B"/>
    <w:rsid w:val="00A50D3C"/>
    <w:rsid w:val="00A510F2"/>
    <w:rsid w:val="00A51464"/>
    <w:rsid w:val="00A5180F"/>
    <w:rsid w:val="00A51B76"/>
    <w:rsid w:val="00A5287A"/>
    <w:rsid w:val="00A528E8"/>
    <w:rsid w:val="00A52969"/>
    <w:rsid w:val="00A52AE0"/>
    <w:rsid w:val="00A52AEC"/>
    <w:rsid w:val="00A52C84"/>
    <w:rsid w:val="00A52EDF"/>
    <w:rsid w:val="00A541D7"/>
    <w:rsid w:val="00A54272"/>
    <w:rsid w:val="00A5467A"/>
    <w:rsid w:val="00A5477E"/>
    <w:rsid w:val="00A54FC3"/>
    <w:rsid w:val="00A55091"/>
    <w:rsid w:val="00A55EB2"/>
    <w:rsid w:val="00A55FC7"/>
    <w:rsid w:val="00A561CB"/>
    <w:rsid w:val="00A567B5"/>
    <w:rsid w:val="00A567D4"/>
    <w:rsid w:val="00A5680D"/>
    <w:rsid w:val="00A56D8F"/>
    <w:rsid w:val="00A56F50"/>
    <w:rsid w:val="00A57A2B"/>
    <w:rsid w:val="00A57B15"/>
    <w:rsid w:val="00A57BAC"/>
    <w:rsid w:val="00A57C30"/>
    <w:rsid w:val="00A57E8D"/>
    <w:rsid w:val="00A6042D"/>
    <w:rsid w:val="00A60712"/>
    <w:rsid w:val="00A60811"/>
    <w:rsid w:val="00A61056"/>
    <w:rsid w:val="00A6126C"/>
    <w:rsid w:val="00A61472"/>
    <w:rsid w:val="00A61476"/>
    <w:rsid w:val="00A6217A"/>
    <w:rsid w:val="00A62185"/>
    <w:rsid w:val="00A621C2"/>
    <w:rsid w:val="00A62363"/>
    <w:rsid w:val="00A62526"/>
    <w:rsid w:val="00A62818"/>
    <w:rsid w:val="00A62F4F"/>
    <w:rsid w:val="00A639D7"/>
    <w:rsid w:val="00A63A1F"/>
    <w:rsid w:val="00A63EBA"/>
    <w:rsid w:val="00A64553"/>
    <w:rsid w:val="00A645C2"/>
    <w:rsid w:val="00A64B5A"/>
    <w:rsid w:val="00A64F29"/>
    <w:rsid w:val="00A65113"/>
    <w:rsid w:val="00A65A65"/>
    <w:rsid w:val="00A65C20"/>
    <w:rsid w:val="00A65D9C"/>
    <w:rsid w:val="00A65E5C"/>
    <w:rsid w:val="00A666B9"/>
    <w:rsid w:val="00A666E7"/>
    <w:rsid w:val="00A66797"/>
    <w:rsid w:val="00A66911"/>
    <w:rsid w:val="00A66C41"/>
    <w:rsid w:val="00A66DB9"/>
    <w:rsid w:val="00A66E4A"/>
    <w:rsid w:val="00A671BC"/>
    <w:rsid w:val="00A6777D"/>
    <w:rsid w:val="00A679E8"/>
    <w:rsid w:val="00A70604"/>
    <w:rsid w:val="00A70E98"/>
    <w:rsid w:val="00A70FE7"/>
    <w:rsid w:val="00A711A6"/>
    <w:rsid w:val="00A716CB"/>
    <w:rsid w:val="00A71B22"/>
    <w:rsid w:val="00A725A9"/>
    <w:rsid w:val="00A727E1"/>
    <w:rsid w:val="00A72840"/>
    <w:rsid w:val="00A72ADA"/>
    <w:rsid w:val="00A72B43"/>
    <w:rsid w:val="00A72CB5"/>
    <w:rsid w:val="00A7353A"/>
    <w:rsid w:val="00A73774"/>
    <w:rsid w:val="00A7396E"/>
    <w:rsid w:val="00A73CF1"/>
    <w:rsid w:val="00A73D63"/>
    <w:rsid w:val="00A7416D"/>
    <w:rsid w:val="00A741CB"/>
    <w:rsid w:val="00A74235"/>
    <w:rsid w:val="00A74313"/>
    <w:rsid w:val="00A74C34"/>
    <w:rsid w:val="00A75162"/>
    <w:rsid w:val="00A75372"/>
    <w:rsid w:val="00A7584F"/>
    <w:rsid w:val="00A758A0"/>
    <w:rsid w:val="00A75AAD"/>
    <w:rsid w:val="00A762C8"/>
    <w:rsid w:val="00A7665A"/>
    <w:rsid w:val="00A768F1"/>
    <w:rsid w:val="00A76969"/>
    <w:rsid w:val="00A76DF7"/>
    <w:rsid w:val="00A76F48"/>
    <w:rsid w:val="00A77157"/>
    <w:rsid w:val="00A77296"/>
    <w:rsid w:val="00A772B7"/>
    <w:rsid w:val="00A77C19"/>
    <w:rsid w:val="00A77D37"/>
    <w:rsid w:val="00A77FCD"/>
    <w:rsid w:val="00A80027"/>
    <w:rsid w:val="00A81241"/>
    <w:rsid w:val="00A81522"/>
    <w:rsid w:val="00A81537"/>
    <w:rsid w:val="00A8157E"/>
    <w:rsid w:val="00A815C2"/>
    <w:rsid w:val="00A8171A"/>
    <w:rsid w:val="00A82150"/>
    <w:rsid w:val="00A82579"/>
    <w:rsid w:val="00A8279A"/>
    <w:rsid w:val="00A82D31"/>
    <w:rsid w:val="00A8324B"/>
    <w:rsid w:val="00A8346B"/>
    <w:rsid w:val="00A8352A"/>
    <w:rsid w:val="00A83770"/>
    <w:rsid w:val="00A83F31"/>
    <w:rsid w:val="00A840DA"/>
    <w:rsid w:val="00A846F9"/>
    <w:rsid w:val="00A84856"/>
    <w:rsid w:val="00A8491D"/>
    <w:rsid w:val="00A84EFC"/>
    <w:rsid w:val="00A85363"/>
    <w:rsid w:val="00A85427"/>
    <w:rsid w:val="00A855EE"/>
    <w:rsid w:val="00A856B7"/>
    <w:rsid w:val="00A85A9B"/>
    <w:rsid w:val="00A865FF"/>
    <w:rsid w:val="00A8690C"/>
    <w:rsid w:val="00A871A3"/>
    <w:rsid w:val="00A87377"/>
    <w:rsid w:val="00A87720"/>
    <w:rsid w:val="00A87B75"/>
    <w:rsid w:val="00A87ED0"/>
    <w:rsid w:val="00A900E4"/>
    <w:rsid w:val="00A90103"/>
    <w:rsid w:val="00A901BE"/>
    <w:rsid w:val="00A90868"/>
    <w:rsid w:val="00A908CF"/>
    <w:rsid w:val="00A90B06"/>
    <w:rsid w:val="00A90BB6"/>
    <w:rsid w:val="00A90DBE"/>
    <w:rsid w:val="00A90EA3"/>
    <w:rsid w:val="00A90EDC"/>
    <w:rsid w:val="00A90F54"/>
    <w:rsid w:val="00A9100D"/>
    <w:rsid w:val="00A91309"/>
    <w:rsid w:val="00A91481"/>
    <w:rsid w:val="00A91561"/>
    <w:rsid w:val="00A91FFC"/>
    <w:rsid w:val="00A923B8"/>
    <w:rsid w:val="00A92BD7"/>
    <w:rsid w:val="00A93389"/>
    <w:rsid w:val="00A936E1"/>
    <w:rsid w:val="00A93ABF"/>
    <w:rsid w:val="00A93EA6"/>
    <w:rsid w:val="00A93ED4"/>
    <w:rsid w:val="00A948F2"/>
    <w:rsid w:val="00A94F20"/>
    <w:rsid w:val="00A95357"/>
    <w:rsid w:val="00A954F5"/>
    <w:rsid w:val="00A955FD"/>
    <w:rsid w:val="00A959D0"/>
    <w:rsid w:val="00A95A6E"/>
    <w:rsid w:val="00A95ABF"/>
    <w:rsid w:val="00A95C7F"/>
    <w:rsid w:val="00A95D19"/>
    <w:rsid w:val="00A95DA2"/>
    <w:rsid w:val="00A9650E"/>
    <w:rsid w:val="00A9693C"/>
    <w:rsid w:val="00A969F0"/>
    <w:rsid w:val="00A96AEE"/>
    <w:rsid w:val="00A96EBD"/>
    <w:rsid w:val="00AA061F"/>
    <w:rsid w:val="00AA076A"/>
    <w:rsid w:val="00AA1154"/>
    <w:rsid w:val="00AA122D"/>
    <w:rsid w:val="00AA1468"/>
    <w:rsid w:val="00AA155E"/>
    <w:rsid w:val="00AA1FE3"/>
    <w:rsid w:val="00AA24A2"/>
    <w:rsid w:val="00AA2E13"/>
    <w:rsid w:val="00AA2E34"/>
    <w:rsid w:val="00AA3015"/>
    <w:rsid w:val="00AA3359"/>
    <w:rsid w:val="00AA3478"/>
    <w:rsid w:val="00AA34D8"/>
    <w:rsid w:val="00AA3501"/>
    <w:rsid w:val="00AA3512"/>
    <w:rsid w:val="00AA356C"/>
    <w:rsid w:val="00AA3D57"/>
    <w:rsid w:val="00AA3F9D"/>
    <w:rsid w:val="00AA41BA"/>
    <w:rsid w:val="00AA4389"/>
    <w:rsid w:val="00AA484A"/>
    <w:rsid w:val="00AA4C84"/>
    <w:rsid w:val="00AA515C"/>
    <w:rsid w:val="00AA534C"/>
    <w:rsid w:val="00AA54A3"/>
    <w:rsid w:val="00AA54EC"/>
    <w:rsid w:val="00AA64F8"/>
    <w:rsid w:val="00AA6734"/>
    <w:rsid w:val="00AA6CAF"/>
    <w:rsid w:val="00AA780E"/>
    <w:rsid w:val="00AA7968"/>
    <w:rsid w:val="00AA7EEF"/>
    <w:rsid w:val="00AB01E2"/>
    <w:rsid w:val="00AB08F4"/>
    <w:rsid w:val="00AB1315"/>
    <w:rsid w:val="00AB1332"/>
    <w:rsid w:val="00AB140A"/>
    <w:rsid w:val="00AB1672"/>
    <w:rsid w:val="00AB1745"/>
    <w:rsid w:val="00AB180D"/>
    <w:rsid w:val="00AB1EBA"/>
    <w:rsid w:val="00AB25D9"/>
    <w:rsid w:val="00AB2707"/>
    <w:rsid w:val="00AB2C98"/>
    <w:rsid w:val="00AB2E46"/>
    <w:rsid w:val="00AB332D"/>
    <w:rsid w:val="00AB3548"/>
    <w:rsid w:val="00AB3781"/>
    <w:rsid w:val="00AB3840"/>
    <w:rsid w:val="00AB3AED"/>
    <w:rsid w:val="00AB3D6A"/>
    <w:rsid w:val="00AB3FEC"/>
    <w:rsid w:val="00AB427D"/>
    <w:rsid w:val="00AB453D"/>
    <w:rsid w:val="00AB45A4"/>
    <w:rsid w:val="00AB4903"/>
    <w:rsid w:val="00AB4A86"/>
    <w:rsid w:val="00AB4D4B"/>
    <w:rsid w:val="00AB50D1"/>
    <w:rsid w:val="00AB535F"/>
    <w:rsid w:val="00AB5440"/>
    <w:rsid w:val="00AB5A7C"/>
    <w:rsid w:val="00AB5B48"/>
    <w:rsid w:val="00AB5C7B"/>
    <w:rsid w:val="00AB6397"/>
    <w:rsid w:val="00AB64D1"/>
    <w:rsid w:val="00AB6992"/>
    <w:rsid w:val="00AB6D36"/>
    <w:rsid w:val="00AB78F9"/>
    <w:rsid w:val="00AB7AD2"/>
    <w:rsid w:val="00AB7C7E"/>
    <w:rsid w:val="00AC01F6"/>
    <w:rsid w:val="00AC0401"/>
    <w:rsid w:val="00AC0614"/>
    <w:rsid w:val="00AC08A2"/>
    <w:rsid w:val="00AC0C31"/>
    <w:rsid w:val="00AC0CFD"/>
    <w:rsid w:val="00AC0DCE"/>
    <w:rsid w:val="00AC1027"/>
    <w:rsid w:val="00AC1237"/>
    <w:rsid w:val="00AC175D"/>
    <w:rsid w:val="00AC17CB"/>
    <w:rsid w:val="00AC1915"/>
    <w:rsid w:val="00AC19B2"/>
    <w:rsid w:val="00AC1A5B"/>
    <w:rsid w:val="00AC20DC"/>
    <w:rsid w:val="00AC262A"/>
    <w:rsid w:val="00AC273F"/>
    <w:rsid w:val="00AC2789"/>
    <w:rsid w:val="00AC318F"/>
    <w:rsid w:val="00AC31E0"/>
    <w:rsid w:val="00AC39AC"/>
    <w:rsid w:val="00AC3D2E"/>
    <w:rsid w:val="00AC3D73"/>
    <w:rsid w:val="00AC3EAE"/>
    <w:rsid w:val="00AC4239"/>
    <w:rsid w:val="00AC42AD"/>
    <w:rsid w:val="00AC42D6"/>
    <w:rsid w:val="00AC4B30"/>
    <w:rsid w:val="00AC4B99"/>
    <w:rsid w:val="00AC4D0C"/>
    <w:rsid w:val="00AC4EBA"/>
    <w:rsid w:val="00AC50D4"/>
    <w:rsid w:val="00AC5325"/>
    <w:rsid w:val="00AC5537"/>
    <w:rsid w:val="00AC567A"/>
    <w:rsid w:val="00AC5974"/>
    <w:rsid w:val="00AC5AC4"/>
    <w:rsid w:val="00AC5D60"/>
    <w:rsid w:val="00AC5D9B"/>
    <w:rsid w:val="00AC607F"/>
    <w:rsid w:val="00AC6439"/>
    <w:rsid w:val="00AC6D27"/>
    <w:rsid w:val="00AC7024"/>
    <w:rsid w:val="00AC7059"/>
    <w:rsid w:val="00AC71A9"/>
    <w:rsid w:val="00AC7484"/>
    <w:rsid w:val="00AC74C0"/>
    <w:rsid w:val="00AC7530"/>
    <w:rsid w:val="00AC76B7"/>
    <w:rsid w:val="00AC79A5"/>
    <w:rsid w:val="00AC7DC9"/>
    <w:rsid w:val="00AD084F"/>
    <w:rsid w:val="00AD0AD2"/>
    <w:rsid w:val="00AD0F10"/>
    <w:rsid w:val="00AD1170"/>
    <w:rsid w:val="00AD151F"/>
    <w:rsid w:val="00AD18C1"/>
    <w:rsid w:val="00AD1A71"/>
    <w:rsid w:val="00AD2070"/>
    <w:rsid w:val="00AD2BE2"/>
    <w:rsid w:val="00AD2DE1"/>
    <w:rsid w:val="00AD2F6D"/>
    <w:rsid w:val="00AD2F8C"/>
    <w:rsid w:val="00AD38A5"/>
    <w:rsid w:val="00AD3E11"/>
    <w:rsid w:val="00AD3E35"/>
    <w:rsid w:val="00AD403A"/>
    <w:rsid w:val="00AD43E0"/>
    <w:rsid w:val="00AD4543"/>
    <w:rsid w:val="00AD4656"/>
    <w:rsid w:val="00AD487A"/>
    <w:rsid w:val="00AD4B15"/>
    <w:rsid w:val="00AD57F6"/>
    <w:rsid w:val="00AD585B"/>
    <w:rsid w:val="00AD5B07"/>
    <w:rsid w:val="00AD5B3C"/>
    <w:rsid w:val="00AD5B59"/>
    <w:rsid w:val="00AD6148"/>
    <w:rsid w:val="00AD618B"/>
    <w:rsid w:val="00AD66F9"/>
    <w:rsid w:val="00AD6939"/>
    <w:rsid w:val="00AD6B56"/>
    <w:rsid w:val="00AD6E5C"/>
    <w:rsid w:val="00AD7173"/>
    <w:rsid w:val="00AD79F1"/>
    <w:rsid w:val="00AD7CCA"/>
    <w:rsid w:val="00AD7CF5"/>
    <w:rsid w:val="00AE02AF"/>
    <w:rsid w:val="00AE0402"/>
    <w:rsid w:val="00AE07A6"/>
    <w:rsid w:val="00AE07C8"/>
    <w:rsid w:val="00AE091F"/>
    <w:rsid w:val="00AE0EC0"/>
    <w:rsid w:val="00AE104A"/>
    <w:rsid w:val="00AE111C"/>
    <w:rsid w:val="00AE1ED4"/>
    <w:rsid w:val="00AE2473"/>
    <w:rsid w:val="00AE24C6"/>
    <w:rsid w:val="00AE2565"/>
    <w:rsid w:val="00AE2A3A"/>
    <w:rsid w:val="00AE2B68"/>
    <w:rsid w:val="00AE2C1A"/>
    <w:rsid w:val="00AE3379"/>
    <w:rsid w:val="00AE3500"/>
    <w:rsid w:val="00AE3952"/>
    <w:rsid w:val="00AE3C9B"/>
    <w:rsid w:val="00AE3EE8"/>
    <w:rsid w:val="00AE402D"/>
    <w:rsid w:val="00AE43B2"/>
    <w:rsid w:val="00AE490E"/>
    <w:rsid w:val="00AE4C0A"/>
    <w:rsid w:val="00AE4EE2"/>
    <w:rsid w:val="00AE5380"/>
    <w:rsid w:val="00AE5517"/>
    <w:rsid w:val="00AE5535"/>
    <w:rsid w:val="00AE5561"/>
    <w:rsid w:val="00AE57BE"/>
    <w:rsid w:val="00AE5E90"/>
    <w:rsid w:val="00AE6511"/>
    <w:rsid w:val="00AE6552"/>
    <w:rsid w:val="00AE65B1"/>
    <w:rsid w:val="00AE6A25"/>
    <w:rsid w:val="00AE6ACF"/>
    <w:rsid w:val="00AE6AD8"/>
    <w:rsid w:val="00AE7026"/>
    <w:rsid w:val="00AE70FF"/>
    <w:rsid w:val="00AE71E8"/>
    <w:rsid w:val="00AE72AD"/>
    <w:rsid w:val="00AE72DA"/>
    <w:rsid w:val="00AE7589"/>
    <w:rsid w:val="00AE77C5"/>
    <w:rsid w:val="00AE77F9"/>
    <w:rsid w:val="00AE7D20"/>
    <w:rsid w:val="00AE7E27"/>
    <w:rsid w:val="00AE7EC0"/>
    <w:rsid w:val="00AF05B1"/>
    <w:rsid w:val="00AF07B1"/>
    <w:rsid w:val="00AF0A68"/>
    <w:rsid w:val="00AF0B1E"/>
    <w:rsid w:val="00AF0E5E"/>
    <w:rsid w:val="00AF0EB4"/>
    <w:rsid w:val="00AF1873"/>
    <w:rsid w:val="00AF1B1E"/>
    <w:rsid w:val="00AF1FE6"/>
    <w:rsid w:val="00AF24CE"/>
    <w:rsid w:val="00AF24D0"/>
    <w:rsid w:val="00AF375D"/>
    <w:rsid w:val="00AF387D"/>
    <w:rsid w:val="00AF3F81"/>
    <w:rsid w:val="00AF40EB"/>
    <w:rsid w:val="00AF48A7"/>
    <w:rsid w:val="00AF4A18"/>
    <w:rsid w:val="00AF5045"/>
    <w:rsid w:val="00AF515F"/>
    <w:rsid w:val="00AF58C1"/>
    <w:rsid w:val="00AF5A2A"/>
    <w:rsid w:val="00AF5CC2"/>
    <w:rsid w:val="00AF63C9"/>
    <w:rsid w:val="00AF64D9"/>
    <w:rsid w:val="00AF68CC"/>
    <w:rsid w:val="00AF6D83"/>
    <w:rsid w:val="00AF7197"/>
    <w:rsid w:val="00AF732E"/>
    <w:rsid w:val="00AF7531"/>
    <w:rsid w:val="00AF7535"/>
    <w:rsid w:val="00AF759F"/>
    <w:rsid w:val="00AF7925"/>
    <w:rsid w:val="00AF7E6B"/>
    <w:rsid w:val="00B004C3"/>
    <w:rsid w:val="00B004FD"/>
    <w:rsid w:val="00B00893"/>
    <w:rsid w:val="00B00923"/>
    <w:rsid w:val="00B009D0"/>
    <w:rsid w:val="00B00A11"/>
    <w:rsid w:val="00B00B82"/>
    <w:rsid w:val="00B00C68"/>
    <w:rsid w:val="00B011C2"/>
    <w:rsid w:val="00B0121D"/>
    <w:rsid w:val="00B01545"/>
    <w:rsid w:val="00B017A7"/>
    <w:rsid w:val="00B01BC6"/>
    <w:rsid w:val="00B01C4E"/>
    <w:rsid w:val="00B01D9B"/>
    <w:rsid w:val="00B02DC1"/>
    <w:rsid w:val="00B03810"/>
    <w:rsid w:val="00B0494F"/>
    <w:rsid w:val="00B05C9A"/>
    <w:rsid w:val="00B05CE3"/>
    <w:rsid w:val="00B05E88"/>
    <w:rsid w:val="00B065D7"/>
    <w:rsid w:val="00B06663"/>
    <w:rsid w:val="00B06819"/>
    <w:rsid w:val="00B06961"/>
    <w:rsid w:val="00B06A63"/>
    <w:rsid w:val="00B06BD4"/>
    <w:rsid w:val="00B06DF2"/>
    <w:rsid w:val="00B07541"/>
    <w:rsid w:val="00B075BD"/>
    <w:rsid w:val="00B0768E"/>
    <w:rsid w:val="00B07955"/>
    <w:rsid w:val="00B10035"/>
    <w:rsid w:val="00B10E3F"/>
    <w:rsid w:val="00B10FE2"/>
    <w:rsid w:val="00B110A0"/>
    <w:rsid w:val="00B11E7E"/>
    <w:rsid w:val="00B12115"/>
    <w:rsid w:val="00B12147"/>
    <w:rsid w:val="00B125E1"/>
    <w:rsid w:val="00B1274A"/>
    <w:rsid w:val="00B127EC"/>
    <w:rsid w:val="00B12A13"/>
    <w:rsid w:val="00B12E68"/>
    <w:rsid w:val="00B1320B"/>
    <w:rsid w:val="00B134A1"/>
    <w:rsid w:val="00B1350C"/>
    <w:rsid w:val="00B13797"/>
    <w:rsid w:val="00B137A2"/>
    <w:rsid w:val="00B13A64"/>
    <w:rsid w:val="00B14839"/>
    <w:rsid w:val="00B14E2E"/>
    <w:rsid w:val="00B14EF2"/>
    <w:rsid w:val="00B1507D"/>
    <w:rsid w:val="00B15128"/>
    <w:rsid w:val="00B151BB"/>
    <w:rsid w:val="00B15224"/>
    <w:rsid w:val="00B152C9"/>
    <w:rsid w:val="00B16039"/>
    <w:rsid w:val="00B164EC"/>
    <w:rsid w:val="00B1670D"/>
    <w:rsid w:val="00B16938"/>
    <w:rsid w:val="00B1708D"/>
    <w:rsid w:val="00B177C3"/>
    <w:rsid w:val="00B1794B"/>
    <w:rsid w:val="00B17D02"/>
    <w:rsid w:val="00B17D5E"/>
    <w:rsid w:val="00B17FDA"/>
    <w:rsid w:val="00B20186"/>
    <w:rsid w:val="00B20523"/>
    <w:rsid w:val="00B207E8"/>
    <w:rsid w:val="00B20AEF"/>
    <w:rsid w:val="00B20E71"/>
    <w:rsid w:val="00B21627"/>
    <w:rsid w:val="00B2173C"/>
    <w:rsid w:val="00B2188A"/>
    <w:rsid w:val="00B21CE1"/>
    <w:rsid w:val="00B22023"/>
    <w:rsid w:val="00B22180"/>
    <w:rsid w:val="00B22462"/>
    <w:rsid w:val="00B22D31"/>
    <w:rsid w:val="00B23235"/>
    <w:rsid w:val="00B23283"/>
    <w:rsid w:val="00B233B6"/>
    <w:rsid w:val="00B233C1"/>
    <w:rsid w:val="00B24348"/>
    <w:rsid w:val="00B24474"/>
    <w:rsid w:val="00B2461A"/>
    <w:rsid w:val="00B24863"/>
    <w:rsid w:val="00B24967"/>
    <w:rsid w:val="00B24BF0"/>
    <w:rsid w:val="00B2504D"/>
    <w:rsid w:val="00B2506F"/>
    <w:rsid w:val="00B25320"/>
    <w:rsid w:val="00B25B38"/>
    <w:rsid w:val="00B260AE"/>
    <w:rsid w:val="00B262AE"/>
    <w:rsid w:val="00B264BD"/>
    <w:rsid w:val="00B265C8"/>
    <w:rsid w:val="00B26A19"/>
    <w:rsid w:val="00B26CB4"/>
    <w:rsid w:val="00B26CF6"/>
    <w:rsid w:val="00B27057"/>
    <w:rsid w:val="00B2708B"/>
    <w:rsid w:val="00B27C89"/>
    <w:rsid w:val="00B300B6"/>
    <w:rsid w:val="00B30A19"/>
    <w:rsid w:val="00B31243"/>
    <w:rsid w:val="00B3128B"/>
    <w:rsid w:val="00B31358"/>
    <w:rsid w:val="00B314A3"/>
    <w:rsid w:val="00B31720"/>
    <w:rsid w:val="00B31987"/>
    <w:rsid w:val="00B32526"/>
    <w:rsid w:val="00B32E81"/>
    <w:rsid w:val="00B332AA"/>
    <w:rsid w:val="00B332DD"/>
    <w:rsid w:val="00B3331B"/>
    <w:rsid w:val="00B33353"/>
    <w:rsid w:val="00B33415"/>
    <w:rsid w:val="00B33744"/>
    <w:rsid w:val="00B33843"/>
    <w:rsid w:val="00B3397B"/>
    <w:rsid w:val="00B33CC4"/>
    <w:rsid w:val="00B33FCE"/>
    <w:rsid w:val="00B34234"/>
    <w:rsid w:val="00B3453A"/>
    <w:rsid w:val="00B3464B"/>
    <w:rsid w:val="00B34722"/>
    <w:rsid w:val="00B34B70"/>
    <w:rsid w:val="00B34F41"/>
    <w:rsid w:val="00B35123"/>
    <w:rsid w:val="00B352E7"/>
    <w:rsid w:val="00B356EC"/>
    <w:rsid w:val="00B35BD7"/>
    <w:rsid w:val="00B35D4F"/>
    <w:rsid w:val="00B36205"/>
    <w:rsid w:val="00B36239"/>
    <w:rsid w:val="00B36563"/>
    <w:rsid w:val="00B36808"/>
    <w:rsid w:val="00B36C6B"/>
    <w:rsid w:val="00B37109"/>
    <w:rsid w:val="00B37237"/>
    <w:rsid w:val="00B3793B"/>
    <w:rsid w:val="00B4028D"/>
    <w:rsid w:val="00B402EF"/>
    <w:rsid w:val="00B4181E"/>
    <w:rsid w:val="00B41B4C"/>
    <w:rsid w:val="00B41BAB"/>
    <w:rsid w:val="00B421B9"/>
    <w:rsid w:val="00B42256"/>
    <w:rsid w:val="00B42476"/>
    <w:rsid w:val="00B428C0"/>
    <w:rsid w:val="00B4292B"/>
    <w:rsid w:val="00B42A46"/>
    <w:rsid w:val="00B43026"/>
    <w:rsid w:val="00B43294"/>
    <w:rsid w:val="00B4357B"/>
    <w:rsid w:val="00B438C6"/>
    <w:rsid w:val="00B43AF4"/>
    <w:rsid w:val="00B43FE6"/>
    <w:rsid w:val="00B4401D"/>
    <w:rsid w:val="00B442B0"/>
    <w:rsid w:val="00B44325"/>
    <w:rsid w:val="00B4439F"/>
    <w:rsid w:val="00B44708"/>
    <w:rsid w:val="00B45125"/>
    <w:rsid w:val="00B4570D"/>
    <w:rsid w:val="00B45818"/>
    <w:rsid w:val="00B4591D"/>
    <w:rsid w:val="00B45C29"/>
    <w:rsid w:val="00B45FD8"/>
    <w:rsid w:val="00B460E8"/>
    <w:rsid w:val="00B46144"/>
    <w:rsid w:val="00B4648B"/>
    <w:rsid w:val="00B46868"/>
    <w:rsid w:val="00B468FF"/>
    <w:rsid w:val="00B46972"/>
    <w:rsid w:val="00B469CD"/>
    <w:rsid w:val="00B46A26"/>
    <w:rsid w:val="00B46C7A"/>
    <w:rsid w:val="00B46C81"/>
    <w:rsid w:val="00B470A0"/>
    <w:rsid w:val="00B47284"/>
    <w:rsid w:val="00B4749D"/>
    <w:rsid w:val="00B475E4"/>
    <w:rsid w:val="00B47642"/>
    <w:rsid w:val="00B47CFB"/>
    <w:rsid w:val="00B50206"/>
    <w:rsid w:val="00B510F5"/>
    <w:rsid w:val="00B511B4"/>
    <w:rsid w:val="00B51317"/>
    <w:rsid w:val="00B51668"/>
    <w:rsid w:val="00B51A4C"/>
    <w:rsid w:val="00B51BD6"/>
    <w:rsid w:val="00B51DC4"/>
    <w:rsid w:val="00B52055"/>
    <w:rsid w:val="00B521C0"/>
    <w:rsid w:val="00B52289"/>
    <w:rsid w:val="00B52B9B"/>
    <w:rsid w:val="00B52D7B"/>
    <w:rsid w:val="00B52EE4"/>
    <w:rsid w:val="00B5399E"/>
    <w:rsid w:val="00B53B8F"/>
    <w:rsid w:val="00B53FC5"/>
    <w:rsid w:val="00B543DB"/>
    <w:rsid w:val="00B54644"/>
    <w:rsid w:val="00B54651"/>
    <w:rsid w:val="00B547D9"/>
    <w:rsid w:val="00B547E8"/>
    <w:rsid w:val="00B548EF"/>
    <w:rsid w:val="00B54BBC"/>
    <w:rsid w:val="00B54BC0"/>
    <w:rsid w:val="00B54E4C"/>
    <w:rsid w:val="00B559A1"/>
    <w:rsid w:val="00B55D64"/>
    <w:rsid w:val="00B55E6F"/>
    <w:rsid w:val="00B55EE9"/>
    <w:rsid w:val="00B5609B"/>
    <w:rsid w:val="00B56389"/>
    <w:rsid w:val="00B56888"/>
    <w:rsid w:val="00B568AF"/>
    <w:rsid w:val="00B56E57"/>
    <w:rsid w:val="00B572A6"/>
    <w:rsid w:val="00B57448"/>
    <w:rsid w:val="00B57610"/>
    <w:rsid w:val="00B579CC"/>
    <w:rsid w:val="00B57C24"/>
    <w:rsid w:val="00B57C2D"/>
    <w:rsid w:val="00B57EC6"/>
    <w:rsid w:val="00B60124"/>
    <w:rsid w:val="00B60434"/>
    <w:rsid w:val="00B605DB"/>
    <w:rsid w:val="00B60852"/>
    <w:rsid w:val="00B60AA0"/>
    <w:rsid w:val="00B60E70"/>
    <w:rsid w:val="00B60E7C"/>
    <w:rsid w:val="00B60ECA"/>
    <w:rsid w:val="00B61006"/>
    <w:rsid w:val="00B61388"/>
    <w:rsid w:val="00B617FB"/>
    <w:rsid w:val="00B61B28"/>
    <w:rsid w:val="00B61B32"/>
    <w:rsid w:val="00B61BA2"/>
    <w:rsid w:val="00B61FBA"/>
    <w:rsid w:val="00B62032"/>
    <w:rsid w:val="00B62319"/>
    <w:rsid w:val="00B6293B"/>
    <w:rsid w:val="00B62C1B"/>
    <w:rsid w:val="00B63212"/>
    <w:rsid w:val="00B63767"/>
    <w:rsid w:val="00B63CCD"/>
    <w:rsid w:val="00B63E34"/>
    <w:rsid w:val="00B63F46"/>
    <w:rsid w:val="00B64BEC"/>
    <w:rsid w:val="00B64C90"/>
    <w:rsid w:val="00B64DFF"/>
    <w:rsid w:val="00B64E6C"/>
    <w:rsid w:val="00B64E8D"/>
    <w:rsid w:val="00B64FF4"/>
    <w:rsid w:val="00B653DF"/>
    <w:rsid w:val="00B656FA"/>
    <w:rsid w:val="00B65CF9"/>
    <w:rsid w:val="00B66A92"/>
    <w:rsid w:val="00B66EB8"/>
    <w:rsid w:val="00B66F0C"/>
    <w:rsid w:val="00B66F60"/>
    <w:rsid w:val="00B67206"/>
    <w:rsid w:val="00B672B4"/>
    <w:rsid w:val="00B676EA"/>
    <w:rsid w:val="00B67876"/>
    <w:rsid w:val="00B67AA1"/>
    <w:rsid w:val="00B67E70"/>
    <w:rsid w:val="00B67F99"/>
    <w:rsid w:val="00B70046"/>
    <w:rsid w:val="00B7027A"/>
    <w:rsid w:val="00B70735"/>
    <w:rsid w:val="00B70B2E"/>
    <w:rsid w:val="00B70FD3"/>
    <w:rsid w:val="00B7137D"/>
    <w:rsid w:val="00B7140E"/>
    <w:rsid w:val="00B71852"/>
    <w:rsid w:val="00B7194E"/>
    <w:rsid w:val="00B71E29"/>
    <w:rsid w:val="00B72147"/>
    <w:rsid w:val="00B724D8"/>
    <w:rsid w:val="00B725C5"/>
    <w:rsid w:val="00B72A87"/>
    <w:rsid w:val="00B72CA4"/>
    <w:rsid w:val="00B72D7A"/>
    <w:rsid w:val="00B7366F"/>
    <w:rsid w:val="00B73F36"/>
    <w:rsid w:val="00B7416D"/>
    <w:rsid w:val="00B741FB"/>
    <w:rsid w:val="00B74332"/>
    <w:rsid w:val="00B7465B"/>
    <w:rsid w:val="00B74759"/>
    <w:rsid w:val="00B74A56"/>
    <w:rsid w:val="00B74EEE"/>
    <w:rsid w:val="00B751D9"/>
    <w:rsid w:val="00B75239"/>
    <w:rsid w:val="00B75AA0"/>
    <w:rsid w:val="00B75CF4"/>
    <w:rsid w:val="00B76248"/>
    <w:rsid w:val="00B762ED"/>
    <w:rsid w:val="00B76360"/>
    <w:rsid w:val="00B765B6"/>
    <w:rsid w:val="00B767C2"/>
    <w:rsid w:val="00B768C9"/>
    <w:rsid w:val="00B7693F"/>
    <w:rsid w:val="00B76C9C"/>
    <w:rsid w:val="00B76E74"/>
    <w:rsid w:val="00B775D3"/>
    <w:rsid w:val="00B779D5"/>
    <w:rsid w:val="00B77A3B"/>
    <w:rsid w:val="00B77B40"/>
    <w:rsid w:val="00B77E48"/>
    <w:rsid w:val="00B8004E"/>
    <w:rsid w:val="00B80B5D"/>
    <w:rsid w:val="00B80FBA"/>
    <w:rsid w:val="00B815D1"/>
    <w:rsid w:val="00B816BB"/>
    <w:rsid w:val="00B816FA"/>
    <w:rsid w:val="00B8171E"/>
    <w:rsid w:val="00B81738"/>
    <w:rsid w:val="00B819A5"/>
    <w:rsid w:val="00B81B31"/>
    <w:rsid w:val="00B82815"/>
    <w:rsid w:val="00B82840"/>
    <w:rsid w:val="00B82DFA"/>
    <w:rsid w:val="00B8321C"/>
    <w:rsid w:val="00B83346"/>
    <w:rsid w:val="00B83591"/>
    <w:rsid w:val="00B8386D"/>
    <w:rsid w:val="00B83A14"/>
    <w:rsid w:val="00B8400F"/>
    <w:rsid w:val="00B84500"/>
    <w:rsid w:val="00B847DF"/>
    <w:rsid w:val="00B84871"/>
    <w:rsid w:val="00B8488F"/>
    <w:rsid w:val="00B84BEB"/>
    <w:rsid w:val="00B84D24"/>
    <w:rsid w:val="00B85037"/>
    <w:rsid w:val="00B8510B"/>
    <w:rsid w:val="00B859A3"/>
    <w:rsid w:val="00B860FE"/>
    <w:rsid w:val="00B8656D"/>
    <w:rsid w:val="00B86607"/>
    <w:rsid w:val="00B8673F"/>
    <w:rsid w:val="00B87671"/>
    <w:rsid w:val="00B878EF"/>
    <w:rsid w:val="00B87C79"/>
    <w:rsid w:val="00B87D5D"/>
    <w:rsid w:val="00B90542"/>
    <w:rsid w:val="00B908B1"/>
    <w:rsid w:val="00B908B6"/>
    <w:rsid w:val="00B90A7B"/>
    <w:rsid w:val="00B90AEF"/>
    <w:rsid w:val="00B9127E"/>
    <w:rsid w:val="00B91471"/>
    <w:rsid w:val="00B915BE"/>
    <w:rsid w:val="00B91A70"/>
    <w:rsid w:val="00B91ACA"/>
    <w:rsid w:val="00B91B65"/>
    <w:rsid w:val="00B91D63"/>
    <w:rsid w:val="00B91DA0"/>
    <w:rsid w:val="00B923D8"/>
    <w:rsid w:val="00B929AA"/>
    <w:rsid w:val="00B92A2E"/>
    <w:rsid w:val="00B932AD"/>
    <w:rsid w:val="00B93C8C"/>
    <w:rsid w:val="00B93F19"/>
    <w:rsid w:val="00B93FF7"/>
    <w:rsid w:val="00B940CF"/>
    <w:rsid w:val="00B94B31"/>
    <w:rsid w:val="00B94E15"/>
    <w:rsid w:val="00B955AA"/>
    <w:rsid w:val="00B95CB2"/>
    <w:rsid w:val="00B95DF2"/>
    <w:rsid w:val="00B9649B"/>
    <w:rsid w:val="00B96BE9"/>
    <w:rsid w:val="00B96EA0"/>
    <w:rsid w:val="00B9739D"/>
    <w:rsid w:val="00B97930"/>
    <w:rsid w:val="00B9794B"/>
    <w:rsid w:val="00B97D8A"/>
    <w:rsid w:val="00BA00D7"/>
    <w:rsid w:val="00BA05B1"/>
    <w:rsid w:val="00BA0698"/>
    <w:rsid w:val="00BA0A0E"/>
    <w:rsid w:val="00BA1562"/>
    <w:rsid w:val="00BA1638"/>
    <w:rsid w:val="00BA22A2"/>
    <w:rsid w:val="00BA24C8"/>
    <w:rsid w:val="00BA2AE7"/>
    <w:rsid w:val="00BA2BD5"/>
    <w:rsid w:val="00BA2E1E"/>
    <w:rsid w:val="00BA3201"/>
    <w:rsid w:val="00BA32D9"/>
    <w:rsid w:val="00BA3400"/>
    <w:rsid w:val="00BA3DCC"/>
    <w:rsid w:val="00BA41AC"/>
    <w:rsid w:val="00BA44FF"/>
    <w:rsid w:val="00BA4A07"/>
    <w:rsid w:val="00BA4BCB"/>
    <w:rsid w:val="00BA4E5E"/>
    <w:rsid w:val="00BA51D4"/>
    <w:rsid w:val="00BA5528"/>
    <w:rsid w:val="00BA5625"/>
    <w:rsid w:val="00BA66BB"/>
    <w:rsid w:val="00BA6A0D"/>
    <w:rsid w:val="00BA6C37"/>
    <w:rsid w:val="00BA6E24"/>
    <w:rsid w:val="00BA6EAC"/>
    <w:rsid w:val="00BA7581"/>
    <w:rsid w:val="00BA75DA"/>
    <w:rsid w:val="00BA7760"/>
    <w:rsid w:val="00BA7794"/>
    <w:rsid w:val="00BA7884"/>
    <w:rsid w:val="00BA7A8E"/>
    <w:rsid w:val="00BB0717"/>
    <w:rsid w:val="00BB089E"/>
    <w:rsid w:val="00BB0AC5"/>
    <w:rsid w:val="00BB0D84"/>
    <w:rsid w:val="00BB0F1F"/>
    <w:rsid w:val="00BB1152"/>
    <w:rsid w:val="00BB129A"/>
    <w:rsid w:val="00BB1A48"/>
    <w:rsid w:val="00BB1D1B"/>
    <w:rsid w:val="00BB2726"/>
    <w:rsid w:val="00BB278B"/>
    <w:rsid w:val="00BB2A95"/>
    <w:rsid w:val="00BB2C3A"/>
    <w:rsid w:val="00BB314C"/>
    <w:rsid w:val="00BB33A5"/>
    <w:rsid w:val="00BB346F"/>
    <w:rsid w:val="00BB3C30"/>
    <w:rsid w:val="00BB3C36"/>
    <w:rsid w:val="00BB3F0D"/>
    <w:rsid w:val="00BB40D7"/>
    <w:rsid w:val="00BB438F"/>
    <w:rsid w:val="00BB517D"/>
    <w:rsid w:val="00BB532C"/>
    <w:rsid w:val="00BB5833"/>
    <w:rsid w:val="00BB5B5A"/>
    <w:rsid w:val="00BB5BFB"/>
    <w:rsid w:val="00BB5F7E"/>
    <w:rsid w:val="00BB6BD4"/>
    <w:rsid w:val="00BB6BFE"/>
    <w:rsid w:val="00BB7027"/>
    <w:rsid w:val="00BB75F0"/>
    <w:rsid w:val="00BB7BFC"/>
    <w:rsid w:val="00BB7C1E"/>
    <w:rsid w:val="00BC01FA"/>
    <w:rsid w:val="00BC09DE"/>
    <w:rsid w:val="00BC0A7F"/>
    <w:rsid w:val="00BC0C1A"/>
    <w:rsid w:val="00BC0C38"/>
    <w:rsid w:val="00BC0D56"/>
    <w:rsid w:val="00BC0D5A"/>
    <w:rsid w:val="00BC0D7A"/>
    <w:rsid w:val="00BC2072"/>
    <w:rsid w:val="00BC2215"/>
    <w:rsid w:val="00BC2397"/>
    <w:rsid w:val="00BC28F3"/>
    <w:rsid w:val="00BC2DE6"/>
    <w:rsid w:val="00BC3359"/>
    <w:rsid w:val="00BC375B"/>
    <w:rsid w:val="00BC3979"/>
    <w:rsid w:val="00BC3E75"/>
    <w:rsid w:val="00BC42F5"/>
    <w:rsid w:val="00BC48B4"/>
    <w:rsid w:val="00BC4E3F"/>
    <w:rsid w:val="00BC544A"/>
    <w:rsid w:val="00BC5989"/>
    <w:rsid w:val="00BC5A4C"/>
    <w:rsid w:val="00BC5B41"/>
    <w:rsid w:val="00BC6393"/>
    <w:rsid w:val="00BC6446"/>
    <w:rsid w:val="00BC64F4"/>
    <w:rsid w:val="00BC71F5"/>
    <w:rsid w:val="00BC728D"/>
    <w:rsid w:val="00BC7303"/>
    <w:rsid w:val="00BC7362"/>
    <w:rsid w:val="00BC7BEF"/>
    <w:rsid w:val="00BC7C8C"/>
    <w:rsid w:val="00BD0680"/>
    <w:rsid w:val="00BD0720"/>
    <w:rsid w:val="00BD0AE9"/>
    <w:rsid w:val="00BD0B57"/>
    <w:rsid w:val="00BD1179"/>
    <w:rsid w:val="00BD1259"/>
    <w:rsid w:val="00BD12E6"/>
    <w:rsid w:val="00BD1686"/>
    <w:rsid w:val="00BD1949"/>
    <w:rsid w:val="00BD1AC9"/>
    <w:rsid w:val="00BD1F6E"/>
    <w:rsid w:val="00BD1FE8"/>
    <w:rsid w:val="00BD205F"/>
    <w:rsid w:val="00BD20BE"/>
    <w:rsid w:val="00BD2956"/>
    <w:rsid w:val="00BD2ED4"/>
    <w:rsid w:val="00BD35E2"/>
    <w:rsid w:val="00BD3631"/>
    <w:rsid w:val="00BD370D"/>
    <w:rsid w:val="00BD3AD7"/>
    <w:rsid w:val="00BD3C85"/>
    <w:rsid w:val="00BD3CCF"/>
    <w:rsid w:val="00BD44A1"/>
    <w:rsid w:val="00BD4D55"/>
    <w:rsid w:val="00BD4D96"/>
    <w:rsid w:val="00BD4DEC"/>
    <w:rsid w:val="00BD5782"/>
    <w:rsid w:val="00BD5B2C"/>
    <w:rsid w:val="00BD614A"/>
    <w:rsid w:val="00BD63E0"/>
    <w:rsid w:val="00BD6658"/>
    <w:rsid w:val="00BD6870"/>
    <w:rsid w:val="00BD6FD9"/>
    <w:rsid w:val="00BD7327"/>
    <w:rsid w:val="00BD74B3"/>
    <w:rsid w:val="00BD75F7"/>
    <w:rsid w:val="00BD7988"/>
    <w:rsid w:val="00BD7E8A"/>
    <w:rsid w:val="00BE01F5"/>
    <w:rsid w:val="00BE0264"/>
    <w:rsid w:val="00BE0CAE"/>
    <w:rsid w:val="00BE0D32"/>
    <w:rsid w:val="00BE1689"/>
    <w:rsid w:val="00BE1824"/>
    <w:rsid w:val="00BE1892"/>
    <w:rsid w:val="00BE1C81"/>
    <w:rsid w:val="00BE203F"/>
    <w:rsid w:val="00BE2483"/>
    <w:rsid w:val="00BE2758"/>
    <w:rsid w:val="00BE28B9"/>
    <w:rsid w:val="00BE2917"/>
    <w:rsid w:val="00BE29B7"/>
    <w:rsid w:val="00BE2C12"/>
    <w:rsid w:val="00BE2C45"/>
    <w:rsid w:val="00BE2F3E"/>
    <w:rsid w:val="00BE3084"/>
    <w:rsid w:val="00BE324E"/>
    <w:rsid w:val="00BE33FF"/>
    <w:rsid w:val="00BE35E1"/>
    <w:rsid w:val="00BE373A"/>
    <w:rsid w:val="00BE38A9"/>
    <w:rsid w:val="00BE3E1C"/>
    <w:rsid w:val="00BE46DE"/>
    <w:rsid w:val="00BE4BF1"/>
    <w:rsid w:val="00BE56E5"/>
    <w:rsid w:val="00BE5AC3"/>
    <w:rsid w:val="00BE5FD0"/>
    <w:rsid w:val="00BE6160"/>
    <w:rsid w:val="00BE6326"/>
    <w:rsid w:val="00BE6500"/>
    <w:rsid w:val="00BE68F3"/>
    <w:rsid w:val="00BE6BC4"/>
    <w:rsid w:val="00BE6DA5"/>
    <w:rsid w:val="00BE7764"/>
    <w:rsid w:val="00BE7A19"/>
    <w:rsid w:val="00BE7B8E"/>
    <w:rsid w:val="00BE7CDE"/>
    <w:rsid w:val="00BF00E4"/>
    <w:rsid w:val="00BF03E7"/>
    <w:rsid w:val="00BF0CDD"/>
    <w:rsid w:val="00BF0D1A"/>
    <w:rsid w:val="00BF0E66"/>
    <w:rsid w:val="00BF15FB"/>
    <w:rsid w:val="00BF17FA"/>
    <w:rsid w:val="00BF27B9"/>
    <w:rsid w:val="00BF2CB6"/>
    <w:rsid w:val="00BF3C74"/>
    <w:rsid w:val="00BF3C89"/>
    <w:rsid w:val="00BF3D04"/>
    <w:rsid w:val="00BF43FD"/>
    <w:rsid w:val="00BF440B"/>
    <w:rsid w:val="00BF443B"/>
    <w:rsid w:val="00BF4618"/>
    <w:rsid w:val="00BF500C"/>
    <w:rsid w:val="00BF5760"/>
    <w:rsid w:val="00BF65A3"/>
    <w:rsid w:val="00BF66EE"/>
    <w:rsid w:val="00BF68D6"/>
    <w:rsid w:val="00BF6DA4"/>
    <w:rsid w:val="00BF7223"/>
    <w:rsid w:val="00BF72B0"/>
    <w:rsid w:val="00BF72B1"/>
    <w:rsid w:val="00BF793F"/>
    <w:rsid w:val="00BF7CBB"/>
    <w:rsid w:val="00C0049A"/>
    <w:rsid w:val="00C00802"/>
    <w:rsid w:val="00C0083D"/>
    <w:rsid w:val="00C00CA4"/>
    <w:rsid w:val="00C00D2D"/>
    <w:rsid w:val="00C00DAB"/>
    <w:rsid w:val="00C011D3"/>
    <w:rsid w:val="00C0278A"/>
    <w:rsid w:val="00C027AE"/>
    <w:rsid w:val="00C02E6F"/>
    <w:rsid w:val="00C03A3F"/>
    <w:rsid w:val="00C03C74"/>
    <w:rsid w:val="00C03D39"/>
    <w:rsid w:val="00C03E26"/>
    <w:rsid w:val="00C03F85"/>
    <w:rsid w:val="00C0460B"/>
    <w:rsid w:val="00C04E99"/>
    <w:rsid w:val="00C04FED"/>
    <w:rsid w:val="00C0532B"/>
    <w:rsid w:val="00C056B0"/>
    <w:rsid w:val="00C05989"/>
    <w:rsid w:val="00C05B7A"/>
    <w:rsid w:val="00C05D1A"/>
    <w:rsid w:val="00C061E8"/>
    <w:rsid w:val="00C06858"/>
    <w:rsid w:val="00C06AD4"/>
    <w:rsid w:val="00C06B6A"/>
    <w:rsid w:val="00C06C58"/>
    <w:rsid w:val="00C075D7"/>
    <w:rsid w:val="00C10034"/>
    <w:rsid w:val="00C104C4"/>
    <w:rsid w:val="00C10773"/>
    <w:rsid w:val="00C10AFB"/>
    <w:rsid w:val="00C1101F"/>
    <w:rsid w:val="00C113EE"/>
    <w:rsid w:val="00C11440"/>
    <w:rsid w:val="00C11640"/>
    <w:rsid w:val="00C11953"/>
    <w:rsid w:val="00C11A34"/>
    <w:rsid w:val="00C11E67"/>
    <w:rsid w:val="00C126C4"/>
    <w:rsid w:val="00C129B9"/>
    <w:rsid w:val="00C12E8E"/>
    <w:rsid w:val="00C13202"/>
    <w:rsid w:val="00C1352D"/>
    <w:rsid w:val="00C136FF"/>
    <w:rsid w:val="00C13BB0"/>
    <w:rsid w:val="00C13C87"/>
    <w:rsid w:val="00C13E1F"/>
    <w:rsid w:val="00C13EF7"/>
    <w:rsid w:val="00C142B9"/>
    <w:rsid w:val="00C1440B"/>
    <w:rsid w:val="00C14555"/>
    <w:rsid w:val="00C14877"/>
    <w:rsid w:val="00C148D6"/>
    <w:rsid w:val="00C14F63"/>
    <w:rsid w:val="00C15058"/>
    <w:rsid w:val="00C156DB"/>
    <w:rsid w:val="00C157DD"/>
    <w:rsid w:val="00C1595E"/>
    <w:rsid w:val="00C15DC1"/>
    <w:rsid w:val="00C16229"/>
    <w:rsid w:val="00C1648A"/>
    <w:rsid w:val="00C16B09"/>
    <w:rsid w:val="00C16C05"/>
    <w:rsid w:val="00C1707A"/>
    <w:rsid w:val="00C1733B"/>
    <w:rsid w:val="00C17887"/>
    <w:rsid w:val="00C179FF"/>
    <w:rsid w:val="00C17D21"/>
    <w:rsid w:val="00C17EDB"/>
    <w:rsid w:val="00C20883"/>
    <w:rsid w:val="00C209BB"/>
    <w:rsid w:val="00C212EA"/>
    <w:rsid w:val="00C213E5"/>
    <w:rsid w:val="00C214C5"/>
    <w:rsid w:val="00C219C8"/>
    <w:rsid w:val="00C21E15"/>
    <w:rsid w:val="00C21EE2"/>
    <w:rsid w:val="00C22091"/>
    <w:rsid w:val="00C22202"/>
    <w:rsid w:val="00C22408"/>
    <w:rsid w:val="00C2246A"/>
    <w:rsid w:val="00C2256B"/>
    <w:rsid w:val="00C229A5"/>
    <w:rsid w:val="00C231DD"/>
    <w:rsid w:val="00C23351"/>
    <w:rsid w:val="00C235F9"/>
    <w:rsid w:val="00C238F0"/>
    <w:rsid w:val="00C23B45"/>
    <w:rsid w:val="00C243BD"/>
    <w:rsid w:val="00C2474A"/>
    <w:rsid w:val="00C248A8"/>
    <w:rsid w:val="00C24F43"/>
    <w:rsid w:val="00C256BA"/>
    <w:rsid w:val="00C25A98"/>
    <w:rsid w:val="00C25DB6"/>
    <w:rsid w:val="00C262B3"/>
    <w:rsid w:val="00C26B02"/>
    <w:rsid w:val="00C26BDC"/>
    <w:rsid w:val="00C26C31"/>
    <w:rsid w:val="00C27000"/>
    <w:rsid w:val="00C27197"/>
    <w:rsid w:val="00C27407"/>
    <w:rsid w:val="00C2758B"/>
    <w:rsid w:val="00C27BAC"/>
    <w:rsid w:val="00C27E5A"/>
    <w:rsid w:val="00C30127"/>
    <w:rsid w:val="00C301E2"/>
    <w:rsid w:val="00C30502"/>
    <w:rsid w:val="00C3076F"/>
    <w:rsid w:val="00C30860"/>
    <w:rsid w:val="00C30CBA"/>
    <w:rsid w:val="00C30F16"/>
    <w:rsid w:val="00C310C5"/>
    <w:rsid w:val="00C31195"/>
    <w:rsid w:val="00C31234"/>
    <w:rsid w:val="00C31485"/>
    <w:rsid w:val="00C317A2"/>
    <w:rsid w:val="00C321AD"/>
    <w:rsid w:val="00C328D6"/>
    <w:rsid w:val="00C32B07"/>
    <w:rsid w:val="00C32D57"/>
    <w:rsid w:val="00C32E98"/>
    <w:rsid w:val="00C32FA4"/>
    <w:rsid w:val="00C3319E"/>
    <w:rsid w:val="00C33428"/>
    <w:rsid w:val="00C3342A"/>
    <w:rsid w:val="00C3342D"/>
    <w:rsid w:val="00C33AC8"/>
    <w:rsid w:val="00C33B4E"/>
    <w:rsid w:val="00C33ECD"/>
    <w:rsid w:val="00C33F17"/>
    <w:rsid w:val="00C34135"/>
    <w:rsid w:val="00C342CA"/>
    <w:rsid w:val="00C34302"/>
    <w:rsid w:val="00C3439D"/>
    <w:rsid w:val="00C34B35"/>
    <w:rsid w:val="00C353E8"/>
    <w:rsid w:val="00C358D8"/>
    <w:rsid w:val="00C35B4A"/>
    <w:rsid w:val="00C36118"/>
    <w:rsid w:val="00C3643E"/>
    <w:rsid w:val="00C3666E"/>
    <w:rsid w:val="00C36688"/>
    <w:rsid w:val="00C36779"/>
    <w:rsid w:val="00C3684F"/>
    <w:rsid w:val="00C36FC6"/>
    <w:rsid w:val="00C3706B"/>
    <w:rsid w:val="00C37509"/>
    <w:rsid w:val="00C37B09"/>
    <w:rsid w:val="00C37C99"/>
    <w:rsid w:val="00C37E69"/>
    <w:rsid w:val="00C40633"/>
    <w:rsid w:val="00C41148"/>
    <w:rsid w:val="00C411A7"/>
    <w:rsid w:val="00C413D9"/>
    <w:rsid w:val="00C414CB"/>
    <w:rsid w:val="00C4158B"/>
    <w:rsid w:val="00C42733"/>
    <w:rsid w:val="00C427F6"/>
    <w:rsid w:val="00C42C4D"/>
    <w:rsid w:val="00C42EF1"/>
    <w:rsid w:val="00C43682"/>
    <w:rsid w:val="00C4382B"/>
    <w:rsid w:val="00C43B65"/>
    <w:rsid w:val="00C43F94"/>
    <w:rsid w:val="00C44004"/>
    <w:rsid w:val="00C441DE"/>
    <w:rsid w:val="00C44408"/>
    <w:rsid w:val="00C44B34"/>
    <w:rsid w:val="00C44DD5"/>
    <w:rsid w:val="00C45486"/>
    <w:rsid w:val="00C45991"/>
    <w:rsid w:val="00C464A7"/>
    <w:rsid w:val="00C464F7"/>
    <w:rsid w:val="00C465CC"/>
    <w:rsid w:val="00C46761"/>
    <w:rsid w:val="00C46F9A"/>
    <w:rsid w:val="00C47158"/>
    <w:rsid w:val="00C47348"/>
    <w:rsid w:val="00C4758D"/>
    <w:rsid w:val="00C4779F"/>
    <w:rsid w:val="00C47A2D"/>
    <w:rsid w:val="00C47DCC"/>
    <w:rsid w:val="00C47FEC"/>
    <w:rsid w:val="00C4ED86"/>
    <w:rsid w:val="00C50500"/>
    <w:rsid w:val="00C505A5"/>
    <w:rsid w:val="00C506CC"/>
    <w:rsid w:val="00C50816"/>
    <w:rsid w:val="00C5089C"/>
    <w:rsid w:val="00C50B26"/>
    <w:rsid w:val="00C50E81"/>
    <w:rsid w:val="00C50F36"/>
    <w:rsid w:val="00C50F5B"/>
    <w:rsid w:val="00C510F5"/>
    <w:rsid w:val="00C512BF"/>
    <w:rsid w:val="00C51721"/>
    <w:rsid w:val="00C518EC"/>
    <w:rsid w:val="00C52739"/>
    <w:rsid w:val="00C52ACE"/>
    <w:rsid w:val="00C52D5E"/>
    <w:rsid w:val="00C536A4"/>
    <w:rsid w:val="00C537CE"/>
    <w:rsid w:val="00C539FA"/>
    <w:rsid w:val="00C53BAB"/>
    <w:rsid w:val="00C53D0C"/>
    <w:rsid w:val="00C53DC3"/>
    <w:rsid w:val="00C53FC6"/>
    <w:rsid w:val="00C541A4"/>
    <w:rsid w:val="00C54519"/>
    <w:rsid w:val="00C54B6D"/>
    <w:rsid w:val="00C54B75"/>
    <w:rsid w:val="00C54CBE"/>
    <w:rsid w:val="00C54D2D"/>
    <w:rsid w:val="00C54E90"/>
    <w:rsid w:val="00C5508E"/>
    <w:rsid w:val="00C554DB"/>
    <w:rsid w:val="00C554F9"/>
    <w:rsid w:val="00C55893"/>
    <w:rsid w:val="00C55D24"/>
    <w:rsid w:val="00C55EC9"/>
    <w:rsid w:val="00C55F24"/>
    <w:rsid w:val="00C56036"/>
    <w:rsid w:val="00C5618F"/>
    <w:rsid w:val="00C56317"/>
    <w:rsid w:val="00C57471"/>
    <w:rsid w:val="00C574D1"/>
    <w:rsid w:val="00C57912"/>
    <w:rsid w:val="00C57A74"/>
    <w:rsid w:val="00C57CF9"/>
    <w:rsid w:val="00C60324"/>
    <w:rsid w:val="00C60690"/>
    <w:rsid w:val="00C60DEA"/>
    <w:rsid w:val="00C616F3"/>
    <w:rsid w:val="00C616F9"/>
    <w:rsid w:val="00C61A9F"/>
    <w:rsid w:val="00C61ABF"/>
    <w:rsid w:val="00C61D60"/>
    <w:rsid w:val="00C61D69"/>
    <w:rsid w:val="00C6212D"/>
    <w:rsid w:val="00C6219C"/>
    <w:rsid w:val="00C62212"/>
    <w:rsid w:val="00C624F5"/>
    <w:rsid w:val="00C62515"/>
    <w:rsid w:val="00C6267E"/>
    <w:rsid w:val="00C628C7"/>
    <w:rsid w:val="00C628DD"/>
    <w:rsid w:val="00C629FA"/>
    <w:rsid w:val="00C62FF3"/>
    <w:rsid w:val="00C630CA"/>
    <w:rsid w:val="00C63343"/>
    <w:rsid w:val="00C635B5"/>
    <w:rsid w:val="00C63BD8"/>
    <w:rsid w:val="00C63E1B"/>
    <w:rsid w:val="00C64486"/>
    <w:rsid w:val="00C64498"/>
    <w:rsid w:val="00C64F39"/>
    <w:rsid w:val="00C654FC"/>
    <w:rsid w:val="00C65D14"/>
    <w:rsid w:val="00C66150"/>
    <w:rsid w:val="00C664DF"/>
    <w:rsid w:val="00C66542"/>
    <w:rsid w:val="00C669F8"/>
    <w:rsid w:val="00C66C9B"/>
    <w:rsid w:val="00C66FA4"/>
    <w:rsid w:val="00C66FC1"/>
    <w:rsid w:val="00C67872"/>
    <w:rsid w:val="00C67BFC"/>
    <w:rsid w:val="00C67CFF"/>
    <w:rsid w:val="00C67EC4"/>
    <w:rsid w:val="00C67F3A"/>
    <w:rsid w:val="00C70228"/>
    <w:rsid w:val="00C70674"/>
    <w:rsid w:val="00C707A1"/>
    <w:rsid w:val="00C707F6"/>
    <w:rsid w:val="00C70AE6"/>
    <w:rsid w:val="00C70D54"/>
    <w:rsid w:val="00C70E8C"/>
    <w:rsid w:val="00C70F7A"/>
    <w:rsid w:val="00C7102C"/>
    <w:rsid w:val="00C710E5"/>
    <w:rsid w:val="00C71692"/>
    <w:rsid w:val="00C71787"/>
    <w:rsid w:val="00C71CBB"/>
    <w:rsid w:val="00C7233D"/>
    <w:rsid w:val="00C723A7"/>
    <w:rsid w:val="00C723C2"/>
    <w:rsid w:val="00C72843"/>
    <w:rsid w:val="00C73492"/>
    <w:rsid w:val="00C73634"/>
    <w:rsid w:val="00C7368B"/>
    <w:rsid w:val="00C736C2"/>
    <w:rsid w:val="00C73B5F"/>
    <w:rsid w:val="00C73D55"/>
    <w:rsid w:val="00C73DB0"/>
    <w:rsid w:val="00C74139"/>
    <w:rsid w:val="00C741CD"/>
    <w:rsid w:val="00C74293"/>
    <w:rsid w:val="00C74358"/>
    <w:rsid w:val="00C74A75"/>
    <w:rsid w:val="00C74B05"/>
    <w:rsid w:val="00C7507F"/>
    <w:rsid w:val="00C75A90"/>
    <w:rsid w:val="00C75ACA"/>
    <w:rsid w:val="00C75D6E"/>
    <w:rsid w:val="00C7612C"/>
    <w:rsid w:val="00C76159"/>
    <w:rsid w:val="00C76304"/>
    <w:rsid w:val="00C76B39"/>
    <w:rsid w:val="00C76DBF"/>
    <w:rsid w:val="00C76E5B"/>
    <w:rsid w:val="00C771D1"/>
    <w:rsid w:val="00C771D5"/>
    <w:rsid w:val="00C77753"/>
    <w:rsid w:val="00C7779F"/>
    <w:rsid w:val="00C778BA"/>
    <w:rsid w:val="00C80494"/>
    <w:rsid w:val="00C8092F"/>
    <w:rsid w:val="00C80C28"/>
    <w:rsid w:val="00C80DC5"/>
    <w:rsid w:val="00C80FBD"/>
    <w:rsid w:val="00C81378"/>
    <w:rsid w:val="00C816F0"/>
    <w:rsid w:val="00C825FB"/>
    <w:rsid w:val="00C82BA7"/>
    <w:rsid w:val="00C82E53"/>
    <w:rsid w:val="00C83022"/>
    <w:rsid w:val="00C8420E"/>
    <w:rsid w:val="00C84E3B"/>
    <w:rsid w:val="00C8500C"/>
    <w:rsid w:val="00C85B13"/>
    <w:rsid w:val="00C85D98"/>
    <w:rsid w:val="00C865BE"/>
    <w:rsid w:val="00C87140"/>
    <w:rsid w:val="00C871B3"/>
    <w:rsid w:val="00C8747D"/>
    <w:rsid w:val="00C875B4"/>
    <w:rsid w:val="00C875E7"/>
    <w:rsid w:val="00C87C3A"/>
    <w:rsid w:val="00C87C4C"/>
    <w:rsid w:val="00C87C66"/>
    <w:rsid w:val="00C87D32"/>
    <w:rsid w:val="00C90344"/>
    <w:rsid w:val="00C90550"/>
    <w:rsid w:val="00C91664"/>
    <w:rsid w:val="00C91CE7"/>
    <w:rsid w:val="00C92066"/>
    <w:rsid w:val="00C9206A"/>
    <w:rsid w:val="00C921E3"/>
    <w:rsid w:val="00C92252"/>
    <w:rsid w:val="00C92786"/>
    <w:rsid w:val="00C92BB9"/>
    <w:rsid w:val="00C92D61"/>
    <w:rsid w:val="00C93348"/>
    <w:rsid w:val="00C93B4C"/>
    <w:rsid w:val="00C93D94"/>
    <w:rsid w:val="00C93ED5"/>
    <w:rsid w:val="00C93FF0"/>
    <w:rsid w:val="00C941AF"/>
    <w:rsid w:val="00C944C8"/>
    <w:rsid w:val="00C948C8"/>
    <w:rsid w:val="00C94A8F"/>
    <w:rsid w:val="00C94EB3"/>
    <w:rsid w:val="00C94F55"/>
    <w:rsid w:val="00C94FFA"/>
    <w:rsid w:val="00C954BB"/>
    <w:rsid w:val="00C95534"/>
    <w:rsid w:val="00C955BF"/>
    <w:rsid w:val="00C956C7"/>
    <w:rsid w:val="00C9578A"/>
    <w:rsid w:val="00C9578D"/>
    <w:rsid w:val="00C959C4"/>
    <w:rsid w:val="00C95A11"/>
    <w:rsid w:val="00C95D06"/>
    <w:rsid w:val="00C962B6"/>
    <w:rsid w:val="00C96502"/>
    <w:rsid w:val="00C967DB"/>
    <w:rsid w:val="00C96B4C"/>
    <w:rsid w:val="00C96B53"/>
    <w:rsid w:val="00C96D46"/>
    <w:rsid w:val="00C9714D"/>
    <w:rsid w:val="00C971FC"/>
    <w:rsid w:val="00C9763B"/>
    <w:rsid w:val="00C976FE"/>
    <w:rsid w:val="00C978DF"/>
    <w:rsid w:val="00C97B64"/>
    <w:rsid w:val="00C97CB3"/>
    <w:rsid w:val="00C97CC0"/>
    <w:rsid w:val="00CA0133"/>
    <w:rsid w:val="00CA03C3"/>
    <w:rsid w:val="00CA05CB"/>
    <w:rsid w:val="00CA0602"/>
    <w:rsid w:val="00CA061D"/>
    <w:rsid w:val="00CA06F9"/>
    <w:rsid w:val="00CA0E6E"/>
    <w:rsid w:val="00CA12F6"/>
    <w:rsid w:val="00CA142E"/>
    <w:rsid w:val="00CA1BAC"/>
    <w:rsid w:val="00CA1D2A"/>
    <w:rsid w:val="00CA1F34"/>
    <w:rsid w:val="00CA20EE"/>
    <w:rsid w:val="00CA24AB"/>
    <w:rsid w:val="00CA2C36"/>
    <w:rsid w:val="00CA2DC7"/>
    <w:rsid w:val="00CA2E25"/>
    <w:rsid w:val="00CA31E8"/>
    <w:rsid w:val="00CA32CB"/>
    <w:rsid w:val="00CA3B8D"/>
    <w:rsid w:val="00CA3BCA"/>
    <w:rsid w:val="00CA4231"/>
    <w:rsid w:val="00CA4350"/>
    <w:rsid w:val="00CA4446"/>
    <w:rsid w:val="00CA4531"/>
    <w:rsid w:val="00CA4628"/>
    <w:rsid w:val="00CA46B6"/>
    <w:rsid w:val="00CA4AA0"/>
    <w:rsid w:val="00CA527B"/>
    <w:rsid w:val="00CA57F7"/>
    <w:rsid w:val="00CA5D73"/>
    <w:rsid w:val="00CA5D9C"/>
    <w:rsid w:val="00CA5D9D"/>
    <w:rsid w:val="00CA5FFE"/>
    <w:rsid w:val="00CA62B1"/>
    <w:rsid w:val="00CA6740"/>
    <w:rsid w:val="00CA683C"/>
    <w:rsid w:val="00CA68E8"/>
    <w:rsid w:val="00CA692D"/>
    <w:rsid w:val="00CA70C1"/>
    <w:rsid w:val="00CA71C0"/>
    <w:rsid w:val="00CA7380"/>
    <w:rsid w:val="00CA73FB"/>
    <w:rsid w:val="00CA78A6"/>
    <w:rsid w:val="00CA7BC5"/>
    <w:rsid w:val="00CA7D85"/>
    <w:rsid w:val="00CB0697"/>
    <w:rsid w:val="00CB07F7"/>
    <w:rsid w:val="00CB0908"/>
    <w:rsid w:val="00CB09A9"/>
    <w:rsid w:val="00CB1142"/>
    <w:rsid w:val="00CB1906"/>
    <w:rsid w:val="00CB1911"/>
    <w:rsid w:val="00CB1A9E"/>
    <w:rsid w:val="00CB1B72"/>
    <w:rsid w:val="00CB249E"/>
    <w:rsid w:val="00CB249F"/>
    <w:rsid w:val="00CB24FD"/>
    <w:rsid w:val="00CB2675"/>
    <w:rsid w:val="00CB27A3"/>
    <w:rsid w:val="00CB29E2"/>
    <w:rsid w:val="00CB2C23"/>
    <w:rsid w:val="00CB2FA3"/>
    <w:rsid w:val="00CB391A"/>
    <w:rsid w:val="00CB3C61"/>
    <w:rsid w:val="00CB3E8C"/>
    <w:rsid w:val="00CB41FF"/>
    <w:rsid w:val="00CB45C7"/>
    <w:rsid w:val="00CB45D8"/>
    <w:rsid w:val="00CB46FD"/>
    <w:rsid w:val="00CB4DFB"/>
    <w:rsid w:val="00CB5099"/>
    <w:rsid w:val="00CB5226"/>
    <w:rsid w:val="00CB531E"/>
    <w:rsid w:val="00CB579D"/>
    <w:rsid w:val="00CB5C9B"/>
    <w:rsid w:val="00CB5CC1"/>
    <w:rsid w:val="00CB5E03"/>
    <w:rsid w:val="00CB6044"/>
    <w:rsid w:val="00CB6099"/>
    <w:rsid w:val="00CB60BC"/>
    <w:rsid w:val="00CB6201"/>
    <w:rsid w:val="00CB6439"/>
    <w:rsid w:val="00CB6687"/>
    <w:rsid w:val="00CB6821"/>
    <w:rsid w:val="00CB6B52"/>
    <w:rsid w:val="00CB6D0F"/>
    <w:rsid w:val="00CB7137"/>
    <w:rsid w:val="00CB73E5"/>
    <w:rsid w:val="00CB7427"/>
    <w:rsid w:val="00CC022D"/>
    <w:rsid w:val="00CC06D1"/>
    <w:rsid w:val="00CC085C"/>
    <w:rsid w:val="00CC0961"/>
    <w:rsid w:val="00CC0CE2"/>
    <w:rsid w:val="00CC0DA2"/>
    <w:rsid w:val="00CC179E"/>
    <w:rsid w:val="00CC18B9"/>
    <w:rsid w:val="00CC1FAF"/>
    <w:rsid w:val="00CC22BC"/>
    <w:rsid w:val="00CC232A"/>
    <w:rsid w:val="00CC372D"/>
    <w:rsid w:val="00CC3859"/>
    <w:rsid w:val="00CC4225"/>
    <w:rsid w:val="00CC4AB9"/>
    <w:rsid w:val="00CC532E"/>
    <w:rsid w:val="00CC5961"/>
    <w:rsid w:val="00CC5DE6"/>
    <w:rsid w:val="00CC6D9D"/>
    <w:rsid w:val="00CC6FE6"/>
    <w:rsid w:val="00CC7354"/>
    <w:rsid w:val="00CC7444"/>
    <w:rsid w:val="00CC7D07"/>
    <w:rsid w:val="00CC7E48"/>
    <w:rsid w:val="00CC7F57"/>
    <w:rsid w:val="00CD02B8"/>
    <w:rsid w:val="00CD02F0"/>
    <w:rsid w:val="00CD044D"/>
    <w:rsid w:val="00CD12A7"/>
    <w:rsid w:val="00CD13AE"/>
    <w:rsid w:val="00CD15A0"/>
    <w:rsid w:val="00CD1E93"/>
    <w:rsid w:val="00CD277E"/>
    <w:rsid w:val="00CD279B"/>
    <w:rsid w:val="00CD2873"/>
    <w:rsid w:val="00CD3449"/>
    <w:rsid w:val="00CD3535"/>
    <w:rsid w:val="00CD36EC"/>
    <w:rsid w:val="00CD4121"/>
    <w:rsid w:val="00CD424E"/>
    <w:rsid w:val="00CD42A9"/>
    <w:rsid w:val="00CD4334"/>
    <w:rsid w:val="00CD4936"/>
    <w:rsid w:val="00CD4F20"/>
    <w:rsid w:val="00CD4FDF"/>
    <w:rsid w:val="00CD562D"/>
    <w:rsid w:val="00CD5832"/>
    <w:rsid w:val="00CD5927"/>
    <w:rsid w:val="00CD5960"/>
    <w:rsid w:val="00CD5A7E"/>
    <w:rsid w:val="00CD5D85"/>
    <w:rsid w:val="00CD619A"/>
    <w:rsid w:val="00CD620E"/>
    <w:rsid w:val="00CD62B5"/>
    <w:rsid w:val="00CD6B5F"/>
    <w:rsid w:val="00CD76C5"/>
    <w:rsid w:val="00CD7778"/>
    <w:rsid w:val="00CD77FF"/>
    <w:rsid w:val="00CD7B5D"/>
    <w:rsid w:val="00CD7BEE"/>
    <w:rsid w:val="00CE0029"/>
    <w:rsid w:val="00CE0049"/>
    <w:rsid w:val="00CE052D"/>
    <w:rsid w:val="00CE057F"/>
    <w:rsid w:val="00CE085D"/>
    <w:rsid w:val="00CE08BD"/>
    <w:rsid w:val="00CE0BC6"/>
    <w:rsid w:val="00CE0E2D"/>
    <w:rsid w:val="00CE12CF"/>
    <w:rsid w:val="00CE15A4"/>
    <w:rsid w:val="00CE18F1"/>
    <w:rsid w:val="00CE26E1"/>
    <w:rsid w:val="00CE356D"/>
    <w:rsid w:val="00CE3769"/>
    <w:rsid w:val="00CE4010"/>
    <w:rsid w:val="00CE50AD"/>
    <w:rsid w:val="00CE562C"/>
    <w:rsid w:val="00CE57A3"/>
    <w:rsid w:val="00CE5A00"/>
    <w:rsid w:val="00CE5C84"/>
    <w:rsid w:val="00CE5D08"/>
    <w:rsid w:val="00CE5E1F"/>
    <w:rsid w:val="00CE6408"/>
    <w:rsid w:val="00CE68F2"/>
    <w:rsid w:val="00CE6D35"/>
    <w:rsid w:val="00CE72B3"/>
    <w:rsid w:val="00CE7386"/>
    <w:rsid w:val="00CE7923"/>
    <w:rsid w:val="00CE7BFB"/>
    <w:rsid w:val="00CE7C51"/>
    <w:rsid w:val="00CE7DC6"/>
    <w:rsid w:val="00CF0238"/>
    <w:rsid w:val="00CF0345"/>
    <w:rsid w:val="00CF0A63"/>
    <w:rsid w:val="00CF0CD8"/>
    <w:rsid w:val="00CF1251"/>
    <w:rsid w:val="00CF1503"/>
    <w:rsid w:val="00CF1637"/>
    <w:rsid w:val="00CF16A2"/>
    <w:rsid w:val="00CF17E9"/>
    <w:rsid w:val="00CF21AE"/>
    <w:rsid w:val="00CF240A"/>
    <w:rsid w:val="00CF2581"/>
    <w:rsid w:val="00CF28FF"/>
    <w:rsid w:val="00CF3313"/>
    <w:rsid w:val="00CF3620"/>
    <w:rsid w:val="00CF3C7A"/>
    <w:rsid w:val="00CF3DED"/>
    <w:rsid w:val="00CF3EF5"/>
    <w:rsid w:val="00CF4291"/>
    <w:rsid w:val="00CF4713"/>
    <w:rsid w:val="00CF4CCB"/>
    <w:rsid w:val="00CF5045"/>
    <w:rsid w:val="00CF5208"/>
    <w:rsid w:val="00CF526D"/>
    <w:rsid w:val="00CF5A54"/>
    <w:rsid w:val="00CF6064"/>
    <w:rsid w:val="00CF6291"/>
    <w:rsid w:val="00CF67FA"/>
    <w:rsid w:val="00CF6A9B"/>
    <w:rsid w:val="00CF6F7B"/>
    <w:rsid w:val="00CF7441"/>
    <w:rsid w:val="00CF75B1"/>
    <w:rsid w:val="00CF75F5"/>
    <w:rsid w:val="00CF76F5"/>
    <w:rsid w:val="00CF771A"/>
    <w:rsid w:val="00CF77B7"/>
    <w:rsid w:val="00D0016C"/>
    <w:rsid w:val="00D0026C"/>
    <w:rsid w:val="00D007D9"/>
    <w:rsid w:val="00D00E82"/>
    <w:rsid w:val="00D0136D"/>
    <w:rsid w:val="00D01676"/>
    <w:rsid w:val="00D0181D"/>
    <w:rsid w:val="00D01978"/>
    <w:rsid w:val="00D019C5"/>
    <w:rsid w:val="00D01B5A"/>
    <w:rsid w:val="00D02335"/>
    <w:rsid w:val="00D0254C"/>
    <w:rsid w:val="00D029D1"/>
    <w:rsid w:val="00D02B28"/>
    <w:rsid w:val="00D02DED"/>
    <w:rsid w:val="00D02E7B"/>
    <w:rsid w:val="00D03014"/>
    <w:rsid w:val="00D0308D"/>
    <w:rsid w:val="00D030CC"/>
    <w:rsid w:val="00D031B1"/>
    <w:rsid w:val="00D039E5"/>
    <w:rsid w:val="00D03B41"/>
    <w:rsid w:val="00D03B72"/>
    <w:rsid w:val="00D03CCA"/>
    <w:rsid w:val="00D04052"/>
    <w:rsid w:val="00D0447E"/>
    <w:rsid w:val="00D049F2"/>
    <w:rsid w:val="00D04B52"/>
    <w:rsid w:val="00D04BEE"/>
    <w:rsid w:val="00D04DDC"/>
    <w:rsid w:val="00D051CF"/>
    <w:rsid w:val="00D05279"/>
    <w:rsid w:val="00D054F6"/>
    <w:rsid w:val="00D05895"/>
    <w:rsid w:val="00D05956"/>
    <w:rsid w:val="00D0606C"/>
    <w:rsid w:val="00D062D6"/>
    <w:rsid w:val="00D066F3"/>
    <w:rsid w:val="00D06800"/>
    <w:rsid w:val="00D068AA"/>
    <w:rsid w:val="00D068FF"/>
    <w:rsid w:val="00D06D16"/>
    <w:rsid w:val="00D07460"/>
    <w:rsid w:val="00D077E8"/>
    <w:rsid w:val="00D078CD"/>
    <w:rsid w:val="00D07A37"/>
    <w:rsid w:val="00D07FB8"/>
    <w:rsid w:val="00D1000F"/>
    <w:rsid w:val="00D1006B"/>
    <w:rsid w:val="00D1037B"/>
    <w:rsid w:val="00D104A2"/>
    <w:rsid w:val="00D113D9"/>
    <w:rsid w:val="00D113F1"/>
    <w:rsid w:val="00D115E1"/>
    <w:rsid w:val="00D1193B"/>
    <w:rsid w:val="00D119BD"/>
    <w:rsid w:val="00D11EAC"/>
    <w:rsid w:val="00D1200C"/>
    <w:rsid w:val="00D12375"/>
    <w:rsid w:val="00D12538"/>
    <w:rsid w:val="00D12BAF"/>
    <w:rsid w:val="00D13AA1"/>
    <w:rsid w:val="00D13CD5"/>
    <w:rsid w:val="00D1435D"/>
    <w:rsid w:val="00D146AF"/>
    <w:rsid w:val="00D1522A"/>
    <w:rsid w:val="00D153C7"/>
    <w:rsid w:val="00D1572C"/>
    <w:rsid w:val="00D15812"/>
    <w:rsid w:val="00D15C6E"/>
    <w:rsid w:val="00D1607D"/>
    <w:rsid w:val="00D16239"/>
    <w:rsid w:val="00D16389"/>
    <w:rsid w:val="00D165B6"/>
    <w:rsid w:val="00D165D0"/>
    <w:rsid w:val="00D169D7"/>
    <w:rsid w:val="00D169E1"/>
    <w:rsid w:val="00D16DF5"/>
    <w:rsid w:val="00D1710D"/>
    <w:rsid w:val="00D17AE0"/>
    <w:rsid w:val="00D17C5D"/>
    <w:rsid w:val="00D20190"/>
    <w:rsid w:val="00D20567"/>
    <w:rsid w:val="00D20674"/>
    <w:rsid w:val="00D20786"/>
    <w:rsid w:val="00D208C5"/>
    <w:rsid w:val="00D20ABD"/>
    <w:rsid w:val="00D20BC9"/>
    <w:rsid w:val="00D2146E"/>
    <w:rsid w:val="00D214EC"/>
    <w:rsid w:val="00D21D6D"/>
    <w:rsid w:val="00D22018"/>
    <w:rsid w:val="00D2204E"/>
    <w:rsid w:val="00D22431"/>
    <w:rsid w:val="00D228FE"/>
    <w:rsid w:val="00D229FF"/>
    <w:rsid w:val="00D2335D"/>
    <w:rsid w:val="00D23648"/>
    <w:rsid w:val="00D2367A"/>
    <w:rsid w:val="00D23688"/>
    <w:rsid w:val="00D23704"/>
    <w:rsid w:val="00D238EF"/>
    <w:rsid w:val="00D23AC4"/>
    <w:rsid w:val="00D23F09"/>
    <w:rsid w:val="00D23F94"/>
    <w:rsid w:val="00D24248"/>
    <w:rsid w:val="00D24297"/>
    <w:rsid w:val="00D242F8"/>
    <w:rsid w:val="00D24438"/>
    <w:rsid w:val="00D24756"/>
    <w:rsid w:val="00D247A8"/>
    <w:rsid w:val="00D250F0"/>
    <w:rsid w:val="00D25113"/>
    <w:rsid w:val="00D252FC"/>
    <w:rsid w:val="00D255AF"/>
    <w:rsid w:val="00D255EE"/>
    <w:rsid w:val="00D2586B"/>
    <w:rsid w:val="00D25BC4"/>
    <w:rsid w:val="00D2610C"/>
    <w:rsid w:val="00D26234"/>
    <w:rsid w:val="00D26B88"/>
    <w:rsid w:val="00D26BFD"/>
    <w:rsid w:val="00D26C04"/>
    <w:rsid w:val="00D270E6"/>
    <w:rsid w:val="00D27434"/>
    <w:rsid w:val="00D30541"/>
    <w:rsid w:val="00D305DB"/>
    <w:rsid w:val="00D30A94"/>
    <w:rsid w:val="00D314C1"/>
    <w:rsid w:val="00D318A9"/>
    <w:rsid w:val="00D31922"/>
    <w:rsid w:val="00D319CA"/>
    <w:rsid w:val="00D3239C"/>
    <w:rsid w:val="00D3252E"/>
    <w:rsid w:val="00D325D0"/>
    <w:rsid w:val="00D3298D"/>
    <w:rsid w:val="00D32FD7"/>
    <w:rsid w:val="00D331A7"/>
    <w:rsid w:val="00D336B2"/>
    <w:rsid w:val="00D3372F"/>
    <w:rsid w:val="00D34017"/>
    <w:rsid w:val="00D34886"/>
    <w:rsid w:val="00D35132"/>
    <w:rsid w:val="00D353CA"/>
    <w:rsid w:val="00D355ED"/>
    <w:rsid w:val="00D3563F"/>
    <w:rsid w:val="00D35BAC"/>
    <w:rsid w:val="00D35F06"/>
    <w:rsid w:val="00D36071"/>
    <w:rsid w:val="00D36247"/>
    <w:rsid w:val="00D36437"/>
    <w:rsid w:val="00D36466"/>
    <w:rsid w:val="00D36E3E"/>
    <w:rsid w:val="00D36FA6"/>
    <w:rsid w:val="00D37245"/>
    <w:rsid w:val="00D374A2"/>
    <w:rsid w:val="00D374DB"/>
    <w:rsid w:val="00D37AB1"/>
    <w:rsid w:val="00D4069C"/>
    <w:rsid w:val="00D4080F"/>
    <w:rsid w:val="00D40A8D"/>
    <w:rsid w:val="00D40FE2"/>
    <w:rsid w:val="00D41B0D"/>
    <w:rsid w:val="00D41C3B"/>
    <w:rsid w:val="00D41D0C"/>
    <w:rsid w:val="00D422AE"/>
    <w:rsid w:val="00D42A86"/>
    <w:rsid w:val="00D42D9D"/>
    <w:rsid w:val="00D431BC"/>
    <w:rsid w:val="00D434E9"/>
    <w:rsid w:val="00D43A19"/>
    <w:rsid w:val="00D43E99"/>
    <w:rsid w:val="00D44870"/>
    <w:rsid w:val="00D44D25"/>
    <w:rsid w:val="00D44D26"/>
    <w:rsid w:val="00D44FAD"/>
    <w:rsid w:val="00D45242"/>
    <w:rsid w:val="00D452C4"/>
    <w:rsid w:val="00D454EC"/>
    <w:rsid w:val="00D455C1"/>
    <w:rsid w:val="00D45A46"/>
    <w:rsid w:val="00D45B55"/>
    <w:rsid w:val="00D46038"/>
    <w:rsid w:val="00D460AF"/>
    <w:rsid w:val="00D4672A"/>
    <w:rsid w:val="00D469ED"/>
    <w:rsid w:val="00D46E7A"/>
    <w:rsid w:val="00D47356"/>
    <w:rsid w:val="00D477C7"/>
    <w:rsid w:val="00D478E6"/>
    <w:rsid w:val="00D47A4E"/>
    <w:rsid w:val="00D47B3B"/>
    <w:rsid w:val="00D47C3C"/>
    <w:rsid w:val="00D5062F"/>
    <w:rsid w:val="00D5089F"/>
    <w:rsid w:val="00D509C3"/>
    <w:rsid w:val="00D509C5"/>
    <w:rsid w:val="00D50B6F"/>
    <w:rsid w:val="00D50B7B"/>
    <w:rsid w:val="00D50FF1"/>
    <w:rsid w:val="00D511F2"/>
    <w:rsid w:val="00D51BA9"/>
    <w:rsid w:val="00D51D0A"/>
    <w:rsid w:val="00D51F72"/>
    <w:rsid w:val="00D5201E"/>
    <w:rsid w:val="00D5286F"/>
    <w:rsid w:val="00D52DE2"/>
    <w:rsid w:val="00D52E01"/>
    <w:rsid w:val="00D5306B"/>
    <w:rsid w:val="00D5309D"/>
    <w:rsid w:val="00D53699"/>
    <w:rsid w:val="00D539F7"/>
    <w:rsid w:val="00D53A8C"/>
    <w:rsid w:val="00D53FC7"/>
    <w:rsid w:val="00D54585"/>
    <w:rsid w:val="00D555B4"/>
    <w:rsid w:val="00D5592C"/>
    <w:rsid w:val="00D55D25"/>
    <w:rsid w:val="00D566AA"/>
    <w:rsid w:val="00D56A98"/>
    <w:rsid w:val="00D57470"/>
    <w:rsid w:val="00D574F7"/>
    <w:rsid w:val="00D5752B"/>
    <w:rsid w:val="00D57652"/>
    <w:rsid w:val="00D57DAC"/>
    <w:rsid w:val="00D60E26"/>
    <w:rsid w:val="00D60FDC"/>
    <w:rsid w:val="00D6169C"/>
    <w:rsid w:val="00D61C77"/>
    <w:rsid w:val="00D61CE8"/>
    <w:rsid w:val="00D61CF0"/>
    <w:rsid w:val="00D61D2C"/>
    <w:rsid w:val="00D61E38"/>
    <w:rsid w:val="00D61F4B"/>
    <w:rsid w:val="00D62585"/>
    <w:rsid w:val="00D62EE5"/>
    <w:rsid w:val="00D63568"/>
    <w:rsid w:val="00D640D5"/>
    <w:rsid w:val="00D6414F"/>
    <w:rsid w:val="00D64445"/>
    <w:rsid w:val="00D64824"/>
    <w:rsid w:val="00D64A95"/>
    <w:rsid w:val="00D64ACF"/>
    <w:rsid w:val="00D64CD9"/>
    <w:rsid w:val="00D64D97"/>
    <w:rsid w:val="00D65038"/>
    <w:rsid w:val="00D65275"/>
    <w:rsid w:val="00D657F7"/>
    <w:rsid w:val="00D65F2C"/>
    <w:rsid w:val="00D65F71"/>
    <w:rsid w:val="00D661DA"/>
    <w:rsid w:val="00D662BA"/>
    <w:rsid w:val="00D6641E"/>
    <w:rsid w:val="00D66DAC"/>
    <w:rsid w:val="00D673CA"/>
    <w:rsid w:val="00D6740D"/>
    <w:rsid w:val="00D67CE4"/>
    <w:rsid w:val="00D67D0C"/>
    <w:rsid w:val="00D67E9C"/>
    <w:rsid w:val="00D70C05"/>
    <w:rsid w:val="00D70FD2"/>
    <w:rsid w:val="00D7158D"/>
    <w:rsid w:val="00D716B7"/>
    <w:rsid w:val="00D71848"/>
    <w:rsid w:val="00D7185B"/>
    <w:rsid w:val="00D71A49"/>
    <w:rsid w:val="00D71A5F"/>
    <w:rsid w:val="00D71C78"/>
    <w:rsid w:val="00D72382"/>
    <w:rsid w:val="00D7263B"/>
    <w:rsid w:val="00D72648"/>
    <w:rsid w:val="00D7285E"/>
    <w:rsid w:val="00D72AC6"/>
    <w:rsid w:val="00D72F38"/>
    <w:rsid w:val="00D73240"/>
    <w:rsid w:val="00D734FF"/>
    <w:rsid w:val="00D74006"/>
    <w:rsid w:val="00D740C9"/>
    <w:rsid w:val="00D742E6"/>
    <w:rsid w:val="00D74544"/>
    <w:rsid w:val="00D7454A"/>
    <w:rsid w:val="00D7460A"/>
    <w:rsid w:val="00D749CD"/>
    <w:rsid w:val="00D74A9B"/>
    <w:rsid w:val="00D74BA6"/>
    <w:rsid w:val="00D74E1C"/>
    <w:rsid w:val="00D7504A"/>
    <w:rsid w:val="00D75637"/>
    <w:rsid w:val="00D75785"/>
    <w:rsid w:val="00D75B59"/>
    <w:rsid w:val="00D75C2D"/>
    <w:rsid w:val="00D75DB2"/>
    <w:rsid w:val="00D75DD3"/>
    <w:rsid w:val="00D7608A"/>
    <w:rsid w:val="00D761EF"/>
    <w:rsid w:val="00D76800"/>
    <w:rsid w:val="00D768C9"/>
    <w:rsid w:val="00D7693E"/>
    <w:rsid w:val="00D76DA6"/>
    <w:rsid w:val="00D76F97"/>
    <w:rsid w:val="00D772B8"/>
    <w:rsid w:val="00D7736E"/>
    <w:rsid w:val="00D776A8"/>
    <w:rsid w:val="00D7770F"/>
    <w:rsid w:val="00D7784E"/>
    <w:rsid w:val="00D77C7A"/>
    <w:rsid w:val="00D77D1B"/>
    <w:rsid w:val="00D77E86"/>
    <w:rsid w:val="00D77EE3"/>
    <w:rsid w:val="00D80617"/>
    <w:rsid w:val="00D8087A"/>
    <w:rsid w:val="00D80A75"/>
    <w:rsid w:val="00D80CBC"/>
    <w:rsid w:val="00D80EA7"/>
    <w:rsid w:val="00D80FFB"/>
    <w:rsid w:val="00D814C6"/>
    <w:rsid w:val="00D81568"/>
    <w:rsid w:val="00D81919"/>
    <w:rsid w:val="00D81A2F"/>
    <w:rsid w:val="00D821CA"/>
    <w:rsid w:val="00D822AB"/>
    <w:rsid w:val="00D828D3"/>
    <w:rsid w:val="00D8292C"/>
    <w:rsid w:val="00D82B23"/>
    <w:rsid w:val="00D82FFB"/>
    <w:rsid w:val="00D83564"/>
    <w:rsid w:val="00D83BF7"/>
    <w:rsid w:val="00D84212"/>
    <w:rsid w:val="00D8421D"/>
    <w:rsid w:val="00D8473B"/>
    <w:rsid w:val="00D8493C"/>
    <w:rsid w:val="00D8501D"/>
    <w:rsid w:val="00D853C9"/>
    <w:rsid w:val="00D85755"/>
    <w:rsid w:val="00D8594A"/>
    <w:rsid w:val="00D859C4"/>
    <w:rsid w:val="00D85C87"/>
    <w:rsid w:val="00D85FDB"/>
    <w:rsid w:val="00D861C2"/>
    <w:rsid w:val="00D86343"/>
    <w:rsid w:val="00D873D1"/>
    <w:rsid w:val="00D87A7A"/>
    <w:rsid w:val="00D87F68"/>
    <w:rsid w:val="00D90387"/>
    <w:rsid w:val="00D9038E"/>
    <w:rsid w:val="00D903D9"/>
    <w:rsid w:val="00D90451"/>
    <w:rsid w:val="00D906CB"/>
    <w:rsid w:val="00D907A0"/>
    <w:rsid w:val="00D907D1"/>
    <w:rsid w:val="00D90846"/>
    <w:rsid w:val="00D91334"/>
    <w:rsid w:val="00D9134A"/>
    <w:rsid w:val="00D9159A"/>
    <w:rsid w:val="00D9173E"/>
    <w:rsid w:val="00D917D3"/>
    <w:rsid w:val="00D917D4"/>
    <w:rsid w:val="00D91A49"/>
    <w:rsid w:val="00D91B3A"/>
    <w:rsid w:val="00D91F72"/>
    <w:rsid w:val="00D92EC0"/>
    <w:rsid w:val="00D92F4E"/>
    <w:rsid w:val="00D93AAF"/>
    <w:rsid w:val="00D93D43"/>
    <w:rsid w:val="00D941FD"/>
    <w:rsid w:val="00D94348"/>
    <w:rsid w:val="00D945CD"/>
    <w:rsid w:val="00D9462F"/>
    <w:rsid w:val="00D948EB"/>
    <w:rsid w:val="00D94914"/>
    <w:rsid w:val="00D95574"/>
    <w:rsid w:val="00D956EE"/>
    <w:rsid w:val="00D957E2"/>
    <w:rsid w:val="00D95A90"/>
    <w:rsid w:val="00D95B3A"/>
    <w:rsid w:val="00D95C59"/>
    <w:rsid w:val="00D96018"/>
    <w:rsid w:val="00D960AA"/>
    <w:rsid w:val="00D96748"/>
    <w:rsid w:val="00D969F7"/>
    <w:rsid w:val="00D96A5F"/>
    <w:rsid w:val="00D96ACC"/>
    <w:rsid w:val="00D96BA6"/>
    <w:rsid w:val="00D96C9E"/>
    <w:rsid w:val="00D96E25"/>
    <w:rsid w:val="00D97027"/>
    <w:rsid w:val="00D97240"/>
    <w:rsid w:val="00D97A2C"/>
    <w:rsid w:val="00D97FD0"/>
    <w:rsid w:val="00DA0023"/>
    <w:rsid w:val="00DA0063"/>
    <w:rsid w:val="00DA0202"/>
    <w:rsid w:val="00DA0354"/>
    <w:rsid w:val="00DA070C"/>
    <w:rsid w:val="00DA0927"/>
    <w:rsid w:val="00DA0E68"/>
    <w:rsid w:val="00DA0FAC"/>
    <w:rsid w:val="00DA1516"/>
    <w:rsid w:val="00DA16C4"/>
    <w:rsid w:val="00DA177B"/>
    <w:rsid w:val="00DA1ABA"/>
    <w:rsid w:val="00DA1DF4"/>
    <w:rsid w:val="00DA2331"/>
    <w:rsid w:val="00DA2638"/>
    <w:rsid w:val="00DA26FF"/>
    <w:rsid w:val="00DA2A8D"/>
    <w:rsid w:val="00DA2B68"/>
    <w:rsid w:val="00DA2DE9"/>
    <w:rsid w:val="00DA2F25"/>
    <w:rsid w:val="00DA3278"/>
    <w:rsid w:val="00DA3541"/>
    <w:rsid w:val="00DA3705"/>
    <w:rsid w:val="00DA3878"/>
    <w:rsid w:val="00DA3AC9"/>
    <w:rsid w:val="00DA3B9C"/>
    <w:rsid w:val="00DA404F"/>
    <w:rsid w:val="00DA4727"/>
    <w:rsid w:val="00DA48C1"/>
    <w:rsid w:val="00DA4B5D"/>
    <w:rsid w:val="00DA55EB"/>
    <w:rsid w:val="00DA56FB"/>
    <w:rsid w:val="00DA572E"/>
    <w:rsid w:val="00DA5774"/>
    <w:rsid w:val="00DA5B9F"/>
    <w:rsid w:val="00DA600A"/>
    <w:rsid w:val="00DA6744"/>
    <w:rsid w:val="00DA6E90"/>
    <w:rsid w:val="00DA6EB2"/>
    <w:rsid w:val="00DA6F01"/>
    <w:rsid w:val="00DA7049"/>
    <w:rsid w:val="00DA75AB"/>
    <w:rsid w:val="00DA77E6"/>
    <w:rsid w:val="00DA7821"/>
    <w:rsid w:val="00DB0117"/>
    <w:rsid w:val="00DB01B1"/>
    <w:rsid w:val="00DB0710"/>
    <w:rsid w:val="00DB0A94"/>
    <w:rsid w:val="00DB106B"/>
    <w:rsid w:val="00DB1391"/>
    <w:rsid w:val="00DB15DF"/>
    <w:rsid w:val="00DB16FB"/>
    <w:rsid w:val="00DB1C6C"/>
    <w:rsid w:val="00DB1D5F"/>
    <w:rsid w:val="00DB1DCC"/>
    <w:rsid w:val="00DB2394"/>
    <w:rsid w:val="00DB2614"/>
    <w:rsid w:val="00DB27ED"/>
    <w:rsid w:val="00DB27FD"/>
    <w:rsid w:val="00DB292E"/>
    <w:rsid w:val="00DB2E57"/>
    <w:rsid w:val="00DB2F0D"/>
    <w:rsid w:val="00DB328A"/>
    <w:rsid w:val="00DB35D7"/>
    <w:rsid w:val="00DB384D"/>
    <w:rsid w:val="00DB3915"/>
    <w:rsid w:val="00DB3DE3"/>
    <w:rsid w:val="00DB4046"/>
    <w:rsid w:val="00DB4747"/>
    <w:rsid w:val="00DB4978"/>
    <w:rsid w:val="00DB4BC0"/>
    <w:rsid w:val="00DB4C4E"/>
    <w:rsid w:val="00DB4DB1"/>
    <w:rsid w:val="00DB4EAA"/>
    <w:rsid w:val="00DB4F6C"/>
    <w:rsid w:val="00DB51A6"/>
    <w:rsid w:val="00DB5380"/>
    <w:rsid w:val="00DB5485"/>
    <w:rsid w:val="00DB5952"/>
    <w:rsid w:val="00DB5BB9"/>
    <w:rsid w:val="00DB5BC0"/>
    <w:rsid w:val="00DB5FDA"/>
    <w:rsid w:val="00DB5FDD"/>
    <w:rsid w:val="00DB611E"/>
    <w:rsid w:val="00DB6457"/>
    <w:rsid w:val="00DB6E79"/>
    <w:rsid w:val="00DB753A"/>
    <w:rsid w:val="00DB769E"/>
    <w:rsid w:val="00DB79DA"/>
    <w:rsid w:val="00DB7AB2"/>
    <w:rsid w:val="00DB7B3B"/>
    <w:rsid w:val="00DB7CC6"/>
    <w:rsid w:val="00DB7F34"/>
    <w:rsid w:val="00DB7F54"/>
    <w:rsid w:val="00DC0229"/>
    <w:rsid w:val="00DC087A"/>
    <w:rsid w:val="00DC093B"/>
    <w:rsid w:val="00DC13CC"/>
    <w:rsid w:val="00DC14D2"/>
    <w:rsid w:val="00DC186A"/>
    <w:rsid w:val="00DC1CA3"/>
    <w:rsid w:val="00DC20A5"/>
    <w:rsid w:val="00DC24AA"/>
    <w:rsid w:val="00DC2508"/>
    <w:rsid w:val="00DC2600"/>
    <w:rsid w:val="00DC27A2"/>
    <w:rsid w:val="00DC29F4"/>
    <w:rsid w:val="00DC321D"/>
    <w:rsid w:val="00DC3303"/>
    <w:rsid w:val="00DC331E"/>
    <w:rsid w:val="00DC3373"/>
    <w:rsid w:val="00DC3408"/>
    <w:rsid w:val="00DC353F"/>
    <w:rsid w:val="00DC369E"/>
    <w:rsid w:val="00DC4341"/>
    <w:rsid w:val="00DC46FF"/>
    <w:rsid w:val="00DC4779"/>
    <w:rsid w:val="00DC4855"/>
    <w:rsid w:val="00DC48E7"/>
    <w:rsid w:val="00DC4A6B"/>
    <w:rsid w:val="00DC4A9A"/>
    <w:rsid w:val="00DC4CB9"/>
    <w:rsid w:val="00DC501F"/>
    <w:rsid w:val="00DC50F3"/>
    <w:rsid w:val="00DC56D1"/>
    <w:rsid w:val="00DC5D17"/>
    <w:rsid w:val="00DC64D0"/>
    <w:rsid w:val="00DC66A5"/>
    <w:rsid w:val="00DC66AF"/>
    <w:rsid w:val="00DC6B1E"/>
    <w:rsid w:val="00DC7082"/>
    <w:rsid w:val="00DC715B"/>
    <w:rsid w:val="00DC73F8"/>
    <w:rsid w:val="00DC783F"/>
    <w:rsid w:val="00DC7B4C"/>
    <w:rsid w:val="00DC7BC0"/>
    <w:rsid w:val="00DD0058"/>
    <w:rsid w:val="00DD029E"/>
    <w:rsid w:val="00DD0461"/>
    <w:rsid w:val="00DD0837"/>
    <w:rsid w:val="00DD0B6B"/>
    <w:rsid w:val="00DD0D04"/>
    <w:rsid w:val="00DD10C5"/>
    <w:rsid w:val="00DD17C6"/>
    <w:rsid w:val="00DD1938"/>
    <w:rsid w:val="00DD194E"/>
    <w:rsid w:val="00DD19F0"/>
    <w:rsid w:val="00DD257A"/>
    <w:rsid w:val="00DD27FB"/>
    <w:rsid w:val="00DD28E7"/>
    <w:rsid w:val="00DD2CB4"/>
    <w:rsid w:val="00DD2EC0"/>
    <w:rsid w:val="00DD3276"/>
    <w:rsid w:val="00DD3466"/>
    <w:rsid w:val="00DD34F0"/>
    <w:rsid w:val="00DD3B10"/>
    <w:rsid w:val="00DD3B9B"/>
    <w:rsid w:val="00DD4221"/>
    <w:rsid w:val="00DD43FE"/>
    <w:rsid w:val="00DD4435"/>
    <w:rsid w:val="00DD46A5"/>
    <w:rsid w:val="00DD4882"/>
    <w:rsid w:val="00DD48FA"/>
    <w:rsid w:val="00DD4985"/>
    <w:rsid w:val="00DD4C0E"/>
    <w:rsid w:val="00DD4D3D"/>
    <w:rsid w:val="00DD50C8"/>
    <w:rsid w:val="00DD58D9"/>
    <w:rsid w:val="00DD5D39"/>
    <w:rsid w:val="00DD5E01"/>
    <w:rsid w:val="00DD62A2"/>
    <w:rsid w:val="00DD630D"/>
    <w:rsid w:val="00DD64C3"/>
    <w:rsid w:val="00DD68D1"/>
    <w:rsid w:val="00DD69A2"/>
    <w:rsid w:val="00DD7212"/>
    <w:rsid w:val="00DD7801"/>
    <w:rsid w:val="00DD7F18"/>
    <w:rsid w:val="00DE0115"/>
    <w:rsid w:val="00DE03BF"/>
    <w:rsid w:val="00DE05BD"/>
    <w:rsid w:val="00DE061D"/>
    <w:rsid w:val="00DE08D7"/>
    <w:rsid w:val="00DE08EB"/>
    <w:rsid w:val="00DE0B86"/>
    <w:rsid w:val="00DE0E87"/>
    <w:rsid w:val="00DE171A"/>
    <w:rsid w:val="00DE1C91"/>
    <w:rsid w:val="00DE1CA8"/>
    <w:rsid w:val="00DE1CFF"/>
    <w:rsid w:val="00DE1D2F"/>
    <w:rsid w:val="00DE29E1"/>
    <w:rsid w:val="00DE3542"/>
    <w:rsid w:val="00DE376E"/>
    <w:rsid w:val="00DE383E"/>
    <w:rsid w:val="00DE3C32"/>
    <w:rsid w:val="00DE3FC6"/>
    <w:rsid w:val="00DE46F1"/>
    <w:rsid w:val="00DE476A"/>
    <w:rsid w:val="00DE4B0C"/>
    <w:rsid w:val="00DE57BC"/>
    <w:rsid w:val="00DE57F9"/>
    <w:rsid w:val="00DE5BC2"/>
    <w:rsid w:val="00DE5C12"/>
    <w:rsid w:val="00DE6018"/>
    <w:rsid w:val="00DE62BE"/>
    <w:rsid w:val="00DE637D"/>
    <w:rsid w:val="00DE64EB"/>
    <w:rsid w:val="00DE7337"/>
    <w:rsid w:val="00DE7397"/>
    <w:rsid w:val="00DE79F5"/>
    <w:rsid w:val="00DE7A34"/>
    <w:rsid w:val="00DE7C22"/>
    <w:rsid w:val="00DE7FB5"/>
    <w:rsid w:val="00DF0029"/>
    <w:rsid w:val="00DF03DB"/>
    <w:rsid w:val="00DF0764"/>
    <w:rsid w:val="00DF127E"/>
    <w:rsid w:val="00DF1978"/>
    <w:rsid w:val="00DF1F07"/>
    <w:rsid w:val="00DF209F"/>
    <w:rsid w:val="00DF235D"/>
    <w:rsid w:val="00DF2433"/>
    <w:rsid w:val="00DF2ED1"/>
    <w:rsid w:val="00DF3248"/>
    <w:rsid w:val="00DF3477"/>
    <w:rsid w:val="00DF383C"/>
    <w:rsid w:val="00DF3B0C"/>
    <w:rsid w:val="00DF47D5"/>
    <w:rsid w:val="00DF4BA2"/>
    <w:rsid w:val="00DF5454"/>
    <w:rsid w:val="00DF58A5"/>
    <w:rsid w:val="00DF5B72"/>
    <w:rsid w:val="00DF5DC7"/>
    <w:rsid w:val="00DF6649"/>
    <w:rsid w:val="00DF69B7"/>
    <w:rsid w:val="00DF6C85"/>
    <w:rsid w:val="00DF6DFE"/>
    <w:rsid w:val="00DF6EA8"/>
    <w:rsid w:val="00DF6F24"/>
    <w:rsid w:val="00DF6F61"/>
    <w:rsid w:val="00DF74FD"/>
    <w:rsid w:val="00DF7B21"/>
    <w:rsid w:val="00DF7D3E"/>
    <w:rsid w:val="00E0017B"/>
    <w:rsid w:val="00E006FD"/>
    <w:rsid w:val="00E00BA8"/>
    <w:rsid w:val="00E00CE2"/>
    <w:rsid w:val="00E00F5D"/>
    <w:rsid w:val="00E010A4"/>
    <w:rsid w:val="00E017EF"/>
    <w:rsid w:val="00E0199F"/>
    <w:rsid w:val="00E01CDA"/>
    <w:rsid w:val="00E02084"/>
    <w:rsid w:val="00E0221B"/>
    <w:rsid w:val="00E02315"/>
    <w:rsid w:val="00E02365"/>
    <w:rsid w:val="00E024F4"/>
    <w:rsid w:val="00E0281E"/>
    <w:rsid w:val="00E028BA"/>
    <w:rsid w:val="00E02A50"/>
    <w:rsid w:val="00E02F29"/>
    <w:rsid w:val="00E031C1"/>
    <w:rsid w:val="00E03A18"/>
    <w:rsid w:val="00E03C55"/>
    <w:rsid w:val="00E0413D"/>
    <w:rsid w:val="00E04488"/>
    <w:rsid w:val="00E045EF"/>
    <w:rsid w:val="00E0469D"/>
    <w:rsid w:val="00E047B7"/>
    <w:rsid w:val="00E05821"/>
    <w:rsid w:val="00E05A61"/>
    <w:rsid w:val="00E05EDD"/>
    <w:rsid w:val="00E06106"/>
    <w:rsid w:val="00E06128"/>
    <w:rsid w:val="00E06262"/>
    <w:rsid w:val="00E06477"/>
    <w:rsid w:val="00E0669F"/>
    <w:rsid w:val="00E0670A"/>
    <w:rsid w:val="00E06CE6"/>
    <w:rsid w:val="00E06DF5"/>
    <w:rsid w:val="00E07127"/>
    <w:rsid w:val="00E074B5"/>
    <w:rsid w:val="00E0750F"/>
    <w:rsid w:val="00E07773"/>
    <w:rsid w:val="00E10292"/>
    <w:rsid w:val="00E1040D"/>
    <w:rsid w:val="00E1074D"/>
    <w:rsid w:val="00E10771"/>
    <w:rsid w:val="00E107D4"/>
    <w:rsid w:val="00E10A35"/>
    <w:rsid w:val="00E10EB6"/>
    <w:rsid w:val="00E10F8C"/>
    <w:rsid w:val="00E11063"/>
    <w:rsid w:val="00E1138A"/>
    <w:rsid w:val="00E11610"/>
    <w:rsid w:val="00E11C0E"/>
    <w:rsid w:val="00E1211D"/>
    <w:rsid w:val="00E12585"/>
    <w:rsid w:val="00E12AC1"/>
    <w:rsid w:val="00E12ACF"/>
    <w:rsid w:val="00E12B93"/>
    <w:rsid w:val="00E13661"/>
    <w:rsid w:val="00E13804"/>
    <w:rsid w:val="00E1382E"/>
    <w:rsid w:val="00E13D27"/>
    <w:rsid w:val="00E13D41"/>
    <w:rsid w:val="00E14306"/>
    <w:rsid w:val="00E149E9"/>
    <w:rsid w:val="00E14A73"/>
    <w:rsid w:val="00E14AAC"/>
    <w:rsid w:val="00E1517C"/>
    <w:rsid w:val="00E153C9"/>
    <w:rsid w:val="00E155FA"/>
    <w:rsid w:val="00E156A9"/>
    <w:rsid w:val="00E157F3"/>
    <w:rsid w:val="00E15847"/>
    <w:rsid w:val="00E16208"/>
    <w:rsid w:val="00E16504"/>
    <w:rsid w:val="00E165C2"/>
    <w:rsid w:val="00E16684"/>
    <w:rsid w:val="00E16726"/>
    <w:rsid w:val="00E1718F"/>
    <w:rsid w:val="00E173AB"/>
    <w:rsid w:val="00E1780D"/>
    <w:rsid w:val="00E20104"/>
    <w:rsid w:val="00E20427"/>
    <w:rsid w:val="00E2087E"/>
    <w:rsid w:val="00E20F1E"/>
    <w:rsid w:val="00E2112C"/>
    <w:rsid w:val="00E21171"/>
    <w:rsid w:val="00E212EB"/>
    <w:rsid w:val="00E21320"/>
    <w:rsid w:val="00E2179E"/>
    <w:rsid w:val="00E21F12"/>
    <w:rsid w:val="00E21F81"/>
    <w:rsid w:val="00E2241A"/>
    <w:rsid w:val="00E2277B"/>
    <w:rsid w:val="00E2279F"/>
    <w:rsid w:val="00E22B22"/>
    <w:rsid w:val="00E231AB"/>
    <w:rsid w:val="00E23440"/>
    <w:rsid w:val="00E23D6C"/>
    <w:rsid w:val="00E245DB"/>
    <w:rsid w:val="00E24797"/>
    <w:rsid w:val="00E24B02"/>
    <w:rsid w:val="00E24B47"/>
    <w:rsid w:val="00E256A6"/>
    <w:rsid w:val="00E261D7"/>
    <w:rsid w:val="00E2631E"/>
    <w:rsid w:val="00E26655"/>
    <w:rsid w:val="00E2666B"/>
    <w:rsid w:val="00E2676C"/>
    <w:rsid w:val="00E26A25"/>
    <w:rsid w:val="00E26D98"/>
    <w:rsid w:val="00E278D6"/>
    <w:rsid w:val="00E30615"/>
    <w:rsid w:val="00E30BD3"/>
    <w:rsid w:val="00E31B3C"/>
    <w:rsid w:val="00E31CDB"/>
    <w:rsid w:val="00E31ED7"/>
    <w:rsid w:val="00E32194"/>
    <w:rsid w:val="00E3273A"/>
    <w:rsid w:val="00E32751"/>
    <w:rsid w:val="00E329BF"/>
    <w:rsid w:val="00E32BE3"/>
    <w:rsid w:val="00E32C0B"/>
    <w:rsid w:val="00E3302A"/>
    <w:rsid w:val="00E3313E"/>
    <w:rsid w:val="00E33524"/>
    <w:rsid w:val="00E336B0"/>
    <w:rsid w:val="00E337D2"/>
    <w:rsid w:val="00E33954"/>
    <w:rsid w:val="00E339BF"/>
    <w:rsid w:val="00E339EE"/>
    <w:rsid w:val="00E33C97"/>
    <w:rsid w:val="00E3405F"/>
    <w:rsid w:val="00E3426C"/>
    <w:rsid w:val="00E34477"/>
    <w:rsid w:val="00E345B6"/>
    <w:rsid w:val="00E34699"/>
    <w:rsid w:val="00E346DD"/>
    <w:rsid w:val="00E34B6A"/>
    <w:rsid w:val="00E34C96"/>
    <w:rsid w:val="00E35840"/>
    <w:rsid w:val="00E35A17"/>
    <w:rsid w:val="00E35CE7"/>
    <w:rsid w:val="00E3613B"/>
    <w:rsid w:val="00E364FE"/>
    <w:rsid w:val="00E36616"/>
    <w:rsid w:val="00E369B6"/>
    <w:rsid w:val="00E36AFD"/>
    <w:rsid w:val="00E36D9A"/>
    <w:rsid w:val="00E36E92"/>
    <w:rsid w:val="00E371E9"/>
    <w:rsid w:val="00E37782"/>
    <w:rsid w:val="00E37BCE"/>
    <w:rsid w:val="00E4050E"/>
    <w:rsid w:val="00E405FF"/>
    <w:rsid w:val="00E40ADE"/>
    <w:rsid w:val="00E4140E"/>
    <w:rsid w:val="00E41709"/>
    <w:rsid w:val="00E41C77"/>
    <w:rsid w:val="00E42AA9"/>
    <w:rsid w:val="00E43221"/>
    <w:rsid w:val="00E43368"/>
    <w:rsid w:val="00E43576"/>
    <w:rsid w:val="00E435FD"/>
    <w:rsid w:val="00E436F7"/>
    <w:rsid w:val="00E43BB4"/>
    <w:rsid w:val="00E43CBB"/>
    <w:rsid w:val="00E44523"/>
    <w:rsid w:val="00E4480F"/>
    <w:rsid w:val="00E453DD"/>
    <w:rsid w:val="00E45EF0"/>
    <w:rsid w:val="00E4634C"/>
    <w:rsid w:val="00E46B32"/>
    <w:rsid w:val="00E46BD7"/>
    <w:rsid w:val="00E46C80"/>
    <w:rsid w:val="00E475FB"/>
    <w:rsid w:val="00E50365"/>
    <w:rsid w:val="00E5053B"/>
    <w:rsid w:val="00E50C7C"/>
    <w:rsid w:val="00E5115E"/>
    <w:rsid w:val="00E51B83"/>
    <w:rsid w:val="00E51F95"/>
    <w:rsid w:val="00E5249C"/>
    <w:rsid w:val="00E525CC"/>
    <w:rsid w:val="00E52AC2"/>
    <w:rsid w:val="00E531BB"/>
    <w:rsid w:val="00E53AE8"/>
    <w:rsid w:val="00E53BC9"/>
    <w:rsid w:val="00E53BD9"/>
    <w:rsid w:val="00E54C0C"/>
    <w:rsid w:val="00E54C37"/>
    <w:rsid w:val="00E562CA"/>
    <w:rsid w:val="00E5681D"/>
    <w:rsid w:val="00E570F4"/>
    <w:rsid w:val="00E572E8"/>
    <w:rsid w:val="00E573E8"/>
    <w:rsid w:val="00E5757A"/>
    <w:rsid w:val="00E576A6"/>
    <w:rsid w:val="00E57FB2"/>
    <w:rsid w:val="00E5E577"/>
    <w:rsid w:val="00E602E9"/>
    <w:rsid w:val="00E6092A"/>
    <w:rsid w:val="00E6115B"/>
    <w:rsid w:val="00E6192B"/>
    <w:rsid w:val="00E62170"/>
    <w:rsid w:val="00E62371"/>
    <w:rsid w:val="00E62743"/>
    <w:rsid w:val="00E6290F"/>
    <w:rsid w:val="00E62B3E"/>
    <w:rsid w:val="00E63122"/>
    <w:rsid w:val="00E63349"/>
    <w:rsid w:val="00E63573"/>
    <w:rsid w:val="00E6389C"/>
    <w:rsid w:val="00E63A41"/>
    <w:rsid w:val="00E63D09"/>
    <w:rsid w:val="00E6411C"/>
    <w:rsid w:val="00E641E7"/>
    <w:rsid w:val="00E642B3"/>
    <w:rsid w:val="00E64510"/>
    <w:rsid w:val="00E64715"/>
    <w:rsid w:val="00E64763"/>
    <w:rsid w:val="00E653FD"/>
    <w:rsid w:val="00E6550B"/>
    <w:rsid w:val="00E65766"/>
    <w:rsid w:val="00E65816"/>
    <w:rsid w:val="00E65A08"/>
    <w:rsid w:val="00E65B10"/>
    <w:rsid w:val="00E65D55"/>
    <w:rsid w:val="00E65E81"/>
    <w:rsid w:val="00E66117"/>
    <w:rsid w:val="00E661FF"/>
    <w:rsid w:val="00E666C6"/>
    <w:rsid w:val="00E66730"/>
    <w:rsid w:val="00E667BE"/>
    <w:rsid w:val="00E66DAA"/>
    <w:rsid w:val="00E670C0"/>
    <w:rsid w:val="00E671D5"/>
    <w:rsid w:val="00E6726A"/>
    <w:rsid w:val="00E675A7"/>
    <w:rsid w:val="00E677B8"/>
    <w:rsid w:val="00E67B43"/>
    <w:rsid w:val="00E67DF0"/>
    <w:rsid w:val="00E70753"/>
    <w:rsid w:val="00E70E62"/>
    <w:rsid w:val="00E70FA1"/>
    <w:rsid w:val="00E71149"/>
    <w:rsid w:val="00E71AB2"/>
    <w:rsid w:val="00E71ECA"/>
    <w:rsid w:val="00E721A4"/>
    <w:rsid w:val="00E72327"/>
    <w:rsid w:val="00E724A0"/>
    <w:rsid w:val="00E725C9"/>
    <w:rsid w:val="00E72F65"/>
    <w:rsid w:val="00E7319A"/>
    <w:rsid w:val="00E73278"/>
    <w:rsid w:val="00E73872"/>
    <w:rsid w:val="00E741B7"/>
    <w:rsid w:val="00E74227"/>
    <w:rsid w:val="00E74644"/>
    <w:rsid w:val="00E746BA"/>
    <w:rsid w:val="00E74BCA"/>
    <w:rsid w:val="00E751E2"/>
    <w:rsid w:val="00E754DA"/>
    <w:rsid w:val="00E75594"/>
    <w:rsid w:val="00E75811"/>
    <w:rsid w:val="00E76696"/>
    <w:rsid w:val="00E769A1"/>
    <w:rsid w:val="00E76C4F"/>
    <w:rsid w:val="00E76C79"/>
    <w:rsid w:val="00E77208"/>
    <w:rsid w:val="00E77216"/>
    <w:rsid w:val="00E772F6"/>
    <w:rsid w:val="00E7751C"/>
    <w:rsid w:val="00E77812"/>
    <w:rsid w:val="00E80636"/>
    <w:rsid w:val="00E80866"/>
    <w:rsid w:val="00E808E7"/>
    <w:rsid w:val="00E80BF7"/>
    <w:rsid w:val="00E80DE0"/>
    <w:rsid w:val="00E81872"/>
    <w:rsid w:val="00E81BD4"/>
    <w:rsid w:val="00E81C30"/>
    <w:rsid w:val="00E82384"/>
    <w:rsid w:val="00E82B68"/>
    <w:rsid w:val="00E82CCA"/>
    <w:rsid w:val="00E82D9B"/>
    <w:rsid w:val="00E83161"/>
    <w:rsid w:val="00E83552"/>
    <w:rsid w:val="00E83C07"/>
    <w:rsid w:val="00E83D68"/>
    <w:rsid w:val="00E8406E"/>
    <w:rsid w:val="00E841C2"/>
    <w:rsid w:val="00E84A4D"/>
    <w:rsid w:val="00E84AA3"/>
    <w:rsid w:val="00E84D48"/>
    <w:rsid w:val="00E84F77"/>
    <w:rsid w:val="00E852F7"/>
    <w:rsid w:val="00E85E68"/>
    <w:rsid w:val="00E85EEA"/>
    <w:rsid w:val="00E85F60"/>
    <w:rsid w:val="00E8602F"/>
    <w:rsid w:val="00E862DD"/>
    <w:rsid w:val="00E86428"/>
    <w:rsid w:val="00E864F8"/>
    <w:rsid w:val="00E8666C"/>
    <w:rsid w:val="00E866B4"/>
    <w:rsid w:val="00E86A0A"/>
    <w:rsid w:val="00E86DA7"/>
    <w:rsid w:val="00E86E1B"/>
    <w:rsid w:val="00E87264"/>
    <w:rsid w:val="00E90077"/>
    <w:rsid w:val="00E9045F"/>
    <w:rsid w:val="00E90550"/>
    <w:rsid w:val="00E9075C"/>
    <w:rsid w:val="00E90962"/>
    <w:rsid w:val="00E90A7C"/>
    <w:rsid w:val="00E90C01"/>
    <w:rsid w:val="00E90C97"/>
    <w:rsid w:val="00E90ED3"/>
    <w:rsid w:val="00E91128"/>
    <w:rsid w:val="00E91C11"/>
    <w:rsid w:val="00E91FD2"/>
    <w:rsid w:val="00E92183"/>
    <w:rsid w:val="00E921DD"/>
    <w:rsid w:val="00E926A0"/>
    <w:rsid w:val="00E9285D"/>
    <w:rsid w:val="00E928B7"/>
    <w:rsid w:val="00E92B23"/>
    <w:rsid w:val="00E92C34"/>
    <w:rsid w:val="00E92D2E"/>
    <w:rsid w:val="00E932AC"/>
    <w:rsid w:val="00E9362D"/>
    <w:rsid w:val="00E93B4A"/>
    <w:rsid w:val="00E93D58"/>
    <w:rsid w:val="00E93E24"/>
    <w:rsid w:val="00E94202"/>
    <w:rsid w:val="00E94618"/>
    <w:rsid w:val="00E94724"/>
    <w:rsid w:val="00E94747"/>
    <w:rsid w:val="00E94829"/>
    <w:rsid w:val="00E94C4E"/>
    <w:rsid w:val="00E94E0A"/>
    <w:rsid w:val="00E94F2B"/>
    <w:rsid w:val="00E9575D"/>
    <w:rsid w:val="00E958FD"/>
    <w:rsid w:val="00E95FD3"/>
    <w:rsid w:val="00E9610C"/>
    <w:rsid w:val="00E961F0"/>
    <w:rsid w:val="00E96337"/>
    <w:rsid w:val="00E96C3D"/>
    <w:rsid w:val="00E96CA9"/>
    <w:rsid w:val="00E97719"/>
    <w:rsid w:val="00EA0292"/>
    <w:rsid w:val="00EA0C4D"/>
    <w:rsid w:val="00EA166F"/>
    <w:rsid w:val="00EA1889"/>
    <w:rsid w:val="00EA1C2C"/>
    <w:rsid w:val="00EA1FD5"/>
    <w:rsid w:val="00EA24E5"/>
    <w:rsid w:val="00EA27F6"/>
    <w:rsid w:val="00EA2926"/>
    <w:rsid w:val="00EA2B24"/>
    <w:rsid w:val="00EA34A8"/>
    <w:rsid w:val="00EA3518"/>
    <w:rsid w:val="00EA4329"/>
    <w:rsid w:val="00EA4BB4"/>
    <w:rsid w:val="00EA510C"/>
    <w:rsid w:val="00EA555A"/>
    <w:rsid w:val="00EA570B"/>
    <w:rsid w:val="00EA5A8D"/>
    <w:rsid w:val="00EA5A9E"/>
    <w:rsid w:val="00EA642D"/>
    <w:rsid w:val="00EA672F"/>
    <w:rsid w:val="00EA6BE7"/>
    <w:rsid w:val="00EA6C9A"/>
    <w:rsid w:val="00EA6E53"/>
    <w:rsid w:val="00EA72BD"/>
    <w:rsid w:val="00EA74CE"/>
    <w:rsid w:val="00EA7960"/>
    <w:rsid w:val="00EA79DE"/>
    <w:rsid w:val="00EA7B44"/>
    <w:rsid w:val="00EA7EE3"/>
    <w:rsid w:val="00EB012E"/>
    <w:rsid w:val="00EB0B09"/>
    <w:rsid w:val="00EB1927"/>
    <w:rsid w:val="00EB1D93"/>
    <w:rsid w:val="00EB20AF"/>
    <w:rsid w:val="00EB2561"/>
    <w:rsid w:val="00EB25C7"/>
    <w:rsid w:val="00EB2769"/>
    <w:rsid w:val="00EB279A"/>
    <w:rsid w:val="00EB2E89"/>
    <w:rsid w:val="00EB2F14"/>
    <w:rsid w:val="00EB3777"/>
    <w:rsid w:val="00EB3799"/>
    <w:rsid w:val="00EB3A25"/>
    <w:rsid w:val="00EB3D8E"/>
    <w:rsid w:val="00EB436A"/>
    <w:rsid w:val="00EB46F5"/>
    <w:rsid w:val="00EB4D16"/>
    <w:rsid w:val="00EB500D"/>
    <w:rsid w:val="00EB50D1"/>
    <w:rsid w:val="00EB543E"/>
    <w:rsid w:val="00EB543F"/>
    <w:rsid w:val="00EB55F0"/>
    <w:rsid w:val="00EB5994"/>
    <w:rsid w:val="00EB5D01"/>
    <w:rsid w:val="00EB63C0"/>
    <w:rsid w:val="00EB6649"/>
    <w:rsid w:val="00EB6BFD"/>
    <w:rsid w:val="00EB6DF5"/>
    <w:rsid w:val="00EB71AD"/>
    <w:rsid w:val="00EB7E8A"/>
    <w:rsid w:val="00EC04A5"/>
    <w:rsid w:val="00EC0527"/>
    <w:rsid w:val="00EC0579"/>
    <w:rsid w:val="00EC0DEF"/>
    <w:rsid w:val="00EC1034"/>
    <w:rsid w:val="00EC1044"/>
    <w:rsid w:val="00EC152D"/>
    <w:rsid w:val="00EC176A"/>
    <w:rsid w:val="00EC19BC"/>
    <w:rsid w:val="00EC1B07"/>
    <w:rsid w:val="00EC1E8A"/>
    <w:rsid w:val="00EC2314"/>
    <w:rsid w:val="00EC272B"/>
    <w:rsid w:val="00EC27EC"/>
    <w:rsid w:val="00EC2ECF"/>
    <w:rsid w:val="00EC2FD1"/>
    <w:rsid w:val="00EC3518"/>
    <w:rsid w:val="00EC37B4"/>
    <w:rsid w:val="00EC3AA5"/>
    <w:rsid w:val="00EC3ACF"/>
    <w:rsid w:val="00EC3DE2"/>
    <w:rsid w:val="00EC3EB0"/>
    <w:rsid w:val="00EC408F"/>
    <w:rsid w:val="00EC49AC"/>
    <w:rsid w:val="00EC4A43"/>
    <w:rsid w:val="00EC4D25"/>
    <w:rsid w:val="00EC4E1B"/>
    <w:rsid w:val="00EC50E2"/>
    <w:rsid w:val="00EC50E4"/>
    <w:rsid w:val="00EC553B"/>
    <w:rsid w:val="00EC58A7"/>
    <w:rsid w:val="00EC5D26"/>
    <w:rsid w:val="00EC6323"/>
    <w:rsid w:val="00EC6382"/>
    <w:rsid w:val="00EC6477"/>
    <w:rsid w:val="00EC66C9"/>
    <w:rsid w:val="00EC674B"/>
    <w:rsid w:val="00EC6C9A"/>
    <w:rsid w:val="00EC6E08"/>
    <w:rsid w:val="00EC730F"/>
    <w:rsid w:val="00EC73A7"/>
    <w:rsid w:val="00EC7461"/>
    <w:rsid w:val="00EC785A"/>
    <w:rsid w:val="00ED024F"/>
    <w:rsid w:val="00ED03B4"/>
    <w:rsid w:val="00ED05A2"/>
    <w:rsid w:val="00ED09AF"/>
    <w:rsid w:val="00ED0FD6"/>
    <w:rsid w:val="00ED213C"/>
    <w:rsid w:val="00ED219A"/>
    <w:rsid w:val="00ED349D"/>
    <w:rsid w:val="00ED3FB1"/>
    <w:rsid w:val="00ED3FCA"/>
    <w:rsid w:val="00ED4253"/>
    <w:rsid w:val="00ED45E7"/>
    <w:rsid w:val="00ED46B6"/>
    <w:rsid w:val="00ED49E2"/>
    <w:rsid w:val="00ED4C9E"/>
    <w:rsid w:val="00ED54D7"/>
    <w:rsid w:val="00ED54F1"/>
    <w:rsid w:val="00ED56E2"/>
    <w:rsid w:val="00ED592F"/>
    <w:rsid w:val="00ED5B99"/>
    <w:rsid w:val="00ED647A"/>
    <w:rsid w:val="00ED68D1"/>
    <w:rsid w:val="00ED6912"/>
    <w:rsid w:val="00ED6E8B"/>
    <w:rsid w:val="00ED70AF"/>
    <w:rsid w:val="00ED7332"/>
    <w:rsid w:val="00ED737D"/>
    <w:rsid w:val="00ED781E"/>
    <w:rsid w:val="00ED78D4"/>
    <w:rsid w:val="00EE041B"/>
    <w:rsid w:val="00EE0AFF"/>
    <w:rsid w:val="00EE0FF3"/>
    <w:rsid w:val="00EE1557"/>
    <w:rsid w:val="00EE1791"/>
    <w:rsid w:val="00EE1C5F"/>
    <w:rsid w:val="00EE1E2E"/>
    <w:rsid w:val="00EE202D"/>
    <w:rsid w:val="00EE2065"/>
    <w:rsid w:val="00EE2BD7"/>
    <w:rsid w:val="00EE2DAA"/>
    <w:rsid w:val="00EE307F"/>
    <w:rsid w:val="00EE3331"/>
    <w:rsid w:val="00EE34CD"/>
    <w:rsid w:val="00EE3779"/>
    <w:rsid w:val="00EE38AE"/>
    <w:rsid w:val="00EE3BEB"/>
    <w:rsid w:val="00EE3D4D"/>
    <w:rsid w:val="00EE3F2A"/>
    <w:rsid w:val="00EE3FC2"/>
    <w:rsid w:val="00EE3FFE"/>
    <w:rsid w:val="00EE48D7"/>
    <w:rsid w:val="00EE511C"/>
    <w:rsid w:val="00EE526A"/>
    <w:rsid w:val="00EE54ED"/>
    <w:rsid w:val="00EE5506"/>
    <w:rsid w:val="00EE5B4E"/>
    <w:rsid w:val="00EE5DAB"/>
    <w:rsid w:val="00EE5DB5"/>
    <w:rsid w:val="00EE6043"/>
    <w:rsid w:val="00EE60BD"/>
    <w:rsid w:val="00EE63F0"/>
    <w:rsid w:val="00EE645C"/>
    <w:rsid w:val="00EE64E2"/>
    <w:rsid w:val="00EE6965"/>
    <w:rsid w:val="00EE6AC5"/>
    <w:rsid w:val="00EE760B"/>
    <w:rsid w:val="00EE7940"/>
    <w:rsid w:val="00EE7BCD"/>
    <w:rsid w:val="00EF01D6"/>
    <w:rsid w:val="00EF08CA"/>
    <w:rsid w:val="00EF0B28"/>
    <w:rsid w:val="00EF0B33"/>
    <w:rsid w:val="00EF0E1A"/>
    <w:rsid w:val="00EF130C"/>
    <w:rsid w:val="00EF1898"/>
    <w:rsid w:val="00EF1A23"/>
    <w:rsid w:val="00EF20C4"/>
    <w:rsid w:val="00EF21D5"/>
    <w:rsid w:val="00EF2221"/>
    <w:rsid w:val="00EF2394"/>
    <w:rsid w:val="00EF24BE"/>
    <w:rsid w:val="00EF2AEF"/>
    <w:rsid w:val="00EF2B00"/>
    <w:rsid w:val="00EF3154"/>
    <w:rsid w:val="00EF348C"/>
    <w:rsid w:val="00EF34A1"/>
    <w:rsid w:val="00EF3999"/>
    <w:rsid w:val="00EF3F8C"/>
    <w:rsid w:val="00EF41B3"/>
    <w:rsid w:val="00EF4211"/>
    <w:rsid w:val="00EF4396"/>
    <w:rsid w:val="00EF4718"/>
    <w:rsid w:val="00EF4BAB"/>
    <w:rsid w:val="00EF4C9C"/>
    <w:rsid w:val="00EF61A1"/>
    <w:rsid w:val="00EF6357"/>
    <w:rsid w:val="00EF6662"/>
    <w:rsid w:val="00EF6768"/>
    <w:rsid w:val="00EF6DFA"/>
    <w:rsid w:val="00EF6F14"/>
    <w:rsid w:val="00EF7373"/>
    <w:rsid w:val="00EF75A7"/>
    <w:rsid w:val="00EF76B7"/>
    <w:rsid w:val="00EF7824"/>
    <w:rsid w:val="00EF7ED7"/>
    <w:rsid w:val="00F000E4"/>
    <w:rsid w:val="00F006D0"/>
    <w:rsid w:val="00F01370"/>
    <w:rsid w:val="00F0147C"/>
    <w:rsid w:val="00F018E0"/>
    <w:rsid w:val="00F01BCB"/>
    <w:rsid w:val="00F01D32"/>
    <w:rsid w:val="00F01EBF"/>
    <w:rsid w:val="00F021D5"/>
    <w:rsid w:val="00F02210"/>
    <w:rsid w:val="00F025C9"/>
    <w:rsid w:val="00F0269D"/>
    <w:rsid w:val="00F02AAA"/>
    <w:rsid w:val="00F02E19"/>
    <w:rsid w:val="00F02EAC"/>
    <w:rsid w:val="00F030EF"/>
    <w:rsid w:val="00F03291"/>
    <w:rsid w:val="00F033BA"/>
    <w:rsid w:val="00F03438"/>
    <w:rsid w:val="00F03E36"/>
    <w:rsid w:val="00F03EC7"/>
    <w:rsid w:val="00F04139"/>
    <w:rsid w:val="00F0436C"/>
    <w:rsid w:val="00F0439C"/>
    <w:rsid w:val="00F047FC"/>
    <w:rsid w:val="00F048B0"/>
    <w:rsid w:val="00F04B84"/>
    <w:rsid w:val="00F056E4"/>
    <w:rsid w:val="00F057D3"/>
    <w:rsid w:val="00F057EB"/>
    <w:rsid w:val="00F057ED"/>
    <w:rsid w:val="00F0585F"/>
    <w:rsid w:val="00F05C87"/>
    <w:rsid w:val="00F05E40"/>
    <w:rsid w:val="00F063DF"/>
    <w:rsid w:val="00F0662F"/>
    <w:rsid w:val="00F06AAE"/>
    <w:rsid w:val="00F07505"/>
    <w:rsid w:val="00F07525"/>
    <w:rsid w:val="00F077A6"/>
    <w:rsid w:val="00F07A06"/>
    <w:rsid w:val="00F07AD5"/>
    <w:rsid w:val="00F07BDF"/>
    <w:rsid w:val="00F07D3C"/>
    <w:rsid w:val="00F102DE"/>
    <w:rsid w:val="00F1036F"/>
    <w:rsid w:val="00F104AF"/>
    <w:rsid w:val="00F10B00"/>
    <w:rsid w:val="00F11612"/>
    <w:rsid w:val="00F11F9E"/>
    <w:rsid w:val="00F120F3"/>
    <w:rsid w:val="00F120FC"/>
    <w:rsid w:val="00F12521"/>
    <w:rsid w:val="00F12920"/>
    <w:rsid w:val="00F12A9D"/>
    <w:rsid w:val="00F12F8C"/>
    <w:rsid w:val="00F12FF9"/>
    <w:rsid w:val="00F13062"/>
    <w:rsid w:val="00F137A6"/>
    <w:rsid w:val="00F137B7"/>
    <w:rsid w:val="00F13D97"/>
    <w:rsid w:val="00F13FCE"/>
    <w:rsid w:val="00F1405C"/>
    <w:rsid w:val="00F14192"/>
    <w:rsid w:val="00F14908"/>
    <w:rsid w:val="00F14B94"/>
    <w:rsid w:val="00F14BF7"/>
    <w:rsid w:val="00F14C9C"/>
    <w:rsid w:val="00F14DA2"/>
    <w:rsid w:val="00F14E7C"/>
    <w:rsid w:val="00F153B0"/>
    <w:rsid w:val="00F1563A"/>
    <w:rsid w:val="00F15A47"/>
    <w:rsid w:val="00F15A93"/>
    <w:rsid w:val="00F161FE"/>
    <w:rsid w:val="00F16229"/>
    <w:rsid w:val="00F165C0"/>
    <w:rsid w:val="00F166B4"/>
    <w:rsid w:val="00F17608"/>
    <w:rsid w:val="00F17B29"/>
    <w:rsid w:val="00F17DD4"/>
    <w:rsid w:val="00F200B6"/>
    <w:rsid w:val="00F200D9"/>
    <w:rsid w:val="00F2015B"/>
    <w:rsid w:val="00F20C85"/>
    <w:rsid w:val="00F21039"/>
    <w:rsid w:val="00F212DE"/>
    <w:rsid w:val="00F21446"/>
    <w:rsid w:val="00F228E2"/>
    <w:rsid w:val="00F22EB0"/>
    <w:rsid w:val="00F2301E"/>
    <w:rsid w:val="00F234B1"/>
    <w:rsid w:val="00F23666"/>
    <w:rsid w:val="00F238BC"/>
    <w:rsid w:val="00F238C8"/>
    <w:rsid w:val="00F2450E"/>
    <w:rsid w:val="00F24B94"/>
    <w:rsid w:val="00F25099"/>
    <w:rsid w:val="00F2533E"/>
    <w:rsid w:val="00F25540"/>
    <w:rsid w:val="00F26307"/>
    <w:rsid w:val="00F26484"/>
    <w:rsid w:val="00F26630"/>
    <w:rsid w:val="00F267D2"/>
    <w:rsid w:val="00F26A6D"/>
    <w:rsid w:val="00F2754E"/>
    <w:rsid w:val="00F278BF"/>
    <w:rsid w:val="00F27B99"/>
    <w:rsid w:val="00F27DB7"/>
    <w:rsid w:val="00F3061E"/>
    <w:rsid w:val="00F30959"/>
    <w:rsid w:val="00F31060"/>
    <w:rsid w:val="00F311AA"/>
    <w:rsid w:val="00F31510"/>
    <w:rsid w:val="00F316F6"/>
    <w:rsid w:val="00F321B7"/>
    <w:rsid w:val="00F32891"/>
    <w:rsid w:val="00F32D2B"/>
    <w:rsid w:val="00F32F96"/>
    <w:rsid w:val="00F32FF1"/>
    <w:rsid w:val="00F33594"/>
    <w:rsid w:val="00F33704"/>
    <w:rsid w:val="00F33822"/>
    <w:rsid w:val="00F33E1D"/>
    <w:rsid w:val="00F34289"/>
    <w:rsid w:val="00F34302"/>
    <w:rsid w:val="00F34C64"/>
    <w:rsid w:val="00F34D6C"/>
    <w:rsid w:val="00F34E7A"/>
    <w:rsid w:val="00F34EAD"/>
    <w:rsid w:val="00F3520B"/>
    <w:rsid w:val="00F3537B"/>
    <w:rsid w:val="00F35418"/>
    <w:rsid w:val="00F356C9"/>
    <w:rsid w:val="00F357BA"/>
    <w:rsid w:val="00F35A9A"/>
    <w:rsid w:val="00F35BF2"/>
    <w:rsid w:val="00F35F6B"/>
    <w:rsid w:val="00F362BC"/>
    <w:rsid w:val="00F364B2"/>
    <w:rsid w:val="00F36B1D"/>
    <w:rsid w:val="00F36BE4"/>
    <w:rsid w:val="00F36EDC"/>
    <w:rsid w:val="00F3756F"/>
    <w:rsid w:val="00F378A2"/>
    <w:rsid w:val="00F37DFB"/>
    <w:rsid w:val="00F40089"/>
    <w:rsid w:val="00F402D3"/>
    <w:rsid w:val="00F406BD"/>
    <w:rsid w:val="00F40954"/>
    <w:rsid w:val="00F40FFF"/>
    <w:rsid w:val="00F4150D"/>
    <w:rsid w:val="00F41A5A"/>
    <w:rsid w:val="00F41BC8"/>
    <w:rsid w:val="00F41BC9"/>
    <w:rsid w:val="00F41FEE"/>
    <w:rsid w:val="00F4205D"/>
    <w:rsid w:val="00F42185"/>
    <w:rsid w:val="00F424D5"/>
    <w:rsid w:val="00F42737"/>
    <w:rsid w:val="00F434C7"/>
    <w:rsid w:val="00F43528"/>
    <w:rsid w:val="00F4355D"/>
    <w:rsid w:val="00F43DB1"/>
    <w:rsid w:val="00F44321"/>
    <w:rsid w:val="00F44491"/>
    <w:rsid w:val="00F445C2"/>
    <w:rsid w:val="00F448D5"/>
    <w:rsid w:val="00F44D55"/>
    <w:rsid w:val="00F44FEC"/>
    <w:rsid w:val="00F450CF"/>
    <w:rsid w:val="00F458E2"/>
    <w:rsid w:val="00F45967"/>
    <w:rsid w:val="00F45972"/>
    <w:rsid w:val="00F45F9A"/>
    <w:rsid w:val="00F45FEC"/>
    <w:rsid w:val="00F460D3"/>
    <w:rsid w:val="00F46210"/>
    <w:rsid w:val="00F462B7"/>
    <w:rsid w:val="00F4650D"/>
    <w:rsid w:val="00F46903"/>
    <w:rsid w:val="00F46AE4"/>
    <w:rsid w:val="00F47426"/>
    <w:rsid w:val="00F47501"/>
    <w:rsid w:val="00F47904"/>
    <w:rsid w:val="00F47D38"/>
    <w:rsid w:val="00F47E28"/>
    <w:rsid w:val="00F47F96"/>
    <w:rsid w:val="00F5011E"/>
    <w:rsid w:val="00F50237"/>
    <w:rsid w:val="00F502D4"/>
    <w:rsid w:val="00F50461"/>
    <w:rsid w:val="00F505DC"/>
    <w:rsid w:val="00F50710"/>
    <w:rsid w:val="00F507B4"/>
    <w:rsid w:val="00F5081E"/>
    <w:rsid w:val="00F508D1"/>
    <w:rsid w:val="00F50999"/>
    <w:rsid w:val="00F50B0F"/>
    <w:rsid w:val="00F50B9A"/>
    <w:rsid w:val="00F51421"/>
    <w:rsid w:val="00F515F4"/>
    <w:rsid w:val="00F516F3"/>
    <w:rsid w:val="00F51B84"/>
    <w:rsid w:val="00F51D67"/>
    <w:rsid w:val="00F51EB8"/>
    <w:rsid w:val="00F52518"/>
    <w:rsid w:val="00F52662"/>
    <w:rsid w:val="00F52880"/>
    <w:rsid w:val="00F52969"/>
    <w:rsid w:val="00F52E04"/>
    <w:rsid w:val="00F52E72"/>
    <w:rsid w:val="00F530BE"/>
    <w:rsid w:val="00F532C6"/>
    <w:rsid w:val="00F5333A"/>
    <w:rsid w:val="00F53E43"/>
    <w:rsid w:val="00F5414B"/>
    <w:rsid w:val="00F542DD"/>
    <w:rsid w:val="00F542F7"/>
    <w:rsid w:val="00F5447A"/>
    <w:rsid w:val="00F54ACC"/>
    <w:rsid w:val="00F55315"/>
    <w:rsid w:val="00F5588C"/>
    <w:rsid w:val="00F55CB8"/>
    <w:rsid w:val="00F55DD4"/>
    <w:rsid w:val="00F56163"/>
    <w:rsid w:val="00F56181"/>
    <w:rsid w:val="00F563E2"/>
    <w:rsid w:val="00F5669A"/>
    <w:rsid w:val="00F56AAB"/>
    <w:rsid w:val="00F56AD3"/>
    <w:rsid w:val="00F56D52"/>
    <w:rsid w:val="00F57900"/>
    <w:rsid w:val="00F57EAF"/>
    <w:rsid w:val="00F600F9"/>
    <w:rsid w:val="00F609FE"/>
    <w:rsid w:val="00F60ACA"/>
    <w:rsid w:val="00F60D74"/>
    <w:rsid w:val="00F60F88"/>
    <w:rsid w:val="00F6103A"/>
    <w:rsid w:val="00F610E0"/>
    <w:rsid w:val="00F6123E"/>
    <w:rsid w:val="00F61F18"/>
    <w:rsid w:val="00F61F23"/>
    <w:rsid w:val="00F62238"/>
    <w:rsid w:val="00F6299F"/>
    <w:rsid w:val="00F62A52"/>
    <w:rsid w:val="00F633B4"/>
    <w:rsid w:val="00F638FD"/>
    <w:rsid w:val="00F63906"/>
    <w:rsid w:val="00F63B65"/>
    <w:rsid w:val="00F64372"/>
    <w:rsid w:val="00F64B92"/>
    <w:rsid w:val="00F65654"/>
    <w:rsid w:val="00F661FB"/>
    <w:rsid w:val="00F66326"/>
    <w:rsid w:val="00F66338"/>
    <w:rsid w:val="00F66A2E"/>
    <w:rsid w:val="00F66A5E"/>
    <w:rsid w:val="00F66CA8"/>
    <w:rsid w:val="00F66D9C"/>
    <w:rsid w:val="00F66FCC"/>
    <w:rsid w:val="00F672D4"/>
    <w:rsid w:val="00F67319"/>
    <w:rsid w:val="00F67BAA"/>
    <w:rsid w:val="00F67C19"/>
    <w:rsid w:val="00F67C44"/>
    <w:rsid w:val="00F6A266"/>
    <w:rsid w:val="00F70030"/>
    <w:rsid w:val="00F7006F"/>
    <w:rsid w:val="00F700D6"/>
    <w:rsid w:val="00F70360"/>
    <w:rsid w:val="00F70504"/>
    <w:rsid w:val="00F709BA"/>
    <w:rsid w:val="00F70B97"/>
    <w:rsid w:val="00F70D01"/>
    <w:rsid w:val="00F70EB8"/>
    <w:rsid w:val="00F717B2"/>
    <w:rsid w:val="00F71894"/>
    <w:rsid w:val="00F71E4B"/>
    <w:rsid w:val="00F7221D"/>
    <w:rsid w:val="00F72681"/>
    <w:rsid w:val="00F726EF"/>
    <w:rsid w:val="00F7274E"/>
    <w:rsid w:val="00F728AB"/>
    <w:rsid w:val="00F72B35"/>
    <w:rsid w:val="00F73205"/>
    <w:rsid w:val="00F736BD"/>
    <w:rsid w:val="00F73B35"/>
    <w:rsid w:val="00F740D9"/>
    <w:rsid w:val="00F74199"/>
    <w:rsid w:val="00F744C4"/>
    <w:rsid w:val="00F745A9"/>
    <w:rsid w:val="00F74842"/>
    <w:rsid w:val="00F74C52"/>
    <w:rsid w:val="00F74CC9"/>
    <w:rsid w:val="00F74DEE"/>
    <w:rsid w:val="00F75065"/>
    <w:rsid w:val="00F75107"/>
    <w:rsid w:val="00F75563"/>
    <w:rsid w:val="00F75733"/>
    <w:rsid w:val="00F75828"/>
    <w:rsid w:val="00F7595A"/>
    <w:rsid w:val="00F7595E"/>
    <w:rsid w:val="00F75BE8"/>
    <w:rsid w:val="00F75CA0"/>
    <w:rsid w:val="00F75E43"/>
    <w:rsid w:val="00F76012"/>
    <w:rsid w:val="00F76DEB"/>
    <w:rsid w:val="00F77063"/>
    <w:rsid w:val="00F770E6"/>
    <w:rsid w:val="00F771BD"/>
    <w:rsid w:val="00F773AE"/>
    <w:rsid w:val="00F7744B"/>
    <w:rsid w:val="00F775DF"/>
    <w:rsid w:val="00F779CE"/>
    <w:rsid w:val="00F77D87"/>
    <w:rsid w:val="00F77D95"/>
    <w:rsid w:val="00F800FE"/>
    <w:rsid w:val="00F80105"/>
    <w:rsid w:val="00F80475"/>
    <w:rsid w:val="00F80495"/>
    <w:rsid w:val="00F807B8"/>
    <w:rsid w:val="00F80ACA"/>
    <w:rsid w:val="00F80F7E"/>
    <w:rsid w:val="00F8126F"/>
    <w:rsid w:val="00F813E7"/>
    <w:rsid w:val="00F81616"/>
    <w:rsid w:val="00F81C4B"/>
    <w:rsid w:val="00F81EE8"/>
    <w:rsid w:val="00F81F57"/>
    <w:rsid w:val="00F82147"/>
    <w:rsid w:val="00F8235C"/>
    <w:rsid w:val="00F827E0"/>
    <w:rsid w:val="00F836C2"/>
    <w:rsid w:val="00F837ED"/>
    <w:rsid w:val="00F83A36"/>
    <w:rsid w:val="00F83D8C"/>
    <w:rsid w:val="00F83E0F"/>
    <w:rsid w:val="00F85004"/>
    <w:rsid w:val="00F85189"/>
    <w:rsid w:val="00F8535F"/>
    <w:rsid w:val="00F85867"/>
    <w:rsid w:val="00F85BA6"/>
    <w:rsid w:val="00F85D88"/>
    <w:rsid w:val="00F85E2F"/>
    <w:rsid w:val="00F86038"/>
    <w:rsid w:val="00F86299"/>
    <w:rsid w:val="00F86519"/>
    <w:rsid w:val="00F86610"/>
    <w:rsid w:val="00F87064"/>
    <w:rsid w:val="00F87100"/>
    <w:rsid w:val="00F87644"/>
    <w:rsid w:val="00F87813"/>
    <w:rsid w:val="00F87919"/>
    <w:rsid w:val="00F9018D"/>
    <w:rsid w:val="00F9037F"/>
    <w:rsid w:val="00F9072E"/>
    <w:rsid w:val="00F908D7"/>
    <w:rsid w:val="00F90AE6"/>
    <w:rsid w:val="00F912EC"/>
    <w:rsid w:val="00F91403"/>
    <w:rsid w:val="00F9153F"/>
    <w:rsid w:val="00F91E81"/>
    <w:rsid w:val="00F92874"/>
    <w:rsid w:val="00F92EE7"/>
    <w:rsid w:val="00F92FDD"/>
    <w:rsid w:val="00F933FC"/>
    <w:rsid w:val="00F939A4"/>
    <w:rsid w:val="00F939BC"/>
    <w:rsid w:val="00F94048"/>
    <w:rsid w:val="00F94139"/>
    <w:rsid w:val="00F9447D"/>
    <w:rsid w:val="00F9486B"/>
    <w:rsid w:val="00F9496F"/>
    <w:rsid w:val="00F95112"/>
    <w:rsid w:val="00F955E9"/>
    <w:rsid w:val="00F956B4"/>
    <w:rsid w:val="00F95A7F"/>
    <w:rsid w:val="00F9630C"/>
    <w:rsid w:val="00F970B9"/>
    <w:rsid w:val="00F971DD"/>
    <w:rsid w:val="00F9723D"/>
    <w:rsid w:val="00F974A9"/>
    <w:rsid w:val="00F97695"/>
    <w:rsid w:val="00F97A6D"/>
    <w:rsid w:val="00F97D5F"/>
    <w:rsid w:val="00F97DB2"/>
    <w:rsid w:val="00F97FC9"/>
    <w:rsid w:val="00FA02C5"/>
    <w:rsid w:val="00FA05D2"/>
    <w:rsid w:val="00FA0811"/>
    <w:rsid w:val="00FA0815"/>
    <w:rsid w:val="00FA0A7E"/>
    <w:rsid w:val="00FA0CCF"/>
    <w:rsid w:val="00FA1548"/>
    <w:rsid w:val="00FA166D"/>
    <w:rsid w:val="00FA1679"/>
    <w:rsid w:val="00FA1846"/>
    <w:rsid w:val="00FA1FC8"/>
    <w:rsid w:val="00FA204C"/>
    <w:rsid w:val="00FA24B0"/>
    <w:rsid w:val="00FA2787"/>
    <w:rsid w:val="00FA2856"/>
    <w:rsid w:val="00FA2928"/>
    <w:rsid w:val="00FA2FDD"/>
    <w:rsid w:val="00FA310F"/>
    <w:rsid w:val="00FA3374"/>
    <w:rsid w:val="00FA3411"/>
    <w:rsid w:val="00FA35B6"/>
    <w:rsid w:val="00FA379D"/>
    <w:rsid w:val="00FA3F32"/>
    <w:rsid w:val="00FA40CF"/>
    <w:rsid w:val="00FA40F7"/>
    <w:rsid w:val="00FA42F3"/>
    <w:rsid w:val="00FA4BF5"/>
    <w:rsid w:val="00FA4D32"/>
    <w:rsid w:val="00FA51AC"/>
    <w:rsid w:val="00FA54DB"/>
    <w:rsid w:val="00FA555D"/>
    <w:rsid w:val="00FA5C51"/>
    <w:rsid w:val="00FA5DC2"/>
    <w:rsid w:val="00FA5E98"/>
    <w:rsid w:val="00FA60F3"/>
    <w:rsid w:val="00FA6C2B"/>
    <w:rsid w:val="00FA6E52"/>
    <w:rsid w:val="00FA7328"/>
    <w:rsid w:val="00FA7CE9"/>
    <w:rsid w:val="00FA7D96"/>
    <w:rsid w:val="00FA7FF2"/>
    <w:rsid w:val="00FB08C5"/>
    <w:rsid w:val="00FB0A2E"/>
    <w:rsid w:val="00FB0CD9"/>
    <w:rsid w:val="00FB0DE4"/>
    <w:rsid w:val="00FB1622"/>
    <w:rsid w:val="00FB1A16"/>
    <w:rsid w:val="00FB1B4F"/>
    <w:rsid w:val="00FB1F63"/>
    <w:rsid w:val="00FB209C"/>
    <w:rsid w:val="00FB2183"/>
    <w:rsid w:val="00FB23FF"/>
    <w:rsid w:val="00FB2722"/>
    <w:rsid w:val="00FB283A"/>
    <w:rsid w:val="00FB367A"/>
    <w:rsid w:val="00FB3A4D"/>
    <w:rsid w:val="00FB459C"/>
    <w:rsid w:val="00FB46C1"/>
    <w:rsid w:val="00FB490D"/>
    <w:rsid w:val="00FB4BBE"/>
    <w:rsid w:val="00FB4DCB"/>
    <w:rsid w:val="00FB5179"/>
    <w:rsid w:val="00FB538F"/>
    <w:rsid w:val="00FB55BB"/>
    <w:rsid w:val="00FB5A22"/>
    <w:rsid w:val="00FB627D"/>
    <w:rsid w:val="00FB6286"/>
    <w:rsid w:val="00FB6785"/>
    <w:rsid w:val="00FB6852"/>
    <w:rsid w:val="00FB68F2"/>
    <w:rsid w:val="00FB7306"/>
    <w:rsid w:val="00FB74AD"/>
    <w:rsid w:val="00FB74AE"/>
    <w:rsid w:val="00FB7AF5"/>
    <w:rsid w:val="00FB7C33"/>
    <w:rsid w:val="00FB7C4A"/>
    <w:rsid w:val="00FB7CF6"/>
    <w:rsid w:val="00FC01E2"/>
    <w:rsid w:val="00FC05AF"/>
    <w:rsid w:val="00FC0624"/>
    <w:rsid w:val="00FC06D8"/>
    <w:rsid w:val="00FC0B84"/>
    <w:rsid w:val="00FC0FDA"/>
    <w:rsid w:val="00FC151B"/>
    <w:rsid w:val="00FC1972"/>
    <w:rsid w:val="00FC19CE"/>
    <w:rsid w:val="00FC1B84"/>
    <w:rsid w:val="00FC1DEF"/>
    <w:rsid w:val="00FC1E75"/>
    <w:rsid w:val="00FC1F8E"/>
    <w:rsid w:val="00FC2449"/>
    <w:rsid w:val="00FC24FC"/>
    <w:rsid w:val="00FC2AEF"/>
    <w:rsid w:val="00FC3041"/>
    <w:rsid w:val="00FC32B5"/>
    <w:rsid w:val="00FC34CF"/>
    <w:rsid w:val="00FC3875"/>
    <w:rsid w:val="00FC3A17"/>
    <w:rsid w:val="00FC3F1A"/>
    <w:rsid w:val="00FC4905"/>
    <w:rsid w:val="00FC49FE"/>
    <w:rsid w:val="00FC4D07"/>
    <w:rsid w:val="00FC5440"/>
    <w:rsid w:val="00FC5BFB"/>
    <w:rsid w:val="00FC5D2C"/>
    <w:rsid w:val="00FC62D2"/>
    <w:rsid w:val="00FC671F"/>
    <w:rsid w:val="00FC67B8"/>
    <w:rsid w:val="00FC68B1"/>
    <w:rsid w:val="00FC690A"/>
    <w:rsid w:val="00FC6CA2"/>
    <w:rsid w:val="00FC6D1B"/>
    <w:rsid w:val="00FC728E"/>
    <w:rsid w:val="00FC72E7"/>
    <w:rsid w:val="00FC7402"/>
    <w:rsid w:val="00FC7CFF"/>
    <w:rsid w:val="00FD0387"/>
    <w:rsid w:val="00FD0682"/>
    <w:rsid w:val="00FD0A8B"/>
    <w:rsid w:val="00FD0D27"/>
    <w:rsid w:val="00FD1042"/>
    <w:rsid w:val="00FD1226"/>
    <w:rsid w:val="00FD12EC"/>
    <w:rsid w:val="00FD12F9"/>
    <w:rsid w:val="00FD1499"/>
    <w:rsid w:val="00FD1C0F"/>
    <w:rsid w:val="00FD1CDE"/>
    <w:rsid w:val="00FD1DC1"/>
    <w:rsid w:val="00FD25A6"/>
    <w:rsid w:val="00FD29D5"/>
    <w:rsid w:val="00FD2C17"/>
    <w:rsid w:val="00FD2E1A"/>
    <w:rsid w:val="00FD32D5"/>
    <w:rsid w:val="00FD3B26"/>
    <w:rsid w:val="00FD3F1B"/>
    <w:rsid w:val="00FD435E"/>
    <w:rsid w:val="00FD4413"/>
    <w:rsid w:val="00FD442A"/>
    <w:rsid w:val="00FD4E5B"/>
    <w:rsid w:val="00FD4F7D"/>
    <w:rsid w:val="00FD5292"/>
    <w:rsid w:val="00FD5589"/>
    <w:rsid w:val="00FD571C"/>
    <w:rsid w:val="00FD5B99"/>
    <w:rsid w:val="00FD5EF4"/>
    <w:rsid w:val="00FD5F21"/>
    <w:rsid w:val="00FD6478"/>
    <w:rsid w:val="00FD676E"/>
    <w:rsid w:val="00FD68BC"/>
    <w:rsid w:val="00FD6CA2"/>
    <w:rsid w:val="00FD7075"/>
    <w:rsid w:val="00FD7113"/>
    <w:rsid w:val="00FD7544"/>
    <w:rsid w:val="00FD771E"/>
    <w:rsid w:val="00FD782D"/>
    <w:rsid w:val="00FD7D5D"/>
    <w:rsid w:val="00FE052F"/>
    <w:rsid w:val="00FE067F"/>
    <w:rsid w:val="00FE074B"/>
    <w:rsid w:val="00FE09EA"/>
    <w:rsid w:val="00FE0D0A"/>
    <w:rsid w:val="00FE12E0"/>
    <w:rsid w:val="00FE15F0"/>
    <w:rsid w:val="00FE185A"/>
    <w:rsid w:val="00FE19BB"/>
    <w:rsid w:val="00FE1F86"/>
    <w:rsid w:val="00FE2261"/>
    <w:rsid w:val="00FE2428"/>
    <w:rsid w:val="00FE2450"/>
    <w:rsid w:val="00FE27AB"/>
    <w:rsid w:val="00FE2C4B"/>
    <w:rsid w:val="00FE2D9F"/>
    <w:rsid w:val="00FE2E5B"/>
    <w:rsid w:val="00FE307E"/>
    <w:rsid w:val="00FE372C"/>
    <w:rsid w:val="00FE39D3"/>
    <w:rsid w:val="00FE3A0B"/>
    <w:rsid w:val="00FE4066"/>
    <w:rsid w:val="00FE409E"/>
    <w:rsid w:val="00FE48BB"/>
    <w:rsid w:val="00FE569F"/>
    <w:rsid w:val="00FE5A91"/>
    <w:rsid w:val="00FE5D4A"/>
    <w:rsid w:val="00FE5D9D"/>
    <w:rsid w:val="00FE6AAB"/>
    <w:rsid w:val="00FE6D30"/>
    <w:rsid w:val="00FE7344"/>
    <w:rsid w:val="00FE7BCF"/>
    <w:rsid w:val="00FE7F77"/>
    <w:rsid w:val="00FE7FFA"/>
    <w:rsid w:val="00FF073B"/>
    <w:rsid w:val="00FF07AA"/>
    <w:rsid w:val="00FF12EB"/>
    <w:rsid w:val="00FF1505"/>
    <w:rsid w:val="00FF1631"/>
    <w:rsid w:val="00FF179D"/>
    <w:rsid w:val="00FF17FC"/>
    <w:rsid w:val="00FF18BE"/>
    <w:rsid w:val="00FF23B7"/>
    <w:rsid w:val="00FF256F"/>
    <w:rsid w:val="00FF2B51"/>
    <w:rsid w:val="00FF2BAA"/>
    <w:rsid w:val="00FF2EC6"/>
    <w:rsid w:val="00FF3188"/>
    <w:rsid w:val="00FF3D2F"/>
    <w:rsid w:val="00FF40A4"/>
    <w:rsid w:val="00FF4249"/>
    <w:rsid w:val="00FF4636"/>
    <w:rsid w:val="00FF47E2"/>
    <w:rsid w:val="00FF4A67"/>
    <w:rsid w:val="00FF5288"/>
    <w:rsid w:val="00FF52C9"/>
    <w:rsid w:val="00FF5963"/>
    <w:rsid w:val="00FF5B50"/>
    <w:rsid w:val="00FF5BB3"/>
    <w:rsid w:val="00FF5C91"/>
    <w:rsid w:val="00FF6095"/>
    <w:rsid w:val="00FF6189"/>
    <w:rsid w:val="00FF688E"/>
    <w:rsid w:val="00FF68F5"/>
    <w:rsid w:val="00FF707A"/>
    <w:rsid w:val="00FF7483"/>
    <w:rsid w:val="00FF78DC"/>
    <w:rsid w:val="00FF7B5D"/>
    <w:rsid w:val="00FF7EF9"/>
    <w:rsid w:val="0103BAE4"/>
    <w:rsid w:val="01065966"/>
    <w:rsid w:val="01069527"/>
    <w:rsid w:val="010AEF44"/>
    <w:rsid w:val="010F5683"/>
    <w:rsid w:val="01125C26"/>
    <w:rsid w:val="0114FDAC"/>
    <w:rsid w:val="011D6C2B"/>
    <w:rsid w:val="0120FFC2"/>
    <w:rsid w:val="01233C87"/>
    <w:rsid w:val="0128A5E9"/>
    <w:rsid w:val="0129BB3E"/>
    <w:rsid w:val="012CE081"/>
    <w:rsid w:val="012D35ED"/>
    <w:rsid w:val="012E1FB6"/>
    <w:rsid w:val="0135E41D"/>
    <w:rsid w:val="014311ED"/>
    <w:rsid w:val="01550D11"/>
    <w:rsid w:val="016023F3"/>
    <w:rsid w:val="0169345B"/>
    <w:rsid w:val="016ED946"/>
    <w:rsid w:val="017C9EAF"/>
    <w:rsid w:val="01829B47"/>
    <w:rsid w:val="018A56B4"/>
    <w:rsid w:val="01983923"/>
    <w:rsid w:val="01A49060"/>
    <w:rsid w:val="01C39006"/>
    <w:rsid w:val="01D3C296"/>
    <w:rsid w:val="01D3C6E4"/>
    <w:rsid w:val="01DCEF6D"/>
    <w:rsid w:val="01E4DB00"/>
    <w:rsid w:val="01E67580"/>
    <w:rsid w:val="01EAC76B"/>
    <w:rsid w:val="01F15412"/>
    <w:rsid w:val="01F30D7F"/>
    <w:rsid w:val="01FF858E"/>
    <w:rsid w:val="020A6226"/>
    <w:rsid w:val="020AF144"/>
    <w:rsid w:val="020B871B"/>
    <w:rsid w:val="02101494"/>
    <w:rsid w:val="0210A56E"/>
    <w:rsid w:val="021594AD"/>
    <w:rsid w:val="02169414"/>
    <w:rsid w:val="0218B5EE"/>
    <w:rsid w:val="021A4447"/>
    <w:rsid w:val="022117F1"/>
    <w:rsid w:val="022366C3"/>
    <w:rsid w:val="02281E49"/>
    <w:rsid w:val="0229CB8C"/>
    <w:rsid w:val="022CCD35"/>
    <w:rsid w:val="0231E367"/>
    <w:rsid w:val="0232EB96"/>
    <w:rsid w:val="0237E08B"/>
    <w:rsid w:val="023D6C30"/>
    <w:rsid w:val="02419522"/>
    <w:rsid w:val="0241BC38"/>
    <w:rsid w:val="02442FB5"/>
    <w:rsid w:val="024D36CD"/>
    <w:rsid w:val="024D5443"/>
    <w:rsid w:val="02594D21"/>
    <w:rsid w:val="025A0284"/>
    <w:rsid w:val="025CBA6E"/>
    <w:rsid w:val="02621433"/>
    <w:rsid w:val="0266EBEB"/>
    <w:rsid w:val="0274835A"/>
    <w:rsid w:val="0276B5D7"/>
    <w:rsid w:val="027AACE0"/>
    <w:rsid w:val="027B2A1D"/>
    <w:rsid w:val="0281CDEB"/>
    <w:rsid w:val="0288DDAC"/>
    <w:rsid w:val="0295E56F"/>
    <w:rsid w:val="029CE39F"/>
    <w:rsid w:val="02A6C067"/>
    <w:rsid w:val="02ABD39A"/>
    <w:rsid w:val="02B9FFAC"/>
    <w:rsid w:val="02C65844"/>
    <w:rsid w:val="02CD7031"/>
    <w:rsid w:val="02D6D3DC"/>
    <w:rsid w:val="02FAD8EE"/>
    <w:rsid w:val="0310A3D7"/>
    <w:rsid w:val="0329F077"/>
    <w:rsid w:val="0331575B"/>
    <w:rsid w:val="03330EB5"/>
    <w:rsid w:val="03337344"/>
    <w:rsid w:val="03394656"/>
    <w:rsid w:val="0348E0E1"/>
    <w:rsid w:val="035B9A30"/>
    <w:rsid w:val="035C2274"/>
    <w:rsid w:val="035E56A0"/>
    <w:rsid w:val="037E7812"/>
    <w:rsid w:val="037FE6E4"/>
    <w:rsid w:val="0380803D"/>
    <w:rsid w:val="038806C6"/>
    <w:rsid w:val="038A8F92"/>
    <w:rsid w:val="038D8AA3"/>
    <w:rsid w:val="0397AB65"/>
    <w:rsid w:val="03ADFBAB"/>
    <w:rsid w:val="03B0A798"/>
    <w:rsid w:val="03B4864F"/>
    <w:rsid w:val="03B5B082"/>
    <w:rsid w:val="03B707D4"/>
    <w:rsid w:val="03CC7F41"/>
    <w:rsid w:val="03D67F43"/>
    <w:rsid w:val="03DEB5B6"/>
    <w:rsid w:val="03EA522D"/>
    <w:rsid w:val="03FC9BC6"/>
    <w:rsid w:val="04008F79"/>
    <w:rsid w:val="040B641A"/>
    <w:rsid w:val="040ECF12"/>
    <w:rsid w:val="040F54B8"/>
    <w:rsid w:val="04128638"/>
    <w:rsid w:val="0415831C"/>
    <w:rsid w:val="041FAEEE"/>
    <w:rsid w:val="0426DC63"/>
    <w:rsid w:val="0440AAF8"/>
    <w:rsid w:val="04462A74"/>
    <w:rsid w:val="045432D8"/>
    <w:rsid w:val="045BD2E1"/>
    <w:rsid w:val="045E50DA"/>
    <w:rsid w:val="04670053"/>
    <w:rsid w:val="04694092"/>
    <w:rsid w:val="046AE4E5"/>
    <w:rsid w:val="0479F5A6"/>
    <w:rsid w:val="0481F0A9"/>
    <w:rsid w:val="04922099"/>
    <w:rsid w:val="049EB6AF"/>
    <w:rsid w:val="04A2B26B"/>
    <w:rsid w:val="04A71244"/>
    <w:rsid w:val="04A8AC27"/>
    <w:rsid w:val="04AB3D75"/>
    <w:rsid w:val="04AF13F8"/>
    <w:rsid w:val="04BBC31E"/>
    <w:rsid w:val="04BC7D35"/>
    <w:rsid w:val="04C1F776"/>
    <w:rsid w:val="04C212AC"/>
    <w:rsid w:val="04C535DB"/>
    <w:rsid w:val="04C91393"/>
    <w:rsid w:val="04CC3A8B"/>
    <w:rsid w:val="04D27701"/>
    <w:rsid w:val="04D946D7"/>
    <w:rsid w:val="04DDDC82"/>
    <w:rsid w:val="04E9EE90"/>
    <w:rsid w:val="04FA8CAB"/>
    <w:rsid w:val="05162373"/>
    <w:rsid w:val="051D0B4C"/>
    <w:rsid w:val="0521E426"/>
    <w:rsid w:val="052D7DC6"/>
    <w:rsid w:val="053F7E63"/>
    <w:rsid w:val="0541780A"/>
    <w:rsid w:val="055412F8"/>
    <w:rsid w:val="055BA523"/>
    <w:rsid w:val="055F5066"/>
    <w:rsid w:val="0561CEF0"/>
    <w:rsid w:val="05670CC2"/>
    <w:rsid w:val="056AB8AB"/>
    <w:rsid w:val="05731154"/>
    <w:rsid w:val="05741D79"/>
    <w:rsid w:val="05770D8A"/>
    <w:rsid w:val="0577DCE0"/>
    <w:rsid w:val="05781C0C"/>
    <w:rsid w:val="057D2F45"/>
    <w:rsid w:val="0589E4AE"/>
    <w:rsid w:val="058FA05D"/>
    <w:rsid w:val="0592B9AD"/>
    <w:rsid w:val="0594666D"/>
    <w:rsid w:val="05A01065"/>
    <w:rsid w:val="05A12986"/>
    <w:rsid w:val="05A5CDAA"/>
    <w:rsid w:val="05A9C25E"/>
    <w:rsid w:val="05AB8668"/>
    <w:rsid w:val="05ADB7D6"/>
    <w:rsid w:val="05B1A615"/>
    <w:rsid w:val="05B2B5AE"/>
    <w:rsid w:val="05B32DAB"/>
    <w:rsid w:val="05B9F3D5"/>
    <w:rsid w:val="05BA3E6D"/>
    <w:rsid w:val="05D2546C"/>
    <w:rsid w:val="05D2DB14"/>
    <w:rsid w:val="05D311B7"/>
    <w:rsid w:val="05D8D904"/>
    <w:rsid w:val="05DD3EC2"/>
    <w:rsid w:val="05F0505A"/>
    <w:rsid w:val="05FA71B3"/>
    <w:rsid w:val="05FA7315"/>
    <w:rsid w:val="05FD54E9"/>
    <w:rsid w:val="06108720"/>
    <w:rsid w:val="06171484"/>
    <w:rsid w:val="062A6E63"/>
    <w:rsid w:val="06424795"/>
    <w:rsid w:val="065893A5"/>
    <w:rsid w:val="06611A10"/>
    <w:rsid w:val="0661DD09"/>
    <w:rsid w:val="06875300"/>
    <w:rsid w:val="0687D4AC"/>
    <w:rsid w:val="06904476"/>
    <w:rsid w:val="06920BF6"/>
    <w:rsid w:val="069323B9"/>
    <w:rsid w:val="06940629"/>
    <w:rsid w:val="06A08782"/>
    <w:rsid w:val="06A486A6"/>
    <w:rsid w:val="06B62D04"/>
    <w:rsid w:val="06C9597C"/>
    <w:rsid w:val="06CCED98"/>
    <w:rsid w:val="06CD6E44"/>
    <w:rsid w:val="06CDCDCB"/>
    <w:rsid w:val="06D3DBA1"/>
    <w:rsid w:val="06D53AF4"/>
    <w:rsid w:val="06D6C630"/>
    <w:rsid w:val="06DDDB6B"/>
    <w:rsid w:val="06F1FB70"/>
    <w:rsid w:val="06F26CE8"/>
    <w:rsid w:val="06F8145A"/>
    <w:rsid w:val="06FCE72F"/>
    <w:rsid w:val="0718D645"/>
    <w:rsid w:val="071AEF68"/>
    <w:rsid w:val="072221A6"/>
    <w:rsid w:val="0724D883"/>
    <w:rsid w:val="072FFE3A"/>
    <w:rsid w:val="073574FE"/>
    <w:rsid w:val="07393FC6"/>
    <w:rsid w:val="074265F0"/>
    <w:rsid w:val="0743B5E9"/>
    <w:rsid w:val="074407D8"/>
    <w:rsid w:val="074B0DE9"/>
    <w:rsid w:val="074F9E4B"/>
    <w:rsid w:val="07513E6C"/>
    <w:rsid w:val="0753A07D"/>
    <w:rsid w:val="07613947"/>
    <w:rsid w:val="07634CF3"/>
    <w:rsid w:val="0765D3C0"/>
    <w:rsid w:val="07688B45"/>
    <w:rsid w:val="07700B8F"/>
    <w:rsid w:val="0771D48F"/>
    <w:rsid w:val="077363B1"/>
    <w:rsid w:val="078554B0"/>
    <w:rsid w:val="078F714B"/>
    <w:rsid w:val="079481B9"/>
    <w:rsid w:val="07A71664"/>
    <w:rsid w:val="07A908C0"/>
    <w:rsid w:val="07B3EC77"/>
    <w:rsid w:val="07C9C89C"/>
    <w:rsid w:val="07CE5B81"/>
    <w:rsid w:val="07D222E2"/>
    <w:rsid w:val="07D41A9E"/>
    <w:rsid w:val="07DA0918"/>
    <w:rsid w:val="07DA90D3"/>
    <w:rsid w:val="07DD1722"/>
    <w:rsid w:val="07DDD154"/>
    <w:rsid w:val="07DE7068"/>
    <w:rsid w:val="07DF0770"/>
    <w:rsid w:val="07E00318"/>
    <w:rsid w:val="07FF16DF"/>
    <w:rsid w:val="080515C4"/>
    <w:rsid w:val="080AC3B3"/>
    <w:rsid w:val="081B992A"/>
    <w:rsid w:val="081F4380"/>
    <w:rsid w:val="0839EA2C"/>
    <w:rsid w:val="083B0AB6"/>
    <w:rsid w:val="083FDF09"/>
    <w:rsid w:val="08405331"/>
    <w:rsid w:val="08476D39"/>
    <w:rsid w:val="08540B02"/>
    <w:rsid w:val="08581676"/>
    <w:rsid w:val="085C2500"/>
    <w:rsid w:val="08620512"/>
    <w:rsid w:val="086FC278"/>
    <w:rsid w:val="0877E3E2"/>
    <w:rsid w:val="08890A42"/>
    <w:rsid w:val="088D6516"/>
    <w:rsid w:val="088F9BC8"/>
    <w:rsid w:val="089A4EB2"/>
    <w:rsid w:val="089C9AC5"/>
    <w:rsid w:val="08C3394F"/>
    <w:rsid w:val="08C4F65C"/>
    <w:rsid w:val="08CA4F49"/>
    <w:rsid w:val="08CB0F8F"/>
    <w:rsid w:val="08F7682D"/>
    <w:rsid w:val="08F8D80F"/>
    <w:rsid w:val="08FF0AAC"/>
    <w:rsid w:val="091322DD"/>
    <w:rsid w:val="0914AAB5"/>
    <w:rsid w:val="091B4FF2"/>
    <w:rsid w:val="091F8E9E"/>
    <w:rsid w:val="09200F91"/>
    <w:rsid w:val="0926E478"/>
    <w:rsid w:val="092AB2B8"/>
    <w:rsid w:val="092DE673"/>
    <w:rsid w:val="092FC2B1"/>
    <w:rsid w:val="0944956A"/>
    <w:rsid w:val="09492ABB"/>
    <w:rsid w:val="094ECDDB"/>
    <w:rsid w:val="0950ED9D"/>
    <w:rsid w:val="0951093B"/>
    <w:rsid w:val="09592262"/>
    <w:rsid w:val="096E0A98"/>
    <w:rsid w:val="096EAB15"/>
    <w:rsid w:val="09782B9F"/>
    <w:rsid w:val="0979E14E"/>
    <w:rsid w:val="097CDCD3"/>
    <w:rsid w:val="09850CC9"/>
    <w:rsid w:val="0989219E"/>
    <w:rsid w:val="0995F229"/>
    <w:rsid w:val="099D1FF2"/>
    <w:rsid w:val="09A0C0E0"/>
    <w:rsid w:val="09A4098B"/>
    <w:rsid w:val="09A8344A"/>
    <w:rsid w:val="09B3A277"/>
    <w:rsid w:val="09B45949"/>
    <w:rsid w:val="09B4DF63"/>
    <w:rsid w:val="09BC1749"/>
    <w:rsid w:val="09BC4005"/>
    <w:rsid w:val="09C0E5A3"/>
    <w:rsid w:val="09C42D67"/>
    <w:rsid w:val="09C57786"/>
    <w:rsid w:val="09D32382"/>
    <w:rsid w:val="09E1C1A2"/>
    <w:rsid w:val="09E743FD"/>
    <w:rsid w:val="09FA2E45"/>
    <w:rsid w:val="09FEE942"/>
    <w:rsid w:val="0A01629B"/>
    <w:rsid w:val="0A018481"/>
    <w:rsid w:val="0A096583"/>
    <w:rsid w:val="0A0D84C2"/>
    <w:rsid w:val="0A0F33DE"/>
    <w:rsid w:val="0A17A51C"/>
    <w:rsid w:val="0A27E5D3"/>
    <w:rsid w:val="0A2BFCF0"/>
    <w:rsid w:val="0A3A4D62"/>
    <w:rsid w:val="0A3B3711"/>
    <w:rsid w:val="0A3CDAD0"/>
    <w:rsid w:val="0A4BC6A4"/>
    <w:rsid w:val="0A51636B"/>
    <w:rsid w:val="0A575AD9"/>
    <w:rsid w:val="0A61851C"/>
    <w:rsid w:val="0A619319"/>
    <w:rsid w:val="0A643E00"/>
    <w:rsid w:val="0A69A40A"/>
    <w:rsid w:val="0A6F8DC7"/>
    <w:rsid w:val="0A706467"/>
    <w:rsid w:val="0A768ADE"/>
    <w:rsid w:val="0A7EE16F"/>
    <w:rsid w:val="0A85A308"/>
    <w:rsid w:val="0A87EE73"/>
    <w:rsid w:val="0A9156A0"/>
    <w:rsid w:val="0A995945"/>
    <w:rsid w:val="0AA165F9"/>
    <w:rsid w:val="0AADE778"/>
    <w:rsid w:val="0ABBD02E"/>
    <w:rsid w:val="0ABCE5FC"/>
    <w:rsid w:val="0ABE1AC5"/>
    <w:rsid w:val="0AC09EFD"/>
    <w:rsid w:val="0AC84CD9"/>
    <w:rsid w:val="0AD2FBB1"/>
    <w:rsid w:val="0AD82DC0"/>
    <w:rsid w:val="0AE23F45"/>
    <w:rsid w:val="0AE91ED0"/>
    <w:rsid w:val="0AEE94FE"/>
    <w:rsid w:val="0AF00BB5"/>
    <w:rsid w:val="0AF212CA"/>
    <w:rsid w:val="0AF80DB5"/>
    <w:rsid w:val="0B0A4FBC"/>
    <w:rsid w:val="0B0BB46A"/>
    <w:rsid w:val="0B152693"/>
    <w:rsid w:val="0B237C7C"/>
    <w:rsid w:val="0B31064B"/>
    <w:rsid w:val="0B3513AB"/>
    <w:rsid w:val="0B3A1C78"/>
    <w:rsid w:val="0B3B7436"/>
    <w:rsid w:val="0B40457F"/>
    <w:rsid w:val="0B52BD6A"/>
    <w:rsid w:val="0B540DBE"/>
    <w:rsid w:val="0B5813C3"/>
    <w:rsid w:val="0B65A028"/>
    <w:rsid w:val="0B76E0F5"/>
    <w:rsid w:val="0B887090"/>
    <w:rsid w:val="0B937D95"/>
    <w:rsid w:val="0BA31724"/>
    <w:rsid w:val="0BAAAAF0"/>
    <w:rsid w:val="0BB1506F"/>
    <w:rsid w:val="0BB1AD0C"/>
    <w:rsid w:val="0BB6C1D4"/>
    <w:rsid w:val="0BB85514"/>
    <w:rsid w:val="0BC40ACD"/>
    <w:rsid w:val="0BC82577"/>
    <w:rsid w:val="0BCD740F"/>
    <w:rsid w:val="0BD049B3"/>
    <w:rsid w:val="0BD4293F"/>
    <w:rsid w:val="0BD8C4A2"/>
    <w:rsid w:val="0BE23EA1"/>
    <w:rsid w:val="0BEC1C38"/>
    <w:rsid w:val="0BF89C22"/>
    <w:rsid w:val="0C09F4F6"/>
    <w:rsid w:val="0C0BF8A0"/>
    <w:rsid w:val="0C127400"/>
    <w:rsid w:val="0C1B45F2"/>
    <w:rsid w:val="0C1C52E3"/>
    <w:rsid w:val="0C1DD483"/>
    <w:rsid w:val="0C23F38B"/>
    <w:rsid w:val="0C3AC3F7"/>
    <w:rsid w:val="0C3E444F"/>
    <w:rsid w:val="0C3ECAC4"/>
    <w:rsid w:val="0C45D5DD"/>
    <w:rsid w:val="0C49C9C7"/>
    <w:rsid w:val="0C4C5EAB"/>
    <w:rsid w:val="0C5EB20A"/>
    <w:rsid w:val="0C62EB3B"/>
    <w:rsid w:val="0C636717"/>
    <w:rsid w:val="0C63F315"/>
    <w:rsid w:val="0C7ED2AF"/>
    <w:rsid w:val="0C828BC8"/>
    <w:rsid w:val="0C860317"/>
    <w:rsid w:val="0C95158D"/>
    <w:rsid w:val="0C96BA63"/>
    <w:rsid w:val="0C97AE23"/>
    <w:rsid w:val="0CAA41AE"/>
    <w:rsid w:val="0CAE6681"/>
    <w:rsid w:val="0CB64F5A"/>
    <w:rsid w:val="0CB9310C"/>
    <w:rsid w:val="0CBDEC61"/>
    <w:rsid w:val="0CC77567"/>
    <w:rsid w:val="0CCC2063"/>
    <w:rsid w:val="0CDD1A4C"/>
    <w:rsid w:val="0CDE9241"/>
    <w:rsid w:val="0CE03815"/>
    <w:rsid w:val="0CE12544"/>
    <w:rsid w:val="0CE824FE"/>
    <w:rsid w:val="0CF9F8A3"/>
    <w:rsid w:val="0CFA9BF7"/>
    <w:rsid w:val="0CFD92A6"/>
    <w:rsid w:val="0D06B147"/>
    <w:rsid w:val="0D079DF7"/>
    <w:rsid w:val="0D090F71"/>
    <w:rsid w:val="0D11DFCD"/>
    <w:rsid w:val="0D14B972"/>
    <w:rsid w:val="0D1C72A7"/>
    <w:rsid w:val="0D27A32A"/>
    <w:rsid w:val="0D2B6598"/>
    <w:rsid w:val="0D2D989E"/>
    <w:rsid w:val="0D379390"/>
    <w:rsid w:val="0D40C866"/>
    <w:rsid w:val="0D40F834"/>
    <w:rsid w:val="0D435308"/>
    <w:rsid w:val="0D43E2A2"/>
    <w:rsid w:val="0D4C3B7A"/>
    <w:rsid w:val="0D559DA0"/>
    <w:rsid w:val="0D5BFF28"/>
    <w:rsid w:val="0D613E7A"/>
    <w:rsid w:val="0D6476D4"/>
    <w:rsid w:val="0D6984A5"/>
    <w:rsid w:val="0D6A9E1F"/>
    <w:rsid w:val="0D75A6B7"/>
    <w:rsid w:val="0D75A810"/>
    <w:rsid w:val="0D779AE9"/>
    <w:rsid w:val="0D78B8A7"/>
    <w:rsid w:val="0D79F120"/>
    <w:rsid w:val="0D7D6A02"/>
    <w:rsid w:val="0D7FE8D1"/>
    <w:rsid w:val="0D805621"/>
    <w:rsid w:val="0D91678D"/>
    <w:rsid w:val="0D948BB4"/>
    <w:rsid w:val="0D98988D"/>
    <w:rsid w:val="0DA2BD8A"/>
    <w:rsid w:val="0DA3DAB3"/>
    <w:rsid w:val="0DA460F9"/>
    <w:rsid w:val="0DA5DF6C"/>
    <w:rsid w:val="0DA7260E"/>
    <w:rsid w:val="0DBE219A"/>
    <w:rsid w:val="0DC1AFBA"/>
    <w:rsid w:val="0DD6A3E7"/>
    <w:rsid w:val="0DD85716"/>
    <w:rsid w:val="0DDA121D"/>
    <w:rsid w:val="0DDC2F7E"/>
    <w:rsid w:val="0DDE0981"/>
    <w:rsid w:val="0DE0450B"/>
    <w:rsid w:val="0DE9AAAE"/>
    <w:rsid w:val="0DF19AB8"/>
    <w:rsid w:val="0DF380B4"/>
    <w:rsid w:val="0DF5BB94"/>
    <w:rsid w:val="0DF8F606"/>
    <w:rsid w:val="0E06875F"/>
    <w:rsid w:val="0E091F92"/>
    <w:rsid w:val="0E1248DF"/>
    <w:rsid w:val="0E16AE98"/>
    <w:rsid w:val="0E244D99"/>
    <w:rsid w:val="0E26D5C7"/>
    <w:rsid w:val="0E2C8AD4"/>
    <w:rsid w:val="0E2FE585"/>
    <w:rsid w:val="0E3409FE"/>
    <w:rsid w:val="0E3489AE"/>
    <w:rsid w:val="0E36A001"/>
    <w:rsid w:val="0E3859F2"/>
    <w:rsid w:val="0E3BB3D8"/>
    <w:rsid w:val="0E520076"/>
    <w:rsid w:val="0E5E34E7"/>
    <w:rsid w:val="0E5FA332"/>
    <w:rsid w:val="0E72BDA9"/>
    <w:rsid w:val="0E834F26"/>
    <w:rsid w:val="0E85F037"/>
    <w:rsid w:val="0E8C61D4"/>
    <w:rsid w:val="0E8CA1A3"/>
    <w:rsid w:val="0E913D37"/>
    <w:rsid w:val="0E9973D2"/>
    <w:rsid w:val="0E9BD2DE"/>
    <w:rsid w:val="0EA37BA8"/>
    <w:rsid w:val="0EB3E346"/>
    <w:rsid w:val="0EBDD00C"/>
    <w:rsid w:val="0EC6C0C4"/>
    <w:rsid w:val="0EC6D546"/>
    <w:rsid w:val="0EDE25CE"/>
    <w:rsid w:val="0EE1680C"/>
    <w:rsid w:val="0EEE12BF"/>
    <w:rsid w:val="0EEEC39E"/>
    <w:rsid w:val="0EF18FAB"/>
    <w:rsid w:val="0EFC4CEA"/>
    <w:rsid w:val="0F118FF1"/>
    <w:rsid w:val="0F169BFC"/>
    <w:rsid w:val="0F19015D"/>
    <w:rsid w:val="0F223622"/>
    <w:rsid w:val="0F23A442"/>
    <w:rsid w:val="0F25BE5B"/>
    <w:rsid w:val="0F25DD3E"/>
    <w:rsid w:val="0F2697EF"/>
    <w:rsid w:val="0F31BCAA"/>
    <w:rsid w:val="0F33D105"/>
    <w:rsid w:val="0F487B99"/>
    <w:rsid w:val="0F54A167"/>
    <w:rsid w:val="0F563D54"/>
    <w:rsid w:val="0F5F84FF"/>
    <w:rsid w:val="0F62448A"/>
    <w:rsid w:val="0F64BECE"/>
    <w:rsid w:val="0F655200"/>
    <w:rsid w:val="0F6AD710"/>
    <w:rsid w:val="0F6BC652"/>
    <w:rsid w:val="0F6F2F64"/>
    <w:rsid w:val="0F8236DD"/>
    <w:rsid w:val="0F8810E8"/>
    <w:rsid w:val="0F914323"/>
    <w:rsid w:val="0F9957D0"/>
    <w:rsid w:val="0FA017A7"/>
    <w:rsid w:val="0FACCBD3"/>
    <w:rsid w:val="0FB8AC2A"/>
    <w:rsid w:val="0FBFF2D1"/>
    <w:rsid w:val="0FC2A628"/>
    <w:rsid w:val="0FC64FE2"/>
    <w:rsid w:val="0FCF6F37"/>
    <w:rsid w:val="0FD2FF42"/>
    <w:rsid w:val="0FD58FD4"/>
    <w:rsid w:val="0FD92969"/>
    <w:rsid w:val="0FE1FFC0"/>
    <w:rsid w:val="0FE4AF00"/>
    <w:rsid w:val="0FE665D4"/>
    <w:rsid w:val="0FE6AF38"/>
    <w:rsid w:val="0FF147C8"/>
    <w:rsid w:val="0FF72259"/>
    <w:rsid w:val="0FFA6545"/>
    <w:rsid w:val="100D53E9"/>
    <w:rsid w:val="100F3A0A"/>
    <w:rsid w:val="1018DF89"/>
    <w:rsid w:val="1021F024"/>
    <w:rsid w:val="10256FC9"/>
    <w:rsid w:val="102AFD08"/>
    <w:rsid w:val="102CA991"/>
    <w:rsid w:val="1048ADC5"/>
    <w:rsid w:val="104F7E3C"/>
    <w:rsid w:val="1050D174"/>
    <w:rsid w:val="1052FEBD"/>
    <w:rsid w:val="1056B13D"/>
    <w:rsid w:val="1063ED56"/>
    <w:rsid w:val="1079D355"/>
    <w:rsid w:val="107AF3CA"/>
    <w:rsid w:val="107B5FF3"/>
    <w:rsid w:val="107F5621"/>
    <w:rsid w:val="1087088D"/>
    <w:rsid w:val="108EAC38"/>
    <w:rsid w:val="108FE22F"/>
    <w:rsid w:val="10903EC1"/>
    <w:rsid w:val="1095656B"/>
    <w:rsid w:val="1097C715"/>
    <w:rsid w:val="10980026"/>
    <w:rsid w:val="10983CB5"/>
    <w:rsid w:val="1098A299"/>
    <w:rsid w:val="109A97AD"/>
    <w:rsid w:val="109CC484"/>
    <w:rsid w:val="10A9D4AF"/>
    <w:rsid w:val="10AA25F6"/>
    <w:rsid w:val="10ABDAC2"/>
    <w:rsid w:val="10B40FB8"/>
    <w:rsid w:val="10B9077D"/>
    <w:rsid w:val="10BD03CA"/>
    <w:rsid w:val="10C32EEF"/>
    <w:rsid w:val="10CEAC63"/>
    <w:rsid w:val="10D20712"/>
    <w:rsid w:val="10DA8D9E"/>
    <w:rsid w:val="10DF959D"/>
    <w:rsid w:val="10E31FE1"/>
    <w:rsid w:val="10E6AEB8"/>
    <w:rsid w:val="10EA0075"/>
    <w:rsid w:val="10EB1F7F"/>
    <w:rsid w:val="10EEA69B"/>
    <w:rsid w:val="10F0F162"/>
    <w:rsid w:val="10F221F9"/>
    <w:rsid w:val="10FF6DC3"/>
    <w:rsid w:val="110038EF"/>
    <w:rsid w:val="1102BAE5"/>
    <w:rsid w:val="1106A771"/>
    <w:rsid w:val="110AB382"/>
    <w:rsid w:val="110ED67D"/>
    <w:rsid w:val="110FB0A1"/>
    <w:rsid w:val="1118667F"/>
    <w:rsid w:val="1139C118"/>
    <w:rsid w:val="1141A630"/>
    <w:rsid w:val="1144D21C"/>
    <w:rsid w:val="114A2C2E"/>
    <w:rsid w:val="114FE393"/>
    <w:rsid w:val="11547C8B"/>
    <w:rsid w:val="115756E3"/>
    <w:rsid w:val="115E7689"/>
    <w:rsid w:val="11634AC1"/>
    <w:rsid w:val="1169863F"/>
    <w:rsid w:val="116B6EB6"/>
    <w:rsid w:val="116D5657"/>
    <w:rsid w:val="11755F37"/>
    <w:rsid w:val="117B7AF1"/>
    <w:rsid w:val="117CCBB2"/>
    <w:rsid w:val="117D70A9"/>
    <w:rsid w:val="11826910"/>
    <w:rsid w:val="118314E7"/>
    <w:rsid w:val="1194A0EE"/>
    <w:rsid w:val="11A076DE"/>
    <w:rsid w:val="11A17316"/>
    <w:rsid w:val="11A9EEC5"/>
    <w:rsid w:val="11AEE1F3"/>
    <w:rsid w:val="11B70170"/>
    <w:rsid w:val="11BCC6DF"/>
    <w:rsid w:val="11C5695D"/>
    <w:rsid w:val="11C9D50D"/>
    <w:rsid w:val="11CF6746"/>
    <w:rsid w:val="11D0F102"/>
    <w:rsid w:val="11D9F91E"/>
    <w:rsid w:val="11DEE0DC"/>
    <w:rsid w:val="11EE11EB"/>
    <w:rsid w:val="11F078A6"/>
    <w:rsid w:val="11F350D2"/>
    <w:rsid w:val="11FF612A"/>
    <w:rsid w:val="1216C42B"/>
    <w:rsid w:val="1216FFE7"/>
    <w:rsid w:val="1223DF9D"/>
    <w:rsid w:val="12254042"/>
    <w:rsid w:val="122AAA16"/>
    <w:rsid w:val="12340A73"/>
    <w:rsid w:val="12358550"/>
    <w:rsid w:val="12381232"/>
    <w:rsid w:val="1239EB04"/>
    <w:rsid w:val="124589D5"/>
    <w:rsid w:val="12483B57"/>
    <w:rsid w:val="124DFD15"/>
    <w:rsid w:val="1251D5B1"/>
    <w:rsid w:val="12533F32"/>
    <w:rsid w:val="1254FB08"/>
    <w:rsid w:val="1257C33E"/>
    <w:rsid w:val="12606C8B"/>
    <w:rsid w:val="1261FE58"/>
    <w:rsid w:val="12711211"/>
    <w:rsid w:val="127AD1C0"/>
    <w:rsid w:val="127F8DC4"/>
    <w:rsid w:val="128BD357"/>
    <w:rsid w:val="128F011C"/>
    <w:rsid w:val="129B0EAF"/>
    <w:rsid w:val="129B6F48"/>
    <w:rsid w:val="12A277D2"/>
    <w:rsid w:val="12A32E43"/>
    <w:rsid w:val="12A36714"/>
    <w:rsid w:val="12AAA6DE"/>
    <w:rsid w:val="12BE8FAD"/>
    <w:rsid w:val="12CA0BD6"/>
    <w:rsid w:val="12D1F1E2"/>
    <w:rsid w:val="12E67B2C"/>
    <w:rsid w:val="12EB0E6E"/>
    <w:rsid w:val="12EDA776"/>
    <w:rsid w:val="12F08567"/>
    <w:rsid w:val="13098FDC"/>
    <w:rsid w:val="13128486"/>
    <w:rsid w:val="1312C48D"/>
    <w:rsid w:val="13287290"/>
    <w:rsid w:val="1339EAA5"/>
    <w:rsid w:val="134F6ED4"/>
    <w:rsid w:val="134FF723"/>
    <w:rsid w:val="13504CC1"/>
    <w:rsid w:val="1351B416"/>
    <w:rsid w:val="13539C67"/>
    <w:rsid w:val="135A7953"/>
    <w:rsid w:val="135E4FE6"/>
    <w:rsid w:val="13675557"/>
    <w:rsid w:val="13714C10"/>
    <w:rsid w:val="1376928E"/>
    <w:rsid w:val="13813931"/>
    <w:rsid w:val="138C59C8"/>
    <w:rsid w:val="138D1AA4"/>
    <w:rsid w:val="138EFC39"/>
    <w:rsid w:val="1391EB91"/>
    <w:rsid w:val="139B6055"/>
    <w:rsid w:val="139BA2CD"/>
    <w:rsid w:val="13A280D9"/>
    <w:rsid w:val="13A3917B"/>
    <w:rsid w:val="13A668A6"/>
    <w:rsid w:val="13B13943"/>
    <w:rsid w:val="13C22B01"/>
    <w:rsid w:val="13D07FFE"/>
    <w:rsid w:val="13DD0C5B"/>
    <w:rsid w:val="13E0E141"/>
    <w:rsid w:val="13E5BD1A"/>
    <w:rsid w:val="13ED35F9"/>
    <w:rsid w:val="13F51623"/>
    <w:rsid w:val="14060BB4"/>
    <w:rsid w:val="140760E8"/>
    <w:rsid w:val="14083E86"/>
    <w:rsid w:val="140F8787"/>
    <w:rsid w:val="141A8209"/>
    <w:rsid w:val="141D17B2"/>
    <w:rsid w:val="141E660E"/>
    <w:rsid w:val="142170FB"/>
    <w:rsid w:val="142F3F18"/>
    <w:rsid w:val="143E3841"/>
    <w:rsid w:val="14458B16"/>
    <w:rsid w:val="144C630C"/>
    <w:rsid w:val="145332F8"/>
    <w:rsid w:val="1455509F"/>
    <w:rsid w:val="1458A49B"/>
    <w:rsid w:val="146ACE46"/>
    <w:rsid w:val="146F3488"/>
    <w:rsid w:val="14797C2F"/>
    <w:rsid w:val="147E3D9F"/>
    <w:rsid w:val="1480C42F"/>
    <w:rsid w:val="1488C606"/>
    <w:rsid w:val="14951679"/>
    <w:rsid w:val="1496AB10"/>
    <w:rsid w:val="14A0A8E4"/>
    <w:rsid w:val="14A5A794"/>
    <w:rsid w:val="14B0C1A1"/>
    <w:rsid w:val="14BC1D20"/>
    <w:rsid w:val="14BFAC14"/>
    <w:rsid w:val="14C442F1"/>
    <w:rsid w:val="14C8BA62"/>
    <w:rsid w:val="14D4316E"/>
    <w:rsid w:val="14DC5714"/>
    <w:rsid w:val="14E3EDCC"/>
    <w:rsid w:val="14F834C7"/>
    <w:rsid w:val="14FA3070"/>
    <w:rsid w:val="14FAC999"/>
    <w:rsid w:val="14FC7718"/>
    <w:rsid w:val="150406C5"/>
    <w:rsid w:val="1505ADDC"/>
    <w:rsid w:val="1507B197"/>
    <w:rsid w:val="150C4A3B"/>
    <w:rsid w:val="151FF48D"/>
    <w:rsid w:val="1527DBE8"/>
    <w:rsid w:val="1534C826"/>
    <w:rsid w:val="153681B3"/>
    <w:rsid w:val="154E64F1"/>
    <w:rsid w:val="157A04FA"/>
    <w:rsid w:val="15827F47"/>
    <w:rsid w:val="158F0646"/>
    <w:rsid w:val="158F74C5"/>
    <w:rsid w:val="15A11039"/>
    <w:rsid w:val="15A47E19"/>
    <w:rsid w:val="15A70556"/>
    <w:rsid w:val="15AA5DD7"/>
    <w:rsid w:val="15AAE585"/>
    <w:rsid w:val="15AC1897"/>
    <w:rsid w:val="15B3ADB3"/>
    <w:rsid w:val="15C151F5"/>
    <w:rsid w:val="15C60AAF"/>
    <w:rsid w:val="15CA078E"/>
    <w:rsid w:val="15CC5369"/>
    <w:rsid w:val="15DA77F5"/>
    <w:rsid w:val="15DEA706"/>
    <w:rsid w:val="15E247A0"/>
    <w:rsid w:val="15E60C07"/>
    <w:rsid w:val="15F4A78D"/>
    <w:rsid w:val="16082704"/>
    <w:rsid w:val="16100FB5"/>
    <w:rsid w:val="1611551B"/>
    <w:rsid w:val="1611EBA3"/>
    <w:rsid w:val="16145F3C"/>
    <w:rsid w:val="1614F2FB"/>
    <w:rsid w:val="161DD527"/>
    <w:rsid w:val="16211B88"/>
    <w:rsid w:val="1629699E"/>
    <w:rsid w:val="162F4D91"/>
    <w:rsid w:val="1646EAF5"/>
    <w:rsid w:val="1663C55C"/>
    <w:rsid w:val="167ECB09"/>
    <w:rsid w:val="1682B2F4"/>
    <w:rsid w:val="1688A3A2"/>
    <w:rsid w:val="168F255F"/>
    <w:rsid w:val="16932888"/>
    <w:rsid w:val="1695F0A8"/>
    <w:rsid w:val="1699F188"/>
    <w:rsid w:val="169E7C55"/>
    <w:rsid w:val="16A27FA3"/>
    <w:rsid w:val="16A54303"/>
    <w:rsid w:val="16B04AC3"/>
    <w:rsid w:val="16B50D4F"/>
    <w:rsid w:val="16B5383C"/>
    <w:rsid w:val="16B5A0D2"/>
    <w:rsid w:val="16B702A2"/>
    <w:rsid w:val="16B98784"/>
    <w:rsid w:val="16C4EB47"/>
    <w:rsid w:val="16C5A193"/>
    <w:rsid w:val="16C70AB7"/>
    <w:rsid w:val="16CD8871"/>
    <w:rsid w:val="16D4DB04"/>
    <w:rsid w:val="16D7C4DF"/>
    <w:rsid w:val="16DC72A3"/>
    <w:rsid w:val="16E37C88"/>
    <w:rsid w:val="16E73650"/>
    <w:rsid w:val="16E80B5F"/>
    <w:rsid w:val="16EB9E0F"/>
    <w:rsid w:val="16ED46D1"/>
    <w:rsid w:val="16FE1D0C"/>
    <w:rsid w:val="16FFC3A2"/>
    <w:rsid w:val="17024528"/>
    <w:rsid w:val="170AB315"/>
    <w:rsid w:val="170AF23A"/>
    <w:rsid w:val="172028FB"/>
    <w:rsid w:val="17242748"/>
    <w:rsid w:val="17286C2B"/>
    <w:rsid w:val="172BBA62"/>
    <w:rsid w:val="172D9B0C"/>
    <w:rsid w:val="172ED828"/>
    <w:rsid w:val="17443B8F"/>
    <w:rsid w:val="1744E22C"/>
    <w:rsid w:val="174ABCF9"/>
    <w:rsid w:val="174E481E"/>
    <w:rsid w:val="175222CB"/>
    <w:rsid w:val="1753FF2B"/>
    <w:rsid w:val="175740A0"/>
    <w:rsid w:val="17581DAF"/>
    <w:rsid w:val="175DA9A2"/>
    <w:rsid w:val="177102DF"/>
    <w:rsid w:val="1779CE07"/>
    <w:rsid w:val="177E068B"/>
    <w:rsid w:val="178326EB"/>
    <w:rsid w:val="1789F056"/>
    <w:rsid w:val="178F8CBA"/>
    <w:rsid w:val="17952620"/>
    <w:rsid w:val="17A22563"/>
    <w:rsid w:val="17B26F55"/>
    <w:rsid w:val="17B3F262"/>
    <w:rsid w:val="17BBF1B7"/>
    <w:rsid w:val="17C2EB4A"/>
    <w:rsid w:val="17CC8F6E"/>
    <w:rsid w:val="17CE834C"/>
    <w:rsid w:val="17D35817"/>
    <w:rsid w:val="17DAFC84"/>
    <w:rsid w:val="17DBDCD7"/>
    <w:rsid w:val="17DDAA4D"/>
    <w:rsid w:val="17E139B5"/>
    <w:rsid w:val="17E37D36"/>
    <w:rsid w:val="17E428B4"/>
    <w:rsid w:val="17E86263"/>
    <w:rsid w:val="17EF2253"/>
    <w:rsid w:val="17F013C8"/>
    <w:rsid w:val="17F1BD38"/>
    <w:rsid w:val="17F4C5E1"/>
    <w:rsid w:val="17F8F2CD"/>
    <w:rsid w:val="17FA8886"/>
    <w:rsid w:val="17FD62B2"/>
    <w:rsid w:val="17FE5A3D"/>
    <w:rsid w:val="1801B685"/>
    <w:rsid w:val="180743E9"/>
    <w:rsid w:val="1810DB53"/>
    <w:rsid w:val="18166661"/>
    <w:rsid w:val="181AE7F7"/>
    <w:rsid w:val="182371D9"/>
    <w:rsid w:val="1827DDB6"/>
    <w:rsid w:val="182BBFAD"/>
    <w:rsid w:val="182CE67D"/>
    <w:rsid w:val="182E8C4E"/>
    <w:rsid w:val="182EF8E9"/>
    <w:rsid w:val="183317C4"/>
    <w:rsid w:val="18448A34"/>
    <w:rsid w:val="184B5C44"/>
    <w:rsid w:val="184FAFD2"/>
    <w:rsid w:val="1857AB89"/>
    <w:rsid w:val="18685FE5"/>
    <w:rsid w:val="1871B21C"/>
    <w:rsid w:val="18731AF4"/>
    <w:rsid w:val="18775C1C"/>
    <w:rsid w:val="187E677B"/>
    <w:rsid w:val="187FD7BE"/>
    <w:rsid w:val="188EF870"/>
    <w:rsid w:val="189261F0"/>
    <w:rsid w:val="18BA2009"/>
    <w:rsid w:val="18BAFB77"/>
    <w:rsid w:val="18C969B2"/>
    <w:rsid w:val="18EA187F"/>
    <w:rsid w:val="18EDA152"/>
    <w:rsid w:val="18EE5FAC"/>
    <w:rsid w:val="18EED96E"/>
    <w:rsid w:val="19076557"/>
    <w:rsid w:val="190BF685"/>
    <w:rsid w:val="191527B9"/>
    <w:rsid w:val="19190E92"/>
    <w:rsid w:val="19238947"/>
    <w:rsid w:val="1923D711"/>
    <w:rsid w:val="19297EF4"/>
    <w:rsid w:val="192D90C4"/>
    <w:rsid w:val="19350DEF"/>
    <w:rsid w:val="19357093"/>
    <w:rsid w:val="1950376B"/>
    <w:rsid w:val="19509A61"/>
    <w:rsid w:val="1953F2C6"/>
    <w:rsid w:val="196086DB"/>
    <w:rsid w:val="19657E12"/>
    <w:rsid w:val="19685FCF"/>
    <w:rsid w:val="196D383F"/>
    <w:rsid w:val="196EC414"/>
    <w:rsid w:val="19733BCE"/>
    <w:rsid w:val="197B88F4"/>
    <w:rsid w:val="197EDAD5"/>
    <w:rsid w:val="198A0FB3"/>
    <w:rsid w:val="1991D880"/>
    <w:rsid w:val="19935AB2"/>
    <w:rsid w:val="199693C0"/>
    <w:rsid w:val="199A6F6B"/>
    <w:rsid w:val="199B995C"/>
    <w:rsid w:val="199C6F1F"/>
    <w:rsid w:val="19B63EDF"/>
    <w:rsid w:val="19B79BC9"/>
    <w:rsid w:val="19B7A5FB"/>
    <w:rsid w:val="19B8DAC2"/>
    <w:rsid w:val="19E66C1F"/>
    <w:rsid w:val="19ED90EC"/>
    <w:rsid w:val="19EF64D7"/>
    <w:rsid w:val="19F95729"/>
    <w:rsid w:val="19FDFF95"/>
    <w:rsid w:val="19FF2F55"/>
    <w:rsid w:val="1A01D587"/>
    <w:rsid w:val="1A02888A"/>
    <w:rsid w:val="1A043046"/>
    <w:rsid w:val="1A046257"/>
    <w:rsid w:val="1A197BC6"/>
    <w:rsid w:val="1A2BC521"/>
    <w:rsid w:val="1A36BDF4"/>
    <w:rsid w:val="1A3701D8"/>
    <w:rsid w:val="1A3829F1"/>
    <w:rsid w:val="1A417439"/>
    <w:rsid w:val="1A41DF7A"/>
    <w:rsid w:val="1A47D0EF"/>
    <w:rsid w:val="1A493F90"/>
    <w:rsid w:val="1A4C80CA"/>
    <w:rsid w:val="1A56449B"/>
    <w:rsid w:val="1A574594"/>
    <w:rsid w:val="1A5D8881"/>
    <w:rsid w:val="1A62C91A"/>
    <w:rsid w:val="1A6863C6"/>
    <w:rsid w:val="1A6EB0F9"/>
    <w:rsid w:val="1A6F6CF8"/>
    <w:rsid w:val="1A74E3B6"/>
    <w:rsid w:val="1A77F2F0"/>
    <w:rsid w:val="1A7DF0F7"/>
    <w:rsid w:val="1A89C38D"/>
    <w:rsid w:val="1A8C97FB"/>
    <w:rsid w:val="1AA45178"/>
    <w:rsid w:val="1AAC90B3"/>
    <w:rsid w:val="1AB697DB"/>
    <w:rsid w:val="1ABBEE9C"/>
    <w:rsid w:val="1ABD82EF"/>
    <w:rsid w:val="1ACB76BD"/>
    <w:rsid w:val="1AD55A46"/>
    <w:rsid w:val="1AD6A627"/>
    <w:rsid w:val="1ADB32B7"/>
    <w:rsid w:val="1AED4912"/>
    <w:rsid w:val="1AF131DD"/>
    <w:rsid w:val="1AF69366"/>
    <w:rsid w:val="1AFC44DE"/>
    <w:rsid w:val="1AFD8704"/>
    <w:rsid w:val="1B02D604"/>
    <w:rsid w:val="1B094415"/>
    <w:rsid w:val="1B0D332B"/>
    <w:rsid w:val="1B0EE17A"/>
    <w:rsid w:val="1B2869E8"/>
    <w:rsid w:val="1B288CC6"/>
    <w:rsid w:val="1B2C35A7"/>
    <w:rsid w:val="1B2F3F6A"/>
    <w:rsid w:val="1B3769BD"/>
    <w:rsid w:val="1B47ABC5"/>
    <w:rsid w:val="1B48C88A"/>
    <w:rsid w:val="1B4A1B57"/>
    <w:rsid w:val="1B57F532"/>
    <w:rsid w:val="1B5C39EF"/>
    <w:rsid w:val="1B5D4932"/>
    <w:rsid w:val="1B5E784E"/>
    <w:rsid w:val="1B6256B3"/>
    <w:rsid w:val="1B62ED3A"/>
    <w:rsid w:val="1B69BACC"/>
    <w:rsid w:val="1B7A9672"/>
    <w:rsid w:val="1B7C1ED7"/>
    <w:rsid w:val="1B8B37EE"/>
    <w:rsid w:val="1B8FFED6"/>
    <w:rsid w:val="1B9A7967"/>
    <w:rsid w:val="1B9D1B43"/>
    <w:rsid w:val="1B9E4386"/>
    <w:rsid w:val="1BA06F60"/>
    <w:rsid w:val="1BAB247D"/>
    <w:rsid w:val="1BC1DAA2"/>
    <w:rsid w:val="1BC65D9C"/>
    <w:rsid w:val="1BC69932"/>
    <w:rsid w:val="1BD5F967"/>
    <w:rsid w:val="1BD9D96C"/>
    <w:rsid w:val="1BDA701F"/>
    <w:rsid w:val="1BDBB88B"/>
    <w:rsid w:val="1BDDC951"/>
    <w:rsid w:val="1BDFA042"/>
    <w:rsid w:val="1BE12AB7"/>
    <w:rsid w:val="1BE23740"/>
    <w:rsid w:val="1BE9AE51"/>
    <w:rsid w:val="1BF072DD"/>
    <w:rsid w:val="1BF1C0CB"/>
    <w:rsid w:val="1BF214FC"/>
    <w:rsid w:val="1BFABE8A"/>
    <w:rsid w:val="1BFB16F8"/>
    <w:rsid w:val="1C04A564"/>
    <w:rsid w:val="1C05EE51"/>
    <w:rsid w:val="1C0839AA"/>
    <w:rsid w:val="1C159B9E"/>
    <w:rsid w:val="1C1C8EC3"/>
    <w:rsid w:val="1C2C5B52"/>
    <w:rsid w:val="1C391FBB"/>
    <w:rsid w:val="1C3B6D0A"/>
    <w:rsid w:val="1C3FF84E"/>
    <w:rsid w:val="1C4E6294"/>
    <w:rsid w:val="1C553FAC"/>
    <w:rsid w:val="1C5BC090"/>
    <w:rsid w:val="1C690B96"/>
    <w:rsid w:val="1C69CA67"/>
    <w:rsid w:val="1C737F37"/>
    <w:rsid w:val="1C75E0AB"/>
    <w:rsid w:val="1C7A7723"/>
    <w:rsid w:val="1C83C477"/>
    <w:rsid w:val="1C872464"/>
    <w:rsid w:val="1C89CCCB"/>
    <w:rsid w:val="1C8EFF2C"/>
    <w:rsid w:val="1C9436D3"/>
    <w:rsid w:val="1C9ED118"/>
    <w:rsid w:val="1C9F9DB1"/>
    <w:rsid w:val="1CAFF965"/>
    <w:rsid w:val="1CB14FCE"/>
    <w:rsid w:val="1CB1DE76"/>
    <w:rsid w:val="1CB62C79"/>
    <w:rsid w:val="1CBD7CC0"/>
    <w:rsid w:val="1CC050FD"/>
    <w:rsid w:val="1CC1CED4"/>
    <w:rsid w:val="1CC45D27"/>
    <w:rsid w:val="1CD1CA60"/>
    <w:rsid w:val="1CD1F43E"/>
    <w:rsid w:val="1CD4078D"/>
    <w:rsid w:val="1CDBDADA"/>
    <w:rsid w:val="1CE0A2E1"/>
    <w:rsid w:val="1CE79145"/>
    <w:rsid w:val="1CEF81EE"/>
    <w:rsid w:val="1D026A0C"/>
    <w:rsid w:val="1D07DDBB"/>
    <w:rsid w:val="1D18CCE5"/>
    <w:rsid w:val="1D26A79C"/>
    <w:rsid w:val="1D2D58F4"/>
    <w:rsid w:val="1D308E25"/>
    <w:rsid w:val="1D324832"/>
    <w:rsid w:val="1D3684F9"/>
    <w:rsid w:val="1D3BD108"/>
    <w:rsid w:val="1D3EC294"/>
    <w:rsid w:val="1D4647A2"/>
    <w:rsid w:val="1D556A2D"/>
    <w:rsid w:val="1D56CC3F"/>
    <w:rsid w:val="1D5CFE5D"/>
    <w:rsid w:val="1D648B08"/>
    <w:rsid w:val="1D656B10"/>
    <w:rsid w:val="1D70B990"/>
    <w:rsid w:val="1D749345"/>
    <w:rsid w:val="1D79172F"/>
    <w:rsid w:val="1D7F81E6"/>
    <w:rsid w:val="1D84F022"/>
    <w:rsid w:val="1D95BBF9"/>
    <w:rsid w:val="1D983A99"/>
    <w:rsid w:val="1DA0DF54"/>
    <w:rsid w:val="1DA24697"/>
    <w:rsid w:val="1DB5805E"/>
    <w:rsid w:val="1DB6362D"/>
    <w:rsid w:val="1DB7A5EC"/>
    <w:rsid w:val="1DBA8AD7"/>
    <w:rsid w:val="1DBC7D7D"/>
    <w:rsid w:val="1DD224D0"/>
    <w:rsid w:val="1DD66877"/>
    <w:rsid w:val="1DDB8483"/>
    <w:rsid w:val="1DE82C4B"/>
    <w:rsid w:val="1DECFED7"/>
    <w:rsid w:val="1E02E562"/>
    <w:rsid w:val="1E0ED396"/>
    <w:rsid w:val="1E12384C"/>
    <w:rsid w:val="1E235C9A"/>
    <w:rsid w:val="1E23B256"/>
    <w:rsid w:val="1E2B98AD"/>
    <w:rsid w:val="1E2D11F9"/>
    <w:rsid w:val="1E2DDEDB"/>
    <w:rsid w:val="1E3478E2"/>
    <w:rsid w:val="1E3F91FB"/>
    <w:rsid w:val="1E422792"/>
    <w:rsid w:val="1E53F1C8"/>
    <w:rsid w:val="1E57D94C"/>
    <w:rsid w:val="1E5EC9E8"/>
    <w:rsid w:val="1E5F90AB"/>
    <w:rsid w:val="1E6FAE67"/>
    <w:rsid w:val="1E7CCD53"/>
    <w:rsid w:val="1E828A8F"/>
    <w:rsid w:val="1E8F1BDF"/>
    <w:rsid w:val="1EA79D60"/>
    <w:rsid w:val="1EC708E1"/>
    <w:rsid w:val="1ECC0AB5"/>
    <w:rsid w:val="1ECF7CB7"/>
    <w:rsid w:val="1ED4F586"/>
    <w:rsid w:val="1ED61DC5"/>
    <w:rsid w:val="1ED787EC"/>
    <w:rsid w:val="1ED83EE3"/>
    <w:rsid w:val="1EDB7022"/>
    <w:rsid w:val="1EDE5B41"/>
    <w:rsid w:val="1EE88D56"/>
    <w:rsid w:val="1EEF5558"/>
    <w:rsid w:val="1EFF9AB8"/>
    <w:rsid w:val="1F01ED39"/>
    <w:rsid w:val="1F02E0F4"/>
    <w:rsid w:val="1F054983"/>
    <w:rsid w:val="1F103930"/>
    <w:rsid w:val="1F11427C"/>
    <w:rsid w:val="1F19FEA9"/>
    <w:rsid w:val="1F231304"/>
    <w:rsid w:val="1F246137"/>
    <w:rsid w:val="1F29D582"/>
    <w:rsid w:val="1F2D10B3"/>
    <w:rsid w:val="1F4707BA"/>
    <w:rsid w:val="1F4E9A4B"/>
    <w:rsid w:val="1F587BD2"/>
    <w:rsid w:val="1F595A03"/>
    <w:rsid w:val="1F603525"/>
    <w:rsid w:val="1F60719B"/>
    <w:rsid w:val="1F648843"/>
    <w:rsid w:val="1F6F88C8"/>
    <w:rsid w:val="1F71ECAE"/>
    <w:rsid w:val="1F790398"/>
    <w:rsid w:val="1F7F429E"/>
    <w:rsid w:val="1F9A4032"/>
    <w:rsid w:val="1F9CC641"/>
    <w:rsid w:val="1F9E2A43"/>
    <w:rsid w:val="1F9EB5C3"/>
    <w:rsid w:val="1FA05315"/>
    <w:rsid w:val="1FA54816"/>
    <w:rsid w:val="1FA76D1D"/>
    <w:rsid w:val="1FA9B28A"/>
    <w:rsid w:val="1FB2F3CC"/>
    <w:rsid w:val="1FB3C988"/>
    <w:rsid w:val="1FB71977"/>
    <w:rsid w:val="1FC0604B"/>
    <w:rsid w:val="1FD1B823"/>
    <w:rsid w:val="1FD3AFDE"/>
    <w:rsid w:val="1FD68CE2"/>
    <w:rsid w:val="1FE09300"/>
    <w:rsid w:val="1FE2E296"/>
    <w:rsid w:val="1FE49DCC"/>
    <w:rsid w:val="1FE834F8"/>
    <w:rsid w:val="1FEADE25"/>
    <w:rsid w:val="1FEE2A1B"/>
    <w:rsid w:val="1FF26E60"/>
    <w:rsid w:val="200ABA6E"/>
    <w:rsid w:val="20119733"/>
    <w:rsid w:val="20225BA5"/>
    <w:rsid w:val="202299E1"/>
    <w:rsid w:val="202A9D11"/>
    <w:rsid w:val="202C223A"/>
    <w:rsid w:val="2038CA2C"/>
    <w:rsid w:val="203AF5AA"/>
    <w:rsid w:val="20416983"/>
    <w:rsid w:val="2042BD29"/>
    <w:rsid w:val="20465F29"/>
    <w:rsid w:val="204CE41B"/>
    <w:rsid w:val="204EE93A"/>
    <w:rsid w:val="205B7B85"/>
    <w:rsid w:val="207394BE"/>
    <w:rsid w:val="2077B1BD"/>
    <w:rsid w:val="20784DBF"/>
    <w:rsid w:val="208DA6EC"/>
    <w:rsid w:val="2099E5C5"/>
    <w:rsid w:val="209FE731"/>
    <w:rsid w:val="20AC05C7"/>
    <w:rsid w:val="20BCC821"/>
    <w:rsid w:val="20BF01C3"/>
    <w:rsid w:val="20BFA7FE"/>
    <w:rsid w:val="20C07F7C"/>
    <w:rsid w:val="20C1147B"/>
    <w:rsid w:val="20C172F3"/>
    <w:rsid w:val="20C61932"/>
    <w:rsid w:val="20C6909C"/>
    <w:rsid w:val="20C81D5D"/>
    <w:rsid w:val="20CD0447"/>
    <w:rsid w:val="20CE881B"/>
    <w:rsid w:val="20D03BD9"/>
    <w:rsid w:val="20D5AEC1"/>
    <w:rsid w:val="20DED43B"/>
    <w:rsid w:val="20DFD4A8"/>
    <w:rsid w:val="20E558DF"/>
    <w:rsid w:val="20E6F91D"/>
    <w:rsid w:val="20F0923A"/>
    <w:rsid w:val="20F267DC"/>
    <w:rsid w:val="20F35617"/>
    <w:rsid w:val="20F5A87C"/>
    <w:rsid w:val="20F82C9D"/>
    <w:rsid w:val="20FC8BD3"/>
    <w:rsid w:val="20FF24B8"/>
    <w:rsid w:val="210749F6"/>
    <w:rsid w:val="21173CFE"/>
    <w:rsid w:val="2125DDD8"/>
    <w:rsid w:val="212D0C1F"/>
    <w:rsid w:val="212D2552"/>
    <w:rsid w:val="2131FABC"/>
    <w:rsid w:val="21324E6D"/>
    <w:rsid w:val="21358FD1"/>
    <w:rsid w:val="213C7CB9"/>
    <w:rsid w:val="213F2726"/>
    <w:rsid w:val="2152550A"/>
    <w:rsid w:val="215B070D"/>
    <w:rsid w:val="21667E3F"/>
    <w:rsid w:val="216A6C87"/>
    <w:rsid w:val="216C09F1"/>
    <w:rsid w:val="21762C8E"/>
    <w:rsid w:val="2176FEC6"/>
    <w:rsid w:val="2179E857"/>
    <w:rsid w:val="217EC20D"/>
    <w:rsid w:val="218164CF"/>
    <w:rsid w:val="2187CBB9"/>
    <w:rsid w:val="21899D9C"/>
    <w:rsid w:val="219C30F7"/>
    <w:rsid w:val="219E0E0E"/>
    <w:rsid w:val="21AB3891"/>
    <w:rsid w:val="21AFD2B4"/>
    <w:rsid w:val="21B1040A"/>
    <w:rsid w:val="21D49A8D"/>
    <w:rsid w:val="21DE9620"/>
    <w:rsid w:val="21E581BF"/>
    <w:rsid w:val="21E5A2EC"/>
    <w:rsid w:val="21F58E99"/>
    <w:rsid w:val="220713D0"/>
    <w:rsid w:val="22174530"/>
    <w:rsid w:val="2218715D"/>
    <w:rsid w:val="221A37EC"/>
    <w:rsid w:val="2221CFC0"/>
    <w:rsid w:val="22229E6A"/>
    <w:rsid w:val="222422C3"/>
    <w:rsid w:val="2224D2F1"/>
    <w:rsid w:val="222F3935"/>
    <w:rsid w:val="2230FE09"/>
    <w:rsid w:val="223B7EF5"/>
    <w:rsid w:val="223E0F7B"/>
    <w:rsid w:val="223E2683"/>
    <w:rsid w:val="224367B2"/>
    <w:rsid w:val="2244E261"/>
    <w:rsid w:val="22453AEB"/>
    <w:rsid w:val="22496FA4"/>
    <w:rsid w:val="225212AE"/>
    <w:rsid w:val="2252E77E"/>
    <w:rsid w:val="2260FE86"/>
    <w:rsid w:val="2265B526"/>
    <w:rsid w:val="22704764"/>
    <w:rsid w:val="22727B67"/>
    <w:rsid w:val="2275D48E"/>
    <w:rsid w:val="227BCB26"/>
    <w:rsid w:val="22837129"/>
    <w:rsid w:val="229AC3AF"/>
    <w:rsid w:val="229FB61F"/>
    <w:rsid w:val="22A321FE"/>
    <w:rsid w:val="22A809ED"/>
    <w:rsid w:val="22B16462"/>
    <w:rsid w:val="22B1A4B5"/>
    <w:rsid w:val="22B536F4"/>
    <w:rsid w:val="22B63B0C"/>
    <w:rsid w:val="22C3D0DB"/>
    <w:rsid w:val="22C5E798"/>
    <w:rsid w:val="22CAF9A6"/>
    <w:rsid w:val="22DF1955"/>
    <w:rsid w:val="22E157A5"/>
    <w:rsid w:val="22E63CAF"/>
    <w:rsid w:val="22EE097E"/>
    <w:rsid w:val="22F20EB1"/>
    <w:rsid w:val="23046BA0"/>
    <w:rsid w:val="2304803E"/>
    <w:rsid w:val="2304A729"/>
    <w:rsid w:val="231D744F"/>
    <w:rsid w:val="23241975"/>
    <w:rsid w:val="2324D590"/>
    <w:rsid w:val="232C5B95"/>
    <w:rsid w:val="23324B14"/>
    <w:rsid w:val="233372F1"/>
    <w:rsid w:val="23385495"/>
    <w:rsid w:val="2340FE69"/>
    <w:rsid w:val="234224BF"/>
    <w:rsid w:val="2346353F"/>
    <w:rsid w:val="234CD46B"/>
    <w:rsid w:val="234D3D1D"/>
    <w:rsid w:val="23551973"/>
    <w:rsid w:val="23623D27"/>
    <w:rsid w:val="2366852A"/>
    <w:rsid w:val="236EA09B"/>
    <w:rsid w:val="2371A602"/>
    <w:rsid w:val="2371F0C3"/>
    <w:rsid w:val="2379F78A"/>
    <w:rsid w:val="2387E589"/>
    <w:rsid w:val="238BED69"/>
    <w:rsid w:val="2393CCF4"/>
    <w:rsid w:val="23A0CBE0"/>
    <w:rsid w:val="23A2241D"/>
    <w:rsid w:val="23A3535E"/>
    <w:rsid w:val="23A3C811"/>
    <w:rsid w:val="23AF29D6"/>
    <w:rsid w:val="23AF5718"/>
    <w:rsid w:val="23C366FB"/>
    <w:rsid w:val="23CE8245"/>
    <w:rsid w:val="23D6B994"/>
    <w:rsid w:val="23D93378"/>
    <w:rsid w:val="23D95D89"/>
    <w:rsid w:val="23DCC808"/>
    <w:rsid w:val="23DD4AE4"/>
    <w:rsid w:val="23E23E07"/>
    <w:rsid w:val="23E766F1"/>
    <w:rsid w:val="23EB054A"/>
    <w:rsid w:val="23F21B8E"/>
    <w:rsid w:val="23F2227C"/>
    <w:rsid w:val="24019F72"/>
    <w:rsid w:val="24148515"/>
    <w:rsid w:val="2415039D"/>
    <w:rsid w:val="242A7CF3"/>
    <w:rsid w:val="24423443"/>
    <w:rsid w:val="244412E8"/>
    <w:rsid w:val="244887F2"/>
    <w:rsid w:val="245B00B8"/>
    <w:rsid w:val="245F6177"/>
    <w:rsid w:val="245FF7DE"/>
    <w:rsid w:val="246085D5"/>
    <w:rsid w:val="2467CA25"/>
    <w:rsid w:val="2468B608"/>
    <w:rsid w:val="246B5C55"/>
    <w:rsid w:val="246EBE6E"/>
    <w:rsid w:val="247BE1FD"/>
    <w:rsid w:val="2489D54D"/>
    <w:rsid w:val="248A94AA"/>
    <w:rsid w:val="248BA7F7"/>
    <w:rsid w:val="248F6101"/>
    <w:rsid w:val="2492AB78"/>
    <w:rsid w:val="24989F50"/>
    <w:rsid w:val="249CF053"/>
    <w:rsid w:val="24A14281"/>
    <w:rsid w:val="24A5AC69"/>
    <w:rsid w:val="24A7CB17"/>
    <w:rsid w:val="24AF9AA3"/>
    <w:rsid w:val="24B0545D"/>
    <w:rsid w:val="24B525B2"/>
    <w:rsid w:val="24B7BF7E"/>
    <w:rsid w:val="24C188E3"/>
    <w:rsid w:val="24CD2719"/>
    <w:rsid w:val="24CDA129"/>
    <w:rsid w:val="24CF0E69"/>
    <w:rsid w:val="24D12B31"/>
    <w:rsid w:val="24E532AD"/>
    <w:rsid w:val="24F2C7F2"/>
    <w:rsid w:val="24F33351"/>
    <w:rsid w:val="25003321"/>
    <w:rsid w:val="2501DC45"/>
    <w:rsid w:val="2503DA97"/>
    <w:rsid w:val="25047130"/>
    <w:rsid w:val="2512F1EB"/>
    <w:rsid w:val="2513FEFE"/>
    <w:rsid w:val="251A6CD7"/>
    <w:rsid w:val="2527C3DD"/>
    <w:rsid w:val="252B4238"/>
    <w:rsid w:val="252CC8C3"/>
    <w:rsid w:val="252E5B50"/>
    <w:rsid w:val="2533A098"/>
    <w:rsid w:val="2537359F"/>
    <w:rsid w:val="2546B241"/>
    <w:rsid w:val="254AFA37"/>
    <w:rsid w:val="254B22E0"/>
    <w:rsid w:val="25541B9D"/>
    <w:rsid w:val="2559FEE1"/>
    <w:rsid w:val="255F22C6"/>
    <w:rsid w:val="25637F62"/>
    <w:rsid w:val="25689ECB"/>
    <w:rsid w:val="256D815C"/>
    <w:rsid w:val="256DD752"/>
    <w:rsid w:val="25708E5A"/>
    <w:rsid w:val="257E8D81"/>
    <w:rsid w:val="2589B370"/>
    <w:rsid w:val="258D4027"/>
    <w:rsid w:val="25974D79"/>
    <w:rsid w:val="259CF3ED"/>
    <w:rsid w:val="25A37B03"/>
    <w:rsid w:val="25AABBCF"/>
    <w:rsid w:val="25AD7550"/>
    <w:rsid w:val="25AEA863"/>
    <w:rsid w:val="25B3D58B"/>
    <w:rsid w:val="25B811F3"/>
    <w:rsid w:val="25C26703"/>
    <w:rsid w:val="25CCA879"/>
    <w:rsid w:val="25CD3944"/>
    <w:rsid w:val="25CE8087"/>
    <w:rsid w:val="25D2C789"/>
    <w:rsid w:val="25D3602D"/>
    <w:rsid w:val="25D3D9BE"/>
    <w:rsid w:val="25DA3CC1"/>
    <w:rsid w:val="25E39BD3"/>
    <w:rsid w:val="25E4B35B"/>
    <w:rsid w:val="25E70E45"/>
    <w:rsid w:val="25EAA4C5"/>
    <w:rsid w:val="25F1DF17"/>
    <w:rsid w:val="26015C46"/>
    <w:rsid w:val="2607F38B"/>
    <w:rsid w:val="2608111D"/>
    <w:rsid w:val="2614A8F5"/>
    <w:rsid w:val="2619D6AF"/>
    <w:rsid w:val="262B032A"/>
    <w:rsid w:val="2631542A"/>
    <w:rsid w:val="2638A396"/>
    <w:rsid w:val="26554092"/>
    <w:rsid w:val="2656032D"/>
    <w:rsid w:val="265EBE43"/>
    <w:rsid w:val="26634F8F"/>
    <w:rsid w:val="26652C19"/>
    <w:rsid w:val="2668978B"/>
    <w:rsid w:val="266C3C39"/>
    <w:rsid w:val="267A104D"/>
    <w:rsid w:val="2686685D"/>
    <w:rsid w:val="26A1DB9B"/>
    <w:rsid w:val="26B318E7"/>
    <w:rsid w:val="26B8D355"/>
    <w:rsid w:val="26C644EF"/>
    <w:rsid w:val="26CDFBE1"/>
    <w:rsid w:val="26EB2A0A"/>
    <w:rsid w:val="26F757FB"/>
    <w:rsid w:val="271F40EF"/>
    <w:rsid w:val="27218E3D"/>
    <w:rsid w:val="272357B6"/>
    <w:rsid w:val="2723C419"/>
    <w:rsid w:val="272C434F"/>
    <w:rsid w:val="2752C0A9"/>
    <w:rsid w:val="2756ED83"/>
    <w:rsid w:val="275B1BA5"/>
    <w:rsid w:val="275E3E1D"/>
    <w:rsid w:val="275FD7D4"/>
    <w:rsid w:val="276030F1"/>
    <w:rsid w:val="2761C4F7"/>
    <w:rsid w:val="2765602E"/>
    <w:rsid w:val="27711257"/>
    <w:rsid w:val="277359B4"/>
    <w:rsid w:val="2779E0E4"/>
    <w:rsid w:val="277B6568"/>
    <w:rsid w:val="27837F7B"/>
    <w:rsid w:val="278AE25E"/>
    <w:rsid w:val="27A425D6"/>
    <w:rsid w:val="27B51B78"/>
    <w:rsid w:val="27CDFCF0"/>
    <w:rsid w:val="27CF0228"/>
    <w:rsid w:val="27DD5012"/>
    <w:rsid w:val="27DEE525"/>
    <w:rsid w:val="27DFB481"/>
    <w:rsid w:val="27E865D0"/>
    <w:rsid w:val="27F4269D"/>
    <w:rsid w:val="27F90CB5"/>
    <w:rsid w:val="27FE4BCF"/>
    <w:rsid w:val="28023EC5"/>
    <w:rsid w:val="280B6700"/>
    <w:rsid w:val="280C5F7F"/>
    <w:rsid w:val="2812077D"/>
    <w:rsid w:val="2813789D"/>
    <w:rsid w:val="281E54F9"/>
    <w:rsid w:val="2824A0E9"/>
    <w:rsid w:val="28283665"/>
    <w:rsid w:val="282AB572"/>
    <w:rsid w:val="28334867"/>
    <w:rsid w:val="2833F29E"/>
    <w:rsid w:val="283D01DC"/>
    <w:rsid w:val="283F629F"/>
    <w:rsid w:val="2841D74E"/>
    <w:rsid w:val="2843B8DE"/>
    <w:rsid w:val="284924C6"/>
    <w:rsid w:val="284B9E85"/>
    <w:rsid w:val="284ECF51"/>
    <w:rsid w:val="286AB683"/>
    <w:rsid w:val="28705703"/>
    <w:rsid w:val="287AB937"/>
    <w:rsid w:val="2884B351"/>
    <w:rsid w:val="288F14BE"/>
    <w:rsid w:val="2895CF99"/>
    <w:rsid w:val="289D6588"/>
    <w:rsid w:val="28A8D5B0"/>
    <w:rsid w:val="28B55C6E"/>
    <w:rsid w:val="28BA080D"/>
    <w:rsid w:val="28CE85E1"/>
    <w:rsid w:val="28D22084"/>
    <w:rsid w:val="28D5DC88"/>
    <w:rsid w:val="28E9C061"/>
    <w:rsid w:val="2903B369"/>
    <w:rsid w:val="29199639"/>
    <w:rsid w:val="29227DA9"/>
    <w:rsid w:val="292FCAA6"/>
    <w:rsid w:val="29311478"/>
    <w:rsid w:val="29432255"/>
    <w:rsid w:val="2943BC4E"/>
    <w:rsid w:val="2944B65C"/>
    <w:rsid w:val="2946ACAD"/>
    <w:rsid w:val="2946D51E"/>
    <w:rsid w:val="2956D37F"/>
    <w:rsid w:val="2969A2A5"/>
    <w:rsid w:val="2969D0B0"/>
    <w:rsid w:val="29731ACE"/>
    <w:rsid w:val="29758CFE"/>
    <w:rsid w:val="29814A6B"/>
    <w:rsid w:val="29852806"/>
    <w:rsid w:val="29853F34"/>
    <w:rsid w:val="298B6155"/>
    <w:rsid w:val="2990F79D"/>
    <w:rsid w:val="2994A067"/>
    <w:rsid w:val="29987C7F"/>
    <w:rsid w:val="29993CEC"/>
    <w:rsid w:val="29A7BF78"/>
    <w:rsid w:val="29A81DA8"/>
    <w:rsid w:val="29B10E3B"/>
    <w:rsid w:val="29B2AFA4"/>
    <w:rsid w:val="29B852D5"/>
    <w:rsid w:val="29B8A5F0"/>
    <w:rsid w:val="29C2EE01"/>
    <w:rsid w:val="29C4A397"/>
    <w:rsid w:val="29C757EA"/>
    <w:rsid w:val="29DCADFA"/>
    <w:rsid w:val="29E59B4A"/>
    <w:rsid w:val="29E7CC27"/>
    <w:rsid w:val="29E93F57"/>
    <w:rsid w:val="29EB0378"/>
    <w:rsid w:val="29EC3705"/>
    <w:rsid w:val="29F04BFC"/>
    <w:rsid w:val="2A01236E"/>
    <w:rsid w:val="2A06DFA4"/>
    <w:rsid w:val="2A073C7C"/>
    <w:rsid w:val="2A09D55C"/>
    <w:rsid w:val="2A0BC980"/>
    <w:rsid w:val="2A0FA367"/>
    <w:rsid w:val="2A1F3005"/>
    <w:rsid w:val="2A2162DE"/>
    <w:rsid w:val="2A252E27"/>
    <w:rsid w:val="2A31068B"/>
    <w:rsid w:val="2A33347D"/>
    <w:rsid w:val="2A38E5D7"/>
    <w:rsid w:val="2A38F42E"/>
    <w:rsid w:val="2A3C14AA"/>
    <w:rsid w:val="2A3C3C92"/>
    <w:rsid w:val="2A3EC308"/>
    <w:rsid w:val="2A4381E0"/>
    <w:rsid w:val="2A50DAA2"/>
    <w:rsid w:val="2A55C1B1"/>
    <w:rsid w:val="2A569771"/>
    <w:rsid w:val="2A585C85"/>
    <w:rsid w:val="2A58DFB8"/>
    <w:rsid w:val="2A5AB54C"/>
    <w:rsid w:val="2A5AC68C"/>
    <w:rsid w:val="2A64F5E0"/>
    <w:rsid w:val="2A69409A"/>
    <w:rsid w:val="2A7FE582"/>
    <w:rsid w:val="2A861560"/>
    <w:rsid w:val="2A8BE17E"/>
    <w:rsid w:val="2A8DE913"/>
    <w:rsid w:val="2A915927"/>
    <w:rsid w:val="2A94F594"/>
    <w:rsid w:val="2A9E3C4C"/>
    <w:rsid w:val="2A9FEAF8"/>
    <w:rsid w:val="2AAB7BC3"/>
    <w:rsid w:val="2AAE7ADB"/>
    <w:rsid w:val="2AB3FC5E"/>
    <w:rsid w:val="2AB5669A"/>
    <w:rsid w:val="2AB950B8"/>
    <w:rsid w:val="2AB9B36E"/>
    <w:rsid w:val="2ABF4FC9"/>
    <w:rsid w:val="2ABFDA82"/>
    <w:rsid w:val="2AC26664"/>
    <w:rsid w:val="2AC3D5B0"/>
    <w:rsid w:val="2AC482BA"/>
    <w:rsid w:val="2AD2F53B"/>
    <w:rsid w:val="2AD73985"/>
    <w:rsid w:val="2ADE0A95"/>
    <w:rsid w:val="2AE37F18"/>
    <w:rsid w:val="2AE65312"/>
    <w:rsid w:val="2AE96870"/>
    <w:rsid w:val="2AF4EEA6"/>
    <w:rsid w:val="2AF5583B"/>
    <w:rsid w:val="2AFA1575"/>
    <w:rsid w:val="2AFE2D43"/>
    <w:rsid w:val="2B04B629"/>
    <w:rsid w:val="2B0A456E"/>
    <w:rsid w:val="2B0F927E"/>
    <w:rsid w:val="2B14ED67"/>
    <w:rsid w:val="2B2334D9"/>
    <w:rsid w:val="2B245A2A"/>
    <w:rsid w:val="2B2AE766"/>
    <w:rsid w:val="2B2C1C48"/>
    <w:rsid w:val="2B32207A"/>
    <w:rsid w:val="2B3653CB"/>
    <w:rsid w:val="2B429771"/>
    <w:rsid w:val="2B44F8D3"/>
    <w:rsid w:val="2B46AECA"/>
    <w:rsid w:val="2B54B6BE"/>
    <w:rsid w:val="2B561084"/>
    <w:rsid w:val="2B5E2730"/>
    <w:rsid w:val="2B5EBE62"/>
    <w:rsid w:val="2B5F17FF"/>
    <w:rsid w:val="2B61356C"/>
    <w:rsid w:val="2B64D6EC"/>
    <w:rsid w:val="2B6C52D9"/>
    <w:rsid w:val="2B7B2363"/>
    <w:rsid w:val="2B7BEC6B"/>
    <w:rsid w:val="2B7DFE92"/>
    <w:rsid w:val="2B83833C"/>
    <w:rsid w:val="2B8533B9"/>
    <w:rsid w:val="2B866D3F"/>
    <w:rsid w:val="2B914C6D"/>
    <w:rsid w:val="2B936285"/>
    <w:rsid w:val="2BA3BE53"/>
    <w:rsid w:val="2BD04DF6"/>
    <w:rsid w:val="2BD61576"/>
    <w:rsid w:val="2BD817F0"/>
    <w:rsid w:val="2BE14D68"/>
    <w:rsid w:val="2BE7A382"/>
    <w:rsid w:val="2C0238F6"/>
    <w:rsid w:val="2C05BF22"/>
    <w:rsid w:val="2C0BDC58"/>
    <w:rsid w:val="2C0F283C"/>
    <w:rsid w:val="2C161DC5"/>
    <w:rsid w:val="2C1CC949"/>
    <w:rsid w:val="2C219109"/>
    <w:rsid w:val="2C287466"/>
    <w:rsid w:val="2C3465DF"/>
    <w:rsid w:val="2C3B050A"/>
    <w:rsid w:val="2C40DD12"/>
    <w:rsid w:val="2C41490E"/>
    <w:rsid w:val="2C457916"/>
    <w:rsid w:val="2C4E5F1E"/>
    <w:rsid w:val="2C4ECEAC"/>
    <w:rsid w:val="2C5136FB"/>
    <w:rsid w:val="2C5C3AD6"/>
    <w:rsid w:val="2C612E38"/>
    <w:rsid w:val="2C728DE6"/>
    <w:rsid w:val="2C74D2DF"/>
    <w:rsid w:val="2C7A235C"/>
    <w:rsid w:val="2C7A3A5C"/>
    <w:rsid w:val="2C898F68"/>
    <w:rsid w:val="2C8F30C3"/>
    <w:rsid w:val="2C8F3B8D"/>
    <w:rsid w:val="2C90BF07"/>
    <w:rsid w:val="2C9BE001"/>
    <w:rsid w:val="2C9BE4E1"/>
    <w:rsid w:val="2CA52BF7"/>
    <w:rsid w:val="2CA5C1CE"/>
    <w:rsid w:val="2CA997D7"/>
    <w:rsid w:val="2CAE9BC0"/>
    <w:rsid w:val="2CB8FD27"/>
    <w:rsid w:val="2CBB576B"/>
    <w:rsid w:val="2CC68AB7"/>
    <w:rsid w:val="2CC6B7C7"/>
    <w:rsid w:val="2CCB3B69"/>
    <w:rsid w:val="2CCE67E4"/>
    <w:rsid w:val="2CD647AE"/>
    <w:rsid w:val="2CD741BB"/>
    <w:rsid w:val="2CD9C93E"/>
    <w:rsid w:val="2CE1E949"/>
    <w:rsid w:val="2CE7A558"/>
    <w:rsid w:val="2CE9DA2C"/>
    <w:rsid w:val="2CEA3915"/>
    <w:rsid w:val="2CF5027C"/>
    <w:rsid w:val="2D0817D4"/>
    <w:rsid w:val="2D179AB5"/>
    <w:rsid w:val="2D188AB0"/>
    <w:rsid w:val="2D267E44"/>
    <w:rsid w:val="2D281069"/>
    <w:rsid w:val="2D28C064"/>
    <w:rsid w:val="2D3C2B18"/>
    <w:rsid w:val="2D3D0C68"/>
    <w:rsid w:val="2D3DDE0B"/>
    <w:rsid w:val="2D489C87"/>
    <w:rsid w:val="2D4B6793"/>
    <w:rsid w:val="2D62E45B"/>
    <w:rsid w:val="2D6A3B80"/>
    <w:rsid w:val="2D7DA5FA"/>
    <w:rsid w:val="2D801308"/>
    <w:rsid w:val="2D820048"/>
    <w:rsid w:val="2D84DE08"/>
    <w:rsid w:val="2D869FCB"/>
    <w:rsid w:val="2D8889F8"/>
    <w:rsid w:val="2D8DEAD8"/>
    <w:rsid w:val="2D8E8273"/>
    <w:rsid w:val="2D900AD3"/>
    <w:rsid w:val="2D9026D3"/>
    <w:rsid w:val="2D958746"/>
    <w:rsid w:val="2D99B2EB"/>
    <w:rsid w:val="2D9E9CF9"/>
    <w:rsid w:val="2DA1E18B"/>
    <w:rsid w:val="2DAA9120"/>
    <w:rsid w:val="2DB9341F"/>
    <w:rsid w:val="2DC0D2AD"/>
    <w:rsid w:val="2DC34F08"/>
    <w:rsid w:val="2DC5E035"/>
    <w:rsid w:val="2DDD20DB"/>
    <w:rsid w:val="2DEE2F56"/>
    <w:rsid w:val="2DF1EBDC"/>
    <w:rsid w:val="2DF814EE"/>
    <w:rsid w:val="2DFBD613"/>
    <w:rsid w:val="2DFE0FE8"/>
    <w:rsid w:val="2E00813B"/>
    <w:rsid w:val="2E028653"/>
    <w:rsid w:val="2E03BF75"/>
    <w:rsid w:val="2E0466E6"/>
    <w:rsid w:val="2E12C196"/>
    <w:rsid w:val="2E168512"/>
    <w:rsid w:val="2E1A7552"/>
    <w:rsid w:val="2E219CF6"/>
    <w:rsid w:val="2E2A3F49"/>
    <w:rsid w:val="2E2B6779"/>
    <w:rsid w:val="2E2C7110"/>
    <w:rsid w:val="2E448FD6"/>
    <w:rsid w:val="2E4AB991"/>
    <w:rsid w:val="2E571578"/>
    <w:rsid w:val="2E5BD7E4"/>
    <w:rsid w:val="2E5D7401"/>
    <w:rsid w:val="2E60AFA1"/>
    <w:rsid w:val="2E62F0F7"/>
    <w:rsid w:val="2E6C6D67"/>
    <w:rsid w:val="2E9CFF60"/>
    <w:rsid w:val="2EA11FBB"/>
    <w:rsid w:val="2EABD427"/>
    <w:rsid w:val="2EB674AD"/>
    <w:rsid w:val="2EB813DF"/>
    <w:rsid w:val="2EC02B09"/>
    <w:rsid w:val="2EC4CC8A"/>
    <w:rsid w:val="2ED5E8D9"/>
    <w:rsid w:val="2ED7F123"/>
    <w:rsid w:val="2EF93C1C"/>
    <w:rsid w:val="2EFCE452"/>
    <w:rsid w:val="2EFFA430"/>
    <w:rsid w:val="2F00513A"/>
    <w:rsid w:val="2F00EC1C"/>
    <w:rsid w:val="2F097307"/>
    <w:rsid w:val="2F0A2C3C"/>
    <w:rsid w:val="2F0B0734"/>
    <w:rsid w:val="2F0C6E36"/>
    <w:rsid w:val="2F28249D"/>
    <w:rsid w:val="2F28CE83"/>
    <w:rsid w:val="2F344E4E"/>
    <w:rsid w:val="2F428E94"/>
    <w:rsid w:val="2F430F82"/>
    <w:rsid w:val="2F46EA2E"/>
    <w:rsid w:val="2F47B6AB"/>
    <w:rsid w:val="2F529492"/>
    <w:rsid w:val="2F5E42F6"/>
    <w:rsid w:val="2F605AE8"/>
    <w:rsid w:val="2F638821"/>
    <w:rsid w:val="2F6F3464"/>
    <w:rsid w:val="2F76FF60"/>
    <w:rsid w:val="2F77BC06"/>
    <w:rsid w:val="2F80E735"/>
    <w:rsid w:val="2F86C55C"/>
    <w:rsid w:val="2F978783"/>
    <w:rsid w:val="2F9A7967"/>
    <w:rsid w:val="2FA8189F"/>
    <w:rsid w:val="2FA84C16"/>
    <w:rsid w:val="2FB7A82D"/>
    <w:rsid w:val="2FB9AFFE"/>
    <w:rsid w:val="2FBBE4C6"/>
    <w:rsid w:val="2FC0A9CD"/>
    <w:rsid w:val="2FD638A6"/>
    <w:rsid w:val="2FD877CD"/>
    <w:rsid w:val="2FDA47E2"/>
    <w:rsid w:val="2FE0D63D"/>
    <w:rsid w:val="2FEB870D"/>
    <w:rsid w:val="2FED63B7"/>
    <w:rsid w:val="2FF37939"/>
    <w:rsid w:val="2FFA4645"/>
    <w:rsid w:val="2FFD09D9"/>
    <w:rsid w:val="300927BE"/>
    <w:rsid w:val="300F3763"/>
    <w:rsid w:val="3013CE0C"/>
    <w:rsid w:val="3017CA83"/>
    <w:rsid w:val="301F461A"/>
    <w:rsid w:val="30214927"/>
    <w:rsid w:val="30248EED"/>
    <w:rsid w:val="3033A729"/>
    <w:rsid w:val="3039B769"/>
    <w:rsid w:val="3039FF11"/>
    <w:rsid w:val="303C9E77"/>
    <w:rsid w:val="303E0AAE"/>
    <w:rsid w:val="304E999F"/>
    <w:rsid w:val="3051A174"/>
    <w:rsid w:val="3056DE37"/>
    <w:rsid w:val="3058017E"/>
    <w:rsid w:val="30678420"/>
    <w:rsid w:val="307256A7"/>
    <w:rsid w:val="30773152"/>
    <w:rsid w:val="308C95FC"/>
    <w:rsid w:val="308DCC4F"/>
    <w:rsid w:val="30907ECF"/>
    <w:rsid w:val="30A156D1"/>
    <w:rsid w:val="30A3858B"/>
    <w:rsid w:val="30A665CB"/>
    <w:rsid w:val="30AFCC22"/>
    <w:rsid w:val="30B04AAB"/>
    <w:rsid w:val="30B47B79"/>
    <w:rsid w:val="30B84339"/>
    <w:rsid w:val="30BCE009"/>
    <w:rsid w:val="30CCD935"/>
    <w:rsid w:val="30CF5F51"/>
    <w:rsid w:val="30D01EAF"/>
    <w:rsid w:val="30D9F245"/>
    <w:rsid w:val="30DB0EAA"/>
    <w:rsid w:val="30E1F477"/>
    <w:rsid w:val="30E2E50A"/>
    <w:rsid w:val="30F9B26E"/>
    <w:rsid w:val="30FD69C8"/>
    <w:rsid w:val="3107C9D7"/>
    <w:rsid w:val="310C67CF"/>
    <w:rsid w:val="310FB438"/>
    <w:rsid w:val="311172B8"/>
    <w:rsid w:val="31186D8A"/>
    <w:rsid w:val="311B8409"/>
    <w:rsid w:val="312049D2"/>
    <w:rsid w:val="3122CE69"/>
    <w:rsid w:val="31259FAC"/>
    <w:rsid w:val="312C72D8"/>
    <w:rsid w:val="3134B000"/>
    <w:rsid w:val="313A8AAE"/>
    <w:rsid w:val="3154E89F"/>
    <w:rsid w:val="315D7D28"/>
    <w:rsid w:val="315D8DEF"/>
    <w:rsid w:val="31613171"/>
    <w:rsid w:val="3163083B"/>
    <w:rsid w:val="316562B1"/>
    <w:rsid w:val="31681878"/>
    <w:rsid w:val="317080C1"/>
    <w:rsid w:val="31744EA0"/>
    <w:rsid w:val="31786B77"/>
    <w:rsid w:val="317BFE57"/>
    <w:rsid w:val="31843A9A"/>
    <w:rsid w:val="3186C7BD"/>
    <w:rsid w:val="3198BF8E"/>
    <w:rsid w:val="31BC7288"/>
    <w:rsid w:val="31C5338E"/>
    <w:rsid w:val="31CA2E82"/>
    <w:rsid w:val="31CB0278"/>
    <w:rsid w:val="31E57B6E"/>
    <w:rsid w:val="31E79E58"/>
    <w:rsid w:val="31E9C371"/>
    <w:rsid w:val="31EA5F6C"/>
    <w:rsid w:val="31F2E9D4"/>
    <w:rsid w:val="31F8A6F6"/>
    <w:rsid w:val="320D01EC"/>
    <w:rsid w:val="320EFA13"/>
    <w:rsid w:val="321C65B5"/>
    <w:rsid w:val="32256651"/>
    <w:rsid w:val="322676AA"/>
    <w:rsid w:val="322A597D"/>
    <w:rsid w:val="322AF490"/>
    <w:rsid w:val="3231955F"/>
    <w:rsid w:val="323CFAF9"/>
    <w:rsid w:val="32477714"/>
    <w:rsid w:val="325270EC"/>
    <w:rsid w:val="32548A90"/>
    <w:rsid w:val="3257DCE1"/>
    <w:rsid w:val="325A3574"/>
    <w:rsid w:val="325CE816"/>
    <w:rsid w:val="325DED4E"/>
    <w:rsid w:val="3264FA78"/>
    <w:rsid w:val="326B6B22"/>
    <w:rsid w:val="327CE87C"/>
    <w:rsid w:val="327F818D"/>
    <w:rsid w:val="327FF14D"/>
    <w:rsid w:val="32ABBCE0"/>
    <w:rsid w:val="32AF63AA"/>
    <w:rsid w:val="32B256BE"/>
    <w:rsid w:val="32BE9711"/>
    <w:rsid w:val="32CD19C3"/>
    <w:rsid w:val="32D2CDCB"/>
    <w:rsid w:val="32DD0374"/>
    <w:rsid w:val="32E7D6FC"/>
    <w:rsid w:val="32EF24DE"/>
    <w:rsid w:val="3300B89E"/>
    <w:rsid w:val="3302546A"/>
    <w:rsid w:val="3305D8D8"/>
    <w:rsid w:val="33092D2C"/>
    <w:rsid w:val="331800F9"/>
    <w:rsid w:val="3324A60A"/>
    <w:rsid w:val="33284FBA"/>
    <w:rsid w:val="333CAC02"/>
    <w:rsid w:val="333F5B61"/>
    <w:rsid w:val="333FFFB2"/>
    <w:rsid w:val="3346F2E4"/>
    <w:rsid w:val="334BB624"/>
    <w:rsid w:val="3353F086"/>
    <w:rsid w:val="3368ADF8"/>
    <w:rsid w:val="33758777"/>
    <w:rsid w:val="33809F90"/>
    <w:rsid w:val="33812010"/>
    <w:rsid w:val="33820BC3"/>
    <w:rsid w:val="3382F1A2"/>
    <w:rsid w:val="3387F377"/>
    <w:rsid w:val="33931CD0"/>
    <w:rsid w:val="339FD3A9"/>
    <w:rsid w:val="33A314D9"/>
    <w:rsid w:val="33A451BC"/>
    <w:rsid w:val="33AA9EC5"/>
    <w:rsid w:val="33B3A301"/>
    <w:rsid w:val="33B4BD20"/>
    <w:rsid w:val="33B7EA13"/>
    <w:rsid w:val="33E3BA8D"/>
    <w:rsid w:val="33E48105"/>
    <w:rsid w:val="33EBD813"/>
    <w:rsid w:val="33ED85F9"/>
    <w:rsid w:val="33EED66E"/>
    <w:rsid w:val="33F36A2A"/>
    <w:rsid w:val="33FA0502"/>
    <w:rsid w:val="3407BF71"/>
    <w:rsid w:val="341B708C"/>
    <w:rsid w:val="34284575"/>
    <w:rsid w:val="342CE8C9"/>
    <w:rsid w:val="3437B1DB"/>
    <w:rsid w:val="343CE45A"/>
    <w:rsid w:val="3440CB59"/>
    <w:rsid w:val="344188E6"/>
    <w:rsid w:val="3444981A"/>
    <w:rsid w:val="344F7F5E"/>
    <w:rsid w:val="34502149"/>
    <w:rsid w:val="3457E21F"/>
    <w:rsid w:val="345915EE"/>
    <w:rsid w:val="346269F0"/>
    <w:rsid w:val="3465B433"/>
    <w:rsid w:val="346CDA94"/>
    <w:rsid w:val="346FC097"/>
    <w:rsid w:val="34706740"/>
    <w:rsid w:val="347938CA"/>
    <w:rsid w:val="347EE963"/>
    <w:rsid w:val="34830A14"/>
    <w:rsid w:val="3488F3EA"/>
    <w:rsid w:val="348BA0AF"/>
    <w:rsid w:val="348FF944"/>
    <w:rsid w:val="3493FD04"/>
    <w:rsid w:val="3496B87A"/>
    <w:rsid w:val="34B09882"/>
    <w:rsid w:val="34B3D15A"/>
    <w:rsid w:val="34BB5462"/>
    <w:rsid w:val="34C5154D"/>
    <w:rsid w:val="34DB0BD0"/>
    <w:rsid w:val="34DD4E25"/>
    <w:rsid w:val="34EAF209"/>
    <w:rsid w:val="34FC3656"/>
    <w:rsid w:val="350A6BDB"/>
    <w:rsid w:val="350E1271"/>
    <w:rsid w:val="3514A1F8"/>
    <w:rsid w:val="3515BD12"/>
    <w:rsid w:val="352B60D9"/>
    <w:rsid w:val="3530F990"/>
    <w:rsid w:val="353C50C4"/>
    <w:rsid w:val="353E1840"/>
    <w:rsid w:val="353F744B"/>
    <w:rsid w:val="35438FD0"/>
    <w:rsid w:val="3549B9C8"/>
    <w:rsid w:val="3556A82E"/>
    <w:rsid w:val="3557E8D8"/>
    <w:rsid w:val="3558EE3C"/>
    <w:rsid w:val="355AC339"/>
    <w:rsid w:val="35621CA9"/>
    <w:rsid w:val="3569299E"/>
    <w:rsid w:val="356E703D"/>
    <w:rsid w:val="356F9511"/>
    <w:rsid w:val="35721BFC"/>
    <w:rsid w:val="35743CBD"/>
    <w:rsid w:val="35768D13"/>
    <w:rsid w:val="3577383D"/>
    <w:rsid w:val="35778E7A"/>
    <w:rsid w:val="357F5EDF"/>
    <w:rsid w:val="3581FB08"/>
    <w:rsid w:val="3584B2BB"/>
    <w:rsid w:val="35884A27"/>
    <w:rsid w:val="358AA6CF"/>
    <w:rsid w:val="358BA341"/>
    <w:rsid w:val="358BB239"/>
    <w:rsid w:val="358EB65C"/>
    <w:rsid w:val="35956410"/>
    <w:rsid w:val="35A00DCE"/>
    <w:rsid w:val="35ABEB47"/>
    <w:rsid w:val="35B514CB"/>
    <w:rsid w:val="35B68CD5"/>
    <w:rsid w:val="35BACDCB"/>
    <w:rsid w:val="35C4BAA2"/>
    <w:rsid w:val="35D00739"/>
    <w:rsid w:val="35D0684E"/>
    <w:rsid w:val="35D1C295"/>
    <w:rsid w:val="35D1EABD"/>
    <w:rsid w:val="35D2C9A5"/>
    <w:rsid w:val="35D854A7"/>
    <w:rsid w:val="35D88B5C"/>
    <w:rsid w:val="35DDEFB5"/>
    <w:rsid w:val="35EA28A8"/>
    <w:rsid w:val="35ED7019"/>
    <w:rsid w:val="35EFA8BD"/>
    <w:rsid w:val="35F45219"/>
    <w:rsid w:val="3600A6B1"/>
    <w:rsid w:val="36176EBA"/>
    <w:rsid w:val="362A36FF"/>
    <w:rsid w:val="362BEA28"/>
    <w:rsid w:val="3639C545"/>
    <w:rsid w:val="363CBD17"/>
    <w:rsid w:val="36400038"/>
    <w:rsid w:val="36469A2C"/>
    <w:rsid w:val="36480D20"/>
    <w:rsid w:val="364D9539"/>
    <w:rsid w:val="364FA1BB"/>
    <w:rsid w:val="3650DD65"/>
    <w:rsid w:val="365170AF"/>
    <w:rsid w:val="3653B24D"/>
    <w:rsid w:val="365711B3"/>
    <w:rsid w:val="3657EB3E"/>
    <w:rsid w:val="3665731D"/>
    <w:rsid w:val="36666BDF"/>
    <w:rsid w:val="36691E19"/>
    <w:rsid w:val="36701121"/>
    <w:rsid w:val="3671284F"/>
    <w:rsid w:val="36713D75"/>
    <w:rsid w:val="368044F6"/>
    <w:rsid w:val="36860109"/>
    <w:rsid w:val="368D574B"/>
    <w:rsid w:val="3691AFF4"/>
    <w:rsid w:val="3692067D"/>
    <w:rsid w:val="369F8961"/>
    <w:rsid w:val="36A04109"/>
    <w:rsid w:val="36A5921B"/>
    <w:rsid w:val="36A6B347"/>
    <w:rsid w:val="36AAFC09"/>
    <w:rsid w:val="36AEF683"/>
    <w:rsid w:val="36B51955"/>
    <w:rsid w:val="36B561CE"/>
    <w:rsid w:val="36BB7F2C"/>
    <w:rsid w:val="36BF59E7"/>
    <w:rsid w:val="36C73475"/>
    <w:rsid w:val="36C7D85D"/>
    <w:rsid w:val="36E297A1"/>
    <w:rsid w:val="36FAE0BC"/>
    <w:rsid w:val="37014817"/>
    <w:rsid w:val="3701E3C2"/>
    <w:rsid w:val="370F69B3"/>
    <w:rsid w:val="371B4CE5"/>
    <w:rsid w:val="3722715E"/>
    <w:rsid w:val="372A046D"/>
    <w:rsid w:val="372EE710"/>
    <w:rsid w:val="373B6DFA"/>
    <w:rsid w:val="374038D8"/>
    <w:rsid w:val="374AC680"/>
    <w:rsid w:val="374DDAF7"/>
    <w:rsid w:val="3753C3E6"/>
    <w:rsid w:val="37565EF4"/>
    <w:rsid w:val="3756A286"/>
    <w:rsid w:val="37579BAA"/>
    <w:rsid w:val="375B97C2"/>
    <w:rsid w:val="37713FA9"/>
    <w:rsid w:val="37721E96"/>
    <w:rsid w:val="37729FE5"/>
    <w:rsid w:val="3774612F"/>
    <w:rsid w:val="3778F5D7"/>
    <w:rsid w:val="377DBBC0"/>
    <w:rsid w:val="378F0356"/>
    <w:rsid w:val="3794C3B7"/>
    <w:rsid w:val="379ACED0"/>
    <w:rsid w:val="37BB7206"/>
    <w:rsid w:val="37BC5F1D"/>
    <w:rsid w:val="37C703BA"/>
    <w:rsid w:val="37CD548E"/>
    <w:rsid w:val="37D09052"/>
    <w:rsid w:val="37D5C278"/>
    <w:rsid w:val="37EB5BB0"/>
    <w:rsid w:val="37F1FB28"/>
    <w:rsid w:val="37F80158"/>
    <w:rsid w:val="37FBAE76"/>
    <w:rsid w:val="380E1E75"/>
    <w:rsid w:val="38168947"/>
    <w:rsid w:val="381FC6E8"/>
    <w:rsid w:val="38205015"/>
    <w:rsid w:val="38243E01"/>
    <w:rsid w:val="38251001"/>
    <w:rsid w:val="38269080"/>
    <w:rsid w:val="3839C90E"/>
    <w:rsid w:val="3844A04C"/>
    <w:rsid w:val="38471520"/>
    <w:rsid w:val="38493773"/>
    <w:rsid w:val="385539F5"/>
    <w:rsid w:val="385DB829"/>
    <w:rsid w:val="38649DE4"/>
    <w:rsid w:val="3866257B"/>
    <w:rsid w:val="38701EE9"/>
    <w:rsid w:val="3875F88B"/>
    <w:rsid w:val="387D0699"/>
    <w:rsid w:val="3880B75A"/>
    <w:rsid w:val="388A5700"/>
    <w:rsid w:val="388BE80C"/>
    <w:rsid w:val="389C7C9D"/>
    <w:rsid w:val="38A543B6"/>
    <w:rsid w:val="38B51895"/>
    <w:rsid w:val="38B5A4FA"/>
    <w:rsid w:val="38BA493B"/>
    <w:rsid w:val="38BF982E"/>
    <w:rsid w:val="38BFBA9C"/>
    <w:rsid w:val="38C82231"/>
    <w:rsid w:val="38C86E7B"/>
    <w:rsid w:val="38DA152E"/>
    <w:rsid w:val="38DB3094"/>
    <w:rsid w:val="38DC8FB3"/>
    <w:rsid w:val="38E39D62"/>
    <w:rsid w:val="38E74AE7"/>
    <w:rsid w:val="38F7AB50"/>
    <w:rsid w:val="39066752"/>
    <w:rsid w:val="390736BF"/>
    <w:rsid w:val="3908DDBC"/>
    <w:rsid w:val="392A32E0"/>
    <w:rsid w:val="3934A457"/>
    <w:rsid w:val="394209B1"/>
    <w:rsid w:val="394C0BEA"/>
    <w:rsid w:val="394F7BE4"/>
    <w:rsid w:val="39636013"/>
    <w:rsid w:val="396A8952"/>
    <w:rsid w:val="39705966"/>
    <w:rsid w:val="39718B6F"/>
    <w:rsid w:val="3972B6AC"/>
    <w:rsid w:val="3979BC82"/>
    <w:rsid w:val="397A1224"/>
    <w:rsid w:val="397AF630"/>
    <w:rsid w:val="397D4FB7"/>
    <w:rsid w:val="397D9525"/>
    <w:rsid w:val="3984A14D"/>
    <w:rsid w:val="398B2A2F"/>
    <w:rsid w:val="398DE813"/>
    <w:rsid w:val="39975FFF"/>
    <w:rsid w:val="39A3492B"/>
    <w:rsid w:val="39A5737E"/>
    <w:rsid w:val="39A80BA1"/>
    <w:rsid w:val="39AA4BE0"/>
    <w:rsid w:val="39AC9355"/>
    <w:rsid w:val="39B2C0D1"/>
    <w:rsid w:val="39BFFA9B"/>
    <w:rsid w:val="39C0A3A2"/>
    <w:rsid w:val="39CBA08B"/>
    <w:rsid w:val="39E5F65D"/>
    <w:rsid w:val="39EAC947"/>
    <w:rsid w:val="39EFAC96"/>
    <w:rsid w:val="39F1184E"/>
    <w:rsid w:val="39F91997"/>
    <w:rsid w:val="39FE2BB7"/>
    <w:rsid w:val="3A076907"/>
    <w:rsid w:val="3A07FDB8"/>
    <w:rsid w:val="3A0A761D"/>
    <w:rsid w:val="3A0EC621"/>
    <w:rsid w:val="3A1823A2"/>
    <w:rsid w:val="3A1A6273"/>
    <w:rsid w:val="3A2E8C51"/>
    <w:rsid w:val="3A32F35C"/>
    <w:rsid w:val="3A3A7479"/>
    <w:rsid w:val="3A3B0DCB"/>
    <w:rsid w:val="3A40BEAE"/>
    <w:rsid w:val="3A45B9B9"/>
    <w:rsid w:val="3A4DA659"/>
    <w:rsid w:val="3A50D93F"/>
    <w:rsid w:val="3A5A14BD"/>
    <w:rsid w:val="3A5BDF73"/>
    <w:rsid w:val="3A5C791D"/>
    <w:rsid w:val="3A5E17F2"/>
    <w:rsid w:val="3A5EA40F"/>
    <w:rsid w:val="3A60BA3C"/>
    <w:rsid w:val="3A6166A5"/>
    <w:rsid w:val="3A6D0444"/>
    <w:rsid w:val="3A75B0AB"/>
    <w:rsid w:val="3A777A40"/>
    <w:rsid w:val="3A809DB0"/>
    <w:rsid w:val="3A8D4191"/>
    <w:rsid w:val="3A914F0D"/>
    <w:rsid w:val="3A920FFB"/>
    <w:rsid w:val="3A953D5A"/>
    <w:rsid w:val="3AA71FEA"/>
    <w:rsid w:val="3AAC56AE"/>
    <w:rsid w:val="3AB01239"/>
    <w:rsid w:val="3AB6B7AD"/>
    <w:rsid w:val="3ABF76EA"/>
    <w:rsid w:val="3AC0D6F4"/>
    <w:rsid w:val="3AC77001"/>
    <w:rsid w:val="3ACFA230"/>
    <w:rsid w:val="3AD31111"/>
    <w:rsid w:val="3AD9BFDB"/>
    <w:rsid w:val="3ADDCD33"/>
    <w:rsid w:val="3AE47336"/>
    <w:rsid w:val="3AF01528"/>
    <w:rsid w:val="3AF95D9C"/>
    <w:rsid w:val="3AFA536E"/>
    <w:rsid w:val="3B00A821"/>
    <w:rsid w:val="3B12065A"/>
    <w:rsid w:val="3B1748CD"/>
    <w:rsid w:val="3B17D687"/>
    <w:rsid w:val="3B1B9117"/>
    <w:rsid w:val="3B2811DC"/>
    <w:rsid w:val="3B2B149E"/>
    <w:rsid w:val="3B2B8FFE"/>
    <w:rsid w:val="3B398B8C"/>
    <w:rsid w:val="3B3B8527"/>
    <w:rsid w:val="3B3BD16B"/>
    <w:rsid w:val="3B3EB21F"/>
    <w:rsid w:val="3B3F3C3E"/>
    <w:rsid w:val="3B423252"/>
    <w:rsid w:val="3B445E2E"/>
    <w:rsid w:val="3B479C3D"/>
    <w:rsid w:val="3B49F46C"/>
    <w:rsid w:val="3B6179E8"/>
    <w:rsid w:val="3B6424AA"/>
    <w:rsid w:val="3B643EC2"/>
    <w:rsid w:val="3B674C25"/>
    <w:rsid w:val="3B7D07B8"/>
    <w:rsid w:val="3B82E001"/>
    <w:rsid w:val="3B86ABFF"/>
    <w:rsid w:val="3B8A29AD"/>
    <w:rsid w:val="3B8E9C90"/>
    <w:rsid w:val="3B902A65"/>
    <w:rsid w:val="3B9449B3"/>
    <w:rsid w:val="3B97FC01"/>
    <w:rsid w:val="3BA7BFAB"/>
    <w:rsid w:val="3BA8984A"/>
    <w:rsid w:val="3BAA9682"/>
    <w:rsid w:val="3BADF6CB"/>
    <w:rsid w:val="3BBD034C"/>
    <w:rsid w:val="3BBE13B1"/>
    <w:rsid w:val="3BBEE3C5"/>
    <w:rsid w:val="3BC452F7"/>
    <w:rsid w:val="3BC9EAFA"/>
    <w:rsid w:val="3BD2D9DB"/>
    <w:rsid w:val="3BD911B6"/>
    <w:rsid w:val="3BD9A638"/>
    <w:rsid w:val="3BDB652B"/>
    <w:rsid w:val="3BE72B55"/>
    <w:rsid w:val="3BEA948E"/>
    <w:rsid w:val="3BEF239F"/>
    <w:rsid w:val="3BEF7475"/>
    <w:rsid w:val="3BF3B1DE"/>
    <w:rsid w:val="3BF4F923"/>
    <w:rsid w:val="3BF4F968"/>
    <w:rsid w:val="3C044032"/>
    <w:rsid w:val="3C164693"/>
    <w:rsid w:val="3C2FDC77"/>
    <w:rsid w:val="3C34CE23"/>
    <w:rsid w:val="3C3610D2"/>
    <w:rsid w:val="3C3D6827"/>
    <w:rsid w:val="3C4A781B"/>
    <w:rsid w:val="3C528926"/>
    <w:rsid w:val="3C588325"/>
    <w:rsid w:val="3C599F0D"/>
    <w:rsid w:val="3C5D6FEE"/>
    <w:rsid w:val="3C60A048"/>
    <w:rsid w:val="3C6526C6"/>
    <w:rsid w:val="3C66B2AD"/>
    <w:rsid w:val="3C674842"/>
    <w:rsid w:val="3C6AA62E"/>
    <w:rsid w:val="3C6FD52D"/>
    <w:rsid w:val="3C79D030"/>
    <w:rsid w:val="3C7D185E"/>
    <w:rsid w:val="3C809CCD"/>
    <w:rsid w:val="3C8AD918"/>
    <w:rsid w:val="3C8F790E"/>
    <w:rsid w:val="3C98D467"/>
    <w:rsid w:val="3C9C0A0A"/>
    <w:rsid w:val="3CA0701B"/>
    <w:rsid w:val="3CA84B08"/>
    <w:rsid w:val="3CAD474C"/>
    <w:rsid w:val="3CB630D2"/>
    <w:rsid w:val="3CBE7A60"/>
    <w:rsid w:val="3CC5A3C9"/>
    <w:rsid w:val="3CC6F4F8"/>
    <w:rsid w:val="3CC89EAF"/>
    <w:rsid w:val="3CCD5CE9"/>
    <w:rsid w:val="3CD3A826"/>
    <w:rsid w:val="3CD609B8"/>
    <w:rsid w:val="3CD652B2"/>
    <w:rsid w:val="3CE51138"/>
    <w:rsid w:val="3CE7B930"/>
    <w:rsid w:val="3CEB6E70"/>
    <w:rsid w:val="3CEE46DB"/>
    <w:rsid w:val="3CF075B6"/>
    <w:rsid w:val="3CF70B9D"/>
    <w:rsid w:val="3CFC4066"/>
    <w:rsid w:val="3D1101DC"/>
    <w:rsid w:val="3D112451"/>
    <w:rsid w:val="3D115384"/>
    <w:rsid w:val="3D16BC04"/>
    <w:rsid w:val="3D188D79"/>
    <w:rsid w:val="3D2CFDCC"/>
    <w:rsid w:val="3D30C1A9"/>
    <w:rsid w:val="3D3BCB70"/>
    <w:rsid w:val="3D40F0F1"/>
    <w:rsid w:val="3D48E2C2"/>
    <w:rsid w:val="3D4E56AF"/>
    <w:rsid w:val="3D50F031"/>
    <w:rsid w:val="3D5706DA"/>
    <w:rsid w:val="3D5D8A5E"/>
    <w:rsid w:val="3D5F0C5C"/>
    <w:rsid w:val="3D5FE03E"/>
    <w:rsid w:val="3D637E1A"/>
    <w:rsid w:val="3D64CBF6"/>
    <w:rsid w:val="3D67E8EA"/>
    <w:rsid w:val="3D70C5CB"/>
    <w:rsid w:val="3D74E217"/>
    <w:rsid w:val="3D7732F3"/>
    <w:rsid w:val="3D798677"/>
    <w:rsid w:val="3D7B5E45"/>
    <w:rsid w:val="3D7CF278"/>
    <w:rsid w:val="3D985AFE"/>
    <w:rsid w:val="3D9B5F52"/>
    <w:rsid w:val="3DA42171"/>
    <w:rsid w:val="3DA917D9"/>
    <w:rsid w:val="3DAEE111"/>
    <w:rsid w:val="3DB00BF7"/>
    <w:rsid w:val="3DB2461C"/>
    <w:rsid w:val="3DB435D6"/>
    <w:rsid w:val="3DC2F512"/>
    <w:rsid w:val="3DCC0777"/>
    <w:rsid w:val="3DD09E84"/>
    <w:rsid w:val="3DD1FBAF"/>
    <w:rsid w:val="3DD95DA4"/>
    <w:rsid w:val="3DD996F8"/>
    <w:rsid w:val="3DE017F2"/>
    <w:rsid w:val="3DE73B06"/>
    <w:rsid w:val="3DF2D69C"/>
    <w:rsid w:val="3DF421BD"/>
    <w:rsid w:val="3DF8CA6F"/>
    <w:rsid w:val="3E07E90C"/>
    <w:rsid w:val="3E1CF3C8"/>
    <w:rsid w:val="3E1F8F71"/>
    <w:rsid w:val="3E213E38"/>
    <w:rsid w:val="3E2651C2"/>
    <w:rsid w:val="3E2B8C9F"/>
    <w:rsid w:val="3E2EAD4A"/>
    <w:rsid w:val="3E3EBBB9"/>
    <w:rsid w:val="3E46077F"/>
    <w:rsid w:val="3E4CBF3B"/>
    <w:rsid w:val="3E4D5BA0"/>
    <w:rsid w:val="3E6510B7"/>
    <w:rsid w:val="3E6733B2"/>
    <w:rsid w:val="3E7292C9"/>
    <w:rsid w:val="3E751434"/>
    <w:rsid w:val="3E775C98"/>
    <w:rsid w:val="3E782232"/>
    <w:rsid w:val="3E7D11A8"/>
    <w:rsid w:val="3E7F40D3"/>
    <w:rsid w:val="3E846A49"/>
    <w:rsid w:val="3E858875"/>
    <w:rsid w:val="3E85A706"/>
    <w:rsid w:val="3E8B631E"/>
    <w:rsid w:val="3E957F48"/>
    <w:rsid w:val="3E9DDFF1"/>
    <w:rsid w:val="3EA02F41"/>
    <w:rsid w:val="3EA54645"/>
    <w:rsid w:val="3EA61A7E"/>
    <w:rsid w:val="3EA7FCBB"/>
    <w:rsid w:val="3EB3EA4D"/>
    <w:rsid w:val="3EB9472A"/>
    <w:rsid w:val="3EC2294D"/>
    <w:rsid w:val="3EC464B3"/>
    <w:rsid w:val="3EC5E150"/>
    <w:rsid w:val="3EC8CE2D"/>
    <w:rsid w:val="3ECA2F0C"/>
    <w:rsid w:val="3ECAECC3"/>
    <w:rsid w:val="3ECE602D"/>
    <w:rsid w:val="3EDD0E32"/>
    <w:rsid w:val="3EE4C3EE"/>
    <w:rsid w:val="3EE6E6C5"/>
    <w:rsid w:val="3EEFDEE7"/>
    <w:rsid w:val="3F0224DB"/>
    <w:rsid w:val="3F03498D"/>
    <w:rsid w:val="3F17753C"/>
    <w:rsid w:val="3F196AC5"/>
    <w:rsid w:val="3F2A6238"/>
    <w:rsid w:val="3F2A73C4"/>
    <w:rsid w:val="3F318915"/>
    <w:rsid w:val="3F40B695"/>
    <w:rsid w:val="3F463DD0"/>
    <w:rsid w:val="3F493DA4"/>
    <w:rsid w:val="3F557513"/>
    <w:rsid w:val="3F576F58"/>
    <w:rsid w:val="3F60C94D"/>
    <w:rsid w:val="3F6952D5"/>
    <w:rsid w:val="3F70DB9B"/>
    <w:rsid w:val="3F85107F"/>
    <w:rsid w:val="3F8A5A81"/>
    <w:rsid w:val="3F8B38A8"/>
    <w:rsid w:val="3F8B7521"/>
    <w:rsid w:val="3F8BA7B2"/>
    <w:rsid w:val="3F8F03C7"/>
    <w:rsid w:val="3F93A744"/>
    <w:rsid w:val="3F93BB4E"/>
    <w:rsid w:val="3FA935DB"/>
    <w:rsid w:val="3FAC4A5C"/>
    <w:rsid w:val="3FB07370"/>
    <w:rsid w:val="3FB0C5C0"/>
    <w:rsid w:val="3FBA1778"/>
    <w:rsid w:val="3FBC83D8"/>
    <w:rsid w:val="3FC37FEF"/>
    <w:rsid w:val="3FC7186B"/>
    <w:rsid w:val="3FCCA015"/>
    <w:rsid w:val="3FCCE64B"/>
    <w:rsid w:val="3FCED09C"/>
    <w:rsid w:val="3FDCD989"/>
    <w:rsid w:val="3FE0163A"/>
    <w:rsid w:val="3FEAF7B2"/>
    <w:rsid w:val="3FF251CF"/>
    <w:rsid w:val="4002DDE4"/>
    <w:rsid w:val="4006C05B"/>
    <w:rsid w:val="4013B71A"/>
    <w:rsid w:val="4017CF51"/>
    <w:rsid w:val="40189F14"/>
    <w:rsid w:val="401A320A"/>
    <w:rsid w:val="40220230"/>
    <w:rsid w:val="4024F95F"/>
    <w:rsid w:val="402770B5"/>
    <w:rsid w:val="402B740E"/>
    <w:rsid w:val="40341207"/>
    <w:rsid w:val="403A4331"/>
    <w:rsid w:val="403DF4D7"/>
    <w:rsid w:val="403F513A"/>
    <w:rsid w:val="403F87F3"/>
    <w:rsid w:val="40409986"/>
    <w:rsid w:val="40460509"/>
    <w:rsid w:val="405A1998"/>
    <w:rsid w:val="40628FBB"/>
    <w:rsid w:val="407322F0"/>
    <w:rsid w:val="407662BF"/>
    <w:rsid w:val="407CF227"/>
    <w:rsid w:val="408318D6"/>
    <w:rsid w:val="40855416"/>
    <w:rsid w:val="408866E0"/>
    <w:rsid w:val="409A0BA2"/>
    <w:rsid w:val="40A3FACC"/>
    <w:rsid w:val="40BE05B1"/>
    <w:rsid w:val="40C45566"/>
    <w:rsid w:val="40C9ABF1"/>
    <w:rsid w:val="40CAFC0B"/>
    <w:rsid w:val="40D22F65"/>
    <w:rsid w:val="40D42CD2"/>
    <w:rsid w:val="40D607EF"/>
    <w:rsid w:val="40D61F45"/>
    <w:rsid w:val="40D9F51A"/>
    <w:rsid w:val="40DF1F81"/>
    <w:rsid w:val="40F4DE19"/>
    <w:rsid w:val="40FC0AF6"/>
    <w:rsid w:val="41003FFB"/>
    <w:rsid w:val="41052336"/>
    <w:rsid w:val="41063B86"/>
    <w:rsid w:val="41108338"/>
    <w:rsid w:val="41163027"/>
    <w:rsid w:val="4117B8B4"/>
    <w:rsid w:val="41205593"/>
    <w:rsid w:val="41298FD5"/>
    <w:rsid w:val="412A922F"/>
    <w:rsid w:val="4138ADEF"/>
    <w:rsid w:val="413C2B3C"/>
    <w:rsid w:val="413FA69A"/>
    <w:rsid w:val="414686E6"/>
    <w:rsid w:val="414695AC"/>
    <w:rsid w:val="4146E6D4"/>
    <w:rsid w:val="41513EB4"/>
    <w:rsid w:val="4155A2FB"/>
    <w:rsid w:val="416AC1E9"/>
    <w:rsid w:val="416B8CCE"/>
    <w:rsid w:val="416E6658"/>
    <w:rsid w:val="41728D5A"/>
    <w:rsid w:val="417B129F"/>
    <w:rsid w:val="417C4758"/>
    <w:rsid w:val="417D95A5"/>
    <w:rsid w:val="4181198B"/>
    <w:rsid w:val="4184B21B"/>
    <w:rsid w:val="418A2BEC"/>
    <w:rsid w:val="418CF905"/>
    <w:rsid w:val="418E1FDD"/>
    <w:rsid w:val="418F00F7"/>
    <w:rsid w:val="4191B4AE"/>
    <w:rsid w:val="41933309"/>
    <w:rsid w:val="41933461"/>
    <w:rsid w:val="4198E471"/>
    <w:rsid w:val="41AA707F"/>
    <w:rsid w:val="41AD9849"/>
    <w:rsid w:val="41B96809"/>
    <w:rsid w:val="41BDD258"/>
    <w:rsid w:val="41C2868A"/>
    <w:rsid w:val="41C36B93"/>
    <w:rsid w:val="41C86B5F"/>
    <w:rsid w:val="41C9407E"/>
    <w:rsid w:val="41D09868"/>
    <w:rsid w:val="41DF0EDC"/>
    <w:rsid w:val="41DFFE7D"/>
    <w:rsid w:val="41E1BB3D"/>
    <w:rsid w:val="41EAD047"/>
    <w:rsid w:val="41F17A12"/>
    <w:rsid w:val="41F745E5"/>
    <w:rsid w:val="41FE287F"/>
    <w:rsid w:val="4200C30E"/>
    <w:rsid w:val="42123320"/>
    <w:rsid w:val="42247871"/>
    <w:rsid w:val="422C64DC"/>
    <w:rsid w:val="4236D6B6"/>
    <w:rsid w:val="42420F49"/>
    <w:rsid w:val="42435EE3"/>
    <w:rsid w:val="4248533A"/>
    <w:rsid w:val="4250D9AE"/>
    <w:rsid w:val="4251CC4B"/>
    <w:rsid w:val="4256BEE1"/>
    <w:rsid w:val="4262F59C"/>
    <w:rsid w:val="426F7FEF"/>
    <w:rsid w:val="4270FD99"/>
    <w:rsid w:val="427E0712"/>
    <w:rsid w:val="4288FA85"/>
    <w:rsid w:val="428CE6F3"/>
    <w:rsid w:val="42914A02"/>
    <w:rsid w:val="42A8274A"/>
    <w:rsid w:val="42B38915"/>
    <w:rsid w:val="42B9BA73"/>
    <w:rsid w:val="42BBCF6D"/>
    <w:rsid w:val="42BC9EB6"/>
    <w:rsid w:val="42C948BF"/>
    <w:rsid w:val="42D95399"/>
    <w:rsid w:val="42E0A7B6"/>
    <w:rsid w:val="42E80639"/>
    <w:rsid w:val="42E9B185"/>
    <w:rsid w:val="42E9CCCB"/>
    <w:rsid w:val="42F1294E"/>
    <w:rsid w:val="42F98450"/>
    <w:rsid w:val="42FD5AD3"/>
    <w:rsid w:val="43000D52"/>
    <w:rsid w:val="430406F7"/>
    <w:rsid w:val="430B4C84"/>
    <w:rsid w:val="430E98A1"/>
    <w:rsid w:val="4314FC66"/>
    <w:rsid w:val="43152A13"/>
    <w:rsid w:val="431AD96F"/>
    <w:rsid w:val="431B8DF2"/>
    <w:rsid w:val="43256D4B"/>
    <w:rsid w:val="4337A942"/>
    <w:rsid w:val="4338AD57"/>
    <w:rsid w:val="433976C1"/>
    <w:rsid w:val="4339F512"/>
    <w:rsid w:val="433B95F4"/>
    <w:rsid w:val="433CA5EC"/>
    <w:rsid w:val="433EF73A"/>
    <w:rsid w:val="4345BF83"/>
    <w:rsid w:val="43491900"/>
    <w:rsid w:val="436F070B"/>
    <w:rsid w:val="436FF725"/>
    <w:rsid w:val="4370AD03"/>
    <w:rsid w:val="43767A29"/>
    <w:rsid w:val="43861601"/>
    <w:rsid w:val="438AA8BF"/>
    <w:rsid w:val="439C3F50"/>
    <w:rsid w:val="439C641D"/>
    <w:rsid w:val="43A3A522"/>
    <w:rsid w:val="43AD8AAF"/>
    <w:rsid w:val="43B2BA5C"/>
    <w:rsid w:val="43C4CC04"/>
    <w:rsid w:val="43C8B51E"/>
    <w:rsid w:val="43CF0CFC"/>
    <w:rsid w:val="43D262F7"/>
    <w:rsid w:val="43DD5A6F"/>
    <w:rsid w:val="43E6EC88"/>
    <w:rsid w:val="43EA7297"/>
    <w:rsid w:val="43EE1014"/>
    <w:rsid w:val="43F55A70"/>
    <w:rsid w:val="4404FA38"/>
    <w:rsid w:val="4415D108"/>
    <w:rsid w:val="4430715E"/>
    <w:rsid w:val="44332BA9"/>
    <w:rsid w:val="4434FF8D"/>
    <w:rsid w:val="4437EEC8"/>
    <w:rsid w:val="443F1AB5"/>
    <w:rsid w:val="44420687"/>
    <w:rsid w:val="444B6667"/>
    <w:rsid w:val="4450E64C"/>
    <w:rsid w:val="4466374F"/>
    <w:rsid w:val="44675AE6"/>
    <w:rsid w:val="44852915"/>
    <w:rsid w:val="4497E661"/>
    <w:rsid w:val="449C20A6"/>
    <w:rsid w:val="449F37B0"/>
    <w:rsid w:val="44A0AA10"/>
    <w:rsid w:val="44B0CCC7"/>
    <w:rsid w:val="44B7F91C"/>
    <w:rsid w:val="44B8BA4D"/>
    <w:rsid w:val="44BE3647"/>
    <w:rsid w:val="44C5B36F"/>
    <w:rsid w:val="44CAD523"/>
    <w:rsid w:val="44CEAD45"/>
    <w:rsid w:val="44CFA334"/>
    <w:rsid w:val="44D3B550"/>
    <w:rsid w:val="44D6A485"/>
    <w:rsid w:val="44D91DAD"/>
    <w:rsid w:val="44DBB0E5"/>
    <w:rsid w:val="44E6AFE7"/>
    <w:rsid w:val="44E7FCC7"/>
    <w:rsid w:val="44E9DA6B"/>
    <w:rsid w:val="44EC26F3"/>
    <w:rsid w:val="44F1538B"/>
    <w:rsid w:val="44FC12E5"/>
    <w:rsid w:val="44FC9686"/>
    <w:rsid w:val="44FE3084"/>
    <w:rsid w:val="4509FC95"/>
    <w:rsid w:val="450BF691"/>
    <w:rsid w:val="4510CB50"/>
    <w:rsid w:val="4517AF81"/>
    <w:rsid w:val="451F0D88"/>
    <w:rsid w:val="4521FAED"/>
    <w:rsid w:val="45258E89"/>
    <w:rsid w:val="45267920"/>
    <w:rsid w:val="453A1E50"/>
    <w:rsid w:val="4556B76B"/>
    <w:rsid w:val="455F97D6"/>
    <w:rsid w:val="45696C41"/>
    <w:rsid w:val="456DED19"/>
    <w:rsid w:val="457691D4"/>
    <w:rsid w:val="45770B9F"/>
    <w:rsid w:val="457CCFB9"/>
    <w:rsid w:val="4586FD04"/>
    <w:rsid w:val="459D2277"/>
    <w:rsid w:val="45A842D0"/>
    <w:rsid w:val="45AFAD55"/>
    <w:rsid w:val="45B8123C"/>
    <w:rsid w:val="45BD8AEC"/>
    <w:rsid w:val="45C0B086"/>
    <w:rsid w:val="45C3CC8A"/>
    <w:rsid w:val="45C77BE6"/>
    <w:rsid w:val="45CAA1CB"/>
    <w:rsid w:val="45DBB338"/>
    <w:rsid w:val="45E8CD5B"/>
    <w:rsid w:val="45EB29D7"/>
    <w:rsid w:val="45EBB0EB"/>
    <w:rsid w:val="45EEE442"/>
    <w:rsid w:val="45FC8CB0"/>
    <w:rsid w:val="45FCCDA3"/>
    <w:rsid w:val="4600A094"/>
    <w:rsid w:val="4600BD7C"/>
    <w:rsid w:val="46045234"/>
    <w:rsid w:val="460C1DA0"/>
    <w:rsid w:val="4618BCEE"/>
    <w:rsid w:val="461FFF06"/>
    <w:rsid w:val="46271F9A"/>
    <w:rsid w:val="46374781"/>
    <w:rsid w:val="4637F107"/>
    <w:rsid w:val="463C41DA"/>
    <w:rsid w:val="465060FA"/>
    <w:rsid w:val="465098E2"/>
    <w:rsid w:val="46570B29"/>
    <w:rsid w:val="465DFE1D"/>
    <w:rsid w:val="466FF5CA"/>
    <w:rsid w:val="467AF0EC"/>
    <w:rsid w:val="468216DA"/>
    <w:rsid w:val="46837EAC"/>
    <w:rsid w:val="468D03F0"/>
    <w:rsid w:val="46914300"/>
    <w:rsid w:val="4693959F"/>
    <w:rsid w:val="4693B7B4"/>
    <w:rsid w:val="469E4FD0"/>
    <w:rsid w:val="469ED3D5"/>
    <w:rsid w:val="46A024A4"/>
    <w:rsid w:val="46A268C4"/>
    <w:rsid w:val="46A9D88C"/>
    <w:rsid w:val="46B50C64"/>
    <w:rsid w:val="46BCCB07"/>
    <w:rsid w:val="46BDBEF5"/>
    <w:rsid w:val="46BEDBF3"/>
    <w:rsid w:val="46C05812"/>
    <w:rsid w:val="46D3DF2D"/>
    <w:rsid w:val="46D9B954"/>
    <w:rsid w:val="46E4CE92"/>
    <w:rsid w:val="46E509A2"/>
    <w:rsid w:val="46ED98F7"/>
    <w:rsid w:val="46EE8FDB"/>
    <w:rsid w:val="46F36F8E"/>
    <w:rsid w:val="46F3FA55"/>
    <w:rsid w:val="46F9A559"/>
    <w:rsid w:val="47000E1F"/>
    <w:rsid w:val="47078CFF"/>
    <w:rsid w:val="470992F6"/>
    <w:rsid w:val="47110C68"/>
    <w:rsid w:val="4711E744"/>
    <w:rsid w:val="4712FB92"/>
    <w:rsid w:val="47244BAF"/>
    <w:rsid w:val="47278907"/>
    <w:rsid w:val="472A42DE"/>
    <w:rsid w:val="473258AB"/>
    <w:rsid w:val="473879A5"/>
    <w:rsid w:val="4739F80B"/>
    <w:rsid w:val="4742601D"/>
    <w:rsid w:val="4745679E"/>
    <w:rsid w:val="474DC765"/>
    <w:rsid w:val="475D4B3B"/>
    <w:rsid w:val="476314B7"/>
    <w:rsid w:val="4766088A"/>
    <w:rsid w:val="4766FA0C"/>
    <w:rsid w:val="47682095"/>
    <w:rsid w:val="476A451E"/>
    <w:rsid w:val="47702836"/>
    <w:rsid w:val="477508B8"/>
    <w:rsid w:val="4776B718"/>
    <w:rsid w:val="478F8D44"/>
    <w:rsid w:val="4794BE7A"/>
    <w:rsid w:val="47975C40"/>
    <w:rsid w:val="479DD538"/>
    <w:rsid w:val="47B4AF8E"/>
    <w:rsid w:val="47BBE112"/>
    <w:rsid w:val="47C671B7"/>
    <w:rsid w:val="47C7F037"/>
    <w:rsid w:val="47CDFF90"/>
    <w:rsid w:val="47CEB153"/>
    <w:rsid w:val="47DA8E1B"/>
    <w:rsid w:val="47DC1DEF"/>
    <w:rsid w:val="47E17732"/>
    <w:rsid w:val="47EEA04D"/>
    <w:rsid w:val="47EF160D"/>
    <w:rsid w:val="4807AD4E"/>
    <w:rsid w:val="4809A506"/>
    <w:rsid w:val="480B2ED4"/>
    <w:rsid w:val="481264DA"/>
    <w:rsid w:val="4812C7B4"/>
    <w:rsid w:val="48277B35"/>
    <w:rsid w:val="482995F1"/>
    <w:rsid w:val="482B554B"/>
    <w:rsid w:val="48305554"/>
    <w:rsid w:val="48343748"/>
    <w:rsid w:val="4836B65B"/>
    <w:rsid w:val="4838C4C4"/>
    <w:rsid w:val="483A4707"/>
    <w:rsid w:val="483CF9F5"/>
    <w:rsid w:val="484168C2"/>
    <w:rsid w:val="4844EC85"/>
    <w:rsid w:val="4846A502"/>
    <w:rsid w:val="4853A985"/>
    <w:rsid w:val="485664EB"/>
    <w:rsid w:val="48574F9A"/>
    <w:rsid w:val="48575460"/>
    <w:rsid w:val="4857E8F5"/>
    <w:rsid w:val="48580742"/>
    <w:rsid w:val="48628F8A"/>
    <w:rsid w:val="4863A527"/>
    <w:rsid w:val="4868C87C"/>
    <w:rsid w:val="486EC6CD"/>
    <w:rsid w:val="487393FD"/>
    <w:rsid w:val="48745D1D"/>
    <w:rsid w:val="48822700"/>
    <w:rsid w:val="488424CB"/>
    <w:rsid w:val="4887E9A4"/>
    <w:rsid w:val="488AA9A0"/>
    <w:rsid w:val="488D2086"/>
    <w:rsid w:val="48958343"/>
    <w:rsid w:val="48A2CEE7"/>
    <w:rsid w:val="48B02F78"/>
    <w:rsid w:val="48B0DFF6"/>
    <w:rsid w:val="48B136AF"/>
    <w:rsid w:val="48B862AF"/>
    <w:rsid w:val="48BCDD20"/>
    <w:rsid w:val="48D1903E"/>
    <w:rsid w:val="48D1A1E7"/>
    <w:rsid w:val="48D4515E"/>
    <w:rsid w:val="48D5AA55"/>
    <w:rsid w:val="48E15A33"/>
    <w:rsid w:val="48F14645"/>
    <w:rsid w:val="48F31C56"/>
    <w:rsid w:val="48FD2643"/>
    <w:rsid w:val="490717E6"/>
    <w:rsid w:val="4907AED0"/>
    <w:rsid w:val="490DFD95"/>
    <w:rsid w:val="49115C84"/>
    <w:rsid w:val="4911AD50"/>
    <w:rsid w:val="4917986E"/>
    <w:rsid w:val="49247A4D"/>
    <w:rsid w:val="49257C38"/>
    <w:rsid w:val="4929FD4E"/>
    <w:rsid w:val="49389D14"/>
    <w:rsid w:val="493C8771"/>
    <w:rsid w:val="49501867"/>
    <w:rsid w:val="4953F217"/>
    <w:rsid w:val="4958AAFF"/>
    <w:rsid w:val="4962DE57"/>
    <w:rsid w:val="496A5CE9"/>
    <w:rsid w:val="496E15FC"/>
    <w:rsid w:val="49720361"/>
    <w:rsid w:val="4975BBAE"/>
    <w:rsid w:val="4980F6CA"/>
    <w:rsid w:val="498DBAC8"/>
    <w:rsid w:val="49936545"/>
    <w:rsid w:val="4994CE55"/>
    <w:rsid w:val="499CB6A2"/>
    <w:rsid w:val="49A44FA7"/>
    <w:rsid w:val="49A450F5"/>
    <w:rsid w:val="49A6635A"/>
    <w:rsid w:val="49A7319B"/>
    <w:rsid w:val="49AFEE8E"/>
    <w:rsid w:val="49B1E46E"/>
    <w:rsid w:val="49BE85C7"/>
    <w:rsid w:val="49C142C6"/>
    <w:rsid w:val="49C40560"/>
    <w:rsid w:val="49C46006"/>
    <w:rsid w:val="49C52C72"/>
    <w:rsid w:val="49CCC0FC"/>
    <w:rsid w:val="49D962BD"/>
    <w:rsid w:val="49E27563"/>
    <w:rsid w:val="49EFB4C2"/>
    <w:rsid w:val="49F0BCEB"/>
    <w:rsid w:val="49F635A9"/>
    <w:rsid w:val="49FDCC63"/>
    <w:rsid w:val="49FED802"/>
    <w:rsid w:val="49FFFC1B"/>
    <w:rsid w:val="4A009A7A"/>
    <w:rsid w:val="4A02F5A1"/>
    <w:rsid w:val="4A04013A"/>
    <w:rsid w:val="4A05CE52"/>
    <w:rsid w:val="4A0A1C4B"/>
    <w:rsid w:val="4A0FD3C8"/>
    <w:rsid w:val="4A102D7E"/>
    <w:rsid w:val="4A12625C"/>
    <w:rsid w:val="4A14E300"/>
    <w:rsid w:val="4A151497"/>
    <w:rsid w:val="4A18360F"/>
    <w:rsid w:val="4A318E23"/>
    <w:rsid w:val="4A32F9EF"/>
    <w:rsid w:val="4A379EF4"/>
    <w:rsid w:val="4A41D862"/>
    <w:rsid w:val="4A4E70C8"/>
    <w:rsid w:val="4A5054D8"/>
    <w:rsid w:val="4A545DA3"/>
    <w:rsid w:val="4A574991"/>
    <w:rsid w:val="4A5928D3"/>
    <w:rsid w:val="4A59564E"/>
    <w:rsid w:val="4A603EDB"/>
    <w:rsid w:val="4A612C3E"/>
    <w:rsid w:val="4A625094"/>
    <w:rsid w:val="4A66DD6A"/>
    <w:rsid w:val="4A7B655D"/>
    <w:rsid w:val="4A902322"/>
    <w:rsid w:val="4A95F92F"/>
    <w:rsid w:val="4A98EF41"/>
    <w:rsid w:val="4A9B8DAF"/>
    <w:rsid w:val="4A9FC157"/>
    <w:rsid w:val="4AA9D623"/>
    <w:rsid w:val="4AB77066"/>
    <w:rsid w:val="4AB86283"/>
    <w:rsid w:val="4ABE9AFA"/>
    <w:rsid w:val="4AC3C7CE"/>
    <w:rsid w:val="4AC43594"/>
    <w:rsid w:val="4AC573FA"/>
    <w:rsid w:val="4AC9619A"/>
    <w:rsid w:val="4ACC8B92"/>
    <w:rsid w:val="4ACE5277"/>
    <w:rsid w:val="4AD6C97B"/>
    <w:rsid w:val="4AE3034B"/>
    <w:rsid w:val="4AE6CA25"/>
    <w:rsid w:val="4AEAA656"/>
    <w:rsid w:val="4AFAAC5D"/>
    <w:rsid w:val="4AFD7529"/>
    <w:rsid w:val="4AFE8809"/>
    <w:rsid w:val="4AFECB0B"/>
    <w:rsid w:val="4AFF4B24"/>
    <w:rsid w:val="4B008047"/>
    <w:rsid w:val="4B0AFD27"/>
    <w:rsid w:val="4B0B1C67"/>
    <w:rsid w:val="4B0EF07E"/>
    <w:rsid w:val="4B13BC4F"/>
    <w:rsid w:val="4B1ACC85"/>
    <w:rsid w:val="4B1C142F"/>
    <w:rsid w:val="4B2262C2"/>
    <w:rsid w:val="4B27FBD1"/>
    <w:rsid w:val="4B2F35A6"/>
    <w:rsid w:val="4B313041"/>
    <w:rsid w:val="4B383229"/>
    <w:rsid w:val="4B4094F0"/>
    <w:rsid w:val="4B6A7813"/>
    <w:rsid w:val="4B837E3F"/>
    <w:rsid w:val="4B845CEF"/>
    <w:rsid w:val="4B9A8339"/>
    <w:rsid w:val="4B9B0076"/>
    <w:rsid w:val="4B9B1819"/>
    <w:rsid w:val="4BA1A8FF"/>
    <w:rsid w:val="4BA5FED0"/>
    <w:rsid w:val="4BA75135"/>
    <w:rsid w:val="4BB905D8"/>
    <w:rsid w:val="4BC02A83"/>
    <w:rsid w:val="4BC1BC52"/>
    <w:rsid w:val="4BCAA895"/>
    <w:rsid w:val="4BCC32F2"/>
    <w:rsid w:val="4BCFC52F"/>
    <w:rsid w:val="4BDA836B"/>
    <w:rsid w:val="4BE34402"/>
    <w:rsid w:val="4BFCE6C6"/>
    <w:rsid w:val="4C008003"/>
    <w:rsid w:val="4C1F2B64"/>
    <w:rsid w:val="4C1F713E"/>
    <w:rsid w:val="4C1FD7EE"/>
    <w:rsid w:val="4C227E8A"/>
    <w:rsid w:val="4C240D98"/>
    <w:rsid w:val="4C2666BD"/>
    <w:rsid w:val="4C2C6E9C"/>
    <w:rsid w:val="4C2CC298"/>
    <w:rsid w:val="4C30E2A6"/>
    <w:rsid w:val="4C31B01E"/>
    <w:rsid w:val="4C364705"/>
    <w:rsid w:val="4C37F21C"/>
    <w:rsid w:val="4C397EEF"/>
    <w:rsid w:val="4C3C1888"/>
    <w:rsid w:val="4C408BDB"/>
    <w:rsid w:val="4C4FEE4D"/>
    <w:rsid w:val="4C5359FE"/>
    <w:rsid w:val="4C545FE6"/>
    <w:rsid w:val="4C5A6B5B"/>
    <w:rsid w:val="4C5A8A5C"/>
    <w:rsid w:val="4C694F25"/>
    <w:rsid w:val="4C79FE59"/>
    <w:rsid w:val="4C7F96DE"/>
    <w:rsid w:val="4C860817"/>
    <w:rsid w:val="4C8D86E6"/>
    <w:rsid w:val="4C964C11"/>
    <w:rsid w:val="4CA4D0FD"/>
    <w:rsid w:val="4CAD594D"/>
    <w:rsid w:val="4CC65DC7"/>
    <w:rsid w:val="4CC96CD4"/>
    <w:rsid w:val="4CCFFA00"/>
    <w:rsid w:val="4CD191CC"/>
    <w:rsid w:val="4CDB2AA5"/>
    <w:rsid w:val="4CDF9CEF"/>
    <w:rsid w:val="4CE0FECD"/>
    <w:rsid w:val="4CE63BBB"/>
    <w:rsid w:val="4CEF0007"/>
    <w:rsid w:val="4CFAECE1"/>
    <w:rsid w:val="4CFB973B"/>
    <w:rsid w:val="4CFD3763"/>
    <w:rsid w:val="4D0118E2"/>
    <w:rsid w:val="4D017774"/>
    <w:rsid w:val="4D0A8015"/>
    <w:rsid w:val="4D0CF64B"/>
    <w:rsid w:val="4D14765B"/>
    <w:rsid w:val="4D17322F"/>
    <w:rsid w:val="4D1A4BAF"/>
    <w:rsid w:val="4D1B76CA"/>
    <w:rsid w:val="4D1DF896"/>
    <w:rsid w:val="4D226046"/>
    <w:rsid w:val="4D2869FD"/>
    <w:rsid w:val="4D3D533B"/>
    <w:rsid w:val="4D3FC861"/>
    <w:rsid w:val="4D4110C2"/>
    <w:rsid w:val="4D471781"/>
    <w:rsid w:val="4D4C0BFD"/>
    <w:rsid w:val="4D52FAAC"/>
    <w:rsid w:val="4D67A095"/>
    <w:rsid w:val="4D7019BE"/>
    <w:rsid w:val="4D70D3C6"/>
    <w:rsid w:val="4D77305E"/>
    <w:rsid w:val="4D7F5485"/>
    <w:rsid w:val="4D85E926"/>
    <w:rsid w:val="4D861022"/>
    <w:rsid w:val="4D8AA5D1"/>
    <w:rsid w:val="4D8C430C"/>
    <w:rsid w:val="4D8E9AEB"/>
    <w:rsid w:val="4D972934"/>
    <w:rsid w:val="4D978A10"/>
    <w:rsid w:val="4D99B73B"/>
    <w:rsid w:val="4DABDC7E"/>
    <w:rsid w:val="4DAE430F"/>
    <w:rsid w:val="4DAF3126"/>
    <w:rsid w:val="4DB3AE57"/>
    <w:rsid w:val="4DB3CA04"/>
    <w:rsid w:val="4DB4DF17"/>
    <w:rsid w:val="4DB8126A"/>
    <w:rsid w:val="4DB977C9"/>
    <w:rsid w:val="4DB9F4D9"/>
    <w:rsid w:val="4DBB2007"/>
    <w:rsid w:val="4DBFDDF9"/>
    <w:rsid w:val="4DC1BDDD"/>
    <w:rsid w:val="4DC5BAFB"/>
    <w:rsid w:val="4DC7678A"/>
    <w:rsid w:val="4DD3326D"/>
    <w:rsid w:val="4DE443C4"/>
    <w:rsid w:val="4DE4FC0F"/>
    <w:rsid w:val="4DE7F045"/>
    <w:rsid w:val="4DE8E46C"/>
    <w:rsid w:val="4DEAA04A"/>
    <w:rsid w:val="4DEDC6D2"/>
    <w:rsid w:val="4DEF7C15"/>
    <w:rsid w:val="4DFAEDD2"/>
    <w:rsid w:val="4E041D38"/>
    <w:rsid w:val="4E06758D"/>
    <w:rsid w:val="4E0E3863"/>
    <w:rsid w:val="4E1694CF"/>
    <w:rsid w:val="4E1C0640"/>
    <w:rsid w:val="4E2019B3"/>
    <w:rsid w:val="4E21E18F"/>
    <w:rsid w:val="4E33034C"/>
    <w:rsid w:val="4E3512B6"/>
    <w:rsid w:val="4E438B85"/>
    <w:rsid w:val="4E5548CB"/>
    <w:rsid w:val="4E61A63D"/>
    <w:rsid w:val="4E658F0C"/>
    <w:rsid w:val="4E67826B"/>
    <w:rsid w:val="4E6C9734"/>
    <w:rsid w:val="4E77EA5E"/>
    <w:rsid w:val="4E8032A9"/>
    <w:rsid w:val="4E805605"/>
    <w:rsid w:val="4E9777CD"/>
    <w:rsid w:val="4E97DD7B"/>
    <w:rsid w:val="4EA0A317"/>
    <w:rsid w:val="4EA73256"/>
    <w:rsid w:val="4EA98611"/>
    <w:rsid w:val="4EAE8185"/>
    <w:rsid w:val="4EBA65A1"/>
    <w:rsid w:val="4EBF3B85"/>
    <w:rsid w:val="4EC3875D"/>
    <w:rsid w:val="4EC3FAA3"/>
    <w:rsid w:val="4EC6D10F"/>
    <w:rsid w:val="4ED3D167"/>
    <w:rsid w:val="4ED68DE2"/>
    <w:rsid w:val="4EDEF1F7"/>
    <w:rsid w:val="4EDF8323"/>
    <w:rsid w:val="4EE53A2F"/>
    <w:rsid w:val="4EEF8A65"/>
    <w:rsid w:val="4EF2814B"/>
    <w:rsid w:val="4EF7F254"/>
    <w:rsid w:val="4F08CA82"/>
    <w:rsid w:val="4F0D2041"/>
    <w:rsid w:val="4F101287"/>
    <w:rsid w:val="4F18B6AC"/>
    <w:rsid w:val="4F1A29B7"/>
    <w:rsid w:val="4F223611"/>
    <w:rsid w:val="4F2919C3"/>
    <w:rsid w:val="4F2966C0"/>
    <w:rsid w:val="4F2C2E6A"/>
    <w:rsid w:val="4F2FDE24"/>
    <w:rsid w:val="4F36B294"/>
    <w:rsid w:val="4F37D9B3"/>
    <w:rsid w:val="4F44D998"/>
    <w:rsid w:val="4F462946"/>
    <w:rsid w:val="4F479C0F"/>
    <w:rsid w:val="4F48CD6C"/>
    <w:rsid w:val="4F5A0A1D"/>
    <w:rsid w:val="4F62AD26"/>
    <w:rsid w:val="4F6777B0"/>
    <w:rsid w:val="4F7A3F8D"/>
    <w:rsid w:val="4F8531B6"/>
    <w:rsid w:val="4F8B88E8"/>
    <w:rsid w:val="4F8FC634"/>
    <w:rsid w:val="4F92E748"/>
    <w:rsid w:val="4F983EA2"/>
    <w:rsid w:val="4F9BBA4A"/>
    <w:rsid w:val="4FA7B040"/>
    <w:rsid w:val="4FB19918"/>
    <w:rsid w:val="4FBEF2EF"/>
    <w:rsid w:val="4FBFDA75"/>
    <w:rsid w:val="4FC3C606"/>
    <w:rsid w:val="4FC4904D"/>
    <w:rsid w:val="4FD30B1A"/>
    <w:rsid w:val="4FD4D3C7"/>
    <w:rsid w:val="4FE8E380"/>
    <w:rsid w:val="4FE92E13"/>
    <w:rsid w:val="4FEB31DC"/>
    <w:rsid w:val="4FF3AB38"/>
    <w:rsid w:val="4FF8A5EB"/>
    <w:rsid w:val="4FF8A6B6"/>
    <w:rsid w:val="500170D8"/>
    <w:rsid w:val="50049EFB"/>
    <w:rsid w:val="5004D60A"/>
    <w:rsid w:val="50061B78"/>
    <w:rsid w:val="50095C74"/>
    <w:rsid w:val="500B3069"/>
    <w:rsid w:val="500F7148"/>
    <w:rsid w:val="50131D7E"/>
    <w:rsid w:val="5014D54F"/>
    <w:rsid w:val="50168EC9"/>
    <w:rsid w:val="501FB3F7"/>
    <w:rsid w:val="502C1C0D"/>
    <w:rsid w:val="50384009"/>
    <w:rsid w:val="50406C73"/>
    <w:rsid w:val="5050935F"/>
    <w:rsid w:val="5057A258"/>
    <w:rsid w:val="505A96A9"/>
    <w:rsid w:val="506052B1"/>
    <w:rsid w:val="506A6A4B"/>
    <w:rsid w:val="5076A62D"/>
    <w:rsid w:val="507968EE"/>
    <w:rsid w:val="507B5976"/>
    <w:rsid w:val="508B0686"/>
    <w:rsid w:val="508DF00D"/>
    <w:rsid w:val="50946BD0"/>
    <w:rsid w:val="5095EA64"/>
    <w:rsid w:val="5095FD0F"/>
    <w:rsid w:val="50B4D739"/>
    <w:rsid w:val="50BECB11"/>
    <w:rsid w:val="50C78C7D"/>
    <w:rsid w:val="50C79A83"/>
    <w:rsid w:val="50CA3521"/>
    <w:rsid w:val="50D257F2"/>
    <w:rsid w:val="50D289E4"/>
    <w:rsid w:val="50D344BA"/>
    <w:rsid w:val="50D85F78"/>
    <w:rsid w:val="50DA4540"/>
    <w:rsid w:val="50EFFCDA"/>
    <w:rsid w:val="50F34F14"/>
    <w:rsid w:val="50F88654"/>
    <w:rsid w:val="510E10A7"/>
    <w:rsid w:val="510E9AE4"/>
    <w:rsid w:val="5111DA0D"/>
    <w:rsid w:val="5112C0B5"/>
    <w:rsid w:val="511F5220"/>
    <w:rsid w:val="51321250"/>
    <w:rsid w:val="5135CA04"/>
    <w:rsid w:val="513657B0"/>
    <w:rsid w:val="51365DA9"/>
    <w:rsid w:val="5137C7E5"/>
    <w:rsid w:val="5142E9C8"/>
    <w:rsid w:val="51489E0B"/>
    <w:rsid w:val="514A22B7"/>
    <w:rsid w:val="514EAE4A"/>
    <w:rsid w:val="514FB373"/>
    <w:rsid w:val="51531606"/>
    <w:rsid w:val="51555CEE"/>
    <w:rsid w:val="51572070"/>
    <w:rsid w:val="515DBE80"/>
    <w:rsid w:val="51629AF4"/>
    <w:rsid w:val="51680A3F"/>
    <w:rsid w:val="5168885B"/>
    <w:rsid w:val="5169DD2E"/>
    <w:rsid w:val="5178AE2C"/>
    <w:rsid w:val="517BC077"/>
    <w:rsid w:val="5181C588"/>
    <w:rsid w:val="5182ED46"/>
    <w:rsid w:val="518C6060"/>
    <w:rsid w:val="518F6AA0"/>
    <w:rsid w:val="5199DCEB"/>
    <w:rsid w:val="519AF5E4"/>
    <w:rsid w:val="519C71CB"/>
    <w:rsid w:val="51A231BA"/>
    <w:rsid w:val="51A34EA7"/>
    <w:rsid w:val="51A52DE8"/>
    <w:rsid w:val="51B88383"/>
    <w:rsid w:val="51C0E078"/>
    <w:rsid w:val="51C35F36"/>
    <w:rsid w:val="51C5F6EC"/>
    <w:rsid w:val="51C60F85"/>
    <w:rsid w:val="51C6F596"/>
    <w:rsid w:val="51C7B62E"/>
    <w:rsid w:val="51CD6ECE"/>
    <w:rsid w:val="51DB86D8"/>
    <w:rsid w:val="51DBF6DF"/>
    <w:rsid w:val="51DE807B"/>
    <w:rsid w:val="51E0BF22"/>
    <w:rsid w:val="51E1C0BB"/>
    <w:rsid w:val="51E4524E"/>
    <w:rsid w:val="51E5FF34"/>
    <w:rsid w:val="51E93885"/>
    <w:rsid w:val="51F45E15"/>
    <w:rsid w:val="51F5D919"/>
    <w:rsid w:val="51FF88CD"/>
    <w:rsid w:val="5200D25D"/>
    <w:rsid w:val="52012852"/>
    <w:rsid w:val="52042078"/>
    <w:rsid w:val="520DDA25"/>
    <w:rsid w:val="521E5886"/>
    <w:rsid w:val="5223D4C4"/>
    <w:rsid w:val="5225C301"/>
    <w:rsid w:val="522BB94A"/>
    <w:rsid w:val="523E2FDD"/>
    <w:rsid w:val="5240229E"/>
    <w:rsid w:val="524087FE"/>
    <w:rsid w:val="52480460"/>
    <w:rsid w:val="5249EA27"/>
    <w:rsid w:val="524F089B"/>
    <w:rsid w:val="5251B2C8"/>
    <w:rsid w:val="5255E00C"/>
    <w:rsid w:val="52576E37"/>
    <w:rsid w:val="5258689B"/>
    <w:rsid w:val="5259D017"/>
    <w:rsid w:val="525DA8B7"/>
    <w:rsid w:val="5269A29D"/>
    <w:rsid w:val="526B8DE5"/>
    <w:rsid w:val="5272D468"/>
    <w:rsid w:val="52802A04"/>
    <w:rsid w:val="528374A2"/>
    <w:rsid w:val="528556DD"/>
    <w:rsid w:val="5285D035"/>
    <w:rsid w:val="52873B27"/>
    <w:rsid w:val="528916A6"/>
    <w:rsid w:val="528AD4DC"/>
    <w:rsid w:val="52932FB3"/>
    <w:rsid w:val="52934F1C"/>
    <w:rsid w:val="529BD8F7"/>
    <w:rsid w:val="529CAE8C"/>
    <w:rsid w:val="52A9CE01"/>
    <w:rsid w:val="52B0B8E8"/>
    <w:rsid w:val="52B0BA69"/>
    <w:rsid w:val="52C29C2D"/>
    <w:rsid w:val="52C3CA73"/>
    <w:rsid w:val="52E08580"/>
    <w:rsid w:val="52E22B97"/>
    <w:rsid w:val="52EA7069"/>
    <w:rsid w:val="52EB6040"/>
    <w:rsid w:val="53072304"/>
    <w:rsid w:val="531149BA"/>
    <w:rsid w:val="53226138"/>
    <w:rsid w:val="53256EBE"/>
    <w:rsid w:val="53265957"/>
    <w:rsid w:val="5327D048"/>
    <w:rsid w:val="5333D7A3"/>
    <w:rsid w:val="5335700A"/>
    <w:rsid w:val="53475FEE"/>
    <w:rsid w:val="53494887"/>
    <w:rsid w:val="534A0D06"/>
    <w:rsid w:val="534E4166"/>
    <w:rsid w:val="5353093C"/>
    <w:rsid w:val="5362F626"/>
    <w:rsid w:val="53678A24"/>
    <w:rsid w:val="536CA629"/>
    <w:rsid w:val="5370FC8E"/>
    <w:rsid w:val="53843D00"/>
    <w:rsid w:val="538F431A"/>
    <w:rsid w:val="53A44775"/>
    <w:rsid w:val="53A5BF1B"/>
    <w:rsid w:val="53A77139"/>
    <w:rsid w:val="53ABFFA6"/>
    <w:rsid w:val="53ACB9CA"/>
    <w:rsid w:val="53AFE38D"/>
    <w:rsid w:val="53B44374"/>
    <w:rsid w:val="53BD6053"/>
    <w:rsid w:val="53BD9487"/>
    <w:rsid w:val="53CB9AB2"/>
    <w:rsid w:val="53CD14B8"/>
    <w:rsid w:val="53D1E02D"/>
    <w:rsid w:val="53D48C11"/>
    <w:rsid w:val="53D7BF63"/>
    <w:rsid w:val="53D915FD"/>
    <w:rsid w:val="53E65CEF"/>
    <w:rsid w:val="53E78BB7"/>
    <w:rsid w:val="53EC5F30"/>
    <w:rsid w:val="53EECA2D"/>
    <w:rsid w:val="53EEFAE5"/>
    <w:rsid w:val="53F21A24"/>
    <w:rsid w:val="53F7EF4A"/>
    <w:rsid w:val="53F8D44B"/>
    <w:rsid w:val="5400CCE9"/>
    <w:rsid w:val="5414E3B6"/>
    <w:rsid w:val="5417B15A"/>
    <w:rsid w:val="541F9EAB"/>
    <w:rsid w:val="543096AE"/>
    <w:rsid w:val="54320CB0"/>
    <w:rsid w:val="543703C7"/>
    <w:rsid w:val="54458596"/>
    <w:rsid w:val="544A1694"/>
    <w:rsid w:val="5455A4F5"/>
    <w:rsid w:val="5456F2E2"/>
    <w:rsid w:val="545FD295"/>
    <w:rsid w:val="546BA58E"/>
    <w:rsid w:val="546D6AC6"/>
    <w:rsid w:val="546FA5C3"/>
    <w:rsid w:val="5471B364"/>
    <w:rsid w:val="54755825"/>
    <w:rsid w:val="547A0CED"/>
    <w:rsid w:val="5480D075"/>
    <w:rsid w:val="5481AFCA"/>
    <w:rsid w:val="548239D5"/>
    <w:rsid w:val="548C4FB9"/>
    <w:rsid w:val="548E083D"/>
    <w:rsid w:val="5491D9B5"/>
    <w:rsid w:val="5493D986"/>
    <w:rsid w:val="54994515"/>
    <w:rsid w:val="549D2BA9"/>
    <w:rsid w:val="54AD2A28"/>
    <w:rsid w:val="54AF932E"/>
    <w:rsid w:val="54B40286"/>
    <w:rsid w:val="54B9F7D5"/>
    <w:rsid w:val="54BA5D7B"/>
    <w:rsid w:val="54CD218F"/>
    <w:rsid w:val="54D05494"/>
    <w:rsid w:val="54D5A9FE"/>
    <w:rsid w:val="54D9FA30"/>
    <w:rsid w:val="54DB5E29"/>
    <w:rsid w:val="54DD38D7"/>
    <w:rsid w:val="54E08D0C"/>
    <w:rsid w:val="54E0BD69"/>
    <w:rsid w:val="54E2D856"/>
    <w:rsid w:val="54E99B84"/>
    <w:rsid w:val="54EA11C7"/>
    <w:rsid w:val="54EF45C2"/>
    <w:rsid w:val="54F5B898"/>
    <w:rsid w:val="550B61B6"/>
    <w:rsid w:val="5513F2F6"/>
    <w:rsid w:val="5517FBE6"/>
    <w:rsid w:val="551F6DE6"/>
    <w:rsid w:val="552F08E9"/>
    <w:rsid w:val="552FFE45"/>
    <w:rsid w:val="55359C60"/>
    <w:rsid w:val="5536D5DE"/>
    <w:rsid w:val="554304DA"/>
    <w:rsid w:val="55464566"/>
    <w:rsid w:val="5566A48C"/>
    <w:rsid w:val="5566DF10"/>
    <w:rsid w:val="556C45FD"/>
    <w:rsid w:val="556DDCCC"/>
    <w:rsid w:val="5578C1C3"/>
    <w:rsid w:val="557B9481"/>
    <w:rsid w:val="557BD8D2"/>
    <w:rsid w:val="558013A2"/>
    <w:rsid w:val="558C88FF"/>
    <w:rsid w:val="558CF6DA"/>
    <w:rsid w:val="5597C5C0"/>
    <w:rsid w:val="55A780F5"/>
    <w:rsid w:val="55BB735E"/>
    <w:rsid w:val="55C2A10A"/>
    <w:rsid w:val="55C6AA7B"/>
    <w:rsid w:val="55C9DF3C"/>
    <w:rsid w:val="55CF1EBE"/>
    <w:rsid w:val="55DAC644"/>
    <w:rsid w:val="55F33360"/>
    <w:rsid w:val="55F45D43"/>
    <w:rsid w:val="55F902ED"/>
    <w:rsid w:val="55FAE259"/>
    <w:rsid w:val="55FB0B44"/>
    <w:rsid w:val="55FC1730"/>
    <w:rsid w:val="56059B23"/>
    <w:rsid w:val="5610541E"/>
    <w:rsid w:val="56230102"/>
    <w:rsid w:val="565A5142"/>
    <w:rsid w:val="565EF9F1"/>
    <w:rsid w:val="565F710A"/>
    <w:rsid w:val="566A9BB4"/>
    <w:rsid w:val="566C308C"/>
    <w:rsid w:val="5684E662"/>
    <w:rsid w:val="5696CF76"/>
    <w:rsid w:val="569F4FE1"/>
    <w:rsid w:val="56A0EE1E"/>
    <w:rsid w:val="56A77D13"/>
    <w:rsid w:val="56B72B89"/>
    <w:rsid w:val="56BA43A1"/>
    <w:rsid w:val="56BB7118"/>
    <w:rsid w:val="56C2EDE9"/>
    <w:rsid w:val="56C4CF6C"/>
    <w:rsid w:val="56C72D48"/>
    <w:rsid w:val="56CAC345"/>
    <w:rsid w:val="56CFF0C3"/>
    <w:rsid w:val="56DEFE8D"/>
    <w:rsid w:val="56E939E8"/>
    <w:rsid w:val="56EE8612"/>
    <w:rsid w:val="56F0DC86"/>
    <w:rsid w:val="56F92AF3"/>
    <w:rsid w:val="56FB22A0"/>
    <w:rsid w:val="56FCA15E"/>
    <w:rsid w:val="56FE8A29"/>
    <w:rsid w:val="570ECFDF"/>
    <w:rsid w:val="5711346C"/>
    <w:rsid w:val="571ABE22"/>
    <w:rsid w:val="573935D1"/>
    <w:rsid w:val="573BB145"/>
    <w:rsid w:val="573E87CE"/>
    <w:rsid w:val="5745DEAF"/>
    <w:rsid w:val="5746290D"/>
    <w:rsid w:val="57592F49"/>
    <w:rsid w:val="576304FA"/>
    <w:rsid w:val="57634E8E"/>
    <w:rsid w:val="576A680E"/>
    <w:rsid w:val="57708D1B"/>
    <w:rsid w:val="5773A972"/>
    <w:rsid w:val="5777F249"/>
    <w:rsid w:val="577DF7D8"/>
    <w:rsid w:val="577FAC22"/>
    <w:rsid w:val="578B224C"/>
    <w:rsid w:val="578FE0CF"/>
    <w:rsid w:val="579C7763"/>
    <w:rsid w:val="579DF4BB"/>
    <w:rsid w:val="57A2EDC6"/>
    <w:rsid w:val="57B03B7B"/>
    <w:rsid w:val="57B938A9"/>
    <w:rsid w:val="57BA3A86"/>
    <w:rsid w:val="57C16BCA"/>
    <w:rsid w:val="57C44E28"/>
    <w:rsid w:val="57C5127D"/>
    <w:rsid w:val="57D5E7EA"/>
    <w:rsid w:val="57D81202"/>
    <w:rsid w:val="57EC58E1"/>
    <w:rsid w:val="57F9C8A5"/>
    <w:rsid w:val="57FECD40"/>
    <w:rsid w:val="5805F4C4"/>
    <w:rsid w:val="58197C0E"/>
    <w:rsid w:val="58206E25"/>
    <w:rsid w:val="5832FFA1"/>
    <w:rsid w:val="583C7B5E"/>
    <w:rsid w:val="583F843D"/>
    <w:rsid w:val="58442CF6"/>
    <w:rsid w:val="585397D4"/>
    <w:rsid w:val="5860A441"/>
    <w:rsid w:val="587086D7"/>
    <w:rsid w:val="5875132E"/>
    <w:rsid w:val="587E3AC0"/>
    <w:rsid w:val="5884D8AC"/>
    <w:rsid w:val="5886DA3E"/>
    <w:rsid w:val="588717D5"/>
    <w:rsid w:val="588F50BE"/>
    <w:rsid w:val="589D8F65"/>
    <w:rsid w:val="58A8AEAB"/>
    <w:rsid w:val="58AA08A1"/>
    <w:rsid w:val="58ACA1BF"/>
    <w:rsid w:val="58B17D4C"/>
    <w:rsid w:val="58CE0089"/>
    <w:rsid w:val="58D04881"/>
    <w:rsid w:val="58D08A25"/>
    <w:rsid w:val="58DDA825"/>
    <w:rsid w:val="58E06E4E"/>
    <w:rsid w:val="58E54747"/>
    <w:rsid w:val="58EFD3E1"/>
    <w:rsid w:val="58F82BBD"/>
    <w:rsid w:val="58F86A2B"/>
    <w:rsid w:val="5901654C"/>
    <w:rsid w:val="59019A05"/>
    <w:rsid w:val="59058E4E"/>
    <w:rsid w:val="590DEDF1"/>
    <w:rsid w:val="59220F0C"/>
    <w:rsid w:val="592C44D6"/>
    <w:rsid w:val="593D0D34"/>
    <w:rsid w:val="5940DBE9"/>
    <w:rsid w:val="59436693"/>
    <w:rsid w:val="59474676"/>
    <w:rsid w:val="59488171"/>
    <w:rsid w:val="594D1E6A"/>
    <w:rsid w:val="594D6B36"/>
    <w:rsid w:val="59501D2B"/>
    <w:rsid w:val="595AA1C4"/>
    <w:rsid w:val="59606ED3"/>
    <w:rsid w:val="59616941"/>
    <w:rsid w:val="5961C298"/>
    <w:rsid w:val="59674AA9"/>
    <w:rsid w:val="596FA15E"/>
    <w:rsid w:val="597493DA"/>
    <w:rsid w:val="5977C66A"/>
    <w:rsid w:val="59830451"/>
    <w:rsid w:val="598A0BAF"/>
    <w:rsid w:val="59936ABA"/>
    <w:rsid w:val="5993D327"/>
    <w:rsid w:val="59AA0C26"/>
    <w:rsid w:val="59B7FD2B"/>
    <w:rsid w:val="59B8117D"/>
    <w:rsid w:val="59BBCB98"/>
    <w:rsid w:val="59BC7E4E"/>
    <w:rsid w:val="59C0139B"/>
    <w:rsid w:val="59C7E621"/>
    <w:rsid w:val="59CF917D"/>
    <w:rsid w:val="59D42547"/>
    <w:rsid w:val="59E004CA"/>
    <w:rsid w:val="59F09A17"/>
    <w:rsid w:val="59F81355"/>
    <w:rsid w:val="59FA38BE"/>
    <w:rsid w:val="5A0825E2"/>
    <w:rsid w:val="5A0B7459"/>
    <w:rsid w:val="5A1497C5"/>
    <w:rsid w:val="5A271887"/>
    <w:rsid w:val="5A30DA09"/>
    <w:rsid w:val="5A33B384"/>
    <w:rsid w:val="5A3642A9"/>
    <w:rsid w:val="5A378BFC"/>
    <w:rsid w:val="5A379C29"/>
    <w:rsid w:val="5A40B6F8"/>
    <w:rsid w:val="5A446197"/>
    <w:rsid w:val="5A447F0C"/>
    <w:rsid w:val="5A48E96A"/>
    <w:rsid w:val="5A4D601C"/>
    <w:rsid w:val="5A5061C3"/>
    <w:rsid w:val="5A600FC8"/>
    <w:rsid w:val="5A63898F"/>
    <w:rsid w:val="5A6C8218"/>
    <w:rsid w:val="5A774C9C"/>
    <w:rsid w:val="5A876DED"/>
    <w:rsid w:val="5A896701"/>
    <w:rsid w:val="5A924D0C"/>
    <w:rsid w:val="5A96122D"/>
    <w:rsid w:val="5A9E258E"/>
    <w:rsid w:val="5A9E6101"/>
    <w:rsid w:val="5A9F769D"/>
    <w:rsid w:val="5AA1A8C1"/>
    <w:rsid w:val="5AA5375B"/>
    <w:rsid w:val="5AA7B6DC"/>
    <w:rsid w:val="5AA94CF6"/>
    <w:rsid w:val="5AAE7E46"/>
    <w:rsid w:val="5AB54B7A"/>
    <w:rsid w:val="5AC8530D"/>
    <w:rsid w:val="5ACD4B5F"/>
    <w:rsid w:val="5AD02614"/>
    <w:rsid w:val="5AD64D3B"/>
    <w:rsid w:val="5AD6A3C2"/>
    <w:rsid w:val="5ADA6C01"/>
    <w:rsid w:val="5AE127E8"/>
    <w:rsid w:val="5AEA3B3B"/>
    <w:rsid w:val="5AEA4D13"/>
    <w:rsid w:val="5AEA89C6"/>
    <w:rsid w:val="5AEFC6A3"/>
    <w:rsid w:val="5B0C1873"/>
    <w:rsid w:val="5B106AF4"/>
    <w:rsid w:val="5B14B2BB"/>
    <w:rsid w:val="5B159E3C"/>
    <w:rsid w:val="5B1BF291"/>
    <w:rsid w:val="5B20020D"/>
    <w:rsid w:val="5B29525F"/>
    <w:rsid w:val="5B2F9A3C"/>
    <w:rsid w:val="5B4522F4"/>
    <w:rsid w:val="5B49396A"/>
    <w:rsid w:val="5B4D9510"/>
    <w:rsid w:val="5B4FA79B"/>
    <w:rsid w:val="5B51C88F"/>
    <w:rsid w:val="5B5FFBB6"/>
    <w:rsid w:val="5B6459DA"/>
    <w:rsid w:val="5B67D48A"/>
    <w:rsid w:val="5B7013EF"/>
    <w:rsid w:val="5B76AF91"/>
    <w:rsid w:val="5B85D0A5"/>
    <w:rsid w:val="5B89E95A"/>
    <w:rsid w:val="5B8F168B"/>
    <w:rsid w:val="5B94FF71"/>
    <w:rsid w:val="5BA2EBF5"/>
    <w:rsid w:val="5BA579A2"/>
    <w:rsid w:val="5BA861D7"/>
    <w:rsid w:val="5BB0E630"/>
    <w:rsid w:val="5BB4588D"/>
    <w:rsid w:val="5BB4784E"/>
    <w:rsid w:val="5BB9F759"/>
    <w:rsid w:val="5BC03258"/>
    <w:rsid w:val="5BC8D86E"/>
    <w:rsid w:val="5BC9CBB8"/>
    <w:rsid w:val="5BDADA17"/>
    <w:rsid w:val="5BE9DD48"/>
    <w:rsid w:val="5C020801"/>
    <w:rsid w:val="5C18A005"/>
    <w:rsid w:val="5C1F09A2"/>
    <w:rsid w:val="5C22808F"/>
    <w:rsid w:val="5C3787EA"/>
    <w:rsid w:val="5C3B7B7C"/>
    <w:rsid w:val="5C41039F"/>
    <w:rsid w:val="5C4BE3CB"/>
    <w:rsid w:val="5C4C1A78"/>
    <w:rsid w:val="5C4FFDC5"/>
    <w:rsid w:val="5C579369"/>
    <w:rsid w:val="5C5810D4"/>
    <w:rsid w:val="5C65B051"/>
    <w:rsid w:val="5C68E93D"/>
    <w:rsid w:val="5C6C9EF8"/>
    <w:rsid w:val="5C7EDD2B"/>
    <w:rsid w:val="5C8747F0"/>
    <w:rsid w:val="5C8E4F26"/>
    <w:rsid w:val="5C93230B"/>
    <w:rsid w:val="5C942DF8"/>
    <w:rsid w:val="5C9520E0"/>
    <w:rsid w:val="5C9B2D64"/>
    <w:rsid w:val="5C9DACE5"/>
    <w:rsid w:val="5CAA3ADA"/>
    <w:rsid w:val="5CBF77BB"/>
    <w:rsid w:val="5CC0699B"/>
    <w:rsid w:val="5CC080F2"/>
    <w:rsid w:val="5CCAC17A"/>
    <w:rsid w:val="5CCFA572"/>
    <w:rsid w:val="5CD10F2D"/>
    <w:rsid w:val="5CD27A8D"/>
    <w:rsid w:val="5CDAA0BB"/>
    <w:rsid w:val="5CDB871F"/>
    <w:rsid w:val="5CDFF051"/>
    <w:rsid w:val="5CE392A0"/>
    <w:rsid w:val="5CE9ADD4"/>
    <w:rsid w:val="5CEF6D57"/>
    <w:rsid w:val="5CF0CE52"/>
    <w:rsid w:val="5CF1B00B"/>
    <w:rsid w:val="5CF36C5A"/>
    <w:rsid w:val="5CF4DC7F"/>
    <w:rsid w:val="5CF7A503"/>
    <w:rsid w:val="5D03D456"/>
    <w:rsid w:val="5D0CFB79"/>
    <w:rsid w:val="5D17A58C"/>
    <w:rsid w:val="5D17FB45"/>
    <w:rsid w:val="5D1A80BC"/>
    <w:rsid w:val="5D2613AB"/>
    <w:rsid w:val="5D2D2C40"/>
    <w:rsid w:val="5D2E0062"/>
    <w:rsid w:val="5D4303E4"/>
    <w:rsid w:val="5D4F3E66"/>
    <w:rsid w:val="5D4FFF31"/>
    <w:rsid w:val="5D52AEAA"/>
    <w:rsid w:val="5D5A59AC"/>
    <w:rsid w:val="5D66B868"/>
    <w:rsid w:val="5D77903A"/>
    <w:rsid w:val="5D8D8552"/>
    <w:rsid w:val="5D919AC8"/>
    <w:rsid w:val="5DA40F0F"/>
    <w:rsid w:val="5DA50142"/>
    <w:rsid w:val="5DAADF05"/>
    <w:rsid w:val="5DAD1646"/>
    <w:rsid w:val="5DB7CA91"/>
    <w:rsid w:val="5DBE0B88"/>
    <w:rsid w:val="5DC067B3"/>
    <w:rsid w:val="5DC41FC7"/>
    <w:rsid w:val="5DC56F1E"/>
    <w:rsid w:val="5DC7FCFC"/>
    <w:rsid w:val="5DCF5B67"/>
    <w:rsid w:val="5DD3494B"/>
    <w:rsid w:val="5DD601C3"/>
    <w:rsid w:val="5DD652F6"/>
    <w:rsid w:val="5DD69139"/>
    <w:rsid w:val="5DDEADFF"/>
    <w:rsid w:val="5DDEB8DA"/>
    <w:rsid w:val="5DE005A9"/>
    <w:rsid w:val="5DF143BD"/>
    <w:rsid w:val="5DFAC11B"/>
    <w:rsid w:val="5E00951F"/>
    <w:rsid w:val="5E0EDD8A"/>
    <w:rsid w:val="5E100AFC"/>
    <w:rsid w:val="5E1A481F"/>
    <w:rsid w:val="5E1A5E2F"/>
    <w:rsid w:val="5E1E1366"/>
    <w:rsid w:val="5E1E7A98"/>
    <w:rsid w:val="5E276265"/>
    <w:rsid w:val="5E287CA5"/>
    <w:rsid w:val="5E2C5DAA"/>
    <w:rsid w:val="5E3260B7"/>
    <w:rsid w:val="5E332533"/>
    <w:rsid w:val="5E34EEE3"/>
    <w:rsid w:val="5E36CD52"/>
    <w:rsid w:val="5E4E4A64"/>
    <w:rsid w:val="5E51D528"/>
    <w:rsid w:val="5E563259"/>
    <w:rsid w:val="5E58275A"/>
    <w:rsid w:val="5E5F6179"/>
    <w:rsid w:val="5E673AFE"/>
    <w:rsid w:val="5E709BC0"/>
    <w:rsid w:val="5E71FD32"/>
    <w:rsid w:val="5E738E88"/>
    <w:rsid w:val="5E7D36CA"/>
    <w:rsid w:val="5E9B4C55"/>
    <w:rsid w:val="5E9C50A3"/>
    <w:rsid w:val="5E9CC786"/>
    <w:rsid w:val="5EA21416"/>
    <w:rsid w:val="5EA2D8B0"/>
    <w:rsid w:val="5EA30729"/>
    <w:rsid w:val="5EA5620B"/>
    <w:rsid w:val="5EA7D148"/>
    <w:rsid w:val="5EA96CDB"/>
    <w:rsid w:val="5EB4F859"/>
    <w:rsid w:val="5EBAA1A1"/>
    <w:rsid w:val="5EDE54D6"/>
    <w:rsid w:val="5EE42E7B"/>
    <w:rsid w:val="5EE463EB"/>
    <w:rsid w:val="5EEC4920"/>
    <w:rsid w:val="5EED3CC4"/>
    <w:rsid w:val="5EF18131"/>
    <w:rsid w:val="5EF78B0C"/>
    <w:rsid w:val="5EF79BEA"/>
    <w:rsid w:val="5EF836F9"/>
    <w:rsid w:val="5EFAEAA5"/>
    <w:rsid w:val="5F10137B"/>
    <w:rsid w:val="5F10245F"/>
    <w:rsid w:val="5F138524"/>
    <w:rsid w:val="5F17AFEA"/>
    <w:rsid w:val="5F19EC0B"/>
    <w:rsid w:val="5F1EB4CA"/>
    <w:rsid w:val="5F214198"/>
    <w:rsid w:val="5F3D3B5E"/>
    <w:rsid w:val="5F43E2CA"/>
    <w:rsid w:val="5F486924"/>
    <w:rsid w:val="5F516BC1"/>
    <w:rsid w:val="5F5952A8"/>
    <w:rsid w:val="5F62725C"/>
    <w:rsid w:val="5F6B55F6"/>
    <w:rsid w:val="5F707F0C"/>
    <w:rsid w:val="5F71D224"/>
    <w:rsid w:val="5F7313D9"/>
    <w:rsid w:val="5F737D65"/>
    <w:rsid w:val="5F7E2F50"/>
    <w:rsid w:val="5F7EBF64"/>
    <w:rsid w:val="5F81BBCC"/>
    <w:rsid w:val="5F82B388"/>
    <w:rsid w:val="5F8551A2"/>
    <w:rsid w:val="5F87CBD2"/>
    <w:rsid w:val="5F8DF949"/>
    <w:rsid w:val="5F96CA45"/>
    <w:rsid w:val="5F98F843"/>
    <w:rsid w:val="5FA12962"/>
    <w:rsid w:val="5FA2BD13"/>
    <w:rsid w:val="5FA8570C"/>
    <w:rsid w:val="5FAAD61B"/>
    <w:rsid w:val="5FB20BEF"/>
    <w:rsid w:val="5FB55096"/>
    <w:rsid w:val="5FB61201"/>
    <w:rsid w:val="5FB74955"/>
    <w:rsid w:val="5FC2B137"/>
    <w:rsid w:val="5FC717B2"/>
    <w:rsid w:val="5FCFC73E"/>
    <w:rsid w:val="5FDC165E"/>
    <w:rsid w:val="5FDF4097"/>
    <w:rsid w:val="5FE2A338"/>
    <w:rsid w:val="5FF64603"/>
    <w:rsid w:val="5FF8C164"/>
    <w:rsid w:val="5FF9FE7E"/>
    <w:rsid w:val="5FFCEEDE"/>
    <w:rsid w:val="600CD98A"/>
    <w:rsid w:val="600F0FE5"/>
    <w:rsid w:val="600F41C4"/>
    <w:rsid w:val="6011D029"/>
    <w:rsid w:val="6011E4BF"/>
    <w:rsid w:val="6014EBA1"/>
    <w:rsid w:val="6017AAE2"/>
    <w:rsid w:val="6018DEE6"/>
    <w:rsid w:val="601D1710"/>
    <w:rsid w:val="601EE802"/>
    <w:rsid w:val="60219C7B"/>
    <w:rsid w:val="60223CF0"/>
    <w:rsid w:val="60243E6C"/>
    <w:rsid w:val="6024BC30"/>
    <w:rsid w:val="602DBC29"/>
    <w:rsid w:val="6031020C"/>
    <w:rsid w:val="60349F32"/>
    <w:rsid w:val="60391BA4"/>
    <w:rsid w:val="60401B7E"/>
    <w:rsid w:val="6040A040"/>
    <w:rsid w:val="60469F3B"/>
    <w:rsid w:val="6047B612"/>
    <w:rsid w:val="604C322E"/>
    <w:rsid w:val="6056C910"/>
    <w:rsid w:val="605871E1"/>
    <w:rsid w:val="605941C8"/>
    <w:rsid w:val="605FA16F"/>
    <w:rsid w:val="60614F8A"/>
    <w:rsid w:val="606B19C6"/>
    <w:rsid w:val="606B1C7A"/>
    <w:rsid w:val="606E3C79"/>
    <w:rsid w:val="606E46B1"/>
    <w:rsid w:val="6071279C"/>
    <w:rsid w:val="6080344C"/>
    <w:rsid w:val="608A66F0"/>
    <w:rsid w:val="608F502D"/>
    <w:rsid w:val="60904CB9"/>
    <w:rsid w:val="6094B826"/>
    <w:rsid w:val="60C22749"/>
    <w:rsid w:val="60DA8646"/>
    <w:rsid w:val="60DECB81"/>
    <w:rsid w:val="60E4E832"/>
    <w:rsid w:val="60E74EA4"/>
    <w:rsid w:val="60EFC045"/>
    <w:rsid w:val="60F65115"/>
    <w:rsid w:val="60F87719"/>
    <w:rsid w:val="61018E90"/>
    <w:rsid w:val="61029A14"/>
    <w:rsid w:val="610C990A"/>
    <w:rsid w:val="61116CF3"/>
    <w:rsid w:val="61138372"/>
    <w:rsid w:val="6117A66B"/>
    <w:rsid w:val="6119275A"/>
    <w:rsid w:val="611E85AB"/>
    <w:rsid w:val="613475E1"/>
    <w:rsid w:val="61375A38"/>
    <w:rsid w:val="61392BF7"/>
    <w:rsid w:val="615F5B96"/>
    <w:rsid w:val="61611AAA"/>
    <w:rsid w:val="6173946F"/>
    <w:rsid w:val="6182B7F2"/>
    <w:rsid w:val="61918400"/>
    <w:rsid w:val="61984FFB"/>
    <w:rsid w:val="619D5CB4"/>
    <w:rsid w:val="61A292F0"/>
    <w:rsid w:val="61A8733F"/>
    <w:rsid w:val="61AB14D9"/>
    <w:rsid w:val="61B08D89"/>
    <w:rsid w:val="61BBCDF1"/>
    <w:rsid w:val="61C12A18"/>
    <w:rsid w:val="61C9BAC1"/>
    <w:rsid w:val="61D545E6"/>
    <w:rsid w:val="61DF371C"/>
    <w:rsid w:val="61E60C88"/>
    <w:rsid w:val="61F48FB7"/>
    <w:rsid w:val="61F880B3"/>
    <w:rsid w:val="61FFC13B"/>
    <w:rsid w:val="6204FCE0"/>
    <w:rsid w:val="62165619"/>
    <w:rsid w:val="621C04AD"/>
    <w:rsid w:val="622B4536"/>
    <w:rsid w:val="623809F8"/>
    <w:rsid w:val="624BEE4E"/>
    <w:rsid w:val="624DEAE1"/>
    <w:rsid w:val="6250D599"/>
    <w:rsid w:val="6256542D"/>
    <w:rsid w:val="6263B08B"/>
    <w:rsid w:val="626736FC"/>
    <w:rsid w:val="626C6864"/>
    <w:rsid w:val="626E6F51"/>
    <w:rsid w:val="626EBDAC"/>
    <w:rsid w:val="62818497"/>
    <w:rsid w:val="628321E4"/>
    <w:rsid w:val="628623E8"/>
    <w:rsid w:val="6287FBB5"/>
    <w:rsid w:val="628AED7B"/>
    <w:rsid w:val="629AB4B6"/>
    <w:rsid w:val="62A046C0"/>
    <w:rsid w:val="62ABBB37"/>
    <w:rsid w:val="62AE1BF9"/>
    <w:rsid w:val="62B9FCF0"/>
    <w:rsid w:val="62C0FBF3"/>
    <w:rsid w:val="62C4A69B"/>
    <w:rsid w:val="62C66318"/>
    <w:rsid w:val="62CF1015"/>
    <w:rsid w:val="62D2F2D5"/>
    <w:rsid w:val="62D8D53F"/>
    <w:rsid w:val="62EA015D"/>
    <w:rsid w:val="62FCE9FD"/>
    <w:rsid w:val="630ADC3E"/>
    <w:rsid w:val="630BAFA5"/>
    <w:rsid w:val="6312EAC6"/>
    <w:rsid w:val="6315C43D"/>
    <w:rsid w:val="63182E70"/>
    <w:rsid w:val="631D34BC"/>
    <w:rsid w:val="631ED381"/>
    <w:rsid w:val="6320EB43"/>
    <w:rsid w:val="63271A9C"/>
    <w:rsid w:val="633313D7"/>
    <w:rsid w:val="633AAC21"/>
    <w:rsid w:val="633C0699"/>
    <w:rsid w:val="633EC8AB"/>
    <w:rsid w:val="6346B11B"/>
    <w:rsid w:val="63495BF2"/>
    <w:rsid w:val="635069E1"/>
    <w:rsid w:val="63548639"/>
    <w:rsid w:val="636327E2"/>
    <w:rsid w:val="63681270"/>
    <w:rsid w:val="6370E664"/>
    <w:rsid w:val="6374A548"/>
    <w:rsid w:val="63854D83"/>
    <w:rsid w:val="6390E28A"/>
    <w:rsid w:val="63921647"/>
    <w:rsid w:val="6394FB3F"/>
    <w:rsid w:val="63981882"/>
    <w:rsid w:val="63985010"/>
    <w:rsid w:val="63990107"/>
    <w:rsid w:val="639B5113"/>
    <w:rsid w:val="639BAAFD"/>
    <w:rsid w:val="639C6DC4"/>
    <w:rsid w:val="63AB87CD"/>
    <w:rsid w:val="63B3A6A0"/>
    <w:rsid w:val="63C0E040"/>
    <w:rsid w:val="63C7CD59"/>
    <w:rsid w:val="63CAB597"/>
    <w:rsid w:val="63D1D779"/>
    <w:rsid w:val="63D22E68"/>
    <w:rsid w:val="63D70B66"/>
    <w:rsid w:val="63D9E23C"/>
    <w:rsid w:val="63E2B3B2"/>
    <w:rsid w:val="63F059CF"/>
    <w:rsid w:val="640769F2"/>
    <w:rsid w:val="640C215E"/>
    <w:rsid w:val="6411F6E3"/>
    <w:rsid w:val="641EBA4F"/>
    <w:rsid w:val="6434050A"/>
    <w:rsid w:val="6436F117"/>
    <w:rsid w:val="64392F52"/>
    <w:rsid w:val="643ED5F1"/>
    <w:rsid w:val="6440A18C"/>
    <w:rsid w:val="6443235B"/>
    <w:rsid w:val="644841B2"/>
    <w:rsid w:val="644CFF43"/>
    <w:rsid w:val="64589FE7"/>
    <w:rsid w:val="64622E6F"/>
    <w:rsid w:val="6466A28E"/>
    <w:rsid w:val="646E4A35"/>
    <w:rsid w:val="647091E8"/>
    <w:rsid w:val="6470E5F8"/>
    <w:rsid w:val="64713BD4"/>
    <w:rsid w:val="647DF052"/>
    <w:rsid w:val="64800A56"/>
    <w:rsid w:val="648A4A01"/>
    <w:rsid w:val="648B59FC"/>
    <w:rsid w:val="648B8810"/>
    <w:rsid w:val="64984CD9"/>
    <w:rsid w:val="649AD0C9"/>
    <w:rsid w:val="64A7746E"/>
    <w:rsid w:val="64AB9984"/>
    <w:rsid w:val="64AC49E0"/>
    <w:rsid w:val="64AE787D"/>
    <w:rsid w:val="64AEC60E"/>
    <w:rsid w:val="64B12344"/>
    <w:rsid w:val="64BBB047"/>
    <w:rsid w:val="64BE7B21"/>
    <w:rsid w:val="64BEB3D1"/>
    <w:rsid w:val="64C0B9AC"/>
    <w:rsid w:val="64D07F2B"/>
    <w:rsid w:val="64D1111E"/>
    <w:rsid w:val="64D67C82"/>
    <w:rsid w:val="64D7E71B"/>
    <w:rsid w:val="64EA67D3"/>
    <w:rsid w:val="64EDFEF4"/>
    <w:rsid w:val="64F881D3"/>
    <w:rsid w:val="65047623"/>
    <w:rsid w:val="65092381"/>
    <w:rsid w:val="65103E48"/>
    <w:rsid w:val="651C30BF"/>
    <w:rsid w:val="651CC40E"/>
    <w:rsid w:val="651DD2D5"/>
    <w:rsid w:val="65383E25"/>
    <w:rsid w:val="653A0DEC"/>
    <w:rsid w:val="653FBFA4"/>
    <w:rsid w:val="654C9030"/>
    <w:rsid w:val="6568F8B5"/>
    <w:rsid w:val="65699D3B"/>
    <w:rsid w:val="656E1A60"/>
    <w:rsid w:val="6572B8BA"/>
    <w:rsid w:val="657F8FF4"/>
    <w:rsid w:val="6581B086"/>
    <w:rsid w:val="6584CC43"/>
    <w:rsid w:val="65882E23"/>
    <w:rsid w:val="65889848"/>
    <w:rsid w:val="658CD393"/>
    <w:rsid w:val="65957AF6"/>
    <w:rsid w:val="659D0A5F"/>
    <w:rsid w:val="659FB4BD"/>
    <w:rsid w:val="65A84D91"/>
    <w:rsid w:val="65AB5D23"/>
    <w:rsid w:val="65AE9628"/>
    <w:rsid w:val="65B4D102"/>
    <w:rsid w:val="65BB8A09"/>
    <w:rsid w:val="65C95EB9"/>
    <w:rsid w:val="65CD458E"/>
    <w:rsid w:val="65CD5C2B"/>
    <w:rsid w:val="65D4FFB3"/>
    <w:rsid w:val="65D83596"/>
    <w:rsid w:val="65D8FA41"/>
    <w:rsid w:val="65DE00F3"/>
    <w:rsid w:val="65E275D1"/>
    <w:rsid w:val="65E29654"/>
    <w:rsid w:val="65E66548"/>
    <w:rsid w:val="65F22BA1"/>
    <w:rsid w:val="65F2C665"/>
    <w:rsid w:val="65FF9496"/>
    <w:rsid w:val="660D3A13"/>
    <w:rsid w:val="660EE23F"/>
    <w:rsid w:val="661B2996"/>
    <w:rsid w:val="662E99CE"/>
    <w:rsid w:val="663550B6"/>
    <w:rsid w:val="6641EFC9"/>
    <w:rsid w:val="665B1F2E"/>
    <w:rsid w:val="665F55D9"/>
    <w:rsid w:val="66628EE7"/>
    <w:rsid w:val="66643F6D"/>
    <w:rsid w:val="66687937"/>
    <w:rsid w:val="666E2A16"/>
    <w:rsid w:val="667E6236"/>
    <w:rsid w:val="66819C89"/>
    <w:rsid w:val="66895F1B"/>
    <w:rsid w:val="6689EBC0"/>
    <w:rsid w:val="66A3F378"/>
    <w:rsid w:val="66A71490"/>
    <w:rsid w:val="66AD096D"/>
    <w:rsid w:val="66B1068A"/>
    <w:rsid w:val="66B1F3D9"/>
    <w:rsid w:val="66CF9331"/>
    <w:rsid w:val="66D68CEA"/>
    <w:rsid w:val="66D942A8"/>
    <w:rsid w:val="66DD5640"/>
    <w:rsid w:val="66E2D164"/>
    <w:rsid w:val="66E7D19F"/>
    <w:rsid w:val="66E9715E"/>
    <w:rsid w:val="66EF4F9C"/>
    <w:rsid w:val="66F36248"/>
    <w:rsid w:val="66F9F987"/>
    <w:rsid w:val="66FD3ED5"/>
    <w:rsid w:val="66FE632F"/>
    <w:rsid w:val="67047210"/>
    <w:rsid w:val="6707194B"/>
    <w:rsid w:val="670B683E"/>
    <w:rsid w:val="670D144A"/>
    <w:rsid w:val="67179DA0"/>
    <w:rsid w:val="671CF15D"/>
    <w:rsid w:val="671D0742"/>
    <w:rsid w:val="671D35FD"/>
    <w:rsid w:val="672082D3"/>
    <w:rsid w:val="672F9024"/>
    <w:rsid w:val="67378679"/>
    <w:rsid w:val="673AB4CA"/>
    <w:rsid w:val="673EC3E8"/>
    <w:rsid w:val="67425E2D"/>
    <w:rsid w:val="6749488B"/>
    <w:rsid w:val="675FA0C6"/>
    <w:rsid w:val="67717D68"/>
    <w:rsid w:val="677C78CA"/>
    <w:rsid w:val="677F2C5A"/>
    <w:rsid w:val="6783ED9F"/>
    <w:rsid w:val="6785227C"/>
    <w:rsid w:val="678BFF2D"/>
    <w:rsid w:val="6793E588"/>
    <w:rsid w:val="67989997"/>
    <w:rsid w:val="679A52BB"/>
    <w:rsid w:val="67A23137"/>
    <w:rsid w:val="67A5BC95"/>
    <w:rsid w:val="67A5F53C"/>
    <w:rsid w:val="67A70FAC"/>
    <w:rsid w:val="67A8F139"/>
    <w:rsid w:val="67ACA4F4"/>
    <w:rsid w:val="67B00113"/>
    <w:rsid w:val="67B247B5"/>
    <w:rsid w:val="67B717D0"/>
    <w:rsid w:val="67BC463F"/>
    <w:rsid w:val="67C7D179"/>
    <w:rsid w:val="67C922D0"/>
    <w:rsid w:val="67D429EE"/>
    <w:rsid w:val="67D48688"/>
    <w:rsid w:val="67E31F0C"/>
    <w:rsid w:val="67E98B98"/>
    <w:rsid w:val="67F31D4A"/>
    <w:rsid w:val="67F439DC"/>
    <w:rsid w:val="67F88341"/>
    <w:rsid w:val="680AF649"/>
    <w:rsid w:val="680D67F4"/>
    <w:rsid w:val="68148773"/>
    <w:rsid w:val="681ECAF5"/>
    <w:rsid w:val="68209758"/>
    <w:rsid w:val="6821D639"/>
    <w:rsid w:val="6827C9BF"/>
    <w:rsid w:val="682A14DF"/>
    <w:rsid w:val="682D1C4D"/>
    <w:rsid w:val="682D8275"/>
    <w:rsid w:val="682DD63A"/>
    <w:rsid w:val="683E0675"/>
    <w:rsid w:val="6840171C"/>
    <w:rsid w:val="68496042"/>
    <w:rsid w:val="684A6BEF"/>
    <w:rsid w:val="684DAF43"/>
    <w:rsid w:val="68562BD0"/>
    <w:rsid w:val="685A7719"/>
    <w:rsid w:val="685AF383"/>
    <w:rsid w:val="685F3F49"/>
    <w:rsid w:val="6862F0EF"/>
    <w:rsid w:val="68633847"/>
    <w:rsid w:val="686D715C"/>
    <w:rsid w:val="6873E062"/>
    <w:rsid w:val="6879155F"/>
    <w:rsid w:val="6886DCF5"/>
    <w:rsid w:val="688B71D1"/>
    <w:rsid w:val="688EF42B"/>
    <w:rsid w:val="6899B144"/>
    <w:rsid w:val="68C1D9D3"/>
    <w:rsid w:val="68CF48F4"/>
    <w:rsid w:val="68D28285"/>
    <w:rsid w:val="68D91967"/>
    <w:rsid w:val="68E5305F"/>
    <w:rsid w:val="68E8FB0D"/>
    <w:rsid w:val="68EDA0A5"/>
    <w:rsid w:val="68F11AAD"/>
    <w:rsid w:val="68F2DB94"/>
    <w:rsid w:val="6906C0D2"/>
    <w:rsid w:val="69075108"/>
    <w:rsid w:val="69097680"/>
    <w:rsid w:val="690B63B4"/>
    <w:rsid w:val="6911E55D"/>
    <w:rsid w:val="69156BF3"/>
    <w:rsid w:val="691962A9"/>
    <w:rsid w:val="691E6B12"/>
    <w:rsid w:val="691E6D64"/>
    <w:rsid w:val="6920A1F0"/>
    <w:rsid w:val="692D287A"/>
    <w:rsid w:val="692FF6C7"/>
    <w:rsid w:val="69330CFB"/>
    <w:rsid w:val="693E53DB"/>
    <w:rsid w:val="693F08F1"/>
    <w:rsid w:val="69410578"/>
    <w:rsid w:val="694A797D"/>
    <w:rsid w:val="6952B67A"/>
    <w:rsid w:val="6963A1DA"/>
    <w:rsid w:val="69694E69"/>
    <w:rsid w:val="69701F30"/>
    <w:rsid w:val="6973D94B"/>
    <w:rsid w:val="697413CA"/>
    <w:rsid w:val="69774850"/>
    <w:rsid w:val="697969C1"/>
    <w:rsid w:val="697CFBB6"/>
    <w:rsid w:val="6985FA8F"/>
    <w:rsid w:val="698F5F27"/>
    <w:rsid w:val="6993AE8F"/>
    <w:rsid w:val="69A19E49"/>
    <w:rsid w:val="69AFBBF2"/>
    <w:rsid w:val="69B4FDC7"/>
    <w:rsid w:val="69B8CBF6"/>
    <w:rsid w:val="69C661C6"/>
    <w:rsid w:val="69CD0292"/>
    <w:rsid w:val="69D43D6C"/>
    <w:rsid w:val="69D604D1"/>
    <w:rsid w:val="69D7DFFA"/>
    <w:rsid w:val="69DAA43F"/>
    <w:rsid w:val="69DB56FD"/>
    <w:rsid w:val="69DD352F"/>
    <w:rsid w:val="69DF66BB"/>
    <w:rsid w:val="69E8ED36"/>
    <w:rsid w:val="69F0EA67"/>
    <w:rsid w:val="69F3AE5C"/>
    <w:rsid w:val="69F89F91"/>
    <w:rsid w:val="6A0A370F"/>
    <w:rsid w:val="6A0B113B"/>
    <w:rsid w:val="6A16A12F"/>
    <w:rsid w:val="6A1A7226"/>
    <w:rsid w:val="6A22DA98"/>
    <w:rsid w:val="6A2A3F09"/>
    <w:rsid w:val="6A2E9E84"/>
    <w:rsid w:val="6A3404B3"/>
    <w:rsid w:val="6A3712FE"/>
    <w:rsid w:val="6A45B9FF"/>
    <w:rsid w:val="6A4A8C6A"/>
    <w:rsid w:val="6A558C9E"/>
    <w:rsid w:val="6A59A68F"/>
    <w:rsid w:val="6A5B9276"/>
    <w:rsid w:val="6A5C3170"/>
    <w:rsid w:val="6A5D11F7"/>
    <w:rsid w:val="6A622917"/>
    <w:rsid w:val="6A6B2BC7"/>
    <w:rsid w:val="6A6FA364"/>
    <w:rsid w:val="6A78AC1E"/>
    <w:rsid w:val="6A7A7534"/>
    <w:rsid w:val="6A8FD48A"/>
    <w:rsid w:val="6A94AB54"/>
    <w:rsid w:val="6A9DE847"/>
    <w:rsid w:val="6AAC6E81"/>
    <w:rsid w:val="6AB202EF"/>
    <w:rsid w:val="6AB52FBC"/>
    <w:rsid w:val="6AB69E68"/>
    <w:rsid w:val="6AB8A9D7"/>
    <w:rsid w:val="6ABC7251"/>
    <w:rsid w:val="6AC98005"/>
    <w:rsid w:val="6AD9A81F"/>
    <w:rsid w:val="6ADD5794"/>
    <w:rsid w:val="6AE445B6"/>
    <w:rsid w:val="6AE5FB06"/>
    <w:rsid w:val="6AEA01FA"/>
    <w:rsid w:val="6AEC02F8"/>
    <w:rsid w:val="6AEDDFA9"/>
    <w:rsid w:val="6AF29F55"/>
    <w:rsid w:val="6AF2A148"/>
    <w:rsid w:val="6AF61BD3"/>
    <w:rsid w:val="6AF74E66"/>
    <w:rsid w:val="6B096D1E"/>
    <w:rsid w:val="6B2404EA"/>
    <w:rsid w:val="6B2C95A9"/>
    <w:rsid w:val="6B32D5DA"/>
    <w:rsid w:val="6B344FA7"/>
    <w:rsid w:val="6B387017"/>
    <w:rsid w:val="6B44CA9D"/>
    <w:rsid w:val="6B4BAEA4"/>
    <w:rsid w:val="6B50CE28"/>
    <w:rsid w:val="6B5A18ED"/>
    <w:rsid w:val="6B5D4078"/>
    <w:rsid w:val="6B6846DE"/>
    <w:rsid w:val="6B698070"/>
    <w:rsid w:val="6B701BFE"/>
    <w:rsid w:val="6B7284E9"/>
    <w:rsid w:val="6B7321C4"/>
    <w:rsid w:val="6B8AB1D3"/>
    <w:rsid w:val="6B93A7A2"/>
    <w:rsid w:val="6B9AD909"/>
    <w:rsid w:val="6BA8B872"/>
    <w:rsid w:val="6BAB5A6B"/>
    <w:rsid w:val="6BBD4AEB"/>
    <w:rsid w:val="6BE65641"/>
    <w:rsid w:val="6BF56BDB"/>
    <w:rsid w:val="6C0C9A10"/>
    <w:rsid w:val="6C107255"/>
    <w:rsid w:val="6C13FC31"/>
    <w:rsid w:val="6C182990"/>
    <w:rsid w:val="6C1F971D"/>
    <w:rsid w:val="6C2049FD"/>
    <w:rsid w:val="6C25184F"/>
    <w:rsid w:val="6C25887A"/>
    <w:rsid w:val="6C279702"/>
    <w:rsid w:val="6C32C659"/>
    <w:rsid w:val="6C3CB3A5"/>
    <w:rsid w:val="6C3EDCF2"/>
    <w:rsid w:val="6C49C03F"/>
    <w:rsid w:val="6C4CD64D"/>
    <w:rsid w:val="6C4E6368"/>
    <w:rsid w:val="6C58C6D2"/>
    <w:rsid w:val="6C600EC6"/>
    <w:rsid w:val="6C702899"/>
    <w:rsid w:val="6C8FF482"/>
    <w:rsid w:val="6C91E6DC"/>
    <w:rsid w:val="6C960F2C"/>
    <w:rsid w:val="6CA079F8"/>
    <w:rsid w:val="6CB62C20"/>
    <w:rsid w:val="6CB8E17C"/>
    <w:rsid w:val="6CBF6D98"/>
    <w:rsid w:val="6CC8F0F9"/>
    <w:rsid w:val="6CCF1318"/>
    <w:rsid w:val="6CD46B04"/>
    <w:rsid w:val="6CE296B3"/>
    <w:rsid w:val="6CE871DD"/>
    <w:rsid w:val="6CE99770"/>
    <w:rsid w:val="6CFAFA33"/>
    <w:rsid w:val="6CFD9C4D"/>
    <w:rsid w:val="6CFE399B"/>
    <w:rsid w:val="6CFE8A76"/>
    <w:rsid w:val="6D05FFDF"/>
    <w:rsid w:val="6D0F8808"/>
    <w:rsid w:val="6D0FCD7E"/>
    <w:rsid w:val="6D135CD9"/>
    <w:rsid w:val="6D136843"/>
    <w:rsid w:val="6D1848A7"/>
    <w:rsid w:val="6D2692A8"/>
    <w:rsid w:val="6D2AA2AE"/>
    <w:rsid w:val="6D2DA987"/>
    <w:rsid w:val="6D3FFC9B"/>
    <w:rsid w:val="6D4289BE"/>
    <w:rsid w:val="6D517027"/>
    <w:rsid w:val="6D60162B"/>
    <w:rsid w:val="6D61F791"/>
    <w:rsid w:val="6D63AD54"/>
    <w:rsid w:val="6D644985"/>
    <w:rsid w:val="6D6AD35B"/>
    <w:rsid w:val="6D6E4C8D"/>
    <w:rsid w:val="6D77E417"/>
    <w:rsid w:val="6D812AE1"/>
    <w:rsid w:val="6D82687B"/>
    <w:rsid w:val="6D8634CC"/>
    <w:rsid w:val="6D870A4A"/>
    <w:rsid w:val="6D8A5E0D"/>
    <w:rsid w:val="6D994E62"/>
    <w:rsid w:val="6D9CA5F9"/>
    <w:rsid w:val="6D9D71AF"/>
    <w:rsid w:val="6D9EFB2A"/>
    <w:rsid w:val="6DA5AEFC"/>
    <w:rsid w:val="6DA75516"/>
    <w:rsid w:val="6DAA3C23"/>
    <w:rsid w:val="6DAAEE1C"/>
    <w:rsid w:val="6DB45C7E"/>
    <w:rsid w:val="6DC2CAB8"/>
    <w:rsid w:val="6DC546DC"/>
    <w:rsid w:val="6DCDC84E"/>
    <w:rsid w:val="6DD85A68"/>
    <w:rsid w:val="6DD922DF"/>
    <w:rsid w:val="6DE1EBE4"/>
    <w:rsid w:val="6DE4B6B8"/>
    <w:rsid w:val="6DE5B349"/>
    <w:rsid w:val="6DE7B22F"/>
    <w:rsid w:val="6DEC4F3B"/>
    <w:rsid w:val="6DF55FB2"/>
    <w:rsid w:val="6E00BEB7"/>
    <w:rsid w:val="6E018FE0"/>
    <w:rsid w:val="6E01DE5C"/>
    <w:rsid w:val="6E02BD8B"/>
    <w:rsid w:val="6E047C4D"/>
    <w:rsid w:val="6E0524CF"/>
    <w:rsid w:val="6E07F4E2"/>
    <w:rsid w:val="6E25F2A5"/>
    <w:rsid w:val="6E3392F9"/>
    <w:rsid w:val="6E3638D4"/>
    <w:rsid w:val="6E384135"/>
    <w:rsid w:val="6E3AB68F"/>
    <w:rsid w:val="6E40440B"/>
    <w:rsid w:val="6E464C9E"/>
    <w:rsid w:val="6E4ED801"/>
    <w:rsid w:val="6E50AD65"/>
    <w:rsid w:val="6E5EF13D"/>
    <w:rsid w:val="6E646863"/>
    <w:rsid w:val="6E6914D7"/>
    <w:rsid w:val="6E72C419"/>
    <w:rsid w:val="6E74DE45"/>
    <w:rsid w:val="6E84EACE"/>
    <w:rsid w:val="6E87C122"/>
    <w:rsid w:val="6E8E05DB"/>
    <w:rsid w:val="6E94DD96"/>
    <w:rsid w:val="6E95D8F9"/>
    <w:rsid w:val="6E976B8B"/>
    <w:rsid w:val="6E9B913A"/>
    <w:rsid w:val="6EA5110E"/>
    <w:rsid w:val="6EAAE602"/>
    <w:rsid w:val="6EAED4F2"/>
    <w:rsid w:val="6EB49C86"/>
    <w:rsid w:val="6EBAAC2E"/>
    <w:rsid w:val="6EBFA968"/>
    <w:rsid w:val="6EC39AD8"/>
    <w:rsid w:val="6ED7CF19"/>
    <w:rsid w:val="6EDA5ED6"/>
    <w:rsid w:val="6EDCB50D"/>
    <w:rsid w:val="6EE7C056"/>
    <w:rsid w:val="6EF396BC"/>
    <w:rsid w:val="6EF52920"/>
    <w:rsid w:val="6EFA25DB"/>
    <w:rsid w:val="6EFAEB7B"/>
    <w:rsid w:val="6F069842"/>
    <w:rsid w:val="6F177D29"/>
    <w:rsid w:val="6F1D7D13"/>
    <w:rsid w:val="6F20CCFF"/>
    <w:rsid w:val="6F31C6A7"/>
    <w:rsid w:val="6F31EB6D"/>
    <w:rsid w:val="6F3318C9"/>
    <w:rsid w:val="6F3DC6B3"/>
    <w:rsid w:val="6F471CB0"/>
    <w:rsid w:val="6F4733D4"/>
    <w:rsid w:val="6F52BE42"/>
    <w:rsid w:val="6F54AF11"/>
    <w:rsid w:val="6F5BCF09"/>
    <w:rsid w:val="6F644918"/>
    <w:rsid w:val="6F7A3519"/>
    <w:rsid w:val="6F84770F"/>
    <w:rsid w:val="6F88A42D"/>
    <w:rsid w:val="6F8A0A64"/>
    <w:rsid w:val="6F8CD27C"/>
    <w:rsid w:val="6F8E22E0"/>
    <w:rsid w:val="6F9B5CB6"/>
    <w:rsid w:val="6FB030E9"/>
    <w:rsid w:val="6FB829E2"/>
    <w:rsid w:val="6FB92AA0"/>
    <w:rsid w:val="6FBA4271"/>
    <w:rsid w:val="6FBB0018"/>
    <w:rsid w:val="6FBF0D23"/>
    <w:rsid w:val="6FCA1734"/>
    <w:rsid w:val="6FCC45ED"/>
    <w:rsid w:val="6FD036E9"/>
    <w:rsid w:val="6FD43E14"/>
    <w:rsid w:val="6FD60136"/>
    <w:rsid w:val="6FDB73F7"/>
    <w:rsid w:val="6FDFA9E1"/>
    <w:rsid w:val="6FF0306F"/>
    <w:rsid w:val="6FF650E1"/>
    <w:rsid w:val="6FF6BDE5"/>
    <w:rsid w:val="6FFA8D44"/>
    <w:rsid w:val="7002F2F1"/>
    <w:rsid w:val="7004E538"/>
    <w:rsid w:val="70052815"/>
    <w:rsid w:val="7017C316"/>
    <w:rsid w:val="701BBFDF"/>
    <w:rsid w:val="701E0EA1"/>
    <w:rsid w:val="70278D34"/>
    <w:rsid w:val="7028DBE8"/>
    <w:rsid w:val="702E1EC4"/>
    <w:rsid w:val="7033273D"/>
    <w:rsid w:val="703555DC"/>
    <w:rsid w:val="70359279"/>
    <w:rsid w:val="703D5432"/>
    <w:rsid w:val="70461F50"/>
    <w:rsid w:val="7051B6CB"/>
    <w:rsid w:val="70567C8F"/>
    <w:rsid w:val="705B5462"/>
    <w:rsid w:val="705EB190"/>
    <w:rsid w:val="7060FA67"/>
    <w:rsid w:val="7064AA9F"/>
    <w:rsid w:val="7069C8B7"/>
    <w:rsid w:val="706A551C"/>
    <w:rsid w:val="706A87AD"/>
    <w:rsid w:val="7070E278"/>
    <w:rsid w:val="707AEFC7"/>
    <w:rsid w:val="70831A26"/>
    <w:rsid w:val="7087B370"/>
    <w:rsid w:val="708E464F"/>
    <w:rsid w:val="708F0558"/>
    <w:rsid w:val="7094F961"/>
    <w:rsid w:val="70B494A8"/>
    <w:rsid w:val="70D0E765"/>
    <w:rsid w:val="70D99714"/>
    <w:rsid w:val="70E30435"/>
    <w:rsid w:val="70E7BB63"/>
    <w:rsid w:val="70EA5819"/>
    <w:rsid w:val="70EA726D"/>
    <w:rsid w:val="70FE2654"/>
    <w:rsid w:val="71022153"/>
    <w:rsid w:val="7102C434"/>
    <w:rsid w:val="7106B516"/>
    <w:rsid w:val="710CF59D"/>
    <w:rsid w:val="710DD195"/>
    <w:rsid w:val="710FC479"/>
    <w:rsid w:val="71114E40"/>
    <w:rsid w:val="7116B7C5"/>
    <w:rsid w:val="711A899D"/>
    <w:rsid w:val="711EA924"/>
    <w:rsid w:val="7120789E"/>
    <w:rsid w:val="712AB919"/>
    <w:rsid w:val="712DA605"/>
    <w:rsid w:val="712E522D"/>
    <w:rsid w:val="71316DE6"/>
    <w:rsid w:val="71319B1F"/>
    <w:rsid w:val="713AF60F"/>
    <w:rsid w:val="713E4143"/>
    <w:rsid w:val="714004AE"/>
    <w:rsid w:val="71407309"/>
    <w:rsid w:val="71507DCB"/>
    <w:rsid w:val="7152FA14"/>
    <w:rsid w:val="715311BE"/>
    <w:rsid w:val="71558B62"/>
    <w:rsid w:val="71566565"/>
    <w:rsid w:val="71575B10"/>
    <w:rsid w:val="715E4669"/>
    <w:rsid w:val="71661AB5"/>
    <w:rsid w:val="7168771D"/>
    <w:rsid w:val="717A976A"/>
    <w:rsid w:val="717D0A6B"/>
    <w:rsid w:val="717FD090"/>
    <w:rsid w:val="7187FBBC"/>
    <w:rsid w:val="718BD1C7"/>
    <w:rsid w:val="718EB31D"/>
    <w:rsid w:val="7191497D"/>
    <w:rsid w:val="71981F3F"/>
    <w:rsid w:val="719A80C0"/>
    <w:rsid w:val="719B5639"/>
    <w:rsid w:val="719B95A7"/>
    <w:rsid w:val="71A277FD"/>
    <w:rsid w:val="71AC0439"/>
    <w:rsid w:val="71ADF306"/>
    <w:rsid w:val="71B44E78"/>
    <w:rsid w:val="71C00FAC"/>
    <w:rsid w:val="71C0BAED"/>
    <w:rsid w:val="71C5659D"/>
    <w:rsid w:val="71CBF3B4"/>
    <w:rsid w:val="71CEE1B2"/>
    <w:rsid w:val="71D078CC"/>
    <w:rsid w:val="71D47158"/>
    <w:rsid w:val="71DC43E3"/>
    <w:rsid w:val="71E1FE85"/>
    <w:rsid w:val="71E2F92B"/>
    <w:rsid w:val="71E5035C"/>
    <w:rsid w:val="71E547C1"/>
    <w:rsid w:val="71EDCB01"/>
    <w:rsid w:val="71F68A65"/>
    <w:rsid w:val="71FEC055"/>
    <w:rsid w:val="7204C821"/>
    <w:rsid w:val="7208CC50"/>
    <w:rsid w:val="720939C9"/>
    <w:rsid w:val="720CB2D9"/>
    <w:rsid w:val="7212578C"/>
    <w:rsid w:val="72169F58"/>
    <w:rsid w:val="7217ECEF"/>
    <w:rsid w:val="7219A2DF"/>
    <w:rsid w:val="722F7BEE"/>
    <w:rsid w:val="723D65E5"/>
    <w:rsid w:val="724BF78F"/>
    <w:rsid w:val="72503ED1"/>
    <w:rsid w:val="725EEF35"/>
    <w:rsid w:val="726B6757"/>
    <w:rsid w:val="726C93F4"/>
    <w:rsid w:val="72747743"/>
    <w:rsid w:val="72784F28"/>
    <w:rsid w:val="727AB2DF"/>
    <w:rsid w:val="72833DB5"/>
    <w:rsid w:val="72886335"/>
    <w:rsid w:val="72898446"/>
    <w:rsid w:val="72912982"/>
    <w:rsid w:val="7293449B"/>
    <w:rsid w:val="729612A7"/>
    <w:rsid w:val="72A4D0EC"/>
    <w:rsid w:val="72A54C6D"/>
    <w:rsid w:val="72AD1EA1"/>
    <w:rsid w:val="72AD2196"/>
    <w:rsid w:val="72B8C382"/>
    <w:rsid w:val="72BA24E2"/>
    <w:rsid w:val="72BC17D1"/>
    <w:rsid w:val="72C8CE8C"/>
    <w:rsid w:val="72C92D50"/>
    <w:rsid w:val="72D34081"/>
    <w:rsid w:val="72D8A687"/>
    <w:rsid w:val="72DB6CBB"/>
    <w:rsid w:val="72DC0568"/>
    <w:rsid w:val="72E1B64C"/>
    <w:rsid w:val="72E23738"/>
    <w:rsid w:val="72E8E36C"/>
    <w:rsid w:val="72E914E6"/>
    <w:rsid w:val="72EECA75"/>
    <w:rsid w:val="72F3A3CD"/>
    <w:rsid w:val="7300E31B"/>
    <w:rsid w:val="73089F7A"/>
    <w:rsid w:val="731AFF2A"/>
    <w:rsid w:val="731FC950"/>
    <w:rsid w:val="73202003"/>
    <w:rsid w:val="73224924"/>
    <w:rsid w:val="7326F44A"/>
    <w:rsid w:val="73329C46"/>
    <w:rsid w:val="733DBD3D"/>
    <w:rsid w:val="73412641"/>
    <w:rsid w:val="73478334"/>
    <w:rsid w:val="7351977D"/>
    <w:rsid w:val="735239E9"/>
    <w:rsid w:val="735E6201"/>
    <w:rsid w:val="735F9756"/>
    <w:rsid w:val="735FEC9A"/>
    <w:rsid w:val="73634EC9"/>
    <w:rsid w:val="736C41F9"/>
    <w:rsid w:val="7373C760"/>
    <w:rsid w:val="73753869"/>
    <w:rsid w:val="737E0D70"/>
    <w:rsid w:val="737E437C"/>
    <w:rsid w:val="73915334"/>
    <w:rsid w:val="73952897"/>
    <w:rsid w:val="739A2C10"/>
    <w:rsid w:val="739C6522"/>
    <w:rsid w:val="739D5498"/>
    <w:rsid w:val="73ACBEB4"/>
    <w:rsid w:val="73AF2CA6"/>
    <w:rsid w:val="73B00BD6"/>
    <w:rsid w:val="73BA9EF4"/>
    <w:rsid w:val="73ECFC3A"/>
    <w:rsid w:val="73EFBDDA"/>
    <w:rsid w:val="73F4DCD1"/>
    <w:rsid w:val="73F884ED"/>
    <w:rsid w:val="73FFFFD6"/>
    <w:rsid w:val="74005DFA"/>
    <w:rsid w:val="74022947"/>
    <w:rsid w:val="7402D89E"/>
    <w:rsid w:val="74075B2F"/>
    <w:rsid w:val="740AE4B8"/>
    <w:rsid w:val="740B47FE"/>
    <w:rsid w:val="741081CA"/>
    <w:rsid w:val="74158ACA"/>
    <w:rsid w:val="743686C0"/>
    <w:rsid w:val="743E2D85"/>
    <w:rsid w:val="743F8808"/>
    <w:rsid w:val="74444BE1"/>
    <w:rsid w:val="74457257"/>
    <w:rsid w:val="744A67C9"/>
    <w:rsid w:val="744CC506"/>
    <w:rsid w:val="744D59AA"/>
    <w:rsid w:val="745D52E2"/>
    <w:rsid w:val="74727A71"/>
    <w:rsid w:val="7473CE49"/>
    <w:rsid w:val="7479CFCD"/>
    <w:rsid w:val="747CC3D4"/>
    <w:rsid w:val="7488C261"/>
    <w:rsid w:val="7488D6C3"/>
    <w:rsid w:val="748A471B"/>
    <w:rsid w:val="748EF748"/>
    <w:rsid w:val="748F8DC5"/>
    <w:rsid w:val="749656B3"/>
    <w:rsid w:val="749C305E"/>
    <w:rsid w:val="74A99EAC"/>
    <w:rsid w:val="74AA77C3"/>
    <w:rsid w:val="74BD00C0"/>
    <w:rsid w:val="74BE2404"/>
    <w:rsid w:val="74C23F0E"/>
    <w:rsid w:val="74C563B0"/>
    <w:rsid w:val="74D33669"/>
    <w:rsid w:val="74DAF931"/>
    <w:rsid w:val="74E0CFC6"/>
    <w:rsid w:val="74EB963C"/>
    <w:rsid w:val="74F7DDFA"/>
    <w:rsid w:val="750422BE"/>
    <w:rsid w:val="752221A4"/>
    <w:rsid w:val="752D602E"/>
    <w:rsid w:val="75350378"/>
    <w:rsid w:val="753964D0"/>
    <w:rsid w:val="75543A32"/>
    <w:rsid w:val="755A3062"/>
    <w:rsid w:val="755CE8B6"/>
    <w:rsid w:val="755E882C"/>
    <w:rsid w:val="75698FF0"/>
    <w:rsid w:val="756BA8C1"/>
    <w:rsid w:val="756E0E3E"/>
    <w:rsid w:val="7570388D"/>
    <w:rsid w:val="7573010F"/>
    <w:rsid w:val="75771E01"/>
    <w:rsid w:val="7578D2F4"/>
    <w:rsid w:val="757BC931"/>
    <w:rsid w:val="757CC58B"/>
    <w:rsid w:val="757CE8B6"/>
    <w:rsid w:val="758822B0"/>
    <w:rsid w:val="7589E0AF"/>
    <w:rsid w:val="758D0B32"/>
    <w:rsid w:val="759008E2"/>
    <w:rsid w:val="75951CDA"/>
    <w:rsid w:val="759540B9"/>
    <w:rsid w:val="75976AFF"/>
    <w:rsid w:val="7599B342"/>
    <w:rsid w:val="759A9C12"/>
    <w:rsid w:val="759C7FFC"/>
    <w:rsid w:val="759E63C8"/>
    <w:rsid w:val="75A2357E"/>
    <w:rsid w:val="75A27157"/>
    <w:rsid w:val="75AA9D2B"/>
    <w:rsid w:val="75B1968F"/>
    <w:rsid w:val="75B6323D"/>
    <w:rsid w:val="75BBE995"/>
    <w:rsid w:val="75C24449"/>
    <w:rsid w:val="75C2D684"/>
    <w:rsid w:val="75CC8DE3"/>
    <w:rsid w:val="75CE50B0"/>
    <w:rsid w:val="75E35323"/>
    <w:rsid w:val="75E78AE1"/>
    <w:rsid w:val="75F23D06"/>
    <w:rsid w:val="75F74709"/>
    <w:rsid w:val="75F79511"/>
    <w:rsid w:val="75FA4891"/>
    <w:rsid w:val="76013E95"/>
    <w:rsid w:val="7602ED48"/>
    <w:rsid w:val="760F4015"/>
    <w:rsid w:val="7610065C"/>
    <w:rsid w:val="7612F56B"/>
    <w:rsid w:val="7614FE31"/>
    <w:rsid w:val="7615FF8A"/>
    <w:rsid w:val="76201EBA"/>
    <w:rsid w:val="7621C868"/>
    <w:rsid w:val="76245236"/>
    <w:rsid w:val="76258AC2"/>
    <w:rsid w:val="7627F1CE"/>
    <w:rsid w:val="763B2A82"/>
    <w:rsid w:val="763CA2FB"/>
    <w:rsid w:val="7659BB6A"/>
    <w:rsid w:val="765CEB07"/>
    <w:rsid w:val="766F2EED"/>
    <w:rsid w:val="7671C161"/>
    <w:rsid w:val="7674F032"/>
    <w:rsid w:val="76759503"/>
    <w:rsid w:val="767D0A86"/>
    <w:rsid w:val="76838DDD"/>
    <w:rsid w:val="76943F5F"/>
    <w:rsid w:val="76958B0E"/>
    <w:rsid w:val="76969702"/>
    <w:rsid w:val="76978753"/>
    <w:rsid w:val="769FE1E9"/>
    <w:rsid w:val="76A08C59"/>
    <w:rsid w:val="76A0B38E"/>
    <w:rsid w:val="76B182C6"/>
    <w:rsid w:val="76C48B0F"/>
    <w:rsid w:val="76CB6CAE"/>
    <w:rsid w:val="76D3BD1D"/>
    <w:rsid w:val="76D8D6CE"/>
    <w:rsid w:val="76D90C81"/>
    <w:rsid w:val="76DA7393"/>
    <w:rsid w:val="76DC233B"/>
    <w:rsid w:val="76E1F07B"/>
    <w:rsid w:val="76E22D47"/>
    <w:rsid w:val="76E2B2AC"/>
    <w:rsid w:val="76E45F76"/>
    <w:rsid w:val="76E63734"/>
    <w:rsid w:val="76E8D4D5"/>
    <w:rsid w:val="76ED7A42"/>
    <w:rsid w:val="76FF3ABE"/>
    <w:rsid w:val="77010D66"/>
    <w:rsid w:val="7709BD79"/>
    <w:rsid w:val="770CAEFA"/>
    <w:rsid w:val="770F0EC2"/>
    <w:rsid w:val="77101D51"/>
    <w:rsid w:val="771A08DC"/>
    <w:rsid w:val="771DC9F5"/>
    <w:rsid w:val="7728DB93"/>
    <w:rsid w:val="77304A12"/>
    <w:rsid w:val="7732CE0A"/>
    <w:rsid w:val="773F8814"/>
    <w:rsid w:val="774050FB"/>
    <w:rsid w:val="7742A31C"/>
    <w:rsid w:val="7743E1A3"/>
    <w:rsid w:val="774635F7"/>
    <w:rsid w:val="774A8AB6"/>
    <w:rsid w:val="77576F8A"/>
    <w:rsid w:val="775E14AA"/>
    <w:rsid w:val="776B7EB4"/>
    <w:rsid w:val="777D1319"/>
    <w:rsid w:val="778043C9"/>
    <w:rsid w:val="7780B6AE"/>
    <w:rsid w:val="77844E1E"/>
    <w:rsid w:val="7787900F"/>
    <w:rsid w:val="778CF84F"/>
    <w:rsid w:val="7791A0EF"/>
    <w:rsid w:val="779982F2"/>
    <w:rsid w:val="779D0EF6"/>
    <w:rsid w:val="77A3AC70"/>
    <w:rsid w:val="77A3C378"/>
    <w:rsid w:val="77B0CE92"/>
    <w:rsid w:val="77BECFC9"/>
    <w:rsid w:val="77BFFAE9"/>
    <w:rsid w:val="77C6980A"/>
    <w:rsid w:val="77CA5DB1"/>
    <w:rsid w:val="77D09061"/>
    <w:rsid w:val="77D20688"/>
    <w:rsid w:val="77D8BE73"/>
    <w:rsid w:val="77EFB00B"/>
    <w:rsid w:val="77F16F60"/>
    <w:rsid w:val="77FFF94E"/>
    <w:rsid w:val="78013D6A"/>
    <w:rsid w:val="780B8809"/>
    <w:rsid w:val="78216A1C"/>
    <w:rsid w:val="782B1AE2"/>
    <w:rsid w:val="782DA78C"/>
    <w:rsid w:val="78352759"/>
    <w:rsid w:val="7836DB05"/>
    <w:rsid w:val="783B19A9"/>
    <w:rsid w:val="7844B7E6"/>
    <w:rsid w:val="78497890"/>
    <w:rsid w:val="7856213E"/>
    <w:rsid w:val="7858BB96"/>
    <w:rsid w:val="78598CC0"/>
    <w:rsid w:val="7860842C"/>
    <w:rsid w:val="78655395"/>
    <w:rsid w:val="786A4B79"/>
    <w:rsid w:val="786EFBB7"/>
    <w:rsid w:val="78758FEF"/>
    <w:rsid w:val="78765980"/>
    <w:rsid w:val="787ED855"/>
    <w:rsid w:val="78806AD4"/>
    <w:rsid w:val="78825CB2"/>
    <w:rsid w:val="788CDD33"/>
    <w:rsid w:val="7891E709"/>
    <w:rsid w:val="789566B6"/>
    <w:rsid w:val="7897D007"/>
    <w:rsid w:val="7899CDEB"/>
    <w:rsid w:val="789D6354"/>
    <w:rsid w:val="78A43978"/>
    <w:rsid w:val="78AB812C"/>
    <w:rsid w:val="78B5E364"/>
    <w:rsid w:val="78BC2CAD"/>
    <w:rsid w:val="78CCE17B"/>
    <w:rsid w:val="78CE2C58"/>
    <w:rsid w:val="78D55CB6"/>
    <w:rsid w:val="78DCDD6B"/>
    <w:rsid w:val="78E4EE4F"/>
    <w:rsid w:val="78E6E727"/>
    <w:rsid w:val="78E78447"/>
    <w:rsid w:val="78E8AD42"/>
    <w:rsid w:val="78EBAF67"/>
    <w:rsid w:val="78F45A34"/>
    <w:rsid w:val="78FDB88C"/>
    <w:rsid w:val="7918E37A"/>
    <w:rsid w:val="7919F64A"/>
    <w:rsid w:val="791BC123"/>
    <w:rsid w:val="79212C57"/>
    <w:rsid w:val="7923DDCD"/>
    <w:rsid w:val="792AE269"/>
    <w:rsid w:val="792EE110"/>
    <w:rsid w:val="79370CDD"/>
    <w:rsid w:val="7937D4BA"/>
    <w:rsid w:val="793BD0A7"/>
    <w:rsid w:val="793C01A4"/>
    <w:rsid w:val="79470413"/>
    <w:rsid w:val="794996FE"/>
    <w:rsid w:val="79547906"/>
    <w:rsid w:val="795A7C27"/>
    <w:rsid w:val="796035A3"/>
    <w:rsid w:val="79688ACD"/>
    <w:rsid w:val="796FA181"/>
    <w:rsid w:val="7979BD0A"/>
    <w:rsid w:val="7982E162"/>
    <w:rsid w:val="7983BCD7"/>
    <w:rsid w:val="798A67B2"/>
    <w:rsid w:val="799AC5F2"/>
    <w:rsid w:val="799FAAFB"/>
    <w:rsid w:val="79A373BB"/>
    <w:rsid w:val="79A7586A"/>
    <w:rsid w:val="79AA18BA"/>
    <w:rsid w:val="79ABB4B9"/>
    <w:rsid w:val="79AD8A20"/>
    <w:rsid w:val="79AFE938"/>
    <w:rsid w:val="79B33C12"/>
    <w:rsid w:val="79B7BDF9"/>
    <w:rsid w:val="79C18288"/>
    <w:rsid w:val="79C2E497"/>
    <w:rsid w:val="79C61EB6"/>
    <w:rsid w:val="79C7C266"/>
    <w:rsid w:val="79CABE63"/>
    <w:rsid w:val="79CE4A01"/>
    <w:rsid w:val="79D605EC"/>
    <w:rsid w:val="79E9D259"/>
    <w:rsid w:val="79ED05C3"/>
    <w:rsid w:val="79F04624"/>
    <w:rsid w:val="79F40489"/>
    <w:rsid w:val="79F756FE"/>
    <w:rsid w:val="79FADB28"/>
    <w:rsid w:val="79FB51B1"/>
    <w:rsid w:val="7A04E1BA"/>
    <w:rsid w:val="7A0658CD"/>
    <w:rsid w:val="7A0CC2F2"/>
    <w:rsid w:val="7A0FBC13"/>
    <w:rsid w:val="7A1267E9"/>
    <w:rsid w:val="7A1716EE"/>
    <w:rsid w:val="7A1920FA"/>
    <w:rsid w:val="7A1C9A54"/>
    <w:rsid w:val="7A1D3AAF"/>
    <w:rsid w:val="7A1F9F91"/>
    <w:rsid w:val="7A22C411"/>
    <w:rsid w:val="7A2CE8D8"/>
    <w:rsid w:val="7A341793"/>
    <w:rsid w:val="7A351013"/>
    <w:rsid w:val="7A37F578"/>
    <w:rsid w:val="7A3A5EBC"/>
    <w:rsid w:val="7A409253"/>
    <w:rsid w:val="7A44AB76"/>
    <w:rsid w:val="7A522C03"/>
    <w:rsid w:val="7A54A353"/>
    <w:rsid w:val="7A5CC6FA"/>
    <w:rsid w:val="7A6480E1"/>
    <w:rsid w:val="7A75924B"/>
    <w:rsid w:val="7A766F4F"/>
    <w:rsid w:val="7A789730"/>
    <w:rsid w:val="7A7ECB15"/>
    <w:rsid w:val="7A7FC711"/>
    <w:rsid w:val="7A8183A8"/>
    <w:rsid w:val="7A8CF917"/>
    <w:rsid w:val="7A937D4B"/>
    <w:rsid w:val="7A95EDEA"/>
    <w:rsid w:val="7A99000F"/>
    <w:rsid w:val="7A993910"/>
    <w:rsid w:val="7A9D247F"/>
    <w:rsid w:val="7AA726B8"/>
    <w:rsid w:val="7AB2C73B"/>
    <w:rsid w:val="7AB9E5C5"/>
    <w:rsid w:val="7AC4FB2E"/>
    <w:rsid w:val="7AD455A0"/>
    <w:rsid w:val="7ADBEF19"/>
    <w:rsid w:val="7AE16DF3"/>
    <w:rsid w:val="7AE7C836"/>
    <w:rsid w:val="7AEF573B"/>
    <w:rsid w:val="7AF75824"/>
    <w:rsid w:val="7AFBC456"/>
    <w:rsid w:val="7AFD4D9B"/>
    <w:rsid w:val="7AFE38CC"/>
    <w:rsid w:val="7B0666D1"/>
    <w:rsid w:val="7B08A71B"/>
    <w:rsid w:val="7B0925F7"/>
    <w:rsid w:val="7B167421"/>
    <w:rsid w:val="7B1AD716"/>
    <w:rsid w:val="7B294F90"/>
    <w:rsid w:val="7B51F9A8"/>
    <w:rsid w:val="7B531C34"/>
    <w:rsid w:val="7B645217"/>
    <w:rsid w:val="7B654BB2"/>
    <w:rsid w:val="7B895B83"/>
    <w:rsid w:val="7B8A4642"/>
    <w:rsid w:val="7B8B697D"/>
    <w:rsid w:val="7B98172D"/>
    <w:rsid w:val="7B99815B"/>
    <w:rsid w:val="7B9A1BCE"/>
    <w:rsid w:val="7B9D2EEA"/>
    <w:rsid w:val="7BA6BC41"/>
    <w:rsid w:val="7BA83880"/>
    <w:rsid w:val="7BC3B622"/>
    <w:rsid w:val="7BC40338"/>
    <w:rsid w:val="7BD3C9EF"/>
    <w:rsid w:val="7BDFF839"/>
    <w:rsid w:val="7BE07155"/>
    <w:rsid w:val="7BE16808"/>
    <w:rsid w:val="7BE6A96B"/>
    <w:rsid w:val="7BEC9BA4"/>
    <w:rsid w:val="7BF68201"/>
    <w:rsid w:val="7BFA2760"/>
    <w:rsid w:val="7BFD4B4C"/>
    <w:rsid w:val="7BFF9601"/>
    <w:rsid w:val="7C039961"/>
    <w:rsid w:val="7C060B1D"/>
    <w:rsid w:val="7C06B1CD"/>
    <w:rsid w:val="7C0C2893"/>
    <w:rsid w:val="7C16143F"/>
    <w:rsid w:val="7C18BE1E"/>
    <w:rsid w:val="7C1C494F"/>
    <w:rsid w:val="7C22AB54"/>
    <w:rsid w:val="7C3965FE"/>
    <w:rsid w:val="7C3D3B50"/>
    <w:rsid w:val="7C41BDEF"/>
    <w:rsid w:val="7C4555C6"/>
    <w:rsid w:val="7C49C851"/>
    <w:rsid w:val="7C4CAE14"/>
    <w:rsid w:val="7C4E080A"/>
    <w:rsid w:val="7C50A7D9"/>
    <w:rsid w:val="7C51662D"/>
    <w:rsid w:val="7C52B43E"/>
    <w:rsid w:val="7C6469C2"/>
    <w:rsid w:val="7C68F282"/>
    <w:rsid w:val="7C708019"/>
    <w:rsid w:val="7C76DD6A"/>
    <w:rsid w:val="7C8CD97E"/>
    <w:rsid w:val="7C8DA381"/>
    <w:rsid w:val="7C924257"/>
    <w:rsid w:val="7C9DCED4"/>
    <w:rsid w:val="7C9E4463"/>
    <w:rsid w:val="7CA02B8F"/>
    <w:rsid w:val="7CA6E588"/>
    <w:rsid w:val="7CAB14D8"/>
    <w:rsid w:val="7CAD4074"/>
    <w:rsid w:val="7CADE3DA"/>
    <w:rsid w:val="7CB0710B"/>
    <w:rsid w:val="7CE6A408"/>
    <w:rsid w:val="7CED0A38"/>
    <w:rsid w:val="7CF4A64D"/>
    <w:rsid w:val="7D055127"/>
    <w:rsid w:val="7D0CFE10"/>
    <w:rsid w:val="7D1632EA"/>
    <w:rsid w:val="7D2ADAD0"/>
    <w:rsid w:val="7D36430F"/>
    <w:rsid w:val="7D3BFF94"/>
    <w:rsid w:val="7D3ECB99"/>
    <w:rsid w:val="7D435BDD"/>
    <w:rsid w:val="7D45A672"/>
    <w:rsid w:val="7D5B4D89"/>
    <w:rsid w:val="7D63BAE0"/>
    <w:rsid w:val="7D6B46B3"/>
    <w:rsid w:val="7D75316E"/>
    <w:rsid w:val="7D7A4E1A"/>
    <w:rsid w:val="7D895487"/>
    <w:rsid w:val="7D8B071C"/>
    <w:rsid w:val="7D8BC83E"/>
    <w:rsid w:val="7D903042"/>
    <w:rsid w:val="7D9467BC"/>
    <w:rsid w:val="7D946C1F"/>
    <w:rsid w:val="7D948C0D"/>
    <w:rsid w:val="7DA2FF15"/>
    <w:rsid w:val="7DA44453"/>
    <w:rsid w:val="7DAB8B4D"/>
    <w:rsid w:val="7DBADFF4"/>
    <w:rsid w:val="7DC6DA1E"/>
    <w:rsid w:val="7DCA82D7"/>
    <w:rsid w:val="7DD7923F"/>
    <w:rsid w:val="7DD81CB4"/>
    <w:rsid w:val="7DD9C77E"/>
    <w:rsid w:val="7DD9E3CD"/>
    <w:rsid w:val="7DE41A9D"/>
    <w:rsid w:val="7DE45ADF"/>
    <w:rsid w:val="7DE677DA"/>
    <w:rsid w:val="7DEBC9E9"/>
    <w:rsid w:val="7DF04722"/>
    <w:rsid w:val="7DFC8795"/>
    <w:rsid w:val="7DFECA78"/>
    <w:rsid w:val="7E0DD24F"/>
    <w:rsid w:val="7E0DFBD8"/>
    <w:rsid w:val="7E102F43"/>
    <w:rsid w:val="7E14E61E"/>
    <w:rsid w:val="7E15EBC0"/>
    <w:rsid w:val="7E174317"/>
    <w:rsid w:val="7E2B4A04"/>
    <w:rsid w:val="7E2DA606"/>
    <w:rsid w:val="7E35D0B8"/>
    <w:rsid w:val="7E3DB859"/>
    <w:rsid w:val="7E41C7F0"/>
    <w:rsid w:val="7E4B927C"/>
    <w:rsid w:val="7E4ED160"/>
    <w:rsid w:val="7E5B70C7"/>
    <w:rsid w:val="7E667E02"/>
    <w:rsid w:val="7E6ACDDD"/>
    <w:rsid w:val="7E709F1F"/>
    <w:rsid w:val="7E812B6F"/>
    <w:rsid w:val="7E8759F3"/>
    <w:rsid w:val="7E8AF7A8"/>
    <w:rsid w:val="7E90F3DA"/>
    <w:rsid w:val="7E96788D"/>
    <w:rsid w:val="7E982195"/>
    <w:rsid w:val="7E987540"/>
    <w:rsid w:val="7EA08AF2"/>
    <w:rsid w:val="7EAB0504"/>
    <w:rsid w:val="7EACB587"/>
    <w:rsid w:val="7EC217D6"/>
    <w:rsid w:val="7EC61269"/>
    <w:rsid w:val="7ED1E031"/>
    <w:rsid w:val="7ED8C8FE"/>
    <w:rsid w:val="7EE823AF"/>
    <w:rsid w:val="7EEB96FF"/>
    <w:rsid w:val="7EEFE8F5"/>
    <w:rsid w:val="7EF1383E"/>
    <w:rsid w:val="7EFB0A5D"/>
    <w:rsid w:val="7F0A180D"/>
    <w:rsid w:val="7F0C9676"/>
    <w:rsid w:val="7F0EA900"/>
    <w:rsid w:val="7F1165DD"/>
    <w:rsid w:val="7F268B3E"/>
    <w:rsid w:val="7F29B9A1"/>
    <w:rsid w:val="7F37E5A9"/>
    <w:rsid w:val="7F3B010A"/>
    <w:rsid w:val="7F3D0FEC"/>
    <w:rsid w:val="7F480A9A"/>
    <w:rsid w:val="7F49D5EF"/>
    <w:rsid w:val="7F4B8FC9"/>
    <w:rsid w:val="7F4C71F0"/>
    <w:rsid w:val="7F58EA53"/>
    <w:rsid w:val="7F5921EE"/>
    <w:rsid w:val="7F6B5899"/>
    <w:rsid w:val="7F700F71"/>
    <w:rsid w:val="7F720EC5"/>
    <w:rsid w:val="7F72FB94"/>
    <w:rsid w:val="7F7736C2"/>
    <w:rsid w:val="7F77E3A4"/>
    <w:rsid w:val="7F791A14"/>
    <w:rsid w:val="7F79F526"/>
    <w:rsid w:val="7F7AF7FB"/>
    <w:rsid w:val="7F7CF688"/>
    <w:rsid w:val="7FA19F83"/>
    <w:rsid w:val="7FAE8265"/>
    <w:rsid w:val="7FAEDFAB"/>
    <w:rsid w:val="7FB3C8D3"/>
    <w:rsid w:val="7FC1DCF3"/>
    <w:rsid w:val="7FCA40A7"/>
    <w:rsid w:val="7FCD6BB4"/>
    <w:rsid w:val="7FD26802"/>
    <w:rsid w:val="7FD6B55E"/>
    <w:rsid w:val="7FD7CC51"/>
    <w:rsid w:val="7FD946F7"/>
    <w:rsid w:val="7FDD9C2B"/>
    <w:rsid w:val="7FDF9C9C"/>
    <w:rsid w:val="7FE340F9"/>
    <w:rsid w:val="7FEE51B2"/>
    <w:rsid w:val="7FF1B893"/>
    <w:rsid w:val="7FF68E34"/>
    <w:rsid w:val="7FFB90E6"/>
    <w:rsid w:val="7FFCAC0E"/>
    <w:rsid w:val="7FFFC4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075625"/>
  <w15:docId w15:val="{9C352306-3425-4808-8ACB-0A255AA1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C77"/>
    <w:rPr>
      <w:lang w:val="en-GB"/>
    </w:rPr>
  </w:style>
  <w:style w:type="paragraph" w:styleId="Heading1">
    <w:name w:val="heading 1"/>
    <w:basedOn w:val="Normal"/>
    <w:next w:val="Normal"/>
    <w:link w:val="Heading1Char"/>
    <w:uiPriority w:val="9"/>
    <w:qFormat/>
    <w:rsid w:val="00745F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64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659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109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F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45FF4"/>
    <w:pPr>
      <w:outlineLvl w:val="9"/>
    </w:pPr>
    <w:rPr>
      <w:lang w:val="en-US"/>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ISTA"/>
    <w:basedOn w:val="Normal"/>
    <w:link w:val="ListParagraphChar"/>
    <w:uiPriority w:val="34"/>
    <w:qFormat/>
    <w:rsid w:val="00926D64"/>
    <w:pPr>
      <w:ind w:left="720"/>
      <w:contextualSpacing/>
    </w:pPr>
  </w:style>
  <w:style w:type="paragraph" w:styleId="Title">
    <w:name w:val="Title"/>
    <w:basedOn w:val="Normal"/>
    <w:next w:val="Normal"/>
    <w:link w:val="TitleChar"/>
    <w:uiPriority w:val="10"/>
    <w:qFormat/>
    <w:rsid w:val="002C03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38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464A7"/>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8D4044"/>
    <w:pPr>
      <w:tabs>
        <w:tab w:val="left" w:pos="851"/>
        <w:tab w:val="right" w:leader="dot" w:pos="9016"/>
      </w:tabs>
      <w:spacing w:before="240" w:after="240" w:line="288" w:lineRule="auto"/>
      <w:ind w:left="426" w:hanging="426"/>
      <w:jc w:val="both"/>
    </w:pPr>
    <w:rPr>
      <w:rFonts w:ascii="Times New Roman" w:hAnsi="Times New Roman" w:cs="Times New Roman"/>
      <w:noProof/>
      <w:sz w:val="24"/>
      <w:szCs w:val="24"/>
    </w:rPr>
  </w:style>
  <w:style w:type="paragraph" w:styleId="TOC2">
    <w:name w:val="toc 2"/>
    <w:basedOn w:val="Normal"/>
    <w:next w:val="Normal"/>
    <w:autoRedefine/>
    <w:uiPriority w:val="39"/>
    <w:unhideWhenUsed/>
    <w:rsid w:val="00FE39D3"/>
    <w:pPr>
      <w:tabs>
        <w:tab w:val="left" w:pos="1100"/>
        <w:tab w:val="right" w:leader="dot" w:pos="9016"/>
      </w:tabs>
      <w:spacing w:after="100"/>
      <w:ind w:left="220"/>
    </w:pPr>
  </w:style>
  <w:style w:type="character" w:styleId="Hyperlink">
    <w:name w:val="Hyperlink"/>
    <w:basedOn w:val="DefaultParagraphFont"/>
    <w:uiPriority w:val="99"/>
    <w:unhideWhenUsed/>
    <w:rsid w:val="003716B0"/>
    <w:rPr>
      <w:color w:val="0563C1" w:themeColor="hyperlink"/>
      <w:u w:val="single"/>
    </w:rPr>
  </w:style>
  <w:style w:type="paragraph" w:styleId="FootnoteText">
    <w:name w:val="footnote text"/>
    <w:aliases w:val="Footnote Text Char Char,Footnote text,Footnote Text Char1,Footnote Text Char2 Char,Footnote Text Char1 Char1 Char,Footnote Text Char2 Char Char Char,Footnote Text Char1 Char1 Char Char Char,Plonk,fn,fn Char Char,Fußnote,o, Char1,o Car Car"/>
    <w:basedOn w:val="Normal"/>
    <w:link w:val="FootnoteTextChar"/>
    <w:uiPriority w:val="99"/>
    <w:unhideWhenUsed/>
    <w:qFormat/>
    <w:rsid w:val="003E5080"/>
    <w:pPr>
      <w:spacing w:after="0" w:line="240" w:lineRule="auto"/>
    </w:pPr>
    <w:rPr>
      <w:sz w:val="20"/>
      <w:szCs w:val="20"/>
    </w:rPr>
  </w:style>
  <w:style w:type="character" w:customStyle="1" w:styleId="FootnoteTextChar">
    <w:name w:val="Footnote Text Char"/>
    <w:aliases w:val="Footnote Text Char Char Char,Footnote text Char,Footnote Text Char1 Char,Footnote Text Char2 Char Char,Footnote Text Char1 Char1 Char Char,Footnote Text Char2 Char Char Char Char,Footnote Text Char1 Char1 Char Char Char Char,fn Char"/>
    <w:basedOn w:val="DefaultParagraphFont"/>
    <w:link w:val="FootnoteText"/>
    <w:uiPriority w:val="99"/>
    <w:rsid w:val="003E5080"/>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16 Point,note TESI"/>
    <w:basedOn w:val="DefaultParagraphFont"/>
    <w:link w:val="SUPERSCharCharCharCharCharCharCharChar"/>
    <w:uiPriority w:val="99"/>
    <w:unhideWhenUsed/>
    <w:qFormat/>
    <w:rsid w:val="003E5080"/>
    <w:rPr>
      <w:vertAlign w:val="superscript"/>
    </w:rPr>
  </w:style>
  <w:style w:type="character" w:styleId="CommentReference">
    <w:name w:val="annotation reference"/>
    <w:basedOn w:val="DefaultParagraphFont"/>
    <w:uiPriority w:val="99"/>
    <w:semiHidden/>
    <w:unhideWhenUsed/>
    <w:rsid w:val="00B51BD6"/>
    <w:rPr>
      <w:sz w:val="16"/>
      <w:szCs w:val="16"/>
    </w:rPr>
  </w:style>
  <w:style w:type="paragraph" w:styleId="CommentText">
    <w:name w:val="annotation text"/>
    <w:basedOn w:val="Normal"/>
    <w:link w:val="CommentTextChar"/>
    <w:uiPriority w:val="99"/>
    <w:unhideWhenUsed/>
    <w:rsid w:val="00B51BD6"/>
    <w:pPr>
      <w:spacing w:line="240" w:lineRule="auto"/>
    </w:pPr>
    <w:rPr>
      <w:sz w:val="20"/>
      <w:szCs w:val="20"/>
    </w:rPr>
  </w:style>
  <w:style w:type="character" w:customStyle="1" w:styleId="CommentTextChar">
    <w:name w:val="Comment Text Char"/>
    <w:basedOn w:val="DefaultParagraphFont"/>
    <w:link w:val="CommentText"/>
    <w:uiPriority w:val="99"/>
    <w:rsid w:val="00B51BD6"/>
    <w:rPr>
      <w:sz w:val="20"/>
      <w:szCs w:val="20"/>
    </w:rPr>
  </w:style>
  <w:style w:type="paragraph" w:styleId="CommentSubject">
    <w:name w:val="annotation subject"/>
    <w:basedOn w:val="CommentText"/>
    <w:next w:val="CommentText"/>
    <w:link w:val="CommentSubjectChar"/>
    <w:uiPriority w:val="99"/>
    <w:semiHidden/>
    <w:unhideWhenUsed/>
    <w:rsid w:val="00B51BD6"/>
    <w:rPr>
      <w:b/>
      <w:bCs/>
    </w:rPr>
  </w:style>
  <w:style w:type="character" w:customStyle="1" w:styleId="CommentSubjectChar">
    <w:name w:val="Comment Subject Char"/>
    <w:basedOn w:val="CommentTextChar"/>
    <w:link w:val="CommentSubject"/>
    <w:uiPriority w:val="99"/>
    <w:semiHidden/>
    <w:rsid w:val="00B51BD6"/>
    <w:rPr>
      <w:b/>
      <w:bCs/>
      <w:sz w:val="20"/>
      <w:szCs w:val="20"/>
    </w:rPr>
  </w:style>
  <w:style w:type="paragraph" w:styleId="BalloonText">
    <w:name w:val="Balloon Text"/>
    <w:basedOn w:val="Normal"/>
    <w:link w:val="BalloonTextChar"/>
    <w:uiPriority w:val="99"/>
    <w:semiHidden/>
    <w:unhideWhenUsed/>
    <w:rsid w:val="00B51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BD6"/>
    <w:rPr>
      <w:rFonts w:ascii="Segoe UI" w:hAnsi="Segoe UI" w:cs="Segoe UI"/>
      <w:sz w:val="18"/>
      <w:szCs w:val="18"/>
    </w:rPr>
  </w:style>
  <w:style w:type="character" w:customStyle="1" w:styleId="Heading3Char">
    <w:name w:val="Heading 3 Char"/>
    <w:basedOn w:val="DefaultParagraphFont"/>
    <w:link w:val="Heading3"/>
    <w:uiPriority w:val="9"/>
    <w:rsid w:val="0086599F"/>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6255C1"/>
    <w:pPr>
      <w:spacing w:after="100"/>
      <w:ind w:left="440"/>
    </w:pPr>
  </w:style>
  <w:style w:type="paragraph" w:styleId="Header">
    <w:name w:val="header"/>
    <w:basedOn w:val="Normal"/>
    <w:link w:val="HeaderChar"/>
    <w:uiPriority w:val="99"/>
    <w:unhideWhenUsed/>
    <w:rsid w:val="0028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AB5"/>
  </w:style>
  <w:style w:type="paragraph" w:styleId="Footer">
    <w:name w:val="footer"/>
    <w:basedOn w:val="Normal"/>
    <w:link w:val="FooterChar"/>
    <w:uiPriority w:val="99"/>
    <w:unhideWhenUsed/>
    <w:rsid w:val="0028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AB5"/>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246E4F"/>
    <w:pPr>
      <w:spacing w:line="240" w:lineRule="exact"/>
      <w:jc w:val="both"/>
    </w:pPr>
    <w:rPr>
      <w:vertAlign w:val="superscript"/>
    </w:rPr>
  </w:style>
  <w:style w:type="paragraph" w:styleId="Revision">
    <w:name w:val="Revision"/>
    <w:hidden/>
    <w:uiPriority w:val="99"/>
    <w:semiHidden/>
    <w:rsid w:val="00E71149"/>
    <w:pPr>
      <w:spacing w:after="0" w:line="240" w:lineRule="auto"/>
    </w:pPr>
  </w:style>
  <w:style w:type="paragraph" w:customStyle="1" w:styleId="Default">
    <w:name w:val="Default"/>
    <w:rsid w:val="00971AE8"/>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A52FA"/>
    <w:rPr>
      <w:color w:val="954F72" w:themeColor="followedHyperlink"/>
      <w:u w:val="single"/>
    </w:rPr>
  </w:style>
  <w:style w:type="character" w:customStyle="1" w:styleId="Marker">
    <w:name w:val="Marker"/>
    <w:basedOn w:val="DefaultParagraphFont"/>
    <w:rsid w:val="00261C77"/>
    <w:rPr>
      <w:color w:val="0000FF"/>
      <w:shd w:val="clear" w:color="auto" w:fill="auto"/>
    </w:rPr>
  </w:style>
  <w:style w:type="paragraph" w:customStyle="1" w:styleId="Pagedecouverture">
    <w:name w:val="Page de couverture"/>
    <w:basedOn w:val="Normal"/>
    <w:next w:val="Normal"/>
    <w:rsid w:val="00261C7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61C77"/>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sid w:val="00261C77"/>
    <w:rPr>
      <w:rFonts w:ascii="Times New Roman" w:eastAsiaTheme="majorEastAsia" w:hAnsi="Times New Roman" w:cs="Times New Roman"/>
      <w:spacing w:val="-10"/>
      <w:kern w:val="28"/>
      <w:sz w:val="24"/>
      <w:szCs w:val="56"/>
      <w:lang w:val="en-GB"/>
    </w:rPr>
  </w:style>
  <w:style w:type="paragraph" w:customStyle="1" w:styleId="FooterSensitivity">
    <w:name w:val="Footer Sensitivity"/>
    <w:basedOn w:val="Normal"/>
    <w:link w:val="FooterSensitivityChar"/>
    <w:rsid w:val="00261C77"/>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sid w:val="00261C77"/>
    <w:rPr>
      <w:rFonts w:ascii="Times New Roman" w:eastAsiaTheme="majorEastAsia" w:hAnsi="Times New Roman" w:cs="Times New Roman"/>
      <w:b/>
      <w:spacing w:val="-10"/>
      <w:kern w:val="28"/>
      <w:sz w:val="32"/>
      <w:szCs w:val="56"/>
      <w:lang w:val="en-GB"/>
    </w:rPr>
  </w:style>
  <w:style w:type="paragraph" w:customStyle="1" w:styleId="HeaderCoverPage">
    <w:name w:val="Header Cover Page"/>
    <w:basedOn w:val="Normal"/>
    <w:link w:val="HeaderCoverPageChar"/>
    <w:rsid w:val="00261C77"/>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sid w:val="00261C77"/>
    <w:rPr>
      <w:rFonts w:ascii="Times New Roman" w:eastAsiaTheme="majorEastAsia" w:hAnsi="Times New Roman" w:cs="Times New Roman"/>
      <w:spacing w:val="-10"/>
      <w:kern w:val="28"/>
      <w:sz w:val="24"/>
      <w:szCs w:val="56"/>
      <w:lang w:val="en-GB"/>
    </w:rPr>
  </w:style>
  <w:style w:type="paragraph" w:customStyle="1" w:styleId="HeaderSensitivity">
    <w:name w:val="Header Sensitivity"/>
    <w:basedOn w:val="Normal"/>
    <w:link w:val="HeaderSensitivityChar"/>
    <w:rsid w:val="00261C77"/>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sid w:val="00261C77"/>
    <w:rPr>
      <w:rFonts w:ascii="Times New Roman" w:eastAsiaTheme="majorEastAsia" w:hAnsi="Times New Roman" w:cs="Times New Roman"/>
      <w:b/>
      <w:spacing w:val="-10"/>
      <w:kern w:val="28"/>
      <w:sz w:val="32"/>
      <w:szCs w:val="56"/>
      <w:lang w:val="en-GB"/>
    </w:rPr>
  </w:style>
  <w:style w:type="paragraph" w:customStyle="1" w:styleId="HeaderSensitivityRight">
    <w:name w:val="Header Sensitivity Right"/>
    <w:basedOn w:val="Normal"/>
    <w:link w:val="HeaderSensitivityRightChar"/>
    <w:rsid w:val="0092190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sid w:val="00261C77"/>
    <w:rPr>
      <w:rFonts w:ascii="Times New Roman" w:eastAsiaTheme="majorEastAsia" w:hAnsi="Times New Roman" w:cs="Times New Roman"/>
      <w:spacing w:val="-10"/>
      <w:kern w:val="28"/>
      <w:sz w:val="28"/>
      <w:szCs w:val="56"/>
      <w:lang w:val="en-GB"/>
    </w:rPr>
  </w:style>
  <w:style w:type="table" w:styleId="TableGrid">
    <w:name w:val="Table Grid"/>
    <w:basedOn w:val="TableNormal"/>
    <w:uiPriority w:val="39"/>
    <w:rsid w:val="00D17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EB2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semiHidden/>
    <w:rsid w:val="00EB2E89"/>
    <w:rPr>
      <w:rFonts w:ascii="Courier New" w:eastAsia="Times New Roman" w:hAnsi="Courier New" w:cs="Courier New"/>
      <w:sz w:val="20"/>
      <w:szCs w:val="20"/>
      <w:lang w:eastAsia="en-IE"/>
    </w:rPr>
  </w:style>
  <w:style w:type="paragraph" w:customStyle="1" w:styleId="Text1">
    <w:name w:val="Text 1"/>
    <w:basedOn w:val="Normal"/>
    <w:link w:val="Text1Char"/>
    <w:rsid w:val="00BB75F0"/>
    <w:pPr>
      <w:spacing w:after="240" w:line="240" w:lineRule="auto"/>
      <w:ind w:left="482"/>
      <w:jc w:val="both"/>
    </w:pPr>
    <w:rPr>
      <w:rFonts w:ascii="Times New Roman" w:eastAsia="Times New Roman" w:hAnsi="Times New Roman" w:cs="Times New Roman"/>
      <w:noProof/>
      <w:sz w:val="24"/>
      <w:szCs w:val="20"/>
    </w:rPr>
  </w:style>
  <w:style w:type="character" w:customStyle="1" w:styleId="Text1Char">
    <w:name w:val="Text 1 Char"/>
    <w:link w:val="Text1"/>
    <w:locked/>
    <w:rsid w:val="00BB75F0"/>
    <w:rPr>
      <w:rFonts w:ascii="Times New Roman" w:eastAsia="Times New Roman" w:hAnsi="Times New Roman" w:cs="Times New Roman"/>
      <w:noProof/>
      <w:sz w:val="24"/>
      <w:szCs w:val="20"/>
      <w:lang w:val="en-GB"/>
    </w:rPr>
  </w:style>
  <w:style w:type="paragraph" w:customStyle="1" w:styleId="paragraph">
    <w:name w:val="paragraph"/>
    <w:basedOn w:val="Normal"/>
    <w:rsid w:val="00CE792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CE7923"/>
  </w:style>
  <w:style w:type="character" w:customStyle="1" w:styleId="eop">
    <w:name w:val="eop"/>
    <w:basedOn w:val="DefaultParagraphFont"/>
    <w:rsid w:val="00CE7923"/>
  </w:style>
  <w:style w:type="character" w:customStyle="1" w:styleId="consultation-date">
    <w:name w:val="consultation-date"/>
    <w:basedOn w:val="DefaultParagraphFont"/>
    <w:rsid w:val="00525DB0"/>
  </w:style>
  <w:style w:type="character" w:customStyle="1" w:styleId="findhit">
    <w:name w:val="findhit"/>
    <w:basedOn w:val="DefaultParagraphFont"/>
    <w:rsid w:val="00642B37"/>
  </w:style>
  <w:style w:type="character" w:customStyle="1" w:styleId="Heading4Char">
    <w:name w:val="Heading 4 Char"/>
    <w:basedOn w:val="DefaultParagraphFont"/>
    <w:link w:val="Heading4"/>
    <w:uiPriority w:val="9"/>
    <w:rsid w:val="0041099E"/>
    <w:rPr>
      <w:rFonts w:asciiTheme="majorHAnsi" w:eastAsiaTheme="majorEastAsia" w:hAnsiTheme="majorHAnsi" w:cstheme="majorBidi"/>
      <w:i/>
      <w:iCs/>
      <w:color w:val="2E74B5" w:themeColor="accent1" w:themeShade="BF"/>
    </w:rPr>
  </w:style>
  <w:style w:type="character" w:customStyle="1" w:styleId="UnresolvedMention1">
    <w:name w:val="Unresolved Mention1"/>
    <w:basedOn w:val="DefaultParagraphFont"/>
    <w:uiPriority w:val="99"/>
    <w:semiHidden/>
    <w:unhideWhenUsed/>
    <w:rsid w:val="00E5249C"/>
    <w:rPr>
      <w:color w:val="605E5C"/>
      <w:shd w:val="clear" w:color="auto" w:fill="E1DFDD"/>
    </w:rPr>
  </w:style>
  <w:style w:type="character" w:customStyle="1" w:styleId="UnresolvedMention2">
    <w:name w:val="Unresolved Mention2"/>
    <w:basedOn w:val="DefaultParagraphFont"/>
    <w:uiPriority w:val="99"/>
    <w:semiHidden/>
    <w:unhideWhenUsed/>
    <w:rsid w:val="000115DE"/>
    <w:rPr>
      <w:color w:val="605E5C"/>
      <w:shd w:val="clear" w:color="auto" w:fill="E1DFDD"/>
    </w:rPr>
  </w:style>
  <w:style w:type="character" w:customStyle="1" w:styleId="UnresolvedMention3">
    <w:name w:val="Unresolved Mention3"/>
    <w:basedOn w:val="DefaultParagraphFont"/>
    <w:uiPriority w:val="99"/>
    <w:semiHidden/>
    <w:unhideWhenUsed/>
    <w:rsid w:val="006D1404"/>
    <w:rPr>
      <w:color w:val="605E5C"/>
      <w:shd w:val="clear" w:color="auto" w:fill="E1DFDD"/>
    </w:rPr>
  </w:style>
  <w:style w:type="paragraph" w:customStyle="1" w:styleId="footnotejt">
    <w:name w:val="footnote jt"/>
    <w:basedOn w:val="FootnoteText"/>
    <w:rsid w:val="006D1404"/>
    <w:pPr>
      <w:tabs>
        <w:tab w:val="left" w:pos="720"/>
      </w:tabs>
      <w:ind w:left="432" w:hanging="432"/>
      <w:jc w:val="both"/>
    </w:pPr>
    <w:rPr>
      <w:rFonts w:ascii="Times New Roman" w:hAnsi="Times New Roman" w:cs="Times New Roman"/>
    </w:rPr>
  </w:style>
  <w:style w:type="character" w:customStyle="1" w:styleId="UnresolvedMention4">
    <w:name w:val="Unresolved Mention4"/>
    <w:basedOn w:val="DefaultParagraphFont"/>
    <w:uiPriority w:val="99"/>
    <w:semiHidden/>
    <w:unhideWhenUsed/>
    <w:rsid w:val="006D1404"/>
    <w:rPr>
      <w:color w:val="605E5C"/>
      <w:shd w:val="clear" w:color="auto" w:fill="E1DFDD"/>
    </w:rPr>
  </w:style>
  <w:style w:type="character" w:customStyle="1" w:styleId="UnresolvedMention5">
    <w:name w:val="Unresolved Mention5"/>
    <w:basedOn w:val="DefaultParagraphFont"/>
    <w:uiPriority w:val="99"/>
    <w:semiHidden/>
    <w:unhideWhenUsed/>
    <w:rsid w:val="006D1404"/>
    <w:rPr>
      <w:color w:val="605E5C"/>
      <w:shd w:val="clear" w:color="auto" w:fill="E1DFDD"/>
    </w:rPr>
  </w:style>
  <w:style w:type="character" w:customStyle="1" w:styleId="UnresolvedMention6">
    <w:name w:val="Unresolved Mention6"/>
    <w:basedOn w:val="DefaultParagraphFont"/>
    <w:uiPriority w:val="99"/>
    <w:semiHidden/>
    <w:unhideWhenUsed/>
    <w:rsid w:val="006D1404"/>
    <w:rPr>
      <w:color w:val="605E5C"/>
      <w:shd w:val="clear" w:color="auto" w:fill="E1DFDD"/>
    </w:rPr>
  </w:style>
  <w:style w:type="character" w:customStyle="1" w:styleId="UnresolvedMention7">
    <w:name w:val="Unresolved Mention7"/>
    <w:basedOn w:val="DefaultParagraphFont"/>
    <w:uiPriority w:val="99"/>
    <w:semiHidden/>
    <w:unhideWhenUsed/>
    <w:rsid w:val="006D1404"/>
    <w:rPr>
      <w:color w:val="605E5C"/>
      <w:shd w:val="clear" w:color="auto" w:fill="E1DFDD"/>
    </w:rPr>
  </w:style>
  <w:style w:type="character" w:customStyle="1" w:styleId="UnresolvedMention8">
    <w:name w:val="Unresolved Mention8"/>
    <w:basedOn w:val="DefaultParagraphFont"/>
    <w:uiPriority w:val="99"/>
    <w:semiHidden/>
    <w:unhideWhenUsed/>
    <w:rsid w:val="00E36D9A"/>
    <w:rPr>
      <w:color w:val="605E5C"/>
      <w:shd w:val="clear" w:color="auto" w:fill="E1DFDD"/>
    </w:rPr>
  </w:style>
  <w:style w:type="character" w:customStyle="1" w:styleId="UnresolvedMention">
    <w:name w:val="Unresolved Mention"/>
    <w:basedOn w:val="DefaultParagraphFont"/>
    <w:uiPriority w:val="99"/>
    <w:semiHidden/>
    <w:unhideWhenUsed/>
    <w:rsid w:val="00062E29"/>
    <w:rPr>
      <w:color w:val="605E5C"/>
      <w:shd w:val="clear" w:color="auto" w:fill="E1DFDD"/>
    </w:rPr>
  </w:style>
  <w:style w:type="paragraph" w:customStyle="1" w:styleId="o1">
    <w:name w:val="o1"/>
    <w:basedOn w:val="Normal"/>
    <w:next w:val="FootnoteText"/>
    <w:uiPriority w:val="99"/>
    <w:unhideWhenUsed/>
    <w:qFormat/>
    <w:rsid w:val="00D054F6"/>
    <w:pPr>
      <w:spacing w:after="0" w:line="240" w:lineRule="auto"/>
    </w:pPr>
    <w:rPr>
      <w:sz w:val="20"/>
      <w:szCs w:val="20"/>
    </w:rPr>
  </w:style>
  <w:style w:type="character" w:styleId="EndnoteReference">
    <w:name w:val="endnote reference"/>
    <w:basedOn w:val="DefaultParagraphFont"/>
    <w:uiPriority w:val="99"/>
    <w:semiHidden/>
    <w:unhideWhenUsed/>
    <w:rsid w:val="00643462"/>
    <w:rPr>
      <w:vertAlign w:val="superscript"/>
    </w:rPr>
  </w:style>
  <w:style w:type="character" w:customStyle="1" w:styleId="EndnoteTextChar">
    <w:name w:val="Endnote Text Char"/>
    <w:basedOn w:val="DefaultParagraphFont"/>
    <w:link w:val="EndnoteText"/>
    <w:uiPriority w:val="99"/>
    <w:semiHidden/>
    <w:rsid w:val="00643462"/>
    <w:rPr>
      <w:sz w:val="20"/>
      <w:szCs w:val="20"/>
    </w:rPr>
  </w:style>
  <w:style w:type="paragraph" w:styleId="EndnoteText">
    <w:name w:val="endnote text"/>
    <w:basedOn w:val="Normal"/>
    <w:link w:val="EndnoteTextChar"/>
    <w:uiPriority w:val="99"/>
    <w:semiHidden/>
    <w:unhideWhenUsed/>
    <w:rsid w:val="00643462"/>
    <w:pPr>
      <w:spacing w:after="0" w:line="240" w:lineRule="auto"/>
    </w:pPr>
    <w:rPr>
      <w:sz w:val="20"/>
      <w:szCs w:val="20"/>
    </w:rPr>
  </w:style>
  <w:style w:type="character" w:customStyle="1" w:styleId="EndnoteTextChar1">
    <w:name w:val="Endnote Text Char1"/>
    <w:basedOn w:val="DefaultParagraphFont"/>
    <w:uiPriority w:val="99"/>
    <w:semiHidden/>
    <w:rsid w:val="00643462"/>
    <w:rPr>
      <w:sz w:val="20"/>
      <w:szCs w:val="20"/>
    </w:rPr>
  </w:style>
  <w:style w:type="paragraph" w:customStyle="1" w:styleId="pf0">
    <w:name w:val="pf0"/>
    <w:basedOn w:val="Normal"/>
    <w:rsid w:val="008C2B0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8C2B04"/>
    <w:rPr>
      <w:rFonts w:ascii="Segoe UI" w:hAnsi="Segoe UI" w:cs="Segoe UI" w:hint="default"/>
      <w:i/>
      <w:iCs/>
      <w:color w:val="2E74B5"/>
      <w:sz w:val="18"/>
      <w:szCs w:val="18"/>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0B67DF"/>
  </w:style>
  <w:style w:type="character" w:customStyle="1" w:styleId="Hyperlink1">
    <w:name w:val="Hyperlink1"/>
    <w:basedOn w:val="DefaultParagraphFont"/>
    <w:uiPriority w:val="99"/>
    <w:unhideWhenUsed/>
    <w:rsid w:val="006C1DA9"/>
    <w:rPr>
      <w:color w:val="0563C1"/>
      <w:u w:val="single"/>
    </w:rPr>
  </w:style>
  <w:style w:type="paragraph" w:customStyle="1" w:styleId="oCarCar1">
    <w:name w:val="o Car Car1"/>
    <w:basedOn w:val="Normal"/>
    <w:next w:val="FootnoteText"/>
    <w:uiPriority w:val="99"/>
    <w:unhideWhenUsed/>
    <w:qFormat/>
    <w:rsid w:val="00410D38"/>
    <w:pPr>
      <w:spacing w:after="0" w:line="240" w:lineRule="auto"/>
    </w:pPr>
    <w:rPr>
      <w:kern w:val="2"/>
      <w:sz w:val="20"/>
      <w:szCs w:val="20"/>
    </w:rPr>
  </w:style>
  <w:style w:type="paragraph" w:customStyle="1" w:styleId="Languesfaisantfoi">
    <w:name w:val="Langues faisant foi"/>
    <w:basedOn w:val="Normal"/>
    <w:next w:val="Normal"/>
    <w:rsid w:val="0009386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09386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093869"/>
    <w:pPr>
      <w:spacing w:after="0"/>
    </w:pPr>
  </w:style>
  <w:style w:type="paragraph" w:customStyle="1" w:styleId="IntrtEEEPagedecouverture">
    <w:name w:val="Intérêt EEE (Page de couverture)"/>
    <w:basedOn w:val="IntrtEEE"/>
    <w:next w:val="Normal"/>
    <w:rsid w:val="00093869"/>
  </w:style>
  <w:style w:type="paragraph" w:customStyle="1" w:styleId="Disclaimer">
    <w:name w:val="Disclaimer"/>
    <w:basedOn w:val="Normal"/>
    <w:rsid w:val="0092190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21907"/>
    <w:pPr>
      <w:spacing w:after="0" w:line="276" w:lineRule="auto"/>
      <w:ind w:left="5103"/>
    </w:pPr>
    <w:rPr>
      <w:rFonts w:ascii="Times New Roman" w:hAnsi="Times New Roman" w:cs="Times New Roman"/>
      <w:sz w:val="28"/>
    </w:rPr>
  </w:style>
  <w:style w:type="paragraph" w:customStyle="1" w:styleId="DateMarking">
    <w:name w:val="DateMarking"/>
    <w:basedOn w:val="Normal"/>
    <w:rsid w:val="00921907"/>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21907"/>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9442">
      <w:bodyDiv w:val="1"/>
      <w:marLeft w:val="0"/>
      <w:marRight w:val="0"/>
      <w:marTop w:val="0"/>
      <w:marBottom w:val="0"/>
      <w:divBdr>
        <w:top w:val="none" w:sz="0" w:space="0" w:color="auto"/>
        <w:left w:val="none" w:sz="0" w:space="0" w:color="auto"/>
        <w:bottom w:val="none" w:sz="0" w:space="0" w:color="auto"/>
        <w:right w:val="none" w:sz="0" w:space="0" w:color="auto"/>
      </w:divBdr>
    </w:div>
    <w:div w:id="52781419">
      <w:bodyDiv w:val="1"/>
      <w:marLeft w:val="0"/>
      <w:marRight w:val="0"/>
      <w:marTop w:val="0"/>
      <w:marBottom w:val="0"/>
      <w:divBdr>
        <w:top w:val="none" w:sz="0" w:space="0" w:color="auto"/>
        <w:left w:val="none" w:sz="0" w:space="0" w:color="auto"/>
        <w:bottom w:val="none" w:sz="0" w:space="0" w:color="auto"/>
        <w:right w:val="none" w:sz="0" w:space="0" w:color="auto"/>
      </w:divBdr>
    </w:div>
    <w:div w:id="73210176">
      <w:bodyDiv w:val="1"/>
      <w:marLeft w:val="0"/>
      <w:marRight w:val="0"/>
      <w:marTop w:val="0"/>
      <w:marBottom w:val="0"/>
      <w:divBdr>
        <w:top w:val="none" w:sz="0" w:space="0" w:color="auto"/>
        <w:left w:val="none" w:sz="0" w:space="0" w:color="auto"/>
        <w:bottom w:val="none" w:sz="0" w:space="0" w:color="auto"/>
        <w:right w:val="none" w:sz="0" w:space="0" w:color="auto"/>
      </w:divBdr>
    </w:div>
    <w:div w:id="118644662">
      <w:bodyDiv w:val="1"/>
      <w:marLeft w:val="0"/>
      <w:marRight w:val="0"/>
      <w:marTop w:val="0"/>
      <w:marBottom w:val="0"/>
      <w:divBdr>
        <w:top w:val="none" w:sz="0" w:space="0" w:color="auto"/>
        <w:left w:val="none" w:sz="0" w:space="0" w:color="auto"/>
        <w:bottom w:val="none" w:sz="0" w:space="0" w:color="auto"/>
        <w:right w:val="none" w:sz="0" w:space="0" w:color="auto"/>
      </w:divBdr>
    </w:div>
    <w:div w:id="129054301">
      <w:bodyDiv w:val="1"/>
      <w:marLeft w:val="0"/>
      <w:marRight w:val="0"/>
      <w:marTop w:val="0"/>
      <w:marBottom w:val="0"/>
      <w:divBdr>
        <w:top w:val="none" w:sz="0" w:space="0" w:color="auto"/>
        <w:left w:val="none" w:sz="0" w:space="0" w:color="auto"/>
        <w:bottom w:val="none" w:sz="0" w:space="0" w:color="auto"/>
        <w:right w:val="none" w:sz="0" w:space="0" w:color="auto"/>
      </w:divBdr>
    </w:div>
    <w:div w:id="165943682">
      <w:bodyDiv w:val="1"/>
      <w:marLeft w:val="0"/>
      <w:marRight w:val="0"/>
      <w:marTop w:val="0"/>
      <w:marBottom w:val="0"/>
      <w:divBdr>
        <w:top w:val="none" w:sz="0" w:space="0" w:color="auto"/>
        <w:left w:val="none" w:sz="0" w:space="0" w:color="auto"/>
        <w:bottom w:val="none" w:sz="0" w:space="0" w:color="auto"/>
        <w:right w:val="none" w:sz="0" w:space="0" w:color="auto"/>
      </w:divBdr>
    </w:div>
    <w:div w:id="215968247">
      <w:bodyDiv w:val="1"/>
      <w:marLeft w:val="0"/>
      <w:marRight w:val="0"/>
      <w:marTop w:val="0"/>
      <w:marBottom w:val="0"/>
      <w:divBdr>
        <w:top w:val="none" w:sz="0" w:space="0" w:color="auto"/>
        <w:left w:val="none" w:sz="0" w:space="0" w:color="auto"/>
        <w:bottom w:val="none" w:sz="0" w:space="0" w:color="auto"/>
        <w:right w:val="none" w:sz="0" w:space="0" w:color="auto"/>
      </w:divBdr>
    </w:div>
    <w:div w:id="247663641">
      <w:bodyDiv w:val="1"/>
      <w:marLeft w:val="0"/>
      <w:marRight w:val="0"/>
      <w:marTop w:val="0"/>
      <w:marBottom w:val="0"/>
      <w:divBdr>
        <w:top w:val="none" w:sz="0" w:space="0" w:color="auto"/>
        <w:left w:val="none" w:sz="0" w:space="0" w:color="auto"/>
        <w:bottom w:val="none" w:sz="0" w:space="0" w:color="auto"/>
        <w:right w:val="none" w:sz="0" w:space="0" w:color="auto"/>
      </w:divBdr>
    </w:div>
    <w:div w:id="263851884">
      <w:bodyDiv w:val="1"/>
      <w:marLeft w:val="0"/>
      <w:marRight w:val="0"/>
      <w:marTop w:val="0"/>
      <w:marBottom w:val="0"/>
      <w:divBdr>
        <w:top w:val="none" w:sz="0" w:space="0" w:color="auto"/>
        <w:left w:val="none" w:sz="0" w:space="0" w:color="auto"/>
        <w:bottom w:val="none" w:sz="0" w:space="0" w:color="auto"/>
        <w:right w:val="none" w:sz="0" w:space="0" w:color="auto"/>
      </w:divBdr>
    </w:div>
    <w:div w:id="279382816">
      <w:bodyDiv w:val="1"/>
      <w:marLeft w:val="0"/>
      <w:marRight w:val="0"/>
      <w:marTop w:val="0"/>
      <w:marBottom w:val="0"/>
      <w:divBdr>
        <w:top w:val="none" w:sz="0" w:space="0" w:color="auto"/>
        <w:left w:val="none" w:sz="0" w:space="0" w:color="auto"/>
        <w:bottom w:val="none" w:sz="0" w:space="0" w:color="auto"/>
        <w:right w:val="none" w:sz="0" w:space="0" w:color="auto"/>
      </w:divBdr>
    </w:div>
    <w:div w:id="303243685">
      <w:bodyDiv w:val="1"/>
      <w:marLeft w:val="0"/>
      <w:marRight w:val="0"/>
      <w:marTop w:val="0"/>
      <w:marBottom w:val="0"/>
      <w:divBdr>
        <w:top w:val="none" w:sz="0" w:space="0" w:color="auto"/>
        <w:left w:val="none" w:sz="0" w:space="0" w:color="auto"/>
        <w:bottom w:val="none" w:sz="0" w:space="0" w:color="auto"/>
        <w:right w:val="none" w:sz="0" w:space="0" w:color="auto"/>
      </w:divBdr>
      <w:divsChild>
        <w:div w:id="784156179">
          <w:marLeft w:val="0"/>
          <w:marRight w:val="0"/>
          <w:marTop w:val="0"/>
          <w:marBottom w:val="0"/>
          <w:divBdr>
            <w:top w:val="none" w:sz="0" w:space="0" w:color="auto"/>
            <w:left w:val="none" w:sz="0" w:space="0" w:color="auto"/>
            <w:bottom w:val="none" w:sz="0" w:space="0" w:color="auto"/>
            <w:right w:val="none" w:sz="0" w:space="0" w:color="auto"/>
          </w:divBdr>
        </w:div>
        <w:div w:id="1329165070">
          <w:marLeft w:val="0"/>
          <w:marRight w:val="0"/>
          <w:marTop w:val="0"/>
          <w:marBottom w:val="0"/>
          <w:divBdr>
            <w:top w:val="none" w:sz="0" w:space="0" w:color="auto"/>
            <w:left w:val="none" w:sz="0" w:space="0" w:color="auto"/>
            <w:bottom w:val="none" w:sz="0" w:space="0" w:color="auto"/>
            <w:right w:val="none" w:sz="0" w:space="0" w:color="auto"/>
          </w:divBdr>
        </w:div>
        <w:div w:id="1771311574">
          <w:marLeft w:val="0"/>
          <w:marRight w:val="0"/>
          <w:marTop w:val="0"/>
          <w:marBottom w:val="0"/>
          <w:divBdr>
            <w:top w:val="none" w:sz="0" w:space="0" w:color="auto"/>
            <w:left w:val="none" w:sz="0" w:space="0" w:color="auto"/>
            <w:bottom w:val="none" w:sz="0" w:space="0" w:color="auto"/>
            <w:right w:val="none" w:sz="0" w:space="0" w:color="auto"/>
          </w:divBdr>
        </w:div>
      </w:divsChild>
    </w:div>
    <w:div w:id="315182369">
      <w:bodyDiv w:val="1"/>
      <w:marLeft w:val="0"/>
      <w:marRight w:val="0"/>
      <w:marTop w:val="0"/>
      <w:marBottom w:val="0"/>
      <w:divBdr>
        <w:top w:val="none" w:sz="0" w:space="0" w:color="auto"/>
        <w:left w:val="none" w:sz="0" w:space="0" w:color="auto"/>
        <w:bottom w:val="none" w:sz="0" w:space="0" w:color="auto"/>
        <w:right w:val="none" w:sz="0" w:space="0" w:color="auto"/>
      </w:divBdr>
    </w:div>
    <w:div w:id="340931885">
      <w:bodyDiv w:val="1"/>
      <w:marLeft w:val="0"/>
      <w:marRight w:val="0"/>
      <w:marTop w:val="0"/>
      <w:marBottom w:val="0"/>
      <w:divBdr>
        <w:top w:val="none" w:sz="0" w:space="0" w:color="auto"/>
        <w:left w:val="none" w:sz="0" w:space="0" w:color="auto"/>
        <w:bottom w:val="none" w:sz="0" w:space="0" w:color="auto"/>
        <w:right w:val="none" w:sz="0" w:space="0" w:color="auto"/>
      </w:divBdr>
    </w:div>
    <w:div w:id="388651570">
      <w:bodyDiv w:val="1"/>
      <w:marLeft w:val="0"/>
      <w:marRight w:val="0"/>
      <w:marTop w:val="0"/>
      <w:marBottom w:val="0"/>
      <w:divBdr>
        <w:top w:val="none" w:sz="0" w:space="0" w:color="auto"/>
        <w:left w:val="none" w:sz="0" w:space="0" w:color="auto"/>
        <w:bottom w:val="none" w:sz="0" w:space="0" w:color="auto"/>
        <w:right w:val="none" w:sz="0" w:space="0" w:color="auto"/>
      </w:divBdr>
    </w:div>
    <w:div w:id="409934502">
      <w:bodyDiv w:val="1"/>
      <w:marLeft w:val="0"/>
      <w:marRight w:val="0"/>
      <w:marTop w:val="0"/>
      <w:marBottom w:val="0"/>
      <w:divBdr>
        <w:top w:val="none" w:sz="0" w:space="0" w:color="auto"/>
        <w:left w:val="none" w:sz="0" w:space="0" w:color="auto"/>
        <w:bottom w:val="none" w:sz="0" w:space="0" w:color="auto"/>
        <w:right w:val="none" w:sz="0" w:space="0" w:color="auto"/>
      </w:divBdr>
    </w:div>
    <w:div w:id="414011657">
      <w:bodyDiv w:val="1"/>
      <w:marLeft w:val="0"/>
      <w:marRight w:val="0"/>
      <w:marTop w:val="0"/>
      <w:marBottom w:val="0"/>
      <w:divBdr>
        <w:top w:val="none" w:sz="0" w:space="0" w:color="auto"/>
        <w:left w:val="none" w:sz="0" w:space="0" w:color="auto"/>
        <w:bottom w:val="none" w:sz="0" w:space="0" w:color="auto"/>
        <w:right w:val="none" w:sz="0" w:space="0" w:color="auto"/>
      </w:divBdr>
    </w:div>
    <w:div w:id="424230242">
      <w:bodyDiv w:val="1"/>
      <w:marLeft w:val="0"/>
      <w:marRight w:val="0"/>
      <w:marTop w:val="0"/>
      <w:marBottom w:val="0"/>
      <w:divBdr>
        <w:top w:val="none" w:sz="0" w:space="0" w:color="auto"/>
        <w:left w:val="none" w:sz="0" w:space="0" w:color="auto"/>
        <w:bottom w:val="none" w:sz="0" w:space="0" w:color="auto"/>
        <w:right w:val="none" w:sz="0" w:space="0" w:color="auto"/>
      </w:divBdr>
      <w:divsChild>
        <w:div w:id="1014846624">
          <w:marLeft w:val="0"/>
          <w:marRight w:val="0"/>
          <w:marTop w:val="0"/>
          <w:marBottom w:val="0"/>
          <w:divBdr>
            <w:top w:val="none" w:sz="0" w:space="0" w:color="auto"/>
            <w:left w:val="none" w:sz="0" w:space="0" w:color="auto"/>
            <w:bottom w:val="none" w:sz="0" w:space="0" w:color="auto"/>
            <w:right w:val="none" w:sz="0" w:space="0" w:color="auto"/>
          </w:divBdr>
        </w:div>
      </w:divsChild>
    </w:div>
    <w:div w:id="425350062">
      <w:bodyDiv w:val="1"/>
      <w:marLeft w:val="0"/>
      <w:marRight w:val="0"/>
      <w:marTop w:val="0"/>
      <w:marBottom w:val="0"/>
      <w:divBdr>
        <w:top w:val="none" w:sz="0" w:space="0" w:color="auto"/>
        <w:left w:val="none" w:sz="0" w:space="0" w:color="auto"/>
        <w:bottom w:val="none" w:sz="0" w:space="0" w:color="auto"/>
        <w:right w:val="none" w:sz="0" w:space="0" w:color="auto"/>
      </w:divBdr>
    </w:div>
    <w:div w:id="433325795">
      <w:bodyDiv w:val="1"/>
      <w:marLeft w:val="0"/>
      <w:marRight w:val="0"/>
      <w:marTop w:val="0"/>
      <w:marBottom w:val="0"/>
      <w:divBdr>
        <w:top w:val="none" w:sz="0" w:space="0" w:color="auto"/>
        <w:left w:val="none" w:sz="0" w:space="0" w:color="auto"/>
        <w:bottom w:val="none" w:sz="0" w:space="0" w:color="auto"/>
        <w:right w:val="none" w:sz="0" w:space="0" w:color="auto"/>
      </w:divBdr>
    </w:div>
    <w:div w:id="452024208">
      <w:bodyDiv w:val="1"/>
      <w:marLeft w:val="0"/>
      <w:marRight w:val="0"/>
      <w:marTop w:val="0"/>
      <w:marBottom w:val="0"/>
      <w:divBdr>
        <w:top w:val="none" w:sz="0" w:space="0" w:color="auto"/>
        <w:left w:val="none" w:sz="0" w:space="0" w:color="auto"/>
        <w:bottom w:val="none" w:sz="0" w:space="0" w:color="auto"/>
        <w:right w:val="none" w:sz="0" w:space="0" w:color="auto"/>
      </w:divBdr>
    </w:div>
    <w:div w:id="507913050">
      <w:bodyDiv w:val="1"/>
      <w:marLeft w:val="0"/>
      <w:marRight w:val="0"/>
      <w:marTop w:val="0"/>
      <w:marBottom w:val="0"/>
      <w:divBdr>
        <w:top w:val="none" w:sz="0" w:space="0" w:color="auto"/>
        <w:left w:val="none" w:sz="0" w:space="0" w:color="auto"/>
        <w:bottom w:val="none" w:sz="0" w:space="0" w:color="auto"/>
        <w:right w:val="none" w:sz="0" w:space="0" w:color="auto"/>
      </w:divBdr>
    </w:div>
    <w:div w:id="563951859">
      <w:bodyDiv w:val="1"/>
      <w:marLeft w:val="0"/>
      <w:marRight w:val="0"/>
      <w:marTop w:val="0"/>
      <w:marBottom w:val="0"/>
      <w:divBdr>
        <w:top w:val="none" w:sz="0" w:space="0" w:color="auto"/>
        <w:left w:val="none" w:sz="0" w:space="0" w:color="auto"/>
        <w:bottom w:val="none" w:sz="0" w:space="0" w:color="auto"/>
        <w:right w:val="none" w:sz="0" w:space="0" w:color="auto"/>
      </w:divBdr>
    </w:div>
    <w:div w:id="569734362">
      <w:bodyDiv w:val="1"/>
      <w:marLeft w:val="0"/>
      <w:marRight w:val="0"/>
      <w:marTop w:val="0"/>
      <w:marBottom w:val="0"/>
      <w:divBdr>
        <w:top w:val="none" w:sz="0" w:space="0" w:color="auto"/>
        <w:left w:val="none" w:sz="0" w:space="0" w:color="auto"/>
        <w:bottom w:val="none" w:sz="0" w:space="0" w:color="auto"/>
        <w:right w:val="none" w:sz="0" w:space="0" w:color="auto"/>
      </w:divBdr>
    </w:div>
    <w:div w:id="590433984">
      <w:bodyDiv w:val="1"/>
      <w:marLeft w:val="0"/>
      <w:marRight w:val="0"/>
      <w:marTop w:val="0"/>
      <w:marBottom w:val="0"/>
      <w:divBdr>
        <w:top w:val="none" w:sz="0" w:space="0" w:color="auto"/>
        <w:left w:val="none" w:sz="0" w:space="0" w:color="auto"/>
        <w:bottom w:val="none" w:sz="0" w:space="0" w:color="auto"/>
        <w:right w:val="none" w:sz="0" w:space="0" w:color="auto"/>
      </w:divBdr>
    </w:div>
    <w:div w:id="621227722">
      <w:bodyDiv w:val="1"/>
      <w:marLeft w:val="0"/>
      <w:marRight w:val="0"/>
      <w:marTop w:val="0"/>
      <w:marBottom w:val="0"/>
      <w:divBdr>
        <w:top w:val="none" w:sz="0" w:space="0" w:color="auto"/>
        <w:left w:val="none" w:sz="0" w:space="0" w:color="auto"/>
        <w:bottom w:val="none" w:sz="0" w:space="0" w:color="auto"/>
        <w:right w:val="none" w:sz="0" w:space="0" w:color="auto"/>
      </w:divBdr>
    </w:div>
    <w:div w:id="646202462">
      <w:bodyDiv w:val="1"/>
      <w:marLeft w:val="0"/>
      <w:marRight w:val="0"/>
      <w:marTop w:val="0"/>
      <w:marBottom w:val="0"/>
      <w:divBdr>
        <w:top w:val="none" w:sz="0" w:space="0" w:color="auto"/>
        <w:left w:val="none" w:sz="0" w:space="0" w:color="auto"/>
        <w:bottom w:val="none" w:sz="0" w:space="0" w:color="auto"/>
        <w:right w:val="none" w:sz="0" w:space="0" w:color="auto"/>
      </w:divBdr>
    </w:div>
    <w:div w:id="672728460">
      <w:bodyDiv w:val="1"/>
      <w:marLeft w:val="0"/>
      <w:marRight w:val="0"/>
      <w:marTop w:val="0"/>
      <w:marBottom w:val="0"/>
      <w:divBdr>
        <w:top w:val="none" w:sz="0" w:space="0" w:color="auto"/>
        <w:left w:val="none" w:sz="0" w:space="0" w:color="auto"/>
        <w:bottom w:val="none" w:sz="0" w:space="0" w:color="auto"/>
        <w:right w:val="none" w:sz="0" w:space="0" w:color="auto"/>
      </w:divBdr>
    </w:div>
    <w:div w:id="680089373">
      <w:bodyDiv w:val="1"/>
      <w:marLeft w:val="0"/>
      <w:marRight w:val="0"/>
      <w:marTop w:val="0"/>
      <w:marBottom w:val="0"/>
      <w:divBdr>
        <w:top w:val="none" w:sz="0" w:space="0" w:color="auto"/>
        <w:left w:val="none" w:sz="0" w:space="0" w:color="auto"/>
        <w:bottom w:val="none" w:sz="0" w:space="0" w:color="auto"/>
        <w:right w:val="none" w:sz="0" w:space="0" w:color="auto"/>
      </w:divBdr>
      <w:divsChild>
        <w:div w:id="1466390298">
          <w:marLeft w:val="0"/>
          <w:marRight w:val="0"/>
          <w:marTop w:val="0"/>
          <w:marBottom w:val="0"/>
          <w:divBdr>
            <w:top w:val="none" w:sz="0" w:space="0" w:color="auto"/>
            <w:left w:val="none" w:sz="0" w:space="0" w:color="auto"/>
            <w:bottom w:val="none" w:sz="0" w:space="0" w:color="auto"/>
            <w:right w:val="none" w:sz="0" w:space="0" w:color="auto"/>
          </w:divBdr>
          <w:divsChild>
            <w:div w:id="125511713">
              <w:marLeft w:val="0"/>
              <w:marRight w:val="0"/>
              <w:marTop w:val="0"/>
              <w:marBottom w:val="0"/>
              <w:divBdr>
                <w:top w:val="none" w:sz="0" w:space="0" w:color="auto"/>
                <w:left w:val="none" w:sz="0" w:space="0" w:color="auto"/>
                <w:bottom w:val="none" w:sz="0" w:space="0" w:color="auto"/>
                <w:right w:val="none" w:sz="0" w:space="0" w:color="auto"/>
              </w:divBdr>
            </w:div>
            <w:div w:id="464585990">
              <w:marLeft w:val="0"/>
              <w:marRight w:val="0"/>
              <w:marTop w:val="0"/>
              <w:marBottom w:val="0"/>
              <w:divBdr>
                <w:top w:val="none" w:sz="0" w:space="0" w:color="auto"/>
                <w:left w:val="none" w:sz="0" w:space="0" w:color="auto"/>
                <w:bottom w:val="none" w:sz="0" w:space="0" w:color="auto"/>
                <w:right w:val="none" w:sz="0" w:space="0" w:color="auto"/>
              </w:divBdr>
            </w:div>
            <w:div w:id="543981252">
              <w:marLeft w:val="0"/>
              <w:marRight w:val="0"/>
              <w:marTop w:val="0"/>
              <w:marBottom w:val="0"/>
              <w:divBdr>
                <w:top w:val="none" w:sz="0" w:space="0" w:color="auto"/>
                <w:left w:val="none" w:sz="0" w:space="0" w:color="auto"/>
                <w:bottom w:val="none" w:sz="0" w:space="0" w:color="auto"/>
                <w:right w:val="none" w:sz="0" w:space="0" w:color="auto"/>
              </w:divBdr>
            </w:div>
            <w:div w:id="1246107492">
              <w:marLeft w:val="0"/>
              <w:marRight w:val="0"/>
              <w:marTop w:val="0"/>
              <w:marBottom w:val="0"/>
              <w:divBdr>
                <w:top w:val="none" w:sz="0" w:space="0" w:color="auto"/>
                <w:left w:val="none" w:sz="0" w:space="0" w:color="auto"/>
                <w:bottom w:val="none" w:sz="0" w:space="0" w:color="auto"/>
                <w:right w:val="none" w:sz="0" w:space="0" w:color="auto"/>
              </w:divBdr>
            </w:div>
            <w:div w:id="1355577847">
              <w:marLeft w:val="0"/>
              <w:marRight w:val="0"/>
              <w:marTop w:val="0"/>
              <w:marBottom w:val="0"/>
              <w:divBdr>
                <w:top w:val="none" w:sz="0" w:space="0" w:color="auto"/>
                <w:left w:val="none" w:sz="0" w:space="0" w:color="auto"/>
                <w:bottom w:val="none" w:sz="0" w:space="0" w:color="auto"/>
                <w:right w:val="none" w:sz="0" w:space="0" w:color="auto"/>
              </w:divBdr>
            </w:div>
            <w:div w:id="1622682931">
              <w:marLeft w:val="0"/>
              <w:marRight w:val="0"/>
              <w:marTop w:val="0"/>
              <w:marBottom w:val="0"/>
              <w:divBdr>
                <w:top w:val="none" w:sz="0" w:space="0" w:color="auto"/>
                <w:left w:val="none" w:sz="0" w:space="0" w:color="auto"/>
                <w:bottom w:val="none" w:sz="0" w:space="0" w:color="auto"/>
                <w:right w:val="none" w:sz="0" w:space="0" w:color="auto"/>
              </w:divBdr>
            </w:div>
            <w:div w:id="1972591645">
              <w:marLeft w:val="0"/>
              <w:marRight w:val="0"/>
              <w:marTop w:val="0"/>
              <w:marBottom w:val="0"/>
              <w:divBdr>
                <w:top w:val="none" w:sz="0" w:space="0" w:color="auto"/>
                <w:left w:val="none" w:sz="0" w:space="0" w:color="auto"/>
                <w:bottom w:val="none" w:sz="0" w:space="0" w:color="auto"/>
                <w:right w:val="none" w:sz="0" w:space="0" w:color="auto"/>
              </w:divBdr>
              <w:divsChild>
                <w:div w:id="94637000">
                  <w:marLeft w:val="0"/>
                  <w:marRight w:val="0"/>
                  <w:marTop w:val="0"/>
                  <w:marBottom w:val="0"/>
                  <w:divBdr>
                    <w:top w:val="none" w:sz="0" w:space="0" w:color="auto"/>
                    <w:left w:val="none" w:sz="0" w:space="0" w:color="auto"/>
                    <w:bottom w:val="none" w:sz="0" w:space="0" w:color="auto"/>
                    <w:right w:val="none" w:sz="0" w:space="0" w:color="auto"/>
                  </w:divBdr>
                </w:div>
                <w:div w:id="433601093">
                  <w:marLeft w:val="0"/>
                  <w:marRight w:val="0"/>
                  <w:marTop w:val="0"/>
                  <w:marBottom w:val="0"/>
                  <w:divBdr>
                    <w:top w:val="none" w:sz="0" w:space="0" w:color="auto"/>
                    <w:left w:val="none" w:sz="0" w:space="0" w:color="auto"/>
                    <w:bottom w:val="none" w:sz="0" w:space="0" w:color="auto"/>
                    <w:right w:val="none" w:sz="0" w:space="0" w:color="auto"/>
                  </w:divBdr>
                </w:div>
                <w:div w:id="594093054">
                  <w:marLeft w:val="0"/>
                  <w:marRight w:val="0"/>
                  <w:marTop w:val="0"/>
                  <w:marBottom w:val="0"/>
                  <w:divBdr>
                    <w:top w:val="none" w:sz="0" w:space="0" w:color="auto"/>
                    <w:left w:val="none" w:sz="0" w:space="0" w:color="auto"/>
                    <w:bottom w:val="none" w:sz="0" w:space="0" w:color="auto"/>
                    <w:right w:val="none" w:sz="0" w:space="0" w:color="auto"/>
                  </w:divBdr>
                </w:div>
                <w:div w:id="17583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640645">
      <w:bodyDiv w:val="1"/>
      <w:marLeft w:val="0"/>
      <w:marRight w:val="0"/>
      <w:marTop w:val="0"/>
      <w:marBottom w:val="0"/>
      <w:divBdr>
        <w:top w:val="none" w:sz="0" w:space="0" w:color="auto"/>
        <w:left w:val="none" w:sz="0" w:space="0" w:color="auto"/>
        <w:bottom w:val="none" w:sz="0" w:space="0" w:color="auto"/>
        <w:right w:val="none" w:sz="0" w:space="0" w:color="auto"/>
      </w:divBdr>
    </w:div>
    <w:div w:id="733629609">
      <w:bodyDiv w:val="1"/>
      <w:marLeft w:val="0"/>
      <w:marRight w:val="0"/>
      <w:marTop w:val="0"/>
      <w:marBottom w:val="0"/>
      <w:divBdr>
        <w:top w:val="none" w:sz="0" w:space="0" w:color="auto"/>
        <w:left w:val="none" w:sz="0" w:space="0" w:color="auto"/>
        <w:bottom w:val="none" w:sz="0" w:space="0" w:color="auto"/>
        <w:right w:val="none" w:sz="0" w:space="0" w:color="auto"/>
      </w:divBdr>
    </w:div>
    <w:div w:id="756826818">
      <w:bodyDiv w:val="1"/>
      <w:marLeft w:val="0"/>
      <w:marRight w:val="0"/>
      <w:marTop w:val="0"/>
      <w:marBottom w:val="0"/>
      <w:divBdr>
        <w:top w:val="none" w:sz="0" w:space="0" w:color="auto"/>
        <w:left w:val="none" w:sz="0" w:space="0" w:color="auto"/>
        <w:bottom w:val="none" w:sz="0" w:space="0" w:color="auto"/>
        <w:right w:val="none" w:sz="0" w:space="0" w:color="auto"/>
      </w:divBdr>
    </w:div>
    <w:div w:id="770319682">
      <w:bodyDiv w:val="1"/>
      <w:marLeft w:val="0"/>
      <w:marRight w:val="0"/>
      <w:marTop w:val="0"/>
      <w:marBottom w:val="0"/>
      <w:divBdr>
        <w:top w:val="none" w:sz="0" w:space="0" w:color="auto"/>
        <w:left w:val="none" w:sz="0" w:space="0" w:color="auto"/>
        <w:bottom w:val="none" w:sz="0" w:space="0" w:color="auto"/>
        <w:right w:val="none" w:sz="0" w:space="0" w:color="auto"/>
      </w:divBdr>
    </w:div>
    <w:div w:id="832141606">
      <w:bodyDiv w:val="1"/>
      <w:marLeft w:val="0"/>
      <w:marRight w:val="0"/>
      <w:marTop w:val="0"/>
      <w:marBottom w:val="0"/>
      <w:divBdr>
        <w:top w:val="none" w:sz="0" w:space="0" w:color="auto"/>
        <w:left w:val="none" w:sz="0" w:space="0" w:color="auto"/>
        <w:bottom w:val="none" w:sz="0" w:space="0" w:color="auto"/>
        <w:right w:val="none" w:sz="0" w:space="0" w:color="auto"/>
      </w:divBdr>
    </w:div>
    <w:div w:id="859127704">
      <w:bodyDiv w:val="1"/>
      <w:marLeft w:val="0"/>
      <w:marRight w:val="0"/>
      <w:marTop w:val="0"/>
      <w:marBottom w:val="0"/>
      <w:divBdr>
        <w:top w:val="none" w:sz="0" w:space="0" w:color="auto"/>
        <w:left w:val="none" w:sz="0" w:space="0" w:color="auto"/>
        <w:bottom w:val="none" w:sz="0" w:space="0" w:color="auto"/>
        <w:right w:val="none" w:sz="0" w:space="0" w:color="auto"/>
      </w:divBdr>
    </w:div>
    <w:div w:id="882979739">
      <w:bodyDiv w:val="1"/>
      <w:marLeft w:val="0"/>
      <w:marRight w:val="0"/>
      <w:marTop w:val="0"/>
      <w:marBottom w:val="0"/>
      <w:divBdr>
        <w:top w:val="none" w:sz="0" w:space="0" w:color="auto"/>
        <w:left w:val="none" w:sz="0" w:space="0" w:color="auto"/>
        <w:bottom w:val="none" w:sz="0" w:space="0" w:color="auto"/>
        <w:right w:val="none" w:sz="0" w:space="0" w:color="auto"/>
      </w:divBdr>
    </w:div>
    <w:div w:id="885683434">
      <w:bodyDiv w:val="1"/>
      <w:marLeft w:val="0"/>
      <w:marRight w:val="0"/>
      <w:marTop w:val="0"/>
      <w:marBottom w:val="0"/>
      <w:divBdr>
        <w:top w:val="none" w:sz="0" w:space="0" w:color="auto"/>
        <w:left w:val="none" w:sz="0" w:space="0" w:color="auto"/>
        <w:bottom w:val="none" w:sz="0" w:space="0" w:color="auto"/>
        <w:right w:val="none" w:sz="0" w:space="0" w:color="auto"/>
      </w:divBdr>
    </w:div>
    <w:div w:id="925385419">
      <w:bodyDiv w:val="1"/>
      <w:marLeft w:val="0"/>
      <w:marRight w:val="0"/>
      <w:marTop w:val="0"/>
      <w:marBottom w:val="0"/>
      <w:divBdr>
        <w:top w:val="none" w:sz="0" w:space="0" w:color="auto"/>
        <w:left w:val="none" w:sz="0" w:space="0" w:color="auto"/>
        <w:bottom w:val="none" w:sz="0" w:space="0" w:color="auto"/>
        <w:right w:val="none" w:sz="0" w:space="0" w:color="auto"/>
      </w:divBdr>
    </w:div>
    <w:div w:id="927234626">
      <w:bodyDiv w:val="1"/>
      <w:marLeft w:val="0"/>
      <w:marRight w:val="0"/>
      <w:marTop w:val="0"/>
      <w:marBottom w:val="0"/>
      <w:divBdr>
        <w:top w:val="none" w:sz="0" w:space="0" w:color="auto"/>
        <w:left w:val="none" w:sz="0" w:space="0" w:color="auto"/>
        <w:bottom w:val="none" w:sz="0" w:space="0" w:color="auto"/>
        <w:right w:val="none" w:sz="0" w:space="0" w:color="auto"/>
      </w:divBdr>
    </w:div>
    <w:div w:id="928545938">
      <w:bodyDiv w:val="1"/>
      <w:marLeft w:val="0"/>
      <w:marRight w:val="0"/>
      <w:marTop w:val="0"/>
      <w:marBottom w:val="0"/>
      <w:divBdr>
        <w:top w:val="none" w:sz="0" w:space="0" w:color="auto"/>
        <w:left w:val="none" w:sz="0" w:space="0" w:color="auto"/>
        <w:bottom w:val="none" w:sz="0" w:space="0" w:color="auto"/>
        <w:right w:val="none" w:sz="0" w:space="0" w:color="auto"/>
      </w:divBdr>
    </w:div>
    <w:div w:id="962810955">
      <w:bodyDiv w:val="1"/>
      <w:marLeft w:val="0"/>
      <w:marRight w:val="0"/>
      <w:marTop w:val="0"/>
      <w:marBottom w:val="0"/>
      <w:divBdr>
        <w:top w:val="none" w:sz="0" w:space="0" w:color="auto"/>
        <w:left w:val="none" w:sz="0" w:space="0" w:color="auto"/>
        <w:bottom w:val="none" w:sz="0" w:space="0" w:color="auto"/>
        <w:right w:val="none" w:sz="0" w:space="0" w:color="auto"/>
      </w:divBdr>
    </w:div>
    <w:div w:id="990206935">
      <w:bodyDiv w:val="1"/>
      <w:marLeft w:val="0"/>
      <w:marRight w:val="0"/>
      <w:marTop w:val="0"/>
      <w:marBottom w:val="0"/>
      <w:divBdr>
        <w:top w:val="none" w:sz="0" w:space="0" w:color="auto"/>
        <w:left w:val="none" w:sz="0" w:space="0" w:color="auto"/>
        <w:bottom w:val="none" w:sz="0" w:space="0" w:color="auto"/>
        <w:right w:val="none" w:sz="0" w:space="0" w:color="auto"/>
      </w:divBdr>
    </w:div>
    <w:div w:id="996112067">
      <w:bodyDiv w:val="1"/>
      <w:marLeft w:val="0"/>
      <w:marRight w:val="0"/>
      <w:marTop w:val="0"/>
      <w:marBottom w:val="0"/>
      <w:divBdr>
        <w:top w:val="none" w:sz="0" w:space="0" w:color="auto"/>
        <w:left w:val="none" w:sz="0" w:space="0" w:color="auto"/>
        <w:bottom w:val="none" w:sz="0" w:space="0" w:color="auto"/>
        <w:right w:val="none" w:sz="0" w:space="0" w:color="auto"/>
      </w:divBdr>
    </w:div>
    <w:div w:id="1028724216">
      <w:bodyDiv w:val="1"/>
      <w:marLeft w:val="0"/>
      <w:marRight w:val="0"/>
      <w:marTop w:val="0"/>
      <w:marBottom w:val="0"/>
      <w:divBdr>
        <w:top w:val="none" w:sz="0" w:space="0" w:color="auto"/>
        <w:left w:val="none" w:sz="0" w:space="0" w:color="auto"/>
        <w:bottom w:val="none" w:sz="0" w:space="0" w:color="auto"/>
        <w:right w:val="none" w:sz="0" w:space="0" w:color="auto"/>
      </w:divBdr>
    </w:div>
    <w:div w:id="1066077028">
      <w:bodyDiv w:val="1"/>
      <w:marLeft w:val="0"/>
      <w:marRight w:val="0"/>
      <w:marTop w:val="0"/>
      <w:marBottom w:val="0"/>
      <w:divBdr>
        <w:top w:val="none" w:sz="0" w:space="0" w:color="auto"/>
        <w:left w:val="none" w:sz="0" w:space="0" w:color="auto"/>
        <w:bottom w:val="none" w:sz="0" w:space="0" w:color="auto"/>
        <w:right w:val="none" w:sz="0" w:space="0" w:color="auto"/>
      </w:divBdr>
    </w:div>
    <w:div w:id="1080372023">
      <w:bodyDiv w:val="1"/>
      <w:marLeft w:val="0"/>
      <w:marRight w:val="0"/>
      <w:marTop w:val="0"/>
      <w:marBottom w:val="0"/>
      <w:divBdr>
        <w:top w:val="none" w:sz="0" w:space="0" w:color="auto"/>
        <w:left w:val="none" w:sz="0" w:space="0" w:color="auto"/>
        <w:bottom w:val="none" w:sz="0" w:space="0" w:color="auto"/>
        <w:right w:val="none" w:sz="0" w:space="0" w:color="auto"/>
      </w:divBdr>
    </w:div>
    <w:div w:id="1086196516">
      <w:bodyDiv w:val="1"/>
      <w:marLeft w:val="0"/>
      <w:marRight w:val="0"/>
      <w:marTop w:val="0"/>
      <w:marBottom w:val="0"/>
      <w:divBdr>
        <w:top w:val="none" w:sz="0" w:space="0" w:color="auto"/>
        <w:left w:val="none" w:sz="0" w:space="0" w:color="auto"/>
        <w:bottom w:val="none" w:sz="0" w:space="0" w:color="auto"/>
        <w:right w:val="none" w:sz="0" w:space="0" w:color="auto"/>
      </w:divBdr>
    </w:div>
    <w:div w:id="1128889679">
      <w:bodyDiv w:val="1"/>
      <w:marLeft w:val="0"/>
      <w:marRight w:val="0"/>
      <w:marTop w:val="0"/>
      <w:marBottom w:val="0"/>
      <w:divBdr>
        <w:top w:val="none" w:sz="0" w:space="0" w:color="auto"/>
        <w:left w:val="none" w:sz="0" w:space="0" w:color="auto"/>
        <w:bottom w:val="none" w:sz="0" w:space="0" w:color="auto"/>
        <w:right w:val="none" w:sz="0" w:space="0" w:color="auto"/>
      </w:divBdr>
    </w:div>
    <w:div w:id="1226181570">
      <w:bodyDiv w:val="1"/>
      <w:marLeft w:val="0"/>
      <w:marRight w:val="0"/>
      <w:marTop w:val="0"/>
      <w:marBottom w:val="0"/>
      <w:divBdr>
        <w:top w:val="none" w:sz="0" w:space="0" w:color="auto"/>
        <w:left w:val="none" w:sz="0" w:space="0" w:color="auto"/>
        <w:bottom w:val="none" w:sz="0" w:space="0" w:color="auto"/>
        <w:right w:val="none" w:sz="0" w:space="0" w:color="auto"/>
      </w:divBdr>
    </w:div>
    <w:div w:id="1229926985">
      <w:bodyDiv w:val="1"/>
      <w:marLeft w:val="0"/>
      <w:marRight w:val="0"/>
      <w:marTop w:val="0"/>
      <w:marBottom w:val="0"/>
      <w:divBdr>
        <w:top w:val="none" w:sz="0" w:space="0" w:color="auto"/>
        <w:left w:val="none" w:sz="0" w:space="0" w:color="auto"/>
        <w:bottom w:val="none" w:sz="0" w:space="0" w:color="auto"/>
        <w:right w:val="none" w:sz="0" w:space="0" w:color="auto"/>
      </w:divBdr>
    </w:div>
    <w:div w:id="1430153774">
      <w:bodyDiv w:val="1"/>
      <w:marLeft w:val="0"/>
      <w:marRight w:val="0"/>
      <w:marTop w:val="0"/>
      <w:marBottom w:val="0"/>
      <w:divBdr>
        <w:top w:val="none" w:sz="0" w:space="0" w:color="auto"/>
        <w:left w:val="none" w:sz="0" w:space="0" w:color="auto"/>
        <w:bottom w:val="none" w:sz="0" w:space="0" w:color="auto"/>
        <w:right w:val="none" w:sz="0" w:space="0" w:color="auto"/>
      </w:divBdr>
    </w:div>
    <w:div w:id="1459687184">
      <w:bodyDiv w:val="1"/>
      <w:marLeft w:val="0"/>
      <w:marRight w:val="0"/>
      <w:marTop w:val="0"/>
      <w:marBottom w:val="0"/>
      <w:divBdr>
        <w:top w:val="none" w:sz="0" w:space="0" w:color="auto"/>
        <w:left w:val="none" w:sz="0" w:space="0" w:color="auto"/>
        <w:bottom w:val="none" w:sz="0" w:space="0" w:color="auto"/>
        <w:right w:val="none" w:sz="0" w:space="0" w:color="auto"/>
      </w:divBdr>
    </w:div>
    <w:div w:id="1476531092">
      <w:bodyDiv w:val="1"/>
      <w:marLeft w:val="0"/>
      <w:marRight w:val="0"/>
      <w:marTop w:val="0"/>
      <w:marBottom w:val="0"/>
      <w:divBdr>
        <w:top w:val="none" w:sz="0" w:space="0" w:color="auto"/>
        <w:left w:val="none" w:sz="0" w:space="0" w:color="auto"/>
        <w:bottom w:val="none" w:sz="0" w:space="0" w:color="auto"/>
        <w:right w:val="none" w:sz="0" w:space="0" w:color="auto"/>
      </w:divBdr>
    </w:div>
    <w:div w:id="1552766136">
      <w:bodyDiv w:val="1"/>
      <w:marLeft w:val="0"/>
      <w:marRight w:val="0"/>
      <w:marTop w:val="0"/>
      <w:marBottom w:val="0"/>
      <w:divBdr>
        <w:top w:val="none" w:sz="0" w:space="0" w:color="auto"/>
        <w:left w:val="none" w:sz="0" w:space="0" w:color="auto"/>
        <w:bottom w:val="none" w:sz="0" w:space="0" w:color="auto"/>
        <w:right w:val="none" w:sz="0" w:space="0" w:color="auto"/>
      </w:divBdr>
    </w:div>
    <w:div w:id="1599291684">
      <w:bodyDiv w:val="1"/>
      <w:marLeft w:val="0"/>
      <w:marRight w:val="0"/>
      <w:marTop w:val="0"/>
      <w:marBottom w:val="0"/>
      <w:divBdr>
        <w:top w:val="none" w:sz="0" w:space="0" w:color="auto"/>
        <w:left w:val="none" w:sz="0" w:space="0" w:color="auto"/>
        <w:bottom w:val="none" w:sz="0" w:space="0" w:color="auto"/>
        <w:right w:val="none" w:sz="0" w:space="0" w:color="auto"/>
      </w:divBdr>
    </w:div>
    <w:div w:id="1619409010">
      <w:bodyDiv w:val="1"/>
      <w:marLeft w:val="0"/>
      <w:marRight w:val="0"/>
      <w:marTop w:val="0"/>
      <w:marBottom w:val="0"/>
      <w:divBdr>
        <w:top w:val="none" w:sz="0" w:space="0" w:color="auto"/>
        <w:left w:val="none" w:sz="0" w:space="0" w:color="auto"/>
        <w:bottom w:val="none" w:sz="0" w:space="0" w:color="auto"/>
        <w:right w:val="none" w:sz="0" w:space="0" w:color="auto"/>
      </w:divBdr>
      <w:divsChild>
        <w:div w:id="1661274021">
          <w:marLeft w:val="0"/>
          <w:marRight w:val="0"/>
          <w:marTop w:val="0"/>
          <w:marBottom w:val="0"/>
          <w:divBdr>
            <w:top w:val="none" w:sz="0" w:space="0" w:color="auto"/>
            <w:left w:val="none" w:sz="0" w:space="0" w:color="auto"/>
            <w:bottom w:val="none" w:sz="0" w:space="0" w:color="auto"/>
            <w:right w:val="none" w:sz="0" w:space="0" w:color="auto"/>
          </w:divBdr>
        </w:div>
      </w:divsChild>
    </w:div>
    <w:div w:id="1713384145">
      <w:bodyDiv w:val="1"/>
      <w:marLeft w:val="0"/>
      <w:marRight w:val="0"/>
      <w:marTop w:val="0"/>
      <w:marBottom w:val="0"/>
      <w:divBdr>
        <w:top w:val="none" w:sz="0" w:space="0" w:color="auto"/>
        <w:left w:val="none" w:sz="0" w:space="0" w:color="auto"/>
        <w:bottom w:val="none" w:sz="0" w:space="0" w:color="auto"/>
        <w:right w:val="none" w:sz="0" w:space="0" w:color="auto"/>
      </w:divBdr>
    </w:div>
    <w:div w:id="1758016547">
      <w:bodyDiv w:val="1"/>
      <w:marLeft w:val="0"/>
      <w:marRight w:val="0"/>
      <w:marTop w:val="0"/>
      <w:marBottom w:val="0"/>
      <w:divBdr>
        <w:top w:val="none" w:sz="0" w:space="0" w:color="auto"/>
        <w:left w:val="none" w:sz="0" w:space="0" w:color="auto"/>
        <w:bottom w:val="none" w:sz="0" w:space="0" w:color="auto"/>
        <w:right w:val="none" w:sz="0" w:space="0" w:color="auto"/>
      </w:divBdr>
    </w:div>
    <w:div w:id="1792627231">
      <w:bodyDiv w:val="1"/>
      <w:marLeft w:val="0"/>
      <w:marRight w:val="0"/>
      <w:marTop w:val="0"/>
      <w:marBottom w:val="0"/>
      <w:divBdr>
        <w:top w:val="none" w:sz="0" w:space="0" w:color="auto"/>
        <w:left w:val="none" w:sz="0" w:space="0" w:color="auto"/>
        <w:bottom w:val="none" w:sz="0" w:space="0" w:color="auto"/>
        <w:right w:val="none" w:sz="0" w:space="0" w:color="auto"/>
      </w:divBdr>
    </w:div>
    <w:div w:id="1807383819">
      <w:bodyDiv w:val="1"/>
      <w:marLeft w:val="0"/>
      <w:marRight w:val="0"/>
      <w:marTop w:val="0"/>
      <w:marBottom w:val="0"/>
      <w:divBdr>
        <w:top w:val="none" w:sz="0" w:space="0" w:color="auto"/>
        <w:left w:val="none" w:sz="0" w:space="0" w:color="auto"/>
        <w:bottom w:val="none" w:sz="0" w:space="0" w:color="auto"/>
        <w:right w:val="none" w:sz="0" w:space="0" w:color="auto"/>
      </w:divBdr>
    </w:div>
    <w:div w:id="1811289851">
      <w:bodyDiv w:val="1"/>
      <w:marLeft w:val="0"/>
      <w:marRight w:val="0"/>
      <w:marTop w:val="0"/>
      <w:marBottom w:val="0"/>
      <w:divBdr>
        <w:top w:val="none" w:sz="0" w:space="0" w:color="auto"/>
        <w:left w:val="none" w:sz="0" w:space="0" w:color="auto"/>
        <w:bottom w:val="none" w:sz="0" w:space="0" w:color="auto"/>
        <w:right w:val="none" w:sz="0" w:space="0" w:color="auto"/>
      </w:divBdr>
    </w:div>
    <w:div w:id="1857423502">
      <w:bodyDiv w:val="1"/>
      <w:marLeft w:val="0"/>
      <w:marRight w:val="0"/>
      <w:marTop w:val="0"/>
      <w:marBottom w:val="0"/>
      <w:divBdr>
        <w:top w:val="none" w:sz="0" w:space="0" w:color="auto"/>
        <w:left w:val="none" w:sz="0" w:space="0" w:color="auto"/>
        <w:bottom w:val="none" w:sz="0" w:space="0" w:color="auto"/>
        <w:right w:val="none" w:sz="0" w:space="0" w:color="auto"/>
      </w:divBdr>
    </w:div>
    <w:div w:id="1866208489">
      <w:bodyDiv w:val="1"/>
      <w:marLeft w:val="0"/>
      <w:marRight w:val="0"/>
      <w:marTop w:val="0"/>
      <w:marBottom w:val="0"/>
      <w:divBdr>
        <w:top w:val="none" w:sz="0" w:space="0" w:color="auto"/>
        <w:left w:val="none" w:sz="0" w:space="0" w:color="auto"/>
        <w:bottom w:val="none" w:sz="0" w:space="0" w:color="auto"/>
        <w:right w:val="none" w:sz="0" w:space="0" w:color="auto"/>
      </w:divBdr>
    </w:div>
    <w:div w:id="1878614310">
      <w:bodyDiv w:val="1"/>
      <w:marLeft w:val="0"/>
      <w:marRight w:val="0"/>
      <w:marTop w:val="0"/>
      <w:marBottom w:val="0"/>
      <w:divBdr>
        <w:top w:val="none" w:sz="0" w:space="0" w:color="auto"/>
        <w:left w:val="none" w:sz="0" w:space="0" w:color="auto"/>
        <w:bottom w:val="none" w:sz="0" w:space="0" w:color="auto"/>
        <w:right w:val="none" w:sz="0" w:space="0" w:color="auto"/>
      </w:divBdr>
    </w:div>
    <w:div w:id="1881891797">
      <w:bodyDiv w:val="1"/>
      <w:marLeft w:val="0"/>
      <w:marRight w:val="0"/>
      <w:marTop w:val="0"/>
      <w:marBottom w:val="0"/>
      <w:divBdr>
        <w:top w:val="none" w:sz="0" w:space="0" w:color="auto"/>
        <w:left w:val="none" w:sz="0" w:space="0" w:color="auto"/>
        <w:bottom w:val="none" w:sz="0" w:space="0" w:color="auto"/>
        <w:right w:val="none" w:sz="0" w:space="0" w:color="auto"/>
      </w:divBdr>
    </w:div>
    <w:div w:id="1925602337">
      <w:bodyDiv w:val="1"/>
      <w:marLeft w:val="0"/>
      <w:marRight w:val="0"/>
      <w:marTop w:val="0"/>
      <w:marBottom w:val="0"/>
      <w:divBdr>
        <w:top w:val="none" w:sz="0" w:space="0" w:color="auto"/>
        <w:left w:val="none" w:sz="0" w:space="0" w:color="auto"/>
        <w:bottom w:val="none" w:sz="0" w:space="0" w:color="auto"/>
        <w:right w:val="none" w:sz="0" w:space="0" w:color="auto"/>
      </w:divBdr>
    </w:div>
    <w:div w:id="1973561676">
      <w:bodyDiv w:val="1"/>
      <w:marLeft w:val="0"/>
      <w:marRight w:val="0"/>
      <w:marTop w:val="0"/>
      <w:marBottom w:val="0"/>
      <w:divBdr>
        <w:top w:val="none" w:sz="0" w:space="0" w:color="auto"/>
        <w:left w:val="none" w:sz="0" w:space="0" w:color="auto"/>
        <w:bottom w:val="none" w:sz="0" w:space="0" w:color="auto"/>
        <w:right w:val="none" w:sz="0" w:space="0" w:color="auto"/>
      </w:divBdr>
    </w:div>
    <w:div w:id="1974168241">
      <w:bodyDiv w:val="1"/>
      <w:marLeft w:val="0"/>
      <w:marRight w:val="0"/>
      <w:marTop w:val="0"/>
      <w:marBottom w:val="0"/>
      <w:divBdr>
        <w:top w:val="none" w:sz="0" w:space="0" w:color="auto"/>
        <w:left w:val="none" w:sz="0" w:space="0" w:color="auto"/>
        <w:bottom w:val="none" w:sz="0" w:space="0" w:color="auto"/>
        <w:right w:val="none" w:sz="0" w:space="0" w:color="auto"/>
      </w:divBdr>
    </w:div>
    <w:div w:id="1997302119">
      <w:bodyDiv w:val="1"/>
      <w:marLeft w:val="0"/>
      <w:marRight w:val="0"/>
      <w:marTop w:val="0"/>
      <w:marBottom w:val="0"/>
      <w:divBdr>
        <w:top w:val="none" w:sz="0" w:space="0" w:color="auto"/>
        <w:left w:val="none" w:sz="0" w:space="0" w:color="auto"/>
        <w:bottom w:val="none" w:sz="0" w:space="0" w:color="auto"/>
        <w:right w:val="none" w:sz="0" w:space="0" w:color="auto"/>
      </w:divBdr>
    </w:div>
    <w:div w:id="2016688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ec.europa.eu/eurostat/databrowser/bookmark/86272a28-7721-4a8d-8775-bfdcdf0fc1c2?lang=en&amp;createdAt=2026-02-25T15:07:09Z"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c.europa.eu/eurostat/databrowser/bookmark/926b4a08-f177-4101-bd78-799b4cced662?lang=en&amp;createdAt=2026-02-17T09:44:25Z"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www.eesc.europa.eu/sites/default/files/2025-06/eu-uk_dags_joint_statement_2025.pdf" TargetMode="External"/><Relationship Id="rId18" Type="http://schemas.openxmlformats.org/officeDocument/2006/relationships/hyperlink" Target="https://pcacases.com/web/sendAttach/70467" TargetMode="External"/><Relationship Id="rId26" Type="http://schemas.openxmlformats.org/officeDocument/2006/relationships/hyperlink" Target="https://ec.europa.eu/eurostat/web/international-trade-in-services/overview" TargetMode="External"/><Relationship Id="rId39" Type="http://schemas.openxmlformats.org/officeDocument/2006/relationships/hyperlink" Target="https://ec.europa.eu/commission/presscorner/detail/en/statement_25_3103" TargetMode="External"/><Relationship Id="rId21" Type="http://schemas.openxmlformats.org/officeDocument/2006/relationships/hyperlink" Target="https://ec.europa.eu/eurostat/web/international-trade-in-goods/overview" TargetMode="External"/><Relationship Id="rId34" Type="http://schemas.openxmlformats.org/officeDocument/2006/relationships/hyperlink" Target="https://eur-lex.europa.eu/legal-content/EN/TXT/?uri=OJ:L_202502331" TargetMode="External"/><Relationship Id="rId42" Type="http://schemas.openxmlformats.org/officeDocument/2006/relationships/hyperlink" Target="https://www.legislation.gov.uk/uksi/2025/845/made" TargetMode="External"/><Relationship Id="rId47" Type="http://schemas.openxmlformats.org/officeDocument/2006/relationships/hyperlink" Target="https://www.legislation.gov.uk/ukpga/2025/20" TargetMode="External"/><Relationship Id="rId50" Type="http://schemas.openxmlformats.org/officeDocument/2006/relationships/hyperlink" Target="https://commission.europa.eu/document/download/6f636fa0-30d4-4c05-a713-64484ad913fa_en?filename=Draft%20Renewal%20of%20EU%20adequacy%20decision%20for%20the%20UK%20under%20the%20GDPR.pdf" TargetMode="External"/><Relationship Id="rId55" Type="http://schemas.openxmlformats.org/officeDocument/2006/relationships/hyperlink" Target="https://eur-lex.europa.eu/legal-content/EN/TXT/?uri=OJ%3AL_202501232" TargetMode="External"/><Relationship Id="rId7" Type="http://schemas.openxmlformats.org/officeDocument/2006/relationships/hyperlink" Target="http://data.europa.eu/eli/dec/2021/689/oj" TargetMode="External"/><Relationship Id="rId2" Type="http://schemas.openxmlformats.org/officeDocument/2006/relationships/hyperlink" Target="https://eur-lex.europa.eu/legal-content/EN/TXT/?uri=CELEX%3A12019W/TXT%2802%29" TargetMode="External"/><Relationship Id="rId16" Type="http://schemas.openxmlformats.org/officeDocument/2006/relationships/hyperlink" Target="https://ec.europa.eu/assets/sg/complaint_eu_uk_tca/complaints_en/" TargetMode="External"/><Relationship Id="rId20" Type="http://schemas.openxmlformats.org/officeDocument/2006/relationships/hyperlink" Target="https://policy.trade.ec.europa.eu/enforcement-and-protection/implementing-and-enforcing-eu-trade-agreements_en" TargetMode="External"/><Relationship Id="rId29" Type="http://schemas.openxmlformats.org/officeDocument/2006/relationships/hyperlink" Target="https://eur-lex.europa.eu/legal-content/EN/TXT/?uri=OJ%3AL_202501230" TargetMode="External"/><Relationship Id="rId41" Type="http://schemas.openxmlformats.org/officeDocument/2006/relationships/hyperlink" Target="https://www.legislation.gov.uk/ukpga/2022/23" TargetMode="External"/><Relationship Id="rId54" Type="http://schemas.openxmlformats.org/officeDocument/2006/relationships/hyperlink" Target="https://eur-lex.europa.eu/legal-content/EN/TXT/?uri=OJ%3AL_202501230" TargetMode="External"/><Relationship Id="rId62" Type="http://schemas.openxmlformats.org/officeDocument/2006/relationships/hyperlink" Target="https://eur-lex.europa.eu/legal-content/EN/TXT/?uri=OJ%3AL_202501230" TargetMode="External"/><Relationship Id="rId1" Type="http://schemas.openxmlformats.org/officeDocument/2006/relationships/hyperlink" Target="https://www.consilium.europa.eu/media/1edla1hi/eu-uk_joint-statement.pdf" TargetMode="External"/><Relationship Id="rId6" Type="http://schemas.openxmlformats.org/officeDocument/2006/relationships/hyperlink" Target="https://ec.europa.eu/commission/presscorner/detail/en/statement_25_3103" TargetMode="External"/><Relationship Id="rId11" Type="http://schemas.openxmlformats.org/officeDocument/2006/relationships/hyperlink" Target="https://www.europarl.europa.eu/cmsdata/300310/6th%20PPA%20-%20Recommendation%20on%20trade,%20security%20and%20global%20challenges.pdf" TargetMode="External"/><Relationship Id="rId24" Type="http://schemas.openxmlformats.org/officeDocument/2006/relationships/hyperlink" Target="https://finance.ec.europa.eu/eu-and-world/bilateral-relations/regulatory-dialogues-united-kingdom_en" TargetMode="External"/><Relationship Id="rId32" Type="http://schemas.openxmlformats.org/officeDocument/2006/relationships/hyperlink" Target="https://eur-lex.europa.eu/legal-content/EN/TXT/?uri=CELEX%3A22025D0705&amp;qid=1756375999645" TargetMode="External"/><Relationship Id="rId37" Type="http://schemas.openxmlformats.org/officeDocument/2006/relationships/hyperlink" Target="https://eur-lex.europa.eu/legal-content/EN/TXT/?uri=OJ:C_202506451" TargetMode="External"/><Relationship Id="rId40" Type="http://schemas.openxmlformats.org/officeDocument/2006/relationships/hyperlink" Target="https://eur-lex.europa.eu/eli/dec/2025/1286/oj/eng" TargetMode="External"/><Relationship Id="rId45" Type="http://schemas.openxmlformats.org/officeDocument/2006/relationships/hyperlink" Target="https://www.legislation.gov.uk/ukpga/2025/16" TargetMode="External"/><Relationship Id="rId53" Type="http://schemas.openxmlformats.org/officeDocument/2006/relationships/hyperlink" Target="https://eur-lex.europa.eu/legal-content/EN/TXT/?uri=OJ%3AL_202501229" TargetMode="External"/><Relationship Id="rId58" Type="http://schemas.openxmlformats.org/officeDocument/2006/relationships/hyperlink" Target="https://eur-lex.europa.eu/legal-content/EN/TXT/?uri=OJ:L_202502329" TargetMode="External"/><Relationship Id="rId5" Type="http://schemas.openxmlformats.org/officeDocument/2006/relationships/hyperlink" Target="https://ec.europa.eu/commission/presscorner/detail/en/statement_25_1267" TargetMode="External"/><Relationship Id="rId15" Type="http://schemas.openxmlformats.org/officeDocument/2006/relationships/hyperlink" Target="https://commission.europa.eu/strategy-and-policy/relations-united-kingdom/eu-uk-trade-and-cooperation-agreement/meetings-eu-uk-partnership-council-and-specialised-committees-under-trade-and-cooperation-agreement/fourth-meeting-partnership-council_en" TargetMode="External"/><Relationship Id="rId23" Type="http://schemas.openxmlformats.org/officeDocument/2006/relationships/hyperlink" Target="https://finance.ec.europa.eu/system/files/2023-09/230627-memorandum-understanding-financial-services-eu-uk_en.pdf" TargetMode="External"/><Relationship Id="rId28" Type="http://schemas.openxmlformats.org/officeDocument/2006/relationships/hyperlink" Target="https://eur-lex.europa.eu/legal-content/EN/TXT/?uri=OJ%3AL_202501232" TargetMode="External"/><Relationship Id="rId36" Type="http://schemas.openxmlformats.org/officeDocument/2006/relationships/hyperlink" Target="https://eur-lex.europa.eu/legal-content/EN/TXT/?uri=OJ:L_202501231" TargetMode="External"/><Relationship Id="rId49" Type="http://schemas.openxmlformats.org/officeDocument/2006/relationships/hyperlink" Target="https://commission.europa.eu/document/download/adaf1cfc-6c2d-43a4-9e9a-928c64f2f983_en?filename=Extension%20of%20the%20UK%20Data%20Adequacy%20Decision.pdf" TargetMode="External"/><Relationship Id="rId57" Type="http://schemas.openxmlformats.org/officeDocument/2006/relationships/hyperlink" Target="https://eur-lex.europa.eu/legal-content/EN/TXT/?uri=OJ:L_202501755" TargetMode="External"/><Relationship Id="rId61" Type="http://schemas.openxmlformats.org/officeDocument/2006/relationships/hyperlink" Target="https://eur-lex.europa.eu/legal-content/EN/TXT/?uri=OJ%3AL_202501232" TargetMode="External"/><Relationship Id="rId10" Type="http://schemas.openxmlformats.org/officeDocument/2006/relationships/hyperlink" Target="https://www.europarl.europa.eu/cmsdata/293904/5th%20PPA%20Recommendation%2017.03.25.pdf" TargetMode="External"/><Relationship Id="rId19" Type="http://schemas.openxmlformats.org/officeDocument/2006/relationships/hyperlink" Target="https://eur-lex.europa.eu/legal-content/EN/TXT/HTML/?uri=CELEX:52026PC0089" TargetMode="External"/><Relationship Id="rId31" Type="http://schemas.openxmlformats.org/officeDocument/2006/relationships/hyperlink" Target="https://eur-lex.europa.eu/legal-content/EN/TXT/HTML/?uri=COM:2025:804:FIN" TargetMode="External"/><Relationship Id="rId44" Type="http://schemas.openxmlformats.org/officeDocument/2006/relationships/hyperlink" Target="https://eur-lex.europa.eu/legal-content/EN/TXT/?uri=celex:52024DC0127" TargetMode="External"/><Relationship Id="rId52" Type="http://schemas.openxmlformats.org/officeDocument/2006/relationships/hyperlink" Target="https://ec.europa.eu/info/strategy/relations-non-eu-countries/relations-united-kingdom/eu-uk-trade-and-cooperation-agreement/meetings-eu-uk-partnership-council-and-specialised-committees-under-trade-and-cooperation-agreement_en" TargetMode="External"/><Relationship Id="rId60" Type="http://schemas.openxmlformats.org/officeDocument/2006/relationships/hyperlink" Target="https://eur-lex.europa.eu/legal-content/EN/TXT/?uri=OJ:L_202501231" TargetMode="External"/><Relationship Id="rId4" Type="http://schemas.openxmlformats.org/officeDocument/2006/relationships/hyperlink" Target="https://eur-lex.europa.eu/eli/agree_internation/2021/689(1)/oj/eng" TargetMode="External"/><Relationship Id="rId9" Type="http://schemas.openxmlformats.org/officeDocument/2006/relationships/hyperlink" Target="https://www.europarl.europa.eu/delegations/en/d-uk/activities/inter-parliamentary" TargetMode="External"/><Relationship Id="rId14" Type="http://schemas.openxmlformats.org/officeDocument/2006/relationships/hyperlink" Target="https://policy.trade.ec.europa.eu/events/fourth-eu-uk-trade-and-cooperation-agreement-civil-society-forum-2025-06-24_en" TargetMode="External"/><Relationship Id="rId22" Type="http://schemas.openxmlformats.org/officeDocument/2006/relationships/hyperlink" Target="https://www.gov.uk/service-supplier-visa/eligibility" TargetMode="External"/><Relationship Id="rId27" Type="http://schemas.openxmlformats.org/officeDocument/2006/relationships/hyperlink" Target="https://ec.europa.eu/commission/presscorner/detail/en/ip_26_454" TargetMode="External"/><Relationship Id="rId30" Type="http://schemas.openxmlformats.org/officeDocument/2006/relationships/hyperlink" Target="https://eur-lex.europa.eu/legal-content/EN/TXT/?uri=CELEX%3A22025D0706&amp;qid=1756374227559" TargetMode="External"/><Relationship Id="rId35" Type="http://schemas.openxmlformats.org/officeDocument/2006/relationships/hyperlink" Target="https://eur-lex.europa.eu/legal-content/EN/TXT/?uri=OJ%3AL_202501229" TargetMode="External"/><Relationship Id="rId43" Type="http://schemas.openxmlformats.org/officeDocument/2006/relationships/hyperlink" Target="https://www.legislation.gov.uk/ukpga/2023/39" TargetMode="External"/><Relationship Id="rId48" Type="http://schemas.openxmlformats.org/officeDocument/2006/relationships/hyperlink" Target="https://www.legislation.gov.uk/ukpga/2025/18/contents" TargetMode="External"/><Relationship Id="rId56" Type="http://schemas.openxmlformats.org/officeDocument/2006/relationships/hyperlink" Target="https://eur-lex.europa.eu/legal-content/EN/TXT/?uri=OJ:L_202501231" TargetMode="External"/><Relationship Id="rId8" Type="http://schemas.openxmlformats.org/officeDocument/2006/relationships/hyperlink" Target="https://www.europarl.europa.eu/delegations/en/5th-eu-uk-parliamentary-partnership-asse/product-details/20250224DPU39839" TargetMode="External"/><Relationship Id="rId51" Type="http://schemas.openxmlformats.org/officeDocument/2006/relationships/hyperlink" Target="https://ec.europa.eu/commission/presscorner/detail/en/ip_25_3059" TargetMode="External"/><Relationship Id="rId3" Type="http://schemas.openxmlformats.org/officeDocument/2006/relationships/hyperlink" Target="https://commission.europa.eu/publications/windsor-political-declaration-european-commission-and-government-united-kingdom_en" TargetMode="External"/><Relationship Id="rId12" Type="http://schemas.openxmlformats.org/officeDocument/2006/relationships/hyperlink" Target="https://www.eesc.europa.eu/en/sections-other-bodies/other/eu-domestic-advisory-group-under-eu-uk-tca" TargetMode="External"/><Relationship Id="rId17" Type="http://schemas.openxmlformats.org/officeDocument/2006/relationships/hyperlink" Target="https://trade.ec.europa.eu/access-to-markets/en/content/single-entry-point-0" TargetMode="External"/><Relationship Id="rId25" Type="http://schemas.openxmlformats.org/officeDocument/2006/relationships/hyperlink" Target="https://ec.europa.eu/eurostat/web/balance-of-payments/overview" TargetMode="External"/><Relationship Id="rId33" Type="http://schemas.openxmlformats.org/officeDocument/2006/relationships/hyperlink" Target="https://eur-lex.europa.eu/legal-content/EN/TXT/?uri=CELEX:22025D2330" TargetMode="External"/><Relationship Id="rId38" Type="http://schemas.openxmlformats.org/officeDocument/2006/relationships/hyperlink" Target="https://dashboard.tech.ec.europa.eu/qs_digit_dashboard_mt/public/sense/app/1213b8cd-3ebe-4730-b0f5-fa4e326df2e2/sheet/d1435e56-cdee-4f5f-8b0d-f49d41ffbd6c/state/analysis" TargetMode="External"/><Relationship Id="rId46" Type="http://schemas.openxmlformats.org/officeDocument/2006/relationships/hyperlink" Target="https://www.legislation.gov.uk/ukpga/2025/34/enacted" TargetMode="External"/><Relationship Id="rId59" Type="http://schemas.openxmlformats.org/officeDocument/2006/relationships/hyperlink" Target="https://eur-lex.europa.eu/legal-content/EN/TXT/?uri=OJ%3AL_20250122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oodhan\Downloads\Recent_trends_template_new_copy_ITGS__20260211142249_ITGS.xlsm"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TCA!$A$51</c:f>
              <c:strCache>
                <c:ptCount val="1"/>
                <c:pt idx="0">
                  <c:v>Imports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TCA!$B$50:$F$50</c:f>
              <c:numCache>
                <c:formatCode>General</c:formatCode>
                <c:ptCount val="5"/>
                <c:pt idx="0">
                  <c:v>2021</c:v>
                </c:pt>
                <c:pt idx="1">
                  <c:v>2022</c:v>
                </c:pt>
                <c:pt idx="2">
                  <c:v>2023</c:v>
                </c:pt>
                <c:pt idx="3">
                  <c:v>2024</c:v>
                </c:pt>
                <c:pt idx="4">
                  <c:v>2025</c:v>
                </c:pt>
              </c:numCache>
            </c:numRef>
          </c:cat>
          <c:val>
            <c:numRef>
              <c:f>TCA!$B$51:$F$51</c:f>
              <c:numCache>
                <c:formatCode>#,##0</c:formatCode>
                <c:ptCount val="5"/>
                <c:pt idx="0">
                  <c:v>146.91354083489162</c:v>
                </c:pt>
                <c:pt idx="1">
                  <c:v>216.10896641823368</c:v>
                </c:pt>
                <c:pt idx="2">
                  <c:v>181.44451234158831</c:v>
                </c:pt>
                <c:pt idx="3">
                  <c:v>163.57411121490949</c:v>
                </c:pt>
                <c:pt idx="4">
                  <c:v>158.52696802528331</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65E-40FB-8A46-402DBD5DCA6D}"/>
            </c:ext>
          </c:extLst>
        </c:ser>
        <c:ser>
          <c:idx val="1"/>
          <c:order val="1"/>
          <c:tx>
            <c:strRef>
              <c:f>TCA!$A$52</c:f>
              <c:strCache>
                <c:ptCount val="1"/>
                <c:pt idx="0">
                  <c:v>Exports</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TCA!$B$50:$F$50</c:f>
              <c:numCache>
                <c:formatCode>General</c:formatCode>
                <c:ptCount val="5"/>
                <c:pt idx="0">
                  <c:v>2021</c:v>
                </c:pt>
                <c:pt idx="1">
                  <c:v>2022</c:v>
                </c:pt>
                <c:pt idx="2">
                  <c:v>2023</c:v>
                </c:pt>
                <c:pt idx="3">
                  <c:v>2024</c:v>
                </c:pt>
                <c:pt idx="4">
                  <c:v>2025</c:v>
                </c:pt>
              </c:numCache>
            </c:numRef>
          </c:cat>
          <c:val>
            <c:numRef>
              <c:f>TCA!$B$52:$F$52</c:f>
              <c:numCache>
                <c:formatCode>#,##0</c:formatCode>
                <c:ptCount val="5"/>
                <c:pt idx="0">
                  <c:v>281.51730642657725</c:v>
                </c:pt>
                <c:pt idx="1">
                  <c:v>328.68996213821197</c:v>
                </c:pt>
                <c:pt idx="2">
                  <c:v>337.27710709770031</c:v>
                </c:pt>
                <c:pt idx="3">
                  <c:v>343.75319626103067</c:v>
                </c:pt>
                <c:pt idx="4">
                  <c:v>346.42492564526674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65E-40FB-8A46-402DBD5DCA6D}"/>
            </c:ext>
          </c:extLst>
        </c:ser>
        <c:ser>
          <c:idx val="2"/>
          <c:order val="2"/>
          <c:tx>
            <c:strRef>
              <c:f>TCA!$A$53</c:f>
              <c:strCache>
                <c:ptCount val="1"/>
                <c:pt idx="0">
                  <c:v>Total</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TCA!$B$50:$F$50</c:f>
              <c:numCache>
                <c:formatCode>General</c:formatCode>
                <c:ptCount val="5"/>
                <c:pt idx="0">
                  <c:v>2021</c:v>
                </c:pt>
                <c:pt idx="1">
                  <c:v>2022</c:v>
                </c:pt>
                <c:pt idx="2">
                  <c:v>2023</c:v>
                </c:pt>
                <c:pt idx="3">
                  <c:v>2024</c:v>
                </c:pt>
                <c:pt idx="4">
                  <c:v>2025</c:v>
                </c:pt>
              </c:numCache>
            </c:numRef>
          </c:cat>
          <c:val>
            <c:numRef>
              <c:f>TCA!$B$53:$F$53</c:f>
              <c:numCache>
                <c:formatCode>#,##0</c:formatCode>
                <c:ptCount val="5"/>
                <c:pt idx="0">
                  <c:v>428.4308472614689</c:v>
                </c:pt>
                <c:pt idx="1">
                  <c:v>544.79892855644562</c:v>
                </c:pt>
                <c:pt idx="2">
                  <c:v>518.72161943928859</c:v>
                </c:pt>
                <c:pt idx="3">
                  <c:v>507.32730747594019</c:v>
                </c:pt>
                <c:pt idx="4">
                  <c:v>504.95189367055002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65E-40FB-8A46-402DBD5DCA6D}"/>
            </c:ext>
          </c:extLst>
        </c:ser>
        <c:dLbls>
          <c:showLegendKey val="0"/>
          <c:showVal val="0"/>
          <c:showCatName val="0"/>
          <c:showSerName val="0"/>
          <c:showPercent val="0"/>
          <c:showBubbleSize val="0"/>
        </c:dLbls>
        <c:marker val="1"/>
        <c:smooth val="0"/>
        <c:axId val="104275471"/>
        <c:axId val="104276911"/>
      </c:lineChart>
      <c:catAx>
        <c:axId val="104275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76911"/>
        <c:crosses val="autoZero"/>
        <c:auto val="1"/>
        <c:lblAlgn val="ctr"/>
        <c:lblOffset val="100"/>
        <c:noMultiLvlLbl val="0"/>
      </c:catAx>
      <c:valAx>
        <c:axId val="1042769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75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F399B-ECC5-4FFC-AB01-82D07293E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17</Pages>
  <Words>6554</Words>
  <Characters>37358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2026-02-27T16:54:00Z</dcterms:created>
  <dcterms:modified xsi:type="dcterms:W3CDTF">2026-04-14T07:22:00Z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2026-02-24T14:23:38Z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b404b842-8c11-4793-bab3-dfd3af284c6f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ies>
</file>