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0C46E" w14:textId="22C080E3" w:rsidR="00A13C5C" w:rsidRDefault="008546B6" w:rsidP="008546B6">
      <w:pPr>
        <w:pStyle w:val="Pagedecouverture"/>
        <w:rPr>
          <w:noProof/>
        </w:rPr>
      </w:pPr>
      <w:bookmarkStart w:id="0" w:name="LW_BM_COVERPAGE"/>
      <w:r>
        <w:rPr>
          <w:noProof/>
        </w:rPr>
        <w:pict w14:anchorId="189AA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33F9535-08C0-492D-8FB5-6EB9465783E3" style="width:455.25pt;height:313.5pt">
            <v:imagedata r:id="rId8" o:title=""/>
          </v:shape>
        </w:pict>
      </w:r>
    </w:p>
    <w:bookmarkEnd w:id="0"/>
    <w:p w14:paraId="4D90687F" w14:textId="77777777" w:rsidR="00A13C5C" w:rsidRDefault="00A13C5C" w:rsidP="00A13C5C">
      <w:pPr>
        <w:rPr>
          <w:noProof/>
        </w:rPr>
        <w:sectPr w:rsidR="00A13C5C" w:rsidSect="008546B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bookmarkStart w:id="2" w:name="_Toc86061890" w:displacedByCustomXml="next"/>
    <w:bookmarkStart w:id="3" w:name="_Toc86154512" w:displacedByCustomXml="next"/>
    <w:bookmarkStart w:id="4" w:name="_Toc185413377" w:displacedByCustomXml="next"/>
    <w:sdt>
      <w:sdtPr>
        <w:rPr>
          <w:noProof/>
        </w:rPr>
        <w:id w:val="68371494"/>
        <w:docPartObj>
          <w:docPartGallery w:val="Table of Contents"/>
          <w:docPartUnique/>
        </w:docPartObj>
      </w:sdtPr>
      <w:sdtEndPr/>
      <w:sdtContent>
        <w:p w14:paraId="082050CF" w14:textId="767E9C8B" w:rsidR="00D331A7" w:rsidRPr="00995F44" w:rsidRDefault="00D331A7" w:rsidP="00D331A7">
          <w:pPr>
            <w:tabs>
              <w:tab w:val="left" w:pos="851"/>
              <w:tab w:val="right" w:leader="dot" w:pos="9016"/>
            </w:tabs>
            <w:spacing w:after="100"/>
            <w:ind w:left="426" w:hanging="426"/>
            <w:jc w:val="center"/>
            <w:rPr>
              <w:rFonts w:ascii="Times New Roman" w:hAnsi="Times New Roman" w:cs="Times New Roman"/>
              <w:noProof/>
            </w:rPr>
          </w:pPr>
          <w:r>
            <w:rPr>
              <w:rFonts w:ascii="Times New Roman" w:hAnsi="Times New Roman"/>
              <w:noProof/>
            </w:rPr>
            <w:t>Table des matières</w:t>
          </w:r>
        </w:p>
        <w:p w14:paraId="56FBCDAC" w14:textId="0035371A" w:rsidR="006B269E" w:rsidRPr="006B269E" w:rsidRDefault="00D331A7">
          <w:pPr>
            <w:pStyle w:val="TOC1"/>
            <w:rPr>
              <w:rFonts w:asciiTheme="minorHAnsi" w:eastAsiaTheme="minorEastAsia" w:hAnsiTheme="minorHAnsi" w:cstheme="minorBidi"/>
              <w:kern w:val="2"/>
              <w:lang w:val="en-IE" w:eastAsia="en-IE"/>
              <w14:ligatures w14:val="standardContextual"/>
            </w:rPr>
          </w:pPr>
          <w:r w:rsidRPr="006B269E">
            <w:fldChar w:fldCharType="begin"/>
          </w:r>
          <w:r w:rsidRPr="006B269E">
            <w:instrText>TOC \o "1-3" \h \z \u</w:instrText>
          </w:r>
          <w:r w:rsidRPr="006B269E">
            <w:fldChar w:fldCharType="separate"/>
          </w:r>
          <w:hyperlink w:anchor="_Toc226620188" w:history="1">
            <w:r w:rsidR="006B269E" w:rsidRPr="006B269E">
              <w:rPr>
                <w:rStyle w:val="Hyperlink"/>
              </w:rPr>
              <w:t>1.</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Introduction</w:t>
            </w:r>
            <w:r w:rsidR="006B269E" w:rsidRPr="006B269E">
              <w:rPr>
                <w:webHidden/>
              </w:rPr>
              <w:tab/>
            </w:r>
            <w:r w:rsidR="006B269E" w:rsidRPr="006B269E">
              <w:rPr>
                <w:webHidden/>
              </w:rPr>
              <w:fldChar w:fldCharType="begin"/>
            </w:r>
            <w:r w:rsidR="006B269E" w:rsidRPr="006B269E">
              <w:rPr>
                <w:webHidden/>
              </w:rPr>
              <w:instrText xml:space="preserve"> PAGEREF _Toc226620188 \h </w:instrText>
            </w:r>
            <w:r w:rsidR="006B269E" w:rsidRPr="006B269E">
              <w:rPr>
                <w:webHidden/>
              </w:rPr>
            </w:r>
            <w:r w:rsidR="006B269E" w:rsidRPr="006B269E">
              <w:rPr>
                <w:webHidden/>
              </w:rPr>
              <w:fldChar w:fldCharType="separate"/>
            </w:r>
            <w:r w:rsidR="006B269E" w:rsidRPr="006B269E">
              <w:rPr>
                <w:webHidden/>
              </w:rPr>
              <w:t>1</w:t>
            </w:r>
            <w:r w:rsidR="006B269E" w:rsidRPr="006B269E">
              <w:rPr>
                <w:webHidden/>
              </w:rPr>
              <w:fldChar w:fldCharType="end"/>
            </w:r>
          </w:hyperlink>
        </w:p>
        <w:p w14:paraId="150E15A8" w14:textId="6075D593"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189" w:history="1">
            <w:r w:rsidR="006B269E" w:rsidRPr="006B269E">
              <w:rPr>
                <w:rStyle w:val="Hyperlink"/>
              </w:rPr>
              <w:t>2.</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Cadre institutionnel</w:t>
            </w:r>
            <w:r w:rsidR="006B269E" w:rsidRPr="006B269E">
              <w:rPr>
                <w:webHidden/>
              </w:rPr>
              <w:tab/>
            </w:r>
            <w:r w:rsidR="006B269E" w:rsidRPr="006B269E">
              <w:rPr>
                <w:webHidden/>
              </w:rPr>
              <w:fldChar w:fldCharType="begin"/>
            </w:r>
            <w:r w:rsidR="006B269E" w:rsidRPr="006B269E">
              <w:rPr>
                <w:webHidden/>
              </w:rPr>
              <w:instrText xml:space="preserve"> PAGEREF _Toc226620189 \h </w:instrText>
            </w:r>
            <w:r w:rsidR="006B269E" w:rsidRPr="006B269E">
              <w:rPr>
                <w:webHidden/>
              </w:rPr>
            </w:r>
            <w:r w:rsidR="006B269E" w:rsidRPr="006B269E">
              <w:rPr>
                <w:webHidden/>
              </w:rPr>
              <w:fldChar w:fldCharType="separate"/>
            </w:r>
            <w:r w:rsidR="006B269E" w:rsidRPr="006B269E">
              <w:rPr>
                <w:webHidden/>
              </w:rPr>
              <w:t>3</w:t>
            </w:r>
            <w:r w:rsidR="006B269E" w:rsidRPr="006B269E">
              <w:rPr>
                <w:webHidden/>
              </w:rPr>
              <w:fldChar w:fldCharType="end"/>
            </w:r>
          </w:hyperlink>
        </w:p>
        <w:p w14:paraId="58617D29" w14:textId="4B5F2D90"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190" w:history="1">
            <w:r w:rsidR="006B269E" w:rsidRPr="006B269E">
              <w:rPr>
                <w:rStyle w:val="Hyperlink"/>
              </w:rPr>
              <w:t>3.</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Plaintes et règlement des différends</w:t>
            </w:r>
            <w:r w:rsidR="006B269E" w:rsidRPr="006B269E">
              <w:rPr>
                <w:webHidden/>
              </w:rPr>
              <w:tab/>
            </w:r>
            <w:r w:rsidR="006B269E" w:rsidRPr="006B269E">
              <w:rPr>
                <w:webHidden/>
              </w:rPr>
              <w:fldChar w:fldCharType="begin"/>
            </w:r>
            <w:r w:rsidR="006B269E" w:rsidRPr="006B269E">
              <w:rPr>
                <w:webHidden/>
              </w:rPr>
              <w:instrText xml:space="preserve"> PAGEREF _Toc226620190 \h </w:instrText>
            </w:r>
            <w:r w:rsidR="006B269E" w:rsidRPr="006B269E">
              <w:rPr>
                <w:webHidden/>
              </w:rPr>
            </w:r>
            <w:r w:rsidR="006B269E" w:rsidRPr="006B269E">
              <w:rPr>
                <w:webHidden/>
              </w:rPr>
              <w:fldChar w:fldCharType="separate"/>
            </w:r>
            <w:r w:rsidR="006B269E" w:rsidRPr="006B269E">
              <w:rPr>
                <w:webHidden/>
              </w:rPr>
              <w:t>4</w:t>
            </w:r>
            <w:r w:rsidR="006B269E" w:rsidRPr="006B269E">
              <w:rPr>
                <w:webHidden/>
              </w:rPr>
              <w:fldChar w:fldCharType="end"/>
            </w:r>
          </w:hyperlink>
        </w:p>
        <w:p w14:paraId="2F0B7167" w14:textId="1906E765" w:rsidR="006B269E" w:rsidRPr="006B269E" w:rsidRDefault="008546B6">
          <w:pPr>
            <w:pStyle w:val="TOC2"/>
            <w:rPr>
              <w:rFonts w:eastAsiaTheme="minorEastAsia"/>
              <w:noProof/>
              <w:kern w:val="2"/>
              <w:sz w:val="24"/>
              <w:szCs w:val="24"/>
              <w:lang w:val="en-IE" w:eastAsia="en-IE"/>
              <w14:ligatures w14:val="standardContextual"/>
            </w:rPr>
          </w:pPr>
          <w:hyperlink w:anchor="_Toc226620191" w:history="1">
            <w:r w:rsidR="006B269E" w:rsidRPr="006B269E">
              <w:rPr>
                <w:rStyle w:val="Hyperlink"/>
                <w:rFonts w:ascii="Times New Roman" w:hAnsi="Times New Roman" w:cs="Times New Roman"/>
                <w:noProof/>
              </w:rPr>
              <w:t>3.1.</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Plaintes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_Toc226620191 \h </w:instrText>
            </w:r>
            <w:r w:rsidR="006B269E" w:rsidRPr="006B269E">
              <w:rPr>
                <w:noProof/>
                <w:webHidden/>
              </w:rPr>
            </w:r>
            <w:r w:rsidR="006B269E" w:rsidRPr="006B269E">
              <w:rPr>
                <w:noProof/>
                <w:webHidden/>
              </w:rPr>
              <w:fldChar w:fldCharType="separate"/>
            </w:r>
            <w:r w:rsidR="006B269E" w:rsidRPr="006B269E">
              <w:rPr>
                <w:noProof/>
                <w:webHidden/>
              </w:rPr>
              <w:t>4</w:t>
            </w:r>
            <w:r w:rsidR="006B269E" w:rsidRPr="006B269E">
              <w:rPr>
                <w:noProof/>
                <w:webHidden/>
              </w:rPr>
              <w:fldChar w:fldCharType="end"/>
            </w:r>
          </w:hyperlink>
        </w:p>
        <w:p w14:paraId="650A3849" w14:textId="2CDC2C73" w:rsidR="006B269E" w:rsidRPr="006B269E" w:rsidRDefault="008546B6">
          <w:pPr>
            <w:pStyle w:val="TOC2"/>
            <w:rPr>
              <w:rFonts w:eastAsiaTheme="minorEastAsia"/>
              <w:noProof/>
              <w:kern w:val="2"/>
              <w:sz w:val="24"/>
              <w:szCs w:val="24"/>
              <w:lang w:val="en-IE" w:eastAsia="en-IE"/>
              <w14:ligatures w14:val="standardContextual"/>
            </w:rPr>
          </w:pPr>
          <w:hyperlink w:anchor="_Toc226620192" w:history="1">
            <w:r w:rsidR="006B269E" w:rsidRPr="006B269E">
              <w:rPr>
                <w:rStyle w:val="Hyperlink"/>
                <w:rFonts w:ascii="Times New Roman" w:eastAsia="Times New Roman" w:hAnsi="Times New Roman" w:cs="Times New Roman"/>
                <w:noProof/>
              </w:rPr>
              <w:t>3.2.</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Règlement des différends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_Toc226620192 \h </w:instrText>
            </w:r>
            <w:r w:rsidR="006B269E" w:rsidRPr="006B269E">
              <w:rPr>
                <w:noProof/>
                <w:webHidden/>
              </w:rPr>
            </w:r>
            <w:r w:rsidR="006B269E" w:rsidRPr="006B269E">
              <w:rPr>
                <w:noProof/>
                <w:webHidden/>
              </w:rPr>
              <w:fldChar w:fldCharType="separate"/>
            </w:r>
            <w:r w:rsidR="006B269E" w:rsidRPr="006B269E">
              <w:rPr>
                <w:noProof/>
                <w:webHidden/>
              </w:rPr>
              <w:t>5</w:t>
            </w:r>
            <w:r w:rsidR="006B269E" w:rsidRPr="006B269E">
              <w:rPr>
                <w:noProof/>
                <w:webHidden/>
              </w:rPr>
              <w:fldChar w:fldCharType="end"/>
            </w:r>
          </w:hyperlink>
        </w:p>
        <w:p w14:paraId="541E2761" w14:textId="06092662"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193" w:history="1">
            <w:r w:rsidR="006B269E" w:rsidRPr="006B269E">
              <w:rPr>
                <w:rStyle w:val="Hyperlink"/>
              </w:rPr>
              <w:t>4.</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Mise en œuvre sectorielle</w:t>
            </w:r>
            <w:r w:rsidR="006B269E" w:rsidRPr="006B269E">
              <w:rPr>
                <w:webHidden/>
              </w:rPr>
              <w:tab/>
            </w:r>
            <w:r w:rsidR="006B269E" w:rsidRPr="006B269E">
              <w:rPr>
                <w:webHidden/>
              </w:rPr>
              <w:fldChar w:fldCharType="begin"/>
            </w:r>
            <w:r w:rsidR="006B269E" w:rsidRPr="006B269E">
              <w:rPr>
                <w:webHidden/>
              </w:rPr>
              <w:instrText xml:space="preserve"> PAGEREF _Toc226620193 \h </w:instrText>
            </w:r>
            <w:r w:rsidR="006B269E" w:rsidRPr="006B269E">
              <w:rPr>
                <w:webHidden/>
              </w:rPr>
            </w:r>
            <w:r w:rsidR="006B269E" w:rsidRPr="006B269E">
              <w:rPr>
                <w:webHidden/>
              </w:rPr>
              <w:fldChar w:fldCharType="separate"/>
            </w:r>
            <w:r w:rsidR="006B269E" w:rsidRPr="006B269E">
              <w:rPr>
                <w:webHidden/>
              </w:rPr>
              <w:t>5</w:t>
            </w:r>
            <w:r w:rsidR="006B269E" w:rsidRPr="006B269E">
              <w:rPr>
                <w:webHidden/>
              </w:rPr>
              <w:fldChar w:fldCharType="end"/>
            </w:r>
          </w:hyperlink>
        </w:p>
        <w:p w14:paraId="23D98C6E" w14:textId="5E72CC9B" w:rsidR="006B269E" w:rsidRPr="006B269E" w:rsidRDefault="008546B6">
          <w:pPr>
            <w:pStyle w:val="TOC2"/>
            <w:rPr>
              <w:rFonts w:eastAsiaTheme="minorEastAsia"/>
              <w:noProof/>
              <w:kern w:val="2"/>
              <w:sz w:val="24"/>
              <w:szCs w:val="24"/>
              <w:lang w:val="en-IE" w:eastAsia="en-IE"/>
              <w14:ligatures w14:val="standardContextual"/>
            </w:rPr>
          </w:pPr>
          <w:hyperlink w:anchor="_Toc226620194" w:history="1">
            <w:r w:rsidR="006B269E" w:rsidRPr="006B269E">
              <w:rPr>
                <w:rStyle w:val="Hyperlink"/>
                <w:rFonts w:ascii="Times New Roman" w:hAnsi="Times New Roman" w:cs="Times New Roman"/>
                <w:noProof/>
              </w:rPr>
              <w:t>4.1.</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Commerce des marchandises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_Toc226620194 \h </w:instrText>
            </w:r>
            <w:r w:rsidR="006B269E" w:rsidRPr="006B269E">
              <w:rPr>
                <w:noProof/>
                <w:webHidden/>
              </w:rPr>
            </w:r>
            <w:r w:rsidR="006B269E" w:rsidRPr="006B269E">
              <w:rPr>
                <w:noProof/>
                <w:webHidden/>
              </w:rPr>
              <w:fldChar w:fldCharType="separate"/>
            </w:r>
            <w:r w:rsidR="006B269E" w:rsidRPr="006B269E">
              <w:rPr>
                <w:noProof/>
                <w:webHidden/>
              </w:rPr>
              <w:t>6</w:t>
            </w:r>
            <w:r w:rsidR="006B269E" w:rsidRPr="006B269E">
              <w:rPr>
                <w:noProof/>
                <w:webHidden/>
              </w:rPr>
              <w:fldChar w:fldCharType="end"/>
            </w:r>
          </w:hyperlink>
        </w:p>
        <w:p w14:paraId="6BED29C8" w14:textId="724DCC29" w:rsidR="006B269E" w:rsidRPr="006B269E" w:rsidRDefault="008546B6">
          <w:pPr>
            <w:pStyle w:val="TOC2"/>
            <w:rPr>
              <w:rFonts w:eastAsiaTheme="minorEastAsia"/>
              <w:noProof/>
              <w:kern w:val="2"/>
              <w:sz w:val="24"/>
              <w:szCs w:val="24"/>
              <w:lang w:val="en-IE" w:eastAsia="en-IE"/>
              <w14:ligatures w14:val="standardContextual"/>
            </w:rPr>
          </w:pPr>
          <w:hyperlink w:anchor="_Toc226620195" w:history="1">
            <w:r w:rsidR="006B269E" w:rsidRPr="006B269E">
              <w:rPr>
                <w:rStyle w:val="Hyperlink"/>
                <w:rFonts w:ascii="Times New Roman" w:hAnsi="Times New Roman" w:cs="Times New Roman"/>
                <w:noProof/>
              </w:rPr>
              <w:t>4.2.</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Services et investissements, commerce numérique, marchés publics, et petites et moyennes entreprises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_Toc226620195 \h </w:instrText>
            </w:r>
            <w:r w:rsidR="006B269E" w:rsidRPr="006B269E">
              <w:rPr>
                <w:noProof/>
                <w:webHidden/>
              </w:rPr>
            </w:r>
            <w:r w:rsidR="006B269E" w:rsidRPr="006B269E">
              <w:rPr>
                <w:noProof/>
                <w:webHidden/>
              </w:rPr>
              <w:fldChar w:fldCharType="separate"/>
            </w:r>
            <w:r w:rsidR="006B269E" w:rsidRPr="006B269E">
              <w:rPr>
                <w:noProof/>
                <w:webHidden/>
              </w:rPr>
              <w:t>8</w:t>
            </w:r>
            <w:r w:rsidR="006B269E" w:rsidRPr="006B269E">
              <w:rPr>
                <w:noProof/>
                <w:webHidden/>
              </w:rPr>
              <w:fldChar w:fldCharType="end"/>
            </w:r>
          </w:hyperlink>
        </w:p>
        <w:p w14:paraId="0468C4FD" w14:textId="2762D9CD" w:rsidR="006B269E" w:rsidRPr="006B269E" w:rsidRDefault="008546B6">
          <w:pPr>
            <w:pStyle w:val="TOC2"/>
            <w:rPr>
              <w:rFonts w:eastAsiaTheme="minorEastAsia"/>
              <w:noProof/>
              <w:kern w:val="2"/>
              <w:sz w:val="24"/>
              <w:szCs w:val="24"/>
              <w:lang w:val="en-IE" w:eastAsia="en-IE"/>
              <w14:ligatures w14:val="standardContextual"/>
            </w:rPr>
          </w:pPr>
          <w:hyperlink w:anchor="_Toc226620196" w:history="1">
            <w:r w:rsidR="006B269E" w:rsidRPr="006B269E">
              <w:rPr>
                <w:rStyle w:val="Hyperlink"/>
                <w:rFonts w:ascii="Times New Roman" w:hAnsi="Times New Roman" w:cs="Times New Roman"/>
                <w:noProof/>
              </w:rPr>
              <w:t>4.3.</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Droits de propriété intellectuelle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_Toc226620196 \h </w:instrText>
            </w:r>
            <w:r w:rsidR="006B269E" w:rsidRPr="006B269E">
              <w:rPr>
                <w:noProof/>
                <w:webHidden/>
              </w:rPr>
            </w:r>
            <w:r w:rsidR="006B269E" w:rsidRPr="006B269E">
              <w:rPr>
                <w:noProof/>
                <w:webHidden/>
              </w:rPr>
              <w:fldChar w:fldCharType="separate"/>
            </w:r>
            <w:r w:rsidR="006B269E" w:rsidRPr="006B269E">
              <w:rPr>
                <w:noProof/>
                <w:webHidden/>
              </w:rPr>
              <w:t>10</w:t>
            </w:r>
            <w:r w:rsidR="006B269E" w:rsidRPr="006B269E">
              <w:rPr>
                <w:noProof/>
                <w:webHidden/>
              </w:rPr>
              <w:fldChar w:fldCharType="end"/>
            </w:r>
          </w:hyperlink>
        </w:p>
        <w:p w14:paraId="4259BD9B" w14:textId="263F1689" w:rsidR="006B269E" w:rsidRPr="006B269E" w:rsidRDefault="008546B6">
          <w:pPr>
            <w:pStyle w:val="TOC2"/>
            <w:rPr>
              <w:rFonts w:eastAsiaTheme="minorEastAsia"/>
              <w:noProof/>
              <w:kern w:val="2"/>
              <w:sz w:val="24"/>
              <w:szCs w:val="24"/>
              <w:lang w:val="en-IE" w:eastAsia="en-IE"/>
              <w14:ligatures w14:val="standardContextual"/>
            </w:rPr>
          </w:pPr>
          <w:hyperlink w:anchor="_Toc226620197" w:history="1">
            <w:r w:rsidR="006B269E" w:rsidRPr="006B269E">
              <w:rPr>
                <w:rStyle w:val="Hyperlink"/>
                <w:rFonts w:ascii="Times New Roman" w:hAnsi="Times New Roman" w:cs="Times New Roman"/>
                <w:noProof/>
              </w:rPr>
              <w:t>4.4.</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Conditions de concurrence équitables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_Toc226620197 \h </w:instrText>
            </w:r>
            <w:r w:rsidR="006B269E" w:rsidRPr="006B269E">
              <w:rPr>
                <w:noProof/>
                <w:webHidden/>
              </w:rPr>
            </w:r>
            <w:r w:rsidR="006B269E" w:rsidRPr="006B269E">
              <w:rPr>
                <w:noProof/>
                <w:webHidden/>
              </w:rPr>
              <w:fldChar w:fldCharType="separate"/>
            </w:r>
            <w:r w:rsidR="006B269E" w:rsidRPr="006B269E">
              <w:rPr>
                <w:noProof/>
                <w:webHidden/>
              </w:rPr>
              <w:t>10</w:t>
            </w:r>
            <w:r w:rsidR="006B269E" w:rsidRPr="006B269E">
              <w:rPr>
                <w:noProof/>
                <w:webHidden/>
              </w:rPr>
              <w:fldChar w:fldCharType="end"/>
            </w:r>
          </w:hyperlink>
        </w:p>
        <w:p w14:paraId="07CBB6C8" w14:textId="477A9054" w:rsidR="006B269E" w:rsidRPr="006B269E" w:rsidRDefault="008546B6">
          <w:pPr>
            <w:pStyle w:val="TOC2"/>
            <w:rPr>
              <w:rFonts w:eastAsiaTheme="minorEastAsia"/>
              <w:noProof/>
              <w:kern w:val="2"/>
              <w:sz w:val="24"/>
              <w:szCs w:val="24"/>
              <w:lang w:val="en-IE" w:eastAsia="en-IE"/>
              <w14:ligatures w14:val="standardContextual"/>
            </w:rPr>
          </w:pPr>
          <w:hyperlink w:anchor="_Toc226620198" w:history="1">
            <w:r w:rsidR="006B269E" w:rsidRPr="006B269E">
              <w:rPr>
                <w:rStyle w:val="Hyperlink"/>
                <w:rFonts w:ascii="Times New Roman" w:hAnsi="Times New Roman" w:cs="Times New Roman"/>
                <w:noProof/>
              </w:rPr>
              <w:t>4.5.</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Énergie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_Toc226620198 \h </w:instrText>
            </w:r>
            <w:r w:rsidR="006B269E" w:rsidRPr="006B269E">
              <w:rPr>
                <w:noProof/>
                <w:webHidden/>
              </w:rPr>
            </w:r>
            <w:r w:rsidR="006B269E" w:rsidRPr="006B269E">
              <w:rPr>
                <w:noProof/>
                <w:webHidden/>
              </w:rPr>
              <w:fldChar w:fldCharType="separate"/>
            </w:r>
            <w:r w:rsidR="006B269E" w:rsidRPr="006B269E">
              <w:rPr>
                <w:noProof/>
                <w:webHidden/>
              </w:rPr>
              <w:t>11</w:t>
            </w:r>
            <w:r w:rsidR="006B269E" w:rsidRPr="006B269E">
              <w:rPr>
                <w:noProof/>
                <w:webHidden/>
              </w:rPr>
              <w:fldChar w:fldCharType="end"/>
            </w:r>
          </w:hyperlink>
        </w:p>
        <w:p w14:paraId="2D2FD778" w14:textId="45C551C2" w:rsidR="006B269E" w:rsidRPr="006B269E" w:rsidRDefault="008546B6">
          <w:pPr>
            <w:pStyle w:val="TOC2"/>
            <w:rPr>
              <w:rFonts w:eastAsiaTheme="minorEastAsia"/>
              <w:noProof/>
              <w:kern w:val="2"/>
              <w:sz w:val="24"/>
              <w:szCs w:val="24"/>
              <w:lang w:val="en-IE" w:eastAsia="en-IE"/>
              <w14:ligatures w14:val="standardContextual"/>
            </w:rPr>
          </w:pPr>
          <w:hyperlink w:anchor="_Toc226620199" w:history="1">
            <w:r w:rsidR="006B269E" w:rsidRPr="006B269E">
              <w:rPr>
                <w:rStyle w:val="Hyperlink"/>
                <w:rFonts w:ascii="Times New Roman" w:hAnsi="Times New Roman" w:cs="Times New Roman"/>
                <w:noProof/>
              </w:rPr>
              <w:t>4.6.</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Transport</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_Toc226620199 \h </w:instrText>
            </w:r>
            <w:r w:rsidR="006B269E" w:rsidRPr="006B269E">
              <w:rPr>
                <w:noProof/>
                <w:webHidden/>
              </w:rPr>
            </w:r>
            <w:r w:rsidR="006B269E" w:rsidRPr="006B269E">
              <w:rPr>
                <w:noProof/>
                <w:webHidden/>
              </w:rPr>
              <w:fldChar w:fldCharType="separate"/>
            </w:r>
            <w:r w:rsidR="006B269E" w:rsidRPr="006B269E">
              <w:rPr>
                <w:noProof/>
                <w:webHidden/>
              </w:rPr>
              <w:t>12</w:t>
            </w:r>
            <w:r w:rsidR="006B269E" w:rsidRPr="006B269E">
              <w:rPr>
                <w:noProof/>
                <w:webHidden/>
              </w:rPr>
              <w:fldChar w:fldCharType="end"/>
            </w:r>
          </w:hyperlink>
        </w:p>
        <w:p w14:paraId="1F69F501" w14:textId="134F4A0B" w:rsidR="006B269E" w:rsidRPr="006B269E" w:rsidRDefault="008546B6">
          <w:pPr>
            <w:pStyle w:val="TOC2"/>
            <w:rPr>
              <w:rFonts w:eastAsiaTheme="minorEastAsia"/>
              <w:noProof/>
              <w:kern w:val="2"/>
              <w:sz w:val="24"/>
              <w:szCs w:val="24"/>
              <w:lang w:val="en-IE" w:eastAsia="en-IE"/>
              <w14:ligatures w14:val="standardContextual"/>
            </w:rPr>
          </w:pPr>
          <w:hyperlink w:anchor="_Toc226620200" w:history="1">
            <w:r w:rsidR="006B269E" w:rsidRPr="006B269E">
              <w:rPr>
                <w:rStyle w:val="Hyperlink"/>
                <w:rFonts w:ascii="Times New Roman" w:hAnsi="Times New Roman" w:cs="Times New Roman"/>
                <w:noProof/>
              </w:rPr>
              <w:t>4.7.</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Pêche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_Toc226620200 \h </w:instrText>
            </w:r>
            <w:r w:rsidR="006B269E" w:rsidRPr="006B269E">
              <w:rPr>
                <w:noProof/>
                <w:webHidden/>
              </w:rPr>
            </w:r>
            <w:r w:rsidR="006B269E" w:rsidRPr="006B269E">
              <w:rPr>
                <w:noProof/>
                <w:webHidden/>
              </w:rPr>
              <w:fldChar w:fldCharType="separate"/>
            </w:r>
            <w:r w:rsidR="006B269E" w:rsidRPr="006B269E">
              <w:rPr>
                <w:noProof/>
                <w:webHidden/>
              </w:rPr>
              <w:t>13</w:t>
            </w:r>
            <w:r w:rsidR="006B269E" w:rsidRPr="006B269E">
              <w:rPr>
                <w:noProof/>
                <w:webHidden/>
              </w:rPr>
              <w:fldChar w:fldCharType="end"/>
            </w:r>
          </w:hyperlink>
        </w:p>
        <w:p w14:paraId="3EE8FC1C" w14:textId="7C6DE018" w:rsidR="006B269E" w:rsidRPr="006B269E" w:rsidRDefault="008546B6">
          <w:pPr>
            <w:pStyle w:val="TOC2"/>
            <w:rPr>
              <w:rFonts w:eastAsiaTheme="minorEastAsia"/>
              <w:noProof/>
              <w:kern w:val="2"/>
              <w:sz w:val="24"/>
              <w:szCs w:val="24"/>
              <w:lang w:val="en-IE" w:eastAsia="en-IE"/>
              <w14:ligatures w14:val="standardContextual"/>
            </w:rPr>
          </w:pPr>
          <w:hyperlink w:anchor="_Toc226620201" w:history="1">
            <w:r w:rsidR="006B269E" w:rsidRPr="006B269E">
              <w:rPr>
                <w:rStyle w:val="Hyperlink"/>
                <w:rFonts w:ascii="Times New Roman" w:hAnsi="Times New Roman" w:cs="Times New Roman"/>
                <w:noProof/>
              </w:rPr>
              <w:t>4.8.</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Coordination de la sécurité sociale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_Toc226620201 \h </w:instrText>
            </w:r>
            <w:r w:rsidR="006B269E" w:rsidRPr="006B269E">
              <w:rPr>
                <w:noProof/>
                <w:webHidden/>
              </w:rPr>
            </w:r>
            <w:r w:rsidR="006B269E" w:rsidRPr="006B269E">
              <w:rPr>
                <w:noProof/>
                <w:webHidden/>
              </w:rPr>
              <w:fldChar w:fldCharType="separate"/>
            </w:r>
            <w:r w:rsidR="006B269E" w:rsidRPr="006B269E">
              <w:rPr>
                <w:noProof/>
                <w:webHidden/>
              </w:rPr>
              <w:t>13</w:t>
            </w:r>
            <w:r w:rsidR="006B269E" w:rsidRPr="006B269E">
              <w:rPr>
                <w:noProof/>
                <w:webHidden/>
              </w:rPr>
              <w:fldChar w:fldCharType="end"/>
            </w:r>
          </w:hyperlink>
        </w:p>
        <w:p w14:paraId="0B1C825C" w14:textId="592F931A" w:rsidR="006B269E" w:rsidRPr="006B269E" w:rsidRDefault="008546B6">
          <w:pPr>
            <w:pStyle w:val="TOC2"/>
            <w:rPr>
              <w:rFonts w:eastAsiaTheme="minorEastAsia"/>
              <w:noProof/>
              <w:kern w:val="2"/>
              <w:sz w:val="24"/>
              <w:szCs w:val="24"/>
              <w:lang w:val="en-IE" w:eastAsia="en-IE"/>
              <w14:ligatures w14:val="standardContextual"/>
            </w:rPr>
          </w:pPr>
          <w:hyperlink w:anchor="_Toc226620202" w:history="1">
            <w:r w:rsidR="006B269E" w:rsidRPr="006B269E">
              <w:rPr>
                <w:rStyle w:val="Hyperlink"/>
                <w:rFonts w:ascii="Times New Roman" w:hAnsi="Times New Roman" w:cs="Times New Roman"/>
                <w:noProof/>
              </w:rPr>
              <w:t>4.9.</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Coopération des services répressifs et judiciaires en matière pénale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_Toc226620202 \h </w:instrText>
            </w:r>
            <w:r w:rsidR="006B269E" w:rsidRPr="006B269E">
              <w:rPr>
                <w:noProof/>
                <w:webHidden/>
              </w:rPr>
            </w:r>
            <w:r w:rsidR="006B269E" w:rsidRPr="006B269E">
              <w:rPr>
                <w:noProof/>
                <w:webHidden/>
              </w:rPr>
              <w:fldChar w:fldCharType="separate"/>
            </w:r>
            <w:r w:rsidR="006B269E" w:rsidRPr="006B269E">
              <w:rPr>
                <w:noProof/>
                <w:webHidden/>
              </w:rPr>
              <w:t>14</w:t>
            </w:r>
            <w:r w:rsidR="006B269E" w:rsidRPr="006B269E">
              <w:rPr>
                <w:noProof/>
                <w:webHidden/>
              </w:rPr>
              <w:fldChar w:fldCharType="end"/>
            </w:r>
          </w:hyperlink>
        </w:p>
        <w:p w14:paraId="5FC1C223" w14:textId="401DA80B" w:rsidR="006B269E" w:rsidRPr="006B269E" w:rsidRDefault="008546B6">
          <w:pPr>
            <w:pStyle w:val="TOC2"/>
            <w:rPr>
              <w:rFonts w:eastAsiaTheme="minorEastAsia"/>
              <w:noProof/>
              <w:kern w:val="2"/>
              <w:sz w:val="24"/>
              <w:szCs w:val="24"/>
              <w:lang w:val="en-IE" w:eastAsia="en-IE"/>
              <w14:ligatures w14:val="standardContextual"/>
            </w:rPr>
          </w:pPr>
          <w:hyperlink w:anchor="_Toc226620203" w:history="1">
            <w:r w:rsidR="006B269E" w:rsidRPr="006B269E">
              <w:rPr>
                <w:rStyle w:val="Hyperlink"/>
                <w:rFonts w:ascii="Times New Roman" w:hAnsi="Times New Roman" w:cs="Times New Roman"/>
                <w:noProof/>
              </w:rPr>
              <w:t>4.10.</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Association du Royaume-Uni à certains programmes de l’UE</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_Toc226620203 \h </w:instrText>
            </w:r>
            <w:r w:rsidR="006B269E" w:rsidRPr="006B269E">
              <w:rPr>
                <w:noProof/>
                <w:webHidden/>
              </w:rPr>
            </w:r>
            <w:r w:rsidR="006B269E" w:rsidRPr="006B269E">
              <w:rPr>
                <w:noProof/>
                <w:webHidden/>
              </w:rPr>
              <w:fldChar w:fldCharType="separate"/>
            </w:r>
            <w:r w:rsidR="006B269E" w:rsidRPr="006B269E">
              <w:rPr>
                <w:noProof/>
                <w:webHidden/>
              </w:rPr>
              <w:t>14</w:t>
            </w:r>
            <w:r w:rsidR="006B269E" w:rsidRPr="006B269E">
              <w:rPr>
                <w:noProof/>
                <w:webHidden/>
              </w:rPr>
              <w:fldChar w:fldCharType="end"/>
            </w:r>
          </w:hyperlink>
        </w:p>
        <w:p w14:paraId="274193D4" w14:textId="2BE0BFCD" w:rsidR="006B269E" w:rsidRPr="006B269E" w:rsidRDefault="008546B6">
          <w:pPr>
            <w:pStyle w:val="TOC2"/>
            <w:rPr>
              <w:rFonts w:eastAsiaTheme="minorEastAsia"/>
              <w:noProof/>
              <w:kern w:val="2"/>
              <w:sz w:val="24"/>
              <w:szCs w:val="24"/>
              <w:lang w:val="en-IE" w:eastAsia="en-IE"/>
              <w14:ligatures w14:val="standardContextual"/>
            </w:rPr>
          </w:pPr>
          <w:hyperlink w:anchor="_Toc226620204" w:history="1">
            <w:r w:rsidR="006B269E" w:rsidRPr="006B269E">
              <w:rPr>
                <w:rStyle w:val="Hyperlink"/>
                <w:rFonts w:ascii="Times New Roman" w:eastAsia="Times New Roman" w:hAnsi="Times New Roman" w:cs="Times New Roman"/>
                <w:noProof/>
              </w:rPr>
              <w:t>4.11.</w:t>
            </w:r>
            <w:r w:rsidR="006B269E" w:rsidRPr="006B269E">
              <w:rPr>
                <w:rFonts w:eastAsiaTheme="minorEastAsia"/>
                <w:noProof/>
                <w:kern w:val="2"/>
                <w:sz w:val="24"/>
                <w:szCs w:val="24"/>
                <w:lang w:val="en-IE" w:eastAsia="en-IE"/>
                <w14:ligatures w14:val="standardContextual"/>
              </w:rPr>
              <w:tab/>
            </w:r>
            <w:r w:rsidR="006B269E" w:rsidRPr="006B269E">
              <w:rPr>
                <w:rStyle w:val="Hyperlink"/>
                <w:rFonts w:ascii="Times New Roman" w:hAnsi="Times New Roman"/>
                <w:noProof/>
              </w:rPr>
              <w:t>Autres domaines</w:t>
            </w:r>
            <w:r w:rsidR="006B269E" w:rsidRPr="006B269E">
              <w:rPr>
                <w:noProof/>
                <w:webHidden/>
              </w:rPr>
              <w:tab/>
            </w:r>
            <w:r w:rsidR="006B269E" w:rsidRPr="006B269E">
              <w:rPr>
                <w:noProof/>
                <w:webHidden/>
              </w:rPr>
              <w:fldChar w:fldCharType="begin"/>
            </w:r>
            <w:r w:rsidR="006B269E" w:rsidRPr="006B269E">
              <w:rPr>
                <w:noProof/>
                <w:webHidden/>
              </w:rPr>
              <w:instrText xml:space="preserve"> PAGEREF _Toc226620204 \h </w:instrText>
            </w:r>
            <w:r w:rsidR="006B269E" w:rsidRPr="006B269E">
              <w:rPr>
                <w:noProof/>
                <w:webHidden/>
              </w:rPr>
            </w:r>
            <w:r w:rsidR="006B269E" w:rsidRPr="006B269E">
              <w:rPr>
                <w:noProof/>
                <w:webHidden/>
              </w:rPr>
              <w:fldChar w:fldCharType="separate"/>
            </w:r>
            <w:r w:rsidR="006B269E" w:rsidRPr="006B269E">
              <w:rPr>
                <w:noProof/>
                <w:webHidden/>
              </w:rPr>
              <w:t>15</w:t>
            </w:r>
            <w:r w:rsidR="006B269E" w:rsidRPr="006B269E">
              <w:rPr>
                <w:noProof/>
                <w:webHidden/>
              </w:rPr>
              <w:fldChar w:fldCharType="end"/>
            </w:r>
          </w:hyperlink>
        </w:p>
        <w:p w14:paraId="19D10110" w14:textId="523479B1"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205" w:history="1">
            <w:r w:rsidR="006B269E" w:rsidRPr="006B269E">
              <w:rPr>
                <w:rStyle w:val="Hyperlink"/>
              </w:rPr>
              <w:t>5.</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Évolution de la législation du Royaume-Uni</w:t>
            </w:r>
            <w:r w:rsidR="006B269E" w:rsidRPr="006B269E">
              <w:rPr>
                <w:webHidden/>
              </w:rPr>
              <w:tab/>
            </w:r>
            <w:r w:rsidR="006B269E" w:rsidRPr="006B269E">
              <w:rPr>
                <w:webHidden/>
              </w:rPr>
              <w:fldChar w:fldCharType="begin"/>
            </w:r>
            <w:r w:rsidR="006B269E" w:rsidRPr="006B269E">
              <w:rPr>
                <w:webHidden/>
              </w:rPr>
              <w:instrText xml:space="preserve"> PAGEREF _Toc226620205 \h </w:instrText>
            </w:r>
            <w:r w:rsidR="006B269E" w:rsidRPr="006B269E">
              <w:rPr>
                <w:webHidden/>
              </w:rPr>
            </w:r>
            <w:r w:rsidR="006B269E" w:rsidRPr="006B269E">
              <w:rPr>
                <w:webHidden/>
              </w:rPr>
              <w:fldChar w:fldCharType="separate"/>
            </w:r>
            <w:r w:rsidR="006B269E" w:rsidRPr="006B269E">
              <w:rPr>
                <w:webHidden/>
              </w:rPr>
              <w:t>15</w:t>
            </w:r>
            <w:r w:rsidR="006B269E" w:rsidRPr="006B269E">
              <w:rPr>
                <w:webHidden/>
              </w:rPr>
              <w:fldChar w:fldCharType="end"/>
            </w:r>
          </w:hyperlink>
        </w:p>
        <w:p w14:paraId="02227C83" w14:textId="61A6668C"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206" w:history="1">
            <w:r w:rsidR="006B269E" w:rsidRPr="006B269E">
              <w:rPr>
                <w:rStyle w:val="Hyperlink"/>
              </w:rPr>
              <w:t>6.</w:t>
            </w:r>
            <w:r w:rsidR="006B269E" w:rsidRPr="006B269E">
              <w:rPr>
                <w:rFonts w:asciiTheme="minorHAnsi" w:eastAsiaTheme="minorEastAsia" w:hAnsiTheme="minorHAnsi" w:cstheme="minorBidi"/>
                <w:kern w:val="2"/>
                <w:lang w:val="en-IE" w:eastAsia="en-IE"/>
                <w14:ligatures w14:val="standardContextual"/>
              </w:rPr>
              <w:tab/>
            </w:r>
            <w:r w:rsidR="006B269E" w:rsidRPr="006B269E">
              <w:rPr>
                <w:rStyle w:val="Hyperlink"/>
              </w:rPr>
              <w:t>Conclusions</w:t>
            </w:r>
            <w:r w:rsidR="006B269E" w:rsidRPr="006B269E">
              <w:rPr>
                <w:webHidden/>
              </w:rPr>
              <w:tab/>
            </w:r>
            <w:r w:rsidR="006B269E" w:rsidRPr="006B269E">
              <w:rPr>
                <w:webHidden/>
              </w:rPr>
              <w:fldChar w:fldCharType="begin"/>
            </w:r>
            <w:r w:rsidR="006B269E" w:rsidRPr="006B269E">
              <w:rPr>
                <w:webHidden/>
              </w:rPr>
              <w:instrText xml:space="preserve"> PAGEREF _Toc226620206 \h </w:instrText>
            </w:r>
            <w:r w:rsidR="006B269E" w:rsidRPr="006B269E">
              <w:rPr>
                <w:webHidden/>
              </w:rPr>
            </w:r>
            <w:r w:rsidR="006B269E" w:rsidRPr="006B269E">
              <w:rPr>
                <w:webHidden/>
              </w:rPr>
              <w:fldChar w:fldCharType="separate"/>
            </w:r>
            <w:r w:rsidR="006B269E" w:rsidRPr="006B269E">
              <w:rPr>
                <w:webHidden/>
              </w:rPr>
              <w:t>17</w:t>
            </w:r>
            <w:r w:rsidR="006B269E" w:rsidRPr="006B269E">
              <w:rPr>
                <w:webHidden/>
              </w:rPr>
              <w:fldChar w:fldCharType="end"/>
            </w:r>
          </w:hyperlink>
        </w:p>
        <w:p w14:paraId="000F5BD3" w14:textId="1EE5B046"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207" w:history="1">
            <w:r w:rsidR="006B269E" w:rsidRPr="006B269E">
              <w:rPr>
                <w:rStyle w:val="Hyperlink"/>
              </w:rPr>
              <w:t>Annexe 1: Réunions des organes mixtes et autres structures institués en vertu de l’ACC</w:t>
            </w:r>
            <w:r w:rsidR="006B269E" w:rsidRPr="006B269E">
              <w:rPr>
                <w:webHidden/>
              </w:rPr>
              <w:tab/>
            </w:r>
            <w:r w:rsidR="006B269E" w:rsidRPr="006B269E">
              <w:rPr>
                <w:webHidden/>
              </w:rPr>
              <w:fldChar w:fldCharType="begin"/>
            </w:r>
            <w:r w:rsidR="006B269E" w:rsidRPr="006B269E">
              <w:rPr>
                <w:webHidden/>
              </w:rPr>
              <w:instrText xml:space="preserve"> PAGEREF _Toc226620207 \h </w:instrText>
            </w:r>
            <w:r w:rsidR="006B269E" w:rsidRPr="006B269E">
              <w:rPr>
                <w:webHidden/>
              </w:rPr>
            </w:r>
            <w:r w:rsidR="006B269E" w:rsidRPr="006B269E">
              <w:rPr>
                <w:webHidden/>
              </w:rPr>
              <w:fldChar w:fldCharType="separate"/>
            </w:r>
            <w:r w:rsidR="006B269E" w:rsidRPr="006B269E">
              <w:rPr>
                <w:webHidden/>
              </w:rPr>
              <w:t>19</w:t>
            </w:r>
            <w:r w:rsidR="006B269E" w:rsidRPr="006B269E">
              <w:rPr>
                <w:webHidden/>
              </w:rPr>
              <w:fldChar w:fldCharType="end"/>
            </w:r>
          </w:hyperlink>
        </w:p>
        <w:p w14:paraId="684263E7" w14:textId="0B72F9E5"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208" w:history="1">
            <w:r w:rsidR="006B269E" w:rsidRPr="006B269E">
              <w:rPr>
                <w:rStyle w:val="Hyperlink"/>
              </w:rPr>
              <w:t>Annexe 2: Décisions, recommandations et déclarations adoptées par le conseil de partenariat et les comités institués par l’ACC</w:t>
            </w:r>
            <w:r w:rsidR="006B269E" w:rsidRPr="006B269E">
              <w:rPr>
                <w:webHidden/>
              </w:rPr>
              <w:tab/>
            </w:r>
            <w:r w:rsidR="006B269E" w:rsidRPr="006B269E">
              <w:rPr>
                <w:webHidden/>
              </w:rPr>
              <w:fldChar w:fldCharType="begin"/>
            </w:r>
            <w:r w:rsidR="006B269E" w:rsidRPr="006B269E">
              <w:rPr>
                <w:webHidden/>
              </w:rPr>
              <w:instrText xml:space="preserve"> PAGEREF _Toc226620208 \h </w:instrText>
            </w:r>
            <w:r w:rsidR="006B269E" w:rsidRPr="006B269E">
              <w:rPr>
                <w:webHidden/>
              </w:rPr>
            </w:r>
            <w:r w:rsidR="006B269E" w:rsidRPr="006B269E">
              <w:rPr>
                <w:webHidden/>
              </w:rPr>
              <w:fldChar w:fldCharType="separate"/>
            </w:r>
            <w:r w:rsidR="006B269E" w:rsidRPr="006B269E">
              <w:rPr>
                <w:webHidden/>
              </w:rPr>
              <w:t>21</w:t>
            </w:r>
            <w:r w:rsidR="006B269E" w:rsidRPr="006B269E">
              <w:rPr>
                <w:webHidden/>
              </w:rPr>
              <w:fldChar w:fldCharType="end"/>
            </w:r>
          </w:hyperlink>
        </w:p>
        <w:p w14:paraId="55FF72DF" w14:textId="1A15FC01" w:rsidR="006B269E" w:rsidRPr="006B269E" w:rsidRDefault="008546B6">
          <w:pPr>
            <w:pStyle w:val="TOC1"/>
            <w:rPr>
              <w:rFonts w:asciiTheme="minorHAnsi" w:eastAsiaTheme="minorEastAsia" w:hAnsiTheme="minorHAnsi" w:cstheme="minorBidi"/>
              <w:kern w:val="2"/>
              <w:lang w:val="en-IE" w:eastAsia="en-IE"/>
              <w14:ligatures w14:val="standardContextual"/>
            </w:rPr>
          </w:pPr>
          <w:hyperlink w:anchor="_Toc226620209" w:history="1">
            <w:r w:rsidR="006B269E" w:rsidRPr="006B269E">
              <w:rPr>
                <w:rStyle w:val="Hyperlink"/>
              </w:rPr>
              <w:t>Annexe 3: Vue d’ensemble des actions de mise en œuvre liées à l’ACC convenues dans la convention d’entente</w:t>
            </w:r>
            <w:r w:rsidR="006B269E" w:rsidRPr="006B269E">
              <w:rPr>
                <w:webHidden/>
              </w:rPr>
              <w:tab/>
            </w:r>
            <w:r w:rsidR="006B269E" w:rsidRPr="006B269E">
              <w:rPr>
                <w:webHidden/>
              </w:rPr>
              <w:fldChar w:fldCharType="begin"/>
            </w:r>
            <w:r w:rsidR="006B269E" w:rsidRPr="006B269E">
              <w:rPr>
                <w:webHidden/>
              </w:rPr>
              <w:instrText xml:space="preserve"> PAGEREF _Toc226620209 \h </w:instrText>
            </w:r>
            <w:r w:rsidR="006B269E" w:rsidRPr="006B269E">
              <w:rPr>
                <w:webHidden/>
              </w:rPr>
            </w:r>
            <w:r w:rsidR="006B269E" w:rsidRPr="006B269E">
              <w:rPr>
                <w:webHidden/>
              </w:rPr>
              <w:fldChar w:fldCharType="separate"/>
            </w:r>
            <w:r w:rsidR="006B269E" w:rsidRPr="006B269E">
              <w:rPr>
                <w:webHidden/>
              </w:rPr>
              <w:t>22</w:t>
            </w:r>
            <w:r w:rsidR="006B269E" w:rsidRPr="006B269E">
              <w:rPr>
                <w:webHidden/>
              </w:rPr>
              <w:fldChar w:fldCharType="end"/>
            </w:r>
          </w:hyperlink>
        </w:p>
        <w:p w14:paraId="06944297" w14:textId="6836E62F" w:rsidR="00D331A7" w:rsidRDefault="00D331A7" w:rsidP="00D331A7">
          <w:pPr>
            <w:tabs>
              <w:tab w:val="left" w:pos="435"/>
              <w:tab w:val="left" w:pos="851"/>
              <w:tab w:val="right" w:leader="dot" w:pos="9015"/>
            </w:tabs>
            <w:ind w:left="426" w:hanging="426"/>
            <w:rPr>
              <w:noProof/>
            </w:rPr>
          </w:pPr>
          <w:r w:rsidRPr="006B269E">
            <w:rPr>
              <w:rFonts w:ascii="Times New Roman" w:hAnsi="Times New Roman" w:cs="Times New Roman"/>
              <w:noProof/>
            </w:rPr>
            <w:fldChar w:fldCharType="end"/>
          </w:r>
        </w:p>
      </w:sdtContent>
    </w:sdt>
    <w:p w14:paraId="52CFE944" w14:textId="144B4421" w:rsidR="00D331A7" w:rsidRDefault="00D331A7" w:rsidP="00D8292C">
      <w:pPr>
        <w:tabs>
          <w:tab w:val="left" w:pos="7538"/>
        </w:tabs>
        <w:rPr>
          <w:noProof/>
        </w:rPr>
      </w:pPr>
    </w:p>
    <w:p w14:paraId="55DF7F5C" w14:textId="687525FD"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5" w:name="_Toc204769314"/>
      <w:bookmarkStart w:id="6" w:name="_Toc226620188"/>
      <w:r>
        <w:rPr>
          <w:rFonts w:ascii="Times New Roman" w:hAnsi="Times New Roman"/>
          <w:b/>
          <w:noProof/>
          <w:color w:val="auto"/>
        </w:rPr>
        <w:t>Introduction</w:t>
      </w:r>
      <w:bookmarkEnd w:id="5"/>
      <w:bookmarkEnd w:id="6"/>
      <w:bookmarkEnd w:id="4"/>
      <w:bookmarkEnd w:id="3"/>
      <w:bookmarkEnd w:id="2"/>
    </w:p>
    <w:p w14:paraId="61AE3D67" w14:textId="400E8AC4" w:rsidR="002A4EFB" w:rsidRDefault="0095620A" w:rsidP="6A5D11F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 2025, l’Union européenne (UE) et le Royaume-Uni de Grande-Bretagne et d’Irlande du Nord (Royaume-Uni) ont franchi une étape importante dans leurs relations en organisant le premier sommet bilatéral depuis la sortie du Royaume-Uni de l’UE. Le sommet du 19 mai 2025 à Londres a marqué un engagement renouvelé en faveur de la coopération. Les dirigeants se sont félicités de l’accord sur le partenariat en matière de sécurité et de défense entre l’UE et le Royaume-Uni et sont convenus d’établir un nouveau partenariat stratégique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fondé sur l’accord de retrait</w:t>
      </w:r>
      <w:r>
        <w:rPr>
          <w:rStyle w:val="FootnoteReference"/>
          <w:rFonts w:ascii="Times New Roman" w:hAnsi="Times New Roman" w:cs="Times New Roman"/>
          <w:noProof/>
          <w:sz w:val="24"/>
          <w:szCs w:val="24"/>
        </w:rPr>
        <w:footnoteReference w:id="3"/>
      </w:r>
      <w:r>
        <w:rPr>
          <w:rFonts w:ascii="Times New Roman" w:hAnsi="Times New Roman"/>
          <w:noProof/>
          <w:sz w:val="24"/>
        </w:rPr>
        <w:t>, y compris le cadre de Windsor</w:t>
      </w:r>
      <w:r>
        <w:rPr>
          <w:rStyle w:val="FootnoteReference"/>
          <w:rFonts w:ascii="Times New Roman" w:hAnsi="Times New Roman" w:cs="Times New Roman"/>
          <w:noProof/>
          <w:sz w:val="24"/>
          <w:szCs w:val="24"/>
        </w:rPr>
        <w:footnoteReference w:id="4"/>
      </w:r>
      <w:r>
        <w:rPr>
          <w:rFonts w:ascii="Times New Roman" w:hAnsi="Times New Roman"/>
          <w:noProof/>
          <w:sz w:val="24"/>
        </w:rPr>
        <w:t>, et sur l’accord de commerce et de coopération (ci-après l’«ACC» ou l’«accord»)</w:t>
      </w:r>
      <w:r>
        <w:rPr>
          <w:rStyle w:val="FootnoteReference"/>
          <w:rFonts w:ascii="Times New Roman" w:hAnsi="Times New Roman" w:cs="Times New Roman"/>
          <w:noProof/>
          <w:sz w:val="24"/>
          <w:szCs w:val="24"/>
        </w:rPr>
        <w:footnoteReference w:id="5"/>
      </w:r>
      <w:r>
        <w:rPr>
          <w:rFonts w:ascii="Times New Roman" w:hAnsi="Times New Roman"/>
          <w:noProof/>
          <w:sz w:val="24"/>
        </w:rPr>
        <w:t>.</w:t>
      </w:r>
    </w:p>
    <w:p w14:paraId="1E2C7B3E" w14:textId="2733584D" w:rsidR="00FB2183" w:rsidRDefault="004C2491" w:rsidP="00FB2183">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Le programme renouvelé de coopération bilatérale renforcée – la convention d’entente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 reflète un engagement commun en faveur de la mise en œuvre intégrale, fidèle et en temps utile de ces accords. En ce qui concerne l’ACC, la convention d’entente définit des actions visant à accroître la coopération, notamment en garantissant un accès réciproque total aux eaux de pêche jusqu’au 30 juin 2038, en étendant la coopération énergétique, en renforçant la collaboration en matière de sécurité sanitaire, en faisant progresser l’établissement de liens entre les systèmes d’échange de quotas d’émission, en veillant à la mise en œuvre des dispositions spécifiques de l’ACC relatives aux services, en renforçant la coopération dans les domaines judiciaire, répressif et de la politique de concurrence, et en associant le Royaume-Uni au programme Erasmus+. </w:t>
      </w:r>
    </w:p>
    <w:p w14:paraId="042A3A7C" w14:textId="1F86F810" w:rsidR="00FA7FF2" w:rsidRDefault="00FA7FF2" w:rsidP="00FA7FF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Fin 2025, des progrès significatifs avaient été accomplis dans la mise en œuvre de la convention d’entente. Un accord de principe avait été obtenu sur la participation du Royaume-Uni à Erasmus+</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et des discussions exploratoires sur la participation éventuelle du Royaume-Uni au marché intérieur de l’électricité de l’UE avaient été conclues, ouvrant la voie à de nouveaux progrès en 2026. </w:t>
      </w:r>
    </w:p>
    <w:p w14:paraId="4929F703" w14:textId="69C54E72" w:rsidR="00087994" w:rsidRDefault="00FA7FF2"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coopération s’est également poursuivie sur un certain nombre d’initiatives qui ne relèvent pas du champ d’application de l’ACC. Il s’agissait notamment de négocier des accords sur un espace sanitaire et phytosanitaire commun et sur le programme d’expérience en faveur des jeunes, ainsi que sur la coopération en matière de migration irrégulière, y compris sa dimension extérieure. Les deux parties se sont également engagées à échanger des informations sur la gestion efficace des frontières et à poursuivre les dialogues techniques et réglementaires sur les technologies énergétiques ainsi que sur les risques et menaces liés à la drogue.</w:t>
      </w:r>
    </w:p>
    <w:p w14:paraId="1A9BC1F0" w14:textId="770E15CB" w:rsidR="00DC13CC" w:rsidRPr="00F006D0" w:rsidRDefault="00E31ED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Ce cinquième rapport sur la mise en œuvre et l’application de l’ACC, établi comme prévu à l’article 2, paragraphe 4, de la </w:t>
      </w:r>
      <w:bookmarkStart w:id="7" w:name="_Hlk209776665"/>
      <w:r>
        <w:rPr>
          <w:rFonts w:ascii="Times New Roman" w:hAnsi="Times New Roman"/>
          <w:noProof/>
          <w:sz w:val="24"/>
        </w:rPr>
        <w:t>décision (UE) 2021/689 du Conseil du 29 avril 2021</w:t>
      </w:r>
      <w:r>
        <w:rPr>
          <w:rFonts w:ascii="Times New Roman" w:hAnsi="Times New Roman" w:cs="Times New Roman"/>
          <w:noProof/>
          <w:sz w:val="24"/>
          <w:szCs w:val="24"/>
          <w:vertAlign w:val="superscript"/>
        </w:rPr>
        <w:footnoteReference w:id="8"/>
      </w:r>
      <w:bookmarkEnd w:id="7"/>
      <w:r>
        <w:rPr>
          <w:rFonts w:ascii="Times New Roman" w:hAnsi="Times New Roman"/>
          <w:noProof/>
          <w:sz w:val="24"/>
        </w:rPr>
        <w:t>, présente les principales évolutions survenues en 2025. Il couvre le fonctionnement du cadre institutionnel (section 2), les plaintes et le règlement des différends (section 3), ainsi que les progrès accomplis dans les différents domaines de l’ACC, notamment des mises à jour sur la mise en œuvre des actions convenues dans la convention d’entente (section 4). Le rapport met également en évidence les évolutions législatives au Royaume-Uni qui ont une incidence sur la mise en œuvre de l’ACC (section 5).</w:t>
      </w:r>
    </w:p>
    <w:p w14:paraId="14B51BD5" w14:textId="60B652B0"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8" w:name="_Toc86061892"/>
      <w:bookmarkStart w:id="9" w:name="_Toc86154514"/>
      <w:bookmarkStart w:id="10" w:name="_Toc185413378"/>
      <w:bookmarkStart w:id="11" w:name="_Toc204769315"/>
      <w:bookmarkStart w:id="12" w:name="_Toc226620189"/>
      <w:r>
        <w:rPr>
          <w:rFonts w:ascii="Times New Roman" w:hAnsi="Times New Roman"/>
          <w:b/>
          <w:noProof/>
          <w:color w:val="auto"/>
        </w:rPr>
        <w:t>Cadre institutionnel</w:t>
      </w:r>
      <w:bookmarkEnd w:id="8"/>
      <w:bookmarkEnd w:id="9"/>
      <w:bookmarkEnd w:id="10"/>
      <w:bookmarkEnd w:id="11"/>
      <w:bookmarkEnd w:id="12"/>
    </w:p>
    <w:p w14:paraId="0FC06E13" w14:textId="79B91B83" w:rsidR="00024D39" w:rsidRPr="00F006D0" w:rsidRDefault="00176FCA"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présente section décrit les principales activités et évolutions des organes mixtes et autres structures institués en vertu de l’ACC pour surveiller et faciliter sa mise en œuvre. Une liste complète des réunions est présentée à l’annexe 1.</w:t>
      </w:r>
    </w:p>
    <w:p w14:paraId="6E3660B6" w14:textId="00B50AA4" w:rsidR="001B6AD6" w:rsidRDefault="7473CE49" w:rsidP="001B6AD6">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comités</w:t>
      </w:r>
      <w:r>
        <w:rPr>
          <w:rFonts w:ascii="Times New Roman" w:hAnsi="Times New Roman"/>
          <w:noProof/>
          <w:sz w:val="24"/>
        </w:rPr>
        <w:t xml:space="preserve"> institués en vertu de l’article 8 de l’ACC se sont réunis tout au long de l’année. Ces réunions ont permis de faire le point, de manière structurée, sur les progrès réalisés en ce qui concerne les engagements pris dans le cadre de l’ACC, et ont servi de plateforme pour des échanges techniques sur diverses questions liées à la mise en œuvre, notamment sur les évolutions réglementaires à venir. Plusieurs décisions et recommandations, présentées à l’annexe 2, ont été adoptées. Le cas échéant, les réunions des comités spécialisés ont été précédées des réunions des </w:t>
      </w:r>
      <w:r>
        <w:rPr>
          <w:rFonts w:ascii="Times New Roman" w:hAnsi="Times New Roman"/>
          <w:b/>
          <w:noProof/>
          <w:sz w:val="24"/>
        </w:rPr>
        <w:t>groupes de travail</w:t>
      </w:r>
      <w:r>
        <w:rPr>
          <w:rFonts w:ascii="Times New Roman" w:hAnsi="Times New Roman"/>
          <w:noProof/>
          <w:sz w:val="24"/>
        </w:rPr>
        <w:t xml:space="preserve"> institués en vertu de l’article 9 de l’ACC</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1ACC876B" w14:textId="68CDD745" w:rsidR="00A60811" w:rsidRDefault="0B76E0F5"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assemblée parlementaire de partenariat</w:t>
      </w:r>
      <w:r>
        <w:rPr>
          <w:rFonts w:ascii="Times New Roman" w:hAnsi="Times New Roman"/>
          <w:noProof/>
          <w:sz w:val="24"/>
        </w:rPr>
        <w:t>, constituée en vertu de l’article 11 de l’ACC, s’est réunie à deux reprises: les 17 et 18 mars à Bruxelles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et les 17 et 18 novembre à Londres</w:t>
      </w:r>
      <w:r>
        <w:rPr>
          <w:rStyle w:val="FootnoteReference"/>
          <w:rFonts w:ascii="Times New Roman" w:hAnsi="Times New Roman" w:cs="Times New Roman"/>
          <w:noProof/>
          <w:sz w:val="24"/>
          <w:szCs w:val="24"/>
        </w:rPr>
        <w:footnoteReference w:id="11"/>
      </w:r>
      <w:r>
        <w:rPr>
          <w:rFonts w:ascii="Times New Roman" w:hAnsi="Times New Roman"/>
          <w:noProof/>
          <w:sz w:val="24"/>
        </w:rPr>
        <w:t>. Ces réunions ont porté sur la politique étrangère et de sécurité, le climat et l’énergie, les droits des travailleurs, les échanges culturels, l’intelligence artificielle, les données et la coopération numérique, les perspectives pour les jeunes, le commerce, les douanes, les mesures sanitaires et phytosanitaires et la coopération réglementaire dans le domaine des services financiers. À la suite de la réunion de mars, l’Assemblée a adressé une recommandation au conseil de partenariat sur le renforcement de la coopération entre l’UE et le Royaume-Uni en vue du sommet du 19 mai</w:t>
      </w:r>
      <w:r>
        <w:rPr>
          <w:rStyle w:val="FootnoteReference"/>
          <w:rFonts w:ascii="Times New Roman" w:hAnsi="Times New Roman" w:cs="Times New Roman"/>
          <w:noProof/>
          <w:sz w:val="24"/>
          <w:szCs w:val="24"/>
        </w:rPr>
        <w:footnoteReference w:id="12"/>
      </w:r>
      <w:r>
        <w:rPr>
          <w:rFonts w:ascii="Times New Roman" w:hAnsi="Times New Roman"/>
          <w:noProof/>
          <w:sz w:val="24"/>
        </w:rPr>
        <w:t>, et à la suite de la réunion de novembre, sur la sécurité, le commerce et les défis mondiaux</w:t>
      </w:r>
      <w:r>
        <w:rPr>
          <w:rStyle w:val="FootnoteReference"/>
          <w:rFonts w:ascii="Times New Roman" w:hAnsi="Times New Roman" w:cs="Times New Roman"/>
          <w:noProof/>
          <w:sz w:val="24"/>
          <w:szCs w:val="24"/>
        </w:rPr>
        <w:footnoteReference w:id="13"/>
      </w:r>
      <w:r>
        <w:rPr>
          <w:rFonts w:ascii="Times New Roman" w:hAnsi="Times New Roman"/>
          <w:noProof/>
          <w:sz w:val="24"/>
        </w:rPr>
        <w:t>.</w:t>
      </w:r>
    </w:p>
    <w:p w14:paraId="52E896DF" w14:textId="5D9CA95E" w:rsidR="00D72AC6" w:rsidRPr="00C5508E" w:rsidRDefault="069323B9" w:rsidP="00BE203F">
      <w:pPr>
        <w:tabs>
          <w:tab w:val="left" w:pos="5670"/>
        </w:tabs>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groupe consultatif interne</w:t>
      </w:r>
      <w:r>
        <w:rPr>
          <w:rFonts w:ascii="Times New Roman" w:hAnsi="Times New Roman"/>
          <w:noProof/>
          <w:sz w:val="24"/>
        </w:rPr>
        <w:t xml:space="preserve"> de l’UE, institué en vertu de l’article 13 de l’ACC et composé de représentants des organisations de la société civile</w:t>
      </w:r>
      <w:r>
        <w:rPr>
          <w:rStyle w:val="FootnoteReference"/>
          <w:rFonts w:ascii="Times New Roman" w:hAnsi="Times New Roman" w:cs="Times New Roman"/>
          <w:noProof/>
          <w:sz w:val="24"/>
          <w:szCs w:val="24"/>
        </w:rPr>
        <w:footnoteReference w:id="14"/>
      </w:r>
      <w:r>
        <w:rPr>
          <w:rFonts w:ascii="Times New Roman" w:hAnsi="Times New Roman"/>
          <w:noProof/>
          <w:sz w:val="24"/>
        </w:rPr>
        <w:t>, s’est réuni à plusieurs reprises en 2025. Lors de sa réunion du 13 juin, le groupe a examiné les résultats du sommet. Cette discussion a abouti à une déclaration commune</w:t>
      </w:r>
      <w:r>
        <w:rPr>
          <w:rStyle w:val="FootnoteReference"/>
          <w:rFonts w:ascii="Times New Roman" w:hAnsi="Times New Roman" w:cs="Times New Roman"/>
          <w:noProof/>
          <w:sz w:val="24"/>
          <w:szCs w:val="24"/>
        </w:rPr>
        <w:footnoteReference w:id="15"/>
      </w:r>
      <w:r>
        <w:rPr>
          <w:rFonts w:ascii="Times New Roman" w:hAnsi="Times New Roman"/>
          <w:noProof/>
          <w:sz w:val="24"/>
        </w:rPr>
        <w:t>, adoptée avec le groupe consultatif interne du Royaume-Uni lors de sa réunion du 23 juin à Londres, appelant à la mise en œuvre rapide des mesures énoncées dans la convention d’entente. Lors de sa réunion du 16 septembre, la Commission a communiqué au groupe consultatif interne des informations actualisées sur la mise en œuvre de la convention d’entente.</w:t>
      </w:r>
    </w:p>
    <w:p w14:paraId="687BAD7E" w14:textId="10875B20" w:rsidR="00B24474" w:rsidRDefault="0AADE778"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forum de la société civile</w:t>
      </w:r>
      <w:r>
        <w:rPr>
          <w:rFonts w:ascii="Times New Roman" w:hAnsi="Times New Roman"/>
          <w:noProof/>
          <w:sz w:val="24"/>
        </w:rPr>
        <w:t>, créé en vertu de l’article 14 de l’ACC pour faciliter le dialogue sur la mise en œuvre de la deuxième partie de l’accord (qui couvre le commerce, le transport, la pêche et d’autres arrangements), s’est réuni pour la quatrième fois le 24 juin à Londres</w:t>
      </w:r>
      <w:r>
        <w:rPr>
          <w:rStyle w:val="FootnoteReference"/>
          <w:rFonts w:ascii="Times New Roman" w:hAnsi="Times New Roman" w:cs="Times New Roman"/>
          <w:noProof/>
          <w:sz w:val="24"/>
          <w:szCs w:val="24"/>
        </w:rPr>
        <w:footnoteReference w:id="16"/>
      </w:r>
      <w:r>
        <w:rPr>
          <w:rFonts w:ascii="Times New Roman" w:hAnsi="Times New Roman"/>
          <w:noProof/>
          <w:sz w:val="24"/>
        </w:rPr>
        <w:t>. Comme les années précédentes, le forum s’est concentré sur les questions de mise en œuvre liées au commerce des marchandises et des services, à l’énergie et au climat, à l’égalité des conditions de concurrence, à la durabilité et à la coopération réglementaire. La plupart des participants se sont félicités de la dynamique qui s’est instaurée dans les relations à la suite du sommet du 19 mai et ont indiqué espérer que cette dynamique se poursuive.</w:t>
      </w:r>
    </w:p>
    <w:p w14:paraId="45497713" w14:textId="43FC5A16" w:rsidR="002417C8" w:rsidRDefault="0072798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conseil de partenariat</w:t>
      </w:r>
      <w:r>
        <w:rPr>
          <w:rFonts w:ascii="Times New Roman" w:hAnsi="Times New Roman"/>
          <w:noProof/>
          <w:sz w:val="24"/>
        </w:rPr>
        <w:t xml:space="preserve"> s’est réuni le 2 février 2026</w:t>
      </w:r>
      <w:r>
        <w:rPr>
          <w:rStyle w:val="FootnoteReference"/>
          <w:rFonts w:ascii="Times New Roman" w:hAnsi="Times New Roman" w:cs="Times New Roman"/>
          <w:noProof/>
          <w:sz w:val="24"/>
          <w:szCs w:val="24"/>
        </w:rPr>
        <w:footnoteReference w:id="17"/>
      </w:r>
      <w:r>
        <w:rPr>
          <w:rFonts w:ascii="Times New Roman" w:hAnsi="Times New Roman"/>
          <w:noProof/>
          <w:sz w:val="24"/>
        </w:rPr>
        <w:t>.</w:t>
      </w:r>
    </w:p>
    <w:p w14:paraId="41A2A212" w14:textId="4E72E036" w:rsidR="003579A8" w:rsidRPr="0086076B" w:rsidRDefault="00862667"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13" w:name="_Toc185413379"/>
      <w:bookmarkStart w:id="14" w:name="_Toc204769316"/>
      <w:bookmarkStart w:id="15" w:name="_Toc226620190"/>
      <w:r>
        <w:rPr>
          <w:rFonts w:ascii="Times New Roman" w:hAnsi="Times New Roman"/>
          <w:b/>
          <w:noProof/>
          <w:color w:val="auto"/>
        </w:rPr>
        <w:t>Plaintes et règlement des différends</w:t>
      </w:r>
      <w:bookmarkEnd w:id="13"/>
      <w:bookmarkEnd w:id="14"/>
      <w:bookmarkEnd w:id="15"/>
    </w:p>
    <w:p w14:paraId="5DD5C24A" w14:textId="4F4F1819" w:rsidR="004247D1" w:rsidRPr="00F006D0" w:rsidRDefault="007A1520"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présente section résume les travaux des mécanismes mis en place pour traiter les plaintes émanant de parties prenantes de l’UE, régler les différends et veiller au respect des engagements pris dans le cadre de l’ACC.</w:t>
      </w:r>
    </w:p>
    <w:p w14:paraId="402CD965" w14:textId="6E63DE5E" w:rsidR="00862667" w:rsidRPr="0086076B" w:rsidRDefault="00862667"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16" w:name="_Toc185413380"/>
      <w:bookmarkStart w:id="17" w:name="_Toc204769317"/>
      <w:bookmarkStart w:id="18" w:name="_Toc226620191"/>
      <w:r>
        <w:rPr>
          <w:rFonts w:ascii="Times New Roman" w:hAnsi="Times New Roman"/>
          <w:b/>
          <w:noProof/>
          <w:color w:val="auto"/>
        </w:rPr>
        <w:t>Plaintes</w:t>
      </w:r>
      <w:bookmarkEnd w:id="16"/>
      <w:bookmarkEnd w:id="17"/>
      <w:bookmarkEnd w:id="18"/>
    </w:p>
    <w:p w14:paraId="40C7EEC2" w14:textId="20750E1B" w:rsidR="00862667" w:rsidRPr="00046813" w:rsidRDefault="00862667" w:rsidP="05B2B5AE">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2025, six plaintes ont été déposées au moyen des outils mis en place par la Commission pour garantir un suivi efficace de la mise en œuvre de l’ACC</w:t>
      </w:r>
      <w:r>
        <w:rPr>
          <w:rFonts w:ascii="Times New Roman" w:hAnsi="Times New Roman" w:cs="Times New Roman"/>
          <w:noProof/>
          <w:vertAlign w:val="superscript"/>
        </w:rPr>
        <w:footnoteReference w:id="18"/>
      </w:r>
      <w:r>
        <w:rPr>
          <w:rFonts w:ascii="Times New Roman" w:hAnsi="Times New Roman"/>
          <w:noProof/>
          <w:sz w:val="24"/>
        </w:rPr>
        <w:t>. Seules deux plaintes concernaient la mise en œuvre de l’ACC</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Les quatre autres plaintes portaient sur des questions qui ne relèvent pas du champ d’application de l’ACC et la Commission y a donné suite de la manière appropriée.</w:t>
      </w:r>
    </w:p>
    <w:p w14:paraId="5EC85A68" w14:textId="1D076C06" w:rsidR="004350B3" w:rsidRPr="0086076B" w:rsidRDefault="3B7D07B8" w:rsidP="00470A6D">
      <w:pPr>
        <w:pStyle w:val="Heading2"/>
        <w:keepNext w:val="0"/>
        <w:keepLines w:val="0"/>
        <w:numPr>
          <w:ilvl w:val="1"/>
          <w:numId w:val="55"/>
        </w:numPr>
        <w:spacing w:before="100" w:beforeAutospacing="1" w:after="100" w:afterAutospacing="1" w:line="240" w:lineRule="auto"/>
        <w:ind w:left="1077"/>
        <w:rPr>
          <w:rFonts w:ascii="Times New Roman" w:eastAsia="Times New Roman" w:hAnsi="Times New Roman" w:cs="Times New Roman"/>
          <w:b/>
          <w:bCs/>
          <w:noProof/>
          <w:color w:val="auto"/>
        </w:rPr>
      </w:pPr>
      <w:bookmarkStart w:id="19" w:name="_Toc185413381"/>
      <w:bookmarkStart w:id="20" w:name="_Toc204769318"/>
      <w:bookmarkStart w:id="21" w:name="_Toc226620192"/>
      <w:r>
        <w:rPr>
          <w:rFonts w:ascii="Times New Roman" w:hAnsi="Times New Roman"/>
          <w:b/>
          <w:noProof/>
          <w:color w:val="auto"/>
        </w:rPr>
        <w:t>Règlement des différends</w:t>
      </w:r>
      <w:bookmarkEnd w:id="19"/>
      <w:bookmarkEnd w:id="20"/>
      <w:bookmarkEnd w:id="21"/>
    </w:p>
    <w:p w14:paraId="26A935A9" w14:textId="7D799734" w:rsidR="009C24DE" w:rsidRDefault="003163D4" w:rsidP="00470A6D">
      <w:pPr>
        <w:spacing w:before="100" w:beforeAutospacing="1" w:after="100" w:afterAutospacing="1" w:line="240" w:lineRule="auto"/>
        <w:jc w:val="both"/>
        <w:rPr>
          <w:rFonts w:ascii="Times New Roman" w:hAnsi="Times New Roman" w:cs="Times New Roman"/>
          <w:noProof/>
          <w:sz w:val="24"/>
          <w:szCs w:val="24"/>
        </w:rPr>
      </w:pPr>
      <w:bookmarkStart w:id="22" w:name="_Hlk181272529"/>
      <w:r>
        <w:rPr>
          <w:rFonts w:ascii="Times New Roman" w:hAnsi="Times New Roman"/>
          <w:noProof/>
          <w:sz w:val="24"/>
        </w:rPr>
        <w:t>La procédure d’arbitrage engagée par l’UE le 25 octobre 2024, conformément à l’article 739 de l’ACC, concernant la décision du Royaume-Uni d’interdire la pêche du lançon dans ses eaux à partir du 26 mars 2024, a été clôturée le 28 avril 2025.</w:t>
      </w:r>
    </w:p>
    <w:p w14:paraId="21614D9F" w14:textId="409BA7E5" w:rsidR="009C24DE" w:rsidRDefault="005F588D"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Dans sa décision</w:t>
      </w:r>
      <w:r>
        <w:rPr>
          <w:rStyle w:val="FootnoteReference"/>
          <w:rFonts w:ascii="Times New Roman" w:hAnsi="Times New Roman" w:cs="Times New Roman"/>
          <w:noProof/>
          <w:sz w:val="24"/>
          <w:szCs w:val="24"/>
        </w:rPr>
        <w:footnoteReference w:id="20"/>
      </w:r>
      <w:r>
        <w:rPr>
          <w:rFonts w:ascii="Times New Roman" w:hAnsi="Times New Roman"/>
          <w:noProof/>
          <w:sz w:val="24"/>
        </w:rPr>
        <w:t>, le tribunal arbitral a estimé que l’interdiction de la pêche du lançon dans les eaux britanniques était incompatible avec les obligations du Royaume-Uni au titre de l’article 496, paragraphe 1, de l’ACC, lu en combinaison avec l’article 494, paragraphe 3, point f). Le tribunal a conclu que le Royaume-Uni n’avait pas dûment tenu compte du principe de proportionnalité lors de l’adoption de la mesure. Il a également établi qu’en conséquence, le Royaume-Uni avait manqué à son obligation d’accorder un accès total à ses eaux pour la pêche du lançon, conformément à l’article 2, paragraphe 1, point a), de l’annexe 38 de l’ACC. Cette décision exigeait du Royaume-Uni qu’il prenne les mesures nécessaires pour se mettre en conformité avec les dispositions pertinentes de l’ACC.</w:t>
      </w:r>
    </w:p>
    <w:p w14:paraId="0E0483B8" w14:textId="37A6B301" w:rsidR="00D3563F" w:rsidRDefault="00093869"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Le Royaume-Uni a ensuite révisé son appréciation en y incluant des éléments scientifiques et des analyses d’impact actualisés et a pris une nouvelle décision sur la fermeture des eaux anglaises à la pêche du lançon. Le 25 juin 2025, il a notifié à l’UE les mesures qu’il avait prises pour se conformer à la décision. La Commission a examiné ces informations à la lumière de la décision et a conclu qu’il n’y avait pas lieu de demander un examen de conformité.</w:t>
      </w:r>
    </w:p>
    <w:p w14:paraId="5E042427" w14:textId="0748626E" w:rsidR="00BD4DEC" w:rsidRPr="00BD4DEC" w:rsidRDefault="00CF2581"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 ce qui concerne le groupe d’experts chargé des différends relatifs au chapitre sur l’égalité des conditions de concurrence pour une concurrence ouverte et loyale et un développement durable, conformément à l’article 409 de l’ACC, la Commission a adopté, le 23 février 2026, une proposition de décision du Conseil visant à établir la liste des personnes disposées et aptes à faire partie du groupe d’experts</w:t>
      </w:r>
      <w:r>
        <w:rPr>
          <w:rStyle w:val="FootnoteReference"/>
          <w:rFonts w:ascii="Times New Roman" w:hAnsi="Times New Roman" w:cs="Times New Roman"/>
          <w:noProof/>
          <w:sz w:val="24"/>
          <w:szCs w:val="24"/>
        </w:rPr>
        <w:footnoteReference w:id="21"/>
      </w:r>
      <w:r>
        <w:rPr>
          <w:rFonts w:ascii="Times New Roman" w:hAnsi="Times New Roman"/>
          <w:noProof/>
          <w:sz w:val="24"/>
        </w:rPr>
        <w:t xml:space="preserve">. </w:t>
      </w:r>
    </w:p>
    <w:p w14:paraId="137590D4" w14:textId="42269B5E"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23" w:name="_Toc185413382"/>
      <w:bookmarkStart w:id="24" w:name="_Toc204769319"/>
      <w:bookmarkStart w:id="25" w:name="_Toc226620193"/>
      <w:bookmarkEnd w:id="22"/>
      <w:r>
        <w:rPr>
          <w:rFonts w:ascii="Times New Roman" w:hAnsi="Times New Roman"/>
          <w:b/>
          <w:noProof/>
          <w:color w:val="auto"/>
        </w:rPr>
        <w:t>Mise en œuvre sectorielle</w:t>
      </w:r>
      <w:bookmarkEnd w:id="23"/>
      <w:bookmarkEnd w:id="24"/>
      <w:bookmarkEnd w:id="25"/>
    </w:p>
    <w:p w14:paraId="0DE58DA4" w14:textId="77C95A41" w:rsidR="00764E6C" w:rsidRPr="00F006D0" w:rsidRDefault="00554FBD"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présente section passe en revue les réalisations dans les domaines d’action couverts par l’ACC, ainsi que les progrès accomplis dans la mise en œuvre des actions convenues dans la convention d’entente qui relèvent du champ d’application de l’ACC. Elle présente également des données sur les flux commerciaux de marchandises et de services entre l’UE et le Royaume-Uni.</w:t>
      </w:r>
    </w:p>
    <w:p w14:paraId="18A6A513" w14:textId="62E78BCC" w:rsidR="006D1404" w:rsidRPr="0086076B" w:rsidRDefault="33A451BC"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26" w:name="_Toc185413383"/>
      <w:bookmarkStart w:id="27" w:name="_Toc204769320"/>
      <w:bookmarkStart w:id="28" w:name="_Toc226620194"/>
      <w:r>
        <w:rPr>
          <w:rFonts w:ascii="Times New Roman" w:hAnsi="Times New Roman"/>
          <w:b/>
          <w:noProof/>
          <w:color w:val="auto"/>
        </w:rPr>
        <w:t>Commerce des marchandises</w:t>
      </w:r>
      <w:bookmarkEnd w:id="26"/>
      <w:bookmarkEnd w:id="27"/>
      <w:bookmarkEnd w:id="28"/>
    </w:p>
    <w:p w14:paraId="7B427CB0" w14:textId="02987943" w:rsidR="00786D3D" w:rsidRPr="00F006D0" w:rsidRDefault="3EA7FCBB"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Dans l’ensemble, les dispositions relatives au commerce énoncées dans l’ACC ont été efficaces et ont bien fonctionné.</w:t>
      </w:r>
    </w:p>
    <w:p w14:paraId="243C2595" w14:textId="46307EA7" w:rsidR="008E0385"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l’article 31 de l’ACC, l’UE et le Royaume-Uni ont échangé des statistiques d’importation</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xml:space="preserve">. Celles-ci indiquent qu’environ 39,5 % des exportations de l’UE vers le Royaume-Uni et 48,5 % des importations de l’UE en provenance du Royaume-Uni pouvaient bénéficier d’un traitement préférentiel au titre de l’accord commercial. Les flux commerciaux restants concernaient des lignes tarifaires qui étaient déjà exemptes de droits de douane sur la base du principe de la nation la plus favorisée. </w:t>
      </w:r>
    </w:p>
    <w:p w14:paraId="4C429E98" w14:textId="1566CFBC" w:rsidR="00565046" w:rsidRPr="00F006D0"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Les taux d’utilisation des préférences</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xml:space="preserve"> restent élevés et sont comparables à ceux de l’année précédente: 88 % des marchandises de l’UE admissibles aux préférences qui ont été exportées vers le Royaume-Uni et 83,2 % des marchandises admissibles aux préférences qui ont été importées du Royaume-Uni ont bénéficié des préférences au titre de l’ACC. Ces taux concordent avec ceux observés pour les autres partenaires avec lesquels l’UE a conclu des accords de libre-échange</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w:t>
      </w:r>
    </w:p>
    <w:p w14:paraId="4C69AD7C" w14:textId="14226C88" w:rsidR="00050116" w:rsidRPr="00E9362D" w:rsidRDefault="00CA2DC7"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0" w:name="_Hlk204787258"/>
      <w:bookmarkStart w:id="31" w:name="_Hlk148710669"/>
      <w:r>
        <w:rPr>
          <w:rFonts w:ascii="Times New Roman" w:hAnsi="Times New Roman"/>
          <w:noProof/>
          <w:sz w:val="24"/>
        </w:rPr>
        <w:t xml:space="preserve">Un aperçu de l’évolution des </w:t>
      </w:r>
      <w:r>
        <w:rPr>
          <w:rFonts w:ascii="Times New Roman" w:hAnsi="Times New Roman"/>
          <w:b/>
          <w:noProof/>
          <w:sz w:val="24"/>
        </w:rPr>
        <w:t>flux commerciaux de marchandises</w:t>
      </w:r>
      <w:r>
        <w:rPr>
          <w:rFonts w:ascii="Times New Roman" w:eastAsia="Times New Roman" w:hAnsi="Times New Roman" w:cs="Times New Roman"/>
          <w:noProof/>
          <w:vertAlign w:val="superscript"/>
        </w:rPr>
        <w:footnoteReference w:id="25"/>
      </w:r>
      <w:r>
        <w:rPr>
          <w:rFonts w:ascii="Times New Roman" w:hAnsi="Times New Roman"/>
          <w:noProof/>
          <w:sz w:val="24"/>
        </w:rPr>
        <w:t xml:space="preserve"> entre l’UE et le Royaume-Uni en 2025 est présenté ci-dessous.</w:t>
      </w:r>
    </w:p>
    <w:bookmarkEnd w:id="30"/>
    <w:p w14:paraId="381B9F1A" w14:textId="2D379EE3" w:rsidR="00CE052D"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ce qui concerne les marchandises avec le Royaume-Uni, l’UE a enregistré un excédent commercial substantiel qui s’élève à 188 milliards d’EUR. L’UE a exporté des marchandises pour une valeur de 346 milliards d’EUR vers le Royaume-Uni, ce qui représente une augmentation de 0,8 % par rapport à 2024. Les importations de marchandises en provenance du Royaume-Uni se sont élevées à 159 milliards d’EUR, soit une réduction de 3,1 % par rapport à 2024.</w:t>
      </w:r>
    </w:p>
    <w:p w14:paraId="0E33E134" w14:textId="4E2BB93C"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secteurs affichant la plus forte croissance des exportations de l’UE vers le Royaume-Uni étaient les produits alimentaires, les boissons et le tabac (+ 3,5 %), les matières premières (+ 3,3 %) et les produits chimiques et produits connexes (+ 3,3 %). La seule catégorie d’exportation qui a diminué est celle des combustibles minéraux (– 2,5 %). Du côté des importations, les importations de produits alimentaires, de boissons et de tabac (+ 3,8 %) et de matières premières (+ 4,1 %) ont augmenté, tandis que les importations des autres catégories de marchandises ont diminué. La baisse la plus importante a été observée pour les combustibles minéraux (– 14,2 %). Dans l’ensemble, ces évolutions mettent en évidence une divergence dans la dynamique des échanges entre les secteurs, les produits liés à l’énergie continuant de se contracter, tandis que les produits alimentaires, les boissons, le tabac et les matières premières ont maintenu une croissance modérée. </w:t>
      </w:r>
    </w:p>
    <w:p w14:paraId="77532E40" w14:textId="27715C9B"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Par rapport aux autres pays tiers, les échanges de marchandises de l’UE avec le Royaume-Uni ont été moins dynamiques. En 2025, les exportations de l’UE vers les autres pays tiers ont augmenté de 2,4 % par rapport à 2024, tandis que les importations de l’UE en provenance des autres pays tiers ont augmenté de 2,9 %. En 2025, le total des échanges de marchandises avec le Royaume-Uni représentait 9,8 % de l’ensemble des échanges de l’UE avec ses partenaires internationaux, contre 10,1 % en 2024. Le Royaume-Uni est resté la deuxième destination des exportations de l’UE, recevant 13,1 % du total des exportations de marchandises de l’UE, contre 13,3 % en 2024, après les États-Unis (20,9 %). Du côté des importations, le Royaume-Uni était à l’origine de 6,3 % des importations de marchandises de l’UE, contre 6,7 % en 2024, se classant en troisième position après la Chine (22,3 %) et les États-Unis (14,1 %). Ces chiffres confirment la poursuite d’une tendance mise en évidence dans les précédents rapports annuels de la Commission sur la mise en œuvre de l’ACC, selon laquelle les échanges de marchandises avec d’autres partenaires non-membres de l’UE ont augmenté plus rapidement que les échanges avec le Royaume-Uni depuis son retrait de l’UE.</w:t>
      </w:r>
    </w:p>
    <w:p w14:paraId="4D224D74" w14:textId="0B9B2F96" w:rsidR="00CE052D" w:rsidRDefault="00AB5C7B" w:rsidP="00CE052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Si l’on examine l’évolution des échanges de marchandises depuis que l’ACC a commencé à s’appliquer en 2021, les exportations de l’UE vers le Royaume-Uni ont affiché une croissance constante. En 2025, les exportations ont atteint 346 milliards d’EUR, contre 282 milliards d’EUR en 2021, soit une augmentation de 23 %. La croissance annuelle la plus forte a été enregistrée entre 2021 et 2022, reflétant un rebond dû à l’incidence de la COVID-19. En revanche, les importations de l’UE en provenance du Royaume-Uni ont suivi une trajectoire plus volatile, passant de 147 milliards d’EUR en 2021 à 216 milliards d’EUR en 2022, reflétant également l’ajustement après la pandémie, avant de diminuer régulièrement pour atteindre 159 milliards d’EUR en 2025. Cette divergence entre les exportations et les importations donne à penser que l’économie de l’UE s’est adaptée efficacement aux nouvelles conditions commerciales avec le Royaume-Uni à la suite de son retrait de l’UE. </w:t>
      </w:r>
    </w:p>
    <w:p w14:paraId="7633CEC8" w14:textId="71E23EB2" w:rsidR="00F44321" w:rsidRPr="008C0FA2" w:rsidRDefault="00BA288F" w:rsidP="00076B08">
      <w:pPr>
        <w:spacing w:before="100" w:beforeAutospacing="1" w:after="100" w:afterAutospacing="1" w:line="240" w:lineRule="auto"/>
        <w:jc w:val="both"/>
        <w:rPr>
          <w:rFonts w:ascii="Times New Roman" w:hAnsi="Times New Roman" w:cs="Times New Roman"/>
          <w:noProof/>
          <w:sz w:val="24"/>
          <w:szCs w:val="24"/>
          <w:highlight w:val="lightGray"/>
        </w:rPr>
      </w:pPr>
      <w:r>
        <w:rPr>
          <w:noProof/>
          <w:lang w:val="en-GB" w:eastAsia="en-GB"/>
        </w:rPr>
        <w:drawing>
          <wp:inline distT="0" distB="0" distL="0" distR="0" wp14:anchorId="692DA67D" wp14:editId="7E17CB61">
            <wp:extent cx="5731510" cy="3350895"/>
            <wp:effectExtent l="0" t="0" r="0" b="0"/>
            <wp:docPr id="1440118497" name="Chart 1">
              <a:extLst xmlns:a="http://schemas.openxmlformats.org/drawingml/2006/main">
                <a:ext uri="{FF2B5EF4-FFF2-40B4-BE49-F238E27FC236}">
                  <a16:creationId xmlns:a16="http://schemas.microsoft.com/office/drawing/2014/main" id="{0EDE8635-D9A9-44CA-B226-6C25529365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8369C9" w14:textId="1096D3C9" w:rsidR="00F44321" w:rsidRPr="00C13EF7" w:rsidRDefault="00F44321" w:rsidP="00F44321">
      <w:pPr>
        <w:rPr>
          <w:i/>
          <w:iCs/>
          <w:noProof/>
        </w:rPr>
      </w:pPr>
      <w:r>
        <w:rPr>
          <w:i/>
          <w:noProof/>
        </w:rPr>
        <w:t xml:space="preserve">Graphique 1: Commerce de marchandises entre l’UE et le Royaume-Uni, 2021-2025, en milliards d’EUR, source: Eurostat (ensemble de données </w:t>
      </w:r>
      <w:hyperlink r:id="rId16" w:history="1">
        <w:r>
          <w:rPr>
            <w:rStyle w:val="Hyperlink"/>
            <w:i/>
            <w:noProof/>
          </w:rPr>
          <w:t>ext_lt_maineuc</w:t>
        </w:r>
      </w:hyperlink>
      <w:r>
        <w:rPr>
          <w:i/>
          <w:noProof/>
        </w:rPr>
        <w:t>).</w:t>
      </w:r>
    </w:p>
    <w:p w14:paraId="23714695" w14:textId="54500DF8" w:rsidR="006D1404" w:rsidRPr="0086076B"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32" w:name="_Toc185413384"/>
      <w:bookmarkStart w:id="33" w:name="_Toc204769321"/>
      <w:bookmarkStart w:id="34" w:name="_Toc226620195"/>
      <w:bookmarkStart w:id="35" w:name="_Hlk190384460"/>
      <w:bookmarkEnd w:id="31"/>
      <w:r>
        <w:rPr>
          <w:rFonts w:ascii="Times New Roman" w:hAnsi="Times New Roman"/>
          <w:b/>
          <w:noProof/>
          <w:color w:val="auto"/>
        </w:rPr>
        <w:t>Services et investissements, commerce numérique, marchés publics, et petites et moyennes entreprises</w:t>
      </w:r>
      <w:bookmarkEnd w:id="32"/>
      <w:bookmarkEnd w:id="33"/>
      <w:bookmarkEnd w:id="34"/>
    </w:p>
    <w:p w14:paraId="39F08706" w14:textId="77777777" w:rsidR="000D7DA0" w:rsidRDefault="00B8510B"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mise en œuvre de l’ACC dans les domaines des services et des investissements, du commerce numérique, de la propriété intellectuelle, des marchés publics et des petites et moyennes entreprises s’est généralement bien déroulée, à l’exception de problèmes persistants concernant le</w:t>
      </w:r>
      <w:r>
        <w:rPr>
          <w:rFonts w:ascii="Times New Roman" w:hAnsi="Times New Roman"/>
          <w:b/>
          <w:noProof/>
          <w:sz w:val="24"/>
        </w:rPr>
        <w:t xml:space="preserve"> système de parrainage</w:t>
      </w:r>
      <w:r>
        <w:rPr>
          <w:rFonts w:ascii="Times New Roman" w:hAnsi="Times New Roman"/>
          <w:noProof/>
          <w:sz w:val="24"/>
        </w:rPr>
        <w:t xml:space="preserve"> du Royaume-Uni </w:t>
      </w:r>
      <w:r>
        <w:rPr>
          <w:rFonts w:ascii="Times New Roman" w:hAnsi="Times New Roman"/>
          <w:b/>
          <w:noProof/>
          <w:sz w:val="24"/>
        </w:rPr>
        <w:t>pour l’octroi de visas</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xml:space="preserve"> appliqué aux fournisseurs de services de l’UE qui sont couverts par l’ACC. </w:t>
      </w:r>
    </w:p>
    <w:bookmarkEnd w:id="35"/>
    <w:p w14:paraId="6665E26B" w14:textId="1AF1FFA9" w:rsidR="000D7DA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Depuis 2022, l’UE a constamment fait part de ses préoccupations au sein des organes mixtes de l’ACC concernant la complexité du système, la charge disproportionnée et le manque de clarté</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L’obligation de parrainage continue d’entraver la mise en œuvre effective de l’ACC pour les fournisseurs de services de l’UE, comme en témoigne la délivrance de seulement 49 visas au cours des neuf premiers mois de 2025 à des ressortissants de l’UE dans le cadre de la voie «fournisseurs de services», qui couvre les professionnels indépendants et les fournisseurs de services contractuels de l’UE. En conséquence, les fournisseurs de services de l’UE continuent de rencontrer des obstacles importants pour fournir des services à leurs clients au Royaume-Uni, tandis que le gouvernement reste réticent à s’attaquer à ce problème. Comme convenu dans la convention d’entente, un dialogue sur la mise en œuvre des engagements pris dans le cadre de l’ACC en ce qui concerne l’admission et le séjour temporaire de personnes physiques à des fins professionnelles vise à résoudre ce problème de longue date qui entrave la pleine mise en œuvre de l’ACC. </w:t>
      </w:r>
    </w:p>
    <w:p w14:paraId="6DAC217F" w14:textId="4FA2B177" w:rsidR="000D7DA0" w:rsidRPr="00F006D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autre dialogue a été mis en place sur la concrétisation des engagements de l’ACC en matière de </w:t>
      </w:r>
      <w:r>
        <w:rPr>
          <w:rFonts w:ascii="Times New Roman" w:hAnsi="Times New Roman"/>
          <w:b/>
          <w:noProof/>
          <w:sz w:val="24"/>
        </w:rPr>
        <w:t>reconnaissance des qualifications professionnelles</w:t>
      </w:r>
      <w:r>
        <w:rPr>
          <w:rFonts w:ascii="Times New Roman" w:hAnsi="Times New Roman"/>
          <w:noProof/>
          <w:sz w:val="24"/>
        </w:rPr>
        <w:t>, conformément à la convention d’entente.</w:t>
      </w:r>
    </w:p>
    <w:p w14:paraId="0175AA10" w14:textId="1116248D" w:rsidR="00D03CCA" w:rsidRDefault="00D03CCA" w:rsidP="00D03CCA">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des </w:t>
      </w:r>
      <w:r>
        <w:rPr>
          <w:rFonts w:ascii="Times New Roman" w:hAnsi="Times New Roman"/>
          <w:b/>
          <w:noProof/>
          <w:sz w:val="24"/>
        </w:rPr>
        <w:t>services financiers</w:t>
      </w:r>
      <w:r>
        <w:rPr>
          <w:rFonts w:ascii="Times New Roman" w:hAnsi="Times New Roman"/>
          <w:noProof/>
          <w:sz w:val="24"/>
        </w:rPr>
        <w:t>, le forum conjoint sur la réglementation financière entre l’UE et le Royaume-Uni, qui s’est tenu conformément au protocole d’accord de 2023</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s’est réuni deux fois en 2025: le 12 février à Londres et le 1</w:t>
      </w:r>
      <w:r>
        <w:rPr>
          <w:rFonts w:ascii="Times New Roman" w:hAnsi="Times New Roman"/>
          <w:noProof/>
          <w:sz w:val="24"/>
          <w:vertAlign w:val="superscript"/>
        </w:rPr>
        <w:t>er</w:t>
      </w:r>
      <w:r>
        <w:rPr>
          <w:rFonts w:ascii="Times New Roman" w:hAnsi="Times New Roman"/>
          <w:noProof/>
          <w:sz w:val="24"/>
        </w:rPr>
        <w:t> octobre à Bruxelles. Les discussions ont porté sur une série de sujets, notamment les perspectives macroéconomiques et de stabilité financière, la réglementation bancaire, la finance numérique, les réformes des marchés des capitaux et la finance durable. À la suite de ces deux réunions, des déclarations communes</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xml:space="preserve"> synthétisant les résultats ont été publiées.</w:t>
      </w:r>
    </w:p>
    <w:p w14:paraId="59404A5F" w14:textId="6BC2CD6C" w:rsidR="00E8406E" w:rsidRPr="00E1040D" w:rsidRDefault="00286F43"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6" w:name="_Hlk184225968"/>
      <w:r>
        <w:rPr>
          <w:rFonts w:ascii="Times New Roman" w:hAnsi="Times New Roman"/>
          <w:noProof/>
          <w:sz w:val="24"/>
        </w:rPr>
        <w:t xml:space="preserve">Un aperçu des </w:t>
      </w:r>
      <w:r>
        <w:rPr>
          <w:rFonts w:ascii="Times New Roman" w:hAnsi="Times New Roman"/>
          <w:b/>
          <w:noProof/>
          <w:sz w:val="24"/>
        </w:rPr>
        <w:t>flux commerciaux de services</w:t>
      </w:r>
      <w:r>
        <w:rPr>
          <w:rFonts w:ascii="Times New Roman" w:hAnsi="Times New Roman"/>
          <w:noProof/>
          <w:sz w:val="24"/>
        </w:rPr>
        <w:t xml:space="preserve"> entre l’UE et le Royaume-Uni en 2025 est présenté ci-dessous</w:t>
      </w:r>
      <w:r>
        <w:rPr>
          <w:rFonts w:ascii="Times New Roman" w:eastAsia="Times New Roman" w:hAnsi="Times New Roman" w:cs="Times New Roman"/>
          <w:noProof/>
          <w:sz w:val="24"/>
          <w:szCs w:val="24"/>
          <w:vertAlign w:val="superscript"/>
        </w:rPr>
        <w:footnoteReference w:id="30"/>
      </w:r>
      <w:r>
        <w:rPr>
          <w:rFonts w:ascii="Times New Roman" w:hAnsi="Times New Roman"/>
          <w:noProof/>
          <w:sz w:val="24"/>
        </w:rPr>
        <w:t>.</w:t>
      </w:r>
    </w:p>
    <w:p w14:paraId="7D44BF00" w14:textId="53FAF043" w:rsidR="00AB5C7B" w:rsidRPr="00C13EF7" w:rsidRDefault="002E2FC3" w:rsidP="00AB5C7B">
      <w:pPr>
        <w:spacing w:before="100" w:beforeAutospacing="1" w:after="100" w:afterAutospacing="1" w:line="240" w:lineRule="auto"/>
        <w:jc w:val="both"/>
        <w:rPr>
          <w:rFonts w:ascii="Times New Roman" w:eastAsia="Times New Roman" w:hAnsi="Times New Roman" w:cs="Times New Roman"/>
          <w:noProof/>
          <w:sz w:val="24"/>
          <w:szCs w:val="24"/>
        </w:rPr>
      </w:pPr>
      <w:bookmarkStart w:id="37" w:name="_Hlk214522268"/>
      <w:bookmarkStart w:id="38" w:name="_Hlk184331826"/>
      <w:r>
        <w:rPr>
          <w:rFonts w:ascii="Times New Roman" w:hAnsi="Times New Roman"/>
          <w:noProof/>
          <w:sz w:val="24"/>
        </w:rPr>
        <w:t xml:space="preserve">Au cours des </w:t>
      </w:r>
      <w:bookmarkStart w:id="39" w:name="_Hlk222925372"/>
      <w:r>
        <w:rPr>
          <w:rFonts w:ascii="Times New Roman" w:hAnsi="Times New Roman"/>
          <w:noProof/>
          <w:sz w:val="24"/>
        </w:rPr>
        <w:t>trois premiers trimestres</w:t>
      </w:r>
      <w:bookmarkEnd w:id="39"/>
      <w:r>
        <w:rPr>
          <w:rFonts w:ascii="Times New Roman" w:hAnsi="Times New Roman"/>
          <w:noProof/>
          <w:sz w:val="24"/>
        </w:rPr>
        <w:t xml:space="preserve"> de 2025, les exportations de services de l’UE vers le Royaume-Uni se sont élevées à 230 milliards d’EUR, ce qui représente une augmentation de 5,1 % par rapport à la même période en 2024</w:t>
      </w:r>
      <w:bookmarkEnd w:id="37"/>
      <w:r>
        <w:rPr>
          <w:rFonts w:ascii="Times New Roman" w:hAnsi="Times New Roman"/>
          <w:noProof/>
          <w:sz w:val="24"/>
        </w:rPr>
        <w:t xml:space="preserve">. </w:t>
      </w:r>
      <w:bookmarkStart w:id="40" w:name="_Hlk214522310"/>
      <w:r>
        <w:rPr>
          <w:rFonts w:ascii="Times New Roman" w:hAnsi="Times New Roman"/>
          <w:noProof/>
          <w:sz w:val="24"/>
        </w:rPr>
        <w:t>La valeur des importations en provenance du Royaume-Uni au cours des trois premiers trimestres de 2025 a atteint 183 milliards d’EUR, soit une augmentation de 4 % par rapport à la même période en 2024.</w:t>
      </w:r>
      <w:bookmarkEnd w:id="40"/>
      <w:r>
        <w:rPr>
          <w:rFonts w:ascii="Times New Roman" w:hAnsi="Times New Roman"/>
          <w:noProof/>
          <w:sz w:val="24"/>
        </w:rPr>
        <w:t xml:space="preserve"> Au cours des trois premiers trimestres de 2025, l’UE a affiché un excédent de 47 milliards d’EUR dans les échanges de services avec le Royaume-Uni. Les secteurs dans lesquels les exportations de l’UE vers le Royaume-Uni ont enregistré la plus forte croissance en 2025 par rapport à 2024 étaient les services d’entretien et de réparation (+ 20,7 %) et la rémunération pour usage de propriété intellectuelle (+ 20,3 %). Du côté des importations, les augmentations les plus importantes en provenance du Royaume-Uni ont été observées en ce qui concerne la rémunération pour usage de propriété intellectuelle (+ 15 %), suivie des voyages (+ 12,2 %).</w:t>
      </w:r>
    </w:p>
    <w:p w14:paraId="5160684C" w14:textId="4AF966CA" w:rsidR="00AB5C7B" w:rsidRDefault="00AB5C7B" w:rsidP="00AB5C7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Au cours des trois premiers trimestres de 2025, le total des échanges de services avec le Royaume-Uni représentait 18,7 % du total des échanges de l’UE avec ses partenaires internationaux, soit une baisse par rapport aux 18,6 % enregistrés à la même période en 2024. Le Royaume-Uni a été la destination de 19,8 % des exportations de services de l’UE au cours des trois premiers trimestres de 2025 (contre 19,1 % à la même période en 2024), ce qui en fait la deuxième destination, derrière les États-Unis (21,5 %). Le Royaume-Uni a été l’origine de 17,5 % des importations de l’UE au cours des trois premiers trimestres de 2025 (contre 17,9 % à la même période en 2024), ce qui en fait la deuxième origine, derrière les États-Unis (36,5 %).</w:t>
      </w:r>
    </w:p>
    <w:p w14:paraId="7A8E0AD7" w14:textId="52282BDF" w:rsidR="00AB5C7B" w:rsidRDefault="00AB5C7B" w:rsidP="00AB5C7B">
      <w:pPr>
        <w:spacing w:before="100" w:beforeAutospacing="1" w:after="100" w:afterAutospacing="1" w:line="240" w:lineRule="auto"/>
        <w:jc w:val="both"/>
        <w:rPr>
          <w:rFonts w:ascii="Times New Roman" w:hAnsi="Times New Roman" w:cs="Times New Roman"/>
          <w:noProof/>
          <w:sz w:val="24"/>
          <w:szCs w:val="24"/>
        </w:rPr>
      </w:pPr>
      <w:bookmarkStart w:id="41" w:name="_Hlk214522424"/>
      <w:r>
        <w:rPr>
          <w:rFonts w:ascii="Times New Roman" w:hAnsi="Times New Roman"/>
          <w:noProof/>
          <w:sz w:val="24"/>
        </w:rPr>
        <w:t xml:space="preserve">Si l’on examine l’évolution des échanges de services depuis que l’ACC a commencé à s’appliquer en 2021, les exportations de services de l’UE vers le Royaume-Uni ont affiché une croissance constante, passant de 150 milliards d’EUR au cours des trois premiers trimestres de 2021 à 230 milliards d’EUR au cours des trois premiers trimestres de 2025, soit une augmentation de plus de 53 %. Les importations de services de l’UE en provenance du Royaume-Uni ont également augmenté régulièrement, passant de 125 milliards d’EUR en 2021 à 183 milliards d’EUR en 2025 (+ 47 %). </w:t>
      </w:r>
      <w:bookmarkEnd w:id="41"/>
      <w:r>
        <w:rPr>
          <w:rFonts w:ascii="Times New Roman" w:hAnsi="Times New Roman"/>
          <w:noProof/>
          <w:sz w:val="24"/>
        </w:rPr>
        <w:t xml:space="preserve">La croissance la plus forte a été enregistrée entre 2021 et 2022, </w:t>
      </w:r>
      <w:bookmarkStart w:id="42" w:name="_Hlk214523018"/>
      <w:r>
        <w:rPr>
          <w:rFonts w:ascii="Times New Roman" w:hAnsi="Times New Roman"/>
          <w:noProof/>
          <w:sz w:val="24"/>
        </w:rPr>
        <w:t>reflétant un rebond par rapport à</w:t>
      </w:r>
      <w:bookmarkEnd w:id="42"/>
      <w:r>
        <w:rPr>
          <w:rFonts w:ascii="Times New Roman" w:hAnsi="Times New Roman"/>
          <w:noProof/>
          <w:sz w:val="24"/>
        </w:rPr>
        <w:t xml:space="preserve"> l’incidence de la COVID-19 sur les voyages, le tourisme et d’autres secteurs de services. Dans l’ensemble, ces tendances indiquent que les échanges de services avec le Royaume-Uni n’ont cessé d’augmenter, tant pour les exportations que pour les importations. </w:t>
      </w:r>
    </w:p>
    <w:p w14:paraId="5D4552F4" w14:textId="1B7033EC" w:rsidR="00B84BEB" w:rsidRPr="00B84BEB" w:rsidRDefault="00FA7CDF" w:rsidP="00B84BEB">
      <w:pPr>
        <w:spacing w:before="100" w:beforeAutospacing="1" w:after="100" w:afterAutospacing="1" w:line="240" w:lineRule="auto"/>
        <w:jc w:val="both"/>
        <w:rPr>
          <w:rFonts w:ascii="Times New Roman" w:hAnsi="Times New Roman" w:cs="Times New Roman"/>
          <w:noProof/>
          <w:sz w:val="24"/>
          <w:szCs w:val="24"/>
        </w:rPr>
      </w:pPr>
      <w:r>
        <w:rPr>
          <w:noProof/>
          <w:lang w:val="en-GB" w:eastAsia="en-GB"/>
        </w:rPr>
        <w:drawing>
          <wp:inline distT="0" distB="0" distL="0" distR="0" wp14:anchorId="763E12E0" wp14:editId="2C6AE216">
            <wp:extent cx="5743575" cy="3067050"/>
            <wp:effectExtent l="0" t="0" r="0" b="0"/>
            <wp:docPr id="656748189" name="Chart 1">
              <a:extLst xmlns:a="http://schemas.openxmlformats.org/drawingml/2006/main">
                <a:ext uri="{FF2B5EF4-FFF2-40B4-BE49-F238E27FC236}">
                  <a16:creationId xmlns:a16="http://schemas.microsoft.com/office/drawing/2014/main" id="{D4CDCEF6-057F-4BE9-B9F2-546404A98B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8C3A79" w14:textId="4369C53E" w:rsidR="00B84BEB" w:rsidRPr="00D455C1" w:rsidRDefault="00B84BEB" w:rsidP="00B84BEB">
      <w:pPr>
        <w:rPr>
          <w:i/>
          <w:iCs/>
          <w:noProof/>
        </w:rPr>
      </w:pPr>
      <w:r>
        <w:rPr>
          <w:i/>
          <w:noProof/>
        </w:rPr>
        <w:t xml:space="preserve">Graphique 2: Échanges de services entre l’UE et le Royaume-Uni, trois premiers trimestres de la période 2021-2025, en milliards d’EUR, source: Eurostat (ensemble de données </w:t>
      </w:r>
      <w:hyperlink r:id="rId18" w:history="1">
        <w:r>
          <w:rPr>
            <w:rStyle w:val="Hyperlink"/>
            <w:noProof/>
          </w:rPr>
          <w:t>bop_eu6_q</w:t>
        </w:r>
      </w:hyperlink>
      <w:r>
        <w:rPr>
          <w:i/>
          <w:noProof/>
        </w:rPr>
        <w:t>).</w:t>
      </w:r>
    </w:p>
    <w:p w14:paraId="5BEF67C5" w14:textId="7CCF3DCC" w:rsidR="00C229A5" w:rsidRPr="0067486A" w:rsidRDefault="00C229A5"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3" w:name="_Toc204769322"/>
      <w:bookmarkStart w:id="44" w:name="_Toc226620196"/>
      <w:bookmarkStart w:id="45" w:name="_Toc185413385"/>
      <w:bookmarkEnd w:id="36"/>
      <w:bookmarkEnd w:id="38"/>
      <w:r>
        <w:rPr>
          <w:rFonts w:ascii="Times New Roman" w:hAnsi="Times New Roman"/>
          <w:b/>
          <w:noProof/>
          <w:color w:val="auto"/>
        </w:rPr>
        <w:t>Droits de propriété intellectuelle</w:t>
      </w:r>
      <w:bookmarkEnd w:id="43"/>
      <w:bookmarkEnd w:id="44"/>
    </w:p>
    <w:p w14:paraId="4CB80B80" w14:textId="7790B84A" w:rsidR="002530EB" w:rsidRPr="00F006D0" w:rsidRDefault="0071342F" w:rsidP="6A5D11F7">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L’Office de l’Union européenne pour la propriété intellectuelle et l’Office de la propriété intellectuelle du Royaume-Uni ont poursuivi leurs discussions sur un protocole d’accord en vue de l’amélioration de la coopération administrative dans le domaine de la propriété intellectuelle, conformément à l’article 273, paragraphe 2, point g), de l’ACC.</w:t>
      </w:r>
    </w:p>
    <w:p w14:paraId="21E2CF68" w14:textId="3C000EE4" w:rsidR="00DF5454" w:rsidRPr="0086076B" w:rsidRDefault="00DF5454"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6" w:name="_Toc204769323"/>
      <w:bookmarkStart w:id="47" w:name="_Toc226620197"/>
      <w:r>
        <w:rPr>
          <w:rFonts w:ascii="Times New Roman" w:hAnsi="Times New Roman"/>
          <w:b/>
          <w:noProof/>
          <w:color w:val="auto"/>
        </w:rPr>
        <w:t xml:space="preserve">Conditions de concurrence </w:t>
      </w:r>
      <w:bookmarkEnd w:id="45"/>
      <w:r>
        <w:rPr>
          <w:rFonts w:ascii="Times New Roman" w:hAnsi="Times New Roman"/>
          <w:b/>
          <w:noProof/>
          <w:color w:val="auto"/>
        </w:rPr>
        <w:t>équitables</w:t>
      </w:r>
      <w:bookmarkEnd w:id="46"/>
      <w:bookmarkEnd w:id="47"/>
    </w:p>
    <w:p w14:paraId="394EB410" w14:textId="18559878" w:rsidR="0071342F" w:rsidRDefault="00D455C1" w:rsidP="00C104C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Comme indiqué dans la convention d’entente, le premier accord complémentaire au titre de l’article 361, paragraphe 4, de l’ACC a été conclu en 2025 et signé le 25 février 2026</w:t>
      </w:r>
      <w:r>
        <w:rPr>
          <w:rStyle w:val="FootnoteReference"/>
          <w:rFonts w:ascii="Times New Roman" w:hAnsi="Times New Roman" w:cs="Times New Roman"/>
          <w:noProof/>
          <w:sz w:val="24"/>
          <w:szCs w:val="24"/>
        </w:rPr>
        <w:footnoteReference w:id="31"/>
      </w:r>
      <w:r>
        <w:rPr>
          <w:rFonts w:ascii="Times New Roman" w:hAnsi="Times New Roman"/>
          <w:noProof/>
          <w:sz w:val="24"/>
        </w:rPr>
        <w:t>. L’</w:t>
      </w:r>
      <w:bookmarkStart w:id="48" w:name="_Hlk215156914"/>
      <w:r>
        <w:rPr>
          <w:rFonts w:ascii="Times New Roman" w:hAnsi="Times New Roman"/>
          <w:noProof/>
          <w:sz w:val="24"/>
        </w:rPr>
        <w:t>accord de coopération en matière de concurrence</w:t>
      </w:r>
      <w:bookmarkEnd w:id="48"/>
      <w:r>
        <w:rPr>
          <w:rFonts w:ascii="Times New Roman" w:hAnsi="Times New Roman"/>
          <w:noProof/>
          <w:sz w:val="24"/>
        </w:rPr>
        <w:t>:</w:t>
      </w:r>
    </w:p>
    <w:p w14:paraId="4CAEE030" w14:textId="06A371B6" w:rsidR="0071342F" w:rsidRPr="00DD4985" w:rsidRDefault="00E86DA7"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met en place un cadre pour la coopération en matière de concurrence entre, d’une part, la Commission et les autorités de concurrence des États membres de l’UE et, d’autre part, l’autorité britannique de la concurrence et des marchés (Competition and Markets Authority);</w:t>
      </w:r>
    </w:p>
    <w:p w14:paraId="77FE1980" w14:textId="55A71A29" w:rsidR="0071342F" w:rsidRPr="00DD4985" w:rsidRDefault="002D121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prévoit que les enquêtes importantes en matière de pratiques anticoncurrentielles et de concentrations soient portées à l’attention de chaque partie; </w:t>
      </w:r>
    </w:p>
    <w:p w14:paraId="2BA4C5F7" w14:textId="126EC8D7" w:rsidR="0071342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permet la coordination des enquêtes entre les territoires concernés si nécessaire (ce qui, du côté de l’UE, peut impliquer la Commission ou les autorités de concurrence des États membres, selon le cas);</w:t>
      </w:r>
    </w:p>
    <w:p w14:paraId="2CAD454A" w14:textId="3F1B8C9D" w:rsidR="0080197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définit des principes clairs de coopération destinés à éviter les conflits entre juridictions.</w:t>
      </w:r>
    </w:p>
    <w:p w14:paraId="41244E06" w14:textId="06032026" w:rsidR="006D1404" w:rsidRDefault="5A876DED" w:rsidP="0080197F">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9" w:name="_Toc185413386"/>
      <w:bookmarkStart w:id="50" w:name="_Toc204769324"/>
      <w:bookmarkStart w:id="51" w:name="_Toc226620198"/>
      <w:r>
        <w:rPr>
          <w:rFonts w:ascii="Times New Roman" w:hAnsi="Times New Roman"/>
          <w:b/>
          <w:noProof/>
          <w:color w:val="auto"/>
        </w:rPr>
        <w:t>Énergie</w:t>
      </w:r>
      <w:bookmarkEnd w:id="49"/>
      <w:bookmarkEnd w:id="50"/>
      <w:bookmarkEnd w:id="51"/>
    </w:p>
    <w:p w14:paraId="6CCE9F77" w14:textId="56DA0E39" w:rsidR="00DC4CB9" w:rsidRPr="003029C6" w:rsidRDefault="003029C6" w:rsidP="00DC4CB9">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L’évolution la plus importante dans le domaine de l’énergie en 2025 a été l’accord politique conclu lors du sommet UE-Royaume-Uni du 19 mai en vue d’étendre la coopération énergétique entre les parties sur une base continue. Les deux parties se sont accordées politiquement sur l’opportunité de poursuivre les objectifs de l’ACC en matière d’énergie de manière continue, et dès lors de proroger l’application du titre «Énergie». Cet accord a été officialisé par l’adoption de la déclaration 1/2025</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et de la décision nº 2/2025</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du conseil de partenariat du 19 juin 2025, qui prévoit une première prorogation jusqu’au 31 mars 2027. Ce cadre offre stabilité et prévisibilité aux parties prenantes tant dans l’UE qu’au Royaume-Uni, facilite les échanges commerciaux et garantit la stabilité du marché.</w:t>
      </w:r>
    </w:p>
    <w:p w14:paraId="3D767F4F" w14:textId="1B450F1C" w:rsidR="001A412E" w:rsidRDefault="00D62585" w:rsidP="001A412E">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 ce qui concerne les dispositions relatives aux échanges d’électricité, le comité spécialisé chargé de l’énergie a poursuivi son examen du couplage multirégions en volume libre (MRLVC) visé à l’annexe 29 de l’ACC. Conformément à la recommandation nº 1/2024</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les gestionnaires de réseau de transport d’électricité de l’UE et du Royaume-Uni ont présenté au comité spécialisé chargé de l’énergie, le 30 septembre 2025, un rapport conjoint sur la mise en œuvre du MRLVC. </w:t>
      </w:r>
      <w:bookmarkStart w:id="52" w:name="_Hlk214543247"/>
      <w:r>
        <w:rPr>
          <w:rFonts w:ascii="Times New Roman" w:hAnsi="Times New Roman"/>
          <w:noProof/>
          <w:sz w:val="24"/>
        </w:rPr>
        <w:t>À leur tour, les 27 et 28 octobre 2025 respectivement, les régulateurs nationaux de l’énergie du Royaume-Uni et l’Agence de l’Union européenne pour la coopération des régulateurs de l’énergie ont présenté leurs avis informels au comité spécialisé chargé de l’énergie</w:t>
      </w:r>
      <w:bookmarkEnd w:id="52"/>
      <w:r>
        <w:rPr>
          <w:rFonts w:ascii="Times New Roman" w:hAnsi="Times New Roman"/>
          <w:noProof/>
          <w:sz w:val="24"/>
        </w:rPr>
        <w:t>, qui poursuivra l’évaluation des avis en 2026. Ces documents n’ont pas permis d’établir une manière satisfaisante de procéder avec le MRLVC.</w:t>
      </w:r>
    </w:p>
    <w:p w14:paraId="4C0F8813" w14:textId="77324CBF" w:rsidR="00E81BD4" w:rsidRPr="0065255E" w:rsidRDefault="001A412E" w:rsidP="003E301C">
      <w:pPr>
        <w:spacing w:line="276" w:lineRule="auto"/>
        <w:jc w:val="both"/>
        <w:rPr>
          <w:rFonts w:ascii="Times New Roman" w:hAnsi="Times New Roman" w:cs="Times New Roman"/>
          <w:noProof/>
          <w:sz w:val="24"/>
          <w:szCs w:val="24"/>
        </w:rPr>
      </w:pPr>
      <w:r>
        <w:rPr>
          <w:rFonts w:ascii="Times New Roman" w:hAnsi="Times New Roman"/>
          <w:noProof/>
          <w:sz w:val="24"/>
        </w:rPr>
        <w:t>En conséquence, sur la base de la convention d’entente, la Commission européenne et le Royaume-Uni ont mené et conclu des discussions exploratoires sur la participation du Royaume-Uni au marché intérieur de l’électricité de l’UE. Sur cette base, la Commission européenne a adopté une recommandation relative à un cadre de négociation pour la participation du Royaume-Uni au marché intérieur de l’électricité de l’Union et sur la contribution financière du Royaume-Uni destinée à réduire les disparités économiques et sociales entre les régions de l’Union</w:t>
      </w:r>
      <w:r>
        <w:rPr>
          <w:rStyle w:val="FootnoteReference"/>
          <w:rFonts w:ascii="Times New Roman" w:hAnsi="Times New Roman" w:cs="Times New Roman"/>
          <w:noProof/>
          <w:sz w:val="24"/>
          <w:szCs w:val="24"/>
        </w:rPr>
        <w:footnoteReference w:id="35"/>
      </w:r>
      <w:r>
        <w:rPr>
          <w:rFonts w:ascii="Times New Roman" w:hAnsi="Times New Roman"/>
          <w:noProof/>
          <w:sz w:val="24"/>
        </w:rPr>
        <w:t>.</w:t>
      </w:r>
    </w:p>
    <w:p w14:paraId="26B131D9" w14:textId="6F1ACA29" w:rsidR="007E1D53" w:rsidRPr="0065255E" w:rsidRDefault="008F2672" w:rsidP="00A050CA">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Enfin, le groupe de travail sur la sécurité de l’approvisionnement, institué par la décision nº 2/2024</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du comité spécialisé chargé de l’énergie, s’est réuni à trois reprises en 2025 pour adopter son mandat et discuter de la sécurité de l’approvisionnement avant les périodes estivale et hivernale.</w:t>
      </w:r>
    </w:p>
    <w:p w14:paraId="4B35EA80" w14:textId="0C3A93D4" w:rsidR="006D1404" w:rsidRPr="0065255E"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53" w:name="_Hlk157433161"/>
      <w:bookmarkStart w:id="54" w:name="_Toc185413387"/>
      <w:bookmarkStart w:id="55" w:name="_Toc204769325"/>
      <w:bookmarkStart w:id="56" w:name="_Toc226620199"/>
      <w:bookmarkEnd w:id="53"/>
      <w:r>
        <w:rPr>
          <w:rFonts w:ascii="Times New Roman" w:hAnsi="Times New Roman"/>
          <w:b/>
          <w:noProof/>
          <w:color w:val="auto"/>
        </w:rPr>
        <w:t>Transport</w:t>
      </w:r>
      <w:bookmarkEnd w:id="54"/>
      <w:bookmarkEnd w:id="55"/>
      <w:bookmarkEnd w:id="56"/>
    </w:p>
    <w:p w14:paraId="6321356A" w14:textId="71CA7975" w:rsidR="00520836" w:rsidRPr="00411895" w:rsidRDefault="3DF2D69C" w:rsidP="00470A6D">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La mise en œuvre de l’ACC dans le domaine du transport s’est bien déroulée et s’est concentrée sur l’exercice effectif des droits mutuellement accordés par les parties.</w:t>
      </w:r>
    </w:p>
    <w:p w14:paraId="5409AED8" w14:textId="57F61107" w:rsidR="00DB5952" w:rsidRPr="002F3EF0" w:rsidRDefault="00DB5952" w:rsidP="00DB5952">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le domaine de la </w:t>
      </w:r>
      <w:r>
        <w:rPr>
          <w:rFonts w:ascii="Times New Roman" w:hAnsi="Times New Roman"/>
          <w:b/>
          <w:noProof/>
          <w:sz w:val="24"/>
        </w:rPr>
        <w:t>sécurité aérienne</w:t>
      </w:r>
      <w:r>
        <w:rPr>
          <w:rFonts w:ascii="Times New Roman" w:hAnsi="Times New Roman"/>
          <w:noProof/>
          <w:sz w:val="24"/>
        </w:rPr>
        <w:t>, sur les 32 demandes de validation de certificats délivrés par l’autorité de l’aviation civile du Royaume-Uni, 23 ont été approuvées à ce jour par l’Agence de l’Union européenne pour la sécurité aérienne (AESA) au titre de l’article 446 de l’ACC, en liaison avec l’annexe 30 de ce dernier. Avec le soutien de l’AESA, les autorités du Royaume-Uni ont désormais validé 4 des 11 projets présentés par des demandeurs de l’UE, ce qui correspond aux niveaux d’activité attendus pour la validation des certificats.</w:t>
      </w:r>
    </w:p>
    <w:p w14:paraId="128565B2" w14:textId="2D19F446" w:rsidR="00DB5952" w:rsidRPr="00F006D0" w:rsidRDefault="00DB5952" w:rsidP="00DB5952">
      <w:pPr>
        <w:spacing w:before="100" w:beforeAutospacing="1" w:after="100" w:afterAutospacing="1" w:line="240" w:lineRule="auto"/>
        <w:jc w:val="both"/>
        <w:rPr>
          <w:rFonts w:ascii="Times New Roman" w:eastAsia="Calibri" w:hAnsi="Times New Roman" w:cs="Times New Roman"/>
          <w:noProof/>
        </w:rPr>
      </w:pPr>
      <w:r>
        <w:rPr>
          <w:rFonts w:ascii="Times New Roman" w:hAnsi="Times New Roman"/>
          <w:noProof/>
          <w:sz w:val="24"/>
        </w:rPr>
        <w:t xml:space="preserve">Dans le domaine du </w:t>
      </w:r>
      <w:r>
        <w:rPr>
          <w:rFonts w:ascii="Times New Roman" w:hAnsi="Times New Roman"/>
          <w:b/>
          <w:noProof/>
          <w:sz w:val="24"/>
        </w:rPr>
        <w:t>transport aérien</w:t>
      </w:r>
      <w:r>
        <w:rPr>
          <w:rFonts w:ascii="Times New Roman" w:hAnsi="Times New Roman"/>
          <w:noProof/>
          <w:sz w:val="24"/>
        </w:rPr>
        <w:t>, à la fin de 2025, le trafic aérien entre l’UE et le Royaume-Uni devait avoir atteint ses niveaux d’avant la pandémie. Au total, 26 accords relatifs à des services tout-cargo et procédures d’approbation de vols non réguliers ont été conclus entre les États membres de l’UE et le Royaume-Uni au titre de l’article 419, paragraphes 4 et 9, de l’ACC</w:t>
      </w:r>
      <w:r>
        <w:rPr>
          <w:rStyle w:val="FootnoteReference"/>
          <w:rFonts w:ascii="Times New Roman" w:eastAsia="Calibri" w:hAnsi="Times New Roman" w:cs="Times New Roman"/>
          <w:noProof/>
          <w:sz w:val="24"/>
          <w:szCs w:val="24"/>
        </w:rPr>
        <w:footnoteReference w:id="37"/>
      </w:r>
      <w:r>
        <w:rPr>
          <w:rFonts w:ascii="Times New Roman" w:hAnsi="Times New Roman"/>
          <w:noProof/>
          <w:sz w:val="24"/>
        </w:rPr>
        <w:t xml:space="preserve">. En outre, les États membres de l’UE et le Royaume-Uni ont accordé des autorisations ad hoc pour certains vols réguliers transportant des marchandises ou des passagers entre le Royaume-Uni et l’UE au-delà des libertés prévues à l’article 419 de l’ACC. Le Royaume-Uni et 25 États membres ont accordé ces autorisations au moyen de «permis globaux» couvrant un certain nombre de vols pour un transporteur aérien donné. </w:t>
      </w:r>
    </w:p>
    <w:p w14:paraId="229B0D3F" w14:textId="5B82697B" w:rsidR="00DB5952" w:rsidRPr="00F006D0" w:rsidRDefault="00DB5952" w:rsidP="00DB5952">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du </w:t>
      </w:r>
      <w:r>
        <w:rPr>
          <w:rFonts w:ascii="Times New Roman" w:hAnsi="Times New Roman"/>
          <w:b/>
          <w:noProof/>
          <w:sz w:val="24"/>
        </w:rPr>
        <w:t>transport routier</w:t>
      </w:r>
      <w:r>
        <w:rPr>
          <w:rFonts w:ascii="Times New Roman" w:hAnsi="Times New Roman"/>
          <w:noProof/>
          <w:sz w:val="24"/>
        </w:rPr>
        <w:t>, les travaux se sont poursuivis pour mettre en œuvre les dispositions de l’ACC relatives à l’échange d’informations et de données figurant dans les registres électroniques nationaux (voir partie A, section 1, article 14, de l’annexe 31 de l’ACC). Il s’agissait notamment de connecter, à partir du 1</w:t>
      </w:r>
      <w:r>
        <w:rPr>
          <w:rFonts w:ascii="Times New Roman" w:hAnsi="Times New Roman"/>
          <w:noProof/>
          <w:sz w:val="24"/>
          <w:vertAlign w:val="superscript"/>
        </w:rPr>
        <w:t>er</w:t>
      </w:r>
      <w:r>
        <w:rPr>
          <w:rFonts w:ascii="Times New Roman" w:hAnsi="Times New Roman"/>
          <w:noProof/>
          <w:sz w:val="24"/>
        </w:rPr>
        <w:t> janvier 2026, le Royaume-Uni au registre européen des entreprises de transport routier, qui relie les registres nationaux des transporteurs routiers, et de permettre ainsi l’échange d’informations sur les infractions graves commises par les entreprises de transport routier de l’autre partie, ainsi que d’autres informations figurant dans les registres électroniques nationaux. Ces initiatives visent à renforcer la coopération et à améliorer le partage de données entre l’UE et le Royaume-Uni et ont été formalisées par les décisions nº 1/2025, nº 2/2025 et nº 3/2025 du comité spécialisé chargé du transport routier</w:t>
      </w:r>
      <w:r>
        <w:rPr>
          <w:rStyle w:val="FootnoteReference"/>
          <w:rFonts w:ascii="Times New Roman" w:eastAsia="Times New Roman" w:hAnsi="Times New Roman" w:cs="Times New Roman"/>
          <w:noProof/>
          <w:sz w:val="24"/>
          <w:szCs w:val="24"/>
        </w:rPr>
        <w:footnoteReference w:id="38"/>
      </w:r>
      <w:r>
        <w:rPr>
          <w:rFonts w:ascii="Times New Roman" w:hAnsi="Times New Roman"/>
          <w:noProof/>
          <w:sz w:val="24"/>
        </w:rPr>
        <w:t>.</w:t>
      </w:r>
    </w:p>
    <w:p w14:paraId="29BC8358" w14:textId="7CB14664" w:rsidR="00F12521"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57" w:name="_Toc185413388"/>
      <w:bookmarkStart w:id="58" w:name="_Toc204769326"/>
      <w:bookmarkStart w:id="59" w:name="_Toc226620200"/>
      <w:r>
        <w:rPr>
          <w:rFonts w:ascii="Times New Roman" w:hAnsi="Times New Roman"/>
          <w:b/>
          <w:noProof/>
          <w:color w:val="auto"/>
        </w:rPr>
        <w:t>Pêche</w:t>
      </w:r>
      <w:bookmarkEnd w:id="57"/>
      <w:bookmarkEnd w:id="58"/>
      <w:bookmarkEnd w:id="59"/>
    </w:p>
    <w:p w14:paraId="581315E5" w14:textId="43779723" w:rsidR="00B7366F" w:rsidRDefault="00A9100D" w:rsidP="00A9100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L’accord politique historique conclu lors du sommet UE-Royaume-Uni en vue de garantir un accès réciproque total aux eaux au-delà du 30 juin 2026 et jusqu’au 30 juin 2038 constitue l’évolution la plus importante dans le domaine de la pêche. Formalisé par la décision nº 1/2025</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du conseil de partenariat et la décision nº 1/2025</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du comité spécialisé de la pêche au titre de l’ACC, cet accord assure la stabilité et la prévisibilité à long terme pour les pêcheurs de l’UE, en garantissant leurs droits et en préservant leurs moyens de subsistance, et marque une étape importante dans la mise en œuvre de la convention d’entente.</w:t>
      </w:r>
    </w:p>
    <w:p w14:paraId="7DC693C0" w14:textId="5DEDF008" w:rsidR="00B33843" w:rsidRDefault="00B33843" w:rsidP="00A14452">
      <w:pPr>
        <w:spacing w:before="100" w:beforeAutospacing="1" w:after="100" w:afterAutospacing="1" w:line="240" w:lineRule="auto"/>
        <w:jc w:val="both"/>
        <w:rPr>
          <w:rFonts w:ascii="Times New Roman" w:hAnsi="Times New Roman" w:cs="Times New Roman"/>
          <w:noProof/>
          <w:sz w:val="24"/>
          <w:szCs w:val="24"/>
        </w:rPr>
      </w:pPr>
      <w:bookmarkStart w:id="60" w:name="_Hlk218760230"/>
      <w:bookmarkStart w:id="61" w:name="_Hlk210125164"/>
      <w:r>
        <w:rPr>
          <w:rFonts w:ascii="Times New Roman" w:hAnsi="Times New Roman"/>
          <w:noProof/>
          <w:sz w:val="24"/>
        </w:rPr>
        <w:t>En outre, la Commission a activement entamé des discussions avec le Royaume-Uni au sujet de ses zones marines protégées. Tout en soutenant pleinement la protection des écosystèmes marins, la Commission souligne la nécessité d’adopter des approches qui concilient la conservation avec les considérations socio-économiques et la protection des droits de pêche de l’UE. La Commission reste déterminée à entretenir un dialogue constructif avec les autorités britanniques.</w:t>
      </w:r>
    </w:p>
    <w:bookmarkEnd w:id="60"/>
    <w:p w14:paraId="7684B2D5" w14:textId="5DCEBD49" w:rsidR="00A9100D" w:rsidRPr="00A9100D" w:rsidRDefault="0023461A" w:rsidP="00A9100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Enfin, en décembre 2025, l’UE et le Royaume-Uni ont conclu leurs consultations annuelles, prévues à l’article 498 de l’ACC, en vue de la détermination des totaux admissibles des captures pour les stocks partagés en 2026. L’accord garantit que les flottes de l’UE peuvent pêcher jusqu’à 288 000 tonnes, pour une valeur supérieure à 1,2 milliard d’EUR.</w:t>
      </w:r>
    </w:p>
    <w:p w14:paraId="2F3DBB23" w14:textId="12FB78F2"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2" w:name="_Toc185413389"/>
      <w:bookmarkStart w:id="63" w:name="_Toc204769327"/>
      <w:bookmarkStart w:id="64" w:name="_Toc226620201"/>
      <w:bookmarkEnd w:id="61"/>
      <w:r>
        <w:rPr>
          <w:rFonts w:ascii="Times New Roman" w:hAnsi="Times New Roman"/>
          <w:b/>
          <w:noProof/>
          <w:color w:val="auto"/>
        </w:rPr>
        <w:t>Coordination de la sécurité sociale</w:t>
      </w:r>
      <w:bookmarkEnd w:id="62"/>
      <w:bookmarkEnd w:id="63"/>
      <w:bookmarkEnd w:id="64"/>
    </w:p>
    <w:p w14:paraId="5A6C51B1" w14:textId="7A85E211" w:rsidR="01125C26" w:rsidRDefault="01125C26" w:rsidP="001D0BC1">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Comme au cours des années précédentes, la mise en œuvre du protocole sur la coordination de la sécurité sociale joint à l’ACC (ci-après le «protocole») s’est poursuivie de manière constructive, sans qu’aucun problème systémique ou structurel n’ait été relevé.</w:t>
      </w:r>
    </w:p>
    <w:p w14:paraId="3F455BA4" w14:textId="69F2E688" w:rsidR="01125C26" w:rsidRDefault="01125C26" w:rsidP="0041189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 comité spécialisé chargé de la coordination de la sécurité sociale a mené ses travaux techniques, notamment sur: i) les modifications des documents électroniques structurés et des documents portables; ii) les procédures à suivre pour le remboursement du coût des prestations de maladie; iii) la transposition des décisions pertinentes de la commission administrative pour la coordination des systèmes de sécurité sociale; et iv) les discussions exploratoires sur la possibilité d’inclure une nouvelle disposition dans les modalités d’application du protocole, permettant aux États de déroger d’un commun accord aux règles relatives à la législation applicable dans des situations bien définies et dans l’intérêt des personnes concernées. Aucune décision ni recommandation n’a été adoptée en 2025.</w:t>
      </w:r>
    </w:p>
    <w:p w14:paraId="7A26BA23" w14:textId="70077539"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5" w:name="_Toc185413390"/>
      <w:bookmarkStart w:id="66" w:name="_Toc204769328"/>
      <w:bookmarkStart w:id="67" w:name="_Toc226620202"/>
      <w:r>
        <w:rPr>
          <w:rFonts w:ascii="Times New Roman" w:hAnsi="Times New Roman"/>
          <w:b/>
          <w:noProof/>
          <w:color w:val="auto"/>
        </w:rPr>
        <w:t>Coopération des services répressifs et judiciaires en matière pénale</w:t>
      </w:r>
      <w:bookmarkEnd w:id="65"/>
      <w:bookmarkEnd w:id="66"/>
      <w:bookmarkEnd w:id="67"/>
    </w:p>
    <w:p w14:paraId="5BA06319" w14:textId="64BCFB75" w:rsidR="00AE3EE8" w:rsidRDefault="00AE3EE8"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2025, de nouveaux progrès ont été accomplis dans le renforcement de la coopération dans ce domaine.</w:t>
      </w:r>
    </w:p>
    <w:p w14:paraId="4091524D" w14:textId="0978DE52" w:rsidR="00AE3EE8"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À la fin de l’année, 25 États membres et le Royaume-Uni s’étaient accordé mutuellement l’accès à leurs bases de données dactyloscopiques nationales, conformément à l’article 534 de l’ACC. Cette avancée s’inscrivait dans la continuité des progrès réalisés en 2024, lorsque tous les États membres et le Royaume-Uni s’étaient accordé mutuellement l’accès à leurs bases de données ADN nationales aux fins de consultations automatisées, conformément à l’article 530 de l’ACC.</w:t>
      </w:r>
    </w:p>
    <w:p w14:paraId="6C37DB65" w14:textId="391CF3AD" w:rsidR="00764E6C"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ce qui concerne l’échange de données relatives à l’immatriculation des véhicules, une visite d’évaluation et un projet pilote ont été menés au Royaume-Uni afin d’évaluer sa mise en œuvre des obligations énoncées dans la troisième partie, titre II, de l’ACC. Sur la base du rapport d’évaluation du 17 octobre 2025 qui en a résulté, le Conseil doit déterminer la date à partir de laquelle les États membres pourront commencer à transmettre des données au Royaume-Uni. Une fois cette décision adoptée, tant les États membres que le Royaume-Uni pourront effectuer des consultations automatisées dans leurs bases de données nationales respectives, comme prévu au titre de l’article 537 de l’ACC.</w:t>
      </w:r>
    </w:p>
    <w:p w14:paraId="218532FD" w14:textId="2E880FA9" w:rsidR="00305A8B" w:rsidRDefault="00305A8B"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 24 septembre, Europol et l’Agence de lutte contre la criminalité du Royaume-Uni ont signé un arrangement de travail sur les officiers de liaison détachés par le Royaume-Uni auprès d’Europol. Il permet au Royaume-Uni de détacher jusqu’à 20 officiers de liaison auprès d’Europol et spécifie les missions des officiers de liaison, leurs droits et obligations ainsi que les coûts générés, conformément à l’article 577, paragraphe 2, point d), de l’ACC.</w:t>
      </w:r>
    </w:p>
    <w:p w14:paraId="3E663A9B" w14:textId="42F8ECFE" w:rsidR="00263800" w:rsidRDefault="00263800"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l’article 630, paragraphe 2, de l’ACC, l’UE a réexaminé ses notifications au Royaume-Uni en ce qui concerne la remise des personnes recherchées et a informé le comité spécialisé chargé de la coopération des services répressifs et judiciaires en conséquence. Ce réexamen doit être effectué tous les cinq ans après l’entrée en vigueur de l’ACC</w:t>
      </w:r>
      <w:r>
        <w:rPr>
          <w:rStyle w:val="FootnoteReference"/>
          <w:rFonts w:ascii="Times New Roman" w:eastAsia="Times New Roman" w:hAnsi="Times New Roman" w:cs="Times New Roman"/>
          <w:noProof/>
          <w:sz w:val="24"/>
          <w:szCs w:val="24"/>
        </w:rPr>
        <w:footnoteReference w:id="41"/>
      </w:r>
      <w:r>
        <w:rPr>
          <w:rFonts w:ascii="Times New Roman" w:hAnsi="Times New Roman"/>
          <w:noProof/>
          <w:sz w:val="24"/>
        </w:rPr>
        <w:t>.</w:t>
      </w:r>
    </w:p>
    <w:p w14:paraId="5E3C5BB2" w14:textId="47735B9B" w:rsidR="006D1404" w:rsidRPr="0086076B" w:rsidRDefault="4EF2814B"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8" w:name="_Toc185413391"/>
      <w:bookmarkStart w:id="69" w:name="_Toc204769329"/>
      <w:bookmarkStart w:id="70" w:name="_Toc226620203"/>
      <w:r>
        <w:rPr>
          <w:rFonts w:ascii="Times New Roman" w:hAnsi="Times New Roman"/>
          <w:b/>
          <w:noProof/>
          <w:color w:val="auto"/>
        </w:rPr>
        <w:t>Association du Royaume-Uni à certains programmes de l’UE</w:t>
      </w:r>
      <w:bookmarkEnd w:id="68"/>
      <w:bookmarkEnd w:id="69"/>
      <w:bookmarkEnd w:id="70"/>
    </w:p>
    <w:p w14:paraId="5699DD03" w14:textId="07C2BE5D" w:rsidR="00B66F0C" w:rsidRPr="00F52880" w:rsidRDefault="00B66F0C" w:rsidP="00B66F0C">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Depuis 2024, le Royaume-Uni est associé à plusieurs programmes de l’UE, dont Horizon Europe et la composante Copernicus du programme spatial de l’Union. Cela permet aux entités du Royaume-Uni de participer à des projets collaboratifs de recherche et d’innovation dans l’ensemble de l’UE et au-delà.</w:t>
      </w:r>
    </w:p>
    <w:p w14:paraId="18F03217" w14:textId="3992EB39" w:rsidR="00EC3EB0" w:rsidRPr="00F52880" w:rsidRDefault="00BD370D" w:rsidP="00B66F0C">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Selon les dernières données</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depuis 2024, le Royaume-Uni est le quatrième plus grand bénéficiaire de subventions de tous les pays participants (après l’Allemagne, l’Espagne et la France</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les entités britanniques obtenant environ 1,2 milliard d’EUR de financement au titre d’Horizon Europe. Le Royaume-Uni joue également un rôle de premier plan dans les actions Marie Skłodowska-Curie, permettant à ses universités et institutions de participer à des réseaux doctoraux et de coordonner des projets.</w:t>
      </w:r>
    </w:p>
    <w:p w14:paraId="3224EBC7" w14:textId="6EEE91C3" w:rsidR="000F4C0B" w:rsidRDefault="00B66F0C" w:rsidP="00E10EB6">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outre, lors du sommet de mai 2025, les deux parties sont convenues d’œuvrer à l’association du Royaume-Uni au programme Erasmus+. Les négociations relatives à l’association du Royaume-Uni au 1</w:t>
      </w:r>
      <w:r>
        <w:rPr>
          <w:rFonts w:ascii="Times New Roman" w:hAnsi="Times New Roman"/>
          <w:noProof/>
          <w:sz w:val="24"/>
          <w:vertAlign w:val="superscript"/>
        </w:rPr>
        <w:t>er</w:t>
      </w:r>
      <w:r>
        <w:rPr>
          <w:rFonts w:ascii="Times New Roman" w:hAnsi="Times New Roman"/>
          <w:noProof/>
          <w:sz w:val="24"/>
        </w:rPr>
        <w:t> janvier 2027 ont été menées à bien par la Commission en décembre 2025</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 Elles seront suivies d’une proposition de la Commission au Conseil en vue d’une modification du protocole I de l’ACC, qui sera suivie des étapes législatives et procédurales requises pour que le comité spécialisé chargé de la participation aux programmes de l’Union adopte les modalités actualisées du protocole I, régissant l’association du Royaume-Uni à Erasmus+. Il s’agit d’une étape importante vers une participation plus large aux activités de mobilité entre l’UE et le Royaume-Uni, ainsi que vers une coopération dans tous les secteurs couverts par le programme (éducation, formation, jeunesse et sport).</w:t>
      </w:r>
    </w:p>
    <w:p w14:paraId="6D4ABEFD" w14:textId="2AAC12F7" w:rsidR="00446FCC" w:rsidRPr="00446FCC" w:rsidRDefault="00446FCC" w:rsidP="007F7326">
      <w:pPr>
        <w:pStyle w:val="Heading2"/>
        <w:numPr>
          <w:ilvl w:val="1"/>
          <w:numId w:val="55"/>
        </w:numPr>
        <w:spacing w:before="100" w:beforeAutospacing="1" w:after="100" w:afterAutospacing="1" w:line="240" w:lineRule="auto"/>
        <w:rPr>
          <w:rFonts w:ascii="Times New Roman" w:eastAsia="Times New Roman" w:hAnsi="Times New Roman" w:cs="Times New Roman"/>
          <w:b/>
          <w:bCs/>
          <w:noProof/>
          <w:color w:val="auto"/>
        </w:rPr>
      </w:pPr>
      <w:bookmarkStart w:id="71" w:name="_Toc226620204"/>
      <w:r>
        <w:rPr>
          <w:rFonts w:ascii="Times New Roman" w:hAnsi="Times New Roman"/>
          <w:b/>
          <w:noProof/>
          <w:color w:val="auto"/>
        </w:rPr>
        <w:t>Autres domaines</w:t>
      </w:r>
      <w:bookmarkEnd w:id="71"/>
    </w:p>
    <w:p w14:paraId="06B769E2" w14:textId="121C8889" w:rsidR="00023CFA" w:rsidRPr="00F52880" w:rsidRDefault="00A94F20"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72" w:name="_Hlk215156840"/>
      <w:r>
        <w:rPr>
          <w:rFonts w:ascii="Times New Roman" w:hAnsi="Times New Roman"/>
          <w:noProof/>
          <w:sz w:val="24"/>
        </w:rPr>
        <w:t xml:space="preserve">Dans le domaine de la </w:t>
      </w:r>
      <w:r>
        <w:rPr>
          <w:rFonts w:ascii="Times New Roman" w:hAnsi="Times New Roman"/>
          <w:b/>
          <w:noProof/>
          <w:sz w:val="24"/>
        </w:rPr>
        <w:t>sécurité sanitaire</w:t>
      </w:r>
      <w:r>
        <w:rPr>
          <w:rFonts w:ascii="Times New Roman" w:hAnsi="Times New Roman"/>
          <w:noProof/>
          <w:sz w:val="24"/>
        </w:rPr>
        <w:t>, des discussions exploratoires ont eu lieu en vue de maximiser la coopération bilatérale sur la détection des futures pandémies et la préparation à celles-ci, ainsi que sur la réaction aux menaces sanitaires émergentes.</w:t>
      </w:r>
    </w:p>
    <w:p w14:paraId="619399A7" w14:textId="3DDF9C4C" w:rsidR="001E56AA" w:rsidRDefault="001E56AA"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à la convention d’entente et à la suite de l’adoption par le Conseil, le 11 juin 2025, d’une décision</w:t>
      </w:r>
      <w:r>
        <w:rPr>
          <w:rStyle w:val="FootnoteReference"/>
          <w:rFonts w:ascii="Times New Roman" w:eastAsia="Times New Roman" w:hAnsi="Times New Roman" w:cs="Times New Roman"/>
          <w:noProof/>
          <w:sz w:val="24"/>
          <w:szCs w:val="24"/>
        </w:rPr>
        <w:footnoteReference w:id="45"/>
      </w:r>
      <w:r>
        <w:rPr>
          <w:rFonts w:ascii="Times New Roman" w:hAnsi="Times New Roman"/>
          <w:noProof/>
          <w:sz w:val="24"/>
        </w:rPr>
        <w:t xml:space="preserve"> et de directives de négociation, des négociations ont débuté en vue de conclure un accord international sur le </w:t>
      </w:r>
      <w:r>
        <w:rPr>
          <w:rFonts w:ascii="Times New Roman" w:hAnsi="Times New Roman"/>
          <w:b/>
          <w:noProof/>
          <w:sz w:val="24"/>
        </w:rPr>
        <w:t>programme d’expérience en faveur des jeunes</w:t>
      </w:r>
      <w:r>
        <w:rPr>
          <w:rFonts w:ascii="Times New Roman" w:hAnsi="Times New Roman"/>
          <w:noProof/>
          <w:sz w:val="24"/>
        </w:rPr>
        <w:t>, d’introduire une nouvelle procédure d’obtention de visa et de faciliter la participation des jeunes de l’UE et du Royaume-Uni à une série d’activités.</w:t>
      </w:r>
    </w:p>
    <w:p w14:paraId="3F12493A" w14:textId="0289FC29" w:rsidR="006D1404" w:rsidRPr="0086076B" w:rsidRDefault="27FE4BCF" w:rsidP="000E5D73">
      <w:pPr>
        <w:pStyle w:val="Heading1"/>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3" w:name="_Toc86154517"/>
      <w:bookmarkStart w:id="74" w:name="_Toc185413393"/>
      <w:bookmarkStart w:id="75" w:name="_Toc204769330"/>
      <w:bookmarkStart w:id="76" w:name="_Toc226620205"/>
      <w:bookmarkEnd w:id="72"/>
      <w:r>
        <w:rPr>
          <w:rFonts w:ascii="Times New Roman" w:hAnsi="Times New Roman"/>
          <w:b/>
          <w:noProof/>
          <w:color w:val="auto"/>
        </w:rPr>
        <w:t xml:space="preserve">Évolution de la législation du </w:t>
      </w:r>
      <w:bookmarkEnd w:id="73"/>
      <w:r>
        <w:rPr>
          <w:rFonts w:ascii="Times New Roman" w:hAnsi="Times New Roman"/>
          <w:b/>
          <w:noProof/>
          <w:color w:val="auto"/>
        </w:rPr>
        <w:t>Royaume-Uni</w:t>
      </w:r>
      <w:bookmarkEnd w:id="74"/>
      <w:bookmarkEnd w:id="75"/>
      <w:bookmarkEnd w:id="76"/>
    </w:p>
    <w:p w14:paraId="01EEAF13" w14:textId="5B0A9DA4" w:rsidR="009C4EB8" w:rsidRDefault="00225BB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 suivi continu assuré par la Commission, la présente section examine, conformément à l’article 2, paragraphe 4, de la décision (UE) 2021/689 du Conseil, l’évolution de la législation au Royaume-Uni, en mettant particulièrement l’accent sur les mesures les plus importantes pertinentes pour la mise en œuvre de l’ACC.</w:t>
      </w:r>
    </w:p>
    <w:p w14:paraId="43031B4E" w14:textId="1404317F" w:rsidR="007D3844" w:rsidRPr="006146F7" w:rsidRDefault="007D3844" w:rsidP="007D384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du </w:t>
      </w:r>
      <w:r>
        <w:rPr>
          <w:rFonts w:ascii="Times New Roman" w:hAnsi="Times New Roman"/>
          <w:b/>
          <w:noProof/>
          <w:sz w:val="24"/>
        </w:rPr>
        <w:t>contrôle des subventions</w:t>
      </w:r>
      <w:r>
        <w:rPr>
          <w:rFonts w:ascii="Times New Roman" w:hAnsi="Times New Roman"/>
          <w:noProof/>
          <w:sz w:val="24"/>
        </w:rPr>
        <w:t>, le gouvernement a continué d’affiner le cadre établi par la loi de 2022 sur le contrôle des subventions</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En vigueur depuis août 2025, les Subsidy Control (Subsidies and Schemes of Interest or Particular Interest) (Amendment) Regulations 2025</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 xml:space="preserve"> ont relevé de 10 millions de GBP à 25 millions de GBP le seuil financier pour le renvoi obligatoire des subventions et régimes dans des secteurs non sensibles à l’autorité de la concurrence et des marchés.</w:t>
      </w:r>
      <w:r>
        <w:rPr>
          <w:noProof/>
        </w:rPr>
        <w:t xml:space="preserve"> </w:t>
      </w:r>
      <w:r>
        <w:rPr>
          <w:rFonts w:ascii="Times New Roman" w:hAnsi="Times New Roman"/>
          <w:noProof/>
          <w:sz w:val="24"/>
        </w:rPr>
        <w:t>En conséquence, cette dernière a estimé à 28 % la réduction du nombre de subventions examinées par l’unité de conseil en matière de subventions.</w:t>
      </w:r>
    </w:p>
    <w:p w14:paraId="50E46F1B" w14:textId="1B32F897" w:rsidR="00E81C30" w:rsidRPr="006146F7"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des </w:t>
      </w:r>
      <w:r>
        <w:rPr>
          <w:rFonts w:ascii="Times New Roman" w:hAnsi="Times New Roman"/>
          <w:b/>
          <w:noProof/>
          <w:sz w:val="24"/>
        </w:rPr>
        <w:t>normes sociales et du travail</w:t>
      </w:r>
      <w:r>
        <w:rPr>
          <w:rFonts w:ascii="Times New Roman" w:hAnsi="Times New Roman"/>
          <w:noProof/>
          <w:sz w:val="24"/>
        </w:rPr>
        <w:t>, la loi de 2025 relative aux droits des travailleurs</w:t>
      </w:r>
      <w:r>
        <w:rPr>
          <w:rStyle w:val="FootnoteReference"/>
          <w:rFonts w:ascii="Times New Roman" w:eastAsia="Times New Roman" w:hAnsi="Times New Roman" w:cs="Times New Roman"/>
          <w:noProof/>
          <w:sz w:val="24"/>
          <w:szCs w:val="24"/>
        </w:rPr>
        <w:footnoteReference w:id="48"/>
      </w:r>
      <w:r>
        <w:rPr>
          <w:rFonts w:ascii="Times New Roman" w:hAnsi="Times New Roman"/>
          <w:noProof/>
          <w:sz w:val="24"/>
        </w:rPr>
        <w:t xml:space="preserve"> a introduit des réformes du droit du travail en Angleterre, en Écosse et au Pays de Galles. Les principales dispositions, saluées par l’UE, comprennent des mises à jour des procédures de licenciement, des obligations en matière d’égalité pour les employeurs, des fonctions syndicales et l’application de la législation sur le marché du travail. En particulier, cette loi vise à mettre fin aux contrats «zéro heure» en accordant des droits à des heures garanties et à moderniser la législation syndicale, notamment en abrogeant la loi controversée de 2023 sur les grèves et le service minimum (Strikes)</w:t>
      </w:r>
      <w:r>
        <w:rPr>
          <w:rStyle w:val="FootnoteReference"/>
          <w:rFonts w:ascii="Times New Roman" w:eastAsia="Times New Roman" w:hAnsi="Times New Roman" w:cs="Times New Roman"/>
          <w:noProof/>
          <w:sz w:val="24"/>
          <w:szCs w:val="24"/>
        </w:rPr>
        <w:footnoteReference w:id="49"/>
      </w:r>
      <w:r>
        <w:rPr>
          <w:rFonts w:ascii="Times New Roman" w:hAnsi="Times New Roman"/>
          <w:noProof/>
          <w:sz w:val="24"/>
        </w:rPr>
        <w:t>, mise en exergue par la Commission dans son rapport de 2023 sur la mise en œuvre de l’ACC</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w:t>
      </w:r>
    </w:p>
    <w:p w14:paraId="25BF688E" w14:textId="3A01553A" w:rsidR="00E661FF" w:rsidRDefault="00A5477E"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la </w:t>
      </w:r>
      <w:r>
        <w:rPr>
          <w:rFonts w:ascii="Times New Roman" w:hAnsi="Times New Roman"/>
          <w:b/>
          <w:noProof/>
          <w:sz w:val="24"/>
        </w:rPr>
        <w:t>législation en matière de climat et d’environnement</w:t>
      </w:r>
      <w:r>
        <w:rPr>
          <w:rFonts w:ascii="Times New Roman" w:hAnsi="Times New Roman"/>
          <w:noProof/>
          <w:sz w:val="24"/>
        </w:rPr>
        <w:t>, la loi de 2025 sur l’énergie britannique (Great British Energy Act)</w:t>
      </w:r>
      <w:r>
        <w:rPr>
          <w:rStyle w:val="FootnoteReference"/>
          <w:rFonts w:ascii="Times New Roman" w:eastAsia="Times New Roman" w:hAnsi="Times New Roman" w:cs="Times New Roman"/>
          <w:noProof/>
          <w:sz w:val="24"/>
          <w:szCs w:val="24"/>
        </w:rPr>
        <w:footnoteReference w:id="51"/>
      </w:r>
      <w:r>
        <w:rPr>
          <w:rFonts w:ascii="Times New Roman" w:hAnsi="Times New Roman"/>
          <w:noProof/>
          <w:sz w:val="24"/>
        </w:rPr>
        <w:t xml:space="preserve"> établit Great British Energy (GBE), une entreprise publique du secteur de l’énergie chargée d’accélérer le développement d’une énergie domestique propre. Cette loi confère à GBE le pouvoir d’investir dans des infrastructures de production d’énergie et de les gérer, promouvant ainsi la durabilité environnementale et la sécurité énergétique. Avec plus de 8,3 milliards de GBP à investir, la Commission surveille attentivement la mise en œuvre afin de veiller à ce qu’elle soit conforme aux engagements pris par le Royaume-Uni dans le cadre de l’ACC.</w:t>
      </w:r>
    </w:p>
    <w:p w14:paraId="6FD30062" w14:textId="632DDCAD" w:rsidR="00E81C30" w:rsidRPr="006146F7" w:rsidRDefault="00212267" w:rsidP="00E661F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outre, la loi de 2025 sur l’aménagement du territoire et les infrastructures</w:t>
      </w:r>
      <w:r>
        <w:rPr>
          <w:rStyle w:val="FootnoteReference"/>
          <w:rFonts w:ascii="Times New Roman" w:eastAsia="Times New Roman" w:hAnsi="Times New Roman" w:cs="Times New Roman"/>
          <w:noProof/>
          <w:sz w:val="24"/>
          <w:szCs w:val="24"/>
        </w:rPr>
        <w:footnoteReference w:id="52"/>
      </w:r>
      <w:r>
        <w:rPr>
          <w:rFonts w:ascii="Times New Roman" w:hAnsi="Times New Roman"/>
          <w:noProof/>
          <w:sz w:val="24"/>
        </w:rPr>
        <w:t xml:space="preserve"> vise à rationaliser la fourniture d’infrastructures critiques en introduisant un aménagement stratégique du territoire dans l’ensemble de l’Angleterre et en accélérant les grands projets afin de soutenir la croissance économique et la durabilité environnementale. Cette loi révise les règles en matière de planification et d’infrastructure, en remplaçant les obligations de planification environnementale par une taxe sur les promoteurs versée au Fonds pour la restauration de la nature afin de financer des projets de restauration. Elle rationalise également les procédures d’approbation des «projets d’infrastructure d’importance nationale» et des infrastructures électriques. Il s’agit d’une évolution majeure dans ce domaine et la Commission surveille activement son incidence sur le commerce, l’investissement et le non-respect potentiel des obligations de non-régression prévues par l’ACC.</w:t>
      </w:r>
    </w:p>
    <w:p w14:paraId="0C283AFC" w14:textId="74C297D5" w:rsidR="00144CF1"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 la </w:t>
      </w:r>
      <w:r>
        <w:rPr>
          <w:rFonts w:ascii="Times New Roman" w:hAnsi="Times New Roman"/>
          <w:b/>
          <w:noProof/>
          <w:sz w:val="24"/>
        </w:rPr>
        <w:t>réglementation des produits</w:t>
      </w:r>
      <w:r>
        <w:rPr>
          <w:rFonts w:ascii="Times New Roman" w:hAnsi="Times New Roman"/>
          <w:noProof/>
          <w:sz w:val="24"/>
        </w:rPr>
        <w:t>, la loi de 2025 sur la réglementation des produits et la métrologie</w:t>
      </w:r>
      <w:r>
        <w:rPr>
          <w:rStyle w:val="FootnoteReference"/>
          <w:rFonts w:ascii="Times New Roman" w:eastAsia="Times New Roman" w:hAnsi="Times New Roman" w:cs="Times New Roman"/>
          <w:noProof/>
          <w:sz w:val="24"/>
          <w:szCs w:val="24"/>
        </w:rPr>
        <w:footnoteReference w:id="53"/>
      </w:r>
      <w:r>
        <w:rPr>
          <w:rFonts w:ascii="Times New Roman" w:hAnsi="Times New Roman"/>
          <w:noProof/>
          <w:sz w:val="24"/>
        </w:rPr>
        <w:t xml:space="preserve"> représente une réforme globale du cadre britannique en matière de sécurité des produits, de métrologie et de protection des consommateurs. Elle habilite le secrétaire d’État à introduire des règlements régissant la sécurité, l’efficacité et la précision des produits, notamment pour les dispositifs de pesage et de mesure, et s’étend aux installateurs de produits. Elle permet également la normalisation des unités de mesure, définit des procédures de surveillance réglementaire et prévoit une coordination avec les administrations décentralisées. Si certains secteurs, tels que l’alimentation, les médicaments, les équipements militaires, les aéronefs et certains produits agricoles, sont exclus, cette loi jette les bases de futurs actes de droit dérivé, notamment des règles ciblant les places de marché en ligne et le commerce numérique. Le suivi de la mise en œuvre de la loi est essentiel pour permettre à la Commission de préserver le respect de l’ACC et d’anticiper les changements réglementaires ayant une incidence sur le commerce transfrontière.</w:t>
      </w:r>
    </w:p>
    <w:p w14:paraId="3A825B03" w14:textId="20610E3D" w:rsidR="006749E2" w:rsidRDefault="006749E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 la </w:t>
      </w:r>
      <w:r>
        <w:rPr>
          <w:rFonts w:ascii="Times New Roman" w:hAnsi="Times New Roman"/>
          <w:b/>
          <w:noProof/>
          <w:sz w:val="24"/>
        </w:rPr>
        <w:t>protection des données</w:t>
      </w:r>
      <w:r>
        <w:rPr>
          <w:rFonts w:ascii="Times New Roman" w:hAnsi="Times New Roman"/>
          <w:noProof/>
          <w:sz w:val="24"/>
        </w:rPr>
        <w:t>, la loi de 2025 sur les données (utilisation et accès)</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 adoptée en juin 2025 et entrée en vigueur progressivement entre juin 2025 et juin 2026, réforme le cadre de protection des données du Royaume-Uni pour la vérification numérique et le partage des données. Cette loi modifie le règlement général sur la protection des données et la loi de 2018 sur la protection des données, en établissant de nouveaux fondements juridiques pour le traitement des données à caractère personnel dans certains domaines d’intérêt public, en favorisant des systèmes de données intelligentes aux fins du partage sécurisé des données, en créant un cadre juridique pour les services d’identité numérique et en mettant en place un registre national des actifs souterrains.</w:t>
      </w:r>
    </w:p>
    <w:p w14:paraId="7491E04D" w14:textId="56910B66" w:rsidR="00640672" w:rsidRDefault="0064067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juin 2025, la Commission européenne a adopté une prolongation technique de six mois des deux décisions d’adéquation de 2021</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xml:space="preserve"> afin d’évaluer les implications de la loi de 2025 sur les données (utilisation et accès). En juillet 2025, elle a conclu que le cadre juridique du Royaume-Uni prévoit des garanties en matière de protection des données, notamment celles modifiées par la loi de 2025 sur les données (utilisation et accès), essentiellement équivalentes à celles de l’UE, puis a lancé le processus permettant au Conseil d’adopter de nouvelles décisions d’adéquation</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Ces décisions d’adéquation ont été adoptées le 19 décembre 2025</w:t>
      </w:r>
      <w:r>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 Les décisions d’adéquation seront réexaminées périodiquement après quatre ans et expireront le 27 décembre 2031, sauf si elles sont prorogées.</w:t>
      </w:r>
    </w:p>
    <w:p w14:paraId="44996096" w14:textId="692EDF65" w:rsidR="006D1404" w:rsidRPr="0086076B" w:rsidRDefault="33A451BC" w:rsidP="71022153">
      <w:pPr>
        <w:pStyle w:val="Heading1"/>
        <w:keepNext w:val="0"/>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7" w:name="_Toc120291013"/>
      <w:bookmarkStart w:id="78" w:name="_Toc86061903"/>
      <w:bookmarkStart w:id="79" w:name="_Toc86154525"/>
      <w:bookmarkStart w:id="80" w:name="_Toc185413397"/>
      <w:bookmarkStart w:id="81" w:name="_Toc204769334"/>
      <w:bookmarkStart w:id="82" w:name="_Toc226620206"/>
      <w:bookmarkEnd w:id="77"/>
      <w:r>
        <w:rPr>
          <w:rFonts w:ascii="Times New Roman" w:hAnsi="Times New Roman"/>
          <w:b/>
          <w:noProof/>
          <w:color w:val="auto"/>
        </w:rPr>
        <w:t>Conclusions</w:t>
      </w:r>
      <w:bookmarkEnd w:id="78"/>
      <w:bookmarkEnd w:id="79"/>
      <w:bookmarkEnd w:id="80"/>
      <w:bookmarkEnd w:id="81"/>
      <w:bookmarkEnd w:id="82"/>
    </w:p>
    <w:p w14:paraId="42E1930E" w14:textId="27695B5A"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Après cinq années de fonctionnement, l’ACC s’est révélé être une base solide et efficace pour les relations entre l’UE et le Royaume-Uni, et sa mise en œuvre a globalement bien progressé. Les problèmes recensés dans le présent rapport constituent des exceptions, compte tenu de l’étendue et de la profondeur de la coopération établie dans le cadre de l’ACC.</w:t>
      </w:r>
    </w:p>
    <w:p w14:paraId="62D35BCC" w14:textId="4FBDAF7E"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Comme réaffirmé dans la convention d’entente adoptée lors du premier sommet UE-Royaume-Uni du 19 mai 2025, l’ACC reste une pierre angulaire du développement du nouveau partenariat stratégique entre l’UE et le Royaume-Uni et continue de servir de principal instrument pour approfondir la coopération dans un contexte géopolitique en mutation.</w:t>
      </w:r>
    </w:p>
    <w:p w14:paraId="057651B9" w14:textId="01F1C7B7" w:rsidR="000B0C31" w:rsidRPr="00CB29E2" w:rsidRDefault="00CB29E2" w:rsidP="0015531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L’évaluation de la Commission confirme que, cinq ans plus tard, l’ACC fournit un cadre stable, prévisible et mutuellement bénéfique qui sera encore renforcé par les nouveaux accords prévus dans le cadre de la convention d’entente.</w:t>
      </w:r>
    </w:p>
    <w:p w14:paraId="4DBF3B62" w14:textId="77777777" w:rsidR="00CB29E2" w:rsidRDefault="00CB29E2">
      <w:pPr>
        <w:rPr>
          <w:rFonts w:ascii="Times New Roman" w:eastAsiaTheme="majorEastAsia" w:hAnsi="Times New Roman" w:cs="Times New Roman"/>
          <w:b/>
          <w:bCs/>
          <w:noProof/>
          <w:sz w:val="32"/>
          <w:szCs w:val="32"/>
        </w:rPr>
      </w:pPr>
      <w:bookmarkStart w:id="83" w:name="_Toc185413398"/>
      <w:bookmarkStart w:id="84" w:name="_Toc204769335"/>
      <w:r>
        <w:rPr>
          <w:noProof/>
        </w:rPr>
        <w:br w:type="page"/>
      </w:r>
    </w:p>
    <w:p w14:paraId="78E52ABD" w14:textId="00C003F4" w:rsidR="006D1404" w:rsidRPr="00157ED4" w:rsidRDefault="00537043" w:rsidP="6A5D11F7">
      <w:pPr>
        <w:pStyle w:val="Heading1"/>
        <w:keepNext w:val="0"/>
        <w:keepLines w:val="0"/>
        <w:spacing w:before="100" w:beforeAutospacing="1" w:after="100" w:afterAutospacing="1" w:line="240" w:lineRule="auto"/>
        <w:rPr>
          <w:rFonts w:ascii="Times New Roman" w:hAnsi="Times New Roman" w:cs="Times New Roman"/>
          <w:b/>
          <w:bCs/>
          <w:noProof/>
          <w:color w:val="auto"/>
        </w:rPr>
      </w:pPr>
      <w:bookmarkStart w:id="85" w:name="_Toc226620207"/>
      <w:r>
        <w:rPr>
          <w:rFonts w:ascii="Times New Roman" w:hAnsi="Times New Roman"/>
          <w:b/>
          <w:noProof/>
          <w:color w:val="auto"/>
        </w:rPr>
        <w:t>Annexe 1: Réunions des organes mixtes et autres structures institués en vertu de l’ACC</w:t>
      </w:r>
      <w:bookmarkEnd w:id="83"/>
      <w:bookmarkEnd w:id="84"/>
      <w:r>
        <w:rPr>
          <w:rStyle w:val="FootnoteReference"/>
          <w:rFonts w:ascii="Times New Roman" w:hAnsi="Times New Roman" w:cs="Times New Roman"/>
          <w:noProof/>
          <w:color w:val="auto"/>
        </w:rPr>
        <w:footnoteReference w:id="58"/>
      </w:r>
      <w:bookmarkEnd w:id="85"/>
    </w:p>
    <w:tbl>
      <w:tblPr>
        <w:tblStyle w:val="TableGrid"/>
        <w:tblW w:w="9103" w:type="dxa"/>
        <w:tblLook w:val="04A0" w:firstRow="1" w:lastRow="0" w:firstColumn="1" w:lastColumn="0" w:noHBand="0" w:noVBand="1"/>
      </w:tblPr>
      <w:tblGrid>
        <w:gridCol w:w="1661"/>
        <w:gridCol w:w="7442"/>
      </w:tblGrid>
      <w:tr w:rsidR="00F006D0" w:rsidRPr="00F006D0" w14:paraId="2538BE6C" w14:textId="77777777" w:rsidTr="00BF7CBB">
        <w:trPr>
          <w:trHeight w:val="227"/>
        </w:trPr>
        <w:tc>
          <w:tcPr>
            <w:tcW w:w="1661" w:type="dxa"/>
            <w:shd w:val="clear" w:color="auto" w:fill="BFBFBF" w:themeFill="background1" w:themeFillShade="BF"/>
            <w:hideMark/>
          </w:tcPr>
          <w:p w14:paraId="52070644"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Pr>
                <w:rFonts w:ascii="Times New Roman" w:hAnsi="Times New Roman"/>
                <w:b/>
                <w:noProof/>
                <w:sz w:val="24"/>
              </w:rPr>
              <w:t>Date</w:t>
            </w:r>
          </w:p>
          <w:p w14:paraId="728846B3"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p>
        </w:tc>
        <w:tc>
          <w:tcPr>
            <w:tcW w:w="7442" w:type="dxa"/>
            <w:shd w:val="clear" w:color="auto" w:fill="BFBFBF" w:themeFill="background1" w:themeFillShade="BF"/>
            <w:hideMark/>
          </w:tcPr>
          <w:p w14:paraId="710D45B9"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Pr>
                <w:rFonts w:ascii="Times New Roman" w:hAnsi="Times New Roman"/>
                <w:b/>
                <w:noProof/>
                <w:sz w:val="24"/>
              </w:rPr>
              <w:t>Organe mixte/structure</w:t>
            </w:r>
          </w:p>
        </w:tc>
      </w:tr>
      <w:tr w:rsidR="00792558" w:rsidRPr="00F006D0" w14:paraId="0D8A811A" w14:textId="77777777" w:rsidTr="00BF7CBB">
        <w:tc>
          <w:tcPr>
            <w:tcW w:w="1661" w:type="dxa"/>
            <w:vAlign w:val="center"/>
          </w:tcPr>
          <w:p w14:paraId="0CEE0496" w14:textId="055C264D"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28 janvier</w:t>
            </w:r>
          </w:p>
        </w:tc>
        <w:tc>
          <w:tcPr>
            <w:tcW w:w="7442" w:type="dxa"/>
            <w:vAlign w:val="center"/>
          </w:tcPr>
          <w:p w14:paraId="2232AFAF" w14:textId="41A85E7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Sécurité de l’approvisionnement énergétique (groupe de travail): 1</w:t>
            </w:r>
            <w:r>
              <w:rPr>
                <w:rFonts w:ascii="Times New Roman" w:hAnsi="Times New Roman"/>
                <w:noProof/>
                <w:sz w:val="24"/>
                <w:vertAlign w:val="superscript"/>
              </w:rPr>
              <w:t>re</w:t>
            </w:r>
            <w:r>
              <w:rPr>
                <w:rFonts w:ascii="Times New Roman" w:hAnsi="Times New Roman"/>
                <w:noProof/>
                <w:sz w:val="24"/>
              </w:rPr>
              <w:t> réunion</w:t>
            </w:r>
          </w:p>
        </w:tc>
      </w:tr>
      <w:tr w:rsidR="00792558" w:rsidRPr="00F006D0" w14:paraId="22CF46B2" w14:textId="77777777" w:rsidTr="00BF7CBB">
        <w:tc>
          <w:tcPr>
            <w:tcW w:w="1661" w:type="dxa"/>
            <w:vAlign w:val="center"/>
          </w:tcPr>
          <w:p w14:paraId="15878296" w14:textId="3B35FA4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février</w:t>
            </w:r>
          </w:p>
        </w:tc>
        <w:tc>
          <w:tcPr>
            <w:tcW w:w="7442" w:type="dxa"/>
            <w:vAlign w:val="center"/>
          </w:tcPr>
          <w:p w14:paraId="0AA97A8E" w14:textId="637E0EC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Dialogue sur la lutte contre le terrorisme – article 768 de l’ACC: 2</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24479BAE" w14:textId="77777777" w:rsidTr="00BF7CBB">
        <w:tc>
          <w:tcPr>
            <w:tcW w:w="1661" w:type="dxa"/>
            <w:vAlign w:val="center"/>
          </w:tcPr>
          <w:p w14:paraId="04D7DB7B" w14:textId="20CFCA1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10 février</w:t>
            </w:r>
          </w:p>
        </w:tc>
        <w:tc>
          <w:tcPr>
            <w:tcW w:w="7442" w:type="dxa"/>
            <w:vAlign w:val="center"/>
          </w:tcPr>
          <w:p w14:paraId="680BB5BA" w14:textId="76090EAD"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Coopération des organes de surveillance (environnement/climat) – article 395 de l’ACC: 1</w:t>
            </w:r>
            <w:r>
              <w:rPr>
                <w:rFonts w:ascii="Times New Roman" w:hAnsi="Times New Roman"/>
                <w:noProof/>
                <w:sz w:val="24"/>
                <w:vertAlign w:val="superscript"/>
              </w:rPr>
              <w:t>re</w:t>
            </w:r>
            <w:r>
              <w:rPr>
                <w:rFonts w:ascii="Times New Roman" w:hAnsi="Times New Roman"/>
                <w:noProof/>
                <w:sz w:val="24"/>
              </w:rPr>
              <w:t> réunion</w:t>
            </w:r>
          </w:p>
        </w:tc>
      </w:tr>
      <w:tr w:rsidR="00792558" w:rsidRPr="00F006D0" w14:paraId="6C1AC1AD" w14:textId="77777777" w:rsidTr="00BF7CBB">
        <w:tc>
          <w:tcPr>
            <w:tcW w:w="1661" w:type="dxa"/>
            <w:vAlign w:val="center"/>
          </w:tcPr>
          <w:p w14:paraId="6A2C2665" w14:textId="5E87B834"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12 février</w:t>
            </w:r>
          </w:p>
        </w:tc>
        <w:tc>
          <w:tcPr>
            <w:tcW w:w="7442" w:type="dxa"/>
            <w:vAlign w:val="center"/>
          </w:tcPr>
          <w:p w14:paraId="3AC9D5C5" w14:textId="1CD2471A" w:rsidR="00792558" w:rsidRPr="004E3ECA" w:rsidRDefault="00386F61"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 conjoint sur la réglementation financière entre l’UE et le Royaume-Uni: 3</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06D070F4" w14:textId="77777777" w:rsidTr="00BF7CBB">
        <w:tc>
          <w:tcPr>
            <w:tcW w:w="1661" w:type="dxa"/>
            <w:vAlign w:val="center"/>
          </w:tcPr>
          <w:p w14:paraId="59850541" w14:textId="17B28E6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26 février </w:t>
            </w:r>
          </w:p>
        </w:tc>
        <w:tc>
          <w:tcPr>
            <w:tcW w:w="7442" w:type="dxa"/>
            <w:vAlign w:val="center"/>
          </w:tcPr>
          <w:p w14:paraId="5F276EBF" w14:textId="7973276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Pêche (groupe de travail): 9</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40920834" w14:textId="77777777" w:rsidTr="00BF7CBB">
        <w:tc>
          <w:tcPr>
            <w:tcW w:w="1661" w:type="dxa"/>
            <w:vAlign w:val="center"/>
          </w:tcPr>
          <w:p w14:paraId="19F2CC8A" w14:textId="167D28E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17-18 mars</w:t>
            </w:r>
          </w:p>
        </w:tc>
        <w:tc>
          <w:tcPr>
            <w:tcW w:w="7442" w:type="dxa"/>
            <w:vAlign w:val="center"/>
          </w:tcPr>
          <w:p w14:paraId="129D88B3" w14:textId="51BBFCA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Assemblée parlementaire de partenariat: 5</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26EE21AC" w14:textId="77777777" w:rsidTr="00BF7CBB">
        <w:tc>
          <w:tcPr>
            <w:tcW w:w="1661" w:type="dxa"/>
            <w:vAlign w:val="center"/>
          </w:tcPr>
          <w:p w14:paraId="3D51902D" w14:textId="5A96B31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25 mars</w:t>
            </w:r>
          </w:p>
        </w:tc>
        <w:tc>
          <w:tcPr>
            <w:tcW w:w="7442" w:type="dxa"/>
            <w:vAlign w:val="center"/>
          </w:tcPr>
          <w:p w14:paraId="7D14EDA7" w14:textId="33D76E5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Groupe consultatif interne de l’UE: 14</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082C9BA4" w14:textId="77777777" w:rsidTr="00BF7CBB">
        <w:tc>
          <w:tcPr>
            <w:tcW w:w="1661" w:type="dxa"/>
            <w:vAlign w:val="center"/>
          </w:tcPr>
          <w:p w14:paraId="2D4F8DD1" w14:textId="6192700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14 mai</w:t>
            </w:r>
          </w:p>
        </w:tc>
        <w:tc>
          <w:tcPr>
            <w:tcW w:w="7442" w:type="dxa"/>
            <w:vAlign w:val="center"/>
          </w:tcPr>
          <w:p w14:paraId="60005793" w14:textId="6AB13F9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Pêche (comité spécialisé): 10</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751D5DC4" w14:textId="77777777" w:rsidTr="00BF7CBB">
        <w:tc>
          <w:tcPr>
            <w:tcW w:w="1661" w:type="dxa"/>
            <w:vAlign w:val="center"/>
          </w:tcPr>
          <w:p w14:paraId="325B9202" w14:textId="49E14AF5"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22 mai</w:t>
            </w:r>
          </w:p>
        </w:tc>
        <w:tc>
          <w:tcPr>
            <w:tcW w:w="7442" w:type="dxa"/>
            <w:vAlign w:val="center"/>
          </w:tcPr>
          <w:p w14:paraId="7DFD2FBD" w14:textId="2CE0ABD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Sécurité de l’approvisionnement énergétique (groupe de travail): 2</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729354C7" w14:textId="77777777" w:rsidTr="00BF7CBB">
        <w:tc>
          <w:tcPr>
            <w:tcW w:w="1661" w:type="dxa"/>
            <w:vAlign w:val="center"/>
          </w:tcPr>
          <w:p w14:paraId="02A32F01" w14:textId="63058799"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juin</w:t>
            </w:r>
          </w:p>
        </w:tc>
        <w:tc>
          <w:tcPr>
            <w:tcW w:w="7442" w:type="dxa"/>
            <w:vAlign w:val="center"/>
          </w:tcPr>
          <w:p w14:paraId="494EE426" w14:textId="422C3A5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Produits biologiques (groupe de travail): 2</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26FD90DB" w14:textId="77777777" w:rsidTr="00BF7CBB">
        <w:tc>
          <w:tcPr>
            <w:tcW w:w="1661" w:type="dxa"/>
            <w:vAlign w:val="center"/>
          </w:tcPr>
          <w:p w14:paraId="1928585F" w14:textId="662FD65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5 juin</w:t>
            </w:r>
          </w:p>
        </w:tc>
        <w:tc>
          <w:tcPr>
            <w:tcW w:w="7442" w:type="dxa"/>
            <w:vAlign w:val="center"/>
          </w:tcPr>
          <w:p w14:paraId="3BD2F493" w14:textId="35C78F33"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Médicaments (groupe de travail): 2</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21103B8A" w14:textId="77777777" w:rsidTr="00BF7CBB">
        <w:tc>
          <w:tcPr>
            <w:tcW w:w="1661" w:type="dxa"/>
            <w:vAlign w:val="center"/>
          </w:tcPr>
          <w:p w14:paraId="100C6E84" w14:textId="609C01FC"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11 juin</w:t>
            </w:r>
          </w:p>
        </w:tc>
        <w:tc>
          <w:tcPr>
            <w:tcW w:w="7442" w:type="dxa"/>
            <w:vAlign w:val="center"/>
          </w:tcPr>
          <w:p w14:paraId="47F870E7" w14:textId="43CD5EB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Transport aérien (comité spécialisé): 5</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5E2647EB" w14:textId="77777777" w:rsidTr="00BF7CBB">
        <w:tc>
          <w:tcPr>
            <w:tcW w:w="1661" w:type="dxa"/>
            <w:vAlign w:val="center"/>
          </w:tcPr>
          <w:p w14:paraId="06C8ED03" w14:textId="5C05024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12 juin </w:t>
            </w:r>
          </w:p>
        </w:tc>
        <w:tc>
          <w:tcPr>
            <w:tcW w:w="7442" w:type="dxa"/>
            <w:vAlign w:val="center"/>
          </w:tcPr>
          <w:p w14:paraId="65393154" w14:textId="38B7350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Véhicules à moteur et pièces détachées (groupe de travail): 2</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33E4B31E" w14:textId="77777777" w:rsidTr="00BF7CBB">
        <w:tc>
          <w:tcPr>
            <w:tcW w:w="1661" w:type="dxa"/>
            <w:vAlign w:val="center"/>
          </w:tcPr>
          <w:p w14:paraId="7DA1EB7E" w14:textId="47344C0F"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13 juin</w:t>
            </w:r>
          </w:p>
        </w:tc>
        <w:tc>
          <w:tcPr>
            <w:tcW w:w="7442" w:type="dxa"/>
            <w:vAlign w:val="center"/>
          </w:tcPr>
          <w:p w14:paraId="47D43AE8" w14:textId="6779F6E7"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Groupe consultatif interne de l’UE: 15</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24B66C51" w14:textId="77777777" w:rsidTr="00BF7CBB">
        <w:tc>
          <w:tcPr>
            <w:tcW w:w="1661" w:type="dxa"/>
            <w:vAlign w:val="center"/>
          </w:tcPr>
          <w:p w14:paraId="67B861C2" w14:textId="3C56AA2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18 juin</w:t>
            </w:r>
          </w:p>
        </w:tc>
        <w:tc>
          <w:tcPr>
            <w:tcW w:w="7442" w:type="dxa"/>
            <w:vAlign w:val="center"/>
          </w:tcPr>
          <w:p w14:paraId="278B43D8" w14:textId="4D01DFF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Énergie (comité spécialisé): 6</w:t>
            </w:r>
            <w:r>
              <w:rPr>
                <w:rFonts w:ascii="Times New Roman" w:hAnsi="Times New Roman"/>
                <w:noProof/>
                <w:sz w:val="24"/>
                <w:vertAlign w:val="superscript"/>
              </w:rPr>
              <w:t>e</w:t>
            </w:r>
            <w:r>
              <w:rPr>
                <w:rFonts w:ascii="Times New Roman" w:hAnsi="Times New Roman"/>
                <w:noProof/>
                <w:sz w:val="24"/>
              </w:rPr>
              <w:t> réunion</w:t>
            </w:r>
          </w:p>
        </w:tc>
      </w:tr>
      <w:tr w:rsidR="00792558" w:rsidRPr="00F006D0" w14:paraId="7B9A7173" w14:textId="77777777" w:rsidTr="00BF7CBB">
        <w:tc>
          <w:tcPr>
            <w:tcW w:w="1661" w:type="dxa"/>
            <w:vAlign w:val="center"/>
          </w:tcPr>
          <w:p w14:paraId="056637C5" w14:textId="63C95CD3"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24 juin</w:t>
            </w:r>
          </w:p>
        </w:tc>
        <w:tc>
          <w:tcPr>
            <w:tcW w:w="7442" w:type="dxa"/>
            <w:vAlign w:val="center"/>
          </w:tcPr>
          <w:p w14:paraId="3D7639F6" w14:textId="5BF9338F"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 de la société civile: 4</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140DBCAC" w14:textId="77777777" w:rsidTr="00BF7CBB">
        <w:tc>
          <w:tcPr>
            <w:tcW w:w="1661" w:type="dxa"/>
            <w:vAlign w:val="center"/>
          </w:tcPr>
          <w:p w14:paraId="6EFF35DF" w14:textId="102C5E0A"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16 juillet</w:t>
            </w:r>
          </w:p>
        </w:tc>
        <w:tc>
          <w:tcPr>
            <w:tcW w:w="7442" w:type="dxa"/>
            <w:vAlign w:val="center"/>
          </w:tcPr>
          <w:p w14:paraId="7747AEE7" w14:textId="0A0ABED0"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Pêche (groupe de travail): 10</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13F6DD8B" w14:textId="77777777" w:rsidTr="00BF7CBB">
        <w:tc>
          <w:tcPr>
            <w:tcW w:w="1661" w:type="dxa"/>
            <w:vAlign w:val="center"/>
          </w:tcPr>
          <w:p w14:paraId="46588D13" w14:textId="22A5CC04"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17 septembre</w:t>
            </w:r>
          </w:p>
        </w:tc>
        <w:tc>
          <w:tcPr>
            <w:tcW w:w="7442" w:type="dxa"/>
            <w:vAlign w:val="center"/>
          </w:tcPr>
          <w:p w14:paraId="4E28F2C9" w14:textId="3D839926"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Pêche (comité spécialisé): 11</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7C654B80" w14:textId="77777777" w:rsidTr="00BF7CBB">
        <w:tc>
          <w:tcPr>
            <w:tcW w:w="1661" w:type="dxa"/>
            <w:vAlign w:val="center"/>
          </w:tcPr>
          <w:p w14:paraId="009DCCC8" w14:textId="7BA59EDC" w:rsidR="008D7052" w:rsidRPr="004E3ECA" w:rsidRDefault="00E453DD"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29 septembre</w:t>
            </w:r>
          </w:p>
        </w:tc>
        <w:tc>
          <w:tcPr>
            <w:tcW w:w="7442" w:type="dxa"/>
            <w:vAlign w:val="center"/>
          </w:tcPr>
          <w:p w14:paraId="40C5B95F" w14:textId="7C971ED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Mesures sanitaires et phytosanitaires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28E4CDE8" w14:textId="77777777" w:rsidTr="00BF7CBB">
        <w:tc>
          <w:tcPr>
            <w:tcW w:w="1661" w:type="dxa"/>
            <w:vAlign w:val="center"/>
          </w:tcPr>
          <w:p w14:paraId="550E5892" w14:textId="05695931"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w:t>
            </w:r>
            <w:r>
              <w:rPr>
                <w:rFonts w:ascii="Times New Roman" w:hAnsi="Times New Roman"/>
                <w:noProof/>
                <w:sz w:val="24"/>
                <w:vertAlign w:val="superscript"/>
              </w:rPr>
              <w:t>er</w:t>
            </w:r>
            <w:r>
              <w:rPr>
                <w:rFonts w:ascii="Times New Roman" w:hAnsi="Times New Roman"/>
                <w:noProof/>
                <w:sz w:val="24"/>
              </w:rPr>
              <w:t> octobre</w:t>
            </w:r>
          </w:p>
        </w:tc>
        <w:tc>
          <w:tcPr>
            <w:tcW w:w="7442" w:type="dxa"/>
            <w:vAlign w:val="center"/>
          </w:tcPr>
          <w:p w14:paraId="2268C89C" w14:textId="4342D8C1"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 conjoint sur la réglementation financière entre l’UE et le Royaume-Uni: 4</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3E9AD88C" w14:textId="77777777" w:rsidTr="00BF7CBB">
        <w:tc>
          <w:tcPr>
            <w:tcW w:w="1661" w:type="dxa"/>
            <w:vAlign w:val="center"/>
          </w:tcPr>
          <w:p w14:paraId="6CBC10D3" w14:textId="2EBC714D"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 octobre</w:t>
            </w:r>
          </w:p>
        </w:tc>
        <w:tc>
          <w:tcPr>
            <w:tcW w:w="7442" w:type="dxa"/>
            <w:vAlign w:val="center"/>
          </w:tcPr>
          <w:p w14:paraId="05DE5CCD" w14:textId="79181232"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Coopération administrative en matière de TVA et de recouvrement des créances relatives aux taxes, impôts et droits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0394CCF9" w14:textId="77777777" w:rsidTr="00BF7CBB">
        <w:tc>
          <w:tcPr>
            <w:tcW w:w="1661" w:type="dxa"/>
            <w:vAlign w:val="center"/>
          </w:tcPr>
          <w:p w14:paraId="557255EA" w14:textId="1621FBEF"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8 octobre</w:t>
            </w:r>
          </w:p>
        </w:tc>
        <w:tc>
          <w:tcPr>
            <w:tcW w:w="7442" w:type="dxa"/>
            <w:vAlign w:val="center"/>
          </w:tcPr>
          <w:p w14:paraId="1E56D0CB" w14:textId="2B7F01B3"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Marchés publics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5BB42817" w14:textId="77777777" w:rsidTr="00BF7CBB">
        <w:tc>
          <w:tcPr>
            <w:tcW w:w="1661" w:type="dxa"/>
            <w:vAlign w:val="center"/>
          </w:tcPr>
          <w:p w14:paraId="72B0C72B" w14:textId="5E6B46D0"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9 octobre</w:t>
            </w:r>
          </w:p>
        </w:tc>
        <w:tc>
          <w:tcPr>
            <w:tcW w:w="7442" w:type="dxa"/>
            <w:vAlign w:val="center"/>
          </w:tcPr>
          <w:p w14:paraId="02D5B602" w14:textId="2972F17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Propriété intellectuelle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038D95FF" w14:textId="77777777" w:rsidTr="00BF7CBB">
        <w:tc>
          <w:tcPr>
            <w:tcW w:w="1661" w:type="dxa"/>
            <w:vAlign w:val="center"/>
          </w:tcPr>
          <w:p w14:paraId="6067EC4A" w14:textId="1041D063"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15 octobre</w:t>
            </w:r>
          </w:p>
        </w:tc>
        <w:tc>
          <w:tcPr>
            <w:tcW w:w="7442" w:type="dxa"/>
            <w:vAlign w:val="center"/>
          </w:tcPr>
          <w:p w14:paraId="0DE0C90C" w14:textId="1776D5C8" w:rsidR="008D7052" w:rsidRPr="004E3ECA" w:rsidRDefault="008D7052"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Conditions équitables pour une concurrence ouverte et loyale et un développement durable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2692AC4C" w14:textId="77777777" w:rsidTr="00BF7CBB">
        <w:tc>
          <w:tcPr>
            <w:tcW w:w="1661" w:type="dxa"/>
            <w:vAlign w:val="center"/>
          </w:tcPr>
          <w:p w14:paraId="77DAF0B2" w14:textId="4CA9C0C1"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16 octobre</w:t>
            </w:r>
          </w:p>
        </w:tc>
        <w:tc>
          <w:tcPr>
            <w:tcW w:w="7442" w:type="dxa"/>
            <w:vAlign w:val="center"/>
          </w:tcPr>
          <w:p w14:paraId="2550C497" w14:textId="189BB513"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Coopération douanière et règles d’origine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55F8B2AF" w14:textId="77777777" w:rsidTr="00BF7CBB">
        <w:tc>
          <w:tcPr>
            <w:tcW w:w="1661" w:type="dxa"/>
            <w:vAlign w:val="center"/>
          </w:tcPr>
          <w:p w14:paraId="2D83A036" w14:textId="78EABCEA"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22 octobre</w:t>
            </w:r>
          </w:p>
        </w:tc>
        <w:tc>
          <w:tcPr>
            <w:tcW w:w="7442" w:type="dxa"/>
            <w:vAlign w:val="center"/>
          </w:tcPr>
          <w:p w14:paraId="2DA60ACA" w14:textId="40EBD27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Obstacles techniques au commerce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36FF98D9" w14:textId="77777777" w:rsidTr="00BF7CBB">
        <w:tc>
          <w:tcPr>
            <w:tcW w:w="1661" w:type="dxa"/>
            <w:vAlign w:val="center"/>
          </w:tcPr>
          <w:p w14:paraId="7BE4C7A5" w14:textId="0705B185"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23 octobre</w:t>
            </w:r>
          </w:p>
        </w:tc>
        <w:tc>
          <w:tcPr>
            <w:tcW w:w="7442" w:type="dxa"/>
            <w:vAlign w:val="center"/>
          </w:tcPr>
          <w:p w14:paraId="12CBFEEE" w14:textId="06979301"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Services, investissement et commerce numérique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50341E" w:rsidRPr="00F006D0" w14:paraId="14F14061" w14:textId="77777777" w:rsidTr="00BF7CBB">
        <w:tc>
          <w:tcPr>
            <w:tcW w:w="1661" w:type="dxa"/>
            <w:vAlign w:val="center"/>
          </w:tcPr>
          <w:p w14:paraId="5034C046" w14:textId="490CF111" w:rsidR="0050341E" w:rsidRDefault="0050341E" w:rsidP="0050341E">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30 octobre</w:t>
            </w:r>
          </w:p>
        </w:tc>
        <w:tc>
          <w:tcPr>
            <w:tcW w:w="7442" w:type="dxa"/>
            <w:vAlign w:val="center"/>
          </w:tcPr>
          <w:p w14:paraId="12C11938" w14:textId="1088F5B7" w:rsidR="0050341E" w:rsidRPr="004E3ECA" w:rsidRDefault="0050341E" w:rsidP="0050341E">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Transport routier (comité spécialisé): 5</w:t>
            </w:r>
            <w:r>
              <w:rPr>
                <w:rFonts w:ascii="Times New Roman" w:hAnsi="Times New Roman"/>
                <w:noProof/>
                <w:sz w:val="24"/>
                <w:vertAlign w:val="superscript"/>
              </w:rPr>
              <w:t>e</w:t>
            </w:r>
            <w:r>
              <w:rPr>
                <w:rFonts w:ascii="Times New Roman" w:hAnsi="Times New Roman"/>
                <w:noProof/>
                <w:sz w:val="24"/>
              </w:rPr>
              <w:t xml:space="preserve"> réunion </w:t>
            </w:r>
          </w:p>
        </w:tc>
      </w:tr>
      <w:tr w:rsidR="008D7052" w:rsidRPr="00F006D0" w14:paraId="03ADF3D4" w14:textId="77777777" w:rsidTr="00BF7CBB">
        <w:tc>
          <w:tcPr>
            <w:tcW w:w="1661" w:type="dxa"/>
            <w:vAlign w:val="center"/>
          </w:tcPr>
          <w:p w14:paraId="03023307" w14:textId="62AC5FAB"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6 novembre</w:t>
            </w:r>
          </w:p>
        </w:tc>
        <w:tc>
          <w:tcPr>
            <w:tcW w:w="7442" w:type="dxa"/>
            <w:vAlign w:val="center"/>
          </w:tcPr>
          <w:p w14:paraId="066C4C0B" w14:textId="436FCE7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Marchandises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DB0117" w:rsidRPr="00F006D0" w14:paraId="27D0B194" w14:textId="77777777" w:rsidTr="00BF7CBB">
        <w:tc>
          <w:tcPr>
            <w:tcW w:w="1661" w:type="dxa"/>
            <w:vAlign w:val="center"/>
          </w:tcPr>
          <w:p w14:paraId="2C12FA8E" w14:textId="291BA340" w:rsidR="00DB0117" w:rsidRDefault="00DB0117"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7 novembre</w:t>
            </w:r>
          </w:p>
        </w:tc>
        <w:tc>
          <w:tcPr>
            <w:tcW w:w="7442" w:type="dxa"/>
            <w:vAlign w:val="center"/>
          </w:tcPr>
          <w:p w14:paraId="6F22DEF8" w14:textId="24528553" w:rsidR="00DB0117" w:rsidRPr="004E3ECA" w:rsidRDefault="00DB0117"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Énergie (comité spécialisé): 7</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3955CBC1" w14:textId="77777777" w:rsidTr="00BF7CBB">
        <w:tc>
          <w:tcPr>
            <w:tcW w:w="1661" w:type="dxa"/>
            <w:vAlign w:val="center"/>
          </w:tcPr>
          <w:p w14:paraId="7505E392" w14:textId="72A5778D"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12 novembre</w:t>
            </w:r>
          </w:p>
        </w:tc>
        <w:tc>
          <w:tcPr>
            <w:tcW w:w="7442" w:type="dxa"/>
            <w:vAlign w:val="center"/>
          </w:tcPr>
          <w:p w14:paraId="7DF84AAD" w14:textId="2B767D29"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Coopération réglementaire (comité spécialisé «Commerce»):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7A4B7683" w14:textId="77777777" w:rsidTr="00BF7CBB">
        <w:tc>
          <w:tcPr>
            <w:tcW w:w="1661" w:type="dxa"/>
            <w:vAlign w:val="center"/>
          </w:tcPr>
          <w:p w14:paraId="7577DF5A" w14:textId="5756D7B8" w:rsidR="008D7052" w:rsidRPr="00BE46DE" w:rsidRDefault="00BE46DE"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18-19 novembre</w:t>
            </w:r>
          </w:p>
        </w:tc>
        <w:tc>
          <w:tcPr>
            <w:tcW w:w="7442" w:type="dxa"/>
            <w:vAlign w:val="center"/>
          </w:tcPr>
          <w:p w14:paraId="12C06766" w14:textId="2D609A12" w:rsidR="008D7052" w:rsidRPr="00BE46DE"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Assemblée parlementaire de partenariat: 6</w:t>
            </w:r>
            <w:r>
              <w:rPr>
                <w:rFonts w:ascii="Times New Roman" w:hAnsi="Times New Roman"/>
                <w:noProof/>
                <w:sz w:val="24"/>
                <w:vertAlign w:val="superscript"/>
              </w:rPr>
              <w:t>e</w:t>
            </w:r>
            <w:r>
              <w:rPr>
                <w:rFonts w:ascii="Times New Roman" w:hAnsi="Times New Roman"/>
                <w:noProof/>
                <w:sz w:val="24"/>
              </w:rPr>
              <w:t> réunion</w:t>
            </w:r>
          </w:p>
        </w:tc>
      </w:tr>
      <w:tr w:rsidR="00153F3B" w:rsidRPr="00F006D0" w14:paraId="0E4A58C2" w14:textId="77777777" w:rsidTr="00BF7CBB">
        <w:tc>
          <w:tcPr>
            <w:tcW w:w="1661" w:type="dxa"/>
            <w:vAlign w:val="center"/>
          </w:tcPr>
          <w:p w14:paraId="6E5F0CF1" w14:textId="75D116AF" w:rsidR="00153F3B"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21 novembre</w:t>
            </w:r>
          </w:p>
        </w:tc>
        <w:tc>
          <w:tcPr>
            <w:tcW w:w="7442" w:type="dxa"/>
            <w:vAlign w:val="center"/>
          </w:tcPr>
          <w:p w14:paraId="4F807661" w14:textId="113061AD" w:rsidR="00153F3B" w:rsidRPr="004E3ECA"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Dialogue sur les régimes fiscaux dommageables: 2</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15E7374F" w14:textId="77777777" w:rsidTr="00BF7CBB">
        <w:tc>
          <w:tcPr>
            <w:tcW w:w="1661" w:type="dxa"/>
            <w:vAlign w:val="center"/>
          </w:tcPr>
          <w:p w14:paraId="2AF1248C" w14:textId="016166F4"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26 novembre</w:t>
            </w:r>
          </w:p>
        </w:tc>
        <w:tc>
          <w:tcPr>
            <w:tcW w:w="7442" w:type="dxa"/>
            <w:vAlign w:val="center"/>
          </w:tcPr>
          <w:p w14:paraId="0013E28F" w14:textId="62417D62"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Sécurité aérienne (comité spécialisé):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0420BB1D" w14:textId="77777777" w:rsidTr="00BF7CBB">
        <w:tc>
          <w:tcPr>
            <w:tcW w:w="1661" w:type="dxa"/>
            <w:vAlign w:val="center"/>
          </w:tcPr>
          <w:p w14:paraId="42F1AFA1" w14:textId="2CEC0C39"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w:t>
            </w:r>
            <w:r>
              <w:rPr>
                <w:rFonts w:ascii="Times New Roman" w:hAnsi="Times New Roman"/>
                <w:noProof/>
                <w:sz w:val="24"/>
                <w:vertAlign w:val="superscript"/>
              </w:rPr>
              <w:t>er</w:t>
            </w:r>
            <w:r>
              <w:rPr>
                <w:rFonts w:ascii="Times New Roman" w:hAnsi="Times New Roman"/>
                <w:noProof/>
                <w:sz w:val="24"/>
              </w:rPr>
              <w:t> décembre</w:t>
            </w:r>
          </w:p>
        </w:tc>
        <w:tc>
          <w:tcPr>
            <w:tcW w:w="7442" w:type="dxa"/>
            <w:vAlign w:val="center"/>
          </w:tcPr>
          <w:p w14:paraId="4CEB90D9" w14:textId="76B6F8A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Coordination de la sécurité sociale (comité spécialisé):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430CC0E3" w14:textId="77777777" w:rsidTr="00BF7CBB">
        <w:tc>
          <w:tcPr>
            <w:tcW w:w="1661" w:type="dxa"/>
            <w:vAlign w:val="center"/>
          </w:tcPr>
          <w:p w14:paraId="3D18A43F" w14:textId="37EF8E22" w:rsidR="008D7052" w:rsidRPr="004E3ECA" w:rsidRDefault="00206650"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décembre</w:t>
            </w:r>
          </w:p>
        </w:tc>
        <w:tc>
          <w:tcPr>
            <w:tcW w:w="7442" w:type="dxa"/>
            <w:vAlign w:val="center"/>
          </w:tcPr>
          <w:p w14:paraId="7561C699" w14:textId="5B508E1E"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Comité de partenariat commercial: 5</w:t>
            </w:r>
            <w:r>
              <w:rPr>
                <w:rFonts w:ascii="Times New Roman" w:hAnsi="Times New Roman"/>
                <w:noProof/>
                <w:sz w:val="24"/>
                <w:vertAlign w:val="superscript"/>
              </w:rPr>
              <w:t>e</w:t>
            </w:r>
            <w:r>
              <w:rPr>
                <w:rFonts w:ascii="Times New Roman" w:hAnsi="Times New Roman"/>
                <w:noProof/>
                <w:sz w:val="24"/>
              </w:rPr>
              <w:t xml:space="preserve"> réunion </w:t>
            </w:r>
          </w:p>
        </w:tc>
      </w:tr>
      <w:tr w:rsidR="008D7052" w:rsidRPr="00F006D0" w14:paraId="49552707" w14:textId="77777777" w:rsidTr="00BF7CBB">
        <w:tc>
          <w:tcPr>
            <w:tcW w:w="1661" w:type="dxa"/>
            <w:vAlign w:val="center"/>
          </w:tcPr>
          <w:p w14:paraId="1368C1DA" w14:textId="5B9563F1" w:rsidR="008D7052" w:rsidRPr="004E3ECA" w:rsidRDefault="0050341E"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décembre</w:t>
            </w:r>
          </w:p>
        </w:tc>
        <w:tc>
          <w:tcPr>
            <w:tcW w:w="7442" w:type="dxa"/>
            <w:vAlign w:val="center"/>
          </w:tcPr>
          <w:p w14:paraId="34E17BBF" w14:textId="62C70CC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Coopération des services répressifs et judiciaires (comité spécialisé): 5</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7032F7F9" w14:textId="77777777" w:rsidTr="00BF7CBB">
        <w:tc>
          <w:tcPr>
            <w:tcW w:w="1661" w:type="dxa"/>
            <w:vAlign w:val="center"/>
          </w:tcPr>
          <w:p w14:paraId="568E3695" w14:textId="756F568C" w:rsidR="008D7052" w:rsidRPr="004E3ECA" w:rsidRDefault="00153F3B" w:rsidP="00470A6D">
            <w:pPr>
              <w:spacing w:before="100" w:beforeAutospacing="1" w:after="100" w:afterAutospacing="1"/>
              <w:rPr>
                <w:rFonts w:ascii="Times New Roman" w:hAnsi="Times New Roman" w:cs="Times New Roman"/>
                <w:noProof/>
                <w:sz w:val="24"/>
                <w:szCs w:val="24"/>
              </w:rPr>
            </w:pPr>
            <w:bookmarkStart w:id="86" w:name="_Hlk215156625"/>
            <w:r>
              <w:rPr>
                <w:rFonts w:ascii="Times New Roman" w:hAnsi="Times New Roman"/>
                <w:noProof/>
                <w:sz w:val="24"/>
              </w:rPr>
              <w:t>9-10 décembre</w:t>
            </w:r>
          </w:p>
        </w:tc>
        <w:tc>
          <w:tcPr>
            <w:tcW w:w="7442" w:type="dxa"/>
            <w:vAlign w:val="center"/>
          </w:tcPr>
          <w:p w14:paraId="28D0E020" w14:textId="5484F9C2" w:rsidR="008D7052" w:rsidRPr="00153F3B"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Dialogue sur les questions liées au cyberespace – article 703 de l’ACC: 3</w:t>
            </w:r>
            <w:r>
              <w:rPr>
                <w:rFonts w:ascii="Times New Roman" w:hAnsi="Times New Roman"/>
                <w:noProof/>
                <w:sz w:val="24"/>
                <w:vertAlign w:val="superscript"/>
              </w:rPr>
              <w:t>e</w:t>
            </w:r>
            <w:r>
              <w:rPr>
                <w:rFonts w:ascii="Times New Roman" w:hAnsi="Times New Roman"/>
                <w:noProof/>
                <w:sz w:val="24"/>
              </w:rPr>
              <w:t> réunion</w:t>
            </w:r>
          </w:p>
        </w:tc>
      </w:tr>
      <w:tr w:rsidR="008D7052" w:rsidRPr="00F006D0" w14:paraId="344F8DE6" w14:textId="77777777" w:rsidTr="00BF7CBB">
        <w:tc>
          <w:tcPr>
            <w:tcW w:w="1661" w:type="dxa"/>
            <w:vAlign w:val="center"/>
          </w:tcPr>
          <w:p w14:paraId="0706EB29" w14:textId="52269998" w:rsidR="008D7052" w:rsidRPr="004E3ECA"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15 décembre</w:t>
            </w:r>
          </w:p>
        </w:tc>
        <w:tc>
          <w:tcPr>
            <w:tcW w:w="7442" w:type="dxa"/>
            <w:vAlign w:val="center"/>
          </w:tcPr>
          <w:p w14:paraId="2F78472E" w14:textId="7E5E53B4" w:rsidR="008D7052" w:rsidRPr="00153F3B"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Participation aux programmes de l’Union (comité spécialisé): 5</w:t>
            </w:r>
            <w:r>
              <w:rPr>
                <w:rFonts w:ascii="Times New Roman" w:hAnsi="Times New Roman"/>
                <w:noProof/>
                <w:sz w:val="24"/>
                <w:vertAlign w:val="superscript"/>
              </w:rPr>
              <w:t>e</w:t>
            </w:r>
            <w:r>
              <w:rPr>
                <w:rFonts w:ascii="Times New Roman" w:hAnsi="Times New Roman"/>
                <w:noProof/>
                <w:sz w:val="24"/>
              </w:rPr>
              <w:t> réunion</w:t>
            </w:r>
          </w:p>
        </w:tc>
      </w:tr>
    </w:tbl>
    <w:p w14:paraId="5105B79E" w14:textId="77777777" w:rsidR="00DF1978" w:rsidRDefault="00DF1978"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bookmarkStart w:id="87" w:name="_Toc185413400"/>
      <w:bookmarkStart w:id="88" w:name="_Toc204769336"/>
      <w:bookmarkEnd w:id="86"/>
    </w:p>
    <w:p w14:paraId="433041FF" w14:textId="77777777" w:rsidR="00DF1978" w:rsidRDefault="00DF1978" w:rsidP="00470A6D">
      <w:pPr>
        <w:spacing w:before="100" w:beforeAutospacing="1" w:after="100" w:afterAutospacing="1" w:line="240" w:lineRule="auto"/>
        <w:rPr>
          <w:rFonts w:ascii="Times New Roman" w:eastAsiaTheme="majorEastAsia" w:hAnsi="Times New Roman" w:cs="Times New Roman"/>
          <w:b/>
          <w:bCs/>
          <w:noProof/>
          <w:sz w:val="32"/>
          <w:szCs w:val="32"/>
        </w:rPr>
      </w:pPr>
      <w:r>
        <w:rPr>
          <w:noProof/>
        </w:rPr>
        <w:br w:type="page"/>
      </w:r>
    </w:p>
    <w:p w14:paraId="11EBED9A" w14:textId="0C6E6B82" w:rsidR="001A76E8" w:rsidRPr="00157ED4" w:rsidRDefault="7AFBC456" w:rsidP="00470A6D">
      <w:pPr>
        <w:pStyle w:val="Heading1"/>
        <w:keepNext w:val="0"/>
        <w:keepLines w:val="0"/>
        <w:spacing w:before="100" w:beforeAutospacing="1" w:after="100" w:afterAutospacing="1" w:line="240" w:lineRule="auto"/>
        <w:rPr>
          <w:rFonts w:ascii="Times New Roman" w:hAnsi="Times New Roman" w:cs="Times New Roman"/>
          <w:b/>
          <w:bCs/>
          <w:noProof/>
          <w:color w:val="auto"/>
          <w:sz w:val="31"/>
          <w:szCs w:val="31"/>
        </w:rPr>
      </w:pPr>
      <w:bookmarkStart w:id="89" w:name="_Toc226620208"/>
      <w:r>
        <w:rPr>
          <w:rFonts w:ascii="Times New Roman" w:hAnsi="Times New Roman"/>
          <w:b/>
          <w:noProof/>
          <w:color w:val="auto"/>
        </w:rPr>
        <w:t>Annexe 2:</w:t>
      </w:r>
      <w:r>
        <w:rPr>
          <w:rFonts w:ascii="Times New Roman" w:hAnsi="Times New Roman"/>
          <w:b/>
          <w:noProof/>
          <w:color w:val="auto"/>
          <w:sz w:val="31"/>
        </w:rPr>
        <w:t xml:space="preserve"> </w:t>
      </w:r>
      <w:r>
        <w:rPr>
          <w:rFonts w:ascii="Times New Roman" w:hAnsi="Times New Roman"/>
          <w:b/>
          <w:noProof/>
          <w:color w:val="auto"/>
        </w:rPr>
        <w:t>Décisions, recommandations et déclarations adoptées par le conseil de partenariat et les comités institués par l’ACC</w:t>
      </w:r>
      <w:bookmarkStart w:id="90" w:name="_Hlk187697968"/>
      <w:bookmarkEnd w:id="87"/>
      <w:bookmarkEnd w:id="88"/>
      <w:bookmarkEnd w:id="89"/>
    </w:p>
    <w:tbl>
      <w:tblPr>
        <w:tblStyle w:val="TableGrid"/>
        <w:tblW w:w="0" w:type="auto"/>
        <w:tblInd w:w="-34" w:type="dxa"/>
        <w:tblLook w:val="04A0" w:firstRow="1" w:lastRow="0" w:firstColumn="1" w:lastColumn="0" w:noHBand="0" w:noVBand="1"/>
      </w:tblPr>
      <w:tblGrid>
        <w:gridCol w:w="1560"/>
        <w:gridCol w:w="7716"/>
      </w:tblGrid>
      <w:tr w:rsidR="00F006D0" w:rsidRPr="00F006D0" w14:paraId="4D25622D" w14:textId="77777777" w:rsidTr="008C47FD">
        <w:tc>
          <w:tcPr>
            <w:tcW w:w="1560" w:type="dxa"/>
            <w:shd w:val="clear" w:color="auto" w:fill="D0CECE" w:themeFill="background2" w:themeFillShade="E6"/>
          </w:tcPr>
          <w:p w14:paraId="760E1FFE"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Date</w:t>
            </w:r>
          </w:p>
        </w:tc>
        <w:tc>
          <w:tcPr>
            <w:tcW w:w="7716" w:type="dxa"/>
            <w:shd w:val="clear" w:color="auto" w:fill="D0CECE" w:themeFill="background2" w:themeFillShade="E6"/>
          </w:tcPr>
          <w:p w14:paraId="16EE404C"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Décision ou recommandation</w:t>
            </w:r>
          </w:p>
        </w:tc>
      </w:tr>
      <w:tr w:rsidR="00F67C44" w:rsidRPr="00F006D0" w14:paraId="0A820F82" w14:textId="77777777" w:rsidTr="008C47FD">
        <w:tc>
          <w:tcPr>
            <w:tcW w:w="1560" w:type="dxa"/>
          </w:tcPr>
          <w:p w14:paraId="6F1F37D8" w14:textId="29078AFA" w:rsidR="00F67C44" w:rsidRDefault="00853323"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18 juin 2025</w:t>
            </w:r>
          </w:p>
        </w:tc>
        <w:tc>
          <w:tcPr>
            <w:tcW w:w="7716" w:type="dxa"/>
          </w:tcPr>
          <w:p w14:paraId="1BAE5866" w14:textId="2C9681D9" w:rsidR="00F67C44" w:rsidRPr="00F67C44" w:rsidRDefault="00F67C44"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Décision nº 1/2025 du conseil de partenariat portant interprétation de l’article 508, paragraphe 2, point d), de l’accord de commerce et de coopération</w:t>
            </w:r>
            <w:r>
              <w:rPr>
                <w:rStyle w:val="FootnoteReference"/>
                <w:rFonts w:ascii="Times New Roman" w:eastAsia="Times New Roman" w:hAnsi="Times New Roman" w:cs="Times New Roman"/>
                <w:noProof/>
                <w:sz w:val="24"/>
                <w:szCs w:val="24"/>
              </w:rPr>
              <w:footnoteReference w:id="59"/>
            </w:r>
          </w:p>
        </w:tc>
      </w:tr>
      <w:tr w:rsidR="00F006D0" w:rsidRPr="00F006D0" w14:paraId="79A78066" w14:textId="77777777" w:rsidTr="008C47FD">
        <w:tc>
          <w:tcPr>
            <w:tcW w:w="1560" w:type="dxa"/>
          </w:tcPr>
          <w:p w14:paraId="7496C444" w14:textId="0CF631AE" w:rsidR="00040652" w:rsidRPr="00F006D0" w:rsidRDefault="00F67C44"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juin 2025</w:t>
            </w:r>
          </w:p>
        </w:tc>
        <w:tc>
          <w:tcPr>
            <w:tcW w:w="7716" w:type="dxa"/>
          </w:tcPr>
          <w:p w14:paraId="56F46A86" w14:textId="109286CE" w:rsidR="00040652" w:rsidRPr="00F006D0" w:rsidRDefault="00F67C44" w:rsidP="00470A6D">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Décision nº 2/2025 du conseil de partenariat portant interprétation de l’article 331, paragraphe 2, et prorogeant l’application du titre VIII (Énergie) de la rubrique un de la deuxième partie de l’accord de commerce et de coopération</w:t>
            </w:r>
            <w:r>
              <w:rPr>
                <w:rStyle w:val="FootnoteReference"/>
                <w:rFonts w:ascii="Times New Roman" w:hAnsi="Times New Roman" w:cs="Times New Roman"/>
                <w:noProof/>
                <w:sz w:val="24"/>
                <w:szCs w:val="24"/>
              </w:rPr>
              <w:footnoteReference w:id="60"/>
            </w:r>
          </w:p>
        </w:tc>
      </w:tr>
      <w:tr w:rsidR="00764227" w:rsidRPr="00F006D0" w14:paraId="3B3180ED" w14:textId="77777777" w:rsidTr="008C47FD">
        <w:tc>
          <w:tcPr>
            <w:tcW w:w="1560" w:type="dxa"/>
          </w:tcPr>
          <w:p w14:paraId="29F5D493" w14:textId="061C8D01" w:rsidR="00764227" w:rsidRPr="00F006D0" w:rsidRDefault="00764227"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juin 2025</w:t>
            </w:r>
          </w:p>
        </w:tc>
        <w:tc>
          <w:tcPr>
            <w:tcW w:w="7716" w:type="dxa"/>
          </w:tcPr>
          <w:p w14:paraId="56E8C745" w14:textId="3ABE36F7" w:rsidR="00764227" w:rsidRPr="00F006D0" w:rsidRDefault="00764227"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Déclaration commune 1/2025 de l’Union et du Royaume-Uni au sein du conseil de partenariat institué par l’accord de commerce et de coopération</w:t>
            </w:r>
            <w:r>
              <w:rPr>
                <w:rStyle w:val="FootnoteReference"/>
                <w:rFonts w:ascii="Times New Roman" w:eastAsia="Times New Roman" w:hAnsi="Times New Roman" w:cs="Times New Roman"/>
                <w:noProof/>
                <w:sz w:val="24"/>
                <w:szCs w:val="24"/>
              </w:rPr>
              <w:footnoteReference w:id="61"/>
            </w:r>
          </w:p>
        </w:tc>
      </w:tr>
      <w:tr w:rsidR="00F006D0" w:rsidRPr="00F006D0" w14:paraId="0422E4B9" w14:textId="77777777" w:rsidTr="008C47FD">
        <w:tc>
          <w:tcPr>
            <w:tcW w:w="1560" w:type="dxa"/>
          </w:tcPr>
          <w:p w14:paraId="752BDC49" w14:textId="24BB8A4C" w:rsidR="00040652" w:rsidRPr="00F006D0" w:rsidRDefault="003071B8"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juin 2025</w:t>
            </w:r>
          </w:p>
        </w:tc>
        <w:tc>
          <w:tcPr>
            <w:tcW w:w="7716" w:type="dxa"/>
          </w:tcPr>
          <w:p w14:paraId="2EAED4B5" w14:textId="6B60E169" w:rsidR="00040652" w:rsidRPr="00F006D0" w:rsidRDefault="00A22C1C"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Décision nº 1/2025 du comité spécialisé de la pêche en ce qui concerne les dispositions relatives au niveau et aux conditions de l’accès accordé par chaque partie aux navires de l’autre partie pour pêcher dans ses eaux du 1</w:t>
            </w:r>
            <w:r>
              <w:rPr>
                <w:rFonts w:ascii="Times New Roman" w:hAnsi="Times New Roman"/>
                <w:noProof/>
                <w:sz w:val="24"/>
                <w:vertAlign w:val="superscript"/>
              </w:rPr>
              <w:t>er</w:t>
            </w:r>
            <w:r>
              <w:rPr>
                <w:rFonts w:ascii="Times New Roman" w:hAnsi="Times New Roman"/>
                <w:noProof/>
                <w:sz w:val="24"/>
              </w:rPr>
              <w:t> juillet 2026 au 30 juin 2038</w:t>
            </w:r>
            <w:r>
              <w:rPr>
                <w:rStyle w:val="FootnoteReference"/>
                <w:rFonts w:ascii="Times New Roman" w:eastAsia="Times New Roman" w:hAnsi="Times New Roman" w:cs="Times New Roman"/>
                <w:noProof/>
                <w:sz w:val="24"/>
                <w:szCs w:val="24"/>
              </w:rPr>
              <w:footnoteReference w:id="62"/>
            </w:r>
          </w:p>
        </w:tc>
      </w:tr>
      <w:tr w:rsidR="00F006D0" w:rsidRPr="00F006D0" w14:paraId="4E0A5D17" w14:textId="77777777" w:rsidTr="008C47FD">
        <w:tc>
          <w:tcPr>
            <w:tcW w:w="1560" w:type="dxa"/>
          </w:tcPr>
          <w:p w14:paraId="4277D2B8" w14:textId="0157DF29" w:rsidR="00C76B39" w:rsidRPr="007049DB" w:rsidRDefault="007049DB" w:rsidP="00470A6D">
            <w:pPr>
              <w:spacing w:before="100" w:beforeAutospacing="1" w:after="100" w:afterAutospacing="1"/>
              <w:rPr>
                <w:rFonts w:ascii="Times New Roman" w:eastAsia="Times New Roman" w:hAnsi="Times New Roman" w:cs="Times New Roman"/>
                <w:noProof/>
                <w:sz w:val="24"/>
                <w:szCs w:val="24"/>
                <w:highlight w:val="yellow"/>
              </w:rPr>
            </w:pPr>
            <w:r>
              <w:rPr>
                <w:rFonts w:ascii="Times New Roman" w:hAnsi="Times New Roman"/>
                <w:noProof/>
                <w:sz w:val="24"/>
              </w:rPr>
              <w:t>31 juillet 2025</w:t>
            </w:r>
          </w:p>
        </w:tc>
        <w:tc>
          <w:tcPr>
            <w:tcW w:w="7716" w:type="dxa"/>
          </w:tcPr>
          <w:p w14:paraId="09DBBDBB" w14:textId="031F2083" w:rsidR="00C76B39" w:rsidRPr="007049DB" w:rsidRDefault="00A75372" w:rsidP="00470A6D">
            <w:pPr>
              <w:spacing w:before="100" w:beforeAutospacing="1" w:after="100" w:afterAutospacing="1"/>
              <w:jc w:val="both"/>
              <w:rPr>
                <w:rFonts w:ascii="Times New Roman" w:eastAsia="Calibri" w:hAnsi="Times New Roman" w:cs="Times New Roman"/>
                <w:noProof/>
                <w:sz w:val="24"/>
                <w:szCs w:val="24"/>
              </w:rPr>
            </w:pPr>
            <w:r>
              <w:rPr>
                <w:rFonts w:ascii="Times New Roman" w:hAnsi="Times New Roman"/>
                <w:noProof/>
                <w:sz w:val="24"/>
              </w:rPr>
              <w:t>Décision nº 1/2025 du comité spécialisé Commerce chargé de la coopération administrative en matière de TVA et de recouvrement des créances relatives aux taxes, impôts et droits du 31 juillet 2025 modifiant la décision nº 4/2023 concernant les formulaires types pour la communication d’informations et de données statistiques, la transmission des données par l’intermédiaire du réseau commun de communication et les modalités pratiques relatives à l’organisation des contacts entre les bureaux centraux de liaison et les services de liaison</w:t>
            </w:r>
            <w:r>
              <w:rPr>
                <w:rStyle w:val="FootnoteReference"/>
                <w:rFonts w:ascii="Times New Roman" w:eastAsia="Calibri" w:hAnsi="Times New Roman" w:cs="Times New Roman"/>
                <w:noProof/>
                <w:sz w:val="24"/>
                <w:szCs w:val="24"/>
              </w:rPr>
              <w:footnoteReference w:id="63"/>
            </w:r>
          </w:p>
        </w:tc>
      </w:tr>
      <w:tr w:rsidR="008C47FD" w:rsidRPr="00F006D0" w14:paraId="1DB67225" w14:textId="77777777" w:rsidTr="008C47FD">
        <w:tc>
          <w:tcPr>
            <w:tcW w:w="1560" w:type="dxa"/>
          </w:tcPr>
          <w:p w14:paraId="673FC51C"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octobre 2025</w:t>
            </w:r>
          </w:p>
        </w:tc>
        <w:tc>
          <w:tcPr>
            <w:tcW w:w="7716" w:type="dxa"/>
          </w:tcPr>
          <w:p w14:paraId="1479BF8E"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1" w:name="_Hlk222926831"/>
            <w:r>
              <w:rPr>
                <w:rFonts w:ascii="Times New Roman" w:hAnsi="Times New Roman"/>
                <w:noProof/>
                <w:sz w:val="24"/>
              </w:rPr>
              <w:t>Décision nº 1/2025 du comité spécialisé chargé du transport routier concernant une liste des catégories, types et niveaux de gravité des infractions graves susceptibles d’aboutir à la perte de l’honorabilité pour un transporteur routier</w:t>
            </w:r>
            <w:r>
              <w:rPr>
                <w:rStyle w:val="FootnoteReference"/>
                <w:rFonts w:ascii="Times New Roman" w:eastAsia="Calibri" w:hAnsi="Times New Roman" w:cs="Times New Roman"/>
                <w:noProof/>
                <w:sz w:val="24"/>
                <w:szCs w:val="24"/>
              </w:rPr>
              <w:footnoteReference w:id="64"/>
            </w:r>
            <w:bookmarkEnd w:id="91"/>
          </w:p>
        </w:tc>
      </w:tr>
      <w:tr w:rsidR="008C47FD" w:rsidRPr="00F006D0" w14:paraId="1F4D8855" w14:textId="77777777" w:rsidTr="008C47FD">
        <w:tc>
          <w:tcPr>
            <w:tcW w:w="1560" w:type="dxa"/>
          </w:tcPr>
          <w:p w14:paraId="7B45BAD2"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octobre 2025</w:t>
            </w:r>
          </w:p>
        </w:tc>
        <w:tc>
          <w:tcPr>
            <w:tcW w:w="7716" w:type="dxa"/>
          </w:tcPr>
          <w:p w14:paraId="3D1D1222"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3" w:name="_Hlk222926868"/>
            <w:r>
              <w:rPr>
                <w:rFonts w:ascii="Times New Roman" w:hAnsi="Times New Roman"/>
                <w:noProof/>
                <w:sz w:val="24"/>
              </w:rPr>
              <w:t>Décision nº 2/2025 du comité spécialisé chargé du transport routier relative aux registres électroniques nationaux des entreprises de transport routier et aux modalités de l’échange des informations qui y figurent</w:t>
            </w:r>
            <w:r>
              <w:rPr>
                <w:rStyle w:val="FootnoteReference"/>
                <w:rFonts w:ascii="Times New Roman" w:eastAsia="Calibri" w:hAnsi="Times New Roman" w:cs="Times New Roman"/>
                <w:noProof/>
                <w:sz w:val="24"/>
                <w:szCs w:val="24"/>
              </w:rPr>
              <w:footnoteReference w:id="65"/>
            </w:r>
            <w:bookmarkEnd w:id="93"/>
          </w:p>
        </w:tc>
      </w:tr>
      <w:tr w:rsidR="008C47FD" w:rsidRPr="00F006D0" w14:paraId="3A64B17B" w14:textId="77777777" w:rsidTr="008C47FD">
        <w:tc>
          <w:tcPr>
            <w:tcW w:w="1560" w:type="dxa"/>
          </w:tcPr>
          <w:p w14:paraId="7C73E085"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octobre 2025</w:t>
            </w:r>
          </w:p>
        </w:tc>
        <w:tc>
          <w:tcPr>
            <w:tcW w:w="7716" w:type="dxa"/>
          </w:tcPr>
          <w:p w14:paraId="04793EA3"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r>
              <w:rPr>
                <w:rFonts w:ascii="Times New Roman" w:hAnsi="Times New Roman"/>
                <w:noProof/>
                <w:sz w:val="24"/>
              </w:rPr>
              <w:t>Décision nº 3/2025 du comité spécialisé chargé du transport routier relative au montant et aux modalités de la contribution financière du Royaume-Uni à certains systèmes d’information en matière de transport routier gérés par l’Union et modifiant la décision nº 1/2022 du comité spécialisé chargé du transport routier</w:t>
            </w:r>
            <w:r>
              <w:rPr>
                <w:rStyle w:val="FootnoteReference"/>
                <w:rFonts w:ascii="Times New Roman" w:eastAsia="Calibri" w:hAnsi="Times New Roman" w:cs="Times New Roman"/>
                <w:noProof/>
                <w:sz w:val="24"/>
                <w:szCs w:val="24"/>
              </w:rPr>
              <w:footnoteReference w:id="66"/>
            </w:r>
            <w:r>
              <w:rPr>
                <w:rFonts w:ascii="Times New Roman" w:hAnsi="Times New Roman"/>
                <w:noProof/>
                <w:sz w:val="24"/>
              </w:rPr>
              <w:t xml:space="preserve"> </w:t>
            </w:r>
          </w:p>
        </w:tc>
      </w:tr>
    </w:tbl>
    <w:p w14:paraId="02E118BD" w14:textId="655E33D7" w:rsidR="001B243A" w:rsidRDefault="001B243A"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r>
        <w:rPr>
          <w:noProof/>
        </w:rPr>
        <w:br w:type="page"/>
      </w:r>
      <w:bookmarkStart w:id="95" w:name="_Toc204769337"/>
      <w:bookmarkStart w:id="96" w:name="_Toc226620209"/>
      <w:r>
        <w:rPr>
          <w:rFonts w:ascii="Times New Roman" w:hAnsi="Times New Roman"/>
          <w:b/>
          <w:noProof/>
          <w:color w:val="auto"/>
        </w:rPr>
        <w:t>Annexe 3: Vue d’ensemble des actions de mise en œuvre liées à l’ACC convenues dans la convention d’entente</w:t>
      </w:r>
      <w:bookmarkEnd w:id="95"/>
      <w:bookmarkEnd w:id="96"/>
    </w:p>
    <w:tbl>
      <w:tblPr>
        <w:tblStyle w:val="TableGrid"/>
        <w:tblW w:w="0" w:type="auto"/>
        <w:tblInd w:w="-34" w:type="dxa"/>
        <w:tblLook w:val="04A0" w:firstRow="1" w:lastRow="0" w:firstColumn="1" w:lastColumn="0" w:noHBand="0" w:noVBand="1"/>
      </w:tblPr>
      <w:tblGrid>
        <w:gridCol w:w="2977"/>
        <w:gridCol w:w="6237"/>
      </w:tblGrid>
      <w:tr w:rsidR="001B243A" w:rsidRPr="00F006D0" w14:paraId="04742748" w14:textId="77777777">
        <w:tc>
          <w:tcPr>
            <w:tcW w:w="2977" w:type="dxa"/>
            <w:shd w:val="clear" w:color="auto" w:fill="D0CECE" w:themeFill="background2" w:themeFillShade="E6"/>
          </w:tcPr>
          <w:p w14:paraId="107EBAC4"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Action/domaine de coopération</w:t>
            </w:r>
          </w:p>
        </w:tc>
        <w:tc>
          <w:tcPr>
            <w:tcW w:w="6237" w:type="dxa"/>
            <w:shd w:val="clear" w:color="auto" w:fill="D0CECE" w:themeFill="background2" w:themeFillShade="E6"/>
          </w:tcPr>
          <w:p w14:paraId="68CFBC35"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État d’avancement</w:t>
            </w:r>
          </w:p>
        </w:tc>
      </w:tr>
      <w:tr w:rsidR="001B243A" w:rsidRPr="00F006D0" w14:paraId="0FA81AF2" w14:textId="77777777">
        <w:tc>
          <w:tcPr>
            <w:tcW w:w="2977" w:type="dxa"/>
          </w:tcPr>
          <w:p w14:paraId="7713A974"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Accès total réciproque aux eaux de pêche jusqu’au 30 juin 2038</w:t>
            </w:r>
          </w:p>
        </w:tc>
        <w:tc>
          <w:tcPr>
            <w:tcW w:w="6237" w:type="dxa"/>
          </w:tcPr>
          <w:p w14:paraId="4858BF1A" w14:textId="0EEE656F" w:rsidR="001B243A" w:rsidRPr="00F006D0" w:rsidRDefault="00B21CE1"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La décision nº 1/2025</w:t>
            </w:r>
            <w:r>
              <w:rPr>
                <w:rStyle w:val="FootnoteReference"/>
                <w:rFonts w:ascii="Times New Roman" w:hAnsi="Times New Roman" w:cs="Times New Roman"/>
                <w:noProof/>
                <w:sz w:val="24"/>
                <w:szCs w:val="24"/>
              </w:rPr>
              <w:footnoteReference w:id="67"/>
            </w:r>
            <w:r>
              <w:rPr>
                <w:rFonts w:ascii="Times New Roman" w:hAnsi="Times New Roman"/>
                <w:noProof/>
                <w:sz w:val="24"/>
              </w:rPr>
              <w:t xml:space="preserve"> du conseil de partenariat du 18 juin 2025 et la décision nº 1/2025</w:t>
            </w:r>
            <w:r>
              <w:rPr>
                <w:rStyle w:val="FootnoteReference"/>
                <w:rFonts w:ascii="Times New Roman" w:hAnsi="Times New Roman" w:cs="Times New Roman"/>
                <w:noProof/>
                <w:sz w:val="24"/>
                <w:szCs w:val="24"/>
              </w:rPr>
              <w:footnoteReference w:id="68"/>
            </w:r>
            <w:r>
              <w:rPr>
                <w:rFonts w:ascii="Times New Roman" w:hAnsi="Times New Roman"/>
                <w:noProof/>
                <w:sz w:val="24"/>
              </w:rPr>
              <w:t xml:space="preserve"> du comité spécialisé de la pêche du 1</w:t>
            </w:r>
            <w:r>
              <w:rPr>
                <w:rFonts w:ascii="Times New Roman" w:hAnsi="Times New Roman"/>
                <w:noProof/>
                <w:sz w:val="24"/>
                <w:vertAlign w:val="superscript"/>
              </w:rPr>
              <w:t>er</w:t>
            </w:r>
            <w:r>
              <w:rPr>
                <w:rFonts w:ascii="Times New Roman" w:hAnsi="Times New Roman"/>
                <w:noProof/>
                <w:sz w:val="24"/>
              </w:rPr>
              <w:t xml:space="preserve"> juillet 2025 prévoient un accès total et réciproque aux eaux au-delà du 30 juin 2026 et jusqu’au 30 juin 2038. </w:t>
            </w:r>
          </w:p>
        </w:tc>
      </w:tr>
      <w:tr w:rsidR="001B243A" w:rsidRPr="00F006D0" w14:paraId="6A333B27" w14:textId="77777777">
        <w:tc>
          <w:tcPr>
            <w:tcW w:w="2977" w:type="dxa"/>
          </w:tcPr>
          <w:p w14:paraId="3F1E68DE"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Prorogation de la coopération dans le domaine de l’énergie</w:t>
            </w:r>
          </w:p>
        </w:tc>
        <w:tc>
          <w:tcPr>
            <w:tcW w:w="6237" w:type="dxa"/>
          </w:tcPr>
          <w:p w14:paraId="0CA9D3E9" w14:textId="479A89D5" w:rsidR="001B243A" w:rsidRPr="00F006D0" w:rsidRDefault="00A10D75" w:rsidP="00470A6D">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La déclaration 1/2025</w:t>
            </w:r>
            <w:r>
              <w:rPr>
                <w:rStyle w:val="FootnoteReference"/>
                <w:rFonts w:ascii="Times New Roman" w:hAnsi="Times New Roman" w:cs="Times New Roman"/>
                <w:noProof/>
                <w:sz w:val="24"/>
                <w:szCs w:val="24"/>
              </w:rPr>
              <w:footnoteReference w:id="69"/>
            </w:r>
            <w:r>
              <w:rPr>
                <w:rFonts w:ascii="Times New Roman" w:hAnsi="Times New Roman"/>
                <w:noProof/>
                <w:sz w:val="24"/>
              </w:rPr>
              <w:t xml:space="preserve"> et la décision nº 2/2025</w:t>
            </w:r>
            <w:r>
              <w:rPr>
                <w:rStyle w:val="FootnoteReference"/>
                <w:rFonts w:ascii="Times New Roman" w:hAnsi="Times New Roman" w:cs="Times New Roman"/>
                <w:noProof/>
                <w:sz w:val="24"/>
                <w:szCs w:val="24"/>
              </w:rPr>
              <w:footnoteReference w:id="70"/>
            </w:r>
            <w:r>
              <w:rPr>
                <w:rFonts w:ascii="Times New Roman" w:hAnsi="Times New Roman"/>
                <w:noProof/>
                <w:sz w:val="24"/>
              </w:rPr>
              <w:t xml:space="preserve"> du conseil de partenariat du 19 juin 2025 prévoient la poursuite de l’application des dispositions de l’ACC relatives à l’énergie. La première prorogation s’appliquera jusqu’au 31 mars 2027, de nouvelles prorogations devant suivre sur une base annuelle.</w:t>
            </w:r>
          </w:p>
        </w:tc>
      </w:tr>
      <w:tr w:rsidR="001B243A" w:rsidRPr="00F006D0" w14:paraId="2D15223D" w14:textId="77777777">
        <w:tc>
          <w:tcPr>
            <w:tcW w:w="2977" w:type="dxa"/>
          </w:tcPr>
          <w:p w14:paraId="4A713922" w14:textId="1055ED4E"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Œuvrer à l’établissement de liens entre les systèmes d’échange de quotas d’émission des deux parties</w:t>
            </w:r>
          </w:p>
        </w:tc>
        <w:tc>
          <w:tcPr>
            <w:tcW w:w="6237" w:type="dxa"/>
          </w:tcPr>
          <w:p w14:paraId="74A9B1C1" w14:textId="3E7A026A" w:rsidR="001B243A" w:rsidRPr="00F006D0" w:rsidRDefault="00AC273F"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 xml:space="preserve">À la suite de l’adoption du mandat de négociation du Conseil le 17 novembre 2025, les négociations ont commencé. </w:t>
            </w:r>
          </w:p>
        </w:tc>
      </w:tr>
      <w:tr w:rsidR="00D13CD5" w:rsidRPr="009E033A" w14:paraId="1FB9D752" w14:textId="77777777">
        <w:tc>
          <w:tcPr>
            <w:tcW w:w="2977" w:type="dxa"/>
          </w:tcPr>
          <w:p w14:paraId="2F412437" w14:textId="56940615" w:rsidR="00D13CD5" w:rsidRPr="009E033A" w:rsidRDefault="00D13CD5"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Association du Royaume-Uni à Erasmus+</w:t>
            </w:r>
          </w:p>
        </w:tc>
        <w:tc>
          <w:tcPr>
            <w:tcW w:w="6237" w:type="dxa"/>
          </w:tcPr>
          <w:p w14:paraId="71172380" w14:textId="1FBE21A1" w:rsidR="00D13CD5" w:rsidRPr="00AC273F" w:rsidDel="00D13CD5" w:rsidRDefault="00BD2ED4"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Les négociations relatives à l’association du Royaume-Uni au 1</w:t>
            </w:r>
            <w:r>
              <w:rPr>
                <w:rFonts w:ascii="Times New Roman" w:hAnsi="Times New Roman"/>
                <w:noProof/>
                <w:sz w:val="24"/>
                <w:vertAlign w:val="superscript"/>
              </w:rPr>
              <w:t>er</w:t>
            </w:r>
            <w:r>
              <w:rPr>
                <w:rFonts w:ascii="Times New Roman" w:hAnsi="Times New Roman"/>
                <w:noProof/>
                <w:sz w:val="24"/>
              </w:rPr>
              <w:t> janvier 2027 ont été menées à bien par la Commission en décembre 2025.</w:t>
            </w:r>
          </w:p>
        </w:tc>
      </w:tr>
      <w:tr w:rsidR="001B243A" w:rsidRPr="009E033A" w14:paraId="4C978D9F" w14:textId="77777777">
        <w:tc>
          <w:tcPr>
            <w:tcW w:w="2977" w:type="dxa"/>
          </w:tcPr>
          <w:p w14:paraId="1ECF520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Améliorer la fourniture de services.</w:t>
            </w:r>
          </w:p>
        </w:tc>
        <w:tc>
          <w:tcPr>
            <w:tcW w:w="6237" w:type="dxa"/>
          </w:tcPr>
          <w:p w14:paraId="1289D405" w14:textId="77BD3254" w:rsidR="001B243A" w:rsidRPr="009E033A" w:rsidRDefault="00BE2C45" w:rsidP="00470A6D">
            <w:pPr>
              <w:spacing w:before="100" w:beforeAutospacing="1" w:after="100" w:afterAutospacing="1"/>
              <w:jc w:val="both"/>
              <w:rPr>
                <w:rFonts w:ascii="Times New Roman" w:eastAsia="Times New Roman" w:hAnsi="Times New Roman" w:cs="Times New Roman"/>
                <w:i/>
                <w:iCs/>
                <w:noProof/>
                <w:sz w:val="24"/>
                <w:szCs w:val="24"/>
              </w:rPr>
            </w:pPr>
            <w:r>
              <w:rPr>
                <w:rFonts w:ascii="Times New Roman" w:hAnsi="Times New Roman"/>
                <w:noProof/>
                <w:sz w:val="24"/>
              </w:rPr>
              <w:t>Dialogues spécifiques sur la mise en œuvre de l’ACC en ce qui concerne l’admission et le séjour temporaire de personnes physiques à des fins professionnelles, notamment le programme de parrainage, et la reconnaissance des qualifications professionnelles, faisant rapport aux organes mixtes de l’ACC</w:t>
            </w:r>
          </w:p>
        </w:tc>
      </w:tr>
      <w:tr w:rsidR="001B243A" w:rsidRPr="009E033A" w14:paraId="57FB8490" w14:textId="77777777">
        <w:tc>
          <w:tcPr>
            <w:tcW w:w="2977" w:type="dxa"/>
          </w:tcPr>
          <w:p w14:paraId="6D20E360"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Renforcer la coopération en matière de sécurité sanitaire</w:t>
            </w:r>
          </w:p>
        </w:tc>
        <w:tc>
          <w:tcPr>
            <w:tcW w:w="6237" w:type="dxa"/>
          </w:tcPr>
          <w:p w14:paraId="21BFD92E" w14:textId="60D4E466" w:rsidR="001B243A" w:rsidRPr="009E033A" w:rsidRDefault="00A94F20"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Les discussions exploratoires se poursuivent.</w:t>
            </w:r>
          </w:p>
        </w:tc>
      </w:tr>
      <w:tr w:rsidR="001B243A" w:rsidRPr="00F006D0" w14:paraId="3EF59CCD" w14:textId="77777777">
        <w:tc>
          <w:tcPr>
            <w:tcW w:w="2977" w:type="dxa"/>
          </w:tcPr>
          <w:p w14:paraId="671973C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Renforcer la coopération judiciaire en matière pénale et de répression</w:t>
            </w:r>
          </w:p>
        </w:tc>
        <w:tc>
          <w:tcPr>
            <w:tcW w:w="6237" w:type="dxa"/>
          </w:tcPr>
          <w:p w14:paraId="567AC572" w14:textId="63271916" w:rsidR="001B243A" w:rsidRPr="00F006D0" w:rsidRDefault="009E033A"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Les discussions exploratoires se poursuivent.</w:t>
            </w:r>
          </w:p>
        </w:tc>
      </w:tr>
      <w:tr w:rsidR="001B243A" w:rsidRPr="00F006D0" w14:paraId="0751E247" w14:textId="77777777">
        <w:tc>
          <w:tcPr>
            <w:tcW w:w="2977" w:type="dxa"/>
          </w:tcPr>
          <w:p w14:paraId="6F8D3E02"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 xml:space="preserve">Accord de coopération en matière de concurrence </w:t>
            </w:r>
          </w:p>
        </w:tc>
        <w:tc>
          <w:tcPr>
            <w:tcW w:w="6237" w:type="dxa"/>
          </w:tcPr>
          <w:p w14:paraId="1890D541" w14:textId="0FA6A9B4" w:rsidR="001B243A" w:rsidRPr="00F006D0" w:rsidRDefault="00C46761"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L’accord de coopération en matière de concurrence entre l’UE et le Royaume-Uni a été conclu en 2025 et signé en février 2026.</w:t>
            </w:r>
          </w:p>
        </w:tc>
      </w:tr>
      <w:bookmarkEnd w:id="90"/>
    </w:tbl>
    <w:p w14:paraId="49AD2CD4" w14:textId="23F3777C" w:rsidR="00040652" w:rsidRPr="001B243A" w:rsidRDefault="00040652" w:rsidP="00F44491">
      <w:pPr>
        <w:spacing w:before="100" w:beforeAutospacing="1" w:after="100" w:afterAutospacing="1" w:line="240" w:lineRule="auto"/>
        <w:rPr>
          <w:noProof/>
        </w:rPr>
      </w:pPr>
    </w:p>
    <w:sectPr w:rsidR="00040652" w:rsidRPr="001B243A" w:rsidSect="0065614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18"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1661E" w14:textId="77777777" w:rsidR="00CF526D" w:rsidRDefault="00CF526D" w:rsidP="003E5080">
      <w:pPr>
        <w:spacing w:after="0" w:line="240" w:lineRule="auto"/>
      </w:pPr>
      <w:r>
        <w:separator/>
      </w:r>
    </w:p>
  </w:endnote>
  <w:endnote w:type="continuationSeparator" w:id="0">
    <w:p w14:paraId="3BC4A96D" w14:textId="77777777" w:rsidR="00CF526D" w:rsidRDefault="00CF526D" w:rsidP="003E5080">
      <w:pPr>
        <w:spacing w:after="0" w:line="240" w:lineRule="auto"/>
      </w:pPr>
      <w:r>
        <w:continuationSeparator/>
      </w:r>
    </w:p>
  </w:endnote>
  <w:endnote w:type="continuationNotice" w:id="1">
    <w:p w14:paraId="7D6F6EE9" w14:textId="77777777" w:rsidR="00CF526D" w:rsidRDefault="00CF5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F354E" w14:textId="4429A2BD" w:rsidR="008546B6" w:rsidRPr="008546B6" w:rsidRDefault="008546B6" w:rsidP="008546B6">
    <w:pPr>
      <w:pStyle w:val="FooterCoverPage"/>
      <w:rPr>
        <w:rFonts w:ascii="Arial" w:hAnsi="Arial" w:cs="Arial"/>
        <w:b/>
        <w:sz w:val="48"/>
      </w:rPr>
    </w:pPr>
    <w:r w:rsidRPr="008546B6">
      <w:rPr>
        <w:rFonts w:ascii="Arial" w:hAnsi="Arial" w:cs="Arial"/>
        <w:b/>
        <w:sz w:val="48"/>
      </w:rPr>
      <w:t>FR</w:t>
    </w:r>
    <w:r w:rsidRPr="008546B6">
      <w:rPr>
        <w:rFonts w:ascii="Arial" w:hAnsi="Arial" w:cs="Arial"/>
        <w:b/>
        <w:sz w:val="48"/>
      </w:rPr>
      <w:tab/>
    </w:r>
    <w:r w:rsidRPr="008546B6">
      <w:rPr>
        <w:rFonts w:ascii="Arial" w:hAnsi="Arial" w:cs="Arial"/>
        <w:b/>
        <w:sz w:val="48"/>
      </w:rPr>
      <w:tab/>
    </w:r>
    <w:r w:rsidRPr="008546B6">
      <w:tab/>
    </w:r>
    <w:r w:rsidRPr="008546B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9C954" w14:textId="27EC1009" w:rsidR="008546B6" w:rsidRPr="008546B6" w:rsidRDefault="008546B6" w:rsidP="008546B6">
    <w:pPr>
      <w:pStyle w:val="FooterCoverPage"/>
      <w:rPr>
        <w:rFonts w:ascii="Arial" w:hAnsi="Arial" w:cs="Arial"/>
        <w:b/>
        <w:sz w:val="48"/>
      </w:rPr>
    </w:pPr>
    <w:r w:rsidRPr="008546B6">
      <w:rPr>
        <w:rFonts w:ascii="Arial" w:hAnsi="Arial" w:cs="Arial"/>
        <w:b/>
        <w:sz w:val="48"/>
      </w:rPr>
      <w:t>FR</w:t>
    </w:r>
    <w:r w:rsidRPr="008546B6">
      <w:rPr>
        <w:rFonts w:ascii="Arial" w:hAnsi="Arial" w:cs="Arial"/>
        <w:b/>
        <w:sz w:val="48"/>
      </w:rPr>
      <w:tab/>
    </w:r>
    <w:r w:rsidRPr="008546B6">
      <w:rPr>
        <w:rFonts w:ascii="Arial" w:hAnsi="Arial" w:cs="Arial"/>
        <w:b/>
        <w:sz w:val="48"/>
      </w:rPr>
      <w:tab/>
    </w:r>
    <w:r w:rsidRPr="008546B6">
      <w:tab/>
    </w:r>
    <w:r w:rsidRPr="008546B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2998C" w14:textId="77777777" w:rsidR="008546B6" w:rsidRPr="008546B6" w:rsidRDefault="008546B6" w:rsidP="008546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6874" w14:textId="77777777" w:rsidR="00656149" w:rsidRDefault="00656149" w:rsidP="00073840">
    <w:pPr>
      <w:pStyle w:val="Footer"/>
      <w:jc w:val="right"/>
    </w:pPr>
    <w:r>
      <w:fldChar w:fldCharType="begin"/>
    </w:r>
    <w:r>
      <w:instrText xml:space="preserve"> PAGE   \* MERGEFORMAT </w:instrText>
    </w:r>
    <w:r>
      <w:fldChar w:fldCharType="separate"/>
    </w:r>
    <w:r>
      <w:t>4</w:t>
    </w:r>
    <w:r>
      <w:fldChar w:fldCharType="end"/>
    </w:r>
  </w:p>
  <w:p w14:paraId="1EF51F8F" w14:textId="77777777" w:rsidR="00656149" w:rsidRDefault="00656149" w:rsidP="0007384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35974"/>
      <w:docPartObj>
        <w:docPartGallery w:val="Page Numbers (Bottom of Page)"/>
        <w:docPartUnique/>
      </w:docPartObj>
    </w:sdtPr>
    <w:sdtEndPr>
      <w:rPr>
        <w:rFonts w:ascii="Times New Roman" w:hAnsi="Times New Roman" w:cs="Times New Roman"/>
        <w:noProof/>
      </w:rPr>
    </w:sdtEndPr>
    <w:sdtContent>
      <w:p w14:paraId="3C94C359" w14:textId="14535B15" w:rsidR="00656149" w:rsidRPr="009A44EE" w:rsidRDefault="00656149" w:rsidP="00CB267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546B6">
          <w:rPr>
            <w:rFonts w:ascii="Times New Roman" w:hAnsi="Times New Roman" w:cs="Times New Roman"/>
            <w:noProof/>
          </w:rPr>
          <w:t>7</w:t>
        </w:r>
        <w:r>
          <w:rPr>
            <w:rFonts w:ascii="Times New Roman" w:hAnsi="Times New Roman" w:cs="Times New Roman"/>
          </w:rPr>
          <w:fldChar w:fldCharType="end"/>
        </w:r>
      </w:p>
    </w:sdtContent>
  </w:sdt>
  <w:p w14:paraId="32171423" w14:textId="77777777" w:rsidR="00656149" w:rsidRDefault="006561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86626"/>
      <w:docPartObj>
        <w:docPartGallery w:val="Page Numbers (Bottom of Page)"/>
        <w:docPartUnique/>
      </w:docPartObj>
    </w:sdtPr>
    <w:sdtEndPr>
      <w:rPr>
        <w:rFonts w:ascii="Times New Roman" w:hAnsi="Times New Roman" w:cs="Times New Roman"/>
        <w:noProof/>
      </w:rPr>
    </w:sdtEndPr>
    <w:sdtContent>
      <w:p w14:paraId="000216C7" w14:textId="528173B7" w:rsidR="00CB2675" w:rsidRPr="00764E6C" w:rsidRDefault="00CB267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546B6">
          <w:rPr>
            <w:rFonts w:ascii="Times New Roman" w:hAnsi="Times New Roman" w:cs="Times New Roman"/>
            <w:noProof/>
          </w:rPr>
          <w:t>1</w:t>
        </w:r>
        <w:r>
          <w:rPr>
            <w:rFonts w:ascii="Times New Roman" w:hAnsi="Times New Roman" w:cs="Times New Roman"/>
          </w:rPr>
          <w:fldChar w:fldCharType="end"/>
        </w:r>
      </w:p>
    </w:sdtContent>
  </w:sdt>
  <w:p w14:paraId="5D6CEF75" w14:textId="77777777" w:rsidR="00656149" w:rsidRDefault="00656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3812" w14:textId="77777777" w:rsidR="00CF526D" w:rsidRDefault="00CF526D" w:rsidP="003E5080">
      <w:pPr>
        <w:spacing w:after="0" w:line="240" w:lineRule="auto"/>
      </w:pPr>
      <w:r>
        <w:separator/>
      </w:r>
    </w:p>
  </w:footnote>
  <w:footnote w:type="continuationSeparator" w:id="0">
    <w:p w14:paraId="3B7146C3" w14:textId="77777777" w:rsidR="00CF526D" w:rsidRDefault="00CF526D" w:rsidP="003E5080">
      <w:pPr>
        <w:spacing w:after="0" w:line="240" w:lineRule="auto"/>
      </w:pPr>
      <w:r>
        <w:continuationSeparator/>
      </w:r>
    </w:p>
  </w:footnote>
  <w:footnote w:type="continuationNotice" w:id="1">
    <w:p w14:paraId="40011624" w14:textId="77777777" w:rsidR="00CF526D" w:rsidRDefault="00CF526D">
      <w:pPr>
        <w:spacing w:after="0" w:line="240" w:lineRule="auto"/>
      </w:pPr>
    </w:p>
  </w:footnote>
  <w:footnote w:id="2">
    <w:p w14:paraId="75957F4E" w14:textId="5AA7DB73" w:rsidR="00C976FE" w:rsidRPr="00054215" w:rsidRDefault="00C976FE" w:rsidP="00C976FE">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Sommet UE-Royaume-Uni 2025 – Déclaration commune </w:t>
      </w:r>
      <w:hyperlink r:id="rId1" w:history="1">
        <w:r>
          <w:rPr>
            <w:rStyle w:val="Hyperlink"/>
            <w:rFonts w:ascii="Times New Roman" w:hAnsi="Times New Roman"/>
          </w:rPr>
          <w:t>https://www.consilium.europa.eu/media/1edla1hi/eu-uk_joint-statement.pdf</w:t>
        </w:r>
      </w:hyperlink>
      <w:r>
        <w:rPr>
          <w:rFonts w:ascii="Times New Roman" w:hAnsi="Times New Roman"/>
        </w:rPr>
        <w:t>.</w:t>
      </w:r>
    </w:p>
  </w:footnote>
  <w:footnote w:id="3">
    <w:p w14:paraId="26CF5AB0" w14:textId="749AAC1B" w:rsidR="00DF6F61" w:rsidRPr="00846AF8" w:rsidRDefault="00DF6F6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sur le retrait du Royaume-Uni de Grande-Bretagne et d’Irlande du Nord de l’Union européenne et de la Communauté européenne de l’énergie atomique 2019/C 384 I/01 </w:t>
      </w:r>
      <w:hyperlink r:id="rId2" w:history="1">
        <w:r>
          <w:rPr>
            <w:rStyle w:val="Hyperlink"/>
            <w:rFonts w:ascii="Times New Roman" w:hAnsi="Times New Roman"/>
          </w:rPr>
          <w:t>https://eur-lex.europa.eu/legal-content/FR/TXT/?uri=CELEX%3A12019W/TXT%2802%29</w:t>
        </w:r>
      </w:hyperlink>
      <w:r>
        <w:rPr>
          <w:rFonts w:ascii="Times New Roman" w:hAnsi="Times New Roman"/>
        </w:rPr>
        <w:t>.</w:t>
      </w:r>
    </w:p>
  </w:footnote>
  <w:footnote w:id="4">
    <w:p w14:paraId="58D490EB" w14:textId="77777777" w:rsidR="00846AF8" w:rsidRPr="00846AF8" w:rsidRDefault="00846AF8" w:rsidP="00846AF8">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Déclaration politique de Windsor de la Commission européenne et du gouvernement du Royaume-Uni</w:t>
      </w:r>
    </w:p>
    <w:p w14:paraId="511EC776" w14:textId="6CC98623" w:rsidR="00846AF8" w:rsidRPr="00846AF8" w:rsidRDefault="00846AF8">
      <w:pPr>
        <w:pStyle w:val="FootnoteText"/>
        <w:rPr>
          <w:rFonts w:ascii="Times New Roman" w:hAnsi="Times New Roman" w:cs="Times New Roman"/>
        </w:rPr>
      </w:pPr>
      <w:r>
        <w:rPr>
          <w:rFonts w:ascii="Times New Roman" w:hAnsi="Times New Roman"/>
        </w:rPr>
        <w:t xml:space="preserve"> </w:t>
      </w:r>
      <w:hyperlink r:id="rId3" w:history="1">
        <w:r>
          <w:rPr>
            <w:rStyle w:val="Hyperlink"/>
            <w:rFonts w:ascii="Times New Roman" w:hAnsi="Times New Roman"/>
          </w:rPr>
          <w:t>https://commission.europa.eu/publications/windsor-political-declaration-european-commission-and-government-united-kingdom_en</w:t>
        </w:r>
      </w:hyperlink>
      <w:r>
        <w:rPr>
          <w:rFonts w:ascii="Times New Roman" w:hAnsi="Times New Roman"/>
        </w:rPr>
        <w:t>.</w:t>
      </w:r>
    </w:p>
  </w:footnote>
  <w:footnote w:id="5">
    <w:p w14:paraId="5B7F9EA1" w14:textId="0A2BD026" w:rsidR="00846AF8" w:rsidRPr="00846AF8" w:rsidRDefault="00846AF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de commerce et de coopération entre l’Union européenne et la Communauté européenne de l’énergie atomique, d’une part, et le Royaume-Uni de Grande-Bretagne et d’Irlande du Nord, d’autre part </w:t>
      </w:r>
      <w:hyperlink r:id="rId4" w:history="1">
        <w:r>
          <w:rPr>
            <w:rStyle w:val="Hyperlink"/>
            <w:rFonts w:ascii="Times New Roman" w:hAnsi="Times New Roman"/>
          </w:rPr>
          <w:t>https://eur-lex.europa.eu/eli/agree_internation/2021/689(1)/oj/fra</w:t>
        </w:r>
      </w:hyperlink>
      <w:r>
        <w:rPr>
          <w:rFonts w:ascii="Times New Roman" w:hAnsi="Times New Roman"/>
        </w:rPr>
        <w:t>.</w:t>
      </w:r>
    </w:p>
  </w:footnote>
  <w:footnote w:id="6">
    <w:p w14:paraId="54C2A237" w14:textId="77777777" w:rsidR="001017A9" w:rsidRPr="00F52880" w:rsidRDefault="001017A9" w:rsidP="001017A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Convention d’entente sur un programme renouvelé de coopération entre l’Union européenne et le Royaume-Uni</w:t>
      </w:r>
    </w:p>
    <w:p w14:paraId="49D5FB56" w14:textId="4DDCF6C7" w:rsidR="001017A9" w:rsidRPr="00F52880" w:rsidRDefault="001017A9" w:rsidP="001017A9">
      <w:pPr>
        <w:pStyle w:val="FootnoteText"/>
        <w:jc w:val="both"/>
        <w:rPr>
          <w:rFonts w:ascii="Times New Roman" w:hAnsi="Times New Roman" w:cs="Times New Roman"/>
        </w:rPr>
      </w:pPr>
      <w:r>
        <w:rPr>
          <w:rFonts w:ascii="Times New Roman" w:hAnsi="Times New Roman"/>
        </w:rPr>
        <w:t xml:space="preserve"> </w:t>
      </w:r>
      <w:hyperlink r:id="rId5" w:history="1">
        <w:r>
          <w:rPr>
            <w:rStyle w:val="Hyperlink"/>
            <w:rFonts w:ascii="Times New Roman" w:hAnsi="Times New Roman"/>
          </w:rPr>
          <w:t>https://ec.europa.eu/commission/presscorner/detail/en/statement_25_1267</w:t>
        </w:r>
      </w:hyperlink>
      <w:r>
        <w:rPr>
          <w:rFonts w:ascii="Times New Roman" w:hAnsi="Times New Roman"/>
        </w:rPr>
        <w:t>.</w:t>
      </w:r>
    </w:p>
  </w:footnote>
  <w:footnote w:id="7">
    <w:p w14:paraId="63124ED5" w14:textId="30F41A3E" w:rsidR="00FA7FF2" w:rsidRPr="00FD3F1B" w:rsidRDefault="00FA7FF2" w:rsidP="00FA7FF2">
      <w:pPr>
        <w:pStyle w:val="FootnoteText"/>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https://ec.europa.eu/commission/presscorner/detail/en/statement_25_3103</w:t>
        </w:r>
      </w:hyperlink>
      <w:r>
        <w:rPr>
          <w:rFonts w:ascii="Times New Roman" w:hAnsi="Times New Roman"/>
        </w:rPr>
        <w:t>.</w:t>
      </w:r>
    </w:p>
  </w:footnote>
  <w:footnote w:id="8">
    <w:p w14:paraId="4988E30B" w14:textId="77777777" w:rsidR="00E31ED7" w:rsidRPr="004F21B5" w:rsidRDefault="00E31ED7" w:rsidP="004F21B5">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(UE) 2021/689 du Conseil du 29 avril 2021 relative à la conclusion, au nom de l’Union, de l’accord de commerce et de coopération entre l’Union européenne et la Communauté européenne de l’énergie atomique, d’une part, et le Royaume-Uni de Grande-Bretagne et d’Irlande du Nord, d’autre part, et de l’accord entre l’Union européenne et le Royaume-Uni de Grande-Bretagne et d’Irlande du Nord relatif aux procédures de sécurité pour l’échange d’informations classifiées et leur protection, JO L 149 du 30.4.2021, p. 2: </w:t>
      </w:r>
      <w:r>
        <w:rPr>
          <w:rFonts w:ascii="Times New Roman" w:hAnsi="Times New Roman"/>
          <w:color w:val="0563C1" w:themeColor="hyperlink"/>
          <w:u w:val="single"/>
        </w:rPr>
        <w:t xml:space="preserve">ELI: </w:t>
      </w:r>
      <w:hyperlink r:id="rId7" w:history="1">
        <w:r>
          <w:rPr>
            <w:rStyle w:val="Hyperlink"/>
            <w:rFonts w:ascii="Times New Roman" w:hAnsi="Times New Roman"/>
          </w:rPr>
          <w:t>http://data.europa.eu/eli/dec/2021/689/oj</w:t>
        </w:r>
      </w:hyperlink>
      <w:r>
        <w:rPr>
          <w:rFonts w:ascii="Times New Roman" w:hAnsi="Times New Roman"/>
        </w:rPr>
        <w:t>.</w:t>
      </w:r>
    </w:p>
  </w:footnote>
  <w:footnote w:id="9">
    <w:p w14:paraId="3F9ED5BF" w14:textId="143DC43E" w:rsidR="001B6AD6" w:rsidRPr="00095FFB" w:rsidRDefault="001B6AD6" w:rsidP="001B6AD6">
      <w:pPr>
        <w:pStyle w:val="FootnoteText"/>
      </w:pPr>
      <w:r>
        <w:rPr>
          <w:rStyle w:val="FootnoteReference"/>
          <w:rFonts w:ascii="Times New Roman" w:hAnsi="Times New Roman" w:cs="Times New Roman"/>
        </w:rPr>
        <w:footnoteRef/>
      </w:r>
      <w:r>
        <w:rPr>
          <w:rFonts w:ascii="Times New Roman" w:hAnsi="Times New Roman"/>
        </w:rPr>
        <w:t xml:space="preserve"> Des groupes de travail sur: les produits biologiques, les véhicules à moteur et les pièces détachées, les médicaments et la coordination de la sécurité sociale.</w:t>
      </w:r>
    </w:p>
  </w:footnote>
  <w:footnote w:id="10">
    <w:p w14:paraId="4591E44A" w14:textId="433CF58B" w:rsidR="00095FFB" w:rsidRPr="00095FFB" w:rsidRDefault="003D6027" w:rsidP="00095FF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Cinquième Assemblée parlementaire de partenariat UE-Royaume-Uni, 17-18 mars 2025, Bruxelles.</w:t>
      </w:r>
    </w:p>
    <w:p w14:paraId="1F1CC57F" w14:textId="14A4AA2B" w:rsidR="003D6027" w:rsidRPr="00270FCE" w:rsidRDefault="008546B6" w:rsidP="004F21B5">
      <w:pPr>
        <w:pStyle w:val="FootnoteText"/>
        <w:rPr>
          <w:rFonts w:ascii="Times New Roman" w:hAnsi="Times New Roman" w:cs="Times New Roman"/>
        </w:rPr>
      </w:pPr>
      <w:hyperlink r:id="rId8" w:history="1">
        <w:r w:rsidR="003D6027">
          <w:rPr>
            <w:rStyle w:val="Hyperlink"/>
            <w:rFonts w:ascii="Times New Roman" w:hAnsi="Times New Roman"/>
          </w:rPr>
          <w:t>https://www.europarl.europa.eu/delegations/en/5th-eu-uk-parliamentary-partnership-asse/product-details/20250224DPU39839</w:t>
        </w:r>
      </w:hyperlink>
      <w:r w:rsidR="003D6027">
        <w:rPr>
          <w:rFonts w:ascii="Times New Roman" w:hAnsi="Times New Roman"/>
        </w:rPr>
        <w:t>.</w:t>
      </w:r>
    </w:p>
  </w:footnote>
  <w:footnote w:id="11">
    <w:p w14:paraId="50C6C1DB" w14:textId="0C20F0D7" w:rsidR="00A60811" w:rsidRPr="00270FCE" w:rsidRDefault="00A60811">
      <w:pPr>
        <w:pStyle w:val="FootnoteText"/>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https://www.europarl.europa.eu/delegations/en/d-uk/activities/inter-parliamentary</w:t>
        </w:r>
      </w:hyperlink>
      <w:r>
        <w:t>.</w:t>
      </w:r>
    </w:p>
  </w:footnote>
  <w:footnote w:id="12">
    <w:p w14:paraId="7E3C3949" w14:textId="66C42AF1" w:rsidR="00A60811" w:rsidRPr="00270FCE" w:rsidRDefault="00A60811" w:rsidP="00A6081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relative au renforcement du partenariat entre l’UE et le Royaume-Uni. </w:t>
      </w:r>
      <w:hyperlink r:id="rId10" w:history="1">
        <w:r>
          <w:rPr>
            <w:rStyle w:val="Hyperlink"/>
            <w:rFonts w:ascii="Times New Roman" w:hAnsi="Times New Roman"/>
          </w:rPr>
          <w:t>https://www.europarl.europa.eu/cmsdata/293904/5th%20PPA%20Recommendation%2017.03.25.pdf</w:t>
        </w:r>
      </w:hyperlink>
      <w:r>
        <w:rPr>
          <w:rFonts w:ascii="Times New Roman" w:hAnsi="Times New Roman"/>
        </w:rPr>
        <w:t>.</w:t>
      </w:r>
    </w:p>
  </w:footnote>
  <w:footnote w:id="13">
    <w:p w14:paraId="17A8A0B6" w14:textId="0EB03A4B" w:rsidR="00A60811" w:rsidRPr="00270FCE" w:rsidRDefault="00A6081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https://www.europarl.europa.eu/cmsdata/300310/6th%20PPA%20-%20Recommendation%20on%20trade,%20security%20and%20global%20challenges.pdf</w:t>
        </w:r>
      </w:hyperlink>
      <w:r>
        <w:rPr>
          <w:rFonts w:ascii="Times New Roman" w:hAnsi="Times New Roman"/>
        </w:rPr>
        <w:t>.</w:t>
      </w:r>
    </w:p>
  </w:footnote>
  <w:footnote w:id="14">
    <w:p w14:paraId="6BFDC906" w14:textId="19B90173" w:rsidR="00095FFB" w:rsidRPr="00270FCE" w:rsidRDefault="00865BFD" w:rsidP="00095FFB">
      <w:pPr>
        <w:pStyle w:val="FootnoteText"/>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Le groupe consultatif interne de l’UE au titre de l’accord de commerce et de coopération conclu entre l’Union européenne et le Royaume-Uni,</w:t>
      </w:r>
    </w:p>
    <w:p w14:paraId="12087600" w14:textId="1784F6E3" w:rsidR="00865BFD" w:rsidRPr="004F21B5" w:rsidRDefault="008546B6" w:rsidP="004F21B5">
      <w:pPr>
        <w:pStyle w:val="FootnoteText"/>
        <w:rPr>
          <w:rFonts w:ascii="Times New Roman" w:hAnsi="Times New Roman" w:cs="Times New Roman"/>
        </w:rPr>
      </w:pPr>
      <w:hyperlink r:id="rId12" w:history="1">
        <w:r w:rsidR="00865BFD">
          <w:rPr>
            <w:rStyle w:val="Hyperlink"/>
            <w:rFonts w:ascii="Times New Roman" w:hAnsi="Times New Roman"/>
          </w:rPr>
          <w:t>https://www.eesc.europa.eu/fr/sections-other-bodies/other/le-groupe-consultatif-interne-de-lue-au-titre-de-laccord-de-commerce-et-de-cooperation-conclu-entre-lunion-europeenne-et</w:t>
        </w:r>
      </w:hyperlink>
      <w:r w:rsidR="00865BFD">
        <w:t>.</w:t>
      </w:r>
    </w:p>
  </w:footnote>
  <w:footnote w:id="15">
    <w:p w14:paraId="54D2A8F8" w14:textId="6300284C" w:rsidR="00D72AC6" w:rsidRPr="004F21B5" w:rsidRDefault="00D72AC6"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commune, </w:t>
      </w:r>
      <w:hyperlink r:id="rId13" w:history="1">
        <w:r>
          <w:rPr>
            <w:rStyle w:val="Hyperlink"/>
            <w:rFonts w:ascii="Times New Roman" w:hAnsi="Times New Roman"/>
          </w:rPr>
          <w:t>https://www.eesc.europa.eu/sites/default/files/2025-06/eu-uk_dags_joint_statement_2025.pdf</w:t>
        </w:r>
      </w:hyperlink>
      <w:r>
        <w:rPr>
          <w:rFonts w:ascii="Times New Roman" w:hAnsi="Times New Roman"/>
        </w:rPr>
        <w:t>.</w:t>
      </w:r>
    </w:p>
  </w:footnote>
  <w:footnote w:id="16">
    <w:p w14:paraId="25C08730" w14:textId="5FFDB2FC" w:rsidR="00D72AC6" w:rsidRPr="007359FB" w:rsidRDefault="00D72AC6"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Quatrième forum de la société civile sur l’accord de commerce et de coopération UE-Royaume-Uni </w:t>
      </w:r>
      <w:hyperlink r:id="rId14" w:history="1">
        <w:r>
          <w:rPr>
            <w:rStyle w:val="Hyperlink"/>
            <w:rFonts w:ascii="Times New Roman" w:hAnsi="Times New Roman"/>
          </w:rPr>
          <w:t>https://policy.trade.ec.europa.eu/events/fourth-eu-uk-trade-and-cooperation-agreement-civil-society-forum-2025-06-24_en</w:t>
        </w:r>
      </w:hyperlink>
      <w:r>
        <w:rPr>
          <w:rFonts w:ascii="Times New Roman" w:hAnsi="Times New Roman"/>
        </w:rPr>
        <w:t>.</w:t>
      </w:r>
    </w:p>
  </w:footnote>
  <w:footnote w:id="17">
    <w:p w14:paraId="515663C2" w14:textId="77777777" w:rsidR="007971BC" w:rsidRPr="007971BC" w:rsidRDefault="007971BC" w:rsidP="007971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Quatrième réunion du conseil de partenariat</w:t>
      </w:r>
    </w:p>
    <w:p w14:paraId="7A3DDA9F" w14:textId="77777777" w:rsidR="007971BC" w:rsidRPr="00356557" w:rsidRDefault="008546B6" w:rsidP="007971BC">
      <w:pPr>
        <w:pStyle w:val="FootnoteText"/>
        <w:rPr>
          <w:rFonts w:ascii="Times New Roman" w:hAnsi="Times New Roman" w:cs="Times New Roman"/>
          <w:lang w:val="en-IE"/>
        </w:rPr>
      </w:pPr>
      <w:hyperlink r:id="rId15" w:history="1">
        <w:r w:rsidR="007971BC" w:rsidRPr="00356557">
          <w:rPr>
            <w:rStyle w:val="Hyperlink"/>
            <w:rFonts w:ascii="Times New Roman" w:hAnsi="Times New Roman"/>
            <w:lang w:val="en-IE"/>
          </w:rPr>
          <w:t>Fourth meeting of the Partnership Council – European Commission</w:t>
        </w:r>
      </w:hyperlink>
      <w:r w:rsidR="007971BC" w:rsidRPr="00356557">
        <w:rPr>
          <w:lang w:val="en-IE"/>
        </w:rPr>
        <w:t>.</w:t>
      </w:r>
    </w:p>
  </w:footnote>
  <w:footnote w:id="18">
    <w:p w14:paraId="616FD0A9" w14:textId="77777777" w:rsidR="007359FB" w:rsidRPr="007359FB" w:rsidRDefault="00862667" w:rsidP="007359F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de commerce et de coopération entre l’UE et le Royaume-Uni – questionnaire du point central de recours,</w:t>
      </w:r>
    </w:p>
    <w:p w14:paraId="728CFCDE" w14:textId="37739E16" w:rsidR="007359FB" w:rsidRPr="007359FB" w:rsidRDefault="008546B6" w:rsidP="007359FB">
      <w:pPr>
        <w:pStyle w:val="FootnoteText"/>
        <w:jc w:val="both"/>
        <w:rPr>
          <w:rFonts w:ascii="Times New Roman" w:hAnsi="Times New Roman" w:cs="Times New Roman"/>
        </w:rPr>
      </w:pPr>
      <w:hyperlink r:id="rId16" w:history="1">
        <w:r w:rsidR="00862667">
          <w:rPr>
            <w:rStyle w:val="Hyperlink"/>
            <w:rFonts w:ascii="Times New Roman" w:hAnsi="Times New Roman"/>
          </w:rPr>
          <w:t>https://ec.europa.eu/assets/sg/complaint_eu_uk_tca/complaints_fr/index.html</w:t>
        </w:r>
      </w:hyperlink>
      <w:r w:rsidR="00862667">
        <w:t>,</w:t>
      </w:r>
      <w:r w:rsidR="00862667">
        <w:rPr>
          <w:rFonts w:ascii="Times New Roman" w:hAnsi="Times New Roman"/>
        </w:rPr>
        <w:t xml:space="preserve"> et guichet unique.</w:t>
      </w:r>
    </w:p>
    <w:p w14:paraId="24596BD5" w14:textId="5B389C2D" w:rsidR="00862667" w:rsidRPr="006A1351" w:rsidRDefault="007359FB" w:rsidP="004F21B5">
      <w:pPr>
        <w:pStyle w:val="FootnoteText"/>
        <w:jc w:val="both"/>
        <w:rPr>
          <w:rFonts w:ascii="Times New Roman" w:hAnsi="Times New Roman" w:cs="Times New Roman"/>
        </w:rPr>
      </w:pPr>
      <w:r>
        <w:t xml:space="preserve"> </w:t>
      </w:r>
      <w:hyperlink r:id="rId17" w:history="1">
        <w:r>
          <w:rPr>
            <w:rStyle w:val="Hyperlink"/>
            <w:rFonts w:ascii="Times New Roman" w:hAnsi="Times New Roman"/>
          </w:rPr>
          <w:t>https://trade.ec.europa.eu/access-to-markets/en/content/single-entry-point-0</w:t>
        </w:r>
      </w:hyperlink>
      <w:r>
        <w:t>.</w:t>
      </w:r>
    </w:p>
  </w:footnote>
  <w:footnote w:id="19">
    <w:p w14:paraId="76B76CE4" w14:textId="1F5FD2BE" w:rsidR="00BA4E5E" w:rsidRPr="00DE0E87" w:rsidRDefault="00BA4E5E" w:rsidP="00DE0E8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Une plainte dénonçait l’application incorrecte de l’ACC dans la décision prise par l’autorité d’un État membre de communiquer d’anciens casiers judiciaires avec le Royaume-Uni au titre de l’article 649, paragraphe 2. Les services de la Commission ont vérifié la question et ont informé le plaignant que c’est la législation de l’État membre qui détermine la durée pendant laquelle les informations relatives à d’anciennes condamnations doivent être transmises, ainsi que la portée de ces informations. La deuxième plainte concernait le «Contracts for Difference Scheme for Renewable Electricity Generation – Allocation Round 7» du Royaume-Uni. À la date du présent rapport, la Commission n’avait pas terminé l’examen de cette plainte.</w:t>
      </w:r>
    </w:p>
  </w:footnote>
  <w:footnote w:id="20">
    <w:p w14:paraId="2065D78E" w14:textId="323769C3" w:rsidR="006A1351" w:rsidRPr="006A1351" w:rsidRDefault="006A1351">
      <w:pPr>
        <w:pStyle w:val="FootnoteText"/>
      </w:pPr>
      <w:r>
        <w:rPr>
          <w:rStyle w:val="FootnoteReference"/>
          <w:rFonts w:ascii="Times New Roman" w:hAnsi="Times New Roman" w:cs="Times New Roman"/>
        </w:rPr>
        <w:footnoteRef/>
      </w:r>
      <w:r>
        <w:rPr>
          <w:rFonts w:ascii="Times New Roman" w:hAnsi="Times New Roman"/>
        </w:rPr>
        <w:t xml:space="preserve"> Affaire CPA nº 2024-45 </w:t>
      </w:r>
      <w:hyperlink r:id="rId18" w:history="1">
        <w:r>
          <w:rPr>
            <w:rStyle w:val="Hyperlink"/>
            <w:rFonts w:ascii="Times New Roman" w:hAnsi="Times New Roman"/>
          </w:rPr>
          <w:t>https://pcacases.com/web/sendAttach/70467</w:t>
        </w:r>
      </w:hyperlink>
      <w:r>
        <w:rPr>
          <w:rFonts w:ascii="Times New Roman" w:hAnsi="Times New Roman"/>
        </w:rPr>
        <w:t>.</w:t>
      </w:r>
    </w:p>
  </w:footnote>
  <w:footnote w:id="21">
    <w:p w14:paraId="0BBDDB8E" w14:textId="07AA9DE8" w:rsidR="007E3B5A" w:rsidRPr="00C53FC6" w:rsidRDefault="007E3B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décision du Conseil relative à la position à prendre, au nom de l’Union européenne, au sein du comité spécialisé «Commerce» chargé des conditions équitables pour une concurrence ouverte et loyale et un développement durable institué par l’accord de commerce et de coopération entre l’Union européenne et la Communauté européenne de l’énergie atomique, d’une part, et le Royaume-Uni de Grande-Bretagne et d’Irlande du Nord, d’autre part, en ce qui concerne l’adoption d’une décision établissant une liste de personnes disposées et aptes à faire partie d’un groupe d’experts établi en vertu de l’article 409 de l’accord de commerce et de coopération, </w:t>
      </w:r>
      <w:hyperlink r:id="rId19" w:history="1">
        <w:r>
          <w:rPr>
            <w:rStyle w:val="Hyperlink"/>
            <w:rFonts w:ascii="Times New Roman" w:hAnsi="Times New Roman"/>
          </w:rPr>
          <w:t>https://eur-lex.europa.eu/legal-content/FR/TXT/HTML/?uri=CELEX:52026PC0089</w:t>
        </w:r>
      </w:hyperlink>
      <w:r>
        <w:rPr>
          <w:rFonts w:ascii="Times New Roman" w:hAnsi="Times New Roman"/>
        </w:rPr>
        <w:t xml:space="preserve">. </w:t>
      </w:r>
    </w:p>
  </w:footnote>
  <w:footnote w:id="22">
    <w:p w14:paraId="26C1F84B" w14:textId="2479A685" w:rsidR="006F2932" w:rsidRPr="006F2932" w:rsidRDefault="006F2932">
      <w:pPr>
        <w:pStyle w:val="FootnoteText"/>
      </w:pPr>
      <w:r>
        <w:rPr>
          <w:rStyle w:val="FootnoteReference"/>
        </w:rPr>
        <w:footnoteRef/>
      </w:r>
      <w:r>
        <w:t xml:space="preserve"> </w:t>
      </w:r>
      <w:bookmarkStart w:id="29" w:name="_Hlk158194613"/>
      <w:r>
        <w:rPr>
          <w:rFonts w:ascii="Times New Roman" w:hAnsi="Times New Roman"/>
        </w:rPr>
        <w:t>Les statistiques couvraient les importations en 2024.</w:t>
      </w:r>
      <w:bookmarkEnd w:id="29"/>
    </w:p>
  </w:footnote>
  <w:footnote w:id="23">
    <w:p w14:paraId="0235A4B5" w14:textId="73C8258C" w:rsidR="007E5B4E" w:rsidRPr="00BB7C1E" w:rsidRDefault="007E5B4E" w:rsidP="004F21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taux d’utilisation des préférences exprime la part des importations ou des exportations bénéficiant de préférences commerciales en pourcentage de la valeur totale des importations ou exportations pouvant bénéficier de préférences par pays partenaire.</w:t>
      </w:r>
    </w:p>
  </w:footnote>
  <w:footnote w:id="24">
    <w:p w14:paraId="13C40051" w14:textId="1D021361" w:rsidR="000B7200" w:rsidRPr="00BB7C1E" w:rsidRDefault="000B7200" w:rsidP="004F21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de plus amples informations sur la mise en œuvre des accords de libre-échange de l’UE, voir le rapport de la Commission au Parlement européen, au Conseil, au Comité économique et social européen et au Comité des régions sur la mise en œuvre et l’application de la politique commerciale de l’UE: </w:t>
      </w:r>
      <w:hyperlink r:id="rId20" w:history="1">
        <w:r>
          <w:rPr>
            <w:rStyle w:val="Hyperlink"/>
            <w:rFonts w:ascii="Times New Roman" w:hAnsi="Times New Roman"/>
          </w:rPr>
          <w:t>https://policy.trade.ec.europa.eu/enforcement-and-protection/implementing-and-enforcing-eu-trade-agreements_en</w:t>
        </w:r>
      </w:hyperlink>
      <w:r>
        <w:t>.</w:t>
      </w:r>
    </w:p>
  </w:footnote>
  <w:footnote w:id="25">
    <w:p w14:paraId="0CC97C07" w14:textId="77777777" w:rsidR="00CA2DC7" w:rsidRPr="00BB7C1E" w:rsidRDefault="00CA2DC7" w:rsidP="00CA2DC7">
      <w:pPr>
        <w:pStyle w:val="oCarCar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Sauf indication contraire, tous les chiffres sont fondés sur des données d’Eurostat: </w:t>
      </w:r>
      <w:hyperlink r:id="rId21" w:history="1">
        <w:r>
          <w:rPr>
            <w:rStyle w:val="Hyperlink"/>
            <w:rFonts w:ascii="Times New Roman" w:hAnsi="Times New Roman"/>
          </w:rPr>
          <w:t>https://ec.europa.eu/eurostat/web/international-trade-in-goods/overview</w:t>
        </w:r>
      </w:hyperlink>
      <w:r>
        <w:rPr>
          <w:rFonts w:ascii="Times New Roman" w:hAnsi="Times New Roman"/>
        </w:rPr>
        <w:t>.</w:t>
      </w:r>
    </w:p>
  </w:footnote>
  <w:footnote w:id="26">
    <w:p w14:paraId="42D2101F" w14:textId="72CCB7A6" w:rsidR="00EE202D" w:rsidRPr="00EE202D" w:rsidRDefault="00B8510B" w:rsidP="00EE202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Visa du fournisseur de services (Global Business Mobility)</w:t>
      </w:r>
    </w:p>
    <w:p w14:paraId="67C7CE6E" w14:textId="06F350D6" w:rsidR="00B8510B" w:rsidRPr="001F1FC5" w:rsidRDefault="00F97D5F" w:rsidP="00B8510B">
      <w:pPr>
        <w:pStyle w:val="FootnoteText"/>
        <w:rPr>
          <w:rFonts w:ascii="Times New Roman" w:hAnsi="Times New Roman" w:cs="Times New Roman"/>
        </w:rPr>
      </w:pPr>
      <w:r>
        <w:rPr>
          <w:rFonts w:ascii="Times New Roman" w:hAnsi="Times New Roman"/>
        </w:rPr>
        <w:t xml:space="preserve"> </w:t>
      </w:r>
      <w:hyperlink r:id="rId22" w:history="1">
        <w:r>
          <w:rPr>
            <w:rStyle w:val="Hyperlink"/>
            <w:rFonts w:ascii="Times New Roman" w:hAnsi="Times New Roman"/>
          </w:rPr>
          <w:t>https://www.gov.uk/service-supplier-visa/eligibility</w:t>
        </w:r>
      </w:hyperlink>
      <w:r>
        <w:rPr>
          <w:rFonts w:ascii="Times New Roman" w:hAnsi="Times New Roman"/>
        </w:rPr>
        <w:t>.</w:t>
      </w:r>
    </w:p>
  </w:footnote>
  <w:footnote w:id="27">
    <w:p w14:paraId="7F8E0449" w14:textId="77777777" w:rsidR="000D7DA0" w:rsidRPr="00DB2614" w:rsidRDefault="000D7DA0" w:rsidP="000D7DA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les rapports de la Commission sur la mise en œuvre de l’ACC pour les années 2022, 2023 et 2024. </w:t>
      </w:r>
    </w:p>
  </w:footnote>
  <w:footnote w:id="28">
    <w:p w14:paraId="1A09CA5B" w14:textId="77777777" w:rsidR="00D03CCA" w:rsidRPr="000614F7" w:rsidRDefault="00D03CCA" w:rsidP="00D03CC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Protocole d’accord établissant un cadre pour la coopération réglementaire en matière de services financiers</w:t>
      </w:r>
    </w:p>
    <w:p w14:paraId="04A4D4CA" w14:textId="77777777" w:rsidR="00D03CCA" w:rsidRPr="000614F7" w:rsidRDefault="00D03CCA" w:rsidP="00D03CCA">
      <w:pPr>
        <w:pStyle w:val="FootnoteText"/>
        <w:rPr>
          <w:rFonts w:ascii="Times New Roman" w:hAnsi="Times New Roman" w:cs="Times New Roman"/>
        </w:rPr>
      </w:pPr>
      <w:r>
        <w:rPr>
          <w:rFonts w:ascii="Times New Roman" w:hAnsi="Times New Roman"/>
        </w:rPr>
        <w:t>entre l’Union européenne et le Royaume-Uni de Grande-Bretagne et</w:t>
      </w:r>
    </w:p>
    <w:p w14:paraId="4283EC30" w14:textId="77777777" w:rsidR="00D03CCA" w:rsidRPr="00820904" w:rsidRDefault="00D03CCA" w:rsidP="00D03CCA">
      <w:pPr>
        <w:pStyle w:val="FootnoteText"/>
        <w:rPr>
          <w:rFonts w:ascii="Times New Roman" w:hAnsi="Times New Roman" w:cs="Times New Roman"/>
        </w:rPr>
      </w:pPr>
      <w:r>
        <w:rPr>
          <w:rFonts w:ascii="Times New Roman" w:hAnsi="Times New Roman"/>
        </w:rPr>
        <w:t xml:space="preserve">d’Irlande du Nord: </w:t>
      </w:r>
      <w:hyperlink r:id="rId23" w:history="1">
        <w:r>
          <w:rPr>
            <w:rStyle w:val="Hyperlink"/>
            <w:rFonts w:ascii="Times New Roman" w:hAnsi="Times New Roman"/>
          </w:rPr>
          <w:t>https://finance.ec.europa.eu/system/files/2023-09/230627-memorandum-understanding-financial-services-eu-uk_en.pdf</w:t>
        </w:r>
      </w:hyperlink>
      <w:r>
        <w:rPr>
          <w:rFonts w:ascii="Times New Roman" w:hAnsi="Times New Roman"/>
        </w:rPr>
        <w:t>.</w:t>
      </w:r>
    </w:p>
  </w:footnote>
  <w:footnote w:id="29">
    <w:p w14:paraId="5A08C25E" w14:textId="77777777" w:rsidR="00D03CCA" w:rsidRPr="00F600F9" w:rsidRDefault="00D03CCA" w:rsidP="00D03CC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https://finance.ec.europa.eu/eu-and-world/bilateral-relations/regulatory-dialogues-united-kingdom_en</w:t>
        </w:r>
      </w:hyperlink>
      <w:r>
        <w:rPr>
          <w:rFonts w:ascii="Times New Roman" w:hAnsi="Times New Roman"/>
        </w:rPr>
        <w:t>.</w:t>
      </w:r>
    </w:p>
  </w:footnote>
  <w:footnote w:id="30">
    <w:p w14:paraId="788188CC" w14:textId="70C84FB5" w:rsidR="00E8406E" w:rsidRPr="008B263A" w:rsidRDefault="00E8406E"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Sauf indication contraire, tous les chiffres sont fondés sur des données d’Eurostat: </w:t>
      </w:r>
      <w:hyperlink r:id="rId25" w:history="1">
        <w:r>
          <w:rPr>
            <w:rStyle w:val="Hyperlink"/>
            <w:rFonts w:ascii="Times New Roman" w:hAnsi="Times New Roman"/>
          </w:rPr>
          <w:t>https://ec.europa.eu/eurostat/web/balance-of-payments/overview</w:t>
        </w:r>
      </w:hyperlink>
      <w:r>
        <w:rPr>
          <w:rFonts w:ascii="Times New Roman" w:hAnsi="Times New Roman"/>
        </w:rPr>
        <w:t xml:space="preserve"> et </w:t>
      </w:r>
      <w:hyperlink r:id="rId26" w:history="1">
        <w:r>
          <w:rPr>
            <w:rStyle w:val="Hyperlink"/>
            <w:rFonts w:ascii="Times New Roman" w:hAnsi="Times New Roman"/>
          </w:rPr>
          <w:t>https://ec.europa.eu/eurostat/web/international-trade-in-services/overview</w:t>
        </w:r>
      </w:hyperlink>
      <w:r>
        <w:rPr>
          <w:rFonts w:ascii="Times New Roman" w:hAnsi="Times New Roman"/>
        </w:rPr>
        <w:t>.</w:t>
      </w:r>
    </w:p>
  </w:footnote>
  <w:footnote w:id="31">
    <w:p w14:paraId="22B04B35" w14:textId="4209552C" w:rsidR="008937E9" w:rsidRPr="00B06BD4" w:rsidRDefault="008937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https://ec.europa.eu/commission/presscorner/detail/fr/ip_26_454</w:t>
        </w:r>
      </w:hyperlink>
      <w:r>
        <w:t>.</w:t>
      </w:r>
      <w:r>
        <w:rPr>
          <w:rFonts w:ascii="Times New Roman" w:hAnsi="Times New Roman"/>
        </w:rPr>
        <w:t xml:space="preserve"> </w:t>
      </w:r>
    </w:p>
  </w:footnote>
  <w:footnote w:id="32">
    <w:p w14:paraId="25EAA47D" w14:textId="0B935FF2" w:rsidR="00DC4CB9" w:rsidRPr="00DC4CB9" w:rsidRDefault="00DC4CB9" w:rsidP="00DC4C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commune 1/2025 de l’Union et du Royaume-Uni au sein du conseil de partenariat institué par l’accord de commerce et de coopération entre l’Union européenne et la Communauté européenne de l’énergie atomique, d’une part, et le Royaume-Uni de Grande-Bretagne et d’Irlande du Nord, d’autre part, du 19 juin 2025 </w:t>
      </w:r>
      <w:hyperlink r:id="rId28" w:history="1">
        <w:r>
          <w:rPr>
            <w:rStyle w:val="Hyperlink"/>
            <w:rFonts w:ascii="Times New Roman" w:hAnsi="Times New Roman"/>
          </w:rPr>
          <w:t>https://eur-lex.europa.eu/legal-content/FR/TXT/?uri=OJ%3AL_202501232</w:t>
        </w:r>
      </w:hyperlink>
      <w:r>
        <w:rPr>
          <w:rFonts w:ascii="Times New Roman" w:hAnsi="Times New Roman"/>
        </w:rPr>
        <w:t>.</w:t>
      </w:r>
    </w:p>
  </w:footnote>
  <w:footnote w:id="33">
    <w:p w14:paraId="74927A7D" w14:textId="2FD486AE" w:rsidR="00DC4CB9" w:rsidRPr="00DC4CB9" w:rsidRDefault="00DC4CB9" w:rsidP="00DC4CB9">
      <w:pPr>
        <w:pStyle w:val="FootnoteText"/>
        <w:jc w:val="both"/>
      </w:pPr>
      <w:r>
        <w:rPr>
          <w:rStyle w:val="FootnoteReference"/>
          <w:rFonts w:ascii="Times New Roman" w:hAnsi="Times New Roman" w:cs="Times New Roman"/>
        </w:rPr>
        <w:footnoteRef/>
      </w:r>
      <w:r>
        <w:rPr>
          <w:rFonts w:ascii="Times New Roman" w:hAnsi="Times New Roman"/>
        </w:rPr>
        <w:t xml:space="preserve"> Décision nº 2/2025 du conseil de partenariat institué par l’accord de commerce et de coopération entre l’Union européenne et la Communauté européenne de l’énergie atomique, d’une part, et le Royaume-Uni de Grande-Bretagne et d’Irlande du Nord, d’autre part, du 19 juin 2025 portant interprétation de l’article 331, paragraphe 2, et prorogeant l’application du titre VIII (Énergie) de la rubrique un de la deuxième partie de l’accord de commerce et de coopération entre l’Union européenne et la Communauté européenne de l’énergie atomique, d’une part, et le Royaume-Uni de Grande-Bretagne et d’Irlande du Nord, d’autre part, </w:t>
      </w:r>
      <w:hyperlink r:id="rId29" w:history="1">
        <w:r>
          <w:rPr>
            <w:rStyle w:val="Hyperlink"/>
            <w:rFonts w:ascii="Times New Roman" w:hAnsi="Times New Roman"/>
          </w:rPr>
          <w:t>https://eur-lex.europa.eu/legal-content/FR/TXT/?uri=OJ%3AL_202501230</w:t>
        </w:r>
      </w:hyperlink>
      <w:r>
        <w:rPr>
          <w:rFonts w:ascii="Times New Roman" w:hAnsi="Times New Roman"/>
        </w:rPr>
        <w:t>.</w:t>
      </w:r>
    </w:p>
  </w:footnote>
  <w:footnote w:id="34">
    <w:p w14:paraId="05FEDA23" w14:textId="2BBC4F76" w:rsidR="001A412E" w:rsidRPr="002237FC" w:rsidRDefault="001A412E" w:rsidP="001A412E">
      <w:pPr>
        <w:pStyle w:val="FootnoteText"/>
        <w:jc w:val="both"/>
        <w:rPr>
          <w:rFonts w:ascii="Times New Roman" w:hAnsi="Times New Roman" w:cs="Times New Roman"/>
          <w:i/>
          <w:iCs/>
        </w:rPr>
      </w:pPr>
      <w:r>
        <w:rPr>
          <w:rStyle w:val="FootnoteReference"/>
        </w:rPr>
        <w:footnoteRef/>
      </w:r>
      <w:r>
        <w:rPr>
          <w:rFonts w:ascii="Times New Roman" w:hAnsi="Times New Roman"/>
        </w:rPr>
        <w:t xml:space="preserve"> Recommandation nº 1/2024 du comité spécialisé de l’énergie institué en vertu de l’article 8, paragraphe 1, point l), de l’accord de commerce et de coopération entre l’Union européenne et la Communauté européenne de l’énergie atomique, d’une part, et le Royaume-Uni de Grande-Bretagne et d’Irlande du Nord, d’autre part, du 19 décembre 2024 à chaque partie concernant l’élaboration de procédures techniques pour une utilisation efficace des interconnexions électriques:</w:t>
      </w:r>
    </w:p>
    <w:p w14:paraId="1D031B6D" w14:textId="1AD0CEB8" w:rsidR="001A412E" w:rsidRPr="0057302A" w:rsidRDefault="008546B6" w:rsidP="001A412E">
      <w:pPr>
        <w:pStyle w:val="FootnoteText"/>
        <w:jc w:val="both"/>
        <w:rPr>
          <w:rFonts w:ascii="Times New Roman" w:hAnsi="Times New Roman" w:cs="Times New Roman"/>
        </w:rPr>
      </w:pPr>
      <w:hyperlink r:id="rId30" w:history="1">
        <w:r w:rsidR="001A412E">
          <w:rPr>
            <w:rStyle w:val="Hyperlink"/>
            <w:rFonts w:ascii="Times New Roman" w:hAnsi="Times New Roman"/>
          </w:rPr>
          <w:t>https://eur-lex.europa.eu/legal-content/FR/TXT/?uri=CELEX%3A22025D0706&amp;qid=1756374227559</w:t>
        </w:r>
      </w:hyperlink>
      <w:r w:rsidR="001A412E">
        <w:t>.</w:t>
      </w:r>
    </w:p>
  </w:footnote>
  <w:footnote w:id="35">
    <w:p w14:paraId="7BBF6A47" w14:textId="21E2CB40" w:rsidR="003E301C" w:rsidRPr="00E81BD4" w:rsidRDefault="003E301C" w:rsidP="003E301C">
      <w:pPr>
        <w:pStyle w:val="FootnoteText"/>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https://eur-lex.europa.eu/legal-content/FR/TXT/HTML/?uri=COM:2025:804:FIN</w:t>
        </w:r>
      </w:hyperlink>
      <w:r>
        <w:t>.</w:t>
      </w:r>
    </w:p>
  </w:footnote>
  <w:footnote w:id="36">
    <w:p w14:paraId="2DCF85CD" w14:textId="414C0C80" w:rsidR="00C31234" w:rsidRPr="006C4F09" w:rsidRDefault="00C312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nº 2/2024 du comité spécialisé de l’énergie institué en vertu de l’article 8, paragraphe 1, point l), de l’accord de commerce et de coopération entre l’Union européenne et la Communauté européenne de l’énergie atomique, d’une part, et le Royaume-Uni de Grande-Bretagne et d’Irlande du Nord, d’autre part, du 7 novembre 2024 en ce qui concerne l’instauration d’un groupe de travail sur la sécurité de l’approvisionnement, </w:t>
      </w:r>
      <w:hyperlink r:id="rId32" w:history="1">
        <w:r>
          <w:rPr>
            <w:rStyle w:val="Hyperlink"/>
            <w:rFonts w:ascii="Times New Roman" w:hAnsi="Times New Roman"/>
          </w:rPr>
          <w:t>https://eur-lex.europa.eu/legal-content/FR/TXT/?uri=CELEX%3A22025D0705&amp;qid=1756375999645</w:t>
        </w:r>
      </w:hyperlink>
      <w:r>
        <w:rPr>
          <w:rFonts w:ascii="Times New Roman" w:hAnsi="Times New Roman"/>
        </w:rPr>
        <w:t>.</w:t>
      </w:r>
    </w:p>
  </w:footnote>
  <w:footnote w:id="37">
    <w:p w14:paraId="4E8C1182" w14:textId="77777777" w:rsidR="00016EB0" w:rsidRPr="0066529A" w:rsidRDefault="00016EB0" w:rsidP="00016EB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États membres suivants ont signé des accords bilatéraux avec le Royaume-Uni: Allemagne, Autriche, Belgique, Bulgarie, Chypre, Croatie, Danemark, Estonie, Finlande, France, Grèce, Hongrie, Irlande, Italie, Lettonie, Lituanie, Luxembourg, Malte, Pays-Bas, Slovaquie, Slovénie, Suède et Tchéquie.</w:t>
      </w:r>
    </w:p>
  </w:footnote>
  <w:footnote w:id="38">
    <w:p w14:paraId="14CB13D4" w14:textId="5277C7E1" w:rsidR="00DB5952" w:rsidRPr="006B530F" w:rsidRDefault="00DB5952" w:rsidP="006B530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nº 1/2025 du comité spécialisé chargé du transport routier concernant une liste des catégories, types et niveaux de gravité des infractions graves susceptibles d’aboutir à la perte de l’honorabilité d’un transporteur routier </w:t>
      </w:r>
      <w:hyperlink r:id="rId33" w:history="1">
        <w:r>
          <w:rPr>
            <w:rStyle w:val="Hyperlink"/>
            <w:rFonts w:ascii="Times New Roman" w:hAnsi="Times New Roman"/>
          </w:rPr>
          <w:t>EUR-Lex – 22025D2330 – FR – EUR-Lex</w:t>
        </w:r>
      </w:hyperlink>
      <w:r>
        <w:rPr>
          <w:rFonts w:ascii="Times New Roman" w:hAnsi="Times New Roman"/>
        </w:rPr>
        <w:t xml:space="preserve"> et décision nº 2/2025 du comité spécialisé chargé du transport routier relative aux registres électroniques nationaux des entreprises de transport routier et aux modalités d’échange des informations qui y figurent </w:t>
      </w:r>
      <w:hyperlink r:id="rId34" w:history="1">
        <w:r>
          <w:rPr>
            <w:rStyle w:val="Hyperlink"/>
            <w:rFonts w:ascii="Times New Roman" w:hAnsi="Times New Roman"/>
          </w:rPr>
          <w:t>https://eur-lex.europa.eu/legal-content/FR/TXT/?uri=OJ:L_202502331</w:t>
        </w:r>
      </w:hyperlink>
      <w:r>
        <w:rPr>
          <w:rFonts w:ascii="Times New Roman" w:hAnsi="Times New Roman"/>
        </w:rPr>
        <w:t xml:space="preserve">. </w:t>
      </w:r>
    </w:p>
  </w:footnote>
  <w:footnote w:id="39">
    <w:p w14:paraId="44677093" w14:textId="2682CFD7" w:rsidR="00A9100D" w:rsidRPr="00A9100D" w:rsidRDefault="00A9100D" w:rsidP="00A9100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nº 1/2025 du conseil de partenariat institué par l’accord de commerce et de coopération entre l’Union européenne et la Communauté européenne de l’énergie atomique, d’une part, et le Royaume-Uni de Grande-Bretagne et d’Irlande du Nord, d’autre part, du 18 juin 2025 portant interprétation de l’article 508, paragraphe 2, point d), de l’accord de commerce et de coopération entre l’Union européenne et la Communauté européenne de l’énergie atomique, d’une part, et le Royaume-Uni de Grande-Bretagne et d’Irlande du Nord, d’autre part: </w:t>
      </w:r>
      <w:hyperlink r:id="rId35" w:history="1">
        <w:r>
          <w:rPr>
            <w:rStyle w:val="Hyperlink"/>
            <w:rFonts w:ascii="Times New Roman" w:hAnsi="Times New Roman"/>
          </w:rPr>
          <w:t>https://eur-lex.europa.eu/legal-content/FR/TXT/?uri=OJ%3AL_202501229</w:t>
        </w:r>
      </w:hyperlink>
      <w:r>
        <w:rPr>
          <w:rFonts w:ascii="Times New Roman" w:hAnsi="Times New Roman"/>
        </w:rPr>
        <w:t>.</w:t>
      </w:r>
    </w:p>
  </w:footnote>
  <w:footnote w:id="40">
    <w:p w14:paraId="02C09CC1" w14:textId="036C3C2F" w:rsidR="00A9100D" w:rsidRPr="00A9100D" w:rsidRDefault="00A9100D" w:rsidP="00A9100D">
      <w:pPr>
        <w:pStyle w:val="FootnoteText"/>
        <w:jc w:val="both"/>
      </w:pPr>
      <w:r>
        <w:rPr>
          <w:rStyle w:val="FootnoteReference"/>
          <w:rFonts w:ascii="Times New Roman" w:hAnsi="Times New Roman" w:cs="Times New Roman"/>
        </w:rPr>
        <w:footnoteRef/>
      </w:r>
      <w:r>
        <w:rPr>
          <w:rFonts w:ascii="Times New Roman" w:hAnsi="Times New Roman"/>
        </w:rPr>
        <w:t xml:space="preserve"> Décision nº 1/2025 du comité spécialisé de la pêche en ce qui concerne les dispositions relatives au niveau et aux conditions de l’accès accordé par chaque partie aux navires de l’autre partie pour pêcher dans ses eaux du 1</w:t>
      </w:r>
      <w:r>
        <w:rPr>
          <w:rFonts w:ascii="Times New Roman" w:hAnsi="Times New Roman"/>
          <w:vertAlign w:val="superscript"/>
        </w:rPr>
        <w:t>er</w:t>
      </w:r>
      <w:r>
        <w:rPr>
          <w:rFonts w:ascii="Times New Roman" w:hAnsi="Times New Roman"/>
        </w:rPr>
        <w:t xml:space="preserve"> juillet 2026 au 30 juin 2038: </w:t>
      </w:r>
      <w:hyperlink r:id="rId36" w:history="1">
        <w:r>
          <w:rPr>
            <w:rStyle w:val="Hyperlink"/>
            <w:rFonts w:ascii="Times New Roman" w:hAnsi="Times New Roman"/>
          </w:rPr>
          <w:t>https://eur-lex.europa.eu/legal-content/FR/TXT/?uri=OJ:L_202501231</w:t>
        </w:r>
      </w:hyperlink>
      <w:r>
        <w:t>.</w:t>
      </w:r>
    </w:p>
  </w:footnote>
  <w:footnote w:id="41">
    <w:p w14:paraId="40AA7418" w14:textId="7A2BE07C" w:rsidR="004E689D" w:rsidRPr="005A2BA7" w:rsidRDefault="004E689D" w:rsidP="004E68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Notifications au titre de la troisième partie – Coopération des services répressifs et judiciaires en matière pénale de l’accord de commerce et de coopération entre l’Union européenne et le Royaume-Uni – Examen des notifications faites au Royaume-Uni dans le cadre de l’examen conjoint de la troisième partie de l’accord de commerce et de coopération (article 630 de l’ACC): </w:t>
      </w:r>
      <w:hyperlink r:id="rId37" w:history="1">
        <w:r>
          <w:rPr>
            <w:rStyle w:val="Hyperlink"/>
            <w:rFonts w:ascii="Times New Roman" w:hAnsi="Times New Roman"/>
          </w:rPr>
          <w:t>https://eur-lex.europa.eu/legal-content/FR/TXT/?uri=OJ:C_202506451</w:t>
        </w:r>
      </w:hyperlink>
      <w:r>
        <w:rPr>
          <w:rFonts w:ascii="Times New Roman" w:hAnsi="Times New Roman"/>
        </w:rPr>
        <w:t>.</w:t>
      </w:r>
    </w:p>
  </w:footnote>
  <w:footnote w:id="42">
    <w:p w14:paraId="76010AD3" w14:textId="75819E4D" w:rsidR="000C5317" w:rsidRDefault="000C5317">
      <w:pPr>
        <w:pStyle w:val="FootnoteText"/>
      </w:pPr>
      <w:r>
        <w:rPr>
          <w:rStyle w:val="FootnoteReference"/>
        </w:rPr>
        <w:footnoteRef/>
      </w:r>
      <w:r>
        <w:rPr>
          <w:rFonts w:ascii="Times New Roman" w:hAnsi="Times New Roman"/>
        </w:rPr>
        <w:t xml:space="preserve"> Données en date d’octobre 2025.</w:t>
      </w:r>
    </w:p>
  </w:footnote>
  <w:footnote w:id="43">
    <w:p w14:paraId="3A4A753D" w14:textId="65377431" w:rsidR="00BD370D" w:rsidRPr="00F52880" w:rsidRDefault="00BD370D" w:rsidP="00BD370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Tableau de bord Horizon: </w:t>
      </w:r>
      <w:hyperlink r:id="rId38" w:history="1">
        <w:r>
          <w:rPr>
            <w:rStyle w:val="Hyperlink"/>
            <w:rFonts w:ascii="Times New Roman" w:hAnsi="Times New Roman"/>
          </w:rPr>
          <w:t>R&amp;I Country Profile - Welcome |</w:t>
        </w:r>
      </w:hyperlink>
      <w:hyperlink r:id="rId39" w:history="1">
        <w:r>
          <w:rPr>
            <w:rStyle w:val="Hyperlink"/>
            <w:rFonts w:ascii="Times New Roman" w:hAnsi="Times New Roman"/>
          </w:rPr>
          <w:t xml:space="preserve"> Sheet - Qlik Sense</w:t>
        </w:r>
      </w:hyperlink>
      <w:r>
        <w:t>.</w:t>
      </w:r>
    </w:p>
  </w:footnote>
  <w:footnote w:id="44">
    <w:p w14:paraId="15609000" w14:textId="1B7179D5" w:rsidR="00BD370D" w:rsidRPr="00CD620E" w:rsidRDefault="00BD370D">
      <w:pPr>
        <w:pStyle w:val="FootnoteText"/>
      </w:pPr>
      <w:r>
        <w:rPr>
          <w:rStyle w:val="FootnoteReference"/>
          <w:rFonts w:ascii="Times New Roman" w:hAnsi="Times New Roman" w:cs="Times New Roman"/>
        </w:rPr>
        <w:footnoteRef/>
      </w:r>
      <w:r>
        <w:rPr>
          <w:rFonts w:ascii="Times New Roman" w:hAnsi="Times New Roman"/>
        </w:rPr>
        <w:t xml:space="preserve"> </w:t>
      </w:r>
      <w:hyperlink r:id="rId40" w:history="1">
        <w:r>
          <w:rPr>
            <w:rStyle w:val="Hyperlink"/>
            <w:rFonts w:ascii="Times New Roman" w:hAnsi="Times New Roman"/>
          </w:rPr>
          <w:t>https://ec.europa.eu/commission/presscorner/detail/en/statement_25_3103</w:t>
        </w:r>
      </w:hyperlink>
      <w:r>
        <w:t>.</w:t>
      </w:r>
    </w:p>
  </w:footnote>
  <w:footnote w:id="45">
    <w:p w14:paraId="24F86AC0" w14:textId="7CBD391D" w:rsidR="001E56AA" w:rsidRPr="007D3844" w:rsidRDefault="001E56AA" w:rsidP="001E56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(UE) 2025/1286 du Conseil du 20 juin 2025 autorisant l’ouverture de négociations avec le Royaume-Uni de Grande-Bretagne et d’Irlande du Nord en vue d’un accord sur un programme d’expérience en faveur des jeunes </w:t>
      </w:r>
      <w:hyperlink r:id="rId41" w:history="1">
        <w:r>
          <w:rPr>
            <w:rStyle w:val="Hyperlink"/>
            <w:rFonts w:ascii="Times New Roman" w:hAnsi="Times New Roman"/>
          </w:rPr>
          <w:t>https://eur-lex.europa.eu/eli/dec/2025/1286/oj/fra</w:t>
        </w:r>
      </w:hyperlink>
      <w:r>
        <w:rPr>
          <w:rFonts w:ascii="Times New Roman" w:hAnsi="Times New Roman"/>
        </w:rPr>
        <w:t>.</w:t>
      </w:r>
    </w:p>
  </w:footnote>
  <w:footnote w:id="46">
    <w:p w14:paraId="1AEBC27D" w14:textId="2782EFD4" w:rsidR="007D3844" w:rsidRPr="007D3844" w:rsidRDefault="007D3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Loi de 2022 sur le contrôle des subventions</w:t>
        </w:r>
      </w:hyperlink>
      <w:r>
        <w:t>.</w:t>
      </w:r>
      <w:r>
        <w:rPr>
          <w:rFonts w:ascii="Times New Roman" w:hAnsi="Times New Roman"/>
        </w:rPr>
        <w:t xml:space="preserve"> </w:t>
      </w:r>
    </w:p>
  </w:footnote>
  <w:footnote w:id="47">
    <w:p w14:paraId="693B47CA" w14:textId="77777777" w:rsidR="007D3844" w:rsidRPr="00FB459C" w:rsidRDefault="007D3844" w:rsidP="007D3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https://www.legislation.gov.uk/uksi/2025/845/made</w:t>
        </w:r>
      </w:hyperlink>
      <w:r>
        <w:t>.</w:t>
      </w:r>
      <w:r>
        <w:rPr>
          <w:rFonts w:ascii="Times New Roman" w:hAnsi="Times New Roman"/>
        </w:rPr>
        <w:t xml:space="preserve"> </w:t>
      </w:r>
    </w:p>
  </w:footnote>
  <w:footnote w:id="48">
    <w:p w14:paraId="60B18121" w14:textId="6BDC0AA1" w:rsidR="00836903" w:rsidRPr="001E56AA" w:rsidRDefault="0083690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https://assets.publishing.service.gov.uk/media/69440cd78f4636fa2c547e8a/employment-rights-act-2025-overview.pdf.</w:t>
      </w:r>
    </w:p>
  </w:footnote>
  <w:footnote w:id="49">
    <w:p w14:paraId="403A8039" w14:textId="2BA61A95" w:rsidR="00670DDE" w:rsidRPr="0018706E" w:rsidRDefault="00670DD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4" w:history="1">
        <w:r>
          <w:rPr>
            <w:rStyle w:val="Hyperlink"/>
            <w:rFonts w:ascii="Times New Roman" w:hAnsi="Times New Roman"/>
          </w:rPr>
          <w:t>https://www.legislation.gov.uk/ukpga/2023/39</w:t>
        </w:r>
      </w:hyperlink>
      <w:r>
        <w:rPr>
          <w:rFonts w:ascii="Times New Roman" w:hAnsi="Times New Roman"/>
        </w:rPr>
        <w:t>.</w:t>
      </w:r>
    </w:p>
  </w:footnote>
  <w:footnote w:id="50">
    <w:p w14:paraId="1ABBFF10" w14:textId="1E568D9D" w:rsidR="0018706E" w:rsidRPr="0018706E" w:rsidRDefault="0018706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5" w:history="1">
        <w:r>
          <w:rPr>
            <w:rStyle w:val="Hyperlink"/>
            <w:rFonts w:ascii="Times New Roman" w:hAnsi="Times New Roman"/>
          </w:rPr>
          <w:t>https://eur-lex.europa.eu/legal-content/FR/TXT/?uri=celex:52024DC0127</w:t>
        </w:r>
      </w:hyperlink>
      <w:r>
        <w:rPr>
          <w:rFonts w:ascii="Times New Roman" w:hAnsi="Times New Roman"/>
        </w:rPr>
        <w:t>.</w:t>
      </w:r>
    </w:p>
  </w:footnote>
  <w:footnote w:id="51">
    <w:p w14:paraId="596F5552" w14:textId="79839573" w:rsidR="003758D3" w:rsidRPr="0018706E" w:rsidRDefault="003758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6" w:history="1">
        <w:r>
          <w:rPr>
            <w:rStyle w:val="Hyperlink"/>
            <w:rFonts w:ascii="Times New Roman" w:hAnsi="Times New Roman"/>
          </w:rPr>
          <w:t>https://www.legislation.gov.uk/ukpga/2025/16</w:t>
        </w:r>
      </w:hyperlink>
      <w:r>
        <w:rPr>
          <w:rFonts w:ascii="Times New Roman" w:hAnsi="Times New Roman"/>
        </w:rPr>
        <w:t>.</w:t>
      </w:r>
    </w:p>
  </w:footnote>
  <w:footnote w:id="52">
    <w:p w14:paraId="7E103CB6" w14:textId="466C01DE" w:rsidR="00212267" w:rsidRPr="00670DDE" w:rsidRDefault="0021226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7" w:history="1">
        <w:r>
          <w:rPr>
            <w:rStyle w:val="Hyperlink"/>
            <w:rFonts w:ascii="Times New Roman" w:hAnsi="Times New Roman"/>
          </w:rPr>
          <w:t>https://www.legislation.gov.uk/ukpga/2025/34/enacted</w:t>
        </w:r>
      </w:hyperlink>
      <w:r>
        <w:rPr>
          <w:rFonts w:ascii="Times New Roman" w:hAnsi="Times New Roman"/>
        </w:rPr>
        <w:t>.</w:t>
      </w:r>
    </w:p>
  </w:footnote>
  <w:footnote w:id="53">
    <w:p w14:paraId="25D70552" w14:textId="389074F8" w:rsidR="00945223" w:rsidRPr="003A2C95" w:rsidRDefault="0094522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8" w:history="1">
        <w:r>
          <w:rPr>
            <w:rStyle w:val="Hyperlink"/>
            <w:rFonts w:ascii="Times New Roman" w:hAnsi="Times New Roman"/>
          </w:rPr>
          <w:t>https://www.legislation.gov.uk/ukpga/2025/20</w:t>
        </w:r>
      </w:hyperlink>
      <w:r>
        <w:rPr>
          <w:rFonts w:ascii="Times New Roman" w:hAnsi="Times New Roman"/>
        </w:rPr>
        <w:t>.</w:t>
      </w:r>
    </w:p>
  </w:footnote>
  <w:footnote w:id="54">
    <w:p w14:paraId="7779E441" w14:textId="18E42756" w:rsidR="006749E2" w:rsidRPr="003A2C95" w:rsidRDefault="006749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9" w:history="1">
        <w:r>
          <w:rPr>
            <w:rStyle w:val="Hyperlink"/>
            <w:rFonts w:ascii="Times New Roman" w:hAnsi="Times New Roman"/>
          </w:rPr>
          <w:t>https://www.legislation.gov.uk/ukpga/2025/18/contents</w:t>
        </w:r>
      </w:hyperlink>
      <w:r>
        <w:rPr>
          <w:rFonts w:ascii="Times New Roman" w:hAnsi="Times New Roman"/>
        </w:rPr>
        <w:t>.</w:t>
      </w:r>
    </w:p>
  </w:footnote>
  <w:footnote w:id="55">
    <w:p w14:paraId="533BDCF8" w14:textId="03C5CE89" w:rsidR="00640672" w:rsidRPr="003A2C95" w:rsidRDefault="00640672" w:rsidP="006406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d’exécution de la Commission du 24 juin 2025 modifiant la décision d’exécution (UE) 2021/1772 du 28 juin 2021 constatant, conformément au règlement (UE) 2016/679 du Parlement européen et du Conseil, le niveau de protection adéquat des données à caractère personnel assuré par le Royaume-Uni: </w:t>
      </w:r>
      <w:hyperlink r:id="rId50" w:history="1">
        <w:r>
          <w:rPr>
            <w:rStyle w:val="Hyperlink"/>
            <w:rFonts w:ascii="Times New Roman" w:hAnsi="Times New Roman"/>
          </w:rPr>
          <w:t>https://eur-lex.europa.eu/legal-content/FR/TXT/HTML/?uri=OJ:L_202501226</w:t>
        </w:r>
      </w:hyperlink>
      <w:r>
        <w:rPr>
          <w:rFonts w:ascii="Times New Roman" w:hAnsi="Times New Roman"/>
        </w:rPr>
        <w:t>.</w:t>
      </w:r>
    </w:p>
  </w:footnote>
  <w:footnote w:id="56">
    <w:p w14:paraId="7EF1C424" w14:textId="18C4BEA1" w:rsidR="003A2C95" w:rsidRPr="003A2C95" w:rsidRDefault="003A2C95" w:rsidP="003A2C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d’exécution de la Commission modifiant la décision d’exécution (UE) 2021/1772 de la Commission du 28 juin 2021 en vertu du règlement (UE) 2016/679 du Parlement européen et du Conseil relatif au</w:t>
      </w:r>
    </w:p>
    <w:p w14:paraId="4FEE8992" w14:textId="33875A06" w:rsidR="003A2C95" w:rsidRPr="003A2C95" w:rsidRDefault="003A2C95" w:rsidP="003A2C95">
      <w:pPr>
        <w:pStyle w:val="FootnoteText"/>
      </w:pPr>
      <w:r>
        <w:rPr>
          <w:rFonts w:ascii="Times New Roman" w:hAnsi="Times New Roman"/>
        </w:rPr>
        <w:t xml:space="preserve">niveau de protection adéquat des données à caractère personnel assuré par le Royaume-Uni [notifiée sous le numéro C (2021) 4800]: </w:t>
      </w:r>
      <w:hyperlink r:id="rId51" w:history="1">
        <w:r>
          <w:rPr>
            <w:rStyle w:val="Hyperlink"/>
            <w:rFonts w:ascii="Times New Roman" w:hAnsi="Times New Roman"/>
          </w:rPr>
          <w:t>https://commission.europa.eu/document/download/6f636fa0-30d4-4c05-a713-64484ad913fa_en?filename=Draft%20Renewal%20of%20EU%20adequacy%20decision%20for%20the%20UK%20under%20the%20GDPR.pdf</w:t>
        </w:r>
      </w:hyperlink>
      <w:r>
        <w:t>.</w:t>
      </w:r>
    </w:p>
  </w:footnote>
  <w:footnote w:id="57">
    <w:p w14:paraId="5EB4474A" w14:textId="6A9567E7" w:rsidR="00736AFA" w:rsidRPr="00285299" w:rsidRDefault="00736AF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2" w:history="1">
        <w:r>
          <w:rPr>
            <w:rStyle w:val="Hyperlink"/>
            <w:rFonts w:ascii="Times New Roman" w:hAnsi="Times New Roman"/>
          </w:rPr>
          <w:t>https://ec.europa.eu/commission/presscorner/detail/fr/ip_25_3059</w:t>
        </w:r>
      </w:hyperlink>
      <w:r>
        <w:rPr>
          <w:rFonts w:ascii="Times New Roman" w:hAnsi="Times New Roman"/>
        </w:rPr>
        <w:t>.</w:t>
      </w:r>
    </w:p>
  </w:footnote>
  <w:footnote w:id="58">
    <w:p w14:paraId="0B34A20D" w14:textId="77777777" w:rsidR="00101E60" w:rsidRPr="00C95D06" w:rsidRDefault="00101E60" w:rsidP="00101E60">
      <w:pPr>
        <w:pStyle w:val="FootnoteText"/>
        <w:jc w:val="both"/>
        <w:rPr>
          <w:rFonts w:ascii="Times New Roman" w:hAnsi="Times New Roman" w:cs="Times New Roman"/>
        </w:rPr>
      </w:pPr>
      <w:r>
        <w:rPr>
          <w:rStyle w:val="FootnoteReference"/>
        </w:rPr>
        <w:footnoteRef/>
      </w:r>
      <w:r>
        <w:rPr>
          <w:rFonts w:ascii="Times New Roman" w:hAnsi="Times New Roman"/>
        </w:rPr>
        <w:t xml:space="preserve"> Les ordres du jour et les procès-verbaux des réunions du conseil de partenariat et des comités spécialisés institués en vertu de l’ACC sont disponibles à l’adresse suivante: </w:t>
      </w:r>
      <w:hyperlink r:id="rId53" w:history="1">
        <w:r>
          <w:rPr>
            <w:rStyle w:val="Hyperlink"/>
            <w:rFonts w:ascii="Times New Roman" w:hAnsi="Times New Roman"/>
          </w:rPr>
          <w:t>https://ec.europa.eu/info/strategy/relations-non-eu-countries/relations-united-kingdom/eu-uk-trade-and-cooperation-agreement/meetings-eu-uk-partnership-council-and-specialised-committees-under-trade-and-cooperation-agreement_en</w:t>
        </w:r>
      </w:hyperlink>
      <w:r>
        <w:t>.</w:t>
      </w:r>
    </w:p>
    <w:p w14:paraId="51131AB8" w14:textId="7D3970D6" w:rsidR="00101E60" w:rsidRPr="00101E60" w:rsidRDefault="00101E60">
      <w:pPr>
        <w:pStyle w:val="FootnoteText"/>
      </w:pPr>
    </w:p>
  </w:footnote>
  <w:footnote w:id="59">
    <w:p w14:paraId="2500389A" w14:textId="5C2F039A" w:rsidR="00F67C44" w:rsidRPr="00AC273F" w:rsidRDefault="00F67C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history="1">
        <w:r>
          <w:rPr>
            <w:rStyle w:val="Hyperlink"/>
            <w:rFonts w:ascii="Times New Roman" w:hAnsi="Times New Roman"/>
          </w:rPr>
          <w:t>https://eur-lex.europa.eu/legal-content/FR/TXT/?uri=OJ%3AL_202501229</w:t>
        </w:r>
      </w:hyperlink>
      <w:r>
        <w:rPr>
          <w:rFonts w:ascii="Times New Roman" w:hAnsi="Times New Roman"/>
        </w:rPr>
        <w:t>.</w:t>
      </w:r>
    </w:p>
  </w:footnote>
  <w:footnote w:id="60">
    <w:p w14:paraId="604A53A4" w14:textId="12AA05C4" w:rsidR="00F67C44" w:rsidRPr="00AC273F" w:rsidRDefault="00F67C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5" w:history="1">
        <w:r>
          <w:rPr>
            <w:rStyle w:val="Hyperlink"/>
            <w:rFonts w:ascii="Times New Roman" w:hAnsi="Times New Roman"/>
          </w:rPr>
          <w:t>https://eur-lex.europa.eu/legal-content/FR/TXT/?uri=OJ%3AL_202501230</w:t>
        </w:r>
      </w:hyperlink>
      <w:r>
        <w:rPr>
          <w:rFonts w:ascii="Times New Roman" w:hAnsi="Times New Roman"/>
        </w:rPr>
        <w:t>.</w:t>
      </w:r>
    </w:p>
  </w:footnote>
  <w:footnote w:id="61">
    <w:p w14:paraId="2E4F7D4B" w14:textId="1FABDA04" w:rsidR="00764227" w:rsidRPr="00AC273F" w:rsidRDefault="007642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
            <w:rFonts w:ascii="Times New Roman" w:hAnsi="Times New Roman"/>
          </w:rPr>
          <w:t>https://eur-lex.europa.eu/legal-content/FR/TXT/?uri=OJ%3AL_202501232</w:t>
        </w:r>
      </w:hyperlink>
      <w:r>
        <w:rPr>
          <w:rFonts w:ascii="Times New Roman" w:hAnsi="Times New Roman"/>
        </w:rPr>
        <w:t>.</w:t>
      </w:r>
    </w:p>
  </w:footnote>
  <w:footnote w:id="62">
    <w:p w14:paraId="7EB46291" w14:textId="1ED78C91" w:rsidR="00A22C1C" w:rsidRPr="00AC273F" w:rsidRDefault="00A22C1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7" w:history="1">
        <w:r>
          <w:rPr>
            <w:rStyle w:val="Hyperlink"/>
            <w:rFonts w:ascii="Times New Roman" w:hAnsi="Times New Roman"/>
          </w:rPr>
          <w:t>https://eur-lex.europa.eu/legal-content/FR/TXT/?uri=OJ:L_202501231</w:t>
        </w:r>
      </w:hyperlink>
      <w:r>
        <w:rPr>
          <w:rFonts w:ascii="Times New Roman" w:hAnsi="Times New Roman"/>
        </w:rPr>
        <w:t>.</w:t>
      </w:r>
    </w:p>
  </w:footnote>
  <w:footnote w:id="63">
    <w:p w14:paraId="6FDD5313" w14:textId="4E386A98" w:rsidR="007049DB" w:rsidRPr="00AC273F" w:rsidRDefault="007049D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8" w:history="1">
        <w:r>
          <w:rPr>
            <w:rStyle w:val="Hyperlink"/>
            <w:rFonts w:ascii="Times New Roman" w:hAnsi="Times New Roman"/>
          </w:rPr>
          <w:t>https://eur-lex.europa.eu/legal-content/FR/TXT/?uri=OJ:L_202501755</w:t>
        </w:r>
      </w:hyperlink>
      <w:r>
        <w:rPr>
          <w:rFonts w:ascii="Times New Roman" w:hAnsi="Times New Roman"/>
        </w:rPr>
        <w:t>.</w:t>
      </w:r>
    </w:p>
  </w:footnote>
  <w:footnote w:id="64">
    <w:p w14:paraId="43F9935A"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2" w:name="_Hlk222926852"/>
      <w:r>
        <w:rPr>
          <w:rFonts w:ascii="Times New Roman" w:hAnsi="Times New Roman" w:cs="Times New Roman"/>
          <w:color w:val="0563C1" w:themeColor="hyperlink"/>
          <w:u w:val="single"/>
        </w:rPr>
        <w:fldChar w:fldCharType="begin"/>
      </w:r>
      <w:r>
        <w:rPr>
          <w:rFonts w:ascii="Times New Roman" w:hAnsi="Times New Roman" w:cs="Times New Roman"/>
          <w:color w:val="0563C1" w:themeColor="hyperlink"/>
          <w:u w:val="single"/>
        </w:rPr>
        <w:instrText>HYPERLINK "https://eur-lex.europa.eu/legal-content/FR/TXT/?uri=CELEX:22025D2330"</w:instrText>
      </w:r>
      <w:r>
        <w:rPr>
          <w:rFonts w:ascii="Times New Roman" w:hAnsi="Times New Roman" w:cs="Times New Roman"/>
          <w:color w:val="0563C1" w:themeColor="hyperlink"/>
          <w:u w:val="single"/>
        </w:rPr>
        <w:fldChar w:fldCharType="separate"/>
      </w:r>
      <w:r>
        <w:rPr>
          <w:rStyle w:val="Hyperlink"/>
          <w:rFonts w:ascii="Times New Roman" w:hAnsi="Times New Roman"/>
        </w:rPr>
        <w:t>EUR-Lex – 22025D2330 – FR – EUR-Lex</w:t>
      </w:r>
      <w:r>
        <w:rPr>
          <w:rFonts w:ascii="Times New Roman" w:hAnsi="Times New Roman" w:cs="Times New Roman"/>
          <w:color w:val="0563C1" w:themeColor="hyperlink"/>
          <w:u w:val="single"/>
        </w:rPr>
        <w:fldChar w:fldCharType="end"/>
      </w:r>
      <w:r>
        <w:rPr>
          <w:rFonts w:ascii="Times New Roman" w:hAnsi="Times New Roman"/>
        </w:rPr>
        <w:t>.</w:t>
      </w:r>
      <w:bookmarkEnd w:id="92"/>
    </w:p>
  </w:footnote>
  <w:footnote w:id="65">
    <w:p w14:paraId="5896AB1A"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4" w:name="_Hlk222926879"/>
      <w:r>
        <w:rPr>
          <w:rFonts w:ascii="Times New Roman" w:hAnsi="Times New Roman"/>
        </w:rPr>
        <w:t>https://eur-lex.europa.eu/legal-content/FR/TXT/?uri=OJ:L_202502331</w:t>
      </w:r>
      <w:bookmarkEnd w:id="94"/>
    </w:p>
  </w:footnote>
  <w:footnote w:id="66">
    <w:p w14:paraId="272EE242"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EUR-Lex - 22025D2329 - FR - EUR-Lex</w:t>
        </w:r>
      </w:hyperlink>
      <w:r>
        <w:rPr>
          <w:rFonts w:ascii="Times New Roman" w:hAnsi="Times New Roman"/>
        </w:rPr>
        <w:t>.</w:t>
      </w:r>
    </w:p>
  </w:footnote>
  <w:footnote w:id="67">
    <w:p w14:paraId="449C28AA" w14:textId="6AB61482" w:rsidR="00B21CE1" w:rsidRPr="00A9100D" w:rsidRDefault="00B21CE1" w:rsidP="00B21C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nº 1/2025 du conseil de partenariat institué par l’accord de commerce et de coopération entre l’Union européenne et la Communauté européenne de l’énergie atomique, d’une part, et le Royaume-Uni de Grande-Bretagne et d’Irlande du Nord, d’autre part, du 18 juin 2025 portant interprétation de l’article 508, paragraphe 2, point d), de l’accord de commerce et de coopération entre l’Union européenne et la Communauté européenne de l’énergie atomique, d’une part, et le Royaume-Uni de Grande-Bretagne et d’Irlande du Nord, d’autre part: </w:t>
      </w:r>
      <w:hyperlink r:id="rId60" w:history="1">
        <w:r>
          <w:rPr>
            <w:rStyle w:val="Hyperlink"/>
            <w:rFonts w:ascii="Times New Roman" w:hAnsi="Times New Roman"/>
          </w:rPr>
          <w:t>https://eur-lex.europa.eu/legal-content/FR/TXT/?uri=OJ%3AL_202501229</w:t>
        </w:r>
      </w:hyperlink>
      <w:r>
        <w:rPr>
          <w:rFonts w:ascii="Times New Roman" w:hAnsi="Times New Roman"/>
        </w:rPr>
        <w:t>.</w:t>
      </w:r>
    </w:p>
  </w:footnote>
  <w:footnote w:id="68">
    <w:p w14:paraId="35D0DB26" w14:textId="663DC07A" w:rsidR="00B21CE1" w:rsidRPr="00A9100D" w:rsidRDefault="00B21CE1" w:rsidP="00B21CE1">
      <w:pPr>
        <w:pStyle w:val="FootnoteText"/>
        <w:jc w:val="both"/>
      </w:pPr>
      <w:r>
        <w:rPr>
          <w:rStyle w:val="FootnoteReference"/>
          <w:rFonts w:ascii="Times New Roman" w:hAnsi="Times New Roman" w:cs="Times New Roman"/>
        </w:rPr>
        <w:footnoteRef/>
      </w:r>
      <w:r>
        <w:rPr>
          <w:rFonts w:ascii="Times New Roman" w:hAnsi="Times New Roman"/>
        </w:rPr>
        <w:t xml:space="preserve"> Décision nº 1/2025 du comité spécialisé de la pêche en ce qui concerne les dispositions relatives au niveau et aux conditions de l’accès accordé par chaque partie aux navires de l’autre partie pour pêcher dans ses eaux du 1</w:t>
      </w:r>
      <w:r>
        <w:rPr>
          <w:rFonts w:ascii="Times New Roman" w:hAnsi="Times New Roman"/>
          <w:vertAlign w:val="superscript"/>
        </w:rPr>
        <w:t>er</w:t>
      </w:r>
      <w:r>
        <w:rPr>
          <w:rFonts w:ascii="Times New Roman" w:hAnsi="Times New Roman"/>
        </w:rPr>
        <w:t xml:space="preserve"> juillet 2026 au 30 juin 2038: </w:t>
      </w:r>
      <w:hyperlink r:id="rId61" w:history="1">
        <w:r>
          <w:rPr>
            <w:rStyle w:val="Hyperlink"/>
            <w:rFonts w:ascii="Times New Roman" w:hAnsi="Times New Roman"/>
          </w:rPr>
          <w:t>https://eur-lex.europa.eu/legal-content/FR/TXT/?uri=OJ:L_202501231</w:t>
        </w:r>
      </w:hyperlink>
      <w:r>
        <w:rPr>
          <w:rFonts w:ascii="Times New Roman" w:hAnsi="Times New Roman"/>
        </w:rPr>
        <w:t>.</w:t>
      </w:r>
    </w:p>
  </w:footnote>
  <w:footnote w:id="69">
    <w:p w14:paraId="4A0E2D24" w14:textId="6A0DEED2" w:rsidR="00A10D75" w:rsidRPr="00DC4CB9" w:rsidRDefault="00A10D75" w:rsidP="00A10D7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commune 1/2025 de l’Union et du Royaume-Uni au sein du conseil de partenariat institué par l’accord de commerce et de coopération entre l’Union européenne et la Communauté européenne de l’énergie atomique, d’une part, et le Royaume-Uni de Grande-Bretagne et d’Irlande du Nord, d’autre part, du 19 juin 2025 </w:t>
      </w:r>
      <w:hyperlink r:id="rId62" w:history="1">
        <w:r>
          <w:rPr>
            <w:rStyle w:val="Hyperlink"/>
            <w:rFonts w:ascii="Times New Roman" w:hAnsi="Times New Roman"/>
          </w:rPr>
          <w:t>https://eur-lex.europa.eu/legal-content/FR/TXT/?uri=OJ%3AL_202501232</w:t>
        </w:r>
      </w:hyperlink>
      <w:r>
        <w:rPr>
          <w:rFonts w:ascii="Times New Roman" w:hAnsi="Times New Roman"/>
        </w:rPr>
        <w:t>.</w:t>
      </w:r>
    </w:p>
  </w:footnote>
  <w:footnote w:id="70">
    <w:p w14:paraId="1CE68929" w14:textId="338FDAB6" w:rsidR="00A10D75" w:rsidRPr="00DC4CB9" w:rsidRDefault="00A10D75" w:rsidP="00A10D75">
      <w:pPr>
        <w:pStyle w:val="FootnoteText"/>
        <w:jc w:val="both"/>
      </w:pPr>
      <w:r>
        <w:rPr>
          <w:rStyle w:val="FootnoteReference"/>
          <w:rFonts w:ascii="Times New Roman" w:hAnsi="Times New Roman" w:cs="Times New Roman"/>
        </w:rPr>
        <w:footnoteRef/>
      </w:r>
      <w:r>
        <w:rPr>
          <w:rFonts w:ascii="Times New Roman" w:hAnsi="Times New Roman"/>
        </w:rPr>
        <w:t xml:space="preserve"> Décision nº 2/2025 du conseil de partenariat institué par l’accord de commerce et de coopération entre l’Union européenne et la Communauté européenne de l’énergie atomique, d’une part, et le Royaume-Uni de Grande-Bretagne et d’Irlande du Nord, d’autre part, du 19 juin 2025 portant interprétation de l’article 331, paragraphe 2, et prorogeant l’application du titre VIII (Énergie) de la rubrique un de la deuxième partie de l’accord de commerce et de coopération entre l’Union européenne et la Communauté européenne de l’énergie atomique, d’une part, et le Royaume-Uni de Grande-Bretagne et d’Irlande du Nord, d’autre part, </w:t>
      </w:r>
      <w:hyperlink r:id="rId63" w:history="1">
        <w:r>
          <w:rPr>
            <w:rStyle w:val="Hyperlink"/>
            <w:rFonts w:ascii="Times New Roman" w:hAnsi="Times New Roman"/>
          </w:rPr>
          <w:t>https://eur-lex.europa.eu/legal-content/FR/TXT/?uri=OJ%3AL_202501230</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22A7B" w14:textId="77777777" w:rsidR="008546B6" w:rsidRPr="008546B6" w:rsidRDefault="008546B6" w:rsidP="008546B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DFAE8" w14:textId="77777777" w:rsidR="008546B6" w:rsidRPr="008546B6" w:rsidRDefault="008546B6" w:rsidP="008546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D2466" w14:textId="77777777" w:rsidR="008546B6" w:rsidRPr="008546B6" w:rsidRDefault="008546B6" w:rsidP="008546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9F337" w14:textId="77777777" w:rsidR="00656149" w:rsidRDefault="00656149" w:rsidP="0007384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156ED" w14:textId="77777777" w:rsidR="00656149" w:rsidRDefault="00656149" w:rsidP="0007384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CF9D" w14:textId="77777777" w:rsidR="00656149" w:rsidRDefault="00656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1EA"/>
    <w:multiLevelType w:val="hybridMultilevel"/>
    <w:tmpl w:val="0C4C2B9E"/>
    <w:lvl w:ilvl="0" w:tplc="F3049B3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E346B5"/>
    <w:multiLevelType w:val="hybridMultilevel"/>
    <w:tmpl w:val="B7CA3A30"/>
    <w:lvl w:ilvl="0" w:tplc="C16AA0AA">
      <w:start w:val="1"/>
      <w:numFmt w:val="bullet"/>
      <w:lvlText w:val="·"/>
      <w:lvlJc w:val="left"/>
      <w:pPr>
        <w:ind w:left="720" w:hanging="360"/>
      </w:pPr>
      <w:rPr>
        <w:rFonts w:ascii="Symbol" w:hAnsi="Symbol" w:hint="default"/>
      </w:rPr>
    </w:lvl>
    <w:lvl w:ilvl="1" w:tplc="203ADCCA">
      <w:start w:val="1"/>
      <w:numFmt w:val="bullet"/>
      <w:lvlText w:val="o"/>
      <w:lvlJc w:val="left"/>
      <w:pPr>
        <w:ind w:left="1440" w:hanging="360"/>
      </w:pPr>
      <w:rPr>
        <w:rFonts w:ascii="Courier New" w:hAnsi="Courier New" w:hint="default"/>
      </w:rPr>
    </w:lvl>
    <w:lvl w:ilvl="2" w:tplc="BDA2687A">
      <w:start w:val="1"/>
      <w:numFmt w:val="bullet"/>
      <w:lvlText w:val=""/>
      <w:lvlJc w:val="left"/>
      <w:pPr>
        <w:ind w:left="2160" w:hanging="360"/>
      </w:pPr>
      <w:rPr>
        <w:rFonts w:ascii="Wingdings" w:hAnsi="Wingdings" w:hint="default"/>
      </w:rPr>
    </w:lvl>
    <w:lvl w:ilvl="3" w:tplc="9838193A">
      <w:start w:val="1"/>
      <w:numFmt w:val="bullet"/>
      <w:lvlText w:val=""/>
      <w:lvlJc w:val="left"/>
      <w:pPr>
        <w:ind w:left="2880" w:hanging="360"/>
      </w:pPr>
      <w:rPr>
        <w:rFonts w:ascii="Symbol" w:hAnsi="Symbol" w:hint="default"/>
      </w:rPr>
    </w:lvl>
    <w:lvl w:ilvl="4" w:tplc="20945298">
      <w:start w:val="1"/>
      <w:numFmt w:val="bullet"/>
      <w:lvlText w:val="o"/>
      <w:lvlJc w:val="left"/>
      <w:pPr>
        <w:ind w:left="3600" w:hanging="360"/>
      </w:pPr>
      <w:rPr>
        <w:rFonts w:ascii="Courier New" w:hAnsi="Courier New" w:hint="default"/>
      </w:rPr>
    </w:lvl>
    <w:lvl w:ilvl="5" w:tplc="1A12790E">
      <w:start w:val="1"/>
      <w:numFmt w:val="bullet"/>
      <w:lvlText w:val=""/>
      <w:lvlJc w:val="left"/>
      <w:pPr>
        <w:ind w:left="4320" w:hanging="360"/>
      </w:pPr>
      <w:rPr>
        <w:rFonts w:ascii="Wingdings" w:hAnsi="Wingdings" w:hint="default"/>
      </w:rPr>
    </w:lvl>
    <w:lvl w:ilvl="6" w:tplc="A8C64DC8">
      <w:start w:val="1"/>
      <w:numFmt w:val="bullet"/>
      <w:lvlText w:val=""/>
      <w:lvlJc w:val="left"/>
      <w:pPr>
        <w:ind w:left="5040" w:hanging="360"/>
      </w:pPr>
      <w:rPr>
        <w:rFonts w:ascii="Symbol" w:hAnsi="Symbol" w:hint="default"/>
      </w:rPr>
    </w:lvl>
    <w:lvl w:ilvl="7" w:tplc="78A02AD8">
      <w:start w:val="1"/>
      <w:numFmt w:val="bullet"/>
      <w:lvlText w:val="o"/>
      <w:lvlJc w:val="left"/>
      <w:pPr>
        <w:ind w:left="5760" w:hanging="360"/>
      </w:pPr>
      <w:rPr>
        <w:rFonts w:ascii="Courier New" w:hAnsi="Courier New" w:hint="default"/>
      </w:rPr>
    </w:lvl>
    <w:lvl w:ilvl="8" w:tplc="E91EDCEC">
      <w:start w:val="1"/>
      <w:numFmt w:val="bullet"/>
      <w:lvlText w:val=""/>
      <w:lvlJc w:val="left"/>
      <w:pPr>
        <w:ind w:left="6480" w:hanging="360"/>
      </w:pPr>
      <w:rPr>
        <w:rFonts w:ascii="Wingdings" w:hAnsi="Wingdings" w:hint="default"/>
      </w:rPr>
    </w:lvl>
  </w:abstractNum>
  <w:abstractNum w:abstractNumId="2" w15:restartNumberingAfterBreak="0">
    <w:nsid w:val="03F8B7B9"/>
    <w:multiLevelType w:val="hybridMultilevel"/>
    <w:tmpl w:val="C6928C84"/>
    <w:lvl w:ilvl="0" w:tplc="0DF837BE">
      <w:start w:val="1"/>
      <w:numFmt w:val="bullet"/>
      <w:lvlText w:val=""/>
      <w:lvlJc w:val="left"/>
      <w:pPr>
        <w:ind w:left="720" w:hanging="360"/>
      </w:pPr>
      <w:rPr>
        <w:rFonts w:ascii="Symbol" w:hAnsi="Symbol" w:hint="default"/>
      </w:rPr>
    </w:lvl>
    <w:lvl w:ilvl="1" w:tplc="C20A8A80">
      <w:start w:val="1"/>
      <w:numFmt w:val="bullet"/>
      <w:lvlText w:val="o"/>
      <w:lvlJc w:val="left"/>
      <w:pPr>
        <w:ind w:left="1440" w:hanging="360"/>
      </w:pPr>
      <w:rPr>
        <w:rFonts w:ascii="Courier New" w:hAnsi="Courier New" w:hint="default"/>
      </w:rPr>
    </w:lvl>
    <w:lvl w:ilvl="2" w:tplc="BA54C512">
      <w:start w:val="1"/>
      <w:numFmt w:val="bullet"/>
      <w:lvlText w:val=""/>
      <w:lvlJc w:val="left"/>
      <w:pPr>
        <w:ind w:left="2160" w:hanging="360"/>
      </w:pPr>
      <w:rPr>
        <w:rFonts w:ascii="Wingdings" w:hAnsi="Wingdings" w:hint="default"/>
      </w:rPr>
    </w:lvl>
    <w:lvl w:ilvl="3" w:tplc="F5C4FF3E">
      <w:start w:val="1"/>
      <w:numFmt w:val="bullet"/>
      <w:lvlText w:val=""/>
      <w:lvlJc w:val="left"/>
      <w:pPr>
        <w:ind w:left="2880" w:hanging="360"/>
      </w:pPr>
      <w:rPr>
        <w:rFonts w:ascii="Symbol" w:hAnsi="Symbol" w:hint="default"/>
      </w:rPr>
    </w:lvl>
    <w:lvl w:ilvl="4" w:tplc="97BCAB42">
      <w:start w:val="1"/>
      <w:numFmt w:val="bullet"/>
      <w:lvlText w:val="o"/>
      <w:lvlJc w:val="left"/>
      <w:pPr>
        <w:ind w:left="3600" w:hanging="360"/>
      </w:pPr>
      <w:rPr>
        <w:rFonts w:ascii="Courier New" w:hAnsi="Courier New" w:hint="default"/>
      </w:rPr>
    </w:lvl>
    <w:lvl w:ilvl="5" w:tplc="7E120428">
      <w:start w:val="1"/>
      <w:numFmt w:val="bullet"/>
      <w:lvlText w:val=""/>
      <w:lvlJc w:val="left"/>
      <w:pPr>
        <w:ind w:left="4320" w:hanging="360"/>
      </w:pPr>
      <w:rPr>
        <w:rFonts w:ascii="Wingdings" w:hAnsi="Wingdings" w:hint="default"/>
      </w:rPr>
    </w:lvl>
    <w:lvl w:ilvl="6" w:tplc="AC6C56EC">
      <w:start w:val="1"/>
      <w:numFmt w:val="bullet"/>
      <w:lvlText w:val=""/>
      <w:lvlJc w:val="left"/>
      <w:pPr>
        <w:ind w:left="5040" w:hanging="360"/>
      </w:pPr>
      <w:rPr>
        <w:rFonts w:ascii="Symbol" w:hAnsi="Symbol" w:hint="default"/>
      </w:rPr>
    </w:lvl>
    <w:lvl w:ilvl="7" w:tplc="3092DCC2">
      <w:start w:val="1"/>
      <w:numFmt w:val="bullet"/>
      <w:lvlText w:val="o"/>
      <w:lvlJc w:val="left"/>
      <w:pPr>
        <w:ind w:left="5760" w:hanging="360"/>
      </w:pPr>
      <w:rPr>
        <w:rFonts w:ascii="Courier New" w:hAnsi="Courier New" w:hint="default"/>
      </w:rPr>
    </w:lvl>
    <w:lvl w:ilvl="8" w:tplc="82A45428">
      <w:start w:val="1"/>
      <w:numFmt w:val="bullet"/>
      <w:lvlText w:val=""/>
      <w:lvlJc w:val="left"/>
      <w:pPr>
        <w:ind w:left="6480" w:hanging="360"/>
      </w:pPr>
      <w:rPr>
        <w:rFonts w:ascii="Wingdings" w:hAnsi="Wingdings" w:hint="default"/>
      </w:rPr>
    </w:lvl>
  </w:abstractNum>
  <w:abstractNum w:abstractNumId="3" w15:restartNumberingAfterBreak="0">
    <w:nsid w:val="051059EC"/>
    <w:multiLevelType w:val="hybridMultilevel"/>
    <w:tmpl w:val="0B2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5B44A"/>
    <w:multiLevelType w:val="hybridMultilevel"/>
    <w:tmpl w:val="62362092"/>
    <w:lvl w:ilvl="0" w:tplc="DB4EF0AA">
      <w:start w:val="1"/>
      <w:numFmt w:val="bullet"/>
      <w:lvlText w:val="-"/>
      <w:lvlJc w:val="left"/>
      <w:pPr>
        <w:ind w:left="720" w:hanging="360"/>
      </w:pPr>
      <w:rPr>
        <w:rFonts w:ascii="Calibri" w:hAnsi="Calibri" w:hint="default"/>
      </w:rPr>
    </w:lvl>
    <w:lvl w:ilvl="1" w:tplc="3C90E556">
      <w:start w:val="1"/>
      <w:numFmt w:val="bullet"/>
      <w:lvlText w:val="o"/>
      <w:lvlJc w:val="left"/>
      <w:pPr>
        <w:ind w:left="1440" w:hanging="360"/>
      </w:pPr>
      <w:rPr>
        <w:rFonts w:ascii="Courier New" w:hAnsi="Courier New" w:hint="default"/>
      </w:rPr>
    </w:lvl>
    <w:lvl w:ilvl="2" w:tplc="CB02C54C">
      <w:start w:val="1"/>
      <w:numFmt w:val="bullet"/>
      <w:lvlText w:val=""/>
      <w:lvlJc w:val="left"/>
      <w:pPr>
        <w:ind w:left="2160" w:hanging="360"/>
      </w:pPr>
      <w:rPr>
        <w:rFonts w:ascii="Wingdings" w:hAnsi="Wingdings" w:hint="default"/>
      </w:rPr>
    </w:lvl>
    <w:lvl w:ilvl="3" w:tplc="6D00FB02">
      <w:start w:val="1"/>
      <w:numFmt w:val="bullet"/>
      <w:lvlText w:val=""/>
      <w:lvlJc w:val="left"/>
      <w:pPr>
        <w:ind w:left="2880" w:hanging="360"/>
      </w:pPr>
      <w:rPr>
        <w:rFonts w:ascii="Symbol" w:hAnsi="Symbol" w:hint="default"/>
      </w:rPr>
    </w:lvl>
    <w:lvl w:ilvl="4" w:tplc="32B24F86">
      <w:start w:val="1"/>
      <w:numFmt w:val="bullet"/>
      <w:lvlText w:val="o"/>
      <w:lvlJc w:val="left"/>
      <w:pPr>
        <w:ind w:left="3600" w:hanging="360"/>
      </w:pPr>
      <w:rPr>
        <w:rFonts w:ascii="Courier New" w:hAnsi="Courier New" w:hint="default"/>
      </w:rPr>
    </w:lvl>
    <w:lvl w:ilvl="5" w:tplc="32F8C684">
      <w:start w:val="1"/>
      <w:numFmt w:val="bullet"/>
      <w:lvlText w:val=""/>
      <w:lvlJc w:val="left"/>
      <w:pPr>
        <w:ind w:left="4320" w:hanging="360"/>
      </w:pPr>
      <w:rPr>
        <w:rFonts w:ascii="Wingdings" w:hAnsi="Wingdings" w:hint="default"/>
      </w:rPr>
    </w:lvl>
    <w:lvl w:ilvl="6" w:tplc="50262DB6">
      <w:start w:val="1"/>
      <w:numFmt w:val="bullet"/>
      <w:lvlText w:val=""/>
      <w:lvlJc w:val="left"/>
      <w:pPr>
        <w:ind w:left="5040" w:hanging="360"/>
      </w:pPr>
      <w:rPr>
        <w:rFonts w:ascii="Symbol" w:hAnsi="Symbol" w:hint="default"/>
      </w:rPr>
    </w:lvl>
    <w:lvl w:ilvl="7" w:tplc="EE2E0D36">
      <w:start w:val="1"/>
      <w:numFmt w:val="bullet"/>
      <w:lvlText w:val="o"/>
      <w:lvlJc w:val="left"/>
      <w:pPr>
        <w:ind w:left="5760" w:hanging="360"/>
      </w:pPr>
      <w:rPr>
        <w:rFonts w:ascii="Courier New" w:hAnsi="Courier New" w:hint="default"/>
      </w:rPr>
    </w:lvl>
    <w:lvl w:ilvl="8" w:tplc="24366F3C">
      <w:start w:val="1"/>
      <w:numFmt w:val="bullet"/>
      <w:lvlText w:val=""/>
      <w:lvlJc w:val="left"/>
      <w:pPr>
        <w:ind w:left="6480" w:hanging="360"/>
      </w:pPr>
      <w:rPr>
        <w:rFonts w:ascii="Wingdings" w:hAnsi="Wingdings" w:hint="default"/>
      </w:rPr>
    </w:lvl>
  </w:abstractNum>
  <w:abstractNum w:abstractNumId="5" w15:restartNumberingAfterBreak="0">
    <w:nsid w:val="06B86DE1"/>
    <w:multiLevelType w:val="hybridMultilevel"/>
    <w:tmpl w:val="34A63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504660"/>
    <w:multiLevelType w:val="hybridMultilevel"/>
    <w:tmpl w:val="AD4E1F58"/>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F553FD"/>
    <w:multiLevelType w:val="multilevel"/>
    <w:tmpl w:val="C32E4A1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117D71"/>
    <w:multiLevelType w:val="multilevel"/>
    <w:tmpl w:val="440E4B8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7B0C30"/>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784192"/>
    <w:multiLevelType w:val="hybridMultilevel"/>
    <w:tmpl w:val="681EB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A91549"/>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8AB1946"/>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A9C887D"/>
    <w:multiLevelType w:val="hybridMultilevel"/>
    <w:tmpl w:val="30023C44"/>
    <w:lvl w:ilvl="0" w:tplc="812E4DA2">
      <w:start w:val="1"/>
      <w:numFmt w:val="bullet"/>
      <w:lvlText w:val="·"/>
      <w:lvlJc w:val="left"/>
      <w:pPr>
        <w:ind w:left="720" w:hanging="360"/>
      </w:pPr>
      <w:rPr>
        <w:rFonts w:ascii="Symbol" w:hAnsi="Symbol" w:hint="default"/>
      </w:rPr>
    </w:lvl>
    <w:lvl w:ilvl="1" w:tplc="D5A0198E">
      <w:start w:val="1"/>
      <w:numFmt w:val="bullet"/>
      <w:lvlText w:val="o"/>
      <w:lvlJc w:val="left"/>
      <w:pPr>
        <w:ind w:left="1440" w:hanging="360"/>
      </w:pPr>
      <w:rPr>
        <w:rFonts w:ascii="Courier New" w:hAnsi="Courier New" w:hint="default"/>
      </w:rPr>
    </w:lvl>
    <w:lvl w:ilvl="2" w:tplc="B99C2B40">
      <w:start w:val="1"/>
      <w:numFmt w:val="bullet"/>
      <w:lvlText w:val=""/>
      <w:lvlJc w:val="left"/>
      <w:pPr>
        <w:ind w:left="2160" w:hanging="360"/>
      </w:pPr>
      <w:rPr>
        <w:rFonts w:ascii="Wingdings" w:hAnsi="Wingdings" w:hint="default"/>
      </w:rPr>
    </w:lvl>
    <w:lvl w:ilvl="3" w:tplc="97088834">
      <w:start w:val="1"/>
      <w:numFmt w:val="bullet"/>
      <w:lvlText w:val=""/>
      <w:lvlJc w:val="left"/>
      <w:pPr>
        <w:ind w:left="2880" w:hanging="360"/>
      </w:pPr>
      <w:rPr>
        <w:rFonts w:ascii="Symbol" w:hAnsi="Symbol" w:hint="default"/>
      </w:rPr>
    </w:lvl>
    <w:lvl w:ilvl="4" w:tplc="9FF06654">
      <w:start w:val="1"/>
      <w:numFmt w:val="bullet"/>
      <w:lvlText w:val="o"/>
      <w:lvlJc w:val="left"/>
      <w:pPr>
        <w:ind w:left="3600" w:hanging="360"/>
      </w:pPr>
      <w:rPr>
        <w:rFonts w:ascii="Courier New" w:hAnsi="Courier New" w:hint="default"/>
      </w:rPr>
    </w:lvl>
    <w:lvl w:ilvl="5" w:tplc="037635F2">
      <w:start w:val="1"/>
      <w:numFmt w:val="bullet"/>
      <w:lvlText w:val=""/>
      <w:lvlJc w:val="left"/>
      <w:pPr>
        <w:ind w:left="4320" w:hanging="360"/>
      </w:pPr>
      <w:rPr>
        <w:rFonts w:ascii="Wingdings" w:hAnsi="Wingdings" w:hint="default"/>
      </w:rPr>
    </w:lvl>
    <w:lvl w:ilvl="6" w:tplc="0BF616BE">
      <w:start w:val="1"/>
      <w:numFmt w:val="bullet"/>
      <w:lvlText w:val=""/>
      <w:lvlJc w:val="left"/>
      <w:pPr>
        <w:ind w:left="5040" w:hanging="360"/>
      </w:pPr>
      <w:rPr>
        <w:rFonts w:ascii="Symbol" w:hAnsi="Symbol" w:hint="default"/>
      </w:rPr>
    </w:lvl>
    <w:lvl w:ilvl="7" w:tplc="D8C6E128">
      <w:start w:val="1"/>
      <w:numFmt w:val="bullet"/>
      <w:lvlText w:val="o"/>
      <w:lvlJc w:val="left"/>
      <w:pPr>
        <w:ind w:left="5760" w:hanging="360"/>
      </w:pPr>
      <w:rPr>
        <w:rFonts w:ascii="Courier New" w:hAnsi="Courier New" w:hint="default"/>
      </w:rPr>
    </w:lvl>
    <w:lvl w:ilvl="8" w:tplc="564E4D5C">
      <w:start w:val="1"/>
      <w:numFmt w:val="bullet"/>
      <w:lvlText w:val=""/>
      <w:lvlJc w:val="left"/>
      <w:pPr>
        <w:ind w:left="6480" w:hanging="360"/>
      </w:pPr>
      <w:rPr>
        <w:rFonts w:ascii="Wingdings" w:hAnsi="Wingdings" w:hint="default"/>
      </w:rPr>
    </w:lvl>
  </w:abstractNum>
  <w:abstractNum w:abstractNumId="14" w15:restartNumberingAfterBreak="0">
    <w:nsid w:val="1B681634"/>
    <w:multiLevelType w:val="multilevel"/>
    <w:tmpl w:val="176874A4"/>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D066455"/>
    <w:multiLevelType w:val="hybridMultilevel"/>
    <w:tmpl w:val="6486D560"/>
    <w:lvl w:ilvl="0" w:tplc="4FCA626E">
      <w:start w:val="1"/>
      <w:numFmt w:val="bullet"/>
      <w:lvlText w:val=""/>
      <w:lvlJc w:val="left"/>
      <w:pPr>
        <w:ind w:left="720" w:hanging="360"/>
      </w:pPr>
      <w:rPr>
        <w:rFonts w:ascii="Symbol" w:hAnsi="Symbol" w:hint="default"/>
      </w:rPr>
    </w:lvl>
    <w:lvl w:ilvl="1" w:tplc="97C25E6E">
      <w:start w:val="1"/>
      <w:numFmt w:val="bullet"/>
      <w:lvlText w:val="o"/>
      <w:lvlJc w:val="left"/>
      <w:pPr>
        <w:ind w:left="1440" w:hanging="360"/>
      </w:pPr>
      <w:rPr>
        <w:rFonts w:ascii="Courier New" w:hAnsi="Courier New" w:hint="default"/>
      </w:rPr>
    </w:lvl>
    <w:lvl w:ilvl="2" w:tplc="113EB96C">
      <w:start w:val="1"/>
      <w:numFmt w:val="bullet"/>
      <w:lvlText w:val=""/>
      <w:lvlJc w:val="left"/>
      <w:pPr>
        <w:ind w:left="2160" w:hanging="360"/>
      </w:pPr>
      <w:rPr>
        <w:rFonts w:ascii="Wingdings" w:hAnsi="Wingdings" w:hint="default"/>
      </w:rPr>
    </w:lvl>
    <w:lvl w:ilvl="3" w:tplc="F3861FFA">
      <w:start w:val="1"/>
      <w:numFmt w:val="bullet"/>
      <w:lvlText w:val=""/>
      <w:lvlJc w:val="left"/>
      <w:pPr>
        <w:ind w:left="2880" w:hanging="360"/>
      </w:pPr>
      <w:rPr>
        <w:rFonts w:ascii="Symbol" w:hAnsi="Symbol" w:hint="default"/>
      </w:rPr>
    </w:lvl>
    <w:lvl w:ilvl="4" w:tplc="1C2662BA">
      <w:start w:val="1"/>
      <w:numFmt w:val="bullet"/>
      <w:lvlText w:val="o"/>
      <w:lvlJc w:val="left"/>
      <w:pPr>
        <w:ind w:left="3600" w:hanging="360"/>
      </w:pPr>
      <w:rPr>
        <w:rFonts w:ascii="Courier New" w:hAnsi="Courier New" w:hint="default"/>
      </w:rPr>
    </w:lvl>
    <w:lvl w:ilvl="5" w:tplc="E7B0DA18">
      <w:start w:val="1"/>
      <w:numFmt w:val="bullet"/>
      <w:lvlText w:val=""/>
      <w:lvlJc w:val="left"/>
      <w:pPr>
        <w:ind w:left="4320" w:hanging="360"/>
      </w:pPr>
      <w:rPr>
        <w:rFonts w:ascii="Wingdings" w:hAnsi="Wingdings" w:hint="default"/>
      </w:rPr>
    </w:lvl>
    <w:lvl w:ilvl="6" w:tplc="8500DEE2">
      <w:start w:val="1"/>
      <w:numFmt w:val="bullet"/>
      <w:lvlText w:val=""/>
      <w:lvlJc w:val="left"/>
      <w:pPr>
        <w:ind w:left="5040" w:hanging="360"/>
      </w:pPr>
      <w:rPr>
        <w:rFonts w:ascii="Symbol" w:hAnsi="Symbol" w:hint="default"/>
      </w:rPr>
    </w:lvl>
    <w:lvl w:ilvl="7" w:tplc="2F18F128">
      <w:start w:val="1"/>
      <w:numFmt w:val="bullet"/>
      <w:lvlText w:val="o"/>
      <w:lvlJc w:val="left"/>
      <w:pPr>
        <w:ind w:left="5760" w:hanging="360"/>
      </w:pPr>
      <w:rPr>
        <w:rFonts w:ascii="Courier New" w:hAnsi="Courier New" w:hint="default"/>
      </w:rPr>
    </w:lvl>
    <w:lvl w:ilvl="8" w:tplc="124C5710">
      <w:start w:val="1"/>
      <w:numFmt w:val="bullet"/>
      <w:lvlText w:val=""/>
      <w:lvlJc w:val="left"/>
      <w:pPr>
        <w:ind w:left="6480" w:hanging="360"/>
      </w:pPr>
      <w:rPr>
        <w:rFonts w:ascii="Wingdings" w:hAnsi="Wingdings" w:hint="default"/>
      </w:rPr>
    </w:lvl>
  </w:abstractNum>
  <w:abstractNum w:abstractNumId="16" w15:restartNumberingAfterBreak="0">
    <w:nsid w:val="1E57C548"/>
    <w:multiLevelType w:val="hybridMultilevel"/>
    <w:tmpl w:val="B97E8806"/>
    <w:lvl w:ilvl="0" w:tplc="F5E4C564">
      <w:numFmt w:val="none"/>
      <w:lvlText w:val=""/>
      <w:lvlJc w:val="left"/>
      <w:pPr>
        <w:tabs>
          <w:tab w:val="num" w:pos="360"/>
        </w:tabs>
      </w:pPr>
    </w:lvl>
    <w:lvl w:ilvl="1" w:tplc="2932A6E0">
      <w:start w:val="1"/>
      <w:numFmt w:val="lowerLetter"/>
      <w:lvlText w:val="%2."/>
      <w:lvlJc w:val="left"/>
      <w:pPr>
        <w:ind w:left="1437" w:hanging="360"/>
      </w:pPr>
    </w:lvl>
    <w:lvl w:ilvl="2" w:tplc="87E8508C">
      <w:start w:val="1"/>
      <w:numFmt w:val="lowerRoman"/>
      <w:lvlText w:val="%3."/>
      <w:lvlJc w:val="right"/>
      <w:pPr>
        <w:ind w:left="2157" w:hanging="180"/>
      </w:pPr>
    </w:lvl>
    <w:lvl w:ilvl="3" w:tplc="8F182F76">
      <w:start w:val="1"/>
      <w:numFmt w:val="decimal"/>
      <w:lvlText w:val="%4."/>
      <w:lvlJc w:val="left"/>
      <w:pPr>
        <w:ind w:left="2877" w:hanging="360"/>
      </w:pPr>
    </w:lvl>
    <w:lvl w:ilvl="4" w:tplc="422CEAA0">
      <w:start w:val="1"/>
      <w:numFmt w:val="lowerLetter"/>
      <w:lvlText w:val="%5."/>
      <w:lvlJc w:val="left"/>
      <w:pPr>
        <w:ind w:left="3597" w:hanging="360"/>
      </w:pPr>
    </w:lvl>
    <w:lvl w:ilvl="5" w:tplc="AB9C0C9C">
      <w:start w:val="1"/>
      <w:numFmt w:val="lowerRoman"/>
      <w:lvlText w:val="%6."/>
      <w:lvlJc w:val="right"/>
      <w:pPr>
        <w:ind w:left="4317" w:hanging="180"/>
      </w:pPr>
    </w:lvl>
    <w:lvl w:ilvl="6" w:tplc="358CCBEC">
      <w:start w:val="1"/>
      <w:numFmt w:val="decimal"/>
      <w:lvlText w:val="%7."/>
      <w:lvlJc w:val="left"/>
      <w:pPr>
        <w:ind w:left="5037" w:hanging="360"/>
      </w:pPr>
    </w:lvl>
    <w:lvl w:ilvl="7" w:tplc="D00AA292">
      <w:start w:val="1"/>
      <w:numFmt w:val="lowerLetter"/>
      <w:lvlText w:val="%8."/>
      <w:lvlJc w:val="left"/>
      <w:pPr>
        <w:ind w:left="5757" w:hanging="360"/>
      </w:pPr>
    </w:lvl>
    <w:lvl w:ilvl="8" w:tplc="6BC4B5A8">
      <w:start w:val="1"/>
      <w:numFmt w:val="lowerRoman"/>
      <w:lvlText w:val="%9."/>
      <w:lvlJc w:val="right"/>
      <w:pPr>
        <w:ind w:left="6477" w:hanging="180"/>
      </w:pPr>
    </w:lvl>
  </w:abstractNum>
  <w:abstractNum w:abstractNumId="17" w15:restartNumberingAfterBreak="0">
    <w:nsid w:val="216C580D"/>
    <w:multiLevelType w:val="hybridMultilevel"/>
    <w:tmpl w:val="6256F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986A20"/>
    <w:multiLevelType w:val="hybridMultilevel"/>
    <w:tmpl w:val="54966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97F1A7D"/>
    <w:multiLevelType w:val="hybridMultilevel"/>
    <w:tmpl w:val="CBDC6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D33E63"/>
    <w:multiLevelType w:val="hybridMultilevel"/>
    <w:tmpl w:val="43F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0B1A30"/>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DA87A40"/>
    <w:multiLevelType w:val="hybridMultilevel"/>
    <w:tmpl w:val="8CEA5820"/>
    <w:lvl w:ilvl="0" w:tplc="230E58F4">
      <w:start w:val="1"/>
      <w:numFmt w:val="bullet"/>
      <w:lvlText w:val="·"/>
      <w:lvlJc w:val="left"/>
      <w:pPr>
        <w:ind w:left="720" w:hanging="360"/>
      </w:pPr>
      <w:rPr>
        <w:rFonts w:ascii="Symbol" w:hAnsi="Symbol" w:hint="default"/>
      </w:rPr>
    </w:lvl>
    <w:lvl w:ilvl="1" w:tplc="00C6166E">
      <w:start w:val="1"/>
      <w:numFmt w:val="bullet"/>
      <w:lvlText w:val="o"/>
      <w:lvlJc w:val="left"/>
      <w:pPr>
        <w:ind w:left="1440" w:hanging="360"/>
      </w:pPr>
      <w:rPr>
        <w:rFonts w:ascii="Courier New" w:hAnsi="Courier New" w:hint="default"/>
      </w:rPr>
    </w:lvl>
    <w:lvl w:ilvl="2" w:tplc="E58014F6">
      <w:start w:val="1"/>
      <w:numFmt w:val="bullet"/>
      <w:lvlText w:val=""/>
      <w:lvlJc w:val="left"/>
      <w:pPr>
        <w:ind w:left="2160" w:hanging="360"/>
      </w:pPr>
      <w:rPr>
        <w:rFonts w:ascii="Wingdings" w:hAnsi="Wingdings" w:hint="default"/>
      </w:rPr>
    </w:lvl>
    <w:lvl w:ilvl="3" w:tplc="60C031B6">
      <w:start w:val="1"/>
      <w:numFmt w:val="bullet"/>
      <w:lvlText w:val=""/>
      <w:lvlJc w:val="left"/>
      <w:pPr>
        <w:ind w:left="2880" w:hanging="360"/>
      </w:pPr>
      <w:rPr>
        <w:rFonts w:ascii="Symbol" w:hAnsi="Symbol" w:hint="default"/>
      </w:rPr>
    </w:lvl>
    <w:lvl w:ilvl="4" w:tplc="6BA890BC">
      <w:start w:val="1"/>
      <w:numFmt w:val="bullet"/>
      <w:lvlText w:val="o"/>
      <w:lvlJc w:val="left"/>
      <w:pPr>
        <w:ind w:left="3600" w:hanging="360"/>
      </w:pPr>
      <w:rPr>
        <w:rFonts w:ascii="Courier New" w:hAnsi="Courier New" w:hint="default"/>
      </w:rPr>
    </w:lvl>
    <w:lvl w:ilvl="5" w:tplc="E4D0C4B8">
      <w:start w:val="1"/>
      <w:numFmt w:val="bullet"/>
      <w:lvlText w:val=""/>
      <w:lvlJc w:val="left"/>
      <w:pPr>
        <w:ind w:left="4320" w:hanging="360"/>
      </w:pPr>
      <w:rPr>
        <w:rFonts w:ascii="Wingdings" w:hAnsi="Wingdings" w:hint="default"/>
      </w:rPr>
    </w:lvl>
    <w:lvl w:ilvl="6" w:tplc="60702F4C">
      <w:start w:val="1"/>
      <w:numFmt w:val="bullet"/>
      <w:lvlText w:val=""/>
      <w:lvlJc w:val="left"/>
      <w:pPr>
        <w:ind w:left="5040" w:hanging="360"/>
      </w:pPr>
      <w:rPr>
        <w:rFonts w:ascii="Symbol" w:hAnsi="Symbol" w:hint="default"/>
      </w:rPr>
    </w:lvl>
    <w:lvl w:ilvl="7" w:tplc="E65A9212">
      <w:start w:val="1"/>
      <w:numFmt w:val="bullet"/>
      <w:lvlText w:val="o"/>
      <w:lvlJc w:val="left"/>
      <w:pPr>
        <w:ind w:left="5760" w:hanging="360"/>
      </w:pPr>
      <w:rPr>
        <w:rFonts w:ascii="Courier New" w:hAnsi="Courier New" w:hint="default"/>
      </w:rPr>
    </w:lvl>
    <w:lvl w:ilvl="8" w:tplc="23D2A6C4">
      <w:start w:val="1"/>
      <w:numFmt w:val="bullet"/>
      <w:lvlText w:val=""/>
      <w:lvlJc w:val="left"/>
      <w:pPr>
        <w:ind w:left="6480" w:hanging="360"/>
      </w:pPr>
      <w:rPr>
        <w:rFonts w:ascii="Wingdings" w:hAnsi="Wingdings" w:hint="default"/>
      </w:rPr>
    </w:lvl>
  </w:abstractNum>
  <w:abstractNum w:abstractNumId="23" w15:restartNumberingAfterBreak="0">
    <w:nsid w:val="2F5C2088"/>
    <w:multiLevelType w:val="hybridMultilevel"/>
    <w:tmpl w:val="CAB64B10"/>
    <w:lvl w:ilvl="0" w:tplc="8202FB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653F77"/>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D88E63"/>
    <w:multiLevelType w:val="hybridMultilevel"/>
    <w:tmpl w:val="F4529B22"/>
    <w:lvl w:ilvl="0" w:tplc="F4E6E3C6">
      <w:start w:val="1"/>
      <w:numFmt w:val="bullet"/>
      <w:lvlText w:val="·"/>
      <w:lvlJc w:val="left"/>
      <w:pPr>
        <w:ind w:left="720" w:hanging="360"/>
      </w:pPr>
      <w:rPr>
        <w:rFonts w:ascii="Symbol" w:hAnsi="Symbol" w:hint="default"/>
      </w:rPr>
    </w:lvl>
    <w:lvl w:ilvl="1" w:tplc="B9B6EC86">
      <w:start w:val="1"/>
      <w:numFmt w:val="bullet"/>
      <w:lvlText w:val="o"/>
      <w:lvlJc w:val="left"/>
      <w:pPr>
        <w:ind w:left="1440" w:hanging="360"/>
      </w:pPr>
      <w:rPr>
        <w:rFonts w:ascii="Courier New" w:hAnsi="Courier New" w:hint="default"/>
      </w:rPr>
    </w:lvl>
    <w:lvl w:ilvl="2" w:tplc="80860B82">
      <w:start w:val="1"/>
      <w:numFmt w:val="bullet"/>
      <w:lvlText w:val=""/>
      <w:lvlJc w:val="left"/>
      <w:pPr>
        <w:ind w:left="2160" w:hanging="360"/>
      </w:pPr>
      <w:rPr>
        <w:rFonts w:ascii="Wingdings" w:hAnsi="Wingdings" w:hint="default"/>
      </w:rPr>
    </w:lvl>
    <w:lvl w:ilvl="3" w:tplc="DE26EACA">
      <w:start w:val="1"/>
      <w:numFmt w:val="bullet"/>
      <w:lvlText w:val=""/>
      <w:lvlJc w:val="left"/>
      <w:pPr>
        <w:ind w:left="2880" w:hanging="360"/>
      </w:pPr>
      <w:rPr>
        <w:rFonts w:ascii="Symbol" w:hAnsi="Symbol" w:hint="default"/>
      </w:rPr>
    </w:lvl>
    <w:lvl w:ilvl="4" w:tplc="FECED558">
      <w:start w:val="1"/>
      <w:numFmt w:val="bullet"/>
      <w:lvlText w:val="o"/>
      <w:lvlJc w:val="left"/>
      <w:pPr>
        <w:ind w:left="3600" w:hanging="360"/>
      </w:pPr>
      <w:rPr>
        <w:rFonts w:ascii="Courier New" w:hAnsi="Courier New" w:hint="default"/>
      </w:rPr>
    </w:lvl>
    <w:lvl w:ilvl="5" w:tplc="23D2A90E">
      <w:start w:val="1"/>
      <w:numFmt w:val="bullet"/>
      <w:lvlText w:val=""/>
      <w:lvlJc w:val="left"/>
      <w:pPr>
        <w:ind w:left="4320" w:hanging="360"/>
      </w:pPr>
      <w:rPr>
        <w:rFonts w:ascii="Wingdings" w:hAnsi="Wingdings" w:hint="default"/>
      </w:rPr>
    </w:lvl>
    <w:lvl w:ilvl="6" w:tplc="F36AE38E">
      <w:start w:val="1"/>
      <w:numFmt w:val="bullet"/>
      <w:lvlText w:val=""/>
      <w:lvlJc w:val="left"/>
      <w:pPr>
        <w:ind w:left="5040" w:hanging="360"/>
      </w:pPr>
      <w:rPr>
        <w:rFonts w:ascii="Symbol" w:hAnsi="Symbol" w:hint="default"/>
      </w:rPr>
    </w:lvl>
    <w:lvl w:ilvl="7" w:tplc="74623270">
      <w:start w:val="1"/>
      <w:numFmt w:val="bullet"/>
      <w:lvlText w:val="o"/>
      <w:lvlJc w:val="left"/>
      <w:pPr>
        <w:ind w:left="5760" w:hanging="360"/>
      </w:pPr>
      <w:rPr>
        <w:rFonts w:ascii="Courier New" w:hAnsi="Courier New" w:hint="default"/>
      </w:rPr>
    </w:lvl>
    <w:lvl w:ilvl="8" w:tplc="400EEF10">
      <w:start w:val="1"/>
      <w:numFmt w:val="bullet"/>
      <w:lvlText w:val=""/>
      <w:lvlJc w:val="left"/>
      <w:pPr>
        <w:ind w:left="6480" w:hanging="360"/>
      </w:pPr>
      <w:rPr>
        <w:rFonts w:ascii="Wingdings" w:hAnsi="Wingdings" w:hint="default"/>
      </w:rPr>
    </w:lvl>
  </w:abstractNum>
  <w:abstractNum w:abstractNumId="26" w15:restartNumberingAfterBreak="0">
    <w:nsid w:val="32676382"/>
    <w:multiLevelType w:val="hybridMultilevel"/>
    <w:tmpl w:val="7478B7DA"/>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27" w15:restartNumberingAfterBreak="0">
    <w:nsid w:val="32AC2495"/>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2C2CFA7"/>
    <w:multiLevelType w:val="hybridMultilevel"/>
    <w:tmpl w:val="B6D2478A"/>
    <w:lvl w:ilvl="0" w:tplc="089EFA84">
      <w:numFmt w:val="none"/>
      <w:lvlText w:val=""/>
      <w:lvlJc w:val="left"/>
      <w:pPr>
        <w:tabs>
          <w:tab w:val="num" w:pos="360"/>
        </w:tabs>
      </w:pPr>
    </w:lvl>
    <w:lvl w:ilvl="1" w:tplc="3EBC1EBA">
      <w:start w:val="1"/>
      <w:numFmt w:val="lowerLetter"/>
      <w:lvlText w:val="%2."/>
      <w:lvlJc w:val="left"/>
      <w:pPr>
        <w:ind w:left="1440" w:hanging="360"/>
      </w:pPr>
    </w:lvl>
    <w:lvl w:ilvl="2" w:tplc="45BA56A8">
      <w:start w:val="1"/>
      <w:numFmt w:val="lowerRoman"/>
      <w:lvlText w:val="%3."/>
      <w:lvlJc w:val="right"/>
      <w:pPr>
        <w:ind w:left="2160" w:hanging="180"/>
      </w:pPr>
    </w:lvl>
    <w:lvl w:ilvl="3" w:tplc="D6BC877C">
      <w:start w:val="1"/>
      <w:numFmt w:val="decimal"/>
      <w:lvlText w:val="%4."/>
      <w:lvlJc w:val="left"/>
      <w:pPr>
        <w:ind w:left="2880" w:hanging="360"/>
      </w:pPr>
    </w:lvl>
    <w:lvl w:ilvl="4" w:tplc="1882851C">
      <w:start w:val="1"/>
      <w:numFmt w:val="lowerLetter"/>
      <w:lvlText w:val="%5."/>
      <w:lvlJc w:val="left"/>
      <w:pPr>
        <w:ind w:left="3600" w:hanging="360"/>
      </w:pPr>
    </w:lvl>
    <w:lvl w:ilvl="5" w:tplc="E9E0F31E">
      <w:start w:val="1"/>
      <w:numFmt w:val="lowerRoman"/>
      <w:lvlText w:val="%6."/>
      <w:lvlJc w:val="right"/>
      <w:pPr>
        <w:ind w:left="4320" w:hanging="180"/>
      </w:pPr>
    </w:lvl>
    <w:lvl w:ilvl="6" w:tplc="558AE584">
      <w:start w:val="1"/>
      <w:numFmt w:val="decimal"/>
      <w:lvlText w:val="%7."/>
      <w:lvlJc w:val="left"/>
      <w:pPr>
        <w:ind w:left="5040" w:hanging="360"/>
      </w:pPr>
    </w:lvl>
    <w:lvl w:ilvl="7" w:tplc="B5A85F60">
      <w:start w:val="1"/>
      <w:numFmt w:val="lowerLetter"/>
      <w:lvlText w:val="%8."/>
      <w:lvlJc w:val="left"/>
      <w:pPr>
        <w:ind w:left="5760" w:hanging="360"/>
      </w:pPr>
    </w:lvl>
    <w:lvl w:ilvl="8" w:tplc="542A356A">
      <w:start w:val="1"/>
      <w:numFmt w:val="lowerRoman"/>
      <w:lvlText w:val="%9."/>
      <w:lvlJc w:val="right"/>
      <w:pPr>
        <w:ind w:left="6480" w:hanging="180"/>
      </w:pPr>
    </w:lvl>
  </w:abstractNum>
  <w:abstractNum w:abstractNumId="29" w15:restartNumberingAfterBreak="0">
    <w:nsid w:val="38F979D2"/>
    <w:multiLevelType w:val="hybridMultilevel"/>
    <w:tmpl w:val="F516FFF8"/>
    <w:lvl w:ilvl="0" w:tplc="ABFA1B34">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 w15:restartNumberingAfterBreak="0">
    <w:nsid w:val="393F6AE9"/>
    <w:multiLevelType w:val="hybridMultilevel"/>
    <w:tmpl w:val="8D4C2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575005"/>
    <w:multiLevelType w:val="hybridMultilevel"/>
    <w:tmpl w:val="2D42A382"/>
    <w:lvl w:ilvl="0" w:tplc="4438861E">
      <w:start w:val="1"/>
      <w:numFmt w:val="decimal"/>
      <w:lvlText w:val="%1)"/>
      <w:lvlJc w:val="left"/>
      <w:pPr>
        <w:ind w:left="1020" w:hanging="360"/>
      </w:pPr>
    </w:lvl>
    <w:lvl w:ilvl="1" w:tplc="AC26A8EC">
      <w:start w:val="1"/>
      <w:numFmt w:val="decimal"/>
      <w:lvlText w:val="%2)"/>
      <w:lvlJc w:val="left"/>
      <w:pPr>
        <w:ind w:left="1020" w:hanging="360"/>
      </w:pPr>
    </w:lvl>
    <w:lvl w:ilvl="2" w:tplc="ED9E6C28">
      <w:start w:val="1"/>
      <w:numFmt w:val="decimal"/>
      <w:lvlText w:val="%3)"/>
      <w:lvlJc w:val="left"/>
      <w:pPr>
        <w:ind w:left="1020" w:hanging="360"/>
      </w:pPr>
    </w:lvl>
    <w:lvl w:ilvl="3" w:tplc="A11EA2EC">
      <w:start w:val="1"/>
      <w:numFmt w:val="decimal"/>
      <w:lvlText w:val="%4)"/>
      <w:lvlJc w:val="left"/>
      <w:pPr>
        <w:ind w:left="1020" w:hanging="360"/>
      </w:pPr>
    </w:lvl>
    <w:lvl w:ilvl="4" w:tplc="E468EF38">
      <w:start w:val="1"/>
      <w:numFmt w:val="decimal"/>
      <w:lvlText w:val="%5)"/>
      <w:lvlJc w:val="left"/>
      <w:pPr>
        <w:ind w:left="1020" w:hanging="360"/>
      </w:pPr>
    </w:lvl>
    <w:lvl w:ilvl="5" w:tplc="C5725190">
      <w:start w:val="1"/>
      <w:numFmt w:val="decimal"/>
      <w:lvlText w:val="%6)"/>
      <w:lvlJc w:val="left"/>
      <w:pPr>
        <w:ind w:left="1020" w:hanging="360"/>
      </w:pPr>
    </w:lvl>
    <w:lvl w:ilvl="6" w:tplc="7A104DF0">
      <w:start w:val="1"/>
      <w:numFmt w:val="decimal"/>
      <w:lvlText w:val="%7)"/>
      <w:lvlJc w:val="left"/>
      <w:pPr>
        <w:ind w:left="1020" w:hanging="360"/>
      </w:pPr>
    </w:lvl>
    <w:lvl w:ilvl="7" w:tplc="55368304">
      <w:start w:val="1"/>
      <w:numFmt w:val="decimal"/>
      <w:lvlText w:val="%8)"/>
      <w:lvlJc w:val="left"/>
      <w:pPr>
        <w:ind w:left="1020" w:hanging="360"/>
      </w:pPr>
    </w:lvl>
    <w:lvl w:ilvl="8" w:tplc="A1222F9C">
      <w:start w:val="1"/>
      <w:numFmt w:val="decimal"/>
      <w:lvlText w:val="%9)"/>
      <w:lvlJc w:val="left"/>
      <w:pPr>
        <w:ind w:left="1020" w:hanging="360"/>
      </w:pPr>
    </w:lvl>
  </w:abstractNum>
  <w:abstractNum w:abstractNumId="32" w15:restartNumberingAfterBreak="0">
    <w:nsid w:val="3B903B3C"/>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BEE844A"/>
    <w:multiLevelType w:val="hybridMultilevel"/>
    <w:tmpl w:val="F530C7F2"/>
    <w:lvl w:ilvl="0" w:tplc="2812BFA8">
      <w:start w:val="1"/>
      <w:numFmt w:val="bullet"/>
      <w:lvlText w:val="-"/>
      <w:lvlJc w:val="left"/>
      <w:pPr>
        <w:ind w:left="720" w:hanging="360"/>
      </w:pPr>
      <w:rPr>
        <w:rFonts w:ascii="Calibri" w:hAnsi="Calibri" w:hint="default"/>
      </w:rPr>
    </w:lvl>
    <w:lvl w:ilvl="1" w:tplc="0E4CF494">
      <w:start w:val="1"/>
      <w:numFmt w:val="bullet"/>
      <w:lvlText w:val="o"/>
      <w:lvlJc w:val="left"/>
      <w:pPr>
        <w:ind w:left="1440" w:hanging="360"/>
      </w:pPr>
      <w:rPr>
        <w:rFonts w:ascii="Courier New" w:hAnsi="Courier New" w:hint="default"/>
      </w:rPr>
    </w:lvl>
    <w:lvl w:ilvl="2" w:tplc="918E89F2">
      <w:start w:val="1"/>
      <w:numFmt w:val="bullet"/>
      <w:lvlText w:val=""/>
      <w:lvlJc w:val="left"/>
      <w:pPr>
        <w:ind w:left="2160" w:hanging="360"/>
      </w:pPr>
      <w:rPr>
        <w:rFonts w:ascii="Wingdings" w:hAnsi="Wingdings" w:hint="default"/>
      </w:rPr>
    </w:lvl>
    <w:lvl w:ilvl="3" w:tplc="8DF0A1DC">
      <w:start w:val="1"/>
      <w:numFmt w:val="bullet"/>
      <w:lvlText w:val=""/>
      <w:lvlJc w:val="left"/>
      <w:pPr>
        <w:ind w:left="2880" w:hanging="360"/>
      </w:pPr>
      <w:rPr>
        <w:rFonts w:ascii="Symbol" w:hAnsi="Symbol" w:hint="default"/>
      </w:rPr>
    </w:lvl>
    <w:lvl w:ilvl="4" w:tplc="EF88BF76">
      <w:start w:val="1"/>
      <w:numFmt w:val="bullet"/>
      <w:lvlText w:val="o"/>
      <w:lvlJc w:val="left"/>
      <w:pPr>
        <w:ind w:left="3600" w:hanging="360"/>
      </w:pPr>
      <w:rPr>
        <w:rFonts w:ascii="Courier New" w:hAnsi="Courier New" w:hint="default"/>
      </w:rPr>
    </w:lvl>
    <w:lvl w:ilvl="5" w:tplc="872AE9D4">
      <w:start w:val="1"/>
      <w:numFmt w:val="bullet"/>
      <w:lvlText w:val=""/>
      <w:lvlJc w:val="left"/>
      <w:pPr>
        <w:ind w:left="4320" w:hanging="360"/>
      </w:pPr>
      <w:rPr>
        <w:rFonts w:ascii="Wingdings" w:hAnsi="Wingdings" w:hint="default"/>
      </w:rPr>
    </w:lvl>
    <w:lvl w:ilvl="6" w:tplc="E7C40BC8">
      <w:start w:val="1"/>
      <w:numFmt w:val="bullet"/>
      <w:lvlText w:val=""/>
      <w:lvlJc w:val="left"/>
      <w:pPr>
        <w:ind w:left="5040" w:hanging="360"/>
      </w:pPr>
      <w:rPr>
        <w:rFonts w:ascii="Symbol" w:hAnsi="Symbol" w:hint="default"/>
      </w:rPr>
    </w:lvl>
    <w:lvl w:ilvl="7" w:tplc="372852B6">
      <w:start w:val="1"/>
      <w:numFmt w:val="bullet"/>
      <w:lvlText w:val="o"/>
      <w:lvlJc w:val="left"/>
      <w:pPr>
        <w:ind w:left="5760" w:hanging="360"/>
      </w:pPr>
      <w:rPr>
        <w:rFonts w:ascii="Courier New" w:hAnsi="Courier New" w:hint="default"/>
      </w:rPr>
    </w:lvl>
    <w:lvl w:ilvl="8" w:tplc="A260CEB4">
      <w:start w:val="1"/>
      <w:numFmt w:val="bullet"/>
      <w:lvlText w:val=""/>
      <w:lvlJc w:val="left"/>
      <w:pPr>
        <w:ind w:left="6480" w:hanging="360"/>
      </w:pPr>
      <w:rPr>
        <w:rFonts w:ascii="Wingdings" w:hAnsi="Wingdings" w:hint="default"/>
      </w:rPr>
    </w:lvl>
  </w:abstractNum>
  <w:abstractNum w:abstractNumId="34" w15:restartNumberingAfterBreak="0">
    <w:nsid w:val="3BF3B791"/>
    <w:multiLevelType w:val="hybridMultilevel"/>
    <w:tmpl w:val="A22296AE"/>
    <w:lvl w:ilvl="0" w:tplc="3D42877A">
      <w:numFmt w:val="none"/>
      <w:lvlText w:val=""/>
      <w:lvlJc w:val="left"/>
      <w:pPr>
        <w:tabs>
          <w:tab w:val="num" w:pos="360"/>
        </w:tabs>
      </w:pPr>
    </w:lvl>
    <w:lvl w:ilvl="1" w:tplc="F0D2271A">
      <w:start w:val="1"/>
      <w:numFmt w:val="lowerLetter"/>
      <w:lvlText w:val="%2."/>
      <w:lvlJc w:val="left"/>
      <w:pPr>
        <w:ind w:left="1437" w:hanging="360"/>
      </w:pPr>
    </w:lvl>
    <w:lvl w:ilvl="2" w:tplc="843C6BF2">
      <w:start w:val="1"/>
      <w:numFmt w:val="lowerRoman"/>
      <w:lvlText w:val="%3."/>
      <w:lvlJc w:val="right"/>
      <w:pPr>
        <w:ind w:left="2157" w:hanging="180"/>
      </w:pPr>
    </w:lvl>
    <w:lvl w:ilvl="3" w:tplc="88D002B2">
      <w:start w:val="1"/>
      <w:numFmt w:val="decimal"/>
      <w:lvlText w:val="%4."/>
      <w:lvlJc w:val="left"/>
      <w:pPr>
        <w:ind w:left="2877" w:hanging="360"/>
      </w:pPr>
    </w:lvl>
    <w:lvl w:ilvl="4" w:tplc="BE8EF3D4">
      <w:start w:val="1"/>
      <w:numFmt w:val="lowerLetter"/>
      <w:lvlText w:val="%5."/>
      <w:lvlJc w:val="left"/>
      <w:pPr>
        <w:ind w:left="3597" w:hanging="360"/>
      </w:pPr>
    </w:lvl>
    <w:lvl w:ilvl="5" w:tplc="C17E8016">
      <w:start w:val="1"/>
      <w:numFmt w:val="lowerRoman"/>
      <w:lvlText w:val="%6."/>
      <w:lvlJc w:val="right"/>
      <w:pPr>
        <w:ind w:left="4317" w:hanging="180"/>
      </w:pPr>
    </w:lvl>
    <w:lvl w:ilvl="6" w:tplc="6EF07092">
      <w:start w:val="1"/>
      <w:numFmt w:val="decimal"/>
      <w:lvlText w:val="%7."/>
      <w:lvlJc w:val="left"/>
      <w:pPr>
        <w:ind w:left="5037" w:hanging="360"/>
      </w:pPr>
    </w:lvl>
    <w:lvl w:ilvl="7" w:tplc="0EB0BBF8">
      <w:start w:val="1"/>
      <w:numFmt w:val="lowerLetter"/>
      <w:lvlText w:val="%8."/>
      <w:lvlJc w:val="left"/>
      <w:pPr>
        <w:ind w:left="5757" w:hanging="360"/>
      </w:pPr>
    </w:lvl>
    <w:lvl w:ilvl="8" w:tplc="992CBADC">
      <w:start w:val="1"/>
      <w:numFmt w:val="lowerRoman"/>
      <w:lvlText w:val="%9."/>
      <w:lvlJc w:val="right"/>
      <w:pPr>
        <w:ind w:left="6477" w:hanging="180"/>
      </w:pPr>
    </w:lvl>
  </w:abstractNum>
  <w:abstractNum w:abstractNumId="35" w15:restartNumberingAfterBreak="0">
    <w:nsid w:val="3E14567B"/>
    <w:multiLevelType w:val="hybridMultilevel"/>
    <w:tmpl w:val="05029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E18EA44"/>
    <w:multiLevelType w:val="hybridMultilevel"/>
    <w:tmpl w:val="921E2B90"/>
    <w:lvl w:ilvl="0" w:tplc="AEAA6272">
      <w:numFmt w:val="none"/>
      <w:lvlText w:val=""/>
      <w:lvlJc w:val="left"/>
      <w:pPr>
        <w:tabs>
          <w:tab w:val="num" w:pos="360"/>
        </w:tabs>
      </w:pPr>
    </w:lvl>
    <w:lvl w:ilvl="1" w:tplc="428C6A14">
      <w:start w:val="1"/>
      <w:numFmt w:val="lowerLetter"/>
      <w:lvlText w:val="%2."/>
      <w:lvlJc w:val="left"/>
      <w:pPr>
        <w:ind w:left="1440" w:hanging="360"/>
      </w:pPr>
    </w:lvl>
    <w:lvl w:ilvl="2" w:tplc="D74287DE">
      <w:start w:val="1"/>
      <w:numFmt w:val="lowerRoman"/>
      <w:lvlText w:val="%3."/>
      <w:lvlJc w:val="right"/>
      <w:pPr>
        <w:ind w:left="2160" w:hanging="180"/>
      </w:pPr>
    </w:lvl>
    <w:lvl w:ilvl="3" w:tplc="EE4680F0">
      <w:start w:val="1"/>
      <w:numFmt w:val="decimal"/>
      <w:lvlText w:val="%4."/>
      <w:lvlJc w:val="left"/>
      <w:pPr>
        <w:ind w:left="2880" w:hanging="360"/>
      </w:pPr>
    </w:lvl>
    <w:lvl w:ilvl="4" w:tplc="116CA952">
      <w:start w:val="1"/>
      <w:numFmt w:val="lowerLetter"/>
      <w:lvlText w:val="%5."/>
      <w:lvlJc w:val="left"/>
      <w:pPr>
        <w:ind w:left="3600" w:hanging="360"/>
      </w:pPr>
    </w:lvl>
    <w:lvl w:ilvl="5" w:tplc="5904843C">
      <w:start w:val="1"/>
      <w:numFmt w:val="lowerRoman"/>
      <w:lvlText w:val="%6."/>
      <w:lvlJc w:val="right"/>
      <w:pPr>
        <w:ind w:left="4320" w:hanging="180"/>
      </w:pPr>
    </w:lvl>
    <w:lvl w:ilvl="6" w:tplc="9C32DB8A">
      <w:start w:val="1"/>
      <w:numFmt w:val="decimal"/>
      <w:lvlText w:val="%7."/>
      <w:lvlJc w:val="left"/>
      <w:pPr>
        <w:ind w:left="5040" w:hanging="360"/>
      </w:pPr>
    </w:lvl>
    <w:lvl w:ilvl="7" w:tplc="F39A2082">
      <w:start w:val="1"/>
      <w:numFmt w:val="lowerLetter"/>
      <w:lvlText w:val="%8."/>
      <w:lvlJc w:val="left"/>
      <w:pPr>
        <w:ind w:left="5760" w:hanging="360"/>
      </w:pPr>
    </w:lvl>
    <w:lvl w:ilvl="8" w:tplc="68DE8660">
      <w:start w:val="1"/>
      <w:numFmt w:val="lowerRoman"/>
      <w:lvlText w:val="%9."/>
      <w:lvlJc w:val="right"/>
      <w:pPr>
        <w:ind w:left="6480" w:hanging="180"/>
      </w:pPr>
    </w:lvl>
  </w:abstractNum>
  <w:abstractNum w:abstractNumId="37" w15:restartNumberingAfterBreak="0">
    <w:nsid w:val="41C974EE"/>
    <w:multiLevelType w:val="hybridMultilevel"/>
    <w:tmpl w:val="68BC7AF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53C6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4E0A120"/>
    <w:multiLevelType w:val="hybridMultilevel"/>
    <w:tmpl w:val="70747BEC"/>
    <w:lvl w:ilvl="0" w:tplc="9CCCDB62">
      <w:start w:val="1"/>
      <w:numFmt w:val="bullet"/>
      <w:lvlText w:val=""/>
      <w:lvlJc w:val="left"/>
      <w:pPr>
        <w:ind w:left="720" w:hanging="360"/>
      </w:pPr>
      <w:rPr>
        <w:rFonts w:ascii="Symbol" w:hAnsi="Symbol" w:hint="default"/>
      </w:rPr>
    </w:lvl>
    <w:lvl w:ilvl="1" w:tplc="DACA3946">
      <w:start w:val="1"/>
      <w:numFmt w:val="bullet"/>
      <w:lvlText w:val="o"/>
      <w:lvlJc w:val="left"/>
      <w:pPr>
        <w:ind w:left="1440" w:hanging="360"/>
      </w:pPr>
      <w:rPr>
        <w:rFonts w:ascii="Courier New" w:hAnsi="Courier New" w:hint="default"/>
      </w:rPr>
    </w:lvl>
    <w:lvl w:ilvl="2" w:tplc="8FE2536E">
      <w:start w:val="1"/>
      <w:numFmt w:val="bullet"/>
      <w:lvlText w:val=""/>
      <w:lvlJc w:val="left"/>
      <w:pPr>
        <w:ind w:left="2160" w:hanging="360"/>
      </w:pPr>
      <w:rPr>
        <w:rFonts w:ascii="Wingdings" w:hAnsi="Wingdings" w:hint="default"/>
      </w:rPr>
    </w:lvl>
    <w:lvl w:ilvl="3" w:tplc="2A5A37C2">
      <w:start w:val="1"/>
      <w:numFmt w:val="bullet"/>
      <w:lvlText w:val=""/>
      <w:lvlJc w:val="left"/>
      <w:pPr>
        <w:ind w:left="2880" w:hanging="360"/>
      </w:pPr>
      <w:rPr>
        <w:rFonts w:ascii="Symbol" w:hAnsi="Symbol" w:hint="default"/>
      </w:rPr>
    </w:lvl>
    <w:lvl w:ilvl="4" w:tplc="86B8C17A">
      <w:start w:val="1"/>
      <w:numFmt w:val="bullet"/>
      <w:lvlText w:val="o"/>
      <w:lvlJc w:val="left"/>
      <w:pPr>
        <w:ind w:left="3600" w:hanging="360"/>
      </w:pPr>
      <w:rPr>
        <w:rFonts w:ascii="Courier New" w:hAnsi="Courier New" w:hint="default"/>
      </w:rPr>
    </w:lvl>
    <w:lvl w:ilvl="5" w:tplc="F9F6046C">
      <w:start w:val="1"/>
      <w:numFmt w:val="bullet"/>
      <w:lvlText w:val=""/>
      <w:lvlJc w:val="left"/>
      <w:pPr>
        <w:ind w:left="4320" w:hanging="360"/>
      </w:pPr>
      <w:rPr>
        <w:rFonts w:ascii="Wingdings" w:hAnsi="Wingdings" w:hint="default"/>
      </w:rPr>
    </w:lvl>
    <w:lvl w:ilvl="6" w:tplc="171A9994">
      <w:start w:val="1"/>
      <w:numFmt w:val="bullet"/>
      <w:lvlText w:val=""/>
      <w:lvlJc w:val="left"/>
      <w:pPr>
        <w:ind w:left="5040" w:hanging="360"/>
      </w:pPr>
      <w:rPr>
        <w:rFonts w:ascii="Symbol" w:hAnsi="Symbol" w:hint="default"/>
      </w:rPr>
    </w:lvl>
    <w:lvl w:ilvl="7" w:tplc="4DB22CCE">
      <w:start w:val="1"/>
      <w:numFmt w:val="bullet"/>
      <w:lvlText w:val="o"/>
      <w:lvlJc w:val="left"/>
      <w:pPr>
        <w:ind w:left="5760" w:hanging="360"/>
      </w:pPr>
      <w:rPr>
        <w:rFonts w:ascii="Courier New" w:hAnsi="Courier New" w:hint="default"/>
      </w:rPr>
    </w:lvl>
    <w:lvl w:ilvl="8" w:tplc="59ACAFBA">
      <w:start w:val="1"/>
      <w:numFmt w:val="bullet"/>
      <w:lvlText w:val=""/>
      <w:lvlJc w:val="left"/>
      <w:pPr>
        <w:ind w:left="6480" w:hanging="360"/>
      </w:pPr>
      <w:rPr>
        <w:rFonts w:ascii="Wingdings" w:hAnsi="Wingdings" w:hint="default"/>
      </w:rPr>
    </w:lvl>
  </w:abstractNum>
  <w:abstractNum w:abstractNumId="40" w15:restartNumberingAfterBreak="0">
    <w:nsid w:val="468A517D"/>
    <w:multiLevelType w:val="hybridMultilevel"/>
    <w:tmpl w:val="D21E6D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8A237AA"/>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670E74"/>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039736A"/>
    <w:multiLevelType w:val="hybridMultilevel"/>
    <w:tmpl w:val="0D3E7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3AD6343"/>
    <w:multiLevelType w:val="hybridMultilevel"/>
    <w:tmpl w:val="83666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5ED3A74"/>
    <w:multiLevelType w:val="hybridMultilevel"/>
    <w:tmpl w:val="1A6AB2F6"/>
    <w:lvl w:ilvl="0" w:tplc="1988FB36">
      <w:start w:val="1"/>
      <w:numFmt w:val="bullet"/>
      <w:lvlText w:val=""/>
      <w:lvlJc w:val="left"/>
      <w:pPr>
        <w:ind w:left="720" w:hanging="360"/>
      </w:pPr>
      <w:rPr>
        <w:rFonts w:ascii="Symbol" w:hAnsi="Symbol" w:hint="default"/>
      </w:rPr>
    </w:lvl>
    <w:lvl w:ilvl="1" w:tplc="F6941D84">
      <w:start w:val="1"/>
      <w:numFmt w:val="bullet"/>
      <w:lvlText w:val="o"/>
      <w:lvlJc w:val="left"/>
      <w:pPr>
        <w:ind w:left="1440" w:hanging="360"/>
      </w:pPr>
      <w:rPr>
        <w:rFonts w:ascii="Courier New" w:hAnsi="Courier New" w:hint="default"/>
      </w:rPr>
    </w:lvl>
    <w:lvl w:ilvl="2" w:tplc="DB921DE0">
      <w:start w:val="1"/>
      <w:numFmt w:val="bullet"/>
      <w:lvlText w:val=""/>
      <w:lvlJc w:val="left"/>
      <w:pPr>
        <w:ind w:left="2160" w:hanging="360"/>
      </w:pPr>
      <w:rPr>
        <w:rFonts w:ascii="Wingdings" w:hAnsi="Wingdings" w:hint="default"/>
      </w:rPr>
    </w:lvl>
    <w:lvl w:ilvl="3" w:tplc="A504F8BC">
      <w:start w:val="1"/>
      <w:numFmt w:val="bullet"/>
      <w:lvlText w:val=""/>
      <w:lvlJc w:val="left"/>
      <w:pPr>
        <w:ind w:left="2880" w:hanging="360"/>
      </w:pPr>
      <w:rPr>
        <w:rFonts w:ascii="Symbol" w:hAnsi="Symbol" w:hint="default"/>
      </w:rPr>
    </w:lvl>
    <w:lvl w:ilvl="4" w:tplc="089A7798">
      <w:start w:val="1"/>
      <w:numFmt w:val="bullet"/>
      <w:lvlText w:val="o"/>
      <w:lvlJc w:val="left"/>
      <w:pPr>
        <w:ind w:left="3600" w:hanging="360"/>
      </w:pPr>
      <w:rPr>
        <w:rFonts w:ascii="Courier New" w:hAnsi="Courier New" w:hint="default"/>
      </w:rPr>
    </w:lvl>
    <w:lvl w:ilvl="5" w:tplc="7076F7E4">
      <w:start w:val="1"/>
      <w:numFmt w:val="bullet"/>
      <w:lvlText w:val=""/>
      <w:lvlJc w:val="left"/>
      <w:pPr>
        <w:ind w:left="4320" w:hanging="360"/>
      </w:pPr>
      <w:rPr>
        <w:rFonts w:ascii="Wingdings" w:hAnsi="Wingdings" w:hint="default"/>
      </w:rPr>
    </w:lvl>
    <w:lvl w:ilvl="6" w:tplc="A2F4158E">
      <w:start w:val="1"/>
      <w:numFmt w:val="bullet"/>
      <w:lvlText w:val=""/>
      <w:lvlJc w:val="left"/>
      <w:pPr>
        <w:ind w:left="5040" w:hanging="360"/>
      </w:pPr>
      <w:rPr>
        <w:rFonts w:ascii="Symbol" w:hAnsi="Symbol" w:hint="default"/>
      </w:rPr>
    </w:lvl>
    <w:lvl w:ilvl="7" w:tplc="56F6B282">
      <w:start w:val="1"/>
      <w:numFmt w:val="bullet"/>
      <w:lvlText w:val="o"/>
      <w:lvlJc w:val="left"/>
      <w:pPr>
        <w:ind w:left="5760" w:hanging="360"/>
      </w:pPr>
      <w:rPr>
        <w:rFonts w:ascii="Courier New" w:hAnsi="Courier New" w:hint="default"/>
      </w:rPr>
    </w:lvl>
    <w:lvl w:ilvl="8" w:tplc="91D66BA8">
      <w:start w:val="1"/>
      <w:numFmt w:val="bullet"/>
      <w:lvlText w:val=""/>
      <w:lvlJc w:val="left"/>
      <w:pPr>
        <w:ind w:left="6480" w:hanging="360"/>
      </w:pPr>
      <w:rPr>
        <w:rFonts w:ascii="Wingdings" w:hAnsi="Wingdings" w:hint="default"/>
      </w:rPr>
    </w:lvl>
  </w:abstractNum>
  <w:abstractNum w:abstractNumId="47" w15:restartNumberingAfterBreak="0">
    <w:nsid w:val="5B6F76CC"/>
    <w:multiLevelType w:val="multilevel"/>
    <w:tmpl w:val="8E583D90"/>
    <w:lvl w:ilvl="0">
      <w:start w:val="4"/>
      <w:numFmt w:val="decimal"/>
      <w:lvlText w:val="%1"/>
      <w:lvlJc w:val="left"/>
      <w:pPr>
        <w:ind w:left="465" w:hanging="465"/>
      </w:pPr>
      <w:rPr>
        <w:rFonts w:hint="default"/>
      </w:rPr>
    </w:lvl>
    <w:lvl w:ilvl="1">
      <w:start w:val="11"/>
      <w:numFmt w:val="decimal"/>
      <w:lvlText w:val="%1.%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5C8A3E06"/>
    <w:multiLevelType w:val="hybridMultilevel"/>
    <w:tmpl w:val="9990A774"/>
    <w:lvl w:ilvl="0" w:tplc="85522EC0">
      <w:start w:val="1"/>
      <w:numFmt w:val="bullet"/>
      <w:lvlText w:val=""/>
      <w:lvlJc w:val="left"/>
      <w:pPr>
        <w:ind w:left="720" w:hanging="360"/>
      </w:pPr>
      <w:rPr>
        <w:rFonts w:ascii="Symbol" w:hAnsi="Symbol" w:hint="default"/>
      </w:rPr>
    </w:lvl>
    <w:lvl w:ilvl="1" w:tplc="0AB07216">
      <w:start w:val="1"/>
      <w:numFmt w:val="bullet"/>
      <w:lvlText w:val="o"/>
      <w:lvlJc w:val="left"/>
      <w:pPr>
        <w:ind w:left="1440" w:hanging="360"/>
      </w:pPr>
      <w:rPr>
        <w:rFonts w:ascii="Courier New" w:hAnsi="Courier New" w:hint="default"/>
      </w:rPr>
    </w:lvl>
    <w:lvl w:ilvl="2" w:tplc="3050EABC">
      <w:start w:val="1"/>
      <w:numFmt w:val="bullet"/>
      <w:lvlText w:val=""/>
      <w:lvlJc w:val="left"/>
      <w:pPr>
        <w:ind w:left="2160" w:hanging="360"/>
      </w:pPr>
      <w:rPr>
        <w:rFonts w:ascii="Wingdings" w:hAnsi="Wingdings" w:hint="default"/>
      </w:rPr>
    </w:lvl>
    <w:lvl w:ilvl="3" w:tplc="C344A81A">
      <w:start w:val="1"/>
      <w:numFmt w:val="bullet"/>
      <w:lvlText w:val=""/>
      <w:lvlJc w:val="left"/>
      <w:pPr>
        <w:ind w:left="2880" w:hanging="360"/>
      </w:pPr>
      <w:rPr>
        <w:rFonts w:ascii="Symbol" w:hAnsi="Symbol" w:hint="default"/>
      </w:rPr>
    </w:lvl>
    <w:lvl w:ilvl="4" w:tplc="63A4FC6A">
      <w:start w:val="1"/>
      <w:numFmt w:val="bullet"/>
      <w:lvlText w:val="o"/>
      <w:lvlJc w:val="left"/>
      <w:pPr>
        <w:ind w:left="3600" w:hanging="360"/>
      </w:pPr>
      <w:rPr>
        <w:rFonts w:ascii="Courier New" w:hAnsi="Courier New" w:hint="default"/>
      </w:rPr>
    </w:lvl>
    <w:lvl w:ilvl="5" w:tplc="0A861B94">
      <w:start w:val="1"/>
      <w:numFmt w:val="bullet"/>
      <w:lvlText w:val=""/>
      <w:lvlJc w:val="left"/>
      <w:pPr>
        <w:ind w:left="4320" w:hanging="360"/>
      </w:pPr>
      <w:rPr>
        <w:rFonts w:ascii="Wingdings" w:hAnsi="Wingdings" w:hint="default"/>
      </w:rPr>
    </w:lvl>
    <w:lvl w:ilvl="6" w:tplc="72405BCC">
      <w:start w:val="1"/>
      <w:numFmt w:val="bullet"/>
      <w:lvlText w:val=""/>
      <w:lvlJc w:val="left"/>
      <w:pPr>
        <w:ind w:left="5040" w:hanging="360"/>
      </w:pPr>
      <w:rPr>
        <w:rFonts w:ascii="Symbol" w:hAnsi="Symbol" w:hint="default"/>
      </w:rPr>
    </w:lvl>
    <w:lvl w:ilvl="7" w:tplc="F744B188">
      <w:start w:val="1"/>
      <w:numFmt w:val="bullet"/>
      <w:lvlText w:val="o"/>
      <w:lvlJc w:val="left"/>
      <w:pPr>
        <w:ind w:left="5760" w:hanging="360"/>
      </w:pPr>
      <w:rPr>
        <w:rFonts w:ascii="Courier New" w:hAnsi="Courier New" w:hint="default"/>
      </w:rPr>
    </w:lvl>
    <w:lvl w:ilvl="8" w:tplc="30E87E3A">
      <w:start w:val="1"/>
      <w:numFmt w:val="bullet"/>
      <w:lvlText w:val=""/>
      <w:lvlJc w:val="left"/>
      <w:pPr>
        <w:ind w:left="6480" w:hanging="360"/>
      </w:pPr>
      <w:rPr>
        <w:rFonts w:ascii="Wingdings" w:hAnsi="Wingdings" w:hint="default"/>
      </w:rPr>
    </w:lvl>
  </w:abstractNum>
  <w:abstractNum w:abstractNumId="49" w15:restartNumberingAfterBreak="0">
    <w:nsid w:val="5D6F3C48"/>
    <w:multiLevelType w:val="hybridMultilevel"/>
    <w:tmpl w:val="CDBEA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D8E59BC"/>
    <w:multiLevelType w:val="hybridMultilevel"/>
    <w:tmpl w:val="C7F6AA48"/>
    <w:lvl w:ilvl="0" w:tplc="721C039C">
      <w:start w:val="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DA26A19"/>
    <w:multiLevelType w:val="multilevel"/>
    <w:tmpl w:val="FFE6B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F4B0483"/>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03D457D"/>
    <w:multiLevelType w:val="hybridMultilevel"/>
    <w:tmpl w:val="1082C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0D1E02B"/>
    <w:multiLevelType w:val="hybridMultilevel"/>
    <w:tmpl w:val="30267516"/>
    <w:lvl w:ilvl="0" w:tplc="41BAFE56">
      <w:start w:val="1"/>
      <w:numFmt w:val="bullet"/>
      <w:lvlText w:val="·"/>
      <w:lvlJc w:val="left"/>
      <w:pPr>
        <w:ind w:left="720" w:hanging="360"/>
      </w:pPr>
      <w:rPr>
        <w:rFonts w:ascii="Symbol" w:hAnsi="Symbol" w:hint="default"/>
      </w:rPr>
    </w:lvl>
    <w:lvl w:ilvl="1" w:tplc="B434DCFC">
      <w:start w:val="1"/>
      <w:numFmt w:val="bullet"/>
      <w:lvlText w:val="o"/>
      <w:lvlJc w:val="left"/>
      <w:pPr>
        <w:ind w:left="1440" w:hanging="360"/>
      </w:pPr>
      <w:rPr>
        <w:rFonts w:ascii="Courier New" w:hAnsi="Courier New" w:hint="default"/>
      </w:rPr>
    </w:lvl>
    <w:lvl w:ilvl="2" w:tplc="5142A43A">
      <w:start w:val="1"/>
      <w:numFmt w:val="bullet"/>
      <w:lvlText w:val=""/>
      <w:lvlJc w:val="left"/>
      <w:pPr>
        <w:ind w:left="2160" w:hanging="360"/>
      </w:pPr>
      <w:rPr>
        <w:rFonts w:ascii="Wingdings" w:hAnsi="Wingdings" w:hint="default"/>
      </w:rPr>
    </w:lvl>
    <w:lvl w:ilvl="3" w:tplc="EC229AEA">
      <w:start w:val="1"/>
      <w:numFmt w:val="bullet"/>
      <w:lvlText w:val=""/>
      <w:lvlJc w:val="left"/>
      <w:pPr>
        <w:ind w:left="2880" w:hanging="360"/>
      </w:pPr>
      <w:rPr>
        <w:rFonts w:ascii="Symbol" w:hAnsi="Symbol" w:hint="default"/>
      </w:rPr>
    </w:lvl>
    <w:lvl w:ilvl="4" w:tplc="9E827398">
      <w:start w:val="1"/>
      <w:numFmt w:val="bullet"/>
      <w:lvlText w:val="o"/>
      <w:lvlJc w:val="left"/>
      <w:pPr>
        <w:ind w:left="3600" w:hanging="360"/>
      </w:pPr>
      <w:rPr>
        <w:rFonts w:ascii="Courier New" w:hAnsi="Courier New" w:hint="default"/>
      </w:rPr>
    </w:lvl>
    <w:lvl w:ilvl="5" w:tplc="F1E4376C">
      <w:start w:val="1"/>
      <w:numFmt w:val="bullet"/>
      <w:lvlText w:val=""/>
      <w:lvlJc w:val="left"/>
      <w:pPr>
        <w:ind w:left="4320" w:hanging="360"/>
      </w:pPr>
      <w:rPr>
        <w:rFonts w:ascii="Wingdings" w:hAnsi="Wingdings" w:hint="default"/>
      </w:rPr>
    </w:lvl>
    <w:lvl w:ilvl="6" w:tplc="98405556">
      <w:start w:val="1"/>
      <w:numFmt w:val="bullet"/>
      <w:lvlText w:val=""/>
      <w:lvlJc w:val="left"/>
      <w:pPr>
        <w:ind w:left="5040" w:hanging="360"/>
      </w:pPr>
      <w:rPr>
        <w:rFonts w:ascii="Symbol" w:hAnsi="Symbol" w:hint="default"/>
      </w:rPr>
    </w:lvl>
    <w:lvl w:ilvl="7" w:tplc="3CB44896">
      <w:start w:val="1"/>
      <w:numFmt w:val="bullet"/>
      <w:lvlText w:val="o"/>
      <w:lvlJc w:val="left"/>
      <w:pPr>
        <w:ind w:left="5760" w:hanging="360"/>
      </w:pPr>
      <w:rPr>
        <w:rFonts w:ascii="Courier New" w:hAnsi="Courier New" w:hint="default"/>
      </w:rPr>
    </w:lvl>
    <w:lvl w:ilvl="8" w:tplc="272C4D58">
      <w:start w:val="1"/>
      <w:numFmt w:val="bullet"/>
      <w:lvlText w:val=""/>
      <w:lvlJc w:val="left"/>
      <w:pPr>
        <w:ind w:left="6480" w:hanging="360"/>
      </w:pPr>
      <w:rPr>
        <w:rFonts w:ascii="Wingdings" w:hAnsi="Wingdings" w:hint="default"/>
      </w:rPr>
    </w:lvl>
  </w:abstractNum>
  <w:abstractNum w:abstractNumId="55" w15:restartNumberingAfterBreak="0">
    <w:nsid w:val="6263411A"/>
    <w:multiLevelType w:val="hybridMultilevel"/>
    <w:tmpl w:val="9C862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5B8111B"/>
    <w:multiLevelType w:val="hybridMultilevel"/>
    <w:tmpl w:val="83165916"/>
    <w:lvl w:ilvl="0" w:tplc="874CDF42">
      <w:start w:val="1"/>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57" w15:restartNumberingAfterBreak="0">
    <w:nsid w:val="67531A74"/>
    <w:multiLevelType w:val="hybridMultilevel"/>
    <w:tmpl w:val="3A1A65C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D24832A"/>
    <w:multiLevelType w:val="hybridMultilevel"/>
    <w:tmpl w:val="FE0CC7BE"/>
    <w:lvl w:ilvl="0" w:tplc="368C05A8">
      <w:start w:val="1"/>
      <w:numFmt w:val="bullet"/>
      <w:lvlText w:val="·"/>
      <w:lvlJc w:val="left"/>
      <w:pPr>
        <w:ind w:left="720" w:hanging="360"/>
      </w:pPr>
      <w:rPr>
        <w:rFonts w:ascii="Symbol" w:hAnsi="Symbol" w:hint="default"/>
      </w:rPr>
    </w:lvl>
    <w:lvl w:ilvl="1" w:tplc="36CA6508">
      <w:start w:val="1"/>
      <w:numFmt w:val="bullet"/>
      <w:lvlText w:val="o"/>
      <w:lvlJc w:val="left"/>
      <w:pPr>
        <w:ind w:left="1440" w:hanging="360"/>
      </w:pPr>
      <w:rPr>
        <w:rFonts w:ascii="Courier New" w:hAnsi="Courier New" w:hint="default"/>
      </w:rPr>
    </w:lvl>
    <w:lvl w:ilvl="2" w:tplc="7FA67FB6">
      <w:start w:val="1"/>
      <w:numFmt w:val="bullet"/>
      <w:lvlText w:val=""/>
      <w:lvlJc w:val="left"/>
      <w:pPr>
        <w:ind w:left="2160" w:hanging="360"/>
      </w:pPr>
      <w:rPr>
        <w:rFonts w:ascii="Wingdings" w:hAnsi="Wingdings" w:hint="default"/>
      </w:rPr>
    </w:lvl>
    <w:lvl w:ilvl="3" w:tplc="0F02251A">
      <w:start w:val="1"/>
      <w:numFmt w:val="bullet"/>
      <w:lvlText w:val=""/>
      <w:lvlJc w:val="left"/>
      <w:pPr>
        <w:ind w:left="2880" w:hanging="360"/>
      </w:pPr>
      <w:rPr>
        <w:rFonts w:ascii="Symbol" w:hAnsi="Symbol" w:hint="default"/>
      </w:rPr>
    </w:lvl>
    <w:lvl w:ilvl="4" w:tplc="BEFAFE26">
      <w:start w:val="1"/>
      <w:numFmt w:val="bullet"/>
      <w:lvlText w:val="o"/>
      <w:lvlJc w:val="left"/>
      <w:pPr>
        <w:ind w:left="3600" w:hanging="360"/>
      </w:pPr>
      <w:rPr>
        <w:rFonts w:ascii="Courier New" w:hAnsi="Courier New" w:hint="default"/>
      </w:rPr>
    </w:lvl>
    <w:lvl w:ilvl="5" w:tplc="B3D46156">
      <w:start w:val="1"/>
      <w:numFmt w:val="bullet"/>
      <w:lvlText w:val=""/>
      <w:lvlJc w:val="left"/>
      <w:pPr>
        <w:ind w:left="4320" w:hanging="360"/>
      </w:pPr>
      <w:rPr>
        <w:rFonts w:ascii="Wingdings" w:hAnsi="Wingdings" w:hint="default"/>
      </w:rPr>
    </w:lvl>
    <w:lvl w:ilvl="6" w:tplc="BCB02586">
      <w:start w:val="1"/>
      <w:numFmt w:val="bullet"/>
      <w:lvlText w:val=""/>
      <w:lvlJc w:val="left"/>
      <w:pPr>
        <w:ind w:left="5040" w:hanging="360"/>
      </w:pPr>
      <w:rPr>
        <w:rFonts w:ascii="Symbol" w:hAnsi="Symbol" w:hint="default"/>
      </w:rPr>
    </w:lvl>
    <w:lvl w:ilvl="7" w:tplc="C9AC46D8">
      <w:start w:val="1"/>
      <w:numFmt w:val="bullet"/>
      <w:lvlText w:val="o"/>
      <w:lvlJc w:val="left"/>
      <w:pPr>
        <w:ind w:left="5760" w:hanging="360"/>
      </w:pPr>
      <w:rPr>
        <w:rFonts w:ascii="Courier New" w:hAnsi="Courier New" w:hint="default"/>
      </w:rPr>
    </w:lvl>
    <w:lvl w:ilvl="8" w:tplc="3160BB3C">
      <w:start w:val="1"/>
      <w:numFmt w:val="bullet"/>
      <w:lvlText w:val=""/>
      <w:lvlJc w:val="left"/>
      <w:pPr>
        <w:ind w:left="6480" w:hanging="360"/>
      </w:pPr>
      <w:rPr>
        <w:rFonts w:ascii="Wingdings" w:hAnsi="Wingdings" w:hint="default"/>
      </w:rPr>
    </w:lvl>
  </w:abstractNum>
  <w:abstractNum w:abstractNumId="59" w15:restartNumberingAfterBreak="0">
    <w:nsid w:val="6F852277"/>
    <w:multiLevelType w:val="hybridMultilevel"/>
    <w:tmpl w:val="89DC286C"/>
    <w:lvl w:ilvl="0" w:tplc="5B009D2E">
      <w:start w:val="2"/>
      <w:numFmt w:val="bullet"/>
      <w:lvlText w:val="-"/>
      <w:lvlJc w:val="left"/>
      <w:pPr>
        <w:ind w:left="1080" w:hanging="360"/>
      </w:pPr>
      <w:rPr>
        <w:rFonts w:ascii="Aptos" w:eastAsia="Aptos" w:hAnsi="Aptos"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0" w15:restartNumberingAfterBreak="0">
    <w:nsid w:val="7028C21A"/>
    <w:multiLevelType w:val="hybridMultilevel"/>
    <w:tmpl w:val="FAC4FDE8"/>
    <w:lvl w:ilvl="0" w:tplc="45B6C7D6">
      <w:start w:val="1"/>
      <w:numFmt w:val="bullet"/>
      <w:lvlText w:val=""/>
      <w:lvlJc w:val="left"/>
      <w:pPr>
        <w:ind w:left="720" w:hanging="360"/>
      </w:pPr>
      <w:rPr>
        <w:rFonts w:ascii="Symbol" w:hAnsi="Symbol" w:hint="default"/>
      </w:rPr>
    </w:lvl>
    <w:lvl w:ilvl="1" w:tplc="FF94556A">
      <w:start w:val="1"/>
      <w:numFmt w:val="bullet"/>
      <w:lvlText w:val="o"/>
      <w:lvlJc w:val="left"/>
      <w:pPr>
        <w:ind w:left="1440" w:hanging="360"/>
      </w:pPr>
      <w:rPr>
        <w:rFonts w:ascii="Courier New" w:hAnsi="Courier New" w:hint="default"/>
      </w:rPr>
    </w:lvl>
    <w:lvl w:ilvl="2" w:tplc="4B8C8BCE">
      <w:start w:val="1"/>
      <w:numFmt w:val="bullet"/>
      <w:lvlText w:val=""/>
      <w:lvlJc w:val="left"/>
      <w:pPr>
        <w:ind w:left="2160" w:hanging="360"/>
      </w:pPr>
      <w:rPr>
        <w:rFonts w:ascii="Wingdings" w:hAnsi="Wingdings" w:hint="default"/>
      </w:rPr>
    </w:lvl>
    <w:lvl w:ilvl="3" w:tplc="E076AA28">
      <w:start w:val="1"/>
      <w:numFmt w:val="bullet"/>
      <w:lvlText w:val=""/>
      <w:lvlJc w:val="left"/>
      <w:pPr>
        <w:ind w:left="2880" w:hanging="360"/>
      </w:pPr>
      <w:rPr>
        <w:rFonts w:ascii="Symbol" w:hAnsi="Symbol" w:hint="default"/>
      </w:rPr>
    </w:lvl>
    <w:lvl w:ilvl="4" w:tplc="53A4419A">
      <w:start w:val="1"/>
      <w:numFmt w:val="bullet"/>
      <w:lvlText w:val="o"/>
      <w:lvlJc w:val="left"/>
      <w:pPr>
        <w:ind w:left="3600" w:hanging="360"/>
      </w:pPr>
      <w:rPr>
        <w:rFonts w:ascii="Courier New" w:hAnsi="Courier New" w:hint="default"/>
      </w:rPr>
    </w:lvl>
    <w:lvl w:ilvl="5" w:tplc="FF74A136">
      <w:start w:val="1"/>
      <w:numFmt w:val="bullet"/>
      <w:lvlText w:val=""/>
      <w:lvlJc w:val="left"/>
      <w:pPr>
        <w:ind w:left="4320" w:hanging="360"/>
      </w:pPr>
      <w:rPr>
        <w:rFonts w:ascii="Wingdings" w:hAnsi="Wingdings" w:hint="default"/>
      </w:rPr>
    </w:lvl>
    <w:lvl w:ilvl="6" w:tplc="425C4E56">
      <w:start w:val="1"/>
      <w:numFmt w:val="bullet"/>
      <w:lvlText w:val=""/>
      <w:lvlJc w:val="left"/>
      <w:pPr>
        <w:ind w:left="5040" w:hanging="360"/>
      </w:pPr>
      <w:rPr>
        <w:rFonts w:ascii="Symbol" w:hAnsi="Symbol" w:hint="default"/>
      </w:rPr>
    </w:lvl>
    <w:lvl w:ilvl="7" w:tplc="ADAE900A">
      <w:start w:val="1"/>
      <w:numFmt w:val="bullet"/>
      <w:lvlText w:val="o"/>
      <w:lvlJc w:val="left"/>
      <w:pPr>
        <w:ind w:left="5760" w:hanging="360"/>
      </w:pPr>
      <w:rPr>
        <w:rFonts w:ascii="Courier New" w:hAnsi="Courier New" w:hint="default"/>
      </w:rPr>
    </w:lvl>
    <w:lvl w:ilvl="8" w:tplc="6016C9BC">
      <w:start w:val="1"/>
      <w:numFmt w:val="bullet"/>
      <w:lvlText w:val=""/>
      <w:lvlJc w:val="left"/>
      <w:pPr>
        <w:ind w:left="6480" w:hanging="360"/>
      </w:pPr>
      <w:rPr>
        <w:rFonts w:ascii="Wingdings" w:hAnsi="Wingdings" w:hint="default"/>
      </w:rPr>
    </w:lvl>
  </w:abstractNum>
  <w:abstractNum w:abstractNumId="61" w15:restartNumberingAfterBreak="0">
    <w:nsid w:val="74954C1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76491D28"/>
    <w:multiLevelType w:val="hybridMultilevel"/>
    <w:tmpl w:val="82BE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3132DF"/>
    <w:multiLevelType w:val="hybridMultilevel"/>
    <w:tmpl w:val="868C0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84D6D5D"/>
    <w:multiLevelType w:val="hybridMultilevel"/>
    <w:tmpl w:val="81761B32"/>
    <w:lvl w:ilvl="0" w:tplc="D38428A0">
      <w:numFmt w:val="none"/>
      <w:lvlText w:val=""/>
      <w:lvlJc w:val="left"/>
      <w:pPr>
        <w:tabs>
          <w:tab w:val="num" w:pos="360"/>
        </w:tabs>
      </w:pPr>
    </w:lvl>
    <w:lvl w:ilvl="1" w:tplc="D36460CC">
      <w:start w:val="1"/>
      <w:numFmt w:val="lowerLetter"/>
      <w:lvlText w:val="%2."/>
      <w:lvlJc w:val="left"/>
      <w:pPr>
        <w:ind w:left="1440" w:hanging="360"/>
      </w:pPr>
    </w:lvl>
    <w:lvl w:ilvl="2" w:tplc="00F876DA">
      <w:start w:val="1"/>
      <w:numFmt w:val="lowerRoman"/>
      <w:lvlText w:val="%3."/>
      <w:lvlJc w:val="right"/>
      <w:pPr>
        <w:ind w:left="2160" w:hanging="180"/>
      </w:pPr>
    </w:lvl>
    <w:lvl w:ilvl="3" w:tplc="F4A2A93C">
      <w:start w:val="1"/>
      <w:numFmt w:val="decimal"/>
      <w:lvlText w:val="%4."/>
      <w:lvlJc w:val="left"/>
      <w:pPr>
        <w:ind w:left="2880" w:hanging="360"/>
      </w:pPr>
    </w:lvl>
    <w:lvl w:ilvl="4" w:tplc="1366B08E">
      <w:start w:val="1"/>
      <w:numFmt w:val="lowerLetter"/>
      <w:lvlText w:val="%5."/>
      <w:lvlJc w:val="left"/>
      <w:pPr>
        <w:ind w:left="3600" w:hanging="360"/>
      </w:pPr>
    </w:lvl>
    <w:lvl w:ilvl="5" w:tplc="AD8ED516">
      <w:start w:val="1"/>
      <w:numFmt w:val="lowerRoman"/>
      <w:lvlText w:val="%6."/>
      <w:lvlJc w:val="right"/>
      <w:pPr>
        <w:ind w:left="4320" w:hanging="180"/>
      </w:pPr>
    </w:lvl>
    <w:lvl w:ilvl="6" w:tplc="306631F2">
      <w:start w:val="1"/>
      <w:numFmt w:val="decimal"/>
      <w:lvlText w:val="%7."/>
      <w:lvlJc w:val="left"/>
      <w:pPr>
        <w:ind w:left="5040" w:hanging="360"/>
      </w:pPr>
    </w:lvl>
    <w:lvl w:ilvl="7" w:tplc="64AEECD4">
      <w:start w:val="1"/>
      <w:numFmt w:val="lowerLetter"/>
      <w:lvlText w:val="%8."/>
      <w:lvlJc w:val="left"/>
      <w:pPr>
        <w:ind w:left="5760" w:hanging="360"/>
      </w:pPr>
    </w:lvl>
    <w:lvl w:ilvl="8" w:tplc="0186B208">
      <w:start w:val="1"/>
      <w:numFmt w:val="lowerRoman"/>
      <w:lvlText w:val="%9."/>
      <w:lvlJc w:val="right"/>
      <w:pPr>
        <w:ind w:left="6480" w:hanging="180"/>
      </w:pPr>
    </w:lvl>
  </w:abstractNum>
  <w:abstractNum w:abstractNumId="65" w15:restartNumberingAfterBreak="0">
    <w:nsid w:val="795D3ACD"/>
    <w:multiLevelType w:val="hybridMultilevel"/>
    <w:tmpl w:val="04AEC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9975DA1"/>
    <w:multiLevelType w:val="hybridMultilevel"/>
    <w:tmpl w:val="762E4276"/>
    <w:lvl w:ilvl="0" w:tplc="0902F4A6">
      <w:start w:val="1"/>
      <w:numFmt w:val="bullet"/>
      <w:lvlText w:val="·"/>
      <w:lvlJc w:val="left"/>
      <w:pPr>
        <w:ind w:left="720" w:hanging="360"/>
      </w:pPr>
      <w:rPr>
        <w:rFonts w:ascii="Symbol" w:hAnsi="Symbol" w:hint="default"/>
      </w:rPr>
    </w:lvl>
    <w:lvl w:ilvl="1" w:tplc="08F28374">
      <w:start w:val="1"/>
      <w:numFmt w:val="bullet"/>
      <w:lvlText w:val="o"/>
      <w:lvlJc w:val="left"/>
      <w:pPr>
        <w:ind w:left="1440" w:hanging="360"/>
      </w:pPr>
      <w:rPr>
        <w:rFonts w:ascii="Courier New" w:hAnsi="Courier New" w:hint="default"/>
      </w:rPr>
    </w:lvl>
    <w:lvl w:ilvl="2" w:tplc="89C485C2">
      <w:start w:val="1"/>
      <w:numFmt w:val="bullet"/>
      <w:lvlText w:val=""/>
      <w:lvlJc w:val="left"/>
      <w:pPr>
        <w:ind w:left="2160" w:hanging="360"/>
      </w:pPr>
      <w:rPr>
        <w:rFonts w:ascii="Wingdings" w:hAnsi="Wingdings" w:hint="default"/>
      </w:rPr>
    </w:lvl>
    <w:lvl w:ilvl="3" w:tplc="052EFBA2">
      <w:start w:val="1"/>
      <w:numFmt w:val="bullet"/>
      <w:lvlText w:val=""/>
      <w:lvlJc w:val="left"/>
      <w:pPr>
        <w:ind w:left="2880" w:hanging="360"/>
      </w:pPr>
      <w:rPr>
        <w:rFonts w:ascii="Symbol" w:hAnsi="Symbol" w:hint="default"/>
      </w:rPr>
    </w:lvl>
    <w:lvl w:ilvl="4" w:tplc="3216BBD0">
      <w:start w:val="1"/>
      <w:numFmt w:val="bullet"/>
      <w:lvlText w:val="o"/>
      <w:lvlJc w:val="left"/>
      <w:pPr>
        <w:ind w:left="3600" w:hanging="360"/>
      </w:pPr>
      <w:rPr>
        <w:rFonts w:ascii="Courier New" w:hAnsi="Courier New" w:hint="default"/>
      </w:rPr>
    </w:lvl>
    <w:lvl w:ilvl="5" w:tplc="A5E004B0">
      <w:start w:val="1"/>
      <w:numFmt w:val="bullet"/>
      <w:lvlText w:val=""/>
      <w:lvlJc w:val="left"/>
      <w:pPr>
        <w:ind w:left="4320" w:hanging="360"/>
      </w:pPr>
      <w:rPr>
        <w:rFonts w:ascii="Wingdings" w:hAnsi="Wingdings" w:hint="default"/>
      </w:rPr>
    </w:lvl>
    <w:lvl w:ilvl="6" w:tplc="1124D14A">
      <w:start w:val="1"/>
      <w:numFmt w:val="bullet"/>
      <w:lvlText w:val=""/>
      <w:lvlJc w:val="left"/>
      <w:pPr>
        <w:ind w:left="5040" w:hanging="360"/>
      </w:pPr>
      <w:rPr>
        <w:rFonts w:ascii="Symbol" w:hAnsi="Symbol" w:hint="default"/>
      </w:rPr>
    </w:lvl>
    <w:lvl w:ilvl="7" w:tplc="7B6EBEA4">
      <w:start w:val="1"/>
      <w:numFmt w:val="bullet"/>
      <w:lvlText w:val="o"/>
      <w:lvlJc w:val="left"/>
      <w:pPr>
        <w:ind w:left="5760" w:hanging="360"/>
      </w:pPr>
      <w:rPr>
        <w:rFonts w:ascii="Courier New" w:hAnsi="Courier New" w:hint="default"/>
      </w:rPr>
    </w:lvl>
    <w:lvl w:ilvl="8" w:tplc="2E76B868">
      <w:start w:val="1"/>
      <w:numFmt w:val="bullet"/>
      <w:lvlText w:val=""/>
      <w:lvlJc w:val="left"/>
      <w:pPr>
        <w:ind w:left="6480" w:hanging="360"/>
      </w:pPr>
      <w:rPr>
        <w:rFonts w:ascii="Wingdings" w:hAnsi="Wingdings" w:hint="default"/>
      </w:rPr>
    </w:lvl>
  </w:abstractNum>
  <w:abstractNum w:abstractNumId="67" w15:restartNumberingAfterBreak="0">
    <w:nsid w:val="7FFE0871"/>
    <w:multiLevelType w:val="hybridMultilevel"/>
    <w:tmpl w:val="07780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0"/>
  </w:num>
  <w:num w:numId="2">
    <w:abstractNumId w:val="15"/>
  </w:num>
  <w:num w:numId="3">
    <w:abstractNumId w:val="2"/>
  </w:num>
  <w:num w:numId="4">
    <w:abstractNumId w:val="48"/>
  </w:num>
  <w:num w:numId="5">
    <w:abstractNumId w:val="39"/>
  </w:num>
  <w:num w:numId="6">
    <w:abstractNumId w:val="13"/>
  </w:num>
  <w:num w:numId="7">
    <w:abstractNumId w:val="34"/>
  </w:num>
  <w:num w:numId="8">
    <w:abstractNumId w:val="16"/>
  </w:num>
  <w:num w:numId="9">
    <w:abstractNumId w:val="46"/>
  </w:num>
  <w:num w:numId="10">
    <w:abstractNumId w:val="36"/>
  </w:num>
  <w:num w:numId="11">
    <w:abstractNumId w:val="28"/>
  </w:num>
  <w:num w:numId="12">
    <w:abstractNumId w:val="66"/>
  </w:num>
  <w:num w:numId="13">
    <w:abstractNumId w:val="58"/>
  </w:num>
  <w:num w:numId="14">
    <w:abstractNumId w:val="22"/>
  </w:num>
  <w:num w:numId="15">
    <w:abstractNumId w:val="54"/>
  </w:num>
  <w:num w:numId="16">
    <w:abstractNumId w:val="1"/>
  </w:num>
  <w:num w:numId="17">
    <w:abstractNumId w:val="33"/>
  </w:num>
  <w:num w:numId="18">
    <w:abstractNumId w:val="4"/>
  </w:num>
  <w:num w:numId="19">
    <w:abstractNumId w:val="25"/>
  </w:num>
  <w:num w:numId="20">
    <w:abstractNumId w:val="11"/>
  </w:num>
  <w:num w:numId="21">
    <w:abstractNumId w:val="45"/>
  </w:num>
  <w:num w:numId="22">
    <w:abstractNumId w:val="52"/>
  </w:num>
  <w:num w:numId="23">
    <w:abstractNumId w:val="7"/>
  </w:num>
  <w:num w:numId="24">
    <w:abstractNumId w:val="8"/>
  </w:num>
  <w:num w:numId="25">
    <w:abstractNumId w:val="64"/>
  </w:num>
  <w:num w:numId="26">
    <w:abstractNumId w:val="65"/>
  </w:num>
  <w:num w:numId="27">
    <w:abstractNumId w:val="23"/>
  </w:num>
  <w:num w:numId="28">
    <w:abstractNumId w:val="20"/>
  </w:num>
  <w:num w:numId="29">
    <w:abstractNumId w:val="67"/>
  </w:num>
  <w:num w:numId="30">
    <w:abstractNumId w:val="44"/>
  </w:num>
  <w:num w:numId="31">
    <w:abstractNumId w:val="62"/>
  </w:num>
  <w:num w:numId="32">
    <w:abstractNumId w:val="9"/>
  </w:num>
  <w:num w:numId="33">
    <w:abstractNumId w:val="3"/>
  </w:num>
  <w:num w:numId="34">
    <w:abstractNumId w:val="42"/>
  </w:num>
  <w:num w:numId="35">
    <w:abstractNumId w:val="18"/>
  </w:num>
  <w:num w:numId="36">
    <w:abstractNumId w:val="17"/>
  </w:num>
  <w:num w:numId="37">
    <w:abstractNumId w:val="30"/>
  </w:num>
  <w:num w:numId="38">
    <w:abstractNumId w:val="10"/>
  </w:num>
  <w:num w:numId="39">
    <w:abstractNumId w:val="32"/>
  </w:num>
  <w:num w:numId="40">
    <w:abstractNumId w:val="61"/>
  </w:num>
  <w:num w:numId="41">
    <w:abstractNumId w:val="49"/>
  </w:num>
  <w:num w:numId="42">
    <w:abstractNumId w:val="26"/>
  </w:num>
  <w:num w:numId="43">
    <w:abstractNumId w:val="55"/>
  </w:num>
  <w:num w:numId="44">
    <w:abstractNumId w:val="35"/>
  </w:num>
  <w:num w:numId="45">
    <w:abstractNumId w:val="63"/>
  </w:num>
  <w:num w:numId="46">
    <w:abstractNumId w:val="51"/>
  </w:num>
  <w:num w:numId="47">
    <w:abstractNumId w:val="19"/>
  </w:num>
  <w:num w:numId="48">
    <w:abstractNumId w:val="38"/>
  </w:num>
  <w:num w:numId="49">
    <w:abstractNumId w:val="40"/>
  </w:num>
  <w:num w:numId="50">
    <w:abstractNumId w:val="50"/>
  </w:num>
  <w:num w:numId="51">
    <w:abstractNumId w:val="41"/>
  </w:num>
  <w:num w:numId="52">
    <w:abstractNumId w:val="27"/>
  </w:num>
  <w:num w:numId="53">
    <w:abstractNumId w:val="24"/>
  </w:num>
  <w:num w:numId="54">
    <w:abstractNumId w:val="14"/>
  </w:num>
  <w:num w:numId="55">
    <w:abstractNumId w:val="43"/>
  </w:num>
  <w:num w:numId="56">
    <w:abstractNumId w:val="12"/>
  </w:num>
  <w:num w:numId="57">
    <w:abstractNumId w:val="29"/>
  </w:num>
  <w:num w:numId="58">
    <w:abstractNumId w:val="37"/>
  </w:num>
  <w:num w:numId="59">
    <w:abstractNumId w:val="53"/>
  </w:num>
  <w:num w:numId="60">
    <w:abstractNumId w:val="56"/>
  </w:num>
  <w:num w:numId="61">
    <w:abstractNumId w:val="6"/>
  </w:num>
  <w:num w:numId="62">
    <w:abstractNumId w:val="0"/>
  </w:num>
  <w:num w:numId="63">
    <w:abstractNumId w:val="57"/>
  </w:num>
  <w:num w:numId="64">
    <w:abstractNumId w:val="31"/>
  </w:num>
  <w:num w:numId="65">
    <w:abstractNumId w:val="21"/>
  </w:num>
  <w:num w:numId="66">
    <w:abstractNumId w:val="47"/>
  </w:num>
  <w:num w:numId="67">
    <w:abstractNumId w:val="59"/>
  </w:num>
  <w:num w:numId="68">
    <w:abstractNumId w:val="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F33F9535-08C0-492D-8FB5-6EB9465783E3"/>
    <w:docVar w:name="LW_COVERPAGE_TYPE" w:val="1"/>
    <w:docVar w:name="LW_CROSSREFERENCE" w:val="&lt;UNUSED&gt;"/>
    <w:docVar w:name="LW_DocType" w:val="NORMAL"/>
    <w:docVar w:name="LW_EMISSION" w:val="21.4.2026"/>
    <w:docVar w:name="LW_EMISSION_ISODATE" w:val="2026-04-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a mise en \u339?uvre et à l\u8217?application de l\u8217?accord de commerce et de coopération entre l\u8217?Union européenne et le Royaume-Uni de Grande-Bretagne et d\u8217?Irlande du Nord_x000d__x000d__x000d__x000d__x000d__x000d__x000d__x000d__x000d__x000d__x000d__x000d__x000d__x000d__x000d__x000d__x000d__x000b__x000d__x000d__x000d__x000d__x000d__x000d__x000d__x000d__x000d__x000d__x000d__x000d__x000d__x000d__x000d__x000d__x000d__x000d__x000b_1&lt;FMT:Superscript&gt;er&lt;/FMT&gt; janvier \u8211? 31 décembre 2025"/>
    <w:docVar w:name="LW_TYPE.DOC.CP" w:val="RAPPORT DE LA COMMISSION AU PARLEMENT EUROPÉEN ET AU CONSEIL"/>
    <w:docVar w:name="LwApiVersions" w:val="LW4CoDe 1.24.5.0; LW 9.2, Build 20251112"/>
  </w:docVars>
  <w:rsids>
    <w:rsidRoot w:val="00D54585"/>
    <w:rsid w:val="00000306"/>
    <w:rsid w:val="000007A4"/>
    <w:rsid w:val="0000104B"/>
    <w:rsid w:val="00001275"/>
    <w:rsid w:val="0000188D"/>
    <w:rsid w:val="00001891"/>
    <w:rsid w:val="00002647"/>
    <w:rsid w:val="00002B7E"/>
    <w:rsid w:val="000032CF"/>
    <w:rsid w:val="00003840"/>
    <w:rsid w:val="00003FCC"/>
    <w:rsid w:val="00004111"/>
    <w:rsid w:val="00004751"/>
    <w:rsid w:val="00004D10"/>
    <w:rsid w:val="00004D1D"/>
    <w:rsid w:val="00005207"/>
    <w:rsid w:val="00005308"/>
    <w:rsid w:val="00005C07"/>
    <w:rsid w:val="00005C6E"/>
    <w:rsid w:val="0000609D"/>
    <w:rsid w:val="000061F3"/>
    <w:rsid w:val="000065A9"/>
    <w:rsid w:val="00006788"/>
    <w:rsid w:val="00006C00"/>
    <w:rsid w:val="00006D0B"/>
    <w:rsid w:val="00007142"/>
    <w:rsid w:val="00007848"/>
    <w:rsid w:val="000079C2"/>
    <w:rsid w:val="00007E74"/>
    <w:rsid w:val="000104AB"/>
    <w:rsid w:val="00010783"/>
    <w:rsid w:val="00010BA6"/>
    <w:rsid w:val="00010E1E"/>
    <w:rsid w:val="00010E78"/>
    <w:rsid w:val="0001117E"/>
    <w:rsid w:val="00011335"/>
    <w:rsid w:val="000113C6"/>
    <w:rsid w:val="0001158A"/>
    <w:rsid w:val="000115DE"/>
    <w:rsid w:val="00011B9E"/>
    <w:rsid w:val="00012286"/>
    <w:rsid w:val="00012658"/>
    <w:rsid w:val="00012710"/>
    <w:rsid w:val="00012C9B"/>
    <w:rsid w:val="00012ECB"/>
    <w:rsid w:val="0001303C"/>
    <w:rsid w:val="0001325C"/>
    <w:rsid w:val="00013508"/>
    <w:rsid w:val="00013525"/>
    <w:rsid w:val="00013B49"/>
    <w:rsid w:val="000142C1"/>
    <w:rsid w:val="00014693"/>
    <w:rsid w:val="000146AB"/>
    <w:rsid w:val="0001481C"/>
    <w:rsid w:val="00014D1B"/>
    <w:rsid w:val="00015337"/>
    <w:rsid w:val="000153A1"/>
    <w:rsid w:val="000153E0"/>
    <w:rsid w:val="000157FF"/>
    <w:rsid w:val="0001587D"/>
    <w:rsid w:val="00015F9B"/>
    <w:rsid w:val="00016550"/>
    <w:rsid w:val="000168BD"/>
    <w:rsid w:val="00016C53"/>
    <w:rsid w:val="00016EB0"/>
    <w:rsid w:val="000175C8"/>
    <w:rsid w:val="00017D6D"/>
    <w:rsid w:val="000200F1"/>
    <w:rsid w:val="000207EE"/>
    <w:rsid w:val="00020EC8"/>
    <w:rsid w:val="000216FD"/>
    <w:rsid w:val="000217E8"/>
    <w:rsid w:val="00021B26"/>
    <w:rsid w:val="00021CAA"/>
    <w:rsid w:val="00021D74"/>
    <w:rsid w:val="00021E9C"/>
    <w:rsid w:val="00021F00"/>
    <w:rsid w:val="000223BE"/>
    <w:rsid w:val="000225AE"/>
    <w:rsid w:val="00022783"/>
    <w:rsid w:val="00022A83"/>
    <w:rsid w:val="0002324A"/>
    <w:rsid w:val="00023CFA"/>
    <w:rsid w:val="0002423B"/>
    <w:rsid w:val="00024562"/>
    <w:rsid w:val="00024752"/>
    <w:rsid w:val="00024840"/>
    <w:rsid w:val="00024AB7"/>
    <w:rsid w:val="00024D39"/>
    <w:rsid w:val="0002515A"/>
    <w:rsid w:val="00025219"/>
    <w:rsid w:val="000252E0"/>
    <w:rsid w:val="000252ED"/>
    <w:rsid w:val="00025303"/>
    <w:rsid w:val="00025795"/>
    <w:rsid w:val="00025BB9"/>
    <w:rsid w:val="000260AA"/>
    <w:rsid w:val="000261D3"/>
    <w:rsid w:val="00026471"/>
    <w:rsid w:val="00026618"/>
    <w:rsid w:val="0002672F"/>
    <w:rsid w:val="00026E9E"/>
    <w:rsid w:val="00026F98"/>
    <w:rsid w:val="000271BF"/>
    <w:rsid w:val="000271C4"/>
    <w:rsid w:val="000276CC"/>
    <w:rsid w:val="00027CD9"/>
    <w:rsid w:val="00030013"/>
    <w:rsid w:val="000301EA"/>
    <w:rsid w:val="00030347"/>
    <w:rsid w:val="00030436"/>
    <w:rsid w:val="000306F0"/>
    <w:rsid w:val="00030988"/>
    <w:rsid w:val="00030E17"/>
    <w:rsid w:val="00031009"/>
    <w:rsid w:val="000310FD"/>
    <w:rsid w:val="00031464"/>
    <w:rsid w:val="00031830"/>
    <w:rsid w:val="00032120"/>
    <w:rsid w:val="000322C0"/>
    <w:rsid w:val="0003247B"/>
    <w:rsid w:val="000325EE"/>
    <w:rsid w:val="00033010"/>
    <w:rsid w:val="00033520"/>
    <w:rsid w:val="000335E7"/>
    <w:rsid w:val="000338D6"/>
    <w:rsid w:val="00033C0A"/>
    <w:rsid w:val="00033C13"/>
    <w:rsid w:val="0003427B"/>
    <w:rsid w:val="0003431F"/>
    <w:rsid w:val="00034447"/>
    <w:rsid w:val="000344EF"/>
    <w:rsid w:val="00034714"/>
    <w:rsid w:val="00034BAF"/>
    <w:rsid w:val="00034D82"/>
    <w:rsid w:val="000352A1"/>
    <w:rsid w:val="00035DDE"/>
    <w:rsid w:val="00035F8D"/>
    <w:rsid w:val="000361B5"/>
    <w:rsid w:val="00036505"/>
    <w:rsid w:val="000368B4"/>
    <w:rsid w:val="00036B14"/>
    <w:rsid w:val="00036B1B"/>
    <w:rsid w:val="00036B52"/>
    <w:rsid w:val="00037256"/>
    <w:rsid w:val="00037355"/>
    <w:rsid w:val="000379C6"/>
    <w:rsid w:val="00037D7B"/>
    <w:rsid w:val="00040337"/>
    <w:rsid w:val="000403C9"/>
    <w:rsid w:val="00040621"/>
    <w:rsid w:val="00040652"/>
    <w:rsid w:val="00040729"/>
    <w:rsid w:val="0004079B"/>
    <w:rsid w:val="00040810"/>
    <w:rsid w:val="0004094C"/>
    <w:rsid w:val="00040B22"/>
    <w:rsid w:val="0004105D"/>
    <w:rsid w:val="0004124E"/>
    <w:rsid w:val="0004141C"/>
    <w:rsid w:val="00041423"/>
    <w:rsid w:val="00041741"/>
    <w:rsid w:val="00041BE4"/>
    <w:rsid w:val="00041BEA"/>
    <w:rsid w:val="00041C04"/>
    <w:rsid w:val="00041C0E"/>
    <w:rsid w:val="00041C4F"/>
    <w:rsid w:val="00041CF6"/>
    <w:rsid w:val="00041EA1"/>
    <w:rsid w:val="00042229"/>
    <w:rsid w:val="00042251"/>
    <w:rsid w:val="00042371"/>
    <w:rsid w:val="000425F8"/>
    <w:rsid w:val="0004269C"/>
    <w:rsid w:val="000427B7"/>
    <w:rsid w:val="0004321E"/>
    <w:rsid w:val="000440CE"/>
    <w:rsid w:val="000446CA"/>
    <w:rsid w:val="00044B61"/>
    <w:rsid w:val="00044D30"/>
    <w:rsid w:val="00044D5B"/>
    <w:rsid w:val="00045096"/>
    <w:rsid w:val="000450A1"/>
    <w:rsid w:val="000452FC"/>
    <w:rsid w:val="0004588D"/>
    <w:rsid w:val="000458AD"/>
    <w:rsid w:val="000459F6"/>
    <w:rsid w:val="00045C33"/>
    <w:rsid w:val="0004609E"/>
    <w:rsid w:val="00046138"/>
    <w:rsid w:val="000463D3"/>
    <w:rsid w:val="000466FE"/>
    <w:rsid w:val="00046813"/>
    <w:rsid w:val="000468D3"/>
    <w:rsid w:val="00046AFE"/>
    <w:rsid w:val="00046BC6"/>
    <w:rsid w:val="000475FA"/>
    <w:rsid w:val="00047747"/>
    <w:rsid w:val="00047A42"/>
    <w:rsid w:val="00047C4B"/>
    <w:rsid w:val="00050116"/>
    <w:rsid w:val="00050F75"/>
    <w:rsid w:val="000510E5"/>
    <w:rsid w:val="00051418"/>
    <w:rsid w:val="00052618"/>
    <w:rsid w:val="000528AB"/>
    <w:rsid w:val="0005296D"/>
    <w:rsid w:val="00052993"/>
    <w:rsid w:val="000534CE"/>
    <w:rsid w:val="000537F7"/>
    <w:rsid w:val="00053B5A"/>
    <w:rsid w:val="00053D4D"/>
    <w:rsid w:val="00053E24"/>
    <w:rsid w:val="00053F5E"/>
    <w:rsid w:val="00054215"/>
    <w:rsid w:val="000543FB"/>
    <w:rsid w:val="00054488"/>
    <w:rsid w:val="0005453F"/>
    <w:rsid w:val="00054561"/>
    <w:rsid w:val="0005470B"/>
    <w:rsid w:val="0005493B"/>
    <w:rsid w:val="00054EE6"/>
    <w:rsid w:val="00055E8F"/>
    <w:rsid w:val="00055F72"/>
    <w:rsid w:val="00055FE8"/>
    <w:rsid w:val="00056C49"/>
    <w:rsid w:val="00056CAD"/>
    <w:rsid w:val="00056E2C"/>
    <w:rsid w:val="0005708D"/>
    <w:rsid w:val="0005718A"/>
    <w:rsid w:val="0005730C"/>
    <w:rsid w:val="00057FE1"/>
    <w:rsid w:val="0006000B"/>
    <w:rsid w:val="00060274"/>
    <w:rsid w:val="00060307"/>
    <w:rsid w:val="000603BC"/>
    <w:rsid w:val="0006063C"/>
    <w:rsid w:val="00060A22"/>
    <w:rsid w:val="00061246"/>
    <w:rsid w:val="000614F7"/>
    <w:rsid w:val="00061766"/>
    <w:rsid w:val="00061B7A"/>
    <w:rsid w:val="00061C6F"/>
    <w:rsid w:val="00061E77"/>
    <w:rsid w:val="00062591"/>
    <w:rsid w:val="000625F1"/>
    <w:rsid w:val="00062E29"/>
    <w:rsid w:val="00063633"/>
    <w:rsid w:val="00063F6C"/>
    <w:rsid w:val="000642DC"/>
    <w:rsid w:val="00064305"/>
    <w:rsid w:val="00064A64"/>
    <w:rsid w:val="00064FB9"/>
    <w:rsid w:val="000651DF"/>
    <w:rsid w:val="000656A6"/>
    <w:rsid w:val="000657BD"/>
    <w:rsid w:val="000659CC"/>
    <w:rsid w:val="00065E31"/>
    <w:rsid w:val="00065F22"/>
    <w:rsid w:val="00065FFE"/>
    <w:rsid w:val="00066658"/>
    <w:rsid w:val="00066724"/>
    <w:rsid w:val="0006721F"/>
    <w:rsid w:val="00067416"/>
    <w:rsid w:val="000700A0"/>
    <w:rsid w:val="00070C32"/>
    <w:rsid w:val="000712B5"/>
    <w:rsid w:val="00071555"/>
    <w:rsid w:val="0007178A"/>
    <w:rsid w:val="00071DC2"/>
    <w:rsid w:val="00071F9F"/>
    <w:rsid w:val="0007231C"/>
    <w:rsid w:val="00072891"/>
    <w:rsid w:val="00072CA9"/>
    <w:rsid w:val="00072E05"/>
    <w:rsid w:val="00073205"/>
    <w:rsid w:val="0007344F"/>
    <w:rsid w:val="0007361D"/>
    <w:rsid w:val="00073840"/>
    <w:rsid w:val="000739A6"/>
    <w:rsid w:val="000745BC"/>
    <w:rsid w:val="000747B9"/>
    <w:rsid w:val="00074B7C"/>
    <w:rsid w:val="00074BBB"/>
    <w:rsid w:val="00075370"/>
    <w:rsid w:val="000753EA"/>
    <w:rsid w:val="000754A6"/>
    <w:rsid w:val="0007551C"/>
    <w:rsid w:val="00075D85"/>
    <w:rsid w:val="00075EB1"/>
    <w:rsid w:val="000760FB"/>
    <w:rsid w:val="00076178"/>
    <w:rsid w:val="00076B08"/>
    <w:rsid w:val="00077421"/>
    <w:rsid w:val="000776F5"/>
    <w:rsid w:val="00077B8B"/>
    <w:rsid w:val="00077D94"/>
    <w:rsid w:val="00077EE7"/>
    <w:rsid w:val="000801B6"/>
    <w:rsid w:val="00080357"/>
    <w:rsid w:val="000803FE"/>
    <w:rsid w:val="00080483"/>
    <w:rsid w:val="000809CB"/>
    <w:rsid w:val="00080A48"/>
    <w:rsid w:val="00080A58"/>
    <w:rsid w:val="00080B1D"/>
    <w:rsid w:val="00081323"/>
    <w:rsid w:val="000813C2"/>
    <w:rsid w:val="0008161B"/>
    <w:rsid w:val="00081670"/>
    <w:rsid w:val="0008185F"/>
    <w:rsid w:val="00081C8C"/>
    <w:rsid w:val="00081E8C"/>
    <w:rsid w:val="00082071"/>
    <w:rsid w:val="000824AF"/>
    <w:rsid w:val="000824B8"/>
    <w:rsid w:val="0008255D"/>
    <w:rsid w:val="00083233"/>
    <w:rsid w:val="00083380"/>
    <w:rsid w:val="00083695"/>
    <w:rsid w:val="00083ABD"/>
    <w:rsid w:val="00083B96"/>
    <w:rsid w:val="00083F72"/>
    <w:rsid w:val="00084B11"/>
    <w:rsid w:val="00084CCD"/>
    <w:rsid w:val="00085204"/>
    <w:rsid w:val="000852AA"/>
    <w:rsid w:val="0008552E"/>
    <w:rsid w:val="00085596"/>
    <w:rsid w:val="00085676"/>
    <w:rsid w:val="00085C22"/>
    <w:rsid w:val="0008616A"/>
    <w:rsid w:val="000864EC"/>
    <w:rsid w:val="000869A5"/>
    <w:rsid w:val="00086A99"/>
    <w:rsid w:val="0008713D"/>
    <w:rsid w:val="000876F0"/>
    <w:rsid w:val="00087994"/>
    <w:rsid w:val="00087F49"/>
    <w:rsid w:val="0009001D"/>
    <w:rsid w:val="00090202"/>
    <w:rsid w:val="00090274"/>
    <w:rsid w:val="00090BFB"/>
    <w:rsid w:val="00091500"/>
    <w:rsid w:val="00091644"/>
    <w:rsid w:val="00092127"/>
    <w:rsid w:val="0009252B"/>
    <w:rsid w:val="000926C2"/>
    <w:rsid w:val="0009273D"/>
    <w:rsid w:val="00092957"/>
    <w:rsid w:val="00093055"/>
    <w:rsid w:val="000933D8"/>
    <w:rsid w:val="000935CA"/>
    <w:rsid w:val="000937D0"/>
    <w:rsid w:val="00093869"/>
    <w:rsid w:val="00093A9F"/>
    <w:rsid w:val="00093EEE"/>
    <w:rsid w:val="0009414C"/>
    <w:rsid w:val="000943A9"/>
    <w:rsid w:val="00094417"/>
    <w:rsid w:val="000948FB"/>
    <w:rsid w:val="00094901"/>
    <w:rsid w:val="0009501B"/>
    <w:rsid w:val="00095415"/>
    <w:rsid w:val="00095492"/>
    <w:rsid w:val="00095B61"/>
    <w:rsid w:val="00095DBD"/>
    <w:rsid w:val="00095ED2"/>
    <w:rsid w:val="00095FFB"/>
    <w:rsid w:val="0009657C"/>
    <w:rsid w:val="00096A6A"/>
    <w:rsid w:val="00097002"/>
    <w:rsid w:val="000972FB"/>
    <w:rsid w:val="0009743D"/>
    <w:rsid w:val="000A0397"/>
    <w:rsid w:val="000A05B3"/>
    <w:rsid w:val="000A109E"/>
    <w:rsid w:val="000A1126"/>
    <w:rsid w:val="000A1275"/>
    <w:rsid w:val="000A17C2"/>
    <w:rsid w:val="000A18C9"/>
    <w:rsid w:val="000A1D08"/>
    <w:rsid w:val="000A1D39"/>
    <w:rsid w:val="000A2113"/>
    <w:rsid w:val="000A217F"/>
    <w:rsid w:val="000A2575"/>
    <w:rsid w:val="000A25DA"/>
    <w:rsid w:val="000A2BC6"/>
    <w:rsid w:val="000A2C56"/>
    <w:rsid w:val="000A2F0B"/>
    <w:rsid w:val="000A312F"/>
    <w:rsid w:val="000A3281"/>
    <w:rsid w:val="000A3B2C"/>
    <w:rsid w:val="000A3BE6"/>
    <w:rsid w:val="000A3CCE"/>
    <w:rsid w:val="000A4312"/>
    <w:rsid w:val="000A48EB"/>
    <w:rsid w:val="000A4DA5"/>
    <w:rsid w:val="000A52FA"/>
    <w:rsid w:val="000A5313"/>
    <w:rsid w:val="000A5FE4"/>
    <w:rsid w:val="000A6097"/>
    <w:rsid w:val="000A642E"/>
    <w:rsid w:val="000A681D"/>
    <w:rsid w:val="000A695E"/>
    <w:rsid w:val="000A69A5"/>
    <w:rsid w:val="000A6ECD"/>
    <w:rsid w:val="000A6EFE"/>
    <w:rsid w:val="000A70E7"/>
    <w:rsid w:val="000A7239"/>
    <w:rsid w:val="000A778C"/>
    <w:rsid w:val="000A7D53"/>
    <w:rsid w:val="000B0172"/>
    <w:rsid w:val="000B026C"/>
    <w:rsid w:val="000B0C31"/>
    <w:rsid w:val="000B0D52"/>
    <w:rsid w:val="000B1449"/>
    <w:rsid w:val="000B1C34"/>
    <w:rsid w:val="000B2193"/>
    <w:rsid w:val="000B220A"/>
    <w:rsid w:val="000B2634"/>
    <w:rsid w:val="000B27A8"/>
    <w:rsid w:val="000B2D5E"/>
    <w:rsid w:val="000B356D"/>
    <w:rsid w:val="000B3592"/>
    <w:rsid w:val="000B39A8"/>
    <w:rsid w:val="000B3C86"/>
    <w:rsid w:val="000B3E46"/>
    <w:rsid w:val="000B3F3B"/>
    <w:rsid w:val="000B3F6B"/>
    <w:rsid w:val="000B4065"/>
    <w:rsid w:val="000B421A"/>
    <w:rsid w:val="000B4318"/>
    <w:rsid w:val="000B499E"/>
    <w:rsid w:val="000B49E2"/>
    <w:rsid w:val="000B4A15"/>
    <w:rsid w:val="000B4E0D"/>
    <w:rsid w:val="000B4FE4"/>
    <w:rsid w:val="000B5394"/>
    <w:rsid w:val="000B5489"/>
    <w:rsid w:val="000B5560"/>
    <w:rsid w:val="000B5B10"/>
    <w:rsid w:val="000B5D5D"/>
    <w:rsid w:val="000B5E5F"/>
    <w:rsid w:val="000B60FF"/>
    <w:rsid w:val="000B66B1"/>
    <w:rsid w:val="000B67DF"/>
    <w:rsid w:val="000B6DC1"/>
    <w:rsid w:val="000B6DDB"/>
    <w:rsid w:val="000B6E82"/>
    <w:rsid w:val="000B7200"/>
    <w:rsid w:val="000B79E7"/>
    <w:rsid w:val="000C00B9"/>
    <w:rsid w:val="000C084C"/>
    <w:rsid w:val="000C08C4"/>
    <w:rsid w:val="000C0AA4"/>
    <w:rsid w:val="000C0E09"/>
    <w:rsid w:val="000C0FA1"/>
    <w:rsid w:val="000C117A"/>
    <w:rsid w:val="000C1229"/>
    <w:rsid w:val="000C182E"/>
    <w:rsid w:val="000C1847"/>
    <w:rsid w:val="000C2118"/>
    <w:rsid w:val="000C23FF"/>
    <w:rsid w:val="000C2500"/>
    <w:rsid w:val="000C26EB"/>
    <w:rsid w:val="000C37CF"/>
    <w:rsid w:val="000C380D"/>
    <w:rsid w:val="000C3CF9"/>
    <w:rsid w:val="000C3FBD"/>
    <w:rsid w:val="000C4554"/>
    <w:rsid w:val="000C46FA"/>
    <w:rsid w:val="000C4776"/>
    <w:rsid w:val="000C4BF7"/>
    <w:rsid w:val="000C4F88"/>
    <w:rsid w:val="000C5317"/>
    <w:rsid w:val="000C543E"/>
    <w:rsid w:val="000C5741"/>
    <w:rsid w:val="000C576B"/>
    <w:rsid w:val="000C584A"/>
    <w:rsid w:val="000C61A9"/>
    <w:rsid w:val="000C665B"/>
    <w:rsid w:val="000C6787"/>
    <w:rsid w:val="000C68EF"/>
    <w:rsid w:val="000C753C"/>
    <w:rsid w:val="000C7834"/>
    <w:rsid w:val="000C7B30"/>
    <w:rsid w:val="000C7B8F"/>
    <w:rsid w:val="000C7DBA"/>
    <w:rsid w:val="000C7E5D"/>
    <w:rsid w:val="000D0590"/>
    <w:rsid w:val="000D0591"/>
    <w:rsid w:val="000D067B"/>
    <w:rsid w:val="000D0CBC"/>
    <w:rsid w:val="000D10E3"/>
    <w:rsid w:val="000D16CB"/>
    <w:rsid w:val="000D181D"/>
    <w:rsid w:val="000D1BCC"/>
    <w:rsid w:val="000D1FDC"/>
    <w:rsid w:val="000D22CE"/>
    <w:rsid w:val="000D230E"/>
    <w:rsid w:val="000D252F"/>
    <w:rsid w:val="000D2B25"/>
    <w:rsid w:val="000D36CA"/>
    <w:rsid w:val="000D3866"/>
    <w:rsid w:val="000D399F"/>
    <w:rsid w:val="000D3C77"/>
    <w:rsid w:val="000D4735"/>
    <w:rsid w:val="000D48BF"/>
    <w:rsid w:val="000D4AC2"/>
    <w:rsid w:val="000D4D0A"/>
    <w:rsid w:val="000D4D16"/>
    <w:rsid w:val="000D4D8F"/>
    <w:rsid w:val="000D4E03"/>
    <w:rsid w:val="000D4F2F"/>
    <w:rsid w:val="000D4FD0"/>
    <w:rsid w:val="000D4FD2"/>
    <w:rsid w:val="000D5254"/>
    <w:rsid w:val="000D53D6"/>
    <w:rsid w:val="000D5AE7"/>
    <w:rsid w:val="000D5B0E"/>
    <w:rsid w:val="000D5B2C"/>
    <w:rsid w:val="000D5CA6"/>
    <w:rsid w:val="000D5D1C"/>
    <w:rsid w:val="000D6265"/>
    <w:rsid w:val="000D6294"/>
    <w:rsid w:val="000D62C4"/>
    <w:rsid w:val="000D6458"/>
    <w:rsid w:val="000D659F"/>
    <w:rsid w:val="000D6C06"/>
    <w:rsid w:val="000D6C5B"/>
    <w:rsid w:val="000D6E6D"/>
    <w:rsid w:val="000D6F6A"/>
    <w:rsid w:val="000D6FCD"/>
    <w:rsid w:val="000D75C2"/>
    <w:rsid w:val="000D770C"/>
    <w:rsid w:val="000D7DA0"/>
    <w:rsid w:val="000D7E0E"/>
    <w:rsid w:val="000E00AE"/>
    <w:rsid w:val="000E059D"/>
    <w:rsid w:val="000E07D9"/>
    <w:rsid w:val="000E07E7"/>
    <w:rsid w:val="000E087B"/>
    <w:rsid w:val="000E0BA2"/>
    <w:rsid w:val="000E0F4C"/>
    <w:rsid w:val="000E103F"/>
    <w:rsid w:val="000E1060"/>
    <w:rsid w:val="000E1761"/>
    <w:rsid w:val="000E19D8"/>
    <w:rsid w:val="000E1B56"/>
    <w:rsid w:val="000E232D"/>
    <w:rsid w:val="000E2713"/>
    <w:rsid w:val="000E2C0D"/>
    <w:rsid w:val="000E2C32"/>
    <w:rsid w:val="000E2EE7"/>
    <w:rsid w:val="000E2F49"/>
    <w:rsid w:val="000E348C"/>
    <w:rsid w:val="000E4252"/>
    <w:rsid w:val="000E4365"/>
    <w:rsid w:val="000E4497"/>
    <w:rsid w:val="000E45C7"/>
    <w:rsid w:val="000E4C12"/>
    <w:rsid w:val="000E4DBB"/>
    <w:rsid w:val="000E540B"/>
    <w:rsid w:val="000E561C"/>
    <w:rsid w:val="000E57A7"/>
    <w:rsid w:val="000E5879"/>
    <w:rsid w:val="000E59C0"/>
    <w:rsid w:val="000E5D73"/>
    <w:rsid w:val="000E634D"/>
    <w:rsid w:val="000E6483"/>
    <w:rsid w:val="000E666C"/>
    <w:rsid w:val="000E66E3"/>
    <w:rsid w:val="000E692A"/>
    <w:rsid w:val="000E6A39"/>
    <w:rsid w:val="000E6D17"/>
    <w:rsid w:val="000E7215"/>
    <w:rsid w:val="000E7BB3"/>
    <w:rsid w:val="000F02F1"/>
    <w:rsid w:val="000F066D"/>
    <w:rsid w:val="000F0B07"/>
    <w:rsid w:val="000F0F22"/>
    <w:rsid w:val="000F10AD"/>
    <w:rsid w:val="000F11B6"/>
    <w:rsid w:val="000F11D5"/>
    <w:rsid w:val="000F123D"/>
    <w:rsid w:val="000F207C"/>
    <w:rsid w:val="000F2628"/>
    <w:rsid w:val="000F2954"/>
    <w:rsid w:val="000F2F21"/>
    <w:rsid w:val="000F309F"/>
    <w:rsid w:val="000F3284"/>
    <w:rsid w:val="000F3431"/>
    <w:rsid w:val="000F370C"/>
    <w:rsid w:val="000F4090"/>
    <w:rsid w:val="000F4487"/>
    <w:rsid w:val="000F47FF"/>
    <w:rsid w:val="000F4AD7"/>
    <w:rsid w:val="000F4B62"/>
    <w:rsid w:val="000F4C0B"/>
    <w:rsid w:val="000F4C4F"/>
    <w:rsid w:val="000F4E35"/>
    <w:rsid w:val="000F4FB7"/>
    <w:rsid w:val="000F52BD"/>
    <w:rsid w:val="000F5876"/>
    <w:rsid w:val="000F5D2D"/>
    <w:rsid w:val="000F5D51"/>
    <w:rsid w:val="000F6245"/>
    <w:rsid w:val="000F643C"/>
    <w:rsid w:val="000F64C5"/>
    <w:rsid w:val="000F7230"/>
    <w:rsid w:val="000F757A"/>
    <w:rsid w:val="000F7A1F"/>
    <w:rsid w:val="000F7BFF"/>
    <w:rsid w:val="0010013B"/>
    <w:rsid w:val="0010078B"/>
    <w:rsid w:val="001009B7"/>
    <w:rsid w:val="00100EF7"/>
    <w:rsid w:val="001011D8"/>
    <w:rsid w:val="00101518"/>
    <w:rsid w:val="001017A9"/>
    <w:rsid w:val="00101891"/>
    <w:rsid w:val="00101AA1"/>
    <w:rsid w:val="00101B27"/>
    <w:rsid w:val="00101BB1"/>
    <w:rsid w:val="00101E60"/>
    <w:rsid w:val="00102330"/>
    <w:rsid w:val="001026D8"/>
    <w:rsid w:val="001028A3"/>
    <w:rsid w:val="00102E35"/>
    <w:rsid w:val="00103136"/>
    <w:rsid w:val="0010376E"/>
    <w:rsid w:val="00103E5B"/>
    <w:rsid w:val="0010435A"/>
    <w:rsid w:val="001049D0"/>
    <w:rsid w:val="00104A73"/>
    <w:rsid w:val="00104ACE"/>
    <w:rsid w:val="00105957"/>
    <w:rsid w:val="00105FB9"/>
    <w:rsid w:val="00106318"/>
    <w:rsid w:val="00106863"/>
    <w:rsid w:val="001068F6"/>
    <w:rsid w:val="00106CFD"/>
    <w:rsid w:val="00106EF4"/>
    <w:rsid w:val="001070D3"/>
    <w:rsid w:val="00107172"/>
    <w:rsid w:val="00107623"/>
    <w:rsid w:val="00107B8E"/>
    <w:rsid w:val="00107D62"/>
    <w:rsid w:val="00107F30"/>
    <w:rsid w:val="001103D9"/>
    <w:rsid w:val="0011055D"/>
    <w:rsid w:val="00110844"/>
    <w:rsid w:val="001108D8"/>
    <w:rsid w:val="001110D5"/>
    <w:rsid w:val="0011174F"/>
    <w:rsid w:val="0011222B"/>
    <w:rsid w:val="00112239"/>
    <w:rsid w:val="00112273"/>
    <w:rsid w:val="00112393"/>
    <w:rsid w:val="001129BB"/>
    <w:rsid w:val="00112BD9"/>
    <w:rsid w:val="00112D7E"/>
    <w:rsid w:val="00113BBD"/>
    <w:rsid w:val="00114156"/>
    <w:rsid w:val="00114920"/>
    <w:rsid w:val="00114B94"/>
    <w:rsid w:val="00114BA9"/>
    <w:rsid w:val="00115706"/>
    <w:rsid w:val="00115A1B"/>
    <w:rsid w:val="00115D8A"/>
    <w:rsid w:val="001165CA"/>
    <w:rsid w:val="00117233"/>
    <w:rsid w:val="001172BB"/>
    <w:rsid w:val="0011746B"/>
    <w:rsid w:val="001178A2"/>
    <w:rsid w:val="0011792A"/>
    <w:rsid w:val="00117E26"/>
    <w:rsid w:val="0012006D"/>
    <w:rsid w:val="001202A5"/>
    <w:rsid w:val="001204AC"/>
    <w:rsid w:val="00120950"/>
    <w:rsid w:val="00120F8C"/>
    <w:rsid w:val="001210A7"/>
    <w:rsid w:val="001212CC"/>
    <w:rsid w:val="00121467"/>
    <w:rsid w:val="00121B0C"/>
    <w:rsid w:val="00121E35"/>
    <w:rsid w:val="00121E53"/>
    <w:rsid w:val="00122E2D"/>
    <w:rsid w:val="00122F7A"/>
    <w:rsid w:val="001234EC"/>
    <w:rsid w:val="001238B5"/>
    <w:rsid w:val="00123F45"/>
    <w:rsid w:val="00124041"/>
    <w:rsid w:val="001242E6"/>
    <w:rsid w:val="001245C1"/>
    <w:rsid w:val="00124E04"/>
    <w:rsid w:val="0012505F"/>
    <w:rsid w:val="00125408"/>
    <w:rsid w:val="001256C0"/>
    <w:rsid w:val="0012593C"/>
    <w:rsid w:val="00125C50"/>
    <w:rsid w:val="00125D36"/>
    <w:rsid w:val="001265A7"/>
    <w:rsid w:val="001268AD"/>
    <w:rsid w:val="00126970"/>
    <w:rsid w:val="00126A2D"/>
    <w:rsid w:val="001270BD"/>
    <w:rsid w:val="001273CB"/>
    <w:rsid w:val="0012763D"/>
    <w:rsid w:val="00127904"/>
    <w:rsid w:val="00127ADC"/>
    <w:rsid w:val="00127E8A"/>
    <w:rsid w:val="00130144"/>
    <w:rsid w:val="001301F8"/>
    <w:rsid w:val="001302B4"/>
    <w:rsid w:val="00130681"/>
    <w:rsid w:val="00130CFD"/>
    <w:rsid w:val="00130DA7"/>
    <w:rsid w:val="0013147C"/>
    <w:rsid w:val="001316B5"/>
    <w:rsid w:val="001316DA"/>
    <w:rsid w:val="00131868"/>
    <w:rsid w:val="0013189E"/>
    <w:rsid w:val="00131D08"/>
    <w:rsid w:val="0013267A"/>
    <w:rsid w:val="001326DB"/>
    <w:rsid w:val="00132F79"/>
    <w:rsid w:val="001331E3"/>
    <w:rsid w:val="0013328D"/>
    <w:rsid w:val="0013345F"/>
    <w:rsid w:val="0013364B"/>
    <w:rsid w:val="001339E6"/>
    <w:rsid w:val="00133E3D"/>
    <w:rsid w:val="00133F1E"/>
    <w:rsid w:val="00133FAF"/>
    <w:rsid w:val="00134138"/>
    <w:rsid w:val="001345B7"/>
    <w:rsid w:val="001345E4"/>
    <w:rsid w:val="00134B77"/>
    <w:rsid w:val="00134BEE"/>
    <w:rsid w:val="00134C85"/>
    <w:rsid w:val="00134FA5"/>
    <w:rsid w:val="00134FFB"/>
    <w:rsid w:val="001358BC"/>
    <w:rsid w:val="00135A51"/>
    <w:rsid w:val="00135D0E"/>
    <w:rsid w:val="00135F65"/>
    <w:rsid w:val="00135F79"/>
    <w:rsid w:val="00136009"/>
    <w:rsid w:val="00136729"/>
    <w:rsid w:val="00136A04"/>
    <w:rsid w:val="00136B2A"/>
    <w:rsid w:val="0013707E"/>
    <w:rsid w:val="00137354"/>
    <w:rsid w:val="0013747A"/>
    <w:rsid w:val="001374F4"/>
    <w:rsid w:val="001377C7"/>
    <w:rsid w:val="001377FA"/>
    <w:rsid w:val="00137A98"/>
    <w:rsid w:val="00137D4F"/>
    <w:rsid w:val="00140053"/>
    <w:rsid w:val="001404E5"/>
    <w:rsid w:val="00140564"/>
    <w:rsid w:val="00140835"/>
    <w:rsid w:val="00140875"/>
    <w:rsid w:val="00140A43"/>
    <w:rsid w:val="00140B3B"/>
    <w:rsid w:val="00140FC1"/>
    <w:rsid w:val="00141385"/>
    <w:rsid w:val="001413B3"/>
    <w:rsid w:val="001413F5"/>
    <w:rsid w:val="0014197A"/>
    <w:rsid w:val="00141E71"/>
    <w:rsid w:val="001424E2"/>
    <w:rsid w:val="001429B6"/>
    <w:rsid w:val="00142D1C"/>
    <w:rsid w:val="0014308A"/>
    <w:rsid w:val="0014312D"/>
    <w:rsid w:val="00143227"/>
    <w:rsid w:val="0014342D"/>
    <w:rsid w:val="00143AAA"/>
    <w:rsid w:val="00143B4F"/>
    <w:rsid w:val="00143CFE"/>
    <w:rsid w:val="00143E16"/>
    <w:rsid w:val="00144257"/>
    <w:rsid w:val="00144922"/>
    <w:rsid w:val="00144996"/>
    <w:rsid w:val="00144ABF"/>
    <w:rsid w:val="00144CF1"/>
    <w:rsid w:val="00144F8A"/>
    <w:rsid w:val="001450F6"/>
    <w:rsid w:val="0014551D"/>
    <w:rsid w:val="00145E28"/>
    <w:rsid w:val="00146101"/>
    <w:rsid w:val="001461C0"/>
    <w:rsid w:val="001461CA"/>
    <w:rsid w:val="001462D7"/>
    <w:rsid w:val="00146DA7"/>
    <w:rsid w:val="00146DE7"/>
    <w:rsid w:val="00146EB0"/>
    <w:rsid w:val="0014779D"/>
    <w:rsid w:val="00147953"/>
    <w:rsid w:val="00147DE5"/>
    <w:rsid w:val="00150335"/>
    <w:rsid w:val="00150664"/>
    <w:rsid w:val="00150790"/>
    <w:rsid w:val="00150CCD"/>
    <w:rsid w:val="00150EB5"/>
    <w:rsid w:val="0015122A"/>
    <w:rsid w:val="001518AE"/>
    <w:rsid w:val="00151A6D"/>
    <w:rsid w:val="00151C16"/>
    <w:rsid w:val="00151CF5"/>
    <w:rsid w:val="0015205A"/>
    <w:rsid w:val="00152115"/>
    <w:rsid w:val="0015276A"/>
    <w:rsid w:val="00152780"/>
    <w:rsid w:val="00152812"/>
    <w:rsid w:val="0015291C"/>
    <w:rsid w:val="001529C8"/>
    <w:rsid w:val="0015311B"/>
    <w:rsid w:val="0015331C"/>
    <w:rsid w:val="0015346D"/>
    <w:rsid w:val="001534CA"/>
    <w:rsid w:val="001535D8"/>
    <w:rsid w:val="00153963"/>
    <w:rsid w:val="00153F3B"/>
    <w:rsid w:val="00154048"/>
    <w:rsid w:val="00154492"/>
    <w:rsid w:val="001546A7"/>
    <w:rsid w:val="001548C0"/>
    <w:rsid w:val="0015491A"/>
    <w:rsid w:val="00154A9C"/>
    <w:rsid w:val="00154CF6"/>
    <w:rsid w:val="00154F62"/>
    <w:rsid w:val="0015519F"/>
    <w:rsid w:val="0015527F"/>
    <w:rsid w:val="00155310"/>
    <w:rsid w:val="001554BB"/>
    <w:rsid w:val="0015580C"/>
    <w:rsid w:val="00155877"/>
    <w:rsid w:val="00155C6E"/>
    <w:rsid w:val="00155E7B"/>
    <w:rsid w:val="0015640B"/>
    <w:rsid w:val="00156B5D"/>
    <w:rsid w:val="0015785B"/>
    <w:rsid w:val="00157A9F"/>
    <w:rsid w:val="00157B27"/>
    <w:rsid w:val="00157E89"/>
    <w:rsid w:val="00157ED4"/>
    <w:rsid w:val="001601E5"/>
    <w:rsid w:val="001605D6"/>
    <w:rsid w:val="00160BDC"/>
    <w:rsid w:val="00161AC1"/>
    <w:rsid w:val="00161C1F"/>
    <w:rsid w:val="00161CB5"/>
    <w:rsid w:val="00161CDF"/>
    <w:rsid w:val="00161E4F"/>
    <w:rsid w:val="001621DB"/>
    <w:rsid w:val="001629FA"/>
    <w:rsid w:val="00162C31"/>
    <w:rsid w:val="001630D1"/>
    <w:rsid w:val="0016319E"/>
    <w:rsid w:val="00163276"/>
    <w:rsid w:val="00163384"/>
    <w:rsid w:val="001634D6"/>
    <w:rsid w:val="0016353D"/>
    <w:rsid w:val="0016392A"/>
    <w:rsid w:val="00163A50"/>
    <w:rsid w:val="00163FF6"/>
    <w:rsid w:val="0016416B"/>
    <w:rsid w:val="00164436"/>
    <w:rsid w:val="00164E7B"/>
    <w:rsid w:val="00164FC8"/>
    <w:rsid w:val="001650BC"/>
    <w:rsid w:val="00165510"/>
    <w:rsid w:val="00165562"/>
    <w:rsid w:val="0016558F"/>
    <w:rsid w:val="001656BD"/>
    <w:rsid w:val="00165CAE"/>
    <w:rsid w:val="00165D89"/>
    <w:rsid w:val="0016646A"/>
    <w:rsid w:val="0016676D"/>
    <w:rsid w:val="001672C6"/>
    <w:rsid w:val="0016733A"/>
    <w:rsid w:val="00167699"/>
    <w:rsid w:val="00167A20"/>
    <w:rsid w:val="00167BB2"/>
    <w:rsid w:val="00167CAF"/>
    <w:rsid w:val="00167E5A"/>
    <w:rsid w:val="00170304"/>
    <w:rsid w:val="00170729"/>
    <w:rsid w:val="0017074A"/>
    <w:rsid w:val="00170893"/>
    <w:rsid w:val="001708E5"/>
    <w:rsid w:val="001719C8"/>
    <w:rsid w:val="00171B5E"/>
    <w:rsid w:val="00171CD7"/>
    <w:rsid w:val="00171D5C"/>
    <w:rsid w:val="001720BA"/>
    <w:rsid w:val="0017291A"/>
    <w:rsid w:val="0017297D"/>
    <w:rsid w:val="00172F5A"/>
    <w:rsid w:val="00172F6B"/>
    <w:rsid w:val="00173738"/>
    <w:rsid w:val="00173925"/>
    <w:rsid w:val="00173A62"/>
    <w:rsid w:val="00173D4B"/>
    <w:rsid w:val="00173DF2"/>
    <w:rsid w:val="00173E25"/>
    <w:rsid w:val="00173E80"/>
    <w:rsid w:val="00174375"/>
    <w:rsid w:val="001749D5"/>
    <w:rsid w:val="00174D4A"/>
    <w:rsid w:val="00175209"/>
    <w:rsid w:val="0017543C"/>
    <w:rsid w:val="00175499"/>
    <w:rsid w:val="0017570C"/>
    <w:rsid w:val="001757C1"/>
    <w:rsid w:val="001757EB"/>
    <w:rsid w:val="001760D5"/>
    <w:rsid w:val="0017632F"/>
    <w:rsid w:val="0017679F"/>
    <w:rsid w:val="001768BD"/>
    <w:rsid w:val="00176904"/>
    <w:rsid w:val="00176F54"/>
    <w:rsid w:val="00176FCA"/>
    <w:rsid w:val="00177041"/>
    <w:rsid w:val="0017720A"/>
    <w:rsid w:val="001772B0"/>
    <w:rsid w:val="00177638"/>
    <w:rsid w:val="0017778F"/>
    <w:rsid w:val="00177F5C"/>
    <w:rsid w:val="0017EF6E"/>
    <w:rsid w:val="00180096"/>
    <w:rsid w:val="0018017D"/>
    <w:rsid w:val="001804AC"/>
    <w:rsid w:val="001807FD"/>
    <w:rsid w:val="001809BC"/>
    <w:rsid w:val="001809FC"/>
    <w:rsid w:val="00180BFD"/>
    <w:rsid w:val="00180E77"/>
    <w:rsid w:val="00180E99"/>
    <w:rsid w:val="00180FEC"/>
    <w:rsid w:val="0018101A"/>
    <w:rsid w:val="0018144C"/>
    <w:rsid w:val="00181940"/>
    <w:rsid w:val="00181BB6"/>
    <w:rsid w:val="00181DE3"/>
    <w:rsid w:val="00181DEC"/>
    <w:rsid w:val="001820C2"/>
    <w:rsid w:val="001823EE"/>
    <w:rsid w:val="001825CF"/>
    <w:rsid w:val="001826B4"/>
    <w:rsid w:val="00182926"/>
    <w:rsid w:val="00182DCB"/>
    <w:rsid w:val="001831B0"/>
    <w:rsid w:val="001838DB"/>
    <w:rsid w:val="0018471F"/>
    <w:rsid w:val="00184BBA"/>
    <w:rsid w:val="00184CDE"/>
    <w:rsid w:val="00184D17"/>
    <w:rsid w:val="00184DC8"/>
    <w:rsid w:val="00185459"/>
    <w:rsid w:val="001858D4"/>
    <w:rsid w:val="0018614C"/>
    <w:rsid w:val="00186D96"/>
    <w:rsid w:val="0018706E"/>
    <w:rsid w:val="001875E4"/>
    <w:rsid w:val="00187805"/>
    <w:rsid w:val="00187945"/>
    <w:rsid w:val="001879F3"/>
    <w:rsid w:val="00187B41"/>
    <w:rsid w:val="00187CC2"/>
    <w:rsid w:val="0018964E"/>
    <w:rsid w:val="0018AAD9"/>
    <w:rsid w:val="00190024"/>
    <w:rsid w:val="00190A8F"/>
    <w:rsid w:val="00190DD0"/>
    <w:rsid w:val="00190F17"/>
    <w:rsid w:val="001910DD"/>
    <w:rsid w:val="00191251"/>
    <w:rsid w:val="00191278"/>
    <w:rsid w:val="001912B2"/>
    <w:rsid w:val="0019166C"/>
    <w:rsid w:val="001916D2"/>
    <w:rsid w:val="0019175F"/>
    <w:rsid w:val="001918B6"/>
    <w:rsid w:val="00191D78"/>
    <w:rsid w:val="00191EFB"/>
    <w:rsid w:val="00191F1D"/>
    <w:rsid w:val="00192413"/>
    <w:rsid w:val="0019262B"/>
    <w:rsid w:val="00192D49"/>
    <w:rsid w:val="00192EE0"/>
    <w:rsid w:val="00192F86"/>
    <w:rsid w:val="001932C9"/>
    <w:rsid w:val="001934BE"/>
    <w:rsid w:val="001937B8"/>
    <w:rsid w:val="00193ED2"/>
    <w:rsid w:val="00193FCD"/>
    <w:rsid w:val="001943A1"/>
    <w:rsid w:val="001948C0"/>
    <w:rsid w:val="00194A50"/>
    <w:rsid w:val="00194D0A"/>
    <w:rsid w:val="00194FF9"/>
    <w:rsid w:val="00195509"/>
    <w:rsid w:val="001962AF"/>
    <w:rsid w:val="001964CA"/>
    <w:rsid w:val="00196A86"/>
    <w:rsid w:val="00196B7F"/>
    <w:rsid w:val="00196F3D"/>
    <w:rsid w:val="0019775F"/>
    <w:rsid w:val="00197E14"/>
    <w:rsid w:val="001A045E"/>
    <w:rsid w:val="001A04AE"/>
    <w:rsid w:val="001A05AF"/>
    <w:rsid w:val="001A076C"/>
    <w:rsid w:val="001A0947"/>
    <w:rsid w:val="001A0AC7"/>
    <w:rsid w:val="001A0B0A"/>
    <w:rsid w:val="001A0D88"/>
    <w:rsid w:val="001A0DCB"/>
    <w:rsid w:val="001A0EB1"/>
    <w:rsid w:val="001A14C9"/>
    <w:rsid w:val="001A15B3"/>
    <w:rsid w:val="001A16A6"/>
    <w:rsid w:val="001A19D5"/>
    <w:rsid w:val="001A20DF"/>
    <w:rsid w:val="001A2810"/>
    <w:rsid w:val="001A2A13"/>
    <w:rsid w:val="001A2DBA"/>
    <w:rsid w:val="001A2F52"/>
    <w:rsid w:val="001A3855"/>
    <w:rsid w:val="001A3B9E"/>
    <w:rsid w:val="001A3CDB"/>
    <w:rsid w:val="001A412E"/>
    <w:rsid w:val="001A4881"/>
    <w:rsid w:val="001A4A55"/>
    <w:rsid w:val="001A4D1A"/>
    <w:rsid w:val="001A4FDA"/>
    <w:rsid w:val="001A57C7"/>
    <w:rsid w:val="001A5EFA"/>
    <w:rsid w:val="001A610B"/>
    <w:rsid w:val="001A6355"/>
    <w:rsid w:val="001A6482"/>
    <w:rsid w:val="001A64FB"/>
    <w:rsid w:val="001A66D3"/>
    <w:rsid w:val="001A69DF"/>
    <w:rsid w:val="001A72A0"/>
    <w:rsid w:val="001A730F"/>
    <w:rsid w:val="001A73DB"/>
    <w:rsid w:val="001A746A"/>
    <w:rsid w:val="001A7491"/>
    <w:rsid w:val="001A74E5"/>
    <w:rsid w:val="001A76E8"/>
    <w:rsid w:val="001A76F2"/>
    <w:rsid w:val="001A7C2C"/>
    <w:rsid w:val="001A7C69"/>
    <w:rsid w:val="001B01A7"/>
    <w:rsid w:val="001B023A"/>
    <w:rsid w:val="001B03BD"/>
    <w:rsid w:val="001B05E4"/>
    <w:rsid w:val="001B09F8"/>
    <w:rsid w:val="001B0A35"/>
    <w:rsid w:val="001B0D82"/>
    <w:rsid w:val="001B138A"/>
    <w:rsid w:val="001B1404"/>
    <w:rsid w:val="001B14B8"/>
    <w:rsid w:val="001B1514"/>
    <w:rsid w:val="001B16EC"/>
    <w:rsid w:val="001B170F"/>
    <w:rsid w:val="001B1C55"/>
    <w:rsid w:val="001B1D80"/>
    <w:rsid w:val="001B210C"/>
    <w:rsid w:val="001B2362"/>
    <w:rsid w:val="001B243A"/>
    <w:rsid w:val="001B24A8"/>
    <w:rsid w:val="001B2891"/>
    <w:rsid w:val="001B2B72"/>
    <w:rsid w:val="001B3050"/>
    <w:rsid w:val="001B38BA"/>
    <w:rsid w:val="001B39E9"/>
    <w:rsid w:val="001B39FC"/>
    <w:rsid w:val="001B3B48"/>
    <w:rsid w:val="001B4209"/>
    <w:rsid w:val="001B43AD"/>
    <w:rsid w:val="001B4578"/>
    <w:rsid w:val="001B4684"/>
    <w:rsid w:val="001B47A4"/>
    <w:rsid w:val="001B4B18"/>
    <w:rsid w:val="001B4C8F"/>
    <w:rsid w:val="001B4EF9"/>
    <w:rsid w:val="001B521E"/>
    <w:rsid w:val="001B5DD8"/>
    <w:rsid w:val="001B603A"/>
    <w:rsid w:val="001B606D"/>
    <w:rsid w:val="001B6AD6"/>
    <w:rsid w:val="001B6AEB"/>
    <w:rsid w:val="001B6BD1"/>
    <w:rsid w:val="001B6CF3"/>
    <w:rsid w:val="001B7B0D"/>
    <w:rsid w:val="001C01D6"/>
    <w:rsid w:val="001C0674"/>
    <w:rsid w:val="001C08BB"/>
    <w:rsid w:val="001C0C11"/>
    <w:rsid w:val="001C13CE"/>
    <w:rsid w:val="001C143D"/>
    <w:rsid w:val="001C15A6"/>
    <w:rsid w:val="001C189E"/>
    <w:rsid w:val="001C1AF7"/>
    <w:rsid w:val="001C1DBF"/>
    <w:rsid w:val="001C23BF"/>
    <w:rsid w:val="001C24E6"/>
    <w:rsid w:val="001C2CAE"/>
    <w:rsid w:val="001C33C0"/>
    <w:rsid w:val="001C36BB"/>
    <w:rsid w:val="001C37A3"/>
    <w:rsid w:val="001C3888"/>
    <w:rsid w:val="001C3A8A"/>
    <w:rsid w:val="001C3BAC"/>
    <w:rsid w:val="001C3CA6"/>
    <w:rsid w:val="001C3D74"/>
    <w:rsid w:val="001C4234"/>
    <w:rsid w:val="001C4AB3"/>
    <w:rsid w:val="001C4BE4"/>
    <w:rsid w:val="001C58E4"/>
    <w:rsid w:val="001C5B76"/>
    <w:rsid w:val="001C60E7"/>
    <w:rsid w:val="001C6170"/>
    <w:rsid w:val="001C682A"/>
    <w:rsid w:val="001C690C"/>
    <w:rsid w:val="001C69F7"/>
    <w:rsid w:val="001C6AA5"/>
    <w:rsid w:val="001C6C2A"/>
    <w:rsid w:val="001C6CAD"/>
    <w:rsid w:val="001C6D60"/>
    <w:rsid w:val="001C6DDF"/>
    <w:rsid w:val="001C6E1A"/>
    <w:rsid w:val="001C6EC8"/>
    <w:rsid w:val="001C7C60"/>
    <w:rsid w:val="001CBD9C"/>
    <w:rsid w:val="001D0177"/>
    <w:rsid w:val="001D04D2"/>
    <w:rsid w:val="001D0BC1"/>
    <w:rsid w:val="001D0CC6"/>
    <w:rsid w:val="001D0D67"/>
    <w:rsid w:val="001D0DF7"/>
    <w:rsid w:val="001D0FAB"/>
    <w:rsid w:val="001D1690"/>
    <w:rsid w:val="001D1746"/>
    <w:rsid w:val="001D197C"/>
    <w:rsid w:val="001D1D30"/>
    <w:rsid w:val="001D1E77"/>
    <w:rsid w:val="001D226E"/>
    <w:rsid w:val="001D2425"/>
    <w:rsid w:val="001D24A1"/>
    <w:rsid w:val="001D274B"/>
    <w:rsid w:val="001D2EEB"/>
    <w:rsid w:val="001D34C0"/>
    <w:rsid w:val="001D356D"/>
    <w:rsid w:val="001D3ABE"/>
    <w:rsid w:val="001D3E28"/>
    <w:rsid w:val="001D4065"/>
    <w:rsid w:val="001D416B"/>
    <w:rsid w:val="001D4308"/>
    <w:rsid w:val="001D43C8"/>
    <w:rsid w:val="001D459A"/>
    <w:rsid w:val="001D45F8"/>
    <w:rsid w:val="001D4719"/>
    <w:rsid w:val="001D494D"/>
    <w:rsid w:val="001D4B86"/>
    <w:rsid w:val="001D50DC"/>
    <w:rsid w:val="001D5581"/>
    <w:rsid w:val="001D5666"/>
    <w:rsid w:val="001D5778"/>
    <w:rsid w:val="001D5B2D"/>
    <w:rsid w:val="001D674C"/>
    <w:rsid w:val="001D6766"/>
    <w:rsid w:val="001D7079"/>
    <w:rsid w:val="001D725B"/>
    <w:rsid w:val="001D740B"/>
    <w:rsid w:val="001D7B3D"/>
    <w:rsid w:val="001E01AF"/>
    <w:rsid w:val="001E020B"/>
    <w:rsid w:val="001E0222"/>
    <w:rsid w:val="001E043D"/>
    <w:rsid w:val="001E04D9"/>
    <w:rsid w:val="001E0A65"/>
    <w:rsid w:val="001E1D65"/>
    <w:rsid w:val="001E1DED"/>
    <w:rsid w:val="001E1F98"/>
    <w:rsid w:val="001E2034"/>
    <w:rsid w:val="001E2057"/>
    <w:rsid w:val="001E264D"/>
    <w:rsid w:val="001E26D2"/>
    <w:rsid w:val="001E27CA"/>
    <w:rsid w:val="001E2A4B"/>
    <w:rsid w:val="001E2C32"/>
    <w:rsid w:val="001E2DC7"/>
    <w:rsid w:val="001E3109"/>
    <w:rsid w:val="001E31F9"/>
    <w:rsid w:val="001E39DA"/>
    <w:rsid w:val="001E45A7"/>
    <w:rsid w:val="001E4785"/>
    <w:rsid w:val="001E53C3"/>
    <w:rsid w:val="001E553E"/>
    <w:rsid w:val="001E5682"/>
    <w:rsid w:val="001E56A5"/>
    <w:rsid w:val="001E56AA"/>
    <w:rsid w:val="001E5ADE"/>
    <w:rsid w:val="001E5E23"/>
    <w:rsid w:val="001E5FC9"/>
    <w:rsid w:val="001E6B6A"/>
    <w:rsid w:val="001E6B6F"/>
    <w:rsid w:val="001E6D3B"/>
    <w:rsid w:val="001E6DFE"/>
    <w:rsid w:val="001E6F0B"/>
    <w:rsid w:val="001E70DD"/>
    <w:rsid w:val="001E716C"/>
    <w:rsid w:val="001E73ED"/>
    <w:rsid w:val="001E74D4"/>
    <w:rsid w:val="001E7679"/>
    <w:rsid w:val="001E7691"/>
    <w:rsid w:val="001E7B95"/>
    <w:rsid w:val="001E7B99"/>
    <w:rsid w:val="001E7E00"/>
    <w:rsid w:val="001E7E06"/>
    <w:rsid w:val="001ECADF"/>
    <w:rsid w:val="001F00B8"/>
    <w:rsid w:val="001F096B"/>
    <w:rsid w:val="001F0B89"/>
    <w:rsid w:val="001F1272"/>
    <w:rsid w:val="001F13DF"/>
    <w:rsid w:val="001F1556"/>
    <w:rsid w:val="001F1A3A"/>
    <w:rsid w:val="001F1F20"/>
    <w:rsid w:val="001F1FC5"/>
    <w:rsid w:val="001F2302"/>
    <w:rsid w:val="001F2547"/>
    <w:rsid w:val="001F293D"/>
    <w:rsid w:val="001F2C03"/>
    <w:rsid w:val="001F2CD5"/>
    <w:rsid w:val="001F2DBC"/>
    <w:rsid w:val="001F3223"/>
    <w:rsid w:val="001F3B60"/>
    <w:rsid w:val="001F3BA2"/>
    <w:rsid w:val="001F3C8B"/>
    <w:rsid w:val="001F3CB4"/>
    <w:rsid w:val="001F3DD7"/>
    <w:rsid w:val="001F3E05"/>
    <w:rsid w:val="001F3F50"/>
    <w:rsid w:val="001F455E"/>
    <w:rsid w:val="001F4A0D"/>
    <w:rsid w:val="001F4B43"/>
    <w:rsid w:val="001F4CF6"/>
    <w:rsid w:val="001F4D13"/>
    <w:rsid w:val="001F4DEE"/>
    <w:rsid w:val="001F5499"/>
    <w:rsid w:val="001F574B"/>
    <w:rsid w:val="001F59E3"/>
    <w:rsid w:val="001F5FC7"/>
    <w:rsid w:val="001F6054"/>
    <w:rsid w:val="001F6130"/>
    <w:rsid w:val="001F6B18"/>
    <w:rsid w:val="001F6FDF"/>
    <w:rsid w:val="001F71AF"/>
    <w:rsid w:val="001F7271"/>
    <w:rsid w:val="001F7719"/>
    <w:rsid w:val="001F773A"/>
    <w:rsid w:val="001F77B4"/>
    <w:rsid w:val="001F77C8"/>
    <w:rsid w:val="001F77C9"/>
    <w:rsid w:val="001F79F7"/>
    <w:rsid w:val="001F7E0F"/>
    <w:rsid w:val="001F7E6A"/>
    <w:rsid w:val="001F7F65"/>
    <w:rsid w:val="00200139"/>
    <w:rsid w:val="00200468"/>
    <w:rsid w:val="002005D5"/>
    <w:rsid w:val="0020067E"/>
    <w:rsid w:val="00200A3D"/>
    <w:rsid w:val="00200B3F"/>
    <w:rsid w:val="00201810"/>
    <w:rsid w:val="00201C58"/>
    <w:rsid w:val="00201C5C"/>
    <w:rsid w:val="00201D57"/>
    <w:rsid w:val="00201DBE"/>
    <w:rsid w:val="00201E22"/>
    <w:rsid w:val="00202070"/>
    <w:rsid w:val="00202B3F"/>
    <w:rsid w:val="00202F94"/>
    <w:rsid w:val="00202F96"/>
    <w:rsid w:val="00203588"/>
    <w:rsid w:val="0020394C"/>
    <w:rsid w:val="00203A68"/>
    <w:rsid w:val="00203BD5"/>
    <w:rsid w:val="00204296"/>
    <w:rsid w:val="002050F8"/>
    <w:rsid w:val="00205669"/>
    <w:rsid w:val="002056B4"/>
    <w:rsid w:val="00205AF1"/>
    <w:rsid w:val="00205F1F"/>
    <w:rsid w:val="00206650"/>
    <w:rsid w:val="0020690A"/>
    <w:rsid w:val="00207045"/>
    <w:rsid w:val="002072E7"/>
    <w:rsid w:val="002074B9"/>
    <w:rsid w:val="00207564"/>
    <w:rsid w:val="0020769B"/>
    <w:rsid w:val="002076B0"/>
    <w:rsid w:val="0020782B"/>
    <w:rsid w:val="00207FB8"/>
    <w:rsid w:val="002101E1"/>
    <w:rsid w:val="00210393"/>
    <w:rsid w:val="002103AC"/>
    <w:rsid w:val="00210498"/>
    <w:rsid w:val="002109DA"/>
    <w:rsid w:val="00210E31"/>
    <w:rsid w:val="002113EF"/>
    <w:rsid w:val="00211BF5"/>
    <w:rsid w:val="00212267"/>
    <w:rsid w:val="00212950"/>
    <w:rsid w:val="00212C00"/>
    <w:rsid w:val="00212D2A"/>
    <w:rsid w:val="00212FCE"/>
    <w:rsid w:val="002132B6"/>
    <w:rsid w:val="0021364B"/>
    <w:rsid w:val="00213C54"/>
    <w:rsid w:val="00214397"/>
    <w:rsid w:val="00214714"/>
    <w:rsid w:val="00214844"/>
    <w:rsid w:val="002148E4"/>
    <w:rsid w:val="00214AD5"/>
    <w:rsid w:val="00215567"/>
    <w:rsid w:val="00215617"/>
    <w:rsid w:val="00215654"/>
    <w:rsid w:val="00215C02"/>
    <w:rsid w:val="002160E4"/>
    <w:rsid w:val="00216208"/>
    <w:rsid w:val="002162A3"/>
    <w:rsid w:val="002164A6"/>
    <w:rsid w:val="0021655C"/>
    <w:rsid w:val="00216592"/>
    <w:rsid w:val="002167B5"/>
    <w:rsid w:val="00216B4D"/>
    <w:rsid w:val="00216B6D"/>
    <w:rsid w:val="00216F4C"/>
    <w:rsid w:val="002172CD"/>
    <w:rsid w:val="00217870"/>
    <w:rsid w:val="00217DE2"/>
    <w:rsid w:val="00217E5D"/>
    <w:rsid w:val="002210D6"/>
    <w:rsid w:val="002215A5"/>
    <w:rsid w:val="0022190B"/>
    <w:rsid w:val="00221D4A"/>
    <w:rsid w:val="00222C98"/>
    <w:rsid w:val="00222CD0"/>
    <w:rsid w:val="00222DDC"/>
    <w:rsid w:val="0022353D"/>
    <w:rsid w:val="002237FC"/>
    <w:rsid w:val="002238B7"/>
    <w:rsid w:val="00223A21"/>
    <w:rsid w:val="00223E23"/>
    <w:rsid w:val="0022419E"/>
    <w:rsid w:val="002245C0"/>
    <w:rsid w:val="00224838"/>
    <w:rsid w:val="00224CEA"/>
    <w:rsid w:val="002254D2"/>
    <w:rsid w:val="0022565A"/>
    <w:rsid w:val="002259A9"/>
    <w:rsid w:val="00225BB2"/>
    <w:rsid w:val="00225FB1"/>
    <w:rsid w:val="002262A6"/>
    <w:rsid w:val="0022640D"/>
    <w:rsid w:val="002268BB"/>
    <w:rsid w:val="00226D41"/>
    <w:rsid w:val="00226DF3"/>
    <w:rsid w:val="00227084"/>
    <w:rsid w:val="00227386"/>
    <w:rsid w:val="00227810"/>
    <w:rsid w:val="00227B79"/>
    <w:rsid w:val="00230534"/>
    <w:rsid w:val="00230E9C"/>
    <w:rsid w:val="00231073"/>
    <w:rsid w:val="0023129F"/>
    <w:rsid w:val="00231808"/>
    <w:rsid w:val="002318B2"/>
    <w:rsid w:val="00232064"/>
    <w:rsid w:val="0023222D"/>
    <w:rsid w:val="00232B09"/>
    <w:rsid w:val="00232D02"/>
    <w:rsid w:val="00232DB8"/>
    <w:rsid w:val="002330BA"/>
    <w:rsid w:val="00233237"/>
    <w:rsid w:val="002336D1"/>
    <w:rsid w:val="00233D83"/>
    <w:rsid w:val="00233E60"/>
    <w:rsid w:val="00234103"/>
    <w:rsid w:val="00234340"/>
    <w:rsid w:val="00234471"/>
    <w:rsid w:val="0023461A"/>
    <w:rsid w:val="00234A1C"/>
    <w:rsid w:val="00234ABE"/>
    <w:rsid w:val="00234BA8"/>
    <w:rsid w:val="00234F22"/>
    <w:rsid w:val="00235231"/>
    <w:rsid w:val="002354BE"/>
    <w:rsid w:val="002354D5"/>
    <w:rsid w:val="0023554A"/>
    <w:rsid w:val="00235788"/>
    <w:rsid w:val="0023590E"/>
    <w:rsid w:val="0023655A"/>
    <w:rsid w:val="002366EF"/>
    <w:rsid w:val="00236901"/>
    <w:rsid w:val="00237096"/>
    <w:rsid w:val="00237774"/>
    <w:rsid w:val="00237A8C"/>
    <w:rsid w:val="00237AC6"/>
    <w:rsid w:val="00237D14"/>
    <w:rsid w:val="00237E0F"/>
    <w:rsid w:val="00237F99"/>
    <w:rsid w:val="0024002C"/>
    <w:rsid w:val="002400DB"/>
    <w:rsid w:val="0024015D"/>
    <w:rsid w:val="002407C1"/>
    <w:rsid w:val="00240C86"/>
    <w:rsid w:val="00240F37"/>
    <w:rsid w:val="0024124B"/>
    <w:rsid w:val="00241289"/>
    <w:rsid w:val="002415D1"/>
    <w:rsid w:val="002417C8"/>
    <w:rsid w:val="00241AAD"/>
    <w:rsid w:val="00241AEB"/>
    <w:rsid w:val="00241B4E"/>
    <w:rsid w:val="00241C0A"/>
    <w:rsid w:val="00241EF4"/>
    <w:rsid w:val="002426DA"/>
    <w:rsid w:val="00242AB6"/>
    <w:rsid w:val="00242D91"/>
    <w:rsid w:val="00242E30"/>
    <w:rsid w:val="00242E33"/>
    <w:rsid w:val="00243094"/>
    <w:rsid w:val="0024319C"/>
    <w:rsid w:val="00243785"/>
    <w:rsid w:val="00243C85"/>
    <w:rsid w:val="00244012"/>
    <w:rsid w:val="002440F0"/>
    <w:rsid w:val="0024431B"/>
    <w:rsid w:val="0024436A"/>
    <w:rsid w:val="00244461"/>
    <w:rsid w:val="0024451E"/>
    <w:rsid w:val="0024452A"/>
    <w:rsid w:val="002450AE"/>
    <w:rsid w:val="00245747"/>
    <w:rsid w:val="002457CF"/>
    <w:rsid w:val="00245905"/>
    <w:rsid w:val="00245B72"/>
    <w:rsid w:val="00245E5D"/>
    <w:rsid w:val="00246256"/>
    <w:rsid w:val="002462A4"/>
    <w:rsid w:val="002463D6"/>
    <w:rsid w:val="002469D3"/>
    <w:rsid w:val="00246B56"/>
    <w:rsid w:val="00246BF8"/>
    <w:rsid w:val="00246E4F"/>
    <w:rsid w:val="00246F60"/>
    <w:rsid w:val="00247768"/>
    <w:rsid w:val="00247C30"/>
    <w:rsid w:val="00247C3C"/>
    <w:rsid w:val="00250012"/>
    <w:rsid w:val="002500DC"/>
    <w:rsid w:val="0025038E"/>
    <w:rsid w:val="0025051E"/>
    <w:rsid w:val="00250E0E"/>
    <w:rsid w:val="00250E21"/>
    <w:rsid w:val="00250E78"/>
    <w:rsid w:val="00250F12"/>
    <w:rsid w:val="00250F70"/>
    <w:rsid w:val="0025151D"/>
    <w:rsid w:val="00251969"/>
    <w:rsid w:val="00251B7A"/>
    <w:rsid w:val="0025218D"/>
    <w:rsid w:val="002527AD"/>
    <w:rsid w:val="00252813"/>
    <w:rsid w:val="00252847"/>
    <w:rsid w:val="002530EB"/>
    <w:rsid w:val="0025310C"/>
    <w:rsid w:val="00253324"/>
    <w:rsid w:val="0025337A"/>
    <w:rsid w:val="00253963"/>
    <w:rsid w:val="00253B63"/>
    <w:rsid w:val="00253F2E"/>
    <w:rsid w:val="00254059"/>
    <w:rsid w:val="002542C8"/>
    <w:rsid w:val="002543E8"/>
    <w:rsid w:val="00254665"/>
    <w:rsid w:val="00254701"/>
    <w:rsid w:val="002548AE"/>
    <w:rsid w:val="00254973"/>
    <w:rsid w:val="00254C4C"/>
    <w:rsid w:val="002562E4"/>
    <w:rsid w:val="0025689B"/>
    <w:rsid w:val="00256FAA"/>
    <w:rsid w:val="00256FC4"/>
    <w:rsid w:val="0025720F"/>
    <w:rsid w:val="0025739E"/>
    <w:rsid w:val="00257434"/>
    <w:rsid w:val="002574E1"/>
    <w:rsid w:val="002577BC"/>
    <w:rsid w:val="00257823"/>
    <w:rsid w:val="002578C1"/>
    <w:rsid w:val="002601FF"/>
    <w:rsid w:val="0026029B"/>
    <w:rsid w:val="0026033D"/>
    <w:rsid w:val="002606EC"/>
    <w:rsid w:val="0026072E"/>
    <w:rsid w:val="002608D7"/>
    <w:rsid w:val="00260A0A"/>
    <w:rsid w:val="00260BEF"/>
    <w:rsid w:val="002611CF"/>
    <w:rsid w:val="0026171C"/>
    <w:rsid w:val="00261C49"/>
    <w:rsid w:val="00261C77"/>
    <w:rsid w:val="00262152"/>
    <w:rsid w:val="00262652"/>
    <w:rsid w:val="0026274C"/>
    <w:rsid w:val="00262A0B"/>
    <w:rsid w:val="00262DE9"/>
    <w:rsid w:val="00263372"/>
    <w:rsid w:val="00263471"/>
    <w:rsid w:val="0026347D"/>
    <w:rsid w:val="0026352E"/>
    <w:rsid w:val="002635CA"/>
    <w:rsid w:val="00263800"/>
    <w:rsid w:val="00263B12"/>
    <w:rsid w:val="00263FB1"/>
    <w:rsid w:val="00264937"/>
    <w:rsid w:val="0026540A"/>
    <w:rsid w:val="00265A82"/>
    <w:rsid w:val="002661B8"/>
    <w:rsid w:val="002661CF"/>
    <w:rsid w:val="00266238"/>
    <w:rsid w:val="002663C5"/>
    <w:rsid w:val="00266758"/>
    <w:rsid w:val="0026681E"/>
    <w:rsid w:val="00266A7B"/>
    <w:rsid w:val="00266EFB"/>
    <w:rsid w:val="0026737D"/>
    <w:rsid w:val="002673DB"/>
    <w:rsid w:val="00267658"/>
    <w:rsid w:val="00267671"/>
    <w:rsid w:val="00267F88"/>
    <w:rsid w:val="00270221"/>
    <w:rsid w:val="00270833"/>
    <w:rsid w:val="00270AEF"/>
    <w:rsid w:val="00270BA8"/>
    <w:rsid w:val="00270D47"/>
    <w:rsid w:val="00270FCE"/>
    <w:rsid w:val="00272124"/>
    <w:rsid w:val="00272210"/>
    <w:rsid w:val="002723C0"/>
    <w:rsid w:val="002726E1"/>
    <w:rsid w:val="0027276E"/>
    <w:rsid w:val="00272ED3"/>
    <w:rsid w:val="002736B3"/>
    <w:rsid w:val="002736F5"/>
    <w:rsid w:val="0027370F"/>
    <w:rsid w:val="0027383E"/>
    <w:rsid w:val="002739DA"/>
    <w:rsid w:val="00274057"/>
    <w:rsid w:val="002740C9"/>
    <w:rsid w:val="00274253"/>
    <w:rsid w:val="002743A1"/>
    <w:rsid w:val="002748EE"/>
    <w:rsid w:val="00274963"/>
    <w:rsid w:val="002749DD"/>
    <w:rsid w:val="00274BA9"/>
    <w:rsid w:val="00274E45"/>
    <w:rsid w:val="0027583D"/>
    <w:rsid w:val="00275F77"/>
    <w:rsid w:val="002761B6"/>
    <w:rsid w:val="00276F27"/>
    <w:rsid w:val="002777DF"/>
    <w:rsid w:val="00277A64"/>
    <w:rsid w:val="00277A8D"/>
    <w:rsid w:val="00280047"/>
    <w:rsid w:val="002810BC"/>
    <w:rsid w:val="002811A4"/>
    <w:rsid w:val="002816B4"/>
    <w:rsid w:val="00281768"/>
    <w:rsid w:val="00281BDE"/>
    <w:rsid w:val="00281ECC"/>
    <w:rsid w:val="002822A0"/>
    <w:rsid w:val="00282949"/>
    <w:rsid w:val="00282EDE"/>
    <w:rsid w:val="00283186"/>
    <w:rsid w:val="00283222"/>
    <w:rsid w:val="00283594"/>
    <w:rsid w:val="002838FC"/>
    <w:rsid w:val="0028392F"/>
    <w:rsid w:val="00283A12"/>
    <w:rsid w:val="00283A95"/>
    <w:rsid w:val="00283A9F"/>
    <w:rsid w:val="00283AB9"/>
    <w:rsid w:val="00284199"/>
    <w:rsid w:val="002844A5"/>
    <w:rsid w:val="002847F7"/>
    <w:rsid w:val="00284A39"/>
    <w:rsid w:val="00284EB0"/>
    <w:rsid w:val="00285299"/>
    <w:rsid w:val="0028563B"/>
    <w:rsid w:val="00285916"/>
    <w:rsid w:val="00286396"/>
    <w:rsid w:val="0028674C"/>
    <w:rsid w:val="002869E0"/>
    <w:rsid w:val="00286BE8"/>
    <w:rsid w:val="00286F43"/>
    <w:rsid w:val="00287221"/>
    <w:rsid w:val="0028745C"/>
    <w:rsid w:val="00287722"/>
    <w:rsid w:val="00287AB5"/>
    <w:rsid w:val="00287BCF"/>
    <w:rsid w:val="00287CFF"/>
    <w:rsid w:val="00287DC1"/>
    <w:rsid w:val="00290082"/>
    <w:rsid w:val="002903D9"/>
    <w:rsid w:val="00290AB1"/>
    <w:rsid w:val="00291267"/>
    <w:rsid w:val="002914AA"/>
    <w:rsid w:val="00291502"/>
    <w:rsid w:val="00291530"/>
    <w:rsid w:val="002918DF"/>
    <w:rsid w:val="00292300"/>
    <w:rsid w:val="002927BC"/>
    <w:rsid w:val="0029294F"/>
    <w:rsid w:val="00292B43"/>
    <w:rsid w:val="00292CD2"/>
    <w:rsid w:val="002933B5"/>
    <w:rsid w:val="002934E5"/>
    <w:rsid w:val="0029353E"/>
    <w:rsid w:val="0029358A"/>
    <w:rsid w:val="002937DB"/>
    <w:rsid w:val="00293901"/>
    <w:rsid w:val="00293EA7"/>
    <w:rsid w:val="00293F45"/>
    <w:rsid w:val="002943BB"/>
    <w:rsid w:val="00294671"/>
    <w:rsid w:val="00294AFD"/>
    <w:rsid w:val="002951F1"/>
    <w:rsid w:val="00296511"/>
    <w:rsid w:val="0029684C"/>
    <w:rsid w:val="0029684D"/>
    <w:rsid w:val="0029707D"/>
    <w:rsid w:val="00297631"/>
    <w:rsid w:val="002976F0"/>
    <w:rsid w:val="0029783B"/>
    <w:rsid w:val="00297F90"/>
    <w:rsid w:val="002A009C"/>
    <w:rsid w:val="002A0C6B"/>
    <w:rsid w:val="002A0CCA"/>
    <w:rsid w:val="002A0DEE"/>
    <w:rsid w:val="002A0EBC"/>
    <w:rsid w:val="002A1177"/>
    <w:rsid w:val="002A149A"/>
    <w:rsid w:val="002A1815"/>
    <w:rsid w:val="002A1BCA"/>
    <w:rsid w:val="002A1BD8"/>
    <w:rsid w:val="002A2401"/>
    <w:rsid w:val="002A2A57"/>
    <w:rsid w:val="002A3183"/>
    <w:rsid w:val="002A35A0"/>
    <w:rsid w:val="002A35E3"/>
    <w:rsid w:val="002A3762"/>
    <w:rsid w:val="002A3A29"/>
    <w:rsid w:val="002A4182"/>
    <w:rsid w:val="002A41E2"/>
    <w:rsid w:val="002A433E"/>
    <w:rsid w:val="002A44AE"/>
    <w:rsid w:val="002A46C0"/>
    <w:rsid w:val="002A4A34"/>
    <w:rsid w:val="002A4ECE"/>
    <w:rsid w:val="002A4EFB"/>
    <w:rsid w:val="002A5538"/>
    <w:rsid w:val="002A558B"/>
    <w:rsid w:val="002A5893"/>
    <w:rsid w:val="002A604E"/>
    <w:rsid w:val="002A6314"/>
    <w:rsid w:val="002A66AF"/>
    <w:rsid w:val="002A6771"/>
    <w:rsid w:val="002A6954"/>
    <w:rsid w:val="002A6FB6"/>
    <w:rsid w:val="002A7AAB"/>
    <w:rsid w:val="002A7E27"/>
    <w:rsid w:val="002B09A5"/>
    <w:rsid w:val="002B0B64"/>
    <w:rsid w:val="002B0C09"/>
    <w:rsid w:val="002B1607"/>
    <w:rsid w:val="002B1B12"/>
    <w:rsid w:val="002B1B87"/>
    <w:rsid w:val="002B2212"/>
    <w:rsid w:val="002B28B0"/>
    <w:rsid w:val="002B2CB8"/>
    <w:rsid w:val="002B3419"/>
    <w:rsid w:val="002B3518"/>
    <w:rsid w:val="002B3778"/>
    <w:rsid w:val="002B3F24"/>
    <w:rsid w:val="002B4230"/>
    <w:rsid w:val="002B4626"/>
    <w:rsid w:val="002B4B73"/>
    <w:rsid w:val="002B5016"/>
    <w:rsid w:val="002B53E6"/>
    <w:rsid w:val="002B5760"/>
    <w:rsid w:val="002B5891"/>
    <w:rsid w:val="002B65FA"/>
    <w:rsid w:val="002B6893"/>
    <w:rsid w:val="002B68E8"/>
    <w:rsid w:val="002B69D0"/>
    <w:rsid w:val="002B6E39"/>
    <w:rsid w:val="002B6FA6"/>
    <w:rsid w:val="002B7453"/>
    <w:rsid w:val="002B7D0B"/>
    <w:rsid w:val="002C00B9"/>
    <w:rsid w:val="002C0389"/>
    <w:rsid w:val="002C070E"/>
    <w:rsid w:val="002C0996"/>
    <w:rsid w:val="002C0A0E"/>
    <w:rsid w:val="002C0A29"/>
    <w:rsid w:val="002C0B00"/>
    <w:rsid w:val="002C0B8E"/>
    <w:rsid w:val="002C1160"/>
    <w:rsid w:val="002C12F3"/>
    <w:rsid w:val="002C13A0"/>
    <w:rsid w:val="002C14AF"/>
    <w:rsid w:val="002C14C6"/>
    <w:rsid w:val="002C17C4"/>
    <w:rsid w:val="002C1895"/>
    <w:rsid w:val="002C207C"/>
    <w:rsid w:val="002C21BC"/>
    <w:rsid w:val="002C2276"/>
    <w:rsid w:val="002C26D9"/>
    <w:rsid w:val="002C2723"/>
    <w:rsid w:val="002C2742"/>
    <w:rsid w:val="002C3814"/>
    <w:rsid w:val="002C3BC0"/>
    <w:rsid w:val="002C406F"/>
    <w:rsid w:val="002C4954"/>
    <w:rsid w:val="002C4CF4"/>
    <w:rsid w:val="002C4D27"/>
    <w:rsid w:val="002C4EF9"/>
    <w:rsid w:val="002C5711"/>
    <w:rsid w:val="002C5786"/>
    <w:rsid w:val="002C5A8B"/>
    <w:rsid w:val="002C5E64"/>
    <w:rsid w:val="002C68CD"/>
    <w:rsid w:val="002C70DB"/>
    <w:rsid w:val="002C70F3"/>
    <w:rsid w:val="002C78C8"/>
    <w:rsid w:val="002C7D9C"/>
    <w:rsid w:val="002C7EB2"/>
    <w:rsid w:val="002D01A6"/>
    <w:rsid w:val="002D036C"/>
    <w:rsid w:val="002D040F"/>
    <w:rsid w:val="002D050E"/>
    <w:rsid w:val="002D0533"/>
    <w:rsid w:val="002D0812"/>
    <w:rsid w:val="002D0CD9"/>
    <w:rsid w:val="002D11E2"/>
    <w:rsid w:val="002D1213"/>
    <w:rsid w:val="002D18B7"/>
    <w:rsid w:val="002D1DAF"/>
    <w:rsid w:val="002D2466"/>
    <w:rsid w:val="002D28A0"/>
    <w:rsid w:val="002D2B9F"/>
    <w:rsid w:val="002D2DA9"/>
    <w:rsid w:val="002D37F7"/>
    <w:rsid w:val="002D3E5F"/>
    <w:rsid w:val="002D3F2D"/>
    <w:rsid w:val="002D4169"/>
    <w:rsid w:val="002D4257"/>
    <w:rsid w:val="002D4600"/>
    <w:rsid w:val="002D4BBB"/>
    <w:rsid w:val="002D4BE8"/>
    <w:rsid w:val="002D5D6B"/>
    <w:rsid w:val="002D6121"/>
    <w:rsid w:val="002D6261"/>
    <w:rsid w:val="002D65BE"/>
    <w:rsid w:val="002D6A3C"/>
    <w:rsid w:val="002D6BF8"/>
    <w:rsid w:val="002D779E"/>
    <w:rsid w:val="002D77C1"/>
    <w:rsid w:val="002D7B09"/>
    <w:rsid w:val="002E031C"/>
    <w:rsid w:val="002E0658"/>
    <w:rsid w:val="002E0960"/>
    <w:rsid w:val="002E0FFD"/>
    <w:rsid w:val="002E105B"/>
    <w:rsid w:val="002E1078"/>
    <w:rsid w:val="002E10B6"/>
    <w:rsid w:val="002E18B7"/>
    <w:rsid w:val="002E1BE3"/>
    <w:rsid w:val="002E2B52"/>
    <w:rsid w:val="002E2E00"/>
    <w:rsid w:val="002E2FC3"/>
    <w:rsid w:val="002E32A4"/>
    <w:rsid w:val="002E32A5"/>
    <w:rsid w:val="002E393B"/>
    <w:rsid w:val="002E39AE"/>
    <w:rsid w:val="002E3DEA"/>
    <w:rsid w:val="002E40F1"/>
    <w:rsid w:val="002E4211"/>
    <w:rsid w:val="002E46D8"/>
    <w:rsid w:val="002E5017"/>
    <w:rsid w:val="002E5114"/>
    <w:rsid w:val="002E57F4"/>
    <w:rsid w:val="002E5F16"/>
    <w:rsid w:val="002E5F8C"/>
    <w:rsid w:val="002E6A94"/>
    <w:rsid w:val="002E6D46"/>
    <w:rsid w:val="002E6EE6"/>
    <w:rsid w:val="002E71AC"/>
    <w:rsid w:val="002E72E0"/>
    <w:rsid w:val="002E7684"/>
    <w:rsid w:val="002E783F"/>
    <w:rsid w:val="002E7AD8"/>
    <w:rsid w:val="002F014B"/>
    <w:rsid w:val="002F036E"/>
    <w:rsid w:val="002F064A"/>
    <w:rsid w:val="002F0947"/>
    <w:rsid w:val="002F0F4D"/>
    <w:rsid w:val="002F129F"/>
    <w:rsid w:val="002F1F64"/>
    <w:rsid w:val="002F1FC8"/>
    <w:rsid w:val="002F2668"/>
    <w:rsid w:val="002F2937"/>
    <w:rsid w:val="002F2D13"/>
    <w:rsid w:val="002F2DC4"/>
    <w:rsid w:val="002F31F1"/>
    <w:rsid w:val="002F3774"/>
    <w:rsid w:val="002F3B1D"/>
    <w:rsid w:val="002F3F60"/>
    <w:rsid w:val="002F4168"/>
    <w:rsid w:val="002F4234"/>
    <w:rsid w:val="002F4A03"/>
    <w:rsid w:val="002F4A4E"/>
    <w:rsid w:val="002F502D"/>
    <w:rsid w:val="002F54A1"/>
    <w:rsid w:val="002F5AFE"/>
    <w:rsid w:val="002F5B7C"/>
    <w:rsid w:val="002F5CD1"/>
    <w:rsid w:val="002F5EAD"/>
    <w:rsid w:val="002F5F74"/>
    <w:rsid w:val="002F61CE"/>
    <w:rsid w:val="003001C3"/>
    <w:rsid w:val="00300871"/>
    <w:rsid w:val="003008BF"/>
    <w:rsid w:val="00300F35"/>
    <w:rsid w:val="00301170"/>
    <w:rsid w:val="003013D6"/>
    <w:rsid w:val="00301715"/>
    <w:rsid w:val="00301785"/>
    <w:rsid w:val="00301A99"/>
    <w:rsid w:val="00301D6A"/>
    <w:rsid w:val="00302295"/>
    <w:rsid w:val="0030229D"/>
    <w:rsid w:val="003029C6"/>
    <w:rsid w:val="00303022"/>
    <w:rsid w:val="003035D7"/>
    <w:rsid w:val="003037AC"/>
    <w:rsid w:val="00303C60"/>
    <w:rsid w:val="00303C99"/>
    <w:rsid w:val="00303E69"/>
    <w:rsid w:val="00303EA6"/>
    <w:rsid w:val="0030405E"/>
    <w:rsid w:val="003042D0"/>
    <w:rsid w:val="003045C6"/>
    <w:rsid w:val="00304746"/>
    <w:rsid w:val="00304876"/>
    <w:rsid w:val="003048B2"/>
    <w:rsid w:val="0030498B"/>
    <w:rsid w:val="00304B25"/>
    <w:rsid w:val="00304B5C"/>
    <w:rsid w:val="00304DEC"/>
    <w:rsid w:val="00304E35"/>
    <w:rsid w:val="00305557"/>
    <w:rsid w:val="00305A8B"/>
    <w:rsid w:val="00305AC9"/>
    <w:rsid w:val="00306019"/>
    <w:rsid w:val="00306463"/>
    <w:rsid w:val="003066C9"/>
    <w:rsid w:val="00306A6A"/>
    <w:rsid w:val="00306B7A"/>
    <w:rsid w:val="003071B8"/>
    <w:rsid w:val="0030729C"/>
    <w:rsid w:val="00307907"/>
    <w:rsid w:val="00307914"/>
    <w:rsid w:val="00307924"/>
    <w:rsid w:val="00307944"/>
    <w:rsid w:val="003105AC"/>
    <w:rsid w:val="00310609"/>
    <w:rsid w:val="00310A67"/>
    <w:rsid w:val="00310AB4"/>
    <w:rsid w:val="00310E9E"/>
    <w:rsid w:val="00310FE5"/>
    <w:rsid w:val="003124EF"/>
    <w:rsid w:val="0031251A"/>
    <w:rsid w:val="0031268A"/>
    <w:rsid w:val="003126F8"/>
    <w:rsid w:val="00312A05"/>
    <w:rsid w:val="00312B2D"/>
    <w:rsid w:val="00312B84"/>
    <w:rsid w:val="00312D2C"/>
    <w:rsid w:val="00312DB4"/>
    <w:rsid w:val="00312F2F"/>
    <w:rsid w:val="0031306C"/>
    <w:rsid w:val="003130D7"/>
    <w:rsid w:val="00313611"/>
    <w:rsid w:val="003136BD"/>
    <w:rsid w:val="00313C28"/>
    <w:rsid w:val="00313FC9"/>
    <w:rsid w:val="00314F54"/>
    <w:rsid w:val="003163D4"/>
    <w:rsid w:val="00316508"/>
    <w:rsid w:val="00316718"/>
    <w:rsid w:val="00316C3A"/>
    <w:rsid w:val="00316C79"/>
    <w:rsid w:val="00316E7E"/>
    <w:rsid w:val="00316F29"/>
    <w:rsid w:val="00317BBC"/>
    <w:rsid w:val="00317BDA"/>
    <w:rsid w:val="00317F6A"/>
    <w:rsid w:val="003201DF"/>
    <w:rsid w:val="0032054E"/>
    <w:rsid w:val="003208BD"/>
    <w:rsid w:val="00320B25"/>
    <w:rsid w:val="00320B95"/>
    <w:rsid w:val="00320F04"/>
    <w:rsid w:val="00321301"/>
    <w:rsid w:val="00321508"/>
    <w:rsid w:val="00321E94"/>
    <w:rsid w:val="0032230B"/>
    <w:rsid w:val="00322611"/>
    <w:rsid w:val="00322838"/>
    <w:rsid w:val="003229C6"/>
    <w:rsid w:val="00322CFC"/>
    <w:rsid w:val="00322D20"/>
    <w:rsid w:val="003234B0"/>
    <w:rsid w:val="0032360A"/>
    <w:rsid w:val="00323983"/>
    <w:rsid w:val="00323B38"/>
    <w:rsid w:val="00323BB8"/>
    <w:rsid w:val="00323BEC"/>
    <w:rsid w:val="00323FE9"/>
    <w:rsid w:val="00324241"/>
    <w:rsid w:val="00324319"/>
    <w:rsid w:val="00324321"/>
    <w:rsid w:val="00324684"/>
    <w:rsid w:val="00324A27"/>
    <w:rsid w:val="00324C32"/>
    <w:rsid w:val="0032538F"/>
    <w:rsid w:val="0032546D"/>
    <w:rsid w:val="003255A5"/>
    <w:rsid w:val="003255EC"/>
    <w:rsid w:val="0032597E"/>
    <w:rsid w:val="00325EA9"/>
    <w:rsid w:val="00326477"/>
    <w:rsid w:val="00326930"/>
    <w:rsid w:val="00326E5B"/>
    <w:rsid w:val="003271BB"/>
    <w:rsid w:val="00327923"/>
    <w:rsid w:val="00327A16"/>
    <w:rsid w:val="00327D60"/>
    <w:rsid w:val="00327FA4"/>
    <w:rsid w:val="003301AC"/>
    <w:rsid w:val="00330389"/>
    <w:rsid w:val="00330803"/>
    <w:rsid w:val="0033095D"/>
    <w:rsid w:val="00330F43"/>
    <w:rsid w:val="00331045"/>
    <w:rsid w:val="003317B1"/>
    <w:rsid w:val="00331873"/>
    <w:rsid w:val="00331B74"/>
    <w:rsid w:val="00331D01"/>
    <w:rsid w:val="003324BA"/>
    <w:rsid w:val="00332A1D"/>
    <w:rsid w:val="00332AAE"/>
    <w:rsid w:val="003330A7"/>
    <w:rsid w:val="003332D8"/>
    <w:rsid w:val="0033373C"/>
    <w:rsid w:val="00333E30"/>
    <w:rsid w:val="00333EC3"/>
    <w:rsid w:val="0033468B"/>
    <w:rsid w:val="0033487D"/>
    <w:rsid w:val="003349BB"/>
    <w:rsid w:val="00334BF4"/>
    <w:rsid w:val="00334E9D"/>
    <w:rsid w:val="003352B9"/>
    <w:rsid w:val="00335360"/>
    <w:rsid w:val="0033588A"/>
    <w:rsid w:val="00335D9E"/>
    <w:rsid w:val="00335E6A"/>
    <w:rsid w:val="00335EFD"/>
    <w:rsid w:val="003360F5"/>
    <w:rsid w:val="00336494"/>
    <w:rsid w:val="0033669F"/>
    <w:rsid w:val="003367DC"/>
    <w:rsid w:val="0033691D"/>
    <w:rsid w:val="00336927"/>
    <w:rsid w:val="00336929"/>
    <w:rsid w:val="00336E3E"/>
    <w:rsid w:val="0033734E"/>
    <w:rsid w:val="00337C0E"/>
    <w:rsid w:val="003405AB"/>
    <w:rsid w:val="003407B9"/>
    <w:rsid w:val="00341E71"/>
    <w:rsid w:val="00341E77"/>
    <w:rsid w:val="00341F5D"/>
    <w:rsid w:val="0034253F"/>
    <w:rsid w:val="0034308C"/>
    <w:rsid w:val="0034345B"/>
    <w:rsid w:val="003435BA"/>
    <w:rsid w:val="0034361E"/>
    <w:rsid w:val="00343DAF"/>
    <w:rsid w:val="0034411B"/>
    <w:rsid w:val="003444BD"/>
    <w:rsid w:val="003447F5"/>
    <w:rsid w:val="0034484E"/>
    <w:rsid w:val="00344917"/>
    <w:rsid w:val="00344969"/>
    <w:rsid w:val="00344A3E"/>
    <w:rsid w:val="00344C60"/>
    <w:rsid w:val="00344E8C"/>
    <w:rsid w:val="00345569"/>
    <w:rsid w:val="00345843"/>
    <w:rsid w:val="00345974"/>
    <w:rsid w:val="00345AF9"/>
    <w:rsid w:val="003460D4"/>
    <w:rsid w:val="0034613B"/>
    <w:rsid w:val="003465C1"/>
    <w:rsid w:val="0034677B"/>
    <w:rsid w:val="00346B95"/>
    <w:rsid w:val="00346DC9"/>
    <w:rsid w:val="00346FE9"/>
    <w:rsid w:val="0034704D"/>
    <w:rsid w:val="003470A1"/>
    <w:rsid w:val="00347302"/>
    <w:rsid w:val="0034763C"/>
    <w:rsid w:val="0034785C"/>
    <w:rsid w:val="00347AC2"/>
    <w:rsid w:val="0034F39B"/>
    <w:rsid w:val="00350418"/>
    <w:rsid w:val="003504F6"/>
    <w:rsid w:val="00350883"/>
    <w:rsid w:val="00350889"/>
    <w:rsid w:val="003508D7"/>
    <w:rsid w:val="00350F5F"/>
    <w:rsid w:val="003511CE"/>
    <w:rsid w:val="00351585"/>
    <w:rsid w:val="00351657"/>
    <w:rsid w:val="00351CA0"/>
    <w:rsid w:val="00352091"/>
    <w:rsid w:val="003520B1"/>
    <w:rsid w:val="00352655"/>
    <w:rsid w:val="00352C54"/>
    <w:rsid w:val="00352E98"/>
    <w:rsid w:val="0035373E"/>
    <w:rsid w:val="0035386B"/>
    <w:rsid w:val="00353D56"/>
    <w:rsid w:val="003541AF"/>
    <w:rsid w:val="003541D5"/>
    <w:rsid w:val="00354E91"/>
    <w:rsid w:val="00355325"/>
    <w:rsid w:val="00355461"/>
    <w:rsid w:val="003554AD"/>
    <w:rsid w:val="0035626F"/>
    <w:rsid w:val="00356557"/>
    <w:rsid w:val="00356884"/>
    <w:rsid w:val="00356FAE"/>
    <w:rsid w:val="00357057"/>
    <w:rsid w:val="003573C2"/>
    <w:rsid w:val="003576F1"/>
    <w:rsid w:val="003579A8"/>
    <w:rsid w:val="00357C71"/>
    <w:rsid w:val="00357E32"/>
    <w:rsid w:val="00357EB1"/>
    <w:rsid w:val="00360031"/>
    <w:rsid w:val="003602A5"/>
    <w:rsid w:val="0036071D"/>
    <w:rsid w:val="00360B71"/>
    <w:rsid w:val="00360CFA"/>
    <w:rsid w:val="00361153"/>
    <w:rsid w:val="003615C2"/>
    <w:rsid w:val="00361C56"/>
    <w:rsid w:val="00361FCD"/>
    <w:rsid w:val="00362362"/>
    <w:rsid w:val="00362542"/>
    <w:rsid w:val="0036267D"/>
    <w:rsid w:val="0036279E"/>
    <w:rsid w:val="00362B6C"/>
    <w:rsid w:val="00363071"/>
    <w:rsid w:val="00363191"/>
    <w:rsid w:val="0036337D"/>
    <w:rsid w:val="00363579"/>
    <w:rsid w:val="0036372E"/>
    <w:rsid w:val="00363CFE"/>
    <w:rsid w:val="00363F01"/>
    <w:rsid w:val="00364308"/>
    <w:rsid w:val="003643F3"/>
    <w:rsid w:val="00364E2A"/>
    <w:rsid w:val="00364FEC"/>
    <w:rsid w:val="003653F9"/>
    <w:rsid w:val="00365BCF"/>
    <w:rsid w:val="00365D25"/>
    <w:rsid w:val="003664D7"/>
    <w:rsid w:val="00366B93"/>
    <w:rsid w:val="00366BDF"/>
    <w:rsid w:val="00366BF8"/>
    <w:rsid w:val="00366F14"/>
    <w:rsid w:val="003672D0"/>
    <w:rsid w:val="0036749F"/>
    <w:rsid w:val="003674D3"/>
    <w:rsid w:val="0036760B"/>
    <w:rsid w:val="00367A44"/>
    <w:rsid w:val="00367AE9"/>
    <w:rsid w:val="0037000C"/>
    <w:rsid w:val="00370213"/>
    <w:rsid w:val="00370348"/>
    <w:rsid w:val="0037059B"/>
    <w:rsid w:val="003705C4"/>
    <w:rsid w:val="00370BFF"/>
    <w:rsid w:val="00370C02"/>
    <w:rsid w:val="00371020"/>
    <w:rsid w:val="0037121F"/>
    <w:rsid w:val="00371517"/>
    <w:rsid w:val="003716B0"/>
    <w:rsid w:val="003716F3"/>
    <w:rsid w:val="003717C4"/>
    <w:rsid w:val="003717D7"/>
    <w:rsid w:val="00371FBC"/>
    <w:rsid w:val="00372159"/>
    <w:rsid w:val="0037249E"/>
    <w:rsid w:val="00372A3D"/>
    <w:rsid w:val="00372BB8"/>
    <w:rsid w:val="00372BF9"/>
    <w:rsid w:val="00373261"/>
    <w:rsid w:val="00373318"/>
    <w:rsid w:val="00373647"/>
    <w:rsid w:val="00373C14"/>
    <w:rsid w:val="00373DA3"/>
    <w:rsid w:val="00373E67"/>
    <w:rsid w:val="00373FD1"/>
    <w:rsid w:val="0037415D"/>
    <w:rsid w:val="0037417E"/>
    <w:rsid w:val="0037423F"/>
    <w:rsid w:val="00374602"/>
    <w:rsid w:val="00374681"/>
    <w:rsid w:val="00374B52"/>
    <w:rsid w:val="00374EB1"/>
    <w:rsid w:val="00374F99"/>
    <w:rsid w:val="003751A6"/>
    <w:rsid w:val="00375227"/>
    <w:rsid w:val="003754C9"/>
    <w:rsid w:val="003754F0"/>
    <w:rsid w:val="00375658"/>
    <w:rsid w:val="003756E6"/>
    <w:rsid w:val="003758D3"/>
    <w:rsid w:val="00375DD0"/>
    <w:rsid w:val="00375F0B"/>
    <w:rsid w:val="003765B2"/>
    <w:rsid w:val="0037661A"/>
    <w:rsid w:val="003767BB"/>
    <w:rsid w:val="00376943"/>
    <w:rsid w:val="00376A42"/>
    <w:rsid w:val="00376A99"/>
    <w:rsid w:val="00376AED"/>
    <w:rsid w:val="0037723A"/>
    <w:rsid w:val="003776BE"/>
    <w:rsid w:val="00377E24"/>
    <w:rsid w:val="00377EA7"/>
    <w:rsid w:val="00380242"/>
    <w:rsid w:val="00380A5D"/>
    <w:rsid w:val="00380ADE"/>
    <w:rsid w:val="00380BB4"/>
    <w:rsid w:val="00380C4B"/>
    <w:rsid w:val="00380D06"/>
    <w:rsid w:val="00380D80"/>
    <w:rsid w:val="00381396"/>
    <w:rsid w:val="0038170F"/>
    <w:rsid w:val="003818BC"/>
    <w:rsid w:val="00382231"/>
    <w:rsid w:val="003825AE"/>
    <w:rsid w:val="00382679"/>
    <w:rsid w:val="003828CD"/>
    <w:rsid w:val="0038290C"/>
    <w:rsid w:val="00382AED"/>
    <w:rsid w:val="00382CDF"/>
    <w:rsid w:val="00382EEF"/>
    <w:rsid w:val="0038310F"/>
    <w:rsid w:val="0038332C"/>
    <w:rsid w:val="0038333F"/>
    <w:rsid w:val="003834E0"/>
    <w:rsid w:val="00383DEE"/>
    <w:rsid w:val="003843E0"/>
    <w:rsid w:val="0038465B"/>
    <w:rsid w:val="00384B28"/>
    <w:rsid w:val="003852EF"/>
    <w:rsid w:val="003853CF"/>
    <w:rsid w:val="00385DD4"/>
    <w:rsid w:val="00385DF2"/>
    <w:rsid w:val="0038627A"/>
    <w:rsid w:val="00386880"/>
    <w:rsid w:val="00386B86"/>
    <w:rsid w:val="00386E1F"/>
    <w:rsid w:val="00386F61"/>
    <w:rsid w:val="003873E2"/>
    <w:rsid w:val="00387ACF"/>
    <w:rsid w:val="00387BBD"/>
    <w:rsid w:val="0039001E"/>
    <w:rsid w:val="00390232"/>
    <w:rsid w:val="00390596"/>
    <w:rsid w:val="0039118E"/>
    <w:rsid w:val="003913E7"/>
    <w:rsid w:val="00391595"/>
    <w:rsid w:val="00391928"/>
    <w:rsid w:val="0039198D"/>
    <w:rsid w:val="00391EFE"/>
    <w:rsid w:val="003926BB"/>
    <w:rsid w:val="00392793"/>
    <w:rsid w:val="00392AF2"/>
    <w:rsid w:val="0039305E"/>
    <w:rsid w:val="00393192"/>
    <w:rsid w:val="0039327F"/>
    <w:rsid w:val="00393B85"/>
    <w:rsid w:val="00393B9E"/>
    <w:rsid w:val="0039451E"/>
    <w:rsid w:val="00394595"/>
    <w:rsid w:val="003952B6"/>
    <w:rsid w:val="003959AB"/>
    <w:rsid w:val="00395CF1"/>
    <w:rsid w:val="003961D2"/>
    <w:rsid w:val="003967E9"/>
    <w:rsid w:val="00396A56"/>
    <w:rsid w:val="003978DC"/>
    <w:rsid w:val="003979FE"/>
    <w:rsid w:val="00397E7D"/>
    <w:rsid w:val="00397EE4"/>
    <w:rsid w:val="003A0036"/>
    <w:rsid w:val="003A0558"/>
    <w:rsid w:val="003A094E"/>
    <w:rsid w:val="003A0D8D"/>
    <w:rsid w:val="003A10C9"/>
    <w:rsid w:val="003A16A8"/>
    <w:rsid w:val="003A19D0"/>
    <w:rsid w:val="003A1F97"/>
    <w:rsid w:val="003A2396"/>
    <w:rsid w:val="003A272F"/>
    <w:rsid w:val="003A2914"/>
    <w:rsid w:val="003A2C95"/>
    <w:rsid w:val="003A30AF"/>
    <w:rsid w:val="003A3624"/>
    <w:rsid w:val="003A3904"/>
    <w:rsid w:val="003A40C4"/>
    <w:rsid w:val="003A45D4"/>
    <w:rsid w:val="003A4654"/>
    <w:rsid w:val="003A4C9F"/>
    <w:rsid w:val="003A4DE8"/>
    <w:rsid w:val="003A4E08"/>
    <w:rsid w:val="003A4F8A"/>
    <w:rsid w:val="003A4FFE"/>
    <w:rsid w:val="003A52D0"/>
    <w:rsid w:val="003A5397"/>
    <w:rsid w:val="003A58BC"/>
    <w:rsid w:val="003A5915"/>
    <w:rsid w:val="003A5F2D"/>
    <w:rsid w:val="003A5FCC"/>
    <w:rsid w:val="003A5FDD"/>
    <w:rsid w:val="003A629D"/>
    <w:rsid w:val="003A6351"/>
    <w:rsid w:val="003A64C9"/>
    <w:rsid w:val="003A6995"/>
    <w:rsid w:val="003A721A"/>
    <w:rsid w:val="003A75A0"/>
    <w:rsid w:val="003B0130"/>
    <w:rsid w:val="003B064C"/>
    <w:rsid w:val="003B06DD"/>
    <w:rsid w:val="003B07C1"/>
    <w:rsid w:val="003B08C1"/>
    <w:rsid w:val="003B0BF0"/>
    <w:rsid w:val="003B0CED"/>
    <w:rsid w:val="003B0DC8"/>
    <w:rsid w:val="003B0E80"/>
    <w:rsid w:val="003B12F4"/>
    <w:rsid w:val="003B1584"/>
    <w:rsid w:val="003B240A"/>
    <w:rsid w:val="003B2F6C"/>
    <w:rsid w:val="003B342C"/>
    <w:rsid w:val="003B3859"/>
    <w:rsid w:val="003B3C67"/>
    <w:rsid w:val="003B3D43"/>
    <w:rsid w:val="003B3D6C"/>
    <w:rsid w:val="003B3DC2"/>
    <w:rsid w:val="003B428E"/>
    <w:rsid w:val="003B4331"/>
    <w:rsid w:val="003B456B"/>
    <w:rsid w:val="003B4671"/>
    <w:rsid w:val="003B4FDC"/>
    <w:rsid w:val="003B5439"/>
    <w:rsid w:val="003B55E0"/>
    <w:rsid w:val="003B55F6"/>
    <w:rsid w:val="003B5C15"/>
    <w:rsid w:val="003B5EA8"/>
    <w:rsid w:val="003B6086"/>
    <w:rsid w:val="003B6737"/>
    <w:rsid w:val="003B6AF0"/>
    <w:rsid w:val="003B6C3A"/>
    <w:rsid w:val="003B70A2"/>
    <w:rsid w:val="003B76DE"/>
    <w:rsid w:val="003B7A27"/>
    <w:rsid w:val="003B7F19"/>
    <w:rsid w:val="003C00DD"/>
    <w:rsid w:val="003C012F"/>
    <w:rsid w:val="003C055C"/>
    <w:rsid w:val="003C0B25"/>
    <w:rsid w:val="003C1246"/>
    <w:rsid w:val="003C153C"/>
    <w:rsid w:val="003C168A"/>
    <w:rsid w:val="003C1809"/>
    <w:rsid w:val="003C1B4C"/>
    <w:rsid w:val="003C1BA9"/>
    <w:rsid w:val="003C1CD9"/>
    <w:rsid w:val="003C20E1"/>
    <w:rsid w:val="003C229A"/>
    <w:rsid w:val="003C2489"/>
    <w:rsid w:val="003C281E"/>
    <w:rsid w:val="003C2AD0"/>
    <w:rsid w:val="003C2C3C"/>
    <w:rsid w:val="003C2CBD"/>
    <w:rsid w:val="003C2EEE"/>
    <w:rsid w:val="003C2F44"/>
    <w:rsid w:val="003C30FE"/>
    <w:rsid w:val="003C3BFB"/>
    <w:rsid w:val="003C3E1D"/>
    <w:rsid w:val="003C3F35"/>
    <w:rsid w:val="003C405E"/>
    <w:rsid w:val="003C4970"/>
    <w:rsid w:val="003C58F9"/>
    <w:rsid w:val="003C5CCD"/>
    <w:rsid w:val="003C61FB"/>
    <w:rsid w:val="003C628B"/>
    <w:rsid w:val="003C64ED"/>
    <w:rsid w:val="003C669F"/>
    <w:rsid w:val="003C6719"/>
    <w:rsid w:val="003C67FD"/>
    <w:rsid w:val="003C6953"/>
    <w:rsid w:val="003C6C41"/>
    <w:rsid w:val="003C6D8D"/>
    <w:rsid w:val="003C701A"/>
    <w:rsid w:val="003C76AC"/>
    <w:rsid w:val="003C7933"/>
    <w:rsid w:val="003C7A20"/>
    <w:rsid w:val="003C7A72"/>
    <w:rsid w:val="003C7AB2"/>
    <w:rsid w:val="003C7B11"/>
    <w:rsid w:val="003C7C59"/>
    <w:rsid w:val="003D000F"/>
    <w:rsid w:val="003D043B"/>
    <w:rsid w:val="003D0691"/>
    <w:rsid w:val="003D07EA"/>
    <w:rsid w:val="003D0AAC"/>
    <w:rsid w:val="003D0EBD"/>
    <w:rsid w:val="003D1415"/>
    <w:rsid w:val="003D178F"/>
    <w:rsid w:val="003D1B7A"/>
    <w:rsid w:val="003D2642"/>
    <w:rsid w:val="003D27C2"/>
    <w:rsid w:val="003D2D67"/>
    <w:rsid w:val="003D3055"/>
    <w:rsid w:val="003D33B8"/>
    <w:rsid w:val="003D3514"/>
    <w:rsid w:val="003D395E"/>
    <w:rsid w:val="003D3A45"/>
    <w:rsid w:val="003D3FBF"/>
    <w:rsid w:val="003D42D6"/>
    <w:rsid w:val="003D4475"/>
    <w:rsid w:val="003D44D4"/>
    <w:rsid w:val="003D44D5"/>
    <w:rsid w:val="003D4518"/>
    <w:rsid w:val="003D459A"/>
    <w:rsid w:val="003D46ED"/>
    <w:rsid w:val="003D4DF8"/>
    <w:rsid w:val="003D501C"/>
    <w:rsid w:val="003D59E5"/>
    <w:rsid w:val="003D5F9E"/>
    <w:rsid w:val="003D6027"/>
    <w:rsid w:val="003D6497"/>
    <w:rsid w:val="003D65A0"/>
    <w:rsid w:val="003D666C"/>
    <w:rsid w:val="003D6763"/>
    <w:rsid w:val="003D68BE"/>
    <w:rsid w:val="003D69D8"/>
    <w:rsid w:val="003D6C51"/>
    <w:rsid w:val="003D6F97"/>
    <w:rsid w:val="003D736C"/>
    <w:rsid w:val="003E0129"/>
    <w:rsid w:val="003E014A"/>
    <w:rsid w:val="003E048C"/>
    <w:rsid w:val="003E0518"/>
    <w:rsid w:val="003E0645"/>
    <w:rsid w:val="003E1510"/>
    <w:rsid w:val="003E1570"/>
    <w:rsid w:val="003E1848"/>
    <w:rsid w:val="003E18B3"/>
    <w:rsid w:val="003E1D87"/>
    <w:rsid w:val="003E1E57"/>
    <w:rsid w:val="003E2341"/>
    <w:rsid w:val="003E25E8"/>
    <w:rsid w:val="003E26B3"/>
    <w:rsid w:val="003E298C"/>
    <w:rsid w:val="003E2B07"/>
    <w:rsid w:val="003E301C"/>
    <w:rsid w:val="003E3085"/>
    <w:rsid w:val="003E31D3"/>
    <w:rsid w:val="003E395B"/>
    <w:rsid w:val="003E3E68"/>
    <w:rsid w:val="003E3FDA"/>
    <w:rsid w:val="003E4484"/>
    <w:rsid w:val="003E47FD"/>
    <w:rsid w:val="003E492E"/>
    <w:rsid w:val="003E4A84"/>
    <w:rsid w:val="003E4C25"/>
    <w:rsid w:val="003E4C9E"/>
    <w:rsid w:val="003E4D43"/>
    <w:rsid w:val="003E4E57"/>
    <w:rsid w:val="003E5009"/>
    <w:rsid w:val="003E5080"/>
    <w:rsid w:val="003E529E"/>
    <w:rsid w:val="003E554B"/>
    <w:rsid w:val="003E6630"/>
    <w:rsid w:val="003E68E9"/>
    <w:rsid w:val="003E6B02"/>
    <w:rsid w:val="003E6C71"/>
    <w:rsid w:val="003E6CF3"/>
    <w:rsid w:val="003E6FA5"/>
    <w:rsid w:val="003E6FC0"/>
    <w:rsid w:val="003E71D9"/>
    <w:rsid w:val="003E721A"/>
    <w:rsid w:val="003E7798"/>
    <w:rsid w:val="003E7A79"/>
    <w:rsid w:val="003E7EE7"/>
    <w:rsid w:val="003F02CF"/>
    <w:rsid w:val="003F0FD5"/>
    <w:rsid w:val="003F202C"/>
    <w:rsid w:val="003F2FC6"/>
    <w:rsid w:val="003F3623"/>
    <w:rsid w:val="003F3806"/>
    <w:rsid w:val="003F3871"/>
    <w:rsid w:val="003F3C1A"/>
    <w:rsid w:val="003F3CB0"/>
    <w:rsid w:val="003F42C1"/>
    <w:rsid w:val="003F4848"/>
    <w:rsid w:val="003F49AE"/>
    <w:rsid w:val="003F5A1C"/>
    <w:rsid w:val="003F5A53"/>
    <w:rsid w:val="003F5F71"/>
    <w:rsid w:val="003F604C"/>
    <w:rsid w:val="003F6324"/>
    <w:rsid w:val="003F6807"/>
    <w:rsid w:val="003F6ADA"/>
    <w:rsid w:val="003F6E10"/>
    <w:rsid w:val="003F7223"/>
    <w:rsid w:val="003F75AA"/>
    <w:rsid w:val="003F7DB7"/>
    <w:rsid w:val="003F7E76"/>
    <w:rsid w:val="00400494"/>
    <w:rsid w:val="004007F5"/>
    <w:rsid w:val="00400DD8"/>
    <w:rsid w:val="00401002"/>
    <w:rsid w:val="00401559"/>
    <w:rsid w:val="004015F9"/>
    <w:rsid w:val="00401673"/>
    <w:rsid w:val="004016D8"/>
    <w:rsid w:val="004018F2"/>
    <w:rsid w:val="00401D07"/>
    <w:rsid w:val="00401D7B"/>
    <w:rsid w:val="0040270C"/>
    <w:rsid w:val="0040299F"/>
    <w:rsid w:val="00402E7F"/>
    <w:rsid w:val="00403094"/>
    <w:rsid w:val="00403323"/>
    <w:rsid w:val="004035CE"/>
    <w:rsid w:val="00403ACA"/>
    <w:rsid w:val="00403CC7"/>
    <w:rsid w:val="00403DA7"/>
    <w:rsid w:val="00403EB6"/>
    <w:rsid w:val="00403F96"/>
    <w:rsid w:val="004041F7"/>
    <w:rsid w:val="004045A9"/>
    <w:rsid w:val="00404C9B"/>
    <w:rsid w:val="00404D98"/>
    <w:rsid w:val="00405889"/>
    <w:rsid w:val="00405C69"/>
    <w:rsid w:val="00405DFA"/>
    <w:rsid w:val="004060CD"/>
    <w:rsid w:val="004064DC"/>
    <w:rsid w:val="00406810"/>
    <w:rsid w:val="004068CB"/>
    <w:rsid w:val="00407143"/>
    <w:rsid w:val="0040735D"/>
    <w:rsid w:val="004074C0"/>
    <w:rsid w:val="004078F2"/>
    <w:rsid w:val="00407CEC"/>
    <w:rsid w:val="00407EF6"/>
    <w:rsid w:val="00410272"/>
    <w:rsid w:val="00410280"/>
    <w:rsid w:val="004107FA"/>
    <w:rsid w:val="0041099E"/>
    <w:rsid w:val="00410D32"/>
    <w:rsid w:val="00410D38"/>
    <w:rsid w:val="00411895"/>
    <w:rsid w:val="00412017"/>
    <w:rsid w:val="00412284"/>
    <w:rsid w:val="0041239C"/>
    <w:rsid w:val="004128F6"/>
    <w:rsid w:val="00412B44"/>
    <w:rsid w:val="004130C1"/>
    <w:rsid w:val="0041354F"/>
    <w:rsid w:val="00413925"/>
    <w:rsid w:val="00413A4E"/>
    <w:rsid w:val="00414180"/>
    <w:rsid w:val="0041447C"/>
    <w:rsid w:val="004144D8"/>
    <w:rsid w:val="00414550"/>
    <w:rsid w:val="004146D3"/>
    <w:rsid w:val="00415038"/>
    <w:rsid w:val="004152A1"/>
    <w:rsid w:val="004155BE"/>
    <w:rsid w:val="0041565A"/>
    <w:rsid w:val="00415B08"/>
    <w:rsid w:val="00415C02"/>
    <w:rsid w:val="00415D66"/>
    <w:rsid w:val="00415E84"/>
    <w:rsid w:val="00415FBC"/>
    <w:rsid w:val="00416471"/>
    <w:rsid w:val="00416601"/>
    <w:rsid w:val="0041667C"/>
    <w:rsid w:val="004168A1"/>
    <w:rsid w:val="004168CC"/>
    <w:rsid w:val="00416A31"/>
    <w:rsid w:val="0041719B"/>
    <w:rsid w:val="004174EF"/>
    <w:rsid w:val="00417967"/>
    <w:rsid w:val="00417E00"/>
    <w:rsid w:val="00417F6E"/>
    <w:rsid w:val="0042071B"/>
    <w:rsid w:val="00420C47"/>
    <w:rsid w:val="00420DF7"/>
    <w:rsid w:val="004212BB"/>
    <w:rsid w:val="00421678"/>
    <w:rsid w:val="00421869"/>
    <w:rsid w:val="0042187B"/>
    <w:rsid w:val="004218AC"/>
    <w:rsid w:val="00421E9E"/>
    <w:rsid w:val="00421FF9"/>
    <w:rsid w:val="004223EE"/>
    <w:rsid w:val="004226AE"/>
    <w:rsid w:val="004226BB"/>
    <w:rsid w:val="004226C6"/>
    <w:rsid w:val="004229EB"/>
    <w:rsid w:val="00422C9F"/>
    <w:rsid w:val="00422F8B"/>
    <w:rsid w:val="004235F5"/>
    <w:rsid w:val="004236E6"/>
    <w:rsid w:val="0042384E"/>
    <w:rsid w:val="0042386E"/>
    <w:rsid w:val="00423EF4"/>
    <w:rsid w:val="0042412A"/>
    <w:rsid w:val="00424190"/>
    <w:rsid w:val="004241E6"/>
    <w:rsid w:val="004247D1"/>
    <w:rsid w:val="00424890"/>
    <w:rsid w:val="00424E09"/>
    <w:rsid w:val="00424E57"/>
    <w:rsid w:val="0042598F"/>
    <w:rsid w:val="004259E9"/>
    <w:rsid w:val="00425B22"/>
    <w:rsid w:val="00426057"/>
    <w:rsid w:val="00426202"/>
    <w:rsid w:val="0042662C"/>
    <w:rsid w:val="0042699B"/>
    <w:rsid w:val="00426ADE"/>
    <w:rsid w:val="00426F7C"/>
    <w:rsid w:val="004270D8"/>
    <w:rsid w:val="00427506"/>
    <w:rsid w:val="0042754D"/>
    <w:rsid w:val="00427584"/>
    <w:rsid w:val="00427708"/>
    <w:rsid w:val="004277DE"/>
    <w:rsid w:val="00427B56"/>
    <w:rsid w:val="00427E1E"/>
    <w:rsid w:val="004303AA"/>
    <w:rsid w:val="00430449"/>
    <w:rsid w:val="004304A1"/>
    <w:rsid w:val="00430537"/>
    <w:rsid w:val="00430601"/>
    <w:rsid w:val="00430609"/>
    <w:rsid w:val="00430AB1"/>
    <w:rsid w:val="00430CB1"/>
    <w:rsid w:val="00430F52"/>
    <w:rsid w:val="004311B6"/>
    <w:rsid w:val="004311FB"/>
    <w:rsid w:val="00431781"/>
    <w:rsid w:val="004318CE"/>
    <w:rsid w:val="00431EF6"/>
    <w:rsid w:val="00431F62"/>
    <w:rsid w:val="00432382"/>
    <w:rsid w:val="00432407"/>
    <w:rsid w:val="00432F75"/>
    <w:rsid w:val="0043315A"/>
    <w:rsid w:val="00433178"/>
    <w:rsid w:val="004331AC"/>
    <w:rsid w:val="004331E9"/>
    <w:rsid w:val="00433244"/>
    <w:rsid w:val="00433485"/>
    <w:rsid w:val="004334F4"/>
    <w:rsid w:val="004335A1"/>
    <w:rsid w:val="00433A37"/>
    <w:rsid w:val="00433FBC"/>
    <w:rsid w:val="00434115"/>
    <w:rsid w:val="00434D76"/>
    <w:rsid w:val="004350B3"/>
    <w:rsid w:val="0043511A"/>
    <w:rsid w:val="004351DB"/>
    <w:rsid w:val="004353E8"/>
    <w:rsid w:val="00435FB7"/>
    <w:rsid w:val="00436402"/>
    <w:rsid w:val="00436438"/>
    <w:rsid w:val="00436456"/>
    <w:rsid w:val="00436A29"/>
    <w:rsid w:val="00436A39"/>
    <w:rsid w:val="00436C20"/>
    <w:rsid w:val="00436D11"/>
    <w:rsid w:val="00436F39"/>
    <w:rsid w:val="0043727F"/>
    <w:rsid w:val="004372BE"/>
    <w:rsid w:val="00437483"/>
    <w:rsid w:val="00437C09"/>
    <w:rsid w:val="00437DD1"/>
    <w:rsid w:val="00437E60"/>
    <w:rsid w:val="00437EDD"/>
    <w:rsid w:val="0044002B"/>
    <w:rsid w:val="004401F9"/>
    <w:rsid w:val="004403A6"/>
    <w:rsid w:val="00440924"/>
    <w:rsid w:val="00440AFC"/>
    <w:rsid w:val="00440B1B"/>
    <w:rsid w:val="00440B78"/>
    <w:rsid w:val="00441A6C"/>
    <w:rsid w:val="00441AB1"/>
    <w:rsid w:val="00441B61"/>
    <w:rsid w:val="00441CA0"/>
    <w:rsid w:val="00441EA7"/>
    <w:rsid w:val="004423D0"/>
    <w:rsid w:val="0044244B"/>
    <w:rsid w:val="004428C0"/>
    <w:rsid w:val="00442B46"/>
    <w:rsid w:val="00442B92"/>
    <w:rsid w:val="00442BD7"/>
    <w:rsid w:val="00442E98"/>
    <w:rsid w:val="0044308E"/>
    <w:rsid w:val="00443119"/>
    <w:rsid w:val="004437A2"/>
    <w:rsid w:val="00443993"/>
    <w:rsid w:val="00443A47"/>
    <w:rsid w:val="00444015"/>
    <w:rsid w:val="00444300"/>
    <w:rsid w:val="00444394"/>
    <w:rsid w:val="004448A8"/>
    <w:rsid w:val="00444FC7"/>
    <w:rsid w:val="0044519B"/>
    <w:rsid w:val="00445C5B"/>
    <w:rsid w:val="00445EBE"/>
    <w:rsid w:val="004462D3"/>
    <w:rsid w:val="004466F3"/>
    <w:rsid w:val="004469D3"/>
    <w:rsid w:val="00446A57"/>
    <w:rsid w:val="00446FCC"/>
    <w:rsid w:val="00447AC7"/>
    <w:rsid w:val="00447E1D"/>
    <w:rsid w:val="00447E47"/>
    <w:rsid w:val="004504F6"/>
    <w:rsid w:val="0045051A"/>
    <w:rsid w:val="00450552"/>
    <w:rsid w:val="00450753"/>
    <w:rsid w:val="0045091F"/>
    <w:rsid w:val="00450B1E"/>
    <w:rsid w:val="004512BF"/>
    <w:rsid w:val="0045294F"/>
    <w:rsid w:val="004532D0"/>
    <w:rsid w:val="0045382D"/>
    <w:rsid w:val="00453A77"/>
    <w:rsid w:val="00453D3C"/>
    <w:rsid w:val="00453F94"/>
    <w:rsid w:val="004544E2"/>
    <w:rsid w:val="00454604"/>
    <w:rsid w:val="004547E3"/>
    <w:rsid w:val="004547F6"/>
    <w:rsid w:val="0045481A"/>
    <w:rsid w:val="004548D6"/>
    <w:rsid w:val="00454C0E"/>
    <w:rsid w:val="004550B2"/>
    <w:rsid w:val="00455189"/>
    <w:rsid w:val="00455693"/>
    <w:rsid w:val="00455944"/>
    <w:rsid w:val="00455A02"/>
    <w:rsid w:val="00456112"/>
    <w:rsid w:val="004569E8"/>
    <w:rsid w:val="00456B65"/>
    <w:rsid w:val="00456F23"/>
    <w:rsid w:val="00457002"/>
    <w:rsid w:val="0045732C"/>
    <w:rsid w:val="004575A2"/>
    <w:rsid w:val="00457769"/>
    <w:rsid w:val="0045783D"/>
    <w:rsid w:val="0045798F"/>
    <w:rsid w:val="00457AFE"/>
    <w:rsid w:val="0045C25A"/>
    <w:rsid w:val="0046011E"/>
    <w:rsid w:val="004601C5"/>
    <w:rsid w:val="0046028F"/>
    <w:rsid w:val="004603B8"/>
    <w:rsid w:val="004608C9"/>
    <w:rsid w:val="00460BBA"/>
    <w:rsid w:val="00460D7C"/>
    <w:rsid w:val="00460E8E"/>
    <w:rsid w:val="004611B1"/>
    <w:rsid w:val="0046147C"/>
    <w:rsid w:val="0046171E"/>
    <w:rsid w:val="00461FA7"/>
    <w:rsid w:val="00462036"/>
    <w:rsid w:val="0046207B"/>
    <w:rsid w:val="00462ADB"/>
    <w:rsid w:val="00462C96"/>
    <w:rsid w:val="00462D5F"/>
    <w:rsid w:val="00462F58"/>
    <w:rsid w:val="004630BC"/>
    <w:rsid w:val="004632FA"/>
    <w:rsid w:val="00463935"/>
    <w:rsid w:val="00463A07"/>
    <w:rsid w:val="00463CF4"/>
    <w:rsid w:val="00464A14"/>
    <w:rsid w:val="00464D6A"/>
    <w:rsid w:val="0046516F"/>
    <w:rsid w:val="00465F97"/>
    <w:rsid w:val="00466328"/>
    <w:rsid w:val="00467256"/>
    <w:rsid w:val="00467344"/>
    <w:rsid w:val="004673C9"/>
    <w:rsid w:val="004675C8"/>
    <w:rsid w:val="004675EF"/>
    <w:rsid w:val="004700FF"/>
    <w:rsid w:val="004701FE"/>
    <w:rsid w:val="0047049B"/>
    <w:rsid w:val="00470A6D"/>
    <w:rsid w:val="00470A71"/>
    <w:rsid w:val="00470DCB"/>
    <w:rsid w:val="004711FD"/>
    <w:rsid w:val="0047132B"/>
    <w:rsid w:val="00471E90"/>
    <w:rsid w:val="0047210A"/>
    <w:rsid w:val="00472669"/>
    <w:rsid w:val="00473400"/>
    <w:rsid w:val="00473667"/>
    <w:rsid w:val="004739AD"/>
    <w:rsid w:val="00473A9B"/>
    <w:rsid w:val="00473CA0"/>
    <w:rsid w:val="00473F05"/>
    <w:rsid w:val="0047404B"/>
    <w:rsid w:val="004744CD"/>
    <w:rsid w:val="00474D18"/>
    <w:rsid w:val="00475458"/>
    <w:rsid w:val="00475691"/>
    <w:rsid w:val="00476524"/>
    <w:rsid w:val="00476B40"/>
    <w:rsid w:val="00476D61"/>
    <w:rsid w:val="00476D6D"/>
    <w:rsid w:val="00476E0A"/>
    <w:rsid w:val="00476F0A"/>
    <w:rsid w:val="00477488"/>
    <w:rsid w:val="004774D0"/>
    <w:rsid w:val="0047779A"/>
    <w:rsid w:val="00480352"/>
    <w:rsid w:val="00480773"/>
    <w:rsid w:val="00480864"/>
    <w:rsid w:val="004808E4"/>
    <w:rsid w:val="00480BE5"/>
    <w:rsid w:val="00480F98"/>
    <w:rsid w:val="00481053"/>
    <w:rsid w:val="004811A9"/>
    <w:rsid w:val="00481607"/>
    <w:rsid w:val="00481FC0"/>
    <w:rsid w:val="0048225D"/>
    <w:rsid w:val="004825AE"/>
    <w:rsid w:val="00482609"/>
    <w:rsid w:val="00482802"/>
    <w:rsid w:val="00482B83"/>
    <w:rsid w:val="00483032"/>
    <w:rsid w:val="00483370"/>
    <w:rsid w:val="00483946"/>
    <w:rsid w:val="00483C0B"/>
    <w:rsid w:val="00483CC0"/>
    <w:rsid w:val="00483DD5"/>
    <w:rsid w:val="00484106"/>
    <w:rsid w:val="0048439A"/>
    <w:rsid w:val="0048519D"/>
    <w:rsid w:val="004857DC"/>
    <w:rsid w:val="00485DF3"/>
    <w:rsid w:val="00485EAE"/>
    <w:rsid w:val="004861DC"/>
    <w:rsid w:val="00486313"/>
    <w:rsid w:val="00486512"/>
    <w:rsid w:val="00486666"/>
    <w:rsid w:val="004868AA"/>
    <w:rsid w:val="00486EA2"/>
    <w:rsid w:val="00486FBD"/>
    <w:rsid w:val="0048710A"/>
    <w:rsid w:val="00487231"/>
    <w:rsid w:val="0048734B"/>
    <w:rsid w:val="00487616"/>
    <w:rsid w:val="0048768B"/>
    <w:rsid w:val="00487715"/>
    <w:rsid w:val="00487847"/>
    <w:rsid w:val="004878F8"/>
    <w:rsid w:val="0048797A"/>
    <w:rsid w:val="00487D62"/>
    <w:rsid w:val="00487E54"/>
    <w:rsid w:val="00490308"/>
    <w:rsid w:val="00490598"/>
    <w:rsid w:val="00490ABA"/>
    <w:rsid w:val="00490FDE"/>
    <w:rsid w:val="004917A8"/>
    <w:rsid w:val="00491D15"/>
    <w:rsid w:val="00491D81"/>
    <w:rsid w:val="00491FD2"/>
    <w:rsid w:val="00492092"/>
    <w:rsid w:val="00492A4E"/>
    <w:rsid w:val="00492EA6"/>
    <w:rsid w:val="004932AD"/>
    <w:rsid w:val="0049346B"/>
    <w:rsid w:val="00493954"/>
    <w:rsid w:val="00493B5A"/>
    <w:rsid w:val="00493BD0"/>
    <w:rsid w:val="00493D72"/>
    <w:rsid w:val="00493F58"/>
    <w:rsid w:val="00494091"/>
    <w:rsid w:val="00494438"/>
    <w:rsid w:val="0049458A"/>
    <w:rsid w:val="004946C5"/>
    <w:rsid w:val="00494CF8"/>
    <w:rsid w:val="00495002"/>
    <w:rsid w:val="0049529B"/>
    <w:rsid w:val="004963BD"/>
    <w:rsid w:val="00496819"/>
    <w:rsid w:val="00496BF9"/>
    <w:rsid w:val="00496DDB"/>
    <w:rsid w:val="00496FC3"/>
    <w:rsid w:val="0049733C"/>
    <w:rsid w:val="004977E0"/>
    <w:rsid w:val="00497DF4"/>
    <w:rsid w:val="004A01B1"/>
    <w:rsid w:val="004A0509"/>
    <w:rsid w:val="004A0FBB"/>
    <w:rsid w:val="004A10DD"/>
    <w:rsid w:val="004A117A"/>
    <w:rsid w:val="004A12AB"/>
    <w:rsid w:val="004A15DC"/>
    <w:rsid w:val="004A19F5"/>
    <w:rsid w:val="004A1B96"/>
    <w:rsid w:val="004A1C23"/>
    <w:rsid w:val="004A22F8"/>
    <w:rsid w:val="004A2556"/>
    <w:rsid w:val="004A2AAB"/>
    <w:rsid w:val="004A2BA7"/>
    <w:rsid w:val="004A382C"/>
    <w:rsid w:val="004A39D8"/>
    <w:rsid w:val="004A3C4D"/>
    <w:rsid w:val="004A3C70"/>
    <w:rsid w:val="004A44F7"/>
    <w:rsid w:val="004A4830"/>
    <w:rsid w:val="004A48AE"/>
    <w:rsid w:val="004A4904"/>
    <w:rsid w:val="004A4B4C"/>
    <w:rsid w:val="004A5230"/>
    <w:rsid w:val="004A532F"/>
    <w:rsid w:val="004A55C8"/>
    <w:rsid w:val="004A5606"/>
    <w:rsid w:val="004A5F2C"/>
    <w:rsid w:val="004A60E1"/>
    <w:rsid w:val="004A6468"/>
    <w:rsid w:val="004A686D"/>
    <w:rsid w:val="004A6AE9"/>
    <w:rsid w:val="004A6CB9"/>
    <w:rsid w:val="004A6CC4"/>
    <w:rsid w:val="004A6D4E"/>
    <w:rsid w:val="004A798C"/>
    <w:rsid w:val="004A7A54"/>
    <w:rsid w:val="004A7B0A"/>
    <w:rsid w:val="004A7B0B"/>
    <w:rsid w:val="004A7BA6"/>
    <w:rsid w:val="004B08C3"/>
    <w:rsid w:val="004B0A71"/>
    <w:rsid w:val="004B0ECA"/>
    <w:rsid w:val="004B15D8"/>
    <w:rsid w:val="004B1752"/>
    <w:rsid w:val="004B1A85"/>
    <w:rsid w:val="004B1ABA"/>
    <w:rsid w:val="004B1B5A"/>
    <w:rsid w:val="004B2404"/>
    <w:rsid w:val="004B2A4C"/>
    <w:rsid w:val="004B382E"/>
    <w:rsid w:val="004B3BAC"/>
    <w:rsid w:val="004B3E5D"/>
    <w:rsid w:val="004B44EE"/>
    <w:rsid w:val="004B452C"/>
    <w:rsid w:val="004B45EF"/>
    <w:rsid w:val="004B4869"/>
    <w:rsid w:val="004B4C7D"/>
    <w:rsid w:val="004B4D30"/>
    <w:rsid w:val="004B506F"/>
    <w:rsid w:val="004B5458"/>
    <w:rsid w:val="004B54F2"/>
    <w:rsid w:val="004B5619"/>
    <w:rsid w:val="004B568C"/>
    <w:rsid w:val="004B57DA"/>
    <w:rsid w:val="004B5965"/>
    <w:rsid w:val="004B5A0B"/>
    <w:rsid w:val="004B5A4F"/>
    <w:rsid w:val="004B5E25"/>
    <w:rsid w:val="004B5EF7"/>
    <w:rsid w:val="004B609F"/>
    <w:rsid w:val="004B63B0"/>
    <w:rsid w:val="004B6683"/>
    <w:rsid w:val="004B68CB"/>
    <w:rsid w:val="004B6CC0"/>
    <w:rsid w:val="004B70C8"/>
    <w:rsid w:val="004B742B"/>
    <w:rsid w:val="004B779F"/>
    <w:rsid w:val="004B7CB5"/>
    <w:rsid w:val="004B7EB9"/>
    <w:rsid w:val="004B7EDC"/>
    <w:rsid w:val="004C029B"/>
    <w:rsid w:val="004C079C"/>
    <w:rsid w:val="004C07C5"/>
    <w:rsid w:val="004C0A32"/>
    <w:rsid w:val="004C0A6D"/>
    <w:rsid w:val="004C0D38"/>
    <w:rsid w:val="004C0E61"/>
    <w:rsid w:val="004C1090"/>
    <w:rsid w:val="004C1136"/>
    <w:rsid w:val="004C12C8"/>
    <w:rsid w:val="004C139E"/>
    <w:rsid w:val="004C1537"/>
    <w:rsid w:val="004C16B6"/>
    <w:rsid w:val="004C16ED"/>
    <w:rsid w:val="004C1948"/>
    <w:rsid w:val="004C19B1"/>
    <w:rsid w:val="004C1A7E"/>
    <w:rsid w:val="004C23ED"/>
    <w:rsid w:val="004C2491"/>
    <w:rsid w:val="004C2AFD"/>
    <w:rsid w:val="004C32F3"/>
    <w:rsid w:val="004C35C6"/>
    <w:rsid w:val="004C37EE"/>
    <w:rsid w:val="004C3C3F"/>
    <w:rsid w:val="004C4154"/>
    <w:rsid w:val="004C41FD"/>
    <w:rsid w:val="004C4984"/>
    <w:rsid w:val="004C4FC9"/>
    <w:rsid w:val="004C547C"/>
    <w:rsid w:val="004C5F26"/>
    <w:rsid w:val="004C5FE6"/>
    <w:rsid w:val="004C6297"/>
    <w:rsid w:val="004C6DE5"/>
    <w:rsid w:val="004C7450"/>
    <w:rsid w:val="004C77CE"/>
    <w:rsid w:val="004C7BC4"/>
    <w:rsid w:val="004C7ED2"/>
    <w:rsid w:val="004D02E1"/>
    <w:rsid w:val="004D09E1"/>
    <w:rsid w:val="004D0C9F"/>
    <w:rsid w:val="004D0CE0"/>
    <w:rsid w:val="004D0EEA"/>
    <w:rsid w:val="004D0F1C"/>
    <w:rsid w:val="004D17EE"/>
    <w:rsid w:val="004D21D0"/>
    <w:rsid w:val="004D2540"/>
    <w:rsid w:val="004D2A38"/>
    <w:rsid w:val="004D2C03"/>
    <w:rsid w:val="004D2CF9"/>
    <w:rsid w:val="004D2D21"/>
    <w:rsid w:val="004D3240"/>
    <w:rsid w:val="004D381A"/>
    <w:rsid w:val="004D3BC9"/>
    <w:rsid w:val="004D3F6C"/>
    <w:rsid w:val="004D42ED"/>
    <w:rsid w:val="004D43F2"/>
    <w:rsid w:val="004D465D"/>
    <w:rsid w:val="004D4966"/>
    <w:rsid w:val="004D4BF4"/>
    <w:rsid w:val="004D4CC6"/>
    <w:rsid w:val="004D5335"/>
    <w:rsid w:val="004D5393"/>
    <w:rsid w:val="004D552F"/>
    <w:rsid w:val="004D60CE"/>
    <w:rsid w:val="004D6B0A"/>
    <w:rsid w:val="004D6BA2"/>
    <w:rsid w:val="004D6F74"/>
    <w:rsid w:val="004D6FB1"/>
    <w:rsid w:val="004E02E6"/>
    <w:rsid w:val="004E0340"/>
    <w:rsid w:val="004E0649"/>
    <w:rsid w:val="004E06E8"/>
    <w:rsid w:val="004E0AAF"/>
    <w:rsid w:val="004E0C8A"/>
    <w:rsid w:val="004E1079"/>
    <w:rsid w:val="004E1101"/>
    <w:rsid w:val="004E111E"/>
    <w:rsid w:val="004E172D"/>
    <w:rsid w:val="004E1F33"/>
    <w:rsid w:val="004E2046"/>
    <w:rsid w:val="004E20AA"/>
    <w:rsid w:val="004E2554"/>
    <w:rsid w:val="004E285D"/>
    <w:rsid w:val="004E2B6B"/>
    <w:rsid w:val="004E2CE1"/>
    <w:rsid w:val="004E2D7C"/>
    <w:rsid w:val="004E3083"/>
    <w:rsid w:val="004E30BF"/>
    <w:rsid w:val="004E337B"/>
    <w:rsid w:val="004E36C6"/>
    <w:rsid w:val="004E37BD"/>
    <w:rsid w:val="004E38CD"/>
    <w:rsid w:val="004E39DF"/>
    <w:rsid w:val="004E3A27"/>
    <w:rsid w:val="004E3CB3"/>
    <w:rsid w:val="004E3DD5"/>
    <w:rsid w:val="004E3ECA"/>
    <w:rsid w:val="004E3FD8"/>
    <w:rsid w:val="004E41DD"/>
    <w:rsid w:val="004E4264"/>
    <w:rsid w:val="004E44BE"/>
    <w:rsid w:val="004E4511"/>
    <w:rsid w:val="004E4C41"/>
    <w:rsid w:val="004E5317"/>
    <w:rsid w:val="004E5320"/>
    <w:rsid w:val="004E571D"/>
    <w:rsid w:val="004E59D2"/>
    <w:rsid w:val="004E607C"/>
    <w:rsid w:val="004E6586"/>
    <w:rsid w:val="004E6722"/>
    <w:rsid w:val="004E689D"/>
    <w:rsid w:val="004E6FCB"/>
    <w:rsid w:val="004E7054"/>
    <w:rsid w:val="004E71C5"/>
    <w:rsid w:val="004E789C"/>
    <w:rsid w:val="004E796F"/>
    <w:rsid w:val="004E7991"/>
    <w:rsid w:val="004E7FBE"/>
    <w:rsid w:val="004F000A"/>
    <w:rsid w:val="004F03E8"/>
    <w:rsid w:val="004F1882"/>
    <w:rsid w:val="004F192D"/>
    <w:rsid w:val="004F20C6"/>
    <w:rsid w:val="004F21B5"/>
    <w:rsid w:val="004F27A3"/>
    <w:rsid w:val="004F29FC"/>
    <w:rsid w:val="004F2C5B"/>
    <w:rsid w:val="004F2C8B"/>
    <w:rsid w:val="004F2DC8"/>
    <w:rsid w:val="004F2E1F"/>
    <w:rsid w:val="004F2E71"/>
    <w:rsid w:val="004F3293"/>
    <w:rsid w:val="004F391F"/>
    <w:rsid w:val="004F394D"/>
    <w:rsid w:val="004F4138"/>
    <w:rsid w:val="004F4231"/>
    <w:rsid w:val="004F45C4"/>
    <w:rsid w:val="004F4755"/>
    <w:rsid w:val="004F4857"/>
    <w:rsid w:val="004F4DC0"/>
    <w:rsid w:val="004F50DB"/>
    <w:rsid w:val="004F5128"/>
    <w:rsid w:val="004F52AA"/>
    <w:rsid w:val="004F57A1"/>
    <w:rsid w:val="004F5A2F"/>
    <w:rsid w:val="004F5B99"/>
    <w:rsid w:val="004F6221"/>
    <w:rsid w:val="004F627B"/>
    <w:rsid w:val="004F62B3"/>
    <w:rsid w:val="004F6A69"/>
    <w:rsid w:val="004F6DFE"/>
    <w:rsid w:val="004F7173"/>
    <w:rsid w:val="004F7285"/>
    <w:rsid w:val="004F765E"/>
    <w:rsid w:val="004F7CCC"/>
    <w:rsid w:val="0050018F"/>
    <w:rsid w:val="0050029A"/>
    <w:rsid w:val="00500442"/>
    <w:rsid w:val="00500598"/>
    <w:rsid w:val="0050079B"/>
    <w:rsid w:val="005007DD"/>
    <w:rsid w:val="00500D0D"/>
    <w:rsid w:val="00500EDB"/>
    <w:rsid w:val="00500F30"/>
    <w:rsid w:val="00500F6A"/>
    <w:rsid w:val="00501203"/>
    <w:rsid w:val="0050124B"/>
    <w:rsid w:val="005019BC"/>
    <w:rsid w:val="00501BE1"/>
    <w:rsid w:val="00501CF1"/>
    <w:rsid w:val="0050215C"/>
    <w:rsid w:val="005027CA"/>
    <w:rsid w:val="00502933"/>
    <w:rsid w:val="00502EA6"/>
    <w:rsid w:val="0050341E"/>
    <w:rsid w:val="0050351D"/>
    <w:rsid w:val="005038E6"/>
    <w:rsid w:val="00503B3B"/>
    <w:rsid w:val="00503B4F"/>
    <w:rsid w:val="00503E98"/>
    <w:rsid w:val="00504035"/>
    <w:rsid w:val="00504267"/>
    <w:rsid w:val="00504B4C"/>
    <w:rsid w:val="00504BC7"/>
    <w:rsid w:val="00504E13"/>
    <w:rsid w:val="00504F28"/>
    <w:rsid w:val="00505967"/>
    <w:rsid w:val="00505AAE"/>
    <w:rsid w:val="00505ABD"/>
    <w:rsid w:val="00505DD8"/>
    <w:rsid w:val="00506904"/>
    <w:rsid w:val="00506A3B"/>
    <w:rsid w:val="00506C16"/>
    <w:rsid w:val="00507383"/>
    <w:rsid w:val="00507487"/>
    <w:rsid w:val="00507D59"/>
    <w:rsid w:val="00507E5D"/>
    <w:rsid w:val="00507F40"/>
    <w:rsid w:val="00507F90"/>
    <w:rsid w:val="00507FC4"/>
    <w:rsid w:val="00510785"/>
    <w:rsid w:val="005107A0"/>
    <w:rsid w:val="00510CA0"/>
    <w:rsid w:val="00510DE2"/>
    <w:rsid w:val="00510F8C"/>
    <w:rsid w:val="00511875"/>
    <w:rsid w:val="00512579"/>
    <w:rsid w:val="00512BB0"/>
    <w:rsid w:val="00512D90"/>
    <w:rsid w:val="00512E8E"/>
    <w:rsid w:val="00512F1F"/>
    <w:rsid w:val="005130D6"/>
    <w:rsid w:val="00513246"/>
    <w:rsid w:val="005139E6"/>
    <w:rsid w:val="005144BB"/>
    <w:rsid w:val="00514BEC"/>
    <w:rsid w:val="005153C6"/>
    <w:rsid w:val="00515E88"/>
    <w:rsid w:val="005167DC"/>
    <w:rsid w:val="005167DE"/>
    <w:rsid w:val="00516A09"/>
    <w:rsid w:val="00516B1D"/>
    <w:rsid w:val="00516C72"/>
    <w:rsid w:val="00516EAC"/>
    <w:rsid w:val="00516EC7"/>
    <w:rsid w:val="005170A9"/>
    <w:rsid w:val="00517165"/>
    <w:rsid w:val="0051754F"/>
    <w:rsid w:val="00517685"/>
    <w:rsid w:val="0051786A"/>
    <w:rsid w:val="005179B0"/>
    <w:rsid w:val="00517BF1"/>
    <w:rsid w:val="00517C87"/>
    <w:rsid w:val="00517D26"/>
    <w:rsid w:val="00517DDE"/>
    <w:rsid w:val="0052029C"/>
    <w:rsid w:val="00520400"/>
    <w:rsid w:val="0052046A"/>
    <w:rsid w:val="00520629"/>
    <w:rsid w:val="005206A4"/>
    <w:rsid w:val="0052079E"/>
    <w:rsid w:val="00520836"/>
    <w:rsid w:val="00520A7B"/>
    <w:rsid w:val="0052116F"/>
    <w:rsid w:val="005212E4"/>
    <w:rsid w:val="005216A4"/>
    <w:rsid w:val="00521D77"/>
    <w:rsid w:val="005227C1"/>
    <w:rsid w:val="00522A0E"/>
    <w:rsid w:val="00522A9A"/>
    <w:rsid w:val="00522DEA"/>
    <w:rsid w:val="00523290"/>
    <w:rsid w:val="00523579"/>
    <w:rsid w:val="005236D9"/>
    <w:rsid w:val="00524040"/>
    <w:rsid w:val="005241DD"/>
    <w:rsid w:val="005244C6"/>
    <w:rsid w:val="005245B7"/>
    <w:rsid w:val="0052465A"/>
    <w:rsid w:val="00524720"/>
    <w:rsid w:val="005248F8"/>
    <w:rsid w:val="005253B3"/>
    <w:rsid w:val="00525883"/>
    <w:rsid w:val="00525DB0"/>
    <w:rsid w:val="00525F66"/>
    <w:rsid w:val="0052622F"/>
    <w:rsid w:val="0052645D"/>
    <w:rsid w:val="00526F42"/>
    <w:rsid w:val="00527EE2"/>
    <w:rsid w:val="00530148"/>
    <w:rsid w:val="00530245"/>
    <w:rsid w:val="005303A3"/>
    <w:rsid w:val="0053044E"/>
    <w:rsid w:val="005305AB"/>
    <w:rsid w:val="00530F04"/>
    <w:rsid w:val="00530F73"/>
    <w:rsid w:val="005313C0"/>
    <w:rsid w:val="0053165F"/>
    <w:rsid w:val="00531776"/>
    <w:rsid w:val="005319E8"/>
    <w:rsid w:val="00531C43"/>
    <w:rsid w:val="00531E04"/>
    <w:rsid w:val="00531E79"/>
    <w:rsid w:val="00532308"/>
    <w:rsid w:val="0053230B"/>
    <w:rsid w:val="00532433"/>
    <w:rsid w:val="005325BA"/>
    <w:rsid w:val="0053286D"/>
    <w:rsid w:val="005328B9"/>
    <w:rsid w:val="00532B6C"/>
    <w:rsid w:val="00532F4B"/>
    <w:rsid w:val="005333D7"/>
    <w:rsid w:val="005335B3"/>
    <w:rsid w:val="005337AC"/>
    <w:rsid w:val="00533B0E"/>
    <w:rsid w:val="00533BEE"/>
    <w:rsid w:val="00533D41"/>
    <w:rsid w:val="00533D50"/>
    <w:rsid w:val="00533D62"/>
    <w:rsid w:val="00533E44"/>
    <w:rsid w:val="005342E2"/>
    <w:rsid w:val="0053476B"/>
    <w:rsid w:val="00534921"/>
    <w:rsid w:val="005353FC"/>
    <w:rsid w:val="0053550E"/>
    <w:rsid w:val="0053598F"/>
    <w:rsid w:val="005359F8"/>
    <w:rsid w:val="00535BBC"/>
    <w:rsid w:val="00535C84"/>
    <w:rsid w:val="005361A5"/>
    <w:rsid w:val="0053627D"/>
    <w:rsid w:val="00536325"/>
    <w:rsid w:val="005367CA"/>
    <w:rsid w:val="005368CB"/>
    <w:rsid w:val="00536DAB"/>
    <w:rsid w:val="00537043"/>
    <w:rsid w:val="005374CE"/>
    <w:rsid w:val="00537828"/>
    <w:rsid w:val="005379DB"/>
    <w:rsid w:val="00537B69"/>
    <w:rsid w:val="005406D1"/>
    <w:rsid w:val="00540752"/>
    <w:rsid w:val="005408CD"/>
    <w:rsid w:val="00540DF6"/>
    <w:rsid w:val="005416EE"/>
    <w:rsid w:val="00541D4A"/>
    <w:rsid w:val="00542456"/>
    <w:rsid w:val="0054264E"/>
    <w:rsid w:val="005428F6"/>
    <w:rsid w:val="00542914"/>
    <w:rsid w:val="00542BA1"/>
    <w:rsid w:val="00542D5F"/>
    <w:rsid w:val="00542F87"/>
    <w:rsid w:val="005431B7"/>
    <w:rsid w:val="0054337B"/>
    <w:rsid w:val="005435B4"/>
    <w:rsid w:val="0054380C"/>
    <w:rsid w:val="0054385E"/>
    <w:rsid w:val="005443EF"/>
    <w:rsid w:val="00544619"/>
    <w:rsid w:val="00544712"/>
    <w:rsid w:val="00544B49"/>
    <w:rsid w:val="00544CBE"/>
    <w:rsid w:val="0054570D"/>
    <w:rsid w:val="00545ACA"/>
    <w:rsid w:val="00545C11"/>
    <w:rsid w:val="0054605C"/>
    <w:rsid w:val="0054609A"/>
    <w:rsid w:val="00546AB0"/>
    <w:rsid w:val="00546F7C"/>
    <w:rsid w:val="0054756C"/>
    <w:rsid w:val="005478FC"/>
    <w:rsid w:val="0054C776"/>
    <w:rsid w:val="00550094"/>
    <w:rsid w:val="00550234"/>
    <w:rsid w:val="005508C2"/>
    <w:rsid w:val="00550BC2"/>
    <w:rsid w:val="00550F54"/>
    <w:rsid w:val="00551111"/>
    <w:rsid w:val="005519F8"/>
    <w:rsid w:val="00551CD0"/>
    <w:rsid w:val="0055216E"/>
    <w:rsid w:val="0055246F"/>
    <w:rsid w:val="00552727"/>
    <w:rsid w:val="00552A33"/>
    <w:rsid w:val="00552A95"/>
    <w:rsid w:val="00552F39"/>
    <w:rsid w:val="005531C8"/>
    <w:rsid w:val="005532BC"/>
    <w:rsid w:val="00553E16"/>
    <w:rsid w:val="00553E7C"/>
    <w:rsid w:val="005544FC"/>
    <w:rsid w:val="00554720"/>
    <w:rsid w:val="0055474C"/>
    <w:rsid w:val="00554FBD"/>
    <w:rsid w:val="00555325"/>
    <w:rsid w:val="00555565"/>
    <w:rsid w:val="0055570C"/>
    <w:rsid w:val="005557E3"/>
    <w:rsid w:val="00555B7E"/>
    <w:rsid w:val="00555C92"/>
    <w:rsid w:val="00556957"/>
    <w:rsid w:val="00556C38"/>
    <w:rsid w:val="00556EA8"/>
    <w:rsid w:val="00557237"/>
    <w:rsid w:val="00557322"/>
    <w:rsid w:val="005579E7"/>
    <w:rsid w:val="00557DF2"/>
    <w:rsid w:val="00557FD0"/>
    <w:rsid w:val="0056016B"/>
    <w:rsid w:val="005602EA"/>
    <w:rsid w:val="00560434"/>
    <w:rsid w:val="00560F04"/>
    <w:rsid w:val="005614CB"/>
    <w:rsid w:val="00561C70"/>
    <w:rsid w:val="00561D46"/>
    <w:rsid w:val="0056207F"/>
    <w:rsid w:val="005621A4"/>
    <w:rsid w:val="00562615"/>
    <w:rsid w:val="005626DD"/>
    <w:rsid w:val="00562B99"/>
    <w:rsid w:val="005636F6"/>
    <w:rsid w:val="00563830"/>
    <w:rsid w:val="005640DC"/>
    <w:rsid w:val="0056419F"/>
    <w:rsid w:val="00564A79"/>
    <w:rsid w:val="00565046"/>
    <w:rsid w:val="005650BD"/>
    <w:rsid w:val="005651AE"/>
    <w:rsid w:val="0056561F"/>
    <w:rsid w:val="00565FDC"/>
    <w:rsid w:val="00565FFC"/>
    <w:rsid w:val="005664CE"/>
    <w:rsid w:val="005668F1"/>
    <w:rsid w:val="00566921"/>
    <w:rsid w:val="00566AE1"/>
    <w:rsid w:val="005672E5"/>
    <w:rsid w:val="005673E4"/>
    <w:rsid w:val="005677DF"/>
    <w:rsid w:val="005679DC"/>
    <w:rsid w:val="00567C79"/>
    <w:rsid w:val="0057011E"/>
    <w:rsid w:val="00570293"/>
    <w:rsid w:val="005708CC"/>
    <w:rsid w:val="00570C61"/>
    <w:rsid w:val="00570E36"/>
    <w:rsid w:val="00571181"/>
    <w:rsid w:val="0057125A"/>
    <w:rsid w:val="0057126C"/>
    <w:rsid w:val="005715C2"/>
    <w:rsid w:val="0057172B"/>
    <w:rsid w:val="005717A5"/>
    <w:rsid w:val="00571806"/>
    <w:rsid w:val="0057185E"/>
    <w:rsid w:val="0057234C"/>
    <w:rsid w:val="0057302A"/>
    <w:rsid w:val="005730C2"/>
    <w:rsid w:val="00573317"/>
    <w:rsid w:val="0057336E"/>
    <w:rsid w:val="00573554"/>
    <w:rsid w:val="0057369D"/>
    <w:rsid w:val="00574791"/>
    <w:rsid w:val="005749B2"/>
    <w:rsid w:val="00574A0D"/>
    <w:rsid w:val="00574C56"/>
    <w:rsid w:val="00574CC5"/>
    <w:rsid w:val="00574EFC"/>
    <w:rsid w:val="0057526F"/>
    <w:rsid w:val="005759D3"/>
    <w:rsid w:val="0057607B"/>
    <w:rsid w:val="00576721"/>
    <w:rsid w:val="0057677E"/>
    <w:rsid w:val="0057688A"/>
    <w:rsid w:val="005769CE"/>
    <w:rsid w:val="00576B5A"/>
    <w:rsid w:val="00577458"/>
    <w:rsid w:val="00577600"/>
    <w:rsid w:val="00577A81"/>
    <w:rsid w:val="00577FAC"/>
    <w:rsid w:val="0058101D"/>
    <w:rsid w:val="00581105"/>
    <w:rsid w:val="0058115C"/>
    <w:rsid w:val="005813F9"/>
    <w:rsid w:val="00581506"/>
    <w:rsid w:val="00581724"/>
    <w:rsid w:val="0058199A"/>
    <w:rsid w:val="005819E2"/>
    <w:rsid w:val="00581B58"/>
    <w:rsid w:val="00581C91"/>
    <w:rsid w:val="00581E55"/>
    <w:rsid w:val="0058232F"/>
    <w:rsid w:val="00582B28"/>
    <w:rsid w:val="0058301B"/>
    <w:rsid w:val="005833A7"/>
    <w:rsid w:val="00583923"/>
    <w:rsid w:val="00583B32"/>
    <w:rsid w:val="00584B0B"/>
    <w:rsid w:val="00584EA1"/>
    <w:rsid w:val="00584FC5"/>
    <w:rsid w:val="00585047"/>
    <w:rsid w:val="00585964"/>
    <w:rsid w:val="00585AFA"/>
    <w:rsid w:val="00585CA2"/>
    <w:rsid w:val="00586931"/>
    <w:rsid w:val="00587467"/>
    <w:rsid w:val="005874CA"/>
    <w:rsid w:val="005879B8"/>
    <w:rsid w:val="00587AC0"/>
    <w:rsid w:val="00590292"/>
    <w:rsid w:val="00590594"/>
    <w:rsid w:val="00590B76"/>
    <w:rsid w:val="00590F5B"/>
    <w:rsid w:val="0059146D"/>
    <w:rsid w:val="005914A8"/>
    <w:rsid w:val="0059179D"/>
    <w:rsid w:val="005918DA"/>
    <w:rsid w:val="00591A57"/>
    <w:rsid w:val="005924E7"/>
    <w:rsid w:val="0059263A"/>
    <w:rsid w:val="00592778"/>
    <w:rsid w:val="005927E1"/>
    <w:rsid w:val="005929F1"/>
    <w:rsid w:val="00593206"/>
    <w:rsid w:val="0059354C"/>
    <w:rsid w:val="00593A0B"/>
    <w:rsid w:val="0059413A"/>
    <w:rsid w:val="005943E3"/>
    <w:rsid w:val="005945AB"/>
    <w:rsid w:val="0059477F"/>
    <w:rsid w:val="005948F0"/>
    <w:rsid w:val="00594917"/>
    <w:rsid w:val="00594AC6"/>
    <w:rsid w:val="00594E8E"/>
    <w:rsid w:val="0059525D"/>
    <w:rsid w:val="0059538A"/>
    <w:rsid w:val="005956D6"/>
    <w:rsid w:val="0059578D"/>
    <w:rsid w:val="00595C87"/>
    <w:rsid w:val="00595FF9"/>
    <w:rsid w:val="00596785"/>
    <w:rsid w:val="00596FFE"/>
    <w:rsid w:val="005970FD"/>
    <w:rsid w:val="005978A9"/>
    <w:rsid w:val="00597E3B"/>
    <w:rsid w:val="00597F94"/>
    <w:rsid w:val="00597FA1"/>
    <w:rsid w:val="005A0418"/>
    <w:rsid w:val="005A0688"/>
    <w:rsid w:val="005A06D1"/>
    <w:rsid w:val="005A081D"/>
    <w:rsid w:val="005A0879"/>
    <w:rsid w:val="005A08F6"/>
    <w:rsid w:val="005A0E08"/>
    <w:rsid w:val="005A10FA"/>
    <w:rsid w:val="005A115C"/>
    <w:rsid w:val="005A13E2"/>
    <w:rsid w:val="005A161E"/>
    <w:rsid w:val="005A181E"/>
    <w:rsid w:val="005A18B6"/>
    <w:rsid w:val="005A19A8"/>
    <w:rsid w:val="005A1E0E"/>
    <w:rsid w:val="005A21A8"/>
    <w:rsid w:val="005A2499"/>
    <w:rsid w:val="005A2A79"/>
    <w:rsid w:val="005A2BA7"/>
    <w:rsid w:val="005A2C75"/>
    <w:rsid w:val="005A3340"/>
    <w:rsid w:val="005A379D"/>
    <w:rsid w:val="005A3986"/>
    <w:rsid w:val="005A4E50"/>
    <w:rsid w:val="005A5B1D"/>
    <w:rsid w:val="005A5CA5"/>
    <w:rsid w:val="005A61E3"/>
    <w:rsid w:val="005A652E"/>
    <w:rsid w:val="005A6874"/>
    <w:rsid w:val="005A694C"/>
    <w:rsid w:val="005A69DC"/>
    <w:rsid w:val="005A6A36"/>
    <w:rsid w:val="005A6B12"/>
    <w:rsid w:val="005A729A"/>
    <w:rsid w:val="005A73B3"/>
    <w:rsid w:val="005A74B5"/>
    <w:rsid w:val="005A77C3"/>
    <w:rsid w:val="005A78AC"/>
    <w:rsid w:val="005A7977"/>
    <w:rsid w:val="005A7BC6"/>
    <w:rsid w:val="005A7E64"/>
    <w:rsid w:val="005AB887"/>
    <w:rsid w:val="005B0226"/>
    <w:rsid w:val="005B0455"/>
    <w:rsid w:val="005B04F6"/>
    <w:rsid w:val="005B0856"/>
    <w:rsid w:val="005B0FDA"/>
    <w:rsid w:val="005B102F"/>
    <w:rsid w:val="005B179B"/>
    <w:rsid w:val="005B1A15"/>
    <w:rsid w:val="005B2067"/>
    <w:rsid w:val="005B22B3"/>
    <w:rsid w:val="005B254F"/>
    <w:rsid w:val="005B2AB6"/>
    <w:rsid w:val="005B2C51"/>
    <w:rsid w:val="005B2EA1"/>
    <w:rsid w:val="005B2FEC"/>
    <w:rsid w:val="005B313B"/>
    <w:rsid w:val="005B35BB"/>
    <w:rsid w:val="005B376D"/>
    <w:rsid w:val="005B3FD5"/>
    <w:rsid w:val="005B42F1"/>
    <w:rsid w:val="005B4899"/>
    <w:rsid w:val="005B4C6F"/>
    <w:rsid w:val="005B4CE3"/>
    <w:rsid w:val="005B53FC"/>
    <w:rsid w:val="005B5A7C"/>
    <w:rsid w:val="005B651E"/>
    <w:rsid w:val="005B6667"/>
    <w:rsid w:val="005B6BDD"/>
    <w:rsid w:val="005B6C61"/>
    <w:rsid w:val="005B6CE2"/>
    <w:rsid w:val="005B72F5"/>
    <w:rsid w:val="005B7CA1"/>
    <w:rsid w:val="005C09DD"/>
    <w:rsid w:val="005C0AFC"/>
    <w:rsid w:val="005C0B93"/>
    <w:rsid w:val="005C0CCB"/>
    <w:rsid w:val="005C165D"/>
    <w:rsid w:val="005C1A1A"/>
    <w:rsid w:val="005C1F34"/>
    <w:rsid w:val="005C208F"/>
    <w:rsid w:val="005C30C9"/>
    <w:rsid w:val="005C3148"/>
    <w:rsid w:val="005C321A"/>
    <w:rsid w:val="005C3442"/>
    <w:rsid w:val="005C344E"/>
    <w:rsid w:val="005C376C"/>
    <w:rsid w:val="005C3FA3"/>
    <w:rsid w:val="005C41E6"/>
    <w:rsid w:val="005C43AD"/>
    <w:rsid w:val="005C45CB"/>
    <w:rsid w:val="005C4F98"/>
    <w:rsid w:val="005C58DB"/>
    <w:rsid w:val="005C5A27"/>
    <w:rsid w:val="005C5B19"/>
    <w:rsid w:val="005C5BD7"/>
    <w:rsid w:val="005C5C98"/>
    <w:rsid w:val="005C5F50"/>
    <w:rsid w:val="005C6422"/>
    <w:rsid w:val="005C64C9"/>
    <w:rsid w:val="005C64CC"/>
    <w:rsid w:val="005C651E"/>
    <w:rsid w:val="005C66BA"/>
    <w:rsid w:val="005C6F8A"/>
    <w:rsid w:val="005C717B"/>
    <w:rsid w:val="005C7269"/>
    <w:rsid w:val="005C7520"/>
    <w:rsid w:val="005C77A9"/>
    <w:rsid w:val="005C7E0B"/>
    <w:rsid w:val="005C7F14"/>
    <w:rsid w:val="005D0884"/>
    <w:rsid w:val="005D0BD7"/>
    <w:rsid w:val="005D0DCA"/>
    <w:rsid w:val="005D0EC0"/>
    <w:rsid w:val="005D0F62"/>
    <w:rsid w:val="005D1439"/>
    <w:rsid w:val="005D1B81"/>
    <w:rsid w:val="005D1D00"/>
    <w:rsid w:val="005D1F46"/>
    <w:rsid w:val="005D1F87"/>
    <w:rsid w:val="005D2375"/>
    <w:rsid w:val="005D2503"/>
    <w:rsid w:val="005D2C1C"/>
    <w:rsid w:val="005D30C6"/>
    <w:rsid w:val="005D31C9"/>
    <w:rsid w:val="005D31F2"/>
    <w:rsid w:val="005D3742"/>
    <w:rsid w:val="005D3885"/>
    <w:rsid w:val="005D390B"/>
    <w:rsid w:val="005D3C33"/>
    <w:rsid w:val="005D4391"/>
    <w:rsid w:val="005D4856"/>
    <w:rsid w:val="005D4AF4"/>
    <w:rsid w:val="005D4EE4"/>
    <w:rsid w:val="005D4F23"/>
    <w:rsid w:val="005D5225"/>
    <w:rsid w:val="005D5C33"/>
    <w:rsid w:val="005D5ED9"/>
    <w:rsid w:val="005D6557"/>
    <w:rsid w:val="005D66F5"/>
    <w:rsid w:val="005D7032"/>
    <w:rsid w:val="005D716C"/>
    <w:rsid w:val="005D7456"/>
    <w:rsid w:val="005D7550"/>
    <w:rsid w:val="005D7567"/>
    <w:rsid w:val="005D760A"/>
    <w:rsid w:val="005E0290"/>
    <w:rsid w:val="005E09BB"/>
    <w:rsid w:val="005E136A"/>
    <w:rsid w:val="005E154E"/>
    <w:rsid w:val="005E17B1"/>
    <w:rsid w:val="005E25EE"/>
    <w:rsid w:val="005E28EF"/>
    <w:rsid w:val="005E2CB0"/>
    <w:rsid w:val="005E2D15"/>
    <w:rsid w:val="005E2F08"/>
    <w:rsid w:val="005E3A48"/>
    <w:rsid w:val="005E3ECD"/>
    <w:rsid w:val="005E451A"/>
    <w:rsid w:val="005E47B5"/>
    <w:rsid w:val="005E49D6"/>
    <w:rsid w:val="005E4C58"/>
    <w:rsid w:val="005E5479"/>
    <w:rsid w:val="005E5880"/>
    <w:rsid w:val="005E6592"/>
    <w:rsid w:val="005E69DF"/>
    <w:rsid w:val="005E70EF"/>
    <w:rsid w:val="005E725A"/>
    <w:rsid w:val="005E7324"/>
    <w:rsid w:val="005E764F"/>
    <w:rsid w:val="005E77F2"/>
    <w:rsid w:val="005E7AB2"/>
    <w:rsid w:val="005E7C85"/>
    <w:rsid w:val="005E7D0D"/>
    <w:rsid w:val="005E7EAD"/>
    <w:rsid w:val="005E7F1A"/>
    <w:rsid w:val="005F0220"/>
    <w:rsid w:val="005F093D"/>
    <w:rsid w:val="005F0A0B"/>
    <w:rsid w:val="005F0DF0"/>
    <w:rsid w:val="005F107C"/>
    <w:rsid w:val="005F1148"/>
    <w:rsid w:val="005F1471"/>
    <w:rsid w:val="005F15BB"/>
    <w:rsid w:val="005F1663"/>
    <w:rsid w:val="005F172B"/>
    <w:rsid w:val="005F19A3"/>
    <w:rsid w:val="005F1F16"/>
    <w:rsid w:val="005F229F"/>
    <w:rsid w:val="005F23C8"/>
    <w:rsid w:val="005F244D"/>
    <w:rsid w:val="005F26B6"/>
    <w:rsid w:val="005F2A13"/>
    <w:rsid w:val="005F2DB6"/>
    <w:rsid w:val="005F313A"/>
    <w:rsid w:val="005F321C"/>
    <w:rsid w:val="005F3254"/>
    <w:rsid w:val="005F32A4"/>
    <w:rsid w:val="005F3532"/>
    <w:rsid w:val="005F35F4"/>
    <w:rsid w:val="005F3766"/>
    <w:rsid w:val="005F3A12"/>
    <w:rsid w:val="005F3BCF"/>
    <w:rsid w:val="005F3D50"/>
    <w:rsid w:val="005F4073"/>
    <w:rsid w:val="005F40C6"/>
    <w:rsid w:val="005F4579"/>
    <w:rsid w:val="005F488C"/>
    <w:rsid w:val="005F48ED"/>
    <w:rsid w:val="005F4F39"/>
    <w:rsid w:val="005F535D"/>
    <w:rsid w:val="005F54B2"/>
    <w:rsid w:val="005F588D"/>
    <w:rsid w:val="005F5B5E"/>
    <w:rsid w:val="005F5C58"/>
    <w:rsid w:val="005F5D94"/>
    <w:rsid w:val="005F60BE"/>
    <w:rsid w:val="005F612F"/>
    <w:rsid w:val="005F63AE"/>
    <w:rsid w:val="005F63EB"/>
    <w:rsid w:val="005F64C0"/>
    <w:rsid w:val="005F6D6B"/>
    <w:rsid w:val="005F6E2D"/>
    <w:rsid w:val="005F6EF6"/>
    <w:rsid w:val="005F728B"/>
    <w:rsid w:val="005F76FB"/>
    <w:rsid w:val="005F7E1C"/>
    <w:rsid w:val="00600192"/>
    <w:rsid w:val="0060041D"/>
    <w:rsid w:val="006007B1"/>
    <w:rsid w:val="0060147F"/>
    <w:rsid w:val="006017D1"/>
    <w:rsid w:val="00601CE2"/>
    <w:rsid w:val="00601E06"/>
    <w:rsid w:val="00601E48"/>
    <w:rsid w:val="006020CC"/>
    <w:rsid w:val="00602621"/>
    <w:rsid w:val="00602E66"/>
    <w:rsid w:val="00603228"/>
    <w:rsid w:val="006032DB"/>
    <w:rsid w:val="0060356E"/>
    <w:rsid w:val="00603664"/>
    <w:rsid w:val="00603818"/>
    <w:rsid w:val="00604DD9"/>
    <w:rsid w:val="00604E91"/>
    <w:rsid w:val="0060507F"/>
    <w:rsid w:val="0060528B"/>
    <w:rsid w:val="0060613D"/>
    <w:rsid w:val="006061A6"/>
    <w:rsid w:val="006061E8"/>
    <w:rsid w:val="006062C5"/>
    <w:rsid w:val="00606A65"/>
    <w:rsid w:val="00606CB3"/>
    <w:rsid w:val="00606E81"/>
    <w:rsid w:val="00607D5D"/>
    <w:rsid w:val="00609785"/>
    <w:rsid w:val="0061057C"/>
    <w:rsid w:val="00610662"/>
    <w:rsid w:val="00610828"/>
    <w:rsid w:val="00610D4F"/>
    <w:rsid w:val="00610D5A"/>
    <w:rsid w:val="006111E0"/>
    <w:rsid w:val="0061146D"/>
    <w:rsid w:val="006114D5"/>
    <w:rsid w:val="00611579"/>
    <w:rsid w:val="0061179A"/>
    <w:rsid w:val="00611901"/>
    <w:rsid w:val="0061196F"/>
    <w:rsid w:val="00611A81"/>
    <w:rsid w:val="00611B7D"/>
    <w:rsid w:val="00611E6A"/>
    <w:rsid w:val="0061219A"/>
    <w:rsid w:val="006122D1"/>
    <w:rsid w:val="00612545"/>
    <w:rsid w:val="00612EE5"/>
    <w:rsid w:val="00613136"/>
    <w:rsid w:val="00613142"/>
    <w:rsid w:val="0061317C"/>
    <w:rsid w:val="0061328C"/>
    <w:rsid w:val="00613412"/>
    <w:rsid w:val="006138A4"/>
    <w:rsid w:val="006139F6"/>
    <w:rsid w:val="00613FC8"/>
    <w:rsid w:val="0061423E"/>
    <w:rsid w:val="006146F7"/>
    <w:rsid w:val="00614935"/>
    <w:rsid w:val="00614B20"/>
    <w:rsid w:val="00614EF9"/>
    <w:rsid w:val="00615040"/>
    <w:rsid w:val="006159B7"/>
    <w:rsid w:val="00615A99"/>
    <w:rsid w:val="00615D7F"/>
    <w:rsid w:val="00615FA7"/>
    <w:rsid w:val="0061626D"/>
    <w:rsid w:val="006175CD"/>
    <w:rsid w:val="006176BE"/>
    <w:rsid w:val="00617D5E"/>
    <w:rsid w:val="00617E21"/>
    <w:rsid w:val="0061ADBF"/>
    <w:rsid w:val="00620543"/>
    <w:rsid w:val="0062056D"/>
    <w:rsid w:val="006205B7"/>
    <w:rsid w:val="006206C7"/>
    <w:rsid w:val="00620A07"/>
    <w:rsid w:val="00620E54"/>
    <w:rsid w:val="0062112B"/>
    <w:rsid w:val="006212AD"/>
    <w:rsid w:val="006219C4"/>
    <w:rsid w:val="00621B2B"/>
    <w:rsid w:val="00621DFD"/>
    <w:rsid w:val="00621ECB"/>
    <w:rsid w:val="00622118"/>
    <w:rsid w:val="0062220B"/>
    <w:rsid w:val="0062225E"/>
    <w:rsid w:val="00622511"/>
    <w:rsid w:val="006228CD"/>
    <w:rsid w:val="00622A87"/>
    <w:rsid w:val="00622C44"/>
    <w:rsid w:val="00622C81"/>
    <w:rsid w:val="00622C8A"/>
    <w:rsid w:val="00622E9C"/>
    <w:rsid w:val="006236E3"/>
    <w:rsid w:val="0062387A"/>
    <w:rsid w:val="00623E23"/>
    <w:rsid w:val="006246D1"/>
    <w:rsid w:val="00624911"/>
    <w:rsid w:val="0062492F"/>
    <w:rsid w:val="0062506C"/>
    <w:rsid w:val="006255C1"/>
    <w:rsid w:val="0062560D"/>
    <w:rsid w:val="00625AF6"/>
    <w:rsid w:val="0062625B"/>
    <w:rsid w:val="0062684F"/>
    <w:rsid w:val="006269EB"/>
    <w:rsid w:val="00626B9C"/>
    <w:rsid w:val="00626FEC"/>
    <w:rsid w:val="006276F0"/>
    <w:rsid w:val="00627811"/>
    <w:rsid w:val="00627BBB"/>
    <w:rsid w:val="00627C30"/>
    <w:rsid w:val="0063055F"/>
    <w:rsid w:val="00630618"/>
    <w:rsid w:val="00630680"/>
    <w:rsid w:val="00630965"/>
    <w:rsid w:val="00630D4F"/>
    <w:rsid w:val="006312C2"/>
    <w:rsid w:val="00631361"/>
    <w:rsid w:val="00631E93"/>
    <w:rsid w:val="0063226C"/>
    <w:rsid w:val="0063238F"/>
    <w:rsid w:val="0063257F"/>
    <w:rsid w:val="00632623"/>
    <w:rsid w:val="00632A02"/>
    <w:rsid w:val="00632B79"/>
    <w:rsid w:val="00632CAE"/>
    <w:rsid w:val="00633015"/>
    <w:rsid w:val="006334CF"/>
    <w:rsid w:val="0063367F"/>
    <w:rsid w:val="006341CB"/>
    <w:rsid w:val="006346B1"/>
    <w:rsid w:val="00634C11"/>
    <w:rsid w:val="0063558E"/>
    <w:rsid w:val="00635CC6"/>
    <w:rsid w:val="00635D16"/>
    <w:rsid w:val="00635D99"/>
    <w:rsid w:val="006363DD"/>
    <w:rsid w:val="00636780"/>
    <w:rsid w:val="00637069"/>
    <w:rsid w:val="0063753A"/>
    <w:rsid w:val="00637D9E"/>
    <w:rsid w:val="00637F14"/>
    <w:rsid w:val="00640358"/>
    <w:rsid w:val="00640672"/>
    <w:rsid w:val="00640AD4"/>
    <w:rsid w:val="00640BC5"/>
    <w:rsid w:val="0064144A"/>
    <w:rsid w:val="0064168C"/>
    <w:rsid w:val="00641703"/>
    <w:rsid w:val="00641706"/>
    <w:rsid w:val="00641947"/>
    <w:rsid w:val="00641CE6"/>
    <w:rsid w:val="006421C5"/>
    <w:rsid w:val="006421FF"/>
    <w:rsid w:val="0064246C"/>
    <w:rsid w:val="0064261F"/>
    <w:rsid w:val="00642650"/>
    <w:rsid w:val="0064295E"/>
    <w:rsid w:val="00642B37"/>
    <w:rsid w:val="006430E6"/>
    <w:rsid w:val="00643462"/>
    <w:rsid w:val="00643630"/>
    <w:rsid w:val="006436FF"/>
    <w:rsid w:val="006437C3"/>
    <w:rsid w:val="00643A76"/>
    <w:rsid w:val="00644670"/>
    <w:rsid w:val="00644696"/>
    <w:rsid w:val="0064493E"/>
    <w:rsid w:val="00644DE8"/>
    <w:rsid w:val="0064510E"/>
    <w:rsid w:val="00645BE2"/>
    <w:rsid w:val="00645CFA"/>
    <w:rsid w:val="006470FC"/>
    <w:rsid w:val="00647469"/>
    <w:rsid w:val="006478E3"/>
    <w:rsid w:val="0064798A"/>
    <w:rsid w:val="00647A50"/>
    <w:rsid w:val="00650004"/>
    <w:rsid w:val="00650095"/>
    <w:rsid w:val="006502AF"/>
    <w:rsid w:val="006503BE"/>
    <w:rsid w:val="0065041A"/>
    <w:rsid w:val="00650C57"/>
    <w:rsid w:val="00650F3C"/>
    <w:rsid w:val="0065120F"/>
    <w:rsid w:val="0065129D"/>
    <w:rsid w:val="006512B6"/>
    <w:rsid w:val="00651A1B"/>
    <w:rsid w:val="00651DC0"/>
    <w:rsid w:val="0065255E"/>
    <w:rsid w:val="006525F6"/>
    <w:rsid w:val="0065297A"/>
    <w:rsid w:val="00652A91"/>
    <w:rsid w:val="00652E2B"/>
    <w:rsid w:val="00653120"/>
    <w:rsid w:val="00653397"/>
    <w:rsid w:val="006538B8"/>
    <w:rsid w:val="006542F4"/>
    <w:rsid w:val="0065494A"/>
    <w:rsid w:val="006549EF"/>
    <w:rsid w:val="00654A08"/>
    <w:rsid w:val="00654AFF"/>
    <w:rsid w:val="00654C9B"/>
    <w:rsid w:val="00654FB7"/>
    <w:rsid w:val="00655207"/>
    <w:rsid w:val="00655BCE"/>
    <w:rsid w:val="00656027"/>
    <w:rsid w:val="00656149"/>
    <w:rsid w:val="00656F37"/>
    <w:rsid w:val="00657A2E"/>
    <w:rsid w:val="00657C93"/>
    <w:rsid w:val="006605A4"/>
    <w:rsid w:val="00660A4F"/>
    <w:rsid w:val="00660B63"/>
    <w:rsid w:val="00660C4A"/>
    <w:rsid w:val="00660F17"/>
    <w:rsid w:val="0066120C"/>
    <w:rsid w:val="006627A0"/>
    <w:rsid w:val="0066338C"/>
    <w:rsid w:val="006635DD"/>
    <w:rsid w:val="0066367F"/>
    <w:rsid w:val="006636CD"/>
    <w:rsid w:val="0066382C"/>
    <w:rsid w:val="00663E77"/>
    <w:rsid w:val="006644D7"/>
    <w:rsid w:val="00664D0F"/>
    <w:rsid w:val="00664D3D"/>
    <w:rsid w:val="00664D87"/>
    <w:rsid w:val="0066529A"/>
    <w:rsid w:val="00665747"/>
    <w:rsid w:val="00666315"/>
    <w:rsid w:val="00667003"/>
    <w:rsid w:val="006673FF"/>
    <w:rsid w:val="00667479"/>
    <w:rsid w:val="006674D9"/>
    <w:rsid w:val="00667D78"/>
    <w:rsid w:val="0067072D"/>
    <w:rsid w:val="00670DDE"/>
    <w:rsid w:val="0067122E"/>
    <w:rsid w:val="00671294"/>
    <w:rsid w:val="006714F7"/>
    <w:rsid w:val="00671659"/>
    <w:rsid w:val="00671A30"/>
    <w:rsid w:val="00671C03"/>
    <w:rsid w:val="00671F30"/>
    <w:rsid w:val="006722F6"/>
    <w:rsid w:val="0067269F"/>
    <w:rsid w:val="00672E06"/>
    <w:rsid w:val="00672EA9"/>
    <w:rsid w:val="006730B3"/>
    <w:rsid w:val="00673527"/>
    <w:rsid w:val="00673707"/>
    <w:rsid w:val="00673AA6"/>
    <w:rsid w:val="00673CFA"/>
    <w:rsid w:val="0067436F"/>
    <w:rsid w:val="00674805"/>
    <w:rsid w:val="0067486A"/>
    <w:rsid w:val="00674916"/>
    <w:rsid w:val="006749E2"/>
    <w:rsid w:val="00674B7C"/>
    <w:rsid w:val="00674BDF"/>
    <w:rsid w:val="00674E0D"/>
    <w:rsid w:val="00674F90"/>
    <w:rsid w:val="006750C0"/>
    <w:rsid w:val="006757CD"/>
    <w:rsid w:val="00675AEA"/>
    <w:rsid w:val="00675EB1"/>
    <w:rsid w:val="0067638B"/>
    <w:rsid w:val="0067648B"/>
    <w:rsid w:val="0067674F"/>
    <w:rsid w:val="00676905"/>
    <w:rsid w:val="006769EA"/>
    <w:rsid w:val="00676DBF"/>
    <w:rsid w:val="00677346"/>
    <w:rsid w:val="00677651"/>
    <w:rsid w:val="00677CDC"/>
    <w:rsid w:val="00677CF0"/>
    <w:rsid w:val="00677EBB"/>
    <w:rsid w:val="00677F92"/>
    <w:rsid w:val="0068095E"/>
    <w:rsid w:val="00681CBA"/>
    <w:rsid w:val="00681D34"/>
    <w:rsid w:val="006820CC"/>
    <w:rsid w:val="006820F8"/>
    <w:rsid w:val="0068257E"/>
    <w:rsid w:val="00682719"/>
    <w:rsid w:val="00682892"/>
    <w:rsid w:val="00682B09"/>
    <w:rsid w:val="0068304F"/>
    <w:rsid w:val="00683408"/>
    <w:rsid w:val="00683453"/>
    <w:rsid w:val="006839E0"/>
    <w:rsid w:val="00683C68"/>
    <w:rsid w:val="00683CA1"/>
    <w:rsid w:val="00683E69"/>
    <w:rsid w:val="00684195"/>
    <w:rsid w:val="0068467B"/>
    <w:rsid w:val="00684C77"/>
    <w:rsid w:val="00684DE1"/>
    <w:rsid w:val="006854DA"/>
    <w:rsid w:val="00685786"/>
    <w:rsid w:val="00685B33"/>
    <w:rsid w:val="006864D8"/>
    <w:rsid w:val="00686911"/>
    <w:rsid w:val="006869D6"/>
    <w:rsid w:val="00686D3A"/>
    <w:rsid w:val="00686DC3"/>
    <w:rsid w:val="00687404"/>
    <w:rsid w:val="0068788A"/>
    <w:rsid w:val="00687A5C"/>
    <w:rsid w:val="00687F62"/>
    <w:rsid w:val="00687F93"/>
    <w:rsid w:val="0069013E"/>
    <w:rsid w:val="006901AB"/>
    <w:rsid w:val="0069027E"/>
    <w:rsid w:val="00690321"/>
    <w:rsid w:val="00690338"/>
    <w:rsid w:val="0069045D"/>
    <w:rsid w:val="0069073B"/>
    <w:rsid w:val="00690941"/>
    <w:rsid w:val="00691421"/>
    <w:rsid w:val="00692022"/>
    <w:rsid w:val="00693365"/>
    <w:rsid w:val="006934D4"/>
    <w:rsid w:val="0069368E"/>
    <w:rsid w:val="00693E0B"/>
    <w:rsid w:val="00693E1D"/>
    <w:rsid w:val="00693F81"/>
    <w:rsid w:val="006941D0"/>
    <w:rsid w:val="006943F8"/>
    <w:rsid w:val="00695518"/>
    <w:rsid w:val="0069568D"/>
    <w:rsid w:val="006959E1"/>
    <w:rsid w:val="00696708"/>
    <w:rsid w:val="00696B3A"/>
    <w:rsid w:val="00696D5A"/>
    <w:rsid w:val="0069714F"/>
    <w:rsid w:val="0069732E"/>
    <w:rsid w:val="00697D49"/>
    <w:rsid w:val="006A0308"/>
    <w:rsid w:val="006A0FFA"/>
    <w:rsid w:val="006A1235"/>
    <w:rsid w:val="006A1287"/>
    <w:rsid w:val="006A1351"/>
    <w:rsid w:val="006A1495"/>
    <w:rsid w:val="006A15EB"/>
    <w:rsid w:val="006A167A"/>
    <w:rsid w:val="006A181B"/>
    <w:rsid w:val="006A1897"/>
    <w:rsid w:val="006A1900"/>
    <w:rsid w:val="006A1A76"/>
    <w:rsid w:val="006A1CD1"/>
    <w:rsid w:val="006A1FD3"/>
    <w:rsid w:val="006A284A"/>
    <w:rsid w:val="006A31C2"/>
    <w:rsid w:val="006A34D0"/>
    <w:rsid w:val="006A4B20"/>
    <w:rsid w:val="006A4BE0"/>
    <w:rsid w:val="006A4C39"/>
    <w:rsid w:val="006A4CE7"/>
    <w:rsid w:val="006A508E"/>
    <w:rsid w:val="006A5290"/>
    <w:rsid w:val="006A531B"/>
    <w:rsid w:val="006A56C7"/>
    <w:rsid w:val="006A5854"/>
    <w:rsid w:val="006A5B71"/>
    <w:rsid w:val="006A5CB1"/>
    <w:rsid w:val="006A5E5F"/>
    <w:rsid w:val="006A6C6D"/>
    <w:rsid w:val="006A6E66"/>
    <w:rsid w:val="006A6E6A"/>
    <w:rsid w:val="006A6F05"/>
    <w:rsid w:val="006A7275"/>
    <w:rsid w:val="006A7308"/>
    <w:rsid w:val="006A7A4E"/>
    <w:rsid w:val="006A7D03"/>
    <w:rsid w:val="006B0529"/>
    <w:rsid w:val="006B0730"/>
    <w:rsid w:val="006B08B2"/>
    <w:rsid w:val="006B093A"/>
    <w:rsid w:val="006B0B8F"/>
    <w:rsid w:val="006B0C4F"/>
    <w:rsid w:val="006B0D92"/>
    <w:rsid w:val="006B148B"/>
    <w:rsid w:val="006B174D"/>
    <w:rsid w:val="006B1A4C"/>
    <w:rsid w:val="006B1E8A"/>
    <w:rsid w:val="006B1F89"/>
    <w:rsid w:val="006B21BD"/>
    <w:rsid w:val="006B236B"/>
    <w:rsid w:val="006B269E"/>
    <w:rsid w:val="006B2E20"/>
    <w:rsid w:val="006B32F0"/>
    <w:rsid w:val="006B3680"/>
    <w:rsid w:val="006B36A4"/>
    <w:rsid w:val="006B39B9"/>
    <w:rsid w:val="006B3C1C"/>
    <w:rsid w:val="006B3D87"/>
    <w:rsid w:val="006B403F"/>
    <w:rsid w:val="006B40F3"/>
    <w:rsid w:val="006B4AF7"/>
    <w:rsid w:val="006B4B89"/>
    <w:rsid w:val="006B4E76"/>
    <w:rsid w:val="006B501E"/>
    <w:rsid w:val="006B5091"/>
    <w:rsid w:val="006B5279"/>
    <w:rsid w:val="006B530F"/>
    <w:rsid w:val="006B5672"/>
    <w:rsid w:val="006B57B2"/>
    <w:rsid w:val="006B5975"/>
    <w:rsid w:val="006B5AFA"/>
    <w:rsid w:val="006B5EFA"/>
    <w:rsid w:val="006B6108"/>
    <w:rsid w:val="006B61B8"/>
    <w:rsid w:val="006B645F"/>
    <w:rsid w:val="006B6D53"/>
    <w:rsid w:val="006B6E92"/>
    <w:rsid w:val="006B6F05"/>
    <w:rsid w:val="006B7626"/>
    <w:rsid w:val="006B765F"/>
    <w:rsid w:val="006B786B"/>
    <w:rsid w:val="006B7DCC"/>
    <w:rsid w:val="006B7E78"/>
    <w:rsid w:val="006C08AF"/>
    <w:rsid w:val="006C0C72"/>
    <w:rsid w:val="006C1267"/>
    <w:rsid w:val="006C1DA9"/>
    <w:rsid w:val="006C20F9"/>
    <w:rsid w:val="006C22D8"/>
    <w:rsid w:val="006C24C9"/>
    <w:rsid w:val="006C2641"/>
    <w:rsid w:val="006C272F"/>
    <w:rsid w:val="006C29B4"/>
    <w:rsid w:val="006C29D7"/>
    <w:rsid w:val="006C30ED"/>
    <w:rsid w:val="006C338B"/>
    <w:rsid w:val="006C3A29"/>
    <w:rsid w:val="006C3B87"/>
    <w:rsid w:val="006C4034"/>
    <w:rsid w:val="006C4748"/>
    <w:rsid w:val="006C4896"/>
    <w:rsid w:val="006C4C7E"/>
    <w:rsid w:val="006C4E7A"/>
    <w:rsid w:val="006C4EE4"/>
    <w:rsid w:val="006C4F09"/>
    <w:rsid w:val="006C5003"/>
    <w:rsid w:val="006C58A7"/>
    <w:rsid w:val="006C5BE3"/>
    <w:rsid w:val="006C5DBA"/>
    <w:rsid w:val="006C600C"/>
    <w:rsid w:val="006C6229"/>
    <w:rsid w:val="006C6691"/>
    <w:rsid w:val="006C6997"/>
    <w:rsid w:val="006C6B68"/>
    <w:rsid w:val="006C7A5E"/>
    <w:rsid w:val="006C7AEC"/>
    <w:rsid w:val="006C7D7C"/>
    <w:rsid w:val="006C7DA8"/>
    <w:rsid w:val="006CA05A"/>
    <w:rsid w:val="006D02FF"/>
    <w:rsid w:val="006D074E"/>
    <w:rsid w:val="006D0BE8"/>
    <w:rsid w:val="006D0FFF"/>
    <w:rsid w:val="006D1085"/>
    <w:rsid w:val="006D1404"/>
    <w:rsid w:val="006D1954"/>
    <w:rsid w:val="006D1CA6"/>
    <w:rsid w:val="006D1D1F"/>
    <w:rsid w:val="006D1E70"/>
    <w:rsid w:val="006D2528"/>
    <w:rsid w:val="006D26E1"/>
    <w:rsid w:val="006D2B16"/>
    <w:rsid w:val="006D2E01"/>
    <w:rsid w:val="006D2ED7"/>
    <w:rsid w:val="006D3538"/>
    <w:rsid w:val="006D3ADB"/>
    <w:rsid w:val="006D3C52"/>
    <w:rsid w:val="006D407A"/>
    <w:rsid w:val="006D4AA5"/>
    <w:rsid w:val="006D5146"/>
    <w:rsid w:val="006D5721"/>
    <w:rsid w:val="006D5799"/>
    <w:rsid w:val="006D5DDB"/>
    <w:rsid w:val="006D6646"/>
    <w:rsid w:val="006D6718"/>
    <w:rsid w:val="006D6758"/>
    <w:rsid w:val="006D6874"/>
    <w:rsid w:val="006D6A1D"/>
    <w:rsid w:val="006D6F03"/>
    <w:rsid w:val="006D76D6"/>
    <w:rsid w:val="006D7A58"/>
    <w:rsid w:val="006D7D1A"/>
    <w:rsid w:val="006E00C4"/>
    <w:rsid w:val="006E032B"/>
    <w:rsid w:val="006E038E"/>
    <w:rsid w:val="006E075B"/>
    <w:rsid w:val="006E08AB"/>
    <w:rsid w:val="006E08BD"/>
    <w:rsid w:val="006E0D1E"/>
    <w:rsid w:val="006E0DB9"/>
    <w:rsid w:val="006E0DCF"/>
    <w:rsid w:val="006E0DFD"/>
    <w:rsid w:val="006E0E16"/>
    <w:rsid w:val="006E1245"/>
    <w:rsid w:val="006E15DD"/>
    <w:rsid w:val="006E16E2"/>
    <w:rsid w:val="006E19E1"/>
    <w:rsid w:val="006E1B12"/>
    <w:rsid w:val="006E1CA7"/>
    <w:rsid w:val="006E2288"/>
    <w:rsid w:val="006E2656"/>
    <w:rsid w:val="006E2695"/>
    <w:rsid w:val="006E2725"/>
    <w:rsid w:val="006E282F"/>
    <w:rsid w:val="006E2A97"/>
    <w:rsid w:val="006E338B"/>
    <w:rsid w:val="006E3710"/>
    <w:rsid w:val="006E3A8B"/>
    <w:rsid w:val="006E3C7F"/>
    <w:rsid w:val="006E4287"/>
    <w:rsid w:val="006E452E"/>
    <w:rsid w:val="006E480C"/>
    <w:rsid w:val="006E510B"/>
    <w:rsid w:val="006E510F"/>
    <w:rsid w:val="006E57F1"/>
    <w:rsid w:val="006E5CC8"/>
    <w:rsid w:val="006E5D72"/>
    <w:rsid w:val="006E6079"/>
    <w:rsid w:val="006E63F6"/>
    <w:rsid w:val="006E6660"/>
    <w:rsid w:val="006E6788"/>
    <w:rsid w:val="006E6BE6"/>
    <w:rsid w:val="006E6D7D"/>
    <w:rsid w:val="006E6FB7"/>
    <w:rsid w:val="006E6FD7"/>
    <w:rsid w:val="006E74FD"/>
    <w:rsid w:val="006E7C45"/>
    <w:rsid w:val="006E7DD3"/>
    <w:rsid w:val="006E7FDD"/>
    <w:rsid w:val="006E9EE9"/>
    <w:rsid w:val="006F0271"/>
    <w:rsid w:val="006F14A8"/>
    <w:rsid w:val="006F15C9"/>
    <w:rsid w:val="006F1A21"/>
    <w:rsid w:val="006F1E79"/>
    <w:rsid w:val="006F20B5"/>
    <w:rsid w:val="006F253A"/>
    <w:rsid w:val="006F2932"/>
    <w:rsid w:val="006F2A5F"/>
    <w:rsid w:val="006F2BBC"/>
    <w:rsid w:val="006F2EE0"/>
    <w:rsid w:val="006F3484"/>
    <w:rsid w:val="006F39FD"/>
    <w:rsid w:val="006F3D13"/>
    <w:rsid w:val="006F43EC"/>
    <w:rsid w:val="006F4421"/>
    <w:rsid w:val="006F4898"/>
    <w:rsid w:val="006F491D"/>
    <w:rsid w:val="006F5302"/>
    <w:rsid w:val="006F5553"/>
    <w:rsid w:val="006F5658"/>
    <w:rsid w:val="006F5CBE"/>
    <w:rsid w:val="006F5DB1"/>
    <w:rsid w:val="006F6211"/>
    <w:rsid w:val="006F629F"/>
    <w:rsid w:val="006F6E76"/>
    <w:rsid w:val="006F6FEB"/>
    <w:rsid w:val="006F72A3"/>
    <w:rsid w:val="006F79BE"/>
    <w:rsid w:val="006F7A2A"/>
    <w:rsid w:val="00700283"/>
    <w:rsid w:val="00700461"/>
    <w:rsid w:val="007004B4"/>
    <w:rsid w:val="007005A0"/>
    <w:rsid w:val="0070084F"/>
    <w:rsid w:val="007009D0"/>
    <w:rsid w:val="0070114B"/>
    <w:rsid w:val="00701602"/>
    <w:rsid w:val="00701746"/>
    <w:rsid w:val="00701930"/>
    <w:rsid w:val="00701BCE"/>
    <w:rsid w:val="00702277"/>
    <w:rsid w:val="0070249B"/>
    <w:rsid w:val="0070272F"/>
    <w:rsid w:val="00702CBF"/>
    <w:rsid w:val="00702D90"/>
    <w:rsid w:val="00703714"/>
    <w:rsid w:val="007039BF"/>
    <w:rsid w:val="007049DB"/>
    <w:rsid w:val="007049FE"/>
    <w:rsid w:val="007053F4"/>
    <w:rsid w:val="0070576F"/>
    <w:rsid w:val="0070596F"/>
    <w:rsid w:val="00705C91"/>
    <w:rsid w:val="00705DD5"/>
    <w:rsid w:val="007060B4"/>
    <w:rsid w:val="00706221"/>
    <w:rsid w:val="007062BA"/>
    <w:rsid w:val="007062FB"/>
    <w:rsid w:val="00706641"/>
    <w:rsid w:val="007066CA"/>
    <w:rsid w:val="0070682B"/>
    <w:rsid w:val="00706870"/>
    <w:rsid w:val="007068CB"/>
    <w:rsid w:val="00706A6E"/>
    <w:rsid w:val="00706C2F"/>
    <w:rsid w:val="00706F4A"/>
    <w:rsid w:val="007071B9"/>
    <w:rsid w:val="0070751C"/>
    <w:rsid w:val="0070789C"/>
    <w:rsid w:val="00707A57"/>
    <w:rsid w:val="00707D11"/>
    <w:rsid w:val="007104F1"/>
    <w:rsid w:val="0071053F"/>
    <w:rsid w:val="007108D4"/>
    <w:rsid w:val="00710EAE"/>
    <w:rsid w:val="007111DB"/>
    <w:rsid w:val="00711854"/>
    <w:rsid w:val="007119B3"/>
    <w:rsid w:val="00711DCC"/>
    <w:rsid w:val="00712816"/>
    <w:rsid w:val="00712BE2"/>
    <w:rsid w:val="00712BE5"/>
    <w:rsid w:val="00713072"/>
    <w:rsid w:val="0071342F"/>
    <w:rsid w:val="007137A7"/>
    <w:rsid w:val="007137EE"/>
    <w:rsid w:val="00713E05"/>
    <w:rsid w:val="0071426A"/>
    <w:rsid w:val="0071447B"/>
    <w:rsid w:val="007146F5"/>
    <w:rsid w:val="00714FDE"/>
    <w:rsid w:val="00715110"/>
    <w:rsid w:val="007157E1"/>
    <w:rsid w:val="00715E05"/>
    <w:rsid w:val="0071638E"/>
    <w:rsid w:val="0071655E"/>
    <w:rsid w:val="00716920"/>
    <w:rsid w:val="00716B8B"/>
    <w:rsid w:val="00716FE4"/>
    <w:rsid w:val="00717454"/>
    <w:rsid w:val="007178E8"/>
    <w:rsid w:val="00717D5C"/>
    <w:rsid w:val="0072095E"/>
    <w:rsid w:val="007211E2"/>
    <w:rsid w:val="007218E5"/>
    <w:rsid w:val="00721C6F"/>
    <w:rsid w:val="00721DFB"/>
    <w:rsid w:val="00721F97"/>
    <w:rsid w:val="00722166"/>
    <w:rsid w:val="007221F7"/>
    <w:rsid w:val="00722410"/>
    <w:rsid w:val="00722861"/>
    <w:rsid w:val="007229E6"/>
    <w:rsid w:val="00722E06"/>
    <w:rsid w:val="0072303C"/>
    <w:rsid w:val="00723065"/>
    <w:rsid w:val="007235C4"/>
    <w:rsid w:val="00723655"/>
    <w:rsid w:val="0072432A"/>
    <w:rsid w:val="0072483D"/>
    <w:rsid w:val="007248DA"/>
    <w:rsid w:val="0072496B"/>
    <w:rsid w:val="00724C7E"/>
    <w:rsid w:val="00724CDC"/>
    <w:rsid w:val="00724D34"/>
    <w:rsid w:val="00724E4F"/>
    <w:rsid w:val="00725113"/>
    <w:rsid w:val="0072560E"/>
    <w:rsid w:val="007257B4"/>
    <w:rsid w:val="00725AD1"/>
    <w:rsid w:val="00725CE0"/>
    <w:rsid w:val="00725DD0"/>
    <w:rsid w:val="00725DF2"/>
    <w:rsid w:val="00725FDB"/>
    <w:rsid w:val="007260D8"/>
    <w:rsid w:val="007260DE"/>
    <w:rsid w:val="00726292"/>
    <w:rsid w:val="007265E7"/>
    <w:rsid w:val="00726635"/>
    <w:rsid w:val="007268B1"/>
    <w:rsid w:val="007269AA"/>
    <w:rsid w:val="00726D56"/>
    <w:rsid w:val="00726F42"/>
    <w:rsid w:val="00727047"/>
    <w:rsid w:val="007271D3"/>
    <w:rsid w:val="00727219"/>
    <w:rsid w:val="007273A9"/>
    <w:rsid w:val="007273CC"/>
    <w:rsid w:val="00727632"/>
    <w:rsid w:val="00727987"/>
    <w:rsid w:val="00727CBF"/>
    <w:rsid w:val="00727EE8"/>
    <w:rsid w:val="0073001C"/>
    <w:rsid w:val="0073054D"/>
    <w:rsid w:val="00731435"/>
    <w:rsid w:val="00731477"/>
    <w:rsid w:val="00731C3E"/>
    <w:rsid w:val="0073246A"/>
    <w:rsid w:val="007327BB"/>
    <w:rsid w:val="00732CB6"/>
    <w:rsid w:val="00733A2B"/>
    <w:rsid w:val="00733D14"/>
    <w:rsid w:val="00733DB3"/>
    <w:rsid w:val="0073405A"/>
    <w:rsid w:val="00734615"/>
    <w:rsid w:val="0073464B"/>
    <w:rsid w:val="00734B6B"/>
    <w:rsid w:val="00734BB2"/>
    <w:rsid w:val="00734F01"/>
    <w:rsid w:val="00735125"/>
    <w:rsid w:val="007353CE"/>
    <w:rsid w:val="00735580"/>
    <w:rsid w:val="007355D8"/>
    <w:rsid w:val="00735619"/>
    <w:rsid w:val="0073586E"/>
    <w:rsid w:val="007359FB"/>
    <w:rsid w:val="00735E9C"/>
    <w:rsid w:val="00735EAA"/>
    <w:rsid w:val="00735F57"/>
    <w:rsid w:val="0073610A"/>
    <w:rsid w:val="00736300"/>
    <w:rsid w:val="00736338"/>
    <w:rsid w:val="00736407"/>
    <w:rsid w:val="00736AFA"/>
    <w:rsid w:val="00736CD4"/>
    <w:rsid w:val="00737265"/>
    <w:rsid w:val="00737658"/>
    <w:rsid w:val="007376F0"/>
    <w:rsid w:val="007377D1"/>
    <w:rsid w:val="0073780D"/>
    <w:rsid w:val="00737D8B"/>
    <w:rsid w:val="00737F81"/>
    <w:rsid w:val="00737FE9"/>
    <w:rsid w:val="00740118"/>
    <w:rsid w:val="00740485"/>
    <w:rsid w:val="0074074A"/>
    <w:rsid w:val="00740775"/>
    <w:rsid w:val="00740987"/>
    <w:rsid w:val="00741359"/>
    <w:rsid w:val="0074177D"/>
    <w:rsid w:val="00741DBB"/>
    <w:rsid w:val="00742181"/>
    <w:rsid w:val="00742373"/>
    <w:rsid w:val="00742419"/>
    <w:rsid w:val="00742606"/>
    <w:rsid w:val="00742A28"/>
    <w:rsid w:val="00742A3D"/>
    <w:rsid w:val="00742B33"/>
    <w:rsid w:val="00742CC0"/>
    <w:rsid w:val="00742FF1"/>
    <w:rsid w:val="00743722"/>
    <w:rsid w:val="00743EBF"/>
    <w:rsid w:val="0074444C"/>
    <w:rsid w:val="007446BF"/>
    <w:rsid w:val="00744998"/>
    <w:rsid w:val="00744D92"/>
    <w:rsid w:val="00744EC0"/>
    <w:rsid w:val="00745526"/>
    <w:rsid w:val="00745A7D"/>
    <w:rsid w:val="00745ADD"/>
    <w:rsid w:val="00745CE9"/>
    <w:rsid w:val="00745D6B"/>
    <w:rsid w:val="00745DD3"/>
    <w:rsid w:val="00745E7C"/>
    <w:rsid w:val="00745FF4"/>
    <w:rsid w:val="00746093"/>
    <w:rsid w:val="00746AE5"/>
    <w:rsid w:val="00746C35"/>
    <w:rsid w:val="00746EB5"/>
    <w:rsid w:val="0074707C"/>
    <w:rsid w:val="00747351"/>
    <w:rsid w:val="007473D8"/>
    <w:rsid w:val="007475BA"/>
    <w:rsid w:val="00747AF4"/>
    <w:rsid w:val="00750A54"/>
    <w:rsid w:val="00750C92"/>
    <w:rsid w:val="00750CD5"/>
    <w:rsid w:val="00750DF6"/>
    <w:rsid w:val="00750F76"/>
    <w:rsid w:val="00750FD7"/>
    <w:rsid w:val="007510B8"/>
    <w:rsid w:val="007511E1"/>
    <w:rsid w:val="007512DD"/>
    <w:rsid w:val="00751647"/>
    <w:rsid w:val="00751741"/>
    <w:rsid w:val="00751AEC"/>
    <w:rsid w:val="00752326"/>
    <w:rsid w:val="0075245A"/>
    <w:rsid w:val="00752A0B"/>
    <w:rsid w:val="00752E9D"/>
    <w:rsid w:val="00753119"/>
    <w:rsid w:val="007531B4"/>
    <w:rsid w:val="0075333A"/>
    <w:rsid w:val="007538DE"/>
    <w:rsid w:val="00753D24"/>
    <w:rsid w:val="00753D6E"/>
    <w:rsid w:val="00753F68"/>
    <w:rsid w:val="00753FE7"/>
    <w:rsid w:val="0075405E"/>
    <w:rsid w:val="007541D0"/>
    <w:rsid w:val="00754374"/>
    <w:rsid w:val="0075483C"/>
    <w:rsid w:val="00754B9D"/>
    <w:rsid w:val="00754CA3"/>
    <w:rsid w:val="007552B5"/>
    <w:rsid w:val="007554A7"/>
    <w:rsid w:val="0075577D"/>
    <w:rsid w:val="007557FF"/>
    <w:rsid w:val="00755C7F"/>
    <w:rsid w:val="00755F64"/>
    <w:rsid w:val="00755FFA"/>
    <w:rsid w:val="00756161"/>
    <w:rsid w:val="00756186"/>
    <w:rsid w:val="007563B4"/>
    <w:rsid w:val="007566CE"/>
    <w:rsid w:val="00756743"/>
    <w:rsid w:val="00756BED"/>
    <w:rsid w:val="00757215"/>
    <w:rsid w:val="00757DEB"/>
    <w:rsid w:val="0076035C"/>
    <w:rsid w:val="0076070C"/>
    <w:rsid w:val="00760E18"/>
    <w:rsid w:val="00760FEF"/>
    <w:rsid w:val="0076111C"/>
    <w:rsid w:val="007613B9"/>
    <w:rsid w:val="007615B3"/>
    <w:rsid w:val="00761F8E"/>
    <w:rsid w:val="0076239C"/>
    <w:rsid w:val="00762881"/>
    <w:rsid w:val="00762D89"/>
    <w:rsid w:val="007633D6"/>
    <w:rsid w:val="00763508"/>
    <w:rsid w:val="00763561"/>
    <w:rsid w:val="007641E7"/>
    <w:rsid w:val="00764227"/>
    <w:rsid w:val="00764330"/>
    <w:rsid w:val="007648D8"/>
    <w:rsid w:val="00764D4D"/>
    <w:rsid w:val="00764E6C"/>
    <w:rsid w:val="0076581D"/>
    <w:rsid w:val="007658DB"/>
    <w:rsid w:val="00765B4C"/>
    <w:rsid w:val="00765E49"/>
    <w:rsid w:val="00765F4F"/>
    <w:rsid w:val="0076665E"/>
    <w:rsid w:val="007666C1"/>
    <w:rsid w:val="0076681F"/>
    <w:rsid w:val="0076687D"/>
    <w:rsid w:val="007668D6"/>
    <w:rsid w:val="0076690C"/>
    <w:rsid w:val="00766928"/>
    <w:rsid w:val="00766D77"/>
    <w:rsid w:val="00766EA3"/>
    <w:rsid w:val="00766F8D"/>
    <w:rsid w:val="00767145"/>
    <w:rsid w:val="007671C9"/>
    <w:rsid w:val="007674D5"/>
    <w:rsid w:val="0076758C"/>
    <w:rsid w:val="00770072"/>
    <w:rsid w:val="007700DF"/>
    <w:rsid w:val="0077012A"/>
    <w:rsid w:val="00770F8C"/>
    <w:rsid w:val="007710F6"/>
    <w:rsid w:val="007711BF"/>
    <w:rsid w:val="00771287"/>
    <w:rsid w:val="00771297"/>
    <w:rsid w:val="00771730"/>
    <w:rsid w:val="00771DC7"/>
    <w:rsid w:val="00771F68"/>
    <w:rsid w:val="007721EB"/>
    <w:rsid w:val="00772342"/>
    <w:rsid w:val="00772575"/>
    <w:rsid w:val="00772C7A"/>
    <w:rsid w:val="00773289"/>
    <w:rsid w:val="00773CD5"/>
    <w:rsid w:val="00773F37"/>
    <w:rsid w:val="007743BB"/>
    <w:rsid w:val="00774EDC"/>
    <w:rsid w:val="00774F99"/>
    <w:rsid w:val="00775116"/>
    <w:rsid w:val="00775657"/>
    <w:rsid w:val="007757DE"/>
    <w:rsid w:val="007757F2"/>
    <w:rsid w:val="00775A4E"/>
    <w:rsid w:val="00775ADB"/>
    <w:rsid w:val="00775C3E"/>
    <w:rsid w:val="00775E25"/>
    <w:rsid w:val="007767B4"/>
    <w:rsid w:val="00776823"/>
    <w:rsid w:val="007769FA"/>
    <w:rsid w:val="00776D63"/>
    <w:rsid w:val="00776FAA"/>
    <w:rsid w:val="0077717B"/>
    <w:rsid w:val="007771EB"/>
    <w:rsid w:val="00777571"/>
    <w:rsid w:val="00777BA6"/>
    <w:rsid w:val="00777EA4"/>
    <w:rsid w:val="0078026E"/>
    <w:rsid w:val="00780392"/>
    <w:rsid w:val="007803F7"/>
    <w:rsid w:val="0078057D"/>
    <w:rsid w:val="007805D8"/>
    <w:rsid w:val="00780804"/>
    <w:rsid w:val="00780B5B"/>
    <w:rsid w:val="00781026"/>
    <w:rsid w:val="00781556"/>
    <w:rsid w:val="007816BB"/>
    <w:rsid w:val="00781826"/>
    <w:rsid w:val="00781F55"/>
    <w:rsid w:val="007824D3"/>
    <w:rsid w:val="00782692"/>
    <w:rsid w:val="00782747"/>
    <w:rsid w:val="007827BE"/>
    <w:rsid w:val="00782993"/>
    <w:rsid w:val="0078313C"/>
    <w:rsid w:val="00783363"/>
    <w:rsid w:val="007837A1"/>
    <w:rsid w:val="007841D3"/>
    <w:rsid w:val="0078424E"/>
    <w:rsid w:val="007842A1"/>
    <w:rsid w:val="00784722"/>
    <w:rsid w:val="007847C5"/>
    <w:rsid w:val="00784FE0"/>
    <w:rsid w:val="00785715"/>
    <w:rsid w:val="00785862"/>
    <w:rsid w:val="00785896"/>
    <w:rsid w:val="00785B18"/>
    <w:rsid w:val="00785DD5"/>
    <w:rsid w:val="00786323"/>
    <w:rsid w:val="00786638"/>
    <w:rsid w:val="00786D3D"/>
    <w:rsid w:val="00786FAB"/>
    <w:rsid w:val="0078727D"/>
    <w:rsid w:val="007872D7"/>
    <w:rsid w:val="0078733B"/>
    <w:rsid w:val="00787773"/>
    <w:rsid w:val="00787866"/>
    <w:rsid w:val="00790022"/>
    <w:rsid w:val="00790836"/>
    <w:rsid w:val="00790CB1"/>
    <w:rsid w:val="00791163"/>
    <w:rsid w:val="0079149D"/>
    <w:rsid w:val="00791531"/>
    <w:rsid w:val="007919AE"/>
    <w:rsid w:val="007922B5"/>
    <w:rsid w:val="007922C5"/>
    <w:rsid w:val="007923EC"/>
    <w:rsid w:val="00792483"/>
    <w:rsid w:val="00792558"/>
    <w:rsid w:val="007926E6"/>
    <w:rsid w:val="0079289F"/>
    <w:rsid w:val="007929CD"/>
    <w:rsid w:val="00792ACE"/>
    <w:rsid w:val="00792D7F"/>
    <w:rsid w:val="00793374"/>
    <w:rsid w:val="007938B4"/>
    <w:rsid w:val="00793949"/>
    <w:rsid w:val="00794375"/>
    <w:rsid w:val="00794677"/>
    <w:rsid w:val="00794E86"/>
    <w:rsid w:val="00794F5F"/>
    <w:rsid w:val="00795201"/>
    <w:rsid w:val="00795990"/>
    <w:rsid w:val="007959A2"/>
    <w:rsid w:val="007959D4"/>
    <w:rsid w:val="007959DC"/>
    <w:rsid w:val="00795B61"/>
    <w:rsid w:val="00795FA8"/>
    <w:rsid w:val="00796293"/>
    <w:rsid w:val="00796354"/>
    <w:rsid w:val="007971BC"/>
    <w:rsid w:val="00797379"/>
    <w:rsid w:val="007974F5"/>
    <w:rsid w:val="007A01CD"/>
    <w:rsid w:val="007A0566"/>
    <w:rsid w:val="007A0CF5"/>
    <w:rsid w:val="007A1520"/>
    <w:rsid w:val="007A1DB0"/>
    <w:rsid w:val="007A1EE5"/>
    <w:rsid w:val="007A216A"/>
    <w:rsid w:val="007A22F5"/>
    <w:rsid w:val="007A2702"/>
    <w:rsid w:val="007A33AA"/>
    <w:rsid w:val="007A3515"/>
    <w:rsid w:val="007A36FD"/>
    <w:rsid w:val="007A3F6B"/>
    <w:rsid w:val="007A41A0"/>
    <w:rsid w:val="007A4306"/>
    <w:rsid w:val="007A4570"/>
    <w:rsid w:val="007A45CD"/>
    <w:rsid w:val="007A470E"/>
    <w:rsid w:val="007A474A"/>
    <w:rsid w:val="007A4A21"/>
    <w:rsid w:val="007A4B1C"/>
    <w:rsid w:val="007A5526"/>
    <w:rsid w:val="007A595D"/>
    <w:rsid w:val="007A5966"/>
    <w:rsid w:val="007A5CD8"/>
    <w:rsid w:val="007A625C"/>
    <w:rsid w:val="007A6C97"/>
    <w:rsid w:val="007A7209"/>
    <w:rsid w:val="007A7C05"/>
    <w:rsid w:val="007B01BD"/>
    <w:rsid w:val="007B06B2"/>
    <w:rsid w:val="007B0DD3"/>
    <w:rsid w:val="007B0F57"/>
    <w:rsid w:val="007B119C"/>
    <w:rsid w:val="007B162B"/>
    <w:rsid w:val="007B19DF"/>
    <w:rsid w:val="007B1A17"/>
    <w:rsid w:val="007B1F8E"/>
    <w:rsid w:val="007B23AB"/>
    <w:rsid w:val="007B278A"/>
    <w:rsid w:val="007B2ACC"/>
    <w:rsid w:val="007B2C77"/>
    <w:rsid w:val="007B2C8B"/>
    <w:rsid w:val="007B2DE5"/>
    <w:rsid w:val="007B2E90"/>
    <w:rsid w:val="007B2FBB"/>
    <w:rsid w:val="007B37B3"/>
    <w:rsid w:val="007B398C"/>
    <w:rsid w:val="007B410A"/>
    <w:rsid w:val="007B4990"/>
    <w:rsid w:val="007B4B8F"/>
    <w:rsid w:val="007B51C4"/>
    <w:rsid w:val="007B52DB"/>
    <w:rsid w:val="007B547B"/>
    <w:rsid w:val="007B573B"/>
    <w:rsid w:val="007B5793"/>
    <w:rsid w:val="007B5822"/>
    <w:rsid w:val="007B58DF"/>
    <w:rsid w:val="007B5AFB"/>
    <w:rsid w:val="007B67BF"/>
    <w:rsid w:val="007B6EFB"/>
    <w:rsid w:val="007B739A"/>
    <w:rsid w:val="007B7586"/>
    <w:rsid w:val="007B75BF"/>
    <w:rsid w:val="007B79F8"/>
    <w:rsid w:val="007B7A00"/>
    <w:rsid w:val="007C016D"/>
    <w:rsid w:val="007C0609"/>
    <w:rsid w:val="007C07E8"/>
    <w:rsid w:val="007C124A"/>
    <w:rsid w:val="007C1771"/>
    <w:rsid w:val="007C19A4"/>
    <w:rsid w:val="007C1BC5"/>
    <w:rsid w:val="007C1F26"/>
    <w:rsid w:val="007C2090"/>
    <w:rsid w:val="007C2209"/>
    <w:rsid w:val="007C2B4C"/>
    <w:rsid w:val="007C2DEF"/>
    <w:rsid w:val="007C2E56"/>
    <w:rsid w:val="007C3173"/>
    <w:rsid w:val="007C3D55"/>
    <w:rsid w:val="007C3E41"/>
    <w:rsid w:val="007C3FCE"/>
    <w:rsid w:val="007C49E3"/>
    <w:rsid w:val="007C4C5B"/>
    <w:rsid w:val="007C5570"/>
    <w:rsid w:val="007C607B"/>
    <w:rsid w:val="007C7A55"/>
    <w:rsid w:val="007C7C51"/>
    <w:rsid w:val="007C7CEA"/>
    <w:rsid w:val="007C7CEE"/>
    <w:rsid w:val="007C7E8B"/>
    <w:rsid w:val="007C7F97"/>
    <w:rsid w:val="007D021A"/>
    <w:rsid w:val="007D0382"/>
    <w:rsid w:val="007D053F"/>
    <w:rsid w:val="007D08D3"/>
    <w:rsid w:val="007D0D04"/>
    <w:rsid w:val="007D0D70"/>
    <w:rsid w:val="007D0F02"/>
    <w:rsid w:val="007D0F4E"/>
    <w:rsid w:val="007D0F6E"/>
    <w:rsid w:val="007D120A"/>
    <w:rsid w:val="007D1256"/>
    <w:rsid w:val="007D196D"/>
    <w:rsid w:val="007D21DB"/>
    <w:rsid w:val="007D2378"/>
    <w:rsid w:val="007D24AD"/>
    <w:rsid w:val="007D262D"/>
    <w:rsid w:val="007D2C68"/>
    <w:rsid w:val="007D3012"/>
    <w:rsid w:val="007D332A"/>
    <w:rsid w:val="007D356B"/>
    <w:rsid w:val="007D3705"/>
    <w:rsid w:val="007D3844"/>
    <w:rsid w:val="007D469D"/>
    <w:rsid w:val="007D4720"/>
    <w:rsid w:val="007D475E"/>
    <w:rsid w:val="007D4AF7"/>
    <w:rsid w:val="007D4B03"/>
    <w:rsid w:val="007D4B95"/>
    <w:rsid w:val="007D514F"/>
    <w:rsid w:val="007D52D0"/>
    <w:rsid w:val="007D533D"/>
    <w:rsid w:val="007D59D3"/>
    <w:rsid w:val="007D5A61"/>
    <w:rsid w:val="007D5F7C"/>
    <w:rsid w:val="007D6100"/>
    <w:rsid w:val="007D63F8"/>
    <w:rsid w:val="007D6D7E"/>
    <w:rsid w:val="007D6E46"/>
    <w:rsid w:val="007D76EF"/>
    <w:rsid w:val="007D793B"/>
    <w:rsid w:val="007D7963"/>
    <w:rsid w:val="007D7E92"/>
    <w:rsid w:val="007D7FD4"/>
    <w:rsid w:val="007E032B"/>
    <w:rsid w:val="007E0391"/>
    <w:rsid w:val="007E03D0"/>
    <w:rsid w:val="007E0634"/>
    <w:rsid w:val="007E091A"/>
    <w:rsid w:val="007E0A11"/>
    <w:rsid w:val="007E0E03"/>
    <w:rsid w:val="007E12D9"/>
    <w:rsid w:val="007E13C6"/>
    <w:rsid w:val="007E1B15"/>
    <w:rsid w:val="007E1D53"/>
    <w:rsid w:val="007E2256"/>
    <w:rsid w:val="007E2AF9"/>
    <w:rsid w:val="007E2C66"/>
    <w:rsid w:val="007E2E4D"/>
    <w:rsid w:val="007E3427"/>
    <w:rsid w:val="007E35B7"/>
    <w:rsid w:val="007E37FB"/>
    <w:rsid w:val="007E3A37"/>
    <w:rsid w:val="007E3A99"/>
    <w:rsid w:val="007E3B5A"/>
    <w:rsid w:val="007E3D38"/>
    <w:rsid w:val="007E43A2"/>
    <w:rsid w:val="007E477D"/>
    <w:rsid w:val="007E47AE"/>
    <w:rsid w:val="007E4C9A"/>
    <w:rsid w:val="007E4D41"/>
    <w:rsid w:val="007E4F90"/>
    <w:rsid w:val="007E4FED"/>
    <w:rsid w:val="007E5071"/>
    <w:rsid w:val="007E5603"/>
    <w:rsid w:val="007E5645"/>
    <w:rsid w:val="007E5B4E"/>
    <w:rsid w:val="007E5CCD"/>
    <w:rsid w:val="007E5EFB"/>
    <w:rsid w:val="007E602B"/>
    <w:rsid w:val="007E64AB"/>
    <w:rsid w:val="007E66A9"/>
    <w:rsid w:val="007E6838"/>
    <w:rsid w:val="007E6C7F"/>
    <w:rsid w:val="007E7051"/>
    <w:rsid w:val="007E7C01"/>
    <w:rsid w:val="007F091F"/>
    <w:rsid w:val="007F0968"/>
    <w:rsid w:val="007F09AF"/>
    <w:rsid w:val="007F0B4C"/>
    <w:rsid w:val="007F1197"/>
    <w:rsid w:val="007F1330"/>
    <w:rsid w:val="007F1465"/>
    <w:rsid w:val="007F14DF"/>
    <w:rsid w:val="007F2089"/>
    <w:rsid w:val="007F26DF"/>
    <w:rsid w:val="007F2734"/>
    <w:rsid w:val="007F2AFB"/>
    <w:rsid w:val="007F2BA5"/>
    <w:rsid w:val="007F2E28"/>
    <w:rsid w:val="007F326C"/>
    <w:rsid w:val="007F348B"/>
    <w:rsid w:val="007F34DB"/>
    <w:rsid w:val="007F3572"/>
    <w:rsid w:val="007F3B04"/>
    <w:rsid w:val="007F3BCF"/>
    <w:rsid w:val="007F3DCF"/>
    <w:rsid w:val="007F4001"/>
    <w:rsid w:val="007F4032"/>
    <w:rsid w:val="007F408A"/>
    <w:rsid w:val="007F40A9"/>
    <w:rsid w:val="007F4364"/>
    <w:rsid w:val="007F44D1"/>
    <w:rsid w:val="007F48DC"/>
    <w:rsid w:val="007F4E8D"/>
    <w:rsid w:val="007F5115"/>
    <w:rsid w:val="007F53A9"/>
    <w:rsid w:val="007F5E6D"/>
    <w:rsid w:val="007F5EEE"/>
    <w:rsid w:val="007F601C"/>
    <w:rsid w:val="007F634C"/>
    <w:rsid w:val="007F639A"/>
    <w:rsid w:val="007F662D"/>
    <w:rsid w:val="007F683C"/>
    <w:rsid w:val="007F6940"/>
    <w:rsid w:val="007F6E5A"/>
    <w:rsid w:val="007F72BA"/>
    <w:rsid w:val="007F7326"/>
    <w:rsid w:val="007F7727"/>
    <w:rsid w:val="0080026D"/>
    <w:rsid w:val="00800A10"/>
    <w:rsid w:val="0080147B"/>
    <w:rsid w:val="00801550"/>
    <w:rsid w:val="0080188C"/>
    <w:rsid w:val="008018D4"/>
    <w:rsid w:val="0080197F"/>
    <w:rsid w:val="0080203D"/>
    <w:rsid w:val="0080227D"/>
    <w:rsid w:val="00802361"/>
    <w:rsid w:val="0080236C"/>
    <w:rsid w:val="00802A96"/>
    <w:rsid w:val="008030C5"/>
    <w:rsid w:val="00803285"/>
    <w:rsid w:val="008037D5"/>
    <w:rsid w:val="00803BED"/>
    <w:rsid w:val="00804EDF"/>
    <w:rsid w:val="008053AF"/>
    <w:rsid w:val="0080559B"/>
    <w:rsid w:val="008056E3"/>
    <w:rsid w:val="008059F9"/>
    <w:rsid w:val="00805BEC"/>
    <w:rsid w:val="00805CE4"/>
    <w:rsid w:val="008061B8"/>
    <w:rsid w:val="008062D0"/>
    <w:rsid w:val="008063B3"/>
    <w:rsid w:val="00806550"/>
    <w:rsid w:val="008067A2"/>
    <w:rsid w:val="00806BD5"/>
    <w:rsid w:val="00806D0C"/>
    <w:rsid w:val="00806FED"/>
    <w:rsid w:val="0080726B"/>
    <w:rsid w:val="0080752F"/>
    <w:rsid w:val="00807621"/>
    <w:rsid w:val="0080798B"/>
    <w:rsid w:val="00807D74"/>
    <w:rsid w:val="00807D79"/>
    <w:rsid w:val="0081117B"/>
    <w:rsid w:val="008116C0"/>
    <w:rsid w:val="008118CE"/>
    <w:rsid w:val="00811950"/>
    <w:rsid w:val="00811955"/>
    <w:rsid w:val="00811B06"/>
    <w:rsid w:val="00811C74"/>
    <w:rsid w:val="00811D30"/>
    <w:rsid w:val="00811D64"/>
    <w:rsid w:val="008120E1"/>
    <w:rsid w:val="0081218D"/>
    <w:rsid w:val="0081269D"/>
    <w:rsid w:val="0081303F"/>
    <w:rsid w:val="008131B4"/>
    <w:rsid w:val="008132C9"/>
    <w:rsid w:val="0081338D"/>
    <w:rsid w:val="008139A9"/>
    <w:rsid w:val="0081456D"/>
    <w:rsid w:val="008148F4"/>
    <w:rsid w:val="00814DB8"/>
    <w:rsid w:val="00814E02"/>
    <w:rsid w:val="00814E28"/>
    <w:rsid w:val="0081502E"/>
    <w:rsid w:val="00815153"/>
    <w:rsid w:val="008158BD"/>
    <w:rsid w:val="00816207"/>
    <w:rsid w:val="00816235"/>
    <w:rsid w:val="0081631D"/>
    <w:rsid w:val="00816363"/>
    <w:rsid w:val="00816982"/>
    <w:rsid w:val="00816C51"/>
    <w:rsid w:val="00817AE1"/>
    <w:rsid w:val="00817BA4"/>
    <w:rsid w:val="00817EF1"/>
    <w:rsid w:val="00820487"/>
    <w:rsid w:val="008204B5"/>
    <w:rsid w:val="008207D9"/>
    <w:rsid w:val="00820904"/>
    <w:rsid w:val="00820BAF"/>
    <w:rsid w:val="008210A5"/>
    <w:rsid w:val="0082199F"/>
    <w:rsid w:val="00821F14"/>
    <w:rsid w:val="0082249D"/>
    <w:rsid w:val="00822692"/>
    <w:rsid w:val="00822AC0"/>
    <w:rsid w:val="00822D4F"/>
    <w:rsid w:val="0082304E"/>
    <w:rsid w:val="008230B5"/>
    <w:rsid w:val="0082322B"/>
    <w:rsid w:val="00823252"/>
    <w:rsid w:val="00823285"/>
    <w:rsid w:val="008235FB"/>
    <w:rsid w:val="00823867"/>
    <w:rsid w:val="00823BCA"/>
    <w:rsid w:val="00823F5B"/>
    <w:rsid w:val="00824199"/>
    <w:rsid w:val="0082432E"/>
    <w:rsid w:val="008243F1"/>
    <w:rsid w:val="00824420"/>
    <w:rsid w:val="00824F2A"/>
    <w:rsid w:val="00824F77"/>
    <w:rsid w:val="008253A8"/>
    <w:rsid w:val="008254D6"/>
    <w:rsid w:val="008257AD"/>
    <w:rsid w:val="008257EC"/>
    <w:rsid w:val="00825C03"/>
    <w:rsid w:val="00825F8F"/>
    <w:rsid w:val="008261F9"/>
    <w:rsid w:val="008262F2"/>
    <w:rsid w:val="008263F0"/>
    <w:rsid w:val="008265EF"/>
    <w:rsid w:val="008266C1"/>
    <w:rsid w:val="00826B64"/>
    <w:rsid w:val="00826E1E"/>
    <w:rsid w:val="0082729C"/>
    <w:rsid w:val="008275A5"/>
    <w:rsid w:val="008275E1"/>
    <w:rsid w:val="0082768F"/>
    <w:rsid w:val="00827745"/>
    <w:rsid w:val="00827BD8"/>
    <w:rsid w:val="00827C54"/>
    <w:rsid w:val="00827D26"/>
    <w:rsid w:val="00827D4B"/>
    <w:rsid w:val="00827E3C"/>
    <w:rsid w:val="00827E69"/>
    <w:rsid w:val="00831115"/>
    <w:rsid w:val="008314FD"/>
    <w:rsid w:val="008318F0"/>
    <w:rsid w:val="00831F01"/>
    <w:rsid w:val="00831FA8"/>
    <w:rsid w:val="008321D9"/>
    <w:rsid w:val="008322F0"/>
    <w:rsid w:val="008327F9"/>
    <w:rsid w:val="00832E94"/>
    <w:rsid w:val="0083358E"/>
    <w:rsid w:val="00833777"/>
    <w:rsid w:val="00833DFB"/>
    <w:rsid w:val="008352A3"/>
    <w:rsid w:val="0083554E"/>
    <w:rsid w:val="00835689"/>
    <w:rsid w:val="00835C38"/>
    <w:rsid w:val="008360A8"/>
    <w:rsid w:val="0083639F"/>
    <w:rsid w:val="00836680"/>
    <w:rsid w:val="00836842"/>
    <w:rsid w:val="00836903"/>
    <w:rsid w:val="00836A86"/>
    <w:rsid w:val="00836BCC"/>
    <w:rsid w:val="00837020"/>
    <w:rsid w:val="0083786C"/>
    <w:rsid w:val="008402B2"/>
    <w:rsid w:val="0084039E"/>
    <w:rsid w:val="00841348"/>
    <w:rsid w:val="008417AD"/>
    <w:rsid w:val="00841AA8"/>
    <w:rsid w:val="00841FF4"/>
    <w:rsid w:val="00842675"/>
    <w:rsid w:val="00842753"/>
    <w:rsid w:val="00842CD6"/>
    <w:rsid w:val="00842FFC"/>
    <w:rsid w:val="008434FD"/>
    <w:rsid w:val="008436BE"/>
    <w:rsid w:val="00843ABD"/>
    <w:rsid w:val="00843C1A"/>
    <w:rsid w:val="00843DE7"/>
    <w:rsid w:val="0084414B"/>
    <w:rsid w:val="0084439E"/>
    <w:rsid w:val="00845B58"/>
    <w:rsid w:val="00845F1F"/>
    <w:rsid w:val="008464FC"/>
    <w:rsid w:val="008465F9"/>
    <w:rsid w:val="00846724"/>
    <w:rsid w:val="0084687F"/>
    <w:rsid w:val="0084697C"/>
    <w:rsid w:val="00846AF8"/>
    <w:rsid w:val="008471F2"/>
    <w:rsid w:val="00847219"/>
    <w:rsid w:val="00847478"/>
    <w:rsid w:val="00847680"/>
    <w:rsid w:val="00847C93"/>
    <w:rsid w:val="00847E33"/>
    <w:rsid w:val="00850125"/>
    <w:rsid w:val="008501A4"/>
    <w:rsid w:val="008501F4"/>
    <w:rsid w:val="008502D3"/>
    <w:rsid w:val="00850D3D"/>
    <w:rsid w:val="00850E32"/>
    <w:rsid w:val="00851326"/>
    <w:rsid w:val="00851872"/>
    <w:rsid w:val="0085192D"/>
    <w:rsid w:val="00851C92"/>
    <w:rsid w:val="00851DA5"/>
    <w:rsid w:val="0085249B"/>
    <w:rsid w:val="0085263D"/>
    <w:rsid w:val="00852C89"/>
    <w:rsid w:val="00852D55"/>
    <w:rsid w:val="00853176"/>
    <w:rsid w:val="00853323"/>
    <w:rsid w:val="008534C1"/>
    <w:rsid w:val="008534E2"/>
    <w:rsid w:val="00853E64"/>
    <w:rsid w:val="00853F5D"/>
    <w:rsid w:val="0085406D"/>
    <w:rsid w:val="0085406E"/>
    <w:rsid w:val="0085450C"/>
    <w:rsid w:val="00854585"/>
    <w:rsid w:val="008545C6"/>
    <w:rsid w:val="008546B6"/>
    <w:rsid w:val="00854A4E"/>
    <w:rsid w:val="00854C25"/>
    <w:rsid w:val="00854D93"/>
    <w:rsid w:val="00854DD7"/>
    <w:rsid w:val="00854FF8"/>
    <w:rsid w:val="008550C6"/>
    <w:rsid w:val="00855163"/>
    <w:rsid w:val="008557F1"/>
    <w:rsid w:val="00855DA2"/>
    <w:rsid w:val="00855DF0"/>
    <w:rsid w:val="008560CE"/>
    <w:rsid w:val="008561A6"/>
    <w:rsid w:val="008564DA"/>
    <w:rsid w:val="00857044"/>
    <w:rsid w:val="008570D3"/>
    <w:rsid w:val="008579E3"/>
    <w:rsid w:val="00857B4D"/>
    <w:rsid w:val="00857C28"/>
    <w:rsid w:val="00860617"/>
    <w:rsid w:val="008606CC"/>
    <w:rsid w:val="0086076B"/>
    <w:rsid w:val="008607E1"/>
    <w:rsid w:val="00860B71"/>
    <w:rsid w:val="0086171C"/>
    <w:rsid w:val="00861883"/>
    <w:rsid w:val="008618CA"/>
    <w:rsid w:val="008619BC"/>
    <w:rsid w:val="00861DC9"/>
    <w:rsid w:val="008622E4"/>
    <w:rsid w:val="008623CA"/>
    <w:rsid w:val="008623FE"/>
    <w:rsid w:val="00862655"/>
    <w:rsid w:val="00862667"/>
    <w:rsid w:val="0086279B"/>
    <w:rsid w:val="00862FFA"/>
    <w:rsid w:val="00863AAB"/>
    <w:rsid w:val="00863BA0"/>
    <w:rsid w:val="00863DB4"/>
    <w:rsid w:val="00863E70"/>
    <w:rsid w:val="00863FE2"/>
    <w:rsid w:val="008641D0"/>
    <w:rsid w:val="00864286"/>
    <w:rsid w:val="00864461"/>
    <w:rsid w:val="00864859"/>
    <w:rsid w:val="00864879"/>
    <w:rsid w:val="00864E19"/>
    <w:rsid w:val="00864E47"/>
    <w:rsid w:val="00864F0F"/>
    <w:rsid w:val="00865100"/>
    <w:rsid w:val="00865445"/>
    <w:rsid w:val="00865483"/>
    <w:rsid w:val="008657AF"/>
    <w:rsid w:val="0086594F"/>
    <w:rsid w:val="0086599F"/>
    <w:rsid w:val="00865B87"/>
    <w:rsid w:val="00865BFD"/>
    <w:rsid w:val="00865E0A"/>
    <w:rsid w:val="00865F76"/>
    <w:rsid w:val="00866571"/>
    <w:rsid w:val="0086687A"/>
    <w:rsid w:val="00866A5C"/>
    <w:rsid w:val="00866B22"/>
    <w:rsid w:val="00866E49"/>
    <w:rsid w:val="00867217"/>
    <w:rsid w:val="00867B0F"/>
    <w:rsid w:val="00867FCB"/>
    <w:rsid w:val="00870847"/>
    <w:rsid w:val="0087089B"/>
    <w:rsid w:val="00870E07"/>
    <w:rsid w:val="00870F42"/>
    <w:rsid w:val="00870F54"/>
    <w:rsid w:val="00871092"/>
    <w:rsid w:val="00871236"/>
    <w:rsid w:val="0087143C"/>
    <w:rsid w:val="0087170F"/>
    <w:rsid w:val="00871817"/>
    <w:rsid w:val="00871D76"/>
    <w:rsid w:val="00872018"/>
    <w:rsid w:val="00872463"/>
    <w:rsid w:val="00872609"/>
    <w:rsid w:val="00872F79"/>
    <w:rsid w:val="00873031"/>
    <w:rsid w:val="008733C0"/>
    <w:rsid w:val="008734E2"/>
    <w:rsid w:val="00873950"/>
    <w:rsid w:val="00873AE6"/>
    <w:rsid w:val="00873EA9"/>
    <w:rsid w:val="00873F80"/>
    <w:rsid w:val="0087457D"/>
    <w:rsid w:val="0087491C"/>
    <w:rsid w:val="00874ABA"/>
    <w:rsid w:val="00874B03"/>
    <w:rsid w:val="00874B97"/>
    <w:rsid w:val="00874D9C"/>
    <w:rsid w:val="00874FBB"/>
    <w:rsid w:val="008756A8"/>
    <w:rsid w:val="008759F9"/>
    <w:rsid w:val="00875D2F"/>
    <w:rsid w:val="00876138"/>
    <w:rsid w:val="008765A7"/>
    <w:rsid w:val="00876EFD"/>
    <w:rsid w:val="00877050"/>
    <w:rsid w:val="00877382"/>
    <w:rsid w:val="008774A2"/>
    <w:rsid w:val="00877907"/>
    <w:rsid w:val="00877E1B"/>
    <w:rsid w:val="00877EEE"/>
    <w:rsid w:val="00877F26"/>
    <w:rsid w:val="00880030"/>
    <w:rsid w:val="00880373"/>
    <w:rsid w:val="008808E3"/>
    <w:rsid w:val="00880FF0"/>
    <w:rsid w:val="008810CD"/>
    <w:rsid w:val="008813D4"/>
    <w:rsid w:val="0088172E"/>
    <w:rsid w:val="00881A1B"/>
    <w:rsid w:val="00881D55"/>
    <w:rsid w:val="00881E11"/>
    <w:rsid w:val="0088221C"/>
    <w:rsid w:val="0088276A"/>
    <w:rsid w:val="00882F23"/>
    <w:rsid w:val="0088305E"/>
    <w:rsid w:val="00883797"/>
    <w:rsid w:val="008839E5"/>
    <w:rsid w:val="00884070"/>
    <w:rsid w:val="0088408C"/>
    <w:rsid w:val="008848D9"/>
    <w:rsid w:val="00884A1F"/>
    <w:rsid w:val="00884BDF"/>
    <w:rsid w:val="00885147"/>
    <w:rsid w:val="0088568D"/>
    <w:rsid w:val="008862A5"/>
    <w:rsid w:val="00886685"/>
    <w:rsid w:val="0088702C"/>
    <w:rsid w:val="008872BC"/>
    <w:rsid w:val="008873BF"/>
    <w:rsid w:val="0088742C"/>
    <w:rsid w:val="0088759A"/>
    <w:rsid w:val="00887B76"/>
    <w:rsid w:val="00887C39"/>
    <w:rsid w:val="0089015A"/>
    <w:rsid w:val="008905BE"/>
    <w:rsid w:val="008906F4"/>
    <w:rsid w:val="008906FE"/>
    <w:rsid w:val="00891255"/>
    <w:rsid w:val="00891488"/>
    <w:rsid w:val="0089151B"/>
    <w:rsid w:val="00891676"/>
    <w:rsid w:val="00891B28"/>
    <w:rsid w:val="00891DFD"/>
    <w:rsid w:val="00892105"/>
    <w:rsid w:val="008922A8"/>
    <w:rsid w:val="008928FF"/>
    <w:rsid w:val="00892E7C"/>
    <w:rsid w:val="00893265"/>
    <w:rsid w:val="008937D7"/>
    <w:rsid w:val="008937E9"/>
    <w:rsid w:val="00893D3B"/>
    <w:rsid w:val="0089405F"/>
    <w:rsid w:val="008944EF"/>
    <w:rsid w:val="00894508"/>
    <w:rsid w:val="00894540"/>
    <w:rsid w:val="00895196"/>
    <w:rsid w:val="008959A0"/>
    <w:rsid w:val="00896129"/>
    <w:rsid w:val="00896461"/>
    <w:rsid w:val="008968A0"/>
    <w:rsid w:val="00896ADA"/>
    <w:rsid w:val="00896F7F"/>
    <w:rsid w:val="008973DB"/>
    <w:rsid w:val="00897686"/>
    <w:rsid w:val="00897B6C"/>
    <w:rsid w:val="008A0434"/>
    <w:rsid w:val="008A0A85"/>
    <w:rsid w:val="008A0B92"/>
    <w:rsid w:val="008A128A"/>
    <w:rsid w:val="008A1665"/>
    <w:rsid w:val="008A18C5"/>
    <w:rsid w:val="008A1D86"/>
    <w:rsid w:val="008A24B7"/>
    <w:rsid w:val="008A25CD"/>
    <w:rsid w:val="008A2630"/>
    <w:rsid w:val="008A2C35"/>
    <w:rsid w:val="008A2D03"/>
    <w:rsid w:val="008A3022"/>
    <w:rsid w:val="008A3181"/>
    <w:rsid w:val="008A37D5"/>
    <w:rsid w:val="008A3AB4"/>
    <w:rsid w:val="008A3D2D"/>
    <w:rsid w:val="008A419C"/>
    <w:rsid w:val="008A4359"/>
    <w:rsid w:val="008A465F"/>
    <w:rsid w:val="008A4774"/>
    <w:rsid w:val="008A4911"/>
    <w:rsid w:val="008A4D52"/>
    <w:rsid w:val="008A531D"/>
    <w:rsid w:val="008A58AB"/>
    <w:rsid w:val="008A6970"/>
    <w:rsid w:val="008A6E84"/>
    <w:rsid w:val="008A6F9C"/>
    <w:rsid w:val="008A716B"/>
    <w:rsid w:val="008A73FA"/>
    <w:rsid w:val="008A76ED"/>
    <w:rsid w:val="008A79ED"/>
    <w:rsid w:val="008A7AE3"/>
    <w:rsid w:val="008B0150"/>
    <w:rsid w:val="008B0319"/>
    <w:rsid w:val="008B0374"/>
    <w:rsid w:val="008B03E0"/>
    <w:rsid w:val="008B0638"/>
    <w:rsid w:val="008B083D"/>
    <w:rsid w:val="008B090B"/>
    <w:rsid w:val="008B1616"/>
    <w:rsid w:val="008B1629"/>
    <w:rsid w:val="008B169D"/>
    <w:rsid w:val="008B16CA"/>
    <w:rsid w:val="008B1FB8"/>
    <w:rsid w:val="008B240D"/>
    <w:rsid w:val="008B263A"/>
    <w:rsid w:val="008B26F2"/>
    <w:rsid w:val="008B2A00"/>
    <w:rsid w:val="008B2ADA"/>
    <w:rsid w:val="008B2CC7"/>
    <w:rsid w:val="008B2E2F"/>
    <w:rsid w:val="008B3E8D"/>
    <w:rsid w:val="008B3F05"/>
    <w:rsid w:val="008B4029"/>
    <w:rsid w:val="008B42CA"/>
    <w:rsid w:val="008B4A47"/>
    <w:rsid w:val="008B4A74"/>
    <w:rsid w:val="008B51D6"/>
    <w:rsid w:val="008B524F"/>
    <w:rsid w:val="008B5E01"/>
    <w:rsid w:val="008B5E61"/>
    <w:rsid w:val="008B5E70"/>
    <w:rsid w:val="008B6077"/>
    <w:rsid w:val="008B648B"/>
    <w:rsid w:val="008B65DD"/>
    <w:rsid w:val="008B678B"/>
    <w:rsid w:val="008B6E1D"/>
    <w:rsid w:val="008B6F20"/>
    <w:rsid w:val="008B745F"/>
    <w:rsid w:val="008B74D9"/>
    <w:rsid w:val="008B7526"/>
    <w:rsid w:val="008B7F3E"/>
    <w:rsid w:val="008C00CC"/>
    <w:rsid w:val="008C01C6"/>
    <w:rsid w:val="008C027D"/>
    <w:rsid w:val="008C070D"/>
    <w:rsid w:val="008C0E21"/>
    <w:rsid w:val="008C0FA2"/>
    <w:rsid w:val="008C0FF0"/>
    <w:rsid w:val="008C1315"/>
    <w:rsid w:val="008C1469"/>
    <w:rsid w:val="008C1764"/>
    <w:rsid w:val="008C1840"/>
    <w:rsid w:val="008C1C1D"/>
    <w:rsid w:val="008C1FC7"/>
    <w:rsid w:val="008C1FF1"/>
    <w:rsid w:val="008C21A7"/>
    <w:rsid w:val="008C2B04"/>
    <w:rsid w:val="008C2C98"/>
    <w:rsid w:val="008C3080"/>
    <w:rsid w:val="008C310E"/>
    <w:rsid w:val="008C324A"/>
    <w:rsid w:val="008C3927"/>
    <w:rsid w:val="008C3AE5"/>
    <w:rsid w:val="008C3D91"/>
    <w:rsid w:val="008C3E08"/>
    <w:rsid w:val="008C43A9"/>
    <w:rsid w:val="008C4508"/>
    <w:rsid w:val="008C4565"/>
    <w:rsid w:val="008C4633"/>
    <w:rsid w:val="008C47FD"/>
    <w:rsid w:val="008C4C69"/>
    <w:rsid w:val="008C4CE4"/>
    <w:rsid w:val="008C507F"/>
    <w:rsid w:val="008C53DD"/>
    <w:rsid w:val="008C57A7"/>
    <w:rsid w:val="008C57BE"/>
    <w:rsid w:val="008C5B49"/>
    <w:rsid w:val="008C5B6F"/>
    <w:rsid w:val="008C5E17"/>
    <w:rsid w:val="008C6483"/>
    <w:rsid w:val="008C69B6"/>
    <w:rsid w:val="008C6A5E"/>
    <w:rsid w:val="008C6A79"/>
    <w:rsid w:val="008C6F83"/>
    <w:rsid w:val="008C70B6"/>
    <w:rsid w:val="008C778A"/>
    <w:rsid w:val="008C7803"/>
    <w:rsid w:val="008C78D2"/>
    <w:rsid w:val="008C7A34"/>
    <w:rsid w:val="008C7A6F"/>
    <w:rsid w:val="008C7B23"/>
    <w:rsid w:val="008CFDB2"/>
    <w:rsid w:val="008D0283"/>
    <w:rsid w:val="008D0660"/>
    <w:rsid w:val="008D0A97"/>
    <w:rsid w:val="008D11F9"/>
    <w:rsid w:val="008D13C0"/>
    <w:rsid w:val="008D1636"/>
    <w:rsid w:val="008D1BCD"/>
    <w:rsid w:val="008D24D1"/>
    <w:rsid w:val="008D29AD"/>
    <w:rsid w:val="008D29C0"/>
    <w:rsid w:val="008D2E3A"/>
    <w:rsid w:val="008D30E2"/>
    <w:rsid w:val="008D34AD"/>
    <w:rsid w:val="008D35E4"/>
    <w:rsid w:val="008D3710"/>
    <w:rsid w:val="008D397C"/>
    <w:rsid w:val="008D3A33"/>
    <w:rsid w:val="008D3A5F"/>
    <w:rsid w:val="008D3FF3"/>
    <w:rsid w:val="008D4044"/>
    <w:rsid w:val="008D48C4"/>
    <w:rsid w:val="008D4A62"/>
    <w:rsid w:val="008D4E18"/>
    <w:rsid w:val="008D4F9B"/>
    <w:rsid w:val="008D5BA8"/>
    <w:rsid w:val="008D5E12"/>
    <w:rsid w:val="008D5E56"/>
    <w:rsid w:val="008D5EF4"/>
    <w:rsid w:val="008D5F08"/>
    <w:rsid w:val="008D6096"/>
    <w:rsid w:val="008D6203"/>
    <w:rsid w:val="008D6DB9"/>
    <w:rsid w:val="008D703E"/>
    <w:rsid w:val="008D7052"/>
    <w:rsid w:val="008D74DF"/>
    <w:rsid w:val="008D75F7"/>
    <w:rsid w:val="008D77C8"/>
    <w:rsid w:val="008D7959"/>
    <w:rsid w:val="008D7C47"/>
    <w:rsid w:val="008D7D9E"/>
    <w:rsid w:val="008E017B"/>
    <w:rsid w:val="008E01AB"/>
    <w:rsid w:val="008E0385"/>
    <w:rsid w:val="008E0437"/>
    <w:rsid w:val="008E04ED"/>
    <w:rsid w:val="008E071F"/>
    <w:rsid w:val="008E09B7"/>
    <w:rsid w:val="008E0B68"/>
    <w:rsid w:val="008E0F46"/>
    <w:rsid w:val="008E0FF8"/>
    <w:rsid w:val="008E1054"/>
    <w:rsid w:val="008E1204"/>
    <w:rsid w:val="008E19DE"/>
    <w:rsid w:val="008E1A13"/>
    <w:rsid w:val="008E1CD5"/>
    <w:rsid w:val="008E267C"/>
    <w:rsid w:val="008E2AEF"/>
    <w:rsid w:val="008E2BE8"/>
    <w:rsid w:val="008E30AB"/>
    <w:rsid w:val="008E329C"/>
    <w:rsid w:val="008E3433"/>
    <w:rsid w:val="008E3721"/>
    <w:rsid w:val="008E3843"/>
    <w:rsid w:val="008E388A"/>
    <w:rsid w:val="008E38F2"/>
    <w:rsid w:val="008E3E06"/>
    <w:rsid w:val="008E3EB1"/>
    <w:rsid w:val="008E45A0"/>
    <w:rsid w:val="008E4B02"/>
    <w:rsid w:val="008E5154"/>
    <w:rsid w:val="008E5574"/>
    <w:rsid w:val="008E5939"/>
    <w:rsid w:val="008E606F"/>
    <w:rsid w:val="008E66C8"/>
    <w:rsid w:val="008E6A82"/>
    <w:rsid w:val="008E6AE8"/>
    <w:rsid w:val="008E6C03"/>
    <w:rsid w:val="008E707B"/>
    <w:rsid w:val="008E70AF"/>
    <w:rsid w:val="008E71B9"/>
    <w:rsid w:val="008E7570"/>
    <w:rsid w:val="008E76E7"/>
    <w:rsid w:val="008E7855"/>
    <w:rsid w:val="008E7C70"/>
    <w:rsid w:val="008F0248"/>
    <w:rsid w:val="008F027D"/>
    <w:rsid w:val="008F02B5"/>
    <w:rsid w:val="008F05F4"/>
    <w:rsid w:val="008F0CFB"/>
    <w:rsid w:val="008F0D2E"/>
    <w:rsid w:val="008F0DB6"/>
    <w:rsid w:val="008F0DEF"/>
    <w:rsid w:val="008F0EF3"/>
    <w:rsid w:val="008F0EF4"/>
    <w:rsid w:val="008F11FE"/>
    <w:rsid w:val="008F1BAB"/>
    <w:rsid w:val="008F21D1"/>
    <w:rsid w:val="008F23E8"/>
    <w:rsid w:val="008F241A"/>
    <w:rsid w:val="008F2456"/>
    <w:rsid w:val="008F2631"/>
    <w:rsid w:val="008F2672"/>
    <w:rsid w:val="008F2F1A"/>
    <w:rsid w:val="008F333B"/>
    <w:rsid w:val="008F3616"/>
    <w:rsid w:val="008F3A8C"/>
    <w:rsid w:val="008F3DDF"/>
    <w:rsid w:val="008F4676"/>
    <w:rsid w:val="008F4A25"/>
    <w:rsid w:val="008F4C47"/>
    <w:rsid w:val="008F4D8A"/>
    <w:rsid w:val="008F4EC6"/>
    <w:rsid w:val="008F503F"/>
    <w:rsid w:val="008F569D"/>
    <w:rsid w:val="008F57BE"/>
    <w:rsid w:val="008F5F97"/>
    <w:rsid w:val="008F6433"/>
    <w:rsid w:val="008F67A8"/>
    <w:rsid w:val="008F6810"/>
    <w:rsid w:val="008F6966"/>
    <w:rsid w:val="008F6995"/>
    <w:rsid w:val="008F6B1D"/>
    <w:rsid w:val="008F6B6E"/>
    <w:rsid w:val="008F6BDB"/>
    <w:rsid w:val="008F6D32"/>
    <w:rsid w:val="008F766D"/>
    <w:rsid w:val="008F7702"/>
    <w:rsid w:val="008F7D33"/>
    <w:rsid w:val="009000F2"/>
    <w:rsid w:val="009002BE"/>
    <w:rsid w:val="0090052B"/>
    <w:rsid w:val="0090085E"/>
    <w:rsid w:val="009008D8"/>
    <w:rsid w:val="00900B58"/>
    <w:rsid w:val="00900C46"/>
    <w:rsid w:val="0090132D"/>
    <w:rsid w:val="009018F3"/>
    <w:rsid w:val="00901DFB"/>
    <w:rsid w:val="00901F4C"/>
    <w:rsid w:val="00902543"/>
    <w:rsid w:val="0090282A"/>
    <w:rsid w:val="009028A5"/>
    <w:rsid w:val="009028D8"/>
    <w:rsid w:val="00902E4D"/>
    <w:rsid w:val="009030F0"/>
    <w:rsid w:val="00903450"/>
    <w:rsid w:val="00903A0D"/>
    <w:rsid w:val="00903B6A"/>
    <w:rsid w:val="00903CE3"/>
    <w:rsid w:val="00903E42"/>
    <w:rsid w:val="00904096"/>
    <w:rsid w:val="009044C8"/>
    <w:rsid w:val="00904937"/>
    <w:rsid w:val="00904A0A"/>
    <w:rsid w:val="00904C4C"/>
    <w:rsid w:val="00905222"/>
    <w:rsid w:val="009059A0"/>
    <w:rsid w:val="00905AA7"/>
    <w:rsid w:val="00905D4C"/>
    <w:rsid w:val="00905F78"/>
    <w:rsid w:val="009060DD"/>
    <w:rsid w:val="0090658A"/>
    <w:rsid w:val="00906700"/>
    <w:rsid w:val="00906757"/>
    <w:rsid w:val="0090697E"/>
    <w:rsid w:val="00906AC0"/>
    <w:rsid w:val="00906B5C"/>
    <w:rsid w:val="00906BF0"/>
    <w:rsid w:val="009074C6"/>
    <w:rsid w:val="00907767"/>
    <w:rsid w:val="00907843"/>
    <w:rsid w:val="009079D4"/>
    <w:rsid w:val="0091031D"/>
    <w:rsid w:val="0091056F"/>
    <w:rsid w:val="00910597"/>
    <w:rsid w:val="0091069E"/>
    <w:rsid w:val="00910CDD"/>
    <w:rsid w:val="0091101B"/>
    <w:rsid w:val="009111D6"/>
    <w:rsid w:val="0091163F"/>
    <w:rsid w:val="00911E43"/>
    <w:rsid w:val="0091231B"/>
    <w:rsid w:val="009126A3"/>
    <w:rsid w:val="0091285B"/>
    <w:rsid w:val="00912B0F"/>
    <w:rsid w:val="009130F5"/>
    <w:rsid w:val="00913124"/>
    <w:rsid w:val="009133CB"/>
    <w:rsid w:val="00913540"/>
    <w:rsid w:val="00913724"/>
    <w:rsid w:val="00913C7A"/>
    <w:rsid w:val="00913DF6"/>
    <w:rsid w:val="00913ECD"/>
    <w:rsid w:val="009145AA"/>
    <w:rsid w:val="00914B9D"/>
    <w:rsid w:val="00914CE0"/>
    <w:rsid w:val="00914DC5"/>
    <w:rsid w:val="0091506C"/>
    <w:rsid w:val="00915A5C"/>
    <w:rsid w:val="00915BB6"/>
    <w:rsid w:val="00915E1E"/>
    <w:rsid w:val="00915F0F"/>
    <w:rsid w:val="009161BE"/>
    <w:rsid w:val="009161EA"/>
    <w:rsid w:val="009164B7"/>
    <w:rsid w:val="00916C39"/>
    <w:rsid w:val="009173DC"/>
    <w:rsid w:val="00917564"/>
    <w:rsid w:val="00917C15"/>
    <w:rsid w:val="00917ED4"/>
    <w:rsid w:val="0092027B"/>
    <w:rsid w:val="00920C7B"/>
    <w:rsid w:val="00920EEA"/>
    <w:rsid w:val="00920F18"/>
    <w:rsid w:val="009214CA"/>
    <w:rsid w:val="00921907"/>
    <w:rsid w:val="00922A70"/>
    <w:rsid w:val="00922B7D"/>
    <w:rsid w:val="00922DEC"/>
    <w:rsid w:val="00922E06"/>
    <w:rsid w:val="0092356B"/>
    <w:rsid w:val="00923E08"/>
    <w:rsid w:val="009240E8"/>
    <w:rsid w:val="00924757"/>
    <w:rsid w:val="00924DE7"/>
    <w:rsid w:val="0092558C"/>
    <w:rsid w:val="0092568F"/>
    <w:rsid w:val="009257EA"/>
    <w:rsid w:val="0092597A"/>
    <w:rsid w:val="00925AD5"/>
    <w:rsid w:val="00925E2C"/>
    <w:rsid w:val="00926031"/>
    <w:rsid w:val="00926371"/>
    <w:rsid w:val="009269F6"/>
    <w:rsid w:val="00926B86"/>
    <w:rsid w:val="00926BDA"/>
    <w:rsid w:val="00926D64"/>
    <w:rsid w:val="00926ED3"/>
    <w:rsid w:val="00926F4D"/>
    <w:rsid w:val="00926FFE"/>
    <w:rsid w:val="009277F4"/>
    <w:rsid w:val="00927911"/>
    <w:rsid w:val="00927E46"/>
    <w:rsid w:val="0093036F"/>
    <w:rsid w:val="00930678"/>
    <w:rsid w:val="00930736"/>
    <w:rsid w:val="009309FA"/>
    <w:rsid w:val="009311CF"/>
    <w:rsid w:val="0093138B"/>
    <w:rsid w:val="00931466"/>
    <w:rsid w:val="0093194F"/>
    <w:rsid w:val="00931E05"/>
    <w:rsid w:val="00931F0C"/>
    <w:rsid w:val="009321FF"/>
    <w:rsid w:val="009322FB"/>
    <w:rsid w:val="0093233E"/>
    <w:rsid w:val="00932608"/>
    <w:rsid w:val="00932A10"/>
    <w:rsid w:val="00932CD7"/>
    <w:rsid w:val="009331E0"/>
    <w:rsid w:val="0093331D"/>
    <w:rsid w:val="009348EE"/>
    <w:rsid w:val="00934CD3"/>
    <w:rsid w:val="00934D96"/>
    <w:rsid w:val="00934DF7"/>
    <w:rsid w:val="00935E66"/>
    <w:rsid w:val="009360E3"/>
    <w:rsid w:val="0093622D"/>
    <w:rsid w:val="009364BC"/>
    <w:rsid w:val="00936614"/>
    <w:rsid w:val="00936726"/>
    <w:rsid w:val="00936851"/>
    <w:rsid w:val="00936D32"/>
    <w:rsid w:val="00937458"/>
    <w:rsid w:val="0093764C"/>
    <w:rsid w:val="00937751"/>
    <w:rsid w:val="00937860"/>
    <w:rsid w:val="00937C29"/>
    <w:rsid w:val="00937DEE"/>
    <w:rsid w:val="00937FC4"/>
    <w:rsid w:val="0094097E"/>
    <w:rsid w:val="00941206"/>
    <w:rsid w:val="00941746"/>
    <w:rsid w:val="0094175F"/>
    <w:rsid w:val="00941AC0"/>
    <w:rsid w:val="00941B0F"/>
    <w:rsid w:val="00941C48"/>
    <w:rsid w:val="00941E91"/>
    <w:rsid w:val="00941F10"/>
    <w:rsid w:val="00941F9C"/>
    <w:rsid w:val="00942895"/>
    <w:rsid w:val="00942EBA"/>
    <w:rsid w:val="00943068"/>
    <w:rsid w:val="009438A6"/>
    <w:rsid w:val="0094390B"/>
    <w:rsid w:val="00943F97"/>
    <w:rsid w:val="009443F0"/>
    <w:rsid w:val="00944518"/>
    <w:rsid w:val="009445AC"/>
    <w:rsid w:val="00944779"/>
    <w:rsid w:val="00944947"/>
    <w:rsid w:val="00944C12"/>
    <w:rsid w:val="00944D7D"/>
    <w:rsid w:val="00944F5D"/>
    <w:rsid w:val="009450C2"/>
    <w:rsid w:val="0094519E"/>
    <w:rsid w:val="00945223"/>
    <w:rsid w:val="009453A1"/>
    <w:rsid w:val="0094554F"/>
    <w:rsid w:val="0094564D"/>
    <w:rsid w:val="00945770"/>
    <w:rsid w:val="009459F0"/>
    <w:rsid w:val="00945F9A"/>
    <w:rsid w:val="00946289"/>
    <w:rsid w:val="009464D9"/>
    <w:rsid w:val="00946A0A"/>
    <w:rsid w:val="00946C2A"/>
    <w:rsid w:val="00946F8E"/>
    <w:rsid w:val="009475FF"/>
    <w:rsid w:val="00950167"/>
    <w:rsid w:val="009501CB"/>
    <w:rsid w:val="00950208"/>
    <w:rsid w:val="009505F8"/>
    <w:rsid w:val="00950705"/>
    <w:rsid w:val="00950C74"/>
    <w:rsid w:val="00950F82"/>
    <w:rsid w:val="00950F85"/>
    <w:rsid w:val="00951675"/>
    <w:rsid w:val="00951B4E"/>
    <w:rsid w:val="00951C35"/>
    <w:rsid w:val="00951DBA"/>
    <w:rsid w:val="00952139"/>
    <w:rsid w:val="009523D0"/>
    <w:rsid w:val="00952661"/>
    <w:rsid w:val="00952864"/>
    <w:rsid w:val="009528D6"/>
    <w:rsid w:val="00952FB8"/>
    <w:rsid w:val="00953065"/>
    <w:rsid w:val="00953228"/>
    <w:rsid w:val="00953621"/>
    <w:rsid w:val="00953C2C"/>
    <w:rsid w:val="00953D72"/>
    <w:rsid w:val="00954029"/>
    <w:rsid w:val="0095464A"/>
    <w:rsid w:val="009547FF"/>
    <w:rsid w:val="00954F0B"/>
    <w:rsid w:val="0095530C"/>
    <w:rsid w:val="00955402"/>
    <w:rsid w:val="009555D5"/>
    <w:rsid w:val="00955C32"/>
    <w:rsid w:val="0095620A"/>
    <w:rsid w:val="00956899"/>
    <w:rsid w:val="00956B46"/>
    <w:rsid w:val="00956C95"/>
    <w:rsid w:val="009570F1"/>
    <w:rsid w:val="0095713E"/>
    <w:rsid w:val="009574AC"/>
    <w:rsid w:val="00957540"/>
    <w:rsid w:val="00957ACF"/>
    <w:rsid w:val="00957C7B"/>
    <w:rsid w:val="009602BF"/>
    <w:rsid w:val="00960330"/>
    <w:rsid w:val="009605A1"/>
    <w:rsid w:val="009609C9"/>
    <w:rsid w:val="00960B12"/>
    <w:rsid w:val="00960CD7"/>
    <w:rsid w:val="00960D51"/>
    <w:rsid w:val="0096132A"/>
    <w:rsid w:val="00961529"/>
    <w:rsid w:val="009616FB"/>
    <w:rsid w:val="00961891"/>
    <w:rsid w:val="009618B3"/>
    <w:rsid w:val="00961A65"/>
    <w:rsid w:val="00961DC0"/>
    <w:rsid w:val="00961E04"/>
    <w:rsid w:val="0096230A"/>
    <w:rsid w:val="009624BF"/>
    <w:rsid w:val="009630C9"/>
    <w:rsid w:val="00963119"/>
    <w:rsid w:val="00963346"/>
    <w:rsid w:val="009634D1"/>
    <w:rsid w:val="00963A11"/>
    <w:rsid w:val="00963E57"/>
    <w:rsid w:val="00964239"/>
    <w:rsid w:val="009644A7"/>
    <w:rsid w:val="00964B5B"/>
    <w:rsid w:val="00964B81"/>
    <w:rsid w:val="00964BBB"/>
    <w:rsid w:val="00964EB5"/>
    <w:rsid w:val="00965216"/>
    <w:rsid w:val="00965895"/>
    <w:rsid w:val="00965F1F"/>
    <w:rsid w:val="00966204"/>
    <w:rsid w:val="009662F0"/>
    <w:rsid w:val="009668F7"/>
    <w:rsid w:val="0096756C"/>
    <w:rsid w:val="0096757D"/>
    <w:rsid w:val="009677B7"/>
    <w:rsid w:val="0096788C"/>
    <w:rsid w:val="00967FE2"/>
    <w:rsid w:val="0097031C"/>
    <w:rsid w:val="00970379"/>
    <w:rsid w:val="009705E3"/>
    <w:rsid w:val="0097073C"/>
    <w:rsid w:val="00970786"/>
    <w:rsid w:val="00970897"/>
    <w:rsid w:val="00970BC8"/>
    <w:rsid w:val="00970E45"/>
    <w:rsid w:val="0097127C"/>
    <w:rsid w:val="009717F8"/>
    <w:rsid w:val="00971AE8"/>
    <w:rsid w:val="00971D4E"/>
    <w:rsid w:val="00971D99"/>
    <w:rsid w:val="00971EBD"/>
    <w:rsid w:val="0097215C"/>
    <w:rsid w:val="00972A91"/>
    <w:rsid w:val="0097321D"/>
    <w:rsid w:val="009734E2"/>
    <w:rsid w:val="009737D4"/>
    <w:rsid w:val="00973BBD"/>
    <w:rsid w:val="00973BF2"/>
    <w:rsid w:val="00973CDA"/>
    <w:rsid w:val="00973E21"/>
    <w:rsid w:val="00973E65"/>
    <w:rsid w:val="00973EA7"/>
    <w:rsid w:val="009742EA"/>
    <w:rsid w:val="00974573"/>
    <w:rsid w:val="00974614"/>
    <w:rsid w:val="00974858"/>
    <w:rsid w:val="009759BA"/>
    <w:rsid w:val="00975D00"/>
    <w:rsid w:val="00975EE3"/>
    <w:rsid w:val="00976203"/>
    <w:rsid w:val="009762F8"/>
    <w:rsid w:val="00976434"/>
    <w:rsid w:val="009764EF"/>
    <w:rsid w:val="0097671F"/>
    <w:rsid w:val="00976AB2"/>
    <w:rsid w:val="00976FF1"/>
    <w:rsid w:val="00977079"/>
    <w:rsid w:val="0097711D"/>
    <w:rsid w:val="00977543"/>
    <w:rsid w:val="00977A1C"/>
    <w:rsid w:val="00977E8F"/>
    <w:rsid w:val="00980161"/>
    <w:rsid w:val="0098036D"/>
    <w:rsid w:val="00981223"/>
    <w:rsid w:val="009814D5"/>
    <w:rsid w:val="009816FF"/>
    <w:rsid w:val="0098205D"/>
    <w:rsid w:val="009824C4"/>
    <w:rsid w:val="00982621"/>
    <w:rsid w:val="00982743"/>
    <w:rsid w:val="0098292E"/>
    <w:rsid w:val="00982CA2"/>
    <w:rsid w:val="0098308E"/>
    <w:rsid w:val="00983215"/>
    <w:rsid w:val="009832F9"/>
    <w:rsid w:val="00983814"/>
    <w:rsid w:val="00983C6C"/>
    <w:rsid w:val="009840FB"/>
    <w:rsid w:val="00984590"/>
    <w:rsid w:val="00984D22"/>
    <w:rsid w:val="00984E78"/>
    <w:rsid w:val="00984F3B"/>
    <w:rsid w:val="00985163"/>
    <w:rsid w:val="0098552B"/>
    <w:rsid w:val="0098558D"/>
    <w:rsid w:val="0098564A"/>
    <w:rsid w:val="0098576B"/>
    <w:rsid w:val="00985780"/>
    <w:rsid w:val="00985EF6"/>
    <w:rsid w:val="00986056"/>
    <w:rsid w:val="00986381"/>
    <w:rsid w:val="00986541"/>
    <w:rsid w:val="00986684"/>
    <w:rsid w:val="00986965"/>
    <w:rsid w:val="00986AD5"/>
    <w:rsid w:val="009875B4"/>
    <w:rsid w:val="009878D7"/>
    <w:rsid w:val="00987D88"/>
    <w:rsid w:val="009907E5"/>
    <w:rsid w:val="009916E4"/>
    <w:rsid w:val="0099197A"/>
    <w:rsid w:val="00991A30"/>
    <w:rsid w:val="00991D4B"/>
    <w:rsid w:val="00991EAF"/>
    <w:rsid w:val="0099292A"/>
    <w:rsid w:val="009929B5"/>
    <w:rsid w:val="00992A12"/>
    <w:rsid w:val="00992D41"/>
    <w:rsid w:val="009931C6"/>
    <w:rsid w:val="009939E2"/>
    <w:rsid w:val="00993A93"/>
    <w:rsid w:val="00993B45"/>
    <w:rsid w:val="009942DB"/>
    <w:rsid w:val="0099432C"/>
    <w:rsid w:val="00994410"/>
    <w:rsid w:val="009947AE"/>
    <w:rsid w:val="0099510E"/>
    <w:rsid w:val="009953A2"/>
    <w:rsid w:val="00995795"/>
    <w:rsid w:val="00995E7C"/>
    <w:rsid w:val="00995ECC"/>
    <w:rsid w:val="00995F44"/>
    <w:rsid w:val="00995FC7"/>
    <w:rsid w:val="009960AB"/>
    <w:rsid w:val="00996338"/>
    <w:rsid w:val="0099662B"/>
    <w:rsid w:val="00996A04"/>
    <w:rsid w:val="00997509"/>
    <w:rsid w:val="00997806"/>
    <w:rsid w:val="00997D5E"/>
    <w:rsid w:val="009A05A4"/>
    <w:rsid w:val="009A0679"/>
    <w:rsid w:val="009A082B"/>
    <w:rsid w:val="009A0EC2"/>
    <w:rsid w:val="009A1055"/>
    <w:rsid w:val="009A18BB"/>
    <w:rsid w:val="009A1A2B"/>
    <w:rsid w:val="009A1D0F"/>
    <w:rsid w:val="009A24F5"/>
    <w:rsid w:val="009A27F8"/>
    <w:rsid w:val="009A2D99"/>
    <w:rsid w:val="009A2E32"/>
    <w:rsid w:val="009A37A1"/>
    <w:rsid w:val="009A3A0C"/>
    <w:rsid w:val="009A3D95"/>
    <w:rsid w:val="009A3DB4"/>
    <w:rsid w:val="009A40F3"/>
    <w:rsid w:val="009A41CE"/>
    <w:rsid w:val="009A44EE"/>
    <w:rsid w:val="009A465C"/>
    <w:rsid w:val="009A468A"/>
    <w:rsid w:val="009A4823"/>
    <w:rsid w:val="009A4A9C"/>
    <w:rsid w:val="009A55A8"/>
    <w:rsid w:val="009A59C9"/>
    <w:rsid w:val="009A5C42"/>
    <w:rsid w:val="009A5FEF"/>
    <w:rsid w:val="009A649C"/>
    <w:rsid w:val="009A6B6F"/>
    <w:rsid w:val="009A6BA6"/>
    <w:rsid w:val="009A701E"/>
    <w:rsid w:val="009A7149"/>
    <w:rsid w:val="009A72B5"/>
    <w:rsid w:val="009A74D7"/>
    <w:rsid w:val="009A757B"/>
    <w:rsid w:val="009A76F9"/>
    <w:rsid w:val="009A7998"/>
    <w:rsid w:val="009A7A4C"/>
    <w:rsid w:val="009A7CAA"/>
    <w:rsid w:val="009B0207"/>
    <w:rsid w:val="009B0DBC"/>
    <w:rsid w:val="009B0DCC"/>
    <w:rsid w:val="009B1650"/>
    <w:rsid w:val="009B17F7"/>
    <w:rsid w:val="009B1FEE"/>
    <w:rsid w:val="009B21CD"/>
    <w:rsid w:val="009B229C"/>
    <w:rsid w:val="009B22A3"/>
    <w:rsid w:val="009B2827"/>
    <w:rsid w:val="009B2A34"/>
    <w:rsid w:val="009B2B3E"/>
    <w:rsid w:val="009B2B70"/>
    <w:rsid w:val="009B2C8F"/>
    <w:rsid w:val="009B2DFE"/>
    <w:rsid w:val="009B2F2B"/>
    <w:rsid w:val="009B3925"/>
    <w:rsid w:val="009B3C19"/>
    <w:rsid w:val="009B3E59"/>
    <w:rsid w:val="009B3FC5"/>
    <w:rsid w:val="009B4217"/>
    <w:rsid w:val="009B436E"/>
    <w:rsid w:val="009B4559"/>
    <w:rsid w:val="009B498D"/>
    <w:rsid w:val="009B4B8A"/>
    <w:rsid w:val="009B4BE0"/>
    <w:rsid w:val="009B4F58"/>
    <w:rsid w:val="009B527C"/>
    <w:rsid w:val="009B53E9"/>
    <w:rsid w:val="009B553C"/>
    <w:rsid w:val="009B582E"/>
    <w:rsid w:val="009B600C"/>
    <w:rsid w:val="009B6194"/>
    <w:rsid w:val="009B623C"/>
    <w:rsid w:val="009B6346"/>
    <w:rsid w:val="009B6664"/>
    <w:rsid w:val="009B6AF7"/>
    <w:rsid w:val="009B70E9"/>
    <w:rsid w:val="009B728C"/>
    <w:rsid w:val="009B7993"/>
    <w:rsid w:val="009C025A"/>
    <w:rsid w:val="009C0AE8"/>
    <w:rsid w:val="009C0C6B"/>
    <w:rsid w:val="009C0D93"/>
    <w:rsid w:val="009C11B1"/>
    <w:rsid w:val="009C1329"/>
    <w:rsid w:val="009C14B1"/>
    <w:rsid w:val="009C1520"/>
    <w:rsid w:val="009C1677"/>
    <w:rsid w:val="009C1B15"/>
    <w:rsid w:val="009C1E63"/>
    <w:rsid w:val="009C1F34"/>
    <w:rsid w:val="009C241E"/>
    <w:rsid w:val="009C24DE"/>
    <w:rsid w:val="009C268D"/>
    <w:rsid w:val="009C2CD2"/>
    <w:rsid w:val="009C317C"/>
    <w:rsid w:val="009C3EB4"/>
    <w:rsid w:val="009C46B7"/>
    <w:rsid w:val="009C4B94"/>
    <w:rsid w:val="009C4EB8"/>
    <w:rsid w:val="009C4EFF"/>
    <w:rsid w:val="009C4F1C"/>
    <w:rsid w:val="009C50C5"/>
    <w:rsid w:val="009C56DE"/>
    <w:rsid w:val="009C56F3"/>
    <w:rsid w:val="009C5BE8"/>
    <w:rsid w:val="009C5F5C"/>
    <w:rsid w:val="009C6D83"/>
    <w:rsid w:val="009C6E03"/>
    <w:rsid w:val="009C704C"/>
    <w:rsid w:val="009C70A7"/>
    <w:rsid w:val="009C717F"/>
    <w:rsid w:val="009C76CF"/>
    <w:rsid w:val="009C77AA"/>
    <w:rsid w:val="009C785B"/>
    <w:rsid w:val="009C7D1E"/>
    <w:rsid w:val="009D02A7"/>
    <w:rsid w:val="009D03B1"/>
    <w:rsid w:val="009D1187"/>
    <w:rsid w:val="009D118B"/>
    <w:rsid w:val="009D1386"/>
    <w:rsid w:val="009D15A8"/>
    <w:rsid w:val="009D20B4"/>
    <w:rsid w:val="009D20B8"/>
    <w:rsid w:val="009D2138"/>
    <w:rsid w:val="009D227E"/>
    <w:rsid w:val="009D29BD"/>
    <w:rsid w:val="009D3528"/>
    <w:rsid w:val="009D3A6B"/>
    <w:rsid w:val="009D3AF6"/>
    <w:rsid w:val="009D3B0E"/>
    <w:rsid w:val="009D3B94"/>
    <w:rsid w:val="009D4121"/>
    <w:rsid w:val="009D44B7"/>
    <w:rsid w:val="009D486D"/>
    <w:rsid w:val="009D495C"/>
    <w:rsid w:val="009D4B79"/>
    <w:rsid w:val="009D4BEB"/>
    <w:rsid w:val="009D54C3"/>
    <w:rsid w:val="009D5762"/>
    <w:rsid w:val="009D5799"/>
    <w:rsid w:val="009D5809"/>
    <w:rsid w:val="009D5980"/>
    <w:rsid w:val="009D59DB"/>
    <w:rsid w:val="009D5B67"/>
    <w:rsid w:val="009D5DD7"/>
    <w:rsid w:val="009D5F7F"/>
    <w:rsid w:val="009D6517"/>
    <w:rsid w:val="009D6587"/>
    <w:rsid w:val="009D6AF3"/>
    <w:rsid w:val="009D73A2"/>
    <w:rsid w:val="009D74C2"/>
    <w:rsid w:val="009D75B3"/>
    <w:rsid w:val="009D79E3"/>
    <w:rsid w:val="009D7BDA"/>
    <w:rsid w:val="009D7C3F"/>
    <w:rsid w:val="009D7CE1"/>
    <w:rsid w:val="009D7D53"/>
    <w:rsid w:val="009D7E9F"/>
    <w:rsid w:val="009E033A"/>
    <w:rsid w:val="009E0666"/>
    <w:rsid w:val="009E0A22"/>
    <w:rsid w:val="009E0EE4"/>
    <w:rsid w:val="009E1244"/>
    <w:rsid w:val="009E13AA"/>
    <w:rsid w:val="009E1649"/>
    <w:rsid w:val="009E16EB"/>
    <w:rsid w:val="009E170B"/>
    <w:rsid w:val="009E1796"/>
    <w:rsid w:val="009E1BEB"/>
    <w:rsid w:val="009E2095"/>
    <w:rsid w:val="009E2360"/>
    <w:rsid w:val="009E2CEF"/>
    <w:rsid w:val="009E2D54"/>
    <w:rsid w:val="009E30C3"/>
    <w:rsid w:val="009E316B"/>
    <w:rsid w:val="009E35F8"/>
    <w:rsid w:val="009E397A"/>
    <w:rsid w:val="009E3BDA"/>
    <w:rsid w:val="009E3C5C"/>
    <w:rsid w:val="009E3F57"/>
    <w:rsid w:val="009E4059"/>
    <w:rsid w:val="009E42DD"/>
    <w:rsid w:val="009E4642"/>
    <w:rsid w:val="009E48CA"/>
    <w:rsid w:val="009E4D0E"/>
    <w:rsid w:val="009E4F6C"/>
    <w:rsid w:val="009E50AC"/>
    <w:rsid w:val="009E51EB"/>
    <w:rsid w:val="009E5550"/>
    <w:rsid w:val="009E56AD"/>
    <w:rsid w:val="009E5887"/>
    <w:rsid w:val="009E59AC"/>
    <w:rsid w:val="009E6084"/>
    <w:rsid w:val="009E63F3"/>
    <w:rsid w:val="009E68B7"/>
    <w:rsid w:val="009E6B5D"/>
    <w:rsid w:val="009E7D30"/>
    <w:rsid w:val="009F00D9"/>
    <w:rsid w:val="009F01E5"/>
    <w:rsid w:val="009F04CA"/>
    <w:rsid w:val="009F04E8"/>
    <w:rsid w:val="009F0716"/>
    <w:rsid w:val="009F0EFC"/>
    <w:rsid w:val="009F11C7"/>
    <w:rsid w:val="009F1394"/>
    <w:rsid w:val="009F2128"/>
    <w:rsid w:val="009F2152"/>
    <w:rsid w:val="009F24B1"/>
    <w:rsid w:val="009F2586"/>
    <w:rsid w:val="009F2B88"/>
    <w:rsid w:val="009F31B4"/>
    <w:rsid w:val="009F338D"/>
    <w:rsid w:val="009F33FB"/>
    <w:rsid w:val="009F364B"/>
    <w:rsid w:val="009F39EB"/>
    <w:rsid w:val="009F3D74"/>
    <w:rsid w:val="009F41EF"/>
    <w:rsid w:val="009F4239"/>
    <w:rsid w:val="009F49AB"/>
    <w:rsid w:val="009F4AE0"/>
    <w:rsid w:val="009F4CD6"/>
    <w:rsid w:val="009F50C2"/>
    <w:rsid w:val="009F5466"/>
    <w:rsid w:val="009F5491"/>
    <w:rsid w:val="009F5C34"/>
    <w:rsid w:val="009F5F66"/>
    <w:rsid w:val="009F63A7"/>
    <w:rsid w:val="009F6468"/>
    <w:rsid w:val="009F64F9"/>
    <w:rsid w:val="009F6A94"/>
    <w:rsid w:val="009F6B1D"/>
    <w:rsid w:val="009F6C56"/>
    <w:rsid w:val="009F6CE5"/>
    <w:rsid w:val="009F6F4D"/>
    <w:rsid w:val="009F7070"/>
    <w:rsid w:val="009F7092"/>
    <w:rsid w:val="009F7404"/>
    <w:rsid w:val="009F76CF"/>
    <w:rsid w:val="009F79E9"/>
    <w:rsid w:val="009F7A32"/>
    <w:rsid w:val="009F7C5F"/>
    <w:rsid w:val="009FCC30"/>
    <w:rsid w:val="00A0016F"/>
    <w:rsid w:val="00A00930"/>
    <w:rsid w:val="00A017F5"/>
    <w:rsid w:val="00A01CD9"/>
    <w:rsid w:val="00A01D32"/>
    <w:rsid w:val="00A02464"/>
    <w:rsid w:val="00A025CB"/>
    <w:rsid w:val="00A02945"/>
    <w:rsid w:val="00A02DAE"/>
    <w:rsid w:val="00A03222"/>
    <w:rsid w:val="00A033F6"/>
    <w:rsid w:val="00A03476"/>
    <w:rsid w:val="00A03645"/>
    <w:rsid w:val="00A03B8C"/>
    <w:rsid w:val="00A03F85"/>
    <w:rsid w:val="00A04AAC"/>
    <w:rsid w:val="00A04C08"/>
    <w:rsid w:val="00A04D91"/>
    <w:rsid w:val="00A04E05"/>
    <w:rsid w:val="00A0506E"/>
    <w:rsid w:val="00A050CA"/>
    <w:rsid w:val="00A05668"/>
    <w:rsid w:val="00A05734"/>
    <w:rsid w:val="00A05AF5"/>
    <w:rsid w:val="00A05B8D"/>
    <w:rsid w:val="00A0625C"/>
    <w:rsid w:val="00A06376"/>
    <w:rsid w:val="00A063D8"/>
    <w:rsid w:val="00A066F2"/>
    <w:rsid w:val="00A0688A"/>
    <w:rsid w:val="00A06B03"/>
    <w:rsid w:val="00A06B13"/>
    <w:rsid w:val="00A06BEF"/>
    <w:rsid w:val="00A06BF1"/>
    <w:rsid w:val="00A100A0"/>
    <w:rsid w:val="00A106CD"/>
    <w:rsid w:val="00A107F4"/>
    <w:rsid w:val="00A10D75"/>
    <w:rsid w:val="00A111C0"/>
    <w:rsid w:val="00A11311"/>
    <w:rsid w:val="00A114C4"/>
    <w:rsid w:val="00A12605"/>
    <w:rsid w:val="00A12C48"/>
    <w:rsid w:val="00A12C8A"/>
    <w:rsid w:val="00A12E2F"/>
    <w:rsid w:val="00A12E5F"/>
    <w:rsid w:val="00A13028"/>
    <w:rsid w:val="00A13137"/>
    <w:rsid w:val="00A13185"/>
    <w:rsid w:val="00A1358F"/>
    <w:rsid w:val="00A1359A"/>
    <w:rsid w:val="00A13945"/>
    <w:rsid w:val="00A13AFA"/>
    <w:rsid w:val="00A13C5C"/>
    <w:rsid w:val="00A14079"/>
    <w:rsid w:val="00A142C7"/>
    <w:rsid w:val="00A14447"/>
    <w:rsid w:val="00A14452"/>
    <w:rsid w:val="00A146C1"/>
    <w:rsid w:val="00A14B88"/>
    <w:rsid w:val="00A15265"/>
    <w:rsid w:val="00A15D67"/>
    <w:rsid w:val="00A15EA7"/>
    <w:rsid w:val="00A1625C"/>
    <w:rsid w:val="00A1657D"/>
    <w:rsid w:val="00A16708"/>
    <w:rsid w:val="00A16AF4"/>
    <w:rsid w:val="00A16BA5"/>
    <w:rsid w:val="00A172BA"/>
    <w:rsid w:val="00A173E5"/>
    <w:rsid w:val="00A1788A"/>
    <w:rsid w:val="00A17C06"/>
    <w:rsid w:val="00A17C3E"/>
    <w:rsid w:val="00A20187"/>
    <w:rsid w:val="00A206BC"/>
    <w:rsid w:val="00A20A6F"/>
    <w:rsid w:val="00A20B29"/>
    <w:rsid w:val="00A20BB3"/>
    <w:rsid w:val="00A20FE0"/>
    <w:rsid w:val="00A212D2"/>
    <w:rsid w:val="00A212FD"/>
    <w:rsid w:val="00A215A7"/>
    <w:rsid w:val="00A2161E"/>
    <w:rsid w:val="00A218BE"/>
    <w:rsid w:val="00A21987"/>
    <w:rsid w:val="00A2285B"/>
    <w:rsid w:val="00A228F6"/>
    <w:rsid w:val="00A229CF"/>
    <w:rsid w:val="00A22A72"/>
    <w:rsid w:val="00A22B0E"/>
    <w:rsid w:val="00A22C1C"/>
    <w:rsid w:val="00A22D84"/>
    <w:rsid w:val="00A22F77"/>
    <w:rsid w:val="00A23369"/>
    <w:rsid w:val="00A2343D"/>
    <w:rsid w:val="00A23454"/>
    <w:rsid w:val="00A238DC"/>
    <w:rsid w:val="00A23CC9"/>
    <w:rsid w:val="00A23ED2"/>
    <w:rsid w:val="00A247A4"/>
    <w:rsid w:val="00A247F2"/>
    <w:rsid w:val="00A24A95"/>
    <w:rsid w:val="00A24B7E"/>
    <w:rsid w:val="00A24E42"/>
    <w:rsid w:val="00A2517F"/>
    <w:rsid w:val="00A25410"/>
    <w:rsid w:val="00A25754"/>
    <w:rsid w:val="00A25A5A"/>
    <w:rsid w:val="00A25AAF"/>
    <w:rsid w:val="00A25AF5"/>
    <w:rsid w:val="00A25DA1"/>
    <w:rsid w:val="00A2601A"/>
    <w:rsid w:val="00A2602E"/>
    <w:rsid w:val="00A265A1"/>
    <w:rsid w:val="00A26A93"/>
    <w:rsid w:val="00A26B8E"/>
    <w:rsid w:val="00A27182"/>
    <w:rsid w:val="00A27296"/>
    <w:rsid w:val="00A272A0"/>
    <w:rsid w:val="00A272CE"/>
    <w:rsid w:val="00A2735B"/>
    <w:rsid w:val="00A2741E"/>
    <w:rsid w:val="00A274B0"/>
    <w:rsid w:val="00A27787"/>
    <w:rsid w:val="00A27798"/>
    <w:rsid w:val="00A2799B"/>
    <w:rsid w:val="00A27C48"/>
    <w:rsid w:val="00A27C97"/>
    <w:rsid w:val="00A27FD0"/>
    <w:rsid w:val="00A300AE"/>
    <w:rsid w:val="00A3049F"/>
    <w:rsid w:val="00A30573"/>
    <w:rsid w:val="00A305E1"/>
    <w:rsid w:val="00A309FC"/>
    <w:rsid w:val="00A30A01"/>
    <w:rsid w:val="00A30DD6"/>
    <w:rsid w:val="00A30E1D"/>
    <w:rsid w:val="00A30ECE"/>
    <w:rsid w:val="00A310B5"/>
    <w:rsid w:val="00A3147A"/>
    <w:rsid w:val="00A31820"/>
    <w:rsid w:val="00A31A57"/>
    <w:rsid w:val="00A31E4B"/>
    <w:rsid w:val="00A3245F"/>
    <w:rsid w:val="00A32924"/>
    <w:rsid w:val="00A32D1B"/>
    <w:rsid w:val="00A33162"/>
    <w:rsid w:val="00A33449"/>
    <w:rsid w:val="00A336A7"/>
    <w:rsid w:val="00A337BE"/>
    <w:rsid w:val="00A337D4"/>
    <w:rsid w:val="00A33BD3"/>
    <w:rsid w:val="00A33C8A"/>
    <w:rsid w:val="00A33DAF"/>
    <w:rsid w:val="00A344C3"/>
    <w:rsid w:val="00A348A7"/>
    <w:rsid w:val="00A35D5C"/>
    <w:rsid w:val="00A35D72"/>
    <w:rsid w:val="00A3616E"/>
    <w:rsid w:val="00A3618A"/>
    <w:rsid w:val="00A36283"/>
    <w:rsid w:val="00A36451"/>
    <w:rsid w:val="00A36A55"/>
    <w:rsid w:val="00A36FDF"/>
    <w:rsid w:val="00A37FD1"/>
    <w:rsid w:val="00A405D8"/>
    <w:rsid w:val="00A4082D"/>
    <w:rsid w:val="00A40D1E"/>
    <w:rsid w:val="00A41B4F"/>
    <w:rsid w:val="00A41E7C"/>
    <w:rsid w:val="00A42C4C"/>
    <w:rsid w:val="00A42D1A"/>
    <w:rsid w:val="00A42D66"/>
    <w:rsid w:val="00A42DF3"/>
    <w:rsid w:val="00A4326E"/>
    <w:rsid w:val="00A434B6"/>
    <w:rsid w:val="00A438E3"/>
    <w:rsid w:val="00A43E48"/>
    <w:rsid w:val="00A43E9E"/>
    <w:rsid w:val="00A43EFD"/>
    <w:rsid w:val="00A44084"/>
    <w:rsid w:val="00A441F6"/>
    <w:rsid w:val="00A44579"/>
    <w:rsid w:val="00A44F41"/>
    <w:rsid w:val="00A44F53"/>
    <w:rsid w:val="00A450AF"/>
    <w:rsid w:val="00A4510A"/>
    <w:rsid w:val="00A455AC"/>
    <w:rsid w:val="00A45737"/>
    <w:rsid w:val="00A4574E"/>
    <w:rsid w:val="00A45D2F"/>
    <w:rsid w:val="00A45D49"/>
    <w:rsid w:val="00A46322"/>
    <w:rsid w:val="00A46878"/>
    <w:rsid w:val="00A46C7B"/>
    <w:rsid w:val="00A46CEF"/>
    <w:rsid w:val="00A46D0D"/>
    <w:rsid w:val="00A46E2F"/>
    <w:rsid w:val="00A472DE"/>
    <w:rsid w:val="00A473AF"/>
    <w:rsid w:val="00A474E1"/>
    <w:rsid w:val="00A47BA9"/>
    <w:rsid w:val="00A47C35"/>
    <w:rsid w:val="00A47CF8"/>
    <w:rsid w:val="00A47F63"/>
    <w:rsid w:val="00A502EA"/>
    <w:rsid w:val="00A50352"/>
    <w:rsid w:val="00A503C9"/>
    <w:rsid w:val="00A5045C"/>
    <w:rsid w:val="00A5081B"/>
    <w:rsid w:val="00A50D3C"/>
    <w:rsid w:val="00A510F2"/>
    <w:rsid w:val="00A51464"/>
    <w:rsid w:val="00A5180F"/>
    <w:rsid w:val="00A51B76"/>
    <w:rsid w:val="00A5287A"/>
    <w:rsid w:val="00A528E8"/>
    <w:rsid w:val="00A52969"/>
    <w:rsid w:val="00A52AE0"/>
    <w:rsid w:val="00A52AEC"/>
    <w:rsid w:val="00A52C84"/>
    <w:rsid w:val="00A52EDF"/>
    <w:rsid w:val="00A541D7"/>
    <w:rsid w:val="00A54272"/>
    <w:rsid w:val="00A5467A"/>
    <w:rsid w:val="00A5477E"/>
    <w:rsid w:val="00A54FC3"/>
    <w:rsid w:val="00A55091"/>
    <w:rsid w:val="00A55EB2"/>
    <w:rsid w:val="00A55FC7"/>
    <w:rsid w:val="00A561CB"/>
    <w:rsid w:val="00A567B5"/>
    <w:rsid w:val="00A567D4"/>
    <w:rsid w:val="00A5680D"/>
    <w:rsid w:val="00A56D8F"/>
    <w:rsid w:val="00A56F50"/>
    <w:rsid w:val="00A57A2B"/>
    <w:rsid w:val="00A57B15"/>
    <w:rsid w:val="00A57BAC"/>
    <w:rsid w:val="00A57C30"/>
    <w:rsid w:val="00A57E8D"/>
    <w:rsid w:val="00A6042D"/>
    <w:rsid w:val="00A60712"/>
    <w:rsid w:val="00A60811"/>
    <w:rsid w:val="00A61056"/>
    <w:rsid w:val="00A6126C"/>
    <w:rsid w:val="00A61472"/>
    <w:rsid w:val="00A61476"/>
    <w:rsid w:val="00A6217A"/>
    <w:rsid w:val="00A62185"/>
    <w:rsid w:val="00A621C2"/>
    <w:rsid w:val="00A62363"/>
    <w:rsid w:val="00A62526"/>
    <w:rsid w:val="00A62818"/>
    <w:rsid w:val="00A62F4F"/>
    <w:rsid w:val="00A639D7"/>
    <w:rsid w:val="00A63A1F"/>
    <w:rsid w:val="00A63EBA"/>
    <w:rsid w:val="00A64553"/>
    <w:rsid w:val="00A645C2"/>
    <w:rsid w:val="00A64B5A"/>
    <w:rsid w:val="00A64F29"/>
    <w:rsid w:val="00A65113"/>
    <w:rsid w:val="00A65A65"/>
    <w:rsid w:val="00A65C20"/>
    <w:rsid w:val="00A65D9C"/>
    <w:rsid w:val="00A65E5C"/>
    <w:rsid w:val="00A666B9"/>
    <w:rsid w:val="00A666E7"/>
    <w:rsid w:val="00A66797"/>
    <w:rsid w:val="00A66911"/>
    <w:rsid w:val="00A66C41"/>
    <w:rsid w:val="00A66DB9"/>
    <w:rsid w:val="00A66E4A"/>
    <w:rsid w:val="00A671BC"/>
    <w:rsid w:val="00A6777D"/>
    <w:rsid w:val="00A679E8"/>
    <w:rsid w:val="00A70604"/>
    <w:rsid w:val="00A70E98"/>
    <w:rsid w:val="00A70FE7"/>
    <w:rsid w:val="00A711A6"/>
    <w:rsid w:val="00A716CB"/>
    <w:rsid w:val="00A71B22"/>
    <w:rsid w:val="00A725A9"/>
    <w:rsid w:val="00A727E1"/>
    <w:rsid w:val="00A72840"/>
    <w:rsid w:val="00A72ADA"/>
    <w:rsid w:val="00A72B43"/>
    <w:rsid w:val="00A72CB5"/>
    <w:rsid w:val="00A7353A"/>
    <w:rsid w:val="00A73774"/>
    <w:rsid w:val="00A7396E"/>
    <w:rsid w:val="00A73CF1"/>
    <w:rsid w:val="00A73D63"/>
    <w:rsid w:val="00A7416D"/>
    <w:rsid w:val="00A741CB"/>
    <w:rsid w:val="00A74235"/>
    <w:rsid w:val="00A74313"/>
    <w:rsid w:val="00A74C34"/>
    <w:rsid w:val="00A75162"/>
    <w:rsid w:val="00A75372"/>
    <w:rsid w:val="00A7584F"/>
    <w:rsid w:val="00A758A0"/>
    <w:rsid w:val="00A75AAD"/>
    <w:rsid w:val="00A762C8"/>
    <w:rsid w:val="00A7665A"/>
    <w:rsid w:val="00A768F1"/>
    <w:rsid w:val="00A76969"/>
    <w:rsid w:val="00A76DF7"/>
    <w:rsid w:val="00A76F48"/>
    <w:rsid w:val="00A77157"/>
    <w:rsid w:val="00A77296"/>
    <w:rsid w:val="00A772B7"/>
    <w:rsid w:val="00A77C19"/>
    <w:rsid w:val="00A77D37"/>
    <w:rsid w:val="00A77FCD"/>
    <w:rsid w:val="00A80027"/>
    <w:rsid w:val="00A81241"/>
    <w:rsid w:val="00A81522"/>
    <w:rsid w:val="00A81537"/>
    <w:rsid w:val="00A8157E"/>
    <w:rsid w:val="00A815C2"/>
    <w:rsid w:val="00A8171A"/>
    <w:rsid w:val="00A82150"/>
    <w:rsid w:val="00A82579"/>
    <w:rsid w:val="00A8279A"/>
    <w:rsid w:val="00A82D31"/>
    <w:rsid w:val="00A8324B"/>
    <w:rsid w:val="00A8346B"/>
    <w:rsid w:val="00A8352A"/>
    <w:rsid w:val="00A83770"/>
    <w:rsid w:val="00A83F31"/>
    <w:rsid w:val="00A840DA"/>
    <w:rsid w:val="00A846F9"/>
    <w:rsid w:val="00A84856"/>
    <w:rsid w:val="00A8491D"/>
    <w:rsid w:val="00A84EFC"/>
    <w:rsid w:val="00A85363"/>
    <w:rsid w:val="00A85427"/>
    <w:rsid w:val="00A855EE"/>
    <w:rsid w:val="00A856B7"/>
    <w:rsid w:val="00A85A9B"/>
    <w:rsid w:val="00A865FF"/>
    <w:rsid w:val="00A8690C"/>
    <w:rsid w:val="00A871A3"/>
    <w:rsid w:val="00A87377"/>
    <w:rsid w:val="00A87720"/>
    <w:rsid w:val="00A87B75"/>
    <w:rsid w:val="00A87ED0"/>
    <w:rsid w:val="00A900E4"/>
    <w:rsid w:val="00A90103"/>
    <w:rsid w:val="00A901BE"/>
    <w:rsid w:val="00A90868"/>
    <w:rsid w:val="00A908CF"/>
    <w:rsid w:val="00A90B06"/>
    <w:rsid w:val="00A90BB6"/>
    <w:rsid w:val="00A90DBE"/>
    <w:rsid w:val="00A90EA3"/>
    <w:rsid w:val="00A90EDC"/>
    <w:rsid w:val="00A90F54"/>
    <w:rsid w:val="00A9100D"/>
    <w:rsid w:val="00A91309"/>
    <w:rsid w:val="00A91481"/>
    <w:rsid w:val="00A91561"/>
    <w:rsid w:val="00A91FFC"/>
    <w:rsid w:val="00A923B8"/>
    <w:rsid w:val="00A92BD7"/>
    <w:rsid w:val="00A93389"/>
    <w:rsid w:val="00A936E1"/>
    <w:rsid w:val="00A93ABF"/>
    <w:rsid w:val="00A93EA6"/>
    <w:rsid w:val="00A93ED4"/>
    <w:rsid w:val="00A948F2"/>
    <w:rsid w:val="00A94F20"/>
    <w:rsid w:val="00A95357"/>
    <w:rsid w:val="00A954F5"/>
    <w:rsid w:val="00A955FD"/>
    <w:rsid w:val="00A959D0"/>
    <w:rsid w:val="00A95A6E"/>
    <w:rsid w:val="00A95ABF"/>
    <w:rsid w:val="00A95C7F"/>
    <w:rsid w:val="00A95D19"/>
    <w:rsid w:val="00A95DA2"/>
    <w:rsid w:val="00A9650E"/>
    <w:rsid w:val="00A9693C"/>
    <w:rsid w:val="00A969F0"/>
    <w:rsid w:val="00A96AEE"/>
    <w:rsid w:val="00A96EBD"/>
    <w:rsid w:val="00AA061F"/>
    <w:rsid w:val="00AA076A"/>
    <w:rsid w:val="00AA1154"/>
    <w:rsid w:val="00AA122D"/>
    <w:rsid w:val="00AA1468"/>
    <w:rsid w:val="00AA155E"/>
    <w:rsid w:val="00AA1FE3"/>
    <w:rsid w:val="00AA24A2"/>
    <w:rsid w:val="00AA2E13"/>
    <w:rsid w:val="00AA2E34"/>
    <w:rsid w:val="00AA3015"/>
    <w:rsid w:val="00AA3359"/>
    <w:rsid w:val="00AA3478"/>
    <w:rsid w:val="00AA34D8"/>
    <w:rsid w:val="00AA3501"/>
    <w:rsid w:val="00AA3512"/>
    <w:rsid w:val="00AA356C"/>
    <w:rsid w:val="00AA3D57"/>
    <w:rsid w:val="00AA3F9D"/>
    <w:rsid w:val="00AA41BA"/>
    <w:rsid w:val="00AA4389"/>
    <w:rsid w:val="00AA484A"/>
    <w:rsid w:val="00AA4C84"/>
    <w:rsid w:val="00AA515C"/>
    <w:rsid w:val="00AA534C"/>
    <w:rsid w:val="00AA54A3"/>
    <w:rsid w:val="00AA54EC"/>
    <w:rsid w:val="00AA64F8"/>
    <w:rsid w:val="00AA6734"/>
    <w:rsid w:val="00AA6CAF"/>
    <w:rsid w:val="00AA780E"/>
    <w:rsid w:val="00AA7968"/>
    <w:rsid w:val="00AA7EEF"/>
    <w:rsid w:val="00AB01E2"/>
    <w:rsid w:val="00AB08F4"/>
    <w:rsid w:val="00AB1315"/>
    <w:rsid w:val="00AB1332"/>
    <w:rsid w:val="00AB140A"/>
    <w:rsid w:val="00AB1672"/>
    <w:rsid w:val="00AB1745"/>
    <w:rsid w:val="00AB180D"/>
    <w:rsid w:val="00AB1EBA"/>
    <w:rsid w:val="00AB25D9"/>
    <w:rsid w:val="00AB2707"/>
    <w:rsid w:val="00AB2C98"/>
    <w:rsid w:val="00AB2E46"/>
    <w:rsid w:val="00AB332D"/>
    <w:rsid w:val="00AB3548"/>
    <w:rsid w:val="00AB3781"/>
    <w:rsid w:val="00AB3840"/>
    <w:rsid w:val="00AB3AED"/>
    <w:rsid w:val="00AB3D6A"/>
    <w:rsid w:val="00AB3FEC"/>
    <w:rsid w:val="00AB427D"/>
    <w:rsid w:val="00AB453D"/>
    <w:rsid w:val="00AB45A4"/>
    <w:rsid w:val="00AB4903"/>
    <w:rsid w:val="00AB4A86"/>
    <w:rsid w:val="00AB4D4B"/>
    <w:rsid w:val="00AB50D1"/>
    <w:rsid w:val="00AB535F"/>
    <w:rsid w:val="00AB5440"/>
    <w:rsid w:val="00AB5A7C"/>
    <w:rsid w:val="00AB5B48"/>
    <w:rsid w:val="00AB5C7B"/>
    <w:rsid w:val="00AB6397"/>
    <w:rsid w:val="00AB64D1"/>
    <w:rsid w:val="00AB6992"/>
    <w:rsid w:val="00AB6D36"/>
    <w:rsid w:val="00AB78F9"/>
    <w:rsid w:val="00AB7AD2"/>
    <w:rsid w:val="00AB7C7E"/>
    <w:rsid w:val="00AC01F6"/>
    <w:rsid w:val="00AC0401"/>
    <w:rsid w:val="00AC0614"/>
    <w:rsid w:val="00AC08A2"/>
    <w:rsid w:val="00AC0C31"/>
    <w:rsid w:val="00AC0CFD"/>
    <w:rsid w:val="00AC0DCE"/>
    <w:rsid w:val="00AC1027"/>
    <w:rsid w:val="00AC1237"/>
    <w:rsid w:val="00AC175D"/>
    <w:rsid w:val="00AC17CB"/>
    <w:rsid w:val="00AC1915"/>
    <w:rsid w:val="00AC19B2"/>
    <w:rsid w:val="00AC1A5B"/>
    <w:rsid w:val="00AC20DC"/>
    <w:rsid w:val="00AC262A"/>
    <w:rsid w:val="00AC273F"/>
    <w:rsid w:val="00AC2789"/>
    <w:rsid w:val="00AC318F"/>
    <w:rsid w:val="00AC31E0"/>
    <w:rsid w:val="00AC39AC"/>
    <w:rsid w:val="00AC3D2E"/>
    <w:rsid w:val="00AC3D73"/>
    <w:rsid w:val="00AC3EAE"/>
    <w:rsid w:val="00AC4239"/>
    <w:rsid w:val="00AC42AD"/>
    <w:rsid w:val="00AC42D6"/>
    <w:rsid w:val="00AC4B30"/>
    <w:rsid w:val="00AC4B99"/>
    <w:rsid w:val="00AC4D0C"/>
    <w:rsid w:val="00AC4EBA"/>
    <w:rsid w:val="00AC50D4"/>
    <w:rsid w:val="00AC5325"/>
    <w:rsid w:val="00AC5537"/>
    <w:rsid w:val="00AC567A"/>
    <w:rsid w:val="00AC5974"/>
    <w:rsid w:val="00AC5AC4"/>
    <w:rsid w:val="00AC5D60"/>
    <w:rsid w:val="00AC5D9B"/>
    <w:rsid w:val="00AC607F"/>
    <w:rsid w:val="00AC6439"/>
    <w:rsid w:val="00AC6D27"/>
    <w:rsid w:val="00AC7024"/>
    <w:rsid w:val="00AC7059"/>
    <w:rsid w:val="00AC71A9"/>
    <w:rsid w:val="00AC7484"/>
    <w:rsid w:val="00AC74C0"/>
    <w:rsid w:val="00AC7530"/>
    <w:rsid w:val="00AC76B7"/>
    <w:rsid w:val="00AC79A5"/>
    <w:rsid w:val="00AC7DC9"/>
    <w:rsid w:val="00AD084F"/>
    <w:rsid w:val="00AD0AD2"/>
    <w:rsid w:val="00AD0F10"/>
    <w:rsid w:val="00AD1170"/>
    <w:rsid w:val="00AD151F"/>
    <w:rsid w:val="00AD18C1"/>
    <w:rsid w:val="00AD1A71"/>
    <w:rsid w:val="00AD2070"/>
    <w:rsid w:val="00AD2BE2"/>
    <w:rsid w:val="00AD2DE1"/>
    <w:rsid w:val="00AD2F6D"/>
    <w:rsid w:val="00AD2F8C"/>
    <w:rsid w:val="00AD38A5"/>
    <w:rsid w:val="00AD3E11"/>
    <w:rsid w:val="00AD3E35"/>
    <w:rsid w:val="00AD403A"/>
    <w:rsid w:val="00AD43E0"/>
    <w:rsid w:val="00AD4543"/>
    <w:rsid w:val="00AD4656"/>
    <w:rsid w:val="00AD487A"/>
    <w:rsid w:val="00AD4B15"/>
    <w:rsid w:val="00AD57F6"/>
    <w:rsid w:val="00AD585B"/>
    <w:rsid w:val="00AD5B07"/>
    <w:rsid w:val="00AD5B3C"/>
    <w:rsid w:val="00AD5B59"/>
    <w:rsid w:val="00AD6148"/>
    <w:rsid w:val="00AD618B"/>
    <w:rsid w:val="00AD66F9"/>
    <w:rsid w:val="00AD6939"/>
    <w:rsid w:val="00AD6B56"/>
    <w:rsid w:val="00AD6E5C"/>
    <w:rsid w:val="00AD7173"/>
    <w:rsid w:val="00AD79F1"/>
    <w:rsid w:val="00AD7CCA"/>
    <w:rsid w:val="00AD7CF5"/>
    <w:rsid w:val="00AE02AF"/>
    <w:rsid w:val="00AE0402"/>
    <w:rsid w:val="00AE07A6"/>
    <w:rsid w:val="00AE07C8"/>
    <w:rsid w:val="00AE091F"/>
    <w:rsid w:val="00AE0EC0"/>
    <w:rsid w:val="00AE104A"/>
    <w:rsid w:val="00AE111C"/>
    <w:rsid w:val="00AE1ED4"/>
    <w:rsid w:val="00AE2473"/>
    <w:rsid w:val="00AE24C6"/>
    <w:rsid w:val="00AE2565"/>
    <w:rsid w:val="00AE2A3A"/>
    <w:rsid w:val="00AE2B68"/>
    <w:rsid w:val="00AE2C1A"/>
    <w:rsid w:val="00AE3379"/>
    <w:rsid w:val="00AE3500"/>
    <w:rsid w:val="00AE3952"/>
    <w:rsid w:val="00AE3C9B"/>
    <w:rsid w:val="00AE3EE8"/>
    <w:rsid w:val="00AE402D"/>
    <w:rsid w:val="00AE43B2"/>
    <w:rsid w:val="00AE490E"/>
    <w:rsid w:val="00AE4C0A"/>
    <w:rsid w:val="00AE4EE2"/>
    <w:rsid w:val="00AE5380"/>
    <w:rsid w:val="00AE5517"/>
    <w:rsid w:val="00AE5535"/>
    <w:rsid w:val="00AE5561"/>
    <w:rsid w:val="00AE57BE"/>
    <w:rsid w:val="00AE5E90"/>
    <w:rsid w:val="00AE6511"/>
    <w:rsid w:val="00AE6552"/>
    <w:rsid w:val="00AE65B1"/>
    <w:rsid w:val="00AE6A25"/>
    <w:rsid w:val="00AE6ACF"/>
    <w:rsid w:val="00AE6AD8"/>
    <w:rsid w:val="00AE7026"/>
    <w:rsid w:val="00AE70FF"/>
    <w:rsid w:val="00AE71E8"/>
    <w:rsid w:val="00AE72AD"/>
    <w:rsid w:val="00AE72DA"/>
    <w:rsid w:val="00AE7589"/>
    <w:rsid w:val="00AE77C5"/>
    <w:rsid w:val="00AE77F9"/>
    <w:rsid w:val="00AE7D20"/>
    <w:rsid w:val="00AE7E27"/>
    <w:rsid w:val="00AE7EC0"/>
    <w:rsid w:val="00AF05B1"/>
    <w:rsid w:val="00AF07B1"/>
    <w:rsid w:val="00AF0A68"/>
    <w:rsid w:val="00AF0B1E"/>
    <w:rsid w:val="00AF0E5E"/>
    <w:rsid w:val="00AF0EB4"/>
    <w:rsid w:val="00AF1873"/>
    <w:rsid w:val="00AF1B1E"/>
    <w:rsid w:val="00AF1FE6"/>
    <w:rsid w:val="00AF24CE"/>
    <w:rsid w:val="00AF24D0"/>
    <w:rsid w:val="00AF375D"/>
    <w:rsid w:val="00AF387D"/>
    <w:rsid w:val="00AF3F81"/>
    <w:rsid w:val="00AF40EB"/>
    <w:rsid w:val="00AF48A7"/>
    <w:rsid w:val="00AF4A18"/>
    <w:rsid w:val="00AF5045"/>
    <w:rsid w:val="00AF515F"/>
    <w:rsid w:val="00AF58C1"/>
    <w:rsid w:val="00AF5A2A"/>
    <w:rsid w:val="00AF5CC2"/>
    <w:rsid w:val="00AF63C9"/>
    <w:rsid w:val="00AF64D9"/>
    <w:rsid w:val="00AF68CC"/>
    <w:rsid w:val="00AF6D83"/>
    <w:rsid w:val="00AF7197"/>
    <w:rsid w:val="00AF732E"/>
    <w:rsid w:val="00AF7531"/>
    <w:rsid w:val="00AF7535"/>
    <w:rsid w:val="00AF759F"/>
    <w:rsid w:val="00AF7925"/>
    <w:rsid w:val="00AF7E6B"/>
    <w:rsid w:val="00B004C3"/>
    <w:rsid w:val="00B004FD"/>
    <w:rsid w:val="00B00893"/>
    <w:rsid w:val="00B00923"/>
    <w:rsid w:val="00B009D0"/>
    <w:rsid w:val="00B00A11"/>
    <w:rsid w:val="00B00B82"/>
    <w:rsid w:val="00B00C68"/>
    <w:rsid w:val="00B011C2"/>
    <w:rsid w:val="00B0121D"/>
    <w:rsid w:val="00B01545"/>
    <w:rsid w:val="00B017A7"/>
    <w:rsid w:val="00B01BC6"/>
    <w:rsid w:val="00B01C4E"/>
    <w:rsid w:val="00B01D9B"/>
    <w:rsid w:val="00B02DC1"/>
    <w:rsid w:val="00B03810"/>
    <w:rsid w:val="00B0494F"/>
    <w:rsid w:val="00B05C9A"/>
    <w:rsid w:val="00B05CE3"/>
    <w:rsid w:val="00B05E88"/>
    <w:rsid w:val="00B065D7"/>
    <w:rsid w:val="00B06663"/>
    <w:rsid w:val="00B06819"/>
    <w:rsid w:val="00B06961"/>
    <w:rsid w:val="00B06A63"/>
    <w:rsid w:val="00B06BD4"/>
    <w:rsid w:val="00B06DF2"/>
    <w:rsid w:val="00B07541"/>
    <w:rsid w:val="00B075BD"/>
    <w:rsid w:val="00B0768E"/>
    <w:rsid w:val="00B07955"/>
    <w:rsid w:val="00B10035"/>
    <w:rsid w:val="00B10E3F"/>
    <w:rsid w:val="00B10FE2"/>
    <w:rsid w:val="00B110A0"/>
    <w:rsid w:val="00B11E7E"/>
    <w:rsid w:val="00B12115"/>
    <w:rsid w:val="00B12147"/>
    <w:rsid w:val="00B125E1"/>
    <w:rsid w:val="00B1274A"/>
    <w:rsid w:val="00B127EC"/>
    <w:rsid w:val="00B12A13"/>
    <w:rsid w:val="00B12E68"/>
    <w:rsid w:val="00B1320B"/>
    <w:rsid w:val="00B134A1"/>
    <w:rsid w:val="00B1350C"/>
    <w:rsid w:val="00B13797"/>
    <w:rsid w:val="00B137A2"/>
    <w:rsid w:val="00B13A64"/>
    <w:rsid w:val="00B14839"/>
    <w:rsid w:val="00B14E2E"/>
    <w:rsid w:val="00B14EF2"/>
    <w:rsid w:val="00B1507D"/>
    <w:rsid w:val="00B15128"/>
    <w:rsid w:val="00B151BB"/>
    <w:rsid w:val="00B15224"/>
    <w:rsid w:val="00B152C9"/>
    <w:rsid w:val="00B16039"/>
    <w:rsid w:val="00B164EC"/>
    <w:rsid w:val="00B1670D"/>
    <w:rsid w:val="00B16938"/>
    <w:rsid w:val="00B1708D"/>
    <w:rsid w:val="00B177C3"/>
    <w:rsid w:val="00B1794B"/>
    <w:rsid w:val="00B17D02"/>
    <w:rsid w:val="00B17D5E"/>
    <w:rsid w:val="00B17FDA"/>
    <w:rsid w:val="00B20186"/>
    <w:rsid w:val="00B20523"/>
    <w:rsid w:val="00B207E8"/>
    <w:rsid w:val="00B20AEF"/>
    <w:rsid w:val="00B20E71"/>
    <w:rsid w:val="00B21627"/>
    <w:rsid w:val="00B2173C"/>
    <w:rsid w:val="00B2188A"/>
    <w:rsid w:val="00B21CE1"/>
    <w:rsid w:val="00B22023"/>
    <w:rsid w:val="00B22180"/>
    <w:rsid w:val="00B22462"/>
    <w:rsid w:val="00B22D31"/>
    <w:rsid w:val="00B23235"/>
    <w:rsid w:val="00B23283"/>
    <w:rsid w:val="00B233B6"/>
    <w:rsid w:val="00B233C1"/>
    <w:rsid w:val="00B24348"/>
    <w:rsid w:val="00B24474"/>
    <w:rsid w:val="00B2461A"/>
    <w:rsid w:val="00B24863"/>
    <w:rsid w:val="00B24967"/>
    <w:rsid w:val="00B24BF0"/>
    <w:rsid w:val="00B2504D"/>
    <w:rsid w:val="00B2506F"/>
    <w:rsid w:val="00B25320"/>
    <w:rsid w:val="00B25B38"/>
    <w:rsid w:val="00B260AE"/>
    <w:rsid w:val="00B262AE"/>
    <w:rsid w:val="00B264BD"/>
    <w:rsid w:val="00B265C8"/>
    <w:rsid w:val="00B26A19"/>
    <w:rsid w:val="00B26CB4"/>
    <w:rsid w:val="00B26CF6"/>
    <w:rsid w:val="00B27057"/>
    <w:rsid w:val="00B2708B"/>
    <w:rsid w:val="00B27C89"/>
    <w:rsid w:val="00B300B6"/>
    <w:rsid w:val="00B30A19"/>
    <w:rsid w:val="00B31243"/>
    <w:rsid w:val="00B3128B"/>
    <w:rsid w:val="00B31358"/>
    <w:rsid w:val="00B314A3"/>
    <w:rsid w:val="00B31720"/>
    <w:rsid w:val="00B31987"/>
    <w:rsid w:val="00B32526"/>
    <w:rsid w:val="00B32E81"/>
    <w:rsid w:val="00B332AA"/>
    <w:rsid w:val="00B332DD"/>
    <w:rsid w:val="00B3331B"/>
    <w:rsid w:val="00B33353"/>
    <w:rsid w:val="00B33415"/>
    <w:rsid w:val="00B33744"/>
    <w:rsid w:val="00B33843"/>
    <w:rsid w:val="00B3397B"/>
    <w:rsid w:val="00B33CC4"/>
    <w:rsid w:val="00B33FCE"/>
    <w:rsid w:val="00B34234"/>
    <w:rsid w:val="00B3453A"/>
    <w:rsid w:val="00B3464B"/>
    <w:rsid w:val="00B34722"/>
    <w:rsid w:val="00B34B70"/>
    <w:rsid w:val="00B34F41"/>
    <w:rsid w:val="00B35123"/>
    <w:rsid w:val="00B352E7"/>
    <w:rsid w:val="00B356EC"/>
    <w:rsid w:val="00B35BD7"/>
    <w:rsid w:val="00B35D4F"/>
    <w:rsid w:val="00B36205"/>
    <w:rsid w:val="00B36239"/>
    <w:rsid w:val="00B36563"/>
    <w:rsid w:val="00B36808"/>
    <w:rsid w:val="00B36C6B"/>
    <w:rsid w:val="00B37109"/>
    <w:rsid w:val="00B37237"/>
    <w:rsid w:val="00B3793B"/>
    <w:rsid w:val="00B4028D"/>
    <w:rsid w:val="00B402EF"/>
    <w:rsid w:val="00B4181E"/>
    <w:rsid w:val="00B41B4C"/>
    <w:rsid w:val="00B41BAB"/>
    <w:rsid w:val="00B421B9"/>
    <w:rsid w:val="00B42256"/>
    <w:rsid w:val="00B42476"/>
    <w:rsid w:val="00B428C0"/>
    <w:rsid w:val="00B4292B"/>
    <w:rsid w:val="00B42A46"/>
    <w:rsid w:val="00B43026"/>
    <w:rsid w:val="00B43294"/>
    <w:rsid w:val="00B4357B"/>
    <w:rsid w:val="00B438C6"/>
    <w:rsid w:val="00B43AF4"/>
    <w:rsid w:val="00B43FE6"/>
    <w:rsid w:val="00B4401D"/>
    <w:rsid w:val="00B442B0"/>
    <w:rsid w:val="00B44325"/>
    <w:rsid w:val="00B4439F"/>
    <w:rsid w:val="00B44708"/>
    <w:rsid w:val="00B45125"/>
    <w:rsid w:val="00B4570D"/>
    <w:rsid w:val="00B45818"/>
    <w:rsid w:val="00B4591D"/>
    <w:rsid w:val="00B45C29"/>
    <w:rsid w:val="00B45FD8"/>
    <w:rsid w:val="00B460E8"/>
    <w:rsid w:val="00B46144"/>
    <w:rsid w:val="00B4648B"/>
    <w:rsid w:val="00B46868"/>
    <w:rsid w:val="00B468FF"/>
    <w:rsid w:val="00B46972"/>
    <w:rsid w:val="00B469CD"/>
    <w:rsid w:val="00B46A26"/>
    <w:rsid w:val="00B46C7A"/>
    <w:rsid w:val="00B46C81"/>
    <w:rsid w:val="00B470A0"/>
    <w:rsid w:val="00B47284"/>
    <w:rsid w:val="00B4749D"/>
    <w:rsid w:val="00B475E4"/>
    <w:rsid w:val="00B47642"/>
    <w:rsid w:val="00B47CFB"/>
    <w:rsid w:val="00B50206"/>
    <w:rsid w:val="00B510F5"/>
    <w:rsid w:val="00B511B4"/>
    <w:rsid w:val="00B51317"/>
    <w:rsid w:val="00B51668"/>
    <w:rsid w:val="00B51A4C"/>
    <w:rsid w:val="00B51BD6"/>
    <w:rsid w:val="00B51DC4"/>
    <w:rsid w:val="00B52055"/>
    <w:rsid w:val="00B521C0"/>
    <w:rsid w:val="00B52289"/>
    <w:rsid w:val="00B52B9B"/>
    <w:rsid w:val="00B52D7B"/>
    <w:rsid w:val="00B52EE4"/>
    <w:rsid w:val="00B5399E"/>
    <w:rsid w:val="00B53B8F"/>
    <w:rsid w:val="00B53FC5"/>
    <w:rsid w:val="00B543DB"/>
    <w:rsid w:val="00B54644"/>
    <w:rsid w:val="00B54651"/>
    <w:rsid w:val="00B547D9"/>
    <w:rsid w:val="00B547E8"/>
    <w:rsid w:val="00B548EF"/>
    <w:rsid w:val="00B54BBC"/>
    <w:rsid w:val="00B54BC0"/>
    <w:rsid w:val="00B54E4C"/>
    <w:rsid w:val="00B559A1"/>
    <w:rsid w:val="00B55D64"/>
    <w:rsid w:val="00B55E6F"/>
    <w:rsid w:val="00B55EE9"/>
    <w:rsid w:val="00B5609B"/>
    <w:rsid w:val="00B56389"/>
    <w:rsid w:val="00B56888"/>
    <w:rsid w:val="00B568AF"/>
    <w:rsid w:val="00B56E57"/>
    <w:rsid w:val="00B572A6"/>
    <w:rsid w:val="00B57448"/>
    <w:rsid w:val="00B57610"/>
    <w:rsid w:val="00B579CC"/>
    <w:rsid w:val="00B57C24"/>
    <w:rsid w:val="00B57C2D"/>
    <w:rsid w:val="00B57EC6"/>
    <w:rsid w:val="00B60124"/>
    <w:rsid w:val="00B60434"/>
    <w:rsid w:val="00B605DB"/>
    <w:rsid w:val="00B60852"/>
    <w:rsid w:val="00B60AA0"/>
    <w:rsid w:val="00B60E70"/>
    <w:rsid w:val="00B60E7C"/>
    <w:rsid w:val="00B60ECA"/>
    <w:rsid w:val="00B61006"/>
    <w:rsid w:val="00B61388"/>
    <w:rsid w:val="00B617FB"/>
    <w:rsid w:val="00B61B28"/>
    <w:rsid w:val="00B61B32"/>
    <w:rsid w:val="00B61BA2"/>
    <w:rsid w:val="00B61FBA"/>
    <w:rsid w:val="00B62032"/>
    <w:rsid w:val="00B62319"/>
    <w:rsid w:val="00B6293B"/>
    <w:rsid w:val="00B62C1B"/>
    <w:rsid w:val="00B63212"/>
    <w:rsid w:val="00B63767"/>
    <w:rsid w:val="00B63CCD"/>
    <w:rsid w:val="00B63E34"/>
    <w:rsid w:val="00B63F46"/>
    <w:rsid w:val="00B64BEC"/>
    <w:rsid w:val="00B64C90"/>
    <w:rsid w:val="00B64DFF"/>
    <w:rsid w:val="00B64E6C"/>
    <w:rsid w:val="00B64E8D"/>
    <w:rsid w:val="00B64FF4"/>
    <w:rsid w:val="00B653DF"/>
    <w:rsid w:val="00B656FA"/>
    <w:rsid w:val="00B65CF9"/>
    <w:rsid w:val="00B66A92"/>
    <w:rsid w:val="00B66EB8"/>
    <w:rsid w:val="00B66F0C"/>
    <w:rsid w:val="00B66F60"/>
    <w:rsid w:val="00B67206"/>
    <w:rsid w:val="00B672B4"/>
    <w:rsid w:val="00B676EA"/>
    <w:rsid w:val="00B67876"/>
    <w:rsid w:val="00B67AA1"/>
    <w:rsid w:val="00B67E70"/>
    <w:rsid w:val="00B67F99"/>
    <w:rsid w:val="00B70046"/>
    <w:rsid w:val="00B7027A"/>
    <w:rsid w:val="00B70735"/>
    <w:rsid w:val="00B70B2E"/>
    <w:rsid w:val="00B70FD3"/>
    <w:rsid w:val="00B7137D"/>
    <w:rsid w:val="00B7140E"/>
    <w:rsid w:val="00B71852"/>
    <w:rsid w:val="00B7194E"/>
    <w:rsid w:val="00B71E29"/>
    <w:rsid w:val="00B72147"/>
    <w:rsid w:val="00B724D8"/>
    <w:rsid w:val="00B725C5"/>
    <w:rsid w:val="00B72A87"/>
    <w:rsid w:val="00B72CA4"/>
    <w:rsid w:val="00B72D7A"/>
    <w:rsid w:val="00B7366F"/>
    <w:rsid w:val="00B73F36"/>
    <w:rsid w:val="00B7416D"/>
    <w:rsid w:val="00B741FB"/>
    <w:rsid w:val="00B74332"/>
    <w:rsid w:val="00B7465B"/>
    <w:rsid w:val="00B74759"/>
    <w:rsid w:val="00B74A56"/>
    <w:rsid w:val="00B74EEE"/>
    <w:rsid w:val="00B751D9"/>
    <w:rsid w:val="00B75239"/>
    <w:rsid w:val="00B75AA0"/>
    <w:rsid w:val="00B75CF4"/>
    <w:rsid w:val="00B76248"/>
    <w:rsid w:val="00B762ED"/>
    <w:rsid w:val="00B76360"/>
    <w:rsid w:val="00B765B6"/>
    <w:rsid w:val="00B767C2"/>
    <w:rsid w:val="00B768C9"/>
    <w:rsid w:val="00B7693F"/>
    <w:rsid w:val="00B76C9C"/>
    <w:rsid w:val="00B76E74"/>
    <w:rsid w:val="00B775D3"/>
    <w:rsid w:val="00B779D5"/>
    <w:rsid w:val="00B77A3B"/>
    <w:rsid w:val="00B77B40"/>
    <w:rsid w:val="00B77E48"/>
    <w:rsid w:val="00B8004E"/>
    <w:rsid w:val="00B80B5D"/>
    <w:rsid w:val="00B80FBA"/>
    <w:rsid w:val="00B815D1"/>
    <w:rsid w:val="00B816BB"/>
    <w:rsid w:val="00B816FA"/>
    <w:rsid w:val="00B8171E"/>
    <w:rsid w:val="00B81738"/>
    <w:rsid w:val="00B819A5"/>
    <w:rsid w:val="00B81B31"/>
    <w:rsid w:val="00B82815"/>
    <w:rsid w:val="00B82840"/>
    <w:rsid w:val="00B82DFA"/>
    <w:rsid w:val="00B8321C"/>
    <w:rsid w:val="00B83346"/>
    <w:rsid w:val="00B83591"/>
    <w:rsid w:val="00B8386D"/>
    <w:rsid w:val="00B83A14"/>
    <w:rsid w:val="00B8400F"/>
    <w:rsid w:val="00B84500"/>
    <w:rsid w:val="00B847DF"/>
    <w:rsid w:val="00B84871"/>
    <w:rsid w:val="00B8488F"/>
    <w:rsid w:val="00B84BEB"/>
    <w:rsid w:val="00B84D24"/>
    <w:rsid w:val="00B85037"/>
    <w:rsid w:val="00B8510B"/>
    <w:rsid w:val="00B859A3"/>
    <w:rsid w:val="00B860FE"/>
    <w:rsid w:val="00B8656D"/>
    <w:rsid w:val="00B86607"/>
    <w:rsid w:val="00B8673F"/>
    <w:rsid w:val="00B87671"/>
    <w:rsid w:val="00B878EF"/>
    <w:rsid w:val="00B87C79"/>
    <w:rsid w:val="00B87D5D"/>
    <w:rsid w:val="00B90542"/>
    <w:rsid w:val="00B908B1"/>
    <w:rsid w:val="00B908B6"/>
    <w:rsid w:val="00B90A7B"/>
    <w:rsid w:val="00B90AEF"/>
    <w:rsid w:val="00B9127E"/>
    <w:rsid w:val="00B91471"/>
    <w:rsid w:val="00B915BE"/>
    <w:rsid w:val="00B9163F"/>
    <w:rsid w:val="00B91A70"/>
    <w:rsid w:val="00B91ACA"/>
    <w:rsid w:val="00B91B65"/>
    <w:rsid w:val="00B91D63"/>
    <w:rsid w:val="00B91DA0"/>
    <w:rsid w:val="00B923D8"/>
    <w:rsid w:val="00B929AA"/>
    <w:rsid w:val="00B92A2E"/>
    <w:rsid w:val="00B932AD"/>
    <w:rsid w:val="00B93C8C"/>
    <w:rsid w:val="00B93F19"/>
    <w:rsid w:val="00B93FF7"/>
    <w:rsid w:val="00B940CF"/>
    <w:rsid w:val="00B94B31"/>
    <w:rsid w:val="00B94E15"/>
    <w:rsid w:val="00B955AA"/>
    <w:rsid w:val="00B95CB2"/>
    <w:rsid w:val="00B95DF2"/>
    <w:rsid w:val="00B9649B"/>
    <w:rsid w:val="00B96BE9"/>
    <w:rsid w:val="00B96EA0"/>
    <w:rsid w:val="00B9739D"/>
    <w:rsid w:val="00B97930"/>
    <w:rsid w:val="00B9794B"/>
    <w:rsid w:val="00B97D8A"/>
    <w:rsid w:val="00BA00D7"/>
    <w:rsid w:val="00BA05B1"/>
    <w:rsid w:val="00BA0698"/>
    <w:rsid w:val="00BA0A0E"/>
    <w:rsid w:val="00BA1562"/>
    <w:rsid w:val="00BA1638"/>
    <w:rsid w:val="00BA22A2"/>
    <w:rsid w:val="00BA24C8"/>
    <w:rsid w:val="00BA288F"/>
    <w:rsid w:val="00BA2AE7"/>
    <w:rsid w:val="00BA2BD5"/>
    <w:rsid w:val="00BA2E1E"/>
    <w:rsid w:val="00BA3201"/>
    <w:rsid w:val="00BA32D9"/>
    <w:rsid w:val="00BA3400"/>
    <w:rsid w:val="00BA3DCC"/>
    <w:rsid w:val="00BA41AC"/>
    <w:rsid w:val="00BA44FF"/>
    <w:rsid w:val="00BA4A07"/>
    <w:rsid w:val="00BA4BCB"/>
    <w:rsid w:val="00BA4E5E"/>
    <w:rsid w:val="00BA51D4"/>
    <w:rsid w:val="00BA5528"/>
    <w:rsid w:val="00BA5625"/>
    <w:rsid w:val="00BA66BB"/>
    <w:rsid w:val="00BA6A0D"/>
    <w:rsid w:val="00BA6C37"/>
    <w:rsid w:val="00BA6E24"/>
    <w:rsid w:val="00BA6EAC"/>
    <w:rsid w:val="00BA7581"/>
    <w:rsid w:val="00BA75DA"/>
    <w:rsid w:val="00BA7760"/>
    <w:rsid w:val="00BA7794"/>
    <w:rsid w:val="00BA7884"/>
    <w:rsid w:val="00BA7A8E"/>
    <w:rsid w:val="00BB0717"/>
    <w:rsid w:val="00BB089E"/>
    <w:rsid w:val="00BB0AC5"/>
    <w:rsid w:val="00BB0D84"/>
    <w:rsid w:val="00BB0F1F"/>
    <w:rsid w:val="00BB1152"/>
    <w:rsid w:val="00BB129A"/>
    <w:rsid w:val="00BB1A48"/>
    <w:rsid w:val="00BB1D1B"/>
    <w:rsid w:val="00BB2726"/>
    <w:rsid w:val="00BB278B"/>
    <w:rsid w:val="00BB2A95"/>
    <w:rsid w:val="00BB2C3A"/>
    <w:rsid w:val="00BB314C"/>
    <w:rsid w:val="00BB33A5"/>
    <w:rsid w:val="00BB346F"/>
    <w:rsid w:val="00BB3C30"/>
    <w:rsid w:val="00BB3C36"/>
    <w:rsid w:val="00BB3F0D"/>
    <w:rsid w:val="00BB40D7"/>
    <w:rsid w:val="00BB438F"/>
    <w:rsid w:val="00BB517D"/>
    <w:rsid w:val="00BB532C"/>
    <w:rsid w:val="00BB5833"/>
    <w:rsid w:val="00BB5B5A"/>
    <w:rsid w:val="00BB5BFB"/>
    <w:rsid w:val="00BB5F7E"/>
    <w:rsid w:val="00BB6BD4"/>
    <w:rsid w:val="00BB6BFE"/>
    <w:rsid w:val="00BB7027"/>
    <w:rsid w:val="00BB75F0"/>
    <w:rsid w:val="00BB7BFC"/>
    <w:rsid w:val="00BB7C1E"/>
    <w:rsid w:val="00BC01FA"/>
    <w:rsid w:val="00BC09DE"/>
    <w:rsid w:val="00BC0A7F"/>
    <w:rsid w:val="00BC0C1A"/>
    <w:rsid w:val="00BC0C38"/>
    <w:rsid w:val="00BC0D56"/>
    <w:rsid w:val="00BC0D5A"/>
    <w:rsid w:val="00BC0D7A"/>
    <w:rsid w:val="00BC2072"/>
    <w:rsid w:val="00BC2215"/>
    <w:rsid w:val="00BC2397"/>
    <w:rsid w:val="00BC28F3"/>
    <w:rsid w:val="00BC2DE6"/>
    <w:rsid w:val="00BC3359"/>
    <w:rsid w:val="00BC375B"/>
    <w:rsid w:val="00BC3979"/>
    <w:rsid w:val="00BC3E75"/>
    <w:rsid w:val="00BC42F5"/>
    <w:rsid w:val="00BC48B4"/>
    <w:rsid w:val="00BC4E3F"/>
    <w:rsid w:val="00BC544A"/>
    <w:rsid w:val="00BC5989"/>
    <w:rsid w:val="00BC5A4C"/>
    <w:rsid w:val="00BC5B41"/>
    <w:rsid w:val="00BC6393"/>
    <w:rsid w:val="00BC6446"/>
    <w:rsid w:val="00BC64F4"/>
    <w:rsid w:val="00BC71F5"/>
    <w:rsid w:val="00BC728D"/>
    <w:rsid w:val="00BC7303"/>
    <w:rsid w:val="00BC7362"/>
    <w:rsid w:val="00BC7BEF"/>
    <w:rsid w:val="00BC7C8C"/>
    <w:rsid w:val="00BD0680"/>
    <w:rsid w:val="00BD0720"/>
    <w:rsid w:val="00BD0AE9"/>
    <w:rsid w:val="00BD0B57"/>
    <w:rsid w:val="00BD1179"/>
    <w:rsid w:val="00BD1259"/>
    <w:rsid w:val="00BD12E6"/>
    <w:rsid w:val="00BD1686"/>
    <w:rsid w:val="00BD1949"/>
    <w:rsid w:val="00BD1AC9"/>
    <w:rsid w:val="00BD1F6E"/>
    <w:rsid w:val="00BD1FE8"/>
    <w:rsid w:val="00BD205F"/>
    <w:rsid w:val="00BD20BE"/>
    <w:rsid w:val="00BD2956"/>
    <w:rsid w:val="00BD2ED4"/>
    <w:rsid w:val="00BD35E2"/>
    <w:rsid w:val="00BD3631"/>
    <w:rsid w:val="00BD370D"/>
    <w:rsid w:val="00BD3AD7"/>
    <w:rsid w:val="00BD3C85"/>
    <w:rsid w:val="00BD3CCF"/>
    <w:rsid w:val="00BD44A1"/>
    <w:rsid w:val="00BD4D55"/>
    <w:rsid w:val="00BD4D96"/>
    <w:rsid w:val="00BD4DEC"/>
    <w:rsid w:val="00BD5782"/>
    <w:rsid w:val="00BD5B2C"/>
    <w:rsid w:val="00BD614A"/>
    <w:rsid w:val="00BD63E0"/>
    <w:rsid w:val="00BD6658"/>
    <w:rsid w:val="00BD6870"/>
    <w:rsid w:val="00BD6FD9"/>
    <w:rsid w:val="00BD7327"/>
    <w:rsid w:val="00BD74B3"/>
    <w:rsid w:val="00BD75F7"/>
    <w:rsid w:val="00BD7988"/>
    <w:rsid w:val="00BD7E8A"/>
    <w:rsid w:val="00BE01F5"/>
    <w:rsid w:val="00BE0264"/>
    <w:rsid w:val="00BE0CAE"/>
    <w:rsid w:val="00BE0D32"/>
    <w:rsid w:val="00BE1689"/>
    <w:rsid w:val="00BE1824"/>
    <w:rsid w:val="00BE1892"/>
    <w:rsid w:val="00BE1C81"/>
    <w:rsid w:val="00BE203F"/>
    <w:rsid w:val="00BE2483"/>
    <w:rsid w:val="00BE2758"/>
    <w:rsid w:val="00BE28B9"/>
    <w:rsid w:val="00BE2917"/>
    <w:rsid w:val="00BE29B7"/>
    <w:rsid w:val="00BE2C12"/>
    <w:rsid w:val="00BE2C45"/>
    <w:rsid w:val="00BE2F3E"/>
    <w:rsid w:val="00BE3084"/>
    <w:rsid w:val="00BE324E"/>
    <w:rsid w:val="00BE33FF"/>
    <w:rsid w:val="00BE35E1"/>
    <w:rsid w:val="00BE373A"/>
    <w:rsid w:val="00BE38A9"/>
    <w:rsid w:val="00BE3E1C"/>
    <w:rsid w:val="00BE46DE"/>
    <w:rsid w:val="00BE4BF1"/>
    <w:rsid w:val="00BE56E5"/>
    <w:rsid w:val="00BE5AC3"/>
    <w:rsid w:val="00BE5FD0"/>
    <w:rsid w:val="00BE6160"/>
    <w:rsid w:val="00BE6326"/>
    <w:rsid w:val="00BE6500"/>
    <w:rsid w:val="00BE68F3"/>
    <w:rsid w:val="00BE6BC4"/>
    <w:rsid w:val="00BE6DA5"/>
    <w:rsid w:val="00BE7764"/>
    <w:rsid w:val="00BE7A19"/>
    <w:rsid w:val="00BE7B8E"/>
    <w:rsid w:val="00BE7CDE"/>
    <w:rsid w:val="00BF00E4"/>
    <w:rsid w:val="00BF03E7"/>
    <w:rsid w:val="00BF0CDD"/>
    <w:rsid w:val="00BF0D1A"/>
    <w:rsid w:val="00BF0E66"/>
    <w:rsid w:val="00BF15FB"/>
    <w:rsid w:val="00BF17FA"/>
    <w:rsid w:val="00BF27B9"/>
    <w:rsid w:val="00BF2CB6"/>
    <w:rsid w:val="00BF3C74"/>
    <w:rsid w:val="00BF3C89"/>
    <w:rsid w:val="00BF3D04"/>
    <w:rsid w:val="00BF43FD"/>
    <w:rsid w:val="00BF440B"/>
    <w:rsid w:val="00BF443B"/>
    <w:rsid w:val="00BF4618"/>
    <w:rsid w:val="00BF500C"/>
    <w:rsid w:val="00BF5760"/>
    <w:rsid w:val="00BF65A3"/>
    <w:rsid w:val="00BF66EE"/>
    <w:rsid w:val="00BF68D6"/>
    <w:rsid w:val="00BF6DA4"/>
    <w:rsid w:val="00BF7223"/>
    <w:rsid w:val="00BF72B0"/>
    <w:rsid w:val="00BF72B1"/>
    <w:rsid w:val="00BF793F"/>
    <w:rsid w:val="00BF7CBB"/>
    <w:rsid w:val="00C0049A"/>
    <w:rsid w:val="00C00802"/>
    <w:rsid w:val="00C0083D"/>
    <w:rsid w:val="00C00CA4"/>
    <w:rsid w:val="00C00D2D"/>
    <w:rsid w:val="00C00DAB"/>
    <w:rsid w:val="00C011D3"/>
    <w:rsid w:val="00C019D3"/>
    <w:rsid w:val="00C0278A"/>
    <w:rsid w:val="00C027AE"/>
    <w:rsid w:val="00C02E6F"/>
    <w:rsid w:val="00C03A3F"/>
    <w:rsid w:val="00C03C74"/>
    <w:rsid w:val="00C03D39"/>
    <w:rsid w:val="00C03E26"/>
    <w:rsid w:val="00C03F85"/>
    <w:rsid w:val="00C0460B"/>
    <w:rsid w:val="00C04E99"/>
    <w:rsid w:val="00C04FED"/>
    <w:rsid w:val="00C0532B"/>
    <w:rsid w:val="00C056B0"/>
    <w:rsid w:val="00C05989"/>
    <w:rsid w:val="00C05B7A"/>
    <w:rsid w:val="00C05D1A"/>
    <w:rsid w:val="00C061E8"/>
    <w:rsid w:val="00C06858"/>
    <w:rsid w:val="00C06AD4"/>
    <w:rsid w:val="00C06B6A"/>
    <w:rsid w:val="00C06C58"/>
    <w:rsid w:val="00C075D7"/>
    <w:rsid w:val="00C10034"/>
    <w:rsid w:val="00C104C4"/>
    <w:rsid w:val="00C10773"/>
    <w:rsid w:val="00C10AFB"/>
    <w:rsid w:val="00C1101F"/>
    <w:rsid w:val="00C113EE"/>
    <w:rsid w:val="00C11440"/>
    <w:rsid w:val="00C11640"/>
    <w:rsid w:val="00C11953"/>
    <w:rsid w:val="00C11A34"/>
    <w:rsid w:val="00C11E67"/>
    <w:rsid w:val="00C126C4"/>
    <w:rsid w:val="00C129B9"/>
    <w:rsid w:val="00C12E8E"/>
    <w:rsid w:val="00C13202"/>
    <w:rsid w:val="00C1352D"/>
    <w:rsid w:val="00C136FF"/>
    <w:rsid w:val="00C13BB0"/>
    <w:rsid w:val="00C13C87"/>
    <w:rsid w:val="00C13E1F"/>
    <w:rsid w:val="00C13EF7"/>
    <w:rsid w:val="00C142B9"/>
    <w:rsid w:val="00C1440B"/>
    <w:rsid w:val="00C14555"/>
    <w:rsid w:val="00C14877"/>
    <w:rsid w:val="00C148D6"/>
    <w:rsid w:val="00C14F63"/>
    <w:rsid w:val="00C15058"/>
    <w:rsid w:val="00C156DB"/>
    <w:rsid w:val="00C157DD"/>
    <w:rsid w:val="00C1595E"/>
    <w:rsid w:val="00C15DC1"/>
    <w:rsid w:val="00C16229"/>
    <w:rsid w:val="00C1648A"/>
    <w:rsid w:val="00C16B09"/>
    <w:rsid w:val="00C16C05"/>
    <w:rsid w:val="00C1707A"/>
    <w:rsid w:val="00C1733B"/>
    <w:rsid w:val="00C17887"/>
    <w:rsid w:val="00C179FF"/>
    <w:rsid w:val="00C17D21"/>
    <w:rsid w:val="00C17EDB"/>
    <w:rsid w:val="00C20883"/>
    <w:rsid w:val="00C209BB"/>
    <w:rsid w:val="00C212EA"/>
    <w:rsid w:val="00C213E5"/>
    <w:rsid w:val="00C214C5"/>
    <w:rsid w:val="00C219C8"/>
    <w:rsid w:val="00C21E15"/>
    <w:rsid w:val="00C21EE2"/>
    <w:rsid w:val="00C22091"/>
    <w:rsid w:val="00C22202"/>
    <w:rsid w:val="00C22408"/>
    <w:rsid w:val="00C2246A"/>
    <w:rsid w:val="00C2256B"/>
    <w:rsid w:val="00C229A5"/>
    <w:rsid w:val="00C231DD"/>
    <w:rsid w:val="00C23351"/>
    <w:rsid w:val="00C235F9"/>
    <w:rsid w:val="00C238F0"/>
    <w:rsid w:val="00C23B45"/>
    <w:rsid w:val="00C243BD"/>
    <w:rsid w:val="00C2474A"/>
    <w:rsid w:val="00C248A8"/>
    <w:rsid w:val="00C24F43"/>
    <w:rsid w:val="00C256BA"/>
    <w:rsid w:val="00C25A98"/>
    <w:rsid w:val="00C25DB6"/>
    <w:rsid w:val="00C262B3"/>
    <w:rsid w:val="00C26B02"/>
    <w:rsid w:val="00C26BDC"/>
    <w:rsid w:val="00C26C31"/>
    <w:rsid w:val="00C27000"/>
    <w:rsid w:val="00C27197"/>
    <w:rsid w:val="00C27407"/>
    <w:rsid w:val="00C2758B"/>
    <w:rsid w:val="00C27BAC"/>
    <w:rsid w:val="00C27E5A"/>
    <w:rsid w:val="00C30127"/>
    <w:rsid w:val="00C301E2"/>
    <w:rsid w:val="00C30502"/>
    <w:rsid w:val="00C3076F"/>
    <w:rsid w:val="00C30860"/>
    <w:rsid w:val="00C30CBA"/>
    <w:rsid w:val="00C30F16"/>
    <w:rsid w:val="00C310C5"/>
    <w:rsid w:val="00C31195"/>
    <w:rsid w:val="00C31234"/>
    <w:rsid w:val="00C31485"/>
    <w:rsid w:val="00C317A2"/>
    <w:rsid w:val="00C321AD"/>
    <w:rsid w:val="00C328D6"/>
    <w:rsid w:val="00C32B07"/>
    <w:rsid w:val="00C32D57"/>
    <w:rsid w:val="00C32E98"/>
    <w:rsid w:val="00C32FA4"/>
    <w:rsid w:val="00C3319E"/>
    <w:rsid w:val="00C33428"/>
    <w:rsid w:val="00C3342A"/>
    <w:rsid w:val="00C3342D"/>
    <w:rsid w:val="00C33AC8"/>
    <w:rsid w:val="00C33B4E"/>
    <w:rsid w:val="00C33ECD"/>
    <w:rsid w:val="00C33F17"/>
    <w:rsid w:val="00C34135"/>
    <w:rsid w:val="00C342CA"/>
    <w:rsid w:val="00C34302"/>
    <w:rsid w:val="00C3439D"/>
    <w:rsid w:val="00C34B35"/>
    <w:rsid w:val="00C353E8"/>
    <w:rsid w:val="00C358D8"/>
    <w:rsid w:val="00C35B4A"/>
    <w:rsid w:val="00C36118"/>
    <w:rsid w:val="00C3643E"/>
    <w:rsid w:val="00C3666E"/>
    <w:rsid w:val="00C36688"/>
    <w:rsid w:val="00C36779"/>
    <w:rsid w:val="00C3684F"/>
    <w:rsid w:val="00C36FC6"/>
    <w:rsid w:val="00C3706B"/>
    <w:rsid w:val="00C37509"/>
    <w:rsid w:val="00C37B09"/>
    <w:rsid w:val="00C37C99"/>
    <w:rsid w:val="00C37E69"/>
    <w:rsid w:val="00C40633"/>
    <w:rsid w:val="00C41148"/>
    <w:rsid w:val="00C411A7"/>
    <w:rsid w:val="00C413D9"/>
    <w:rsid w:val="00C414CB"/>
    <w:rsid w:val="00C4158B"/>
    <w:rsid w:val="00C42733"/>
    <w:rsid w:val="00C427F6"/>
    <w:rsid w:val="00C42C4D"/>
    <w:rsid w:val="00C42EF1"/>
    <w:rsid w:val="00C43061"/>
    <w:rsid w:val="00C43682"/>
    <w:rsid w:val="00C4382B"/>
    <w:rsid w:val="00C43B65"/>
    <w:rsid w:val="00C43F94"/>
    <w:rsid w:val="00C44004"/>
    <w:rsid w:val="00C441DE"/>
    <w:rsid w:val="00C44408"/>
    <w:rsid w:val="00C44B34"/>
    <w:rsid w:val="00C44DD5"/>
    <w:rsid w:val="00C45486"/>
    <w:rsid w:val="00C45991"/>
    <w:rsid w:val="00C464A7"/>
    <w:rsid w:val="00C464F7"/>
    <w:rsid w:val="00C465CC"/>
    <w:rsid w:val="00C46761"/>
    <w:rsid w:val="00C46F9A"/>
    <w:rsid w:val="00C47158"/>
    <w:rsid w:val="00C47348"/>
    <w:rsid w:val="00C4758D"/>
    <w:rsid w:val="00C4779F"/>
    <w:rsid w:val="00C47A2D"/>
    <w:rsid w:val="00C47DCC"/>
    <w:rsid w:val="00C47FEC"/>
    <w:rsid w:val="00C4ED86"/>
    <w:rsid w:val="00C50500"/>
    <w:rsid w:val="00C505A5"/>
    <w:rsid w:val="00C506CC"/>
    <w:rsid w:val="00C50816"/>
    <w:rsid w:val="00C5089C"/>
    <w:rsid w:val="00C50B26"/>
    <w:rsid w:val="00C50E81"/>
    <w:rsid w:val="00C50F36"/>
    <w:rsid w:val="00C50F5B"/>
    <w:rsid w:val="00C510F5"/>
    <w:rsid w:val="00C512BF"/>
    <w:rsid w:val="00C51721"/>
    <w:rsid w:val="00C518EC"/>
    <w:rsid w:val="00C52739"/>
    <w:rsid w:val="00C52ACE"/>
    <w:rsid w:val="00C52D5E"/>
    <w:rsid w:val="00C536A4"/>
    <w:rsid w:val="00C537CE"/>
    <w:rsid w:val="00C539FA"/>
    <w:rsid w:val="00C53BAB"/>
    <w:rsid w:val="00C53CCA"/>
    <w:rsid w:val="00C53D0C"/>
    <w:rsid w:val="00C53DC3"/>
    <w:rsid w:val="00C53FC6"/>
    <w:rsid w:val="00C541A4"/>
    <w:rsid w:val="00C54519"/>
    <w:rsid w:val="00C54B6D"/>
    <w:rsid w:val="00C54B75"/>
    <w:rsid w:val="00C54CBE"/>
    <w:rsid w:val="00C54D2D"/>
    <w:rsid w:val="00C54E90"/>
    <w:rsid w:val="00C5508E"/>
    <w:rsid w:val="00C554DB"/>
    <w:rsid w:val="00C554F9"/>
    <w:rsid w:val="00C55893"/>
    <w:rsid w:val="00C55D24"/>
    <w:rsid w:val="00C55EC9"/>
    <w:rsid w:val="00C55F24"/>
    <w:rsid w:val="00C56036"/>
    <w:rsid w:val="00C5618F"/>
    <w:rsid w:val="00C56317"/>
    <w:rsid w:val="00C57471"/>
    <w:rsid w:val="00C574D1"/>
    <w:rsid w:val="00C57912"/>
    <w:rsid w:val="00C57A74"/>
    <w:rsid w:val="00C57CF9"/>
    <w:rsid w:val="00C60324"/>
    <w:rsid w:val="00C60690"/>
    <w:rsid w:val="00C60DEA"/>
    <w:rsid w:val="00C616F3"/>
    <w:rsid w:val="00C616F9"/>
    <w:rsid w:val="00C61A9F"/>
    <w:rsid w:val="00C61ABF"/>
    <w:rsid w:val="00C61D60"/>
    <w:rsid w:val="00C61D69"/>
    <w:rsid w:val="00C6212D"/>
    <w:rsid w:val="00C6219C"/>
    <w:rsid w:val="00C62212"/>
    <w:rsid w:val="00C624F5"/>
    <w:rsid w:val="00C62515"/>
    <w:rsid w:val="00C6267E"/>
    <w:rsid w:val="00C628C7"/>
    <w:rsid w:val="00C628DD"/>
    <w:rsid w:val="00C629FA"/>
    <w:rsid w:val="00C62FF3"/>
    <w:rsid w:val="00C630CA"/>
    <w:rsid w:val="00C63343"/>
    <w:rsid w:val="00C635B5"/>
    <w:rsid w:val="00C63BD8"/>
    <w:rsid w:val="00C63E1B"/>
    <w:rsid w:val="00C64486"/>
    <w:rsid w:val="00C64498"/>
    <w:rsid w:val="00C64F39"/>
    <w:rsid w:val="00C654FC"/>
    <w:rsid w:val="00C65D14"/>
    <w:rsid w:val="00C66150"/>
    <w:rsid w:val="00C664DF"/>
    <w:rsid w:val="00C66542"/>
    <w:rsid w:val="00C669F8"/>
    <w:rsid w:val="00C66C9B"/>
    <w:rsid w:val="00C66FA4"/>
    <w:rsid w:val="00C66FC1"/>
    <w:rsid w:val="00C67872"/>
    <w:rsid w:val="00C67BFC"/>
    <w:rsid w:val="00C67CFF"/>
    <w:rsid w:val="00C67EC4"/>
    <w:rsid w:val="00C67F3A"/>
    <w:rsid w:val="00C70228"/>
    <w:rsid w:val="00C70674"/>
    <w:rsid w:val="00C707A1"/>
    <w:rsid w:val="00C707F6"/>
    <w:rsid w:val="00C70AE6"/>
    <w:rsid w:val="00C70D54"/>
    <w:rsid w:val="00C70E8C"/>
    <w:rsid w:val="00C70F7A"/>
    <w:rsid w:val="00C7102C"/>
    <w:rsid w:val="00C710E5"/>
    <w:rsid w:val="00C71692"/>
    <w:rsid w:val="00C71787"/>
    <w:rsid w:val="00C71CBB"/>
    <w:rsid w:val="00C7233D"/>
    <w:rsid w:val="00C723A7"/>
    <w:rsid w:val="00C723C2"/>
    <w:rsid w:val="00C72843"/>
    <w:rsid w:val="00C73492"/>
    <w:rsid w:val="00C73634"/>
    <w:rsid w:val="00C7368B"/>
    <w:rsid w:val="00C736C2"/>
    <w:rsid w:val="00C73B5F"/>
    <w:rsid w:val="00C73D55"/>
    <w:rsid w:val="00C73DB0"/>
    <w:rsid w:val="00C74139"/>
    <w:rsid w:val="00C741CD"/>
    <w:rsid w:val="00C74293"/>
    <w:rsid w:val="00C74358"/>
    <w:rsid w:val="00C74A75"/>
    <w:rsid w:val="00C74B05"/>
    <w:rsid w:val="00C7507F"/>
    <w:rsid w:val="00C75A90"/>
    <w:rsid w:val="00C75ACA"/>
    <w:rsid w:val="00C75D6E"/>
    <w:rsid w:val="00C7612C"/>
    <w:rsid w:val="00C76159"/>
    <w:rsid w:val="00C76304"/>
    <w:rsid w:val="00C76B39"/>
    <w:rsid w:val="00C76DBF"/>
    <w:rsid w:val="00C76E5B"/>
    <w:rsid w:val="00C771D1"/>
    <w:rsid w:val="00C771D5"/>
    <w:rsid w:val="00C77753"/>
    <w:rsid w:val="00C7779F"/>
    <w:rsid w:val="00C778BA"/>
    <w:rsid w:val="00C80494"/>
    <w:rsid w:val="00C8092F"/>
    <w:rsid w:val="00C80C28"/>
    <w:rsid w:val="00C80DC5"/>
    <w:rsid w:val="00C80FBD"/>
    <w:rsid w:val="00C81378"/>
    <w:rsid w:val="00C816F0"/>
    <w:rsid w:val="00C825FB"/>
    <w:rsid w:val="00C82BA7"/>
    <w:rsid w:val="00C82E53"/>
    <w:rsid w:val="00C83022"/>
    <w:rsid w:val="00C8420E"/>
    <w:rsid w:val="00C84E3B"/>
    <w:rsid w:val="00C8500C"/>
    <w:rsid w:val="00C85B13"/>
    <w:rsid w:val="00C85D98"/>
    <w:rsid w:val="00C865BE"/>
    <w:rsid w:val="00C87140"/>
    <w:rsid w:val="00C871B3"/>
    <w:rsid w:val="00C8747D"/>
    <w:rsid w:val="00C875B4"/>
    <w:rsid w:val="00C875E7"/>
    <w:rsid w:val="00C87C3A"/>
    <w:rsid w:val="00C87C4C"/>
    <w:rsid w:val="00C87C66"/>
    <w:rsid w:val="00C87D32"/>
    <w:rsid w:val="00C90344"/>
    <w:rsid w:val="00C90550"/>
    <w:rsid w:val="00C91664"/>
    <w:rsid w:val="00C91CE7"/>
    <w:rsid w:val="00C92066"/>
    <w:rsid w:val="00C9206A"/>
    <w:rsid w:val="00C921E3"/>
    <w:rsid w:val="00C92252"/>
    <w:rsid w:val="00C92786"/>
    <w:rsid w:val="00C92BB9"/>
    <w:rsid w:val="00C92D61"/>
    <w:rsid w:val="00C93348"/>
    <w:rsid w:val="00C93B4C"/>
    <w:rsid w:val="00C93D94"/>
    <w:rsid w:val="00C93ED5"/>
    <w:rsid w:val="00C93FF0"/>
    <w:rsid w:val="00C941AF"/>
    <w:rsid w:val="00C944C8"/>
    <w:rsid w:val="00C948C8"/>
    <w:rsid w:val="00C94A8F"/>
    <w:rsid w:val="00C94EB3"/>
    <w:rsid w:val="00C94F55"/>
    <w:rsid w:val="00C94FFA"/>
    <w:rsid w:val="00C954BB"/>
    <w:rsid w:val="00C95534"/>
    <w:rsid w:val="00C955BF"/>
    <w:rsid w:val="00C956C7"/>
    <w:rsid w:val="00C9578A"/>
    <w:rsid w:val="00C9578D"/>
    <w:rsid w:val="00C959C4"/>
    <w:rsid w:val="00C95A11"/>
    <w:rsid w:val="00C95D06"/>
    <w:rsid w:val="00C962B6"/>
    <w:rsid w:val="00C96502"/>
    <w:rsid w:val="00C967DB"/>
    <w:rsid w:val="00C96B4C"/>
    <w:rsid w:val="00C96B53"/>
    <w:rsid w:val="00C96D46"/>
    <w:rsid w:val="00C9714D"/>
    <w:rsid w:val="00C971FC"/>
    <w:rsid w:val="00C9763B"/>
    <w:rsid w:val="00C976FE"/>
    <w:rsid w:val="00C978DF"/>
    <w:rsid w:val="00C97B64"/>
    <w:rsid w:val="00C97CB3"/>
    <w:rsid w:val="00C97CC0"/>
    <w:rsid w:val="00CA0133"/>
    <w:rsid w:val="00CA03C3"/>
    <w:rsid w:val="00CA05CB"/>
    <w:rsid w:val="00CA0602"/>
    <w:rsid w:val="00CA061D"/>
    <w:rsid w:val="00CA06F9"/>
    <w:rsid w:val="00CA0E6E"/>
    <w:rsid w:val="00CA12F6"/>
    <w:rsid w:val="00CA142E"/>
    <w:rsid w:val="00CA1BAC"/>
    <w:rsid w:val="00CA1D2A"/>
    <w:rsid w:val="00CA1F34"/>
    <w:rsid w:val="00CA20EE"/>
    <w:rsid w:val="00CA24AB"/>
    <w:rsid w:val="00CA2C36"/>
    <w:rsid w:val="00CA2DC7"/>
    <w:rsid w:val="00CA2E25"/>
    <w:rsid w:val="00CA31E8"/>
    <w:rsid w:val="00CA32CB"/>
    <w:rsid w:val="00CA3B8D"/>
    <w:rsid w:val="00CA3BCA"/>
    <w:rsid w:val="00CA4231"/>
    <w:rsid w:val="00CA4350"/>
    <w:rsid w:val="00CA4446"/>
    <w:rsid w:val="00CA4531"/>
    <w:rsid w:val="00CA4628"/>
    <w:rsid w:val="00CA46B6"/>
    <w:rsid w:val="00CA4AA0"/>
    <w:rsid w:val="00CA527B"/>
    <w:rsid w:val="00CA57F7"/>
    <w:rsid w:val="00CA5D73"/>
    <w:rsid w:val="00CA5D9C"/>
    <w:rsid w:val="00CA5D9D"/>
    <w:rsid w:val="00CA5FFE"/>
    <w:rsid w:val="00CA62B1"/>
    <w:rsid w:val="00CA6740"/>
    <w:rsid w:val="00CA683C"/>
    <w:rsid w:val="00CA68E8"/>
    <w:rsid w:val="00CA692D"/>
    <w:rsid w:val="00CA70C1"/>
    <w:rsid w:val="00CA71C0"/>
    <w:rsid w:val="00CA7380"/>
    <w:rsid w:val="00CA73FB"/>
    <w:rsid w:val="00CA78A6"/>
    <w:rsid w:val="00CA7BC5"/>
    <w:rsid w:val="00CA7D85"/>
    <w:rsid w:val="00CB0697"/>
    <w:rsid w:val="00CB07F7"/>
    <w:rsid w:val="00CB0908"/>
    <w:rsid w:val="00CB09A9"/>
    <w:rsid w:val="00CB1142"/>
    <w:rsid w:val="00CB1906"/>
    <w:rsid w:val="00CB1911"/>
    <w:rsid w:val="00CB1A9E"/>
    <w:rsid w:val="00CB1B72"/>
    <w:rsid w:val="00CB249E"/>
    <w:rsid w:val="00CB249F"/>
    <w:rsid w:val="00CB24FD"/>
    <w:rsid w:val="00CB2675"/>
    <w:rsid w:val="00CB27A3"/>
    <w:rsid w:val="00CB29E2"/>
    <w:rsid w:val="00CB2C23"/>
    <w:rsid w:val="00CB2FA3"/>
    <w:rsid w:val="00CB391A"/>
    <w:rsid w:val="00CB3C61"/>
    <w:rsid w:val="00CB3E8C"/>
    <w:rsid w:val="00CB41FF"/>
    <w:rsid w:val="00CB45C7"/>
    <w:rsid w:val="00CB45D8"/>
    <w:rsid w:val="00CB46FD"/>
    <w:rsid w:val="00CB4DFB"/>
    <w:rsid w:val="00CB5099"/>
    <w:rsid w:val="00CB5226"/>
    <w:rsid w:val="00CB531E"/>
    <w:rsid w:val="00CB579D"/>
    <w:rsid w:val="00CB5C9B"/>
    <w:rsid w:val="00CB5CC1"/>
    <w:rsid w:val="00CB5E03"/>
    <w:rsid w:val="00CB6044"/>
    <w:rsid w:val="00CB6099"/>
    <w:rsid w:val="00CB60BC"/>
    <w:rsid w:val="00CB6201"/>
    <w:rsid w:val="00CB6439"/>
    <w:rsid w:val="00CB6687"/>
    <w:rsid w:val="00CB6821"/>
    <w:rsid w:val="00CB6B52"/>
    <w:rsid w:val="00CB6D0F"/>
    <w:rsid w:val="00CB7137"/>
    <w:rsid w:val="00CB73E5"/>
    <w:rsid w:val="00CB7427"/>
    <w:rsid w:val="00CC022D"/>
    <w:rsid w:val="00CC06D1"/>
    <w:rsid w:val="00CC085C"/>
    <w:rsid w:val="00CC0961"/>
    <w:rsid w:val="00CC0CE2"/>
    <w:rsid w:val="00CC0DA2"/>
    <w:rsid w:val="00CC179E"/>
    <w:rsid w:val="00CC18B9"/>
    <w:rsid w:val="00CC1FAF"/>
    <w:rsid w:val="00CC22BC"/>
    <w:rsid w:val="00CC232A"/>
    <w:rsid w:val="00CC372D"/>
    <w:rsid w:val="00CC3859"/>
    <w:rsid w:val="00CC4225"/>
    <w:rsid w:val="00CC4AB9"/>
    <w:rsid w:val="00CC532E"/>
    <w:rsid w:val="00CC5961"/>
    <w:rsid w:val="00CC5DE6"/>
    <w:rsid w:val="00CC6D9D"/>
    <w:rsid w:val="00CC6FE6"/>
    <w:rsid w:val="00CC7354"/>
    <w:rsid w:val="00CC7444"/>
    <w:rsid w:val="00CC7D07"/>
    <w:rsid w:val="00CC7E48"/>
    <w:rsid w:val="00CC7F57"/>
    <w:rsid w:val="00CD02B8"/>
    <w:rsid w:val="00CD02F0"/>
    <w:rsid w:val="00CD044D"/>
    <w:rsid w:val="00CD12A7"/>
    <w:rsid w:val="00CD13AE"/>
    <w:rsid w:val="00CD15A0"/>
    <w:rsid w:val="00CD1E93"/>
    <w:rsid w:val="00CD277E"/>
    <w:rsid w:val="00CD279B"/>
    <w:rsid w:val="00CD2873"/>
    <w:rsid w:val="00CD3449"/>
    <w:rsid w:val="00CD3535"/>
    <w:rsid w:val="00CD36EC"/>
    <w:rsid w:val="00CD4121"/>
    <w:rsid w:val="00CD424E"/>
    <w:rsid w:val="00CD42A9"/>
    <w:rsid w:val="00CD4334"/>
    <w:rsid w:val="00CD4936"/>
    <w:rsid w:val="00CD4F20"/>
    <w:rsid w:val="00CD4FDF"/>
    <w:rsid w:val="00CD562D"/>
    <w:rsid w:val="00CD5832"/>
    <w:rsid w:val="00CD5927"/>
    <w:rsid w:val="00CD5960"/>
    <w:rsid w:val="00CD5A7E"/>
    <w:rsid w:val="00CD5D85"/>
    <w:rsid w:val="00CD619A"/>
    <w:rsid w:val="00CD620E"/>
    <w:rsid w:val="00CD62B5"/>
    <w:rsid w:val="00CD6B5F"/>
    <w:rsid w:val="00CD76C5"/>
    <w:rsid w:val="00CD7778"/>
    <w:rsid w:val="00CD77FF"/>
    <w:rsid w:val="00CD7B5D"/>
    <w:rsid w:val="00CD7BEE"/>
    <w:rsid w:val="00CE0029"/>
    <w:rsid w:val="00CE0049"/>
    <w:rsid w:val="00CE052D"/>
    <w:rsid w:val="00CE057F"/>
    <w:rsid w:val="00CE085D"/>
    <w:rsid w:val="00CE08BD"/>
    <w:rsid w:val="00CE0BC6"/>
    <w:rsid w:val="00CE0E2D"/>
    <w:rsid w:val="00CE12CF"/>
    <w:rsid w:val="00CE15A4"/>
    <w:rsid w:val="00CE18F1"/>
    <w:rsid w:val="00CE26E1"/>
    <w:rsid w:val="00CE356D"/>
    <w:rsid w:val="00CE3769"/>
    <w:rsid w:val="00CE4010"/>
    <w:rsid w:val="00CE50AD"/>
    <w:rsid w:val="00CE562C"/>
    <w:rsid w:val="00CE57A3"/>
    <w:rsid w:val="00CE5A00"/>
    <w:rsid w:val="00CE5C84"/>
    <w:rsid w:val="00CE5D08"/>
    <w:rsid w:val="00CE5E1F"/>
    <w:rsid w:val="00CE6408"/>
    <w:rsid w:val="00CE68F2"/>
    <w:rsid w:val="00CE6D35"/>
    <w:rsid w:val="00CE72B3"/>
    <w:rsid w:val="00CE7386"/>
    <w:rsid w:val="00CE7923"/>
    <w:rsid w:val="00CE7BFB"/>
    <w:rsid w:val="00CE7C51"/>
    <w:rsid w:val="00CE7DC6"/>
    <w:rsid w:val="00CF0238"/>
    <w:rsid w:val="00CF0345"/>
    <w:rsid w:val="00CF0A63"/>
    <w:rsid w:val="00CF0CD8"/>
    <w:rsid w:val="00CF1251"/>
    <w:rsid w:val="00CF1503"/>
    <w:rsid w:val="00CF1637"/>
    <w:rsid w:val="00CF16A2"/>
    <w:rsid w:val="00CF17E9"/>
    <w:rsid w:val="00CF21AE"/>
    <w:rsid w:val="00CF240A"/>
    <w:rsid w:val="00CF2581"/>
    <w:rsid w:val="00CF28FF"/>
    <w:rsid w:val="00CF3313"/>
    <w:rsid w:val="00CF3620"/>
    <w:rsid w:val="00CF3C7A"/>
    <w:rsid w:val="00CF3DED"/>
    <w:rsid w:val="00CF3EF5"/>
    <w:rsid w:val="00CF4291"/>
    <w:rsid w:val="00CF4713"/>
    <w:rsid w:val="00CF4CCB"/>
    <w:rsid w:val="00CF5045"/>
    <w:rsid w:val="00CF5208"/>
    <w:rsid w:val="00CF526D"/>
    <w:rsid w:val="00CF5A54"/>
    <w:rsid w:val="00CF6064"/>
    <w:rsid w:val="00CF6291"/>
    <w:rsid w:val="00CF67FA"/>
    <w:rsid w:val="00CF6A9B"/>
    <w:rsid w:val="00CF6F7B"/>
    <w:rsid w:val="00CF7441"/>
    <w:rsid w:val="00CF75B1"/>
    <w:rsid w:val="00CF75F5"/>
    <w:rsid w:val="00CF76F5"/>
    <w:rsid w:val="00CF771A"/>
    <w:rsid w:val="00CF77B7"/>
    <w:rsid w:val="00D0016C"/>
    <w:rsid w:val="00D0026C"/>
    <w:rsid w:val="00D007D9"/>
    <w:rsid w:val="00D00E82"/>
    <w:rsid w:val="00D0136D"/>
    <w:rsid w:val="00D0181D"/>
    <w:rsid w:val="00D01978"/>
    <w:rsid w:val="00D019C5"/>
    <w:rsid w:val="00D01B5A"/>
    <w:rsid w:val="00D02335"/>
    <w:rsid w:val="00D0254C"/>
    <w:rsid w:val="00D029D1"/>
    <w:rsid w:val="00D02B28"/>
    <w:rsid w:val="00D02DED"/>
    <w:rsid w:val="00D02E7B"/>
    <w:rsid w:val="00D03014"/>
    <w:rsid w:val="00D0308D"/>
    <w:rsid w:val="00D030CC"/>
    <w:rsid w:val="00D031B1"/>
    <w:rsid w:val="00D039E5"/>
    <w:rsid w:val="00D03B41"/>
    <w:rsid w:val="00D03B72"/>
    <w:rsid w:val="00D03CCA"/>
    <w:rsid w:val="00D04052"/>
    <w:rsid w:val="00D0447E"/>
    <w:rsid w:val="00D049F2"/>
    <w:rsid w:val="00D04B52"/>
    <w:rsid w:val="00D04BEE"/>
    <w:rsid w:val="00D04DDC"/>
    <w:rsid w:val="00D051CF"/>
    <w:rsid w:val="00D05279"/>
    <w:rsid w:val="00D054F6"/>
    <w:rsid w:val="00D05895"/>
    <w:rsid w:val="00D05956"/>
    <w:rsid w:val="00D0606C"/>
    <w:rsid w:val="00D062D6"/>
    <w:rsid w:val="00D066F3"/>
    <w:rsid w:val="00D06800"/>
    <w:rsid w:val="00D068AA"/>
    <w:rsid w:val="00D068FF"/>
    <w:rsid w:val="00D06D16"/>
    <w:rsid w:val="00D07460"/>
    <w:rsid w:val="00D077E8"/>
    <w:rsid w:val="00D078CD"/>
    <w:rsid w:val="00D07A37"/>
    <w:rsid w:val="00D07FB8"/>
    <w:rsid w:val="00D1000F"/>
    <w:rsid w:val="00D1006B"/>
    <w:rsid w:val="00D1037B"/>
    <w:rsid w:val="00D104A2"/>
    <w:rsid w:val="00D113D9"/>
    <w:rsid w:val="00D113F1"/>
    <w:rsid w:val="00D115E1"/>
    <w:rsid w:val="00D1193B"/>
    <w:rsid w:val="00D119BD"/>
    <w:rsid w:val="00D11EAC"/>
    <w:rsid w:val="00D1200C"/>
    <w:rsid w:val="00D12375"/>
    <w:rsid w:val="00D12538"/>
    <w:rsid w:val="00D12BAF"/>
    <w:rsid w:val="00D137A1"/>
    <w:rsid w:val="00D13AA1"/>
    <w:rsid w:val="00D13CD5"/>
    <w:rsid w:val="00D1435D"/>
    <w:rsid w:val="00D146AF"/>
    <w:rsid w:val="00D1522A"/>
    <w:rsid w:val="00D153C7"/>
    <w:rsid w:val="00D1572C"/>
    <w:rsid w:val="00D15812"/>
    <w:rsid w:val="00D15C6E"/>
    <w:rsid w:val="00D1607D"/>
    <w:rsid w:val="00D16239"/>
    <w:rsid w:val="00D16389"/>
    <w:rsid w:val="00D165B6"/>
    <w:rsid w:val="00D165D0"/>
    <w:rsid w:val="00D169D7"/>
    <w:rsid w:val="00D169E1"/>
    <w:rsid w:val="00D16DF5"/>
    <w:rsid w:val="00D1710D"/>
    <w:rsid w:val="00D17AE0"/>
    <w:rsid w:val="00D17C5D"/>
    <w:rsid w:val="00D20190"/>
    <w:rsid w:val="00D20567"/>
    <w:rsid w:val="00D20674"/>
    <w:rsid w:val="00D20786"/>
    <w:rsid w:val="00D208C5"/>
    <w:rsid w:val="00D20ABD"/>
    <w:rsid w:val="00D20BC9"/>
    <w:rsid w:val="00D2146E"/>
    <w:rsid w:val="00D214EC"/>
    <w:rsid w:val="00D21D6D"/>
    <w:rsid w:val="00D22018"/>
    <w:rsid w:val="00D2204E"/>
    <w:rsid w:val="00D22431"/>
    <w:rsid w:val="00D228FE"/>
    <w:rsid w:val="00D229FF"/>
    <w:rsid w:val="00D2335D"/>
    <w:rsid w:val="00D23648"/>
    <w:rsid w:val="00D2367A"/>
    <w:rsid w:val="00D23688"/>
    <w:rsid w:val="00D23704"/>
    <w:rsid w:val="00D238EF"/>
    <w:rsid w:val="00D23AC4"/>
    <w:rsid w:val="00D23F09"/>
    <w:rsid w:val="00D23F94"/>
    <w:rsid w:val="00D24248"/>
    <w:rsid w:val="00D24297"/>
    <w:rsid w:val="00D242F8"/>
    <w:rsid w:val="00D24438"/>
    <w:rsid w:val="00D24756"/>
    <w:rsid w:val="00D247A8"/>
    <w:rsid w:val="00D250F0"/>
    <w:rsid w:val="00D25113"/>
    <w:rsid w:val="00D252FC"/>
    <w:rsid w:val="00D255AF"/>
    <w:rsid w:val="00D255EE"/>
    <w:rsid w:val="00D2586B"/>
    <w:rsid w:val="00D25BC4"/>
    <w:rsid w:val="00D2610C"/>
    <w:rsid w:val="00D26234"/>
    <w:rsid w:val="00D26B88"/>
    <w:rsid w:val="00D26BFD"/>
    <w:rsid w:val="00D26C04"/>
    <w:rsid w:val="00D270E6"/>
    <w:rsid w:val="00D27434"/>
    <w:rsid w:val="00D30541"/>
    <w:rsid w:val="00D305DB"/>
    <w:rsid w:val="00D30A94"/>
    <w:rsid w:val="00D314C1"/>
    <w:rsid w:val="00D318A9"/>
    <w:rsid w:val="00D31922"/>
    <w:rsid w:val="00D319CA"/>
    <w:rsid w:val="00D3239C"/>
    <w:rsid w:val="00D3252E"/>
    <w:rsid w:val="00D325D0"/>
    <w:rsid w:val="00D3298D"/>
    <w:rsid w:val="00D32FD7"/>
    <w:rsid w:val="00D331A7"/>
    <w:rsid w:val="00D336B2"/>
    <w:rsid w:val="00D3372F"/>
    <w:rsid w:val="00D34017"/>
    <w:rsid w:val="00D34886"/>
    <w:rsid w:val="00D35132"/>
    <w:rsid w:val="00D353CA"/>
    <w:rsid w:val="00D355ED"/>
    <w:rsid w:val="00D3563F"/>
    <w:rsid w:val="00D35BAC"/>
    <w:rsid w:val="00D35F06"/>
    <w:rsid w:val="00D36071"/>
    <w:rsid w:val="00D36247"/>
    <w:rsid w:val="00D36437"/>
    <w:rsid w:val="00D36466"/>
    <w:rsid w:val="00D36E3E"/>
    <w:rsid w:val="00D36FA6"/>
    <w:rsid w:val="00D37245"/>
    <w:rsid w:val="00D374A2"/>
    <w:rsid w:val="00D374DB"/>
    <w:rsid w:val="00D37AB1"/>
    <w:rsid w:val="00D4069C"/>
    <w:rsid w:val="00D4080F"/>
    <w:rsid w:val="00D40A8D"/>
    <w:rsid w:val="00D40FE2"/>
    <w:rsid w:val="00D41B0D"/>
    <w:rsid w:val="00D41C3B"/>
    <w:rsid w:val="00D41D0C"/>
    <w:rsid w:val="00D422AE"/>
    <w:rsid w:val="00D42A86"/>
    <w:rsid w:val="00D42D9D"/>
    <w:rsid w:val="00D431BC"/>
    <w:rsid w:val="00D434E9"/>
    <w:rsid w:val="00D43A19"/>
    <w:rsid w:val="00D43E99"/>
    <w:rsid w:val="00D44870"/>
    <w:rsid w:val="00D44D25"/>
    <w:rsid w:val="00D44D26"/>
    <w:rsid w:val="00D44FAD"/>
    <w:rsid w:val="00D45242"/>
    <w:rsid w:val="00D452C4"/>
    <w:rsid w:val="00D454EC"/>
    <w:rsid w:val="00D455C1"/>
    <w:rsid w:val="00D45A46"/>
    <w:rsid w:val="00D45B55"/>
    <w:rsid w:val="00D46038"/>
    <w:rsid w:val="00D460AF"/>
    <w:rsid w:val="00D4672A"/>
    <w:rsid w:val="00D469ED"/>
    <w:rsid w:val="00D46E7A"/>
    <w:rsid w:val="00D47356"/>
    <w:rsid w:val="00D477C7"/>
    <w:rsid w:val="00D478E6"/>
    <w:rsid w:val="00D47A4E"/>
    <w:rsid w:val="00D47B3B"/>
    <w:rsid w:val="00D47C3C"/>
    <w:rsid w:val="00D5062F"/>
    <w:rsid w:val="00D5089F"/>
    <w:rsid w:val="00D509C3"/>
    <w:rsid w:val="00D509C5"/>
    <w:rsid w:val="00D50B6F"/>
    <w:rsid w:val="00D50B7B"/>
    <w:rsid w:val="00D50FF1"/>
    <w:rsid w:val="00D511F2"/>
    <w:rsid w:val="00D51BA9"/>
    <w:rsid w:val="00D51D0A"/>
    <w:rsid w:val="00D51F72"/>
    <w:rsid w:val="00D5201E"/>
    <w:rsid w:val="00D5286F"/>
    <w:rsid w:val="00D52DE2"/>
    <w:rsid w:val="00D52E01"/>
    <w:rsid w:val="00D5306B"/>
    <w:rsid w:val="00D5309D"/>
    <w:rsid w:val="00D53699"/>
    <w:rsid w:val="00D539F7"/>
    <w:rsid w:val="00D53A8C"/>
    <w:rsid w:val="00D53FC7"/>
    <w:rsid w:val="00D54585"/>
    <w:rsid w:val="00D555B4"/>
    <w:rsid w:val="00D5592C"/>
    <w:rsid w:val="00D55D25"/>
    <w:rsid w:val="00D566AA"/>
    <w:rsid w:val="00D56A98"/>
    <w:rsid w:val="00D57470"/>
    <w:rsid w:val="00D574F7"/>
    <w:rsid w:val="00D5752B"/>
    <w:rsid w:val="00D57652"/>
    <w:rsid w:val="00D57DAC"/>
    <w:rsid w:val="00D60E26"/>
    <w:rsid w:val="00D60FDC"/>
    <w:rsid w:val="00D6169C"/>
    <w:rsid w:val="00D61C77"/>
    <w:rsid w:val="00D61CE8"/>
    <w:rsid w:val="00D61CF0"/>
    <w:rsid w:val="00D61D2C"/>
    <w:rsid w:val="00D61E38"/>
    <w:rsid w:val="00D61F4B"/>
    <w:rsid w:val="00D62585"/>
    <w:rsid w:val="00D62EE5"/>
    <w:rsid w:val="00D63568"/>
    <w:rsid w:val="00D640D5"/>
    <w:rsid w:val="00D6414F"/>
    <w:rsid w:val="00D64445"/>
    <w:rsid w:val="00D64824"/>
    <w:rsid w:val="00D64A95"/>
    <w:rsid w:val="00D64ACF"/>
    <w:rsid w:val="00D64CD9"/>
    <w:rsid w:val="00D64D97"/>
    <w:rsid w:val="00D65038"/>
    <w:rsid w:val="00D65275"/>
    <w:rsid w:val="00D657F7"/>
    <w:rsid w:val="00D65F2C"/>
    <w:rsid w:val="00D65F71"/>
    <w:rsid w:val="00D661DA"/>
    <w:rsid w:val="00D662BA"/>
    <w:rsid w:val="00D6641E"/>
    <w:rsid w:val="00D66DAC"/>
    <w:rsid w:val="00D673CA"/>
    <w:rsid w:val="00D6740D"/>
    <w:rsid w:val="00D67CE4"/>
    <w:rsid w:val="00D67D0C"/>
    <w:rsid w:val="00D67E9C"/>
    <w:rsid w:val="00D70C05"/>
    <w:rsid w:val="00D70FD2"/>
    <w:rsid w:val="00D7158D"/>
    <w:rsid w:val="00D716B7"/>
    <w:rsid w:val="00D71848"/>
    <w:rsid w:val="00D7185B"/>
    <w:rsid w:val="00D71A49"/>
    <w:rsid w:val="00D71A5F"/>
    <w:rsid w:val="00D71C78"/>
    <w:rsid w:val="00D72382"/>
    <w:rsid w:val="00D7263B"/>
    <w:rsid w:val="00D72648"/>
    <w:rsid w:val="00D7285E"/>
    <w:rsid w:val="00D72AC6"/>
    <w:rsid w:val="00D72F38"/>
    <w:rsid w:val="00D73240"/>
    <w:rsid w:val="00D734FF"/>
    <w:rsid w:val="00D74006"/>
    <w:rsid w:val="00D740C9"/>
    <w:rsid w:val="00D742E6"/>
    <w:rsid w:val="00D74544"/>
    <w:rsid w:val="00D7454A"/>
    <w:rsid w:val="00D7460A"/>
    <w:rsid w:val="00D749CD"/>
    <w:rsid w:val="00D74A9B"/>
    <w:rsid w:val="00D74BA6"/>
    <w:rsid w:val="00D74E1C"/>
    <w:rsid w:val="00D7504A"/>
    <w:rsid w:val="00D75637"/>
    <w:rsid w:val="00D75785"/>
    <w:rsid w:val="00D75B59"/>
    <w:rsid w:val="00D75C2D"/>
    <w:rsid w:val="00D75DB2"/>
    <w:rsid w:val="00D75DD3"/>
    <w:rsid w:val="00D7608A"/>
    <w:rsid w:val="00D761EF"/>
    <w:rsid w:val="00D76800"/>
    <w:rsid w:val="00D768C9"/>
    <w:rsid w:val="00D7693E"/>
    <w:rsid w:val="00D76DA6"/>
    <w:rsid w:val="00D76F97"/>
    <w:rsid w:val="00D772B8"/>
    <w:rsid w:val="00D7736E"/>
    <w:rsid w:val="00D776A8"/>
    <w:rsid w:val="00D7770F"/>
    <w:rsid w:val="00D7784E"/>
    <w:rsid w:val="00D77C7A"/>
    <w:rsid w:val="00D77D1B"/>
    <w:rsid w:val="00D77E86"/>
    <w:rsid w:val="00D77EE3"/>
    <w:rsid w:val="00D80617"/>
    <w:rsid w:val="00D8087A"/>
    <w:rsid w:val="00D80A75"/>
    <w:rsid w:val="00D80CBC"/>
    <w:rsid w:val="00D80EA7"/>
    <w:rsid w:val="00D80FFB"/>
    <w:rsid w:val="00D814C6"/>
    <w:rsid w:val="00D81568"/>
    <w:rsid w:val="00D81919"/>
    <w:rsid w:val="00D81A2F"/>
    <w:rsid w:val="00D821CA"/>
    <w:rsid w:val="00D822AB"/>
    <w:rsid w:val="00D828D3"/>
    <w:rsid w:val="00D8292C"/>
    <w:rsid w:val="00D82B23"/>
    <w:rsid w:val="00D82FFB"/>
    <w:rsid w:val="00D83564"/>
    <w:rsid w:val="00D83BF7"/>
    <w:rsid w:val="00D84212"/>
    <w:rsid w:val="00D8421D"/>
    <w:rsid w:val="00D8473B"/>
    <w:rsid w:val="00D8493C"/>
    <w:rsid w:val="00D8501D"/>
    <w:rsid w:val="00D853C9"/>
    <w:rsid w:val="00D85755"/>
    <w:rsid w:val="00D8594A"/>
    <w:rsid w:val="00D859C4"/>
    <w:rsid w:val="00D85C87"/>
    <w:rsid w:val="00D85FDB"/>
    <w:rsid w:val="00D861C2"/>
    <w:rsid w:val="00D86343"/>
    <w:rsid w:val="00D873D1"/>
    <w:rsid w:val="00D87A7A"/>
    <w:rsid w:val="00D87F68"/>
    <w:rsid w:val="00D90387"/>
    <w:rsid w:val="00D9038E"/>
    <w:rsid w:val="00D903D9"/>
    <w:rsid w:val="00D90451"/>
    <w:rsid w:val="00D906CB"/>
    <w:rsid w:val="00D907A0"/>
    <w:rsid w:val="00D907D1"/>
    <w:rsid w:val="00D90846"/>
    <w:rsid w:val="00D91334"/>
    <w:rsid w:val="00D9134A"/>
    <w:rsid w:val="00D9159A"/>
    <w:rsid w:val="00D9173E"/>
    <w:rsid w:val="00D917D3"/>
    <w:rsid w:val="00D917D4"/>
    <w:rsid w:val="00D91A49"/>
    <w:rsid w:val="00D91B3A"/>
    <w:rsid w:val="00D91F72"/>
    <w:rsid w:val="00D92EC0"/>
    <w:rsid w:val="00D92F4E"/>
    <w:rsid w:val="00D93AAF"/>
    <w:rsid w:val="00D93D43"/>
    <w:rsid w:val="00D941FD"/>
    <w:rsid w:val="00D94348"/>
    <w:rsid w:val="00D945CD"/>
    <w:rsid w:val="00D9462F"/>
    <w:rsid w:val="00D948EB"/>
    <w:rsid w:val="00D94914"/>
    <w:rsid w:val="00D95574"/>
    <w:rsid w:val="00D956EE"/>
    <w:rsid w:val="00D957E2"/>
    <w:rsid w:val="00D95A90"/>
    <w:rsid w:val="00D95B3A"/>
    <w:rsid w:val="00D95C59"/>
    <w:rsid w:val="00D96018"/>
    <w:rsid w:val="00D960AA"/>
    <w:rsid w:val="00D96748"/>
    <w:rsid w:val="00D969F7"/>
    <w:rsid w:val="00D96A5F"/>
    <w:rsid w:val="00D96ACC"/>
    <w:rsid w:val="00D96BA6"/>
    <w:rsid w:val="00D96C9E"/>
    <w:rsid w:val="00D96E25"/>
    <w:rsid w:val="00D97027"/>
    <w:rsid w:val="00D97240"/>
    <w:rsid w:val="00D97A2C"/>
    <w:rsid w:val="00D97FD0"/>
    <w:rsid w:val="00DA0023"/>
    <w:rsid w:val="00DA0063"/>
    <w:rsid w:val="00DA0202"/>
    <w:rsid w:val="00DA0354"/>
    <w:rsid w:val="00DA070C"/>
    <w:rsid w:val="00DA0927"/>
    <w:rsid w:val="00DA0E68"/>
    <w:rsid w:val="00DA0FAC"/>
    <w:rsid w:val="00DA1516"/>
    <w:rsid w:val="00DA16C4"/>
    <w:rsid w:val="00DA177B"/>
    <w:rsid w:val="00DA1ABA"/>
    <w:rsid w:val="00DA1DF4"/>
    <w:rsid w:val="00DA2331"/>
    <w:rsid w:val="00DA2638"/>
    <w:rsid w:val="00DA26FF"/>
    <w:rsid w:val="00DA2A8D"/>
    <w:rsid w:val="00DA2B68"/>
    <w:rsid w:val="00DA2DE9"/>
    <w:rsid w:val="00DA2F25"/>
    <w:rsid w:val="00DA3278"/>
    <w:rsid w:val="00DA3541"/>
    <w:rsid w:val="00DA3705"/>
    <w:rsid w:val="00DA3878"/>
    <w:rsid w:val="00DA3AC9"/>
    <w:rsid w:val="00DA3B9C"/>
    <w:rsid w:val="00DA404F"/>
    <w:rsid w:val="00DA4727"/>
    <w:rsid w:val="00DA48C1"/>
    <w:rsid w:val="00DA4B5D"/>
    <w:rsid w:val="00DA55EB"/>
    <w:rsid w:val="00DA56FB"/>
    <w:rsid w:val="00DA572E"/>
    <w:rsid w:val="00DA5774"/>
    <w:rsid w:val="00DA5B9F"/>
    <w:rsid w:val="00DA600A"/>
    <w:rsid w:val="00DA6744"/>
    <w:rsid w:val="00DA6E90"/>
    <w:rsid w:val="00DA6EB2"/>
    <w:rsid w:val="00DA6F01"/>
    <w:rsid w:val="00DA7049"/>
    <w:rsid w:val="00DA75AB"/>
    <w:rsid w:val="00DA77E6"/>
    <w:rsid w:val="00DA7821"/>
    <w:rsid w:val="00DB0117"/>
    <w:rsid w:val="00DB01B1"/>
    <w:rsid w:val="00DB0710"/>
    <w:rsid w:val="00DB0A94"/>
    <w:rsid w:val="00DB106B"/>
    <w:rsid w:val="00DB1391"/>
    <w:rsid w:val="00DB15DF"/>
    <w:rsid w:val="00DB16FB"/>
    <w:rsid w:val="00DB1C6C"/>
    <w:rsid w:val="00DB1D5F"/>
    <w:rsid w:val="00DB1DCC"/>
    <w:rsid w:val="00DB2394"/>
    <w:rsid w:val="00DB2614"/>
    <w:rsid w:val="00DB27ED"/>
    <w:rsid w:val="00DB27FD"/>
    <w:rsid w:val="00DB292E"/>
    <w:rsid w:val="00DB2E57"/>
    <w:rsid w:val="00DB2F0D"/>
    <w:rsid w:val="00DB328A"/>
    <w:rsid w:val="00DB35D7"/>
    <w:rsid w:val="00DB384D"/>
    <w:rsid w:val="00DB3915"/>
    <w:rsid w:val="00DB3DE3"/>
    <w:rsid w:val="00DB4046"/>
    <w:rsid w:val="00DB4747"/>
    <w:rsid w:val="00DB4978"/>
    <w:rsid w:val="00DB4BC0"/>
    <w:rsid w:val="00DB4C4E"/>
    <w:rsid w:val="00DB4DB1"/>
    <w:rsid w:val="00DB4EAA"/>
    <w:rsid w:val="00DB4F6C"/>
    <w:rsid w:val="00DB51A6"/>
    <w:rsid w:val="00DB5380"/>
    <w:rsid w:val="00DB5485"/>
    <w:rsid w:val="00DB5952"/>
    <w:rsid w:val="00DB5BB9"/>
    <w:rsid w:val="00DB5BC0"/>
    <w:rsid w:val="00DB5FDA"/>
    <w:rsid w:val="00DB5FDD"/>
    <w:rsid w:val="00DB611E"/>
    <w:rsid w:val="00DB6457"/>
    <w:rsid w:val="00DB6E79"/>
    <w:rsid w:val="00DB753A"/>
    <w:rsid w:val="00DB769E"/>
    <w:rsid w:val="00DB79DA"/>
    <w:rsid w:val="00DB7AB2"/>
    <w:rsid w:val="00DB7B3B"/>
    <w:rsid w:val="00DB7CC6"/>
    <w:rsid w:val="00DB7F34"/>
    <w:rsid w:val="00DB7F54"/>
    <w:rsid w:val="00DC0229"/>
    <w:rsid w:val="00DC087A"/>
    <w:rsid w:val="00DC093B"/>
    <w:rsid w:val="00DC13CC"/>
    <w:rsid w:val="00DC14D2"/>
    <w:rsid w:val="00DC186A"/>
    <w:rsid w:val="00DC1CA3"/>
    <w:rsid w:val="00DC20A5"/>
    <w:rsid w:val="00DC24AA"/>
    <w:rsid w:val="00DC2508"/>
    <w:rsid w:val="00DC2600"/>
    <w:rsid w:val="00DC27A2"/>
    <w:rsid w:val="00DC29F4"/>
    <w:rsid w:val="00DC321D"/>
    <w:rsid w:val="00DC3303"/>
    <w:rsid w:val="00DC331E"/>
    <w:rsid w:val="00DC3373"/>
    <w:rsid w:val="00DC3408"/>
    <w:rsid w:val="00DC353F"/>
    <w:rsid w:val="00DC369E"/>
    <w:rsid w:val="00DC4341"/>
    <w:rsid w:val="00DC46FF"/>
    <w:rsid w:val="00DC4779"/>
    <w:rsid w:val="00DC4855"/>
    <w:rsid w:val="00DC48E7"/>
    <w:rsid w:val="00DC4A6B"/>
    <w:rsid w:val="00DC4A9A"/>
    <w:rsid w:val="00DC4CB9"/>
    <w:rsid w:val="00DC501F"/>
    <w:rsid w:val="00DC50F3"/>
    <w:rsid w:val="00DC56D1"/>
    <w:rsid w:val="00DC5D17"/>
    <w:rsid w:val="00DC64D0"/>
    <w:rsid w:val="00DC66A5"/>
    <w:rsid w:val="00DC66AF"/>
    <w:rsid w:val="00DC6B1E"/>
    <w:rsid w:val="00DC7082"/>
    <w:rsid w:val="00DC715B"/>
    <w:rsid w:val="00DC73F8"/>
    <w:rsid w:val="00DC783F"/>
    <w:rsid w:val="00DC7B4C"/>
    <w:rsid w:val="00DC7BC0"/>
    <w:rsid w:val="00DD0058"/>
    <w:rsid w:val="00DD029E"/>
    <w:rsid w:val="00DD0461"/>
    <w:rsid w:val="00DD0837"/>
    <w:rsid w:val="00DD0B6B"/>
    <w:rsid w:val="00DD0D04"/>
    <w:rsid w:val="00DD10C5"/>
    <w:rsid w:val="00DD17C6"/>
    <w:rsid w:val="00DD1938"/>
    <w:rsid w:val="00DD194E"/>
    <w:rsid w:val="00DD19F0"/>
    <w:rsid w:val="00DD257A"/>
    <w:rsid w:val="00DD27FB"/>
    <w:rsid w:val="00DD28E7"/>
    <w:rsid w:val="00DD2CB4"/>
    <w:rsid w:val="00DD2EC0"/>
    <w:rsid w:val="00DD3276"/>
    <w:rsid w:val="00DD3466"/>
    <w:rsid w:val="00DD34F0"/>
    <w:rsid w:val="00DD3B10"/>
    <w:rsid w:val="00DD3B9B"/>
    <w:rsid w:val="00DD4221"/>
    <w:rsid w:val="00DD43FE"/>
    <w:rsid w:val="00DD4435"/>
    <w:rsid w:val="00DD46A5"/>
    <w:rsid w:val="00DD4882"/>
    <w:rsid w:val="00DD48FA"/>
    <w:rsid w:val="00DD4985"/>
    <w:rsid w:val="00DD4C0E"/>
    <w:rsid w:val="00DD4D3D"/>
    <w:rsid w:val="00DD50C8"/>
    <w:rsid w:val="00DD58D9"/>
    <w:rsid w:val="00DD5D39"/>
    <w:rsid w:val="00DD5E01"/>
    <w:rsid w:val="00DD62A2"/>
    <w:rsid w:val="00DD630D"/>
    <w:rsid w:val="00DD64C3"/>
    <w:rsid w:val="00DD68D1"/>
    <w:rsid w:val="00DD69A2"/>
    <w:rsid w:val="00DD7212"/>
    <w:rsid w:val="00DD7801"/>
    <w:rsid w:val="00DD7F18"/>
    <w:rsid w:val="00DE0115"/>
    <w:rsid w:val="00DE03BF"/>
    <w:rsid w:val="00DE05BD"/>
    <w:rsid w:val="00DE061D"/>
    <w:rsid w:val="00DE08D7"/>
    <w:rsid w:val="00DE08EB"/>
    <w:rsid w:val="00DE0B86"/>
    <w:rsid w:val="00DE0E87"/>
    <w:rsid w:val="00DE171A"/>
    <w:rsid w:val="00DE1C91"/>
    <w:rsid w:val="00DE1CA8"/>
    <w:rsid w:val="00DE1CFF"/>
    <w:rsid w:val="00DE1D2F"/>
    <w:rsid w:val="00DE29E1"/>
    <w:rsid w:val="00DE3542"/>
    <w:rsid w:val="00DE376E"/>
    <w:rsid w:val="00DE383E"/>
    <w:rsid w:val="00DE3C32"/>
    <w:rsid w:val="00DE3FC6"/>
    <w:rsid w:val="00DE46F1"/>
    <w:rsid w:val="00DE476A"/>
    <w:rsid w:val="00DE4B0C"/>
    <w:rsid w:val="00DE57BC"/>
    <w:rsid w:val="00DE57F9"/>
    <w:rsid w:val="00DE5BC2"/>
    <w:rsid w:val="00DE5C12"/>
    <w:rsid w:val="00DE6018"/>
    <w:rsid w:val="00DE62BE"/>
    <w:rsid w:val="00DE637D"/>
    <w:rsid w:val="00DE64EB"/>
    <w:rsid w:val="00DE7337"/>
    <w:rsid w:val="00DE7397"/>
    <w:rsid w:val="00DE79F5"/>
    <w:rsid w:val="00DE7A34"/>
    <w:rsid w:val="00DE7C22"/>
    <w:rsid w:val="00DE7FB5"/>
    <w:rsid w:val="00DF0029"/>
    <w:rsid w:val="00DF03DB"/>
    <w:rsid w:val="00DF0764"/>
    <w:rsid w:val="00DF127E"/>
    <w:rsid w:val="00DF1978"/>
    <w:rsid w:val="00DF1F07"/>
    <w:rsid w:val="00DF209F"/>
    <w:rsid w:val="00DF235D"/>
    <w:rsid w:val="00DF2433"/>
    <w:rsid w:val="00DF2ED1"/>
    <w:rsid w:val="00DF3248"/>
    <w:rsid w:val="00DF3477"/>
    <w:rsid w:val="00DF383C"/>
    <w:rsid w:val="00DF3B0C"/>
    <w:rsid w:val="00DF47D5"/>
    <w:rsid w:val="00DF4BA2"/>
    <w:rsid w:val="00DF5454"/>
    <w:rsid w:val="00DF58A5"/>
    <w:rsid w:val="00DF5B72"/>
    <w:rsid w:val="00DF5DC7"/>
    <w:rsid w:val="00DF6649"/>
    <w:rsid w:val="00DF69B7"/>
    <w:rsid w:val="00DF6C85"/>
    <w:rsid w:val="00DF6DFE"/>
    <w:rsid w:val="00DF6EA8"/>
    <w:rsid w:val="00DF6F24"/>
    <w:rsid w:val="00DF6F61"/>
    <w:rsid w:val="00DF74FD"/>
    <w:rsid w:val="00DF7B21"/>
    <w:rsid w:val="00DF7D3E"/>
    <w:rsid w:val="00E0017B"/>
    <w:rsid w:val="00E006FD"/>
    <w:rsid w:val="00E00BA8"/>
    <w:rsid w:val="00E00CE2"/>
    <w:rsid w:val="00E00F5D"/>
    <w:rsid w:val="00E010A4"/>
    <w:rsid w:val="00E017EF"/>
    <w:rsid w:val="00E0199F"/>
    <w:rsid w:val="00E01CDA"/>
    <w:rsid w:val="00E02084"/>
    <w:rsid w:val="00E0221B"/>
    <w:rsid w:val="00E02315"/>
    <w:rsid w:val="00E02365"/>
    <w:rsid w:val="00E024F4"/>
    <w:rsid w:val="00E0281E"/>
    <w:rsid w:val="00E028BA"/>
    <w:rsid w:val="00E02A50"/>
    <w:rsid w:val="00E02F29"/>
    <w:rsid w:val="00E031C1"/>
    <w:rsid w:val="00E03A18"/>
    <w:rsid w:val="00E03C55"/>
    <w:rsid w:val="00E0413D"/>
    <w:rsid w:val="00E04488"/>
    <w:rsid w:val="00E045EF"/>
    <w:rsid w:val="00E0469D"/>
    <w:rsid w:val="00E047B7"/>
    <w:rsid w:val="00E05821"/>
    <w:rsid w:val="00E05A61"/>
    <w:rsid w:val="00E05EDD"/>
    <w:rsid w:val="00E06106"/>
    <w:rsid w:val="00E06128"/>
    <w:rsid w:val="00E06262"/>
    <w:rsid w:val="00E06477"/>
    <w:rsid w:val="00E0669F"/>
    <w:rsid w:val="00E0670A"/>
    <w:rsid w:val="00E06CE6"/>
    <w:rsid w:val="00E06DF5"/>
    <w:rsid w:val="00E07127"/>
    <w:rsid w:val="00E074B5"/>
    <w:rsid w:val="00E0750F"/>
    <w:rsid w:val="00E07773"/>
    <w:rsid w:val="00E10292"/>
    <w:rsid w:val="00E1040D"/>
    <w:rsid w:val="00E1074D"/>
    <w:rsid w:val="00E10771"/>
    <w:rsid w:val="00E107D4"/>
    <w:rsid w:val="00E10A35"/>
    <w:rsid w:val="00E10EB6"/>
    <w:rsid w:val="00E10F8C"/>
    <w:rsid w:val="00E11063"/>
    <w:rsid w:val="00E1138A"/>
    <w:rsid w:val="00E11610"/>
    <w:rsid w:val="00E11C0E"/>
    <w:rsid w:val="00E1211D"/>
    <w:rsid w:val="00E12585"/>
    <w:rsid w:val="00E12AC1"/>
    <w:rsid w:val="00E12ACF"/>
    <w:rsid w:val="00E12B93"/>
    <w:rsid w:val="00E13661"/>
    <w:rsid w:val="00E13804"/>
    <w:rsid w:val="00E1382E"/>
    <w:rsid w:val="00E13D27"/>
    <w:rsid w:val="00E13D41"/>
    <w:rsid w:val="00E14306"/>
    <w:rsid w:val="00E149E9"/>
    <w:rsid w:val="00E14A73"/>
    <w:rsid w:val="00E14AAC"/>
    <w:rsid w:val="00E1517C"/>
    <w:rsid w:val="00E153C9"/>
    <w:rsid w:val="00E155FA"/>
    <w:rsid w:val="00E156A9"/>
    <w:rsid w:val="00E157F3"/>
    <w:rsid w:val="00E15847"/>
    <w:rsid w:val="00E16208"/>
    <w:rsid w:val="00E16504"/>
    <w:rsid w:val="00E165C2"/>
    <w:rsid w:val="00E16684"/>
    <w:rsid w:val="00E16726"/>
    <w:rsid w:val="00E1718F"/>
    <w:rsid w:val="00E173AB"/>
    <w:rsid w:val="00E1780D"/>
    <w:rsid w:val="00E20104"/>
    <w:rsid w:val="00E20427"/>
    <w:rsid w:val="00E2087E"/>
    <w:rsid w:val="00E20F1E"/>
    <w:rsid w:val="00E2112C"/>
    <w:rsid w:val="00E21171"/>
    <w:rsid w:val="00E212EB"/>
    <w:rsid w:val="00E21320"/>
    <w:rsid w:val="00E2179E"/>
    <w:rsid w:val="00E21F12"/>
    <w:rsid w:val="00E21F81"/>
    <w:rsid w:val="00E2241A"/>
    <w:rsid w:val="00E2277B"/>
    <w:rsid w:val="00E2279F"/>
    <w:rsid w:val="00E22B22"/>
    <w:rsid w:val="00E231AB"/>
    <w:rsid w:val="00E23440"/>
    <w:rsid w:val="00E23D6C"/>
    <w:rsid w:val="00E245DB"/>
    <w:rsid w:val="00E24797"/>
    <w:rsid w:val="00E24B02"/>
    <w:rsid w:val="00E24B47"/>
    <w:rsid w:val="00E256A6"/>
    <w:rsid w:val="00E261D7"/>
    <w:rsid w:val="00E2631E"/>
    <w:rsid w:val="00E26655"/>
    <w:rsid w:val="00E2666B"/>
    <w:rsid w:val="00E2676C"/>
    <w:rsid w:val="00E26A25"/>
    <w:rsid w:val="00E26D98"/>
    <w:rsid w:val="00E278D6"/>
    <w:rsid w:val="00E30615"/>
    <w:rsid w:val="00E30BD3"/>
    <w:rsid w:val="00E31B3C"/>
    <w:rsid w:val="00E31CDB"/>
    <w:rsid w:val="00E31ED7"/>
    <w:rsid w:val="00E32194"/>
    <w:rsid w:val="00E3273A"/>
    <w:rsid w:val="00E32751"/>
    <w:rsid w:val="00E329BF"/>
    <w:rsid w:val="00E32BE3"/>
    <w:rsid w:val="00E32C0B"/>
    <w:rsid w:val="00E3302A"/>
    <w:rsid w:val="00E3313E"/>
    <w:rsid w:val="00E33524"/>
    <w:rsid w:val="00E336B0"/>
    <w:rsid w:val="00E337D2"/>
    <w:rsid w:val="00E33954"/>
    <w:rsid w:val="00E339BF"/>
    <w:rsid w:val="00E339EE"/>
    <w:rsid w:val="00E33C97"/>
    <w:rsid w:val="00E3405F"/>
    <w:rsid w:val="00E3426C"/>
    <w:rsid w:val="00E34477"/>
    <w:rsid w:val="00E345B6"/>
    <w:rsid w:val="00E34699"/>
    <w:rsid w:val="00E346DD"/>
    <w:rsid w:val="00E34B6A"/>
    <w:rsid w:val="00E34C96"/>
    <w:rsid w:val="00E35840"/>
    <w:rsid w:val="00E35A17"/>
    <w:rsid w:val="00E35CE7"/>
    <w:rsid w:val="00E3613B"/>
    <w:rsid w:val="00E364FE"/>
    <w:rsid w:val="00E36616"/>
    <w:rsid w:val="00E369B6"/>
    <w:rsid w:val="00E36AFD"/>
    <w:rsid w:val="00E36D9A"/>
    <w:rsid w:val="00E36E92"/>
    <w:rsid w:val="00E371E9"/>
    <w:rsid w:val="00E37782"/>
    <w:rsid w:val="00E37BCE"/>
    <w:rsid w:val="00E4050E"/>
    <w:rsid w:val="00E405FF"/>
    <w:rsid w:val="00E40ADE"/>
    <w:rsid w:val="00E4140E"/>
    <w:rsid w:val="00E41709"/>
    <w:rsid w:val="00E41C77"/>
    <w:rsid w:val="00E42AA9"/>
    <w:rsid w:val="00E43221"/>
    <w:rsid w:val="00E43368"/>
    <w:rsid w:val="00E43576"/>
    <w:rsid w:val="00E435FD"/>
    <w:rsid w:val="00E436F7"/>
    <w:rsid w:val="00E43BB4"/>
    <w:rsid w:val="00E43CBB"/>
    <w:rsid w:val="00E44523"/>
    <w:rsid w:val="00E4480F"/>
    <w:rsid w:val="00E453DD"/>
    <w:rsid w:val="00E45EF0"/>
    <w:rsid w:val="00E4634C"/>
    <w:rsid w:val="00E46B32"/>
    <w:rsid w:val="00E46BD7"/>
    <w:rsid w:val="00E46C80"/>
    <w:rsid w:val="00E475FB"/>
    <w:rsid w:val="00E50365"/>
    <w:rsid w:val="00E5053B"/>
    <w:rsid w:val="00E50C7C"/>
    <w:rsid w:val="00E5115E"/>
    <w:rsid w:val="00E51B83"/>
    <w:rsid w:val="00E51F95"/>
    <w:rsid w:val="00E5249C"/>
    <w:rsid w:val="00E525CC"/>
    <w:rsid w:val="00E52AC2"/>
    <w:rsid w:val="00E531BB"/>
    <w:rsid w:val="00E53AE8"/>
    <w:rsid w:val="00E53BC9"/>
    <w:rsid w:val="00E53BD9"/>
    <w:rsid w:val="00E54C0C"/>
    <w:rsid w:val="00E54C37"/>
    <w:rsid w:val="00E562CA"/>
    <w:rsid w:val="00E5681D"/>
    <w:rsid w:val="00E570F4"/>
    <w:rsid w:val="00E572E8"/>
    <w:rsid w:val="00E573E8"/>
    <w:rsid w:val="00E5757A"/>
    <w:rsid w:val="00E576A6"/>
    <w:rsid w:val="00E57FB2"/>
    <w:rsid w:val="00E5E577"/>
    <w:rsid w:val="00E602E9"/>
    <w:rsid w:val="00E6092A"/>
    <w:rsid w:val="00E6115B"/>
    <w:rsid w:val="00E6192B"/>
    <w:rsid w:val="00E62170"/>
    <w:rsid w:val="00E62371"/>
    <w:rsid w:val="00E62743"/>
    <w:rsid w:val="00E6290F"/>
    <w:rsid w:val="00E62B3E"/>
    <w:rsid w:val="00E63122"/>
    <w:rsid w:val="00E63349"/>
    <w:rsid w:val="00E63573"/>
    <w:rsid w:val="00E6389C"/>
    <w:rsid w:val="00E63A41"/>
    <w:rsid w:val="00E63D09"/>
    <w:rsid w:val="00E6411C"/>
    <w:rsid w:val="00E641E7"/>
    <w:rsid w:val="00E642B3"/>
    <w:rsid w:val="00E64510"/>
    <w:rsid w:val="00E64715"/>
    <w:rsid w:val="00E64763"/>
    <w:rsid w:val="00E653FD"/>
    <w:rsid w:val="00E6550B"/>
    <w:rsid w:val="00E65766"/>
    <w:rsid w:val="00E65816"/>
    <w:rsid w:val="00E65A08"/>
    <w:rsid w:val="00E65B10"/>
    <w:rsid w:val="00E65D55"/>
    <w:rsid w:val="00E65E81"/>
    <w:rsid w:val="00E66117"/>
    <w:rsid w:val="00E661FF"/>
    <w:rsid w:val="00E666C6"/>
    <w:rsid w:val="00E66730"/>
    <w:rsid w:val="00E667BE"/>
    <w:rsid w:val="00E66DAA"/>
    <w:rsid w:val="00E670C0"/>
    <w:rsid w:val="00E671D5"/>
    <w:rsid w:val="00E6726A"/>
    <w:rsid w:val="00E675A7"/>
    <w:rsid w:val="00E677B8"/>
    <w:rsid w:val="00E67B43"/>
    <w:rsid w:val="00E67DF0"/>
    <w:rsid w:val="00E70753"/>
    <w:rsid w:val="00E70E62"/>
    <w:rsid w:val="00E70FA1"/>
    <w:rsid w:val="00E71149"/>
    <w:rsid w:val="00E71AB2"/>
    <w:rsid w:val="00E71ECA"/>
    <w:rsid w:val="00E721A4"/>
    <w:rsid w:val="00E72327"/>
    <w:rsid w:val="00E724A0"/>
    <w:rsid w:val="00E725C9"/>
    <w:rsid w:val="00E72F65"/>
    <w:rsid w:val="00E7319A"/>
    <w:rsid w:val="00E73278"/>
    <w:rsid w:val="00E73872"/>
    <w:rsid w:val="00E741B7"/>
    <w:rsid w:val="00E74227"/>
    <w:rsid w:val="00E74644"/>
    <w:rsid w:val="00E746BA"/>
    <w:rsid w:val="00E74BCA"/>
    <w:rsid w:val="00E751E2"/>
    <w:rsid w:val="00E754DA"/>
    <w:rsid w:val="00E75594"/>
    <w:rsid w:val="00E75811"/>
    <w:rsid w:val="00E76696"/>
    <w:rsid w:val="00E769A1"/>
    <w:rsid w:val="00E76C4F"/>
    <w:rsid w:val="00E76C79"/>
    <w:rsid w:val="00E77208"/>
    <w:rsid w:val="00E77216"/>
    <w:rsid w:val="00E772F6"/>
    <w:rsid w:val="00E7751C"/>
    <w:rsid w:val="00E77812"/>
    <w:rsid w:val="00E80636"/>
    <w:rsid w:val="00E80866"/>
    <w:rsid w:val="00E808E7"/>
    <w:rsid w:val="00E80BF7"/>
    <w:rsid w:val="00E80DE0"/>
    <w:rsid w:val="00E81872"/>
    <w:rsid w:val="00E81BD4"/>
    <w:rsid w:val="00E81C30"/>
    <w:rsid w:val="00E82384"/>
    <w:rsid w:val="00E82B68"/>
    <w:rsid w:val="00E82CCA"/>
    <w:rsid w:val="00E82D9B"/>
    <w:rsid w:val="00E83161"/>
    <w:rsid w:val="00E83552"/>
    <w:rsid w:val="00E83C07"/>
    <w:rsid w:val="00E83D68"/>
    <w:rsid w:val="00E8406E"/>
    <w:rsid w:val="00E841C2"/>
    <w:rsid w:val="00E84A4D"/>
    <w:rsid w:val="00E84AA3"/>
    <w:rsid w:val="00E84D48"/>
    <w:rsid w:val="00E84F77"/>
    <w:rsid w:val="00E852F7"/>
    <w:rsid w:val="00E85E68"/>
    <w:rsid w:val="00E85EEA"/>
    <w:rsid w:val="00E85F60"/>
    <w:rsid w:val="00E8602F"/>
    <w:rsid w:val="00E862DD"/>
    <w:rsid w:val="00E86428"/>
    <w:rsid w:val="00E864F8"/>
    <w:rsid w:val="00E8666C"/>
    <w:rsid w:val="00E866B4"/>
    <w:rsid w:val="00E86A0A"/>
    <w:rsid w:val="00E86DA7"/>
    <w:rsid w:val="00E86E1B"/>
    <w:rsid w:val="00E87264"/>
    <w:rsid w:val="00E90077"/>
    <w:rsid w:val="00E9045F"/>
    <w:rsid w:val="00E90550"/>
    <w:rsid w:val="00E9075C"/>
    <w:rsid w:val="00E90962"/>
    <w:rsid w:val="00E90A7C"/>
    <w:rsid w:val="00E90C01"/>
    <w:rsid w:val="00E90C97"/>
    <w:rsid w:val="00E90ED3"/>
    <w:rsid w:val="00E91128"/>
    <w:rsid w:val="00E91C11"/>
    <w:rsid w:val="00E91FD2"/>
    <w:rsid w:val="00E92183"/>
    <w:rsid w:val="00E921DD"/>
    <w:rsid w:val="00E926A0"/>
    <w:rsid w:val="00E9285D"/>
    <w:rsid w:val="00E928B7"/>
    <w:rsid w:val="00E92B23"/>
    <w:rsid w:val="00E92C34"/>
    <w:rsid w:val="00E92D2E"/>
    <w:rsid w:val="00E932AC"/>
    <w:rsid w:val="00E9362D"/>
    <w:rsid w:val="00E93B4A"/>
    <w:rsid w:val="00E93D58"/>
    <w:rsid w:val="00E93E24"/>
    <w:rsid w:val="00E94202"/>
    <w:rsid w:val="00E94618"/>
    <w:rsid w:val="00E94724"/>
    <w:rsid w:val="00E94747"/>
    <w:rsid w:val="00E94829"/>
    <w:rsid w:val="00E94C4E"/>
    <w:rsid w:val="00E94E0A"/>
    <w:rsid w:val="00E94F2B"/>
    <w:rsid w:val="00E9575D"/>
    <w:rsid w:val="00E958FD"/>
    <w:rsid w:val="00E95FD3"/>
    <w:rsid w:val="00E9610C"/>
    <w:rsid w:val="00E961F0"/>
    <w:rsid w:val="00E96337"/>
    <w:rsid w:val="00E96C3D"/>
    <w:rsid w:val="00E96CA9"/>
    <w:rsid w:val="00E97719"/>
    <w:rsid w:val="00EA0292"/>
    <w:rsid w:val="00EA0C4D"/>
    <w:rsid w:val="00EA166F"/>
    <w:rsid w:val="00EA1889"/>
    <w:rsid w:val="00EA1C2C"/>
    <w:rsid w:val="00EA1FD5"/>
    <w:rsid w:val="00EA24E5"/>
    <w:rsid w:val="00EA27F6"/>
    <w:rsid w:val="00EA2926"/>
    <w:rsid w:val="00EA2B24"/>
    <w:rsid w:val="00EA34A8"/>
    <w:rsid w:val="00EA3518"/>
    <w:rsid w:val="00EA4329"/>
    <w:rsid w:val="00EA4BB4"/>
    <w:rsid w:val="00EA510C"/>
    <w:rsid w:val="00EA555A"/>
    <w:rsid w:val="00EA570B"/>
    <w:rsid w:val="00EA5A8D"/>
    <w:rsid w:val="00EA5A9E"/>
    <w:rsid w:val="00EA642D"/>
    <w:rsid w:val="00EA672F"/>
    <w:rsid w:val="00EA6BE7"/>
    <w:rsid w:val="00EA6C9A"/>
    <w:rsid w:val="00EA6E53"/>
    <w:rsid w:val="00EA72BD"/>
    <w:rsid w:val="00EA74CE"/>
    <w:rsid w:val="00EA7960"/>
    <w:rsid w:val="00EA79DE"/>
    <w:rsid w:val="00EA7B44"/>
    <w:rsid w:val="00EA7EE3"/>
    <w:rsid w:val="00EB012E"/>
    <w:rsid w:val="00EB0B09"/>
    <w:rsid w:val="00EB1927"/>
    <w:rsid w:val="00EB1D93"/>
    <w:rsid w:val="00EB20AF"/>
    <w:rsid w:val="00EB2561"/>
    <w:rsid w:val="00EB25C7"/>
    <w:rsid w:val="00EB2769"/>
    <w:rsid w:val="00EB279A"/>
    <w:rsid w:val="00EB2E89"/>
    <w:rsid w:val="00EB2F14"/>
    <w:rsid w:val="00EB3777"/>
    <w:rsid w:val="00EB3799"/>
    <w:rsid w:val="00EB3A25"/>
    <w:rsid w:val="00EB3D8E"/>
    <w:rsid w:val="00EB436A"/>
    <w:rsid w:val="00EB46F5"/>
    <w:rsid w:val="00EB4D16"/>
    <w:rsid w:val="00EB500D"/>
    <w:rsid w:val="00EB50D1"/>
    <w:rsid w:val="00EB543E"/>
    <w:rsid w:val="00EB543F"/>
    <w:rsid w:val="00EB55F0"/>
    <w:rsid w:val="00EB5994"/>
    <w:rsid w:val="00EB5D01"/>
    <w:rsid w:val="00EB63C0"/>
    <w:rsid w:val="00EB6649"/>
    <w:rsid w:val="00EB6BFD"/>
    <w:rsid w:val="00EB6DF5"/>
    <w:rsid w:val="00EB71AD"/>
    <w:rsid w:val="00EB7E8A"/>
    <w:rsid w:val="00EC04A5"/>
    <w:rsid w:val="00EC0527"/>
    <w:rsid w:val="00EC0579"/>
    <w:rsid w:val="00EC0DEF"/>
    <w:rsid w:val="00EC1034"/>
    <w:rsid w:val="00EC1044"/>
    <w:rsid w:val="00EC152D"/>
    <w:rsid w:val="00EC176A"/>
    <w:rsid w:val="00EC19BC"/>
    <w:rsid w:val="00EC1B07"/>
    <w:rsid w:val="00EC1E8A"/>
    <w:rsid w:val="00EC2314"/>
    <w:rsid w:val="00EC272B"/>
    <w:rsid w:val="00EC27EC"/>
    <w:rsid w:val="00EC2ECF"/>
    <w:rsid w:val="00EC2FD1"/>
    <w:rsid w:val="00EC3518"/>
    <w:rsid w:val="00EC37B4"/>
    <w:rsid w:val="00EC3AA5"/>
    <w:rsid w:val="00EC3ACF"/>
    <w:rsid w:val="00EC3DE2"/>
    <w:rsid w:val="00EC3EB0"/>
    <w:rsid w:val="00EC408F"/>
    <w:rsid w:val="00EC49AC"/>
    <w:rsid w:val="00EC4A43"/>
    <w:rsid w:val="00EC4D25"/>
    <w:rsid w:val="00EC4E1B"/>
    <w:rsid w:val="00EC50E2"/>
    <w:rsid w:val="00EC50E4"/>
    <w:rsid w:val="00EC553B"/>
    <w:rsid w:val="00EC58A7"/>
    <w:rsid w:val="00EC5D26"/>
    <w:rsid w:val="00EC6323"/>
    <w:rsid w:val="00EC6382"/>
    <w:rsid w:val="00EC6477"/>
    <w:rsid w:val="00EC668E"/>
    <w:rsid w:val="00EC66C9"/>
    <w:rsid w:val="00EC674B"/>
    <w:rsid w:val="00EC6C9A"/>
    <w:rsid w:val="00EC6E08"/>
    <w:rsid w:val="00EC730F"/>
    <w:rsid w:val="00EC73A7"/>
    <w:rsid w:val="00EC7461"/>
    <w:rsid w:val="00EC785A"/>
    <w:rsid w:val="00ED024F"/>
    <w:rsid w:val="00ED03B4"/>
    <w:rsid w:val="00ED05A2"/>
    <w:rsid w:val="00ED09AF"/>
    <w:rsid w:val="00ED0FD6"/>
    <w:rsid w:val="00ED213C"/>
    <w:rsid w:val="00ED219A"/>
    <w:rsid w:val="00ED349D"/>
    <w:rsid w:val="00ED3FB1"/>
    <w:rsid w:val="00ED3FCA"/>
    <w:rsid w:val="00ED4253"/>
    <w:rsid w:val="00ED45E7"/>
    <w:rsid w:val="00ED46B6"/>
    <w:rsid w:val="00ED49E2"/>
    <w:rsid w:val="00ED4C9E"/>
    <w:rsid w:val="00ED54D7"/>
    <w:rsid w:val="00ED54F1"/>
    <w:rsid w:val="00ED56E2"/>
    <w:rsid w:val="00ED592F"/>
    <w:rsid w:val="00ED5B99"/>
    <w:rsid w:val="00ED647A"/>
    <w:rsid w:val="00ED68D1"/>
    <w:rsid w:val="00ED6912"/>
    <w:rsid w:val="00ED6E8B"/>
    <w:rsid w:val="00ED70AF"/>
    <w:rsid w:val="00ED7332"/>
    <w:rsid w:val="00ED737D"/>
    <w:rsid w:val="00ED781E"/>
    <w:rsid w:val="00ED78D4"/>
    <w:rsid w:val="00EE041B"/>
    <w:rsid w:val="00EE0AFF"/>
    <w:rsid w:val="00EE0FF3"/>
    <w:rsid w:val="00EE1557"/>
    <w:rsid w:val="00EE1791"/>
    <w:rsid w:val="00EE1C5F"/>
    <w:rsid w:val="00EE1E2E"/>
    <w:rsid w:val="00EE202D"/>
    <w:rsid w:val="00EE2065"/>
    <w:rsid w:val="00EE2BD7"/>
    <w:rsid w:val="00EE2DAA"/>
    <w:rsid w:val="00EE307F"/>
    <w:rsid w:val="00EE3331"/>
    <w:rsid w:val="00EE34CD"/>
    <w:rsid w:val="00EE3779"/>
    <w:rsid w:val="00EE38AE"/>
    <w:rsid w:val="00EE3A54"/>
    <w:rsid w:val="00EE3BEB"/>
    <w:rsid w:val="00EE3D4D"/>
    <w:rsid w:val="00EE3F2A"/>
    <w:rsid w:val="00EE3FC2"/>
    <w:rsid w:val="00EE3FFE"/>
    <w:rsid w:val="00EE48D7"/>
    <w:rsid w:val="00EE511C"/>
    <w:rsid w:val="00EE526A"/>
    <w:rsid w:val="00EE54ED"/>
    <w:rsid w:val="00EE5506"/>
    <w:rsid w:val="00EE5B4E"/>
    <w:rsid w:val="00EE5DAB"/>
    <w:rsid w:val="00EE5DB5"/>
    <w:rsid w:val="00EE6043"/>
    <w:rsid w:val="00EE60BD"/>
    <w:rsid w:val="00EE63F0"/>
    <w:rsid w:val="00EE645C"/>
    <w:rsid w:val="00EE64E2"/>
    <w:rsid w:val="00EE6965"/>
    <w:rsid w:val="00EE6AC5"/>
    <w:rsid w:val="00EE760B"/>
    <w:rsid w:val="00EE7940"/>
    <w:rsid w:val="00EE7BCD"/>
    <w:rsid w:val="00EF01D6"/>
    <w:rsid w:val="00EF08CA"/>
    <w:rsid w:val="00EF0B28"/>
    <w:rsid w:val="00EF0B33"/>
    <w:rsid w:val="00EF0E1A"/>
    <w:rsid w:val="00EF130C"/>
    <w:rsid w:val="00EF1898"/>
    <w:rsid w:val="00EF1A23"/>
    <w:rsid w:val="00EF20C4"/>
    <w:rsid w:val="00EF21D5"/>
    <w:rsid w:val="00EF2221"/>
    <w:rsid w:val="00EF2394"/>
    <w:rsid w:val="00EF24BE"/>
    <w:rsid w:val="00EF2AEF"/>
    <w:rsid w:val="00EF2B00"/>
    <w:rsid w:val="00EF3154"/>
    <w:rsid w:val="00EF348C"/>
    <w:rsid w:val="00EF34A1"/>
    <w:rsid w:val="00EF3999"/>
    <w:rsid w:val="00EF3F8C"/>
    <w:rsid w:val="00EF41B3"/>
    <w:rsid w:val="00EF4211"/>
    <w:rsid w:val="00EF4396"/>
    <w:rsid w:val="00EF4718"/>
    <w:rsid w:val="00EF4BAB"/>
    <w:rsid w:val="00EF4C9C"/>
    <w:rsid w:val="00EF61A1"/>
    <w:rsid w:val="00EF6357"/>
    <w:rsid w:val="00EF6662"/>
    <w:rsid w:val="00EF6768"/>
    <w:rsid w:val="00EF6DFA"/>
    <w:rsid w:val="00EF6F14"/>
    <w:rsid w:val="00EF7373"/>
    <w:rsid w:val="00EF75A7"/>
    <w:rsid w:val="00EF76B7"/>
    <w:rsid w:val="00EF7824"/>
    <w:rsid w:val="00EF7ED7"/>
    <w:rsid w:val="00F000E4"/>
    <w:rsid w:val="00F006D0"/>
    <w:rsid w:val="00F01370"/>
    <w:rsid w:val="00F0147C"/>
    <w:rsid w:val="00F018E0"/>
    <w:rsid w:val="00F01BCB"/>
    <w:rsid w:val="00F01D32"/>
    <w:rsid w:val="00F01EBF"/>
    <w:rsid w:val="00F021D5"/>
    <w:rsid w:val="00F02210"/>
    <w:rsid w:val="00F025C9"/>
    <w:rsid w:val="00F0269D"/>
    <w:rsid w:val="00F02AAA"/>
    <w:rsid w:val="00F02E19"/>
    <w:rsid w:val="00F02EAC"/>
    <w:rsid w:val="00F030EF"/>
    <w:rsid w:val="00F03291"/>
    <w:rsid w:val="00F033BA"/>
    <w:rsid w:val="00F03438"/>
    <w:rsid w:val="00F03E36"/>
    <w:rsid w:val="00F03EC7"/>
    <w:rsid w:val="00F04139"/>
    <w:rsid w:val="00F0436C"/>
    <w:rsid w:val="00F0439C"/>
    <w:rsid w:val="00F047FC"/>
    <w:rsid w:val="00F048B0"/>
    <w:rsid w:val="00F04B84"/>
    <w:rsid w:val="00F056E4"/>
    <w:rsid w:val="00F057D3"/>
    <w:rsid w:val="00F057EB"/>
    <w:rsid w:val="00F057ED"/>
    <w:rsid w:val="00F0585F"/>
    <w:rsid w:val="00F05C87"/>
    <w:rsid w:val="00F05E40"/>
    <w:rsid w:val="00F063DF"/>
    <w:rsid w:val="00F0662F"/>
    <w:rsid w:val="00F06AAE"/>
    <w:rsid w:val="00F07505"/>
    <w:rsid w:val="00F07525"/>
    <w:rsid w:val="00F077A6"/>
    <w:rsid w:val="00F07A06"/>
    <w:rsid w:val="00F07AD5"/>
    <w:rsid w:val="00F07BDF"/>
    <w:rsid w:val="00F07D3C"/>
    <w:rsid w:val="00F102DE"/>
    <w:rsid w:val="00F1036F"/>
    <w:rsid w:val="00F104AF"/>
    <w:rsid w:val="00F10B00"/>
    <w:rsid w:val="00F11612"/>
    <w:rsid w:val="00F11F9E"/>
    <w:rsid w:val="00F120F3"/>
    <w:rsid w:val="00F120FC"/>
    <w:rsid w:val="00F12521"/>
    <w:rsid w:val="00F12920"/>
    <w:rsid w:val="00F12A9D"/>
    <w:rsid w:val="00F12F8C"/>
    <w:rsid w:val="00F12FF9"/>
    <w:rsid w:val="00F13062"/>
    <w:rsid w:val="00F137A6"/>
    <w:rsid w:val="00F137B7"/>
    <w:rsid w:val="00F13D97"/>
    <w:rsid w:val="00F13FCE"/>
    <w:rsid w:val="00F1405C"/>
    <w:rsid w:val="00F14192"/>
    <w:rsid w:val="00F14908"/>
    <w:rsid w:val="00F14B94"/>
    <w:rsid w:val="00F14BF7"/>
    <w:rsid w:val="00F14C9C"/>
    <w:rsid w:val="00F14DA2"/>
    <w:rsid w:val="00F14E7C"/>
    <w:rsid w:val="00F153B0"/>
    <w:rsid w:val="00F1563A"/>
    <w:rsid w:val="00F15A47"/>
    <w:rsid w:val="00F15A93"/>
    <w:rsid w:val="00F161FE"/>
    <w:rsid w:val="00F16229"/>
    <w:rsid w:val="00F165C0"/>
    <w:rsid w:val="00F166B4"/>
    <w:rsid w:val="00F17608"/>
    <w:rsid w:val="00F17B29"/>
    <w:rsid w:val="00F17DD4"/>
    <w:rsid w:val="00F200B6"/>
    <w:rsid w:val="00F200D9"/>
    <w:rsid w:val="00F2015B"/>
    <w:rsid w:val="00F20C85"/>
    <w:rsid w:val="00F21039"/>
    <w:rsid w:val="00F212DE"/>
    <w:rsid w:val="00F21446"/>
    <w:rsid w:val="00F228E2"/>
    <w:rsid w:val="00F22EB0"/>
    <w:rsid w:val="00F2301E"/>
    <w:rsid w:val="00F234B1"/>
    <w:rsid w:val="00F23666"/>
    <w:rsid w:val="00F238BC"/>
    <w:rsid w:val="00F238C8"/>
    <w:rsid w:val="00F2450E"/>
    <w:rsid w:val="00F24B94"/>
    <w:rsid w:val="00F25099"/>
    <w:rsid w:val="00F2533E"/>
    <w:rsid w:val="00F25540"/>
    <w:rsid w:val="00F26307"/>
    <w:rsid w:val="00F26484"/>
    <w:rsid w:val="00F26630"/>
    <w:rsid w:val="00F267D2"/>
    <w:rsid w:val="00F26A6D"/>
    <w:rsid w:val="00F2754E"/>
    <w:rsid w:val="00F278BF"/>
    <w:rsid w:val="00F27B99"/>
    <w:rsid w:val="00F27DB7"/>
    <w:rsid w:val="00F3061E"/>
    <w:rsid w:val="00F30959"/>
    <w:rsid w:val="00F31060"/>
    <w:rsid w:val="00F311AA"/>
    <w:rsid w:val="00F31510"/>
    <w:rsid w:val="00F316F6"/>
    <w:rsid w:val="00F321B7"/>
    <w:rsid w:val="00F32891"/>
    <w:rsid w:val="00F32D2B"/>
    <w:rsid w:val="00F32F96"/>
    <w:rsid w:val="00F32FF1"/>
    <w:rsid w:val="00F33594"/>
    <w:rsid w:val="00F33704"/>
    <w:rsid w:val="00F33822"/>
    <w:rsid w:val="00F33E1D"/>
    <w:rsid w:val="00F34289"/>
    <w:rsid w:val="00F34302"/>
    <w:rsid w:val="00F34C64"/>
    <w:rsid w:val="00F34D6C"/>
    <w:rsid w:val="00F34E7A"/>
    <w:rsid w:val="00F34EAD"/>
    <w:rsid w:val="00F3520B"/>
    <w:rsid w:val="00F3537B"/>
    <w:rsid w:val="00F35418"/>
    <w:rsid w:val="00F356C9"/>
    <w:rsid w:val="00F357BA"/>
    <w:rsid w:val="00F35A9A"/>
    <w:rsid w:val="00F35BF2"/>
    <w:rsid w:val="00F35F6B"/>
    <w:rsid w:val="00F362BC"/>
    <w:rsid w:val="00F364B2"/>
    <w:rsid w:val="00F36B1D"/>
    <w:rsid w:val="00F36BE4"/>
    <w:rsid w:val="00F36EDC"/>
    <w:rsid w:val="00F3756F"/>
    <w:rsid w:val="00F378A2"/>
    <w:rsid w:val="00F37DFB"/>
    <w:rsid w:val="00F40089"/>
    <w:rsid w:val="00F402D3"/>
    <w:rsid w:val="00F406BD"/>
    <w:rsid w:val="00F40954"/>
    <w:rsid w:val="00F40FFF"/>
    <w:rsid w:val="00F4150D"/>
    <w:rsid w:val="00F41A5A"/>
    <w:rsid w:val="00F41BC8"/>
    <w:rsid w:val="00F41BC9"/>
    <w:rsid w:val="00F41FEE"/>
    <w:rsid w:val="00F4205D"/>
    <w:rsid w:val="00F42185"/>
    <w:rsid w:val="00F424D5"/>
    <w:rsid w:val="00F42737"/>
    <w:rsid w:val="00F434C7"/>
    <w:rsid w:val="00F43528"/>
    <w:rsid w:val="00F4355D"/>
    <w:rsid w:val="00F43DB1"/>
    <w:rsid w:val="00F44321"/>
    <w:rsid w:val="00F44491"/>
    <w:rsid w:val="00F445C2"/>
    <w:rsid w:val="00F448D5"/>
    <w:rsid w:val="00F44D55"/>
    <w:rsid w:val="00F44FEC"/>
    <w:rsid w:val="00F450CF"/>
    <w:rsid w:val="00F454BE"/>
    <w:rsid w:val="00F458E2"/>
    <w:rsid w:val="00F45967"/>
    <w:rsid w:val="00F45972"/>
    <w:rsid w:val="00F45F9A"/>
    <w:rsid w:val="00F45FEC"/>
    <w:rsid w:val="00F460D3"/>
    <w:rsid w:val="00F46210"/>
    <w:rsid w:val="00F462B7"/>
    <w:rsid w:val="00F4650D"/>
    <w:rsid w:val="00F46903"/>
    <w:rsid w:val="00F46AE4"/>
    <w:rsid w:val="00F47426"/>
    <w:rsid w:val="00F47501"/>
    <w:rsid w:val="00F47904"/>
    <w:rsid w:val="00F47D38"/>
    <w:rsid w:val="00F47E28"/>
    <w:rsid w:val="00F47F96"/>
    <w:rsid w:val="00F5011E"/>
    <w:rsid w:val="00F50237"/>
    <w:rsid w:val="00F502D4"/>
    <w:rsid w:val="00F50461"/>
    <w:rsid w:val="00F505DC"/>
    <w:rsid w:val="00F50710"/>
    <w:rsid w:val="00F507B4"/>
    <w:rsid w:val="00F5081E"/>
    <w:rsid w:val="00F508D1"/>
    <w:rsid w:val="00F50999"/>
    <w:rsid w:val="00F50B0F"/>
    <w:rsid w:val="00F50B9A"/>
    <w:rsid w:val="00F51421"/>
    <w:rsid w:val="00F515F4"/>
    <w:rsid w:val="00F516F3"/>
    <w:rsid w:val="00F51B84"/>
    <w:rsid w:val="00F51D67"/>
    <w:rsid w:val="00F51EB8"/>
    <w:rsid w:val="00F52518"/>
    <w:rsid w:val="00F52662"/>
    <w:rsid w:val="00F52880"/>
    <w:rsid w:val="00F52969"/>
    <w:rsid w:val="00F52E04"/>
    <w:rsid w:val="00F52E72"/>
    <w:rsid w:val="00F530BE"/>
    <w:rsid w:val="00F532C6"/>
    <w:rsid w:val="00F5333A"/>
    <w:rsid w:val="00F53E43"/>
    <w:rsid w:val="00F5414B"/>
    <w:rsid w:val="00F542DD"/>
    <w:rsid w:val="00F542F7"/>
    <w:rsid w:val="00F5447A"/>
    <w:rsid w:val="00F54ACC"/>
    <w:rsid w:val="00F55315"/>
    <w:rsid w:val="00F5588C"/>
    <w:rsid w:val="00F55CB8"/>
    <w:rsid w:val="00F55DD4"/>
    <w:rsid w:val="00F56163"/>
    <w:rsid w:val="00F56181"/>
    <w:rsid w:val="00F563E2"/>
    <w:rsid w:val="00F5669A"/>
    <w:rsid w:val="00F56AAB"/>
    <w:rsid w:val="00F56AD3"/>
    <w:rsid w:val="00F56D52"/>
    <w:rsid w:val="00F57900"/>
    <w:rsid w:val="00F57EAF"/>
    <w:rsid w:val="00F600F9"/>
    <w:rsid w:val="00F609FE"/>
    <w:rsid w:val="00F60ACA"/>
    <w:rsid w:val="00F60D74"/>
    <w:rsid w:val="00F60F88"/>
    <w:rsid w:val="00F6103A"/>
    <w:rsid w:val="00F610E0"/>
    <w:rsid w:val="00F6123E"/>
    <w:rsid w:val="00F61F18"/>
    <w:rsid w:val="00F61F23"/>
    <w:rsid w:val="00F62238"/>
    <w:rsid w:val="00F6299F"/>
    <w:rsid w:val="00F62A52"/>
    <w:rsid w:val="00F633B4"/>
    <w:rsid w:val="00F638FD"/>
    <w:rsid w:val="00F63906"/>
    <w:rsid w:val="00F63B65"/>
    <w:rsid w:val="00F64372"/>
    <w:rsid w:val="00F64B92"/>
    <w:rsid w:val="00F65654"/>
    <w:rsid w:val="00F661FB"/>
    <w:rsid w:val="00F66326"/>
    <w:rsid w:val="00F66338"/>
    <w:rsid w:val="00F66A2E"/>
    <w:rsid w:val="00F66A5E"/>
    <w:rsid w:val="00F66CA8"/>
    <w:rsid w:val="00F66D9C"/>
    <w:rsid w:val="00F66FCC"/>
    <w:rsid w:val="00F672D4"/>
    <w:rsid w:val="00F67319"/>
    <w:rsid w:val="00F67BAA"/>
    <w:rsid w:val="00F67C19"/>
    <w:rsid w:val="00F67C44"/>
    <w:rsid w:val="00F6A266"/>
    <w:rsid w:val="00F70030"/>
    <w:rsid w:val="00F7006F"/>
    <w:rsid w:val="00F700D6"/>
    <w:rsid w:val="00F70360"/>
    <w:rsid w:val="00F70504"/>
    <w:rsid w:val="00F709BA"/>
    <w:rsid w:val="00F70B97"/>
    <w:rsid w:val="00F70D01"/>
    <w:rsid w:val="00F70EB8"/>
    <w:rsid w:val="00F717B2"/>
    <w:rsid w:val="00F71894"/>
    <w:rsid w:val="00F71E4B"/>
    <w:rsid w:val="00F7221D"/>
    <w:rsid w:val="00F72681"/>
    <w:rsid w:val="00F726EF"/>
    <w:rsid w:val="00F7274E"/>
    <w:rsid w:val="00F728AB"/>
    <w:rsid w:val="00F72B35"/>
    <w:rsid w:val="00F73205"/>
    <w:rsid w:val="00F736BD"/>
    <w:rsid w:val="00F73B35"/>
    <w:rsid w:val="00F740D9"/>
    <w:rsid w:val="00F74199"/>
    <w:rsid w:val="00F744C4"/>
    <w:rsid w:val="00F745A9"/>
    <w:rsid w:val="00F74842"/>
    <w:rsid w:val="00F74C52"/>
    <w:rsid w:val="00F74CC9"/>
    <w:rsid w:val="00F74DEE"/>
    <w:rsid w:val="00F75065"/>
    <w:rsid w:val="00F75107"/>
    <w:rsid w:val="00F75563"/>
    <w:rsid w:val="00F75733"/>
    <w:rsid w:val="00F75828"/>
    <w:rsid w:val="00F7595A"/>
    <w:rsid w:val="00F7595E"/>
    <w:rsid w:val="00F75BE8"/>
    <w:rsid w:val="00F75CA0"/>
    <w:rsid w:val="00F75E43"/>
    <w:rsid w:val="00F76012"/>
    <w:rsid w:val="00F76DEB"/>
    <w:rsid w:val="00F77063"/>
    <w:rsid w:val="00F770E6"/>
    <w:rsid w:val="00F771BD"/>
    <w:rsid w:val="00F773AE"/>
    <w:rsid w:val="00F7744B"/>
    <w:rsid w:val="00F775DF"/>
    <w:rsid w:val="00F779CE"/>
    <w:rsid w:val="00F77D87"/>
    <w:rsid w:val="00F77D95"/>
    <w:rsid w:val="00F800FE"/>
    <w:rsid w:val="00F80105"/>
    <w:rsid w:val="00F80475"/>
    <w:rsid w:val="00F80495"/>
    <w:rsid w:val="00F807B8"/>
    <w:rsid w:val="00F80ACA"/>
    <w:rsid w:val="00F80F7E"/>
    <w:rsid w:val="00F8126F"/>
    <w:rsid w:val="00F813E7"/>
    <w:rsid w:val="00F81616"/>
    <w:rsid w:val="00F81C4B"/>
    <w:rsid w:val="00F81EE8"/>
    <w:rsid w:val="00F81F57"/>
    <w:rsid w:val="00F82147"/>
    <w:rsid w:val="00F8235C"/>
    <w:rsid w:val="00F827E0"/>
    <w:rsid w:val="00F836C2"/>
    <w:rsid w:val="00F837ED"/>
    <w:rsid w:val="00F83A36"/>
    <w:rsid w:val="00F83D8C"/>
    <w:rsid w:val="00F83E0F"/>
    <w:rsid w:val="00F85004"/>
    <w:rsid w:val="00F85189"/>
    <w:rsid w:val="00F8535F"/>
    <w:rsid w:val="00F85867"/>
    <w:rsid w:val="00F85BA6"/>
    <w:rsid w:val="00F85D88"/>
    <w:rsid w:val="00F85E2F"/>
    <w:rsid w:val="00F86038"/>
    <w:rsid w:val="00F86299"/>
    <w:rsid w:val="00F86519"/>
    <w:rsid w:val="00F86610"/>
    <w:rsid w:val="00F87064"/>
    <w:rsid w:val="00F87100"/>
    <w:rsid w:val="00F87644"/>
    <w:rsid w:val="00F87813"/>
    <w:rsid w:val="00F87919"/>
    <w:rsid w:val="00F9018D"/>
    <w:rsid w:val="00F9037F"/>
    <w:rsid w:val="00F9072E"/>
    <w:rsid w:val="00F9076C"/>
    <w:rsid w:val="00F908D7"/>
    <w:rsid w:val="00F90AE6"/>
    <w:rsid w:val="00F912EC"/>
    <w:rsid w:val="00F91403"/>
    <w:rsid w:val="00F9153F"/>
    <w:rsid w:val="00F91E81"/>
    <w:rsid w:val="00F92874"/>
    <w:rsid w:val="00F92EE7"/>
    <w:rsid w:val="00F92FDD"/>
    <w:rsid w:val="00F933FC"/>
    <w:rsid w:val="00F939A4"/>
    <w:rsid w:val="00F939BC"/>
    <w:rsid w:val="00F94048"/>
    <w:rsid w:val="00F94139"/>
    <w:rsid w:val="00F9447D"/>
    <w:rsid w:val="00F9486B"/>
    <w:rsid w:val="00F9496F"/>
    <w:rsid w:val="00F95112"/>
    <w:rsid w:val="00F955E9"/>
    <w:rsid w:val="00F956B4"/>
    <w:rsid w:val="00F95A7F"/>
    <w:rsid w:val="00F9630C"/>
    <w:rsid w:val="00F970B9"/>
    <w:rsid w:val="00F971DD"/>
    <w:rsid w:val="00F9723D"/>
    <w:rsid w:val="00F974A9"/>
    <w:rsid w:val="00F97695"/>
    <w:rsid w:val="00F97A6D"/>
    <w:rsid w:val="00F97D5F"/>
    <w:rsid w:val="00F97DB2"/>
    <w:rsid w:val="00F97FC9"/>
    <w:rsid w:val="00FA02C5"/>
    <w:rsid w:val="00FA05D2"/>
    <w:rsid w:val="00FA0811"/>
    <w:rsid w:val="00FA0815"/>
    <w:rsid w:val="00FA0A7E"/>
    <w:rsid w:val="00FA0CCF"/>
    <w:rsid w:val="00FA1548"/>
    <w:rsid w:val="00FA166D"/>
    <w:rsid w:val="00FA1679"/>
    <w:rsid w:val="00FA1846"/>
    <w:rsid w:val="00FA1FC8"/>
    <w:rsid w:val="00FA204C"/>
    <w:rsid w:val="00FA24B0"/>
    <w:rsid w:val="00FA2787"/>
    <w:rsid w:val="00FA2856"/>
    <w:rsid w:val="00FA2928"/>
    <w:rsid w:val="00FA2FDD"/>
    <w:rsid w:val="00FA310F"/>
    <w:rsid w:val="00FA3374"/>
    <w:rsid w:val="00FA3411"/>
    <w:rsid w:val="00FA35B6"/>
    <w:rsid w:val="00FA379D"/>
    <w:rsid w:val="00FA3F32"/>
    <w:rsid w:val="00FA40CF"/>
    <w:rsid w:val="00FA40F7"/>
    <w:rsid w:val="00FA42F3"/>
    <w:rsid w:val="00FA4BF5"/>
    <w:rsid w:val="00FA4D32"/>
    <w:rsid w:val="00FA51AC"/>
    <w:rsid w:val="00FA54DB"/>
    <w:rsid w:val="00FA555D"/>
    <w:rsid w:val="00FA5C51"/>
    <w:rsid w:val="00FA5DC2"/>
    <w:rsid w:val="00FA5E98"/>
    <w:rsid w:val="00FA60F3"/>
    <w:rsid w:val="00FA6C2B"/>
    <w:rsid w:val="00FA6E52"/>
    <w:rsid w:val="00FA7328"/>
    <w:rsid w:val="00FA7CDF"/>
    <w:rsid w:val="00FA7CE9"/>
    <w:rsid w:val="00FA7D96"/>
    <w:rsid w:val="00FA7FF2"/>
    <w:rsid w:val="00FB08C5"/>
    <w:rsid w:val="00FB0A2E"/>
    <w:rsid w:val="00FB0CD9"/>
    <w:rsid w:val="00FB0DE4"/>
    <w:rsid w:val="00FB1622"/>
    <w:rsid w:val="00FB1A16"/>
    <w:rsid w:val="00FB1B4F"/>
    <w:rsid w:val="00FB1F63"/>
    <w:rsid w:val="00FB209C"/>
    <w:rsid w:val="00FB2183"/>
    <w:rsid w:val="00FB23FF"/>
    <w:rsid w:val="00FB2722"/>
    <w:rsid w:val="00FB283A"/>
    <w:rsid w:val="00FB367A"/>
    <w:rsid w:val="00FB3A4D"/>
    <w:rsid w:val="00FB459C"/>
    <w:rsid w:val="00FB46C1"/>
    <w:rsid w:val="00FB490D"/>
    <w:rsid w:val="00FB4BBE"/>
    <w:rsid w:val="00FB4DCB"/>
    <w:rsid w:val="00FB5179"/>
    <w:rsid w:val="00FB538F"/>
    <w:rsid w:val="00FB55BB"/>
    <w:rsid w:val="00FB5A22"/>
    <w:rsid w:val="00FB627D"/>
    <w:rsid w:val="00FB6286"/>
    <w:rsid w:val="00FB6785"/>
    <w:rsid w:val="00FB6852"/>
    <w:rsid w:val="00FB68F2"/>
    <w:rsid w:val="00FB7306"/>
    <w:rsid w:val="00FB74AD"/>
    <w:rsid w:val="00FB74AE"/>
    <w:rsid w:val="00FB7AF5"/>
    <w:rsid w:val="00FB7C33"/>
    <w:rsid w:val="00FB7C4A"/>
    <w:rsid w:val="00FB7CF6"/>
    <w:rsid w:val="00FC01E2"/>
    <w:rsid w:val="00FC05AF"/>
    <w:rsid w:val="00FC0624"/>
    <w:rsid w:val="00FC06D8"/>
    <w:rsid w:val="00FC0B84"/>
    <w:rsid w:val="00FC0FDA"/>
    <w:rsid w:val="00FC151B"/>
    <w:rsid w:val="00FC1972"/>
    <w:rsid w:val="00FC19CE"/>
    <w:rsid w:val="00FC1B84"/>
    <w:rsid w:val="00FC1DEF"/>
    <w:rsid w:val="00FC1E75"/>
    <w:rsid w:val="00FC1F8E"/>
    <w:rsid w:val="00FC2449"/>
    <w:rsid w:val="00FC24FC"/>
    <w:rsid w:val="00FC2AEF"/>
    <w:rsid w:val="00FC3041"/>
    <w:rsid w:val="00FC32B5"/>
    <w:rsid w:val="00FC34CF"/>
    <w:rsid w:val="00FC3875"/>
    <w:rsid w:val="00FC3A17"/>
    <w:rsid w:val="00FC3F1A"/>
    <w:rsid w:val="00FC4905"/>
    <w:rsid w:val="00FC49FE"/>
    <w:rsid w:val="00FC4D07"/>
    <w:rsid w:val="00FC5440"/>
    <w:rsid w:val="00FC5BFB"/>
    <w:rsid w:val="00FC5D2C"/>
    <w:rsid w:val="00FC62D2"/>
    <w:rsid w:val="00FC671F"/>
    <w:rsid w:val="00FC67B8"/>
    <w:rsid w:val="00FC68B1"/>
    <w:rsid w:val="00FC690A"/>
    <w:rsid w:val="00FC6CA2"/>
    <w:rsid w:val="00FC6D1B"/>
    <w:rsid w:val="00FC728E"/>
    <w:rsid w:val="00FC72E7"/>
    <w:rsid w:val="00FC7402"/>
    <w:rsid w:val="00FC7CFF"/>
    <w:rsid w:val="00FD0387"/>
    <w:rsid w:val="00FD0682"/>
    <w:rsid w:val="00FD0A8B"/>
    <w:rsid w:val="00FD0D27"/>
    <w:rsid w:val="00FD1042"/>
    <w:rsid w:val="00FD1226"/>
    <w:rsid w:val="00FD12EC"/>
    <w:rsid w:val="00FD12F9"/>
    <w:rsid w:val="00FD1499"/>
    <w:rsid w:val="00FD1C0F"/>
    <w:rsid w:val="00FD1CDE"/>
    <w:rsid w:val="00FD1DC1"/>
    <w:rsid w:val="00FD25A6"/>
    <w:rsid w:val="00FD29D5"/>
    <w:rsid w:val="00FD2C17"/>
    <w:rsid w:val="00FD2E1A"/>
    <w:rsid w:val="00FD32D5"/>
    <w:rsid w:val="00FD3B26"/>
    <w:rsid w:val="00FD3F1B"/>
    <w:rsid w:val="00FD435E"/>
    <w:rsid w:val="00FD4413"/>
    <w:rsid w:val="00FD442A"/>
    <w:rsid w:val="00FD4E5B"/>
    <w:rsid w:val="00FD4F7D"/>
    <w:rsid w:val="00FD5292"/>
    <w:rsid w:val="00FD5589"/>
    <w:rsid w:val="00FD571C"/>
    <w:rsid w:val="00FD5B99"/>
    <w:rsid w:val="00FD5EF4"/>
    <w:rsid w:val="00FD5F21"/>
    <w:rsid w:val="00FD6478"/>
    <w:rsid w:val="00FD676E"/>
    <w:rsid w:val="00FD68BC"/>
    <w:rsid w:val="00FD6CA2"/>
    <w:rsid w:val="00FD7075"/>
    <w:rsid w:val="00FD7113"/>
    <w:rsid w:val="00FD7544"/>
    <w:rsid w:val="00FD771E"/>
    <w:rsid w:val="00FD782D"/>
    <w:rsid w:val="00FD7D5D"/>
    <w:rsid w:val="00FE052F"/>
    <w:rsid w:val="00FE067F"/>
    <w:rsid w:val="00FE074B"/>
    <w:rsid w:val="00FE09EA"/>
    <w:rsid w:val="00FE0D0A"/>
    <w:rsid w:val="00FE12E0"/>
    <w:rsid w:val="00FE15F0"/>
    <w:rsid w:val="00FE185A"/>
    <w:rsid w:val="00FE19BB"/>
    <w:rsid w:val="00FE1F86"/>
    <w:rsid w:val="00FE2261"/>
    <w:rsid w:val="00FE2428"/>
    <w:rsid w:val="00FE2450"/>
    <w:rsid w:val="00FE27AB"/>
    <w:rsid w:val="00FE2C4B"/>
    <w:rsid w:val="00FE2D9F"/>
    <w:rsid w:val="00FE2E5B"/>
    <w:rsid w:val="00FE307E"/>
    <w:rsid w:val="00FE372C"/>
    <w:rsid w:val="00FE39D3"/>
    <w:rsid w:val="00FE3A0B"/>
    <w:rsid w:val="00FE4066"/>
    <w:rsid w:val="00FE409E"/>
    <w:rsid w:val="00FE48BB"/>
    <w:rsid w:val="00FE569F"/>
    <w:rsid w:val="00FE5A91"/>
    <w:rsid w:val="00FE5D4A"/>
    <w:rsid w:val="00FE5D9D"/>
    <w:rsid w:val="00FE6AAB"/>
    <w:rsid w:val="00FE6D30"/>
    <w:rsid w:val="00FE7344"/>
    <w:rsid w:val="00FE7BCF"/>
    <w:rsid w:val="00FE7F77"/>
    <w:rsid w:val="00FE7FFA"/>
    <w:rsid w:val="00FF073B"/>
    <w:rsid w:val="00FF07AA"/>
    <w:rsid w:val="00FF12EB"/>
    <w:rsid w:val="00FF1505"/>
    <w:rsid w:val="00FF1631"/>
    <w:rsid w:val="00FF179D"/>
    <w:rsid w:val="00FF17FC"/>
    <w:rsid w:val="00FF18BE"/>
    <w:rsid w:val="00FF23B7"/>
    <w:rsid w:val="00FF256F"/>
    <w:rsid w:val="00FF2B51"/>
    <w:rsid w:val="00FF2BAA"/>
    <w:rsid w:val="00FF2EC6"/>
    <w:rsid w:val="00FF3188"/>
    <w:rsid w:val="00FF3D2F"/>
    <w:rsid w:val="00FF40A4"/>
    <w:rsid w:val="00FF4249"/>
    <w:rsid w:val="00FF4636"/>
    <w:rsid w:val="00FF47E2"/>
    <w:rsid w:val="00FF4A67"/>
    <w:rsid w:val="00FF5288"/>
    <w:rsid w:val="00FF52C9"/>
    <w:rsid w:val="00FF5963"/>
    <w:rsid w:val="00FF5B50"/>
    <w:rsid w:val="00FF5BB3"/>
    <w:rsid w:val="00FF5C91"/>
    <w:rsid w:val="00FF6095"/>
    <w:rsid w:val="00FF6189"/>
    <w:rsid w:val="00FF688E"/>
    <w:rsid w:val="00FF68F5"/>
    <w:rsid w:val="00FF707A"/>
    <w:rsid w:val="00FF7483"/>
    <w:rsid w:val="00FF78DC"/>
    <w:rsid w:val="00FF7B5D"/>
    <w:rsid w:val="00FF7EF9"/>
    <w:rsid w:val="0103BAE4"/>
    <w:rsid w:val="01065966"/>
    <w:rsid w:val="01069527"/>
    <w:rsid w:val="010AEF44"/>
    <w:rsid w:val="010F5683"/>
    <w:rsid w:val="01125C26"/>
    <w:rsid w:val="0114FDAC"/>
    <w:rsid w:val="011D6C2B"/>
    <w:rsid w:val="0120FFC2"/>
    <w:rsid w:val="01233C87"/>
    <w:rsid w:val="0128A5E9"/>
    <w:rsid w:val="0129BB3E"/>
    <w:rsid w:val="012CE081"/>
    <w:rsid w:val="012D35ED"/>
    <w:rsid w:val="012E1FB6"/>
    <w:rsid w:val="0135E41D"/>
    <w:rsid w:val="014311ED"/>
    <w:rsid w:val="01550D11"/>
    <w:rsid w:val="016023F3"/>
    <w:rsid w:val="0169345B"/>
    <w:rsid w:val="016ED946"/>
    <w:rsid w:val="017C9EAF"/>
    <w:rsid w:val="01829B47"/>
    <w:rsid w:val="018A56B4"/>
    <w:rsid w:val="01983923"/>
    <w:rsid w:val="01A49060"/>
    <w:rsid w:val="01C39006"/>
    <w:rsid w:val="01D3C296"/>
    <w:rsid w:val="01D3C6E4"/>
    <w:rsid w:val="01DCEF6D"/>
    <w:rsid w:val="01E4DB00"/>
    <w:rsid w:val="01E67580"/>
    <w:rsid w:val="01EAC76B"/>
    <w:rsid w:val="01F15412"/>
    <w:rsid w:val="01F30D7F"/>
    <w:rsid w:val="01FF858E"/>
    <w:rsid w:val="020A6226"/>
    <w:rsid w:val="020AF144"/>
    <w:rsid w:val="020B871B"/>
    <w:rsid w:val="02101494"/>
    <w:rsid w:val="0210A56E"/>
    <w:rsid w:val="021594AD"/>
    <w:rsid w:val="02169414"/>
    <w:rsid w:val="0218B5EE"/>
    <w:rsid w:val="021A4447"/>
    <w:rsid w:val="022117F1"/>
    <w:rsid w:val="022366C3"/>
    <w:rsid w:val="02281E49"/>
    <w:rsid w:val="0229CB8C"/>
    <w:rsid w:val="022CCD35"/>
    <w:rsid w:val="0231E367"/>
    <w:rsid w:val="0232EB96"/>
    <w:rsid w:val="0237E08B"/>
    <w:rsid w:val="023D6C30"/>
    <w:rsid w:val="02419522"/>
    <w:rsid w:val="0241BC38"/>
    <w:rsid w:val="02442FB5"/>
    <w:rsid w:val="024D36CD"/>
    <w:rsid w:val="024D5443"/>
    <w:rsid w:val="02594D21"/>
    <w:rsid w:val="025A0284"/>
    <w:rsid w:val="025CBA6E"/>
    <w:rsid w:val="02621433"/>
    <w:rsid w:val="0266EBEB"/>
    <w:rsid w:val="0274835A"/>
    <w:rsid w:val="0276B5D7"/>
    <w:rsid w:val="027AACE0"/>
    <w:rsid w:val="027B2A1D"/>
    <w:rsid w:val="0281CDEB"/>
    <w:rsid w:val="0288DDAC"/>
    <w:rsid w:val="0295E56F"/>
    <w:rsid w:val="029CE39F"/>
    <w:rsid w:val="02A6C067"/>
    <w:rsid w:val="02ABD39A"/>
    <w:rsid w:val="02B9FFAC"/>
    <w:rsid w:val="02C65844"/>
    <w:rsid w:val="02CD7031"/>
    <w:rsid w:val="02D6D3DC"/>
    <w:rsid w:val="02FAD8EE"/>
    <w:rsid w:val="0310A3D7"/>
    <w:rsid w:val="0329F077"/>
    <w:rsid w:val="0331575B"/>
    <w:rsid w:val="03330EB5"/>
    <w:rsid w:val="03337344"/>
    <w:rsid w:val="03394656"/>
    <w:rsid w:val="0348E0E1"/>
    <w:rsid w:val="035B9A30"/>
    <w:rsid w:val="035C2274"/>
    <w:rsid w:val="035E56A0"/>
    <w:rsid w:val="037E7812"/>
    <w:rsid w:val="037FE6E4"/>
    <w:rsid w:val="0380803D"/>
    <w:rsid w:val="038806C6"/>
    <w:rsid w:val="038A8F92"/>
    <w:rsid w:val="038D8AA3"/>
    <w:rsid w:val="0397AB65"/>
    <w:rsid w:val="03ADFBAB"/>
    <w:rsid w:val="03B0A798"/>
    <w:rsid w:val="03B4864F"/>
    <w:rsid w:val="03B5B082"/>
    <w:rsid w:val="03B707D4"/>
    <w:rsid w:val="03CC7F41"/>
    <w:rsid w:val="03D67F43"/>
    <w:rsid w:val="03DEB5B6"/>
    <w:rsid w:val="03EA522D"/>
    <w:rsid w:val="03FC9BC6"/>
    <w:rsid w:val="04008F79"/>
    <w:rsid w:val="040B641A"/>
    <w:rsid w:val="040ECF12"/>
    <w:rsid w:val="040F54B8"/>
    <w:rsid w:val="04128638"/>
    <w:rsid w:val="0415831C"/>
    <w:rsid w:val="041FAEEE"/>
    <w:rsid w:val="0426DC63"/>
    <w:rsid w:val="0440AAF8"/>
    <w:rsid w:val="04462A74"/>
    <w:rsid w:val="045432D8"/>
    <w:rsid w:val="045BD2E1"/>
    <w:rsid w:val="045E50DA"/>
    <w:rsid w:val="04670053"/>
    <w:rsid w:val="04694092"/>
    <w:rsid w:val="046AE4E5"/>
    <w:rsid w:val="0479F5A6"/>
    <w:rsid w:val="0481F0A9"/>
    <w:rsid w:val="04922099"/>
    <w:rsid w:val="049EB6AF"/>
    <w:rsid w:val="04A2B26B"/>
    <w:rsid w:val="04A71244"/>
    <w:rsid w:val="04A8AC27"/>
    <w:rsid w:val="04AB3D75"/>
    <w:rsid w:val="04AF13F8"/>
    <w:rsid w:val="04BBC31E"/>
    <w:rsid w:val="04BC7D35"/>
    <w:rsid w:val="04C1F776"/>
    <w:rsid w:val="04C212AC"/>
    <w:rsid w:val="04C535DB"/>
    <w:rsid w:val="04C91393"/>
    <w:rsid w:val="04CC3A8B"/>
    <w:rsid w:val="04D27701"/>
    <w:rsid w:val="04D946D7"/>
    <w:rsid w:val="04DDDC82"/>
    <w:rsid w:val="04E9EE90"/>
    <w:rsid w:val="04FA8CAB"/>
    <w:rsid w:val="05162373"/>
    <w:rsid w:val="051D0B4C"/>
    <w:rsid w:val="0521E426"/>
    <w:rsid w:val="052D7DC6"/>
    <w:rsid w:val="053F7E63"/>
    <w:rsid w:val="0541780A"/>
    <w:rsid w:val="055412F8"/>
    <w:rsid w:val="055BA523"/>
    <w:rsid w:val="055F5066"/>
    <w:rsid w:val="0561CEF0"/>
    <w:rsid w:val="05670CC2"/>
    <w:rsid w:val="056AB8AB"/>
    <w:rsid w:val="05731154"/>
    <w:rsid w:val="05741D79"/>
    <w:rsid w:val="05770D8A"/>
    <w:rsid w:val="0577DCE0"/>
    <w:rsid w:val="05781C0C"/>
    <w:rsid w:val="057D2F45"/>
    <w:rsid w:val="0589E4AE"/>
    <w:rsid w:val="058FA05D"/>
    <w:rsid w:val="0592B9AD"/>
    <w:rsid w:val="0594666D"/>
    <w:rsid w:val="05A01065"/>
    <w:rsid w:val="05A12986"/>
    <w:rsid w:val="05A5CDAA"/>
    <w:rsid w:val="05A9C25E"/>
    <w:rsid w:val="05AB8668"/>
    <w:rsid w:val="05ADB7D6"/>
    <w:rsid w:val="05B1A615"/>
    <w:rsid w:val="05B2B5AE"/>
    <w:rsid w:val="05B32DAB"/>
    <w:rsid w:val="05B9F3D5"/>
    <w:rsid w:val="05BA3E6D"/>
    <w:rsid w:val="05D2546C"/>
    <w:rsid w:val="05D2DB14"/>
    <w:rsid w:val="05D311B7"/>
    <w:rsid w:val="05D8D904"/>
    <w:rsid w:val="05DD3EC2"/>
    <w:rsid w:val="05F0505A"/>
    <w:rsid w:val="05FA71B3"/>
    <w:rsid w:val="05FA7315"/>
    <w:rsid w:val="05FD54E9"/>
    <w:rsid w:val="06108720"/>
    <w:rsid w:val="06171484"/>
    <w:rsid w:val="062A6E63"/>
    <w:rsid w:val="06424795"/>
    <w:rsid w:val="065893A5"/>
    <w:rsid w:val="06611A10"/>
    <w:rsid w:val="0661DD09"/>
    <w:rsid w:val="06875300"/>
    <w:rsid w:val="0687D4AC"/>
    <w:rsid w:val="06904476"/>
    <w:rsid w:val="06920BF6"/>
    <w:rsid w:val="069323B9"/>
    <w:rsid w:val="06940629"/>
    <w:rsid w:val="06A08782"/>
    <w:rsid w:val="06A486A6"/>
    <w:rsid w:val="06B62D04"/>
    <w:rsid w:val="06C9597C"/>
    <w:rsid w:val="06CCED98"/>
    <w:rsid w:val="06CD6E44"/>
    <w:rsid w:val="06CDCDCB"/>
    <w:rsid w:val="06D3DBA1"/>
    <w:rsid w:val="06D53AF4"/>
    <w:rsid w:val="06D6C630"/>
    <w:rsid w:val="06DDDB6B"/>
    <w:rsid w:val="06F1FB70"/>
    <w:rsid w:val="06F26CE8"/>
    <w:rsid w:val="06F8145A"/>
    <w:rsid w:val="06FCE72F"/>
    <w:rsid w:val="0718D645"/>
    <w:rsid w:val="071AEF68"/>
    <w:rsid w:val="072221A6"/>
    <w:rsid w:val="0724D883"/>
    <w:rsid w:val="072FFE3A"/>
    <w:rsid w:val="073574FE"/>
    <w:rsid w:val="07393FC6"/>
    <w:rsid w:val="074265F0"/>
    <w:rsid w:val="0743B5E9"/>
    <w:rsid w:val="074407D8"/>
    <w:rsid w:val="074B0DE9"/>
    <w:rsid w:val="074F9E4B"/>
    <w:rsid w:val="07513E6C"/>
    <w:rsid w:val="0753A07D"/>
    <w:rsid w:val="07613947"/>
    <w:rsid w:val="07634CF3"/>
    <w:rsid w:val="0765D3C0"/>
    <w:rsid w:val="07688B45"/>
    <w:rsid w:val="07700B8F"/>
    <w:rsid w:val="0771D48F"/>
    <w:rsid w:val="077363B1"/>
    <w:rsid w:val="078554B0"/>
    <w:rsid w:val="078F714B"/>
    <w:rsid w:val="079481B9"/>
    <w:rsid w:val="07A71664"/>
    <w:rsid w:val="07A908C0"/>
    <w:rsid w:val="07B3EC77"/>
    <w:rsid w:val="07C9C89C"/>
    <w:rsid w:val="07CE5B81"/>
    <w:rsid w:val="07D222E2"/>
    <w:rsid w:val="07D41A9E"/>
    <w:rsid w:val="07DA0918"/>
    <w:rsid w:val="07DA90D3"/>
    <w:rsid w:val="07DD1722"/>
    <w:rsid w:val="07DDD154"/>
    <w:rsid w:val="07DE7068"/>
    <w:rsid w:val="07DF0770"/>
    <w:rsid w:val="07E00318"/>
    <w:rsid w:val="07FF16DF"/>
    <w:rsid w:val="080515C4"/>
    <w:rsid w:val="080AC3B3"/>
    <w:rsid w:val="081B992A"/>
    <w:rsid w:val="081F4380"/>
    <w:rsid w:val="0839EA2C"/>
    <w:rsid w:val="083B0AB6"/>
    <w:rsid w:val="083FDF09"/>
    <w:rsid w:val="08405331"/>
    <w:rsid w:val="08476D39"/>
    <w:rsid w:val="08540B02"/>
    <w:rsid w:val="08581676"/>
    <w:rsid w:val="085C2500"/>
    <w:rsid w:val="08620512"/>
    <w:rsid w:val="086FC278"/>
    <w:rsid w:val="0877E3E2"/>
    <w:rsid w:val="08890A42"/>
    <w:rsid w:val="088D6516"/>
    <w:rsid w:val="088F9BC8"/>
    <w:rsid w:val="089A4EB2"/>
    <w:rsid w:val="089C9AC5"/>
    <w:rsid w:val="08C3394F"/>
    <w:rsid w:val="08C4F65C"/>
    <w:rsid w:val="08CA4F49"/>
    <w:rsid w:val="08CB0F8F"/>
    <w:rsid w:val="08F7682D"/>
    <w:rsid w:val="08F8D80F"/>
    <w:rsid w:val="08FF0AAC"/>
    <w:rsid w:val="091322DD"/>
    <w:rsid w:val="0914AAB5"/>
    <w:rsid w:val="091B4FF2"/>
    <w:rsid w:val="091F8E9E"/>
    <w:rsid w:val="09200F91"/>
    <w:rsid w:val="0926E478"/>
    <w:rsid w:val="092AB2B8"/>
    <w:rsid w:val="092DE673"/>
    <w:rsid w:val="092FC2B1"/>
    <w:rsid w:val="0944956A"/>
    <w:rsid w:val="09492ABB"/>
    <w:rsid w:val="094ECDDB"/>
    <w:rsid w:val="0950ED9D"/>
    <w:rsid w:val="0951093B"/>
    <w:rsid w:val="09592262"/>
    <w:rsid w:val="096E0A98"/>
    <w:rsid w:val="096EAB15"/>
    <w:rsid w:val="09782B9F"/>
    <w:rsid w:val="0979E14E"/>
    <w:rsid w:val="097CDCD3"/>
    <w:rsid w:val="09850CC9"/>
    <w:rsid w:val="0989219E"/>
    <w:rsid w:val="0995F229"/>
    <w:rsid w:val="099D1FF2"/>
    <w:rsid w:val="09A0C0E0"/>
    <w:rsid w:val="09A4098B"/>
    <w:rsid w:val="09A8344A"/>
    <w:rsid w:val="09B3A277"/>
    <w:rsid w:val="09B45949"/>
    <w:rsid w:val="09B4DF63"/>
    <w:rsid w:val="09BC1749"/>
    <w:rsid w:val="09BC4005"/>
    <w:rsid w:val="09C0E5A3"/>
    <w:rsid w:val="09C42D67"/>
    <w:rsid w:val="09C57786"/>
    <w:rsid w:val="09D32382"/>
    <w:rsid w:val="09E1C1A2"/>
    <w:rsid w:val="09E743FD"/>
    <w:rsid w:val="09FA2E45"/>
    <w:rsid w:val="09FEE942"/>
    <w:rsid w:val="0A01629B"/>
    <w:rsid w:val="0A018481"/>
    <w:rsid w:val="0A096583"/>
    <w:rsid w:val="0A0D84C2"/>
    <w:rsid w:val="0A0F33DE"/>
    <w:rsid w:val="0A17A51C"/>
    <w:rsid w:val="0A27E5D3"/>
    <w:rsid w:val="0A2BFCF0"/>
    <w:rsid w:val="0A3A4D62"/>
    <w:rsid w:val="0A3B3711"/>
    <w:rsid w:val="0A3CDAD0"/>
    <w:rsid w:val="0A4BC6A4"/>
    <w:rsid w:val="0A51636B"/>
    <w:rsid w:val="0A575AD9"/>
    <w:rsid w:val="0A61851C"/>
    <w:rsid w:val="0A619319"/>
    <w:rsid w:val="0A643E00"/>
    <w:rsid w:val="0A69A40A"/>
    <w:rsid w:val="0A6F8DC7"/>
    <w:rsid w:val="0A706467"/>
    <w:rsid w:val="0A768ADE"/>
    <w:rsid w:val="0A7EE16F"/>
    <w:rsid w:val="0A85A308"/>
    <w:rsid w:val="0A87EE73"/>
    <w:rsid w:val="0A9156A0"/>
    <w:rsid w:val="0A995945"/>
    <w:rsid w:val="0AA165F9"/>
    <w:rsid w:val="0AADE778"/>
    <w:rsid w:val="0ABBD02E"/>
    <w:rsid w:val="0ABCE5FC"/>
    <w:rsid w:val="0ABE1AC5"/>
    <w:rsid w:val="0AC09EFD"/>
    <w:rsid w:val="0AC84CD9"/>
    <w:rsid w:val="0AD2FBB1"/>
    <w:rsid w:val="0AD82DC0"/>
    <w:rsid w:val="0AE23F45"/>
    <w:rsid w:val="0AE91ED0"/>
    <w:rsid w:val="0AEE94FE"/>
    <w:rsid w:val="0AF00BB5"/>
    <w:rsid w:val="0AF212CA"/>
    <w:rsid w:val="0AF80DB5"/>
    <w:rsid w:val="0B0A4FBC"/>
    <w:rsid w:val="0B0BB46A"/>
    <w:rsid w:val="0B152693"/>
    <w:rsid w:val="0B237C7C"/>
    <w:rsid w:val="0B31064B"/>
    <w:rsid w:val="0B3513AB"/>
    <w:rsid w:val="0B3A1C78"/>
    <w:rsid w:val="0B3B7436"/>
    <w:rsid w:val="0B40457F"/>
    <w:rsid w:val="0B52BD6A"/>
    <w:rsid w:val="0B540DBE"/>
    <w:rsid w:val="0B5813C3"/>
    <w:rsid w:val="0B65A028"/>
    <w:rsid w:val="0B76E0F5"/>
    <w:rsid w:val="0B887090"/>
    <w:rsid w:val="0B937D95"/>
    <w:rsid w:val="0BA31724"/>
    <w:rsid w:val="0BAAAAF0"/>
    <w:rsid w:val="0BB1506F"/>
    <w:rsid w:val="0BB1AD0C"/>
    <w:rsid w:val="0BB6C1D4"/>
    <w:rsid w:val="0BB85514"/>
    <w:rsid w:val="0BC40ACD"/>
    <w:rsid w:val="0BC82577"/>
    <w:rsid w:val="0BCD740F"/>
    <w:rsid w:val="0BD049B3"/>
    <w:rsid w:val="0BD4293F"/>
    <w:rsid w:val="0BD8C4A2"/>
    <w:rsid w:val="0BE23EA1"/>
    <w:rsid w:val="0BEC1C38"/>
    <w:rsid w:val="0BF89C22"/>
    <w:rsid w:val="0C09F4F6"/>
    <w:rsid w:val="0C0BF8A0"/>
    <w:rsid w:val="0C127400"/>
    <w:rsid w:val="0C1B45F2"/>
    <w:rsid w:val="0C1C52E3"/>
    <w:rsid w:val="0C1DD483"/>
    <w:rsid w:val="0C23F38B"/>
    <w:rsid w:val="0C3AC3F7"/>
    <w:rsid w:val="0C3E444F"/>
    <w:rsid w:val="0C3ECAC4"/>
    <w:rsid w:val="0C45D5DD"/>
    <w:rsid w:val="0C49C9C7"/>
    <w:rsid w:val="0C4C5EAB"/>
    <w:rsid w:val="0C5EB20A"/>
    <w:rsid w:val="0C62EB3B"/>
    <w:rsid w:val="0C636717"/>
    <w:rsid w:val="0C63F315"/>
    <w:rsid w:val="0C7ED2AF"/>
    <w:rsid w:val="0C828BC8"/>
    <w:rsid w:val="0C860317"/>
    <w:rsid w:val="0C95158D"/>
    <w:rsid w:val="0C96BA63"/>
    <w:rsid w:val="0C97AE23"/>
    <w:rsid w:val="0CAA41AE"/>
    <w:rsid w:val="0CAE6681"/>
    <w:rsid w:val="0CB64F5A"/>
    <w:rsid w:val="0CB9310C"/>
    <w:rsid w:val="0CBDEC61"/>
    <w:rsid w:val="0CC77567"/>
    <w:rsid w:val="0CCC2063"/>
    <w:rsid w:val="0CDD1A4C"/>
    <w:rsid w:val="0CDE9241"/>
    <w:rsid w:val="0CE03815"/>
    <w:rsid w:val="0CE12544"/>
    <w:rsid w:val="0CE824FE"/>
    <w:rsid w:val="0CF9F8A3"/>
    <w:rsid w:val="0CFA9BF7"/>
    <w:rsid w:val="0CFD92A6"/>
    <w:rsid w:val="0D06B147"/>
    <w:rsid w:val="0D079DF7"/>
    <w:rsid w:val="0D090F71"/>
    <w:rsid w:val="0D11DFCD"/>
    <w:rsid w:val="0D14B972"/>
    <w:rsid w:val="0D1C72A7"/>
    <w:rsid w:val="0D27A32A"/>
    <w:rsid w:val="0D2B6598"/>
    <w:rsid w:val="0D2D989E"/>
    <w:rsid w:val="0D379390"/>
    <w:rsid w:val="0D40C866"/>
    <w:rsid w:val="0D40F834"/>
    <w:rsid w:val="0D435308"/>
    <w:rsid w:val="0D43E2A2"/>
    <w:rsid w:val="0D4C3B7A"/>
    <w:rsid w:val="0D559DA0"/>
    <w:rsid w:val="0D5BFF28"/>
    <w:rsid w:val="0D613E7A"/>
    <w:rsid w:val="0D6476D4"/>
    <w:rsid w:val="0D6984A5"/>
    <w:rsid w:val="0D6A9E1F"/>
    <w:rsid w:val="0D75A6B7"/>
    <w:rsid w:val="0D75A810"/>
    <w:rsid w:val="0D779AE9"/>
    <w:rsid w:val="0D78B8A7"/>
    <w:rsid w:val="0D79F120"/>
    <w:rsid w:val="0D7D6A02"/>
    <w:rsid w:val="0D7FE8D1"/>
    <w:rsid w:val="0D805621"/>
    <w:rsid w:val="0D91678D"/>
    <w:rsid w:val="0D948BB4"/>
    <w:rsid w:val="0D98988D"/>
    <w:rsid w:val="0DA2BD8A"/>
    <w:rsid w:val="0DA3DAB3"/>
    <w:rsid w:val="0DA460F9"/>
    <w:rsid w:val="0DA5DF6C"/>
    <w:rsid w:val="0DA7260E"/>
    <w:rsid w:val="0DBE219A"/>
    <w:rsid w:val="0DC1AFBA"/>
    <w:rsid w:val="0DD6A3E7"/>
    <w:rsid w:val="0DD85716"/>
    <w:rsid w:val="0DDA121D"/>
    <w:rsid w:val="0DDC2F7E"/>
    <w:rsid w:val="0DDE0981"/>
    <w:rsid w:val="0DE0450B"/>
    <w:rsid w:val="0DE9AAAE"/>
    <w:rsid w:val="0DF19AB8"/>
    <w:rsid w:val="0DF380B4"/>
    <w:rsid w:val="0DF5BB94"/>
    <w:rsid w:val="0DF8F606"/>
    <w:rsid w:val="0E06875F"/>
    <w:rsid w:val="0E091F92"/>
    <w:rsid w:val="0E1248DF"/>
    <w:rsid w:val="0E16AE98"/>
    <w:rsid w:val="0E244D99"/>
    <w:rsid w:val="0E26D5C7"/>
    <w:rsid w:val="0E2C8AD4"/>
    <w:rsid w:val="0E2FE585"/>
    <w:rsid w:val="0E3409FE"/>
    <w:rsid w:val="0E3489AE"/>
    <w:rsid w:val="0E36A001"/>
    <w:rsid w:val="0E3859F2"/>
    <w:rsid w:val="0E3BB3D8"/>
    <w:rsid w:val="0E520076"/>
    <w:rsid w:val="0E5E34E7"/>
    <w:rsid w:val="0E5FA332"/>
    <w:rsid w:val="0E72BDA9"/>
    <w:rsid w:val="0E834F26"/>
    <w:rsid w:val="0E85F037"/>
    <w:rsid w:val="0E8C61D4"/>
    <w:rsid w:val="0E8CA1A3"/>
    <w:rsid w:val="0E913D37"/>
    <w:rsid w:val="0E9973D2"/>
    <w:rsid w:val="0E9BD2DE"/>
    <w:rsid w:val="0EA37BA8"/>
    <w:rsid w:val="0EB3E346"/>
    <w:rsid w:val="0EBDD00C"/>
    <w:rsid w:val="0EC6C0C4"/>
    <w:rsid w:val="0EC6D546"/>
    <w:rsid w:val="0EDE25CE"/>
    <w:rsid w:val="0EE1680C"/>
    <w:rsid w:val="0EEE12BF"/>
    <w:rsid w:val="0EEEC39E"/>
    <w:rsid w:val="0EF18FAB"/>
    <w:rsid w:val="0EFC4CEA"/>
    <w:rsid w:val="0F118FF1"/>
    <w:rsid w:val="0F169BFC"/>
    <w:rsid w:val="0F19015D"/>
    <w:rsid w:val="0F223622"/>
    <w:rsid w:val="0F23A442"/>
    <w:rsid w:val="0F25BE5B"/>
    <w:rsid w:val="0F25DD3E"/>
    <w:rsid w:val="0F2697EF"/>
    <w:rsid w:val="0F31BCAA"/>
    <w:rsid w:val="0F33D105"/>
    <w:rsid w:val="0F487B99"/>
    <w:rsid w:val="0F54A167"/>
    <w:rsid w:val="0F563D54"/>
    <w:rsid w:val="0F5F84FF"/>
    <w:rsid w:val="0F62448A"/>
    <w:rsid w:val="0F64BECE"/>
    <w:rsid w:val="0F655200"/>
    <w:rsid w:val="0F6AD710"/>
    <w:rsid w:val="0F6BC652"/>
    <w:rsid w:val="0F6F2F64"/>
    <w:rsid w:val="0F8236DD"/>
    <w:rsid w:val="0F8810E8"/>
    <w:rsid w:val="0F914323"/>
    <w:rsid w:val="0F9957D0"/>
    <w:rsid w:val="0FA017A7"/>
    <w:rsid w:val="0FACCBD3"/>
    <w:rsid w:val="0FB8AC2A"/>
    <w:rsid w:val="0FBFF2D1"/>
    <w:rsid w:val="0FC2A628"/>
    <w:rsid w:val="0FC64FE2"/>
    <w:rsid w:val="0FCF6F37"/>
    <w:rsid w:val="0FD2FF42"/>
    <w:rsid w:val="0FD58FD4"/>
    <w:rsid w:val="0FD92969"/>
    <w:rsid w:val="0FE1FFC0"/>
    <w:rsid w:val="0FE4AF00"/>
    <w:rsid w:val="0FE665D4"/>
    <w:rsid w:val="0FE6AF38"/>
    <w:rsid w:val="0FF147C8"/>
    <w:rsid w:val="0FF72259"/>
    <w:rsid w:val="0FFA6545"/>
    <w:rsid w:val="100D53E9"/>
    <w:rsid w:val="100F3A0A"/>
    <w:rsid w:val="1018DF89"/>
    <w:rsid w:val="1021F024"/>
    <w:rsid w:val="10256FC9"/>
    <w:rsid w:val="102AFD08"/>
    <w:rsid w:val="102CA991"/>
    <w:rsid w:val="1048ADC5"/>
    <w:rsid w:val="104F7E3C"/>
    <w:rsid w:val="1050D174"/>
    <w:rsid w:val="1052FEBD"/>
    <w:rsid w:val="1056B13D"/>
    <w:rsid w:val="1063ED56"/>
    <w:rsid w:val="1079D355"/>
    <w:rsid w:val="107AF3CA"/>
    <w:rsid w:val="107B5FF3"/>
    <w:rsid w:val="107F5621"/>
    <w:rsid w:val="1087088D"/>
    <w:rsid w:val="108EAC38"/>
    <w:rsid w:val="108FE22F"/>
    <w:rsid w:val="10903EC1"/>
    <w:rsid w:val="1095656B"/>
    <w:rsid w:val="1097C715"/>
    <w:rsid w:val="10980026"/>
    <w:rsid w:val="10983CB5"/>
    <w:rsid w:val="1098A299"/>
    <w:rsid w:val="109A97AD"/>
    <w:rsid w:val="109CC484"/>
    <w:rsid w:val="10A9D4AF"/>
    <w:rsid w:val="10AA25F6"/>
    <w:rsid w:val="10ABDAC2"/>
    <w:rsid w:val="10B40FB8"/>
    <w:rsid w:val="10B9077D"/>
    <w:rsid w:val="10BD03CA"/>
    <w:rsid w:val="10C32EEF"/>
    <w:rsid w:val="10CEAC63"/>
    <w:rsid w:val="10D20712"/>
    <w:rsid w:val="10DA8D9E"/>
    <w:rsid w:val="10DF959D"/>
    <w:rsid w:val="10E31FE1"/>
    <w:rsid w:val="10E6AEB8"/>
    <w:rsid w:val="10EA0075"/>
    <w:rsid w:val="10EB1F7F"/>
    <w:rsid w:val="10EEA69B"/>
    <w:rsid w:val="10F0F162"/>
    <w:rsid w:val="10F221F9"/>
    <w:rsid w:val="10FF6DC3"/>
    <w:rsid w:val="110038EF"/>
    <w:rsid w:val="1102BAE5"/>
    <w:rsid w:val="1106A771"/>
    <w:rsid w:val="110AB382"/>
    <w:rsid w:val="110ED67D"/>
    <w:rsid w:val="110FB0A1"/>
    <w:rsid w:val="1118667F"/>
    <w:rsid w:val="1139C118"/>
    <w:rsid w:val="1141A630"/>
    <w:rsid w:val="1144D21C"/>
    <w:rsid w:val="114A2C2E"/>
    <w:rsid w:val="114FE393"/>
    <w:rsid w:val="11547C8B"/>
    <w:rsid w:val="115756E3"/>
    <w:rsid w:val="115E7689"/>
    <w:rsid w:val="11634AC1"/>
    <w:rsid w:val="1169863F"/>
    <w:rsid w:val="116B6EB6"/>
    <w:rsid w:val="116D5657"/>
    <w:rsid w:val="11755F37"/>
    <w:rsid w:val="117B7AF1"/>
    <w:rsid w:val="117CCBB2"/>
    <w:rsid w:val="117D70A9"/>
    <w:rsid w:val="11826910"/>
    <w:rsid w:val="118314E7"/>
    <w:rsid w:val="1194A0EE"/>
    <w:rsid w:val="11A076DE"/>
    <w:rsid w:val="11A17316"/>
    <w:rsid w:val="11A9EEC5"/>
    <w:rsid w:val="11AEE1F3"/>
    <w:rsid w:val="11B70170"/>
    <w:rsid w:val="11BCC6DF"/>
    <w:rsid w:val="11C5695D"/>
    <w:rsid w:val="11C9D50D"/>
    <w:rsid w:val="11CF6746"/>
    <w:rsid w:val="11D0F102"/>
    <w:rsid w:val="11D9F91E"/>
    <w:rsid w:val="11DEE0DC"/>
    <w:rsid w:val="11EE11EB"/>
    <w:rsid w:val="11F078A6"/>
    <w:rsid w:val="11F350D2"/>
    <w:rsid w:val="11FF612A"/>
    <w:rsid w:val="1216C42B"/>
    <w:rsid w:val="1216FFE7"/>
    <w:rsid w:val="1223DF9D"/>
    <w:rsid w:val="12254042"/>
    <w:rsid w:val="122AAA16"/>
    <w:rsid w:val="12340A73"/>
    <w:rsid w:val="12358550"/>
    <w:rsid w:val="12381232"/>
    <w:rsid w:val="1239EB04"/>
    <w:rsid w:val="124589D5"/>
    <w:rsid w:val="12483B57"/>
    <w:rsid w:val="124DFD15"/>
    <w:rsid w:val="1251D5B1"/>
    <w:rsid w:val="12533F32"/>
    <w:rsid w:val="1254FB08"/>
    <w:rsid w:val="1257C33E"/>
    <w:rsid w:val="12606C8B"/>
    <w:rsid w:val="1261FE58"/>
    <w:rsid w:val="12711211"/>
    <w:rsid w:val="127AD1C0"/>
    <w:rsid w:val="127F8DC4"/>
    <w:rsid w:val="128BD357"/>
    <w:rsid w:val="128F011C"/>
    <w:rsid w:val="129B0EAF"/>
    <w:rsid w:val="129B6F48"/>
    <w:rsid w:val="12A277D2"/>
    <w:rsid w:val="12A32E43"/>
    <w:rsid w:val="12A36714"/>
    <w:rsid w:val="12AAA6DE"/>
    <w:rsid w:val="12BE8FAD"/>
    <w:rsid w:val="12CA0BD6"/>
    <w:rsid w:val="12D1F1E2"/>
    <w:rsid w:val="12E67B2C"/>
    <w:rsid w:val="12EB0E6E"/>
    <w:rsid w:val="12EDA776"/>
    <w:rsid w:val="12F08567"/>
    <w:rsid w:val="13098FDC"/>
    <w:rsid w:val="13128486"/>
    <w:rsid w:val="1312C48D"/>
    <w:rsid w:val="13287290"/>
    <w:rsid w:val="1339EAA5"/>
    <w:rsid w:val="134F6ED4"/>
    <w:rsid w:val="134FF723"/>
    <w:rsid w:val="13504CC1"/>
    <w:rsid w:val="1351B416"/>
    <w:rsid w:val="13539C67"/>
    <w:rsid w:val="135A7953"/>
    <w:rsid w:val="135E4FE6"/>
    <w:rsid w:val="13675557"/>
    <w:rsid w:val="13714C10"/>
    <w:rsid w:val="1376928E"/>
    <w:rsid w:val="13813931"/>
    <w:rsid w:val="138C59C8"/>
    <w:rsid w:val="138D1AA4"/>
    <w:rsid w:val="138EFC39"/>
    <w:rsid w:val="1391EB91"/>
    <w:rsid w:val="139B6055"/>
    <w:rsid w:val="139BA2CD"/>
    <w:rsid w:val="13A280D9"/>
    <w:rsid w:val="13A3917B"/>
    <w:rsid w:val="13A668A6"/>
    <w:rsid w:val="13B13943"/>
    <w:rsid w:val="13C22B01"/>
    <w:rsid w:val="13D07FFE"/>
    <w:rsid w:val="13DD0C5B"/>
    <w:rsid w:val="13E0E141"/>
    <w:rsid w:val="13E5BD1A"/>
    <w:rsid w:val="13ED35F9"/>
    <w:rsid w:val="13F51623"/>
    <w:rsid w:val="14060BB4"/>
    <w:rsid w:val="140760E8"/>
    <w:rsid w:val="14083E86"/>
    <w:rsid w:val="140F8787"/>
    <w:rsid w:val="141A8209"/>
    <w:rsid w:val="141D17B2"/>
    <w:rsid w:val="141E660E"/>
    <w:rsid w:val="142170FB"/>
    <w:rsid w:val="142F3F18"/>
    <w:rsid w:val="143E3841"/>
    <w:rsid w:val="14458B16"/>
    <w:rsid w:val="144C630C"/>
    <w:rsid w:val="145332F8"/>
    <w:rsid w:val="1455509F"/>
    <w:rsid w:val="1458A49B"/>
    <w:rsid w:val="146ACE46"/>
    <w:rsid w:val="146F3488"/>
    <w:rsid w:val="14797C2F"/>
    <w:rsid w:val="147E3D9F"/>
    <w:rsid w:val="1480C42F"/>
    <w:rsid w:val="1488C606"/>
    <w:rsid w:val="14951679"/>
    <w:rsid w:val="1496AB10"/>
    <w:rsid w:val="14A0A8E4"/>
    <w:rsid w:val="14A5A794"/>
    <w:rsid w:val="14B0C1A1"/>
    <w:rsid w:val="14BC1D20"/>
    <w:rsid w:val="14BFAC14"/>
    <w:rsid w:val="14C442F1"/>
    <w:rsid w:val="14C8BA62"/>
    <w:rsid w:val="14D4316E"/>
    <w:rsid w:val="14DC5714"/>
    <w:rsid w:val="14E3EDCC"/>
    <w:rsid w:val="14F834C7"/>
    <w:rsid w:val="14FA3070"/>
    <w:rsid w:val="14FAC999"/>
    <w:rsid w:val="14FC7718"/>
    <w:rsid w:val="150406C5"/>
    <w:rsid w:val="1505ADDC"/>
    <w:rsid w:val="1507B197"/>
    <w:rsid w:val="150C4A3B"/>
    <w:rsid w:val="151FF48D"/>
    <w:rsid w:val="1527DBE8"/>
    <w:rsid w:val="1534C826"/>
    <w:rsid w:val="153681B3"/>
    <w:rsid w:val="154E64F1"/>
    <w:rsid w:val="157A04FA"/>
    <w:rsid w:val="15827F47"/>
    <w:rsid w:val="158F0646"/>
    <w:rsid w:val="158F74C5"/>
    <w:rsid w:val="15A11039"/>
    <w:rsid w:val="15A47E19"/>
    <w:rsid w:val="15A70556"/>
    <w:rsid w:val="15AA5DD7"/>
    <w:rsid w:val="15AAE585"/>
    <w:rsid w:val="15AC1897"/>
    <w:rsid w:val="15B3ADB3"/>
    <w:rsid w:val="15C151F5"/>
    <w:rsid w:val="15C60AAF"/>
    <w:rsid w:val="15CA078E"/>
    <w:rsid w:val="15CC5369"/>
    <w:rsid w:val="15DA77F5"/>
    <w:rsid w:val="15DEA706"/>
    <w:rsid w:val="15E247A0"/>
    <w:rsid w:val="15E60C07"/>
    <w:rsid w:val="15F4A78D"/>
    <w:rsid w:val="16082704"/>
    <w:rsid w:val="16100FB5"/>
    <w:rsid w:val="1611551B"/>
    <w:rsid w:val="1611EBA3"/>
    <w:rsid w:val="16145F3C"/>
    <w:rsid w:val="1614F2FB"/>
    <w:rsid w:val="161DD527"/>
    <w:rsid w:val="16211B88"/>
    <w:rsid w:val="1629699E"/>
    <w:rsid w:val="162F4D91"/>
    <w:rsid w:val="1646EAF5"/>
    <w:rsid w:val="1663C55C"/>
    <w:rsid w:val="167ECB09"/>
    <w:rsid w:val="1682B2F4"/>
    <w:rsid w:val="1688A3A2"/>
    <w:rsid w:val="168F255F"/>
    <w:rsid w:val="16932888"/>
    <w:rsid w:val="1695F0A8"/>
    <w:rsid w:val="1699F188"/>
    <w:rsid w:val="169E7C55"/>
    <w:rsid w:val="16A27FA3"/>
    <w:rsid w:val="16A54303"/>
    <w:rsid w:val="16B04AC3"/>
    <w:rsid w:val="16B50D4F"/>
    <w:rsid w:val="16B5383C"/>
    <w:rsid w:val="16B5A0D2"/>
    <w:rsid w:val="16B702A2"/>
    <w:rsid w:val="16B98784"/>
    <w:rsid w:val="16C4EB47"/>
    <w:rsid w:val="16C5A193"/>
    <w:rsid w:val="16C70AB7"/>
    <w:rsid w:val="16CD8871"/>
    <w:rsid w:val="16D4DB04"/>
    <w:rsid w:val="16D7C4DF"/>
    <w:rsid w:val="16DC72A3"/>
    <w:rsid w:val="16E37C88"/>
    <w:rsid w:val="16E73650"/>
    <w:rsid w:val="16E80B5F"/>
    <w:rsid w:val="16EB9E0F"/>
    <w:rsid w:val="16ED46D1"/>
    <w:rsid w:val="16FE1D0C"/>
    <w:rsid w:val="16FFC3A2"/>
    <w:rsid w:val="17024528"/>
    <w:rsid w:val="170AB315"/>
    <w:rsid w:val="170AF23A"/>
    <w:rsid w:val="172028FB"/>
    <w:rsid w:val="17242748"/>
    <w:rsid w:val="17286C2B"/>
    <w:rsid w:val="172BBA62"/>
    <w:rsid w:val="172D9B0C"/>
    <w:rsid w:val="172ED828"/>
    <w:rsid w:val="17443B8F"/>
    <w:rsid w:val="1744E22C"/>
    <w:rsid w:val="174ABCF9"/>
    <w:rsid w:val="174E481E"/>
    <w:rsid w:val="175222CB"/>
    <w:rsid w:val="1753FF2B"/>
    <w:rsid w:val="175740A0"/>
    <w:rsid w:val="17581DAF"/>
    <w:rsid w:val="175DA9A2"/>
    <w:rsid w:val="177102DF"/>
    <w:rsid w:val="1779CE07"/>
    <w:rsid w:val="177E068B"/>
    <w:rsid w:val="178326EB"/>
    <w:rsid w:val="1789F056"/>
    <w:rsid w:val="178F8CBA"/>
    <w:rsid w:val="17952620"/>
    <w:rsid w:val="17A22563"/>
    <w:rsid w:val="17B26F55"/>
    <w:rsid w:val="17B3F262"/>
    <w:rsid w:val="17BBF1B7"/>
    <w:rsid w:val="17C2EB4A"/>
    <w:rsid w:val="17CC8F6E"/>
    <w:rsid w:val="17CE834C"/>
    <w:rsid w:val="17D35817"/>
    <w:rsid w:val="17DAFC84"/>
    <w:rsid w:val="17DBDCD7"/>
    <w:rsid w:val="17DDAA4D"/>
    <w:rsid w:val="17E139B5"/>
    <w:rsid w:val="17E37D36"/>
    <w:rsid w:val="17E428B4"/>
    <w:rsid w:val="17E86263"/>
    <w:rsid w:val="17EF2253"/>
    <w:rsid w:val="17F013C8"/>
    <w:rsid w:val="17F1BD38"/>
    <w:rsid w:val="17F4C5E1"/>
    <w:rsid w:val="17F8F2CD"/>
    <w:rsid w:val="17FA8886"/>
    <w:rsid w:val="17FD62B2"/>
    <w:rsid w:val="17FE5A3D"/>
    <w:rsid w:val="1801B685"/>
    <w:rsid w:val="180743E9"/>
    <w:rsid w:val="1810DB53"/>
    <w:rsid w:val="18166661"/>
    <w:rsid w:val="181AE7F7"/>
    <w:rsid w:val="182371D9"/>
    <w:rsid w:val="1827DDB6"/>
    <w:rsid w:val="182BBFAD"/>
    <w:rsid w:val="182CE67D"/>
    <w:rsid w:val="182E8C4E"/>
    <w:rsid w:val="182EF8E9"/>
    <w:rsid w:val="183317C4"/>
    <w:rsid w:val="18448A34"/>
    <w:rsid w:val="184B5C44"/>
    <w:rsid w:val="184FAFD2"/>
    <w:rsid w:val="1857AB89"/>
    <w:rsid w:val="18685FE5"/>
    <w:rsid w:val="1871B21C"/>
    <w:rsid w:val="18731AF4"/>
    <w:rsid w:val="18775C1C"/>
    <w:rsid w:val="187E677B"/>
    <w:rsid w:val="187FD7BE"/>
    <w:rsid w:val="188EF870"/>
    <w:rsid w:val="189261F0"/>
    <w:rsid w:val="18BA2009"/>
    <w:rsid w:val="18BAFB77"/>
    <w:rsid w:val="18C969B2"/>
    <w:rsid w:val="18EA187F"/>
    <w:rsid w:val="18EDA152"/>
    <w:rsid w:val="18EE5FAC"/>
    <w:rsid w:val="18EED96E"/>
    <w:rsid w:val="19076557"/>
    <w:rsid w:val="190BF685"/>
    <w:rsid w:val="191527B9"/>
    <w:rsid w:val="19190E92"/>
    <w:rsid w:val="19238947"/>
    <w:rsid w:val="1923D711"/>
    <w:rsid w:val="19297EF4"/>
    <w:rsid w:val="192D90C4"/>
    <w:rsid w:val="19350DEF"/>
    <w:rsid w:val="19357093"/>
    <w:rsid w:val="1950376B"/>
    <w:rsid w:val="19509A61"/>
    <w:rsid w:val="1953F2C6"/>
    <w:rsid w:val="196086DB"/>
    <w:rsid w:val="19657E12"/>
    <w:rsid w:val="19685FCF"/>
    <w:rsid w:val="196D383F"/>
    <w:rsid w:val="196EC414"/>
    <w:rsid w:val="19733BCE"/>
    <w:rsid w:val="197B88F4"/>
    <w:rsid w:val="197EDAD5"/>
    <w:rsid w:val="198A0FB3"/>
    <w:rsid w:val="1991D880"/>
    <w:rsid w:val="19935AB2"/>
    <w:rsid w:val="199693C0"/>
    <w:rsid w:val="199A6F6B"/>
    <w:rsid w:val="199B995C"/>
    <w:rsid w:val="199C6F1F"/>
    <w:rsid w:val="19B63EDF"/>
    <w:rsid w:val="19B79BC9"/>
    <w:rsid w:val="19B7A5FB"/>
    <w:rsid w:val="19B8DAC2"/>
    <w:rsid w:val="19E66C1F"/>
    <w:rsid w:val="19ED90EC"/>
    <w:rsid w:val="19EF64D7"/>
    <w:rsid w:val="19F95729"/>
    <w:rsid w:val="19FDFF95"/>
    <w:rsid w:val="19FF2F55"/>
    <w:rsid w:val="1A01D587"/>
    <w:rsid w:val="1A02888A"/>
    <w:rsid w:val="1A043046"/>
    <w:rsid w:val="1A046257"/>
    <w:rsid w:val="1A197BC6"/>
    <w:rsid w:val="1A2BC521"/>
    <w:rsid w:val="1A36BDF4"/>
    <w:rsid w:val="1A3701D8"/>
    <w:rsid w:val="1A3829F1"/>
    <w:rsid w:val="1A417439"/>
    <w:rsid w:val="1A41DF7A"/>
    <w:rsid w:val="1A47D0EF"/>
    <w:rsid w:val="1A493F90"/>
    <w:rsid w:val="1A4C80CA"/>
    <w:rsid w:val="1A56449B"/>
    <w:rsid w:val="1A574594"/>
    <w:rsid w:val="1A5D8881"/>
    <w:rsid w:val="1A62C91A"/>
    <w:rsid w:val="1A6863C6"/>
    <w:rsid w:val="1A6EB0F9"/>
    <w:rsid w:val="1A6F6CF8"/>
    <w:rsid w:val="1A74E3B6"/>
    <w:rsid w:val="1A77F2F0"/>
    <w:rsid w:val="1A7DF0F7"/>
    <w:rsid w:val="1A89C38D"/>
    <w:rsid w:val="1A8C97FB"/>
    <w:rsid w:val="1AA45178"/>
    <w:rsid w:val="1AAC90B3"/>
    <w:rsid w:val="1AB697DB"/>
    <w:rsid w:val="1ABBEE9C"/>
    <w:rsid w:val="1ABD82EF"/>
    <w:rsid w:val="1ACB76BD"/>
    <w:rsid w:val="1AD55A46"/>
    <w:rsid w:val="1AD6A627"/>
    <w:rsid w:val="1ADB32B7"/>
    <w:rsid w:val="1AED4912"/>
    <w:rsid w:val="1AF131DD"/>
    <w:rsid w:val="1AF69366"/>
    <w:rsid w:val="1AFC44DE"/>
    <w:rsid w:val="1AFD8704"/>
    <w:rsid w:val="1B02D604"/>
    <w:rsid w:val="1B094415"/>
    <w:rsid w:val="1B0D332B"/>
    <w:rsid w:val="1B0EE17A"/>
    <w:rsid w:val="1B2869E8"/>
    <w:rsid w:val="1B288CC6"/>
    <w:rsid w:val="1B2C35A7"/>
    <w:rsid w:val="1B2F3F6A"/>
    <w:rsid w:val="1B3769BD"/>
    <w:rsid w:val="1B47ABC5"/>
    <w:rsid w:val="1B48C88A"/>
    <w:rsid w:val="1B4A1B57"/>
    <w:rsid w:val="1B57F532"/>
    <w:rsid w:val="1B5C39EF"/>
    <w:rsid w:val="1B5D4932"/>
    <w:rsid w:val="1B5E784E"/>
    <w:rsid w:val="1B6256B3"/>
    <w:rsid w:val="1B62ED3A"/>
    <w:rsid w:val="1B69BACC"/>
    <w:rsid w:val="1B7A9672"/>
    <w:rsid w:val="1B7C1ED7"/>
    <w:rsid w:val="1B8B37EE"/>
    <w:rsid w:val="1B8FFED6"/>
    <w:rsid w:val="1B9A7967"/>
    <w:rsid w:val="1B9D1B43"/>
    <w:rsid w:val="1B9E4386"/>
    <w:rsid w:val="1BA06F60"/>
    <w:rsid w:val="1BAB247D"/>
    <w:rsid w:val="1BC1DAA2"/>
    <w:rsid w:val="1BC65D9C"/>
    <w:rsid w:val="1BC69932"/>
    <w:rsid w:val="1BD5F967"/>
    <w:rsid w:val="1BD9D96C"/>
    <w:rsid w:val="1BDA701F"/>
    <w:rsid w:val="1BDBB88B"/>
    <w:rsid w:val="1BDDC951"/>
    <w:rsid w:val="1BDFA042"/>
    <w:rsid w:val="1BE12AB7"/>
    <w:rsid w:val="1BE23740"/>
    <w:rsid w:val="1BE9AE51"/>
    <w:rsid w:val="1BF072DD"/>
    <w:rsid w:val="1BF1C0CB"/>
    <w:rsid w:val="1BF214FC"/>
    <w:rsid w:val="1BFABE8A"/>
    <w:rsid w:val="1BFB16F8"/>
    <w:rsid w:val="1C04A564"/>
    <w:rsid w:val="1C05EE51"/>
    <w:rsid w:val="1C0839AA"/>
    <w:rsid w:val="1C159B9E"/>
    <w:rsid w:val="1C1C8EC3"/>
    <w:rsid w:val="1C2C5B52"/>
    <w:rsid w:val="1C391FBB"/>
    <w:rsid w:val="1C3B6D0A"/>
    <w:rsid w:val="1C3FF84E"/>
    <w:rsid w:val="1C4E6294"/>
    <w:rsid w:val="1C553FAC"/>
    <w:rsid w:val="1C5BC090"/>
    <w:rsid w:val="1C690B96"/>
    <w:rsid w:val="1C69CA67"/>
    <w:rsid w:val="1C737F37"/>
    <w:rsid w:val="1C75E0AB"/>
    <w:rsid w:val="1C7A7723"/>
    <w:rsid w:val="1C83C477"/>
    <w:rsid w:val="1C872464"/>
    <w:rsid w:val="1C89CCCB"/>
    <w:rsid w:val="1C8EFF2C"/>
    <w:rsid w:val="1C9436D3"/>
    <w:rsid w:val="1C9ED118"/>
    <w:rsid w:val="1C9F9DB1"/>
    <w:rsid w:val="1CAFF965"/>
    <w:rsid w:val="1CB14FCE"/>
    <w:rsid w:val="1CB1DE76"/>
    <w:rsid w:val="1CB62C79"/>
    <w:rsid w:val="1CBD7CC0"/>
    <w:rsid w:val="1CC050FD"/>
    <w:rsid w:val="1CC1CED4"/>
    <w:rsid w:val="1CC45D27"/>
    <w:rsid w:val="1CD1CA60"/>
    <w:rsid w:val="1CD1F43E"/>
    <w:rsid w:val="1CD4078D"/>
    <w:rsid w:val="1CDBDADA"/>
    <w:rsid w:val="1CE0A2E1"/>
    <w:rsid w:val="1CE79145"/>
    <w:rsid w:val="1CEF81EE"/>
    <w:rsid w:val="1D026A0C"/>
    <w:rsid w:val="1D07DDBB"/>
    <w:rsid w:val="1D18CCE5"/>
    <w:rsid w:val="1D26A79C"/>
    <w:rsid w:val="1D2D58F4"/>
    <w:rsid w:val="1D308E25"/>
    <w:rsid w:val="1D324832"/>
    <w:rsid w:val="1D3684F9"/>
    <w:rsid w:val="1D3BD108"/>
    <w:rsid w:val="1D3EC294"/>
    <w:rsid w:val="1D4647A2"/>
    <w:rsid w:val="1D556A2D"/>
    <w:rsid w:val="1D56CC3F"/>
    <w:rsid w:val="1D5CFE5D"/>
    <w:rsid w:val="1D648B08"/>
    <w:rsid w:val="1D656B10"/>
    <w:rsid w:val="1D70B990"/>
    <w:rsid w:val="1D749345"/>
    <w:rsid w:val="1D79172F"/>
    <w:rsid w:val="1D7F81E6"/>
    <w:rsid w:val="1D84F022"/>
    <w:rsid w:val="1D95BBF9"/>
    <w:rsid w:val="1D983A99"/>
    <w:rsid w:val="1DA0DF54"/>
    <w:rsid w:val="1DA24697"/>
    <w:rsid w:val="1DB5805E"/>
    <w:rsid w:val="1DB6362D"/>
    <w:rsid w:val="1DB7A5EC"/>
    <w:rsid w:val="1DBA8AD7"/>
    <w:rsid w:val="1DBC7D7D"/>
    <w:rsid w:val="1DD224D0"/>
    <w:rsid w:val="1DD66877"/>
    <w:rsid w:val="1DDB8483"/>
    <w:rsid w:val="1DE82C4B"/>
    <w:rsid w:val="1DECFED7"/>
    <w:rsid w:val="1E02E562"/>
    <w:rsid w:val="1E0ED396"/>
    <w:rsid w:val="1E12384C"/>
    <w:rsid w:val="1E235C9A"/>
    <w:rsid w:val="1E23B256"/>
    <w:rsid w:val="1E2B98AD"/>
    <w:rsid w:val="1E2D11F9"/>
    <w:rsid w:val="1E2DDEDB"/>
    <w:rsid w:val="1E3478E2"/>
    <w:rsid w:val="1E3F91FB"/>
    <w:rsid w:val="1E422792"/>
    <w:rsid w:val="1E53F1C8"/>
    <w:rsid w:val="1E57D94C"/>
    <w:rsid w:val="1E5EC9E8"/>
    <w:rsid w:val="1E5F90AB"/>
    <w:rsid w:val="1E6FAE67"/>
    <w:rsid w:val="1E7CCD53"/>
    <w:rsid w:val="1E828A8F"/>
    <w:rsid w:val="1E8F1BDF"/>
    <w:rsid w:val="1EA79D60"/>
    <w:rsid w:val="1EC708E1"/>
    <w:rsid w:val="1ECC0AB5"/>
    <w:rsid w:val="1ECF7CB7"/>
    <w:rsid w:val="1ED4F586"/>
    <w:rsid w:val="1ED61DC5"/>
    <w:rsid w:val="1ED787EC"/>
    <w:rsid w:val="1ED83EE3"/>
    <w:rsid w:val="1EDB7022"/>
    <w:rsid w:val="1EDE5B41"/>
    <w:rsid w:val="1EE88D56"/>
    <w:rsid w:val="1EEF5558"/>
    <w:rsid w:val="1EFF9AB8"/>
    <w:rsid w:val="1F01ED39"/>
    <w:rsid w:val="1F02E0F4"/>
    <w:rsid w:val="1F054983"/>
    <w:rsid w:val="1F103930"/>
    <w:rsid w:val="1F11427C"/>
    <w:rsid w:val="1F19FEA9"/>
    <w:rsid w:val="1F231304"/>
    <w:rsid w:val="1F246137"/>
    <w:rsid w:val="1F29D582"/>
    <w:rsid w:val="1F2D10B3"/>
    <w:rsid w:val="1F4707BA"/>
    <w:rsid w:val="1F4E9A4B"/>
    <w:rsid w:val="1F587BD2"/>
    <w:rsid w:val="1F595A03"/>
    <w:rsid w:val="1F603525"/>
    <w:rsid w:val="1F60719B"/>
    <w:rsid w:val="1F648843"/>
    <w:rsid w:val="1F6F88C8"/>
    <w:rsid w:val="1F71ECAE"/>
    <w:rsid w:val="1F790398"/>
    <w:rsid w:val="1F7F429E"/>
    <w:rsid w:val="1F9A4032"/>
    <w:rsid w:val="1F9CC641"/>
    <w:rsid w:val="1F9E2A43"/>
    <w:rsid w:val="1F9EB5C3"/>
    <w:rsid w:val="1FA05315"/>
    <w:rsid w:val="1FA54816"/>
    <w:rsid w:val="1FA76D1D"/>
    <w:rsid w:val="1FA9B28A"/>
    <w:rsid w:val="1FB2F3CC"/>
    <w:rsid w:val="1FB3C988"/>
    <w:rsid w:val="1FB71977"/>
    <w:rsid w:val="1FC0604B"/>
    <w:rsid w:val="1FD1B823"/>
    <w:rsid w:val="1FD3AFDE"/>
    <w:rsid w:val="1FD68CE2"/>
    <w:rsid w:val="1FE09300"/>
    <w:rsid w:val="1FE2E296"/>
    <w:rsid w:val="1FE49DCC"/>
    <w:rsid w:val="1FE834F8"/>
    <w:rsid w:val="1FEADE25"/>
    <w:rsid w:val="1FEE2A1B"/>
    <w:rsid w:val="1FF26E60"/>
    <w:rsid w:val="200ABA6E"/>
    <w:rsid w:val="20119733"/>
    <w:rsid w:val="20225BA5"/>
    <w:rsid w:val="202299E1"/>
    <w:rsid w:val="202A9D11"/>
    <w:rsid w:val="202C223A"/>
    <w:rsid w:val="2038CA2C"/>
    <w:rsid w:val="203AF5AA"/>
    <w:rsid w:val="20416983"/>
    <w:rsid w:val="2042BD29"/>
    <w:rsid w:val="20465F29"/>
    <w:rsid w:val="204CE41B"/>
    <w:rsid w:val="204EE93A"/>
    <w:rsid w:val="205B7B85"/>
    <w:rsid w:val="207394BE"/>
    <w:rsid w:val="2077B1BD"/>
    <w:rsid w:val="20784DBF"/>
    <w:rsid w:val="208DA6EC"/>
    <w:rsid w:val="2099E5C5"/>
    <w:rsid w:val="209FE731"/>
    <w:rsid w:val="20AC05C7"/>
    <w:rsid w:val="20BCC821"/>
    <w:rsid w:val="20BF01C3"/>
    <w:rsid w:val="20BFA7FE"/>
    <w:rsid w:val="20C07F7C"/>
    <w:rsid w:val="20C1147B"/>
    <w:rsid w:val="20C172F3"/>
    <w:rsid w:val="20C61932"/>
    <w:rsid w:val="20C6909C"/>
    <w:rsid w:val="20C81D5D"/>
    <w:rsid w:val="20CD0447"/>
    <w:rsid w:val="20CE881B"/>
    <w:rsid w:val="20D03BD9"/>
    <w:rsid w:val="20D5AEC1"/>
    <w:rsid w:val="20DED43B"/>
    <w:rsid w:val="20DFD4A8"/>
    <w:rsid w:val="20E558DF"/>
    <w:rsid w:val="20E6F91D"/>
    <w:rsid w:val="20F0923A"/>
    <w:rsid w:val="20F267DC"/>
    <w:rsid w:val="20F35617"/>
    <w:rsid w:val="20F5A87C"/>
    <w:rsid w:val="20F82C9D"/>
    <w:rsid w:val="20FC8BD3"/>
    <w:rsid w:val="20FF24B8"/>
    <w:rsid w:val="210749F6"/>
    <w:rsid w:val="21173CFE"/>
    <w:rsid w:val="2125DDD8"/>
    <w:rsid w:val="212D0C1F"/>
    <w:rsid w:val="212D2552"/>
    <w:rsid w:val="2131FABC"/>
    <w:rsid w:val="21324E6D"/>
    <w:rsid w:val="21358FD1"/>
    <w:rsid w:val="213C7CB9"/>
    <w:rsid w:val="213F2726"/>
    <w:rsid w:val="2152550A"/>
    <w:rsid w:val="215B070D"/>
    <w:rsid w:val="21667E3F"/>
    <w:rsid w:val="216A6C87"/>
    <w:rsid w:val="216C09F1"/>
    <w:rsid w:val="21762C8E"/>
    <w:rsid w:val="2176FEC6"/>
    <w:rsid w:val="2179E857"/>
    <w:rsid w:val="217EC20D"/>
    <w:rsid w:val="218164CF"/>
    <w:rsid w:val="2187CBB9"/>
    <w:rsid w:val="21899D9C"/>
    <w:rsid w:val="219C30F7"/>
    <w:rsid w:val="219E0E0E"/>
    <w:rsid w:val="21AB3891"/>
    <w:rsid w:val="21AFD2B4"/>
    <w:rsid w:val="21B1040A"/>
    <w:rsid w:val="21D49A8D"/>
    <w:rsid w:val="21DE9620"/>
    <w:rsid w:val="21E581BF"/>
    <w:rsid w:val="21E5A2EC"/>
    <w:rsid w:val="21F58E99"/>
    <w:rsid w:val="220713D0"/>
    <w:rsid w:val="22174530"/>
    <w:rsid w:val="2218715D"/>
    <w:rsid w:val="221A37EC"/>
    <w:rsid w:val="2221CFC0"/>
    <w:rsid w:val="22229E6A"/>
    <w:rsid w:val="222422C3"/>
    <w:rsid w:val="2224D2F1"/>
    <w:rsid w:val="222F3935"/>
    <w:rsid w:val="2230FE09"/>
    <w:rsid w:val="223B7EF5"/>
    <w:rsid w:val="223E0F7B"/>
    <w:rsid w:val="223E2683"/>
    <w:rsid w:val="224367B2"/>
    <w:rsid w:val="2244E261"/>
    <w:rsid w:val="22453AEB"/>
    <w:rsid w:val="22496FA4"/>
    <w:rsid w:val="225212AE"/>
    <w:rsid w:val="2252E77E"/>
    <w:rsid w:val="2260FE86"/>
    <w:rsid w:val="2265B526"/>
    <w:rsid w:val="22704764"/>
    <w:rsid w:val="22727B67"/>
    <w:rsid w:val="2275D48E"/>
    <w:rsid w:val="227BCB26"/>
    <w:rsid w:val="22837129"/>
    <w:rsid w:val="229AC3AF"/>
    <w:rsid w:val="229FB61F"/>
    <w:rsid w:val="22A321FE"/>
    <w:rsid w:val="22A809ED"/>
    <w:rsid w:val="22B16462"/>
    <w:rsid w:val="22B1A4B5"/>
    <w:rsid w:val="22B536F4"/>
    <w:rsid w:val="22B63B0C"/>
    <w:rsid w:val="22C3D0DB"/>
    <w:rsid w:val="22C5E798"/>
    <w:rsid w:val="22CAF9A6"/>
    <w:rsid w:val="22DF1955"/>
    <w:rsid w:val="22E157A5"/>
    <w:rsid w:val="22E63CAF"/>
    <w:rsid w:val="22EE097E"/>
    <w:rsid w:val="22F20EB1"/>
    <w:rsid w:val="23046BA0"/>
    <w:rsid w:val="2304803E"/>
    <w:rsid w:val="2304A729"/>
    <w:rsid w:val="231D744F"/>
    <w:rsid w:val="23241975"/>
    <w:rsid w:val="2324D590"/>
    <w:rsid w:val="232C5B95"/>
    <w:rsid w:val="23324B14"/>
    <w:rsid w:val="233372F1"/>
    <w:rsid w:val="23385495"/>
    <w:rsid w:val="2340FE69"/>
    <w:rsid w:val="234224BF"/>
    <w:rsid w:val="2346353F"/>
    <w:rsid w:val="234CD46B"/>
    <w:rsid w:val="234D3D1D"/>
    <w:rsid w:val="23551973"/>
    <w:rsid w:val="23623D27"/>
    <w:rsid w:val="2366852A"/>
    <w:rsid w:val="236EA09B"/>
    <w:rsid w:val="2371A602"/>
    <w:rsid w:val="2371F0C3"/>
    <w:rsid w:val="2379F78A"/>
    <w:rsid w:val="2387E589"/>
    <w:rsid w:val="238BED69"/>
    <w:rsid w:val="2393CCF4"/>
    <w:rsid w:val="23A0CBE0"/>
    <w:rsid w:val="23A2241D"/>
    <w:rsid w:val="23A3535E"/>
    <w:rsid w:val="23A3C811"/>
    <w:rsid w:val="23AF29D6"/>
    <w:rsid w:val="23AF5718"/>
    <w:rsid w:val="23C366FB"/>
    <w:rsid w:val="23CE8245"/>
    <w:rsid w:val="23D6B994"/>
    <w:rsid w:val="23D93378"/>
    <w:rsid w:val="23D95D89"/>
    <w:rsid w:val="23DCC808"/>
    <w:rsid w:val="23DD4AE4"/>
    <w:rsid w:val="23E23E07"/>
    <w:rsid w:val="23E766F1"/>
    <w:rsid w:val="23EB054A"/>
    <w:rsid w:val="23F21B8E"/>
    <w:rsid w:val="23F2227C"/>
    <w:rsid w:val="24019F72"/>
    <w:rsid w:val="24148515"/>
    <w:rsid w:val="2415039D"/>
    <w:rsid w:val="242A7CF3"/>
    <w:rsid w:val="24423443"/>
    <w:rsid w:val="244412E8"/>
    <w:rsid w:val="244887F2"/>
    <w:rsid w:val="245B00B8"/>
    <w:rsid w:val="245F6177"/>
    <w:rsid w:val="245FF7DE"/>
    <w:rsid w:val="246085D5"/>
    <w:rsid w:val="2467CA25"/>
    <w:rsid w:val="2468B608"/>
    <w:rsid w:val="246B5C55"/>
    <w:rsid w:val="246EBE6E"/>
    <w:rsid w:val="247BE1FD"/>
    <w:rsid w:val="2489D54D"/>
    <w:rsid w:val="248A94AA"/>
    <w:rsid w:val="248BA7F7"/>
    <w:rsid w:val="248F6101"/>
    <w:rsid w:val="2492AB78"/>
    <w:rsid w:val="24989F50"/>
    <w:rsid w:val="249CF053"/>
    <w:rsid w:val="24A14281"/>
    <w:rsid w:val="24A5AC69"/>
    <w:rsid w:val="24A7CB17"/>
    <w:rsid w:val="24AF9AA3"/>
    <w:rsid w:val="24B0545D"/>
    <w:rsid w:val="24B525B2"/>
    <w:rsid w:val="24B7BF7E"/>
    <w:rsid w:val="24C188E3"/>
    <w:rsid w:val="24CD2719"/>
    <w:rsid w:val="24CDA129"/>
    <w:rsid w:val="24CF0E69"/>
    <w:rsid w:val="24D12B31"/>
    <w:rsid w:val="24E532AD"/>
    <w:rsid w:val="24F2C7F2"/>
    <w:rsid w:val="24F33351"/>
    <w:rsid w:val="25003321"/>
    <w:rsid w:val="2501DC45"/>
    <w:rsid w:val="2503DA97"/>
    <w:rsid w:val="25047130"/>
    <w:rsid w:val="2512F1EB"/>
    <w:rsid w:val="2513FEFE"/>
    <w:rsid w:val="251A6CD7"/>
    <w:rsid w:val="2527C3DD"/>
    <w:rsid w:val="252B4238"/>
    <w:rsid w:val="252CC8C3"/>
    <w:rsid w:val="252E5B50"/>
    <w:rsid w:val="2533A098"/>
    <w:rsid w:val="2537359F"/>
    <w:rsid w:val="2546B241"/>
    <w:rsid w:val="254AFA37"/>
    <w:rsid w:val="254B22E0"/>
    <w:rsid w:val="25541B9D"/>
    <w:rsid w:val="2559FEE1"/>
    <w:rsid w:val="255F22C6"/>
    <w:rsid w:val="25637F62"/>
    <w:rsid w:val="25689ECB"/>
    <w:rsid w:val="256D815C"/>
    <w:rsid w:val="256DD752"/>
    <w:rsid w:val="25708E5A"/>
    <w:rsid w:val="257E8D81"/>
    <w:rsid w:val="2589B370"/>
    <w:rsid w:val="258D4027"/>
    <w:rsid w:val="25974D79"/>
    <w:rsid w:val="259CF3ED"/>
    <w:rsid w:val="25A37B03"/>
    <w:rsid w:val="25AABBCF"/>
    <w:rsid w:val="25AD7550"/>
    <w:rsid w:val="25AEA863"/>
    <w:rsid w:val="25B3D58B"/>
    <w:rsid w:val="25B811F3"/>
    <w:rsid w:val="25C26703"/>
    <w:rsid w:val="25CCA879"/>
    <w:rsid w:val="25CD3944"/>
    <w:rsid w:val="25CE8087"/>
    <w:rsid w:val="25D2C789"/>
    <w:rsid w:val="25D3602D"/>
    <w:rsid w:val="25D3D9BE"/>
    <w:rsid w:val="25DA3CC1"/>
    <w:rsid w:val="25E39BD3"/>
    <w:rsid w:val="25E4B35B"/>
    <w:rsid w:val="25E70E45"/>
    <w:rsid w:val="25EAA4C5"/>
    <w:rsid w:val="25F1DF17"/>
    <w:rsid w:val="26015C46"/>
    <w:rsid w:val="2607F38B"/>
    <w:rsid w:val="2608111D"/>
    <w:rsid w:val="2614A8F5"/>
    <w:rsid w:val="2619D6AF"/>
    <w:rsid w:val="262B032A"/>
    <w:rsid w:val="2631542A"/>
    <w:rsid w:val="2638A396"/>
    <w:rsid w:val="26554092"/>
    <w:rsid w:val="2656032D"/>
    <w:rsid w:val="265EBE43"/>
    <w:rsid w:val="26634F8F"/>
    <w:rsid w:val="26652C19"/>
    <w:rsid w:val="2668978B"/>
    <w:rsid w:val="266C3C39"/>
    <w:rsid w:val="267A104D"/>
    <w:rsid w:val="2686685D"/>
    <w:rsid w:val="26A1DB9B"/>
    <w:rsid w:val="26B318E7"/>
    <w:rsid w:val="26B8D355"/>
    <w:rsid w:val="26C644EF"/>
    <w:rsid w:val="26CDFBE1"/>
    <w:rsid w:val="26EB2A0A"/>
    <w:rsid w:val="26F757FB"/>
    <w:rsid w:val="271F40EF"/>
    <w:rsid w:val="27218E3D"/>
    <w:rsid w:val="272357B6"/>
    <w:rsid w:val="2723C419"/>
    <w:rsid w:val="272C434F"/>
    <w:rsid w:val="2752C0A9"/>
    <w:rsid w:val="2756ED83"/>
    <w:rsid w:val="275B1BA5"/>
    <w:rsid w:val="275E3E1D"/>
    <w:rsid w:val="275FD7D4"/>
    <w:rsid w:val="276030F1"/>
    <w:rsid w:val="2761C4F7"/>
    <w:rsid w:val="2765602E"/>
    <w:rsid w:val="27711257"/>
    <w:rsid w:val="277359B4"/>
    <w:rsid w:val="2779E0E4"/>
    <w:rsid w:val="277B6568"/>
    <w:rsid w:val="27837F7B"/>
    <w:rsid w:val="278AE25E"/>
    <w:rsid w:val="27A425D6"/>
    <w:rsid w:val="27B51B78"/>
    <w:rsid w:val="27CDFCF0"/>
    <w:rsid w:val="27CF0228"/>
    <w:rsid w:val="27DD5012"/>
    <w:rsid w:val="27DEE525"/>
    <w:rsid w:val="27DFB481"/>
    <w:rsid w:val="27E865D0"/>
    <w:rsid w:val="27F4269D"/>
    <w:rsid w:val="27F90CB5"/>
    <w:rsid w:val="27FE4BCF"/>
    <w:rsid w:val="28023EC5"/>
    <w:rsid w:val="280B6700"/>
    <w:rsid w:val="280C5F7F"/>
    <w:rsid w:val="2812077D"/>
    <w:rsid w:val="2813789D"/>
    <w:rsid w:val="281E54F9"/>
    <w:rsid w:val="2824A0E9"/>
    <w:rsid w:val="28283665"/>
    <w:rsid w:val="282AB572"/>
    <w:rsid w:val="28334867"/>
    <w:rsid w:val="2833F29E"/>
    <w:rsid w:val="283D01DC"/>
    <w:rsid w:val="283F629F"/>
    <w:rsid w:val="2841D74E"/>
    <w:rsid w:val="2843B8DE"/>
    <w:rsid w:val="284924C6"/>
    <w:rsid w:val="284B9E85"/>
    <w:rsid w:val="284ECF51"/>
    <w:rsid w:val="286AB683"/>
    <w:rsid w:val="28705703"/>
    <w:rsid w:val="287AB937"/>
    <w:rsid w:val="2884B351"/>
    <w:rsid w:val="288F14BE"/>
    <w:rsid w:val="2895CF99"/>
    <w:rsid w:val="289D6588"/>
    <w:rsid w:val="28A8D5B0"/>
    <w:rsid w:val="28B55C6E"/>
    <w:rsid w:val="28BA080D"/>
    <w:rsid w:val="28CE85E1"/>
    <w:rsid w:val="28D22084"/>
    <w:rsid w:val="28D5DC88"/>
    <w:rsid w:val="28E9C061"/>
    <w:rsid w:val="2903B369"/>
    <w:rsid w:val="29199639"/>
    <w:rsid w:val="29227DA9"/>
    <w:rsid w:val="292FCAA6"/>
    <w:rsid w:val="29311478"/>
    <w:rsid w:val="29432255"/>
    <w:rsid w:val="2943BC4E"/>
    <w:rsid w:val="2944B65C"/>
    <w:rsid w:val="2946ACAD"/>
    <w:rsid w:val="2946D51E"/>
    <w:rsid w:val="2956D37F"/>
    <w:rsid w:val="2969A2A5"/>
    <w:rsid w:val="2969D0B0"/>
    <w:rsid w:val="29731ACE"/>
    <w:rsid w:val="29758CFE"/>
    <w:rsid w:val="29814A6B"/>
    <w:rsid w:val="29852806"/>
    <w:rsid w:val="29853F34"/>
    <w:rsid w:val="298B6155"/>
    <w:rsid w:val="2990F79D"/>
    <w:rsid w:val="2994A067"/>
    <w:rsid w:val="29987C7F"/>
    <w:rsid w:val="29993CEC"/>
    <w:rsid w:val="29A7BF78"/>
    <w:rsid w:val="29A81DA8"/>
    <w:rsid w:val="29B10E3B"/>
    <w:rsid w:val="29B2AFA4"/>
    <w:rsid w:val="29B852D5"/>
    <w:rsid w:val="29B8A5F0"/>
    <w:rsid w:val="29C2EE01"/>
    <w:rsid w:val="29C4A397"/>
    <w:rsid w:val="29C757EA"/>
    <w:rsid w:val="29DCADFA"/>
    <w:rsid w:val="29E59B4A"/>
    <w:rsid w:val="29E7CC27"/>
    <w:rsid w:val="29E93F57"/>
    <w:rsid w:val="29EB0378"/>
    <w:rsid w:val="29EC3705"/>
    <w:rsid w:val="29F04BFC"/>
    <w:rsid w:val="2A01236E"/>
    <w:rsid w:val="2A06DFA4"/>
    <w:rsid w:val="2A073C7C"/>
    <w:rsid w:val="2A09D55C"/>
    <w:rsid w:val="2A0BC980"/>
    <w:rsid w:val="2A0FA367"/>
    <w:rsid w:val="2A1F3005"/>
    <w:rsid w:val="2A2162DE"/>
    <w:rsid w:val="2A252E27"/>
    <w:rsid w:val="2A31068B"/>
    <w:rsid w:val="2A33347D"/>
    <w:rsid w:val="2A38E5D7"/>
    <w:rsid w:val="2A38F42E"/>
    <w:rsid w:val="2A3C14AA"/>
    <w:rsid w:val="2A3C3C92"/>
    <w:rsid w:val="2A3EC308"/>
    <w:rsid w:val="2A4381E0"/>
    <w:rsid w:val="2A50DAA2"/>
    <w:rsid w:val="2A55C1B1"/>
    <w:rsid w:val="2A569771"/>
    <w:rsid w:val="2A585C85"/>
    <w:rsid w:val="2A58DFB8"/>
    <w:rsid w:val="2A5AB54C"/>
    <w:rsid w:val="2A5AC68C"/>
    <w:rsid w:val="2A64F5E0"/>
    <w:rsid w:val="2A69409A"/>
    <w:rsid w:val="2A7FE582"/>
    <w:rsid w:val="2A861560"/>
    <w:rsid w:val="2A8BE17E"/>
    <w:rsid w:val="2A8DE913"/>
    <w:rsid w:val="2A915927"/>
    <w:rsid w:val="2A94F594"/>
    <w:rsid w:val="2A9E3C4C"/>
    <w:rsid w:val="2A9FEAF8"/>
    <w:rsid w:val="2AAB7BC3"/>
    <w:rsid w:val="2AAE7ADB"/>
    <w:rsid w:val="2AB3FC5E"/>
    <w:rsid w:val="2AB5669A"/>
    <w:rsid w:val="2AB950B8"/>
    <w:rsid w:val="2AB9B36E"/>
    <w:rsid w:val="2ABF4FC9"/>
    <w:rsid w:val="2ABFDA82"/>
    <w:rsid w:val="2AC26664"/>
    <w:rsid w:val="2AC3D5B0"/>
    <w:rsid w:val="2AC482BA"/>
    <w:rsid w:val="2AD2F53B"/>
    <w:rsid w:val="2AD73985"/>
    <w:rsid w:val="2ADE0A95"/>
    <w:rsid w:val="2AE37F18"/>
    <w:rsid w:val="2AE65312"/>
    <w:rsid w:val="2AE96870"/>
    <w:rsid w:val="2AF4EEA6"/>
    <w:rsid w:val="2AF5583B"/>
    <w:rsid w:val="2AFA1575"/>
    <w:rsid w:val="2AFE2D43"/>
    <w:rsid w:val="2B04B629"/>
    <w:rsid w:val="2B0A456E"/>
    <w:rsid w:val="2B0F927E"/>
    <w:rsid w:val="2B14ED67"/>
    <w:rsid w:val="2B2334D9"/>
    <w:rsid w:val="2B245A2A"/>
    <w:rsid w:val="2B2AE766"/>
    <w:rsid w:val="2B2C1C48"/>
    <w:rsid w:val="2B32207A"/>
    <w:rsid w:val="2B3653CB"/>
    <w:rsid w:val="2B429771"/>
    <w:rsid w:val="2B44F8D3"/>
    <w:rsid w:val="2B46AECA"/>
    <w:rsid w:val="2B54B6BE"/>
    <w:rsid w:val="2B561084"/>
    <w:rsid w:val="2B5E2730"/>
    <w:rsid w:val="2B5EBE62"/>
    <w:rsid w:val="2B5F17FF"/>
    <w:rsid w:val="2B61356C"/>
    <w:rsid w:val="2B64D6EC"/>
    <w:rsid w:val="2B6C52D9"/>
    <w:rsid w:val="2B7B2363"/>
    <w:rsid w:val="2B7BEC6B"/>
    <w:rsid w:val="2B7DFE92"/>
    <w:rsid w:val="2B83833C"/>
    <w:rsid w:val="2B8533B9"/>
    <w:rsid w:val="2B866D3F"/>
    <w:rsid w:val="2B914C6D"/>
    <w:rsid w:val="2B936285"/>
    <w:rsid w:val="2BA3BE53"/>
    <w:rsid w:val="2BD04DF6"/>
    <w:rsid w:val="2BD61576"/>
    <w:rsid w:val="2BD817F0"/>
    <w:rsid w:val="2BE14D68"/>
    <w:rsid w:val="2BE7A382"/>
    <w:rsid w:val="2C0238F6"/>
    <w:rsid w:val="2C05BF22"/>
    <w:rsid w:val="2C0BDC58"/>
    <w:rsid w:val="2C0F283C"/>
    <w:rsid w:val="2C161DC5"/>
    <w:rsid w:val="2C1CC949"/>
    <w:rsid w:val="2C219109"/>
    <w:rsid w:val="2C287466"/>
    <w:rsid w:val="2C3465DF"/>
    <w:rsid w:val="2C3B050A"/>
    <w:rsid w:val="2C40DD12"/>
    <w:rsid w:val="2C41490E"/>
    <w:rsid w:val="2C457916"/>
    <w:rsid w:val="2C4E5F1E"/>
    <w:rsid w:val="2C4ECEAC"/>
    <w:rsid w:val="2C5136FB"/>
    <w:rsid w:val="2C5C3AD6"/>
    <w:rsid w:val="2C612E38"/>
    <w:rsid w:val="2C728DE6"/>
    <w:rsid w:val="2C74D2DF"/>
    <w:rsid w:val="2C7A235C"/>
    <w:rsid w:val="2C7A3A5C"/>
    <w:rsid w:val="2C898F68"/>
    <w:rsid w:val="2C8F30C3"/>
    <w:rsid w:val="2C8F3B8D"/>
    <w:rsid w:val="2C90BF07"/>
    <w:rsid w:val="2C9BE001"/>
    <w:rsid w:val="2C9BE4E1"/>
    <w:rsid w:val="2CA52BF7"/>
    <w:rsid w:val="2CA5C1CE"/>
    <w:rsid w:val="2CA997D7"/>
    <w:rsid w:val="2CAE9BC0"/>
    <w:rsid w:val="2CB8FD27"/>
    <w:rsid w:val="2CBB576B"/>
    <w:rsid w:val="2CC68AB7"/>
    <w:rsid w:val="2CC6B7C7"/>
    <w:rsid w:val="2CCB3B69"/>
    <w:rsid w:val="2CCE67E4"/>
    <w:rsid w:val="2CD647AE"/>
    <w:rsid w:val="2CD741BB"/>
    <w:rsid w:val="2CD9C93E"/>
    <w:rsid w:val="2CE1E949"/>
    <w:rsid w:val="2CE7A558"/>
    <w:rsid w:val="2CE9DA2C"/>
    <w:rsid w:val="2CEA3915"/>
    <w:rsid w:val="2CF5027C"/>
    <w:rsid w:val="2D0817D4"/>
    <w:rsid w:val="2D179AB5"/>
    <w:rsid w:val="2D188AB0"/>
    <w:rsid w:val="2D267E44"/>
    <w:rsid w:val="2D281069"/>
    <w:rsid w:val="2D28C064"/>
    <w:rsid w:val="2D3C2B18"/>
    <w:rsid w:val="2D3D0C68"/>
    <w:rsid w:val="2D3DDE0B"/>
    <w:rsid w:val="2D489C87"/>
    <w:rsid w:val="2D4B6793"/>
    <w:rsid w:val="2D62E45B"/>
    <w:rsid w:val="2D6A3B80"/>
    <w:rsid w:val="2D7DA5FA"/>
    <w:rsid w:val="2D801308"/>
    <w:rsid w:val="2D820048"/>
    <w:rsid w:val="2D84DE08"/>
    <w:rsid w:val="2D869FCB"/>
    <w:rsid w:val="2D8889F8"/>
    <w:rsid w:val="2D8DEAD8"/>
    <w:rsid w:val="2D8E8273"/>
    <w:rsid w:val="2D900AD3"/>
    <w:rsid w:val="2D9026D3"/>
    <w:rsid w:val="2D958746"/>
    <w:rsid w:val="2D99B2EB"/>
    <w:rsid w:val="2D9E9CF9"/>
    <w:rsid w:val="2DA1E18B"/>
    <w:rsid w:val="2DAA9120"/>
    <w:rsid w:val="2DB9341F"/>
    <w:rsid w:val="2DC0D2AD"/>
    <w:rsid w:val="2DC34F08"/>
    <w:rsid w:val="2DC5E035"/>
    <w:rsid w:val="2DDD20DB"/>
    <w:rsid w:val="2DEE2F56"/>
    <w:rsid w:val="2DF1EBDC"/>
    <w:rsid w:val="2DF814EE"/>
    <w:rsid w:val="2DFBD613"/>
    <w:rsid w:val="2DFE0FE8"/>
    <w:rsid w:val="2E00813B"/>
    <w:rsid w:val="2E028653"/>
    <w:rsid w:val="2E03BF75"/>
    <w:rsid w:val="2E0466E6"/>
    <w:rsid w:val="2E12C196"/>
    <w:rsid w:val="2E168512"/>
    <w:rsid w:val="2E1A7552"/>
    <w:rsid w:val="2E219CF6"/>
    <w:rsid w:val="2E2A3F49"/>
    <w:rsid w:val="2E2B6779"/>
    <w:rsid w:val="2E2C7110"/>
    <w:rsid w:val="2E448FD6"/>
    <w:rsid w:val="2E4AB991"/>
    <w:rsid w:val="2E571578"/>
    <w:rsid w:val="2E5BD7E4"/>
    <w:rsid w:val="2E5D7401"/>
    <w:rsid w:val="2E60AFA1"/>
    <w:rsid w:val="2E62F0F7"/>
    <w:rsid w:val="2E6C6D67"/>
    <w:rsid w:val="2E9CFF60"/>
    <w:rsid w:val="2EA11FBB"/>
    <w:rsid w:val="2EABD427"/>
    <w:rsid w:val="2EB674AD"/>
    <w:rsid w:val="2EB813DF"/>
    <w:rsid w:val="2EC02B09"/>
    <w:rsid w:val="2EC4CC8A"/>
    <w:rsid w:val="2ED5E8D9"/>
    <w:rsid w:val="2ED7F123"/>
    <w:rsid w:val="2EF93C1C"/>
    <w:rsid w:val="2EFCE452"/>
    <w:rsid w:val="2EFFA430"/>
    <w:rsid w:val="2F00513A"/>
    <w:rsid w:val="2F00EC1C"/>
    <w:rsid w:val="2F097307"/>
    <w:rsid w:val="2F0A2C3C"/>
    <w:rsid w:val="2F0B0734"/>
    <w:rsid w:val="2F0C6E36"/>
    <w:rsid w:val="2F28249D"/>
    <w:rsid w:val="2F28CE83"/>
    <w:rsid w:val="2F344E4E"/>
    <w:rsid w:val="2F428E94"/>
    <w:rsid w:val="2F430F82"/>
    <w:rsid w:val="2F46EA2E"/>
    <w:rsid w:val="2F47B6AB"/>
    <w:rsid w:val="2F529492"/>
    <w:rsid w:val="2F5E42F6"/>
    <w:rsid w:val="2F605AE8"/>
    <w:rsid w:val="2F638821"/>
    <w:rsid w:val="2F6F3464"/>
    <w:rsid w:val="2F76FF60"/>
    <w:rsid w:val="2F77BC06"/>
    <w:rsid w:val="2F80E735"/>
    <w:rsid w:val="2F86C55C"/>
    <w:rsid w:val="2F978783"/>
    <w:rsid w:val="2F9A7967"/>
    <w:rsid w:val="2FA8189F"/>
    <w:rsid w:val="2FA84C16"/>
    <w:rsid w:val="2FB7A82D"/>
    <w:rsid w:val="2FB9AFFE"/>
    <w:rsid w:val="2FBBE4C6"/>
    <w:rsid w:val="2FC0A9CD"/>
    <w:rsid w:val="2FD638A6"/>
    <w:rsid w:val="2FD877CD"/>
    <w:rsid w:val="2FDA47E2"/>
    <w:rsid w:val="2FE0D63D"/>
    <w:rsid w:val="2FEB870D"/>
    <w:rsid w:val="2FED63B7"/>
    <w:rsid w:val="2FF37939"/>
    <w:rsid w:val="2FFA4645"/>
    <w:rsid w:val="2FFD09D9"/>
    <w:rsid w:val="300927BE"/>
    <w:rsid w:val="300F3763"/>
    <w:rsid w:val="3013CE0C"/>
    <w:rsid w:val="3017CA83"/>
    <w:rsid w:val="301F461A"/>
    <w:rsid w:val="30214927"/>
    <w:rsid w:val="30248EED"/>
    <w:rsid w:val="3033A729"/>
    <w:rsid w:val="3039B769"/>
    <w:rsid w:val="3039FF11"/>
    <w:rsid w:val="303C9E77"/>
    <w:rsid w:val="303E0AAE"/>
    <w:rsid w:val="304E999F"/>
    <w:rsid w:val="3051A174"/>
    <w:rsid w:val="3056DE37"/>
    <w:rsid w:val="3058017E"/>
    <w:rsid w:val="30678420"/>
    <w:rsid w:val="307256A7"/>
    <w:rsid w:val="30773152"/>
    <w:rsid w:val="308C95FC"/>
    <w:rsid w:val="308DCC4F"/>
    <w:rsid w:val="30907ECF"/>
    <w:rsid w:val="30A156D1"/>
    <w:rsid w:val="30A3858B"/>
    <w:rsid w:val="30A665CB"/>
    <w:rsid w:val="30AFCC22"/>
    <w:rsid w:val="30B04AAB"/>
    <w:rsid w:val="30B47B79"/>
    <w:rsid w:val="30B84339"/>
    <w:rsid w:val="30BCE009"/>
    <w:rsid w:val="30CCD935"/>
    <w:rsid w:val="30CF5F51"/>
    <w:rsid w:val="30D01EAF"/>
    <w:rsid w:val="30D9F245"/>
    <w:rsid w:val="30DB0EAA"/>
    <w:rsid w:val="30E1F477"/>
    <w:rsid w:val="30E2E50A"/>
    <w:rsid w:val="30F9B26E"/>
    <w:rsid w:val="30FD69C8"/>
    <w:rsid w:val="3107C9D7"/>
    <w:rsid w:val="310C67CF"/>
    <w:rsid w:val="310FB438"/>
    <w:rsid w:val="311172B8"/>
    <w:rsid w:val="31186D8A"/>
    <w:rsid w:val="311B8409"/>
    <w:rsid w:val="312049D2"/>
    <w:rsid w:val="3122CE69"/>
    <w:rsid w:val="31259FAC"/>
    <w:rsid w:val="312C72D8"/>
    <w:rsid w:val="3134B000"/>
    <w:rsid w:val="313A8AAE"/>
    <w:rsid w:val="3154E89F"/>
    <w:rsid w:val="315D7D28"/>
    <w:rsid w:val="315D8DEF"/>
    <w:rsid w:val="31613171"/>
    <w:rsid w:val="3163083B"/>
    <w:rsid w:val="316562B1"/>
    <w:rsid w:val="31681878"/>
    <w:rsid w:val="317080C1"/>
    <w:rsid w:val="31744EA0"/>
    <w:rsid w:val="31786B77"/>
    <w:rsid w:val="317BFE57"/>
    <w:rsid w:val="31843A9A"/>
    <w:rsid w:val="3186C7BD"/>
    <w:rsid w:val="3198BF8E"/>
    <w:rsid w:val="31BC7288"/>
    <w:rsid w:val="31C5338E"/>
    <w:rsid w:val="31CA2E82"/>
    <w:rsid w:val="31CB0278"/>
    <w:rsid w:val="31E57B6E"/>
    <w:rsid w:val="31E79E58"/>
    <w:rsid w:val="31E9C371"/>
    <w:rsid w:val="31EA5F6C"/>
    <w:rsid w:val="31F2E9D4"/>
    <w:rsid w:val="31F8A6F6"/>
    <w:rsid w:val="320D01EC"/>
    <w:rsid w:val="320EFA13"/>
    <w:rsid w:val="321C65B5"/>
    <w:rsid w:val="32256651"/>
    <w:rsid w:val="322676AA"/>
    <w:rsid w:val="322A597D"/>
    <w:rsid w:val="322AF490"/>
    <w:rsid w:val="3231955F"/>
    <w:rsid w:val="323CFAF9"/>
    <w:rsid w:val="32477714"/>
    <w:rsid w:val="325270EC"/>
    <w:rsid w:val="32548A90"/>
    <w:rsid w:val="3257DCE1"/>
    <w:rsid w:val="325A3574"/>
    <w:rsid w:val="325CE816"/>
    <w:rsid w:val="325DED4E"/>
    <w:rsid w:val="3264FA78"/>
    <w:rsid w:val="326B6B22"/>
    <w:rsid w:val="327CE87C"/>
    <w:rsid w:val="327F818D"/>
    <w:rsid w:val="327FF14D"/>
    <w:rsid w:val="32ABBCE0"/>
    <w:rsid w:val="32AF63AA"/>
    <w:rsid w:val="32B256BE"/>
    <w:rsid w:val="32BE9711"/>
    <w:rsid w:val="32CD19C3"/>
    <w:rsid w:val="32D2CDCB"/>
    <w:rsid w:val="32DD0374"/>
    <w:rsid w:val="32E7D6FC"/>
    <w:rsid w:val="32EF24DE"/>
    <w:rsid w:val="3300B89E"/>
    <w:rsid w:val="3302546A"/>
    <w:rsid w:val="3305D8D8"/>
    <w:rsid w:val="33092D2C"/>
    <w:rsid w:val="331800F9"/>
    <w:rsid w:val="3324A60A"/>
    <w:rsid w:val="33284FBA"/>
    <w:rsid w:val="333CAC02"/>
    <w:rsid w:val="333F5B61"/>
    <w:rsid w:val="333FFFB2"/>
    <w:rsid w:val="3346F2E4"/>
    <w:rsid w:val="334BB624"/>
    <w:rsid w:val="3353F086"/>
    <w:rsid w:val="3368ADF8"/>
    <w:rsid w:val="33758777"/>
    <w:rsid w:val="33809F90"/>
    <w:rsid w:val="33812010"/>
    <w:rsid w:val="33820BC3"/>
    <w:rsid w:val="3382F1A2"/>
    <w:rsid w:val="3387F377"/>
    <w:rsid w:val="33931CD0"/>
    <w:rsid w:val="339FD3A9"/>
    <w:rsid w:val="33A314D9"/>
    <w:rsid w:val="33A451BC"/>
    <w:rsid w:val="33AA9EC5"/>
    <w:rsid w:val="33B3A301"/>
    <w:rsid w:val="33B4BD20"/>
    <w:rsid w:val="33B7EA13"/>
    <w:rsid w:val="33E3BA8D"/>
    <w:rsid w:val="33E48105"/>
    <w:rsid w:val="33EBD813"/>
    <w:rsid w:val="33ED85F9"/>
    <w:rsid w:val="33EED66E"/>
    <w:rsid w:val="33F36A2A"/>
    <w:rsid w:val="33FA0502"/>
    <w:rsid w:val="3407BF71"/>
    <w:rsid w:val="341B708C"/>
    <w:rsid w:val="34284575"/>
    <w:rsid w:val="342CE8C9"/>
    <w:rsid w:val="3437B1DB"/>
    <w:rsid w:val="343CE45A"/>
    <w:rsid w:val="3440CB59"/>
    <w:rsid w:val="344188E6"/>
    <w:rsid w:val="3444981A"/>
    <w:rsid w:val="344F7F5E"/>
    <w:rsid w:val="34502149"/>
    <w:rsid w:val="3457E21F"/>
    <w:rsid w:val="345915EE"/>
    <w:rsid w:val="346269F0"/>
    <w:rsid w:val="3465B433"/>
    <w:rsid w:val="346CDA94"/>
    <w:rsid w:val="346FC097"/>
    <w:rsid w:val="34706740"/>
    <w:rsid w:val="347938CA"/>
    <w:rsid w:val="347EE963"/>
    <w:rsid w:val="34830A14"/>
    <w:rsid w:val="3488F3EA"/>
    <w:rsid w:val="348BA0AF"/>
    <w:rsid w:val="348FF944"/>
    <w:rsid w:val="3493FD04"/>
    <w:rsid w:val="3496B87A"/>
    <w:rsid w:val="34B09882"/>
    <w:rsid w:val="34B3D15A"/>
    <w:rsid w:val="34BB5462"/>
    <w:rsid w:val="34C5154D"/>
    <w:rsid w:val="34DB0BD0"/>
    <w:rsid w:val="34DD4E25"/>
    <w:rsid w:val="34EAF209"/>
    <w:rsid w:val="34FC3656"/>
    <w:rsid w:val="350A6BDB"/>
    <w:rsid w:val="350E1271"/>
    <w:rsid w:val="3514A1F8"/>
    <w:rsid w:val="3515BD12"/>
    <w:rsid w:val="352B60D9"/>
    <w:rsid w:val="3530F990"/>
    <w:rsid w:val="353C50C4"/>
    <w:rsid w:val="353E1840"/>
    <w:rsid w:val="353F744B"/>
    <w:rsid w:val="35438FD0"/>
    <w:rsid w:val="3549B9C8"/>
    <w:rsid w:val="3556A82E"/>
    <w:rsid w:val="3557E8D8"/>
    <w:rsid w:val="3558EE3C"/>
    <w:rsid w:val="355AC339"/>
    <w:rsid w:val="35621CA9"/>
    <w:rsid w:val="3569299E"/>
    <w:rsid w:val="356E703D"/>
    <w:rsid w:val="356F9511"/>
    <w:rsid w:val="35721BFC"/>
    <w:rsid w:val="35743CBD"/>
    <w:rsid w:val="35768D13"/>
    <w:rsid w:val="3577383D"/>
    <w:rsid w:val="35778E7A"/>
    <w:rsid w:val="357F5EDF"/>
    <w:rsid w:val="3581FB08"/>
    <w:rsid w:val="3584B2BB"/>
    <w:rsid w:val="35884A27"/>
    <w:rsid w:val="358AA6CF"/>
    <w:rsid w:val="358BA341"/>
    <w:rsid w:val="358BB239"/>
    <w:rsid w:val="358EB65C"/>
    <w:rsid w:val="35956410"/>
    <w:rsid w:val="35A00DCE"/>
    <w:rsid w:val="35ABEB47"/>
    <w:rsid w:val="35B514CB"/>
    <w:rsid w:val="35B68CD5"/>
    <w:rsid w:val="35BACDCB"/>
    <w:rsid w:val="35C4BAA2"/>
    <w:rsid w:val="35D00739"/>
    <w:rsid w:val="35D0684E"/>
    <w:rsid w:val="35D1C295"/>
    <w:rsid w:val="35D1EABD"/>
    <w:rsid w:val="35D2C9A5"/>
    <w:rsid w:val="35D854A7"/>
    <w:rsid w:val="35D88B5C"/>
    <w:rsid w:val="35DDEFB5"/>
    <w:rsid w:val="35EA28A8"/>
    <w:rsid w:val="35ED7019"/>
    <w:rsid w:val="35EFA8BD"/>
    <w:rsid w:val="35F45219"/>
    <w:rsid w:val="3600A6B1"/>
    <w:rsid w:val="36176EBA"/>
    <w:rsid w:val="362A36FF"/>
    <w:rsid w:val="362BEA28"/>
    <w:rsid w:val="3639C545"/>
    <w:rsid w:val="363CBD17"/>
    <w:rsid w:val="36400038"/>
    <w:rsid w:val="36469A2C"/>
    <w:rsid w:val="36480D20"/>
    <w:rsid w:val="364D9539"/>
    <w:rsid w:val="364FA1BB"/>
    <w:rsid w:val="3650DD65"/>
    <w:rsid w:val="365170AF"/>
    <w:rsid w:val="3653B24D"/>
    <w:rsid w:val="365711B3"/>
    <w:rsid w:val="3657EB3E"/>
    <w:rsid w:val="3665731D"/>
    <w:rsid w:val="36666BDF"/>
    <w:rsid w:val="36691E19"/>
    <w:rsid w:val="36701121"/>
    <w:rsid w:val="3671284F"/>
    <w:rsid w:val="36713D75"/>
    <w:rsid w:val="368044F6"/>
    <w:rsid w:val="36860109"/>
    <w:rsid w:val="368D574B"/>
    <w:rsid w:val="3691AFF4"/>
    <w:rsid w:val="3692067D"/>
    <w:rsid w:val="369F8961"/>
    <w:rsid w:val="36A04109"/>
    <w:rsid w:val="36A5921B"/>
    <w:rsid w:val="36A6B347"/>
    <w:rsid w:val="36AAFC09"/>
    <w:rsid w:val="36AEF683"/>
    <w:rsid w:val="36B51955"/>
    <w:rsid w:val="36B561CE"/>
    <w:rsid w:val="36BB7F2C"/>
    <w:rsid w:val="36BF59E7"/>
    <w:rsid w:val="36C73475"/>
    <w:rsid w:val="36C7D85D"/>
    <w:rsid w:val="36E297A1"/>
    <w:rsid w:val="36FAE0BC"/>
    <w:rsid w:val="37014817"/>
    <w:rsid w:val="3701E3C2"/>
    <w:rsid w:val="370F69B3"/>
    <w:rsid w:val="371B4CE5"/>
    <w:rsid w:val="3722715E"/>
    <w:rsid w:val="372A046D"/>
    <w:rsid w:val="372EE710"/>
    <w:rsid w:val="373B6DFA"/>
    <w:rsid w:val="374038D8"/>
    <w:rsid w:val="374AC680"/>
    <w:rsid w:val="374DDAF7"/>
    <w:rsid w:val="3753C3E6"/>
    <w:rsid w:val="37565EF4"/>
    <w:rsid w:val="3756A286"/>
    <w:rsid w:val="37579BAA"/>
    <w:rsid w:val="375B97C2"/>
    <w:rsid w:val="37713FA9"/>
    <w:rsid w:val="37721E96"/>
    <w:rsid w:val="37729FE5"/>
    <w:rsid w:val="3774612F"/>
    <w:rsid w:val="3778F5D7"/>
    <w:rsid w:val="377DBBC0"/>
    <w:rsid w:val="378F0356"/>
    <w:rsid w:val="3794C3B7"/>
    <w:rsid w:val="379ACED0"/>
    <w:rsid w:val="37BB7206"/>
    <w:rsid w:val="37BC5F1D"/>
    <w:rsid w:val="37C703BA"/>
    <w:rsid w:val="37CD548E"/>
    <w:rsid w:val="37D09052"/>
    <w:rsid w:val="37D5C278"/>
    <w:rsid w:val="37EB5BB0"/>
    <w:rsid w:val="37F1FB28"/>
    <w:rsid w:val="37F80158"/>
    <w:rsid w:val="37FBAE76"/>
    <w:rsid w:val="380E1E75"/>
    <w:rsid w:val="38168947"/>
    <w:rsid w:val="381FC6E8"/>
    <w:rsid w:val="38205015"/>
    <w:rsid w:val="38243E01"/>
    <w:rsid w:val="38251001"/>
    <w:rsid w:val="38269080"/>
    <w:rsid w:val="3839C90E"/>
    <w:rsid w:val="3844A04C"/>
    <w:rsid w:val="38471520"/>
    <w:rsid w:val="38493773"/>
    <w:rsid w:val="385539F5"/>
    <w:rsid w:val="385DB829"/>
    <w:rsid w:val="38649DE4"/>
    <w:rsid w:val="3866257B"/>
    <w:rsid w:val="38701EE9"/>
    <w:rsid w:val="3875F88B"/>
    <w:rsid w:val="387D0699"/>
    <w:rsid w:val="3880B75A"/>
    <w:rsid w:val="388A5700"/>
    <w:rsid w:val="388BE80C"/>
    <w:rsid w:val="389C7C9D"/>
    <w:rsid w:val="38A543B6"/>
    <w:rsid w:val="38B51895"/>
    <w:rsid w:val="38B5A4FA"/>
    <w:rsid w:val="38BA493B"/>
    <w:rsid w:val="38BF982E"/>
    <w:rsid w:val="38BFBA9C"/>
    <w:rsid w:val="38C82231"/>
    <w:rsid w:val="38C86E7B"/>
    <w:rsid w:val="38DA152E"/>
    <w:rsid w:val="38DB3094"/>
    <w:rsid w:val="38DC8FB3"/>
    <w:rsid w:val="38E39D62"/>
    <w:rsid w:val="38E74AE7"/>
    <w:rsid w:val="38F7AB50"/>
    <w:rsid w:val="39066752"/>
    <w:rsid w:val="390736BF"/>
    <w:rsid w:val="3908DDBC"/>
    <w:rsid w:val="392A32E0"/>
    <w:rsid w:val="3934A457"/>
    <w:rsid w:val="394209B1"/>
    <w:rsid w:val="394C0BEA"/>
    <w:rsid w:val="394F7BE4"/>
    <w:rsid w:val="39636013"/>
    <w:rsid w:val="396A8952"/>
    <w:rsid w:val="39705966"/>
    <w:rsid w:val="39718B6F"/>
    <w:rsid w:val="3972B6AC"/>
    <w:rsid w:val="3979BC82"/>
    <w:rsid w:val="397A1224"/>
    <w:rsid w:val="397AF630"/>
    <w:rsid w:val="397D4FB7"/>
    <w:rsid w:val="397D9525"/>
    <w:rsid w:val="3984A14D"/>
    <w:rsid w:val="398B2A2F"/>
    <w:rsid w:val="398DE813"/>
    <w:rsid w:val="39975FFF"/>
    <w:rsid w:val="39A3492B"/>
    <w:rsid w:val="39A5737E"/>
    <w:rsid w:val="39A80BA1"/>
    <w:rsid w:val="39AA4BE0"/>
    <w:rsid w:val="39AC9355"/>
    <w:rsid w:val="39B2C0D1"/>
    <w:rsid w:val="39BFFA9B"/>
    <w:rsid w:val="39C0A3A2"/>
    <w:rsid w:val="39CBA08B"/>
    <w:rsid w:val="39E5F65D"/>
    <w:rsid w:val="39EAC947"/>
    <w:rsid w:val="39EFAC96"/>
    <w:rsid w:val="39F1184E"/>
    <w:rsid w:val="39F91997"/>
    <w:rsid w:val="39FE2BB7"/>
    <w:rsid w:val="3A076907"/>
    <w:rsid w:val="3A07FDB8"/>
    <w:rsid w:val="3A0A761D"/>
    <w:rsid w:val="3A0EC621"/>
    <w:rsid w:val="3A1823A2"/>
    <w:rsid w:val="3A1A6273"/>
    <w:rsid w:val="3A2E8C51"/>
    <w:rsid w:val="3A32F35C"/>
    <w:rsid w:val="3A3A7479"/>
    <w:rsid w:val="3A3B0DCB"/>
    <w:rsid w:val="3A40BEAE"/>
    <w:rsid w:val="3A45B9B9"/>
    <w:rsid w:val="3A4DA659"/>
    <w:rsid w:val="3A50D93F"/>
    <w:rsid w:val="3A5A14BD"/>
    <w:rsid w:val="3A5BDF73"/>
    <w:rsid w:val="3A5C791D"/>
    <w:rsid w:val="3A5E17F2"/>
    <w:rsid w:val="3A5EA40F"/>
    <w:rsid w:val="3A60BA3C"/>
    <w:rsid w:val="3A6166A5"/>
    <w:rsid w:val="3A6D0444"/>
    <w:rsid w:val="3A75B0AB"/>
    <w:rsid w:val="3A777A40"/>
    <w:rsid w:val="3A809DB0"/>
    <w:rsid w:val="3A8D4191"/>
    <w:rsid w:val="3A914F0D"/>
    <w:rsid w:val="3A920FFB"/>
    <w:rsid w:val="3A953D5A"/>
    <w:rsid w:val="3AA71FEA"/>
    <w:rsid w:val="3AAC56AE"/>
    <w:rsid w:val="3AB01239"/>
    <w:rsid w:val="3AB6B7AD"/>
    <w:rsid w:val="3ABF76EA"/>
    <w:rsid w:val="3AC0D6F4"/>
    <w:rsid w:val="3AC77001"/>
    <w:rsid w:val="3ACFA230"/>
    <w:rsid w:val="3AD31111"/>
    <w:rsid w:val="3AD9BFDB"/>
    <w:rsid w:val="3ADDCD33"/>
    <w:rsid w:val="3AE47336"/>
    <w:rsid w:val="3AF01528"/>
    <w:rsid w:val="3AF95D9C"/>
    <w:rsid w:val="3AFA536E"/>
    <w:rsid w:val="3B00A821"/>
    <w:rsid w:val="3B12065A"/>
    <w:rsid w:val="3B1748CD"/>
    <w:rsid w:val="3B17D687"/>
    <w:rsid w:val="3B1B9117"/>
    <w:rsid w:val="3B2811DC"/>
    <w:rsid w:val="3B2B149E"/>
    <w:rsid w:val="3B2B8FFE"/>
    <w:rsid w:val="3B398B8C"/>
    <w:rsid w:val="3B3B8527"/>
    <w:rsid w:val="3B3BD16B"/>
    <w:rsid w:val="3B3EB21F"/>
    <w:rsid w:val="3B3F3C3E"/>
    <w:rsid w:val="3B423252"/>
    <w:rsid w:val="3B445E2E"/>
    <w:rsid w:val="3B479C3D"/>
    <w:rsid w:val="3B49F46C"/>
    <w:rsid w:val="3B6179E8"/>
    <w:rsid w:val="3B6424AA"/>
    <w:rsid w:val="3B643EC2"/>
    <w:rsid w:val="3B674C25"/>
    <w:rsid w:val="3B7D07B8"/>
    <w:rsid w:val="3B82E001"/>
    <w:rsid w:val="3B86ABFF"/>
    <w:rsid w:val="3B8A29AD"/>
    <w:rsid w:val="3B8E9C90"/>
    <w:rsid w:val="3B902A65"/>
    <w:rsid w:val="3B9449B3"/>
    <w:rsid w:val="3B97FC01"/>
    <w:rsid w:val="3BA7BFAB"/>
    <w:rsid w:val="3BA8984A"/>
    <w:rsid w:val="3BAA9682"/>
    <w:rsid w:val="3BADF6CB"/>
    <w:rsid w:val="3BBD034C"/>
    <w:rsid w:val="3BBE13B1"/>
    <w:rsid w:val="3BBEE3C5"/>
    <w:rsid w:val="3BC452F7"/>
    <w:rsid w:val="3BC9EAFA"/>
    <w:rsid w:val="3BD2D9DB"/>
    <w:rsid w:val="3BD911B6"/>
    <w:rsid w:val="3BD9A638"/>
    <w:rsid w:val="3BDB652B"/>
    <w:rsid w:val="3BE72B55"/>
    <w:rsid w:val="3BEA948E"/>
    <w:rsid w:val="3BEF239F"/>
    <w:rsid w:val="3BEF7475"/>
    <w:rsid w:val="3BF3B1DE"/>
    <w:rsid w:val="3BF4F923"/>
    <w:rsid w:val="3BF4F968"/>
    <w:rsid w:val="3C044032"/>
    <w:rsid w:val="3C164693"/>
    <w:rsid w:val="3C2FDC77"/>
    <w:rsid w:val="3C34CE23"/>
    <w:rsid w:val="3C3610D2"/>
    <w:rsid w:val="3C3D6827"/>
    <w:rsid w:val="3C4A781B"/>
    <w:rsid w:val="3C528926"/>
    <w:rsid w:val="3C588325"/>
    <w:rsid w:val="3C599F0D"/>
    <w:rsid w:val="3C5D6FEE"/>
    <w:rsid w:val="3C60A048"/>
    <w:rsid w:val="3C6526C6"/>
    <w:rsid w:val="3C66B2AD"/>
    <w:rsid w:val="3C674842"/>
    <w:rsid w:val="3C6AA62E"/>
    <w:rsid w:val="3C6FD52D"/>
    <w:rsid w:val="3C79D030"/>
    <w:rsid w:val="3C7D185E"/>
    <w:rsid w:val="3C809CCD"/>
    <w:rsid w:val="3C8AD918"/>
    <w:rsid w:val="3C8F790E"/>
    <w:rsid w:val="3C98D467"/>
    <w:rsid w:val="3C9C0A0A"/>
    <w:rsid w:val="3CA0701B"/>
    <w:rsid w:val="3CA84B08"/>
    <w:rsid w:val="3CAD474C"/>
    <w:rsid w:val="3CB630D2"/>
    <w:rsid w:val="3CBE7A60"/>
    <w:rsid w:val="3CC5A3C9"/>
    <w:rsid w:val="3CC6F4F8"/>
    <w:rsid w:val="3CC89EAF"/>
    <w:rsid w:val="3CCD5CE9"/>
    <w:rsid w:val="3CD3A826"/>
    <w:rsid w:val="3CD609B8"/>
    <w:rsid w:val="3CD652B2"/>
    <w:rsid w:val="3CE51138"/>
    <w:rsid w:val="3CE7B930"/>
    <w:rsid w:val="3CEB6E70"/>
    <w:rsid w:val="3CEE46DB"/>
    <w:rsid w:val="3CF075B6"/>
    <w:rsid w:val="3CF70B9D"/>
    <w:rsid w:val="3CFC4066"/>
    <w:rsid w:val="3D1101DC"/>
    <w:rsid w:val="3D112451"/>
    <w:rsid w:val="3D115384"/>
    <w:rsid w:val="3D16BC04"/>
    <w:rsid w:val="3D188D79"/>
    <w:rsid w:val="3D2CFDCC"/>
    <w:rsid w:val="3D30C1A9"/>
    <w:rsid w:val="3D3BCB70"/>
    <w:rsid w:val="3D40F0F1"/>
    <w:rsid w:val="3D48E2C2"/>
    <w:rsid w:val="3D4E56AF"/>
    <w:rsid w:val="3D50F031"/>
    <w:rsid w:val="3D5706DA"/>
    <w:rsid w:val="3D5D8A5E"/>
    <w:rsid w:val="3D5F0C5C"/>
    <w:rsid w:val="3D5FE03E"/>
    <w:rsid w:val="3D637E1A"/>
    <w:rsid w:val="3D64CBF6"/>
    <w:rsid w:val="3D67E8EA"/>
    <w:rsid w:val="3D70C5CB"/>
    <w:rsid w:val="3D74E217"/>
    <w:rsid w:val="3D7732F3"/>
    <w:rsid w:val="3D798677"/>
    <w:rsid w:val="3D7B5E45"/>
    <w:rsid w:val="3D7CF278"/>
    <w:rsid w:val="3D985AFE"/>
    <w:rsid w:val="3D9B5F52"/>
    <w:rsid w:val="3DA42171"/>
    <w:rsid w:val="3DA917D9"/>
    <w:rsid w:val="3DAEE111"/>
    <w:rsid w:val="3DB00BF7"/>
    <w:rsid w:val="3DB2461C"/>
    <w:rsid w:val="3DB435D6"/>
    <w:rsid w:val="3DC2F512"/>
    <w:rsid w:val="3DCC0777"/>
    <w:rsid w:val="3DD09E84"/>
    <w:rsid w:val="3DD1FBAF"/>
    <w:rsid w:val="3DD95DA4"/>
    <w:rsid w:val="3DD996F8"/>
    <w:rsid w:val="3DE017F2"/>
    <w:rsid w:val="3DE73B06"/>
    <w:rsid w:val="3DF2D69C"/>
    <w:rsid w:val="3DF421BD"/>
    <w:rsid w:val="3DF8CA6F"/>
    <w:rsid w:val="3E07E90C"/>
    <w:rsid w:val="3E1CF3C8"/>
    <w:rsid w:val="3E1F8F71"/>
    <w:rsid w:val="3E213E38"/>
    <w:rsid w:val="3E2651C2"/>
    <w:rsid w:val="3E2B8C9F"/>
    <w:rsid w:val="3E2EAD4A"/>
    <w:rsid w:val="3E3EBBB9"/>
    <w:rsid w:val="3E46077F"/>
    <w:rsid w:val="3E4CBF3B"/>
    <w:rsid w:val="3E4D5BA0"/>
    <w:rsid w:val="3E6510B7"/>
    <w:rsid w:val="3E6733B2"/>
    <w:rsid w:val="3E7292C9"/>
    <w:rsid w:val="3E751434"/>
    <w:rsid w:val="3E775C98"/>
    <w:rsid w:val="3E782232"/>
    <w:rsid w:val="3E7D11A8"/>
    <w:rsid w:val="3E7F40D3"/>
    <w:rsid w:val="3E846A49"/>
    <w:rsid w:val="3E858875"/>
    <w:rsid w:val="3E85A706"/>
    <w:rsid w:val="3E8B631E"/>
    <w:rsid w:val="3E957F48"/>
    <w:rsid w:val="3E9DDFF1"/>
    <w:rsid w:val="3EA02F41"/>
    <w:rsid w:val="3EA54645"/>
    <w:rsid w:val="3EA61A7E"/>
    <w:rsid w:val="3EA7FCBB"/>
    <w:rsid w:val="3EB3EA4D"/>
    <w:rsid w:val="3EB9472A"/>
    <w:rsid w:val="3EC2294D"/>
    <w:rsid w:val="3EC464B3"/>
    <w:rsid w:val="3EC5E150"/>
    <w:rsid w:val="3EC8CE2D"/>
    <w:rsid w:val="3ECA2F0C"/>
    <w:rsid w:val="3ECAECC3"/>
    <w:rsid w:val="3ECE602D"/>
    <w:rsid w:val="3EDD0E32"/>
    <w:rsid w:val="3EE4C3EE"/>
    <w:rsid w:val="3EE6E6C5"/>
    <w:rsid w:val="3EEFDEE7"/>
    <w:rsid w:val="3F0224DB"/>
    <w:rsid w:val="3F03498D"/>
    <w:rsid w:val="3F17753C"/>
    <w:rsid w:val="3F196AC5"/>
    <w:rsid w:val="3F2A6238"/>
    <w:rsid w:val="3F2A73C4"/>
    <w:rsid w:val="3F318915"/>
    <w:rsid w:val="3F40B695"/>
    <w:rsid w:val="3F463DD0"/>
    <w:rsid w:val="3F493DA4"/>
    <w:rsid w:val="3F557513"/>
    <w:rsid w:val="3F576F58"/>
    <w:rsid w:val="3F60C94D"/>
    <w:rsid w:val="3F6952D5"/>
    <w:rsid w:val="3F70DB9B"/>
    <w:rsid w:val="3F85107F"/>
    <w:rsid w:val="3F8A5A81"/>
    <w:rsid w:val="3F8B38A8"/>
    <w:rsid w:val="3F8B7521"/>
    <w:rsid w:val="3F8BA7B2"/>
    <w:rsid w:val="3F8F03C7"/>
    <w:rsid w:val="3F93A744"/>
    <w:rsid w:val="3F93BB4E"/>
    <w:rsid w:val="3FA935DB"/>
    <w:rsid w:val="3FAC4A5C"/>
    <w:rsid w:val="3FB07370"/>
    <w:rsid w:val="3FB0C5C0"/>
    <w:rsid w:val="3FBA1778"/>
    <w:rsid w:val="3FBC83D8"/>
    <w:rsid w:val="3FC37FEF"/>
    <w:rsid w:val="3FC7186B"/>
    <w:rsid w:val="3FCCA015"/>
    <w:rsid w:val="3FCCE64B"/>
    <w:rsid w:val="3FCED09C"/>
    <w:rsid w:val="3FDCD989"/>
    <w:rsid w:val="3FE0163A"/>
    <w:rsid w:val="3FEAF7B2"/>
    <w:rsid w:val="3FF251CF"/>
    <w:rsid w:val="4002DDE4"/>
    <w:rsid w:val="4006C05B"/>
    <w:rsid w:val="4013B71A"/>
    <w:rsid w:val="4017CF51"/>
    <w:rsid w:val="40189F14"/>
    <w:rsid w:val="401A320A"/>
    <w:rsid w:val="40220230"/>
    <w:rsid w:val="4024F95F"/>
    <w:rsid w:val="402770B5"/>
    <w:rsid w:val="402B740E"/>
    <w:rsid w:val="40341207"/>
    <w:rsid w:val="403A4331"/>
    <w:rsid w:val="403DF4D7"/>
    <w:rsid w:val="403F513A"/>
    <w:rsid w:val="403F87F3"/>
    <w:rsid w:val="40409986"/>
    <w:rsid w:val="40460509"/>
    <w:rsid w:val="405A1998"/>
    <w:rsid w:val="40628FBB"/>
    <w:rsid w:val="407322F0"/>
    <w:rsid w:val="407662BF"/>
    <w:rsid w:val="407CF227"/>
    <w:rsid w:val="408318D6"/>
    <w:rsid w:val="40855416"/>
    <w:rsid w:val="408866E0"/>
    <w:rsid w:val="409A0BA2"/>
    <w:rsid w:val="40A3FACC"/>
    <w:rsid w:val="40BE05B1"/>
    <w:rsid w:val="40C45566"/>
    <w:rsid w:val="40C9ABF1"/>
    <w:rsid w:val="40CAFC0B"/>
    <w:rsid w:val="40D22F65"/>
    <w:rsid w:val="40D42CD2"/>
    <w:rsid w:val="40D607EF"/>
    <w:rsid w:val="40D61F45"/>
    <w:rsid w:val="40D9F51A"/>
    <w:rsid w:val="40DF1F81"/>
    <w:rsid w:val="40F4DE19"/>
    <w:rsid w:val="40FC0AF6"/>
    <w:rsid w:val="41003FFB"/>
    <w:rsid w:val="41052336"/>
    <w:rsid w:val="41063B86"/>
    <w:rsid w:val="41108338"/>
    <w:rsid w:val="41163027"/>
    <w:rsid w:val="4117B8B4"/>
    <w:rsid w:val="41205593"/>
    <w:rsid w:val="41298FD5"/>
    <w:rsid w:val="412A922F"/>
    <w:rsid w:val="4138ADEF"/>
    <w:rsid w:val="413C2B3C"/>
    <w:rsid w:val="413FA69A"/>
    <w:rsid w:val="414686E6"/>
    <w:rsid w:val="414695AC"/>
    <w:rsid w:val="4146E6D4"/>
    <w:rsid w:val="41513EB4"/>
    <w:rsid w:val="4155A2FB"/>
    <w:rsid w:val="416AC1E9"/>
    <w:rsid w:val="416B8CCE"/>
    <w:rsid w:val="416E6658"/>
    <w:rsid w:val="41728D5A"/>
    <w:rsid w:val="417B129F"/>
    <w:rsid w:val="417C4758"/>
    <w:rsid w:val="417D95A5"/>
    <w:rsid w:val="4181198B"/>
    <w:rsid w:val="4184B21B"/>
    <w:rsid w:val="418A2BEC"/>
    <w:rsid w:val="418CF905"/>
    <w:rsid w:val="418E1FDD"/>
    <w:rsid w:val="418F00F7"/>
    <w:rsid w:val="4191B4AE"/>
    <w:rsid w:val="41933309"/>
    <w:rsid w:val="41933461"/>
    <w:rsid w:val="4198E471"/>
    <w:rsid w:val="41AA707F"/>
    <w:rsid w:val="41AD9849"/>
    <w:rsid w:val="41B96809"/>
    <w:rsid w:val="41BDD258"/>
    <w:rsid w:val="41C2868A"/>
    <w:rsid w:val="41C36B93"/>
    <w:rsid w:val="41C86B5F"/>
    <w:rsid w:val="41C9407E"/>
    <w:rsid w:val="41D09868"/>
    <w:rsid w:val="41DF0EDC"/>
    <w:rsid w:val="41DFFE7D"/>
    <w:rsid w:val="41E1BB3D"/>
    <w:rsid w:val="41EAD047"/>
    <w:rsid w:val="41F17A12"/>
    <w:rsid w:val="41F745E5"/>
    <w:rsid w:val="41FE287F"/>
    <w:rsid w:val="4200C30E"/>
    <w:rsid w:val="42123320"/>
    <w:rsid w:val="42247871"/>
    <w:rsid w:val="422C64DC"/>
    <w:rsid w:val="4236D6B6"/>
    <w:rsid w:val="42420F49"/>
    <w:rsid w:val="42435EE3"/>
    <w:rsid w:val="4248533A"/>
    <w:rsid w:val="4250D9AE"/>
    <w:rsid w:val="4251CC4B"/>
    <w:rsid w:val="4256BEE1"/>
    <w:rsid w:val="4262F59C"/>
    <w:rsid w:val="426F7FEF"/>
    <w:rsid w:val="4270FD99"/>
    <w:rsid w:val="427E0712"/>
    <w:rsid w:val="4288FA85"/>
    <w:rsid w:val="428CE6F3"/>
    <w:rsid w:val="42914A02"/>
    <w:rsid w:val="42A8274A"/>
    <w:rsid w:val="42B38915"/>
    <w:rsid w:val="42B9BA73"/>
    <w:rsid w:val="42BBCF6D"/>
    <w:rsid w:val="42BC9EB6"/>
    <w:rsid w:val="42C948BF"/>
    <w:rsid w:val="42D95399"/>
    <w:rsid w:val="42E0A7B6"/>
    <w:rsid w:val="42E80639"/>
    <w:rsid w:val="42E9B185"/>
    <w:rsid w:val="42E9CCCB"/>
    <w:rsid w:val="42F1294E"/>
    <w:rsid w:val="42F98450"/>
    <w:rsid w:val="42FD5AD3"/>
    <w:rsid w:val="43000D52"/>
    <w:rsid w:val="430406F7"/>
    <w:rsid w:val="430B4C84"/>
    <w:rsid w:val="430E98A1"/>
    <w:rsid w:val="4314FC66"/>
    <w:rsid w:val="43152A13"/>
    <w:rsid w:val="431AD96F"/>
    <w:rsid w:val="431B8DF2"/>
    <w:rsid w:val="43256D4B"/>
    <w:rsid w:val="4337A942"/>
    <w:rsid w:val="4338AD57"/>
    <w:rsid w:val="433976C1"/>
    <w:rsid w:val="4339F512"/>
    <w:rsid w:val="433B95F4"/>
    <w:rsid w:val="433CA5EC"/>
    <w:rsid w:val="433EF73A"/>
    <w:rsid w:val="4345BF83"/>
    <w:rsid w:val="43491900"/>
    <w:rsid w:val="436F070B"/>
    <w:rsid w:val="436FF725"/>
    <w:rsid w:val="4370AD03"/>
    <w:rsid w:val="43767A29"/>
    <w:rsid w:val="43861601"/>
    <w:rsid w:val="438AA8BF"/>
    <w:rsid w:val="439C3F50"/>
    <w:rsid w:val="439C641D"/>
    <w:rsid w:val="43A3A522"/>
    <w:rsid w:val="43AD8AAF"/>
    <w:rsid w:val="43B2BA5C"/>
    <w:rsid w:val="43C4CC04"/>
    <w:rsid w:val="43C8B51E"/>
    <w:rsid w:val="43CF0CFC"/>
    <w:rsid w:val="43D262F7"/>
    <w:rsid w:val="43DD5A6F"/>
    <w:rsid w:val="43E6EC88"/>
    <w:rsid w:val="43EA7297"/>
    <w:rsid w:val="43EE1014"/>
    <w:rsid w:val="43F55A70"/>
    <w:rsid w:val="4404FA38"/>
    <w:rsid w:val="4415D108"/>
    <w:rsid w:val="4430715E"/>
    <w:rsid w:val="44332BA9"/>
    <w:rsid w:val="4434FF8D"/>
    <w:rsid w:val="4437EEC8"/>
    <w:rsid w:val="443F1AB5"/>
    <w:rsid w:val="44420687"/>
    <w:rsid w:val="444B6667"/>
    <w:rsid w:val="4450E64C"/>
    <w:rsid w:val="4466374F"/>
    <w:rsid w:val="44675AE6"/>
    <w:rsid w:val="44852915"/>
    <w:rsid w:val="4497E661"/>
    <w:rsid w:val="449C20A6"/>
    <w:rsid w:val="449F37B0"/>
    <w:rsid w:val="44A0AA10"/>
    <w:rsid w:val="44B0CCC7"/>
    <w:rsid w:val="44B7F91C"/>
    <w:rsid w:val="44B8BA4D"/>
    <w:rsid w:val="44BE3647"/>
    <w:rsid w:val="44C5B36F"/>
    <w:rsid w:val="44CAD523"/>
    <w:rsid w:val="44CEAD45"/>
    <w:rsid w:val="44CFA334"/>
    <w:rsid w:val="44D3B550"/>
    <w:rsid w:val="44D6A485"/>
    <w:rsid w:val="44D91DAD"/>
    <w:rsid w:val="44DBB0E5"/>
    <w:rsid w:val="44E6AFE7"/>
    <w:rsid w:val="44E7FCC7"/>
    <w:rsid w:val="44E9DA6B"/>
    <w:rsid w:val="44EC26F3"/>
    <w:rsid w:val="44F1538B"/>
    <w:rsid w:val="44FC12E5"/>
    <w:rsid w:val="44FC9686"/>
    <w:rsid w:val="44FE3084"/>
    <w:rsid w:val="4509FC95"/>
    <w:rsid w:val="450BF691"/>
    <w:rsid w:val="4510CB50"/>
    <w:rsid w:val="4517AF81"/>
    <w:rsid w:val="451F0D88"/>
    <w:rsid w:val="4521FAED"/>
    <w:rsid w:val="45258E89"/>
    <w:rsid w:val="45267920"/>
    <w:rsid w:val="453A1E50"/>
    <w:rsid w:val="4556B76B"/>
    <w:rsid w:val="455F97D6"/>
    <w:rsid w:val="45696C41"/>
    <w:rsid w:val="456DED19"/>
    <w:rsid w:val="457691D4"/>
    <w:rsid w:val="45770B9F"/>
    <w:rsid w:val="457CCFB9"/>
    <w:rsid w:val="4586FD04"/>
    <w:rsid w:val="459D2277"/>
    <w:rsid w:val="45A842D0"/>
    <w:rsid w:val="45AFAD55"/>
    <w:rsid w:val="45B8123C"/>
    <w:rsid w:val="45BD8AEC"/>
    <w:rsid w:val="45C0B086"/>
    <w:rsid w:val="45C3CC8A"/>
    <w:rsid w:val="45C77BE6"/>
    <w:rsid w:val="45CAA1CB"/>
    <w:rsid w:val="45DBB338"/>
    <w:rsid w:val="45E8CD5B"/>
    <w:rsid w:val="45EB29D7"/>
    <w:rsid w:val="45EBB0EB"/>
    <w:rsid w:val="45EEE442"/>
    <w:rsid w:val="45FC8CB0"/>
    <w:rsid w:val="45FCCDA3"/>
    <w:rsid w:val="4600A094"/>
    <w:rsid w:val="4600BD7C"/>
    <w:rsid w:val="46045234"/>
    <w:rsid w:val="460C1DA0"/>
    <w:rsid w:val="4618BCEE"/>
    <w:rsid w:val="461FFF06"/>
    <w:rsid w:val="46271F9A"/>
    <w:rsid w:val="46374781"/>
    <w:rsid w:val="4637F107"/>
    <w:rsid w:val="463C41DA"/>
    <w:rsid w:val="465060FA"/>
    <w:rsid w:val="465098E2"/>
    <w:rsid w:val="46570B29"/>
    <w:rsid w:val="465DFE1D"/>
    <w:rsid w:val="466FF5CA"/>
    <w:rsid w:val="467AF0EC"/>
    <w:rsid w:val="468216DA"/>
    <w:rsid w:val="46837EAC"/>
    <w:rsid w:val="468D03F0"/>
    <w:rsid w:val="46914300"/>
    <w:rsid w:val="4693959F"/>
    <w:rsid w:val="4693B7B4"/>
    <w:rsid w:val="469E4FD0"/>
    <w:rsid w:val="469ED3D5"/>
    <w:rsid w:val="46A024A4"/>
    <w:rsid w:val="46A268C4"/>
    <w:rsid w:val="46A9D88C"/>
    <w:rsid w:val="46B50C64"/>
    <w:rsid w:val="46BCCB07"/>
    <w:rsid w:val="46BDBEF5"/>
    <w:rsid w:val="46BEDBF3"/>
    <w:rsid w:val="46C05812"/>
    <w:rsid w:val="46D3DF2D"/>
    <w:rsid w:val="46D9B954"/>
    <w:rsid w:val="46E4CE92"/>
    <w:rsid w:val="46E509A2"/>
    <w:rsid w:val="46ED98F7"/>
    <w:rsid w:val="46EE8FDB"/>
    <w:rsid w:val="46F36F8E"/>
    <w:rsid w:val="46F3FA55"/>
    <w:rsid w:val="46F9A559"/>
    <w:rsid w:val="47000E1F"/>
    <w:rsid w:val="47078CFF"/>
    <w:rsid w:val="470992F6"/>
    <w:rsid w:val="47110C68"/>
    <w:rsid w:val="4711E744"/>
    <w:rsid w:val="4712FB92"/>
    <w:rsid w:val="47244BAF"/>
    <w:rsid w:val="47278907"/>
    <w:rsid w:val="472A42DE"/>
    <w:rsid w:val="473258AB"/>
    <w:rsid w:val="473879A5"/>
    <w:rsid w:val="4739F80B"/>
    <w:rsid w:val="4742601D"/>
    <w:rsid w:val="4745679E"/>
    <w:rsid w:val="474DC765"/>
    <w:rsid w:val="475D4B3B"/>
    <w:rsid w:val="476314B7"/>
    <w:rsid w:val="4766088A"/>
    <w:rsid w:val="4766FA0C"/>
    <w:rsid w:val="47682095"/>
    <w:rsid w:val="476A451E"/>
    <w:rsid w:val="47702836"/>
    <w:rsid w:val="477508B8"/>
    <w:rsid w:val="4776B718"/>
    <w:rsid w:val="478F8D44"/>
    <w:rsid w:val="4794BE7A"/>
    <w:rsid w:val="47975C40"/>
    <w:rsid w:val="479DD538"/>
    <w:rsid w:val="47B4AF8E"/>
    <w:rsid w:val="47BBE112"/>
    <w:rsid w:val="47C671B7"/>
    <w:rsid w:val="47C7F037"/>
    <w:rsid w:val="47CDFF90"/>
    <w:rsid w:val="47CEB153"/>
    <w:rsid w:val="47DA8E1B"/>
    <w:rsid w:val="47DC1DEF"/>
    <w:rsid w:val="47E17732"/>
    <w:rsid w:val="47EEA04D"/>
    <w:rsid w:val="47EF160D"/>
    <w:rsid w:val="4807AD4E"/>
    <w:rsid w:val="4809A506"/>
    <w:rsid w:val="480B2ED4"/>
    <w:rsid w:val="481264DA"/>
    <w:rsid w:val="4812C7B4"/>
    <w:rsid w:val="48277B35"/>
    <w:rsid w:val="482995F1"/>
    <w:rsid w:val="482B554B"/>
    <w:rsid w:val="48305554"/>
    <w:rsid w:val="48343748"/>
    <w:rsid w:val="4836B65B"/>
    <w:rsid w:val="4838C4C4"/>
    <w:rsid w:val="483A4707"/>
    <w:rsid w:val="483CF9F5"/>
    <w:rsid w:val="484168C2"/>
    <w:rsid w:val="4844EC85"/>
    <w:rsid w:val="4846A502"/>
    <w:rsid w:val="4853A985"/>
    <w:rsid w:val="485664EB"/>
    <w:rsid w:val="48574F9A"/>
    <w:rsid w:val="48575460"/>
    <w:rsid w:val="4857E8F5"/>
    <w:rsid w:val="48580742"/>
    <w:rsid w:val="48628F8A"/>
    <w:rsid w:val="4863A527"/>
    <w:rsid w:val="4868C87C"/>
    <w:rsid w:val="486EC6CD"/>
    <w:rsid w:val="487393FD"/>
    <w:rsid w:val="48745D1D"/>
    <w:rsid w:val="48822700"/>
    <w:rsid w:val="488424CB"/>
    <w:rsid w:val="4887E9A4"/>
    <w:rsid w:val="488AA9A0"/>
    <w:rsid w:val="488D2086"/>
    <w:rsid w:val="48958343"/>
    <w:rsid w:val="48A2CEE7"/>
    <w:rsid w:val="48B02F78"/>
    <w:rsid w:val="48B0DFF6"/>
    <w:rsid w:val="48B136AF"/>
    <w:rsid w:val="48B862AF"/>
    <w:rsid w:val="48BCDD20"/>
    <w:rsid w:val="48D1903E"/>
    <w:rsid w:val="48D1A1E7"/>
    <w:rsid w:val="48D4515E"/>
    <w:rsid w:val="48D5AA55"/>
    <w:rsid w:val="48E15A33"/>
    <w:rsid w:val="48F14645"/>
    <w:rsid w:val="48F31C56"/>
    <w:rsid w:val="48FD2643"/>
    <w:rsid w:val="490717E6"/>
    <w:rsid w:val="4907AED0"/>
    <w:rsid w:val="490DFD95"/>
    <w:rsid w:val="49115C84"/>
    <w:rsid w:val="4911AD50"/>
    <w:rsid w:val="4917986E"/>
    <w:rsid w:val="49247A4D"/>
    <w:rsid w:val="49257C38"/>
    <w:rsid w:val="4929FD4E"/>
    <w:rsid w:val="49389D14"/>
    <w:rsid w:val="493C8771"/>
    <w:rsid w:val="49501867"/>
    <w:rsid w:val="4953F217"/>
    <w:rsid w:val="4958AAFF"/>
    <w:rsid w:val="4962DE57"/>
    <w:rsid w:val="496A5CE9"/>
    <w:rsid w:val="496E15FC"/>
    <w:rsid w:val="49720361"/>
    <w:rsid w:val="4975BBAE"/>
    <w:rsid w:val="4980F6CA"/>
    <w:rsid w:val="498DBAC8"/>
    <w:rsid w:val="49936545"/>
    <w:rsid w:val="4994CE55"/>
    <w:rsid w:val="499CB6A2"/>
    <w:rsid w:val="49A44FA7"/>
    <w:rsid w:val="49A450F5"/>
    <w:rsid w:val="49A6635A"/>
    <w:rsid w:val="49A7319B"/>
    <w:rsid w:val="49AFEE8E"/>
    <w:rsid w:val="49B1E46E"/>
    <w:rsid w:val="49BE85C7"/>
    <w:rsid w:val="49C142C6"/>
    <w:rsid w:val="49C40560"/>
    <w:rsid w:val="49C46006"/>
    <w:rsid w:val="49C52C72"/>
    <w:rsid w:val="49CCC0FC"/>
    <w:rsid w:val="49D962BD"/>
    <w:rsid w:val="49E27563"/>
    <w:rsid w:val="49EFB4C2"/>
    <w:rsid w:val="49F0BCEB"/>
    <w:rsid w:val="49F635A9"/>
    <w:rsid w:val="49FDCC63"/>
    <w:rsid w:val="49FED802"/>
    <w:rsid w:val="49FFFC1B"/>
    <w:rsid w:val="4A009A7A"/>
    <w:rsid w:val="4A02F5A1"/>
    <w:rsid w:val="4A04013A"/>
    <w:rsid w:val="4A05CE52"/>
    <w:rsid w:val="4A0A1C4B"/>
    <w:rsid w:val="4A0FD3C8"/>
    <w:rsid w:val="4A102D7E"/>
    <w:rsid w:val="4A12625C"/>
    <w:rsid w:val="4A14E300"/>
    <w:rsid w:val="4A151497"/>
    <w:rsid w:val="4A18360F"/>
    <w:rsid w:val="4A318E23"/>
    <w:rsid w:val="4A32F9EF"/>
    <w:rsid w:val="4A379EF4"/>
    <w:rsid w:val="4A41D862"/>
    <w:rsid w:val="4A4E70C8"/>
    <w:rsid w:val="4A5054D8"/>
    <w:rsid w:val="4A545DA3"/>
    <w:rsid w:val="4A574991"/>
    <w:rsid w:val="4A5928D3"/>
    <w:rsid w:val="4A59564E"/>
    <w:rsid w:val="4A603EDB"/>
    <w:rsid w:val="4A612C3E"/>
    <w:rsid w:val="4A625094"/>
    <w:rsid w:val="4A66DD6A"/>
    <w:rsid w:val="4A7B655D"/>
    <w:rsid w:val="4A902322"/>
    <w:rsid w:val="4A95F92F"/>
    <w:rsid w:val="4A98EF41"/>
    <w:rsid w:val="4A9B8DAF"/>
    <w:rsid w:val="4A9FC157"/>
    <w:rsid w:val="4AA9D623"/>
    <w:rsid w:val="4AB77066"/>
    <w:rsid w:val="4AB86283"/>
    <w:rsid w:val="4ABE9AFA"/>
    <w:rsid w:val="4AC3C7CE"/>
    <w:rsid w:val="4AC43594"/>
    <w:rsid w:val="4AC573FA"/>
    <w:rsid w:val="4AC9619A"/>
    <w:rsid w:val="4ACC8B92"/>
    <w:rsid w:val="4ACE5277"/>
    <w:rsid w:val="4AD6C97B"/>
    <w:rsid w:val="4AE3034B"/>
    <w:rsid w:val="4AE6CA25"/>
    <w:rsid w:val="4AEAA656"/>
    <w:rsid w:val="4AFAAC5D"/>
    <w:rsid w:val="4AFD7529"/>
    <w:rsid w:val="4AFE8809"/>
    <w:rsid w:val="4AFECB0B"/>
    <w:rsid w:val="4AFF4B24"/>
    <w:rsid w:val="4B008047"/>
    <w:rsid w:val="4B0AFD27"/>
    <w:rsid w:val="4B0B1C67"/>
    <w:rsid w:val="4B0EF07E"/>
    <w:rsid w:val="4B13BC4F"/>
    <w:rsid w:val="4B1ACC85"/>
    <w:rsid w:val="4B1C142F"/>
    <w:rsid w:val="4B2262C2"/>
    <w:rsid w:val="4B27FBD1"/>
    <w:rsid w:val="4B2F35A6"/>
    <w:rsid w:val="4B313041"/>
    <w:rsid w:val="4B383229"/>
    <w:rsid w:val="4B4094F0"/>
    <w:rsid w:val="4B6A7813"/>
    <w:rsid w:val="4B837E3F"/>
    <w:rsid w:val="4B845CEF"/>
    <w:rsid w:val="4B9A8339"/>
    <w:rsid w:val="4B9B0076"/>
    <w:rsid w:val="4B9B1819"/>
    <w:rsid w:val="4BA1A8FF"/>
    <w:rsid w:val="4BA5FED0"/>
    <w:rsid w:val="4BA75135"/>
    <w:rsid w:val="4BB905D8"/>
    <w:rsid w:val="4BC02A83"/>
    <w:rsid w:val="4BC1BC52"/>
    <w:rsid w:val="4BCAA895"/>
    <w:rsid w:val="4BCC32F2"/>
    <w:rsid w:val="4BCFC52F"/>
    <w:rsid w:val="4BDA836B"/>
    <w:rsid w:val="4BE34402"/>
    <w:rsid w:val="4BFCE6C6"/>
    <w:rsid w:val="4C008003"/>
    <w:rsid w:val="4C1F2B64"/>
    <w:rsid w:val="4C1F713E"/>
    <w:rsid w:val="4C1FD7EE"/>
    <w:rsid w:val="4C227E8A"/>
    <w:rsid w:val="4C240D98"/>
    <w:rsid w:val="4C2666BD"/>
    <w:rsid w:val="4C2C6E9C"/>
    <w:rsid w:val="4C2CC298"/>
    <w:rsid w:val="4C30E2A6"/>
    <w:rsid w:val="4C31B01E"/>
    <w:rsid w:val="4C364705"/>
    <w:rsid w:val="4C37F21C"/>
    <w:rsid w:val="4C397EEF"/>
    <w:rsid w:val="4C3C1888"/>
    <w:rsid w:val="4C408BDB"/>
    <w:rsid w:val="4C4FEE4D"/>
    <w:rsid w:val="4C5359FE"/>
    <w:rsid w:val="4C545FE6"/>
    <w:rsid w:val="4C5A6B5B"/>
    <w:rsid w:val="4C5A8A5C"/>
    <w:rsid w:val="4C694F25"/>
    <w:rsid w:val="4C79FE59"/>
    <w:rsid w:val="4C7F96DE"/>
    <w:rsid w:val="4C860817"/>
    <w:rsid w:val="4C8D86E6"/>
    <w:rsid w:val="4C964C11"/>
    <w:rsid w:val="4CA4D0FD"/>
    <w:rsid w:val="4CAD594D"/>
    <w:rsid w:val="4CC65DC7"/>
    <w:rsid w:val="4CC96CD4"/>
    <w:rsid w:val="4CCFFA00"/>
    <w:rsid w:val="4CD191CC"/>
    <w:rsid w:val="4CDB2AA5"/>
    <w:rsid w:val="4CDF9CEF"/>
    <w:rsid w:val="4CE0FECD"/>
    <w:rsid w:val="4CE63BBB"/>
    <w:rsid w:val="4CEF0007"/>
    <w:rsid w:val="4CFAECE1"/>
    <w:rsid w:val="4CFB973B"/>
    <w:rsid w:val="4CFD3763"/>
    <w:rsid w:val="4D0118E2"/>
    <w:rsid w:val="4D017774"/>
    <w:rsid w:val="4D0A8015"/>
    <w:rsid w:val="4D0CF64B"/>
    <w:rsid w:val="4D14765B"/>
    <w:rsid w:val="4D17322F"/>
    <w:rsid w:val="4D1A4BAF"/>
    <w:rsid w:val="4D1B76CA"/>
    <w:rsid w:val="4D1DF896"/>
    <w:rsid w:val="4D226046"/>
    <w:rsid w:val="4D2869FD"/>
    <w:rsid w:val="4D3D533B"/>
    <w:rsid w:val="4D3FC861"/>
    <w:rsid w:val="4D4110C2"/>
    <w:rsid w:val="4D471781"/>
    <w:rsid w:val="4D4C0BFD"/>
    <w:rsid w:val="4D52FAAC"/>
    <w:rsid w:val="4D67A095"/>
    <w:rsid w:val="4D7019BE"/>
    <w:rsid w:val="4D70D3C6"/>
    <w:rsid w:val="4D77305E"/>
    <w:rsid w:val="4D7F5485"/>
    <w:rsid w:val="4D85E926"/>
    <w:rsid w:val="4D861022"/>
    <w:rsid w:val="4D8AA5D1"/>
    <w:rsid w:val="4D8C430C"/>
    <w:rsid w:val="4D8E9AEB"/>
    <w:rsid w:val="4D972934"/>
    <w:rsid w:val="4D978A10"/>
    <w:rsid w:val="4D99B73B"/>
    <w:rsid w:val="4DABDC7E"/>
    <w:rsid w:val="4DAE430F"/>
    <w:rsid w:val="4DAF3126"/>
    <w:rsid w:val="4DB3AE57"/>
    <w:rsid w:val="4DB3CA04"/>
    <w:rsid w:val="4DB4DF17"/>
    <w:rsid w:val="4DB8126A"/>
    <w:rsid w:val="4DB977C9"/>
    <w:rsid w:val="4DB9F4D9"/>
    <w:rsid w:val="4DBB2007"/>
    <w:rsid w:val="4DBFDDF9"/>
    <w:rsid w:val="4DC1BDDD"/>
    <w:rsid w:val="4DC5BAFB"/>
    <w:rsid w:val="4DC7678A"/>
    <w:rsid w:val="4DD3326D"/>
    <w:rsid w:val="4DE443C4"/>
    <w:rsid w:val="4DE4FC0F"/>
    <w:rsid w:val="4DE7F045"/>
    <w:rsid w:val="4DE8E46C"/>
    <w:rsid w:val="4DEAA04A"/>
    <w:rsid w:val="4DEDC6D2"/>
    <w:rsid w:val="4DEF7C15"/>
    <w:rsid w:val="4DFAEDD2"/>
    <w:rsid w:val="4E041D38"/>
    <w:rsid w:val="4E06758D"/>
    <w:rsid w:val="4E0E3863"/>
    <w:rsid w:val="4E1694CF"/>
    <w:rsid w:val="4E1C0640"/>
    <w:rsid w:val="4E2019B3"/>
    <w:rsid w:val="4E21E18F"/>
    <w:rsid w:val="4E33034C"/>
    <w:rsid w:val="4E3512B6"/>
    <w:rsid w:val="4E438B85"/>
    <w:rsid w:val="4E5548CB"/>
    <w:rsid w:val="4E61A63D"/>
    <w:rsid w:val="4E658F0C"/>
    <w:rsid w:val="4E67826B"/>
    <w:rsid w:val="4E6C9734"/>
    <w:rsid w:val="4E77EA5E"/>
    <w:rsid w:val="4E8032A9"/>
    <w:rsid w:val="4E805605"/>
    <w:rsid w:val="4E9777CD"/>
    <w:rsid w:val="4E97DD7B"/>
    <w:rsid w:val="4EA0A317"/>
    <w:rsid w:val="4EA73256"/>
    <w:rsid w:val="4EA98611"/>
    <w:rsid w:val="4EAE8185"/>
    <w:rsid w:val="4EBA65A1"/>
    <w:rsid w:val="4EBF3B85"/>
    <w:rsid w:val="4EC3875D"/>
    <w:rsid w:val="4EC3FAA3"/>
    <w:rsid w:val="4EC6D10F"/>
    <w:rsid w:val="4ED3D167"/>
    <w:rsid w:val="4ED68DE2"/>
    <w:rsid w:val="4EDEF1F7"/>
    <w:rsid w:val="4EDF8323"/>
    <w:rsid w:val="4EE53A2F"/>
    <w:rsid w:val="4EEF8A65"/>
    <w:rsid w:val="4EF2814B"/>
    <w:rsid w:val="4EF7F254"/>
    <w:rsid w:val="4F08CA82"/>
    <w:rsid w:val="4F0D2041"/>
    <w:rsid w:val="4F101287"/>
    <w:rsid w:val="4F18B6AC"/>
    <w:rsid w:val="4F1A29B7"/>
    <w:rsid w:val="4F223611"/>
    <w:rsid w:val="4F2919C3"/>
    <w:rsid w:val="4F2966C0"/>
    <w:rsid w:val="4F2C2E6A"/>
    <w:rsid w:val="4F2FDE24"/>
    <w:rsid w:val="4F36B294"/>
    <w:rsid w:val="4F37D9B3"/>
    <w:rsid w:val="4F44D998"/>
    <w:rsid w:val="4F462946"/>
    <w:rsid w:val="4F479C0F"/>
    <w:rsid w:val="4F48CD6C"/>
    <w:rsid w:val="4F5A0A1D"/>
    <w:rsid w:val="4F62AD26"/>
    <w:rsid w:val="4F6777B0"/>
    <w:rsid w:val="4F7A3F8D"/>
    <w:rsid w:val="4F8531B6"/>
    <w:rsid w:val="4F8B88E8"/>
    <w:rsid w:val="4F8FC634"/>
    <w:rsid w:val="4F92E748"/>
    <w:rsid w:val="4F983EA2"/>
    <w:rsid w:val="4F9BBA4A"/>
    <w:rsid w:val="4FA7B040"/>
    <w:rsid w:val="4FB19918"/>
    <w:rsid w:val="4FBEF2EF"/>
    <w:rsid w:val="4FBFDA75"/>
    <w:rsid w:val="4FC3C606"/>
    <w:rsid w:val="4FC4904D"/>
    <w:rsid w:val="4FD30B1A"/>
    <w:rsid w:val="4FD4D3C7"/>
    <w:rsid w:val="4FE8E380"/>
    <w:rsid w:val="4FE92E13"/>
    <w:rsid w:val="4FEB31DC"/>
    <w:rsid w:val="4FF3AB38"/>
    <w:rsid w:val="4FF8A5EB"/>
    <w:rsid w:val="4FF8A6B6"/>
    <w:rsid w:val="500170D8"/>
    <w:rsid w:val="50049EFB"/>
    <w:rsid w:val="5004D60A"/>
    <w:rsid w:val="50061B78"/>
    <w:rsid w:val="50095C74"/>
    <w:rsid w:val="500B3069"/>
    <w:rsid w:val="500F7148"/>
    <w:rsid w:val="50131D7E"/>
    <w:rsid w:val="5014D54F"/>
    <w:rsid w:val="50168EC9"/>
    <w:rsid w:val="501FB3F7"/>
    <w:rsid w:val="502C1C0D"/>
    <w:rsid w:val="50384009"/>
    <w:rsid w:val="50406C73"/>
    <w:rsid w:val="5050935F"/>
    <w:rsid w:val="5057A258"/>
    <w:rsid w:val="505A96A9"/>
    <w:rsid w:val="506052B1"/>
    <w:rsid w:val="506A6A4B"/>
    <w:rsid w:val="5076A62D"/>
    <w:rsid w:val="507968EE"/>
    <w:rsid w:val="507B5976"/>
    <w:rsid w:val="508B0686"/>
    <w:rsid w:val="508DF00D"/>
    <w:rsid w:val="50946BD0"/>
    <w:rsid w:val="5095EA64"/>
    <w:rsid w:val="5095FD0F"/>
    <w:rsid w:val="50B4D739"/>
    <w:rsid w:val="50BECB11"/>
    <w:rsid w:val="50C78C7D"/>
    <w:rsid w:val="50C79A83"/>
    <w:rsid w:val="50CA3521"/>
    <w:rsid w:val="50D257F2"/>
    <w:rsid w:val="50D289E4"/>
    <w:rsid w:val="50D344BA"/>
    <w:rsid w:val="50D85F78"/>
    <w:rsid w:val="50DA4540"/>
    <w:rsid w:val="50EFFCDA"/>
    <w:rsid w:val="50F34F14"/>
    <w:rsid w:val="50F88654"/>
    <w:rsid w:val="510E10A7"/>
    <w:rsid w:val="510E9AE4"/>
    <w:rsid w:val="5111DA0D"/>
    <w:rsid w:val="5112C0B5"/>
    <w:rsid w:val="511F5220"/>
    <w:rsid w:val="51321250"/>
    <w:rsid w:val="5135CA04"/>
    <w:rsid w:val="513657B0"/>
    <w:rsid w:val="51365DA9"/>
    <w:rsid w:val="5137C7E5"/>
    <w:rsid w:val="5142E9C8"/>
    <w:rsid w:val="51489E0B"/>
    <w:rsid w:val="514A22B7"/>
    <w:rsid w:val="514EAE4A"/>
    <w:rsid w:val="514FB373"/>
    <w:rsid w:val="51531606"/>
    <w:rsid w:val="51555CEE"/>
    <w:rsid w:val="51572070"/>
    <w:rsid w:val="515DBE80"/>
    <w:rsid w:val="51629AF4"/>
    <w:rsid w:val="51680A3F"/>
    <w:rsid w:val="5168885B"/>
    <w:rsid w:val="5169DD2E"/>
    <w:rsid w:val="5178AE2C"/>
    <w:rsid w:val="517BC077"/>
    <w:rsid w:val="5181C588"/>
    <w:rsid w:val="5182ED46"/>
    <w:rsid w:val="518C6060"/>
    <w:rsid w:val="518F6AA0"/>
    <w:rsid w:val="5199DCEB"/>
    <w:rsid w:val="519AF5E4"/>
    <w:rsid w:val="519C71CB"/>
    <w:rsid w:val="51A231BA"/>
    <w:rsid w:val="51A34EA7"/>
    <w:rsid w:val="51A52DE8"/>
    <w:rsid w:val="51B88383"/>
    <w:rsid w:val="51C0E078"/>
    <w:rsid w:val="51C35F36"/>
    <w:rsid w:val="51C5F6EC"/>
    <w:rsid w:val="51C60F85"/>
    <w:rsid w:val="51C6F596"/>
    <w:rsid w:val="51C7B62E"/>
    <w:rsid w:val="51CD6ECE"/>
    <w:rsid w:val="51DB86D8"/>
    <w:rsid w:val="51DBF6DF"/>
    <w:rsid w:val="51DE807B"/>
    <w:rsid w:val="51E0BF22"/>
    <w:rsid w:val="51E1C0BB"/>
    <w:rsid w:val="51E4524E"/>
    <w:rsid w:val="51E5FF34"/>
    <w:rsid w:val="51E93885"/>
    <w:rsid w:val="51F45E15"/>
    <w:rsid w:val="51F5D919"/>
    <w:rsid w:val="51FF88CD"/>
    <w:rsid w:val="5200D25D"/>
    <w:rsid w:val="52012852"/>
    <w:rsid w:val="52042078"/>
    <w:rsid w:val="520DDA25"/>
    <w:rsid w:val="521E5886"/>
    <w:rsid w:val="5223D4C4"/>
    <w:rsid w:val="5225C301"/>
    <w:rsid w:val="522BB94A"/>
    <w:rsid w:val="523E2FDD"/>
    <w:rsid w:val="5240229E"/>
    <w:rsid w:val="524087FE"/>
    <w:rsid w:val="52480460"/>
    <w:rsid w:val="5249EA27"/>
    <w:rsid w:val="524F089B"/>
    <w:rsid w:val="5251B2C8"/>
    <w:rsid w:val="5255E00C"/>
    <w:rsid w:val="52576E37"/>
    <w:rsid w:val="5258689B"/>
    <w:rsid w:val="5259D017"/>
    <w:rsid w:val="525DA8B7"/>
    <w:rsid w:val="5269A29D"/>
    <w:rsid w:val="526B8DE5"/>
    <w:rsid w:val="5272D468"/>
    <w:rsid w:val="52802A04"/>
    <w:rsid w:val="528374A2"/>
    <w:rsid w:val="528556DD"/>
    <w:rsid w:val="5285D035"/>
    <w:rsid w:val="52873B27"/>
    <w:rsid w:val="528916A6"/>
    <w:rsid w:val="528AD4DC"/>
    <w:rsid w:val="52932FB3"/>
    <w:rsid w:val="52934F1C"/>
    <w:rsid w:val="529BD8F7"/>
    <w:rsid w:val="529CAE8C"/>
    <w:rsid w:val="52A9CE01"/>
    <w:rsid w:val="52B0B8E8"/>
    <w:rsid w:val="52B0BA69"/>
    <w:rsid w:val="52C29C2D"/>
    <w:rsid w:val="52C3CA73"/>
    <w:rsid w:val="52E08580"/>
    <w:rsid w:val="52E22B97"/>
    <w:rsid w:val="52EA7069"/>
    <w:rsid w:val="52EB6040"/>
    <w:rsid w:val="53072304"/>
    <w:rsid w:val="531149BA"/>
    <w:rsid w:val="53226138"/>
    <w:rsid w:val="53256EBE"/>
    <w:rsid w:val="53265957"/>
    <w:rsid w:val="5327D048"/>
    <w:rsid w:val="5333D7A3"/>
    <w:rsid w:val="5335700A"/>
    <w:rsid w:val="53475FEE"/>
    <w:rsid w:val="53494887"/>
    <w:rsid w:val="534A0D06"/>
    <w:rsid w:val="534E4166"/>
    <w:rsid w:val="5353093C"/>
    <w:rsid w:val="5362F626"/>
    <w:rsid w:val="53678A24"/>
    <w:rsid w:val="536CA629"/>
    <w:rsid w:val="5370FC8E"/>
    <w:rsid w:val="53843D00"/>
    <w:rsid w:val="538F431A"/>
    <w:rsid w:val="53A44775"/>
    <w:rsid w:val="53A5BF1B"/>
    <w:rsid w:val="53A77139"/>
    <w:rsid w:val="53ABFFA6"/>
    <w:rsid w:val="53ACB9CA"/>
    <w:rsid w:val="53AFE38D"/>
    <w:rsid w:val="53B44374"/>
    <w:rsid w:val="53BD6053"/>
    <w:rsid w:val="53BD9487"/>
    <w:rsid w:val="53CB9AB2"/>
    <w:rsid w:val="53CD14B8"/>
    <w:rsid w:val="53D1E02D"/>
    <w:rsid w:val="53D48C11"/>
    <w:rsid w:val="53D7BF63"/>
    <w:rsid w:val="53D915FD"/>
    <w:rsid w:val="53E65CEF"/>
    <w:rsid w:val="53E78BB7"/>
    <w:rsid w:val="53EC5F30"/>
    <w:rsid w:val="53EECA2D"/>
    <w:rsid w:val="53EEFAE5"/>
    <w:rsid w:val="53F21A24"/>
    <w:rsid w:val="53F7EF4A"/>
    <w:rsid w:val="53F8D44B"/>
    <w:rsid w:val="5400CCE9"/>
    <w:rsid w:val="5414E3B6"/>
    <w:rsid w:val="5417B15A"/>
    <w:rsid w:val="541F9EAB"/>
    <w:rsid w:val="543096AE"/>
    <w:rsid w:val="54320CB0"/>
    <w:rsid w:val="543703C7"/>
    <w:rsid w:val="54458596"/>
    <w:rsid w:val="544A1694"/>
    <w:rsid w:val="5455A4F5"/>
    <w:rsid w:val="5456F2E2"/>
    <w:rsid w:val="545FD295"/>
    <w:rsid w:val="546BA58E"/>
    <w:rsid w:val="546D6AC6"/>
    <w:rsid w:val="546FA5C3"/>
    <w:rsid w:val="5471B364"/>
    <w:rsid w:val="54755825"/>
    <w:rsid w:val="547A0CED"/>
    <w:rsid w:val="5480D075"/>
    <w:rsid w:val="5481AFCA"/>
    <w:rsid w:val="548239D5"/>
    <w:rsid w:val="548C4FB9"/>
    <w:rsid w:val="548E083D"/>
    <w:rsid w:val="5491D9B5"/>
    <w:rsid w:val="5493D986"/>
    <w:rsid w:val="54994515"/>
    <w:rsid w:val="549D2BA9"/>
    <w:rsid w:val="54AD2A28"/>
    <w:rsid w:val="54AF932E"/>
    <w:rsid w:val="54B40286"/>
    <w:rsid w:val="54B9F7D5"/>
    <w:rsid w:val="54BA5D7B"/>
    <w:rsid w:val="54CD218F"/>
    <w:rsid w:val="54D05494"/>
    <w:rsid w:val="54D5A9FE"/>
    <w:rsid w:val="54D9FA30"/>
    <w:rsid w:val="54DB5E29"/>
    <w:rsid w:val="54DD38D7"/>
    <w:rsid w:val="54E08D0C"/>
    <w:rsid w:val="54E0BD69"/>
    <w:rsid w:val="54E2D856"/>
    <w:rsid w:val="54E99B84"/>
    <w:rsid w:val="54EA11C7"/>
    <w:rsid w:val="54EF45C2"/>
    <w:rsid w:val="54F5B898"/>
    <w:rsid w:val="550B61B6"/>
    <w:rsid w:val="5513F2F6"/>
    <w:rsid w:val="5517FBE6"/>
    <w:rsid w:val="551F6DE6"/>
    <w:rsid w:val="552F08E9"/>
    <w:rsid w:val="552FFE45"/>
    <w:rsid w:val="55359C60"/>
    <w:rsid w:val="5536D5DE"/>
    <w:rsid w:val="554304DA"/>
    <w:rsid w:val="55464566"/>
    <w:rsid w:val="5566A48C"/>
    <w:rsid w:val="5566DF10"/>
    <w:rsid w:val="556C45FD"/>
    <w:rsid w:val="556DDCCC"/>
    <w:rsid w:val="5578C1C3"/>
    <w:rsid w:val="557B9481"/>
    <w:rsid w:val="557BD8D2"/>
    <w:rsid w:val="558013A2"/>
    <w:rsid w:val="558C88FF"/>
    <w:rsid w:val="558CF6DA"/>
    <w:rsid w:val="5597C5C0"/>
    <w:rsid w:val="55A780F5"/>
    <w:rsid w:val="55BB735E"/>
    <w:rsid w:val="55C2A10A"/>
    <w:rsid w:val="55C6AA7B"/>
    <w:rsid w:val="55C9DF3C"/>
    <w:rsid w:val="55CF1EBE"/>
    <w:rsid w:val="55DAC644"/>
    <w:rsid w:val="55F33360"/>
    <w:rsid w:val="55F45D43"/>
    <w:rsid w:val="55F902ED"/>
    <w:rsid w:val="55FAE259"/>
    <w:rsid w:val="55FB0B44"/>
    <w:rsid w:val="55FC1730"/>
    <w:rsid w:val="56059B23"/>
    <w:rsid w:val="5610541E"/>
    <w:rsid w:val="56230102"/>
    <w:rsid w:val="565A5142"/>
    <w:rsid w:val="565EF9F1"/>
    <w:rsid w:val="565F710A"/>
    <w:rsid w:val="566A9BB4"/>
    <w:rsid w:val="566C308C"/>
    <w:rsid w:val="5684E662"/>
    <w:rsid w:val="5696CF76"/>
    <w:rsid w:val="569F4FE1"/>
    <w:rsid w:val="56A0EE1E"/>
    <w:rsid w:val="56A77D13"/>
    <w:rsid w:val="56B72B89"/>
    <w:rsid w:val="56BA43A1"/>
    <w:rsid w:val="56BB7118"/>
    <w:rsid w:val="56C2EDE9"/>
    <w:rsid w:val="56C4CF6C"/>
    <w:rsid w:val="56C72D48"/>
    <w:rsid w:val="56CAC345"/>
    <w:rsid w:val="56CFF0C3"/>
    <w:rsid w:val="56DEFE8D"/>
    <w:rsid w:val="56E939E8"/>
    <w:rsid w:val="56EE8612"/>
    <w:rsid w:val="56F0DC86"/>
    <w:rsid w:val="56F92AF3"/>
    <w:rsid w:val="56FB22A0"/>
    <w:rsid w:val="56FCA15E"/>
    <w:rsid w:val="56FE8A29"/>
    <w:rsid w:val="570ECFDF"/>
    <w:rsid w:val="5711346C"/>
    <w:rsid w:val="571ABE22"/>
    <w:rsid w:val="573935D1"/>
    <w:rsid w:val="573BB145"/>
    <w:rsid w:val="573E87CE"/>
    <w:rsid w:val="5745DEAF"/>
    <w:rsid w:val="5746290D"/>
    <w:rsid w:val="57592F49"/>
    <w:rsid w:val="576304FA"/>
    <w:rsid w:val="57634E8E"/>
    <w:rsid w:val="576A680E"/>
    <w:rsid w:val="57708D1B"/>
    <w:rsid w:val="5773A972"/>
    <w:rsid w:val="5777F249"/>
    <w:rsid w:val="577DF7D8"/>
    <w:rsid w:val="577FAC22"/>
    <w:rsid w:val="578B224C"/>
    <w:rsid w:val="578FE0CF"/>
    <w:rsid w:val="579C7763"/>
    <w:rsid w:val="579DF4BB"/>
    <w:rsid w:val="57A2EDC6"/>
    <w:rsid w:val="57B03B7B"/>
    <w:rsid w:val="57B938A9"/>
    <w:rsid w:val="57BA3A86"/>
    <w:rsid w:val="57C16BCA"/>
    <w:rsid w:val="57C44E28"/>
    <w:rsid w:val="57C5127D"/>
    <w:rsid w:val="57D5E7EA"/>
    <w:rsid w:val="57D81202"/>
    <w:rsid w:val="57EC58E1"/>
    <w:rsid w:val="57F9C8A5"/>
    <w:rsid w:val="57FECD40"/>
    <w:rsid w:val="5805F4C4"/>
    <w:rsid w:val="58197C0E"/>
    <w:rsid w:val="58206E25"/>
    <w:rsid w:val="5832FFA1"/>
    <w:rsid w:val="583C7B5E"/>
    <w:rsid w:val="583F843D"/>
    <w:rsid w:val="58442CF6"/>
    <w:rsid w:val="585397D4"/>
    <w:rsid w:val="5860A441"/>
    <w:rsid w:val="587086D7"/>
    <w:rsid w:val="5875132E"/>
    <w:rsid w:val="587E3AC0"/>
    <w:rsid w:val="5884D8AC"/>
    <w:rsid w:val="5886DA3E"/>
    <w:rsid w:val="588717D5"/>
    <w:rsid w:val="588F50BE"/>
    <w:rsid w:val="589D8F65"/>
    <w:rsid w:val="58A8AEAB"/>
    <w:rsid w:val="58AA08A1"/>
    <w:rsid w:val="58ACA1BF"/>
    <w:rsid w:val="58B17D4C"/>
    <w:rsid w:val="58CE0089"/>
    <w:rsid w:val="58D04881"/>
    <w:rsid w:val="58D08A25"/>
    <w:rsid w:val="58DDA825"/>
    <w:rsid w:val="58E06E4E"/>
    <w:rsid w:val="58E54747"/>
    <w:rsid w:val="58EFD3E1"/>
    <w:rsid w:val="58F82BBD"/>
    <w:rsid w:val="58F86A2B"/>
    <w:rsid w:val="5901654C"/>
    <w:rsid w:val="59019A05"/>
    <w:rsid w:val="59058E4E"/>
    <w:rsid w:val="590DEDF1"/>
    <w:rsid w:val="59220F0C"/>
    <w:rsid w:val="592C44D6"/>
    <w:rsid w:val="593D0D34"/>
    <w:rsid w:val="5940DBE9"/>
    <w:rsid w:val="59436693"/>
    <w:rsid w:val="59474676"/>
    <w:rsid w:val="59488171"/>
    <w:rsid w:val="594D1E6A"/>
    <w:rsid w:val="594D6B36"/>
    <w:rsid w:val="59501D2B"/>
    <w:rsid w:val="595AA1C4"/>
    <w:rsid w:val="59606ED3"/>
    <w:rsid w:val="59616941"/>
    <w:rsid w:val="5961C298"/>
    <w:rsid w:val="59674AA9"/>
    <w:rsid w:val="596FA15E"/>
    <w:rsid w:val="597493DA"/>
    <w:rsid w:val="5977C66A"/>
    <w:rsid w:val="59830451"/>
    <w:rsid w:val="598A0BAF"/>
    <w:rsid w:val="59936ABA"/>
    <w:rsid w:val="5993D327"/>
    <w:rsid w:val="59AA0C26"/>
    <w:rsid w:val="59B7FD2B"/>
    <w:rsid w:val="59B8117D"/>
    <w:rsid w:val="59BBCB98"/>
    <w:rsid w:val="59BC7E4E"/>
    <w:rsid w:val="59C0139B"/>
    <w:rsid w:val="59C7E621"/>
    <w:rsid w:val="59CF917D"/>
    <w:rsid w:val="59D42547"/>
    <w:rsid w:val="59E004CA"/>
    <w:rsid w:val="59F09A17"/>
    <w:rsid w:val="59F81355"/>
    <w:rsid w:val="59FA38BE"/>
    <w:rsid w:val="5A0825E2"/>
    <w:rsid w:val="5A0B7459"/>
    <w:rsid w:val="5A1497C5"/>
    <w:rsid w:val="5A271887"/>
    <w:rsid w:val="5A30DA09"/>
    <w:rsid w:val="5A33B384"/>
    <w:rsid w:val="5A3642A9"/>
    <w:rsid w:val="5A378BFC"/>
    <w:rsid w:val="5A379C29"/>
    <w:rsid w:val="5A40B6F8"/>
    <w:rsid w:val="5A446197"/>
    <w:rsid w:val="5A447F0C"/>
    <w:rsid w:val="5A48E96A"/>
    <w:rsid w:val="5A4D601C"/>
    <w:rsid w:val="5A5061C3"/>
    <w:rsid w:val="5A600FC8"/>
    <w:rsid w:val="5A63898F"/>
    <w:rsid w:val="5A6C8218"/>
    <w:rsid w:val="5A774C9C"/>
    <w:rsid w:val="5A876DED"/>
    <w:rsid w:val="5A896701"/>
    <w:rsid w:val="5A924D0C"/>
    <w:rsid w:val="5A96122D"/>
    <w:rsid w:val="5A9E258E"/>
    <w:rsid w:val="5A9E6101"/>
    <w:rsid w:val="5A9F769D"/>
    <w:rsid w:val="5AA1A8C1"/>
    <w:rsid w:val="5AA5375B"/>
    <w:rsid w:val="5AA7B6DC"/>
    <w:rsid w:val="5AA94CF6"/>
    <w:rsid w:val="5AAE7E46"/>
    <w:rsid w:val="5AB54B7A"/>
    <w:rsid w:val="5AC8530D"/>
    <w:rsid w:val="5ACD4B5F"/>
    <w:rsid w:val="5AD02614"/>
    <w:rsid w:val="5AD64D3B"/>
    <w:rsid w:val="5AD6A3C2"/>
    <w:rsid w:val="5ADA6C01"/>
    <w:rsid w:val="5AE127E8"/>
    <w:rsid w:val="5AEA3B3B"/>
    <w:rsid w:val="5AEA4D13"/>
    <w:rsid w:val="5AEA89C6"/>
    <w:rsid w:val="5AEFC6A3"/>
    <w:rsid w:val="5B0C1873"/>
    <w:rsid w:val="5B106AF4"/>
    <w:rsid w:val="5B14B2BB"/>
    <w:rsid w:val="5B159E3C"/>
    <w:rsid w:val="5B1BF291"/>
    <w:rsid w:val="5B20020D"/>
    <w:rsid w:val="5B29525F"/>
    <w:rsid w:val="5B2F9A3C"/>
    <w:rsid w:val="5B4522F4"/>
    <w:rsid w:val="5B49396A"/>
    <w:rsid w:val="5B4D9510"/>
    <w:rsid w:val="5B4FA79B"/>
    <w:rsid w:val="5B51C88F"/>
    <w:rsid w:val="5B5FFBB6"/>
    <w:rsid w:val="5B6459DA"/>
    <w:rsid w:val="5B67D48A"/>
    <w:rsid w:val="5B7013EF"/>
    <w:rsid w:val="5B76AF91"/>
    <w:rsid w:val="5B85D0A5"/>
    <w:rsid w:val="5B89E95A"/>
    <w:rsid w:val="5B8F168B"/>
    <w:rsid w:val="5B94FF71"/>
    <w:rsid w:val="5BA2EBF5"/>
    <w:rsid w:val="5BA579A2"/>
    <w:rsid w:val="5BA861D7"/>
    <w:rsid w:val="5BB0E630"/>
    <w:rsid w:val="5BB4588D"/>
    <w:rsid w:val="5BB4784E"/>
    <w:rsid w:val="5BB9F759"/>
    <w:rsid w:val="5BC03258"/>
    <w:rsid w:val="5BC8D86E"/>
    <w:rsid w:val="5BC9CBB8"/>
    <w:rsid w:val="5BDADA17"/>
    <w:rsid w:val="5BE9DD48"/>
    <w:rsid w:val="5C020801"/>
    <w:rsid w:val="5C18A005"/>
    <w:rsid w:val="5C1F09A2"/>
    <w:rsid w:val="5C22808F"/>
    <w:rsid w:val="5C3787EA"/>
    <w:rsid w:val="5C3B7B7C"/>
    <w:rsid w:val="5C41039F"/>
    <w:rsid w:val="5C4BE3CB"/>
    <w:rsid w:val="5C4C1A78"/>
    <w:rsid w:val="5C4FFDC5"/>
    <w:rsid w:val="5C579369"/>
    <w:rsid w:val="5C5810D4"/>
    <w:rsid w:val="5C65B051"/>
    <w:rsid w:val="5C68E93D"/>
    <w:rsid w:val="5C6C9EF8"/>
    <w:rsid w:val="5C7EDD2B"/>
    <w:rsid w:val="5C8747F0"/>
    <w:rsid w:val="5C8E4F26"/>
    <w:rsid w:val="5C93230B"/>
    <w:rsid w:val="5C942DF8"/>
    <w:rsid w:val="5C9520E0"/>
    <w:rsid w:val="5C9B2D64"/>
    <w:rsid w:val="5C9DACE5"/>
    <w:rsid w:val="5CAA3ADA"/>
    <w:rsid w:val="5CBF77BB"/>
    <w:rsid w:val="5CC0699B"/>
    <w:rsid w:val="5CC080F2"/>
    <w:rsid w:val="5CCAC17A"/>
    <w:rsid w:val="5CCFA572"/>
    <w:rsid w:val="5CD10F2D"/>
    <w:rsid w:val="5CD27A8D"/>
    <w:rsid w:val="5CDAA0BB"/>
    <w:rsid w:val="5CDB871F"/>
    <w:rsid w:val="5CDFF051"/>
    <w:rsid w:val="5CE392A0"/>
    <w:rsid w:val="5CE9ADD4"/>
    <w:rsid w:val="5CEF6D57"/>
    <w:rsid w:val="5CF0CE52"/>
    <w:rsid w:val="5CF1B00B"/>
    <w:rsid w:val="5CF36C5A"/>
    <w:rsid w:val="5CF4DC7F"/>
    <w:rsid w:val="5CF7A503"/>
    <w:rsid w:val="5D03D456"/>
    <w:rsid w:val="5D0CFB79"/>
    <w:rsid w:val="5D17A58C"/>
    <w:rsid w:val="5D17FB45"/>
    <w:rsid w:val="5D1A80BC"/>
    <w:rsid w:val="5D2613AB"/>
    <w:rsid w:val="5D2D2C40"/>
    <w:rsid w:val="5D2E0062"/>
    <w:rsid w:val="5D4303E4"/>
    <w:rsid w:val="5D4F3E66"/>
    <w:rsid w:val="5D4FFF31"/>
    <w:rsid w:val="5D52AEAA"/>
    <w:rsid w:val="5D5A59AC"/>
    <w:rsid w:val="5D66B868"/>
    <w:rsid w:val="5D77903A"/>
    <w:rsid w:val="5D8D8552"/>
    <w:rsid w:val="5D919AC8"/>
    <w:rsid w:val="5DA40F0F"/>
    <w:rsid w:val="5DA50142"/>
    <w:rsid w:val="5DAADF05"/>
    <w:rsid w:val="5DAD1646"/>
    <w:rsid w:val="5DB7CA91"/>
    <w:rsid w:val="5DBE0B88"/>
    <w:rsid w:val="5DC067B3"/>
    <w:rsid w:val="5DC41FC7"/>
    <w:rsid w:val="5DC56F1E"/>
    <w:rsid w:val="5DC7FCFC"/>
    <w:rsid w:val="5DCF5B67"/>
    <w:rsid w:val="5DD3494B"/>
    <w:rsid w:val="5DD601C3"/>
    <w:rsid w:val="5DD652F6"/>
    <w:rsid w:val="5DD69139"/>
    <w:rsid w:val="5DDEADFF"/>
    <w:rsid w:val="5DDEB8DA"/>
    <w:rsid w:val="5DE005A9"/>
    <w:rsid w:val="5DF143BD"/>
    <w:rsid w:val="5DFAC11B"/>
    <w:rsid w:val="5E00951F"/>
    <w:rsid w:val="5E0EDD8A"/>
    <w:rsid w:val="5E100AFC"/>
    <w:rsid w:val="5E1A481F"/>
    <w:rsid w:val="5E1A5E2F"/>
    <w:rsid w:val="5E1E1366"/>
    <w:rsid w:val="5E1E7A98"/>
    <w:rsid w:val="5E276265"/>
    <w:rsid w:val="5E287CA5"/>
    <w:rsid w:val="5E2C5DAA"/>
    <w:rsid w:val="5E3260B7"/>
    <w:rsid w:val="5E332533"/>
    <w:rsid w:val="5E34EEE3"/>
    <w:rsid w:val="5E36CD52"/>
    <w:rsid w:val="5E4E4A64"/>
    <w:rsid w:val="5E51D528"/>
    <w:rsid w:val="5E563259"/>
    <w:rsid w:val="5E58275A"/>
    <w:rsid w:val="5E5F6179"/>
    <w:rsid w:val="5E673AFE"/>
    <w:rsid w:val="5E709BC0"/>
    <w:rsid w:val="5E71FD32"/>
    <w:rsid w:val="5E738E88"/>
    <w:rsid w:val="5E7D36CA"/>
    <w:rsid w:val="5E9B4C55"/>
    <w:rsid w:val="5E9C50A3"/>
    <w:rsid w:val="5E9CC786"/>
    <w:rsid w:val="5EA21416"/>
    <w:rsid w:val="5EA2D8B0"/>
    <w:rsid w:val="5EA30729"/>
    <w:rsid w:val="5EA5620B"/>
    <w:rsid w:val="5EA7D148"/>
    <w:rsid w:val="5EA96CDB"/>
    <w:rsid w:val="5EB4F859"/>
    <w:rsid w:val="5EBAA1A1"/>
    <w:rsid w:val="5EDE54D6"/>
    <w:rsid w:val="5EE42E7B"/>
    <w:rsid w:val="5EE463EB"/>
    <w:rsid w:val="5EEC4920"/>
    <w:rsid w:val="5EED3CC4"/>
    <w:rsid w:val="5EF18131"/>
    <w:rsid w:val="5EF78B0C"/>
    <w:rsid w:val="5EF79BEA"/>
    <w:rsid w:val="5EF836F9"/>
    <w:rsid w:val="5EFAEAA5"/>
    <w:rsid w:val="5F10137B"/>
    <w:rsid w:val="5F10245F"/>
    <w:rsid w:val="5F138524"/>
    <w:rsid w:val="5F17AFEA"/>
    <w:rsid w:val="5F19EC0B"/>
    <w:rsid w:val="5F1EB4CA"/>
    <w:rsid w:val="5F214198"/>
    <w:rsid w:val="5F3D3B5E"/>
    <w:rsid w:val="5F43E2CA"/>
    <w:rsid w:val="5F486924"/>
    <w:rsid w:val="5F516BC1"/>
    <w:rsid w:val="5F5952A8"/>
    <w:rsid w:val="5F62725C"/>
    <w:rsid w:val="5F6B55F6"/>
    <w:rsid w:val="5F707F0C"/>
    <w:rsid w:val="5F71D224"/>
    <w:rsid w:val="5F7313D9"/>
    <w:rsid w:val="5F737D65"/>
    <w:rsid w:val="5F7E2F50"/>
    <w:rsid w:val="5F7EBF64"/>
    <w:rsid w:val="5F81BBCC"/>
    <w:rsid w:val="5F82B388"/>
    <w:rsid w:val="5F8551A2"/>
    <w:rsid w:val="5F87CBD2"/>
    <w:rsid w:val="5F8DF949"/>
    <w:rsid w:val="5F96CA45"/>
    <w:rsid w:val="5F98F843"/>
    <w:rsid w:val="5FA12962"/>
    <w:rsid w:val="5FA2BD13"/>
    <w:rsid w:val="5FA8570C"/>
    <w:rsid w:val="5FAAD61B"/>
    <w:rsid w:val="5FB20BEF"/>
    <w:rsid w:val="5FB55096"/>
    <w:rsid w:val="5FB61201"/>
    <w:rsid w:val="5FB74955"/>
    <w:rsid w:val="5FC2B137"/>
    <w:rsid w:val="5FC717B2"/>
    <w:rsid w:val="5FCFC73E"/>
    <w:rsid w:val="5FDC165E"/>
    <w:rsid w:val="5FDF4097"/>
    <w:rsid w:val="5FE2A338"/>
    <w:rsid w:val="5FF64603"/>
    <w:rsid w:val="5FF8C164"/>
    <w:rsid w:val="5FF9FE7E"/>
    <w:rsid w:val="5FFCEEDE"/>
    <w:rsid w:val="600CD98A"/>
    <w:rsid w:val="600F0FE5"/>
    <w:rsid w:val="600F41C4"/>
    <w:rsid w:val="6011D029"/>
    <w:rsid w:val="6011E4BF"/>
    <w:rsid w:val="6014EBA1"/>
    <w:rsid w:val="6017AAE2"/>
    <w:rsid w:val="6018DEE6"/>
    <w:rsid w:val="601D1710"/>
    <w:rsid w:val="601EE802"/>
    <w:rsid w:val="60219C7B"/>
    <w:rsid w:val="60223CF0"/>
    <w:rsid w:val="60243E6C"/>
    <w:rsid w:val="6024BC30"/>
    <w:rsid w:val="602DBC29"/>
    <w:rsid w:val="6031020C"/>
    <w:rsid w:val="60349F32"/>
    <w:rsid w:val="60391BA4"/>
    <w:rsid w:val="60401B7E"/>
    <w:rsid w:val="6040A040"/>
    <w:rsid w:val="60469F3B"/>
    <w:rsid w:val="6047B612"/>
    <w:rsid w:val="604C322E"/>
    <w:rsid w:val="6056C910"/>
    <w:rsid w:val="605871E1"/>
    <w:rsid w:val="605941C8"/>
    <w:rsid w:val="605FA16F"/>
    <w:rsid w:val="60614F8A"/>
    <w:rsid w:val="606B19C6"/>
    <w:rsid w:val="606B1C7A"/>
    <w:rsid w:val="606E3C79"/>
    <w:rsid w:val="606E46B1"/>
    <w:rsid w:val="6071279C"/>
    <w:rsid w:val="6080344C"/>
    <w:rsid w:val="608A66F0"/>
    <w:rsid w:val="608F502D"/>
    <w:rsid w:val="60904CB9"/>
    <w:rsid w:val="6094B826"/>
    <w:rsid w:val="60C22749"/>
    <w:rsid w:val="60DA8646"/>
    <w:rsid w:val="60DECB81"/>
    <w:rsid w:val="60E4E832"/>
    <w:rsid w:val="60E74EA4"/>
    <w:rsid w:val="60EFC045"/>
    <w:rsid w:val="60F65115"/>
    <w:rsid w:val="60F87719"/>
    <w:rsid w:val="61018E90"/>
    <w:rsid w:val="61029A14"/>
    <w:rsid w:val="610C990A"/>
    <w:rsid w:val="61116CF3"/>
    <w:rsid w:val="61138372"/>
    <w:rsid w:val="6117A66B"/>
    <w:rsid w:val="6119275A"/>
    <w:rsid w:val="611E85AB"/>
    <w:rsid w:val="613475E1"/>
    <w:rsid w:val="61375A38"/>
    <w:rsid w:val="61392BF7"/>
    <w:rsid w:val="615F5B96"/>
    <w:rsid w:val="61611AAA"/>
    <w:rsid w:val="6173946F"/>
    <w:rsid w:val="6182B7F2"/>
    <w:rsid w:val="61918400"/>
    <w:rsid w:val="61984FFB"/>
    <w:rsid w:val="619D5CB4"/>
    <w:rsid w:val="61A292F0"/>
    <w:rsid w:val="61A8733F"/>
    <w:rsid w:val="61AB14D9"/>
    <w:rsid w:val="61B08D89"/>
    <w:rsid w:val="61BBCDF1"/>
    <w:rsid w:val="61C12A18"/>
    <w:rsid w:val="61C9BAC1"/>
    <w:rsid w:val="61D545E6"/>
    <w:rsid w:val="61DF371C"/>
    <w:rsid w:val="61E60C88"/>
    <w:rsid w:val="61F48FB7"/>
    <w:rsid w:val="61F880B3"/>
    <w:rsid w:val="61FFC13B"/>
    <w:rsid w:val="6204FCE0"/>
    <w:rsid w:val="62165619"/>
    <w:rsid w:val="621C04AD"/>
    <w:rsid w:val="622B4536"/>
    <w:rsid w:val="623809F8"/>
    <w:rsid w:val="624BEE4E"/>
    <w:rsid w:val="624DEAE1"/>
    <w:rsid w:val="6250D599"/>
    <w:rsid w:val="6256542D"/>
    <w:rsid w:val="6263B08B"/>
    <w:rsid w:val="626736FC"/>
    <w:rsid w:val="626C6864"/>
    <w:rsid w:val="626E6F51"/>
    <w:rsid w:val="626EBDAC"/>
    <w:rsid w:val="62818497"/>
    <w:rsid w:val="628321E4"/>
    <w:rsid w:val="628623E8"/>
    <w:rsid w:val="6287FBB5"/>
    <w:rsid w:val="628AED7B"/>
    <w:rsid w:val="629AB4B6"/>
    <w:rsid w:val="62A046C0"/>
    <w:rsid w:val="62ABBB37"/>
    <w:rsid w:val="62AE1BF9"/>
    <w:rsid w:val="62B9FCF0"/>
    <w:rsid w:val="62C0FBF3"/>
    <w:rsid w:val="62C4A69B"/>
    <w:rsid w:val="62C66318"/>
    <w:rsid w:val="62CF1015"/>
    <w:rsid w:val="62D2F2D5"/>
    <w:rsid w:val="62D8D53F"/>
    <w:rsid w:val="62EA015D"/>
    <w:rsid w:val="62FCE9FD"/>
    <w:rsid w:val="630ADC3E"/>
    <w:rsid w:val="630BAFA5"/>
    <w:rsid w:val="6312EAC6"/>
    <w:rsid w:val="6315C43D"/>
    <w:rsid w:val="63182E70"/>
    <w:rsid w:val="631D34BC"/>
    <w:rsid w:val="631ED381"/>
    <w:rsid w:val="6320EB43"/>
    <w:rsid w:val="63271A9C"/>
    <w:rsid w:val="633313D7"/>
    <w:rsid w:val="633AAC21"/>
    <w:rsid w:val="633C0699"/>
    <w:rsid w:val="633EC8AB"/>
    <w:rsid w:val="6346B11B"/>
    <w:rsid w:val="63495BF2"/>
    <w:rsid w:val="635069E1"/>
    <w:rsid w:val="63548639"/>
    <w:rsid w:val="636327E2"/>
    <w:rsid w:val="63681270"/>
    <w:rsid w:val="6370E664"/>
    <w:rsid w:val="6374A548"/>
    <w:rsid w:val="63854D83"/>
    <w:rsid w:val="6390E28A"/>
    <w:rsid w:val="63921647"/>
    <w:rsid w:val="6394FB3F"/>
    <w:rsid w:val="63981882"/>
    <w:rsid w:val="63985010"/>
    <w:rsid w:val="63990107"/>
    <w:rsid w:val="639B5113"/>
    <w:rsid w:val="639BAAFD"/>
    <w:rsid w:val="639C6DC4"/>
    <w:rsid w:val="63AB87CD"/>
    <w:rsid w:val="63B3A6A0"/>
    <w:rsid w:val="63C0E040"/>
    <w:rsid w:val="63C7CD59"/>
    <w:rsid w:val="63CAB597"/>
    <w:rsid w:val="63D1D779"/>
    <w:rsid w:val="63D22E68"/>
    <w:rsid w:val="63D70B66"/>
    <w:rsid w:val="63D9E23C"/>
    <w:rsid w:val="63E2B3B2"/>
    <w:rsid w:val="63F059CF"/>
    <w:rsid w:val="640769F2"/>
    <w:rsid w:val="640C215E"/>
    <w:rsid w:val="6411F6E3"/>
    <w:rsid w:val="641EBA4F"/>
    <w:rsid w:val="6434050A"/>
    <w:rsid w:val="6436F117"/>
    <w:rsid w:val="64392F52"/>
    <w:rsid w:val="643ED5F1"/>
    <w:rsid w:val="6440A18C"/>
    <w:rsid w:val="6443235B"/>
    <w:rsid w:val="644841B2"/>
    <w:rsid w:val="644CFF43"/>
    <w:rsid w:val="64589FE7"/>
    <w:rsid w:val="64622E6F"/>
    <w:rsid w:val="6466A28E"/>
    <w:rsid w:val="646E4A35"/>
    <w:rsid w:val="647091E8"/>
    <w:rsid w:val="6470E5F8"/>
    <w:rsid w:val="64713BD4"/>
    <w:rsid w:val="647DF052"/>
    <w:rsid w:val="64800A56"/>
    <w:rsid w:val="648A4A01"/>
    <w:rsid w:val="648B59FC"/>
    <w:rsid w:val="648B8810"/>
    <w:rsid w:val="64984CD9"/>
    <w:rsid w:val="649AD0C9"/>
    <w:rsid w:val="64A7746E"/>
    <w:rsid w:val="64AB9984"/>
    <w:rsid w:val="64AC49E0"/>
    <w:rsid w:val="64AE787D"/>
    <w:rsid w:val="64AEC60E"/>
    <w:rsid w:val="64B12344"/>
    <w:rsid w:val="64BBB047"/>
    <w:rsid w:val="64BE7B21"/>
    <w:rsid w:val="64BEB3D1"/>
    <w:rsid w:val="64C0B9AC"/>
    <w:rsid w:val="64D07F2B"/>
    <w:rsid w:val="64D1111E"/>
    <w:rsid w:val="64D67C82"/>
    <w:rsid w:val="64D7E71B"/>
    <w:rsid w:val="64EA67D3"/>
    <w:rsid w:val="64EDFEF4"/>
    <w:rsid w:val="64F881D3"/>
    <w:rsid w:val="65047623"/>
    <w:rsid w:val="65092381"/>
    <w:rsid w:val="65103E48"/>
    <w:rsid w:val="651C30BF"/>
    <w:rsid w:val="651CC40E"/>
    <w:rsid w:val="651DD2D5"/>
    <w:rsid w:val="65383E25"/>
    <w:rsid w:val="653A0DEC"/>
    <w:rsid w:val="653FBFA4"/>
    <w:rsid w:val="654C9030"/>
    <w:rsid w:val="6568F8B5"/>
    <w:rsid w:val="65699D3B"/>
    <w:rsid w:val="656E1A60"/>
    <w:rsid w:val="6572B8BA"/>
    <w:rsid w:val="657F8FF4"/>
    <w:rsid w:val="6581B086"/>
    <w:rsid w:val="6584CC43"/>
    <w:rsid w:val="65882E23"/>
    <w:rsid w:val="65889848"/>
    <w:rsid w:val="658CD393"/>
    <w:rsid w:val="65957AF6"/>
    <w:rsid w:val="659D0A5F"/>
    <w:rsid w:val="659FB4BD"/>
    <w:rsid w:val="65A84D91"/>
    <w:rsid w:val="65AB5D23"/>
    <w:rsid w:val="65AE9628"/>
    <w:rsid w:val="65B4D102"/>
    <w:rsid w:val="65BB8A09"/>
    <w:rsid w:val="65C95EB9"/>
    <w:rsid w:val="65CD458E"/>
    <w:rsid w:val="65CD5C2B"/>
    <w:rsid w:val="65D4FFB3"/>
    <w:rsid w:val="65D83596"/>
    <w:rsid w:val="65D8FA41"/>
    <w:rsid w:val="65DE00F3"/>
    <w:rsid w:val="65E275D1"/>
    <w:rsid w:val="65E29654"/>
    <w:rsid w:val="65E66548"/>
    <w:rsid w:val="65F22BA1"/>
    <w:rsid w:val="65F2C665"/>
    <w:rsid w:val="65FF9496"/>
    <w:rsid w:val="660D3A13"/>
    <w:rsid w:val="660EE23F"/>
    <w:rsid w:val="661B2996"/>
    <w:rsid w:val="662E99CE"/>
    <w:rsid w:val="663550B6"/>
    <w:rsid w:val="6641EFC9"/>
    <w:rsid w:val="665B1F2E"/>
    <w:rsid w:val="665F55D9"/>
    <w:rsid w:val="66628EE7"/>
    <w:rsid w:val="66643F6D"/>
    <w:rsid w:val="66687937"/>
    <w:rsid w:val="666E2A16"/>
    <w:rsid w:val="667E6236"/>
    <w:rsid w:val="66819C89"/>
    <w:rsid w:val="66895F1B"/>
    <w:rsid w:val="6689EBC0"/>
    <w:rsid w:val="66A3F378"/>
    <w:rsid w:val="66A71490"/>
    <w:rsid w:val="66AD096D"/>
    <w:rsid w:val="66B1068A"/>
    <w:rsid w:val="66B1F3D9"/>
    <w:rsid w:val="66CF9331"/>
    <w:rsid w:val="66D68CEA"/>
    <w:rsid w:val="66D942A8"/>
    <w:rsid w:val="66DD5640"/>
    <w:rsid w:val="66E2D164"/>
    <w:rsid w:val="66E7D19F"/>
    <w:rsid w:val="66E9715E"/>
    <w:rsid w:val="66EF4F9C"/>
    <w:rsid w:val="66F36248"/>
    <w:rsid w:val="66F9F987"/>
    <w:rsid w:val="66FD3ED5"/>
    <w:rsid w:val="66FE632F"/>
    <w:rsid w:val="67047210"/>
    <w:rsid w:val="6707194B"/>
    <w:rsid w:val="670B683E"/>
    <w:rsid w:val="670D144A"/>
    <w:rsid w:val="67179DA0"/>
    <w:rsid w:val="671CF15D"/>
    <w:rsid w:val="671D0742"/>
    <w:rsid w:val="671D35FD"/>
    <w:rsid w:val="672082D3"/>
    <w:rsid w:val="672F9024"/>
    <w:rsid w:val="67378679"/>
    <w:rsid w:val="673AB4CA"/>
    <w:rsid w:val="673EC3E8"/>
    <w:rsid w:val="67425E2D"/>
    <w:rsid w:val="6749488B"/>
    <w:rsid w:val="675FA0C6"/>
    <w:rsid w:val="67717D68"/>
    <w:rsid w:val="677C78CA"/>
    <w:rsid w:val="677F2C5A"/>
    <w:rsid w:val="6783ED9F"/>
    <w:rsid w:val="6785227C"/>
    <w:rsid w:val="678BFF2D"/>
    <w:rsid w:val="6793E588"/>
    <w:rsid w:val="67989997"/>
    <w:rsid w:val="679A52BB"/>
    <w:rsid w:val="67A23137"/>
    <w:rsid w:val="67A5BC95"/>
    <w:rsid w:val="67A5F53C"/>
    <w:rsid w:val="67A70FAC"/>
    <w:rsid w:val="67A8F139"/>
    <w:rsid w:val="67ACA4F4"/>
    <w:rsid w:val="67B00113"/>
    <w:rsid w:val="67B247B5"/>
    <w:rsid w:val="67B717D0"/>
    <w:rsid w:val="67BC463F"/>
    <w:rsid w:val="67C7D179"/>
    <w:rsid w:val="67C922D0"/>
    <w:rsid w:val="67D429EE"/>
    <w:rsid w:val="67D48688"/>
    <w:rsid w:val="67E31F0C"/>
    <w:rsid w:val="67E98B98"/>
    <w:rsid w:val="67F31D4A"/>
    <w:rsid w:val="67F439DC"/>
    <w:rsid w:val="67F88341"/>
    <w:rsid w:val="680AF649"/>
    <w:rsid w:val="680D67F4"/>
    <w:rsid w:val="68148773"/>
    <w:rsid w:val="681ECAF5"/>
    <w:rsid w:val="68209758"/>
    <w:rsid w:val="6821D639"/>
    <w:rsid w:val="6827C9BF"/>
    <w:rsid w:val="682A14DF"/>
    <w:rsid w:val="682D1C4D"/>
    <w:rsid w:val="682D8275"/>
    <w:rsid w:val="682DD63A"/>
    <w:rsid w:val="683E0675"/>
    <w:rsid w:val="6840171C"/>
    <w:rsid w:val="68496042"/>
    <w:rsid w:val="684A6BEF"/>
    <w:rsid w:val="684DAF43"/>
    <w:rsid w:val="68562BD0"/>
    <w:rsid w:val="685A7719"/>
    <w:rsid w:val="685AF383"/>
    <w:rsid w:val="685F3F49"/>
    <w:rsid w:val="6862F0EF"/>
    <w:rsid w:val="68633847"/>
    <w:rsid w:val="686D715C"/>
    <w:rsid w:val="6873E062"/>
    <w:rsid w:val="6879155F"/>
    <w:rsid w:val="6886DCF5"/>
    <w:rsid w:val="688B71D1"/>
    <w:rsid w:val="688EF42B"/>
    <w:rsid w:val="6899B144"/>
    <w:rsid w:val="68C1D9D3"/>
    <w:rsid w:val="68CF48F4"/>
    <w:rsid w:val="68D28285"/>
    <w:rsid w:val="68D91967"/>
    <w:rsid w:val="68E5305F"/>
    <w:rsid w:val="68E8FB0D"/>
    <w:rsid w:val="68EDA0A5"/>
    <w:rsid w:val="68F11AAD"/>
    <w:rsid w:val="68F2DB94"/>
    <w:rsid w:val="6906C0D2"/>
    <w:rsid w:val="69075108"/>
    <w:rsid w:val="69097680"/>
    <w:rsid w:val="690B63B4"/>
    <w:rsid w:val="6911E55D"/>
    <w:rsid w:val="69156BF3"/>
    <w:rsid w:val="691962A9"/>
    <w:rsid w:val="691E6B12"/>
    <w:rsid w:val="691E6D64"/>
    <w:rsid w:val="6920A1F0"/>
    <w:rsid w:val="692D287A"/>
    <w:rsid w:val="692FF6C7"/>
    <w:rsid w:val="69330CFB"/>
    <w:rsid w:val="693E53DB"/>
    <w:rsid w:val="693F08F1"/>
    <w:rsid w:val="69410578"/>
    <w:rsid w:val="694A797D"/>
    <w:rsid w:val="6952B67A"/>
    <w:rsid w:val="6963A1DA"/>
    <w:rsid w:val="69694E69"/>
    <w:rsid w:val="69701F30"/>
    <w:rsid w:val="6973D94B"/>
    <w:rsid w:val="697413CA"/>
    <w:rsid w:val="69774850"/>
    <w:rsid w:val="697969C1"/>
    <w:rsid w:val="697CFBB6"/>
    <w:rsid w:val="6985FA8F"/>
    <w:rsid w:val="698F5F27"/>
    <w:rsid w:val="6993AE8F"/>
    <w:rsid w:val="69A19E49"/>
    <w:rsid w:val="69AFBBF2"/>
    <w:rsid w:val="69B4FDC7"/>
    <w:rsid w:val="69B8CBF6"/>
    <w:rsid w:val="69C661C6"/>
    <w:rsid w:val="69CD0292"/>
    <w:rsid w:val="69D43D6C"/>
    <w:rsid w:val="69D604D1"/>
    <w:rsid w:val="69D7DFFA"/>
    <w:rsid w:val="69DAA43F"/>
    <w:rsid w:val="69DB56FD"/>
    <w:rsid w:val="69DD352F"/>
    <w:rsid w:val="69DF66BB"/>
    <w:rsid w:val="69E8ED36"/>
    <w:rsid w:val="69F0EA67"/>
    <w:rsid w:val="69F3AE5C"/>
    <w:rsid w:val="69F89F91"/>
    <w:rsid w:val="6A0A370F"/>
    <w:rsid w:val="6A0B113B"/>
    <w:rsid w:val="6A16A12F"/>
    <w:rsid w:val="6A1A7226"/>
    <w:rsid w:val="6A22DA98"/>
    <w:rsid w:val="6A2A3F09"/>
    <w:rsid w:val="6A2E9E84"/>
    <w:rsid w:val="6A3404B3"/>
    <w:rsid w:val="6A3712FE"/>
    <w:rsid w:val="6A45B9FF"/>
    <w:rsid w:val="6A4A8C6A"/>
    <w:rsid w:val="6A558C9E"/>
    <w:rsid w:val="6A59A68F"/>
    <w:rsid w:val="6A5B9276"/>
    <w:rsid w:val="6A5C3170"/>
    <w:rsid w:val="6A5D11F7"/>
    <w:rsid w:val="6A622917"/>
    <w:rsid w:val="6A6B2BC7"/>
    <w:rsid w:val="6A6FA364"/>
    <w:rsid w:val="6A78AC1E"/>
    <w:rsid w:val="6A7A7534"/>
    <w:rsid w:val="6A8FD48A"/>
    <w:rsid w:val="6A94AB54"/>
    <w:rsid w:val="6A9DE847"/>
    <w:rsid w:val="6AAC6E81"/>
    <w:rsid w:val="6AB202EF"/>
    <w:rsid w:val="6AB52FBC"/>
    <w:rsid w:val="6AB69E68"/>
    <w:rsid w:val="6AB8A9D7"/>
    <w:rsid w:val="6ABC7251"/>
    <w:rsid w:val="6AC98005"/>
    <w:rsid w:val="6AD9A81F"/>
    <w:rsid w:val="6ADD5794"/>
    <w:rsid w:val="6AE445B6"/>
    <w:rsid w:val="6AE5FB06"/>
    <w:rsid w:val="6AEA01FA"/>
    <w:rsid w:val="6AEC02F8"/>
    <w:rsid w:val="6AEDDFA9"/>
    <w:rsid w:val="6AF29F55"/>
    <w:rsid w:val="6AF2A148"/>
    <w:rsid w:val="6AF61BD3"/>
    <w:rsid w:val="6AF74E66"/>
    <w:rsid w:val="6B096D1E"/>
    <w:rsid w:val="6B2404EA"/>
    <w:rsid w:val="6B2C95A9"/>
    <w:rsid w:val="6B32D5DA"/>
    <w:rsid w:val="6B344FA7"/>
    <w:rsid w:val="6B387017"/>
    <w:rsid w:val="6B44CA9D"/>
    <w:rsid w:val="6B4BAEA4"/>
    <w:rsid w:val="6B50CE28"/>
    <w:rsid w:val="6B5A18ED"/>
    <w:rsid w:val="6B5D4078"/>
    <w:rsid w:val="6B6846DE"/>
    <w:rsid w:val="6B698070"/>
    <w:rsid w:val="6B701BFE"/>
    <w:rsid w:val="6B7284E9"/>
    <w:rsid w:val="6B7321C4"/>
    <w:rsid w:val="6B8AB1D3"/>
    <w:rsid w:val="6B93A7A2"/>
    <w:rsid w:val="6B9AD909"/>
    <w:rsid w:val="6BA8B872"/>
    <w:rsid w:val="6BAB5A6B"/>
    <w:rsid w:val="6BBD4AEB"/>
    <w:rsid w:val="6BE65641"/>
    <w:rsid w:val="6BF56BDB"/>
    <w:rsid w:val="6C0C9A10"/>
    <w:rsid w:val="6C107255"/>
    <w:rsid w:val="6C13FC31"/>
    <w:rsid w:val="6C182990"/>
    <w:rsid w:val="6C1F971D"/>
    <w:rsid w:val="6C2049FD"/>
    <w:rsid w:val="6C25184F"/>
    <w:rsid w:val="6C25887A"/>
    <w:rsid w:val="6C279702"/>
    <w:rsid w:val="6C32C659"/>
    <w:rsid w:val="6C3CB3A5"/>
    <w:rsid w:val="6C3EDCF2"/>
    <w:rsid w:val="6C49C03F"/>
    <w:rsid w:val="6C4CD64D"/>
    <w:rsid w:val="6C4E6368"/>
    <w:rsid w:val="6C58C6D2"/>
    <w:rsid w:val="6C600EC6"/>
    <w:rsid w:val="6C702899"/>
    <w:rsid w:val="6C8FF482"/>
    <w:rsid w:val="6C91E6DC"/>
    <w:rsid w:val="6C960F2C"/>
    <w:rsid w:val="6CA079F8"/>
    <w:rsid w:val="6CB62C20"/>
    <w:rsid w:val="6CB8E17C"/>
    <w:rsid w:val="6CBF6D98"/>
    <w:rsid w:val="6CC8F0F9"/>
    <w:rsid w:val="6CCF1318"/>
    <w:rsid w:val="6CD46B04"/>
    <w:rsid w:val="6CE296B3"/>
    <w:rsid w:val="6CE871DD"/>
    <w:rsid w:val="6CE99770"/>
    <w:rsid w:val="6CFAFA33"/>
    <w:rsid w:val="6CFD9C4D"/>
    <w:rsid w:val="6CFE399B"/>
    <w:rsid w:val="6CFE8A76"/>
    <w:rsid w:val="6D05FFDF"/>
    <w:rsid w:val="6D0F8808"/>
    <w:rsid w:val="6D0FCD7E"/>
    <w:rsid w:val="6D135CD9"/>
    <w:rsid w:val="6D136843"/>
    <w:rsid w:val="6D1848A7"/>
    <w:rsid w:val="6D2692A8"/>
    <w:rsid w:val="6D2AA2AE"/>
    <w:rsid w:val="6D2DA987"/>
    <w:rsid w:val="6D3FFC9B"/>
    <w:rsid w:val="6D4289BE"/>
    <w:rsid w:val="6D517027"/>
    <w:rsid w:val="6D60162B"/>
    <w:rsid w:val="6D61F791"/>
    <w:rsid w:val="6D63AD54"/>
    <w:rsid w:val="6D644985"/>
    <w:rsid w:val="6D6AD35B"/>
    <w:rsid w:val="6D6E4C8D"/>
    <w:rsid w:val="6D77E417"/>
    <w:rsid w:val="6D812AE1"/>
    <w:rsid w:val="6D82687B"/>
    <w:rsid w:val="6D8634CC"/>
    <w:rsid w:val="6D870A4A"/>
    <w:rsid w:val="6D8A5E0D"/>
    <w:rsid w:val="6D994E62"/>
    <w:rsid w:val="6D9CA5F9"/>
    <w:rsid w:val="6D9D71AF"/>
    <w:rsid w:val="6D9EFB2A"/>
    <w:rsid w:val="6DA5AEFC"/>
    <w:rsid w:val="6DA75516"/>
    <w:rsid w:val="6DAA3C23"/>
    <w:rsid w:val="6DAAEE1C"/>
    <w:rsid w:val="6DB45C7E"/>
    <w:rsid w:val="6DC2CAB8"/>
    <w:rsid w:val="6DC546DC"/>
    <w:rsid w:val="6DCDC84E"/>
    <w:rsid w:val="6DD85A68"/>
    <w:rsid w:val="6DD922DF"/>
    <w:rsid w:val="6DE1EBE4"/>
    <w:rsid w:val="6DE4B6B8"/>
    <w:rsid w:val="6DE5B349"/>
    <w:rsid w:val="6DE7B22F"/>
    <w:rsid w:val="6DEC4F3B"/>
    <w:rsid w:val="6DF55FB2"/>
    <w:rsid w:val="6E00BEB7"/>
    <w:rsid w:val="6E018FE0"/>
    <w:rsid w:val="6E01DE5C"/>
    <w:rsid w:val="6E02BD8B"/>
    <w:rsid w:val="6E047C4D"/>
    <w:rsid w:val="6E0524CF"/>
    <w:rsid w:val="6E07F4E2"/>
    <w:rsid w:val="6E25F2A5"/>
    <w:rsid w:val="6E3392F9"/>
    <w:rsid w:val="6E3638D4"/>
    <w:rsid w:val="6E384135"/>
    <w:rsid w:val="6E3AB68F"/>
    <w:rsid w:val="6E40440B"/>
    <w:rsid w:val="6E464C9E"/>
    <w:rsid w:val="6E4ED801"/>
    <w:rsid w:val="6E50AD65"/>
    <w:rsid w:val="6E5EF13D"/>
    <w:rsid w:val="6E646863"/>
    <w:rsid w:val="6E6914D7"/>
    <w:rsid w:val="6E72C419"/>
    <w:rsid w:val="6E74DE45"/>
    <w:rsid w:val="6E84EACE"/>
    <w:rsid w:val="6E87C122"/>
    <w:rsid w:val="6E8E05DB"/>
    <w:rsid w:val="6E94DD96"/>
    <w:rsid w:val="6E95D8F9"/>
    <w:rsid w:val="6E976B8B"/>
    <w:rsid w:val="6E9B913A"/>
    <w:rsid w:val="6EA5110E"/>
    <w:rsid w:val="6EAAE602"/>
    <w:rsid w:val="6EAED4F2"/>
    <w:rsid w:val="6EB49C86"/>
    <w:rsid w:val="6EBAAC2E"/>
    <w:rsid w:val="6EBFA968"/>
    <w:rsid w:val="6EC39AD8"/>
    <w:rsid w:val="6ED7CF19"/>
    <w:rsid w:val="6EDA5ED6"/>
    <w:rsid w:val="6EDCB50D"/>
    <w:rsid w:val="6EE7C056"/>
    <w:rsid w:val="6EF396BC"/>
    <w:rsid w:val="6EF52920"/>
    <w:rsid w:val="6EFA25DB"/>
    <w:rsid w:val="6EFAEB7B"/>
    <w:rsid w:val="6F069842"/>
    <w:rsid w:val="6F177D29"/>
    <w:rsid w:val="6F1D7D13"/>
    <w:rsid w:val="6F20CCFF"/>
    <w:rsid w:val="6F31C6A7"/>
    <w:rsid w:val="6F31EB6D"/>
    <w:rsid w:val="6F3318C9"/>
    <w:rsid w:val="6F3DC6B3"/>
    <w:rsid w:val="6F471CB0"/>
    <w:rsid w:val="6F4733D4"/>
    <w:rsid w:val="6F52BE42"/>
    <w:rsid w:val="6F54AF11"/>
    <w:rsid w:val="6F5BCF09"/>
    <w:rsid w:val="6F644918"/>
    <w:rsid w:val="6F7A3519"/>
    <w:rsid w:val="6F84770F"/>
    <w:rsid w:val="6F88A42D"/>
    <w:rsid w:val="6F8A0A64"/>
    <w:rsid w:val="6F8CD27C"/>
    <w:rsid w:val="6F8E22E0"/>
    <w:rsid w:val="6F9B5CB6"/>
    <w:rsid w:val="6FB030E9"/>
    <w:rsid w:val="6FB829E2"/>
    <w:rsid w:val="6FB92AA0"/>
    <w:rsid w:val="6FBA4271"/>
    <w:rsid w:val="6FBB0018"/>
    <w:rsid w:val="6FBF0D23"/>
    <w:rsid w:val="6FCA1734"/>
    <w:rsid w:val="6FCC45ED"/>
    <w:rsid w:val="6FD036E9"/>
    <w:rsid w:val="6FD43E14"/>
    <w:rsid w:val="6FD60136"/>
    <w:rsid w:val="6FDB73F7"/>
    <w:rsid w:val="6FDFA9E1"/>
    <w:rsid w:val="6FF0306F"/>
    <w:rsid w:val="6FF650E1"/>
    <w:rsid w:val="6FF6BDE5"/>
    <w:rsid w:val="6FFA8D44"/>
    <w:rsid w:val="7002F2F1"/>
    <w:rsid w:val="7004E538"/>
    <w:rsid w:val="70052815"/>
    <w:rsid w:val="7017C316"/>
    <w:rsid w:val="701BBFDF"/>
    <w:rsid w:val="701E0EA1"/>
    <w:rsid w:val="70278D34"/>
    <w:rsid w:val="7028DBE8"/>
    <w:rsid w:val="702E1EC4"/>
    <w:rsid w:val="7033273D"/>
    <w:rsid w:val="703555DC"/>
    <w:rsid w:val="70359279"/>
    <w:rsid w:val="703D5432"/>
    <w:rsid w:val="70461F50"/>
    <w:rsid w:val="7051B6CB"/>
    <w:rsid w:val="70567C8F"/>
    <w:rsid w:val="705B5462"/>
    <w:rsid w:val="705EB190"/>
    <w:rsid w:val="7060FA67"/>
    <w:rsid w:val="7064AA9F"/>
    <w:rsid w:val="7069C8B7"/>
    <w:rsid w:val="706A551C"/>
    <w:rsid w:val="706A87AD"/>
    <w:rsid w:val="7070E278"/>
    <w:rsid w:val="707AEFC7"/>
    <w:rsid w:val="70831A26"/>
    <w:rsid w:val="7087B370"/>
    <w:rsid w:val="708E464F"/>
    <w:rsid w:val="708F0558"/>
    <w:rsid w:val="7094F961"/>
    <w:rsid w:val="70B494A8"/>
    <w:rsid w:val="70D0E765"/>
    <w:rsid w:val="70D99714"/>
    <w:rsid w:val="70E30435"/>
    <w:rsid w:val="70E7BB63"/>
    <w:rsid w:val="70EA5819"/>
    <w:rsid w:val="70EA726D"/>
    <w:rsid w:val="70FE2654"/>
    <w:rsid w:val="71022153"/>
    <w:rsid w:val="7102C434"/>
    <w:rsid w:val="7106B516"/>
    <w:rsid w:val="710CF59D"/>
    <w:rsid w:val="710DD195"/>
    <w:rsid w:val="710FC479"/>
    <w:rsid w:val="71114E40"/>
    <w:rsid w:val="7116B7C5"/>
    <w:rsid w:val="711A899D"/>
    <w:rsid w:val="711EA924"/>
    <w:rsid w:val="7120789E"/>
    <w:rsid w:val="712AB919"/>
    <w:rsid w:val="712DA605"/>
    <w:rsid w:val="712E522D"/>
    <w:rsid w:val="71316DE6"/>
    <w:rsid w:val="71319B1F"/>
    <w:rsid w:val="713AF60F"/>
    <w:rsid w:val="713E4143"/>
    <w:rsid w:val="714004AE"/>
    <w:rsid w:val="71407309"/>
    <w:rsid w:val="71507DCB"/>
    <w:rsid w:val="7152FA14"/>
    <w:rsid w:val="715311BE"/>
    <w:rsid w:val="71558B62"/>
    <w:rsid w:val="71566565"/>
    <w:rsid w:val="71575B10"/>
    <w:rsid w:val="715E4669"/>
    <w:rsid w:val="71661AB5"/>
    <w:rsid w:val="7168771D"/>
    <w:rsid w:val="717A976A"/>
    <w:rsid w:val="717D0A6B"/>
    <w:rsid w:val="717FD090"/>
    <w:rsid w:val="7187FBBC"/>
    <w:rsid w:val="718BD1C7"/>
    <w:rsid w:val="718EB31D"/>
    <w:rsid w:val="7191497D"/>
    <w:rsid w:val="71981F3F"/>
    <w:rsid w:val="719A80C0"/>
    <w:rsid w:val="719B5639"/>
    <w:rsid w:val="719B95A7"/>
    <w:rsid w:val="71A277FD"/>
    <w:rsid w:val="71AC0439"/>
    <w:rsid w:val="71ADF306"/>
    <w:rsid w:val="71B44E78"/>
    <w:rsid w:val="71C00FAC"/>
    <w:rsid w:val="71C0BAED"/>
    <w:rsid w:val="71C5659D"/>
    <w:rsid w:val="71CBF3B4"/>
    <w:rsid w:val="71CEE1B2"/>
    <w:rsid w:val="71D078CC"/>
    <w:rsid w:val="71D47158"/>
    <w:rsid w:val="71DC43E3"/>
    <w:rsid w:val="71E1FE85"/>
    <w:rsid w:val="71E2F92B"/>
    <w:rsid w:val="71E5035C"/>
    <w:rsid w:val="71E547C1"/>
    <w:rsid w:val="71EDCB01"/>
    <w:rsid w:val="71F68A65"/>
    <w:rsid w:val="71FEC055"/>
    <w:rsid w:val="7204C821"/>
    <w:rsid w:val="7208CC50"/>
    <w:rsid w:val="720939C9"/>
    <w:rsid w:val="720CB2D9"/>
    <w:rsid w:val="7212578C"/>
    <w:rsid w:val="72169F58"/>
    <w:rsid w:val="7217ECEF"/>
    <w:rsid w:val="7219A2DF"/>
    <w:rsid w:val="722F7BEE"/>
    <w:rsid w:val="723D65E5"/>
    <w:rsid w:val="724BF78F"/>
    <w:rsid w:val="72503ED1"/>
    <w:rsid w:val="725EEF35"/>
    <w:rsid w:val="726B6757"/>
    <w:rsid w:val="726C93F4"/>
    <w:rsid w:val="72747743"/>
    <w:rsid w:val="72784F28"/>
    <w:rsid w:val="727AB2DF"/>
    <w:rsid w:val="72833DB5"/>
    <w:rsid w:val="72886335"/>
    <w:rsid w:val="72898446"/>
    <w:rsid w:val="72912982"/>
    <w:rsid w:val="7293449B"/>
    <w:rsid w:val="729612A7"/>
    <w:rsid w:val="72A4D0EC"/>
    <w:rsid w:val="72A54C6D"/>
    <w:rsid w:val="72AD1EA1"/>
    <w:rsid w:val="72AD2196"/>
    <w:rsid w:val="72B8C382"/>
    <w:rsid w:val="72BA24E2"/>
    <w:rsid w:val="72BC17D1"/>
    <w:rsid w:val="72C8CE8C"/>
    <w:rsid w:val="72C92D50"/>
    <w:rsid w:val="72D34081"/>
    <w:rsid w:val="72D8A687"/>
    <w:rsid w:val="72DB6CBB"/>
    <w:rsid w:val="72DC0568"/>
    <w:rsid w:val="72E1B64C"/>
    <w:rsid w:val="72E23738"/>
    <w:rsid w:val="72E8E36C"/>
    <w:rsid w:val="72E914E6"/>
    <w:rsid w:val="72EECA75"/>
    <w:rsid w:val="72F3A3CD"/>
    <w:rsid w:val="7300E31B"/>
    <w:rsid w:val="73089F7A"/>
    <w:rsid w:val="731AFF2A"/>
    <w:rsid w:val="731FC950"/>
    <w:rsid w:val="73202003"/>
    <w:rsid w:val="73224924"/>
    <w:rsid w:val="7326F44A"/>
    <w:rsid w:val="73329C46"/>
    <w:rsid w:val="733DBD3D"/>
    <w:rsid w:val="73412641"/>
    <w:rsid w:val="73478334"/>
    <w:rsid w:val="7351977D"/>
    <w:rsid w:val="735239E9"/>
    <w:rsid w:val="735E6201"/>
    <w:rsid w:val="735F9756"/>
    <w:rsid w:val="735FEC9A"/>
    <w:rsid w:val="73634EC9"/>
    <w:rsid w:val="736C41F9"/>
    <w:rsid w:val="7373C760"/>
    <w:rsid w:val="73753869"/>
    <w:rsid w:val="737E0D70"/>
    <w:rsid w:val="737E437C"/>
    <w:rsid w:val="73915334"/>
    <w:rsid w:val="73952897"/>
    <w:rsid w:val="739A2C10"/>
    <w:rsid w:val="739C6522"/>
    <w:rsid w:val="739D5498"/>
    <w:rsid w:val="73ACBEB4"/>
    <w:rsid w:val="73AF2CA6"/>
    <w:rsid w:val="73B00BD6"/>
    <w:rsid w:val="73BA9EF4"/>
    <w:rsid w:val="73ECFC3A"/>
    <w:rsid w:val="73EFBDDA"/>
    <w:rsid w:val="73F4DCD1"/>
    <w:rsid w:val="73F884ED"/>
    <w:rsid w:val="73FFFFD6"/>
    <w:rsid w:val="74005DFA"/>
    <w:rsid w:val="74022947"/>
    <w:rsid w:val="7402D89E"/>
    <w:rsid w:val="74075B2F"/>
    <w:rsid w:val="740AE4B8"/>
    <w:rsid w:val="740B47FE"/>
    <w:rsid w:val="741081CA"/>
    <w:rsid w:val="74158ACA"/>
    <w:rsid w:val="743686C0"/>
    <w:rsid w:val="743E2D85"/>
    <w:rsid w:val="743F8808"/>
    <w:rsid w:val="74444BE1"/>
    <w:rsid w:val="74457257"/>
    <w:rsid w:val="744A67C9"/>
    <w:rsid w:val="744CC506"/>
    <w:rsid w:val="744D59AA"/>
    <w:rsid w:val="745D52E2"/>
    <w:rsid w:val="74727A71"/>
    <w:rsid w:val="7473CE49"/>
    <w:rsid w:val="7479CFCD"/>
    <w:rsid w:val="747CC3D4"/>
    <w:rsid w:val="7488C261"/>
    <w:rsid w:val="7488D6C3"/>
    <w:rsid w:val="748A471B"/>
    <w:rsid w:val="748EF748"/>
    <w:rsid w:val="748F8DC5"/>
    <w:rsid w:val="749656B3"/>
    <w:rsid w:val="749C305E"/>
    <w:rsid w:val="74A99EAC"/>
    <w:rsid w:val="74AA77C3"/>
    <w:rsid w:val="74BD00C0"/>
    <w:rsid w:val="74BE2404"/>
    <w:rsid w:val="74C23F0E"/>
    <w:rsid w:val="74C563B0"/>
    <w:rsid w:val="74D33669"/>
    <w:rsid w:val="74DAF931"/>
    <w:rsid w:val="74E0CFC6"/>
    <w:rsid w:val="74EB963C"/>
    <w:rsid w:val="74F7DDFA"/>
    <w:rsid w:val="750422BE"/>
    <w:rsid w:val="752221A4"/>
    <w:rsid w:val="752D602E"/>
    <w:rsid w:val="75350378"/>
    <w:rsid w:val="753964D0"/>
    <w:rsid w:val="75543A32"/>
    <w:rsid w:val="755A3062"/>
    <w:rsid w:val="755CE8B6"/>
    <w:rsid w:val="755E882C"/>
    <w:rsid w:val="75698FF0"/>
    <w:rsid w:val="756BA8C1"/>
    <w:rsid w:val="756E0E3E"/>
    <w:rsid w:val="7570388D"/>
    <w:rsid w:val="7573010F"/>
    <w:rsid w:val="75771E01"/>
    <w:rsid w:val="7578D2F4"/>
    <w:rsid w:val="757BC931"/>
    <w:rsid w:val="757CC58B"/>
    <w:rsid w:val="757CE8B6"/>
    <w:rsid w:val="758822B0"/>
    <w:rsid w:val="7589E0AF"/>
    <w:rsid w:val="758D0B32"/>
    <w:rsid w:val="759008E2"/>
    <w:rsid w:val="75951CDA"/>
    <w:rsid w:val="759540B9"/>
    <w:rsid w:val="75976AFF"/>
    <w:rsid w:val="7599B342"/>
    <w:rsid w:val="759A9C12"/>
    <w:rsid w:val="759C7FFC"/>
    <w:rsid w:val="759E63C8"/>
    <w:rsid w:val="75A2357E"/>
    <w:rsid w:val="75A27157"/>
    <w:rsid w:val="75AA9D2B"/>
    <w:rsid w:val="75B1968F"/>
    <w:rsid w:val="75B6323D"/>
    <w:rsid w:val="75BBE995"/>
    <w:rsid w:val="75C24449"/>
    <w:rsid w:val="75C2D684"/>
    <w:rsid w:val="75CC8DE3"/>
    <w:rsid w:val="75CE50B0"/>
    <w:rsid w:val="75E35323"/>
    <w:rsid w:val="75E78AE1"/>
    <w:rsid w:val="75F23D06"/>
    <w:rsid w:val="75F74709"/>
    <w:rsid w:val="75F79511"/>
    <w:rsid w:val="75FA4891"/>
    <w:rsid w:val="76013E95"/>
    <w:rsid w:val="7602ED48"/>
    <w:rsid w:val="760F4015"/>
    <w:rsid w:val="7610065C"/>
    <w:rsid w:val="7612F56B"/>
    <w:rsid w:val="7614FE31"/>
    <w:rsid w:val="7615FF8A"/>
    <w:rsid w:val="76201EBA"/>
    <w:rsid w:val="7621C868"/>
    <w:rsid w:val="76245236"/>
    <w:rsid w:val="76258AC2"/>
    <w:rsid w:val="7627F1CE"/>
    <w:rsid w:val="763B2A82"/>
    <w:rsid w:val="763CA2FB"/>
    <w:rsid w:val="7659BB6A"/>
    <w:rsid w:val="765CEB07"/>
    <w:rsid w:val="766F2EED"/>
    <w:rsid w:val="7671C161"/>
    <w:rsid w:val="7674F032"/>
    <w:rsid w:val="76759503"/>
    <w:rsid w:val="767D0A86"/>
    <w:rsid w:val="76838DDD"/>
    <w:rsid w:val="76943F5F"/>
    <w:rsid w:val="76958B0E"/>
    <w:rsid w:val="76969702"/>
    <w:rsid w:val="76978753"/>
    <w:rsid w:val="769FE1E9"/>
    <w:rsid w:val="76A08C59"/>
    <w:rsid w:val="76A0B38E"/>
    <w:rsid w:val="76B182C6"/>
    <w:rsid w:val="76C48B0F"/>
    <w:rsid w:val="76CB6CAE"/>
    <w:rsid w:val="76D3BD1D"/>
    <w:rsid w:val="76D8D6CE"/>
    <w:rsid w:val="76D90C81"/>
    <w:rsid w:val="76DA7393"/>
    <w:rsid w:val="76DC233B"/>
    <w:rsid w:val="76E1F07B"/>
    <w:rsid w:val="76E22D47"/>
    <w:rsid w:val="76E2B2AC"/>
    <w:rsid w:val="76E45F76"/>
    <w:rsid w:val="76E63734"/>
    <w:rsid w:val="76E8D4D5"/>
    <w:rsid w:val="76ED7A42"/>
    <w:rsid w:val="76FF3ABE"/>
    <w:rsid w:val="77010D66"/>
    <w:rsid w:val="7709BD79"/>
    <w:rsid w:val="770CAEFA"/>
    <w:rsid w:val="770F0EC2"/>
    <w:rsid w:val="77101D51"/>
    <w:rsid w:val="771A08DC"/>
    <w:rsid w:val="771DC9F5"/>
    <w:rsid w:val="7728DB93"/>
    <w:rsid w:val="77304A12"/>
    <w:rsid w:val="7732CE0A"/>
    <w:rsid w:val="773F8814"/>
    <w:rsid w:val="774050FB"/>
    <w:rsid w:val="7742A31C"/>
    <w:rsid w:val="7743E1A3"/>
    <w:rsid w:val="774635F7"/>
    <w:rsid w:val="774A8AB6"/>
    <w:rsid w:val="77576F8A"/>
    <w:rsid w:val="775E14AA"/>
    <w:rsid w:val="776B7EB4"/>
    <w:rsid w:val="777D1319"/>
    <w:rsid w:val="778043C9"/>
    <w:rsid w:val="7780B6AE"/>
    <w:rsid w:val="77844E1E"/>
    <w:rsid w:val="7787900F"/>
    <w:rsid w:val="778CF84F"/>
    <w:rsid w:val="7791A0EF"/>
    <w:rsid w:val="779982F2"/>
    <w:rsid w:val="779D0EF6"/>
    <w:rsid w:val="77A3AC70"/>
    <w:rsid w:val="77A3C378"/>
    <w:rsid w:val="77B0CE92"/>
    <w:rsid w:val="77BECFC9"/>
    <w:rsid w:val="77BFFAE9"/>
    <w:rsid w:val="77C6980A"/>
    <w:rsid w:val="77CA5DB1"/>
    <w:rsid w:val="77D09061"/>
    <w:rsid w:val="77D20688"/>
    <w:rsid w:val="77D8BE73"/>
    <w:rsid w:val="77EFB00B"/>
    <w:rsid w:val="77F16F60"/>
    <w:rsid w:val="77FFF94E"/>
    <w:rsid w:val="78013D6A"/>
    <w:rsid w:val="780B8809"/>
    <w:rsid w:val="78216A1C"/>
    <w:rsid w:val="782B1AE2"/>
    <w:rsid w:val="782DA78C"/>
    <w:rsid w:val="78352759"/>
    <w:rsid w:val="7836DB05"/>
    <w:rsid w:val="783B19A9"/>
    <w:rsid w:val="7844B7E6"/>
    <w:rsid w:val="78497890"/>
    <w:rsid w:val="7856213E"/>
    <w:rsid w:val="7858BB96"/>
    <w:rsid w:val="78598CC0"/>
    <w:rsid w:val="7860842C"/>
    <w:rsid w:val="78655395"/>
    <w:rsid w:val="786A4B79"/>
    <w:rsid w:val="786EFBB7"/>
    <w:rsid w:val="78758FEF"/>
    <w:rsid w:val="78765980"/>
    <w:rsid w:val="787ED855"/>
    <w:rsid w:val="78806AD4"/>
    <w:rsid w:val="78825CB2"/>
    <w:rsid w:val="788CDD33"/>
    <w:rsid w:val="7891E709"/>
    <w:rsid w:val="789566B6"/>
    <w:rsid w:val="7897D007"/>
    <w:rsid w:val="7899CDEB"/>
    <w:rsid w:val="789D6354"/>
    <w:rsid w:val="78A43978"/>
    <w:rsid w:val="78AB812C"/>
    <w:rsid w:val="78B5E364"/>
    <w:rsid w:val="78BC2CAD"/>
    <w:rsid w:val="78CCE17B"/>
    <w:rsid w:val="78CE2C58"/>
    <w:rsid w:val="78D55CB6"/>
    <w:rsid w:val="78DCDD6B"/>
    <w:rsid w:val="78E4EE4F"/>
    <w:rsid w:val="78E6E727"/>
    <w:rsid w:val="78E78447"/>
    <w:rsid w:val="78E8AD42"/>
    <w:rsid w:val="78EBAF67"/>
    <w:rsid w:val="78F45A34"/>
    <w:rsid w:val="78FDB88C"/>
    <w:rsid w:val="7918E37A"/>
    <w:rsid w:val="7919F64A"/>
    <w:rsid w:val="791BC123"/>
    <w:rsid w:val="79212C57"/>
    <w:rsid w:val="7923DDCD"/>
    <w:rsid w:val="792AE269"/>
    <w:rsid w:val="792EE110"/>
    <w:rsid w:val="79370CDD"/>
    <w:rsid w:val="7937D4BA"/>
    <w:rsid w:val="793BD0A7"/>
    <w:rsid w:val="793C01A4"/>
    <w:rsid w:val="79470413"/>
    <w:rsid w:val="794996FE"/>
    <w:rsid w:val="79547906"/>
    <w:rsid w:val="795A7C27"/>
    <w:rsid w:val="796035A3"/>
    <w:rsid w:val="79688ACD"/>
    <w:rsid w:val="796FA181"/>
    <w:rsid w:val="7979BD0A"/>
    <w:rsid w:val="7982E162"/>
    <w:rsid w:val="7983BCD7"/>
    <w:rsid w:val="798A67B2"/>
    <w:rsid w:val="799AC5F2"/>
    <w:rsid w:val="799FAAFB"/>
    <w:rsid w:val="79A373BB"/>
    <w:rsid w:val="79A7586A"/>
    <w:rsid w:val="79AA18BA"/>
    <w:rsid w:val="79ABB4B9"/>
    <w:rsid w:val="79AD8A20"/>
    <w:rsid w:val="79AFE938"/>
    <w:rsid w:val="79B33C12"/>
    <w:rsid w:val="79B7BDF9"/>
    <w:rsid w:val="79C18288"/>
    <w:rsid w:val="79C2E497"/>
    <w:rsid w:val="79C61EB6"/>
    <w:rsid w:val="79C7C266"/>
    <w:rsid w:val="79CABE63"/>
    <w:rsid w:val="79CE4A01"/>
    <w:rsid w:val="79D605EC"/>
    <w:rsid w:val="79E9D259"/>
    <w:rsid w:val="79ED05C3"/>
    <w:rsid w:val="79F04624"/>
    <w:rsid w:val="79F40489"/>
    <w:rsid w:val="79F756FE"/>
    <w:rsid w:val="79FADB28"/>
    <w:rsid w:val="79FB51B1"/>
    <w:rsid w:val="7A04E1BA"/>
    <w:rsid w:val="7A0658CD"/>
    <w:rsid w:val="7A0CC2F2"/>
    <w:rsid w:val="7A0FBC13"/>
    <w:rsid w:val="7A1267E9"/>
    <w:rsid w:val="7A1716EE"/>
    <w:rsid w:val="7A1920FA"/>
    <w:rsid w:val="7A1C9A54"/>
    <w:rsid w:val="7A1D3AAF"/>
    <w:rsid w:val="7A1F9F91"/>
    <w:rsid w:val="7A22C411"/>
    <w:rsid w:val="7A2CE8D8"/>
    <w:rsid w:val="7A341793"/>
    <w:rsid w:val="7A351013"/>
    <w:rsid w:val="7A37F578"/>
    <w:rsid w:val="7A3A5EBC"/>
    <w:rsid w:val="7A409253"/>
    <w:rsid w:val="7A44AB76"/>
    <w:rsid w:val="7A522C03"/>
    <w:rsid w:val="7A54A353"/>
    <w:rsid w:val="7A5CC6FA"/>
    <w:rsid w:val="7A6480E1"/>
    <w:rsid w:val="7A75924B"/>
    <w:rsid w:val="7A766F4F"/>
    <w:rsid w:val="7A789730"/>
    <w:rsid w:val="7A7ECB15"/>
    <w:rsid w:val="7A7FC711"/>
    <w:rsid w:val="7A8183A8"/>
    <w:rsid w:val="7A8CF917"/>
    <w:rsid w:val="7A937D4B"/>
    <w:rsid w:val="7A95EDEA"/>
    <w:rsid w:val="7A99000F"/>
    <w:rsid w:val="7A993910"/>
    <w:rsid w:val="7A9D247F"/>
    <w:rsid w:val="7AA726B8"/>
    <w:rsid w:val="7AB2C73B"/>
    <w:rsid w:val="7AB9E5C5"/>
    <w:rsid w:val="7AC4FB2E"/>
    <w:rsid w:val="7AD455A0"/>
    <w:rsid w:val="7ADBEF19"/>
    <w:rsid w:val="7AE16DF3"/>
    <w:rsid w:val="7AE7C836"/>
    <w:rsid w:val="7AEF573B"/>
    <w:rsid w:val="7AF75824"/>
    <w:rsid w:val="7AFBC456"/>
    <w:rsid w:val="7AFD4D9B"/>
    <w:rsid w:val="7AFE38CC"/>
    <w:rsid w:val="7B0666D1"/>
    <w:rsid w:val="7B08A71B"/>
    <w:rsid w:val="7B0925F7"/>
    <w:rsid w:val="7B167421"/>
    <w:rsid w:val="7B1AD716"/>
    <w:rsid w:val="7B294F90"/>
    <w:rsid w:val="7B51F9A8"/>
    <w:rsid w:val="7B531C34"/>
    <w:rsid w:val="7B645217"/>
    <w:rsid w:val="7B654BB2"/>
    <w:rsid w:val="7B895B83"/>
    <w:rsid w:val="7B8A4642"/>
    <w:rsid w:val="7B8B697D"/>
    <w:rsid w:val="7B98172D"/>
    <w:rsid w:val="7B99815B"/>
    <w:rsid w:val="7B9A1BCE"/>
    <w:rsid w:val="7B9D2EEA"/>
    <w:rsid w:val="7BA6BC41"/>
    <w:rsid w:val="7BA83880"/>
    <w:rsid w:val="7BC3B622"/>
    <w:rsid w:val="7BC40338"/>
    <w:rsid w:val="7BD3C9EF"/>
    <w:rsid w:val="7BDFF839"/>
    <w:rsid w:val="7BE07155"/>
    <w:rsid w:val="7BE16808"/>
    <w:rsid w:val="7BE6A96B"/>
    <w:rsid w:val="7BEC9BA4"/>
    <w:rsid w:val="7BF68201"/>
    <w:rsid w:val="7BFA2760"/>
    <w:rsid w:val="7BFD4B4C"/>
    <w:rsid w:val="7BFF9601"/>
    <w:rsid w:val="7C039961"/>
    <w:rsid w:val="7C060B1D"/>
    <w:rsid w:val="7C06B1CD"/>
    <w:rsid w:val="7C0C2893"/>
    <w:rsid w:val="7C16143F"/>
    <w:rsid w:val="7C18BE1E"/>
    <w:rsid w:val="7C1C494F"/>
    <w:rsid w:val="7C22AB54"/>
    <w:rsid w:val="7C3965FE"/>
    <w:rsid w:val="7C3D3B50"/>
    <w:rsid w:val="7C41BDEF"/>
    <w:rsid w:val="7C4555C6"/>
    <w:rsid w:val="7C49C851"/>
    <w:rsid w:val="7C4CAE14"/>
    <w:rsid w:val="7C4E080A"/>
    <w:rsid w:val="7C50A7D9"/>
    <w:rsid w:val="7C51662D"/>
    <w:rsid w:val="7C52B43E"/>
    <w:rsid w:val="7C6469C2"/>
    <w:rsid w:val="7C68F282"/>
    <w:rsid w:val="7C708019"/>
    <w:rsid w:val="7C76DD6A"/>
    <w:rsid w:val="7C8CD97E"/>
    <w:rsid w:val="7C8DA381"/>
    <w:rsid w:val="7C924257"/>
    <w:rsid w:val="7C9DCED4"/>
    <w:rsid w:val="7C9E4463"/>
    <w:rsid w:val="7CA02B8F"/>
    <w:rsid w:val="7CA6E588"/>
    <w:rsid w:val="7CAB14D8"/>
    <w:rsid w:val="7CAD4074"/>
    <w:rsid w:val="7CADE3DA"/>
    <w:rsid w:val="7CB0710B"/>
    <w:rsid w:val="7CE6A408"/>
    <w:rsid w:val="7CED0A38"/>
    <w:rsid w:val="7CF4A64D"/>
    <w:rsid w:val="7D055127"/>
    <w:rsid w:val="7D0CFE10"/>
    <w:rsid w:val="7D1632EA"/>
    <w:rsid w:val="7D2ADAD0"/>
    <w:rsid w:val="7D36430F"/>
    <w:rsid w:val="7D3BFF94"/>
    <w:rsid w:val="7D3ECB99"/>
    <w:rsid w:val="7D435BDD"/>
    <w:rsid w:val="7D45A672"/>
    <w:rsid w:val="7D5B4D89"/>
    <w:rsid w:val="7D63BAE0"/>
    <w:rsid w:val="7D6B46B3"/>
    <w:rsid w:val="7D75316E"/>
    <w:rsid w:val="7D7A4E1A"/>
    <w:rsid w:val="7D895487"/>
    <w:rsid w:val="7D8B071C"/>
    <w:rsid w:val="7D8BC83E"/>
    <w:rsid w:val="7D903042"/>
    <w:rsid w:val="7D9467BC"/>
    <w:rsid w:val="7D946C1F"/>
    <w:rsid w:val="7D948C0D"/>
    <w:rsid w:val="7DA2FF15"/>
    <w:rsid w:val="7DA44453"/>
    <w:rsid w:val="7DAB8B4D"/>
    <w:rsid w:val="7DBADFF4"/>
    <w:rsid w:val="7DC6DA1E"/>
    <w:rsid w:val="7DCA82D7"/>
    <w:rsid w:val="7DD7923F"/>
    <w:rsid w:val="7DD81CB4"/>
    <w:rsid w:val="7DD9C77E"/>
    <w:rsid w:val="7DD9E3CD"/>
    <w:rsid w:val="7DE41A9D"/>
    <w:rsid w:val="7DE45ADF"/>
    <w:rsid w:val="7DE677DA"/>
    <w:rsid w:val="7DEBC9E9"/>
    <w:rsid w:val="7DF04722"/>
    <w:rsid w:val="7DFC8795"/>
    <w:rsid w:val="7DFECA78"/>
    <w:rsid w:val="7E0DD24F"/>
    <w:rsid w:val="7E0DFBD8"/>
    <w:rsid w:val="7E102F43"/>
    <w:rsid w:val="7E14E61E"/>
    <w:rsid w:val="7E15EBC0"/>
    <w:rsid w:val="7E174317"/>
    <w:rsid w:val="7E2B4A04"/>
    <w:rsid w:val="7E2DA606"/>
    <w:rsid w:val="7E35D0B8"/>
    <w:rsid w:val="7E3DB859"/>
    <w:rsid w:val="7E41C7F0"/>
    <w:rsid w:val="7E4B927C"/>
    <w:rsid w:val="7E4ED160"/>
    <w:rsid w:val="7E5B70C7"/>
    <w:rsid w:val="7E667E02"/>
    <w:rsid w:val="7E6ACDDD"/>
    <w:rsid w:val="7E709F1F"/>
    <w:rsid w:val="7E812B6F"/>
    <w:rsid w:val="7E8759F3"/>
    <w:rsid w:val="7E8AF7A8"/>
    <w:rsid w:val="7E90F3DA"/>
    <w:rsid w:val="7E96788D"/>
    <w:rsid w:val="7E982195"/>
    <w:rsid w:val="7E987540"/>
    <w:rsid w:val="7EA08AF2"/>
    <w:rsid w:val="7EAB0504"/>
    <w:rsid w:val="7EACB587"/>
    <w:rsid w:val="7EC217D6"/>
    <w:rsid w:val="7EC61269"/>
    <w:rsid w:val="7ED1E031"/>
    <w:rsid w:val="7ED8C8FE"/>
    <w:rsid w:val="7EE823AF"/>
    <w:rsid w:val="7EEB96FF"/>
    <w:rsid w:val="7EEFE8F5"/>
    <w:rsid w:val="7EF1383E"/>
    <w:rsid w:val="7EFB0A5D"/>
    <w:rsid w:val="7F0A180D"/>
    <w:rsid w:val="7F0C9676"/>
    <w:rsid w:val="7F0EA900"/>
    <w:rsid w:val="7F1165DD"/>
    <w:rsid w:val="7F268B3E"/>
    <w:rsid w:val="7F29B9A1"/>
    <w:rsid w:val="7F37E5A9"/>
    <w:rsid w:val="7F3B010A"/>
    <w:rsid w:val="7F3D0FEC"/>
    <w:rsid w:val="7F480A9A"/>
    <w:rsid w:val="7F49D5EF"/>
    <w:rsid w:val="7F4B8FC9"/>
    <w:rsid w:val="7F4C71F0"/>
    <w:rsid w:val="7F58EA53"/>
    <w:rsid w:val="7F5921EE"/>
    <w:rsid w:val="7F6B5899"/>
    <w:rsid w:val="7F700F71"/>
    <w:rsid w:val="7F720EC5"/>
    <w:rsid w:val="7F72FB94"/>
    <w:rsid w:val="7F7736C2"/>
    <w:rsid w:val="7F77E3A4"/>
    <w:rsid w:val="7F791A14"/>
    <w:rsid w:val="7F79F526"/>
    <w:rsid w:val="7F7AF7FB"/>
    <w:rsid w:val="7F7CF688"/>
    <w:rsid w:val="7FA19F83"/>
    <w:rsid w:val="7FAE8265"/>
    <w:rsid w:val="7FAEDFAB"/>
    <w:rsid w:val="7FB3C8D3"/>
    <w:rsid w:val="7FC1DCF3"/>
    <w:rsid w:val="7FCA40A7"/>
    <w:rsid w:val="7FCD6BB4"/>
    <w:rsid w:val="7FD26802"/>
    <w:rsid w:val="7FD6B55E"/>
    <w:rsid w:val="7FD7CC51"/>
    <w:rsid w:val="7FD946F7"/>
    <w:rsid w:val="7FDD9C2B"/>
    <w:rsid w:val="7FDF9C9C"/>
    <w:rsid w:val="7FE340F9"/>
    <w:rsid w:val="7FEE51B2"/>
    <w:rsid w:val="7FF1B893"/>
    <w:rsid w:val="7FF68E34"/>
    <w:rsid w:val="7FFB90E6"/>
    <w:rsid w:val="7FFCAC0E"/>
    <w:rsid w:val="7FFFC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075625"/>
  <w15:docId w15:val="{9C352306-3425-4808-8ACB-0A255AA1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77"/>
  </w:style>
  <w:style w:type="paragraph" w:styleId="Heading1">
    <w:name w:val="heading 1"/>
    <w:basedOn w:val="Normal"/>
    <w:next w:val="Normal"/>
    <w:link w:val="Heading1Char"/>
    <w:uiPriority w:val="9"/>
    <w:qFormat/>
    <w:rsid w:val="00745F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6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59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45FF4"/>
    <w:pPr>
      <w:outlineLvl w:val="9"/>
    </w:p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926D64"/>
    <w:pPr>
      <w:ind w:left="720"/>
      <w:contextualSpacing/>
    </w:pPr>
  </w:style>
  <w:style w:type="paragraph" w:styleId="Title">
    <w:name w:val="Title"/>
    <w:basedOn w:val="Normal"/>
    <w:next w:val="Normal"/>
    <w:link w:val="TitleChar"/>
    <w:uiPriority w:val="10"/>
    <w:qFormat/>
    <w:rsid w:val="002C03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8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464A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D4044"/>
    <w:pPr>
      <w:tabs>
        <w:tab w:val="left" w:pos="851"/>
        <w:tab w:val="right" w:leader="dot" w:pos="9016"/>
      </w:tabs>
      <w:spacing w:before="240" w:after="240" w:line="288" w:lineRule="auto"/>
      <w:ind w:left="426" w:hanging="426"/>
      <w:jc w:val="both"/>
    </w:pPr>
    <w:rPr>
      <w:rFonts w:ascii="Times New Roman" w:hAnsi="Times New Roman" w:cs="Times New Roman"/>
      <w:noProof/>
      <w:sz w:val="24"/>
      <w:szCs w:val="24"/>
    </w:rPr>
  </w:style>
  <w:style w:type="paragraph" w:styleId="TOC2">
    <w:name w:val="toc 2"/>
    <w:basedOn w:val="Normal"/>
    <w:next w:val="Normal"/>
    <w:autoRedefine/>
    <w:uiPriority w:val="39"/>
    <w:unhideWhenUsed/>
    <w:rsid w:val="00FE39D3"/>
    <w:pPr>
      <w:tabs>
        <w:tab w:val="left" w:pos="1100"/>
        <w:tab w:val="right" w:leader="dot" w:pos="9016"/>
      </w:tabs>
      <w:spacing w:after="100"/>
      <w:ind w:left="220"/>
    </w:pPr>
  </w:style>
  <w:style w:type="character" w:styleId="Hyperlink">
    <w:name w:val="Hyperlink"/>
    <w:basedOn w:val="DefaultParagraphFont"/>
    <w:uiPriority w:val="99"/>
    <w:unhideWhenUsed/>
    <w:rsid w:val="003716B0"/>
    <w:rPr>
      <w:color w:val="0563C1" w:themeColor="hyperlink"/>
      <w:u w:val="single"/>
    </w:rPr>
  </w:style>
  <w:style w:type="paragraph" w:styleId="FootnoteText">
    <w:name w:val="footnote text"/>
    <w:aliases w:val="Footnote Text Char Char,Footnote text,Footnote Text Char1,Footnote Text Char2 Char,Footnote Text Char1 Char1 Char,Footnote Text Char2 Char Char Char,Footnote Text Char1 Char1 Char Char Char,Plonk,fn,fn Char Char,Fußnote,o, Char1,o Car Car"/>
    <w:basedOn w:val="Normal"/>
    <w:link w:val="FootnoteTextChar"/>
    <w:uiPriority w:val="99"/>
    <w:unhideWhenUsed/>
    <w:qFormat/>
    <w:rsid w:val="003E5080"/>
    <w:pPr>
      <w:spacing w:after="0" w:line="240" w:lineRule="auto"/>
    </w:pPr>
    <w:rPr>
      <w:sz w:val="20"/>
      <w:szCs w:val="20"/>
    </w:rPr>
  </w:style>
  <w:style w:type="character" w:customStyle="1" w:styleId="FootnoteTextChar">
    <w:name w:val="Footnote Text Char"/>
    <w:aliases w:val="Footnote Text Char Char Char,Footnote text Char,Footnote Text Char1 Char,Footnote Text Char2 Char Char,Footnote Text Char1 Char1 Char Char,Footnote Text Char2 Char Char Char Char,Footnote Text Char1 Char1 Char Char Char Char,fn Char"/>
    <w:basedOn w:val="DefaultParagraphFont"/>
    <w:link w:val="FootnoteText"/>
    <w:uiPriority w:val="99"/>
    <w:rsid w:val="003E5080"/>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16 Point,note TESI"/>
    <w:basedOn w:val="DefaultParagraphFont"/>
    <w:link w:val="SUPERSCharCharCharCharCharCharCharChar"/>
    <w:uiPriority w:val="99"/>
    <w:unhideWhenUsed/>
    <w:qFormat/>
    <w:rsid w:val="003E5080"/>
    <w:rPr>
      <w:vertAlign w:val="superscript"/>
    </w:rPr>
  </w:style>
  <w:style w:type="character" w:styleId="CommentReference">
    <w:name w:val="annotation reference"/>
    <w:basedOn w:val="DefaultParagraphFont"/>
    <w:uiPriority w:val="99"/>
    <w:semiHidden/>
    <w:unhideWhenUsed/>
    <w:rsid w:val="00B51BD6"/>
    <w:rPr>
      <w:sz w:val="16"/>
      <w:szCs w:val="16"/>
    </w:rPr>
  </w:style>
  <w:style w:type="paragraph" w:styleId="CommentText">
    <w:name w:val="annotation text"/>
    <w:basedOn w:val="Normal"/>
    <w:link w:val="CommentTextChar"/>
    <w:uiPriority w:val="99"/>
    <w:unhideWhenUsed/>
    <w:rsid w:val="00B51BD6"/>
    <w:pPr>
      <w:spacing w:line="240" w:lineRule="auto"/>
    </w:pPr>
    <w:rPr>
      <w:sz w:val="20"/>
      <w:szCs w:val="20"/>
    </w:rPr>
  </w:style>
  <w:style w:type="character" w:customStyle="1" w:styleId="CommentTextChar">
    <w:name w:val="Comment Text Char"/>
    <w:basedOn w:val="DefaultParagraphFont"/>
    <w:link w:val="CommentText"/>
    <w:uiPriority w:val="99"/>
    <w:rsid w:val="00B51BD6"/>
    <w:rPr>
      <w:sz w:val="20"/>
      <w:szCs w:val="20"/>
    </w:rPr>
  </w:style>
  <w:style w:type="paragraph" w:styleId="CommentSubject">
    <w:name w:val="annotation subject"/>
    <w:basedOn w:val="CommentText"/>
    <w:next w:val="CommentText"/>
    <w:link w:val="CommentSubjectChar"/>
    <w:uiPriority w:val="99"/>
    <w:semiHidden/>
    <w:unhideWhenUsed/>
    <w:rsid w:val="00B51BD6"/>
    <w:rPr>
      <w:b/>
      <w:bCs/>
    </w:rPr>
  </w:style>
  <w:style w:type="character" w:customStyle="1" w:styleId="CommentSubjectChar">
    <w:name w:val="Comment Subject Char"/>
    <w:basedOn w:val="CommentTextChar"/>
    <w:link w:val="CommentSubject"/>
    <w:uiPriority w:val="99"/>
    <w:semiHidden/>
    <w:rsid w:val="00B51BD6"/>
    <w:rPr>
      <w:b/>
      <w:bCs/>
      <w:sz w:val="20"/>
      <w:szCs w:val="20"/>
    </w:rPr>
  </w:style>
  <w:style w:type="paragraph" w:styleId="BalloonText">
    <w:name w:val="Balloon Text"/>
    <w:basedOn w:val="Normal"/>
    <w:link w:val="BalloonTextChar"/>
    <w:uiPriority w:val="99"/>
    <w:semiHidden/>
    <w:unhideWhenUsed/>
    <w:rsid w:val="00B51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D6"/>
    <w:rPr>
      <w:rFonts w:ascii="Segoe UI" w:hAnsi="Segoe UI" w:cs="Segoe UI"/>
      <w:sz w:val="18"/>
      <w:szCs w:val="18"/>
    </w:rPr>
  </w:style>
  <w:style w:type="character" w:customStyle="1" w:styleId="Heading3Char">
    <w:name w:val="Heading 3 Char"/>
    <w:basedOn w:val="DefaultParagraphFont"/>
    <w:link w:val="Heading3"/>
    <w:uiPriority w:val="9"/>
    <w:rsid w:val="0086599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6255C1"/>
    <w:pPr>
      <w:spacing w:after="100"/>
      <w:ind w:left="440"/>
    </w:pPr>
  </w:style>
  <w:style w:type="paragraph" w:styleId="Header">
    <w:name w:val="header"/>
    <w:basedOn w:val="Normal"/>
    <w:link w:val="HeaderChar"/>
    <w:uiPriority w:val="99"/>
    <w:unhideWhenUsed/>
    <w:rsid w:val="0028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AB5"/>
  </w:style>
  <w:style w:type="paragraph" w:styleId="Footer">
    <w:name w:val="footer"/>
    <w:basedOn w:val="Normal"/>
    <w:link w:val="FooterChar"/>
    <w:uiPriority w:val="99"/>
    <w:unhideWhenUsed/>
    <w:rsid w:val="0028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AB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246E4F"/>
    <w:pPr>
      <w:spacing w:line="240" w:lineRule="exact"/>
      <w:jc w:val="both"/>
    </w:pPr>
    <w:rPr>
      <w:vertAlign w:val="superscript"/>
    </w:rPr>
  </w:style>
  <w:style w:type="paragraph" w:styleId="Revision">
    <w:name w:val="Revision"/>
    <w:hidden/>
    <w:uiPriority w:val="99"/>
    <w:semiHidden/>
    <w:rsid w:val="00E71149"/>
    <w:pPr>
      <w:spacing w:after="0" w:line="240" w:lineRule="auto"/>
    </w:pPr>
  </w:style>
  <w:style w:type="paragraph" w:customStyle="1" w:styleId="Default">
    <w:name w:val="Default"/>
    <w:rsid w:val="00971AE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A52FA"/>
    <w:rPr>
      <w:color w:val="954F72" w:themeColor="followedHyperlink"/>
      <w:u w:val="single"/>
    </w:rPr>
  </w:style>
  <w:style w:type="character" w:customStyle="1" w:styleId="Marker">
    <w:name w:val="Marker"/>
    <w:basedOn w:val="DefaultParagraphFont"/>
    <w:rsid w:val="00261C77"/>
    <w:rPr>
      <w:color w:val="0000FF"/>
      <w:shd w:val="clear" w:color="auto" w:fill="auto"/>
    </w:rPr>
  </w:style>
  <w:style w:type="paragraph" w:customStyle="1" w:styleId="Pagedecouverture">
    <w:name w:val="Page de couverture"/>
    <w:basedOn w:val="Normal"/>
    <w:next w:val="Normal"/>
    <w:rsid w:val="00261C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1C77"/>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261C77"/>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rsid w:val="00261C77"/>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261C77"/>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rsid w:val="00261C77"/>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261C77"/>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rsid w:val="00261C77"/>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261C77"/>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rsid w:val="0092190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261C77"/>
    <w:rPr>
      <w:rFonts w:ascii="Times New Roman" w:eastAsiaTheme="majorEastAsia" w:hAnsi="Times New Roman" w:cs="Times New Roman"/>
      <w:spacing w:val="-10"/>
      <w:kern w:val="28"/>
      <w:sz w:val="28"/>
      <w:szCs w:val="56"/>
    </w:rPr>
  </w:style>
  <w:style w:type="table" w:styleId="TableGrid">
    <w:name w:val="Table Grid"/>
    <w:basedOn w:val="TableNormal"/>
    <w:uiPriority w:val="39"/>
    <w:rsid w:val="00D1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B2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EB2E89"/>
    <w:rPr>
      <w:rFonts w:ascii="Courier New" w:eastAsia="Times New Roman" w:hAnsi="Courier New" w:cs="Courier New"/>
      <w:sz w:val="20"/>
      <w:szCs w:val="20"/>
      <w:lang w:eastAsia="en-IE"/>
    </w:rPr>
  </w:style>
  <w:style w:type="paragraph" w:customStyle="1" w:styleId="Text1">
    <w:name w:val="Text 1"/>
    <w:basedOn w:val="Normal"/>
    <w:link w:val="Text1Char"/>
    <w:rsid w:val="00BB75F0"/>
    <w:pPr>
      <w:spacing w:after="240" w:line="240" w:lineRule="auto"/>
      <w:ind w:left="482"/>
      <w:jc w:val="both"/>
    </w:pPr>
    <w:rPr>
      <w:rFonts w:ascii="Times New Roman" w:eastAsia="Times New Roman" w:hAnsi="Times New Roman" w:cs="Times New Roman"/>
      <w:noProof/>
      <w:sz w:val="24"/>
      <w:szCs w:val="20"/>
    </w:rPr>
  </w:style>
  <w:style w:type="character" w:customStyle="1" w:styleId="Text1Char">
    <w:name w:val="Text 1 Char"/>
    <w:link w:val="Text1"/>
    <w:locked/>
    <w:rsid w:val="00BB75F0"/>
    <w:rPr>
      <w:rFonts w:ascii="Times New Roman" w:eastAsia="Times New Roman" w:hAnsi="Times New Roman" w:cs="Times New Roman"/>
      <w:noProof/>
      <w:sz w:val="24"/>
      <w:szCs w:val="20"/>
      <w:lang w:val="fr-FR"/>
    </w:rPr>
  </w:style>
  <w:style w:type="paragraph" w:customStyle="1" w:styleId="paragraph">
    <w:name w:val="paragraph"/>
    <w:basedOn w:val="Normal"/>
    <w:rsid w:val="00CE79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CE7923"/>
  </w:style>
  <w:style w:type="character" w:customStyle="1" w:styleId="eop">
    <w:name w:val="eop"/>
    <w:basedOn w:val="DefaultParagraphFont"/>
    <w:rsid w:val="00CE7923"/>
  </w:style>
  <w:style w:type="character" w:customStyle="1" w:styleId="consultation-date">
    <w:name w:val="consultation-date"/>
    <w:basedOn w:val="DefaultParagraphFont"/>
    <w:rsid w:val="00525DB0"/>
  </w:style>
  <w:style w:type="character" w:customStyle="1" w:styleId="findhit">
    <w:name w:val="findhit"/>
    <w:basedOn w:val="DefaultParagraphFont"/>
    <w:rsid w:val="00642B37"/>
  </w:style>
  <w:style w:type="character" w:customStyle="1" w:styleId="Heading4Char">
    <w:name w:val="Heading 4 Char"/>
    <w:basedOn w:val="DefaultParagraphFont"/>
    <w:link w:val="Heading4"/>
    <w:uiPriority w:val="9"/>
    <w:rsid w:val="0041099E"/>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E5249C"/>
    <w:rPr>
      <w:color w:val="605E5C"/>
      <w:shd w:val="clear" w:color="auto" w:fill="E1DFDD"/>
    </w:rPr>
  </w:style>
  <w:style w:type="character" w:customStyle="1" w:styleId="UnresolvedMention2">
    <w:name w:val="Unresolved Mention2"/>
    <w:basedOn w:val="DefaultParagraphFont"/>
    <w:uiPriority w:val="99"/>
    <w:semiHidden/>
    <w:unhideWhenUsed/>
    <w:rsid w:val="000115DE"/>
    <w:rPr>
      <w:color w:val="605E5C"/>
      <w:shd w:val="clear" w:color="auto" w:fill="E1DFDD"/>
    </w:rPr>
  </w:style>
  <w:style w:type="character" w:customStyle="1" w:styleId="UnresolvedMention3">
    <w:name w:val="Unresolved Mention3"/>
    <w:basedOn w:val="DefaultParagraphFont"/>
    <w:uiPriority w:val="99"/>
    <w:semiHidden/>
    <w:unhideWhenUsed/>
    <w:rsid w:val="006D1404"/>
    <w:rPr>
      <w:color w:val="605E5C"/>
      <w:shd w:val="clear" w:color="auto" w:fill="E1DFDD"/>
    </w:rPr>
  </w:style>
  <w:style w:type="paragraph" w:customStyle="1" w:styleId="footnotejt">
    <w:name w:val="footnote jt"/>
    <w:basedOn w:val="FootnoteText"/>
    <w:rsid w:val="006D1404"/>
    <w:pPr>
      <w:tabs>
        <w:tab w:val="left" w:pos="720"/>
      </w:tabs>
      <w:ind w:left="432" w:hanging="432"/>
      <w:jc w:val="both"/>
    </w:pPr>
    <w:rPr>
      <w:rFonts w:ascii="Times New Roman" w:hAnsi="Times New Roman" w:cs="Times New Roman"/>
    </w:rPr>
  </w:style>
  <w:style w:type="character" w:customStyle="1" w:styleId="UnresolvedMention4">
    <w:name w:val="Unresolved Mention4"/>
    <w:basedOn w:val="DefaultParagraphFont"/>
    <w:uiPriority w:val="99"/>
    <w:semiHidden/>
    <w:unhideWhenUsed/>
    <w:rsid w:val="006D1404"/>
    <w:rPr>
      <w:color w:val="605E5C"/>
      <w:shd w:val="clear" w:color="auto" w:fill="E1DFDD"/>
    </w:rPr>
  </w:style>
  <w:style w:type="character" w:customStyle="1" w:styleId="UnresolvedMention5">
    <w:name w:val="Unresolved Mention5"/>
    <w:basedOn w:val="DefaultParagraphFont"/>
    <w:uiPriority w:val="99"/>
    <w:semiHidden/>
    <w:unhideWhenUsed/>
    <w:rsid w:val="006D1404"/>
    <w:rPr>
      <w:color w:val="605E5C"/>
      <w:shd w:val="clear" w:color="auto" w:fill="E1DFDD"/>
    </w:rPr>
  </w:style>
  <w:style w:type="character" w:customStyle="1" w:styleId="UnresolvedMention6">
    <w:name w:val="Unresolved Mention6"/>
    <w:basedOn w:val="DefaultParagraphFont"/>
    <w:uiPriority w:val="99"/>
    <w:semiHidden/>
    <w:unhideWhenUsed/>
    <w:rsid w:val="006D1404"/>
    <w:rPr>
      <w:color w:val="605E5C"/>
      <w:shd w:val="clear" w:color="auto" w:fill="E1DFDD"/>
    </w:rPr>
  </w:style>
  <w:style w:type="character" w:customStyle="1" w:styleId="UnresolvedMention7">
    <w:name w:val="Unresolved Mention7"/>
    <w:basedOn w:val="DefaultParagraphFont"/>
    <w:uiPriority w:val="99"/>
    <w:semiHidden/>
    <w:unhideWhenUsed/>
    <w:rsid w:val="006D1404"/>
    <w:rPr>
      <w:color w:val="605E5C"/>
      <w:shd w:val="clear" w:color="auto" w:fill="E1DFDD"/>
    </w:rPr>
  </w:style>
  <w:style w:type="character" w:customStyle="1" w:styleId="UnresolvedMention8">
    <w:name w:val="Unresolved Mention8"/>
    <w:basedOn w:val="DefaultParagraphFont"/>
    <w:uiPriority w:val="99"/>
    <w:semiHidden/>
    <w:unhideWhenUsed/>
    <w:rsid w:val="00E36D9A"/>
    <w:rPr>
      <w:color w:val="605E5C"/>
      <w:shd w:val="clear" w:color="auto" w:fill="E1DFDD"/>
    </w:rPr>
  </w:style>
  <w:style w:type="character" w:customStyle="1" w:styleId="UnresolvedMention">
    <w:name w:val="Unresolved Mention"/>
    <w:basedOn w:val="DefaultParagraphFont"/>
    <w:uiPriority w:val="99"/>
    <w:semiHidden/>
    <w:unhideWhenUsed/>
    <w:rsid w:val="00062E29"/>
    <w:rPr>
      <w:color w:val="605E5C"/>
      <w:shd w:val="clear" w:color="auto" w:fill="E1DFDD"/>
    </w:rPr>
  </w:style>
  <w:style w:type="paragraph" w:customStyle="1" w:styleId="o1">
    <w:name w:val="o1"/>
    <w:basedOn w:val="Normal"/>
    <w:next w:val="FootnoteText"/>
    <w:uiPriority w:val="99"/>
    <w:unhideWhenUsed/>
    <w:qFormat/>
    <w:rsid w:val="00D054F6"/>
    <w:pPr>
      <w:spacing w:after="0" w:line="240" w:lineRule="auto"/>
    </w:pPr>
    <w:rPr>
      <w:sz w:val="20"/>
      <w:szCs w:val="20"/>
    </w:rPr>
  </w:style>
  <w:style w:type="character" w:styleId="EndnoteReference">
    <w:name w:val="endnote reference"/>
    <w:basedOn w:val="DefaultParagraphFont"/>
    <w:uiPriority w:val="99"/>
    <w:semiHidden/>
    <w:unhideWhenUsed/>
    <w:rsid w:val="00643462"/>
    <w:rPr>
      <w:vertAlign w:val="superscript"/>
    </w:rPr>
  </w:style>
  <w:style w:type="character" w:customStyle="1" w:styleId="EndnoteTextChar">
    <w:name w:val="Endnote Text Char"/>
    <w:basedOn w:val="DefaultParagraphFont"/>
    <w:link w:val="EndnoteText"/>
    <w:uiPriority w:val="99"/>
    <w:semiHidden/>
    <w:rsid w:val="00643462"/>
    <w:rPr>
      <w:sz w:val="20"/>
      <w:szCs w:val="20"/>
    </w:rPr>
  </w:style>
  <w:style w:type="paragraph" w:styleId="EndnoteText">
    <w:name w:val="endnote text"/>
    <w:basedOn w:val="Normal"/>
    <w:link w:val="EndnoteTextChar"/>
    <w:uiPriority w:val="99"/>
    <w:semiHidden/>
    <w:unhideWhenUsed/>
    <w:rsid w:val="00643462"/>
    <w:pPr>
      <w:spacing w:after="0" w:line="240" w:lineRule="auto"/>
    </w:pPr>
    <w:rPr>
      <w:sz w:val="20"/>
      <w:szCs w:val="20"/>
    </w:rPr>
  </w:style>
  <w:style w:type="character" w:customStyle="1" w:styleId="EndnoteTextChar1">
    <w:name w:val="Endnote Text Char1"/>
    <w:basedOn w:val="DefaultParagraphFont"/>
    <w:uiPriority w:val="99"/>
    <w:semiHidden/>
    <w:rsid w:val="00643462"/>
    <w:rPr>
      <w:sz w:val="20"/>
      <w:szCs w:val="20"/>
    </w:rPr>
  </w:style>
  <w:style w:type="paragraph" w:customStyle="1" w:styleId="pf0">
    <w:name w:val="pf0"/>
    <w:basedOn w:val="Normal"/>
    <w:rsid w:val="008C2B0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8C2B04"/>
    <w:rPr>
      <w:rFonts w:ascii="Segoe UI" w:hAnsi="Segoe UI" w:cs="Segoe UI" w:hint="default"/>
      <w:i/>
      <w:iCs/>
      <w:color w:val="2E74B5"/>
      <w:sz w:val="18"/>
      <w:szCs w:val="18"/>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0B67DF"/>
  </w:style>
  <w:style w:type="character" w:customStyle="1" w:styleId="Hyperlink1">
    <w:name w:val="Hyperlink1"/>
    <w:basedOn w:val="DefaultParagraphFont"/>
    <w:uiPriority w:val="99"/>
    <w:unhideWhenUsed/>
    <w:rsid w:val="006C1DA9"/>
    <w:rPr>
      <w:color w:val="0563C1"/>
      <w:u w:val="single"/>
    </w:rPr>
  </w:style>
  <w:style w:type="paragraph" w:customStyle="1" w:styleId="oCarCar1">
    <w:name w:val="o Car Car1"/>
    <w:basedOn w:val="Normal"/>
    <w:next w:val="FootnoteText"/>
    <w:uiPriority w:val="99"/>
    <w:unhideWhenUsed/>
    <w:qFormat/>
    <w:rsid w:val="00410D38"/>
    <w:pPr>
      <w:spacing w:after="0" w:line="240" w:lineRule="auto"/>
    </w:pPr>
    <w:rPr>
      <w:kern w:val="2"/>
      <w:sz w:val="20"/>
      <w:szCs w:val="20"/>
    </w:rPr>
  </w:style>
  <w:style w:type="paragraph" w:customStyle="1" w:styleId="Languesfaisantfoi">
    <w:name w:val="Langues faisant foi"/>
    <w:basedOn w:val="Normal"/>
    <w:next w:val="Normal"/>
    <w:rsid w:val="0009386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09386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093869"/>
    <w:pPr>
      <w:spacing w:after="0"/>
    </w:pPr>
  </w:style>
  <w:style w:type="paragraph" w:customStyle="1" w:styleId="IntrtEEEPagedecouverture">
    <w:name w:val="Intérêt EEE (Page de couverture)"/>
    <w:basedOn w:val="IntrtEEE"/>
    <w:next w:val="Normal"/>
    <w:rsid w:val="00093869"/>
  </w:style>
  <w:style w:type="paragraph" w:customStyle="1" w:styleId="Disclaimer">
    <w:name w:val="Disclaimer"/>
    <w:basedOn w:val="Normal"/>
    <w:rsid w:val="0092190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21907"/>
    <w:pPr>
      <w:spacing w:after="0" w:line="276" w:lineRule="auto"/>
      <w:ind w:left="5103"/>
    </w:pPr>
    <w:rPr>
      <w:rFonts w:ascii="Times New Roman" w:hAnsi="Times New Roman" w:cs="Times New Roman"/>
      <w:sz w:val="28"/>
    </w:rPr>
  </w:style>
  <w:style w:type="paragraph" w:customStyle="1" w:styleId="DateMarking">
    <w:name w:val="DateMarking"/>
    <w:basedOn w:val="Normal"/>
    <w:rsid w:val="00921907"/>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21907"/>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442">
      <w:bodyDiv w:val="1"/>
      <w:marLeft w:val="0"/>
      <w:marRight w:val="0"/>
      <w:marTop w:val="0"/>
      <w:marBottom w:val="0"/>
      <w:divBdr>
        <w:top w:val="none" w:sz="0" w:space="0" w:color="auto"/>
        <w:left w:val="none" w:sz="0" w:space="0" w:color="auto"/>
        <w:bottom w:val="none" w:sz="0" w:space="0" w:color="auto"/>
        <w:right w:val="none" w:sz="0" w:space="0" w:color="auto"/>
      </w:divBdr>
    </w:div>
    <w:div w:id="52781419">
      <w:bodyDiv w:val="1"/>
      <w:marLeft w:val="0"/>
      <w:marRight w:val="0"/>
      <w:marTop w:val="0"/>
      <w:marBottom w:val="0"/>
      <w:divBdr>
        <w:top w:val="none" w:sz="0" w:space="0" w:color="auto"/>
        <w:left w:val="none" w:sz="0" w:space="0" w:color="auto"/>
        <w:bottom w:val="none" w:sz="0" w:space="0" w:color="auto"/>
        <w:right w:val="none" w:sz="0" w:space="0" w:color="auto"/>
      </w:divBdr>
    </w:div>
    <w:div w:id="73210176">
      <w:bodyDiv w:val="1"/>
      <w:marLeft w:val="0"/>
      <w:marRight w:val="0"/>
      <w:marTop w:val="0"/>
      <w:marBottom w:val="0"/>
      <w:divBdr>
        <w:top w:val="none" w:sz="0" w:space="0" w:color="auto"/>
        <w:left w:val="none" w:sz="0" w:space="0" w:color="auto"/>
        <w:bottom w:val="none" w:sz="0" w:space="0" w:color="auto"/>
        <w:right w:val="none" w:sz="0" w:space="0" w:color="auto"/>
      </w:divBdr>
    </w:div>
    <w:div w:id="118644662">
      <w:bodyDiv w:val="1"/>
      <w:marLeft w:val="0"/>
      <w:marRight w:val="0"/>
      <w:marTop w:val="0"/>
      <w:marBottom w:val="0"/>
      <w:divBdr>
        <w:top w:val="none" w:sz="0" w:space="0" w:color="auto"/>
        <w:left w:val="none" w:sz="0" w:space="0" w:color="auto"/>
        <w:bottom w:val="none" w:sz="0" w:space="0" w:color="auto"/>
        <w:right w:val="none" w:sz="0" w:space="0" w:color="auto"/>
      </w:divBdr>
    </w:div>
    <w:div w:id="129054301">
      <w:bodyDiv w:val="1"/>
      <w:marLeft w:val="0"/>
      <w:marRight w:val="0"/>
      <w:marTop w:val="0"/>
      <w:marBottom w:val="0"/>
      <w:divBdr>
        <w:top w:val="none" w:sz="0" w:space="0" w:color="auto"/>
        <w:left w:val="none" w:sz="0" w:space="0" w:color="auto"/>
        <w:bottom w:val="none" w:sz="0" w:space="0" w:color="auto"/>
        <w:right w:val="none" w:sz="0" w:space="0" w:color="auto"/>
      </w:divBdr>
    </w:div>
    <w:div w:id="165943682">
      <w:bodyDiv w:val="1"/>
      <w:marLeft w:val="0"/>
      <w:marRight w:val="0"/>
      <w:marTop w:val="0"/>
      <w:marBottom w:val="0"/>
      <w:divBdr>
        <w:top w:val="none" w:sz="0" w:space="0" w:color="auto"/>
        <w:left w:val="none" w:sz="0" w:space="0" w:color="auto"/>
        <w:bottom w:val="none" w:sz="0" w:space="0" w:color="auto"/>
        <w:right w:val="none" w:sz="0" w:space="0" w:color="auto"/>
      </w:divBdr>
    </w:div>
    <w:div w:id="215968247">
      <w:bodyDiv w:val="1"/>
      <w:marLeft w:val="0"/>
      <w:marRight w:val="0"/>
      <w:marTop w:val="0"/>
      <w:marBottom w:val="0"/>
      <w:divBdr>
        <w:top w:val="none" w:sz="0" w:space="0" w:color="auto"/>
        <w:left w:val="none" w:sz="0" w:space="0" w:color="auto"/>
        <w:bottom w:val="none" w:sz="0" w:space="0" w:color="auto"/>
        <w:right w:val="none" w:sz="0" w:space="0" w:color="auto"/>
      </w:divBdr>
    </w:div>
    <w:div w:id="247663641">
      <w:bodyDiv w:val="1"/>
      <w:marLeft w:val="0"/>
      <w:marRight w:val="0"/>
      <w:marTop w:val="0"/>
      <w:marBottom w:val="0"/>
      <w:divBdr>
        <w:top w:val="none" w:sz="0" w:space="0" w:color="auto"/>
        <w:left w:val="none" w:sz="0" w:space="0" w:color="auto"/>
        <w:bottom w:val="none" w:sz="0" w:space="0" w:color="auto"/>
        <w:right w:val="none" w:sz="0" w:space="0" w:color="auto"/>
      </w:divBdr>
    </w:div>
    <w:div w:id="263851884">
      <w:bodyDiv w:val="1"/>
      <w:marLeft w:val="0"/>
      <w:marRight w:val="0"/>
      <w:marTop w:val="0"/>
      <w:marBottom w:val="0"/>
      <w:divBdr>
        <w:top w:val="none" w:sz="0" w:space="0" w:color="auto"/>
        <w:left w:val="none" w:sz="0" w:space="0" w:color="auto"/>
        <w:bottom w:val="none" w:sz="0" w:space="0" w:color="auto"/>
        <w:right w:val="none" w:sz="0" w:space="0" w:color="auto"/>
      </w:divBdr>
    </w:div>
    <w:div w:id="279382816">
      <w:bodyDiv w:val="1"/>
      <w:marLeft w:val="0"/>
      <w:marRight w:val="0"/>
      <w:marTop w:val="0"/>
      <w:marBottom w:val="0"/>
      <w:divBdr>
        <w:top w:val="none" w:sz="0" w:space="0" w:color="auto"/>
        <w:left w:val="none" w:sz="0" w:space="0" w:color="auto"/>
        <w:bottom w:val="none" w:sz="0" w:space="0" w:color="auto"/>
        <w:right w:val="none" w:sz="0" w:space="0" w:color="auto"/>
      </w:divBdr>
    </w:div>
    <w:div w:id="303243685">
      <w:bodyDiv w:val="1"/>
      <w:marLeft w:val="0"/>
      <w:marRight w:val="0"/>
      <w:marTop w:val="0"/>
      <w:marBottom w:val="0"/>
      <w:divBdr>
        <w:top w:val="none" w:sz="0" w:space="0" w:color="auto"/>
        <w:left w:val="none" w:sz="0" w:space="0" w:color="auto"/>
        <w:bottom w:val="none" w:sz="0" w:space="0" w:color="auto"/>
        <w:right w:val="none" w:sz="0" w:space="0" w:color="auto"/>
      </w:divBdr>
      <w:divsChild>
        <w:div w:id="784156179">
          <w:marLeft w:val="0"/>
          <w:marRight w:val="0"/>
          <w:marTop w:val="0"/>
          <w:marBottom w:val="0"/>
          <w:divBdr>
            <w:top w:val="none" w:sz="0" w:space="0" w:color="auto"/>
            <w:left w:val="none" w:sz="0" w:space="0" w:color="auto"/>
            <w:bottom w:val="none" w:sz="0" w:space="0" w:color="auto"/>
            <w:right w:val="none" w:sz="0" w:space="0" w:color="auto"/>
          </w:divBdr>
        </w:div>
        <w:div w:id="1329165070">
          <w:marLeft w:val="0"/>
          <w:marRight w:val="0"/>
          <w:marTop w:val="0"/>
          <w:marBottom w:val="0"/>
          <w:divBdr>
            <w:top w:val="none" w:sz="0" w:space="0" w:color="auto"/>
            <w:left w:val="none" w:sz="0" w:space="0" w:color="auto"/>
            <w:bottom w:val="none" w:sz="0" w:space="0" w:color="auto"/>
            <w:right w:val="none" w:sz="0" w:space="0" w:color="auto"/>
          </w:divBdr>
        </w:div>
        <w:div w:id="1771311574">
          <w:marLeft w:val="0"/>
          <w:marRight w:val="0"/>
          <w:marTop w:val="0"/>
          <w:marBottom w:val="0"/>
          <w:divBdr>
            <w:top w:val="none" w:sz="0" w:space="0" w:color="auto"/>
            <w:left w:val="none" w:sz="0" w:space="0" w:color="auto"/>
            <w:bottom w:val="none" w:sz="0" w:space="0" w:color="auto"/>
            <w:right w:val="none" w:sz="0" w:space="0" w:color="auto"/>
          </w:divBdr>
        </w:div>
      </w:divsChild>
    </w:div>
    <w:div w:id="315182369">
      <w:bodyDiv w:val="1"/>
      <w:marLeft w:val="0"/>
      <w:marRight w:val="0"/>
      <w:marTop w:val="0"/>
      <w:marBottom w:val="0"/>
      <w:divBdr>
        <w:top w:val="none" w:sz="0" w:space="0" w:color="auto"/>
        <w:left w:val="none" w:sz="0" w:space="0" w:color="auto"/>
        <w:bottom w:val="none" w:sz="0" w:space="0" w:color="auto"/>
        <w:right w:val="none" w:sz="0" w:space="0" w:color="auto"/>
      </w:divBdr>
    </w:div>
    <w:div w:id="340931885">
      <w:bodyDiv w:val="1"/>
      <w:marLeft w:val="0"/>
      <w:marRight w:val="0"/>
      <w:marTop w:val="0"/>
      <w:marBottom w:val="0"/>
      <w:divBdr>
        <w:top w:val="none" w:sz="0" w:space="0" w:color="auto"/>
        <w:left w:val="none" w:sz="0" w:space="0" w:color="auto"/>
        <w:bottom w:val="none" w:sz="0" w:space="0" w:color="auto"/>
        <w:right w:val="none" w:sz="0" w:space="0" w:color="auto"/>
      </w:divBdr>
    </w:div>
    <w:div w:id="388651570">
      <w:bodyDiv w:val="1"/>
      <w:marLeft w:val="0"/>
      <w:marRight w:val="0"/>
      <w:marTop w:val="0"/>
      <w:marBottom w:val="0"/>
      <w:divBdr>
        <w:top w:val="none" w:sz="0" w:space="0" w:color="auto"/>
        <w:left w:val="none" w:sz="0" w:space="0" w:color="auto"/>
        <w:bottom w:val="none" w:sz="0" w:space="0" w:color="auto"/>
        <w:right w:val="none" w:sz="0" w:space="0" w:color="auto"/>
      </w:divBdr>
    </w:div>
    <w:div w:id="409934502">
      <w:bodyDiv w:val="1"/>
      <w:marLeft w:val="0"/>
      <w:marRight w:val="0"/>
      <w:marTop w:val="0"/>
      <w:marBottom w:val="0"/>
      <w:divBdr>
        <w:top w:val="none" w:sz="0" w:space="0" w:color="auto"/>
        <w:left w:val="none" w:sz="0" w:space="0" w:color="auto"/>
        <w:bottom w:val="none" w:sz="0" w:space="0" w:color="auto"/>
        <w:right w:val="none" w:sz="0" w:space="0" w:color="auto"/>
      </w:divBdr>
    </w:div>
    <w:div w:id="414011657">
      <w:bodyDiv w:val="1"/>
      <w:marLeft w:val="0"/>
      <w:marRight w:val="0"/>
      <w:marTop w:val="0"/>
      <w:marBottom w:val="0"/>
      <w:divBdr>
        <w:top w:val="none" w:sz="0" w:space="0" w:color="auto"/>
        <w:left w:val="none" w:sz="0" w:space="0" w:color="auto"/>
        <w:bottom w:val="none" w:sz="0" w:space="0" w:color="auto"/>
        <w:right w:val="none" w:sz="0" w:space="0" w:color="auto"/>
      </w:divBdr>
    </w:div>
    <w:div w:id="424230242">
      <w:bodyDiv w:val="1"/>
      <w:marLeft w:val="0"/>
      <w:marRight w:val="0"/>
      <w:marTop w:val="0"/>
      <w:marBottom w:val="0"/>
      <w:divBdr>
        <w:top w:val="none" w:sz="0" w:space="0" w:color="auto"/>
        <w:left w:val="none" w:sz="0" w:space="0" w:color="auto"/>
        <w:bottom w:val="none" w:sz="0" w:space="0" w:color="auto"/>
        <w:right w:val="none" w:sz="0" w:space="0" w:color="auto"/>
      </w:divBdr>
      <w:divsChild>
        <w:div w:id="1014846624">
          <w:marLeft w:val="0"/>
          <w:marRight w:val="0"/>
          <w:marTop w:val="0"/>
          <w:marBottom w:val="0"/>
          <w:divBdr>
            <w:top w:val="none" w:sz="0" w:space="0" w:color="auto"/>
            <w:left w:val="none" w:sz="0" w:space="0" w:color="auto"/>
            <w:bottom w:val="none" w:sz="0" w:space="0" w:color="auto"/>
            <w:right w:val="none" w:sz="0" w:space="0" w:color="auto"/>
          </w:divBdr>
        </w:div>
      </w:divsChild>
    </w:div>
    <w:div w:id="425350062">
      <w:bodyDiv w:val="1"/>
      <w:marLeft w:val="0"/>
      <w:marRight w:val="0"/>
      <w:marTop w:val="0"/>
      <w:marBottom w:val="0"/>
      <w:divBdr>
        <w:top w:val="none" w:sz="0" w:space="0" w:color="auto"/>
        <w:left w:val="none" w:sz="0" w:space="0" w:color="auto"/>
        <w:bottom w:val="none" w:sz="0" w:space="0" w:color="auto"/>
        <w:right w:val="none" w:sz="0" w:space="0" w:color="auto"/>
      </w:divBdr>
    </w:div>
    <w:div w:id="433325795">
      <w:bodyDiv w:val="1"/>
      <w:marLeft w:val="0"/>
      <w:marRight w:val="0"/>
      <w:marTop w:val="0"/>
      <w:marBottom w:val="0"/>
      <w:divBdr>
        <w:top w:val="none" w:sz="0" w:space="0" w:color="auto"/>
        <w:left w:val="none" w:sz="0" w:space="0" w:color="auto"/>
        <w:bottom w:val="none" w:sz="0" w:space="0" w:color="auto"/>
        <w:right w:val="none" w:sz="0" w:space="0" w:color="auto"/>
      </w:divBdr>
    </w:div>
    <w:div w:id="452024208">
      <w:bodyDiv w:val="1"/>
      <w:marLeft w:val="0"/>
      <w:marRight w:val="0"/>
      <w:marTop w:val="0"/>
      <w:marBottom w:val="0"/>
      <w:divBdr>
        <w:top w:val="none" w:sz="0" w:space="0" w:color="auto"/>
        <w:left w:val="none" w:sz="0" w:space="0" w:color="auto"/>
        <w:bottom w:val="none" w:sz="0" w:space="0" w:color="auto"/>
        <w:right w:val="none" w:sz="0" w:space="0" w:color="auto"/>
      </w:divBdr>
    </w:div>
    <w:div w:id="507913050">
      <w:bodyDiv w:val="1"/>
      <w:marLeft w:val="0"/>
      <w:marRight w:val="0"/>
      <w:marTop w:val="0"/>
      <w:marBottom w:val="0"/>
      <w:divBdr>
        <w:top w:val="none" w:sz="0" w:space="0" w:color="auto"/>
        <w:left w:val="none" w:sz="0" w:space="0" w:color="auto"/>
        <w:bottom w:val="none" w:sz="0" w:space="0" w:color="auto"/>
        <w:right w:val="none" w:sz="0" w:space="0" w:color="auto"/>
      </w:divBdr>
    </w:div>
    <w:div w:id="563951859">
      <w:bodyDiv w:val="1"/>
      <w:marLeft w:val="0"/>
      <w:marRight w:val="0"/>
      <w:marTop w:val="0"/>
      <w:marBottom w:val="0"/>
      <w:divBdr>
        <w:top w:val="none" w:sz="0" w:space="0" w:color="auto"/>
        <w:left w:val="none" w:sz="0" w:space="0" w:color="auto"/>
        <w:bottom w:val="none" w:sz="0" w:space="0" w:color="auto"/>
        <w:right w:val="none" w:sz="0" w:space="0" w:color="auto"/>
      </w:divBdr>
    </w:div>
    <w:div w:id="569734362">
      <w:bodyDiv w:val="1"/>
      <w:marLeft w:val="0"/>
      <w:marRight w:val="0"/>
      <w:marTop w:val="0"/>
      <w:marBottom w:val="0"/>
      <w:divBdr>
        <w:top w:val="none" w:sz="0" w:space="0" w:color="auto"/>
        <w:left w:val="none" w:sz="0" w:space="0" w:color="auto"/>
        <w:bottom w:val="none" w:sz="0" w:space="0" w:color="auto"/>
        <w:right w:val="none" w:sz="0" w:space="0" w:color="auto"/>
      </w:divBdr>
    </w:div>
    <w:div w:id="590433984">
      <w:bodyDiv w:val="1"/>
      <w:marLeft w:val="0"/>
      <w:marRight w:val="0"/>
      <w:marTop w:val="0"/>
      <w:marBottom w:val="0"/>
      <w:divBdr>
        <w:top w:val="none" w:sz="0" w:space="0" w:color="auto"/>
        <w:left w:val="none" w:sz="0" w:space="0" w:color="auto"/>
        <w:bottom w:val="none" w:sz="0" w:space="0" w:color="auto"/>
        <w:right w:val="none" w:sz="0" w:space="0" w:color="auto"/>
      </w:divBdr>
    </w:div>
    <w:div w:id="621227722">
      <w:bodyDiv w:val="1"/>
      <w:marLeft w:val="0"/>
      <w:marRight w:val="0"/>
      <w:marTop w:val="0"/>
      <w:marBottom w:val="0"/>
      <w:divBdr>
        <w:top w:val="none" w:sz="0" w:space="0" w:color="auto"/>
        <w:left w:val="none" w:sz="0" w:space="0" w:color="auto"/>
        <w:bottom w:val="none" w:sz="0" w:space="0" w:color="auto"/>
        <w:right w:val="none" w:sz="0" w:space="0" w:color="auto"/>
      </w:divBdr>
    </w:div>
    <w:div w:id="646202462">
      <w:bodyDiv w:val="1"/>
      <w:marLeft w:val="0"/>
      <w:marRight w:val="0"/>
      <w:marTop w:val="0"/>
      <w:marBottom w:val="0"/>
      <w:divBdr>
        <w:top w:val="none" w:sz="0" w:space="0" w:color="auto"/>
        <w:left w:val="none" w:sz="0" w:space="0" w:color="auto"/>
        <w:bottom w:val="none" w:sz="0" w:space="0" w:color="auto"/>
        <w:right w:val="none" w:sz="0" w:space="0" w:color="auto"/>
      </w:divBdr>
    </w:div>
    <w:div w:id="672728460">
      <w:bodyDiv w:val="1"/>
      <w:marLeft w:val="0"/>
      <w:marRight w:val="0"/>
      <w:marTop w:val="0"/>
      <w:marBottom w:val="0"/>
      <w:divBdr>
        <w:top w:val="none" w:sz="0" w:space="0" w:color="auto"/>
        <w:left w:val="none" w:sz="0" w:space="0" w:color="auto"/>
        <w:bottom w:val="none" w:sz="0" w:space="0" w:color="auto"/>
        <w:right w:val="none" w:sz="0" w:space="0" w:color="auto"/>
      </w:divBdr>
    </w:div>
    <w:div w:id="680089373">
      <w:bodyDiv w:val="1"/>
      <w:marLeft w:val="0"/>
      <w:marRight w:val="0"/>
      <w:marTop w:val="0"/>
      <w:marBottom w:val="0"/>
      <w:divBdr>
        <w:top w:val="none" w:sz="0" w:space="0" w:color="auto"/>
        <w:left w:val="none" w:sz="0" w:space="0" w:color="auto"/>
        <w:bottom w:val="none" w:sz="0" w:space="0" w:color="auto"/>
        <w:right w:val="none" w:sz="0" w:space="0" w:color="auto"/>
      </w:divBdr>
      <w:divsChild>
        <w:div w:id="1466390298">
          <w:marLeft w:val="0"/>
          <w:marRight w:val="0"/>
          <w:marTop w:val="0"/>
          <w:marBottom w:val="0"/>
          <w:divBdr>
            <w:top w:val="none" w:sz="0" w:space="0" w:color="auto"/>
            <w:left w:val="none" w:sz="0" w:space="0" w:color="auto"/>
            <w:bottom w:val="none" w:sz="0" w:space="0" w:color="auto"/>
            <w:right w:val="none" w:sz="0" w:space="0" w:color="auto"/>
          </w:divBdr>
          <w:divsChild>
            <w:div w:id="125511713">
              <w:marLeft w:val="0"/>
              <w:marRight w:val="0"/>
              <w:marTop w:val="0"/>
              <w:marBottom w:val="0"/>
              <w:divBdr>
                <w:top w:val="none" w:sz="0" w:space="0" w:color="auto"/>
                <w:left w:val="none" w:sz="0" w:space="0" w:color="auto"/>
                <w:bottom w:val="none" w:sz="0" w:space="0" w:color="auto"/>
                <w:right w:val="none" w:sz="0" w:space="0" w:color="auto"/>
              </w:divBdr>
            </w:div>
            <w:div w:id="464585990">
              <w:marLeft w:val="0"/>
              <w:marRight w:val="0"/>
              <w:marTop w:val="0"/>
              <w:marBottom w:val="0"/>
              <w:divBdr>
                <w:top w:val="none" w:sz="0" w:space="0" w:color="auto"/>
                <w:left w:val="none" w:sz="0" w:space="0" w:color="auto"/>
                <w:bottom w:val="none" w:sz="0" w:space="0" w:color="auto"/>
                <w:right w:val="none" w:sz="0" w:space="0" w:color="auto"/>
              </w:divBdr>
            </w:div>
            <w:div w:id="543981252">
              <w:marLeft w:val="0"/>
              <w:marRight w:val="0"/>
              <w:marTop w:val="0"/>
              <w:marBottom w:val="0"/>
              <w:divBdr>
                <w:top w:val="none" w:sz="0" w:space="0" w:color="auto"/>
                <w:left w:val="none" w:sz="0" w:space="0" w:color="auto"/>
                <w:bottom w:val="none" w:sz="0" w:space="0" w:color="auto"/>
                <w:right w:val="none" w:sz="0" w:space="0" w:color="auto"/>
              </w:divBdr>
            </w:div>
            <w:div w:id="1246107492">
              <w:marLeft w:val="0"/>
              <w:marRight w:val="0"/>
              <w:marTop w:val="0"/>
              <w:marBottom w:val="0"/>
              <w:divBdr>
                <w:top w:val="none" w:sz="0" w:space="0" w:color="auto"/>
                <w:left w:val="none" w:sz="0" w:space="0" w:color="auto"/>
                <w:bottom w:val="none" w:sz="0" w:space="0" w:color="auto"/>
                <w:right w:val="none" w:sz="0" w:space="0" w:color="auto"/>
              </w:divBdr>
            </w:div>
            <w:div w:id="1355577847">
              <w:marLeft w:val="0"/>
              <w:marRight w:val="0"/>
              <w:marTop w:val="0"/>
              <w:marBottom w:val="0"/>
              <w:divBdr>
                <w:top w:val="none" w:sz="0" w:space="0" w:color="auto"/>
                <w:left w:val="none" w:sz="0" w:space="0" w:color="auto"/>
                <w:bottom w:val="none" w:sz="0" w:space="0" w:color="auto"/>
                <w:right w:val="none" w:sz="0" w:space="0" w:color="auto"/>
              </w:divBdr>
            </w:div>
            <w:div w:id="1622682931">
              <w:marLeft w:val="0"/>
              <w:marRight w:val="0"/>
              <w:marTop w:val="0"/>
              <w:marBottom w:val="0"/>
              <w:divBdr>
                <w:top w:val="none" w:sz="0" w:space="0" w:color="auto"/>
                <w:left w:val="none" w:sz="0" w:space="0" w:color="auto"/>
                <w:bottom w:val="none" w:sz="0" w:space="0" w:color="auto"/>
                <w:right w:val="none" w:sz="0" w:space="0" w:color="auto"/>
              </w:divBdr>
            </w:div>
            <w:div w:id="1972591645">
              <w:marLeft w:val="0"/>
              <w:marRight w:val="0"/>
              <w:marTop w:val="0"/>
              <w:marBottom w:val="0"/>
              <w:divBdr>
                <w:top w:val="none" w:sz="0" w:space="0" w:color="auto"/>
                <w:left w:val="none" w:sz="0" w:space="0" w:color="auto"/>
                <w:bottom w:val="none" w:sz="0" w:space="0" w:color="auto"/>
                <w:right w:val="none" w:sz="0" w:space="0" w:color="auto"/>
              </w:divBdr>
              <w:divsChild>
                <w:div w:id="94637000">
                  <w:marLeft w:val="0"/>
                  <w:marRight w:val="0"/>
                  <w:marTop w:val="0"/>
                  <w:marBottom w:val="0"/>
                  <w:divBdr>
                    <w:top w:val="none" w:sz="0" w:space="0" w:color="auto"/>
                    <w:left w:val="none" w:sz="0" w:space="0" w:color="auto"/>
                    <w:bottom w:val="none" w:sz="0" w:space="0" w:color="auto"/>
                    <w:right w:val="none" w:sz="0" w:space="0" w:color="auto"/>
                  </w:divBdr>
                </w:div>
                <w:div w:id="433601093">
                  <w:marLeft w:val="0"/>
                  <w:marRight w:val="0"/>
                  <w:marTop w:val="0"/>
                  <w:marBottom w:val="0"/>
                  <w:divBdr>
                    <w:top w:val="none" w:sz="0" w:space="0" w:color="auto"/>
                    <w:left w:val="none" w:sz="0" w:space="0" w:color="auto"/>
                    <w:bottom w:val="none" w:sz="0" w:space="0" w:color="auto"/>
                    <w:right w:val="none" w:sz="0" w:space="0" w:color="auto"/>
                  </w:divBdr>
                </w:div>
                <w:div w:id="594093054">
                  <w:marLeft w:val="0"/>
                  <w:marRight w:val="0"/>
                  <w:marTop w:val="0"/>
                  <w:marBottom w:val="0"/>
                  <w:divBdr>
                    <w:top w:val="none" w:sz="0" w:space="0" w:color="auto"/>
                    <w:left w:val="none" w:sz="0" w:space="0" w:color="auto"/>
                    <w:bottom w:val="none" w:sz="0" w:space="0" w:color="auto"/>
                    <w:right w:val="none" w:sz="0" w:space="0" w:color="auto"/>
                  </w:divBdr>
                </w:div>
                <w:div w:id="17583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40645">
      <w:bodyDiv w:val="1"/>
      <w:marLeft w:val="0"/>
      <w:marRight w:val="0"/>
      <w:marTop w:val="0"/>
      <w:marBottom w:val="0"/>
      <w:divBdr>
        <w:top w:val="none" w:sz="0" w:space="0" w:color="auto"/>
        <w:left w:val="none" w:sz="0" w:space="0" w:color="auto"/>
        <w:bottom w:val="none" w:sz="0" w:space="0" w:color="auto"/>
        <w:right w:val="none" w:sz="0" w:space="0" w:color="auto"/>
      </w:divBdr>
    </w:div>
    <w:div w:id="733629609">
      <w:bodyDiv w:val="1"/>
      <w:marLeft w:val="0"/>
      <w:marRight w:val="0"/>
      <w:marTop w:val="0"/>
      <w:marBottom w:val="0"/>
      <w:divBdr>
        <w:top w:val="none" w:sz="0" w:space="0" w:color="auto"/>
        <w:left w:val="none" w:sz="0" w:space="0" w:color="auto"/>
        <w:bottom w:val="none" w:sz="0" w:space="0" w:color="auto"/>
        <w:right w:val="none" w:sz="0" w:space="0" w:color="auto"/>
      </w:divBdr>
    </w:div>
    <w:div w:id="756826818">
      <w:bodyDiv w:val="1"/>
      <w:marLeft w:val="0"/>
      <w:marRight w:val="0"/>
      <w:marTop w:val="0"/>
      <w:marBottom w:val="0"/>
      <w:divBdr>
        <w:top w:val="none" w:sz="0" w:space="0" w:color="auto"/>
        <w:left w:val="none" w:sz="0" w:space="0" w:color="auto"/>
        <w:bottom w:val="none" w:sz="0" w:space="0" w:color="auto"/>
        <w:right w:val="none" w:sz="0" w:space="0" w:color="auto"/>
      </w:divBdr>
    </w:div>
    <w:div w:id="770319682">
      <w:bodyDiv w:val="1"/>
      <w:marLeft w:val="0"/>
      <w:marRight w:val="0"/>
      <w:marTop w:val="0"/>
      <w:marBottom w:val="0"/>
      <w:divBdr>
        <w:top w:val="none" w:sz="0" w:space="0" w:color="auto"/>
        <w:left w:val="none" w:sz="0" w:space="0" w:color="auto"/>
        <w:bottom w:val="none" w:sz="0" w:space="0" w:color="auto"/>
        <w:right w:val="none" w:sz="0" w:space="0" w:color="auto"/>
      </w:divBdr>
    </w:div>
    <w:div w:id="832141606">
      <w:bodyDiv w:val="1"/>
      <w:marLeft w:val="0"/>
      <w:marRight w:val="0"/>
      <w:marTop w:val="0"/>
      <w:marBottom w:val="0"/>
      <w:divBdr>
        <w:top w:val="none" w:sz="0" w:space="0" w:color="auto"/>
        <w:left w:val="none" w:sz="0" w:space="0" w:color="auto"/>
        <w:bottom w:val="none" w:sz="0" w:space="0" w:color="auto"/>
        <w:right w:val="none" w:sz="0" w:space="0" w:color="auto"/>
      </w:divBdr>
    </w:div>
    <w:div w:id="859127704">
      <w:bodyDiv w:val="1"/>
      <w:marLeft w:val="0"/>
      <w:marRight w:val="0"/>
      <w:marTop w:val="0"/>
      <w:marBottom w:val="0"/>
      <w:divBdr>
        <w:top w:val="none" w:sz="0" w:space="0" w:color="auto"/>
        <w:left w:val="none" w:sz="0" w:space="0" w:color="auto"/>
        <w:bottom w:val="none" w:sz="0" w:space="0" w:color="auto"/>
        <w:right w:val="none" w:sz="0" w:space="0" w:color="auto"/>
      </w:divBdr>
    </w:div>
    <w:div w:id="882979739">
      <w:bodyDiv w:val="1"/>
      <w:marLeft w:val="0"/>
      <w:marRight w:val="0"/>
      <w:marTop w:val="0"/>
      <w:marBottom w:val="0"/>
      <w:divBdr>
        <w:top w:val="none" w:sz="0" w:space="0" w:color="auto"/>
        <w:left w:val="none" w:sz="0" w:space="0" w:color="auto"/>
        <w:bottom w:val="none" w:sz="0" w:space="0" w:color="auto"/>
        <w:right w:val="none" w:sz="0" w:space="0" w:color="auto"/>
      </w:divBdr>
    </w:div>
    <w:div w:id="885683434">
      <w:bodyDiv w:val="1"/>
      <w:marLeft w:val="0"/>
      <w:marRight w:val="0"/>
      <w:marTop w:val="0"/>
      <w:marBottom w:val="0"/>
      <w:divBdr>
        <w:top w:val="none" w:sz="0" w:space="0" w:color="auto"/>
        <w:left w:val="none" w:sz="0" w:space="0" w:color="auto"/>
        <w:bottom w:val="none" w:sz="0" w:space="0" w:color="auto"/>
        <w:right w:val="none" w:sz="0" w:space="0" w:color="auto"/>
      </w:divBdr>
    </w:div>
    <w:div w:id="925385419">
      <w:bodyDiv w:val="1"/>
      <w:marLeft w:val="0"/>
      <w:marRight w:val="0"/>
      <w:marTop w:val="0"/>
      <w:marBottom w:val="0"/>
      <w:divBdr>
        <w:top w:val="none" w:sz="0" w:space="0" w:color="auto"/>
        <w:left w:val="none" w:sz="0" w:space="0" w:color="auto"/>
        <w:bottom w:val="none" w:sz="0" w:space="0" w:color="auto"/>
        <w:right w:val="none" w:sz="0" w:space="0" w:color="auto"/>
      </w:divBdr>
    </w:div>
    <w:div w:id="927234626">
      <w:bodyDiv w:val="1"/>
      <w:marLeft w:val="0"/>
      <w:marRight w:val="0"/>
      <w:marTop w:val="0"/>
      <w:marBottom w:val="0"/>
      <w:divBdr>
        <w:top w:val="none" w:sz="0" w:space="0" w:color="auto"/>
        <w:left w:val="none" w:sz="0" w:space="0" w:color="auto"/>
        <w:bottom w:val="none" w:sz="0" w:space="0" w:color="auto"/>
        <w:right w:val="none" w:sz="0" w:space="0" w:color="auto"/>
      </w:divBdr>
    </w:div>
    <w:div w:id="928545938">
      <w:bodyDiv w:val="1"/>
      <w:marLeft w:val="0"/>
      <w:marRight w:val="0"/>
      <w:marTop w:val="0"/>
      <w:marBottom w:val="0"/>
      <w:divBdr>
        <w:top w:val="none" w:sz="0" w:space="0" w:color="auto"/>
        <w:left w:val="none" w:sz="0" w:space="0" w:color="auto"/>
        <w:bottom w:val="none" w:sz="0" w:space="0" w:color="auto"/>
        <w:right w:val="none" w:sz="0" w:space="0" w:color="auto"/>
      </w:divBdr>
    </w:div>
    <w:div w:id="962810955">
      <w:bodyDiv w:val="1"/>
      <w:marLeft w:val="0"/>
      <w:marRight w:val="0"/>
      <w:marTop w:val="0"/>
      <w:marBottom w:val="0"/>
      <w:divBdr>
        <w:top w:val="none" w:sz="0" w:space="0" w:color="auto"/>
        <w:left w:val="none" w:sz="0" w:space="0" w:color="auto"/>
        <w:bottom w:val="none" w:sz="0" w:space="0" w:color="auto"/>
        <w:right w:val="none" w:sz="0" w:space="0" w:color="auto"/>
      </w:divBdr>
    </w:div>
    <w:div w:id="990206935">
      <w:bodyDiv w:val="1"/>
      <w:marLeft w:val="0"/>
      <w:marRight w:val="0"/>
      <w:marTop w:val="0"/>
      <w:marBottom w:val="0"/>
      <w:divBdr>
        <w:top w:val="none" w:sz="0" w:space="0" w:color="auto"/>
        <w:left w:val="none" w:sz="0" w:space="0" w:color="auto"/>
        <w:bottom w:val="none" w:sz="0" w:space="0" w:color="auto"/>
        <w:right w:val="none" w:sz="0" w:space="0" w:color="auto"/>
      </w:divBdr>
    </w:div>
    <w:div w:id="996112067">
      <w:bodyDiv w:val="1"/>
      <w:marLeft w:val="0"/>
      <w:marRight w:val="0"/>
      <w:marTop w:val="0"/>
      <w:marBottom w:val="0"/>
      <w:divBdr>
        <w:top w:val="none" w:sz="0" w:space="0" w:color="auto"/>
        <w:left w:val="none" w:sz="0" w:space="0" w:color="auto"/>
        <w:bottom w:val="none" w:sz="0" w:space="0" w:color="auto"/>
        <w:right w:val="none" w:sz="0" w:space="0" w:color="auto"/>
      </w:divBdr>
    </w:div>
    <w:div w:id="1028724216">
      <w:bodyDiv w:val="1"/>
      <w:marLeft w:val="0"/>
      <w:marRight w:val="0"/>
      <w:marTop w:val="0"/>
      <w:marBottom w:val="0"/>
      <w:divBdr>
        <w:top w:val="none" w:sz="0" w:space="0" w:color="auto"/>
        <w:left w:val="none" w:sz="0" w:space="0" w:color="auto"/>
        <w:bottom w:val="none" w:sz="0" w:space="0" w:color="auto"/>
        <w:right w:val="none" w:sz="0" w:space="0" w:color="auto"/>
      </w:divBdr>
    </w:div>
    <w:div w:id="1066077028">
      <w:bodyDiv w:val="1"/>
      <w:marLeft w:val="0"/>
      <w:marRight w:val="0"/>
      <w:marTop w:val="0"/>
      <w:marBottom w:val="0"/>
      <w:divBdr>
        <w:top w:val="none" w:sz="0" w:space="0" w:color="auto"/>
        <w:left w:val="none" w:sz="0" w:space="0" w:color="auto"/>
        <w:bottom w:val="none" w:sz="0" w:space="0" w:color="auto"/>
        <w:right w:val="none" w:sz="0" w:space="0" w:color="auto"/>
      </w:divBdr>
    </w:div>
    <w:div w:id="1080372023">
      <w:bodyDiv w:val="1"/>
      <w:marLeft w:val="0"/>
      <w:marRight w:val="0"/>
      <w:marTop w:val="0"/>
      <w:marBottom w:val="0"/>
      <w:divBdr>
        <w:top w:val="none" w:sz="0" w:space="0" w:color="auto"/>
        <w:left w:val="none" w:sz="0" w:space="0" w:color="auto"/>
        <w:bottom w:val="none" w:sz="0" w:space="0" w:color="auto"/>
        <w:right w:val="none" w:sz="0" w:space="0" w:color="auto"/>
      </w:divBdr>
    </w:div>
    <w:div w:id="1086196516">
      <w:bodyDiv w:val="1"/>
      <w:marLeft w:val="0"/>
      <w:marRight w:val="0"/>
      <w:marTop w:val="0"/>
      <w:marBottom w:val="0"/>
      <w:divBdr>
        <w:top w:val="none" w:sz="0" w:space="0" w:color="auto"/>
        <w:left w:val="none" w:sz="0" w:space="0" w:color="auto"/>
        <w:bottom w:val="none" w:sz="0" w:space="0" w:color="auto"/>
        <w:right w:val="none" w:sz="0" w:space="0" w:color="auto"/>
      </w:divBdr>
    </w:div>
    <w:div w:id="1128889679">
      <w:bodyDiv w:val="1"/>
      <w:marLeft w:val="0"/>
      <w:marRight w:val="0"/>
      <w:marTop w:val="0"/>
      <w:marBottom w:val="0"/>
      <w:divBdr>
        <w:top w:val="none" w:sz="0" w:space="0" w:color="auto"/>
        <w:left w:val="none" w:sz="0" w:space="0" w:color="auto"/>
        <w:bottom w:val="none" w:sz="0" w:space="0" w:color="auto"/>
        <w:right w:val="none" w:sz="0" w:space="0" w:color="auto"/>
      </w:divBdr>
    </w:div>
    <w:div w:id="1226181570">
      <w:bodyDiv w:val="1"/>
      <w:marLeft w:val="0"/>
      <w:marRight w:val="0"/>
      <w:marTop w:val="0"/>
      <w:marBottom w:val="0"/>
      <w:divBdr>
        <w:top w:val="none" w:sz="0" w:space="0" w:color="auto"/>
        <w:left w:val="none" w:sz="0" w:space="0" w:color="auto"/>
        <w:bottom w:val="none" w:sz="0" w:space="0" w:color="auto"/>
        <w:right w:val="none" w:sz="0" w:space="0" w:color="auto"/>
      </w:divBdr>
    </w:div>
    <w:div w:id="1229926985">
      <w:bodyDiv w:val="1"/>
      <w:marLeft w:val="0"/>
      <w:marRight w:val="0"/>
      <w:marTop w:val="0"/>
      <w:marBottom w:val="0"/>
      <w:divBdr>
        <w:top w:val="none" w:sz="0" w:space="0" w:color="auto"/>
        <w:left w:val="none" w:sz="0" w:space="0" w:color="auto"/>
        <w:bottom w:val="none" w:sz="0" w:space="0" w:color="auto"/>
        <w:right w:val="none" w:sz="0" w:space="0" w:color="auto"/>
      </w:divBdr>
    </w:div>
    <w:div w:id="1430153774">
      <w:bodyDiv w:val="1"/>
      <w:marLeft w:val="0"/>
      <w:marRight w:val="0"/>
      <w:marTop w:val="0"/>
      <w:marBottom w:val="0"/>
      <w:divBdr>
        <w:top w:val="none" w:sz="0" w:space="0" w:color="auto"/>
        <w:left w:val="none" w:sz="0" w:space="0" w:color="auto"/>
        <w:bottom w:val="none" w:sz="0" w:space="0" w:color="auto"/>
        <w:right w:val="none" w:sz="0" w:space="0" w:color="auto"/>
      </w:divBdr>
    </w:div>
    <w:div w:id="1459687184">
      <w:bodyDiv w:val="1"/>
      <w:marLeft w:val="0"/>
      <w:marRight w:val="0"/>
      <w:marTop w:val="0"/>
      <w:marBottom w:val="0"/>
      <w:divBdr>
        <w:top w:val="none" w:sz="0" w:space="0" w:color="auto"/>
        <w:left w:val="none" w:sz="0" w:space="0" w:color="auto"/>
        <w:bottom w:val="none" w:sz="0" w:space="0" w:color="auto"/>
        <w:right w:val="none" w:sz="0" w:space="0" w:color="auto"/>
      </w:divBdr>
    </w:div>
    <w:div w:id="1476531092">
      <w:bodyDiv w:val="1"/>
      <w:marLeft w:val="0"/>
      <w:marRight w:val="0"/>
      <w:marTop w:val="0"/>
      <w:marBottom w:val="0"/>
      <w:divBdr>
        <w:top w:val="none" w:sz="0" w:space="0" w:color="auto"/>
        <w:left w:val="none" w:sz="0" w:space="0" w:color="auto"/>
        <w:bottom w:val="none" w:sz="0" w:space="0" w:color="auto"/>
        <w:right w:val="none" w:sz="0" w:space="0" w:color="auto"/>
      </w:divBdr>
    </w:div>
    <w:div w:id="1552766136">
      <w:bodyDiv w:val="1"/>
      <w:marLeft w:val="0"/>
      <w:marRight w:val="0"/>
      <w:marTop w:val="0"/>
      <w:marBottom w:val="0"/>
      <w:divBdr>
        <w:top w:val="none" w:sz="0" w:space="0" w:color="auto"/>
        <w:left w:val="none" w:sz="0" w:space="0" w:color="auto"/>
        <w:bottom w:val="none" w:sz="0" w:space="0" w:color="auto"/>
        <w:right w:val="none" w:sz="0" w:space="0" w:color="auto"/>
      </w:divBdr>
    </w:div>
    <w:div w:id="1599291684">
      <w:bodyDiv w:val="1"/>
      <w:marLeft w:val="0"/>
      <w:marRight w:val="0"/>
      <w:marTop w:val="0"/>
      <w:marBottom w:val="0"/>
      <w:divBdr>
        <w:top w:val="none" w:sz="0" w:space="0" w:color="auto"/>
        <w:left w:val="none" w:sz="0" w:space="0" w:color="auto"/>
        <w:bottom w:val="none" w:sz="0" w:space="0" w:color="auto"/>
        <w:right w:val="none" w:sz="0" w:space="0" w:color="auto"/>
      </w:divBdr>
    </w:div>
    <w:div w:id="1619409010">
      <w:bodyDiv w:val="1"/>
      <w:marLeft w:val="0"/>
      <w:marRight w:val="0"/>
      <w:marTop w:val="0"/>
      <w:marBottom w:val="0"/>
      <w:divBdr>
        <w:top w:val="none" w:sz="0" w:space="0" w:color="auto"/>
        <w:left w:val="none" w:sz="0" w:space="0" w:color="auto"/>
        <w:bottom w:val="none" w:sz="0" w:space="0" w:color="auto"/>
        <w:right w:val="none" w:sz="0" w:space="0" w:color="auto"/>
      </w:divBdr>
      <w:divsChild>
        <w:div w:id="1661274021">
          <w:marLeft w:val="0"/>
          <w:marRight w:val="0"/>
          <w:marTop w:val="0"/>
          <w:marBottom w:val="0"/>
          <w:divBdr>
            <w:top w:val="none" w:sz="0" w:space="0" w:color="auto"/>
            <w:left w:val="none" w:sz="0" w:space="0" w:color="auto"/>
            <w:bottom w:val="none" w:sz="0" w:space="0" w:color="auto"/>
            <w:right w:val="none" w:sz="0" w:space="0" w:color="auto"/>
          </w:divBdr>
        </w:div>
      </w:divsChild>
    </w:div>
    <w:div w:id="1713384145">
      <w:bodyDiv w:val="1"/>
      <w:marLeft w:val="0"/>
      <w:marRight w:val="0"/>
      <w:marTop w:val="0"/>
      <w:marBottom w:val="0"/>
      <w:divBdr>
        <w:top w:val="none" w:sz="0" w:space="0" w:color="auto"/>
        <w:left w:val="none" w:sz="0" w:space="0" w:color="auto"/>
        <w:bottom w:val="none" w:sz="0" w:space="0" w:color="auto"/>
        <w:right w:val="none" w:sz="0" w:space="0" w:color="auto"/>
      </w:divBdr>
    </w:div>
    <w:div w:id="1758016547">
      <w:bodyDiv w:val="1"/>
      <w:marLeft w:val="0"/>
      <w:marRight w:val="0"/>
      <w:marTop w:val="0"/>
      <w:marBottom w:val="0"/>
      <w:divBdr>
        <w:top w:val="none" w:sz="0" w:space="0" w:color="auto"/>
        <w:left w:val="none" w:sz="0" w:space="0" w:color="auto"/>
        <w:bottom w:val="none" w:sz="0" w:space="0" w:color="auto"/>
        <w:right w:val="none" w:sz="0" w:space="0" w:color="auto"/>
      </w:divBdr>
    </w:div>
    <w:div w:id="1792627231">
      <w:bodyDiv w:val="1"/>
      <w:marLeft w:val="0"/>
      <w:marRight w:val="0"/>
      <w:marTop w:val="0"/>
      <w:marBottom w:val="0"/>
      <w:divBdr>
        <w:top w:val="none" w:sz="0" w:space="0" w:color="auto"/>
        <w:left w:val="none" w:sz="0" w:space="0" w:color="auto"/>
        <w:bottom w:val="none" w:sz="0" w:space="0" w:color="auto"/>
        <w:right w:val="none" w:sz="0" w:space="0" w:color="auto"/>
      </w:divBdr>
    </w:div>
    <w:div w:id="1807383819">
      <w:bodyDiv w:val="1"/>
      <w:marLeft w:val="0"/>
      <w:marRight w:val="0"/>
      <w:marTop w:val="0"/>
      <w:marBottom w:val="0"/>
      <w:divBdr>
        <w:top w:val="none" w:sz="0" w:space="0" w:color="auto"/>
        <w:left w:val="none" w:sz="0" w:space="0" w:color="auto"/>
        <w:bottom w:val="none" w:sz="0" w:space="0" w:color="auto"/>
        <w:right w:val="none" w:sz="0" w:space="0" w:color="auto"/>
      </w:divBdr>
    </w:div>
    <w:div w:id="1811289851">
      <w:bodyDiv w:val="1"/>
      <w:marLeft w:val="0"/>
      <w:marRight w:val="0"/>
      <w:marTop w:val="0"/>
      <w:marBottom w:val="0"/>
      <w:divBdr>
        <w:top w:val="none" w:sz="0" w:space="0" w:color="auto"/>
        <w:left w:val="none" w:sz="0" w:space="0" w:color="auto"/>
        <w:bottom w:val="none" w:sz="0" w:space="0" w:color="auto"/>
        <w:right w:val="none" w:sz="0" w:space="0" w:color="auto"/>
      </w:divBdr>
    </w:div>
    <w:div w:id="1857423502">
      <w:bodyDiv w:val="1"/>
      <w:marLeft w:val="0"/>
      <w:marRight w:val="0"/>
      <w:marTop w:val="0"/>
      <w:marBottom w:val="0"/>
      <w:divBdr>
        <w:top w:val="none" w:sz="0" w:space="0" w:color="auto"/>
        <w:left w:val="none" w:sz="0" w:space="0" w:color="auto"/>
        <w:bottom w:val="none" w:sz="0" w:space="0" w:color="auto"/>
        <w:right w:val="none" w:sz="0" w:space="0" w:color="auto"/>
      </w:divBdr>
    </w:div>
    <w:div w:id="1866208489">
      <w:bodyDiv w:val="1"/>
      <w:marLeft w:val="0"/>
      <w:marRight w:val="0"/>
      <w:marTop w:val="0"/>
      <w:marBottom w:val="0"/>
      <w:divBdr>
        <w:top w:val="none" w:sz="0" w:space="0" w:color="auto"/>
        <w:left w:val="none" w:sz="0" w:space="0" w:color="auto"/>
        <w:bottom w:val="none" w:sz="0" w:space="0" w:color="auto"/>
        <w:right w:val="none" w:sz="0" w:space="0" w:color="auto"/>
      </w:divBdr>
    </w:div>
    <w:div w:id="1878614310">
      <w:bodyDiv w:val="1"/>
      <w:marLeft w:val="0"/>
      <w:marRight w:val="0"/>
      <w:marTop w:val="0"/>
      <w:marBottom w:val="0"/>
      <w:divBdr>
        <w:top w:val="none" w:sz="0" w:space="0" w:color="auto"/>
        <w:left w:val="none" w:sz="0" w:space="0" w:color="auto"/>
        <w:bottom w:val="none" w:sz="0" w:space="0" w:color="auto"/>
        <w:right w:val="none" w:sz="0" w:space="0" w:color="auto"/>
      </w:divBdr>
    </w:div>
    <w:div w:id="1881891797">
      <w:bodyDiv w:val="1"/>
      <w:marLeft w:val="0"/>
      <w:marRight w:val="0"/>
      <w:marTop w:val="0"/>
      <w:marBottom w:val="0"/>
      <w:divBdr>
        <w:top w:val="none" w:sz="0" w:space="0" w:color="auto"/>
        <w:left w:val="none" w:sz="0" w:space="0" w:color="auto"/>
        <w:bottom w:val="none" w:sz="0" w:space="0" w:color="auto"/>
        <w:right w:val="none" w:sz="0" w:space="0" w:color="auto"/>
      </w:divBdr>
    </w:div>
    <w:div w:id="1925602337">
      <w:bodyDiv w:val="1"/>
      <w:marLeft w:val="0"/>
      <w:marRight w:val="0"/>
      <w:marTop w:val="0"/>
      <w:marBottom w:val="0"/>
      <w:divBdr>
        <w:top w:val="none" w:sz="0" w:space="0" w:color="auto"/>
        <w:left w:val="none" w:sz="0" w:space="0" w:color="auto"/>
        <w:bottom w:val="none" w:sz="0" w:space="0" w:color="auto"/>
        <w:right w:val="none" w:sz="0" w:space="0" w:color="auto"/>
      </w:divBdr>
    </w:div>
    <w:div w:id="1973561676">
      <w:bodyDiv w:val="1"/>
      <w:marLeft w:val="0"/>
      <w:marRight w:val="0"/>
      <w:marTop w:val="0"/>
      <w:marBottom w:val="0"/>
      <w:divBdr>
        <w:top w:val="none" w:sz="0" w:space="0" w:color="auto"/>
        <w:left w:val="none" w:sz="0" w:space="0" w:color="auto"/>
        <w:bottom w:val="none" w:sz="0" w:space="0" w:color="auto"/>
        <w:right w:val="none" w:sz="0" w:space="0" w:color="auto"/>
      </w:divBdr>
    </w:div>
    <w:div w:id="1974168241">
      <w:bodyDiv w:val="1"/>
      <w:marLeft w:val="0"/>
      <w:marRight w:val="0"/>
      <w:marTop w:val="0"/>
      <w:marBottom w:val="0"/>
      <w:divBdr>
        <w:top w:val="none" w:sz="0" w:space="0" w:color="auto"/>
        <w:left w:val="none" w:sz="0" w:space="0" w:color="auto"/>
        <w:bottom w:val="none" w:sz="0" w:space="0" w:color="auto"/>
        <w:right w:val="none" w:sz="0" w:space="0" w:color="auto"/>
      </w:divBdr>
    </w:div>
    <w:div w:id="1997302119">
      <w:bodyDiv w:val="1"/>
      <w:marLeft w:val="0"/>
      <w:marRight w:val="0"/>
      <w:marTop w:val="0"/>
      <w:marBottom w:val="0"/>
      <w:divBdr>
        <w:top w:val="none" w:sz="0" w:space="0" w:color="auto"/>
        <w:left w:val="none" w:sz="0" w:space="0" w:color="auto"/>
        <w:bottom w:val="none" w:sz="0" w:space="0" w:color="auto"/>
        <w:right w:val="none" w:sz="0" w:space="0" w:color="auto"/>
      </w:divBdr>
    </w:div>
    <w:div w:id="201668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eurostat/databrowser/bookmark/86272a28-7721-4a8d-8775-bfdcdf0fc1c2?lang=en&amp;createdAt=2026-02-25T15:07:09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europa.eu/eurostat/databrowser/bookmark/926b4a08-f177-4101-bd78-799b4cced662?lang=en&amp;createdAt=2026-02-17T09:44:25Z"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eesc.europa.eu/sites/default/files/2025-06/eu-uk_dags_joint_statement_2025.pdf" TargetMode="External"/><Relationship Id="rId18" Type="http://schemas.openxmlformats.org/officeDocument/2006/relationships/hyperlink" Target="https://pcacases.com/web/sendAttach/70467" TargetMode="External"/><Relationship Id="rId26" Type="http://schemas.openxmlformats.org/officeDocument/2006/relationships/hyperlink" Target="https://ec.europa.eu/eurostat/web/international-trade-in-services/overview" TargetMode="External"/><Relationship Id="rId39" Type="http://schemas.openxmlformats.org/officeDocument/2006/relationships/hyperlink" Target="https://dashboard.tech.ec.europa.eu/qs_digit_dashboard_mt/public/sense/app/1213b8cd-3ebe-4730-b0f5-fa4e326df2e2/sheet/d1435e56-cdee-4f5f-8b0d-f49d41ffbd6c/state/analysis" TargetMode="External"/><Relationship Id="rId21" Type="http://schemas.openxmlformats.org/officeDocument/2006/relationships/hyperlink" Target="https://ec.europa.eu/eurostat/web/international-trade-in-goods/overview" TargetMode="External"/><Relationship Id="rId34" Type="http://schemas.openxmlformats.org/officeDocument/2006/relationships/hyperlink" Target="https://eur-lex.europa.eu/legal-content/FR/TXT/?uri=OJ:L_202502331" TargetMode="External"/><Relationship Id="rId42" Type="http://schemas.openxmlformats.org/officeDocument/2006/relationships/hyperlink" Target="https://www.legislation.gov.uk/ukpga/2022/23" TargetMode="External"/><Relationship Id="rId47" Type="http://schemas.openxmlformats.org/officeDocument/2006/relationships/hyperlink" Target="https://www.legislation.gov.uk/ukpga/2025/34/enacted" TargetMode="External"/><Relationship Id="rId50" Type="http://schemas.openxmlformats.org/officeDocument/2006/relationships/hyperlink" Target="https://eur-lex.europa.eu/legal-content/FR/TXT/HTML/?uri=OJ:L_202501226" TargetMode="External"/><Relationship Id="rId55" Type="http://schemas.openxmlformats.org/officeDocument/2006/relationships/hyperlink" Target="https://eur-lex.europa.eu/legal-content/FR/TXT/?uri=OJ%3AL_202501230" TargetMode="External"/><Relationship Id="rId63" Type="http://schemas.openxmlformats.org/officeDocument/2006/relationships/hyperlink" Target="https://eur-lex.europa.eu/legal-content/FR/TXT/?uri=OJ%3AL_202501230" TargetMode="External"/><Relationship Id="rId7" Type="http://schemas.openxmlformats.org/officeDocument/2006/relationships/hyperlink" Target="http://data.europa.eu/eli/dec/2021/689/oj" TargetMode="External"/><Relationship Id="rId2" Type="http://schemas.openxmlformats.org/officeDocument/2006/relationships/hyperlink" Target="https://eur-lex.europa.eu/legal-content/FR/TXT/?uri=CELEX%3A12019W/TXT%2802%29" TargetMode="External"/><Relationship Id="rId16" Type="http://schemas.openxmlformats.org/officeDocument/2006/relationships/hyperlink" Target="https://ec.europa.eu/assets/sg/complaint_eu_uk_tca/complaints_fr/index.html" TargetMode="External"/><Relationship Id="rId20" Type="http://schemas.openxmlformats.org/officeDocument/2006/relationships/hyperlink" Target="https://policy.trade.ec.europa.eu/enforcement-and-protection/implementing-and-enforcing-eu-trade-agreements_en" TargetMode="External"/><Relationship Id="rId29" Type="http://schemas.openxmlformats.org/officeDocument/2006/relationships/hyperlink" Target="https://eur-lex.europa.eu/legal-content/FR/TXT/?uri=OJ%3AL_202501230" TargetMode="External"/><Relationship Id="rId41" Type="http://schemas.openxmlformats.org/officeDocument/2006/relationships/hyperlink" Target="https://eur-lex.europa.eu/eli/dec/2025/1286/oj/fra" TargetMode="External"/><Relationship Id="rId54" Type="http://schemas.openxmlformats.org/officeDocument/2006/relationships/hyperlink" Target="https://eur-lex.europa.eu/legal-content/FR/TXT/?uri=OJ%3AL_202501229" TargetMode="External"/><Relationship Id="rId62" Type="http://schemas.openxmlformats.org/officeDocument/2006/relationships/hyperlink" Target="https://eur-lex.europa.eu/legal-content/FR/TXT/?uri=OJ%3AL_202501232" TargetMode="External"/><Relationship Id="rId1" Type="http://schemas.openxmlformats.org/officeDocument/2006/relationships/hyperlink" Target="https://www.consilium.europa.eu/media/1edla1hi/eu-uk_joint-statement.pdf" TargetMode="External"/><Relationship Id="rId6" Type="http://schemas.openxmlformats.org/officeDocument/2006/relationships/hyperlink" Target="https://ec.europa.eu/commission/presscorner/detail/en/statement_25_3103" TargetMode="External"/><Relationship Id="rId11" Type="http://schemas.openxmlformats.org/officeDocument/2006/relationships/hyperlink" Target="https://www.europarl.europa.eu/cmsdata/300310/6th%20PPA%20-%20Recommendation%20on%20trade,%20security%20and%20global%20challenges.pdf" TargetMode="External"/><Relationship Id="rId24" Type="http://schemas.openxmlformats.org/officeDocument/2006/relationships/hyperlink" Target="https://finance.ec.europa.eu/eu-and-world/bilateral-relations/regulatory-dialogues-united-kingdom_en" TargetMode="External"/><Relationship Id="rId32" Type="http://schemas.openxmlformats.org/officeDocument/2006/relationships/hyperlink" Target="https://eur-lex.europa.eu/legal-content/FR/TXT/?uri=CELEX%3A22025D0705&amp;qid=1756375999645" TargetMode="External"/><Relationship Id="rId37" Type="http://schemas.openxmlformats.org/officeDocument/2006/relationships/hyperlink" Target="https://eur-lex.europa.eu/legal-content/FR/TXT/?uri=OJ:C_202506451" TargetMode="External"/><Relationship Id="rId40" Type="http://schemas.openxmlformats.org/officeDocument/2006/relationships/hyperlink" Target="https://ec.europa.eu/commission/presscorner/detail/en/statement_25_3103" TargetMode="External"/><Relationship Id="rId45" Type="http://schemas.openxmlformats.org/officeDocument/2006/relationships/hyperlink" Target="https://eur-lex.europa.eu/legal-content/FR/TXT/?uri=celex:52024DC0127" TargetMode="External"/><Relationship Id="rId53" Type="http://schemas.openxmlformats.org/officeDocument/2006/relationships/hyperlink" Target="https://ec.europa.eu/info/strategy/relations-non-eu-countries/relations-united-kingdom/eu-uk-trade-and-cooperation-agreement/meetings-eu-uk-partnership-council-and-specialised-committees-under-trade-and-cooperation-agreement_en" TargetMode="External"/><Relationship Id="rId58" Type="http://schemas.openxmlformats.org/officeDocument/2006/relationships/hyperlink" Target="https://eur-lex.europa.eu/legal-content/FR/TXT/?uri=OJ:L_202501755" TargetMode="External"/><Relationship Id="rId5" Type="http://schemas.openxmlformats.org/officeDocument/2006/relationships/hyperlink" Target="https://ec.europa.eu/commission/presscorner/detail/en/statement_25_1267" TargetMode="External"/><Relationship Id="rId15" Type="http://schemas.openxmlformats.org/officeDocument/2006/relationships/hyperlink" Target="https://commission.europa.eu/strategy-and-policy/relations-united-kingdom/eu-uk-trade-and-cooperation-agreement/meetings-eu-uk-partnership-council-and-specialised-committees-under-trade-and-cooperation-agreement/fourth-meeting-partnership-council_en" TargetMode="External"/><Relationship Id="rId23" Type="http://schemas.openxmlformats.org/officeDocument/2006/relationships/hyperlink" Target="https://finance.ec.europa.eu/system/files/2023-09/230627-memorandum-understanding-financial-services-eu-uk_en.pdf" TargetMode="External"/><Relationship Id="rId28" Type="http://schemas.openxmlformats.org/officeDocument/2006/relationships/hyperlink" Target="https://eur-lex.europa.eu/legal-content/FR/TXT/?uri=OJ%3AL_202501232" TargetMode="External"/><Relationship Id="rId36" Type="http://schemas.openxmlformats.org/officeDocument/2006/relationships/hyperlink" Target="https://eur-lex.europa.eu/legal-content/FR/TXT/?uri=OJ:L_202501231" TargetMode="External"/><Relationship Id="rId49" Type="http://schemas.openxmlformats.org/officeDocument/2006/relationships/hyperlink" Target="https://www.legislation.gov.uk/ukpga/2025/18/contents" TargetMode="External"/><Relationship Id="rId57" Type="http://schemas.openxmlformats.org/officeDocument/2006/relationships/hyperlink" Target="https://eur-lex.europa.eu/legal-content/FR/TXT/?uri=OJ:L_202501231" TargetMode="External"/><Relationship Id="rId61" Type="http://schemas.openxmlformats.org/officeDocument/2006/relationships/hyperlink" Target="https://eur-lex.europa.eu/legal-content/FR/TXT/?uri=OJ:L_202501231" TargetMode="External"/><Relationship Id="rId10" Type="http://schemas.openxmlformats.org/officeDocument/2006/relationships/hyperlink" Target="https://www.europarl.europa.eu/cmsdata/293904/5th%20PPA%20Recommendation%2017.03.25.pdf" TargetMode="External"/><Relationship Id="rId19" Type="http://schemas.openxmlformats.org/officeDocument/2006/relationships/hyperlink" Target="https://eur-lex.europa.eu/legal-content/FR/TXT/HTML/?uri=CELEX:52026PC0089" TargetMode="External"/><Relationship Id="rId31" Type="http://schemas.openxmlformats.org/officeDocument/2006/relationships/hyperlink" Target="https://eur-lex.europa.eu/legal-content/FR/TXT/HTML/?uri=COM:2025:804:FIN" TargetMode="External"/><Relationship Id="rId44" Type="http://schemas.openxmlformats.org/officeDocument/2006/relationships/hyperlink" Target="https://www.legislation.gov.uk/ukpga/2023/39" TargetMode="External"/><Relationship Id="rId52" Type="http://schemas.openxmlformats.org/officeDocument/2006/relationships/hyperlink" Target="https://ec.europa.eu/commission/presscorner/detail/fr/ip_25_3059" TargetMode="External"/><Relationship Id="rId60" Type="http://schemas.openxmlformats.org/officeDocument/2006/relationships/hyperlink" Target="https://eur-lex.europa.eu/legal-content/FR/TXT/?uri=OJ%3AL_202501229" TargetMode="External"/><Relationship Id="rId4" Type="http://schemas.openxmlformats.org/officeDocument/2006/relationships/hyperlink" Target="https://eur-lex.europa.eu/eli/agree_internation/2021/689(1)/oj/fra" TargetMode="External"/><Relationship Id="rId9" Type="http://schemas.openxmlformats.org/officeDocument/2006/relationships/hyperlink" Target="https://www.europarl.europa.eu/delegations/en/d-uk/activities/inter-parliamentary" TargetMode="External"/><Relationship Id="rId14" Type="http://schemas.openxmlformats.org/officeDocument/2006/relationships/hyperlink" Target="https://policy.trade.ec.europa.eu/events/fourth-eu-uk-trade-and-cooperation-agreement-civil-society-forum-2025-06-24_en" TargetMode="External"/><Relationship Id="rId22" Type="http://schemas.openxmlformats.org/officeDocument/2006/relationships/hyperlink" Target="https://www.gov.uk/service-supplier-visa/eligibility" TargetMode="External"/><Relationship Id="rId27" Type="http://schemas.openxmlformats.org/officeDocument/2006/relationships/hyperlink" Target="https://ec.europa.eu/commission/presscorner/detail/en/ip_26_454" TargetMode="External"/><Relationship Id="rId30" Type="http://schemas.openxmlformats.org/officeDocument/2006/relationships/hyperlink" Target="https://eur-lex.europa.eu/legal-content/FR/TXT/?uri=CELEX%3A22025D0706&amp;qid=1756374227559" TargetMode="External"/><Relationship Id="rId35" Type="http://schemas.openxmlformats.org/officeDocument/2006/relationships/hyperlink" Target="https://eur-lex.europa.eu/legal-content/FR/TXT/?uri=OJ%3AL_202501229" TargetMode="External"/><Relationship Id="rId43" Type="http://schemas.openxmlformats.org/officeDocument/2006/relationships/hyperlink" Target="https://www.legislation.gov.uk/uksi/2025/845/made" TargetMode="External"/><Relationship Id="rId48" Type="http://schemas.openxmlformats.org/officeDocument/2006/relationships/hyperlink" Target="https://www.legislation.gov.uk/ukpga/2025/20" TargetMode="External"/><Relationship Id="rId56" Type="http://schemas.openxmlformats.org/officeDocument/2006/relationships/hyperlink" Target="https://eur-lex.europa.eu/legal-content/FR/TXT/?uri=OJ%3AL_202501232" TargetMode="External"/><Relationship Id="rId8" Type="http://schemas.openxmlformats.org/officeDocument/2006/relationships/hyperlink" Target="https://www.europarl.europa.eu/delegations/en/5th-eu-uk-parliamentary-partnership-asse/product-details/20250224DPU39839" TargetMode="External"/><Relationship Id="rId51" Type="http://schemas.openxmlformats.org/officeDocument/2006/relationships/hyperlink" Target="https://commission.europa.eu/document/download/6f636fa0-30d4-4c05-a713-64484ad913fa_en?filename=Draft%20Renewal%20of%20EU%20adequacy%20decision%20for%20the%20UK%20under%20the%20GDPR.pdf" TargetMode="External"/><Relationship Id="rId3" Type="http://schemas.openxmlformats.org/officeDocument/2006/relationships/hyperlink" Target="https://commission.europa.eu/publications/windsor-political-declaration-european-commission-and-government-united-kingdom_en" TargetMode="External"/><Relationship Id="rId12" Type="http://schemas.openxmlformats.org/officeDocument/2006/relationships/hyperlink" Target="https://www.eesc.europa.eu/fr/sections-other-bodies/other/le-groupe-consultatif-interne-de-lue-au-titre-de-laccord-de-commerce-et-de-cooperation-conclu-entre-lunion-europeenne-et" TargetMode="External"/><Relationship Id="rId17" Type="http://schemas.openxmlformats.org/officeDocument/2006/relationships/hyperlink" Target="https://trade.ec.europa.eu/access-to-markets/en/content/single-entry-point-0" TargetMode="External"/><Relationship Id="rId25" Type="http://schemas.openxmlformats.org/officeDocument/2006/relationships/hyperlink" Target="https://ec.europa.eu/eurostat/web/balance-of-payments/overview" TargetMode="External"/><Relationship Id="rId33" Type="http://schemas.openxmlformats.org/officeDocument/2006/relationships/hyperlink" Target="https://eur-lex.europa.eu/legal-content/FR/TXT/?uri=CELEX:22025D2330" TargetMode="External"/><Relationship Id="rId38" Type="http://schemas.openxmlformats.org/officeDocument/2006/relationships/hyperlink" Target="https://dashboard.tech.ec.europa.eu/qs_digit_dashboard_mt/public/sense/app/1213b8cd-3ebe-4730-b0f5-fa4e326df2e2/sheet/d1435e56-cdee-4f5f-8b0d-f49d41ffbd6c/state/analysis" TargetMode="External"/><Relationship Id="rId46" Type="http://schemas.openxmlformats.org/officeDocument/2006/relationships/hyperlink" Target="https://www.legislation.gov.uk/ukpga/2025/16" TargetMode="External"/><Relationship Id="rId59" Type="http://schemas.openxmlformats.org/officeDocument/2006/relationships/hyperlink" Target="https://eur-lex.europa.eu/legal-content/FR/TXT/?uri=OJ:L_20250232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nestoda\AppData\Local\CATE\DGT\Dossiers\SG\SG-2026-00815\SG-2026-00815-00-00-FR-SRC-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estoda\AppData\Local\CATE\DGT\Dossiers\SG\SG-2026-00815\SG-2026-00815-00-00-FR-SRC-0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'TCA goods'!$A$51</c:f>
              <c:strCache>
                <c:ptCount val="1"/>
                <c:pt idx="0">
                  <c:v>Importations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'TCA goods'!$B$50:$F$50</c:f>
              <c:numCache>
                <c:formatCode>General</c:formatCode>
                <c:ptCount val="5"/>
                <c:pt idx="0">
                  <c:v>2021</c:v>
                </c:pt>
                <c:pt idx="1">
                  <c:v>2022</c:v>
                </c:pt>
                <c:pt idx="2">
                  <c:v>2023</c:v>
                </c:pt>
                <c:pt idx="3">
                  <c:v>2024</c:v>
                </c:pt>
                <c:pt idx="4">
                  <c:v>2025</c:v>
                </c:pt>
              </c:numCache>
            </c:numRef>
          </c:cat>
          <c:val>
            <c:numRef>
              <c:f>'TCA goods'!$B$51:$F$51</c:f>
              <c:numCache>
                <c:formatCode>#,##0</c:formatCode>
                <c:ptCount val="5"/>
                <c:pt idx="0">
                  <c:v>146.91354083489162</c:v>
                </c:pt>
                <c:pt idx="1">
                  <c:v>216.10896641823368</c:v>
                </c:pt>
                <c:pt idx="2">
                  <c:v>181.44451234158831</c:v>
                </c:pt>
                <c:pt idx="3">
                  <c:v>163.57411121490949</c:v>
                </c:pt>
                <c:pt idx="4">
                  <c:v>158.52696802528331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FA5-4E07-B082-9F130F5386A1}"/>
            </c:ext>
          </c:extLst>
        </c:ser>
        <c:ser>
          <c:idx val="1"/>
          <c:order val="1"/>
          <c:tx>
            <c:strRef>
              <c:f>'TCA goods'!$A$52</c:f>
              <c:strCache>
                <c:ptCount val="1"/>
                <c:pt idx="0">
                  <c:v>Exportations</c:v>
                </c:pt>
              </c:strCache>
            </c:strRef>
          </c:tx>
          <c:spPr>
            <a:ln w="28575" cap="rnd">
              <a:solidFill>
                <a:srgbClr val="256CAD"/>
              </a:solidFill>
              <a:round/>
            </a:ln>
            <a:effectLst/>
          </c:spPr>
          <c:marker>
            <c:symbol val="circle"/>
            <c:size val="5"/>
            <c:spPr>
              <a:solidFill>
                <a:srgbClr val="2772B7"/>
              </a:solidFill>
              <a:ln w="9525">
                <a:solidFill>
                  <a:srgbClr val="256CAD"/>
                </a:solidFill>
              </a:ln>
              <a:effectLst/>
            </c:spPr>
          </c:marker>
          <c:cat>
            <c:numRef>
              <c:f>'TCA goods'!$B$50:$F$50</c:f>
              <c:numCache>
                <c:formatCode>General</c:formatCode>
                <c:ptCount val="5"/>
                <c:pt idx="0">
                  <c:v>2021</c:v>
                </c:pt>
                <c:pt idx="1">
                  <c:v>2022</c:v>
                </c:pt>
                <c:pt idx="2">
                  <c:v>2023</c:v>
                </c:pt>
                <c:pt idx="3">
                  <c:v>2024</c:v>
                </c:pt>
                <c:pt idx="4">
                  <c:v>2025</c:v>
                </c:pt>
              </c:numCache>
            </c:numRef>
          </c:cat>
          <c:val>
            <c:numRef>
              <c:f>'TCA goods'!$B$52:$F$52</c:f>
              <c:numCache>
                <c:formatCode>#,##0</c:formatCode>
                <c:ptCount val="5"/>
                <c:pt idx="0">
                  <c:v>281.51730642657725</c:v>
                </c:pt>
                <c:pt idx="1">
                  <c:v>328.68996213821197</c:v>
                </c:pt>
                <c:pt idx="2">
                  <c:v>337.27710709770031</c:v>
                </c:pt>
                <c:pt idx="3">
                  <c:v>343.75319626103067</c:v>
                </c:pt>
                <c:pt idx="4">
                  <c:v>346.42492564526674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FA5-4E07-B082-9F130F5386A1}"/>
            </c:ext>
          </c:extLst>
        </c:ser>
        <c:ser>
          <c:idx val="2"/>
          <c:order val="2"/>
          <c:tx>
            <c:strRef>
              <c:f>'TCA goods'!$A$53</c:f>
              <c:strCache>
                <c:ptCount val="1"/>
                <c:pt idx="0">
                  <c:v>Total</c:v>
                </c:pt>
              </c:strCache>
            </c:strRef>
          </c:tx>
          <c:spPr>
            <a:ln w="28575" cap="rnd">
              <a:solidFill>
                <a:schemeClr val="bg1">
                  <a:lumMod val="65000"/>
                </a:schemeClr>
              </a:solidFill>
              <a:round/>
            </a:ln>
            <a:effectLst/>
          </c:spPr>
          <c:marker>
            <c:symbol val="circle"/>
            <c:size val="5"/>
            <c:spPr>
              <a:solidFill>
                <a:schemeClr val="bg1">
                  <a:lumMod val="65000"/>
                </a:schemeClr>
              </a:solidFill>
              <a:ln w="9525">
                <a:solidFill>
                  <a:schemeClr val="bg1">
                    <a:lumMod val="65000"/>
                  </a:schemeClr>
                </a:solidFill>
              </a:ln>
              <a:effectLst/>
            </c:spPr>
          </c:marker>
          <c:cat>
            <c:numRef>
              <c:f>'TCA goods'!$B$50:$F$50</c:f>
              <c:numCache>
                <c:formatCode>General</c:formatCode>
                <c:ptCount val="5"/>
                <c:pt idx="0">
                  <c:v>2021</c:v>
                </c:pt>
                <c:pt idx="1">
                  <c:v>2022</c:v>
                </c:pt>
                <c:pt idx="2">
                  <c:v>2023</c:v>
                </c:pt>
                <c:pt idx="3">
                  <c:v>2024</c:v>
                </c:pt>
                <c:pt idx="4">
                  <c:v>2025</c:v>
                </c:pt>
              </c:numCache>
            </c:numRef>
          </c:cat>
          <c:val>
            <c:numRef>
              <c:f>'TCA goods'!$B$53:$F$53</c:f>
              <c:numCache>
                <c:formatCode>#,##0</c:formatCode>
                <c:ptCount val="5"/>
                <c:pt idx="0">
                  <c:v>428.4308472614689</c:v>
                </c:pt>
                <c:pt idx="1">
                  <c:v>544.79892855644562</c:v>
                </c:pt>
                <c:pt idx="2">
                  <c:v>518.72161943928859</c:v>
                </c:pt>
                <c:pt idx="3">
                  <c:v>507.32730747594019</c:v>
                </c:pt>
                <c:pt idx="4">
                  <c:v>504.95189367055002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CFA5-4E07-B082-9F130F5386A1}"/>
            </c:ext>
          </c:extLst>
        </c:ser>
        <c:dLbls>
          <c:showLegendKey val="0"/>
          <c:showVal val="0"/>
          <c:showCatName val="0"/>
          <c:showSerName val="0"/>
          <c:showPercent val="0"/>
          <c:showBubbleSize val="0"/>
        </c:dLbls>
        <c:marker val="1"/>
        <c:smooth val="0"/>
        <c:axId val="104275471"/>
        <c:axId val="104276911"/>
      </c:lineChart>
      <c:catAx>
        <c:axId val="104275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76911"/>
        <c:crosses val="autoZero"/>
        <c:auto val="1"/>
        <c:lblAlgn val="ctr"/>
        <c:lblOffset val="100"/>
        <c:noMultiLvlLbl val="0"/>
      </c:catAx>
      <c:valAx>
        <c:axId val="1042769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75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'services 2021-2025'!$A$53</c:f>
              <c:strCache>
                <c:ptCount val="1"/>
                <c:pt idx="0">
                  <c:v>Total (services)</c:v>
                </c:pt>
              </c:strCache>
            </c:strRef>
          </c:tx>
          <c:spPr>
            <a:ln w="28575" cap="rnd">
              <a:solidFill>
                <a:schemeClr val="bg2">
                  <a:lumMod val="75000"/>
                </a:schemeClr>
              </a:solidFill>
              <a:round/>
            </a:ln>
            <a:effectLst/>
          </c:spPr>
          <c:marker>
            <c:symbol val="circle"/>
            <c:size val="5"/>
            <c:spPr>
              <a:solidFill>
                <a:schemeClr val="bg2">
                  <a:lumMod val="75000"/>
                </a:schemeClr>
              </a:solidFill>
              <a:ln w="9525">
                <a:solidFill>
                  <a:schemeClr val="bg2">
                    <a:lumMod val="75000"/>
                  </a:schemeClr>
                </a:solidFill>
              </a:ln>
              <a:effectLst/>
            </c:spPr>
          </c:marker>
          <c:cat>
            <c:numRef>
              <c:f>'services 2021-2025'!$B$52:$F$52</c:f>
              <c:numCache>
                <c:formatCode>General</c:formatCode>
                <c:ptCount val="5"/>
                <c:pt idx="0">
                  <c:v>2021</c:v>
                </c:pt>
                <c:pt idx="1">
                  <c:v>2022</c:v>
                </c:pt>
                <c:pt idx="2">
                  <c:v>2023</c:v>
                </c:pt>
                <c:pt idx="3">
                  <c:v>2024</c:v>
                </c:pt>
                <c:pt idx="4">
                  <c:v>2025</c:v>
                </c:pt>
              </c:numCache>
            </c:numRef>
          </c:cat>
          <c:val>
            <c:numRef>
              <c:f>'services 2021-2025'!$B$53:$F$53</c:f>
              <c:numCache>
                <c:formatCode>#,##0</c:formatCode>
                <c:ptCount val="5"/>
                <c:pt idx="0">
                  <c:v>274.58120000000002</c:v>
                </c:pt>
                <c:pt idx="1">
                  <c:v>345.80279999999999</c:v>
                </c:pt>
                <c:pt idx="2">
                  <c:v>372.98950000000002</c:v>
                </c:pt>
                <c:pt idx="3">
                  <c:v>394.74250000000001</c:v>
                </c:pt>
                <c:pt idx="4">
                  <c:v>413.0856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CEC-4FCA-9B89-89F88950D332}"/>
            </c:ext>
          </c:extLst>
        </c:ser>
        <c:ser>
          <c:idx val="1"/>
          <c:order val="1"/>
          <c:tx>
            <c:strRef>
              <c:f>'services 2021-2025'!$A$54</c:f>
              <c:strCache>
                <c:ptCount val="1"/>
                <c:pt idx="0">
                  <c:v>Exportations</c:v>
                </c:pt>
              </c:strCache>
            </c:strRef>
          </c:tx>
          <c:spPr>
            <a:ln w="28575" cap="rnd">
              <a:solidFill>
                <a:schemeClr val="tx2">
                  <a:lumMod val="50000"/>
                  <a:lumOff val="50000"/>
                </a:schemeClr>
              </a:solidFill>
              <a:round/>
            </a:ln>
            <a:effectLst/>
          </c:spPr>
          <c:marker>
            <c:symbol val="circle"/>
            <c:size val="5"/>
            <c:spPr>
              <a:solidFill>
                <a:schemeClr val="tx2">
                  <a:lumMod val="50000"/>
                  <a:lumOff val="50000"/>
                </a:schemeClr>
              </a:solidFill>
              <a:ln w="9525">
                <a:solidFill>
                  <a:schemeClr val="tx2">
                    <a:lumMod val="50000"/>
                    <a:lumOff val="50000"/>
                  </a:schemeClr>
                </a:solidFill>
              </a:ln>
              <a:effectLst/>
            </c:spPr>
          </c:marker>
          <c:cat>
            <c:numRef>
              <c:f>'services 2021-2025'!$B$52:$F$52</c:f>
              <c:numCache>
                <c:formatCode>General</c:formatCode>
                <c:ptCount val="5"/>
                <c:pt idx="0">
                  <c:v>2021</c:v>
                </c:pt>
                <c:pt idx="1">
                  <c:v>2022</c:v>
                </c:pt>
                <c:pt idx="2">
                  <c:v>2023</c:v>
                </c:pt>
                <c:pt idx="3">
                  <c:v>2024</c:v>
                </c:pt>
                <c:pt idx="4">
                  <c:v>2025</c:v>
                </c:pt>
              </c:numCache>
            </c:numRef>
          </c:cat>
          <c:val>
            <c:numRef>
              <c:f>'services 2021-2025'!$B$54:$F$54</c:f>
              <c:numCache>
                <c:formatCode>#,##0</c:formatCode>
                <c:ptCount val="5"/>
                <c:pt idx="0">
                  <c:v>149.88509999999999</c:v>
                </c:pt>
                <c:pt idx="1">
                  <c:v>193.37179999999998</c:v>
                </c:pt>
                <c:pt idx="2">
                  <c:v>209.5889</c:v>
                </c:pt>
                <c:pt idx="3">
                  <c:v>218.87100000000001</c:v>
                </c:pt>
                <c:pt idx="4">
                  <c:v>230.1113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CEC-4FCA-9B89-89F88950D332}"/>
            </c:ext>
          </c:extLst>
        </c:ser>
        <c:ser>
          <c:idx val="2"/>
          <c:order val="2"/>
          <c:tx>
            <c:strRef>
              <c:f>'services 2021-2025'!$A$55</c:f>
              <c:strCache>
                <c:ptCount val="1"/>
                <c:pt idx="0">
                  <c:v>Importations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'services 2021-2025'!$B$52:$F$52</c:f>
              <c:numCache>
                <c:formatCode>General</c:formatCode>
                <c:ptCount val="5"/>
                <c:pt idx="0">
                  <c:v>2021</c:v>
                </c:pt>
                <c:pt idx="1">
                  <c:v>2022</c:v>
                </c:pt>
                <c:pt idx="2">
                  <c:v>2023</c:v>
                </c:pt>
                <c:pt idx="3">
                  <c:v>2024</c:v>
                </c:pt>
                <c:pt idx="4">
                  <c:v>2025</c:v>
                </c:pt>
              </c:numCache>
            </c:numRef>
          </c:cat>
          <c:val>
            <c:numRef>
              <c:f>'services 2021-2025'!$B$55:$F$55</c:f>
              <c:numCache>
                <c:formatCode>#,##0</c:formatCode>
                <c:ptCount val="5"/>
                <c:pt idx="0">
                  <c:v>124.6961</c:v>
                </c:pt>
                <c:pt idx="1">
                  <c:v>152.43100000000001</c:v>
                </c:pt>
                <c:pt idx="2">
                  <c:v>163.4006</c:v>
                </c:pt>
                <c:pt idx="3">
                  <c:v>175.8715</c:v>
                </c:pt>
                <c:pt idx="4">
                  <c:v>182.9743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4CEC-4FCA-9B89-89F88950D332}"/>
            </c:ext>
          </c:extLst>
        </c:ser>
        <c:dLbls>
          <c:showLegendKey val="0"/>
          <c:showVal val="0"/>
          <c:showCatName val="0"/>
          <c:showSerName val="0"/>
          <c:showPercent val="0"/>
          <c:showBubbleSize val="0"/>
        </c:dLbls>
        <c:marker val="1"/>
        <c:smooth val="0"/>
        <c:axId val="100936496"/>
        <c:axId val="100942736"/>
      </c:lineChart>
      <c:catAx>
        <c:axId val="100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42736"/>
        <c:crosses val="autoZero"/>
        <c:auto val="1"/>
        <c:lblAlgn val="ctr"/>
        <c:lblOffset val="100"/>
        <c:noMultiLvlLbl val="0"/>
      </c:catAx>
      <c:valAx>
        <c:axId val="100942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936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9F483-6B39-4710-AD9D-487553559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20</Pages>
  <Words>7611</Words>
  <Characters>43387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2026-02-27T16:54:00Z</dcterms:created>
  <dcterms:modified xsi:type="dcterms:W3CDTF">2026-04-14T07:22:00Z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2026-02-24T14:23:38Z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b404b842-8c11-4793-bab3-dfd3af284c6f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