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0C46E" w14:textId="6899EA53" w:rsidR="00A13C5C" w:rsidRDefault="009E7B73" w:rsidP="009E7B73">
      <w:pPr>
        <w:pStyle w:val="Pagedecouverture"/>
        <w:rPr>
          <w:noProof/>
        </w:rPr>
      </w:pPr>
      <w:bookmarkStart w:id="0" w:name="LW_BM_COVERPAGE"/>
      <w:r>
        <w:rPr>
          <w:noProof/>
        </w:rPr>
        <w:pict w14:anchorId="4D2276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7308471-6DCA-4581-8572-0EF5AD24AA66" style="width:455.25pt;height:327.75pt">
            <v:imagedata r:id="rId8" o:title=""/>
          </v:shape>
        </w:pict>
      </w:r>
    </w:p>
    <w:bookmarkEnd w:id="0"/>
    <w:p w14:paraId="4D90687F" w14:textId="77777777" w:rsidR="00A13C5C" w:rsidRDefault="00A13C5C" w:rsidP="00A13C5C">
      <w:pPr>
        <w:rPr>
          <w:noProof/>
        </w:rPr>
        <w:sectPr w:rsidR="00A13C5C" w:rsidSect="009E7B7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bookmarkStart w:id="2" w:name="_Toc86061890" w:displacedByCustomXml="next"/>
    <w:bookmarkStart w:id="3" w:name="_Toc86154512" w:displacedByCustomXml="next"/>
    <w:bookmarkStart w:id="4" w:name="_Toc185413377" w:displacedByCustomXml="next"/>
    <w:sdt>
      <w:sdtPr>
        <w:rPr>
          <w:noProof/>
        </w:rPr>
        <w:id w:val="68371494"/>
        <w:docPartObj>
          <w:docPartGallery w:val="Table of Contents"/>
          <w:docPartUnique/>
        </w:docPartObj>
      </w:sdtPr>
      <w:sdtEndPr/>
      <w:sdtContent>
        <w:p w14:paraId="082050CF" w14:textId="767E9C8B" w:rsidR="00D331A7" w:rsidRPr="00995F44" w:rsidRDefault="00D331A7" w:rsidP="00D331A7">
          <w:pPr>
            <w:tabs>
              <w:tab w:val="left" w:pos="851"/>
              <w:tab w:val="right" w:leader="dot" w:pos="9016"/>
            </w:tabs>
            <w:spacing w:after="100"/>
            <w:ind w:left="426" w:hanging="426"/>
            <w:jc w:val="center"/>
            <w:rPr>
              <w:rFonts w:ascii="Times New Roman" w:hAnsi="Times New Roman" w:cs="Times New Roman"/>
              <w:noProof/>
            </w:rPr>
          </w:pPr>
          <w:r>
            <w:rPr>
              <w:rFonts w:ascii="Times New Roman" w:hAnsi="Times New Roman"/>
              <w:noProof/>
            </w:rPr>
            <w:t>Cuprins</w:t>
          </w:r>
        </w:p>
        <w:p w14:paraId="31A3E6BF" w14:textId="64CC474A" w:rsidR="00AA2C2F" w:rsidRPr="008F0293" w:rsidRDefault="00D331A7">
          <w:pPr>
            <w:pStyle w:val="TOC1"/>
            <w:rPr>
              <w:rFonts w:asciiTheme="minorHAnsi" w:eastAsiaTheme="minorEastAsia" w:hAnsiTheme="minorHAnsi" w:cstheme="minorBidi"/>
              <w:kern w:val="2"/>
              <w:lang w:val="en-GB" w:eastAsia="en-GB"/>
              <w14:ligatures w14:val="standardContextual"/>
            </w:rPr>
          </w:pPr>
          <w:r>
            <w:fldChar w:fldCharType="begin"/>
          </w:r>
          <w:r>
            <w:instrText>TOC \o "1-3" \h \z \u</w:instrText>
          </w:r>
          <w:r>
            <w:fldChar w:fldCharType="separate"/>
          </w:r>
          <w:hyperlink w:anchor="_Toc226534592" w:history="1">
            <w:r w:rsidR="00AA2C2F" w:rsidRPr="008F0293">
              <w:rPr>
                <w:rStyle w:val="Hyperlink"/>
              </w:rPr>
              <w:t>1.</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Introducere</w:t>
            </w:r>
            <w:r w:rsidR="00AA2C2F" w:rsidRPr="008F0293">
              <w:rPr>
                <w:webHidden/>
              </w:rPr>
              <w:tab/>
            </w:r>
            <w:r w:rsidR="00AA2C2F" w:rsidRPr="008F0293">
              <w:rPr>
                <w:webHidden/>
              </w:rPr>
              <w:fldChar w:fldCharType="begin"/>
            </w:r>
            <w:r w:rsidR="00AA2C2F" w:rsidRPr="008F0293">
              <w:rPr>
                <w:webHidden/>
              </w:rPr>
              <w:instrText xml:space="preserve"> PAGEREF _Toc226534592 \h </w:instrText>
            </w:r>
            <w:r w:rsidR="00AA2C2F" w:rsidRPr="008F0293">
              <w:rPr>
                <w:webHidden/>
              </w:rPr>
            </w:r>
            <w:r w:rsidR="00AA2C2F" w:rsidRPr="008F0293">
              <w:rPr>
                <w:webHidden/>
              </w:rPr>
              <w:fldChar w:fldCharType="separate"/>
            </w:r>
            <w:r w:rsidR="00F62095" w:rsidRPr="008F0293">
              <w:rPr>
                <w:webHidden/>
              </w:rPr>
              <w:t>2</w:t>
            </w:r>
            <w:r w:rsidR="00AA2C2F" w:rsidRPr="008F0293">
              <w:rPr>
                <w:webHidden/>
              </w:rPr>
              <w:fldChar w:fldCharType="end"/>
            </w:r>
          </w:hyperlink>
        </w:p>
        <w:p w14:paraId="77D7F1CB" w14:textId="1706BEA5"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593" w:history="1">
            <w:r w:rsidR="00AA2C2F" w:rsidRPr="008F0293">
              <w:rPr>
                <w:rStyle w:val="Hyperlink"/>
              </w:rPr>
              <w:t>2.</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Cadrul instituțional</w:t>
            </w:r>
            <w:r w:rsidR="00AA2C2F" w:rsidRPr="008F0293">
              <w:rPr>
                <w:webHidden/>
              </w:rPr>
              <w:tab/>
            </w:r>
            <w:r w:rsidR="00AA2C2F" w:rsidRPr="008F0293">
              <w:rPr>
                <w:webHidden/>
              </w:rPr>
              <w:fldChar w:fldCharType="begin"/>
            </w:r>
            <w:r w:rsidR="00AA2C2F" w:rsidRPr="008F0293">
              <w:rPr>
                <w:webHidden/>
              </w:rPr>
              <w:instrText xml:space="preserve"> PAGEREF _Toc226534593 \h </w:instrText>
            </w:r>
            <w:r w:rsidR="00AA2C2F" w:rsidRPr="008F0293">
              <w:rPr>
                <w:webHidden/>
              </w:rPr>
            </w:r>
            <w:r w:rsidR="00AA2C2F" w:rsidRPr="008F0293">
              <w:rPr>
                <w:webHidden/>
              </w:rPr>
              <w:fldChar w:fldCharType="separate"/>
            </w:r>
            <w:r w:rsidR="00F62095" w:rsidRPr="008F0293">
              <w:rPr>
                <w:webHidden/>
              </w:rPr>
              <w:t>3</w:t>
            </w:r>
            <w:r w:rsidR="00AA2C2F" w:rsidRPr="008F0293">
              <w:rPr>
                <w:webHidden/>
              </w:rPr>
              <w:fldChar w:fldCharType="end"/>
            </w:r>
          </w:hyperlink>
        </w:p>
        <w:p w14:paraId="3263F2BB" w14:textId="62BE59D0"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594" w:history="1">
            <w:r w:rsidR="00AA2C2F" w:rsidRPr="008F0293">
              <w:rPr>
                <w:rStyle w:val="Hyperlink"/>
              </w:rPr>
              <w:t>3.</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Plângeri și soluționarea litigiilor</w:t>
            </w:r>
            <w:r w:rsidR="00AA2C2F" w:rsidRPr="008F0293">
              <w:rPr>
                <w:webHidden/>
              </w:rPr>
              <w:tab/>
            </w:r>
            <w:r w:rsidR="00AA2C2F" w:rsidRPr="008F0293">
              <w:rPr>
                <w:webHidden/>
              </w:rPr>
              <w:fldChar w:fldCharType="begin"/>
            </w:r>
            <w:r w:rsidR="00AA2C2F" w:rsidRPr="008F0293">
              <w:rPr>
                <w:webHidden/>
              </w:rPr>
              <w:instrText xml:space="preserve"> PAGEREF _Toc226534594 \h </w:instrText>
            </w:r>
            <w:r w:rsidR="00AA2C2F" w:rsidRPr="008F0293">
              <w:rPr>
                <w:webHidden/>
              </w:rPr>
            </w:r>
            <w:r w:rsidR="00AA2C2F" w:rsidRPr="008F0293">
              <w:rPr>
                <w:webHidden/>
              </w:rPr>
              <w:fldChar w:fldCharType="separate"/>
            </w:r>
            <w:r w:rsidR="00F62095" w:rsidRPr="008F0293">
              <w:rPr>
                <w:webHidden/>
              </w:rPr>
              <w:t>4</w:t>
            </w:r>
            <w:r w:rsidR="00AA2C2F" w:rsidRPr="008F0293">
              <w:rPr>
                <w:webHidden/>
              </w:rPr>
              <w:fldChar w:fldCharType="end"/>
            </w:r>
          </w:hyperlink>
        </w:p>
        <w:p w14:paraId="3F63BEAF" w14:textId="70FB203D" w:rsidR="00AA2C2F" w:rsidRPr="008F0293" w:rsidRDefault="009E7B73">
          <w:pPr>
            <w:pStyle w:val="TOC2"/>
            <w:rPr>
              <w:rFonts w:eastAsiaTheme="minorEastAsia"/>
              <w:noProof/>
              <w:kern w:val="2"/>
              <w:sz w:val="24"/>
              <w:szCs w:val="24"/>
              <w:lang w:val="en-GB" w:eastAsia="en-GB"/>
              <w14:ligatures w14:val="standardContextual"/>
            </w:rPr>
          </w:pPr>
          <w:hyperlink w:anchor="_Toc226534595" w:history="1">
            <w:r w:rsidR="00AA2C2F" w:rsidRPr="008F0293">
              <w:rPr>
                <w:rStyle w:val="Hyperlink"/>
                <w:rFonts w:ascii="Times New Roman" w:hAnsi="Times New Roman" w:cs="Times New Roman"/>
                <w:noProof/>
              </w:rPr>
              <w:t>3.1.</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Plângeri</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_Toc226534595 \h </w:instrText>
            </w:r>
            <w:r w:rsidR="00AA2C2F" w:rsidRPr="008F0293">
              <w:rPr>
                <w:noProof/>
                <w:webHidden/>
              </w:rPr>
            </w:r>
            <w:r w:rsidR="00AA2C2F" w:rsidRPr="008F0293">
              <w:rPr>
                <w:noProof/>
                <w:webHidden/>
              </w:rPr>
              <w:fldChar w:fldCharType="separate"/>
            </w:r>
            <w:r w:rsidR="00F62095" w:rsidRPr="008F0293">
              <w:rPr>
                <w:noProof/>
                <w:webHidden/>
              </w:rPr>
              <w:t>4</w:t>
            </w:r>
            <w:r w:rsidR="00AA2C2F" w:rsidRPr="008F0293">
              <w:rPr>
                <w:noProof/>
                <w:webHidden/>
              </w:rPr>
              <w:fldChar w:fldCharType="end"/>
            </w:r>
          </w:hyperlink>
        </w:p>
        <w:p w14:paraId="709715BD" w14:textId="2D6830B8" w:rsidR="00AA2C2F" w:rsidRPr="008F0293" w:rsidRDefault="009E7B73">
          <w:pPr>
            <w:pStyle w:val="TOC2"/>
            <w:rPr>
              <w:rFonts w:eastAsiaTheme="minorEastAsia"/>
              <w:noProof/>
              <w:kern w:val="2"/>
              <w:sz w:val="24"/>
              <w:szCs w:val="24"/>
              <w:lang w:val="en-GB" w:eastAsia="en-GB"/>
              <w14:ligatures w14:val="standardContextual"/>
            </w:rPr>
          </w:pPr>
          <w:hyperlink w:anchor="_Toc226534596" w:history="1">
            <w:r w:rsidR="00AA2C2F" w:rsidRPr="008F0293">
              <w:rPr>
                <w:rStyle w:val="Hyperlink"/>
                <w:rFonts w:ascii="Times New Roman" w:eastAsia="Times New Roman" w:hAnsi="Times New Roman" w:cs="Times New Roman"/>
                <w:noProof/>
              </w:rPr>
              <w:t>3.2.</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Soluționarea litigiilor</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_Toc226534596 \h </w:instrText>
            </w:r>
            <w:r w:rsidR="00AA2C2F" w:rsidRPr="008F0293">
              <w:rPr>
                <w:noProof/>
                <w:webHidden/>
              </w:rPr>
            </w:r>
            <w:r w:rsidR="00AA2C2F" w:rsidRPr="008F0293">
              <w:rPr>
                <w:noProof/>
                <w:webHidden/>
              </w:rPr>
              <w:fldChar w:fldCharType="separate"/>
            </w:r>
            <w:r w:rsidR="00F62095" w:rsidRPr="008F0293">
              <w:rPr>
                <w:noProof/>
                <w:webHidden/>
              </w:rPr>
              <w:t>5</w:t>
            </w:r>
            <w:r w:rsidR="00AA2C2F" w:rsidRPr="008F0293">
              <w:rPr>
                <w:noProof/>
                <w:webHidden/>
              </w:rPr>
              <w:fldChar w:fldCharType="end"/>
            </w:r>
          </w:hyperlink>
        </w:p>
        <w:p w14:paraId="6F29EF84" w14:textId="0D5269CE"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597" w:history="1">
            <w:r w:rsidR="00AA2C2F" w:rsidRPr="008F0293">
              <w:rPr>
                <w:rStyle w:val="Hyperlink"/>
              </w:rPr>
              <w:t>4.</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Punerea în aplicare sectorială</w:t>
            </w:r>
            <w:r w:rsidR="00AA2C2F" w:rsidRPr="008F0293">
              <w:rPr>
                <w:webHidden/>
              </w:rPr>
              <w:tab/>
            </w:r>
            <w:r w:rsidR="00AA2C2F" w:rsidRPr="008F0293">
              <w:rPr>
                <w:webHidden/>
              </w:rPr>
              <w:fldChar w:fldCharType="begin"/>
            </w:r>
            <w:r w:rsidR="00AA2C2F" w:rsidRPr="008F0293">
              <w:rPr>
                <w:webHidden/>
              </w:rPr>
              <w:instrText xml:space="preserve"> PAGEREF _Toc226534597 \h </w:instrText>
            </w:r>
            <w:r w:rsidR="00AA2C2F" w:rsidRPr="008F0293">
              <w:rPr>
                <w:webHidden/>
              </w:rPr>
            </w:r>
            <w:r w:rsidR="00AA2C2F" w:rsidRPr="008F0293">
              <w:rPr>
                <w:webHidden/>
              </w:rPr>
              <w:fldChar w:fldCharType="separate"/>
            </w:r>
            <w:r w:rsidR="00F62095" w:rsidRPr="008F0293">
              <w:rPr>
                <w:webHidden/>
              </w:rPr>
              <w:t>5</w:t>
            </w:r>
            <w:r w:rsidR="00AA2C2F" w:rsidRPr="008F0293">
              <w:rPr>
                <w:webHidden/>
              </w:rPr>
              <w:fldChar w:fldCharType="end"/>
            </w:r>
          </w:hyperlink>
        </w:p>
        <w:p w14:paraId="36D67E89" w14:textId="10601299" w:rsidR="00AA2C2F" w:rsidRPr="008F0293" w:rsidRDefault="009E7B73">
          <w:pPr>
            <w:pStyle w:val="TOC2"/>
            <w:rPr>
              <w:rFonts w:eastAsiaTheme="minorEastAsia"/>
              <w:noProof/>
              <w:kern w:val="2"/>
              <w:sz w:val="24"/>
              <w:szCs w:val="24"/>
              <w:lang w:val="en-GB" w:eastAsia="en-GB"/>
              <w14:ligatures w14:val="standardContextual"/>
            </w:rPr>
          </w:pPr>
          <w:hyperlink w:anchor="_Toc226534598" w:history="1">
            <w:r w:rsidR="00AA2C2F" w:rsidRPr="008F0293">
              <w:rPr>
                <w:rStyle w:val="Hyperlink"/>
                <w:rFonts w:ascii="Times New Roman" w:hAnsi="Times New Roman" w:cs="Times New Roman"/>
                <w:noProof/>
              </w:rPr>
              <w:t>4.1.</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Comerțul cu mărfuri</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_Toc226534598 \h </w:instrText>
            </w:r>
            <w:r w:rsidR="00AA2C2F" w:rsidRPr="008F0293">
              <w:rPr>
                <w:noProof/>
                <w:webHidden/>
              </w:rPr>
            </w:r>
            <w:r w:rsidR="00AA2C2F" w:rsidRPr="008F0293">
              <w:rPr>
                <w:noProof/>
                <w:webHidden/>
              </w:rPr>
              <w:fldChar w:fldCharType="separate"/>
            </w:r>
            <w:r w:rsidR="00F62095" w:rsidRPr="008F0293">
              <w:rPr>
                <w:noProof/>
                <w:webHidden/>
              </w:rPr>
              <w:t>5</w:t>
            </w:r>
            <w:r w:rsidR="00AA2C2F" w:rsidRPr="008F0293">
              <w:rPr>
                <w:noProof/>
                <w:webHidden/>
              </w:rPr>
              <w:fldChar w:fldCharType="end"/>
            </w:r>
          </w:hyperlink>
        </w:p>
        <w:p w14:paraId="5DC110AE" w14:textId="6DD2021E" w:rsidR="00AA2C2F" w:rsidRPr="008F0293" w:rsidRDefault="009E7B73">
          <w:pPr>
            <w:pStyle w:val="TOC2"/>
            <w:rPr>
              <w:rFonts w:eastAsiaTheme="minorEastAsia"/>
              <w:noProof/>
              <w:kern w:val="2"/>
              <w:sz w:val="24"/>
              <w:szCs w:val="24"/>
              <w:lang w:val="en-GB" w:eastAsia="en-GB"/>
              <w14:ligatures w14:val="standardContextual"/>
            </w:rPr>
          </w:pPr>
          <w:hyperlink w:anchor="_Toc226534599" w:history="1">
            <w:r w:rsidR="00AA2C2F" w:rsidRPr="008F0293">
              <w:rPr>
                <w:rStyle w:val="Hyperlink"/>
                <w:rFonts w:ascii="Times New Roman" w:hAnsi="Times New Roman" w:cs="Times New Roman"/>
                <w:noProof/>
              </w:rPr>
              <w:t>4.2.</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Servicii și investiții, comerț digital, achiziții publice și întreprinderi mici și mijlocii</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_Toc226534599 \h </w:instrText>
            </w:r>
            <w:r w:rsidR="00AA2C2F" w:rsidRPr="008F0293">
              <w:rPr>
                <w:noProof/>
                <w:webHidden/>
              </w:rPr>
            </w:r>
            <w:r w:rsidR="00AA2C2F" w:rsidRPr="008F0293">
              <w:rPr>
                <w:noProof/>
                <w:webHidden/>
              </w:rPr>
              <w:fldChar w:fldCharType="separate"/>
            </w:r>
            <w:r w:rsidR="00F62095" w:rsidRPr="008F0293">
              <w:rPr>
                <w:noProof/>
                <w:webHidden/>
              </w:rPr>
              <w:t>7</w:t>
            </w:r>
            <w:r w:rsidR="00AA2C2F" w:rsidRPr="008F0293">
              <w:rPr>
                <w:noProof/>
                <w:webHidden/>
              </w:rPr>
              <w:fldChar w:fldCharType="end"/>
            </w:r>
          </w:hyperlink>
        </w:p>
        <w:p w14:paraId="52A9C4EB" w14:textId="65F3E916" w:rsidR="00AA2C2F" w:rsidRPr="008F0293" w:rsidRDefault="009E7B73">
          <w:pPr>
            <w:pStyle w:val="TOC2"/>
            <w:rPr>
              <w:rFonts w:eastAsiaTheme="minorEastAsia"/>
              <w:noProof/>
              <w:kern w:val="2"/>
              <w:sz w:val="24"/>
              <w:szCs w:val="24"/>
              <w:lang w:val="en-GB" w:eastAsia="en-GB"/>
              <w14:ligatures w14:val="standardContextual"/>
            </w:rPr>
          </w:pPr>
          <w:hyperlink w:anchor="_Toc226534600" w:history="1">
            <w:r w:rsidR="00AA2C2F" w:rsidRPr="008F0293">
              <w:rPr>
                <w:rStyle w:val="Hyperlink"/>
                <w:rFonts w:ascii="Times New Roman" w:hAnsi="Times New Roman" w:cs="Times New Roman"/>
                <w:noProof/>
              </w:rPr>
              <w:t>4.3.</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Drepturile de proprietate intelectuală</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_Toc226534600 \h </w:instrText>
            </w:r>
            <w:r w:rsidR="00AA2C2F" w:rsidRPr="008F0293">
              <w:rPr>
                <w:noProof/>
                <w:webHidden/>
              </w:rPr>
            </w:r>
            <w:r w:rsidR="00AA2C2F" w:rsidRPr="008F0293">
              <w:rPr>
                <w:noProof/>
                <w:webHidden/>
              </w:rPr>
              <w:fldChar w:fldCharType="separate"/>
            </w:r>
            <w:r w:rsidR="00F62095" w:rsidRPr="008F0293">
              <w:rPr>
                <w:noProof/>
                <w:webHidden/>
              </w:rPr>
              <w:t>10</w:t>
            </w:r>
            <w:r w:rsidR="00AA2C2F" w:rsidRPr="008F0293">
              <w:rPr>
                <w:noProof/>
                <w:webHidden/>
              </w:rPr>
              <w:fldChar w:fldCharType="end"/>
            </w:r>
          </w:hyperlink>
        </w:p>
        <w:p w14:paraId="55F43FD0" w14:textId="7A85859C" w:rsidR="00AA2C2F" w:rsidRPr="008F0293" w:rsidRDefault="009E7B73">
          <w:pPr>
            <w:pStyle w:val="TOC2"/>
            <w:rPr>
              <w:rFonts w:eastAsiaTheme="minorEastAsia"/>
              <w:noProof/>
              <w:kern w:val="2"/>
              <w:sz w:val="24"/>
              <w:szCs w:val="24"/>
              <w:lang w:val="en-GB" w:eastAsia="en-GB"/>
              <w14:ligatures w14:val="standardContextual"/>
            </w:rPr>
          </w:pPr>
          <w:hyperlink w:anchor="_Toc226534601" w:history="1">
            <w:r w:rsidR="00AA2C2F" w:rsidRPr="008F0293">
              <w:rPr>
                <w:rStyle w:val="Hyperlink"/>
                <w:rFonts w:ascii="Times New Roman" w:hAnsi="Times New Roman" w:cs="Times New Roman"/>
                <w:noProof/>
              </w:rPr>
              <w:t>4.4.</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Condiții de concurență echitabile</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_Toc226534601 \h </w:instrText>
            </w:r>
            <w:r w:rsidR="00AA2C2F" w:rsidRPr="008F0293">
              <w:rPr>
                <w:noProof/>
                <w:webHidden/>
              </w:rPr>
            </w:r>
            <w:r w:rsidR="00AA2C2F" w:rsidRPr="008F0293">
              <w:rPr>
                <w:noProof/>
                <w:webHidden/>
              </w:rPr>
              <w:fldChar w:fldCharType="separate"/>
            </w:r>
            <w:r w:rsidR="00F62095" w:rsidRPr="008F0293">
              <w:rPr>
                <w:noProof/>
                <w:webHidden/>
              </w:rPr>
              <w:t>10</w:t>
            </w:r>
            <w:r w:rsidR="00AA2C2F" w:rsidRPr="008F0293">
              <w:rPr>
                <w:noProof/>
                <w:webHidden/>
              </w:rPr>
              <w:fldChar w:fldCharType="end"/>
            </w:r>
          </w:hyperlink>
        </w:p>
        <w:p w14:paraId="1641039A" w14:textId="542D69EA" w:rsidR="00AA2C2F" w:rsidRPr="008F0293" w:rsidRDefault="009E7B73">
          <w:pPr>
            <w:pStyle w:val="TOC2"/>
            <w:rPr>
              <w:rFonts w:eastAsiaTheme="minorEastAsia"/>
              <w:noProof/>
              <w:kern w:val="2"/>
              <w:sz w:val="24"/>
              <w:szCs w:val="24"/>
              <w:lang w:val="en-GB" w:eastAsia="en-GB"/>
              <w14:ligatures w14:val="standardContextual"/>
            </w:rPr>
          </w:pPr>
          <w:hyperlink w:anchor="_Toc226534602" w:history="1">
            <w:r w:rsidR="00AA2C2F" w:rsidRPr="008F0293">
              <w:rPr>
                <w:rStyle w:val="Hyperlink"/>
                <w:rFonts w:ascii="Times New Roman" w:hAnsi="Times New Roman" w:cs="Times New Roman"/>
                <w:noProof/>
              </w:rPr>
              <w:t>4.5.</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Energie</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_Toc226534602 \h </w:instrText>
            </w:r>
            <w:r w:rsidR="00AA2C2F" w:rsidRPr="008F0293">
              <w:rPr>
                <w:noProof/>
                <w:webHidden/>
              </w:rPr>
            </w:r>
            <w:r w:rsidR="00AA2C2F" w:rsidRPr="008F0293">
              <w:rPr>
                <w:noProof/>
                <w:webHidden/>
              </w:rPr>
              <w:fldChar w:fldCharType="separate"/>
            </w:r>
            <w:r w:rsidR="00F62095" w:rsidRPr="008F0293">
              <w:rPr>
                <w:noProof/>
                <w:webHidden/>
              </w:rPr>
              <w:t>10</w:t>
            </w:r>
            <w:r w:rsidR="00AA2C2F" w:rsidRPr="008F0293">
              <w:rPr>
                <w:noProof/>
                <w:webHidden/>
              </w:rPr>
              <w:fldChar w:fldCharType="end"/>
            </w:r>
          </w:hyperlink>
        </w:p>
        <w:p w14:paraId="5733FA25" w14:textId="2DF00AC4" w:rsidR="00AA2C2F" w:rsidRPr="008F0293" w:rsidRDefault="009E7B73">
          <w:pPr>
            <w:pStyle w:val="TOC2"/>
            <w:rPr>
              <w:rFonts w:eastAsiaTheme="minorEastAsia"/>
              <w:noProof/>
              <w:kern w:val="2"/>
              <w:sz w:val="24"/>
              <w:szCs w:val="24"/>
              <w:lang w:val="en-GB" w:eastAsia="en-GB"/>
              <w14:ligatures w14:val="standardContextual"/>
            </w:rPr>
          </w:pPr>
          <w:hyperlink w:anchor="_Toc226534603" w:history="1">
            <w:r w:rsidR="00AA2C2F" w:rsidRPr="008F0293">
              <w:rPr>
                <w:rStyle w:val="Hyperlink"/>
                <w:rFonts w:ascii="Times New Roman" w:hAnsi="Times New Roman" w:cs="Times New Roman"/>
                <w:noProof/>
              </w:rPr>
              <w:t>4.6.</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Transport</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_Toc226534603 \h </w:instrText>
            </w:r>
            <w:r w:rsidR="00AA2C2F" w:rsidRPr="008F0293">
              <w:rPr>
                <w:noProof/>
                <w:webHidden/>
              </w:rPr>
            </w:r>
            <w:r w:rsidR="00AA2C2F" w:rsidRPr="008F0293">
              <w:rPr>
                <w:noProof/>
                <w:webHidden/>
              </w:rPr>
              <w:fldChar w:fldCharType="separate"/>
            </w:r>
            <w:r w:rsidR="00F62095" w:rsidRPr="008F0293">
              <w:rPr>
                <w:noProof/>
                <w:webHidden/>
              </w:rPr>
              <w:t>11</w:t>
            </w:r>
            <w:r w:rsidR="00AA2C2F" w:rsidRPr="008F0293">
              <w:rPr>
                <w:noProof/>
                <w:webHidden/>
              </w:rPr>
              <w:fldChar w:fldCharType="end"/>
            </w:r>
          </w:hyperlink>
        </w:p>
        <w:p w14:paraId="0010370F" w14:textId="25AC0284" w:rsidR="00AA2C2F" w:rsidRPr="008F0293" w:rsidRDefault="009E7B73">
          <w:pPr>
            <w:pStyle w:val="TOC2"/>
            <w:rPr>
              <w:rFonts w:eastAsiaTheme="minorEastAsia"/>
              <w:noProof/>
              <w:kern w:val="2"/>
              <w:sz w:val="24"/>
              <w:szCs w:val="24"/>
              <w:lang w:val="en-GB" w:eastAsia="en-GB"/>
              <w14:ligatures w14:val="standardContextual"/>
            </w:rPr>
          </w:pPr>
          <w:hyperlink w:anchor="_Toc226534604" w:history="1">
            <w:r w:rsidR="00AA2C2F" w:rsidRPr="008F0293">
              <w:rPr>
                <w:rStyle w:val="Hyperlink"/>
                <w:rFonts w:ascii="Times New Roman" w:hAnsi="Times New Roman" w:cs="Times New Roman"/>
                <w:noProof/>
              </w:rPr>
              <w:t>4.7.</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Pescuit</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_Toc226534604 \h </w:instrText>
            </w:r>
            <w:r w:rsidR="00AA2C2F" w:rsidRPr="008F0293">
              <w:rPr>
                <w:noProof/>
                <w:webHidden/>
              </w:rPr>
            </w:r>
            <w:r w:rsidR="00AA2C2F" w:rsidRPr="008F0293">
              <w:rPr>
                <w:noProof/>
                <w:webHidden/>
              </w:rPr>
              <w:fldChar w:fldCharType="separate"/>
            </w:r>
            <w:r w:rsidR="00F62095" w:rsidRPr="008F0293">
              <w:rPr>
                <w:noProof/>
                <w:webHidden/>
              </w:rPr>
              <w:t>12</w:t>
            </w:r>
            <w:r w:rsidR="00AA2C2F" w:rsidRPr="008F0293">
              <w:rPr>
                <w:noProof/>
                <w:webHidden/>
              </w:rPr>
              <w:fldChar w:fldCharType="end"/>
            </w:r>
          </w:hyperlink>
        </w:p>
        <w:p w14:paraId="091CF738" w14:textId="4B922DD8" w:rsidR="00AA2C2F" w:rsidRPr="008F0293" w:rsidRDefault="009E7B73">
          <w:pPr>
            <w:pStyle w:val="TOC2"/>
            <w:rPr>
              <w:rFonts w:eastAsiaTheme="minorEastAsia"/>
              <w:noProof/>
              <w:kern w:val="2"/>
              <w:sz w:val="24"/>
              <w:szCs w:val="24"/>
              <w:lang w:val="en-GB" w:eastAsia="en-GB"/>
              <w14:ligatures w14:val="standardContextual"/>
            </w:rPr>
          </w:pPr>
          <w:hyperlink w:anchor="_Toc226534605" w:history="1">
            <w:r w:rsidR="00AA2C2F" w:rsidRPr="008F0293">
              <w:rPr>
                <w:rStyle w:val="Hyperlink"/>
                <w:rFonts w:ascii="Times New Roman" w:hAnsi="Times New Roman" w:cs="Times New Roman"/>
                <w:noProof/>
              </w:rPr>
              <w:t>4.8.</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Coordonarea sistemelor de securitate socială</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_Toc226534605 \h </w:instrText>
            </w:r>
            <w:r w:rsidR="00AA2C2F" w:rsidRPr="008F0293">
              <w:rPr>
                <w:noProof/>
                <w:webHidden/>
              </w:rPr>
            </w:r>
            <w:r w:rsidR="00AA2C2F" w:rsidRPr="008F0293">
              <w:rPr>
                <w:noProof/>
                <w:webHidden/>
              </w:rPr>
              <w:fldChar w:fldCharType="separate"/>
            </w:r>
            <w:r w:rsidR="00F62095" w:rsidRPr="008F0293">
              <w:rPr>
                <w:noProof/>
                <w:webHidden/>
              </w:rPr>
              <w:t>13</w:t>
            </w:r>
            <w:r w:rsidR="00AA2C2F" w:rsidRPr="008F0293">
              <w:rPr>
                <w:noProof/>
                <w:webHidden/>
              </w:rPr>
              <w:fldChar w:fldCharType="end"/>
            </w:r>
          </w:hyperlink>
        </w:p>
        <w:p w14:paraId="3744DEBC" w14:textId="13507D74" w:rsidR="00AA2C2F" w:rsidRPr="008F0293" w:rsidRDefault="009E7B73">
          <w:pPr>
            <w:pStyle w:val="TOC2"/>
            <w:rPr>
              <w:rFonts w:eastAsiaTheme="minorEastAsia"/>
              <w:noProof/>
              <w:kern w:val="2"/>
              <w:sz w:val="24"/>
              <w:szCs w:val="24"/>
              <w:lang w:val="en-GB" w:eastAsia="en-GB"/>
              <w14:ligatures w14:val="standardContextual"/>
            </w:rPr>
          </w:pPr>
          <w:hyperlink w:anchor="_Toc226534606" w:history="1">
            <w:r w:rsidR="00AA2C2F" w:rsidRPr="008F0293">
              <w:rPr>
                <w:rStyle w:val="Hyperlink"/>
                <w:rFonts w:ascii="Times New Roman" w:hAnsi="Times New Roman" w:cs="Times New Roman"/>
                <w:noProof/>
              </w:rPr>
              <w:t>4.9.</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Cooperarea autorităților de aplicare a legii și cooperarea judiciară în materie penală</w:t>
            </w:r>
            <w:r w:rsidR="00AA2C2F" w:rsidRPr="008F0293">
              <w:rPr>
                <w:noProof/>
                <w:webHidden/>
              </w:rPr>
              <w:tab/>
            </w:r>
            <w:r w:rsidR="005241A2" w:rsidRPr="008F0293">
              <w:rPr>
                <w:noProof/>
                <w:webHidden/>
              </w:rPr>
              <w:tab/>
            </w:r>
            <w:r w:rsidR="008F0293" w:rsidRPr="008F0293">
              <w:rPr>
                <w:noProof/>
                <w:webHidden/>
              </w:rPr>
              <w:tab/>
            </w:r>
            <w:r w:rsidR="00AA2C2F" w:rsidRPr="008F0293">
              <w:rPr>
                <w:noProof/>
                <w:webHidden/>
              </w:rPr>
              <w:fldChar w:fldCharType="begin"/>
            </w:r>
            <w:r w:rsidR="00AA2C2F" w:rsidRPr="008F0293">
              <w:rPr>
                <w:noProof/>
                <w:webHidden/>
              </w:rPr>
              <w:instrText xml:space="preserve"> PAGEREF _Toc226534606 \h </w:instrText>
            </w:r>
            <w:r w:rsidR="00AA2C2F" w:rsidRPr="008F0293">
              <w:rPr>
                <w:noProof/>
                <w:webHidden/>
              </w:rPr>
            </w:r>
            <w:r w:rsidR="00AA2C2F" w:rsidRPr="008F0293">
              <w:rPr>
                <w:noProof/>
                <w:webHidden/>
              </w:rPr>
              <w:fldChar w:fldCharType="separate"/>
            </w:r>
            <w:r w:rsidR="00F62095" w:rsidRPr="008F0293">
              <w:rPr>
                <w:noProof/>
                <w:webHidden/>
              </w:rPr>
              <w:t>13</w:t>
            </w:r>
            <w:r w:rsidR="00AA2C2F" w:rsidRPr="008F0293">
              <w:rPr>
                <w:noProof/>
                <w:webHidden/>
              </w:rPr>
              <w:fldChar w:fldCharType="end"/>
            </w:r>
          </w:hyperlink>
        </w:p>
        <w:p w14:paraId="6821AD0D" w14:textId="66E3048E" w:rsidR="00AA2C2F" w:rsidRPr="008F0293" w:rsidRDefault="009E7B73">
          <w:pPr>
            <w:pStyle w:val="TOC2"/>
            <w:rPr>
              <w:rFonts w:eastAsiaTheme="minorEastAsia"/>
              <w:noProof/>
              <w:kern w:val="2"/>
              <w:sz w:val="24"/>
              <w:szCs w:val="24"/>
              <w:lang w:val="en-GB" w:eastAsia="en-GB"/>
              <w14:ligatures w14:val="standardContextual"/>
            </w:rPr>
          </w:pPr>
          <w:hyperlink w:anchor="_Toc226534607" w:history="1">
            <w:r w:rsidR="00AA2C2F" w:rsidRPr="008F0293">
              <w:rPr>
                <w:rStyle w:val="Hyperlink"/>
                <w:rFonts w:ascii="Times New Roman" w:hAnsi="Times New Roman" w:cs="Times New Roman"/>
                <w:noProof/>
              </w:rPr>
              <w:t>4.10.</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Asocierea Regatului Unit la anumite programe ale UE</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_Toc226534607 \h </w:instrText>
            </w:r>
            <w:r w:rsidR="00AA2C2F" w:rsidRPr="008F0293">
              <w:rPr>
                <w:noProof/>
                <w:webHidden/>
              </w:rPr>
            </w:r>
            <w:r w:rsidR="00AA2C2F" w:rsidRPr="008F0293">
              <w:rPr>
                <w:noProof/>
                <w:webHidden/>
              </w:rPr>
              <w:fldChar w:fldCharType="separate"/>
            </w:r>
            <w:r w:rsidR="00F62095" w:rsidRPr="008F0293">
              <w:rPr>
                <w:noProof/>
                <w:webHidden/>
              </w:rPr>
              <w:t>14</w:t>
            </w:r>
            <w:r w:rsidR="00AA2C2F" w:rsidRPr="008F0293">
              <w:rPr>
                <w:noProof/>
                <w:webHidden/>
              </w:rPr>
              <w:fldChar w:fldCharType="end"/>
            </w:r>
          </w:hyperlink>
        </w:p>
        <w:p w14:paraId="6EF8C2C8" w14:textId="34BF78E8" w:rsidR="00AA2C2F" w:rsidRPr="008F0293" w:rsidRDefault="009E7B73">
          <w:pPr>
            <w:pStyle w:val="TOC2"/>
            <w:rPr>
              <w:rFonts w:eastAsiaTheme="minorEastAsia"/>
              <w:noProof/>
              <w:kern w:val="2"/>
              <w:sz w:val="24"/>
              <w:szCs w:val="24"/>
              <w:lang w:val="en-GB" w:eastAsia="en-GB"/>
              <w14:ligatures w14:val="standardContextual"/>
            </w:rPr>
          </w:pPr>
          <w:hyperlink w:anchor="_Toc226534608" w:history="1">
            <w:r w:rsidR="00AA2C2F" w:rsidRPr="008F0293">
              <w:rPr>
                <w:rStyle w:val="Hyperlink"/>
                <w:rFonts w:ascii="Times New Roman" w:eastAsia="Times New Roman" w:hAnsi="Times New Roman" w:cs="Times New Roman"/>
                <w:noProof/>
              </w:rPr>
              <w:t>4.11.</w:t>
            </w:r>
            <w:r w:rsidR="00AA2C2F" w:rsidRPr="008F0293">
              <w:rPr>
                <w:rFonts w:eastAsiaTheme="minorEastAsia"/>
                <w:noProof/>
                <w:kern w:val="2"/>
                <w:sz w:val="24"/>
                <w:szCs w:val="24"/>
                <w:lang w:val="en-GB" w:eastAsia="en-GB"/>
                <w14:ligatures w14:val="standardContextual"/>
              </w:rPr>
              <w:tab/>
            </w:r>
            <w:r w:rsidR="00AA2C2F" w:rsidRPr="008F0293">
              <w:rPr>
                <w:rStyle w:val="Hyperlink"/>
                <w:rFonts w:ascii="Times New Roman" w:hAnsi="Times New Roman"/>
                <w:noProof/>
              </w:rPr>
              <w:t>Alte domenii</w:t>
            </w:r>
            <w:r w:rsidR="00AA2C2F" w:rsidRPr="008F0293">
              <w:rPr>
                <w:noProof/>
                <w:webHidden/>
              </w:rPr>
              <w:tab/>
            </w:r>
            <w:r w:rsidR="00AA2C2F" w:rsidRPr="008F0293">
              <w:rPr>
                <w:noProof/>
                <w:webHidden/>
              </w:rPr>
              <w:fldChar w:fldCharType="begin"/>
            </w:r>
            <w:r w:rsidR="00AA2C2F" w:rsidRPr="008F0293">
              <w:rPr>
                <w:noProof/>
                <w:webHidden/>
              </w:rPr>
              <w:instrText xml:space="preserve"> PAGEREF _Toc226534608 \h </w:instrText>
            </w:r>
            <w:r w:rsidR="00AA2C2F" w:rsidRPr="008F0293">
              <w:rPr>
                <w:noProof/>
                <w:webHidden/>
              </w:rPr>
            </w:r>
            <w:r w:rsidR="00AA2C2F" w:rsidRPr="008F0293">
              <w:rPr>
                <w:noProof/>
                <w:webHidden/>
              </w:rPr>
              <w:fldChar w:fldCharType="separate"/>
            </w:r>
            <w:r w:rsidR="00F62095" w:rsidRPr="008F0293">
              <w:rPr>
                <w:noProof/>
                <w:webHidden/>
              </w:rPr>
              <w:t>14</w:t>
            </w:r>
            <w:r w:rsidR="00AA2C2F" w:rsidRPr="008F0293">
              <w:rPr>
                <w:noProof/>
                <w:webHidden/>
              </w:rPr>
              <w:fldChar w:fldCharType="end"/>
            </w:r>
          </w:hyperlink>
        </w:p>
        <w:p w14:paraId="5855648C" w14:textId="686F925A"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609" w:history="1">
            <w:r w:rsidR="00AA2C2F" w:rsidRPr="008F0293">
              <w:rPr>
                <w:rStyle w:val="Hyperlink"/>
              </w:rPr>
              <w:t>5.</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Evoluția dreptului Regatului Unit</w:t>
            </w:r>
            <w:r w:rsidR="00AA2C2F" w:rsidRPr="008F0293">
              <w:rPr>
                <w:webHidden/>
              </w:rPr>
              <w:tab/>
            </w:r>
            <w:r w:rsidR="00AA2C2F" w:rsidRPr="008F0293">
              <w:rPr>
                <w:webHidden/>
              </w:rPr>
              <w:fldChar w:fldCharType="begin"/>
            </w:r>
            <w:r w:rsidR="00AA2C2F" w:rsidRPr="008F0293">
              <w:rPr>
                <w:webHidden/>
              </w:rPr>
              <w:instrText xml:space="preserve"> PAGEREF _Toc226534609 \h </w:instrText>
            </w:r>
            <w:r w:rsidR="00AA2C2F" w:rsidRPr="008F0293">
              <w:rPr>
                <w:webHidden/>
              </w:rPr>
            </w:r>
            <w:r w:rsidR="00AA2C2F" w:rsidRPr="008F0293">
              <w:rPr>
                <w:webHidden/>
              </w:rPr>
              <w:fldChar w:fldCharType="separate"/>
            </w:r>
            <w:r w:rsidR="00F62095" w:rsidRPr="008F0293">
              <w:rPr>
                <w:webHidden/>
              </w:rPr>
              <w:t>15</w:t>
            </w:r>
            <w:r w:rsidR="00AA2C2F" w:rsidRPr="008F0293">
              <w:rPr>
                <w:webHidden/>
              </w:rPr>
              <w:fldChar w:fldCharType="end"/>
            </w:r>
          </w:hyperlink>
        </w:p>
        <w:p w14:paraId="5EFF2C4B" w14:textId="0C5AC51A"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610" w:history="1">
            <w:r w:rsidR="00AA2C2F" w:rsidRPr="008F0293">
              <w:rPr>
                <w:rStyle w:val="Hyperlink"/>
              </w:rPr>
              <w:t>6.</w:t>
            </w:r>
            <w:r w:rsidR="00AA2C2F" w:rsidRPr="008F0293">
              <w:rPr>
                <w:rFonts w:asciiTheme="minorHAnsi" w:eastAsiaTheme="minorEastAsia" w:hAnsiTheme="minorHAnsi" w:cstheme="minorBidi"/>
                <w:kern w:val="2"/>
                <w:lang w:val="en-GB" w:eastAsia="en-GB"/>
                <w14:ligatures w14:val="standardContextual"/>
              </w:rPr>
              <w:tab/>
            </w:r>
            <w:r w:rsidR="00AA2C2F" w:rsidRPr="008F0293">
              <w:rPr>
                <w:rStyle w:val="Hyperlink"/>
              </w:rPr>
              <w:t>Concluzii</w:t>
            </w:r>
            <w:r w:rsidR="00AA2C2F" w:rsidRPr="008F0293">
              <w:rPr>
                <w:webHidden/>
              </w:rPr>
              <w:tab/>
            </w:r>
            <w:r w:rsidR="00AA2C2F" w:rsidRPr="008F0293">
              <w:rPr>
                <w:webHidden/>
              </w:rPr>
              <w:fldChar w:fldCharType="begin"/>
            </w:r>
            <w:r w:rsidR="00AA2C2F" w:rsidRPr="008F0293">
              <w:rPr>
                <w:webHidden/>
              </w:rPr>
              <w:instrText xml:space="preserve"> PAGEREF _Toc226534610 \h </w:instrText>
            </w:r>
            <w:r w:rsidR="00AA2C2F" w:rsidRPr="008F0293">
              <w:rPr>
                <w:webHidden/>
              </w:rPr>
            </w:r>
            <w:r w:rsidR="00AA2C2F" w:rsidRPr="008F0293">
              <w:rPr>
                <w:webHidden/>
              </w:rPr>
              <w:fldChar w:fldCharType="separate"/>
            </w:r>
            <w:r w:rsidR="00F62095" w:rsidRPr="008F0293">
              <w:rPr>
                <w:webHidden/>
              </w:rPr>
              <w:t>17</w:t>
            </w:r>
            <w:r w:rsidR="00AA2C2F" w:rsidRPr="008F0293">
              <w:rPr>
                <w:webHidden/>
              </w:rPr>
              <w:fldChar w:fldCharType="end"/>
            </w:r>
          </w:hyperlink>
        </w:p>
        <w:p w14:paraId="7E53267D" w14:textId="0DF70BF6"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611" w:history="1">
            <w:r w:rsidR="00AA2C2F" w:rsidRPr="008F0293">
              <w:rPr>
                <w:rStyle w:val="Hyperlink"/>
              </w:rPr>
              <w:t>Anexa 1: Reuniuni ale organismelor comune și ale altor structuri instituite în temeiul ACC</w:t>
            </w:r>
            <w:r w:rsidR="00AA2C2F" w:rsidRPr="008F0293">
              <w:rPr>
                <w:webHidden/>
              </w:rPr>
              <w:tab/>
            </w:r>
            <w:r w:rsidR="00AA2C2F" w:rsidRPr="008F0293">
              <w:rPr>
                <w:webHidden/>
              </w:rPr>
              <w:fldChar w:fldCharType="begin"/>
            </w:r>
            <w:r w:rsidR="00AA2C2F" w:rsidRPr="008F0293">
              <w:rPr>
                <w:webHidden/>
              </w:rPr>
              <w:instrText xml:space="preserve"> PAGEREF _Toc226534611 \h </w:instrText>
            </w:r>
            <w:r w:rsidR="00AA2C2F" w:rsidRPr="008F0293">
              <w:rPr>
                <w:webHidden/>
              </w:rPr>
            </w:r>
            <w:r w:rsidR="00AA2C2F" w:rsidRPr="008F0293">
              <w:rPr>
                <w:webHidden/>
              </w:rPr>
              <w:fldChar w:fldCharType="separate"/>
            </w:r>
            <w:r w:rsidR="00F62095" w:rsidRPr="008F0293">
              <w:rPr>
                <w:webHidden/>
              </w:rPr>
              <w:t>18</w:t>
            </w:r>
            <w:r w:rsidR="00AA2C2F" w:rsidRPr="008F0293">
              <w:rPr>
                <w:webHidden/>
              </w:rPr>
              <w:fldChar w:fldCharType="end"/>
            </w:r>
          </w:hyperlink>
        </w:p>
        <w:p w14:paraId="56F8832B" w14:textId="35C0AA61" w:rsidR="00AA2C2F" w:rsidRPr="008F0293" w:rsidRDefault="009E7B73">
          <w:pPr>
            <w:pStyle w:val="TOC1"/>
            <w:rPr>
              <w:rFonts w:asciiTheme="minorHAnsi" w:eastAsiaTheme="minorEastAsia" w:hAnsiTheme="minorHAnsi" w:cstheme="minorBidi"/>
              <w:kern w:val="2"/>
              <w:lang w:val="en-GB" w:eastAsia="en-GB"/>
              <w14:ligatures w14:val="standardContextual"/>
            </w:rPr>
          </w:pPr>
          <w:hyperlink w:anchor="_Toc226534612" w:history="1">
            <w:r w:rsidR="00AA2C2F" w:rsidRPr="008F0293">
              <w:rPr>
                <w:rStyle w:val="Hyperlink"/>
              </w:rPr>
              <w:t>Anexa 2: Decizii, recomandări și declarații adoptate de Consiliul de parteneriat sau de comitetele instituite prin ACC</w:t>
            </w:r>
            <w:r w:rsidR="00AA2C2F" w:rsidRPr="008F0293">
              <w:rPr>
                <w:webHidden/>
              </w:rPr>
              <w:tab/>
            </w:r>
            <w:r w:rsidR="00AA2C2F" w:rsidRPr="008F0293">
              <w:rPr>
                <w:webHidden/>
              </w:rPr>
              <w:fldChar w:fldCharType="begin"/>
            </w:r>
            <w:r w:rsidR="00AA2C2F" w:rsidRPr="008F0293">
              <w:rPr>
                <w:webHidden/>
              </w:rPr>
              <w:instrText xml:space="preserve"> PAGEREF _Toc226534612 \h </w:instrText>
            </w:r>
            <w:r w:rsidR="00AA2C2F" w:rsidRPr="008F0293">
              <w:rPr>
                <w:webHidden/>
              </w:rPr>
            </w:r>
            <w:r w:rsidR="00AA2C2F" w:rsidRPr="008F0293">
              <w:rPr>
                <w:webHidden/>
              </w:rPr>
              <w:fldChar w:fldCharType="separate"/>
            </w:r>
            <w:r w:rsidR="00F62095" w:rsidRPr="008F0293">
              <w:rPr>
                <w:webHidden/>
              </w:rPr>
              <w:t>20</w:t>
            </w:r>
            <w:r w:rsidR="00AA2C2F" w:rsidRPr="008F0293">
              <w:rPr>
                <w:webHidden/>
              </w:rPr>
              <w:fldChar w:fldCharType="end"/>
            </w:r>
          </w:hyperlink>
        </w:p>
        <w:p w14:paraId="16CCE8E8" w14:textId="078D8E6F" w:rsidR="00AA2C2F" w:rsidRDefault="009E7B73">
          <w:pPr>
            <w:pStyle w:val="TOC1"/>
            <w:rPr>
              <w:rFonts w:asciiTheme="minorHAnsi" w:eastAsiaTheme="minorEastAsia" w:hAnsiTheme="minorHAnsi" w:cstheme="minorBidi"/>
              <w:kern w:val="2"/>
              <w:lang w:val="en-GB" w:eastAsia="en-GB"/>
              <w14:ligatures w14:val="standardContextual"/>
            </w:rPr>
          </w:pPr>
          <w:hyperlink w:anchor="_Toc226534613" w:history="1">
            <w:r w:rsidR="00AA2C2F" w:rsidRPr="008F0293">
              <w:rPr>
                <w:rStyle w:val="Hyperlink"/>
              </w:rPr>
              <w:t>Anexa 3: Prezentare generală a punerii în aplicare a acțiunilor legate de ACC convenite în Înțelegerea comună</w:t>
            </w:r>
            <w:r w:rsidR="00AA2C2F" w:rsidRPr="008F0293">
              <w:rPr>
                <w:webHidden/>
              </w:rPr>
              <w:tab/>
            </w:r>
            <w:r w:rsidR="00AA2C2F" w:rsidRPr="008F0293">
              <w:rPr>
                <w:webHidden/>
              </w:rPr>
              <w:fldChar w:fldCharType="begin"/>
            </w:r>
            <w:r w:rsidR="00AA2C2F" w:rsidRPr="008F0293">
              <w:rPr>
                <w:webHidden/>
              </w:rPr>
              <w:instrText xml:space="preserve"> PAGEREF _Toc226534613 \h </w:instrText>
            </w:r>
            <w:r w:rsidR="00AA2C2F" w:rsidRPr="008F0293">
              <w:rPr>
                <w:webHidden/>
              </w:rPr>
            </w:r>
            <w:r w:rsidR="00AA2C2F" w:rsidRPr="008F0293">
              <w:rPr>
                <w:webHidden/>
              </w:rPr>
              <w:fldChar w:fldCharType="separate"/>
            </w:r>
            <w:r w:rsidR="00F62095" w:rsidRPr="008F0293">
              <w:rPr>
                <w:webHidden/>
              </w:rPr>
              <w:t>21</w:t>
            </w:r>
            <w:r w:rsidR="00AA2C2F" w:rsidRPr="008F0293">
              <w:rPr>
                <w:webHidden/>
              </w:rPr>
              <w:fldChar w:fldCharType="end"/>
            </w:r>
          </w:hyperlink>
        </w:p>
        <w:p w14:paraId="06944297" w14:textId="4E0FCF6B" w:rsidR="00D331A7" w:rsidRDefault="00D331A7" w:rsidP="00D331A7">
          <w:pPr>
            <w:tabs>
              <w:tab w:val="left" w:pos="435"/>
              <w:tab w:val="left" w:pos="851"/>
              <w:tab w:val="right" w:leader="dot" w:pos="9015"/>
            </w:tabs>
            <w:ind w:left="426" w:hanging="426"/>
            <w:rPr>
              <w:noProof/>
            </w:rPr>
          </w:pPr>
          <w:r>
            <w:rPr>
              <w:rFonts w:ascii="Times New Roman" w:hAnsi="Times New Roman" w:cs="Times New Roman"/>
              <w:noProof/>
            </w:rPr>
            <w:fldChar w:fldCharType="end"/>
          </w:r>
        </w:p>
      </w:sdtContent>
    </w:sdt>
    <w:p w14:paraId="52CFE944" w14:textId="144B4421" w:rsidR="00D331A7" w:rsidRDefault="00D331A7" w:rsidP="00D8292C">
      <w:pPr>
        <w:tabs>
          <w:tab w:val="left" w:pos="7538"/>
        </w:tabs>
        <w:rPr>
          <w:noProof/>
        </w:rPr>
      </w:pPr>
    </w:p>
    <w:p w14:paraId="55DF7F5C" w14:textId="687525FD"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5" w:name="_Toc204769314"/>
      <w:bookmarkStart w:id="6" w:name="_Toc226534592"/>
      <w:r>
        <w:rPr>
          <w:rFonts w:ascii="Times New Roman" w:hAnsi="Times New Roman"/>
          <w:b/>
          <w:noProof/>
          <w:color w:val="auto"/>
        </w:rPr>
        <w:t>Introducere</w:t>
      </w:r>
      <w:bookmarkEnd w:id="5"/>
      <w:bookmarkEnd w:id="6"/>
      <w:bookmarkEnd w:id="4"/>
      <w:bookmarkEnd w:id="3"/>
      <w:bookmarkEnd w:id="2"/>
    </w:p>
    <w:p w14:paraId="61AE3D67" w14:textId="400E8AC4" w:rsidR="002A4EFB" w:rsidRDefault="0095620A" w:rsidP="6A5D11F7">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2025, Uniunea Europeană (UE) și Regatul Unit al Marii Britanii și Irlandei de Nord (Regatul Unit) au făcut un important pas înainte în relația lor prin organizarea primului summit bilateral de la ieșirea Regatului Unit din UE. Summitul din 19 mai 2025 de la Londra a marcat reînnoirea angajamentului privind cooperarea. Liderii</w:t>
      </w:r>
      <w:r>
        <w:rPr>
          <w:noProof/>
        </w:rPr>
        <w:t xml:space="preserve"> </w:t>
      </w:r>
      <w:r>
        <w:rPr>
          <w:rFonts w:ascii="Times New Roman" w:hAnsi="Times New Roman"/>
          <w:noProof/>
          <w:sz w:val="24"/>
        </w:rPr>
        <w:t>au salutat acordul privind parteneriatul în materie de securitate și apărare dintre UE și Regatul Unit și au convenit să instituie un nou parteneriat strategic</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bazat pe Acordul de retragere</w:t>
      </w:r>
      <w:r>
        <w:rPr>
          <w:rStyle w:val="FootnoteReference"/>
          <w:rFonts w:ascii="Times New Roman" w:hAnsi="Times New Roman" w:cs="Times New Roman"/>
          <w:noProof/>
          <w:sz w:val="24"/>
          <w:szCs w:val="24"/>
        </w:rPr>
        <w:footnoteReference w:id="3"/>
      </w:r>
      <w:r>
        <w:rPr>
          <w:rFonts w:ascii="Times New Roman" w:hAnsi="Times New Roman"/>
          <w:noProof/>
          <w:sz w:val="24"/>
        </w:rPr>
        <w:t>, inclusiv pe Cadrul Windsor</w:t>
      </w:r>
      <w:r>
        <w:rPr>
          <w:rStyle w:val="FootnoteReference"/>
          <w:rFonts w:ascii="Times New Roman" w:hAnsi="Times New Roman" w:cs="Times New Roman"/>
          <w:noProof/>
          <w:sz w:val="24"/>
          <w:szCs w:val="24"/>
        </w:rPr>
        <w:footnoteReference w:id="4"/>
      </w:r>
      <w:r>
        <w:rPr>
          <w:rFonts w:ascii="Times New Roman" w:hAnsi="Times New Roman"/>
          <w:noProof/>
          <w:sz w:val="24"/>
        </w:rPr>
        <w:t>, și pe Acordul comercial și de cooperare (denumit în continuare „ACC” sau „acordul”)</w:t>
      </w:r>
      <w:r>
        <w:rPr>
          <w:rStyle w:val="FootnoteReference"/>
          <w:rFonts w:ascii="Times New Roman" w:hAnsi="Times New Roman" w:cs="Times New Roman"/>
          <w:noProof/>
          <w:sz w:val="24"/>
          <w:szCs w:val="24"/>
        </w:rPr>
        <w:footnoteReference w:id="5"/>
      </w:r>
      <w:r>
        <w:rPr>
          <w:rFonts w:ascii="Times New Roman" w:hAnsi="Times New Roman"/>
          <w:noProof/>
          <w:sz w:val="24"/>
        </w:rPr>
        <w:t>.</w:t>
      </w:r>
    </w:p>
    <w:p w14:paraId="1E2C7B3E" w14:textId="2733584D" w:rsidR="00FB2183" w:rsidRDefault="004C2491" w:rsidP="00FB2183">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Agenda reînnoită pentru o cooperare bilaterală consolidată – Înțelegerea comună</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 reflectă un angajament comun față de punerea în aplicare deplină, la timp și fidelă a acestor acorduri. În ceea ce privește ACC, Înțelegerea comună prezintă acțiuni de intensificare a cooperării, inclusiv asigurarea accesului reciproc deplin la apele de pescuit până la 30 iunie 2038, extinderea cooperării în domeniul energiei, consolidarea colaborării în materie de securitate sanitară, realizarea de progrese în ceea ce privește corelarea schemelor de comercializare a certificatelor de emisii, abordarea punerii în aplicare a dispozițiilor specifice privind serviciile prevăzute în ACC, consolidarea cooperării în domeniul judiciar, al asigurării respectării legii și al politicii în domeniul concurenței și asocierea Regatului Unit la programul Erasmus +. </w:t>
      </w:r>
    </w:p>
    <w:p w14:paraId="042A3A7C" w14:textId="1F86F810" w:rsidR="00FA7FF2" w:rsidRDefault="00FA7FF2" w:rsidP="00FA7FF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Până la sfârșitul anului 2025, s-au înregistrat progrese semnificative în ceea ce privește punerea în aplicare a Înțelegerii comune. S-a ajuns la un acord de principiu cu privire la participarea Regatului Unit la Erasmus+</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și s-au încheiat discuții exploratorii privind posibila participare a Regatului Unit la piața internă a energiei electrice a UE, deschizând calea pentru noi progrese în 2026. </w:t>
      </w:r>
    </w:p>
    <w:p w14:paraId="4929F703" w14:textId="69C54E72" w:rsidR="00087994" w:rsidRDefault="00FA7FF2"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De asemenea, cooperarea a continuat cu privire la o serie de inițiative care nu intră în domeniul de aplicare al ACC. Printre acestea s-au numărat negocierea acordurilor privind un spațiu sanitar și fitosanitar comun și programul de experiență pentru tineret, precum și cooperarea privind migrația ilegală, inclusiv dimensiunea sa externă. Ambele părți s-au angajat, de asemenea, să facă schimb de informații privind gestionarea eficientă a frontierelor și să desfășoare dialoguri tehnice în materie de reglementare privind tehnologiile energetice, riscurile și amenințările legate de droguri.</w:t>
      </w:r>
    </w:p>
    <w:p w14:paraId="1A9BC1F0" w14:textId="15A10F9C" w:rsidR="00DC13CC" w:rsidRPr="00F006D0" w:rsidRDefault="00E31ED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Acest al cincilea raport privind punerea în aplicare a ACC, prevăzut la articolul 2 alineatul (4) din </w:t>
      </w:r>
      <w:bookmarkStart w:id="7" w:name="_Hlk209776665"/>
      <w:r>
        <w:rPr>
          <w:rFonts w:ascii="Times New Roman" w:hAnsi="Times New Roman"/>
          <w:noProof/>
          <w:sz w:val="24"/>
        </w:rPr>
        <w:t>Decizia (UE) 2021/689 a Consiliului din 29 aprilie 2021</w:t>
      </w:r>
      <w:r>
        <w:rPr>
          <w:rFonts w:ascii="Times New Roman" w:hAnsi="Times New Roman" w:cs="Times New Roman"/>
          <w:noProof/>
          <w:sz w:val="24"/>
          <w:szCs w:val="24"/>
          <w:vertAlign w:val="superscript"/>
        </w:rPr>
        <w:footnoteReference w:id="8"/>
      </w:r>
      <w:bookmarkEnd w:id="7"/>
      <w:r>
        <w:rPr>
          <w:rFonts w:ascii="Times New Roman" w:hAnsi="Times New Roman"/>
          <w:noProof/>
          <w:sz w:val="24"/>
        </w:rPr>
        <w:t>, prezintă principalele evoluții din 2025</w:t>
      </w:r>
      <w:r>
        <w:rPr>
          <w:noProof/>
        </w:rPr>
        <w:t>.</w:t>
      </w:r>
      <w:r>
        <w:rPr>
          <w:rFonts w:ascii="Times New Roman" w:hAnsi="Times New Roman"/>
          <w:noProof/>
          <w:sz w:val="24"/>
        </w:rPr>
        <w:t xml:space="preserve"> Raportul acoperă funcționarea cadrului instituțional (secțiunea 2), plângerile și soluționarea litigiilor (secțiunea 3), precum și progresele înregistrate în diferitele domenii ale ACC, inclusiv actualizări privind punerea în aplicare a acțiunilor convenite în Înțelegerea comună (secțiunea 4). De asemenea, raportul evidențiază evoluțiile legislative din Regatul</w:t>
      </w:r>
      <w:r w:rsidR="00F409DF">
        <w:rPr>
          <w:rFonts w:ascii="Times New Roman" w:hAnsi="Times New Roman"/>
          <w:noProof/>
          <w:sz w:val="24"/>
        </w:rPr>
        <w:t> </w:t>
      </w:r>
      <w:r>
        <w:rPr>
          <w:rFonts w:ascii="Times New Roman" w:hAnsi="Times New Roman"/>
          <w:noProof/>
          <w:sz w:val="24"/>
        </w:rPr>
        <w:t>Unit care afectează punerea în aplicare a ACC (secțiunea 5).</w:t>
      </w:r>
    </w:p>
    <w:p w14:paraId="14B51BD5" w14:textId="60B652B0"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8" w:name="_Toc86061892"/>
      <w:bookmarkStart w:id="9" w:name="_Toc86154514"/>
      <w:bookmarkStart w:id="10" w:name="_Toc185413378"/>
      <w:bookmarkStart w:id="11" w:name="_Toc204769315"/>
      <w:bookmarkStart w:id="12" w:name="_Toc226534593"/>
      <w:r>
        <w:rPr>
          <w:rFonts w:ascii="Times New Roman" w:hAnsi="Times New Roman"/>
          <w:b/>
          <w:noProof/>
          <w:color w:val="auto"/>
        </w:rPr>
        <w:t>Cadrul instituțional</w:t>
      </w:r>
      <w:bookmarkEnd w:id="8"/>
      <w:bookmarkEnd w:id="9"/>
      <w:bookmarkEnd w:id="10"/>
      <w:bookmarkEnd w:id="11"/>
      <w:bookmarkEnd w:id="12"/>
    </w:p>
    <w:p w14:paraId="0FC06E13" w14:textId="79B91B83" w:rsidR="00024D39" w:rsidRPr="00F006D0" w:rsidRDefault="00176FCA"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Această secțiune prezintă principalele activități și evoluții ale organismelor comune și ale altor structuri instituite în temeiul ACC pentru a monitoriza și a facilita punerea sa în aplicare. Lista completă a reuniunilor este prezentată în anexa 1.</w:t>
      </w:r>
    </w:p>
    <w:p w14:paraId="6E3660B6" w14:textId="00B50AA4" w:rsidR="001B6AD6" w:rsidRDefault="7473CE49" w:rsidP="001B6AD6">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Comitetele</w:t>
      </w:r>
      <w:r>
        <w:rPr>
          <w:rFonts w:ascii="Times New Roman" w:hAnsi="Times New Roman"/>
          <w:noProof/>
          <w:sz w:val="24"/>
        </w:rPr>
        <w:t xml:space="preserve"> instituite în temeiul articolului 8 din ACC s-au reunit pe tot parcursul anului. Aceste reuniuni au permis revizuiri structurate ale progreselor înregistrate în ceea ce privește angajamentele asumate în cadrul ACC și au oferit o platformă pentru schimburi tehnice cu privire la diverse aspecte legate de punerea în aplicare, inclusiv la viitoarele evoluții în materie de reglementare. Au fost adoptate mai multe decizii și recomandări, care sunt prezentate în anexa 2. După caz, reuniunile comitetelor specializate au fost precedate de reuniunile </w:t>
      </w:r>
      <w:r>
        <w:rPr>
          <w:rFonts w:ascii="Times New Roman" w:hAnsi="Times New Roman"/>
          <w:b/>
          <w:noProof/>
          <w:sz w:val="24"/>
        </w:rPr>
        <w:t>grupurilor de lucru</w:t>
      </w:r>
      <w:r>
        <w:rPr>
          <w:rFonts w:ascii="Times New Roman" w:hAnsi="Times New Roman"/>
          <w:noProof/>
          <w:sz w:val="24"/>
        </w:rPr>
        <w:t xml:space="preserve"> instituite în temeiul articolului 9 din ACC</w:t>
      </w:r>
      <w:r>
        <w:rPr>
          <w:rStyle w:val="FootnoteReference"/>
          <w:rFonts w:ascii="Times New Roman" w:hAnsi="Times New Roman" w:cs="Times New Roman"/>
          <w:noProof/>
          <w:sz w:val="24"/>
          <w:szCs w:val="24"/>
        </w:rPr>
        <w:footnoteReference w:id="9"/>
      </w:r>
      <w:r>
        <w:rPr>
          <w:rFonts w:ascii="Times New Roman" w:hAnsi="Times New Roman"/>
          <w:noProof/>
          <w:sz w:val="24"/>
        </w:rPr>
        <w:t>.</w:t>
      </w:r>
    </w:p>
    <w:p w14:paraId="1ACC876B" w14:textId="68CDD745" w:rsidR="00A60811" w:rsidRDefault="0B76E0F5"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Adunarea Parlamentară a Parteneriatului</w:t>
      </w:r>
      <w:r>
        <w:rPr>
          <w:rFonts w:ascii="Times New Roman" w:hAnsi="Times New Roman"/>
          <w:noProof/>
          <w:sz w:val="24"/>
        </w:rPr>
        <w:t>, instituită în temeiul articolului 11 din ACC, s-a reunit de două ori: la 17 și 18 martie la Bruxelles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și la 17 și 18 noiembrie la Londra</w:t>
      </w:r>
      <w:r>
        <w:rPr>
          <w:rStyle w:val="FootnoteReference"/>
          <w:rFonts w:ascii="Times New Roman" w:hAnsi="Times New Roman" w:cs="Times New Roman"/>
          <w:noProof/>
          <w:sz w:val="24"/>
          <w:szCs w:val="24"/>
        </w:rPr>
        <w:footnoteReference w:id="11"/>
      </w:r>
      <w:r>
        <w:rPr>
          <w:rFonts w:ascii="Times New Roman" w:hAnsi="Times New Roman"/>
          <w:noProof/>
          <w:sz w:val="24"/>
        </w:rPr>
        <w:t>. Aceste reuniuni s-au axat pe politica externă și de securitate, climă și energie, drepturile lucrătorilor, schimburile culturale, inteligența artificială, date și cooperarea digitală, oportunitățile pentru tineri, comerț, vamă, măsuri sanitare și fitosanitare și cooperarea în materie de reglementare în domeniul serviciilor financiare. În urma reuniunii din martie, Adunarea a emis o recomandare adresată Consiliului de parteneriat privind consolidarea cooperării dintre UE și Regatul Unit înainte de summitul din 19 mai</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și, în urma reuniunii din noiembrie, privind securitatea, comerțul și provocările globale</w:t>
      </w:r>
      <w:r>
        <w:rPr>
          <w:rStyle w:val="FootnoteReference"/>
          <w:rFonts w:ascii="Times New Roman" w:hAnsi="Times New Roman" w:cs="Times New Roman"/>
          <w:noProof/>
          <w:sz w:val="24"/>
          <w:szCs w:val="24"/>
        </w:rPr>
        <w:footnoteReference w:id="13"/>
      </w:r>
      <w:r>
        <w:rPr>
          <w:rFonts w:ascii="Times New Roman" w:hAnsi="Times New Roman"/>
          <w:noProof/>
          <w:sz w:val="24"/>
        </w:rPr>
        <w:t>.</w:t>
      </w:r>
    </w:p>
    <w:p w14:paraId="52E896DF" w14:textId="5D9CA95E" w:rsidR="00D72AC6" w:rsidRPr="00C5508E" w:rsidRDefault="069323B9" w:rsidP="00BE203F">
      <w:pPr>
        <w:tabs>
          <w:tab w:val="left" w:pos="5670"/>
        </w:tabs>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Grupul consultativ intern</w:t>
      </w:r>
      <w:r>
        <w:rPr>
          <w:rFonts w:ascii="Times New Roman" w:hAnsi="Times New Roman"/>
          <w:noProof/>
          <w:sz w:val="24"/>
        </w:rPr>
        <w:t xml:space="preserve"> al UE, instituit în temeiul articolului 13 din ACC și alcătuit din reprezentanți ai organizațiilor societății civile</w:t>
      </w:r>
      <w:r>
        <w:rPr>
          <w:rStyle w:val="FootnoteReference"/>
          <w:rFonts w:ascii="Times New Roman" w:hAnsi="Times New Roman" w:cs="Times New Roman"/>
          <w:noProof/>
          <w:sz w:val="24"/>
          <w:szCs w:val="24"/>
        </w:rPr>
        <w:footnoteReference w:id="14"/>
      </w:r>
      <w:r>
        <w:rPr>
          <w:rFonts w:ascii="Times New Roman" w:hAnsi="Times New Roman"/>
          <w:noProof/>
          <w:sz w:val="24"/>
        </w:rPr>
        <w:t>, s-a reunit de mai multe ori în 2025. În cadrul reuniunii sale din 13 iunie, grupul a discutat despre rezultatele summitului. Această discuție a avut ca rezultat o declarație comună</w:t>
      </w:r>
      <w:r>
        <w:rPr>
          <w:rStyle w:val="FootnoteReference"/>
          <w:rFonts w:ascii="Times New Roman" w:hAnsi="Times New Roman" w:cs="Times New Roman"/>
          <w:noProof/>
          <w:sz w:val="24"/>
          <w:szCs w:val="24"/>
        </w:rPr>
        <w:footnoteReference w:id="15"/>
      </w:r>
      <w:r>
        <w:rPr>
          <w:rFonts w:ascii="Times New Roman" w:hAnsi="Times New Roman"/>
          <w:noProof/>
          <w:sz w:val="24"/>
        </w:rPr>
        <w:t>, adoptată împreună cu Grupul consultativ intern al Regatului Unit în cadrul reuniunii sale din 23 iunie de la Londra, prin care se solicita punerea în aplicare promptă a acțiunilor prevăzute în Înțelegerea comună. În cadrul reuniunii sale din 16 septembrie, Comisia a furnizat Grupului consultativ intern informații actualizate cu privire la punerea în aplicare a Înțelegerii comune.</w:t>
      </w:r>
    </w:p>
    <w:p w14:paraId="687BAD7E" w14:textId="10875B20" w:rsidR="00B24474" w:rsidRDefault="0AADE778"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La 24 iunie, la Londra, a avut loc pentru a patra oară </w:t>
      </w:r>
      <w:r>
        <w:rPr>
          <w:rFonts w:ascii="Times New Roman" w:hAnsi="Times New Roman"/>
          <w:b/>
          <w:noProof/>
          <w:sz w:val="24"/>
        </w:rPr>
        <w:t>Forumul societății civile</w:t>
      </w:r>
      <w:r>
        <w:rPr>
          <w:rFonts w:ascii="Times New Roman" w:hAnsi="Times New Roman"/>
          <w:noProof/>
          <w:sz w:val="24"/>
        </w:rPr>
        <w:t>, instituit în temeiul articolului 14 din ACC pentru a facilita dialogul privind punerea în aplicare a părții a doua din acord, care vizează comerțul, transporturile, pescuitul și alte acorduri</w:t>
      </w:r>
      <w:r>
        <w:rPr>
          <w:rStyle w:val="FootnoteReference"/>
          <w:rFonts w:ascii="Times New Roman" w:hAnsi="Times New Roman" w:cs="Times New Roman"/>
          <w:noProof/>
          <w:sz w:val="24"/>
          <w:szCs w:val="24"/>
        </w:rPr>
        <w:footnoteReference w:id="16"/>
      </w:r>
      <w:r>
        <w:rPr>
          <w:rFonts w:ascii="Times New Roman" w:hAnsi="Times New Roman"/>
          <w:noProof/>
          <w:sz w:val="24"/>
        </w:rPr>
        <w:t>. La fel ca în anii precedenți, forumul s-a axat pe aspecte de punere în aplicare legate de comerțul cu bunuri și servicii, energie și climă, condițiile de concurență echitabile, durabilitate și cooperarea în materie de reglementare. Majoritatea participanților au salutat avântul din cadrul relației în urma summitului din 19 mai și și-au exprimat speranța că această dinamică va continua.</w:t>
      </w:r>
    </w:p>
    <w:p w14:paraId="45497713" w14:textId="43FC5A16" w:rsidR="002417C8" w:rsidRDefault="00727987"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b/>
          <w:noProof/>
          <w:sz w:val="24"/>
        </w:rPr>
        <w:t>Consiliul de parteneriat</w:t>
      </w:r>
      <w:r>
        <w:rPr>
          <w:rFonts w:ascii="Times New Roman" w:hAnsi="Times New Roman"/>
          <w:noProof/>
          <w:sz w:val="24"/>
        </w:rPr>
        <w:t xml:space="preserve"> s-a reunit la 2 februarie 2026</w:t>
      </w:r>
      <w:r>
        <w:rPr>
          <w:rStyle w:val="FootnoteReference"/>
          <w:rFonts w:ascii="Times New Roman" w:hAnsi="Times New Roman" w:cs="Times New Roman"/>
          <w:noProof/>
          <w:sz w:val="24"/>
          <w:szCs w:val="24"/>
        </w:rPr>
        <w:footnoteReference w:id="17"/>
      </w:r>
      <w:r>
        <w:rPr>
          <w:rFonts w:ascii="Times New Roman" w:hAnsi="Times New Roman"/>
          <w:noProof/>
          <w:sz w:val="24"/>
        </w:rPr>
        <w:t>.</w:t>
      </w:r>
    </w:p>
    <w:p w14:paraId="41A2A212" w14:textId="4E72E036" w:rsidR="003579A8" w:rsidRPr="0086076B" w:rsidRDefault="00862667"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13" w:name="_Toc185413379"/>
      <w:bookmarkStart w:id="14" w:name="_Toc204769316"/>
      <w:bookmarkStart w:id="15" w:name="_Toc226534594"/>
      <w:r>
        <w:rPr>
          <w:rFonts w:ascii="Times New Roman" w:hAnsi="Times New Roman"/>
          <w:b/>
          <w:noProof/>
          <w:color w:val="auto"/>
        </w:rPr>
        <w:t>Plângeri și soluționarea litigiilor</w:t>
      </w:r>
      <w:bookmarkEnd w:id="13"/>
      <w:bookmarkEnd w:id="14"/>
      <w:bookmarkEnd w:id="15"/>
    </w:p>
    <w:p w14:paraId="5DD5C24A" w14:textId="4F4F1819" w:rsidR="004247D1" w:rsidRPr="00F006D0" w:rsidRDefault="007A1520"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Această secțiune sintetizează activitatea mecanismelor instituite pentru a aborda plângerile din partea părților interesate din UE, pentru a soluționa litigiile și pentru a asigura respectarea angajamentelor asumate în cadrul ACC.</w:t>
      </w:r>
    </w:p>
    <w:p w14:paraId="402CD965" w14:textId="6E63DE5E" w:rsidR="00862667" w:rsidRPr="0086076B" w:rsidRDefault="00862667"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16" w:name="_Toc185413380"/>
      <w:bookmarkStart w:id="17" w:name="_Toc204769317"/>
      <w:bookmarkStart w:id="18" w:name="_Toc226534595"/>
      <w:r>
        <w:rPr>
          <w:rFonts w:ascii="Times New Roman" w:hAnsi="Times New Roman"/>
          <w:b/>
          <w:noProof/>
          <w:color w:val="auto"/>
        </w:rPr>
        <w:t>Plângeri</w:t>
      </w:r>
      <w:bookmarkEnd w:id="16"/>
      <w:bookmarkEnd w:id="17"/>
      <w:bookmarkEnd w:id="18"/>
    </w:p>
    <w:p w14:paraId="40C7EEC2" w14:textId="20750E1B" w:rsidR="00862667" w:rsidRPr="00046813" w:rsidRDefault="00862667" w:rsidP="05B2B5AE">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2025, șase plângeri au fost depuse prin intermediul instrumentelor instituite de Comisie pentru a asigura monitorizarea eficientă a punerii în aplicare a ACC</w:t>
      </w:r>
      <w:r>
        <w:rPr>
          <w:rFonts w:ascii="Times New Roman" w:hAnsi="Times New Roman" w:cs="Times New Roman"/>
          <w:noProof/>
          <w:vertAlign w:val="superscript"/>
        </w:rPr>
        <w:footnoteReference w:id="18"/>
      </w:r>
      <w:r>
        <w:rPr>
          <w:rFonts w:ascii="Times New Roman" w:hAnsi="Times New Roman"/>
          <w:noProof/>
          <w:sz w:val="24"/>
        </w:rPr>
        <w:t>. Doar două plângeri se refereau la punerea în aplicare a ACC</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Celelalte patru plângeri depuse erau legate de chestiuni din afara domeniului de aplicare al ACC, iar Comisia le-a abordat în consecință.</w:t>
      </w:r>
    </w:p>
    <w:p w14:paraId="5EC85A68" w14:textId="1D076C06" w:rsidR="004350B3" w:rsidRPr="0086076B" w:rsidRDefault="3B7D07B8" w:rsidP="00470A6D">
      <w:pPr>
        <w:pStyle w:val="Heading2"/>
        <w:keepNext w:val="0"/>
        <w:keepLines w:val="0"/>
        <w:numPr>
          <w:ilvl w:val="1"/>
          <w:numId w:val="55"/>
        </w:numPr>
        <w:spacing w:before="100" w:beforeAutospacing="1" w:after="100" w:afterAutospacing="1" w:line="240" w:lineRule="auto"/>
        <w:ind w:left="1077"/>
        <w:rPr>
          <w:rFonts w:ascii="Times New Roman" w:eastAsia="Times New Roman" w:hAnsi="Times New Roman" w:cs="Times New Roman"/>
          <w:b/>
          <w:bCs/>
          <w:noProof/>
          <w:color w:val="auto"/>
        </w:rPr>
      </w:pPr>
      <w:bookmarkStart w:id="19" w:name="_Toc185413381"/>
      <w:bookmarkStart w:id="20" w:name="_Toc204769318"/>
      <w:bookmarkStart w:id="21" w:name="_Toc226534596"/>
      <w:r>
        <w:rPr>
          <w:rFonts w:ascii="Times New Roman" w:hAnsi="Times New Roman"/>
          <w:b/>
          <w:noProof/>
          <w:color w:val="auto"/>
        </w:rPr>
        <w:t>Soluționarea litigiilor</w:t>
      </w:r>
      <w:bookmarkEnd w:id="19"/>
      <w:bookmarkEnd w:id="20"/>
      <w:bookmarkEnd w:id="21"/>
    </w:p>
    <w:p w14:paraId="26A935A9" w14:textId="7D799734" w:rsidR="009C24DE" w:rsidRDefault="003163D4" w:rsidP="00470A6D">
      <w:pPr>
        <w:spacing w:before="100" w:beforeAutospacing="1" w:after="100" w:afterAutospacing="1" w:line="240" w:lineRule="auto"/>
        <w:jc w:val="both"/>
        <w:rPr>
          <w:rFonts w:ascii="Times New Roman" w:hAnsi="Times New Roman" w:cs="Times New Roman"/>
          <w:noProof/>
          <w:sz w:val="24"/>
          <w:szCs w:val="24"/>
        </w:rPr>
      </w:pPr>
      <w:bookmarkStart w:id="22" w:name="_Hlk181272529"/>
      <w:r>
        <w:rPr>
          <w:rFonts w:ascii="Times New Roman" w:hAnsi="Times New Roman"/>
          <w:noProof/>
          <w:sz w:val="24"/>
        </w:rPr>
        <w:t>Procedura de arbitraj inițiată de UE la 25 octombrie 2024, în temeiul articolului 739 din ACC, cu privire la decizia Regatului Unit de a interzice pescuitul de uvă în apele sale începând cu 26 martie 2024, a fost încheiată la 28 aprilie 2025.</w:t>
      </w:r>
    </w:p>
    <w:p w14:paraId="21614D9F" w14:textId="409BA7E5" w:rsidR="009C24DE" w:rsidRDefault="005F588D"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hotărârea sa</w:t>
      </w:r>
      <w:r>
        <w:rPr>
          <w:rStyle w:val="FootnoteReference"/>
          <w:rFonts w:ascii="Times New Roman" w:hAnsi="Times New Roman" w:cs="Times New Roman"/>
          <w:noProof/>
          <w:sz w:val="24"/>
          <w:szCs w:val="24"/>
        </w:rPr>
        <w:footnoteReference w:id="20"/>
      </w:r>
      <w:r>
        <w:rPr>
          <w:rFonts w:ascii="Times New Roman" w:hAnsi="Times New Roman"/>
          <w:noProof/>
          <w:sz w:val="24"/>
        </w:rPr>
        <w:t>, tribunalul arbitral a constatat că interzicerea pescuitului de uvă în apele engleze era incompatibilă cu obligațiile care îi revin Regatului Unit în temeiul articolului 496 alineatul (1) din ACC coroborat cu articolul 494 alineatul (3) litera (f). Tribunalul a concluzionat că Regatul Unit nu a respectat principiul proporționalității când a adoptat măsura. De asemenea, a stabilit că, în consecință, Regatul Unit și-a încălcat obligația de a acorda acces deplin la apele sale pentru pescuitul de uvă, în conformitate cu articolul 2 alineatul (1) litera (a) din anexa 38 la ACC. Hotărârea a impus Regatului Unit să ia măsurile necesare pentru a se conforma dispozițiilor relevante ale ACC.</w:t>
      </w:r>
    </w:p>
    <w:p w14:paraId="0E0483B8" w14:textId="37A6B301" w:rsidR="00D3563F" w:rsidRDefault="00093869"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Ulterior, Regatul Unit și-a revizuit evaluarea prin includerea unor elemente științifice actualizate și a unor evaluări ale impactului și a luat o nouă decizie privind închiderea apelor engleze pentru pescuitul de uvă. La 25 iunie 2025, acesta a notificat UE cu privire la măsurile pe care le-a luat pentru a se conforma hotărârii. Comisia a evaluat aceste informații prin prisma hotărârii și s-a pronunțat împotriva solicitării unei evaluări a conformității.</w:t>
      </w:r>
    </w:p>
    <w:p w14:paraId="5E042427" w14:textId="0748626E" w:rsidR="00BD4DEC" w:rsidRPr="00BD4DEC" w:rsidRDefault="00CF2581" w:rsidP="00470A6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ceea ce privește grupul de experți pentru litigiile legate de capitolul privind condițiile de concurență echitabile pentru o concurență deschisă și loială și dezvoltarea durabilă, în temeiul articolului 409 din ACC, la 23 februarie 2026, Comisia a adoptat o propunere de decizie a Consiliului de stabilire a listei persoanelor care doresc și sunt în măsură să îndeplinească funcția de membri ai grupului de experți</w:t>
      </w:r>
      <w:r>
        <w:rPr>
          <w:rStyle w:val="FootnoteReference"/>
          <w:rFonts w:ascii="Times New Roman" w:hAnsi="Times New Roman" w:cs="Times New Roman"/>
          <w:noProof/>
          <w:sz w:val="24"/>
          <w:szCs w:val="24"/>
        </w:rPr>
        <w:footnoteReference w:id="21"/>
      </w:r>
      <w:r>
        <w:rPr>
          <w:rFonts w:ascii="Times New Roman" w:hAnsi="Times New Roman"/>
          <w:noProof/>
          <w:sz w:val="24"/>
        </w:rPr>
        <w:t xml:space="preserve">. </w:t>
      </w:r>
    </w:p>
    <w:p w14:paraId="137590D4" w14:textId="42269B5E" w:rsidR="006D1404" w:rsidRPr="0086076B" w:rsidRDefault="33A451BC" w:rsidP="00470A6D">
      <w:pPr>
        <w:pStyle w:val="Heading1"/>
        <w:keepLines w:val="0"/>
        <w:numPr>
          <w:ilvl w:val="0"/>
          <w:numId w:val="55"/>
        </w:numPr>
        <w:spacing w:before="100" w:beforeAutospacing="1" w:after="100" w:afterAutospacing="1" w:line="240" w:lineRule="auto"/>
        <w:ind w:left="714" w:hanging="357"/>
        <w:rPr>
          <w:rFonts w:ascii="Times New Roman" w:hAnsi="Times New Roman" w:cs="Times New Roman"/>
          <w:b/>
          <w:bCs/>
          <w:noProof/>
          <w:color w:val="auto"/>
        </w:rPr>
      </w:pPr>
      <w:bookmarkStart w:id="23" w:name="_Toc185413382"/>
      <w:bookmarkStart w:id="24" w:name="_Toc204769319"/>
      <w:bookmarkStart w:id="25" w:name="_Toc226534597"/>
      <w:bookmarkEnd w:id="22"/>
      <w:r>
        <w:rPr>
          <w:rFonts w:ascii="Times New Roman" w:hAnsi="Times New Roman"/>
          <w:b/>
          <w:noProof/>
          <w:color w:val="auto"/>
        </w:rPr>
        <w:t>Punerea în aplicare sectorială</w:t>
      </w:r>
      <w:bookmarkEnd w:id="23"/>
      <w:bookmarkEnd w:id="24"/>
      <w:bookmarkEnd w:id="25"/>
    </w:p>
    <w:p w14:paraId="0DE58DA4" w14:textId="77C95A41" w:rsidR="00764E6C" w:rsidRPr="00F006D0" w:rsidRDefault="00554FBD"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Această secțiune evidențiază realizările din domeniile de politică vizate de ACC și progresele înregistrate în punerea în aplicare a acțiunilor convenite în Înțelegerea comună care intră în domeniul de aplicare al ACC. De asemenea, ea prezintă date privind fluxurile comerciale de bunuri și servicii dintre UE și Regatul Unit.</w:t>
      </w:r>
    </w:p>
    <w:p w14:paraId="18A6A513" w14:textId="62E78BCC" w:rsidR="006D1404" w:rsidRPr="0086076B" w:rsidRDefault="33A451BC" w:rsidP="00470A6D">
      <w:pPr>
        <w:pStyle w:val="Heading2"/>
        <w:keepNext w:val="0"/>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26" w:name="_Toc185413383"/>
      <w:bookmarkStart w:id="27" w:name="_Toc204769320"/>
      <w:bookmarkStart w:id="28" w:name="_Toc226534598"/>
      <w:r>
        <w:rPr>
          <w:rFonts w:ascii="Times New Roman" w:hAnsi="Times New Roman"/>
          <w:b/>
          <w:noProof/>
          <w:color w:val="auto"/>
        </w:rPr>
        <w:t>Comerțul cu mărfuri</w:t>
      </w:r>
      <w:bookmarkEnd w:id="26"/>
      <w:bookmarkEnd w:id="27"/>
      <w:bookmarkEnd w:id="28"/>
    </w:p>
    <w:p w14:paraId="7B427CB0" w14:textId="02987943" w:rsidR="00786D3D" w:rsidRPr="00F006D0" w:rsidRDefault="3EA7FCBB"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general, regimurile comerciale instituite în cadrul ACC au fost eficace și au funcționat bine.</w:t>
      </w:r>
    </w:p>
    <w:p w14:paraId="243C2595" w14:textId="4E1DAEDB" w:rsidR="008E0385"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conformitate cu articolul 31 din ACC, UE și Regatul Unit au făcut schimb de statistici în materie de importuri</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Acestea arată că aproximativ 39,5 % din exporturile UE către Regatul</w:t>
      </w:r>
      <w:r w:rsidR="00D16C8C">
        <w:rPr>
          <w:rFonts w:ascii="Times New Roman" w:hAnsi="Times New Roman"/>
          <w:noProof/>
          <w:sz w:val="24"/>
        </w:rPr>
        <w:t> </w:t>
      </w:r>
      <w:r>
        <w:rPr>
          <w:rFonts w:ascii="Times New Roman" w:hAnsi="Times New Roman"/>
          <w:noProof/>
          <w:sz w:val="24"/>
        </w:rPr>
        <w:t xml:space="preserve">Unit și 48,5 % din importurile UE din Regatul Unit au fost eligibile pentru tratament preferențial în temeiul acordului comercial. Restul fluxurilor comerciale au vizat linii tarifare care erau deja scutite de taxe vamale pe baza clauzei națiunii celei mai favorizate. </w:t>
      </w:r>
    </w:p>
    <w:p w14:paraId="4C429E98" w14:textId="1566CFBC" w:rsidR="00565046" w:rsidRPr="00F006D0" w:rsidRDefault="42B9BA73" w:rsidP="3B674C25">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Ratele de utilizare a preferințelor</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xml:space="preserve"> rămân ridicate și sunt comparabile cu cele din anul precedent: 88 % din mărfurile eligibile pentru preferințe din UE exportate către Regatul Unit și 83,2 % din mărfurile eligibile pentru preferințe importate din Regatul Unit au beneficiat de preferințele acordate în temeiul ACC. Aceste rate sunt în concordanță cu cele observate în cazul altor parteneri cu care UE a încheiat acorduri de liber schimb</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w:t>
      </w:r>
    </w:p>
    <w:p w14:paraId="4C69AD7C" w14:textId="14226C88" w:rsidR="00050116" w:rsidRPr="00E9362D" w:rsidRDefault="00CA2DC7"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0" w:name="_Hlk204787258"/>
      <w:bookmarkStart w:id="31" w:name="_Hlk148710669"/>
      <w:r>
        <w:rPr>
          <w:rFonts w:ascii="Times New Roman" w:hAnsi="Times New Roman"/>
          <w:noProof/>
          <w:sz w:val="24"/>
        </w:rPr>
        <w:t xml:space="preserve">Mai jos este prezentată o imagine de ansamblu a evoluției </w:t>
      </w:r>
      <w:r>
        <w:rPr>
          <w:rFonts w:ascii="Times New Roman" w:hAnsi="Times New Roman"/>
          <w:b/>
          <w:noProof/>
          <w:sz w:val="24"/>
        </w:rPr>
        <w:t>fluxurilor comerciale de mărfuri</w:t>
      </w:r>
      <w:r>
        <w:rPr>
          <w:rFonts w:ascii="Times New Roman" w:eastAsia="Times New Roman" w:hAnsi="Times New Roman" w:cs="Times New Roman"/>
          <w:noProof/>
          <w:vertAlign w:val="superscript"/>
        </w:rPr>
        <w:footnoteReference w:id="25"/>
      </w:r>
      <w:r>
        <w:rPr>
          <w:rFonts w:ascii="Times New Roman" w:hAnsi="Times New Roman"/>
          <w:noProof/>
          <w:sz w:val="24"/>
        </w:rPr>
        <w:t xml:space="preserve"> între UE și Regatul Unit în 2025.</w:t>
      </w:r>
    </w:p>
    <w:bookmarkEnd w:id="30"/>
    <w:p w14:paraId="381B9F1A" w14:textId="549F034B" w:rsidR="00CE052D"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UE a înregistrat un excedent substanțial în comerțul cu mărfuri cu Regatul Unit, în valoare de 188 de miliarde EUR. UE a exportat mărfuri în valoare de 346 de miliarde EUR către Regatul</w:t>
      </w:r>
      <w:r w:rsidR="00D16C8C">
        <w:rPr>
          <w:rFonts w:ascii="Times New Roman" w:hAnsi="Times New Roman"/>
          <w:noProof/>
          <w:sz w:val="24"/>
        </w:rPr>
        <w:t> </w:t>
      </w:r>
      <w:r>
        <w:rPr>
          <w:rFonts w:ascii="Times New Roman" w:hAnsi="Times New Roman"/>
          <w:noProof/>
          <w:sz w:val="24"/>
        </w:rPr>
        <w:t>Unit, ceea ce reprezintă o creștere de 0,8 % comparativ cu 2024. Importurile de mărfuri din Regatul Unit s-au ridicat la 159 de miliarde EUR, ceea ce reprezintă o reducere de 3,1 % comparativ cu 2024.</w:t>
      </w:r>
    </w:p>
    <w:p w14:paraId="0E33E134" w14:textId="4E2BB93C"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Sectoarele care au înregistrat cea mai mare creștere a exporturilor UE către Regatul Unit au fost produsele alimentare, băuturile și tutunul (+ 3,5 %), materiile prime (+ 3,3 %) și produsele chimice și produsele conexe (+ 3,3 %). Singura categorie de export care a scăzut a fost cea a combustibililor minerali (-2,5 %). În ceea ce privește importurile, s-au înregistrat creșteri ale importurilor de alimente, băuturi și tutun (+ 3,8 %) și de materii prime (+ 4,1 %), în timp ce importurile celorlalte categorii de mărfuri au scăzut. Cea mai mare scădere a fost observată în ceea ce privește combustibilii minerali (-14,2 %). În general, aceste evoluții evidențiază o divergență a dinamicii comerțului între sectoare, produsele cu impact energetic continuând să se contracteze, în timp ce alimentele, băuturile și tutunul, precum și materiile prime, au menținut o creștere moderată. </w:t>
      </w:r>
    </w:p>
    <w:p w14:paraId="77532E40" w14:textId="27715C9B" w:rsidR="00CE052D" w:rsidRPr="00C13EF7" w:rsidRDefault="00CE052D" w:rsidP="00CE052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comparație cu alte țări din afara UE, comerțul cu mărfuri al UE cu Regatul Unit a fost mai puțin dinamic. În 2025, exporturile UE către alte țări din afara UE au crescut cu 2,4 % față de 2024, în timp ce importurile UE din alte țări din afara UE au crescut cu 2,9 %. În 2025, comerțul total cu mărfuri cu Regatul Unit a reprezentat 9,8 % din comerțul total al UE cu partenerii internaționali, în scădere de la 10,1 % în 2024. Regatul Unit a rămas a doua destinație ca mărime pentru exporturile UE, primind 13,1 % din totalul exporturilor de mărfuri ale UE, comparativ cu 13,3 % în 2024, după Statele Unite (20,9 %). În ceea ce privește importurile, Regatul Unit a fost sursa a 6,3 % din importurile de mărfuri ale UE, în scădere de la 6,7 % în 2024, situându-se pe locul al treilea după China (22,3 %) și Statele Unite (14,1 %). Aceste cifre confirmă continuarea unei tendințe identificate în rapoartele anuale anterioare ale Comisiei privind punerea în aplicare a ACC, potrivit căreia comerțul cu mărfuri cu alți parteneri din afara UE s-a extins mai rapid decât comerțul cu Regatul Unit de la retragerea sa din UE.</w:t>
      </w:r>
    </w:p>
    <w:p w14:paraId="4D224D74" w14:textId="0B9B2F96" w:rsidR="00CE052D" w:rsidRDefault="00AB5C7B" w:rsidP="00CE052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Analizând modul în care s-a dezvoltat comerțul cu mărfuri de la începerea aplicării ACC în 2021, exporturile UE către Regatul Unit au înregistrat o creștere constantă. În 2025, exporturile au ajuns la 346 de miliarde EUR, în creștere de la 282 de miliarde EUR în 2021, ceea ce reprezintă o creștere de 23 %. Cea mai mare creștere anuală a avut loc între 2021 și 2022, reflectând o redresare în urma impactului pandemiei de COVID-19. În schimb, importurile UE din Regatul Unit au urmat o traiectorie mai volatilă, crescând brusc de la 147 de miliarde EUR în 2021 la 216 miliarde EUR în 2022, reflectând, de asemenea, ajustarea post-pandemie, înainte de a scădea constant la 159 de miliarde EUR în 2025. Această divergență între exporturi și importuri sugerează că economia UE s-a adaptat în mod eficace la noile condiții comerciale cu Regatul Unit în urma ieșirii sale din UE. </w:t>
      </w:r>
    </w:p>
    <w:p w14:paraId="7633CEC8" w14:textId="4CE0505C" w:rsidR="00F44321" w:rsidRPr="008C0FA2" w:rsidRDefault="00E210A4" w:rsidP="00076B08">
      <w:pPr>
        <w:spacing w:before="100" w:beforeAutospacing="1" w:after="100" w:afterAutospacing="1" w:line="240" w:lineRule="auto"/>
        <w:jc w:val="both"/>
        <w:rPr>
          <w:rFonts w:ascii="Times New Roman" w:hAnsi="Times New Roman" w:cs="Times New Roman"/>
          <w:noProof/>
          <w:sz w:val="24"/>
          <w:szCs w:val="24"/>
          <w:highlight w:val="lightGray"/>
        </w:rPr>
      </w:pPr>
      <w:r w:rsidRPr="00E210A4">
        <w:rPr>
          <w:rFonts w:ascii="Times New Roman" w:hAnsi="Times New Roman" w:cs="Times New Roman"/>
          <w:noProof/>
          <w:sz w:val="24"/>
          <w:szCs w:val="24"/>
          <w:lang w:val="en-GB" w:eastAsia="en-GB"/>
        </w:rPr>
        <w:drawing>
          <wp:inline distT="0" distB="0" distL="0" distR="0" wp14:anchorId="5477B6B5" wp14:editId="50B660C3">
            <wp:extent cx="5731510" cy="3382645"/>
            <wp:effectExtent l="0" t="0" r="0" b="0"/>
            <wp:docPr id="1315573653"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73653" name="Picture 1" descr="A graph of different colored lines&#10;&#10;AI-generated content may be incorrect."/>
                    <pic:cNvPicPr/>
                  </pic:nvPicPr>
                  <pic:blipFill>
                    <a:blip r:embed="rId15"/>
                    <a:stretch>
                      <a:fillRect/>
                    </a:stretch>
                  </pic:blipFill>
                  <pic:spPr>
                    <a:xfrm>
                      <a:off x="0" y="0"/>
                      <a:ext cx="5731510" cy="3382645"/>
                    </a:xfrm>
                    <a:prstGeom prst="rect">
                      <a:avLst/>
                    </a:prstGeom>
                  </pic:spPr>
                </pic:pic>
              </a:graphicData>
            </a:graphic>
          </wp:inline>
        </w:drawing>
      </w:r>
    </w:p>
    <w:p w14:paraId="738369C9" w14:textId="1096D3C9" w:rsidR="00F44321" w:rsidRPr="00C13EF7" w:rsidRDefault="00F44321" w:rsidP="00F44321">
      <w:pPr>
        <w:rPr>
          <w:i/>
          <w:iCs/>
          <w:noProof/>
        </w:rPr>
      </w:pPr>
      <w:r>
        <w:rPr>
          <w:i/>
          <w:noProof/>
        </w:rPr>
        <w:t xml:space="preserve">Figura 1: Comerțul cu mărfuri al UE cu Regatul Unit, 2021-2025, în miliarde EUR, sursa: Eurostat (set de date </w:t>
      </w:r>
      <w:hyperlink r:id="rId16" w:history="1">
        <w:r>
          <w:rPr>
            <w:rStyle w:val="Hyperlink"/>
            <w:i/>
            <w:noProof/>
          </w:rPr>
          <w:t>ext_lt_maineu</w:t>
        </w:r>
      </w:hyperlink>
      <w:r>
        <w:rPr>
          <w:i/>
          <w:noProof/>
        </w:rPr>
        <w:t>)</w:t>
      </w:r>
    </w:p>
    <w:p w14:paraId="23714695" w14:textId="54500DF8" w:rsidR="006D1404" w:rsidRPr="0086076B"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32" w:name="_Toc185413384"/>
      <w:bookmarkStart w:id="33" w:name="_Toc204769321"/>
      <w:bookmarkStart w:id="34" w:name="_Toc226534599"/>
      <w:bookmarkStart w:id="35" w:name="_Hlk190384460"/>
      <w:bookmarkEnd w:id="31"/>
      <w:r>
        <w:rPr>
          <w:rFonts w:ascii="Times New Roman" w:hAnsi="Times New Roman"/>
          <w:b/>
          <w:noProof/>
          <w:color w:val="auto"/>
        </w:rPr>
        <w:t>Servicii și investiții, comerț digital, achiziții publice și întreprinderi mici și mijlocii</w:t>
      </w:r>
      <w:bookmarkEnd w:id="32"/>
      <w:bookmarkEnd w:id="33"/>
      <w:bookmarkEnd w:id="34"/>
    </w:p>
    <w:p w14:paraId="39F08706" w14:textId="77777777" w:rsidR="000D7DA0" w:rsidRDefault="00B8510B"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Punerea în aplicare a ACC în domeniile serviciilor și investițiilor, comerțului digital, proprietății intelectuale, achizițiilor publice și întreprinderilor mici și mijlocii a funcționat, în general, fără probleme majore, cu excepția problemelor persistente legate de </w:t>
      </w:r>
      <w:r>
        <w:rPr>
          <w:rFonts w:ascii="Times New Roman" w:hAnsi="Times New Roman"/>
          <w:b/>
          <w:noProof/>
          <w:sz w:val="24"/>
        </w:rPr>
        <w:t>sistemul de sponsorizare</w:t>
      </w:r>
      <w:r>
        <w:rPr>
          <w:rFonts w:ascii="Times New Roman" w:hAnsi="Times New Roman"/>
          <w:noProof/>
          <w:sz w:val="24"/>
        </w:rPr>
        <w:t xml:space="preserve"> al Regatului Unit </w:t>
      </w:r>
      <w:r>
        <w:rPr>
          <w:rFonts w:ascii="Times New Roman" w:hAnsi="Times New Roman"/>
          <w:b/>
          <w:noProof/>
          <w:sz w:val="24"/>
        </w:rPr>
        <w:t>pentru vize</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xml:space="preserve"> aplicate prestatorilor de servicii din UE care fac obiectul ACC. </w:t>
      </w:r>
    </w:p>
    <w:bookmarkEnd w:id="35"/>
    <w:p w14:paraId="6665E26B" w14:textId="1AF1FFA9" w:rsidR="000D7DA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Începând din 2022, UE și-a exprimat în mod constant îngrijorarea în cadrul organismelor comune ale ACC cu privire la complexitatea sistemului, la sarcina disproporționată și la lipsa de claritate</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Cerința de sponsorizare continuă să împiedice punerea în aplicare efectivă a ACC pentru furnizorii de servicii din UE, astfel cum se reflectă în eliberarea a doar 49 de vize în primele nouă luni ale anului 2025 resortisanților UE pe ruta furnizorilor de servicii, care cuprinde profesioniștii independenți și furnizorii de servicii contractuale din UE. Prin urmare, prestatorii de servicii din UE continuă să se confrunte cu obstacole semnificative în calea deservirii clienților din Regatul Unit, în timp ce guvernul rămâne reticent în a aborda această problemă. Astfel cum s-a convenit în Înțelegerea comună, un dialog privind punerea în aplicare a angajamentelor ACC privind intrarea și șederea temporară a persoanelor fizice în scopuri comerciale urmărește să soluționeze această problemă de lungă durată care împiedică punerea în aplicare deplină a Acordului comercial și de cooperare. </w:t>
      </w:r>
    </w:p>
    <w:p w14:paraId="6DAC217F" w14:textId="4FA2B177" w:rsidR="000D7DA0" w:rsidRPr="00F006D0" w:rsidRDefault="000D7DA0" w:rsidP="000D7DA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 fost instituit un alt dialog privind punerea în aplicare a angajamentelor ACC privind </w:t>
      </w:r>
      <w:r>
        <w:rPr>
          <w:rFonts w:ascii="Times New Roman" w:hAnsi="Times New Roman"/>
          <w:b/>
          <w:noProof/>
          <w:sz w:val="24"/>
        </w:rPr>
        <w:t>recunoașterea calificărilor profesionale</w:t>
      </w:r>
      <w:r>
        <w:rPr>
          <w:rFonts w:ascii="Times New Roman" w:hAnsi="Times New Roman"/>
          <w:noProof/>
          <w:sz w:val="24"/>
        </w:rPr>
        <w:t>, în conformitate cu Înțelegerea comună.</w:t>
      </w:r>
    </w:p>
    <w:p w14:paraId="0175AA10" w14:textId="1116248D" w:rsidR="00D03CCA" w:rsidRDefault="00D03CCA" w:rsidP="00D03CCA">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serviciilor financiare</w:t>
      </w:r>
      <w:r>
        <w:rPr>
          <w:rFonts w:ascii="Times New Roman" w:hAnsi="Times New Roman"/>
          <w:noProof/>
          <w:sz w:val="24"/>
        </w:rPr>
        <w:t>, Forumul de reglementare financiară UE-Regatul Unit, organizat în conformitate cu Memorandumul de înțelegere</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xml:space="preserve"> din 2023, s-a reunit de două ori în 2025: la 12 februarie la Londra și la 1 octombrie la Bruxelles. !Discuțiile au vizat o serie de subiecte, inclusiv perspectivele macroeconomice și de stabilitate financiară, reglementarea bancară, finanțele digitale, reformele pieței de capital și finanțarea durabilă. În urma ambelor reuniuni, au fost emise declarații comune</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xml:space="preserve"> care sintetizează rezultatele.</w:t>
      </w:r>
    </w:p>
    <w:p w14:paraId="59404A5F" w14:textId="6BC2CD6C" w:rsidR="00E8406E" w:rsidRPr="00E1040D" w:rsidRDefault="00286F43"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36" w:name="_Hlk184225968"/>
      <w:r>
        <w:rPr>
          <w:rFonts w:ascii="Times New Roman" w:hAnsi="Times New Roman"/>
          <w:noProof/>
          <w:sz w:val="24"/>
        </w:rPr>
        <w:t xml:space="preserve">O imagine de ansamblu a </w:t>
      </w:r>
      <w:r>
        <w:rPr>
          <w:rFonts w:ascii="Times New Roman" w:hAnsi="Times New Roman"/>
          <w:b/>
          <w:noProof/>
          <w:sz w:val="24"/>
        </w:rPr>
        <w:t>fluxurilor comerciale de servicii</w:t>
      </w:r>
      <w:r>
        <w:rPr>
          <w:rFonts w:ascii="Times New Roman" w:hAnsi="Times New Roman"/>
          <w:noProof/>
          <w:sz w:val="24"/>
        </w:rPr>
        <w:t xml:space="preserve"> dintre UE și Regatul Unit în 2025 este prezentată mai jos</w:t>
      </w:r>
      <w:r>
        <w:rPr>
          <w:rFonts w:ascii="Times New Roman" w:eastAsia="Times New Roman" w:hAnsi="Times New Roman" w:cs="Times New Roman"/>
          <w:noProof/>
          <w:sz w:val="24"/>
          <w:szCs w:val="24"/>
          <w:vertAlign w:val="superscript"/>
        </w:rPr>
        <w:footnoteReference w:id="30"/>
      </w:r>
      <w:r>
        <w:rPr>
          <w:rFonts w:ascii="Times New Roman" w:hAnsi="Times New Roman"/>
          <w:noProof/>
          <w:sz w:val="24"/>
        </w:rPr>
        <w:t>.</w:t>
      </w:r>
    </w:p>
    <w:p w14:paraId="7D44BF00" w14:textId="53FAF043" w:rsidR="00AB5C7B" w:rsidRPr="00C13EF7" w:rsidRDefault="002E2FC3" w:rsidP="00AB5C7B">
      <w:pPr>
        <w:spacing w:before="100" w:beforeAutospacing="1" w:after="100" w:afterAutospacing="1" w:line="240" w:lineRule="auto"/>
        <w:jc w:val="both"/>
        <w:rPr>
          <w:rFonts w:ascii="Times New Roman" w:eastAsia="Times New Roman" w:hAnsi="Times New Roman" w:cs="Times New Roman"/>
          <w:noProof/>
          <w:sz w:val="24"/>
          <w:szCs w:val="24"/>
        </w:rPr>
      </w:pPr>
      <w:bookmarkStart w:id="37" w:name="_Hlk214522268"/>
      <w:bookmarkStart w:id="38" w:name="_Hlk184331826"/>
      <w:r>
        <w:rPr>
          <w:rFonts w:ascii="Times New Roman" w:hAnsi="Times New Roman"/>
          <w:noProof/>
          <w:sz w:val="24"/>
        </w:rPr>
        <w:t xml:space="preserve">În primele </w:t>
      </w:r>
      <w:bookmarkStart w:id="39" w:name="_Hlk222925372"/>
      <w:r>
        <w:rPr>
          <w:rFonts w:ascii="Times New Roman" w:hAnsi="Times New Roman"/>
          <w:noProof/>
          <w:sz w:val="24"/>
        </w:rPr>
        <w:t xml:space="preserve">trei trimestre </w:t>
      </w:r>
      <w:bookmarkEnd w:id="39"/>
      <w:r>
        <w:rPr>
          <w:rFonts w:ascii="Times New Roman" w:hAnsi="Times New Roman"/>
          <w:noProof/>
          <w:sz w:val="24"/>
        </w:rPr>
        <w:t>ale anului 2025, UE a exportat servicii în valoare de 230 de miliarde EUR către Regatul Unit, ceea ce reprezintă o creștere de 5,1 % comparativ cu aceeași perioadă din 2024</w:t>
      </w:r>
      <w:bookmarkEnd w:id="37"/>
      <w:r>
        <w:rPr>
          <w:rFonts w:ascii="Times New Roman" w:hAnsi="Times New Roman"/>
          <w:noProof/>
          <w:sz w:val="24"/>
        </w:rPr>
        <w:t xml:space="preserve">. </w:t>
      </w:r>
      <w:bookmarkStart w:id="40" w:name="_Hlk214522310"/>
      <w:r>
        <w:rPr>
          <w:rFonts w:ascii="Times New Roman" w:hAnsi="Times New Roman"/>
          <w:noProof/>
          <w:sz w:val="24"/>
        </w:rPr>
        <w:t>Valoarea importurilor din Regatul Unit în primele trei trimestre ale anului 2025 a fost de 183 de miliarde EUR, ceea ce reprezintă o creștere de 4 % comparativ cu aceeași perioadă a anului 2024</w:t>
      </w:r>
      <w:bookmarkEnd w:id="40"/>
      <w:r>
        <w:rPr>
          <w:rFonts w:ascii="Times New Roman" w:hAnsi="Times New Roman"/>
          <w:noProof/>
          <w:sz w:val="24"/>
        </w:rPr>
        <w:t>. În primele trei trimestre ale anului 2025, UE a înregistrat un excedent de 47 de miliarde EUR în comerțul cu servicii cu Regatul Unit. Sectoarele în care exporturile UE către Regatul Unit au înregistrat cea mai mare creștere în 2025 comparativ cu 2024 au fost serviciile de întreținere și reparații (+ 20,7 %) și taxele pentru utilizarea proprietății intelectuale (+ 20,3 %). În ceea ce privește importurile, cele mai mari creșteri din Regatul Unit au fost observate la taxele pentru utilizarea proprietății intelectuale (+ 15 %), urmate de călătorii (+ 12,2 %).</w:t>
      </w:r>
    </w:p>
    <w:p w14:paraId="5160684C" w14:textId="4AF966CA" w:rsidR="00AB5C7B" w:rsidRDefault="00AB5C7B" w:rsidP="00AB5C7B">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primele trei trimestre ale anului 2025, comerțul total cu servicii cu Regatul Unit a reprezentat 18,7 % din comerțul total realizat de UE cu partenerii săi internaționali, în scădere față de 18,6 % în aceeași perioadă din 2024. În primele trei trimestre ale anului 2025, Regatul Unit a fost destinația a 19,8 % din exporturile UE de servicii (comparativ cu 19,1 % în aceeași perioadă din 2024), situându-se pe locul al doilea după Statele Unite (21,5 %). În primele trei trimestre ale anului 2025, Regatul Unit a fost sursa a 17,5 % din importurile UE (comparativ cu 17,9 % în aceeași perioadă din 2024), situându-se pe locul al doilea după Statele Unite (36,5 %).</w:t>
      </w:r>
    </w:p>
    <w:p w14:paraId="7A8E0AD7" w14:textId="52282BDF" w:rsidR="00AB5C7B" w:rsidRDefault="00AB5C7B" w:rsidP="00AB5C7B">
      <w:pPr>
        <w:spacing w:before="100" w:beforeAutospacing="1" w:after="100" w:afterAutospacing="1" w:line="240" w:lineRule="auto"/>
        <w:jc w:val="both"/>
        <w:rPr>
          <w:rFonts w:ascii="Times New Roman" w:hAnsi="Times New Roman" w:cs="Times New Roman"/>
          <w:noProof/>
          <w:sz w:val="24"/>
          <w:szCs w:val="24"/>
        </w:rPr>
      </w:pPr>
      <w:bookmarkStart w:id="41" w:name="_Hlk214522424"/>
      <w:r>
        <w:rPr>
          <w:rFonts w:ascii="Times New Roman" w:hAnsi="Times New Roman"/>
          <w:noProof/>
          <w:sz w:val="24"/>
        </w:rPr>
        <w:t xml:space="preserve">Analizând modul în care s-a dezvoltat comerțul cu servicii de la începerea aplicării ACC în 2021, exporturile de servicii ale UE către Regatul Unit au înregistrat o creștere constantă, de la 150 de miliarde EUR în primele trei trimestre ale anului 2021 la 230 de miliarde EUR în primele trei trimestre ale anului 2025, ceea ce reprezintă o creștere de peste 53 %. Importurile UE de servicii din Regatul Unit au crescut, de asemenea, în mod constant, de la 125 de miliarde EUR în 2021 la 183 de miliarde EUR în 2025 (+ 47 %). </w:t>
      </w:r>
      <w:bookmarkEnd w:id="41"/>
      <w:r>
        <w:rPr>
          <w:rFonts w:ascii="Times New Roman" w:hAnsi="Times New Roman"/>
          <w:noProof/>
          <w:sz w:val="24"/>
        </w:rPr>
        <w:t xml:space="preserve">Cea mai mare creștere a avut loc între 2021 și 2022, </w:t>
      </w:r>
      <w:bookmarkStart w:id="42" w:name="_Hlk214523018"/>
      <w:r>
        <w:rPr>
          <w:rFonts w:ascii="Times New Roman" w:hAnsi="Times New Roman"/>
          <w:noProof/>
          <w:sz w:val="24"/>
        </w:rPr>
        <w:t xml:space="preserve">reflectând o redresare în urma </w:t>
      </w:r>
      <w:bookmarkEnd w:id="42"/>
      <w:r>
        <w:rPr>
          <w:rFonts w:ascii="Times New Roman" w:hAnsi="Times New Roman"/>
          <w:noProof/>
          <w:sz w:val="24"/>
        </w:rPr>
        <w:t xml:space="preserve">impactului pandemiei de COVID-19 asupra călătoriilor, turismului și altor sectoare de servicii. În general, aceste tendințe indică faptul că comerțul cu servicii cu Regatul Unit a crescut constant atât pentru exporturi, cât și pentru importuri. </w:t>
      </w:r>
    </w:p>
    <w:p w14:paraId="5D4552F4" w14:textId="526768F2" w:rsidR="00B84BEB" w:rsidRPr="00B84BEB" w:rsidRDefault="000E5458" w:rsidP="00B84BEB">
      <w:pPr>
        <w:spacing w:before="100" w:beforeAutospacing="1" w:after="100" w:afterAutospacing="1" w:line="240" w:lineRule="auto"/>
        <w:jc w:val="both"/>
        <w:rPr>
          <w:rFonts w:ascii="Times New Roman" w:hAnsi="Times New Roman" w:cs="Times New Roman"/>
          <w:noProof/>
          <w:sz w:val="24"/>
          <w:szCs w:val="24"/>
        </w:rPr>
      </w:pPr>
      <w:r w:rsidRPr="000E5458">
        <w:rPr>
          <w:rFonts w:ascii="Times New Roman" w:hAnsi="Times New Roman" w:cs="Times New Roman"/>
          <w:noProof/>
          <w:sz w:val="24"/>
          <w:szCs w:val="24"/>
          <w:lang w:val="en-GB" w:eastAsia="en-GB"/>
        </w:rPr>
        <w:drawing>
          <wp:inline distT="0" distB="0" distL="0" distR="0" wp14:anchorId="6431E47A" wp14:editId="7C494535">
            <wp:extent cx="5731510" cy="3450590"/>
            <wp:effectExtent l="0" t="0" r="0" b="0"/>
            <wp:docPr id="102724696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46965" name="Picture 1" descr="A graph of different colored lines&#10;&#10;AI-generated content may be incorrect."/>
                    <pic:cNvPicPr/>
                  </pic:nvPicPr>
                  <pic:blipFill>
                    <a:blip r:embed="rId17"/>
                    <a:stretch>
                      <a:fillRect/>
                    </a:stretch>
                  </pic:blipFill>
                  <pic:spPr>
                    <a:xfrm>
                      <a:off x="0" y="0"/>
                      <a:ext cx="5731510" cy="3450590"/>
                    </a:xfrm>
                    <a:prstGeom prst="rect">
                      <a:avLst/>
                    </a:prstGeom>
                  </pic:spPr>
                </pic:pic>
              </a:graphicData>
            </a:graphic>
          </wp:inline>
        </w:drawing>
      </w:r>
    </w:p>
    <w:p w14:paraId="478C3A79" w14:textId="4369C53E" w:rsidR="00B84BEB" w:rsidRPr="00D455C1" w:rsidRDefault="00B84BEB" w:rsidP="00B84BEB">
      <w:pPr>
        <w:rPr>
          <w:i/>
          <w:iCs/>
          <w:noProof/>
        </w:rPr>
      </w:pPr>
      <w:r>
        <w:rPr>
          <w:i/>
          <w:noProof/>
        </w:rPr>
        <w:t xml:space="preserve">Figura 2: Comerțul cu servicii al UE cu Regatul Unit, primele trei trimestre din perioada 2021-2025, miliarde EUR, sursa: Eurostat (set de date </w:t>
      </w:r>
      <w:hyperlink r:id="rId18" w:history="1">
        <w:r>
          <w:rPr>
            <w:rStyle w:val="Hyperlink"/>
            <w:noProof/>
          </w:rPr>
          <w:t>bop_eu6_q</w:t>
        </w:r>
      </w:hyperlink>
      <w:r>
        <w:rPr>
          <w:i/>
          <w:noProof/>
        </w:rPr>
        <w:t>)</w:t>
      </w:r>
    </w:p>
    <w:p w14:paraId="5BEF67C5" w14:textId="7CCF3DCC" w:rsidR="00C229A5" w:rsidRPr="0067486A" w:rsidRDefault="00C229A5" w:rsidP="000E5458">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43" w:name="_Toc204769322"/>
      <w:bookmarkStart w:id="44" w:name="_Toc226534600"/>
      <w:bookmarkStart w:id="45" w:name="_Toc185413385"/>
      <w:bookmarkEnd w:id="36"/>
      <w:bookmarkEnd w:id="38"/>
      <w:r>
        <w:rPr>
          <w:rFonts w:ascii="Times New Roman" w:hAnsi="Times New Roman"/>
          <w:b/>
          <w:noProof/>
          <w:color w:val="auto"/>
        </w:rPr>
        <w:t>Drepturile de proprietate intelectuală</w:t>
      </w:r>
      <w:bookmarkEnd w:id="43"/>
      <w:bookmarkEnd w:id="44"/>
    </w:p>
    <w:p w14:paraId="4CB80B80" w14:textId="7790B84A" w:rsidR="002530EB" w:rsidRPr="00F006D0" w:rsidRDefault="0071342F" w:rsidP="6A5D11F7">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Oficiul UE pentru Proprietate Intelectuală și Oficiul Regatului Unit pentru Proprietate Intelectuală și-au continuat discuțiile cu privire la un memorandum de înțelegere pentru îmbunătățirea cooperării administrative în domeniul proprietății intelectuale, astfel cum se menționează la articolul 273 alineatul (2) litera (g) din ACC.</w:t>
      </w:r>
    </w:p>
    <w:p w14:paraId="21E2CF68" w14:textId="3C000EE4" w:rsidR="00DF5454" w:rsidRPr="0086076B" w:rsidRDefault="00DF5454"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6" w:name="_Toc204769323"/>
      <w:bookmarkStart w:id="47" w:name="_Toc226534601"/>
      <w:r>
        <w:rPr>
          <w:rFonts w:ascii="Times New Roman" w:hAnsi="Times New Roman"/>
          <w:b/>
          <w:noProof/>
          <w:color w:val="auto"/>
        </w:rPr>
        <w:t xml:space="preserve">Condiții de concurență </w:t>
      </w:r>
      <w:bookmarkEnd w:id="45"/>
      <w:r>
        <w:rPr>
          <w:rFonts w:ascii="Times New Roman" w:hAnsi="Times New Roman"/>
          <w:b/>
          <w:noProof/>
          <w:color w:val="auto"/>
        </w:rPr>
        <w:t>echitabile</w:t>
      </w:r>
      <w:bookmarkEnd w:id="46"/>
      <w:bookmarkEnd w:id="47"/>
    </w:p>
    <w:p w14:paraId="394EB410" w14:textId="18559878" w:rsidR="0071342F" w:rsidRDefault="00D455C1" w:rsidP="00C104C4">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Astfel cum se menționează în înțelegerea comună, primul acord suplimentar în temeiul articolului 361 alineatul (4) din ACC a fost convenit în 2025 și semnat la 25 februarie 2026</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Acordul </w:t>
      </w:r>
      <w:bookmarkStart w:id="48" w:name="_Hlk215156914"/>
      <w:r>
        <w:rPr>
          <w:rFonts w:ascii="Times New Roman" w:hAnsi="Times New Roman"/>
          <w:noProof/>
          <w:sz w:val="24"/>
        </w:rPr>
        <w:t>de cooperare în materie de concurență</w:t>
      </w:r>
      <w:bookmarkEnd w:id="48"/>
      <w:r>
        <w:rPr>
          <w:rFonts w:ascii="Times New Roman" w:hAnsi="Times New Roman"/>
          <w:noProof/>
          <w:sz w:val="24"/>
        </w:rPr>
        <w:t>:</w:t>
      </w:r>
    </w:p>
    <w:p w14:paraId="4CAEE030" w14:textId="06A371B6" w:rsidR="0071342F" w:rsidRPr="00DD4985" w:rsidRDefault="00E86DA7"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instituie un cadru de cooperare în materie de concurență între Comisie și autoritățile de concurență ale statelor membre ale UE, pe de o parte, și Autoritatea pentru Concurență și Piețe din Regatul Unit, pe de altă parte;</w:t>
      </w:r>
    </w:p>
    <w:p w14:paraId="77FE1980" w14:textId="55A71A29" w:rsidR="0071342F" w:rsidRPr="00DD4985" w:rsidRDefault="002D121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prevede că ar trebui aduse în atenția fiecărei părți investigații importante antitrust și în materie de concentrări economice; </w:t>
      </w:r>
    </w:p>
    <w:p w14:paraId="2BA4C5F7" w14:textId="126EC8D7" w:rsidR="0071342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permite coordonarea investigațiilor între jurisdicțiile implicate, atunci când este necesar (ceea ce, din partea UE, poate să implice Comisia sau autoritățile de concurență ale statelor membre, după caz);</w:t>
      </w:r>
    </w:p>
    <w:p w14:paraId="2CAD454A" w14:textId="3F1B8C9D" w:rsidR="0080197F" w:rsidRPr="00DD4985" w:rsidRDefault="00903CE3" w:rsidP="00DD4985">
      <w:pPr>
        <w:pStyle w:val="ListParagraph"/>
        <w:numPr>
          <w:ilvl w:val="0"/>
          <w:numId w:val="68"/>
        </w:num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stabilește principii clare de cooperare menite să evite conflictele dintre jurisdicții.</w:t>
      </w:r>
    </w:p>
    <w:p w14:paraId="41244E06" w14:textId="06032026" w:rsidR="006D1404" w:rsidRDefault="5A876DED" w:rsidP="0080197F">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49" w:name="_Toc185413386"/>
      <w:bookmarkStart w:id="50" w:name="_Toc204769324"/>
      <w:bookmarkStart w:id="51" w:name="_Toc226534602"/>
      <w:r>
        <w:rPr>
          <w:rFonts w:ascii="Times New Roman" w:hAnsi="Times New Roman"/>
          <w:b/>
          <w:noProof/>
          <w:color w:val="auto"/>
        </w:rPr>
        <w:t>Energie</w:t>
      </w:r>
      <w:bookmarkEnd w:id="49"/>
      <w:bookmarkEnd w:id="50"/>
      <w:bookmarkEnd w:id="51"/>
    </w:p>
    <w:p w14:paraId="6CCE9F77" w14:textId="56DA0E39" w:rsidR="00DC4CB9" w:rsidRPr="003029C6" w:rsidRDefault="003029C6" w:rsidP="00DC4CB9">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Cea mai importantă evoluție legată de energie din 2025 a fost acordul politic la care s-a ajuns în cadrul summitului UE-Regatul Unit din 19 mai de a extinde cooperarea în domeniul energiei între părți în mod continuu. Ambele părți au împărtășit înțelegerea politică potrivit căreia obiectivele legate de energie ale ACC ar trebui urmărite în mod continuu, ceea ce face oportună prelungirea aplicării titlului privind energia. Acest lucru a fost oficializat prin adoptarea Declarației nr. 1/2025</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și a Deciziei nr. 2/2025</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a Consiliului de parteneriat din 19 iunie 2025, care prevede prima prelungire până la 31 martie 2027. Acest cadru oferă stabilitate și predictibilitate părților interesate atât din UE, cât și din Regatul Unit, facilitează activitățile comerciale și asigură stabilitatea pieței.</w:t>
      </w:r>
    </w:p>
    <w:p w14:paraId="3D767F4F" w14:textId="1B450F1C" w:rsidR="001A412E" w:rsidRDefault="00D62585" w:rsidP="001A412E">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ceea ce privește acordurile de tranzacționare a energiei electrice, Comitetul specializat privind energia a continuat să examineze cuplajul slab multiregional bazat pe volum (</w:t>
      </w:r>
      <w:r>
        <w:rPr>
          <w:rFonts w:ascii="Times New Roman" w:hAnsi="Times New Roman"/>
          <w:i/>
          <w:iCs/>
          <w:noProof/>
          <w:sz w:val="24"/>
        </w:rPr>
        <w:t>Multi-Region Loose Volume Coupling</w:t>
      </w:r>
      <w:r>
        <w:rPr>
          <w:rFonts w:ascii="Times New Roman" w:hAnsi="Times New Roman"/>
          <w:noProof/>
          <w:sz w:val="24"/>
        </w:rPr>
        <w:t xml:space="preserve"> - MRLVC) menționat în anexa 29 la ACC. În conformitate cu Recomandarea nr. 1/2024</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operatorii de transport și de sistem de energie electrică din UE și din Regatul Unit au prezentat Comitetului specializat privind energia un raport comun privind punerea în aplicare a MRLVC la 30 septembrie 2025. </w:t>
      </w:r>
      <w:bookmarkStart w:id="52" w:name="_Hlk214543247"/>
      <w:r>
        <w:rPr>
          <w:rFonts w:ascii="Times New Roman" w:hAnsi="Times New Roman"/>
          <w:noProof/>
          <w:sz w:val="24"/>
        </w:rPr>
        <w:t>La rândul lor, la 27 și, respectiv, 28 octombrie 2025, autoritățile naționale de reglementare în domeniul energiei din Regatul Unit și Agenția UE pentru Cooperarea Autorităților de Reglementare din Domeniul Energiei și-au prezentat avizele informale Comitetului specializat privind energia</w:t>
      </w:r>
      <w:bookmarkEnd w:id="52"/>
      <w:r>
        <w:rPr>
          <w:rFonts w:ascii="Times New Roman" w:hAnsi="Times New Roman"/>
          <w:noProof/>
          <w:sz w:val="24"/>
        </w:rPr>
        <w:t>, care va evalua în continuare avizele în 2026. Aceste documente nu au stabilit o modalitate satisfăcătoare de lucru în ceea ce privește MRLVC.</w:t>
      </w:r>
    </w:p>
    <w:p w14:paraId="4C0F8813" w14:textId="77324CBF" w:rsidR="00E81BD4" w:rsidRPr="0065255E" w:rsidRDefault="001A412E" w:rsidP="003E301C">
      <w:pPr>
        <w:spacing w:line="276" w:lineRule="auto"/>
        <w:jc w:val="both"/>
        <w:rPr>
          <w:rFonts w:ascii="Times New Roman" w:hAnsi="Times New Roman" w:cs="Times New Roman"/>
          <w:noProof/>
          <w:sz w:val="24"/>
          <w:szCs w:val="24"/>
        </w:rPr>
      </w:pPr>
      <w:r>
        <w:rPr>
          <w:rFonts w:ascii="Times New Roman" w:hAnsi="Times New Roman"/>
          <w:noProof/>
          <w:sz w:val="24"/>
        </w:rPr>
        <w:t>Prin urmare, pe baza Înțelegerii comune, Comisia Europeană și Regatul Unit au organizat și au încheiat discuții preliminare privind participarea Regatului Unit la piața internă a energiei electrice a UE. Pe această bază, Comisia Europeană a adoptat o recomandare privind un cadru de negociere pentru participarea Regatului Unit la piața internă a energiei electrice a UE și privind contribuția financiară a Regatului Unit la reducerea disparităților economice și sociale dintre regiunile UE</w:t>
      </w:r>
      <w:r>
        <w:rPr>
          <w:rStyle w:val="FootnoteReference"/>
          <w:rFonts w:ascii="Times New Roman" w:hAnsi="Times New Roman" w:cs="Times New Roman"/>
          <w:noProof/>
          <w:sz w:val="24"/>
          <w:szCs w:val="24"/>
        </w:rPr>
        <w:footnoteReference w:id="35"/>
      </w:r>
      <w:r>
        <w:rPr>
          <w:rFonts w:ascii="Times New Roman" w:hAnsi="Times New Roman"/>
          <w:noProof/>
          <w:sz w:val="24"/>
        </w:rPr>
        <w:t>.</w:t>
      </w:r>
    </w:p>
    <w:p w14:paraId="26B131D9" w14:textId="6F1ACA29" w:rsidR="007E1D53" w:rsidRPr="0065255E" w:rsidRDefault="008F2672" w:rsidP="00A050CA">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final, Grupul de lucru privind securitatea aprovizionării, instituit prin Decizia nr. 2/2024</w:t>
      </w:r>
      <w:r>
        <w:rPr>
          <w:rStyle w:val="FootnoteReference"/>
          <w:rFonts w:ascii="Times New Roman" w:hAnsi="Times New Roman" w:cs="Times New Roman"/>
          <w:noProof/>
          <w:sz w:val="24"/>
          <w:szCs w:val="24"/>
        </w:rPr>
        <w:footnoteReference w:id="36"/>
      </w:r>
      <w:r>
        <w:rPr>
          <w:rFonts w:ascii="Times New Roman" w:hAnsi="Times New Roman"/>
          <w:noProof/>
          <w:sz w:val="24"/>
        </w:rPr>
        <w:t xml:space="preserve"> a Comitetului specializat privind energia, s-a reunit de trei ori în 2025 pentru a-și adopta termenii de referință și pentru a discuta despre securitatea aprovizionării înainte de perioadele de vară și de iarnă.</w:t>
      </w:r>
    </w:p>
    <w:p w14:paraId="4B35EA80" w14:textId="0C3A93D4" w:rsidR="006D1404" w:rsidRPr="0065255E" w:rsidRDefault="5A876DED" w:rsidP="00470A6D">
      <w:pPr>
        <w:pStyle w:val="Heading2"/>
        <w:keepLines w:val="0"/>
        <w:numPr>
          <w:ilvl w:val="1"/>
          <w:numId w:val="55"/>
        </w:numPr>
        <w:spacing w:before="100" w:beforeAutospacing="1" w:after="100" w:afterAutospacing="1" w:line="240" w:lineRule="auto"/>
        <w:ind w:left="1077"/>
        <w:rPr>
          <w:rFonts w:ascii="Times New Roman" w:hAnsi="Times New Roman" w:cs="Times New Roman"/>
          <w:b/>
          <w:bCs/>
          <w:noProof/>
          <w:color w:val="auto"/>
        </w:rPr>
      </w:pPr>
      <w:bookmarkStart w:id="53" w:name="_Hlk157433161"/>
      <w:bookmarkStart w:id="54" w:name="_Toc185413387"/>
      <w:bookmarkStart w:id="55" w:name="_Toc204769325"/>
      <w:bookmarkStart w:id="56" w:name="_Toc226534603"/>
      <w:bookmarkEnd w:id="53"/>
      <w:r>
        <w:rPr>
          <w:rFonts w:ascii="Times New Roman" w:hAnsi="Times New Roman"/>
          <w:b/>
          <w:noProof/>
          <w:color w:val="auto"/>
        </w:rPr>
        <w:t>Transport</w:t>
      </w:r>
      <w:bookmarkEnd w:id="54"/>
      <w:bookmarkEnd w:id="55"/>
      <w:bookmarkEnd w:id="56"/>
    </w:p>
    <w:p w14:paraId="6321356A" w14:textId="71CA7975" w:rsidR="00520836" w:rsidRPr="00411895" w:rsidRDefault="3DF2D69C" w:rsidP="00470A6D">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Punerea în aplicare a ACC în domeniul transporturilor a decurs fără probleme, axându-se pe exercitarea efectivă a drepturilor acordate reciproc de către părți.</w:t>
      </w:r>
    </w:p>
    <w:p w14:paraId="5409AED8" w14:textId="151C816F" w:rsidR="00DB5952" w:rsidRPr="002F3EF0" w:rsidRDefault="00DB5952" w:rsidP="00DB5952">
      <w:pPr>
        <w:spacing w:before="100" w:beforeAutospacing="1" w:after="100" w:afterAutospacing="1"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siguranței aviației</w:t>
      </w:r>
      <w:r>
        <w:rPr>
          <w:rFonts w:ascii="Times New Roman" w:hAnsi="Times New Roman"/>
          <w:noProof/>
          <w:sz w:val="24"/>
        </w:rPr>
        <w:t>, din cele 32 de cereri de validare a certificatelor eliberate de Autoritatea Aeronautică Civilă din Regatul Unit, 23 au fost aprobate de Agenția Uniunii</w:t>
      </w:r>
      <w:r w:rsidR="000E5458">
        <w:rPr>
          <w:rFonts w:ascii="Times New Roman" w:hAnsi="Times New Roman"/>
          <w:noProof/>
          <w:sz w:val="24"/>
        </w:rPr>
        <w:t> </w:t>
      </w:r>
      <w:r>
        <w:rPr>
          <w:rFonts w:ascii="Times New Roman" w:hAnsi="Times New Roman"/>
          <w:noProof/>
          <w:sz w:val="24"/>
        </w:rPr>
        <w:t>Europene pentru Siguranța Aviației (AESA) în temeiul articolului 446 coroborat cu anexa 30 la ACC. Cu sprijinul AESA, autoritățile din Regatul Unit au validat 4 din cele 11</w:t>
      </w:r>
      <w:r w:rsidR="000E5458">
        <w:rPr>
          <w:rFonts w:ascii="Times New Roman" w:hAnsi="Times New Roman"/>
          <w:noProof/>
          <w:sz w:val="24"/>
        </w:rPr>
        <w:t> </w:t>
      </w:r>
      <w:r>
        <w:rPr>
          <w:rFonts w:ascii="Times New Roman" w:hAnsi="Times New Roman"/>
          <w:noProof/>
          <w:sz w:val="24"/>
        </w:rPr>
        <w:t>proiecte depuse de solicitanți din UE, ceea ce corespunde nivelurilor de activitate preconizate pentru validarea certificatelor.</w:t>
      </w:r>
    </w:p>
    <w:p w14:paraId="128565B2" w14:textId="0CFDFF0C" w:rsidR="00DB5952" w:rsidRPr="00F006D0" w:rsidRDefault="00DB5952" w:rsidP="00DB5952">
      <w:pPr>
        <w:spacing w:before="100" w:beforeAutospacing="1" w:after="100" w:afterAutospacing="1" w:line="240" w:lineRule="auto"/>
        <w:jc w:val="both"/>
        <w:rPr>
          <w:rFonts w:ascii="Times New Roman" w:eastAsia="Calibri" w:hAnsi="Times New Roman" w:cs="Times New Roman"/>
          <w:noProof/>
        </w:rPr>
      </w:pPr>
      <w:r>
        <w:rPr>
          <w:rFonts w:ascii="Times New Roman" w:hAnsi="Times New Roman"/>
          <w:noProof/>
          <w:sz w:val="24"/>
        </w:rPr>
        <w:t xml:space="preserve">În domeniul </w:t>
      </w:r>
      <w:r>
        <w:rPr>
          <w:rFonts w:ascii="Times New Roman" w:hAnsi="Times New Roman"/>
          <w:b/>
          <w:noProof/>
          <w:sz w:val="24"/>
        </w:rPr>
        <w:t>transportului aerian</w:t>
      </w:r>
      <w:r>
        <w:rPr>
          <w:rFonts w:ascii="Times New Roman" w:hAnsi="Times New Roman"/>
          <w:noProof/>
          <w:sz w:val="24"/>
        </w:rPr>
        <w:t>, până la sfârșitul anului 2025, se preconiza că traficul aerian dintre UE și Regatul Unit va fi atins nivelurile anterioare pandemiei. În total, între statele membre ale UE și Regatul Unit au fost încheiate 26 de acorduri privind serviciile de transport exclusiv de mărfuri și procedurile de aprobare a zborurilor neregulate, în temeiul articolului 419 alineatele (4) și (9) din ACC</w:t>
      </w:r>
      <w:r>
        <w:rPr>
          <w:rStyle w:val="FootnoteReference"/>
          <w:rFonts w:ascii="Times New Roman" w:eastAsia="Calibri" w:hAnsi="Times New Roman" w:cs="Times New Roman"/>
          <w:noProof/>
          <w:sz w:val="24"/>
          <w:szCs w:val="24"/>
        </w:rPr>
        <w:footnoteReference w:id="37"/>
      </w:r>
      <w:r>
        <w:rPr>
          <w:rFonts w:ascii="Times New Roman" w:hAnsi="Times New Roman"/>
          <w:noProof/>
          <w:sz w:val="24"/>
        </w:rPr>
        <w:t>. În plus, statele membre ale UE și Regatul Unit au acordat autorizații ad-hoc pentru zborurile regulate care transportă mărfuri sau pasageri între Regatul Unit și UE, în afara libertăților prevăzute la articolul 419 din ACC.</w:t>
      </w:r>
      <w:r w:rsidR="00F409DF">
        <w:rPr>
          <w:rFonts w:ascii="Times New Roman" w:hAnsi="Times New Roman"/>
          <w:noProof/>
          <w:sz w:val="24"/>
        </w:rPr>
        <w:t xml:space="preserve"> </w:t>
      </w:r>
      <w:r>
        <w:rPr>
          <w:rFonts w:ascii="Times New Roman" w:hAnsi="Times New Roman"/>
          <w:noProof/>
          <w:sz w:val="24"/>
        </w:rPr>
        <w:t xml:space="preserve">Regatul Unit și 25 de state membre au acordat aceste autorizații prin intermediul unor „autorizații în bloc” care acoperă o serie de zboruri pentru un anumit transportator aerian. </w:t>
      </w:r>
    </w:p>
    <w:p w14:paraId="229B0D3F" w14:textId="5B82697B" w:rsidR="00DB5952" w:rsidRPr="00F006D0" w:rsidRDefault="00DB5952" w:rsidP="00DB5952">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transportului rutier</w:t>
      </w:r>
      <w:r>
        <w:rPr>
          <w:rFonts w:ascii="Times New Roman" w:hAnsi="Times New Roman"/>
          <w:noProof/>
          <w:sz w:val="24"/>
        </w:rPr>
        <w:t>, au continuat activitățile de punere în aplicare a dispozițiilor ACC privind schimbul de informații și date cuprinse în registrele electronice naționale (a se vedea articolul 14, anexa 31 partea A secțiunea 1 la ACC). Printre acestea se numără conectarea, de la 1 ianuarie 2026, a Regatului Unit la Registrul european al întreprinderilor de transport rutier, care conectează registrele naționale ale întreprinderilor de transport rutier, permițând schimbul de informații privind încălcările grave comise de întreprinderile de transport rutier pe teritoriul celeilalte părți, precum și de alte informații conținute în registrele electronice naționale. Aceste inițiative vizează consolidarea cooperării și îmbunătățirea schimbului de date între UE și Regatul Unit și au fost oficializate prin Deciziile nr. 1/2025, nr. 2/2025 și nr. 3/2025 ale Comitetului specializat privind transportul rutier</w:t>
      </w:r>
      <w:r>
        <w:rPr>
          <w:rStyle w:val="FootnoteReference"/>
          <w:rFonts w:ascii="Times New Roman" w:eastAsia="Times New Roman" w:hAnsi="Times New Roman" w:cs="Times New Roman"/>
          <w:noProof/>
          <w:sz w:val="24"/>
          <w:szCs w:val="24"/>
        </w:rPr>
        <w:footnoteReference w:id="38"/>
      </w:r>
      <w:r>
        <w:rPr>
          <w:rFonts w:ascii="Times New Roman" w:hAnsi="Times New Roman"/>
          <w:noProof/>
          <w:sz w:val="24"/>
        </w:rPr>
        <w:t>.</w:t>
      </w:r>
    </w:p>
    <w:p w14:paraId="29BC8358" w14:textId="7CB14664" w:rsidR="00F12521"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57" w:name="_Toc185413388"/>
      <w:bookmarkStart w:id="58" w:name="_Toc204769326"/>
      <w:bookmarkStart w:id="59" w:name="_Toc226534604"/>
      <w:r>
        <w:rPr>
          <w:rFonts w:ascii="Times New Roman" w:hAnsi="Times New Roman"/>
          <w:b/>
          <w:noProof/>
          <w:color w:val="auto"/>
        </w:rPr>
        <w:t>Pescuit</w:t>
      </w:r>
      <w:bookmarkEnd w:id="57"/>
      <w:bookmarkEnd w:id="58"/>
      <w:bookmarkEnd w:id="59"/>
    </w:p>
    <w:p w14:paraId="581315E5" w14:textId="27911813" w:rsidR="00B7366F" w:rsidRDefault="00A9100D" w:rsidP="00A9100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Acordul politic de referință la care s-a ajuns în cadrul reuniunii la nivel înalt UE-Regatul Unit pentru a garanta accesul reciproc deplin la ape după 30 iunie 2026 și până la 30 iunie 2038 reprezintă cea mai importantă evoluție în domeniul pescuitului. Oficializat prin Decizia</w:t>
      </w:r>
      <w:r w:rsidR="000E5458">
        <w:rPr>
          <w:rFonts w:ascii="Times New Roman" w:hAnsi="Times New Roman"/>
          <w:noProof/>
          <w:sz w:val="24"/>
        </w:rPr>
        <w:t> </w:t>
      </w:r>
      <w:r>
        <w:rPr>
          <w:rFonts w:ascii="Times New Roman" w:hAnsi="Times New Roman"/>
          <w:noProof/>
          <w:sz w:val="24"/>
        </w:rPr>
        <w:t>nr.</w:t>
      </w:r>
      <w:r w:rsidR="000E5458">
        <w:rPr>
          <w:rFonts w:ascii="Times New Roman" w:hAnsi="Times New Roman"/>
          <w:noProof/>
          <w:sz w:val="24"/>
        </w:rPr>
        <w:t> </w:t>
      </w:r>
      <w:r>
        <w:rPr>
          <w:rFonts w:ascii="Times New Roman" w:hAnsi="Times New Roman"/>
          <w:noProof/>
          <w:sz w:val="24"/>
        </w:rPr>
        <w:t>1/2025 a Consiliului de parteneriat</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și prin Decizia nr. 1/2025</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a Comitetului specializat privind pescuitul în temeiul ACC, acest acord oferă stabilitate și predictibilitate pe termen lung pescarilor din UE, asigurându-le drepturile și protejând mijloacele de subzistență, și marchează un important pas înainte în punerea în aplicare a Înțelegerii comune.</w:t>
      </w:r>
    </w:p>
    <w:p w14:paraId="7DC693C0" w14:textId="5DEDF008" w:rsidR="00B33843" w:rsidRDefault="00B33843" w:rsidP="00A14452">
      <w:pPr>
        <w:spacing w:before="100" w:beforeAutospacing="1" w:after="100" w:afterAutospacing="1" w:line="240" w:lineRule="auto"/>
        <w:jc w:val="both"/>
        <w:rPr>
          <w:rFonts w:ascii="Times New Roman" w:hAnsi="Times New Roman" w:cs="Times New Roman"/>
          <w:noProof/>
          <w:sz w:val="24"/>
          <w:szCs w:val="24"/>
        </w:rPr>
      </w:pPr>
      <w:bookmarkStart w:id="60" w:name="_Hlk218760230"/>
      <w:bookmarkStart w:id="61" w:name="_Hlk210125164"/>
      <w:r>
        <w:rPr>
          <w:rFonts w:ascii="Times New Roman" w:hAnsi="Times New Roman"/>
          <w:noProof/>
          <w:sz w:val="24"/>
        </w:rPr>
        <w:t>În plus, Comisia s-a implicat activ în discuții cu Regatul Unit cu privire la zonele sale marine protejate. Deși sprijină pe deplin protecția ecosistemelor marine, Comisia subliniază necesitatea unor abordări care să echilibreze conservarea cu considerentele socioeconomice și protecția drepturilor de pescuit ale UE. Comisia își menține angajamentul față de un dialog constructiv cu autoritățile Regatului Unit.</w:t>
      </w:r>
    </w:p>
    <w:bookmarkEnd w:id="60"/>
    <w:p w14:paraId="7684B2D5" w14:textId="5DCEBD49" w:rsidR="00A9100D" w:rsidRPr="00A9100D" w:rsidRDefault="0023461A" w:rsidP="00A9100D">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În final, în decembrie 2025, UE și Regatul Unit și-au încheiat consultările anuale în temeiul articolului 498 din ACC pentru a stabili capturile totale admisibile pentru stocurile comune în 2026. Acordul garantează că flotele UE pot pescui până la 288 000 de tone, în valoare de peste 1,2 miliarde EUR.</w:t>
      </w:r>
    </w:p>
    <w:p w14:paraId="2F3DBB23" w14:textId="12FB78F2"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2" w:name="_Toc185413389"/>
      <w:bookmarkStart w:id="63" w:name="_Toc204769327"/>
      <w:bookmarkStart w:id="64" w:name="_Toc226534605"/>
      <w:bookmarkEnd w:id="61"/>
      <w:r>
        <w:rPr>
          <w:rFonts w:ascii="Times New Roman" w:hAnsi="Times New Roman"/>
          <w:b/>
          <w:noProof/>
          <w:color w:val="auto"/>
        </w:rPr>
        <w:t>Coordonarea sistemelor de securitate socială</w:t>
      </w:r>
      <w:bookmarkEnd w:id="62"/>
      <w:bookmarkEnd w:id="63"/>
      <w:bookmarkEnd w:id="64"/>
    </w:p>
    <w:p w14:paraId="5A6C51B1" w14:textId="7A85E211" w:rsidR="01125C26" w:rsidRDefault="01125C26" w:rsidP="001D0BC1">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fel ca în anii precedenți, punerea în aplicare a Protocolului privind coordonarea sistemelor de securitate socială la ACC (denumit în continuare „protocolul”) a continuat în mod constructiv, nefiind identificate chestiuni de natură sistemică sau structurală.</w:t>
      </w:r>
    </w:p>
    <w:p w14:paraId="3F455BA4" w14:textId="69F2E688" w:rsidR="01125C26" w:rsidRDefault="01125C26" w:rsidP="0041189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Comitetul specializat privind coordonarea sistemelor de securitate socială și-a desfășurat activitatea tehnică, în special cu privire la: (i) modificări ale documentelor electronice structurate și ale documentelor portabile; (ii) procedurile de rambursare a costurilor prestațiilor de boală; (iii) transpunerea deciziilor relevante ale Comisiei administrative pentru coordonarea sistemelor de securitate socială și (iv) discuțiile exploratorii privind posibilitatea de includere a unei noi dispoziții în normele de aplicare a protocolului, permițându-le statelor să prevadă derogări de la normele privind legislația aplicabilă prin acord reciproc în situații bine definite și în interesul persoanelor în cauză. În 2025 nu au fost adoptate decizii sau recomandări.</w:t>
      </w:r>
    </w:p>
    <w:p w14:paraId="7A26BA23" w14:textId="70077539" w:rsidR="006D1404" w:rsidRPr="0086076B" w:rsidRDefault="33A451BC"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5" w:name="_Toc185413390"/>
      <w:bookmarkStart w:id="66" w:name="_Toc204769328"/>
      <w:bookmarkStart w:id="67" w:name="_Toc226534606"/>
      <w:r>
        <w:rPr>
          <w:rFonts w:ascii="Times New Roman" w:hAnsi="Times New Roman"/>
          <w:b/>
          <w:noProof/>
          <w:color w:val="auto"/>
        </w:rPr>
        <w:t>Cooperarea autorităților de aplicare a legii și cooperarea judiciară în materie penală</w:t>
      </w:r>
      <w:bookmarkEnd w:id="65"/>
      <w:bookmarkEnd w:id="66"/>
      <w:bookmarkEnd w:id="67"/>
    </w:p>
    <w:p w14:paraId="5BA06319" w14:textId="64BCFB75" w:rsidR="00AE3EE8" w:rsidRDefault="00AE3EE8"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2025, s-au înregistrat progrese suplimentare în ceea ce privește consolidarea cooperării în acest domeniu.</w:t>
      </w:r>
    </w:p>
    <w:p w14:paraId="4091524D" w14:textId="0978DE52" w:rsidR="00AE3EE8"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Până la finalul anului, 25 de state membre și Regatul Unit și-au acordat reciproc acces la bazele lor de date naționale pentru amprente digitale, în conformitate cu articolul 534 din ACC. Acest lucru a avut la bază progresul înregistrat în 2024, când toate statele membre și Regatul Unit și-au acordat reciproc acces la bazele lor de date naționale pentru ADN pentru efectuarea de căutări automatizate, în conformitate cu articolul 530 din ACC.</w:t>
      </w:r>
    </w:p>
    <w:p w14:paraId="6C37DB65" w14:textId="391CF3AD" w:rsidR="00764E6C" w:rsidRDefault="00AE3EE8"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ceea ce privește schimbul de date privind înmatricularea vehiculelor, au fost efectuate o vizită de evaluare și un proiect-pilot în Regatul Unit pentru a evalua punerea în aplicare de către acesta a obligațiilor prevăzute în partea a treia titlul II din ACC. Pe baza raportului de evaluare din 17 octombrie 2025 rezultat, Consiliul va stabili data de la care statele membre pot începe să furnizeze date Regatului Unit. După adoptarea acestei decizii, atât statele membre, cât și Regatul Unit vor fi în măsură să efectueze căutări automatizate în bazele de date naționale ale celeilalte părți, astfel cum se prevede la articolul 537 din ACC.</w:t>
      </w:r>
    </w:p>
    <w:p w14:paraId="218532FD" w14:textId="5ACEC990" w:rsidR="00305A8B" w:rsidRDefault="00305A8B"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La 24 septembrie, Europol și Agenția Națională de Combatere a Criminalității din Regatul</w:t>
      </w:r>
      <w:r w:rsidR="000E5458">
        <w:rPr>
          <w:rFonts w:ascii="Times New Roman" w:hAnsi="Times New Roman"/>
          <w:noProof/>
          <w:sz w:val="24"/>
        </w:rPr>
        <w:t> </w:t>
      </w:r>
      <w:r>
        <w:rPr>
          <w:rFonts w:ascii="Times New Roman" w:hAnsi="Times New Roman"/>
          <w:noProof/>
          <w:sz w:val="24"/>
        </w:rPr>
        <w:t>Unit au semnat un acord de lucru privind ofițerii de legătură detașați de Regatul Unit la Europol. Acesta permite Regatului Unit să detașeze până la 20 de ofițeri de legătură la Europol și specifică sarcinile ofițerilor de legătură, drepturile și obligațiile lor, precum și costurile implicate, în conformitate cu articolul 577 alineatul (2) litera (d) din ACC.</w:t>
      </w:r>
    </w:p>
    <w:p w14:paraId="3E663A9B" w14:textId="42F8ECFE" w:rsidR="00263800" w:rsidRDefault="00263800" w:rsidP="00AE3EE8">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conformitate cu articolul 630 alineatul (2) din ACC, UE și-a revizuit notificările către Regatul Unit în ceea ce privește predarea persoanelor căutate și a notificat în consecință Comitetul specializat privind cooperarea în materie de asigurare a respectării legii și cooperarea judiciară. O astfel de revizuire trebuie efectuată o dată la cinci ani după intrarea în vigoare a ACC</w:t>
      </w:r>
      <w:r>
        <w:rPr>
          <w:rStyle w:val="FootnoteReference"/>
          <w:rFonts w:ascii="Times New Roman" w:eastAsia="Times New Roman" w:hAnsi="Times New Roman" w:cs="Times New Roman"/>
          <w:noProof/>
          <w:sz w:val="24"/>
          <w:szCs w:val="24"/>
        </w:rPr>
        <w:footnoteReference w:id="41"/>
      </w:r>
      <w:r>
        <w:rPr>
          <w:rFonts w:ascii="Times New Roman" w:hAnsi="Times New Roman"/>
          <w:noProof/>
          <w:sz w:val="24"/>
        </w:rPr>
        <w:t>.</w:t>
      </w:r>
    </w:p>
    <w:p w14:paraId="5E3C5BB2" w14:textId="47735B9B" w:rsidR="006D1404" w:rsidRPr="0086076B" w:rsidRDefault="4EF2814B" w:rsidP="00470A6D">
      <w:pPr>
        <w:pStyle w:val="Heading2"/>
        <w:keepNext w:val="0"/>
        <w:keepLines w:val="0"/>
        <w:numPr>
          <w:ilvl w:val="1"/>
          <w:numId w:val="55"/>
        </w:numPr>
        <w:spacing w:before="100" w:beforeAutospacing="1" w:after="100" w:afterAutospacing="1" w:line="240" w:lineRule="auto"/>
        <w:rPr>
          <w:rFonts w:ascii="Times New Roman" w:hAnsi="Times New Roman" w:cs="Times New Roman"/>
          <w:b/>
          <w:bCs/>
          <w:noProof/>
          <w:color w:val="auto"/>
        </w:rPr>
      </w:pPr>
      <w:bookmarkStart w:id="68" w:name="_Toc185413391"/>
      <w:bookmarkStart w:id="69" w:name="_Toc204769329"/>
      <w:bookmarkStart w:id="70" w:name="_Toc226534607"/>
      <w:r>
        <w:rPr>
          <w:rFonts w:ascii="Times New Roman" w:hAnsi="Times New Roman"/>
          <w:b/>
          <w:noProof/>
          <w:color w:val="auto"/>
        </w:rPr>
        <w:t>Asocierea Regatului Unit la anumite programe ale UE</w:t>
      </w:r>
      <w:bookmarkEnd w:id="68"/>
      <w:bookmarkEnd w:id="69"/>
      <w:bookmarkEnd w:id="70"/>
    </w:p>
    <w:p w14:paraId="5699DD03" w14:textId="07C2BE5D" w:rsidR="00B66F0C" w:rsidRPr="00F52880" w:rsidRDefault="00B66F0C" w:rsidP="00B66F0C">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Începând din 2024, Regatul Unit a fost asociat la mai multe programe ale UE, inclusiv la Orizont Europa și la componenta Copernicus a Programului spațial al Uniunii. Acest lucru permite entităților din Regatul Unit să se implice în proiecte colaborative de cercetare și inovare în întreaga UE și în afara acesteia.</w:t>
      </w:r>
    </w:p>
    <w:p w14:paraId="18F03217" w14:textId="3992EB39" w:rsidR="00EC3EB0" w:rsidRPr="00F52880" w:rsidRDefault="00BD370D" w:rsidP="00B66F0C">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Potrivit celor mai recente date</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începând din 2024, Regatul Unit este al patrulea cel mai mare beneficiar de granturi din toate țările participante (după Germania, Spania și Franța</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entitățile din Regatul Unit obținând finanțare în valoare de aproximativ 1,2 miliarde EUR în cadrul programului Orizont Europa. De asemenea, Regatul Unit este lider în acțiunile Marie Skłodowska-Curie, permițând universităților și instituțiilor sale să participe la rețele doctorale și să coordoneze proiecte.</w:t>
      </w:r>
    </w:p>
    <w:p w14:paraId="3224EBC7" w14:textId="6EEE91C3" w:rsidR="000F4C0B" w:rsidRDefault="00B66F0C" w:rsidP="00E10EB6">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plus, la summitul din mai 2025, ambele părți au convenit să depună eforturi în vederea asocierii Regatului Unit la programul Erasmus+. Negocierile pentru asocierea Regatului Unit începând cu 1 ianuarie 2027 au fost încheiate de Comisie în decembrie 2025</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 Acestea vor fi urmate de o propunere a Comisiei adresată Consiliului de modificare a Protocolului I la ACC care, la rândul său, va fi urmată de etapele legislative și procedurale necesare pentru adoptarea de către Comitetul specializat privind participarea la programele Uniunii a condițiilor actualizate ale Protocolului I, care reglementează asocierea Regatului Unit la Erasmus+. Acest lucru marchează un pas important către o participare mai amplă la activitățile de mobilitate dintre UE și Regatul Unit, precum și către cooperarea în toate sectoarele vizate de program (educație, formare, tineret și sport).</w:t>
      </w:r>
    </w:p>
    <w:p w14:paraId="6D4ABEFD" w14:textId="2AAC12F7" w:rsidR="00446FCC" w:rsidRPr="00446FCC" w:rsidRDefault="00446FCC" w:rsidP="007F7326">
      <w:pPr>
        <w:pStyle w:val="Heading2"/>
        <w:numPr>
          <w:ilvl w:val="1"/>
          <w:numId w:val="55"/>
        </w:numPr>
        <w:spacing w:before="100" w:beforeAutospacing="1" w:after="100" w:afterAutospacing="1" w:line="240" w:lineRule="auto"/>
        <w:rPr>
          <w:rFonts w:ascii="Times New Roman" w:eastAsia="Times New Roman" w:hAnsi="Times New Roman" w:cs="Times New Roman"/>
          <w:b/>
          <w:bCs/>
          <w:noProof/>
          <w:color w:val="auto"/>
        </w:rPr>
      </w:pPr>
      <w:bookmarkStart w:id="71" w:name="_Toc226534608"/>
      <w:r>
        <w:rPr>
          <w:rFonts w:ascii="Times New Roman" w:hAnsi="Times New Roman"/>
          <w:b/>
          <w:noProof/>
          <w:color w:val="auto"/>
        </w:rPr>
        <w:t>Alte domenii</w:t>
      </w:r>
      <w:bookmarkEnd w:id="71"/>
    </w:p>
    <w:p w14:paraId="06B769E2" w14:textId="121C8889" w:rsidR="00023CFA" w:rsidRPr="00F52880" w:rsidRDefault="00A94F20" w:rsidP="00470A6D">
      <w:pPr>
        <w:spacing w:before="100" w:beforeAutospacing="1" w:after="100" w:afterAutospacing="1" w:line="240" w:lineRule="auto"/>
        <w:jc w:val="both"/>
        <w:rPr>
          <w:rFonts w:ascii="Times New Roman" w:eastAsia="Times New Roman" w:hAnsi="Times New Roman" w:cs="Times New Roman"/>
          <w:noProof/>
          <w:sz w:val="24"/>
          <w:szCs w:val="24"/>
        </w:rPr>
      </w:pPr>
      <w:bookmarkStart w:id="72" w:name="_Hlk215156840"/>
      <w:r>
        <w:rPr>
          <w:rFonts w:ascii="Times New Roman" w:hAnsi="Times New Roman"/>
          <w:noProof/>
          <w:sz w:val="24"/>
        </w:rPr>
        <w:t xml:space="preserve">În domeniul </w:t>
      </w:r>
      <w:r>
        <w:rPr>
          <w:rFonts w:ascii="Times New Roman" w:hAnsi="Times New Roman"/>
          <w:b/>
          <w:noProof/>
          <w:sz w:val="24"/>
        </w:rPr>
        <w:t>securității sanitare</w:t>
      </w:r>
      <w:r>
        <w:rPr>
          <w:rFonts w:ascii="Times New Roman" w:hAnsi="Times New Roman"/>
          <w:noProof/>
          <w:sz w:val="24"/>
        </w:rPr>
        <w:t>, au avut loc discuții preliminare în vederea maximizării cooperării bilaterale privind detectarea viitoarelor pandemii și pregătirea pentru acestea, precum și privind răspunsul la amenințările emergente la adresa sănătății.</w:t>
      </w:r>
    </w:p>
    <w:p w14:paraId="619399A7" w14:textId="0B1518C6" w:rsidR="001E56AA" w:rsidRDefault="001E56AA" w:rsidP="00470A6D">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conformitate cu Înțelegerea comună și în urma adoptării de către Consiliu, la 11</w:t>
      </w:r>
      <w:r w:rsidR="000E5458">
        <w:rPr>
          <w:rFonts w:ascii="Times New Roman" w:hAnsi="Times New Roman"/>
          <w:noProof/>
          <w:sz w:val="24"/>
        </w:rPr>
        <w:t> </w:t>
      </w:r>
      <w:r>
        <w:rPr>
          <w:rFonts w:ascii="Times New Roman" w:hAnsi="Times New Roman"/>
          <w:noProof/>
          <w:sz w:val="24"/>
        </w:rPr>
        <w:t>iunie</w:t>
      </w:r>
      <w:r w:rsidR="000E5458">
        <w:rPr>
          <w:rFonts w:ascii="Times New Roman" w:hAnsi="Times New Roman"/>
          <w:noProof/>
          <w:sz w:val="24"/>
        </w:rPr>
        <w:t> </w:t>
      </w:r>
      <w:r>
        <w:rPr>
          <w:rFonts w:ascii="Times New Roman" w:hAnsi="Times New Roman"/>
          <w:noProof/>
          <w:sz w:val="24"/>
        </w:rPr>
        <w:t>2025, a unei decizii</w:t>
      </w:r>
      <w:r>
        <w:rPr>
          <w:rStyle w:val="FootnoteReference"/>
          <w:rFonts w:ascii="Times New Roman" w:eastAsia="Times New Roman" w:hAnsi="Times New Roman" w:cs="Times New Roman"/>
          <w:noProof/>
          <w:sz w:val="24"/>
          <w:szCs w:val="24"/>
        </w:rPr>
        <w:footnoteReference w:id="45"/>
      </w:r>
      <w:r>
        <w:rPr>
          <w:rFonts w:ascii="Times New Roman" w:hAnsi="Times New Roman"/>
          <w:noProof/>
          <w:sz w:val="24"/>
        </w:rPr>
        <w:t xml:space="preserve"> și a unor directive de negociere, au început negocierile în vederea încheierii unui acord internațional privind </w:t>
      </w:r>
      <w:r>
        <w:rPr>
          <w:rFonts w:ascii="Times New Roman" w:hAnsi="Times New Roman"/>
          <w:b/>
          <w:noProof/>
          <w:sz w:val="24"/>
        </w:rPr>
        <w:t>Programul de experiență pentru tineret</w:t>
      </w:r>
      <w:r>
        <w:rPr>
          <w:rFonts w:ascii="Times New Roman" w:hAnsi="Times New Roman"/>
          <w:noProof/>
          <w:sz w:val="24"/>
        </w:rPr>
        <w:t>, a introducerii unei noi căi de obținere a vizelor și a facilitării participării tinerilor din UE și din Regatul Unit la o serie de activități.</w:t>
      </w:r>
    </w:p>
    <w:p w14:paraId="3F12493A" w14:textId="0289FC29" w:rsidR="006D1404" w:rsidRPr="0086076B" w:rsidRDefault="27FE4BCF" w:rsidP="000E5D73">
      <w:pPr>
        <w:pStyle w:val="Heading1"/>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3" w:name="_Toc86154517"/>
      <w:bookmarkStart w:id="74" w:name="_Toc185413393"/>
      <w:bookmarkStart w:id="75" w:name="_Toc204769330"/>
      <w:bookmarkStart w:id="76" w:name="_Toc226534609"/>
      <w:bookmarkEnd w:id="72"/>
      <w:r>
        <w:rPr>
          <w:rFonts w:ascii="Times New Roman" w:hAnsi="Times New Roman"/>
          <w:b/>
          <w:noProof/>
          <w:color w:val="auto"/>
        </w:rPr>
        <w:t xml:space="preserve">Evoluția dreptului </w:t>
      </w:r>
      <w:bookmarkEnd w:id="73"/>
      <w:r>
        <w:rPr>
          <w:rFonts w:ascii="Times New Roman" w:hAnsi="Times New Roman"/>
          <w:b/>
          <w:noProof/>
          <w:color w:val="auto"/>
        </w:rPr>
        <w:t>Regatului Unit</w:t>
      </w:r>
      <w:bookmarkEnd w:id="74"/>
      <w:bookmarkEnd w:id="75"/>
      <w:bookmarkEnd w:id="76"/>
    </w:p>
    <w:p w14:paraId="01EEAF13" w14:textId="716FC7A0" w:rsidR="009C4EB8" w:rsidRDefault="00225BB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urma monitorizării continue de către Comisie, prezenta secțiune analizează evoluțiile legislative din Regatul Unit, astfel cum se prevede la articolul 2 alineatul (4) din Decizia</w:t>
      </w:r>
      <w:r w:rsidR="000E5458">
        <w:rPr>
          <w:rFonts w:ascii="Times New Roman" w:hAnsi="Times New Roman"/>
          <w:noProof/>
          <w:sz w:val="24"/>
        </w:rPr>
        <w:t> </w:t>
      </w:r>
      <w:r>
        <w:rPr>
          <w:rFonts w:ascii="Times New Roman" w:hAnsi="Times New Roman"/>
          <w:noProof/>
          <w:sz w:val="24"/>
        </w:rPr>
        <w:t>(UE) 2021/689 a Consiliului, cu un accent deosebit pe cele mai importante măsuri relevante pentru punerea în aplicare a ACC.</w:t>
      </w:r>
    </w:p>
    <w:p w14:paraId="43031B4E" w14:textId="1404317F" w:rsidR="007D3844" w:rsidRPr="006146F7" w:rsidRDefault="007D3844" w:rsidP="007D3844">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controlului subvențiilor</w:t>
      </w:r>
      <w:r>
        <w:rPr>
          <w:rFonts w:ascii="Times New Roman" w:hAnsi="Times New Roman"/>
          <w:noProof/>
          <w:sz w:val="24"/>
        </w:rPr>
        <w:t>, guvernul a continuat să perfecționeze cadrul stabilit în temeiul Legii privind controlul subvențiilor din 2022</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Normele privind controlul subvențiilor (subvenții și scheme de interes sau interese speciale) (modificare) din 2025</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 în vigoare din august 2025, au crescut pragul financiar pentru sesizarea obligatorie a Autorității pentru Concurență și Piețe cu privire la subvențiile și schemele din sectoare nesensibile de la 10 milioane GBP la 25 de milioane GBP.</w:t>
      </w:r>
      <w:r>
        <w:rPr>
          <w:noProof/>
        </w:rPr>
        <w:t xml:space="preserve"> </w:t>
      </w:r>
      <w:r>
        <w:rPr>
          <w:rFonts w:ascii="Times New Roman" w:hAnsi="Times New Roman"/>
          <w:noProof/>
          <w:sz w:val="24"/>
        </w:rPr>
        <w:t>Prin urmare, Autoritatea pentru Concurență și Piețe a estimat o reducere cu 28 % a numărului de subvenții examinate de Unitatea de consiliere în materie de subvenții.</w:t>
      </w:r>
    </w:p>
    <w:p w14:paraId="50E46F1B" w14:textId="1B32F897" w:rsidR="00E81C30" w:rsidRPr="006146F7"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standardelor de muncă și sociale</w:t>
      </w:r>
      <w:r>
        <w:rPr>
          <w:rFonts w:ascii="Times New Roman" w:hAnsi="Times New Roman"/>
          <w:noProof/>
          <w:sz w:val="24"/>
        </w:rPr>
        <w:t>, Legea privind drepturile lucrătorilor din 2025</w:t>
      </w:r>
      <w:r>
        <w:rPr>
          <w:rStyle w:val="FootnoteReference"/>
          <w:rFonts w:ascii="Times New Roman" w:eastAsia="Times New Roman" w:hAnsi="Times New Roman" w:cs="Times New Roman"/>
          <w:noProof/>
          <w:sz w:val="24"/>
          <w:szCs w:val="24"/>
        </w:rPr>
        <w:footnoteReference w:id="48"/>
      </w:r>
      <w:r>
        <w:rPr>
          <w:rFonts w:ascii="Times New Roman" w:hAnsi="Times New Roman"/>
          <w:noProof/>
          <w:sz w:val="24"/>
        </w:rPr>
        <w:t xml:space="preserve"> a introdus reforme ale legislației muncii în Anglia, Scoția și Țara Galilor. Printre dispozițiile-cheie, salutate de UE, se numără actualizări ale procedurilor de disponibilizare, obligații în materie de egalitate pentru angajatori, funcții ale sindicatului și asigurarea respectării legislației privind piața forței de muncă. În special, această lege urmărește să pună capăt contractelor cu zero ore prin acordarea de drepturi la ore garantate și să modernizeze legislația sindicală, inclusiv prin abrogarea controversatei Legi din 2023 privind grevele (nivelurile minime ale serviciile)</w:t>
      </w:r>
      <w:r>
        <w:rPr>
          <w:rStyle w:val="FootnoteReference"/>
          <w:rFonts w:ascii="Times New Roman" w:eastAsia="Times New Roman" w:hAnsi="Times New Roman" w:cs="Times New Roman"/>
          <w:noProof/>
          <w:sz w:val="24"/>
          <w:szCs w:val="24"/>
        </w:rPr>
        <w:footnoteReference w:id="49"/>
      </w:r>
      <w:r>
        <w:rPr>
          <w:rFonts w:ascii="Times New Roman" w:hAnsi="Times New Roman"/>
          <w:noProof/>
          <w:sz w:val="24"/>
        </w:rPr>
        <w:t>, evidențiată de Comisie în raportul său din 2023 privind punerea în aplicare a ACC</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w:t>
      </w:r>
    </w:p>
    <w:p w14:paraId="25BF688E" w14:textId="3A01553A" w:rsidR="00E661FF" w:rsidRDefault="00A5477E"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legislația </w:t>
      </w:r>
      <w:r>
        <w:rPr>
          <w:rFonts w:ascii="Times New Roman" w:hAnsi="Times New Roman"/>
          <w:b/>
          <w:noProof/>
          <w:sz w:val="24"/>
        </w:rPr>
        <w:t>în domeniul climei și al mediului</w:t>
      </w:r>
      <w:r>
        <w:rPr>
          <w:rFonts w:ascii="Times New Roman" w:hAnsi="Times New Roman"/>
          <w:noProof/>
          <w:sz w:val="24"/>
        </w:rPr>
        <w:t>, Legea britanică a energiei din 2025</w:t>
      </w:r>
      <w:r>
        <w:rPr>
          <w:rStyle w:val="FootnoteReference"/>
          <w:rFonts w:ascii="Times New Roman" w:eastAsia="Times New Roman" w:hAnsi="Times New Roman" w:cs="Times New Roman"/>
          <w:noProof/>
          <w:sz w:val="24"/>
          <w:szCs w:val="24"/>
        </w:rPr>
        <w:footnoteReference w:id="51"/>
      </w:r>
      <w:r>
        <w:rPr>
          <w:rFonts w:ascii="Times New Roman" w:hAnsi="Times New Roman"/>
          <w:noProof/>
          <w:sz w:val="24"/>
        </w:rPr>
        <w:t xml:space="preserve"> instituie Great British Energy (GBE), o societate energetică deținută de stat, însărcinată cu accelerarea dezvoltării energiei interne curate. Această lege acordă GBE autoritatea de a investi în infrastructura de producere a energiei și de a o gestiona, promovând astfel durabilitatea mediului și securitatea energetică. Întrucât urmează să se efectueze investiții de peste 8,3 miliarde GBP, Comisia supraveghează cu atenție punerea în aplicare pentru a se asigura că aceasta se aliniază la angajamentele asumate de Regatul Unit în cadrul ACC.</w:t>
      </w:r>
    </w:p>
    <w:p w14:paraId="6FD30062" w14:textId="632DDCAD" w:rsidR="00E81C30" w:rsidRPr="006146F7" w:rsidRDefault="00212267" w:rsidP="00E661FF">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plus, Legea privind planificarea și infrastructura din 2025</w:t>
      </w:r>
      <w:r>
        <w:rPr>
          <w:rStyle w:val="FootnoteReference"/>
          <w:rFonts w:ascii="Times New Roman" w:eastAsia="Times New Roman" w:hAnsi="Times New Roman" w:cs="Times New Roman"/>
          <w:noProof/>
          <w:sz w:val="24"/>
          <w:szCs w:val="24"/>
        </w:rPr>
        <w:footnoteReference w:id="52"/>
      </w:r>
      <w:r>
        <w:rPr>
          <w:rFonts w:ascii="Times New Roman" w:hAnsi="Times New Roman"/>
          <w:noProof/>
          <w:sz w:val="24"/>
        </w:rPr>
        <w:t xml:space="preserve"> urmărește să raționalizeze furnizarea infrastructurii critice prin introducerea amenajării strategice a teritoriului în Anglia și prin accelerarea proiectelor majore pentru a sprijini creșterea economică și durabilitatea mediului. Această lege revizuiește normele de planificare și de infrastructură, înlocuind obligațiile de planificare de mediu cu o taxă plătită dezvoltatorilor în Fondul de refacere a naturii pentru a finanța proiecte de refacere. De asemenea, simplifică aprobările pentru „proiectele de infrastructură semnificative la nivel național” și pentru infrastructura de energie electrică. Aceasta reprezintă o evoluție majoră în domeniu, iar Comisia monitorizează în mod activ impactul său asupra comerțului, a investițiilor și a potențialei nerespectări a obligațiilor de menținere a nivelului de protecție în temeiul ACC.</w:t>
      </w:r>
    </w:p>
    <w:p w14:paraId="0C283AFC" w14:textId="74C297D5" w:rsidR="00144CF1" w:rsidRDefault="00E81C30"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reglementării produselor</w:t>
      </w:r>
      <w:r>
        <w:rPr>
          <w:rFonts w:ascii="Times New Roman" w:hAnsi="Times New Roman"/>
          <w:noProof/>
          <w:sz w:val="24"/>
        </w:rPr>
        <w:t>, Regulamentul privind produsele și Legea metrologiei din 2025</w:t>
      </w:r>
      <w:r>
        <w:rPr>
          <w:rStyle w:val="FootnoteReference"/>
          <w:rFonts w:ascii="Times New Roman" w:eastAsia="Times New Roman" w:hAnsi="Times New Roman" w:cs="Times New Roman"/>
          <w:noProof/>
          <w:sz w:val="24"/>
          <w:szCs w:val="24"/>
        </w:rPr>
        <w:footnoteReference w:id="53"/>
      </w:r>
      <w:r>
        <w:rPr>
          <w:rFonts w:ascii="Times New Roman" w:hAnsi="Times New Roman"/>
          <w:noProof/>
          <w:sz w:val="24"/>
        </w:rPr>
        <w:t xml:space="preserve"> reprezintă o reformă cuprinzătoare a cadrului Regatului Unit privind siguranța produselor, metrologia și protecția consumatorilor. Acesta împuternicește secretarul de stat să introducă reglementări care să reglementeze siguranța, eficiența și acuratețea produselor, inclusiv pentru dispozitivele de cântărire și măsurare, și se extinde la instalatorii de produse. De asemenea, permite standardizarea unităților de măsură, stabilește proceduri pentru supravegherea reglementară și prevede coordonarea cu administrațiile descentralizate. Deși anumite sectoare, cum ar fi alimentele, medicamentele, echipamentele militare, aeronavele și unele produse agricole, sunt excluse, această lege pune bazele viitoarei legislații secundare, inclusiv ale normelor care vizează piețele online și comerțul digital. Monitorizarea punerii în aplicare a legii este esențială pentru a permite Comisiei să mențină conformitatea cu ACC și să anticipeze modificările în materie de reglementare care afectează comerțul transfrontalier.</w:t>
      </w:r>
    </w:p>
    <w:p w14:paraId="3A825B03" w14:textId="20610E3D" w:rsidR="006749E2" w:rsidRDefault="006749E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protecției datelor</w:t>
      </w:r>
      <w:r>
        <w:rPr>
          <w:rFonts w:ascii="Times New Roman" w:hAnsi="Times New Roman"/>
          <w:noProof/>
          <w:sz w:val="24"/>
        </w:rPr>
        <w:t>, Legea în materie de (utilizare și acces la) date din 2025</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 adoptată în iunie 2025 și intrată în vigoare treptat în perioada iunie 2025-iunie 2026, reformează cadrul de protecție a datelor al Regatului Unit pentru verificarea digitală și schimbul de date. Această lege modifică Regulamentul general privind protecția datelor și Legea privind protecția datelor din 2018, stabilind noi temeiuri juridice pentru prelucrarea datelor cu caracter personal în anumite domenii de interes public, permițând sisteme de date inteligente pentru schimbul securizat de date, creând un cadru juridic pentru serviciile de identitate digitală și instituind un registru național al activelor subterane.</w:t>
      </w:r>
    </w:p>
    <w:p w14:paraId="7491E04D" w14:textId="0036689A" w:rsidR="00640672" w:rsidRDefault="00640672" w:rsidP="00E81C30">
      <w:pPr>
        <w:spacing w:before="100" w:beforeAutospacing="1"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În iunie 2025, Comisia Europeană a adoptat o prelungire tehnică de șase luni a celor două</w:t>
      </w:r>
      <w:r w:rsidR="000E5458">
        <w:rPr>
          <w:rFonts w:ascii="Times New Roman" w:hAnsi="Times New Roman"/>
          <w:noProof/>
          <w:sz w:val="24"/>
        </w:rPr>
        <w:t> </w:t>
      </w:r>
      <w:r>
        <w:rPr>
          <w:rFonts w:ascii="Times New Roman" w:hAnsi="Times New Roman"/>
          <w:noProof/>
          <w:sz w:val="24"/>
        </w:rPr>
        <w:t>decizii privind caracterul adecvat al nivelului de protecție din 2021</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xml:space="preserve"> pentru a evalua implicațiile Legii în materie de (utilizare și acces la) date din 2025. În iulie 2025, acesta a concluzionat că cadrul juridic al Regatului Unit oferă garanții în materie de protecție a datelor, inclusiv cele modificate prin Legea în materie de (utilizare și acces la) date din 2025, în esență echivalente cu cele ale UE, și a lansat ulterior procesul prin care Consiliul adoptă noi decizii privind caracterul adecvat al nivelului de protecție</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La 19 decembrie 2025, aceste decizii privind caracterul adecvat al nivelului de protecție au fost adoptate</w:t>
      </w:r>
      <w:r>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 Deciziile privind caracterul adecvat al nivelului de protecție vor fi revizuite periodic după patru ani și vor expira la 27 decembrie 2031, cu excepția cazului în care sunt prelungite.</w:t>
      </w:r>
    </w:p>
    <w:p w14:paraId="44996096" w14:textId="692EDF65" w:rsidR="006D1404" w:rsidRPr="0086076B" w:rsidRDefault="33A451BC" w:rsidP="71022153">
      <w:pPr>
        <w:pStyle w:val="Heading1"/>
        <w:keepNext w:val="0"/>
        <w:keepLines w:val="0"/>
        <w:numPr>
          <w:ilvl w:val="0"/>
          <w:numId w:val="55"/>
        </w:numPr>
        <w:spacing w:before="100" w:beforeAutospacing="1" w:after="100" w:afterAutospacing="1" w:line="240" w:lineRule="auto"/>
        <w:rPr>
          <w:rFonts w:ascii="Times New Roman" w:hAnsi="Times New Roman" w:cs="Times New Roman"/>
          <w:b/>
          <w:bCs/>
          <w:noProof/>
          <w:color w:val="auto"/>
        </w:rPr>
      </w:pPr>
      <w:bookmarkStart w:id="77" w:name="_Toc120291013"/>
      <w:bookmarkStart w:id="78" w:name="_Toc86061903"/>
      <w:bookmarkStart w:id="79" w:name="_Toc86154525"/>
      <w:bookmarkStart w:id="80" w:name="_Toc185413397"/>
      <w:bookmarkStart w:id="81" w:name="_Toc204769334"/>
      <w:bookmarkStart w:id="82" w:name="_Toc226534610"/>
      <w:bookmarkEnd w:id="77"/>
      <w:r>
        <w:rPr>
          <w:rFonts w:ascii="Times New Roman" w:hAnsi="Times New Roman"/>
          <w:b/>
          <w:noProof/>
          <w:color w:val="auto"/>
        </w:rPr>
        <w:t>Concluzii</w:t>
      </w:r>
      <w:bookmarkEnd w:id="78"/>
      <w:bookmarkEnd w:id="79"/>
      <w:bookmarkEnd w:id="80"/>
      <w:bookmarkEnd w:id="81"/>
      <w:bookmarkEnd w:id="82"/>
    </w:p>
    <w:p w14:paraId="42E1930E" w14:textId="27695B5A"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După cinci ani de punere în aplicare, ACC s-a dovedit a fi o bază solidă și eficace pentru relațiile dintre UE și Regatul Unit, a cărui punere în aplicare a înregistrat progrese satisfăcătoare în general. Problemele identificate în prezentul raport reprezintă excepții, având în vedere amploarea și profunzimea cooperării stabilite în temeiul ACC.</w:t>
      </w:r>
    </w:p>
    <w:p w14:paraId="62D35BCC" w14:textId="4FBDAF7E" w:rsidR="00CB29E2" w:rsidRPr="00CB29E2" w:rsidRDefault="00CB29E2" w:rsidP="00CB29E2">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Astfel cum s-a reafirmat în Înțelegerea comună adoptată la primul summit UE-Regatul Unit din 19 mai 2025, ACC rămâne o piatră de temelie pentru dezvoltarea noului parteneriat strategic dintre UE și Regatul Unit și continuă să servească drept instrument principal pentru aprofundarea cooperării într-un context geopolitic în schimbare.</w:t>
      </w:r>
    </w:p>
    <w:p w14:paraId="057651B9" w14:textId="01F1C7B7" w:rsidR="000B0C31" w:rsidRPr="00CB29E2" w:rsidRDefault="00CB29E2" w:rsidP="00155310">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Evaluarea Comisiei confirmă faptul că, după cinci ani, ACC oferă un cadru stabil, previzibil și reciproc avantajos, care va fi consolidat în continuare prin noile acorduri avute în vedere în temeiul Înțelegerii comune.</w:t>
      </w:r>
    </w:p>
    <w:p w14:paraId="4DBF3B62" w14:textId="77777777" w:rsidR="00CB29E2" w:rsidRDefault="00CB29E2">
      <w:pPr>
        <w:rPr>
          <w:rFonts w:ascii="Times New Roman" w:eastAsiaTheme="majorEastAsia" w:hAnsi="Times New Roman" w:cs="Times New Roman"/>
          <w:b/>
          <w:bCs/>
          <w:noProof/>
          <w:sz w:val="32"/>
          <w:szCs w:val="32"/>
        </w:rPr>
      </w:pPr>
      <w:bookmarkStart w:id="83" w:name="_Toc185413398"/>
      <w:bookmarkStart w:id="84" w:name="_Toc204769335"/>
      <w:r>
        <w:rPr>
          <w:noProof/>
        </w:rPr>
        <w:br w:type="page"/>
      </w:r>
    </w:p>
    <w:p w14:paraId="78E52ABD" w14:textId="00C003F4" w:rsidR="006D1404" w:rsidRPr="00157ED4" w:rsidRDefault="00537043" w:rsidP="6A5D11F7">
      <w:pPr>
        <w:pStyle w:val="Heading1"/>
        <w:keepNext w:val="0"/>
        <w:keepLines w:val="0"/>
        <w:spacing w:before="100" w:beforeAutospacing="1" w:after="100" w:afterAutospacing="1" w:line="240" w:lineRule="auto"/>
        <w:rPr>
          <w:rFonts w:ascii="Times New Roman" w:hAnsi="Times New Roman" w:cs="Times New Roman"/>
          <w:b/>
          <w:bCs/>
          <w:noProof/>
          <w:color w:val="auto"/>
        </w:rPr>
      </w:pPr>
      <w:bookmarkStart w:id="85" w:name="_Toc226534611"/>
      <w:r>
        <w:rPr>
          <w:rFonts w:ascii="Times New Roman" w:hAnsi="Times New Roman"/>
          <w:b/>
          <w:noProof/>
          <w:color w:val="auto"/>
        </w:rPr>
        <w:t>Anexa 1: Reuniuni ale organismelor comune și ale altor structuri instituite în temeiul ACC</w:t>
      </w:r>
      <w:bookmarkEnd w:id="83"/>
      <w:bookmarkEnd w:id="84"/>
      <w:r>
        <w:rPr>
          <w:rStyle w:val="FootnoteReference"/>
          <w:rFonts w:ascii="Times New Roman" w:hAnsi="Times New Roman" w:cs="Times New Roman"/>
          <w:noProof/>
          <w:color w:val="auto"/>
        </w:rPr>
        <w:footnoteReference w:id="58"/>
      </w:r>
      <w:bookmarkEnd w:id="85"/>
    </w:p>
    <w:tbl>
      <w:tblPr>
        <w:tblStyle w:val="TableGrid"/>
        <w:tblW w:w="9103" w:type="dxa"/>
        <w:tblLook w:val="04A0" w:firstRow="1" w:lastRow="0" w:firstColumn="1" w:lastColumn="0" w:noHBand="0" w:noVBand="1"/>
      </w:tblPr>
      <w:tblGrid>
        <w:gridCol w:w="1661"/>
        <w:gridCol w:w="7442"/>
      </w:tblGrid>
      <w:tr w:rsidR="00F006D0" w:rsidRPr="00F006D0" w14:paraId="2538BE6C" w14:textId="77777777" w:rsidTr="00BF7CBB">
        <w:trPr>
          <w:trHeight w:val="227"/>
        </w:trPr>
        <w:tc>
          <w:tcPr>
            <w:tcW w:w="1661" w:type="dxa"/>
            <w:shd w:val="clear" w:color="auto" w:fill="BFBFBF" w:themeFill="background1" w:themeFillShade="BF"/>
            <w:hideMark/>
          </w:tcPr>
          <w:p w14:paraId="52070644"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Pr>
                <w:rFonts w:ascii="Times New Roman" w:hAnsi="Times New Roman"/>
                <w:b/>
                <w:noProof/>
                <w:sz w:val="24"/>
              </w:rPr>
              <w:t>Data</w:t>
            </w:r>
          </w:p>
          <w:p w14:paraId="728846B3"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p>
        </w:tc>
        <w:tc>
          <w:tcPr>
            <w:tcW w:w="7442" w:type="dxa"/>
            <w:shd w:val="clear" w:color="auto" w:fill="BFBFBF" w:themeFill="background1" w:themeFillShade="BF"/>
            <w:hideMark/>
          </w:tcPr>
          <w:p w14:paraId="710D45B9" w14:textId="77777777" w:rsidR="00487231" w:rsidRPr="00F006D0" w:rsidRDefault="00487231" w:rsidP="00470A6D">
            <w:pPr>
              <w:spacing w:before="100" w:beforeAutospacing="1" w:after="100" w:afterAutospacing="1"/>
              <w:rPr>
                <w:rFonts w:ascii="Times New Roman" w:hAnsi="Times New Roman" w:cs="Times New Roman"/>
                <w:b/>
                <w:bCs/>
                <w:noProof/>
                <w:sz w:val="24"/>
                <w:szCs w:val="24"/>
              </w:rPr>
            </w:pPr>
            <w:r>
              <w:rPr>
                <w:rFonts w:ascii="Times New Roman" w:hAnsi="Times New Roman"/>
                <w:b/>
                <w:noProof/>
                <w:sz w:val="24"/>
              </w:rPr>
              <w:t>Organismul/structura comună</w:t>
            </w:r>
          </w:p>
        </w:tc>
      </w:tr>
      <w:tr w:rsidR="00792558" w:rsidRPr="00F006D0" w14:paraId="0D8A811A" w14:textId="77777777" w:rsidTr="00BF7CBB">
        <w:tc>
          <w:tcPr>
            <w:tcW w:w="1661" w:type="dxa"/>
            <w:vAlign w:val="center"/>
          </w:tcPr>
          <w:p w14:paraId="0CEE0496" w14:textId="055C264D"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28 ianuarie</w:t>
            </w:r>
          </w:p>
        </w:tc>
        <w:tc>
          <w:tcPr>
            <w:tcW w:w="7442" w:type="dxa"/>
            <w:vAlign w:val="center"/>
          </w:tcPr>
          <w:p w14:paraId="2232AFAF" w14:textId="41A85E7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Securitatea aprovizionării cu energie (grup de lucru): prima reuniune</w:t>
            </w:r>
          </w:p>
        </w:tc>
      </w:tr>
      <w:tr w:rsidR="00792558" w:rsidRPr="00F006D0" w14:paraId="22CF46B2" w14:textId="77777777" w:rsidTr="00BF7CBB">
        <w:tc>
          <w:tcPr>
            <w:tcW w:w="1661" w:type="dxa"/>
            <w:vAlign w:val="center"/>
          </w:tcPr>
          <w:p w14:paraId="15878296" w14:textId="3B35FA4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februarie</w:t>
            </w:r>
          </w:p>
        </w:tc>
        <w:tc>
          <w:tcPr>
            <w:tcW w:w="7442" w:type="dxa"/>
            <w:vAlign w:val="center"/>
          </w:tcPr>
          <w:p w14:paraId="0AA97A8E" w14:textId="637E0EC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Dialogul privind combaterea terorismului - articolul 768 din ACC: a doua reuniune</w:t>
            </w:r>
          </w:p>
        </w:tc>
      </w:tr>
      <w:tr w:rsidR="00792558" w:rsidRPr="00F006D0" w14:paraId="24479BAE" w14:textId="77777777" w:rsidTr="00BF7CBB">
        <w:tc>
          <w:tcPr>
            <w:tcW w:w="1661" w:type="dxa"/>
            <w:vAlign w:val="center"/>
          </w:tcPr>
          <w:p w14:paraId="04D7DB7B" w14:textId="20CFCA1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10 februarie</w:t>
            </w:r>
          </w:p>
        </w:tc>
        <w:tc>
          <w:tcPr>
            <w:tcW w:w="7442" w:type="dxa"/>
            <w:vAlign w:val="center"/>
          </w:tcPr>
          <w:p w14:paraId="680BB5BA" w14:textId="76090EAD"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Cooperarea autorităților de supraveghere (mediu/climă) – articolul 395 din ACC: prima reuniune</w:t>
            </w:r>
          </w:p>
        </w:tc>
      </w:tr>
      <w:tr w:rsidR="00792558" w:rsidRPr="00F006D0" w14:paraId="6C1AC1AD" w14:textId="77777777" w:rsidTr="00BF7CBB">
        <w:tc>
          <w:tcPr>
            <w:tcW w:w="1661" w:type="dxa"/>
            <w:vAlign w:val="center"/>
          </w:tcPr>
          <w:p w14:paraId="6A2C2665" w14:textId="5E87B834"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12 februarie</w:t>
            </w:r>
          </w:p>
        </w:tc>
        <w:tc>
          <w:tcPr>
            <w:tcW w:w="7442" w:type="dxa"/>
            <w:vAlign w:val="center"/>
          </w:tcPr>
          <w:p w14:paraId="3AC9D5C5" w14:textId="1CD2471A" w:rsidR="00792558" w:rsidRPr="004E3ECA" w:rsidRDefault="00386F61"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Forumul de reglementare financiară UE-Regatul Unit: a treia reuniune</w:t>
            </w:r>
          </w:p>
        </w:tc>
      </w:tr>
      <w:tr w:rsidR="00792558" w:rsidRPr="00F006D0" w14:paraId="06D070F4" w14:textId="77777777" w:rsidTr="00BF7CBB">
        <w:tc>
          <w:tcPr>
            <w:tcW w:w="1661" w:type="dxa"/>
            <w:vAlign w:val="center"/>
          </w:tcPr>
          <w:p w14:paraId="59850541" w14:textId="17B28E6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26 februarie </w:t>
            </w:r>
          </w:p>
        </w:tc>
        <w:tc>
          <w:tcPr>
            <w:tcW w:w="7442" w:type="dxa"/>
            <w:vAlign w:val="center"/>
          </w:tcPr>
          <w:p w14:paraId="5F276EBF" w14:textId="7973276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Pescuit (grup de lucru): a noua reuniune</w:t>
            </w:r>
          </w:p>
        </w:tc>
      </w:tr>
      <w:tr w:rsidR="00792558" w:rsidRPr="00F006D0" w14:paraId="40920834" w14:textId="77777777" w:rsidTr="00BF7CBB">
        <w:tc>
          <w:tcPr>
            <w:tcW w:w="1661" w:type="dxa"/>
            <w:vAlign w:val="center"/>
          </w:tcPr>
          <w:p w14:paraId="19F2CC8A" w14:textId="167D28E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17-18 martie</w:t>
            </w:r>
          </w:p>
        </w:tc>
        <w:tc>
          <w:tcPr>
            <w:tcW w:w="7442" w:type="dxa"/>
            <w:vAlign w:val="center"/>
          </w:tcPr>
          <w:p w14:paraId="129D88B3" w14:textId="51BBFCA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Adunarea Parlamentară a Parteneriatului: a cincea reuniune</w:t>
            </w:r>
          </w:p>
        </w:tc>
      </w:tr>
      <w:tr w:rsidR="00792558" w:rsidRPr="00F006D0" w14:paraId="26EE21AC" w14:textId="77777777" w:rsidTr="00BF7CBB">
        <w:tc>
          <w:tcPr>
            <w:tcW w:w="1661" w:type="dxa"/>
            <w:vAlign w:val="center"/>
          </w:tcPr>
          <w:p w14:paraId="3D51902D" w14:textId="5A96B31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25 martie</w:t>
            </w:r>
          </w:p>
        </w:tc>
        <w:tc>
          <w:tcPr>
            <w:tcW w:w="7442" w:type="dxa"/>
            <w:vAlign w:val="center"/>
          </w:tcPr>
          <w:p w14:paraId="7D14EDA7" w14:textId="33D76E5A"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Grup consultativ intern al UE: a 14-a reuniune</w:t>
            </w:r>
          </w:p>
        </w:tc>
      </w:tr>
      <w:tr w:rsidR="00792558" w:rsidRPr="00F006D0" w14:paraId="082C9BA4" w14:textId="77777777" w:rsidTr="00BF7CBB">
        <w:tc>
          <w:tcPr>
            <w:tcW w:w="1661" w:type="dxa"/>
            <w:vAlign w:val="center"/>
          </w:tcPr>
          <w:p w14:paraId="2D4F8DD1" w14:textId="6192700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14 mai</w:t>
            </w:r>
          </w:p>
        </w:tc>
        <w:tc>
          <w:tcPr>
            <w:tcW w:w="7442" w:type="dxa"/>
            <w:vAlign w:val="center"/>
          </w:tcPr>
          <w:p w14:paraId="60005793" w14:textId="6AB13F9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Pescuit (Comitet specializat): a zecea reuniune</w:t>
            </w:r>
          </w:p>
        </w:tc>
      </w:tr>
      <w:tr w:rsidR="00792558" w:rsidRPr="00F006D0" w14:paraId="751D5DC4" w14:textId="77777777" w:rsidTr="00BF7CBB">
        <w:tc>
          <w:tcPr>
            <w:tcW w:w="1661" w:type="dxa"/>
            <w:vAlign w:val="center"/>
          </w:tcPr>
          <w:p w14:paraId="325B9202" w14:textId="49E14AF5"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22 mai</w:t>
            </w:r>
          </w:p>
        </w:tc>
        <w:tc>
          <w:tcPr>
            <w:tcW w:w="7442" w:type="dxa"/>
            <w:vAlign w:val="center"/>
          </w:tcPr>
          <w:p w14:paraId="7DFD2FBD" w14:textId="2CE0ABD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Securitatea aprovizionării cu energie (grup de lucru): a doua reuniune</w:t>
            </w:r>
          </w:p>
        </w:tc>
      </w:tr>
      <w:tr w:rsidR="00792558" w:rsidRPr="00F006D0" w14:paraId="729354C7" w14:textId="77777777" w:rsidTr="00BF7CBB">
        <w:tc>
          <w:tcPr>
            <w:tcW w:w="1661" w:type="dxa"/>
            <w:vAlign w:val="center"/>
          </w:tcPr>
          <w:p w14:paraId="02A32F01" w14:textId="63058799"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iunie</w:t>
            </w:r>
          </w:p>
        </w:tc>
        <w:tc>
          <w:tcPr>
            <w:tcW w:w="7442" w:type="dxa"/>
            <w:vAlign w:val="center"/>
          </w:tcPr>
          <w:p w14:paraId="494EE426" w14:textId="422C3A5B"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Produse ecologice (grup de lucru): a doua reuniune</w:t>
            </w:r>
          </w:p>
        </w:tc>
      </w:tr>
      <w:tr w:rsidR="00792558" w:rsidRPr="00F006D0" w14:paraId="26FD90DB" w14:textId="77777777" w:rsidTr="00BF7CBB">
        <w:tc>
          <w:tcPr>
            <w:tcW w:w="1661" w:type="dxa"/>
            <w:vAlign w:val="center"/>
          </w:tcPr>
          <w:p w14:paraId="1928585F" w14:textId="662FD65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5 iunie</w:t>
            </w:r>
          </w:p>
        </w:tc>
        <w:tc>
          <w:tcPr>
            <w:tcW w:w="7442" w:type="dxa"/>
            <w:vAlign w:val="center"/>
          </w:tcPr>
          <w:p w14:paraId="3BD2F493" w14:textId="35C78F33"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Medicamente (grup de lucru): a doua reuniune</w:t>
            </w:r>
          </w:p>
        </w:tc>
      </w:tr>
      <w:tr w:rsidR="00792558" w:rsidRPr="00F006D0" w14:paraId="21103B8A" w14:textId="77777777" w:rsidTr="00BF7CBB">
        <w:tc>
          <w:tcPr>
            <w:tcW w:w="1661" w:type="dxa"/>
            <w:vAlign w:val="center"/>
          </w:tcPr>
          <w:p w14:paraId="100C6E84" w14:textId="609C01FC"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11 iunie</w:t>
            </w:r>
          </w:p>
        </w:tc>
        <w:tc>
          <w:tcPr>
            <w:tcW w:w="7442" w:type="dxa"/>
            <w:vAlign w:val="center"/>
          </w:tcPr>
          <w:p w14:paraId="47F870E7" w14:textId="43CD5EB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Transport aerian (Comitet specializat): a cincea reuniune</w:t>
            </w:r>
          </w:p>
        </w:tc>
      </w:tr>
      <w:tr w:rsidR="00792558" w:rsidRPr="00F006D0" w14:paraId="5E2647EB" w14:textId="77777777" w:rsidTr="00BF7CBB">
        <w:tc>
          <w:tcPr>
            <w:tcW w:w="1661" w:type="dxa"/>
            <w:vAlign w:val="center"/>
          </w:tcPr>
          <w:p w14:paraId="06C8ED03" w14:textId="5C050241"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12 iunie </w:t>
            </w:r>
          </w:p>
        </w:tc>
        <w:tc>
          <w:tcPr>
            <w:tcW w:w="7442" w:type="dxa"/>
            <w:vAlign w:val="center"/>
          </w:tcPr>
          <w:p w14:paraId="65393154" w14:textId="38B73506"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Autovehicule și piese de schimb (grup de lucru): a doua reuniune</w:t>
            </w:r>
          </w:p>
        </w:tc>
      </w:tr>
      <w:tr w:rsidR="00792558" w:rsidRPr="00F006D0" w14:paraId="33E4B31E" w14:textId="77777777" w:rsidTr="00BF7CBB">
        <w:tc>
          <w:tcPr>
            <w:tcW w:w="1661" w:type="dxa"/>
            <w:vAlign w:val="center"/>
          </w:tcPr>
          <w:p w14:paraId="7DA1EB7E" w14:textId="47344C0F"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13 iunie</w:t>
            </w:r>
          </w:p>
        </w:tc>
        <w:tc>
          <w:tcPr>
            <w:tcW w:w="7442" w:type="dxa"/>
            <w:vAlign w:val="center"/>
          </w:tcPr>
          <w:p w14:paraId="47D43AE8" w14:textId="6779F6E7"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Grup consultativ intern al UE: a 15-a reuniune</w:t>
            </w:r>
          </w:p>
        </w:tc>
      </w:tr>
      <w:tr w:rsidR="00792558" w:rsidRPr="00F006D0" w14:paraId="24B66C51" w14:textId="77777777" w:rsidTr="00BF7CBB">
        <w:tc>
          <w:tcPr>
            <w:tcW w:w="1661" w:type="dxa"/>
            <w:vAlign w:val="center"/>
          </w:tcPr>
          <w:p w14:paraId="67B861C2" w14:textId="3C56AA20"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18 iunie</w:t>
            </w:r>
          </w:p>
        </w:tc>
        <w:tc>
          <w:tcPr>
            <w:tcW w:w="7442" w:type="dxa"/>
            <w:vAlign w:val="center"/>
          </w:tcPr>
          <w:p w14:paraId="278B43D8" w14:textId="4D01DFF2"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Energie (Comitetul specializat): a șasea reuniune</w:t>
            </w:r>
          </w:p>
        </w:tc>
      </w:tr>
      <w:tr w:rsidR="00792558" w:rsidRPr="00F006D0" w14:paraId="7B9A7173" w14:textId="77777777" w:rsidTr="00BF7CBB">
        <w:tc>
          <w:tcPr>
            <w:tcW w:w="1661" w:type="dxa"/>
            <w:vAlign w:val="center"/>
          </w:tcPr>
          <w:p w14:paraId="056637C5" w14:textId="63C95CD3"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24 iunie</w:t>
            </w:r>
          </w:p>
        </w:tc>
        <w:tc>
          <w:tcPr>
            <w:tcW w:w="7442" w:type="dxa"/>
            <w:vAlign w:val="center"/>
          </w:tcPr>
          <w:p w14:paraId="3D7639F6" w14:textId="5BF9338F" w:rsidR="00792558" w:rsidRPr="004E3ECA" w:rsidRDefault="00792558"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Forumul societății civile: a patra reuniune</w:t>
            </w:r>
          </w:p>
        </w:tc>
      </w:tr>
      <w:tr w:rsidR="008D7052" w:rsidRPr="00F006D0" w14:paraId="140DBCAC" w14:textId="77777777" w:rsidTr="00BF7CBB">
        <w:tc>
          <w:tcPr>
            <w:tcW w:w="1661" w:type="dxa"/>
            <w:vAlign w:val="center"/>
          </w:tcPr>
          <w:p w14:paraId="6EFF35DF" w14:textId="102C5E0A"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16 iulie</w:t>
            </w:r>
          </w:p>
        </w:tc>
        <w:tc>
          <w:tcPr>
            <w:tcW w:w="7442" w:type="dxa"/>
            <w:vAlign w:val="center"/>
          </w:tcPr>
          <w:p w14:paraId="7747AEE7" w14:textId="0A0ABED0"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Pescuit (grup de lucru): a zecea reuniune</w:t>
            </w:r>
          </w:p>
        </w:tc>
      </w:tr>
      <w:tr w:rsidR="008D7052" w:rsidRPr="00F006D0" w14:paraId="13F6DD8B" w14:textId="77777777" w:rsidTr="00BF7CBB">
        <w:tc>
          <w:tcPr>
            <w:tcW w:w="1661" w:type="dxa"/>
            <w:vAlign w:val="center"/>
          </w:tcPr>
          <w:p w14:paraId="46588D13" w14:textId="22A5CC04"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17 septembrie</w:t>
            </w:r>
          </w:p>
        </w:tc>
        <w:tc>
          <w:tcPr>
            <w:tcW w:w="7442" w:type="dxa"/>
            <w:vAlign w:val="center"/>
          </w:tcPr>
          <w:p w14:paraId="4E28F2C9" w14:textId="3D839926"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Pescuit (Comitet specializat): a 11-a reuniune</w:t>
            </w:r>
          </w:p>
        </w:tc>
      </w:tr>
      <w:tr w:rsidR="008D7052" w:rsidRPr="00F006D0" w14:paraId="7C654B80" w14:textId="77777777" w:rsidTr="00BF7CBB">
        <w:tc>
          <w:tcPr>
            <w:tcW w:w="1661" w:type="dxa"/>
            <w:vAlign w:val="center"/>
          </w:tcPr>
          <w:p w14:paraId="009DCCC8" w14:textId="7BA59EDC" w:rsidR="008D7052" w:rsidRPr="004E3ECA" w:rsidRDefault="00E453DD"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29 septembrie</w:t>
            </w:r>
          </w:p>
        </w:tc>
        <w:tc>
          <w:tcPr>
            <w:tcW w:w="7442" w:type="dxa"/>
            <w:vAlign w:val="center"/>
          </w:tcPr>
          <w:p w14:paraId="40C5B95F" w14:textId="7C971ED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Măsuri sanitare și fitosanitare (Comitetul specializat în comerț): a cincea reuniune</w:t>
            </w:r>
          </w:p>
        </w:tc>
      </w:tr>
      <w:tr w:rsidR="008D7052" w:rsidRPr="00F006D0" w14:paraId="28E4CDE8" w14:textId="77777777" w:rsidTr="00BF7CBB">
        <w:tc>
          <w:tcPr>
            <w:tcW w:w="1661" w:type="dxa"/>
            <w:vAlign w:val="center"/>
          </w:tcPr>
          <w:p w14:paraId="550E5892" w14:textId="05695931"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 octombrie</w:t>
            </w:r>
          </w:p>
        </w:tc>
        <w:tc>
          <w:tcPr>
            <w:tcW w:w="7442" w:type="dxa"/>
            <w:vAlign w:val="center"/>
          </w:tcPr>
          <w:p w14:paraId="2268C89C" w14:textId="4342D8C1"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Forumul de reglementare financiară UE-Regatul Unit: a patra reuniune</w:t>
            </w:r>
          </w:p>
        </w:tc>
      </w:tr>
      <w:tr w:rsidR="008D7052" w:rsidRPr="00F006D0" w14:paraId="3E9AD88C" w14:textId="77777777" w:rsidTr="00BF7CBB">
        <w:tc>
          <w:tcPr>
            <w:tcW w:w="1661" w:type="dxa"/>
            <w:vAlign w:val="center"/>
          </w:tcPr>
          <w:p w14:paraId="6CBC10D3" w14:textId="2EBC714D"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 octombrie</w:t>
            </w:r>
          </w:p>
        </w:tc>
        <w:tc>
          <w:tcPr>
            <w:tcW w:w="7442" w:type="dxa"/>
            <w:vAlign w:val="center"/>
          </w:tcPr>
          <w:p w14:paraId="05DE5CCD" w14:textId="79181232"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Cooperarea administrativă în domeniul TVA și recuperarea impozitelor și a taxelor (Comitetul specializat în comerț): a cincea reuniune</w:t>
            </w:r>
          </w:p>
        </w:tc>
      </w:tr>
      <w:tr w:rsidR="008D7052" w:rsidRPr="00F006D0" w14:paraId="0394CCF9" w14:textId="77777777" w:rsidTr="00BF7CBB">
        <w:tc>
          <w:tcPr>
            <w:tcW w:w="1661" w:type="dxa"/>
            <w:vAlign w:val="center"/>
          </w:tcPr>
          <w:p w14:paraId="557255EA" w14:textId="1621FBEF"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8 octombrie</w:t>
            </w:r>
          </w:p>
        </w:tc>
        <w:tc>
          <w:tcPr>
            <w:tcW w:w="7442" w:type="dxa"/>
            <w:vAlign w:val="center"/>
          </w:tcPr>
          <w:p w14:paraId="1E56D0CB" w14:textId="2B7F01B3"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Achiziții publice (Comitetul specializat în comerț): a cincea reuniune</w:t>
            </w:r>
          </w:p>
        </w:tc>
      </w:tr>
      <w:tr w:rsidR="008D7052" w:rsidRPr="00F006D0" w14:paraId="5BB42817" w14:textId="77777777" w:rsidTr="00BF7CBB">
        <w:tc>
          <w:tcPr>
            <w:tcW w:w="1661" w:type="dxa"/>
            <w:vAlign w:val="center"/>
          </w:tcPr>
          <w:p w14:paraId="72B0C72B" w14:textId="5E6B46D0" w:rsidR="008D7052" w:rsidRPr="004E3ECA" w:rsidRDefault="001A2F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9 octombrie</w:t>
            </w:r>
          </w:p>
        </w:tc>
        <w:tc>
          <w:tcPr>
            <w:tcW w:w="7442" w:type="dxa"/>
            <w:vAlign w:val="center"/>
          </w:tcPr>
          <w:p w14:paraId="02D5B602" w14:textId="2972F17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Proprietatea intelectuală (Comitetul specializat în comerț): a cincea reuniune</w:t>
            </w:r>
          </w:p>
        </w:tc>
      </w:tr>
      <w:tr w:rsidR="008D7052" w:rsidRPr="00F006D0" w14:paraId="038D95FF" w14:textId="77777777" w:rsidTr="00BF7CBB">
        <w:tc>
          <w:tcPr>
            <w:tcW w:w="1661" w:type="dxa"/>
            <w:vAlign w:val="center"/>
          </w:tcPr>
          <w:p w14:paraId="6067EC4A" w14:textId="1041D063"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15 octombrie</w:t>
            </w:r>
          </w:p>
        </w:tc>
        <w:tc>
          <w:tcPr>
            <w:tcW w:w="7442" w:type="dxa"/>
            <w:vAlign w:val="center"/>
          </w:tcPr>
          <w:p w14:paraId="0DE0C90C" w14:textId="1776D5C8" w:rsidR="008D7052" w:rsidRPr="004E3ECA" w:rsidRDefault="008D7052"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Condiții echitabile pentru o concurență deschisă și loială și dezvoltarea durabilă (Comitetul specializat în comerț): a cincea reuniune</w:t>
            </w:r>
          </w:p>
        </w:tc>
      </w:tr>
      <w:tr w:rsidR="008D7052" w:rsidRPr="00F006D0" w14:paraId="2692AC4C" w14:textId="77777777" w:rsidTr="00BF7CBB">
        <w:tc>
          <w:tcPr>
            <w:tcW w:w="1661" w:type="dxa"/>
            <w:vAlign w:val="center"/>
          </w:tcPr>
          <w:p w14:paraId="77DAF0B2" w14:textId="4CA9C0C1"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16 octombrie</w:t>
            </w:r>
          </w:p>
        </w:tc>
        <w:tc>
          <w:tcPr>
            <w:tcW w:w="7442" w:type="dxa"/>
            <w:vAlign w:val="center"/>
          </w:tcPr>
          <w:p w14:paraId="2550C497" w14:textId="189BB513"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Cooperarea vamală și regulile de origine (Comitetul specializat în comerț): a cincea reuniune</w:t>
            </w:r>
          </w:p>
        </w:tc>
      </w:tr>
      <w:tr w:rsidR="008D7052" w:rsidRPr="00F006D0" w14:paraId="55F8B2AF" w14:textId="77777777" w:rsidTr="00BF7CBB">
        <w:tc>
          <w:tcPr>
            <w:tcW w:w="1661" w:type="dxa"/>
            <w:vAlign w:val="center"/>
          </w:tcPr>
          <w:p w14:paraId="2D83A036" w14:textId="78EABCEA"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22 octombrie</w:t>
            </w:r>
          </w:p>
        </w:tc>
        <w:tc>
          <w:tcPr>
            <w:tcW w:w="7442" w:type="dxa"/>
            <w:vAlign w:val="center"/>
          </w:tcPr>
          <w:p w14:paraId="2DA60ACA" w14:textId="40EBD27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Bariere tehnice în calea comerțului (Comitetul specializat în comerț): a cincea reuniune</w:t>
            </w:r>
          </w:p>
        </w:tc>
      </w:tr>
      <w:tr w:rsidR="008D7052" w:rsidRPr="00F006D0" w14:paraId="36FF98D9" w14:textId="77777777" w:rsidTr="00BF7CBB">
        <w:tc>
          <w:tcPr>
            <w:tcW w:w="1661" w:type="dxa"/>
            <w:vAlign w:val="center"/>
          </w:tcPr>
          <w:p w14:paraId="7BE4C7A5" w14:textId="0705B185"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23 octombrie</w:t>
            </w:r>
          </w:p>
        </w:tc>
        <w:tc>
          <w:tcPr>
            <w:tcW w:w="7442" w:type="dxa"/>
            <w:vAlign w:val="center"/>
          </w:tcPr>
          <w:p w14:paraId="12CBFEEE" w14:textId="06979301"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Servicii, investiții și comerț digital (Comitetul specializat în comerț): a cincea reuniune</w:t>
            </w:r>
          </w:p>
        </w:tc>
      </w:tr>
      <w:tr w:rsidR="0050341E" w:rsidRPr="00F006D0" w14:paraId="14F14061" w14:textId="77777777" w:rsidTr="00BF7CBB">
        <w:tc>
          <w:tcPr>
            <w:tcW w:w="1661" w:type="dxa"/>
            <w:vAlign w:val="center"/>
          </w:tcPr>
          <w:p w14:paraId="5034C046" w14:textId="490CF111" w:rsidR="0050341E" w:rsidRDefault="0050341E" w:rsidP="0050341E">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30 octombrie</w:t>
            </w:r>
          </w:p>
        </w:tc>
        <w:tc>
          <w:tcPr>
            <w:tcW w:w="7442" w:type="dxa"/>
            <w:vAlign w:val="center"/>
          </w:tcPr>
          <w:p w14:paraId="12C11938" w14:textId="1088F5B7" w:rsidR="0050341E" w:rsidRPr="004E3ECA" w:rsidRDefault="0050341E" w:rsidP="0050341E">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Transport rutier (Comitetul specializat): a cincea reuniune </w:t>
            </w:r>
          </w:p>
        </w:tc>
      </w:tr>
      <w:tr w:rsidR="008D7052" w:rsidRPr="00F006D0" w14:paraId="03ADF3D4" w14:textId="77777777" w:rsidTr="00BF7CBB">
        <w:tc>
          <w:tcPr>
            <w:tcW w:w="1661" w:type="dxa"/>
            <w:vAlign w:val="center"/>
          </w:tcPr>
          <w:p w14:paraId="03023307" w14:textId="62AC5FAB"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6 noiembrie</w:t>
            </w:r>
          </w:p>
        </w:tc>
        <w:tc>
          <w:tcPr>
            <w:tcW w:w="7442" w:type="dxa"/>
            <w:vAlign w:val="center"/>
          </w:tcPr>
          <w:p w14:paraId="066C4C0B" w14:textId="436FCE78"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Mărfuri (Comitetul specializat în comerț): a cincea reuniune</w:t>
            </w:r>
          </w:p>
        </w:tc>
      </w:tr>
      <w:tr w:rsidR="00DB0117" w:rsidRPr="00F006D0" w14:paraId="27D0B194" w14:textId="77777777" w:rsidTr="00BF7CBB">
        <w:tc>
          <w:tcPr>
            <w:tcW w:w="1661" w:type="dxa"/>
            <w:vAlign w:val="center"/>
          </w:tcPr>
          <w:p w14:paraId="2C12FA8E" w14:textId="291BA340" w:rsidR="00DB0117" w:rsidRDefault="00DB0117"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7 noiembrie</w:t>
            </w:r>
          </w:p>
        </w:tc>
        <w:tc>
          <w:tcPr>
            <w:tcW w:w="7442" w:type="dxa"/>
            <w:vAlign w:val="center"/>
          </w:tcPr>
          <w:p w14:paraId="6F22DEF8" w14:textId="24528553" w:rsidR="00DB0117" w:rsidRPr="004E3ECA" w:rsidRDefault="00DB0117" w:rsidP="00DB0117">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Energie (Comitetul specializat): a șaptea reuniune</w:t>
            </w:r>
          </w:p>
        </w:tc>
      </w:tr>
      <w:tr w:rsidR="008D7052" w:rsidRPr="00F006D0" w14:paraId="3955CBC1" w14:textId="77777777" w:rsidTr="00BF7CBB">
        <w:tc>
          <w:tcPr>
            <w:tcW w:w="1661" w:type="dxa"/>
            <w:vAlign w:val="center"/>
          </w:tcPr>
          <w:p w14:paraId="7505E392" w14:textId="72A5778D"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12 noiembrie</w:t>
            </w:r>
          </w:p>
        </w:tc>
        <w:tc>
          <w:tcPr>
            <w:tcW w:w="7442" w:type="dxa"/>
            <w:vAlign w:val="center"/>
          </w:tcPr>
          <w:p w14:paraId="7DF84AAD" w14:textId="2B767D29"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Cooperarea în materie de reglementare (Comitetul specializat în comerț): a cincea reuniune</w:t>
            </w:r>
          </w:p>
        </w:tc>
      </w:tr>
      <w:tr w:rsidR="008D7052" w:rsidRPr="00F006D0" w14:paraId="7A4B7683" w14:textId="77777777" w:rsidTr="00BF7CBB">
        <w:tc>
          <w:tcPr>
            <w:tcW w:w="1661" w:type="dxa"/>
            <w:vAlign w:val="center"/>
          </w:tcPr>
          <w:p w14:paraId="7577DF5A" w14:textId="5756D7B8" w:rsidR="008D7052" w:rsidRPr="00BE46DE" w:rsidRDefault="00BE46DE"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18-19 noiembrie</w:t>
            </w:r>
          </w:p>
        </w:tc>
        <w:tc>
          <w:tcPr>
            <w:tcW w:w="7442" w:type="dxa"/>
            <w:vAlign w:val="center"/>
          </w:tcPr>
          <w:p w14:paraId="12C06766" w14:textId="2D609A12" w:rsidR="008D7052" w:rsidRPr="00BE46DE"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Adunarea Parlamentară a Parteneriatului: a șasea reuniune</w:t>
            </w:r>
          </w:p>
        </w:tc>
      </w:tr>
      <w:tr w:rsidR="00153F3B" w:rsidRPr="00F006D0" w14:paraId="0E4A58C2" w14:textId="77777777" w:rsidTr="00BF7CBB">
        <w:tc>
          <w:tcPr>
            <w:tcW w:w="1661" w:type="dxa"/>
            <w:vAlign w:val="center"/>
          </w:tcPr>
          <w:p w14:paraId="6E5F0CF1" w14:textId="75D116AF" w:rsidR="00153F3B"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21 noiembrie</w:t>
            </w:r>
          </w:p>
        </w:tc>
        <w:tc>
          <w:tcPr>
            <w:tcW w:w="7442" w:type="dxa"/>
            <w:vAlign w:val="center"/>
          </w:tcPr>
          <w:p w14:paraId="4F807661" w14:textId="113061AD" w:rsidR="00153F3B" w:rsidRPr="004E3ECA"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Dialogul privind regimurile fiscale dăunătoare: a doua reuniune</w:t>
            </w:r>
          </w:p>
        </w:tc>
      </w:tr>
      <w:tr w:rsidR="008D7052" w:rsidRPr="00F006D0" w14:paraId="15E7374F" w14:textId="77777777" w:rsidTr="00BF7CBB">
        <w:tc>
          <w:tcPr>
            <w:tcW w:w="1661" w:type="dxa"/>
            <w:vAlign w:val="center"/>
          </w:tcPr>
          <w:p w14:paraId="2AF1248C" w14:textId="016166F4"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26 noiembrie</w:t>
            </w:r>
          </w:p>
        </w:tc>
        <w:tc>
          <w:tcPr>
            <w:tcW w:w="7442" w:type="dxa"/>
            <w:vAlign w:val="center"/>
          </w:tcPr>
          <w:p w14:paraId="0013E28F" w14:textId="62417D62"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Siguranța aviației (Comitetul specializat): a cincea reuniune</w:t>
            </w:r>
          </w:p>
        </w:tc>
      </w:tr>
      <w:tr w:rsidR="008D7052" w:rsidRPr="00F006D0" w14:paraId="0420BB1D" w14:textId="77777777" w:rsidTr="00BF7CBB">
        <w:tc>
          <w:tcPr>
            <w:tcW w:w="1661" w:type="dxa"/>
            <w:vAlign w:val="center"/>
          </w:tcPr>
          <w:p w14:paraId="42F1AFA1" w14:textId="2CEC0C39" w:rsidR="008D7052" w:rsidRPr="004E3ECA" w:rsidRDefault="00DB0117"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 decembrie</w:t>
            </w:r>
          </w:p>
        </w:tc>
        <w:tc>
          <w:tcPr>
            <w:tcW w:w="7442" w:type="dxa"/>
            <w:vAlign w:val="center"/>
          </w:tcPr>
          <w:p w14:paraId="4CEB90D9" w14:textId="76B6F8A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Coordonarea sistemelor de securitate socială (Comitet specializat): a cincea reuniune</w:t>
            </w:r>
          </w:p>
        </w:tc>
      </w:tr>
      <w:tr w:rsidR="008D7052" w:rsidRPr="00F006D0" w14:paraId="430CC0E3" w14:textId="77777777" w:rsidTr="00BF7CBB">
        <w:tc>
          <w:tcPr>
            <w:tcW w:w="1661" w:type="dxa"/>
            <w:vAlign w:val="center"/>
          </w:tcPr>
          <w:p w14:paraId="3D18A43F" w14:textId="37EF8E22" w:rsidR="008D7052" w:rsidRPr="004E3ECA" w:rsidRDefault="00206650"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decembrie</w:t>
            </w:r>
          </w:p>
        </w:tc>
        <w:tc>
          <w:tcPr>
            <w:tcW w:w="7442" w:type="dxa"/>
            <w:vAlign w:val="center"/>
          </w:tcPr>
          <w:p w14:paraId="7561C699" w14:textId="5B508E1E"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 xml:space="preserve">Comitetul de parteneriat pentru comerț: a cincea reuniune </w:t>
            </w:r>
          </w:p>
        </w:tc>
      </w:tr>
      <w:tr w:rsidR="008D7052" w:rsidRPr="00F006D0" w14:paraId="49552707" w14:textId="77777777" w:rsidTr="00BF7CBB">
        <w:tc>
          <w:tcPr>
            <w:tcW w:w="1661" w:type="dxa"/>
            <w:vAlign w:val="center"/>
          </w:tcPr>
          <w:p w14:paraId="1368C1DA" w14:textId="5B9563F1" w:rsidR="008D7052" w:rsidRPr="004E3ECA" w:rsidRDefault="0050341E"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4 decembrie</w:t>
            </w:r>
          </w:p>
        </w:tc>
        <w:tc>
          <w:tcPr>
            <w:tcW w:w="7442" w:type="dxa"/>
            <w:vAlign w:val="center"/>
          </w:tcPr>
          <w:p w14:paraId="34E17BBF" w14:textId="62C70CCF" w:rsidR="008D7052" w:rsidRPr="004E3ECA"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Cooperarea în materie de asigurare a respectării legii și cooperarea judiciară (Comitet specializat): a cincea reuniune</w:t>
            </w:r>
          </w:p>
        </w:tc>
      </w:tr>
      <w:tr w:rsidR="008D7052" w:rsidRPr="00F006D0" w14:paraId="7032F7F9" w14:textId="77777777" w:rsidTr="00BF7CBB">
        <w:tc>
          <w:tcPr>
            <w:tcW w:w="1661" w:type="dxa"/>
            <w:vAlign w:val="center"/>
          </w:tcPr>
          <w:p w14:paraId="568E3695" w14:textId="756F568C" w:rsidR="008D7052" w:rsidRPr="004E3ECA" w:rsidRDefault="00153F3B" w:rsidP="00470A6D">
            <w:pPr>
              <w:spacing w:before="100" w:beforeAutospacing="1" w:after="100" w:afterAutospacing="1"/>
              <w:rPr>
                <w:rFonts w:ascii="Times New Roman" w:hAnsi="Times New Roman" w:cs="Times New Roman"/>
                <w:noProof/>
                <w:sz w:val="24"/>
                <w:szCs w:val="24"/>
              </w:rPr>
            </w:pPr>
            <w:bookmarkStart w:id="86" w:name="_Hlk215156625"/>
            <w:r>
              <w:rPr>
                <w:rFonts w:ascii="Times New Roman" w:hAnsi="Times New Roman"/>
                <w:noProof/>
                <w:sz w:val="24"/>
              </w:rPr>
              <w:t>9-10 decembrie</w:t>
            </w:r>
          </w:p>
        </w:tc>
        <w:tc>
          <w:tcPr>
            <w:tcW w:w="7442" w:type="dxa"/>
            <w:vAlign w:val="center"/>
          </w:tcPr>
          <w:p w14:paraId="28D0E020" w14:textId="5484F9C2" w:rsidR="008D7052" w:rsidRPr="00153F3B" w:rsidRDefault="008D7052"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Dialogul privind chestiunile cibernetice - Articolul 703 din ACC: a treia reuniune</w:t>
            </w:r>
          </w:p>
        </w:tc>
      </w:tr>
      <w:tr w:rsidR="008D7052" w:rsidRPr="00F006D0" w14:paraId="344F8DE6" w14:textId="77777777" w:rsidTr="00BF7CBB">
        <w:tc>
          <w:tcPr>
            <w:tcW w:w="1661" w:type="dxa"/>
            <w:vAlign w:val="center"/>
          </w:tcPr>
          <w:p w14:paraId="0706EB29" w14:textId="52269998" w:rsidR="008D7052" w:rsidRPr="004E3ECA"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15 decembrie</w:t>
            </w:r>
          </w:p>
        </w:tc>
        <w:tc>
          <w:tcPr>
            <w:tcW w:w="7442" w:type="dxa"/>
            <w:vAlign w:val="center"/>
          </w:tcPr>
          <w:p w14:paraId="2F78472E" w14:textId="7E5E53B4" w:rsidR="008D7052" w:rsidRPr="00153F3B" w:rsidRDefault="00153F3B"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Participarea la programele Uniunii (Comitetul specializat): a cincea reuniune</w:t>
            </w:r>
          </w:p>
        </w:tc>
      </w:tr>
    </w:tbl>
    <w:p w14:paraId="5105B79E" w14:textId="77777777" w:rsidR="00DF1978" w:rsidRDefault="00DF1978"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bookmarkStart w:id="87" w:name="_Toc185413400"/>
      <w:bookmarkStart w:id="88" w:name="_Toc204769336"/>
      <w:bookmarkEnd w:id="86"/>
    </w:p>
    <w:p w14:paraId="433041FF" w14:textId="77777777" w:rsidR="00DF1978" w:rsidRDefault="00DF1978" w:rsidP="00470A6D">
      <w:pPr>
        <w:spacing w:before="100" w:beforeAutospacing="1" w:after="100" w:afterAutospacing="1" w:line="240" w:lineRule="auto"/>
        <w:rPr>
          <w:rFonts w:ascii="Times New Roman" w:eastAsiaTheme="majorEastAsia" w:hAnsi="Times New Roman" w:cs="Times New Roman"/>
          <w:b/>
          <w:bCs/>
          <w:noProof/>
          <w:sz w:val="32"/>
          <w:szCs w:val="32"/>
        </w:rPr>
      </w:pPr>
      <w:r>
        <w:rPr>
          <w:noProof/>
        </w:rPr>
        <w:br w:type="page"/>
      </w:r>
    </w:p>
    <w:p w14:paraId="11EBED9A" w14:textId="0C6E6B82" w:rsidR="001A76E8" w:rsidRPr="00157ED4" w:rsidRDefault="7AFBC456" w:rsidP="00470A6D">
      <w:pPr>
        <w:pStyle w:val="Heading1"/>
        <w:keepNext w:val="0"/>
        <w:keepLines w:val="0"/>
        <w:spacing w:before="100" w:beforeAutospacing="1" w:after="100" w:afterAutospacing="1" w:line="240" w:lineRule="auto"/>
        <w:rPr>
          <w:rFonts w:ascii="Times New Roman" w:hAnsi="Times New Roman" w:cs="Times New Roman"/>
          <w:b/>
          <w:bCs/>
          <w:noProof/>
          <w:color w:val="auto"/>
          <w:sz w:val="31"/>
          <w:szCs w:val="31"/>
        </w:rPr>
      </w:pPr>
      <w:bookmarkStart w:id="89" w:name="_Toc226534612"/>
      <w:r>
        <w:rPr>
          <w:rFonts w:ascii="Times New Roman" w:hAnsi="Times New Roman"/>
          <w:b/>
          <w:noProof/>
          <w:color w:val="auto"/>
        </w:rPr>
        <w:t>Anexa 2:</w:t>
      </w:r>
      <w:r>
        <w:rPr>
          <w:rFonts w:ascii="Times New Roman" w:hAnsi="Times New Roman"/>
          <w:b/>
          <w:noProof/>
          <w:color w:val="auto"/>
          <w:sz w:val="31"/>
        </w:rPr>
        <w:t xml:space="preserve"> </w:t>
      </w:r>
      <w:r>
        <w:rPr>
          <w:rFonts w:ascii="Times New Roman" w:hAnsi="Times New Roman"/>
          <w:b/>
          <w:noProof/>
          <w:color w:val="auto"/>
        </w:rPr>
        <w:t>Decizii, recomandări și declarații adoptate de</w:t>
      </w:r>
      <w:r>
        <w:rPr>
          <w:rFonts w:ascii="Times New Roman" w:hAnsi="Times New Roman"/>
          <w:b/>
          <w:noProof/>
          <w:color w:val="auto"/>
          <w:sz w:val="31"/>
        </w:rPr>
        <w:t xml:space="preserve"> Consiliul de parteneriat sau de comitetele instituite prin ACC</w:t>
      </w:r>
      <w:bookmarkStart w:id="90" w:name="_Hlk187697968"/>
      <w:bookmarkEnd w:id="87"/>
      <w:bookmarkEnd w:id="88"/>
      <w:bookmarkEnd w:id="89"/>
    </w:p>
    <w:tbl>
      <w:tblPr>
        <w:tblStyle w:val="TableGrid"/>
        <w:tblW w:w="0" w:type="auto"/>
        <w:tblInd w:w="-34" w:type="dxa"/>
        <w:tblLook w:val="04A0" w:firstRow="1" w:lastRow="0" w:firstColumn="1" w:lastColumn="0" w:noHBand="0" w:noVBand="1"/>
      </w:tblPr>
      <w:tblGrid>
        <w:gridCol w:w="1560"/>
        <w:gridCol w:w="7716"/>
      </w:tblGrid>
      <w:tr w:rsidR="00F006D0" w:rsidRPr="00F006D0" w14:paraId="4D25622D" w14:textId="77777777" w:rsidTr="008C47FD">
        <w:tc>
          <w:tcPr>
            <w:tcW w:w="1560" w:type="dxa"/>
            <w:shd w:val="clear" w:color="auto" w:fill="D0CECE" w:themeFill="background2" w:themeFillShade="E6"/>
          </w:tcPr>
          <w:p w14:paraId="760E1FFE"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Data</w:t>
            </w:r>
          </w:p>
        </w:tc>
        <w:tc>
          <w:tcPr>
            <w:tcW w:w="7716" w:type="dxa"/>
            <w:shd w:val="clear" w:color="auto" w:fill="D0CECE" w:themeFill="background2" w:themeFillShade="E6"/>
          </w:tcPr>
          <w:p w14:paraId="16EE404C" w14:textId="77777777" w:rsidR="00040652" w:rsidRPr="00F006D0" w:rsidRDefault="00040652"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Decizie sau recomandare</w:t>
            </w:r>
          </w:p>
        </w:tc>
      </w:tr>
      <w:tr w:rsidR="00F67C44" w:rsidRPr="00F006D0" w14:paraId="0A820F82" w14:textId="77777777" w:rsidTr="008C47FD">
        <w:tc>
          <w:tcPr>
            <w:tcW w:w="1560" w:type="dxa"/>
          </w:tcPr>
          <w:p w14:paraId="6F1F37D8" w14:textId="29078AFA" w:rsidR="00F67C44" w:rsidRDefault="00853323"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18 iunie 2025</w:t>
            </w:r>
          </w:p>
        </w:tc>
        <w:tc>
          <w:tcPr>
            <w:tcW w:w="7716" w:type="dxa"/>
          </w:tcPr>
          <w:p w14:paraId="1BAE5866" w14:textId="104A0925" w:rsidR="00F67C44" w:rsidRPr="00F67C44" w:rsidRDefault="00F67C44"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Decizia nr. 1/2025 a Consiliului de parteneriat de interpretare a articolului</w:t>
            </w:r>
            <w:r w:rsidR="005270FD">
              <w:rPr>
                <w:rFonts w:ascii="Times New Roman" w:hAnsi="Times New Roman"/>
                <w:noProof/>
                <w:sz w:val="24"/>
              </w:rPr>
              <w:t> </w:t>
            </w:r>
            <w:r>
              <w:rPr>
                <w:rFonts w:ascii="Times New Roman" w:hAnsi="Times New Roman"/>
                <w:noProof/>
                <w:sz w:val="24"/>
              </w:rPr>
              <w:t>508 alineatul (2) litera (d) din ACC</w:t>
            </w:r>
            <w:r>
              <w:rPr>
                <w:rStyle w:val="FootnoteReference"/>
                <w:rFonts w:ascii="Times New Roman" w:eastAsia="Times New Roman" w:hAnsi="Times New Roman" w:cs="Times New Roman"/>
                <w:noProof/>
                <w:sz w:val="24"/>
                <w:szCs w:val="24"/>
              </w:rPr>
              <w:footnoteReference w:id="59"/>
            </w:r>
          </w:p>
        </w:tc>
      </w:tr>
      <w:tr w:rsidR="00F006D0" w:rsidRPr="00F006D0" w14:paraId="79A78066" w14:textId="77777777" w:rsidTr="008C47FD">
        <w:tc>
          <w:tcPr>
            <w:tcW w:w="1560" w:type="dxa"/>
          </w:tcPr>
          <w:p w14:paraId="7496C444" w14:textId="0CF631AE" w:rsidR="00040652" w:rsidRPr="00F006D0" w:rsidRDefault="00F67C44"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iunie 2025</w:t>
            </w:r>
          </w:p>
        </w:tc>
        <w:tc>
          <w:tcPr>
            <w:tcW w:w="7716" w:type="dxa"/>
          </w:tcPr>
          <w:p w14:paraId="56F46A86" w14:textId="109286CE" w:rsidR="00040652" w:rsidRPr="00F006D0" w:rsidRDefault="00F67C44" w:rsidP="00470A6D">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Decizia nr. 2/2025 a Consiliului de parteneriat de interpretare a articolului 331 alineatul (2) și de prelungire a aplicării părții a doua rubrica întâi titlul VIII privind energia din Acordul comercial și de cooperare</w:t>
            </w:r>
            <w:r>
              <w:rPr>
                <w:rStyle w:val="FootnoteReference"/>
                <w:rFonts w:ascii="Times New Roman" w:hAnsi="Times New Roman" w:cs="Times New Roman"/>
                <w:noProof/>
                <w:sz w:val="24"/>
                <w:szCs w:val="24"/>
              </w:rPr>
              <w:footnoteReference w:id="60"/>
            </w:r>
          </w:p>
        </w:tc>
      </w:tr>
      <w:tr w:rsidR="00764227" w:rsidRPr="00F006D0" w14:paraId="3B3180ED" w14:textId="77777777" w:rsidTr="008C47FD">
        <w:tc>
          <w:tcPr>
            <w:tcW w:w="1560" w:type="dxa"/>
          </w:tcPr>
          <w:p w14:paraId="29F5D493" w14:textId="061C8D01" w:rsidR="00764227" w:rsidRPr="00F006D0" w:rsidRDefault="00764227"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iunie 2025</w:t>
            </w:r>
          </w:p>
        </w:tc>
        <w:tc>
          <w:tcPr>
            <w:tcW w:w="7716" w:type="dxa"/>
          </w:tcPr>
          <w:p w14:paraId="56E8C745" w14:textId="3ABE36F7" w:rsidR="00764227" w:rsidRPr="00F006D0" w:rsidRDefault="00764227"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Declarația comună 1/2025 a Uniunii și a Regatului Unit adoptată în cadrul Consiliului de parteneriat constituit prin Acordul comercial și de cooperare</w:t>
            </w:r>
            <w:r>
              <w:rPr>
                <w:rStyle w:val="FootnoteReference"/>
                <w:rFonts w:ascii="Times New Roman" w:eastAsia="Times New Roman" w:hAnsi="Times New Roman" w:cs="Times New Roman"/>
                <w:noProof/>
                <w:sz w:val="24"/>
                <w:szCs w:val="24"/>
              </w:rPr>
              <w:footnoteReference w:id="61"/>
            </w:r>
          </w:p>
        </w:tc>
      </w:tr>
      <w:tr w:rsidR="00F006D0" w:rsidRPr="00F006D0" w14:paraId="0422E4B9" w14:textId="77777777" w:rsidTr="008C47FD">
        <w:tc>
          <w:tcPr>
            <w:tcW w:w="1560" w:type="dxa"/>
          </w:tcPr>
          <w:p w14:paraId="752BDC49" w14:textId="24BB8A4C" w:rsidR="00040652" w:rsidRPr="00F006D0" w:rsidRDefault="003071B8"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19 iunie 2025</w:t>
            </w:r>
          </w:p>
        </w:tc>
        <w:tc>
          <w:tcPr>
            <w:tcW w:w="7716" w:type="dxa"/>
          </w:tcPr>
          <w:p w14:paraId="2EAED4B5" w14:textId="6B60E169" w:rsidR="00040652" w:rsidRPr="00F006D0" w:rsidRDefault="00A22C1C"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Decizia nr. 1/2025 a Comitetului specializat privind pescuitul referitoare la dispozițiile privind nivelul și condițiile de acces acordate de fiecare parte navelor celeilalte părți pentru a pescui în apele sale în perioada 1 iulie 2026-30 iunie 2038</w:t>
            </w:r>
            <w:r>
              <w:rPr>
                <w:rStyle w:val="FootnoteReference"/>
                <w:rFonts w:ascii="Times New Roman" w:eastAsia="Times New Roman" w:hAnsi="Times New Roman" w:cs="Times New Roman"/>
                <w:noProof/>
                <w:sz w:val="24"/>
                <w:szCs w:val="24"/>
              </w:rPr>
              <w:footnoteReference w:id="62"/>
            </w:r>
          </w:p>
        </w:tc>
      </w:tr>
      <w:tr w:rsidR="00F006D0" w:rsidRPr="00F006D0" w14:paraId="4E0A5D17" w14:textId="77777777" w:rsidTr="008C47FD">
        <w:tc>
          <w:tcPr>
            <w:tcW w:w="1560" w:type="dxa"/>
          </w:tcPr>
          <w:p w14:paraId="4277D2B8" w14:textId="0157DF29" w:rsidR="00C76B39" w:rsidRPr="007049DB" w:rsidRDefault="007049DB" w:rsidP="00470A6D">
            <w:pPr>
              <w:spacing w:before="100" w:beforeAutospacing="1" w:after="100" w:afterAutospacing="1"/>
              <w:rPr>
                <w:rFonts w:ascii="Times New Roman" w:eastAsia="Times New Roman" w:hAnsi="Times New Roman" w:cs="Times New Roman"/>
                <w:noProof/>
                <w:sz w:val="24"/>
                <w:szCs w:val="24"/>
                <w:highlight w:val="yellow"/>
              </w:rPr>
            </w:pPr>
            <w:r>
              <w:rPr>
                <w:rFonts w:ascii="Times New Roman" w:hAnsi="Times New Roman"/>
                <w:noProof/>
                <w:sz w:val="24"/>
              </w:rPr>
              <w:t>31 iulie 2025</w:t>
            </w:r>
          </w:p>
        </w:tc>
        <w:tc>
          <w:tcPr>
            <w:tcW w:w="7716" w:type="dxa"/>
          </w:tcPr>
          <w:p w14:paraId="09DBBDBB" w14:textId="031F2083" w:rsidR="00C76B39" w:rsidRPr="007049DB" w:rsidRDefault="00A75372" w:rsidP="00470A6D">
            <w:pPr>
              <w:spacing w:before="100" w:beforeAutospacing="1" w:after="100" w:afterAutospacing="1"/>
              <w:jc w:val="both"/>
              <w:rPr>
                <w:rFonts w:ascii="Times New Roman" w:eastAsia="Calibri" w:hAnsi="Times New Roman" w:cs="Times New Roman"/>
                <w:noProof/>
                <w:sz w:val="24"/>
                <w:szCs w:val="24"/>
              </w:rPr>
            </w:pPr>
            <w:r>
              <w:rPr>
                <w:rFonts w:ascii="Times New Roman" w:hAnsi="Times New Roman"/>
                <w:noProof/>
                <w:sz w:val="24"/>
              </w:rPr>
              <w:t>Decizia nr. 1/2025 a Comitetului specializat în comerț privind cooperarea administrativă în domeniul TVA și recuperarea impozitelor și taxelor vamale din 31 iulie 2025 de modificare a Deciziei nr. 4/2023 privind formularele standard pentru comunicarea de informații și de date statistice, transmiterea de informații prin rețeaua comună de comunicare și modalitățile practice pentru organizarea contactelor dintre birourile centrale de legătură și departamentele de legătură</w:t>
            </w:r>
            <w:r>
              <w:rPr>
                <w:rStyle w:val="FootnoteReference"/>
                <w:rFonts w:ascii="Times New Roman" w:eastAsia="Calibri" w:hAnsi="Times New Roman" w:cs="Times New Roman"/>
                <w:noProof/>
                <w:sz w:val="24"/>
                <w:szCs w:val="24"/>
              </w:rPr>
              <w:footnoteReference w:id="63"/>
            </w:r>
          </w:p>
        </w:tc>
      </w:tr>
      <w:tr w:rsidR="008C47FD" w:rsidRPr="00F006D0" w14:paraId="1DB67225" w14:textId="77777777" w:rsidTr="008C47FD">
        <w:tc>
          <w:tcPr>
            <w:tcW w:w="1560" w:type="dxa"/>
          </w:tcPr>
          <w:p w14:paraId="673FC51C"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octombrie 2025</w:t>
            </w:r>
          </w:p>
        </w:tc>
        <w:tc>
          <w:tcPr>
            <w:tcW w:w="7716" w:type="dxa"/>
          </w:tcPr>
          <w:p w14:paraId="1479BF8E"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1" w:name="_Hlk222926831"/>
            <w:r>
              <w:rPr>
                <w:rFonts w:ascii="Times New Roman" w:hAnsi="Times New Roman"/>
                <w:noProof/>
                <w:sz w:val="24"/>
              </w:rPr>
              <w:t>Decizia nr. 1/2025 a Comitetului specializat privind transportul rutier privind o listă cu categoriile, tipurile și gradele de gravitate ale încălcărilor grave care pot conduce la pierderea bunei reputații a unui operator de transport rutier de mărfuri</w:t>
            </w:r>
            <w:r>
              <w:rPr>
                <w:rStyle w:val="FootnoteReference"/>
                <w:rFonts w:ascii="Times New Roman" w:eastAsia="Calibri" w:hAnsi="Times New Roman" w:cs="Times New Roman"/>
                <w:noProof/>
                <w:sz w:val="24"/>
                <w:szCs w:val="24"/>
              </w:rPr>
              <w:footnoteReference w:id="64"/>
            </w:r>
            <w:bookmarkEnd w:id="91"/>
          </w:p>
        </w:tc>
      </w:tr>
      <w:tr w:rsidR="008C47FD" w:rsidRPr="00F006D0" w14:paraId="1F4D8855" w14:textId="77777777" w:rsidTr="008C47FD">
        <w:tc>
          <w:tcPr>
            <w:tcW w:w="1560" w:type="dxa"/>
          </w:tcPr>
          <w:p w14:paraId="7B45BAD2"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octombrie 2025</w:t>
            </w:r>
          </w:p>
        </w:tc>
        <w:tc>
          <w:tcPr>
            <w:tcW w:w="7716" w:type="dxa"/>
          </w:tcPr>
          <w:p w14:paraId="3D1D1222"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bookmarkStart w:id="93" w:name="_Hlk222926868"/>
            <w:r>
              <w:rPr>
                <w:rFonts w:ascii="Times New Roman" w:hAnsi="Times New Roman"/>
                <w:noProof/>
                <w:sz w:val="24"/>
              </w:rPr>
              <w:t>Decizia nr. 2/2025 a Comitetului specializat privind transportul rutier în ceea ce privește registrele electronice naționale ale întreprinderilor de transport rutier și modalitățile de realizare a schimbului de informații conținute în registrele respective</w:t>
            </w:r>
            <w:r>
              <w:rPr>
                <w:rStyle w:val="FootnoteReference"/>
                <w:rFonts w:ascii="Times New Roman" w:eastAsia="Calibri" w:hAnsi="Times New Roman" w:cs="Times New Roman"/>
                <w:noProof/>
                <w:sz w:val="24"/>
                <w:szCs w:val="24"/>
              </w:rPr>
              <w:footnoteReference w:id="65"/>
            </w:r>
            <w:bookmarkEnd w:id="93"/>
          </w:p>
        </w:tc>
      </w:tr>
      <w:tr w:rsidR="008C47FD" w:rsidRPr="00F006D0" w14:paraId="3A64B17B" w14:textId="77777777" w:rsidTr="008C47FD">
        <w:tc>
          <w:tcPr>
            <w:tcW w:w="1560" w:type="dxa"/>
          </w:tcPr>
          <w:p w14:paraId="7C73E085" w14:textId="77777777" w:rsidR="008C47FD" w:rsidRPr="00B21CE1" w:rsidRDefault="008C47FD" w:rsidP="00637692">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30 octombrie 2025</w:t>
            </w:r>
          </w:p>
        </w:tc>
        <w:tc>
          <w:tcPr>
            <w:tcW w:w="7716" w:type="dxa"/>
          </w:tcPr>
          <w:p w14:paraId="04793EA3" w14:textId="77777777" w:rsidR="008C47FD" w:rsidRPr="00A75372" w:rsidRDefault="008C47FD" w:rsidP="00637692">
            <w:pPr>
              <w:spacing w:before="100" w:beforeAutospacing="1" w:after="100" w:afterAutospacing="1"/>
              <w:jc w:val="both"/>
              <w:rPr>
                <w:rFonts w:ascii="Times New Roman" w:eastAsia="Calibri" w:hAnsi="Times New Roman" w:cs="Times New Roman"/>
                <w:noProof/>
                <w:sz w:val="24"/>
                <w:szCs w:val="24"/>
              </w:rPr>
            </w:pPr>
            <w:r>
              <w:rPr>
                <w:rFonts w:ascii="Times New Roman" w:hAnsi="Times New Roman"/>
                <w:noProof/>
                <w:sz w:val="24"/>
              </w:rPr>
              <w:t>Decizia nr. 3/2025 a Comitetului specializat privind transportul rutier privind cuantumul și modalitățile contribuției financiare a Regatului Unit la anumite sisteme de informații pentru transportul rutier gestionate de Uniune și modificarea Deciziei nr. 1/2022 a Comitetului specializat privind transportul rutier</w:t>
            </w:r>
            <w:r>
              <w:rPr>
                <w:rStyle w:val="FootnoteReference"/>
                <w:rFonts w:ascii="Times New Roman" w:eastAsia="Calibri" w:hAnsi="Times New Roman" w:cs="Times New Roman"/>
                <w:noProof/>
                <w:sz w:val="24"/>
                <w:szCs w:val="24"/>
              </w:rPr>
              <w:footnoteReference w:id="66"/>
            </w:r>
            <w:r>
              <w:rPr>
                <w:rFonts w:ascii="Times New Roman" w:hAnsi="Times New Roman"/>
                <w:noProof/>
                <w:sz w:val="24"/>
              </w:rPr>
              <w:t xml:space="preserve"> </w:t>
            </w:r>
          </w:p>
        </w:tc>
      </w:tr>
    </w:tbl>
    <w:p w14:paraId="02E118BD" w14:textId="655E33D7" w:rsidR="001B243A" w:rsidRDefault="001B243A" w:rsidP="00470A6D">
      <w:pPr>
        <w:pStyle w:val="Heading1"/>
        <w:keepNext w:val="0"/>
        <w:keepLines w:val="0"/>
        <w:spacing w:before="100" w:beforeAutospacing="1" w:after="100" w:afterAutospacing="1" w:line="240" w:lineRule="auto"/>
        <w:rPr>
          <w:rFonts w:ascii="Times New Roman" w:hAnsi="Times New Roman" w:cs="Times New Roman"/>
          <w:b/>
          <w:bCs/>
          <w:noProof/>
          <w:color w:val="auto"/>
        </w:rPr>
      </w:pPr>
      <w:r>
        <w:rPr>
          <w:noProof/>
        </w:rPr>
        <w:br w:type="page"/>
      </w:r>
      <w:bookmarkStart w:id="95" w:name="_Toc204769337"/>
      <w:bookmarkStart w:id="96" w:name="_Toc226534613"/>
      <w:r>
        <w:rPr>
          <w:rFonts w:ascii="Times New Roman" w:hAnsi="Times New Roman"/>
          <w:b/>
          <w:noProof/>
          <w:color w:val="auto"/>
        </w:rPr>
        <w:t>Anexa 3: Prezentare generală a punerii în aplicare a acțiunilor legate de ACC convenite în Înțelegerea comună</w:t>
      </w:r>
      <w:bookmarkEnd w:id="95"/>
      <w:bookmarkEnd w:id="96"/>
    </w:p>
    <w:tbl>
      <w:tblPr>
        <w:tblStyle w:val="TableGrid"/>
        <w:tblW w:w="0" w:type="auto"/>
        <w:tblInd w:w="-34" w:type="dxa"/>
        <w:tblLook w:val="04A0" w:firstRow="1" w:lastRow="0" w:firstColumn="1" w:lastColumn="0" w:noHBand="0" w:noVBand="1"/>
      </w:tblPr>
      <w:tblGrid>
        <w:gridCol w:w="2977"/>
        <w:gridCol w:w="6237"/>
      </w:tblGrid>
      <w:tr w:rsidR="001B243A" w:rsidRPr="00F006D0" w14:paraId="04742748" w14:textId="77777777">
        <w:tc>
          <w:tcPr>
            <w:tcW w:w="2977" w:type="dxa"/>
            <w:shd w:val="clear" w:color="auto" w:fill="D0CECE" w:themeFill="background2" w:themeFillShade="E6"/>
          </w:tcPr>
          <w:p w14:paraId="107EBAC4"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Acțiune/domeniu de cooperare</w:t>
            </w:r>
          </w:p>
        </w:tc>
        <w:tc>
          <w:tcPr>
            <w:tcW w:w="6237" w:type="dxa"/>
            <w:shd w:val="clear" w:color="auto" w:fill="D0CECE" w:themeFill="background2" w:themeFillShade="E6"/>
          </w:tcPr>
          <w:p w14:paraId="68CFBC35" w14:textId="77777777" w:rsidR="001B243A" w:rsidRPr="00F006D0" w:rsidRDefault="001B243A" w:rsidP="00470A6D">
            <w:pPr>
              <w:spacing w:before="100" w:beforeAutospacing="1" w:after="100" w:afterAutospacing="1"/>
              <w:rPr>
                <w:rFonts w:ascii="Times New Roman" w:eastAsia="Times New Roman" w:hAnsi="Times New Roman" w:cs="Times New Roman"/>
                <w:b/>
                <w:bCs/>
                <w:noProof/>
                <w:sz w:val="24"/>
                <w:szCs w:val="24"/>
              </w:rPr>
            </w:pPr>
            <w:r>
              <w:rPr>
                <w:rFonts w:ascii="Times New Roman" w:hAnsi="Times New Roman"/>
                <w:b/>
                <w:noProof/>
                <w:sz w:val="24"/>
              </w:rPr>
              <w:t>Situația actuală</w:t>
            </w:r>
          </w:p>
        </w:tc>
      </w:tr>
      <w:tr w:rsidR="001B243A" w:rsidRPr="00F006D0" w14:paraId="0FA81AF2" w14:textId="77777777">
        <w:tc>
          <w:tcPr>
            <w:tcW w:w="2977" w:type="dxa"/>
          </w:tcPr>
          <w:p w14:paraId="7713A974"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Acces reciproc deplin la apele de pescuit până la 30 iunie 2038</w:t>
            </w:r>
          </w:p>
        </w:tc>
        <w:tc>
          <w:tcPr>
            <w:tcW w:w="6237" w:type="dxa"/>
          </w:tcPr>
          <w:p w14:paraId="4858BF1A" w14:textId="665F307A" w:rsidR="001B243A" w:rsidRPr="00F006D0" w:rsidRDefault="00B21CE1"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Decizia nr. 1/2025</w:t>
            </w:r>
            <w:r>
              <w:rPr>
                <w:rStyle w:val="FootnoteReference"/>
                <w:rFonts w:ascii="Times New Roman" w:hAnsi="Times New Roman" w:cs="Times New Roman"/>
                <w:noProof/>
                <w:sz w:val="24"/>
                <w:szCs w:val="24"/>
              </w:rPr>
              <w:footnoteReference w:id="67"/>
            </w:r>
            <w:r>
              <w:rPr>
                <w:rFonts w:ascii="Times New Roman" w:hAnsi="Times New Roman"/>
                <w:noProof/>
                <w:sz w:val="24"/>
              </w:rPr>
              <w:t xml:space="preserve"> a Consiliului de parteneriat din 18</w:t>
            </w:r>
            <w:r w:rsidR="005270FD">
              <w:rPr>
                <w:rFonts w:ascii="Times New Roman" w:hAnsi="Times New Roman"/>
                <w:noProof/>
                <w:sz w:val="24"/>
              </w:rPr>
              <w:t> </w:t>
            </w:r>
            <w:r>
              <w:rPr>
                <w:rFonts w:ascii="Times New Roman" w:hAnsi="Times New Roman"/>
                <w:noProof/>
                <w:sz w:val="24"/>
              </w:rPr>
              <w:t>iunie</w:t>
            </w:r>
            <w:r w:rsidR="005270FD">
              <w:rPr>
                <w:rFonts w:ascii="Times New Roman" w:hAnsi="Times New Roman"/>
                <w:noProof/>
                <w:sz w:val="24"/>
              </w:rPr>
              <w:t> </w:t>
            </w:r>
            <w:r>
              <w:rPr>
                <w:rFonts w:ascii="Times New Roman" w:hAnsi="Times New Roman"/>
                <w:noProof/>
                <w:sz w:val="24"/>
              </w:rPr>
              <w:t>2025 și Decizia nr. 1/2025</w:t>
            </w:r>
            <w:r>
              <w:rPr>
                <w:rStyle w:val="FootnoteReference"/>
                <w:rFonts w:ascii="Times New Roman" w:hAnsi="Times New Roman" w:cs="Times New Roman"/>
                <w:noProof/>
                <w:sz w:val="24"/>
                <w:szCs w:val="24"/>
              </w:rPr>
              <w:footnoteReference w:id="68"/>
            </w:r>
            <w:r>
              <w:rPr>
                <w:rFonts w:ascii="Times New Roman" w:hAnsi="Times New Roman"/>
                <w:noProof/>
                <w:sz w:val="24"/>
              </w:rPr>
              <w:t xml:space="preserve"> a Comitetului specializat privind pescuitul din 1 iulie 2025 prevăd accesul deplin și reciproc la ape după 30 iunie 2026 până la 30 iunie 2038. </w:t>
            </w:r>
          </w:p>
        </w:tc>
      </w:tr>
      <w:tr w:rsidR="001B243A" w:rsidRPr="00F006D0" w14:paraId="6A333B27" w14:textId="77777777">
        <w:tc>
          <w:tcPr>
            <w:tcW w:w="2977" w:type="dxa"/>
          </w:tcPr>
          <w:p w14:paraId="3F1E68DE"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Prelungirea cooperării în domeniul energiei</w:t>
            </w:r>
          </w:p>
        </w:tc>
        <w:tc>
          <w:tcPr>
            <w:tcW w:w="6237" w:type="dxa"/>
          </w:tcPr>
          <w:p w14:paraId="0CA9D3E9" w14:textId="479A89D5" w:rsidR="001B243A" w:rsidRPr="00F006D0" w:rsidRDefault="00A10D75" w:rsidP="00470A6D">
            <w:pPr>
              <w:spacing w:before="100" w:beforeAutospacing="1" w:after="100" w:afterAutospacing="1"/>
              <w:jc w:val="both"/>
              <w:rPr>
                <w:rFonts w:ascii="Times New Roman" w:hAnsi="Times New Roman" w:cs="Times New Roman"/>
                <w:noProof/>
                <w:sz w:val="24"/>
                <w:szCs w:val="24"/>
              </w:rPr>
            </w:pPr>
            <w:r>
              <w:rPr>
                <w:rFonts w:ascii="Times New Roman" w:hAnsi="Times New Roman"/>
                <w:noProof/>
                <w:sz w:val="24"/>
              </w:rPr>
              <w:t>Declarația nr. 1/2025</w:t>
            </w:r>
            <w:r>
              <w:rPr>
                <w:rStyle w:val="FootnoteReference"/>
                <w:rFonts w:ascii="Times New Roman" w:hAnsi="Times New Roman" w:cs="Times New Roman"/>
                <w:noProof/>
                <w:sz w:val="24"/>
                <w:szCs w:val="24"/>
              </w:rPr>
              <w:footnoteReference w:id="69"/>
            </w:r>
            <w:r>
              <w:rPr>
                <w:rFonts w:ascii="Times New Roman" w:hAnsi="Times New Roman"/>
                <w:noProof/>
                <w:sz w:val="24"/>
              </w:rPr>
              <w:t xml:space="preserve"> și Decizia nr. 2/2025</w:t>
            </w:r>
            <w:r>
              <w:rPr>
                <w:rStyle w:val="FootnoteReference"/>
                <w:rFonts w:ascii="Times New Roman" w:hAnsi="Times New Roman" w:cs="Times New Roman"/>
                <w:noProof/>
                <w:sz w:val="24"/>
                <w:szCs w:val="24"/>
              </w:rPr>
              <w:footnoteReference w:id="70"/>
            </w:r>
            <w:r>
              <w:rPr>
                <w:rFonts w:ascii="Times New Roman" w:hAnsi="Times New Roman"/>
                <w:noProof/>
                <w:sz w:val="24"/>
              </w:rPr>
              <w:t xml:space="preserve"> a Consiliului de parteneriat din 19 iunie 2025 prevăd aplicarea în continuare a dispozițiilor ACC în domeniul energiei. Prima prelungire se va aplica până la 31 martie 2027, urmând ca alte prelungiri să aibă loc anual.</w:t>
            </w:r>
          </w:p>
        </w:tc>
      </w:tr>
      <w:tr w:rsidR="001B243A" w:rsidRPr="00F006D0" w14:paraId="2D15223D" w14:textId="77777777">
        <w:tc>
          <w:tcPr>
            <w:tcW w:w="2977" w:type="dxa"/>
          </w:tcPr>
          <w:p w14:paraId="4A713922" w14:textId="1055ED4E"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Depunerea de eforturi în vederea conectării schemelor de comercializare a certificatelor de emisii ale ambelor părți</w:t>
            </w:r>
          </w:p>
        </w:tc>
        <w:tc>
          <w:tcPr>
            <w:tcW w:w="6237" w:type="dxa"/>
          </w:tcPr>
          <w:p w14:paraId="74A9B1C1" w14:textId="0F62E446" w:rsidR="001B243A" w:rsidRPr="00F006D0" w:rsidRDefault="00AC273F"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În urma adoptării mandatului de negociere al Consiliului la 17</w:t>
            </w:r>
            <w:r w:rsidR="00F409DF">
              <w:rPr>
                <w:rFonts w:ascii="Times New Roman" w:hAnsi="Times New Roman"/>
                <w:noProof/>
                <w:sz w:val="24"/>
              </w:rPr>
              <w:t> </w:t>
            </w:r>
            <w:r>
              <w:rPr>
                <w:rFonts w:ascii="Times New Roman" w:hAnsi="Times New Roman"/>
                <w:noProof/>
                <w:sz w:val="24"/>
              </w:rPr>
              <w:t xml:space="preserve">noiembrie 2025, au început negocierile. </w:t>
            </w:r>
          </w:p>
        </w:tc>
      </w:tr>
      <w:tr w:rsidR="00D13CD5" w:rsidRPr="009E033A" w14:paraId="1FB9D752" w14:textId="77777777">
        <w:tc>
          <w:tcPr>
            <w:tcW w:w="2977" w:type="dxa"/>
          </w:tcPr>
          <w:p w14:paraId="2F412437" w14:textId="56940615" w:rsidR="00D13CD5" w:rsidRPr="009E033A" w:rsidRDefault="00D13CD5" w:rsidP="00470A6D">
            <w:pPr>
              <w:spacing w:before="100" w:beforeAutospacing="1" w:after="100" w:afterAutospacing="1"/>
              <w:rPr>
                <w:rFonts w:ascii="Times New Roman" w:hAnsi="Times New Roman" w:cs="Times New Roman"/>
                <w:noProof/>
                <w:sz w:val="24"/>
                <w:szCs w:val="24"/>
              </w:rPr>
            </w:pPr>
            <w:r>
              <w:rPr>
                <w:rFonts w:ascii="Times New Roman" w:hAnsi="Times New Roman"/>
                <w:noProof/>
                <w:sz w:val="24"/>
              </w:rPr>
              <w:t>Asocierea Regatului Unit la Erasmus+</w:t>
            </w:r>
          </w:p>
        </w:tc>
        <w:tc>
          <w:tcPr>
            <w:tcW w:w="6237" w:type="dxa"/>
          </w:tcPr>
          <w:p w14:paraId="71172380" w14:textId="50E55FD6" w:rsidR="00D13CD5" w:rsidRPr="00AC273F" w:rsidDel="00D13CD5" w:rsidRDefault="00BD2ED4"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Negocierile pentru asocierea Regatului Unit începând cu 1</w:t>
            </w:r>
            <w:r w:rsidR="005270FD">
              <w:rPr>
                <w:rFonts w:ascii="Times New Roman" w:hAnsi="Times New Roman"/>
                <w:noProof/>
                <w:sz w:val="24"/>
              </w:rPr>
              <w:t> </w:t>
            </w:r>
            <w:r>
              <w:rPr>
                <w:rFonts w:ascii="Times New Roman" w:hAnsi="Times New Roman"/>
                <w:noProof/>
                <w:sz w:val="24"/>
              </w:rPr>
              <w:t>ianuarie 2027 au fost încheiate de Comisie în decembrie</w:t>
            </w:r>
            <w:r w:rsidR="005270FD">
              <w:rPr>
                <w:rFonts w:ascii="Times New Roman" w:hAnsi="Times New Roman"/>
                <w:noProof/>
                <w:sz w:val="24"/>
              </w:rPr>
              <w:t> </w:t>
            </w:r>
            <w:r>
              <w:rPr>
                <w:rFonts w:ascii="Times New Roman" w:hAnsi="Times New Roman"/>
                <w:noProof/>
                <w:sz w:val="24"/>
              </w:rPr>
              <w:t>2025.</w:t>
            </w:r>
          </w:p>
        </w:tc>
      </w:tr>
      <w:tr w:rsidR="001B243A" w:rsidRPr="009E033A" w14:paraId="4C978D9F" w14:textId="77777777">
        <w:tc>
          <w:tcPr>
            <w:tcW w:w="2977" w:type="dxa"/>
          </w:tcPr>
          <w:p w14:paraId="1ECF520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Îmbunătățirea furnizării de servicii</w:t>
            </w:r>
          </w:p>
        </w:tc>
        <w:tc>
          <w:tcPr>
            <w:tcW w:w="6237" w:type="dxa"/>
          </w:tcPr>
          <w:p w14:paraId="1289D405" w14:textId="77BD3254" w:rsidR="001B243A" w:rsidRPr="009E033A" w:rsidRDefault="00BE2C45" w:rsidP="00470A6D">
            <w:pPr>
              <w:spacing w:before="100" w:beforeAutospacing="1" w:after="100" w:afterAutospacing="1"/>
              <w:jc w:val="both"/>
              <w:rPr>
                <w:rFonts w:ascii="Times New Roman" w:eastAsia="Times New Roman" w:hAnsi="Times New Roman" w:cs="Times New Roman"/>
                <w:i/>
                <w:iCs/>
                <w:noProof/>
                <w:sz w:val="24"/>
                <w:szCs w:val="24"/>
              </w:rPr>
            </w:pPr>
            <w:r>
              <w:rPr>
                <w:rFonts w:ascii="Times New Roman" w:hAnsi="Times New Roman"/>
                <w:noProof/>
                <w:sz w:val="24"/>
              </w:rPr>
              <w:t>Dialoguri specifice privind punerea în aplicare a ACC în ceea ce privește intrarea și șederea temporară a persoanelor fizice în scopuri de afaceri, inclusiv sistemul de sponsorizare, și recunoașterea calificărilor profesionale, cu raportare către organismele comune ale ACC</w:t>
            </w:r>
          </w:p>
        </w:tc>
      </w:tr>
      <w:tr w:rsidR="001B243A" w:rsidRPr="009E033A" w14:paraId="57FB8490" w14:textId="77777777">
        <w:tc>
          <w:tcPr>
            <w:tcW w:w="2977" w:type="dxa"/>
          </w:tcPr>
          <w:p w14:paraId="6D20E360"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Maximizarea cooperării în materie de securitate sanitară</w:t>
            </w:r>
          </w:p>
        </w:tc>
        <w:tc>
          <w:tcPr>
            <w:tcW w:w="6237" w:type="dxa"/>
          </w:tcPr>
          <w:p w14:paraId="21BFD92E" w14:textId="60D4E466" w:rsidR="001B243A" w:rsidRPr="009E033A" w:rsidRDefault="00A94F20"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Discuțiile exploratorii continuă.</w:t>
            </w:r>
          </w:p>
        </w:tc>
      </w:tr>
      <w:tr w:rsidR="001B243A" w:rsidRPr="00F006D0" w14:paraId="3EF59CCD" w14:textId="77777777">
        <w:tc>
          <w:tcPr>
            <w:tcW w:w="2977" w:type="dxa"/>
          </w:tcPr>
          <w:p w14:paraId="671973C2" w14:textId="77777777" w:rsidR="001B243A" w:rsidRPr="009E033A"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Consolidarea cooperării judiciare în materie penală și în materie de asigurare a respectării legii</w:t>
            </w:r>
          </w:p>
        </w:tc>
        <w:tc>
          <w:tcPr>
            <w:tcW w:w="6237" w:type="dxa"/>
          </w:tcPr>
          <w:p w14:paraId="567AC572" w14:textId="63271916" w:rsidR="001B243A" w:rsidRPr="00F006D0" w:rsidRDefault="009E033A"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Discuțiile exploratorii continuă.</w:t>
            </w:r>
          </w:p>
        </w:tc>
      </w:tr>
      <w:tr w:rsidR="001B243A" w:rsidRPr="00F006D0" w14:paraId="0751E247" w14:textId="77777777">
        <w:tc>
          <w:tcPr>
            <w:tcW w:w="2977" w:type="dxa"/>
          </w:tcPr>
          <w:p w14:paraId="6F8D3E02" w14:textId="77777777" w:rsidR="001B243A" w:rsidRPr="00F006D0" w:rsidRDefault="001B243A" w:rsidP="00470A6D">
            <w:pPr>
              <w:spacing w:before="100" w:beforeAutospacing="1" w:after="100" w:afterAutospacing="1"/>
              <w:rPr>
                <w:rFonts w:ascii="Times New Roman" w:eastAsia="Times New Roman" w:hAnsi="Times New Roman" w:cs="Times New Roman"/>
                <w:noProof/>
                <w:sz w:val="24"/>
                <w:szCs w:val="24"/>
              </w:rPr>
            </w:pPr>
            <w:r>
              <w:rPr>
                <w:rFonts w:ascii="Times New Roman" w:hAnsi="Times New Roman"/>
                <w:noProof/>
                <w:sz w:val="24"/>
              </w:rPr>
              <w:t xml:space="preserve">Acordul de cooperare în domeniul concurenței </w:t>
            </w:r>
          </w:p>
        </w:tc>
        <w:tc>
          <w:tcPr>
            <w:tcW w:w="6237" w:type="dxa"/>
          </w:tcPr>
          <w:p w14:paraId="1890D541" w14:textId="6573AF0D" w:rsidR="001B243A" w:rsidRPr="00F006D0" w:rsidRDefault="00C46761" w:rsidP="00470A6D">
            <w:pPr>
              <w:spacing w:before="100" w:beforeAutospacing="1" w:after="100" w:afterAutospacing="1"/>
              <w:jc w:val="both"/>
              <w:rPr>
                <w:rFonts w:ascii="Times New Roman" w:eastAsia="Times New Roman" w:hAnsi="Times New Roman" w:cs="Times New Roman"/>
                <w:noProof/>
                <w:sz w:val="24"/>
                <w:szCs w:val="24"/>
              </w:rPr>
            </w:pPr>
            <w:r>
              <w:rPr>
                <w:rFonts w:ascii="Times New Roman" w:hAnsi="Times New Roman"/>
                <w:noProof/>
                <w:sz w:val="24"/>
              </w:rPr>
              <w:t>Acordul de cooperare în domeniul concurenței dintre UE și Regatul Unit a fost convenit în 2025 și semnat în februarie</w:t>
            </w:r>
            <w:r w:rsidR="005270FD">
              <w:rPr>
                <w:rFonts w:ascii="Times New Roman" w:hAnsi="Times New Roman"/>
                <w:noProof/>
                <w:sz w:val="24"/>
              </w:rPr>
              <w:t> </w:t>
            </w:r>
            <w:r>
              <w:rPr>
                <w:rFonts w:ascii="Times New Roman" w:hAnsi="Times New Roman"/>
                <w:noProof/>
                <w:sz w:val="24"/>
              </w:rPr>
              <w:t>2026.</w:t>
            </w:r>
          </w:p>
        </w:tc>
      </w:tr>
      <w:bookmarkEnd w:id="90"/>
    </w:tbl>
    <w:p w14:paraId="49AD2CD4" w14:textId="23F3777C" w:rsidR="00040652" w:rsidRPr="001B243A" w:rsidRDefault="00040652" w:rsidP="00F44491">
      <w:pPr>
        <w:spacing w:before="100" w:beforeAutospacing="1" w:after="100" w:afterAutospacing="1" w:line="240" w:lineRule="auto"/>
        <w:rPr>
          <w:noProof/>
        </w:rPr>
      </w:pPr>
    </w:p>
    <w:sectPr w:rsidR="00040652" w:rsidRPr="001B243A" w:rsidSect="0065614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18"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1661E" w14:textId="77777777" w:rsidR="00CF526D" w:rsidRDefault="00CF526D" w:rsidP="003E5080">
      <w:pPr>
        <w:spacing w:after="0" w:line="240" w:lineRule="auto"/>
      </w:pPr>
      <w:r>
        <w:separator/>
      </w:r>
    </w:p>
  </w:endnote>
  <w:endnote w:type="continuationSeparator" w:id="0">
    <w:p w14:paraId="3BC4A96D" w14:textId="77777777" w:rsidR="00CF526D" w:rsidRDefault="00CF526D" w:rsidP="003E5080">
      <w:pPr>
        <w:spacing w:after="0" w:line="240" w:lineRule="auto"/>
      </w:pPr>
      <w:r>
        <w:continuationSeparator/>
      </w:r>
    </w:p>
  </w:endnote>
  <w:endnote w:type="continuationNotice" w:id="1">
    <w:p w14:paraId="7D6F6EE9" w14:textId="77777777" w:rsidR="00CF526D" w:rsidRDefault="00CF5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934F8" w14:textId="50DD6A4F" w:rsidR="009E7B73" w:rsidRPr="009E7B73" w:rsidRDefault="009E7B73" w:rsidP="009E7B73">
    <w:pPr>
      <w:pStyle w:val="FooterCoverPage"/>
      <w:rPr>
        <w:rFonts w:ascii="Arial" w:hAnsi="Arial" w:cs="Arial"/>
        <w:b/>
        <w:sz w:val="48"/>
      </w:rPr>
    </w:pPr>
    <w:r w:rsidRPr="009E7B73">
      <w:rPr>
        <w:rFonts w:ascii="Arial" w:hAnsi="Arial" w:cs="Arial"/>
        <w:b/>
        <w:sz w:val="48"/>
      </w:rPr>
      <w:t>RO</w:t>
    </w:r>
    <w:r w:rsidRPr="009E7B73">
      <w:rPr>
        <w:rFonts w:ascii="Arial" w:hAnsi="Arial" w:cs="Arial"/>
        <w:b/>
        <w:sz w:val="48"/>
      </w:rPr>
      <w:tab/>
    </w:r>
    <w:r w:rsidRPr="009E7B73">
      <w:rPr>
        <w:rFonts w:ascii="Arial" w:hAnsi="Arial" w:cs="Arial"/>
        <w:b/>
        <w:sz w:val="48"/>
      </w:rPr>
      <w:tab/>
    </w:r>
    <w:r w:rsidRPr="009E7B73">
      <w:tab/>
    </w:r>
    <w:r w:rsidRPr="009E7B7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79E5" w14:textId="197854A3" w:rsidR="009E7B73" w:rsidRPr="009E7B73" w:rsidRDefault="009E7B73" w:rsidP="009E7B73">
    <w:pPr>
      <w:pStyle w:val="FooterCoverPage"/>
      <w:rPr>
        <w:rFonts w:ascii="Arial" w:hAnsi="Arial" w:cs="Arial"/>
        <w:b/>
        <w:sz w:val="48"/>
      </w:rPr>
    </w:pPr>
    <w:r w:rsidRPr="009E7B73">
      <w:rPr>
        <w:rFonts w:ascii="Arial" w:hAnsi="Arial" w:cs="Arial"/>
        <w:b/>
        <w:sz w:val="48"/>
      </w:rPr>
      <w:t>RO</w:t>
    </w:r>
    <w:r w:rsidRPr="009E7B73">
      <w:rPr>
        <w:rFonts w:ascii="Arial" w:hAnsi="Arial" w:cs="Arial"/>
        <w:b/>
        <w:sz w:val="48"/>
      </w:rPr>
      <w:tab/>
    </w:r>
    <w:r w:rsidRPr="009E7B73">
      <w:rPr>
        <w:rFonts w:ascii="Arial" w:hAnsi="Arial" w:cs="Arial"/>
        <w:b/>
        <w:sz w:val="48"/>
      </w:rPr>
      <w:tab/>
    </w:r>
    <w:r w:rsidRPr="009E7B73">
      <w:tab/>
    </w:r>
    <w:r w:rsidRPr="009E7B7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778F1" w14:textId="77777777" w:rsidR="009E7B73" w:rsidRPr="009E7B73" w:rsidRDefault="009E7B73" w:rsidP="009E7B7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6874" w14:textId="77777777" w:rsidR="00656149" w:rsidRDefault="00656149" w:rsidP="00073840">
    <w:pPr>
      <w:pStyle w:val="Footer"/>
      <w:jc w:val="right"/>
    </w:pPr>
    <w:r>
      <w:fldChar w:fldCharType="begin"/>
    </w:r>
    <w:r>
      <w:instrText xml:space="preserve"> PAGE   \* MERGEFORMAT </w:instrText>
    </w:r>
    <w:r>
      <w:fldChar w:fldCharType="separate"/>
    </w:r>
    <w:r>
      <w:t>4</w:t>
    </w:r>
    <w:r>
      <w:fldChar w:fldCharType="end"/>
    </w:r>
  </w:p>
  <w:p w14:paraId="1EF51F8F" w14:textId="77777777" w:rsidR="00656149" w:rsidRDefault="00656149" w:rsidP="0007384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35974"/>
      <w:docPartObj>
        <w:docPartGallery w:val="Page Numbers (Bottom of Page)"/>
        <w:docPartUnique/>
      </w:docPartObj>
    </w:sdtPr>
    <w:sdtEndPr>
      <w:rPr>
        <w:rFonts w:ascii="Times New Roman" w:hAnsi="Times New Roman" w:cs="Times New Roman"/>
        <w:noProof/>
      </w:rPr>
    </w:sdtEndPr>
    <w:sdtContent>
      <w:p w14:paraId="3C94C359" w14:textId="05A942EC" w:rsidR="00656149" w:rsidRPr="009A44EE" w:rsidRDefault="00656149" w:rsidP="00CB267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E7B73">
          <w:rPr>
            <w:rFonts w:ascii="Times New Roman" w:hAnsi="Times New Roman" w:cs="Times New Roman"/>
            <w:noProof/>
          </w:rPr>
          <w:t>9</w:t>
        </w:r>
        <w:r>
          <w:rPr>
            <w:rFonts w:ascii="Times New Roman" w:hAnsi="Times New Roman" w:cs="Times New Roman"/>
          </w:rPr>
          <w:fldChar w:fldCharType="end"/>
        </w:r>
      </w:p>
    </w:sdtContent>
  </w:sdt>
  <w:p w14:paraId="32171423" w14:textId="77777777" w:rsidR="00656149" w:rsidRDefault="006561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686626"/>
      <w:docPartObj>
        <w:docPartGallery w:val="Page Numbers (Bottom of Page)"/>
        <w:docPartUnique/>
      </w:docPartObj>
    </w:sdtPr>
    <w:sdtEndPr>
      <w:rPr>
        <w:rFonts w:ascii="Times New Roman" w:hAnsi="Times New Roman" w:cs="Times New Roman"/>
        <w:noProof/>
      </w:rPr>
    </w:sdtEndPr>
    <w:sdtContent>
      <w:p w14:paraId="000216C7" w14:textId="5290D685" w:rsidR="00CB2675" w:rsidRPr="00764E6C" w:rsidRDefault="00CB267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9E7B73">
          <w:rPr>
            <w:rFonts w:ascii="Times New Roman" w:hAnsi="Times New Roman" w:cs="Times New Roman"/>
            <w:noProof/>
          </w:rPr>
          <w:t>1</w:t>
        </w:r>
        <w:r>
          <w:rPr>
            <w:rFonts w:ascii="Times New Roman" w:hAnsi="Times New Roman" w:cs="Times New Roman"/>
          </w:rPr>
          <w:fldChar w:fldCharType="end"/>
        </w:r>
      </w:p>
    </w:sdtContent>
  </w:sdt>
  <w:p w14:paraId="5D6CEF75" w14:textId="77777777" w:rsidR="00656149" w:rsidRDefault="00656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73812" w14:textId="77777777" w:rsidR="00CF526D" w:rsidRDefault="00CF526D" w:rsidP="003E5080">
      <w:pPr>
        <w:spacing w:after="0" w:line="240" w:lineRule="auto"/>
      </w:pPr>
      <w:r>
        <w:separator/>
      </w:r>
    </w:p>
  </w:footnote>
  <w:footnote w:type="continuationSeparator" w:id="0">
    <w:p w14:paraId="3B7146C3" w14:textId="77777777" w:rsidR="00CF526D" w:rsidRDefault="00CF526D" w:rsidP="003E5080">
      <w:pPr>
        <w:spacing w:after="0" w:line="240" w:lineRule="auto"/>
      </w:pPr>
      <w:r>
        <w:continuationSeparator/>
      </w:r>
    </w:p>
  </w:footnote>
  <w:footnote w:type="continuationNotice" w:id="1">
    <w:p w14:paraId="40011624" w14:textId="77777777" w:rsidR="00CF526D" w:rsidRDefault="00CF526D">
      <w:pPr>
        <w:spacing w:after="0" w:line="240" w:lineRule="auto"/>
      </w:pPr>
    </w:p>
  </w:footnote>
  <w:footnote w:id="2">
    <w:p w14:paraId="75957F4E" w14:textId="5AA7DB73" w:rsidR="00C976FE" w:rsidRPr="00054215" w:rsidRDefault="00C976FE" w:rsidP="00C976F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Summitul Regatul Unit-UE 2025 – Declarație comună </w:t>
      </w:r>
      <w:hyperlink r:id="rId1" w:history="1">
        <w:r>
          <w:rPr>
            <w:rStyle w:val="Hyperlink"/>
            <w:rFonts w:ascii="Times New Roman" w:hAnsi="Times New Roman"/>
          </w:rPr>
          <w:t>https://www.consilium.europa.eu/media/1edla1hi/eu-uk_joint-statement.pdf</w:t>
        </w:r>
      </w:hyperlink>
      <w:r>
        <w:rPr>
          <w:rFonts w:ascii="Times New Roman" w:hAnsi="Times New Roman"/>
        </w:rPr>
        <w:t>.</w:t>
      </w:r>
    </w:p>
  </w:footnote>
  <w:footnote w:id="3">
    <w:p w14:paraId="26CF5AB0" w14:textId="749AAC1B" w:rsidR="00DF6F61" w:rsidRPr="00846AF8" w:rsidRDefault="00DF6F6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 privind retragerea Regatului Unit al Marii Britanii și Irlandei de Nord din Uniunea Europeană și din Comunitatea Europeană a Energiei Atomice 2019/C 384 I/01 </w:t>
      </w:r>
      <w:hyperlink r:id="rId2" w:history="1">
        <w:r>
          <w:rPr>
            <w:rStyle w:val="Hyperlink"/>
            <w:rFonts w:ascii="Times New Roman" w:hAnsi="Times New Roman"/>
          </w:rPr>
          <w:t>https://eur-lex.europa.eu/legal-content/RO/TXT/?uri=CELEX%3A12019W/TXT%2802%29</w:t>
        </w:r>
      </w:hyperlink>
      <w:r>
        <w:rPr>
          <w:rFonts w:ascii="Times New Roman" w:hAnsi="Times New Roman"/>
        </w:rPr>
        <w:t>.</w:t>
      </w:r>
    </w:p>
  </w:footnote>
  <w:footnote w:id="4">
    <w:p w14:paraId="58D490EB" w14:textId="77777777" w:rsidR="00846AF8" w:rsidRPr="00846AF8" w:rsidRDefault="00846AF8" w:rsidP="00846AF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Declarația politică de la Windsor a Comisiei Europene și a Guvernului Regatului Unit</w:t>
      </w:r>
    </w:p>
    <w:p w14:paraId="511EC776" w14:textId="6CC98623" w:rsidR="00846AF8" w:rsidRPr="00846AF8" w:rsidRDefault="00846AF8">
      <w:pPr>
        <w:pStyle w:val="FootnoteText"/>
        <w:rPr>
          <w:rFonts w:ascii="Times New Roman" w:hAnsi="Times New Roman" w:cs="Times New Roman"/>
        </w:rPr>
      </w:pPr>
      <w:r>
        <w:rPr>
          <w:rFonts w:ascii="Times New Roman" w:hAnsi="Times New Roman"/>
        </w:rPr>
        <w:t xml:space="preserve"> </w:t>
      </w:r>
      <w:hyperlink r:id="rId3" w:history="1">
        <w:r>
          <w:rPr>
            <w:rStyle w:val="Hyperlink"/>
            <w:rFonts w:ascii="Times New Roman" w:hAnsi="Times New Roman"/>
          </w:rPr>
          <w:t>https://commission.europa.eu/publications/windsor-political-declaration-european-commission-and-government-united-kingdom_en</w:t>
        </w:r>
      </w:hyperlink>
      <w:r>
        <w:rPr>
          <w:rFonts w:ascii="Times New Roman" w:hAnsi="Times New Roman"/>
        </w:rPr>
        <w:t>.</w:t>
      </w:r>
    </w:p>
  </w:footnote>
  <w:footnote w:id="5">
    <w:p w14:paraId="5B7F9EA1" w14:textId="0A2BD026" w:rsidR="00846AF8" w:rsidRPr="00846AF8" w:rsidRDefault="00846AF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 comercial și de cooperare între Uniunea Europeană și Comunitatea Europeană a Energiei Atomice, pe de o parte, și Regatul Unit al Marii Britanii și Irlandei de Nord, pe de altă parte </w:t>
      </w:r>
      <w:hyperlink r:id="rId4" w:history="1">
        <w:r>
          <w:rPr>
            <w:rStyle w:val="Hyperlink"/>
            <w:rFonts w:ascii="Times New Roman" w:hAnsi="Times New Roman"/>
          </w:rPr>
          <w:t>https://eur-lex.europa.eu/eli/agree_internation/2021/689(1)/oj</w:t>
        </w:r>
      </w:hyperlink>
      <w:r>
        <w:rPr>
          <w:rFonts w:ascii="Times New Roman" w:hAnsi="Times New Roman"/>
        </w:rPr>
        <w:t>.</w:t>
      </w:r>
    </w:p>
  </w:footnote>
  <w:footnote w:id="6">
    <w:p w14:paraId="54C2A237" w14:textId="77777777" w:rsidR="001017A9" w:rsidRPr="00F52880" w:rsidRDefault="001017A9" w:rsidP="001017A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i/>
          <w:iCs/>
        </w:rPr>
        <w:t>A renewed agenda for European Union – United Kingdom cooperation Common Understanding</w:t>
      </w:r>
      <w:r>
        <w:rPr>
          <w:rFonts w:ascii="Times New Roman" w:hAnsi="Times New Roman"/>
        </w:rPr>
        <w:t xml:space="preserve"> (O agendă reînnoită pentru cooperarea dintre Uniunea Europeană și Regatul Unit – Înțelegere comună)</w:t>
      </w:r>
    </w:p>
    <w:p w14:paraId="49D5FB56" w14:textId="4DDCF6C7" w:rsidR="001017A9" w:rsidRPr="00F52880" w:rsidRDefault="001017A9" w:rsidP="001017A9">
      <w:pPr>
        <w:pStyle w:val="FootnoteText"/>
        <w:jc w:val="both"/>
        <w:rPr>
          <w:rFonts w:ascii="Times New Roman" w:hAnsi="Times New Roman" w:cs="Times New Roman"/>
        </w:rPr>
      </w:pPr>
      <w:r>
        <w:rPr>
          <w:rFonts w:ascii="Times New Roman" w:hAnsi="Times New Roman"/>
        </w:rPr>
        <w:t xml:space="preserve"> </w:t>
      </w:r>
      <w:hyperlink r:id="rId5" w:history="1">
        <w:r>
          <w:rPr>
            <w:rStyle w:val="Hyperlink"/>
            <w:rFonts w:ascii="Times New Roman" w:hAnsi="Times New Roman"/>
          </w:rPr>
          <w:t>https://ec.europa.eu/commission/presscorner/detail/en/statement_25_1267</w:t>
        </w:r>
      </w:hyperlink>
      <w:r>
        <w:rPr>
          <w:rFonts w:ascii="Times New Roman" w:hAnsi="Times New Roman"/>
        </w:rPr>
        <w:t>.</w:t>
      </w:r>
    </w:p>
  </w:footnote>
  <w:footnote w:id="7">
    <w:p w14:paraId="63124ED5" w14:textId="30F41A3E" w:rsidR="00FA7FF2" w:rsidRPr="00FD3F1B" w:rsidRDefault="00FA7FF2" w:rsidP="00FA7FF2">
      <w:pPr>
        <w:pStyle w:val="FootnoteText"/>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https://ec.europa.eu/commission/presscorner/detail/en/statement_25_3103</w:t>
        </w:r>
      </w:hyperlink>
      <w:r>
        <w:rPr>
          <w:rFonts w:ascii="Times New Roman" w:hAnsi="Times New Roman"/>
        </w:rPr>
        <w:t>.</w:t>
      </w:r>
    </w:p>
  </w:footnote>
  <w:footnote w:id="8">
    <w:p w14:paraId="4988E30B" w14:textId="692E91A2" w:rsidR="00E31ED7" w:rsidRPr="004F21B5" w:rsidRDefault="00E31ED7" w:rsidP="004F21B5">
      <w:pPr>
        <w:pStyle w:val="FootnoteText"/>
        <w:spacing w:after="12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(UE) 2021/689 a Consiliului din 29 aprilie 2021 privind încheierea, în numele Uniunii, a Acordului comercial și de cooperare între Uniunea Europeană și Comunitatea Europeană a Energiei Atomice, pe de o parte, și Regatul Unit al Marii Britanii și Irlandei de Nord, pe de altă parte, și a Acordului dintre Uniunea</w:t>
      </w:r>
      <w:r w:rsidR="00F409DF">
        <w:rPr>
          <w:rFonts w:ascii="Times New Roman" w:hAnsi="Times New Roman"/>
        </w:rPr>
        <w:t> </w:t>
      </w:r>
      <w:r>
        <w:rPr>
          <w:rFonts w:ascii="Times New Roman" w:hAnsi="Times New Roman"/>
        </w:rPr>
        <w:t xml:space="preserve">Europeană și Regatul Unit al Marii Britanii și Irlandei de Nord privind procedurile de securitate pentru schimbul de informații clasificate și protecția acestora, JO L 149, 30.4.2021, p. 2: </w:t>
      </w:r>
      <w:r>
        <w:rPr>
          <w:rFonts w:ascii="Times New Roman" w:hAnsi="Times New Roman"/>
          <w:color w:val="0563C1" w:themeColor="hyperlink"/>
          <w:u w:val="single"/>
        </w:rPr>
        <w:t xml:space="preserve">ELI: </w:t>
      </w:r>
      <w:hyperlink r:id="rId7" w:history="1">
        <w:r>
          <w:rPr>
            <w:rStyle w:val="Hyperlink"/>
            <w:rFonts w:ascii="Times New Roman" w:hAnsi="Times New Roman"/>
          </w:rPr>
          <w:t>http://data.europa.eu/eli/dec/2021/689/oj</w:t>
        </w:r>
      </w:hyperlink>
      <w:r>
        <w:rPr>
          <w:rFonts w:ascii="Times New Roman" w:hAnsi="Times New Roman"/>
        </w:rPr>
        <w:t>.</w:t>
      </w:r>
    </w:p>
  </w:footnote>
  <w:footnote w:id="9">
    <w:p w14:paraId="3F9ED5BF" w14:textId="143DC43E" w:rsidR="001B6AD6" w:rsidRPr="00095FFB" w:rsidRDefault="001B6AD6" w:rsidP="001B6AD6">
      <w:pPr>
        <w:pStyle w:val="FootnoteText"/>
      </w:pPr>
      <w:r>
        <w:rPr>
          <w:rStyle w:val="FootnoteReference"/>
          <w:rFonts w:ascii="Times New Roman" w:hAnsi="Times New Roman" w:cs="Times New Roman"/>
        </w:rPr>
        <w:footnoteRef/>
      </w:r>
      <w:r>
        <w:rPr>
          <w:rFonts w:ascii="Times New Roman" w:hAnsi="Times New Roman"/>
        </w:rPr>
        <w:t xml:space="preserve"> Grupuri de lucru privind: produsele ecologice, autovehiculele și piesele de schimb, medicamentele și coordonarea sistemelor de securitate socială.</w:t>
      </w:r>
    </w:p>
  </w:footnote>
  <w:footnote w:id="10">
    <w:p w14:paraId="4591E44A" w14:textId="433CF58B" w:rsidR="00095FFB" w:rsidRPr="00095FFB" w:rsidRDefault="003D6027" w:rsidP="00095FF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cincea Adunare Parlamentară a Parteneriatului UE-Regatul Unit, 17-18 martie 2025, Bruxelles.</w:t>
      </w:r>
    </w:p>
    <w:p w14:paraId="1F1CC57F" w14:textId="14A4AA2B" w:rsidR="003D6027" w:rsidRPr="00270FCE" w:rsidRDefault="009E7B73" w:rsidP="004F21B5">
      <w:pPr>
        <w:pStyle w:val="FootnoteText"/>
        <w:rPr>
          <w:rFonts w:ascii="Times New Roman" w:hAnsi="Times New Roman" w:cs="Times New Roman"/>
        </w:rPr>
      </w:pPr>
      <w:hyperlink r:id="rId8" w:history="1">
        <w:r w:rsidR="003D6027">
          <w:rPr>
            <w:rStyle w:val="Hyperlink"/>
            <w:rFonts w:ascii="Times New Roman" w:hAnsi="Times New Roman"/>
          </w:rPr>
          <w:t>https://www.europarl.europa.eu/delegations/en/5th-eu-uk-parliamentary-partnership-asse/product-details/20250224DPU39839</w:t>
        </w:r>
      </w:hyperlink>
      <w:r w:rsidR="003D6027">
        <w:rPr>
          <w:rFonts w:ascii="Times New Roman" w:hAnsi="Times New Roman"/>
        </w:rPr>
        <w:t>.</w:t>
      </w:r>
    </w:p>
  </w:footnote>
  <w:footnote w:id="11">
    <w:p w14:paraId="50C6C1DB" w14:textId="0C20F0D7" w:rsidR="00A60811" w:rsidRPr="00270FCE" w:rsidRDefault="00A60811">
      <w:pPr>
        <w:pStyle w:val="FootnoteText"/>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https://www.europarl.europa.eu/delegations/en/d-uk/activities/inter-parliamentary</w:t>
        </w:r>
      </w:hyperlink>
      <w:r>
        <w:t>.</w:t>
      </w:r>
    </w:p>
  </w:footnote>
  <w:footnote w:id="12">
    <w:p w14:paraId="7E3C3949" w14:textId="66C42AF1" w:rsidR="00A60811" w:rsidRPr="00270FCE" w:rsidRDefault="00A60811" w:rsidP="00A6081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Recommendation on strengthening the EU-UK partnership</w:t>
      </w:r>
      <w:r>
        <w:rPr>
          <w:rFonts w:ascii="Times New Roman" w:hAnsi="Times New Roman"/>
        </w:rPr>
        <w:t xml:space="preserve"> (Recomandare privind consolidarea parteneriatului UE-Regatul Unit). </w:t>
      </w:r>
      <w:hyperlink r:id="rId10" w:history="1">
        <w:r>
          <w:rPr>
            <w:rStyle w:val="Hyperlink"/>
            <w:rFonts w:ascii="Times New Roman" w:hAnsi="Times New Roman"/>
          </w:rPr>
          <w:t>https://www.europarl.europa.eu/cmsdata/293904/5th%20PPA%20Recommendation%2017.03.25.pdf</w:t>
        </w:r>
      </w:hyperlink>
      <w:r>
        <w:rPr>
          <w:rFonts w:ascii="Times New Roman" w:hAnsi="Times New Roman"/>
        </w:rPr>
        <w:t>.</w:t>
      </w:r>
    </w:p>
  </w:footnote>
  <w:footnote w:id="13">
    <w:p w14:paraId="17A8A0B6" w14:textId="0EB03A4B" w:rsidR="00A60811" w:rsidRPr="00270FCE" w:rsidRDefault="00A6081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history="1">
        <w:r>
          <w:rPr>
            <w:rStyle w:val="Hyperlink"/>
            <w:rFonts w:ascii="Times New Roman" w:hAnsi="Times New Roman"/>
          </w:rPr>
          <w:t>https://www.europarl.europa.eu/cmsdata/300310/6th%20PPA%20-%20Recommendation%20on%20trade,%20security%20and%20global%20challenges.pdf</w:t>
        </w:r>
      </w:hyperlink>
      <w:r>
        <w:rPr>
          <w:rFonts w:ascii="Times New Roman" w:hAnsi="Times New Roman"/>
        </w:rPr>
        <w:t>.</w:t>
      </w:r>
    </w:p>
  </w:footnote>
  <w:footnote w:id="14">
    <w:p w14:paraId="6BFDC906" w14:textId="19B90173" w:rsidR="00095FFB" w:rsidRPr="00270FCE" w:rsidRDefault="00865BFD" w:rsidP="00095FFB">
      <w:pPr>
        <w:pStyle w:val="FootnoteText"/>
        <w:rPr>
          <w:rFonts w:ascii="Times New Roman" w:hAnsi="Times New Roman" w:cs="Times New Roman"/>
          <w:b/>
          <w:bCs/>
        </w:rPr>
      </w:pPr>
      <w:r>
        <w:rPr>
          <w:rStyle w:val="FootnoteReference"/>
          <w:rFonts w:ascii="Times New Roman" w:hAnsi="Times New Roman" w:cs="Times New Roman"/>
        </w:rPr>
        <w:footnoteRef/>
      </w:r>
      <w:r>
        <w:rPr>
          <w:rFonts w:ascii="Times New Roman" w:hAnsi="Times New Roman"/>
        </w:rPr>
        <w:t xml:space="preserve"> Grupul consultativ intern al UE în temeiul Acordului comercial și de cooperare UE-Regatul Unit</w:t>
      </w:r>
      <w:r>
        <w:t>.</w:t>
      </w:r>
    </w:p>
    <w:p w14:paraId="12087600" w14:textId="1784F6E3" w:rsidR="00865BFD" w:rsidRPr="004F21B5" w:rsidRDefault="009E7B73" w:rsidP="004F21B5">
      <w:pPr>
        <w:pStyle w:val="FootnoteText"/>
        <w:rPr>
          <w:rFonts w:ascii="Times New Roman" w:hAnsi="Times New Roman" w:cs="Times New Roman"/>
        </w:rPr>
      </w:pPr>
      <w:hyperlink r:id="rId12" w:history="1">
        <w:r w:rsidR="00865BFD">
          <w:rPr>
            <w:rStyle w:val="Hyperlink"/>
            <w:rFonts w:ascii="Times New Roman" w:hAnsi="Times New Roman"/>
          </w:rPr>
          <w:t>https://www.eesc.europa.eu/en/sections-other-bodies/other/eu-domestic-advisory-group-under-eu-uk-tca</w:t>
        </w:r>
      </w:hyperlink>
      <w:r w:rsidR="00865BFD">
        <w:rPr>
          <w:rFonts w:ascii="Times New Roman" w:hAnsi="Times New Roman"/>
        </w:rPr>
        <w:t>.</w:t>
      </w:r>
    </w:p>
  </w:footnote>
  <w:footnote w:id="15">
    <w:p w14:paraId="54D2A8F8" w14:textId="6300284C" w:rsidR="00D72AC6" w:rsidRPr="004F21B5" w:rsidRDefault="00D72AC6"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Declarație comună </w:t>
      </w:r>
      <w:hyperlink r:id="rId13" w:history="1">
        <w:r>
          <w:rPr>
            <w:rStyle w:val="Hyperlink"/>
            <w:rFonts w:ascii="Times New Roman" w:hAnsi="Times New Roman"/>
          </w:rPr>
          <w:t>https://www.eesc.europa.eu/sites/default/files/2025-06/eu-uk_dags_joint_statement_2025.pdf</w:t>
        </w:r>
      </w:hyperlink>
      <w:r>
        <w:rPr>
          <w:rFonts w:ascii="Times New Roman" w:hAnsi="Times New Roman"/>
        </w:rPr>
        <w:t>.</w:t>
      </w:r>
    </w:p>
  </w:footnote>
  <w:footnote w:id="16">
    <w:p w14:paraId="25C08730" w14:textId="5FFDB2FC" w:rsidR="00D72AC6" w:rsidRPr="007359FB" w:rsidRDefault="00D72AC6"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 de al patrulea Forum al societății civile privind Acordul comercial și de cooperare între UE și Regatul Unit </w:t>
      </w:r>
      <w:hyperlink r:id="rId14" w:history="1">
        <w:r>
          <w:rPr>
            <w:rStyle w:val="Hyperlink"/>
            <w:rFonts w:ascii="Times New Roman" w:hAnsi="Times New Roman"/>
          </w:rPr>
          <w:t>https://policy.trade.ec.europa.eu/events/fourth-eu-uk-trade-and-cooperation-agreement-civil-society-forum-2025-06-24_en</w:t>
        </w:r>
      </w:hyperlink>
      <w:r>
        <w:rPr>
          <w:rFonts w:ascii="Times New Roman" w:hAnsi="Times New Roman"/>
        </w:rPr>
        <w:t>.</w:t>
      </w:r>
    </w:p>
  </w:footnote>
  <w:footnote w:id="17">
    <w:p w14:paraId="515663C2" w14:textId="77777777" w:rsidR="007971BC" w:rsidRPr="007971BC" w:rsidRDefault="007971BC" w:rsidP="007971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Cea de a patra reuniune a Consiliului de parteneriat</w:t>
      </w:r>
    </w:p>
    <w:p w14:paraId="7A3DDA9F" w14:textId="77777777" w:rsidR="007971BC" w:rsidRPr="007971BC" w:rsidRDefault="009E7B73" w:rsidP="007971BC">
      <w:pPr>
        <w:pStyle w:val="FootnoteText"/>
        <w:rPr>
          <w:rFonts w:ascii="Times New Roman" w:hAnsi="Times New Roman" w:cs="Times New Roman"/>
        </w:rPr>
      </w:pPr>
      <w:hyperlink r:id="rId15" w:history="1">
        <w:r w:rsidR="007971BC">
          <w:rPr>
            <w:rStyle w:val="Hyperlink"/>
            <w:rFonts w:ascii="Times New Roman" w:hAnsi="Times New Roman"/>
          </w:rPr>
          <w:t>Cea de a patra reuniune a Consiliului de parteneriat – Comisia Europeană</w:t>
        </w:r>
      </w:hyperlink>
      <w:r w:rsidR="007971BC">
        <w:t>.</w:t>
      </w:r>
    </w:p>
  </w:footnote>
  <w:footnote w:id="18">
    <w:p w14:paraId="616FD0A9" w14:textId="77777777" w:rsidR="007359FB" w:rsidRPr="007359FB" w:rsidRDefault="00862667" w:rsidP="007359F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Acordul comercial și de cooperare UE-Regatul Unit – formular de plângere</w:t>
      </w:r>
    </w:p>
    <w:p w14:paraId="728CFCDE" w14:textId="37739E16" w:rsidR="007359FB" w:rsidRPr="007359FB" w:rsidRDefault="009E7B73" w:rsidP="007359FB">
      <w:pPr>
        <w:pStyle w:val="FootnoteText"/>
        <w:jc w:val="both"/>
        <w:rPr>
          <w:rFonts w:ascii="Times New Roman" w:hAnsi="Times New Roman" w:cs="Times New Roman"/>
        </w:rPr>
      </w:pPr>
      <w:hyperlink r:id="rId16" w:history="1">
        <w:r w:rsidR="00862667">
          <w:rPr>
            <w:rStyle w:val="Hyperlink"/>
            <w:rFonts w:ascii="Times New Roman" w:hAnsi="Times New Roman"/>
          </w:rPr>
          <w:t>https://ec.europa.eu/assets/sg/complaint_eu_uk_tca/complaints_ro/index.html</w:t>
        </w:r>
      </w:hyperlink>
      <w:r w:rsidR="00862667">
        <w:rPr>
          <w:rFonts w:ascii="Times New Roman" w:hAnsi="Times New Roman"/>
        </w:rPr>
        <w:t xml:space="preserve"> și Punctul unic de intrare</w:t>
      </w:r>
    </w:p>
    <w:p w14:paraId="24596BD5" w14:textId="5B389C2D" w:rsidR="00862667" w:rsidRPr="006A1351" w:rsidRDefault="007359FB" w:rsidP="004F21B5">
      <w:pPr>
        <w:pStyle w:val="FootnoteText"/>
        <w:jc w:val="both"/>
        <w:rPr>
          <w:rFonts w:ascii="Times New Roman" w:hAnsi="Times New Roman" w:cs="Times New Roman"/>
        </w:rPr>
      </w:pPr>
      <w:r>
        <w:t xml:space="preserve"> </w:t>
      </w:r>
      <w:hyperlink r:id="rId17" w:history="1">
        <w:r>
          <w:rPr>
            <w:rStyle w:val="Hyperlink"/>
            <w:rFonts w:ascii="Times New Roman" w:hAnsi="Times New Roman"/>
          </w:rPr>
          <w:t>https://trade.ec.europa.eu/access-to-markets/en/content/single-entry-point-0</w:t>
        </w:r>
      </w:hyperlink>
      <w:r>
        <w:rPr>
          <w:rFonts w:ascii="Times New Roman" w:hAnsi="Times New Roman"/>
        </w:rPr>
        <w:t>.</w:t>
      </w:r>
    </w:p>
  </w:footnote>
  <w:footnote w:id="19">
    <w:p w14:paraId="76B76CE4" w14:textId="1F5FD2BE" w:rsidR="00BA4E5E" w:rsidRPr="00DE0E87" w:rsidRDefault="00BA4E5E" w:rsidP="00DE0E8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 plângere a susținut aplicarea incorectă a ACC de către o decizie a unei autorități a unui stat membru de a partaja cazierele judiciare vechi cu Regatul Unit în temeiul articolului 649 alineatul (2). Serviciile Comisiei au verificat problema și au informat reclamantul că legislația statului membru este cea care reglementează perioada de timp pentru care ar trebui transmise informațiile privind condamnările anterioare și care va fi domeniul de aplicare al informațiilor transmise. A doua reclamație privea sistemul britanic de contracte pentru diferență vizând producerea de energie electrică din surse regenerabile – Runda de alocare 7. La data prezentului raport, Comisia nu a finalizat evaluarea acestei plângeri.</w:t>
      </w:r>
    </w:p>
  </w:footnote>
  <w:footnote w:id="20">
    <w:p w14:paraId="2065D78E" w14:textId="323769C3" w:rsidR="006A1351" w:rsidRPr="006A1351" w:rsidRDefault="006A1351">
      <w:pPr>
        <w:pStyle w:val="FootnoteText"/>
      </w:pPr>
      <w:r>
        <w:rPr>
          <w:rStyle w:val="FootnoteReference"/>
          <w:rFonts w:ascii="Times New Roman" w:hAnsi="Times New Roman" w:cs="Times New Roman"/>
        </w:rPr>
        <w:footnoteRef/>
      </w:r>
      <w:r>
        <w:rPr>
          <w:rFonts w:ascii="Times New Roman" w:hAnsi="Times New Roman"/>
        </w:rPr>
        <w:t xml:space="preserve"> CAUZA PCA nr. 2024-45 </w:t>
      </w:r>
      <w:hyperlink r:id="rId18" w:history="1">
        <w:r>
          <w:rPr>
            <w:rStyle w:val="Hyperlink"/>
            <w:rFonts w:ascii="Times New Roman" w:hAnsi="Times New Roman"/>
          </w:rPr>
          <w:t>https://pcacases.com/web/sendAttach/70467</w:t>
        </w:r>
      </w:hyperlink>
      <w:r>
        <w:t>.</w:t>
      </w:r>
    </w:p>
  </w:footnote>
  <w:footnote w:id="21">
    <w:p w14:paraId="0BBDDB8E" w14:textId="07AA9DE8" w:rsidR="007E3B5A" w:rsidRPr="00C53FC6" w:rsidRDefault="007E3B5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decizie a Consiliului privind poziția care trebuie adoptată, în numele Uniunii Europene, în cadrul Comitetului specializat în comerț privind condiții de concurență echitabile pentru o concurență deschisă și loială și dezvoltarea durabilă instituit prin Acordul comercial și de cooperare între Uniunea Europeană și Comunitatea Europeană a Energiei Atomice, pe de o parte, și Regatul Unit al Marii Britanii și Irlandei de Nord, pe de altă parte, cu privire la adoptarea unei decizii de stabilire a unei liste de persoane care doresc și sunt în măsură să îndeplinească funcția de membri ai grupului de experți instituit în temeiul articolului 409 din Acordul comercial și de cooperare </w:t>
      </w:r>
      <w:hyperlink r:id="rId19" w:history="1">
        <w:r>
          <w:rPr>
            <w:rStyle w:val="Hyperlink"/>
            <w:rFonts w:ascii="Times New Roman" w:hAnsi="Times New Roman"/>
          </w:rPr>
          <w:t>https://eur-lex.europa.eu/legal-content/RO/TXT/HTML/?uri=CELEX:52026PC0089</w:t>
        </w:r>
      </w:hyperlink>
      <w:r>
        <w:t>.</w:t>
      </w:r>
      <w:r>
        <w:rPr>
          <w:rFonts w:ascii="Times New Roman" w:hAnsi="Times New Roman"/>
        </w:rPr>
        <w:t xml:space="preserve"> </w:t>
      </w:r>
    </w:p>
  </w:footnote>
  <w:footnote w:id="22">
    <w:p w14:paraId="26C1F84B" w14:textId="2479A685" w:rsidR="006F2932" w:rsidRPr="006F2932" w:rsidRDefault="006F2932">
      <w:pPr>
        <w:pStyle w:val="FootnoteText"/>
      </w:pPr>
      <w:r>
        <w:rPr>
          <w:rStyle w:val="FootnoteReference"/>
        </w:rPr>
        <w:footnoteRef/>
      </w:r>
      <w:r>
        <w:t xml:space="preserve"> </w:t>
      </w:r>
      <w:bookmarkStart w:id="29" w:name="_Hlk158194613"/>
      <w:r>
        <w:rPr>
          <w:rFonts w:ascii="Times New Roman" w:hAnsi="Times New Roman"/>
        </w:rPr>
        <w:t>Statisticile au acoperit importurile din 202</w:t>
      </w:r>
      <w:bookmarkEnd w:id="29"/>
      <w:r>
        <w:rPr>
          <w:rFonts w:ascii="Times New Roman" w:hAnsi="Times New Roman"/>
        </w:rPr>
        <w:t>4.</w:t>
      </w:r>
    </w:p>
  </w:footnote>
  <w:footnote w:id="23">
    <w:p w14:paraId="0235A4B5" w14:textId="73C8258C" w:rsidR="007E5B4E" w:rsidRPr="00BB7C1E" w:rsidRDefault="007E5B4E" w:rsidP="004F21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Rata de utilizare a preferințelor reflectă cota importurilor sau exporturilor care intră sub incidența preferințelor comerciale ca procent din valoarea totală a importurilor sau exporturilor eligibile pentru preferințe pentru fiecare țară parteneră.</w:t>
      </w:r>
    </w:p>
  </w:footnote>
  <w:footnote w:id="24">
    <w:p w14:paraId="13C40051" w14:textId="1D021361" w:rsidR="000B7200" w:rsidRPr="00BB7C1E" w:rsidRDefault="000B7200" w:rsidP="004F21B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mai multe detalii privind punerea în aplicare a acordurilor de liber schimb ale UE, a se vedea Raportul Comisiei Europene către Parlamentul European, Consiliu, Comitetul Economic și Social European și Comitetul Regiunilor privind punerea în aplicare și asigurarea respectării politicii comerciale a UE: </w:t>
      </w:r>
      <w:hyperlink r:id="rId20" w:history="1">
        <w:r>
          <w:rPr>
            <w:rStyle w:val="Hyperlink"/>
            <w:rFonts w:ascii="Times New Roman" w:hAnsi="Times New Roman"/>
          </w:rPr>
          <w:t>https://policy.trade.ec.europa.eu/enforcement-and-protection/implementing-and-enforcing-eu-trade-agreements_en</w:t>
        </w:r>
      </w:hyperlink>
      <w:r>
        <w:rPr>
          <w:rFonts w:ascii="Times New Roman" w:hAnsi="Times New Roman"/>
        </w:rPr>
        <w:t>.</w:t>
      </w:r>
    </w:p>
  </w:footnote>
  <w:footnote w:id="25">
    <w:p w14:paraId="0CC97C07" w14:textId="77777777" w:rsidR="00CA2DC7" w:rsidRPr="00BB7C1E" w:rsidRDefault="00CA2DC7" w:rsidP="00CA2DC7">
      <w:pPr>
        <w:pStyle w:val="oCarCar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Toate cifrele se bazează – cu excepția cazului în care se specifică altfel – pe datele Eurostat: </w:t>
      </w:r>
      <w:hyperlink r:id="rId21" w:history="1">
        <w:r>
          <w:rPr>
            <w:rStyle w:val="Hyperlink"/>
            <w:rFonts w:ascii="Times New Roman" w:hAnsi="Times New Roman"/>
          </w:rPr>
          <w:t>https://ec.europa.eu/eurostat/web/international-trade-in-goods/overview</w:t>
        </w:r>
      </w:hyperlink>
      <w:r>
        <w:rPr>
          <w:rFonts w:ascii="Times New Roman" w:hAnsi="Times New Roman"/>
        </w:rPr>
        <w:t>.</w:t>
      </w:r>
    </w:p>
  </w:footnote>
  <w:footnote w:id="26">
    <w:p w14:paraId="42D2101F" w14:textId="72CCB7A6" w:rsidR="00EE202D" w:rsidRPr="00EE202D" w:rsidRDefault="00B8510B" w:rsidP="00EE202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Viză de furnizor de servicii (mobilitatea globală în cadrul întreprinderilor)</w:t>
      </w:r>
    </w:p>
    <w:p w14:paraId="67C7CE6E" w14:textId="06F350D6" w:rsidR="00B8510B" w:rsidRPr="001F1FC5" w:rsidRDefault="00F97D5F" w:rsidP="00B8510B">
      <w:pPr>
        <w:pStyle w:val="FootnoteText"/>
        <w:rPr>
          <w:rFonts w:ascii="Times New Roman" w:hAnsi="Times New Roman" w:cs="Times New Roman"/>
        </w:rPr>
      </w:pPr>
      <w:r>
        <w:rPr>
          <w:rFonts w:ascii="Times New Roman" w:hAnsi="Times New Roman"/>
        </w:rPr>
        <w:t xml:space="preserve"> </w:t>
      </w:r>
      <w:hyperlink r:id="rId22" w:history="1">
        <w:r>
          <w:rPr>
            <w:rStyle w:val="Hyperlink"/>
            <w:rFonts w:ascii="Times New Roman" w:hAnsi="Times New Roman"/>
          </w:rPr>
          <w:t>https://www.gov.uk/service-supplier-visa/eligibility</w:t>
        </w:r>
      </w:hyperlink>
      <w:r>
        <w:rPr>
          <w:rFonts w:ascii="Times New Roman" w:hAnsi="Times New Roman"/>
        </w:rPr>
        <w:t>.</w:t>
      </w:r>
    </w:p>
  </w:footnote>
  <w:footnote w:id="27">
    <w:p w14:paraId="7F8E0449" w14:textId="77777777" w:rsidR="000D7DA0" w:rsidRPr="00DB2614" w:rsidRDefault="000D7DA0" w:rsidP="000D7DA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rapoartele Comisiei privind punerea în aplicare a ACC pentru anii 2022, 2023 și 2024. </w:t>
      </w:r>
    </w:p>
  </w:footnote>
  <w:footnote w:id="28">
    <w:p w14:paraId="1A09CA5B" w14:textId="77777777" w:rsidR="00D03CCA" w:rsidRPr="000614F7" w:rsidRDefault="00D03CCA" w:rsidP="00D03CC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Memorandum de înțelegere de instituire a unui cadru pentru cooperarea în materie de reglementare a serviciilor financiare</w:t>
      </w:r>
    </w:p>
    <w:p w14:paraId="04A4D4CA" w14:textId="77777777" w:rsidR="00D03CCA" w:rsidRPr="000614F7" w:rsidRDefault="00D03CCA" w:rsidP="00D03CCA">
      <w:pPr>
        <w:pStyle w:val="FootnoteText"/>
        <w:rPr>
          <w:rFonts w:ascii="Times New Roman" w:hAnsi="Times New Roman" w:cs="Times New Roman"/>
        </w:rPr>
      </w:pPr>
      <w:r>
        <w:rPr>
          <w:rFonts w:ascii="Times New Roman" w:hAnsi="Times New Roman"/>
        </w:rPr>
        <w:t>dintre Uniunea Europeană și Regatul Unit al Marii Britanii și</w:t>
      </w:r>
    </w:p>
    <w:p w14:paraId="4283EC30" w14:textId="77777777" w:rsidR="00D03CCA" w:rsidRPr="00820904" w:rsidRDefault="00D03CCA" w:rsidP="00D03CCA">
      <w:pPr>
        <w:pStyle w:val="FootnoteText"/>
        <w:rPr>
          <w:rFonts w:ascii="Times New Roman" w:hAnsi="Times New Roman" w:cs="Times New Roman"/>
        </w:rPr>
      </w:pPr>
      <w:r>
        <w:rPr>
          <w:rFonts w:ascii="Times New Roman" w:hAnsi="Times New Roman"/>
        </w:rPr>
        <w:t xml:space="preserve">Irlanda de Nord: </w:t>
      </w:r>
      <w:hyperlink r:id="rId23" w:history="1">
        <w:r>
          <w:rPr>
            <w:rStyle w:val="Hyperlink"/>
            <w:rFonts w:ascii="Times New Roman" w:hAnsi="Times New Roman"/>
          </w:rPr>
          <w:t>https://finance.ec.europa.eu/system/files/2023-09/230627-memorandum-understanding-financial-services-eu-uk_en.pdf</w:t>
        </w:r>
      </w:hyperlink>
      <w:r>
        <w:rPr>
          <w:rFonts w:ascii="Times New Roman" w:hAnsi="Times New Roman"/>
        </w:rPr>
        <w:t>.</w:t>
      </w:r>
    </w:p>
  </w:footnote>
  <w:footnote w:id="29">
    <w:p w14:paraId="5A08C25E" w14:textId="77777777" w:rsidR="00D03CCA" w:rsidRPr="00F600F9" w:rsidRDefault="00D03CCA" w:rsidP="00D03CC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https://finance.ec.europa.eu/eu-and-world/bilateral-relations/regulatory-dialogues-united-kingdom_en</w:t>
        </w:r>
      </w:hyperlink>
      <w:r>
        <w:rPr>
          <w:rFonts w:ascii="Times New Roman" w:hAnsi="Times New Roman"/>
        </w:rPr>
        <w:t>.</w:t>
      </w:r>
    </w:p>
  </w:footnote>
  <w:footnote w:id="30">
    <w:p w14:paraId="788188CC" w14:textId="70C84FB5" w:rsidR="00E8406E" w:rsidRPr="008B263A" w:rsidRDefault="00E8406E" w:rsidP="004F21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Toate cifrele se bazează – cu excepția cazului în care se specifică altfel – pe datele Eurostat: </w:t>
      </w:r>
      <w:hyperlink r:id="rId25" w:history="1">
        <w:r>
          <w:rPr>
            <w:rStyle w:val="Hyperlink"/>
            <w:rFonts w:ascii="Times New Roman" w:hAnsi="Times New Roman"/>
          </w:rPr>
          <w:t>https://ec.europa.eu/eurostat/web/balance-of-payments/overview</w:t>
        </w:r>
      </w:hyperlink>
      <w:r>
        <w:rPr>
          <w:rFonts w:ascii="Times New Roman" w:hAnsi="Times New Roman"/>
        </w:rPr>
        <w:t xml:space="preserve"> și </w:t>
      </w:r>
      <w:hyperlink r:id="rId26" w:history="1">
        <w:r>
          <w:rPr>
            <w:rStyle w:val="Hyperlink"/>
            <w:rFonts w:ascii="Times New Roman" w:hAnsi="Times New Roman"/>
          </w:rPr>
          <w:t>https://ec.europa.eu/eurostat/web/international-trade-in-services/overview</w:t>
        </w:r>
      </w:hyperlink>
      <w:r>
        <w:rPr>
          <w:rFonts w:ascii="Times New Roman" w:hAnsi="Times New Roman"/>
        </w:rPr>
        <w:t>.</w:t>
      </w:r>
    </w:p>
  </w:footnote>
  <w:footnote w:id="31">
    <w:p w14:paraId="22B04B35" w14:textId="4209552C" w:rsidR="008937E9" w:rsidRPr="00B06BD4" w:rsidRDefault="008937E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https://ec.europa.eu/commission/presscorner/detail/en/ip_26_454</w:t>
        </w:r>
      </w:hyperlink>
      <w:r>
        <w:t>.</w:t>
      </w:r>
      <w:r>
        <w:rPr>
          <w:rFonts w:ascii="Times New Roman" w:hAnsi="Times New Roman"/>
        </w:rPr>
        <w:t xml:space="preserve"> </w:t>
      </w:r>
    </w:p>
  </w:footnote>
  <w:footnote w:id="32">
    <w:p w14:paraId="25EAA47D" w14:textId="0B935FF2" w:rsidR="00DC4CB9" w:rsidRPr="00DC4CB9" w:rsidRDefault="00DC4CB9" w:rsidP="00DC4CB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Declarația comună 1/2025 a Uniunii și a Regatului Unit în cadrul Consiliului de parteneriat instituit prin Acordul comercial și de cooperare între Uniunea Europeană și Comunitatea Europeană a Energiei Atomice, pe de o parte, și Regatul Unit al Marii Britanii și Irlandei de Nord, pe de altă parte din 19 iunie 2025 </w:t>
      </w:r>
      <w:hyperlink r:id="rId28" w:history="1">
        <w:r>
          <w:rPr>
            <w:rStyle w:val="Hyperlink"/>
            <w:rFonts w:ascii="Times New Roman" w:hAnsi="Times New Roman"/>
          </w:rPr>
          <w:t>https://eur-lex.europa.eu/legal-content/RO/TXT/?uri=OJ%3AL_202501232</w:t>
        </w:r>
      </w:hyperlink>
      <w:r>
        <w:rPr>
          <w:rFonts w:ascii="Times New Roman" w:hAnsi="Times New Roman"/>
        </w:rPr>
        <w:t>.</w:t>
      </w:r>
    </w:p>
  </w:footnote>
  <w:footnote w:id="33">
    <w:p w14:paraId="74927A7D" w14:textId="4D30F038" w:rsidR="00DC4CB9" w:rsidRPr="00DC4CB9" w:rsidRDefault="00DC4CB9" w:rsidP="00DC4CB9">
      <w:pPr>
        <w:pStyle w:val="FootnoteText"/>
        <w:jc w:val="both"/>
      </w:pPr>
      <w:r>
        <w:rPr>
          <w:rStyle w:val="FootnoteReference"/>
          <w:rFonts w:ascii="Times New Roman" w:hAnsi="Times New Roman" w:cs="Times New Roman"/>
        </w:rPr>
        <w:footnoteRef/>
      </w:r>
      <w:r>
        <w:rPr>
          <w:rFonts w:ascii="Times New Roman" w:hAnsi="Times New Roman"/>
        </w:rPr>
        <w:t xml:space="preserve"> Decizia nr. 2/2025 a Consiliului de parteneriat constituit prin Acordul comercial și de cooperare între Uniunea</w:t>
      </w:r>
      <w:r w:rsidR="000E5458">
        <w:rPr>
          <w:rFonts w:ascii="Times New Roman" w:hAnsi="Times New Roman"/>
        </w:rPr>
        <w:t> </w:t>
      </w:r>
      <w:r>
        <w:rPr>
          <w:rFonts w:ascii="Times New Roman" w:hAnsi="Times New Roman"/>
        </w:rPr>
        <w:t>Europeană și Comunitatea Europeană a Energiei Atomice, pe de o parte, și Regatul Unit al Marii</w:t>
      </w:r>
      <w:r w:rsidR="000E5458">
        <w:rPr>
          <w:rFonts w:ascii="Times New Roman" w:hAnsi="Times New Roman"/>
        </w:rPr>
        <w:t> </w:t>
      </w:r>
      <w:r>
        <w:rPr>
          <w:rFonts w:ascii="Times New Roman" w:hAnsi="Times New Roman"/>
        </w:rPr>
        <w:t>Britanii și Irlandei de Nord, pe de altă parte din 19 iunie 2025 de interpretare a articolului 331 alineatul (2) și de prelungire a aplicării părții a doua rubrica întâi titlul VIII privind energia din Acordul comercial și de cooperare între Uniunea Europeană și Comunitatea Europeană a Energiei Atomice, pe de o parte, și Regatul</w:t>
      </w:r>
      <w:r w:rsidR="000E5458">
        <w:rPr>
          <w:rFonts w:ascii="Times New Roman" w:hAnsi="Times New Roman"/>
        </w:rPr>
        <w:t> </w:t>
      </w:r>
      <w:r>
        <w:rPr>
          <w:rFonts w:ascii="Times New Roman" w:hAnsi="Times New Roman"/>
        </w:rPr>
        <w:t xml:space="preserve">Unit al Marii Britanii și Irlandei de Nord, pe de altă parte </w:t>
      </w:r>
      <w:hyperlink r:id="rId29" w:history="1">
        <w:r>
          <w:rPr>
            <w:rStyle w:val="Hyperlink"/>
            <w:rFonts w:ascii="Times New Roman" w:hAnsi="Times New Roman"/>
          </w:rPr>
          <w:t>https://eur-lex.europa.eu/legal-content/RO/TXT/?uri=OJ%3AL_202501230</w:t>
        </w:r>
      </w:hyperlink>
      <w:r>
        <w:t>.</w:t>
      </w:r>
    </w:p>
  </w:footnote>
  <w:footnote w:id="34">
    <w:p w14:paraId="05FEDA23" w14:textId="2BBC4F76" w:rsidR="001A412E" w:rsidRPr="002237FC" w:rsidRDefault="001A412E" w:rsidP="001A412E">
      <w:pPr>
        <w:pStyle w:val="FootnoteText"/>
        <w:jc w:val="both"/>
        <w:rPr>
          <w:rFonts w:ascii="Times New Roman" w:hAnsi="Times New Roman" w:cs="Times New Roman"/>
          <w:i/>
          <w:iCs/>
        </w:rPr>
      </w:pPr>
      <w:r>
        <w:rPr>
          <w:rStyle w:val="FootnoteReference"/>
        </w:rPr>
        <w:footnoteRef/>
      </w:r>
      <w:r>
        <w:t xml:space="preserve"> </w:t>
      </w:r>
      <w:r>
        <w:rPr>
          <w:rFonts w:ascii="Times New Roman" w:hAnsi="Times New Roman"/>
        </w:rPr>
        <w:t>Recomandarea nr. 1/2024 a Comitetului specializat privind energia constituit prin articolul 8 alineatul (1) litera (l) din Acordul comercial și de cooperare între Uniunea Europeană și Comunitatea Europeană a Energiei Atomice, pe de o parte, și Regatul Unit al Marii Britanii și Irlandei de Nord, pe de altă parte, din 19 decembrie 2024 adresată fiecărei părți în ceea ce privește pregătirea unor proceduri tehnice pentru utilizarea eficientă a liniilor de interconexiune de energie electrică:</w:t>
      </w:r>
    </w:p>
    <w:p w14:paraId="1D031B6D" w14:textId="1AD0CEB8" w:rsidR="001A412E" w:rsidRPr="0057302A" w:rsidRDefault="009E7B73" w:rsidP="001A412E">
      <w:pPr>
        <w:pStyle w:val="FootnoteText"/>
        <w:jc w:val="both"/>
        <w:rPr>
          <w:rFonts w:ascii="Times New Roman" w:hAnsi="Times New Roman" w:cs="Times New Roman"/>
        </w:rPr>
      </w:pPr>
      <w:hyperlink r:id="rId30" w:history="1">
        <w:r w:rsidR="001A412E">
          <w:rPr>
            <w:rStyle w:val="Hyperlink"/>
            <w:rFonts w:ascii="Times New Roman" w:hAnsi="Times New Roman"/>
          </w:rPr>
          <w:t>https://eur-lex.europa.eu/legal-content/RO/TXT/?uri=CELEX%3A22025D0706&amp;qid=1756374227559</w:t>
        </w:r>
      </w:hyperlink>
      <w:r w:rsidR="001A412E">
        <w:t>.</w:t>
      </w:r>
    </w:p>
  </w:footnote>
  <w:footnote w:id="35">
    <w:p w14:paraId="7BBF6A47" w14:textId="21E2CB40" w:rsidR="003E301C" w:rsidRPr="00E81BD4" w:rsidRDefault="003E301C" w:rsidP="003E301C">
      <w:pPr>
        <w:pStyle w:val="FootnoteText"/>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https://eur-lex.europa.eu/legal-content/RO/TXT/HTML/?uri=COM:2025:804:FIN</w:t>
        </w:r>
      </w:hyperlink>
      <w:r>
        <w:t>.</w:t>
      </w:r>
    </w:p>
  </w:footnote>
  <w:footnote w:id="36">
    <w:p w14:paraId="2DCF85CD" w14:textId="414C0C80" w:rsidR="00C31234" w:rsidRPr="006C4F09" w:rsidRDefault="00C3123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nr. 2/2024 a Comitetului specializat privind energia constituit prin articolul 8 alineatul (1) litera (l) din Acordul comercial și de cooperare între Uniunea Europeană și Comunitatea Europeană a Energiei Atomice, pe de o parte, și Regatul Unit al Marii Britanii și Irlandei de Nord, pe de altă parte din 7 noiembrie 2024 în ceea ce privește instituirea unui Grup de lucru privind securitatea aprovizionării, </w:t>
      </w:r>
      <w:hyperlink r:id="rId32" w:history="1">
        <w:r>
          <w:rPr>
            <w:rStyle w:val="Hyperlink"/>
            <w:rFonts w:ascii="Times New Roman" w:hAnsi="Times New Roman"/>
          </w:rPr>
          <w:t>https://eur-lex.europa.eu/legal-content/RO/TXT/?uri=CELEX%3A22025D0705&amp;qid=1756375999645</w:t>
        </w:r>
      </w:hyperlink>
      <w:r>
        <w:t>.</w:t>
      </w:r>
    </w:p>
  </w:footnote>
  <w:footnote w:id="37">
    <w:p w14:paraId="4E8C1182" w14:textId="77777777" w:rsidR="00016EB0" w:rsidRPr="0066529A" w:rsidRDefault="00016EB0" w:rsidP="00016EB0">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Următoarele state membre au semnat acorduri bilaterale cu Regatul Unit: Austria, Belgia, Bulgaria, Croația, Cipru, Cehia, Danemarca, Estonia, Finlanda, Franța, Germania, Grecia, Italia, Irlanda, Letonia, Lituania, Luxemburg, Malta, Slovacia, Slovenia, Suedia, Țările de Jos și Ungaria.</w:t>
      </w:r>
    </w:p>
  </w:footnote>
  <w:footnote w:id="38">
    <w:p w14:paraId="14CB13D4" w14:textId="5277C7E1" w:rsidR="00DB5952" w:rsidRPr="006B530F" w:rsidRDefault="00DB5952" w:rsidP="006B530F">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nr. 1/2025 a Comitetului specializat privind transportul rutier privind o listă cu categoriile, tipurile și gradele de gravitate ale încălcărilor grave care pot conduce la pierderea bunei reputații a unui operator de transport rutier de mărfuri </w:t>
      </w:r>
      <w:hyperlink r:id="rId33" w:history="1">
        <w:r>
          <w:rPr>
            <w:rStyle w:val="Hyperlink"/>
            <w:rFonts w:ascii="Times New Roman" w:hAnsi="Times New Roman"/>
          </w:rPr>
          <w:t>EUR-Lex - 22025D2330 - RO - EUR-Lex</w:t>
        </w:r>
      </w:hyperlink>
      <w:r>
        <w:rPr>
          <w:rFonts w:ascii="Times New Roman" w:hAnsi="Times New Roman"/>
        </w:rPr>
        <w:t xml:space="preserve"> și Decizia nr. 2/2025 a Comitetului specializat privind transportul rutier în ceea ce privește registrele electronice naționale ale întreprinderilor de transport rutier și modalitățile de realizare a schimbului de informații conținute în registrele respective </w:t>
      </w:r>
      <w:hyperlink r:id="rId34" w:history="1">
        <w:r>
          <w:rPr>
            <w:rStyle w:val="Hyperlink"/>
            <w:rFonts w:ascii="Times New Roman" w:hAnsi="Times New Roman"/>
          </w:rPr>
          <w:t>https://eur-lex.europa.eu/legal-content/RO/TXT/?uri=OJ:L_202502331</w:t>
        </w:r>
      </w:hyperlink>
      <w:r>
        <w:t>.</w:t>
      </w:r>
      <w:r>
        <w:rPr>
          <w:rFonts w:ascii="Times New Roman" w:hAnsi="Times New Roman"/>
        </w:rPr>
        <w:t xml:space="preserve"> </w:t>
      </w:r>
    </w:p>
  </w:footnote>
  <w:footnote w:id="39">
    <w:p w14:paraId="44677093" w14:textId="2682CFD7" w:rsidR="00A9100D" w:rsidRPr="00A9100D" w:rsidRDefault="00A9100D" w:rsidP="00A9100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nr. 1/2025 a Consiliului de parteneriat constituit prin Acordul comercial și de cooperare între Uniunea Europeană și Comunitatea Europeană a Energiei Atomice, pe de o parte, și Regatul Unit al Marii Britanii și Irlandei de Nord, pe de altă parte din 18 iunie 2025 de interpretare a articolului 508 alineatul (2) litera (d) din Acordul comercial și de cooperare între Uniunea Europeană și Comunitatea Europeană a Energiei Atomice, pe de o parte, și Regatul Unit al Marii Britanii și Irlandei de Nord, pe de altă parte: </w:t>
      </w:r>
      <w:hyperlink r:id="rId35" w:history="1">
        <w:r>
          <w:rPr>
            <w:rStyle w:val="Hyperlink"/>
            <w:rFonts w:ascii="Times New Roman" w:hAnsi="Times New Roman"/>
          </w:rPr>
          <w:t>https://eur-lex.europa.eu/legal-content/RO/TXT/?uri=OJ%3AL_202501229</w:t>
        </w:r>
      </w:hyperlink>
      <w:r>
        <w:rPr>
          <w:rFonts w:ascii="Times New Roman" w:hAnsi="Times New Roman"/>
        </w:rPr>
        <w:t>.</w:t>
      </w:r>
    </w:p>
  </w:footnote>
  <w:footnote w:id="40">
    <w:p w14:paraId="02C09CC1" w14:textId="036C3C2F" w:rsidR="00A9100D" w:rsidRPr="00A9100D" w:rsidRDefault="00A9100D" w:rsidP="00A9100D">
      <w:pPr>
        <w:pStyle w:val="FootnoteText"/>
        <w:jc w:val="both"/>
      </w:pPr>
      <w:r>
        <w:rPr>
          <w:rStyle w:val="FootnoteReference"/>
          <w:rFonts w:ascii="Times New Roman" w:hAnsi="Times New Roman" w:cs="Times New Roman"/>
        </w:rPr>
        <w:footnoteRef/>
      </w:r>
      <w:r>
        <w:rPr>
          <w:rFonts w:ascii="Times New Roman" w:hAnsi="Times New Roman"/>
        </w:rPr>
        <w:t xml:space="preserve"> Decizia nr. 1/2025 a Comitetului specializat privind pescuitul referitoare la dispozițiile privind nivelul și condițiile de acces acordate de fiecare parte navelor celeilalte părți pentru a pescui în apele sale în perioada 1 iulie 2026-30 iunie 2038: </w:t>
      </w:r>
      <w:hyperlink r:id="rId36" w:history="1">
        <w:r>
          <w:rPr>
            <w:rStyle w:val="Hyperlink"/>
            <w:rFonts w:ascii="Times New Roman" w:hAnsi="Times New Roman"/>
          </w:rPr>
          <w:t>https://eur-lex.europa.eu/legal-content/RO/TXT/?uri=OJ:L_202501231</w:t>
        </w:r>
      </w:hyperlink>
      <w:r>
        <w:t>.</w:t>
      </w:r>
    </w:p>
  </w:footnote>
  <w:footnote w:id="41">
    <w:p w14:paraId="40AA7418" w14:textId="7A2BE07C" w:rsidR="004E689D" w:rsidRPr="005A2BA7" w:rsidRDefault="004E689D" w:rsidP="004E68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Notificări în temeiul părții a treia – Cooperarea în materie de asigurare a respectării legii și cooperarea judiciară în materie penală din Acordul comercial și de cooperare între Uniunea Europeană și Regatul Unit – Revizuirea notificărilor efectuate către Regatul Unit ca parte a revizuirii în comun a părții a treia din Acordul comercial și de cooperare (articolul 630 din ACC): </w:t>
      </w:r>
      <w:hyperlink r:id="rId37" w:history="1">
        <w:r>
          <w:rPr>
            <w:rStyle w:val="Hyperlink"/>
            <w:rFonts w:ascii="Times New Roman" w:hAnsi="Times New Roman"/>
          </w:rPr>
          <w:t>https://eur-lex.europa.eu/legal-content/RO/TXT/?uri=OJ:C_202506451</w:t>
        </w:r>
      </w:hyperlink>
      <w:r>
        <w:rPr>
          <w:rFonts w:ascii="Times New Roman" w:hAnsi="Times New Roman"/>
        </w:rPr>
        <w:t>.</w:t>
      </w:r>
    </w:p>
  </w:footnote>
  <w:footnote w:id="42">
    <w:p w14:paraId="76010AD3" w14:textId="75819E4D" w:rsidR="000C5317" w:rsidRDefault="000C5317">
      <w:pPr>
        <w:pStyle w:val="FootnoteText"/>
      </w:pPr>
      <w:r>
        <w:rPr>
          <w:rStyle w:val="FootnoteReference"/>
        </w:rPr>
        <w:footnoteRef/>
      </w:r>
      <w:r>
        <w:t xml:space="preserve"> </w:t>
      </w:r>
      <w:r>
        <w:rPr>
          <w:rFonts w:ascii="Times New Roman" w:hAnsi="Times New Roman"/>
        </w:rPr>
        <w:t>Date din octombrie 2025.</w:t>
      </w:r>
    </w:p>
  </w:footnote>
  <w:footnote w:id="43">
    <w:p w14:paraId="3A4A753D" w14:textId="65377431" w:rsidR="00BD370D" w:rsidRPr="00F52880" w:rsidRDefault="00BD370D" w:rsidP="00BD370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Tabloul de bord al programului Orizont: </w:t>
      </w:r>
      <w:hyperlink r:id="rId38" w:history="1">
        <w:r>
          <w:rPr>
            <w:rStyle w:val="Hyperlink"/>
            <w:rFonts w:ascii="Times New Roman" w:hAnsi="Times New Roman"/>
          </w:rPr>
          <w:t>Profilul de țară C&amp;I - Bine ați venit |</w:t>
        </w:r>
      </w:hyperlink>
      <w:hyperlink r:id="rId39" w:history="1">
        <w:r>
          <w:rPr>
            <w:rStyle w:val="Hyperlink"/>
            <w:rFonts w:ascii="Times New Roman" w:hAnsi="Times New Roman"/>
          </w:rPr>
          <w:t xml:space="preserve"> Fișa - Qlik Sense</w:t>
        </w:r>
      </w:hyperlink>
      <w:r>
        <w:t>.</w:t>
      </w:r>
    </w:p>
  </w:footnote>
  <w:footnote w:id="44">
    <w:p w14:paraId="15609000" w14:textId="1B7179D5" w:rsidR="00BD370D" w:rsidRPr="00CD620E" w:rsidRDefault="00BD370D">
      <w:pPr>
        <w:pStyle w:val="FootnoteText"/>
      </w:pPr>
      <w:r>
        <w:rPr>
          <w:rStyle w:val="FootnoteReference"/>
          <w:rFonts w:ascii="Times New Roman" w:hAnsi="Times New Roman" w:cs="Times New Roman"/>
        </w:rPr>
        <w:footnoteRef/>
      </w:r>
      <w:r>
        <w:rPr>
          <w:rFonts w:ascii="Times New Roman" w:hAnsi="Times New Roman"/>
        </w:rPr>
        <w:t xml:space="preserve"> </w:t>
      </w:r>
      <w:hyperlink r:id="rId40" w:history="1">
        <w:r>
          <w:rPr>
            <w:rStyle w:val="Hyperlink"/>
            <w:rFonts w:ascii="Times New Roman" w:hAnsi="Times New Roman"/>
          </w:rPr>
          <w:t>https://ec.europa.eu/commission/presscorner/detail/en/statement_25_3103</w:t>
        </w:r>
      </w:hyperlink>
      <w:r>
        <w:t>.</w:t>
      </w:r>
    </w:p>
  </w:footnote>
  <w:footnote w:id="45">
    <w:p w14:paraId="24F86AC0" w14:textId="7CBD391D" w:rsidR="001E56AA" w:rsidRPr="007D3844" w:rsidRDefault="001E56AA" w:rsidP="001E56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(UE) 2025/1286 a Consiliului din 20 iunie 2025 de autorizare a începerii negocierilor cu Regatul Unit al Marii Britanii și Irlandei de Nord în vederea unui acord privind un Program de experiență pentru tineret </w:t>
      </w:r>
      <w:hyperlink r:id="rId41" w:history="1">
        <w:r>
          <w:rPr>
            <w:rStyle w:val="Hyperlink"/>
            <w:rFonts w:ascii="Times New Roman" w:hAnsi="Times New Roman"/>
          </w:rPr>
          <w:t>https://eur-lex.europa.eu/eli/dec/2025/1286/oj</w:t>
        </w:r>
      </w:hyperlink>
      <w:r>
        <w:rPr>
          <w:rFonts w:ascii="Times New Roman" w:hAnsi="Times New Roman"/>
        </w:rPr>
        <w:t>.</w:t>
      </w:r>
    </w:p>
  </w:footnote>
  <w:footnote w:id="46">
    <w:p w14:paraId="1AEBC27D" w14:textId="2782EFD4" w:rsidR="007D3844" w:rsidRPr="007D3844" w:rsidRDefault="007D3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2" w:history="1">
        <w:r>
          <w:rPr>
            <w:rStyle w:val="Hyperlink"/>
            <w:rFonts w:ascii="Times New Roman" w:hAnsi="Times New Roman"/>
          </w:rPr>
          <w:t>Legea din 2022 privind controlul subvențiilor</w:t>
        </w:r>
      </w:hyperlink>
      <w:r>
        <w:t>.</w:t>
      </w:r>
      <w:r>
        <w:rPr>
          <w:rFonts w:ascii="Times New Roman" w:hAnsi="Times New Roman"/>
        </w:rPr>
        <w:t xml:space="preserve"> </w:t>
      </w:r>
    </w:p>
  </w:footnote>
  <w:footnote w:id="47">
    <w:p w14:paraId="693B47CA" w14:textId="77777777" w:rsidR="007D3844" w:rsidRPr="00FB459C" w:rsidRDefault="007D3844" w:rsidP="007D38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https://www.legislation.gov.uk/uksi/2025/845/made</w:t>
        </w:r>
      </w:hyperlink>
      <w:r>
        <w:t>.</w:t>
      </w:r>
      <w:r>
        <w:rPr>
          <w:rFonts w:ascii="Times New Roman" w:hAnsi="Times New Roman"/>
        </w:rPr>
        <w:t xml:space="preserve"> </w:t>
      </w:r>
    </w:p>
  </w:footnote>
  <w:footnote w:id="48">
    <w:p w14:paraId="60B18121" w14:textId="6BDC0AA1" w:rsidR="00836903" w:rsidRPr="001E56AA" w:rsidRDefault="0083690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https://assets.publishing.service.gov.uk/media/69440cd78f4636fa2c547e8a/employment-rights-act-2025-overview.pdf.</w:t>
      </w:r>
    </w:p>
  </w:footnote>
  <w:footnote w:id="49">
    <w:p w14:paraId="403A8039" w14:textId="2BA61A95" w:rsidR="00670DDE" w:rsidRPr="0018706E" w:rsidRDefault="00670DD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4" w:history="1">
        <w:r>
          <w:rPr>
            <w:rStyle w:val="Hyperlink"/>
            <w:rFonts w:ascii="Times New Roman" w:hAnsi="Times New Roman"/>
          </w:rPr>
          <w:t>https://www.legislation.gov.uk/ukpga/2023/39</w:t>
        </w:r>
      </w:hyperlink>
      <w:r>
        <w:rPr>
          <w:rFonts w:ascii="Times New Roman" w:hAnsi="Times New Roman"/>
        </w:rPr>
        <w:t>.</w:t>
      </w:r>
    </w:p>
  </w:footnote>
  <w:footnote w:id="50">
    <w:p w14:paraId="1ABBFF10" w14:textId="1E568D9D" w:rsidR="0018706E" w:rsidRPr="0018706E" w:rsidRDefault="0018706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5" w:history="1">
        <w:r>
          <w:rPr>
            <w:rStyle w:val="Hyperlink"/>
            <w:rFonts w:ascii="Times New Roman" w:hAnsi="Times New Roman"/>
          </w:rPr>
          <w:t>https://eur-lex.europa.eu/legal-content/RO/TXT/?uri=celex:52024DC0127</w:t>
        </w:r>
      </w:hyperlink>
      <w:r>
        <w:rPr>
          <w:rFonts w:ascii="Times New Roman" w:hAnsi="Times New Roman"/>
        </w:rPr>
        <w:t>.</w:t>
      </w:r>
    </w:p>
  </w:footnote>
  <w:footnote w:id="51">
    <w:p w14:paraId="596F5552" w14:textId="79839573" w:rsidR="003758D3" w:rsidRPr="0018706E" w:rsidRDefault="003758D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6" w:history="1">
        <w:r>
          <w:rPr>
            <w:rStyle w:val="Hyperlink"/>
            <w:rFonts w:ascii="Times New Roman" w:hAnsi="Times New Roman"/>
          </w:rPr>
          <w:t>https://www.legislation.gov.uk/ukpga/2025/16</w:t>
        </w:r>
      </w:hyperlink>
      <w:r>
        <w:rPr>
          <w:rFonts w:ascii="Times New Roman" w:hAnsi="Times New Roman"/>
        </w:rPr>
        <w:t>.</w:t>
      </w:r>
    </w:p>
  </w:footnote>
  <w:footnote w:id="52">
    <w:p w14:paraId="7E103CB6" w14:textId="466C01DE" w:rsidR="00212267" w:rsidRPr="00670DDE" w:rsidRDefault="0021226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7" w:history="1">
        <w:r>
          <w:rPr>
            <w:rStyle w:val="Hyperlink"/>
            <w:rFonts w:ascii="Times New Roman" w:hAnsi="Times New Roman"/>
          </w:rPr>
          <w:t>https://www.legislation.gov.uk/ukpga/2025/34/enacted</w:t>
        </w:r>
      </w:hyperlink>
      <w:r>
        <w:rPr>
          <w:rFonts w:ascii="Times New Roman" w:hAnsi="Times New Roman"/>
        </w:rPr>
        <w:t>.</w:t>
      </w:r>
    </w:p>
  </w:footnote>
  <w:footnote w:id="53">
    <w:p w14:paraId="25D70552" w14:textId="389074F8" w:rsidR="00945223" w:rsidRPr="003A2C95" w:rsidRDefault="0094522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8" w:history="1">
        <w:r>
          <w:rPr>
            <w:rStyle w:val="Hyperlink"/>
            <w:rFonts w:ascii="Times New Roman" w:hAnsi="Times New Roman"/>
          </w:rPr>
          <w:t>https://www.legislation.gov.uk/ukpga/2025/20</w:t>
        </w:r>
      </w:hyperlink>
      <w:r>
        <w:rPr>
          <w:rFonts w:ascii="Times New Roman" w:hAnsi="Times New Roman"/>
        </w:rPr>
        <w:t>.</w:t>
      </w:r>
    </w:p>
  </w:footnote>
  <w:footnote w:id="54">
    <w:p w14:paraId="7779E441" w14:textId="18E42756" w:rsidR="006749E2" w:rsidRPr="003A2C95" w:rsidRDefault="006749E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9" w:history="1">
        <w:r>
          <w:rPr>
            <w:rStyle w:val="Hyperlink"/>
            <w:rFonts w:ascii="Times New Roman" w:hAnsi="Times New Roman"/>
          </w:rPr>
          <w:t>https://www.legislation.gov.uk/ukpga/2025/18/contents</w:t>
        </w:r>
      </w:hyperlink>
      <w:r>
        <w:rPr>
          <w:rFonts w:ascii="Times New Roman" w:hAnsi="Times New Roman"/>
        </w:rPr>
        <w:t>.</w:t>
      </w:r>
    </w:p>
  </w:footnote>
  <w:footnote w:id="55">
    <w:p w14:paraId="533BDCF8" w14:textId="03C5CE89" w:rsidR="00640672" w:rsidRPr="003A2C95" w:rsidRDefault="00640672" w:rsidP="006406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de punere în aplicare a Comisiei din 24 iunie 2025 de modificare a Deciziei de punere în aplicare (UE) 2021/1772 din 28 iunie 2021 în temeiul Regulamentului (UE) 2016/679 al Parlamentului European și al Consiliului privind protecția adecvată a datelor cu caracter personal de către Regatul Unit: </w:t>
      </w:r>
      <w:hyperlink r:id="rId50" w:history="1">
        <w:r>
          <w:rPr>
            <w:rStyle w:val="Hyperlink"/>
            <w:rFonts w:ascii="Times New Roman" w:hAnsi="Times New Roman"/>
          </w:rPr>
          <w:t>https://commission.europa.eu/document/download/adaf1cfc-6c2d-43a4-9e9a-928c64f2f983_en?filename=Extension%20of%20the%20UK%20Data%20Adequacy%20Decision.pdf</w:t>
        </w:r>
      </w:hyperlink>
      <w:r>
        <w:rPr>
          <w:rFonts w:ascii="Times New Roman" w:hAnsi="Times New Roman"/>
        </w:rPr>
        <w:t>.</w:t>
      </w:r>
    </w:p>
  </w:footnote>
  <w:footnote w:id="56">
    <w:p w14:paraId="7EF1C424" w14:textId="18C4BEA1" w:rsidR="003A2C95" w:rsidRPr="003A2C95" w:rsidRDefault="003A2C95" w:rsidP="003A2C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de punere în aplicare a Comisiei de modificare a Deciziei de punere în aplicare (UE) 2021/1772 a Comisiei din 28 iunie 2021 în temeiul Regulamentului (UE) 2016/679 al Parlamentului European și al Consiliului privind</w:t>
      </w:r>
    </w:p>
    <w:p w14:paraId="4FEE8992" w14:textId="33875A06" w:rsidR="003A2C95" w:rsidRPr="003A2C95" w:rsidRDefault="003A2C95" w:rsidP="003A2C95">
      <w:pPr>
        <w:pStyle w:val="FootnoteText"/>
      </w:pPr>
      <w:r>
        <w:rPr>
          <w:rFonts w:ascii="Times New Roman" w:hAnsi="Times New Roman"/>
        </w:rPr>
        <w:t xml:space="preserve">protecția adecvată a datelor cu caracter personal de către Regatul Unit al Marii Britanii și Irlandei de Nord [notificată cu numărul C(2021) 4800]: </w:t>
      </w:r>
      <w:hyperlink r:id="rId51" w:history="1">
        <w:r>
          <w:rPr>
            <w:rStyle w:val="Hyperlink"/>
            <w:rFonts w:ascii="Times New Roman" w:hAnsi="Times New Roman"/>
          </w:rPr>
          <w:t>https://commission.europa.eu/document/download/6f636fa0-30d4-4c05-a713-64484ad913fa_en?filename=Draft%20Renewal%20of%20EU%20adequacy%20decision%20for%20the%20UK%20under%20the%20GDPR.pdf</w:t>
        </w:r>
      </w:hyperlink>
      <w:r>
        <w:t>.</w:t>
      </w:r>
    </w:p>
  </w:footnote>
  <w:footnote w:id="57">
    <w:p w14:paraId="5EB4474A" w14:textId="6A9567E7" w:rsidR="00736AFA" w:rsidRPr="00285299" w:rsidRDefault="00736AF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2" w:history="1">
        <w:r>
          <w:rPr>
            <w:rStyle w:val="Hyperlink"/>
            <w:rFonts w:ascii="Times New Roman" w:hAnsi="Times New Roman"/>
          </w:rPr>
          <w:t>https://ec.europa.eu/commission/presscorner/detail/en/ip_25_3059</w:t>
        </w:r>
      </w:hyperlink>
      <w:r>
        <w:rPr>
          <w:rFonts w:ascii="Times New Roman" w:hAnsi="Times New Roman"/>
        </w:rPr>
        <w:t>.</w:t>
      </w:r>
    </w:p>
  </w:footnote>
  <w:footnote w:id="58">
    <w:p w14:paraId="0B34A20D" w14:textId="77777777" w:rsidR="00101E60" w:rsidRPr="00C95D06" w:rsidRDefault="00101E60" w:rsidP="00101E60">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 xml:space="preserve">Ordinile de zi și procesele-verbale ale reuniunilor Consiliului de parteneriat și ale comitetelor specializate în temeiul ACC sunt disponibile la adresa: </w:t>
      </w:r>
      <w:hyperlink r:id="rId53" w:history="1">
        <w:r>
          <w:rPr>
            <w:rStyle w:val="Hyperlink"/>
            <w:rFonts w:ascii="Times New Roman" w:hAnsi="Times New Roman"/>
          </w:rPr>
          <w:t>https://ec.europa.eu/info/strategy/relations-non-eu-countries/relations-united-kingdom/eu-uk-trade-and-cooperation-agreement/meetings-eu-uk-partnership-council-and-specialised-committees-under-trade-and-cooperation-agreement_en</w:t>
        </w:r>
      </w:hyperlink>
      <w:r>
        <w:rPr>
          <w:rFonts w:ascii="Times New Roman" w:hAnsi="Times New Roman"/>
        </w:rPr>
        <w:t>.</w:t>
      </w:r>
    </w:p>
    <w:p w14:paraId="51131AB8" w14:textId="7D3970D6" w:rsidR="00101E60" w:rsidRPr="00101E60" w:rsidRDefault="00101E60">
      <w:pPr>
        <w:pStyle w:val="FootnoteText"/>
      </w:pPr>
    </w:p>
  </w:footnote>
  <w:footnote w:id="59">
    <w:p w14:paraId="2500389A" w14:textId="5C2F039A" w:rsidR="00F67C44" w:rsidRPr="00AC273F" w:rsidRDefault="00F67C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history="1">
        <w:r>
          <w:rPr>
            <w:rStyle w:val="Hyperlink"/>
            <w:rFonts w:ascii="Times New Roman" w:hAnsi="Times New Roman"/>
          </w:rPr>
          <w:t>https://eur-lex.europa.eu/legal-content/RO/TXT/?uri=OJ%3AL_202501229</w:t>
        </w:r>
      </w:hyperlink>
      <w:r>
        <w:rPr>
          <w:rFonts w:ascii="Times New Roman" w:hAnsi="Times New Roman"/>
        </w:rPr>
        <w:t>.</w:t>
      </w:r>
    </w:p>
  </w:footnote>
  <w:footnote w:id="60">
    <w:p w14:paraId="604A53A4" w14:textId="12AA05C4" w:rsidR="00F67C44" w:rsidRPr="00AC273F" w:rsidRDefault="00F67C4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5" w:history="1">
        <w:r>
          <w:rPr>
            <w:rStyle w:val="Hyperlink"/>
            <w:rFonts w:ascii="Times New Roman" w:hAnsi="Times New Roman"/>
          </w:rPr>
          <w:t>https://eur-lex.europa.eu/legal-content/RO/TXT/?uri=OJ%3AL_202501230</w:t>
        </w:r>
      </w:hyperlink>
      <w:r>
        <w:rPr>
          <w:rFonts w:ascii="Times New Roman" w:hAnsi="Times New Roman"/>
        </w:rPr>
        <w:t>.</w:t>
      </w:r>
    </w:p>
  </w:footnote>
  <w:footnote w:id="61">
    <w:p w14:paraId="2E4F7D4B" w14:textId="1FABDA04" w:rsidR="00764227" w:rsidRPr="00AC273F" w:rsidRDefault="0076422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
            <w:rFonts w:ascii="Times New Roman" w:hAnsi="Times New Roman"/>
          </w:rPr>
          <w:t>https://eur-lex.europa.eu/legal-content/RO/TXT/?uri=OJ%3AL_202501232</w:t>
        </w:r>
      </w:hyperlink>
      <w:r>
        <w:rPr>
          <w:rFonts w:ascii="Times New Roman" w:hAnsi="Times New Roman"/>
        </w:rPr>
        <w:t>.</w:t>
      </w:r>
    </w:p>
  </w:footnote>
  <w:footnote w:id="62">
    <w:p w14:paraId="7EB46291" w14:textId="1ED78C91" w:rsidR="00A22C1C" w:rsidRPr="00AC273F" w:rsidRDefault="00A22C1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7" w:history="1">
        <w:r>
          <w:rPr>
            <w:rStyle w:val="Hyperlink"/>
            <w:rFonts w:ascii="Times New Roman" w:hAnsi="Times New Roman"/>
          </w:rPr>
          <w:t>https://eur-lex.europa.eu/legal-content/RO/TXT/?uri=OJ:L_202501231</w:t>
        </w:r>
      </w:hyperlink>
      <w:r>
        <w:rPr>
          <w:rFonts w:ascii="Times New Roman" w:hAnsi="Times New Roman"/>
        </w:rPr>
        <w:t>.</w:t>
      </w:r>
    </w:p>
  </w:footnote>
  <w:footnote w:id="63">
    <w:p w14:paraId="6FDD5313" w14:textId="4E386A98" w:rsidR="007049DB" w:rsidRPr="00AC273F" w:rsidRDefault="007049D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8" w:history="1">
        <w:r>
          <w:rPr>
            <w:rStyle w:val="Hyperlink"/>
            <w:rFonts w:ascii="Times New Roman" w:hAnsi="Times New Roman"/>
          </w:rPr>
          <w:t>https://eur-lex.europa.eu/legal-content/RO/TXT/?uri=OJ:L_202501755</w:t>
        </w:r>
      </w:hyperlink>
      <w:r>
        <w:rPr>
          <w:rFonts w:ascii="Times New Roman" w:hAnsi="Times New Roman"/>
        </w:rPr>
        <w:t>.</w:t>
      </w:r>
    </w:p>
  </w:footnote>
  <w:footnote w:id="64">
    <w:p w14:paraId="43F9935A"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2" w:name="_Hlk222926852"/>
      <w:r>
        <w:rPr>
          <w:rFonts w:ascii="Times New Roman" w:hAnsi="Times New Roman" w:cs="Times New Roman"/>
          <w:color w:val="0563C1" w:themeColor="hyperlink"/>
          <w:u w:val="single"/>
        </w:rPr>
        <w:fldChar w:fldCharType="begin"/>
      </w:r>
      <w:r>
        <w:rPr>
          <w:rFonts w:ascii="Times New Roman" w:hAnsi="Times New Roman" w:cs="Times New Roman"/>
          <w:color w:val="0563C1" w:themeColor="hyperlink"/>
          <w:u w:val="single"/>
        </w:rPr>
        <w:instrText>HYPERLINK "https://eur-lex.europa.eu/legal-content/RO/TXT/?uri=CELEX:22025D2330"</w:instrText>
      </w:r>
      <w:r>
        <w:rPr>
          <w:rFonts w:ascii="Times New Roman" w:hAnsi="Times New Roman" w:cs="Times New Roman"/>
          <w:color w:val="0563C1" w:themeColor="hyperlink"/>
          <w:u w:val="single"/>
        </w:rPr>
        <w:fldChar w:fldCharType="separate"/>
      </w:r>
      <w:r>
        <w:rPr>
          <w:rStyle w:val="Hyperlink"/>
          <w:rFonts w:ascii="Times New Roman" w:hAnsi="Times New Roman"/>
        </w:rPr>
        <w:t>EUR-Lex – 22025D2330 – RO – EUR-Lex</w:t>
      </w:r>
      <w:r>
        <w:rPr>
          <w:rFonts w:ascii="Times New Roman" w:hAnsi="Times New Roman" w:cs="Times New Roman"/>
          <w:color w:val="0563C1" w:themeColor="hyperlink"/>
          <w:u w:val="single"/>
        </w:rPr>
        <w:fldChar w:fldCharType="end"/>
      </w:r>
      <w:r>
        <w:rPr>
          <w:rFonts w:ascii="Times New Roman" w:hAnsi="Times New Roman"/>
        </w:rPr>
        <w:t>.</w:t>
      </w:r>
      <w:bookmarkEnd w:id="92"/>
    </w:p>
  </w:footnote>
  <w:footnote w:id="65">
    <w:p w14:paraId="5896AB1A"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94" w:name="_Hlk222926879"/>
      <w:r>
        <w:rPr>
          <w:rFonts w:ascii="Times New Roman" w:hAnsi="Times New Roman"/>
        </w:rPr>
        <w:t>https://eur-lex.europa.eu/legal-content/RO/TXT/?uri=OJ:L_202502331.</w:t>
      </w:r>
      <w:bookmarkEnd w:id="94"/>
    </w:p>
  </w:footnote>
  <w:footnote w:id="66">
    <w:p w14:paraId="272EE242" w14:textId="77777777" w:rsidR="008C47FD" w:rsidRPr="008C47FD" w:rsidRDefault="008C47FD" w:rsidP="008C47F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9" w:history="1">
        <w:r>
          <w:rPr>
            <w:rStyle w:val="Hyperlink"/>
            <w:rFonts w:ascii="Times New Roman" w:hAnsi="Times New Roman"/>
          </w:rPr>
          <w:t>EUR-Lex - 22025D2329 - RO - EUR-Lex</w:t>
        </w:r>
      </w:hyperlink>
      <w:r>
        <w:rPr>
          <w:rFonts w:ascii="Times New Roman" w:hAnsi="Times New Roman"/>
        </w:rPr>
        <w:t>.</w:t>
      </w:r>
    </w:p>
  </w:footnote>
  <w:footnote w:id="67">
    <w:p w14:paraId="449C28AA" w14:textId="543A4609" w:rsidR="00B21CE1" w:rsidRPr="00A9100D" w:rsidRDefault="00B21CE1" w:rsidP="00B21CE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nr. 1/2025 a Consiliului de parteneriat constituit prin Acordul comercial și de cooperare între Uniunea</w:t>
      </w:r>
      <w:r w:rsidR="00F409DF">
        <w:rPr>
          <w:rFonts w:ascii="Times New Roman" w:hAnsi="Times New Roman"/>
        </w:rPr>
        <w:t> </w:t>
      </w:r>
      <w:r>
        <w:rPr>
          <w:rFonts w:ascii="Times New Roman" w:hAnsi="Times New Roman"/>
        </w:rPr>
        <w:t>Europeană și Comunitatea Europeană a Energiei Atomice, pe de o parte, și Regatul Unit al Marii</w:t>
      </w:r>
      <w:r w:rsidR="00F409DF">
        <w:rPr>
          <w:rFonts w:ascii="Times New Roman" w:hAnsi="Times New Roman"/>
        </w:rPr>
        <w:t> </w:t>
      </w:r>
      <w:r>
        <w:rPr>
          <w:rFonts w:ascii="Times New Roman" w:hAnsi="Times New Roman"/>
        </w:rPr>
        <w:t xml:space="preserve">Britanii și Irlandei de Nord, pe de altă parte din 18 iunie 2025 de interpretare a articolului 508 alineatul (2) litera (d) din Acordul comercial și de cooperare între Uniunea Europeană și Comunitatea Europeană a Energiei Atomice, pe de o parte, și Regatul Unit al Marii Britanii și Irlandei de Nord, pe de altă parte: </w:t>
      </w:r>
      <w:hyperlink r:id="rId60" w:history="1">
        <w:r>
          <w:rPr>
            <w:rStyle w:val="Hyperlink"/>
            <w:rFonts w:ascii="Times New Roman" w:hAnsi="Times New Roman"/>
          </w:rPr>
          <w:t>https://eur-lex.europa.eu/legal-content/RO/TXT/?uri=OJ%3AL_202501229</w:t>
        </w:r>
      </w:hyperlink>
      <w:r>
        <w:t>.</w:t>
      </w:r>
    </w:p>
  </w:footnote>
  <w:footnote w:id="68">
    <w:p w14:paraId="35D0DB26" w14:textId="14E07F09" w:rsidR="00B21CE1" w:rsidRPr="00A9100D" w:rsidRDefault="00B21CE1" w:rsidP="00B21CE1">
      <w:pPr>
        <w:pStyle w:val="FootnoteText"/>
        <w:jc w:val="both"/>
      </w:pPr>
      <w:r>
        <w:rPr>
          <w:rStyle w:val="FootnoteReference"/>
          <w:rFonts w:ascii="Times New Roman" w:hAnsi="Times New Roman" w:cs="Times New Roman"/>
        </w:rPr>
        <w:footnoteRef/>
      </w:r>
      <w:r>
        <w:rPr>
          <w:rFonts w:ascii="Times New Roman" w:hAnsi="Times New Roman"/>
        </w:rPr>
        <w:t xml:space="preserve"> Decizia nr. 1/2025 a Comitetului specializat privind pescuitul referitoare la dispozițiile privind nivelul și condițiile de acces acordate de fiecare parte navelor celeilalte părți pentru a pescui în apele sale în perioada 1</w:t>
      </w:r>
      <w:r w:rsidR="00F409DF">
        <w:rPr>
          <w:rFonts w:ascii="Times New Roman" w:hAnsi="Times New Roman"/>
        </w:rPr>
        <w:t> </w:t>
      </w:r>
      <w:r>
        <w:rPr>
          <w:rFonts w:ascii="Times New Roman" w:hAnsi="Times New Roman"/>
        </w:rPr>
        <w:t xml:space="preserve">iulie 2026-30 iunie 2038 </w:t>
      </w:r>
      <w:hyperlink r:id="rId61" w:history="1">
        <w:r>
          <w:rPr>
            <w:rStyle w:val="Hyperlink"/>
            <w:rFonts w:ascii="Times New Roman" w:hAnsi="Times New Roman"/>
          </w:rPr>
          <w:t>https://eur-lex.europa.eu/legal-content/RON/TXT/?uri=OJ:L_202501231</w:t>
        </w:r>
      </w:hyperlink>
      <w:r>
        <w:t>.</w:t>
      </w:r>
    </w:p>
  </w:footnote>
  <w:footnote w:id="69">
    <w:p w14:paraId="4A0E2D24" w14:textId="6A0DEED2" w:rsidR="00A10D75" w:rsidRPr="00DC4CB9" w:rsidRDefault="00A10D75" w:rsidP="00A10D7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Declarația comună 1/2025 a Uniunii și a Regatului Unit în cadrul Consiliului de parteneriat instituit prin Acordul comercial și de cooperare între Uniunea Europeană și Comunitatea Europeană a Energiei Atomice, pe de o parte, și Regatul Unit al Marii Britanii și Irlandei de Nord, pe de altă parte din 19 iunie 2025 </w:t>
      </w:r>
      <w:hyperlink r:id="rId62" w:history="1">
        <w:r>
          <w:rPr>
            <w:rStyle w:val="Hyperlink"/>
            <w:rFonts w:ascii="Times New Roman" w:hAnsi="Times New Roman"/>
          </w:rPr>
          <w:t>https://eur-lex.europa.eu/legal-content/RO/TXT/?uri=OJ%3AL_202501232</w:t>
        </w:r>
      </w:hyperlink>
      <w:r>
        <w:t>.</w:t>
      </w:r>
    </w:p>
  </w:footnote>
  <w:footnote w:id="70">
    <w:p w14:paraId="1CE68929" w14:textId="0AF9DB85" w:rsidR="00A10D75" w:rsidRPr="00DC4CB9" w:rsidRDefault="00A10D75" w:rsidP="00A10D75">
      <w:pPr>
        <w:pStyle w:val="FootnoteText"/>
        <w:jc w:val="both"/>
      </w:pPr>
      <w:r>
        <w:rPr>
          <w:rStyle w:val="FootnoteReference"/>
          <w:rFonts w:ascii="Times New Roman" w:hAnsi="Times New Roman" w:cs="Times New Roman"/>
        </w:rPr>
        <w:footnoteRef/>
      </w:r>
      <w:r>
        <w:rPr>
          <w:rFonts w:ascii="Times New Roman" w:hAnsi="Times New Roman"/>
        </w:rPr>
        <w:t xml:space="preserve"> Decizia nr. 2/2025 a Consiliului de parteneriat constituit prin Acordul comercial și de cooperare între Uniunea</w:t>
      </w:r>
      <w:r w:rsidR="00F409DF">
        <w:rPr>
          <w:rFonts w:ascii="Times New Roman" w:hAnsi="Times New Roman"/>
        </w:rPr>
        <w:t> </w:t>
      </w:r>
      <w:r>
        <w:rPr>
          <w:rFonts w:ascii="Times New Roman" w:hAnsi="Times New Roman"/>
        </w:rPr>
        <w:t>Europeană și Comunitatea Europeană a Energiei Atomice, pe de o parte, și Regatul Unit al Marii</w:t>
      </w:r>
      <w:r w:rsidR="00F409DF">
        <w:rPr>
          <w:rFonts w:ascii="Times New Roman" w:hAnsi="Times New Roman"/>
        </w:rPr>
        <w:t> </w:t>
      </w:r>
      <w:r>
        <w:rPr>
          <w:rFonts w:ascii="Times New Roman" w:hAnsi="Times New Roman"/>
        </w:rPr>
        <w:t>Britanii și Irlandei de Nord, pe de altă parte din 19 iunie 2025 de interpretare a articolului 331 alineatul (2) și de prelungire a aplicării părții a doua rubrica întâi titlul VIII privind energia din Acordul comercial și de cooperare între Uniunea Europeană și Comunitatea Europeană a Energiei Atomice, pe de o parte, și Regatul</w:t>
      </w:r>
      <w:r w:rsidR="00F409DF">
        <w:rPr>
          <w:rFonts w:ascii="Times New Roman" w:hAnsi="Times New Roman"/>
        </w:rPr>
        <w:t> </w:t>
      </w:r>
      <w:r>
        <w:rPr>
          <w:rFonts w:ascii="Times New Roman" w:hAnsi="Times New Roman"/>
        </w:rPr>
        <w:t xml:space="preserve">Unit al Marii Britanii și Irlandei de Nord, pe de altă parte </w:t>
      </w:r>
      <w:hyperlink r:id="rId63" w:history="1">
        <w:r>
          <w:rPr>
            <w:rStyle w:val="Hyperlink"/>
            <w:rFonts w:ascii="Times New Roman" w:hAnsi="Times New Roman"/>
          </w:rPr>
          <w:t>https://eur-lex.europa.eu/legal-content/RO/TXT/?uri=OJ%3AL_202501230</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48FEF" w14:textId="77777777" w:rsidR="009E7B73" w:rsidRPr="009E7B73" w:rsidRDefault="009E7B73" w:rsidP="009E7B7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FC447" w14:textId="77777777" w:rsidR="009E7B73" w:rsidRPr="009E7B73" w:rsidRDefault="009E7B73" w:rsidP="009E7B7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77C2D" w14:textId="77777777" w:rsidR="009E7B73" w:rsidRPr="009E7B73" w:rsidRDefault="009E7B73" w:rsidP="009E7B7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9F337" w14:textId="77777777" w:rsidR="00656149" w:rsidRDefault="00656149" w:rsidP="0007384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156ED" w14:textId="77777777" w:rsidR="00656149" w:rsidRDefault="00656149" w:rsidP="0007384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FCF9D" w14:textId="77777777" w:rsidR="00656149" w:rsidRDefault="00656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011EA"/>
    <w:multiLevelType w:val="hybridMultilevel"/>
    <w:tmpl w:val="0C4C2B9E"/>
    <w:lvl w:ilvl="0" w:tplc="F3049B36">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E346B5"/>
    <w:multiLevelType w:val="hybridMultilevel"/>
    <w:tmpl w:val="B7CA3A30"/>
    <w:lvl w:ilvl="0" w:tplc="C16AA0AA">
      <w:start w:val="1"/>
      <w:numFmt w:val="bullet"/>
      <w:lvlText w:val="·"/>
      <w:lvlJc w:val="left"/>
      <w:pPr>
        <w:ind w:left="720" w:hanging="360"/>
      </w:pPr>
      <w:rPr>
        <w:rFonts w:ascii="Symbol" w:hAnsi="Symbol" w:hint="default"/>
      </w:rPr>
    </w:lvl>
    <w:lvl w:ilvl="1" w:tplc="203ADCCA">
      <w:start w:val="1"/>
      <w:numFmt w:val="bullet"/>
      <w:lvlText w:val="o"/>
      <w:lvlJc w:val="left"/>
      <w:pPr>
        <w:ind w:left="1440" w:hanging="360"/>
      </w:pPr>
      <w:rPr>
        <w:rFonts w:ascii="Courier New" w:hAnsi="Courier New" w:hint="default"/>
      </w:rPr>
    </w:lvl>
    <w:lvl w:ilvl="2" w:tplc="BDA2687A">
      <w:start w:val="1"/>
      <w:numFmt w:val="bullet"/>
      <w:lvlText w:val=""/>
      <w:lvlJc w:val="left"/>
      <w:pPr>
        <w:ind w:left="2160" w:hanging="360"/>
      </w:pPr>
      <w:rPr>
        <w:rFonts w:ascii="Wingdings" w:hAnsi="Wingdings" w:hint="default"/>
      </w:rPr>
    </w:lvl>
    <w:lvl w:ilvl="3" w:tplc="9838193A">
      <w:start w:val="1"/>
      <w:numFmt w:val="bullet"/>
      <w:lvlText w:val=""/>
      <w:lvlJc w:val="left"/>
      <w:pPr>
        <w:ind w:left="2880" w:hanging="360"/>
      </w:pPr>
      <w:rPr>
        <w:rFonts w:ascii="Symbol" w:hAnsi="Symbol" w:hint="default"/>
      </w:rPr>
    </w:lvl>
    <w:lvl w:ilvl="4" w:tplc="20945298">
      <w:start w:val="1"/>
      <w:numFmt w:val="bullet"/>
      <w:lvlText w:val="o"/>
      <w:lvlJc w:val="left"/>
      <w:pPr>
        <w:ind w:left="3600" w:hanging="360"/>
      </w:pPr>
      <w:rPr>
        <w:rFonts w:ascii="Courier New" w:hAnsi="Courier New" w:hint="default"/>
      </w:rPr>
    </w:lvl>
    <w:lvl w:ilvl="5" w:tplc="1A12790E">
      <w:start w:val="1"/>
      <w:numFmt w:val="bullet"/>
      <w:lvlText w:val=""/>
      <w:lvlJc w:val="left"/>
      <w:pPr>
        <w:ind w:left="4320" w:hanging="360"/>
      </w:pPr>
      <w:rPr>
        <w:rFonts w:ascii="Wingdings" w:hAnsi="Wingdings" w:hint="default"/>
      </w:rPr>
    </w:lvl>
    <w:lvl w:ilvl="6" w:tplc="A8C64DC8">
      <w:start w:val="1"/>
      <w:numFmt w:val="bullet"/>
      <w:lvlText w:val=""/>
      <w:lvlJc w:val="left"/>
      <w:pPr>
        <w:ind w:left="5040" w:hanging="360"/>
      </w:pPr>
      <w:rPr>
        <w:rFonts w:ascii="Symbol" w:hAnsi="Symbol" w:hint="default"/>
      </w:rPr>
    </w:lvl>
    <w:lvl w:ilvl="7" w:tplc="78A02AD8">
      <w:start w:val="1"/>
      <w:numFmt w:val="bullet"/>
      <w:lvlText w:val="o"/>
      <w:lvlJc w:val="left"/>
      <w:pPr>
        <w:ind w:left="5760" w:hanging="360"/>
      </w:pPr>
      <w:rPr>
        <w:rFonts w:ascii="Courier New" w:hAnsi="Courier New" w:hint="default"/>
      </w:rPr>
    </w:lvl>
    <w:lvl w:ilvl="8" w:tplc="E91EDCEC">
      <w:start w:val="1"/>
      <w:numFmt w:val="bullet"/>
      <w:lvlText w:val=""/>
      <w:lvlJc w:val="left"/>
      <w:pPr>
        <w:ind w:left="6480" w:hanging="360"/>
      </w:pPr>
      <w:rPr>
        <w:rFonts w:ascii="Wingdings" w:hAnsi="Wingdings" w:hint="default"/>
      </w:rPr>
    </w:lvl>
  </w:abstractNum>
  <w:abstractNum w:abstractNumId="2" w15:restartNumberingAfterBreak="0">
    <w:nsid w:val="03F8B7B9"/>
    <w:multiLevelType w:val="hybridMultilevel"/>
    <w:tmpl w:val="C6928C84"/>
    <w:lvl w:ilvl="0" w:tplc="0DF837BE">
      <w:start w:val="1"/>
      <w:numFmt w:val="bullet"/>
      <w:lvlText w:val=""/>
      <w:lvlJc w:val="left"/>
      <w:pPr>
        <w:ind w:left="720" w:hanging="360"/>
      </w:pPr>
      <w:rPr>
        <w:rFonts w:ascii="Symbol" w:hAnsi="Symbol" w:hint="default"/>
      </w:rPr>
    </w:lvl>
    <w:lvl w:ilvl="1" w:tplc="C20A8A80">
      <w:start w:val="1"/>
      <w:numFmt w:val="bullet"/>
      <w:lvlText w:val="o"/>
      <w:lvlJc w:val="left"/>
      <w:pPr>
        <w:ind w:left="1440" w:hanging="360"/>
      </w:pPr>
      <w:rPr>
        <w:rFonts w:ascii="Courier New" w:hAnsi="Courier New" w:hint="default"/>
      </w:rPr>
    </w:lvl>
    <w:lvl w:ilvl="2" w:tplc="BA54C512">
      <w:start w:val="1"/>
      <w:numFmt w:val="bullet"/>
      <w:lvlText w:val=""/>
      <w:lvlJc w:val="left"/>
      <w:pPr>
        <w:ind w:left="2160" w:hanging="360"/>
      </w:pPr>
      <w:rPr>
        <w:rFonts w:ascii="Wingdings" w:hAnsi="Wingdings" w:hint="default"/>
      </w:rPr>
    </w:lvl>
    <w:lvl w:ilvl="3" w:tplc="F5C4FF3E">
      <w:start w:val="1"/>
      <w:numFmt w:val="bullet"/>
      <w:lvlText w:val=""/>
      <w:lvlJc w:val="left"/>
      <w:pPr>
        <w:ind w:left="2880" w:hanging="360"/>
      </w:pPr>
      <w:rPr>
        <w:rFonts w:ascii="Symbol" w:hAnsi="Symbol" w:hint="default"/>
      </w:rPr>
    </w:lvl>
    <w:lvl w:ilvl="4" w:tplc="97BCAB42">
      <w:start w:val="1"/>
      <w:numFmt w:val="bullet"/>
      <w:lvlText w:val="o"/>
      <w:lvlJc w:val="left"/>
      <w:pPr>
        <w:ind w:left="3600" w:hanging="360"/>
      </w:pPr>
      <w:rPr>
        <w:rFonts w:ascii="Courier New" w:hAnsi="Courier New" w:hint="default"/>
      </w:rPr>
    </w:lvl>
    <w:lvl w:ilvl="5" w:tplc="7E120428">
      <w:start w:val="1"/>
      <w:numFmt w:val="bullet"/>
      <w:lvlText w:val=""/>
      <w:lvlJc w:val="left"/>
      <w:pPr>
        <w:ind w:left="4320" w:hanging="360"/>
      </w:pPr>
      <w:rPr>
        <w:rFonts w:ascii="Wingdings" w:hAnsi="Wingdings" w:hint="default"/>
      </w:rPr>
    </w:lvl>
    <w:lvl w:ilvl="6" w:tplc="AC6C56EC">
      <w:start w:val="1"/>
      <w:numFmt w:val="bullet"/>
      <w:lvlText w:val=""/>
      <w:lvlJc w:val="left"/>
      <w:pPr>
        <w:ind w:left="5040" w:hanging="360"/>
      </w:pPr>
      <w:rPr>
        <w:rFonts w:ascii="Symbol" w:hAnsi="Symbol" w:hint="default"/>
      </w:rPr>
    </w:lvl>
    <w:lvl w:ilvl="7" w:tplc="3092DCC2">
      <w:start w:val="1"/>
      <w:numFmt w:val="bullet"/>
      <w:lvlText w:val="o"/>
      <w:lvlJc w:val="left"/>
      <w:pPr>
        <w:ind w:left="5760" w:hanging="360"/>
      </w:pPr>
      <w:rPr>
        <w:rFonts w:ascii="Courier New" w:hAnsi="Courier New" w:hint="default"/>
      </w:rPr>
    </w:lvl>
    <w:lvl w:ilvl="8" w:tplc="82A45428">
      <w:start w:val="1"/>
      <w:numFmt w:val="bullet"/>
      <w:lvlText w:val=""/>
      <w:lvlJc w:val="left"/>
      <w:pPr>
        <w:ind w:left="6480" w:hanging="360"/>
      </w:pPr>
      <w:rPr>
        <w:rFonts w:ascii="Wingdings" w:hAnsi="Wingdings" w:hint="default"/>
      </w:rPr>
    </w:lvl>
  </w:abstractNum>
  <w:abstractNum w:abstractNumId="3" w15:restartNumberingAfterBreak="0">
    <w:nsid w:val="051059EC"/>
    <w:multiLevelType w:val="hybridMultilevel"/>
    <w:tmpl w:val="0B2E4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5B44A"/>
    <w:multiLevelType w:val="hybridMultilevel"/>
    <w:tmpl w:val="62362092"/>
    <w:lvl w:ilvl="0" w:tplc="DB4EF0AA">
      <w:start w:val="1"/>
      <w:numFmt w:val="bullet"/>
      <w:lvlText w:val="-"/>
      <w:lvlJc w:val="left"/>
      <w:pPr>
        <w:ind w:left="720" w:hanging="360"/>
      </w:pPr>
      <w:rPr>
        <w:rFonts w:ascii="Calibri" w:hAnsi="Calibri" w:hint="default"/>
      </w:rPr>
    </w:lvl>
    <w:lvl w:ilvl="1" w:tplc="3C90E556">
      <w:start w:val="1"/>
      <w:numFmt w:val="bullet"/>
      <w:lvlText w:val="o"/>
      <w:lvlJc w:val="left"/>
      <w:pPr>
        <w:ind w:left="1440" w:hanging="360"/>
      </w:pPr>
      <w:rPr>
        <w:rFonts w:ascii="Courier New" w:hAnsi="Courier New" w:hint="default"/>
      </w:rPr>
    </w:lvl>
    <w:lvl w:ilvl="2" w:tplc="CB02C54C">
      <w:start w:val="1"/>
      <w:numFmt w:val="bullet"/>
      <w:lvlText w:val=""/>
      <w:lvlJc w:val="left"/>
      <w:pPr>
        <w:ind w:left="2160" w:hanging="360"/>
      </w:pPr>
      <w:rPr>
        <w:rFonts w:ascii="Wingdings" w:hAnsi="Wingdings" w:hint="default"/>
      </w:rPr>
    </w:lvl>
    <w:lvl w:ilvl="3" w:tplc="6D00FB02">
      <w:start w:val="1"/>
      <w:numFmt w:val="bullet"/>
      <w:lvlText w:val=""/>
      <w:lvlJc w:val="left"/>
      <w:pPr>
        <w:ind w:left="2880" w:hanging="360"/>
      </w:pPr>
      <w:rPr>
        <w:rFonts w:ascii="Symbol" w:hAnsi="Symbol" w:hint="default"/>
      </w:rPr>
    </w:lvl>
    <w:lvl w:ilvl="4" w:tplc="32B24F86">
      <w:start w:val="1"/>
      <w:numFmt w:val="bullet"/>
      <w:lvlText w:val="o"/>
      <w:lvlJc w:val="left"/>
      <w:pPr>
        <w:ind w:left="3600" w:hanging="360"/>
      </w:pPr>
      <w:rPr>
        <w:rFonts w:ascii="Courier New" w:hAnsi="Courier New" w:hint="default"/>
      </w:rPr>
    </w:lvl>
    <w:lvl w:ilvl="5" w:tplc="32F8C684">
      <w:start w:val="1"/>
      <w:numFmt w:val="bullet"/>
      <w:lvlText w:val=""/>
      <w:lvlJc w:val="left"/>
      <w:pPr>
        <w:ind w:left="4320" w:hanging="360"/>
      </w:pPr>
      <w:rPr>
        <w:rFonts w:ascii="Wingdings" w:hAnsi="Wingdings" w:hint="default"/>
      </w:rPr>
    </w:lvl>
    <w:lvl w:ilvl="6" w:tplc="50262DB6">
      <w:start w:val="1"/>
      <w:numFmt w:val="bullet"/>
      <w:lvlText w:val=""/>
      <w:lvlJc w:val="left"/>
      <w:pPr>
        <w:ind w:left="5040" w:hanging="360"/>
      </w:pPr>
      <w:rPr>
        <w:rFonts w:ascii="Symbol" w:hAnsi="Symbol" w:hint="default"/>
      </w:rPr>
    </w:lvl>
    <w:lvl w:ilvl="7" w:tplc="EE2E0D36">
      <w:start w:val="1"/>
      <w:numFmt w:val="bullet"/>
      <w:lvlText w:val="o"/>
      <w:lvlJc w:val="left"/>
      <w:pPr>
        <w:ind w:left="5760" w:hanging="360"/>
      </w:pPr>
      <w:rPr>
        <w:rFonts w:ascii="Courier New" w:hAnsi="Courier New" w:hint="default"/>
      </w:rPr>
    </w:lvl>
    <w:lvl w:ilvl="8" w:tplc="24366F3C">
      <w:start w:val="1"/>
      <w:numFmt w:val="bullet"/>
      <w:lvlText w:val=""/>
      <w:lvlJc w:val="left"/>
      <w:pPr>
        <w:ind w:left="6480" w:hanging="360"/>
      </w:pPr>
      <w:rPr>
        <w:rFonts w:ascii="Wingdings" w:hAnsi="Wingdings" w:hint="default"/>
      </w:rPr>
    </w:lvl>
  </w:abstractNum>
  <w:abstractNum w:abstractNumId="5" w15:restartNumberingAfterBreak="0">
    <w:nsid w:val="06B86DE1"/>
    <w:multiLevelType w:val="hybridMultilevel"/>
    <w:tmpl w:val="34A636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504660"/>
    <w:multiLevelType w:val="hybridMultilevel"/>
    <w:tmpl w:val="AD4E1F58"/>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FF553FD"/>
    <w:multiLevelType w:val="multilevel"/>
    <w:tmpl w:val="C32E4A1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117D71"/>
    <w:multiLevelType w:val="multilevel"/>
    <w:tmpl w:val="440E4B8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7B0C30"/>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784192"/>
    <w:multiLevelType w:val="hybridMultilevel"/>
    <w:tmpl w:val="681EB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6A91549"/>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8AB1946"/>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A9C887D"/>
    <w:multiLevelType w:val="hybridMultilevel"/>
    <w:tmpl w:val="30023C44"/>
    <w:lvl w:ilvl="0" w:tplc="812E4DA2">
      <w:start w:val="1"/>
      <w:numFmt w:val="bullet"/>
      <w:lvlText w:val="·"/>
      <w:lvlJc w:val="left"/>
      <w:pPr>
        <w:ind w:left="720" w:hanging="360"/>
      </w:pPr>
      <w:rPr>
        <w:rFonts w:ascii="Symbol" w:hAnsi="Symbol" w:hint="default"/>
      </w:rPr>
    </w:lvl>
    <w:lvl w:ilvl="1" w:tplc="D5A0198E">
      <w:start w:val="1"/>
      <w:numFmt w:val="bullet"/>
      <w:lvlText w:val="o"/>
      <w:lvlJc w:val="left"/>
      <w:pPr>
        <w:ind w:left="1440" w:hanging="360"/>
      </w:pPr>
      <w:rPr>
        <w:rFonts w:ascii="Courier New" w:hAnsi="Courier New" w:hint="default"/>
      </w:rPr>
    </w:lvl>
    <w:lvl w:ilvl="2" w:tplc="B99C2B40">
      <w:start w:val="1"/>
      <w:numFmt w:val="bullet"/>
      <w:lvlText w:val=""/>
      <w:lvlJc w:val="left"/>
      <w:pPr>
        <w:ind w:left="2160" w:hanging="360"/>
      </w:pPr>
      <w:rPr>
        <w:rFonts w:ascii="Wingdings" w:hAnsi="Wingdings" w:hint="default"/>
      </w:rPr>
    </w:lvl>
    <w:lvl w:ilvl="3" w:tplc="97088834">
      <w:start w:val="1"/>
      <w:numFmt w:val="bullet"/>
      <w:lvlText w:val=""/>
      <w:lvlJc w:val="left"/>
      <w:pPr>
        <w:ind w:left="2880" w:hanging="360"/>
      </w:pPr>
      <w:rPr>
        <w:rFonts w:ascii="Symbol" w:hAnsi="Symbol" w:hint="default"/>
      </w:rPr>
    </w:lvl>
    <w:lvl w:ilvl="4" w:tplc="9FF06654">
      <w:start w:val="1"/>
      <w:numFmt w:val="bullet"/>
      <w:lvlText w:val="o"/>
      <w:lvlJc w:val="left"/>
      <w:pPr>
        <w:ind w:left="3600" w:hanging="360"/>
      </w:pPr>
      <w:rPr>
        <w:rFonts w:ascii="Courier New" w:hAnsi="Courier New" w:hint="default"/>
      </w:rPr>
    </w:lvl>
    <w:lvl w:ilvl="5" w:tplc="037635F2">
      <w:start w:val="1"/>
      <w:numFmt w:val="bullet"/>
      <w:lvlText w:val=""/>
      <w:lvlJc w:val="left"/>
      <w:pPr>
        <w:ind w:left="4320" w:hanging="360"/>
      </w:pPr>
      <w:rPr>
        <w:rFonts w:ascii="Wingdings" w:hAnsi="Wingdings" w:hint="default"/>
      </w:rPr>
    </w:lvl>
    <w:lvl w:ilvl="6" w:tplc="0BF616BE">
      <w:start w:val="1"/>
      <w:numFmt w:val="bullet"/>
      <w:lvlText w:val=""/>
      <w:lvlJc w:val="left"/>
      <w:pPr>
        <w:ind w:left="5040" w:hanging="360"/>
      </w:pPr>
      <w:rPr>
        <w:rFonts w:ascii="Symbol" w:hAnsi="Symbol" w:hint="default"/>
      </w:rPr>
    </w:lvl>
    <w:lvl w:ilvl="7" w:tplc="D8C6E128">
      <w:start w:val="1"/>
      <w:numFmt w:val="bullet"/>
      <w:lvlText w:val="o"/>
      <w:lvlJc w:val="left"/>
      <w:pPr>
        <w:ind w:left="5760" w:hanging="360"/>
      </w:pPr>
      <w:rPr>
        <w:rFonts w:ascii="Courier New" w:hAnsi="Courier New" w:hint="default"/>
      </w:rPr>
    </w:lvl>
    <w:lvl w:ilvl="8" w:tplc="564E4D5C">
      <w:start w:val="1"/>
      <w:numFmt w:val="bullet"/>
      <w:lvlText w:val=""/>
      <w:lvlJc w:val="left"/>
      <w:pPr>
        <w:ind w:left="6480" w:hanging="360"/>
      </w:pPr>
      <w:rPr>
        <w:rFonts w:ascii="Wingdings" w:hAnsi="Wingdings" w:hint="default"/>
      </w:rPr>
    </w:lvl>
  </w:abstractNum>
  <w:abstractNum w:abstractNumId="14" w15:restartNumberingAfterBreak="0">
    <w:nsid w:val="1B681634"/>
    <w:multiLevelType w:val="multilevel"/>
    <w:tmpl w:val="176874A4"/>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D066455"/>
    <w:multiLevelType w:val="hybridMultilevel"/>
    <w:tmpl w:val="6486D560"/>
    <w:lvl w:ilvl="0" w:tplc="4FCA626E">
      <w:start w:val="1"/>
      <w:numFmt w:val="bullet"/>
      <w:lvlText w:val=""/>
      <w:lvlJc w:val="left"/>
      <w:pPr>
        <w:ind w:left="720" w:hanging="360"/>
      </w:pPr>
      <w:rPr>
        <w:rFonts w:ascii="Symbol" w:hAnsi="Symbol" w:hint="default"/>
      </w:rPr>
    </w:lvl>
    <w:lvl w:ilvl="1" w:tplc="97C25E6E">
      <w:start w:val="1"/>
      <w:numFmt w:val="bullet"/>
      <w:lvlText w:val="o"/>
      <w:lvlJc w:val="left"/>
      <w:pPr>
        <w:ind w:left="1440" w:hanging="360"/>
      </w:pPr>
      <w:rPr>
        <w:rFonts w:ascii="Courier New" w:hAnsi="Courier New" w:hint="default"/>
      </w:rPr>
    </w:lvl>
    <w:lvl w:ilvl="2" w:tplc="113EB96C">
      <w:start w:val="1"/>
      <w:numFmt w:val="bullet"/>
      <w:lvlText w:val=""/>
      <w:lvlJc w:val="left"/>
      <w:pPr>
        <w:ind w:left="2160" w:hanging="360"/>
      </w:pPr>
      <w:rPr>
        <w:rFonts w:ascii="Wingdings" w:hAnsi="Wingdings" w:hint="default"/>
      </w:rPr>
    </w:lvl>
    <w:lvl w:ilvl="3" w:tplc="F3861FFA">
      <w:start w:val="1"/>
      <w:numFmt w:val="bullet"/>
      <w:lvlText w:val=""/>
      <w:lvlJc w:val="left"/>
      <w:pPr>
        <w:ind w:left="2880" w:hanging="360"/>
      </w:pPr>
      <w:rPr>
        <w:rFonts w:ascii="Symbol" w:hAnsi="Symbol" w:hint="default"/>
      </w:rPr>
    </w:lvl>
    <w:lvl w:ilvl="4" w:tplc="1C2662BA">
      <w:start w:val="1"/>
      <w:numFmt w:val="bullet"/>
      <w:lvlText w:val="o"/>
      <w:lvlJc w:val="left"/>
      <w:pPr>
        <w:ind w:left="3600" w:hanging="360"/>
      </w:pPr>
      <w:rPr>
        <w:rFonts w:ascii="Courier New" w:hAnsi="Courier New" w:hint="default"/>
      </w:rPr>
    </w:lvl>
    <w:lvl w:ilvl="5" w:tplc="E7B0DA18">
      <w:start w:val="1"/>
      <w:numFmt w:val="bullet"/>
      <w:lvlText w:val=""/>
      <w:lvlJc w:val="left"/>
      <w:pPr>
        <w:ind w:left="4320" w:hanging="360"/>
      </w:pPr>
      <w:rPr>
        <w:rFonts w:ascii="Wingdings" w:hAnsi="Wingdings" w:hint="default"/>
      </w:rPr>
    </w:lvl>
    <w:lvl w:ilvl="6" w:tplc="8500DEE2">
      <w:start w:val="1"/>
      <w:numFmt w:val="bullet"/>
      <w:lvlText w:val=""/>
      <w:lvlJc w:val="left"/>
      <w:pPr>
        <w:ind w:left="5040" w:hanging="360"/>
      </w:pPr>
      <w:rPr>
        <w:rFonts w:ascii="Symbol" w:hAnsi="Symbol" w:hint="default"/>
      </w:rPr>
    </w:lvl>
    <w:lvl w:ilvl="7" w:tplc="2F18F128">
      <w:start w:val="1"/>
      <w:numFmt w:val="bullet"/>
      <w:lvlText w:val="o"/>
      <w:lvlJc w:val="left"/>
      <w:pPr>
        <w:ind w:left="5760" w:hanging="360"/>
      </w:pPr>
      <w:rPr>
        <w:rFonts w:ascii="Courier New" w:hAnsi="Courier New" w:hint="default"/>
      </w:rPr>
    </w:lvl>
    <w:lvl w:ilvl="8" w:tplc="124C5710">
      <w:start w:val="1"/>
      <w:numFmt w:val="bullet"/>
      <w:lvlText w:val=""/>
      <w:lvlJc w:val="left"/>
      <w:pPr>
        <w:ind w:left="6480" w:hanging="360"/>
      </w:pPr>
      <w:rPr>
        <w:rFonts w:ascii="Wingdings" w:hAnsi="Wingdings" w:hint="default"/>
      </w:rPr>
    </w:lvl>
  </w:abstractNum>
  <w:abstractNum w:abstractNumId="16" w15:restartNumberingAfterBreak="0">
    <w:nsid w:val="1E57C548"/>
    <w:multiLevelType w:val="hybridMultilevel"/>
    <w:tmpl w:val="B97E8806"/>
    <w:lvl w:ilvl="0" w:tplc="F5E4C564">
      <w:numFmt w:val="none"/>
      <w:lvlText w:val=""/>
      <w:lvlJc w:val="left"/>
      <w:pPr>
        <w:tabs>
          <w:tab w:val="num" w:pos="360"/>
        </w:tabs>
      </w:pPr>
    </w:lvl>
    <w:lvl w:ilvl="1" w:tplc="2932A6E0">
      <w:start w:val="1"/>
      <w:numFmt w:val="lowerLetter"/>
      <w:lvlText w:val="%2."/>
      <w:lvlJc w:val="left"/>
      <w:pPr>
        <w:ind w:left="1437" w:hanging="360"/>
      </w:pPr>
    </w:lvl>
    <w:lvl w:ilvl="2" w:tplc="87E8508C">
      <w:start w:val="1"/>
      <w:numFmt w:val="lowerRoman"/>
      <w:lvlText w:val="%3."/>
      <w:lvlJc w:val="right"/>
      <w:pPr>
        <w:ind w:left="2157" w:hanging="180"/>
      </w:pPr>
    </w:lvl>
    <w:lvl w:ilvl="3" w:tplc="8F182F76">
      <w:start w:val="1"/>
      <w:numFmt w:val="decimal"/>
      <w:lvlText w:val="%4."/>
      <w:lvlJc w:val="left"/>
      <w:pPr>
        <w:ind w:left="2877" w:hanging="360"/>
      </w:pPr>
    </w:lvl>
    <w:lvl w:ilvl="4" w:tplc="422CEAA0">
      <w:start w:val="1"/>
      <w:numFmt w:val="lowerLetter"/>
      <w:lvlText w:val="%5."/>
      <w:lvlJc w:val="left"/>
      <w:pPr>
        <w:ind w:left="3597" w:hanging="360"/>
      </w:pPr>
    </w:lvl>
    <w:lvl w:ilvl="5" w:tplc="AB9C0C9C">
      <w:start w:val="1"/>
      <w:numFmt w:val="lowerRoman"/>
      <w:lvlText w:val="%6."/>
      <w:lvlJc w:val="right"/>
      <w:pPr>
        <w:ind w:left="4317" w:hanging="180"/>
      </w:pPr>
    </w:lvl>
    <w:lvl w:ilvl="6" w:tplc="358CCBEC">
      <w:start w:val="1"/>
      <w:numFmt w:val="decimal"/>
      <w:lvlText w:val="%7."/>
      <w:lvlJc w:val="left"/>
      <w:pPr>
        <w:ind w:left="5037" w:hanging="360"/>
      </w:pPr>
    </w:lvl>
    <w:lvl w:ilvl="7" w:tplc="D00AA292">
      <w:start w:val="1"/>
      <w:numFmt w:val="lowerLetter"/>
      <w:lvlText w:val="%8."/>
      <w:lvlJc w:val="left"/>
      <w:pPr>
        <w:ind w:left="5757" w:hanging="360"/>
      </w:pPr>
    </w:lvl>
    <w:lvl w:ilvl="8" w:tplc="6BC4B5A8">
      <w:start w:val="1"/>
      <w:numFmt w:val="lowerRoman"/>
      <w:lvlText w:val="%9."/>
      <w:lvlJc w:val="right"/>
      <w:pPr>
        <w:ind w:left="6477" w:hanging="180"/>
      </w:pPr>
    </w:lvl>
  </w:abstractNum>
  <w:abstractNum w:abstractNumId="17" w15:restartNumberingAfterBreak="0">
    <w:nsid w:val="216C580D"/>
    <w:multiLevelType w:val="hybridMultilevel"/>
    <w:tmpl w:val="6256F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5986A20"/>
    <w:multiLevelType w:val="hybridMultilevel"/>
    <w:tmpl w:val="549663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97F1A7D"/>
    <w:multiLevelType w:val="hybridMultilevel"/>
    <w:tmpl w:val="CBDC6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9D33E63"/>
    <w:multiLevelType w:val="hybridMultilevel"/>
    <w:tmpl w:val="43FA2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0B1A30"/>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DA87A40"/>
    <w:multiLevelType w:val="hybridMultilevel"/>
    <w:tmpl w:val="8CEA5820"/>
    <w:lvl w:ilvl="0" w:tplc="230E58F4">
      <w:start w:val="1"/>
      <w:numFmt w:val="bullet"/>
      <w:lvlText w:val="·"/>
      <w:lvlJc w:val="left"/>
      <w:pPr>
        <w:ind w:left="720" w:hanging="360"/>
      </w:pPr>
      <w:rPr>
        <w:rFonts w:ascii="Symbol" w:hAnsi="Symbol" w:hint="default"/>
      </w:rPr>
    </w:lvl>
    <w:lvl w:ilvl="1" w:tplc="00C6166E">
      <w:start w:val="1"/>
      <w:numFmt w:val="bullet"/>
      <w:lvlText w:val="o"/>
      <w:lvlJc w:val="left"/>
      <w:pPr>
        <w:ind w:left="1440" w:hanging="360"/>
      </w:pPr>
      <w:rPr>
        <w:rFonts w:ascii="Courier New" w:hAnsi="Courier New" w:hint="default"/>
      </w:rPr>
    </w:lvl>
    <w:lvl w:ilvl="2" w:tplc="E58014F6">
      <w:start w:val="1"/>
      <w:numFmt w:val="bullet"/>
      <w:lvlText w:val=""/>
      <w:lvlJc w:val="left"/>
      <w:pPr>
        <w:ind w:left="2160" w:hanging="360"/>
      </w:pPr>
      <w:rPr>
        <w:rFonts w:ascii="Wingdings" w:hAnsi="Wingdings" w:hint="default"/>
      </w:rPr>
    </w:lvl>
    <w:lvl w:ilvl="3" w:tplc="60C031B6">
      <w:start w:val="1"/>
      <w:numFmt w:val="bullet"/>
      <w:lvlText w:val=""/>
      <w:lvlJc w:val="left"/>
      <w:pPr>
        <w:ind w:left="2880" w:hanging="360"/>
      </w:pPr>
      <w:rPr>
        <w:rFonts w:ascii="Symbol" w:hAnsi="Symbol" w:hint="default"/>
      </w:rPr>
    </w:lvl>
    <w:lvl w:ilvl="4" w:tplc="6BA890BC">
      <w:start w:val="1"/>
      <w:numFmt w:val="bullet"/>
      <w:lvlText w:val="o"/>
      <w:lvlJc w:val="left"/>
      <w:pPr>
        <w:ind w:left="3600" w:hanging="360"/>
      </w:pPr>
      <w:rPr>
        <w:rFonts w:ascii="Courier New" w:hAnsi="Courier New" w:hint="default"/>
      </w:rPr>
    </w:lvl>
    <w:lvl w:ilvl="5" w:tplc="E4D0C4B8">
      <w:start w:val="1"/>
      <w:numFmt w:val="bullet"/>
      <w:lvlText w:val=""/>
      <w:lvlJc w:val="left"/>
      <w:pPr>
        <w:ind w:left="4320" w:hanging="360"/>
      </w:pPr>
      <w:rPr>
        <w:rFonts w:ascii="Wingdings" w:hAnsi="Wingdings" w:hint="default"/>
      </w:rPr>
    </w:lvl>
    <w:lvl w:ilvl="6" w:tplc="60702F4C">
      <w:start w:val="1"/>
      <w:numFmt w:val="bullet"/>
      <w:lvlText w:val=""/>
      <w:lvlJc w:val="left"/>
      <w:pPr>
        <w:ind w:left="5040" w:hanging="360"/>
      </w:pPr>
      <w:rPr>
        <w:rFonts w:ascii="Symbol" w:hAnsi="Symbol" w:hint="default"/>
      </w:rPr>
    </w:lvl>
    <w:lvl w:ilvl="7" w:tplc="E65A9212">
      <w:start w:val="1"/>
      <w:numFmt w:val="bullet"/>
      <w:lvlText w:val="o"/>
      <w:lvlJc w:val="left"/>
      <w:pPr>
        <w:ind w:left="5760" w:hanging="360"/>
      </w:pPr>
      <w:rPr>
        <w:rFonts w:ascii="Courier New" w:hAnsi="Courier New" w:hint="default"/>
      </w:rPr>
    </w:lvl>
    <w:lvl w:ilvl="8" w:tplc="23D2A6C4">
      <w:start w:val="1"/>
      <w:numFmt w:val="bullet"/>
      <w:lvlText w:val=""/>
      <w:lvlJc w:val="left"/>
      <w:pPr>
        <w:ind w:left="6480" w:hanging="360"/>
      </w:pPr>
      <w:rPr>
        <w:rFonts w:ascii="Wingdings" w:hAnsi="Wingdings" w:hint="default"/>
      </w:rPr>
    </w:lvl>
  </w:abstractNum>
  <w:abstractNum w:abstractNumId="23" w15:restartNumberingAfterBreak="0">
    <w:nsid w:val="2F5C2088"/>
    <w:multiLevelType w:val="hybridMultilevel"/>
    <w:tmpl w:val="CAB64B10"/>
    <w:lvl w:ilvl="0" w:tplc="8202FB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653F77"/>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0D88E63"/>
    <w:multiLevelType w:val="hybridMultilevel"/>
    <w:tmpl w:val="F4529B22"/>
    <w:lvl w:ilvl="0" w:tplc="F4E6E3C6">
      <w:start w:val="1"/>
      <w:numFmt w:val="bullet"/>
      <w:lvlText w:val="·"/>
      <w:lvlJc w:val="left"/>
      <w:pPr>
        <w:ind w:left="720" w:hanging="360"/>
      </w:pPr>
      <w:rPr>
        <w:rFonts w:ascii="Symbol" w:hAnsi="Symbol" w:hint="default"/>
      </w:rPr>
    </w:lvl>
    <w:lvl w:ilvl="1" w:tplc="B9B6EC86">
      <w:start w:val="1"/>
      <w:numFmt w:val="bullet"/>
      <w:lvlText w:val="o"/>
      <w:lvlJc w:val="left"/>
      <w:pPr>
        <w:ind w:left="1440" w:hanging="360"/>
      </w:pPr>
      <w:rPr>
        <w:rFonts w:ascii="Courier New" w:hAnsi="Courier New" w:hint="default"/>
      </w:rPr>
    </w:lvl>
    <w:lvl w:ilvl="2" w:tplc="80860B82">
      <w:start w:val="1"/>
      <w:numFmt w:val="bullet"/>
      <w:lvlText w:val=""/>
      <w:lvlJc w:val="left"/>
      <w:pPr>
        <w:ind w:left="2160" w:hanging="360"/>
      </w:pPr>
      <w:rPr>
        <w:rFonts w:ascii="Wingdings" w:hAnsi="Wingdings" w:hint="default"/>
      </w:rPr>
    </w:lvl>
    <w:lvl w:ilvl="3" w:tplc="DE26EACA">
      <w:start w:val="1"/>
      <w:numFmt w:val="bullet"/>
      <w:lvlText w:val=""/>
      <w:lvlJc w:val="left"/>
      <w:pPr>
        <w:ind w:left="2880" w:hanging="360"/>
      </w:pPr>
      <w:rPr>
        <w:rFonts w:ascii="Symbol" w:hAnsi="Symbol" w:hint="default"/>
      </w:rPr>
    </w:lvl>
    <w:lvl w:ilvl="4" w:tplc="FECED558">
      <w:start w:val="1"/>
      <w:numFmt w:val="bullet"/>
      <w:lvlText w:val="o"/>
      <w:lvlJc w:val="left"/>
      <w:pPr>
        <w:ind w:left="3600" w:hanging="360"/>
      </w:pPr>
      <w:rPr>
        <w:rFonts w:ascii="Courier New" w:hAnsi="Courier New" w:hint="default"/>
      </w:rPr>
    </w:lvl>
    <w:lvl w:ilvl="5" w:tplc="23D2A90E">
      <w:start w:val="1"/>
      <w:numFmt w:val="bullet"/>
      <w:lvlText w:val=""/>
      <w:lvlJc w:val="left"/>
      <w:pPr>
        <w:ind w:left="4320" w:hanging="360"/>
      </w:pPr>
      <w:rPr>
        <w:rFonts w:ascii="Wingdings" w:hAnsi="Wingdings" w:hint="default"/>
      </w:rPr>
    </w:lvl>
    <w:lvl w:ilvl="6" w:tplc="F36AE38E">
      <w:start w:val="1"/>
      <w:numFmt w:val="bullet"/>
      <w:lvlText w:val=""/>
      <w:lvlJc w:val="left"/>
      <w:pPr>
        <w:ind w:left="5040" w:hanging="360"/>
      </w:pPr>
      <w:rPr>
        <w:rFonts w:ascii="Symbol" w:hAnsi="Symbol" w:hint="default"/>
      </w:rPr>
    </w:lvl>
    <w:lvl w:ilvl="7" w:tplc="74623270">
      <w:start w:val="1"/>
      <w:numFmt w:val="bullet"/>
      <w:lvlText w:val="o"/>
      <w:lvlJc w:val="left"/>
      <w:pPr>
        <w:ind w:left="5760" w:hanging="360"/>
      </w:pPr>
      <w:rPr>
        <w:rFonts w:ascii="Courier New" w:hAnsi="Courier New" w:hint="default"/>
      </w:rPr>
    </w:lvl>
    <w:lvl w:ilvl="8" w:tplc="400EEF10">
      <w:start w:val="1"/>
      <w:numFmt w:val="bullet"/>
      <w:lvlText w:val=""/>
      <w:lvlJc w:val="left"/>
      <w:pPr>
        <w:ind w:left="6480" w:hanging="360"/>
      </w:pPr>
      <w:rPr>
        <w:rFonts w:ascii="Wingdings" w:hAnsi="Wingdings" w:hint="default"/>
      </w:rPr>
    </w:lvl>
  </w:abstractNum>
  <w:abstractNum w:abstractNumId="26" w15:restartNumberingAfterBreak="0">
    <w:nsid w:val="32676382"/>
    <w:multiLevelType w:val="hybridMultilevel"/>
    <w:tmpl w:val="7478B7DA"/>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27" w15:restartNumberingAfterBreak="0">
    <w:nsid w:val="32AC2495"/>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2C2CFA7"/>
    <w:multiLevelType w:val="hybridMultilevel"/>
    <w:tmpl w:val="B6D2478A"/>
    <w:lvl w:ilvl="0" w:tplc="089EFA84">
      <w:numFmt w:val="none"/>
      <w:lvlText w:val=""/>
      <w:lvlJc w:val="left"/>
      <w:pPr>
        <w:tabs>
          <w:tab w:val="num" w:pos="360"/>
        </w:tabs>
      </w:pPr>
    </w:lvl>
    <w:lvl w:ilvl="1" w:tplc="3EBC1EBA">
      <w:start w:val="1"/>
      <w:numFmt w:val="lowerLetter"/>
      <w:lvlText w:val="%2."/>
      <w:lvlJc w:val="left"/>
      <w:pPr>
        <w:ind w:left="1440" w:hanging="360"/>
      </w:pPr>
    </w:lvl>
    <w:lvl w:ilvl="2" w:tplc="45BA56A8">
      <w:start w:val="1"/>
      <w:numFmt w:val="lowerRoman"/>
      <w:lvlText w:val="%3."/>
      <w:lvlJc w:val="right"/>
      <w:pPr>
        <w:ind w:left="2160" w:hanging="180"/>
      </w:pPr>
    </w:lvl>
    <w:lvl w:ilvl="3" w:tplc="D6BC877C">
      <w:start w:val="1"/>
      <w:numFmt w:val="decimal"/>
      <w:lvlText w:val="%4."/>
      <w:lvlJc w:val="left"/>
      <w:pPr>
        <w:ind w:left="2880" w:hanging="360"/>
      </w:pPr>
    </w:lvl>
    <w:lvl w:ilvl="4" w:tplc="1882851C">
      <w:start w:val="1"/>
      <w:numFmt w:val="lowerLetter"/>
      <w:lvlText w:val="%5."/>
      <w:lvlJc w:val="left"/>
      <w:pPr>
        <w:ind w:left="3600" w:hanging="360"/>
      </w:pPr>
    </w:lvl>
    <w:lvl w:ilvl="5" w:tplc="E9E0F31E">
      <w:start w:val="1"/>
      <w:numFmt w:val="lowerRoman"/>
      <w:lvlText w:val="%6."/>
      <w:lvlJc w:val="right"/>
      <w:pPr>
        <w:ind w:left="4320" w:hanging="180"/>
      </w:pPr>
    </w:lvl>
    <w:lvl w:ilvl="6" w:tplc="558AE584">
      <w:start w:val="1"/>
      <w:numFmt w:val="decimal"/>
      <w:lvlText w:val="%7."/>
      <w:lvlJc w:val="left"/>
      <w:pPr>
        <w:ind w:left="5040" w:hanging="360"/>
      </w:pPr>
    </w:lvl>
    <w:lvl w:ilvl="7" w:tplc="B5A85F60">
      <w:start w:val="1"/>
      <w:numFmt w:val="lowerLetter"/>
      <w:lvlText w:val="%8."/>
      <w:lvlJc w:val="left"/>
      <w:pPr>
        <w:ind w:left="5760" w:hanging="360"/>
      </w:pPr>
    </w:lvl>
    <w:lvl w:ilvl="8" w:tplc="542A356A">
      <w:start w:val="1"/>
      <w:numFmt w:val="lowerRoman"/>
      <w:lvlText w:val="%9."/>
      <w:lvlJc w:val="right"/>
      <w:pPr>
        <w:ind w:left="6480" w:hanging="180"/>
      </w:pPr>
    </w:lvl>
  </w:abstractNum>
  <w:abstractNum w:abstractNumId="29" w15:restartNumberingAfterBreak="0">
    <w:nsid w:val="38F979D2"/>
    <w:multiLevelType w:val="hybridMultilevel"/>
    <w:tmpl w:val="F516FFF8"/>
    <w:lvl w:ilvl="0" w:tplc="ABFA1B34">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 w15:restartNumberingAfterBreak="0">
    <w:nsid w:val="393F6AE9"/>
    <w:multiLevelType w:val="hybridMultilevel"/>
    <w:tmpl w:val="8D4C2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3A575005"/>
    <w:multiLevelType w:val="hybridMultilevel"/>
    <w:tmpl w:val="2D42A382"/>
    <w:lvl w:ilvl="0" w:tplc="4438861E">
      <w:start w:val="1"/>
      <w:numFmt w:val="decimal"/>
      <w:lvlText w:val="%1)"/>
      <w:lvlJc w:val="left"/>
      <w:pPr>
        <w:ind w:left="1020" w:hanging="360"/>
      </w:pPr>
    </w:lvl>
    <w:lvl w:ilvl="1" w:tplc="AC26A8EC">
      <w:start w:val="1"/>
      <w:numFmt w:val="decimal"/>
      <w:lvlText w:val="%2)"/>
      <w:lvlJc w:val="left"/>
      <w:pPr>
        <w:ind w:left="1020" w:hanging="360"/>
      </w:pPr>
    </w:lvl>
    <w:lvl w:ilvl="2" w:tplc="ED9E6C28">
      <w:start w:val="1"/>
      <w:numFmt w:val="decimal"/>
      <w:lvlText w:val="%3)"/>
      <w:lvlJc w:val="left"/>
      <w:pPr>
        <w:ind w:left="1020" w:hanging="360"/>
      </w:pPr>
    </w:lvl>
    <w:lvl w:ilvl="3" w:tplc="A11EA2EC">
      <w:start w:val="1"/>
      <w:numFmt w:val="decimal"/>
      <w:lvlText w:val="%4)"/>
      <w:lvlJc w:val="left"/>
      <w:pPr>
        <w:ind w:left="1020" w:hanging="360"/>
      </w:pPr>
    </w:lvl>
    <w:lvl w:ilvl="4" w:tplc="E468EF38">
      <w:start w:val="1"/>
      <w:numFmt w:val="decimal"/>
      <w:lvlText w:val="%5)"/>
      <w:lvlJc w:val="left"/>
      <w:pPr>
        <w:ind w:left="1020" w:hanging="360"/>
      </w:pPr>
    </w:lvl>
    <w:lvl w:ilvl="5" w:tplc="C5725190">
      <w:start w:val="1"/>
      <w:numFmt w:val="decimal"/>
      <w:lvlText w:val="%6)"/>
      <w:lvlJc w:val="left"/>
      <w:pPr>
        <w:ind w:left="1020" w:hanging="360"/>
      </w:pPr>
    </w:lvl>
    <w:lvl w:ilvl="6" w:tplc="7A104DF0">
      <w:start w:val="1"/>
      <w:numFmt w:val="decimal"/>
      <w:lvlText w:val="%7)"/>
      <w:lvlJc w:val="left"/>
      <w:pPr>
        <w:ind w:left="1020" w:hanging="360"/>
      </w:pPr>
    </w:lvl>
    <w:lvl w:ilvl="7" w:tplc="55368304">
      <w:start w:val="1"/>
      <w:numFmt w:val="decimal"/>
      <w:lvlText w:val="%8)"/>
      <w:lvlJc w:val="left"/>
      <w:pPr>
        <w:ind w:left="1020" w:hanging="360"/>
      </w:pPr>
    </w:lvl>
    <w:lvl w:ilvl="8" w:tplc="A1222F9C">
      <w:start w:val="1"/>
      <w:numFmt w:val="decimal"/>
      <w:lvlText w:val="%9)"/>
      <w:lvlJc w:val="left"/>
      <w:pPr>
        <w:ind w:left="1020" w:hanging="360"/>
      </w:pPr>
    </w:lvl>
  </w:abstractNum>
  <w:abstractNum w:abstractNumId="32" w15:restartNumberingAfterBreak="0">
    <w:nsid w:val="3B903B3C"/>
    <w:multiLevelType w:val="multilevel"/>
    <w:tmpl w:val="8B76AE02"/>
    <w:lvl w:ilvl="0">
      <w:start w:val="1"/>
      <w:numFmt w:val="decimal"/>
      <w:lvlText w:val="%1."/>
      <w:lvlJc w:val="left"/>
      <w:pPr>
        <w:ind w:left="5605"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3BEE844A"/>
    <w:multiLevelType w:val="hybridMultilevel"/>
    <w:tmpl w:val="F530C7F2"/>
    <w:lvl w:ilvl="0" w:tplc="2812BFA8">
      <w:start w:val="1"/>
      <w:numFmt w:val="bullet"/>
      <w:lvlText w:val="-"/>
      <w:lvlJc w:val="left"/>
      <w:pPr>
        <w:ind w:left="720" w:hanging="360"/>
      </w:pPr>
      <w:rPr>
        <w:rFonts w:ascii="Calibri" w:hAnsi="Calibri" w:hint="default"/>
      </w:rPr>
    </w:lvl>
    <w:lvl w:ilvl="1" w:tplc="0E4CF494">
      <w:start w:val="1"/>
      <w:numFmt w:val="bullet"/>
      <w:lvlText w:val="o"/>
      <w:lvlJc w:val="left"/>
      <w:pPr>
        <w:ind w:left="1440" w:hanging="360"/>
      </w:pPr>
      <w:rPr>
        <w:rFonts w:ascii="Courier New" w:hAnsi="Courier New" w:hint="default"/>
      </w:rPr>
    </w:lvl>
    <w:lvl w:ilvl="2" w:tplc="918E89F2">
      <w:start w:val="1"/>
      <w:numFmt w:val="bullet"/>
      <w:lvlText w:val=""/>
      <w:lvlJc w:val="left"/>
      <w:pPr>
        <w:ind w:left="2160" w:hanging="360"/>
      </w:pPr>
      <w:rPr>
        <w:rFonts w:ascii="Wingdings" w:hAnsi="Wingdings" w:hint="default"/>
      </w:rPr>
    </w:lvl>
    <w:lvl w:ilvl="3" w:tplc="8DF0A1DC">
      <w:start w:val="1"/>
      <w:numFmt w:val="bullet"/>
      <w:lvlText w:val=""/>
      <w:lvlJc w:val="left"/>
      <w:pPr>
        <w:ind w:left="2880" w:hanging="360"/>
      </w:pPr>
      <w:rPr>
        <w:rFonts w:ascii="Symbol" w:hAnsi="Symbol" w:hint="default"/>
      </w:rPr>
    </w:lvl>
    <w:lvl w:ilvl="4" w:tplc="EF88BF76">
      <w:start w:val="1"/>
      <w:numFmt w:val="bullet"/>
      <w:lvlText w:val="o"/>
      <w:lvlJc w:val="left"/>
      <w:pPr>
        <w:ind w:left="3600" w:hanging="360"/>
      </w:pPr>
      <w:rPr>
        <w:rFonts w:ascii="Courier New" w:hAnsi="Courier New" w:hint="default"/>
      </w:rPr>
    </w:lvl>
    <w:lvl w:ilvl="5" w:tplc="872AE9D4">
      <w:start w:val="1"/>
      <w:numFmt w:val="bullet"/>
      <w:lvlText w:val=""/>
      <w:lvlJc w:val="left"/>
      <w:pPr>
        <w:ind w:left="4320" w:hanging="360"/>
      </w:pPr>
      <w:rPr>
        <w:rFonts w:ascii="Wingdings" w:hAnsi="Wingdings" w:hint="default"/>
      </w:rPr>
    </w:lvl>
    <w:lvl w:ilvl="6" w:tplc="E7C40BC8">
      <w:start w:val="1"/>
      <w:numFmt w:val="bullet"/>
      <w:lvlText w:val=""/>
      <w:lvlJc w:val="left"/>
      <w:pPr>
        <w:ind w:left="5040" w:hanging="360"/>
      </w:pPr>
      <w:rPr>
        <w:rFonts w:ascii="Symbol" w:hAnsi="Symbol" w:hint="default"/>
      </w:rPr>
    </w:lvl>
    <w:lvl w:ilvl="7" w:tplc="372852B6">
      <w:start w:val="1"/>
      <w:numFmt w:val="bullet"/>
      <w:lvlText w:val="o"/>
      <w:lvlJc w:val="left"/>
      <w:pPr>
        <w:ind w:left="5760" w:hanging="360"/>
      </w:pPr>
      <w:rPr>
        <w:rFonts w:ascii="Courier New" w:hAnsi="Courier New" w:hint="default"/>
      </w:rPr>
    </w:lvl>
    <w:lvl w:ilvl="8" w:tplc="A260CEB4">
      <w:start w:val="1"/>
      <w:numFmt w:val="bullet"/>
      <w:lvlText w:val=""/>
      <w:lvlJc w:val="left"/>
      <w:pPr>
        <w:ind w:left="6480" w:hanging="360"/>
      </w:pPr>
      <w:rPr>
        <w:rFonts w:ascii="Wingdings" w:hAnsi="Wingdings" w:hint="default"/>
      </w:rPr>
    </w:lvl>
  </w:abstractNum>
  <w:abstractNum w:abstractNumId="34" w15:restartNumberingAfterBreak="0">
    <w:nsid w:val="3BF3B791"/>
    <w:multiLevelType w:val="hybridMultilevel"/>
    <w:tmpl w:val="A22296AE"/>
    <w:lvl w:ilvl="0" w:tplc="3D42877A">
      <w:numFmt w:val="none"/>
      <w:lvlText w:val=""/>
      <w:lvlJc w:val="left"/>
      <w:pPr>
        <w:tabs>
          <w:tab w:val="num" w:pos="360"/>
        </w:tabs>
      </w:pPr>
    </w:lvl>
    <w:lvl w:ilvl="1" w:tplc="F0D2271A">
      <w:start w:val="1"/>
      <w:numFmt w:val="lowerLetter"/>
      <w:lvlText w:val="%2."/>
      <w:lvlJc w:val="left"/>
      <w:pPr>
        <w:ind w:left="1437" w:hanging="360"/>
      </w:pPr>
    </w:lvl>
    <w:lvl w:ilvl="2" w:tplc="843C6BF2">
      <w:start w:val="1"/>
      <w:numFmt w:val="lowerRoman"/>
      <w:lvlText w:val="%3."/>
      <w:lvlJc w:val="right"/>
      <w:pPr>
        <w:ind w:left="2157" w:hanging="180"/>
      </w:pPr>
    </w:lvl>
    <w:lvl w:ilvl="3" w:tplc="88D002B2">
      <w:start w:val="1"/>
      <w:numFmt w:val="decimal"/>
      <w:lvlText w:val="%4."/>
      <w:lvlJc w:val="left"/>
      <w:pPr>
        <w:ind w:left="2877" w:hanging="360"/>
      </w:pPr>
    </w:lvl>
    <w:lvl w:ilvl="4" w:tplc="BE8EF3D4">
      <w:start w:val="1"/>
      <w:numFmt w:val="lowerLetter"/>
      <w:lvlText w:val="%5."/>
      <w:lvlJc w:val="left"/>
      <w:pPr>
        <w:ind w:left="3597" w:hanging="360"/>
      </w:pPr>
    </w:lvl>
    <w:lvl w:ilvl="5" w:tplc="C17E8016">
      <w:start w:val="1"/>
      <w:numFmt w:val="lowerRoman"/>
      <w:lvlText w:val="%6."/>
      <w:lvlJc w:val="right"/>
      <w:pPr>
        <w:ind w:left="4317" w:hanging="180"/>
      </w:pPr>
    </w:lvl>
    <w:lvl w:ilvl="6" w:tplc="6EF07092">
      <w:start w:val="1"/>
      <w:numFmt w:val="decimal"/>
      <w:lvlText w:val="%7."/>
      <w:lvlJc w:val="left"/>
      <w:pPr>
        <w:ind w:left="5037" w:hanging="360"/>
      </w:pPr>
    </w:lvl>
    <w:lvl w:ilvl="7" w:tplc="0EB0BBF8">
      <w:start w:val="1"/>
      <w:numFmt w:val="lowerLetter"/>
      <w:lvlText w:val="%8."/>
      <w:lvlJc w:val="left"/>
      <w:pPr>
        <w:ind w:left="5757" w:hanging="360"/>
      </w:pPr>
    </w:lvl>
    <w:lvl w:ilvl="8" w:tplc="992CBADC">
      <w:start w:val="1"/>
      <w:numFmt w:val="lowerRoman"/>
      <w:lvlText w:val="%9."/>
      <w:lvlJc w:val="right"/>
      <w:pPr>
        <w:ind w:left="6477" w:hanging="180"/>
      </w:pPr>
    </w:lvl>
  </w:abstractNum>
  <w:abstractNum w:abstractNumId="35" w15:restartNumberingAfterBreak="0">
    <w:nsid w:val="3E14567B"/>
    <w:multiLevelType w:val="hybridMultilevel"/>
    <w:tmpl w:val="050292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E18EA44"/>
    <w:multiLevelType w:val="hybridMultilevel"/>
    <w:tmpl w:val="921E2B90"/>
    <w:lvl w:ilvl="0" w:tplc="AEAA6272">
      <w:numFmt w:val="none"/>
      <w:lvlText w:val=""/>
      <w:lvlJc w:val="left"/>
      <w:pPr>
        <w:tabs>
          <w:tab w:val="num" w:pos="360"/>
        </w:tabs>
      </w:pPr>
    </w:lvl>
    <w:lvl w:ilvl="1" w:tplc="428C6A14">
      <w:start w:val="1"/>
      <w:numFmt w:val="lowerLetter"/>
      <w:lvlText w:val="%2."/>
      <w:lvlJc w:val="left"/>
      <w:pPr>
        <w:ind w:left="1440" w:hanging="360"/>
      </w:pPr>
    </w:lvl>
    <w:lvl w:ilvl="2" w:tplc="D74287DE">
      <w:start w:val="1"/>
      <w:numFmt w:val="lowerRoman"/>
      <w:lvlText w:val="%3."/>
      <w:lvlJc w:val="right"/>
      <w:pPr>
        <w:ind w:left="2160" w:hanging="180"/>
      </w:pPr>
    </w:lvl>
    <w:lvl w:ilvl="3" w:tplc="EE4680F0">
      <w:start w:val="1"/>
      <w:numFmt w:val="decimal"/>
      <w:lvlText w:val="%4."/>
      <w:lvlJc w:val="left"/>
      <w:pPr>
        <w:ind w:left="2880" w:hanging="360"/>
      </w:pPr>
    </w:lvl>
    <w:lvl w:ilvl="4" w:tplc="116CA952">
      <w:start w:val="1"/>
      <w:numFmt w:val="lowerLetter"/>
      <w:lvlText w:val="%5."/>
      <w:lvlJc w:val="left"/>
      <w:pPr>
        <w:ind w:left="3600" w:hanging="360"/>
      </w:pPr>
    </w:lvl>
    <w:lvl w:ilvl="5" w:tplc="5904843C">
      <w:start w:val="1"/>
      <w:numFmt w:val="lowerRoman"/>
      <w:lvlText w:val="%6."/>
      <w:lvlJc w:val="right"/>
      <w:pPr>
        <w:ind w:left="4320" w:hanging="180"/>
      </w:pPr>
    </w:lvl>
    <w:lvl w:ilvl="6" w:tplc="9C32DB8A">
      <w:start w:val="1"/>
      <w:numFmt w:val="decimal"/>
      <w:lvlText w:val="%7."/>
      <w:lvlJc w:val="left"/>
      <w:pPr>
        <w:ind w:left="5040" w:hanging="360"/>
      </w:pPr>
    </w:lvl>
    <w:lvl w:ilvl="7" w:tplc="F39A2082">
      <w:start w:val="1"/>
      <w:numFmt w:val="lowerLetter"/>
      <w:lvlText w:val="%8."/>
      <w:lvlJc w:val="left"/>
      <w:pPr>
        <w:ind w:left="5760" w:hanging="360"/>
      </w:pPr>
    </w:lvl>
    <w:lvl w:ilvl="8" w:tplc="68DE8660">
      <w:start w:val="1"/>
      <w:numFmt w:val="lowerRoman"/>
      <w:lvlText w:val="%9."/>
      <w:lvlJc w:val="right"/>
      <w:pPr>
        <w:ind w:left="6480" w:hanging="180"/>
      </w:pPr>
    </w:lvl>
  </w:abstractNum>
  <w:abstractNum w:abstractNumId="37" w15:restartNumberingAfterBreak="0">
    <w:nsid w:val="41C974EE"/>
    <w:multiLevelType w:val="hybridMultilevel"/>
    <w:tmpl w:val="68BC7AF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1D53C6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4E0A120"/>
    <w:multiLevelType w:val="hybridMultilevel"/>
    <w:tmpl w:val="70747BEC"/>
    <w:lvl w:ilvl="0" w:tplc="9CCCDB62">
      <w:start w:val="1"/>
      <w:numFmt w:val="bullet"/>
      <w:lvlText w:val=""/>
      <w:lvlJc w:val="left"/>
      <w:pPr>
        <w:ind w:left="720" w:hanging="360"/>
      </w:pPr>
      <w:rPr>
        <w:rFonts w:ascii="Symbol" w:hAnsi="Symbol" w:hint="default"/>
      </w:rPr>
    </w:lvl>
    <w:lvl w:ilvl="1" w:tplc="DACA3946">
      <w:start w:val="1"/>
      <w:numFmt w:val="bullet"/>
      <w:lvlText w:val="o"/>
      <w:lvlJc w:val="left"/>
      <w:pPr>
        <w:ind w:left="1440" w:hanging="360"/>
      </w:pPr>
      <w:rPr>
        <w:rFonts w:ascii="Courier New" w:hAnsi="Courier New" w:hint="default"/>
      </w:rPr>
    </w:lvl>
    <w:lvl w:ilvl="2" w:tplc="8FE2536E">
      <w:start w:val="1"/>
      <w:numFmt w:val="bullet"/>
      <w:lvlText w:val=""/>
      <w:lvlJc w:val="left"/>
      <w:pPr>
        <w:ind w:left="2160" w:hanging="360"/>
      </w:pPr>
      <w:rPr>
        <w:rFonts w:ascii="Wingdings" w:hAnsi="Wingdings" w:hint="default"/>
      </w:rPr>
    </w:lvl>
    <w:lvl w:ilvl="3" w:tplc="2A5A37C2">
      <w:start w:val="1"/>
      <w:numFmt w:val="bullet"/>
      <w:lvlText w:val=""/>
      <w:lvlJc w:val="left"/>
      <w:pPr>
        <w:ind w:left="2880" w:hanging="360"/>
      </w:pPr>
      <w:rPr>
        <w:rFonts w:ascii="Symbol" w:hAnsi="Symbol" w:hint="default"/>
      </w:rPr>
    </w:lvl>
    <w:lvl w:ilvl="4" w:tplc="86B8C17A">
      <w:start w:val="1"/>
      <w:numFmt w:val="bullet"/>
      <w:lvlText w:val="o"/>
      <w:lvlJc w:val="left"/>
      <w:pPr>
        <w:ind w:left="3600" w:hanging="360"/>
      </w:pPr>
      <w:rPr>
        <w:rFonts w:ascii="Courier New" w:hAnsi="Courier New" w:hint="default"/>
      </w:rPr>
    </w:lvl>
    <w:lvl w:ilvl="5" w:tplc="F9F6046C">
      <w:start w:val="1"/>
      <w:numFmt w:val="bullet"/>
      <w:lvlText w:val=""/>
      <w:lvlJc w:val="left"/>
      <w:pPr>
        <w:ind w:left="4320" w:hanging="360"/>
      </w:pPr>
      <w:rPr>
        <w:rFonts w:ascii="Wingdings" w:hAnsi="Wingdings" w:hint="default"/>
      </w:rPr>
    </w:lvl>
    <w:lvl w:ilvl="6" w:tplc="171A9994">
      <w:start w:val="1"/>
      <w:numFmt w:val="bullet"/>
      <w:lvlText w:val=""/>
      <w:lvlJc w:val="left"/>
      <w:pPr>
        <w:ind w:left="5040" w:hanging="360"/>
      </w:pPr>
      <w:rPr>
        <w:rFonts w:ascii="Symbol" w:hAnsi="Symbol" w:hint="default"/>
      </w:rPr>
    </w:lvl>
    <w:lvl w:ilvl="7" w:tplc="4DB22CCE">
      <w:start w:val="1"/>
      <w:numFmt w:val="bullet"/>
      <w:lvlText w:val="o"/>
      <w:lvlJc w:val="left"/>
      <w:pPr>
        <w:ind w:left="5760" w:hanging="360"/>
      </w:pPr>
      <w:rPr>
        <w:rFonts w:ascii="Courier New" w:hAnsi="Courier New" w:hint="default"/>
      </w:rPr>
    </w:lvl>
    <w:lvl w:ilvl="8" w:tplc="59ACAFBA">
      <w:start w:val="1"/>
      <w:numFmt w:val="bullet"/>
      <w:lvlText w:val=""/>
      <w:lvlJc w:val="left"/>
      <w:pPr>
        <w:ind w:left="6480" w:hanging="360"/>
      </w:pPr>
      <w:rPr>
        <w:rFonts w:ascii="Wingdings" w:hAnsi="Wingdings" w:hint="default"/>
      </w:rPr>
    </w:lvl>
  </w:abstractNum>
  <w:abstractNum w:abstractNumId="40" w15:restartNumberingAfterBreak="0">
    <w:nsid w:val="468A517D"/>
    <w:multiLevelType w:val="hybridMultilevel"/>
    <w:tmpl w:val="D21E6D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48A237AA"/>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A670E74"/>
    <w:multiLevelType w:val="multilevel"/>
    <w:tmpl w:val="ECB441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039736A"/>
    <w:multiLevelType w:val="hybridMultilevel"/>
    <w:tmpl w:val="0D3E7F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3AD6343"/>
    <w:multiLevelType w:val="hybridMultilevel"/>
    <w:tmpl w:val="836660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55ED3A74"/>
    <w:multiLevelType w:val="hybridMultilevel"/>
    <w:tmpl w:val="1A6AB2F6"/>
    <w:lvl w:ilvl="0" w:tplc="1988FB36">
      <w:start w:val="1"/>
      <w:numFmt w:val="bullet"/>
      <w:lvlText w:val=""/>
      <w:lvlJc w:val="left"/>
      <w:pPr>
        <w:ind w:left="720" w:hanging="360"/>
      </w:pPr>
      <w:rPr>
        <w:rFonts w:ascii="Symbol" w:hAnsi="Symbol" w:hint="default"/>
      </w:rPr>
    </w:lvl>
    <w:lvl w:ilvl="1" w:tplc="F6941D84">
      <w:start w:val="1"/>
      <w:numFmt w:val="bullet"/>
      <w:lvlText w:val="o"/>
      <w:lvlJc w:val="left"/>
      <w:pPr>
        <w:ind w:left="1440" w:hanging="360"/>
      </w:pPr>
      <w:rPr>
        <w:rFonts w:ascii="Courier New" w:hAnsi="Courier New" w:hint="default"/>
      </w:rPr>
    </w:lvl>
    <w:lvl w:ilvl="2" w:tplc="DB921DE0">
      <w:start w:val="1"/>
      <w:numFmt w:val="bullet"/>
      <w:lvlText w:val=""/>
      <w:lvlJc w:val="left"/>
      <w:pPr>
        <w:ind w:left="2160" w:hanging="360"/>
      </w:pPr>
      <w:rPr>
        <w:rFonts w:ascii="Wingdings" w:hAnsi="Wingdings" w:hint="default"/>
      </w:rPr>
    </w:lvl>
    <w:lvl w:ilvl="3" w:tplc="A504F8BC">
      <w:start w:val="1"/>
      <w:numFmt w:val="bullet"/>
      <w:lvlText w:val=""/>
      <w:lvlJc w:val="left"/>
      <w:pPr>
        <w:ind w:left="2880" w:hanging="360"/>
      </w:pPr>
      <w:rPr>
        <w:rFonts w:ascii="Symbol" w:hAnsi="Symbol" w:hint="default"/>
      </w:rPr>
    </w:lvl>
    <w:lvl w:ilvl="4" w:tplc="089A7798">
      <w:start w:val="1"/>
      <w:numFmt w:val="bullet"/>
      <w:lvlText w:val="o"/>
      <w:lvlJc w:val="left"/>
      <w:pPr>
        <w:ind w:left="3600" w:hanging="360"/>
      </w:pPr>
      <w:rPr>
        <w:rFonts w:ascii="Courier New" w:hAnsi="Courier New" w:hint="default"/>
      </w:rPr>
    </w:lvl>
    <w:lvl w:ilvl="5" w:tplc="7076F7E4">
      <w:start w:val="1"/>
      <w:numFmt w:val="bullet"/>
      <w:lvlText w:val=""/>
      <w:lvlJc w:val="left"/>
      <w:pPr>
        <w:ind w:left="4320" w:hanging="360"/>
      </w:pPr>
      <w:rPr>
        <w:rFonts w:ascii="Wingdings" w:hAnsi="Wingdings" w:hint="default"/>
      </w:rPr>
    </w:lvl>
    <w:lvl w:ilvl="6" w:tplc="A2F4158E">
      <w:start w:val="1"/>
      <w:numFmt w:val="bullet"/>
      <w:lvlText w:val=""/>
      <w:lvlJc w:val="left"/>
      <w:pPr>
        <w:ind w:left="5040" w:hanging="360"/>
      </w:pPr>
      <w:rPr>
        <w:rFonts w:ascii="Symbol" w:hAnsi="Symbol" w:hint="default"/>
      </w:rPr>
    </w:lvl>
    <w:lvl w:ilvl="7" w:tplc="56F6B282">
      <w:start w:val="1"/>
      <w:numFmt w:val="bullet"/>
      <w:lvlText w:val="o"/>
      <w:lvlJc w:val="left"/>
      <w:pPr>
        <w:ind w:left="5760" w:hanging="360"/>
      </w:pPr>
      <w:rPr>
        <w:rFonts w:ascii="Courier New" w:hAnsi="Courier New" w:hint="default"/>
      </w:rPr>
    </w:lvl>
    <w:lvl w:ilvl="8" w:tplc="91D66BA8">
      <w:start w:val="1"/>
      <w:numFmt w:val="bullet"/>
      <w:lvlText w:val=""/>
      <w:lvlJc w:val="left"/>
      <w:pPr>
        <w:ind w:left="6480" w:hanging="360"/>
      </w:pPr>
      <w:rPr>
        <w:rFonts w:ascii="Wingdings" w:hAnsi="Wingdings" w:hint="default"/>
      </w:rPr>
    </w:lvl>
  </w:abstractNum>
  <w:abstractNum w:abstractNumId="47" w15:restartNumberingAfterBreak="0">
    <w:nsid w:val="5B6F76CC"/>
    <w:multiLevelType w:val="multilevel"/>
    <w:tmpl w:val="8E583D90"/>
    <w:lvl w:ilvl="0">
      <w:start w:val="4"/>
      <w:numFmt w:val="decimal"/>
      <w:lvlText w:val="%1"/>
      <w:lvlJc w:val="left"/>
      <w:pPr>
        <w:ind w:left="465" w:hanging="465"/>
      </w:pPr>
      <w:rPr>
        <w:rFonts w:hint="default"/>
      </w:rPr>
    </w:lvl>
    <w:lvl w:ilvl="1">
      <w:start w:val="11"/>
      <w:numFmt w:val="decimal"/>
      <w:lvlText w:val="%1.%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5C8A3E06"/>
    <w:multiLevelType w:val="hybridMultilevel"/>
    <w:tmpl w:val="9990A774"/>
    <w:lvl w:ilvl="0" w:tplc="85522EC0">
      <w:start w:val="1"/>
      <w:numFmt w:val="bullet"/>
      <w:lvlText w:val=""/>
      <w:lvlJc w:val="left"/>
      <w:pPr>
        <w:ind w:left="720" w:hanging="360"/>
      </w:pPr>
      <w:rPr>
        <w:rFonts w:ascii="Symbol" w:hAnsi="Symbol" w:hint="default"/>
      </w:rPr>
    </w:lvl>
    <w:lvl w:ilvl="1" w:tplc="0AB07216">
      <w:start w:val="1"/>
      <w:numFmt w:val="bullet"/>
      <w:lvlText w:val="o"/>
      <w:lvlJc w:val="left"/>
      <w:pPr>
        <w:ind w:left="1440" w:hanging="360"/>
      </w:pPr>
      <w:rPr>
        <w:rFonts w:ascii="Courier New" w:hAnsi="Courier New" w:hint="default"/>
      </w:rPr>
    </w:lvl>
    <w:lvl w:ilvl="2" w:tplc="3050EABC">
      <w:start w:val="1"/>
      <w:numFmt w:val="bullet"/>
      <w:lvlText w:val=""/>
      <w:lvlJc w:val="left"/>
      <w:pPr>
        <w:ind w:left="2160" w:hanging="360"/>
      </w:pPr>
      <w:rPr>
        <w:rFonts w:ascii="Wingdings" w:hAnsi="Wingdings" w:hint="default"/>
      </w:rPr>
    </w:lvl>
    <w:lvl w:ilvl="3" w:tplc="C344A81A">
      <w:start w:val="1"/>
      <w:numFmt w:val="bullet"/>
      <w:lvlText w:val=""/>
      <w:lvlJc w:val="left"/>
      <w:pPr>
        <w:ind w:left="2880" w:hanging="360"/>
      </w:pPr>
      <w:rPr>
        <w:rFonts w:ascii="Symbol" w:hAnsi="Symbol" w:hint="default"/>
      </w:rPr>
    </w:lvl>
    <w:lvl w:ilvl="4" w:tplc="63A4FC6A">
      <w:start w:val="1"/>
      <w:numFmt w:val="bullet"/>
      <w:lvlText w:val="o"/>
      <w:lvlJc w:val="left"/>
      <w:pPr>
        <w:ind w:left="3600" w:hanging="360"/>
      </w:pPr>
      <w:rPr>
        <w:rFonts w:ascii="Courier New" w:hAnsi="Courier New" w:hint="default"/>
      </w:rPr>
    </w:lvl>
    <w:lvl w:ilvl="5" w:tplc="0A861B94">
      <w:start w:val="1"/>
      <w:numFmt w:val="bullet"/>
      <w:lvlText w:val=""/>
      <w:lvlJc w:val="left"/>
      <w:pPr>
        <w:ind w:left="4320" w:hanging="360"/>
      </w:pPr>
      <w:rPr>
        <w:rFonts w:ascii="Wingdings" w:hAnsi="Wingdings" w:hint="default"/>
      </w:rPr>
    </w:lvl>
    <w:lvl w:ilvl="6" w:tplc="72405BCC">
      <w:start w:val="1"/>
      <w:numFmt w:val="bullet"/>
      <w:lvlText w:val=""/>
      <w:lvlJc w:val="left"/>
      <w:pPr>
        <w:ind w:left="5040" w:hanging="360"/>
      </w:pPr>
      <w:rPr>
        <w:rFonts w:ascii="Symbol" w:hAnsi="Symbol" w:hint="default"/>
      </w:rPr>
    </w:lvl>
    <w:lvl w:ilvl="7" w:tplc="F744B188">
      <w:start w:val="1"/>
      <w:numFmt w:val="bullet"/>
      <w:lvlText w:val="o"/>
      <w:lvlJc w:val="left"/>
      <w:pPr>
        <w:ind w:left="5760" w:hanging="360"/>
      </w:pPr>
      <w:rPr>
        <w:rFonts w:ascii="Courier New" w:hAnsi="Courier New" w:hint="default"/>
      </w:rPr>
    </w:lvl>
    <w:lvl w:ilvl="8" w:tplc="30E87E3A">
      <w:start w:val="1"/>
      <w:numFmt w:val="bullet"/>
      <w:lvlText w:val=""/>
      <w:lvlJc w:val="left"/>
      <w:pPr>
        <w:ind w:left="6480" w:hanging="360"/>
      </w:pPr>
      <w:rPr>
        <w:rFonts w:ascii="Wingdings" w:hAnsi="Wingdings" w:hint="default"/>
      </w:rPr>
    </w:lvl>
  </w:abstractNum>
  <w:abstractNum w:abstractNumId="49" w15:restartNumberingAfterBreak="0">
    <w:nsid w:val="5D6F3C48"/>
    <w:multiLevelType w:val="hybridMultilevel"/>
    <w:tmpl w:val="CDBEA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D8E59BC"/>
    <w:multiLevelType w:val="hybridMultilevel"/>
    <w:tmpl w:val="C7F6AA48"/>
    <w:lvl w:ilvl="0" w:tplc="721C039C">
      <w:start w:val="6"/>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DA26A19"/>
    <w:multiLevelType w:val="multilevel"/>
    <w:tmpl w:val="FFE6B8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F4B0483"/>
    <w:multiLevelType w:val="multilevel"/>
    <w:tmpl w:val="8B76AE0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03D457D"/>
    <w:multiLevelType w:val="hybridMultilevel"/>
    <w:tmpl w:val="1082C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0D1E02B"/>
    <w:multiLevelType w:val="hybridMultilevel"/>
    <w:tmpl w:val="30267516"/>
    <w:lvl w:ilvl="0" w:tplc="41BAFE56">
      <w:start w:val="1"/>
      <w:numFmt w:val="bullet"/>
      <w:lvlText w:val="·"/>
      <w:lvlJc w:val="left"/>
      <w:pPr>
        <w:ind w:left="720" w:hanging="360"/>
      </w:pPr>
      <w:rPr>
        <w:rFonts w:ascii="Symbol" w:hAnsi="Symbol" w:hint="default"/>
      </w:rPr>
    </w:lvl>
    <w:lvl w:ilvl="1" w:tplc="B434DCFC">
      <w:start w:val="1"/>
      <w:numFmt w:val="bullet"/>
      <w:lvlText w:val="o"/>
      <w:lvlJc w:val="left"/>
      <w:pPr>
        <w:ind w:left="1440" w:hanging="360"/>
      </w:pPr>
      <w:rPr>
        <w:rFonts w:ascii="Courier New" w:hAnsi="Courier New" w:hint="default"/>
      </w:rPr>
    </w:lvl>
    <w:lvl w:ilvl="2" w:tplc="5142A43A">
      <w:start w:val="1"/>
      <w:numFmt w:val="bullet"/>
      <w:lvlText w:val=""/>
      <w:lvlJc w:val="left"/>
      <w:pPr>
        <w:ind w:left="2160" w:hanging="360"/>
      </w:pPr>
      <w:rPr>
        <w:rFonts w:ascii="Wingdings" w:hAnsi="Wingdings" w:hint="default"/>
      </w:rPr>
    </w:lvl>
    <w:lvl w:ilvl="3" w:tplc="EC229AEA">
      <w:start w:val="1"/>
      <w:numFmt w:val="bullet"/>
      <w:lvlText w:val=""/>
      <w:lvlJc w:val="left"/>
      <w:pPr>
        <w:ind w:left="2880" w:hanging="360"/>
      </w:pPr>
      <w:rPr>
        <w:rFonts w:ascii="Symbol" w:hAnsi="Symbol" w:hint="default"/>
      </w:rPr>
    </w:lvl>
    <w:lvl w:ilvl="4" w:tplc="9E827398">
      <w:start w:val="1"/>
      <w:numFmt w:val="bullet"/>
      <w:lvlText w:val="o"/>
      <w:lvlJc w:val="left"/>
      <w:pPr>
        <w:ind w:left="3600" w:hanging="360"/>
      </w:pPr>
      <w:rPr>
        <w:rFonts w:ascii="Courier New" w:hAnsi="Courier New" w:hint="default"/>
      </w:rPr>
    </w:lvl>
    <w:lvl w:ilvl="5" w:tplc="F1E4376C">
      <w:start w:val="1"/>
      <w:numFmt w:val="bullet"/>
      <w:lvlText w:val=""/>
      <w:lvlJc w:val="left"/>
      <w:pPr>
        <w:ind w:left="4320" w:hanging="360"/>
      </w:pPr>
      <w:rPr>
        <w:rFonts w:ascii="Wingdings" w:hAnsi="Wingdings" w:hint="default"/>
      </w:rPr>
    </w:lvl>
    <w:lvl w:ilvl="6" w:tplc="98405556">
      <w:start w:val="1"/>
      <w:numFmt w:val="bullet"/>
      <w:lvlText w:val=""/>
      <w:lvlJc w:val="left"/>
      <w:pPr>
        <w:ind w:left="5040" w:hanging="360"/>
      </w:pPr>
      <w:rPr>
        <w:rFonts w:ascii="Symbol" w:hAnsi="Symbol" w:hint="default"/>
      </w:rPr>
    </w:lvl>
    <w:lvl w:ilvl="7" w:tplc="3CB44896">
      <w:start w:val="1"/>
      <w:numFmt w:val="bullet"/>
      <w:lvlText w:val="o"/>
      <w:lvlJc w:val="left"/>
      <w:pPr>
        <w:ind w:left="5760" w:hanging="360"/>
      </w:pPr>
      <w:rPr>
        <w:rFonts w:ascii="Courier New" w:hAnsi="Courier New" w:hint="default"/>
      </w:rPr>
    </w:lvl>
    <w:lvl w:ilvl="8" w:tplc="272C4D58">
      <w:start w:val="1"/>
      <w:numFmt w:val="bullet"/>
      <w:lvlText w:val=""/>
      <w:lvlJc w:val="left"/>
      <w:pPr>
        <w:ind w:left="6480" w:hanging="360"/>
      </w:pPr>
      <w:rPr>
        <w:rFonts w:ascii="Wingdings" w:hAnsi="Wingdings" w:hint="default"/>
      </w:rPr>
    </w:lvl>
  </w:abstractNum>
  <w:abstractNum w:abstractNumId="55" w15:restartNumberingAfterBreak="0">
    <w:nsid w:val="6263411A"/>
    <w:multiLevelType w:val="hybridMultilevel"/>
    <w:tmpl w:val="9C862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65B8111B"/>
    <w:multiLevelType w:val="hybridMultilevel"/>
    <w:tmpl w:val="83165916"/>
    <w:lvl w:ilvl="0" w:tplc="874CDF42">
      <w:start w:val="1"/>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57" w15:restartNumberingAfterBreak="0">
    <w:nsid w:val="67531A74"/>
    <w:multiLevelType w:val="hybridMultilevel"/>
    <w:tmpl w:val="3A1A65C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6D24832A"/>
    <w:multiLevelType w:val="hybridMultilevel"/>
    <w:tmpl w:val="FE0CC7BE"/>
    <w:lvl w:ilvl="0" w:tplc="368C05A8">
      <w:start w:val="1"/>
      <w:numFmt w:val="bullet"/>
      <w:lvlText w:val="·"/>
      <w:lvlJc w:val="left"/>
      <w:pPr>
        <w:ind w:left="720" w:hanging="360"/>
      </w:pPr>
      <w:rPr>
        <w:rFonts w:ascii="Symbol" w:hAnsi="Symbol" w:hint="default"/>
      </w:rPr>
    </w:lvl>
    <w:lvl w:ilvl="1" w:tplc="36CA6508">
      <w:start w:val="1"/>
      <w:numFmt w:val="bullet"/>
      <w:lvlText w:val="o"/>
      <w:lvlJc w:val="left"/>
      <w:pPr>
        <w:ind w:left="1440" w:hanging="360"/>
      </w:pPr>
      <w:rPr>
        <w:rFonts w:ascii="Courier New" w:hAnsi="Courier New" w:hint="default"/>
      </w:rPr>
    </w:lvl>
    <w:lvl w:ilvl="2" w:tplc="7FA67FB6">
      <w:start w:val="1"/>
      <w:numFmt w:val="bullet"/>
      <w:lvlText w:val=""/>
      <w:lvlJc w:val="left"/>
      <w:pPr>
        <w:ind w:left="2160" w:hanging="360"/>
      </w:pPr>
      <w:rPr>
        <w:rFonts w:ascii="Wingdings" w:hAnsi="Wingdings" w:hint="default"/>
      </w:rPr>
    </w:lvl>
    <w:lvl w:ilvl="3" w:tplc="0F02251A">
      <w:start w:val="1"/>
      <w:numFmt w:val="bullet"/>
      <w:lvlText w:val=""/>
      <w:lvlJc w:val="left"/>
      <w:pPr>
        <w:ind w:left="2880" w:hanging="360"/>
      </w:pPr>
      <w:rPr>
        <w:rFonts w:ascii="Symbol" w:hAnsi="Symbol" w:hint="default"/>
      </w:rPr>
    </w:lvl>
    <w:lvl w:ilvl="4" w:tplc="BEFAFE26">
      <w:start w:val="1"/>
      <w:numFmt w:val="bullet"/>
      <w:lvlText w:val="o"/>
      <w:lvlJc w:val="left"/>
      <w:pPr>
        <w:ind w:left="3600" w:hanging="360"/>
      </w:pPr>
      <w:rPr>
        <w:rFonts w:ascii="Courier New" w:hAnsi="Courier New" w:hint="default"/>
      </w:rPr>
    </w:lvl>
    <w:lvl w:ilvl="5" w:tplc="B3D46156">
      <w:start w:val="1"/>
      <w:numFmt w:val="bullet"/>
      <w:lvlText w:val=""/>
      <w:lvlJc w:val="left"/>
      <w:pPr>
        <w:ind w:left="4320" w:hanging="360"/>
      </w:pPr>
      <w:rPr>
        <w:rFonts w:ascii="Wingdings" w:hAnsi="Wingdings" w:hint="default"/>
      </w:rPr>
    </w:lvl>
    <w:lvl w:ilvl="6" w:tplc="BCB02586">
      <w:start w:val="1"/>
      <w:numFmt w:val="bullet"/>
      <w:lvlText w:val=""/>
      <w:lvlJc w:val="left"/>
      <w:pPr>
        <w:ind w:left="5040" w:hanging="360"/>
      </w:pPr>
      <w:rPr>
        <w:rFonts w:ascii="Symbol" w:hAnsi="Symbol" w:hint="default"/>
      </w:rPr>
    </w:lvl>
    <w:lvl w:ilvl="7" w:tplc="C9AC46D8">
      <w:start w:val="1"/>
      <w:numFmt w:val="bullet"/>
      <w:lvlText w:val="o"/>
      <w:lvlJc w:val="left"/>
      <w:pPr>
        <w:ind w:left="5760" w:hanging="360"/>
      </w:pPr>
      <w:rPr>
        <w:rFonts w:ascii="Courier New" w:hAnsi="Courier New" w:hint="default"/>
      </w:rPr>
    </w:lvl>
    <w:lvl w:ilvl="8" w:tplc="3160BB3C">
      <w:start w:val="1"/>
      <w:numFmt w:val="bullet"/>
      <w:lvlText w:val=""/>
      <w:lvlJc w:val="left"/>
      <w:pPr>
        <w:ind w:left="6480" w:hanging="360"/>
      </w:pPr>
      <w:rPr>
        <w:rFonts w:ascii="Wingdings" w:hAnsi="Wingdings" w:hint="default"/>
      </w:rPr>
    </w:lvl>
  </w:abstractNum>
  <w:abstractNum w:abstractNumId="59" w15:restartNumberingAfterBreak="0">
    <w:nsid w:val="6F852277"/>
    <w:multiLevelType w:val="hybridMultilevel"/>
    <w:tmpl w:val="89DC286C"/>
    <w:lvl w:ilvl="0" w:tplc="5B009D2E">
      <w:start w:val="2"/>
      <w:numFmt w:val="bullet"/>
      <w:lvlText w:val="-"/>
      <w:lvlJc w:val="left"/>
      <w:pPr>
        <w:ind w:left="1080" w:hanging="360"/>
      </w:pPr>
      <w:rPr>
        <w:rFonts w:ascii="Aptos" w:eastAsia="Aptos" w:hAnsi="Aptos"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0" w15:restartNumberingAfterBreak="0">
    <w:nsid w:val="7028C21A"/>
    <w:multiLevelType w:val="hybridMultilevel"/>
    <w:tmpl w:val="FAC4FDE8"/>
    <w:lvl w:ilvl="0" w:tplc="45B6C7D6">
      <w:start w:val="1"/>
      <w:numFmt w:val="bullet"/>
      <w:lvlText w:val=""/>
      <w:lvlJc w:val="left"/>
      <w:pPr>
        <w:ind w:left="720" w:hanging="360"/>
      </w:pPr>
      <w:rPr>
        <w:rFonts w:ascii="Symbol" w:hAnsi="Symbol" w:hint="default"/>
      </w:rPr>
    </w:lvl>
    <w:lvl w:ilvl="1" w:tplc="FF94556A">
      <w:start w:val="1"/>
      <w:numFmt w:val="bullet"/>
      <w:lvlText w:val="o"/>
      <w:lvlJc w:val="left"/>
      <w:pPr>
        <w:ind w:left="1440" w:hanging="360"/>
      </w:pPr>
      <w:rPr>
        <w:rFonts w:ascii="Courier New" w:hAnsi="Courier New" w:hint="default"/>
      </w:rPr>
    </w:lvl>
    <w:lvl w:ilvl="2" w:tplc="4B8C8BCE">
      <w:start w:val="1"/>
      <w:numFmt w:val="bullet"/>
      <w:lvlText w:val=""/>
      <w:lvlJc w:val="left"/>
      <w:pPr>
        <w:ind w:left="2160" w:hanging="360"/>
      </w:pPr>
      <w:rPr>
        <w:rFonts w:ascii="Wingdings" w:hAnsi="Wingdings" w:hint="default"/>
      </w:rPr>
    </w:lvl>
    <w:lvl w:ilvl="3" w:tplc="E076AA28">
      <w:start w:val="1"/>
      <w:numFmt w:val="bullet"/>
      <w:lvlText w:val=""/>
      <w:lvlJc w:val="left"/>
      <w:pPr>
        <w:ind w:left="2880" w:hanging="360"/>
      </w:pPr>
      <w:rPr>
        <w:rFonts w:ascii="Symbol" w:hAnsi="Symbol" w:hint="default"/>
      </w:rPr>
    </w:lvl>
    <w:lvl w:ilvl="4" w:tplc="53A4419A">
      <w:start w:val="1"/>
      <w:numFmt w:val="bullet"/>
      <w:lvlText w:val="o"/>
      <w:lvlJc w:val="left"/>
      <w:pPr>
        <w:ind w:left="3600" w:hanging="360"/>
      </w:pPr>
      <w:rPr>
        <w:rFonts w:ascii="Courier New" w:hAnsi="Courier New" w:hint="default"/>
      </w:rPr>
    </w:lvl>
    <w:lvl w:ilvl="5" w:tplc="FF74A136">
      <w:start w:val="1"/>
      <w:numFmt w:val="bullet"/>
      <w:lvlText w:val=""/>
      <w:lvlJc w:val="left"/>
      <w:pPr>
        <w:ind w:left="4320" w:hanging="360"/>
      </w:pPr>
      <w:rPr>
        <w:rFonts w:ascii="Wingdings" w:hAnsi="Wingdings" w:hint="default"/>
      </w:rPr>
    </w:lvl>
    <w:lvl w:ilvl="6" w:tplc="425C4E56">
      <w:start w:val="1"/>
      <w:numFmt w:val="bullet"/>
      <w:lvlText w:val=""/>
      <w:lvlJc w:val="left"/>
      <w:pPr>
        <w:ind w:left="5040" w:hanging="360"/>
      </w:pPr>
      <w:rPr>
        <w:rFonts w:ascii="Symbol" w:hAnsi="Symbol" w:hint="default"/>
      </w:rPr>
    </w:lvl>
    <w:lvl w:ilvl="7" w:tplc="ADAE900A">
      <w:start w:val="1"/>
      <w:numFmt w:val="bullet"/>
      <w:lvlText w:val="o"/>
      <w:lvlJc w:val="left"/>
      <w:pPr>
        <w:ind w:left="5760" w:hanging="360"/>
      </w:pPr>
      <w:rPr>
        <w:rFonts w:ascii="Courier New" w:hAnsi="Courier New" w:hint="default"/>
      </w:rPr>
    </w:lvl>
    <w:lvl w:ilvl="8" w:tplc="6016C9BC">
      <w:start w:val="1"/>
      <w:numFmt w:val="bullet"/>
      <w:lvlText w:val=""/>
      <w:lvlJc w:val="left"/>
      <w:pPr>
        <w:ind w:left="6480" w:hanging="360"/>
      </w:pPr>
      <w:rPr>
        <w:rFonts w:ascii="Wingdings" w:hAnsi="Wingdings" w:hint="default"/>
      </w:rPr>
    </w:lvl>
  </w:abstractNum>
  <w:abstractNum w:abstractNumId="61" w15:restartNumberingAfterBreak="0">
    <w:nsid w:val="74954C19"/>
    <w:multiLevelType w:val="multilevel"/>
    <w:tmpl w:val="482AD95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76491D28"/>
    <w:multiLevelType w:val="hybridMultilevel"/>
    <w:tmpl w:val="82BE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3132DF"/>
    <w:multiLevelType w:val="hybridMultilevel"/>
    <w:tmpl w:val="868C09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784D6D5D"/>
    <w:multiLevelType w:val="hybridMultilevel"/>
    <w:tmpl w:val="81761B32"/>
    <w:lvl w:ilvl="0" w:tplc="D38428A0">
      <w:numFmt w:val="none"/>
      <w:lvlText w:val=""/>
      <w:lvlJc w:val="left"/>
      <w:pPr>
        <w:tabs>
          <w:tab w:val="num" w:pos="360"/>
        </w:tabs>
      </w:pPr>
    </w:lvl>
    <w:lvl w:ilvl="1" w:tplc="D36460CC">
      <w:start w:val="1"/>
      <w:numFmt w:val="lowerLetter"/>
      <w:lvlText w:val="%2."/>
      <w:lvlJc w:val="left"/>
      <w:pPr>
        <w:ind w:left="1440" w:hanging="360"/>
      </w:pPr>
    </w:lvl>
    <w:lvl w:ilvl="2" w:tplc="00F876DA">
      <w:start w:val="1"/>
      <w:numFmt w:val="lowerRoman"/>
      <w:lvlText w:val="%3."/>
      <w:lvlJc w:val="right"/>
      <w:pPr>
        <w:ind w:left="2160" w:hanging="180"/>
      </w:pPr>
    </w:lvl>
    <w:lvl w:ilvl="3" w:tplc="F4A2A93C">
      <w:start w:val="1"/>
      <w:numFmt w:val="decimal"/>
      <w:lvlText w:val="%4."/>
      <w:lvlJc w:val="left"/>
      <w:pPr>
        <w:ind w:left="2880" w:hanging="360"/>
      </w:pPr>
    </w:lvl>
    <w:lvl w:ilvl="4" w:tplc="1366B08E">
      <w:start w:val="1"/>
      <w:numFmt w:val="lowerLetter"/>
      <w:lvlText w:val="%5."/>
      <w:lvlJc w:val="left"/>
      <w:pPr>
        <w:ind w:left="3600" w:hanging="360"/>
      </w:pPr>
    </w:lvl>
    <w:lvl w:ilvl="5" w:tplc="AD8ED516">
      <w:start w:val="1"/>
      <w:numFmt w:val="lowerRoman"/>
      <w:lvlText w:val="%6."/>
      <w:lvlJc w:val="right"/>
      <w:pPr>
        <w:ind w:left="4320" w:hanging="180"/>
      </w:pPr>
    </w:lvl>
    <w:lvl w:ilvl="6" w:tplc="306631F2">
      <w:start w:val="1"/>
      <w:numFmt w:val="decimal"/>
      <w:lvlText w:val="%7."/>
      <w:lvlJc w:val="left"/>
      <w:pPr>
        <w:ind w:left="5040" w:hanging="360"/>
      </w:pPr>
    </w:lvl>
    <w:lvl w:ilvl="7" w:tplc="64AEECD4">
      <w:start w:val="1"/>
      <w:numFmt w:val="lowerLetter"/>
      <w:lvlText w:val="%8."/>
      <w:lvlJc w:val="left"/>
      <w:pPr>
        <w:ind w:left="5760" w:hanging="360"/>
      </w:pPr>
    </w:lvl>
    <w:lvl w:ilvl="8" w:tplc="0186B208">
      <w:start w:val="1"/>
      <w:numFmt w:val="lowerRoman"/>
      <w:lvlText w:val="%9."/>
      <w:lvlJc w:val="right"/>
      <w:pPr>
        <w:ind w:left="6480" w:hanging="180"/>
      </w:pPr>
    </w:lvl>
  </w:abstractNum>
  <w:abstractNum w:abstractNumId="65" w15:restartNumberingAfterBreak="0">
    <w:nsid w:val="795D3ACD"/>
    <w:multiLevelType w:val="hybridMultilevel"/>
    <w:tmpl w:val="04AEC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9975DA1"/>
    <w:multiLevelType w:val="hybridMultilevel"/>
    <w:tmpl w:val="762E4276"/>
    <w:lvl w:ilvl="0" w:tplc="0902F4A6">
      <w:start w:val="1"/>
      <w:numFmt w:val="bullet"/>
      <w:lvlText w:val="·"/>
      <w:lvlJc w:val="left"/>
      <w:pPr>
        <w:ind w:left="720" w:hanging="360"/>
      </w:pPr>
      <w:rPr>
        <w:rFonts w:ascii="Symbol" w:hAnsi="Symbol" w:hint="default"/>
      </w:rPr>
    </w:lvl>
    <w:lvl w:ilvl="1" w:tplc="08F28374">
      <w:start w:val="1"/>
      <w:numFmt w:val="bullet"/>
      <w:lvlText w:val="o"/>
      <w:lvlJc w:val="left"/>
      <w:pPr>
        <w:ind w:left="1440" w:hanging="360"/>
      </w:pPr>
      <w:rPr>
        <w:rFonts w:ascii="Courier New" w:hAnsi="Courier New" w:hint="default"/>
      </w:rPr>
    </w:lvl>
    <w:lvl w:ilvl="2" w:tplc="89C485C2">
      <w:start w:val="1"/>
      <w:numFmt w:val="bullet"/>
      <w:lvlText w:val=""/>
      <w:lvlJc w:val="left"/>
      <w:pPr>
        <w:ind w:left="2160" w:hanging="360"/>
      </w:pPr>
      <w:rPr>
        <w:rFonts w:ascii="Wingdings" w:hAnsi="Wingdings" w:hint="default"/>
      </w:rPr>
    </w:lvl>
    <w:lvl w:ilvl="3" w:tplc="052EFBA2">
      <w:start w:val="1"/>
      <w:numFmt w:val="bullet"/>
      <w:lvlText w:val=""/>
      <w:lvlJc w:val="left"/>
      <w:pPr>
        <w:ind w:left="2880" w:hanging="360"/>
      </w:pPr>
      <w:rPr>
        <w:rFonts w:ascii="Symbol" w:hAnsi="Symbol" w:hint="default"/>
      </w:rPr>
    </w:lvl>
    <w:lvl w:ilvl="4" w:tplc="3216BBD0">
      <w:start w:val="1"/>
      <w:numFmt w:val="bullet"/>
      <w:lvlText w:val="o"/>
      <w:lvlJc w:val="left"/>
      <w:pPr>
        <w:ind w:left="3600" w:hanging="360"/>
      </w:pPr>
      <w:rPr>
        <w:rFonts w:ascii="Courier New" w:hAnsi="Courier New" w:hint="default"/>
      </w:rPr>
    </w:lvl>
    <w:lvl w:ilvl="5" w:tplc="A5E004B0">
      <w:start w:val="1"/>
      <w:numFmt w:val="bullet"/>
      <w:lvlText w:val=""/>
      <w:lvlJc w:val="left"/>
      <w:pPr>
        <w:ind w:left="4320" w:hanging="360"/>
      </w:pPr>
      <w:rPr>
        <w:rFonts w:ascii="Wingdings" w:hAnsi="Wingdings" w:hint="default"/>
      </w:rPr>
    </w:lvl>
    <w:lvl w:ilvl="6" w:tplc="1124D14A">
      <w:start w:val="1"/>
      <w:numFmt w:val="bullet"/>
      <w:lvlText w:val=""/>
      <w:lvlJc w:val="left"/>
      <w:pPr>
        <w:ind w:left="5040" w:hanging="360"/>
      </w:pPr>
      <w:rPr>
        <w:rFonts w:ascii="Symbol" w:hAnsi="Symbol" w:hint="default"/>
      </w:rPr>
    </w:lvl>
    <w:lvl w:ilvl="7" w:tplc="7B6EBEA4">
      <w:start w:val="1"/>
      <w:numFmt w:val="bullet"/>
      <w:lvlText w:val="o"/>
      <w:lvlJc w:val="left"/>
      <w:pPr>
        <w:ind w:left="5760" w:hanging="360"/>
      </w:pPr>
      <w:rPr>
        <w:rFonts w:ascii="Courier New" w:hAnsi="Courier New" w:hint="default"/>
      </w:rPr>
    </w:lvl>
    <w:lvl w:ilvl="8" w:tplc="2E76B868">
      <w:start w:val="1"/>
      <w:numFmt w:val="bullet"/>
      <w:lvlText w:val=""/>
      <w:lvlJc w:val="left"/>
      <w:pPr>
        <w:ind w:left="6480" w:hanging="360"/>
      </w:pPr>
      <w:rPr>
        <w:rFonts w:ascii="Wingdings" w:hAnsi="Wingdings" w:hint="default"/>
      </w:rPr>
    </w:lvl>
  </w:abstractNum>
  <w:abstractNum w:abstractNumId="67" w15:restartNumberingAfterBreak="0">
    <w:nsid w:val="7FFE0871"/>
    <w:multiLevelType w:val="hybridMultilevel"/>
    <w:tmpl w:val="077806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0"/>
  </w:num>
  <w:num w:numId="2">
    <w:abstractNumId w:val="15"/>
  </w:num>
  <w:num w:numId="3">
    <w:abstractNumId w:val="2"/>
  </w:num>
  <w:num w:numId="4">
    <w:abstractNumId w:val="48"/>
  </w:num>
  <w:num w:numId="5">
    <w:abstractNumId w:val="39"/>
  </w:num>
  <w:num w:numId="6">
    <w:abstractNumId w:val="13"/>
  </w:num>
  <w:num w:numId="7">
    <w:abstractNumId w:val="34"/>
  </w:num>
  <w:num w:numId="8">
    <w:abstractNumId w:val="16"/>
  </w:num>
  <w:num w:numId="9">
    <w:abstractNumId w:val="46"/>
  </w:num>
  <w:num w:numId="10">
    <w:abstractNumId w:val="36"/>
  </w:num>
  <w:num w:numId="11">
    <w:abstractNumId w:val="28"/>
  </w:num>
  <w:num w:numId="12">
    <w:abstractNumId w:val="66"/>
  </w:num>
  <w:num w:numId="13">
    <w:abstractNumId w:val="58"/>
  </w:num>
  <w:num w:numId="14">
    <w:abstractNumId w:val="22"/>
  </w:num>
  <w:num w:numId="15">
    <w:abstractNumId w:val="54"/>
  </w:num>
  <w:num w:numId="16">
    <w:abstractNumId w:val="1"/>
  </w:num>
  <w:num w:numId="17">
    <w:abstractNumId w:val="33"/>
  </w:num>
  <w:num w:numId="18">
    <w:abstractNumId w:val="4"/>
  </w:num>
  <w:num w:numId="19">
    <w:abstractNumId w:val="25"/>
  </w:num>
  <w:num w:numId="20">
    <w:abstractNumId w:val="11"/>
  </w:num>
  <w:num w:numId="21">
    <w:abstractNumId w:val="45"/>
  </w:num>
  <w:num w:numId="22">
    <w:abstractNumId w:val="52"/>
  </w:num>
  <w:num w:numId="23">
    <w:abstractNumId w:val="7"/>
  </w:num>
  <w:num w:numId="24">
    <w:abstractNumId w:val="8"/>
  </w:num>
  <w:num w:numId="25">
    <w:abstractNumId w:val="64"/>
  </w:num>
  <w:num w:numId="26">
    <w:abstractNumId w:val="65"/>
  </w:num>
  <w:num w:numId="27">
    <w:abstractNumId w:val="23"/>
  </w:num>
  <w:num w:numId="28">
    <w:abstractNumId w:val="20"/>
  </w:num>
  <w:num w:numId="29">
    <w:abstractNumId w:val="67"/>
  </w:num>
  <w:num w:numId="30">
    <w:abstractNumId w:val="44"/>
  </w:num>
  <w:num w:numId="31">
    <w:abstractNumId w:val="62"/>
  </w:num>
  <w:num w:numId="32">
    <w:abstractNumId w:val="9"/>
  </w:num>
  <w:num w:numId="33">
    <w:abstractNumId w:val="3"/>
  </w:num>
  <w:num w:numId="34">
    <w:abstractNumId w:val="42"/>
  </w:num>
  <w:num w:numId="35">
    <w:abstractNumId w:val="18"/>
  </w:num>
  <w:num w:numId="36">
    <w:abstractNumId w:val="17"/>
  </w:num>
  <w:num w:numId="37">
    <w:abstractNumId w:val="30"/>
  </w:num>
  <w:num w:numId="38">
    <w:abstractNumId w:val="10"/>
  </w:num>
  <w:num w:numId="39">
    <w:abstractNumId w:val="32"/>
  </w:num>
  <w:num w:numId="40">
    <w:abstractNumId w:val="61"/>
  </w:num>
  <w:num w:numId="41">
    <w:abstractNumId w:val="49"/>
  </w:num>
  <w:num w:numId="42">
    <w:abstractNumId w:val="26"/>
  </w:num>
  <w:num w:numId="43">
    <w:abstractNumId w:val="55"/>
  </w:num>
  <w:num w:numId="44">
    <w:abstractNumId w:val="35"/>
  </w:num>
  <w:num w:numId="45">
    <w:abstractNumId w:val="63"/>
  </w:num>
  <w:num w:numId="46">
    <w:abstractNumId w:val="51"/>
  </w:num>
  <w:num w:numId="47">
    <w:abstractNumId w:val="19"/>
  </w:num>
  <w:num w:numId="48">
    <w:abstractNumId w:val="38"/>
  </w:num>
  <w:num w:numId="49">
    <w:abstractNumId w:val="40"/>
  </w:num>
  <w:num w:numId="50">
    <w:abstractNumId w:val="50"/>
  </w:num>
  <w:num w:numId="51">
    <w:abstractNumId w:val="41"/>
  </w:num>
  <w:num w:numId="52">
    <w:abstractNumId w:val="27"/>
  </w:num>
  <w:num w:numId="53">
    <w:abstractNumId w:val="24"/>
  </w:num>
  <w:num w:numId="54">
    <w:abstractNumId w:val="14"/>
  </w:num>
  <w:num w:numId="55">
    <w:abstractNumId w:val="43"/>
  </w:num>
  <w:num w:numId="56">
    <w:abstractNumId w:val="12"/>
  </w:num>
  <w:num w:numId="57">
    <w:abstractNumId w:val="29"/>
  </w:num>
  <w:num w:numId="58">
    <w:abstractNumId w:val="37"/>
  </w:num>
  <w:num w:numId="59">
    <w:abstractNumId w:val="53"/>
  </w:num>
  <w:num w:numId="60">
    <w:abstractNumId w:val="56"/>
  </w:num>
  <w:num w:numId="61">
    <w:abstractNumId w:val="6"/>
  </w:num>
  <w:num w:numId="62">
    <w:abstractNumId w:val="0"/>
  </w:num>
  <w:num w:numId="63">
    <w:abstractNumId w:val="57"/>
  </w:num>
  <w:num w:numId="64">
    <w:abstractNumId w:val="31"/>
  </w:num>
  <w:num w:numId="65">
    <w:abstractNumId w:val="21"/>
  </w:num>
  <w:num w:numId="66">
    <w:abstractNumId w:val="47"/>
  </w:num>
  <w:num w:numId="67">
    <w:abstractNumId w:val="59"/>
  </w:num>
  <w:num w:numId="68">
    <w:abstractNumId w:val="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fr-B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17308471-6DCA-4581-8572-0EF5AD24AA66"/>
    <w:docVar w:name="LW_COVERPAGE_TYPE" w:val="1"/>
    <w:docVar w:name="LW_CROSSREFERENCE" w:val="&lt;UNUSED&gt;"/>
    <w:docVar w:name="LW_DocType" w:val="NORMAL"/>
    <w:docVar w:name="LW_EMISSION" w:val="21.4.2026"/>
    <w:docVar w:name="LW_EMISSION_ISODATE" w:val="2026-04-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unerea în aplicare \u537?i aplicarea Acordului comercial \u537?i de cooperare între Uniunea European\u259? \u537?i Regatul Unit al Marii Britanii \u537?i Irlandei de Nord_x000b__x000b_1 ianuarie \u8211? 31 decembrie 2025_x000b_"/>
    <w:docVar w:name="LW_TYPE.DOC.CP" w:val="RAPORT AL COMISIEI C\u258?TRE PARLAMENTUL EUROPEAN \u536?I CONSILIU"/>
    <w:docVar w:name="LwApiVersions" w:val="LW4CoDe 1.24.5.0; LW 9.2, Build 20251112"/>
  </w:docVars>
  <w:rsids>
    <w:rsidRoot w:val="00D54585"/>
    <w:rsid w:val="00000306"/>
    <w:rsid w:val="000007A4"/>
    <w:rsid w:val="0000104B"/>
    <w:rsid w:val="00001275"/>
    <w:rsid w:val="0000188D"/>
    <w:rsid w:val="00001891"/>
    <w:rsid w:val="00002647"/>
    <w:rsid w:val="00002B7E"/>
    <w:rsid w:val="000032CF"/>
    <w:rsid w:val="00003840"/>
    <w:rsid w:val="00003FCC"/>
    <w:rsid w:val="00004111"/>
    <w:rsid w:val="00004751"/>
    <w:rsid w:val="00004D10"/>
    <w:rsid w:val="00004D1D"/>
    <w:rsid w:val="00005207"/>
    <w:rsid w:val="00005308"/>
    <w:rsid w:val="00005C07"/>
    <w:rsid w:val="00005C6E"/>
    <w:rsid w:val="0000609D"/>
    <w:rsid w:val="000061F3"/>
    <w:rsid w:val="000065A9"/>
    <w:rsid w:val="00006788"/>
    <w:rsid w:val="00006C00"/>
    <w:rsid w:val="00006D0B"/>
    <w:rsid w:val="00007142"/>
    <w:rsid w:val="00007848"/>
    <w:rsid w:val="000079C2"/>
    <w:rsid w:val="00007E74"/>
    <w:rsid w:val="000104AB"/>
    <w:rsid w:val="00010783"/>
    <w:rsid w:val="00010BA6"/>
    <w:rsid w:val="00010E1E"/>
    <w:rsid w:val="00010E78"/>
    <w:rsid w:val="0001117E"/>
    <w:rsid w:val="00011335"/>
    <w:rsid w:val="000113C6"/>
    <w:rsid w:val="0001158A"/>
    <w:rsid w:val="000115DE"/>
    <w:rsid w:val="00011B9E"/>
    <w:rsid w:val="00012286"/>
    <w:rsid w:val="00012658"/>
    <w:rsid w:val="00012710"/>
    <w:rsid w:val="00012C9B"/>
    <w:rsid w:val="00012ECB"/>
    <w:rsid w:val="0001303C"/>
    <w:rsid w:val="0001325C"/>
    <w:rsid w:val="00013508"/>
    <w:rsid w:val="00013525"/>
    <w:rsid w:val="00013B49"/>
    <w:rsid w:val="000142C1"/>
    <w:rsid w:val="00014693"/>
    <w:rsid w:val="000146AB"/>
    <w:rsid w:val="0001481C"/>
    <w:rsid w:val="00014D1B"/>
    <w:rsid w:val="00015337"/>
    <w:rsid w:val="000153A1"/>
    <w:rsid w:val="000153E0"/>
    <w:rsid w:val="000157FF"/>
    <w:rsid w:val="0001587D"/>
    <w:rsid w:val="00015F9B"/>
    <w:rsid w:val="00016550"/>
    <w:rsid w:val="000168BD"/>
    <w:rsid w:val="00016C53"/>
    <w:rsid w:val="00016EB0"/>
    <w:rsid w:val="000175C8"/>
    <w:rsid w:val="00017D6D"/>
    <w:rsid w:val="000200F1"/>
    <w:rsid w:val="000207EE"/>
    <w:rsid w:val="00020EC8"/>
    <w:rsid w:val="000216FD"/>
    <w:rsid w:val="000217E8"/>
    <w:rsid w:val="00021B26"/>
    <w:rsid w:val="00021CAA"/>
    <w:rsid w:val="00021D74"/>
    <w:rsid w:val="00021E9C"/>
    <w:rsid w:val="00021F00"/>
    <w:rsid w:val="000223BE"/>
    <w:rsid w:val="000225AE"/>
    <w:rsid w:val="00022783"/>
    <w:rsid w:val="00022A83"/>
    <w:rsid w:val="0002324A"/>
    <w:rsid w:val="00023CFA"/>
    <w:rsid w:val="0002423B"/>
    <w:rsid w:val="00024562"/>
    <w:rsid w:val="00024752"/>
    <w:rsid w:val="00024840"/>
    <w:rsid w:val="00024AB7"/>
    <w:rsid w:val="00024D39"/>
    <w:rsid w:val="0002515A"/>
    <w:rsid w:val="00025219"/>
    <w:rsid w:val="000252E0"/>
    <w:rsid w:val="000252ED"/>
    <w:rsid w:val="00025303"/>
    <w:rsid w:val="00025795"/>
    <w:rsid w:val="00025BB9"/>
    <w:rsid w:val="000260AA"/>
    <w:rsid w:val="000261D3"/>
    <w:rsid w:val="00026471"/>
    <w:rsid w:val="00026618"/>
    <w:rsid w:val="0002672F"/>
    <w:rsid w:val="00026E9E"/>
    <w:rsid w:val="00026F98"/>
    <w:rsid w:val="000271BF"/>
    <w:rsid w:val="000271C4"/>
    <w:rsid w:val="000276CC"/>
    <w:rsid w:val="00027CD9"/>
    <w:rsid w:val="00030013"/>
    <w:rsid w:val="000301EA"/>
    <w:rsid w:val="00030347"/>
    <w:rsid w:val="00030436"/>
    <w:rsid w:val="000306F0"/>
    <w:rsid w:val="00030988"/>
    <w:rsid w:val="00030E17"/>
    <w:rsid w:val="00031009"/>
    <w:rsid w:val="000310FD"/>
    <w:rsid w:val="00031464"/>
    <w:rsid w:val="00031830"/>
    <w:rsid w:val="00032120"/>
    <w:rsid w:val="000322C0"/>
    <w:rsid w:val="0003247B"/>
    <w:rsid w:val="000325EE"/>
    <w:rsid w:val="00033010"/>
    <w:rsid w:val="00033520"/>
    <w:rsid w:val="000335E7"/>
    <w:rsid w:val="000338D6"/>
    <w:rsid w:val="00033C0A"/>
    <w:rsid w:val="00033C13"/>
    <w:rsid w:val="0003427B"/>
    <w:rsid w:val="0003431F"/>
    <w:rsid w:val="00034447"/>
    <w:rsid w:val="000344EF"/>
    <w:rsid w:val="00034714"/>
    <w:rsid w:val="00034BAF"/>
    <w:rsid w:val="00034D82"/>
    <w:rsid w:val="000352A1"/>
    <w:rsid w:val="00035DDE"/>
    <w:rsid w:val="00035F8D"/>
    <w:rsid w:val="000361B5"/>
    <w:rsid w:val="00036505"/>
    <w:rsid w:val="000368B4"/>
    <w:rsid w:val="00036B14"/>
    <w:rsid w:val="00036B1B"/>
    <w:rsid w:val="00036B52"/>
    <w:rsid w:val="00037256"/>
    <w:rsid w:val="00037355"/>
    <w:rsid w:val="000379C6"/>
    <w:rsid w:val="00037D7B"/>
    <w:rsid w:val="00040337"/>
    <w:rsid w:val="000403C9"/>
    <w:rsid w:val="00040621"/>
    <w:rsid w:val="00040652"/>
    <w:rsid w:val="00040729"/>
    <w:rsid w:val="0004079B"/>
    <w:rsid w:val="00040810"/>
    <w:rsid w:val="0004094C"/>
    <w:rsid w:val="00040B22"/>
    <w:rsid w:val="0004105D"/>
    <w:rsid w:val="0004124E"/>
    <w:rsid w:val="0004141C"/>
    <w:rsid w:val="00041423"/>
    <w:rsid w:val="00041741"/>
    <w:rsid w:val="00041BE4"/>
    <w:rsid w:val="00041BEA"/>
    <w:rsid w:val="00041C04"/>
    <w:rsid w:val="00041C0E"/>
    <w:rsid w:val="00041C4F"/>
    <w:rsid w:val="00041CF6"/>
    <w:rsid w:val="00041EA1"/>
    <w:rsid w:val="00042229"/>
    <w:rsid w:val="00042251"/>
    <w:rsid w:val="00042371"/>
    <w:rsid w:val="000425F8"/>
    <w:rsid w:val="0004269C"/>
    <w:rsid w:val="000427B7"/>
    <w:rsid w:val="0004321E"/>
    <w:rsid w:val="000440CE"/>
    <w:rsid w:val="000446CA"/>
    <w:rsid w:val="00044B61"/>
    <w:rsid w:val="00044D30"/>
    <w:rsid w:val="00044D5B"/>
    <w:rsid w:val="00045096"/>
    <w:rsid w:val="000450A1"/>
    <w:rsid w:val="000452FC"/>
    <w:rsid w:val="0004588D"/>
    <w:rsid w:val="000458AD"/>
    <w:rsid w:val="000459F6"/>
    <w:rsid w:val="00045C33"/>
    <w:rsid w:val="0004609E"/>
    <w:rsid w:val="00046138"/>
    <w:rsid w:val="000463D3"/>
    <w:rsid w:val="000466FE"/>
    <w:rsid w:val="00046813"/>
    <w:rsid w:val="000468D3"/>
    <w:rsid w:val="00046AFE"/>
    <w:rsid w:val="00046BC6"/>
    <w:rsid w:val="000475FA"/>
    <w:rsid w:val="00047747"/>
    <w:rsid w:val="00047A42"/>
    <w:rsid w:val="00047C4B"/>
    <w:rsid w:val="00050116"/>
    <w:rsid w:val="00050F75"/>
    <w:rsid w:val="000510E5"/>
    <w:rsid w:val="00051418"/>
    <w:rsid w:val="00052618"/>
    <w:rsid w:val="000528AB"/>
    <w:rsid w:val="0005296D"/>
    <w:rsid w:val="00052993"/>
    <w:rsid w:val="000534CE"/>
    <w:rsid w:val="000537F7"/>
    <w:rsid w:val="00053B5A"/>
    <w:rsid w:val="00053D4D"/>
    <w:rsid w:val="00053E24"/>
    <w:rsid w:val="00053F5E"/>
    <w:rsid w:val="00054215"/>
    <w:rsid w:val="000543FB"/>
    <w:rsid w:val="00054488"/>
    <w:rsid w:val="0005453F"/>
    <w:rsid w:val="00054561"/>
    <w:rsid w:val="0005470B"/>
    <w:rsid w:val="0005493B"/>
    <w:rsid w:val="00054EE6"/>
    <w:rsid w:val="00055E8F"/>
    <w:rsid w:val="00055F72"/>
    <w:rsid w:val="00055FE8"/>
    <w:rsid w:val="00056C49"/>
    <w:rsid w:val="00056CAD"/>
    <w:rsid w:val="00056E2C"/>
    <w:rsid w:val="0005708D"/>
    <w:rsid w:val="0005718A"/>
    <w:rsid w:val="0005730C"/>
    <w:rsid w:val="00057FE1"/>
    <w:rsid w:val="0006000B"/>
    <w:rsid w:val="00060274"/>
    <w:rsid w:val="00060307"/>
    <w:rsid w:val="000603BC"/>
    <w:rsid w:val="0006063C"/>
    <w:rsid w:val="00060A22"/>
    <w:rsid w:val="00061246"/>
    <w:rsid w:val="000614F7"/>
    <w:rsid w:val="00061766"/>
    <w:rsid w:val="00061B7A"/>
    <w:rsid w:val="00061C6F"/>
    <w:rsid w:val="00061E77"/>
    <w:rsid w:val="00062591"/>
    <w:rsid w:val="000625F1"/>
    <w:rsid w:val="00062E29"/>
    <w:rsid w:val="00063633"/>
    <w:rsid w:val="00063F6C"/>
    <w:rsid w:val="000642DC"/>
    <w:rsid w:val="00064305"/>
    <w:rsid w:val="00064A64"/>
    <w:rsid w:val="00064FB9"/>
    <w:rsid w:val="000651DF"/>
    <w:rsid w:val="000656A6"/>
    <w:rsid w:val="000657BD"/>
    <w:rsid w:val="000659CC"/>
    <w:rsid w:val="00065E31"/>
    <w:rsid w:val="00065F22"/>
    <w:rsid w:val="00065FFE"/>
    <w:rsid w:val="00066658"/>
    <w:rsid w:val="00066724"/>
    <w:rsid w:val="0006721F"/>
    <w:rsid w:val="00067416"/>
    <w:rsid w:val="000700A0"/>
    <w:rsid w:val="00070C32"/>
    <w:rsid w:val="000712B5"/>
    <w:rsid w:val="00071555"/>
    <w:rsid w:val="0007178A"/>
    <w:rsid w:val="00071DC2"/>
    <w:rsid w:val="00071F9F"/>
    <w:rsid w:val="0007231C"/>
    <w:rsid w:val="00072891"/>
    <w:rsid w:val="00072CA9"/>
    <w:rsid w:val="00072E05"/>
    <w:rsid w:val="00073205"/>
    <w:rsid w:val="0007344F"/>
    <w:rsid w:val="0007361D"/>
    <w:rsid w:val="00073840"/>
    <w:rsid w:val="000739A6"/>
    <w:rsid w:val="000745BC"/>
    <w:rsid w:val="000747B9"/>
    <w:rsid w:val="00074B7C"/>
    <w:rsid w:val="00074BBB"/>
    <w:rsid w:val="00075370"/>
    <w:rsid w:val="000753EA"/>
    <w:rsid w:val="000754A6"/>
    <w:rsid w:val="0007551C"/>
    <w:rsid w:val="00075D85"/>
    <w:rsid w:val="00075EB1"/>
    <w:rsid w:val="000760FB"/>
    <w:rsid w:val="00076178"/>
    <w:rsid w:val="00076B08"/>
    <w:rsid w:val="00077421"/>
    <w:rsid w:val="000776F5"/>
    <w:rsid w:val="00077B8B"/>
    <w:rsid w:val="00077D94"/>
    <w:rsid w:val="00077EE7"/>
    <w:rsid w:val="000801B6"/>
    <w:rsid w:val="00080357"/>
    <w:rsid w:val="000803FE"/>
    <w:rsid w:val="00080483"/>
    <w:rsid w:val="000809CB"/>
    <w:rsid w:val="00080A48"/>
    <w:rsid w:val="00080A58"/>
    <w:rsid w:val="00080B1D"/>
    <w:rsid w:val="00081323"/>
    <w:rsid w:val="000813C2"/>
    <w:rsid w:val="0008161B"/>
    <w:rsid w:val="00081670"/>
    <w:rsid w:val="0008185F"/>
    <w:rsid w:val="00081C8C"/>
    <w:rsid w:val="00081E8C"/>
    <w:rsid w:val="00082071"/>
    <w:rsid w:val="000824AF"/>
    <w:rsid w:val="000824B8"/>
    <w:rsid w:val="0008255D"/>
    <w:rsid w:val="00083233"/>
    <w:rsid w:val="00083380"/>
    <w:rsid w:val="00083695"/>
    <w:rsid w:val="00083ABD"/>
    <w:rsid w:val="00083B96"/>
    <w:rsid w:val="00083F72"/>
    <w:rsid w:val="00084B11"/>
    <w:rsid w:val="00084CCD"/>
    <w:rsid w:val="00085204"/>
    <w:rsid w:val="000852AA"/>
    <w:rsid w:val="0008552E"/>
    <w:rsid w:val="00085596"/>
    <w:rsid w:val="00085676"/>
    <w:rsid w:val="00085C22"/>
    <w:rsid w:val="0008616A"/>
    <w:rsid w:val="000864EC"/>
    <w:rsid w:val="000869A5"/>
    <w:rsid w:val="00086A99"/>
    <w:rsid w:val="0008713D"/>
    <w:rsid w:val="000876F0"/>
    <w:rsid w:val="00087994"/>
    <w:rsid w:val="00087F49"/>
    <w:rsid w:val="0009001D"/>
    <w:rsid w:val="00090202"/>
    <w:rsid w:val="00090274"/>
    <w:rsid w:val="00090BFB"/>
    <w:rsid w:val="00091500"/>
    <w:rsid w:val="00091644"/>
    <w:rsid w:val="00092127"/>
    <w:rsid w:val="0009252B"/>
    <w:rsid w:val="000926C2"/>
    <w:rsid w:val="0009273D"/>
    <w:rsid w:val="00092957"/>
    <w:rsid w:val="00093055"/>
    <w:rsid w:val="000933D8"/>
    <w:rsid w:val="000935CA"/>
    <w:rsid w:val="000937D0"/>
    <w:rsid w:val="00093869"/>
    <w:rsid w:val="00093A9F"/>
    <w:rsid w:val="00093EEE"/>
    <w:rsid w:val="0009414C"/>
    <w:rsid w:val="000943A9"/>
    <w:rsid w:val="00094417"/>
    <w:rsid w:val="000948FB"/>
    <w:rsid w:val="00094901"/>
    <w:rsid w:val="0009501B"/>
    <w:rsid w:val="00095415"/>
    <w:rsid w:val="00095492"/>
    <w:rsid w:val="00095B61"/>
    <w:rsid w:val="00095DBD"/>
    <w:rsid w:val="00095ED2"/>
    <w:rsid w:val="00095FFB"/>
    <w:rsid w:val="0009657C"/>
    <w:rsid w:val="00096A6A"/>
    <w:rsid w:val="00097002"/>
    <w:rsid w:val="000972FB"/>
    <w:rsid w:val="0009743D"/>
    <w:rsid w:val="000A0397"/>
    <w:rsid w:val="000A05B3"/>
    <w:rsid w:val="000A109E"/>
    <w:rsid w:val="000A1126"/>
    <w:rsid w:val="000A1275"/>
    <w:rsid w:val="000A17C2"/>
    <w:rsid w:val="000A18C9"/>
    <w:rsid w:val="000A1D08"/>
    <w:rsid w:val="000A1D39"/>
    <w:rsid w:val="000A2113"/>
    <w:rsid w:val="000A217F"/>
    <w:rsid w:val="000A2575"/>
    <w:rsid w:val="000A25DA"/>
    <w:rsid w:val="000A2BC6"/>
    <w:rsid w:val="000A2C56"/>
    <w:rsid w:val="000A2F0B"/>
    <w:rsid w:val="000A312F"/>
    <w:rsid w:val="000A3281"/>
    <w:rsid w:val="000A3B2C"/>
    <w:rsid w:val="000A3BE6"/>
    <w:rsid w:val="000A3CCE"/>
    <w:rsid w:val="000A4312"/>
    <w:rsid w:val="000A48EB"/>
    <w:rsid w:val="000A4DA5"/>
    <w:rsid w:val="000A52FA"/>
    <w:rsid w:val="000A5313"/>
    <w:rsid w:val="000A5FE4"/>
    <w:rsid w:val="000A6097"/>
    <w:rsid w:val="000A642E"/>
    <w:rsid w:val="000A681D"/>
    <w:rsid w:val="000A695E"/>
    <w:rsid w:val="000A69A5"/>
    <w:rsid w:val="000A6ECD"/>
    <w:rsid w:val="000A6EFE"/>
    <w:rsid w:val="000A70E7"/>
    <w:rsid w:val="000A7239"/>
    <w:rsid w:val="000A778C"/>
    <w:rsid w:val="000A7D53"/>
    <w:rsid w:val="000B0172"/>
    <w:rsid w:val="000B026C"/>
    <w:rsid w:val="000B0C31"/>
    <w:rsid w:val="000B0D52"/>
    <w:rsid w:val="000B1449"/>
    <w:rsid w:val="000B1C34"/>
    <w:rsid w:val="000B2193"/>
    <w:rsid w:val="000B220A"/>
    <w:rsid w:val="000B2634"/>
    <w:rsid w:val="000B27A8"/>
    <w:rsid w:val="000B2D5E"/>
    <w:rsid w:val="000B356D"/>
    <w:rsid w:val="000B3592"/>
    <w:rsid w:val="000B39A8"/>
    <w:rsid w:val="000B3C86"/>
    <w:rsid w:val="000B3E46"/>
    <w:rsid w:val="000B3F3B"/>
    <w:rsid w:val="000B3F6B"/>
    <w:rsid w:val="000B4065"/>
    <w:rsid w:val="000B421A"/>
    <w:rsid w:val="000B4318"/>
    <w:rsid w:val="000B499E"/>
    <w:rsid w:val="000B49E2"/>
    <w:rsid w:val="000B4A15"/>
    <w:rsid w:val="000B4E0D"/>
    <w:rsid w:val="000B4FE4"/>
    <w:rsid w:val="000B5394"/>
    <w:rsid w:val="000B5489"/>
    <w:rsid w:val="000B5560"/>
    <w:rsid w:val="000B5B10"/>
    <w:rsid w:val="000B5D5D"/>
    <w:rsid w:val="000B5E5F"/>
    <w:rsid w:val="000B60FF"/>
    <w:rsid w:val="000B66B1"/>
    <w:rsid w:val="000B67DF"/>
    <w:rsid w:val="000B6DC1"/>
    <w:rsid w:val="000B6DDB"/>
    <w:rsid w:val="000B6E82"/>
    <w:rsid w:val="000B7200"/>
    <w:rsid w:val="000B79E7"/>
    <w:rsid w:val="000C00B9"/>
    <w:rsid w:val="000C084C"/>
    <w:rsid w:val="000C08C4"/>
    <w:rsid w:val="000C0AA4"/>
    <w:rsid w:val="000C0E09"/>
    <w:rsid w:val="000C0FA1"/>
    <w:rsid w:val="000C117A"/>
    <w:rsid w:val="000C1229"/>
    <w:rsid w:val="000C182E"/>
    <w:rsid w:val="000C1847"/>
    <w:rsid w:val="000C2118"/>
    <w:rsid w:val="000C23FF"/>
    <w:rsid w:val="000C2500"/>
    <w:rsid w:val="000C26EB"/>
    <w:rsid w:val="000C37CF"/>
    <w:rsid w:val="000C380D"/>
    <w:rsid w:val="000C3CF9"/>
    <w:rsid w:val="000C3FBD"/>
    <w:rsid w:val="000C4554"/>
    <w:rsid w:val="000C46FA"/>
    <w:rsid w:val="000C4776"/>
    <w:rsid w:val="000C4BF7"/>
    <w:rsid w:val="000C4F88"/>
    <w:rsid w:val="000C5317"/>
    <w:rsid w:val="000C543E"/>
    <w:rsid w:val="000C5741"/>
    <w:rsid w:val="000C576B"/>
    <w:rsid w:val="000C584A"/>
    <w:rsid w:val="000C61A9"/>
    <w:rsid w:val="000C665B"/>
    <w:rsid w:val="000C6787"/>
    <w:rsid w:val="000C68EF"/>
    <w:rsid w:val="000C753C"/>
    <w:rsid w:val="000C7834"/>
    <w:rsid w:val="000C7B30"/>
    <w:rsid w:val="000C7B8F"/>
    <w:rsid w:val="000C7DBA"/>
    <w:rsid w:val="000C7E5D"/>
    <w:rsid w:val="000D0590"/>
    <w:rsid w:val="000D0591"/>
    <w:rsid w:val="000D067B"/>
    <w:rsid w:val="000D0CBC"/>
    <w:rsid w:val="000D10E3"/>
    <w:rsid w:val="000D16CB"/>
    <w:rsid w:val="000D181D"/>
    <w:rsid w:val="000D1BCC"/>
    <w:rsid w:val="000D1FDC"/>
    <w:rsid w:val="000D22CE"/>
    <w:rsid w:val="000D230E"/>
    <w:rsid w:val="000D252F"/>
    <w:rsid w:val="000D2B25"/>
    <w:rsid w:val="000D36CA"/>
    <w:rsid w:val="000D3866"/>
    <w:rsid w:val="000D399F"/>
    <w:rsid w:val="000D3C77"/>
    <w:rsid w:val="000D4735"/>
    <w:rsid w:val="000D48BF"/>
    <w:rsid w:val="000D4AC2"/>
    <w:rsid w:val="000D4D0A"/>
    <w:rsid w:val="000D4D16"/>
    <w:rsid w:val="000D4D8F"/>
    <w:rsid w:val="000D4E03"/>
    <w:rsid w:val="000D4F2F"/>
    <w:rsid w:val="000D4FD0"/>
    <w:rsid w:val="000D4FD2"/>
    <w:rsid w:val="000D5254"/>
    <w:rsid w:val="000D53D6"/>
    <w:rsid w:val="000D5AE7"/>
    <w:rsid w:val="000D5B0E"/>
    <w:rsid w:val="000D5B2C"/>
    <w:rsid w:val="000D5CA6"/>
    <w:rsid w:val="000D5D1C"/>
    <w:rsid w:val="000D6265"/>
    <w:rsid w:val="000D6294"/>
    <w:rsid w:val="000D62C4"/>
    <w:rsid w:val="000D6458"/>
    <w:rsid w:val="000D659F"/>
    <w:rsid w:val="000D6C06"/>
    <w:rsid w:val="000D6C5B"/>
    <w:rsid w:val="000D6E6D"/>
    <w:rsid w:val="000D6F6A"/>
    <w:rsid w:val="000D6FCD"/>
    <w:rsid w:val="000D75C2"/>
    <w:rsid w:val="000D770C"/>
    <w:rsid w:val="000D7DA0"/>
    <w:rsid w:val="000D7E0E"/>
    <w:rsid w:val="000E00AE"/>
    <w:rsid w:val="000E059D"/>
    <w:rsid w:val="000E07D9"/>
    <w:rsid w:val="000E07E7"/>
    <w:rsid w:val="000E087B"/>
    <w:rsid w:val="000E0BA2"/>
    <w:rsid w:val="000E0F4C"/>
    <w:rsid w:val="000E103F"/>
    <w:rsid w:val="000E1060"/>
    <w:rsid w:val="000E1761"/>
    <w:rsid w:val="000E19D8"/>
    <w:rsid w:val="000E1B56"/>
    <w:rsid w:val="000E232D"/>
    <w:rsid w:val="000E2713"/>
    <w:rsid w:val="000E2C0D"/>
    <w:rsid w:val="000E2C32"/>
    <w:rsid w:val="000E2EE7"/>
    <w:rsid w:val="000E2F49"/>
    <w:rsid w:val="000E348C"/>
    <w:rsid w:val="000E4252"/>
    <w:rsid w:val="000E4365"/>
    <w:rsid w:val="000E4497"/>
    <w:rsid w:val="000E45C7"/>
    <w:rsid w:val="000E4C12"/>
    <w:rsid w:val="000E4DBB"/>
    <w:rsid w:val="000E540B"/>
    <w:rsid w:val="000E5458"/>
    <w:rsid w:val="000E561C"/>
    <w:rsid w:val="000E57A7"/>
    <w:rsid w:val="000E5879"/>
    <w:rsid w:val="000E59C0"/>
    <w:rsid w:val="000E5D73"/>
    <w:rsid w:val="000E634D"/>
    <w:rsid w:val="000E6483"/>
    <w:rsid w:val="000E666C"/>
    <w:rsid w:val="000E66E3"/>
    <w:rsid w:val="000E692A"/>
    <w:rsid w:val="000E6A39"/>
    <w:rsid w:val="000E6D17"/>
    <w:rsid w:val="000E7215"/>
    <w:rsid w:val="000E7BB3"/>
    <w:rsid w:val="000F02F1"/>
    <w:rsid w:val="000F066D"/>
    <w:rsid w:val="000F0B07"/>
    <w:rsid w:val="000F0F22"/>
    <w:rsid w:val="000F10AD"/>
    <w:rsid w:val="000F11B6"/>
    <w:rsid w:val="000F11D5"/>
    <w:rsid w:val="000F123D"/>
    <w:rsid w:val="000F207C"/>
    <w:rsid w:val="000F2628"/>
    <w:rsid w:val="000F2954"/>
    <w:rsid w:val="000F2F21"/>
    <w:rsid w:val="000F309F"/>
    <w:rsid w:val="000F3284"/>
    <w:rsid w:val="000F3431"/>
    <w:rsid w:val="000F370C"/>
    <w:rsid w:val="000F4090"/>
    <w:rsid w:val="000F4487"/>
    <w:rsid w:val="000F47FF"/>
    <w:rsid w:val="000F4AD7"/>
    <w:rsid w:val="000F4B62"/>
    <w:rsid w:val="000F4C0B"/>
    <w:rsid w:val="000F4C4F"/>
    <w:rsid w:val="000F4E35"/>
    <w:rsid w:val="000F4FB7"/>
    <w:rsid w:val="000F52BD"/>
    <w:rsid w:val="000F5876"/>
    <w:rsid w:val="000F5D2D"/>
    <w:rsid w:val="000F5D51"/>
    <w:rsid w:val="000F6245"/>
    <w:rsid w:val="000F643C"/>
    <w:rsid w:val="000F64C5"/>
    <w:rsid w:val="000F7230"/>
    <w:rsid w:val="000F757A"/>
    <w:rsid w:val="000F7A1F"/>
    <w:rsid w:val="000F7BFF"/>
    <w:rsid w:val="0010013B"/>
    <w:rsid w:val="0010078B"/>
    <w:rsid w:val="001009B7"/>
    <w:rsid w:val="00100EF7"/>
    <w:rsid w:val="001011D8"/>
    <w:rsid w:val="00101518"/>
    <w:rsid w:val="001017A9"/>
    <w:rsid w:val="00101891"/>
    <w:rsid w:val="00101AA1"/>
    <w:rsid w:val="00101B27"/>
    <w:rsid w:val="00101BB1"/>
    <w:rsid w:val="00101E60"/>
    <w:rsid w:val="00102330"/>
    <w:rsid w:val="001026D8"/>
    <w:rsid w:val="001028A3"/>
    <w:rsid w:val="00102E35"/>
    <w:rsid w:val="00103136"/>
    <w:rsid w:val="0010376E"/>
    <w:rsid w:val="00103E5B"/>
    <w:rsid w:val="0010435A"/>
    <w:rsid w:val="001049D0"/>
    <w:rsid w:val="00104A73"/>
    <w:rsid w:val="00104ACE"/>
    <w:rsid w:val="00105957"/>
    <w:rsid w:val="00105FB9"/>
    <w:rsid w:val="00106318"/>
    <w:rsid w:val="00106863"/>
    <w:rsid w:val="001068F6"/>
    <w:rsid w:val="00106CFD"/>
    <w:rsid w:val="00106EF4"/>
    <w:rsid w:val="001070D3"/>
    <w:rsid w:val="00107172"/>
    <w:rsid w:val="00107623"/>
    <w:rsid w:val="00107B8E"/>
    <w:rsid w:val="00107D62"/>
    <w:rsid w:val="00107F30"/>
    <w:rsid w:val="001103D9"/>
    <w:rsid w:val="0011055D"/>
    <w:rsid w:val="00110844"/>
    <w:rsid w:val="001108D8"/>
    <w:rsid w:val="001110D5"/>
    <w:rsid w:val="0011174F"/>
    <w:rsid w:val="0011222B"/>
    <w:rsid w:val="00112239"/>
    <w:rsid w:val="00112273"/>
    <w:rsid w:val="00112393"/>
    <w:rsid w:val="001129BB"/>
    <w:rsid w:val="00112BD9"/>
    <w:rsid w:val="00112D7E"/>
    <w:rsid w:val="00113BBD"/>
    <w:rsid w:val="00114156"/>
    <w:rsid w:val="00114920"/>
    <w:rsid w:val="00114B94"/>
    <w:rsid w:val="00114BA9"/>
    <w:rsid w:val="00115706"/>
    <w:rsid w:val="00115A1B"/>
    <w:rsid w:val="00115D8A"/>
    <w:rsid w:val="001165CA"/>
    <w:rsid w:val="00117233"/>
    <w:rsid w:val="001172BB"/>
    <w:rsid w:val="0011746B"/>
    <w:rsid w:val="001178A2"/>
    <w:rsid w:val="0011792A"/>
    <w:rsid w:val="00117E26"/>
    <w:rsid w:val="0012006D"/>
    <w:rsid w:val="001202A5"/>
    <w:rsid w:val="001204AC"/>
    <w:rsid w:val="00120950"/>
    <w:rsid w:val="00120F8C"/>
    <w:rsid w:val="001210A7"/>
    <w:rsid w:val="001212CC"/>
    <w:rsid w:val="00121467"/>
    <w:rsid w:val="00121B0C"/>
    <w:rsid w:val="00121E35"/>
    <w:rsid w:val="00121E53"/>
    <w:rsid w:val="00122E2D"/>
    <w:rsid w:val="00122F7A"/>
    <w:rsid w:val="001234EC"/>
    <w:rsid w:val="001238B5"/>
    <w:rsid w:val="00123F45"/>
    <w:rsid w:val="00124041"/>
    <w:rsid w:val="001242E6"/>
    <w:rsid w:val="001245C1"/>
    <w:rsid w:val="00124E04"/>
    <w:rsid w:val="0012505F"/>
    <w:rsid w:val="00125408"/>
    <w:rsid w:val="001256C0"/>
    <w:rsid w:val="0012593C"/>
    <w:rsid w:val="00125C50"/>
    <w:rsid w:val="00125D36"/>
    <w:rsid w:val="001265A7"/>
    <w:rsid w:val="001268AD"/>
    <w:rsid w:val="00126970"/>
    <w:rsid w:val="00126A2D"/>
    <w:rsid w:val="001270BD"/>
    <w:rsid w:val="001273CB"/>
    <w:rsid w:val="0012763D"/>
    <w:rsid w:val="00127904"/>
    <w:rsid w:val="00127ADC"/>
    <w:rsid w:val="00127E8A"/>
    <w:rsid w:val="00130144"/>
    <w:rsid w:val="001301F8"/>
    <w:rsid w:val="001302B4"/>
    <w:rsid w:val="00130681"/>
    <w:rsid w:val="00130CFD"/>
    <w:rsid w:val="00130DA7"/>
    <w:rsid w:val="0013147C"/>
    <w:rsid w:val="001316B5"/>
    <w:rsid w:val="001316DA"/>
    <w:rsid w:val="00131868"/>
    <w:rsid w:val="0013189E"/>
    <w:rsid w:val="00131D08"/>
    <w:rsid w:val="0013267A"/>
    <w:rsid w:val="001326DB"/>
    <w:rsid w:val="00132F79"/>
    <w:rsid w:val="001331E3"/>
    <w:rsid w:val="0013328D"/>
    <w:rsid w:val="0013345F"/>
    <w:rsid w:val="0013364B"/>
    <w:rsid w:val="001339E6"/>
    <w:rsid w:val="00133E3D"/>
    <w:rsid w:val="00133F1E"/>
    <w:rsid w:val="00133FAF"/>
    <w:rsid w:val="00134138"/>
    <w:rsid w:val="001345B7"/>
    <w:rsid w:val="001345E4"/>
    <w:rsid w:val="00134B77"/>
    <w:rsid w:val="00134BEE"/>
    <w:rsid w:val="00134C85"/>
    <w:rsid w:val="00134FA5"/>
    <w:rsid w:val="00134FFB"/>
    <w:rsid w:val="001358BC"/>
    <w:rsid w:val="00135A51"/>
    <w:rsid w:val="00135D0E"/>
    <w:rsid w:val="00135F65"/>
    <w:rsid w:val="00135F79"/>
    <w:rsid w:val="00136009"/>
    <w:rsid w:val="00136729"/>
    <w:rsid w:val="00136A04"/>
    <w:rsid w:val="00136B2A"/>
    <w:rsid w:val="0013707E"/>
    <w:rsid w:val="00137354"/>
    <w:rsid w:val="0013747A"/>
    <w:rsid w:val="001374F4"/>
    <w:rsid w:val="001377C7"/>
    <w:rsid w:val="001377FA"/>
    <w:rsid w:val="00137A98"/>
    <w:rsid w:val="00137D4F"/>
    <w:rsid w:val="00140053"/>
    <w:rsid w:val="001404E5"/>
    <w:rsid w:val="00140564"/>
    <w:rsid w:val="00140835"/>
    <w:rsid w:val="00140875"/>
    <w:rsid w:val="00140A43"/>
    <w:rsid w:val="00140B3B"/>
    <w:rsid w:val="00140FC1"/>
    <w:rsid w:val="00141385"/>
    <w:rsid w:val="001413B3"/>
    <w:rsid w:val="001413F5"/>
    <w:rsid w:val="0014197A"/>
    <w:rsid w:val="00141E71"/>
    <w:rsid w:val="001424E2"/>
    <w:rsid w:val="001429B6"/>
    <w:rsid w:val="00142D1C"/>
    <w:rsid w:val="0014308A"/>
    <w:rsid w:val="0014312D"/>
    <w:rsid w:val="00143227"/>
    <w:rsid w:val="0014342D"/>
    <w:rsid w:val="00143AAA"/>
    <w:rsid w:val="00143B4F"/>
    <w:rsid w:val="00143CFE"/>
    <w:rsid w:val="00143E16"/>
    <w:rsid w:val="00144257"/>
    <w:rsid w:val="00144922"/>
    <w:rsid w:val="00144996"/>
    <w:rsid w:val="00144ABF"/>
    <w:rsid w:val="00144CF1"/>
    <w:rsid w:val="00144F8A"/>
    <w:rsid w:val="001450F6"/>
    <w:rsid w:val="0014551D"/>
    <w:rsid w:val="00145E28"/>
    <w:rsid w:val="00146101"/>
    <w:rsid w:val="001461C0"/>
    <w:rsid w:val="001461CA"/>
    <w:rsid w:val="001462D7"/>
    <w:rsid w:val="00146DA7"/>
    <w:rsid w:val="00146DE7"/>
    <w:rsid w:val="00146EB0"/>
    <w:rsid w:val="0014779D"/>
    <w:rsid w:val="00147953"/>
    <w:rsid w:val="00147DE5"/>
    <w:rsid w:val="00150335"/>
    <w:rsid w:val="00150664"/>
    <w:rsid w:val="00150790"/>
    <w:rsid w:val="00150CCD"/>
    <w:rsid w:val="00150EB5"/>
    <w:rsid w:val="0015122A"/>
    <w:rsid w:val="001518AE"/>
    <w:rsid w:val="00151A6D"/>
    <w:rsid w:val="00151C16"/>
    <w:rsid w:val="00151CF5"/>
    <w:rsid w:val="0015205A"/>
    <w:rsid w:val="00152115"/>
    <w:rsid w:val="0015276A"/>
    <w:rsid w:val="00152780"/>
    <w:rsid w:val="00152812"/>
    <w:rsid w:val="0015291C"/>
    <w:rsid w:val="001529C8"/>
    <w:rsid w:val="0015311B"/>
    <w:rsid w:val="0015331C"/>
    <w:rsid w:val="0015339C"/>
    <w:rsid w:val="0015346D"/>
    <w:rsid w:val="001534CA"/>
    <w:rsid w:val="001535D8"/>
    <w:rsid w:val="00153963"/>
    <w:rsid w:val="00153F3B"/>
    <w:rsid w:val="00154048"/>
    <w:rsid w:val="00154492"/>
    <w:rsid w:val="001546A7"/>
    <w:rsid w:val="001548C0"/>
    <w:rsid w:val="0015491A"/>
    <w:rsid w:val="00154A9C"/>
    <w:rsid w:val="00154CF6"/>
    <w:rsid w:val="00154F62"/>
    <w:rsid w:val="0015519F"/>
    <w:rsid w:val="0015527F"/>
    <w:rsid w:val="00155310"/>
    <w:rsid w:val="001554BB"/>
    <w:rsid w:val="0015580C"/>
    <w:rsid w:val="00155877"/>
    <w:rsid w:val="00155C6E"/>
    <w:rsid w:val="00155E7B"/>
    <w:rsid w:val="0015640B"/>
    <w:rsid w:val="00156B5D"/>
    <w:rsid w:val="0015785B"/>
    <w:rsid w:val="00157A9F"/>
    <w:rsid w:val="00157B27"/>
    <w:rsid w:val="00157E89"/>
    <w:rsid w:val="00157ED4"/>
    <w:rsid w:val="001601E5"/>
    <w:rsid w:val="001605D6"/>
    <w:rsid w:val="00160BDC"/>
    <w:rsid w:val="00161AC1"/>
    <w:rsid w:val="00161C1F"/>
    <w:rsid w:val="00161CB5"/>
    <w:rsid w:val="00161CDF"/>
    <w:rsid w:val="00161E4F"/>
    <w:rsid w:val="001621DB"/>
    <w:rsid w:val="001629FA"/>
    <w:rsid w:val="00162C31"/>
    <w:rsid w:val="001630D1"/>
    <w:rsid w:val="0016319E"/>
    <w:rsid w:val="00163276"/>
    <w:rsid w:val="00163384"/>
    <w:rsid w:val="001634D6"/>
    <w:rsid w:val="0016353D"/>
    <w:rsid w:val="0016392A"/>
    <w:rsid w:val="00163A50"/>
    <w:rsid w:val="00163FF6"/>
    <w:rsid w:val="0016416B"/>
    <w:rsid w:val="00164436"/>
    <w:rsid w:val="00164E7B"/>
    <w:rsid w:val="00164FC8"/>
    <w:rsid w:val="001650BC"/>
    <w:rsid w:val="00165510"/>
    <w:rsid w:val="00165562"/>
    <w:rsid w:val="0016558F"/>
    <w:rsid w:val="001656BD"/>
    <w:rsid w:val="00165CAE"/>
    <w:rsid w:val="00165D89"/>
    <w:rsid w:val="0016646A"/>
    <w:rsid w:val="0016676D"/>
    <w:rsid w:val="001672C6"/>
    <w:rsid w:val="0016733A"/>
    <w:rsid w:val="00167699"/>
    <w:rsid w:val="00167A20"/>
    <w:rsid w:val="00167BB2"/>
    <w:rsid w:val="00167CAF"/>
    <w:rsid w:val="00167E5A"/>
    <w:rsid w:val="00170304"/>
    <w:rsid w:val="00170729"/>
    <w:rsid w:val="0017074A"/>
    <w:rsid w:val="00170893"/>
    <w:rsid w:val="001708E5"/>
    <w:rsid w:val="001719C8"/>
    <w:rsid w:val="00171B5E"/>
    <w:rsid w:val="00171CD7"/>
    <w:rsid w:val="00171D5C"/>
    <w:rsid w:val="001720BA"/>
    <w:rsid w:val="0017291A"/>
    <w:rsid w:val="0017297D"/>
    <w:rsid w:val="00172F5A"/>
    <w:rsid w:val="00172F6B"/>
    <w:rsid w:val="00173738"/>
    <w:rsid w:val="00173925"/>
    <w:rsid w:val="00173A62"/>
    <w:rsid w:val="00173D4B"/>
    <w:rsid w:val="00173DF2"/>
    <w:rsid w:val="00173E25"/>
    <w:rsid w:val="00173E80"/>
    <w:rsid w:val="00174375"/>
    <w:rsid w:val="001749D5"/>
    <w:rsid w:val="00174D4A"/>
    <w:rsid w:val="00175209"/>
    <w:rsid w:val="0017543C"/>
    <w:rsid w:val="00175499"/>
    <w:rsid w:val="0017570C"/>
    <w:rsid w:val="001757C1"/>
    <w:rsid w:val="001757EB"/>
    <w:rsid w:val="001760D5"/>
    <w:rsid w:val="0017632F"/>
    <w:rsid w:val="0017679F"/>
    <w:rsid w:val="001768BD"/>
    <w:rsid w:val="00176904"/>
    <w:rsid w:val="00176F54"/>
    <w:rsid w:val="00176FCA"/>
    <w:rsid w:val="00177041"/>
    <w:rsid w:val="0017720A"/>
    <w:rsid w:val="001772B0"/>
    <w:rsid w:val="00177638"/>
    <w:rsid w:val="0017778F"/>
    <w:rsid w:val="00177F5C"/>
    <w:rsid w:val="0017EF6E"/>
    <w:rsid w:val="00180096"/>
    <w:rsid w:val="0018017D"/>
    <w:rsid w:val="001804AC"/>
    <w:rsid w:val="001807FD"/>
    <w:rsid w:val="001809BC"/>
    <w:rsid w:val="001809FC"/>
    <w:rsid w:val="00180BFD"/>
    <w:rsid w:val="00180E77"/>
    <w:rsid w:val="00180E99"/>
    <w:rsid w:val="00180FEC"/>
    <w:rsid w:val="0018101A"/>
    <w:rsid w:val="0018144C"/>
    <w:rsid w:val="00181940"/>
    <w:rsid w:val="00181BB6"/>
    <w:rsid w:val="00181DE3"/>
    <w:rsid w:val="00181DEC"/>
    <w:rsid w:val="001820C2"/>
    <w:rsid w:val="001823EE"/>
    <w:rsid w:val="001825CF"/>
    <w:rsid w:val="001826B4"/>
    <w:rsid w:val="00182926"/>
    <w:rsid w:val="00182DCB"/>
    <w:rsid w:val="001831B0"/>
    <w:rsid w:val="001838DB"/>
    <w:rsid w:val="0018471F"/>
    <w:rsid w:val="00184BBA"/>
    <w:rsid w:val="00184CDE"/>
    <w:rsid w:val="00184D17"/>
    <w:rsid w:val="00184DC8"/>
    <w:rsid w:val="00185459"/>
    <w:rsid w:val="001858D4"/>
    <w:rsid w:val="0018614C"/>
    <w:rsid w:val="00186D96"/>
    <w:rsid w:val="0018706E"/>
    <w:rsid w:val="001875E4"/>
    <w:rsid w:val="00187805"/>
    <w:rsid w:val="00187945"/>
    <w:rsid w:val="001879F3"/>
    <w:rsid w:val="00187B41"/>
    <w:rsid w:val="00187CC2"/>
    <w:rsid w:val="0018964E"/>
    <w:rsid w:val="0018AAD9"/>
    <w:rsid w:val="00190024"/>
    <w:rsid w:val="00190A8F"/>
    <w:rsid w:val="00190DD0"/>
    <w:rsid w:val="00190F17"/>
    <w:rsid w:val="001910DD"/>
    <w:rsid w:val="00191251"/>
    <w:rsid w:val="00191278"/>
    <w:rsid w:val="001912B2"/>
    <w:rsid w:val="0019166C"/>
    <w:rsid w:val="001916D2"/>
    <w:rsid w:val="0019175F"/>
    <w:rsid w:val="001918B6"/>
    <w:rsid w:val="00191D78"/>
    <w:rsid w:val="00191EFB"/>
    <w:rsid w:val="00191F1D"/>
    <w:rsid w:val="00192413"/>
    <w:rsid w:val="0019262B"/>
    <w:rsid w:val="00192D49"/>
    <w:rsid w:val="00192EE0"/>
    <w:rsid w:val="00192F86"/>
    <w:rsid w:val="001932C9"/>
    <w:rsid w:val="001934BE"/>
    <w:rsid w:val="001937B8"/>
    <w:rsid w:val="00193ED2"/>
    <w:rsid w:val="00193FCD"/>
    <w:rsid w:val="001943A1"/>
    <w:rsid w:val="001948C0"/>
    <w:rsid w:val="00194A50"/>
    <w:rsid w:val="00194D0A"/>
    <w:rsid w:val="00194FF9"/>
    <w:rsid w:val="00195509"/>
    <w:rsid w:val="001962AF"/>
    <w:rsid w:val="001964CA"/>
    <w:rsid w:val="00196A86"/>
    <w:rsid w:val="00196B7F"/>
    <w:rsid w:val="00196F3D"/>
    <w:rsid w:val="0019775F"/>
    <w:rsid w:val="00197E14"/>
    <w:rsid w:val="001A045E"/>
    <w:rsid w:val="001A04AE"/>
    <w:rsid w:val="001A05AF"/>
    <w:rsid w:val="001A076C"/>
    <w:rsid w:val="001A0947"/>
    <w:rsid w:val="001A0AC7"/>
    <w:rsid w:val="001A0B0A"/>
    <w:rsid w:val="001A0D88"/>
    <w:rsid w:val="001A0DCB"/>
    <w:rsid w:val="001A0EB1"/>
    <w:rsid w:val="001A14C9"/>
    <w:rsid w:val="001A15B3"/>
    <w:rsid w:val="001A16A6"/>
    <w:rsid w:val="001A19D5"/>
    <w:rsid w:val="001A20DF"/>
    <w:rsid w:val="001A2810"/>
    <w:rsid w:val="001A2A13"/>
    <w:rsid w:val="001A2DBA"/>
    <w:rsid w:val="001A2F52"/>
    <w:rsid w:val="001A3855"/>
    <w:rsid w:val="001A3B9E"/>
    <w:rsid w:val="001A3CDB"/>
    <w:rsid w:val="001A412E"/>
    <w:rsid w:val="001A4881"/>
    <w:rsid w:val="001A4A55"/>
    <w:rsid w:val="001A4D1A"/>
    <w:rsid w:val="001A4FDA"/>
    <w:rsid w:val="001A57C7"/>
    <w:rsid w:val="001A5EFA"/>
    <w:rsid w:val="001A610B"/>
    <w:rsid w:val="001A6355"/>
    <w:rsid w:val="001A6482"/>
    <w:rsid w:val="001A64FB"/>
    <w:rsid w:val="001A66D3"/>
    <w:rsid w:val="001A69DF"/>
    <w:rsid w:val="001A72A0"/>
    <w:rsid w:val="001A730F"/>
    <w:rsid w:val="001A73DB"/>
    <w:rsid w:val="001A746A"/>
    <w:rsid w:val="001A7491"/>
    <w:rsid w:val="001A74E5"/>
    <w:rsid w:val="001A76E8"/>
    <w:rsid w:val="001A76F2"/>
    <w:rsid w:val="001A7C2C"/>
    <w:rsid w:val="001A7C69"/>
    <w:rsid w:val="001B01A7"/>
    <w:rsid w:val="001B023A"/>
    <w:rsid w:val="001B03BD"/>
    <w:rsid w:val="001B05E4"/>
    <w:rsid w:val="001B09F8"/>
    <w:rsid w:val="001B0A35"/>
    <w:rsid w:val="001B0D82"/>
    <w:rsid w:val="001B138A"/>
    <w:rsid w:val="001B1404"/>
    <w:rsid w:val="001B14B8"/>
    <w:rsid w:val="001B1514"/>
    <w:rsid w:val="001B16EC"/>
    <w:rsid w:val="001B170F"/>
    <w:rsid w:val="001B1C55"/>
    <w:rsid w:val="001B1D80"/>
    <w:rsid w:val="001B210C"/>
    <w:rsid w:val="001B2362"/>
    <w:rsid w:val="001B243A"/>
    <w:rsid w:val="001B24A8"/>
    <w:rsid w:val="001B2891"/>
    <w:rsid w:val="001B2B72"/>
    <w:rsid w:val="001B3050"/>
    <w:rsid w:val="001B38BA"/>
    <w:rsid w:val="001B39E9"/>
    <w:rsid w:val="001B39FC"/>
    <w:rsid w:val="001B3B48"/>
    <w:rsid w:val="001B4209"/>
    <w:rsid w:val="001B43AD"/>
    <w:rsid w:val="001B4578"/>
    <w:rsid w:val="001B4684"/>
    <w:rsid w:val="001B47A4"/>
    <w:rsid w:val="001B4B18"/>
    <w:rsid w:val="001B4C8F"/>
    <w:rsid w:val="001B4EF9"/>
    <w:rsid w:val="001B521E"/>
    <w:rsid w:val="001B5DD8"/>
    <w:rsid w:val="001B603A"/>
    <w:rsid w:val="001B606D"/>
    <w:rsid w:val="001B6AD6"/>
    <w:rsid w:val="001B6AEB"/>
    <w:rsid w:val="001B6BD1"/>
    <w:rsid w:val="001B6CF3"/>
    <w:rsid w:val="001B7B0D"/>
    <w:rsid w:val="001C01D6"/>
    <w:rsid w:val="001C0674"/>
    <w:rsid w:val="001C08BB"/>
    <w:rsid w:val="001C0C11"/>
    <w:rsid w:val="001C0C41"/>
    <w:rsid w:val="001C13CE"/>
    <w:rsid w:val="001C143D"/>
    <w:rsid w:val="001C15A6"/>
    <w:rsid w:val="001C189E"/>
    <w:rsid w:val="001C1AF7"/>
    <w:rsid w:val="001C1DBF"/>
    <w:rsid w:val="001C23BF"/>
    <w:rsid w:val="001C24E6"/>
    <w:rsid w:val="001C2CAE"/>
    <w:rsid w:val="001C33C0"/>
    <w:rsid w:val="001C36BB"/>
    <w:rsid w:val="001C37A3"/>
    <w:rsid w:val="001C3888"/>
    <w:rsid w:val="001C3A8A"/>
    <w:rsid w:val="001C3BAC"/>
    <w:rsid w:val="001C3CA6"/>
    <w:rsid w:val="001C3D74"/>
    <w:rsid w:val="001C4234"/>
    <w:rsid w:val="001C4AB3"/>
    <w:rsid w:val="001C4BE4"/>
    <w:rsid w:val="001C58E4"/>
    <w:rsid w:val="001C5B76"/>
    <w:rsid w:val="001C60E7"/>
    <w:rsid w:val="001C6170"/>
    <w:rsid w:val="001C682A"/>
    <w:rsid w:val="001C690C"/>
    <w:rsid w:val="001C69F7"/>
    <w:rsid w:val="001C6AA5"/>
    <w:rsid w:val="001C6C2A"/>
    <w:rsid w:val="001C6CAD"/>
    <w:rsid w:val="001C6D60"/>
    <w:rsid w:val="001C6DDF"/>
    <w:rsid w:val="001C6E1A"/>
    <w:rsid w:val="001C6EC8"/>
    <w:rsid w:val="001C7C60"/>
    <w:rsid w:val="001CBD9C"/>
    <w:rsid w:val="001D0177"/>
    <w:rsid w:val="001D04D2"/>
    <w:rsid w:val="001D0BC1"/>
    <w:rsid w:val="001D0CC6"/>
    <w:rsid w:val="001D0D67"/>
    <w:rsid w:val="001D0DF7"/>
    <w:rsid w:val="001D0FAB"/>
    <w:rsid w:val="001D1690"/>
    <w:rsid w:val="001D1746"/>
    <w:rsid w:val="001D197C"/>
    <w:rsid w:val="001D1D30"/>
    <w:rsid w:val="001D1E77"/>
    <w:rsid w:val="001D226E"/>
    <w:rsid w:val="001D2425"/>
    <w:rsid w:val="001D24A1"/>
    <w:rsid w:val="001D274B"/>
    <w:rsid w:val="001D2EEB"/>
    <w:rsid w:val="001D34C0"/>
    <w:rsid w:val="001D356D"/>
    <w:rsid w:val="001D3ABE"/>
    <w:rsid w:val="001D3E28"/>
    <w:rsid w:val="001D4065"/>
    <w:rsid w:val="001D416B"/>
    <w:rsid w:val="001D4308"/>
    <w:rsid w:val="001D43C8"/>
    <w:rsid w:val="001D459A"/>
    <w:rsid w:val="001D45F8"/>
    <w:rsid w:val="001D4719"/>
    <w:rsid w:val="001D494D"/>
    <w:rsid w:val="001D4B86"/>
    <w:rsid w:val="001D50DC"/>
    <w:rsid w:val="001D5581"/>
    <w:rsid w:val="001D5666"/>
    <w:rsid w:val="001D5778"/>
    <w:rsid w:val="001D5B2D"/>
    <w:rsid w:val="001D674C"/>
    <w:rsid w:val="001D6766"/>
    <w:rsid w:val="001D7079"/>
    <w:rsid w:val="001D725B"/>
    <w:rsid w:val="001D740B"/>
    <w:rsid w:val="001D7B3D"/>
    <w:rsid w:val="001E01AF"/>
    <w:rsid w:val="001E020B"/>
    <w:rsid w:val="001E0222"/>
    <w:rsid w:val="001E043D"/>
    <w:rsid w:val="001E04D9"/>
    <w:rsid w:val="001E0A65"/>
    <w:rsid w:val="001E1D65"/>
    <w:rsid w:val="001E1DED"/>
    <w:rsid w:val="001E1F98"/>
    <w:rsid w:val="001E2034"/>
    <w:rsid w:val="001E2057"/>
    <w:rsid w:val="001E264D"/>
    <w:rsid w:val="001E26D2"/>
    <w:rsid w:val="001E27CA"/>
    <w:rsid w:val="001E2A4B"/>
    <w:rsid w:val="001E2C32"/>
    <w:rsid w:val="001E2DC7"/>
    <w:rsid w:val="001E3109"/>
    <w:rsid w:val="001E31F9"/>
    <w:rsid w:val="001E39DA"/>
    <w:rsid w:val="001E45A7"/>
    <w:rsid w:val="001E4785"/>
    <w:rsid w:val="001E53C3"/>
    <w:rsid w:val="001E553E"/>
    <w:rsid w:val="001E5682"/>
    <w:rsid w:val="001E56A5"/>
    <w:rsid w:val="001E56AA"/>
    <w:rsid w:val="001E5ADE"/>
    <w:rsid w:val="001E5E23"/>
    <w:rsid w:val="001E5FC9"/>
    <w:rsid w:val="001E6B6A"/>
    <w:rsid w:val="001E6B6F"/>
    <w:rsid w:val="001E6D3B"/>
    <w:rsid w:val="001E6DFE"/>
    <w:rsid w:val="001E6F0B"/>
    <w:rsid w:val="001E70DD"/>
    <w:rsid w:val="001E716C"/>
    <w:rsid w:val="001E73ED"/>
    <w:rsid w:val="001E74D4"/>
    <w:rsid w:val="001E7679"/>
    <w:rsid w:val="001E7691"/>
    <w:rsid w:val="001E7B95"/>
    <w:rsid w:val="001E7B99"/>
    <w:rsid w:val="001E7E00"/>
    <w:rsid w:val="001E7E06"/>
    <w:rsid w:val="001ECADF"/>
    <w:rsid w:val="001F00B8"/>
    <w:rsid w:val="001F096B"/>
    <w:rsid w:val="001F0B89"/>
    <w:rsid w:val="001F1272"/>
    <w:rsid w:val="001F13DF"/>
    <w:rsid w:val="001F1556"/>
    <w:rsid w:val="001F1A3A"/>
    <w:rsid w:val="001F1F20"/>
    <w:rsid w:val="001F1FC5"/>
    <w:rsid w:val="001F2302"/>
    <w:rsid w:val="001F2547"/>
    <w:rsid w:val="001F293D"/>
    <w:rsid w:val="001F2C03"/>
    <w:rsid w:val="001F2CD5"/>
    <w:rsid w:val="001F2DBC"/>
    <w:rsid w:val="001F3223"/>
    <w:rsid w:val="001F3B60"/>
    <w:rsid w:val="001F3BA2"/>
    <w:rsid w:val="001F3C8B"/>
    <w:rsid w:val="001F3CB4"/>
    <w:rsid w:val="001F3DD7"/>
    <w:rsid w:val="001F3E05"/>
    <w:rsid w:val="001F3F50"/>
    <w:rsid w:val="001F455E"/>
    <w:rsid w:val="001F4A0D"/>
    <w:rsid w:val="001F4B43"/>
    <w:rsid w:val="001F4CF6"/>
    <w:rsid w:val="001F4D13"/>
    <w:rsid w:val="001F4DEE"/>
    <w:rsid w:val="001F5499"/>
    <w:rsid w:val="001F574B"/>
    <w:rsid w:val="001F59E3"/>
    <w:rsid w:val="001F5FC7"/>
    <w:rsid w:val="001F6054"/>
    <w:rsid w:val="001F6130"/>
    <w:rsid w:val="001F6B18"/>
    <w:rsid w:val="001F6FDF"/>
    <w:rsid w:val="001F71AF"/>
    <w:rsid w:val="001F7271"/>
    <w:rsid w:val="001F7719"/>
    <w:rsid w:val="001F773A"/>
    <w:rsid w:val="001F77B4"/>
    <w:rsid w:val="001F77C8"/>
    <w:rsid w:val="001F77C9"/>
    <w:rsid w:val="001F79F7"/>
    <w:rsid w:val="001F7E0F"/>
    <w:rsid w:val="001F7E6A"/>
    <w:rsid w:val="001F7F65"/>
    <w:rsid w:val="00200139"/>
    <w:rsid w:val="00200468"/>
    <w:rsid w:val="002005D5"/>
    <w:rsid w:val="0020067E"/>
    <w:rsid w:val="00200A3D"/>
    <w:rsid w:val="00200B3F"/>
    <w:rsid w:val="00201810"/>
    <w:rsid w:val="00201C58"/>
    <w:rsid w:val="00201C5C"/>
    <w:rsid w:val="00201D57"/>
    <w:rsid w:val="00201DBE"/>
    <w:rsid w:val="00201E22"/>
    <w:rsid w:val="00202070"/>
    <w:rsid w:val="00202B3F"/>
    <w:rsid w:val="00202F94"/>
    <w:rsid w:val="00202F96"/>
    <w:rsid w:val="00203588"/>
    <w:rsid w:val="0020394C"/>
    <w:rsid w:val="00203A68"/>
    <w:rsid w:val="00203BD5"/>
    <w:rsid w:val="00204296"/>
    <w:rsid w:val="002050F8"/>
    <w:rsid w:val="00205669"/>
    <w:rsid w:val="002056B4"/>
    <w:rsid w:val="00205AF1"/>
    <w:rsid w:val="00205F1F"/>
    <w:rsid w:val="00206650"/>
    <w:rsid w:val="0020690A"/>
    <w:rsid w:val="00207045"/>
    <w:rsid w:val="002072E7"/>
    <w:rsid w:val="002074B9"/>
    <w:rsid w:val="00207564"/>
    <w:rsid w:val="0020769B"/>
    <w:rsid w:val="002076B0"/>
    <w:rsid w:val="0020782B"/>
    <w:rsid w:val="00207FB8"/>
    <w:rsid w:val="002101E1"/>
    <w:rsid w:val="00210393"/>
    <w:rsid w:val="002103AC"/>
    <w:rsid w:val="00210498"/>
    <w:rsid w:val="002109DA"/>
    <w:rsid w:val="00210E31"/>
    <w:rsid w:val="002113EF"/>
    <w:rsid w:val="00211BF5"/>
    <w:rsid w:val="00212267"/>
    <w:rsid w:val="00212950"/>
    <w:rsid w:val="00212C00"/>
    <w:rsid w:val="00212D2A"/>
    <w:rsid w:val="00212FCE"/>
    <w:rsid w:val="002132B6"/>
    <w:rsid w:val="0021364B"/>
    <w:rsid w:val="00213C54"/>
    <w:rsid w:val="00214397"/>
    <w:rsid w:val="00214714"/>
    <w:rsid w:val="00214844"/>
    <w:rsid w:val="002148E4"/>
    <w:rsid w:val="00214AD5"/>
    <w:rsid w:val="00215567"/>
    <w:rsid w:val="00215617"/>
    <w:rsid w:val="00215654"/>
    <w:rsid w:val="00215C02"/>
    <w:rsid w:val="002160E4"/>
    <w:rsid w:val="00216208"/>
    <w:rsid w:val="002162A3"/>
    <w:rsid w:val="002164A6"/>
    <w:rsid w:val="0021655C"/>
    <w:rsid w:val="00216592"/>
    <w:rsid w:val="002167B5"/>
    <w:rsid w:val="00216B4D"/>
    <w:rsid w:val="00216B6D"/>
    <w:rsid w:val="00216F4C"/>
    <w:rsid w:val="002172CD"/>
    <w:rsid w:val="00217870"/>
    <w:rsid w:val="00217DE2"/>
    <w:rsid w:val="00217E5D"/>
    <w:rsid w:val="002210D6"/>
    <w:rsid w:val="002215A5"/>
    <w:rsid w:val="0022190B"/>
    <w:rsid w:val="00221D4A"/>
    <w:rsid w:val="00222C98"/>
    <w:rsid w:val="00222CD0"/>
    <w:rsid w:val="00222DDC"/>
    <w:rsid w:val="0022353D"/>
    <w:rsid w:val="002237FC"/>
    <w:rsid w:val="002238B7"/>
    <w:rsid w:val="00223A21"/>
    <w:rsid w:val="00223E23"/>
    <w:rsid w:val="0022419E"/>
    <w:rsid w:val="002245C0"/>
    <w:rsid w:val="00224838"/>
    <w:rsid w:val="00224CEA"/>
    <w:rsid w:val="002254D2"/>
    <w:rsid w:val="0022565A"/>
    <w:rsid w:val="002259A9"/>
    <w:rsid w:val="00225BB2"/>
    <w:rsid w:val="00225FB1"/>
    <w:rsid w:val="002262A6"/>
    <w:rsid w:val="0022640D"/>
    <w:rsid w:val="002268BB"/>
    <w:rsid w:val="00226D41"/>
    <w:rsid w:val="00226DF3"/>
    <w:rsid w:val="00227084"/>
    <w:rsid w:val="00227386"/>
    <w:rsid w:val="00227810"/>
    <w:rsid w:val="00227B79"/>
    <w:rsid w:val="00230534"/>
    <w:rsid w:val="00230E9C"/>
    <w:rsid w:val="00231073"/>
    <w:rsid w:val="0023129F"/>
    <w:rsid w:val="00231808"/>
    <w:rsid w:val="002318B2"/>
    <w:rsid w:val="00232064"/>
    <w:rsid w:val="0023222D"/>
    <w:rsid w:val="00232B09"/>
    <w:rsid w:val="00232D02"/>
    <w:rsid w:val="00232DB8"/>
    <w:rsid w:val="002330BA"/>
    <w:rsid w:val="00233237"/>
    <w:rsid w:val="002336D1"/>
    <w:rsid w:val="00233D83"/>
    <w:rsid w:val="00233E60"/>
    <w:rsid w:val="00234103"/>
    <w:rsid w:val="00234340"/>
    <w:rsid w:val="00234471"/>
    <w:rsid w:val="0023461A"/>
    <w:rsid w:val="00234A1C"/>
    <w:rsid w:val="00234ABE"/>
    <w:rsid w:val="00234BA8"/>
    <w:rsid w:val="00234F22"/>
    <w:rsid w:val="00235231"/>
    <w:rsid w:val="002354BE"/>
    <w:rsid w:val="002354D5"/>
    <w:rsid w:val="0023554A"/>
    <w:rsid w:val="00235788"/>
    <w:rsid w:val="0023590E"/>
    <w:rsid w:val="0023655A"/>
    <w:rsid w:val="002366EF"/>
    <w:rsid w:val="00236901"/>
    <w:rsid w:val="00237096"/>
    <w:rsid w:val="00237774"/>
    <w:rsid w:val="00237A8C"/>
    <w:rsid w:val="00237AC6"/>
    <w:rsid w:val="00237D14"/>
    <w:rsid w:val="00237E0F"/>
    <w:rsid w:val="00237F99"/>
    <w:rsid w:val="0024002C"/>
    <w:rsid w:val="002400DB"/>
    <w:rsid w:val="0024015D"/>
    <w:rsid w:val="002407C1"/>
    <w:rsid w:val="00240C86"/>
    <w:rsid w:val="00240F37"/>
    <w:rsid w:val="0024124B"/>
    <w:rsid w:val="00241289"/>
    <w:rsid w:val="002415D1"/>
    <w:rsid w:val="002417C8"/>
    <w:rsid w:val="00241AAD"/>
    <w:rsid w:val="00241AEB"/>
    <w:rsid w:val="00241B4E"/>
    <w:rsid w:val="00241C0A"/>
    <w:rsid w:val="00241EF4"/>
    <w:rsid w:val="002426DA"/>
    <w:rsid w:val="00242AB6"/>
    <w:rsid w:val="00242D91"/>
    <w:rsid w:val="00242E30"/>
    <w:rsid w:val="00242E33"/>
    <w:rsid w:val="00243094"/>
    <w:rsid w:val="0024319C"/>
    <w:rsid w:val="00243785"/>
    <w:rsid w:val="00243C85"/>
    <w:rsid w:val="00244012"/>
    <w:rsid w:val="002440F0"/>
    <w:rsid w:val="0024431B"/>
    <w:rsid w:val="0024436A"/>
    <w:rsid w:val="00244461"/>
    <w:rsid w:val="0024451E"/>
    <w:rsid w:val="0024452A"/>
    <w:rsid w:val="002450AE"/>
    <w:rsid w:val="00245747"/>
    <w:rsid w:val="002457CF"/>
    <w:rsid w:val="00245905"/>
    <w:rsid w:val="00245B72"/>
    <w:rsid w:val="00245E5D"/>
    <w:rsid w:val="00246256"/>
    <w:rsid w:val="002462A4"/>
    <w:rsid w:val="002463D6"/>
    <w:rsid w:val="002469D3"/>
    <w:rsid w:val="00246B56"/>
    <w:rsid w:val="00246BF8"/>
    <w:rsid w:val="00246E4F"/>
    <w:rsid w:val="00246F60"/>
    <w:rsid w:val="00247768"/>
    <w:rsid w:val="00247C30"/>
    <w:rsid w:val="00247C3C"/>
    <w:rsid w:val="00250012"/>
    <w:rsid w:val="002500DC"/>
    <w:rsid w:val="0025038E"/>
    <w:rsid w:val="0025051E"/>
    <w:rsid w:val="00250E0E"/>
    <w:rsid w:val="00250E21"/>
    <w:rsid w:val="00250E78"/>
    <w:rsid w:val="00250F12"/>
    <w:rsid w:val="00250F70"/>
    <w:rsid w:val="0025151D"/>
    <w:rsid w:val="00251969"/>
    <w:rsid w:val="00251B7A"/>
    <w:rsid w:val="0025218D"/>
    <w:rsid w:val="002527AD"/>
    <w:rsid w:val="00252813"/>
    <w:rsid w:val="00252847"/>
    <w:rsid w:val="002530EB"/>
    <w:rsid w:val="0025310C"/>
    <w:rsid w:val="00253324"/>
    <w:rsid w:val="0025337A"/>
    <w:rsid w:val="00253963"/>
    <w:rsid w:val="00253B63"/>
    <w:rsid w:val="00253F2E"/>
    <w:rsid w:val="00254059"/>
    <w:rsid w:val="002542C8"/>
    <w:rsid w:val="002543E8"/>
    <w:rsid w:val="00254665"/>
    <w:rsid w:val="00254701"/>
    <w:rsid w:val="002548AE"/>
    <w:rsid w:val="00254973"/>
    <w:rsid w:val="00254C4C"/>
    <w:rsid w:val="002562E4"/>
    <w:rsid w:val="0025689B"/>
    <w:rsid w:val="00256FAA"/>
    <w:rsid w:val="00256FC4"/>
    <w:rsid w:val="0025720F"/>
    <w:rsid w:val="0025739E"/>
    <w:rsid w:val="00257434"/>
    <w:rsid w:val="002574E1"/>
    <w:rsid w:val="002577BC"/>
    <w:rsid w:val="00257823"/>
    <w:rsid w:val="002578C1"/>
    <w:rsid w:val="002601FF"/>
    <w:rsid w:val="0026029B"/>
    <w:rsid w:val="0026033D"/>
    <w:rsid w:val="002606EC"/>
    <w:rsid w:val="0026072E"/>
    <w:rsid w:val="002608D7"/>
    <w:rsid w:val="00260A0A"/>
    <w:rsid w:val="00260BEF"/>
    <w:rsid w:val="002611CF"/>
    <w:rsid w:val="0026171C"/>
    <w:rsid w:val="00261C49"/>
    <w:rsid w:val="00261C77"/>
    <w:rsid w:val="00262152"/>
    <w:rsid w:val="00262652"/>
    <w:rsid w:val="0026274C"/>
    <w:rsid w:val="00262A0B"/>
    <w:rsid w:val="00262DE9"/>
    <w:rsid w:val="00263372"/>
    <w:rsid w:val="00263471"/>
    <w:rsid w:val="0026347D"/>
    <w:rsid w:val="0026352E"/>
    <w:rsid w:val="002635CA"/>
    <w:rsid w:val="00263800"/>
    <w:rsid w:val="00263B12"/>
    <w:rsid w:val="00263FB1"/>
    <w:rsid w:val="00264937"/>
    <w:rsid w:val="0026540A"/>
    <w:rsid w:val="00265A82"/>
    <w:rsid w:val="002661B8"/>
    <w:rsid w:val="002661CF"/>
    <w:rsid w:val="00266238"/>
    <w:rsid w:val="002663C5"/>
    <w:rsid w:val="00266758"/>
    <w:rsid w:val="0026681E"/>
    <w:rsid w:val="00266A7B"/>
    <w:rsid w:val="00266EFB"/>
    <w:rsid w:val="0026737D"/>
    <w:rsid w:val="002673DB"/>
    <w:rsid w:val="00267658"/>
    <w:rsid w:val="00267671"/>
    <w:rsid w:val="00267F88"/>
    <w:rsid w:val="00270221"/>
    <w:rsid w:val="00270833"/>
    <w:rsid w:val="00270AEF"/>
    <w:rsid w:val="00270BA8"/>
    <w:rsid w:val="00270D47"/>
    <w:rsid w:val="00270FCE"/>
    <w:rsid w:val="00272124"/>
    <w:rsid w:val="00272210"/>
    <w:rsid w:val="002723C0"/>
    <w:rsid w:val="002726E1"/>
    <w:rsid w:val="0027276E"/>
    <w:rsid w:val="00272ED3"/>
    <w:rsid w:val="002736B3"/>
    <w:rsid w:val="002736F5"/>
    <w:rsid w:val="0027370F"/>
    <w:rsid w:val="0027383E"/>
    <w:rsid w:val="002739DA"/>
    <w:rsid w:val="00274057"/>
    <w:rsid w:val="002740C9"/>
    <w:rsid w:val="00274253"/>
    <w:rsid w:val="002743A1"/>
    <w:rsid w:val="002748EE"/>
    <w:rsid w:val="00274963"/>
    <w:rsid w:val="002749DD"/>
    <w:rsid w:val="00274BA9"/>
    <w:rsid w:val="00274E45"/>
    <w:rsid w:val="0027583D"/>
    <w:rsid w:val="00275F77"/>
    <w:rsid w:val="002761B6"/>
    <w:rsid w:val="00276F27"/>
    <w:rsid w:val="002777DF"/>
    <w:rsid w:val="00277A64"/>
    <w:rsid w:val="00277A8D"/>
    <w:rsid w:val="00280047"/>
    <w:rsid w:val="002810BC"/>
    <w:rsid w:val="002811A4"/>
    <w:rsid w:val="002816B4"/>
    <w:rsid w:val="00281768"/>
    <w:rsid w:val="00281BDE"/>
    <w:rsid w:val="00281ECC"/>
    <w:rsid w:val="002822A0"/>
    <w:rsid w:val="00282949"/>
    <w:rsid w:val="00282EDE"/>
    <w:rsid w:val="00283186"/>
    <w:rsid w:val="00283222"/>
    <w:rsid w:val="00283594"/>
    <w:rsid w:val="002838FC"/>
    <w:rsid w:val="0028392F"/>
    <w:rsid w:val="00283A12"/>
    <w:rsid w:val="00283A95"/>
    <w:rsid w:val="00283A9F"/>
    <w:rsid w:val="00283AB9"/>
    <w:rsid w:val="00284199"/>
    <w:rsid w:val="002844A5"/>
    <w:rsid w:val="002847F7"/>
    <w:rsid w:val="00284A39"/>
    <w:rsid w:val="00284EB0"/>
    <w:rsid w:val="00285299"/>
    <w:rsid w:val="0028563B"/>
    <w:rsid w:val="00285916"/>
    <w:rsid w:val="00286396"/>
    <w:rsid w:val="0028674C"/>
    <w:rsid w:val="002869E0"/>
    <w:rsid w:val="00286BE8"/>
    <w:rsid w:val="00286F43"/>
    <w:rsid w:val="00287221"/>
    <w:rsid w:val="0028745C"/>
    <w:rsid w:val="00287722"/>
    <w:rsid w:val="00287AB5"/>
    <w:rsid w:val="00287BCF"/>
    <w:rsid w:val="00287CFF"/>
    <w:rsid w:val="00287DC1"/>
    <w:rsid w:val="00290082"/>
    <w:rsid w:val="002903D9"/>
    <w:rsid w:val="00290AB1"/>
    <w:rsid w:val="00291267"/>
    <w:rsid w:val="002914AA"/>
    <w:rsid w:val="00291502"/>
    <w:rsid w:val="00291530"/>
    <w:rsid w:val="002918DF"/>
    <w:rsid w:val="00292300"/>
    <w:rsid w:val="002927BC"/>
    <w:rsid w:val="0029294F"/>
    <w:rsid w:val="00292B43"/>
    <w:rsid w:val="00292CD2"/>
    <w:rsid w:val="002933B5"/>
    <w:rsid w:val="002934E5"/>
    <w:rsid w:val="0029353E"/>
    <w:rsid w:val="0029358A"/>
    <w:rsid w:val="002937DB"/>
    <w:rsid w:val="00293901"/>
    <w:rsid w:val="00293EA7"/>
    <w:rsid w:val="00293F45"/>
    <w:rsid w:val="002943BB"/>
    <w:rsid w:val="00294671"/>
    <w:rsid w:val="00294AFD"/>
    <w:rsid w:val="002951F1"/>
    <w:rsid w:val="00296511"/>
    <w:rsid w:val="0029684C"/>
    <w:rsid w:val="0029684D"/>
    <w:rsid w:val="0029707D"/>
    <w:rsid w:val="00297631"/>
    <w:rsid w:val="002976F0"/>
    <w:rsid w:val="0029783B"/>
    <w:rsid w:val="00297F90"/>
    <w:rsid w:val="002A009C"/>
    <w:rsid w:val="002A0C6B"/>
    <w:rsid w:val="002A0CCA"/>
    <w:rsid w:val="002A0DEE"/>
    <w:rsid w:val="002A0EBC"/>
    <w:rsid w:val="002A1177"/>
    <w:rsid w:val="002A149A"/>
    <w:rsid w:val="002A1815"/>
    <w:rsid w:val="002A1BCA"/>
    <w:rsid w:val="002A1BD8"/>
    <w:rsid w:val="002A2401"/>
    <w:rsid w:val="002A2A57"/>
    <w:rsid w:val="002A3183"/>
    <w:rsid w:val="002A35A0"/>
    <w:rsid w:val="002A35E3"/>
    <w:rsid w:val="002A3762"/>
    <w:rsid w:val="002A3A29"/>
    <w:rsid w:val="002A4182"/>
    <w:rsid w:val="002A41E2"/>
    <w:rsid w:val="002A433E"/>
    <w:rsid w:val="002A44AE"/>
    <w:rsid w:val="002A46C0"/>
    <w:rsid w:val="002A4A34"/>
    <w:rsid w:val="002A4ECE"/>
    <w:rsid w:val="002A4EFB"/>
    <w:rsid w:val="002A5538"/>
    <w:rsid w:val="002A558B"/>
    <w:rsid w:val="002A5893"/>
    <w:rsid w:val="002A604E"/>
    <w:rsid w:val="002A6314"/>
    <w:rsid w:val="002A66AF"/>
    <w:rsid w:val="002A6771"/>
    <w:rsid w:val="002A6954"/>
    <w:rsid w:val="002A6FB6"/>
    <w:rsid w:val="002A7AAB"/>
    <w:rsid w:val="002A7E27"/>
    <w:rsid w:val="002B09A5"/>
    <w:rsid w:val="002B0B64"/>
    <w:rsid w:val="002B0C09"/>
    <w:rsid w:val="002B1607"/>
    <w:rsid w:val="002B1B12"/>
    <w:rsid w:val="002B1B87"/>
    <w:rsid w:val="002B2212"/>
    <w:rsid w:val="002B28B0"/>
    <w:rsid w:val="002B2CB8"/>
    <w:rsid w:val="002B3419"/>
    <w:rsid w:val="002B3518"/>
    <w:rsid w:val="002B3778"/>
    <w:rsid w:val="002B3F24"/>
    <w:rsid w:val="002B4230"/>
    <w:rsid w:val="002B4626"/>
    <w:rsid w:val="002B4B73"/>
    <w:rsid w:val="002B5016"/>
    <w:rsid w:val="002B53E6"/>
    <w:rsid w:val="002B5760"/>
    <w:rsid w:val="002B5891"/>
    <w:rsid w:val="002B65FA"/>
    <w:rsid w:val="002B6893"/>
    <w:rsid w:val="002B68E8"/>
    <w:rsid w:val="002B69D0"/>
    <w:rsid w:val="002B6E39"/>
    <w:rsid w:val="002B6FA6"/>
    <w:rsid w:val="002B7453"/>
    <w:rsid w:val="002B7D0B"/>
    <w:rsid w:val="002C00B9"/>
    <w:rsid w:val="002C0389"/>
    <w:rsid w:val="002C070E"/>
    <w:rsid w:val="002C0996"/>
    <w:rsid w:val="002C0A0E"/>
    <w:rsid w:val="002C0A29"/>
    <w:rsid w:val="002C0B00"/>
    <w:rsid w:val="002C0B8E"/>
    <w:rsid w:val="002C1160"/>
    <w:rsid w:val="002C12F3"/>
    <w:rsid w:val="002C13A0"/>
    <w:rsid w:val="002C14AF"/>
    <w:rsid w:val="002C14C6"/>
    <w:rsid w:val="002C17C4"/>
    <w:rsid w:val="002C1895"/>
    <w:rsid w:val="002C207C"/>
    <w:rsid w:val="002C21BC"/>
    <w:rsid w:val="002C2276"/>
    <w:rsid w:val="002C26D9"/>
    <w:rsid w:val="002C2723"/>
    <w:rsid w:val="002C2742"/>
    <w:rsid w:val="002C3814"/>
    <w:rsid w:val="002C3BC0"/>
    <w:rsid w:val="002C406F"/>
    <w:rsid w:val="002C4954"/>
    <w:rsid w:val="002C4CF4"/>
    <w:rsid w:val="002C4D27"/>
    <w:rsid w:val="002C4EF9"/>
    <w:rsid w:val="002C5711"/>
    <w:rsid w:val="002C5786"/>
    <w:rsid w:val="002C5A8B"/>
    <w:rsid w:val="002C5E64"/>
    <w:rsid w:val="002C68CD"/>
    <w:rsid w:val="002C70DB"/>
    <w:rsid w:val="002C70F3"/>
    <w:rsid w:val="002C78C8"/>
    <w:rsid w:val="002C7D9C"/>
    <w:rsid w:val="002C7EB2"/>
    <w:rsid w:val="002D01A6"/>
    <w:rsid w:val="002D036C"/>
    <w:rsid w:val="002D040F"/>
    <w:rsid w:val="002D050E"/>
    <w:rsid w:val="002D0533"/>
    <w:rsid w:val="002D0812"/>
    <w:rsid w:val="002D0CD9"/>
    <w:rsid w:val="002D11E2"/>
    <w:rsid w:val="002D1213"/>
    <w:rsid w:val="002D18B7"/>
    <w:rsid w:val="002D1DAF"/>
    <w:rsid w:val="002D2466"/>
    <w:rsid w:val="002D28A0"/>
    <w:rsid w:val="002D2B9F"/>
    <w:rsid w:val="002D2DA9"/>
    <w:rsid w:val="002D37F7"/>
    <w:rsid w:val="002D3E5F"/>
    <w:rsid w:val="002D3F2D"/>
    <w:rsid w:val="002D4169"/>
    <w:rsid w:val="002D4257"/>
    <w:rsid w:val="002D4600"/>
    <w:rsid w:val="002D4BBB"/>
    <w:rsid w:val="002D4BE8"/>
    <w:rsid w:val="002D5D6B"/>
    <w:rsid w:val="002D6121"/>
    <w:rsid w:val="002D6261"/>
    <w:rsid w:val="002D65BE"/>
    <w:rsid w:val="002D6A3C"/>
    <w:rsid w:val="002D6BF8"/>
    <w:rsid w:val="002D779E"/>
    <w:rsid w:val="002D77C1"/>
    <w:rsid w:val="002D7B09"/>
    <w:rsid w:val="002E031C"/>
    <w:rsid w:val="002E0658"/>
    <w:rsid w:val="002E0960"/>
    <w:rsid w:val="002E0FFD"/>
    <w:rsid w:val="002E105B"/>
    <w:rsid w:val="002E1078"/>
    <w:rsid w:val="002E10B6"/>
    <w:rsid w:val="002E18B7"/>
    <w:rsid w:val="002E1BE3"/>
    <w:rsid w:val="002E2B52"/>
    <w:rsid w:val="002E2E00"/>
    <w:rsid w:val="002E2FC3"/>
    <w:rsid w:val="002E32A4"/>
    <w:rsid w:val="002E32A5"/>
    <w:rsid w:val="002E393B"/>
    <w:rsid w:val="002E39AE"/>
    <w:rsid w:val="002E3DEA"/>
    <w:rsid w:val="002E40F1"/>
    <w:rsid w:val="002E4211"/>
    <w:rsid w:val="002E46D8"/>
    <w:rsid w:val="002E5017"/>
    <w:rsid w:val="002E5114"/>
    <w:rsid w:val="002E57F4"/>
    <w:rsid w:val="002E5F16"/>
    <w:rsid w:val="002E5F8C"/>
    <w:rsid w:val="002E6A94"/>
    <w:rsid w:val="002E6D46"/>
    <w:rsid w:val="002E6EE6"/>
    <w:rsid w:val="002E71AC"/>
    <w:rsid w:val="002E72E0"/>
    <w:rsid w:val="002E7684"/>
    <w:rsid w:val="002E783F"/>
    <w:rsid w:val="002E7AD8"/>
    <w:rsid w:val="002F014B"/>
    <w:rsid w:val="002F036E"/>
    <w:rsid w:val="002F064A"/>
    <w:rsid w:val="002F0947"/>
    <w:rsid w:val="002F0F4D"/>
    <w:rsid w:val="002F129F"/>
    <w:rsid w:val="002F1F64"/>
    <w:rsid w:val="002F1FC8"/>
    <w:rsid w:val="002F2668"/>
    <w:rsid w:val="002F2937"/>
    <w:rsid w:val="002F2D13"/>
    <w:rsid w:val="002F2DC4"/>
    <w:rsid w:val="002F31F1"/>
    <w:rsid w:val="002F3774"/>
    <w:rsid w:val="002F3B1D"/>
    <w:rsid w:val="002F3F60"/>
    <w:rsid w:val="002F4168"/>
    <w:rsid w:val="002F4234"/>
    <w:rsid w:val="002F4A03"/>
    <w:rsid w:val="002F4A4E"/>
    <w:rsid w:val="002F502D"/>
    <w:rsid w:val="002F54A1"/>
    <w:rsid w:val="002F5AFE"/>
    <w:rsid w:val="002F5B7C"/>
    <w:rsid w:val="002F5CD1"/>
    <w:rsid w:val="002F5EAD"/>
    <w:rsid w:val="002F5F34"/>
    <w:rsid w:val="002F5F74"/>
    <w:rsid w:val="002F61CE"/>
    <w:rsid w:val="003001C3"/>
    <w:rsid w:val="00300871"/>
    <w:rsid w:val="003008BF"/>
    <w:rsid w:val="00300F35"/>
    <w:rsid w:val="00301170"/>
    <w:rsid w:val="003013D6"/>
    <w:rsid w:val="00301715"/>
    <w:rsid w:val="00301785"/>
    <w:rsid w:val="00301A99"/>
    <w:rsid w:val="00301D6A"/>
    <w:rsid w:val="00302295"/>
    <w:rsid w:val="0030229D"/>
    <w:rsid w:val="003029C6"/>
    <w:rsid w:val="00303022"/>
    <w:rsid w:val="003035D7"/>
    <w:rsid w:val="003037AC"/>
    <w:rsid w:val="00303C60"/>
    <w:rsid w:val="00303C99"/>
    <w:rsid w:val="00303E69"/>
    <w:rsid w:val="00303EA6"/>
    <w:rsid w:val="0030405E"/>
    <w:rsid w:val="003042D0"/>
    <w:rsid w:val="003045C6"/>
    <w:rsid w:val="00304746"/>
    <w:rsid w:val="00304876"/>
    <w:rsid w:val="003048B2"/>
    <w:rsid w:val="0030498B"/>
    <w:rsid w:val="00304B25"/>
    <w:rsid w:val="00304B5C"/>
    <w:rsid w:val="00304DEC"/>
    <w:rsid w:val="00304E35"/>
    <w:rsid w:val="00305557"/>
    <w:rsid w:val="00305A8B"/>
    <w:rsid w:val="00305AC9"/>
    <w:rsid w:val="00306019"/>
    <w:rsid w:val="00306463"/>
    <w:rsid w:val="003066C9"/>
    <w:rsid w:val="00306A6A"/>
    <w:rsid w:val="00306B7A"/>
    <w:rsid w:val="003071B8"/>
    <w:rsid w:val="0030729C"/>
    <w:rsid w:val="00307907"/>
    <w:rsid w:val="00307914"/>
    <w:rsid w:val="00307924"/>
    <w:rsid w:val="00307944"/>
    <w:rsid w:val="003105AC"/>
    <w:rsid w:val="00310609"/>
    <w:rsid w:val="00310A67"/>
    <w:rsid w:val="00310AB4"/>
    <w:rsid w:val="00310E9E"/>
    <w:rsid w:val="00310FE5"/>
    <w:rsid w:val="003124EF"/>
    <w:rsid w:val="0031251A"/>
    <w:rsid w:val="0031268A"/>
    <w:rsid w:val="003126F8"/>
    <w:rsid w:val="00312A05"/>
    <w:rsid w:val="00312B2D"/>
    <w:rsid w:val="00312B84"/>
    <w:rsid w:val="00312D2C"/>
    <w:rsid w:val="00312DB4"/>
    <w:rsid w:val="00312F2F"/>
    <w:rsid w:val="0031306C"/>
    <w:rsid w:val="003130D7"/>
    <w:rsid w:val="00313611"/>
    <w:rsid w:val="003136BD"/>
    <w:rsid w:val="00313C28"/>
    <w:rsid w:val="00313FC9"/>
    <w:rsid w:val="00314F54"/>
    <w:rsid w:val="003163D4"/>
    <w:rsid w:val="00316508"/>
    <w:rsid w:val="00316718"/>
    <w:rsid w:val="00316C3A"/>
    <w:rsid w:val="00316C79"/>
    <w:rsid w:val="00316E7E"/>
    <w:rsid w:val="00316F29"/>
    <w:rsid w:val="00317BBC"/>
    <w:rsid w:val="00317BDA"/>
    <w:rsid w:val="00317F6A"/>
    <w:rsid w:val="003201DF"/>
    <w:rsid w:val="0032054E"/>
    <w:rsid w:val="003208BD"/>
    <w:rsid w:val="00320B25"/>
    <w:rsid w:val="00320B95"/>
    <w:rsid w:val="00320F04"/>
    <w:rsid w:val="00321301"/>
    <w:rsid w:val="00321508"/>
    <w:rsid w:val="00321E94"/>
    <w:rsid w:val="0032230B"/>
    <w:rsid w:val="00322611"/>
    <w:rsid w:val="00322838"/>
    <w:rsid w:val="003229C6"/>
    <w:rsid w:val="00322CFC"/>
    <w:rsid w:val="00322D20"/>
    <w:rsid w:val="003234B0"/>
    <w:rsid w:val="0032360A"/>
    <w:rsid w:val="00323983"/>
    <w:rsid w:val="00323B38"/>
    <w:rsid w:val="00323BB8"/>
    <w:rsid w:val="00323BEC"/>
    <w:rsid w:val="00323FE9"/>
    <w:rsid w:val="00324241"/>
    <w:rsid w:val="00324319"/>
    <w:rsid w:val="00324321"/>
    <w:rsid w:val="00324684"/>
    <w:rsid w:val="00324A27"/>
    <w:rsid w:val="00324C32"/>
    <w:rsid w:val="0032538F"/>
    <w:rsid w:val="0032546D"/>
    <w:rsid w:val="003255A5"/>
    <w:rsid w:val="003255EC"/>
    <w:rsid w:val="0032597E"/>
    <w:rsid w:val="00325EA9"/>
    <w:rsid w:val="00326477"/>
    <w:rsid w:val="00326930"/>
    <w:rsid w:val="00326E5B"/>
    <w:rsid w:val="003271BB"/>
    <w:rsid w:val="00327923"/>
    <w:rsid w:val="00327A16"/>
    <w:rsid w:val="00327D60"/>
    <w:rsid w:val="00327FA4"/>
    <w:rsid w:val="003301AC"/>
    <w:rsid w:val="00330389"/>
    <w:rsid w:val="00330803"/>
    <w:rsid w:val="0033095D"/>
    <w:rsid w:val="00330F43"/>
    <w:rsid w:val="00331045"/>
    <w:rsid w:val="003317B1"/>
    <w:rsid w:val="00331873"/>
    <w:rsid w:val="00331B74"/>
    <w:rsid w:val="00331D01"/>
    <w:rsid w:val="003324BA"/>
    <w:rsid w:val="00332A1D"/>
    <w:rsid w:val="00332AAE"/>
    <w:rsid w:val="003330A7"/>
    <w:rsid w:val="003332D8"/>
    <w:rsid w:val="0033373C"/>
    <w:rsid w:val="00333E30"/>
    <w:rsid w:val="00333EC3"/>
    <w:rsid w:val="0033468B"/>
    <w:rsid w:val="0033487D"/>
    <w:rsid w:val="003349BB"/>
    <w:rsid w:val="00334BF4"/>
    <w:rsid w:val="00334E9D"/>
    <w:rsid w:val="003352B9"/>
    <w:rsid w:val="00335360"/>
    <w:rsid w:val="0033588A"/>
    <w:rsid w:val="00335D9E"/>
    <w:rsid w:val="00335E6A"/>
    <w:rsid w:val="00335EFD"/>
    <w:rsid w:val="003360F5"/>
    <w:rsid w:val="00336494"/>
    <w:rsid w:val="0033669F"/>
    <w:rsid w:val="003367DC"/>
    <w:rsid w:val="0033691D"/>
    <w:rsid w:val="00336927"/>
    <w:rsid w:val="00336929"/>
    <w:rsid w:val="00336E3E"/>
    <w:rsid w:val="0033734E"/>
    <w:rsid w:val="00337C0E"/>
    <w:rsid w:val="003405AB"/>
    <w:rsid w:val="003407B9"/>
    <w:rsid w:val="00341E71"/>
    <w:rsid w:val="00341E77"/>
    <w:rsid w:val="00341F5D"/>
    <w:rsid w:val="0034253F"/>
    <w:rsid w:val="0034308C"/>
    <w:rsid w:val="0034345B"/>
    <w:rsid w:val="003435BA"/>
    <w:rsid w:val="0034361E"/>
    <w:rsid w:val="00343DAF"/>
    <w:rsid w:val="0034411B"/>
    <w:rsid w:val="003444BD"/>
    <w:rsid w:val="003447F5"/>
    <w:rsid w:val="0034484E"/>
    <w:rsid w:val="00344917"/>
    <w:rsid w:val="00344969"/>
    <w:rsid w:val="00344A3E"/>
    <w:rsid w:val="00344C60"/>
    <w:rsid w:val="00344E8C"/>
    <w:rsid w:val="00345569"/>
    <w:rsid w:val="00345843"/>
    <w:rsid w:val="00345974"/>
    <w:rsid w:val="00345AF9"/>
    <w:rsid w:val="003460D4"/>
    <w:rsid w:val="0034613B"/>
    <w:rsid w:val="003465C1"/>
    <w:rsid w:val="0034677B"/>
    <w:rsid w:val="00346B95"/>
    <w:rsid w:val="00346DC9"/>
    <w:rsid w:val="00346FE9"/>
    <w:rsid w:val="0034704D"/>
    <w:rsid w:val="003470A1"/>
    <w:rsid w:val="00347302"/>
    <w:rsid w:val="0034763C"/>
    <w:rsid w:val="0034785C"/>
    <w:rsid w:val="00347AC2"/>
    <w:rsid w:val="0034F39B"/>
    <w:rsid w:val="00350418"/>
    <w:rsid w:val="003504F6"/>
    <w:rsid w:val="00350883"/>
    <w:rsid w:val="00350889"/>
    <w:rsid w:val="003508D7"/>
    <w:rsid w:val="00350F5F"/>
    <w:rsid w:val="003511CE"/>
    <w:rsid w:val="00351585"/>
    <w:rsid w:val="00351657"/>
    <w:rsid w:val="00351CA0"/>
    <w:rsid w:val="00352091"/>
    <w:rsid w:val="003520B1"/>
    <w:rsid w:val="00352655"/>
    <w:rsid w:val="00352C54"/>
    <w:rsid w:val="00352E98"/>
    <w:rsid w:val="0035373E"/>
    <w:rsid w:val="0035386B"/>
    <w:rsid w:val="00353D56"/>
    <w:rsid w:val="003541AF"/>
    <w:rsid w:val="003541D5"/>
    <w:rsid w:val="00354E91"/>
    <w:rsid w:val="00355325"/>
    <w:rsid w:val="00355461"/>
    <w:rsid w:val="003554AD"/>
    <w:rsid w:val="0035626F"/>
    <w:rsid w:val="00356884"/>
    <w:rsid w:val="00356FAE"/>
    <w:rsid w:val="00357057"/>
    <w:rsid w:val="003573C2"/>
    <w:rsid w:val="003576F1"/>
    <w:rsid w:val="003579A8"/>
    <w:rsid w:val="00357C71"/>
    <w:rsid w:val="00357E32"/>
    <w:rsid w:val="00357EB1"/>
    <w:rsid w:val="00360031"/>
    <w:rsid w:val="003602A5"/>
    <w:rsid w:val="0036071D"/>
    <w:rsid w:val="00360B71"/>
    <w:rsid w:val="00360CFA"/>
    <w:rsid w:val="00361153"/>
    <w:rsid w:val="003615C2"/>
    <w:rsid w:val="00361C56"/>
    <w:rsid w:val="00361FCD"/>
    <w:rsid w:val="00362362"/>
    <w:rsid w:val="00362542"/>
    <w:rsid w:val="0036267D"/>
    <w:rsid w:val="0036279E"/>
    <w:rsid w:val="00362B6C"/>
    <w:rsid w:val="00363071"/>
    <w:rsid w:val="00363191"/>
    <w:rsid w:val="0036337D"/>
    <w:rsid w:val="00363579"/>
    <w:rsid w:val="0036372E"/>
    <w:rsid w:val="00363CFE"/>
    <w:rsid w:val="00363F01"/>
    <w:rsid w:val="00364308"/>
    <w:rsid w:val="003643F3"/>
    <w:rsid w:val="00364E2A"/>
    <w:rsid w:val="00364FEC"/>
    <w:rsid w:val="003653F9"/>
    <w:rsid w:val="00365BCF"/>
    <w:rsid w:val="00365D25"/>
    <w:rsid w:val="003664D7"/>
    <w:rsid w:val="00366B93"/>
    <w:rsid w:val="00366BDF"/>
    <w:rsid w:val="00366BF8"/>
    <w:rsid w:val="00366F14"/>
    <w:rsid w:val="003672D0"/>
    <w:rsid w:val="0036749F"/>
    <w:rsid w:val="003674D3"/>
    <w:rsid w:val="0036760B"/>
    <w:rsid w:val="00367A44"/>
    <w:rsid w:val="00367AE9"/>
    <w:rsid w:val="0037000C"/>
    <w:rsid w:val="00370213"/>
    <w:rsid w:val="00370348"/>
    <w:rsid w:val="0037059B"/>
    <w:rsid w:val="003705C4"/>
    <w:rsid w:val="00370BFF"/>
    <w:rsid w:val="00370C02"/>
    <w:rsid w:val="00371020"/>
    <w:rsid w:val="0037121F"/>
    <w:rsid w:val="00371517"/>
    <w:rsid w:val="003716B0"/>
    <w:rsid w:val="003716F3"/>
    <w:rsid w:val="003717C4"/>
    <w:rsid w:val="003717D7"/>
    <w:rsid w:val="00371FBC"/>
    <w:rsid w:val="00372159"/>
    <w:rsid w:val="0037249E"/>
    <w:rsid w:val="00372A3D"/>
    <w:rsid w:val="00372BB8"/>
    <w:rsid w:val="00372BF9"/>
    <w:rsid w:val="00373261"/>
    <w:rsid w:val="00373318"/>
    <w:rsid w:val="00373647"/>
    <w:rsid w:val="00373C14"/>
    <w:rsid w:val="00373DA3"/>
    <w:rsid w:val="00373E67"/>
    <w:rsid w:val="00373FD1"/>
    <w:rsid w:val="0037415D"/>
    <w:rsid w:val="0037417E"/>
    <w:rsid w:val="0037423F"/>
    <w:rsid w:val="00374602"/>
    <w:rsid w:val="00374681"/>
    <w:rsid w:val="00374B52"/>
    <w:rsid w:val="00374EB1"/>
    <w:rsid w:val="00374F99"/>
    <w:rsid w:val="003751A6"/>
    <w:rsid w:val="00375227"/>
    <w:rsid w:val="003754C9"/>
    <w:rsid w:val="003754F0"/>
    <w:rsid w:val="00375658"/>
    <w:rsid w:val="003756E6"/>
    <w:rsid w:val="003758D3"/>
    <w:rsid w:val="00375DD0"/>
    <w:rsid w:val="00375F0B"/>
    <w:rsid w:val="003765B2"/>
    <w:rsid w:val="0037661A"/>
    <w:rsid w:val="003767BB"/>
    <w:rsid w:val="00376943"/>
    <w:rsid w:val="00376A42"/>
    <w:rsid w:val="00376A99"/>
    <w:rsid w:val="00376AED"/>
    <w:rsid w:val="0037723A"/>
    <w:rsid w:val="003776BE"/>
    <w:rsid w:val="00377E24"/>
    <w:rsid w:val="00377EA7"/>
    <w:rsid w:val="00380242"/>
    <w:rsid w:val="00380A5D"/>
    <w:rsid w:val="00380ADE"/>
    <w:rsid w:val="00380BB4"/>
    <w:rsid w:val="00380C4B"/>
    <w:rsid w:val="00380D06"/>
    <w:rsid w:val="00380D80"/>
    <w:rsid w:val="00381396"/>
    <w:rsid w:val="0038170F"/>
    <w:rsid w:val="003818BC"/>
    <w:rsid w:val="00382231"/>
    <w:rsid w:val="003825AE"/>
    <w:rsid w:val="00382679"/>
    <w:rsid w:val="003828CD"/>
    <w:rsid w:val="0038290C"/>
    <w:rsid w:val="00382AED"/>
    <w:rsid w:val="00382CDF"/>
    <w:rsid w:val="00382EEF"/>
    <w:rsid w:val="0038310F"/>
    <w:rsid w:val="0038332C"/>
    <w:rsid w:val="0038333F"/>
    <w:rsid w:val="003834E0"/>
    <w:rsid w:val="00383DEE"/>
    <w:rsid w:val="003843E0"/>
    <w:rsid w:val="0038465B"/>
    <w:rsid w:val="00384B28"/>
    <w:rsid w:val="003852EF"/>
    <w:rsid w:val="003853CF"/>
    <w:rsid w:val="00385DD4"/>
    <w:rsid w:val="00385DF2"/>
    <w:rsid w:val="0038627A"/>
    <w:rsid w:val="00386880"/>
    <w:rsid w:val="00386B86"/>
    <w:rsid w:val="00386E1F"/>
    <w:rsid w:val="00386F61"/>
    <w:rsid w:val="003873E2"/>
    <w:rsid w:val="00387ACF"/>
    <w:rsid w:val="00387BBD"/>
    <w:rsid w:val="0039001E"/>
    <w:rsid w:val="00390232"/>
    <w:rsid w:val="00390596"/>
    <w:rsid w:val="0039118E"/>
    <w:rsid w:val="003913E7"/>
    <w:rsid w:val="00391595"/>
    <w:rsid w:val="00391928"/>
    <w:rsid w:val="0039198D"/>
    <w:rsid w:val="00391EFE"/>
    <w:rsid w:val="003926BB"/>
    <w:rsid w:val="00392793"/>
    <w:rsid w:val="00392AF2"/>
    <w:rsid w:val="0039305E"/>
    <w:rsid w:val="00393192"/>
    <w:rsid w:val="0039327F"/>
    <w:rsid w:val="00393B85"/>
    <w:rsid w:val="00393B9E"/>
    <w:rsid w:val="0039451E"/>
    <w:rsid w:val="00394595"/>
    <w:rsid w:val="003952B6"/>
    <w:rsid w:val="003959AB"/>
    <w:rsid w:val="00395CF1"/>
    <w:rsid w:val="003961D2"/>
    <w:rsid w:val="003967E9"/>
    <w:rsid w:val="00396A56"/>
    <w:rsid w:val="003978DC"/>
    <w:rsid w:val="003979FE"/>
    <w:rsid w:val="00397E7D"/>
    <w:rsid w:val="00397EE4"/>
    <w:rsid w:val="003A0036"/>
    <w:rsid w:val="003A0558"/>
    <w:rsid w:val="003A094E"/>
    <w:rsid w:val="003A0D8D"/>
    <w:rsid w:val="003A10C9"/>
    <w:rsid w:val="003A16A8"/>
    <w:rsid w:val="003A19D0"/>
    <w:rsid w:val="003A1F97"/>
    <w:rsid w:val="003A2396"/>
    <w:rsid w:val="003A272F"/>
    <w:rsid w:val="003A2914"/>
    <w:rsid w:val="003A2C95"/>
    <w:rsid w:val="003A30AF"/>
    <w:rsid w:val="003A3624"/>
    <w:rsid w:val="003A3904"/>
    <w:rsid w:val="003A40C4"/>
    <w:rsid w:val="003A45D4"/>
    <w:rsid w:val="003A4654"/>
    <w:rsid w:val="003A4C9F"/>
    <w:rsid w:val="003A4DE8"/>
    <w:rsid w:val="003A4E08"/>
    <w:rsid w:val="003A4F8A"/>
    <w:rsid w:val="003A4FFE"/>
    <w:rsid w:val="003A52D0"/>
    <w:rsid w:val="003A5397"/>
    <w:rsid w:val="003A58BC"/>
    <w:rsid w:val="003A5915"/>
    <w:rsid w:val="003A5F2D"/>
    <w:rsid w:val="003A5FCC"/>
    <w:rsid w:val="003A5FDD"/>
    <w:rsid w:val="003A629D"/>
    <w:rsid w:val="003A6351"/>
    <w:rsid w:val="003A64C9"/>
    <w:rsid w:val="003A6995"/>
    <w:rsid w:val="003A721A"/>
    <w:rsid w:val="003A75A0"/>
    <w:rsid w:val="003B0130"/>
    <w:rsid w:val="003B064C"/>
    <w:rsid w:val="003B06DD"/>
    <w:rsid w:val="003B07C1"/>
    <w:rsid w:val="003B08C1"/>
    <w:rsid w:val="003B0BF0"/>
    <w:rsid w:val="003B0CED"/>
    <w:rsid w:val="003B0DC8"/>
    <w:rsid w:val="003B0E80"/>
    <w:rsid w:val="003B12F4"/>
    <w:rsid w:val="003B1584"/>
    <w:rsid w:val="003B240A"/>
    <w:rsid w:val="003B2F6C"/>
    <w:rsid w:val="003B342C"/>
    <w:rsid w:val="003B3859"/>
    <w:rsid w:val="003B3C67"/>
    <w:rsid w:val="003B3D43"/>
    <w:rsid w:val="003B3D6C"/>
    <w:rsid w:val="003B3DC2"/>
    <w:rsid w:val="003B428E"/>
    <w:rsid w:val="003B4331"/>
    <w:rsid w:val="003B456B"/>
    <w:rsid w:val="003B4671"/>
    <w:rsid w:val="003B4FDC"/>
    <w:rsid w:val="003B5439"/>
    <w:rsid w:val="003B55E0"/>
    <w:rsid w:val="003B55F6"/>
    <w:rsid w:val="003B5C15"/>
    <w:rsid w:val="003B5EA8"/>
    <w:rsid w:val="003B6086"/>
    <w:rsid w:val="003B6737"/>
    <w:rsid w:val="003B6AF0"/>
    <w:rsid w:val="003B6C3A"/>
    <w:rsid w:val="003B70A2"/>
    <w:rsid w:val="003B76DE"/>
    <w:rsid w:val="003B7A27"/>
    <w:rsid w:val="003B7F19"/>
    <w:rsid w:val="003C00DD"/>
    <w:rsid w:val="003C012F"/>
    <w:rsid w:val="003C055C"/>
    <w:rsid w:val="003C0B25"/>
    <w:rsid w:val="003C1246"/>
    <w:rsid w:val="003C153C"/>
    <w:rsid w:val="003C168A"/>
    <w:rsid w:val="003C1809"/>
    <w:rsid w:val="003C1B4C"/>
    <w:rsid w:val="003C1BA9"/>
    <w:rsid w:val="003C1CD9"/>
    <w:rsid w:val="003C20E1"/>
    <w:rsid w:val="003C229A"/>
    <w:rsid w:val="003C2489"/>
    <w:rsid w:val="003C281E"/>
    <w:rsid w:val="003C2AD0"/>
    <w:rsid w:val="003C2C3C"/>
    <w:rsid w:val="003C2CBD"/>
    <w:rsid w:val="003C2EEE"/>
    <w:rsid w:val="003C2F44"/>
    <w:rsid w:val="003C30FE"/>
    <w:rsid w:val="003C3BFB"/>
    <w:rsid w:val="003C3E1D"/>
    <w:rsid w:val="003C3F35"/>
    <w:rsid w:val="003C405E"/>
    <w:rsid w:val="003C4970"/>
    <w:rsid w:val="003C58F9"/>
    <w:rsid w:val="003C5CCD"/>
    <w:rsid w:val="003C61FB"/>
    <w:rsid w:val="003C628B"/>
    <w:rsid w:val="003C64ED"/>
    <w:rsid w:val="003C669F"/>
    <w:rsid w:val="003C6719"/>
    <w:rsid w:val="003C67FD"/>
    <w:rsid w:val="003C6953"/>
    <w:rsid w:val="003C6C41"/>
    <w:rsid w:val="003C6D8D"/>
    <w:rsid w:val="003C701A"/>
    <w:rsid w:val="003C76AC"/>
    <w:rsid w:val="003C7933"/>
    <w:rsid w:val="003C7A20"/>
    <w:rsid w:val="003C7A72"/>
    <w:rsid w:val="003C7AB2"/>
    <w:rsid w:val="003C7B11"/>
    <w:rsid w:val="003C7C59"/>
    <w:rsid w:val="003D000F"/>
    <w:rsid w:val="003D043B"/>
    <w:rsid w:val="003D0691"/>
    <w:rsid w:val="003D07EA"/>
    <w:rsid w:val="003D0AAC"/>
    <w:rsid w:val="003D0EBD"/>
    <w:rsid w:val="003D1415"/>
    <w:rsid w:val="003D178F"/>
    <w:rsid w:val="003D1B7A"/>
    <w:rsid w:val="003D2642"/>
    <w:rsid w:val="003D27C2"/>
    <w:rsid w:val="003D2D67"/>
    <w:rsid w:val="003D3055"/>
    <w:rsid w:val="003D33B8"/>
    <w:rsid w:val="003D3514"/>
    <w:rsid w:val="003D395E"/>
    <w:rsid w:val="003D3A45"/>
    <w:rsid w:val="003D42D6"/>
    <w:rsid w:val="003D4475"/>
    <w:rsid w:val="003D44D4"/>
    <w:rsid w:val="003D44D5"/>
    <w:rsid w:val="003D4518"/>
    <w:rsid w:val="003D459A"/>
    <w:rsid w:val="003D46ED"/>
    <w:rsid w:val="003D4DF8"/>
    <w:rsid w:val="003D501C"/>
    <w:rsid w:val="003D59E5"/>
    <w:rsid w:val="003D5F9E"/>
    <w:rsid w:val="003D6027"/>
    <w:rsid w:val="003D6497"/>
    <w:rsid w:val="003D65A0"/>
    <w:rsid w:val="003D666C"/>
    <w:rsid w:val="003D6763"/>
    <w:rsid w:val="003D68BE"/>
    <w:rsid w:val="003D69D8"/>
    <w:rsid w:val="003D6C51"/>
    <w:rsid w:val="003D6F97"/>
    <w:rsid w:val="003D736C"/>
    <w:rsid w:val="003E0129"/>
    <w:rsid w:val="003E014A"/>
    <w:rsid w:val="003E048C"/>
    <w:rsid w:val="003E0518"/>
    <w:rsid w:val="003E0645"/>
    <w:rsid w:val="003E1510"/>
    <w:rsid w:val="003E1570"/>
    <w:rsid w:val="003E1848"/>
    <w:rsid w:val="003E18B3"/>
    <w:rsid w:val="003E1D87"/>
    <w:rsid w:val="003E1E57"/>
    <w:rsid w:val="003E2341"/>
    <w:rsid w:val="003E25E8"/>
    <w:rsid w:val="003E26B3"/>
    <w:rsid w:val="003E298C"/>
    <w:rsid w:val="003E2B07"/>
    <w:rsid w:val="003E301C"/>
    <w:rsid w:val="003E3085"/>
    <w:rsid w:val="003E31D3"/>
    <w:rsid w:val="003E395B"/>
    <w:rsid w:val="003E3E68"/>
    <w:rsid w:val="003E3FDA"/>
    <w:rsid w:val="003E4484"/>
    <w:rsid w:val="003E47FD"/>
    <w:rsid w:val="003E492E"/>
    <w:rsid w:val="003E4A84"/>
    <w:rsid w:val="003E4C25"/>
    <w:rsid w:val="003E4C9E"/>
    <w:rsid w:val="003E4D43"/>
    <w:rsid w:val="003E4E57"/>
    <w:rsid w:val="003E5009"/>
    <w:rsid w:val="003E5080"/>
    <w:rsid w:val="003E529E"/>
    <w:rsid w:val="003E554B"/>
    <w:rsid w:val="003E6630"/>
    <w:rsid w:val="003E68E9"/>
    <w:rsid w:val="003E6B02"/>
    <w:rsid w:val="003E6C71"/>
    <w:rsid w:val="003E6CF3"/>
    <w:rsid w:val="003E6FA5"/>
    <w:rsid w:val="003E6FC0"/>
    <w:rsid w:val="003E71D9"/>
    <w:rsid w:val="003E721A"/>
    <w:rsid w:val="003E7798"/>
    <w:rsid w:val="003E7A79"/>
    <w:rsid w:val="003E7EE7"/>
    <w:rsid w:val="003F02CF"/>
    <w:rsid w:val="003F0FD5"/>
    <w:rsid w:val="003F202C"/>
    <w:rsid w:val="003F2FC6"/>
    <w:rsid w:val="003F3623"/>
    <w:rsid w:val="003F3806"/>
    <w:rsid w:val="003F3871"/>
    <w:rsid w:val="003F3C1A"/>
    <w:rsid w:val="003F3CB0"/>
    <w:rsid w:val="003F42C1"/>
    <w:rsid w:val="003F4848"/>
    <w:rsid w:val="003F49AE"/>
    <w:rsid w:val="003F5A1C"/>
    <w:rsid w:val="003F5A53"/>
    <w:rsid w:val="003F5F71"/>
    <w:rsid w:val="003F604C"/>
    <w:rsid w:val="003F6324"/>
    <w:rsid w:val="003F6807"/>
    <w:rsid w:val="003F6ADA"/>
    <w:rsid w:val="003F6E10"/>
    <w:rsid w:val="003F7223"/>
    <w:rsid w:val="003F75AA"/>
    <w:rsid w:val="003F7DB7"/>
    <w:rsid w:val="003F7E76"/>
    <w:rsid w:val="00400494"/>
    <w:rsid w:val="004007F5"/>
    <w:rsid w:val="00400DD8"/>
    <w:rsid w:val="00401002"/>
    <w:rsid w:val="00401559"/>
    <w:rsid w:val="004015F9"/>
    <w:rsid w:val="00401673"/>
    <w:rsid w:val="004016D8"/>
    <w:rsid w:val="004018F2"/>
    <w:rsid w:val="00401D07"/>
    <w:rsid w:val="00401D7B"/>
    <w:rsid w:val="0040270C"/>
    <w:rsid w:val="0040299F"/>
    <w:rsid w:val="00402E7F"/>
    <w:rsid w:val="00403094"/>
    <w:rsid w:val="00403323"/>
    <w:rsid w:val="004035CE"/>
    <w:rsid w:val="00403ACA"/>
    <w:rsid w:val="00403CC7"/>
    <w:rsid w:val="00403DA7"/>
    <w:rsid w:val="00403EB6"/>
    <w:rsid w:val="00403F96"/>
    <w:rsid w:val="004041F7"/>
    <w:rsid w:val="004045A9"/>
    <w:rsid w:val="00404C9B"/>
    <w:rsid w:val="00404D98"/>
    <w:rsid w:val="00405889"/>
    <w:rsid w:val="00405C69"/>
    <w:rsid w:val="00405DFA"/>
    <w:rsid w:val="004060CD"/>
    <w:rsid w:val="004064DC"/>
    <w:rsid w:val="00406810"/>
    <w:rsid w:val="004068CB"/>
    <w:rsid w:val="00407143"/>
    <w:rsid w:val="0040735D"/>
    <w:rsid w:val="004074C0"/>
    <w:rsid w:val="004078F2"/>
    <w:rsid w:val="00407CEC"/>
    <w:rsid w:val="00407EF6"/>
    <w:rsid w:val="00410272"/>
    <w:rsid w:val="00410280"/>
    <w:rsid w:val="004107FA"/>
    <w:rsid w:val="0041099E"/>
    <w:rsid w:val="00410D32"/>
    <w:rsid w:val="00410D38"/>
    <w:rsid w:val="00411895"/>
    <w:rsid w:val="00412017"/>
    <w:rsid w:val="00412284"/>
    <w:rsid w:val="0041239C"/>
    <w:rsid w:val="004128F6"/>
    <w:rsid w:val="00412B44"/>
    <w:rsid w:val="004130C1"/>
    <w:rsid w:val="0041354F"/>
    <w:rsid w:val="00413925"/>
    <w:rsid w:val="00413A4E"/>
    <w:rsid w:val="00414180"/>
    <w:rsid w:val="0041447C"/>
    <w:rsid w:val="004144D8"/>
    <w:rsid w:val="00414550"/>
    <w:rsid w:val="004146D3"/>
    <w:rsid w:val="00415038"/>
    <w:rsid w:val="004152A1"/>
    <w:rsid w:val="004155BE"/>
    <w:rsid w:val="0041565A"/>
    <w:rsid w:val="00415B08"/>
    <w:rsid w:val="00415C02"/>
    <w:rsid w:val="00415D66"/>
    <w:rsid w:val="00415E84"/>
    <w:rsid w:val="00415FBC"/>
    <w:rsid w:val="00416471"/>
    <w:rsid w:val="00416601"/>
    <w:rsid w:val="0041667C"/>
    <w:rsid w:val="004168A1"/>
    <w:rsid w:val="004168CC"/>
    <w:rsid w:val="00416A31"/>
    <w:rsid w:val="0041719B"/>
    <w:rsid w:val="004174EF"/>
    <w:rsid w:val="00417967"/>
    <w:rsid w:val="00417E00"/>
    <w:rsid w:val="00417F6E"/>
    <w:rsid w:val="0042071B"/>
    <w:rsid w:val="00420C47"/>
    <w:rsid w:val="00420DF7"/>
    <w:rsid w:val="004212BB"/>
    <w:rsid w:val="00421678"/>
    <w:rsid w:val="00421869"/>
    <w:rsid w:val="0042187B"/>
    <w:rsid w:val="004218AC"/>
    <w:rsid w:val="00421E9E"/>
    <w:rsid w:val="00421FF9"/>
    <w:rsid w:val="004223EE"/>
    <w:rsid w:val="004226AE"/>
    <w:rsid w:val="004226BB"/>
    <w:rsid w:val="004226C6"/>
    <w:rsid w:val="00422C9F"/>
    <w:rsid w:val="00422F8B"/>
    <w:rsid w:val="004235F5"/>
    <w:rsid w:val="004236E6"/>
    <w:rsid w:val="0042384E"/>
    <w:rsid w:val="0042386E"/>
    <w:rsid w:val="00423EF4"/>
    <w:rsid w:val="0042412A"/>
    <w:rsid w:val="00424190"/>
    <w:rsid w:val="004241E6"/>
    <w:rsid w:val="004247D1"/>
    <w:rsid w:val="00424890"/>
    <w:rsid w:val="00424E09"/>
    <w:rsid w:val="00424E57"/>
    <w:rsid w:val="0042598F"/>
    <w:rsid w:val="004259E9"/>
    <w:rsid w:val="00425B22"/>
    <w:rsid w:val="00426057"/>
    <w:rsid w:val="00426202"/>
    <w:rsid w:val="0042662C"/>
    <w:rsid w:val="0042699B"/>
    <w:rsid w:val="00426ADE"/>
    <w:rsid w:val="00426F7C"/>
    <w:rsid w:val="004270D8"/>
    <w:rsid w:val="00427506"/>
    <w:rsid w:val="0042754D"/>
    <w:rsid w:val="00427584"/>
    <w:rsid w:val="00427708"/>
    <w:rsid w:val="004277DE"/>
    <w:rsid w:val="00427B56"/>
    <w:rsid w:val="00427E1E"/>
    <w:rsid w:val="004303AA"/>
    <w:rsid w:val="00430449"/>
    <w:rsid w:val="004304A1"/>
    <w:rsid w:val="00430537"/>
    <w:rsid w:val="00430601"/>
    <w:rsid w:val="00430609"/>
    <w:rsid w:val="00430AB1"/>
    <w:rsid w:val="00430CB1"/>
    <w:rsid w:val="00430F52"/>
    <w:rsid w:val="004311B6"/>
    <w:rsid w:val="004311FB"/>
    <w:rsid w:val="00431781"/>
    <w:rsid w:val="004318CE"/>
    <w:rsid w:val="00431EF6"/>
    <w:rsid w:val="00431F62"/>
    <w:rsid w:val="00432382"/>
    <w:rsid w:val="00432407"/>
    <w:rsid w:val="00432F75"/>
    <w:rsid w:val="0043315A"/>
    <w:rsid w:val="00433178"/>
    <w:rsid w:val="004331AC"/>
    <w:rsid w:val="004331E9"/>
    <w:rsid w:val="00433244"/>
    <w:rsid w:val="00433485"/>
    <w:rsid w:val="004334F4"/>
    <w:rsid w:val="004335A1"/>
    <w:rsid w:val="00433A37"/>
    <w:rsid w:val="00433FBC"/>
    <w:rsid w:val="00434115"/>
    <w:rsid w:val="00434D76"/>
    <w:rsid w:val="004350B3"/>
    <w:rsid w:val="0043511A"/>
    <w:rsid w:val="004351DB"/>
    <w:rsid w:val="004353E8"/>
    <w:rsid w:val="00435FB7"/>
    <w:rsid w:val="00436402"/>
    <w:rsid w:val="00436438"/>
    <w:rsid w:val="00436456"/>
    <w:rsid w:val="00436A29"/>
    <w:rsid w:val="00436A39"/>
    <w:rsid w:val="00436C20"/>
    <w:rsid w:val="00436D11"/>
    <w:rsid w:val="00436F39"/>
    <w:rsid w:val="0043727F"/>
    <w:rsid w:val="004372BE"/>
    <w:rsid w:val="00437483"/>
    <w:rsid w:val="00437C09"/>
    <w:rsid w:val="00437DD1"/>
    <w:rsid w:val="00437E60"/>
    <w:rsid w:val="00437EDD"/>
    <w:rsid w:val="0044002B"/>
    <w:rsid w:val="004401F9"/>
    <w:rsid w:val="004403A6"/>
    <w:rsid w:val="00440924"/>
    <w:rsid w:val="00440AFC"/>
    <w:rsid w:val="00440B1B"/>
    <w:rsid w:val="00440B78"/>
    <w:rsid w:val="00441A6C"/>
    <w:rsid w:val="00441AB1"/>
    <w:rsid w:val="00441B61"/>
    <w:rsid w:val="00441CA0"/>
    <w:rsid w:val="00441EA7"/>
    <w:rsid w:val="004423D0"/>
    <w:rsid w:val="0044244B"/>
    <w:rsid w:val="004428C0"/>
    <w:rsid w:val="00442B46"/>
    <w:rsid w:val="00442B92"/>
    <w:rsid w:val="00442BD7"/>
    <w:rsid w:val="00442E98"/>
    <w:rsid w:val="0044308E"/>
    <w:rsid w:val="00443119"/>
    <w:rsid w:val="004437A2"/>
    <w:rsid w:val="00443993"/>
    <w:rsid w:val="00443A47"/>
    <w:rsid w:val="00444015"/>
    <w:rsid w:val="00444300"/>
    <w:rsid w:val="00444394"/>
    <w:rsid w:val="004448A8"/>
    <w:rsid w:val="00444FC7"/>
    <w:rsid w:val="0044519B"/>
    <w:rsid w:val="00445C5B"/>
    <w:rsid w:val="00445EBE"/>
    <w:rsid w:val="004462D3"/>
    <w:rsid w:val="004466F3"/>
    <w:rsid w:val="004469D3"/>
    <w:rsid w:val="00446A57"/>
    <w:rsid w:val="00446FCC"/>
    <w:rsid w:val="00447AC7"/>
    <w:rsid w:val="00447E1D"/>
    <w:rsid w:val="00447E47"/>
    <w:rsid w:val="004504F6"/>
    <w:rsid w:val="0045051A"/>
    <w:rsid w:val="00450552"/>
    <w:rsid w:val="00450753"/>
    <w:rsid w:val="0045091F"/>
    <w:rsid w:val="00450B1E"/>
    <w:rsid w:val="004512BF"/>
    <w:rsid w:val="0045294F"/>
    <w:rsid w:val="004532D0"/>
    <w:rsid w:val="0045382D"/>
    <w:rsid w:val="00453A77"/>
    <w:rsid w:val="00453D3C"/>
    <w:rsid w:val="00453F94"/>
    <w:rsid w:val="004544E2"/>
    <w:rsid w:val="00454604"/>
    <w:rsid w:val="004547E3"/>
    <w:rsid w:val="004547F6"/>
    <w:rsid w:val="0045481A"/>
    <w:rsid w:val="004548D6"/>
    <w:rsid w:val="00454C0E"/>
    <w:rsid w:val="004550B2"/>
    <w:rsid w:val="00455189"/>
    <w:rsid w:val="00455693"/>
    <w:rsid w:val="00455944"/>
    <w:rsid w:val="00455A02"/>
    <w:rsid w:val="00456112"/>
    <w:rsid w:val="004569E8"/>
    <w:rsid w:val="00456B65"/>
    <w:rsid w:val="00456F23"/>
    <w:rsid w:val="00457002"/>
    <w:rsid w:val="0045732C"/>
    <w:rsid w:val="004575A2"/>
    <w:rsid w:val="00457769"/>
    <w:rsid w:val="0045783D"/>
    <w:rsid w:val="0045798F"/>
    <w:rsid w:val="00457AFE"/>
    <w:rsid w:val="0045C25A"/>
    <w:rsid w:val="0046011E"/>
    <w:rsid w:val="004601C5"/>
    <w:rsid w:val="0046028F"/>
    <w:rsid w:val="004603B8"/>
    <w:rsid w:val="004608C9"/>
    <w:rsid w:val="00460BBA"/>
    <w:rsid w:val="00460D7C"/>
    <w:rsid w:val="00460E8E"/>
    <w:rsid w:val="004611B1"/>
    <w:rsid w:val="0046147C"/>
    <w:rsid w:val="0046171E"/>
    <w:rsid w:val="00461FA7"/>
    <w:rsid w:val="00462036"/>
    <w:rsid w:val="0046207B"/>
    <w:rsid w:val="00462ADB"/>
    <w:rsid w:val="00462C96"/>
    <w:rsid w:val="00462D5F"/>
    <w:rsid w:val="00462F58"/>
    <w:rsid w:val="004630BC"/>
    <w:rsid w:val="004632FA"/>
    <w:rsid w:val="00463935"/>
    <w:rsid w:val="00463A07"/>
    <w:rsid w:val="00463CF4"/>
    <w:rsid w:val="00464A14"/>
    <w:rsid w:val="00464D6A"/>
    <w:rsid w:val="0046516F"/>
    <w:rsid w:val="00465F97"/>
    <w:rsid w:val="00466328"/>
    <w:rsid w:val="00467256"/>
    <w:rsid w:val="00467344"/>
    <w:rsid w:val="004673C9"/>
    <w:rsid w:val="004675C8"/>
    <w:rsid w:val="004675EF"/>
    <w:rsid w:val="004700FF"/>
    <w:rsid w:val="004701FE"/>
    <w:rsid w:val="0047049B"/>
    <w:rsid w:val="00470A6D"/>
    <w:rsid w:val="00470A71"/>
    <w:rsid w:val="00470DCB"/>
    <w:rsid w:val="004711FD"/>
    <w:rsid w:val="0047132B"/>
    <w:rsid w:val="00471E90"/>
    <w:rsid w:val="0047210A"/>
    <w:rsid w:val="00472669"/>
    <w:rsid w:val="00473400"/>
    <w:rsid w:val="00473667"/>
    <w:rsid w:val="004739AD"/>
    <w:rsid w:val="00473A9B"/>
    <w:rsid w:val="00473CA0"/>
    <w:rsid w:val="00473F05"/>
    <w:rsid w:val="0047404B"/>
    <w:rsid w:val="004744CD"/>
    <w:rsid w:val="00474D18"/>
    <w:rsid w:val="00475458"/>
    <w:rsid w:val="00475691"/>
    <w:rsid w:val="00476524"/>
    <w:rsid w:val="00476B40"/>
    <w:rsid w:val="00476D61"/>
    <w:rsid w:val="00476D6D"/>
    <w:rsid w:val="00476E0A"/>
    <w:rsid w:val="00476F0A"/>
    <w:rsid w:val="00477488"/>
    <w:rsid w:val="004774D0"/>
    <w:rsid w:val="0047779A"/>
    <w:rsid w:val="00480352"/>
    <w:rsid w:val="00480773"/>
    <w:rsid w:val="00480864"/>
    <w:rsid w:val="004808E4"/>
    <w:rsid w:val="00480BE5"/>
    <w:rsid w:val="00480F98"/>
    <w:rsid w:val="00481053"/>
    <w:rsid w:val="004811A9"/>
    <w:rsid w:val="00481607"/>
    <w:rsid w:val="00481FC0"/>
    <w:rsid w:val="0048225D"/>
    <w:rsid w:val="004825AE"/>
    <w:rsid w:val="00482609"/>
    <w:rsid w:val="00482802"/>
    <w:rsid w:val="00482B83"/>
    <w:rsid w:val="00483032"/>
    <w:rsid w:val="00483370"/>
    <w:rsid w:val="00483946"/>
    <w:rsid w:val="00483C0B"/>
    <w:rsid w:val="00483CC0"/>
    <w:rsid w:val="00483DD5"/>
    <w:rsid w:val="00484106"/>
    <w:rsid w:val="0048439A"/>
    <w:rsid w:val="0048519D"/>
    <w:rsid w:val="004857DC"/>
    <w:rsid w:val="00485DF3"/>
    <w:rsid w:val="00485EAE"/>
    <w:rsid w:val="004861DC"/>
    <w:rsid w:val="00486313"/>
    <w:rsid w:val="00486512"/>
    <w:rsid w:val="00486666"/>
    <w:rsid w:val="004868AA"/>
    <w:rsid w:val="00486EA2"/>
    <w:rsid w:val="00486FBD"/>
    <w:rsid w:val="0048710A"/>
    <w:rsid w:val="00487231"/>
    <w:rsid w:val="0048734B"/>
    <w:rsid w:val="00487616"/>
    <w:rsid w:val="0048768B"/>
    <w:rsid w:val="00487715"/>
    <w:rsid w:val="00487847"/>
    <w:rsid w:val="004878F8"/>
    <w:rsid w:val="0048797A"/>
    <w:rsid w:val="00487D62"/>
    <w:rsid w:val="00487E54"/>
    <w:rsid w:val="00490308"/>
    <w:rsid w:val="00490598"/>
    <w:rsid w:val="00490ABA"/>
    <w:rsid w:val="00490FDE"/>
    <w:rsid w:val="004917A8"/>
    <w:rsid w:val="00491D15"/>
    <w:rsid w:val="00491D81"/>
    <w:rsid w:val="00491FD2"/>
    <w:rsid w:val="00492092"/>
    <w:rsid w:val="00492A4E"/>
    <w:rsid w:val="00492EA6"/>
    <w:rsid w:val="004932AD"/>
    <w:rsid w:val="0049346B"/>
    <w:rsid w:val="00493954"/>
    <w:rsid w:val="00493B5A"/>
    <w:rsid w:val="00493BD0"/>
    <w:rsid w:val="00493D72"/>
    <w:rsid w:val="00493F58"/>
    <w:rsid w:val="00494091"/>
    <w:rsid w:val="00494438"/>
    <w:rsid w:val="0049458A"/>
    <w:rsid w:val="004946C5"/>
    <w:rsid w:val="00494CF8"/>
    <w:rsid w:val="00495002"/>
    <w:rsid w:val="0049529B"/>
    <w:rsid w:val="004963BD"/>
    <w:rsid w:val="00496819"/>
    <w:rsid w:val="00496BF9"/>
    <w:rsid w:val="00496DDB"/>
    <w:rsid w:val="00496FC3"/>
    <w:rsid w:val="0049733C"/>
    <w:rsid w:val="004977E0"/>
    <w:rsid w:val="00497DF4"/>
    <w:rsid w:val="004A01B1"/>
    <w:rsid w:val="004A0509"/>
    <w:rsid w:val="004A0FBB"/>
    <w:rsid w:val="004A10DD"/>
    <w:rsid w:val="004A117A"/>
    <w:rsid w:val="004A12AB"/>
    <w:rsid w:val="004A15DC"/>
    <w:rsid w:val="004A19F5"/>
    <w:rsid w:val="004A1B96"/>
    <w:rsid w:val="004A1C23"/>
    <w:rsid w:val="004A22F8"/>
    <w:rsid w:val="004A2556"/>
    <w:rsid w:val="004A2AAB"/>
    <w:rsid w:val="004A2BA7"/>
    <w:rsid w:val="004A382C"/>
    <w:rsid w:val="004A39D8"/>
    <w:rsid w:val="004A3C4D"/>
    <w:rsid w:val="004A3C70"/>
    <w:rsid w:val="004A44F7"/>
    <w:rsid w:val="004A4830"/>
    <w:rsid w:val="004A48AE"/>
    <w:rsid w:val="004A4904"/>
    <w:rsid w:val="004A4B4C"/>
    <w:rsid w:val="004A5230"/>
    <w:rsid w:val="004A532F"/>
    <w:rsid w:val="004A55C8"/>
    <w:rsid w:val="004A5606"/>
    <w:rsid w:val="004A5F2C"/>
    <w:rsid w:val="004A60E1"/>
    <w:rsid w:val="004A6468"/>
    <w:rsid w:val="004A686D"/>
    <w:rsid w:val="004A6AE9"/>
    <w:rsid w:val="004A6CB9"/>
    <w:rsid w:val="004A6CC4"/>
    <w:rsid w:val="004A6D4E"/>
    <w:rsid w:val="004A798C"/>
    <w:rsid w:val="004A7A54"/>
    <w:rsid w:val="004A7B0A"/>
    <w:rsid w:val="004A7B0B"/>
    <w:rsid w:val="004A7BA6"/>
    <w:rsid w:val="004B08C3"/>
    <w:rsid w:val="004B0A71"/>
    <w:rsid w:val="004B0ECA"/>
    <w:rsid w:val="004B15D8"/>
    <w:rsid w:val="004B1752"/>
    <w:rsid w:val="004B1A85"/>
    <w:rsid w:val="004B1ABA"/>
    <w:rsid w:val="004B1B5A"/>
    <w:rsid w:val="004B2404"/>
    <w:rsid w:val="004B2A4C"/>
    <w:rsid w:val="004B382E"/>
    <w:rsid w:val="004B3BAC"/>
    <w:rsid w:val="004B3E5D"/>
    <w:rsid w:val="004B44EE"/>
    <w:rsid w:val="004B452C"/>
    <w:rsid w:val="004B45EF"/>
    <w:rsid w:val="004B4869"/>
    <w:rsid w:val="004B4C7D"/>
    <w:rsid w:val="004B4D30"/>
    <w:rsid w:val="004B506F"/>
    <w:rsid w:val="004B5458"/>
    <w:rsid w:val="004B54F2"/>
    <w:rsid w:val="004B5619"/>
    <w:rsid w:val="004B568C"/>
    <w:rsid w:val="004B57DA"/>
    <w:rsid w:val="004B5965"/>
    <w:rsid w:val="004B5A0B"/>
    <w:rsid w:val="004B5A4F"/>
    <w:rsid w:val="004B5E25"/>
    <w:rsid w:val="004B5EF7"/>
    <w:rsid w:val="004B609F"/>
    <w:rsid w:val="004B63B0"/>
    <w:rsid w:val="004B6683"/>
    <w:rsid w:val="004B68CB"/>
    <w:rsid w:val="004B6CC0"/>
    <w:rsid w:val="004B70C8"/>
    <w:rsid w:val="004B742B"/>
    <w:rsid w:val="004B779F"/>
    <w:rsid w:val="004B7CB5"/>
    <w:rsid w:val="004B7EB9"/>
    <w:rsid w:val="004B7EDC"/>
    <w:rsid w:val="004C029B"/>
    <w:rsid w:val="004C079C"/>
    <w:rsid w:val="004C07C5"/>
    <w:rsid w:val="004C0A32"/>
    <w:rsid w:val="004C0A6D"/>
    <w:rsid w:val="004C0D38"/>
    <w:rsid w:val="004C0E61"/>
    <w:rsid w:val="004C1090"/>
    <w:rsid w:val="004C1136"/>
    <w:rsid w:val="004C12C8"/>
    <w:rsid w:val="004C139E"/>
    <w:rsid w:val="004C1537"/>
    <w:rsid w:val="004C16B6"/>
    <w:rsid w:val="004C16ED"/>
    <w:rsid w:val="004C1948"/>
    <w:rsid w:val="004C19B1"/>
    <w:rsid w:val="004C1A7E"/>
    <w:rsid w:val="004C23ED"/>
    <w:rsid w:val="004C2491"/>
    <w:rsid w:val="004C2AFD"/>
    <w:rsid w:val="004C32F3"/>
    <w:rsid w:val="004C35C6"/>
    <w:rsid w:val="004C37EE"/>
    <w:rsid w:val="004C3C3F"/>
    <w:rsid w:val="004C4154"/>
    <w:rsid w:val="004C41FD"/>
    <w:rsid w:val="004C4984"/>
    <w:rsid w:val="004C4FC9"/>
    <w:rsid w:val="004C547C"/>
    <w:rsid w:val="004C5F26"/>
    <w:rsid w:val="004C5FE6"/>
    <w:rsid w:val="004C6297"/>
    <w:rsid w:val="004C6DE5"/>
    <w:rsid w:val="004C7450"/>
    <w:rsid w:val="004C77CE"/>
    <w:rsid w:val="004C7BC4"/>
    <w:rsid w:val="004C7ED2"/>
    <w:rsid w:val="004D02E1"/>
    <w:rsid w:val="004D09E1"/>
    <w:rsid w:val="004D0C9F"/>
    <w:rsid w:val="004D0CE0"/>
    <w:rsid w:val="004D0EEA"/>
    <w:rsid w:val="004D0F1C"/>
    <w:rsid w:val="004D17EE"/>
    <w:rsid w:val="004D21D0"/>
    <w:rsid w:val="004D2540"/>
    <w:rsid w:val="004D2A38"/>
    <w:rsid w:val="004D2C03"/>
    <w:rsid w:val="004D2CF9"/>
    <w:rsid w:val="004D2D21"/>
    <w:rsid w:val="004D3240"/>
    <w:rsid w:val="004D381A"/>
    <w:rsid w:val="004D3BC9"/>
    <w:rsid w:val="004D3F6C"/>
    <w:rsid w:val="004D42ED"/>
    <w:rsid w:val="004D43F2"/>
    <w:rsid w:val="004D465D"/>
    <w:rsid w:val="004D4966"/>
    <w:rsid w:val="004D4BF4"/>
    <w:rsid w:val="004D4CC6"/>
    <w:rsid w:val="004D5335"/>
    <w:rsid w:val="004D5393"/>
    <w:rsid w:val="004D552F"/>
    <w:rsid w:val="004D60CE"/>
    <w:rsid w:val="004D6B0A"/>
    <w:rsid w:val="004D6BA2"/>
    <w:rsid w:val="004D6F74"/>
    <w:rsid w:val="004D6FB1"/>
    <w:rsid w:val="004E02E6"/>
    <w:rsid w:val="004E0340"/>
    <w:rsid w:val="004E0649"/>
    <w:rsid w:val="004E06E8"/>
    <w:rsid w:val="004E0AAF"/>
    <w:rsid w:val="004E0C8A"/>
    <w:rsid w:val="004E1079"/>
    <w:rsid w:val="004E1101"/>
    <w:rsid w:val="004E111E"/>
    <w:rsid w:val="004E172D"/>
    <w:rsid w:val="004E1F33"/>
    <w:rsid w:val="004E2046"/>
    <w:rsid w:val="004E20AA"/>
    <w:rsid w:val="004E2554"/>
    <w:rsid w:val="004E285D"/>
    <w:rsid w:val="004E2B6B"/>
    <w:rsid w:val="004E2CE1"/>
    <w:rsid w:val="004E2D7C"/>
    <w:rsid w:val="004E3083"/>
    <w:rsid w:val="004E30BF"/>
    <w:rsid w:val="004E337B"/>
    <w:rsid w:val="004E36C6"/>
    <w:rsid w:val="004E37BD"/>
    <w:rsid w:val="004E38CD"/>
    <w:rsid w:val="004E39DF"/>
    <w:rsid w:val="004E3A27"/>
    <w:rsid w:val="004E3CB3"/>
    <w:rsid w:val="004E3DD5"/>
    <w:rsid w:val="004E3ECA"/>
    <w:rsid w:val="004E3FD8"/>
    <w:rsid w:val="004E41DD"/>
    <w:rsid w:val="004E4264"/>
    <w:rsid w:val="004E44BE"/>
    <w:rsid w:val="004E4511"/>
    <w:rsid w:val="004E4C41"/>
    <w:rsid w:val="004E5317"/>
    <w:rsid w:val="004E5320"/>
    <w:rsid w:val="004E571D"/>
    <w:rsid w:val="004E59D2"/>
    <w:rsid w:val="004E607C"/>
    <w:rsid w:val="004E6586"/>
    <w:rsid w:val="004E6722"/>
    <w:rsid w:val="004E689D"/>
    <w:rsid w:val="004E6FCB"/>
    <w:rsid w:val="004E7054"/>
    <w:rsid w:val="004E71C5"/>
    <w:rsid w:val="004E789C"/>
    <w:rsid w:val="004E796F"/>
    <w:rsid w:val="004E7991"/>
    <w:rsid w:val="004E7FBE"/>
    <w:rsid w:val="004F000A"/>
    <w:rsid w:val="004F03E8"/>
    <w:rsid w:val="004F1882"/>
    <w:rsid w:val="004F192D"/>
    <w:rsid w:val="004F20C6"/>
    <w:rsid w:val="004F21B5"/>
    <w:rsid w:val="004F27A3"/>
    <w:rsid w:val="004F29FC"/>
    <w:rsid w:val="004F2C5B"/>
    <w:rsid w:val="004F2C8B"/>
    <w:rsid w:val="004F2DC8"/>
    <w:rsid w:val="004F2E1F"/>
    <w:rsid w:val="004F2E71"/>
    <w:rsid w:val="004F3293"/>
    <w:rsid w:val="004F391F"/>
    <w:rsid w:val="004F394D"/>
    <w:rsid w:val="004F4138"/>
    <w:rsid w:val="004F4231"/>
    <w:rsid w:val="004F45C4"/>
    <w:rsid w:val="004F4755"/>
    <w:rsid w:val="004F4857"/>
    <w:rsid w:val="004F4DC0"/>
    <w:rsid w:val="004F50DB"/>
    <w:rsid w:val="004F5128"/>
    <w:rsid w:val="004F52AA"/>
    <w:rsid w:val="004F57A1"/>
    <w:rsid w:val="004F5A2F"/>
    <w:rsid w:val="004F5B99"/>
    <w:rsid w:val="004F6221"/>
    <w:rsid w:val="004F627B"/>
    <w:rsid w:val="004F62B3"/>
    <w:rsid w:val="004F6A69"/>
    <w:rsid w:val="004F6DFE"/>
    <w:rsid w:val="004F7173"/>
    <w:rsid w:val="004F7285"/>
    <w:rsid w:val="004F765E"/>
    <w:rsid w:val="004F7CCC"/>
    <w:rsid w:val="0050018F"/>
    <w:rsid w:val="0050029A"/>
    <w:rsid w:val="00500442"/>
    <w:rsid w:val="00500598"/>
    <w:rsid w:val="0050079B"/>
    <w:rsid w:val="005007DD"/>
    <w:rsid w:val="00500D0D"/>
    <w:rsid w:val="00500EDB"/>
    <w:rsid w:val="00500F30"/>
    <w:rsid w:val="00500F6A"/>
    <w:rsid w:val="00501203"/>
    <w:rsid w:val="0050124B"/>
    <w:rsid w:val="005019BC"/>
    <w:rsid w:val="00501BE1"/>
    <w:rsid w:val="00501CF1"/>
    <w:rsid w:val="0050215C"/>
    <w:rsid w:val="005027CA"/>
    <w:rsid w:val="00502933"/>
    <w:rsid w:val="00502EA6"/>
    <w:rsid w:val="0050341E"/>
    <w:rsid w:val="0050351D"/>
    <w:rsid w:val="005038E6"/>
    <w:rsid w:val="00503B3B"/>
    <w:rsid w:val="00503B4F"/>
    <w:rsid w:val="00503E98"/>
    <w:rsid w:val="00504035"/>
    <w:rsid w:val="00504267"/>
    <w:rsid w:val="00504B4C"/>
    <w:rsid w:val="00504BC7"/>
    <w:rsid w:val="00504E13"/>
    <w:rsid w:val="00504F28"/>
    <w:rsid w:val="00505967"/>
    <w:rsid w:val="00505AAE"/>
    <w:rsid w:val="00505ABD"/>
    <w:rsid w:val="00505DD8"/>
    <w:rsid w:val="00506904"/>
    <w:rsid w:val="00506A3B"/>
    <w:rsid w:val="00506C16"/>
    <w:rsid w:val="00507383"/>
    <w:rsid w:val="00507487"/>
    <w:rsid w:val="00507D59"/>
    <w:rsid w:val="00507E5D"/>
    <w:rsid w:val="00507F40"/>
    <w:rsid w:val="00507F90"/>
    <w:rsid w:val="00507FC4"/>
    <w:rsid w:val="00510785"/>
    <w:rsid w:val="005107A0"/>
    <w:rsid w:val="00510CA0"/>
    <w:rsid w:val="00510DE2"/>
    <w:rsid w:val="00510F8C"/>
    <w:rsid w:val="00511875"/>
    <w:rsid w:val="00512579"/>
    <w:rsid w:val="00512BB0"/>
    <w:rsid w:val="00512D90"/>
    <w:rsid w:val="00512E8E"/>
    <w:rsid w:val="00512F1F"/>
    <w:rsid w:val="005130D6"/>
    <w:rsid w:val="00513246"/>
    <w:rsid w:val="005139E6"/>
    <w:rsid w:val="005144BB"/>
    <w:rsid w:val="00514BEC"/>
    <w:rsid w:val="005153C6"/>
    <w:rsid w:val="00515E88"/>
    <w:rsid w:val="005167DC"/>
    <w:rsid w:val="005167DE"/>
    <w:rsid w:val="00516A09"/>
    <w:rsid w:val="00516B1D"/>
    <w:rsid w:val="00516C72"/>
    <w:rsid w:val="00516EAC"/>
    <w:rsid w:val="00516EC7"/>
    <w:rsid w:val="005170A9"/>
    <w:rsid w:val="00517165"/>
    <w:rsid w:val="0051754F"/>
    <w:rsid w:val="00517685"/>
    <w:rsid w:val="0051786A"/>
    <w:rsid w:val="005179B0"/>
    <w:rsid w:val="00517BF1"/>
    <w:rsid w:val="00517C87"/>
    <w:rsid w:val="00517D26"/>
    <w:rsid w:val="00517DDE"/>
    <w:rsid w:val="0052029C"/>
    <w:rsid w:val="00520400"/>
    <w:rsid w:val="0052046A"/>
    <w:rsid w:val="00520629"/>
    <w:rsid w:val="005206A4"/>
    <w:rsid w:val="0052079E"/>
    <w:rsid w:val="00520836"/>
    <w:rsid w:val="00520A7B"/>
    <w:rsid w:val="0052116F"/>
    <w:rsid w:val="005212E4"/>
    <w:rsid w:val="005216A4"/>
    <w:rsid w:val="00521D77"/>
    <w:rsid w:val="005227C1"/>
    <w:rsid w:val="00522A0E"/>
    <w:rsid w:val="00522A9A"/>
    <w:rsid w:val="00522DEA"/>
    <w:rsid w:val="00523290"/>
    <w:rsid w:val="00523579"/>
    <w:rsid w:val="005236D9"/>
    <w:rsid w:val="00524040"/>
    <w:rsid w:val="005241A2"/>
    <w:rsid w:val="005241DD"/>
    <w:rsid w:val="005244C6"/>
    <w:rsid w:val="005245B7"/>
    <w:rsid w:val="0052465A"/>
    <w:rsid w:val="00524720"/>
    <w:rsid w:val="005248F8"/>
    <w:rsid w:val="005253B3"/>
    <w:rsid w:val="00525883"/>
    <w:rsid w:val="00525DB0"/>
    <w:rsid w:val="00525F66"/>
    <w:rsid w:val="0052622F"/>
    <w:rsid w:val="0052645D"/>
    <w:rsid w:val="00526F42"/>
    <w:rsid w:val="005270FD"/>
    <w:rsid w:val="00527EE2"/>
    <w:rsid w:val="00530148"/>
    <w:rsid w:val="00530245"/>
    <w:rsid w:val="005303A3"/>
    <w:rsid w:val="0053044E"/>
    <w:rsid w:val="005305AB"/>
    <w:rsid w:val="00530F04"/>
    <w:rsid w:val="00530F73"/>
    <w:rsid w:val="005313C0"/>
    <w:rsid w:val="0053165F"/>
    <w:rsid w:val="00531776"/>
    <w:rsid w:val="005319E8"/>
    <w:rsid w:val="00531C43"/>
    <w:rsid w:val="00531E04"/>
    <w:rsid w:val="00531E79"/>
    <w:rsid w:val="00532308"/>
    <w:rsid w:val="0053230B"/>
    <w:rsid w:val="00532433"/>
    <w:rsid w:val="005325BA"/>
    <w:rsid w:val="0053286D"/>
    <w:rsid w:val="005328B9"/>
    <w:rsid w:val="00532B6C"/>
    <w:rsid w:val="00532F4B"/>
    <w:rsid w:val="005333D7"/>
    <w:rsid w:val="005335B3"/>
    <w:rsid w:val="005337AC"/>
    <w:rsid w:val="00533B0E"/>
    <w:rsid w:val="00533BEE"/>
    <w:rsid w:val="00533D41"/>
    <w:rsid w:val="00533D50"/>
    <w:rsid w:val="00533D62"/>
    <w:rsid w:val="00533E44"/>
    <w:rsid w:val="005342E2"/>
    <w:rsid w:val="0053476B"/>
    <w:rsid w:val="00534921"/>
    <w:rsid w:val="005353FC"/>
    <w:rsid w:val="0053550E"/>
    <w:rsid w:val="0053598F"/>
    <w:rsid w:val="005359F8"/>
    <w:rsid w:val="00535BBC"/>
    <w:rsid w:val="00535C84"/>
    <w:rsid w:val="005361A5"/>
    <w:rsid w:val="0053627D"/>
    <w:rsid w:val="00536325"/>
    <w:rsid w:val="005367CA"/>
    <w:rsid w:val="005368CB"/>
    <w:rsid w:val="00536DAB"/>
    <w:rsid w:val="00537043"/>
    <w:rsid w:val="005374CE"/>
    <w:rsid w:val="00537828"/>
    <w:rsid w:val="005379DB"/>
    <w:rsid w:val="00537B69"/>
    <w:rsid w:val="005406D1"/>
    <w:rsid w:val="00540752"/>
    <w:rsid w:val="005408CD"/>
    <w:rsid w:val="00540DF6"/>
    <w:rsid w:val="005416EE"/>
    <w:rsid w:val="00541D4A"/>
    <w:rsid w:val="00542456"/>
    <w:rsid w:val="0054264E"/>
    <w:rsid w:val="005428F6"/>
    <w:rsid w:val="00542914"/>
    <w:rsid w:val="00542BA1"/>
    <w:rsid w:val="00542D5F"/>
    <w:rsid w:val="00542F87"/>
    <w:rsid w:val="005431B7"/>
    <w:rsid w:val="0054337B"/>
    <w:rsid w:val="005435B4"/>
    <w:rsid w:val="0054380C"/>
    <w:rsid w:val="0054385E"/>
    <w:rsid w:val="005443EF"/>
    <w:rsid w:val="00544619"/>
    <w:rsid w:val="00544712"/>
    <w:rsid w:val="00544B49"/>
    <w:rsid w:val="00544CBE"/>
    <w:rsid w:val="0054570D"/>
    <w:rsid w:val="00545ACA"/>
    <w:rsid w:val="00545C11"/>
    <w:rsid w:val="0054605C"/>
    <w:rsid w:val="0054609A"/>
    <w:rsid w:val="00546AB0"/>
    <w:rsid w:val="00546F7C"/>
    <w:rsid w:val="0054756C"/>
    <w:rsid w:val="005478FC"/>
    <w:rsid w:val="0054C776"/>
    <w:rsid w:val="00550094"/>
    <w:rsid w:val="00550234"/>
    <w:rsid w:val="005508C2"/>
    <w:rsid w:val="00550BC2"/>
    <w:rsid w:val="00550F54"/>
    <w:rsid w:val="00551111"/>
    <w:rsid w:val="005519F8"/>
    <w:rsid w:val="00551CD0"/>
    <w:rsid w:val="0055216E"/>
    <w:rsid w:val="0055246F"/>
    <w:rsid w:val="00552727"/>
    <w:rsid w:val="00552A33"/>
    <w:rsid w:val="00552A95"/>
    <w:rsid w:val="00552F39"/>
    <w:rsid w:val="005531C8"/>
    <w:rsid w:val="005532BC"/>
    <w:rsid w:val="00553E16"/>
    <w:rsid w:val="00553E7C"/>
    <w:rsid w:val="005544FC"/>
    <w:rsid w:val="00554720"/>
    <w:rsid w:val="0055474C"/>
    <w:rsid w:val="00554768"/>
    <w:rsid w:val="00554FBD"/>
    <w:rsid w:val="00555325"/>
    <w:rsid w:val="00555565"/>
    <w:rsid w:val="0055570C"/>
    <w:rsid w:val="005557E3"/>
    <w:rsid w:val="00555B7E"/>
    <w:rsid w:val="00555C92"/>
    <w:rsid w:val="00556957"/>
    <w:rsid w:val="00556C38"/>
    <w:rsid w:val="00556EA8"/>
    <w:rsid w:val="00557237"/>
    <w:rsid w:val="00557322"/>
    <w:rsid w:val="005579E7"/>
    <w:rsid w:val="00557DF2"/>
    <w:rsid w:val="00557FD0"/>
    <w:rsid w:val="0056016B"/>
    <w:rsid w:val="005602EA"/>
    <w:rsid w:val="00560434"/>
    <w:rsid w:val="00560F04"/>
    <w:rsid w:val="005614CB"/>
    <w:rsid w:val="00561C70"/>
    <w:rsid w:val="00561D46"/>
    <w:rsid w:val="0056207F"/>
    <w:rsid w:val="005621A4"/>
    <w:rsid w:val="00562615"/>
    <w:rsid w:val="005626DD"/>
    <w:rsid w:val="00562B99"/>
    <w:rsid w:val="005636F6"/>
    <w:rsid w:val="00563830"/>
    <w:rsid w:val="005640DC"/>
    <w:rsid w:val="0056419F"/>
    <w:rsid w:val="00564A79"/>
    <w:rsid w:val="00565046"/>
    <w:rsid w:val="005650BD"/>
    <w:rsid w:val="005651AE"/>
    <w:rsid w:val="0056561F"/>
    <w:rsid w:val="00565FDC"/>
    <w:rsid w:val="00565FFC"/>
    <w:rsid w:val="005664CE"/>
    <w:rsid w:val="005668F1"/>
    <w:rsid w:val="00566921"/>
    <w:rsid w:val="00566AE1"/>
    <w:rsid w:val="005672E5"/>
    <w:rsid w:val="005673E4"/>
    <w:rsid w:val="005677DF"/>
    <w:rsid w:val="005679DC"/>
    <w:rsid w:val="00567C79"/>
    <w:rsid w:val="0057011E"/>
    <w:rsid w:val="00570293"/>
    <w:rsid w:val="005708CC"/>
    <w:rsid w:val="00570C61"/>
    <w:rsid w:val="00570E36"/>
    <w:rsid w:val="00571181"/>
    <w:rsid w:val="0057125A"/>
    <w:rsid w:val="0057126C"/>
    <w:rsid w:val="005715C2"/>
    <w:rsid w:val="0057172B"/>
    <w:rsid w:val="005717A5"/>
    <w:rsid w:val="00571806"/>
    <w:rsid w:val="0057185E"/>
    <w:rsid w:val="0057234C"/>
    <w:rsid w:val="0057302A"/>
    <w:rsid w:val="005730C2"/>
    <w:rsid w:val="00573317"/>
    <w:rsid w:val="0057336E"/>
    <w:rsid w:val="00573554"/>
    <w:rsid w:val="0057369D"/>
    <w:rsid w:val="00574791"/>
    <w:rsid w:val="005749B2"/>
    <w:rsid w:val="00574A0D"/>
    <w:rsid w:val="00574C56"/>
    <w:rsid w:val="00574CC5"/>
    <w:rsid w:val="00574EFC"/>
    <w:rsid w:val="0057526F"/>
    <w:rsid w:val="005759D3"/>
    <w:rsid w:val="0057607B"/>
    <w:rsid w:val="00576721"/>
    <w:rsid w:val="0057677E"/>
    <w:rsid w:val="0057688A"/>
    <w:rsid w:val="005769CE"/>
    <w:rsid w:val="00576B5A"/>
    <w:rsid w:val="00577458"/>
    <w:rsid w:val="00577600"/>
    <w:rsid w:val="00577A81"/>
    <w:rsid w:val="00577FAC"/>
    <w:rsid w:val="0058101D"/>
    <w:rsid w:val="00581105"/>
    <w:rsid w:val="0058115C"/>
    <w:rsid w:val="005813F9"/>
    <w:rsid w:val="00581506"/>
    <w:rsid w:val="00581724"/>
    <w:rsid w:val="0058199A"/>
    <w:rsid w:val="005819E2"/>
    <w:rsid w:val="00581B58"/>
    <w:rsid w:val="00581C91"/>
    <w:rsid w:val="00581E55"/>
    <w:rsid w:val="0058232F"/>
    <w:rsid w:val="00582B28"/>
    <w:rsid w:val="0058301B"/>
    <w:rsid w:val="005833A7"/>
    <w:rsid w:val="00583923"/>
    <w:rsid w:val="00583B32"/>
    <w:rsid w:val="00584B0B"/>
    <w:rsid w:val="00584EA1"/>
    <w:rsid w:val="00584FC5"/>
    <w:rsid w:val="00585047"/>
    <w:rsid w:val="00585964"/>
    <w:rsid w:val="00585AFA"/>
    <w:rsid w:val="00585CA2"/>
    <w:rsid w:val="00586931"/>
    <w:rsid w:val="00587467"/>
    <w:rsid w:val="005874CA"/>
    <w:rsid w:val="005879B8"/>
    <w:rsid w:val="00587AC0"/>
    <w:rsid w:val="00590292"/>
    <w:rsid w:val="00590594"/>
    <w:rsid w:val="00590B76"/>
    <w:rsid w:val="00590F5B"/>
    <w:rsid w:val="0059146D"/>
    <w:rsid w:val="005914A8"/>
    <w:rsid w:val="0059179D"/>
    <w:rsid w:val="005918DA"/>
    <w:rsid w:val="00591A57"/>
    <w:rsid w:val="005924E7"/>
    <w:rsid w:val="0059263A"/>
    <w:rsid w:val="00592778"/>
    <w:rsid w:val="005927E1"/>
    <w:rsid w:val="005929F1"/>
    <w:rsid w:val="00593206"/>
    <w:rsid w:val="0059354C"/>
    <w:rsid w:val="00593A0B"/>
    <w:rsid w:val="0059413A"/>
    <w:rsid w:val="005943E3"/>
    <w:rsid w:val="005945AB"/>
    <w:rsid w:val="0059477F"/>
    <w:rsid w:val="005948F0"/>
    <w:rsid w:val="00594917"/>
    <w:rsid w:val="00594AC6"/>
    <w:rsid w:val="00594E8E"/>
    <w:rsid w:val="0059525D"/>
    <w:rsid w:val="0059538A"/>
    <w:rsid w:val="005956D6"/>
    <w:rsid w:val="0059578D"/>
    <w:rsid w:val="00595C87"/>
    <w:rsid w:val="00595FF9"/>
    <w:rsid w:val="00596785"/>
    <w:rsid w:val="00596FFE"/>
    <w:rsid w:val="005970FD"/>
    <w:rsid w:val="005978A9"/>
    <w:rsid w:val="00597E3B"/>
    <w:rsid w:val="00597F94"/>
    <w:rsid w:val="00597FA1"/>
    <w:rsid w:val="005A0418"/>
    <w:rsid w:val="005A0688"/>
    <w:rsid w:val="005A06D1"/>
    <w:rsid w:val="005A081D"/>
    <w:rsid w:val="005A0879"/>
    <w:rsid w:val="005A08F6"/>
    <w:rsid w:val="005A0E08"/>
    <w:rsid w:val="005A10FA"/>
    <w:rsid w:val="005A115C"/>
    <w:rsid w:val="005A13E2"/>
    <w:rsid w:val="005A161E"/>
    <w:rsid w:val="005A181E"/>
    <w:rsid w:val="005A18B6"/>
    <w:rsid w:val="005A19A8"/>
    <w:rsid w:val="005A1E0E"/>
    <w:rsid w:val="005A21A8"/>
    <w:rsid w:val="005A2499"/>
    <w:rsid w:val="005A2A79"/>
    <w:rsid w:val="005A2BA7"/>
    <w:rsid w:val="005A2C75"/>
    <w:rsid w:val="005A3340"/>
    <w:rsid w:val="005A379D"/>
    <w:rsid w:val="005A3986"/>
    <w:rsid w:val="005A4E50"/>
    <w:rsid w:val="005A5B1D"/>
    <w:rsid w:val="005A5CA5"/>
    <w:rsid w:val="005A61E3"/>
    <w:rsid w:val="005A652E"/>
    <w:rsid w:val="005A6874"/>
    <w:rsid w:val="005A694C"/>
    <w:rsid w:val="005A69DC"/>
    <w:rsid w:val="005A6A36"/>
    <w:rsid w:val="005A6B12"/>
    <w:rsid w:val="005A729A"/>
    <w:rsid w:val="005A73B3"/>
    <w:rsid w:val="005A74B5"/>
    <w:rsid w:val="005A77C3"/>
    <w:rsid w:val="005A78AC"/>
    <w:rsid w:val="005A7977"/>
    <w:rsid w:val="005A7BC6"/>
    <w:rsid w:val="005A7E64"/>
    <w:rsid w:val="005AB887"/>
    <w:rsid w:val="005B0226"/>
    <w:rsid w:val="005B0455"/>
    <w:rsid w:val="005B04F6"/>
    <w:rsid w:val="005B0856"/>
    <w:rsid w:val="005B0FDA"/>
    <w:rsid w:val="005B102F"/>
    <w:rsid w:val="005B179B"/>
    <w:rsid w:val="005B1A15"/>
    <w:rsid w:val="005B2067"/>
    <w:rsid w:val="005B22B3"/>
    <w:rsid w:val="005B254F"/>
    <w:rsid w:val="005B2AB6"/>
    <w:rsid w:val="005B2C51"/>
    <w:rsid w:val="005B2EA1"/>
    <w:rsid w:val="005B2FEC"/>
    <w:rsid w:val="005B313B"/>
    <w:rsid w:val="005B35BB"/>
    <w:rsid w:val="005B376D"/>
    <w:rsid w:val="005B3FD5"/>
    <w:rsid w:val="005B42F1"/>
    <w:rsid w:val="005B4899"/>
    <w:rsid w:val="005B4C6F"/>
    <w:rsid w:val="005B4CE3"/>
    <w:rsid w:val="005B53FC"/>
    <w:rsid w:val="005B5A7C"/>
    <w:rsid w:val="005B651E"/>
    <w:rsid w:val="005B6667"/>
    <w:rsid w:val="005B6BDD"/>
    <w:rsid w:val="005B6C61"/>
    <w:rsid w:val="005B6CE2"/>
    <w:rsid w:val="005B72F5"/>
    <w:rsid w:val="005B7CA1"/>
    <w:rsid w:val="005C09DD"/>
    <w:rsid w:val="005C0AFC"/>
    <w:rsid w:val="005C0B93"/>
    <w:rsid w:val="005C0CCB"/>
    <w:rsid w:val="005C165D"/>
    <w:rsid w:val="005C1A1A"/>
    <w:rsid w:val="005C1F34"/>
    <w:rsid w:val="005C208F"/>
    <w:rsid w:val="005C30C9"/>
    <w:rsid w:val="005C3148"/>
    <w:rsid w:val="005C321A"/>
    <w:rsid w:val="005C3442"/>
    <w:rsid w:val="005C344E"/>
    <w:rsid w:val="005C376C"/>
    <w:rsid w:val="005C3FA3"/>
    <w:rsid w:val="005C41E6"/>
    <w:rsid w:val="005C43AD"/>
    <w:rsid w:val="005C45CB"/>
    <w:rsid w:val="005C4F98"/>
    <w:rsid w:val="005C58DB"/>
    <w:rsid w:val="005C5A27"/>
    <w:rsid w:val="005C5B19"/>
    <w:rsid w:val="005C5BD7"/>
    <w:rsid w:val="005C5C98"/>
    <w:rsid w:val="005C5F50"/>
    <w:rsid w:val="005C6422"/>
    <w:rsid w:val="005C64C9"/>
    <w:rsid w:val="005C64CC"/>
    <w:rsid w:val="005C651E"/>
    <w:rsid w:val="005C66BA"/>
    <w:rsid w:val="005C6F8A"/>
    <w:rsid w:val="005C717B"/>
    <w:rsid w:val="005C7269"/>
    <w:rsid w:val="005C7520"/>
    <w:rsid w:val="005C77A9"/>
    <w:rsid w:val="005C7E0B"/>
    <w:rsid w:val="005C7F14"/>
    <w:rsid w:val="005D0884"/>
    <w:rsid w:val="005D0BD7"/>
    <w:rsid w:val="005D0DCA"/>
    <w:rsid w:val="005D0EC0"/>
    <w:rsid w:val="005D0F62"/>
    <w:rsid w:val="005D1439"/>
    <w:rsid w:val="005D1B81"/>
    <w:rsid w:val="005D1D00"/>
    <w:rsid w:val="005D1F46"/>
    <w:rsid w:val="005D1F87"/>
    <w:rsid w:val="005D2375"/>
    <w:rsid w:val="005D2503"/>
    <w:rsid w:val="005D2C1C"/>
    <w:rsid w:val="005D30C6"/>
    <w:rsid w:val="005D31C9"/>
    <w:rsid w:val="005D31F2"/>
    <w:rsid w:val="005D3742"/>
    <w:rsid w:val="005D3885"/>
    <w:rsid w:val="005D390B"/>
    <w:rsid w:val="005D3C33"/>
    <w:rsid w:val="005D4391"/>
    <w:rsid w:val="005D4856"/>
    <w:rsid w:val="005D4AF4"/>
    <w:rsid w:val="005D4EE4"/>
    <w:rsid w:val="005D5225"/>
    <w:rsid w:val="005D5C33"/>
    <w:rsid w:val="005D5ED9"/>
    <w:rsid w:val="005D6557"/>
    <w:rsid w:val="005D66F5"/>
    <w:rsid w:val="005D7032"/>
    <w:rsid w:val="005D716C"/>
    <w:rsid w:val="005D7456"/>
    <w:rsid w:val="005D7550"/>
    <w:rsid w:val="005D7567"/>
    <w:rsid w:val="005D760A"/>
    <w:rsid w:val="005E0290"/>
    <w:rsid w:val="005E09BB"/>
    <w:rsid w:val="005E136A"/>
    <w:rsid w:val="005E154E"/>
    <w:rsid w:val="005E17B1"/>
    <w:rsid w:val="005E25EE"/>
    <w:rsid w:val="005E28EF"/>
    <w:rsid w:val="005E2CB0"/>
    <w:rsid w:val="005E2D15"/>
    <w:rsid w:val="005E2F08"/>
    <w:rsid w:val="005E3A48"/>
    <w:rsid w:val="005E3ECD"/>
    <w:rsid w:val="005E451A"/>
    <w:rsid w:val="005E47B5"/>
    <w:rsid w:val="005E49D6"/>
    <w:rsid w:val="005E4C58"/>
    <w:rsid w:val="005E5479"/>
    <w:rsid w:val="005E5880"/>
    <w:rsid w:val="005E6592"/>
    <w:rsid w:val="005E69DF"/>
    <w:rsid w:val="005E70EF"/>
    <w:rsid w:val="005E725A"/>
    <w:rsid w:val="005E7324"/>
    <w:rsid w:val="005E764F"/>
    <w:rsid w:val="005E77F2"/>
    <w:rsid w:val="005E7AB2"/>
    <w:rsid w:val="005E7C85"/>
    <w:rsid w:val="005E7D0D"/>
    <w:rsid w:val="005E7EAD"/>
    <w:rsid w:val="005E7F1A"/>
    <w:rsid w:val="005F0220"/>
    <w:rsid w:val="005F093D"/>
    <w:rsid w:val="005F0A0B"/>
    <w:rsid w:val="005F0DF0"/>
    <w:rsid w:val="005F107C"/>
    <w:rsid w:val="005F1148"/>
    <w:rsid w:val="005F1471"/>
    <w:rsid w:val="005F15BB"/>
    <w:rsid w:val="005F1663"/>
    <w:rsid w:val="005F172B"/>
    <w:rsid w:val="005F19A3"/>
    <w:rsid w:val="005F1F16"/>
    <w:rsid w:val="005F229F"/>
    <w:rsid w:val="005F23C8"/>
    <w:rsid w:val="005F244D"/>
    <w:rsid w:val="005F26B6"/>
    <w:rsid w:val="005F2A13"/>
    <w:rsid w:val="005F2DB6"/>
    <w:rsid w:val="005F313A"/>
    <w:rsid w:val="005F321C"/>
    <w:rsid w:val="005F3254"/>
    <w:rsid w:val="005F32A4"/>
    <w:rsid w:val="005F3532"/>
    <w:rsid w:val="005F35F4"/>
    <w:rsid w:val="005F3766"/>
    <w:rsid w:val="005F3A12"/>
    <w:rsid w:val="005F3BCF"/>
    <w:rsid w:val="005F3D50"/>
    <w:rsid w:val="005F4073"/>
    <w:rsid w:val="005F40C6"/>
    <w:rsid w:val="005F4579"/>
    <w:rsid w:val="005F488C"/>
    <w:rsid w:val="005F48ED"/>
    <w:rsid w:val="005F4F39"/>
    <w:rsid w:val="005F535D"/>
    <w:rsid w:val="005F54B2"/>
    <w:rsid w:val="005F588D"/>
    <w:rsid w:val="005F5B5E"/>
    <w:rsid w:val="005F5C58"/>
    <w:rsid w:val="005F5D94"/>
    <w:rsid w:val="005F60BE"/>
    <w:rsid w:val="005F612F"/>
    <w:rsid w:val="005F63AE"/>
    <w:rsid w:val="005F63EB"/>
    <w:rsid w:val="005F64C0"/>
    <w:rsid w:val="005F6D6B"/>
    <w:rsid w:val="005F6E2D"/>
    <w:rsid w:val="005F6EF6"/>
    <w:rsid w:val="005F728B"/>
    <w:rsid w:val="005F76FB"/>
    <w:rsid w:val="005F7E1C"/>
    <w:rsid w:val="00600192"/>
    <w:rsid w:val="0060041D"/>
    <w:rsid w:val="006007B1"/>
    <w:rsid w:val="0060147F"/>
    <w:rsid w:val="006017D1"/>
    <w:rsid w:val="00601CE2"/>
    <w:rsid w:val="00601E06"/>
    <w:rsid w:val="00601E48"/>
    <w:rsid w:val="006020CC"/>
    <w:rsid w:val="00602621"/>
    <w:rsid w:val="00602E66"/>
    <w:rsid w:val="00603228"/>
    <w:rsid w:val="006032DB"/>
    <w:rsid w:val="0060356E"/>
    <w:rsid w:val="00603664"/>
    <w:rsid w:val="00603818"/>
    <w:rsid w:val="00604DD9"/>
    <w:rsid w:val="00604E91"/>
    <w:rsid w:val="0060507F"/>
    <w:rsid w:val="0060528B"/>
    <w:rsid w:val="0060613D"/>
    <w:rsid w:val="006061A6"/>
    <w:rsid w:val="006061E8"/>
    <w:rsid w:val="006062C5"/>
    <w:rsid w:val="00606A65"/>
    <w:rsid w:val="00606CB3"/>
    <w:rsid w:val="00606E81"/>
    <w:rsid w:val="00607D5D"/>
    <w:rsid w:val="00609785"/>
    <w:rsid w:val="0061057C"/>
    <w:rsid w:val="00610662"/>
    <w:rsid w:val="00610828"/>
    <w:rsid w:val="00610D4F"/>
    <w:rsid w:val="00610D5A"/>
    <w:rsid w:val="006111E0"/>
    <w:rsid w:val="0061146D"/>
    <w:rsid w:val="006114D5"/>
    <w:rsid w:val="00611579"/>
    <w:rsid w:val="0061179A"/>
    <w:rsid w:val="00611901"/>
    <w:rsid w:val="0061196F"/>
    <w:rsid w:val="00611A81"/>
    <w:rsid w:val="00611B7D"/>
    <w:rsid w:val="00611E6A"/>
    <w:rsid w:val="0061219A"/>
    <w:rsid w:val="006122D1"/>
    <w:rsid w:val="00612545"/>
    <w:rsid w:val="00612EE5"/>
    <w:rsid w:val="00613136"/>
    <w:rsid w:val="00613142"/>
    <w:rsid w:val="0061317C"/>
    <w:rsid w:val="0061328C"/>
    <w:rsid w:val="00613412"/>
    <w:rsid w:val="006138A4"/>
    <w:rsid w:val="006139F6"/>
    <w:rsid w:val="00613FC8"/>
    <w:rsid w:val="0061423E"/>
    <w:rsid w:val="006146F7"/>
    <w:rsid w:val="00614935"/>
    <w:rsid w:val="00614B20"/>
    <w:rsid w:val="00614EF9"/>
    <w:rsid w:val="00615040"/>
    <w:rsid w:val="006159B7"/>
    <w:rsid w:val="00615A99"/>
    <w:rsid w:val="00615D7F"/>
    <w:rsid w:val="00615FA7"/>
    <w:rsid w:val="0061626D"/>
    <w:rsid w:val="006175CD"/>
    <w:rsid w:val="006176BE"/>
    <w:rsid w:val="00617D5E"/>
    <w:rsid w:val="00617E21"/>
    <w:rsid w:val="0061ADBF"/>
    <w:rsid w:val="00620543"/>
    <w:rsid w:val="0062056D"/>
    <w:rsid w:val="006205B7"/>
    <w:rsid w:val="006206C7"/>
    <w:rsid w:val="00620A07"/>
    <w:rsid w:val="00620E54"/>
    <w:rsid w:val="0062112B"/>
    <w:rsid w:val="006212AD"/>
    <w:rsid w:val="006219C4"/>
    <w:rsid w:val="00621B2B"/>
    <w:rsid w:val="00621DFD"/>
    <w:rsid w:val="00621ECB"/>
    <w:rsid w:val="00622118"/>
    <w:rsid w:val="0062220B"/>
    <w:rsid w:val="0062225E"/>
    <w:rsid w:val="00622511"/>
    <w:rsid w:val="006228CD"/>
    <w:rsid w:val="00622A87"/>
    <w:rsid w:val="00622C44"/>
    <w:rsid w:val="00622C81"/>
    <w:rsid w:val="00622C8A"/>
    <w:rsid w:val="00622E9C"/>
    <w:rsid w:val="006236E3"/>
    <w:rsid w:val="0062387A"/>
    <w:rsid w:val="00623E23"/>
    <w:rsid w:val="006246D1"/>
    <w:rsid w:val="00624911"/>
    <w:rsid w:val="0062492F"/>
    <w:rsid w:val="0062506C"/>
    <w:rsid w:val="006255C1"/>
    <w:rsid w:val="0062560D"/>
    <w:rsid w:val="00625AF6"/>
    <w:rsid w:val="0062625B"/>
    <w:rsid w:val="0062684F"/>
    <w:rsid w:val="006269EB"/>
    <w:rsid w:val="00626B9C"/>
    <w:rsid w:val="00626FEC"/>
    <w:rsid w:val="006276F0"/>
    <w:rsid w:val="00627811"/>
    <w:rsid w:val="00627BBB"/>
    <w:rsid w:val="00627C30"/>
    <w:rsid w:val="0063055F"/>
    <w:rsid w:val="00630618"/>
    <w:rsid w:val="00630680"/>
    <w:rsid w:val="00630965"/>
    <w:rsid w:val="00630D4F"/>
    <w:rsid w:val="006312C2"/>
    <w:rsid w:val="00631361"/>
    <w:rsid w:val="00631E93"/>
    <w:rsid w:val="0063226C"/>
    <w:rsid w:val="0063238F"/>
    <w:rsid w:val="0063257F"/>
    <w:rsid w:val="00632623"/>
    <w:rsid w:val="00632A02"/>
    <w:rsid w:val="00632B79"/>
    <w:rsid w:val="00632CAE"/>
    <w:rsid w:val="00633015"/>
    <w:rsid w:val="006334CF"/>
    <w:rsid w:val="0063367F"/>
    <w:rsid w:val="006341CB"/>
    <w:rsid w:val="006346B1"/>
    <w:rsid w:val="00634C11"/>
    <w:rsid w:val="0063558E"/>
    <w:rsid w:val="00635CC6"/>
    <w:rsid w:val="00635D16"/>
    <w:rsid w:val="00635D99"/>
    <w:rsid w:val="006363DD"/>
    <w:rsid w:val="00636780"/>
    <w:rsid w:val="00637069"/>
    <w:rsid w:val="0063753A"/>
    <w:rsid w:val="00637D9E"/>
    <w:rsid w:val="00637F14"/>
    <w:rsid w:val="00640358"/>
    <w:rsid w:val="00640672"/>
    <w:rsid w:val="00640AD4"/>
    <w:rsid w:val="00640BC5"/>
    <w:rsid w:val="0064144A"/>
    <w:rsid w:val="0064168C"/>
    <w:rsid w:val="00641703"/>
    <w:rsid w:val="00641706"/>
    <w:rsid w:val="00641947"/>
    <w:rsid w:val="00641CE6"/>
    <w:rsid w:val="006421C5"/>
    <w:rsid w:val="006421FF"/>
    <w:rsid w:val="0064246C"/>
    <w:rsid w:val="0064261F"/>
    <w:rsid w:val="00642650"/>
    <w:rsid w:val="0064295E"/>
    <w:rsid w:val="00642B37"/>
    <w:rsid w:val="006430E6"/>
    <w:rsid w:val="00643462"/>
    <w:rsid w:val="00643630"/>
    <w:rsid w:val="006436FF"/>
    <w:rsid w:val="006437C3"/>
    <w:rsid w:val="00643A76"/>
    <w:rsid w:val="00644670"/>
    <w:rsid w:val="00644696"/>
    <w:rsid w:val="0064493E"/>
    <w:rsid w:val="00644DE8"/>
    <w:rsid w:val="0064510E"/>
    <w:rsid w:val="00645BE2"/>
    <w:rsid w:val="00645CFA"/>
    <w:rsid w:val="006470FC"/>
    <w:rsid w:val="00647469"/>
    <w:rsid w:val="006478E3"/>
    <w:rsid w:val="0064798A"/>
    <w:rsid w:val="00647A50"/>
    <w:rsid w:val="00650004"/>
    <w:rsid w:val="00650095"/>
    <w:rsid w:val="006502AF"/>
    <w:rsid w:val="006503BE"/>
    <w:rsid w:val="0065041A"/>
    <w:rsid w:val="00650C57"/>
    <w:rsid w:val="00650F3C"/>
    <w:rsid w:val="0065120F"/>
    <w:rsid w:val="0065129D"/>
    <w:rsid w:val="006512B6"/>
    <w:rsid w:val="00651A1B"/>
    <w:rsid w:val="00651DC0"/>
    <w:rsid w:val="0065255E"/>
    <w:rsid w:val="006525F6"/>
    <w:rsid w:val="0065297A"/>
    <w:rsid w:val="00652A91"/>
    <w:rsid w:val="00652E2B"/>
    <w:rsid w:val="00653120"/>
    <w:rsid w:val="00653397"/>
    <w:rsid w:val="006538B8"/>
    <w:rsid w:val="006542F4"/>
    <w:rsid w:val="0065494A"/>
    <w:rsid w:val="006549EF"/>
    <w:rsid w:val="00654A08"/>
    <w:rsid w:val="00654AFF"/>
    <w:rsid w:val="00654C9B"/>
    <w:rsid w:val="00654FB7"/>
    <w:rsid w:val="00655207"/>
    <w:rsid w:val="00655BCE"/>
    <w:rsid w:val="00656027"/>
    <w:rsid w:val="00656149"/>
    <w:rsid w:val="00656F37"/>
    <w:rsid w:val="00657A2E"/>
    <w:rsid w:val="00657C93"/>
    <w:rsid w:val="006605A4"/>
    <w:rsid w:val="00660A4F"/>
    <w:rsid w:val="00660B63"/>
    <w:rsid w:val="00660C4A"/>
    <w:rsid w:val="00660F17"/>
    <w:rsid w:val="0066120C"/>
    <w:rsid w:val="006627A0"/>
    <w:rsid w:val="0066338C"/>
    <w:rsid w:val="006635DD"/>
    <w:rsid w:val="0066367F"/>
    <w:rsid w:val="006636CD"/>
    <w:rsid w:val="0066382C"/>
    <w:rsid w:val="00663E77"/>
    <w:rsid w:val="006644D7"/>
    <w:rsid w:val="00664D0F"/>
    <w:rsid w:val="00664D3D"/>
    <w:rsid w:val="00664D87"/>
    <w:rsid w:val="0066529A"/>
    <w:rsid w:val="00665747"/>
    <w:rsid w:val="00666315"/>
    <w:rsid w:val="00667003"/>
    <w:rsid w:val="006673FF"/>
    <w:rsid w:val="00667479"/>
    <w:rsid w:val="006674D9"/>
    <w:rsid w:val="00667D78"/>
    <w:rsid w:val="0067072D"/>
    <w:rsid w:val="00670DDE"/>
    <w:rsid w:val="0067122E"/>
    <w:rsid w:val="00671294"/>
    <w:rsid w:val="006714F7"/>
    <w:rsid w:val="00671659"/>
    <w:rsid w:val="00671A30"/>
    <w:rsid w:val="00671C03"/>
    <w:rsid w:val="00671F30"/>
    <w:rsid w:val="006722F6"/>
    <w:rsid w:val="0067269F"/>
    <w:rsid w:val="00672E06"/>
    <w:rsid w:val="00672EA9"/>
    <w:rsid w:val="006730B3"/>
    <w:rsid w:val="00673527"/>
    <w:rsid w:val="00673707"/>
    <w:rsid w:val="00673AA6"/>
    <w:rsid w:val="00673CFA"/>
    <w:rsid w:val="0067436F"/>
    <w:rsid w:val="00674805"/>
    <w:rsid w:val="0067486A"/>
    <w:rsid w:val="00674916"/>
    <w:rsid w:val="006749E2"/>
    <w:rsid w:val="00674B7C"/>
    <w:rsid w:val="00674BDF"/>
    <w:rsid w:val="00674E0D"/>
    <w:rsid w:val="00674F90"/>
    <w:rsid w:val="006750C0"/>
    <w:rsid w:val="006757CD"/>
    <w:rsid w:val="00675AEA"/>
    <w:rsid w:val="00675EB1"/>
    <w:rsid w:val="0067638B"/>
    <w:rsid w:val="0067648B"/>
    <w:rsid w:val="0067674F"/>
    <w:rsid w:val="00676905"/>
    <w:rsid w:val="006769EA"/>
    <w:rsid w:val="00676DBF"/>
    <w:rsid w:val="00677346"/>
    <w:rsid w:val="00677651"/>
    <w:rsid w:val="00677CDC"/>
    <w:rsid w:val="00677CF0"/>
    <w:rsid w:val="00677EBB"/>
    <w:rsid w:val="00677F92"/>
    <w:rsid w:val="0068095E"/>
    <w:rsid w:val="00681CBA"/>
    <w:rsid w:val="00681D34"/>
    <w:rsid w:val="006820CC"/>
    <w:rsid w:val="006820F8"/>
    <w:rsid w:val="0068257E"/>
    <w:rsid w:val="00682719"/>
    <w:rsid w:val="00682892"/>
    <w:rsid w:val="00682B09"/>
    <w:rsid w:val="0068304F"/>
    <w:rsid w:val="00683408"/>
    <w:rsid w:val="00683453"/>
    <w:rsid w:val="006839E0"/>
    <w:rsid w:val="00683C68"/>
    <w:rsid w:val="00683CA1"/>
    <w:rsid w:val="00683E69"/>
    <w:rsid w:val="00684195"/>
    <w:rsid w:val="0068467B"/>
    <w:rsid w:val="00684C77"/>
    <w:rsid w:val="00684DE1"/>
    <w:rsid w:val="006854DA"/>
    <w:rsid w:val="00685786"/>
    <w:rsid w:val="00685B33"/>
    <w:rsid w:val="006864D8"/>
    <w:rsid w:val="00686911"/>
    <w:rsid w:val="006869D6"/>
    <w:rsid w:val="00686D3A"/>
    <w:rsid w:val="00686DC3"/>
    <w:rsid w:val="00687404"/>
    <w:rsid w:val="0068788A"/>
    <w:rsid w:val="00687A5C"/>
    <w:rsid w:val="00687F62"/>
    <w:rsid w:val="00687F93"/>
    <w:rsid w:val="0069013E"/>
    <w:rsid w:val="006901AB"/>
    <w:rsid w:val="0069027E"/>
    <w:rsid w:val="00690321"/>
    <w:rsid w:val="00690338"/>
    <w:rsid w:val="0069045D"/>
    <w:rsid w:val="0069073B"/>
    <w:rsid w:val="00690941"/>
    <w:rsid w:val="00691421"/>
    <w:rsid w:val="00692022"/>
    <w:rsid w:val="00693365"/>
    <w:rsid w:val="006934D4"/>
    <w:rsid w:val="0069368E"/>
    <w:rsid w:val="00693E0B"/>
    <w:rsid w:val="00693E1D"/>
    <w:rsid w:val="00693F81"/>
    <w:rsid w:val="006941D0"/>
    <w:rsid w:val="006943F8"/>
    <w:rsid w:val="00695518"/>
    <w:rsid w:val="0069568D"/>
    <w:rsid w:val="006959E1"/>
    <w:rsid w:val="00696708"/>
    <w:rsid w:val="00696B3A"/>
    <w:rsid w:val="00696D5A"/>
    <w:rsid w:val="0069714F"/>
    <w:rsid w:val="0069732E"/>
    <w:rsid w:val="00697D49"/>
    <w:rsid w:val="006A0308"/>
    <w:rsid w:val="006A0FFA"/>
    <w:rsid w:val="006A1235"/>
    <w:rsid w:val="006A1287"/>
    <w:rsid w:val="006A1351"/>
    <w:rsid w:val="006A1495"/>
    <w:rsid w:val="006A15EB"/>
    <w:rsid w:val="006A167A"/>
    <w:rsid w:val="006A181B"/>
    <w:rsid w:val="006A1897"/>
    <w:rsid w:val="006A1900"/>
    <w:rsid w:val="006A1A76"/>
    <w:rsid w:val="006A1CD1"/>
    <w:rsid w:val="006A1FD3"/>
    <w:rsid w:val="006A284A"/>
    <w:rsid w:val="006A31C2"/>
    <w:rsid w:val="006A34D0"/>
    <w:rsid w:val="006A4B20"/>
    <w:rsid w:val="006A4BE0"/>
    <w:rsid w:val="006A4C39"/>
    <w:rsid w:val="006A4CE7"/>
    <w:rsid w:val="006A508E"/>
    <w:rsid w:val="006A5290"/>
    <w:rsid w:val="006A531B"/>
    <w:rsid w:val="006A56C7"/>
    <w:rsid w:val="006A5854"/>
    <w:rsid w:val="006A5B71"/>
    <w:rsid w:val="006A5CB1"/>
    <w:rsid w:val="006A5E5F"/>
    <w:rsid w:val="006A6C6D"/>
    <w:rsid w:val="006A6E66"/>
    <w:rsid w:val="006A6E6A"/>
    <w:rsid w:val="006A6F05"/>
    <w:rsid w:val="006A7275"/>
    <w:rsid w:val="006A7308"/>
    <w:rsid w:val="006A7A4E"/>
    <w:rsid w:val="006A7D03"/>
    <w:rsid w:val="006B0529"/>
    <w:rsid w:val="006B0730"/>
    <w:rsid w:val="006B08B2"/>
    <w:rsid w:val="006B093A"/>
    <w:rsid w:val="006B0B8F"/>
    <w:rsid w:val="006B0C4F"/>
    <w:rsid w:val="006B0D92"/>
    <w:rsid w:val="006B148B"/>
    <w:rsid w:val="006B174D"/>
    <w:rsid w:val="006B1A4C"/>
    <w:rsid w:val="006B1E8A"/>
    <w:rsid w:val="006B1F89"/>
    <w:rsid w:val="006B21BD"/>
    <w:rsid w:val="006B236B"/>
    <w:rsid w:val="006B2E20"/>
    <w:rsid w:val="006B32F0"/>
    <w:rsid w:val="006B3680"/>
    <w:rsid w:val="006B36A4"/>
    <w:rsid w:val="006B39B9"/>
    <w:rsid w:val="006B3C1C"/>
    <w:rsid w:val="006B3D87"/>
    <w:rsid w:val="006B403F"/>
    <w:rsid w:val="006B40F3"/>
    <w:rsid w:val="006B4AF7"/>
    <w:rsid w:val="006B4B89"/>
    <w:rsid w:val="006B4E76"/>
    <w:rsid w:val="006B501E"/>
    <w:rsid w:val="006B5091"/>
    <w:rsid w:val="006B5279"/>
    <w:rsid w:val="006B530F"/>
    <w:rsid w:val="006B5672"/>
    <w:rsid w:val="006B57B2"/>
    <w:rsid w:val="006B5975"/>
    <w:rsid w:val="006B5AFA"/>
    <w:rsid w:val="006B5EFA"/>
    <w:rsid w:val="006B6108"/>
    <w:rsid w:val="006B61B8"/>
    <w:rsid w:val="006B645F"/>
    <w:rsid w:val="006B6D53"/>
    <w:rsid w:val="006B6E92"/>
    <w:rsid w:val="006B6F05"/>
    <w:rsid w:val="006B7626"/>
    <w:rsid w:val="006B765F"/>
    <w:rsid w:val="006B786B"/>
    <w:rsid w:val="006B7DCC"/>
    <w:rsid w:val="006B7E78"/>
    <w:rsid w:val="006C08AF"/>
    <w:rsid w:val="006C0C72"/>
    <w:rsid w:val="006C1267"/>
    <w:rsid w:val="006C1DA9"/>
    <w:rsid w:val="006C20F9"/>
    <w:rsid w:val="006C22D8"/>
    <w:rsid w:val="006C24C9"/>
    <w:rsid w:val="006C2641"/>
    <w:rsid w:val="006C272F"/>
    <w:rsid w:val="006C29B4"/>
    <w:rsid w:val="006C29D7"/>
    <w:rsid w:val="006C30ED"/>
    <w:rsid w:val="006C338B"/>
    <w:rsid w:val="006C3A29"/>
    <w:rsid w:val="006C3B87"/>
    <w:rsid w:val="006C4034"/>
    <w:rsid w:val="006C4748"/>
    <w:rsid w:val="006C4896"/>
    <w:rsid w:val="006C4C7E"/>
    <w:rsid w:val="006C4E7A"/>
    <w:rsid w:val="006C4EE4"/>
    <w:rsid w:val="006C4F09"/>
    <w:rsid w:val="006C5003"/>
    <w:rsid w:val="006C58A7"/>
    <w:rsid w:val="006C5BE3"/>
    <w:rsid w:val="006C5DBA"/>
    <w:rsid w:val="006C600C"/>
    <w:rsid w:val="006C6229"/>
    <w:rsid w:val="006C6691"/>
    <w:rsid w:val="006C6997"/>
    <w:rsid w:val="006C6B68"/>
    <w:rsid w:val="006C7A5E"/>
    <w:rsid w:val="006C7AEC"/>
    <w:rsid w:val="006C7D7C"/>
    <w:rsid w:val="006C7DA8"/>
    <w:rsid w:val="006CA05A"/>
    <w:rsid w:val="006D02FF"/>
    <w:rsid w:val="006D074E"/>
    <w:rsid w:val="006D0BE8"/>
    <w:rsid w:val="006D0FFF"/>
    <w:rsid w:val="006D1085"/>
    <w:rsid w:val="006D1404"/>
    <w:rsid w:val="006D1954"/>
    <w:rsid w:val="006D1CA6"/>
    <w:rsid w:val="006D1D1F"/>
    <w:rsid w:val="006D1E70"/>
    <w:rsid w:val="006D2528"/>
    <w:rsid w:val="006D26E1"/>
    <w:rsid w:val="006D2B16"/>
    <w:rsid w:val="006D2E01"/>
    <w:rsid w:val="006D2ED7"/>
    <w:rsid w:val="006D3538"/>
    <w:rsid w:val="006D3ADB"/>
    <w:rsid w:val="006D3C52"/>
    <w:rsid w:val="006D407A"/>
    <w:rsid w:val="006D4AA5"/>
    <w:rsid w:val="006D5146"/>
    <w:rsid w:val="006D5721"/>
    <w:rsid w:val="006D5799"/>
    <w:rsid w:val="006D5DDB"/>
    <w:rsid w:val="006D6646"/>
    <w:rsid w:val="006D6718"/>
    <w:rsid w:val="006D6758"/>
    <w:rsid w:val="006D6874"/>
    <w:rsid w:val="006D6A1D"/>
    <w:rsid w:val="006D6F03"/>
    <w:rsid w:val="006D76D6"/>
    <w:rsid w:val="006D7A58"/>
    <w:rsid w:val="006D7D1A"/>
    <w:rsid w:val="006E00C4"/>
    <w:rsid w:val="006E032B"/>
    <w:rsid w:val="006E038E"/>
    <w:rsid w:val="006E075B"/>
    <w:rsid w:val="006E08AB"/>
    <w:rsid w:val="006E08BD"/>
    <w:rsid w:val="006E0D1E"/>
    <w:rsid w:val="006E0DB9"/>
    <w:rsid w:val="006E0DCF"/>
    <w:rsid w:val="006E0DFD"/>
    <w:rsid w:val="006E0E16"/>
    <w:rsid w:val="006E1245"/>
    <w:rsid w:val="006E15DD"/>
    <w:rsid w:val="006E16E2"/>
    <w:rsid w:val="006E19E1"/>
    <w:rsid w:val="006E1B12"/>
    <w:rsid w:val="006E1CA7"/>
    <w:rsid w:val="006E2288"/>
    <w:rsid w:val="006E2656"/>
    <w:rsid w:val="006E2695"/>
    <w:rsid w:val="006E2725"/>
    <w:rsid w:val="006E282F"/>
    <w:rsid w:val="006E2A97"/>
    <w:rsid w:val="006E338B"/>
    <w:rsid w:val="006E3710"/>
    <w:rsid w:val="006E3A8B"/>
    <w:rsid w:val="006E3C7F"/>
    <w:rsid w:val="006E4287"/>
    <w:rsid w:val="006E452E"/>
    <w:rsid w:val="006E480C"/>
    <w:rsid w:val="006E510B"/>
    <w:rsid w:val="006E510F"/>
    <w:rsid w:val="006E57F1"/>
    <w:rsid w:val="006E5CC8"/>
    <w:rsid w:val="006E5D72"/>
    <w:rsid w:val="006E6079"/>
    <w:rsid w:val="006E63F6"/>
    <w:rsid w:val="006E6660"/>
    <w:rsid w:val="006E6788"/>
    <w:rsid w:val="006E6BE6"/>
    <w:rsid w:val="006E6D7D"/>
    <w:rsid w:val="006E6FB7"/>
    <w:rsid w:val="006E6FD7"/>
    <w:rsid w:val="006E74FD"/>
    <w:rsid w:val="006E7C45"/>
    <w:rsid w:val="006E7DD3"/>
    <w:rsid w:val="006E7FDD"/>
    <w:rsid w:val="006E9EE9"/>
    <w:rsid w:val="006F0271"/>
    <w:rsid w:val="006F14A8"/>
    <w:rsid w:val="006F15C9"/>
    <w:rsid w:val="006F1A21"/>
    <w:rsid w:val="006F1E79"/>
    <w:rsid w:val="006F20B5"/>
    <w:rsid w:val="006F253A"/>
    <w:rsid w:val="006F2932"/>
    <w:rsid w:val="006F2A5F"/>
    <w:rsid w:val="006F2BBC"/>
    <w:rsid w:val="006F2EE0"/>
    <w:rsid w:val="006F3484"/>
    <w:rsid w:val="006F39FD"/>
    <w:rsid w:val="006F3D13"/>
    <w:rsid w:val="006F43EC"/>
    <w:rsid w:val="006F4421"/>
    <w:rsid w:val="006F4898"/>
    <w:rsid w:val="006F491D"/>
    <w:rsid w:val="006F5302"/>
    <w:rsid w:val="006F5553"/>
    <w:rsid w:val="006F5658"/>
    <w:rsid w:val="006F5CBE"/>
    <w:rsid w:val="006F5DB1"/>
    <w:rsid w:val="006F6211"/>
    <w:rsid w:val="006F629F"/>
    <w:rsid w:val="006F6E76"/>
    <w:rsid w:val="006F6FEB"/>
    <w:rsid w:val="006F72A3"/>
    <w:rsid w:val="006F79BE"/>
    <w:rsid w:val="006F7A2A"/>
    <w:rsid w:val="00700283"/>
    <w:rsid w:val="00700461"/>
    <w:rsid w:val="007004B4"/>
    <w:rsid w:val="007005A0"/>
    <w:rsid w:val="0070084F"/>
    <w:rsid w:val="007009D0"/>
    <w:rsid w:val="0070114B"/>
    <w:rsid w:val="00701602"/>
    <w:rsid w:val="00701746"/>
    <w:rsid w:val="00701930"/>
    <w:rsid w:val="00701BCE"/>
    <w:rsid w:val="00702277"/>
    <w:rsid w:val="0070249B"/>
    <w:rsid w:val="0070272F"/>
    <w:rsid w:val="00702CBF"/>
    <w:rsid w:val="00702D90"/>
    <w:rsid w:val="00703714"/>
    <w:rsid w:val="007039BF"/>
    <w:rsid w:val="007049DB"/>
    <w:rsid w:val="007049FE"/>
    <w:rsid w:val="007053F4"/>
    <w:rsid w:val="0070576F"/>
    <w:rsid w:val="0070596F"/>
    <w:rsid w:val="00705C91"/>
    <w:rsid w:val="00705DD5"/>
    <w:rsid w:val="007060B4"/>
    <w:rsid w:val="00706221"/>
    <w:rsid w:val="007062BA"/>
    <w:rsid w:val="007062FB"/>
    <w:rsid w:val="00706641"/>
    <w:rsid w:val="007066CA"/>
    <w:rsid w:val="0070682B"/>
    <w:rsid w:val="00706870"/>
    <w:rsid w:val="007068CB"/>
    <w:rsid w:val="00706A6E"/>
    <w:rsid w:val="00706C2F"/>
    <w:rsid w:val="00706F4A"/>
    <w:rsid w:val="007071B9"/>
    <w:rsid w:val="0070751C"/>
    <w:rsid w:val="0070789C"/>
    <w:rsid w:val="00707A57"/>
    <w:rsid w:val="00707D11"/>
    <w:rsid w:val="007104F1"/>
    <w:rsid w:val="0071053F"/>
    <w:rsid w:val="007108D4"/>
    <w:rsid w:val="00710EAE"/>
    <w:rsid w:val="007111DB"/>
    <w:rsid w:val="00711854"/>
    <w:rsid w:val="007119B3"/>
    <w:rsid w:val="00711DCC"/>
    <w:rsid w:val="00712816"/>
    <w:rsid w:val="00712BE2"/>
    <w:rsid w:val="00712BE5"/>
    <w:rsid w:val="00713072"/>
    <w:rsid w:val="0071342F"/>
    <w:rsid w:val="007137A7"/>
    <w:rsid w:val="007137EE"/>
    <w:rsid w:val="00713E05"/>
    <w:rsid w:val="0071426A"/>
    <w:rsid w:val="0071447B"/>
    <w:rsid w:val="007146F5"/>
    <w:rsid w:val="00714FDE"/>
    <w:rsid w:val="00715110"/>
    <w:rsid w:val="007157E1"/>
    <w:rsid w:val="00715E05"/>
    <w:rsid w:val="0071638E"/>
    <w:rsid w:val="0071655E"/>
    <w:rsid w:val="00716920"/>
    <w:rsid w:val="00716B8B"/>
    <w:rsid w:val="00716FE4"/>
    <w:rsid w:val="00717454"/>
    <w:rsid w:val="007178E8"/>
    <w:rsid w:val="00717D5C"/>
    <w:rsid w:val="0072095E"/>
    <w:rsid w:val="007211E2"/>
    <w:rsid w:val="007218E5"/>
    <w:rsid w:val="00721C6F"/>
    <w:rsid w:val="00721DFB"/>
    <w:rsid w:val="00721F97"/>
    <w:rsid w:val="00722166"/>
    <w:rsid w:val="007221F7"/>
    <w:rsid w:val="00722410"/>
    <w:rsid w:val="00722861"/>
    <w:rsid w:val="007229E6"/>
    <w:rsid w:val="00722E06"/>
    <w:rsid w:val="0072303C"/>
    <w:rsid w:val="00723065"/>
    <w:rsid w:val="007235C4"/>
    <w:rsid w:val="00723655"/>
    <w:rsid w:val="0072432A"/>
    <w:rsid w:val="0072483D"/>
    <w:rsid w:val="007248DA"/>
    <w:rsid w:val="0072496B"/>
    <w:rsid w:val="00724C7E"/>
    <w:rsid w:val="00724CDC"/>
    <w:rsid w:val="00724D34"/>
    <w:rsid w:val="00724E4F"/>
    <w:rsid w:val="00725113"/>
    <w:rsid w:val="0072560E"/>
    <w:rsid w:val="007257B4"/>
    <w:rsid w:val="00725AD1"/>
    <w:rsid w:val="00725CE0"/>
    <w:rsid w:val="00725DD0"/>
    <w:rsid w:val="00725DF2"/>
    <w:rsid w:val="00725FDB"/>
    <w:rsid w:val="007260D8"/>
    <w:rsid w:val="007260DE"/>
    <w:rsid w:val="00726292"/>
    <w:rsid w:val="007265E7"/>
    <w:rsid w:val="00726635"/>
    <w:rsid w:val="007268B1"/>
    <w:rsid w:val="007269AA"/>
    <w:rsid w:val="00726D56"/>
    <w:rsid w:val="00726F42"/>
    <w:rsid w:val="00727047"/>
    <w:rsid w:val="007271D3"/>
    <w:rsid w:val="00727219"/>
    <w:rsid w:val="007273A9"/>
    <w:rsid w:val="007273CC"/>
    <w:rsid w:val="00727632"/>
    <w:rsid w:val="00727987"/>
    <w:rsid w:val="00727CBF"/>
    <w:rsid w:val="00727EE8"/>
    <w:rsid w:val="0073001C"/>
    <w:rsid w:val="0073054D"/>
    <w:rsid w:val="00731435"/>
    <w:rsid w:val="00731477"/>
    <w:rsid w:val="00731C3E"/>
    <w:rsid w:val="0073246A"/>
    <w:rsid w:val="007327BB"/>
    <w:rsid w:val="00732CB6"/>
    <w:rsid w:val="00733A2B"/>
    <w:rsid w:val="00733D14"/>
    <w:rsid w:val="00733DB3"/>
    <w:rsid w:val="0073405A"/>
    <w:rsid w:val="00734615"/>
    <w:rsid w:val="0073464B"/>
    <w:rsid w:val="00734B6B"/>
    <w:rsid w:val="00734BB2"/>
    <w:rsid w:val="00734F01"/>
    <w:rsid w:val="00735125"/>
    <w:rsid w:val="007353CE"/>
    <w:rsid w:val="00735580"/>
    <w:rsid w:val="007355D8"/>
    <w:rsid w:val="00735619"/>
    <w:rsid w:val="0073586E"/>
    <w:rsid w:val="007359FB"/>
    <w:rsid w:val="00735E9C"/>
    <w:rsid w:val="00735EAA"/>
    <w:rsid w:val="00735F57"/>
    <w:rsid w:val="0073610A"/>
    <w:rsid w:val="00736300"/>
    <w:rsid w:val="00736338"/>
    <w:rsid w:val="00736407"/>
    <w:rsid w:val="00736AFA"/>
    <w:rsid w:val="00736CD4"/>
    <w:rsid w:val="007370BA"/>
    <w:rsid w:val="00737265"/>
    <w:rsid w:val="00737658"/>
    <w:rsid w:val="007376F0"/>
    <w:rsid w:val="007377D1"/>
    <w:rsid w:val="0073780D"/>
    <w:rsid w:val="00737D8B"/>
    <w:rsid w:val="00737F81"/>
    <w:rsid w:val="00737FE9"/>
    <w:rsid w:val="00740118"/>
    <w:rsid w:val="00740485"/>
    <w:rsid w:val="0074074A"/>
    <w:rsid w:val="00740775"/>
    <w:rsid w:val="00740987"/>
    <w:rsid w:val="00741359"/>
    <w:rsid w:val="0074177D"/>
    <w:rsid w:val="00741DBB"/>
    <w:rsid w:val="00742181"/>
    <w:rsid w:val="00742373"/>
    <w:rsid w:val="00742419"/>
    <w:rsid w:val="00742606"/>
    <w:rsid w:val="00742A28"/>
    <w:rsid w:val="00742A3D"/>
    <w:rsid w:val="00742B33"/>
    <w:rsid w:val="00742CC0"/>
    <w:rsid w:val="00742FF1"/>
    <w:rsid w:val="00743722"/>
    <w:rsid w:val="00743EBF"/>
    <w:rsid w:val="0074444C"/>
    <w:rsid w:val="007446BF"/>
    <w:rsid w:val="00744998"/>
    <w:rsid w:val="00744D92"/>
    <w:rsid w:val="00744EC0"/>
    <w:rsid w:val="00745526"/>
    <w:rsid w:val="00745A7D"/>
    <w:rsid w:val="00745ADD"/>
    <w:rsid w:val="00745CE9"/>
    <w:rsid w:val="00745D6B"/>
    <w:rsid w:val="00745DD3"/>
    <w:rsid w:val="00745E7C"/>
    <w:rsid w:val="00745FF4"/>
    <w:rsid w:val="00746093"/>
    <w:rsid w:val="00746AE5"/>
    <w:rsid w:val="00746C35"/>
    <w:rsid w:val="00746EB5"/>
    <w:rsid w:val="0074707C"/>
    <w:rsid w:val="00747351"/>
    <w:rsid w:val="007473D8"/>
    <w:rsid w:val="007475BA"/>
    <w:rsid w:val="00747AF4"/>
    <w:rsid w:val="00750A54"/>
    <w:rsid w:val="00750C92"/>
    <w:rsid w:val="00750CD5"/>
    <w:rsid w:val="00750DF6"/>
    <w:rsid w:val="00750F76"/>
    <w:rsid w:val="00750FD7"/>
    <w:rsid w:val="007510B8"/>
    <w:rsid w:val="007511E1"/>
    <w:rsid w:val="007512DD"/>
    <w:rsid w:val="00751647"/>
    <w:rsid w:val="00751741"/>
    <w:rsid w:val="00751AEC"/>
    <w:rsid w:val="00752326"/>
    <w:rsid w:val="0075245A"/>
    <w:rsid w:val="00752A0B"/>
    <w:rsid w:val="00752E9D"/>
    <w:rsid w:val="00753119"/>
    <w:rsid w:val="007531B4"/>
    <w:rsid w:val="0075333A"/>
    <w:rsid w:val="007538DE"/>
    <w:rsid w:val="00753D24"/>
    <w:rsid w:val="00753D6E"/>
    <w:rsid w:val="00753F68"/>
    <w:rsid w:val="00753FE7"/>
    <w:rsid w:val="0075405E"/>
    <w:rsid w:val="007541D0"/>
    <w:rsid w:val="00754374"/>
    <w:rsid w:val="0075483C"/>
    <w:rsid w:val="00754B9D"/>
    <w:rsid w:val="00754CA3"/>
    <w:rsid w:val="007552B5"/>
    <w:rsid w:val="007554A7"/>
    <w:rsid w:val="0075577D"/>
    <w:rsid w:val="007557FF"/>
    <w:rsid w:val="00755C7F"/>
    <w:rsid w:val="00755F64"/>
    <w:rsid w:val="00755FFA"/>
    <w:rsid w:val="00756161"/>
    <w:rsid w:val="00756186"/>
    <w:rsid w:val="007563B4"/>
    <w:rsid w:val="007566CE"/>
    <w:rsid w:val="00756743"/>
    <w:rsid w:val="00756BED"/>
    <w:rsid w:val="00757215"/>
    <w:rsid w:val="00757DEB"/>
    <w:rsid w:val="0076035C"/>
    <w:rsid w:val="0076070C"/>
    <w:rsid w:val="00760E18"/>
    <w:rsid w:val="00760FEF"/>
    <w:rsid w:val="0076111C"/>
    <w:rsid w:val="007613B9"/>
    <w:rsid w:val="007615B3"/>
    <w:rsid w:val="00761F8E"/>
    <w:rsid w:val="0076239C"/>
    <w:rsid w:val="00762881"/>
    <w:rsid w:val="00762D89"/>
    <w:rsid w:val="007633D6"/>
    <w:rsid w:val="00763508"/>
    <w:rsid w:val="00763561"/>
    <w:rsid w:val="007641E7"/>
    <w:rsid w:val="00764227"/>
    <w:rsid w:val="00764330"/>
    <w:rsid w:val="007648D8"/>
    <w:rsid w:val="00764D4D"/>
    <w:rsid w:val="00764E6C"/>
    <w:rsid w:val="0076581D"/>
    <w:rsid w:val="007658DB"/>
    <w:rsid w:val="00765B4C"/>
    <w:rsid w:val="00765E49"/>
    <w:rsid w:val="00765F4F"/>
    <w:rsid w:val="0076665E"/>
    <w:rsid w:val="007666C1"/>
    <w:rsid w:val="0076681F"/>
    <w:rsid w:val="0076687D"/>
    <w:rsid w:val="007668D6"/>
    <w:rsid w:val="0076690C"/>
    <w:rsid w:val="00766928"/>
    <w:rsid w:val="00766D77"/>
    <w:rsid w:val="00766EA3"/>
    <w:rsid w:val="00766F8D"/>
    <w:rsid w:val="00767145"/>
    <w:rsid w:val="007671C9"/>
    <w:rsid w:val="007674D5"/>
    <w:rsid w:val="0076758C"/>
    <w:rsid w:val="00770072"/>
    <w:rsid w:val="007700DF"/>
    <w:rsid w:val="0077012A"/>
    <w:rsid w:val="00770F8C"/>
    <w:rsid w:val="007710F6"/>
    <w:rsid w:val="007711BF"/>
    <w:rsid w:val="00771287"/>
    <w:rsid w:val="00771297"/>
    <w:rsid w:val="00771730"/>
    <w:rsid w:val="00771DC7"/>
    <w:rsid w:val="00771F68"/>
    <w:rsid w:val="007721EB"/>
    <w:rsid w:val="00772342"/>
    <w:rsid w:val="00772575"/>
    <w:rsid w:val="00772C7A"/>
    <w:rsid w:val="00773289"/>
    <w:rsid w:val="00773CD5"/>
    <w:rsid w:val="00773F37"/>
    <w:rsid w:val="007743BB"/>
    <w:rsid w:val="00774EDC"/>
    <w:rsid w:val="00774F99"/>
    <w:rsid w:val="00775116"/>
    <w:rsid w:val="00775657"/>
    <w:rsid w:val="007757DE"/>
    <w:rsid w:val="007757F2"/>
    <w:rsid w:val="00775A4E"/>
    <w:rsid w:val="00775ADB"/>
    <w:rsid w:val="00775C3E"/>
    <w:rsid w:val="00775C9E"/>
    <w:rsid w:val="00775E25"/>
    <w:rsid w:val="007767B4"/>
    <w:rsid w:val="00776823"/>
    <w:rsid w:val="007769FA"/>
    <w:rsid w:val="00776D63"/>
    <w:rsid w:val="00776FAA"/>
    <w:rsid w:val="0077717B"/>
    <w:rsid w:val="007771EB"/>
    <w:rsid w:val="00777571"/>
    <w:rsid w:val="00777BA6"/>
    <w:rsid w:val="00777EA4"/>
    <w:rsid w:val="0078026E"/>
    <w:rsid w:val="00780392"/>
    <w:rsid w:val="007803F7"/>
    <w:rsid w:val="0078057D"/>
    <w:rsid w:val="007805D8"/>
    <w:rsid w:val="00780804"/>
    <w:rsid w:val="00780B5B"/>
    <w:rsid w:val="00781026"/>
    <w:rsid w:val="00781556"/>
    <w:rsid w:val="007816BB"/>
    <w:rsid w:val="00781826"/>
    <w:rsid w:val="00781F55"/>
    <w:rsid w:val="007824D3"/>
    <w:rsid w:val="00782692"/>
    <w:rsid w:val="00782747"/>
    <w:rsid w:val="007827BE"/>
    <w:rsid w:val="00782993"/>
    <w:rsid w:val="0078313C"/>
    <w:rsid w:val="00783363"/>
    <w:rsid w:val="007837A1"/>
    <w:rsid w:val="007841D3"/>
    <w:rsid w:val="0078424E"/>
    <w:rsid w:val="007842A1"/>
    <w:rsid w:val="00784722"/>
    <w:rsid w:val="007847C5"/>
    <w:rsid w:val="00784FE0"/>
    <w:rsid w:val="00785715"/>
    <w:rsid w:val="00785862"/>
    <w:rsid w:val="00785896"/>
    <w:rsid w:val="00785B18"/>
    <w:rsid w:val="00785DD5"/>
    <w:rsid w:val="00786323"/>
    <w:rsid w:val="00786638"/>
    <w:rsid w:val="00786D3D"/>
    <w:rsid w:val="00786FAB"/>
    <w:rsid w:val="0078727D"/>
    <w:rsid w:val="007872D7"/>
    <w:rsid w:val="0078733B"/>
    <w:rsid w:val="00787773"/>
    <w:rsid w:val="00787866"/>
    <w:rsid w:val="00790022"/>
    <w:rsid w:val="00790836"/>
    <w:rsid w:val="00790CB1"/>
    <w:rsid w:val="00791163"/>
    <w:rsid w:val="0079149D"/>
    <w:rsid w:val="00791531"/>
    <w:rsid w:val="007919AE"/>
    <w:rsid w:val="007922B5"/>
    <w:rsid w:val="007922C5"/>
    <w:rsid w:val="007923EC"/>
    <w:rsid w:val="00792483"/>
    <w:rsid w:val="00792558"/>
    <w:rsid w:val="007926E6"/>
    <w:rsid w:val="0079289F"/>
    <w:rsid w:val="007929CD"/>
    <w:rsid w:val="00792ACE"/>
    <w:rsid w:val="00792D7F"/>
    <w:rsid w:val="00793374"/>
    <w:rsid w:val="007938B4"/>
    <w:rsid w:val="00793949"/>
    <w:rsid w:val="00794375"/>
    <w:rsid w:val="00794677"/>
    <w:rsid w:val="00794E86"/>
    <w:rsid w:val="00794F5F"/>
    <w:rsid w:val="00795201"/>
    <w:rsid w:val="00795990"/>
    <w:rsid w:val="007959A2"/>
    <w:rsid w:val="007959D4"/>
    <w:rsid w:val="007959DC"/>
    <w:rsid w:val="00795B61"/>
    <w:rsid w:val="00795FA8"/>
    <w:rsid w:val="00796293"/>
    <w:rsid w:val="00796354"/>
    <w:rsid w:val="007971BC"/>
    <w:rsid w:val="00797379"/>
    <w:rsid w:val="007974F5"/>
    <w:rsid w:val="007A01CD"/>
    <w:rsid w:val="007A0566"/>
    <w:rsid w:val="007A0CF5"/>
    <w:rsid w:val="007A1520"/>
    <w:rsid w:val="007A1DB0"/>
    <w:rsid w:val="007A1EE5"/>
    <w:rsid w:val="007A216A"/>
    <w:rsid w:val="007A22F5"/>
    <w:rsid w:val="007A2702"/>
    <w:rsid w:val="007A33AA"/>
    <w:rsid w:val="007A3515"/>
    <w:rsid w:val="007A36FD"/>
    <w:rsid w:val="007A3F6B"/>
    <w:rsid w:val="007A41A0"/>
    <w:rsid w:val="007A4306"/>
    <w:rsid w:val="007A4570"/>
    <w:rsid w:val="007A45CD"/>
    <w:rsid w:val="007A470E"/>
    <w:rsid w:val="007A474A"/>
    <w:rsid w:val="007A4A21"/>
    <w:rsid w:val="007A4B1C"/>
    <w:rsid w:val="007A5526"/>
    <w:rsid w:val="007A595D"/>
    <w:rsid w:val="007A5966"/>
    <w:rsid w:val="007A5CD8"/>
    <w:rsid w:val="007A625C"/>
    <w:rsid w:val="007A6C97"/>
    <w:rsid w:val="007A7209"/>
    <w:rsid w:val="007A7C05"/>
    <w:rsid w:val="007B01BD"/>
    <w:rsid w:val="007B06B2"/>
    <w:rsid w:val="007B0DD3"/>
    <w:rsid w:val="007B0F57"/>
    <w:rsid w:val="007B119C"/>
    <w:rsid w:val="007B162B"/>
    <w:rsid w:val="007B19DF"/>
    <w:rsid w:val="007B1A17"/>
    <w:rsid w:val="007B1EDD"/>
    <w:rsid w:val="007B1F8E"/>
    <w:rsid w:val="007B23AB"/>
    <w:rsid w:val="007B278A"/>
    <w:rsid w:val="007B2ACC"/>
    <w:rsid w:val="007B2C77"/>
    <w:rsid w:val="007B2C8B"/>
    <w:rsid w:val="007B2DE5"/>
    <w:rsid w:val="007B2E90"/>
    <w:rsid w:val="007B2FBB"/>
    <w:rsid w:val="007B37B3"/>
    <w:rsid w:val="007B398C"/>
    <w:rsid w:val="007B410A"/>
    <w:rsid w:val="007B4990"/>
    <w:rsid w:val="007B4B8F"/>
    <w:rsid w:val="007B51C4"/>
    <w:rsid w:val="007B52DB"/>
    <w:rsid w:val="007B547B"/>
    <w:rsid w:val="007B573B"/>
    <w:rsid w:val="007B5793"/>
    <w:rsid w:val="007B5822"/>
    <w:rsid w:val="007B58DF"/>
    <w:rsid w:val="007B5AFB"/>
    <w:rsid w:val="007B67BF"/>
    <w:rsid w:val="007B6EFB"/>
    <w:rsid w:val="007B739A"/>
    <w:rsid w:val="007B7586"/>
    <w:rsid w:val="007B75BF"/>
    <w:rsid w:val="007B79F8"/>
    <w:rsid w:val="007B7A00"/>
    <w:rsid w:val="007C016D"/>
    <w:rsid w:val="007C0609"/>
    <w:rsid w:val="007C07E8"/>
    <w:rsid w:val="007C124A"/>
    <w:rsid w:val="007C1771"/>
    <w:rsid w:val="007C19A4"/>
    <w:rsid w:val="007C1BC5"/>
    <w:rsid w:val="007C1F26"/>
    <w:rsid w:val="007C2090"/>
    <w:rsid w:val="007C2209"/>
    <w:rsid w:val="007C2B4C"/>
    <w:rsid w:val="007C2DEF"/>
    <w:rsid w:val="007C2E56"/>
    <w:rsid w:val="007C3173"/>
    <w:rsid w:val="007C3D55"/>
    <w:rsid w:val="007C3E41"/>
    <w:rsid w:val="007C3FCE"/>
    <w:rsid w:val="007C49E3"/>
    <w:rsid w:val="007C4C5B"/>
    <w:rsid w:val="007C5570"/>
    <w:rsid w:val="007C607B"/>
    <w:rsid w:val="007C7A55"/>
    <w:rsid w:val="007C7C51"/>
    <w:rsid w:val="007C7CEA"/>
    <w:rsid w:val="007C7CEE"/>
    <w:rsid w:val="007C7E8B"/>
    <w:rsid w:val="007C7F97"/>
    <w:rsid w:val="007D021A"/>
    <w:rsid w:val="007D0382"/>
    <w:rsid w:val="007D053F"/>
    <w:rsid w:val="007D08D3"/>
    <w:rsid w:val="007D0D04"/>
    <w:rsid w:val="007D0D70"/>
    <w:rsid w:val="007D0F02"/>
    <w:rsid w:val="007D0F4E"/>
    <w:rsid w:val="007D0F6E"/>
    <w:rsid w:val="007D120A"/>
    <w:rsid w:val="007D1256"/>
    <w:rsid w:val="007D196D"/>
    <w:rsid w:val="007D21DB"/>
    <w:rsid w:val="007D2378"/>
    <w:rsid w:val="007D24AD"/>
    <w:rsid w:val="007D262D"/>
    <w:rsid w:val="007D2C68"/>
    <w:rsid w:val="007D3012"/>
    <w:rsid w:val="007D356B"/>
    <w:rsid w:val="007D3705"/>
    <w:rsid w:val="007D3844"/>
    <w:rsid w:val="007D469D"/>
    <w:rsid w:val="007D4720"/>
    <w:rsid w:val="007D475E"/>
    <w:rsid w:val="007D4AF7"/>
    <w:rsid w:val="007D4B03"/>
    <w:rsid w:val="007D4B95"/>
    <w:rsid w:val="007D514F"/>
    <w:rsid w:val="007D52D0"/>
    <w:rsid w:val="007D533D"/>
    <w:rsid w:val="007D59D3"/>
    <w:rsid w:val="007D5A61"/>
    <w:rsid w:val="007D5F7C"/>
    <w:rsid w:val="007D6100"/>
    <w:rsid w:val="007D63F8"/>
    <w:rsid w:val="007D6D7E"/>
    <w:rsid w:val="007D6E46"/>
    <w:rsid w:val="007D76EF"/>
    <w:rsid w:val="007D793B"/>
    <w:rsid w:val="007D7963"/>
    <w:rsid w:val="007D7E92"/>
    <w:rsid w:val="007D7FD4"/>
    <w:rsid w:val="007E032B"/>
    <w:rsid w:val="007E0391"/>
    <w:rsid w:val="007E03D0"/>
    <w:rsid w:val="007E0634"/>
    <w:rsid w:val="007E091A"/>
    <w:rsid w:val="007E0A11"/>
    <w:rsid w:val="007E0E03"/>
    <w:rsid w:val="007E12D9"/>
    <w:rsid w:val="007E13C6"/>
    <w:rsid w:val="007E1B15"/>
    <w:rsid w:val="007E1D53"/>
    <w:rsid w:val="007E2256"/>
    <w:rsid w:val="007E2AF9"/>
    <w:rsid w:val="007E2C66"/>
    <w:rsid w:val="007E2E4D"/>
    <w:rsid w:val="007E3427"/>
    <w:rsid w:val="007E35B7"/>
    <w:rsid w:val="007E37FB"/>
    <w:rsid w:val="007E3A37"/>
    <w:rsid w:val="007E3A99"/>
    <w:rsid w:val="007E3B5A"/>
    <w:rsid w:val="007E3D38"/>
    <w:rsid w:val="007E43A2"/>
    <w:rsid w:val="007E477D"/>
    <w:rsid w:val="007E47AE"/>
    <w:rsid w:val="007E4C9A"/>
    <w:rsid w:val="007E4D41"/>
    <w:rsid w:val="007E4F90"/>
    <w:rsid w:val="007E4FED"/>
    <w:rsid w:val="007E5071"/>
    <w:rsid w:val="007E5603"/>
    <w:rsid w:val="007E5645"/>
    <w:rsid w:val="007E5B4E"/>
    <w:rsid w:val="007E5CCD"/>
    <w:rsid w:val="007E5EFB"/>
    <w:rsid w:val="007E602B"/>
    <w:rsid w:val="007E64AB"/>
    <w:rsid w:val="007E66A9"/>
    <w:rsid w:val="007E6838"/>
    <w:rsid w:val="007E6C7F"/>
    <w:rsid w:val="007E7051"/>
    <w:rsid w:val="007E7C01"/>
    <w:rsid w:val="007F091F"/>
    <w:rsid w:val="007F0968"/>
    <w:rsid w:val="007F09AF"/>
    <w:rsid w:val="007F0B4C"/>
    <w:rsid w:val="007F1197"/>
    <w:rsid w:val="007F1330"/>
    <w:rsid w:val="007F1465"/>
    <w:rsid w:val="007F14DF"/>
    <w:rsid w:val="007F2089"/>
    <w:rsid w:val="007F26DF"/>
    <w:rsid w:val="007F2734"/>
    <w:rsid w:val="007F2AFB"/>
    <w:rsid w:val="007F2BA5"/>
    <w:rsid w:val="007F2E28"/>
    <w:rsid w:val="007F326C"/>
    <w:rsid w:val="007F348B"/>
    <w:rsid w:val="007F34DB"/>
    <w:rsid w:val="007F3572"/>
    <w:rsid w:val="007F3B04"/>
    <w:rsid w:val="007F3BCF"/>
    <w:rsid w:val="007F3DCF"/>
    <w:rsid w:val="007F4001"/>
    <w:rsid w:val="007F4032"/>
    <w:rsid w:val="007F408A"/>
    <w:rsid w:val="007F40A9"/>
    <w:rsid w:val="007F4364"/>
    <w:rsid w:val="007F44D1"/>
    <w:rsid w:val="007F48DC"/>
    <w:rsid w:val="007F4E8D"/>
    <w:rsid w:val="007F5115"/>
    <w:rsid w:val="007F53A9"/>
    <w:rsid w:val="007F5E6D"/>
    <w:rsid w:val="007F5EEE"/>
    <w:rsid w:val="007F601C"/>
    <w:rsid w:val="007F634C"/>
    <w:rsid w:val="007F639A"/>
    <w:rsid w:val="007F662D"/>
    <w:rsid w:val="007F683C"/>
    <w:rsid w:val="007F6940"/>
    <w:rsid w:val="007F6E5A"/>
    <w:rsid w:val="007F72BA"/>
    <w:rsid w:val="007F7326"/>
    <w:rsid w:val="007F7727"/>
    <w:rsid w:val="0080026D"/>
    <w:rsid w:val="00800A10"/>
    <w:rsid w:val="0080147B"/>
    <w:rsid w:val="00801550"/>
    <w:rsid w:val="0080188C"/>
    <w:rsid w:val="008018D4"/>
    <w:rsid w:val="0080197F"/>
    <w:rsid w:val="0080203D"/>
    <w:rsid w:val="0080227D"/>
    <w:rsid w:val="00802361"/>
    <w:rsid w:val="0080236C"/>
    <w:rsid w:val="00802A96"/>
    <w:rsid w:val="008030C5"/>
    <w:rsid w:val="00803285"/>
    <w:rsid w:val="008037D5"/>
    <w:rsid w:val="00803BED"/>
    <w:rsid w:val="00804EDF"/>
    <w:rsid w:val="008053AF"/>
    <w:rsid w:val="0080559B"/>
    <w:rsid w:val="008056E3"/>
    <w:rsid w:val="008059F9"/>
    <w:rsid w:val="00805BEC"/>
    <w:rsid w:val="00805CE4"/>
    <w:rsid w:val="008061B8"/>
    <w:rsid w:val="008062D0"/>
    <w:rsid w:val="008063B3"/>
    <w:rsid w:val="00806550"/>
    <w:rsid w:val="008067A2"/>
    <w:rsid w:val="00806BD5"/>
    <w:rsid w:val="00806D0C"/>
    <w:rsid w:val="00806FED"/>
    <w:rsid w:val="0080726B"/>
    <w:rsid w:val="0080752F"/>
    <w:rsid w:val="00807621"/>
    <w:rsid w:val="0080798B"/>
    <w:rsid w:val="00807D74"/>
    <w:rsid w:val="00807D79"/>
    <w:rsid w:val="0081117B"/>
    <w:rsid w:val="008116C0"/>
    <w:rsid w:val="008118CE"/>
    <w:rsid w:val="00811950"/>
    <w:rsid w:val="00811955"/>
    <w:rsid w:val="00811B06"/>
    <w:rsid w:val="00811C74"/>
    <w:rsid w:val="00811D30"/>
    <w:rsid w:val="00811D64"/>
    <w:rsid w:val="008120E1"/>
    <w:rsid w:val="0081218D"/>
    <w:rsid w:val="0081269D"/>
    <w:rsid w:val="0081303F"/>
    <w:rsid w:val="008131B4"/>
    <w:rsid w:val="008132C9"/>
    <w:rsid w:val="0081338D"/>
    <w:rsid w:val="008139A9"/>
    <w:rsid w:val="0081456D"/>
    <w:rsid w:val="008148F4"/>
    <w:rsid w:val="00814DB8"/>
    <w:rsid w:val="00814E02"/>
    <w:rsid w:val="00814E28"/>
    <w:rsid w:val="0081502E"/>
    <w:rsid w:val="00815153"/>
    <w:rsid w:val="008158BD"/>
    <w:rsid w:val="00816207"/>
    <w:rsid w:val="00816235"/>
    <w:rsid w:val="0081631D"/>
    <w:rsid w:val="00816363"/>
    <w:rsid w:val="00816982"/>
    <w:rsid w:val="00816C51"/>
    <w:rsid w:val="00817AE1"/>
    <w:rsid w:val="00817BA4"/>
    <w:rsid w:val="00817EF1"/>
    <w:rsid w:val="00820487"/>
    <w:rsid w:val="008204B5"/>
    <w:rsid w:val="008207D9"/>
    <w:rsid w:val="00820904"/>
    <w:rsid w:val="00820BAF"/>
    <w:rsid w:val="008210A5"/>
    <w:rsid w:val="0082199F"/>
    <w:rsid w:val="00821F14"/>
    <w:rsid w:val="0082249D"/>
    <w:rsid w:val="00822692"/>
    <w:rsid w:val="00822AC0"/>
    <w:rsid w:val="00822D4F"/>
    <w:rsid w:val="0082304E"/>
    <w:rsid w:val="008230B5"/>
    <w:rsid w:val="0082322B"/>
    <w:rsid w:val="00823252"/>
    <w:rsid w:val="00823285"/>
    <w:rsid w:val="008235FB"/>
    <w:rsid w:val="00823867"/>
    <w:rsid w:val="00823BCA"/>
    <w:rsid w:val="00823F5B"/>
    <w:rsid w:val="00824199"/>
    <w:rsid w:val="0082432E"/>
    <w:rsid w:val="008243F1"/>
    <w:rsid w:val="00824420"/>
    <w:rsid w:val="00824F2A"/>
    <w:rsid w:val="00824F77"/>
    <w:rsid w:val="008253A8"/>
    <w:rsid w:val="008254D6"/>
    <w:rsid w:val="008257AD"/>
    <w:rsid w:val="008257EC"/>
    <w:rsid w:val="00825C03"/>
    <w:rsid w:val="00825F8F"/>
    <w:rsid w:val="008261F9"/>
    <w:rsid w:val="008262F2"/>
    <w:rsid w:val="008263F0"/>
    <w:rsid w:val="008265EF"/>
    <w:rsid w:val="008266C1"/>
    <w:rsid w:val="00826B64"/>
    <w:rsid w:val="00826E1E"/>
    <w:rsid w:val="0082729C"/>
    <w:rsid w:val="008275A5"/>
    <w:rsid w:val="008275E1"/>
    <w:rsid w:val="0082768F"/>
    <w:rsid w:val="00827745"/>
    <w:rsid w:val="00827BD8"/>
    <w:rsid w:val="00827C54"/>
    <w:rsid w:val="00827D26"/>
    <w:rsid w:val="00827D4B"/>
    <w:rsid w:val="00827E3C"/>
    <w:rsid w:val="00827E69"/>
    <w:rsid w:val="00831115"/>
    <w:rsid w:val="008314FD"/>
    <w:rsid w:val="008318F0"/>
    <w:rsid w:val="00831F01"/>
    <w:rsid w:val="00831FA8"/>
    <w:rsid w:val="008321D9"/>
    <w:rsid w:val="008322F0"/>
    <w:rsid w:val="008327F9"/>
    <w:rsid w:val="00832E94"/>
    <w:rsid w:val="0083358E"/>
    <w:rsid w:val="00833777"/>
    <w:rsid w:val="00833DFB"/>
    <w:rsid w:val="008352A3"/>
    <w:rsid w:val="0083554E"/>
    <w:rsid w:val="00835689"/>
    <w:rsid w:val="00835C38"/>
    <w:rsid w:val="008360A8"/>
    <w:rsid w:val="0083639F"/>
    <w:rsid w:val="00836680"/>
    <w:rsid w:val="00836842"/>
    <w:rsid w:val="00836903"/>
    <w:rsid w:val="00836A86"/>
    <w:rsid w:val="00836BCC"/>
    <w:rsid w:val="00837020"/>
    <w:rsid w:val="0083786C"/>
    <w:rsid w:val="008402B2"/>
    <w:rsid w:val="0084039E"/>
    <w:rsid w:val="00841348"/>
    <w:rsid w:val="008417AD"/>
    <w:rsid w:val="00841AA8"/>
    <w:rsid w:val="00841FF4"/>
    <w:rsid w:val="00842675"/>
    <w:rsid w:val="00842753"/>
    <w:rsid w:val="00842CD6"/>
    <w:rsid w:val="00842FFC"/>
    <w:rsid w:val="008434FD"/>
    <w:rsid w:val="008436BE"/>
    <w:rsid w:val="00843ABD"/>
    <w:rsid w:val="00843C1A"/>
    <w:rsid w:val="00843DE7"/>
    <w:rsid w:val="0084414B"/>
    <w:rsid w:val="0084439E"/>
    <w:rsid w:val="00845B58"/>
    <w:rsid w:val="00845F1F"/>
    <w:rsid w:val="008464FC"/>
    <w:rsid w:val="008465F9"/>
    <w:rsid w:val="00846724"/>
    <w:rsid w:val="0084687F"/>
    <w:rsid w:val="0084697C"/>
    <w:rsid w:val="00846AF8"/>
    <w:rsid w:val="008471F2"/>
    <w:rsid w:val="00847219"/>
    <w:rsid w:val="00847478"/>
    <w:rsid w:val="00847680"/>
    <w:rsid w:val="00847C93"/>
    <w:rsid w:val="00847E33"/>
    <w:rsid w:val="00850125"/>
    <w:rsid w:val="008501A4"/>
    <w:rsid w:val="008501F4"/>
    <w:rsid w:val="008502D3"/>
    <w:rsid w:val="00850D3D"/>
    <w:rsid w:val="00850E32"/>
    <w:rsid w:val="00851326"/>
    <w:rsid w:val="00851872"/>
    <w:rsid w:val="0085192D"/>
    <w:rsid w:val="00851C92"/>
    <w:rsid w:val="00851DA5"/>
    <w:rsid w:val="0085249B"/>
    <w:rsid w:val="0085263D"/>
    <w:rsid w:val="00852C89"/>
    <w:rsid w:val="00852D55"/>
    <w:rsid w:val="00853176"/>
    <w:rsid w:val="00853323"/>
    <w:rsid w:val="008534C1"/>
    <w:rsid w:val="008534E2"/>
    <w:rsid w:val="00853E64"/>
    <w:rsid w:val="00853F5D"/>
    <w:rsid w:val="0085406D"/>
    <w:rsid w:val="0085406E"/>
    <w:rsid w:val="0085450C"/>
    <w:rsid w:val="00854585"/>
    <w:rsid w:val="008545C6"/>
    <w:rsid w:val="00854A4E"/>
    <w:rsid w:val="00854C25"/>
    <w:rsid w:val="00854D93"/>
    <w:rsid w:val="00854DD7"/>
    <w:rsid w:val="00854FF8"/>
    <w:rsid w:val="008550C6"/>
    <w:rsid w:val="00855163"/>
    <w:rsid w:val="008557F1"/>
    <w:rsid w:val="00855DA2"/>
    <w:rsid w:val="00855DF0"/>
    <w:rsid w:val="008560CE"/>
    <w:rsid w:val="008561A6"/>
    <w:rsid w:val="008564DA"/>
    <w:rsid w:val="00857044"/>
    <w:rsid w:val="008570D3"/>
    <w:rsid w:val="008579E3"/>
    <w:rsid w:val="00857B4D"/>
    <w:rsid w:val="00857C28"/>
    <w:rsid w:val="00860617"/>
    <w:rsid w:val="008606CC"/>
    <w:rsid w:val="0086076B"/>
    <w:rsid w:val="008607E1"/>
    <w:rsid w:val="00860B71"/>
    <w:rsid w:val="0086171C"/>
    <w:rsid w:val="00861883"/>
    <w:rsid w:val="008618CA"/>
    <w:rsid w:val="008619BC"/>
    <w:rsid w:val="00861DC9"/>
    <w:rsid w:val="008622E4"/>
    <w:rsid w:val="008623CA"/>
    <w:rsid w:val="008623FE"/>
    <w:rsid w:val="00862655"/>
    <w:rsid w:val="00862667"/>
    <w:rsid w:val="0086279B"/>
    <w:rsid w:val="00862FFA"/>
    <w:rsid w:val="00863AAB"/>
    <w:rsid w:val="00863BA0"/>
    <w:rsid w:val="00863DB4"/>
    <w:rsid w:val="00863E70"/>
    <w:rsid w:val="00863FE2"/>
    <w:rsid w:val="008641D0"/>
    <w:rsid w:val="00864286"/>
    <w:rsid w:val="00864461"/>
    <w:rsid w:val="00864859"/>
    <w:rsid w:val="00864879"/>
    <w:rsid w:val="00864E19"/>
    <w:rsid w:val="00864E47"/>
    <w:rsid w:val="00864F0F"/>
    <w:rsid w:val="00865100"/>
    <w:rsid w:val="00865445"/>
    <w:rsid w:val="00865483"/>
    <w:rsid w:val="008657AF"/>
    <w:rsid w:val="0086594F"/>
    <w:rsid w:val="0086599F"/>
    <w:rsid w:val="00865B87"/>
    <w:rsid w:val="00865BFD"/>
    <w:rsid w:val="00865E0A"/>
    <w:rsid w:val="00865F76"/>
    <w:rsid w:val="00866571"/>
    <w:rsid w:val="0086687A"/>
    <w:rsid w:val="00866A5C"/>
    <w:rsid w:val="00866B22"/>
    <w:rsid w:val="00866E49"/>
    <w:rsid w:val="00867217"/>
    <w:rsid w:val="00867B0F"/>
    <w:rsid w:val="00867FCB"/>
    <w:rsid w:val="00870847"/>
    <w:rsid w:val="0087089B"/>
    <w:rsid w:val="00870E07"/>
    <w:rsid w:val="00870F42"/>
    <w:rsid w:val="00870F54"/>
    <w:rsid w:val="00871092"/>
    <w:rsid w:val="00871236"/>
    <w:rsid w:val="0087143C"/>
    <w:rsid w:val="0087170F"/>
    <w:rsid w:val="00871817"/>
    <w:rsid w:val="00871D76"/>
    <w:rsid w:val="00872018"/>
    <w:rsid w:val="00872463"/>
    <w:rsid w:val="00872609"/>
    <w:rsid w:val="00872F79"/>
    <w:rsid w:val="00873031"/>
    <w:rsid w:val="008733C0"/>
    <w:rsid w:val="008734E2"/>
    <w:rsid w:val="00873950"/>
    <w:rsid w:val="00873AE6"/>
    <w:rsid w:val="00873EA9"/>
    <w:rsid w:val="00873F80"/>
    <w:rsid w:val="0087457D"/>
    <w:rsid w:val="0087491C"/>
    <w:rsid w:val="00874ABA"/>
    <w:rsid w:val="00874B03"/>
    <w:rsid w:val="00874B97"/>
    <w:rsid w:val="00874D9C"/>
    <w:rsid w:val="00874FBB"/>
    <w:rsid w:val="008756A8"/>
    <w:rsid w:val="008759F9"/>
    <w:rsid w:val="00875D2F"/>
    <w:rsid w:val="00876138"/>
    <w:rsid w:val="008765A7"/>
    <w:rsid w:val="00876EFD"/>
    <w:rsid w:val="00877050"/>
    <w:rsid w:val="00877382"/>
    <w:rsid w:val="008774A2"/>
    <w:rsid w:val="00877907"/>
    <w:rsid w:val="00877E1B"/>
    <w:rsid w:val="00877EEE"/>
    <w:rsid w:val="00877F26"/>
    <w:rsid w:val="00880030"/>
    <w:rsid w:val="00880373"/>
    <w:rsid w:val="008808E3"/>
    <w:rsid w:val="00880FF0"/>
    <w:rsid w:val="008810CD"/>
    <w:rsid w:val="008813D4"/>
    <w:rsid w:val="0088172E"/>
    <w:rsid w:val="00881A1B"/>
    <w:rsid w:val="00881D55"/>
    <w:rsid w:val="00881E11"/>
    <w:rsid w:val="0088221C"/>
    <w:rsid w:val="0088276A"/>
    <w:rsid w:val="00882F23"/>
    <w:rsid w:val="0088305E"/>
    <w:rsid w:val="00883797"/>
    <w:rsid w:val="008839E5"/>
    <w:rsid w:val="00884070"/>
    <w:rsid w:val="0088408C"/>
    <w:rsid w:val="008848D9"/>
    <w:rsid w:val="00884A1F"/>
    <w:rsid w:val="00884BDF"/>
    <w:rsid w:val="00885147"/>
    <w:rsid w:val="0088568D"/>
    <w:rsid w:val="008862A5"/>
    <w:rsid w:val="00886685"/>
    <w:rsid w:val="0088702C"/>
    <w:rsid w:val="008872BC"/>
    <w:rsid w:val="008873BF"/>
    <w:rsid w:val="0088742C"/>
    <w:rsid w:val="0088759A"/>
    <w:rsid w:val="00887B76"/>
    <w:rsid w:val="00887C39"/>
    <w:rsid w:val="0089015A"/>
    <w:rsid w:val="008905BE"/>
    <w:rsid w:val="008906F4"/>
    <w:rsid w:val="008906FE"/>
    <w:rsid w:val="00891255"/>
    <w:rsid w:val="00891488"/>
    <w:rsid w:val="0089151B"/>
    <w:rsid w:val="00891676"/>
    <w:rsid w:val="00891B28"/>
    <w:rsid w:val="00891DFD"/>
    <w:rsid w:val="00892105"/>
    <w:rsid w:val="008922A8"/>
    <w:rsid w:val="008928FF"/>
    <w:rsid w:val="00892E7C"/>
    <w:rsid w:val="00893265"/>
    <w:rsid w:val="008937D7"/>
    <w:rsid w:val="008937E9"/>
    <w:rsid w:val="00893D3B"/>
    <w:rsid w:val="0089405F"/>
    <w:rsid w:val="008944EF"/>
    <w:rsid w:val="00894508"/>
    <w:rsid w:val="00894540"/>
    <w:rsid w:val="00895196"/>
    <w:rsid w:val="008959A0"/>
    <w:rsid w:val="00896129"/>
    <w:rsid w:val="00896461"/>
    <w:rsid w:val="008968A0"/>
    <w:rsid w:val="00896ADA"/>
    <w:rsid w:val="00896F7F"/>
    <w:rsid w:val="008973DB"/>
    <w:rsid w:val="00897686"/>
    <w:rsid w:val="00897B6C"/>
    <w:rsid w:val="008A0434"/>
    <w:rsid w:val="008A0A85"/>
    <w:rsid w:val="008A0B92"/>
    <w:rsid w:val="008A128A"/>
    <w:rsid w:val="008A1665"/>
    <w:rsid w:val="008A18C5"/>
    <w:rsid w:val="008A1D86"/>
    <w:rsid w:val="008A24B7"/>
    <w:rsid w:val="008A25CD"/>
    <w:rsid w:val="008A2630"/>
    <w:rsid w:val="008A2C35"/>
    <w:rsid w:val="008A2D03"/>
    <w:rsid w:val="008A3022"/>
    <w:rsid w:val="008A3181"/>
    <w:rsid w:val="008A37D5"/>
    <w:rsid w:val="008A3AB4"/>
    <w:rsid w:val="008A3D2D"/>
    <w:rsid w:val="008A419C"/>
    <w:rsid w:val="008A4359"/>
    <w:rsid w:val="008A465F"/>
    <w:rsid w:val="008A4774"/>
    <w:rsid w:val="008A4911"/>
    <w:rsid w:val="008A4D52"/>
    <w:rsid w:val="008A531D"/>
    <w:rsid w:val="008A58AB"/>
    <w:rsid w:val="008A6970"/>
    <w:rsid w:val="008A6E84"/>
    <w:rsid w:val="008A6F9C"/>
    <w:rsid w:val="008A716B"/>
    <w:rsid w:val="008A73FA"/>
    <w:rsid w:val="008A76ED"/>
    <w:rsid w:val="008A79ED"/>
    <w:rsid w:val="008A7AE3"/>
    <w:rsid w:val="008B0150"/>
    <w:rsid w:val="008B0319"/>
    <w:rsid w:val="008B0374"/>
    <w:rsid w:val="008B03E0"/>
    <w:rsid w:val="008B0638"/>
    <w:rsid w:val="008B083D"/>
    <w:rsid w:val="008B090B"/>
    <w:rsid w:val="008B1616"/>
    <w:rsid w:val="008B1629"/>
    <w:rsid w:val="008B169D"/>
    <w:rsid w:val="008B16CA"/>
    <w:rsid w:val="008B1FB8"/>
    <w:rsid w:val="008B240D"/>
    <w:rsid w:val="008B263A"/>
    <w:rsid w:val="008B26F2"/>
    <w:rsid w:val="008B2A00"/>
    <w:rsid w:val="008B2ADA"/>
    <w:rsid w:val="008B2CC7"/>
    <w:rsid w:val="008B2E2F"/>
    <w:rsid w:val="008B3E8D"/>
    <w:rsid w:val="008B3F05"/>
    <w:rsid w:val="008B4029"/>
    <w:rsid w:val="008B42CA"/>
    <w:rsid w:val="008B4A47"/>
    <w:rsid w:val="008B4A74"/>
    <w:rsid w:val="008B51D6"/>
    <w:rsid w:val="008B524F"/>
    <w:rsid w:val="008B5E01"/>
    <w:rsid w:val="008B5E61"/>
    <w:rsid w:val="008B5E70"/>
    <w:rsid w:val="008B6077"/>
    <w:rsid w:val="008B648B"/>
    <w:rsid w:val="008B65DD"/>
    <w:rsid w:val="008B678B"/>
    <w:rsid w:val="008B6E1D"/>
    <w:rsid w:val="008B6F20"/>
    <w:rsid w:val="008B745F"/>
    <w:rsid w:val="008B74D9"/>
    <w:rsid w:val="008B7526"/>
    <w:rsid w:val="008B7F3E"/>
    <w:rsid w:val="008C00CC"/>
    <w:rsid w:val="008C01C6"/>
    <w:rsid w:val="008C027D"/>
    <w:rsid w:val="008C070D"/>
    <w:rsid w:val="008C0E21"/>
    <w:rsid w:val="008C0FA2"/>
    <w:rsid w:val="008C0FF0"/>
    <w:rsid w:val="008C1315"/>
    <w:rsid w:val="008C1469"/>
    <w:rsid w:val="008C1764"/>
    <w:rsid w:val="008C1840"/>
    <w:rsid w:val="008C1C1D"/>
    <w:rsid w:val="008C1FC7"/>
    <w:rsid w:val="008C1FF1"/>
    <w:rsid w:val="008C21A7"/>
    <w:rsid w:val="008C2B04"/>
    <w:rsid w:val="008C2C98"/>
    <w:rsid w:val="008C3080"/>
    <w:rsid w:val="008C310E"/>
    <w:rsid w:val="008C324A"/>
    <w:rsid w:val="008C3927"/>
    <w:rsid w:val="008C3AE5"/>
    <w:rsid w:val="008C3D91"/>
    <w:rsid w:val="008C3E08"/>
    <w:rsid w:val="008C43A9"/>
    <w:rsid w:val="008C4508"/>
    <w:rsid w:val="008C4565"/>
    <w:rsid w:val="008C4633"/>
    <w:rsid w:val="008C47FD"/>
    <w:rsid w:val="008C4C69"/>
    <w:rsid w:val="008C4CE4"/>
    <w:rsid w:val="008C507F"/>
    <w:rsid w:val="008C53DD"/>
    <w:rsid w:val="008C57A7"/>
    <w:rsid w:val="008C57BE"/>
    <w:rsid w:val="008C5B49"/>
    <w:rsid w:val="008C5B6F"/>
    <w:rsid w:val="008C5E17"/>
    <w:rsid w:val="008C6483"/>
    <w:rsid w:val="008C69B6"/>
    <w:rsid w:val="008C6A5E"/>
    <w:rsid w:val="008C6A79"/>
    <w:rsid w:val="008C6F83"/>
    <w:rsid w:val="008C70B6"/>
    <w:rsid w:val="008C778A"/>
    <w:rsid w:val="008C7803"/>
    <w:rsid w:val="008C78D2"/>
    <w:rsid w:val="008C7A34"/>
    <w:rsid w:val="008C7A6F"/>
    <w:rsid w:val="008C7B23"/>
    <w:rsid w:val="008CFDB2"/>
    <w:rsid w:val="008D0283"/>
    <w:rsid w:val="008D0660"/>
    <w:rsid w:val="008D0A97"/>
    <w:rsid w:val="008D11F9"/>
    <w:rsid w:val="008D13C0"/>
    <w:rsid w:val="008D1636"/>
    <w:rsid w:val="008D1BCD"/>
    <w:rsid w:val="008D24D1"/>
    <w:rsid w:val="008D29AD"/>
    <w:rsid w:val="008D29C0"/>
    <w:rsid w:val="008D2E3A"/>
    <w:rsid w:val="008D30E2"/>
    <w:rsid w:val="008D34AD"/>
    <w:rsid w:val="008D35E4"/>
    <w:rsid w:val="008D3710"/>
    <w:rsid w:val="008D397C"/>
    <w:rsid w:val="008D3A33"/>
    <w:rsid w:val="008D3A5F"/>
    <w:rsid w:val="008D3FF3"/>
    <w:rsid w:val="008D4044"/>
    <w:rsid w:val="008D48C4"/>
    <w:rsid w:val="008D4A62"/>
    <w:rsid w:val="008D4E18"/>
    <w:rsid w:val="008D4F9B"/>
    <w:rsid w:val="008D5BA8"/>
    <w:rsid w:val="008D5E12"/>
    <w:rsid w:val="008D5E56"/>
    <w:rsid w:val="008D5EF4"/>
    <w:rsid w:val="008D5F08"/>
    <w:rsid w:val="008D6096"/>
    <w:rsid w:val="008D6203"/>
    <w:rsid w:val="008D6DB9"/>
    <w:rsid w:val="008D703E"/>
    <w:rsid w:val="008D7052"/>
    <w:rsid w:val="008D74DF"/>
    <w:rsid w:val="008D75F7"/>
    <w:rsid w:val="008D77C8"/>
    <w:rsid w:val="008D7959"/>
    <w:rsid w:val="008D7C47"/>
    <w:rsid w:val="008D7D9E"/>
    <w:rsid w:val="008E017B"/>
    <w:rsid w:val="008E01AB"/>
    <w:rsid w:val="008E0385"/>
    <w:rsid w:val="008E0437"/>
    <w:rsid w:val="008E04ED"/>
    <w:rsid w:val="008E071F"/>
    <w:rsid w:val="008E09B7"/>
    <w:rsid w:val="008E0B68"/>
    <w:rsid w:val="008E0F46"/>
    <w:rsid w:val="008E0FF8"/>
    <w:rsid w:val="008E1054"/>
    <w:rsid w:val="008E1204"/>
    <w:rsid w:val="008E19DE"/>
    <w:rsid w:val="008E1A13"/>
    <w:rsid w:val="008E1CD5"/>
    <w:rsid w:val="008E267C"/>
    <w:rsid w:val="008E2AEF"/>
    <w:rsid w:val="008E2BE8"/>
    <w:rsid w:val="008E30AB"/>
    <w:rsid w:val="008E329C"/>
    <w:rsid w:val="008E3433"/>
    <w:rsid w:val="008E3721"/>
    <w:rsid w:val="008E3843"/>
    <w:rsid w:val="008E388A"/>
    <w:rsid w:val="008E38F2"/>
    <w:rsid w:val="008E3E06"/>
    <w:rsid w:val="008E3EB1"/>
    <w:rsid w:val="008E45A0"/>
    <w:rsid w:val="008E4B02"/>
    <w:rsid w:val="008E5154"/>
    <w:rsid w:val="008E5574"/>
    <w:rsid w:val="008E5939"/>
    <w:rsid w:val="008E606F"/>
    <w:rsid w:val="008E66C8"/>
    <w:rsid w:val="008E6A82"/>
    <w:rsid w:val="008E6AE8"/>
    <w:rsid w:val="008E6C03"/>
    <w:rsid w:val="008E707B"/>
    <w:rsid w:val="008E70AF"/>
    <w:rsid w:val="008E71B9"/>
    <w:rsid w:val="008E7570"/>
    <w:rsid w:val="008E76E7"/>
    <w:rsid w:val="008E7855"/>
    <w:rsid w:val="008E7C70"/>
    <w:rsid w:val="008F0248"/>
    <w:rsid w:val="008F027D"/>
    <w:rsid w:val="008F0293"/>
    <w:rsid w:val="008F02B5"/>
    <w:rsid w:val="008F05F4"/>
    <w:rsid w:val="008F0CFB"/>
    <w:rsid w:val="008F0D2E"/>
    <w:rsid w:val="008F0DB6"/>
    <w:rsid w:val="008F0DEF"/>
    <w:rsid w:val="008F0EF3"/>
    <w:rsid w:val="008F0EF4"/>
    <w:rsid w:val="008F11FE"/>
    <w:rsid w:val="008F1BAB"/>
    <w:rsid w:val="008F21D1"/>
    <w:rsid w:val="008F23E8"/>
    <w:rsid w:val="008F241A"/>
    <w:rsid w:val="008F2456"/>
    <w:rsid w:val="008F2631"/>
    <w:rsid w:val="008F2672"/>
    <w:rsid w:val="008F2F1A"/>
    <w:rsid w:val="008F333B"/>
    <w:rsid w:val="008F3616"/>
    <w:rsid w:val="008F3A8C"/>
    <w:rsid w:val="008F3DDF"/>
    <w:rsid w:val="008F4676"/>
    <w:rsid w:val="008F4A25"/>
    <w:rsid w:val="008F4C47"/>
    <w:rsid w:val="008F4D8A"/>
    <w:rsid w:val="008F4EC6"/>
    <w:rsid w:val="008F503F"/>
    <w:rsid w:val="008F569D"/>
    <w:rsid w:val="008F57BE"/>
    <w:rsid w:val="008F5F97"/>
    <w:rsid w:val="008F6433"/>
    <w:rsid w:val="008F67A8"/>
    <w:rsid w:val="008F6810"/>
    <w:rsid w:val="008F6966"/>
    <w:rsid w:val="008F6995"/>
    <w:rsid w:val="008F6B1D"/>
    <w:rsid w:val="008F6B6E"/>
    <w:rsid w:val="008F6BDB"/>
    <w:rsid w:val="008F6D32"/>
    <w:rsid w:val="008F766D"/>
    <w:rsid w:val="008F7702"/>
    <w:rsid w:val="008F7D33"/>
    <w:rsid w:val="009000F2"/>
    <w:rsid w:val="009002BE"/>
    <w:rsid w:val="0090052B"/>
    <w:rsid w:val="0090085E"/>
    <w:rsid w:val="009008D8"/>
    <w:rsid w:val="00900B58"/>
    <w:rsid w:val="00900C46"/>
    <w:rsid w:val="0090132D"/>
    <w:rsid w:val="009018F3"/>
    <w:rsid w:val="00901DFB"/>
    <w:rsid w:val="00901F4C"/>
    <w:rsid w:val="00902543"/>
    <w:rsid w:val="0090282A"/>
    <w:rsid w:val="009028A5"/>
    <w:rsid w:val="009028D8"/>
    <w:rsid w:val="00902E4D"/>
    <w:rsid w:val="009030F0"/>
    <w:rsid w:val="00903450"/>
    <w:rsid w:val="00903A0D"/>
    <w:rsid w:val="00903B6A"/>
    <w:rsid w:val="00903CE3"/>
    <w:rsid w:val="00903E42"/>
    <w:rsid w:val="00904096"/>
    <w:rsid w:val="009044C8"/>
    <w:rsid w:val="00904937"/>
    <w:rsid w:val="00904A0A"/>
    <w:rsid w:val="00904C4C"/>
    <w:rsid w:val="00905222"/>
    <w:rsid w:val="009059A0"/>
    <w:rsid w:val="00905AA7"/>
    <w:rsid w:val="00905D4C"/>
    <w:rsid w:val="00905F78"/>
    <w:rsid w:val="009060DD"/>
    <w:rsid w:val="0090658A"/>
    <w:rsid w:val="00906700"/>
    <w:rsid w:val="00906757"/>
    <w:rsid w:val="0090697E"/>
    <w:rsid w:val="00906AC0"/>
    <w:rsid w:val="00906B5C"/>
    <w:rsid w:val="00906BF0"/>
    <w:rsid w:val="009074C6"/>
    <w:rsid w:val="00907767"/>
    <w:rsid w:val="00907843"/>
    <w:rsid w:val="009079D4"/>
    <w:rsid w:val="0091031D"/>
    <w:rsid w:val="0091056F"/>
    <w:rsid w:val="00910597"/>
    <w:rsid w:val="0091069E"/>
    <w:rsid w:val="00910CDD"/>
    <w:rsid w:val="0091101B"/>
    <w:rsid w:val="009111D6"/>
    <w:rsid w:val="0091163F"/>
    <w:rsid w:val="00911E43"/>
    <w:rsid w:val="0091231B"/>
    <w:rsid w:val="009126A3"/>
    <w:rsid w:val="0091285B"/>
    <w:rsid w:val="00912B0F"/>
    <w:rsid w:val="009130F5"/>
    <w:rsid w:val="00913124"/>
    <w:rsid w:val="009133CB"/>
    <w:rsid w:val="00913540"/>
    <w:rsid w:val="00913724"/>
    <w:rsid w:val="00913C7A"/>
    <w:rsid w:val="00913DF6"/>
    <w:rsid w:val="00913ECD"/>
    <w:rsid w:val="009145AA"/>
    <w:rsid w:val="00914B9D"/>
    <w:rsid w:val="00914CE0"/>
    <w:rsid w:val="00914DC5"/>
    <w:rsid w:val="0091506C"/>
    <w:rsid w:val="00915A5C"/>
    <w:rsid w:val="00915BB6"/>
    <w:rsid w:val="00915E1E"/>
    <w:rsid w:val="00915F0F"/>
    <w:rsid w:val="009161BE"/>
    <w:rsid w:val="009161EA"/>
    <w:rsid w:val="009164B7"/>
    <w:rsid w:val="00916C39"/>
    <w:rsid w:val="009173DC"/>
    <w:rsid w:val="00917564"/>
    <w:rsid w:val="00917C15"/>
    <w:rsid w:val="00917ED4"/>
    <w:rsid w:val="0092027B"/>
    <w:rsid w:val="00920C7B"/>
    <w:rsid w:val="00920EEA"/>
    <w:rsid w:val="00920F18"/>
    <w:rsid w:val="009214CA"/>
    <w:rsid w:val="00921907"/>
    <w:rsid w:val="00922A70"/>
    <w:rsid w:val="00922B7D"/>
    <w:rsid w:val="00922DEC"/>
    <w:rsid w:val="00922E06"/>
    <w:rsid w:val="0092356B"/>
    <w:rsid w:val="00923E08"/>
    <w:rsid w:val="009240E8"/>
    <w:rsid w:val="00924757"/>
    <w:rsid w:val="00924DE7"/>
    <w:rsid w:val="0092558C"/>
    <w:rsid w:val="0092568F"/>
    <w:rsid w:val="009257EA"/>
    <w:rsid w:val="0092597A"/>
    <w:rsid w:val="00925AD5"/>
    <w:rsid w:val="00925E2C"/>
    <w:rsid w:val="00926031"/>
    <w:rsid w:val="00926371"/>
    <w:rsid w:val="009269F6"/>
    <w:rsid w:val="00926B86"/>
    <w:rsid w:val="00926BDA"/>
    <w:rsid w:val="00926D64"/>
    <w:rsid w:val="00926ED3"/>
    <w:rsid w:val="00926F4D"/>
    <w:rsid w:val="00926FFE"/>
    <w:rsid w:val="009277F4"/>
    <w:rsid w:val="00927911"/>
    <w:rsid w:val="00927E46"/>
    <w:rsid w:val="0093036F"/>
    <w:rsid w:val="00930678"/>
    <w:rsid w:val="00930736"/>
    <w:rsid w:val="009309FA"/>
    <w:rsid w:val="009311CF"/>
    <w:rsid w:val="0093138B"/>
    <w:rsid w:val="00931466"/>
    <w:rsid w:val="0093194F"/>
    <w:rsid w:val="00931E05"/>
    <w:rsid w:val="00931F0C"/>
    <w:rsid w:val="009321FF"/>
    <w:rsid w:val="009322FB"/>
    <w:rsid w:val="0093233E"/>
    <w:rsid w:val="00932608"/>
    <w:rsid w:val="00932A10"/>
    <w:rsid w:val="00932CD7"/>
    <w:rsid w:val="009331E0"/>
    <w:rsid w:val="0093331D"/>
    <w:rsid w:val="009348EE"/>
    <w:rsid w:val="00934CD3"/>
    <w:rsid w:val="00934D96"/>
    <w:rsid w:val="00934DF7"/>
    <w:rsid w:val="00935E66"/>
    <w:rsid w:val="009360E3"/>
    <w:rsid w:val="0093622D"/>
    <w:rsid w:val="009364BC"/>
    <w:rsid w:val="00936614"/>
    <w:rsid w:val="00936726"/>
    <w:rsid w:val="00936851"/>
    <w:rsid w:val="00936D32"/>
    <w:rsid w:val="00937458"/>
    <w:rsid w:val="0093764C"/>
    <w:rsid w:val="00937751"/>
    <w:rsid w:val="00937860"/>
    <w:rsid w:val="00937C29"/>
    <w:rsid w:val="00937DEE"/>
    <w:rsid w:val="00937FC4"/>
    <w:rsid w:val="0094097E"/>
    <w:rsid w:val="00941206"/>
    <w:rsid w:val="00941746"/>
    <w:rsid w:val="0094175F"/>
    <w:rsid w:val="00941AC0"/>
    <w:rsid w:val="00941B0F"/>
    <w:rsid w:val="00941C48"/>
    <w:rsid w:val="00941E91"/>
    <w:rsid w:val="00941F10"/>
    <w:rsid w:val="00941F9C"/>
    <w:rsid w:val="00942895"/>
    <w:rsid w:val="00942EBA"/>
    <w:rsid w:val="00943068"/>
    <w:rsid w:val="009438A6"/>
    <w:rsid w:val="0094390B"/>
    <w:rsid w:val="00943F97"/>
    <w:rsid w:val="009443F0"/>
    <w:rsid w:val="00944518"/>
    <w:rsid w:val="009445AC"/>
    <w:rsid w:val="00944779"/>
    <w:rsid w:val="00944947"/>
    <w:rsid w:val="00944C12"/>
    <w:rsid w:val="00944D7D"/>
    <w:rsid w:val="00944F5D"/>
    <w:rsid w:val="009450C2"/>
    <w:rsid w:val="0094519E"/>
    <w:rsid w:val="00945223"/>
    <w:rsid w:val="009453A1"/>
    <w:rsid w:val="0094554F"/>
    <w:rsid w:val="0094564D"/>
    <w:rsid w:val="00945770"/>
    <w:rsid w:val="009459F0"/>
    <w:rsid w:val="00945F9A"/>
    <w:rsid w:val="00946289"/>
    <w:rsid w:val="009464D9"/>
    <w:rsid w:val="00946A0A"/>
    <w:rsid w:val="00946C2A"/>
    <w:rsid w:val="00946F8E"/>
    <w:rsid w:val="009475FF"/>
    <w:rsid w:val="00950167"/>
    <w:rsid w:val="009501CB"/>
    <w:rsid w:val="00950208"/>
    <w:rsid w:val="009505F8"/>
    <w:rsid w:val="00950705"/>
    <w:rsid w:val="00950C74"/>
    <w:rsid w:val="00950F82"/>
    <w:rsid w:val="00950F85"/>
    <w:rsid w:val="00951675"/>
    <w:rsid w:val="00951B4E"/>
    <w:rsid w:val="00951C35"/>
    <w:rsid w:val="00951DBA"/>
    <w:rsid w:val="00952139"/>
    <w:rsid w:val="009523D0"/>
    <w:rsid w:val="00952661"/>
    <w:rsid w:val="00952864"/>
    <w:rsid w:val="009528D6"/>
    <w:rsid w:val="00952FB8"/>
    <w:rsid w:val="00953065"/>
    <w:rsid w:val="00953228"/>
    <w:rsid w:val="00953621"/>
    <w:rsid w:val="00953C2C"/>
    <w:rsid w:val="00953D72"/>
    <w:rsid w:val="00954029"/>
    <w:rsid w:val="009547FF"/>
    <w:rsid w:val="00954F0B"/>
    <w:rsid w:val="00955402"/>
    <w:rsid w:val="009555D5"/>
    <w:rsid w:val="00955C32"/>
    <w:rsid w:val="0095620A"/>
    <w:rsid w:val="00956899"/>
    <w:rsid w:val="00956B46"/>
    <w:rsid w:val="00956C95"/>
    <w:rsid w:val="009570F1"/>
    <w:rsid w:val="0095713E"/>
    <w:rsid w:val="009574AC"/>
    <w:rsid w:val="00957540"/>
    <w:rsid w:val="00957ACF"/>
    <w:rsid w:val="00957C7B"/>
    <w:rsid w:val="009602BF"/>
    <w:rsid w:val="00960330"/>
    <w:rsid w:val="009605A1"/>
    <w:rsid w:val="009609C9"/>
    <w:rsid w:val="00960B12"/>
    <w:rsid w:val="00960CD7"/>
    <w:rsid w:val="00960D51"/>
    <w:rsid w:val="0096132A"/>
    <w:rsid w:val="00961529"/>
    <w:rsid w:val="009616FB"/>
    <w:rsid w:val="00961891"/>
    <w:rsid w:val="009618B3"/>
    <w:rsid w:val="00961A65"/>
    <w:rsid w:val="00961DC0"/>
    <w:rsid w:val="00961E04"/>
    <w:rsid w:val="0096230A"/>
    <w:rsid w:val="009624BF"/>
    <w:rsid w:val="009630C9"/>
    <w:rsid w:val="00963119"/>
    <w:rsid w:val="00963346"/>
    <w:rsid w:val="009634D1"/>
    <w:rsid w:val="00963A11"/>
    <w:rsid w:val="00963E57"/>
    <w:rsid w:val="00964239"/>
    <w:rsid w:val="009644A7"/>
    <w:rsid w:val="00964B5B"/>
    <w:rsid w:val="00964B81"/>
    <w:rsid w:val="00964BBB"/>
    <w:rsid w:val="00964EB5"/>
    <w:rsid w:val="00965216"/>
    <w:rsid w:val="00965895"/>
    <w:rsid w:val="00965F1F"/>
    <w:rsid w:val="00966204"/>
    <w:rsid w:val="009662F0"/>
    <w:rsid w:val="009668F7"/>
    <w:rsid w:val="0096756C"/>
    <w:rsid w:val="0096757D"/>
    <w:rsid w:val="009677B7"/>
    <w:rsid w:val="0096788C"/>
    <w:rsid w:val="00967FE2"/>
    <w:rsid w:val="0097031C"/>
    <w:rsid w:val="00970379"/>
    <w:rsid w:val="009705E3"/>
    <w:rsid w:val="0097073C"/>
    <w:rsid w:val="00970786"/>
    <w:rsid w:val="00970897"/>
    <w:rsid w:val="00970BC8"/>
    <w:rsid w:val="00970E45"/>
    <w:rsid w:val="0097127C"/>
    <w:rsid w:val="009717F8"/>
    <w:rsid w:val="00971AE8"/>
    <w:rsid w:val="00971D4E"/>
    <w:rsid w:val="00971D99"/>
    <w:rsid w:val="00971EBD"/>
    <w:rsid w:val="0097215C"/>
    <w:rsid w:val="00972A91"/>
    <w:rsid w:val="0097321D"/>
    <w:rsid w:val="009734E2"/>
    <w:rsid w:val="009737D4"/>
    <w:rsid w:val="00973BBD"/>
    <w:rsid w:val="00973BF2"/>
    <w:rsid w:val="00973CDA"/>
    <w:rsid w:val="00973E21"/>
    <w:rsid w:val="00973E65"/>
    <w:rsid w:val="00973EA7"/>
    <w:rsid w:val="009742EA"/>
    <w:rsid w:val="00974573"/>
    <w:rsid w:val="00974614"/>
    <w:rsid w:val="00974858"/>
    <w:rsid w:val="009759BA"/>
    <w:rsid w:val="00975D00"/>
    <w:rsid w:val="00975EE3"/>
    <w:rsid w:val="00976203"/>
    <w:rsid w:val="009762F8"/>
    <w:rsid w:val="00976434"/>
    <w:rsid w:val="009764EF"/>
    <w:rsid w:val="0097671F"/>
    <w:rsid w:val="00976AB2"/>
    <w:rsid w:val="00976FF1"/>
    <w:rsid w:val="00977079"/>
    <w:rsid w:val="0097711D"/>
    <w:rsid w:val="00977543"/>
    <w:rsid w:val="00977A1C"/>
    <w:rsid w:val="00977E8F"/>
    <w:rsid w:val="00980161"/>
    <w:rsid w:val="0098036D"/>
    <w:rsid w:val="00981223"/>
    <w:rsid w:val="009814D5"/>
    <w:rsid w:val="009816FF"/>
    <w:rsid w:val="0098205D"/>
    <w:rsid w:val="009824C4"/>
    <w:rsid w:val="00982621"/>
    <w:rsid w:val="00982743"/>
    <w:rsid w:val="0098292E"/>
    <w:rsid w:val="00982CA2"/>
    <w:rsid w:val="0098308E"/>
    <w:rsid w:val="00983215"/>
    <w:rsid w:val="009832F9"/>
    <w:rsid w:val="00983814"/>
    <w:rsid w:val="00983C6C"/>
    <w:rsid w:val="009840FB"/>
    <w:rsid w:val="00984590"/>
    <w:rsid w:val="00984D22"/>
    <w:rsid w:val="00984E78"/>
    <w:rsid w:val="00984F3B"/>
    <w:rsid w:val="00985163"/>
    <w:rsid w:val="0098552B"/>
    <w:rsid w:val="0098558D"/>
    <w:rsid w:val="0098564A"/>
    <w:rsid w:val="0098576B"/>
    <w:rsid w:val="00985780"/>
    <w:rsid w:val="00985EF6"/>
    <w:rsid w:val="00986056"/>
    <w:rsid w:val="00986381"/>
    <w:rsid w:val="00986541"/>
    <w:rsid w:val="00986684"/>
    <w:rsid w:val="00986965"/>
    <w:rsid w:val="00986AD5"/>
    <w:rsid w:val="009875B4"/>
    <w:rsid w:val="009878D7"/>
    <w:rsid w:val="00987D88"/>
    <w:rsid w:val="009907E5"/>
    <w:rsid w:val="009916E4"/>
    <w:rsid w:val="0099197A"/>
    <w:rsid w:val="00991A30"/>
    <w:rsid w:val="00991D4B"/>
    <w:rsid w:val="00991EAF"/>
    <w:rsid w:val="0099292A"/>
    <w:rsid w:val="009929B5"/>
    <w:rsid w:val="00992A12"/>
    <w:rsid w:val="00992D41"/>
    <w:rsid w:val="009931C6"/>
    <w:rsid w:val="009939E2"/>
    <w:rsid w:val="00993A93"/>
    <w:rsid w:val="00993B45"/>
    <w:rsid w:val="009942DB"/>
    <w:rsid w:val="0099432C"/>
    <w:rsid w:val="00994410"/>
    <w:rsid w:val="009947AE"/>
    <w:rsid w:val="0099510E"/>
    <w:rsid w:val="009953A2"/>
    <w:rsid w:val="00995795"/>
    <w:rsid w:val="00995E7C"/>
    <w:rsid w:val="00995ECC"/>
    <w:rsid w:val="00995F44"/>
    <w:rsid w:val="00995FC7"/>
    <w:rsid w:val="009960AB"/>
    <w:rsid w:val="00996338"/>
    <w:rsid w:val="0099662B"/>
    <w:rsid w:val="00996A04"/>
    <w:rsid w:val="00997509"/>
    <w:rsid w:val="00997806"/>
    <w:rsid w:val="00997D5E"/>
    <w:rsid w:val="009A05A4"/>
    <w:rsid w:val="009A0679"/>
    <w:rsid w:val="009A082B"/>
    <w:rsid w:val="009A0EC2"/>
    <w:rsid w:val="009A1055"/>
    <w:rsid w:val="009A18BB"/>
    <w:rsid w:val="009A1A2B"/>
    <w:rsid w:val="009A1D0F"/>
    <w:rsid w:val="009A24F5"/>
    <w:rsid w:val="009A27F8"/>
    <w:rsid w:val="009A2D99"/>
    <w:rsid w:val="009A2E32"/>
    <w:rsid w:val="009A37A1"/>
    <w:rsid w:val="009A3A0C"/>
    <w:rsid w:val="009A3D95"/>
    <w:rsid w:val="009A3DB4"/>
    <w:rsid w:val="009A40F3"/>
    <w:rsid w:val="009A41CE"/>
    <w:rsid w:val="009A44EE"/>
    <w:rsid w:val="009A465C"/>
    <w:rsid w:val="009A468A"/>
    <w:rsid w:val="009A4823"/>
    <w:rsid w:val="009A4A9C"/>
    <w:rsid w:val="009A55A8"/>
    <w:rsid w:val="009A59C9"/>
    <w:rsid w:val="009A5C42"/>
    <w:rsid w:val="009A5FEF"/>
    <w:rsid w:val="009A649C"/>
    <w:rsid w:val="009A6B6F"/>
    <w:rsid w:val="009A6BA6"/>
    <w:rsid w:val="009A701E"/>
    <w:rsid w:val="009A7149"/>
    <w:rsid w:val="009A72B5"/>
    <w:rsid w:val="009A74D7"/>
    <w:rsid w:val="009A757B"/>
    <w:rsid w:val="009A76F9"/>
    <w:rsid w:val="009A7998"/>
    <w:rsid w:val="009A7A4C"/>
    <w:rsid w:val="009A7CAA"/>
    <w:rsid w:val="009B0207"/>
    <w:rsid w:val="009B0DBC"/>
    <w:rsid w:val="009B0DCC"/>
    <w:rsid w:val="009B1650"/>
    <w:rsid w:val="009B17F7"/>
    <w:rsid w:val="009B1FEE"/>
    <w:rsid w:val="009B21CD"/>
    <w:rsid w:val="009B229C"/>
    <w:rsid w:val="009B22A3"/>
    <w:rsid w:val="009B2827"/>
    <w:rsid w:val="009B2A34"/>
    <w:rsid w:val="009B2B3E"/>
    <w:rsid w:val="009B2B70"/>
    <w:rsid w:val="009B2C8F"/>
    <w:rsid w:val="009B2DFE"/>
    <w:rsid w:val="009B2F2B"/>
    <w:rsid w:val="009B3925"/>
    <w:rsid w:val="009B3C19"/>
    <w:rsid w:val="009B3E59"/>
    <w:rsid w:val="009B3FC5"/>
    <w:rsid w:val="009B4217"/>
    <w:rsid w:val="009B436E"/>
    <w:rsid w:val="009B4559"/>
    <w:rsid w:val="009B498D"/>
    <w:rsid w:val="009B4B8A"/>
    <w:rsid w:val="009B4BE0"/>
    <w:rsid w:val="009B4F58"/>
    <w:rsid w:val="009B527C"/>
    <w:rsid w:val="009B53E9"/>
    <w:rsid w:val="009B553C"/>
    <w:rsid w:val="009B582E"/>
    <w:rsid w:val="009B600C"/>
    <w:rsid w:val="009B6194"/>
    <w:rsid w:val="009B623C"/>
    <w:rsid w:val="009B6346"/>
    <w:rsid w:val="009B6664"/>
    <w:rsid w:val="009B6AF7"/>
    <w:rsid w:val="009B70E9"/>
    <w:rsid w:val="009B728C"/>
    <w:rsid w:val="009B7993"/>
    <w:rsid w:val="009C025A"/>
    <w:rsid w:val="009C0AE8"/>
    <w:rsid w:val="009C0C6B"/>
    <w:rsid w:val="009C0D93"/>
    <w:rsid w:val="009C11B1"/>
    <w:rsid w:val="009C1329"/>
    <w:rsid w:val="009C14B1"/>
    <w:rsid w:val="009C1520"/>
    <w:rsid w:val="009C1677"/>
    <w:rsid w:val="009C1B15"/>
    <w:rsid w:val="009C1E63"/>
    <w:rsid w:val="009C1F34"/>
    <w:rsid w:val="009C241E"/>
    <w:rsid w:val="009C24DE"/>
    <w:rsid w:val="009C268D"/>
    <w:rsid w:val="009C2CD2"/>
    <w:rsid w:val="009C317C"/>
    <w:rsid w:val="009C3EB4"/>
    <w:rsid w:val="009C46B7"/>
    <w:rsid w:val="009C4B94"/>
    <w:rsid w:val="009C4EB8"/>
    <w:rsid w:val="009C4EFF"/>
    <w:rsid w:val="009C4F1C"/>
    <w:rsid w:val="009C50C5"/>
    <w:rsid w:val="009C56DE"/>
    <w:rsid w:val="009C56F3"/>
    <w:rsid w:val="009C5BE8"/>
    <w:rsid w:val="009C5F5C"/>
    <w:rsid w:val="009C6D83"/>
    <w:rsid w:val="009C6E03"/>
    <w:rsid w:val="009C704C"/>
    <w:rsid w:val="009C70A7"/>
    <w:rsid w:val="009C717F"/>
    <w:rsid w:val="009C76CF"/>
    <w:rsid w:val="009C77AA"/>
    <w:rsid w:val="009C785B"/>
    <w:rsid w:val="009C7D1E"/>
    <w:rsid w:val="009D02A7"/>
    <w:rsid w:val="009D03B1"/>
    <w:rsid w:val="009D1187"/>
    <w:rsid w:val="009D118B"/>
    <w:rsid w:val="009D1386"/>
    <w:rsid w:val="009D15A8"/>
    <w:rsid w:val="009D20B4"/>
    <w:rsid w:val="009D20B8"/>
    <w:rsid w:val="009D2138"/>
    <w:rsid w:val="009D227E"/>
    <w:rsid w:val="009D29BD"/>
    <w:rsid w:val="009D3528"/>
    <w:rsid w:val="009D3A6B"/>
    <w:rsid w:val="009D3AF6"/>
    <w:rsid w:val="009D3B0E"/>
    <w:rsid w:val="009D3B94"/>
    <w:rsid w:val="009D4121"/>
    <w:rsid w:val="009D44B7"/>
    <w:rsid w:val="009D486D"/>
    <w:rsid w:val="009D495C"/>
    <w:rsid w:val="009D4B79"/>
    <w:rsid w:val="009D4BEB"/>
    <w:rsid w:val="009D54C3"/>
    <w:rsid w:val="009D5762"/>
    <w:rsid w:val="009D5799"/>
    <w:rsid w:val="009D5809"/>
    <w:rsid w:val="009D5980"/>
    <w:rsid w:val="009D59DB"/>
    <w:rsid w:val="009D5B67"/>
    <w:rsid w:val="009D5DD7"/>
    <w:rsid w:val="009D5F7F"/>
    <w:rsid w:val="009D6517"/>
    <w:rsid w:val="009D6587"/>
    <w:rsid w:val="009D6AF3"/>
    <w:rsid w:val="009D73A2"/>
    <w:rsid w:val="009D74C2"/>
    <w:rsid w:val="009D75B3"/>
    <w:rsid w:val="009D79E3"/>
    <w:rsid w:val="009D7BDA"/>
    <w:rsid w:val="009D7C3F"/>
    <w:rsid w:val="009D7CE1"/>
    <w:rsid w:val="009D7D53"/>
    <w:rsid w:val="009D7E9F"/>
    <w:rsid w:val="009E033A"/>
    <w:rsid w:val="009E0666"/>
    <w:rsid w:val="009E0A22"/>
    <w:rsid w:val="009E0EE4"/>
    <w:rsid w:val="009E1244"/>
    <w:rsid w:val="009E13AA"/>
    <w:rsid w:val="009E1649"/>
    <w:rsid w:val="009E16EB"/>
    <w:rsid w:val="009E170B"/>
    <w:rsid w:val="009E1796"/>
    <w:rsid w:val="009E1BEB"/>
    <w:rsid w:val="009E2095"/>
    <w:rsid w:val="009E2360"/>
    <w:rsid w:val="009E2CEF"/>
    <w:rsid w:val="009E2D54"/>
    <w:rsid w:val="009E30C3"/>
    <w:rsid w:val="009E316B"/>
    <w:rsid w:val="009E397A"/>
    <w:rsid w:val="009E3BDA"/>
    <w:rsid w:val="009E3C5C"/>
    <w:rsid w:val="009E3F57"/>
    <w:rsid w:val="009E4059"/>
    <w:rsid w:val="009E42DD"/>
    <w:rsid w:val="009E4642"/>
    <w:rsid w:val="009E48CA"/>
    <w:rsid w:val="009E4D0E"/>
    <w:rsid w:val="009E4F6C"/>
    <w:rsid w:val="009E50AC"/>
    <w:rsid w:val="009E51EB"/>
    <w:rsid w:val="009E5550"/>
    <w:rsid w:val="009E56AD"/>
    <w:rsid w:val="009E5887"/>
    <w:rsid w:val="009E59AC"/>
    <w:rsid w:val="009E6084"/>
    <w:rsid w:val="009E63F3"/>
    <w:rsid w:val="009E68B7"/>
    <w:rsid w:val="009E6B5D"/>
    <w:rsid w:val="009E7B73"/>
    <w:rsid w:val="009E7D30"/>
    <w:rsid w:val="009F00D9"/>
    <w:rsid w:val="009F01E5"/>
    <w:rsid w:val="009F04CA"/>
    <w:rsid w:val="009F04E8"/>
    <w:rsid w:val="009F0716"/>
    <w:rsid w:val="009F0EFC"/>
    <w:rsid w:val="009F11C7"/>
    <w:rsid w:val="009F1394"/>
    <w:rsid w:val="009F2128"/>
    <w:rsid w:val="009F2152"/>
    <w:rsid w:val="009F24B1"/>
    <w:rsid w:val="009F2586"/>
    <w:rsid w:val="009F2B88"/>
    <w:rsid w:val="009F31B4"/>
    <w:rsid w:val="009F338D"/>
    <w:rsid w:val="009F33FB"/>
    <w:rsid w:val="009F364B"/>
    <w:rsid w:val="009F39EB"/>
    <w:rsid w:val="009F3D74"/>
    <w:rsid w:val="009F41EF"/>
    <w:rsid w:val="009F4239"/>
    <w:rsid w:val="009F49AB"/>
    <w:rsid w:val="009F4AE0"/>
    <w:rsid w:val="009F4CD6"/>
    <w:rsid w:val="009F50C2"/>
    <w:rsid w:val="009F5466"/>
    <w:rsid w:val="009F5491"/>
    <w:rsid w:val="009F5C34"/>
    <w:rsid w:val="009F5F66"/>
    <w:rsid w:val="009F63A7"/>
    <w:rsid w:val="009F6468"/>
    <w:rsid w:val="009F64F9"/>
    <w:rsid w:val="009F6A94"/>
    <w:rsid w:val="009F6B1D"/>
    <w:rsid w:val="009F6C56"/>
    <w:rsid w:val="009F6CE5"/>
    <w:rsid w:val="009F6F4D"/>
    <w:rsid w:val="009F7070"/>
    <w:rsid w:val="009F7092"/>
    <w:rsid w:val="009F7404"/>
    <w:rsid w:val="009F76CF"/>
    <w:rsid w:val="009F79E9"/>
    <w:rsid w:val="009F7A32"/>
    <w:rsid w:val="009F7C5F"/>
    <w:rsid w:val="009FCC30"/>
    <w:rsid w:val="00A0016F"/>
    <w:rsid w:val="00A00930"/>
    <w:rsid w:val="00A017F5"/>
    <w:rsid w:val="00A01CD9"/>
    <w:rsid w:val="00A01D32"/>
    <w:rsid w:val="00A02464"/>
    <w:rsid w:val="00A025CB"/>
    <w:rsid w:val="00A02945"/>
    <w:rsid w:val="00A02DAE"/>
    <w:rsid w:val="00A03222"/>
    <w:rsid w:val="00A033F6"/>
    <w:rsid w:val="00A03476"/>
    <w:rsid w:val="00A03645"/>
    <w:rsid w:val="00A03B8C"/>
    <w:rsid w:val="00A03F85"/>
    <w:rsid w:val="00A04AAC"/>
    <w:rsid w:val="00A04C08"/>
    <w:rsid w:val="00A04D91"/>
    <w:rsid w:val="00A04E05"/>
    <w:rsid w:val="00A0506E"/>
    <w:rsid w:val="00A050CA"/>
    <w:rsid w:val="00A05668"/>
    <w:rsid w:val="00A05734"/>
    <w:rsid w:val="00A05AF5"/>
    <w:rsid w:val="00A05B8D"/>
    <w:rsid w:val="00A0625C"/>
    <w:rsid w:val="00A06376"/>
    <w:rsid w:val="00A063D8"/>
    <w:rsid w:val="00A066F2"/>
    <w:rsid w:val="00A0688A"/>
    <w:rsid w:val="00A06B03"/>
    <w:rsid w:val="00A06B13"/>
    <w:rsid w:val="00A06BEF"/>
    <w:rsid w:val="00A06BF1"/>
    <w:rsid w:val="00A100A0"/>
    <w:rsid w:val="00A106CD"/>
    <w:rsid w:val="00A107F4"/>
    <w:rsid w:val="00A10D75"/>
    <w:rsid w:val="00A111C0"/>
    <w:rsid w:val="00A11311"/>
    <w:rsid w:val="00A114C4"/>
    <w:rsid w:val="00A12605"/>
    <w:rsid w:val="00A12C48"/>
    <w:rsid w:val="00A12C8A"/>
    <w:rsid w:val="00A12E2F"/>
    <w:rsid w:val="00A12E5F"/>
    <w:rsid w:val="00A13028"/>
    <w:rsid w:val="00A13137"/>
    <w:rsid w:val="00A13185"/>
    <w:rsid w:val="00A1358F"/>
    <w:rsid w:val="00A1359A"/>
    <w:rsid w:val="00A13945"/>
    <w:rsid w:val="00A13AFA"/>
    <w:rsid w:val="00A13C5C"/>
    <w:rsid w:val="00A14079"/>
    <w:rsid w:val="00A142C7"/>
    <w:rsid w:val="00A14447"/>
    <w:rsid w:val="00A14452"/>
    <w:rsid w:val="00A146C1"/>
    <w:rsid w:val="00A14B88"/>
    <w:rsid w:val="00A15265"/>
    <w:rsid w:val="00A15D67"/>
    <w:rsid w:val="00A15EA7"/>
    <w:rsid w:val="00A1625C"/>
    <w:rsid w:val="00A1657D"/>
    <w:rsid w:val="00A16708"/>
    <w:rsid w:val="00A16AF4"/>
    <w:rsid w:val="00A16BA5"/>
    <w:rsid w:val="00A172BA"/>
    <w:rsid w:val="00A173E5"/>
    <w:rsid w:val="00A1788A"/>
    <w:rsid w:val="00A17C06"/>
    <w:rsid w:val="00A17C3E"/>
    <w:rsid w:val="00A20187"/>
    <w:rsid w:val="00A206BC"/>
    <w:rsid w:val="00A20A6F"/>
    <w:rsid w:val="00A20B29"/>
    <w:rsid w:val="00A20BB3"/>
    <w:rsid w:val="00A20FE0"/>
    <w:rsid w:val="00A212D2"/>
    <w:rsid w:val="00A212FD"/>
    <w:rsid w:val="00A215A7"/>
    <w:rsid w:val="00A2161E"/>
    <w:rsid w:val="00A218BE"/>
    <w:rsid w:val="00A21987"/>
    <w:rsid w:val="00A2285B"/>
    <w:rsid w:val="00A228F6"/>
    <w:rsid w:val="00A229CF"/>
    <w:rsid w:val="00A22A72"/>
    <w:rsid w:val="00A22B0E"/>
    <w:rsid w:val="00A22C1C"/>
    <w:rsid w:val="00A22D84"/>
    <w:rsid w:val="00A22F77"/>
    <w:rsid w:val="00A23369"/>
    <w:rsid w:val="00A2343D"/>
    <w:rsid w:val="00A23454"/>
    <w:rsid w:val="00A238DC"/>
    <w:rsid w:val="00A23CC9"/>
    <w:rsid w:val="00A23ED2"/>
    <w:rsid w:val="00A247A4"/>
    <w:rsid w:val="00A247F2"/>
    <w:rsid w:val="00A24A95"/>
    <w:rsid w:val="00A24B7E"/>
    <w:rsid w:val="00A24E42"/>
    <w:rsid w:val="00A2517F"/>
    <w:rsid w:val="00A25410"/>
    <w:rsid w:val="00A25754"/>
    <w:rsid w:val="00A25A5A"/>
    <w:rsid w:val="00A25AAF"/>
    <w:rsid w:val="00A25AF5"/>
    <w:rsid w:val="00A25DA1"/>
    <w:rsid w:val="00A2601A"/>
    <w:rsid w:val="00A2602E"/>
    <w:rsid w:val="00A265A1"/>
    <w:rsid w:val="00A26A93"/>
    <w:rsid w:val="00A26B8E"/>
    <w:rsid w:val="00A27182"/>
    <w:rsid w:val="00A27296"/>
    <w:rsid w:val="00A272A0"/>
    <w:rsid w:val="00A272CE"/>
    <w:rsid w:val="00A2735B"/>
    <w:rsid w:val="00A2741E"/>
    <w:rsid w:val="00A274B0"/>
    <w:rsid w:val="00A27787"/>
    <w:rsid w:val="00A27798"/>
    <w:rsid w:val="00A2799B"/>
    <w:rsid w:val="00A27C48"/>
    <w:rsid w:val="00A27C97"/>
    <w:rsid w:val="00A27FD0"/>
    <w:rsid w:val="00A300AE"/>
    <w:rsid w:val="00A3049F"/>
    <w:rsid w:val="00A30573"/>
    <w:rsid w:val="00A305E1"/>
    <w:rsid w:val="00A309FC"/>
    <w:rsid w:val="00A30A01"/>
    <w:rsid w:val="00A30DD6"/>
    <w:rsid w:val="00A30E1D"/>
    <w:rsid w:val="00A30ECE"/>
    <w:rsid w:val="00A310B5"/>
    <w:rsid w:val="00A3147A"/>
    <w:rsid w:val="00A31820"/>
    <w:rsid w:val="00A31A57"/>
    <w:rsid w:val="00A31E4B"/>
    <w:rsid w:val="00A3245F"/>
    <w:rsid w:val="00A32924"/>
    <w:rsid w:val="00A32D1B"/>
    <w:rsid w:val="00A33162"/>
    <w:rsid w:val="00A33449"/>
    <w:rsid w:val="00A336A7"/>
    <w:rsid w:val="00A337BE"/>
    <w:rsid w:val="00A337D4"/>
    <w:rsid w:val="00A33BD3"/>
    <w:rsid w:val="00A33C8A"/>
    <w:rsid w:val="00A33DAF"/>
    <w:rsid w:val="00A344C3"/>
    <w:rsid w:val="00A348A7"/>
    <w:rsid w:val="00A35D5C"/>
    <w:rsid w:val="00A35D72"/>
    <w:rsid w:val="00A3616E"/>
    <w:rsid w:val="00A3618A"/>
    <w:rsid w:val="00A36283"/>
    <w:rsid w:val="00A36451"/>
    <w:rsid w:val="00A36A55"/>
    <w:rsid w:val="00A36FDF"/>
    <w:rsid w:val="00A37FD1"/>
    <w:rsid w:val="00A405D8"/>
    <w:rsid w:val="00A4082D"/>
    <w:rsid w:val="00A40D1E"/>
    <w:rsid w:val="00A41B4F"/>
    <w:rsid w:val="00A41E7C"/>
    <w:rsid w:val="00A42C4C"/>
    <w:rsid w:val="00A42D1A"/>
    <w:rsid w:val="00A42D66"/>
    <w:rsid w:val="00A42DF3"/>
    <w:rsid w:val="00A4326E"/>
    <w:rsid w:val="00A434B6"/>
    <w:rsid w:val="00A438E3"/>
    <w:rsid w:val="00A43E48"/>
    <w:rsid w:val="00A43E9E"/>
    <w:rsid w:val="00A43EFD"/>
    <w:rsid w:val="00A44084"/>
    <w:rsid w:val="00A441F6"/>
    <w:rsid w:val="00A44579"/>
    <w:rsid w:val="00A44F41"/>
    <w:rsid w:val="00A44F53"/>
    <w:rsid w:val="00A450AF"/>
    <w:rsid w:val="00A4510A"/>
    <w:rsid w:val="00A455AC"/>
    <w:rsid w:val="00A45737"/>
    <w:rsid w:val="00A4574E"/>
    <w:rsid w:val="00A45D2F"/>
    <w:rsid w:val="00A45D49"/>
    <w:rsid w:val="00A46322"/>
    <w:rsid w:val="00A46878"/>
    <w:rsid w:val="00A46C7B"/>
    <w:rsid w:val="00A46CEF"/>
    <w:rsid w:val="00A46D0D"/>
    <w:rsid w:val="00A46E2F"/>
    <w:rsid w:val="00A472DE"/>
    <w:rsid w:val="00A473AF"/>
    <w:rsid w:val="00A474E1"/>
    <w:rsid w:val="00A47BA9"/>
    <w:rsid w:val="00A47C35"/>
    <w:rsid w:val="00A47CF8"/>
    <w:rsid w:val="00A47F63"/>
    <w:rsid w:val="00A502EA"/>
    <w:rsid w:val="00A50352"/>
    <w:rsid w:val="00A503C9"/>
    <w:rsid w:val="00A5045C"/>
    <w:rsid w:val="00A5081B"/>
    <w:rsid w:val="00A50D3C"/>
    <w:rsid w:val="00A510F2"/>
    <w:rsid w:val="00A51464"/>
    <w:rsid w:val="00A5180F"/>
    <w:rsid w:val="00A51B76"/>
    <w:rsid w:val="00A5287A"/>
    <w:rsid w:val="00A528E8"/>
    <w:rsid w:val="00A52969"/>
    <w:rsid w:val="00A52AE0"/>
    <w:rsid w:val="00A52AEC"/>
    <w:rsid w:val="00A52C84"/>
    <w:rsid w:val="00A52EDF"/>
    <w:rsid w:val="00A5319D"/>
    <w:rsid w:val="00A541D7"/>
    <w:rsid w:val="00A54272"/>
    <w:rsid w:val="00A5467A"/>
    <w:rsid w:val="00A5477E"/>
    <w:rsid w:val="00A54FC3"/>
    <w:rsid w:val="00A55091"/>
    <w:rsid w:val="00A55EB2"/>
    <w:rsid w:val="00A55FC7"/>
    <w:rsid w:val="00A561CB"/>
    <w:rsid w:val="00A567B5"/>
    <w:rsid w:val="00A567D4"/>
    <w:rsid w:val="00A5680D"/>
    <w:rsid w:val="00A56D8F"/>
    <w:rsid w:val="00A56F50"/>
    <w:rsid w:val="00A57A2B"/>
    <w:rsid w:val="00A57B15"/>
    <w:rsid w:val="00A57BAC"/>
    <w:rsid w:val="00A57C30"/>
    <w:rsid w:val="00A57E8D"/>
    <w:rsid w:val="00A6042D"/>
    <w:rsid w:val="00A60712"/>
    <w:rsid w:val="00A60811"/>
    <w:rsid w:val="00A61056"/>
    <w:rsid w:val="00A6126C"/>
    <w:rsid w:val="00A61472"/>
    <w:rsid w:val="00A61476"/>
    <w:rsid w:val="00A6217A"/>
    <w:rsid w:val="00A62185"/>
    <w:rsid w:val="00A621C2"/>
    <w:rsid w:val="00A62363"/>
    <w:rsid w:val="00A62526"/>
    <w:rsid w:val="00A62818"/>
    <w:rsid w:val="00A62F4F"/>
    <w:rsid w:val="00A639D7"/>
    <w:rsid w:val="00A63A1F"/>
    <w:rsid w:val="00A63EBA"/>
    <w:rsid w:val="00A64553"/>
    <w:rsid w:val="00A645C2"/>
    <w:rsid w:val="00A64B5A"/>
    <w:rsid w:val="00A64F29"/>
    <w:rsid w:val="00A65113"/>
    <w:rsid w:val="00A65A65"/>
    <w:rsid w:val="00A65C20"/>
    <w:rsid w:val="00A65D9C"/>
    <w:rsid w:val="00A65E5C"/>
    <w:rsid w:val="00A666B9"/>
    <w:rsid w:val="00A666E7"/>
    <w:rsid w:val="00A66797"/>
    <w:rsid w:val="00A66911"/>
    <w:rsid w:val="00A66C41"/>
    <w:rsid w:val="00A66DB9"/>
    <w:rsid w:val="00A66E4A"/>
    <w:rsid w:val="00A671BC"/>
    <w:rsid w:val="00A6777D"/>
    <w:rsid w:val="00A679E8"/>
    <w:rsid w:val="00A70604"/>
    <w:rsid w:val="00A70E98"/>
    <w:rsid w:val="00A70FE7"/>
    <w:rsid w:val="00A711A6"/>
    <w:rsid w:val="00A716CB"/>
    <w:rsid w:val="00A71B22"/>
    <w:rsid w:val="00A725A9"/>
    <w:rsid w:val="00A727E1"/>
    <w:rsid w:val="00A72840"/>
    <w:rsid w:val="00A72ADA"/>
    <w:rsid w:val="00A72B43"/>
    <w:rsid w:val="00A72CB5"/>
    <w:rsid w:val="00A7353A"/>
    <w:rsid w:val="00A73774"/>
    <w:rsid w:val="00A7396E"/>
    <w:rsid w:val="00A73CF1"/>
    <w:rsid w:val="00A73D63"/>
    <w:rsid w:val="00A7416D"/>
    <w:rsid w:val="00A741CB"/>
    <w:rsid w:val="00A74235"/>
    <w:rsid w:val="00A74313"/>
    <w:rsid w:val="00A74C34"/>
    <w:rsid w:val="00A75162"/>
    <w:rsid w:val="00A75372"/>
    <w:rsid w:val="00A7584F"/>
    <w:rsid w:val="00A758A0"/>
    <w:rsid w:val="00A75AAD"/>
    <w:rsid w:val="00A762C8"/>
    <w:rsid w:val="00A7665A"/>
    <w:rsid w:val="00A768F1"/>
    <w:rsid w:val="00A76969"/>
    <w:rsid w:val="00A76DF7"/>
    <w:rsid w:val="00A76F48"/>
    <w:rsid w:val="00A77157"/>
    <w:rsid w:val="00A77296"/>
    <w:rsid w:val="00A772B7"/>
    <w:rsid w:val="00A77C19"/>
    <w:rsid w:val="00A77D37"/>
    <w:rsid w:val="00A77FCD"/>
    <w:rsid w:val="00A80027"/>
    <w:rsid w:val="00A81241"/>
    <w:rsid w:val="00A81522"/>
    <w:rsid w:val="00A81537"/>
    <w:rsid w:val="00A8157E"/>
    <w:rsid w:val="00A815C2"/>
    <w:rsid w:val="00A8171A"/>
    <w:rsid w:val="00A82150"/>
    <w:rsid w:val="00A82579"/>
    <w:rsid w:val="00A8279A"/>
    <w:rsid w:val="00A82D31"/>
    <w:rsid w:val="00A8324B"/>
    <w:rsid w:val="00A8346B"/>
    <w:rsid w:val="00A8352A"/>
    <w:rsid w:val="00A83770"/>
    <w:rsid w:val="00A83F31"/>
    <w:rsid w:val="00A840DA"/>
    <w:rsid w:val="00A846F9"/>
    <w:rsid w:val="00A84856"/>
    <w:rsid w:val="00A8491D"/>
    <w:rsid w:val="00A84EFC"/>
    <w:rsid w:val="00A85363"/>
    <w:rsid w:val="00A85427"/>
    <w:rsid w:val="00A855EE"/>
    <w:rsid w:val="00A856B7"/>
    <w:rsid w:val="00A85A9B"/>
    <w:rsid w:val="00A865FF"/>
    <w:rsid w:val="00A8690C"/>
    <w:rsid w:val="00A871A3"/>
    <w:rsid w:val="00A87377"/>
    <w:rsid w:val="00A87720"/>
    <w:rsid w:val="00A87B75"/>
    <w:rsid w:val="00A87ED0"/>
    <w:rsid w:val="00A900E4"/>
    <w:rsid w:val="00A90103"/>
    <w:rsid w:val="00A901BE"/>
    <w:rsid w:val="00A90868"/>
    <w:rsid w:val="00A908CF"/>
    <w:rsid w:val="00A90B06"/>
    <w:rsid w:val="00A90BB6"/>
    <w:rsid w:val="00A90DBE"/>
    <w:rsid w:val="00A90EA3"/>
    <w:rsid w:val="00A90EDC"/>
    <w:rsid w:val="00A90F54"/>
    <w:rsid w:val="00A9100D"/>
    <w:rsid w:val="00A91309"/>
    <w:rsid w:val="00A91481"/>
    <w:rsid w:val="00A91561"/>
    <w:rsid w:val="00A91FFC"/>
    <w:rsid w:val="00A923B8"/>
    <w:rsid w:val="00A92BD7"/>
    <w:rsid w:val="00A93389"/>
    <w:rsid w:val="00A936E1"/>
    <w:rsid w:val="00A93ABF"/>
    <w:rsid w:val="00A93EA6"/>
    <w:rsid w:val="00A93ED4"/>
    <w:rsid w:val="00A948F2"/>
    <w:rsid w:val="00A94F20"/>
    <w:rsid w:val="00A95357"/>
    <w:rsid w:val="00A954F5"/>
    <w:rsid w:val="00A955FD"/>
    <w:rsid w:val="00A959D0"/>
    <w:rsid w:val="00A95A6E"/>
    <w:rsid w:val="00A95ABF"/>
    <w:rsid w:val="00A95C7F"/>
    <w:rsid w:val="00A95D19"/>
    <w:rsid w:val="00A95DA2"/>
    <w:rsid w:val="00A9650E"/>
    <w:rsid w:val="00A9693C"/>
    <w:rsid w:val="00A969F0"/>
    <w:rsid w:val="00A96AEE"/>
    <w:rsid w:val="00A96EBD"/>
    <w:rsid w:val="00AA061F"/>
    <w:rsid w:val="00AA076A"/>
    <w:rsid w:val="00AA1154"/>
    <w:rsid w:val="00AA122D"/>
    <w:rsid w:val="00AA1468"/>
    <w:rsid w:val="00AA155E"/>
    <w:rsid w:val="00AA1FE3"/>
    <w:rsid w:val="00AA24A2"/>
    <w:rsid w:val="00AA2C2F"/>
    <w:rsid w:val="00AA2E13"/>
    <w:rsid w:val="00AA2E34"/>
    <w:rsid w:val="00AA3015"/>
    <w:rsid w:val="00AA3359"/>
    <w:rsid w:val="00AA3478"/>
    <w:rsid w:val="00AA34D8"/>
    <w:rsid w:val="00AA3501"/>
    <w:rsid w:val="00AA3512"/>
    <w:rsid w:val="00AA356C"/>
    <w:rsid w:val="00AA3D57"/>
    <w:rsid w:val="00AA3F9D"/>
    <w:rsid w:val="00AA41BA"/>
    <w:rsid w:val="00AA4389"/>
    <w:rsid w:val="00AA484A"/>
    <w:rsid w:val="00AA4C84"/>
    <w:rsid w:val="00AA515C"/>
    <w:rsid w:val="00AA534C"/>
    <w:rsid w:val="00AA54A3"/>
    <w:rsid w:val="00AA54EC"/>
    <w:rsid w:val="00AA64F8"/>
    <w:rsid w:val="00AA6734"/>
    <w:rsid w:val="00AA6CAF"/>
    <w:rsid w:val="00AA780E"/>
    <w:rsid w:val="00AA7968"/>
    <w:rsid w:val="00AA7EEF"/>
    <w:rsid w:val="00AB01E2"/>
    <w:rsid w:val="00AB08F4"/>
    <w:rsid w:val="00AB1315"/>
    <w:rsid w:val="00AB1332"/>
    <w:rsid w:val="00AB140A"/>
    <w:rsid w:val="00AB1672"/>
    <w:rsid w:val="00AB1745"/>
    <w:rsid w:val="00AB180D"/>
    <w:rsid w:val="00AB1EBA"/>
    <w:rsid w:val="00AB25D9"/>
    <w:rsid w:val="00AB2707"/>
    <w:rsid w:val="00AB2C98"/>
    <w:rsid w:val="00AB2E46"/>
    <w:rsid w:val="00AB332D"/>
    <w:rsid w:val="00AB3548"/>
    <w:rsid w:val="00AB3781"/>
    <w:rsid w:val="00AB3840"/>
    <w:rsid w:val="00AB3AED"/>
    <w:rsid w:val="00AB3D6A"/>
    <w:rsid w:val="00AB3FEC"/>
    <w:rsid w:val="00AB427D"/>
    <w:rsid w:val="00AB453D"/>
    <w:rsid w:val="00AB45A4"/>
    <w:rsid w:val="00AB4903"/>
    <w:rsid w:val="00AB4A86"/>
    <w:rsid w:val="00AB4D4B"/>
    <w:rsid w:val="00AB50D1"/>
    <w:rsid w:val="00AB535F"/>
    <w:rsid w:val="00AB5440"/>
    <w:rsid w:val="00AB5A7C"/>
    <w:rsid w:val="00AB5B48"/>
    <w:rsid w:val="00AB5C7B"/>
    <w:rsid w:val="00AB6397"/>
    <w:rsid w:val="00AB64D1"/>
    <w:rsid w:val="00AB6992"/>
    <w:rsid w:val="00AB6D36"/>
    <w:rsid w:val="00AB78F9"/>
    <w:rsid w:val="00AB7AD2"/>
    <w:rsid w:val="00AB7C7E"/>
    <w:rsid w:val="00AC01F6"/>
    <w:rsid w:val="00AC0401"/>
    <w:rsid w:val="00AC0614"/>
    <w:rsid w:val="00AC08A2"/>
    <w:rsid w:val="00AC0C31"/>
    <w:rsid w:val="00AC0CFD"/>
    <w:rsid w:val="00AC0DCE"/>
    <w:rsid w:val="00AC1027"/>
    <w:rsid w:val="00AC1237"/>
    <w:rsid w:val="00AC175D"/>
    <w:rsid w:val="00AC17CB"/>
    <w:rsid w:val="00AC1915"/>
    <w:rsid w:val="00AC19B2"/>
    <w:rsid w:val="00AC1A5B"/>
    <w:rsid w:val="00AC20DC"/>
    <w:rsid w:val="00AC262A"/>
    <w:rsid w:val="00AC273F"/>
    <w:rsid w:val="00AC2789"/>
    <w:rsid w:val="00AC318F"/>
    <w:rsid w:val="00AC31E0"/>
    <w:rsid w:val="00AC3622"/>
    <w:rsid w:val="00AC39AC"/>
    <w:rsid w:val="00AC3D2E"/>
    <w:rsid w:val="00AC3D73"/>
    <w:rsid w:val="00AC3EAE"/>
    <w:rsid w:val="00AC4239"/>
    <w:rsid w:val="00AC42AD"/>
    <w:rsid w:val="00AC42D6"/>
    <w:rsid w:val="00AC4B30"/>
    <w:rsid w:val="00AC4B99"/>
    <w:rsid w:val="00AC4D0C"/>
    <w:rsid w:val="00AC4EBA"/>
    <w:rsid w:val="00AC50D4"/>
    <w:rsid w:val="00AC5325"/>
    <w:rsid w:val="00AC5537"/>
    <w:rsid w:val="00AC567A"/>
    <w:rsid w:val="00AC5974"/>
    <w:rsid w:val="00AC5AC4"/>
    <w:rsid w:val="00AC5D60"/>
    <w:rsid w:val="00AC5D9B"/>
    <w:rsid w:val="00AC607F"/>
    <w:rsid w:val="00AC6439"/>
    <w:rsid w:val="00AC6D27"/>
    <w:rsid w:val="00AC7024"/>
    <w:rsid w:val="00AC7059"/>
    <w:rsid w:val="00AC71A9"/>
    <w:rsid w:val="00AC7484"/>
    <w:rsid w:val="00AC74C0"/>
    <w:rsid w:val="00AC7530"/>
    <w:rsid w:val="00AC76B7"/>
    <w:rsid w:val="00AC79A5"/>
    <w:rsid w:val="00AC7DC9"/>
    <w:rsid w:val="00AD084F"/>
    <w:rsid w:val="00AD0AD2"/>
    <w:rsid w:val="00AD0F10"/>
    <w:rsid w:val="00AD1170"/>
    <w:rsid w:val="00AD151F"/>
    <w:rsid w:val="00AD18C1"/>
    <w:rsid w:val="00AD1A71"/>
    <w:rsid w:val="00AD2070"/>
    <w:rsid w:val="00AD2BE2"/>
    <w:rsid w:val="00AD2DE1"/>
    <w:rsid w:val="00AD2F6D"/>
    <w:rsid w:val="00AD2F8C"/>
    <w:rsid w:val="00AD38A5"/>
    <w:rsid w:val="00AD3E11"/>
    <w:rsid w:val="00AD3E35"/>
    <w:rsid w:val="00AD403A"/>
    <w:rsid w:val="00AD43E0"/>
    <w:rsid w:val="00AD4543"/>
    <w:rsid w:val="00AD4656"/>
    <w:rsid w:val="00AD487A"/>
    <w:rsid w:val="00AD4B15"/>
    <w:rsid w:val="00AD57F6"/>
    <w:rsid w:val="00AD585B"/>
    <w:rsid w:val="00AD5B07"/>
    <w:rsid w:val="00AD5B3C"/>
    <w:rsid w:val="00AD5B59"/>
    <w:rsid w:val="00AD6148"/>
    <w:rsid w:val="00AD618B"/>
    <w:rsid w:val="00AD66F9"/>
    <w:rsid w:val="00AD6939"/>
    <w:rsid w:val="00AD6B56"/>
    <w:rsid w:val="00AD6E5C"/>
    <w:rsid w:val="00AD7173"/>
    <w:rsid w:val="00AD79F1"/>
    <w:rsid w:val="00AD7CCA"/>
    <w:rsid w:val="00AD7CF5"/>
    <w:rsid w:val="00AE02AF"/>
    <w:rsid w:val="00AE0402"/>
    <w:rsid w:val="00AE07A6"/>
    <w:rsid w:val="00AE07C8"/>
    <w:rsid w:val="00AE091F"/>
    <w:rsid w:val="00AE0EC0"/>
    <w:rsid w:val="00AE104A"/>
    <w:rsid w:val="00AE111C"/>
    <w:rsid w:val="00AE1ED4"/>
    <w:rsid w:val="00AE2473"/>
    <w:rsid w:val="00AE24C6"/>
    <w:rsid w:val="00AE2565"/>
    <w:rsid w:val="00AE2A3A"/>
    <w:rsid w:val="00AE2B68"/>
    <w:rsid w:val="00AE2C1A"/>
    <w:rsid w:val="00AE3379"/>
    <w:rsid w:val="00AE3500"/>
    <w:rsid w:val="00AE3952"/>
    <w:rsid w:val="00AE3C9B"/>
    <w:rsid w:val="00AE3EE8"/>
    <w:rsid w:val="00AE402D"/>
    <w:rsid w:val="00AE43B2"/>
    <w:rsid w:val="00AE490E"/>
    <w:rsid w:val="00AE4C0A"/>
    <w:rsid w:val="00AE4EE2"/>
    <w:rsid w:val="00AE5380"/>
    <w:rsid w:val="00AE5517"/>
    <w:rsid w:val="00AE5535"/>
    <w:rsid w:val="00AE5561"/>
    <w:rsid w:val="00AE57BE"/>
    <w:rsid w:val="00AE5E90"/>
    <w:rsid w:val="00AE6511"/>
    <w:rsid w:val="00AE6552"/>
    <w:rsid w:val="00AE65B1"/>
    <w:rsid w:val="00AE6A25"/>
    <w:rsid w:val="00AE6ACF"/>
    <w:rsid w:val="00AE6AD8"/>
    <w:rsid w:val="00AE7026"/>
    <w:rsid w:val="00AE70FF"/>
    <w:rsid w:val="00AE71E8"/>
    <w:rsid w:val="00AE72AD"/>
    <w:rsid w:val="00AE72DA"/>
    <w:rsid w:val="00AE7589"/>
    <w:rsid w:val="00AE77C5"/>
    <w:rsid w:val="00AE77F9"/>
    <w:rsid w:val="00AE7D20"/>
    <w:rsid w:val="00AE7E27"/>
    <w:rsid w:val="00AE7EC0"/>
    <w:rsid w:val="00AF05B1"/>
    <w:rsid w:val="00AF07B1"/>
    <w:rsid w:val="00AF0A68"/>
    <w:rsid w:val="00AF0B1E"/>
    <w:rsid w:val="00AF0E5E"/>
    <w:rsid w:val="00AF0EB4"/>
    <w:rsid w:val="00AF1873"/>
    <w:rsid w:val="00AF1B1E"/>
    <w:rsid w:val="00AF1FE6"/>
    <w:rsid w:val="00AF24CE"/>
    <w:rsid w:val="00AF24D0"/>
    <w:rsid w:val="00AF375D"/>
    <w:rsid w:val="00AF387D"/>
    <w:rsid w:val="00AF3F81"/>
    <w:rsid w:val="00AF40EB"/>
    <w:rsid w:val="00AF48A7"/>
    <w:rsid w:val="00AF4A18"/>
    <w:rsid w:val="00AF5045"/>
    <w:rsid w:val="00AF515F"/>
    <w:rsid w:val="00AF58C1"/>
    <w:rsid w:val="00AF5A2A"/>
    <w:rsid w:val="00AF5CC2"/>
    <w:rsid w:val="00AF63C9"/>
    <w:rsid w:val="00AF64D9"/>
    <w:rsid w:val="00AF68CC"/>
    <w:rsid w:val="00AF6D83"/>
    <w:rsid w:val="00AF7197"/>
    <w:rsid w:val="00AF732E"/>
    <w:rsid w:val="00AF7531"/>
    <w:rsid w:val="00AF7535"/>
    <w:rsid w:val="00AF759F"/>
    <w:rsid w:val="00AF7925"/>
    <w:rsid w:val="00AF7E6B"/>
    <w:rsid w:val="00B004C3"/>
    <w:rsid w:val="00B004FD"/>
    <w:rsid w:val="00B00893"/>
    <w:rsid w:val="00B00923"/>
    <w:rsid w:val="00B009D0"/>
    <w:rsid w:val="00B00A11"/>
    <w:rsid w:val="00B00B82"/>
    <w:rsid w:val="00B00C68"/>
    <w:rsid w:val="00B011C2"/>
    <w:rsid w:val="00B0121D"/>
    <w:rsid w:val="00B01545"/>
    <w:rsid w:val="00B017A7"/>
    <w:rsid w:val="00B01BC6"/>
    <w:rsid w:val="00B01C4E"/>
    <w:rsid w:val="00B01D9B"/>
    <w:rsid w:val="00B02DC1"/>
    <w:rsid w:val="00B03810"/>
    <w:rsid w:val="00B0494F"/>
    <w:rsid w:val="00B05C9A"/>
    <w:rsid w:val="00B05CE3"/>
    <w:rsid w:val="00B05E88"/>
    <w:rsid w:val="00B065D7"/>
    <w:rsid w:val="00B06663"/>
    <w:rsid w:val="00B06819"/>
    <w:rsid w:val="00B06961"/>
    <w:rsid w:val="00B06A63"/>
    <w:rsid w:val="00B06BD4"/>
    <w:rsid w:val="00B06DF2"/>
    <w:rsid w:val="00B07541"/>
    <w:rsid w:val="00B075BD"/>
    <w:rsid w:val="00B0768E"/>
    <w:rsid w:val="00B07955"/>
    <w:rsid w:val="00B10035"/>
    <w:rsid w:val="00B10E3F"/>
    <w:rsid w:val="00B10FE2"/>
    <w:rsid w:val="00B110A0"/>
    <w:rsid w:val="00B11E7E"/>
    <w:rsid w:val="00B12115"/>
    <w:rsid w:val="00B12147"/>
    <w:rsid w:val="00B125E1"/>
    <w:rsid w:val="00B1274A"/>
    <w:rsid w:val="00B127EC"/>
    <w:rsid w:val="00B12A13"/>
    <w:rsid w:val="00B12E68"/>
    <w:rsid w:val="00B1320B"/>
    <w:rsid w:val="00B134A1"/>
    <w:rsid w:val="00B1350C"/>
    <w:rsid w:val="00B13797"/>
    <w:rsid w:val="00B137A2"/>
    <w:rsid w:val="00B13A64"/>
    <w:rsid w:val="00B14839"/>
    <w:rsid w:val="00B14E2E"/>
    <w:rsid w:val="00B14EF2"/>
    <w:rsid w:val="00B1507D"/>
    <w:rsid w:val="00B15128"/>
    <w:rsid w:val="00B151BB"/>
    <w:rsid w:val="00B15224"/>
    <w:rsid w:val="00B152C9"/>
    <w:rsid w:val="00B16039"/>
    <w:rsid w:val="00B164EC"/>
    <w:rsid w:val="00B1670D"/>
    <w:rsid w:val="00B16938"/>
    <w:rsid w:val="00B1708D"/>
    <w:rsid w:val="00B177C3"/>
    <w:rsid w:val="00B1794B"/>
    <w:rsid w:val="00B17D02"/>
    <w:rsid w:val="00B17D5E"/>
    <w:rsid w:val="00B17FDA"/>
    <w:rsid w:val="00B20186"/>
    <w:rsid w:val="00B20523"/>
    <w:rsid w:val="00B207E8"/>
    <w:rsid w:val="00B20AEF"/>
    <w:rsid w:val="00B20E71"/>
    <w:rsid w:val="00B21627"/>
    <w:rsid w:val="00B2173C"/>
    <w:rsid w:val="00B2188A"/>
    <w:rsid w:val="00B21CE1"/>
    <w:rsid w:val="00B22023"/>
    <w:rsid w:val="00B22180"/>
    <w:rsid w:val="00B22462"/>
    <w:rsid w:val="00B22D31"/>
    <w:rsid w:val="00B23235"/>
    <w:rsid w:val="00B23283"/>
    <w:rsid w:val="00B233B6"/>
    <w:rsid w:val="00B233C1"/>
    <w:rsid w:val="00B24348"/>
    <w:rsid w:val="00B24474"/>
    <w:rsid w:val="00B2461A"/>
    <w:rsid w:val="00B24863"/>
    <w:rsid w:val="00B24967"/>
    <w:rsid w:val="00B24BF0"/>
    <w:rsid w:val="00B2504D"/>
    <w:rsid w:val="00B2506F"/>
    <w:rsid w:val="00B25320"/>
    <w:rsid w:val="00B25B38"/>
    <w:rsid w:val="00B260AE"/>
    <w:rsid w:val="00B262AE"/>
    <w:rsid w:val="00B264BD"/>
    <w:rsid w:val="00B265C8"/>
    <w:rsid w:val="00B26A19"/>
    <w:rsid w:val="00B26CB4"/>
    <w:rsid w:val="00B26CF6"/>
    <w:rsid w:val="00B27057"/>
    <w:rsid w:val="00B2708B"/>
    <w:rsid w:val="00B27C89"/>
    <w:rsid w:val="00B300B6"/>
    <w:rsid w:val="00B30A19"/>
    <w:rsid w:val="00B31243"/>
    <w:rsid w:val="00B3128B"/>
    <w:rsid w:val="00B31358"/>
    <w:rsid w:val="00B314A3"/>
    <w:rsid w:val="00B31720"/>
    <w:rsid w:val="00B31987"/>
    <w:rsid w:val="00B32526"/>
    <w:rsid w:val="00B32E81"/>
    <w:rsid w:val="00B332AA"/>
    <w:rsid w:val="00B332DD"/>
    <w:rsid w:val="00B3331B"/>
    <w:rsid w:val="00B33353"/>
    <w:rsid w:val="00B33415"/>
    <w:rsid w:val="00B33744"/>
    <w:rsid w:val="00B33843"/>
    <w:rsid w:val="00B3397B"/>
    <w:rsid w:val="00B33CC4"/>
    <w:rsid w:val="00B33FCE"/>
    <w:rsid w:val="00B34234"/>
    <w:rsid w:val="00B3453A"/>
    <w:rsid w:val="00B3464B"/>
    <w:rsid w:val="00B34722"/>
    <w:rsid w:val="00B34B70"/>
    <w:rsid w:val="00B34F41"/>
    <w:rsid w:val="00B35123"/>
    <w:rsid w:val="00B352E7"/>
    <w:rsid w:val="00B356EC"/>
    <w:rsid w:val="00B35BD7"/>
    <w:rsid w:val="00B35D4F"/>
    <w:rsid w:val="00B36205"/>
    <w:rsid w:val="00B36239"/>
    <w:rsid w:val="00B36563"/>
    <w:rsid w:val="00B36808"/>
    <w:rsid w:val="00B36C6B"/>
    <w:rsid w:val="00B37109"/>
    <w:rsid w:val="00B37237"/>
    <w:rsid w:val="00B3793B"/>
    <w:rsid w:val="00B4028D"/>
    <w:rsid w:val="00B402EF"/>
    <w:rsid w:val="00B4181E"/>
    <w:rsid w:val="00B41B4C"/>
    <w:rsid w:val="00B41BAB"/>
    <w:rsid w:val="00B421B9"/>
    <w:rsid w:val="00B42256"/>
    <w:rsid w:val="00B42476"/>
    <w:rsid w:val="00B428C0"/>
    <w:rsid w:val="00B4292B"/>
    <w:rsid w:val="00B42A46"/>
    <w:rsid w:val="00B43026"/>
    <w:rsid w:val="00B43294"/>
    <w:rsid w:val="00B4357B"/>
    <w:rsid w:val="00B438C6"/>
    <w:rsid w:val="00B43AF4"/>
    <w:rsid w:val="00B43FE6"/>
    <w:rsid w:val="00B4401D"/>
    <w:rsid w:val="00B442B0"/>
    <w:rsid w:val="00B44325"/>
    <w:rsid w:val="00B4439F"/>
    <w:rsid w:val="00B44708"/>
    <w:rsid w:val="00B45125"/>
    <w:rsid w:val="00B4570D"/>
    <w:rsid w:val="00B45818"/>
    <w:rsid w:val="00B4591D"/>
    <w:rsid w:val="00B45C29"/>
    <w:rsid w:val="00B45FD8"/>
    <w:rsid w:val="00B460E8"/>
    <w:rsid w:val="00B46144"/>
    <w:rsid w:val="00B4648B"/>
    <w:rsid w:val="00B46868"/>
    <w:rsid w:val="00B468FF"/>
    <w:rsid w:val="00B46972"/>
    <w:rsid w:val="00B469CD"/>
    <w:rsid w:val="00B46A26"/>
    <w:rsid w:val="00B46C7A"/>
    <w:rsid w:val="00B46C81"/>
    <w:rsid w:val="00B470A0"/>
    <w:rsid w:val="00B47284"/>
    <w:rsid w:val="00B4749D"/>
    <w:rsid w:val="00B475E4"/>
    <w:rsid w:val="00B47642"/>
    <w:rsid w:val="00B47CFB"/>
    <w:rsid w:val="00B50206"/>
    <w:rsid w:val="00B510F5"/>
    <w:rsid w:val="00B511B4"/>
    <w:rsid w:val="00B51317"/>
    <w:rsid w:val="00B51668"/>
    <w:rsid w:val="00B51A4C"/>
    <w:rsid w:val="00B51BD6"/>
    <w:rsid w:val="00B51DC4"/>
    <w:rsid w:val="00B52055"/>
    <w:rsid w:val="00B521C0"/>
    <w:rsid w:val="00B52289"/>
    <w:rsid w:val="00B52B9B"/>
    <w:rsid w:val="00B52D7B"/>
    <w:rsid w:val="00B52EE4"/>
    <w:rsid w:val="00B5399E"/>
    <w:rsid w:val="00B53B8F"/>
    <w:rsid w:val="00B53FC5"/>
    <w:rsid w:val="00B543DB"/>
    <w:rsid w:val="00B54644"/>
    <w:rsid w:val="00B54651"/>
    <w:rsid w:val="00B547D9"/>
    <w:rsid w:val="00B547E8"/>
    <w:rsid w:val="00B548EF"/>
    <w:rsid w:val="00B54BBC"/>
    <w:rsid w:val="00B54BC0"/>
    <w:rsid w:val="00B54E4C"/>
    <w:rsid w:val="00B559A1"/>
    <w:rsid w:val="00B55D64"/>
    <w:rsid w:val="00B55E6F"/>
    <w:rsid w:val="00B55EE9"/>
    <w:rsid w:val="00B5609B"/>
    <w:rsid w:val="00B56389"/>
    <w:rsid w:val="00B56888"/>
    <w:rsid w:val="00B568AF"/>
    <w:rsid w:val="00B56E57"/>
    <w:rsid w:val="00B572A6"/>
    <w:rsid w:val="00B57448"/>
    <w:rsid w:val="00B57610"/>
    <w:rsid w:val="00B579CC"/>
    <w:rsid w:val="00B57C24"/>
    <w:rsid w:val="00B57C2D"/>
    <w:rsid w:val="00B57EC6"/>
    <w:rsid w:val="00B60124"/>
    <w:rsid w:val="00B60434"/>
    <w:rsid w:val="00B605DB"/>
    <w:rsid w:val="00B60852"/>
    <w:rsid w:val="00B60AA0"/>
    <w:rsid w:val="00B60E70"/>
    <w:rsid w:val="00B60E7C"/>
    <w:rsid w:val="00B60ECA"/>
    <w:rsid w:val="00B61006"/>
    <w:rsid w:val="00B61388"/>
    <w:rsid w:val="00B617FB"/>
    <w:rsid w:val="00B61B28"/>
    <w:rsid w:val="00B61B32"/>
    <w:rsid w:val="00B61BA2"/>
    <w:rsid w:val="00B61FBA"/>
    <w:rsid w:val="00B62032"/>
    <w:rsid w:val="00B62319"/>
    <w:rsid w:val="00B6293B"/>
    <w:rsid w:val="00B62C1B"/>
    <w:rsid w:val="00B63212"/>
    <w:rsid w:val="00B63767"/>
    <w:rsid w:val="00B63CCD"/>
    <w:rsid w:val="00B63E34"/>
    <w:rsid w:val="00B63F46"/>
    <w:rsid w:val="00B64BEC"/>
    <w:rsid w:val="00B64C90"/>
    <w:rsid w:val="00B64DFF"/>
    <w:rsid w:val="00B64E6C"/>
    <w:rsid w:val="00B64E8D"/>
    <w:rsid w:val="00B64FF4"/>
    <w:rsid w:val="00B653DF"/>
    <w:rsid w:val="00B656FA"/>
    <w:rsid w:val="00B65CF9"/>
    <w:rsid w:val="00B66A92"/>
    <w:rsid w:val="00B66EB8"/>
    <w:rsid w:val="00B66F0C"/>
    <w:rsid w:val="00B66F60"/>
    <w:rsid w:val="00B67206"/>
    <w:rsid w:val="00B672B4"/>
    <w:rsid w:val="00B676EA"/>
    <w:rsid w:val="00B67876"/>
    <w:rsid w:val="00B67AA1"/>
    <w:rsid w:val="00B67E70"/>
    <w:rsid w:val="00B67F99"/>
    <w:rsid w:val="00B70046"/>
    <w:rsid w:val="00B7027A"/>
    <w:rsid w:val="00B70735"/>
    <w:rsid w:val="00B70B2E"/>
    <w:rsid w:val="00B70FD3"/>
    <w:rsid w:val="00B7137D"/>
    <w:rsid w:val="00B7140E"/>
    <w:rsid w:val="00B71852"/>
    <w:rsid w:val="00B7194E"/>
    <w:rsid w:val="00B71E29"/>
    <w:rsid w:val="00B72147"/>
    <w:rsid w:val="00B724D8"/>
    <w:rsid w:val="00B725C5"/>
    <w:rsid w:val="00B72A87"/>
    <w:rsid w:val="00B72CA4"/>
    <w:rsid w:val="00B72D7A"/>
    <w:rsid w:val="00B7366F"/>
    <w:rsid w:val="00B73F36"/>
    <w:rsid w:val="00B7416D"/>
    <w:rsid w:val="00B741FB"/>
    <w:rsid w:val="00B74332"/>
    <w:rsid w:val="00B7465B"/>
    <w:rsid w:val="00B74759"/>
    <w:rsid w:val="00B74A56"/>
    <w:rsid w:val="00B74EEE"/>
    <w:rsid w:val="00B751D9"/>
    <w:rsid w:val="00B75239"/>
    <w:rsid w:val="00B75AA0"/>
    <w:rsid w:val="00B75CF4"/>
    <w:rsid w:val="00B76248"/>
    <w:rsid w:val="00B762ED"/>
    <w:rsid w:val="00B76360"/>
    <w:rsid w:val="00B765B6"/>
    <w:rsid w:val="00B767C2"/>
    <w:rsid w:val="00B768C9"/>
    <w:rsid w:val="00B7693F"/>
    <w:rsid w:val="00B76C9C"/>
    <w:rsid w:val="00B76E74"/>
    <w:rsid w:val="00B775D3"/>
    <w:rsid w:val="00B779D5"/>
    <w:rsid w:val="00B77A3B"/>
    <w:rsid w:val="00B77B40"/>
    <w:rsid w:val="00B77E48"/>
    <w:rsid w:val="00B8004E"/>
    <w:rsid w:val="00B80B5D"/>
    <w:rsid w:val="00B80FBA"/>
    <w:rsid w:val="00B815D1"/>
    <w:rsid w:val="00B816BB"/>
    <w:rsid w:val="00B816FA"/>
    <w:rsid w:val="00B8171E"/>
    <w:rsid w:val="00B81738"/>
    <w:rsid w:val="00B819A5"/>
    <w:rsid w:val="00B81B31"/>
    <w:rsid w:val="00B82815"/>
    <w:rsid w:val="00B82840"/>
    <w:rsid w:val="00B82DFA"/>
    <w:rsid w:val="00B8321C"/>
    <w:rsid w:val="00B83346"/>
    <w:rsid w:val="00B83591"/>
    <w:rsid w:val="00B8386D"/>
    <w:rsid w:val="00B83A14"/>
    <w:rsid w:val="00B8400F"/>
    <w:rsid w:val="00B84500"/>
    <w:rsid w:val="00B847DF"/>
    <w:rsid w:val="00B84871"/>
    <w:rsid w:val="00B8488F"/>
    <w:rsid w:val="00B84BEB"/>
    <w:rsid w:val="00B84D24"/>
    <w:rsid w:val="00B85037"/>
    <w:rsid w:val="00B8510B"/>
    <w:rsid w:val="00B859A3"/>
    <w:rsid w:val="00B860FE"/>
    <w:rsid w:val="00B8656D"/>
    <w:rsid w:val="00B86607"/>
    <w:rsid w:val="00B8673F"/>
    <w:rsid w:val="00B87671"/>
    <w:rsid w:val="00B878EF"/>
    <w:rsid w:val="00B87C79"/>
    <w:rsid w:val="00B87D5D"/>
    <w:rsid w:val="00B90542"/>
    <w:rsid w:val="00B908B1"/>
    <w:rsid w:val="00B908B6"/>
    <w:rsid w:val="00B90A7B"/>
    <w:rsid w:val="00B90AEF"/>
    <w:rsid w:val="00B9127E"/>
    <w:rsid w:val="00B91471"/>
    <w:rsid w:val="00B915BE"/>
    <w:rsid w:val="00B91A70"/>
    <w:rsid w:val="00B91ACA"/>
    <w:rsid w:val="00B91B65"/>
    <w:rsid w:val="00B91D63"/>
    <w:rsid w:val="00B91DA0"/>
    <w:rsid w:val="00B923D8"/>
    <w:rsid w:val="00B929AA"/>
    <w:rsid w:val="00B92A2E"/>
    <w:rsid w:val="00B932AD"/>
    <w:rsid w:val="00B93C8C"/>
    <w:rsid w:val="00B93F19"/>
    <w:rsid w:val="00B93FF7"/>
    <w:rsid w:val="00B940CF"/>
    <w:rsid w:val="00B94B31"/>
    <w:rsid w:val="00B94E15"/>
    <w:rsid w:val="00B955AA"/>
    <w:rsid w:val="00B95CB2"/>
    <w:rsid w:val="00B95DF2"/>
    <w:rsid w:val="00B9649B"/>
    <w:rsid w:val="00B96BE9"/>
    <w:rsid w:val="00B96EA0"/>
    <w:rsid w:val="00B9739D"/>
    <w:rsid w:val="00B97930"/>
    <w:rsid w:val="00B9794B"/>
    <w:rsid w:val="00B97D8A"/>
    <w:rsid w:val="00BA00D7"/>
    <w:rsid w:val="00BA05B1"/>
    <w:rsid w:val="00BA0698"/>
    <w:rsid w:val="00BA0A0E"/>
    <w:rsid w:val="00BA1562"/>
    <w:rsid w:val="00BA1638"/>
    <w:rsid w:val="00BA22A2"/>
    <w:rsid w:val="00BA24C8"/>
    <w:rsid w:val="00BA2AE7"/>
    <w:rsid w:val="00BA2BD5"/>
    <w:rsid w:val="00BA2E1E"/>
    <w:rsid w:val="00BA3201"/>
    <w:rsid w:val="00BA32D9"/>
    <w:rsid w:val="00BA3400"/>
    <w:rsid w:val="00BA3DCC"/>
    <w:rsid w:val="00BA41AC"/>
    <w:rsid w:val="00BA44FF"/>
    <w:rsid w:val="00BA4A07"/>
    <w:rsid w:val="00BA4BCB"/>
    <w:rsid w:val="00BA4E5E"/>
    <w:rsid w:val="00BA51D4"/>
    <w:rsid w:val="00BA5528"/>
    <w:rsid w:val="00BA5625"/>
    <w:rsid w:val="00BA66BB"/>
    <w:rsid w:val="00BA6A0D"/>
    <w:rsid w:val="00BA6C37"/>
    <w:rsid w:val="00BA6E24"/>
    <w:rsid w:val="00BA6EAC"/>
    <w:rsid w:val="00BA7581"/>
    <w:rsid w:val="00BA75DA"/>
    <w:rsid w:val="00BA7760"/>
    <w:rsid w:val="00BA7794"/>
    <w:rsid w:val="00BA7884"/>
    <w:rsid w:val="00BA7A8E"/>
    <w:rsid w:val="00BB0717"/>
    <w:rsid w:val="00BB089E"/>
    <w:rsid w:val="00BB0AC5"/>
    <w:rsid w:val="00BB0D84"/>
    <w:rsid w:val="00BB0F1F"/>
    <w:rsid w:val="00BB1152"/>
    <w:rsid w:val="00BB129A"/>
    <w:rsid w:val="00BB1A48"/>
    <w:rsid w:val="00BB1D1B"/>
    <w:rsid w:val="00BB2726"/>
    <w:rsid w:val="00BB278B"/>
    <w:rsid w:val="00BB2A95"/>
    <w:rsid w:val="00BB2C3A"/>
    <w:rsid w:val="00BB314C"/>
    <w:rsid w:val="00BB33A5"/>
    <w:rsid w:val="00BB346F"/>
    <w:rsid w:val="00BB3C30"/>
    <w:rsid w:val="00BB3C36"/>
    <w:rsid w:val="00BB3F0D"/>
    <w:rsid w:val="00BB40D7"/>
    <w:rsid w:val="00BB438F"/>
    <w:rsid w:val="00BB517D"/>
    <w:rsid w:val="00BB532C"/>
    <w:rsid w:val="00BB5833"/>
    <w:rsid w:val="00BB5B5A"/>
    <w:rsid w:val="00BB5BFB"/>
    <w:rsid w:val="00BB5F7E"/>
    <w:rsid w:val="00BB6BD4"/>
    <w:rsid w:val="00BB6BFE"/>
    <w:rsid w:val="00BB7027"/>
    <w:rsid w:val="00BB75F0"/>
    <w:rsid w:val="00BB7BFC"/>
    <w:rsid w:val="00BB7C1E"/>
    <w:rsid w:val="00BC01FA"/>
    <w:rsid w:val="00BC09DE"/>
    <w:rsid w:val="00BC0A7F"/>
    <w:rsid w:val="00BC0C1A"/>
    <w:rsid w:val="00BC0C38"/>
    <w:rsid w:val="00BC0D56"/>
    <w:rsid w:val="00BC0D5A"/>
    <w:rsid w:val="00BC0D7A"/>
    <w:rsid w:val="00BC2072"/>
    <w:rsid w:val="00BC2215"/>
    <w:rsid w:val="00BC2397"/>
    <w:rsid w:val="00BC28F3"/>
    <w:rsid w:val="00BC2DE6"/>
    <w:rsid w:val="00BC3359"/>
    <w:rsid w:val="00BC375B"/>
    <w:rsid w:val="00BC3979"/>
    <w:rsid w:val="00BC3E75"/>
    <w:rsid w:val="00BC42F5"/>
    <w:rsid w:val="00BC48B4"/>
    <w:rsid w:val="00BC4E3F"/>
    <w:rsid w:val="00BC544A"/>
    <w:rsid w:val="00BC5989"/>
    <w:rsid w:val="00BC5A4C"/>
    <w:rsid w:val="00BC5B41"/>
    <w:rsid w:val="00BC6393"/>
    <w:rsid w:val="00BC6446"/>
    <w:rsid w:val="00BC64F4"/>
    <w:rsid w:val="00BC71F5"/>
    <w:rsid w:val="00BC728D"/>
    <w:rsid w:val="00BC7303"/>
    <w:rsid w:val="00BC7362"/>
    <w:rsid w:val="00BC7BEF"/>
    <w:rsid w:val="00BC7C8C"/>
    <w:rsid w:val="00BD0680"/>
    <w:rsid w:val="00BD0720"/>
    <w:rsid w:val="00BD0AE9"/>
    <w:rsid w:val="00BD0B57"/>
    <w:rsid w:val="00BD1179"/>
    <w:rsid w:val="00BD1259"/>
    <w:rsid w:val="00BD12E6"/>
    <w:rsid w:val="00BD1686"/>
    <w:rsid w:val="00BD1949"/>
    <w:rsid w:val="00BD1AC9"/>
    <w:rsid w:val="00BD1F6E"/>
    <w:rsid w:val="00BD1FE8"/>
    <w:rsid w:val="00BD205F"/>
    <w:rsid w:val="00BD20BE"/>
    <w:rsid w:val="00BD2956"/>
    <w:rsid w:val="00BD2ED4"/>
    <w:rsid w:val="00BD35E2"/>
    <w:rsid w:val="00BD3631"/>
    <w:rsid w:val="00BD370D"/>
    <w:rsid w:val="00BD3AD7"/>
    <w:rsid w:val="00BD3C85"/>
    <w:rsid w:val="00BD3CCF"/>
    <w:rsid w:val="00BD44A1"/>
    <w:rsid w:val="00BD4D55"/>
    <w:rsid w:val="00BD4D96"/>
    <w:rsid w:val="00BD4DEC"/>
    <w:rsid w:val="00BD5782"/>
    <w:rsid w:val="00BD5B2C"/>
    <w:rsid w:val="00BD614A"/>
    <w:rsid w:val="00BD63E0"/>
    <w:rsid w:val="00BD6658"/>
    <w:rsid w:val="00BD6870"/>
    <w:rsid w:val="00BD6FD9"/>
    <w:rsid w:val="00BD7327"/>
    <w:rsid w:val="00BD74B3"/>
    <w:rsid w:val="00BD75F7"/>
    <w:rsid w:val="00BD7988"/>
    <w:rsid w:val="00BD7E8A"/>
    <w:rsid w:val="00BE01F5"/>
    <w:rsid w:val="00BE0264"/>
    <w:rsid w:val="00BE0CAE"/>
    <w:rsid w:val="00BE0D32"/>
    <w:rsid w:val="00BE1689"/>
    <w:rsid w:val="00BE1824"/>
    <w:rsid w:val="00BE1892"/>
    <w:rsid w:val="00BE1C81"/>
    <w:rsid w:val="00BE203F"/>
    <w:rsid w:val="00BE2483"/>
    <w:rsid w:val="00BE2758"/>
    <w:rsid w:val="00BE28B9"/>
    <w:rsid w:val="00BE2917"/>
    <w:rsid w:val="00BE29B7"/>
    <w:rsid w:val="00BE2C12"/>
    <w:rsid w:val="00BE2C45"/>
    <w:rsid w:val="00BE2F3E"/>
    <w:rsid w:val="00BE3084"/>
    <w:rsid w:val="00BE324E"/>
    <w:rsid w:val="00BE33FF"/>
    <w:rsid w:val="00BE35E1"/>
    <w:rsid w:val="00BE373A"/>
    <w:rsid w:val="00BE38A9"/>
    <w:rsid w:val="00BE3E1C"/>
    <w:rsid w:val="00BE46DE"/>
    <w:rsid w:val="00BE4BF1"/>
    <w:rsid w:val="00BE56E5"/>
    <w:rsid w:val="00BE5AC3"/>
    <w:rsid w:val="00BE5FD0"/>
    <w:rsid w:val="00BE6160"/>
    <w:rsid w:val="00BE6326"/>
    <w:rsid w:val="00BE6500"/>
    <w:rsid w:val="00BE68F3"/>
    <w:rsid w:val="00BE6BC4"/>
    <w:rsid w:val="00BE6DA5"/>
    <w:rsid w:val="00BE7764"/>
    <w:rsid w:val="00BE7A19"/>
    <w:rsid w:val="00BE7B8E"/>
    <w:rsid w:val="00BE7CDE"/>
    <w:rsid w:val="00BF00E4"/>
    <w:rsid w:val="00BF03E7"/>
    <w:rsid w:val="00BF0CDD"/>
    <w:rsid w:val="00BF0D1A"/>
    <w:rsid w:val="00BF0E66"/>
    <w:rsid w:val="00BF15FB"/>
    <w:rsid w:val="00BF17FA"/>
    <w:rsid w:val="00BF27B9"/>
    <w:rsid w:val="00BF2CB6"/>
    <w:rsid w:val="00BF3C74"/>
    <w:rsid w:val="00BF3C89"/>
    <w:rsid w:val="00BF3D04"/>
    <w:rsid w:val="00BF43FD"/>
    <w:rsid w:val="00BF440B"/>
    <w:rsid w:val="00BF443B"/>
    <w:rsid w:val="00BF4618"/>
    <w:rsid w:val="00BF500C"/>
    <w:rsid w:val="00BF5760"/>
    <w:rsid w:val="00BF65A3"/>
    <w:rsid w:val="00BF66EE"/>
    <w:rsid w:val="00BF68D6"/>
    <w:rsid w:val="00BF6DA4"/>
    <w:rsid w:val="00BF7223"/>
    <w:rsid w:val="00BF72B0"/>
    <w:rsid w:val="00BF72B1"/>
    <w:rsid w:val="00BF793F"/>
    <w:rsid w:val="00BF7CBB"/>
    <w:rsid w:val="00C0049A"/>
    <w:rsid w:val="00C00802"/>
    <w:rsid w:val="00C0083D"/>
    <w:rsid w:val="00C00CA4"/>
    <w:rsid w:val="00C00D2D"/>
    <w:rsid w:val="00C00DAB"/>
    <w:rsid w:val="00C011D3"/>
    <w:rsid w:val="00C0278A"/>
    <w:rsid w:val="00C027AE"/>
    <w:rsid w:val="00C02E6F"/>
    <w:rsid w:val="00C03A3F"/>
    <w:rsid w:val="00C03C74"/>
    <w:rsid w:val="00C03D39"/>
    <w:rsid w:val="00C03E26"/>
    <w:rsid w:val="00C03F85"/>
    <w:rsid w:val="00C0460B"/>
    <w:rsid w:val="00C04E99"/>
    <w:rsid w:val="00C04FED"/>
    <w:rsid w:val="00C0532B"/>
    <w:rsid w:val="00C056B0"/>
    <w:rsid w:val="00C05989"/>
    <w:rsid w:val="00C05B7A"/>
    <w:rsid w:val="00C05D1A"/>
    <w:rsid w:val="00C061E8"/>
    <w:rsid w:val="00C06858"/>
    <w:rsid w:val="00C06AD4"/>
    <w:rsid w:val="00C06B6A"/>
    <w:rsid w:val="00C06C58"/>
    <w:rsid w:val="00C075D7"/>
    <w:rsid w:val="00C10034"/>
    <w:rsid w:val="00C104C4"/>
    <w:rsid w:val="00C10773"/>
    <w:rsid w:val="00C10AFB"/>
    <w:rsid w:val="00C1101F"/>
    <w:rsid w:val="00C113EE"/>
    <w:rsid w:val="00C11440"/>
    <w:rsid w:val="00C11640"/>
    <w:rsid w:val="00C11953"/>
    <w:rsid w:val="00C11A34"/>
    <w:rsid w:val="00C11E67"/>
    <w:rsid w:val="00C126C4"/>
    <w:rsid w:val="00C129B9"/>
    <w:rsid w:val="00C12E8E"/>
    <w:rsid w:val="00C13202"/>
    <w:rsid w:val="00C1352D"/>
    <w:rsid w:val="00C136FF"/>
    <w:rsid w:val="00C13BB0"/>
    <w:rsid w:val="00C13C87"/>
    <w:rsid w:val="00C13E1F"/>
    <w:rsid w:val="00C13EF7"/>
    <w:rsid w:val="00C142B9"/>
    <w:rsid w:val="00C1440B"/>
    <w:rsid w:val="00C14555"/>
    <w:rsid w:val="00C14877"/>
    <w:rsid w:val="00C148D6"/>
    <w:rsid w:val="00C14F63"/>
    <w:rsid w:val="00C15058"/>
    <w:rsid w:val="00C156DB"/>
    <w:rsid w:val="00C157DD"/>
    <w:rsid w:val="00C1595E"/>
    <w:rsid w:val="00C15DC1"/>
    <w:rsid w:val="00C16229"/>
    <w:rsid w:val="00C1648A"/>
    <w:rsid w:val="00C16B09"/>
    <w:rsid w:val="00C16C05"/>
    <w:rsid w:val="00C1707A"/>
    <w:rsid w:val="00C1733B"/>
    <w:rsid w:val="00C17887"/>
    <w:rsid w:val="00C179FF"/>
    <w:rsid w:val="00C17D21"/>
    <w:rsid w:val="00C17EDB"/>
    <w:rsid w:val="00C20883"/>
    <w:rsid w:val="00C209BB"/>
    <w:rsid w:val="00C212EA"/>
    <w:rsid w:val="00C213E5"/>
    <w:rsid w:val="00C214C5"/>
    <w:rsid w:val="00C219C8"/>
    <w:rsid w:val="00C21E15"/>
    <w:rsid w:val="00C21EE2"/>
    <w:rsid w:val="00C22091"/>
    <w:rsid w:val="00C22202"/>
    <w:rsid w:val="00C22408"/>
    <w:rsid w:val="00C2246A"/>
    <w:rsid w:val="00C2256B"/>
    <w:rsid w:val="00C229A5"/>
    <w:rsid w:val="00C231DD"/>
    <w:rsid w:val="00C23351"/>
    <w:rsid w:val="00C235F9"/>
    <w:rsid w:val="00C238F0"/>
    <w:rsid w:val="00C23B45"/>
    <w:rsid w:val="00C243BD"/>
    <w:rsid w:val="00C2474A"/>
    <w:rsid w:val="00C248A8"/>
    <w:rsid w:val="00C24F43"/>
    <w:rsid w:val="00C256BA"/>
    <w:rsid w:val="00C25A98"/>
    <w:rsid w:val="00C25DB6"/>
    <w:rsid w:val="00C262B3"/>
    <w:rsid w:val="00C26B02"/>
    <w:rsid w:val="00C26BDC"/>
    <w:rsid w:val="00C26C31"/>
    <w:rsid w:val="00C27000"/>
    <w:rsid w:val="00C27197"/>
    <w:rsid w:val="00C27407"/>
    <w:rsid w:val="00C2758B"/>
    <w:rsid w:val="00C27BAC"/>
    <w:rsid w:val="00C27E5A"/>
    <w:rsid w:val="00C30127"/>
    <w:rsid w:val="00C301E2"/>
    <w:rsid w:val="00C30502"/>
    <w:rsid w:val="00C3076F"/>
    <w:rsid w:val="00C30860"/>
    <w:rsid w:val="00C30CBA"/>
    <w:rsid w:val="00C30F16"/>
    <w:rsid w:val="00C310C5"/>
    <w:rsid w:val="00C31195"/>
    <w:rsid w:val="00C31234"/>
    <w:rsid w:val="00C31485"/>
    <w:rsid w:val="00C317A2"/>
    <w:rsid w:val="00C321AD"/>
    <w:rsid w:val="00C328D6"/>
    <w:rsid w:val="00C32B07"/>
    <w:rsid w:val="00C32D57"/>
    <w:rsid w:val="00C32E98"/>
    <w:rsid w:val="00C32FA4"/>
    <w:rsid w:val="00C3319E"/>
    <w:rsid w:val="00C33428"/>
    <w:rsid w:val="00C3342A"/>
    <w:rsid w:val="00C3342D"/>
    <w:rsid w:val="00C33AC8"/>
    <w:rsid w:val="00C33B4E"/>
    <w:rsid w:val="00C33ECD"/>
    <w:rsid w:val="00C33F17"/>
    <w:rsid w:val="00C34135"/>
    <w:rsid w:val="00C342CA"/>
    <w:rsid w:val="00C34302"/>
    <w:rsid w:val="00C3439D"/>
    <w:rsid w:val="00C34B35"/>
    <w:rsid w:val="00C353E8"/>
    <w:rsid w:val="00C358D8"/>
    <w:rsid w:val="00C35B4A"/>
    <w:rsid w:val="00C36118"/>
    <w:rsid w:val="00C3643E"/>
    <w:rsid w:val="00C3666E"/>
    <w:rsid w:val="00C36688"/>
    <w:rsid w:val="00C36779"/>
    <w:rsid w:val="00C3684F"/>
    <w:rsid w:val="00C36FC6"/>
    <w:rsid w:val="00C3706B"/>
    <w:rsid w:val="00C37509"/>
    <w:rsid w:val="00C37B09"/>
    <w:rsid w:val="00C37C99"/>
    <w:rsid w:val="00C37E69"/>
    <w:rsid w:val="00C40633"/>
    <w:rsid w:val="00C41148"/>
    <w:rsid w:val="00C411A7"/>
    <w:rsid w:val="00C413D9"/>
    <w:rsid w:val="00C414CB"/>
    <w:rsid w:val="00C4158B"/>
    <w:rsid w:val="00C42733"/>
    <w:rsid w:val="00C427F6"/>
    <w:rsid w:val="00C42C4D"/>
    <w:rsid w:val="00C42EF1"/>
    <w:rsid w:val="00C43682"/>
    <w:rsid w:val="00C4382B"/>
    <w:rsid w:val="00C43B65"/>
    <w:rsid w:val="00C43F94"/>
    <w:rsid w:val="00C44004"/>
    <w:rsid w:val="00C441DE"/>
    <w:rsid w:val="00C44408"/>
    <w:rsid w:val="00C44B34"/>
    <w:rsid w:val="00C44DD5"/>
    <w:rsid w:val="00C45486"/>
    <w:rsid w:val="00C45991"/>
    <w:rsid w:val="00C464A7"/>
    <w:rsid w:val="00C464F7"/>
    <w:rsid w:val="00C465CC"/>
    <w:rsid w:val="00C46761"/>
    <w:rsid w:val="00C46F9A"/>
    <w:rsid w:val="00C47158"/>
    <w:rsid w:val="00C47348"/>
    <w:rsid w:val="00C4758D"/>
    <w:rsid w:val="00C4779F"/>
    <w:rsid w:val="00C47A2D"/>
    <w:rsid w:val="00C47DCC"/>
    <w:rsid w:val="00C47FEC"/>
    <w:rsid w:val="00C4ED86"/>
    <w:rsid w:val="00C50500"/>
    <w:rsid w:val="00C505A5"/>
    <w:rsid w:val="00C506CC"/>
    <w:rsid w:val="00C50816"/>
    <w:rsid w:val="00C5089C"/>
    <w:rsid w:val="00C50B26"/>
    <w:rsid w:val="00C50E81"/>
    <w:rsid w:val="00C50F36"/>
    <w:rsid w:val="00C50F5B"/>
    <w:rsid w:val="00C510F5"/>
    <w:rsid w:val="00C512BF"/>
    <w:rsid w:val="00C51721"/>
    <w:rsid w:val="00C518EC"/>
    <w:rsid w:val="00C52739"/>
    <w:rsid w:val="00C52ACE"/>
    <w:rsid w:val="00C52D5E"/>
    <w:rsid w:val="00C536A4"/>
    <w:rsid w:val="00C537CE"/>
    <w:rsid w:val="00C539FA"/>
    <w:rsid w:val="00C53BAB"/>
    <w:rsid w:val="00C53D0C"/>
    <w:rsid w:val="00C53DC3"/>
    <w:rsid w:val="00C53FC6"/>
    <w:rsid w:val="00C541A4"/>
    <w:rsid w:val="00C54519"/>
    <w:rsid w:val="00C54B6D"/>
    <w:rsid w:val="00C54B75"/>
    <w:rsid w:val="00C54CBE"/>
    <w:rsid w:val="00C54D2D"/>
    <w:rsid w:val="00C54E90"/>
    <w:rsid w:val="00C5508E"/>
    <w:rsid w:val="00C554DB"/>
    <w:rsid w:val="00C554F9"/>
    <w:rsid w:val="00C55893"/>
    <w:rsid w:val="00C55D24"/>
    <w:rsid w:val="00C55EC9"/>
    <w:rsid w:val="00C55F24"/>
    <w:rsid w:val="00C56036"/>
    <w:rsid w:val="00C5618F"/>
    <w:rsid w:val="00C56317"/>
    <w:rsid w:val="00C57471"/>
    <w:rsid w:val="00C574D1"/>
    <w:rsid w:val="00C57912"/>
    <w:rsid w:val="00C57A74"/>
    <w:rsid w:val="00C57CF9"/>
    <w:rsid w:val="00C60324"/>
    <w:rsid w:val="00C60690"/>
    <w:rsid w:val="00C60DEA"/>
    <w:rsid w:val="00C616F3"/>
    <w:rsid w:val="00C616F9"/>
    <w:rsid w:val="00C61A9F"/>
    <w:rsid w:val="00C61ABF"/>
    <w:rsid w:val="00C61D60"/>
    <w:rsid w:val="00C61D69"/>
    <w:rsid w:val="00C6212D"/>
    <w:rsid w:val="00C6219C"/>
    <w:rsid w:val="00C62212"/>
    <w:rsid w:val="00C624F5"/>
    <w:rsid w:val="00C62515"/>
    <w:rsid w:val="00C6267E"/>
    <w:rsid w:val="00C628C7"/>
    <w:rsid w:val="00C628DD"/>
    <w:rsid w:val="00C629FA"/>
    <w:rsid w:val="00C62FF3"/>
    <w:rsid w:val="00C630CA"/>
    <w:rsid w:val="00C63343"/>
    <w:rsid w:val="00C635B5"/>
    <w:rsid w:val="00C63BD8"/>
    <w:rsid w:val="00C63E1B"/>
    <w:rsid w:val="00C64486"/>
    <w:rsid w:val="00C64498"/>
    <w:rsid w:val="00C64F39"/>
    <w:rsid w:val="00C654FC"/>
    <w:rsid w:val="00C65D14"/>
    <w:rsid w:val="00C66150"/>
    <w:rsid w:val="00C664DF"/>
    <w:rsid w:val="00C66542"/>
    <w:rsid w:val="00C669F8"/>
    <w:rsid w:val="00C66C9B"/>
    <w:rsid w:val="00C66FA4"/>
    <w:rsid w:val="00C66FC1"/>
    <w:rsid w:val="00C67872"/>
    <w:rsid w:val="00C67BFC"/>
    <w:rsid w:val="00C67CFF"/>
    <w:rsid w:val="00C67EC4"/>
    <w:rsid w:val="00C67F3A"/>
    <w:rsid w:val="00C70228"/>
    <w:rsid w:val="00C70674"/>
    <w:rsid w:val="00C707A1"/>
    <w:rsid w:val="00C707F6"/>
    <w:rsid w:val="00C70AE6"/>
    <w:rsid w:val="00C70D54"/>
    <w:rsid w:val="00C70E8C"/>
    <w:rsid w:val="00C70F7A"/>
    <w:rsid w:val="00C7102C"/>
    <w:rsid w:val="00C710E5"/>
    <w:rsid w:val="00C71692"/>
    <w:rsid w:val="00C71787"/>
    <w:rsid w:val="00C71CBB"/>
    <w:rsid w:val="00C7233D"/>
    <w:rsid w:val="00C723A7"/>
    <w:rsid w:val="00C723C2"/>
    <w:rsid w:val="00C72843"/>
    <w:rsid w:val="00C73492"/>
    <w:rsid w:val="00C73634"/>
    <w:rsid w:val="00C7368B"/>
    <w:rsid w:val="00C736C2"/>
    <w:rsid w:val="00C73B5F"/>
    <w:rsid w:val="00C73D55"/>
    <w:rsid w:val="00C73DB0"/>
    <w:rsid w:val="00C74139"/>
    <w:rsid w:val="00C741CD"/>
    <w:rsid w:val="00C74293"/>
    <w:rsid w:val="00C74358"/>
    <w:rsid w:val="00C74A75"/>
    <w:rsid w:val="00C74B05"/>
    <w:rsid w:val="00C7507F"/>
    <w:rsid w:val="00C75A90"/>
    <w:rsid w:val="00C75ACA"/>
    <w:rsid w:val="00C75D6E"/>
    <w:rsid w:val="00C7612C"/>
    <w:rsid w:val="00C76159"/>
    <w:rsid w:val="00C76304"/>
    <w:rsid w:val="00C76B39"/>
    <w:rsid w:val="00C76DBF"/>
    <w:rsid w:val="00C76E5B"/>
    <w:rsid w:val="00C771D1"/>
    <w:rsid w:val="00C771D5"/>
    <w:rsid w:val="00C77753"/>
    <w:rsid w:val="00C7779F"/>
    <w:rsid w:val="00C778BA"/>
    <w:rsid w:val="00C80494"/>
    <w:rsid w:val="00C8092F"/>
    <w:rsid w:val="00C80C28"/>
    <w:rsid w:val="00C80DC5"/>
    <w:rsid w:val="00C80FBD"/>
    <w:rsid w:val="00C81378"/>
    <w:rsid w:val="00C816F0"/>
    <w:rsid w:val="00C825FB"/>
    <w:rsid w:val="00C82BA7"/>
    <w:rsid w:val="00C82E53"/>
    <w:rsid w:val="00C83022"/>
    <w:rsid w:val="00C8420E"/>
    <w:rsid w:val="00C84E3B"/>
    <w:rsid w:val="00C8500C"/>
    <w:rsid w:val="00C85B13"/>
    <w:rsid w:val="00C85D98"/>
    <w:rsid w:val="00C865BE"/>
    <w:rsid w:val="00C87140"/>
    <w:rsid w:val="00C871B3"/>
    <w:rsid w:val="00C8747D"/>
    <w:rsid w:val="00C875B4"/>
    <w:rsid w:val="00C875E7"/>
    <w:rsid w:val="00C87C3A"/>
    <w:rsid w:val="00C87C4C"/>
    <w:rsid w:val="00C87C66"/>
    <w:rsid w:val="00C87D32"/>
    <w:rsid w:val="00C90344"/>
    <w:rsid w:val="00C90550"/>
    <w:rsid w:val="00C91664"/>
    <w:rsid w:val="00C91CE7"/>
    <w:rsid w:val="00C92066"/>
    <w:rsid w:val="00C9206A"/>
    <w:rsid w:val="00C921E3"/>
    <w:rsid w:val="00C92252"/>
    <w:rsid w:val="00C92786"/>
    <w:rsid w:val="00C92BB9"/>
    <w:rsid w:val="00C92D61"/>
    <w:rsid w:val="00C93348"/>
    <w:rsid w:val="00C93B4C"/>
    <w:rsid w:val="00C93D94"/>
    <w:rsid w:val="00C93ED5"/>
    <w:rsid w:val="00C93FF0"/>
    <w:rsid w:val="00C941AF"/>
    <w:rsid w:val="00C944C8"/>
    <w:rsid w:val="00C948C8"/>
    <w:rsid w:val="00C94A8F"/>
    <w:rsid w:val="00C94EB3"/>
    <w:rsid w:val="00C94F55"/>
    <w:rsid w:val="00C94FFA"/>
    <w:rsid w:val="00C954BB"/>
    <w:rsid w:val="00C95534"/>
    <w:rsid w:val="00C955BF"/>
    <w:rsid w:val="00C956C7"/>
    <w:rsid w:val="00C9578A"/>
    <w:rsid w:val="00C9578D"/>
    <w:rsid w:val="00C959C4"/>
    <w:rsid w:val="00C95A11"/>
    <w:rsid w:val="00C95D06"/>
    <w:rsid w:val="00C962B6"/>
    <w:rsid w:val="00C96502"/>
    <w:rsid w:val="00C967DB"/>
    <w:rsid w:val="00C96B4C"/>
    <w:rsid w:val="00C96B53"/>
    <w:rsid w:val="00C96D46"/>
    <w:rsid w:val="00C9714D"/>
    <w:rsid w:val="00C971FC"/>
    <w:rsid w:val="00C9763B"/>
    <w:rsid w:val="00C976FE"/>
    <w:rsid w:val="00C978DF"/>
    <w:rsid w:val="00C97B64"/>
    <w:rsid w:val="00C97CB3"/>
    <w:rsid w:val="00C97CC0"/>
    <w:rsid w:val="00CA0133"/>
    <w:rsid w:val="00CA03C3"/>
    <w:rsid w:val="00CA05CB"/>
    <w:rsid w:val="00CA0602"/>
    <w:rsid w:val="00CA061D"/>
    <w:rsid w:val="00CA06F9"/>
    <w:rsid w:val="00CA0E6E"/>
    <w:rsid w:val="00CA12F6"/>
    <w:rsid w:val="00CA142E"/>
    <w:rsid w:val="00CA1BAC"/>
    <w:rsid w:val="00CA1D2A"/>
    <w:rsid w:val="00CA1F34"/>
    <w:rsid w:val="00CA20EE"/>
    <w:rsid w:val="00CA24AB"/>
    <w:rsid w:val="00CA2C36"/>
    <w:rsid w:val="00CA2DC7"/>
    <w:rsid w:val="00CA2E25"/>
    <w:rsid w:val="00CA31E8"/>
    <w:rsid w:val="00CA32CB"/>
    <w:rsid w:val="00CA3B8D"/>
    <w:rsid w:val="00CA3BCA"/>
    <w:rsid w:val="00CA4231"/>
    <w:rsid w:val="00CA4350"/>
    <w:rsid w:val="00CA4446"/>
    <w:rsid w:val="00CA4531"/>
    <w:rsid w:val="00CA4628"/>
    <w:rsid w:val="00CA46B6"/>
    <w:rsid w:val="00CA4AA0"/>
    <w:rsid w:val="00CA527B"/>
    <w:rsid w:val="00CA57F7"/>
    <w:rsid w:val="00CA5D73"/>
    <w:rsid w:val="00CA5D9C"/>
    <w:rsid w:val="00CA5D9D"/>
    <w:rsid w:val="00CA5FFE"/>
    <w:rsid w:val="00CA62B1"/>
    <w:rsid w:val="00CA6740"/>
    <w:rsid w:val="00CA683C"/>
    <w:rsid w:val="00CA68E8"/>
    <w:rsid w:val="00CA692D"/>
    <w:rsid w:val="00CA70C1"/>
    <w:rsid w:val="00CA71C0"/>
    <w:rsid w:val="00CA7380"/>
    <w:rsid w:val="00CA73FB"/>
    <w:rsid w:val="00CA78A6"/>
    <w:rsid w:val="00CA7BC5"/>
    <w:rsid w:val="00CA7D85"/>
    <w:rsid w:val="00CB0697"/>
    <w:rsid w:val="00CB07F7"/>
    <w:rsid w:val="00CB0908"/>
    <w:rsid w:val="00CB09A9"/>
    <w:rsid w:val="00CB1142"/>
    <w:rsid w:val="00CB1906"/>
    <w:rsid w:val="00CB1911"/>
    <w:rsid w:val="00CB1A9E"/>
    <w:rsid w:val="00CB1B72"/>
    <w:rsid w:val="00CB249E"/>
    <w:rsid w:val="00CB249F"/>
    <w:rsid w:val="00CB24FD"/>
    <w:rsid w:val="00CB2675"/>
    <w:rsid w:val="00CB27A3"/>
    <w:rsid w:val="00CB29E2"/>
    <w:rsid w:val="00CB2C23"/>
    <w:rsid w:val="00CB2FA3"/>
    <w:rsid w:val="00CB391A"/>
    <w:rsid w:val="00CB3C61"/>
    <w:rsid w:val="00CB3E8C"/>
    <w:rsid w:val="00CB41FF"/>
    <w:rsid w:val="00CB45C7"/>
    <w:rsid w:val="00CB45D8"/>
    <w:rsid w:val="00CB46FD"/>
    <w:rsid w:val="00CB4DFB"/>
    <w:rsid w:val="00CB5099"/>
    <w:rsid w:val="00CB5226"/>
    <w:rsid w:val="00CB531E"/>
    <w:rsid w:val="00CB579D"/>
    <w:rsid w:val="00CB5C9B"/>
    <w:rsid w:val="00CB5CC1"/>
    <w:rsid w:val="00CB5E03"/>
    <w:rsid w:val="00CB6044"/>
    <w:rsid w:val="00CB6099"/>
    <w:rsid w:val="00CB60BC"/>
    <w:rsid w:val="00CB6201"/>
    <w:rsid w:val="00CB6439"/>
    <w:rsid w:val="00CB6687"/>
    <w:rsid w:val="00CB6821"/>
    <w:rsid w:val="00CB6B52"/>
    <w:rsid w:val="00CB6D0F"/>
    <w:rsid w:val="00CB7137"/>
    <w:rsid w:val="00CB73E5"/>
    <w:rsid w:val="00CB7427"/>
    <w:rsid w:val="00CC022D"/>
    <w:rsid w:val="00CC06D1"/>
    <w:rsid w:val="00CC085C"/>
    <w:rsid w:val="00CC0961"/>
    <w:rsid w:val="00CC0CE2"/>
    <w:rsid w:val="00CC0DA2"/>
    <w:rsid w:val="00CC179E"/>
    <w:rsid w:val="00CC18B9"/>
    <w:rsid w:val="00CC1FAF"/>
    <w:rsid w:val="00CC22BC"/>
    <w:rsid w:val="00CC232A"/>
    <w:rsid w:val="00CC372D"/>
    <w:rsid w:val="00CC3859"/>
    <w:rsid w:val="00CC4225"/>
    <w:rsid w:val="00CC4AB9"/>
    <w:rsid w:val="00CC532E"/>
    <w:rsid w:val="00CC5961"/>
    <w:rsid w:val="00CC5DE6"/>
    <w:rsid w:val="00CC6D9D"/>
    <w:rsid w:val="00CC6FE6"/>
    <w:rsid w:val="00CC7354"/>
    <w:rsid w:val="00CC7444"/>
    <w:rsid w:val="00CC7D07"/>
    <w:rsid w:val="00CC7E48"/>
    <w:rsid w:val="00CC7F57"/>
    <w:rsid w:val="00CD02B8"/>
    <w:rsid w:val="00CD02F0"/>
    <w:rsid w:val="00CD044D"/>
    <w:rsid w:val="00CD12A7"/>
    <w:rsid w:val="00CD13AE"/>
    <w:rsid w:val="00CD15A0"/>
    <w:rsid w:val="00CD1E93"/>
    <w:rsid w:val="00CD277E"/>
    <w:rsid w:val="00CD279B"/>
    <w:rsid w:val="00CD2873"/>
    <w:rsid w:val="00CD3449"/>
    <w:rsid w:val="00CD3535"/>
    <w:rsid w:val="00CD36EC"/>
    <w:rsid w:val="00CD4121"/>
    <w:rsid w:val="00CD424E"/>
    <w:rsid w:val="00CD42A9"/>
    <w:rsid w:val="00CD4334"/>
    <w:rsid w:val="00CD4936"/>
    <w:rsid w:val="00CD4F20"/>
    <w:rsid w:val="00CD4FDF"/>
    <w:rsid w:val="00CD562D"/>
    <w:rsid w:val="00CD5832"/>
    <w:rsid w:val="00CD5927"/>
    <w:rsid w:val="00CD5960"/>
    <w:rsid w:val="00CD5A7E"/>
    <w:rsid w:val="00CD5D85"/>
    <w:rsid w:val="00CD619A"/>
    <w:rsid w:val="00CD620E"/>
    <w:rsid w:val="00CD62B5"/>
    <w:rsid w:val="00CD6B5F"/>
    <w:rsid w:val="00CD76C5"/>
    <w:rsid w:val="00CD7778"/>
    <w:rsid w:val="00CD77FF"/>
    <w:rsid w:val="00CD7B5D"/>
    <w:rsid w:val="00CD7BEE"/>
    <w:rsid w:val="00CE0029"/>
    <w:rsid w:val="00CE0049"/>
    <w:rsid w:val="00CE052D"/>
    <w:rsid w:val="00CE057F"/>
    <w:rsid w:val="00CE085D"/>
    <w:rsid w:val="00CE08BD"/>
    <w:rsid w:val="00CE0BC6"/>
    <w:rsid w:val="00CE0E2D"/>
    <w:rsid w:val="00CE12CF"/>
    <w:rsid w:val="00CE15A4"/>
    <w:rsid w:val="00CE18F1"/>
    <w:rsid w:val="00CE26E1"/>
    <w:rsid w:val="00CE356D"/>
    <w:rsid w:val="00CE3769"/>
    <w:rsid w:val="00CE4010"/>
    <w:rsid w:val="00CE50AD"/>
    <w:rsid w:val="00CE562C"/>
    <w:rsid w:val="00CE57A3"/>
    <w:rsid w:val="00CE5A00"/>
    <w:rsid w:val="00CE5C84"/>
    <w:rsid w:val="00CE5D08"/>
    <w:rsid w:val="00CE5E1F"/>
    <w:rsid w:val="00CE6408"/>
    <w:rsid w:val="00CE68F2"/>
    <w:rsid w:val="00CE6D35"/>
    <w:rsid w:val="00CE72B3"/>
    <w:rsid w:val="00CE7386"/>
    <w:rsid w:val="00CE7923"/>
    <w:rsid w:val="00CE7BFB"/>
    <w:rsid w:val="00CE7C51"/>
    <w:rsid w:val="00CE7DC6"/>
    <w:rsid w:val="00CF0238"/>
    <w:rsid w:val="00CF0345"/>
    <w:rsid w:val="00CF0A63"/>
    <w:rsid w:val="00CF0CD8"/>
    <w:rsid w:val="00CF1251"/>
    <w:rsid w:val="00CF1503"/>
    <w:rsid w:val="00CF1637"/>
    <w:rsid w:val="00CF16A2"/>
    <w:rsid w:val="00CF17E9"/>
    <w:rsid w:val="00CF21AE"/>
    <w:rsid w:val="00CF240A"/>
    <w:rsid w:val="00CF2581"/>
    <w:rsid w:val="00CF28FF"/>
    <w:rsid w:val="00CF3313"/>
    <w:rsid w:val="00CF3620"/>
    <w:rsid w:val="00CF3C7A"/>
    <w:rsid w:val="00CF3DED"/>
    <w:rsid w:val="00CF3EF5"/>
    <w:rsid w:val="00CF4291"/>
    <w:rsid w:val="00CF4713"/>
    <w:rsid w:val="00CF4CCB"/>
    <w:rsid w:val="00CF5045"/>
    <w:rsid w:val="00CF5208"/>
    <w:rsid w:val="00CF526D"/>
    <w:rsid w:val="00CF5A54"/>
    <w:rsid w:val="00CF6064"/>
    <w:rsid w:val="00CF6291"/>
    <w:rsid w:val="00CF67FA"/>
    <w:rsid w:val="00CF6A9B"/>
    <w:rsid w:val="00CF6F7B"/>
    <w:rsid w:val="00CF7441"/>
    <w:rsid w:val="00CF75B1"/>
    <w:rsid w:val="00CF75F5"/>
    <w:rsid w:val="00CF76F5"/>
    <w:rsid w:val="00CF771A"/>
    <w:rsid w:val="00CF77B7"/>
    <w:rsid w:val="00D0016C"/>
    <w:rsid w:val="00D0026C"/>
    <w:rsid w:val="00D007D9"/>
    <w:rsid w:val="00D00E82"/>
    <w:rsid w:val="00D0136D"/>
    <w:rsid w:val="00D0181D"/>
    <w:rsid w:val="00D01978"/>
    <w:rsid w:val="00D019C5"/>
    <w:rsid w:val="00D01B5A"/>
    <w:rsid w:val="00D02335"/>
    <w:rsid w:val="00D0254C"/>
    <w:rsid w:val="00D029D1"/>
    <w:rsid w:val="00D02B28"/>
    <w:rsid w:val="00D02DED"/>
    <w:rsid w:val="00D02E7B"/>
    <w:rsid w:val="00D03014"/>
    <w:rsid w:val="00D0308D"/>
    <w:rsid w:val="00D030CC"/>
    <w:rsid w:val="00D031B1"/>
    <w:rsid w:val="00D039E5"/>
    <w:rsid w:val="00D03B41"/>
    <w:rsid w:val="00D03B72"/>
    <w:rsid w:val="00D03CCA"/>
    <w:rsid w:val="00D04052"/>
    <w:rsid w:val="00D0447E"/>
    <w:rsid w:val="00D049F2"/>
    <w:rsid w:val="00D04B52"/>
    <w:rsid w:val="00D04BEE"/>
    <w:rsid w:val="00D04DDC"/>
    <w:rsid w:val="00D051CF"/>
    <w:rsid w:val="00D05279"/>
    <w:rsid w:val="00D054F6"/>
    <w:rsid w:val="00D05895"/>
    <w:rsid w:val="00D05956"/>
    <w:rsid w:val="00D0606C"/>
    <w:rsid w:val="00D062D6"/>
    <w:rsid w:val="00D066F3"/>
    <w:rsid w:val="00D06800"/>
    <w:rsid w:val="00D068AA"/>
    <w:rsid w:val="00D068FF"/>
    <w:rsid w:val="00D06D16"/>
    <w:rsid w:val="00D07460"/>
    <w:rsid w:val="00D077E8"/>
    <w:rsid w:val="00D078CD"/>
    <w:rsid w:val="00D07A37"/>
    <w:rsid w:val="00D07FB8"/>
    <w:rsid w:val="00D1000F"/>
    <w:rsid w:val="00D1006B"/>
    <w:rsid w:val="00D1037B"/>
    <w:rsid w:val="00D104A2"/>
    <w:rsid w:val="00D113D9"/>
    <w:rsid w:val="00D113F1"/>
    <w:rsid w:val="00D115E1"/>
    <w:rsid w:val="00D1193B"/>
    <w:rsid w:val="00D119BD"/>
    <w:rsid w:val="00D11EAC"/>
    <w:rsid w:val="00D1200C"/>
    <w:rsid w:val="00D12375"/>
    <w:rsid w:val="00D12538"/>
    <w:rsid w:val="00D12BAF"/>
    <w:rsid w:val="00D13AA1"/>
    <w:rsid w:val="00D13CD5"/>
    <w:rsid w:val="00D1435D"/>
    <w:rsid w:val="00D146AF"/>
    <w:rsid w:val="00D1522A"/>
    <w:rsid w:val="00D153C7"/>
    <w:rsid w:val="00D1572C"/>
    <w:rsid w:val="00D15812"/>
    <w:rsid w:val="00D15C6E"/>
    <w:rsid w:val="00D1607D"/>
    <w:rsid w:val="00D16239"/>
    <w:rsid w:val="00D16389"/>
    <w:rsid w:val="00D165B6"/>
    <w:rsid w:val="00D165D0"/>
    <w:rsid w:val="00D169D7"/>
    <w:rsid w:val="00D169E1"/>
    <w:rsid w:val="00D16C8C"/>
    <w:rsid w:val="00D16DF5"/>
    <w:rsid w:val="00D1710D"/>
    <w:rsid w:val="00D17AE0"/>
    <w:rsid w:val="00D17C5D"/>
    <w:rsid w:val="00D20190"/>
    <w:rsid w:val="00D20567"/>
    <w:rsid w:val="00D20674"/>
    <w:rsid w:val="00D20786"/>
    <w:rsid w:val="00D208C5"/>
    <w:rsid w:val="00D20ABD"/>
    <w:rsid w:val="00D20BC9"/>
    <w:rsid w:val="00D2146E"/>
    <w:rsid w:val="00D214EC"/>
    <w:rsid w:val="00D21D6D"/>
    <w:rsid w:val="00D22018"/>
    <w:rsid w:val="00D2204E"/>
    <w:rsid w:val="00D22431"/>
    <w:rsid w:val="00D228FE"/>
    <w:rsid w:val="00D229FF"/>
    <w:rsid w:val="00D2335D"/>
    <w:rsid w:val="00D23648"/>
    <w:rsid w:val="00D2367A"/>
    <w:rsid w:val="00D23688"/>
    <w:rsid w:val="00D23704"/>
    <w:rsid w:val="00D238EF"/>
    <w:rsid w:val="00D23AC4"/>
    <w:rsid w:val="00D23F09"/>
    <w:rsid w:val="00D23F94"/>
    <w:rsid w:val="00D24248"/>
    <w:rsid w:val="00D24297"/>
    <w:rsid w:val="00D242F8"/>
    <w:rsid w:val="00D24438"/>
    <w:rsid w:val="00D24756"/>
    <w:rsid w:val="00D247A8"/>
    <w:rsid w:val="00D250F0"/>
    <w:rsid w:val="00D25113"/>
    <w:rsid w:val="00D252FC"/>
    <w:rsid w:val="00D255AF"/>
    <w:rsid w:val="00D255EE"/>
    <w:rsid w:val="00D2586B"/>
    <w:rsid w:val="00D25BC4"/>
    <w:rsid w:val="00D2610C"/>
    <w:rsid w:val="00D26234"/>
    <w:rsid w:val="00D26B88"/>
    <w:rsid w:val="00D26BFD"/>
    <w:rsid w:val="00D26C04"/>
    <w:rsid w:val="00D270E6"/>
    <w:rsid w:val="00D27434"/>
    <w:rsid w:val="00D30541"/>
    <w:rsid w:val="00D305DB"/>
    <w:rsid w:val="00D30A94"/>
    <w:rsid w:val="00D314C1"/>
    <w:rsid w:val="00D318A9"/>
    <w:rsid w:val="00D31922"/>
    <w:rsid w:val="00D319CA"/>
    <w:rsid w:val="00D3239C"/>
    <w:rsid w:val="00D3252E"/>
    <w:rsid w:val="00D325D0"/>
    <w:rsid w:val="00D3298D"/>
    <w:rsid w:val="00D32FD7"/>
    <w:rsid w:val="00D331A7"/>
    <w:rsid w:val="00D336B2"/>
    <w:rsid w:val="00D3372F"/>
    <w:rsid w:val="00D34017"/>
    <w:rsid w:val="00D34886"/>
    <w:rsid w:val="00D35132"/>
    <w:rsid w:val="00D353CA"/>
    <w:rsid w:val="00D355ED"/>
    <w:rsid w:val="00D3563F"/>
    <w:rsid w:val="00D35BAC"/>
    <w:rsid w:val="00D35F06"/>
    <w:rsid w:val="00D36071"/>
    <w:rsid w:val="00D36247"/>
    <w:rsid w:val="00D36437"/>
    <w:rsid w:val="00D36466"/>
    <w:rsid w:val="00D36E3E"/>
    <w:rsid w:val="00D36FA6"/>
    <w:rsid w:val="00D37245"/>
    <w:rsid w:val="00D374A2"/>
    <w:rsid w:val="00D374DB"/>
    <w:rsid w:val="00D37AB1"/>
    <w:rsid w:val="00D4069C"/>
    <w:rsid w:val="00D4080F"/>
    <w:rsid w:val="00D40A8D"/>
    <w:rsid w:val="00D40FE2"/>
    <w:rsid w:val="00D41B0D"/>
    <w:rsid w:val="00D41C3B"/>
    <w:rsid w:val="00D41D0C"/>
    <w:rsid w:val="00D422AE"/>
    <w:rsid w:val="00D42A86"/>
    <w:rsid w:val="00D42D9D"/>
    <w:rsid w:val="00D431BC"/>
    <w:rsid w:val="00D434E9"/>
    <w:rsid w:val="00D43A19"/>
    <w:rsid w:val="00D43E99"/>
    <w:rsid w:val="00D44870"/>
    <w:rsid w:val="00D44D25"/>
    <w:rsid w:val="00D44D26"/>
    <w:rsid w:val="00D44FAD"/>
    <w:rsid w:val="00D45242"/>
    <w:rsid w:val="00D452C4"/>
    <w:rsid w:val="00D454EC"/>
    <w:rsid w:val="00D455C1"/>
    <w:rsid w:val="00D45A46"/>
    <w:rsid w:val="00D45B55"/>
    <w:rsid w:val="00D46038"/>
    <w:rsid w:val="00D460AF"/>
    <w:rsid w:val="00D4672A"/>
    <w:rsid w:val="00D469ED"/>
    <w:rsid w:val="00D46E7A"/>
    <w:rsid w:val="00D47356"/>
    <w:rsid w:val="00D477C7"/>
    <w:rsid w:val="00D478E6"/>
    <w:rsid w:val="00D47A4E"/>
    <w:rsid w:val="00D47B3B"/>
    <w:rsid w:val="00D47C3C"/>
    <w:rsid w:val="00D5062F"/>
    <w:rsid w:val="00D5089F"/>
    <w:rsid w:val="00D509C3"/>
    <w:rsid w:val="00D509C5"/>
    <w:rsid w:val="00D50B6F"/>
    <w:rsid w:val="00D50B7B"/>
    <w:rsid w:val="00D50FF1"/>
    <w:rsid w:val="00D511F2"/>
    <w:rsid w:val="00D51BA9"/>
    <w:rsid w:val="00D51D0A"/>
    <w:rsid w:val="00D51F72"/>
    <w:rsid w:val="00D5201E"/>
    <w:rsid w:val="00D5286F"/>
    <w:rsid w:val="00D52DE2"/>
    <w:rsid w:val="00D52E01"/>
    <w:rsid w:val="00D5306B"/>
    <w:rsid w:val="00D5309D"/>
    <w:rsid w:val="00D53699"/>
    <w:rsid w:val="00D539F7"/>
    <w:rsid w:val="00D53A8C"/>
    <w:rsid w:val="00D53FC7"/>
    <w:rsid w:val="00D54585"/>
    <w:rsid w:val="00D555B4"/>
    <w:rsid w:val="00D5592C"/>
    <w:rsid w:val="00D55D25"/>
    <w:rsid w:val="00D566AA"/>
    <w:rsid w:val="00D56A98"/>
    <w:rsid w:val="00D57470"/>
    <w:rsid w:val="00D574F7"/>
    <w:rsid w:val="00D5752B"/>
    <w:rsid w:val="00D57652"/>
    <w:rsid w:val="00D57DAC"/>
    <w:rsid w:val="00D60E26"/>
    <w:rsid w:val="00D60FDC"/>
    <w:rsid w:val="00D6169C"/>
    <w:rsid w:val="00D61C77"/>
    <w:rsid w:val="00D61CE8"/>
    <w:rsid w:val="00D61CF0"/>
    <w:rsid w:val="00D61D2C"/>
    <w:rsid w:val="00D61E38"/>
    <w:rsid w:val="00D61F4B"/>
    <w:rsid w:val="00D62585"/>
    <w:rsid w:val="00D62EE5"/>
    <w:rsid w:val="00D63568"/>
    <w:rsid w:val="00D640D5"/>
    <w:rsid w:val="00D6414F"/>
    <w:rsid w:val="00D64445"/>
    <w:rsid w:val="00D64824"/>
    <w:rsid w:val="00D64A95"/>
    <w:rsid w:val="00D64ACF"/>
    <w:rsid w:val="00D64CD9"/>
    <w:rsid w:val="00D64D97"/>
    <w:rsid w:val="00D65038"/>
    <w:rsid w:val="00D65275"/>
    <w:rsid w:val="00D657F7"/>
    <w:rsid w:val="00D65F2C"/>
    <w:rsid w:val="00D65F71"/>
    <w:rsid w:val="00D661DA"/>
    <w:rsid w:val="00D662BA"/>
    <w:rsid w:val="00D6641E"/>
    <w:rsid w:val="00D66DAC"/>
    <w:rsid w:val="00D673CA"/>
    <w:rsid w:val="00D6740D"/>
    <w:rsid w:val="00D67CE4"/>
    <w:rsid w:val="00D67D0C"/>
    <w:rsid w:val="00D67E9C"/>
    <w:rsid w:val="00D70C05"/>
    <w:rsid w:val="00D70FD2"/>
    <w:rsid w:val="00D7158D"/>
    <w:rsid w:val="00D716B7"/>
    <w:rsid w:val="00D71848"/>
    <w:rsid w:val="00D7185B"/>
    <w:rsid w:val="00D71A49"/>
    <w:rsid w:val="00D71A5F"/>
    <w:rsid w:val="00D71C78"/>
    <w:rsid w:val="00D72382"/>
    <w:rsid w:val="00D7263B"/>
    <w:rsid w:val="00D72648"/>
    <w:rsid w:val="00D7285E"/>
    <w:rsid w:val="00D72AC6"/>
    <w:rsid w:val="00D72F38"/>
    <w:rsid w:val="00D73240"/>
    <w:rsid w:val="00D734FF"/>
    <w:rsid w:val="00D74006"/>
    <w:rsid w:val="00D740C9"/>
    <w:rsid w:val="00D742E6"/>
    <w:rsid w:val="00D74544"/>
    <w:rsid w:val="00D7454A"/>
    <w:rsid w:val="00D7460A"/>
    <w:rsid w:val="00D749CD"/>
    <w:rsid w:val="00D74A9B"/>
    <w:rsid w:val="00D74BA6"/>
    <w:rsid w:val="00D74E1C"/>
    <w:rsid w:val="00D7504A"/>
    <w:rsid w:val="00D75637"/>
    <w:rsid w:val="00D75785"/>
    <w:rsid w:val="00D75B59"/>
    <w:rsid w:val="00D75C2D"/>
    <w:rsid w:val="00D75DB2"/>
    <w:rsid w:val="00D75DD3"/>
    <w:rsid w:val="00D7608A"/>
    <w:rsid w:val="00D761EF"/>
    <w:rsid w:val="00D76800"/>
    <w:rsid w:val="00D768C9"/>
    <w:rsid w:val="00D7693E"/>
    <w:rsid w:val="00D76DA6"/>
    <w:rsid w:val="00D76F97"/>
    <w:rsid w:val="00D772B8"/>
    <w:rsid w:val="00D7736E"/>
    <w:rsid w:val="00D776A8"/>
    <w:rsid w:val="00D7770F"/>
    <w:rsid w:val="00D7784E"/>
    <w:rsid w:val="00D77C7A"/>
    <w:rsid w:val="00D77D1B"/>
    <w:rsid w:val="00D77E86"/>
    <w:rsid w:val="00D77EE3"/>
    <w:rsid w:val="00D80617"/>
    <w:rsid w:val="00D8087A"/>
    <w:rsid w:val="00D80A75"/>
    <w:rsid w:val="00D80CBC"/>
    <w:rsid w:val="00D80EA7"/>
    <w:rsid w:val="00D80FFB"/>
    <w:rsid w:val="00D814C6"/>
    <w:rsid w:val="00D81568"/>
    <w:rsid w:val="00D81919"/>
    <w:rsid w:val="00D81A2F"/>
    <w:rsid w:val="00D821CA"/>
    <w:rsid w:val="00D822AB"/>
    <w:rsid w:val="00D828D3"/>
    <w:rsid w:val="00D8292C"/>
    <w:rsid w:val="00D82B23"/>
    <w:rsid w:val="00D82FFB"/>
    <w:rsid w:val="00D83564"/>
    <w:rsid w:val="00D83BF7"/>
    <w:rsid w:val="00D84212"/>
    <w:rsid w:val="00D8421D"/>
    <w:rsid w:val="00D8473B"/>
    <w:rsid w:val="00D8493C"/>
    <w:rsid w:val="00D8501D"/>
    <w:rsid w:val="00D853C9"/>
    <w:rsid w:val="00D85755"/>
    <w:rsid w:val="00D8594A"/>
    <w:rsid w:val="00D859C4"/>
    <w:rsid w:val="00D85C87"/>
    <w:rsid w:val="00D85FDB"/>
    <w:rsid w:val="00D861C2"/>
    <w:rsid w:val="00D86343"/>
    <w:rsid w:val="00D873D1"/>
    <w:rsid w:val="00D87A7A"/>
    <w:rsid w:val="00D87F68"/>
    <w:rsid w:val="00D90387"/>
    <w:rsid w:val="00D9038E"/>
    <w:rsid w:val="00D903D9"/>
    <w:rsid w:val="00D90451"/>
    <w:rsid w:val="00D906CB"/>
    <w:rsid w:val="00D907A0"/>
    <w:rsid w:val="00D907D1"/>
    <w:rsid w:val="00D90846"/>
    <w:rsid w:val="00D91334"/>
    <w:rsid w:val="00D9134A"/>
    <w:rsid w:val="00D9159A"/>
    <w:rsid w:val="00D9173E"/>
    <w:rsid w:val="00D917D3"/>
    <w:rsid w:val="00D917D4"/>
    <w:rsid w:val="00D91A49"/>
    <w:rsid w:val="00D91B3A"/>
    <w:rsid w:val="00D91F72"/>
    <w:rsid w:val="00D92EC0"/>
    <w:rsid w:val="00D92F4E"/>
    <w:rsid w:val="00D93AAF"/>
    <w:rsid w:val="00D93D43"/>
    <w:rsid w:val="00D941FD"/>
    <w:rsid w:val="00D94348"/>
    <w:rsid w:val="00D945CD"/>
    <w:rsid w:val="00D9462F"/>
    <w:rsid w:val="00D948EB"/>
    <w:rsid w:val="00D94914"/>
    <w:rsid w:val="00D95574"/>
    <w:rsid w:val="00D956EE"/>
    <w:rsid w:val="00D957E2"/>
    <w:rsid w:val="00D95A90"/>
    <w:rsid w:val="00D95B3A"/>
    <w:rsid w:val="00D95C59"/>
    <w:rsid w:val="00D96018"/>
    <w:rsid w:val="00D960AA"/>
    <w:rsid w:val="00D96748"/>
    <w:rsid w:val="00D969F7"/>
    <w:rsid w:val="00D96A5F"/>
    <w:rsid w:val="00D96ACC"/>
    <w:rsid w:val="00D96BA6"/>
    <w:rsid w:val="00D96C9E"/>
    <w:rsid w:val="00D96E25"/>
    <w:rsid w:val="00D97027"/>
    <w:rsid w:val="00D97240"/>
    <w:rsid w:val="00D97A2C"/>
    <w:rsid w:val="00D97FD0"/>
    <w:rsid w:val="00DA0023"/>
    <w:rsid w:val="00DA0063"/>
    <w:rsid w:val="00DA0202"/>
    <w:rsid w:val="00DA0354"/>
    <w:rsid w:val="00DA070C"/>
    <w:rsid w:val="00DA0927"/>
    <w:rsid w:val="00DA0E68"/>
    <w:rsid w:val="00DA0FAC"/>
    <w:rsid w:val="00DA1516"/>
    <w:rsid w:val="00DA16C4"/>
    <w:rsid w:val="00DA177B"/>
    <w:rsid w:val="00DA1ABA"/>
    <w:rsid w:val="00DA1DF4"/>
    <w:rsid w:val="00DA2331"/>
    <w:rsid w:val="00DA2638"/>
    <w:rsid w:val="00DA26FF"/>
    <w:rsid w:val="00DA2A8D"/>
    <w:rsid w:val="00DA2B68"/>
    <w:rsid w:val="00DA2DE9"/>
    <w:rsid w:val="00DA2F25"/>
    <w:rsid w:val="00DA3278"/>
    <w:rsid w:val="00DA3541"/>
    <w:rsid w:val="00DA3705"/>
    <w:rsid w:val="00DA3878"/>
    <w:rsid w:val="00DA3AC9"/>
    <w:rsid w:val="00DA3B9C"/>
    <w:rsid w:val="00DA404F"/>
    <w:rsid w:val="00DA4727"/>
    <w:rsid w:val="00DA48C1"/>
    <w:rsid w:val="00DA4B5D"/>
    <w:rsid w:val="00DA55EB"/>
    <w:rsid w:val="00DA56FB"/>
    <w:rsid w:val="00DA572E"/>
    <w:rsid w:val="00DA5774"/>
    <w:rsid w:val="00DA5B9F"/>
    <w:rsid w:val="00DA600A"/>
    <w:rsid w:val="00DA6744"/>
    <w:rsid w:val="00DA6E90"/>
    <w:rsid w:val="00DA6EB2"/>
    <w:rsid w:val="00DA6F01"/>
    <w:rsid w:val="00DA7049"/>
    <w:rsid w:val="00DA75AB"/>
    <w:rsid w:val="00DA77E6"/>
    <w:rsid w:val="00DA7821"/>
    <w:rsid w:val="00DB0117"/>
    <w:rsid w:val="00DB01B1"/>
    <w:rsid w:val="00DB0710"/>
    <w:rsid w:val="00DB0A94"/>
    <w:rsid w:val="00DB106B"/>
    <w:rsid w:val="00DB1391"/>
    <w:rsid w:val="00DB15DF"/>
    <w:rsid w:val="00DB16FB"/>
    <w:rsid w:val="00DB1C6C"/>
    <w:rsid w:val="00DB1D5F"/>
    <w:rsid w:val="00DB1DCC"/>
    <w:rsid w:val="00DB2394"/>
    <w:rsid w:val="00DB2614"/>
    <w:rsid w:val="00DB27ED"/>
    <w:rsid w:val="00DB27FD"/>
    <w:rsid w:val="00DB292E"/>
    <w:rsid w:val="00DB2E57"/>
    <w:rsid w:val="00DB2F0D"/>
    <w:rsid w:val="00DB328A"/>
    <w:rsid w:val="00DB35D7"/>
    <w:rsid w:val="00DB384D"/>
    <w:rsid w:val="00DB3915"/>
    <w:rsid w:val="00DB3DE3"/>
    <w:rsid w:val="00DB4046"/>
    <w:rsid w:val="00DB4747"/>
    <w:rsid w:val="00DB4978"/>
    <w:rsid w:val="00DB4BC0"/>
    <w:rsid w:val="00DB4C4E"/>
    <w:rsid w:val="00DB4DB1"/>
    <w:rsid w:val="00DB4EAA"/>
    <w:rsid w:val="00DB4F6C"/>
    <w:rsid w:val="00DB51A6"/>
    <w:rsid w:val="00DB5380"/>
    <w:rsid w:val="00DB5485"/>
    <w:rsid w:val="00DB5952"/>
    <w:rsid w:val="00DB5BB9"/>
    <w:rsid w:val="00DB5BC0"/>
    <w:rsid w:val="00DB5FDA"/>
    <w:rsid w:val="00DB5FDD"/>
    <w:rsid w:val="00DB611E"/>
    <w:rsid w:val="00DB6457"/>
    <w:rsid w:val="00DB6E79"/>
    <w:rsid w:val="00DB753A"/>
    <w:rsid w:val="00DB769E"/>
    <w:rsid w:val="00DB79DA"/>
    <w:rsid w:val="00DB7AB2"/>
    <w:rsid w:val="00DB7B3B"/>
    <w:rsid w:val="00DB7CC6"/>
    <w:rsid w:val="00DB7F34"/>
    <w:rsid w:val="00DB7F54"/>
    <w:rsid w:val="00DC0229"/>
    <w:rsid w:val="00DC087A"/>
    <w:rsid w:val="00DC093B"/>
    <w:rsid w:val="00DC13CC"/>
    <w:rsid w:val="00DC14D2"/>
    <w:rsid w:val="00DC186A"/>
    <w:rsid w:val="00DC1CA3"/>
    <w:rsid w:val="00DC20A5"/>
    <w:rsid w:val="00DC24AA"/>
    <w:rsid w:val="00DC2508"/>
    <w:rsid w:val="00DC2600"/>
    <w:rsid w:val="00DC27A2"/>
    <w:rsid w:val="00DC29F4"/>
    <w:rsid w:val="00DC321D"/>
    <w:rsid w:val="00DC3303"/>
    <w:rsid w:val="00DC331E"/>
    <w:rsid w:val="00DC3373"/>
    <w:rsid w:val="00DC3408"/>
    <w:rsid w:val="00DC353F"/>
    <w:rsid w:val="00DC369E"/>
    <w:rsid w:val="00DC4341"/>
    <w:rsid w:val="00DC46FF"/>
    <w:rsid w:val="00DC4779"/>
    <w:rsid w:val="00DC4855"/>
    <w:rsid w:val="00DC48E7"/>
    <w:rsid w:val="00DC4A6B"/>
    <w:rsid w:val="00DC4A9A"/>
    <w:rsid w:val="00DC4CB9"/>
    <w:rsid w:val="00DC501F"/>
    <w:rsid w:val="00DC50F3"/>
    <w:rsid w:val="00DC56D1"/>
    <w:rsid w:val="00DC5D17"/>
    <w:rsid w:val="00DC64D0"/>
    <w:rsid w:val="00DC66A5"/>
    <w:rsid w:val="00DC66AF"/>
    <w:rsid w:val="00DC6B1E"/>
    <w:rsid w:val="00DC7082"/>
    <w:rsid w:val="00DC715B"/>
    <w:rsid w:val="00DC73F8"/>
    <w:rsid w:val="00DC783F"/>
    <w:rsid w:val="00DC7B4C"/>
    <w:rsid w:val="00DC7BC0"/>
    <w:rsid w:val="00DD0058"/>
    <w:rsid w:val="00DD029E"/>
    <w:rsid w:val="00DD0461"/>
    <w:rsid w:val="00DD0837"/>
    <w:rsid w:val="00DD0B6B"/>
    <w:rsid w:val="00DD0D04"/>
    <w:rsid w:val="00DD10C5"/>
    <w:rsid w:val="00DD17C6"/>
    <w:rsid w:val="00DD1938"/>
    <w:rsid w:val="00DD194E"/>
    <w:rsid w:val="00DD19F0"/>
    <w:rsid w:val="00DD257A"/>
    <w:rsid w:val="00DD27FB"/>
    <w:rsid w:val="00DD28E7"/>
    <w:rsid w:val="00DD2CB4"/>
    <w:rsid w:val="00DD2EC0"/>
    <w:rsid w:val="00DD3276"/>
    <w:rsid w:val="00DD3466"/>
    <w:rsid w:val="00DD34F0"/>
    <w:rsid w:val="00DD3B10"/>
    <w:rsid w:val="00DD3B9B"/>
    <w:rsid w:val="00DD4221"/>
    <w:rsid w:val="00DD43FE"/>
    <w:rsid w:val="00DD4435"/>
    <w:rsid w:val="00DD46A5"/>
    <w:rsid w:val="00DD4882"/>
    <w:rsid w:val="00DD48FA"/>
    <w:rsid w:val="00DD4985"/>
    <w:rsid w:val="00DD4C0E"/>
    <w:rsid w:val="00DD4D3D"/>
    <w:rsid w:val="00DD50C8"/>
    <w:rsid w:val="00DD58D9"/>
    <w:rsid w:val="00DD5D39"/>
    <w:rsid w:val="00DD5E01"/>
    <w:rsid w:val="00DD62A2"/>
    <w:rsid w:val="00DD630D"/>
    <w:rsid w:val="00DD64C3"/>
    <w:rsid w:val="00DD68D1"/>
    <w:rsid w:val="00DD69A2"/>
    <w:rsid w:val="00DD7212"/>
    <w:rsid w:val="00DD7801"/>
    <w:rsid w:val="00DD7F18"/>
    <w:rsid w:val="00DE0115"/>
    <w:rsid w:val="00DE03BF"/>
    <w:rsid w:val="00DE05BD"/>
    <w:rsid w:val="00DE061D"/>
    <w:rsid w:val="00DE08D7"/>
    <w:rsid w:val="00DE08EB"/>
    <w:rsid w:val="00DE0B86"/>
    <w:rsid w:val="00DE0E87"/>
    <w:rsid w:val="00DE171A"/>
    <w:rsid w:val="00DE1C91"/>
    <w:rsid w:val="00DE1CA8"/>
    <w:rsid w:val="00DE1CFF"/>
    <w:rsid w:val="00DE1D2F"/>
    <w:rsid w:val="00DE29E1"/>
    <w:rsid w:val="00DE3542"/>
    <w:rsid w:val="00DE376E"/>
    <w:rsid w:val="00DE383E"/>
    <w:rsid w:val="00DE3C32"/>
    <w:rsid w:val="00DE3FC6"/>
    <w:rsid w:val="00DE46F1"/>
    <w:rsid w:val="00DE476A"/>
    <w:rsid w:val="00DE4B0C"/>
    <w:rsid w:val="00DE57BC"/>
    <w:rsid w:val="00DE57F9"/>
    <w:rsid w:val="00DE5BC2"/>
    <w:rsid w:val="00DE5C12"/>
    <w:rsid w:val="00DE6018"/>
    <w:rsid w:val="00DE62BE"/>
    <w:rsid w:val="00DE637D"/>
    <w:rsid w:val="00DE64EB"/>
    <w:rsid w:val="00DE7337"/>
    <w:rsid w:val="00DE7397"/>
    <w:rsid w:val="00DE79F5"/>
    <w:rsid w:val="00DE7A34"/>
    <w:rsid w:val="00DE7C22"/>
    <w:rsid w:val="00DE7FB5"/>
    <w:rsid w:val="00DF0029"/>
    <w:rsid w:val="00DF03DB"/>
    <w:rsid w:val="00DF0764"/>
    <w:rsid w:val="00DF127E"/>
    <w:rsid w:val="00DF1978"/>
    <w:rsid w:val="00DF1F07"/>
    <w:rsid w:val="00DF209F"/>
    <w:rsid w:val="00DF235D"/>
    <w:rsid w:val="00DF2433"/>
    <w:rsid w:val="00DF2ED1"/>
    <w:rsid w:val="00DF3248"/>
    <w:rsid w:val="00DF3477"/>
    <w:rsid w:val="00DF383C"/>
    <w:rsid w:val="00DF3B0C"/>
    <w:rsid w:val="00DF47D5"/>
    <w:rsid w:val="00DF4BA2"/>
    <w:rsid w:val="00DF5454"/>
    <w:rsid w:val="00DF58A5"/>
    <w:rsid w:val="00DF5B72"/>
    <w:rsid w:val="00DF5DC7"/>
    <w:rsid w:val="00DF6649"/>
    <w:rsid w:val="00DF69B7"/>
    <w:rsid w:val="00DF6C85"/>
    <w:rsid w:val="00DF6DFE"/>
    <w:rsid w:val="00DF6EA8"/>
    <w:rsid w:val="00DF6F24"/>
    <w:rsid w:val="00DF6F61"/>
    <w:rsid w:val="00DF74FD"/>
    <w:rsid w:val="00DF7B21"/>
    <w:rsid w:val="00DF7D3E"/>
    <w:rsid w:val="00E0017B"/>
    <w:rsid w:val="00E006FD"/>
    <w:rsid w:val="00E00BA8"/>
    <w:rsid w:val="00E00CE2"/>
    <w:rsid w:val="00E00F5D"/>
    <w:rsid w:val="00E010A4"/>
    <w:rsid w:val="00E017EF"/>
    <w:rsid w:val="00E0199F"/>
    <w:rsid w:val="00E01CDA"/>
    <w:rsid w:val="00E02084"/>
    <w:rsid w:val="00E0221B"/>
    <w:rsid w:val="00E02315"/>
    <w:rsid w:val="00E02365"/>
    <w:rsid w:val="00E024F4"/>
    <w:rsid w:val="00E0281E"/>
    <w:rsid w:val="00E028BA"/>
    <w:rsid w:val="00E02A50"/>
    <w:rsid w:val="00E02F29"/>
    <w:rsid w:val="00E031C1"/>
    <w:rsid w:val="00E03A18"/>
    <w:rsid w:val="00E03C55"/>
    <w:rsid w:val="00E0413D"/>
    <w:rsid w:val="00E04488"/>
    <w:rsid w:val="00E045EF"/>
    <w:rsid w:val="00E0469D"/>
    <w:rsid w:val="00E047B7"/>
    <w:rsid w:val="00E05821"/>
    <w:rsid w:val="00E05A61"/>
    <w:rsid w:val="00E05EDD"/>
    <w:rsid w:val="00E06106"/>
    <w:rsid w:val="00E06128"/>
    <w:rsid w:val="00E06262"/>
    <w:rsid w:val="00E06477"/>
    <w:rsid w:val="00E0669F"/>
    <w:rsid w:val="00E0670A"/>
    <w:rsid w:val="00E06CE6"/>
    <w:rsid w:val="00E06DF5"/>
    <w:rsid w:val="00E07127"/>
    <w:rsid w:val="00E074B5"/>
    <w:rsid w:val="00E0750F"/>
    <w:rsid w:val="00E07773"/>
    <w:rsid w:val="00E10292"/>
    <w:rsid w:val="00E1040D"/>
    <w:rsid w:val="00E1074D"/>
    <w:rsid w:val="00E10771"/>
    <w:rsid w:val="00E107D4"/>
    <w:rsid w:val="00E10A35"/>
    <w:rsid w:val="00E10EB6"/>
    <w:rsid w:val="00E10F8C"/>
    <w:rsid w:val="00E11063"/>
    <w:rsid w:val="00E1138A"/>
    <w:rsid w:val="00E11610"/>
    <w:rsid w:val="00E11C0E"/>
    <w:rsid w:val="00E1211D"/>
    <w:rsid w:val="00E12585"/>
    <w:rsid w:val="00E12AC1"/>
    <w:rsid w:val="00E12ACF"/>
    <w:rsid w:val="00E12B93"/>
    <w:rsid w:val="00E13661"/>
    <w:rsid w:val="00E13804"/>
    <w:rsid w:val="00E1382E"/>
    <w:rsid w:val="00E13D27"/>
    <w:rsid w:val="00E13D41"/>
    <w:rsid w:val="00E14306"/>
    <w:rsid w:val="00E149E9"/>
    <w:rsid w:val="00E14A73"/>
    <w:rsid w:val="00E14AAC"/>
    <w:rsid w:val="00E1517C"/>
    <w:rsid w:val="00E153C9"/>
    <w:rsid w:val="00E155FA"/>
    <w:rsid w:val="00E156A9"/>
    <w:rsid w:val="00E157F3"/>
    <w:rsid w:val="00E15847"/>
    <w:rsid w:val="00E16208"/>
    <w:rsid w:val="00E16504"/>
    <w:rsid w:val="00E165C2"/>
    <w:rsid w:val="00E16684"/>
    <w:rsid w:val="00E16726"/>
    <w:rsid w:val="00E1718F"/>
    <w:rsid w:val="00E173AB"/>
    <w:rsid w:val="00E1780D"/>
    <w:rsid w:val="00E20104"/>
    <w:rsid w:val="00E20427"/>
    <w:rsid w:val="00E2087E"/>
    <w:rsid w:val="00E20F1E"/>
    <w:rsid w:val="00E210A4"/>
    <w:rsid w:val="00E2112C"/>
    <w:rsid w:val="00E21171"/>
    <w:rsid w:val="00E212EB"/>
    <w:rsid w:val="00E21320"/>
    <w:rsid w:val="00E2179E"/>
    <w:rsid w:val="00E21F12"/>
    <w:rsid w:val="00E21F81"/>
    <w:rsid w:val="00E2241A"/>
    <w:rsid w:val="00E2277B"/>
    <w:rsid w:val="00E2279F"/>
    <w:rsid w:val="00E22B22"/>
    <w:rsid w:val="00E231AB"/>
    <w:rsid w:val="00E23440"/>
    <w:rsid w:val="00E23D6C"/>
    <w:rsid w:val="00E245DB"/>
    <w:rsid w:val="00E24797"/>
    <w:rsid w:val="00E24B02"/>
    <w:rsid w:val="00E24B47"/>
    <w:rsid w:val="00E256A6"/>
    <w:rsid w:val="00E261D7"/>
    <w:rsid w:val="00E2631E"/>
    <w:rsid w:val="00E26655"/>
    <w:rsid w:val="00E2666B"/>
    <w:rsid w:val="00E2676C"/>
    <w:rsid w:val="00E26A25"/>
    <w:rsid w:val="00E26D98"/>
    <w:rsid w:val="00E278D6"/>
    <w:rsid w:val="00E30615"/>
    <w:rsid w:val="00E30BD3"/>
    <w:rsid w:val="00E31B3C"/>
    <w:rsid w:val="00E31CDB"/>
    <w:rsid w:val="00E31ED7"/>
    <w:rsid w:val="00E32194"/>
    <w:rsid w:val="00E3273A"/>
    <w:rsid w:val="00E32751"/>
    <w:rsid w:val="00E329BF"/>
    <w:rsid w:val="00E32BE3"/>
    <w:rsid w:val="00E32C0B"/>
    <w:rsid w:val="00E3302A"/>
    <w:rsid w:val="00E3313E"/>
    <w:rsid w:val="00E33524"/>
    <w:rsid w:val="00E336B0"/>
    <w:rsid w:val="00E337D2"/>
    <w:rsid w:val="00E33954"/>
    <w:rsid w:val="00E339BF"/>
    <w:rsid w:val="00E339EE"/>
    <w:rsid w:val="00E33C97"/>
    <w:rsid w:val="00E3405F"/>
    <w:rsid w:val="00E3426C"/>
    <w:rsid w:val="00E34477"/>
    <w:rsid w:val="00E345B6"/>
    <w:rsid w:val="00E34699"/>
    <w:rsid w:val="00E346DD"/>
    <w:rsid w:val="00E34B6A"/>
    <w:rsid w:val="00E34C96"/>
    <w:rsid w:val="00E35840"/>
    <w:rsid w:val="00E35A17"/>
    <w:rsid w:val="00E35CE7"/>
    <w:rsid w:val="00E3613B"/>
    <w:rsid w:val="00E364FE"/>
    <w:rsid w:val="00E36616"/>
    <w:rsid w:val="00E369B6"/>
    <w:rsid w:val="00E36AFD"/>
    <w:rsid w:val="00E36D9A"/>
    <w:rsid w:val="00E36E92"/>
    <w:rsid w:val="00E371E9"/>
    <w:rsid w:val="00E37782"/>
    <w:rsid w:val="00E37BCE"/>
    <w:rsid w:val="00E4050E"/>
    <w:rsid w:val="00E405FF"/>
    <w:rsid w:val="00E40ADE"/>
    <w:rsid w:val="00E4140E"/>
    <w:rsid w:val="00E41709"/>
    <w:rsid w:val="00E41C77"/>
    <w:rsid w:val="00E42AA9"/>
    <w:rsid w:val="00E43221"/>
    <w:rsid w:val="00E43368"/>
    <w:rsid w:val="00E43576"/>
    <w:rsid w:val="00E435FD"/>
    <w:rsid w:val="00E436F7"/>
    <w:rsid w:val="00E43BB4"/>
    <w:rsid w:val="00E43CBB"/>
    <w:rsid w:val="00E44523"/>
    <w:rsid w:val="00E4480F"/>
    <w:rsid w:val="00E453DD"/>
    <w:rsid w:val="00E45EF0"/>
    <w:rsid w:val="00E4634C"/>
    <w:rsid w:val="00E46B32"/>
    <w:rsid w:val="00E46BD7"/>
    <w:rsid w:val="00E46C80"/>
    <w:rsid w:val="00E475FB"/>
    <w:rsid w:val="00E50365"/>
    <w:rsid w:val="00E5053B"/>
    <w:rsid w:val="00E50C7C"/>
    <w:rsid w:val="00E5115E"/>
    <w:rsid w:val="00E51B83"/>
    <w:rsid w:val="00E51F95"/>
    <w:rsid w:val="00E5249C"/>
    <w:rsid w:val="00E525CC"/>
    <w:rsid w:val="00E52AC2"/>
    <w:rsid w:val="00E531BB"/>
    <w:rsid w:val="00E53AE8"/>
    <w:rsid w:val="00E53BC9"/>
    <w:rsid w:val="00E53BD9"/>
    <w:rsid w:val="00E54C0C"/>
    <w:rsid w:val="00E54C37"/>
    <w:rsid w:val="00E562CA"/>
    <w:rsid w:val="00E5681D"/>
    <w:rsid w:val="00E570F4"/>
    <w:rsid w:val="00E572E8"/>
    <w:rsid w:val="00E573E8"/>
    <w:rsid w:val="00E5757A"/>
    <w:rsid w:val="00E576A6"/>
    <w:rsid w:val="00E57FB2"/>
    <w:rsid w:val="00E5E577"/>
    <w:rsid w:val="00E602E9"/>
    <w:rsid w:val="00E6092A"/>
    <w:rsid w:val="00E6115B"/>
    <w:rsid w:val="00E6192B"/>
    <w:rsid w:val="00E62170"/>
    <w:rsid w:val="00E62371"/>
    <w:rsid w:val="00E62743"/>
    <w:rsid w:val="00E6290F"/>
    <w:rsid w:val="00E62B3E"/>
    <w:rsid w:val="00E63122"/>
    <w:rsid w:val="00E63349"/>
    <w:rsid w:val="00E63573"/>
    <w:rsid w:val="00E6389C"/>
    <w:rsid w:val="00E63A41"/>
    <w:rsid w:val="00E63D09"/>
    <w:rsid w:val="00E6411C"/>
    <w:rsid w:val="00E641E7"/>
    <w:rsid w:val="00E642B3"/>
    <w:rsid w:val="00E64510"/>
    <w:rsid w:val="00E64715"/>
    <w:rsid w:val="00E64763"/>
    <w:rsid w:val="00E653FD"/>
    <w:rsid w:val="00E6550B"/>
    <w:rsid w:val="00E65766"/>
    <w:rsid w:val="00E65816"/>
    <w:rsid w:val="00E65A08"/>
    <w:rsid w:val="00E65B10"/>
    <w:rsid w:val="00E65D55"/>
    <w:rsid w:val="00E65E81"/>
    <w:rsid w:val="00E66117"/>
    <w:rsid w:val="00E661FF"/>
    <w:rsid w:val="00E666C6"/>
    <w:rsid w:val="00E66730"/>
    <w:rsid w:val="00E667BE"/>
    <w:rsid w:val="00E66DAA"/>
    <w:rsid w:val="00E670C0"/>
    <w:rsid w:val="00E671D5"/>
    <w:rsid w:val="00E6726A"/>
    <w:rsid w:val="00E675A7"/>
    <w:rsid w:val="00E677B8"/>
    <w:rsid w:val="00E67B43"/>
    <w:rsid w:val="00E67DF0"/>
    <w:rsid w:val="00E70753"/>
    <w:rsid w:val="00E70E62"/>
    <w:rsid w:val="00E70FA1"/>
    <w:rsid w:val="00E71149"/>
    <w:rsid w:val="00E71AB2"/>
    <w:rsid w:val="00E71ECA"/>
    <w:rsid w:val="00E721A4"/>
    <w:rsid w:val="00E72327"/>
    <w:rsid w:val="00E724A0"/>
    <w:rsid w:val="00E725C9"/>
    <w:rsid w:val="00E72F65"/>
    <w:rsid w:val="00E7319A"/>
    <w:rsid w:val="00E73278"/>
    <w:rsid w:val="00E73872"/>
    <w:rsid w:val="00E741B7"/>
    <w:rsid w:val="00E74227"/>
    <w:rsid w:val="00E74644"/>
    <w:rsid w:val="00E746BA"/>
    <w:rsid w:val="00E74BCA"/>
    <w:rsid w:val="00E751E2"/>
    <w:rsid w:val="00E754DA"/>
    <w:rsid w:val="00E75594"/>
    <w:rsid w:val="00E75811"/>
    <w:rsid w:val="00E76696"/>
    <w:rsid w:val="00E769A1"/>
    <w:rsid w:val="00E76C4F"/>
    <w:rsid w:val="00E76C79"/>
    <w:rsid w:val="00E77208"/>
    <w:rsid w:val="00E77216"/>
    <w:rsid w:val="00E772F6"/>
    <w:rsid w:val="00E7751C"/>
    <w:rsid w:val="00E77812"/>
    <w:rsid w:val="00E80636"/>
    <w:rsid w:val="00E80866"/>
    <w:rsid w:val="00E808E7"/>
    <w:rsid w:val="00E80BF7"/>
    <w:rsid w:val="00E80DE0"/>
    <w:rsid w:val="00E81872"/>
    <w:rsid w:val="00E81BD4"/>
    <w:rsid w:val="00E81C30"/>
    <w:rsid w:val="00E82384"/>
    <w:rsid w:val="00E82B68"/>
    <w:rsid w:val="00E82CCA"/>
    <w:rsid w:val="00E82D9B"/>
    <w:rsid w:val="00E83161"/>
    <w:rsid w:val="00E83552"/>
    <w:rsid w:val="00E83C07"/>
    <w:rsid w:val="00E83D68"/>
    <w:rsid w:val="00E8406E"/>
    <w:rsid w:val="00E841C2"/>
    <w:rsid w:val="00E84A4D"/>
    <w:rsid w:val="00E84AA3"/>
    <w:rsid w:val="00E84D48"/>
    <w:rsid w:val="00E84F77"/>
    <w:rsid w:val="00E852F7"/>
    <w:rsid w:val="00E85E68"/>
    <w:rsid w:val="00E85EEA"/>
    <w:rsid w:val="00E85F60"/>
    <w:rsid w:val="00E8602F"/>
    <w:rsid w:val="00E862DD"/>
    <w:rsid w:val="00E86428"/>
    <w:rsid w:val="00E864F8"/>
    <w:rsid w:val="00E8666C"/>
    <w:rsid w:val="00E866B4"/>
    <w:rsid w:val="00E86A0A"/>
    <w:rsid w:val="00E86DA7"/>
    <w:rsid w:val="00E86E1B"/>
    <w:rsid w:val="00E87264"/>
    <w:rsid w:val="00E90077"/>
    <w:rsid w:val="00E9045F"/>
    <w:rsid w:val="00E90550"/>
    <w:rsid w:val="00E9075C"/>
    <w:rsid w:val="00E90962"/>
    <w:rsid w:val="00E90A7C"/>
    <w:rsid w:val="00E90C01"/>
    <w:rsid w:val="00E90C97"/>
    <w:rsid w:val="00E90ED3"/>
    <w:rsid w:val="00E91128"/>
    <w:rsid w:val="00E91C11"/>
    <w:rsid w:val="00E91FD2"/>
    <w:rsid w:val="00E92183"/>
    <w:rsid w:val="00E921DD"/>
    <w:rsid w:val="00E926A0"/>
    <w:rsid w:val="00E9285D"/>
    <w:rsid w:val="00E928B7"/>
    <w:rsid w:val="00E92B23"/>
    <w:rsid w:val="00E92C34"/>
    <w:rsid w:val="00E92D2E"/>
    <w:rsid w:val="00E932AC"/>
    <w:rsid w:val="00E9362D"/>
    <w:rsid w:val="00E93B4A"/>
    <w:rsid w:val="00E93D58"/>
    <w:rsid w:val="00E93E24"/>
    <w:rsid w:val="00E94202"/>
    <w:rsid w:val="00E94618"/>
    <w:rsid w:val="00E94724"/>
    <w:rsid w:val="00E94747"/>
    <w:rsid w:val="00E94829"/>
    <w:rsid w:val="00E94C4E"/>
    <w:rsid w:val="00E94E0A"/>
    <w:rsid w:val="00E94F2B"/>
    <w:rsid w:val="00E9575D"/>
    <w:rsid w:val="00E958FD"/>
    <w:rsid w:val="00E95FD3"/>
    <w:rsid w:val="00E9610C"/>
    <w:rsid w:val="00E961F0"/>
    <w:rsid w:val="00E96337"/>
    <w:rsid w:val="00E96C3D"/>
    <w:rsid w:val="00E96CA9"/>
    <w:rsid w:val="00E97719"/>
    <w:rsid w:val="00EA0292"/>
    <w:rsid w:val="00EA0C4D"/>
    <w:rsid w:val="00EA166F"/>
    <w:rsid w:val="00EA1889"/>
    <w:rsid w:val="00EA1C2C"/>
    <w:rsid w:val="00EA1FD5"/>
    <w:rsid w:val="00EA24E5"/>
    <w:rsid w:val="00EA27F6"/>
    <w:rsid w:val="00EA2926"/>
    <w:rsid w:val="00EA2B24"/>
    <w:rsid w:val="00EA34A8"/>
    <w:rsid w:val="00EA3518"/>
    <w:rsid w:val="00EA4329"/>
    <w:rsid w:val="00EA4BB4"/>
    <w:rsid w:val="00EA510C"/>
    <w:rsid w:val="00EA555A"/>
    <w:rsid w:val="00EA570B"/>
    <w:rsid w:val="00EA5A8D"/>
    <w:rsid w:val="00EA5A9E"/>
    <w:rsid w:val="00EA642D"/>
    <w:rsid w:val="00EA672F"/>
    <w:rsid w:val="00EA6BE7"/>
    <w:rsid w:val="00EA6C9A"/>
    <w:rsid w:val="00EA6E53"/>
    <w:rsid w:val="00EA72BD"/>
    <w:rsid w:val="00EA74CE"/>
    <w:rsid w:val="00EA7960"/>
    <w:rsid w:val="00EA79DE"/>
    <w:rsid w:val="00EA7B44"/>
    <w:rsid w:val="00EA7EE3"/>
    <w:rsid w:val="00EB012E"/>
    <w:rsid w:val="00EB0B09"/>
    <w:rsid w:val="00EB1927"/>
    <w:rsid w:val="00EB1D93"/>
    <w:rsid w:val="00EB20AF"/>
    <w:rsid w:val="00EB2561"/>
    <w:rsid w:val="00EB25C7"/>
    <w:rsid w:val="00EB2769"/>
    <w:rsid w:val="00EB279A"/>
    <w:rsid w:val="00EB2E89"/>
    <w:rsid w:val="00EB2F14"/>
    <w:rsid w:val="00EB3777"/>
    <w:rsid w:val="00EB3799"/>
    <w:rsid w:val="00EB3A25"/>
    <w:rsid w:val="00EB3D8E"/>
    <w:rsid w:val="00EB436A"/>
    <w:rsid w:val="00EB46F5"/>
    <w:rsid w:val="00EB4D16"/>
    <w:rsid w:val="00EB500D"/>
    <w:rsid w:val="00EB50D1"/>
    <w:rsid w:val="00EB543E"/>
    <w:rsid w:val="00EB543F"/>
    <w:rsid w:val="00EB55F0"/>
    <w:rsid w:val="00EB5994"/>
    <w:rsid w:val="00EB5D01"/>
    <w:rsid w:val="00EB63C0"/>
    <w:rsid w:val="00EB6649"/>
    <w:rsid w:val="00EB6BFD"/>
    <w:rsid w:val="00EB6DF5"/>
    <w:rsid w:val="00EB71AD"/>
    <w:rsid w:val="00EB7E8A"/>
    <w:rsid w:val="00EC04A5"/>
    <w:rsid w:val="00EC0527"/>
    <w:rsid w:val="00EC0579"/>
    <w:rsid w:val="00EC0DEF"/>
    <w:rsid w:val="00EC1034"/>
    <w:rsid w:val="00EC1044"/>
    <w:rsid w:val="00EC152D"/>
    <w:rsid w:val="00EC176A"/>
    <w:rsid w:val="00EC19BC"/>
    <w:rsid w:val="00EC1B07"/>
    <w:rsid w:val="00EC1E8A"/>
    <w:rsid w:val="00EC2314"/>
    <w:rsid w:val="00EC272B"/>
    <w:rsid w:val="00EC27EC"/>
    <w:rsid w:val="00EC2ECF"/>
    <w:rsid w:val="00EC2FD1"/>
    <w:rsid w:val="00EC3518"/>
    <w:rsid w:val="00EC37B4"/>
    <w:rsid w:val="00EC3AA5"/>
    <w:rsid w:val="00EC3ACF"/>
    <w:rsid w:val="00EC3DE2"/>
    <w:rsid w:val="00EC3EB0"/>
    <w:rsid w:val="00EC408F"/>
    <w:rsid w:val="00EC49AC"/>
    <w:rsid w:val="00EC4A43"/>
    <w:rsid w:val="00EC4D25"/>
    <w:rsid w:val="00EC4E1B"/>
    <w:rsid w:val="00EC50E2"/>
    <w:rsid w:val="00EC50E4"/>
    <w:rsid w:val="00EC553B"/>
    <w:rsid w:val="00EC58A7"/>
    <w:rsid w:val="00EC5D26"/>
    <w:rsid w:val="00EC6323"/>
    <w:rsid w:val="00EC6382"/>
    <w:rsid w:val="00EC6477"/>
    <w:rsid w:val="00EC66C9"/>
    <w:rsid w:val="00EC674B"/>
    <w:rsid w:val="00EC6C9A"/>
    <w:rsid w:val="00EC6E08"/>
    <w:rsid w:val="00EC730F"/>
    <w:rsid w:val="00EC73A7"/>
    <w:rsid w:val="00EC7461"/>
    <w:rsid w:val="00EC785A"/>
    <w:rsid w:val="00ED024F"/>
    <w:rsid w:val="00ED03B4"/>
    <w:rsid w:val="00ED05A2"/>
    <w:rsid w:val="00ED09AF"/>
    <w:rsid w:val="00ED0FD6"/>
    <w:rsid w:val="00ED213C"/>
    <w:rsid w:val="00ED219A"/>
    <w:rsid w:val="00ED349D"/>
    <w:rsid w:val="00ED3FB1"/>
    <w:rsid w:val="00ED3FCA"/>
    <w:rsid w:val="00ED4253"/>
    <w:rsid w:val="00ED45E7"/>
    <w:rsid w:val="00ED46B6"/>
    <w:rsid w:val="00ED49E2"/>
    <w:rsid w:val="00ED4C9E"/>
    <w:rsid w:val="00ED54D7"/>
    <w:rsid w:val="00ED54F1"/>
    <w:rsid w:val="00ED56E2"/>
    <w:rsid w:val="00ED592F"/>
    <w:rsid w:val="00ED5B99"/>
    <w:rsid w:val="00ED647A"/>
    <w:rsid w:val="00ED68D1"/>
    <w:rsid w:val="00ED6912"/>
    <w:rsid w:val="00ED6E8B"/>
    <w:rsid w:val="00ED70AF"/>
    <w:rsid w:val="00ED7332"/>
    <w:rsid w:val="00ED737D"/>
    <w:rsid w:val="00ED781E"/>
    <w:rsid w:val="00ED78D4"/>
    <w:rsid w:val="00EE041B"/>
    <w:rsid w:val="00EE0AFF"/>
    <w:rsid w:val="00EE0FF3"/>
    <w:rsid w:val="00EE1557"/>
    <w:rsid w:val="00EE1791"/>
    <w:rsid w:val="00EE1C5F"/>
    <w:rsid w:val="00EE1E2E"/>
    <w:rsid w:val="00EE202D"/>
    <w:rsid w:val="00EE2065"/>
    <w:rsid w:val="00EE2BD7"/>
    <w:rsid w:val="00EE2DAA"/>
    <w:rsid w:val="00EE307F"/>
    <w:rsid w:val="00EE3331"/>
    <w:rsid w:val="00EE34CD"/>
    <w:rsid w:val="00EE3779"/>
    <w:rsid w:val="00EE38AE"/>
    <w:rsid w:val="00EE3BEB"/>
    <w:rsid w:val="00EE3D4D"/>
    <w:rsid w:val="00EE3F2A"/>
    <w:rsid w:val="00EE3FC2"/>
    <w:rsid w:val="00EE3FFE"/>
    <w:rsid w:val="00EE48D7"/>
    <w:rsid w:val="00EE511C"/>
    <w:rsid w:val="00EE526A"/>
    <w:rsid w:val="00EE54ED"/>
    <w:rsid w:val="00EE5506"/>
    <w:rsid w:val="00EE5B4E"/>
    <w:rsid w:val="00EE5DAB"/>
    <w:rsid w:val="00EE5DB5"/>
    <w:rsid w:val="00EE6043"/>
    <w:rsid w:val="00EE60BD"/>
    <w:rsid w:val="00EE63F0"/>
    <w:rsid w:val="00EE645C"/>
    <w:rsid w:val="00EE64E2"/>
    <w:rsid w:val="00EE6965"/>
    <w:rsid w:val="00EE6AC5"/>
    <w:rsid w:val="00EE760B"/>
    <w:rsid w:val="00EE7940"/>
    <w:rsid w:val="00EE7BCD"/>
    <w:rsid w:val="00EF01D6"/>
    <w:rsid w:val="00EF08CA"/>
    <w:rsid w:val="00EF0B28"/>
    <w:rsid w:val="00EF0B33"/>
    <w:rsid w:val="00EF0E1A"/>
    <w:rsid w:val="00EF130C"/>
    <w:rsid w:val="00EF1898"/>
    <w:rsid w:val="00EF1A23"/>
    <w:rsid w:val="00EF20C4"/>
    <w:rsid w:val="00EF21D5"/>
    <w:rsid w:val="00EF2221"/>
    <w:rsid w:val="00EF2394"/>
    <w:rsid w:val="00EF24BE"/>
    <w:rsid w:val="00EF2AEF"/>
    <w:rsid w:val="00EF2B00"/>
    <w:rsid w:val="00EF3154"/>
    <w:rsid w:val="00EF348C"/>
    <w:rsid w:val="00EF34A1"/>
    <w:rsid w:val="00EF3999"/>
    <w:rsid w:val="00EF3F8C"/>
    <w:rsid w:val="00EF41B3"/>
    <w:rsid w:val="00EF4211"/>
    <w:rsid w:val="00EF4396"/>
    <w:rsid w:val="00EF4718"/>
    <w:rsid w:val="00EF4BAB"/>
    <w:rsid w:val="00EF4C9C"/>
    <w:rsid w:val="00EF61A1"/>
    <w:rsid w:val="00EF6357"/>
    <w:rsid w:val="00EF6662"/>
    <w:rsid w:val="00EF6768"/>
    <w:rsid w:val="00EF6DFA"/>
    <w:rsid w:val="00EF6F14"/>
    <w:rsid w:val="00EF7373"/>
    <w:rsid w:val="00EF75A7"/>
    <w:rsid w:val="00EF76B7"/>
    <w:rsid w:val="00EF7824"/>
    <w:rsid w:val="00EF7ED7"/>
    <w:rsid w:val="00F000E4"/>
    <w:rsid w:val="00F006D0"/>
    <w:rsid w:val="00F01370"/>
    <w:rsid w:val="00F0147C"/>
    <w:rsid w:val="00F018E0"/>
    <w:rsid w:val="00F01BCB"/>
    <w:rsid w:val="00F01D32"/>
    <w:rsid w:val="00F01EBF"/>
    <w:rsid w:val="00F021D5"/>
    <w:rsid w:val="00F02210"/>
    <w:rsid w:val="00F025C9"/>
    <w:rsid w:val="00F0269D"/>
    <w:rsid w:val="00F02AAA"/>
    <w:rsid w:val="00F02E19"/>
    <w:rsid w:val="00F02EAC"/>
    <w:rsid w:val="00F030EF"/>
    <w:rsid w:val="00F03291"/>
    <w:rsid w:val="00F033BA"/>
    <w:rsid w:val="00F03438"/>
    <w:rsid w:val="00F03E36"/>
    <w:rsid w:val="00F03EC7"/>
    <w:rsid w:val="00F04139"/>
    <w:rsid w:val="00F0436C"/>
    <w:rsid w:val="00F0439C"/>
    <w:rsid w:val="00F047FC"/>
    <w:rsid w:val="00F048B0"/>
    <w:rsid w:val="00F04B84"/>
    <w:rsid w:val="00F056E4"/>
    <w:rsid w:val="00F057D3"/>
    <w:rsid w:val="00F057EB"/>
    <w:rsid w:val="00F057ED"/>
    <w:rsid w:val="00F0585F"/>
    <w:rsid w:val="00F05C87"/>
    <w:rsid w:val="00F05E40"/>
    <w:rsid w:val="00F063DF"/>
    <w:rsid w:val="00F0662F"/>
    <w:rsid w:val="00F06AAE"/>
    <w:rsid w:val="00F07505"/>
    <w:rsid w:val="00F07525"/>
    <w:rsid w:val="00F077A6"/>
    <w:rsid w:val="00F07A06"/>
    <w:rsid w:val="00F07AD5"/>
    <w:rsid w:val="00F07BDF"/>
    <w:rsid w:val="00F07D3C"/>
    <w:rsid w:val="00F102DE"/>
    <w:rsid w:val="00F1036F"/>
    <w:rsid w:val="00F104AF"/>
    <w:rsid w:val="00F10B00"/>
    <w:rsid w:val="00F11612"/>
    <w:rsid w:val="00F11F9E"/>
    <w:rsid w:val="00F120F3"/>
    <w:rsid w:val="00F120FC"/>
    <w:rsid w:val="00F12521"/>
    <w:rsid w:val="00F12920"/>
    <w:rsid w:val="00F12A9D"/>
    <w:rsid w:val="00F12F8C"/>
    <w:rsid w:val="00F12FF9"/>
    <w:rsid w:val="00F13062"/>
    <w:rsid w:val="00F137A6"/>
    <w:rsid w:val="00F137B7"/>
    <w:rsid w:val="00F13D97"/>
    <w:rsid w:val="00F13FCE"/>
    <w:rsid w:val="00F1405C"/>
    <w:rsid w:val="00F14192"/>
    <w:rsid w:val="00F14908"/>
    <w:rsid w:val="00F14B94"/>
    <w:rsid w:val="00F14BF7"/>
    <w:rsid w:val="00F14C9C"/>
    <w:rsid w:val="00F14DA2"/>
    <w:rsid w:val="00F14E7C"/>
    <w:rsid w:val="00F153B0"/>
    <w:rsid w:val="00F1563A"/>
    <w:rsid w:val="00F15A47"/>
    <w:rsid w:val="00F15A93"/>
    <w:rsid w:val="00F161FE"/>
    <w:rsid w:val="00F16229"/>
    <w:rsid w:val="00F165C0"/>
    <w:rsid w:val="00F166B4"/>
    <w:rsid w:val="00F17608"/>
    <w:rsid w:val="00F17B29"/>
    <w:rsid w:val="00F17DD4"/>
    <w:rsid w:val="00F200B6"/>
    <w:rsid w:val="00F200D9"/>
    <w:rsid w:val="00F2015B"/>
    <w:rsid w:val="00F20C85"/>
    <w:rsid w:val="00F21039"/>
    <w:rsid w:val="00F212DE"/>
    <w:rsid w:val="00F21446"/>
    <w:rsid w:val="00F228E2"/>
    <w:rsid w:val="00F22EB0"/>
    <w:rsid w:val="00F2301E"/>
    <w:rsid w:val="00F234B1"/>
    <w:rsid w:val="00F23666"/>
    <w:rsid w:val="00F238BC"/>
    <w:rsid w:val="00F238C8"/>
    <w:rsid w:val="00F2450E"/>
    <w:rsid w:val="00F24B94"/>
    <w:rsid w:val="00F25099"/>
    <w:rsid w:val="00F2533E"/>
    <w:rsid w:val="00F25540"/>
    <w:rsid w:val="00F26307"/>
    <w:rsid w:val="00F26484"/>
    <w:rsid w:val="00F26630"/>
    <w:rsid w:val="00F267D2"/>
    <w:rsid w:val="00F26A6D"/>
    <w:rsid w:val="00F2754E"/>
    <w:rsid w:val="00F278BF"/>
    <w:rsid w:val="00F27B99"/>
    <w:rsid w:val="00F27DB7"/>
    <w:rsid w:val="00F3061E"/>
    <w:rsid w:val="00F30959"/>
    <w:rsid w:val="00F31060"/>
    <w:rsid w:val="00F311AA"/>
    <w:rsid w:val="00F31510"/>
    <w:rsid w:val="00F316F6"/>
    <w:rsid w:val="00F321B7"/>
    <w:rsid w:val="00F32891"/>
    <w:rsid w:val="00F32D2B"/>
    <w:rsid w:val="00F32F96"/>
    <w:rsid w:val="00F32FF1"/>
    <w:rsid w:val="00F33594"/>
    <w:rsid w:val="00F33704"/>
    <w:rsid w:val="00F33822"/>
    <w:rsid w:val="00F33E1D"/>
    <w:rsid w:val="00F34289"/>
    <w:rsid w:val="00F34302"/>
    <w:rsid w:val="00F34C64"/>
    <w:rsid w:val="00F34D6C"/>
    <w:rsid w:val="00F34E7A"/>
    <w:rsid w:val="00F34EAD"/>
    <w:rsid w:val="00F3520B"/>
    <w:rsid w:val="00F3537B"/>
    <w:rsid w:val="00F35418"/>
    <w:rsid w:val="00F356C9"/>
    <w:rsid w:val="00F357BA"/>
    <w:rsid w:val="00F35A9A"/>
    <w:rsid w:val="00F35BF2"/>
    <w:rsid w:val="00F35F6B"/>
    <w:rsid w:val="00F362BC"/>
    <w:rsid w:val="00F364B2"/>
    <w:rsid w:val="00F36B1D"/>
    <w:rsid w:val="00F36BE4"/>
    <w:rsid w:val="00F36EDC"/>
    <w:rsid w:val="00F3756F"/>
    <w:rsid w:val="00F378A2"/>
    <w:rsid w:val="00F37DFB"/>
    <w:rsid w:val="00F40089"/>
    <w:rsid w:val="00F402D3"/>
    <w:rsid w:val="00F406BD"/>
    <w:rsid w:val="00F40954"/>
    <w:rsid w:val="00F409DF"/>
    <w:rsid w:val="00F40FFF"/>
    <w:rsid w:val="00F4150D"/>
    <w:rsid w:val="00F41A5A"/>
    <w:rsid w:val="00F41BC8"/>
    <w:rsid w:val="00F41BC9"/>
    <w:rsid w:val="00F41FEE"/>
    <w:rsid w:val="00F4205D"/>
    <w:rsid w:val="00F42185"/>
    <w:rsid w:val="00F424D5"/>
    <w:rsid w:val="00F42737"/>
    <w:rsid w:val="00F434C7"/>
    <w:rsid w:val="00F43528"/>
    <w:rsid w:val="00F4355D"/>
    <w:rsid w:val="00F43DB1"/>
    <w:rsid w:val="00F44321"/>
    <w:rsid w:val="00F44491"/>
    <w:rsid w:val="00F445C2"/>
    <w:rsid w:val="00F448D5"/>
    <w:rsid w:val="00F44D55"/>
    <w:rsid w:val="00F44FEC"/>
    <w:rsid w:val="00F450CF"/>
    <w:rsid w:val="00F458E2"/>
    <w:rsid w:val="00F45967"/>
    <w:rsid w:val="00F45972"/>
    <w:rsid w:val="00F45F9A"/>
    <w:rsid w:val="00F45FEC"/>
    <w:rsid w:val="00F460D3"/>
    <w:rsid w:val="00F46210"/>
    <w:rsid w:val="00F462B7"/>
    <w:rsid w:val="00F4650D"/>
    <w:rsid w:val="00F46903"/>
    <w:rsid w:val="00F46AE4"/>
    <w:rsid w:val="00F47426"/>
    <w:rsid w:val="00F47501"/>
    <w:rsid w:val="00F47904"/>
    <w:rsid w:val="00F47D38"/>
    <w:rsid w:val="00F47E28"/>
    <w:rsid w:val="00F47F96"/>
    <w:rsid w:val="00F5011E"/>
    <w:rsid w:val="00F50237"/>
    <w:rsid w:val="00F502D4"/>
    <w:rsid w:val="00F50461"/>
    <w:rsid w:val="00F505DC"/>
    <w:rsid w:val="00F50710"/>
    <w:rsid w:val="00F507B4"/>
    <w:rsid w:val="00F5081E"/>
    <w:rsid w:val="00F508D1"/>
    <w:rsid w:val="00F50999"/>
    <w:rsid w:val="00F50B0F"/>
    <w:rsid w:val="00F50B9A"/>
    <w:rsid w:val="00F51421"/>
    <w:rsid w:val="00F515F4"/>
    <w:rsid w:val="00F516F3"/>
    <w:rsid w:val="00F51B84"/>
    <w:rsid w:val="00F51D67"/>
    <w:rsid w:val="00F51EB8"/>
    <w:rsid w:val="00F52518"/>
    <w:rsid w:val="00F52662"/>
    <w:rsid w:val="00F52880"/>
    <w:rsid w:val="00F52969"/>
    <w:rsid w:val="00F52E04"/>
    <w:rsid w:val="00F52E72"/>
    <w:rsid w:val="00F530BE"/>
    <w:rsid w:val="00F532C6"/>
    <w:rsid w:val="00F5333A"/>
    <w:rsid w:val="00F53E43"/>
    <w:rsid w:val="00F5414B"/>
    <w:rsid w:val="00F542DD"/>
    <w:rsid w:val="00F542F7"/>
    <w:rsid w:val="00F5447A"/>
    <w:rsid w:val="00F54ACC"/>
    <w:rsid w:val="00F55315"/>
    <w:rsid w:val="00F5588C"/>
    <w:rsid w:val="00F55CB8"/>
    <w:rsid w:val="00F55DD4"/>
    <w:rsid w:val="00F56163"/>
    <w:rsid w:val="00F56181"/>
    <w:rsid w:val="00F563E2"/>
    <w:rsid w:val="00F5669A"/>
    <w:rsid w:val="00F56AAB"/>
    <w:rsid w:val="00F56AD3"/>
    <w:rsid w:val="00F56D52"/>
    <w:rsid w:val="00F57900"/>
    <w:rsid w:val="00F57EAF"/>
    <w:rsid w:val="00F600F9"/>
    <w:rsid w:val="00F609FE"/>
    <w:rsid w:val="00F60ACA"/>
    <w:rsid w:val="00F60D74"/>
    <w:rsid w:val="00F60F88"/>
    <w:rsid w:val="00F6103A"/>
    <w:rsid w:val="00F610E0"/>
    <w:rsid w:val="00F6123E"/>
    <w:rsid w:val="00F61F18"/>
    <w:rsid w:val="00F61F23"/>
    <w:rsid w:val="00F62095"/>
    <w:rsid w:val="00F62238"/>
    <w:rsid w:val="00F6299F"/>
    <w:rsid w:val="00F62A52"/>
    <w:rsid w:val="00F633B4"/>
    <w:rsid w:val="00F638FD"/>
    <w:rsid w:val="00F63906"/>
    <w:rsid w:val="00F63B65"/>
    <w:rsid w:val="00F64372"/>
    <w:rsid w:val="00F64B92"/>
    <w:rsid w:val="00F65654"/>
    <w:rsid w:val="00F661FB"/>
    <w:rsid w:val="00F66326"/>
    <w:rsid w:val="00F66338"/>
    <w:rsid w:val="00F66A2E"/>
    <w:rsid w:val="00F66A5E"/>
    <w:rsid w:val="00F66CA8"/>
    <w:rsid w:val="00F66D9C"/>
    <w:rsid w:val="00F66FCC"/>
    <w:rsid w:val="00F672D4"/>
    <w:rsid w:val="00F67319"/>
    <w:rsid w:val="00F67BAA"/>
    <w:rsid w:val="00F67C19"/>
    <w:rsid w:val="00F67C44"/>
    <w:rsid w:val="00F6A266"/>
    <w:rsid w:val="00F70030"/>
    <w:rsid w:val="00F7006F"/>
    <w:rsid w:val="00F700D6"/>
    <w:rsid w:val="00F70360"/>
    <w:rsid w:val="00F70504"/>
    <w:rsid w:val="00F709BA"/>
    <w:rsid w:val="00F70B97"/>
    <w:rsid w:val="00F70D01"/>
    <w:rsid w:val="00F70EB8"/>
    <w:rsid w:val="00F717B2"/>
    <w:rsid w:val="00F71894"/>
    <w:rsid w:val="00F71E4B"/>
    <w:rsid w:val="00F7221D"/>
    <w:rsid w:val="00F72681"/>
    <w:rsid w:val="00F726EF"/>
    <w:rsid w:val="00F7274E"/>
    <w:rsid w:val="00F728AB"/>
    <w:rsid w:val="00F72B35"/>
    <w:rsid w:val="00F73205"/>
    <w:rsid w:val="00F736BD"/>
    <w:rsid w:val="00F73B35"/>
    <w:rsid w:val="00F740D9"/>
    <w:rsid w:val="00F74199"/>
    <w:rsid w:val="00F744C4"/>
    <w:rsid w:val="00F745A9"/>
    <w:rsid w:val="00F74842"/>
    <w:rsid w:val="00F74C52"/>
    <w:rsid w:val="00F74CC9"/>
    <w:rsid w:val="00F74DEE"/>
    <w:rsid w:val="00F75065"/>
    <w:rsid w:val="00F75107"/>
    <w:rsid w:val="00F75563"/>
    <w:rsid w:val="00F75733"/>
    <w:rsid w:val="00F75828"/>
    <w:rsid w:val="00F7595A"/>
    <w:rsid w:val="00F7595E"/>
    <w:rsid w:val="00F75BE8"/>
    <w:rsid w:val="00F75CA0"/>
    <w:rsid w:val="00F75E43"/>
    <w:rsid w:val="00F76012"/>
    <w:rsid w:val="00F76DEB"/>
    <w:rsid w:val="00F77063"/>
    <w:rsid w:val="00F770E6"/>
    <w:rsid w:val="00F771BD"/>
    <w:rsid w:val="00F773AE"/>
    <w:rsid w:val="00F7744B"/>
    <w:rsid w:val="00F775DF"/>
    <w:rsid w:val="00F779CE"/>
    <w:rsid w:val="00F77D87"/>
    <w:rsid w:val="00F77D95"/>
    <w:rsid w:val="00F800FE"/>
    <w:rsid w:val="00F80105"/>
    <w:rsid w:val="00F80475"/>
    <w:rsid w:val="00F80495"/>
    <w:rsid w:val="00F807B8"/>
    <w:rsid w:val="00F80ACA"/>
    <w:rsid w:val="00F80F7E"/>
    <w:rsid w:val="00F8126F"/>
    <w:rsid w:val="00F813E7"/>
    <w:rsid w:val="00F81616"/>
    <w:rsid w:val="00F81C4B"/>
    <w:rsid w:val="00F81EE8"/>
    <w:rsid w:val="00F81F57"/>
    <w:rsid w:val="00F82147"/>
    <w:rsid w:val="00F8235C"/>
    <w:rsid w:val="00F827E0"/>
    <w:rsid w:val="00F836C2"/>
    <w:rsid w:val="00F837ED"/>
    <w:rsid w:val="00F83A36"/>
    <w:rsid w:val="00F83D8C"/>
    <w:rsid w:val="00F83E0F"/>
    <w:rsid w:val="00F85004"/>
    <w:rsid w:val="00F85189"/>
    <w:rsid w:val="00F8535F"/>
    <w:rsid w:val="00F85867"/>
    <w:rsid w:val="00F85BA6"/>
    <w:rsid w:val="00F85D88"/>
    <w:rsid w:val="00F85E2F"/>
    <w:rsid w:val="00F86038"/>
    <w:rsid w:val="00F86299"/>
    <w:rsid w:val="00F86519"/>
    <w:rsid w:val="00F86610"/>
    <w:rsid w:val="00F87064"/>
    <w:rsid w:val="00F87100"/>
    <w:rsid w:val="00F87644"/>
    <w:rsid w:val="00F87813"/>
    <w:rsid w:val="00F87919"/>
    <w:rsid w:val="00F9018D"/>
    <w:rsid w:val="00F9037F"/>
    <w:rsid w:val="00F9072E"/>
    <w:rsid w:val="00F908D7"/>
    <w:rsid w:val="00F90AE6"/>
    <w:rsid w:val="00F912EC"/>
    <w:rsid w:val="00F91403"/>
    <w:rsid w:val="00F9153F"/>
    <w:rsid w:val="00F91E81"/>
    <w:rsid w:val="00F92874"/>
    <w:rsid w:val="00F92EE7"/>
    <w:rsid w:val="00F92FDD"/>
    <w:rsid w:val="00F933FC"/>
    <w:rsid w:val="00F939A4"/>
    <w:rsid w:val="00F939BC"/>
    <w:rsid w:val="00F94048"/>
    <w:rsid w:val="00F94139"/>
    <w:rsid w:val="00F9447D"/>
    <w:rsid w:val="00F9486B"/>
    <w:rsid w:val="00F9496F"/>
    <w:rsid w:val="00F95112"/>
    <w:rsid w:val="00F955E9"/>
    <w:rsid w:val="00F956B4"/>
    <w:rsid w:val="00F95A7F"/>
    <w:rsid w:val="00F9630C"/>
    <w:rsid w:val="00F970B9"/>
    <w:rsid w:val="00F971DD"/>
    <w:rsid w:val="00F9723D"/>
    <w:rsid w:val="00F974A9"/>
    <w:rsid w:val="00F97695"/>
    <w:rsid w:val="00F97A6D"/>
    <w:rsid w:val="00F97D5F"/>
    <w:rsid w:val="00F97DB2"/>
    <w:rsid w:val="00F97FC9"/>
    <w:rsid w:val="00FA02C5"/>
    <w:rsid w:val="00FA05D2"/>
    <w:rsid w:val="00FA0811"/>
    <w:rsid w:val="00FA0815"/>
    <w:rsid w:val="00FA0A7E"/>
    <w:rsid w:val="00FA0CCF"/>
    <w:rsid w:val="00FA1548"/>
    <w:rsid w:val="00FA166D"/>
    <w:rsid w:val="00FA1679"/>
    <w:rsid w:val="00FA1846"/>
    <w:rsid w:val="00FA1FC8"/>
    <w:rsid w:val="00FA204C"/>
    <w:rsid w:val="00FA24B0"/>
    <w:rsid w:val="00FA2787"/>
    <w:rsid w:val="00FA2856"/>
    <w:rsid w:val="00FA2928"/>
    <w:rsid w:val="00FA2FDD"/>
    <w:rsid w:val="00FA310F"/>
    <w:rsid w:val="00FA3374"/>
    <w:rsid w:val="00FA3411"/>
    <w:rsid w:val="00FA35B6"/>
    <w:rsid w:val="00FA379D"/>
    <w:rsid w:val="00FA3F32"/>
    <w:rsid w:val="00FA40CF"/>
    <w:rsid w:val="00FA40F7"/>
    <w:rsid w:val="00FA42F3"/>
    <w:rsid w:val="00FA4BF5"/>
    <w:rsid w:val="00FA4D32"/>
    <w:rsid w:val="00FA51AC"/>
    <w:rsid w:val="00FA54DB"/>
    <w:rsid w:val="00FA555D"/>
    <w:rsid w:val="00FA5C51"/>
    <w:rsid w:val="00FA5DC2"/>
    <w:rsid w:val="00FA5E98"/>
    <w:rsid w:val="00FA60F3"/>
    <w:rsid w:val="00FA6C2B"/>
    <w:rsid w:val="00FA6E52"/>
    <w:rsid w:val="00FA7328"/>
    <w:rsid w:val="00FA7CE9"/>
    <w:rsid w:val="00FA7D96"/>
    <w:rsid w:val="00FA7FF2"/>
    <w:rsid w:val="00FB08C5"/>
    <w:rsid w:val="00FB0A2E"/>
    <w:rsid w:val="00FB0CD9"/>
    <w:rsid w:val="00FB0DE4"/>
    <w:rsid w:val="00FB1622"/>
    <w:rsid w:val="00FB1A16"/>
    <w:rsid w:val="00FB1B4F"/>
    <w:rsid w:val="00FB1F63"/>
    <w:rsid w:val="00FB209C"/>
    <w:rsid w:val="00FB2183"/>
    <w:rsid w:val="00FB23FF"/>
    <w:rsid w:val="00FB2722"/>
    <w:rsid w:val="00FB283A"/>
    <w:rsid w:val="00FB367A"/>
    <w:rsid w:val="00FB3A4D"/>
    <w:rsid w:val="00FB459C"/>
    <w:rsid w:val="00FB46C1"/>
    <w:rsid w:val="00FB490D"/>
    <w:rsid w:val="00FB4BBE"/>
    <w:rsid w:val="00FB4DCB"/>
    <w:rsid w:val="00FB5179"/>
    <w:rsid w:val="00FB538F"/>
    <w:rsid w:val="00FB55BB"/>
    <w:rsid w:val="00FB5A22"/>
    <w:rsid w:val="00FB627D"/>
    <w:rsid w:val="00FB6286"/>
    <w:rsid w:val="00FB6785"/>
    <w:rsid w:val="00FB6852"/>
    <w:rsid w:val="00FB68F2"/>
    <w:rsid w:val="00FB7306"/>
    <w:rsid w:val="00FB74AD"/>
    <w:rsid w:val="00FB74AE"/>
    <w:rsid w:val="00FB7AF5"/>
    <w:rsid w:val="00FB7C33"/>
    <w:rsid w:val="00FB7C4A"/>
    <w:rsid w:val="00FB7CF6"/>
    <w:rsid w:val="00FC01E2"/>
    <w:rsid w:val="00FC05AF"/>
    <w:rsid w:val="00FC0624"/>
    <w:rsid w:val="00FC06D8"/>
    <w:rsid w:val="00FC0B84"/>
    <w:rsid w:val="00FC0FDA"/>
    <w:rsid w:val="00FC151B"/>
    <w:rsid w:val="00FC1972"/>
    <w:rsid w:val="00FC19CE"/>
    <w:rsid w:val="00FC1B84"/>
    <w:rsid w:val="00FC1DEF"/>
    <w:rsid w:val="00FC1E75"/>
    <w:rsid w:val="00FC1F8E"/>
    <w:rsid w:val="00FC2449"/>
    <w:rsid w:val="00FC24FC"/>
    <w:rsid w:val="00FC2AEF"/>
    <w:rsid w:val="00FC3041"/>
    <w:rsid w:val="00FC32B5"/>
    <w:rsid w:val="00FC34CF"/>
    <w:rsid w:val="00FC3875"/>
    <w:rsid w:val="00FC3A17"/>
    <w:rsid w:val="00FC3F1A"/>
    <w:rsid w:val="00FC4905"/>
    <w:rsid w:val="00FC49FE"/>
    <w:rsid w:val="00FC4D07"/>
    <w:rsid w:val="00FC5440"/>
    <w:rsid w:val="00FC5BFB"/>
    <w:rsid w:val="00FC5D2C"/>
    <w:rsid w:val="00FC62D2"/>
    <w:rsid w:val="00FC671F"/>
    <w:rsid w:val="00FC67B8"/>
    <w:rsid w:val="00FC68B1"/>
    <w:rsid w:val="00FC690A"/>
    <w:rsid w:val="00FC6CA2"/>
    <w:rsid w:val="00FC6D1B"/>
    <w:rsid w:val="00FC728E"/>
    <w:rsid w:val="00FC72E7"/>
    <w:rsid w:val="00FC7402"/>
    <w:rsid w:val="00FC7CFF"/>
    <w:rsid w:val="00FD0387"/>
    <w:rsid w:val="00FD0682"/>
    <w:rsid w:val="00FD0A8B"/>
    <w:rsid w:val="00FD0D27"/>
    <w:rsid w:val="00FD1042"/>
    <w:rsid w:val="00FD1226"/>
    <w:rsid w:val="00FD12EC"/>
    <w:rsid w:val="00FD12F9"/>
    <w:rsid w:val="00FD1499"/>
    <w:rsid w:val="00FD1C0F"/>
    <w:rsid w:val="00FD1CDE"/>
    <w:rsid w:val="00FD1DC1"/>
    <w:rsid w:val="00FD25A6"/>
    <w:rsid w:val="00FD29D5"/>
    <w:rsid w:val="00FD2C17"/>
    <w:rsid w:val="00FD2E1A"/>
    <w:rsid w:val="00FD32D5"/>
    <w:rsid w:val="00FD3B26"/>
    <w:rsid w:val="00FD3F1B"/>
    <w:rsid w:val="00FD435E"/>
    <w:rsid w:val="00FD4413"/>
    <w:rsid w:val="00FD442A"/>
    <w:rsid w:val="00FD4E5B"/>
    <w:rsid w:val="00FD4F7D"/>
    <w:rsid w:val="00FD5292"/>
    <w:rsid w:val="00FD5589"/>
    <w:rsid w:val="00FD571C"/>
    <w:rsid w:val="00FD5B99"/>
    <w:rsid w:val="00FD5EF4"/>
    <w:rsid w:val="00FD5F21"/>
    <w:rsid w:val="00FD6478"/>
    <w:rsid w:val="00FD676E"/>
    <w:rsid w:val="00FD68BC"/>
    <w:rsid w:val="00FD6CA2"/>
    <w:rsid w:val="00FD7075"/>
    <w:rsid w:val="00FD7113"/>
    <w:rsid w:val="00FD7544"/>
    <w:rsid w:val="00FD771E"/>
    <w:rsid w:val="00FD782D"/>
    <w:rsid w:val="00FD7D5D"/>
    <w:rsid w:val="00FE052F"/>
    <w:rsid w:val="00FE067F"/>
    <w:rsid w:val="00FE074B"/>
    <w:rsid w:val="00FE09EA"/>
    <w:rsid w:val="00FE0D0A"/>
    <w:rsid w:val="00FE12E0"/>
    <w:rsid w:val="00FE15F0"/>
    <w:rsid w:val="00FE185A"/>
    <w:rsid w:val="00FE19BB"/>
    <w:rsid w:val="00FE1F86"/>
    <w:rsid w:val="00FE2261"/>
    <w:rsid w:val="00FE2428"/>
    <w:rsid w:val="00FE2450"/>
    <w:rsid w:val="00FE27AB"/>
    <w:rsid w:val="00FE2C4B"/>
    <w:rsid w:val="00FE2D9F"/>
    <w:rsid w:val="00FE2E5B"/>
    <w:rsid w:val="00FE307E"/>
    <w:rsid w:val="00FE372C"/>
    <w:rsid w:val="00FE39D3"/>
    <w:rsid w:val="00FE3A0B"/>
    <w:rsid w:val="00FE4066"/>
    <w:rsid w:val="00FE409E"/>
    <w:rsid w:val="00FE48BB"/>
    <w:rsid w:val="00FE569F"/>
    <w:rsid w:val="00FE5A91"/>
    <w:rsid w:val="00FE5D4A"/>
    <w:rsid w:val="00FE5D9D"/>
    <w:rsid w:val="00FE6AAB"/>
    <w:rsid w:val="00FE6D30"/>
    <w:rsid w:val="00FE7344"/>
    <w:rsid w:val="00FE7BCF"/>
    <w:rsid w:val="00FE7F77"/>
    <w:rsid w:val="00FE7FFA"/>
    <w:rsid w:val="00FF073B"/>
    <w:rsid w:val="00FF07AA"/>
    <w:rsid w:val="00FF12EB"/>
    <w:rsid w:val="00FF1505"/>
    <w:rsid w:val="00FF1631"/>
    <w:rsid w:val="00FF179D"/>
    <w:rsid w:val="00FF17FC"/>
    <w:rsid w:val="00FF18BE"/>
    <w:rsid w:val="00FF23B7"/>
    <w:rsid w:val="00FF256F"/>
    <w:rsid w:val="00FF2B51"/>
    <w:rsid w:val="00FF2BAA"/>
    <w:rsid w:val="00FF2EC6"/>
    <w:rsid w:val="00FF3188"/>
    <w:rsid w:val="00FF3D2F"/>
    <w:rsid w:val="00FF40A4"/>
    <w:rsid w:val="00FF4249"/>
    <w:rsid w:val="00FF4636"/>
    <w:rsid w:val="00FF47E2"/>
    <w:rsid w:val="00FF4A67"/>
    <w:rsid w:val="00FF5288"/>
    <w:rsid w:val="00FF52C9"/>
    <w:rsid w:val="00FF5963"/>
    <w:rsid w:val="00FF5B50"/>
    <w:rsid w:val="00FF5BB3"/>
    <w:rsid w:val="00FF5C91"/>
    <w:rsid w:val="00FF6095"/>
    <w:rsid w:val="00FF6189"/>
    <w:rsid w:val="00FF688E"/>
    <w:rsid w:val="00FF68F5"/>
    <w:rsid w:val="00FF707A"/>
    <w:rsid w:val="00FF7483"/>
    <w:rsid w:val="00FF78DC"/>
    <w:rsid w:val="00FF7B5D"/>
    <w:rsid w:val="00FF7EF9"/>
    <w:rsid w:val="0103BAE4"/>
    <w:rsid w:val="01065966"/>
    <w:rsid w:val="01069527"/>
    <w:rsid w:val="010AEF44"/>
    <w:rsid w:val="010F5683"/>
    <w:rsid w:val="01125C26"/>
    <w:rsid w:val="0114FDAC"/>
    <w:rsid w:val="011D6C2B"/>
    <w:rsid w:val="0120FFC2"/>
    <w:rsid w:val="01233C87"/>
    <w:rsid w:val="0128A5E9"/>
    <w:rsid w:val="0129BB3E"/>
    <w:rsid w:val="012CE081"/>
    <w:rsid w:val="012D35ED"/>
    <w:rsid w:val="012E1FB6"/>
    <w:rsid w:val="0135E41D"/>
    <w:rsid w:val="014311ED"/>
    <w:rsid w:val="01550D11"/>
    <w:rsid w:val="016023F3"/>
    <w:rsid w:val="0169345B"/>
    <w:rsid w:val="016ED946"/>
    <w:rsid w:val="017C9EAF"/>
    <w:rsid w:val="01829B47"/>
    <w:rsid w:val="018A56B4"/>
    <w:rsid w:val="01983923"/>
    <w:rsid w:val="01A49060"/>
    <w:rsid w:val="01C39006"/>
    <w:rsid w:val="01D3C296"/>
    <w:rsid w:val="01D3C6E4"/>
    <w:rsid w:val="01DCEF6D"/>
    <w:rsid w:val="01E4DB00"/>
    <w:rsid w:val="01E67580"/>
    <w:rsid w:val="01EAC76B"/>
    <w:rsid w:val="01F15412"/>
    <w:rsid w:val="01F30D7F"/>
    <w:rsid w:val="01FF858E"/>
    <w:rsid w:val="020A6226"/>
    <w:rsid w:val="020AF144"/>
    <w:rsid w:val="020B871B"/>
    <w:rsid w:val="02101494"/>
    <w:rsid w:val="0210A56E"/>
    <w:rsid w:val="021594AD"/>
    <w:rsid w:val="02169414"/>
    <w:rsid w:val="0218B5EE"/>
    <w:rsid w:val="021A4447"/>
    <w:rsid w:val="022117F1"/>
    <w:rsid w:val="022366C3"/>
    <w:rsid w:val="02281E49"/>
    <w:rsid w:val="0229CB8C"/>
    <w:rsid w:val="022CCD35"/>
    <w:rsid w:val="0231E367"/>
    <w:rsid w:val="0232EB96"/>
    <w:rsid w:val="0237E08B"/>
    <w:rsid w:val="023D6C30"/>
    <w:rsid w:val="02419522"/>
    <w:rsid w:val="0241BC38"/>
    <w:rsid w:val="02442FB5"/>
    <w:rsid w:val="024D36CD"/>
    <w:rsid w:val="024D5443"/>
    <w:rsid w:val="02594D21"/>
    <w:rsid w:val="025A0284"/>
    <w:rsid w:val="025CBA6E"/>
    <w:rsid w:val="02621433"/>
    <w:rsid w:val="0266EBEB"/>
    <w:rsid w:val="0274835A"/>
    <w:rsid w:val="0276B5D7"/>
    <w:rsid w:val="027AACE0"/>
    <w:rsid w:val="027B2A1D"/>
    <w:rsid w:val="0281CDEB"/>
    <w:rsid w:val="0288DDAC"/>
    <w:rsid w:val="0295E56F"/>
    <w:rsid w:val="029CE39F"/>
    <w:rsid w:val="02A6C067"/>
    <w:rsid w:val="02ABD39A"/>
    <w:rsid w:val="02B9FFAC"/>
    <w:rsid w:val="02C65844"/>
    <w:rsid w:val="02CD7031"/>
    <w:rsid w:val="02D6D3DC"/>
    <w:rsid w:val="02FAD8EE"/>
    <w:rsid w:val="0310A3D7"/>
    <w:rsid w:val="0329F077"/>
    <w:rsid w:val="0331575B"/>
    <w:rsid w:val="03330EB5"/>
    <w:rsid w:val="03337344"/>
    <w:rsid w:val="03394656"/>
    <w:rsid w:val="0348E0E1"/>
    <w:rsid w:val="035B9A30"/>
    <w:rsid w:val="035C2274"/>
    <w:rsid w:val="035E56A0"/>
    <w:rsid w:val="037E7812"/>
    <w:rsid w:val="037FE6E4"/>
    <w:rsid w:val="0380803D"/>
    <w:rsid w:val="038806C6"/>
    <w:rsid w:val="038A8F92"/>
    <w:rsid w:val="038D8AA3"/>
    <w:rsid w:val="0397AB65"/>
    <w:rsid w:val="03ADFBAB"/>
    <w:rsid w:val="03B0A798"/>
    <w:rsid w:val="03B4864F"/>
    <w:rsid w:val="03B5B082"/>
    <w:rsid w:val="03B707D4"/>
    <w:rsid w:val="03CC7F41"/>
    <w:rsid w:val="03D67F43"/>
    <w:rsid w:val="03DEB5B6"/>
    <w:rsid w:val="03EA522D"/>
    <w:rsid w:val="03FC9BC6"/>
    <w:rsid w:val="04008F79"/>
    <w:rsid w:val="040B641A"/>
    <w:rsid w:val="040ECF12"/>
    <w:rsid w:val="040F54B8"/>
    <w:rsid w:val="04128638"/>
    <w:rsid w:val="0415831C"/>
    <w:rsid w:val="041FAEEE"/>
    <w:rsid w:val="0426DC63"/>
    <w:rsid w:val="0440AAF8"/>
    <w:rsid w:val="04462A74"/>
    <w:rsid w:val="045432D8"/>
    <w:rsid w:val="045BD2E1"/>
    <w:rsid w:val="045E50DA"/>
    <w:rsid w:val="04670053"/>
    <w:rsid w:val="04694092"/>
    <w:rsid w:val="046AE4E5"/>
    <w:rsid w:val="0479F5A6"/>
    <w:rsid w:val="0481F0A9"/>
    <w:rsid w:val="04922099"/>
    <w:rsid w:val="049EB6AF"/>
    <w:rsid w:val="04A2B26B"/>
    <w:rsid w:val="04A71244"/>
    <w:rsid w:val="04A8AC27"/>
    <w:rsid w:val="04AB3D75"/>
    <w:rsid w:val="04AF13F8"/>
    <w:rsid w:val="04BBC31E"/>
    <w:rsid w:val="04BC7D35"/>
    <w:rsid w:val="04C1F776"/>
    <w:rsid w:val="04C212AC"/>
    <w:rsid w:val="04C535DB"/>
    <w:rsid w:val="04C91393"/>
    <w:rsid w:val="04CC3A8B"/>
    <w:rsid w:val="04D27701"/>
    <w:rsid w:val="04D946D7"/>
    <w:rsid w:val="04DDDC82"/>
    <w:rsid w:val="04E9EE90"/>
    <w:rsid w:val="04FA8CAB"/>
    <w:rsid w:val="05162373"/>
    <w:rsid w:val="051D0B4C"/>
    <w:rsid w:val="0521E426"/>
    <w:rsid w:val="052D7DC6"/>
    <w:rsid w:val="053F7E63"/>
    <w:rsid w:val="0541780A"/>
    <w:rsid w:val="055412F8"/>
    <w:rsid w:val="055BA523"/>
    <w:rsid w:val="055F5066"/>
    <w:rsid w:val="0561CEF0"/>
    <w:rsid w:val="05670CC2"/>
    <w:rsid w:val="056AB8AB"/>
    <w:rsid w:val="05731154"/>
    <w:rsid w:val="05741D79"/>
    <w:rsid w:val="05770D8A"/>
    <w:rsid w:val="0577DCE0"/>
    <w:rsid w:val="05781C0C"/>
    <w:rsid w:val="057D2F45"/>
    <w:rsid w:val="0589E4AE"/>
    <w:rsid w:val="058FA05D"/>
    <w:rsid w:val="0592B9AD"/>
    <w:rsid w:val="0594666D"/>
    <w:rsid w:val="05A01065"/>
    <w:rsid w:val="05A12986"/>
    <w:rsid w:val="05A5CDAA"/>
    <w:rsid w:val="05A9C25E"/>
    <w:rsid w:val="05AB8668"/>
    <w:rsid w:val="05ADB7D6"/>
    <w:rsid w:val="05B1A615"/>
    <w:rsid w:val="05B2B5AE"/>
    <w:rsid w:val="05B32DAB"/>
    <w:rsid w:val="05B9F3D5"/>
    <w:rsid w:val="05BA3E6D"/>
    <w:rsid w:val="05D2546C"/>
    <w:rsid w:val="05D2DB14"/>
    <w:rsid w:val="05D311B7"/>
    <w:rsid w:val="05D8D904"/>
    <w:rsid w:val="05DD3EC2"/>
    <w:rsid w:val="05F0505A"/>
    <w:rsid w:val="05FA71B3"/>
    <w:rsid w:val="05FA7315"/>
    <w:rsid w:val="05FD54E9"/>
    <w:rsid w:val="06108720"/>
    <w:rsid w:val="06171484"/>
    <w:rsid w:val="062A6E63"/>
    <w:rsid w:val="06424795"/>
    <w:rsid w:val="065893A5"/>
    <w:rsid w:val="06611A10"/>
    <w:rsid w:val="0661DD09"/>
    <w:rsid w:val="06875300"/>
    <w:rsid w:val="0687D4AC"/>
    <w:rsid w:val="06904476"/>
    <w:rsid w:val="06920BF6"/>
    <w:rsid w:val="069323B9"/>
    <w:rsid w:val="06940629"/>
    <w:rsid w:val="06A08782"/>
    <w:rsid w:val="06A486A6"/>
    <w:rsid w:val="06B62D04"/>
    <w:rsid w:val="06C9597C"/>
    <w:rsid w:val="06CCED98"/>
    <w:rsid w:val="06CD6E44"/>
    <w:rsid w:val="06CDCDCB"/>
    <w:rsid w:val="06D3DBA1"/>
    <w:rsid w:val="06D53AF4"/>
    <w:rsid w:val="06D6C630"/>
    <w:rsid w:val="06DDDB6B"/>
    <w:rsid w:val="06F1FB70"/>
    <w:rsid w:val="06F26CE8"/>
    <w:rsid w:val="06F8145A"/>
    <w:rsid w:val="06FCE72F"/>
    <w:rsid w:val="0718D645"/>
    <w:rsid w:val="071AEF68"/>
    <w:rsid w:val="072221A6"/>
    <w:rsid w:val="0724D883"/>
    <w:rsid w:val="072FFE3A"/>
    <w:rsid w:val="073574FE"/>
    <w:rsid w:val="07393FC6"/>
    <w:rsid w:val="074265F0"/>
    <w:rsid w:val="0743B5E9"/>
    <w:rsid w:val="074407D8"/>
    <w:rsid w:val="074B0DE9"/>
    <w:rsid w:val="074F9E4B"/>
    <w:rsid w:val="07513E6C"/>
    <w:rsid w:val="0753A07D"/>
    <w:rsid w:val="07613947"/>
    <w:rsid w:val="07634CF3"/>
    <w:rsid w:val="0765D3C0"/>
    <w:rsid w:val="07688B45"/>
    <w:rsid w:val="07700B8F"/>
    <w:rsid w:val="0771D48F"/>
    <w:rsid w:val="077363B1"/>
    <w:rsid w:val="078554B0"/>
    <w:rsid w:val="078F714B"/>
    <w:rsid w:val="079481B9"/>
    <w:rsid w:val="07A71664"/>
    <w:rsid w:val="07A908C0"/>
    <w:rsid w:val="07B3EC77"/>
    <w:rsid w:val="07C9C89C"/>
    <w:rsid w:val="07CE5B81"/>
    <w:rsid w:val="07D222E2"/>
    <w:rsid w:val="07D41A9E"/>
    <w:rsid w:val="07DA0918"/>
    <w:rsid w:val="07DA90D3"/>
    <w:rsid w:val="07DD1722"/>
    <w:rsid w:val="07DDD154"/>
    <w:rsid w:val="07DE7068"/>
    <w:rsid w:val="07DF0770"/>
    <w:rsid w:val="07E00318"/>
    <w:rsid w:val="07FF16DF"/>
    <w:rsid w:val="080515C4"/>
    <w:rsid w:val="080AC3B3"/>
    <w:rsid w:val="081B992A"/>
    <w:rsid w:val="081F4380"/>
    <w:rsid w:val="0839EA2C"/>
    <w:rsid w:val="083B0AB6"/>
    <w:rsid w:val="083FDF09"/>
    <w:rsid w:val="08405331"/>
    <w:rsid w:val="08476D39"/>
    <w:rsid w:val="08540B02"/>
    <w:rsid w:val="08581676"/>
    <w:rsid w:val="085C2500"/>
    <w:rsid w:val="08620512"/>
    <w:rsid w:val="086FC278"/>
    <w:rsid w:val="0877E3E2"/>
    <w:rsid w:val="08890A42"/>
    <w:rsid w:val="088D6516"/>
    <w:rsid w:val="088F9BC8"/>
    <w:rsid w:val="089A4EB2"/>
    <w:rsid w:val="089C9AC5"/>
    <w:rsid w:val="08C3394F"/>
    <w:rsid w:val="08C4F65C"/>
    <w:rsid w:val="08CA4F49"/>
    <w:rsid w:val="08CB0F8F"/>
    <w:rsid w:val="08F7682D"/>
    <w:rsid w:val="08F8D80F"/>
    <w:rsid w:val="08FF0AAC"/>
    <w:rsid w:val="091322DD"/>
    <w:rsid w:val="0914AAB5"/>
    <w:rsid w:val="091B4FF2"/>
    <w:rsid w:val="091F8E9E"/>
    <w:rsid w:val="09200F91"/>
    <w:rsid w:val="0926E478"/>
    <w:rsid w:val="092AB2B8"/>
    <w:rsid w:val="092DE673"/>
    <w:rsid w:val="092FC2B1"/>
    <w:rsid w:val="0944956A"/>
    <w:rsid w:val="09492ABB"/>
    <w:rsid w:val="094ECDDB"/>
    <w:rsid w:val="0950ED9D"/>
    <w:rsid w:val="0951093B"/>
    <w:rsid w:val="09592262"/>
    <w:rsid w:val="096E0A98"/>
    <w:rsid w:val="096EAB15"/>
    <w:rsid w:val="09782B9F"/>
    <w:rsid w:val="0979E14E"/>
    <w:rsid w:val="097CDCD3"/>
    <w:rsid w:val="09850CC9"/>
    <w:rsid w:val="0989219E"/>
    <w:rsid w:val="0995F229"/>
    <w:rsid w:val="099D1FF2"/>
    <w:rsid w:val="09A0C0E0"/>
    <w:rsid w:val="09A4098B"/>
    <w:rsid w:val="09A8344A"/>
    <w:rsid w:val="09B3A277"/>
    <w:rsid w:val="09B45949"/>
    <w:rsid w:val="09B4DF63"/>
    <w:rsid w:val="09BC1749"/>
    <w:rsid w:val="09BC4005"/>
    <w:rsid w:val="09C0E5A3"/>
    <w:rsid w:val="09C42D67"/>
    <w:rsid w:val="09C57786"/>
    <w:rsid w:val="09D32382"/>
    <w:rsid w:val="09E1C1A2"/>
    <w:rsid w:val="09E743FD"/>
    <w:rsid w:val="09FA2E45"/>
    <w:rsid w:val="09FEE942"/>
    <w:rsid w:val="0A01629B"/>
    <w:rsid w:val="0A018481"/>
    <w:rsid w:val="0A096583"/>
    <w:rsid w:val="0A0D84C2"/>
    <w:rsid w:val="0A0F33DE"/>
    <w:rsid w:val="0A17A51C"/>
    <w:rsid w:val="0A27E5D3"/>
    <w:rsid w:val="0A2BFCF0"/>
    <w:rsid w:val="0A3A4D62"/>
    <w:rsid w:val="0A3B3711"/>
    <w:rsid w:val="0A3CDAD0"/>
    <w:rsid w:val="0A4BC6A4"/>
    <w:rsid w:val="0A51636B"/>
    <w:rsid w:val="0A575AD9"/>
    <w:rsid w:val="0A61851C"/>
    <w:rsid w:val="0A619319"/>
    <w:rsid w:val="0A643E00"/>
    <w:rsid w:val="0A69A40A"/>
    <w:rsid w:val="0A6F8DC7"/>
    <w:rsid w:val="0A706467"/>
    <w:rsid w:val="0A768ADE"/>
    <w:rsid w:val="0A7EE16F"/>
    <w:rsid w:val="0A85A308"/>
    <w:rsid w:val="0A87EE73"/>
    <w:rsid w:val="0A9156A0"/>
    <w:rsid w:val="0A995945"/>
    <w:rsid w:val="0AA165F9"/>
    <w:rsid w:val="0AADE778"/>
    <w:rsid w:val="0ABBD02E"/>
    <w:rsid w:val="0ABCE5FC"/>
    <w:rsid w:val="0ABE1AC5"/>
    <w:rsid w:val="0AC09EFD"/>
    <w:rsid w:val="0AC84CD9"/>
    <w:rsid w:val="0AD2FBB1"/>
    <w:rsid w:val="0AD82DC0"/>
    <w:rsid w:val="0AE23F45"/>
    <w:rsid w:val="0AE91ED0"/>
    <w:rsid w:val="0AEE94FE"/>
    <w:rsid w:val="0AF00BB5"/>
    <w:rsid w:val="0AF212CA"/>
    <w:rsid w:val="0AF80DB5"/>
    <w:rsid w:val="0B0A4FBC"/>
    <w:rsid w:val="0B0BB46A"/>
    <w:rsid w:val="0B152693"/>
    <w:rsid w:val="0B237C7C"/>
    <w:rsid w:val="0B31064B"/>
    <w:rsid w:val="0B3513AB"/>
    <w:rsid w:val="0B3A1C78"/>
    <w:rsid w:val="0B3B7436"/>
    <w:rsid w:val="0B40457F"/>
    <w:rsid w:val="0B52BD6A"/>
    <w:rsid w:val="0B540DBE"/>
    <w:rsid w:val="0B5813C3"/>
    <w:rsid w:val="0B65A028"/>
    <w:rsid w:val="0B76E0F5"/>
    <w:rsid w:val="0B887090"/>
    <w:rsid w:val="0B937D95"/>
    <w:rsid w:val="0BA31724"/>
    <w:rsid w:val="0BAAAAF0"/>
    <w:rsid w:val="0BB1506F"/>
    <w:rsid w:val="0BB1AD0C"/>
    <w:rsid w:val="0BB6C1D4"/>
    <w:rsid w:val="0BB85514"/>
    <w:rsid w:val="0BC40ACD"/>
    <w:rsid w:val="0BC82577"/>
    <w:rsid w:val="0BCD740F"/>
    <w:rsid w:val="0BD049B3"/>
    <w:rsid w:val="0BD4293F"/>
    <w:rsid w:val="0BD8C4A2"/>
    <w:rsid w:val="0BE23EA1"/>
    <w:rsid w:val="0BEC1C38"/>
    <w:rsid w:val="0BF89C22"/>
    <w:rsid w:val="0C09F4F6"/>
    <w:rsid w:val="0C0BF8A0"/>
    <w:rsid w:val="0C127400"/>
    <w:rsid w:val="0C1B45F2"/>
    <w:rsid w:val="0C1C52E3"/>
    <w:rsid w:val="0C1DD483"/>
    <w:rsid w:val="0C23F38B"/>
    <w:rsid w:val="0C3AC3F7"/>
    <w:rsid w:val="0C3E444F"/>
    <w:rsid w:val="0C3ECAC4"/>
    <w:rsid w:val="0C45D5DD"/>
    <w:rsid w:val="0C49C9C7"/>
    <w:rsid w:val="0C4C5EAB"/>
    <w:rsid w:val="0C5EB20A"/>
    <w:rsid w:val="0C62EB3B"/>
    <w:rsid w:val="0C636717"/>
    <w:rsid w:val="0C63F315"/>
    <w:rsid w:val="0C7ED2AF"/>
    <w:rsid w:val="0C828BC8"/>
    <w:rsid w:val="0C860317"/>
    <w:rsid w:val="0C95158D"/>
    <w:rsid w:val="0C96BA63"/>
    <w:rsid w:val="0C97AE23"/>
    <w:rsid w:val="0CAA41AE"/>
    <w:rsid w:val="0CAE6681"/>
    <w:rsid w:val="0CB64F5A"/>
    <w:rsid w:val="0CB9310C"/>
    <w:rsid w:val="0CBDEC61"/>
    <w:rsid w:val="0CC77567"/>
    <w:rsid w:val="0CCC2063"/>
    <w:rsid w:val="0CDD1A4C"/>
    <w:rsid w:val="0CDE9241"/>
    <w:rsid w:val="0CE03815"/>
    <w:rsid w:val="0CE12544"/>
    <w:rsid w:val="0CE824FE"/>
    <w:rsid w:val="0CF9F8A3"/>
    <w:rsid w:val="0CFA9BF7"/>
    <w:rsid w:val="0CFD92A6"/>
    <w:rsid w:val="0D06B147"/>
    <w:rsid w:val="0D079DF7"/>
    <w:rsid w:val="0D090F71"/>
    <w:rsid w:val="0D11DFCD"/>
    <w:rsid w:val="0D14B972"/>
    <w:rsid w:val="0D1C72A7"/>
    <w:rsid w:val="0D27A32A"/>
    <w:rsid w:val="0D2B6598"/>
    <w:rsid w:val="0D2D989E"/>
    <w:rsid w:val="0D379390"/>
    <w:rsid w:val="0D40C866"/>
    <w:rsid w:val="0D40F834"/>
    <w:rsid w:val="0D435308"/>
    <w:rsid w:val="0D43E2A2"/>
    <w:rsid w:val="0D4C3B7A"/>
    <w:rsid w:val="0D559DA0"/>
    <w:rsid w:val="0D5BFF28"/>
    <w:rsid w:val="0D613E7A"/>
    <w:rsid w:val="0D6476D4"/>
    <w:rsid w:val="0D6984A5"/>
    <w:rsid w:val="0D6A9E1F"/>
    <w:rsid w:val="0D75A6B7"/>
    <w:rsid w:val="0D75A810"/>
    <w:rsid w:val="0D779AE9"/>
    <w:rsid w:val="0D78B8A7"/>
    <w:rsid w:val="0D79F120"/>
    <w:rsid w:val="0D7D6A02"/>
    <w:rsid w:val="0D7FE8D1"/>
    <w:rsid w:val="0D805621"/>
    <w:rsid w:val="0D91678D"/>
    <w:rsid w:val="0D948BB4"/>
    <w:rsid w:val="0D98988D"/>
    <w:rsid w:val="0DA2BD8A"/>
    <w:rsid w:val="0DA3DAB3"/>
    <w:rsid w:val="0DA460F9"/>
    <w:rsid w:val="0DA5DF6C"/>
    <w:rsid w:val="0DA7260E"/>
    <w:rsid w:val="0DBE219A"/>
    <w:rsid w:val="0DC1AFBA"/>
    <w:rsid w:val="0DD6A3E7"/>
    <w:rsid w:val="0DD85716"/>
    <w:rsid w:val="0DDA121D"/>
    <w:rsid w:val="0DDC2F7E"/>
    <w:rsid w:val="0DDE0981"/>
    <w:rsid w:val="0DE0450B"/>
    <w:rsid w:val="0DE9AAAE"/>
    <w:rsid w:val="0DF19AB8"/>
    <w:rsid w:val="0DF380B4"/>
    <w:rsid w:val="0DF5BB94"/>
    <w:rsid w:val="0DF8F606"/>
    <w:rsid w:val="0E06875F"/>
    <w:rsid w:val="0E091F92"/>
    <w:rsid w:val="0E1248DF"/>
    <w:rsid w:val="0E16AE98"/>
    <w:rsid w:val="0E244D99"/>
    <w:rsid w:val="0E26D5C7"/>
    <w:rsid w:val="0E2C8AD4"/>
    <w:rsid w:val="0E2FE585"/>
    <w:rsid w:val="0E3409FE"/>
    <w:rsid w:val="0E3489AE"/>
    <w:rsid w:val="0E36A001"/>
    <w:rsid w:val="0E3859F2"/>
    <w:rsid w:val="0E3BB3D8"/>
    <w:rsid w:val="0E520076"/>
    <w:rsid w:val="0E5E34E7"/>
    <w:rsid w:val="0E5FA332"/>
    <w:rsid w:val="0E72BDA9"/>
    <w:rsid w:val="0E834F26"/>
    <w:rsid w:val="0E85F037"/>
    <w:rsid w:val="0E8C61D4"/>
    <w:rsid w:val="0E8CA1A3"/>
    <w:rsid w:val="0E913D37"/>
    <w:rsid w:val="0E9973D2"/>
    <w:rsid w:val="0E9BD2DE"/>
    <w:rsid w:val="0EA37BA8"/>
    <w:rsid w:val="0EB3E346"/>
    <w:rsid w:val="0EBDD00C"/>
    <w:rsid w:val="0EC6C0C4"/>
    <w:rsid w:val="0EC6D546"/>
    <w:rsid w:val="0EDE25CE"/>
    <w:rsid w:val="0EE1680C"/>
    <w:rsid w:val="0EEE12BF"/>
    <w:rsid w:val="0EEEC39E"/>
    <w:rsid w:val="0EF18FAB"/>
    <w:rsid w:val="0EFC4CEA"/>
    <w:rsid w:val="0F118FF1"/>
    <w:rsid w:val="0F169BFC"/>
    <w:rsid w:val="0F19015D"/>
    <w:rsid w:val="0F223622"/>
    <w:rsid w:val="0F23A442"/>
    <w:rsid w:val="0F25BE5B"/>
    <w:rsid w:val="0F25DD3E"/>
    <w:rsid w:val="0F2697EF"/>
    <w:rsid w:val="0F31BCAA"/>
    <w:rsid w:val="0F33D105"/>
    <w:rsid w:val="0F487B99"/>
    <w:rsid w:val="0F54A167"/>
    <w:rsid w:val="0F563D54"/>
    <w:rsid w:val="0F5F84FF"/>
    <w:rsid w:val="0F62448A"/>
    <w:rsid w:val="0F64BECE"/>
    <w:rsid w:val="0F655200"/>
    <w:rsid w:val="0F6AD710"/>
    <w:rsid w:val="0F6BC652"/>
    <w:rsid w:val="0F6F2F64"/>
    <w:rsid w:val="0F8236DD"/>
    <w:rsid w:val="0F8810E8"/>
    <w:rsid w:val="0F914323"/>
    <w:rsid w:val="0F9957D0"/>
    <w:rsid w:val="0FA017A7"/>
    <w:rsid w:val="0FACCBD3"/>
    <w:rsid w:val="0FB8AC2A"/>
    <w:rsid w:val="0FBFF2D1"/>
    <w:rsid w:val="0FC2A628"/>
    <w:rsid w:val="0FC64FE2"/>
    <w:rsid w:val="0FCF6F37"/>
    <w:rsid w:val="0FD2FF42"/>
    <w:rsid w:val="0FD58FD4"/>
    <w:rsid w:val="0FD92969"/>
    <w:rsid w:val="0FE1FFC0"/>
    <w:rsid w:val="0FE4AF00"/>
    <w:rsid w:val="0FE665D4"/>
    <w:rsid w:val="0FE6AF38"/>
    <w:rsid w:val="0FF147C8"/>
    <w:rsid w:val="0FF72259"/>
    <w:rsid w:val="0FFA6545"/>
    <w:rsid w:val="100D53E9"/>
    <w:rsid w:val="100F3A0A"/>
    <w:rsid w:val="1018DF89"/>
    <w:rsid w:val="1021F024"/>
    <w:rsid w:val="10256FC9"/>
    <w:rsid w:val="102AFD08"/>
    <w:rsid w:val="102CA991"/>
    <w:rsid w:val="1048ADC5"/>
    <w:rsid w:val="104F7E3C"/>
    <w:rsid w:val="1050D174"/>
    <w:rsid w:val="1052FEBD"/>
    <w:rsid w:val="1056B13D"/>
    <w:rsid w:val="1063ED56"/>
    <w:rsid w:val="1079D355"/>
    <w:rsid w:val="107AF3CA"/>
    <w:rsid w:val="107B5FF3"/>
    <w:rsid w:val="107F5621"/>
    <w:rsid w:val="1087088D"/>
    <w:rsid w:val="108EAC38"/>
    <w:rsid w:val="108FE22F"/>
    <w:rsid w:val="10903EC1"/>
    <w:rsid w:val="1095656B"/>
    <w:rsid w:val="1097C715"/>
    <w:rsid w:val="10980026"/>
    <w:rsid w:val="10983CB5"/>
    <w:rsid w:val="1098A299"/>
    <w:rsid w:val="109A97AD"/>
    <w:rsid w:val="109CC484"/>
    <w:rsid w:val="10A9D4AF"/>
    <w:rsid w:val="10AA25F6"/>
    <w:rsid w:val="10ABDAC2"/>
    <w:rsid w:val="10B40FB8"/>
    <w:rsid w:val="10B9077D"/>
    <w:rsid w:val="10BD03CA"/>
    <w:rsid w:val="10C32EEF"/>
    <w:rsid w:val="10CEAC63"/>
    <w:rsid w:val="10D20712"/>
    <w:rsid w:val="10DA8D9E"/>
    <w:rsid w:val="10DF959D"/>
    <w:rsid w:val="10E31FE1"/>
    <w:rsid w:val="10E6AEB8"/>
    <w:rsid w:val="10EA0075"/>
    <w:rsid w:val="10EB1F7F"/>
    <w:rsid w:val="10EEA69B"/>
    <w:rsid w:val="10F0F162"/>
    <w:rsid w:val="10F221F9"/>
    <w:rsid w:val="10FF6DC3"/>
    <w:rsid w:val="110038EF"/>
    <w:rsid w:val="1102BAE5"/>
    <w:rsid w:val="1106A771"/>
    <w:rsid w:val="110AB382"/>
    <w:rsid w:val="110ED67D"/>
    <w:rsid w:val="110FB0A1"/>
    <w:rsid w:val="1118667F"/>
    <w:rsid w:val="1139C118"/>
    <w:rsid w:val="1141A630"/>
    <w:rsid w:val="1144D21C"/>
    <w:rsid w:val="114A2C2E"/>
    <w:rsid w:val="114FE393"/>
    <w:rsid w:val="11547C8B"/>
    <w:rsid w:val="115756E3"/>
    <w:rsid w:val="115E7689"/>
    <w:rsid w:val="11634AC1"/>
    <w:rsid w:val="1169863F"/>
    <w:rsid w:val="116B6EB6"/>
    <w:rsid w:val="116D5657"/>
    <w:rsid w:val="11755F37"/>
    <w:rsid w:val="117B7AF1"/>
    <w:rsid w:val="117CCBB2"/>
    <w:rsid w:val="117D70A9"/>
    <w:rsid w:val="11826910"/>
    <w:rsid w:val="118314E7"/>
    <w:rsid w:val="1194A0EE"/>
    <w:rsid w:val="11A076DE"/>
    <w:rsid w:val="11A17316"/>
    <w:rsid w:val="11A9EEC5"/>
    <w:rsid w:val="11AEE1F3"/>
    <w:rsid w:val="11B70170"/>
    <w:rsid w:val="11BCC6DF"/>
    <w:rsid w:val="11C5695D"/>
    <w:rsid w:val="11C9D50D"/>
    <w:rsid w:val="11CF6746"/>
    <w:rsid w:val="11D0F102"/>
    <w:rsid w:val="11D9F91E"/>
    <w:rsid w:val="11DEE0DC"/>
    <w:rsid w:val="11EE11EB"/>
    <w:rsid w:val="11F078A6"/>
    <w:rsid w:val="11F350D2"/>
    <w:rsid w:val="11FF612A"/>
    <w:rsid w:val="1216C42B"/>
    <w:rsid w:val="1216FFE7"/>
    <w:rsid w:val="1223DF9D"/>
    <w:rsid w:val="12254042"/>
    <w:rsid w:val="122AAA16"/>
    <w:rsid w:val="12340A73"/>
    <w:rsid w:val="12358550"/>
    <w:rsid w:val="12381232"/>
    <w:rsid w:val="1239EB04"/>
    <w:rsid w:val="124589D5"/>
    <w:rsid w:val="12483B57"/>
    <w:rsid w:val="124DFD15"/>
    <w:rsid w:val="1251D5B1"/>
    <w:rsid w:val="12533F32"/>
    <w:rsid w:val="1254FB08"/>
    <w:rsid w:val="1257C33E"/>
    <w:rsid w:val="12606C8B"/>
    <w:rsid w:val="1261FE58"/>
    <w:rsid w:val="12711211"/>
    <w:rsid w:val="127AD1C0"/>
    <w:rsid w:val="127F8DC4"/>
    <w:rsid w:val="128BD357"/>
    <w:rsid w:val="128F011C"/>
    <w:rsid w:val="129B0EAF"/>
    <w:rsid w:val="129B6F48"/>
    <w:rsid w:val="12A277D2"/>
    <w:rsid w:val="12A32E43"/>
    <w:rsid w:val="12A36714"/>
    <w:rsid w:val="12AAA6DE"/>
    <w:rsid w:val="12BE8FAD"/>
    <w:rsid w:val="12CA0BD6"/>
    <w:rsid w:val="12D1F1E2"/>
    <w:rsid w:val="12E67B2C"/>
    <w:rsid w:val="12EB0E6E"/>
    <w:rsid w:val="12EDA776"/>
    <w:rsid w:val="12F08567"/>
    <w:rsid w:val="13098FDC"/>
    <w:rsid w:val="13128486"/>
    <w:rsid w:val="1312C48D"/>
    <w:rsid w:val="13287290"/>
    <w:rsid w:val="1339EAA5"/>
    <w:rsid w:val="134F6ED4"/>
    <w:rsid w:val="134FF723"/>
    <w:rsid w:val="13504CC1"/>
    <w:rsid w:val="1351B416"/>
    <w:rsid w:val="13539C67"/>
    <w:rsid w:val="135A7953"/>
    <w:rsid w:val="135E4FE6"/>
    <w:rsid w:val="13675557"/>
    <w:rsid w:val="13714C10"/>
    <w:rsid w:val="1376928E"/>
    <w:rsid w:val="13813931"/>
    <w:rsid w:val="138C59C8"/>
    <w:rsid w:val="138D1AA4"/>
    <w:rsid w:val="138EFC39"/>
    <w:rsid w:val="1391EB91"/>
    <w:rsid w:val="139B6055"/>
    <w:rsid w:val="139BA2CD"/>
    <w:rsid w:val="13A280D9"/>
    <w:rsid w:val="13A3917B"/>
    <w:rsid w:val="13A668A6"/>
    <w:rsid w:val="13B13943"/>
    <w:rsid w:val="13C22B01"/>
    <w:rsid w:val="13D07FFE"/>
    <w:rsid w:val="13DD0C5B"/>
    <w:rsid w:val="13E0E141"/>
    <w:rsid w:val="13E5BD1A"/>
    <w:rsid w:val="13ED35F9"/>
    <w:rsid w:val="13F51623"/>
    <w:rsid w:val="14060BB4"/>
    <w:rsid w:val="140760E8"/>
    <w:rsid w:val="14083E86"/>
    <w:rsid w:val="140F8787"/>
    <w:rsid w:val="141A8209"/>
    <w:rsid w:val="141D17B2"/>
    <w:rsid w:val="141E660E"/>
    <w:rsid w:val="142170FB"/>
    <w:rsid w:val="142F3F18"/>
    <w:rsid w:val="143E3841"/>
    <w:rsid w:val="14458B16"/>
    <w:rsid w:val="144C630C"/>
    <w:rsid w:val="145332F8"/>
    <w:rsid w:val="1455509F"/>
    <w:rsid w:val="1458A49B"/>
    <w:rsid w:val="146ACE46"/>
    <w:rsid w:val="146F3488"/>
    <w:rsid w:val="14797C2F"/>
    <w:rsid w:val="147E3D9F"/>
    <w:rsid w:val="1480C42F"/>
    <w:rsid w:val="1488C606"/>
    <w:rsid w:val="14951679"/>
    <w:rsid w:val="1496AB10"/>
    <w:rsid w:val="14A0A8E4"/>
    <w:rsid w:val="14A5A794"/>
    <w:rsid w:val="14B0C1A1"/>
    <w:rsid w:val="14BC1D20"/>
    <w:rsid w:val="14BFAC14"/>
    <w:rsid w:val="14C442F1"/>
    <w:rsid w:val="14C8BA62"/>
    <w:rsid w:val="14D4316E"/>
    <w:rsid w:val="14DC5714"/>
    <w:rsid w:val="14E3EDCC"/>
    <w:rsid w:val="14F834C7"/>
    <w:rsid w:val="14FA3070"/>
    <w:rsid w:val="14FAC999"/>
    <w:rsid w:val="14FC7718"/>
    <w:rsid w:val="150406C5"/>
    <w:rsid w:val="1505ADDC"/>
    <w:rsid w:val="1507B197"/>
    <w:rsid w:val="150C4A3B"/>
    <w:rsid w:val="151FF48D"/>
    <w:rsid w:val="1527DBE8"/>
    <w:rsid w:val="1534C826"/>
    <w:rsid w:val="153681B3"/>
    <w:rsid w:val="154E64F1"/>
    <w:rsid w:val="157A04FA"/>
    <w:rsid w:val="15827F47"/>
    <w:rsid w:val="158F0646"/>
    <w:rsid w:val="158F74C5"/>
    <w:rsid w:val="15A11039"/>
    <w:rsid w:val="15A47E19"/>
    <w:rsid w:val="15A70556"/>
    <w:rsid w:val="15AA5DD7"/>
    <w:rsid w:val="15AAE585"/>
    <w:rsid w:val="15AC1897"/>
    <w:rsid w:val="15B3ADB3"/>
    <w:rsid w:val="15C151F5"/>
    <w:rsid w:val="15C60AAF"/>
    <w:rsid w:val="15CA078E"/>
    <w:rsid w:val="15CC5369"/>
    <w:rsid w:val="15DA77F5"/>
    <w:rsid w:val="15DEA706"/>
    <w:rsid w:val="15E247A0"/>
    <w:rsid w:val="15E60C07"/>
    <w:rsid w:val="15F4A78D"/>
    <w:rsid w:val="16082704"/>
    <w:rsid w:val="16100FB5"/>
    <w:rsid w:val="1611551B"/>
    <w:rsid w:val="1611EBA3"/>
    <w:rsid w:val="16145F3C"/>
    <w:rsid w:val="1614F2FB"/>
    <w:rsid w:val="161DD527"/>
    <w:rsid w:val="16211B88"/>
    <w:rsid w:val="1629699E"/>
    <w:rsid w:val="162F4D91"/>
    <w:rsid w:val="1646EAF5"/>
    <w:rsid w:val="1663C55C"/>
    <w:rsid w:val="167ECB09"/>
    <w:rsid w:val="1682B2F4"/>
    <w:rsid w:val="1688A3A2"/>
    <w:rsid w:val="168F255F"/>
    <w:rsid w:val="16932888"/>
    <w:rsid w:val="1695F0A8"/>
    <w:rsid w:val="1699F188"/>
    <w:rsid w:val="169E7C55"/>
    <w:rsid w:val="16A27FA3"/>
    <w:rsid w:val="16A54303"/>
    <w:rsid w:val="16B04AC3"/>
    <w:rsid w:val="16B50D4F"/>
    <w:rsid w:val="16B5383C"/>
    <w:rsid w:val="16B5A0D2"/>
    <w:rsid w:val="16B702A2"/>
    <w:rsid w:val="16B98784"/>
    <w:rsid w:val="16C4EB47"/>
    <w:rsid w:val="16C5A193"/>
    <w:rsid w:val="16C70AB7"/>
    <w:rsid w:val="16CD8871"/>
    <w:rsid w:val="16D4DB04"/>
    <w:rsid w:val="16D7C4DF"/>
    <w:rsid w:val="16DC72A3"/>
    <w:rsid w:val="16E37C88"/>
    <w:rsid w:val="16E73650"/>
    <w:rsid w:val="16E80B5F"/>
    <w:rsid w:val="16EB9E0F"/>
    <w:rsid w:val="16ED46D1"/>
    <w:rsid w:val="16FE1D0C"/>
    <w:rsid w:val="16FFC3A2"/>
    <w:rsid w:val="17024528"/>
    <w:rsid w:val="170AB315"/>
    <w:rsid w:val="170AF23A"/>
    <w:rsid w:val="172028FB"/>
    <w:rsid w:val="17242748"/>
    <w:rsid w:val="17286C2B"/>
    <w:rsid w:val="172BBA62"/>
    <w:rsid w:val="172D9B0C"/>
    <w:rsid w:val="172ED828"/>
    <w:rsid w:val="17443B8F"/>
    <w:rsid w:val="1744E22C"/>
    <w:rsid w:val="174ABCF9"/>
    <w:rsid w:val="174E481E"/>
    <w:rsid w:val="175222CB"/>
    <w:rsid w:val="1753FF2B"/>
    <w:rsid w:val="175740A0"/>
    <w:rsid w:val="17581DAF"/>
    <w:rsid w:val="175DA9A2"/>
    <w:rsid w:val="177102DF"/>
    <w:rsid w:val="1779CE07"/>
    <w:rsid w:val="177E068B"/>
    <w:rsid w:val="178326EB"/>
    <w:rsid w:val="1789F056"/>
    <w:rsid w:val="178F8CBA"/>
    <w:rsid w:val="17952620"/>
    <w:rsid w:val="17A22563"/>
    <w:rsid w:val="17B26F55"/>
    <w:rsid w:val="17B3F262"/>
    <w:rsid w:val="17BBF1B7"/>
    <w:rsid w:val="17C2EB4A"/>
    <w:rsid w:val="17CC8F6E"/>
    <w:rsid w:val="17CE834C"/>
    <w:rsid w:val="17D35817"/>
    <w:rsid w:val="17DAFC84"/>
    <w:rsid w:val="17DBDCD7"/>
    <w:rsid w:val="17DDAA4D"/>
    <w:rsid w:val="17E139B5"/>
    <w:rsid w:val="17E37D36"/>
    <w:rsid w:val="17E428B4"/>
    <w:rsid w:val="17E86263"/>
    <w:rsid w:val="17EF2253"/>
    <w:rsid w:val="17F013C8"/>
    <w:rsid w:val="17F1BD38"/>
    <w:rsid w:val="17F4C5E1"/>
    <w:rsid w:val="17F8F2CD"/>
    <w:rsid w:val="17FA8886"/>
    <w:rsid w:val="17FD62B2"/>
    <w:rsid w:val="17FE5A3D"/>
    <w:rsid w:val="1801B685"/>
    <w:rsid w:val="180743E9"/>
    <w:rsid w:val="1810DB53"/>
    <w:rsid w:val="18166661"/>
    <w:rsid w:val="181AE7F7"/>
    <w:rsid w:val="182371D9"/>
    <w:rsid w:val="1827DDB6"/>
    <w:rsid w:val="182BBFAD"/>
    <w:rsid w:val="182CE67D"/>
    <w:rsid w:val="182E8C4E"/>
    <w:rsid w:val="182EF8E9"/>
    <w:rsid w:val="183317C4"/>
    <w:rsid w:val="18448A34"/>
    <w:rsid w:val="184B5C44"/>
    <w:rsid w:val="184FAFD2"/>
    <w:rsid w:val="1857AB89"/>
    <w:rsid w:val="18685FE5"/>
    <w:rsid w:val="1871B21C"/>
    <w:rsid w:val="18731AF4"/>
    <w:rsid w:val="18775C1C"/>
    <w:rsid w:val="187E677B"/>
    <w:rsid w:val="187FD7BE"/>
    <w:rsid w:val="188EF870"/>
    <w:rsid w:val="189261F0"/>
    <w:rsid w:val="18BA2009"/>
    <w:rsid w:val="18BAFB77"/>
    <w:rsid w:val="18C969B2"/>
    <w:rsid w:val="18EA187F"/>
    <w:rsid w:val="18EDA152"/>
    <w:rsid w:val="18EE5FAC"/>
    <w:rsid w:val="18EED96E"/>
    <w:rsid w:val="19076557"/>
    <w:rsid w:val="190BF685"/>
    <w:rsid w:val="191527B9"/>
    <w:rsid w:val="19190E92"/>
    <w:rsid w:val="19238947"/>
    <w:rsid w:val="1923D711"/>
    <w:rsid w:val="19297EF4"/>
    <w:rsid w:val="192D90C4"/>
    <w:rsid w:val="19350DEF"/>
    <w:rsid w:val="19357093"/>
    <w:rsid w:val="1950376B"/>
    <w:rsid w:val="19509A61"/>
    <w:rsid w:val="1953F2C6"/>
    <w:rsid w:val="196086DB"/>
    <w:rsid w:val="19657E12"/>
    <w:rsid w:val="19685FCF"/>
    <w:rsid w:val="196D383F"/>
    <w:rsid w:val="196EC414"/>
    <w:rsid w:val="19733BCE"/>
    <w:rsid w:val="197B88F4"/>
    <w:rsid w:val="197EDAD5"/>
    <w:rsid w:val="198A0FB3"/>
    <w:rsid w:val="1991D880"/>
    <w:rsid w:val="19935AB2"/>
    <w:rsid w:val="199693C0"/>
    <w:rsid w:val="199A6F6B"/>
    <w:rsid w:val="199B995C"/>
    <w:rsid w:val="199C6F1F"/>
    <w:rsid w:val="19B63EDF"/>
    <w:rsid w:val="19B79BC9"/>
    <w:rsid w:val="19B7A5FB"/>
    <w:rsid w:val="19B8DAC2"/>
    <w:rsid w:val="19E66C1F"/>
    <w:rsid w:val="19ED90EC"/>
    <w:rsid w:val="19EF64D7"/>
    <w:rsid w:val="19F95729"/>
    <w:rsid w:val="19FDFF95"/>
    <w:rsid w:val="19FF2F55"/>
    <w:rsid w:val="1A01D587"/>
    <w:rsid w:val="1A02888A"/>
    <w:rsid w:val="1A043046"/>
    <w:rsid w:val="1A046257"/>
    <w:rsid w:val="1A197BC6"/>
    <w:rsid w:val="1A2BC521"/>
    <w:rsid w:val="1A36BDF4"/>
    <w:rsid w:val="1A3701D8"/>
    <w:rsid w:val="1A3829F1"/>
    <w:rsid w:val="1A417439"/>
    <w:rsid w:val="1A41DF7A"/>
    <w:rsid w:val="1A47D0EF"/>
    <w:rsid w:val="1A493F90"/>
    <w:rsid w:val="1A4C80CA"/>
    <w:rsid w:val="1A56449B"/>
    <w:rsid w:val="1A574594"/>
    <w:rsid w:val="1A5D8881"/>
    <w:rsid w:val="1A62C91A"/>
    <w:rsid w:val="1A6863C6"/>
    <w:rsid w:val="1A6EB0F9"/>
    <w:rsid w:val="1A6F6CF8"/>
    <w:rsid w:val="1A74E3B6"/>
    <w:rsid w:val="1A77F2F0"/>
    <w:rsid w:val="1A7DF0F7"/>
    <w:rsid w:val="1A89C38D"/>
    <w:rsid w:val="1A8C97FB"/>
    <w:rsid w:val="1AA45178"/>
    <w:rsid w:val="1AAC90B3"/>
    <w:rsid w:val="1AB697DB"/>
    <w:rsid w:val="1ABBEE9C"/>
    <w:rsid w:val="1ABD82EF"/>
    <w:rsid w:val="1ACB76BD"/>
    <w:rsid w:val="1AD55A46"/>
    <w:rsid w:val="1AD6A627"/>
    <w:rsid w:val="1ADB32B7"/>
    <w:rsid w:val="1AED4912"/>
    <w:rsid w:val="1AF131DD"/>
    <w:rsid w:val="1AF69366"/>
    <w:rsid w:val="1AFC44DE"/>
    <w:rsid w:val="1AFD8704"/>
    <w:rsid w:val="1B02D604"/>
    <w:rsid w:val="1B094415"/>
    <w:rsid w:val="1B0D332B"/>
    <w:rsid w:val="1B0EE17A"/>
    <w:rsid w:val="1B2869E8"/>
    <w:rsid w:val="1B288CC6"/>
    <w:rsid w:val="1B2C35A7"/>
    <w:rsid w:val="1B2F3F6A"/>
    <w:rsid w:val="1B3769BD"/>
    <w:rsid w:val="1B47ABC5"/>
    <w:rsid w:val="1B48C88A"/>
    <w:rsid w:val="1B4A1B57"/>
    <w:rsid w:val="1B57F532"/>
    <w:rsid w:val="1B5C39EF"/>
    <w:rsid w:val="1B5D4932"/>
    <w:rsid w:val="1B5E784E"/>
    <w:rsid w:val="1B6256B3"/>
    <w:rsid w:val="1B62ED3A"/>
    <w:rsid w:val="1B69BACC"/>
    <w:rsid w:val="1B7A9672"/>
    <w:rsid w:val="1B7C1ED7"/>
    <w:rsid w:val="1B8B37EE"/>
    <w:rsid w:val="1B8FFED6"/>
    <w:rsid w:val="1B9A7967"/>
    <w:rsid w:val="1B9D1B43"/>
    <w:rsid w:val="1B9E4386"/>
    <w:rsid w:val="1BA06F60"/>
    <w:rsid w:val="1BAB247D"/>
    <w:rsid w:val="1BC1DAA2"/>
    <w:rsid w:val="1BC65D9C"/>
    <w:rsid w:val="1BC69932"/>
    <w:rsid w:val="1BD5F967"/>
    <w:rsid w:val="1BD9D96C"/>
    <w:rsid w:val="1BDA701F"/>
    <w:rsid w:val="1BDBB88B"/>
    <w:rsid w:val="1BDDC951"/>
    <w:rsid w:val="1BDFA042"/>
    <w:rsid w:val="1BE12AB7"/>
    <w:rsid w:val="1BE23740"/>
    <w:rsid w:val="1BE9AE51"/>
    <w:rsid w:val="1BF072DD"/>
    <w:rsid w:val="1BF1C0CB"/>
    <w:rsid w:val="1BF214FC"/>
    <w:rsid w:val="1BFABE8A"/>
    <w:rsid w:val="1BFB16F8"/>
    <w:rsid w:val="1C04A564"/>
    <w:rsid w:val="1C05EE51"/>
    <w:rsid w:val="1C0839AA"/>
    <w:rsid w:val="1C159B9E"/>
    <w:rsid w:val="1C1C8EC3"/>
    <w:rsid w:val="1C2C5B52"/>
    <w:rsid w:val="1C391FBB"/>
    <w:rsid w:val="1C3B6D0A"/>
    <w:rsid w:val="1C3FF84E"/>
    <w:rsid w:val="1C4E6294"/>
    <w:rsid w:val="1C553FAC"/>
    <w:rsid w:val="1C5BC090"/>
    <w:rsid w:val="1C690B96"/>
    <w:rsid w:val="1C69CA67"/>
    <w:rsid w:val="1C737F37"/>
    <w:rsid w:val="1C75E0AB"/>
    <w:rsid w:val="1C7A7723"/>
    <w:rsid w:val="1C83C477"/>
    <w:rsid w:val="1C872464"/>
    <w:rsid w:val="1C89CCCB"/>
    <w:rsid w:val="1C8EFF2C"/>
    <w:rsid w:val="1C9436D3"/>
    <w:rsid w:val="1C9ED118"/>
    <w:rsid w:val="1C9F9DB1"/>
    <w:rsid w:val="1CAFF965"/>
    <w:rsid w:val="1CB14FCE"/>
    <w:rsid w:val="1CB1DE76"/>
    <w:rsid w:val="1CB62C79"/>
    <w:rsid w:val="1CBD7CC0"/>
    <w:rsid w:val="1CC050FD"/>
    <w:rsid w:val="1CC1CED4"/>
    <w:rsid w:val="1CC45D27"/>
    <w:rsid w:val="1CD1CA60"/>
    <w:rsid w:val="1CD1F43E"/>
    <w:rsid w:val="1CD4078D"/>
    <w:rsid w:val="1CDBDADA"/>
    <w:rsid w:val="1CE0A2E1"/>
    <w:rsid w:val="1CE79145"/>
    <w:rsid w:val="1CEF81EE"/>
    <w:rsid w:val="1D026A0C"/>
    <w:rsid w:val="1D07DDBB"/>
    <w:rsid w:val="1D18CCE5"/>
    <w:rsid w:val="1D26A79C"/>
    <w:rsid w:val="1D2D58F4"/>
    <w:rsid w:val="1D308E25"/>
    <w:rsid w:val="1D324832"/>
    <w:rsid w:val="1D3684F9"/>
    <w:rsid w:val="1D3BD108"/>
    <w:rsid w:val="1D3EC294"/>
    <w:rsid w:val="1D4647A2"/>
    <w:rsid w:val="1D556A2D"/>
    <w:rsid w:val="1D56CC3F"/>
    <w:rsid w:val="1D5CFE5D"/>
    <w:rsid w:val="1D648B08"/>
    <w:rsid w:val="1D656B10"/>
    <w:rsid w:val="1D70B990"/>
    <w:rsid w:val="1D749345"/>
    <w:rsid w:val="1D79172F"/>
    <w:rsid w:val="1D7F81E6"/>
    <w:rsid w:val="1D84F022"/>
    <w:rsid w:val="1D95BBF9"/>
    <w:rsid w:val="1D983A99"/>
    <w:rsid w:val="1DA0DF54"/>
    <w:rsid w:val="1DA24697"/>
    <w:rsid w:val="1DB5805E"/>
    <w:rsid w:val="1DB6362D"/>
    <w:rsid w:val="1DB7A5EC"/>
    <w:rsid w:val="1DBA8AD7"/>
    <w:rsid w:val="1DBC7D7D"/>
    <w:rsid w:val="1DD224D0"/>
    <w:rsid w:val="1DD66877"/>
    <w:rsid w:val="1DDB8483"/>
    <w:rsid w:val="1DE82C4B"/>
    <w:rsid w:val="1DECFED7"/>
    <w:rsid w:val="1E02E562"/>
    <w:rsid w:val="1E0ED396"/>
    <w:rsid w:val="1E12384C"/>
    <w:rsid w:val="1E235C9A"/>
    <w:rsid w:val="1E23B256"/>
    <w:rsid w:val="1E2B98AD"/>
    <w:rsid w:val="1E2D11F9"/>
    <w:rsid w:val="1E2DDEDB"/>
    <w:rsid w:val="1E3478E2"/>
    <w:rsid w:val="1E3F91FB"/>
    <w:rsid w:val="1E422792"/>
    <w:rsid w:val="1E53F1C8"/>
    <w:rsid w:val="1E57D94C"/>
    <w:rsid w:val="1E5EC9E8"/>
    <w:rsid w:val="1E5F90AB"/>
    <w:rsid w:val="1E6FAE67"/>
    <w:rsid w:val="1E7CCD53"/>
    <w:rsid w:val="1E828A8F"/>
    <w:rsid w:val="1E8F1BDF"/>
    <w:rsid w:val="1EA79D60"/>
    <w:rsid w:val="1EC708E1"/>
    <w:rsid w:val="1ECC0AB5"/>
    <w:rsid w:val="1ECF7CB7"/>
    <w:rsid w:val="1ED4F586"/>
    <w:rsid w:val="1ED61DC5"/>
    <w:rsid w:val="1ED787EC"/>
    <w:rsid w:val="1ED83EE3"/>
    <w:rsid w:val="1EDB7022"/>
    <w:rsid w:val="1EDE5B41"/>
    <w:rsid w:val="1EE88D56"/>
    <w:rsid w:val="1EEF5558"/>
    <w:rsid w:val="1EFF9AB8"/>
    <w:rsid w:val="1F01ED39"/>
    <w:rsid w:val="1F02E0F4"/>
    <w:rsid w:val="1F054983"/>
    <w:rsid w:val="1F103930"/>
    <w:rsid w:val="1F11427C"/>
    <w:rsid w:val="1F19FEA9"/>
    <w:rsid w:val="1F231304"/>
    <w:rsid w:val="1F246137"/>
    <w:rsid w:val="1F29D582"/>
    <w:rsid w:val="1F2D10B3"/>
    <w:rsid w:val="1F4707BA"/>
    <w:rsid w:val="1F4E9A4B"/>
    <w:rsid w:val="1F587BD2"/>
    <w:rsid w:val="1F595A03"/>
    <w:rsid w:val="1F603525"/>
    <w:rsid w:val="1F60719B"/>
    <w:rsid w:val="1F648843"/>
    <w:rsid w:val="1F6F88C8"/>
    <w:rsid w:val="1F71ECAE"/>
    <w:rsid w:val="1F790398"/>
    <w:rsid w:val="1F7F429E"/>
    <w:rsid w:val="1F9A4032"/>
    <w:rsid w:val="1F9CC641"/>
    <w:rsid w:val="1F9E2A43"/>
    <w:rsid w:val="1F9EB5C3"/>
    <w:rsid w:val="1FA05315"/>
    <w:rsid w:val="1FA54816"/>
    <w:rsid w:val="1FA76D1D"/>
    <w:rsid w:val="1FA9B28A"/>
    <w:rsid w:val="1FB2F3CC"/>
    <w:rsid w:val="1FB3C988"/>
    <w:rsid w:val="1FB71977"/>
    <w:rsid w:val="1FC0604B"/>
    <w:rsid w:val="1FD1B823"/>
    <w:rsid w:val="1FD3AFDE"/>
    <w:rsid w:val="1FD68CE2"/>
    <w:rsid w:val="1FE09300"/>
    <w:rsid w:val="1FE2E296"/>
    <w:rsid w:val="1FE49DCC"/>
    <w:rsid w:val="1FE834F8"/>
    <w:rsid w:val="1FEADE25"/>
    <w:rsid w:val="1FEE2A1B"/>
    <w:rsid w:val="1FF26E60"/>
    <w:rsid w:val="200ABA6E"/>
    <w:rsid w:val="20119733"/>
    <w:rsid w:val="20225BA5"/>
    <w:rsid w:val="202299E1"/>
    <w:rsid w:val="202A9D11"/>
    <w:rsid w:val="202C223A"/>
    <w:rsid w:val="2038CA2C"/>
    <w:rsid w:val="203AF5AA"/>
    <w:rsid w:val="20416983"/>
    <w:rsid w:val="2042BD29"/>
    <w:rsid w:val="20465F29"/>
    <w:rsid w:val="204CE41B"/>
    <w:rsid w:val="204EE93A"/>
    <w:rsid w:val="205B7B85"/>
    <w:rsid w:val="207394BE"/>
    <w:rsid w:val="2077B1BD"/>
    <w:rsid w:val="20784DBF"/>
    <w:rsid w:val="208DA6EC"/>
    <w:rsid w:val="2099E5C5"/>
    <w:rsid w:val="209FE731"/>
    <w:rsid w:val="20AC05C7"/>
    <w:rsid w:val="20BCC821"/>
    <w:rsid w:val="20BF01C3"/>
    <w:rsid w:val="20BFA7FE"/>
    <w:rsid w:val="20C07F7C"/>
    <w:rsid w:val="20C1147B"/>
    <w:rsid w:val="20C172F3"/>
    <w:rsid w:val="20C61932"/>
    <w:rsid w:val="20C6909C"/>
    <w:rsid w:val="20C81D5D"/>
    <w:rsid w:val="20CD0447"/>
    <w:rsid w:val="20CE881B"/>
    <w:rsid w:val="20D03BD9"/>
    <w:rsid w:val="20D5AEC1"/>
    <w:rsid w:val="20DED43B"/>
    <w:rsid w:val="20DFD4A8"/>
    <w:rsid w:val="20E558DF"/>
    <w:rsid w:val="20E6F91D"/>
    <w:rsid w:val="20F0923A"/>
    <w:rsid w:val="20F267DC"/>
    <w:rsid w:val="20F35617"/>
    <w:rsid w:val="20F5A87C"/>
    <w:rsid w:val="20F82C9D"/>
    <w:rsid w:val="20FC8BD3"/>
    <w:rsid w:val="20FF24B8"/>
    <w:rsid w:val="210749F6"/>
    <w:rsid w:val="21173CFE"/>
    <w:rsid w:val="2125DDD8"/>
    <w:rsid w:val="212D0C1F"/>
    <w:rsid w:val="212D2552"/>
    <w:rsid w:val="2131FABC"/>
    <w:rsid w:val="21324E6D"/>
    <w:rsid w:val="21358FD1"/>
    <w:rsid w:val="213C7CB9"/>
    <w:rsid w:val="213F2726"/>
    <w:rsid w:val="2152550A"/>
    <w:rsid w:val="215B070D"/>
    <w:rsid w:val="21667E3F"/>
    <w:rsid w:val="216A6C87"/>
    <w:rsid w:val="216C09F1"/>
    <w:rsid w:val="21762C8E"/>
    <w:rsid w:val="2176FEC6"/>
    <w:rsid w:val="2179E857"/>
    <w:rsid w:val="217EC20D"/>
    <w:rsid w:val="218164CF"/>
    <w:rsid w:val="2187CBB9"/>
    <w:rsid w:val="21899D9C"/>
    <w:rsid w:val="219C30F7"/>
    <w:rsid w:val="219E0E0E"/>
    <w:rsid w:val="21AB3891"/>
    <w:rsid w:val="21AFD2B4"/>
    <w:rsid w:val="21B1040A"/>
    <w:rsid w:val="21D49A8D"/>
    <w:rsid w:val="21DE9620"/>
    <w:rsid w:val="21E581BF"/>
    <w:rsid w:val="21E5A2EC"/>
    <w:rsid w:val="21F58E99"/>
    <w:rsid w:val="220713D0"/>
    <w:rsid w:val="22174530"/>
    <w:rsid w:val="2218715D"/>
    <w:rsid w:val="221A37EC"/>
    <w:rsid w:val="2221CFC0"/>
    <w:rsid w:val="22229E6A"/>
    <w:rsid w:val="222422C3"/>
    <w:rsid w:val="2224D2F1"/>
    <w:rsid w:val="222F3935"/>
    <w:rsid w:val="2230FE09"/>
    <w:rsid w:val="223B7EF5"/>
    <w:rsid w:val="223E0F7B"/>
    <w:rsid w:val="223E2683"/>
    <w:rsid w:val="224367B2"/>
    <w:rsid w:val="2244E261"/>
    <w:rsid w:val="22453AEB"/>
    <w:rsid w:val="22496FA4"/>
    <w:rsid w:val="225212AE"/>
    <w:rsid w:val="2252E77E"/>
    <w:rsid w:val="2260FE86"/>
    <w:rsid w:val="2265B526"/>
    <w:rsid w:val="22704764"/>
    <w:rsid w:val="22727B67"/>
    <w:rsid w:val="2275D48E"/>
    <w:rsid w:val="227BCB26"/>
    <w:rsid w:val="22837129"/>
    <w:rsid w:val="229AC3AF"/>
    <w:rsid w:val="229FB61F"/>
    <w:rsid w:val="22A321FE"/>
    <w:rsid w:val="22A809ED"/>
    <w:rsid w:val="22B16462"/>
    <w:rsid w:val="22B1A4B5"/>
    <w:rsid w:val="22B536F4"/>
    <w:rsid w:val="22B63B0C"/>
    <w:rsid w:val="22C3D0DB"/>
    <w:rsid w:val="22C5E798"/>
    <w:rsid w:val="22CAF9A6"/>
    <w:rsid w:val="22DF1955"/>
    <w:rsid w:val="22E157A5"/>
    <w:rsid w:val="22E63CAF"/>
    <w:rsid w:val="22EE097E"/>
    <w:rsid w:val="22F20EB1"/>
    <w:rsid w:val="23046BA0"/>
    <w:rsid w:val="2304803E"/>
    <w:rsid w:val="2304A729"/>
    <w:rsid w:val="231D744F"/>
    <w:rsid w:val="23241975"/>
    <w:rsid w:val="2324D590"/>
    <w:rsid w:val="232C5B95"/>
    <w:rsid w:val="23324B14"/>
    <w:rsid w:val="233372F1"/>
    <w:rsid w:val="23385495"/>
    <w:rsid w:val="2340FE69"/>
    <w:rsid w:val="234224BF"/>
    <w:rsid w:val="2346353F"/>
    <w:rsid w:val="234CD46B"/>
    <w:rsid w:val="234D3D1D"/>
    <w:rsid w:val="23551973"/>
    <w:rsid w:val="23623D27"/>
    <w:rsid w:val="2366852A"/>
    <w:rsid w:val="236EA09B"/>
    <w:rsid w:val="2371A602"/>
    <w:rsid w:val="2371F0C3"/>
    <w:rsid w:val="2379F78A"/>
    <w:rsid w:val="2387E589"/>
    <w:rsid w:val="238BED69"/>
    <w:rsid w:val="2393CCF4"/>
    <w:rsid w:val="23A0CBE0"/>
    <w:rsid w:val="23A2241D"/>
    <w:rsid w:val="23A3535E"/>
    <w:rsid w:val="23A3C811"/>
    <w:rsid w:val="23AF29D6"/>
    <w:rsid w:val="23AF5718"/>
    <w:rsid w:val="23C366FB"/>
    <w:rsid w:val="23CE8245"/>
    <w:rsid w:val="23D6B994"/>
    <w:rsid w:val="23D93378"/>
    <w:rsid w:val="23D95D89"/>
    <w:rsid w:val="23DCC808"/>
    <w:rsid w:val="23DD4AE4"/>
    <w:rsid w:val="23E23E07"/>
    <w:rsid w:val="23E766F1"/>
    <w:rsid w:val="23EB054A"/>
    <w:rsid w:val="23F21B8E"/>
    <w:rsid w:val="23F2227C"/>
    <w:rsid w:val="24019F72"/>
    <w:rsid w:val="24148515"/>
    <w:rsid w:val="2415039D"/>
    <w:rsid w:val="242A7CF3"/>
    <w:rsid w:val="24423443"/>
    <w:rsid w:val="244412E8"/>
    <w:rsid w:val="244887F2"/>
    <w:rsid w:val="245B00B8"/>
    <w:rsid w:val="245F6177"/>
    <w:rsid w:val="245FF7DE"/>
    <w:rsid w:val="246085D5"/>
    <w:rsid w:val="2467CA25"/>
    <w:rsid w:val="2468B608"/>
    <w:rsid w:val="246B5C55"/>
    <w:rsid w:val="246EBE6E"/>
    <w:rsid w:val="247BE1FD"/>
    <w:rsid w:val="2489D54D"/>
    <w:rsid w:val="248A94AA"/>
    <w:rsid w:val="248BA7F7"/>
    <w:rsid w:val="248F6101"/>
    <w:rsid w:val="2492AB78"/>
    <w:rsid w:val="24989F50"/>
    <w:rsid w:val="249CF053"/>
    <w:rsid w:val="24A14281"/>
    <w:rsid w:val="24A5AC69"/>
    <w:rsid w:val="24A7CB17"/>
    <w:rsid w:val="24AF9AA3"/>
    <w:rsid w:val="24B0545D"/>
    <w:rsid w:val="24B525B2"/>
    <w:rsid w:val="24B7BF7E"/>
    <w:rsid w:val="24C188E3"/>
    <w:rsid w:val="24CD2719"/>
    <w:rsid w:val="24CDA129"/>
    <w:rsid w:val="24CF0E69"/>
    <w:rsid w:val="24D12B31"/>
    <w:rsid w:val="24E532AD"/>
    <w:rsid w:val="24F2C7F2"/>
    <w:rsid w:val="24F33351"/>
    <w:rsid w:val="25003321"/>
    <w:rsid w:val="2501DC45"/>
    <w:rsid w:val="2503DA97"/>
    <w:rsid w:val="25047130"/>
    <w:rsid w:val="2512F1EB"/>
    <w:rsid w:val="2513FEFE"/>
    <w:rsid w:val="251A6CD7"/>
    <w:rsid w:val="2527C3DD"/>
    <w:rsid w:val="252B4238"/>
    <w:rsid w:val="252CC8C3"/>
    <w:rsid w:val="252E5B50"/>
    <w:rsid w:val="2533A098"/>
    <w:rsid w:val="2537359F"/>
    <w:rsid w:val="2546B241"/>
    <w:rsid w:val="254AFA37"/>
    <w:rsid w:val="254B22E0"/>
    <w:rsid w:val="25541B9D"/>
    <w:rsid w:val="2559FEE1"/>
    <w:rsid w:val="255F22C6"/>
    <w:rsid w:val="25637F62"/>
    <w:rsid w:val="25689ECB"/>
    <w:rsid w:val="256D815C"/>
    <w:rsid w:val="256DD752"/>
    <w:rsid w:val="25708E5A"/>
    <w:rsid w:val="257E8D81"/>
    <w:rsid w:val="2589B370"/>
    <w:rsid w:val="258D4027"/>
    <w:rsid w:val="25974D79"/>
    <w:rsid w:val="259CF3ED"/>
    <w:rsid w:val="25A37B03"/>
    <w:rsid w:val="25AABBCF"/>
    <w:rsid w:val="25AD7550"/>
    <w:rsid w:val="25AEA863"/>
    <w:rsid w:val="25B3D58B"/>
    <w:rsid w:val="25B811F3"/>
    <w:rsid w:val="25C26703"/>
    <w:rsid w:val="25CCA879"/>
    <w:rsid w:val="25CD3944"/>
    <w:rsid w:val="25CE8087"/>
    <w:rsid w:val="25D2C789"/>
    <w:rsid w:val="25D3602D"/>
    <w:rsid w:val="25D3D9BE"/>
    <w:rsid w:val="25DA3CC1"/>
    <w:rsid w:val="25E39BD3"/>
    <w:rsid w:val="25E4B35B"/>
    <w:rsid w:val="25E70E45"/>
    <w:rsid w:val="25EAA4C5"/>
    <w:rsid w:val="25F1DF17"/>
    <w:rsid w:val="26015C46"/>
    <w:rsid w:val="2607F38B"/>
    <w:rsid w:val="2608111D"/>
    <w:rsid w:val="2614A8F5"/>
    <w:rsid w:val="2619D6AF"/>
    <w:rsid w:val="262B032A"/>
    <w:rsid w:val="2631542A"/>
    <w:rsid w:val="2638A396"/>
    <w:rsid w:val="26554092"/>
    <w:rsid w:val="2656032D"/>
    <w:rsid w:val="265EBE43"/>
    <w:rsid w:val="26634F8F"/>
    <w:rsid w:val="26652C19"/>
    <w:rsid w:val="2668978B"/>
    <w:rsid w:val="266C3C39"/>
    <w:rsid w:val="267A104D"/>
    <w:rsid w:val="2686685D"/>
    <w:rsid w:val="26A1DB9B"/>
    <w:rsid w:val="26B318E7"/>
    <w:rsid w:val="26B8D355"/>
    <w:rsid w:val="26C644EF"/>
    <w:rsid w:val="26CDFBE1"/>
    <w:rsid w:val="26EB2A0A"/>
    <w:rsid w:val="26F757FB"/>
    <w:rsid w:val="271F40EF"/>
    <w:rsid w:val="27218E3D"/>
    <w:rsid w:val="272357B6"/>
    <w:rsid w:val="2723C419"/>
    <w:rsid w:val="272C434F"/>
    <w:rsid w:val="2752C0A9"/>
    <w:rsid w:val="2756ED83"/>
    <w:rsid w:val="275B1BA5"/>
    <w:rsid w:val="275E3E1D"/>
    <w:rsid w:val="275FD7D4"/>
    <w:rsid w:val="276030F1"/>
    <w:rsid w:val="2761C4F7"/>
    <w:rsid w:val="2765602E"/>
    <w:rsid w:val="27711257"/>
    <w:rsid w:val="277359B4"/>
    <w:rsid w:val="2779E0E4"/>
    <w:rsid w:val="277B6568"/>
    <w:rsid w:val="27837F7B"/>
    <w:rsid w:val="278AE25E"/>
    <w:rsid w:val="27A425D6"/>
    <w:rsid w:val="27B51B78"/>
    <w:rsid w:val="27CDFCF0"/>
    <w:rsid w:val="27CF0228"/>
    <w:rsid w:val="27DD5012"/>
    <w:rsid w:val="27DEE525"/>
    <w:rsid w:val="27DFB481"/>
    <w:rsid w:val="27E865D0"/>
    <w:rsid w:val="27F4269D"/>
    <w:rsid w:val="27F90CB5"/>
    <w:rsid w:val="27FE4BCF"/>
    <w:rsid w:val="28023EC5"/>
    <w:rsid w:val="280B6700"/>
    <w:rsid w:val="280C5F7F"/>
    <w:rsid w:val="2812077D"/>
    <w:rsid w:val="2813789D"/>
    <w:rsid w:val="281E54F9"/>
    <w:rsid w:val="2824A0E9"/>
    <w:rsid w:val="28283665"/>
    <w:rsid w:val="282AB572"/>
    <w:rsid w:val="28334867"/>
    <w:rsid w:val="2833F29E"/>
    <w:rsid w:val="283D01DC"/>
    <w:rsid w:val="283F629F"/>
    <w:rsid w:val="2841D74E"/>
    <w:rsid w:val="2843B8DE"/>
    <w:rsid w:val="284924C6"/>
    <w:rsid w:val="284B9E85"/>
    <w:rsid w:val="284ECF51"/>
    <w:rsid w:val="286AB683"/>
    <w:rsid w:val="28705703"/>
    <w:rsid w:val="287AB937"/>
    <w:rsid w:val="2884B351"/>
    <w:rsid w:val="288F14BE"/>
    <w:rsid w:val="2895CF99"/>
    <w:rsid w:val="289D6588"/>
    <w:rsid w:val="28A8D5B0"/>
    <w:rsid w:val="28B55C6E"/>
    <w:rsid w:val="28BA080D"/>
    <w:rsid w:val="28CE85E1"/>
    <w:rsid w:val="28D22084"/>
    <w:rsid w:val="28D5DC88"/>
    <w:rsid w:val="28E9C061"/>
    <w:rsid w:val="2903B369"/>
    <w:rsid w:val="29199639"/>
    <w:rsid w:val="29227DA9"/>
    <w:rsid w:val="292FCAA6"/>
    <w:rsid w:val="29311478"/>
    <w:rsid w:val="29432255"/>
    <w:rsid w:val="2943BC4E"/>
    <w:rsid w:val="2944B65C"/>
    <w:rsid w:val="2946ACAD"/>
    <w:rsid w:val="2946D51E"/>
    <w:rsid w:val="2956D37F"/>
    <w:rsid w:val="2969A2A5"/>
    <w:rsid w:val="2969D0B0"/>
    <w:rsid w:val="29731ACE"/>
    <w:rsid w:val="29758CFE"/>
    <w:rsid w:val="29814A6B"/>
    <w:rsid w:val="29852806"/>
    <w:rsid w:val="29853F34"/>
    <w:rsid w:val="298B6155"/>
    <w:rsid w:val="2990F79D"/>
    <w:rsid w:val="2994A067"/>
    <w:rsid w:val="29987C7F"/>
    <w:rsid w:val="29993CEC"/>
    <w:rsid w:val="29A7BF78"/>
    <w:rsid w:val="29A81DA8"/>
    <w:rsid w:val="29B10E3B"/>
    <w:rsid w:val="29B2AFA4"/>
    <w:rsid w:val="29B852D5"/>
    <w:rsid w:val="29B8A5F0"/>
    <w:rsid w:val="29C2EE01"/>
    <w:rsid w:val="29C4A397"/>
    <w:rsid w:val="29C757EA"/>
    <w:rsid w:val="29DCADFA"/>
    <w:rsid w:val="29E59B4A"/>
    <w:rsid w:val="29E7CC27"/>
    <w:rsid w:val="29E93F57"/>
    <w:rsid w:val="29EB0378"/>
    <w:rsid w:val="29EC3705"/>
    <w:rsid w:val="29F04BFC"/>
    <w:rsid w:val="2A01236E"/>
    <w:rsid w:val="2A06DFA4"/>
    <w:rsid w:val="2A073C7C"/>
    <w:rsid w:val="2A09D55C"/>
    <w:rsid w:val="2A0BC980"/>
    <w:rsid w:val="2A0FA367"/>
    <w:rsid w:val="2A1F3005"/>
    <w:rsid w:val="2A2162DE"/>
    <w:rsid w:val="2A252E27"/>
    <w:rsid w:val="2A31068B"/>
    <w:rsid w:val="2A33347D"/>
    <w:rsid w:val="2A38E5D7"/>
    <w:rsid w:val="2A38F42E"/>
    <w:rsid w:val="2A3C14AA"/>
    <w:rsid w:val="2A3C3C92"/>
    <w:rsid w:val="2A3EC308"/>
    <w:rsid w:val="2A4381E0"/>
    <w:rsid w:val="2A50DAA2"/>
    <w:rsid w:val="2A55C1B1"/>
    <w:rsid w:val="2A569771"/>
    <w:rsid w:val="2A585C85"/>
    <w:rsid w:val="2A58DFB8"/>
    <w:rsid w:val="2A5AB54C"/>
    <w:rsid w:val="2A5AC68C"/>
    <w:rsid w:val="2A64F5E0"/>
    <w:rsid w:val="2A69409A"/>
    <w:rsid w:val="2A7FE582"/>
    <w:rsid w:val="2A861560"/>
    <w:rsid w:val="2A8BE17E"/>
    <w:rsid w:val="2A8DE913"/>
    <w:rsid w:val="2A915927"/>
    <w:rsid w:val="2A94F594"/>
    <w:rsid w:val="2A9E3C4C"/>
    <w:rsid w:val="2A9FEAF8"/>
    <w:rsid w:val="2AAB7BC3"/>
    <w:rsid w:val="2AAE7ADB"/>
    <w:rsid w:val="2AB3FC5E"/>
    <w:rsid w:val="2AB5669A"/>
    <w:rsid w:val="2AB950B8"/>
    <w:rsid w:val="2AB9B36E"/>
    <w:rsid w:val="2ABF4FC9"/>
    <w:rsid w:val="2ABFDA82"/>
    <w:rsid w:val="2AC26664"/>
    <w:rsid w:val="2AC3D5B0"/>
    <w:rsid w:val="2AC482BA"/>
    <w:rsid w:val="2AD2F53B"/>
    <w:rsid w:val="2AD73985"/>
    <w:rsid w:val="2ADE0A95"/>
    <w:rsid w:val="2AE37F18"/>
    <w:rsid w:val="2AE65312"/>
    <w:rsid w:val="2AE96870"/>
    <w:rsid w:val="2AF4EEA6"/>
    <w:rsid w:val="2AF5583B"/>
    <w:rsid w:val="2AFA1575"/>
    <w:rsid w:val="2AFE2D43"/>
    <w:rsid w:val="2B04B629"/>
    <w:rsid w:val="2B0A456E"/>
    <w:rsid w:val="2B0F927E"/>
    <w:rsid w:val="2B14ED67"/>
    <w:rsid w:val="2B2334D9"/>
    <w:rsid w:val="2B245A2A"/>
    <w:rsid w:val="2B2AE766"/>
    <w:rsid w:val="2B2C1C48"/>
    <w:rsid w:val="2B32207A"/>
    <w:rsid w:val="2B3653CB"/>
    <w:rsid w:val="2B429771"/>
    <w:rsid w:val="2B44F8D3"/>
    <w:rsid w:val="2B46AECA"/>
    <w:rsid w:val="2B54B6BE"/>
    <w:rsid w:val="2B561084"/>
    <w:rsid w:val="2B5E2730"/>
    <w:rsid w:val="2B5EBE62"/>
    <w:rsid w:val="2B5F17FF"/>
    <w:rsid w:val="2B61356C"/>
    <w:rsid w:val="2B64D6EC"/>
    <w:rsid w:val="2B6C52D9"/>
    <w:rsid w:val="2B7B2363"/>
    <w:rsid w:val="2B7BEC6B"/>
    <w:rsid w:val="2B7DFE92"/>
    <w:rsid w:val="2B83833C"/>
    <w:rsid w:val="2B8533B9"/>
    <w:rsid w:val="2B866D3F"/>
    <w:rsid w:val="2B914C6D"/>
    <w:rsid w:val="2B936285"/>
    <w:rsid w:val="2BA3BE53"/>
    <w:rsid w:val="2BD04DF6"/>
    <w:rsid w:val="2BD61576"/>
    <w:rsid w:val="2BD817F0"/>
    <w:rsid w:val="2BE14D68"/>
    <w:rsid w:val="2BE7A382"/>
    <w:rsid w:val="2C0238F6"/>
    <w:rsid w:val="2C05BF22"/>
    <w:rsid w:val="2C0BDC58"/>
    <w:rsid w:val="2C0F283C"/>
    <w:rsid w:val="2C161DC5"/>
    <w:rsid w:val="2C1CC949"/>
    <w:rsid w:val="2C219109"/>
    <w:rsid w:val="2C287466"/>
    <w:rsid w:val="2C3465DF"/>
    <w:rsid w:val="2C3B050A"/>
    <w:rsid w:val="2C40DD12"/>
    <w:rsid w:val="2C41490E"/>
    <w:rsid w:val="2C457916"/>
    <w:rsid w:val="2C4E5F1E"/>
    <w:rsid w:val="2C4ECEAC"/>
    <w:rsid w:val="2C5136FB"/>
    <w:rsid w:val="2C5C3AD6"/>
    <w:rsid w:val="2C612E38"/>
    <w:rsid w:val="2C728DE6"/>
    <w:rsid w:val="2C74D2DF"/>
    <w:rsid w:val="2C7A235C"/>
    <w:rsid w:val="2C7A3A5C"/>
    <w:rsid w:val="2C898F68"/>
    <w:rsid w:val="2C8F30C3"/>
    <w:rsid w:val="2C8F3B8D"/>
    <w:rsid w:val="2C90BF07"/>
    <w:rsid w:val="2C9BE001"/>
    <w:rsid w:val="2C9BE4E1"/>
    <w:rsid w:val="2CA52BF7"/>
    <w:rsid w:val="2CA5C1CE"/>
    <w:rsid w:val="2CA997D7"/>
    <w:rsid w:val="2CAE9BC0"/>
    <w:rsid w:val="2CB8FD27"/>
    <w:rsid w:val="2CBB576B"/>
    <w:rsid w:val="2CC68AB7"/>
    <w:rsid w:val="2CC6B7C7"/>
    <w:rsid w:val="2CCB3B69"/>
    <w:rsid w:val="2CCE67E4"/>
    <w:rsid w:val="2CD647AE"/>
    <w:rsid w:val="2CD741BB"/>
    <w:rsid w:val="2CD9C93E"/>
    <w:rsid w:val="2CE1E949"/>
    <w:rsid w:val="2CE7A558"/>
    <w:rsid w:val="2CE9DA2C"/>
    <w:rsid w:val="2CEA3915"/>
    <w:rsid w:val="2CF5027C"/>
    <w:rsid w:val="2D0817D4"/>
    <w:rsid w:val="2D179AB5"/>
    <w:rsid w:val="2D188AB0"/>
    <w:rsid w:val="2D267E44"/>
    <w:rsid w:val="2D281069"/>
    <w:rsid w:val="2D28C064"/>
    <w:rsid w:val="2D3C2B18"/>
    <w:rsid w:val="2D3D0C68"/>
    <w:rsid w:val="2D3DDE0B"/>
    <w:rsid w:val="2D489C87"/>
    <w:rsid w:val="2D4B6793"/>
    <w:rsid w:val="2D62E45B"/>
    <w:rsid w:val="2D6A3B80"/>
    <w:rsid w:val="2D7DA5FA"/>
    <w:rsid w:val="2D801308"/>
    <w:rsid w:val="2D820048"/>
    <w:rsid w:val="2D84DE08"/>
    <w:rsid w:val="2D869FCB"/>
    <w:rsid w:val="2D8889F8"/>
    <w:rsid w:val="2D8DEAD8"/>
    <w:rsid w:val="2D8E8273"/>
    <w:rsid w:val="2D900AD3"/>
    <w:rsid w:val="2D9026D3"/>
    <w:rsid w:val="2D958746"/>
    <w:rsid w:val="2D99B2EB"/>
    <w:rsid w:val="2D9E9CF9"/>
    <w:rsid w:val="2DA1E18B"/>
    <w:rsid w:val="2DAA9120"/>
    <w:rsid w:val="2DB9341F"/>
    <w:rsid w:val="2DC0D2AD"/>
    <w:rsid w:val="2DC34F08"/>
    <w:rsid w:val="2DC5E035"/>
    <w:rsid w:val="2DDD20DB"/>
    <w:rsid w:val="2DEE2F56"/>
    <w:rsid w:val="2DF1EBDC"/>
    <w:rsid w:val="2DF814EE"/>
    <w:rsid w:val="2DFBD613"/>
    <w:rsid w:val="2DFE0FE8"/>
    <w:rsid w:val="2E00813B"/>
    <w:rsid w:val="2E028653"/>
    <w:rsid w:val="2E03BF75"/>
    <w:rsid w:val="2E0466E6"/>
    <w:rsid w:val="2E12C196"/>
    <w:rsid w:val="2E168512"/>
    <w:rsid w:val="2E1A7552"/>
    <w:rsid w:val="2E219CF6"/>
    <w:rsid w:val="2E2A3F49"/>
    <w:rsid w:val="2E2B6779"/>
    <w:rsid w:val="2E2C7110"/>
    <w:rsid w:val="2E448FD6"/>
    <w:rsid w:val="2E4AB991"/>
    <w:rsid w:val="2E571578"/>
    <w:rsid w:val="2E5BD7E4"/>
    <w:rsid w:val="2E5D7401"/>
    <w:rsid w:val="2E60AFA1"/>
    <w:rsid w:val="2E62F0F7"/>
    <w:rsid w:val="2E6C6D67"/>
    <w:rsid w:val="2E9CFF60"/>
    <w:rsid w:val="2EA11FBB"/>
    <w:rsid w:val="2EABD427"/>
    <w:rsid w:val="2EB674AD"/>
    <w:rsid w:val="2EB813DF"/>
    <w:rsid w:val="2EC02B09"/>
    <w:rsid w:val="2EC4CC8A"/>
    <w:rsid w:val="2ED5E8D9"/>
    <w:rsid w:val="2ED7F123"/>
    <w:rsid w:val="2EF93C1C"/>
    <w:rsid w:val="2EFCE452"/>
    <w:rsid w:val="2EFFA430"/>
    <w:rsid w:val="2F00513A"/>
    <w:rsid w:val="2F00EC1C"/>
    <w:rsid w:val="2F097307"/>
    <w:rsid w:val="2F0A2C3C"/>
    <w:rsid w:val="2F0B0734"/>
    <w:rsid w:val="2F0C6E36"/>
    <w:rsid w:val="2F28249D"/>
    <w:rsid w:val="2F28CE83"/>
    <w:rsid w:val="2F344E4E"/>
    <w:rsid w:val="2F428E94"/>
    <w:rsid w:val="2F430F82"/>
    <w:rsid w:val="2F46EA2E"/>
    <w:rsid w:val="2F47B6AB"/>
    <w:rsid w:val="2F529492"/>
    <w:rsid w:val="2F5E42F6"/>
    <w:rsid w:val="2F605AE8"/>
    <w:rsid w:val="2F638821"/>
    <w:rsid w:val="2F6F3464"/>
    <w:rsid w:val="2F76FF60"/>
    <w:rsid w:val="2F77BC06"/>
    <w:rsid w:val="2F80E735"/>
    <w:rsid w:val="2F86C55C"/>
    <w:rsid w:val="2F978783"/>
    <w:rsid w:val="2F9A7967"/>
    <w:rsid w:val="2FA8189F"/>
    <w:rsid w:val="2FA84C16"/>
    <w:rsid w:val="2FB7A82D"/>
    <w:rsid w:val="2FB9AFFE"/>
    <w:rsid w:val="2FBBE4C6"/>
    <w:rsid w:val="2FC0A9CD"/>
    <w:rsid w:val="2FD638A6"/>
    <w:rsid w:val="2FD877CD"/>
    <w:rsid w:val="2FDA47E2"/>
    <w:rsid w:val="2FE0D63D"/>
    <w:rsid w:val="2FEB870D"/>
    <w:rsid w:val="2FED63B7"/>
    <w:rsid w:val="2FF37939"/>
    <w:rsid w:val="2FFA4645"/>
    <w:rsid w:val="2FFD09D9"/>
    <w:rsid w:val="300927BE"/>
    <w:rsid w:val="300F3763"/>
    <w:rsid w:val="3013CE0C"/>
    <w:rsid w:val="3017CA83"/>
    <w:rsid w:val="301F461A"/>
    <w:rsid w:val="30214927"/>
    <w:rsid w:val="30248EED"/>
    <w:rsid w:val="3033A729"/>
    <w:rsid w:val="3039B769"/>
    <w:rsid w:val="3039FF11"/>
    <w:rsid w:val="303C9E77"/>
    <w:rsid w:val="303E0AAE"/>
    <w:rsid w:val="304E999F"/>
    <w:rsid w:val="3051A174"/>
    <w:rsid w:val="3056DE37"/>
    <w:rsid w:val="3058017E"/>
    <w:rsid w:val="30678420"/>
    <w:rsid w:val="307256A7"/>
    <w:rsid w:val="30773152"/>
    <w:rsid w:val="308C95FC"/>
    <w:rsid w:val="308DCC4F"/>
    <w:rsid w:val="30907ECF"/>
    <w:rsid w:val="30A156D1"/>
    <w:rsid w:val="30A3858B"/>
    <w:rsid w:val="30A665CB"/>
    <w:rsid w:val="30AFCC22"/>
    <w:rsid w:val="30B04AAB"/>
    <w:rsid w:val="30B47B79"/>
    <w:rsid w:val="30B84339"/>
    <w:rsid w:val="30BCE009"/>
    <w:rsid w:val="30CCD935"/>
    <w:rsid w:val="30CF5F51"/>
    <w:rsid w:val="30D01EAF"/>
    <w:rsid w:val="30D9F245"/>
    <w:rsid w:val="30DB0EAA"/>
    <w:rsid w:val="30E1F477"/>
    <w:rsid w:val="30E2E50A"/>
    <w:rsid w:val="30F9B26E"/>
    <w:rsid w:val="30FD69C8"/>
    <w:rsid w:val="3107C9D7"/>
    <w:rsid w:val="310C67CF"/>
    <w:rsid w:val="310FB438"/>
    <w:rsid w:val="311172B8"/>
    <w:rsid w:val="31186D8A"/>
    <w:rsid w:val="311B8409"/>
    <w:rsid w:val="312049D2"/>
    <w:rsid w:val="3122CE69"/>
    <w:rsid w:val="31259FAC"/>
    <w:rsid w:val="312C72D8"/>
    <w:rsid w:val="3134B000"/>
    <w:rsid w:val="313A8AAE"/>
    <w:rsid w:val="3154E89F"/>
    <w:rsid w:val="315D7D28"/>
    <w:rsid w:val="315D8DEF"/>
    <w:rsid w:val="31613171"/>
    <w:rsid w:val="3163083B"/>
    <w:rsid w:val="316562B1"/>
    <w:rsid w:val="31681878"/>
    <w:rsid w:val="317080C1"/>
    <w:rsid w:val="31744EA0"/>
    <w:rsid w:val="31786B77"/>
    <w:rsid w:val="317BFE57"/>
    <w:rsid w:val="31843A9A"/>
    <w:rsid w:val="3186C7BD"/>
    <w:rsid w:val="3198BF8E"/>
    <w:rsid w:val="31BC7288"/>
    <w:rsid w:val="31C5338E"/>
    <w:rsid w:val="31CA2E82"/>
    <w:rsid w:val="31CB0278"/>
    <w:rsid w:val="31E57B6E"/>
    <w:rsid w:val="31E79E58"/>
    <w:rsid w:val="31E9C371"/>
    <w:rsid w:val="31EA5F6C"/>
    <w:rsid w:val="31F2E9D4"/>
    <w:rsid w:val="31F8A6F6"/>
    <w:rsid w:val="320D01EC"/>
    <w:rsid w:val="320EFA13"/>
    <w:rsid w:val="321C65B5"/>
    <w:rsid w:val="32256651"/>
    <w:rsid w:val="322676AA"/>
    <w:rsid w:val="322A597D"/>
    <w:rsid w:val="322AF490"/>
    <w:rsid w:val="3231955F"/>
    <w:rsid w:val="323CFAF9"/>
    <w:rsid w:val="32477714"/>
    <w:rsid w:val="325270EC"/>
    <w:rsid w:val="32548A90"/>
    <w:rsid w:val="3257DCE1"/>
    <w:rsid w:val="325A3574"/>
    <w:rsid w:val="325CE816"/>
    <w:rsid w:val="325DED4E"/>
    <w:rsid w:val="3264FA78"/>
    <w:rsid w:val="326B6B22"/>
    <w:rsid w:val="327CE87C"/>
    <w:rsid w:val="327F818D"/>
    <w:rsid w:val="327FF14D"/>
    <w:rsid w:val="32ABBCE0"/>
    <w:rsid w:val="32AF63AA"/>
    <w:rsid w:val="32B256BE"/>
    <w:rsid w:val="32BE9711"/>
    <w:rsid w:val="32CD19C3"/>
    <w:rsid w:val="32D2CDCB"/>
    <w:rsid w:val="32DD0374"/>
    <w:rsid w:val="32E7D6FC"/>
    <w:rsid w:val="32EF24DE"/>
    <w:rsid w:val="3300B89E"/>
    <w:rsid w:val="3302546A"/>
    <w:rsid w:val="3305D8D8"/>
    <w:rsid w:val="33092D2C"/>
    <w:rsid w:val="331800F9"/>
    <w:rsid w:val="3324A60A"/>
    <w:rsid w:val="33284FBA"/>
    <w:rsid w:val="333CAC02"/>
    <w:rsid w:val="333F5B61"/>
    <w:rsid w:val="333FFFB2"/>
    <w:rsid w:val="3346F2E4"/>
    <w:rsid w:val="334BB624"/>
    <w:rsid w:val="3353F086"/>
    <w:rsid w:val="3368ADF8"/>
    <w:rsid w:val="33758777"/>
    <w:rsid w:val="33809F90"/>
    <w:rsid w:val="33812010"/>
    <w:rsid w:val="33820BC3"/>
    <w:rsid w:val="3382F1A2"/>
    <w:rsid w:val="3387F377"/>
    <w:rsid w:val="33931CD0"/>
    <w:rsid w:val="339FD3A9"/>
    <w:rsid w:val="33A314D9"/>
    <w:rsid w:val="33A451BC"/>
    <w:rsid w:val="33AA9EC5"/>
    <w:rsid w:val="33B3A301"/>
    <w:rsid w:val="33B4BD20"/>
    <w:rsid w:val="33B7EA13"/>
    <w:rsid w:val="33E3BA8D"/>
    <w:rsid w:val="33E48105"/>
    <w:rsid w:val="33EBD813"/>
    <w:rsid w:val="33ED85F9"/>
    <w:rsid w:val="33EED66E"/>
    <w:rsid w:val="33F36A2A"/>
    <w:rsid w:val="33FA0502"/>
    <w:rsid w:val="3407BF71"/>
    <w:rsid w:val="341B708C"/>
    <w:rsid w:val="34284575"/>
    <w:rsid w:val="342CE8C9"/>
    <w:rsid w:val="3437B1DB"/>
    <w:rsid w:val="343CE45A"/>
    <w:rsid w:val="3440CB59"/>
    <w:rsid w:val="344188E6"/>
    <w:rsid w:val="3444981A"/>
    <w:rsid w:val="344F7F5E"/>
    <w:rsid w:val="34502149"/>
    <w:rsid w:val="3457E21F"/>
    <w:rsid w:val="345915EE"/>
    <w:rsid w:val="346269F0"/>
    <w:rsid w:val="3465B433"/>
    <w:rsid w:val="346CDA94"/>
    <w:rsid w:val="346FC097"/>
    <w:rsid w:val="34706740"/>
    <w:rsid w:val="347938CA"/>
    <w:rsid w:val="347EE963"/>
    <w:rsid w:val="34830A14"/>
    <w:rsid w:val="3488F3EA"/>
    <w:rsid w:val="348BA0AF"/>
    <w:rsid w:val="348FF944"/>
    <w:rsid w:val="3493FD04"/>
    <w:rsid w:val="3496B87A"/>
    <w:rsid w:val="34B09882"/>
    <w:rsid w:val="34B3D15A"/>
    <w:rsid w:val="34BB5462"/>
    <w:rsid w:val="34C5154D"/>
    <w:rsid w:val="34DB0BD0"/>
    <w:rsid w:val="34DD4E25"/>
    <w:rsid w:val="34EAF209"/>
    <w:rsid w:val="34FC3656"/>
    <w:rsid w:val="350A6BDB"/>
    <w:rsid w:val="350E1271"/>
    <w:rsid w:val="3514A1F8"/>
    <w:rsid w:val="3515BD12"/>
    <w:rsid w:val="352B60D9"/>
    <w:rsid w:val="3530F990"/>
    <w:rsid w:val="353C50C4"/>
    <w:rsid w:val="353E1840"/>
    <w:rsid w:val="353F744B"/>
    <w:rsid w:val="35438FD0"/>
    <w:rsid w:val="3549B9C8"/>
    <w:rsid w:val="3556A82E"/>
    <w:rsid w:val="3557E8D8"/>
    <w:rsid w:val="3558EE3C"/>
    <w:rsid w:val="355AC339"/>
    <w:rsid w:val="35621CA9"/>
    <w:rsid w:val="3569299E"/>
    <w:rsid w:val="356E703D"/>
    <w:rsid w:val="356F9511"/>
    <w:rsid w:val="35721BFC"/>
    <w:rsid w:val="35743CBD"/>
    <w:rsid w:val="35768D13"/>
    <w:rsid w:val="3577383D"/>
    <w:rsid w:val="35778E7A"/>
    <w:rsid w:val="357F5EDF"/>
    <w:rsid w:val="3581FB08"/>
    <w:rsid w:val="3584B2BB"/>
    <w:rsid w:val="35884A27"/>
    <w:rsid w:val="358AA6CF"/>
    <w:rsid w:val="358BA341"/>
    <w:rsid w:val="358BB239"/>
    <w:rsid w:val="358EB65C"/>
    <w:rsid w:val="35956410"/>
    <w:rsid w:val="35A00DCE"/>
    <w:rsid w:val="35ABEB47"/>
    <w:rsid w:val="35B514CB"/>
    <w:rsid w:val="35B68CD5"/>
    <w:rsid w:val="35BACDCB"/>
    <w:rsid w:val="35C4BAA2"/>
    <w:rsid w:val="35D00739"/>
    <w:rsid w:val="35D0684E"/>
    <w:rsid w:val="35D1C295"/>
    <w:rsid w:val="35D1EABD"/>
    <w:rsid w:val="35D2C9A5"/>
    <w:rsid w:val="35D854A7"/>
    <w:rsid w:val="35D88B5C"/>
    <w:rsid w:val="35DDEFB5"/>
    <w:rsid w:val="35EA28A8"/>
    <w:rsid w:val="35ED7019"/>
    <w:rsid w:val="35EFA8BD"/>
    <w:rsid w:val="35F45219"/>
    <w:rsid w:val="3600A6B1"/>
    <w:rsid w:val="36176EBA"/>
    <w:rsid w:val="362A36FF"/>
    <w:rsid w:val="362BEA28"/>
    <w:rsid w:val="3639C545"/>
    <w:rsid w:val="363CBD17"/>
    <w:rsid w:val="36400038"/>
    <w:rsid w:val="36469A2C"/>
    <w:rsid w:val="36480D20"/>
    <w:rsid w:val="364D9539"/>
    <w:rsid w:val="364FA1BB"/>
    <w:rsid w:val="3650DD65"/>
    <w:rsid w:val="365170AF"/>
    <w:rsid w:val="3653B24D"/>
    <w:rsid w:val="365711B3"/>
    <w:rsid w:val="3657EB3E"/>
    <w:rsid w:val="3665731D"/>
    <w:rsid w:val="36666BDF"/>
    <w:rsid w:val="36691E19"/>
    <w:rsid w:val="36701121"/>
    <w:rsid w:val="3671284F"/>
    <w:rsid w:val="36713D75"/>
    <w:rsid w:val="368044F6"/>
    <w:rsid w:val="36860109"/>
    <w:rsid w:val="368D574B"/>
    <w:rsid w:val="3691AFF4"/>
    <w:rsid w:val="3692067D"/>
    <w:rsid w:val="369F8961"/>
    <w:rsid w:val="36A04109"/>
    <w:rsid w:val="36A5921B"/>
    <w:rsid w:val="36A6B347"/>
    <w:rsid w:val="36AAFC09"/>
    <w:rsid w:val="36AEF683"/>
    <w:rsid w:val="36B51955"/>
    <w:rsid w:val="36B561CE"/>
    <w:rsid w:val="36BB7F2C"/>
    <w:rsid w:val="36BF59E7"/>
    <w:rsid w:val="36C73475"/>
    <w:rsid w:val="36C7D85D"/>
    <w:rsid w:val="36E297A1"/>
    <w:rsid w:val="36FAE0BC"/>
    <w:rsid w:val="37014817"/>
    <w:rsid w:val="3701E3C2"/>
    <w:rsid w:val="370F69B3"/>
    <w:rsid w:val="371B4CE5"/>
    <w:rsid w:val="3722715E"/>
    <w:rsid w:val="372A046D"/>
    <w:rsid w:val="372EE710"/>
    <w:rsid w:val="373B6DFA"/>
    <w:rsid w:val="374038D8"/>
    <w:rsid w:val="374AC680"/>
    <w:rsid w:val="374DDAF7"/>
    <w:rsid w:val="3753C3E6"/>
    <w:rsid w:val="37565EF4"/>
    <w:rsid w:val="3756A286"/>
    <w:rsid w:val="37579BAA"/>
    <w:rsid w:val="375B97C2"/>
    <w:rsid w:val="37713FA9"/>
    <w:rsid w:val="37721E96"/>
    <w:rsid w:val="37729FE5"/>
    <w:rsid w:val="3774612F"/>
    <w:rsid w:val="3778F5D7"/>
    <w:rsid w:val="377DBBC0"/>
    <w:rsid w:val="378F0356"/>
    <w:rsid w:val="3794C3B7"/>
    <w:rsid w:val="379ACED0"/>
    <w:rsid w:val="37BB7206"/>
    <w:rsid w:val="37BC5F1D"/>
    <w:rsid w:val="37C703BA"/>
    <w:rsid w:val="37CD548E"/>
    <w:rsid w:val="37D09052"/>
    <w:rsid w:val="37D5C278"/>
    <w:rsid w:val="37EB5BB0"/>
    <w:rsid w:val="37F1FB28"/>
    <w:rsid w:val="37F80158"/>
    <w:rsid w:val="37FBAE76"/>
    <w:rsid w:val="380E1E75"/>
    <w:rsid w:val="38168947"/>
    <w:rsid w:val="381FC6E8"/>
    <w:rsid w:val="38205015"/>
    <w:rsid w:val="38243E01"/>
    <w:rsid w:val="38251001"/>
    <w:rsid w:val="38269080"/>
    <w:rsid w:val="3839C90E"/>
    <w:rsid w:val="3844A04C"/>
    <w:rsid w:val="38471520"/>
    <w:rsid w:val="38493773"/>
    <w:rsid w:val="385539F5"/>
    <w:rsid w:val="385DB829"/>
    <w:rsid w:val="38649DE4"/>
    <w:rsid w:val="3866257B"/>
    <w:rsid w:val="38701EE9"/>
    <w:rsid w:val="3875F88B"/>
    <w:rsid w:val="387D0699"/>
    <w:rsid w:val="3880B75A"/>
    <w:rsid w:val="388A5700"/>
    <w:rsid w:val="388BE80C"/>
    <w:rsid w:val="389C7C9D"/>
    <w:rsid w:val="38A543B6"/>
    <w:rsid w:val="38B51895"/>
    <w:rsid w:val="38B5A4FA"/>
    <w:rsid w:val="38BA493B"/>
    <w:rsid w:val="38BF982E"/>
    <w:rsid w:val="38BFBA9C"/>
    <w:rsid w:val="38C82231"/>
    <w:rsid w:val="38C86E7B"/>
    <w:rsid w:val="38DA152E"/>
    <w:rsid w:val="38DB3094"/>
    <w:rsid w:val="38DC8FB3"/>
    <w:rsid w:val="38E39D62"/>
    <w:rsid w:val="38E74AE7"/>
    <w:rsid w:val="38F7AB50"/>
    <w:rsid w:val="39066752"/>
    <w:rsid w:val="390736BF"/>
    <w:rsid w:val="3908DDBC"/>
    <w:rsid w:val="392A32E0"/>
    <w:rsid w:val="3934A457"/>
    <w:rsid w:val="394209B1"/>
    <w:rsid w:val="394C0BEA"/>
    <w:rsid w:val="394F7BE4"/>
    <w:rsid w:val="39636013"/>
    <w:rsid w:val="396A8952"/>
    <w:rsid w:val="39705966"/>
    <w:rsid w:val="39718B6F"/>
    <w:rsid w:val="3972B6AC"/>
    <w:rsid w:val="3979BC82"/>
    <w:rsid w:val="397A1224"/>
    <w:rsid w:val="397AF630"/>
    <w:rsid w:val="397D4FB7"/>
    <w:rsid w:val="397D9525"/>
    <w:rsid w:val="3984A14D"/>
    <w:rsid w:val="398B2A2F"/>
    <w:rsid w:val="398DE813"/>
    <w:rsid w:val="39975FFF"/>
    <w:rsid w:val="39A3492B"/>
    <w:rsid w:val="39A5737E"/>
    <w:rsid w:val="39A80BA1"/>
    <w:rsid w:val="39AA4BE0"/>
    <w:rsid w:val="39AC9355"/>
    <w:rsid w:val="39B2C0D1"/>
    <w:rsid w:val="39BFFA9B"/>
    <w:rsid w:val="39C0A3A2"/>
    <w:rsid w:val="39CBA08B"/>
    <w:rsid w:val="39E5F65D"/>
    <w:rsid w:val="39EAC947"/>
    <w:rsid w:val="39EFAC96"/>
    <w:rsid w:val="39F1184E"/>
    <w:rsid w:val="39F91997"/>
    <w:rsid w:val="39FE2BB7"/>
    <w:rsid w:val="3A076907"/>
    <w:rsid w:val="3A07FDB8"/>
    <w:rsid w:val="3A0A761D"/>
    <w:rsid w:val="3A0EC621"/>
    <w:rsid w:val="3A1823A2"/>
    <w:rsid w:val="3A1A6273"/>
    <w:rsid w:val="3A2E8C51"/>
    <w:rsid w:val="3A32F35C"/>
    <w:rsid w:val="3A3A7479"/>
    <w:rsid w:val="3A3B0DCB"/>
    <w:rsid w:val="3A40BEAE"/>
    <w:rsid w:val="3A45B9B9"/>
    <w:rsid w:val="3A4DA659"/>
    <w:rsid w:val="3A50D93F"/>
    <w:rsid w:val="3A5A14BD"/>
    <w:rsid w:val="3A5BDF73"/>
    <w:rsid w:val="3A5C791D"/>
    <w:rsid w:val="3A5E17F2"/>
    <w:rsid w:val="3A5EA40F"/>
    <w:rsid w:val="3A60BA3C"/>
    <w:rsid w:val="3A6166A5"/>
    <w:rsid w:val="3A6D0444"/>
    <w:rsid w:val="3A75B0AB"/>
    <w:rsid w:val="3A777A40"/>
    <w:rsid w:val="3A809DB0"/>
    <w:rsid w:val="3A8D4191"/>
    <w:rsid w:val="3A914F0D"/>
    <w:rsid w:val="3A920FFB"/>
    <w:rsid w:val="3A953D5A"/>
    <w:rsid w:val="3AA71FEA"/>
    <w:rsid w:val="3AAC56AE"/>
    <w:rsid w:val="3AB01239"/>
    <w:rsid w:val="3AB6B7AD"/>
    <w:rsid w:val="3ABF76EA"/>
    <w:rsid w:val="3AC0D6F4"/>
    <w:rsid w:val="3AC77001"/>
    <w:rsid w:val="3ACFA230"/>
    <w:rsid w:val="3AD31111"/>
    <w:rsid w:val="3AD9BFDB"/>
    <w:rsid w:val="3ADDCD33"/>
    <w:rsid w:val="3AE47336"/>
    <w:rsid w:val="3AF01528"/>
    <w:rsid w:val="3AF95D9C"/>
    <w:rsid w:val="3AFA536E"/>
    <w:rsid w:val="3B00A821"/>
    <w:rsid w:val="3B12065A"/>
    <w:rsid w:val="3B1748CD"/>
    <w:rsid w:val="3B17D687"/>
    <w:rsid w:val="3B1B9117"/>
    <w:rsid w:val="3B2811DC"/>
    <w:rsid w:val="3B2B149E"/>
    <w:rsid w:val="3B2B8FFE"/>
    <w:rsid w:val="3B398B8C"/>
    <w:rsid w:val="3B3B8527"/>
    <w:rsid w:val="3B3BD16B"/>
    <w:rsid w:val="3B3EB21F"/>
    <w:rsid w:val="3B3F3C3E"/>
    <w:rsid w:val="3B423252"/>
    <w:rsid w:val="3B445E2E"/>
    <w:rsid w:val="3B479C3D"/>
    <w:rsid w:val="3B49F46C"/>
    <w:rsid w:val="3B6179E8"/>
    <w:rsid w:val="3B6424AA"/>
    <w:rsid w:val="3B643EC2"/>
    <w:rsid w:val="3B674C25"/>
    <w:rsid w:val="3B7D07B8"/>
    <w:rsid w:val="3B82E001"/>
    <w:rsid w:val="3B86ABFF"/>
    <w:rsid w:val="3B8A29AD"/>
    <w:rsid w:val="3B8E9C90"/>
    <w:rsid w:val="3B902A65"/>
    <w:rsid w:val="3B9449B3"/>
    <w:rsid w:val="3B97FC01"/>
    <w:rsid w:val="3BA7BFAB"/>
    <w:rsid w:val="3BA8984A"/>
    <w:rsid w:val="3BAA9682"/>
    <w:rsid w:val="3BADF6CB"/>
    <w:rsid w:val="3BBD034C"/>
    <w:rsid w:val="3BBE13B1"/>
    <w:rsid w:val="3BBEE3C5"/>
    <w:rsid w:val="3BC452F7"/>
    <w:rsid w:val="3BC9EAFA"/>
    <w:rsid w:val="3BD2D9DB"/>
    <w:rsid w:val="3BD911B6"/>
    <w:rsid w:val="3BD9A638"/>
    <w:rsid w:val="3BDB652B"/>
    <w:rsid w:val="3BE72B55"/>
    <w:rsid w:val="3BEA948E"/>
    <w:rsid w:val="3BEF239F"/>
    <w:rsid w:val="3BEF7475"/>
    <w:rsid w:val="3BF3B1DE"/>
    <w:rsid w:val="3BF4F923"/>
    <w:rsid w:val="3BF4F968"/>
    <w:rsid w:val="3C044032"/>
    <w:rsid w:val="3C164693"/>
    <w:rsid w:val="3C2FDC77"/>
    <w:rsid w:val="3C34CE23"/>
    <w:rsid w:val="3C3610D2"/>
    <w:rsid w:val="3C3D6827"/>
    <w:rsid w:val="3C4A781B"/>
    <w:rsid w:val="3C528926"/>
    <w:rsid w:val="3C588325"/>
    <w:rsid w:val="3C599F0D"/>
    <w:rsid w:val="3C5D6FEE"/>
    <w:rsid w:val="3C60A048"/>
    <w:rsid w:val="3C6526C6"/>
    <w:rsid w:val="3C66B2AD"/>
    <w:rsid w:val="3C674842"/>
    <w:rsid w:val="3C6AA62E"/>
    <w:rsid w:val="3C6FD52D"/>
    <w:rsid w:val="3C79D030"/>
    <w:rsid w:val="3C7D185E"/>
    <w:rsid w:val="3C809CCD"/>
    <w:rsid w:val="3C8AD918"/>
    <w:rsid w:val="3C8F790E"/>
    <w:rsid w:val="3C98D467"/>
    <w:rsid w:val="3C9C0A0A"/>
    <w:rsid w:val="3CA0701B"/>
    <w:rsid w:val="3CA84B08"/>
    <w:rsid w:val="3CAD474C"/>
    <w:rsid w:val="3CB630D2"/>
    <w:rsid w:val="3CBE7A60"/>
    <w:rsid w:val="3CC5A3C9"/>
    <w:rsid w:val="3CC6F4F8"/>
    <w:rsid w:val="3CC89EAF"/>
    <w:rsid w:val="3CCD5CE9"/>
    <w:rsid w:val="3CD3A826"/>
    <w:rsid w:val="3CD609B8"/>
    <w:rsid w:val="3CD652B2"/>
    <w:rsid w:val="3CE51138"/>
    <w:rsid w:val="3CE7B930"/>
    <w:rsid w:val="3CEB6E70"/>
    <w:rsid w:val="3CEE46DB"/>
    <w:rsid w:val="3CF075B6"/>
    <w:rsid w:val="3CF70B9D"/>
    <w:rsid w:val="3CFC4066"/>
    <w:rsid w:val="3D1101DC"/>
    <w:rsid w:val="3D112451"/>
    <w:rsid w:val="3D115384"/>
    <w:rsid w:val="3D16BC04"/>
    <w:rsid w:val="3D188D79"/>
    <w:rsid w:val="3D2CFDCC"/>
    <w:rsid w:val="3D30C1A9"/>
    <w:rsid w:val="3D3BCB70"/>
    <w:rsid w:val="3D40F0F1"/>
    <w:rsid w:val="3D48E2C2"/>
    <w:rsid w:val="3D4E56AF"/>
    <w:rsid w:val="3D50F031"/>
    <w:rsid w:val="3D5706DA"/>
    <w:rsid w:val="3D5D8A5E"/>
    <w:rsid w:val="3D5F0C5C"/>
    <w:rsid w:val="3D5FE03E"/>
    <w:rsid w:val="3D637E1A"/>
    <w:rsid w:val="3D64CBF6"/>
    <w:rsid w:val="3D67E8EA"/>
    <w:rsid w:val="3D70C5CB"/>
    <w:rsid w:val="3D74E217"/>
    <w:rsid w:val="3D7732F3"/>
    <w:rsid w:val="3D798677"/>
    <w:rsid w:val="3D7B5E45"/>
    <w:rsid w:val="3D7CF278"/>
    <w:rsid w:val="3D985AFE"/>
    <w:rsid w:val="3D9B5F52"/>
    <w:rsid w:val="3DA42171"/>
    <w:rsid w:val="3DA917D9"/>
    <w:rsid w:val="3DAEE111"/>
    <w:rsid w:val="3DB00BF7"/>
    <w:rsid w:val="3DB2461C"/>
    <w:rsid w:val="3DB435D6"/>
    <w:rsid w:val="3DC2F512"/>
    <w:rsid w:val="3DCC0777"/>
    <w:rsid w:val="3DD09E84"/>
    <w:rsid w:val="3DD1FBAF"/>
    <w:rsid w:val="3DD95DA4"/>
    <w:rsid w:val="3DD996F8"/>
    <w:rsid w:val="3DE017F2"/>
    <w:rsid w:val="3DE73B06"/>
    <w:rsid w:val="3DF2D69C"/>
    <w:rsid w:val="3DF421BD"/>
    <w:rsid w:val="3DF8CA6F"/>
    <w:rsid w:val="3E07E90C"/>
    <w:rsid w:val="3E1CF3C8"/>
    <w:rsid w:val="3E1F8F71"/>
    <w:rsid w:val="3E213E38"/>
    <w:rsid w:val="3E2651C2"/>
    <w:rsid w:val="3E2B8C9F"/>
    <w:rsid w:val="3E2EAD4A"/>
    <w:rsid w:val="3E3EBBB9"/>
    <w:rsid w:val="3E46077F"/>
    <w:rsid w:val="3E4CBF3B"/>
    <w:rsid w:val="3E4D5BA0"/>
    <w:rsid w:val="3E6510B7"/>
    <w:rsid w:val="3E6733B2"/>
    <w:rsid w:val="3E7292C9"/>
    <w:rsid w:val="3E751434"/>
    <w:rsid w:val="3E775C98"/>
    <w:rsid w:val="3E782232"/>
    <w:rsid w:val="3E7D11A8"/>
    <w:rsid w:val="3E7F40D3"/>
    <w:rsid w:val="3E846A49"/>
    <w:rsid w:val="3E858875"/>
    <w:rsid w:val="3E85A706"/>
    <w:rsid w:val="3E8B631E"/>
    <w:rsid w:val="3E957F48"/>
    <w:rsid w:val="3E9DDFF1"/>
    <w:rsid w:val="3EA02F41"/>
    <w:rsid w:val="3EA54645"/>
    <w:rsid w:val="3EA61A7E"/>
    <w:rsid w:val="3EA7FCBB"/>
    <w:rsid w:val="3EB3EA4D"/>
    <w:rsid w:val="3EB9472A"/>
    <w:rsid w:val="3EC2294D"/>
    <w:rsid w:val="3EC464B3"/>
    <w:rsid w:val="3EC5E150"/>
    <w:rsid w:val="3EC8CE2D"/>
    <w:rsid w:val="3ECA2F0C"/>
    <w:rsid w:val="3ECAECC3"/>
    <w:rsid w:val="3ECE602D"/>
    <w:rsid w:val="3EDD0E32"/>
    <w:rsid w:val="3EE4C3EE"/>
    <w:rsid w:val="3EE6E6C5"/>
    <w:rsid w:val="3EEFDEE7"/>
    <w:rsid w:val="3F0224DB"/>
    <w:rsid w:val="3F03498D"/>
    <w:rsid w:val="3F17753C"/>
    <w:rsid w:val="3F196AC5"/>
    <w:rsid w:val="3F2A6238"/>
    <w:rsid w:val="3F2A73C4"/>
    <w:rsid w:val="3F318915"/>
    <w:rsid w:val="3F40B695"/>
    <w:rsid w:val="3F463DD0"/>
    <w:rsid w:val="3F493DA4"/>
    <w:rsid w:val="3F557513"/>
    <w:rsid w:val="3F576F58"/>
    <w:rsid w:val="3F60C94D"/>
    <w:rsid w:val="3F6952D5"/>
    <w:rsid w:val="3F70DB9B"/>
    <w:rsid w:val="3F85107F"/>
    <w:rsid w:val="3F8A5A81"/>
    <w:rsid w:val="3F8B38A8"/>
    <w:rsid w:val="3F8B7521"/>
    <w:rsid w:val="3F8BA7B2"/>
    <w:rsid w:val="3F8F03C7"/>
    <w:rsid w:val="3F93A744"/>
    <w:rsid w:val="3F93BB4E"/>
    <w:rsid w:val="3FA935DB"/>
    <w:rsid w:val="3FAC4A5C"/>
    <w:rsid w:val="3FB07370"/>
    <w:rsid w:val="3FB0C5C0"/>
    <w:rsid w:val="3FBA1778"/>
    <w:rsid w:val="3FBC83D8"/>
    <w:rsid w:val="3FC37FEF"/>
    <w:rsid w:val="3FC7186B"/>
    <w:rsid w:val="3FCCA015"/>
    <w:rsid w:val="3FCCE64B"/>
    <w:rsid w:val="3FCED09C"/>
    <w:rsid w:val="3FDCD989"/>
    <w:rsid w:val="3FE0163A"/>
    <w:rsid w:val="3FEAF7B2"/>
    <w:rsid w:val="3FF251CF"/>
    <w:rsid w:val="4002DDE4"/>
    <w:rsid w:val="4006C05B"/>
    <w:rsid w:val="4013B71A"/>
    <w:rsid w:val="4017CF51"/>
    <w:rsid w:val="40189F14"/>
    <w:rsid w:val="401A320A"/>
    <w:rsid w:val="40220230"/>
    <w:rsid w:val="4024F95F"/>
    <w:rsid w:val="402770B5"/>
    <w:rsid w:val="402B740E"/>
    <w:rsid w:val="40341207"/>
    <w:rsid w:val="403A4331"/>
    <w:rsid w:val="403DF4D7"/>
    <w:rsid w:val="403F513A"/>
    <w:rsid w:val="403F87F3"/>
    <w:rsid w:val="40409986"/>
    <w:rsid w:val="40460509"/>
    <w:rsid w:val="405A1998"/>
    <w:rsid w:val="40628FBB"/>
    <w:rsid w:val="407322F0"/>
    <w:rsid w:val="407662BF"/>
    <w:rsid w:val="407CF227"/>
    <w:rsid w:val="408318D6"/>
    <w:rsid w:val="40855416"/>
    <w:rsid w:val="408866E0"/>
    <w:rsid w:val="409A0BA2"/>
    <w:rsid w:val="40A3FACC"/>
    <w:rsid w:val="40BE05B1"/>
    <w:rsid w:val="40C45566"/>
    <w:rsid w:val="40C9ABF1"/>
    <w:rsid w:val="40CAFC0B"/>
    <w:rsid w:val="40D22F65"/>
    <w:rsid w:val="40D42CD2"/>
    <w:rsid w:val="40D607EF"/>
    <w:rsid w:val="40D61F45"/>
    <w:rsid w:val="40D9F51A"/>
    <w:rsid w:val="40DF1F81"/>
    <w:rsid w:val="40F4DE19"/>
    <w:rsid w:val="40FC0AF6"/>
    <w:rsid w:val="41003FFB"/>
    <w:rsid w:val="41052336"/>
    <w:rsid w:val="41063B86"/>
    <w:rsid w:val="41108338"/>
    <w:rsid w:val="41163027"/>
    <w:rsid w:val="4117B8B4"/>
    <w:rsid w:val="41205593"/>
    <w:rsid w:val="41298FD5"/>
    <w:rsid w:val="412A922F"/>
    <w:rsid w:val="4138ADEF"/>
    <w:rsid w:val="413C2B3C"/>
    <w:rsid w:val="413FA69A"/>
    <w:rsid w:val="414686E6"/>
    <w:rsid w:val="414695AC"/>
    <w:rsid w:val="4146E6D4"/>
    <w:rsid w:val="41513EB4"/>
    <w:rsid w:val="4155A2FB"/>
    <w:rsid w:val="416AC1E9"/>
    <w:rsid w:val="416B8CCE"/>
    <w:rsid w:val="416E6658"/>
    <w:rsid w:val="41728D5A"/>
    <w:rsid w:val="417B129F"/>
    <w:rsid w:val="417C4758"/>
    <w:rsid w:val="417D95A5"/>
    <w:rsid w:val="4181198B"/>
    <w:rsid w:val="4184B21B"/>
    <w:rsid w:val="418A2BEC"/>
    <w:rsid w:val="418CF905"/>
    <w:rsid w:val="418E1FDD"/>
    <w:rsid w:val="418F00F7"/>
    <w:rsid w:val="4191B4AE"/>
    <w:rsid w:val="41933309"/>
    <w:rsid w:val="41933461"/>
    <w:rsid w:val="4198E471"/>
    <w:rsid w:val="41AA707F"/>
    <w:rsid w:val="41AD9849"/>
    <w:rsid w:val="41B96809"/>
    <w:rsid w:val="41BDD258"/>
    <w:rsid w:val="41C2868A"/>
    <w:rsid w:val="41C36B93"/>
    <w:rsid w:val="41C86B5F"/>
    <w:rsid w:val="41C9407E"/>
    <w:rsid w:val="41D09868"/>
    <w:rsid w:val="41DF0EDC"/>
    <w:rsid w:val="41DFFE7D"/>
    <w:rsid w:val="41E1BB3D"/>
    <w:rsid w:val="41EAD047"/>
    <w:rsid w:val="41F17A12"/>
    <w:rsid w:val="41F745E5"/>
    <w:rsid w:val="41FE287F"/>
    <w:rsid w:val="4200C30E"/>
    <w:rsid w:val="42123320"/>
    <w:rsid w:val="42247871"/>
    <w:rsid w:val="422C64DC"/>
    <w:rsid w:val="4236D6B6"/>
    <w:rsid w:val="42420F49"/>
    <w:rsid w:val="42435EE3"/>
    <w:rsid w:val="4248533A"/>
    <w:rsid w:val="4250D9AE"/>
    <w:rsid w:val="4251CC4B"/>
    <w:rsid w:val="4256BEE1"/>
    <w:rsid w:val="4262F59C"/>
    <w:rsid w:val="426F7FEF"/>
    <w:rsid w:val="4270FD99"/>
    <w:rsid w:val="427E0712"/>
    <w:rsid w:val="4288FA85"/>
    <w:rsid w:val="428CE6F3"/>
    <w:rsid w:val="42914A02"/>
    <w:rsid w:val="42A8274A"/>
    <w:rsid w:val="42B38915"/>
    <w:rsid w:val="42B9BA73"/>
    <w:rsid w:val="42BBCF6D"/>
    <w:rsid w:val="42BC9EB6"/>
    <w:rsid w:val="42C948BF"/>
    <w:rsid w:val="42D95399"/>
    <w:rsid w:val="42E0A7B6"/>
    <w:rsid w:val="42E80639"/>
    <w:rsid w:val="42E9B185"/>
    <w:rsid w:val="42E9CCCB"/>
    <w:rsid w:val="42F1294E"/>
    <w:rsid w:val="42F98450"/>
    <w:rsid w:val="42FD5AD3"/>
    <w:rsid w:val="43000D52"/>
    <w:rsid w:val="430406F7"/>
    <w:rsid w:val="430B4C84"/>
    <w:rsid w:val="430E98A1"/>
    <w:rsid w:val="4314FC66"/>
    <w:rsid w:val="43152A13"/>
    <w:rsid w:val="431AD96F"/>
    <w:rsid w:val="431B8DF2"/>
    <w:rsid w:val="43256D4B"/>
    <w:rsid w:val="4337A942"/>
    <w:rsid w:val="4338AD57"/>
    <w:rsid w:val="433976C1"/>
    <w:rsid w:val="4339F512"/>
    <w:rsid w:val="433B95F4"/>
    <w:rsid w:val="433CA5EC"/>
    <w:rsid w:val="433EF73A"/>
    <w:rsid w:val="4345BF83"/>
    <w:rsid w:val="43491900"/>
    <w:rsid w:val="436F070B"/>
    <w:rsid w:val="436FF725"/>
    <w:rsid w:val="4370AD03"/>
    <w:rsid w:val="43767A29"/>
    <w:rsid w:val="43861601"/>
    <w:rsid w:val="438AA8BF"/>
    <w:rsid w:val="439C3F50"/>
    <w:rsid w:val="439C641D"/>
    <w:rsid w:val="43A3A522"/>
    <w:rsid w:val="43AD8AAF"/>
    <w:rsid w:val="43B2BA5C"/>
    <w:rsid w:val="43C4CC04"/>
    <w:rsid w:val="43C8B51E"/>
    <w:rsid w:val="43CF0CFC"/>
    <w:rsid w:val="43D262F7"/>
    <w:rsid w:val="43DD5A6F"/>
    <w:rsid w:val="43E6EC88"/>
    <w:rsid w:val="43EA7297"/>
    <w:rsid w:val="43EE1014"/>
    <w:rsid w:val="43F55A70"/>
    <w:rsid w:val="4404FA38"/>
    <w:rsid w:val="4415D108"/>
    <w:rsid w:val="4430715E"/>
    <w:rsid w:val="44332BA9"/>
    <w:rsid w:val="4434FF8D"/>
    <w:rsid w:val="4437EEC8"/>
    <w:rsid w:val="443F1AB5"/>
    <w:rsid w:val="44420687"/>
    <w:rsid w:val="444B6667"/>
    <w:rsid w:val="4450E64C"/>
    <w:rsid w:val="4466374F"/>
    <w:rsid w:val="44675AE6"/>
    <w:rsid w:val="44852915"/>
    <w:rsid w:val="4497E661"/>
    <w:rsid w:val="449C20A6"/>
    <w:rsid w:val="449F37B0"/>
    <w:rsid w:val="44A0AA10"/>
    <w:rsid w:val="44B0CCC7"/>
    <w:rsid w:val="44B7F91C"/>
    <w:rsid w:val="44B8BA4D"/>
    <w:rsid w:val="44BE3647"/>
    <w:rsid w:val="44C5B36F"/>
    <w:rsid w:val="44CAD523"/>
    <w:rsid w:val="44CEAD45"/>
    <w:rsid w:val="44CFA334"/>
    <w:rsid w:val="44D3B550"/>
    <w:rsid w:val="44D6A485"/>
    <w:rsid w:val="44D91DAD"/>
    <w:rsid w:val="44DBB0E5"/>
    <w:rsid w:val="44E6AFE7"/>
    <w:rsid w:val="44E7FCC7"/>
    <w:rsid w:val="44E9DA6B"/>
    <w:rsid w:val="44EC26F3"/>
    <w:rsid w:val="44F1538B"/>
    <w:rsid w:val="44FC12E5"/>
    <w:rsid w:val="44FC9686"/>
    <w:rsid w:val="44FE3084"/>
    <w:rsid w:val="4509FC95"/>
    <w:rsid w:val="450BF691"/>
    <w:rsid w:val="4510CB50"/>
    <w:rsid w:val="4517AF81"/>
    <w:rsid w:val="451F0D88"/>
    <w:rsid w:val="4521FAED"/>
    <w:rsid w:val="45258E89"/>
    <w:rsid w:val="45267920"/>
    <w:rsid w:val="453A1E50"/>
    <w:rsid w:val="4556B76B"/>
    <w:rsid w:val="455F97D6"/>
    <w:rsid w:val="45696C41"/>
    <w:rsid w:val="456DED19"/>
    <w:rsid w:val="457691D4"/>
    <w:rsid w:val="45770B9F"/>
    <w:rsid w:val="457CCFB9"/>
    <w:rsid w:val="4586FD04"/>
    <w:rsid w:val="459D2277"/>
    <w:rsid w:val="45A842D0"/>
    <w:rsid w:val="45AFAD55"/>
    <w:rsid w:val="45B8123C"/>
    <w:rsid w:val="45BD8AEC"/>
    <w:rsid w:val="45C0B086"/>
    <w:rsid w:val="45C3CC8A"/>
    <w:rsid w:val="45C77BE6"/>
    <w:rsid w:val="45CAA1CB"/>
    <w:rsid w:val="45DBB338"/>
    <w:rsid w:val="45E8CD5B"/>
    <w:rsid w:val="45EB29D7"/>
    <w:rsid w:val="45EBB0EB"/>
    <w:rsid w:val="45EEE442"/>
    <w:rsid w:val="45FC8CB0"/>
    <w:rsid w:val="45FCCDA3"/>
    <w:rsid w:val="4600A094"/>
    <w:rsid w:val="4600BD7C"/>
    <w:rsid w:val="46045234"/>
    <w:rsid w:val="460C1DA0"/>
    <w:rsid w:val="4618BCEE"/>
    <w:rsid w:val="461FFF06"/>
    <w:rsid w:val="46271F9A"/>
    <w:rsid w:val="46374781"/>
    <w:rsid w:val="4637F107"/>
    <w:rsid w:val="463C41DA"/>
    <w:rsid w:val="465060FA"/>
    <w:rsid w:val="465098E2"/>
    <w:rsid w:val="46570B29"/>
    <w:rsid w:val="465DFE1D"/>
    <w:rsid w:val="466FF5CA"/>
    <w:rsid w:val="467AF0EC"/>
    <w:rsid w:val="468216DA"/>
    <w:rsid w:val="46837EAC"/>
    <w:rsid w:val="468D03F0"/>
    <w:rsid w:val="46914300"/>
    <w:rsid w:val="4693959F"/>
    <w:rsid w:val="4693B7B4"/>
    <w:rsid w:val="469E4FD0"/>
    <w:rsid w:val="469ED3D5"/>
    <w:rsid w:val="46A024A4"/>
    <w:rsid w:val="46A268C4"/>
    <w:rsid w:val="46A9D88C"/>
    <w:rsid w:val="46B50C64"/>
    <w:rsid w:val="46BCCB07"/>
    <w:rsid w:val="46BDBEF5"/>
    <w:rsid w:val="46BEDBF3"/>
    <w:rsid w:val="46C05812"/>
    <w:rsid w:val="46D3DF2D"/>
    <w:rsid w:val="46D9B954"/>
    <w:rsid w:val="46E4CE92"/>
    <w:rsid w:val="46E509A2"/>
    <w:rsid w:val="46ED98F7"/>
    <w:rsid w:val="46EE8FDB"/>
    <w:rsid w:val="46F36F8E"/>
    <w:rsid w:val="46F3FA55"/>
    <w:rsid w:val="46F9A559"/>
    <w:rsid w:val="47000E1F"/>
    <w:rsid w:val="47078CFF"/>
    <w:rsid w:val="470992F6"/>
    <w:rsid w:val="47110C68"/>
    <w:rsid w:val="4711E744"/>
    <w:rsid w:val="4712FB92"/>
    <w:rsid w:val="47244BAF"/>
    <w:rsid w:val="47278907"/>
    <w:rsid w:val="472A42DE"/>
    <w:rsid w:val="473258AB"/>
    <w:rsid w:val="473879A5"/>
    <w:rsid w:val="4739F80B"/>
    <w:rsid w:val="4742601D"/>
    <w:rsid w:val="4745679E"/>
    <w:rsid w:val="474DC765"/>
    <w:rsid w:val="475D4B3B"/>
    <w:rsid w:val="476314B7"/>
    <w:rsid w:val="4766088A"/>
    <w:rsid w:val="4766FA0C"/>
    <w:rsid w:val="47682095"/>
    <w:rsid w:val="476A451E"/>
    <w:rsid w:val="47702836"/>
    <w:rsid w:val="477508B8"/>
    <w:rsid w:val="4776B718"/>
    <w:rsid w:val="478F8D44"/>
    <w:rsid w:val="4794BE7A"/>
    <w:rsid w:val="47975C40"/>
    <w:rsid w:val="479DD538"/>
    <w:rsid w:val="47B4AF8E"/>
    <w:rsid w:val="47BBE112"/>
    <w:rsid w:val="47C671B7"/>
    <w:rsid w:val="47C7F037"/>
    <w:rsid w:val="47CDFF90"/>
    <w:rsid w:val="47CEB153"/>
    <w:rsid w:val="47DA8E1B"/>
    <w:rsid w:val="47DC1DEF"/>
    <w:rsid w:val="47E17732"/>
    <w:rsid w:val="47EEA04D"/>
    <w:rsid w:val="47EF160D"/>
    <w:rsid w:val="4807AD4E"/>
    <w:rsid w:val="4809A506"/>
    <w:rsid w:val="480B2ED4"/>
    <w:rsid w:val="481264DA"/>
    <w:rsid w:val="4812C7B4"/>
    <w:rsid w:val="48277B35"/>
    <w:rsid w:val="482995F1"/>
    <w:rsid w:val="482B554B"/>
    <w:rsid w:val="48305554"/>
    <w:rsid w:val="48343748"/>
    <w:rsid w:val="4836B65B"/>
    <w:rsid w:val="4838C4C4"/>
    <w:rsid w:val="483A4707"/>
    <w:rsid w:val="483CF9F5"/>
    <w:rsid w:val="484168C2"/>
    <w:rsid w:val="4844EC85"/>
    <w:rsid w:val="4846A502"/>
    <w:rsid w:val="4853A985"/>
    <w:rsid w:val="485664EB"/>
    <w:rsid w:val="48574F9A"/>
    <w:rsid w:val="48575460"/>
    <w:rsid w:val="4857E8F5"/>
    <w:rsid w:val="48580742"/>
    <w:rsid w:val="48628F8A"/>
    <w:rsid w:val="4863A527"/>
    <w:rsid w:val="4868C87C"/>
    <w:rsid w:val="486EC6CD"/>
    <w:rsid w:val="487393FD"/>
    <w:rsid w:val="48745D1D"/>
    <w:rsid w:val="48822700"/>
    <w:rsid w:val="488424CB"/>
    <w:rsid w:val="4887E9A4"/>
    <w:rsid w:val="488AA9A0"/>
    <w:rsid w:val="488D2086"/>
    <w:rsid w:val="48958343"/>
    <w:rsid w:val="48A2CEE7"/>
    <w:rsid w:val="48B02F78"/>
    <w:rsid w:val="48B0DFF6"/>
    <w:rsid w:val="48B136AF"/>
    <w:rsid w:val="48B862AF"/>
    <w:rsid w:val="48BCDD20"/>
    <w:rsid w:val="48D1903E"/>
    <w:rsid w:val="48D1A1E7"/>
    <w:rsid w:val="48D4515E"/>
    <w:rsid w:val="48D5AA55"/>
    <w:rsid w:val="48E15A33"/>
    <w:rsid w:val="48F14645"/>
    <w:rsid w:val="48F31C56"/>
    <w:rsid w:val="48FD2643"/>
    <w:rsid w:val="490717E6"/>
    <w:rsid w:val="4907AED0"/>
    <w:rsid w:val="490DFD95"/>
    <w:rsid w:val="49115C84"/>
    <w:rsid w:val="4911AD50"/>
    <w:rsid w:val="4917986E"/>
    <w:rsid w:val="49247A4D"/>
    <w:rsid w:val="49257C38"/>
    <w:rsid w:val="4929FD4E"/>
    <w:rsid w:val="49389D14"/>
    <w:rsid w:val="493C8771"/>
    <w:rsid w:val="49501867"/>
    <w:rsid w:val="4953F217"/>
    <w:rsid w:val="4958AAFF"/>
    <w:rsid w:val="4962DE57"/>
    <w:rsid w:val="496A5CE9"/>
    <w:rsid w:val="496E15FC"/>
    <w:rsid w:val="49720361"/>
    <w:rsid w:val="4975BBAE"/>
    <w:rsid w:val="4980F6CA"/>
    <w:rsid w:val="498DBAC8"/>
    <w:rsid w:val="49936545"/>
    <w:rsid w:val="4994CE55"/>
    <w:rsid w:val="499CB6A2"/>
    <w:rsid w:val="49A44FA7"/>
    <w:rsid w:val="49A450F5"/>
    <w:rsid w:val="49A6635A"/>
    <w:rsid w:val="49A7319B"/>
    <w:rsid w:val="49AFEE8E"/>
    <w:rsid w:val="49B1E46E"/>
    <w:rsid w:val="49BE85C7"/>
    <w:rsid w:val="49C142C6"/>
    <w:rsid w:val="49C40560"/>
    <w:rsid w:val="49C46006"/>
    <w:rsid w:val="49C52C72"/>
    <w:rsid w:val="49CCC0FC"/>
    <w:rsid w:val="49D962BD"/>
    <w:rsid w:val="49E27563"/>
    <w:rsid w:val="49EFB4C2"/>
    <w:rsid w:val="49F0BCEB"/>
    <w:rsid w:val="49F635A9"/>
    <w:rsid w:val="49FDCC63"/>
    <w:rsid w:val="49FED802"/>
    <w:rsid w:val="49FFFC1B"/>
    <w:rsid w:val="4A009A7A"/>
    <w:rsid w:val="4A02F5A1"/>
    <w:rsid w:val="4A04013A"/>
    <w:rsid w:val="4A05CE52"/>
    <w:rsid w:val="4A0A1C4B"/>
    <w:rsid w:val="4A0FD3C8"/>
    <w:rsid w:val="4A102D7E"/>
    <w:rsid w:val="4A12625C"/>
    <w:rsid w:val="4A14E300"/>
    <w:rsid w:val="4A151497"/>
    <w:rsid w:val="4A18360F"/>
    <w:rsid w:val="4A318E23"/>
    <w:rsid w:val="4A32F9EF"/>
    <w:rsid w:val="4A379EF4"/>
    <w:rsid w:val="4A41D862"/>
    <w:rsid w:val="4A4E70C8"/>
    <w:rsid w:val="4A5054D8"/>
    <w:rsid w:val="4A545DA3"/>
    <w:rsid w:val="4A574991"/>
    <w:rsid w:val="4A5928D3"/>
    <w:rsid w:val="4A59564E"/>
    <w:rsid w:val="4A603EDB"/>
    <w:rsid w:val="4A612C3E"/>
    <w:rsid w:val="4A625094"/>
    <w:rsid w:val="4A66DD6A"/>
    <w:rsid w:val="4A7B655D"/>
    <w:rsid w:val="4A902322"/>
    <w:rsid w:val="4A95F92F"/>
    <w:rsid w:val="4A98EF41"/>
    <w:rsid w:val="4A9B8DAF"/>
    <w:rsid w:val="4A9FC157"/>
    <w:rsid w:val="4AA9D623"/>
    <w:rsid w:val="4AB77066"/>
    <w:rsid w:val="4AB86283"/>
    <w:rsid w:val="4ABE9AFA"/>
    <w:rsid w:val="4AC3C7CE"/>
    <w:rsid w:val="4AC43594"/>
    <w:rsid w:val="4AC573FA"/>
    <w:rsid w:val="4AC9619A"/>
    <w:rsid w:val="4ACC8B92"/>
    <w:rsid w:val="4ACE5277"/>
    <w:rsid w:val="4AD6C97B"/>
    <w:rsid w:val="4AE3034B"/>
    <w:rsid w:val="4AE6CA25"/>
    <w:rsid w:val="4AEAA656"/>
    <w:rsid w:val="4AFAAC5D"/>
    <w:rsid w:val="4AFD7529"/>
    <w:rsid w:val="4AFE8809"/>
    <w:rsid w:val="4AFECB0B"/>
    <w:rsid w:val="4AFF4B24"/>
    <w:rsid w:val="4B008047"/>
    <w:rsid w:val="4B0AFD27"/>
    <w:rsid w:val="4B0B1C67"/>
    <w:rsid w:val="4B0EF07E"/>
    <w:rsid w:val="4B13BC4F"/>
    <w:rsid w:val="4B1ACC85"/>
    <w:rsid w:val="4B1C142F"/>
    <w:rsid w:val="4B2262C2"/>
    <w:rsid w:val="4B27FBD1"/>
    <w:rsid w:val="4B2F35A6"/>
    <w:rsid w:val="4B313041"/>
    <w:rsid w:val="4B383229"/>
    <w:rsid w:val="4B4094F0"/>
    <w:rsid w:val="4B6A7813"/>
    <w:rsid w:val="4B837E3F"/>
    <w:rsid w:val="4B845CEF"/>
    <w:rsid w:val="4B9A8339"/>
    <w:rsid w:val="4B9B0076"/>
    <w:rsid w:val="4B9B1819"/>
    <w:rsid w:val="4BA1A8FF"/>
    <w:rsid w:val="4BA5FED0"/>
    <w:rsid w:val="4BA75135"/>
    <w:rsid w:val="4BB905D8"/>
    <w:rsid w:val="4BC02A83"/>
    <w:rsid w:val="4BC1BC52"/>
    <w:rsid w:val="4BCAA895"/>
    <w:rsid w:val="4BCC32F2"/>
    <w:rsid w:val="4BCFC52F"/>
    <w:rsid w:val="4BDA836B"/>
    <w:rsid w:val="4BE34402"/>
    <w:rsid w:val="4BFCE6C6"/>
    <w:rsid w:val="4C008003"/>
    <w:rsid w:val="4C1F2B64"/>
    <w:rsid w:val="4C1F713E"/>
    <w:rsid w:val="4C1FD7EE"/>
    <w:rsid w:val="4C227E8A"/>
    <w:rsid w:val="4C240D98"/>
    <w:rsid w:val="4C2666BD"/>
    <w:rsid w:val="4C2C6E9C"/>
    <w:rsid w:val="4C2CC298"/>
    <w:rsid w:val="4C30E2A6"/>
    <w:rsid w:val="4C31B01E"/>
    <w:rsid w:val="4C364705"/>
    <w:rsid w:val="4C37F21C"/>
    <w:rsid w:val="4C397EEF"/>
    <w:rsid w:val="4C3C1888"/>
    <w:rsid w:val="4C408BDB"/>
    <w:rsid w:val="4C4FEE4D"/>
    <w:rsid w:val="4C5359FE"/>
    <w:rsid w:val="4C545FE6"/>
    <w:rsid w:val="4C5A6B5B"/>
    <w:rsid w:val="4C5A8A5C"/>
    <w:rsid w:val="4C694F25"/>
    <w:rsid w:val="4C79FE59"/>
    <w:rsid w:val="4C7F96DE"/>
    <w:rsid w:val="4C860817"/>
    <w:rsid w:val="4C8D86E6"/>
    <w:rsid w:val="4C964C11"/>
    <w:rsid w:val="4CA4D0FD"/>
    <w:rsid w:val="4CAD594D"/>
    <w:rsid w:val="4CC65DC7"/>
    <w:rsid w:val="4CC96CD4"/>
    <w:rsid w:val="4CCFFA00"/>
    <w:rsid w:val="4CD191CC"/>
    <w:rsid w:val="4CDB2AA5"/>
    <w:rsid w:val="4CDF9CEF"/>
    <w:rsid w:val="4CE0FECD"/>
    <w:rsid w:val="4CE63BBB"/>
    <w:rsid w:val="4CEF0007"/>
    <w:rsid w:val="4CFAECE1"/>
    <w:rsid w:val="4CFB973B"/>
    <w:rsid w:val="4CFD3763"/>
    <w:rsid w:val="4D0118E2"/>
    <w:rsid w:val="4D017774"/>
    <w:rsid w:val="4D0A8015"/>
    <w:rsid w:val="4D0CF64B"/>
    <w:rsid w:val="4D14765B"/>
    <w:rsid w:val="4D17322F"/>
    <w:rsid w:val="4D1A4BAF"/>
    <w:rsid w:val="4D1B76CA"/>
    <w:rsid w:val="4D1DF896"/>
    <w:rsid w:val="4D226046"/>
    <w:rsid w:val="4D2869FD"/>
    <w:rsid w:val="4D3D533B"/>
    <w:rsid w:val="4D3FC861"/>
    <w:rsid w:val="4D4110C2"/>
    <w:rsid w:val="4D471781"/>
    <w:rsid w:val="4D4C0BFD"/>
    <w:rsid w:val="4D52FAAC"/>
    <w:rsid w:val="4D67A095"/>
    <w:rsid w:val="4D7019BE"/>
    <w:rsid w:val="4D70D3C6"/>
    <w:rsid w:val="4D77305E"/>
    <w:rsid w:val="4D7F5485"/>
    <w:rsid w:val="4D85E926"/>
    <w:rsid w:val="4D861022"/>
    <w:rsid w:val="4D8AA5D1"/>
    <w:rsid w:val="4D8C430C"/>
    <w:rsid w:val="4D8E9AEB"/>
    <w:rsid w:val="4D972934"/>
    <w:rsid w:val="4D978A10"/>
    <w:rsid w:val="4D99B73B"/>
    <w:rsid w:val="4DABDC7E"/>
    <w:rsid w:val="4DAE430F"/>
    <w:rsid w:val="4DAF3126"/>
    <w:rsid w:val="4DB3AE57"/>
    <w:rsid w:val="4DB3CA04"/>
    <w:rsid w:val="4DB4DF17"/>
    <w:rsid w:val="4DB8126A"/>
    <w:rsid w:val="4DB977C9"/>
    <w:rsid w:val="4DB9F4D9"/>
    <w:rsid w:val="4DBB2007"/>
    <w:rsid w:val="4DBFDDF9"/>
    <w:rsid w:val="4DC1BDDD"/>
    <w:rsid w:val="4DC5BAFB"/>
    <w:rsid w:val="4DC7678A"/>
    <w:rsid w:val="4DD3326D"/>
    <w:rsid w:val="4DE443C4"/>
    <w:rsid w:val="4DE4FC0F"/>
    <w:rsid w:val="4DE7F045"/>
    <w:rsid w:val="4DE8E46C"/>
    <w:rsid w:val="4DEAA04A"/>
    <w:rsid w:val="4DEDC6D2"/>
    <w:rsid w:val="4DEF7C15"/>
    <w:rsid w:val="4DFAEDD2"/>
    <w:rsid w:val="4E041D38"/>
    <w:rsid w:val="4E06758D"/>
    <w:rsid w:val="4E0E3863"/>
    <w:rsid w:val="4E1694CF"/>
    <w:rsid w:val="4E1C0640"/>
    <w:rsid w:val="4E2019B3"/>
    <w:rsid w:val="4E21E18F"/>
    <w:rsid w:val="4E33034C"/>
    <w:rsid w:val="4E3512B6"/>
    <w:rsid w:val="4E438B85"/>
    <w:rsid w:val="4E5548CB"/>
    <w:rsid w:val="4E61A63D"/>
    <w:rsid w:val="4E658F0C"/>
    <w:rsid w:val="4E67826B"/>
    <w:rsid w:val="4E6C9734"/>
    <w:rsid w:val="4E77EA5E"/>
    <w:rsid w:val="4E8032A9"/>
    <w:rsid w:val="4E805605"/>
    <w:rsid w:val="4E9777CD"/>
    <w:rsid w:val="4E97DD7B"/>
    <w:rsid w:val="4EA0A317"/>
    <w:rsid w:val="4EA73256"/>
    <w:rsid w:val="4EA98611"/>
    <w:rsid w:val="4EAE8185"/>
    <w:rsid w:val="4EBA65A1"/>
    <w:rsid w:val="4EBF3B85"/>
    <w:rsid w:val="4EC3875D"/>
    <w:rsid w:val="4EC3FAA3"/>
    <w:rsid w:val="4EC6D10F"/>
    <w:rsid w:val="4ED3D167"/>
    <w:rsid w:val="4ED68DE2"/>
    <w:rsid w:val="4EDEF1F7"/>
    <w:rsid w:val="4EDF8323"/>
    <w:rsid w:val="4EE53A2F"/>
    <w:rsid w:val="4EEF8A65"/>
    <w:rsid w:val="4EF2814B"/>
    <w:rsid w:val="4EF7F254"/>
    <w:rsid w:val="4F08CA82"/>
    <w:rsid w:val="4F0D2041"/>
    <w:rsid w:val="4F101287"/>
    <w:rsid w:val="4F18B6AC"/>
    <w:rsid w:val="4F1A29B7"/>
    <w:rsid w:val="4F223611"/>
    <w:rsid w:val="4F2919C3"/>
    <w:rsid w:val="4F2966C0"/>
    <w:rsid w:val="4F2C2E6A"/>
    <w:rsid w:val="4F2FDE24"/>
    <w:rsid w:val="4F36B294"/>
    <w:rsid w:val="4F37D9B3"/>
    <w:rsid w:val="4F44D998"/>
    <w:rsid w:val="4F462946"/>
    <w:rsid w:val="4F479C0F"/>
    <w:rsid w:val="4F48CD6C"/>
    <w:rsid w:val="4F5A0A1D"/>
    <w:rsid w:val="4F62AD26"/>
    <w:rsid w:val="4F6777B0"/>
    <w:rsid w:val="4F7A3F8D"/>
    <w:rsid w:val="4F8531B6"/>
    <w:rsid w:val="4F8B88E8"/>
    <w:rsid w:val="4F8FC634"/>
    <w:rsid w:val="4F92E748"/>
    <w:rsid w:val="4F983EA2"/>
    <w:rsid w:val="4F9BBA4A"/>
    <w:rsid w:val="4FA7B040"/>
    <w:rsid w:val="4FB19918"/>
    <w:rsid w:val="4FBEF2EF"/>
    <w:rsid w:val="4FBFDA75"/>
    <w:rsid w:val="4FC3C606"/>
    <w:rsid w:val="4FC4904D"/>
    <w:rsid w:val="4FD30B1A"/>
    <w:rsid w:val="4FD4D3C7"/>
    <w:rsid w:val="4FE8E380"/>
    <w:rsid w:val="4FE92E13"/>
    <w:rsid w:val="4FEB31DC"/>
    <w:rsid w:val="4FF3AB38"/>
    <w:rsid w:val="4FF8A5EB"/>
    <w:rsid w:val="4FF8A6B6"/>
    <w:rsid w:val="500170D8"/>
    <w:rsid w:val="50049EFB"/>
    <w:rsid w:val="5004D60A"/>
    <w:rsid w:val="50061B78"/>
    <w:rsid w:val="50095C74"/>
    <w:rsid w:val="500B3069"/>
    <w:rsid w:val="500F7148"/>
    <w:rsid w:val="50131D7E"/>
    <w:rsid w:val="5014D54F"/>
    <w:rsid w:val="50168EC9"/>
    <w:rsid w:val="501FB3F7"/>
    <w:rsid w:val="502C1C0D"/>
    <w:rsid w:val="50384009"/>
    <w:rsid w:val="50406C73"/>
    <w:rsid w:val="5050935F"/>
    <w:rsid w:val="5057A258"/>
    <w:rsid w:val="505A96A9"/>
    <w:rsid w:val="506052B1"/>
    <w:rsid w:val="506A6A4B"/>
    <w:rsid w:val="5076A62D"/>
    <w:rsid w:val="507968EE"/>
    <w:rsid w:val="507B5976"/>
    <w:rsid w:val="508B0686"/>
    <w:rsid w:val="508DF00D"/>
    <w:rsid w:val="50946BD0"/>
    <w:rsid w:val="5095EA64"/>
    <w:rsid w:val="5095FD0F"/>
    <w:rsid w:val="50B4D739"/>
    <w:rsid w:val="50BECB11"/>
    <w:rsid w:val="50C78C7D"/>
    <w:rsid w:val="50C79A83"/>
    <w:rsid w:val="50CA3521"/>
    <w:rsid w:val="50D257F2"/>
    <w:rsid w:val="50D289E4"/>
    <w:rsid w:val="50D344BA"/>
    <w:rsid w:val="50D85F78"/>
    <w:rsid w:val="50DA4540"/>
    <w:rsid w:val="50EFFCDA"/>
    <w:rsid w:val="50F34F14"/>
    <w:rsid w:val="50F88654"/>
    <w:rsid w:val="510E10A7"/>
    <w:rsid w:val="510E9AE4"/>
    <w:rsid w:val="5111DA0D"/>
    <w:rsid w:val="5112C0B5"/>
    <w:rsid w:val="511F5220"/>
    <w:rsid w:val="51321250"/>
    <w:rsid w:val="5135CA04"/>
    <w:rsid w:val="513657B0"/>
    <w:rsid w:val="51365DA9"/>
    <w:rsid w:val="5137C7E5"/>
    <w:rsid w:val="5142E9C8"/>
    <w:rsid w:val="51489E0B"/>
    <w:rsid w:val="514A22B7"/>
    <w:rsid w:val="514EAE4A"/>
    <w:rsid w:val="514FB373"/>
    <w:rsid w:val="51531606"/>
    <w:rsid w:val="51555CEE"/>
    <w:rsid w:val="51572070"/>
    <w:rsid w:val="515DBE80"/>
    <w:rsid w:val="51629AF4"/>
    <w:rsid w:val="51680A3F"/>
    <w:rsid w:val="5168885B"/>
    <w:rsid w:val="5169DD2E"/>
    <w:rsid w:val="5178AE2C"/>
    <w:rsid w:val="517BC077"/>
    <w:rsid w:val="5181C588"/>
    <w:rsid w:val="5182ED46"/>
    <w:rsid w:val="518C6060"/>
    <w:rsid w:val="518F6AA0"/>
    <w:rsid w:val="5199DCEB"/>
    <w:rsid w:val="519AF5E4"/>
    <w:rsid w:val="519C71CB"/>
    <w:rsid w:val="51A231BA"/>
    <w:rsid w:val="51A34EA7"/>
    <w:rsid w:val="51A52DE8"/>
    <w:rsid w:val="51B88383"/>
    <w:rsid w:val="51C0E078"/>
    <w:rsid w:val="51C35F36"/>
    <w:rsid w:val="51C5F6EC"/>
    <w:rsid w:val="51C60F85"/>
    <w:rsid w:val="51C6F596"/>
    <w:rsid w:val="51C7B62E"/>
    <w:rsid w:val="51CD6ECE"/>
    <w:rsid w:val="51DB86D8"/>
    <w:rsid w:val="51DBF6DF"/>
    <w:rsid w:val="51DE807B"/>
    <w:rsid w:val="51E0BF22"/>
    <w:rsid w:val="51E1C0BB"/>
    <w:rsid w:val="51E4524E"/>
    <w:rsid w:val="51E5FF34"/>
    <w:rsid w:val="51E93885"/>
    <w:rsid w:val="51F45E15"/>
    <w:rsid w:val="51F5D919"/>
    <w:rsid w:val="51FF88CD"/>
    <w:rsid w:val="5200D25D"/>
    <w:rsid w:val="52012852"/>
    <w:rsid w:val="52042078"/>
    <w:rsid w:val="520DDA25"/>
    <w:rsid w:val="521E5886"/>
    <w:rsid w:val="5223D4C4"/>
    <w:rsid w:val="5225C301"/>
    <w:rsid w:val="522BB94A"/>
    <w:rsid w:val="523E2FDD"/>
    <w:rsid w:val="5240229E"/>
    <w:rsid w:val="524087FE"/>
    <w:rsid w:val="52480460"/>
    <w:rsid w:val="5249EA27"/>
    <w:rsid w:val="524F089B"/>
    <w:rsid w:val="5251B2C8"/>
    <w:rsid w:val="5255E00C"/>
    <w:rsid w:val="52576E37"/>
    <w:rsid w:val="5258689B"/>
    <w:rsid w:val="5259D017"/>
    <w:rsid w:val="525DA8B7"/>
    <w:rsid w:val="5269A29D"/>
    <w:rsid w:val="526B8DE5"/>
    <w:rsid w:val="5272D468"/>
    <w:rsid w:val="52802A04"/>
    <w:rsid w:val="528374A2"/>
    <w:rsid w:val="528556DD"/>
    <w:rsid w:val="5285D035"/>
    <w:rsid w:val="52873B27"/>
    <w:rsid w:val="528916A6"/>
    <w:rsid w:val="528AD4DC"/>
    <w:rsid w:val="52932FB3"/>
    <w:rsid w:val="52934F1C"/>
    <w:rsid w:val="529BD8F7"/>
    <w:rsid w:val="529CAE8C"/>
    <w:rsid w:val="52A9CE01"/>
    <w:rsid w:val="52B0B8E8"/>
    <w:rsid w:val="52B0BA69"/>
    <w:rsid w:val="52C29C2D"/>
    <w:rsid w:val="52C3CA73"/>
    <w:rsid w:val="52E08580"/>
    <w:rsid w:val="52E22B97"/>
    <w:rsid w:val="52EA7069"/>
    <w:rsid w:val="52EB6040"/>
    <w:rsid w:val="53072304"/>
    <w:rsid w:val="531149BA"/>
    <w:rsid w:val="53226138"/>
    <w:rsid w:val="53256EBE"/>
    <w:rsid w:val="53265957"/>
    <w:rsid w:val="5327D048"/>
    <w:rsid w:val="5333D7A3"/>
    <w:rsid w:val="5335700A"/>
    <w:rsid w:val="53475FEE"/>
    <w:rsid w:val="53494887"/>
    <w:rsid w:val="534A0D06"/>
    <w:rsid w:val="534E4166"/>
    <w:rsid w:val="5353093C"/>
    <w:rsid w:val="5362F626"/>
    <w:rsid w:val="53678A24"/>
    <w:rsid w:val="536CA629"/>
    <w:rsid w:val="5370FC8E"/>
    <w:rsid w:val="53843D00"/>
    <w:rsid w:val="538F431A"/>
    <w:rsid w:val="53A44775"/>
    <w:rsid w:val="53A5BF1B"/>
    <w:rsid w:val="53A77139"/>
    <w:rsid w:val="53ABFFA6"/>
    <w:rsid w:val="53ACB9CA"/>
    <w:rsid w:val="53AFE38D"/>
    <w:rsid w:val="53B44374"/>
    <w:rsid w:val="53BD6053"/>
    <w:rsid w:val="53BD9487"/>
    <w:rsid w:val="53CB9AB2"/>
    <w:rsid w:val="53CD14B8"/>
    <w:rsid w:val="53D1E02D"/>
    <w:rsid w:val="53D48C11"/>
    <w:rsid w:val="53D7BF63"/>
    <w:rsid w:val="53D915FD"/>
    <w:rsid w:val="53E65CEF"/>
    <w:rsid w:val="53E78BB7"/>
    <w:rsid w:val="53EC5F30"/>
    <w:rsid w:val="53EECA2D"/>
    <w:rsid w:val="53EEFAE5"/>
    <w:rsid w:val="53F21A24"/>
    <w:rsid w:val="53F7EF4A"/>
    <w:rsid w:val="53F8D44B"/>
    <w:rsid w:val="5400CCE9"/>
    <w:rsid w:val="5414E3B6"/>
    <w:rsid w:val="5417B15A"/>
    <w:rsid w:val="541F9EAB"/>
    <w:rsid w:val="543096AE"/>
    <w:rsid w:val="54320CB0"/>
    <w:rsid w:val="543703C7"/>
    <w:rsid w:val="54458596"/>
    <w:rsid w:val="544A1694"/>
    <w:rsid w:val="5455A4F5"/>
    <w:rsid w:val="5456F2E2"/>
    <w:rsid w:val="545FD295"/>
    <w:rsid w:val="546BA58E"/>
    <w:rsid w:val="546D6AC6"/>
    <w:rsid w:val="546FA5C3"/>
    <w:rsid w:val="5471B364"/>
    <w:rsid w:val="54755825"/>
    <w:rsid w:val="547A0CED"/>
    <w:rsid w:val="5480D075"/>
    <w:rsid w:val="5481AFCA"/>
    <w:rsid w:val="548239D5"/>
    <w:rsid w:val="548C4FB9"/>
    <w:rsid w:val="548E083D"/>
    <w:rsid w:val="5491D9B5"/>
    <w:rsid w:val="5493D986"/>
    <w:rsid w:val="54994515"/>
    <w:rsid w:val="549D2BA9"/>
    <w:rsid w:val="54AD2A28"/>
    <w:rsid w:val="54AF932E"/>
    <w:rsid w:val="54B40286"/>
    <w:rsid w:val="54B9F7D5"/>
    <w:rsid w:val="54BA5D7B"/>
    <w:rsid w:val="54CD218F"/>
    <w:rsid w:val="54D05494"/>
    <w:rsid w:val="54D5A9FE"/>
    <w:rsid w:val="54D9FA30"/>
    <w:rsid w:val="54DB5E29"/>
    <w:rsid w:val="54DD38D7"/>
    <w:rsid w:val="54E08D0C"/>
    <w:rsid w:val="54E0BD69"/>
    <w:rsid w:val="54E2D856"/>
    <w:rsid w:val="54E99B84"/>
    <w:rsid w:val="54EA11C7"/>
    <w:rsid w:val="54EF45C2"/>
    <w:rsid w:val="54F5B898"/>
    <w:rsid w:val="550B61B6"/>
    <w:rsid w:val="5513F2F6"/>
    <w:rsid w:val="5517FBE6"/>
    <w:rsid w:val="551F6DE6"/>
    <w:rsid w:val="552F08E9"/>
    <w:rsid w:val="552FFE45"/>
    <w:rsid w:val="55359C60"/>
    <w:rsid w:val="5536D5DE"/>
    <w:rsid w:val="554304DA"/>
    <w:rsid w:val="55464566"/>
    <w:rsid w:val="5566A48C"/>
    <w:rsid w:val="5566DF10"/>
    <w:rsid w:val="556C45FD"/>
    <w:rsid w:val="556DDCCC"/>
    <w:rsid w:val="5578C1C3"/>
    <w:rsid w:val="557B9481"/>
    <w:rsid w:val="557BD8D2"/>
    <w:rsid w:val="558013A2"/>
    <w:rsid w:val="558C88FF"/>
    <w:rsid w:val="558CF6DA"/>
    <w:rsid w:val="5597C5C0"/>
    <w:rsid w:val="55A780F5"/>
    <w:rsid w:val="55BB735E"/>
    <w:rsid w:val="55C2A10A"/>
    <w:rsid w:val="55C6AA7B"/>
    <w:rsid w:val="55C9DF3C"/>
    <w:rsid w:val="55CF1EBE"/>
    <w:rsid w:val="55DAC644"/>
    <w:rsid w:val="55F33360"/>
    <w:rsid w:val="55F45D43"/>
    <w:rsid w:val="55F902ED"/>
    <w:rsid w:val="55FAE259"/>
    <w:rsid w:val="55FB0B44"/>
    <w:rsid w:val="55FC1730"/>
    <w:rsid w:val="56059B23"/>
    <w:rsid w:val="5610541E"/>
    <w:rsid w:val="56230102"/>
    <w:rsid w:val="565A5142"/>
    <w:rsid w:val="565EF9F1"/>
    <w:rsid w:val="565F710A"/>
    <w:rsid w:val="566A9BB4"/>
    <w:rsid w:val="566C308C"/>
    <w:rsid w:val="5684E662"/>
    <w:rsid w:val="5696CF76"/>
    <w:rsid w:val="569F4FE1"/>
    <w:rsid w:val="56A0EE1E"/>
    <w:rsid w:val="56A77D13"/>
    <w:rsid w:val="56B72B89"/>
    <w:rsid w:val="56BA43A1"/>
    <w:rsid w:val="56BB7118"/>
    <w:rsid w:val="56C2EDE9"/>
    <w:rsid w:val="56C4CF6C"/>
    <w:rsid w:val="56C72D48"/>
    <w:rsid w:val="56CAC345"/>
    <w:rsid w:val="56CFF0C3"/>
    <w:rsid w:val="56DEFE8D"/>
    <w:rsid w:val="56E939E8"/>
    <w:rsid w:val="56EE8612"/>
    <w:rsid w:val="56F0DC86"/>
    <w:rsid w:val="56F92AF3"/>
    <w:rsid w:val="56FB22A0"/>
    <w:rsid w:val="56FCA15E"/>
    <w:rsid w:val="56FE8A29"/>
    <w:rsid w:val="570ECFDF"/>
    <w:rsid w:val="5711346C"/>
    <w:rsid w:val="571ABE22"/>
    <w:rsid w:val="573935D1"/>
    <w:rsid w:val="573BB145"/>
    <w:rsid w:val="573E87CE"/>
    <w:rsid w:val="5745DEAF"/>
    <w:rsid w:val="5746290D"/>
    <w:rsid w:val="57592F49"/>
    <w:rsid w:val="576304FA"/>
    <w:rsid w:val="57634E8E"/>
    <w:rsid w:val="576A680E"/>
    <w:rsid w:val="57708D1B"/>
    <w:rsid w:val="5773A972"/>
    <w:rsid w:val="5777F249"/>
    <w:rsid w:val="577DF7D8"/>
    <w:rsid w:val="577FAC22"/>
    <w:rsid w:val="578B224C"/>
    <w:rsid w:val="578FE0CF"/>
    <w:rsid w:val="579C7763"/>
    <w:rsid w:val="579DF4BB"/>
    <w:rsid w:val="57A2EDC6"/>
    <w:rsid w:val="57B03B7B"/>
    <w:rsid w:val="57B938A9"/>
    <w:rsid w:val="57BA3A86"/>
    <w:rsid w:val="57C16BCA"/>
    <w:rsid w:val="57C44E28"/>
    <w:rsid w:val="57C5127D"/>
    <w:rsid w:val="57D5E7EA"/>
    <w:rsid w:val="57D81202"/>
    <w:rsid w:val="57EC58E1"/>
    <w:rsid w:val="57F9C8A5"/>
    <w:rsid w:val="57FECD40"/>
    <w:rsid w:val="5805F4C4"/>
    <w:rsid w:val="58197C0E"/>
    <w:rsid w:val="58206E25"/>
    <w:rsid w:val="5832FFA1"/>
    <w:rsid w:val="583C7B5E"/>
    <w:rsid w:val="583F843D"/>
    <w:rsid w:val="58442CF6"/>
    <w:rsid w:val="585397D4"/>
    <w:rsid w:val="5860A441"/>
    <w:rsid w:val="587086D7"/>
    <w:rsid w:val="5875132E"/>
    <w:rsid w:val="587E3AC0"/>
    <w:rsid w:val="5884D8AC"/>
    <w:rsid w:val="5886DA3E"/>
    <w:rsid w:val="588717D5"/>
    <w:rsid w:val="588F50BE"/>
    <w:rsid w:val="589D8F65"/>
    <w:rsid w:val="58A8AEAB"/>
    <w:rsid w:val="58AA08A1"/>
    <w:rsid w:val="58ACA1BF"/>
    <w:rsid w:val="58B17D4C"/>
    <w:rsid w:val="58CE0089"/>
    <w:rsid w:val="58D04881"/>
    <w:rsid w:val="58D08A25"/>
    <w:rsid w:val="58DDA825"/>
    <w:rsid w:val="58E06E4E"/>
    <w:rsid w:val="58E54747"/>
    <w:rsid w:val="58EFD3E1"/>
    <w:rsid w:val="58F82BBD"/>
    <w:rsid w:val="58F86A2B"/>
    <w:rsid w:val="5901654C"/>
    <w:rsid w:val="59019A05"/>
    <w:rsid w:val="59058E4E"/>
    <w:rsid w:val="590DEDF1"/>
    <w:rsid w:val="59220F0C"/>
    <w:rsid w:val="592C44D6"/>
    <w:rsid w:val="593D0D34"/>
    <w:rsid w:val="5940DBE9"/>
    <w:rsid w:val="59436693"/>
    <w:rsid w:val="59474676"/>
    <w:rsid w:val="59488171"/>
    <w:rsid w:val="594D1E6A"/>
    <w:rsid w:val="594D6B36"/>
    <w:rsid w:val="59501D2B"/>
    <w:rsid w:val="595AA1C4"/>
    <w:rsid w:val="59606ED3"/>
    <w:rsid w:val="59616941"/>
    <w:rsid w:val="5961C298"/>
    <w:rsid w:val="59674AA9"/>
    <w:rsid w:val="596FA15E"/>
    <w:rsid w:val="597493DA"/>
    <w:rsid w:val="5977C66A"/>
    <w:rsid w:val="59830451"/>
    <w:rsid w:val="598A0BAF"/>
    <w:rsid w:val="59936ABA"/>
    <w:rsid w:val="5993D327"/>
    <w:rsid w:val="59AA0C26"/>
    <w:rsid w:val="59B7FD2B"/>
    <w:rsid w:val="59B8117D"/>
    <w:rsid w:val="59BBCB98"/>
    <w:rsid w:val="59BC7E4E"/>
    <w:rsid w:val="59C0139B"/>
    <w:rsid w:val="59C7E621"/>
    <w:rsid w:val="59CF917D"/>
    <w:rsid w:val="59D42547"/>
    <w:rsid w:val="59E004CA"/>
    <w:rsid w:val="59F09A17"/>
    <w:rsid w:val="59F81355"/>
    <w:rsid w:val="59FA38BE"/>
    <w:rsid w:val="5A0825E2"/>
    <w:rsid w:val="5A0B7459"/>
    <w:rsid w:val="5A1497C5"/>
    <w:rsid w:val="5A271887"/>
    <w:rsid w:val="5A30DA09"/>
    <w:rsid w:val="5A33B384"/>
    <w:rsid w:val="5A3642A9"/>
    <w:rsid w:val="5A378BFC"/>
    <w:rsid w:val="5A379C29"/>
    <w:rsid w:val="5A40B6F8"/>
    <w:rsid w:val="5A446197"/>
    <w:rsid w:val="5A447F0C"/>
    <w:rsid w:val="5A48E96A"/>
    <w:rsid w:val="5A4D601C"/>
    <w:rsid w:val="5A5061C3"/>
    <w:rsid w:val="5A600FC8"/>
    <w:rsid w:val="5A63898F"/>
    <w:rsid w:val="5A6C8218"/>
    <w:rsid w:val="5A774C9C"/>
    <w:rsid w:val="5A876DED"/>
    <w:rsid w:val="5A896701"/>
    <w:rsid w:val="5A924D0C"/>
    <w:rsid w:val="5A96122D"/>
    <w:rsid w:val="5A9E258E"/>
    <w:rsid w:val="5A9E6101"/>
    <w:rsid w:val="5A9F769D"/>
    <w:rsid w:val="5AA1A8C1"/>
    <w:rsid w:val="5AA5375B"/>
    <w:rsid w:val="5AA7B6DC"/>
    <w:rsid w:val="5AA94CF6"/>
    <w:rsid w:val="5AAE7E46"/>
    <w:rsid w:val="5AB54B7A"/>
    <w:rsid w:val="5AC8530D"/>
    <w:rsid w:val="5ACD4B5F"/>
    <w:rsid w:val="5AD02614"/>
    <w:rsid w:val="5AD64D3B"/>
    <w:rsid w:val="5AD6A3C2"/>
    <w:rsid w:val="5ADA6C01"/>
    <w:rsid w:val="5AE127E8"/>
    <w:rsid w:val="5AEA3B3B"/>
    <w:rsid w:val="5AEA4D13"/>
    <w:rsid w:val="5AEA89C6"/>
    <w:rsid w:val="5AEFC6A3"/>
    <w:rsid w:val="5B0C1873"/>
    <w:rsid w:val="5B106AF4"/>
    <w:rsid w:val="5B14B2BB"/>
    <w:rsid w:val="5B159E3C"/>
    <w:rsid w:val="5B1BF291"/>
    <w:rsid w:val="5B20020D"/>
    <w:rsid w:val="5B29525F"/>
    <w:rsid w:val="5B2F9A3C"/>
    <w:rsid w:val="5B4522F4"/>
    <w:rsid w:val="5B49396A"/>
    <w:rsid w:val="5B4D9510"/>
    <w:rsid w:val="5B4FA79B"/>
    <w:rsid w:val="5B51C88F"/>
    <w:rsid w:val="5B5FFBB6"/>
    <w:rsid w:val="5B6459DA"/>
    <w:rsid w:val="5B67D48A"/>
    <w:rsid w:val="5B7013EF"/>
    <w:rsid w:val="5B76AF91"/>
    <w:rsid w:val="5B85D0A5"/>
    <w:rsid w:val="5B89E95A"/>
    <w:rsid w:val="5B8F168B"/>
    <w:rsid w:val="5B94FF71"/>
    <w:rsid w:val="5BA2EBF5"/>
    <w:rsid w:val="5BA579A2"/>
    <w:rsid w:val="5BA861D7"/>
    <w:rsid w:val="5BB0E630"/>
    <w:rsid w:val="5BB4588D"/>
    <w:rsid w:val="5BB4784E"/>
    <w:rsid w:val="5BB9F759"/>
    <w:rsid w:val="5BC03258"/>
    <w:rsid w:val="5BC8D86E"/>
    <w:rsid w:val="5BC9CBB8"/>
    <w:rsid w:val="5BDADA17"/>
    <w:rsid w:val="5BE9DD48"/>
    <w:rsid w:val="5C020801"/>
    <w:rsid w:val="5C18A005"/>
    <w:rsid w:val="5C1F09A2"/>
    <w:rsid w:val="5C22808F"/>
    <w:rsid w:val="5C3787EA"/>
    <w:rsid w:val="5C3B7B7C"/>
    <w:rsid w:val="5C41039F"/>
    <w:rsid w:val="5C4BE3CB"/>
    <w:rsid w:val="5C4C1A78"/>
    <w:rsid w:val="5C4FFDC5"/>
    <w:rsid w:val="5C579369"/>
    <w:rsid w:val="5C5810D4"/>
    <w:rsid w:val="5C65B051"/>
    <w:rsid w:val="5C68E93D"/>
    <w:rsid w:val="5C6C9EF8"/>
    <w:rsid w:val="5C7EDD2B"/>
    <w:rsid w:val="5C8747F0"/>
    <w:rsid w:val="5C8E4F26"/>
    <w:rsid w:val="5C93230B"/>
    <w:rsid w:val="5C942DF8"/>
    <w:rsid w:val="5C9520E0"/>
    <w:rsid w:val="5C9B2D64"/>
    <w:rsid w:val="5C9DACE5"/>
    <w:rsid w:val="5CAA3ADA"/>
    <w:rsid w:val="5CBF77BB"/>
    <w:rsid w:val="5CC0699B"/>
    <w:rsid w:val="5CC080F2"/>
    <w:rsid w:val="5CCAC17A"/>
    <w:rsid w:val="5CCFA572"/>
    <w:rsid w:val="5CD10F2D"/>
    <w:rsid w:val="5CD27A8D"/>
    <w:rsid w:val="5CDAA0BB"/>
    <w:rsid w:val="5CDB871F"/>
    <w:rsid w:val="5CDFF051"/>
    <w:rsid w:val="5CE392A0"/>
    <w:rsid w:val="5CE9ADD4"/>
    <w:rsid w:val="5CEF6D57"/>
    <w:rsid w:val="5CF0CE52"/>
    <w:rsid w:val="5CF1B00B"/>
    <w:rsid w:val="5CF36C5A"/>
    <w:rsid w:val="5CF4DC7F"/>
    <w:rsid w:val="5CF7A503"/>
    <w:rsid w:val="5D03D456"/>
    <w:rsid w:val="5D0CFB79"/>
    <w:rsid w:val="5D17A58C"/>
    <w:rsid w:val="5D17FB45"/>
    <w:rsid w:val="5D1A80BC"/>
    <w:rsid w:val="5D2613AB"/>
    <w:rsid w:val="5D2D2C40"/>
    <w:rsid w:val="5D2E0062"/>
    <w:rsid w:val="5D4303E4"/>
    <w:rsid w:val="5D4F3E66"/>
    <w:rsid w:val="5D4FFF31"/>
    <w:rsid w:val="5D52AEAA"/>
    <w:rsid w:val="5D5A59AC"/>
    <w:rsid w:val="5D66B868"/>
    <w:rsid w:val="5D77903A"/>
    <w:rsid w:val="5D8D8552"/>
    <w:rsid w:val="5D919AC8"/>
    <w:rsid w:val="5DA40F0F"/>
    <w:rsid w:val="5DA50142"/>
    <w:rsid w:val="5DAADF05"/>
    <w:rsid w:val="5DAD1646"/>
    <w:rsid w:val="5DB7CA91"/>
    <w:rsid w:val="5DBE0B88"/>
    <w:rsid w:val="5DC067B3"/>
    <w:rsid w:val="5DC41FC7"/>
    <w:rsid w:val="5DC56F1E"/>
    <w:rsid w:val="5DC7FCFC"/>
    <w:rsid w:val="5DCF5B67"/>
    <w:rsid w:val="5DD3494B"/>
    <w:rsid w:val="5DD601C3"/>
    <w:rsid w:val="5DD652F6"/>
    <w:rsid w:val="5DD69139"/>
    <w:rsid w:val="5DDEADFF"/>
    <w:rsid w:val="5DDEB8DA"/>
    <w:rsid w:val="5DE005A9"/>
    <w:rsid w:val="5DF143BD"/>
    <w:rsid w:val="5DFAC11B"/>
    <w:rsid w:val="5E00951F"/>
    <w:rsid w:val="5E0EDD8A"/>
    <w:rsid w:val="5E100AFC"/>
    <w:rsid w:val="5E1A481F"/>
    <w:rsid w:val="5E1A5E2F"/>
    <w:rsid w:val="5E1E1366"/>
    <w:rsid w:val="5E1E7A98"/>
    <w:rsid w:val="5E276265"/>
    <w:rsid w:val="5E287CA5"/>
    <w:rsid w:val="5E2C5DAA"/>
    <w:rsid w:val="5E3260B7"/>
    <w:rsid w:val="5E332533"/>
    <w:rsid w:val="5E34EEE3"/>
    <w:rsid w:val="5E36CD52"/>
    <w:rsid w:val="5E4E4A64"/>
    <w:rsid w:val="5E51D528"/>
    <w:rsid w:val="5E563259"/>
    <w:rsid w:val="5E58275A"/>
    <w:rsid w:val="5E5F6179"/>
    <w:rsid w:val="5E673AFE"/>
    <w:rsid w:val="5E709BC0"/>
    <w:rsid w:val="5E71FD32"/>
    <w:rsid w:val="5E738E88"/>
    <w:rsid w:val="5E7D36CA"/>
    <w:rsid w:val="5E9B4C55"/>
    <w:rsid w:val="5E9C50A3"/>
    <w:rsid w:val="5E9CC786"/>
    <w:rsid w:val="5EA21416"/>
    <w:rsid w:val="5EA2D8B0"/>
    <w:rsid w:val="5EA30729"/>
    <w:rsid w:val="5EA5620B"/>
    <w:rsid w:val="5EA7D148"/>
    <w:rsid w:val="5EA96CDB"/>
    <w:rsid w:val="5EB4F859"/>
    <w:rsid w:val="5EBAA1A1"/>
    <w:rsid w:val="5EDE54D6"/>
    <w:rsid w:val="5EE42E7B"/>
    <w:rsid w:val="5EE463EB"/>
    <w:rsid w:val="5EEC4920"/>
    <w:rsid w:val="5EED3CC4"/>
    <w:rsid w:val="5EF18131"/>
    <w:rsid w:val="5EF78B0C"/>
    <w:rsid w:val="5EF79BEA"/>
    <w:rsid w:val="5EF836F9"/>
    <w:rsid w:val="5EFAEAA5"/>
    <w:rsid w:val="5F10137B"/>
    <w:rsid w:val="5F10245F"/>
    <w:rsid w:val="5F138524"/>
    <w:rsid w:val="5F17AFEA"/>
    <w:rsid w:val="5F19EC0B"/>
    <w:rsid w:val="5F1EB4CA"/>
    <w:rsid w:val="5F214198"/>
    <w:rsid w:val="5F3D3B5E"/>
    <w:rsid w:val="5F43E2CA"/>
    <w:rsid w:val="5F486924"/>
    <w:rsid w:val="5F516BC1"/>
    <w:rsid w:val="5F5952A8"/>
    <w:rsid w:val="5F62725C"/>
    <w:rsid w:val="5F6B55F6"/>
    <w:rsid w:val="5F707F0C"/>
    <w:rsid w:val="5F71D224"/>
    <w:rsid w:val="5F7313D9"/>
    <w:rsid w:val="5F737D65"/>
    <w:rsid w:val="5F7E2F50"/>
    <w:rsid w:val="5F7EBF64"/>
    <w:rsid w:val="5F81BBCC"/>
    <w:rsid w:val="5F82B388"/>
    <w:rsid w:val="5F8551A2"/>
    <w:rsid w:val="5F87CBD2"/>
    <w:rsid w:val="5F8DF949"/>
    <w:rsid w:val="5F96CA45"/>
    <w:rsid w:val="5F98F843"/>
    <w:rsid w:val="5FA12962"/>
    <w:rsid w:val="5FA2BD13"/>
    <w:rsid w:val="5FA8570C"/>
    <w:rsid w:val="5FAAD61B"/>
    <w:rsid w:val="5FB20BEF"/>
    <w:rsid w:val="5FB55096"/>
    <w:rsid w:val="5FB61201"/>
    <w:rsid w:val="5FB74955"/>
    <w:rsid w:val="5FC2B137"/>
    <w:rsid w:val="5FC717B2"/>
    <w:rsid w:val="5FCFC73E"/>
    <w:rsid w:val="5FDC165E"/>
    <w:rsid w:val="5FDF4097"/>
    <w:rsid w:val="5FE2A338"/>
    <w:rsid w:val="5FF64603"/>
    <w:rsid w:val="5FF8C164"/>
    <w:rsid w:val="5FF9FE7E"/>
    <w:rsid w:val="5FFCEEDE"/>
    <w:rsid w:val="600CD98A"/>
    <w:rsid w:val="600F0FE5"/>
    <w:rsid w:val="600F41C4"/>
    <w:rsid w:val="6011D029"/>
    <w:rsid w:val="6011E4BF"/>
    <w:rsid w:val="6014EBA1"/>
    <w:rsid w:val="6017AAE2"/>
    <w:rsid w:val="6018DEE6"/>
    <w:rsid w:val="601D1710"/>
    <w:rsid w:val="601EE802"/>
    <w:rsid w:val="60219C7B"/>
    <w:rsid w:val="60223CF0"/>
    <w:rsid w:val="60243E6C"/>
    <w:rsid w:val="6024BC30"/>
    <w:rsid w:val="602DBC29"/>
    <w:rsid w:val="6031020C"/>
    <w:rsid w:val="60349F32"/>
    <w:rsid w:val="60391BA4"/>
    <w:rsid w:val="60401B7E"/>
    <w:rsid w:val="6040A040"/>
    <w:rsid w:val="60469F3B"/>
    <w:rsid w:val="6047B612"/>
    <w:rsid w:val="604C322E"/>
    <w:rsid w:val="6056C910"/>
    <w:rsid w:val="605871E1"/>
    <w:rsid w:val="605941C8"/>
    <w:rsid w:val="605FA16F"/>
    <w:rsid w:val="60614F8A"/>
    <w:rsid w:val="606B19C6"/>
    <w:rsid w:val="606B1C7A"/>
    <w:rsid w:val="606E3C79"/>
    <w:rsid w:val="606E46B1"/>
    <w:rsid w:val="6071279C"/>
    <w:rsid w:val="6080344C"/>
    <w:rsid w:val="608A66F0"/>
    <w:rsid w:val="608F502D"/>
    <w:rsid w:val="60904CB9"/>
    <w:rsid w:val="6094B826"/>
    <w:rsid w:val="60C22749"/>
    <w:rsid w:val="60DA8646"/>
    <w:rsid w:val="60DECB81"/>
    <w:rsid w:val="60E4E832"/>
    <w:rsid w:val="60E74EA4"/>
    <w:rsid w:val="60EFC045"/>
    <w:rsid w:val="60F65115"/>
    <w:rsid w:val="60F87719"/>
    <w:rsid w:val="61018E90"/>
    <w:rsid w:val="61029A14"/>
    <w:rsid w:val="610C990A"/>
    <w:rsid w:val="61116CF3"/>
    <w:rsid w:val="61138372"/>
    <w:rsid w:val="6117A66B"/>
    <w:rsid w:val="6119275A"/>
    <w:rsid w:val="611E85AB"/>
    <w:rsid w:val="613475E1"/>
    <w:rsid w:val="61375A38"/>
    <w:rsid w:val="61392BF7"/>
    <w:rsid w:val="615F5B96"/>
    <w:rsid w:val="61611AAA"/>
    <w:rsid w:val="6173946F"/>
    <w:rsid w:val="6182B7F2"/>
    <w:rsid w:val="61918400"/>
    <w:rsid w:val="61984FFB"/>
    <w:rsid w:val="619D5CB4"/>
    <w:rsid w:val="61A292F0"/>
    <w:rsid w:val="61A8733F"/>
    <w:rsid w:val="61AB14D9"/>
    <w:rsid w:val="61B08D89"/>
    <w:rsid w:val="61BBCDF1"/>
    <w:rsid w:val="61C12A18"/>
    <w:rsid w:val="61C9BAC1"/>
    <w:rsid w:val="61D545E6"/>
    <w:rsid w:val="61DF371C"/>
    <w:rsid w:val="61E60C88"/>
    <w:rsid w:val="61F48FB7"/>
    <w:rsid w:val="61F880B3"/>
    <w:rsid w:val="61FFC13B"/>
    <w:rsid w:val="6204FCE0"/>
    <w:rsid w:val="62165619"/>
    <w:rsid w:val="621C04AD"/>
    <w:rsid w:val="622B4536"/>
    <w:rsid w:val="623809F8"/>
    <w:rsid w:val="624BEE4E"/>
    <w:rsid w:val="624DEAE1"/>
    <w:rsid w:val="6250D599"/>
    <w:rsid w:val="6256542D"/>
    <w:rsid w:val="6263B08B"/>
    <w:rsid w:val="626736FC"/>
    <w:rsid w:val="626C6864"/>
    <w:rsid w:val="626E6F51"/>
    <w:rsid w:val="626EBDAC"/>
    <w:rsid w:val="62818497"/>
    <w:rsid w:val="628321E4"/>
    <w:rsid w:val="628623E8"/>
    <w:rsid w:val="6287FBB5"/>
    <w:rsid w:val="628AED7B"/>
    <w:rsid w:val="629AB4B6"/>
    <w:rsid w:val="62A046C0"/>
    <w:rsid w:val="62ABBB37"/>
    <w:rsid w:val="62AE1BF9"/>
    <w:rsid w:val="62B9FCF0"/>
    <w:rsid w:val="62C0FBF3"/>
    <w:rsid w:val="62C4A69B"/>
    <w:rsid w:val="62C66318"/>
    <w:rsid w:val="62CF1015"/>
    <w:rsid w:val="62D2F2D5"/>
    <w:rsid w:val="62D8D53F"/>
    <w:rsid w:val="62EA015D"/>
    <w:rsid w:val="62FCE9FD"/>
    <w:rsid w:val="630ADC3E"/>
    <w:rsid w:val="630BAFA5"/>
    <w:rsid w:val="6312EAC6"/>
    <w:rsid w:val="6315C43D"/>
    <w:rsid w:val="63182E70"/>
    <w:rsid w:val="631D34BC"/>
    <w:rsid w:val="631ED381"/>
    <w:rsid w:val="6320EB43"/>
    <w:rsid w:val="63271A9C"/>
    <w:rsid w:val="633313D7"/>
    <w:rsid w:val="633AAC21"/>
    <w:rsid w:val="633C0699"/>
    <w:rsid w:val="633EC8AB"/>
    <w:rsid w:val="6346B11B"/>
    <w:rsid w:val="63495BF2"/>
    <w:rsid w:val="635069E1"/>
    <w:rsid w:val="63548639"/>
    <w:rsid w:val="636327E2"/>
    <w:rsid w:val="63681270"/>
    <w:rsid w:val="6370E664"/>
    <w:rsid w:val="6374A548"/>
    <w:rsid w:val="63854D83"/>
    <w:rsid w:val="6390E28A"/>
    <w:rsid w:val="63921647"/>
    <w:rsid w:val="6394FB3F"/>
    <w:rsid w:val="63981882"/>
    <w:rsid w:val="63985010"/>
    <w:rsid w:val="63990107"/>
    <w:rsid w:val="639B5113"/>
    <w:rsid w:val="639BAAFD"/>
    <w:rsid w:val="639C6DC4"/>
    <w:rsid w:val="63AB87CD"/>
    <w:rsid w:val="63B3A6A0"/>
    <w:rsid w:val="63C0E040"/>
    <w:rsid w:val="63C7CD59"/>
    <w:rsid w:val="63CAB597"/>
    <w:rsid w:val="63D1D779"/>
    <w:rsid w:val="63D22E68"/>
    <w:rsid w:val="63D70B66"/>
    <w:rsid w:val="63D9E23C"/>
    <w:rsid w:val="63E2B3B2"/>
    <w:rsid w:val="63F059CF"/>
    <w:rsid w:val="640769F2"/>
    <w:rsid w:val="640C215E"/>
    <w:rsid w:val="6411F6E3"/>
    <w:rsid w:val="641EBA4F"/>
    <w:rsid w:val="6434050A"/>
    <w:rsid w:val="6436F117"/>
    <w:rsid w:val="64392F52"/>
    <w:rsid w:val="643ED5F1"/>
    <w:rsid w:val="6440A18C"/>
    <w:rsid w:val="6443235B"/>
    <w:rsid w:val="644841B2"/>
    <w:rsid w:val="644CFF43"/>
    <w:rsid w:val="64589FE7"/>
    <w:rsid w:val="64622E6F"/>
    <w:rsid w:val="6466A28E"/>
    <w:rsid w:val="646E4A35"/>
    <w:rsid w:val="647091E8"/>
    <w:rsid w:val="6470E5F8"/>
    <w:rsid w:val="64713BD4"/>
    <w:rsid w:val="647DF052"/>
    <w:rsid w:val="64800A56"/>
    <w:rsid w:val="648A4A01"/>
    <w:rsid w:val="648B59FC"/>
    <w:rsid w:val="648B8810"/>
    <w:rsid w:val="64984CD9"/>
    <w:rsid w:val="649AD0C9"/>
    <w:rsid w:val="64A7746E"/>
    <w:rsid w:val="64AB9984"/>
    <w:rsid w:val="64AC49E0"/>
    <w:rsid w:val="64AE787D"/>
    <w:rsid w:val="64AEC60E"/>
    <w:rsid w:val="64B12344"/>
    <w:rsid w:val="64BBB047"/>
    <w:rsid w:val="64BE7B21"/>
    <w:rsid w:val="64BEB3D1"/>
    <w:rsid w:val="64C0B9AC"/>
    <w:rsid w:val="64D07F2B"/>
    <w:rsid w:val="64D1111E"/>
    <w:rsid w:val="64D67C82"/>
    <w:rsid w:val="64D7E71B"/>
    <w:rsid w:val="64EA67D3"/>
    <w:rsid w:val="64EDFEF4"/>
    <w:rsid w:val="64F881D3"/>
    <w:rsid w:val="65047623"/>
    <w:rsid w:val="65092381"/>
    <w:rsid w:val="65103E48"/>
    <w:rsid w:val="651C30BF"/>
    <w:rsid w:val="651CC40E"/>
    <w:rsid w:val="651DD2D5"/>
    <w:rsid w:val="65383E25"/>
    <w:rsid w:val="653A0DEC"/>
    <w:rsid w:val="653FBFA4"/>
    <w:rsid w:val="654C9030"/>
    <w:rsid w:val="6568F8B5"/>
    <w:rsid w:val="65699D3B"/>
    <w:rsid w:val="656E1A60"/>
    <w:rsid w:val="6572B8BA"/>
    <w:rsid w:val="657F8FF4"/>
    <w:rsid w:val="6581B086"/>
    <w:rsid w:val="6584CC43"/>
    <w:rsid w:val="65882E23"/>
    <w:rsid w:val="65889848"/>
    <w:rsid w:val="658CD393"/>
    <w:rsid w:val="65957AF6"/>
    <w:rsid w:val="659D0A5F"/>
    <w:rsid w:val="659FB4BD"/>
    <w:rsid w:val="65A84D91"/>
    <w:rsid w:val="65AB5D23"/>
    <w:rsid w:val="65AE9628"/>
    <w:rsid w:val="65B4D102"/>
    <w:rsid w:val="65BB8A09"/>
    <w:rsid w:val="65C95EB9"/>
    <w:rsid w:val="65CD458E"/>
    <w:rsid w:val="65CD5C2B"/>
    <w:rsid w:val="65D4FFB3"/>
    <w:rsid w:val="65D83596"/>
    <w:rsid w:val="65D8FA41"/>
    <w:rsid w:val="65DE00F3"/>
    <w:rsid w:val="65E275D1"/>
    <w:rsid w:val="65E29654"/>
    <w:rsid w:val="65E66548"/>
    <w:rsid w:val="65F22BA1"/>
    <w:rsid w:val="65F2C665"/>
    <w:rsid w:val="65FF9496"/>
    <w:rsid w:val="660D3A13"/>
    <w:rsid w:val="660EE23F"/>
    <w:rsid w:val="661B2996"/>
    <w:rsid w:val="662E99CE"/>
    <w:rsid w:val="663550B6"/>
    <w:rsid w:val="6641EFC9"/>
    <w:rsid w:val="665B1F2E"/>
    <w:rsid w:val="665F55D9"/>
    <w:rsid w:val="66628EE7"/>
    <w:rsid w:val="66643F6D"/>
    <w:rsid w:val="66687937"/>
    <w:rsid w:val="666E2A16"/>
    <w:rsid w:val="667E6236"/>
    <w:rsid w:val="66819C89"/>
    <w:rsid w:val="66895F1B"/>
    <w:rsid w:val="6689EBC0"/>
    <w:rsid w:val="66A3F378"/>
    <w:rsid w:val="66A71490"/>
    <w:rsid w:val="66AD096D"/>
    <w:rsid w:val="66B1068A"/>
    <w:rsid w:val="66B1F3D9"/>
    <w:rsid w:val="66CF9331"/>
    <w:rsid w:val="66D68CEA"/>
    <w:rsid w:val="66D942A8"/>
    <w:rsid w:val="66DD5640"/>
    <w:rsid w:val="66E2D164"/>
    <w:rsid w:val="66E7D19F"/>
    <w:rsid w:val="66E9715E"/>
    <w:rsid w:val="66EF4F9C"/>
    <w:rsid w:val="66F36248"/>
    <w:rsid w:val="66F9F987"/>
    <w:rsid w:val="66FD3ED5"/>
    <w:rsid w:val="66FE632F"/>
    <w:rsid w:val="67047210"/>
    <w:rsid w:val="6707194B"/>
    <w:rsid w:val="670B683E"/>
    <w:rsid w:val="670D144A"/>
    <w:rsid w:val="67179DA0"/>
    <w:rsid w:val="671CF15D"/>
    <w:rsid w:val="671D0742"/>
    <w:rsid w:val="671D35FD"/>
    <w:rsid w:val="672082D3"/>
    <w:rsid w:val="672F9024"/>
    <w:rsid w:val="67378679"/>
    <w:rsid w:val="673AB4CA"/>
    <w:rsid w:val="673EC3E8"/>
    <w:rsid w:val="67425E2D"/>
    <w:rsid w:val="6749488B"/>
    <w:rsid w:val="675FA0C6"/>
    <w:rsid w:val="67717D68"/>
    <w:rsid w:val="677C78CA"/>
    <w:rsid w:val="677F2C5A"/>
    <w:rsid w:val="6783ED9F"/>
    <w:rsid w:val="6785227C"/>
    <w:rsid w:val="678BFF2D"/>
    <w:rsid w:val="6793E588"/>
    <w:rsid w:val="67989997"/>
    <w:rsid w:val="679A52BB"/>
    <w:rsid w:val="67A23137"/>
    <w:rsid w:val="67A5BC95"/>
    <w:rsid w:val="67A5F53C"/>
    <w:rsid w:val="67A70FAC"/>
    <w:rsid w:val="67A8F139"/>
    <w:rsid w:val="67ACA4F4"/>
    <w:rsid w:val="67B00113"/>
    <w:rsid w:val="67B247B5"/>
    <w:rsid w:val="67B717D0"/>
    <w:rsid w:val="67BC463F"/>
    <w:rsid w:val="67C7D179"/>
    <w:rsid w:val="67C922D0"/>
    <w:rsid w:val="67D429EE"/>
    <w:rsid w:val="67D48688"/>
    <w:rsid w:val="67E31F0C"/>
    <w:rsid w:val="67E98B98"/>
    <w:rsid w:val="67F31D4A"/>
    <w:rsid w:val="67F439DC"/>
    <w:rsid w:val="67F88341"/>
    <w:rsid w:val="680AF649"/>
    <w:rsid w:val="680D67F4"/>
    <w:rsid w:val="68148773"/>
    <w:rsid w:val="681ECAF5"/>
    <w:rsid w:val="68209758"/>
    <w:rsid w:val="6821D639"/>
    <w:rsid w:val="6827C9BF"/>
    <w:rsid w:val="682A14DF"/>
    <w:rsid w:val="682D1C4D"/>
    <w:rsid w:val="682D8275"/>
    <w:rsid w:val="682DD63A"/>
    <w:rsid w:val="683E0675"/>
    <w:rsid w:val="6840171C"/>
    <w:rsid w:val="68496042"/>
    <w:rsid w:val="684A6BEF"/>
    <w:rsid w:val="684DAF43"/>
    <w:rsid w:val="68562BD0"/>
    <w:rsid w:val="685A7719"/>
    <w:rsid w:val="685AF383"/>
    <w:rsid w:val="685F3F49"/>
    <w:rsid w:val="6862F0EF"/>
    <w:rsid w:val="68633847"/>
    <w:rsid w:val="686D715C"/>
    <w:rsid w:val="6873E062"/>
    <w:rsid w:val="6879155F"/>
    <w:rsid w:val="6886DCF5"/>
    <w:rsid w:val="688B71D1"/>
    <w:rsid w:val="688EF42B"/>
    <w:rsid w:val="6899B144"/>
    <w:rsid w:val="68C1D9D3"/>
    <w:rsid w:val="68CF48F4"/>
    <w:rsid w:val="68D28285"/>
    <w:rsid w:val="68D91967"/>
    <w:rsid w:val="68E5305F"/>
    <w:rsid w:val="68E8FB0D"/>
    <w:rsid w:val="68EDA0A5"/>
    <w:rsid w:val="68F11AAD"/>
    <w:rsid w:val="68F2DB94"/>
    <w:rsid w:val="6906C0D2"/>
    <w:rsid w:val="69075108"/>
    <w:rsid w:val="69097680"/>
    <w:rsid w:val="690B63B4"/>
    <w:rsid w:val="6911E55D"/>
    <w:rsid w:val="69156BF3"/>
    <w:rsid w:val="691962A9"/>
    <w:rsid w:val="691E6B12"/>
    <w:rsid w:val="691E6D64"/>
    <w:rsid w:val="6920A1F0"/>
    <w:rsid w:val="692D287A"/>
    <w:rsid w:val="692FF6C7"/>
    <w:rsid w:val="69330CFB"/>
    <w:rsid w:val="693E53DB"/>
    <w:rsid w:val="693F08F1"/>
    <w:rsid w:val="69410578"/>
    <w:rsid w:val="694A797D"/>
    <w:rsid w:val="6952B67A"/>
    <w:rsid w:val="6963A1DA"/>
    <w:rsid w:val="69694E69"/>
    <w:rsid w:val="69701F30"/>
    <w:rsid w:val="6973D94B"/>
    <w:rsid w:val="697413CA"/>
    <w:rsid w:val="69774850"/>
    <w:rsid w:val="697969C1"/>
    <w:rsid w:val="697CFBB6"/>
    <w:rsid w:val="6985FA8F"/>
    <w:rsid w:val="698F5F27"/>
    <w:rsid w:val="6993AE8F"/>
    <w:rsid w:val="69A19E49"/>
    <w:rsid w:val="69AFBBF2"/>
    <w:rsid w:val="69B4FDC7"/>
    <w:rsid w:val="69B8CBF6"/>
    <w:rsid w:val="69C661C6"/>
    <w:rsid w:val="69CD0292"/>
    <w:rsid w:val="69D43D6C"/>
    <w:rsid w:val="69D604D1"/>
    <w:rsid w:val="69D7DFFA"/>
    <w:rsid w:val="69DAA43F"/>
    <w:rsid w:val="69DB56FD"/>
    <w:rsid w:val="69DD352F"/>
    <w:rsid w:val="69DF66BB"/>
    <w:rsid w:val="69E8ED36"/>
    <w:rsid w:val="69F0EA67"/>
    <w:rsid w:val="69F3AE5C"/>
    <w:rsid w:val="69F89F91"/>
    <w:rsid w:val="6A0A370F"/>
    <w:rsid w:val="6A0B113B"/>
    <w:rsid w:val="6A16A12F"/>
    <w:rsid w:val="6A1A7226"/>
    <w:rsid w:val="6A22DA98"/>
    <w:rsid w:val="6A2A3F09"/>
    <w:rsid w:val="6A2E9E84"/>
    <w:rsid w:val="6A3404B3"/>
    <w:rsid w:val="6A3712FE"/>
    <w:rsid w:val="6A45B9FF"/>
    <w:rsid w:val="6A4A8C6A"/>
    <w:rsid w:val="6A558C9E"/>
    <w:rsid w:val="6A59A68F"/>
    <w:rsid w:val="6A5B9276"/>
    <w:rsid w:val="6A5C3170"/>
    <w:rsid w:val="6A5D11F7"/>
    <w:rsid w:val="6A622917"/>
    <w:rsid w:val="6A6B2BC7"/>
    <w:rsid w:val="6A6FA364"/>
    <w:rsid w:val="6A78AC1E"/>
    <w:rsid w:val="6A7A7534"/>
    <w:rsid w:val="6A8FD48A"/>
    <w:rsid w:val="6A94AB54"/>
    <w:rsid w:val="6A9DE847"/>
    <w:rsid w:val="6AAC6E81"/>
    <w:rsid w:val="6AB202EF"/>
    <w:rsid w:val="6AB52FBC"/>
    <w:rsid w:val="6AB69E68"/>
    <w:rsid w:val="6AB8A9D7"/>
    <w:rsid w:val="6ABC7251"/>
    <w:rsid w:val="6AC98005"/>
    <w:rsid w:val="6AD9A81F"/>
    <w:rsid w:val="6ADD5794"/>
    <w:rsid w:val="6AE445B6"/>
    <w:rsid w:val="6AE5FB06"/>
    <w:rsid w:val="6AEA01FA"/>
    <w:rsid w:val="6AEC02F8"/>
    <w:rsid w:val="6AEDDFA9"/>
    <w:rsid w:val="6AF29F55"/>
    <w:rsid w:val="6AF2A148"/>
    <w:rsid w:val="6AF61BD3"/>
    <w:rsid w:val="6AF74E66"/>
    <w:rsid w:val="6B096D1E"/>
    <w:rsid w:val="6B2404EA"/>
    <w:rsid w:val="6B2C95A9"/>
    <w:rsid w:val="6B32D5DA"/>
    <w:rsid w:val="6B344FA7"/>
    <w:rsid w:val="6B387017"/>
    <w:rsid w:val="6B44CA9D"/>
    <w:rsid w:val="6B4BAEA4"/>
    <w:rsid w:val="6B50CE28"/>
    <w:rsid w:val="6B5A18ED"/>
    <w:rsid w:val="6B5D4078"/>
    <w:rsid w:val="6B6846DE"/>
    <w:rsid w:val="6B698070"/>
    <w:rsid w:val="6B701BFE"/>
    <w:rsid w:val="6B7284E9"/>
    <w:rsid w:val="6B7321C4"/>
    <w:rsid w:val="6B8AB1D3"/>
    <w:rsid w:val="6B93A7A2"/>
    <w:rsid w:val="6B9AD909"/>
    <w:rsid w:val="6BA8B872"/>
    <w:rsid w:val="6BAB5A6B"/>
    <w:rsid w:val="6BBD4AEB"/>
    <w:rsid w:val="6BE65641"/>
    <w:rsid w:val="6BF56BDB"/>
    <w:rsid w:val="6C0C9A10"/>
    <w:rsid w:val="6C107255"/>
    <w:rsid w:val="6C13FC31"/>
    <w:rsid w:val="6C182990"/>
    <w:rsid w:val="6C1F971D"/>
    <w:rsid w:val="6C2049FD"/>
    <w:rsid w:val="6C25184F"/>
    <w:rsid w:val="6C25887A"/>
    <w:rsid w:val="6C279702"/>
    <w:rsid w:val="6C32C659"/>
    <w:rsid w:val="6C3CB3A5"/>
    <w:rsid w:val="6C3EDCF2"/>
    <w:rsid w:val="6C49C03F"/>
    <w:rsid w:val="6C4CD64D"/>
    <w:rsid w:val="6C4E6368"/>
    <w:rsid w:val="6C58C6D2"/>
    <w:rsid w:val="6C600EC6"/>
    <w:rsid w:val="6C702899"/>
    <w:rsid w:val="6C8FF482"/>
    <w:rsid w:val="6C91E6DC"/>
    <w:rsid w:val="6C960F2C"/>
    <w:rsid w:val="6CA079F8"/>
    <w:rsid w:val="6CB62C20"/>
    <w:rsid w:val="6CB8E17C"/>
    <w:rsid w:val="6CBF6D98"/>
    <w:rsid w:val="6CC8F0F9"/>
    <w:rsid w:val="6CCF1318"/>
    <w:rsid w:val="6CD46B04"/>
    <w:rsid w:val="6CE296B3"/>
    <w:rsid w:val="6CE871DD"/>
    <w:rsid w:val="6CE99770"/>
    <w:rsid w:val="6CFAFA33"/>
    <w:rsid w:val="6CFD9C4D"/>
    <w:rsid w:val="6CFE399B"/>
    <w:rsid w:val="6CFE8A76"/>
    <w:rsid w:val="6D05FFDF"/>
    <w:rsid w:val="6D0F8808"/>
    <w:rsid w:val="6D0FCD7E"/>
    <w:rsid w:val="6D135CD9"/>
    <w:rsid w:val="6D136843"/>
    <w:rsid w:val="6D1848A7"/>
    <w:rsid w:val="6D2692A8"/>
    <w:rsid w:val="6D2AA2AE"/>
    <w:rsid w:val="6D2DA987"/>
    <w:rsid w:val="6D3FFC9B"/>
    <w:rsid w:val="6D4289BE"/>
    <w:rsid w:val="6D517027"/>
    <w:rsid w:val="6D60162B"/>
    <w:rsid w:val="6D61F791"/>
    <w:rsid w:val="6D63AD54"/>
    <w:rsid w:val="6D644985"/>
    <w:rsid w:val="6D6AD35B"/>
    <w:rsid w:val="6D6E4C8D"/>
    <w:rsid w:val="6D77E417"/>
    <w:rsid w:val="6D812AE1"/>
    <w:rsid w:val="6D82687B"/>
    <w:rsid w:val="6D8634CC"/>
    <w:rsid w:val="6D870A4A"/>
    <w:rsid w:val="6D8A5E0D"/>
    <w:rsid w:val="6D994E62"/>
    <w:rsid w:val="6D9CA5F9"/>
    <w:rsid w:val="6D9D71AF"/>
    <w:rsid w:val="6D9EFB2A"/>
    <w:rsid w:val="6DA5AEFC"/>
    <w:rsid w:val="6DA75516"/>
    <w:rsid w:val="6DAA3C23"/>
    <w:rsid w:val="6DAAEE1C"/>
    <w:rsid w:val="6DB45C7E"/>
    <w:rsid w:val="6DC2CAB8"/>
    <w:rsid w:val="6DC546DC"/>
    <w:rsid w:val="6DCDC84E"/>
    <w:rsid w:val="6DD85A68"/>
    <w:rsid w:val="6DD922DF"/>
    <w:rsid w:val="6DE1EBE4"/>
    <w:rsid w:val="6DE4B6B8"/>
    <w:rsid w:val="6DE5B349"/>
    <w:rsid w:val="6DE7B22F"/>
    <w:rsid w:val="6DEC4F3B"/>
    <w:rsid w:val="6DF55FB2"/>
    <w:rsid w:val="6E00BEB7"/>
    <w:rsid w:val="6E018FE0"/>
    <w:rsid w:val="6E01DE5C"/>
    <w:rsid w:val="6E02BD8B"/>
    <w:rsid w:val="6E047C4D"/>
    <w:rsid w:val="6E0524CF"/>
    <w:rsid w:val="6E07F4E2"/>
    <w:rsid w:val="6E25F2A5"/>
    <w:rsid w:val="6E3392F9"/>
    <w:rsid w:val="6E3638D4"/>
    <w:rsid w:val="6E384135"/>
    <w:rsid w:val="6E3AB68F"/>
    <w:rsid w:val="6E40440B"/>
    <w:rsid w:val="6E464C9E"/>
    <w:rsid w:val="6E4ED801"/>
    <w:rsid w:val="6E50AD65"/>
    <w:rsid w:val="6E5EF13D"/>
    <w:rsid w:val="6E646863"/>
    <w:rsid w:val="6E6914D7"/>
    <w:rsid w:val="6E72C419"/>
    <w:rsid w:val="6E74DE45"/>
    <w:rsid w:val="6E84EACE"/>
    <w:rsid w:val="6E87C122"/>
    <w:rsid w:val="6E8E05DB"/>
    <w:rsid w:val="6E94DD96"/>
    <w:rsid w:val="6E95D8F9"/>
    <w:rsid w:val="6E976B8B"/>
    <w:rsid w:val="6E9B913A"/>
    <w:rsid w:val="6EA5110E"/>
    <w:rsid w:val="6EAAE602"/>
    <w:rsid w:val="6EAED4F2"/>
    <w:rsid w:val="6EB49C86"/>
    <w:rsid w:val="6EBAAC2E"/>
    <w:rsid w:val="6EBFA968"/>
    <w:rsid w:val="6EC39AD8"/>
    <w:rsid w:val="6ED7CF19"/>
    <w:rsid w:val="6EDA5ED6"/>
    <w:rsid w:val="6EDCB50D"/>
    <w:rsid w:val="6EE7C056"/>
    <w:rsid w:val="6EF396BC"/>
    <w:rsid w:val="6EF52920"/>
    <w:rsid w:val="6EFA25DB"/>
    <w:rsid w:val="6EFAEB7B"/>
    <w:rsid w:val="6F069842"/>
    <w:rsid w:val="6F177D29"/>
    <w:rsid w:val="6F1D7D13"/>
    <w:rsid w:val="6F20CCFF"/>
    <w:rsid w:val="6F31C6A7"/>
    <w:rsid w:val="6F31EB6D"/>
    <w:rsid w:val="6F3318C9"/>
    <w:rsid w:val="6F3DC6B3"/>
    <w:rsid w:val="6F471CB0"/>
    <w:rsid w:val="6F4733D4"/>
    <w:rsid w:val="6F52BE42"/>
    <w:rsid w:val="6F54AF11"/>
    <w:rsid w:val="6F5BCF09"/>
    <w:rsid w:val="6F644918"/>
    <w:rsid w:val="6F7A3519"/>
    <w:rsid w:val="6F84770F"/>
    <w:rsid w:val="6F88A42D"/>
    <w:rsid w:val="6F8A0A64"/>
    <w:rsid w:val="6F8CD27C"/>
    <w:rsid w:val="6F8E22E0"/>
    <w:rsid w:val="6F9B5CB6"/>
    <w:rsid w:val="6FB030E9"/>
    <w:rsid w:val="6FB829E2"/>
    <w:rsid w:val="6FB92AA0"/>
    <w:rsid w:val="6FBA4271"/>
    <w:rsid w:val="6FBB0018"/>
    <w:rsid w:val="6FBF0D23"/>
    <w:rsid w:val="6FCA1734"/>
    <w:rsid w:val="6FCC45ED"/>
    <w:rsid w:val="6FD036E9"/>
    <w:rsid w:val="6FD43E14"/>
    <w:rsid w:val="6FD60136"/>
    <w:rsid w:val="6FDB73F7"/>
    <w:rsid w:val="6FDFA9E1"/>
    <w:rsid w:val="6FF0306F"/>
    <w:rsid w:val="6FF650E1"/>
    <w:rsid w:val="6FF6BDE5"/>
    <w:rsid w:val="6FFA8D44"/>
    <w:rsid w:val="7002F2F1"/>
    <w:rsid w:val="7004E538"/>
    <w:rsid w:val="70052815"/>
    <w:rsid w:val="7017C316"/>
    <w:rsid w:val="701BBFDF"/>
    <w:rsid w:val="701E0EA1"/>
    <w:rsid w:val="70278D34"/>
    <w:rsid w:val="7028DBE8"/>
    <w:rsid w:val="702E1EC4"/>
    <w:rsid w:val="7033273D"/>
    <w:rsid w:val="703555DC"/>
    <w:rsid w:val="70359279"/>
    <w:rsid w:val="703D5432"/>
    <w:rsid w:val="70461F50"/>
    <w:rsid w:val="7051B6CB"/>
    <w:rsid w:val="70567C8F"/>
    <w:rsid w:val="705B5462"/>
    <w:rsid w:val="705EB190"/>
    <w:rsid w:val="7060FA67"/>
    <w:rsid w:val="7064AA9F"/>
    <w:rsid w:val="7069C8B7"/>
    <w:rsid w:val="706A551C"/>
    <w:rsid w:val="706A87AD"/>
    <w:rsid w:val="7070E278"/>
    <w:rsid w:val="707AEFC7"/>
    <w:rsid w:val="70831A26"/>
    <w:rsid w:val="7087B370"/>
    <w:rsid w:val="708E464F"/>
    <w:rsid w:val="708F0558"/>
    <w:rsid w:val="7094F961"/>
    <w:rsid w:val="70B494A8"/>
    <w:rsid w:val="70D0E765"/>
    <w:rsid w:val="70D99714"/>
    <w:rsid w:val="70E30435"/>
    <w:rsid w:val="70E7BB63"/>
    <w:rsid w:val="70EA5819"/>
    <w:rsid w:val="70EA726D"/>
    <w:rsid w:val="70FE2654"/>
    <w:rsid w:val="71022153"/>
    <w:rsid w:val="7102C434"/>
    <w:rsid w:val="7106B516"/>
    <w:rsid w:val="710CF59D"/>
    <w:rsid w:val="710DD195"/>
    <w:rsid w:val="710FC479"/>
    <w:rsid w:val="71114E40"/>
    <w:rsid w:val="7116B7C5"/>
    <w:rsid w:val="711A899D"/>
    <w:rsid w:val="711EA924"/>
    <w:rsid w:val="7120789E"/>
    <w:rsid w:val="712AB919"/>
    <w:rsid w:val="712DA605"/>
    <w:rsid w:val="712E522D"/>
    <w:rsid w:val="71316DE6"/>
    <w:rsid w:val="71319B1F"/>
    <w:rsid w:val="713AF60F"/>
    <w:rsid w:val="713E4143"/>
    <w:rsid w:val="714004AE"/>
    <w:rsid w:val="71407309"/>
    <w:rsid w:val="71507DCB"/>
    <w:rsid w:val="7152FA14"/>
    <w:rsid w:val="715311BE"/>
    <w:rsid w:val="71558B62"/>
    <w:rsid w:val="71566565"/>
    <w:rsid w:val="71575B10"/>
    <w:rsid w:val="715E4669"/>
    <w:rsid w:val="71661AB5"/>
    <w:rsid w:val="7168771D"/>
    <w:rsid w:val="717A976A"/>
    <w:rsid w:val="717D0A6B"/>
    <w:rsid w:val="717FD090"/>
    <w:rsid w:val="7187FBBC"/>
    <w:rsid w:val="718BD1C7"/>
    <w:rsid w:val="718EB31D"/>
    <w:rsid w:val="7191497D"/>
    <w:rsid w:val="71981F3F"/>
    <w:rsid w:val="719A80C0"/>
    <w:rsid w:val="719B5639"/>
    <w:rsid w:val="719B95A7"/>
    <w:rsid w:val="71A277FD"/>
    <w:rsid w:val="71AC0439"/>
    <w:rsid w:val="71ADF306"/>
    <w:rsid w:val="71B44E78"/>
    <w:rsid w:val="71C00FAC"/>
    <w:rsid w:val="71C0BAED"/>
    <w:rsid w:val="71C5659D"/>
    <w:rsid w:val="71CBF3B4"/>
    <w:rsid w:val="71CEE1B2"/>
    <w:rsid w:val="71D078CC"/>
    <w:rsid w:val="71D47158"/>
    <w:rsid w:val="71DC43E3"/>
    <w:rsid w:val="71E1FE85"/>
    <w:rsid w:val="71E2F92B"/>
    <w:rsid w:val="71E5035C"/>
    <w:rsid w:val="71E547C1"/>
    <w:rsid w:val="71EDCB01"/>
    <w:rsid w:val="71F68A65"/>
    <w:rsid w:val="71FEC055"/>
    <w:rsid w:val="7204C821"/>
    <w:rsid w:val="7208CC50"/>
    <w:rsid w:val="720939C9"/>
    <w:rsid w:val="720CB2D9"/>
    <w:rsid w:val="7212578C"/>
    <w:rsid w:val="72169F58"/>
    <w:rsid w:val="7217ECEF"/>
    <w:rsid w:val="7219A2DF"/>
    <w:rsid w:val="722F7BEE"/>
    <w:rsid w:val="723D65E5"/>
    <w:rsid w:val="724BF78F"/>
    <w:rsid w:val="72503ED1"/>
    <w:rsid w:val="725EEF35"/>
    <w:rsid w:val="726B6757"/>
    <w:rsid w:val="726C93F4"/>
    <w:rsid w:val="72747743"/>
    <w:rsid w:val="72784F28"/>
    <w:rsid w:val="727AB2DF"/>
    <w:rsid w:val="72833DB5"/>
    <w:rsid w:val="72886335"/>
    <w:rsid w:val="72898446"/>
    <w:rsid w:val="72912982"/>
    <w:rsid w:val="7293449B"/>
    <w:rsid w:val="729612A7"/>
    <w:rsid w:val="72A4D0EC"/>
    <w:rsid w:val="72A54C6D"/>
    <w:rsid w:val="72AD1EA1"/>
    <w:rsid w:val="72AD2196"/>
    <w:rsid w:val="72B8C382"/>
    <w:rsid w:val="72BA24E2"/>
    <w:rsid w:val="72BC17D1"/>
    <w:rsid w:val="72C8CE8C"/>
    <w:rsid w:val="72C92D50"/>
    <w:rsid w:val="72D34081"/>
    <w:rsid w:val="72D8A687"/>
    <w:rsid w:val="72DB6CBB"/>
    <w:rsid w:val="72DC0568"/>
    <w:rsid w:val="72E1B64C"/>
    <w:rsid w:val="72E23738"/>
    <w:rsid w:val="72E8E36C"/>
    <w:rsid w:val="72E914E6"/>
    <w:rsid w:val="72EECA75"/>
    <w:rsid w:val="72F3A3CD"/>
    <w:rsid w:val="7300E31B"/>
    <w:rsid w:val="73089F7A"/>
    <w:rsid w:val="731AFF2A"/>
    <w:rsid w:val="731FC950"/>
    <w:rsid w:val="73202003"/>
    <w:rsid w:val="73224924"/>
    <w:rsid w:val="7326F44A"/>
    <w:rsid w:val="73329C46"/>
    <w:rsid w:val="733DBD3D"/>
    <w:rsid w:val="73412641"/>
    <w:rsid w:val="73478334"/>
    <w:rsid w:val="7351977D"/>
    <w:rsid w:val="735239E9"/>
    <w:rsid w:val="735E6201"/>
    <w:rsid w:val="735F9756"/>
    <w:rsid w:val="735FEC9A"/>
    <w:rsid w:val="73634EC9"/>
    <w:rsid w:val="736C41F9"/>
    <w:rsid w:val="7373C760"/>
    <w:rsid w:val="73753869"/>
    <w:rsid w:val="737E0D70"/>
    <w:rsid w:val="737E437C"/>
    <w:rsid w:val="73915334"/>
    <w:rsid w:val="73952897"/>
    <w:rsid w:val="739A2C10"/>
    <w:rsid w:val="739C6522"/>
    <w:rsid w:val="739D5498"/>
    <w:rsid w:val="73ACBEB4"/>
    <w:rsid w:val="73AF2CA6"/>
    <w:rsid w:val="73B00BD6"/>
    <w:rsid w:val="73BA9EF4"/>
    <w:rsid w:val="73ECFC3A"/>
    <w:rsid w:val="73EFBDDA"/>
    <w:rsid w:val="73F4DCD1"/>
    <w:rsid w:val="73F884ED"/>
    <w:rsid w:val="73FFFFD6"/>
    <w:rsid w:val="74005DFA"/>
    <w:rsid w:val="74022947"/>
    <w:rsid w:val="7402D89E"/>
    <w:rsid w:val="74075B2F"/>
    <w:rsid w:val="740AE4B8"/>
    <w:rsid w:val="740B47FE"/>
    <w:rsid w:val="741081CA"/>
    <w:rsid w:val="74158ACA"/>
    <w:rsid w:val="743686C0"/>
    <w:rsid w:val="743E2D85"/>
    <w:rsid w:val="743F8808"/>
    <w:rsid w:val="74444BE1"/>
    <w:rsid w:val="74457257"/>
    <w:rsid w:val="744A67C9"/>
    <w:rsid w:val="744CC506"/>
    <w:rsid w:val="744D59AA"/>
    <w:rsid w:val="745D52E2"/>
    <w:rsid w:val="74727A71"/>
    <w:rsid w:val="7473CE49"/>
    <w:rsid w:val="7479CFCD"/>
    <w:rsid w:val="747CC3D4"/>
    <w:rsid w:val="7488C261"/>
    <w:rsid w:val="7488D6C3"/>
    <w:rsid w:val="748A471B"/>
    <w:rsid w:val="748EF748"/>
    <w:rsid w:val="748F8DC5"/>
    <w:rsid w:val="749656B3"/>
    <w:rsid w:val="749C305E"/>
    <w:rsid w:val="74A99EAC"/>
    <w:rsid w:val="74AA77C3"/>
    <w:rsid w:val="74BD00C0"/>
    <w:rsid w:val="74BE2404"/>
    <w:rsid w:val="74C23F0E"/>
    <w:rsid w:val="74C563B0"/>
    <w:rsid w:val="74D33669"/>
    <w:rsid w:val="74DAF931"/>
    <w:rsid w:val="74E0CFC6"/>
    <w:rsid w:val="74EB963C"/>
    <w:rsid w:val="74F7DDFA"/>
    <w:rsid w:val="750422BE"/>
    <w:rsid w:val="752221A4"/>
    <w:rsid w:val="752D602E"/>
    <w:rsid w:val="75350378"/>
    <w:rsid w:val="753964D0"/>
    <w:rsid w:val="75543A32"/>
    <w:rsid w:val="755A3062"/>
    <w:rsid w:val="755CE8B6"/>
    <w:rsid w:val="755E882C"/>
    <w:rsid w:val="75698FF0"/>
    <w:rsid w:val="756BA8C1"/>
    <w:rsid w:val="756E0E3E"/>
    <w:rsid w:val="7570388D"/>
    <w:rsid w:val="7573010F"/>
    <w:rsid w:val="75771E01"/>
    <w:rsid w:val="7578D2F4"/>
    <w:rsid w:val="757BC931"/>
    <w:rsid w:val="757CC58B"/>
    <w:rsid w:val="757CE8B6"/>
    <w:rsid w:val="758822B0"/>
    <w:rsid w:val="7589E0AF"/>
    <w:rsid w:val="758D0B32"/>
    <w:rsid w:val="759008E2"/>
    <w:rsid w:val="75951CDA"/>
    <w:rsid w:val="759540B9"/>
    <w:rsid w:val="75976AFF"/>
    <w:rsid w:val="7599B342"/>
    <w:rsid w:val="759A9C12"/>
    <w:rsid w:val="759C7FFC"/>
    <w:rsid w:val="759E63C8"/>
    <w:rsid w:val="75A2357E"/>
    <w:rsid w:val="75A27157"/>
    <w:rsid w:val="75AA9D2B"/>
    <w:rsid w:val="75B1968F"/>
    <w:rsid w:val="75B6323D"/>
    <w:rsid w:val="75BBE995"/>
    <w:rsid w:val="75C24449"/>
    <w:rsid w:val="75C2D684"/>
    <w:rsid w:val="75CC8DE3"/>
    <w:rsid w:val="75CE50B0"/>
    <w:rsid w:val="75E35323"/>
    <w:rsid w:val="75E78AE1"/>
    <w:rsid w:val="75F23D06"/>
    <w:rsid w:val="75F74709"/>
    <w:rsid w:val="75F79511"/>
    <w:rsid w:val="75FA4891"/>
    <w:rsid w:val="76013E95"/>
    <w:rsid w:val="7602ED48"/>
    <w:rsid w:val="760F4015"/>
    <w:rsid w:val="7610065C"/>
    <w:rsid w:val="7612F56B"/>
    <w:rsid w:val="7614FE31"/>
    <w:rsid w:val="7615FF8A"/>
    <w:rsid w:val="76201EBA"/>
    <w:rsid w:val="7621C868"/>
    <w:rsid w:val="76245236"/>
    <w:rsid w:val="76258AC2"/>
    <w:rsid w:val="7627F1CE"/>
    <w:rsid w:val="763B2A82"/>
    <w:rsid w:val="763CA2FB"/>
    <w:rsid w:val="7659BB6A"/>
    <w:rsid w:val="765CEB07"/>
    <w:rsid w:val="766F2EED"/>
    <w:rsid w:val="7671C161"/>
    <w:rsid w:val="7674F032"/>
    <w:rsid w:val="76759503"/>
    <w:rsid w:val="767D0A86"/>
    <w:rsid w:val="76838DDD"/>
    <w:rsid w:val="76943F5F"/>
    <w:rsid w:val="76958B0E"/>
    <w:rsid w:val="76969702"/>
    <w:rsid w:val="76978753"/>
    <w:rsid w:val="769FE1E9"/>
    <w:rsid w:val="76A08C59"/>
    <w:rsid w:val="76A0B38E"/>
    <w:rsid w:val="76B182C6"/>
    <w:rsid w:val="76C48B0F"/>
    <w:rsid w:val="76CB6CAE"/>
    <w:rsid w:val="76D3BD1D"/>
    <w:rsid w:val="76D8D6CE"/>
    <w:rsid w:val="76D90C81"/>
    <w:rsid w:val="76DA7393"/>
    <w:rsid w:val="76DC233B"/>
    <w:rsid w:val="76E1F07B"/>
    <w:rsid w:val="76E22D47"/>
    <w:rsid w:val="76E2B2AC"/>
    <w:rsid w:val="76E45F76"/>
    <w:rsid w:val="76E63734"/>
    <w:rsid w:val="76E8D4D5"/>
    <w:rsid w:val="76ED7A42"/>
    <w:rsid w:val="76FF3ABE"/>
    <w:rsid w:val="77010D66"/>
    <w:rsid w:val="7709BD79"/>
    <w:rsid w:val="770CAEFA"/>
    <w:rsid w:val="770F0EC2"/>
    <w:rsid w:val="77101D51"/>
    <w:rsid w:val="771A08DC"/>
    <w:rsid w:val="771DC9F5"/>
    <w:rsid w:val="7728DB93"/>
    <w:rsid w:val="77304A12"/>
    <w:rsid w:val="7732CE0A"/>
    <w:rsid w:val="773F8814"/>
    <w:rsid w:val="774050FB"/>
    <w:rsid w:val="7742A31C"/>
    <w:rsid w:val="7743E1A3"/>
    <w:rsid w:val="774635F7"/>
    <w:rsid w:val="774A8AB6"/>
    <w:rsid w:val="77576F8A"/>
    <w:rsid w:val="775E14AA"/>
    <w:rsid w:val="776B7EB4"/>
    <w:rsid w:val="777D1319"/>
    <w:rsid w:val="778043C9"/>
    <w:rsid w:val="7780B6AE"/>
    <w:rsid w:val="77844E1E"/>
    <w:rsid w:val="7787900F"/>
    <w:rsid w:val="778CF84F"/>
    <w:rsid w:val="7791A0EF"/>
    <w:rsid w:val="779982F2"/>
    <w:rsid w:val="779D0EF6"/>
    <w:rsid w:val="77A3AC70"/>
    <w:rsid w:val="77A3C378"/>
    <w:rsid w:val="77B0CE92"/>
    <w:rsid w:val="77BECFC9"/>
    <w:rsid w:val="77BFFAE9"/>
    <w:rsid w:val="77C6980A"/>
    <w:rsid w:val="77CA5DB1"/>
    <w:rsid w:val="77D09061"/>
    <w:rsid w:val="77D20688"/>
    <w:rsid w:val="77D8BE73"/>
    <w:rsid w:val="77EFB00B"/>
    <w:rsid w:val="77F16F60"/>
    <w:rsid w:val="77FFF94E"/>
    <w:rsid w:val="78013D6A"/>
    <w:rsid w:val="780B8809"/>
    <w:rsid w:val="78216A1C"/>
    <w:rsid w:val="782B1AE2"/>
    <w:rsid w:val="782DA78C"/>
    <w:rsid w:val="78352759"/>
    <w:rsid w:val="7836DB05"/>
    <w:rsid w:val="783B19A9"/>
    <w:rsid w:val="7844B7E6"/>
    <w:rsid w:val="78497890"/>
    <w:rsid w:val="7856213E"/>
    <w:rsid w:val="7858BB96"/>
    <w:rsid w:val="78598CC0"/>
    <w:rsid w:val="7860842C"/>
    <w:rsid w:val="78655395"/>
    <w:rsid w:val="786A4B79"/>
    <w:rsid w:val="786EFBB7"/>
    <w:rsid w:val="78758FEF"/>
    <w:rsid w:val="78765980"/>
    <w:rsid w:val="787ED855"/>
    <w:rsid w:val="78806AD4"/>
    <w:rsid w:val="78825CB2"/>
    <w:rsid w:val="788CDD33"/>
    <w:rsid w:val="7891E709"/>
    <w:rsid w:val="789566B6"/>
    <w:rsid w:val="7897D007"/>
    <w:rsid w:val="7899CDEB"/>
    <w:rsid w:val="789D6354"/>
    <w:rsid w:val="78A43978"/>
    <w:rsid w:val="78AB812C"/>
    <w:rsid w:val="78B5E364"/>
    <w:rsid w:val="78BC2CAD"/>
    <w:rsid w:val="78CCE17B"/>
    <w:rsid w:val="78CE2C58"/>
    <w:rsid w:val="78D55CB6"/>
    <w:rsid w:val="78DCDD6B"/>
    <w:rsid w:val="78E4EE4F"/>
    <w:rsid w:val="78E6E727"/>
    <w:rsid w:val="78E78447"/>
    <w:rsid w:val="78E8AD42"/>
    <w:rsid w:val="78EBAF67"/>
    <w:rsid w:val="78F45A34"/>
    <w:rsid w:val="78FDB88C"/>
    <w:rsid w:val="7918E37A"/>
    <w:rsid w:val="7919F64A"/>
    <w:rsid w:val="791BC123"/>
    <w:rsid w:val="79212C57"/>
    <w:rsid w:val="7923DDCD"/>
    <w:rsid w:val="792AE269"/>
    <w:rsid w:val="792EE110"/>
    <w:rsid w:val="79370CDD"/>
    <w:rsid w:val="7937D4BA"/>
    <w:rsid w:val="793BD0A7"/>
    <w:rsid w:val="793C01A4"/>
    <w:rsid w:val="79470413"/>
    <w:rsid w:val="794996FE"/>
    <w:rsid w:val="79547906"/>
    <w:rsid w:val="795A7C27"/>
    <w:rsid w:val="796035A3"/>
    <w:rsid w:val="79688ACD"/>
    <w:rsid w:val="796FA181"/>
    <w:rsid w:val="7979BD0A"/>
    <w:rsid w:val="7982E162"/>
    <w:rsid w:val="7983BCD7"/>
    <w:rsid w:val="798A67B2"/>
    <w:rsid w:val="799AC5F2"/>
    <w:rsid w:val="799FAAFB"/>
    <w:rsid w:val="79A373BB"/>
    <w:rsid w:val="79A7586A"/>
    <w:rsid w:val="79AA18BA"/>
    <w:rsid w:val="79ABB4B9"/>
    <w:rsid w:val="79AD8A20"/>
    <w:rsid w:val="79AFE938"/>
    <w:rsid w:val="79B33C12"/>
    <w:rsid w:val="79B7BDF9"/>
    <w:rsid w:val="79C18288"/>
    <w:rsid w:val="79C2E497"/>
    <w:rsid w:val="79C61EB6"/>
    <w:rsid w:val="79C7C266"/>
    <w:rsid w:val="79CABE63"/>
    <w:rsid w:val="79CE4A01"/>
    <w:rsid w:val="79D605EC"/>
    <w:rsid w:val="79E9D259"/>
    <w:rsid w:val="79ED05C3"/>
    <w:rsid w:val="79F04624"/>
    <w:rsid w:val="79F40489"/>
    <w:rsid w:val="79F756FE"/>
    <w:rsid w:val="79FADB28"/>
    <w:rsid w:val="79FB51B1"/>
    <w:rsid w:val="7A04E1BA"/>
    <w:rsid w:val="7A0658CD"/>
    <w:rsid w:val="7A0CC2F2"/>
    <w:rsid w:val="7A0FBC13"/>
    <w:rsid w:val="7A1267E9"/>
    <w:rsid w:val="7A1716EE"/>
    <w:rsid w:val="7A1920FA"/>
    <w:rsid w:val="7A1C9A54"/>
    <w:rsid w:val="7A1D3AAF"/>
    <w:rsid w:val="7A1F9F91"/>
    <w:rsid w:val="7A22C411"/>
    <w:rsid w:val="7A2CE8D8"/>
    <w:rsid w:val="7A341793"/>
    <w:rsid w:val="7A351013"/>
    <w:rsid w:val="7A37F578"/>
    <w:rsid w:val="7A3A5EBC"/>
    <w:rsid w:val="7A409253"/>
    <w:rsid w:val="7A44AB76"/>
    <w:rsid w:val="7A522C03"/>
    <w:rsid w:val="7A54A353"/>
    <w:rsid w:val="7A5CC6FA"/>
    <w:rsid w:val="7A6480E1"/>
    <w:rsid w:val="7A75924B"/>
    <w:rsid w:val="7A766F4F"/>
    <w:rsid w:val="7A789730"/>
    <w:rsid w:val="7A7ECB15"/>
    <w:rsid w:val="7A7FC711"/>
    <w:rsid w:val="7A8183A8"/>
    <w:rsid w:val="7A8CF917"/>
    <w:rsid w:val="7A937D4B"/>
    <w:rsid w:val="7A95EDEA"/>
    <w:rsid w:val="7A99000F"/>
    <w:rsid w:val="7A993910"/>
    <w:rsid w:val="7A9D247F"/>
    <w:rsid w:val="7AA726B8"/>
    <w:rsid w:val="7AB2C73B"/>
    <w:rsid w:val="7AB9E5C5"/>
    <w:rsid w:val="7AC4FB2E"/>
    <w:rsid w:val="7AD455A0"/>
    <w:rsid w:val="7ADBEF19"/>
    <w:rsid w:val="7AE16DF3"/>
    <w:rsid w:val="7AE7C836"/>
    <w:rsid w:val="7AEF573B"/>
    <w:rsid w:val="7AF75824"/>
    <w:rsid w:val="7AFBC456"/>
    <w:rsid w:val="7AFD4D9B"/>
    <w:rsid w:val="7AFE38CC"/>
    <w:rsid w:val="7B0666D1"/>
    <w:rsid w:val="7B08A71B"/>
    <w:rsid w:val="7B0925F7"/>
    <w:rsid w:val="7B167421"/>
    <w:rsid w:val="7B1AD716"/>
    <w:rsid w:val="7B294F90"/>
    <w:rsid w:val="7B51F9A8"/>
    <w:rsid w:val="7B531C34"/>
    <w:rsid w:val="7B645217"/>
    <w:rsid w:val="7B654BB2"/>
    <w:rsid w:val="7B895B83"/>
    <w:rsid w:val="7B8A4642"/>
    <w:rsid w:val="7B8B697D"/>
    <w:rsid w:val="7B98172D"/>
    <w:rsid w:val="7B99815B"/>
    <w:rsid w:val="7B9A1BCE"/>
    <w:rsid w:val="7B9D2EEA"/>
    <w:rsid w:val="7BA6BC41"/>
    <w:rsid w:val="7BA83880"/>
    <w:rsid w:val="7BC3B622"/>
    <w:rsid w:val="7BC40338"/>
    <w:rsid w:val="7BD3C9EF"/>
    <w:rsid w:val="7BDFF839"/>
    <w:rsid w:val="7BE07155"/>
    <w:rsid w:val="7BE16808"/>
    <w:rsid w:val="7BE6A96B"/>
    <w:rsid w:val="7BEC9BA4"/>
    <w:rsid w:val="7BF68201"/>
    <w:rsid w:val="7BFA2760"/>
    <w:rsid w:val="7BFD4B4C"/>
    <w:rsid w:val="7BFF9601"/>
    <w:rsid w:val="7C039961"/>
    <w:rsid w:val="7C060B1D"/>
    <w:rsid w:val="7C06B1CD"/>
    <w:rsid w:val="7C0C2893"/>
    <w:rsid w:val="7C16143F"/>
    <w:rsid w:val="7C18BE1E"/>
    <w:rsid w:val="7C1C494F"/>
    <w:rsid w:val="7C22AB54"/>
    <w:rsid w:val="7C3965FE"/>
    <w:rsid w:val="7C3D3B50"/>
    <w:rsid w:val="7C41BDEF"/>
    <w:rsid w:val="7C4555C6"/>
    <w:rsid w:val="7C49C851"/>
    <w:rsid w:val="7C4CAE14"/>
    <w:rsid w:val="7C4E080A"/>
    <w:rsid w:val="7C50A7D9"/>
    <w:rsid w:val="7C51662D"/>
    <w:rsid w:val="7C52B43E"/>
    <w:rsid w:val="7C6469C2"/>
    <w:rsid w:val="7C68F282"/>
    <w:rsid w:val="7C708019"/>
    <w:rsid w:val="7C76DD6A"/>
    <w:rsid w:val="7C8CD97E"/>
    <w:rsid w:val="7C8DA381"/>
    <w:rsid w:val="7C924257"/>
    <w:rsid w:val="7C9DCED4"/>
    <w:rsid w:val="7C9E4463"/>
    <w:rsid w:val="7CA02B8F"/>
    <w:rsid w:val="7CA6E588"/>
    <w:rsid w:val="7CAB14D8"/>
    <w:rsid w:val="7CAD4074"/>
    <w:rsid w:val="7CADE3DA"/>
    <w:rsid w:val="7CB0710B"/>
    <w:rsid w:val="7CE6A408"/>
    <w:rsid w:val="7CED0A38"/>
    <w:rsid w:val="7CF4A64D"/>
    <w:rsid w:val="7D055127"/>
    <w:rsid w:val="7D0CFE10"/>
    <w:rsid w:val="7D1632EA"/>
    <w:rsid w:val="7D2ADAD0"/>
    <w:rsid w:val="7D36430F"/>
    <w:rsid w:val="7D3BFF94"/>
    <w:rsid w:val="7D3ECB99"/>
    <w:rsid w:val="7D435BDD"/>
    <w:rsid w:val="7D45A672"/>
    <w:rsid w:val="7D5B4D89"/>
    <w:rsid w:val="7D63BAE0"/>
    <w:rsid w:val="7D6B46B3"/>
    <w:rsid w:val="7D75316E"/>
    <w:rsid w:val="7D7A4E1A"/>
    <w:rsid w:val="7D895487"/>
    <w:rsid w:val="7D8B071C"/>
    <w:rsid w:val="7D8BC83E"/>
    <w:rsid w:val="7D903042"/>
    <w:rsid w:val="7D9467BC"/>
    <w:rsid w:val="7D946C1F"/>
    <w:rsid w:val="7D948C0D"/>
    <w:rsid w:val="7DA2FF15"/>
    <w:rsid w:val="7DA44453"/>
    <w:rsid w:val="7DAB8B4D"/>
    <w:rsid w:val="7DBADFF4"/>
    <w:rsid w:val="7DC6DA1E"/>
    <w:rsid w:val="7DCA82D7"/>
    <w:rsid w:val="7DD7923F"/>
    <w:rsid w:val="7DD81CB4"/>
    <w:rsid w:val="7DD9C77E"/>
    <w:rsid w:val="7DD9E3CD"/>
    <w:rsid w:val="7DE41A9D"/>
    <w:rsid w:val="7DE45ADF"/>
    <w:rsid w:val="7DE677DA"/>
    <w:rsid w:val="7DEBC9E9"/>
    <w:rsid w:val="7DF04722"/>
    <w:rsid w:val="7DFC8795"/>
    <w:rsid w:val="7DFECA78"/>
    <w:rsid w:val="7E0DD24F"/>
    <w:rsid w:val="7E0DFBD8"/>
    <w:rsid w:val="7E102F43"/>
    <w:rsid w:val="7E14E61E"/>
    <w:rsid w:val="7E15EBC0"/>
    <w:rsid w:val="7E174317"/>
    <w:rsid w:val="7E2B4A04"/>
    <w:rsid w:val="7E2DA606"/>
    <w:rsid w:val="7E35D0B8"/>
    <w:rsid w:val="7E3DB859"/>
    <w:rsid w:val="7E41C7F0"/>
    <w:rsid w:val="7E4B927C"/>
    <w:rsid w:val="7E4ED160"/>
    <w:rsid w:val="7E5B70C7"/>
    <w:rsid w:val="7E667E02"/>
    <w:rsid w:val="7E6ACDDD"/>
    <w:rsid w:val="7E709F1F"/>
    <w:rsid w:val="7E812B6F"/>
    <w:rsid w:val="7E8759F3"/>
    <w:rsid w:val="7E8AF7A8"/>
    <w:rsid w:val="7E90F3DA"/>
    <w:rsid w:val="7E96788D"/>
    <w:rsid w:val="7E982195"/>
    <w:rsid w:val="7E987540"/>
    <w:rsid w:val="7EA08AF2"/>
    <w:rsid w:val="7EAB0504"/>
    <w:rsid w:val="7EACB587"/>
    <w:rsid w:val="7EC217D6"/>
    <w:rsid w:val="7EC61269"/>
    <w:rsid w:val="7ED1E031"/>
    <w:rsid w:val="7ED8C8FE"/>
    <w:rsid w:val="7EE823AF"/>
    <w:rsid w:val="7EEB96FF"/>
    <w:rsid w:val="7EEFE8F5"/>
    <w:rsid w:val="7EF1383E"/>
    <w:rsid w:val="7EFB0A5D"/>
    <w:rsid w:val="7F0A180D"/>
    <w:rsid w:val="7F0C9676"/>
    <w:rsid w:val="7F0EA900"/>
    <w:rsid w:val="7F1165DD"/>
    <w:rsid w:val="7F268B3E"/>
    <w:rsid w:val="7F29B9A1"/>
    <w:rsid w:val="7F37E5A9"/>
    <w:rsid w:val="7F3B010A"/>
    <w:rsid w:val="7F3D0FEC"/>
    <w:rsid w:val="7F480A9A"/>
    <w:rsid w:val="7F49D5EF"/>
    <w:rsid w:val="7F4B8FC9"/>
    <w:rsid w:val="7F4C71F0"/>
    <w:rsid w:val="7F58EA53"/>
    <w:rsid w:val="7F5921EE"/>
    <w:rsid w:val="7F6B5899"/>
    <w:rsid w:val="7F700F71"/>
    <w:rsid w:val="7F720EC5"/>
    <w:rsid w:val="7F72FB94"/>
    <w:rsid w:val="7F7736C2"/>
    <w:rsid w:val="7F77E3A4"/>
    <w:rsid w:val="7F791A14"/>
    <w:rsid w:val="7F79F526"/>
    <w:rsid w:val="7F7AF7FB"/>
    <w:rsid w:val="7F7CF688"/>
    <w:rsid w:val="7FA19F83"/>
    <w:rsid w:val="7FAE8265"/>
    <w:rsid w:val="7FAEDFAB"/>
    <w:rsid w:val="7FB3C8D3"/>
    <w:rsid w:val="7FC1DCF3"/>
    <w:rsid w:val="7FCA40A7"/>
    <w:rsid w:val="7FCD6BB4"/>
    <w:rsid w:val="7FD26802"/>
    <w:rsid w:val="7FD6B55E"/>
    <w:rsid w:val="7FD7CC51"/>
    <w:rsid w:val="7FD946F7"/>
    <w:rsid w:val="7FDD9C2B"/>
    <w:rsid w:val="7FDF9C9C"/>
    <w:rsid w:val="7FE340F9"/>
    <w:rsid w:val="7FEE51B2"/>
    <w:rsid w:val="7FF1B893"/>
    <w:rsid w:val="7FF68E34"/>
    <w:rsid w:val="7FFB90E6"/>
    <w:rsid w:val="7FFCAC0E"/>
    <w:rsid w:val="7FFFC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075625"/>
  <w15:docId w15:val="{9C352306-3425-4808-8ACB-0A255AA1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C77"/>
  </w:style>
  <w:style w:type="paragraph" w:styleId="Heading1">
    <w:name w:val="heading 1"/>
    <w:basedOn w:val="Normal"/>
    <w:next w:val="Normal"/>
    <w:link w:val="Heading1Char"/>
    <w:uiPriority w:val="9"/>
    <w:qFormat/>
    <w:rsid w:val="00745F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64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6599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1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F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45FF4"/>
    <w:pPr>
      <w:outlineLvl w:val="9"/>
    </w:p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ISTA"/>
    <w:basedOn w:val="Normal"/>
    <w:link w:val="ListParagraphChar"/>
    <w:uiPriority w:val="34"/>
    <w:qFormat/>
    <w:rsid w:val="00926D64"/>
    <w:pPr>
      <w:ind w:left="720"/>
      <w:contextualSpacing/>
    </w:pPr>
  </w:style>
  <w:style w:type="paragraph" w:styleId="Title">
    <w:name w:val="Title"/>
    <w:basedOn w:val="Normal"/>
    <w:next w:val="Normal"/>
    <w:link w:val="TitleChar"/>
    <w:uiPriority w:val="10"/>
    <w:qFormat/>
    <w:rsid w:val="002C03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38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C464A7"/>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D4044"/>
    <w:pPr>
      <w:tabs>
        <w:tab w:val="left" w:pos="851"/>
        <w:tab w:val="right" w:leader="dot" w:pos="9016"/>
      </w:tabs>
      <w:spacing w:before="240" w:after="240" w:line="288" w:lineRule="auto"/>
      <w:ind w:left="426" w:hanging="426"/>
      <w:jc w:val="both"/>
    </w:pPr>
    <w:rPr>
      <w:rFonts w:ascii="Times New Roman" w:hAnsi="Times New Roman" w:cs="Times New Roman"/>
      <w:noProof/>
      <w:sz w:val="24"/>
      <w:szCs w:val="24"/>
    </w:rPr>
  </w:style>
  <w:style w:type="paragraph" w:styleId="TOC2">
    <w:name w:val="toc 2"/>
    <w:basedOn w:val="Normal"/>
    <w:next w:val="Normal"/>
    <w:autoRedefine/>
    <w:uiPriority w:val="39"/>
    <w:unhideWhenUsed/>
    <w:rsid w:val="00FE39D3"/>
    <w:pPr>
      <w:tabs>
        <w:tab w:val="left" w:pos="1100"/>
        <w:tab w:val="right" w:leader="dot" w:pos="9016"/>
      </w:tabs>
      <w:spacing w:after="100"/>
      <w:ind w:left="220"/>
    </w:pPr>
  </w:style>
  <w:style w:type="character" w:styleId="Hyperlink">
    <w:name w:val="Hyperlink"/>
    <w:basedOn w:val="DefaultParagraphFont"/>
    <w:uiPriority w:val="99"/>
    <w:unhideWhenUsed/>
    <w:rsid w:val="003716B0"/>
    <w:rPr>
      <w:color w:val="0563C1" w:themeColor="hyperlink"/>
      <w:u w:val="single"/>
    </w:rPr>
  </w:style>
  <w:style w:type="paragraph" w:styleId="FootnoteText">
    <w:name w:val="footnote text"/>
    <w:aliases w:val="Footnote Text Char Char,Footnote text,Footnote Text Char1,Footnote Text Char2 Char,Footnote Text Char1 Char1 Char,Footnote Text Char2 Char Char Char,Footnote Text Char1 Char1 Char Char Char,Plonk,fn,fn Char Char,Fußnote,o, Char1,o Car Car"/>
    <w:basedOn w:val="Normal"/>
    <w:link w:val="FootnoteTextChar"/>
    <w:uiPriority w:val="99"/>
    <w:unhideWhenUsed/>
    <w:qFormat/>
    <w:rsid w:val="003E5080"/>
    <w:pPr>
      <w:spacing w:after="0" w:line="240" w:lineRule="auto"/>
    </w:pPr>
    <w:rPr>
      <w:sz w:val="20"/>
      <w:szCs w:val="20"/>
    </w:rPr>
  </w:style>
  <w:style w:type="character" w:customStyle="1" w:styleId="FootnoteTextChar">
    <w:name w:val="Footnote Text Char"/>
    <w:aliases w:val="Footnote Text Char Char Char,Footnote text Char,Footnote Text Char1 Char,Footnote Text Char2 Char Char,Footnote Text Char1 Char1 Char Char,Footnote Text Char2 Char Char Char Char,Footnote Text Char1 Char1 Char Char Char Char,fn Char"/>
    <w:basedOn w:val="DefaultParagraphFont"/>
    <w:link w:val="FootnoteText"/>
    <w:uiPriority w:val="99"/>
    <w:rsid w:val="003E5080"/>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16 Point,note TESI"/>
    <w:basedOn w:val="DefaultParagraphFont"/>
    <w:link w:val="SUPERSCharCharCharCharCharCharCharChar"/>
    <w:uiPriority w:val="99"/>
    <w:unhideWhenUsed/>
    <w:qFormat/>
    <w:rsid w:val="003E5080"/>
    <w:rPr>
      <w:vertAlign w:val="superscript"/>
    </w:rPr>
  </w:style>
  <w:style w:type="character" w:styleId="CommentReference">
    <w:name w:val="annotation reference"/>
    <w:basedOn w:val="DefaultParagraphFont"/>
    <w:uiPriority w:val="99"/>
    <w:semiHidden/>
    <w:unhideWhenUsed/>
    <w:rsid w:val="00B51BD6"/>
    <w:rPr>
      <w:sz w:val="16"/>
      <w:szCs w:val="16"/>
    </w:rPr>
  </w:style>
  <w:style w:type="paragraph" w:styleId="CommentText">
    <w:name w:val="annotation text"/>
    <w:basedOn w:val="Normal"/>
    <w:link w:val="CommentTextChar"/>
    <w:uiPriority w:val="99"/>
    <w:unhideWhenUsed/>
    <w:rsid w:val="00B51BD6"/>
    <w:pPr>
      <w:spacing w:line="240" w:lineRule="auto"/>
    </w:pPr>
    <w:rPr>
      <w:sz w:val="20"/>
      <w:szCs w:val="20"/>
    </w:rPr>
  </w:style>
  <w:style w:type="character" w:customStyle="1" w:styleId="CommentTextChar">
    <w:name w:val="Comment Text Char"/>
    <w:basedOn w:val="DefaultParagraphFont"/>
    <w:link w:val="CommentText"/>
    <w:uiPriority w:val="99"/>
    <w:rsid w:val="00B51BD6"/>
    <w:rPr>
      <w:sz w:val="20"/>
      <w:szCs w:val="20"/>
    </w:rPr>
  </w:style>
  <w:style w:type="paragraph" w:styleId="CommentSubject">
    <w:name w:val="annotation subject"/>
    <w:basedOn w:val="CommentText"/>
    <w:next w:val="CommentText"/>
    <w:link w:val="CommentSubjectChar"/>
    <w:uiPriority w:val="99"/>
    <w:semiHidden/>
    <w:unhideWhenUsed/>
    <w:rsid w:val="00B51BD6"/>
    <w:rPr>
      <w:b/>
      <w:bCs/>
    </w:rPr>
  </w:style>
  <w:style w:type="character" w:customStyle="1" w:styleId="CommentSubjectChar">
    <w:name w:val="Comment Subject Char"/>
    <w:basedOn w:val="CommentTextChar"/>
    <w:link w:val="CommentSubject"/>
    <w:uiPriority w:val="99"/>
    <w:semiHidden/>
    <w:rsid w:val="00B51BD6"/>
    <w:rPr>
      <w:b/>
      <w:bCs/>
      <w:sz w:val="20"/>
      <w:szCs w:val="20"/>
    </w:rPr>
  </w:style>
  <w:style w:type="paragraph" w:styleId="BalloonText">
    <w:name w:val="Balloon Text"/>
    <w:basedOn w:val="Normal"/>
    <w:link w:val="BalloonTextChar"/>
    <w:uiPriority w:val="99"/>
    <w:semiHidden/>
    <w:unhideWhenUsed/>
    <w:rsid w:val="00B51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BD6"/>
    <w:rPr>
      <w:rFonts w:ascii="Segoe UI" w:hAnsi="Segoe UI" w:cs="Segoe UI"/>
      <w:sz w:val="18"/>
      <w:szCs w:val="18"/>
    </w:rPr>
  </w:style>
  <w:style w:type="character" w:customStyle="1" w:styleId="Heading3Char">
    <w:name w:val="Heading 3 Char"/>
    <w:basedOn w:val="DefaultParagraphFont"/>
    <w:link w:val="Heading3"/>
    <w:uiPriority w:val="9"/>
    <w:rsid w:val="0086599F"/>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6255C1"/>
    <w:pPr>
      <w:spacing w:after="100"/>
      <w:ind w:left="440"/>
    </w:pPr>
  </w:style>
  <w:style w:type="paragraph" w:styleId="Header">
    <w:name w:val="header"/>
    <w:basedOn w:val="Normal"/>
    <w:link w:val="HeaderChar"/>
    <w:uiPriority w:val="99"/>
    <w:unhideWhenUsed/>
    <w:rsid w:val="0028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AB5"/>
  </w:style>
  <w:style w:type="paragraph" w:styleId="Footer">
    <w:name w:val="footer"/>
    <w:basedOn w:val="Normal"/>
    <w:link w:val="FooterChar"/>
    <w:uiPriority w:val="99"/>
    <w:unhideWhenUsed/>
    <w:rsid w:val="0028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AB5"/>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246E4F"/>
    <w:pPr>
      <w:spacing w:line="240" w:lineRule="exact"/>
      <w:jc w:val="both"/>
    </w:pPr>
    <w:rPr>
      <w:vertAlign w:val="superscript"/>
    </w:rPr>
  </w:style>
  <w:style w:type="paragraph" w:styleId="Revision">
    <w:name w:val="Revision"/>
    <w:hidden/>
    <w:uiPriority w:val="99"/>
    <w:semiHidden/>
    <w:rsid w:val="00E71149"/>
    <w:pPr>
      <w:spacing w:after="0" w:line="240" w:lineRule="auto"/>
    </w:pPr>
  </w:style>
  <w:style w:type="paragraph" w:customStyle="1" w:styleId="Default">
    <w:name w:val="Default"/>
    <w:rsid w:val="00971AE8"/>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A52FA"/>
    <w:rPr>
      <w:color w:val="954F72" w:themeColor="followedHyperlink"/>
      <w:u w:val="single"/>
    </w:rPr>
  </w:style>
  <w:style w:type="character" w:customStyle="1" w:styleId="Marker">
    <w:name w:val="Marker"/>
    <w:basedOn w:val="DefaultParagraphFont"/>
    <w:rsid w:val="00261C77"/>
    <w:rPr>
      <w:color w:val="0000FF"/>
      <w:shd w:val="clear" w:color="auto" w:fill="auto"/>
    </w:rPr>
  </w:style>
  <w:style w:type="paragraph" w:customStyle="1" w:styleId="Pagedecouverture">
    <w:name w:val="Page de couverture"/>
    <w:basedOn w:val="Normal"/>
    <w:next w:val="Normal"/>
    <w:rsid w:val="00261C7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61C77"/>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FooterCoverPageChar">
    <w:name w:val="Footer Cover Page Char"/>
    <w:basedOn w:val="TitleChar"/>
    <w:link w:val="FooterCoverPage"/>
    <w:rsid w:val="00261C77"/>
    <w:rPr>
      <w:rFonts w:ascii="Times New Roman" w:eastAsiaTheme="majorEastAsia" w:hAnsi="Times New Roman" w:cs="Times New Roman"/>
      <w:spacing w:val="-10"/>
      <w:kern w:val="28"/>
      <w:sz w:val="24"/>
      <w:szCs w:val="56"/>
    </w:rPr>
  </w:style>
  <w:style w:type="paragraph" w:customStyle="1" w:styleId="FooterSensitivity">
    <w:name w:val="Footer Sensitivity"/>
    <w:basedOn w:val="Normal"/>
    <w:link w:val="FooterSensitivityChar"/>
    <w:rsid w:val="00261C77"/>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itleChar"/>
    <w:link w:val="FooterSensitivity"/>
    <w:rsid w:val="00261C77"/>
    <w:rPr>
      <w:rFonts w:ascii="Times New Roman" w:eastAsiaTheme="majorEastAsia" w:hAnsi="Times New Roman" w:cs="Times New Roman"/>
      <w:b/>
      <w:spacing w:val="-10"/>
      <w:kern w:val="28"/>
      <w:sz w:val="32"/>
      <w:szCs w:val="56"/>
    </w:rPr>
  </w:style>
  <w:style w:type="paragraph" w:customStyle="1" w:styleId="HeaderCoverPage">
    <w:name w:val="Header Cover Page"/>
    <w:basedOn w:val="Normal"/>
    <w:link w:val="HeaderCoverPageChar"/>
    <w:rsid w:val="00261C77"/>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TitleChar"/>
    <w:link w:val="HeaderCoverPage"/>
    <w:rsid w:val="00261C77"/>
    <w:rPr>
      <w:rFonts w:ascii="Times New Roman" w:eastAsiaTheme="majorEastAsia" w:hAnsi="Times New Roman" w:cs="Times New Roman"/>
      <w:spacing w:val="-10"/>
      <w:kern w:val="28"/>
      <w:sz w:val="24"/>
      <w:szCs w:val="56"/>
    </w:rPr>
  </w:style>
  <w:style w:type="paragraph" w:customStyle="1" w:styleId="HeaderSensitivity">
    <w:name w:val="Header Sensitivity"/>
    <w:basedOn w:val="Normal"/>
    <w:link w:val="HeaderSensitivityChar"/>
    <w:rsid w:val="00261C77"/>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itleChar"/>
    <w:link w:val="HeaderSensitivity"/>
    <w:rsid w:val="00261C77"/>
    <w:rPr>
      <w:rFonts w:ascii="Times New Roman" w:eastAsiaTheme="majorEastAsia" w:hAnsi="Times New Roman" w:cs="Times New Roman"/>
      <w:b/>
      <w:spacing w:val="-10"/>
      <w:kern w:val="28"/>
      <w:sz w:val="32"/>
      <w:szCs w:val="56"/>
    </w:rPr>
  </w:style>
  <w:style w:type="paragraph" w:customStyle="1" w:styleId="HeaderSensitivityRight">
    <w:name w:val="Header Sensitivity Right"/>
    <w:basedOn w:val="Normal"/>
    <w:link w:val="HeaderSensitivityRightChar"/>
    <w:rsid w:val="0092190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itleChar"/>
    <w:link w:val="HeaderSensitivityRight"/>
    <w:rsid w:val="00261C77"/>
    <w:rPr>
      <w:rFonts w:ascii="Times New Roman" w:eastAsiaTheme="majorEastAsia" w:hAnsi="Times New Roman" w:cs="Times New Roman"/>
      <w:spacing w:val="-10"/>
      <w:kern w:val="28"/>
      <w:sz w:val="28"/>
      <w:szCs w:val="56"/>
    </w:rPr>
  </w:style>
  <w:style w:type="table" w:styleId="TableGrid">
    <w:name w:val="Table Grid"/>
    <w:basedOn w:val="TableNormal"/>
    <w:uiPriority w:val="39"/>
    <w:rsid w:val="00D1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B2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E"/>
    </w:rPr>
  </w:style>
  <w:style w:type="character" w:customStyle="1" w:styleId="HTMLPreformattedChar">
    <w:name w:val="HTML Preformatted Char"/>
    <w:basedOn w:val="DefaultParagraphFont"/>
    <w:link w:val="HTMLPreformatted"/>
    <w:uiPriority w:val="99"/>
    <w:semiHidden/>
    <w:rsid w:val="00EB2E89"/>
    <w:rPr>
      <w:rFonts w:ascii="Courier New" w:eastAsia="Times New Roman" w:hAnsi="Courier New" w:cs="Courier New"/>
      <w:sz w:val="20"/>
      <w:szCs w:val="20"/>
      <w:lang w:eastAsia="en-IE"/>
    </w:rPr>
  </w:style>
  <w:style w:type="paragraph" w:customStyle="1" w:styleId="Text1">
    <w:name w:val="Text 1"/>
    <w:basedOn w:val="Normal"/>
    <w:link w:val="Text1Char"/>
    <w:rsid w:val="00BB75F0"/>
    <w:pPr>
      <w:spacing w:after="240" w:line="240" w:lineRule="auto"/>
      <w:ind w:left="482"/>
      <w:jc w:val="both"/>
    </w:pPr>
    <w:rPr>
      <w:rFonts w:ascii="Times New Roman" w:eastAsia="Times New Roman" w:hAnsi="Times New Roman" w:cs="Times New Roman"/>
      <w:noProof/>
      <w:sz w:val="24"/>
      <w:szCs w:val="20"/>
    </w:rPr>
  </w:style>
  <w:style w:type="character" w:customStyle="1" w:styleId="Text1Char">
    <w:name w:val="Text 1 Char"/>
    <w:link w:val="Text1"/>
    <w:locked/>
    <w:rsid w:val="00BB75F0"/>
    <w:rPr>
      <w:rFonts w:ascii="Times New Roman" w:eastAsia="Times New Roman" w:hAnsi="Times New Roman" w:cs="Times New Roman"/>
      <w:noProof/>
      <w:sz w:val="24"/>
      <w:szCs w:val="20"/>
      <w:lang w:val="ro-RO"/>
    </w:rPr>
  </w:style>
  <w:style w:type="paragraph" w:customStyle="1" w:styleId="paragraph">
    <w:name w:val="paragraph"/>
    <w:basedOn w:val="Normal"/>
    <w:rsid w:val="00CE792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CE7923"/>
  </w:style>
  <w:style w:type="character" w:customStyle="1" w:styleId="eop">
    <w:name w:val="eop"/>
    <w:basedOn w:val="DefaultParagraphFont"/>
    <w:rsid w:val="00CE7923"/>
  </w:style>
  <w:style w:type="character" w:customStyle="1" w:styleId="consultation-date">
    <w:name w:val="consultation-date"/>
    <w:basedOn w:val="DefaultParagraphFont"/>
    <w:rsid w:val="00525DB0"/>
  </w:style>
  <w:style w:type="character" w:customStyle="1" w:styleId="findhit">
    <w:name w:val="findhit"/>
    <w:basedOn w:val="DefaultParagraphFont"/>
    <w:rsid w:val="00642B37"/>
  </w:style>
  <w:style w:type="character" w:customStyle="1" w:styleId="Heading4Char">
    <w:name w:val="Heading 4 Char"/>
    <w:basedOn w:val="DefaultParagraphFont"/>
    <w:link w:val="Heading4"/>
    <w:uiPriority w:val="9"/>
    <w:rsid w:val="0041099E"/>
    <w:rPr>
      <w:rFonts w:asciiTheme="majorHAnsi" w:eastAsiaTheme="majorEastAsia" w:hAnsiTheme="majorHAnsi" w:cstheme="majorBidi"/>
      <w:i/>
      <w:iCs/>
      <w:color w:val="2E74B5" w:themeColor="accent1" w:themeShade="BF"/>
    </w:rPr>
  </w:style>
  <w:style w:type="character" w:customStyle="1" w:styleId="UnresolvedMention1">
    <w:name w:val="Unresolved Mention1"/>
    <w:basedOn w:val="DefaultParagraphFont"/>
    <w:uiPriority w:val="99"/>
    <w:semiHidden/>
    <w:unhideWhenUsed/>
    <w:rsid w:val="00E5249C"/>
    <w:rPr>
      <w:color w:val="605E5C"/>
      <w:shd w:val="clear" w:color="auto" w:fill="E1DFDD"/>
    </w:rPr>
  </w:style>
  <w:style w:type="character" w:customStyle="1" w:styleId="UnresolvedMention2">
    <w:name w:val="Unresolved Mention2"/>
    <w:basedOn w:val="DefaultParagraphFont"/>
    <w:uiPriority w:val="99"/>
    <w:semiHidden/>
    <w:unhideWhenUsed/>
    <w:rsid w:val="000115DE"/>
    <w:rPr>
      <w:color w:val="605E5C"/>
      <w:shd w:val="clear" w:color="auto" w:fill="E1DFDD"/>
    </w:rPr>
  </w:style>
  <w:style w:type="character" w:customStyle="1" w:styleId="UnresolvedMention3">
    <w:name w:val="Unresolved Mention3"/>
    <w:basedOn w:val="DefaultParagraphFont"/>
    <w:uiPriority w:val="99"/>
    <w:semiHidden/>
    <w:unhideWhenUsed/>
    <w:rsid w:val="006D1404"/>
    <w:rPr>
      <w:color w:val="605E5C"/>
      <w:shd w:val="clear" w:color="auto" w:fill="E1DFDD"/>
    </w:rPr>
  </w:style>
  <w:style w:type="paragraph" w:customStyle="1" w:styleId="footnotejt">
    <w:name w:val="footnote jt"/>
    <w:basedOn w:val="FootnoteText"/>
    <w:rsid w:val="006D1404"/>
    <w:pPr>
      <w:tabs>
        <w:tab w:val="left" w:pos="720"/>
      </w:tabs>
      <w:ind w:left="432" w:hanging="432"/>
      <w:jc w:val="both"/>
    </w:pPr>
    <w:rPr>
      <w:rFonts w:ascii="Times New Roman" w:hAnsi="Times New Roman" w:cs="Times New Roman"/>
    </w:rPr>
  </w:style>
  <w:style w:type="character" w:customStyle="1" w:styleId="UnresolvedMention4">
    <w:name w:val="Unresolved Mention4"/>
    <w:basedOn w:val="DefaultParagraphFont"/>
    <w:uiPriority w:val="99"/>
    <w:semiHidden/>
    <w:unhideWhenUsed/>
    <w:rsid w:val="006D1404"/>
    <w:rPr>
      <w:color w:val="605E5C"/>
      <w:shd w:val="clear" w:color="auto" w:fill="E1DFDD"/>
    </w:rPr>
  </w:style>
  <w:style w:type="character" w:customStyle="1" w:styleId="UnresolvedMention5">
    <w:name w:val="Unresolved Mention5"/>
    <w:basedOn w:val="DefaultParagraphFont"/>
    <w:uiPriority w:val="99"/>
    <w:semiHidden/>
    <w:unhideWhenUsed/>
    <w:rsid w:val="006D1404"/>
    <w:rPr>
      <w:color w:val="605E5C"/>
      <w:shd w:val="clear" w:color="auto" w:fill="E1DFDD"/>
    </w:rPr>
  </w:style>
  <w:style w:type="character" w:customStyle="1" w:styleId="UnresolvedMention6">
    <w:name w:val="Unresolved Mention6"/>
    <w:basedOn w:val="DefaultParagraphFont"/>
    <w:uiPriority w:val="99"/>
    <w:semiHidden/>
    <w:unhideWhenUsed/>
    <w:rsid w:val="006D1404"/>
    <w:rPr>
      <w:color w:val="605E5C"/>
      <w:shd w:val="clear" w:color="auto" w:fill="E1DFDD"/>
    </w:rPr>
  </w:style>
  <w:style w:type="character" w:customStyle="1" w:styleId="UnresolvedMention7">
    <w:name w:val="Unresolved Mention7"/>
    <w:basedOn w:val="DefaultParagraphFont"/>
    <w:uiPriority w:val="99"/>
    <w:semiHidden/>
    <w:unhideWhenUsed/>
    <w:rsid w:val="006D1404"/>
    <w:rPr>
      <w:color w:val="605E5C"/>
      <w:shd w:val="clear" w:color="auto" w:fill="E1DFDD"/>
    </w:rPr>
  </w:style>
  <w:style w:type="character" w:customStyle="1" w:styleId="UnresolvedMention8">
    <w:name w:val="Unresolved Mention8"/>
    <w:basedOn w:val="DefaultParagraphFont"/>
    <w:uiPriority w:val="99"/>
    <w:semiHidden/>
    <w:unhideWhenUsed/>
    <w:rsid w:val="00E36D9A"/>
    <w:rPr>
      <w:color w:val="605E5C"/>
      <w:shd w:val="clear" w:color="auto" w:fill="E1DFDD"/>
    </w:rPr>
  </w:style>
  <w:style w:type="character" w:customStyle="1" w:styleId="UnresolvedMention">
    <w:name w:val="Unresolved Mention"/>
    <w:basedOn w:val="DefaultParagraphFont"/>
    <w:uiPriority w:val="99"/>
    <w:semiHidden/>
    <w:unhideWhenUsed/>
    <w:rsid w:val="00062E29"/>
    <w:rPr>
      <w:color w:val="605E5C"/>
      <w:shd w:val="clear" w:color="auto" w:fill="E1DFDD"/>
    </w:rPr>
  </w:style>
  <w:style w:type="paragraph" w:customStyle="1" w:styleId="o1">
    <w:name w:val="o1"/>
    <w:basedOn w:val="Normal"/>
    <w:next w:val="FootnoteText"/>
    <w:uiPriority w:val="99"/>
    <w:unhideWhenUsed/>
    <w:qFormat/>
    <w:rsid w:val="00D054F6"/>
    <w:pPr>
      <w:spacing w:after="0" w:line="240" w:lineRule="auto"/>
    </w:pPr>
    <w:rPr>
      <w:sz w:val="20"/>
      <w:szCs w:val="20"/>
    </w:rPr>
  </w:style>
  <w:style w:type="character" w:styleId="EndnoteReference">
    <w:name w:val="endnote reference"/>
    <w:basedOn w:val="DefaultParagraphFont"/>
    <w:uiPriority w:val="99"/>
    <w:semiHidden/>
    <w:unhideWhenUsed/>
    <w:rsid w:val="00643462"/>
    <w:rPr>
      <w:vertAlign w:val="superscript"/>
    </w:rPr>
  </w:style>
  <w:style w:type="character" w:customStyle="1" w:styleId="EndnoteTextChar">
    <w:name w:val="Endnote Text Char"/>
    <w:basedOn w:val="DefaultParagraphFont"/>
    <w:link w:val="EndnoteText"/>
    <w:uiPriority w:val="99"/>
    <w:semiHidden/>
    <w:rsid w:val="00643462"/>
    <w:rPr>
      <w:sz w:val="20"/>
      <w:szCs w:val="20"/>
    </w:rPr>
  </w:style>
  <w:style w:type="paragraph" w:styleId="EndnoteText">
    <w:name w:val="endnote text"/>
    <w:basedOn w:val="Normal"/>
    <w:link w:val="EndnoteTextChar"/>
    <w:uiPriority w:val="99"/>
    <w:semiHidden/>
    <w:unhideWhenUsed/>
    <w:rsid w:val="00643462"/>
    <w:pPr>
      <w:spacing w:after="0" w:line="240" w:lineRule="auto"/>
    </w:pPr>
    <w:rPr>
      <w:sz w:val="20"/>
      <w:szCs w:val="20"/>
    </w:rPr>
  </w:style>
  <w:style w:type="character" w:customStyle="1" w:styleId="EndnoteTextChar1">
    <w:name w:val="Endnote Text Char1"/>
    <w:basedOn w:val="DefaultParagraphFont"/>
    <w:uiPriority w:val="99"/>
    <w:semiHidden/>
    <w:rsid w:val="00643462"/>
    <w:rPr>
      <w:sz w:val="20"/>
      <w:szCs w:val="20"/>
    </w:rPr>
  </w:style>
  <w:style w:type="paragraph" w:customStyle="1" w:styleId="pf0">
    <w:name w:val="pf0"/>
    <w:basedOn w:val="Normal"/>
    <w:rsid w:val="008C2B0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8C2B04"/>
    <w:rPr>
      <w:rFonts w:ascii="Segoe UI" w:hAnsi="Segoe UI" w:cs="Segoe UI" w:hint="default"/>
      <w:i/>
      <w:iCs/>
      <w:color w:val="2E74B5"/>
      <w:sz w:val="18"/>
      <w:szCs w:val="18"/>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0B67DF"/>
  </w:style>
  <w:style w:type="character" w:customStyle="1" w:styleId="Hyperlink1">
    <w:name w:val="Hyperlink1"/>
    <w:basedOn w:val="DefaultParagraphFont"/>
    <w:uiPriority w:val="99"/>
    <w:unhideWhenUsed/>
    <w:rsid w:val="006C1DA9"/>
    <w:rPr>
      <w:color w:val="0563C1"/>
      <w:u w:val="single"/>
    </w:rPr>
  </w:style>
  <w:style w:type="paragraph" w:customStyle="1" w:styleId="oCarCar1">
    <w:name w:val="o Car Car1"/>
    <w:basedOn w:val="Normal"/>
    <w:next w:val="FootnoteText"/>
    <w:uiPriority w:val="99"/>
    <w:unhideWhenUsed/>
    <w:qFormat/>
    <w:rsid w:val="00410D38"/>
    <w:pPr>
      <w:spacing w:after="0" w:line="240" w:lineRule="auto"/>
    </w:pPr>
    <w:rPr>
      <w:kern w:val="2"/>
      <w:sz w:val="20"/>
      <w:szCs w:val="20"/>
    </w:rPr>
  </w:style>
  <w:style w:type="paragraph" w:customStyle="1" w:styleId="Languesfaisantfoi">
    <w:name w:val="Langues faisant foi"/>
    <w:basedOn w:val="Normal"/>
    <w:next w:val="Normal"/>
    <w:rsid w:val="0009386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09386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093869"/>
    <w:pPr>
      <w:spacing w:after="0"/>
    </w:pPr>
  </w:style>
  <w:style w:type="paragraph" w:customStyle="1" w:styleId="IntrtEEEPagedecouverture">
    <w:name w:val="Intérêt EEE (Page de couverture)"/>
    <w:basedOn w:val="IntrtEEE"/>
    <w:next w:val="Normal"/>
    <w:rsid w:val="00093869"/>
  </w:style>
  <w:style w:type="paragraph" w:customStyle="1" w:styleId="Disclaimer">
    <w:name w:val="Disclaimer"/>
    <w:basedOn w:val="Normal"/>
    <w:rsid w:val="00921907"/>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21907"/>
    <w:pPr>
      <w:spacing w:after="0" w:line="276" w:lineRule="auto"/>
      <w:ind w:left="5103"/>
    </w:pPr>
    <w:rPr>
      <w:rFonts w:ascii="Times New Roman" w:hAnsi="Times New Roman" w:cs="Times New Roman"/>
      <w:sz w:val="28"/>
    </w:rPr>
  </w:style>
  <w:style w:type="paragraph" w:customStyle="1" w:styleId="DateMarking">
    <w:name w:val="DateMarking"/>
    <w:basedOn w:val="Normal"/>
    <w:rsid w:val="00921907"/>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21907"/>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442">
      <w:bodyDiv w:val="1"/>
      <w:marLeft w:val="0"/>
      <w:marRight w:val="0"/>
      <w:marTop w:val="0"/>
      <w:marBottom w:val="0"/>
      <w:divBdr>
        <w:top w:val="none" w:sz="0" w:space="0" w:color="auto"/>
        <w:left w:val="none" w:sz="0" w:space="0" w:color="auto"/>
        <w:bottom w:val="none" w:sz="0" w:space="0" w:color="auto"/>
        <w:right w:val="none" w:sz="0" w:space="0" w:color="auto"/>
      </w:divBdr>
    </w:div>
    <w:div w:id="52781419">
      <w:bodyDiv w:val="1"/>
      <w:marLeft w:val="0"/>
      <w:marRight w:val="0"/>
      <w:marTop w:val="0"/>
      <w:marBottom w:val="0"/>
      <w:divBdr>
        <w:top w:val="none" w:sz="0" w:space="0" w:color="auto"/>
        <w:left w:val="none" w:sz="0" w:space="0" w:color="auto"/>
        <w:bottom w:val="none" w:sz="0" w:space="0" w:color="auto"/>
        <w:right w:val="none" w:sz="0" w:space="0" w:color="auto"/>
      </w:divBdr>
    </w:div>
    <w:div w:id="73210176">
      <w:bodyDiv w:val="1"/>
      <w:marLeft w:val="0"/>
      <w:marRight w:val="0"/>
      <w:marTop w:val="0"/>
      <w:marBottom w:val="0"/>
      <w:divBdr>
        <w:top w:val="none" w:sz="0" w:space="0" w:color="auto"/>
        <w:left w:val="none" w:sz="0" w:space="0" w:color="auto"/>
        <w:bottom w:val="none" w:sz="0" w:space="0" w:color="auto"/>
        <w:right w:val="none" w:sz="0" w:space="0" w:color="auto"/>
      </w:divBdr>
    </w:div>
    <w:div w:id="118644662">
      <w:bodyDiv w:val="1"/>
      <w:marLeft w:val="0"/>
      <w:marRight w:val="0"/>
      <w:marTop w:val="0"/>
      <w:marBottom w:val="0"/>
      <w:divBdr>
        <w:top w:val="none" w:sz="0" w:space="0" w:color="auto"/>
        <w:left w:val="none" w:sz="0" w:space="0" w:color="auto"/>
        <w:bottom w:val="none" w:sz="0" w:space="0" w:color="auto"/>
        <w:right w:val="none" w:sz="0" w:space="0" w:color="auto"/>
      </w:divBdr>
    </w:div>
    <w:div w:id="129054301">
      <w:bodyDiv w:val="1"/>
      <w:marLeft w:val="0"/>
      <w:marRight w:val="0"/>
      <w:marTop w:val="0"/>
      <w:marBottom w:val="0"/>
      <w:divBdr>
        <w:top w:val="none" w:sz="0" w:space="0" w:color="auto"/>
        <w:left w:val="none" w:sz="0" w:space="0" w:color="auto"/>
        <w:bottom w:val="none" w:sz="0" w:space="0" w:color="auto"/>
        <w:right w:val="none" w:sz="0" w:space="0" w:color="auto"/>
      </w:divBdr>
    </w:div>
    <w:div w:id="165943682">
      <w:bodyDiv w:val="1"/>
      <w:marLeft w:val="0"/>
      <w:marRight w:val="0"/>
      <w:marTop w:val="0"/>
      <w:marBottom w:val="0"/>
      <w:divBdr>
        <w:top w:val="none" w:sz="0" w:space="0" w:color="auto"/>
        <w:left w:val="none" w:sz="0" w:space="0" w:color="auto"/>
        <w:bottom w:val="none" w:sz="0" w:space="0" w:color="auto"/>
        <w:right w:val="none" w:sz="0" w:space="0" w:color="auto"/>
      </w:divBdr>
    </w:div>
    <w:div w:id="215968247">
      <w:bodyDiv w:val="1"/>
      <w:marLeft w:val="0"/>
      <w:marRight w:val="0"/>
      <w:marTop w:val="0"/>
      <w:marBottom w:val="0"/>
      <w:divBdr>
        <w:top w:val="none" w:sz="0" w:space="0" w:color="auto"/>
        <w:left w:val="none" w:sz="0" w:space="0" w:color="auto"/>
        <w:bottom w:val="none" w:sz="0" w:space="0" w:color="auto"/>
        <w:right w:val="none" w:sz="0" w:space="0" w:color="auto"/>
      </w:divBdr>
    </w:div>
    <w:div w:id="247663641">
      <w:bodyDiv w:val="1"/>
      <w:marLeft w:val="0"/>
      <w:marRight w:val="0"/>
      <w:marTop w:val="0"/>
      <w:marBottom w:val="0"/>
      <w:divBdr>
        <w:top w:val="none" w:sz="0" w:space="0" w:color="auto"/>
        <w:left w:val="none" w:sz="0" w:space="0" w:color="auto"/>
        <w:bottom w:val="none" w:sz="0" w:space="0" w:color="auto"/>
        <w:right w:val="none" w:sz="0" w:space="0" w:color="auto"/>
      </w:divBdr>
    </w:div>
    <w:div w:id="263851884">
      <w:bodyDiv w:val="1"/>
      <w:marLeft w:val="0"/>
      <w:marRight w:val="0"/>
      <w:marTop w:val="0"/>
      <w:marBottom w:val="0"/>
      <w:divBdr>
        <w:top w:val="none" w:sz="0" w:space="0" w:color="auto"/>
        <w:left w:val="none" w:sz="0" w:space="0" w:color="auto"/>
        <w:bottom w:val="none" w:sz="0" w:space="0" w:color="auto"/>
        <w:right w:val="none" w:sz="0" w:space="0" w:color="auto"/>
      </w:divBdr>
    </w:div>
    <w:div w:id="279382816">
      <w:bodyDiv w:val="1"/>
      <w:marLeft w:val="0"/>
      <w:marRight w:val="0"/>
      <w:marTop w:val="0"/>
      <w:marBottom w:val="0"/>
      <w:divBdr>
        <w:top w:val="none" w:sz="0" w:space="0" w:color="auto"/>
        <w:left w:val="none" w:sz="0" w:space="0" w:color="auto"/>
        <w:bottom w:val="none" w:sz="0" w:space="0" w:color="auto"/>
        <w:right w:val="none" w:sz="0" w:space="0" w:color="auto"/>
      </w:divBdr>
    </w:div>
    <w:div w:id="303243685">
      <w:bodyDiv w:val="1"/>
      <w:marLeft w:val="0"/>
      <w:marRight w:val="0"/>
      <w:marTop w:val="0"/>
      <w:marBottom w:val="0"/>
      <w:divBdr>
        <w:top w:val="none" w:sz="0" w:space="0" w:color="auto"/>
        <w:left w:val="none" w:sz="0" w:space="0" w:color="auto"/>
        <w:bottom w:val="none" w:sz="0" w:space="0" w:color="auto"/>
        <w:right w:val="none" w:sz="0" w:space="0" w:color="auto"/>
      </w:divBdr>
      <w:divsChild>
        <w:div w:id="784156179">
          <w:marLeft w:val="0"/>
          <w:marRight w:val="0"/>
          <w:marTop w:val="0"/>
          <w:marBottom w:val="0"/>
          <w:divBdr>
            <w:top w:val="none" w:sz="0" w:space="0" w:color="auto"/>
            <w:left w:val="none" w:sz="0" w:space="0" w:color="auto"/>
            <w:bottom w:val="none" w:sz="0" w:space="0" w:color="auto"/>
            <w:right w:val="none" w:sz="0" w:space="0" w:color="auto"/>
          </w:divBdr>
        </w:div>
        <w:div w:id="1329165070">
          <w:marLeft w:val="0"/>
          <w:marRight w:val="0"/>
          <w:marTop w:val="0"/>
          <w:marBottom w:val="0"/>
          <w:divBdr>
            <w:top w:val="none" w:sz="0" w:space="0" w:color="auto"/>
            <w:left w:val="none" w:sz="0" w:space="0" w:color="auto"/>
            <w:bottom w:val="none" w:sz="0" w:space="0" w:color="auto"/>
            <w:right w:val="none" w:sz="0" w:space="0" w:color="auto"/>
          </w:divBdr>
        </w:div>
        <w:div w:id="1771311574">
          <w:marLeft w:val="0"/>
          <w:marRight w:val="0"/>
          <w:marTop w:val="0"/>
          <w:marBottom w:val="0"/>
          <w:divBdr>
            <w:top w:val="none" w:sz="0" w:space="0" w:color="auto"/>
            <w:left w:val="none" w:sz="0" w:space="0" w:color="auto"/>
            <w:bottom w:val="none" w:sz="0" w:space="0" w:color="auto"/>
            <w:right w:val="none" w:sz="0" w:space="0" w:color="auto"/>
          </w:divBdr>
        </w:div>
      </w:divsChild>
    </w:div>
    <w:div w:id="315182369">
      <w:bodyDiv w:val="1"/>
      <w:marLeft w:val="0"/>
      <w:marRight w:val="0"/>
      <w:marTop w:val="0"/>
      <w:marBottom w:val="0"/>
      <w:divBdr>
        <w:top w:val="none" w:sz="0" w:space="0" w:color="auto"/>
        <w:left w:val="none" w:sz="0" w:space="0" w:color="auto"/>
        <w:bottom w:val="none" w:sz="0" w:space="0" w:color="auto"/>
        <w:right w:val="none" w:sz="0" w:space="0" w:color="auto"/>
      </w:divBdr>
    </w:div>
    <w:div w:id="340931885">
      <w:bodyDiv w:val="1"/>
      <w:marLeft w:val="0"/>
      <w:marRight w:val="0"/>
      <w:marTop w:val="0"/>
      <w:marBottom w:val="0"/>
      <w:divBdr>
        <w:top w:val="none" w:sz="0" w:space="0" w:color="auto"/>
        <w:left w:val="none" w:sz="0" w:space="0" w:color="auto"/>
        <w:bottom w:val="none" w:sz="0" w:space="0" w:color="auto"/>
        <w:right w:val="none" w:sz="0" w:space="0" w:color="auto"/>
      </w:divBdr>
    </w:div>
    <w:div w:id="388651570">
      <w:bodyDiv w:val="1"/>
      <w:marLeft w:val="0"/>
      <w:marRight w:val="0"/>
      <w:marTop w:val="0"/>
      <w:marBottom w:val="0"/>
      <w:divBdr>
        <w:top w:val="none" w:sz="0" w:space="0" w:color="auto"/>
        <w:left w:val="none" w:sz="0" w:space="0" w:color="auto"/>
        <w:bottom w:val="none" w:sz="0" w:space="0" w:color="auto"/>
        <w:right w:val="none" w:sz="0" w:space="0" w:color="auto"/>
      </w:divBdr>
    </w:div>
    <w:div w:id="409934502">
      <w:bodyDiv w:val="1"/>
      <w:marLeft w:val="0"/>
      <w:marRight w:val="0"/>
      <w:marTop w:val="0"/>
      <w:marBottom w:val="0"/>
      <w:divBdr>
        <w:top w:val="none" w:sz="0" w:space="0" w:color="auto"/>
        <w:left w:val="none" w:sz="0" w:space="0" w:color="auto"/>
        <w:bottom w:val="none" w:sz="0" w:space="0" w:color="auto"/>
        <w:right w:val="none" w:sz="0" w:space="0" w:color="auto"/>
      </w:divBdr>
    </w:div>
    <w:div w:id="414011657">
      <w:bodyDiv w:val="1"/>
      <w:marLeft w:val="0"/>
      <w:marRight w:val="0"/>
      <w:marTop w:val="0"/>
      <w:marBottom w:val="0"/>
      <w:divBdr>
        <w:top w:val="none" w:sz="0" w:space="0" w:color="auto"/>
        <w:left w:val="none" w:sz="0" w:space="0" w:color="auto"/>
        <w:bottom w:val="none" w:sz="0" w:space="0" w:color="auto"/>
        <w:right w:val="none" w:sz="0" w:space="0" w:color="auto"/>
      </w:divBdr>
    </w:div>
    <w:div w:id="424230242">
      <w:bodyDiv w:val="1"/>
      <w:marLeft w:val="0"/>
      <w:marRight w:val="0"/>
      <w:marTop w:val="0"/>
      <w:marBottom w:val="0"/>
      <w:divBdr>
        <w:top w:val="none" w:sz="0" w:space="0" w:color="auto"/>
        <w:left w:val="none" w:sz="0" w:space="0" w:color="auto"/>
        <w:bottom w:val="none" w:sz="0" w:space="0" w:color="auto"/>
        <w:right w:val="none" w:sz="0" w:space="0" w:color="auto"/>
      </w:divBdr>
      <w:divsChild>
        <w:div w:id="1014846624">
          <w:marLeft w:val="0"/>
          <w:marRight w:val="0"/>
          <w:marTop w:val="0"/>
          <w:marBottom w:val="0"/>
          <w:divBdr>
            <w:top w:val="none" w:sz="0" w:space="0" w:color="auto"/>
            <w:left w:val="none" w:sz="0" w:space="0" w:color="auto"/>
            <w:bottom w:val="none" w:sz="0" w:space="0" w:color="auto"/>
            <w:right w:val="none" w:sz="0" w:space="0" w:color="auto"/>
          </w:divBdr>
        </w:div>
      </w:divsChild>
    </w:div>
    <w:div w:id="425350062">
      <w:bodyDiv w:val="1"/>
      <w:marLeft w:val="0"/>
      <w:marRight w:val="0"/>
      <w:marTop w:val="0"/>
      <w:marBottom w:val="0"/>
      <w:divBdr>
        <w:top w:val="none" w:sz="0" w:space="0" w:color="auto"/>
        <w:left w:val="none" w:sz="0" w:space="0" w:color="auto"/>
        <w:bottom w:val="none" w:sz="0" w:space="0" w:color="auto"/>
        <w:right w:val="none" w:sz="0" w:space="0" w:color="auto"/>
      </w:divBdr>
    </w:div>
    <w:div w:id="433325795">
      <w:bodyDiv w:val="1"/>
      <w:marLeft w:val="0"/>
      <w:marRight w:val="0"/>
      <w:marTop w:val="0"/>
      <w:marBottom w:val="0"/>
      <w:divBdr>
        <w:top w:val="none" w:sz="0" w:space="0" w:color="auto"/>
        <w:left w:val="none" w:sz="0" w:space="0" w:color="auto"/>
        <w:bottom w:val="none" w:sz="0" w:space="0" w:color="auto"/>
        <w:right w:val="none" w:sz="0" w:space="0" w:color="auto"/>
      </w:divBdr>
    </w:div>
    <w:div w:id="452024208">
      <w:bodyDiv w:val="1"/>
      <w:marLeft w:val="0"/>
      <w:marRight w:val="0"/>
      <w:marTop w:val="0"/>
      <w:marBottom w:val="0"/>
      <w:divBdr>
        <w:top w:val="none" w:sz="0" w:space="0" w:color="auto"/>
        <w:left w:val="none" w:sz="0" w:space="0" w:color="auto"/>
        <w:bottom w:val="none" w:sz="0" w:space="0" w:color="auto"/>
        <w:right w:val="none" w:sz="0" w:space="0" w:color="auto"/>
      </w:divBdr>
    </w:div>
    <w:div w:id="507913050">
      <w:bodyDiv w:val="1"/>
      <w:marLeft w:val="0"/>
      <w:marRight w:val="0"/>
      <w:marTop w:val="0"/>
      <w:marBottom w:val="0"/>
      <w:divBdr>
        <w:top w:val="none" w:sz="0" w:space="0" w:color="auto"/>
        <w:left w:val="none" w:sz="0" w:space="0" w:color="auto"/>
        <w:bottom w:val="none" w:sz="0" w:space="0" w:color="auto"/>
        <w:right w:val="none" w:sz="0" w:space="0" w:color="auto"/>
      </w:divBdr>
    </w:div>
    <w:div w:id="563951859">
      <w:bodyDiv w:val="1"/>
      <w:marLeft w:val="0"/>
      <w:marRight w:val="0"/>
      <w:marTop w:val="0"/>
      <w:marBottom w:val="0"/>
      <w:divBdr>
        <w:top w:val="none" w:sz="0" w:space="0" w:color="auto"/>
        <w:left w:val="none" w:sz="0" w:space="0" w:color="auto"/>
        <w:bottom w:val="none" w:sz="0" w:space="0" w:color="auto"/>
        <w:right w:val="none" w:sz="0" w:space="0" w:color="auto"/>
      </w:divBdr>
    </w:div>
    <w:div w:id="569734362">
      <w:bodyDiv w:val="1"/>
      <w:marLeft w:val="0"/>
      <w:marRight w:val="0"/>
      <w:marTop w:val="0"/>
      <w:marBottom w:val="0"/>
      <w:divBdr>
        <w:top w:val="none" w:sz="0" w:space="0" w:color="auto"/>
        <w:left w:val="none" w:sz="0" w:space="0" w:color="auto"/>
        <w:bottom w:val="none" w:sz="0" w:space="0" w:color="auto"/>
        <w:right w:val="none" w:sz="0" w:space="0" w:color="auto"/>
      </w:divBdr>
    </w:div>
    <w:div w:id="590433984">
      <w:bodyDiv w:val="1"/>
      <w:marLeft w:val="0"/>
      <w:marRight w:val="0"/>
      <w:marTop w:val="0"/>
      <w:marBottom w:val="0"/>
      <w:divBdr>
        <w:top w:val="none" w:sz="0" w:space="0" w:color="auto"/>
        <w:left w:val="none" w:sz="0" w:space="0" w:color="auto"/>
        <w:bottom w:val="none" w:sz="0" w:space="0" w:color="auto"/>
        <w:right w:val="none" w:sz="0" w:space="0" w:color="auto"/>
      </w:divBdr>
    </w:div>
    <w:div w:id="621227722">
      <w:bodyDiv w:val="1"/>
      <w:marLeft w:val="0"/>
      <w:marRight w:val="0"/>
      <w:marTop w:val="0"/>
      <w:marBottom w:val="0"/>
      <w:divBdr>
        <w:top w:val="none" w:sz="0" w:space="0" w:color="auto"/>
        <w:left w:val="none" w:sz="0" w:space="0" w:color="auto"/>
        <w:bottom w:val="none" w:sz="0" w:space="0" w:color="auto"/>
        <w:right w:val="none" w:sz="0" w:space="0" w:color="auto"/>
      </w:divBdr>
    </w:div>
    <w:div w:id="646202462">
      <w:bodyDiv w:val="1"/>
      <w:marLeft w:val="0"/>
      <w:marRight w:val="0"/>
      <w:marTop w:val="0"/>
      <w:marBottom w:val="0"/>
      <w:divBdr>
        <w:top w:val="none" w:sz="0" w:space="0" w:color="auto"/>
        <w:left w:val="none" w:sz="0" w:space="0" w:color="auto"/>
        <w:bottom w:val="none" w:sz="0" w:space="0" w:color="auto"/>
        <w:right w:val="none" w:sz="0" w:space="0" w:color="auto"/>
      </w:divBdr>
    </w:div>
    <w:div w:id="672728460">
      <w:bodyDiv w:val="1"/>
      <w:marLeft w:val="0"/>
      <w:marRight w:val="0"/>
      <w:marTop w:val="0"/>
      <w:marBottom w:val="0"/>
      <w:divBdr>
        <w:top w:val="none" w:sz="0" w:space="0" w:color="auto"/>
        <w:left w:val="none" w:sz="0" w:space="0" w:color="auto"/>
        <w:bottom w:val="none" w:sz="0" w:space="0" w:color="auto"/>
        <w:right w:val="none" w:sz="0" w:space="0" w:color="auto"/>
      </w:divBdr>
    </w:div>
    <w:div w:id="680089373">
      <w:bodyDiv w:val="1"/>
      <w:marLeft w:val="0"/>
      <w:marRight w:val="0"/>
      <w:marTop w:val="0"/>
      <w:marBottom w:val="0"/>
      <w:divBdr>
        <w:top w:val="none" w:sz="0" w:space="0" w:color="auto"/>
        <w:left w:val="none" w:sz="0" w:space="0" w:color="auto"/>
        <w:bottom w:val="none" w:sz="0" w:space="0" w:color="auto"/>
        <w:right w:val="none" w:sz="0" w:space="0" w:color="auto"/>
      </w:divBdr>
      <w:divsChild>
        <w:div w:id="1466390298">
          <w:marLeft w:val="0"/>
          <w:marRight w:val="0"/>
          <w:marTop w:val="0"/>
          <w:marBottom w:val="0"/>
          <w:divBdr>
            <w:top w:val="none" w:sz="0" w:space="0" w:color="auto"/>
            <w:left w:val="none" w:sz="0" w:space="0" w:color="auto"/>
            <w:bottom w:val="none" w:sz="0" w:space="0" w:color="auto"/>
            <w:right w:val="none" w:sz="0" w:space="0" w:color="auto"/>
          </w:divBdr>
          <w:divsChild>
            <w:div w:id="125511713">
              <w:marLeft w:val="0"/>
              <w:marRight w:val="0"/>
              <w:marTop w:val="0"/>
              <w:marBottom w:val="0"/>
              <w:divBdr>
                <w:top w:val="none" w:sz="0" w:space="0" w:color="auto"/>
                <w:left w:val="none" w:sz="0" w:space="0" w:color="auto"/>
                <w:bottom w:val="none" w:sz="0" w:space="0" w:color="auto"/>
                <w:right w:val="none" w:sz="0" w:space="0" w:color="auto"/>
              </w:divBdr>
            </w:div>
            <w:div w:id="464585990">
              <w:marLeft w:val="0"/>
              <w:marRight w:val="0"/>
              <w:marTop w:val="0"/>
              <w:marBottom w:val="0"/>
              <w:divBdr>
                <w:top w:val="none" w:sz="0" w:space="0" w:color="auto"/>
                <w:left w:val="none" w:sz="0" w:space="0" w:color="auto"/>
                <w:bottom w:val="none" w:sz="0" w:space="0" w:color="auto"/>
                <w:right w:val="none" w:sz="0" w:space="0" w:color="auto"/>
              </w:divBdr>
            </w:div>
            <w:div w:id="543981252">
              <w:marLeft w:val="0"/>
              <w:marRight w:val="0"/>
              <w:marTop w:val="0"/>
              <w:marBottom w:val="0"/>
              <w:divBdr>
                <w:top w:val="none" w:sz="0" w:space="0" w:color="auto"/>
                <w:left w:val="none" w:sz="0" w:space="0" w:color="auto"/>
                <w:bottom w:val="none" w:sz="0" w:space="0" w:color="auto"/>
                <w:right w:val="none" w:sz="0" w:space="0" w:color="auto"/>
              </w:divBdr>
            </w:div>
            <w:div w:id="1246107492">
              <w:marLeft w:val="0"/>
              <w:marRight w:val="0"/>
              <w:marTop w:val="0"/>
              <w:marBottom w:val="0"/>
              <w:divBdr>
                <w:top w:val="none" w:sz="0" w:space="0" w:color="auto"/>
                <w:left w:val="none" w:sz="0" w:space="0" w:color="auto"/>
                <w:bottom w:val="none" w:sz="0" w:space="0" w:color="auto"/>
                <w:right w:val="none" w:sz="0" w:space="0" w:color="auto"/>
              </w:divBdr>
            </w:div>
            <w:div w:id="1355577847">
              <w:marLeft w:val="0"/>
              <w:marRight w:val="0"/>
              <w:marTop w:val="0"/>
              <w:marBottom w:val="0"/>
              <w:divBdr>
                <w:top w:val="none" w:sz="0" w:space="0" w:color="auto"/>
                <w:left w:val="none" w:sz="0" w:space="0" w:color="auto"/>
                <w:bottom w:val="none" w:sz="0" w:space="0" w:color="auto"/>
                <w:right w:val="none" w:sz="0" w:space="0" w:color="auto"/>
              </w:divBdr>
            </w:div>
            <w:div w:id="1622682931">
              <w:marLeft w:val="0"/>
              <w:marRight w:val="0"/>
              <w:marTop w:val="0"/>
              <w:marBottom w:val="0"/>
              <w:divBdr>
                <w:top w:val="none" w:sz="0" w:space="0" w:color="auto"/>
                <w:left w:val="none" w:sz="0" w:space="0" w:color="auto"/>
                <w:bottom w:val="none" w:sz="0" w:space="0" w:color="auto"/>
                <w:right w:val="none" w:sz="0" w:space="0" w:color="auto"/>
              </w:divBdr>
            </w:div>
            <w:div w:id="1972591645">
              <w:marLeft w:val="0"/>
              <w:marRight w:val="0"/>
              <w:marTop w:val="0"/>
              <w:marBottom w:val="0"/>
              <w:divBdr>
                <w:top w:val="none" w:sz="0" w:space="0" w:color="auto"/>
                <w:left w:val="none" w:sz="0" w:space="0" w:color="auto"/>
                <w:bottom w:val="none" w:sz="0" w:space="0" w:color="auto"/>
                <w:right w:val="none" w:sz="0" w:space="0" w:color="auto"/>
              </w:divBdr>
              <w:divsChild>
                <w:div w:id="94637000">
                  <w:marLeft w:val="0"/>
                  <w:marRight w:val="0"/>
                  <w:marTop w:val="0"/>
                  <w:marBottom w:val="0"/>
                  <w:divBdr>
                    <w:top w:val="none" w:sz="0" w:space="0" w:color="auto"/>
                    <w:left w:val="none" w:sz="0" w:space="0" w:color="auto"/>
                    <w:bottom w:val="none" w:sz="0" w:space="0" w:color="auto"/>
                    <w:right w:val="none" w:sz="0" w:space="0" w:color="auto"/>
                  </w:divBdr>
                </w:div>
                <w:div w:id="433601093">
                  <w:marLeft w:val="0"/>
                  <w:marRight w:val="0"/>
                  <w:marTop w:val="0"/>
                  <w:marBottom w:val="0"/>
                  <w:divBdr>
                    <w:top w:val="none" w:sz="0" w:space="0" w:color="auto"/>
                    <w:left w:val="none" w:sz="0" w:space="0" w:color="auto"/>
                    <w:bottom w:val="none" w:sz="0" w:space="0" w:color="auto"/>
                    <w:right w:val="none" w:sz="0" w:space="0" w:color="auto"/>
                  </w:divBdr>
                </w:div>
                <w:div w:id="594093054">
                  <w:marLeft w:val="0"/>
                  <w:marRight w:val="0"/>
                  <w:marTop w:val="0"/>
                  <w:marBottom w:val="0"/>
                  <w:divBdr>
                    <w:top w:val="none" w:sz="0" w:space="0" w:color="auto"/>
                    <w:left w:val="none" w:sz="0" w:space="0" w:color="auto"/>
                    <w:bottom w:val="none" w:sz="0" w:space="0" w:color="auto"/>
                    <w:right w:val="none" w:sz="0" w:space="0" w:color="auto"/>
                  </w:divBdr>
                </w:div>
                <w:div w:id="17583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40645">
      <w:bodyDiv w:val="1"/>
      <w:marLeft w:val="0"/>
      <w:marRight w:val="0"/>
      <w:marTop w:val="0"/>
      <w:marBottom w:val="0"/>
      <w:divBdr>
        <w:top w:val="none" w:sz="0" w:space="0" w:color="auto"/>
        <w:left w:val="none" w:sz="0" w:space="0" w:color="auto"/>
        <w:bottom w:val="none" w:sz="0" w:space="0" w:color="auto"/>
        <w:right w:val="none" w:sz="0" w:space="0" w:color="auto"/>
      </w:divBdr>
    </w:div>
    <w:div w:id="733629609">
      <w:bodyDiv w:val="1"/>
      <w:marLeft w:val="0"/>
      <w:marRight w:val="0"/>
      <w:marTop w:val="0"/>
      <w:marBottom w:val="0"/>
      <w:divBdr>
        <w:top w:val="none" w:sz="0" w:space="0" w:color="auto"/>
        <w:left w:val="none" w:sz="0" w:space="0" w:color="auto"/>
        <w:bottom w:val="none" w:sz="0" w:space="0" w:color="auto"/>
        <w:right w:val="none" w:sz="0" w:space="0" w:color="auto"/>
      </w:divBdr>
    </w:div>
    <w:div w:id="756826818">
      <w:bodyDiv w:val="1"/>
      <w:marLeft w:val="0"/>
      <w:marRight w:val="0"/>
      <w:marTop w:val="0"/>
      <w:marBottom w:val="0"/>
      <w:divBdr>
        <w:top w:val="none" w:sz="0" w:space="0" w:color="auto"/>
        <w:left w:val="none" w:sz="0" w:space="0" w:color="auto"/>
        <w:bottom w:val="none" w:sz="0" w:space="0" w:color="auto"/>
        <w:right w:val="none" w:sz="0" w:space="0" w:color="auto"/>
      </w:divBdr>
    </w:div>
    <w:div w:id="770319682">
      <w:bodyDiv w:val="1"/>
      <w:marLeft w:val="0"/>
      <w:marRight w:val="0"/>
      <w:marTop w:val="0"/>
      <w:marBottom w:val="0"/>
      <w:divBdr>
        <w:top w:val="none" w:sz="0" w:space="0" w:color="auto"/>
        <w:left w:val="none" w:sz="0" w:space="0" w:color="auto"/>
        <w:bottom w:val="none" w:sz="0" w:space="0" w:color="auto"/>
        <w:right w:val="none" w:sz="0" w:space="0" w:color="auto"/>
      </w:divBdr>
    </w:div>
    <w:div w:id="832141606">
      <w:bodyDiv w:val="1"/>
      <w:marLeft w:val="0"/>
      <w:marRight w:val="0"/>
      <w:marTop w:val="0"/>
      <w:marBottom w:val="0"/>
      <w:divBdr>
        <w:top w:val="none" w:sz="0" w:space="0" w:color="auto"/>
        <w:left w:val="none" w:sz="0" w:space="0" w:color="auto"/>
        <w:bottom w:val="none" w:sz="0" w:space="0" w:color="auto"/>
        <w:right w:val="none" w:sz="0" w:space="0" w:color="auto"/>
      </w:divBdr>
    </w:div>
    <w:div w:id="859127704">
      <w:bodyDiv w:val="1"/>
      <w:marLeft w:val="0"/>
      <w:marRight w:val="0"/>
      <w:marTop w:val="0"/>
      <w:marBottom w:val="0"/>
      <w:divBdr>
        <w:top w:val="none" w:sz="0" w:space="0" w:color="auto"/>
        <w:left w:val="none" w:sz="0" w:space="0" w:color="auto"/>
        <w:bottom w:val="none" w:sz="0" w:space="0" w:color="auto"/>
        <w:right w:val="none" w:sz="0" w:space="0" w:color="auto"/>
      </w:divBdr>
    </w:div>
    <w:div w:id="882979739">
      <w:bodyDiv w:val="1"/>
      <w:marLeft w:val="0"/>
      <w:marRight w:val="0"/>
      <w:marTop w:val="0"/>
      <w:marBottom w:val="0"/>
      <w:divBdr>
        <w:top w:val="none" w:sz="0" w:space="0" w:color="auto"/>
        <w:left w:val="none" w:sz="0" w:space="0" w:color="auto"/>
        <w:bottom w:val="none" w:sz="0" w:space="0" w:color="auto"/>
        <w:right w:val="none" w:sz="0" w:space="0" w:color="auto"/>
      </w:divBdr>
    </w:div>
    <w:div w:id="885683434">
      <w:bodyDiv w:val="1"/>
      <w:marLeft w:val="0"/>
      <w:marRight w:val="0"/>
      <w:marTop w:val="0"/>
      <w:marBottom w:val="0"/>
      <w:divBdr>
        <w:top w:val="none" w:sz="0" w:space="0" w:color="auto"/>
        <w:left w:val="none" w:sz="0" w:space="0" w:color="auto"/>
        <w:bottom w:val="none" w:sz="0" w:space="0" w:color="auto"/>
        <w:right w:val="none" w:sz="0" w:space="0" w:color="auto"/>
      </w:divBdr>
    </w:div>
    <w:div w:id="925385419">
      <w:bodyDiv w:val="1"/>
      <w:marLeft w:val="0"/>
      <w:marRight w:val="0"/>
      <w:marTop w:val="0"/>
      <w:marBottom w:val="0"/>
      <w:divBdr>
        <w:top w:val="none" w:sz="0" w:space="0" w:color="auto"/>
        <w:left w:val="none" w:sz="0" w:space="0" w:color="auto"/>
        <w:bottom w:val="none" w:sz="0" w:space="0" w:color="auto"/>
        <w:right w:val="none" w:sz="0" w:space="0" w:color="auto"/>
      </w:divBdr>
    </w:div>
    <w:div w:id="927234626">
      <w:bodyDiv w:val="1"/>
      <w:marLeft w:val="0"/>
      <w:marRight w:val="0"/>
      <w:marTop w:val="0"/>
      <w:marBottom w:val="0"/>
      <w:divBdr>
        <w:top w:val="none" w:sz="0" w:space="0" w:color="auto"/>
        <w:left w:val="none" w:sz="0" w:space="0" w:color="auto"/>
        <w:bottom w:val="none" w:sz="0" w:space="0" w:color="auto"/>
        <w:right w:val="none" w:sz="0" w:space="0" w:color="auto"/>
      </w:divBdr>
    </w:div>
    <w:div w:id="928545938">
      <w:bodyDiv w:val="1"/>
      <w:marLeft w:val="0"/>
      <w:marRight w:val="0"/>
      <w:marTop w:val="0"/>
      <w:marBottom w:val="0"/>
      <w:divBdr>
        <w:top w:val="none" w:sz="0" w:space="0" w:color="auto"/>
        <w:left w:val="none" w:sz="0" w:space="0" w:color="auto"/>
        <w:bottom w:val="none" w:sz="0" w:space="0" w:color="auto"/>
        <w:right w:val="none" w:sz="0" w:space="0" w:color="auto"/>
      </w:divBdr>
    </w:div>
    <w:div w:id="962810955">
      <w:bodyDiv w:val="1"/>
      <w:marLeft w:val="0"/>
      <w:marRight w:val="0"/>
      <w:marTop w:val="0"/>
      <w:marBottom w:val="0"/>
      <w:divBdr>
        <w:top w:val="none" w:sz="0" w:space="0" w:color="auto"/>
        <w:left w:val="none" w:sz="0" w:space="0" w:color="auto"/>
        <w:bottom w:val="none" w:sz="0" w:space="0" w:color="auto"/>
        <w:right w:val="none" w:sz="0" w:space="0" w:color="auto"/>
      </w:divBdr>
    </w:div>
    <w:div w:id="990206935">
      <w:bodyDiv w:val="1"/>
      <w:marLeft w:val="0"/>
      <w:marRight w:val="0"/>
      <w:marTop w:val="0"/>
      <w:marBottom w:val="0"/>
      <w:divBdr>
        <w:top w:val="none" w:sz="0" w:space="0" w:color="auto"/>
        <w:left w:val="none" w:sz="0" w:space="0" w:color="auto"/>
        <w:bottom w:val="none" w:sz="0" w:space="0" w:color="auto"/>
        <w:right w:val="none" w:sz="0" w:space="0" w:color="auto"/>
      </w:divBdr>
    </w:div>
    <w:div w:id="996112067">
      <w:bodyDiv w:val="1"/>
      <w:marLeft w:val="0"/>
      <w:marRight w:val="0"/>
      <w:marTop w:val="0"/>
      <w:marBottom w:val="0"/>
      <w:divBdr>
        <w:top w:val="none" w:sz="0" w:space="0" w:color="auto"/>
        <w:left w:val="none" w:sz="0" w:space="0" w:color="auto"/>
        <w:bottom w:val="none" w:sz="0" w:space="0" w:color="auto"/>
        <w:right w:val="none" w:sz="0" w:space="0" w:color="auto"/>
      </w:divBdr>
    </w:div>
    <w:div w:id="1028724216">
      <w:bodyDiv w:val="1"/>
      <w:marLeft w:val="0"/>
      <w:marRight w:val="0"/>
      <w:marTop w:val="0"/>
      <w:marBottom w:val="0"/>
      <w:divBdr>
        <w:top w:val="none" w:sz="0" w:space="0" w:color="auto"/>
        <w:left w:val="none" w:sz="0" w:space="0" w:color="auto"/>
        <w:bottom w:val="none" w:sz="0" w:space="0" w:color="auto"/>
        <w:right w:val="none" w:sz="0" w:space="0" w:color="auto"/>
      </w:divBdr>
    </w:div>
    <w:div w:id="1066077028">
      <w:bodyDiv w:val="1"/>
      <w:marLeft w:val="0"/>
      <w:marRight w:val="0"/>
      <w:marTop w:val="0"/>
      <w:marBottom w:val="0"/>
      <w:divBdr>
        <w:top w:val="none" w:sz="0" w:space="0" w:color="auto"/>
        <w:left w:val="none" w:sz="0" w:space="0" w:color="auto"/>
        <w:bottom w:val="none" w:sz="0" w:space="0" w:color="auto"/>
        <w:right w:val="none" w:sz="0" w:space="0" w:color="auto"/>
      </w:divBdr>
    </w:div>
    <w:div w:id="1080372023">
      <w:bodyDiv w:val="1"/>
      <w:marLeft w:val="0"/>
      <w:marRight w:val="0"/>
      <w:marTop w:val="0"/>
      <w:marBottom w:val="0"/>
      <w:divBdr>
        <w:top w:val="none" w:sz="0" w:space="0" w:color="auto"/>
        <w:left w:val="none" w:sz="0" w:space="0" w:color="auto"/>
        <w:bottom w:val="none" w:sz="0" w:space="0" w:color="auto"/>
        <w:right w:val="none" w:sz="0" w:space="0" w:color="auto"/>
      </w:divBdr>
    </w:div>
    <w:div w:id="1086196516">
      <w:bodyDiv w:val="1"/>
      <w:marLeft w:val="0"/>
      <w:marRight w:val="0"/>
      <w:marTop w:val="0"/>
      <w:marBottom w:val="0"/>
      <w:divBdr>
        <w:top w:val="none" w:sz="0" w:space="0" w:color="auto"/>
        <w:left w:val="none" w:sz="0" w:space="0" w:color="auto"/>
        <w:bottom w:val="none" w:sz="0" w:space="0" w:color="auto"/>
        <w:right w:val="none" w:sz="0" w:space="0" w:color="auto"/>
      </w:divBdr>
    </w:div>
    <w:div w:id="1128889679">
      <w:bodyDiv w:val="1"/>
      <w:marLeft w:val="0"/>
      <w:marRight w:val="0"/>
      <w:marTop w:val="0"/>
      <w:marBottom w:val="0"/>
      <w:divBdr>
        <w:top w:val="none" w:sz="0" w:space="0" w:color="auto"/>
        <w:left w:val="none" w:sz="0" w:space="0" w:color="auto"/>
        <w:bottom w:val="none" w:sz="0" w:space="0" w:color="auto"/>
        <w:right w:val="none" w:sz="0" w:space="0" w:color="auto"/>
      </w:divBdr>
    </w:div>
    <w:div w:id="1226181570">
      <w:bodyDiv w:val="1"/>
      <w:marLeft w:val="0"/>
      <w:marRight w:val="0"/>
      <w:marTop w:val="0"/>
      <w:marBottom w:val="0"/>
      <w:divBdr>
        <w:top w:val="none" w:sz="0" w:space="0" w:color="auto"/>
        <w:left w:val="none" w:sz="0" w:space="0" w:color="auto"/>
        <w:bottom w:val="none" w:sz="0" w:space="0" w:color="auto"/>
        <w:right w:val="none" w:sz="0" w:space="0" w:color="auto"/>
      </w:divBdr>
    </w:div>
    <w:div w:id="1229926985">
      <w:bodyDiv w:val="1"/>
      <w:marLeft w:val="0"/>
      <w:marRight w:val="0"/>
      <w:marTop w:val="0"/>
      <w:marBottom w:val="0"/>
      <w:divBdr>
        <w:top w:val="none" w:sz="0" w:space="0" w:color="auto"/>
        <w:left w:val="none" w:sz="0" w:space="0" w:color="auto"/>
        <w:bottom w:val="none" w:sz="0" w:space="0" w:color="auto"/>
        <w:right w:val="none" w:sz="0" w:space="0" w:color="auto"/>
      </w:divBdr>
    </w:div>
    <w:div w:id="1430153774">
      <w:bodyDiv w:val="1"/>
      <w:marLeft w:val="0"/>
      <w:marRight w:val="0"/>
      <w:marTop w:val="0"/>
      <w:marBottom w:val="0"/>
      <w:divBdr>
        <w:top w:val="none" w:sz="0" w:space="0" w:color="auto"/>
        <w:left w:val="none" w:sz="0" w:space="0" w:color="auto"/>
        <w:bottom w:val="none" w:sz="0" w:space="0" w:color="auto"/>
        <w:right w:val="none" w:sz="0" w:space="0" w:color="auto"/>
      </w:divBdr>
    </w:div>
    <w:div w:id="1459687184">
      <w:bodyDiv w:val="1"/>
      <w:marLeft w:val="0"/>
      <w:marRight w:val="0"/>
      <w:marTop w:val="0"/>
      <w:marBottom w:val="0"/>
      <w:divBdr>
        <w:top w:val="none" w:sz="0" w:space="0" w:color="auto"/>
        <w:left w:val="none" w:sz="0" w:space="0" w:color="auto"/>
        <w:bottom w:val="none" w:sz="0" w:space="0" w:color="auto"/>
        <w:right w:val="none" w:sz="0" w:space="0" w:color="auto"/>
      </w:divBdr>
    </w:div>
    <w:div w:id="1476531092">
      <w:bodyDiv w:val="1"/>
      <w:marLeft w:val="0"/>
      <w:marRight w:val="0"/>
      <w:marTop w:val="0"/>
      <w:marBottom w:val="0"/>
      <w:divBdr>
        <w:top w:val="none" w:sz="0" w:space="0" w:color="auto"/>
        <w:left w:val="none" w:sz="0" w:space="0" w:color="auto"/>
        <w:bottom w:val="none" w:sz="0" w:space="0" w:color="auto"/>
        <w:right w:val="none" w:sz="0" w:space="0" w:color="auto"/>
      </w:divBdr>
    </w:div>
    <w:div w:id="1552766136">
      <w:bodyDiv w:val="1"/>
      <w:marLeft w:val="0"/>
      <w:marRight w:val="0"/>
      <w:marTop w:val="0"/>
      <w:marBottom w:val="0"/>
      <w:divBdr>
        <w:top w:val="none" w:sz="0" w:space="0" w:color="auto"/>
        <w:left w:val="none" w:sz="0" w:space="0" w:color="auto"/>
        <w:bottom w:val="none" w:sz="0" w:space="0" w:color="auto"/>
        <w:right w:val="none" w:sz="0" w:space="0" w:color="auto"/>
      </w:divBdr>
    </w:div>
    <w:div w:id="1599291684">
      <w:bodyDiv w:val="1"/>
      <w:marLeft w:val="0"/>
      <w:marRight w:val="0"/>
      <w:marTop w:val="0"/>
      <w:marBottom w:val="0"/>
      <w:divBdr>
        <w:top w:val="none" w:sz="0" w:space="0" w:color="auto"/>
        <w:left w:val="none" w:sz="0" w:space="0" w:color="auto"/>
        <w:bottom w:val="none" w:sz="0" w:space="0" w:color="auto"/>
        <w:right w:val="none" w:sz="0" w:space="0" w:color="auto"/>
      </w:divBdr>
    </w:div>
    <w:div w:id="1619409010">
      <w:bodyDiv w:val="1"/>
      <w:marLeft w:val="0"/>
      <w:marRight w:val="0"/>
      <w:marTop w:val="0"/>
      <w:marBottom w:val="0"/>
      <w:divBdr>
        <w:top w:val="none" w:sz="0" w:space="0" w:color="auto"/>
        <w:left w:val="none" w:sz="0" w:space="0" w:color="auto"/>
        <w:bottom w:val="none" w:sz="0" w:space="0" w:color="auto"/>
        <w:right w:val="none" w:sz="0" w:space="0" w:color="auto"/>
      </w:divBdr>
      <w:divsChild>
        <w:div w:id="1661274021">
          <w:marLeft w:val="0"/>
          <w:marRight w:val="0"/>
          <w:marTop w:val="0"/>
          <w:marBottom w:val="0"/>
          <w:divBdr>
            <w:top w:val="none" w:sz="0" w:space="0" w:color="auto"/>
            <w:left w:val="none" w:sz="0" w:space="0" w:color="auto"/>
            <w:bottom w:val="none" w:sz="0" w:space="0" w:color="auto"/>
            <w:right w:val="none" w:sz="0" w:space="0" w:color="auto"/>
          </w:divBdr>
        </w:div>
      </w:divsChild>
    </w:div>
    <w:div w:id="1713384145">
      <w:bodyDiv w:val="1"/>
      <w:marLeft w:val="0"/>
      <w:marRight w:val="0"/>
      <w:marTop w:val="0"/>
      <w:marBottom w:val="0"/>
      <w:divBdr>
        <w:top w:val="none" w:sz="0" w:space="0" w:color="auto"/>
        <w:left w:val="none" w:sz="0" w:space="0" w:color="auto"/>
        <w:bottom w:val="none" w:sz="0" w:space="0" w:color="auto"/>
        <w:right w:val="none" w:sz="0" w:space="0" w:color="auto"/>
      </w:divBdr>
    </w:div>
    <w:div w:id="1758016547">
      <w:bodyDiv w:val="1"/>
      <w:marLeft w:val="0"/>
      <w:marRight w:val="0"/>
      <w:marTop w:val="0"/>
      <w:marBottom w:val="0"/>
      <w:divBdr>
        <w:top w:val="none" w:sz="0" w:space="0" w:color="auto"/>
        <w:left w:val="none" w:sz="0" w:space="0" w:color="auto"/>
        <w:bottom w:val="none" w:sz="0" w:space="0" w:color="auto"/>
        <w:right w:val="none" w:sz="0" w:space="0" w:color="auto"/>
      </w:divBdr>
    </w:div>
    <w:div w:id="1792627231">
      <w:bodyDiv w:val="1"/>
      <w:marLeft w:val="0"/>
      <w:marRight w:val="0"/>
      <w:marTop w:val="0"/>
      <w:marBottom w:val="0"/>
      <w:divBdr>
        <w:top w:val="none" w:sz="0" w:space="0" w:color="auto"/>
        <w:left w:val="none" w:sz="0" w:space="0" w:color="auto"/>
        <w:bottom w:val="none" w:sz="0" w:space="0" w:color="auto"/>
        <w:right w:val="none" w:sz="0" w:space="0" w:color="auto"/>
      </w:divBdr>
    </w:div>
    <w:div w:id="1807383819">
      <w:bodyDiv w:val="1"/>
      <w:marLeft w:val="0"/>
      <w:marRight w:val="0"/>
      <w:marTop w:val="0"/>
      <w:marBottom w:val="0"/>
      <w:divBdr>
        <w:top w:val="none" w:sz="0" w:space="0" w:color="auto"/>
        <w:left w:val="none" w:sz="0" w:space="0" w:color="auto"/>
        <w:bottom w:val="none" w:sz="0" w:space="0" w:color="auto"/>
        <w:right w:val="none" w:sz="0" w:space="0" w:color="auto"/>
      </w:divBdr>
    </w:div>
    <w:div w:id="1811289851">
      <w:bodyDiv w:val="1"/>
      <w:marLeft w:val="0"/>
      <w:marRight w:val="0"/>
      <w:marTop w:val="0"/>
      <w:marBottom w:val="0"/>
      <w:divBdr>
        <w:top w:val="none" w:sz="0" w:space="0" w:color="auto"/>
        <w:left w:val="none" w:sz="0" w:space="0" w:color="auto"/>
        <w:bottom w:val="none" w:sz="0" w:space="0" w:color="auto"/>
        <w:right w:val="none" w:sz="0" w:space="0" w:color="auto"/>
      </w:divBdr>
    </w:div>
    <w:div w:id="1857423502">
      <w:bodyDiv w:val="1"/>
      <w:marLeft w:val="0"/>
      <w:marRight w:val="0"/>
      <w:marTop w:val="0"/>
      <w:marBottom w:val="0"/>
      <w:divBdr>
        <w:top w:val="none" w:sz="0" w:space="0" w:color="auto"/>
        <w:left w:val="none" w:sz="0" w:space="0" w:color="auto"/>
        <w:bottom w:val="none" w:sz="0" w:space="0" w:color="auto"/>
        <w:right w:val="none" w:sz="0" w:space="0" w:color="auto"/>
      </w:divBdr>
    </w:div>
    <w:div w:id="1866208489">
      <w:bodyDiv w:val="1"/>
      <w:marLeft w:val="0"/>
      <w:marRight w:val="0"/>
      <w:marTop w:val="0"/>
      <w:marBottom w:val="0"/>
      <w:divBdr>
        <w:top w:val="none" w:sz="0" w:space="0" w:color="auto"/>
        <w:left w:val="none" w:sz="0" w:space="0" w:color="auto"/>
        <w:bottom w:val="none" w:sz="0" w:space="0" w:color="auto"/>
        <w:right w:val="none" w:sz="0" w:space="0" w:color="auto"/>
      </w:divBdr>
    </w:div>
    <w:div w:id="1878614310">
      <w:bodyDiv w:val="1"/>
      <w:marLeft w:val="0"/>
      <w:marRight w:val="0"/>
      <w:marTop w:val="0"/>
      <w:marBottom w:val="0"/>
      <w:divBdr>
        <w:top w:val="none" w:sz="0" w:space="0" w:color="auto"/>
        <w:left w:val="none" w:sz="0" w:space="0" w:color="auto"/>
        <w:bottom w:val="none" w:sz="0" w:space="0" w:color="auto"/>
        <w:right w:val="none" w:sz="0" w:space="0" w:color="auto"/>
      </w:divBdr>
    </w:div>
    <w:div w:id="1881891797">
      <w:bodyDiv w:val="1"/>
      <w:marLeft w:val="0"/>
      <w:marRight w:val="0"/>
      <w:marTop w:val="0"/>
      <w:marBottom w:val="0"/>
      <w:divBdr>
        <w:top w:val="none" w:sz="0" w:space="0" w:color="auto"/>
        <w:left w:val="none" w:sz="0" w:space="0" w:color="auto"/>
        <w:bottom w:val="none" w:sz="0" w:space="0" w:color="auto"/>
        <w:right w:val="none" w:sz="0" w:space="0" w:color="auto"/>
      </w:divBdr>
    </w:div>
    <w:div w:id="1925602337">
      <w:bodyDiv w:val="1"/>
      <w:marLeft w:val="0"/>
      <w:marRight w:val="0"/>
      <w:marTop w:val="0"/>
      <w:marBottom w:val="0"/>
      <w:divBdr>
        <w:top w:val="none" w:sz="0" w:space="0" w:color="auto"/>
        <w:left w:val="none" w:sz="0" w:space="0" w:color="auto"/>
        <w:bottom w:val="none" w:sz="0" w:space="0" w:color="auto"/>
        <w:right w:val="none" w:sz="0" w:space="0" w:color="auto"/>
      </w:divBdr>
    </w:div>
    <w:div w:id="1973561676">
      <w:bodyDiv w:val="1"/>
      <w:marLeft w:val="0"/>
      <w:marRight w:val="0"/>
      <w:marTop w:val="0"/>
      <w:marBottom w:val="0"/>
      <w:divBdr>
        <w:top w:val="none" w:sz="0" w:space="0" w:color="auto"/>
        <w:left w:val="none" w:sz="0" w:space="0" w:color="auto"/>
        <w:bottom w:val="none" w:sz="0" w:space="0" w:color="auto"/>
        <w:right w:val="none" w:sz="0" w:space="0" w:color="auto"/>
      </w:divBdr>
    </w:div>
    <w:div w:id="1974168241">
      <w:bodyDiv w:val="1"/>
      <w:marLeft w:val="0"/>
      <w:marRight w:val="0"/>
      <w:marTop w:val="0"/>
      <w:marBottom w:val="0"/>
      <w:divBdr>
        <w:top w:val="none" w:sz="0" w:space="0" w:color="auto"/>
        <w:left w:val="none" w:sz="0" w:space="0" w:color="auto"/>
        <w:bottom w:val="none" w:sz="0" w:space="0" w:color="auto"/>
        <w:right w:val="none" w:sz="0" w:space="0" w:color="auto"/>
      </w:divBdr>
    </w:div>
    <w:div w:id="1997302119">
      <w:bodyDiv w:val="1"/>
      <w:marLeft w:val="0"/>
      <w:marRight w:val="0"/>
      <w:marTop w:val="0"/>
      <w:marBottom w:val="0"/>
      <w:divBdr>
        <w:top w:val="none" w:sz="0" w:space="0" w:color="auto"/>
        <w:left w:val="none" w:sz="0" w:space="0" w:color="auto"/>
        <w:bottom w:val="none" w:sz="0" w:space="0" w:color="auto"/>
        <w:right w:val="none" w:sz="0" w:space="0" w:color="auto"/>
      </w:divBdr>
    </w:div>
    <w:div w:id="20166880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ec.europa.eu/eurostat/databrowser/bookmark/86272a28-7721-4a8d-8775-bfdcdf0fc1c2?lang=en&amp;createdAt=2026-02-25T15:07:09Z"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c.europa.eu/eurostat/databrowser/bookmark/926b4a08-f177-4101-bd78-799b4cced662?lang=en&amp;createdAt=2026-02-17T09:44:25Z"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eesc.europa.eu/sites/default/files/2025-06/eu-uk_dags_joint_statement_2025.pdf" TargetMode="External"/><Relationship Id="rId18" Type="http://schemas.openxmlformats.org/officeDocument/2006/relationships/hyperlink" Target="https://pcacases.com/web/sendAttach/70467" TargetMode="External"/><Relationship Id="rId26" Type="http://schemas.openxmlformats.org/officeDocument/2006/relationships/hyperlink" Target="https://ec.europa.eu/eurostat/web/international-trade-in-services/overview" TargetMode="External"/><Relationship Id="rId39" Type="http://schemas.openxmlformats.org/officeDocument/2006/relationships/hyperlink" Target="https://dashboard.tech.ec.europa.eu/qs_digit_dashboard_mt/public/sense/app/1213b8cd-3ebe-4730-b0f5-fa4e326df2e2/sheet/d1435e56-cdee-4f5f-8b0d-f49d41ffbd6c/state/analysis" TargetMode="External"/><Relationship Id="rId21" Type="http://schemas.openxmlformats.org/officeDocument/2006/relationships/hyperlink" Target="https://ec.europa.eu/eurostat/web/international-trade-in-goods/overview" TargetMode="External"/><Relationship Id="rId34" Type="http://schemas.openxmlformats.org/officeDocument/2006/relationships/hyperlink" Target="https://eur-lex.europa.eu/legal-content/RO/TXT/?uri=OJ:L_202502331" TargetMode="External"/><Relationship Id="rId42" Type="http://schemas.openxmlformats.org/officeDocument/2006/relationships/hyperlink" Target="https://www.legislation.gov.uk/ukpga/2022/23" TargetMode="External"/><Relationship Id="rId47" Type="http://schemas.openxmlformats.org/officeDocument/2006/relationships/hyperlink" Target="https://www.legislation.gov.uk/ukpga/2025/34/enacted" TargetMode="External"/><Relationship Id="rId50" Type="http://schemas.openxmlformats.org/officeDocument/2006/relationships/hyperlink" Target="https://commission.europa.eu/document/download/adaf1cfc-6c2d-43a4-9e9a-928c64f2f983_en?filename=Extension%20of%20the%20UK%20Data%20Adequacy%20Decision.pdf" TargetMode="External"/><Relationship Id="rId55" Type="http://schemas.openxmlformats.org/officeDocument/2006/relationships/hyperlink" Target="https://eur-lex.europa.eu/legal-content/RO/TXT/?uri=OJ%3AL_202501230" TargetMode="External"/><Relationship Id="rId63" Type="http://schemas.openxmlformats.org/officeDocument/2006/relationships/hyperlink" Target="https://eur-lex.europa.eu/legal-content/RO/TXT/?uri=OJ%3AL_202501230" TargetMode="External"/><Relationship Id="rId7" Type="http://schemas.openxmlformats.org/officeDocument/2006/relationships/hyperlink" Target="http://data.europa.eu/eli/dec/2021/689/oj" TargetMode="External"/><Relationship Id="rId2" Type="http://schemas.openxmlformats.org/officeDocument/2006/relationships/hyperlink" Target="https://eur-lex.europa.eu/legal-content/RO/TXT/?uri=CELEX%3A12019W/TXT%2802%29" TargetMode="External"/><Relationship Id="rId16" Type="http://schemas.openxmlformats.org/officeDocument/2006/relationships/hyperlink" Target="https://ec.europa.eu/assets/sg/complaint_eu_uk_tca/complaints_ro/" TargetMode="External"/><Relationship Id="rId20" Type="http://schemas.openxmlformats.org/officeDocument/2006/relationships/hyperlink" Target="https://policy.trade.ec.europa.eu/enforcement-and-protection/implementing-and-enforcing-eu-trade-agreements_en" TargetMode="External"/><Relationship Id="rId29" Type="http://schemas.openxmlformats.org/officeDocument/2006/relationships/hyperlink" Target="https://eur-lex.europa.eu/legal-content/RO/TXT/?uri=OJ%3AL_202501230" TargetMode="External"/><Relationship Id="rId41" Type="http://schemas.openxmlformats.org/officeDocument/2006/relationships/hyperlink" Target="https://eur-lex.europa.eu/eli/dec/2025/1286/oj" TargetMode="External"/><Relationship Id="rId54" Type="http://schemas.openxmlformats.org/officeDocument/2006/relationships/hyperlink" Target="https://eur-lex.europa.eu/legal-content/RO/TXT/?uri=OJ%3AL_202501229" TargetMode="External"/><Relationship Id="rId62" Type="http://schemas.openxmlformats.org/officeDocument/2006/relationships/hyperlink" Target="https://eur-lex.europa.eu/legal-content/RO/TXT/?uri=OJ%3AL_202501232" TargetMode="External"/><Relationship Id="rId1" Type="http://schemas.openxmlformats.org/officeDocument/2006/relationships/hyperlink" Target="https://www.consilium.europa.eu/media/1edla1hi/eu-uk_joint-statement.pdf" TargetMode="External"/><Relationship Id="rId6" Type="http://schemas.openxmlformats.org/officeDocument/2006/relationships/hyperlink" Target="https://ec.europa.eu/commission/presscorner/detail/en/statement_25_3103" TargetMode="External"/><Relationship Id="rId11" Type="http://schemas.openxmlformats.org/officeDocument/2006/relationships/hyperlink" Target="https://www.europarl.europa.eu/cmsdata/300310/6th%20PPA%20-%20Recommendation%20on%20trade,%20security%20and%20global%20challenges.pdf" TargetMode="External"/><Relationship Id="rId24" Type="http://schemas.openxmlformats.org/officeDocument/2006/relationships/hyperlink" Target="https://finance.ec.europa.eu/eu-and-world/bilateral-relations/regulatory-dialogues-united-kingdom_en" TargetMode="External"/><Relationship Id="rId32" Type="http://schemas.openxmlformats.org/officeDocument/2006/relationships/hyperlink" Target="https://eur-lex.europa.eu/legal-content/RO/TXT/?uri=CELEX%3A22025D0705&amp;qid=1756375999645" TargetMode="External"/><Relationship Id="rId37" Type="http://schemas.openxmlformats.org/officeDocument/2006/relationships/hyperlink" Target="https://eur-lex.europa.eu/legal-content/RON/TXT/?uri=OJ:C_202506451" TargetMode="External"/><Relationship Id="rId40" Type="http://schemas.openxmlformats.org/officeDocument/2006/relationships/hyperlink" Target="https://ec.europa.eu/commission/presscorner/detail/en/statement_25_3103" TargetMode="External"/><Relationship Id="rId45" Type="http://schemas.openxmlformats.org/officeDocument/2006/relationships/hyperlink" Target="https://eur-lex.europa.eu/legal-content/RO/TXT/?uri=celex:52024DC0127" TargetMode="External"/><Relationship Id="rId53" Type="http://schemas.openxmlformats.org/officeDocument/2006/relationships/hyperlink" Target="https://ec.europa.eu/info/strategy/relations-non-eu-countries/relations-united-kingdom/eu-uk-trade-and-cooperation-agreement/meetings-eu-uk-partnership-council-and-specialised-committees-under-trade-and-cooperation-agreement_en" TargetMode="External"/><Relationship Id="rId58" Type="http://schemas.openxmlformats.org/officeDocument/2006/relationships/hyperlink" Target="https://eur-lex.europa.eu/legal-content/RO/TXT/?uri=OJ:L_202501755" TargetMode="External"/><Relationship Id="rId5" Type="http://schemas.openxmlformats.org/officeDocument/2006/relationships/hyperlink" Target="https://ec.europa.eu/commission/presscorner/detail/en/statement_25_1267" TargetMode="External"/><Relationship Id="rId15" Type="http://schemas.openxmlformats.org/officeDocument/2006/relationships/hyperlink" Target="https://commission.europa.eu/strategy-and-policy/relations-united-kingdom/eu-uk-trade-and-cooperation-agreement/meetings-eu-uk-partnership-council-and-specialised-committees-under-trade-and-cooperation-agreement/fourth-meeting-partnership-council_en" TargetMode="External"/><Relationship Id="rId23" Type="http://schemas.openxmlformats.org/officeDocument/2006/relationships/hyperlink" Target="https://finance.ec.europa.eu/system/files/2023-09/230627-memorandum-understanding-financial-services-eu-uk_en.pdf" TargetMode="External"/><Relationship Id="rId28" Type="http://schemas.openxmlformats.org/officeDocument/2006/relationships/hyperlink" Target="https://eur-lex.europa.eu/legal-content/RO/TXT/?uri=OJ%3AL_202501232" TargetMode="External"/><Relationship Id="rId36" Type="http://schemas.openxmlformats.org/officeDocument/2006/relationships/hyperlink" Target="https://eur-lex.europa.eu/legal-content/RO/TXT/?uri=OJ:L_202501231" TargetMode="External"/><Relationship Id="rId49" Type="http://schemas.openxmlformats.org/officeDocument/2006/relationships/hyperlink" Target="https://www.legislation.gov.uk/ukpga/2025/18/contents" TargetMode="External"/><Relationship Id="rId57" Type="http://schemas.openxmlformats.org/officeDocument/2006/relationships/hyperlink" Target="https://eur-lex.europa.eu/legal-content/RO/TXT/?uri=OJ:L_202501231" TargetMode="External"/><Relationship Id="rId61" Type="http://schemas.openxmlformats.org/officeDocument/2006/relationships/hyperlink" Target="https://eur-lex.europa.eu/legal-content/RO/TXT/?uri=OJ:L_202501231" TargetMode="External"/><Relationship Id="rId10" Type="http://schemas.openxmlformats.org/officeDocument/2006/relationships/hyperlink" Target="https://www.europarl.europa.eu/cmsdata/293904/5th%20PPA%20Recommendation%2017.03.25.pdf" TargetMode="External"/><Relationship Id="rId19" Type="http://schemas.openxmlformats.org/officeDocument/2006/relationships/hyperlink" Target="https://eur-lex.europa.eu/legal-content/RO/TXT/HTML/?uri=CELEX:52026PC0089" TargetMode="External"/><Relationship Id="rId31" Type="http://schemas.openxmlformats.org/officeDocument/2006/relationships/hyperlink" Target="https://eur-lex.europa.eu/legal-content/RO/TXT/HTML/?uri=COM:2025:804:FIN" TargetMode="External"/><Relationship Id="rId44" Type="http://schemas.openxmlformats.org/officeDocument/2006/relationships/hyperlink" Target="https://www.legislation.gov.uk/ukpga/2023/39" TargetMode="External"/><Relationship Id="rId52" Type="http://schemas.openxmlformats.org/officeDocument/2006/relationships/hyperlink" Target="https://ec.europa.eu/commission/presscorner/detail/en/ip_25_3059" TargetMode="External"/><Relationship Id="rId60" Type="http://schemas.openxmlformats.org/officeDocument/2006/relationships/hyperlink" Target="https://eur-lex.europa.eu/legal-content/RO/TXT/?uri=OJ%3AL_202501229" TargetMode="External"/><Relationship Id="rId4" Type="http://schemas.openxmlformats.org/officeDocument/2006/relationships/hyperlink" Target="https://eur-lex.europa.eu/eli/agree_internation/2021/689(1)/oj" TargetMode="External"/><Relationship Id="rId9" Type="http://schemas.openxmlformats.org/officeDocument/2006/relationships/hyperlink" Target="https://www.europarl.europa.eu/delegations/en/d-uk/activities/inter-parliamentary" TargetMode="External"/><Relationship Id="rId14" Type="http://schemas.openxmlformats.org/officeDocument/2006/relationships/hyperlink" Target="https://policy.trade.ec.europa.eu/events/fourth-eu-uk-trade-and-cooperation-agreement-civil-society-forum-2025-06-24_en" TargetMode="External"/><Relationship Id="rId22" Type="http://schemas.openxmlformats.org/officeDocument/2006/relationships/hyperlink" Target="https://www.gov.uk/service-supplier-visa/eligibility" TargetMode="External"/><Relationship Id="rId27" Type="http://schemas.openxmlformats.org/officeDocument/2006/relationships/hyperlink" Target="https://ec.europa.eu/commission/presscorner/detail/en/ip_26_454" TargetMode="External"/><Relationship Id="rId30" Type="http://schemas.openxmlformats.org/officeDocument/2006/relationships/hyperlink" Target="https://eur-lex.europa.eu/legal-content/RO/TXT/?uri=CELEX%3A22025D0706&amp;qid=1756374227559" TargetMode="External"/><Relationship Id="rId35" Type="http://schemas.openxmlformats.org/officeDocument/2006/relationships/hyperlink" Target="https://eur-lex.europa.eu/legal-content/RO/TXT/?uri=OJ%3AL_202501229" TargetMode="External"/><Relationship Id="rId43" Type="http://schemas.openxmlformats.org/officeDocument/2006/relationships/hyperlink" Target="https://www.legislation.gov.uk/uksi/2025/845/made" TargetMode="External"/><Relationship Id="rId48" Type="http://schemas.openxmlformats.org/officeDocument/2006/relationships/hyperlink" Target="https://www.legislation.gov.uk/ukpga/2025/20" TargetMode="External"/><Relationship Id="rId56" Type="http://schemas.openxmlformats.org/officeDocument/2006/relationships/hyperlink" Target="https://eur-lex.europa.eu/legal-content/RO/TXT/?uri=OJ%3AL_202501232" TargetMode="External"/><Relationship Id="rId8" Type="http://schemas.openxmlformats.org/officeDocument/2006/relationships/hyperlink" Target="https://www.europarl.europa.eu/delegations/en/5th-eu-uk-parliamentary-partnership-asse/product-details/20250224DPU39839" TargetMode="External"/><Relationship Id="rId51" Type="http://schemas.openxmlformats.org/officeDocument/2006/relationships/hyperlink" Target="https://commission.europa.eu/document/download/6f636fa0-30d4-4c05-a713-64484ad913fa_en?filename=Draft%20Renewal%20of%20EU%20adequacy%20decision%20for%20the%20UK%20under%20the%20GDPR.pdf" TargetMode="External"/><Relationship Id="rId3" Type="http://schemas.openxmlformats.org/officeDocument/2006/relationships/hyperlink" Target="https://commission.europa.eu/publications/windsor-political-declaration-european-commission-and-government-united-kingdom_en" TargetMode="External"/><Relationship Id="rId12" Type="http://schemas.openxmlformats.org/officeDocument/2006/relationships/hyperlink" Target="https://www.eesc.europa.eu/en/sections-other-bodies/other/eu-domestic-advisory-group-under-eu-uk-tca" TargetMode="External"/><Relationship Id="rId17" Type="http://schemas.openxmlformats.org/officeDocument/2006/relationships/hyperlink" Target="https://trade.ec.europa.eu/access-to-markets/en/content/single-entry-point-0" TargetMode="External"/><Relationship Id="rId25" Type="http://schemas.openxmlformats.org/officeDocument/2006/relationships/hyperlink" Target="https://ec.europa.eu/eurostat/web/balance-of-payments/overview" TargetMode="External"/><Relationship Id="rId33" Type="http://schemas.openxmlformats.org/officeDocument/2006/relationships/hyperlink" Target="https://eur-lex.europa.eu/legal-content/RO/TXT/?uri=CELEX:22025D2330" TargetMode="External"/><Relationship Id="rId38" Type="http://schemas.openxmlformats.org/officeDocument/2006/relationships/hyperlink" Target="https://dashboard.tech.ec.europa.eu/qs_digit_dashboard_mt/public/sense/app/1213b8cd-3ebe-4730-b0f5-fa4e326df2e2/sheet/d1435e56-cdee-4f5f-8b0d-f49d41ffbd6c/state/analysis" TargetMode="External"/><Relationship Id="rId46" Type="http://schemas.openxmlformats.org/officeDocument/2006/relationships/hyperlink" Target="https://www.legislation.gov.uk/ukpga/2025/16" TargetMode="External"/><Relationship Id="rId59" Type="http://schemas.openxmlformats.org/officeDocument/2006/relationships/hyperlink" Target="https://eur-lex.europa.eu/legal-content/RO/TXT/?uri=OJ:L_202502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9328F-12B5-4234-98D2-1842DFC24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11</Pages>
  <Words>7340</Words>
  <Characters>41843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dcterms:created xsi:type="dcterms:W3CDTF">2026-02-27T16:54:00Z</dcterms:created>
  <dcterms:modified xsi:type="dcterms:W3CDTF">2026-04-14T07:23:00Z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2026-02-24T14:23:38Z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b404b842-8c11-4793-bab3-dfd3af284c6f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