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25CF" w:rsidRPr="00D06C4B" w:rsidRDefault="000E4AD7" w:rsidP="000E4AD7">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0596384-E569-4CD5-8DDA-67E0E0A8A047" style="width:455.25pt;height:371.25pt">
            <v:imagedata r:id="rId8" o:title=""/>
          </v:shape>
        </w:pict>
      </w:r>
    </w:p>
    <w:p w:rsidR="00C925CF" w:rsidRPr="00D06C4B" w:rsidRDefault="00C925CF" w:rsidP="009A3D44">
      <w:pPr>
        <w:rPr>
          <w:noProof/>
        </w:rPr>
        <w:sectPr w:rsidR="00C925CF" w:rsidRPr="00D06C4B" w:rsidSect="000E4AD7">
          <w:footerReference w:type="even" r:id="rId9"/>
          <w:footerReference w:type="default" r:id="rId10"/>
          <w:pgSz w:w="11907" w:h="16839"/>
          <w:pgMar w:top="1134" w:right="1417" w:bottom="1134" w:left="1417" w:header="709" w:footer="709" w:gutter="0"/>
          <w:pgNumType w:start="0"/>
          <w:cols w:space="720"/>
          <w:docGrid w:linePitch="360"/>
        </w:sectPr>
      </w:pPr>
    </w:p>
    <w:p w:rsidR="00C97833" w:rsidRPr="00AD7C58" w:rsidRDefault="00C97833">
      <w:pPr>
        <w:pStyle w:val="Exposdesmotifstitre"/>
        <w:rPr>
          <w:noProof/>
        </w:rPr>
      </w:pPr>
      <w:bookmarkStart w:id="0" w:name="_GoBack"/>
      <w:bookmarkEnd w:id="0"/>
      <w:r w:rsidRPr="00AD7C58">
        <w:rPr>
          <w:noProof/>
        </w:rPr>
        <w:lastRenderedPageBreak/>
        <w:t>EXPUNERE DE MOTIVE</w:t>
      </w:r>
    </w:p>
    <w:p w:rsidR="00C97833" w:rsidRPr="00AD7C58" w:rsidRDefault="00C97833">
      <w:pPr>
        <w:pStyle w:val="ManualHeading1"/>
        <w:rPr>
          <w:noProof/>
        </w:rPr>
      </w:pPr>
      <w:r w:rsidRPr="00AD7C58">
        <w:rPr>
          <w:noProof/>
        </w:rPr>
        <w:t>1.</w:t>
      </w:r>
      <w:r w:rsidRPr="00AD7C58">
        <w:rPr>
          <w:noProof/>
        </w:rPr>
        <w:tab/>
        <w:t>CONTEXTUL PROPUNERII</w:t>
      </w:r>
    </w:p>
    <w:p w:rsidR="00C97833" w:rsidRPr="00AD7C58" w:rsidRDefault="00C97833">
      <w:pPr>
        <w:pStyle w:val="ManualHeading2"/>
        <w:rPr>
          <w:rFonts w:eastAsia="Arial Unicode MS"/>
          <w:noProof/>
        </w:rPr>
      </w:pPr>
      <w:r w:rsidRPr="00AD7C58">
        <w:rPr>
          <w:noProof/>
          <w:u w:color="000000"/>
          <w:bdr w:val="nil"/>
        </w:rPr>
        <w:t>•</w:t>
      </w:r>
      <w:r w:rsidRPr="00AD7C58">
        <w:rPr>
          <w:noProof/>
        </w:rPr>
        <w:tab/>
        <w:t>Motivele și obiectivele propunerii</w:t>
      </w:r>
    </w:p>
    <w:p w:rsidR="00717B37" w:rsidRPr="00AD7C58" w:rsidRDefault="00717B37" w:rsidP="0064083E">
      <w:pPr>
        <w:rPr>
          <w:b/>
          <w:noProof/>
        </w:rPr>
      </w:pPr>
      <w:r w:rsidRPr="00D06C4B">
        <w:rPr>
          <w:noProof/>
        </w:rPr>
        <w:t>În conformitate cu articolul </w:t>
      </w:r>
      <w:r w:rsidRPr="00AD7C58">
        <w:rPr>
          <w:noProof/>
        </w:rPr>
        <w:t>25</w:t>
      </w:r>
      <w:r w:rsidRPr="00D06C4B">
        <w:rPr>
          <w:noProof/>
        </w:rPr>
        <w:t>a alineatul (</w:t>
      </w:r>
      <w:r w:rsidRPr="00AD7C58">
        <w:rPr>
          <w:noProof/>
        </w:rPr>
        <w:t>2</w:t>
      </w:r>
      <w:r w:rsidRPr="00D06C4B">
        <w:rPr>
          <w:noProof/>
        </w:rPr>
        <w:t>) din Regulamentul (CE) nr. </w:t>
      </w:r>
      <w:r w:rsidRPr="00AD7C58">
        <w:rPr>
          <w:noProof/>
        </w:rPr>
        <w:t>810</w:t>
      </w:r>
      <w:r w:rsidRPr="00D06C4B">
        <w:rPr>
          <w:noProof/>
        </w:rPr>
        <w:t>/</w:t>
      </w:r>
      <w:r w:rsidRPr="00AD7C58">
        <w:rPr>
          <w:noProof/>
        </w:rPr>
        <w:t>2009</w:t>
      </w:r>
      <w:r w:rsidRPr="00D06C4B">
        <w:rPr>
          <w:noProof/>
        </w:rPr>
        <w:t xml:space="preserve"> („Codul de vize”)</w:t>
      </w:r>
      <w:r w:rsidRPr="00D06C4B">
        <w:rPr>
          <w:rStyle w:val="FootnoteReference"/>
          <w:noProof/>
        </w:rPr>
        <w:footnoteReference w:id="1"/>
      </w:r>
      <w:r w:rsidRPr="00D06C4B">
        <w:rPr>
          <w:noProof/>
        </w:rPr>
        <w:t xml:space="preserve">, Comisia evaluează în mod regulat cooperarea țărilor terțe în materie de readmisie și raportează Consiliului cel puțin o dată pe an. </w:t>
      </w:r>
    </w:p>
    <w:p w:rsidR="00717B37" w:rsidRPr="00AD7C58" w:rsidRDefault="00717B37" w:rsidP="0064083E">
      <w:pPr>
        <w:rPr>
          <w:b/>
          <w:noProof/>
        </w:rPr>
      </w:pPr>
      <w:r w:rsidRPr="00D06C4B">
        <w:rPr>
          <w:noProof/>
        </w:rPr>
        <w:t xml:space="preserve">Pe baza celei de a </w:t>
      </w:r>
      <w:r w:rsidRPr="00AD7C58">
        <w:rPr>
          <w:noProof/>
        </w:rPr>
        <w:t>4</w:t>
      </w:r>
      <w:r w:rsidRPr="00D06C4B">
        <w:rPr>
          <w:noProof/>
        </w:rPr>
        <w:t xml:space="preserve">-a evaluări privind cooperarea, care acoperă anul </w:t>
      </w:r>
      <w:r w:rsidRPr="00AD7C58">
        <w:rPr>
          <w:noProof/>
        </w:rPr>
        <w:t>2022</w:t>
      </w:r>
      <w:r w:rsidRPr="00D06C4B">
        <w:rPr>
          <w:noProof/>
        </w:rPr>
        <w:t xml:space="preserve"> și a fost adoptată în </w:t>
      </w:r>
      <w:r w:rsidRPr="00AD7C58">
        <w:rPr>
          <w:noProof/>
        </w:rPr>
        <w:t>2023</w:t>
      </w:r>
      <w:r w:rsidRPr="00D06C4B">
        <w:rPr>
          <w:noProof/>
        </w:rPr>
        <w:t xml:space="preserve">, și ținând seama de măsurile luate de Comisie pentru a îmbunătăți nivelul de cooperare al țării terțe în cauză în materie de readmisie și de relațiile generale ale Uniunii cu țara terță în cauză, Comisia a concluzionat că Etiopia nu a cooperat suficient și că, prin urmare, este necesar să se ia măsuri. La </w:t>
      </w:r>
      <w:r w:rsidRPr="00AD7C58">
        <w:rPr>
          <w:noProof/>
        </w:rPr>
        <w:t>27</w:t>
      </w:r>
      <w:r w:rsidRPr="00D06C4B">
        <w:rPr>
          <w:noProof/>
        </w:rPr>
        <w:t xml:space="preserve"> septembrie </w:t>
      </w:r>
      <w:r w:rsidRPr="00AD7C58">
        <w:rPr>
          <w:noProof/>
        </w:rPr>
        <w:t>2023</w:t>
      </w:r>
      <w:r w:rsidRPr="00D06C4B">
        <w:rPr>
          <w:noProof/>
        </w:rPr>
        <w:t>, în conformitate cu articolul </w:t>
      </w:r>
      <w:r w:rsidRPr="00AD7C58">
        <w:rPr>
          <w:noProof/>
        </w:rPr>
        <w:t>25</w:t>
      </w:r>
      <w:r w:rsidRPr="00D06C4B">
        <w:rPr>
          <w:noProof/>
        </w:rPr>
        <w:t>a alineatul (</w:t>
      </w:r>
      <w:r w:rsidRPr="00AD7C58">
        <w:rPr>
          <w:noProof/>
        </w:rPr>
        <w:t>5</w:t>
      </w:r>
      <w:r w:rsidRPr="00D06C4B">
        <w:rPr>
          <w:noProof/>
        </w:rPr>
        <w:t>) litera (a) din Codul de vize, Comisia a adoptat o propunere de decizie de punere în aplicare a Consiliului de suspendare a aplicării dispozițiilor de la articolul </w:t>
      </w:r>
      <w:r w:rsidRPr="00AD7C58">
        <w:rPr>
          <w:noProof/>
        </w:rPr>
        <w:t>14</w:t>
      </w:r>
      <w:r w:rsidRPr="00D06C4B">
        <w:rPr>
          <w:noProof/>
        </w:rPr>
        <w:t xml:space="preserve"> alineatul (</w:t>
      </w:r>
      <w:r w:rsidRPr="00AD7C58">
        <w:rPr>
          <w:noProof/>
        </w:rPr>
        <w:t>6</w:t>
      </w:r>
      <w:r w:rsidRPr="00D06C4B">
        <w:rPr>
          <w:noProof/>
        </w:rPr>
        <w:t>), articolul </w:t>
      </w:r>
      <w:r w:rsidRPr="00AD7C58">
        <w:rPr>
          <w:noProof/>
        </w:rPr>
        <w:t>16</w:t>
      </w:r>
      <w:r w:rsidRPr="00D06C4B">
        <w:rPr>
          <w:noProof/>
        </w:rPr>
        <w:t xml:space="preserve"> alineatul (</w:t>
      </w:r>
      <w:r w:rsidRPr="00AD7C58">
        <w:rPr>
          <w:noProof/>
        </w:rPr>
        <w:t>5</w:t>
      </w:r>
      <w:r w:rsidRPr="00D06C4B">
        <w:rPr>
          <w:noProof/>
        </w:rPr>
        <w:t>) litera (b), articolul </w:t>
      </w:r>
      <w:r w:rsidRPr="00AD7C58">
        <w:rPr>
          <w:noProof/>
        </w:rPr>
        <w:t>23</w:t>
      </w:r>
      <w:r w:rsidRPr="00D06C4B">
        <w:rPr>
          <w:noProof/>
        </w:rPr>
        <w:t xml:space="preserve"> alineatul (</w:t>
      </w:r>
      <w:r w:rsidRPr="00AD7C58">
        <w:rPr>
          <w:noProof/>
        </w:rPr>
        <w:t>1</w:t>
      </w:r>
      <w:r w:rsidRPr="00D06C4B">
        <w:rPr>
          <w:noProof/>
        </w:rPr>
        <w:t>) și articolul </w:t>
      </w:r>
      <w:r w:rsidRPr="00AD7C58">
        <w:rPr>
          <w:noProof/>
        </w:rPr>
        <w:t>24</w:t>
      </w:r>
      <w:r w:rsidRPr="00D06C4B">
        <w:rPr>
          <w:noProof/>
        </w:rPr>
        <w:t xml:space="preserve"> alineatele (</w:t>
      </w:r>
      <w:r w:rsidRPr="00AD7C58">
        <w:rPr>
          <w:noProof/>
        </w:rPr>
        <w:t>2</w:t>
      </w:r>
      <w:r w:rsidRPr="00D06C4B">
        <w:rPr>
          <w:noProof/>
        </w:rPr>
        <w:t>) și (</w:t>
      </w:r>
      <w:r w:rsidRPr="00AD7C58">
        <w:rPr>
          <w:noProof/>
        </w:rPr>
        <w:t>2</w:t>
      </w:r>
      <w:r w:rsidRPr="00D06C4B">
        <w:rPr>
          <w:noProof/>
        </w:rPr>
        <w:t xml:space="preserve">c) din Codul de vize în ceea ce îi privește pe resortisanții Etiopiei. La </w:t>
      </w:r>
      <w:r w:rsidRPr="00AD7C58">
        <w:rPr>
          <w:noProof/>
        </w:rPr>
        <w:t>29</w:t>
      </w:r>
      <w:r w:rsidRPr="00D06C4B">
        <w:rPr>
          <w:noProof/>
        </w:rPr>
        <w:t xml:space="preserve"> aprilie </w:t>
      </w:r>
      <w:r w:rsidRPr="00AD7C58">
        <w:rPr>
          <w:noProof/>
        </w:rPr>
        <w:t>2024</w:t>
      </w:r>
      <w:r w:rsidRPr="00D06C4B">
        <w:rPr>
          <w:noProof/>
        </w:rPr>
        <w:t xml:space="preserve">, Consiliul a adoptat Decizia de punere în aplicare (UE) </w:t>
      </w:r>
      <w:r w:rsidRPr="00AD7C58">
        <w:rPr>
          <w:noProof/>
        </w:rPr>
        <w:t>2024</w:t>
      </w:r>
      <w:r w:rsidRPr="00D06C4B">
        <w:rPr>
          <w:noProof/>
        </w:rPr>
        <w:t>/</w:t>
      </w:r>
      <w:r w:rsidRPr="00AD7C58">
        <w:rPr>
          <w:noProof/>
        </w:rPr>
        <w:t>1341</w:t>
      </w:r>
      <w:r w:rsidRPr="00D06C4B">
        <w:rPr>
          <w:rStyle w:val="FootnoteReference"/>
          <w:noProof/>
        </w:rPr>
        <w:footnoteReference w:id="2"/>
      </w:r>
      <w:r w:rsidRPr="00D06C4B">
        <w:rPr>
          <w:noProof/>
        </w:rPr>
        <w:t>.</w:t>
      </w:r>
    </w:p>
    <w:p w:rsidR="00717B37" w:rsidRPr="00D06C4B" w:rsidRDefault="00C72925" w:rsidP="00C72925">
      <w:pPr>
        <w:rPr>
          <w:noProof/>
        </w:rPr>
      </w:pPr>
      <w:r w:rsidRPr="00D06C4B">
        <w:rPr>
          <w:noProof/>
        </w:rPr>
        <w:t>În conformitate cu articolul </w:t>
      </w:r>
      <w:r w:rsidRPr="00AD7C58">
        <w:rPr>
          <w:noProof/>
        </w:rPr>
        <w:t>25</w:t>
      </w:r>
      <w:r w:rsidRPr="00D06C4B">
        <w:rPr>
          <w:noProof/>
        </w:rPr>
        <w:t>a alineatul (</w:t>
      </w:r>
      <w:r w:rsidRPr="00AD7C58">
        <w:rPr>
          <w:noProof/>
        </w:rPr>
        <w:t>6</w:t>
      </w:r>
      <w:r w:rsidRPr="00D06C4B">
        <w:rPr>
          <w:noProof/>
        </w:rPr>
        <w:t>) din Codul de vize, Comisia evaluează continuu și raportează, pe baza indicatorilor prevăzuți la alineatul (</w:t>
      </w:r>
      <w:r w:rsidRPr="00AD7C58">
        <w:rPr>
          <w:noProof/>
        </w:rPr>
        <w:t>2</w:t>
      </w:r>
      <w:r w:rsidRPr="00D06C4B">
        <w:rPr>
          <w:noProof/>
        </w:rPr>
        <w:t>) de la articolul respectiv, dacă se poate constata o îmbunătățire substanțială și susținută a cooperării cu țara terță în cauză și, ținând seama și de relațiile generale ale Uniunii cu țara terță respectivă, poate prezenta Consiliului o propunere de abrogare sau de modificare a deciziilor de punere în aplicare menționate la alineatul (</w:t>
      </w:r>
      <w:r w:rsidRPr="00AD7C58">
        <w:rPr>
          <w:noProof/>
        </w:rPr>
        <w:t>5</w:t>
      </w:r>
      <w:r w:rsidRPr="00D06C4B">
        <w:rPr>
          <w:noProof/>
        </w:rPr>
        <w:t xml:space="preserve">) din articolul respectiv. </w:t>
      </w:r>
    </w:p>
    <w:p w:rsidR="002750AD" w:rsidRPr="00D06C4B" w:rsidRDefault="00D00CFE" w:rsidP="0064083E">
      <w:pPr>
        <w:rPr>
          <w:noProof/>
        </w:rPr>
      </w:pPr>
      <w:r w:rsidRPr="00D06C4B">
        <w:rPr>
          <w:noProof/>
        </w:rPr>
        <w:t xml:space="preserve">Pe baza celei de a </w:t>
      </w:r>
      <w:r w:rsidRPr="00AD7C58">
        <w:rPr>
          <w:noProof/>
        </w:rPr>
        <w:t>6</w:t>
      </w:r>
      <w:r w:rsidRPr="00D06C4B">
        <w:rPr>
          <w:noProof/>
        </w:rPr>
        <w:t xml:space="preserve">-a evaluări anuale privind cooperarea, care acoperă anul de referință </w:t>
      </w:r>
      <w:r w:rsidRPr="00AD7C58">
        <w:rPr>
          <w:noProof/>
        </w:rPr>
        <w:t>2024</w:t>
      </w:r>
      <w:r w:rsidRPr="00D06C4B">
        <w:rPr>
          <w:noProof/>
        </w:rPr>
        <w:t xml:space="preserve"> și a fost adoptată în </w:t>
      </w:r>
      <w:r w:rsidRPr="00AD7C58">
        <w:rPr>
          <w:noProof/>
        </w:rPr>
        <w:t>2025</w:t>
      </w:r>
      <w:r w:rsidRPr="00D06C4B">
        <w:rPr>
          <w:rStyle w:val="FootnoteReference"/>
          <w:noProof/>
        </w:rPr>
        <w:footnoteReference w:id="3"/>
      </w:r>
      <w:r w:rsidRPr="00D06C4B">
        <w:rPr>
          <w:noProof/>
        </w:rPr>
        <w:t xml:space="preserve">, Comisia a luat act de acțiunile substanțiale întreprinse de Etiopia și de tendința pozitivă de îmbunătățire a cooperării, care trebuia să se transforme în progrese susținute. </w:t>
      </w:r>
    </w:p>
    <w:p w:rsidR="00A50ED8" w:rsidRPr="00D06C4B" w:rsidRDefault="00DE281C" w:rsidP="0064083E">
      <w:pPr>
        <w:rPr>
          <w:noProof/>
        </w:rPr>
      </w:pPr>
      <w:r w:rsidRPr="00D06C4B">
        <w:rPr>
          <w:noProof/>
        </w:rPr>
        <w:t xml:space="preserve">Pe baza evaluării continue a cooperării, inclusiv în cadrul grupurilor de lucru relevante ale experților tehnici și ale Consiliului, precum și pe baza progreselor susținute constatate în cadrul celui de al </w:t>
      </w:r>
      <w:r w:rsidRPr="00AD7C58">
        <w:rPr>
          <w:noProof/>
        </w:rPr>
        <w:t>6</w:t>
      </w:r>
      <w:r w:rsidRPr="00D06C4B">
        <w:rPr>
          <w:noProof/>
        </w:rPr>
        <w:t xml:space="preserve">-lea grup de lucru comun care s-a întrunit la </w:t>
      </w:r>
      <w:r w:rsidRPr="00AD7C58">
        <w:rPr>
          <w:noProof/>
        </w:rPr>
        <w:t>18</w:t>
      </w:r>
      <w:r w:rsidRPr="00D06C4B">
        <w:rPr>
          <w:noProof/>
        </w:rPr>
        <w:t xml:space="preserve"> februarie </w:t>
      </w:r>
      <w:r w:rsidRPr="00AD7C58">
        <w:rPr>
          <w:noProof/>
        </w:rPr>
        <w:t>2026</w:t>
      </w:r>
      <w:r w:rsidRPr="00D06C4B">
        <w:rPr>
          <w:noProof/>
        </w:rPr>
        <w:t xml:space="preserve">, Comisia consideră că, de la intrarea în vigoare a Deciziei de punere în aplicare (UE) </w:t>
      </w:r>
      <w:r w:rsidRPr="00AD7C58">
        <w:rPr>
          <w:noProof/>
        </w:rPr>
        <w:t>2024</w:t>
      </w:r>
      <w:r w:rsidRPr="00D06C4B">
        <w:rPr>
          <w:noProof/>
        </w:rPr>
        <w:t>/</w:t>
      </w:r>
      <w:r w:rsidRPr="00AD7C58">
        <w:rPr>
          <w:noProof/>
        </w:rPr>
        <w:t>1341</w:t>
      </w:r>
      <w:r w:rsidRPr="00D06C4B">
        <w:rPr>
          <w:noProof/>
        </w:rPr>
        <w:t xml:space="preserve"> a Consiliului, se poate considera că există o îmbunătățire substanțială și susținută a cooperării în materie de readmisie în ceea ce privește identificarea resortisanților etiopieni aflați în situație de ședere ilegală pe teritoriul statelor membre, eliberarea documentelor de călătorie provizorii și organizarea periodică a operațiunilor de returnare. Prin urmare, Comisia consideră că este oportun să prezinte o propunere de decizie de punere în aplicare a Consiliului de abrogare a Deciziei de punere în aplicare (UE) </w:t>
      </w:r>
      <w:r w:rsidRPr="00AD7C58">
        <w:rPr>
          <w:noProof/>
        </w:rPr>
        <w:t>2024</w:t>
      </w:r>
      <w:r w:rsidRPr="00D06C4B">
        <w:rPr>
          <w:noProof/>
        </w:rPr>
        <w:t>/</w:t>
      </w:r>
      <w:r w:rsidRPr="00AD7C58">
        <w:rPr>
          <w:noProof/>
        </w:rPr>
        <w:t>1341</w:t>
      </w:r>
      <w:r w:rsidRPr="00D06C4B">
        <w:rPr>
          <w:noProof/>
        </w:rPr>
        <w:t xml:space="preserve"> a Consiliului.</w:t>
      </w:r>
    </w:p>
    <w:p w:rsidR="00A50ED8" w:rsidRPr="00AD7C58" w:rsidRDefault="00A50ED8" w:rsidP="0064083E">
      <w:pPr>
        <w:rPr>
          <w:bCs/>
          <w:i/>
          <w:iCs/>
          <w:noProof/>
        </w:rPr>
      </w:pPr>
      <w:r w:rsidRPr="00AD7C58">
        <w:rPr>
          <w:i/>
          <w:noProof/>
        </w:rPr>
        <w:t>Cazul Etiopiei</w:t>
      </w:r>
    </w:p>
    <w:p w:rsidR="00745E9F" w:rsidRPr="00D06C4B" w:rsidRDefault="006313D2" w:rsidP="006313D2">
      <w:pPr>
        <w:rPr>
          <w:rFonts w:eastAsia="Times New Roman"/>
          <w:noProof/>
          <w:szCs w:val="24"/>
        </w:rPr>
      </w:pPr>
      <w:r w:rsidRPr="00D06C4B">
        <w:rPr>
          <w:noProof/>
        </w:rPr>
        <w:t xml:space="preserve">În februarie </w:t>
      </w:r>
      <w:r w:rsidRPr="00AD7C58">
        <w:rPr>
          <w:noProof/>
        </w:rPr>
        <w:t>2018</w:t>
      </w:r>
      <w:r w:rsidRPr="00D06C4B">
        <w:rPr>
          <w:noProof/>
        </w:rPr>
        <w:t xml:space="preserve">, UE a încheiat un acord de readmisie fără caracter obligatoriu cu Etiopia („Procedura de admisie pentru returnarea etiopienilor din statele membre ale Uniunii Europene”). De atunci, au avut loc șase reuniuni ale grupului de lucru comun pentru a monitoriza punerea în aplicare a acordului. </w:t>
      </w:r>
    </w:p>
    <w:p w:rsidR="00F635B2" w:rsidRPr="00D06C4B" w:rsidRDefault="00584CE8" w:rsidP="006313D2">
      <w:pPr>
        <w:rPr>
          <w:rFonts w:eastAsia="Times New Roman"/>
          <w:noProof/>
          <w:szCs w:val="24"/>
        </w:rPr>
      </w:pPr>
      <w:r w:rsidRPr="00D06C4B">
        <w:rPr>
          <w:noProof/>
        </w:rPr>
        <w:lastRenderedPageBreak/>
        <w:t xml:space="preserve">Potrivit constatărilor Comisiei prezentate în cel de al </w:t>
      </w:r>
      <w:r w:rsidRPr="00AD7C58">
        <w:rPr>
          <w:noProof/>
        </w:rPr>
        <w:t>4</w:t>
      </w:r>
      <w:r w:rsidRPr="00D06C4B">
        <w:rPr>
          <w:noProof/>
        </w:rPr>
        <w:t xml:space="preserve">-lea raport din </w:t>
      </w:r>
      <w:r w:rsidRPr="00AD7C58">
        <w:rPr>
          <w:noProof/>
        </w:rPr>
        <w:t>2023</w:t>
      </w:r>
      <w:r w:rsidRPr="00D06C4B">
        <w:rPr>
          <w:noProof/>
        </w:rPr>
        <w:t>, întocmit în temeiul articolului </w:t>
      </w:r>
      <w:r w:rsidRPr="00AD7C58">
        <w:rPr>
          <w:noProof/>
        </w:rPr>
        <w:t>25</w:t>
      </w:r>
      <w:r w:rsidRPr="00D06C4B">
        <w:rPr>
          <w:noProof/>
        </w:rPr>
        <w:t xml:space="preserve">a, cooperarea Etiopiei în materie de readmisie în </w:t>
      </w:r>
      <w:r w:rsidRPr="00AD7C58">
        <w:rPr>
          <w:noProof/>
        </w:rPr>
        <w:t>2022</w:t>
      </w:r>
      <w:r w:rsidRPr="00D06C4B">
        <w:rPr>
          <w:noProof/>
        </w:rPr>
        <w:t xml:space="preserve"> a fost insuficientă. Au existat provocări persistente în ceea ce privește identificarea resortisanților Etiopiei aflați în situație de ședere ilegală pe teritoriul statelor membre, din cauza absenței unui răspuns din partea autorităților etiopiene la cererile de readmisie, a dificultăților legate de eliberarea documentelor de călătorie provizorii chiar și în cazurile în care cetățenia fusese confirmată anterior, precum și a problemelor legate de organizarea operațiunilor de returnare a persoanelor care au făcut obiectul returnărilor voluntare sau forțate cu zboruri regulate și zboruri charter.</w:t>
      </w:r>
    </w:p>
    <w:p w:rsidR="000B394C" w:rsidRPr="00D06C4B" w:rsidRDefault="004B247B" w:rsidP="000B394C">
      <w:pPr>
        <w:rPr>
          <w:rFonts w:eastAsia="Times New Roman"/>
          <w:noProof/>
          <w:szCs w:val="24"/>
        </w:rPr>
      </w:pPr>
      <w:r w:rsidRPr="00D06C4B">
        <w:rPr>
          <w:noProof/>
        </w:rPr>
        <w:t xml:space="preserve">În pofida eforturilor de intensificare a angajamentului în materie de readmisie și a asistenței tehnice furnizate de UE, cooperarea cu Etiopia în materie de readmisie nu se îmbunătățise. UE a transmis Etiopiei mesaje clare cu privire la necesitatea de a-și îmbunătăți cooperarea în ceea ce privește readmisia resortisanților săi care nu au drept de ședere în statele membre ale UE și de a pune pe deplin în aplicare acordul de readmisie, inclusiv printr-o identificare rapidă și prin eliberarea de documente de călătorie provizorii pentru toate persoanele care fac obiectul returnării, inclusiv al returnării forțate. Întrucât situația nu se îmbunătățise în pofida măsurilor continue luate de Comisie, și ținând seama de relațiile generale ale UE cu Etiopia, s-a considerat că cooperarea Etiopiei cu UE în materie de readmisie nu este suficientă și că erau necesare acțiuni suplimentare. Prin urmare, Comisia a propus, în septembrie </w:t>
      </w:r>
      <w:r w:rsidRPr="00AD7C58">
        <w:rPr>
          <w:noProof/>
        </w:rPr>
        <w:t>2023</w:t>
      </w:r>
      <w:r w:rsidRPr="00D06C4B">
        <w:rPr>
          <w:noProof/>
        </w:rPr>
        <w:t xml:space="preserve">, măsuri în materie de vize, care au fost adoptate de Consiliu în aprilie </w:t>
      </w:r>
      <w:r w:rsidRPr="00AD7C58">
        <w:rPr>
          <w:noProof/>
        </w:rPr>
        <w:t>2024</w:t>
      </w:r>
      <w:r w:rsidRPr="00D06C4B">
        <w:rPr>
          <w:noProof/>
        </w:rPr>
        <w:t>.</w:t>
      </w:r>
    </w:p>
    <w:p w:rsidR="009022BD" w:rsidRPr="00D06C4B" w:rsidRDefault="009022BD" w:rsidP="000B394C">
      <w:pPr>
        <w:rPr>
          <w:rFonts w:eastAsia="Times New Roman"/>
          <w:noProof/>
          <w:szCs w:val="24"/>
        </w:rPr>
      </w:pPr>
      <w:r w:rsidRPr="00D06C4B">
        <w:rPr>
          <w:noProof/>
        </w:rPr>
        <w:t xml:space="preserve">Pe baza celui de al </w:t>
      </w:r>
      <w:r w:rsidRPr="00AD7C58">
        <w:rPr>
          <w:noProof/>
        </w:rPr>
        <w:t>6</w:t>
      </w:r>
      <w:r w:rsidRPr="00D06C4B">
        <w:rPr>
          <w:noProof/>
        </w:rPr>
        <w:t xml:space="preserve">-lea raport întocmit în temeiul articolului </w:t>
      </w:r>
      <w:r w:rsidRPr="00AD7C58">
        <w:rPr>
          <w:noProof/>
        </w:rPr>
        <w:t>25</w:t>
      </w:r>
      <w:r w:rsidRPr="00D06C4B">
        <w:rPr>
          <w:noProof/>
        </w:rPr>
        <w:t xml:space="preserve">a, care acoperă anul de referință </w:t>
      </w:r>
      <w:r w:rsidRPr="00AD7C58">
        <w:rPr>
          <w:noProof/>
        </w:rPr>
        <w:t>2024</w:t>
      </w:r>
      <w:r w:rsidRPr="00D06C4B">
        <w:rPr>
          <w:noProof/>
        </w:rPr>
        <w:t xml:space="preserve"> și a fost adoptat în iulie </w:t>
      </w:r>
      <w:r w:rsidRPr="00AD7C58">
        <w:rPr>
          <w:noProof/>
        </w:rPr>
        <w:t>2025</w:t>
      </w:r>
      <w:r w:rsidRPr="00D06C4B">
        <w:rPr>
          <w:noProof/>
        </w:rPr>
        <w:t xml:space="preserve">, Comisia a luat act de acțiunile substanțiale întreprinse de Etiopia și de tendința pozitivă de îmbunătățire a cooperării, care trebuia să se transforme în progrese susținute. Etiopia a reluat procesarea cazurilor de returnare forțată și eliberarea documentelor de călătorie provizorii cu valabilitate corespunzătoare (astfel cum se indică în acordul de readmisie) și și-a îmbunătățit reacția în relația cu autoritățile statelor membre. Trei misiuni de identificare au avut loc în </w:t>
      </w:r>
      <w:r w:rsidRPr="00AD7C58">
        <w:rPr>
          <w:noProof/>
        </w:rPr>
        <w:t>2024</w:t>
      </w:r>
      <w:r w:rsidRPr="00D06C4B">
        <w:rPr>
          <w:noProof/>
        </w:rPr>
        <w:t xml:space="preserve"> și una în </w:t>
      </w:r>
      <w:r w:rsidRPr="00AD7C58">
        <w:rPr>
          <w:noProof/>
        </w:rPr>
        <w:t>2025</w:t>
      </w:r>
      <w:r w:rsidRPr="00D06C4B">
        <w:rPr>
          <w:noProof/>
        </w:rPr>
        <w:t xml:space="preserve">, cu rezultate pozitive în ceea ce privește confirmarea cetățeniei și îmbunătățirea termenelor de comunicare a rezultatelor, precum și cu un angajament asumat față de statele membre de a elibera la cerere, pentru toate cazurile, documente de călătorie provizorii. Prima operațiune de zbor charter de după </w:t>
      </w:r>
      <w:r w:rsidRPr="00AD7C58">
        <w:rPr>
          <w:noProof/>
        </w:rPr>
        <w:t>2021</w:t>
      </w:r>
      <w:r w:rsidRPr="00D06C4B">
        <w:rPr>
          <w:noProof/>
        </w:rPr>
        <w:t xml:space="preserve"> a avut loc în decembrie </w:t>
      </w:r>
      <w:r w:rsidRPr="00AD7C58">
        <w:rPr>
          <w:noProof/>
        </w:rPr>
        <w:t>2024</w:t>
      </w:r>
      <w:r w:rsidRPr="00D06C4B">
        <w:rPr>
          <w:noProof/>
        </w:rPr>
        <w:t xml:space="preserve">, iar cooperarea prin zboruri charter a continuat în cursul anului </w:t>
      </w:r>
      <w:r w:rsidRPr="00AD7C58">
        <w:rPr>
          <w:noProof/>
        </w:rPr>
        <w:t>2025</w:t>
      </w:r>
      <w:r w:rsidRPr="00D06C4B">
        <w:rPr>
          <w:noProof/>
        </w:rPr>
        <w:t xml:space="preserve">. În decembrie </w:t>
      </w:r>
      <w:r w:rsidRPr="00AD7C58">
        <w:rPr>
          <w:noProof/>
        </w:rPr>
        <w:t>2025</w:t>
      </w:r>
      <w:r w:rsidRPr="00D06C4B">
        <w:rPr>
          <w:noProof/>
        </w:rPr>
        <w:t>, UE a organizat la Bruxelles o formare încununată de succes privind tehnicile de verificare a cetățeniei pentru administrația națională etiopiană și consulatele Etiopiei din Europa.</w:t>
      </w:r>
    </w:p>
    <w:p w:rsidR="006E4D06" w:rsidRPr="00D06C4B" w:rsidRDefault="00647B04" w:rsidP="004F6171">
      <w:pPr>
        <w:rPr>
          <w:noProof/>
          <w:szCs w:val="24"/>
        </w:rPr>
      </w:pPr>
      <w:r w:rsidRPr="00D06C4B">
        <w:rPr>
          <w:noProof/>
        </w:rPr>
        <w:t xml:space="preserve">Pe baza tuturor considerentelor de mai sus, Comisia consideră că se poate considera că există o îmbunătățire substanțială și susținută a cooperării în materie de readmisie și propune abrogarea Deciziei de punere în aplicare </w:t>
      </w:r>
      <w:r w:rsidRPr="00AD7C58">
        <w:rPr>
          <w:noProof/>
        </w:rPr>
        <w:t>2024</w:t>
      </w:r>
      <w:r w:rsidRPr="00D06C4B">
        <w:rPr>
          <w:noProof/>
        </w:rPr>
        <w:t>/</w:t>
      </w:r>
      <w:r w:rsidRPr="00AD7C58">
        <w:rPr>
          <w:noProof/>
        </w:rPr>
        <w:t>1341</w:t>
      </w:r>
      <w:r w:rsidRPr="00D06C4B">
        <w:rPr>
          <w:noProof/>
        </w:rPr>
        <w:t xml:space="preserve"> a Consiliului. </w:t>
      </w:r>
    </w:p>
    <w:p w:rsidR="001D4BEF" w:rsidRPr="00AD7C58" w:rsidRDefault="001D4BEF" w:rsidP="0064083E">
      <w:pPr>
        <w:rPr>
          <w:bCs/>
          <w:i/>
          <w:iCs/>
          <w:noProof/>
        </w:rPr>
      </w:pPr>
      <w:r w:rsidRPr="00AD7C58">
        <w:rPr>
          <w:i/>
          <w:noProof/>
        </w:rPr>
        <w:t>Relațiile generale ale Uniunii cu Etiopia</w:t>
      </w:r>
    </w:p>
    <w:p w:rsidR="001C20B2" w:rsidRPr="00D06C4B" w:rsidRDefault="001C20B2" w:rsidP="001A55FA">
      <w:pPr>
        <w:rPr>
          <w:noProof/>
        </w:rPr>
      </w:pPr>
      <w:r w:rsidRPr="00D06C4B">
        <w:rPr>
          <w:noProof/>
        </w:rPr>
        <w:t>Etiopia este o țară foarte importantă pentru stabilitatea din Cornul Africii. Aceasta este a doua țară din Africa ca populație (</w:t>
      </w:r>
      <w:r w:rsidRPr="00AD7C58">
        <w:rPr>
          <w:noProof/>
        </w:rPr>
        <w:t>110</w:t>
      </w:r>
      <w:r w:rsidRPr="00D06C4B">
        <w:rPr>
          <w:noProof/>
        </w:rPr>
        <w:t xml:space="preserve"> milioane de locuitori) și găzduiește peste </w:t>
      </w:r>
      <w:r w:rsidRPr="00AD7C58">
        <w:rPr>
          <w:noProof/>
        </w:rPr>
        <w:t>1</w:t>
      </w:r>
      <w:r w:rsidRPr="00D06C4B">
        <w:rPr>
          <w:noProof/>
        </w:rPr>
        <w:t>,</w:t>
      </w:r>
      <w:r w:rsidRPr="00AD7C58">
        <w:rPr>
          <w:noProof/>
        </w:rPr>
        <w:t>1</w:t>
      </w:r>
      <w:r w:rsidRPr="00D06C4B">
        <w:rPr>
          <w:noProof/>
        </w:rPr>
        <w:t xml:space="preserve"> milioane de refugiați din regiune. Din noiembrie </w:t>
      </w:r>
      <w:r w:rsidRPr="00AD7C58">
        <w:rPr>
          <w:noProof/>
        </w:rPr>
        <w:t>2020</w:t>
      </w:r>
      <w:r w:rsidRPr="00D06C4B">
        <w:rPr>
          <w:noProof/>
        </w:rPr>
        <w:t xml:space="preserve">, Etiopia s-a confruntat cu un conflict intern care a condus la semnarea, la </w:t>
      </w:r>
      <w:r w:rsidRPr="00AD7C58">
        <w:rPr>
          <w:noProof/>
        </w:rPr>
        <w:t>2</w:t>
      </w:r>
      <w:r w:rsidRPr="00D06C4B">
        <w:rPr>
          <w:noProof/>
        </w:rPr>
        <w:t xml:space="preserve"> noiembrie </w:t>
      </w:r>
      <w:r w:rsidRPr="00AD7C58">
        <w:rPr>
          <w:noProof/>
        </w:rPr>
        <w:t>2022</w:t>
      </w:r>
      <w:r w:rsidRPr="00D06C4B">
        <w:rPr>
          <w:noProof/>
        </w:rPr>
        <w:t xml:space="preserve">, în Pretoria (Africa de Sud), a Acordului de încetare permanentă a ostilităților. În etapa critică a conflictului din Sudan, care a izbucnit în aprilie </w:t>
      </w:r>
      <w:r w:rsidRPr="00AD7C58">
        <w:rPr>
          <w:noProof/>
        </w:rPr>
        <w:t>2023</w:t>
      </w:r>
      <w:r w:rsidRPr="00D06C4B">
        <w:rPr>
          <w:noProof/>
        </w:rPr>
        <w:t xml:space="preserve">, autoritățile etiopiene au oferit o asistență substanțială în ceea ce privește eliberarea vizelor și facilitățile de la frontieră în timpul evacuării cetățenilor UE din Sudan. </w:t>
      </w:r>
    </w:p>
    <w:p w:rsidR="001C20B2" w:rsidRPr="00D06C4B" w:rsidRDefault="001C20B2" w:rsidP="001A55FA">
      <w:pPr>
        <w:rPr>
          <w:noProof/>
        </w:rPr>
      </w:pPr>
      <w:r w:rsidRPr="00D06C4B">
        <w:rPr>
          <w:noProof/>
        </w:rPr>
        <w:t xml:space="preserve">Țara beneficiază de acces la piața europeană fără taxe vamale și fără contingente în temeiul regimului „Totul în afară de arme”. </w:t>
      </w:r>
    </w:p>
    <w:p w:rsidR="0064083E" w:rsidRPr="00D06C4B" w:rsidRDefault="001C20B2" w:rsidP="001A55FA">
      <w:pPr>
        <w:rPr>
          <w:noProof/>
        </w:rPr>
      </w:pPr>
      <w:r w:rsidRPr="00D06C4B">
        <w:rPr>
          <w:noProof/>
        </w:rPr>
        <w:t xml:space="preserve">Etiopia este membră a Autorității interguvernamentale pentru Dezvoltare și membră a Comitetului director al Procesului de la Khartoum. Etiopia este parte la Acordul din Samoa. Aceasta este un partener important pentru Uniunea Europeană, cu care are un parteneriat de lungă durată, inițiat în urmă cu mai mult de </w:t>
      </w:r>
      <w:r w:rsidRPr="00AD7C58">
        <w:rPr>
          <w:noProof/>
        </w:rPr>
        <w:t>40</w:t>
      </w:r>
      <w:r w:rsidRPr="00D06C4B">
        <w:rPr>
          <w:noProof/>
        </w:rPr>
        <w:t xml:space="preserve"> de ani. În </w:t>
      </w:r>
      <w:r w:rsidRPr="00AD7C58">
        <w:rPr>
          <w:noProof/>
        </w:rPr>
        <w:t>2016</w:t>
      </w:r>
      <w:r w:rsidRPr="00D06C4B">
        <w:rPr>
          <w:noProof/>
        </w:rPr>
        <w:t xml:space="preserve">, UE și Etiopia au semnat un „angajament strategic”, prin care ambele părți se angajează să coopereze strâns în domenii precum pacea și securitatea regională, comerțul și investițiile, inclusiv migrația și strămutarea forțată. UE sprijină Etiopia prin intermediul Programului indicativ multianual (PIM) pentru Etiopia </w:t>
      </w:r>
      <w:r w:rsidRPr="00AD7C58">
        <w:rPr>
          <w:noProof/>
        </w:rPr>
        <w:t>2024</w:t>
      </w:r>
      <w:r w:rsidRPr="00D06C4B">
        <w:rPr>
          <w:noProof/>
        </w:rPr>
        <w:t>-</w:t>
      </w:r>
      <w:r w:rsidRPr="00AD7C58">
        <w:rPr>
          <w:noProof/>
        </w:rPr>
        <w:t>2027</w:t>
      </w:r>
      <w:r w:rsidRPr="00D06C4B">
        <w:rPr>
          <w:noProof/>
        </w:rPr>
        <w:t xml:space="preserve">, care dispune de un buget stabilit inițial la </w:t>
      </w:r>
      <w:r w:rsidRPr="00AD7C58">
        <w:rPr>
          <w:noProof/>
        </w:rPr>
        <w:t>650</w:t>
      </w:r>
      <w:r w:rsidRPr="00D06C4B">
        <w:rPr>
          <w:noProof/>
        </w:rPr>
        <w:t xml:space="preserve"> de milioane EUR și revizuit la </w:t>
      </w:r>
      <w:r w:rsidRPr="00AD7C58">
        <w:rPr>
          <w:noProof/>
        </w:rPr>
        <w:t>609</w:t>
      </w:r>
      <w:r w:rsidRPr="00D06C4B">
        <w:rPr>
          <w:noProof/>
        </w:rPr>
        <w:t xml:space="preserve"> milioane EUR, după o evaluare la jumătatea perioadei. Această inițiativă marchează o evoluție semnificativă în angajamentul UE față de Etiopia, trecând de la răspunsul în situații de criză și sprijinul pentru reconstrucție la un parteneriat pentru investiții durabil și pe termen lung. Inițiativa vizează </w:t>
      </w:r>
      <w:r w:rsidRPr="00AD7C58">
        <w:rPr>
          <w:noProof/>
        </w:rPr>
        <w:t>3</w:t>
      </w:r>
      <w:r w:rsidRPr="00D06C4B">
        <w:rPr>
          <w:noProof/>
        </w:rPr>
        <w:t xml:space="preserve"> domenii prioritare: Pactul verde, dezvoltarea umană (inclusiv migrația și strămutarea forțată) și guvernanța/consolidarea păcii. </w:t>
      </w:r>
    </w:p>
    <w:p w:rsidR="00C97833" w:rsidRPr="00AD7C58" w:rsidRDefault="00C97833" w:rsidP="00717B37">
      <w:pPr>
        <w:pStyle w:val="ManualHeading2"/>
        <w:rPr>
          <w:rFonts w:eastAsia="Arial Unicode MS"/>
          <w:noProof/>
          <w:u w:color="000000"/>
          <w:bdr w:val="nil"/>
        </w:rPr>
      </w:pPr>
      <w:r w:rsidRPr="00AD7C58">
        <w:rPr>
          <w:noProof/>
          <w:u w:color="000000"/>
          <w:bdr w:val="nil"/>
        </w:rPr>
        <w:t>•</w:t>
      </w:r>
      <w:r w:rsidRPr="00AD7C58">
        <w:rPr>
          <w:noProof/>
        </w:rPr>
        <w:tab/>
        <w:t>Coerența cu dispozițiile de politică deja existente în domeniul de politică vizat</w:t>
      </w:r>
    </w:p>
    <w:p w:rsidR="00C97833" w:rsidRPr="00D06C4B" w:rsidRDefault="00A50ED8" w:rsidP="00A50ED8">
      <w:pPr>
        <w:pBdr>
          <w:top w:val="nil"/>
          <w:left w:val="nil"/>
          <w:bottom w:val="nil"/>
          <w:right w:val="nil"/>
          <w:between w:val="nil"/>
          <w:bar w:val="nil"/>
        </w:pBdr>
        <w:spacing w:before="0" w:after="240"/>
        <w:rPr>
          <w:rFonts w:eastAsia="Arial Unicode MS"/>
          <w:noProof/>
        </w:rPr>
      </w:pPr>
      <w:r w:rsidRPr="00D06C4B">
        <w:rPr>
          <w:noProof/>
        </w:rPr>
        <w:t xml:space="preserve">Decizia propusă este conformă cu Codul de vize, în care sunt stabilite normele armonizate ale politicii comune în domeniul vizelor care reglementează procedurile și condițiile de eliberare a vizelor pentru șederile preconizate pe teritoriul statelor membre care nu depășesc </w:t>
      </w:r>
      <w:r w:rsidRPr="00AD7C58">
        <w:rPr>
          <w:noProof/>
        </w:rPr>
        <w:t>90</w:t>
      </w:r>
      <w:r w:rsidRPr="00D06C4B">
        <w:rPr>
          <w:noProof/>
        </w:rPr>
        <w:t xml:space="preserve"> de zile în cursul oricărei perioade de </w:t>
      </w:r>
      <w:r w:rsidRPr="00AD7C58">
        <w:rPr>
          <w:noProof/>
        </w:rPr>
        <w:t>180</w:t>
      </w:r>
      <w:r w:rsidRPr="00D06C4B">
        <w:rPr>
          <w:noProof/>
        </w:rPr>
        <w:t xml:space="preserve"> de zile. Decizia propusă este, de asemenea, în concordanță cu propunerea anterioară de stabilire a măsurilor</w:t>
      </w:r>
      <w:r w:rsidRPr="00D06C4B">
        <w:rPr>
          <w:rStyle w:val="FootnoteReference"/>
          <w:rFonts w:eastAsia="Arial Unicode MS"/>
          <w:noProof/>
        </w:rPr>
        <w:footnoteReference w:id="4"/>
      </w:r>
      <w:r w:rsidRPr="00D06C4B">
        <w:rPr>
          <w:noProof/>
        </w:rPr>
        <w:t xml:space="preserve">. </w:t>
      </w:r>
    </w:p>
    <w:p w:rsidR="00C97833" w:rsidRPr="00AD7C58" w:rsidRDefault="00C97833">
      <w:pPr>
        <w:pStyle w:val="ManualHeading2"/>
        <w:rPr>
          <w:rFonts w:eastAsia="Arial Unicode MS"/>
          <w:noProof/>
        </w:rPr>
      </w:pPr>
      <w:r w:rsidRPr="00AD7C58">
        <w:rPr>
          <w:noProof/>
          <w:u w:color="000000"/>
          <w:bdr w:val="nil"/>
        </w:rPr>
        <w:t>•</w:t>
      </w:r>
      <w:r w:rsidRPr="00AD7C58">
        <w:rPr>
          <w:noProof/>
        </w:rPr>
        <w:tab/>
        <w:t>Coerența cu alte politici ale Uniunii</w:t>
      </w:r>
    </w:p>
    <w:p w:rsidR="00A50ED8" w:rsidRPr="00D06C4B" w:rsidRDefault="00A50ED8" w:rsidP="00A50ED8">
      <w:pPr>
        <w:pBdr>
          <w:top w:val="nil"/>
          <w:left w:val="nil"/>
          <w:bottom w:val="nil"/>
          <w:right w:val="nil"/>
          <w:between w:val="nil"/>
          <w:bar w:val="nil"/>
        </w:pBdr>
        <w:spacing w:before="0" w:after="240"/>
        <w:rPr>
          <w:rFonts w:eastAsia="Arial Unicode MS"/>
          <w:noProof/>
        </w:rPr>
      </w:pPr>
      <w:r w:rsidRPr="00D06C4B">
        <w:rPr>
          <w:noProof/>
        </w:rPr>
        <w:t xml:space="preserve">UE promovează o abordare cuprinzătoare bazată pe valori și responsabilități comune în ceea ce privește migrația și strămutarea forțată. Noul Pact privind migrația și azilul prevede dezvoltarea și aprofundarea unor parteneriate personalizate, cuprinzătoare și echilibrate, pentru a promova cooperarea cu privire la toate aspectele relevante: </w:t>
      </w:r>
    </w:p>
    <w:p w:rsidR="005F7B1A" w:rsidRPr="00D06C4B" w:rsidRDefault="00A50ED8" w:rsidP="001D60E4">
      <w:pPr>
        <w:pStyle w:val="Tiret0"/>
        <w:numPr>
          <w:ilvl w:val="0"/>
          <w:numId w:val="6"/>
        </w:numPr>
        <w:rPr>
          <w:noProof/>
        </w:rPr>
      </w:pPr>
      <w:r w:rsidRPr="00D06C4B">
        <w:rPr>
          <w:noProof/>
        </w:rPr>
        <w:t>acordarea de protecție celor care au nevoie și sprijinirea țărilor-gazdă și a comunităților-gazdă;</w:t>
      </w:r>
    </w:p>
    <w:p w:rsidR="005F7B1A" w:rsidRPr="00D06C4B" w:rsidRDefault="00A50ED8" w:rsidP="001D60E4">
      <w:pPr>
        <w:pStyle w:val="Tiret0"/>
        <w:numPr>
          <w:ilvl w:val="0"/>
          <w:numId w:val="6"/>
        </w:numPr>
        <w:pBdr>
          <w:top w:val="nil"/>
          <w:left w:val="nil"/>
          <w:bottom w:val="nil"/>
          <w:right w:val="nil"/>
          <w:between w:val="nil"/>
          <w:bar w:val="nil"/>
        </w:pBdr>
        <w:spacing w:before="0" w:after="240"/>
        <w:rPr>
          <w:rFonts w:eastAsia="Arial Unicode MS"/>
          <w:noProof/>
        </w:rPr>
      </w:pPr>
      <w:r w:rsidRPr="00D06C4B">
        <w:rPr>
          <w:noProof/>
        </w:rPr>
        <w:t>crearea de perspective economice și abordarea cauzelor profunde ale migrației ilegale și ale strămutării forțate;</w:t>
      </w:r>
    </w:p>
    <w:p w:rsidR="005F7B1A" w:rsidRPr="00D06C4B" w:rsidRDefault="00A50ED8" w:rsidP="001D60E4">
      <w:pPr>
        <w:pStyle w:val="Tiret0"/>
        <w:numPr>
          <w:ilvl w:val="0"/>
          <w:numId w:val="6"/>
        </w:numPr>
        <w:pBdr>
          <w:top w:val="nil"/>
          <w:left w:val="nil"/>
          <w:bottom w:val="nil"/>
          <w:right w:val="nil"/>
          <w:between w:val="nil"/>
          <w:bar w:val="nil"/>
        </w:pBdr>
        <w:spacing w:before="0" w:after="240"/>
        <w:rPr>
          <w:rFonts w:eastAsia="Arial Unicode MS"/>
          <w:noProof/>
        </w:rPr>
      </w:pPr>
      <w:r w:rsidRPr="00D06C4B">
        <w:rPr>
          <w:noProof/>
        </w:rPr>
        <w:t>sprijinirea eforturilor partenerilor de a consolida guvernanța și gestionarea migrației;</w:t>
      </w:r>
    </w:p>
    <w:p w:rsidR="005F7B1A" w:rsidRPr="00D06C4B" w:rsidRDefault="00A50ED8" w:rsidP="001D60E4">
      <w:pPr>
        <w:pStyle w:val="Tiret0"/>
        <w:numPr>
          <w:ilvl w:val="0"/>
          <w:numId w:val="6"/>
        </w:numPr>
        <w:pBdr>
          <w:top w:val="nil"/>
          <w:left w:val="nil"/>
          <w:bottom w:val="nil"/>
          <w:right w:val="nil"/>
          <w:between w:val="nil"/>
          <w:bar w:val="nil"/>
        </w:pBdr>
        <w:spacing w:before="0" w:after="240"/>
        <w:rPr>
          <w:rFonts w:eastAsia="Arial Unicode MS"/>
          <w:noProof/>
        </w:rPr>
      </w:pPr>
      <w:r w:rsidRPr="00D06C4B">
        <w:rPr>
          <w:noProof/>
        </w:rPr>
        <w:t>promovarea cooperării în materie de returnări și readmisii;</w:t>
      </w:r>
    </w:p>
    <w:p w:rsidR="00A50ED8" w:rsidRPr="00D06C4B" w:rsidRDefault="00A50ED8" w:rsidP="001D60E4">
      <w:pPr>
        <w:pStyle w:val="Tiret0"/>
        <w:numPr>
          <w:ilvl w:val="0"/>
          <w:numId w:val="6"/>
        </w:numPr>
        <w:pBdr>
          <w:top w:val="nil"/>
          <w:left w:val="nil"/>
          <w:bottom w:val="nil"/>
          <w:right w:val="nil"/>
          <w:between w:val="nil"/>
          <w:bar w:val="nil"/>
        </w:pBdr>
        <w:spacing w:before="0" w:after="240"/>
        <w:rPr>
          <w:rFonts w:eastAsia="Arial Unicode MS"/>
          <w:noProof/>
        </w:rPr>
      </w:pPr>
      <w:r w:rsidRPr="00D06C4B">
        <w:rPr>
          <w:noProof/>
        </w:rPr>
        <w:t>dezvoltarea unor căi legale de acces în Europa.</w:t>
      </w:r>
    </w:p>
    <w:p w:rsidR="00C97833" w:rsidRPr="00D06C4B" w:rsidRDefault="00A50ED8" w:rsidP="009A3AE5">
      <w:pPr>
        <w:pBdr>
          <w:top w:val="nil"/>
          <w:left w:val="nil"/>
          <w:bottom w:val="nil"/>
          <w:right w:val="nil"/>
          <w:between w:val="nil"/>
          <w:bar w:val="nil"/>
        </w:pBdr>
        <w:spacing w:before="0" w:after="240"/>
        <w:rPr>
          <w:rFonts w:eastAsia="Arial Unicode MS"/>
          <w:noProof/>
        </w:rPr>
      </w:pPr>
      <w:r w:rsidRPr="00D06C4B">
        <w:rPr>
          <w:noProof/>
        </w:rPr>
        <w:t xml:space="preserve">Cooperarea dintre statele membre și țările terțe în ceea ce privește readmisia resortisanților țărilor terțe aflați în situație de ședere ilegală este un element important al acestei politici. În concluziile sale din octombrie </w:t>
      </w:r>
      <w:r w:rsidRPr="00AD7C58">
        <w:rPr>
          <w:noProof/>
        </w:rPr>
        <w:t>2024</w:t>
      </w:r>
      <w:r w:rsidRPr="00D06C4B">
        <w:rPr>
          <w:noProof/>
        </w:rPr>
        <w:t>, Consiliul European a solicitat acțiuni ferme la toate nivelurile pentru a facilita, a spori și a accelera returnările din Uniunea Europeană, utilizând toate politicile, instrumentele și mijloacele pertinente ale UE, inclusiv diplomația, dezvoltarea, comerțul și vizele</w:t>
      </w:r>
      <w:r w:rsidRPr="00D06C4B">
        <w:rPr>
          <w:rStyle w:val="FootnoteReference"/>
          <w:rFonts w:eastAsia="Arial Unicode MS"/>
          <w:noProof/>
        </w:rPr>
        <w:footnoteReference w:id="5"/>
      </w:r>
      <w:r w:rsidRPr="00D06C4B">
        <w:rPr>
          <w:noProof/>
        </w:rPr>
        <w:t>.</w:t>
      </w:r>
    </w:p>
    <w:p w:rsidR="00C97833" w:rsidRPr="00AD7C58" w:rsidRDefault="00C97833">
      <w:pPr>
        <w:pStyle w:val="ManualHeading1"/>
        <w:rPr>
          <w:noProof/>
        </w:rPr>
      </w:pPr>
      <w:r w:rsidRPr="00AD7C58">
        <w:rPr>
          <w:noProof/>
        </w:rPr>
        <w:t>2.</w:t>
      </w:r>
      <w:r w:rsidRPr="00AD7C58">
        <w:rPr>
          <w:noProof/>
        </w:rPr>
        <w:tab/>
        <w:t>TEMEI JURIDIC, SUBSIDIARITATE ȘI PROPORȚIONALITATE</w:t>
      </w:r>
    </w:p>
    <w:p w:rsidR="00C97833" w:rsidRPr="00AD7C58" w:rsidRDefault="00C97833">
      <w:pPr>
        <w:pStyle w:val="ManualHeading2"/>
        <w:rPr>
          <w:rFonts w:eastAsia="Arial Unicode MS"/>
          <w:noProof/>
          <w:u w:color="000000"/>
          <w:bdr w:val="nil"/>
        </w:rPr>
      </w:pPr>
      <w:r w:rsidRPr="00AD7C58">
        <w:rPr>
          <w:noProof/>
          <w:u w:color="000000"/>
          <w:bdr w:val="nil"/>
        </w:rPr>
        <w:t>•</w:t>
      </w:r>
      <w:r w:rsidRPr="00AD7C58">
        <w:rPr>
          <w:noProof/>
        </w:rPr>
        <w:tab/>
      </w:r>
      <w:r w:rsidRPr="00AD7C58">
        <w:rPr>
          <w:noProof/>
          <w:u w:color="000000"/>
          <w:bdr w:val="nil"/>
        </w:rPr>
        <w:t>Temeiul juridic</w:t>
      </w:r>
    </w:p>
    <w:p w:rsidR="00D43783" w:rsidRPr="00D06C4B" w:rsidRDefault="00D43783" w:rsidP="001A55FA">
      <w:pPr>
        <w:pBdr>
          <w:top w:val="nil"/>
          <w:left w:val="nil"/>
          <w:bottom w:val="nil"/>
          <w:right w:val="nil"/>
          <w:between w:val="nil"/>
          <w:bar w:val="nil"/>
        </w:pBdr>
        <w:spacing w:before="0" w:after="240"/>
        <w:rPr>
          <w:rFonts w:eastAsia="Arial Unicode MS"/>
          <w:noProof/>
        </w:rPr>
      </w:pPr>
      <w:r w:rsidRPr="00D06C4B">
        <w:rPr>
          <w:noProof/>
        </w:rPr>
        <w:t xml:space="preserve">Regulamentul (CE) nr. </w:t>
      </w:r>
      <w:r w:rsidRPr="00AD7C58">
        <w:rPr>
          <w:noProof/>
        </w:rPr>
        <w:t>810</w:t>
      </w:r>
      <w:r w:rsidRPr="00D06C4B">
        <w:rPr>
          <w:noProof/>
        </w:rPr>
        <w:t>/</w:t>
      </w:r>
      <w:r w:rsidRPr="00AD7C58">
        <w:rPr>
          <w:noProof/>
        </w:rPr>
        <w:t>2009</w:t>
      </w:r>
      <w:r w:rsidRPr="00D06C4B">
        <w:rPr>
          <w:noProof/>
        </w:rPr>
        <w:t xml:space="preserve"> al Parlamentului European și al Consiliului din </w:t>
      </w:r>
      <w:r w:rsidRPr="00AD7C58">
        <w:rPr>
          <w:noProof/>
        </w:rPr>
        <w:t>13</w:t>
      </w:r>
      <w:r w:rsidRPr="00D06C4B">
        <w:rPr>
          <w:noProof/>
        </w:rPr>
        <w:t xml:space="preserve"> iulie </w:t>
      </w:r>
      <w:r w:rsidRPr="00AD7C58">
        <w:rPr>
          <w:noProof/>
        </w:rPr>
        <w:t>2009</w:t>
      </w:r>
      <w:r w:rsidRPr="00D06C4B">
        <w:rPr>
          <w:noProof/>
        </w:rPr>
        <w:t xml:space="preserve"> privind instituirea unui Cod comunitar de vize (Codul de vize), articolul </w:t>
      </w:r>
      <w:r w:rsidRPr="00AD7C58">
        <w:rPr>
          <w:noProof/>
        </w:rPr>
        <w:t>25</w:t>
      </w:r>
      <w:r w:rsidRPr="00D06C4B">
        <w:rPr>
          <w:noProof/>
        </w:rPr>
        <w:t>a alineatul (</w:t>
      </w:r>
      <w:r w:rsidRPr="00AD7C58">
        <w:rPr>
          <w:noProof/>
        </w:rPr>
        <w:t>6</w:t>
      </w:r>
      <w:r w:rsidRPr="00D06C4B">
        <w:rPr>
          <w:noProof/>
        </w:rPr>
        <w:t>).</w:t>
      </w:r>
    </w:p>
    <w:p w:rsidR="00C97833" w:rsidRPr="00AD7C58" w:rsidRDefault="00C97833" w:rsidP="00D43783">
      <w:pPr>
        <w:pStyle w:val="ManualHeading2"/>
        <w:rPr>
          <w:rFonts w:eastAsia="Arial Unicode MS"/>
          <w:noProof/>
          <w:u w:color="000000"/>
          <w:bdr w:val="nil"/>
        </w:rPr>
      </w:pPr>
      <w:r w:rsidRPr="00AD7C58">
        <w:rPr>
          <w:noProof/>
          <w:u w:color="000000"/>
          <w:bdr w:val="nil"/>
        </w:rPr>
        <w:t>•</w:t>
      </w:r>
      <w:r w:rsidRPr="00AD7C58">
        <w:rPr>
          <w:noProof/>
        </w:rPr>
        <w:tab/>
      </w:r>
      <w:r w:rsidRPr="00AD7C58">
        <w:rPr>
          <w:noProof/>
          <w:u w:color="000000"/>
          <w:bdr w:val="nil"/>
        </w:rPr>
        <w:t xml:space="preserve">Subsidiaritatea (în cazul competențelor neexclusive) </w:t>
      </w:r>
    </w:p>
    <w:p w:rsidR="00C97833" w:rsidRPr="00D06C4B" w:rsidRDefault="00D43783">
      <w:pPr>
        <w:pBdr>
          <w:top w:val="nil"/>
          <w:left w:val="nil"/>
          <w:bottom w:val="nil"/>
          <w:right w:val="nil"/>
          <w:between w:val="nil"/>
          <w:bar w:val="nil"/>
        </w:pBdr>
        <w:spacing w:before="0" w:after="240"/>
        <w:rPr>
          <w:rFonts w:eastAsia="Arial Unicode MS"/>
          <w:noProof/>
        </w:rPr>
      </w:pPr>
      <w:r w:rsidRPr="00D06C4B">
        <w:rPr>
          <w:noProof/>
        </w:rPr>
        <w:t>Nu se aplică.</w:t>
      </w:r>
    </w:p>
    <w:p w:rsidR="00C97833" w:rsidRPr="00AD7C58" w:rsidRDefault="00C97833">
      <w:pPr>
        <w:pStyle w:val="ManualHeading2"/>
        <w:rPr>
          <w:rFonts w:eastAsia="Arial Unicode MS"/>
          <w:noProof/>
          <w:u w:color="000000"/>
          <w:bdr w:val="nil"/>
        </w:rPr>
      </w:pPr>
      <w:r w:rsidRPr="00AD7C58">
        <w:rPr>
          <w:noProof/>
          <w:u w:color="000000"/>
          <w:bdr w:val="nil"/>
        </w:rPr>
        <w:t>•</w:t>
      </w:r>
      <w:r w:rsidRPr="00AD7C58">
        <w:rPr>
          <w:noProof/>
        </w:rPr>
        <w:tab/>
      </w:r>
      <w:r w:rsidRPr="00AD7C58">
        <w:rPr>
          <w:noProof/>
          <w:u w:color="000000"/>
          <w:bdr w:val="nil"/>
        </w:rPr>
        <w:t>Proporționalitatea</w:t>
      </w:r>
    </w:p>
    <w:p w:rsidR="00C97833" w:rsidRPr="00D06C4B" w:rsidRDefault="00D43783" w:rsidP="00D43783">
      <w:pPr>
        <w:pBdr>
          <w:top w:val="nil"/>
          <w:left w:val="nil"/>
          <w:bottom w:val="nil"/>
          <w:right w:val="nil"/>
          <w:between w:val="nil"/>
          <w:bar w:val="nil"/>
        </w:pBdr>
        <w:spacing w:before="0" w:after="240"/>
        <w:rPr>
          <w:rFonts w:eastAsia="Arial Unicode MS"/>
          <w:noProof/>
        </w:rPr>
      </w:pPr>
      <w:r w:rsidRPr="00D06C4B">
        <w:rPr>
          <w:noProof/>
        </w:rPr>
        <w:t xml:space="preserve">Scopul măsurii propuse este de a abroga măsurile în materie de vize, recunoscând progresele substanțiale și susținute înregistrate de Etiopia în materie de cooperare, în special în ceea ce privește deficiențele identificate și intensitatea eforturilor. Măsura specială este proporțională cu obiectivul urmărit. </w:t>
      </w:r>
    </w:p>
    <w:p w:rsidR="00C97833" w:rsidRPr="00AD7C58" w:rsidRDefault="00C97833">
      <w:pPr>
        <w:pStyle w:val="ManualHeading1"/>
        <w:rPr>
          <w:noProof/>
        </w:rPr>
      </w:pPr>
      <w:r w:rsidRPr="00AD7C58">
        <w:rPr>
          <w:noProof/>
        </w:rPr>
        <w:t>3.</w:t>
      </w:r>
      <w:r w:rsidRPr="00AD7C58">
        <w:rPr>
          <w:noProof/>
        </w:rPr>
        <w:tab/>
        <w:t xml:space="preserve">REZULTATELE EVALUĂRILOR </w:t>
      </w:r>
      <w:r w:rsidRPr="00AD7C58">
        <w:rPr>
          <w:i/>
          <w:iCs/>
          <w:noProof/>
        </w:rPr>
        <w:t>EX POST</w:t>
      </w:r>
      <w:r w:rsidRPr="00AD7C58">
        <w:rPr>
          <w:noProof/>
        </w:rPr>
        <w:t>, ALE CONSULTĂRILOR CU PĂRȚILE INTERESATE ȘI ALE EVALUĂRILOR IMPACTULUI</w:t>
      </w:r>
    </w:p>
    <w:p w:rsidR="00C97833" w:rsidRPr="00AD7C58" w:rsidRDefault="00C97833">
      <w:pPr>
        <w:pStyle w:val="ManualHeading2"/>
        <w:rPr>
          <w:rFonts w:eastAsia="Arial Unicode MS"/>
          <w:noProof/>
          <w:u w:color="000000"/>
          <w:bdr w:val="nil"/>
        </w:rPr>
      </w:pPr>
      <w:r w:rsidRPr="00AD7C58">
        <w:rPr>
          <w:noProof/>
          <w:u w:color="000000"/>
          <w:bdr w:val="nil"/>
        </w:rPr>
        <w:t>•</w:t>
      </w:r>
      <w:r w:rsidRPr="00AD7C58">
        <w:rPr>
          <w:noProof/>
        </w:rPr>
        <w:tab/>
      </w:r>
      <w:r w:rsidRPr="00AD7C58">
        <w:rPr>
          <w:noProof/>
          <w:u w:color="000000"/>
          <w:bdr w:val="nil"/>
        </w:rPr>
        <w:t xml:space="preserve">Evaluările </w:t>
      </w:r>
      <w:r w:rsidRPr="00AD7C58">
        <w:rPr>
          <w:i/>
          <w:iCs/>
          <w:noProof/>
          <w:u w:color="000000"/>
          <w:bdr w:val="nil"/>
        </w:rPr>
        <w:t>ex post</w:t>
      </w:r>
      <w:r w:rsidRPr="00AD7C58">
        <w:rPr>
          <w:noProof/>
          <w:u w:color="000000"/>
          <w:bdr w:val="nil"/>
        </w:rPr>
        <w:t>/verificările adecvării legislației existente</w:t>
      </w:r>
    </w:p>
    <w:p w:rsidR="00C97833" w:rsidRPr="00D06C4B" w:rsidRDefault="00D43783" w:rsidP="00D43783">
      <w:pPr>
        <w:pBdr>
          <w:top w:val="nil"/>
          <w:left w:val="nil"/>
          <w:bottom w:val="nil"/>
          <w:right w:val="nil"/>
          <w:between w:val="nil"/>
          <w:bar w:val="nil"/>
        </w:pBdr>
        <w:spacing w:before="0" w:after="240"/>
        <w:rPr>
          <w:rFonts w:eastAsia="Arial Unicode MS"/>
          <w:noProof/>
        </w:rPr>
      </w:pPr>
      <w:r w:rsidRPr="00D06C4B">
        <w:rPr>
          <w:noProof/>
        </w:rPr>
        <w:t xml:space="preserve">Nu se aplică. </w:t>
      </w:r>
    </w:p>
    <w:p w:rsidR="00C97833" w:rsidRPr="00AD7C58" w:rsidRDefault="00C97833">
      <w:pPr>
        <w:pStyle w:val="ManualHeading2"/>
        <w:rPr>
          <w:rFonts w:eastAsia="Arial Unicode MS"/>
          <w:noProof/>
          <w:u w:color="000000"/>
          <w:bdr w:val="nil"/>
        </w:rPr>
      </w:pPr>
      <w:r w:rsidRPr="00AD7C58">
        <w:rPr>
          <w:noProof/>
          <w:u w:color="000000"/>
          <w:bdr w:val="nil"/>
        </w:rPr>
        <w:t>•</w:t>
      </w:r>
      <w:r w:rsidRPr="00AD7C58">
        <w:rPr>
          <w:noProof/>
        </w:rPr>
        <w:tab/>
      </w:r>
      <w:r w:rsidRPr="00AD7C58">
        <w:rPr>
          <w:noProof/>
          <w:u w:color="000000"/>
          <w:bdr w:val="nil"/>
        </w:rPr>
        <w:t>Consultările cu părțile interesate</w:t>
      </w:r>
    </w:p>
    <w:p w:rsidR="00C97833" w:rsidRPr="00D06C4B" w:rsidRDefault="00D43783" w:rsidP="00D43783">
      <w:pPr>
        <w:pBdr>
          <w:top w:val="nil"/>
          <w:left w:val="nil"/>
          <w:bottom w:val="nil"/>
          <w:right w:val="nil"/>
          <w:between w:val="nil"/>
          <w:bar w:val="nil"/>
        </w:pBdr>
        <w:spacing w:before="0" w:after="240"/>
        <w:rPr>
          <w:rFonts w:eastAsia="Arial Unicode MS"/>
          <w:noProof/>
        </w:rPr>
      </w:pPr>
      <w:r w:rsidRPr="00D06C4B">
        <w:rPr>
          <w:noProof/>
        </w:rPr>
        <w:t xml:space="preserve">Nu se aplică. </w:t>
      </w:r>
    </w:p>
    <w:p w:rsidR="00C97833" w:rsidRPr="00AD7C58" w:rsidRDefault="00C97833">
      <w:pPr>
        <w:pStyle w:val="ManualHeading2"/>
        <w:rPr>
          <w:rFonts w:eastAsia="Arial Unicode MS"/>
          <w:noProof/>
          <w:u w:color="000000"/>
          <w:bdr w:val="nil"/>
        </w:rPr>
      </w:pPr>
      <w:r w:rsidRPr="00AD7C58">
        <w:rPr>
          <w:noProof/>
          <w:u w:color="000000"/>
          <w:bdr w:val="nil"/>
        </w:rPr>
        <w:t>•</w:t>
      </w:r>
      <w:r w:rsidRPr="00AD7C58">
        <w:rPr>
          <w:noProof/>
        </w:rPr>
        <w:tab/>
      </w:r>
      <w:r w:rsidRPr="00AD7C58">
        <w:rPr>
          <w:noProof/>
          <w:u w:color="000000"/>
          <w:bdr w:val="nil"/>
        </w:rPr>
        <w:t>Obținerea și utilizarea cunoștințelor de specialitate</w:t>
      </w:r>
    </w:p>
    <w:p w:rsidR="00C97833" w:rsidRPr="00D06C4B" w:rsidRDefault="00D43783" w:rsidP="00D43783">
      <w:pPr>
        <w:pBdr>
          <w:top w:val="nil"/>
          <w:left w:val="nil"/>
          <w:bottom w:val="nil"/>
          <w:right w:val="nil"/>
          <w:between w:val="nil"/>
          <w:bar w:val="nil"/>
        </w:pBdr>
        <w:spacing w:before="0" w:after="240"/>
        <w:rPr>
          <w:rFonts w:eastAsia="Arial Unicode MS"/>
          <w:noProof/>
        </w:rPr>
      </w:pPr>
      <w:r w:rsidRPr="00D06C4B">
        <w:rPr>
          <w:noProof/>
        </w:rPr>
        <w:t xml:space="preserve">Nu se aplică. </w:t>
      </w:r>
    </w:p>
    <w:p w:rsidR="00C97833" w:rsidRPr="00AD7C58" w:rsidRDefault="00C97833">
      <w:pPr>
        <w:pStyle w:val="ManualHeading2"/>
        <w:rPr>
          <w:rFonts w:eastAsia="Arial Unicode MS"/>
          <w:noProof/>
          <w:u w:color="000000"/>
          <w:bdr w:val="nil"/>
        </w:rPr>
      </w:pPr>
      <w:r w:rsidRPr="00AD7C58">
        <w:rPr>
          <w:noProof/>
          <w:u w:color="000000"/>
          <w:bdr w:val="nil"/>
        </w:rPr>
        <w:t>•</w:t>
      </w:r>
      <w:r w:rsidRPr="00AD7C58">
        <w:rPr>
          <w:noProof/>
        </w:rPr>
        <w:tab/>
      </w:r>
      <w:r w:rsidRPr="00AD7C58">
        <w:rPr>
          <w:noProof/>
          <w:u w:color="000000"/>
          <w:bdr w:val="nil"/>
        </w:rPr>
        <w:t>Evaluarea impactului</w:t>
      </w:r>
    </w:p>
    <w:p w:rsidR="00C97833" w:rsidRPr="00D06C4B" w:rsidRDefault="00D43783" w:rsidP="00D43783">
      <w:pPr>
        <w:pBdr>
          <w:top w:val="nil"/>
          <w:left w:val="nil"/>
          <w:bottom w:val="nil"/>
          <w:right w:val="nil"/>
          <w:between w:val="nil"/>
          <w:bar w:val="nil"/>
        </w:pBdr>
        <w:spacing w:before="0" w:after="240"/>
        <w:rPr>
          <w:rFonts w:eastAsia="Arial Unicode MS"/>
          <w:noProof/>
        </w:rPr>
      </w:pPr>
      <w:r w:rsidRPr="00D06C4B">
        <w:rPr>
          <w:noProof/>
        </w:rPr>
        <w:t xml:space="preserve">Nu se aplică. </w:t>
      </w:r>
    </w:p>
    <w:p w:rsidR="00C97833" w:rsidRPr="00AD7C58" w:rsidRDefault="00C97833">
      <w:pPr>
        <w:pStyle w:val="ManualHeading2"/>
        <w:rPr>
          <w:rFonts w:eastAsia="Arial Unicode MS"/>
          <w:noProof/>
          <w:u w:color="000000"/>
          <w:bdr w:val="nil"/>
        </w:rPr>
      </w:pPr>
      <w:r w:rsidRPr="00AD7C58">
        <w:rPr>
          <w:noProof/>
          <w:u w:color="000000"/>
          <w:bdr w:val="nil"/>
        </w:rPr>
        <w:t>•</w:t>
      </w:r>
      <w:r w:rsidRPr="00AD7C58">
        <w:rPr>
          <w:noProof/>
        </w:rPr>
        <w:tab/>
      </w:r>
      <w:r w:rsidRPr="00AD7C58">
        <w:rPr>
          <w:noProof/>
          <w:u w:color="000000"/>
          <w:bdr w:val="nil"/>
        </w:rPr>
        <w:t>Adecvarea reglementărilor și simplificarea</w:t>
      </w:r>
    </w:p>
    <w:p w:rsidR="00C97833" w:rsidRPr="00D06C4B" w:rsidRDefault="00D43783" w:rsidP="00D43783">
      <w:pPr>
        <w:pBdr>
          <w:top w:val="nil"/>
          <w:left w:val="nil"/>
          <w:bottom w:val="nil"/>
          <w:right w:val="nil"/>
          <w:between w:val="nil"/>
          <w:bar w:val="nil"/>
        </w:pBdr>
        <w:spacing w:before="0" w:after="240"/>
        <w:rPr>
          <w:rFonts w:eastAsia="Arial Unicode MS"/>
          <w:noProof/>
        </w:rPr>
      </w:pPr>
      <w:r w:rsidRPr="00D06C4B">
        <w:rPr>
          <w:noProof/>
        </w:rPr>
        <w:t xml:space="preserve">Nu se aplică. </w:t>
      </w:r>
    </w:p>
    <w:p w:rsidR="00C97833" w:rsidRPr="00AD7C58" w:rsidRDefault="00C97833">
      <w:pPr>
        <w:pStyle w:val="ManualHeading2"/>
        <w:rPr>
          <w:rFonts w:eastAsia="Arial Unicode MS"/>
          <w:noProof/>
          <w:u w:color="000000"/>
          <w:bdr w:val="nil"/>
        </w:rPr>
      </w:pPr>
      <w:r w:rsidRPr="00AD7C58">
        <w:rPr>
          <w:noProof/>
          <w:u w:color="000000"/>
          <w:bdr w:val="nil"/>
        </w:rPr>
        <w:t>•</w:t>
      </w:r>
      <w:r w:rsidRPr="00AD7C58">
        <w:rPr>
          <w:noProof/>
        </w:rPr>
        <w:tab/>
      </w:r>
      <w:r w:rsidRPr="00AD7C58">
        <w:rPr>
          <w:noProof/>
          <w:u w:color="000000"/>
          <w:bdr w:val="nil"/>
        </w:rPr>
        <w:t>Drepturile fundamentale</w:t>
      </w:r>
    </w:p>
    <w:p w:rsidR="00C97833" w:rsidRPr="00D06C4B" w:rsidRDefault="007F28C2" w:rsidP="00D43783">
      <w:pPr>
        <w:pBdr>
          <w:top w:val="nil"/>
          <w:left w:val="nil"/>
          <w:bottom w:val="nil"/>
          <w:right w:val="nil"/>
          <w:between w:val="nil"/>
          <w:bar w:val="nil"/>
        </w:pBdr>
        <w:spacing w:before="0" w:after="240"/>
        <w:rPr>
          <w:rFonts w:eastAsia="Arial Unicode MS"/>
          <w:noProof/>
        </w:rPr>
      </w:pPr>
      <w:r w:rsidRPr="00D06C4B">
        <w:rPr>
          <w:noProof/>
        </w:rPr>
        <w:t xml:space="preserve">Prin abrogarea măsurilor în materie de vize, cererile de viză vor fi prelucrate din nou în conformitate cu normele standard ale Codului de vize și, prin urmare, drepturile fundamentale nu vor fi afectate. </w:t>
      </w:r>
    </w:p>
    <w:p w:rsidR="00C97833" w:rsidRPr="00AD7C58" w:rsidRDefault="00C97833">
      <w:pPr>
        <w:pStyle w:val="ManualHeading1"/>
        <w:rPr>
          <w:noProof/>
        </w:rPr>
      </w:pPr>
      <w:r w:rsidRPr="00AD7C58">
        <w:rPr>
          <w:noProof/>
        </w:rPr>
        <w:t>4.</w:t>
      </w:r>
      <w:r w:rsidRPr="00AD7C58">
        <w:rPr>
          <w:noProof/>
        </w:rPr>
        <w:tab/>
        <w:t>IMPLICAȚII BUGETARE</w:t>
      </w:r>
    </w:p>
    <w:p w:rsidR="00C97833" w:rsidRPr="00D06C4B" w:rsidRDefault="00D43783" w:rsidP="00D43783">
      <w:pPr>
        <w:pBdr>
          <w:top w:val="nil"/>
          <w:left w:val="nil"/>
          <w:bottom w:val="nil"/>
          <w:right w:val="nil"/>
          <w:between w:val="nil"/>
          <w:bar w:val="nil"/>
        </w:pBdr>
        <w:spacing w:before="0" w:after="240"/>
        <w:rPr>
          <w:rFonts w:eastAsia="Arial Unicode MS"/>
          <w:noProof/>
        </w:rPr>
      </w:pPr>
      <w:r w:rsidRPr="00D06C4B">
        <w:rPr>
          <w:noProof/>
        </w:rPr>
        <w:t xml:space="preserve">Nu se aplică. </w:t>
      </w:r>
    </w:p>
    <w:p w:rsidR="00C97833" w:rsidRPr="00AD7C58" w:rsidRDefault="00C97833">
      <w:pPr>
        <w:pStyle w:val="ManualHeading1"/>
        <w:rPr>
          <w:noProof/>
        </w:rPr>
      </w:pPr>
      <w:r w:rsidRPr="00AD7C58">
        <w:rPr>
          <w:noProof/>
        </w:rPr>
        <w:t>5.</w:t>
      </w:r>
      <w:r w:rsidRPr="00AD7C58">
        <w:rPr>
          <w:noProof/>
        </w:rPr>
        <w:tab/>
        <w:t>ALTE ELEMENTE</w:t>
      </w:r>
    </w:p>
    <w:p w:rsidR="00C97833" w:rsidRPr="00AD7C58" w:rsidRDefault="00C97833">
      <w:pPr>
        <w:pStyle w:val="ManualHeading2"/>
        <w:rPr>
          <w:rFonts w:eastAsia="Arial Unicode MS"/>
          <w:noProof/>
          <w:u w:color="000000"/>
          <w:bdr w:val="nil"/>
        </w:rPr>
      </w:pPr>
      <w:r w:rsidRPr="00AD7C58">
        <w:rPr>
          <w:noProof/>
          <w:u w:color="000000"/>
          <w:bdr w:val="nil"/>
        </w:rPr>
        <w:t>•</w:t>
      </w:r>
      <w:r w:rsidRPr="00AD7C58">
        <w:rPr>
          <w:noProof/>
        </w:rPr>
        <w:tab/>
      </w:r>
      <w:r w:rsidRPr="00AD7C58">
        <w:rPr>
          <w:noProof/>
          <w:u w:color="000000"/>
          <w:bdr w:val="nil"/>
        </w:rPr>
        <w:t>Planurile de punere în aplicare și măsurile de monitorizare, evaluare și raportare</w:t>
      </w:r>
    </w:p>
    <w:p w:rsidR="00C97833" w:rsidRPr="00D06C4B" w:rsidRDefault="00D43783" w:rsidP="00D43783">
      <w:pPr>
        <w:pBdr>
          <w:top w:val="nil"/>
          <w:left w:val="nil"/>
          <w:bottom w:val="nil"/>
          <w:right w:val="nil"/>
          <w:between w:val="nil"/>
          <w:bar w:val="nil"/>
        </w:pBdr>
        <w:spacing w:before="0" w:after="240"/>
        <w:rPr>
          <w:rFonts w:eastAsia="Arial Unicode MS"/>
          <w:noProof/>
        </w:rPr>
      </w:pPr>
      <w:r w:rsidRPr="00D06C4B">
        <w:rPr>
          <w:noProof/>
        </w:rPr>
        <w:t xml:space="preserve">Nu se aplică. </w:t>
      </w:r>
    </w:p>
    <w:p w:rsidR="00C97833" w:rsidRPr="00AD7C58" w:rsidRDefault="00C97833">
      <w:pPr>
        <w:pStyle w:val="ManualHeading2"/>
        <w:rPr>
          <w:rFonts w:eastAsia="Arial Unicode MS"/>
          <w:noProof/>
          <w:u w:color="000000"/>
          <w:bdr w:val="nil"/>
        </w:rPr>
      </w:pPr>
      <w:r w:rsidRPr="00AD7C58">
        <w:rPr>
          <w:noProof/>
          <w:u w:color="000000"/>
          <w:bdr w:val="nil"/>
        </w:rPr>
        <w:t>•</w:t>
      </w:r>
      <w:r w:rsidRPr="00AD7C58">
        <w:rPr>
          <w:noProof/>
        </w:rPr>
        <w:tab/>
      </w:r>
      <w:r w:rsidRPr="00AD7C58">
        <w:rPr>
          <w:noProof/>
          <w:u w:color="000000"/>
          <w:bdr w:val="nil"/>
        </w:rPr>
        <w:t>Documentele explicative (în cazul directivelor)</w:t>
      </w:r>
    </w:p>
    <w:p w:rsidR="00C97833" w:rsidRPr="00D06C4B" w:rsidRDefault="00D43783" w:rsidP="00D43783">
      <w:pPr>
        <w:pBdr>
          <w:top w:val="nil"/>
          <w:left w:val="nil"/>
          <w:bottom w:val="nil"/>
          <w:right w:val="nil"/>
          <w:between w:val="nil"/>
          <w:bar w:val="nil"/>
        </w:pBdr>
        <w:spacing w:before="0" w:after="240"/>
        <w:rPr>
          <w:rFonts w:eastAsia="Arial Unicode MS"/>
          <w:noProof/>
        </w:rPr>
      </w:pPr>
      <w:r w:rsidRPr="00D06C4B">
        <w:rPr>
          <w:noProof/>
        </w:rPr>
        <w:t xml:space="preserve">Nu se aplică. </w:t>
      </w:r>
    </w:p>
    <w:p w:rsidR="00C97833" w:rsidRPr="00AD7C58" w:rsidRDefault="00C97833">
      <w:pPr>
        <w:pStyle w:val="ManualHeading2"/>
        <w:rPr>
          <w:rFonts w:eastAsia="Arial Unicode MS"/>
          <w:noProof/>
          <w:u w:color="000000"/>
          <w:bdr w:val="nil"/>
        </w:rPr>
      </w:pPr>
      <w:r w:rsidRPr="00AD7C58">
        <w:rPr>
          <w:noProof/>
          <w:u w:color="000000"/>
          <w:bdr w:val="nil"/>
        </w:rPr>
        <w:t>•</w:t>
      </w:r>
      <w:r w:rsidRPr="00AD7C58">
        <w:rPr>
          <w:noProof/>
        </w:rPr>
        <w:tab/>
      </w:r>
      <w:r w:rsidRPr="00AD7C58">
        <w:rPr>
          <w:noProof/>
          <w:u w:color="000000"/>
          <w:bdr w:val="nil"/>
        </w:rPr>
        <w:t>Explicarea detaliată a dispozițiilor specifice ale propunerii</w:t>
      </w:r>
    </w:p>
    <w:p w:rsidR="00270553" w:rsidRPr="00D06C4B" w:rsidRDefault="00270553" w:rsidP="00270553">
      <w:pPr>
        <w:pBdr>
          <w:top w:val="nil"/>
          <w:left w:val="nil"/>
          <w:bottom w:val="nil"/>
          <w:right w:val="nil"/>
          <w:between w:val="nil"/>
          <w:bar w:val="nil"/>
        </w:pBdr>
        <w:spacing w:before="0" w:after="240"/>
        <w:rPr>
          <w:rFonts w:eastAsia="Arial Unicode MS"/>
          <w:noProof/>
        </w:rPr>
      </w:pPr>
      <w:r w:rsidRPr="00AD7C58">
        <w:rPr>
          <w:i/>
          <w:noProof/>
        </w:rPr>
        <w:t>Articolul 1</w:t>
      </w:r>
      <w:r w:rsidRPr="00D06C4B">
        <w:rPr>
          <w:noProof/>
        </w:rPr>
        <w:t xml:space="preserve"> prevede că Decizia de punere în aplicare (UE) </w:t>
      </w:r>
      <w:bookmarkStart w:id="1" w:name="_Hlk215485218"/>
      <w:r w:rsidRPr="00AD7C58">
        <w:rPr>
          <w:noProof/>
        </w:rPr>
        <w:t>2024</w:t>
      </w:r>
      <w:r w:rsidRPr="00D06C4B">
        <w:rPr>
          <w:noProof/>
        </w:rPr>
        <w:t>/</w:t>
      </w:r>
      <w:r w:rsidRPr="00AD7C58">
        <w:rPr>
          <w:noProof/>
        </w:rPr>
        <w:t>1341</w:t>
      </w:r>
      <w:bookmarkEnd w:id="1"/>
      <w:r w:rsidRPr="00D06C4B">
        <w:rPr>
          <w:noProof/>
        </w:rPr>
        <w:t xml:space="preserve"> a Consiliului din </w:t>
      </w:r>
      <w:r w:rsidRPr="00AD7C58">
        <w:rPr>
          <w:noProof/>
        </w:rPr>
        <w:t>29</w:t>
      </w:r>
      <w:r w:rsidR="00AD7C58">
        <w:rPr>
          <w:noProof/>
        </w:rPr>
        <w:t> </w:t>
      </w:r>
      <w:r w:rsidRPr="00D06C4B">
        <w:rPr>
          <w:noProof/>
        </w:rPr>
        <w:t xml:space="preserve">aprilie </w:t>
      </w:r>
      <w:r w:rsidRPr="00AD7C58">
        <w:rPr>
          <w:noProof/>
        </w:rPr>
        <w:t>2024</w:t>
      </w:r>
      <w:r w:rsidRPr="00D06C4B">
        <w:rPr>
          <w:noProof/>
        </w:rPr>
        <w:t xml:space="preserve"> privind suspendarea anumitor dispoziții ale Regulamentului (CE) nr. </w:t>
      </w:r>
      <w:r w:rsidRPr="00AD7C58">
        <w:rPr>
          <w:noProof/>
        </w:rPr>
        <w:t>810</w:t>
      </w:r>
      <w:r w:rsidRPr="00D06C4B">
        <w:rPr>
          <w:noProof/>
        </w:rPr>
        <w:t>/</w:t>
      </w:r>
      <w:r w:rsidRPr="00AD7C58">
        <w:rPr>
          <w:noProof/>
        </w:rPr>
        <w:t>2009</w:t>
      </w:r>
      <w:r w:rsidRPr="00D06C4B">
        <w:rPr>
          <w:noProof/>
        </w:rPr>
        <w:t xml:space="preserve"> în ceea ce privește Etiopia se abrogă. </w:t>
      </w:r>
    </w:p>
    <w:p w:rsidR="00C97833" w:rsidRPr="00D06C4B" w:rsidRDefault="00270553" w:rsidP="00465AAF">
      <w:pPr>
        <w:pBdr>
          <w:top w:val="nil"/>
          <w:left w:val="nil"/>
          <w:bottom w:val="nil"/>
          <w:right w:val="nil"/>
          <w:between w:val="nil"/>
          <w:bar w:val="nil"/>
        </w:pBdr>
        <w:spacing w:before="0" w:after="240"/>
        <w:rPr>
          <w:noProof/>
        </w:rPr>
      </w:pPr>
      <w:r w:rsidRPr="00AD7C58">
        <w:rPr>
          <w:i/>
          <w:noProof/>
        </w:rPr>
        <w:t>Articolul 2</w:t>
      </w:r>
      <w:r w:rsidRPr="00D06C4B">
        <w:rPr>
          <w:noProof/>
        </w:rPr>
        <w:t xml:space="preserve"> cuprinde lista destinatarilor deciziei propuse, și anume statele membre relevante.</w:t>
      </w:r>
    </w:p>
    <w:p w:rsidR="00C97833" w:rsidRPr="00D06C4B" w:rsidRDefault="00C97833">
      <w:pPr>
        <w:rPr>
          <w:noProof/>
        </w:rPr>
        <w:sectPr w:rsidR="00C97833" w:rsidRPr="00D06C4B" w:rsidSect="000E4AD7">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F80502" w:rsidRDefault="005D5FAF">
      <w:pPr>
        <w:pStyle w:val="Rfrenceinterinstitutionnelle"/>
        <w:rPr>
          <w:noProof/>
        </w:rPr>
      </w:pPr>
      <w:r>
        <w:rPr>
          <w:noProof/>
        </w:rPr>
        <w:t>2026/0092 (NLE)</w:t>
      </w:r>
    </w:p>
    <w:p w:rsidR="00C97833" w:rsidRPr="00D06C4B" w:rsidRDefault="00D06C4B" w:rsidP="00D06C4B">
      <w:pPr>
        <w:pStyle w:val="Statut"/>
        <w:rPr>
          <w:noProof/>
        </w:rPr>
      </w:pPr>
      <w:r w:rsidRPr="00D06C4B">
        <w:rPr>
          <w:noProof/>
        </w:rPr>
        <w:t>Propunere de</w:t>
      </w:r>
    </w:p>
    <w:p w:rsidR="00C97833" w:rsidRPr="00AD7C58" w:rsidRDefault="00D06C4B" w:rsidP="00D06C4B">
      <w:pPr>
        <w:pStyle w:val="Typedudocument"/>
        <w:rPr>
          <w:noProof/>
        </w:rPr>
      </w:pPr>
      <w:r w:rsidRPr="00AD7C58">
        <w:rPr>
          <w:noProof/>
        </w:rPr>
        <w:t>DECIZIE DE PUNERE ÎN APLICARE A CONSILIULUI</w:t>
      </w:r>
    </w:p>
    <w:p w:rsidR="00C97833" w:rsidRPr="00AD7C58" w:rsidRDefault="00D06C4B" w:rsidP="00D06C4B">
      <w:pPr>
        <w:pStyle w:val="Titreobjet"/>
        <w:rPr>
          <w:noProof/>
        </w:rPr>
      </w:pPr>
      <w:r w:rsidRPr="00AD7C58">
        <w:rPr>
          <w:noProof/>
        </w:rPr>
        <w:t xml:space="preserve">de abrogare a Deciziei de punere în aplicare (UE) 2024/1341 privind suspendarea anumitor dispoziții ale Regulamentului (CE) nr. 810/2009 al Parlamentului European și al Consiliului în ceea ce privește Etiopia </w:t>
      </w:r>
      <w:r w:rsidRPr="00AD7C58">
        <w:rPr>
          <w:noProof/>
        </w:rPr>
        <w:br/>
      </w:r>
    </w:p>
    <w:p w:rsidR="00C97833" w:rsidRPr="00D06C4B" w:rsidRDefault="00C97833">
      <w:pPr>
        <w:pStyle w:val="Institutionquiagit"/>
        <w:rPr>
          <w:noProof/>
        </w:rPr>
      </w:pPr>
      <w:r w:rsidRPr="00D06C4B">
        <w:rPr>
          <w:noProof/>
        </w:rPr>
        <w:t>CONSILIUL UNIUNII EUROPENE,</w:t>
      </w:r>
    </w:p>
    <w:p w:rsidR="00C97833" w:rsidRPr="00D06C4B" w:rsidRDefault="00C97833">
      <w:pPr>
        <w:rPr>
          <w:noProof/>
        </w:rPr>
      </w:pPr>
      <w:r w:rsidRPr="00D06C4B">
        <w:rPr>
          <w:noProof/>
        </w:rPr>
        <w:t xml:space="preserve">având în vedere Tratatul privind funcționarea Uniunii Europene, </w:t>
      </w:r>
    </w:p>
    <w:p w:rsidR="00C97833" w:rsidRPr="00D06C4B" w:rsidRDefault="00C97833" w:rsidP="00EA1A11">
      <w:pPr>
        <w:rPr>
          <w:noProof/>
        </w:rPr>
      </w:pPr>
      <w:r w:rsidRPr="00D06C4B">
        <w:rPr>
          <w:noProof/>
        </w:rPr>
        <w:t>având în vedere Regulamentul (CE) nr. </w:t>
      </w:r>
      <w:r w:rsidRPr="00AD7C58">
        <w:rPr>
          <w:noProof/>
        </w:rPr>
        <w:t>810</w:t>
      </w:r>
      <w:r w:rsidRPr="00D06C4B">
        <w:rPr>
          <w:noProof/>
        </w:rPr>
        <w:t>/</w:t>
      </w:r>
      <w:r w:rsidRPr="00AD7C58">
        <w:rPr>
          <w:noProof/>
        </w:rPr>
        <w:t>2009</w:t>
      </w:r>
      <w:r w:rsidRPr="00D06C4B">
        <w:rPr>
          <w:noProof/>
        </w:rPr>
        <w:t xml:space="preserve"> al Parlamentului European și al Consiliului din </w:t>
      </w:r>
      <w:r w:rsidRPr="00AD7C58">
        <w:rPr>
          <w:noProof/>
        </w:rPr>
        <w:t>13</w:t>
      </w:r>
      <w:r w:rsidRPr="00D06C4B">
        <w:rPr>
          <w:noProof/>
        </w:rPr>
        <w:t xml:space="preserve"> iulie </w:t>
      </w:r>
      <w:r w:rsidRPr="00AD7C58">
        <w:rPr>
          <w:noProof/>
        </w:rPr>
        <w:t>2009</w:t>
      </w:r>
      <w:r w:rsidRPr="00D06C4B">
        <w:rPr>
          <w:noProof/>
        </w:rPr>
        <w:t xml:space="preserve"> privind instituirea unui Cod comunitar de vize (Codul de vize)</w:t>
      </w:r>
      <w:r w:rsidRPr="00D06C4B">
        <w:rPr>
          <w:rStyle w:val="FootnoteReference"/>
          <w:noProof/>
        </w:rPr>
        <w:footnoteReference w:id="6"/>
      </w:r>
      <w:r w:rsidRPr="00D06C4B">
        <w:rPr>
          <w:noProof/>
        </w:rPr>
        <w:t>, în special articolul </w:t>
      </w:r>
      <w:r w:rsidRPr="00AD7C58">
        <w:rPr>
          <w:noProof/>
        </w:rPr>
        <w:t>25</w:t>
      </w:r>
      <w:r w:rsidRPr="00D06C4B">
        <w:rPr>
          <w:noProof/>
        </w:rPr>
        <w:t>a alineatul (</w:t>
      </w:r>
      <w:r w:rsidRPr="00AD7C58">
        <w:rPr>
          <w:noProof/>
        </w:rPr>
        <w:t>6</w:t>
      </w:r>
      <w:r w:rsidRPr="00D06C4B">
        <w:rPr>
          <w:noProof/>
        </w:rPr>
        <w:t xml:space="preserve">), </w:t>
      </w:r>
    </w:p>
    <w:p w:rsidR="00C97833" w:rsidRPr="00D06C4B" w:rsidRDefault="00C97833">
      <w:pPr>
        <w:rPr>
          <w:noProof/>
        </w:rPr>
      </w:pPr>
      <w:r w:rsidRPr="00D06C4B">
        <w:rPr>
          <w:noProof/>
        </w:rPr>
        <w:t>având în vedere propunerea Comisiei Europene,</w:t>
      </w:r>
    </w:p>
    <w:p w:rsidR="00C97833" w:rsidRPr="00D06C4B" w:rsidRDefault="00C97833">
      <w:pPr>
        <w:rPr>
          <w:noProof/>
        </w:rPr>
      </w:pPr>
      <w:r w:rsidRPr="00D06C4B">
        <w:rPr>
          <w:noProof/>
        </w:rPr>
        <w:t>întrucât:</w:t>
      </w:r>
    </w:p>
    <w:p w:rsidR="00AC557F" w:rsidRPr="00D06C4B" w:rsidRDefault="00EF6A0C" w:rsidP="00140FFE">
      <w:pPr>
        <w:pStyle w:val="ManualConsidrant"/>
        <w:rPr>
          <w:noProof/>
        </w:rPr>
      </w:pPr>
      <w:r>
        <w:rPr>
          <w:noProof/>
        </w:rPr>
        <w:t>(1)</w:t>
      </w:r>
      <w:r>
        <w:rPr>
          <w:noProof/>
        </w:rPr>
        <w:tab/>
      </w:r>
      <w:r w:rsidRPr="00D06C4B">
        <w:rPr>
          <w:noProof/>
        </w:rPr>
        <w:t xml:space="preserve">Potrivit evaluării efectuate în conformitate cu articolul </w:t>
      </w:r>
      <w:r w:rsidRPr="00AD7C58">
        <w:rPr>
          <w:noProof/>
        </w:rPr>
        <w:t>25</w:t>
      </w:r>
      <w:r w:rsidRPr="00D06C4B">
        <w:rPr>
          <w:noProof/>
        </w:rPr>
        <w:t>a alineatul (</w:t>
      </w:r>
      <w:r w:rsidRPr="00AD7C58">
        <w:rPr>
          <w:noProof/>
        </w:rPr>
        <w:t>2</w:t>
      </w:r>
      <w:r w:rsidRPr="00D06C4B">
        <w:rPr>
          <w:noProof/>
        </w:rPr>
        <w:t>) din Regulamentul (CE) nr. </w:t>
      </w:r>
      <w:r w:rsidRPr="00AD7C58">
        <w:rPr>
          <w:noProof/>
        </w:rPr>
        <w:t>810</w:t>
      </w:r>
      <w:r w:rsidRPr="00D06C4B">
        <w:rPr>
          <w:noProof/>
        </w:rPr>
        <w:t>/</w:t>
      </w:r>
      <w:r w:rsidRPr="00AD7C58">
        <w:rPr>
          <w:noProof/>
        </w:rPr>
        <w:t>2009</w:t>
      </w:r>
      <w:r w:rsidRPr="00D06C4B">
        <w:rPr>
          <w:noProof/>
        </w:rPr>
        <w:t xml:space="preserve">, cooperarea Etiopiei în materie de readmisie în </w:t>
      </w:r>
      <w:r w:rsidRPr="00AD7C58">
        <w:rPr>
          <w:noProof/>
        </w:rPr>
        <w:t>2022</w:t>
      </w:r>
      <w:r w:rsidRPr="00D06C4B">
        <w:rPr>
          <w:noProof/>
        </w:rPr>
        <w:t xml:space="preserve"> a fost considerată insuficientă. Au fost necesare îmbunătățiri semnificative ale cooperării în toate etapele procesului de readmisie, inclusiv pentru a se asigura că Etiopia cooperează în mod eficace cu toate statele membre în ceea ce privește identificarea și eliberarea documentelor de călătorie, precum și în ceea ce privește operațiunile de returnare în timp util și în mod previzibil.</w:t>
      </w:r>
    </w:p>
    <w:p w:rsidR="00C97833" w:rsidRPr="00D06C4B" w:rsidRDefault="001D1F8B" w:rsidP="00140FFE">
      <w:pPr>
        <w:pStyle w:val="ManualConsidrant"/>
        <w:rPr>
          <w:noProof/>
        </w:rPr>
      </w:pPr>
      <w:r>
        <w:rPr>
          <w:noProof/>
        </w:rPr>
        <w:t>(2)</w:t>
      </w:r>
      <w:r>
        <w:rPr>
          <w:noProof/>
        </w:rPr>
        <w:tab/>
      </w:r>
      <w:r w:rsidRPr="00D06C4B">
        <w:rPr>
          <w:noProof/>
        </w:rPr>
        <w:t>Ținând seama de măsurile luate de Comisie pentru a îmbunătăți nivelul de cooperare și relațiile generale ale Uniunii cu Etiopia, s-a considerat că era necesară o acțiune din partea Uniunii.</w:t>
      </w:r>
    </w:p>
    <w:p w:rsidR="00721BE4" w:rsidRPr="00D06C4B" w:rsidRDefault="00721BE4" w:rsidP="00721BE4">
      <w:pPr>
        <w:pStyle w:val="ManualConsidrant"/>
        <w:rPr>
          <w:noProof/>
        </w:rPr>
      </w:pPr>
      <w:r>
        <w:rPr>
          <w:noProof/>
        </w:rPr>
        <w:t>(3)</w:t>
      </w:r>
      <w:r>
        <w:rPr>
          <w:noProof/>
        </w:rPr>
        <w:tab/>
      </w:r>
      <w:r w:rsidRPr="00D06C4B">
        <w:rPr>
          <w:noProof/>
        </w:rPr>
        <w:t xml:space="preserve">Decizia de punere în aplicare (UE) </w:t>
      </w:r>
      <w:r w:rsidRPr="00AD7C58">
        <w:rPr>
          <w:noProof/>
        </w:rPr>
        <w:t>2024</w:t>
      </w:r>
      <w:r w:rsidRPr="00D06C4B">
        <w:rPr>
          <w:noProof/>
        </w:rPr>
        <w:t>/</w:t>
      </w:r>
      <w:r w:rsidRPr="00AD7C58">
        <w:rPr>
          <w:noProof/>
        </w:rPr>
        <w:t>1341</w:t>
      </w:r>
      <w:r w:rsidRPr="00D06C4B">
        <w:rPr>
          <w:noProof/>
        </w:rPr>
        <w:t xml:space="preserve"> a Consiliului</w:t>
      </w:r>
      <w:r w:rsidRPr="00D06C4B">
        <w:rPr>
          <w:rStyle w:val="FootnoteReference"/>
          <w:noProof/>
        </w:rPr>
        <w:footnoteReference w:id="7"/>
      </w:r>
      <w:r w:rsidRPr="00D06C4B">
        <w:rPr>
          <w:noProof/>
        </w:rPr>
        <w:t xml:space="preserve"> a suspendat temporar aplicarea anumitor dispoziții ale Regulamentului (CE) nr. </w:t>
      </w:r>
      <w:r w:rsidRPr="00AD7C58">
        <w:rPr>
          <w:noProof/>
        </w:rPr>
        <w:t>810</w:t>
      </w:r>
      <w:r w:rsidRPr="00D06C4B">
        <w:rPr>
          <w:noProof/>
        </w:rPr>
        <w:t>/</w:t>
      </w:r>
      <w:r w:rsidRPr="00AD7C58">
        <w:rPr>
          <w:noProof/>
        </w:rPr>
        <w:t>2009</w:t>
      </w:r>
      <w:r w:rsidRPr="00D06C4B">
        <w:rPr>
          <w:noProof/>
        </w:rPr>
        <w:t xml:space="preserve"> în ceea ce privește resortisanții Etiopiei, pentru a încuraja Etiopia să întreprindă acțiunile necesare pentru îmbunătățirea cooperării în materie de readmisie.</w:t>
      </w:r>
    </w:p>
    <w:p w:rsidR="00AC557F" w:rsidRPr="00D06C4B" w:rsidRDefault="00AC557F" w:rsidP="00721BE4">
      <w:pPr>
        <w:pStyle w:val="ManualConsidrant"/>
        <w:rPr>
          <w:noProof/>
        </w:rPr>
      </w:pPr>
      <w:r>
        <w:rPr>
          <w:noProof/>
        </w:rPr>
        <w:t>(4)</w:t>
      </w:r>
      <w:r>
        <w:rPr>
          <w:noProof/>
        </w:rPr>
        <w:tab/>
      </w:r>
      <w:r w:rsidRPr="00D06C4B">
        <w:rPr>
          <w:noProof/>
        </w:rPr>
        <w:t>Dispozițiile suspendate temporar au fost cele menționate la articolul </w:t>
      </w:r>
      <w:r w:rsidRPr="00AD7C58">
        <w:rPr>
          <w:noProof/>
        </w:rPr>
        <w:t>25</w:t>
      </w:r>
      <w:r w:rsidRPr="00D06C4B">
        <w:rPr>
          <w:noProof/>
        </w:rPr>
        <w:t>a alineatul (</w:t>
      </w:r>
      <w:r w:rsidRPr="00AD7C58">
        <w:rPr>
          <w:noProof/>
        </w:rPr>
        <w:t>5</w:t>
      </w:r>
      <w:r w:rsidRPr="00D06C4B">
        <w:rPr>
          <w:noProof/>
        </w:rPr>
        <w:t>) litera (a) din Regulamentul (CE) nr. </w:t>
      </w:r>
      <w:r w:rsidRPr="00AD7C58">
        <w:rPr>
          <w:noProof/>
        </w:rPr>
        <w:t>810</w:t>
      </w:r>
      <w:r w:rsidRPr="00D06C4B">
        <w:rPr>
          <w:noProof/>
        </w:rPr>
        <w:t>/</w:t>
      </w:r>
      <w:r w:rsidRPr="00AD7C58">
        <w:rPr>
          <w:noProof/>
        </w:rPr>
        <w:t>2009</w:t>
      </w:r>
      <w:r w:rsidRPr="00D06C4B">
        <w:rPr>
          <w:noProof/>
        </w:rPr>
        <w:t xml:space="preserve">: suspendarea posibilității de derogare de la cerințele privind documentele justificative care trebuie prezentate de solicitanții de viză, menționată la articolul </w:t>
      </w:r>
      <w:r w:rsidRPr="00AD7C58">
        <w:rPr>
          <w:noProof/>
        </w:rPr>
        <w:t>14</w:t>
      </w:r>
      <w:r w:rsidRPr="00D06C4B">
        <w:rPr>
          <w:noProof/>
        </w:rPr>
        <w:t xml:space="preserve"> alineatul (</w:t>
      </w:r>
      <w:r w:rsidRPr="00AD7C58">
        <w:rPr>
          <w:noProof/>
        </w:rPr>
        <w:t>6</w:t>
      </w:r>
      <w:r w:rsidRPr="00D06C4B">
        <w:rPr>
          <w:noProof/>
        </w:rPr>
        <w:t>)</w:t>
      </w:r>
      <w:r w:rsidR="00A6210A">
        <w:rPr>
          <w:noProof/>
        </w:rPr>
        <w:t>,</w:t>
      </w:r>
      <w:r w:rsidRPr="00D06C4B">
        <w:rPr>
          <w:noProof/>
        </w:rPr>
        <w:t xml:space="preserve"> suspendarea perioadei generale de prelucrare de </w:t>
      </w:r>
      <w:r w:rsidRPr="00AD7C58">
        <w:rPr>
          <w:noProof/>
        </w:rPr>
        <w:t>15</w:t>
      </w:r>
      <w:r w:rsidRPr="00D06C4B">
        <w:rPr>
          <w:noProof/>
        </w:rPr>
        <w:t xml:space="preserve"> zile calendaristice, menționată la articolul </w:t>
      </w:r>
      <w:r w:rsidRPr="00AD7C58">
        <w:rPr>
          <w:noProof/>
        </w:rPr>
        <w:t>23</w:t>
      </w:r>
      <w:r w:rsidRPr="00D06C4B">
        <w:rPr>
          <w:noProof/>
        </w:rPr>
        <w:t xml:space="preserve"> alineatul (</w:t>
      </w:r>
      <w:r w:rsidRPr="00AD7C58">
        <w:rPr>
          <w:noProof/>
        </w:rPr>
        <w:t>1</w:t>
      </w:r>
      <w:r w:rsidRPr="00D06C4B">
        <w:rPr>
          <w:noProof/>
        </w:rPr>
        <w:t>)</w:t>
      </w:r>
      <w:r w:rsidR="00A6210A">
        <w:rPr>
          <w:noProof/>
        </w:rPr>
        <w:t xml:space="preserve"> (</w:t>
      </w:r>
      <w:r w:rsidRPr="00D06C4B">
        <w:rPr>
          <w:noProof/>
        </w:rPr>
        <w:t xml:space="preserve">lucru care, în consecință, exclude, de asemenea, aplicarea normei care permite prelungirea acestei perioade până la maximum </w:t>
      </w:r>
      <w:r w:rsidRPr="00AD7C58">
        <w:rPr>
          <w:noProof/>
        </w:rPr>
        <w:t>45</w:t>
      </w:r>
      <w:r w:rsidRPr="00D06C4B">
        <w:rPr>
          <w:noProof/>
        </w:rPr>
        <w:t xml:space="preserve"> de zile numai în cazuri individuale, ceea ce înseamnă că perioada standard de prelucrare devine de </w:t>
      </w:r>
      <w:r w:rsidRPr="00AD7C58">
        <w:rPr>
          <w:noProof/>
        </w:rPr>
        <w:t>45</w:t>
      </w:r>
      <w:r w:rsidRPr="00D06C4B">
        <w:rPr>
          <w:noProof/>
        </w:rPr>
        <w:t xml:space="preserve"> de zile</w:t>
      </w:r>
      <w:r w:rsidR="00A6210A">
        <w:rPr>
          <w:noProof/>
        </w:rPr>
        <w:t>),</w:t>
      </w:r>
      <w:r w:rsidRPr="00D06C4B">
        <w:rPr>
          <w:noProof/>
        </w:rPr>
        <w:t xml:space="preserve"> suspendarea eliberării vizelor cu intrări multiple, în conformitate cu articolul </w:t>
      </w:r>
      <w:r w:rsidRPr="00AD7C58">
        <w:rPr>
          <w:noProof/>
        </w:rPr>
        <w:t>24</w:t>
      </w:r>
      <w:r w:rsidRPr="00D06C4B">
        <w:rPr>
          <w:noProof/>
        </w:rPr>
        <w:t xml:space="preserve"> alineatele (</w:t>
      </w:r>
      <w:r w:rsidRPr="00AD7C58">
        <w:rPr>
          <w:noProof/>
        </w:rPr>
        <w:t>2</w:t>
      </w:r>
      <w:r w:rsidRPr="00D06C4B">
        <w:rPr>
          <w:noProof/>
        </w:rPr>
        <w:t>) și (</w:t>
      </w:r>
      <w:r w:rsidRPr="00AD7C58">
        <w:rPr>
          <w:noProof/>
        </w:rPr>
        <w:t>2</w:t>
      </w:r>
      <w:r w:rsidRPr="00D06C4B">
        <w:rPr>
          <w:noProof/>
        </w:rPr>
        <w:t xml:space="preserve">c), și suspendarea scutirii opționale de la plata taxei de viză pentru titularii de pașapoarte diplomatice și de serviciu, în conformitate cu articolul </w:t>
      </w:r>
      <w:r w:rsidRPr="00AD7C58">
        <w:rPr>
          <w:noProof/>
        </w:rPr>
        <w:t>16</w:t>
      </w:r>
      <w:r w:rsidRPr="00D06C4B">
        <w:rPr>
          <w:noProof/>
        </w:rPr>
        <w:t xml:space="preserve"> alineatul (</w:t>
      </w:r>
      <w:r w:rsidRPr="00AD7C58">
        <w:rPr>
          <w:noProof/>
        </w:rPr>
        <w:t>5</w:t>
      </w:r>
      <w:r w:rsidRPr="00D06C4B">
        <w:rPr>
          <w:noProof/>
        </w:rPr>
        <w:t>) litera (b).</w:t>
      </w:r>
    </w:p>
    <w:p w:rsidR="00961DD5" w:rsidRPr="00D06C4B" w:rsidRDefault="00C724BB" w:rsidP="00961DD5">
      <w:pPr>
        <w:pStyle w:val="ManualConsidrant"/>
        <w:rPr>
          <w:noProof/>
        </w:rPr>
      </w:pPr>
      <w:r>
        <w:rPr>
          <w:noProof/>
        </w:rPr>
        <w:t>(5)</w:t>
      </w:r>
      <w:r>
        <w:rPr>
          <w:noProof/>
        </w:rPr>
        <w:tab/>
      </w:r>
      <w:r w:rsidRPr="00D06C4B">
        <w:rPr>
          <w:noProof/>
        </w:rPr>
        <w:t xml:space="preserve">Evaluarea continuă de către Comisie a cooperării Etiopiei în materie de readmisie de la intrarea în vigoare a Deciziei de punere în aplicare (UE) </w:t>
      </w:r>
      <w:r w:rsidRPr="00AD7C58">
        <w:rPr>
          <w:noProof/>
        </w:rPr>
        <w:t>2024</w:t>
      </w:r>
      <w:r w:rsidRPr="00D06C4B">
        <w:rPr>
          <w:noProof/>
        </w:rPr>
        <w:t>/</w:t>
      </w:r>
      <w:r w:rsidRPr="00AD7C58">
        <w:rPr>
          <w:noProof/>
        </w:rPr>
        <w:t>1341</w:t>
      </w:r>
      <w:r w:rsidRPr="00D06C4B">
        <w:rPr>
          <w:noProof/>
        </w:rPr>
        <w:t xml:space="preserve"> a Consiliului indică faptul că se poate considera că există o îmbunătățire substanțială și susținută a cooperării în materie de readmisie în ceea ce privește identificarea resortisanților etiopieni aflați în situație de ședere ilegală pe teritoriul statelor membre, eliberarea documentelor de călătorie provizorii și organizarea periodică a operațiunilor de returnare. Prin urmare, nu mai este necesar să se aplice măsuri în materie de vize resortisanților Etiopiei, iar Decizia de punere în aplicare (UE) </w:t>
      </w:r>
      <w:r w:rsidRPr="00AD7C58">
        <w:rPr>
          <w:noProof/>
        </w:rPr>
        <w:t>2024</w:t>
      </w:r>
      <w:r w:rsidRPr="00D06C4B">
        <w:rPr>
          <w:noProof/>
        </w:rPr>
        <w:t>/</w:t>
      </w:r>
      <w:r w:rsidRPr="00AD7C58">
        <w:rPr>
          <w:noProof/>
        </w:rPr>
        <w:t>1341</w:t>
      </w:r>
      <w:r w:rsidRPr="00D06C4B">
        <w:rPr>
          <w:noProof/>
        </w:rPr>
        <w:t xml:space="preserve"> ar trebui abrogată.</w:t>
      </w:r>
    </w:p>
    <w:p w:rsidR="004D1D6E" w:rsidRPr="00D06C4B" w:rsidRDefault="004D1D6E" w:rsidP="00C313A6">
      <w:pPr>
        <w:pStyle w:val="ManualConsidrant"/>
        <w:rPr>
          <w:noProof/>
        </w:rPr>
      </w:pPr>
      <w:r>
        <w:rPr>
          <w:noProof/>
        </w:rPr>
        <w:t>(6)</w:t>
      </w:r>
      <w:r>
        <w:rPr>
          <w:noProof/>
        </w:rPr>
        <w:tab/>
      </w:r>
      <w:r w:rsidRPr="00D06C4B">
        <w:rPr>
          <w:noProof/>
        </w:rPr>
        <w:t xml:space="preserve">În conformitate cu articolele </w:t>
      </w:r>
      <w:r w:rsidRPr="00AD7C58">
        <w:rPr>
          <w:noProof/>
        </w:rPr>
        <w:t>1</w:t>
      </w:r>
      <w:r w:rsidRPr="00D06C4B">
        <w:rPr>
          <w:noProof/>
        </w:rPr>
        <w:t xml:space="preserve"> și </w:t>
      </w:r>
      <w:r w:rsidRPr="00AD7C58">
        <w:rPr>
          <w:noProof/>
        </w:rPr>
        <w:t>2</w:t>
      </w:r>
      <w:r w:rsidRPr="00D06C4B">
        <w:rPr>
          <w:noProof/>
        </w:rPr>
        <w:t xml:space="preserve"> din Protocolul nr. </w:t>
      </w:r>
      <w:r w:rsidRPr="00AD7C58">
        <w:rPr>
          <w:noProof/>
        </w:rPr>
        <w:t>22</w:t>
      </w:r>
      <w:r w:rsidRPr="00D06C4B">
        <w:rPr>
          <w:noProof/>
        </w:rPr>
        <w:t xml:space="preserve"> privind poziția Danemarcei, anexat la Tratatul privind Uniunea Europeană și la Tratatul privind funcționarea Uniunii Europene, Danemarca nu participă la adoptarea prezentei decizii, aceasta nu este obligatorie pentru respectivul stat membru și nu i se aplică. Deoarece prezenta decizie constituie o dezvoltare a acquis-ului Schengen, Danemarca urmează să decidă, în conformitate cu articolul </w:t>
      </w:r>
      <w:r w:rsidRPr="00AD7C58">
        <w:rPr>
          <w:noProof/>
        </w:rPr>
        <w:t>4</w:t>
      </w:r>
      <w:r w:rsidRPr="00D06C4B">
        <w:rPr>
          <w:noProof/>
        </w:rPr>
        <w:t xml:space="preserve"> din protocolul respectiv, în termen de șase luni de la data la care Consiliul decide cu privire la prezenta decizie, dacă o va pune în aplicare în legislația sa națională.</w:t>
      </w:r>
    </w:p>
    <w:p w:rsidR="004D1D6E" w:rsidRPr="00D06C4B" w:rsidRDefault="004D1D6E" w:rsidP="00C313A6">
      <w:pPr>
        <w:pStyle w:val="ManualConsidrant"/>
        <w:rPr>
          <w:noProof/>
        </w:rPr>
      </w:pPr>
      <w:r>
        <w:rPr>
          <w:noProof/>
        </w:rPr>
        <w:t>(7)</w:t>
      </w:r>
      <w:r>
        <w:rPr>
          <w:noProof/>
        </w:rPr>
        <w:tab/>
      </w:r>
      <w:r w:rsidRPr="00D06C4B">
        <w:rPr>
          <w:noProof/>
        </w:rPr>
        <w:t xml:space="preserve">Prezenta decizie constituie o dezvoltare a dispozițiilor acquis-ului Schengen la care Irlanda nu participă, în conformitate cu Decizia </w:t>
      </w:r>
      <w:r w:rsidRPr="00AD7C58">
        <w:rPr>
          <w:noProof/>
        </w:rPr>
        <w:t>2002</w:t>
      </w:r>
      <w:r w:rsidRPr="00D06C4B">
        <w:rPr>
          <w:noProof/>
        </w:rPr>
        <w:t>/</w:t>
      </w:r>
      <w:r w:rsidRPr="00AD7C58">
        <w:rPr>
          <w:noProof/>
        </w:rPr>
        <w:t>192</w:t>
      </w:r>
      <w:r w:rsidRPr="00D06C4B">
        <w:rPr>
          <w:noProof/>
        </w:rPr>
        <w:t>/CE a Consiliului</w:t>
      </w:r>
      <w:r w:rsidRPr="00D06C4B">
        <w:rPr>
          <w:rStyle w:val="FootnoteReference"/>
          <w:noProof/>
        </w:rPr>
        <w:footnoteReference w:id="8"/>
      </w:r>
      <w:r w:rsidRPr="00D06C4B">
        <w:rPr>
          <w:noProof/>
        </w:rPr>
        <w:t>; prin urmare, Irlanda nu participă la adoptarea prezentei decizii, aceasta nu este obligatorie pentru respectivul stat membru și nu i se aplică.</w:t>
      </w:r>
    </w:p>
    <w:p w:rsidR="004D1D6E" w:rsidRPr="00D06C4B" w:rsidRDefault="004D1D6E" w:rsidP="00C313A6">
      <w:pPr>
        <w:pStyle w:val="ManualConsidrant"/>
        <w:rPr>
          <w:noProof/>
        </w:rPr>
      </w:pPr>
      <w:r>
        <w:rPr>
          <w:noProof/>
        </w:rPr>
        <w:t>(8)</w:t>
      </w:r>
      <w:r>
        <w:rPr>
          <w:noProof/>
        </w:rPr>
        <w:tab/>
      </w:r>
      <w:r w:rsidRPr="00D06C4B">
        <w:rPr>
          <w:noProof/>
        </w:rPr>
        <w:t>În ceea ce privește Islanda și Norvegia, prezenta decizie constituie o dezvoltare a dispozițiilor acquis-ului Schengen în înțelesul Acordului încheiat de Consiliul Uniunii Europene și Republica Islanda și Regatul Norvegiei în ceea ce privește asocierea acestor două state la punerea în aplicare, asigurarea respectării și dezvoltarea acquis-ului Schengen</w:t>
      </w:r>
      <w:r w:rsidRPr="00D06C4B">
        <w:rPr>
          <w:rStyle w:val="FootnoteReference"/>
          <w:noProof/>
        </w:rPr>
        <w:footnoteReference w:id="9"/>
      </w:r>
      <w:r w:rsidRPr="00D06C4B">
        <w:rPr>
          <w:noProof/>
        </w:rPr>
        <w:t xml:space="preserve">, care se află sub incidența articolului </w:t>
      </w:r>
      <w:r w:rsidRPr="00AD7C58">
        <w:rPr>
          <w:noProof/>
        </w:rPr>
        <w:t>1</w:t>
      </w:r>
      <w:r w:rsidRPr="00D06C4B">
        <w:rPr>
          <w:noProof/>
        </w:rPr>
        <w:t xml:space="preserve"> punctul B din Decizia </w:t>
      </w:r>
      <w:r w:rsidRPr="00AD7C58">
        <w:rPr>
          <w:noProof/>
        </w:rPr>
        <w:t>1999</w:t>
      </w:r>
      <w:r w:rsidRPr="00D06C4B">
        <w:rPr>
          <w:noProof/>
        </w:rPr>
        <w:t>/</w:t>
      </w:r>
      <w:r w:rsidRPr="00AD7C58">
        <w:rPr>
          <w:noProof/>
        </w:rPr>
        <w:t>437</w:t>
      </w:r>
      <w:r w:rsidRPr="00D06C4B">
        <w:rPr>
          <w:noProof/>
        </w:rPr>
        <w:t>/CE a Consiliului</w:t>
      </w:r>
      <w:r w:rsidRPr="00D06C4B">
        <w:rPr>
          <w:rStyle w:val="FootnoteReference"/>
          <w:noProof/>
        </w:rPr>
        <w:footnoteReference w:id="10"/>
      </w:r>
      <w:r w:rsidRPr="00D06C4B">
        <w:rPr>
          <w:noProof/>
        </w:rPr>
        <w:t>.</w:t>
      </w:r>
    </w:p>
    <w:p w:rsidR="004D1D6E" w:rsidRPr="00D06C4B" w:rsidRDefault="004D1D6E" w:rsidP="00C313A6">
      <w:pPr>
        <w:pStyle w:val="ManualConsidrant"/>
        <w:rPr>
          <w:noProof/>
        </w:rPr>
      </w:pPr>
      <w:r>
        <w:rPr>
          <w:noProof/>
        </w:rPr>
        <w:t>(9)</w:t>
      </w:r>
      <w:r>
        <w:rPr>
          <w:noProof/>
        </w:rPr>
        <w:tab/>
      </w:r>
      <w:r w:rsidRPr="00D06C4B">
        <w:rPr>
          <w:noProof/>
        </w:rPr>
        <w:t>În ceea ce privește Elveția, prezenta decizie constituie o dezvoltare a dispozițiilor acquis-ului Schengen în înțelesul Acordului dintre Uniunea Europeană, Comunitatea Europeană și Confederația Elvețiană privind asocierea Confederației Elvețiene la punerea în aplicare, asigurarea respectării și dezvoltarea acquis-ului Schengen</w:t>
      </w:r>
      <w:r w:rsidRPr="00D06C4B">
        <w:rPr>
          <w:rStyle w:val="FootnoteReference"/>
          <w:noProof/>
        </w:rPr>
        <w:footnoteReference w:id="11"/>
      </w:r>
      <w:r w:rsidRPr="00D06C4B">
        <w:rPr>
          <w:noProof/>
        </w:rPr>
        <w:t xml:space="preserve">, care se află sub incidența articolului </w:t>
      </w:r>
      <w:r w:rsidRPr="00AD7C58">
        <w:rPr>
          <w:noProof/>
        </w:rPr>
        <w:t>1</w:t>
      </w:r>
      <w:r w:rsidRPr="00D06C4B">
        <w:rPr>
          <w:noProof/>
        </w:rPr>
        <w:t xml:space="preserve"> punctul B din Decizia </w:t>
      </w:r>
      <w:r w:rsidRPr="00AD7C58">
        <w:rPr>
          <w:noProof/>
        </w:rPr>
        <w:t>1999</w:t>
      </w:r>
      <w:r w:rsidRPr="00D06C4B">
        <w:rPr>
          <w:noProof/>
        </w:rPr>
        <w:t>/</w:t>
      </w:r>
      <w:r w:rsidRPr="00AD7C58">
        <w:rPr>
          <w:noProof/>
        </w:rPr>
        <w:t>437</w:t>
      </w:r>
      <w:r w:rsidRPr="00D06C4B">
        <w:rPr>
          <w:noProof/>
        </w:rPr>
        <w:t xml:space="preserve">/CE coroborat cu articolul </w:t>
      </w:r>
      <w:r w:rsidRPr="00AD7C58">
        <w:rPr>
          <w:noProof/>
        </w:rPr>
        <w:t>3</w:t>
      </w:r>
      <w:r w:rsidRPr="00D06C4B">
        <w:rPr>
          <w:noProof/>
        </w:rPr>
        <w:t xml:space="preserve"> din Decizia </w:t>
      </w:r>
      <w:r w:rsidRPr="00AD7C58">
        <w:rPr>
          <w:noProof/>
        </w:rPr>
        <w:t>2008</w:t>
      </w:r>
      <w:r w:rsidRPr="00D06C4B">
        <w:rPr>
          <w:noProof/>
        </w:rPr>
        <w:t>/</w:t>
      </w:r>
      <w:r w:rsidRPr="00AD7C58">
        <w:rPr>
          <w:noProof/>
        </w:rPr>
        <w:t>146</w:t>
      </w:r>
      <w:r w:rsidRPr="00D06C4B">
        <w:rPr>
          <w:noProof/>
        </w:rPr>
        <w:t>/CE a Consiliului</w:t>
      </w:r>
      <w:r w:rsidRPr="00D06C4B">
        <w:rPr>
          <w:rStyle w:val="FootnoteReference"/>
          <w:noProof/>
        </w:rPr>
        <w:footnoteReference w:id="12"/>
      </w:r>
      <w:r w:rsidRPr="00D06C4B">
        <w:rPr>
          <w:noProof/>
        </w:rPr>
        <w:t>.</w:t>
      </w:r>
    </w:p>
    <w:p w:rsidR="004D1D6E" w:rsidRPr="00D06C4B" w:rsidRDefault="004D1D6E" w:rsidP="00C313A6">
      <w:pPr>
        <w:pStyle w:val="ManualConsidrant"/>
        <w:rPr>
          <w:noProof/>
        </w:rPr>
      </w:pPr>
      <w:r>
        <w:rPr>
          <w:noProof/>
        </w:rPr>
        <w:t>(10)</w:t>
      </w:r>
      <w:r>
        <w:rPr>
          <w:noProof/>
        </w:rPr>
        <w:tab/>
      </w:r>
      <w:r w:rsidRPr="00D06C4B">
        <w:rPr>
          <w:noProof/>
        </w:rPr>
        <w:t>În ceea ce privește Liechtensteinul, prezenta decizie constituie o dezvoltare a dispozițiilor acquis-ului Schengen în înțelesul Protocolului dintre Uniunea Europeană, Comunitatea Europeană, Confederația Elvețiană și Principatul Liechtenstein privind aderarea Principatului Liechtenstein la Acordul dintre Uniunea Europeană, Comunitatea Europeană și Confederația Elvețiană privind asocierea Confederației Elvețiene la punerea în practică, aplicarea și dezvoltarea acquis-ului Schengen</w:t>
      </w:r>
      <w:r w:rsidRPr="00D06C4B">
        <w:rPr>
          <w:rStyle w:val="FootnoteReference"/>
          <w:noProof/>
        </w:rPr>
        <w:footnoteReference w:id="13"/>
      </w:r>
      <w:r w:rsidRPr="00D06C4B">
        <w:rPr>
          <w:noProof/>
        </w:rPr>
        <w:t>, care intră sub incidența articolului </w:t>
      </w:r>
      <w:r w:rsidRPr="00AD7C58">
        <w:rPr>
          <w:noProof/>
        </w:rPr>
        <w:t>1</w:t>
      </w:r>
      <w:r w:rsidRPr="00D06C4B">
        <w:rPr>
          <w:noProof/>
        </w:rPr>
        <w:t xml:space="preserve"> punctul B din Decizia </w:t>
      </w:r>
      <w:r w:rsidRPr="00AD7C58">
        <w:rPr>
          <w:noProof/>
        </w:rPr>
        <w:t>1999</w:t>
      </w:r>
      <w:r w:rsidRPr="00D06C4B">
        <w:rPr>
          <w:noProof/>
        </w:rPr>
        <w:t>/</w:t>
      </w:r>
      <w:r w:rsidRPr="00AD7C58">
        <w:rPr>
          <w:noProof/>
        </w:rPr>
        <w:t>437</w:t>
      </w:r>
      <w:r w:rsidRPr="00D06C4B">
        <w:rPr>
          <w:noProof/>
        </w:rPr>
        <w:t>/CE, coroborat cu articolul </w:t>
      </w:r>
      <w:r w:rsidRPr="00AD7C58">
        <w:rPr>
          <w:noProof/>
        </w:rPr>
        <w:t>3</w:t>
      </w:r>
      <w:r w:rsidRPr="00D06C4B">
        <w:rPr>
          <w:noProof/>
        </w:rPr>
        <w:t xml:space="preserve"> din Decizia </w:t>
      </w:r>
      <w:r w:rsidRPr="00AD7C58">
        <w:rPr>
          <w:noProof/>
        </w:rPr>
        <w:t>2011</w:t>
      </w:r>
      <w:r w:rsidRPr="00D06C4B">
        <w:rPr>
          <w:noProof/>
        </w:rPr>
        <w:t>/</w:t>
      </w:r>
      <w:r w:rsidRPr="00AD7C58">
        <w:rPr>
          <w:noProof/>
        </w:rPr>
        <w:t>350</w:t>
      </w:r>
      <w:r w:rsidRPr="00D06C4B">
        <w:rPr>
          <w:noProof/>
        </w:rPr>
        <w:t>/UE a Consiliului</w:t>
      </w:r>
      <w:r w:rsidRPr="00D06C4B">
        <w:rPr>
          <w:rStyle w:val="FootnoteReference"/>
          <w:noProof/>
        </w:rPr>
        <w:footnoteReference w:id="14"/>
      </w:r>
      <w:r w:rsidRPr="00D06C4B">
        <w:rPr>
          <w:noProof/>
        </w:rPr>
        <w:t>.</w:t>
      </w:r>
    </w:p>
    <w:p w:rsidR="004D1D6E" w:rsidRPr="00D06C4B" w:rsidRDefault="002055FF" w:rsidP="00C313A6">
      <w:pPr>
        <w:pStyle w:val="ManualConsidrant"/>
        <w:rPr>
          <w:noProof/>
        </w:rPr>
      </w:pPr>
      <w:r>
        <w:rPr>
          <w:noProof/>
        </w:rPr>
        <w:t>(11)</w:t>
      </w:r>
      <w:r>
        <w:rPr>
          <w:noProof/>
        </w:rPr>
        <w:tab/>
      </w:r>
      <w:r w:rsidRPr="00D06C4B">
        <w:rPr>
          <w:noProof/>
        </w:rPr>
        <w:t xml:space="preserve">În ceea ce privește Ciprul, prezenta decizie constituie un act care se întemeiază pe acquis-ul Schengen sau care are în alt mod legătură cu acesta, în sensul articolului </w:t>
      </w:r>
      <w:r w:rsidRPr="00AD7C58">
        <w:rPr>
          <w:noProof/>
        </w:rPr>
        <w:t>3</w:t>
      </w:r>
      <w:r w:rsidRPr="00D06C4B">
        <w:rPr>
          <w:noProof/>
        </w:rPr>
        <w:t xml:space="preserve"> alineatul (</w:t>
      </w:r>
      <w:r w:rsidRPr="00AD7C58">
        <w:rPr>
          <w:noProof/>
        </w:rPr>
        <w:t>2</w:t>
      </w:r>
      <w:r w:rsidRPr="00D06C4B">
        <w:rPr>
          <w:noProof/>
        </w:rPr>
        <w:t xml:space="preserve">) din Actul de aderare din </w:t>
      </w:r>
      <w:r w:rsidRPr="00AD7C58">
        <w:rPr>
          <w:noProof/>
        </w:rPr>
        <w:t>2003</w:t>
      </w:r>
      <w:r w:rsidRPr="00D06C4B">
        <w:rPr>
          <w:noProof/>
        </w:rPr>
        <w:t>,</w:t>
      </w:r>
    </w:p>
    <w:p w:rsidR="00572EAF" w:rsidRPr="00D06C4B" w:rsidRDefault="00572EAF" w:rsidP="00572EAF">
      <w:pPr>
        <w:pStyle w:val="Formuledadoption"/>
        <w:rPr>
          <w:noProof/>
        </w:rPr>
      </w:pPr>
      <w:r w:rsidRPr="00D06C4B">
        <w:rPr>
          <w:noProof/>
        </w:rPr>
        <w:t xml:space="preserve">ADOPTĂ PREZENTA DECIZIE: </w:t>
      </w:r>
    </w:p>
    <w:p w:rsidR="00572EAF" w:rsidRPr="00AD7C58" w:rsidRDefault="00572EAF" w:rsidP="00572EAF">
      <w:pPr>
        <w:pStyle w:val="Titrearticle"/>
        <w:rPr>
          <w:noProof/>
        </w:rPr>
      </w:pPr>
      <w:r w:rsidRPr="00AD7C58">
        <w:rPr>
          <w:noProof/>
        </w:rPr>
        <w:t>Articolul 1</w:t>
      </w:r>
    </w:p>
    <w:p w:rsidR="00572EAF" w:rsidRPr="00D06C4B" w:rsidRDefault="00572EAF" w:rsidP="00572EAF">
      <w:pPr>
        <w:rPr>
          <w:noProof/>
        </w:rPr>
      </w:pPr>
      <w:r w:rsidRPr="00D06C4B">
        <w:rPr>
          <w:noProof/>
        </w:rPr>
        <w:t>Decizia de punere în aplicare (UE) </w:t>
      </w:r>
      <w:r w:rsidRPr="00AD7C58">
        <w:rPr>
          <w:noProof/>
        </w:rPr>
        <w:t>2024</w:t>
      </w:r>
      <w:r w:rsidRPr="00D06C4B">
        <w:rPr>
          <w:noProof/>
        </w:rPr>
        <w:t>/</w:t>
      </w:r>
      <w:r w:rsidRPr="00AD7C58">
        <w:rPr>
          <w:noProof/>
        </w:rPr>
        <w:t>1341</w:t>
      </w:r>
      <w:r w:rsidRPr="00D06C4B">
        <w:rPr>
          <w:noProof/>
        </w:rPr>
        <w:t xml:space="preserve"> a Consiliului se abrogă.</w:t>
      </w:r>
    </w:p>
    <w:p w:rsidR="00572EAF" w:rsidRPr="00AD7C58" w:rsidRDefault="00572EAF" w:rsidP="00BB0389">
      <w:pPr>
        <w:pStyle w:val="Titrearticle"/>
        <w:rPr>
          <w:noProof/>
        </w:rPr>
      </w:pPr>
      <w:r w:rsidRPr="00AD7C58">
        <w:rPr>
          <w:noProof/>
        </w:rPr>
        <w:t>Articolul 2</w:t>
      </w:r>
    </w:p>
    <w:p w:rsidR="00572EAF" w:rsidRPr="00D06C4B" w:rsidRDefault="00572EAF" w:rsidP="00572EAF">
      <w:pPr>
        <w:rPr>
          <w:noProof/>
        </w:rPr>
      </w:pPr>
      <w:r w:rsidRPr="00D06C4B">
        <w:rPr>
          <w:noProof/>
        </w:rPr>
        <w:t>Prezenta decizie se adresează Regatului Belgiei, Republicii Bulgaria, Republicii Cehe, Republicii Croația, Republicii Federale Germania, Republicii Estonia, Republicii Elene, Regatului Spaniei, Republicii Franceze, Republicii Italiene, Republicii Cipru, Republicii Letonia, Republicii Lituania, Marelui Ducat al Luxemburgului, Ungariei, Republicii Malta, Regatului Țărilor de Jos, Republicii Austria, Republicii Polone, Republicii Portugheze, României, Republicii Slovenia, Republicii Slovace, Republicii Finlanda și Regatului Suediei.</w:t>
      </w:r>
    </w:p>
    <w:p w:rsidR="00572EAF" w:rsidRPr="00D06C4B" w:rsidRDefault="00D06C4B" w:rsidP="00BB0389">
      <w:pPr>
        <w:pStyle w:val="Fait"/>
        <w:rPr>
          <w:noProof/>
        </w:rPr>
      </w:pPr>
      <w:r>
        <w:rPr>
          <w:noProof/>
        </w:rPr>
        <w:t>Adoptată la Bruxelles,</w:t>
      </w:r>
    </w:p>
    <w:p w:rsidR="00572EAF" w:rsidRPr="00AD7C58" w:rsidRDefault="00572EAF" w:rsidP="00BB0389">
      <w:pPr>
        <w:pStyle w:val="Institutionquisigne"/>
        <w:rPr>
          <w:noProof/>
        </w:rPr>
      </w:pPr>
      <w:r w:rsidRPr="00AD7C58">
        <w:rPr>
          <w:noProof/>
        </w:rPr>
        <w:tab/>
        <w:t>Pentru Consiliu</w:t>
      </w:r>
    </w:p>
    <w:p w:rsidR="00572EAF" w:rsidRPr="00AD7C58" w:rsidRDefault="00572EAF" w:rsidP="00572EAF">
      <w:pPr>
        <w:pStyle w:val="Personnequisigne"/>
        <w:rPr>
          <w:noProof/>
        </w:rPr>
      </w:pPr>
      <w:r w:rsidRPr="00AD7C58">
        <w:rPr>
          <w:noProof/>
        </w:rPr>
        <w:tab/>
        <w:t>Președintele</w:t>
      </w:r>
    </w:p>
    <w:sectPr w:rsidR="00572EAF" w:rsidRPr="00AD7C58" w:rsidSect="000E4AD7">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885" w:rsidRDefault="007E2885" w:rsidP="00C97833">
      <w:pPr>
        <w:spacing w:before="0" w:after="0"/>
      </w:pPr>
      <w:r>
        <w:separator/>
      </w:r>
    </w:p>
  </w:endnote>
  <w:endnote w:type="continuationSeparator" w:id="0">
    <w:p w:rsidR="007E2885" w:rsidRDefault="007E2885" w:rsidP="00C9783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AD7" w:rsidRPr="000E4AD7" w:rsidRDefault="000E4AD7" w:rsidP="000E4AD7">
    <w:pPr>
      <w:pStyle w:val="Footer"/>
      <w:rPr>
        <w:rFonts w:ascii="Arial" w:hAnsi="Arial" w:cs="Arial"/>
        <w:b/>
        <w:sz w:val="48"/>
      </w:rPr>
    </w:pPr>
    <w:r w:rsidRPr="000E4AD7">
      <w:rPr>
        <w:rFonts w:ascii="Arial" w:hAnsi="Arial" w:cs="Arial"/>
        <w:b/>
        <w:sz w:val="48"/>
      </w:rPr>
      <w:t>RO</w:t>
    </w:r>
    <w:r w:rsidRPr="000E4AD7">
      <w:rPr>
        <w:rFonts w:ascii="Arial" w:hAnsi="Arial" w:cs="Arial"/>
        <w:b/>
        <w:sz w:val="48"/>
      </w:rPr>
      <w:tab/>
    </w:r>
    <w:r w:rsidRPr="000E4AD7">
      <w:rPr>
        <w:rFonts w:ascii="Arial" w:hAnsi="Arial" w:cs="Arial"/>
        <w:b/>
        <w:sz w:val="48"/>
      </w:rPr>
      <w:tab/>
    </w:r>
    <w:r w:rsidRPr="000E4AD7">
      <w:tab/>
    </w:r>
    <w:r w:rsidRPr="000E4AD7">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AD7" w:rsidRPr="000E4AD7" w:rsidRDefault="000E4AD7" w:rsidP="000E4AD7">
    <w:pPr>
      <w:pStyle w:val="Footer"/>
      <w:rPr>
        <w:rFonts w:ascii="Arial" w:hAnsi="Arial" w:cs="Arial"/>
        <w:b/>
        <w:sz w:val="48"/>
      </w:rPr>
    </w:pPr>
    <w:r w:rsidRPr="000E4AD7">
      <w:rPr>
        <w:rFonts w:ascii="Arial" w:hAnsi="Arial" w:cs="Arial"/>
        <w:b/>
        <w:sz w:val="48"/>
      </w:rPr>
      <w:t>RO</w:t>
    </w:r>
    <w:r w:rsidRPr="000E4AD7">
      <w:rPr>
        <w:rFonts w:ascii="Arial" w:hAnsi="Arial" w:cs="Arial"/>
        <w:b/>
        <w:sz w:val="48"/>
      </w:rPr>
      <w:tab/>
    </w:r>
    <w:r w:rsidRPr="000E4AD7">
      <w:rPr>
        <w:rFonts w:ascii="Arial" w:hAnsi="Arial" w:cs="Arial"/>
        <w:b/>
        <w:sz w:val="48"/>
      </w:rPr>
      <w:tab/>
    </w:r>
    <w:r w:rsidRPr="000E4AD7">
      <w:tab/>
    </w:r>
    <w:r w:rsidRPr="000E4AD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AD7" w:rsidRDefault="000E4AD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AD7" w:rsidRPr="000E4AD7" w:rsidRDefault="000E4AD7" w:rsidP="000E4AD7">
    <w:pPr>
      <w:pStyle w:val="Footer"/>
      <w:rPr>
        <w:rFonts w:ascii="Arial" w:hAnsi="Arial" w:cs="Arial"/>
        <w:b/>
        <w:sz w:val="48"/>
      </w:rPr>
    </w:pPr>
    <w:r w:rsidRPr="000E4AD7">
      <w:rPr>
        <w:rFonts w:ascii="Arial" w:hAnsi="Arial" w:cs="Arial"/>
        <w:b/>
        <w:sz w:val="48"/>
      </w:rPr>
      <w:t>RO</w:t>
    </w:r>
    <w:r w:rsidRPr="000E4AD7">
      <w:rPr>
        <w:rFonts w:ascii="Arial" w:hAnsi="Arial" w:cs="Arial"/>
        <w:b/>
        <w:sz w:val="48"/>
      </w:rPr>
      <w:tab/>
    </w:r>
    <w:r>
      <w:fldChar w:fldCharType="begin"/>
    </w:r>
    <w:r>
      <w:instrText xml:space="preserve"> PAGE  \* MERGEFORMAT </w:instrText>
    </w:r>
    <w:r>
      <w:fldChar w:fldCharType="separate"/>
    </w:r>
    <w:r w:rsidR="00BB0389">
      <w:rPr>
        <w:noProof/>
      </w:rPr>
      <w:t>8</w:t>
    </w:r>
    <w:r>
      <w:fldChar w:fldCharType="end"/>
    </w:r>
    <w:r>
      <w:tab/>
    </w:r>
    <w:r w:rsidRPr="000E4AD7">
      <w:tab/>
    </w:r>
    <w:r w:rsidRPr="000E4AD7">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AD7" w:rsidRDefault="000E4AD7" w:rsidP="000E4A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885" w:rsidRDefault="007E2885" w:rsidP="00C97833">
      <w:pPr>
        <w:spacing w:before="0" w:after="0"/>
      </w:pPr>
      <w:r>
        <w:separator/>
      </w:r>
    </w:p>
  </w:footnote>
  <w:footnote w:type="continuationSeparator" w:id="0">
    <w:p w:rsidR="007E2885" w:rsidRDefault="007E2885" w:rsidP="00C97833">
      <w:pPr>
        <w:spacing w:before="0" w:after="0"/>
      </w:pPr>
      <w:r>
        <w:continuationSeparator/>
      </w:r>
    </w:p>
  </w:footnote>
  <w:footnote w:id="1">
    <w:p w:rsidR="00717B37" w:rsidRPr="00717B37" w:rsidRDefault="00717B37" w:rsidP="00F36DE4">
      <w:pPr>
        <w:pStyle w:val="FootnoteText"/>
      </w:pPr>
      <w:r>
        <w:rPr>
          <w:rStyle w:val="FootnoteReference"/>
        </w:rPr>
        <w:footnoteRef/>
      </w:r>
      <w:r>
        <w:tab/>
        <w:t xml:space="preserve">Regulamentul (CE) nr. </w:t>
      </w:r>
      <w:r w:rsidRPr="00AD7C58">
        <w:t>810</w:t>
      </w:r>
      <w:r>
        <w:t>/</w:t>
      </w:r>
      <w:r w:rsidRPr="00AD7C58">
        <w:t>2009</w:t>
      </w:r>
      <w:r>
        <w:t xml:space="preserve"> al Parlamentului European și al Consiliului din </w:t>
      </w:r>
      <w:r w:rsidRPr="00AD7C58">
        <w:t>13</w:t>
      </w:r>
      <w:r>
        <w:t xml:space="preserve"> iulie </w:t>
      </w:r>
      <w:r w:rsidRPr="00AD7C58">
        <w:t>2009</w:t>
      </w:r>
      <w:r>
        <w:t xml:space="preserve"> privind instituirea unui Cod comunitar de vize (Codul de vize), JO L </w:t>
      </w:r>
      <w:r w:rsidRPr="00AD7C58">
        <w:t>243</w:t>
      </w:r>
      <w:r>
        <w:t xml:space="preserve">, </w:t>
      </w:r>
      <w:r w:rsidRPr="00AD7C58">
        <w:t>15</w:t>
      </w:r>
      <w:r>
        <w:t>.</w:t>
      </w:r>
      <w:r w:rsidRPr="00AD7C58">
        <w:t>9</w:t>
      </w:r>
      <w:r>
        <w:t>.</w:t>
      </w:r>
      <w:r w:rsidRPr="00AD7C58">
        <w:t>2009</w:t>
      </w:r>
      <w:r>
        <w:t xml:space="preserve">, p. </w:t>
      </w:r>
      <w:r w:rsidRPr="00AD7C58">
        <w:t>1</w:t>
      </w:r>
      <w:r>
        <w:t>.</w:t>
      </w:r>
    </w:p>
  </w:footnote>
  <w:footnote w:id="2">
    <w:p w:rsidR="00A50ED8" w:rsidRPr="009A3D44" w:rsidRDefault="00A50ED8" w:rsidP="00F57C7D">
      <w:pPr>
        <w:pStyle w:val="FootnoteText"/>
      </w:pPr>
      <w:r>
        <w:rPr>
          <w:rStyle w:val="FootnoteReference"/>
        </w:rPr>
        <w:footnoteRef/>
      </w:r>
      <w:r>
        <w:tab/>
        <w:t xml:space="preserve">Decizia de punere în aplicare (UE) </w:t>
      </w:r>
      <w:r w:rsidRPr="00AD7C58">
        <w:t>2024</w:t>
      </w:r>
      <w:r>
        <w:t>/</w:t>
      </w:r>
      <w:r w:rsidRPr="00AD7C58">
        <w:t>1341</w:t>
      </w:r>
      <w:r>
        <w:t xml:space="preserve"> a Consiliului din </w:t>
      </w:r>
      <w:r w:rsidRPr="00AD7C58">
        <w:t>29</w:t>
      </w:r>
      <w:r>
        <w:t xml:space="preserve"> aprilie </w:t>
      </w:r>
      <w:r w:rsidRPr="00AD7C58">
        <w:t>2024</w:t>
      </w:r>
      <w:r>
        <w:t xml:space="preserve"> privind suspendarea anumitor dispoziții ale Regulamentului (CE) nr. </w:t>
      </w:r>
      <w:r w:rsidRPr="00AD7C58">
        <w:t>810</w:t>
      </w:r>
      <w:r>
        <w:t>/</w:t>
      </w:r>
      <w:r w:rsidRPr="00AD7C58">
        <w:t>2009</w:t>
      </w:r>
      <w:r>
        <w:t xml:space="preserve"> al Parlamentului European și al Consiliului în ceea ce privește Etiopia.</w:t>
      </w:r>
    </w:p>
  </w:footnote>
  <w:footnote w:id="3">
    <w:p w:rsidR="00D00CFE" w:rsidRPr="0009641D" w:rsidRDefault="00D00CFE">
      <w:pPr>
        <w:pStyle w:val="FootnoteText"/>
      </w:pPr>
      <w:r>
        <w:rPr>
          <w:rStyle w:val="FootnoteReference"/>
        </w:rPr>
        <w:footnoteRef/>
      </w:r>
      <w:r>
        <w:tab/>
        <w:t>COM(</w:t>
      </w:r>
      <w:r w:rsidRPr="00AD7C58">
        <w:t>2025</w:t>
      </w:r>
      <w:r>
        <w:t xml:space="preserve">) </w:t>
      </w:r>
      <w:r w:rsidRPr="00AD7C58">
        <w:t>416</w:t>
      </w:r>
      <w:r>
        <w:t xml:space="preserve"> final din </w:t>
      </w:r>
      <w:r w:rsidRPr="00AD7C58">
        <w:t>15</w:t>
      </w:r>
      <w:r>
        <w:t xml:space="preserve"> iulie </w:t>
      </w:r>
      <w:r w:rsidRPr="00AD7C58">
        <w:t>2025</w:t>
      </w:r>
      <w:r>
        <w:t>.</w:t>
      </w:r>
    </w:p>
  </w:footnote>
  <w:footnote w:id="4">
    <w:p w:rsidR="009128E8" w:rsidRPr="009128E8" w:rsidRDefault="009128E8" w:rsidP="009128E8">
      <w:pPr>
        <w:pStyle w:val="FootnoteText"/>
      </w:pPr>
      <w:r>
        <w:rPr>
          <w:rStyle w:val="FootnoteReference"/>
        </w:rPr>
        <w:footnoteRef/>
      </w:r>
      <w:r>
        <w:tab/>
        <w:t xml:space="preserve">Propunere Comisiei de DECIZIE DE PUNERE ÎN APLICARE A CONSILIULUI privind suspendarea anumitor dispoziții ale Regulamentului (CE) nr. </w:t>
      </w:r>
      <w:r w:rsidRPr="00AD7C58">
        <w:t>810</w:t>
      </w:r>
      <w:r>
        <w:t>/</w:t>
      </w:r>
      <w:r w:rsidRPr="00AD7C58">
        <w:t>2009</w:t>
      </w:r>
      <w:r>
        <w:t xml:space="preserve"> al Parlamentului European și al Consiliului în ceea ce privește Etiopia, COM(</w:t>
      </w:r>
      <w:r w:rsidRPr="00AD7C58">
        <w:t>2023</w:t>
      </w:r>
      <w:r>
        <w:t xml:space="preserve">) </w:t>
      </w:r>
      <w:r w:rsidRPr="00AD7C58">
        <w:t>568</w:t>
      </w:r>
      <w:r>
        <w:t xml:space="preserve"> final </w:t>
      </w:r>
      <w:r w:rsidRPr="00AD7C58">
        <w:t>2023</w:t>
      </w:r>
      <w:r>
        <w:t>/</w:t>
      </w:r>
      <w:r w:rsidRPr="00AD7C58">
        <w:t>0344</w:t>
      </w:r>
      <w:r>
        <w:t>.</w:t>
      </w:r>
    </w:p>
  </w:footnote>
  <w:footnote w:id="5">
    <w:p w:rsidR="009A3AE5" w:rsidRPr="00C07851" w:rsidRDefault="009A3AE5">
      <w:pPr>
        <w:pStyle w:val="FootnoteText"/>
      </w:pPr>
      <w:r>
        <w:rPr>
          <w:rStyle w:val="FootnoteReference"/>
        </w:rPr>
        <w:footnoteRef/>
      </w:r>
      <w:r>
        <w:tab/>
        <w:t xml:space="preserve">EUCO </w:t>
      </w:r>
      <w:r w:rsidRPr="00AD7C58">
        <w:t>25</w:t>
      </w:r>
      <w:r>
        <w:t>/</w:t>
      </w:r>
      <w:r w:rsidRPr="00AD7C58">
        <w:t>24</w:t>
      </w:r>
      <w:r>
        <w:t>.</w:t>
      </w:r>
    </w:p>
  </w:footnote>
  <w:footnote w:id="6">
    <w:p w:rsidR="00E84785" w:rsidRPr="00E84785" w:rsidRDefault="00E84785">
      <w:pPr>
        <w:pStyle w:val="FootnoteText"/>
      </w:pPr>
      <w:r>
        <w:rPr>
          <w:rStyle w:val="FootnoteReference"/>
        </w:rPr>
        <w:footnoteRef/>
      </w:r>
      <w:r>
        <w:tab/>
        <w:t xml:space="preserve">JO L </w:t>
      </w:r>
      <w:r w:rsidRPr="00AD7C58">
        <w:t>243</w:t>
      </w:r>
      <w:r>
        <w:t xml:space="preserve">, </w:t>
      </w:r>
      <w:r w:rsidRPr="00AD7C58">
        <w:t>15</w:t>
      </w:r>
      <w:r>
        <w:t>.</w:t>
      </w:r>
      <w:r w:rsidRPr="00AD7C58">
        <w:t>9</w:t>
      </w:r>
      <w:r>
        <w:t>.</w:t>
      </w:r>
      <w:r w:rsidRPr="00AD7C58">
        <w:t>2009</w:t>
      </w:r>
      <w:r>
        <w:t xml:space="preserve">, p. </w:t>
      </w:r>
      <w:r w:rsidRPr="00AD7C58">
        <w:t>1</w:t>
      </w:r>
      <w:r>
        <w:t>.</w:t>
      </w:r>
    </w:p>
  </w:footnote>
  <w:footnote w:id="7">
    <w:p w:rsidR="00721BE4" w:rsidRPr="006E6D02" w:rsidRDefault="00721BE4" w:rsidP="00721BE4">
      <w:pPr>
        <w:pStyle w:val="FootnoteText"/>
      </w:pPr>
      <w:r>
        <w:rPr>
          <w:rStyle w:val="FootnoteReference"/>
        </w:rPr>
        <w:footnoteRef/>
      </w:r>
      <w:r>
        <w:tab/>
        <w:t xml:space="preserve">Decizia de punere în aplicare (UE) </w:t>
      </w:r>
      <w:r w:rsidRPr="00AD7C58">
        <w:t>2024</w:t>
      </w:r>
      <w:r>
        <w:t>/</w:t>
      </w:r>
      <w:r w:rsidRPr="00AD7C58">
        <w:t>1341</w:t>
      </w:r>
      <w:r>
        <w:t xml:space="preserve"> a Consiliului din </w:t>
      </w:r>
      <w:r w:rsidRPr="00AD7C58">
        <w:t>29</w:t>
      </w:r>
      <w:r>
        <w:t xml:space="preserve"> aprilie </w:t>
      </w:r>
      <w:r w:rsidRPr="00AD7C58">
        <w:t>2024</w:t>
      </w:r>
      <w:r>
        <w:t xml:space="preserve"> privind suspendarea anumitor dispoziții ale Regulamentului (CE) nr. </w:t>
      </w:r>
      <w:r w:rsidRPr="00AD7C58">
        <w:t>810</w:t>
      </w:r>
      <w:r>
        <w:t>/</w:t>
      </w:r>
      <w:r w:rsidRPr="00AD7C58">
        <w:t>2009</w:t>
      </w:r>
      <w:r>
        <w:t xml:space="preserve"> al Parlamentului European și al Consiliului în ceea ce privește Etiopia.</w:t>
      </w:r>
    </w:p>
  </w:footnote>
  <w:footnote w:id="8">
    <w:p w:rsidR="003F4844" w:rsidRPr="00F36DE4" w:rsidRDefault="003F4844" w:rsidP="00F36DE4">
      <w:pPr>
        <w:pStyle w:val="FootnoteText"/>
      </w:pPr>
      <w:r>
        <w:rPr>
          <w:rStyle w:val="FootnoteReference"/>
        </w:rPr>
        <w:footnoteRef/>
      </w:r>
      <w:r>
        <w:tab/>
        <w:t xml:space="preserve">Decizia </w:t>
      </w:r>
      <w:r w:rsidRPr="00AD7C58">
        <w:t>2002</w:t>
      </w:r>
      <w:r>
        <w:t>/</w:t>
      </w:r>
      <w:r w:rsidRPr="00AD7C58">
        <w:t>192</w:t>
      </w:r>
      <w:r>
        <w:t xml:space="preserve">/CE a Consiliului din </w:t>
      </w:r>
      <w:r w:rsidRPr="00AD7C58">
        <w:t>28</w:t>
      </w:r>
      <w:r>
        <w:t xml:space="preserve"> februarie </w:t>
      </w:r>
      <w:r w:rsidRPr="00AD7C58">
        <w:t>2002</w:t>
      </w:r>
      <w:r>
        <w:t xml:space="preserve"> privind solicitarea Irlandei de a participa la unele dintre dispozițiile acquis-ului Schengen (JO L </w:t>
      </w:r>
      <w:r w:rsidRPr="00AD7C58">
        <w:t>64</w:t>
      </w:r>
      <w:r>
        <w:t xml:space="preserve">, </w:t>
      </w:r>
      <w:r w:rsidRPr="00AD7C58">
        <w:t>7</w:t>
      </w:r>
      <w:r>
        <w:t>.</w:t>
      </w:r>
      <w:r w:rsidRPr="00AD7C58">
        <w:t>3</w:t>
      </w:r>
      <w:r>
        <w:t>.</w:t>
      </w:r>
      <w:r w:rsidRPr="00AD7C58">
        <w:t>2002</w:t>
      </w:r>
      <w:r>
        <w:t>, p. </w:t>
      </w:r>
      <w:r w:rsidRPr="00AD7C58">
        <w:t>20</w:t>
      </w:r>
      <w:r>
        <w:t>).</w:t>
      </w:r>
    </w:p>
  </w:footnote>
  <w:footnote w:id="9">
    <w:p w:rsidR="003F4844" w:rsidRPr="003F4844" w:rsidRDefault="003F4844">
      <w:pPr>
        <w:pStyle w:val="FootnoteText"/>
      </w:pPr>
      <w:r>
        <w:rPr>
          <w:rStyle w:val="FootnoteReference"/>
        </w:rPr>
        <w:footnoteRef/>
      </w:r>
      <w:r>
        <w:tab/>
        <w:t xml:space="preserve">JO L </w:t>
      </w:r>
      <w:r w:rsidRPr="00AD7C58">
        <w:t>176</w:t>
      </w:r>
      <w:r>
        <w:t xml:space="preserve">, </w:t>
      </w:r>
      <w:r w:rsidRPr="00AD7C58">
        <w:t>10</w:t>
      </w:r>
      <w:r>
        <w:t>.</w:t>
      </w:r>
      <w:r w:rsidRPr="00AD7C58">
        <w:t>7</w:t>
      </w:r>
      <w:r>
        <w:t>.</w:t>
      </w:r>
      <w:r w:rsidRPr="00AD7C58">
        <w:t>1999</w:t>
      </w:r>
      <w:r>
        <w:t xml:space="preserve">, p. </w:t>
      </w:r>
      <w:r w:rsidRPr="00AD7C58">
        <w:t>36</w:t>
      </w:r>
      <w:r>
        <w:t>.</w:t>
      </w:r>
    </w:p>
  </w:footnote>
  <w:footnote w:id="10">
    <w:p w:rsidR="003F4844" w:rsidRPr="00F36DE4" w:rsidRDefault="003F4844" w:rsidP="00F36DE4">
      <w:pPr>
        <w:pStyle w:val="FootnoteText"/>
      </w:pPr>
      <w:r>
        <w:rPr>
          <w:rStyle w:val="FootnoteReference"/>
        </w:rPr>
        <w:footnoteRef/>
      </w:r>
      <w:r>
        <w:tab/>
        <w:t xml:space="preserve">Decizia </w:t>
      </w:r>
      <w:r w:rsidRPr="00AD7C58">
        <w:t>1999</w:t>
      </w:r>
      <w:r>
        <w:t>/</w:t>
      </w:r>
      <w:r w:rsidRPr="00AD7C58">
        <w:t>437</w:t>
      </w:r>
      <w:r>
        <w:t xml:space="preserve">/CE a Consiliului din </w:t>
      </w:r>
      <w:r w:rsidRPr="00AD7C58">
        <w:t>17</w:t>
      </w:r>
      <w:r>
        <w:t xml:space="preserve"> mai </w:t>
      </w:r>
      <w:r w:rsidRPr="00AD7C58">
        <w:t>1999</w:t>
      </w:r>
      <w:r>
        <w:t xml:space="preserve"> privind anumite modalități de aplicare a Acordului încheiat între Consiliul Uniunii Europene și Republica Islanda și Regatul Norvegiei în ceea ce privește asocierea acestor două state în vederea punerii în aplicare, a asigurării respectării și dezvoltării acquis-ului Schengen (JO L </w:t>
      </w:r>
      <w:r w:rsidRPr="00AD7C58">
        <w:t>176</w:t>
      </w:r>
      <w:r>
        <w:t xml:space="preserve">, </w:t>
      </w:r>
      <w:r w:rsidRPr="00AD7C58">
        <w:t>10</w:t>
      </w:r>
      <w:r>
        <w:t>.</w:t>
      </w:r>
      <w:r w:rsidRPr="00AD7C58">
        <w:t>7</w:t>
      </w:r>
      <w:r>
        <w:t>.</w:t>
      </w:r>
      <w:r w:rsidRPr="00AD7C58">
        <w:t>1999</w:t>
      </w:r>
      <w:r>
        <w:t>, p. </w:t>
      </w:r>
      <w:r w:rsidRPr="00AD7C58">
        <w:t>31</w:t>
      </w:r>
      <w:r>
        <w:t>).</w:t>
      </w:r>
    </w:p>
  </w:footnote>
  <w:footnote w:id="11">
    <w:p w:rsidR="003F4844" w:rsidRPr="003F4844" w:rsidRDefault="003F4844" w:rsidP="00F36DE4">
      <w:pPr>
        <w:pStyle w:val="FootnoteText"/>
        <w:ind w:left="0" w:firstLine="0"/>
      </w:pPr>
      <w:r>
        <w:rPr>
          <w:rStyle w:val="FootnoteReference"/>
        </w:rPr>
        <w:footnoteRef/>
      </w:r>
      <w:r>
        <w:tab/>
        <w:t xml:space="preserve">JO L </w:t>
      </w:r>
      <w:r w:rsidRPr="00AD7C58">
        <w:t>53</w:t>
      </w:r>
      <w:r>
        <w:t xml:space="preserve">, </w:t>
      </w:r>
      <w:r w:rsidRPr="00AD7C58">
        <w:t>27</w:t>
      </w:r>
      <w:r>
        <w:t>.</w:t>
      </w:r>
      <w:r w:rsidRPr="00AD7C58">
        <w:t>2</w:t>
      </w:r>
      <w:r>
        <w:t>.</w:t>
      </w:r>
      <w:r w:rsidRPr="00AD7C58">
        <w:t>2008</w:t>
      </w:r>
      <w:r>
        <w:t xml:space="preserve">, p. </w:t>
      </w:r>
      <w:r w:rsidRPr="00AD7C58">
        <w:t>52</w:t>
      </w:r>
      <w:r>
        <w:t>.</w:t>
      </w:r>
    </w:p>
  </w:footnote>
  <w:footnote w:id="12">
    <w:p w:rsidR="003F4844" w:rsidRPr="00F36DE4" w:rsidRDefault="003F4844" w:rsidP="00F36DE4">
      <w:pPr>
        <w:pStyle w:val="FootnoteText"/>
      </w:pPr>
      <w:r>
        <w:rPr>
          <w:rStyle w:val="FootnoteReference"/>
        </w:rPr>
        <w:footnoteRef/>
      </w:r>
      <w:r>
        <w:tab/>
        <w:t xml:space="preserve">Decizia </w:t>
      </w:r>
      <w:r w:rsidRPr="00AD7C58">
        <w:t>2008</w:t>
      </w:r>
      <w:r>
        <w:t>/</w:t>
      </w:r>
      <w:r w:rsidRPr="00AD7C58">
        <w:t>146</w:t>
      </w:r>
      <w:r>
        <w:t xml:space="preserve">/CE a Consiliului din </w:t>
      </w:r>
      <w:r w:rsidRPr="00AD7C58">
        <w:t>28</w:t>
      </w:r>
      <w:r>
        <w:t xml:space="preserve"> ianuarie </w:t>
      </w:r>
      <w:r w:rsidRPr="00AD7C58">
        <w:t>2008</w:t>
      </w:r>
      <w:r>
        <w:t xml:space="preserve"> privind încheierea, în numele Comunității Europene, a Acordului între Uniunea Europeană, Comunitatea Europeană și Confederația Elvețiană cu privire la asocierea Confederației Elvețiene la punerea în aplicare, respectarea și dezvoltarea acquis-ului Schengen (JO L </w:t>
      </w:r>
      <w:r w:rsidRPr="00AD7C58">
        <w:t>53</w:t>
      </w:r>
      <w:r>
        <w:t xml:space="preserve">, </w:t>
      </w:r>
      <w:r w:rsidRPr="00AD7C58">
        <w:t>27</w:t>
      </w:r>
      <w:r>
        <w:t>.</w:t>
      </w:r>
      <w:r w:rsidRPr="00AD7C58">
        <w:t>2</w:t>
      </w:r>
      <w:r>
        <w:t>.</w:t>
      </w:r>
      <w:r w:rsidRPr="00AD7C58">
        <w:t>2008</w:t>
      </w:r>
      <w:r>
        <w:t>, p. </w:t>
      </w:r>
      <w:r w:rsidRPr="00AD7C58">
        <w:t>1</w:t>
      </w:r>
      <w:r>
        <w:t>).</w:t>
      </w:r>
    </w:p>
  </w:footnote>
  <w:footnote w:id="13">
    <w:p w:rsidR="003F4844" w:rsidRPr="003F4844" w:rsidRDefault="003F4844">
      <w:pPr>
        <w:pStyle w:val="FootnoteText"/>
      </w:pPr>
      <w:r>
        <w:rPr>
          <w:rStyle w:val="FootnoteReference"/>
        </w:rPr>
        <w:footnoteRef/>
      </w:r>
      <w:r>
        <w:tab/>
        <w:t xml:space="preserve">JO L </w:t>
      </w:r>
      <w:r w:rsidRPr="00AD7C58">
        <w:t>160</w:t>
      </w:r>
      <w:r>
        <w:t xml:space="preserve">, </w:t>
      </w:r>
      <w:r w:rsidRPr="00AD7C58">
        <w:t>18</w:t>
      </w:r>
      <w:r>
        <w:t>.</w:t>
      </w:r>
      <w:r w:rsidRPr="00AD7C58">
        <w:t>6</w:t>
      </w:r>
      <w:r>
        <w:t>.</w:t>
      </w:r>
      <w:r w:rsidRPr="00AD7C58">
        <w:t>2011</w:t>
      </w:r>
      <w:r>
        <w:t xml:space="preserve">, p. </w:t>
      </w:r>
      <w:r w:rsidRPr="00AD7C58">
        <w:t>21</w:t>
      </w:r>
      <w:r>
        <w:t>.</w:t>
      </w:r>
    </w:p>
  </w:footnote>
  <w:footnote w:id="14">
    <w:p w:rsidR="003F4844" w:rsidRPr="00F36DE4" w:rsidRDefault="003F4844" w:rsidP="00F36DE4">
      <w:pPr>
        <w:pStyle w:val="FootnoteText"/>
      </w:pPr>
      <w:r>
        <w:rPr>
          <w:rStyle w:val="FootnoteReference"/>
        </w:rPr>
        <w:footnoteRef/>
      </w:r>
      <w:r>
        <w:tab/>
        <w:t xml:space="preserve">Decizia </w:t>
      </w:r>
      <w:r w:rsidRPr="00AD7C58">
        <w:t>2011</w:t>
      </w:r>
      <w:r>
        <w:t>/</w:t>
      </w:r>
      <w:r w:rsidRPr="00AD7C58">
        <w:t>350</w:t>
      </w:r>
      <w:r>
        <w:t xml:space="preserve">/UE a Consiliului din </w:t>
      </w:r>
      <w:r w:rsidRPr="00AD7C58">
        <w:t>7</w:t>
      </w:r>
      <w:r>
        <w:t xml:space="preserve"> martie </w:t>
      </w:r>
      <w:r w:rsidRPr="00AD7C58">
        <w:t>2011</w:t>
      </w:r>
      <w:r>
        <w:t xml:space="preserve"> privind încheierea, în numele Uniunii Europene, a Protocolului dintre Uniunea Europeană, Comunitatea Europeană, Confederația Elvețiană și Principatul Liechtenstein privind aderarea Principatului Liechtenstein la Acordul dintre Uniunea Europeană, Comunitatea Europeană și Confederația Elvețiană privind asocierea Confederației Elvețiene la punerea în aplicare, respectarea și dezvoltarea acquis-ului Schengen, în ceea ce privește eliminarea controalelor la frontierele interne și circulația persoanelor (JO L </w:t>
      </w:r>
      <w:r w:rsidRPr="00AD7C58">
        <w:t>160</w:t>
      </w:r>
      <w:r>
        <w:t xml:space="preserve">, </w:t>
      </w:r>
      <w:r w:rsidRPr="00AD7C58">
        <w:t>18</w:t>
      </w:r>
      <w:r>
        <w:t>.</w:t>
      </w:r>
      <w:r w:rsidRPr="00AD7C58">
        <w:t>6</w:t>
      </w:r>
      <w:r>
        <w:t>.</w:t>
      </w:r>
      <w:r w:rsidRPr="00AD7C58">
        <w:t>2011</w:t>
      </w:r>
      <w:r>
        <w:t>, p. </w:t>
      </w:r>
      <w:r w:rsidRPr="00AD7C58">
        <w:t>19</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AD7" w:rsidRDefault="000E4A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AD7" w:rsidRDefault="000E4A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3ADED16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A1E720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1DAC62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15 10:00:1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0596384-E569-4CD5-8DDA-67E0E0A8A047"/>
    <w:docVar w:name="LW_COVERPAGE_TYPE" w:val="1"/>
    <w:docVar w:name="LW_CROSSREFERENCE" w:val="&lt;UNUSED&gt;"/>
    <w:docVar w:name="LW_DocType" w:val="COM"/>
    <w:docVar w:name="LW_EMISSION" w:val="20.4.2026"/>
    <w:docVar w:name="LW_EMISSION_ISODATE" w:val="2026-04-20"/>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92"/>
    <w:docVar w:name="LW_REF.II.NEW.CP_YEAR" w:val="2026"/>
    <w:docVar w:name="LW_REF.INST.NEW" w:val="COM"/>
    <w:docVar w:name="LW_REF.INST.NEW_ADOPTED" w:val="final"/>
    <w:docVar w:name="LW_REF.INST.NEW_TEXT" w:val="(2026) 16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abrogare a Deciziei de punere în aplicare (UE) 2024/1341 privind suspendarea anumitor dispozi\u539?ii ale Regulamentului (CE) nr. 810/2009 al Parlamentului European \u537?i al Consiliului în ceea ce prive\u537?te Etiopia _x000b_"/>
    <w:docVar w:name="LW_TYPE.DOC.CP" w:val="DECIZIE DE PUNERE ÎN APLICARE A CONSILIULUI"/>
    <w:docVar w:name="LwApiVersions" w:val="LW4CoDe 1.24.5.0; LW 9.2, Build 20251112"/>
  </w:docVars>
  <w:rsids>
    <w:rsidRoot w:val="00C97833"/>
    <w:rsid w:val="00001357"/>
    <w:rsid w:val="000021C9"/>
    <w:rsid w:val="000036CA"/>
    <w:rsid w:val="00006D03"/>
    <w:rsid w:val="00011AF0"/>
    <w:rsid w:val="00014F59"/>
    <w:rsid w:val="0001609F"/>
    <w:rsid w:val="00032B9D"/>
    <w:rsid w:val="00033811"/>
    <w:rsid w:val="000428A5"/>
    <w:rsid w:val="00047941"/>
    <w:rsid w:val="000545D5"/>
    <w:rsid w:val="00073CBF"/>
    <w:rsid w:val="00077CDE"/>
    <w:rsid w:val="000823BB"/>
    <w:rsid w:val="00084EAF"/>
    <w:rsid w:val="0009641D"/>
    <w:rsid w:val="000A6E46"/>
    <w:rsid w:val="000B394C"/>
    <w:rsid w:val="000B4C1E"/>
    <w:rsid w:val="000C2069"/>
    <w:rsid w:val="000D24F8"/>
    <w:rsid w:val="000E4AD7"/>
    <w:rsid w:val="000E6458"/>
    <w:rsid w:val="000E6540"/>
    <w:rsid w:val="000F1D15"/>
    <w:rsid w:val="000F5C95"/>
    <w:rsid w:val="0010137A"/>
    <w:rsid w:val="0010189F"/>
    <w:rsid w:val="00103011"/>
    <w:rsid w:val="001065F5"/>
    <w:rsid w:val="001072A5"/>
    <w:rsid w:val="001105BF"/>
    <w:rsid w:val="001238EF"/>
    <w:rsid w:val="00140FFE"/>
    <w:rsid w:val="00163393"/>
    <w:rsid w:val="001907A5"/>
    <w:rsid w:val="00191E18"/>
    <w:rsid w:val="00197613"/>
    <w:rsid w:val="001A55FA"/>
    <w:rsid w:val="001B2482"/>
    <w:rsid w:val="001B5881"/>
    <w:rsid w:val="001C20B2"/>
    <w:rsid w:val="001C3551"/>
    <w:rsid w:val="001C5282"/>
    <w:rsid w:val="001C5D23"/>
    <w:rsid w:val="001D1F8B"/>
    <w:rsid w:val="001D4BEF"/>
    <w:rsid w:val="001D60E4"/>
    <w:rsid w:val="001E069D"/>
    <w:rsid w:val="001E1E0D"/>
    <w:rsid w:val="00203C27"/>
    <w:rsid w:val="002055FF"/>
    <w:rsid w:val="00207D35"/>
    <w:rsid w:val="0021006C"/>
    <w:rsid w:val="002109F0"/>
    <w:rsid w:val="00233543"/>
    <w:rsid w:val="00233DC7"/>
    <w:rsid w:val="00235FE5"/>
    <w:rsid w:val="00237798"/>
    <w:rsid w:val="00247779"/>
    <w:rsid w:val="002514ED"/>
    <w:rsid w:val="00264E0C"/>
    <w:rsid w:val="00270553"/>
    <w:rsid w:val="0027149D"/>
    <w:rsid w:val="002750AD"/>
    <w:rsid w:val="00281FE8"/>
    <w:rsid w:val="0028294E"/>
    <w:rsid w:val="00285BEE"/>
    <w:rsid w:val="00293C72"/>
    <w:rsid w:val="0029533F"/>
    <w:rsid w:val="00296AF8"/>
    <w:rsid w:val="002A0414"/>
    <w:rsid w:val="002B0B9A"/>
    <w:rsid w:val="002B13CC"/>
    <w:rsid w:val="002B27B6"/>
    <w:rsid w:val="002B30AF"/>
    <w:rsid w:val="002C2BCC"/>
    <w:rsid w:val="002D4FA1"/>
    <w:rsid w:val="002D5D92"/>
    <w:rsid w:val="002E3D13"/>
    <w:rsid w:val="002E7C49"/>
    <w:rsid w:val="002F3C8C"/>
    <w:rsid w:val="0030072D"/>
    <w:rsid w:val="003075BD"/>
    <w:rsid w:val="00310CFD"/>
    <w:rsid w:val="00316EFE"/>
    <w:rsid w:val="003331F2"/>
    <w:rsid w:val="0033329C"/>
    <w:rsid w:val="0033344A"/>
    <w:rsid w:val="00336A4D"/>
    <w:rsid w:val="00337C75"/>
    <w:rsid w:val="003474D1"/>
    <w:rsid w:val="00351DDE"/>
    <w:rsid w:val="00352557"/>
    <w:rsid w:val="00356ABE"/>
    <w:rsid w:val="0035773F"/>
    <w:rsid w:val="0038282E"/>
    <w:rsid w:val="00383635"/>
    <w:rsid w:val="003908FF"/>
    <w:rsid w:val="003934D7"/>
    <w:rsid w:val="00393B2A"/>
    <w:rsid w:val="0039474A"/>
    <w:rsid w:val="00395B01"/>
    <w:rsid w:val="003A4E19"/>
    <w:rsid w:val="003B4561"/>
    <w:rsid w:val="003B4ADB"/>
    <w:rsid w:val="003C2FD3"/>
    <w:rsid w:val="003C5006"/>
    <w:rsid w:val="003E3B1A"/>
    <w:rsid w:val="003E47F7"/>
    <w:rsid w:val="003E5A1B"/>
    <w:rsid w:val="003E6633"/>
    <w:rsid w:val="003F1F80"/>
    <w:rsid w:val="003F4844"/>
    <w:rsid w:val="003F6015"/>
    <w:rsid w:val="003F7E38"/>
    <w:rsid w:val="00401DF3"/>
    <w:rsid w:val="00404CC2"/>
    <w:rsid w:val="0042040D"/>
    <w:rsid w:val="004243BB"/>
    <w:rsid w:val="0042648E"/>
    <w:rsid w:val="00430AEE"/>
    <w:rsid w:val="00440CAD"/>
    <w:rsid w:val="00455251"/>
    <w:rsid w:val="0046507F"/>
    <w:rsid w:val="00465AAF"/>
    <w:rsid w:val="0048240B"/>
    <w:rsid w:val="004835EE"/>
    <w:rsid w:val="00486007"/>
    <w:rsid w:val="004936D2"/>
    <w:rsid w:val="004939FE"/>
    <w:rsid w:val="0049709A"/>
    <w:rsid w:val="004A02BC"/>
    <w:rsid w:val="004A054C"/>
    <w:rsid w:val="004A08DA"/>
    <w:rsid w:val="004A1446"/>
    <w:rsid w:val="004A31CF"/>
    <w:rsid w:val="004A410E"/>
    <w:rsid w:val="004A4C96"/>
    <w:rsid w:val="004B247B"/>
    <w:rsid w:val="004B24C0"/>
    <w:rsid w:val="004B4580"/>
    <w:rsid w:val="004B5CE0"/>
    <w:rsid w:val="004C1D45"/>
    <w:rsid w:val="004C4AF6"/>
    <w:rsid w:val="004C729D"/>
    <w:rsid w:val="004D1D6E"/>
    <w:rsid w:val="004E0780"/>
    <w:rsid w:val="004E27AF"/>
    <w:rsid w:val="004F6171"/>
    <w:rsid w:val="005007CC"/>
    <w:rsid w:val="00501C7D"/>
    <w:rsid w:val="00505CE0"/>
    <w:rsid w:val="00515975"/>
    <w:rsid w:val="00521DD8"/>
    <w:rsid w:val="005247B7"/>
    <w:rsid w:val="00524CEB"/>
    <w:rsid w:val="00525EB3"/>
    <w:rsid w:val="00535DF4"/>
    <w:rsid w:val="00563BE2"/>
    <w:rsid w:val="0057036A"/>
    <w:rsid w:val="00572EAF"/>
    <w:rsid w:val="00574334"/>
    <w:rsid w:val="00574E71"/>
    <w:rsid w:val="00584CE8"/>
    <w:rsid w:val="00587996"/>
    <w:rsid w:val="00590A64"/>
    <w:rsid w:val="00597B2D"/>
    <w:rsid w:val="005A090E"/>
    <w:rsid w:val="005A2542"/>
    <w:rsid w:val="005A5F03"/>
    <w:rsid w:val="005B1EB6"/>
    <w:rsid w:val="005E2353"/>
    <w:rsid w:val="005E29A0"/>
    <w:rsid w:val="005E79BD"/>
    <w:rsid w:val="005F7B1A"/>
    <w:rsid w:val="00602174"/>
    <w:rsid w:val="00604CF2"/>
    <w:rsid w:val="00610704"/>
    <w:rsid w:val="006115F9"/>
    <w:rsid w:val="0061308A"/>
    <w:rsid w:val="006167AE"/>
    <w:rsid w:val="006174D5"/>
    <w:rsid w:val="006313D2"/>
    <w:rsid w:val="0064083E"/>
    <w:rsid w:val="00640A88"/>
    <w:rsid w:val="00647B04"/>
    <w:rsid w:val="00652253"/>
    <w:rsid w:val="00652EA5"/>
    <w:rsid w:val="00662ACF"/>
    <w:rsid w:val="006719AA"/>
    <w:rsid w:val="006912DC"/>
    <w:rsid w:val="006921E5"/>
    <w:rsid w:val="006A1095"/>
    <w:rsid w:val="006B4A4F"/>
    <w:rsid w:val="006C42A5"/>
    <w:rsid w:val="006C4B5D"/>
    <w:rsid w:val="006C51CA"/>
    <w:rsid w:val="006C5330"/>
    <w:rsid w:val="006D2540"/>
    <w:rsid w:val="006E4D06"/>
    <w:rsid w:val="006F187A"/>
    <w:rsid w:val="006F1EB2"/>
    <w:rsid w:val="006F390D"/>
    <w:rsid w:val="00711DDE"/>
    <w:rsid w:val="00716710"/>
    <w:rsid w:val="0071717B"/>
    <w:rsid w:val="00717B37"/>
    <w:rsid w:val="00720A19"/>
    <w:rsid w:val="00721BE4"/>
    <w:rsid w:val="007314EE"/>
    <w:rsid w:val="00734693"/>
    <w:rsid w:val="00734DA7"/>
    <w:rsid w:val="00737832"/>
    <w:rsid w:val="00737DDF"/>
    <w:rsid w:val="007444BF"/>
    <w:rsid w:val="00745E9F"/>
    <w:rsid w:val="007509AE"/>
    <w:rsid w:val="00751B1F"/>
    <w:rsid w:val="00761510"/>
    <w:rsid w:val="00766B76"/>
    <w:rsid w:val="0076742F"/>
    <w:rsid w:val="00767BEB"/>
    <w:rsid w:val="00773331"/>
    <w:rsid w:val="0078226E"/>
    <w:rsid w:val="007932EF"/>
    <w:rsid w:val="007B7CDB"/>
    <w:rsid w:val="007C0994"/>
    <w:rsid w:val="007C109D"/>
    <w:rsid w:val="007C3C30"/>
    <w:rsid w:val="007D3876"/>
    <w:rsid w:val="007E0419"/>
    <w:rsid w:val="007E05B0"/>
    <w:rsid w:val="007E2885"/>
    <w:rsid w:val="007E7A69"/>
    <w:rsid w:val="007F1E5F"/>
    <w:rsid w:val="007F28C2"/>
    <w:rsid w:val="00805575"/>
    <w:rsid w:val="0080603F"/>
    <w:rsid w:val="00806079"/>
    <w:rsid w:val="00807996"/>
    <w:rsid w:val="00812011"/>
    <w:rsid w:val="008218F1"/>
    <w:rsid w:val="00826F61"/>
    <w:rsid w:val="008521D8"/>
    <w:rsid w:val="00857077"/>
    <w:rsid w:val="00864488"/>
    <w:rsid w:val="008745A8"/>
    <w:rsid w:val="00874D22"/>
    <w:rsid w:val="00876432"/>
    <w:rsid w:val="00877CD3"/>
    <w:rsid w:val="00887460"/>
    <w:rsid w:val="008A2914"/>
    <w:rsid w:val="008A2FB5"/>
    <w:rsid w:val="008A349A"/>
    <w:rsid w:val="008A4DA6"/>
    <w:rsid w:val="008B0C5F"/>
    <w:rsid w:val="008B6887"/>
    <w:rsid w:val="008D1730"/>
    <w:rsid w:val="008E0434"/>
    <w:rsid w:val="008E05DF"/>
    <w:rsid w:val="008E4D8E"/>
    <w:rsid w:val="008E6430"/>
    <w:rsid w:val="008F604A"/>
    <w:rsid w:val="009001E7"/>
    <w:rsid w:val="009022BD"/>
    <w:rsid w:val="00907BD9"/>
    <w:rsid w:val="009128E8"/>
    <w:rsid w:val="00925A43"/>
    <w:rsid w:val="0092610F"/>
    <w:rsid w:val="009332C5"/>
    <w:rsid w:val="009553CE"/>
    <w:rsid w:val="00960591"/>
    <w:rsid w:val="00961DD5"/>
    <w:rsid w:val="00963FAE"/>
    <w:rsid w:val="00964575"/>
    <w:rsid w:val="00974C3E"/>
    <w:rsid w:val="009A0AE5"/>
    <w:rsid w:val="009A3AE5"/>
    <w:rsid w:val="009A3D44"/>
    <w:rsid w:val="009A58BD"/>
    <w:rsid w:val="009A6097"/>
    <w:rsid w:val="009B2404"/>
    <w:rsid w:val="009B5831"/>
    <w:rsid w:val="009B7D25"/>
    <w:rsid w:val="009C0663"/>
    <w:rsid w:val="009D18C4"/>
    <w:rsid w:val="009D22A7"/>
    <w:rsid w:val="009E1F10"/>
    <w:rsid w:val="009E537D"/>
    <w:rsid w:val="009E71D2"/>
    <w:rsid w:val="009E7DC8"/>
    <w:rsid w:val="009F2A33"/>
    <w:rsid w:val="00A01903"/>
    <w:rsid w:val="00A0493E"/>
    <w:rsid w:val="00A07CCD"/>
    <w:rsid w:val="00A14A11"/>
    <w:rsid w:val="00A17E58"/>
    <w:rsid w:val="00A24096"/>
    <w:rsid w:val="00A33C90"/>
    <w:rsid w:val="00A42C66"/>
    <w:rsid w:val="00A4723D"/>
    <w:rsid w:val="00A50ED8"/>
    <w:rsid w:val="00A5101E"/>
    <w:rsid w:val="00A5302E"/>
    <w:rsid w:val="00A55E65"/>
    <w:rsid w:val="00A57C81"/>
    <w:rsid w:val="00A6210A"/>
    <w:rsid w:val="00A91E83"/>
    <w:rsid w:val="00AA01A6"/>
    <w:rsid w:val="00AA123C"/>
    <w:rsid w:val="00AC1FA4"/>
    <w:rsid w:val="00AC557F"/>
    <w:rsid w:val="00AD5503"/>
    <w:rsid w:val="00AD7C58"/>
    <w:rsid w:val="00AE00CC"/>
    <w:rsid w:val="00AE1015"/>
    <w:rsid w:val="00AE3150"/>
    <w:rsid w:val="00AE4F8C"/>
    <w:rsid w:val="00AE562C"/>
    <w:rsid w:val="00AF3D3D"/>
    <w:rsid w:val="00B0210F"/>
    <w:rsid w:val="00B04493"/>
    <w:rsid w:val="00B12559"/>
    <w:rsid w:val="00B14B19"/>
    <w:rsid w:val="00B2676F"/>
    <w:rsid w:val="00B31A5C"/>
    <w:rsid w:val="00B509EB"/>
    <w:rsid w:val="00B52FE1"/>
    <w:rsid w:val="00B54E72"/>
    <w:rsid w:val="00B61CB5"/>
    <w:rsid w:val="00B64D2D"/>
    <w:rsid w:val="00B64FB9"/>
    <w:rsid w:val="00B71C91"/>
    <w:rsid w:val="00B71DE1"/>
    <w:rsid w:val="00B74CA8"/>
    <w:rsid w:val="00B80C6E"/>
    <w:rsid w:val="00B9237D"/>
    <w:rsid w:val="00B9586E"/>
    <w:rsid w:val="00BA72A6"/>
    <w:rsid w:val="00BB0389"/>
    <w:rsid w:val="00BB4097"/>
    <w:rsid w:val="00BC2A61"/>
    <w:rsid w:val="00BC7B5C"/>
    <w:rsid w:val="00BE4635"/>
    <w:rsid w:val="00BE58F2"/>
    <w:rsid w:val="00C01707"/>
    <w:rsid w:val="00C07851"/>
    <w:rsid w:val="00C12301"/>
    <w:rsid w:val="00C15F72"/>
    <w:rsid w:val="00C17994"/>
    <w:rsid w:val="00C20BE1"/>
    <w:rsid w:val="00C23AFD"/>
    <w:rsid w:val="00C25995"/>
    <w:rsid w:val="00C313A6"/>
    <w:rsid w:val="00C33729"/>
    <w:rsid w:val="00C35CD3"/>
    <w:rsid w:val="00C445E7"/>
    <w:rsid w:val="00C57A14"/>
    <w:rsid w:val="00C60F6C"/>
    <w:rsid w:val="00C72351"/>
    <w:rsid w:val="00C724BB"/>
    <w:rsid w:val="00C72925"/>
    <w:rsid w:val="00C90790"/>
    <w:rsid w:val="00C92258"/>
    <w:rsid w:val="00C925CF"/>
    <w:rsid w:val="00C97833"/>
    <w:rsid w:val="00CA0C9C"/>
    <w:rsid w:val="00CA7102"/>
    <w:rsid w:val="00CA7BB4"/>
    <w:rsid w:val="00CD4461"/>
    <w:rsid w:val="00D00CFE"/>
    <w:rsid w:val="00D06C4B"/>
    <w:rsid w:val="00D11806"/>
    <w:rsid w:val="00D20381"/>
    <w:rsid w:val="00D263CB"/>
    <w:rsid w:val="00D3058D"/>
    <w:rsid w:val="00D43783"/>
    <w:rsid w:val="00D45FC2"/>
    <w:rsid w:val="00D46373"/>
    <w:rsid w:val="00D52A03"/>
    <w:rsid w:val="00D52C91"/>
    <w:rsid w:val="00D54107"/>
    <w:rsid w:val="00D618D7"/>
    <w:rsid w:val="00D7100C"/>
    <w:rsid w:val="00D7765B"/>
    <w:rsid w:val="00D77DEE"/>
    <w:rsid w:val="00D81CD9"/>
    <w:rsid w:val="00D86C9D"/>
    <w:rsid w:val="00D90B68"/>
    <w:rsid w:val="00D92912"/>
    <w:rsid w:val="00DA7A81"/>
    <w:rsid w:val="00DB44D7"/>
    <w:rsid w:val="00DC366A"/>
    <w:rsid w:val="00DD1E2E"/>
    <w:rsid w:val="00DD7529"/>
    <w:rsid w:val="00DE281C"/>
    <w:rsid w:val="00DE4DAE"/>
    <w:rsid w:val="00E03103"/>
    <w:rsid w:val="00E1129F"/>
    <w:rsid w:val="00E118B5"/>
    <w:rsid w:val="00E12F36"/>
    <w:rsid w:val="00E24B83"/>
    <w:rsid w:val="00E2654F"/>
    <w:rsid w:val="00E30804"/>
    <w:rsid w:val="00E30A8D"/>
    <w:rsid w:val="00E4672C"/>
    <w:rsid w:val="00E46E97"/>
    <w:rsid w:val="00E55288"/>
    <w:rsid w:val="00E63303"/>
    <w:rsid w:val="00E75C7A"/>
    <w:rsid w:val="00E76028"/>
    <w:rsid w:val="00E81124"/>
    <w:rsid w:val="00E83C21"/>
    <w:rsid w:val="00E84785"/>
    <w:rsid w:val="00E86182"/>
    <w:rsid w:val="00E90F9C"/>
    <w:rsid w:val="00E92753"/>
    <w:rsid w:val="00E92B92"/>
    <w:rsid w:val="00EA1A11"/>
    <w:rsid w:val="00EA5DBE"/>
    <w:rsid w:val="00ED6CE7"/>
    <w:rsid w:val="00EE2E8A"/>
    <w:rsid w:val="00EE3141"/>
    <w:rsid w:val="00EF4BD2"/>
    <w:rsid w:val="00EF6A0C"/>
    <w:rsid w:val="00F04B83"/>
    <w:rsid w:val="00F07E08"/>
    <w:rsid w:val="00F1451E"/>
    <w:rsid w:val="00F20733"/>
    <w:rsid w:val="00F256D7"/>
    <w:rsid w:val="00F36DE4"/>
    <w:rsid w:val="00F42F7A"/>
    <w:rsid w:val="00F4402A"/>
    <w:rsid w:val="00F477E0"/>
    <w:rsid w:val="00F51745"/>
    <w:rsid w:val="00F57C7D"/>
    <w:rsid w:val="00F635B2"/>
    <w:rsid w:val="00F63791"/>
    <w:rsid w:val="00F7058A"/>
    <w:rsid w:val="00F80502"/>
    <w:rsid w:val="00F96BEA"/>
    <w:rsid w:val="00FC38F8"/>
    <w:rsid w:val="00FC5E08"/>
    <w:rsid w:val="00FD1835"/>
    <w:rsid w:val="00FD614D"/>
    <w:rsid w:val="00FD615E"/>
    <w:rsid w:val="00FE68FF"/>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92D4241-1389-484E-8E39-41698BA6A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C97833"/>
    <w:pPr>
      <w:numPr>
        <w:numId w:val="1"/>
      </w:numPr>
    </w:pPr>
    <w:rPr>
      <w:rFonts w:eastAsia="Times New Roman"/>
      <w:lang w:eastAsia="en-GB"/>
    </w:rPr>
  </w:style>
  <w:style w:type="paragraph" w:styleId="EndnoteText">
    <w:name w:val="endnote text"/>
    <w:basedOn w:val="Normal"/>
    <w:link w:val="EndnoteTextChar"/>
    <w:uiPriority w:val="99"/>
    <w:semiHidden/>
    <w:unhideWhenUsed/>
    <w:rsid w:val="00C97833"/>
    <w:pPr>
      <w:spacing w:before="0" w:after="0"/>
    </w:pPr>
    <w:rPr>
      <w:sz w:val="20"/>
      <w:szCs w:val="20"/>
    </w:rPr>
  </w:style>
  <w:style w:type="character" w:customStyle="1" w:styleId="EndnoteTextChar">
    <w:name w:val="Endnote Text Char"/>
    <w:basedOn w:val="DefaultParagraphFont"/>
    <w:link w:val="EndnoteText"/>
    <w:uiPriority w:val="99"/>
    <w:semiHidden/>
    <w:rsid w:val="00C97833"/>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C97833"/>
    <w:rPr>
      <w:vertAlign w:val="superscript"/>
    </w:rPr>
  </w:style>
  <w:style w:type="character" w:styleId="Hyperlink">
    <w:name w:val="Hyperlink"/>
    <w:basedOn w:val="DefaultParagraphFont"/>
    <w:uiPriority w:val="99"/>
    <w:unhideWhenUsed/>
    <w:rsid w:val="004A1446"/>
    <w:rPr>
      <w:color w:val="0000FF" w:themeColor="hyperlink"/>
      <w:u w:val="single"/>
    </w:rPr>
  </w:style>
  <w:style w:type="character" w:styleId="CommentReference">
    <w:name w:val="annotation reference"/>
    <w:basedOn w:val="DefaultParagraphFont"/>
    <w:uiPriority w:val="99"/>
    <w:semiHidden/>
    <w:unhideWhenUsed/>
    <w:rsid w:val="004A1446"/>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BalloonText">
    <w:name w:val="Balloon Text"/>
    <w:basedOn w:val="Normal"/>
    <w:link w:val="BalloonTextChar"/>
    <w:uiPriority w:val="99"/>
    <w:semiHidden/>
    <w:unhideWhenUsed/>
    <w:rsid w:val="001D4BE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4BEF"/>
    <w:rPr>
      <w:rFonts w:ascii="Segoe UI" w:hAnsi="Segoe UI" w:cs="Segoe UI"/>
      <w:sz w:val="18"/>
      <w:szCs w:val="18"/>
      <w:lang w:val="ro-RO"/>
    </w:rPr>
  </w:style>
  <w:style w:type="paragraph" w:styleId="ListBullet2">
    <w:name w:val="List Bullet 2"/>
    <w:basedOn w:val="Normal"/>
    <w:uiPriority w:val="99"/>
    <w:semiHidden/>
    <w:unhideWhenUsed/>
    <w:rsid w:val="00BE4635"/>
    <w:pPr>
      <w:numPr>
        <w:numId w:val="2"/>
      </w:numPr>
      <w:contextualSpacing/>
    </w:pPr>
  </w:style>
  <w:style w:type="paragraph" w:styleId="ListBullet3">
    <w:name w:val="List Bullet 3"/>
    <w:basedOn w:val="Normal"/>
    <w:uiPriority w:val="99"/>
    <w:semiHidden/>
    <w:unhideWhenUsed/>
    <w:rsid w:val="00BE4635"/>
    <w:pPr>
      <w:numPr>
        <w:numId w:val="3"/>
      </w:numPr>
      <w:contextualSpacing/>
    </w:pPr>
  </w:style>
  <w:style w:type="paragraph" w:styleId="ListBullet4">
    <w:name w:val="List Bullet 4"/>
    <w:basedOn w:val="Normal"/>
    <w:uiPriority w:val="99"/>
    <w:semiHidden/>
    <w:unhideWhenUsed/>
    <w:rsid w:val="00BE4635"/>
    <w:pPr>
      <w:numPr>
        <w:numId w:val="4"/>
      </w:numPr>
      <w:contextualSpacing/>
    </w:pPr>
  </w:style>
  <w:style w:type="paragraph" w:styleId="CommentSubject">
    <w:name w:val="annotation subject"/>
    <w:basedOn w:val="CommentText"/>
    <w:next w:val="CommentText"/>
    <w:link w:val="CommentSubjectChar"/>
    <w:uiPriority w:val="99"/>
    <w:semiHidden/>
    <w:unhideWhenUsed/>
    <w:rsid w:val="00E63303"/>
    <w:rPr>
      <w:b/>
      <w:bCs/>
    </w:rPr>
  </w:style>
  <w:style w:type="character" w:customStyle="1" w:styleId="CommentSubjectChar">
    <w:name w:val="Comment Subject Char"/>
    <w:basedOn w:val="CommentTextChar"/>
    <w:link w:val="CommentSubject"/>
    <w:uiPriority w:val="99"/>
    <w:semiHidden/>
    <w:rsid w:val="00E63303"/>
    <w:rPr>
      <w:rFonts w:ascii="Times New Roman" w:hAnsi="Times New Roman" w:cs="Times New Roman"/>
      <w:b/>
      <w:bCs/>
      <w:sz w:val="20"/>
      <w:szCs w:val="20"/>
      <w:lang w:val="ro-RO"/>
    </w:rPr>
  </w:style>
  <w:style w:type="character" w:customStyle="1" w:styleId="UnresolvedMention1">
    <w:name w:val="Unresolved Mention1"/>
    <w:basedOn w:val="DefaultParagraphFont"/>
    <w:uiPriority w:val="99"/>
    <w:semiHidden/>
    <w:unhideWhenUsed/>
    <w:rsid w:val="001105BF"/>
    <w:rPr>
      <w:color w:val="605E5C"/>
      <w:shd w:val="clear" w:color="auto" w:fill="E1DFDD"/>
    </w:rPr>
  </w:style>
  <w:style w:type="paragraph" w:styleId="Revision">
    <w:name w:val="Revision"/>
    <w:hidden/>
    <w:uiPriority w:val="99"/>
    <w:semiHidden/>
    <w:rsid w:val="0035773F"/>
    <w:pPr>
      <w:spacing w:after="0" w:line="240" w:lineRule="auto"/>
    </w:pPr>
    <w:rPr>
      <w:rFonts w:ascii="Times New Roman" w:hAnsi="Times New Roman" w:cs="Times New Roman"/>
      <w:sz w:val="24"/>
    </w:rPr>
  </w:style>
  <w:style w:type="character" w:customStyle="1" w:styleId="markedcontent">
    <w:name w:val="markedcontent"/>
    <w:basedOn w:val="DefaultParagraphFont"/>
    <w:rsid w:val="007C109D"/>
  </w:style>
  <w:style w:type="character" w:customStyle="1" w:styleId="UnresolvedMention">
    <w:name w:val="Unresolved Mention"/>
    <w:basedOn w:val="DefaultParagraphFont"/>
    <w:uiPriority w:val="99"/>
    <w:semiHidden/>
    <w:unhideWhenUsed/>
    <w:rsid w:val="00F42F7A"/>
    <w:rPr>
      <w:color w:val="605E5C"/>
      <w:shd w:val="clear" w:color="auto" w:fill="E1DFDD"/>
    </w:rPr>
  </w:style>
  <w:style w:type="character" w:customStyle="1" w:styleId="HeaderChar">
    <w:name w:val="Header Char"/>
    <w:basedOn w:val="DefaultParagraphFont"/>
    <w:link w:val="Header"/>
    <w:uiPriority w:val="99"/>
    <w:rsid w:val="000E4AD7"/>
    <w:rPr>
      <w:rFonts w:ascii="Times New Roman" w:hAnsi="Times New Roman" w:cs="Times New Roman"/>
      <w:sz w:val="24"/>
      <w:lang w:val="ro-RO"/>
    </w:rPr>
  </w:style>
  <w:style w:type="character" w:customStyle="1" w:styleId="FooterChar">
    <w:name w:val="Footer Char"/>
    <w:basedOn w:val="DefaultParagraphFont"/>
    <w:link w:val="Footer"/>
    <w:uiPriority w:val="99"/>
    <w:rsid w:val="000E4AD7"/>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E4AD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E4AD7"/>
    <w:pPr>
      <w:spacing w:before="0"/>
      <w:jc w:val="right"/>
    </w:pPr>
    <w:rPr>
      <w:sz w:val="28"/>
    </w:rPr>
  </w:style>
  <w:style w:type="paragraph" w:customStyle="1" w:styleId="FooterSensitivity">
    <w:name w:val="Footer Sensitivity"/>
    <w:basedOn w:val="Normal"/>
    <w:rsid w:val="000E4AD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E4AD7"/>
    <w:pPr>
      <w:tabs>
        <w:tab w:val="center" w:pos="4535"/>
        <w:tab w:val="right" w:pos="9071"/>
      </w:tabs>
      <w:spacing w:before="0"/>
    </w:pPr>
  </w:style>
  <w:style w:type="paragraph" w:customStyle="1" w:styleId="HeaderLandscape">
    <w:name w:val="HeaderLandscape"/>
    <w:basedOn w:val="Normal"/>
    <w:rsid w:val="000E4AD7"/>
    <w:pPr>
      <w:tabs>
        <w:tab w:val="center" w:pos="7285"/>
        <w:tab w:val="right" w:pos="14003"/>
      </w:tabs>
      <w:spacing w:before="0"/>
    </w:pPr>
  </w:style>
  <w:style w:type="paragraph" w:styleId="Footer">
    <w:name w:val="footer"/>
    <w:basedOn w:val="Normal"/>
    <w:link w:val="FooterChar"/>
    <w:uiPriority w:val="99"/>
    <w:unhideWhenUsed/>
    <w:rsid w:val="000E4AD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E4AD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961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8779C-57D0-4678-9F88-58ABBAA2F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11</TotalTime>
  <Pages>9</Pages>
  <Words>2850</Words>
  <Characters>16247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cp:lastPrinted>2023-06-12T07:58:00Z</cp:lastPrinted>
  <dcterms:created xsi:type="dcterms:W3CDTF">2026-04-09T12:14:00Z</dcterms:created>
  <dcterms:modified xsi:type="dcterms:W3CDTF">2026-04-15T08:00:00Z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2023-06-01T14:21:22Z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6755c492-748d-4b2f-b431-6bf71fb82070</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