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0C4" w:rsidRDefault="00A32CDE" w:rsidP="00A32CD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AA9DED6-16C8-4E40-91F1-01365471D358" style="width:455.25pt;height:357.75pt">
            <v:imagedata r:id="rId11" o:title=""/>
          </v:shape>
        </w:pict>
      </w:r>
    </w:p>
    <w:p w:rsidR="008810C4" w:rsidRDefault="008810C4" w:rsidP="008810C4">
      <w:pPr>
        <w:rPr>
          <w:noProof/>
        </w:rPr>
        <w:sectPr w:rsidR="008810C4" w:rsidSect="00A32CDE">
          <w:footerReference w:type="even" r:id="rId12"/>
          <w:footerReference w:type="default" r:id="rId13"/>
          <w:pgSz w:w="11907" w:h="16839"/>
          <w:pgMar w:top="1134" w:right="1417" w:bottom="1134" w:left="1417" w:header="709" w:footer="709" w:gutter="0"/>
          <w:pgNumType w:start="0"/>
          <w:cols w:space="720"/>
          <w:docGrid w:linePitch="360"/>
        </w:sectPr>
      </w:pPr>
    </w:p>
    <w:p w:rsidR="008810C4" w:rsidRDefault="008810C4" w:rsidP="00D90F0F">
      <w:pPr>
        <w:pStyle w:val="Exposdesmotifstitre"/>
        <w:rPr>
          <w:noProof/>
        </w:rPr>
      </w:pPr>
      <w:bookmarkStart w:id="0" w:name="_GoBack"/>
      <w:bookmarkEnd w:id="0"/>
      <w:r w:rsidRPr="006F770D">
        <w:rPr>
          <w:noProof/>
        </w:rPr>
        <w:lastRenderedPageBreak/>
        <w:t>EXPLANATORY MEMORANDUM</w:t>
      </w:r>
    </w:p>
    <w:p w:rsidR="008810C4" w:rsidRPr="006F770D" w:rsidRDefault="008810C4" w:rsidP="00D90F0F">
      <w:pPr>
        <w:pStyle w:val="ManualHeading1"/>
        <w:rPr>
          <w:noProof/>
        </w:rPr>
      </w:pPr>
      <w:r w:rsidRPr="00C567EE">
        <w:rPr>
          <w:noProof/>
        </w:rPr>
        <w:t>1.</w:t>
      </w:r>
      <w:r w:rsidRPr="00C567EE">
        <w:rPr>
          <w:noProof/>
        </w:rPr>
        <w:tab/>
      </w:r>
      <w:r w:rsidRPr="006F770D">
        <w:rPr>
          <w:noProof/>
        </w:rPr>
        <w:t>CONTEXT OF THE PROPOSAL</w:t>
      </w:r>
    </w:p>
    <w:p w:rsidR="008810C4" w:rsidRPr="00044058" w:rsidRDefault="008810C4" w:rsidP="00D90F0F">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Reasons for and objectives of the proposal</w:t>
      </w:r>
    </w:p>
    <w:p w:rsidR="008A6BE9" w:rsidRDefault="008A6BE9" w:rsidP="008A6BE9">
      <w:pPr>
        <w:rPr>
          <w:noProof/>
        </w:rPr>
      </w:pPr>
      <w:r>
        <w:rPr>
          <w:noProof/>
        </w:rPr>
        <w:t xml:space="preserve">On 2 September 2011, the Council adopted Decision 2011/522/CFSP </w:t>
      </w:r>
      <w:r w:rsidRPr="00AF66E2">
        <w:rPr>
          <w:noProof/>
        </w:rPr>
        <w:t>amending Decision 2011/273/CFSP concerning restrictive measures against Syria</w:t>
      </w:r>
      <w:r>
        <w:rPr>
          <w:noProof/>
        </w:rPr>
        <w:t>. Th</w:t>
      </w:r>
      <w:r w:rsidR="00FF4BF9">
        <w:rPr>
          <w:noProof/>
        </w:rPr>
        <w:t>at</w:t>
      </w:r>
      <w:r>
        <w:rPr>
          <w:noProof/>
        </w:rPr>
        <w:t xml:space="preserve"> decision </w:t>
      </w:r>
      <w:r w:rsidRPr="00AF66E2">
        <w:rPr>
          <w:noProof/>
        </w:rPr>
        <w:t>prohibited</w:t>
      </w:r>
      <w:r>
        <w:rPr>
          <w:noProof/>
        </w:rPr>
        <w:t xml:space="preserve"> </w:t>
      </w:r>
      <w:r w:rsidRPr="00AF66E2">
        <w:rPr>
          <w:noProof/>
        </w:rPr>
        <w:t>the purchase, import or transport from Syria of crude oil and petroleum products</w:t>
      </w:r>
      <w:r w:rsidRPr="008A6BE9">
        <w:rPr>
          <w:noProof/>
        </w:rPr>
        <w:t xml:space="preserve"> </w:t>
      </w:r>
      <w:r>
        <w:rPr>
          <w:noProof/>
        </w:rPr>
        <w:t xml:space="preserve">following the brutal campaign waged by Bashar </w:t>
      </w:r>
      <w:r w:rsidR="00FF4BF9">
        <w:rPr>
          <w:noProof/>
        </w:rPr>
        <w:t>a</w:t>
      </w:r>
      <w:r>
        <w:rPr>
          <w:noProof/>
        </w:rPr>
        <w:t>l</w:t>
      </w:r>
      <w:r w:rsidR="00FF4BF9">
        <w:rPr>
          <w:noProof/>
        </w:rPr>
        <w:t>-</w:t>
      </w:r>
      <w:r>
        <w:rPr>
          <w:noProof/>
        </w:rPr>
        <w:t>Assad and his regime against their own people.</w:t>
      </w:r>
      <w:r w:rsidRPr="008A6BE9">
        <w:rPr>
          <w:noProof/>
        </w:rPr>
        <w:t xml:space="preserve"> </w:t>
      </w:r>
      <w:r>
        <w:rPr>
          <w:noProof/>
        </w:rPr>
        <w:t xml:space="preserve">The prohibition had been extended to oil and petroleum products </w:t>
      </w:r>
      <w:r w:rsidR="00615790">
        <w:rPr>
          <w:noProof/>
        </w:rPr>
        <w:t xml:space="preserve">as </w:t>
      </w:r>
      <w:r w:rsidR="00FF4BF9">
        <w:rPr>
          <w:noProof/>
        </w:rPr>
        <w:t>it was</w:t>
      </w:r>
      <w:r>
        <w:rPr>
          <w:noProof/>
        </w:rPr>
        <w:t xml:space="preserve"> the trade of those products </w:t>
      </w:r>
      <w:r w:rsidR="00FF4BF9">
        <w:rPr>
          <w:noProof/>
        </w:rPr>
        <w:t xml:space="preserve">that </w:t>
      </w:r>
      <w:r>
        <w:rPr>
          <w:noProof/>
        </w:rPr>
        <w:t>benefitted the Syrian regime</w:t>
      </w:r>
      <w:r w:rsidR="00FF4BF9" w:rsidRPr="00FF4BF9">
        <w:rPr>
          <w:noProof/>
        </w:rPr>
        <w:t xml:space="preserve"> </w:t>
      </w:r>
      <w:r w:rsidR="00FF4BF9">
        <w:rPr>
          <w:noProof/>
        </w:rPr>
        <w:t>most</w:t>
      </w:r>
      <w:r>
        <w:rPr>
          <w:noProof/>
        </w:rPr>
        <w:t>, thereby supporting its repressive policies.</w:t>
      </w:r>
    </w:p>
    <w:p w:rsidR="00AF66E2" w:rsidRDefault="006F4D1E" w:rsidP="00C13907">
      <w:pPr>
        <w:rPr>
          <w:noProof/>
        </w:rPr>
      </w:pPr>
      <w:r>
        <w:rPr>
          <w:noProof/>
        </w:rPr>
        <w:t xml:space="preserve">To comply with the terms of the Cooperation Agreement </w:t>
      </w:r>
      <w:r w:rsidRPr="002269E4">
        <w:rPr>
          <w:noProof/>
          <w:lang w:val="en-IE"/>
        </w:rPr>
        <w:t>between the European Economic Community and the Syrian Arab Republic (</w:t>
      </w:r>
      <w:r>
        <w:rPr>
          <w:noProof/>
          <w:lang w:val="en-IE"/>
        </w:rPr>
        <w:t>the “</w:t>
      </w:r>
      <w:r w:rsidRPr="002269E4">
        <w:rPr>
          <w:noProof/>
          <w:lang w:val="en-IE"/>
        </w:rPr>
        <w:t>Cooperation Agreement”</w:t>
      </w:r>
      <w:r>
        <w:rPr>
          <w:noProof/>
          <w:lang w:val="en-IE"/>
        </w:rPr>
        <w:t>)</w:t>
      </w:r>
      <w:r w:rsidR="00C13907">
        <w:rPr>
          <w:noProof/>
        </w:rPr>
        <w:t xml:space="preserve">, the Council adopted </w:t>
      </w:r>
      <w:r w:rsidR="00FF4BF9">
        <w:rPr>
          <w:noProof/>
        </w:rPr>
        <w:t xml:space="preserve">also </w:t>
      </w:r>
      <w:r>
        <w:rPr>
          <w:noProof/>
        </w:rPr>
        <w:t xml:space="preserve">on </w:t>
      </w:r>
      <w:r w:rsidR="00FF4BF9">
        <w:rPr>
          <w:noProof/>
        </w:rPr>
        <w:t>2 September 2011</w:t>
      </w:r>
      <w:r w:rsidR="00DC52CA">
        <w:rPr>
          <w:noProof/>
        </w:rPr>
        <w:t xml:space="preserve"> </w:t>
      </w:r>
      <w:r w:rsidR="00C13907">
        <w:rPr>
          <w:noProof/>
        </w:rPr>
        <w:t xml:space="preserve">Decision 2011/523/EU </w:t>
      </w:r>
      <w:r>
        <w:rPr>
          <w:noProof/>
        </w:rPr>
        <w:t xml:space="preserve">authorising the </w:t>
      </w:r>
      <w:r w:rsidR="00C13907">
        <w:rPr>
          <w:noProof/>
        </w:rPr>
        <w:t>partial suspen</w:t>
      </w:r>
      <w:r>
        <w:rPr>
          <w:noProof/>
        </w:rPr>
        <w:t>sion</w:t>
      </w:r>
      <w:r w:rsidR="00C13907">
        <w:rPr>
          <w:noProof/>
        </w:rPr>
        <w:t xml:space="preserve"> </w:t>
      </w:r>
      <w:r>
        <w:rPr>
          <w:noProof/>
        </w:rPr>
        <w:t xml:space="preserve">of </w:t>
      </w:r>
      <w:r w:rsidR="00A96032">
        <w:rPr>
          <w:noProof/>
        </w:rPr>
        <w:t xml:space="preserve">Articles 12, 14 and 15 thereof, which are </w:t>
      </w:r>
      <w:r>
        <w:rPr>
          <w:noProof/>
        </w:rPr>
        <w:t>the rules prohibiting quantitative restrictions</w:t>
      </w:r>
      <w:r w:rsidR="002269E4" w:rsidRPr="002269E4">
        <w:rPr>
          <w:noProof/>
        </w:rPr>
        <w:t xml:space="preserve"> for goods originating in Syria </w:t>
      </w:r>
      <w:r>
        <w:rPr>
          <w:noProof/>
        </w:rPr>
        <w:t xml:space="preserve">that were covered by the restrictive measures of the initial </w:t>
      </w:r>
      <w:r w:rsidR="00FF4BF9">
        <w:rPr>
          <w:noProof/>
        </w:rPr>
        <w:t>Common Foreign and Security Policy</w:t>
      </w:r>
      <w:r w:rsidR="00FF4BF9" w:rsidRPr="00CC5E95">
        <w:rPr>
          <w:noProof/>
        </w:rPr>
        <w:t xml:space="preserve"> </w:t>
      </w:r>
      <w:r w:rsidR="00FF4BF9">
        <w:rPr>
          <w:noProof/>
        </w:rPr>
        <w:t>(</w:t>
      </w:r>
      <w:r>
        <w:rPr>
          <w:noProof/>
        </w:rPr>
        <w:t>CFSP</w:t>
      </w:r>
      <w:r w:rsidR="00FF4BF9">
        <w:rPr>
          <w:noProof/>
        </w:rPr>
        <w:t>)</w:t>
      </w:r>
      <w:r>
        <w:rPr>
          <w:noProof/>
        </w:rPr>
        <w:t xml:space="preserve"> decision. The suspension was notified to Syria on </w:t>
      </w:r>
      <w:r w:rsidR="00A96032">
        <w:rPr>
          <w:noProof/>
        </w:rPr>
        <w:t>5 September 2011</w:t>
      </w:r>
      <w:r>
        <w:rPr>
          <w:noProof/>
        </w:rPr>
        <w:t>.</w:t>
      </w:r>
      <w:r w:rsidRPr="002269E4">
        <w:rPr>
          <w:noProof/>
        </w:rPr>
        <w:t xml:space="preserve"> </w:t>
      </w:r>
    </w:p>
    <w:p w:rsidR="002F078B" w:rsidRDefault="002F078B" w:rsidP="002F078B">
      <w:pPr>
        <w:rPr>
          <w:noProof/>
        </w:rPr>
      </w:pPr>
      <w:r>
        <w:rPr>
          <w:noProof/>
        </w:rPr>
        <w:t xml:space="preserve">On 27 February 2012, the Council adopted Council Decision 2012/122/CFSP </w:t>
      </w:r>
      <w:r w:rsidRPr="00AF66E2">
        <w:rPr>
          <w:noProof/>
        </w:rPr>
        <w:t>amending Decision 2011/782/CFSP concerning restrictive measures against Syria</w:t>
      </w:r>
      <w:r>
        <w:rPr>
          <w:noProof/>
        </w:rPr>
        <w:t>. This Decision prohibited the</w:t>
      </w:r>
      <w:r w:rsidRPr="00AF66E2">
        <w:rPr>
          <w:noProof/>
        </w:rPr>
        <w:t xml:space="preserve"> direct or indirect sale, purchase, transportation or brokering of </w:t>
      </w:r>
      <w:bookmarkStart w:id="1" w:name="_Hlk224208300"/>
      <w:r w:rsidRPr="00AF66E2">
        <w:rPr>
          <w:noProof/>
        </w:rPr>
        <w:t>gold</w:t>
      </w:r>
      <w:r w:rsidR="00FF4BF9">
        <w:rPr>
          <w:noProof/>
        </w:rPr>
        <w:t>,</w:t>
      </w:r>
      <w:r w:rsidRPr="00AF66E2">
        <w:rPr>
          <w:noProof/>
        </w:rPr>
        <w:t xml:space="preserve">  precious metals</w:t>
      </w:r>
      <w:bookmarkEnd w:id="1"/>
      <w:r w:rsidRPr="00AF66E2">
        <w:rPr>
          <w:noProof/>
        </w:rPr>
        <w:t xml:space="preserve">, </w:t>
      </w:r>
      <w:r w:rsidR="00FF4BF9">
        <w:rPr>
          <w:noProof/>
        </w:rPr>
        <w:t xml:space="preserve">and </w:t>
      </w:r>
      <w:r w:rsidRPr="00AF66E2">
        <w:rPr>
          <w:noProof/>
        </w:rPr>
        <w:t xml:space="preserve">diamonds to, from or for the Government of Syria, its public bodies, corporations and agencies, </w:t>
      </w:r>
      <w:r w:rsidR="00FF4BF9">
        <w:rPr>
          <w:noProof/>
        </w:rPr>
        <w:t xml:space="preserve">or </w:t>
      </w:r>
      <w:r w:rsidRPr="00AF66E2">
        <w:rPr>
          <w:noProof/>
        </w:rPr>
        <w:t>the Central Bank of Syria, as well as to, from or for persons and entities acting on their behalf or at their direction, or entities owned or controlled by them</w:t>
      </w:r>
      <w:r>
        <w:rPr>
          <w:noProof/>
        </w:rPr>
        <w:t>.</w:t>
      </w:r>
    </w:p>
    <w:p w:rsidR="00AF66E2" w:rsidRDefault="00F43D02" w:rsidP="00C13907">
      <w:pPr>
        <w:rPr>
          <w:noProof/>
        </w:rPr>
      </w:pPr>
      <w:r>
        <w:rPr>
          <w:noProof/>
        </w:rPr>
        <w:t xml:space="preserve">On </w:t>
      </w:r>
      <w:r w:rsidR="00DF19CD">
        <w:rPr>
          <w:noProof/>
        </w:rPr>
        <w:t>27 February 2012</w:t>
      </w:r>
      <w:r w:rsidR="007F3279">
        <w:rPr>
          <w:noProof/>
        </w:rPr>
        <w:t xml:space="preserve">the Council </w:t>
      </w:r>
      <w:r w:rsidR="00BE6EE0">
        <w:rPr>
          <w:noProof/>
        </w:rPr>
        <w:t xml:space="preserve">adopted </w:t>
      </w:r>
      <w:r w:rsidR="002F078B">
        <w:rPr>
          <w:noProof/>
        </w:rPr>
        <w:t xml:space="preserve">also </w:t>
      </w:r>
      <w:r w:rsidR="00D328C3">
        <w:rPr>
          <w:noProof/>
        </w:rPr>
        <w:t>D</w:t>
      </w:r>
      <w:r w:rsidR="00D328C3" w:rsidRPr="00D328C3">
        <w:rPr>
          <w:noProof/>
        </w:rPr>
        <w:t>ecision 2012/123/CFSP</w:t>
      </w:r>
      <w:r w:rsidR="00D328C3">
        <w:rPr>
          <w:noProof/>
        </w:rPr>
        <w:t xml:space="preserve"> </w:t>
      </w:r>
      <w:r w:rsidR="001F1F49">
        <w:rPr>
          <w:noProof/>
        </w:rPr>
        <w:t>amend</w:t>
      </w:r>
      <w:r w:rsidR="00E07631">
        <w:rPr>
          <w:noProof/>
        </w:rPr>
        <w:t xml:space="preserve">ing </w:t>
      </w:r>
      <w:r w:rsidR="00E07631" w:rsidRPr="00E07631">
        <w:rPr>
          <w:noProof/>
        </w:rPr>
        <w:t>Decision 2011/523/EU</w:t>
      </w:r>
      <w:r w:rsidR="002269E4">
        <w:rPr>
          <w:noProof/>
        </w:rPr>
        <w:t xml:space="preserve"> to extend the coverage</w:t>
      </w:r>
      <w:r w:rsidR="004E1A41">
        <w:rPr>
          <w:noProof/>
        </w:rPr>
        <w:t xml:space="preserve"> of the partial suspension</w:t>
      </w:r>
      <w:r w:rsidR="00C13907">
        <w:rPr>
          <w:noProof/>
        </w:rPr>
        <w:t xml:space="preserve"> </w:t>
      </w:r>
      <w:r w:rsidR="00982DB7">
        <w:rPr>
          <w:noProof/>
        </w:rPr>
        <w:t xml:space="preserve">to </w:t>
      </w:r>
      <w:r w:rsidR="00982DB7" w:rsidRPr="00AF66E2">
        <w:rPr>
          <w:noProof/>
        </w:rPr>
        <w:t>gold and precious metals, as well as diamonds</w:t>
      </w:r>
      <w:r w:rsidR="002F078B" w:rsidRPr="002F078B">
        <w:rPr>
          <w:noProof/>
        </w:rPr>
        <w:t xml:space="preserve"> </w:t>
      </w:r>
      <w:r w:rsidR="002F078B">
        <w:rPr>
          <w:noProof/>
        </w:rPr>
        <w:t>insofar as they originat</w:t>
      </w:r>
      <w:r w:rsidR="00DF19CD">
        <w:rPr>
          <w:noProof/>
        </w:rPr>
        <w:t>e</w:t>
      </w:r>
      <w:r w:rsidR="002F078B">
        <w:rPr>
          <w:noProof/>
        </w:rPr>
        <w:t xml:space="preserve"> in Syria</w:t>
      </w:r>
      <w:r w:rsidR="00982DB7">
        <w:rPr>
          <w:noProof/>
        </w:rPr>
        <w:t>.</w:t>
      </w:r>
      <w:r w:rsidR="006F4D1E">
        <w:rPr>
          <w:noProof/>
        </w:rPr>
        <w:t xml:space="preserve"> The </w:t>
      </w:r>
      <w:r w:rsidR="00A96032">
        <w:rPr>
          <w:noProof/>
        </w:rPr>
        <w:t>Union</w:t>
      </w:r>
      <w:r w:rsidR="006F4D1E">
        <w:rPr>
          <w:noProof/>
        </w:rPr>
        <w:t xml:space="preserve"> notified Syria </w:t>
      </w:r>
      <w:r w:rsidR="00DF19CD">
        <w:rPr>
          <w:noProof/>
        </w:rPr>
        <w:t xml:space="preserve">that </w:t>
      </w:r>
      <w:r w:rsidR="002F078B">
        <w:rPr>
          <w:noProof/>
        </w:rPr>
        <w:t xml:space="preserve">of the coverage of the partial suspension of the Cooperation Agreement </w:t>
      </w:r>
      <w:r w:rsidR="00DF19CD">
        <w:rPr>
          <w:noProof/>
        </w:rPr>
        <w:t xml:space="preserve">had been extended </w:t>
      </w:r>
      <w:r w:rsidR="002F078B">
        <w:rPr>
          <w:noProof/>
        </w:rPr>
        <w:t>to those products</w:t>
      </w:r>
      <w:r w:rsidR="00A96032">
        <w:rPr>
          <w:noProof/>
        </w:rPr>
        <w:t xml:space="preserve"> on 29 February 2012</w:t>
      </w:r>
      <w:r w:rsidR="002F078B">
        <w:rPr>
          <w:noProof/>
        </w:rPr>
        <w:t>.</w:t>
      </w:r>
    </w:p>
    <w:p w:rsidR="00C13907" w:rsidRDefault="00C13907" w:rsidP="00C13907">
      <w:pPr>
        <w:rPr>
          <w:noProof/>
        </w:rPr>
      </w:pPr>
      <w:r>
        <w:rPr>
          <w:noProof/>
        </w:rPr>
        <w:t xml:space="preserve">The </w:t>
      </w:r>
      <w:r w:rsidR="006D2851">
        <w:rPr>
          <w:noProof/>
        </w:rPr>
        <w:t>reason</w:t>
      </w:r>
      <w:r w:rsidR="00DF19CD">
        <w:rPr>
          <w:noProof/>
        </w:rPr>
        <w:t xml:space="preserve"> for</w:t>
      </w:r>
      <w:r>
        <w:rPr>
          <w:noProof/>
        </w:rPr>
        <w:t xml:space="preserve"> partially suspend</w:t>
      </w:r>
      <w:r w:rsidR="00DF19CD">
        <w:rPr>
          <w:noProof/>
        </w:rPr>
        <w:t>ing</w:t>
      </w:r>
      <w:r>
        <w:rPr>
          <w:noProof/>
        </w:rPr>
        <w:t xml:space="preserve"> the Cooperation Agreement </w:t>
      </w:r>
      <w:r w:rsidR="00AF66E2">
        <w:rPr>
          <w:noProof/>
        </w:rPr>
        <w:t>and impos</w:t>
      </w:r>
      <w:r w:rsidR="00DF19CD">
        <w:rPr>
          <w:noProof/>
        </w:rPr>
        <w:t>ing</w:t>
      </w:r>
      <w:r w:rsidR="00AF66E2">
        <w:rPr>
          <w:noProof/>
        </w:rPr>
        <w:t xml:space="preserve"> the restrictive measures </w:t>
      </w:r>
      <w:r>
        <w:rPr>
          <w:noProof/>
        </w:rPr>
        <w:t xml:space="preserve">was the serious and systematic human rights violations by the Assad regime since 2011, as well as the failure to respect the principles of the United Nations Charter which form the basis of the </w:t>
      </w:r>
      <w:r w:rsidR="002269E4">
        <w:rPr>
          <w:noProof/>
        </w:rPr>
        <w:t xml:space="preserve">Cooperation </w:t>
      </w:r>
      <w:r>
        <w:rPr>
          <w:noProof/>
        </w:rPr>
        <w:t xml:space="preserve">Agreement. </w:t>
      </w:r>
    </w:p>
    <w:p w:rsidR="00C13907" w:rsidRDefault="00C13907" w:rsidP="00C13907">
      <w:pPr>
        <w:rPr>
          <w:noProof/>
        </w:rPr>
      </w:pPr>
      <w:r>
        <w:rPr>
          <w:noProof/>
        </w:rPr>
        <w:t xml:space="preserve">The fall of the Assad regime in December 2024 opened </w:t>
      </w:r>
      <w:r w:rsidR="00F321BC">
        <w:rPr>
          <w:noProof/>
        </w:rPr>
        <w:t>a window of opportunity</w:t>
      </w:r>
      <w:r>
        <w:rPr>
          <w:noProof/>
        </w:rPr>
        <w:t xml:space="preserve"> for a new Syria and for renewed bilateral relations. </w:t>
      </w:r>
    </w:p>
    <w:p w:rsidR="00C13907" w:rsidRDefault="00C13907" w:rsidP="00C13907">
      <w:pPr>
        <w:rPr>
          <w:noProof/>
        </w:rPr>
      </w:pPr>
      <w:r>
        <w:rPr>
          <w:noProof/>
        </w:rPr>
        <w:t xml:space="preserve">In its </w:t>
      </w:r>
      <w:r w:rsidR="00DF19CD">
        <w:rPr>
          <w:noProof/>
        </w:rPr>
        <w:t>c</w:t>
      </w:r>
      <w:r>
        <w:rPr>
          <w:noProof/>
        </w:rPr>
        <w:t>onclusions of 23 June 2025, the Council underlined the importance of a peaceful and inclusive transition in Syria, free from harmful foreign interference, and protectin</w:t>
      </w:r>
      <w:r w:rsidR="00DF19CD">
        <w:rPr>
          <w:noProof/>
        </w:rPr>
        <w:t>g</w:t>
      </w:r>
      <w:r>
        <w:rPr>
          <w:noProof/>
        </w:rPr>
        <w:t xml:space="preserve"> the rights of all Syrian </w:t>
      </w:r>
      <w:r w:rsidR="00DF19CD">
        <w:rPr>
          <w:noProof/>
        </w:rPr>
        <w:t>people</w:t>
      </w:r>
      <w:r>
        <w:rPr>
          <w:noProof/>
        </w:rPr>
        <w:t xml:space="preserve">, without discrimination. </w:t>
      </w:r>
    </w:p>
    <w:p w:rsidR="00C13907" w:rsidRDefault="00C13907" w:rsidP="00DF19CD">
      <w:pPr>
        <w:rPr>
          <w:noProof/>
        </w:rPr>
      </w:pPr>
      <w:r>
        <w:rPr>
          <w:noProof/>
        </w:rPr>
        <w:t xml:space="preserve">The Council also underlined its support for </w:t>
      </w:r>
      <w:r w:rsidR="00DF19CD">
        <w:rPr>
          <w:noProof/>
        </w:rPr>
        <w:t xml:space="preserve">the </w:t>
      </w:r>
      <w:r>
        <w:rPr>
          <w:noProof/>
        </w:rPr>
        <w:t xml:space="preserve">ongoing efforts </w:t>
      </w:r>
      <w:r w:rsidR="00DF19CD">
        <w:rPr>
          <w:noProof/>
        </w:rPr>
        <w:t xml:space="preserve">by </w:t>
      </w:r>
      <w:r>
        <w:rPr>
          <w:noProof/>
        </w:rPr>
        <w:t>international financial institutions to assess Syria’s needs a</w:t>
      </w:r>
      <w:r w:rsidR="004E1A41">
        <w:rPr>
          <w:noProof/>
        </w:rPr>
        <w:t>nd</w:t>
      </w:r>
      <w:r w:rsidR="00CD4E38">
        <w:rPr>
          <w:noProof/>
        </w:rPr>
        <w:t xml:space="preserve"> </w:t>
      </w:r>
      <w:r>
        <w:rPr>
          <w:noProof/>
        </w:rPr>
        <w:t>invited the European Investment Bank to resume its activity in Syria</w:t>
      </w:r>
      <w:r w:rsidR="00DF19CD">
        <w:rPr>
          <w:noProof/>
        </w:rPr>
        <w:t xml:space="preserve">. It called </w:t>
      </w:r>
      <w:r>
        <w:rPr>
          <w:noProof/>
        </w:rPr>
        <w:t>on the international community to facilitate Syria’s economic recovery and to work on reintegrati</w:t>
      </w:r>
      <w:r w:rsidR="00DF19CD">
        <w:rPr>
          <w:noProof/>
        </w:rPr>
        <w:t>ng it</w:t>
      </w:r>
      <w:r>
        <w:rPr>
          <w:noProof/>
        </w:rPr>
        <w:t xml:space="preserve"> into the international financial system.</w:t>
      </w:r>
    </w:p>
    <w:p w:rsidR="00C13907" w:rsidRPr="00982A78" w:rsidRDefault="00C13907" w:rsidP="00C13907">
      <w:pPr>
        <w:rPr>
          <w:noProof/>
        </w:rPr>
      </w:pPr>
      <w:r>
        <w:rPr>
          <w:noProof/>
        </w:rPr>
        <w:t xml:space="preserve">In that context, </w:t>
      </w:r>
      <w:bookmarkStart w:id="2" w:name="_Hlk224208238"/>
      <w:r>
        <w:rPr>
          <w:noProof/>
        </w:rPr>
        <w:t xml:space="preserve">the EU </w:t>
      </w:r>
      <w:r w:rsidR="00195D38">
        <w:rPr>
          <w:noProof/>
        </w:rPr>
        <w:t xml:space="preserve">has </w:t>
      </w:r>
      <w:r>
        <w:rPr>
          <w:noProof/>
        </w:rPr>
        <w:t>lifted all economic sanctions on Syria</w:t>
      </w:r>
      <w:r w:rsidR="005755BC">
        <w:rPr>
          <w:noProof/>
        </w:rPr>
        <w:t>, except for those based on security grounds</w:t>
      </w:r>
      <w:bookmarkEnd w:id="2"/>
      <w:r w:rsidR="005755BC">
        <w:rPr>
          <w:noProof/>
        </w:rPr>
        <w:t>. The EU has also</w:t>
      </w:r>
      <w:r>
        <w:rPr>
          <w:noProof/>
        </w:rPr>
        <w:t xml:space="preserve"> mobilised more than </w:t>
      </w:r>
      <w:r w:rsidR="00DF19CD">
        <w:rPr>
          <w:noProof/>
        </w:rPr>
        <w:t xml:space="preserve">EUR </w:t>
      </w:r>
      <w:r>
        <w:rPr>
          <w:noProof/>
        </w:rPr>
        <w:t xml:space="preserve">424 million </w:t>
      </w:r>
      <w:r w:rsidR="005755BC">
        <w:rPr>
          <w:noProof/>
        </w:rPr>
        <w:t xml:space="preserve">in support </w:t>
      </w:r>
      <w:r>
        <w:rPr>
          <w:noProof/>
        </w:rPr>
        <w:t xml:space="preserve">for Syria, including a </w:t>
      </w:r>
      <w:r w:rsidR="00DF19CD">
        <w:rPr>
          <w:noProof/>
        </w:rPr>
        <w:t xml:space="preserve">EUR </w:t>
      </w:r>
      <w:r>
        <w:rPr>
          <w:noProof/>
        </w:rPr>
        <w:t>175 million package to support Syria's socio-economic recovery and institution-building, as well as to promote transitional justice, accountability and human rights.</w:t>
      </w:r>
    </w:p>
    <w:p w:rsidR="00860D53" w:rsidRDefault="00860D53" w:rsidP="00C13907">
      <w:pPr>
        <w:rPr>
          <w:noProof/>
        </w:rPr>
      </w:pPr>
      <w:r w:rsidRPr="00860D53">
        <w:rPr>
          <w:noProof/>
        </w:rPr>
        <w:t xml:space="preserve">In a clear demonstration of continued support, the EU </w:t>
      </w:r>
      <w:r>
        <w:rPr>
          <w:noProof/>
        </w:rPr>
        <w:t xml:space="preserve">organised the </w:t>
      </w:r>
      <w:r w:rsidRPr="00860D53">
        <w:rPr>
          <w:noProof/>
        </w:rPr>
        <w:t>Brussels IX Conference on “Standing with Syria: meeting the needs for a successful transition”,</w:t>
      </w:r>
      <w:r>
        <w:rPr>
          <w:noProof/>
        </w:rPr>
        <w:t xml:space="preserve"> </w:t>
      </w:r>
      <w:r w:rsidRPr="00860D53">
        <w:rPr>
          <w:noProof/>
        </w:rPr>
        <w:t>committ</w:t>
      </w:r>
      <w:r>
        <w:rPr>
          <w:noProof/>
        </w:rPr>
        <w:t>ing</w:t>
      </w:r>
      <w:r w:rsidRPr="00860D53">
        <w:rPr>
          <w:noProof/>
        </w:rPr>
        <w:t xml:space="preserve"> nearly </w:t>
      </w:r>
      <w:r w:rsidR="00DF19CD">
        <w:rPr>
          <w:noProof/>
        </w:rPr>
        <w:t>EUR</w:t>
      </w:r>
      <w:r w:rsidRPr="00860D53">
        <w:rPr>
          <w:noProof/>
        </w:rPr>
        <w:t>2.5 billion for 2025 and 2026</w:t>
      </w:r>
      <w:r w:rsidR="00DF19CD">
        <w:rPr>
          <w:noProof/>
        </w:rPr>
        <w:t>. T</w:t>
      </w:r>
      <w:r w:rsidRPr="00860D53">
        <w:rPr>
          <w:noProof/>
        </w:rPr>
        <w:t xml:space="preserve">ogether with partners, </w:t>
      </w:r>
      <w:r w:rsidR="00DF19CD">
        <w:rPr>
          <w:noProof/>
        </w:rPr>
        <w:t xml:space="preserve">a total </w:t>
      </w:r>
      <w:r w:rsidRPr="00860D53">
        <w:rPr>
          <w:noProof/>
        </w:rPr>
        <w:t xml:space="preserve">of </w:t>
      </w:r>
      <w:r w:rsidR="00DF19CD">
        <w:rPr>
          <w:noProof/>
        </w:rPr>
        <w:t xml:space="preserve">EUR </w:t>
      </w:r>
      <w:r w:rsidRPr="00860D53">
        <w:rPr>
          <w:noProof/>
        </w:rPr>
        <w:t>5.8 billion</w:t>
      </w:r>
      <w:r>
        <w:rPr>
          <w:noProof/>
        </w:rPr>
        <w:t xml:space="preserve"> was raised</w:t>
      </w:r>
      <w:r w:rsidR="00DF19CD">
        <w:rPr>
          <w:noProof/>
        </w:rPr>
        <w:t xml:space="preserve"> overall</w:t>
      </w:r>
      <w:r w:rsidRPr="00860D53">
        <w:rPr>
          <w:noProof/>
        </w:rPr>
        <w:t xml:space="preserve"> to aid Syria's transition process and the country's socio-economic recovery</w:t>
      </w:r>
      <w:r w:rsidR="00E27B2A">
        <w:rPr>
          <w:noProof/>
        </w:rPr>
        <w:t xml:space="preserve">. The EU </w:t>
      </w:r>
      <w:r w:rsidRPr="00860D53">
        <w:rPr>
          <w:noProof/>
        </w:rPr>
        <w:t>also address</w:t>
      </w:r>
      <w:r w:rsidR="00E27B2A">
        <w:rPr>
          <w:noProof/>
        </w:rPr>
        <w:t>ed</w:t>
      </w:r>
      <w:r w:rsidRPr="00860D53">
        <w:rPr>
          <w:noProof/>
        </w:rPr>
        <w:t xml:space="preserve"> the urgent humanitarian needs, both within Syria and in the host communities across Jordan, Lebanon, Iraq, and Türkiye.</w:t>
      </w:r>
    </w:p>
    <w:p w:rsidR="00C13907" w:rsidRPr="00982A78" w:rsidRDefault="00C13907" w:rsidP="00C13907">
      <w:pPr>
        <w:rPr>
          <w:noProof/>
        </w:rPr>
      </w:pPr>
      <w:r>
        <w:rPr>
          <w:noProof/>
        </w:rPr>
        <w:t xml:space="preserve">The EU also successfully organised </w:t>
      </w:r>
      <w:r w:rsidR="00860D53">
        <w:rPr>
          <w:noProof/>
        </w:rPr>
        <w:t>in cooperation with Syrian civil society and</w:t>
      </w:r>
      <w:r>
        <w:rPr>
          <w:noProof/>
        </w:rPr>
        <w:t xml:space="preserve"> the </w:t>
      </w:r>
      <w:r w:rsidR="004E1A41">
        <w:rPr>
          <w:noProof/>
        </w:rPr>
        <w:t xml:space="preserve">Syrian </w:t>
      </w:r>
      <w:r w:rsidR="005755BC">
        <w:rPr>
          <w:noProof/>
        </w:rPr>
        <w:t xml:space="preserve">transitional </w:t>
      </w:r>
      <w:r>
        <w:rPr>
          <w:noProof/>
        </w:rPr>
        <w:t xml:space="preserve">authorities the Day of Dialogue in Damascus, gathering over 350 representatives from </w:t>
      </w:r>
      <w:r w:rsidR="004E1A41">
        <w:rPr>
          <w:noProof/>
        </w:rPr>
        <w:t>the country</w:t>
      </w:r>
      <w:r>
        <w:rPr>
          <w:noProof/>
        </w:rPr>
        <w:t xml:space="preserve">'s civil society. </w:t>
      </w:r>
    </w:p>
    <w:p w:rsidR="002F078B" w:rsidRDefault="00C13907" w:rsidP="00E27B2A">
      <w:pPr>
        <w:rPr>
          <w:noProof/>
        </w:rPr>
      </w:pPr>
      <w:r w:rsidRPr="00E25490">
        <w:rPr>
          <w:noProof/>
        </w:rPr>
        <w:t>In line with these decisions, and with the objective of restoring normal trade relations with Syria and support</w:t>
      </w:r>
      <w:r w:rsidR="004E1A41">
        <w:rPr>
          <w:noProof/>
        </w:rPr>
        <w:t>ing</w:t>
      </w:r>
      <w:r w:rsidRPr="00E25490">
        <w:rPr>
          <w:noProof/>
        </w:rPr>
        <w:t xml:space="preserve"> the country’s socio-economic recovery, it is important to </w:t>
      </w:r>
      <w:r w:rsidR="00195D38">
        <w:rPr>
          <w:noProof/>
        </w:rPr>
        <w:t xml:space="preserve">terminate </w:t>
      </w:r>
      <w:r w:rsidRPr="00E25490">
        <w:rPr>
          <w:noProof/>
        </w:rPr>
        <w:t>the</w:t>
      </w:r>
      <w:r w:rsidR="00A21099">
        <w:rPr>
          <w:noProof/>
        </w:rPr>
        <w:t xml:space="preserve"> partial </w:t>
      </w:r>
      <w:r w:rsidRPr="00E25490">
        <w:rPr>
          <w:noProof/>
        </w:rPr>
        <w:t>suspen</w:t>
      </w:r>
      <w:r w:rsidR="00FA14A5">
        <w:rPr>
          <w:noProof/>
        </w:rPr>
        <w:t>sion of</w:t>
      </w:r>
      <w:r w:rsidR="00A21099">
        <w:rPr>
          <w:noProof/>
        </w:rPr>
        <w:t xml:space="preserve"> </w:t>
      </w:r>
      <w:r w:rsidRPr="00E25490">
        <w:rPr>
          <w:noProof/>
        </w:rPr>
        <w:t>the EU-Syria Cooperation Agreement</w:t>
      </w:r>
      <w:r w:rsidR="00E27B2A">
        <w:rPr>
          <w:noProof/>
        </w:rPr>
        <w:t xml:space="preserve">, thereby </w:t>
      </w:r>
      <w:r w:rsidR="00E27B2A" w:rsidRPr="00E27B2A">
        <w:rPr>
          <w:noProof/>
        </w:rPr>
        <w:t>fully reinstat</w:t>
      </w:r>
      <w:r w:rsidR="00E27B2A">
        <w:rPr>
          <w:noProof/>
        </w:rPr>
        <w:t>ing</w:t>
      </w:r>
      <w:r w:rsidR="00E27B2A" w:rsidRPr="00E27B2A">
        <w:rPr>
          <w:noProof/>
        </w:rPr>
        <w:t xml:space="preserve"> the EU-Syria Cooperation Agreement</w:t>
      </w:r>
      <w:r w:rsidRPr="00E25490">
        <w:rPr>
          <w:noProof/>
        </w:rPr>
        <w:t>.</w:t>
      </w:r>
    </w:p>
    <w:p w:rsidR="00C13907" w:rsidRDefault="00E27B2A" w:rsidP="00C13907">
      <w:pPr>
        <w:rPr>
          <w:noProof/>
        </w:rPr>
      </w:pPr>
      <w:bookmarkStart w:id="3" w:name="_Hlk224208138"/>
      <w:r>
        <w:rPr>
          <w:noProof/>
        </w:rPr>
        <w:t>The</w:t>
      </w:r>
      <w:r w:rsidRPr="00672387">
        <w:rPr>
          <w:noProof/>
        </w:rPr>
        <w:t xml:space="preserve"> </w:t>
      </w:r>
      <w:r w:rsidR="002F078B" w:rsidRPr="00672387">
        <w:rPr>
          <w:noProof/>
        </w:rPr>
        <w:t xml:space="preserve">suspensions concerned the provisions of the Cooperation Agreement removing the quantitative restrictions on Syrian imports into the Union </w:t>
      </w:r>
      <w:r>
        <w:rPr>
          <w:noProof/>
        </w:rPr>
        <w:t>of</w:t>
      </w:r>
      <w:r w:rsidR="002F078B" w:rsidRPr="00672387">
        <w:rPr>
          <w:noProof/>
        </w:rPr>
        <w:t xml:space="preserve"> products which were subject to the restrictive measures. The tariff concessions were not suspended. Therefore,  repeal</w:t>
      </w:r>
      <w:r>
        <w:rPr>
          <w:noProof/>
        </w:rPr>
        <w:t>ing</w:t>
      </w:r>
      <w:r w:rsidR="002F078B" w:rsidRPr="00672387">
        <w:rPr>
          <w:noProof/>
        </w:rPr>
        <w:t xml:space="preserve"> the partial suspension would not have any impact on trade flows, as, </w:t>
      </w:r>
      <w:r>
        <w:rPr>
          <w:noProof/>
        </w:rPr>
        <w:t xml:space="preserve">after </w:t>
      </w:r>
      <w:r w:rsidR="002F078B" w:rsidRPr="00672387">
        <w:rPr>
          <w:noProof/>
        </w:rPr>
        <w:t>repeal</w:t>
      </w:r>
      <w:r>
        <w:rPr>
          <w:noProof/>
        </w:rPr>
        <w:t>ing</w:t>
      </w:r>
      <w:r w:rsidR="002F078B" w:rsidRPr="00672387">
        <w:rPr>
          <w:noProof/>
        </w:rPr>
        <w:t xml:space="preserve"> the restrictive measures, there are currently no other quantitative restrictions on imports into the Union from Syria of the products subject to the partial suspension.</w:t>
      </w:r>
      <w:bookmarkEnd w:id="3"/>
    </w:p>
    <w:p w:rsidR="002F078B" w:rsidRPr="00982A78" w:rsidRDefault="003F2440" w:rsidP="00C13907">
      <w:pPr>
        <w:rPr>
          <w:noProof/>
        </w:rPr>
      </w:pPr>
      <w:r>
        <w:rPr>
          <w:noProof/>
        </w:rPr>
        <w:t>B</w:t>
      </w:r>
      <w:r w:rsidR="002F078B">
        <w:rPr>
          <w:noProof/>
        </w:rPr>
        <w:t>y ending the partial suspension of the Cooperation Agreement</w:t>
      </w:r>
      <w:r>
        <w:rPr>
          <w:noProof/>
        </w:rPr>
        <w:t xml:space="preserve">, even if </w:t>
      </w:r>
      <w:r w:rsidR="00E27B2A">
        <w:rPr>
          <w:noProof/>
        </w:rPr>
        <w:t xml:space="preserve">this is a formality and </w:t>
      </w:r>
      <w:r>
        <w:rPr>
          <w:noProof/>
        </w:rPr>
        <w:t>has no specific effects on trade, the Union can send out a political signal of support for normalis</w:t>
      </w:r>
      <w:r w:rsidR="00E27B2A">
        <w:rPr>
          <w:noProof/>
        </w:rPr>
        <w:t>ing</w:t>
      </w:r>
      <w:r>
        <w:rPr>
          <w:noProof/>
        </w:rPr>
        <w:t xml:space="preserve"> the relations with Syria</w:t>
      </w:r>
      <w:r w:rsidR="00F321BC" w:rsidRPr="00F321BC">
        <w:rPr>
          <w:noProof/>
        </w:rPr>
        <w:t xml:space="preserve"> and </w:t>
      </w:r>
      <w:r w:rsidR="00E27B2A">
        <w:rPr>
          <w:noProof/>
        </w:rPr>
        <w:t xml:space="preserve">for </w:t>
      </w:r>
      <w:r w:rsidR="00F321BC" w:rsidRPr="00F321BC">
        <w:rPr>
          <w:noProof/>
        </w:rPr>
        <w:t>the country’s socio-economic recovery</w:t>
      </w:r>
      <w:r w:rsidR="00F321BC">
        <w:rPr>
          <w:noProof/>
        </w:rPr>
        <w:t>.</w:t>
      </w:r>
    </w:p>
    <w:p w:rsidR="008810C4" w:rsidRPr="002D5EE2" w:rsidRDefault="00FE550D" w:rsidP="00D90F0F">
      <w:pPr>
        <w:pStyle w:val="ManualHeading2"/>
        <w:rPr>
          <w:rFonts w:eastAsia="Arial Unicode MS"/>
          <w:noProof/>
          <w:color w:val="000000"/>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sidR="008810C4" w:rsidRPr="00044058">
        <w:rPr>
          <w:rFonts w:eastAsia="Arial Unicode MS"/>
          <w:noProof/>
        </w:rPr>
        <w:t xml:space="preserve">Consistency with </w:t>
      </w:r>
      <w:r w:rsidR="00197CB1">
        <w:rPr>
          <w:rFonts w:eastAsia="Arial Unicode MS"/>
          <w:noProof/>
        </w:rPr>
        <w:t>Union policies</w:t>
      </w:r>
    </w:p>
    <w:p w:rsidR="00872D60" w:rsidRDefault="00872D60" w:rsidP="00872D60">
      <w:pPr>
        <w:rPr>
          <w:noProof/>
        </w:rPr>
      </w:pPr>
      <w:r w:rsidRPr="0030193F">
        <w:rPr>
          <w:noProof/>
        </w:rPr>
        <w:t xml:space="preserve">This proposal </w:t>
      </w:r>
      <w:r>
        <w:rPr>
          <w:noProof/>
        </w:rPr>
        <w:t xml:space="preserve">is consistent </w:t>
      </w:r>
      <w:r w:rsidR="00426B0E">
        <w:rPr>
          <w:noProof/>
        </w:rPr>
        <w:t xml:space="preserve">with </w:t>
      </w:r>
      <w:r>
        <w:rPr>
          <w:noProof/>
        </w:rPr>
        <w:t>and complement</w:t>
      </w:r>
      <w:r w:rsidR="00426B0E">
        <w:rPr>
          <w:noProof/>
        </w:rPr>
        <w:t>s</w:t>
      </w:r>
      <w:r>
        <w:rPr>
          <w:noProof/>
        </w:rPr>
        <w:t xml:space="preserve"> the EU’s positions on Syria since the fall of the Assad regime, and in particular the European Council conclusions on Syria of 19 December 2024 </w:t>
      </w:r>
      <w:r w:rsidR="005755BC">
        <w:rPr>
          <w:noProof/>
        </w:rPr>
        <w:t xml:space="preserve">as well as </w:t>
      </w:r>
      <w:r w:rsidR="00197CB1">
        <w:rPr>
          <w:noProof/>
        </w:rPr>
        <w:t xml:space="preserve">the </w:t>
      </w:r>
      <w:r>
        <w:rPr>
          <w:noProof/>
        </w:rPr>
        <w:t xml:space="preserve">Council </w:t>
      </w:r>
      <w:r w:rsidR="00426B0E">
        <w:rPr>
          <w:noProof/>
        </w:rPr>
        <w:t>c</w:t>
      </w:r>
      <w:r>
        <w:rPr>
          <w:noProof/>
        </w:rPr>
        <w:t xml:space="preserve">onclusions of 23 June 2025 and </w:t>
      </w:r>
      <w:r w:rsidR="00426B0E">
        <w:rPr>
          <w:noProof/>
        </w:rPr>
        <w:t xml:space="preserve">the Council’s </w:t>
      </w:r>
      <w:r>
        <w:rPr>
          <w:noProof/>
        </w:rPr>
        <w:t>decision to lift EU economic sanctions on Syria</w:t>
      </w:r>
      <w:r w:rsidR="005755BC">
        <w:rPr>
          <w:noProof/>
        </w:rPr>
        <w:t xml:space="preserve"> in May 2025</w:t>
      </w:r>
      <w:r>
        <w:rPr>
          <w:noProof/>
        </w:rPr>
        <w:t xml:space="preserve">. </w:t>
      </w:r>
    </w:p>
    <w:p w:rsidR="0050039C" w:rsidRPr="009A4453" w:rsidRDefault="6B116C3C" w:rsidP="00197CB1">
      <w:pPr>
        <w:pBdr>
          <w:top w:val="nil"/>
          <w:left w:val="nil"/>
          <w:bottom w:val="nil"/>
          <w:right w:val="nil"/>
          <w:between w:val="nil"/>
        </w:pBdr>
        <w:spacing w:before="0" w:after="240"/>
        <w:rPr>
          <w:rFonts w:eastAsia="Times New Roman"/>
          <w:noProof/>
          <w:szCs w:val="24"/>
          <w:lang w:val="en-IE"/>
        </w:rPr>
      </w:pPr>
      <w:r w:rsidRPr="0F67F480">
        <w:rPr>
          <w:rFonts w:eastAsia="Times New Roman"/>
          <w:noProof/>
          <w:szCs w:val="24"/>
        </w:rPr>
        <w:t>This proposal is consistent with Article 207(1) of the Treaty on the Functioning of the European Union (TFEU), which provides that the common commercial policy is to be conducted in the context of the principles and objectives of the Union’s external action</w:t>
      </w:r>
      <w:r w:rsidR="00426B0E">
        <w:rPr>
          <w:rFonts w:eastAsia="Times New Roman"/>
          <w:noProof/>
          <w:szCs w:val="24"/>
        </w:rPr>
        <w:t xml:space="preserve">. These </w:t>
      </w:r>
      <w:r w:rsidRPr="0F67F480">
        <w:rPr>
          <w:rFonts w:eastAsia="Times New Roman"/>
          <w:noProof/>
          <w:szCs w:val="24"/>
        </w:rPr>
        <w:t>includ</w:t>
      </w:r>
      <w:r w:rsidR="00426B0E">
        <w:rPr>
          <w:rFonts w:eastAsia="Times New Roman"/>
          <w:noProof/>
          <w:szCs w:val="24"/>
        </w:rPr>
        <w:t>e</w:t>
      </w:r>
      <w:r w:rsidRPr="0F67F480">
        <w:rPr>
          <w:rFonts w:eastAsia="Times New Roman"/>
          <w:noProof/>
          <w:szCs w:val="24"/>
        </w:rPr>
        <w:t xml:space="preserve"> the universality of human rights and fundamental freedoms, rule of law and the principles of international law.</w:t>
      </w:r>
      <w:r w:rsidR="00872D60">
        <w:rPr>
          <w:rFonts w:eastAsia="Times New Roman"/>
          <w:noProof/>
          <w:szCs w:val="24"/>
        </w:rPr>
        <w:t xml:space="preserve"> </w:t>
      </w:r>
    </w:p>
    <w:p w:rsidR="008810C4" w:rsidRPr="005A69D3" w:rsidRDefault="00FE550D" w:rsidP="00A20BC5">
      <w:pPr>
        <w:pStyle w:val="ManualHeading2"/>
        <w:rPr>
          <w:rFonts w:eastAsia="Arial Unicode MS"/>
          <w:bCs/>
          <w:noProof/>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sidR="008810C4" w:rsidRPr="005A69D3">
        <w:rPr>
          <w:rFonts w:eastAsia="Arial Unicode MS"/>
          <w:bCs/>
          <w:noProof/>
        </w:rPr>
        <w:t xml:space="preserve">Consistency with </w:t>
      </w:r>
      <w:r w:rsidR="008810C4" w:rsidRPr="00A20BC5">
        <w:rPr>
          <w:rFonts w:eastAsia="Arial Unicode MS"/>
          <w:noProof/>
        </w:rPr>
        <w:t>other</w:t>
      </w:r>
      <w:r w:rsidR="008810C4" w:rsidRPr="005A69D3">
        <w:rPr>
          <w:rFonts w:eastAsia="Arial Unicode MS"/>
          <w:bCs/>
          <w:noProof/>
        </w:rPr>
        <w:t xml:space="preserve"> Union policies</w:t>
      </w:r>
    </w:p>
    <w:p w:rsidR="67F8DC16" w:rsidRPr="005A69D3" w:rsidRDefault="00C02369" w:rsidP="00197CB1">
      <w:pPr>
        <w:pBdr>
          <w:top w:val="nil"/>
          <w:left w:val="nil"/>
          <w:bottom w:val="nil"/>
          <w:right w:val="nil"/>
          <w:between w:val="nil"/>
        </w:pBdr>
        <w:spacing w:before="0" w:after="240"/>
        <w:rPr>
          <w:rFonts w:eastAsia="Times New Roman"/>
          <w:noProof/>
          <w:szCs w:val="24"/>
          <w:lang w:val="en-IE"/>
        </w:rPr>
      </w:pPr>
      <w:bookmarkStart w:id="4" w:name="_Hlk222329580"/>
      <w:r>
        <w:rPr>
          <w:rFonts w:eastAsia="Times New Roman"/>
          <w:noProof/>
          <w:szCs w:val="24"/>
        </w:rPr>
        <w:t>The</w:t>
      </w:r>
      <w:r w:rsidR="67F8DC16" w:rsidRPr="0F67F480">
        <w:rPr>
          <w:rFonts w:eastAsia="Times New Roman"/>
          <w:noProof/>
          <w:szCs w:val="24"/>
        </w:rPr>
        <w:t xml:space="preserve"> proposal </w:t>
      </w:r>
      <w:r w:rsidRPr="0F67F480">
        <w:rPr>
          <w:rFonts w:eastAsia="Times New Roman"/>
          <w:noProof/>
          <w:szCs w:val="24"/>
        </w:rPr>
        <w:t>addresses</w:t>
      </w:r>
      <w:r>
        <w:rPr>
          <w:rFonts w:eastAsia="Times New Roman"/>
          <w:noProof/>
          <w:szCs w:val="24"/>
        </w:rPr>
        <w:t xml:space="preserve"> a foreign policy objective, namely </w:t>
      </w:r>
      <w:r w:rsidRPr="00E25490">
        <w:rPr>
          <w:noProof/>
        </w:rPr>
        <w:t>restoring normal trade relations with Syria and support</w:t>
      </w:r>
      <w:r w:rsidR="00426B0E">
        <w:rPr>
          <w:noProof/>
        </w:rPr>
        <w:t>ing</w:t>
      </w:r>
      <w:r w:rsidRPr="00E25490">
        <w:rPr>
          <w:noProof/>
        </w:rPr>
        <w:t xml:space="preserve"> the country’s socio-economic recovery</w:t>
      </w:r>
      <w:r>
        <w:rPr>
          <w:noProof/>
        </w:rPr>
        <w:t>, and does not interfere with other Union policies.</w:t>
      </w:r>
      <w:r w:rsidRPr="0F67F480">
        <w:rPr>
          <w:rFonts w:eastAsia="Times New Roman"/>
          <w:noProof/>
          <w:szCs w:val="24"/>
        </w:rPr>
        <w:t xml:space="preserve"> </w:t>
      </w:r>
      <w:bookmarkEnd w:id="4"/>
    </w:p>
    <w:p w:rsidR="008810C4" w:rsidRPr="006335E3" w:rsidRDefault="008810C4" w:rsidP="00D90F0F">
      <w:pPr>
        <w:pStyle w:val="ManualHeading1"/>
        <w:rPr>
          <w:rFonts w:eastAsia="Times New Roman"/>
          <w:noProof/>
          <w:szCs w:val="24"/>
        </w:rPr>
      </w:pPr>
      <w:r w:rsidRPr="006335E3">
        <w:rPr>
          <w:rFonts w:eastAsia="Times New Roman"/>
          <w:noProof/>
          <w:szCs w:val="24"/>
        </w:rPr>
        <w:t>2.</w:t>
      </w:r>
      <w:r w:rsidRPr="006335E3">
        <w:rPr>
          <w:rFonts w:eastAsia="Times New Roman"/>
          <w:noProof/>
          <w:szCs w:val="24"/>
        </w:rPr>
        <w:tab/>
        <w:t>LEGAL BASIS, SUBSIDIARITY AND PROPORTIONALITY</w:t>
      </w:r>
    </w:p>
    <w:p w:rsidR="008810C4" w:rsidRPr="002D5EE2" w:rsidRDefault="008810C4" w:rsidP="00D90F0F">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sidR="007C50A3">
        <w:rPr>
          <w:rFonts w:eastAsia="Arial Unicode MS"/>
          <w:noProof/>
          <w:u w:color="000000"/>
          <w:bdr w:val="nil"/>
          <w:lang w:val="en-US" w:eastAsia="en-GB"/>
        </w:rPr>
        <w:t xml:space="preserve">Procedural </w:t>
      </w:r>
      <w:r w:rsidRPr="002D5EE2">
        <w:rPr>
          <w:rFonts w:eastAsia="Arial Unicode MS"/>
          <w:noProof/>
          <w:u w:color="000000"/>
          <w:bdr w:val="nil"/>
          <w:lang w:val="en-US" w:eastAsia="en-GB"/>
        </w:rPr>
        <w:t>Legal basis</w:t>
      </w:r>
    </w:p>
    <w:p w:rsidR="0CCC737C" w:rsidRDefault="0CCC737C">
      <w:pPr>
        <w:rPr>
          <w:rFonts w:eastAsia="Times New Roman"/>
          <w:noProof/>
          <w:szCs w:val="24"/>
          <w:lang w:val="en-US"/>
        </w:rPr>
      </w:pPr>
      <w:r w:rsidRPr="0F67F480">
        <w:rPr>
          <w:rFonts w:eastAsia="Times New Roman"/>
          <w:noProof/>
          <w:szCs w:val="24"/>
          <w:lang w:val="en-US"/>
        </w:rPr>
        <w:t xml:space="preserve">Article 218(9) </w:t>
      </w:r>
      <w:r w:rsidR="00426B0E">
        <w:rPr>
          <w:rFonts w:eastAsia="Times New Roman"/>
          <w:noProof/>
          <w:szCs w:val="24"/>
          <w:lang w:val="en-US"/>
        </w:rPr>
        <w:t xml:space="preserve">TFEU </w:t>
      </w:r>
      <w:r w:rsidRPr="0F67F480">
        <w:rPr>
          <w:rFonts w:eastAsia="Times New Roman"/>
          <w:noProof/>
          <w:szCs w:val="24"/>
          <w:lang w:val="en-US"/>
        </w:rPr>
        <w:t xml:space="preserve">provides </w:t>
      </w:r>
      <w:r w:rsidR="00197CB1" w:rsidRPr="0050039C">
        <w:rPr>
          <w:rFonts w:eastAsia="Times New Roman"/>
          <w:noProof/>
          <w:szCs w:val="24"/>
          <w:lang w:val="en-US"/>
        </w:rPr>
        <w:t>in its first alternative</w:t>
      </w:r>
      <w:r w:rsidR="00197CB1">
        <w:rPr>
          <w:rFonts w:eastAsia="Times New Roman"/>
          <w:noProof/>
          <w:szCs w:val="24"/>
          <w:lang w:val="en-US"/>
        </w:rPr>
        <w:t xml:space="preserve"> a procedural legal base </w:t>
      </w:r>
      <w:r w:rsidRPr="0F67F480">
        <w:rPr>
          <w:rFonts w:eastAsia="Times New Roman"/>
          <w:noProof/>
          <w:szCs w:val="24"/>
          <w:lang w:val="en-US"/>
        </w:rPr>
        <w:t xml:space="preserve">for decisions suspending </w:t>
      </w:r>
      <w:r w:rsidR="00197CB1">
        <w:rPr>
          <w:rFonts w:eastAsia="Times New Roman"/>
          <w:noProof/>
          <w:szCs w:val="24"/>
          <w:lang w:val="en-US"/>
        </w:rPr>
        <w:t>an international</w:t>
      </w:r>
      <w:r w:rsidR="00197CB1" w:rsidRPr="0F67F480">
        <w:rPr>
          <w:rFonts w:eastAsia="Times New Roman"/>
          <w:noProof/>
          <w:szCs w:val="24"/>
          <w:lang w:val="en-US"/>
        </w:rPr>
        <w:t xml:space="preserve"> </w:t>
      </w:r>
      <w:r w:rsidRPr="0F67F480">
        <w:rPr>
          <w:rFonts w:eastAsia="Times New Roman"/>
          <w:noProof/>
          <w:szCs w:val="24"/>
          <w:lang w:val="en-US"/>
        </w:rPr>
        <w:t>agreement.</w:t>
      </w:r>
      <w:r w:rsidR="00197CB1">
        <w:rPr>
          <w:rFonts w:eastAsia="Times New Roman"/>
          <w:noProof/>
          <w:szCs w:val="24"/>
          <w:lang w:val="en-US"/>
        </w:rPr>
        <w:t xml:space="preserve"> This also includes decisions terminating a suspension which has </w:t>
      </w:r>
      <w:r w:rsidR="00112894">
        <w:rPr>
          <w:rFonts w:eastAsia="Times New Roman"/>
          <w:noProof/>
          <w:szCs w:val="24"/>
          <w:lang w:val="en-US"/>
        </w:rPr>
        <w:t xml:space="preserve">previously </w:t>
      </w:r>
      <w:r w:rsidR="00197CB1">
        <w:rPr>
          <w:rFonts w:eastAsia="Times New Roman"/>
          <w:noProof/>
          <w:szCs w:val="24"/>
          <w:lang w:val="en-US"/>
        </w:rPr>
        <w:t xml:space="preserve">been decided by the </w:t>
      </w:r>
      <w:r w:rsidR="00FA14A5">
        <w:rPr>
          <w:rFonts w:eastAsia="Times New Roman"/>
          <w:noProof/>
          <w:szCs w:val="24"/>
          <w:lang w:val="en-US"/>
        </w:rPr>
        <w:t>C</w:t>
      </w:r>
      <w:r w:rsidR="00197CB1">
        <w:rPr>
          <w:rFonts w:eastAsia="Times New Roman"/>
          <w:noProof/>
          <w:szCs w:val="24"/>
          <w:lang w:val="en-US"/>
        </w:rPr>
        <w:t>ouncil.</w:t>
      </w:r>
    </w:p>
    <w:p w:rsidR="0CCC737C" w:rsidRDefault="0CCC737C" w:rsidP="0F67F480">
      <w:pPr>
        <w:pBdr>
          <w:top w:val="nil"/>
          <w:left w:val="nil"/>
          <w:bottom w:val="nil"/>
          <w:right w:val="nil"/>
          <w:between w:val="nil"/>
        </w:pBdr>
        <w:spacing w:before="0" w:after="240"/>
        <w:rPr>
          <w:rFonts w:eastAsia="Times New Roman"/>
          <w:noProof/>
          <w:szCs w:val="24"/>
        </w:rPr>
      </w:pPr>
      <w:r w:rsidRPr="0F67F480">
        <w:rPr>
          <w:rFonts w:eastAsia="Times New Roman"/>
          <w:noProof/>
          <w:szCs w:val="24"/>
        </w:rPr>
        <w:t xml:space="preserve">In the present case the Commission proposes a Council decision </w:t>
      </w:r>
      <w:r w:rsidR="00BE6C2F">
        <w:rPr>
          <w:rFonts w:eastAsia="Times New Roman"/>
          <w:noProof/>
          <w:szCs w:val="24"/>
        </w:rPr>
        <w:t>terminating</w:t>
      </w:r>
      <w:r w:rsidR="00BE6C2F" w:rsidRPr="0F67F480">
        <w:rPr>
          <w:rFonts w:eastAsia="Times New Roman"/>
          <w:noProof/>
          <w:szCs w:val="24"/>
        </w:rPr>
        <w:t xml:space="preserve"> </w:t>
      </w:r>
      <w:r w:rsidRPr="0F67F480">
        <w:rPr>
          <w:rFonts w:eastAsia="Times New Roman"/>
          <w:noProof/>
          <w:szCs w:val="24"/>
        </w:rPr>
        <w:t xml:space="preserve">the suspension of certain trade-related provisions of the </w:t>
      </w:r>
      <w:r w:rsidR="00BE6C2F">
        <w:rPr>
          <w:rFonts w:eastAsia="Times New Roman"/>
          <w:noProof/>
          <w:szCs w:val="24"/>
        </w:rPr>
        <w:t xml:space="preserve">Cooperation </w:t>
      </w:r>
      <w:r w:rsidRPr="0F67F480">
        <w:rPr>
          <w:rFonts w:eastAsia="Times New Roman"/>
          <w:noProof/>
          <w:szCs w:val="24"/>
        </w:rPr>
        <w:t>Agreement and hence Article 218(9) is the appropriate procedural legal basis.</w:t>
      </w:r>
    </w:p>
    <w:p w:rsidR="00FF5A62" w:rsidRPr="00270443" w:rsidRDefault="00FE550D" w:rsidP="00FF5A62">
      <w:pPr>
        <w:pStyle w:val="ManualHeading2"/>
        <w:rPr>
          <w:noProof/>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sidR="00FF5A62" w:rsidRPr="00A20BC5">
        <w:rPr>
          <w:rFonts w:eastAsia="Arial Unicode MS"/>
          <w:noProof/>
        </w:rPr>
        <w:t>Substantive</w:t>
      </w:r>
      <w:r w:rsidR="00FF5A62" w:rsidRPr="00270443">
        <w:rPr>
          <w:noProof/>
        </w:rPr>
        <w:t xml:space="preserve"> legal basis</w:t>
      </w:r>
    </w:p>
    <w:p w:rsidR="00A63B0F" w:rsidRPr="00270443" w:rsidRDefault="00A63B0F" w:rsidP="00A63B0F">
      <w:pPr>
        <w:rPr>
          <w:noProof/>
        </w:rPr>
      </w:pPr>
      <w:r w:rsidRPr="00270443">
        <w:rPr>
          <w:noProof/>
        </w:rPr>
        <w:t xml:space="preserve">The substantive legal basis for a decision under Article 218(9) TFEU depends primarily on the objective and content of the envisaged act in respect of which a position is </w:t>
      </w:r>
      <w:r w:rsidR="00112894">
        <w:rPr>
          <w:noProof/>
        </w:rPr>
        <w:t xml:space="preserve">being </w:t>
      </w:r>
      <w:r w:rsidRPr="00270443">
        <w:rPr>
          <w:noProof/>
        </w:rPr>
        <w:t xml:space="preserve">taken on the Union's behalf. </w:t>
      </w:r>
    </w:p>
    <w:p w:rsidR="00A63B0F" w:rsidRPr="00270443" w:rsidRDefault="00A63B0F" w:rsidP="00A63B0F">
      <w:pPr>
        <w:spacing w:before="0" w:after="240" w:line="276" w:lineRule="auto"/>
        <w:rPr>
          <w:rFonts w:eastAsia="Times New Roman"/>
          <w:noProof/>
          <w:szCs w:val="24"/>
        </w:rPr>
      </w:pPr>
      <w:r w:rsidRPr="2AF3FD7F">
        <w:rPr>
          <w:rFonts w:eastAsia="Times New Roman"/>
          <w:noProof/>
          <w:szCs w:val="24"/>
        </w:rPr>
        <w:t xml:space="preserve">The main objective and content of the envisaged act </w:t>
      </w:r>
      <w:r w:rsidR="00BE6C2F">
        <w:rPr>
          <w:rFonts w:eastAsia="Times New Roman"/>
          <w:noProof/>
          <w:szCs w:val="24"/>
        </w:rPr>
        <w:t>concerns reinstat</w:t>
      </w:r>
      <w:r w:rsidR="00112894">
        <w:rPr>
          <w:rFonts w:eastAsia="Times New Roman"/>
          <w:noProof/>
          <w:szCs w:val="24"/>
        </w:rPr>
        <w:t>ing</w:t>
      </w:r>
      <w:r w:rsidR="00BE6C2F">
        <w:rPr>
          <w:rFonts w:eastAsia="Times New Roman"/>
          <w:noProof/>
          <w:szCs w:val="24"/>
        </w:rPr>
        <w:t xml:space="preserve"> import concessions for trad</w:t>
      </w:r>
      <w:r w:rsidR="00112894">
        <w:rPr>
          <w:rFonts w:eastAsia="Times New Roman"/>
          <w:noProof/>
          <w:szCs w:val="24"/>
        </w:rPr>
        <w:t>ing</w:t>
      </w:r>
      <w:r w:rsidR="00BE6C2F">
        <w:rPr>
          <w:rFonts w:eastAsia="Times New Roman"/>
          <w:noProof/>
          <w:szCs w:val="24"/>
        </w:rPr>
        <w:t xml:space="preserve"> in goods</w:t>
      </w:r>
      <w:r w:rsidR="00112894">
        <w:rPr>
          <w:rFonts w:eastAsia="Times New Roman"/>
          <w:noProof/>
          <w:szCs w:val="24"/>
        </w:rPr>
        <w:t xml:space="preserve">laid down in </w:t>
      </w:r>
      <w:r w:rsidR="00BE6C2F">
        <w:rPr>
          <w:rFonts w:eastAsia="Times New Roman"/>
          <w:noProof/>
          <w:szCs w:val="24"/>
        </w:rPr>
        <w:t xml:space="preserve">an international agreement. Such </w:t>
      </w:r>
      <w:r w:rsidR="005755BC">
        <w:rPr>
          <w:rFonts w:eastAsia="Times New Roman"/>
          <w:noProof/>
          <w:szCs w:val="24"/>
        </w:rPr>
        <w:t xml:space="preserve">a </w:t>
      </w:r>
      <w:r w:rsidR="00BE6C2F">
        <w:rPr>
          <w:rFonts w:eastAsia="Times New Roman"/>
          <w:noProof/>
          <w:szCs w:val="24"/>
        </w:rPr>
        <w:t>measure is fully covered by the scope of</w:t>
      </w:r>
      <w:r w:rsidRPr="2AF3FD7F">
        <w:rPr>
          <w:rFonts w:eastAsia="Times New Roman"/>
          <w:noProof/>
          <w:szCs w:val="24"/>
        </w:rPr>
        <w:t xml:space="preserve"> the common commercial policy</w:t>
      </w:r>
      <w:r w:rsidR="00BE6C2F">
        <w:rPr>
          <w:rFonts w:eastAsia="Times New Roman"/>
          <w:noProof/>
          <w:szCs w:val="24"/>
        </w:rPr>
        <w:t xml:space="preserve"> as set out in Article 207(1) TFEU</w:t>
      </w:r>
      <w:r w:rsidRPr="2AF3FD7F">
        <w:rPr>
          <w:rFonts w:eastAsia="Times New Roman"/>
          <w:noProof/>
          <w:szCs w:val="24"/>
        </w:rPr>
        <w:t xml:space="preserve">. </w:t>
      </w:r>
    </w:p>
    <w:p w:rsidR="00A63B0F" w:rsidRPr="00270443" w:rsidRDefault="00A63B0F" w:rsidP="00A63B0F">
      <w:pPr>
        <w:spacing w:before="240" w:after="240" w:line="276" w:lineRule="auto"/>
        <w:rPr>
          <w:rFonts w:eastAsia="Times New Roman"/>
          <w:noProof/>
          <w:szCs w:val="24"/>
        </w:rPr>
      </w:pPr>
      <w:r w:rsidRPr="2AF3FD7F">
        <w:rPr>
          <w:rFonts w:eastAsia="Times New Roman"/>
          <w:noProof/>
          <w:szCs w:val="24"/>
        </w:rPr>
        <w:t xml:space="preserve">Therefore, the substantive legal basis of the proposed decision is the first subparagraph of Article 207(4) TFEU. </w:t>
      </w:r>
    </w:p>
    <w:p w:rsidR="00456B63" w:rsidRPr="00DC73A4" w:rsidRDefault="00FE550D" w:rsidP="00456B63">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sidR="00456B63" w:rsidRPr="00DC73A4">
        <w:rPr>
          <w:rFonts w:eastAsia="Arial Unicode MS"/>
          <w:noProof/>
          <w:u w:color="000000"/>
          <w:bdr w:val="nil"/>
          <w:lang w:val="en-US" w:eastAsia="en-GB"/>
        </w:rPr>
        <w:t>Conclusion</w:t>
      </w:r>
    </w:p>
    <w:p w:rsidR="00456B63" w:rsidRDefault="00456B63" w:rsidP="00456B63">
      <w:pPr>
        <w:rPr>
          <w:noProof/>
        </w:rPr>
      </w:pPr>
      <w:r w:rsidRPr="005A69D3">
        <w:rPr>
          <w:noProof/>
        </w:rPr>
        <w:t>The legal basis of the proposed Council decision should be the first subparagraph of Article 207</w:t>
      </w:r>
      <w:r w:rsidR="00BE6C2F" w:rsidRPr="005A69D3">
        <w:rPr>
          <w:noProof/>
        </w:rPr>
        <w:t>(4)</w:t>
      </w:r>
      <w:r w:rsidRPr="005A69D3">
        <w:rPr>
          <w:noProof/>
        </w:rPr>
        <w:t xml:space="preserve"> TFEU in conjunction with Article 218(9) TFEU</w:t>
      </w:r>
      <w:r w:rsidRPr="0050039C">
        <w:rPr>
          <w:noProof/>
        </w:rPr>
        <w:t>.</w:t>
      </w:r>
      <w:r w:rsidR="00B075EB">
        <w:rPr>
          <w:noProof/>
        </w:rPr>
        <w:t xml:space="preserve"> </w:t>
      </w:r>
    </w:p>
    <w:p w:rsidR="008810C4" w:rsidRDefault="008810C4" w:rsidP="00D90F0F">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rsidR="003F7828" w:rsidRPr="00C05176" w:rsidRDefault="003F7828" w:rsidP="00C05176">
      <w:pPr>
        <w:rPr>
          <w:noProof/>
        </w:rPr>
      </w:pPr>
      <w:r w:rsidRPr="004771CA">
        <w:rPr>
          <w:noProof/>
        </w:rPr>
        <w:t>Th</w:t>
      </w:r>
      <w:r w:rsidR="00112894">
        <w:rPr>
          <w:noProof/>
        </w:rPr>
        <w:t>is</w:t>
      </w:r>
      <w:r w:rsidRPr="004771CA">
        <w:rPr>
          <w:noProof/>
        </w:rPr>
        <w:t xml:space="preserve"> proposal does not go beyond what is necessary to achieve the objective pursued, </w:t>
      </w:r>
      <w:r w:rsidRPr="001C3B7E">
        <w:rPr>
          <w:noProof/>
        </w:rPr>
        <w:t xml:space="preserve">namely, </w:t>
      </w:r>
      <w:r w:rsidR="00BE6C2F">
        <w:rPr>
          <w:noProof/>
        </w:rPr>
        <w:t>terminating</w:t>
      </w:r>
      <w:r w:rsidR="00BE6C2F" w:rsidRPr="001C3B7E">
        <w:rPr>
          <w:noProof/>
        </w:rPr>
        <w:t xml:space="preserve"> </w:t>
      </w:r>
      <w:r w:rsidRPr="001C3B7E">
        <w:rPr>
          <w:noProof/>
        </w:rPr>
        <w:t xml:space="preserve">the partial suspenion of certain trade-related provisions of the </w:t>
      </w:r>
      <w:r w:rsidR="006C3EB5" w:rsidRPr="001C3B7E">
        <w:rPr>
          <w:noProof/>
        </w:rPr>
        <w:t>EU-Syria</w:t>
      </w:r>
      <w:r w:rsidR="006C3EB5">
        <w:rPr>
          <w:noProof/>
        </w:rPr>
        <w:t xml:space="preserve"> Cooperation </w:t>
      </w:r>
      <w:r w:rsidRPr="004771CA">
        <w:rPr>
          <w:noProof/>
        </w:rPr>
        <w:t xml:space="preserve">Agreement. </w:t>
      </w:r>
    </w:p>
    <w:p w:rsidR="008810C4" w:rsidRDefault="008810C4" w:rsidP="00D90F0F">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rsidR="000F4FEB" w:rsidRPr="00044058" w:rsidRDefault="000F4FEB" w:rsidP="00D90F0F">
      <w:pPr>
        <w:pBdr>
          <w:top w:val="nil"/>
          <w:left w:val="nil"/>
          <w:bottom w:val="nil"/>
          <w:right w:val="nil"/>
          <w:between w:val="nil"/>
          <w:bar w:val="nil"/>
        </w:pBdr>
        <w:spacing w:before="0" w:after="240"/>
        <w:rPr>
          <w:rFonts w:eastAsia="Arial Unicode MS"/>
          <w:noProof/>
        </w:rPr>
      </w:pPr>
      <w:r w:rsidRPr="004771CA">
        <w:rPr>
          <w:noProof/>
          <w:lang w:val="en-US"/>
        </w:rPr>
        <w:t>The</w:t>
      </w:r>
      <w:r w:rsidRPr="004771CA">
        <w:rPr>
          <w:noProof/>
          <w:spacing w:val="-1"/>
          <w:lang w:val="en-US"/>
        </w:rPr>
        <w:t xml:space="preserve"> </w:t>
      </w:r>
      <w:r w:rsidRPr="004771CA">
        <w:rPr>
          <w:noProof/>
          <w:lang w:val="en-US"/>
        </w:rPr>
        <w:t>objectives of</w:t>
      </w:r>
      <w:r w:rsidRPr="004771CA">
        <w:rPr>
          <w:noProof/>
          <w:spacing w:val="-1"/>
          <w:lang w:val="en-US"/>
        </w:rPr>
        <w:t xml:space="preserve"> </w:t>
      </w:r>
      <w:r w:rsidRPr="004771CA">
        <w:rPr>
          <w:noProof/>
          <w:lang w:val="en-US"/>
        </w:rPr>
        <w:t>this proposal can only</w:t>
      </w:r>
      <w:r w:rsidRPr="004771CA">
        <w:rPr>
          <w:noProof/>
          <w:spacing w:val="-8"/>
          <w:lang w:val="en-US"/>
        </w:rPr>
        <w:t xml:space="preserve"> </w:t>
      </w:r>
      <w:r w:rsidRPr="004771CA">
        <w:rPr>
          <w:noProof/>
          <w:lang w:val="en-US"/>
        </w:rPr>
        <w:t>be</w:t>
      </w:r>
      <w:r w:rsidRPr="004771CA">
        <w:rPr>
          <w:noProof/>
          <w:spacing w:val="-1"/>
          <w:lang w:val="en-US"/>
        </w:rPr>
        <w:t xml:space="preserve"> </w:t>
      </w:r>
      <w:r w:rsidRPr="004771CA">
        <w:rPr>
          <w:noProof/>
          <w:lang w:val="en-US"/>
        </w:rPr>
        <w:t>achieved by</w:t>
      </w:r>
      <w:r w:rsidRPr="004771CA">
        <w:rPr>
          <w:noProof/>
          <w:spacing w:val="-5"/>
          <w:lang w:val="en-US"/>
        </w:rPr>
        <w:t xml:space="preserve"> </w:t>
      </w:r>
      <w:r w:rsidRPr="004771CA">
        <w:rPr>
          <w:noProof/>
          <w:lang w:val="en-US"/>
        </w:rPr>
        <w:t xml:space="preserve">an act that </w:t>
      </w:r>
      <w:r w:rsidR="00BE6C2F">
        <w:rPr>
          <w:noProof/>
          <w:lang w:val="en-US"/>
        </w:rPr>
        <w:t xml:space="preserve">terminates the partial </w:t>
      </w:r>
      <w:r w:rsidRPr="004771CA">
        <w:rPr>
          <w:noProof/>
          <w:lang w:val="en-US"/>
        </w:rPr>
        <w:t>suspens</w:t>
      </w:r>
      <w:r w:rsidR="00BE6C2F">
        <w:rPr>
          <w:noProof/>
          <w:lang w:val="en-US"/>
        </w:rPr>
        <w:t>ion</w:t>
      </w:r>
      <w:r w:rsidRPr="004771CA">
        <w:rPr>
          <w:noProof/>
          <w:lang w:val="en-US"/>
        </w:rPr>
        <w:t xml:space="preserve"> </w:t>
      </w:r>
      <w:r w:rsidR="00BE6C2F">
        <w:rPr>
          <w:noProof/>
          <w:spacing w:val="-1"/>
          <w:lang w:val="en-US"/>
        </w:rPr>
        <w:t xml:space="preserve">of </w:t>
      </w:r>
      <w:r w:rsidRPr="00A76C11">
        <w:rPr>
          <w:noProof/>
          <w:lang w:val="en-US"/>
        </w:rPr>
        <w:t xml:space="preserve">the international agreement concerned. Therefore, a Council decision </w:t>
      </w:r>
      <w:r w:rsidR="00BE6C2F">
        <w:rPr>
          <w:noProof/>
          <w:lang w:val="en-US"/>
        </w:rPr>
        <w:t>terminating</w:t>
      </w:r>
      <w:r w:rsidR="00BE6C2F" w:rsidRPr="00A76C11">
        <w:rPr>
          <w:noProof/>
          <w:lang w:val="en-US"/>
        </w:rPr>
        <w:t xml:space="preserve"> </w:t>
      </w:r>
      <w:r w:rsidR="004A7AB5">
        <w:rPr>
          <w:noProof/>
          <w:lang w:val="en-US"/>
        </w:rPr>
        <w:t xml:space="preserve">the </w:t>
      </w:r>
      <w:r w:rsidR="00E45CE2" w:rsidRPr="00A76C11">
        <w:rPr>
          <w:noProof/>
          <w:lang w:val="en-US"/>
        </w:rPr>
        <w:t xml:space="preserve">Decision </w:t>
      </w:r>
      <w:r w:rsidRPr="00A76C11">
        <w:rPr>
          <w:noProof/>
          <w:lang w:val="en-US"/>
        </w:rPr>
        <w:t>partial</w:t>
      </w:r>
      <w:r w:rsidR="004A7AB5">
        <w:rPr>
          <w:noProof/>
          <w:lang w:val="en-US"/>
        </w:rPr>
        <w:t>ly</w:t>
      </w:r>
      <w:r w:rsidRPr="00A76C11">
        <w:rPr>
          <w:noProof/>
          <w:lang w:val="en-US"/>
        </w:rPr>
        <w:t xml:space="preserve"> suspen</w:t>
      </w:r>
      <w:r w:rsidR="004A7AB5">
        <w:rPr>
          <w:noProof/>
          <w:lang w:val="en-US"/>
        </w:rPr>
        <w:t>ding</w:t>
      </w:r>
      <w:r w:rsidR="005D572D" w:rsidRPr="00A76C11">
        <w:rPr>
          <w:noProof/>
          <w:lang w:val="en-US"/>
        </w:rPr>
        <w:t xml:space="preserve"> </w:t>
      </w:r>
      <w:r w:rsidRPr="00A76C11">
        <w:rPr>
          <w:noProof/>
          <w:lang w:val="en-US"/>
        </w:rPr>
        <w:t xml:space="preserve">the </w:t>
      </w:r>
      <w:r w:rsidR="006C3EB5" w:rsidRPr="00A76C11">
        <w:rPr>
          <w:noProof/>
          <w:lang w:val="en-US"/>
        </w:rPr>
        <w:t xml:space="preserve">Cooperation </w:t>
      </w:r>
      <w:r w:rsidRPr="00A76C11">
        <w:rPr>
          <w:noProof/>
          <w:lang w:val="en-US"/>
        </w:rPr>
        <w:t xml:space="preserve">Agreement is </w:t>
      </w:r>
      <w:r w:rsidR="00BE6C2F">
        <w:rPr>
          <w:noProof/>
          <w:lang w:val="en-US"/>
        </w:rPr>
        <w:t>the only available instrument for achieving this objective</w:t>
      </w:r>
      <w:r w:rsidRPr="00A76C11">
        <w:rPr>
          <w:noProof/>
          <w:lang w:val="en-US"/>
        </w:rPr>
        <w:t>.</w:t>
      </w:r>
    </w:p>
    <w:p w:rsidR="008810C4" w:rsidRDefault="008810C4" w:rsidP="0096787C">
      <w:pPr>
        <w:pStyle w:val="ManualHeading1"/>
        <w:rPr>
          <w:noProof/>
        </w:rPr>
      </w:pPr>
      <w:r w:rsidRPr="00550536">
        <w:rPr>
          <w:noProof/>
        </w:rPr>
        <w:t>3.</w:t>
      </w:r>
      <w:r w:rsidRPr="00550536">
        <w:rPr>
          <w:noProof/>
        </w:rPr>
        <w:tab/>
        <w:t>BUDGETARY IMPLICATIONS</w:t>
      </w:r>
    </w:p>
    <w:p w:rsidR="00F17A8F" w:rsidRPr="00F17A8F" w:rsidRDefault="0096787C" w:rsidP="00F17A8F">
      <w:pPr>
        <w:pBdr>
          <w:top w:val="nil"/>
          <w:left w:val="nil"/>
          <w:bottom w:val="nil"/>
          <w:right w:val="nil"/>
          <w:between w:val="nil"/>
          <w:bar w:val="nil"/>
        </w:pBdr>
        <w:spacing w:before="0" w:after="240"/>
        <w:rPr>
          <w:noProof/>
          <w:lang w:val="en-US"/>
        </w:rPr>
      </w:pPr>
      <w:r w:rsidRPr="00E030EA">
        <w:rPr>
          <w:noProof/>
          <w:lang w:val="en-US"/>
        </w:rPr>
        <w:t>T</w:t>
      </w:r>
      <w:r w:rsidR="00F17A8F" w:rsidRPr="00E030EA">
        <w:rPr>
          <w:noProof/>
          <w:lang w:val="en-US"/>
        </w:rPr>
        <w:t xml:space="preserve">he </w:t>
      </w:r>
      <w:r w:rsidRPr="00E030EA">
        <w:rPr>
          <w:noProof/>
          <w:lang w:val="en-US"/>
        </w:rPr>
        <w:t xml:space="preserve">legal </w:t>
      </w:r>
      <w:r w:rsidR="00F17A8F" w:rsidRPr="00E030EA">
        <w:rPr>
          <w:noProof/>
          <w:lang w:val="en-US"/>
        </w:rPr>
        <w:t xml:space="preserve">act </w:t>
      </w:r>
      <w:r w:rsidRPr="00E030EA">
        <w:rPr>
          <w:noProof/>
          <w:lang w:val="en-US"/>
        </w:rPr>
        <w:t xml:space="preserve">envisages </w:t>
      </w:r>
      <w:r w:rsidR="00112894">
        <w:rPr>
          <w:noProof/>
          <w:lang w:val="en-US"/>
        </w:rPr>
        <w:t xml:space="preserve">ending </w:t>
      </w:r>
      <w:r w:rsidR="003F4D77" w:rsidRPr="00E030EA">
        <w:rPr>
          <w:noProof/>
          <w:lang w:val="en-US"/>
        </w:rPr>
        <w:t xml:space="preserve">the </w:t>
      </w:r>
      <w:r w:rsidR="003F2440" w:rsidRPr="00672387">
        <w:rPr>
          <w:noProof/>
          <w:lang w:val="en-US"/>
        </w:rPr>
        <w:t xml:space="preserve">suspension of the </w:t>
      </w:r>
      <w:r w:rsidR="003F4D77" w:rsidRPr="00E030EA">
        <w:rPr>
          <w:noProof/>
          <w:lang w:val="en-US"/>
        </w:rPr>
        <w:t xml:space="preserve">provisions of the Cooperation </w:t>
      </w:r>
      <w:r w:rsidR="003F2440" w:rsidRPr="00672387">
        <w:rPr>
          <w:noProof/>
          <w:lang w:val="en-US"/>
        </w:rPr>
        <w:t>A</w:t>
      </w:r>
      <w:r w:rsidR="003F4D77" w:rsidRPr="00E030EA">
        <w:rPr>
          <w:noProof/>
          <w:lang w:val="en-US"/>
        </w:rPr>
        <w:t xml:space="preserve">greement </w:t>
      </w:r>
      <w:r w:rsidR="003F2440" w:rsidRPr="00672387">
        <w:rPr>
          <w:noProof/>
          <w:lang w:val="en-US"/>
        </w:rPr>
        <w:t>prohibiting</w:t>
      </w:r>
      <w:r w:rsidR="003F4D77" w:rsidRPr="00E030EA">
        <w:rPr>
          <w:noProof/>
          <w:lang w:val="en-US"/>
        </w:rPr>
        <w:t xml:space="preserve"> quantitative restrictions on Syrian imports into the Union</w:t>
      </w:r>
      <w:r w:rsidR="00112894">
        <w:rPr>
          <w:noProof/>
          <w:lang w:val="en-US"/>
        </w:rPr>
        <w:t>. It concerns</w:t>
      </w:r>
      <w:r w:rsidR="003C04D1">
        <w:rPr>
          <w:noProof/>
          <w:lang w:val="en-US"/>
        </w:rPr>
        <w:t xml:space="preserve"> </w:t>
      </w:r>
      <w:r w:rsidR="003F4D77" w:rsidRPr="00E030EA">
        <w:rPr>
          <w:noProof/>
          <w:lang w:val="en-US"/>
        </w:rPr>
        <w:t>products, which were subject to the restrictive measures</w:t>
      </w:r>
      <w:r w:rsidR="003F2440" w:rsidRPr="00672387">
        <w:rPr>
          <w:noProof/>
          <w:lang w:val="en-US"/>
        </w:rPr>
        <w:t xml:space="preserve"> under the CFSP</w:t>
      </w:r>
      <w:r w:rsidR="003F4D77" w:rsidRPr="00E030EA">
        <w:rPr>
          <w:noProof/>
          <w:lang w:val="en-US"/>
        </w:rPr>
        <w:t xml:space="preserve">. Therefore it has no budgetary </w:t>
      </w:r>
      <w:bookmarkStart w:id="5" w:name="_Hlk223344783"/>
      <w:r w:rsidR="00DD2DBF" w:rsidRPr="00E030EA">
        <w:rPr>
          <w:noProof/>
          <w:lang w:val="en-US"/>
        </w:rPr>
        <w:t>implications</w:t>
      </w:r>
      <w:bookmarkEnd w:id="5"/>
      <w:r w:rsidR="003F4D77" w:rsidRPr="00E030EA">
        <w:rPr>
          <w:noProof/>
          <w:lang w:val="en-US"/>
        </w:rPr>
        <w:t>.</w:t>
      </w:r>
      <w:r w:rsidR="00F17A8F" w:rsidRPr="00F17A8F">
        <w:rPr>
          <w:noProof/>
          <w:lang w:val="en-US"/>
        </w:rPr>
        <w:t xml:space="preserve"> </w:t>
      </w:r>
    </w:p>
    <w:p w:rsidR="008810C4" w:rsidRPr="00550536" w:rsidRDefault="0096787C" w:rsidP="00D90F0F">
      <w:pPr>
        <w:pStyle w:val="ManualHeading1"/>
        <w:rPr>
          <w:noProof/>
        </w:rPr>
      </w:pPr>
      <w:r>
        <w:rPr>
          <w:noProof/>
        </w:rPr>
        <w:t>4</w:t>
      </w:r>
      <w:r w:rsidR="008810C4" w:rsidRPr="00550536">
        <w:rPr>
          <w:noProof/>
        </w:rPr>
        <w:t>.</w:t>
      </w:r>
      <w:r w:rsidR="008810C4" w:rsidRPr="00550536">
        <w:rPr>
          <w:noProof/>
        </w:rPr>
        <w:tab/>
        <w:t>OTHER ELEMENTS</w:t>
      </w:r>
    </w:p>
    <w:p w:rsidR="008810C4" w:rsidRDefault="008810C4" w:rsidP="00D90F0F">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r>
      <w:r w:rsidR="00B65637">
        <w:rPr>
          <w:rFonts w:eastAsia="Arial Unicode MS"/>
          <w:noProof/>
          <w:u w:color="000000"/>
          <w:bdr w:val="nil"/>
          <w:lang w:val="en-US" w:eastAsia="en-GB"/>
        </w:rPr>
        <w:t>Notification of the termination</w:t>
      </w:r>
    </w:p>
    <w:p w:rsidR="00FC7EDD" w:rsidRDefault="0096787C" w:rsidP="0050039C">
      <w:pPr>
        <w:pBdr>
          <w:top w:val="nil"/>
          <w:left w:val="nil"/>
          <w:bottom w:val="nil"/>
          <w:right w:val="nil"/>
          <w:between w:val="nil"/>
          <w:bar w:val="nil"/>
        </w:pBdr>
        <w:spacing w:before="0" w:after="240"/>
        <w:rPr>
          <w:noProof/>
          <w:lang w:val="en-US"/>
        </w:rPr>
      </w:pPr>
      <w:r w:rsidRPr="005A69D3">
        <w:rPr>
          <w:noProof/>
          <w:lang w:val="en-US"/>
        </w:rPr>
        <w:t>With regard to matters falling within the scope of application of the TFEU, the Commission represents the Union externally in accordance with Article 17(1) TEU. It is therefore the task of the</w:t>
      </w:r>
      <w:r w:rsidR="00CA6CD1" w:rsidRPr="005A69D3">
        <w:rPr>
          <w:noProof/>
          <w:lang w:val="en-US"/>
        </w:rPr>
        <w:t xml:space="preserve"> Commission</w:t>
      </w:r>
      <w:r w:rsidR="003F1967" w:rsidRPr="005A69D3">
        <w:rPr>
          <w:noProof/>
          <w:lang w:val="en-US"/>
        </w:rPr>
        <w:t>,</w:t>
      </w:r>
      <w:r w:rsidRPr="005A69D3">
        <w:rPr>
          <w:noProof/>
          <w:lang w:val="en-US"/>
        </w:rPr>
        <w:t xml:space="preserve"> </w:t>
      </w:r>
      <w:r w:rsidR="00112894">
        <w:rPr>
          <w:noProof/>
          <w:lang w:val="en-US"/>
        </w:rPr>
        <w:t xml:space="preserve">once the Council has adopted </w:t>
      </w:r>
      <w:r w:rsidR="003F1967" w:rsidRPr="005A69D3">
        <w:rPr>
          <w:noProof/>
          <w:lang w:val="en-US"/>
        </w:rPr>
        <w:t xml:space="preserve">this Decision by the Council, </w:t>
      </w:r>
      <w:r w:rsidRPr="005A69D3">
        <w:rPr>
          <w:noProof/>
          <w:lang w:val="en-US"/>
        </w:rPr>
        <w:t xml:space="preserve">to </w:t>
      </w:r>
      <w:r w:rsidR="003F1967" w:rsidRPr="005A69D3">
        <w:rPr>
          <w:noProof/>
          <w:lang w:val="en-US"/>
        </w:rPr>
        <w:t xml:space="preserve">notify the Republic of Syria </w:t>
      </w:r>
      <w:r w:rsidR="00112894">
        <w:rPr>
          <w:noProof/>
          <w:lang w:val="en-US"/>
        </w:rPr>
        <w:t xml:space="preserve">that </w:t>
      </w:r>
      <w:r w:rsidR="003F1967" w:rsidRPr="005A69D3">
        <w:rPr>
          <w:noProof/>
          <w:lang w:val="en-US"/>
        </w:rPr>
        <w:t>the partial suspension of the Cooperation Agreement that has been implemented in line with the Council Decision of 2 September 2011 (2011/523/EU) as amended by Council Decision 2012/123/CFSP of 27 February 2012</w:t>
      </w:r>
      <w:r w:rsidR="00112894">
        <w:rPr>
          <w:noProof/>
          <w:lang w:val="en-US"/>
        </w:rPr>
        <w:t xml:space="preserve"> has been terminated</w:t>
      </w:r>
      <w:r w:rsidR="003F1967" w:rsidRPr="005A69D3">
        <w:rPr>
          <w:noProof/>
          <w:lang w:val="en-US"/>
        </w:rPr>
        <w:t>.</w:t>
      </w:r>
    </w:p>
    <w:p w:rsidR="008810C4" w:rsidRPr="00672387" w:rsidRDefault="008810C4" w:rsidP="00672387">
      <w:pPr>
        <w:pStyle w:val="ManualHeading2"/>
        <w:rPr>
          <w:rFonts w:eastAsia="Arial Unicode MS"/>
          <w:noProof/>
          <w:u w:color="000000"/>
          <w:bdr w:val="nil"/>
          <w:lang w:val="en-US" w:eastAsia="en-GB"/>
        </w:rPr>
      </w:pPr>
      <w:r w:rsidRPr="00672387">
        <w:rPr>
          <w:rFonts w:eastAsia="Arial Unicode MS"/>
          <w:noProof/>
          <w:u w:color="000000"/>
          <w:bdr w:val="nil"/>
          <w:lang w:val="en-US" w:eastAsia="en-GB"/>
        </w:rPr>
        <w:t>•</w:t>
      </w:r>
      <w:r w:rsidR="004362AC">
        <w:rPr>
          <w:rFonts w:eastAsia="Arial Unicode MS"/>
          <w:noProof/>
          <w:u w:color="000000"/>
          <w:bdr w:val="nil"/>
          <w:lang w:val="en-US" w:eastAsia="en-GB"/>
        </w:rPr>
        <w:tab/>
      </w:r>
      <w:r w:rsidR="00B65637" w:rsidRPr="00672387">
        <w:rPr>
          <w:rFonts w:eastAsia="Arial Unicode MS"/>
          <w:noProof/>
          <w:u w:color="000000"/>
          <w:bdr w:val="nil"/>
          <w:lang w:val="en-US" w:eastAsia="en-GB"/>
        </w:rPr>
        <w:t>Time for implementation</w:t>
      </w:r>
    </w:p>
    <w:p w:rsidR="00B65637" w:rsidRPr="005A69D3" w:rsidRDefault="00B65637" w:rsidP="00B65637">
      <w:pPr>
        <w:pBdr>
          <w:top w:val="nil"/>
          <w:left w:val="nil"/>
          <w:bottom w:val="nil"/>
          <w:right w:val="nil"/>
          <w:between w:val="nil"/>
          <w:bar w:val="nil"/>
        </w:pBdr>
        <w:spacing w:before="0" w:after="240"/>
        <w:rPr>
          <w:noProof/>
          <w:lang w:val="en-US"/>
        </w:rPr>
      </w:pPr>
      <w:r w:rsidRPr="005A69D3">
        <w:rPr>
          <w:noProof/>
          <w:lang w:val="en-US"/>
        </w:rPr>
        <w:t xml:space="preserve">To provide sufficient time </w:t>
      </w:r>
      <w:r w:rsidR="00112894">
        <w:rPr>
          <w:noProof/>
          <w:lang w:val="en-US"/>
        </w:rPr>
        <w:t>to</w:t>
      </w:r>
      <w:r w:rsidR="00112894" w:rsidRPr="005A69D3">
        <w:rPr>
          <w:noProof/>
          <w:lang w:val="en-US"/>
        </w:rPr>
        <w:t xml:space="preserve"> </w:t>
      </w:r>
      <w:r w:rsidRPr="005A69D3">
        <w:rPr>
          <w:noProof/>
          <w:lang w:val="en-US"/>
        </w:rPr>
        <w:t xml:space="preserve">implement the changes to the customs tariff, the termination of the suspension of the preferential market access shall become applicable as of the first day of the </w:t>
      </w:r>
      <w:r w:rsidR="007F7FF0">
        <w:rPr>
          <w:noProof/>
          <w:lang w:val="en-US"/>
        </w:rPr>
        <w:t>first</w:t>
      </w:r>
      <w:r w:rsidRPr="005A69D3">
        <w:rPr>
          <w:noProof/>
          <w:lang w:val="en-US"/>
        </w:rPr>
        <w:t xml:space="preserve"> month following the notification of the termination by the Commission to the Republic of Syria.</w:t>
      </w:r>
    </w:p>
    <w:p w:rsidR="008810C4" w:rsidRDefault="008810C4" w:rsidP="00D90F0F">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sidR="00B65637">
        <w:rPr>
          <w:rFonts w:eastAsia="Arial Unicode MS"/>
          <w:noProof/>
          <w:u w:color="000000"/>
          <w:bdr w:val="nil"/>
          <w:lang w:val="en-US" w:eastAsia="en-GB"/>
        </w:rPr>
        <w:t>Execution of the Decision</w:t>
      </w:r>
    </w:p>
    <w:p w:rsidR="008810C4" w:rsidRPr="005A69D3" w:rsidRDefault="00B65637" w:rsidP="0050039C">
      <w:pPr>
        <w:pBdr>
          <w:top w:val="nil"/>
          <w:left w:val="nil"/>
          <w:bottom w:val="nil"/>
          <w:right w:val="nil"/>
          <w:between w:val="nil"/>
          <w:bar w:val="nil"/>
        </w:pBdr>
        <w:spacing w:before="0" w:after="240"/>
        <w:rPr>
          <w:noProof/>
          <w:lang w:val="en-US"/>
        </w:rPr>
      </w:pPr>
      <w:r w:rsidRPr="005A69D3">
        <w:rPr>
          <w:noProof/>
          <w:lang w:val="en-US"/>
        </w:rPr>
        <w:t xml:space="preserve">The Directorate-General for Trade and Economic Security has the task to execute this Decision by instructing the Delegation of the European Union to Syria to notify the termination of the suspension by diplomatic note to the </w:t>
      </w:r>
      <w:r w:rsidR="0050039C" w:rsidRPr="005A69D3">
        <w:rPr>
          <w:noProof/>
          <w:lang w:val="en-US"/>
        </w:rPr>
        <w:t>Ministry of Foreign Affairs and Expatriates of the Syrian Arab Republic</w:t>
      </w:r>
      <w:r w:rsidR="00F61FFF" w:rsidRPr="005A69D3">
        <w:rPr>
          <w:noProof/>
          <w:lang w:val="en-US"/>
        </w:rPr>
        <w:t xml:space="preserve"> and by </w:t>
      </w:r>
      <w:r w:rsidR="006E5427">
        <w:rPr>
          <w:noProof/>
          <w:lang w:val="en-US"/>
        </w:rPr>
        <w:t>notifying</w:t>
      </w:r>
      <w:r w:rsidR="00F61FFF" w:rsidRPr="005A69D3">
        <w:rPr>
          <w:noProof/>
          <w:lang w:val="en-US"/>
        </w:rPr>
        <w:t xml:space="preserve"> the Cooperation Council established by Article 35(1) of the Cooperation Agreement and to the Mission of the </w:t>
      </w:r>
      <w:r w:rsidR="00C01BDD" w:rsidRPr="005A69D3">
        <w:rPr>
          <w:noProof/>
          <w:lang w:val="en-US"/>
        </w:rPr>
        <w:t xml:space="preserve">Syrian Arab </w:t>
      </w:r>
      <w:r w:rsidR="00F61FFF" w:rsidRPr="005A69D3">
        <w:rPr>
          <w:noProof/>
          <w:lang w:val="en-US"/>
        </w:rPr>
        <w:t>Republic to the European Union.</w:t>
      </w:r>
    </w:p>
    <w:p w:rsidR="00F61FFF" w:rsidRPr="00FD40BA" w:rsidRDefault="00F61FFF" w:rsidP="005A69D3">
      <w:pPr>
        <w:pBdr>
          <w:top w:val="nil"/>
          <w:left w:val="nil"/>
          <w:bottom w:val="nil"/>
          <w:right w:val="nil"/>
          <w:between w:val="nil"/>
          <w:bar w:val="nil"/>
        </w:pBdr>
        <w:spacing w:before="0" w:after="240"/>
        <w:rPr>
          <w:noProof/>
        </w:rPr>
        <w:sectPr w:rsidR="00F61FFF" w:rsidRPr="00FD40BA" w:rsidSect="00A32CD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B843DB" w:rsidRDefault="00807131">
      <w:pPr>
        <w:pStyle w:val="Rfrenceinterinstitutionnelle"/>
        <w:rPr>
          <w:noProof/>
        </w:rPr>
      </w:pPr>
      <w:r>
        <w:rPr>
          <w:noProof/>
        </w:rPr>
        <w:t>2026/0093 (NLE)</w:t>
      </w:r>
    </w:p>
    <w:p w:rsidR="008810C4" w:rsidRPr="00FD40BA" w:rsidRDefault="00585DF3" w:rsidP="00585DF3">
      <w:pPr>
        <w:pStyle w:val="Statut"/>
        <w:rPr>
          <w:noProof/>
        </w:rPr>
      </w:pPr>
      <w:r w:rsidRPr="00585DF3">
        <w:rPr>
          <w:noProof/>
        </w:rPr>
        <w:t>Proposal for a</w:t>
      </w:r>
    </w:p>
    <w:p w:rsidR="008810C4" w:rsidRPr="00FD40BA" w:rsidRDefault="00585DF3" w:rsidP="00585DF3">
      <w:pPr>
        <w:pStyle w:val="Typedudocument"/>
        <w:rPr>
          <w:noProof/>
        </w:rPr>
      </w:pPr>
      <w:r w:rsidRPr="00585DF3">
        <w:rPr>
          <w:noProof/>
        </w:rPr>
        <w:t>COUNCIL DECISION</w:t>
      </w:r>
    </w:p>
    <w:p w:rsidR="008810C4" w:rsidRPr="00FD40BA" w:rsidRDefault="00585DF3" w:rsidP="00585DF3">
      <w:pPr>
        <w:pStyle w:val="Titreobjet"/>
        <w:rPr>
          <w:noProof/>
        </w:rPr>
      </w:pPr>
      <w:r w:rsidRPr="00585DF3">
        <w:rPr>
          <w:noProof/>
        </w:rPr>
        <w:t xml:space="preserve">terminating the partial suspension of the Cooperation Agreement between the European Economic Community and the Syrian Arab Republic and repealing Decision 2011/523/EU </w:t>
      </w:r>
    </w:p>
    <w:p w:rsidR="008810C4" w:rsidRPr="00FD40BA" w:rsidRDefault="008810C4" w:rsidP="00D90F0F">
      <w:pPr>
        <w:pStyle w:val="Institutionquiagit"/>
        <w:rPr>
          <w:noProof/>
        </w:rPr>
      </w:pPr>
      <w:r w:rsidRPr="00FD40BA">
        <w:rPr>
          <w:noProof/>
        </w:rPr>
        <w:t xml:space="preserve">THE COUNCIL OF THE EUROPEAN </w:t>
      </w:r>
      <w:smartTag w:uri="urn:schemas-microsoft-com:office:smarttags" w:element="place">
        <w:r w:rsidRPr="00FD40BA">
          <w:rPr>
            <w:noProof/>
          </w:rPr>
          <w:t>UNION</w:t>
        </w:r>
      </w:smartTag>
      <w:r w:rsidRPr="00FD40BA">
        <w:rPr>
          <w:noProof/>
        </w:rPr>
        <w:t>,</w:t>
      </w:r>
    </w:p>
    <w:p w:rsidR="008810C4" w:rsidRPr="00FD40BA" w:rsidRDefault="00921BBD" w:rsidP="00D90F0F">
      <w:pPr>
        <w:rPr>
          <w:noProof/>
        </w:rPr>
      </w:pPr>
      <w:r w:rsidRPr="004771CA">
        <w:rPr>
          <w:noProof/>
          <w:lang w:val="en-US"/>
        </w:rPr>
        <w:t>Having</w:t>
      </w:r>
      <w:r w:rsidRPr="004771CA">
        <w:rPr>
          <w:noProof/>
          <w:spacing w:val="-13"/>
          <w:lang w:val="en-US"/>
        </w:rPr>
        <w:t xml:space="preserve"> </w:t>
      </w:r>
      <w:r w:rsidRPr="004771CA">
        <w:rPr>
          <w:noProof/>
          <w:lang w:val="en-US"/>
        </w:rPr>
        <w:t>regard</w:t>
      </w:r>
      <w:r w:rsidRPr="004771CA">
        <w:rPr>
          <w:noProof/>
          <w:spacing w:val="-12"/>
          <w:lang w:val="en-US"/>
        </w:rPr>
        <w:t xml:space="preserve"> </w:t>
      </w:r>
      <w:r w:rsidRPr="004771CA">
        <w:rPr>
          <w:noProof/>
          <w:lang w:val="en-US"/>
        </w:rPr>
        <w:t>to</w:t>
      </w:r>
      <w:r w:rsidRPr="004771CA">
        <w:rPr>
          <w:noProof/>
          <w:spacing w:val="-12"/>
          <w:lang w:val="en-US"/>
        </w:rPr>
        <w:t xml:space="preserve"> </w:t>
      </w:r>
      <w:r w:rsidRPr="004771CA">
        <w:rPr>
          <w:noProof/>
          <w:lang w:val="en-US"/>
        </w:rPr>
        <w:t>the</w:t>
      </w:r>
      <w:r w:rsidRPr="004771CA">
        <w:rPr>
          <w:noProof/>
          <w:spacing w:val="-13"/>
          <w:lang w:val="en-US"/>
        </w:rPr>
        <w:t xml:space="preserve"> </w:t>
      </w:r>
      <w:r w:rsidRPr="004771CA">
        <w:rPr>
          <w:noProof/>
          <w:lang w:val="en-US"/>
        </w:rPr>
        <w:t>Treaty</w:t>
      </w:r>
      <w:r w:rsidRPr="004771CA">
        <w:rPr>
          <w:noProof/>
          <w:spacing w:val="-15"/>
          <w:lang w:val="en-US"/>
        </w:rPr>
        <w:t xml:space="preserve"> </w:t>
      </w:r>
      <w:r w:rsidRPr="004771CA">
        <w:rPr>
          <w:noProof/>
          <w:lang w:val="en-US"/>
        </w:rPr>
        <w:t>on</w:t>
      </w:r>
      <w:r w:rsidRPr="004771CA">
        <w:rPr>
          <w:noProof/>
          <w:spacing w:val="-12"/>
          <w:lang w:val="en-US"/>
        </w:rPr>
        <w:t xml:space="preserve"> </w:t>
      </w:r>
      <w:r w:rsidRPr="004771CA">
        <w:rPr>
          <w:noProof/>
          <w:lang w:val="en-US"/>
        </w:rPr>
        <w:t>the</w:t>
      </w:r>
      <w:r w:rsidRPr="004771CA">
        <w:rPr>
          <w:noProof/>
          <w:spacing w:val="-10"/>
          <w:lang w:val="en-US"/>
        </w:rPr>
        <w:t xml:space="preserve"> </w:t>
      </w:r>
      <w:r w:rsidRPr="004771CA">
        <w:rPr>
          <w:noProof/>
          <w:lang w:val="en-US"/>
        </w:rPr>
        <w:t>Functioning</w:t>
      </w:r>
      <w:r w:rsidRPr="004771CA">
        <w:rPr>
          <w:noProof/>
          <w:spacing w:val="-14"/>
          <w:lang w:val="en-US"/>
        </w:rPr>
        <w:t xml:space="preserve"> </w:t>
      </w:r>
      <w:r w:rsidRPr="004771CA">
        <w:rPr>
          <w:noProof/>
          <w:lang w:val="en-US"/>
        </w:rPr>
        <w:t>of</w:t>
      </w:r>
      <w:r w:rsidRPr="004771CA">
        <w:rPr>
          <w:noProof/>
          <w:spacing w:val="-13"/>
          <w:lang w:val="en-US"/>
        </w:rPr>
        <w:t xml:space="preserve"> </w:t>
      </w:r>
      <w:r w:rsidRPr="004771CA">
        <w:rPr>
          <w:noProof/>
          <w:lang w:val="en-US"/>
        </w:rPr>
        <w:t>the</w:t>
      </w:r>
      <w:r w:rsidRPr="004771CA">
        <w:rPr>
          <w:noProof/>
          <w:spacing w:val="-13"/>
          <w:lang w:val="en-US"/>
        </w:rPr>
        <w:t xml:space="preserve"> </w:t>
      </w:r>
      <w:r w:rsidRPr="004771CA">
        <w:rPr>
          <w:noProof/>
          <w:lang w:val="en-US"/>
        </w:rPr>
        <w:t>European</w:t>
      </w:r>
      <w:r w:rsidRPr="004771CA">
        <w:rPr>
          <w:noProof/>
          <w:spacing w:val="-12"/>
          <w:lang w:val="en-US"/>
        </w:rPr>
        <w:t xml:space="preserve"> </w:t>
      </w:r>
      <w:r w:rsidRPr="004771CA">
        <w:rPr>
          <w:noProof/>
          <w:lang w:val="en-US"/>
        </w:rPr>
        <w:t>Union,</w:t>
      </w:r>
      <w:r w:rsidRPr="004771CA">
        <w:rPr>
          <w:noProof/>
          <w:spacing w:val="-12"/>
          <w:lang w:val="en-US"/>
        </w:rPr>
        <w:t xml:space="preserve"> </w:t>
      </w:r>
      <w:r w:rsidRPr="004E5003">
        <w:rPr>
          <w:noProof/>
          <w:lang w:val="en-US"/>
        </w:rPr>
        <w:t>and</w:t>
      </w:r>
      <w:r w:rsidRPr="004E5003">
        <w:rPr>
          <w:noProof/>
          <w:spacing w:val="-10"/>
          <w:lang w:val="en-US"/>
        </w:rPr>
        <w:t xml:space="preserve"> </w:t>
      </w:r>
      <w:r w:rsidRPr="004E5003">
        <w:rPr>
          <w:noProof/>
          <w:lang w:val="en-US"/>
        </w:rPr>
        <w:t>in</w:t>
      </w:r>
      <w:r w:rsidRPr="004E5003">
        <w:rPr>
          <w:noProof/>
          <w:spacing w:val="-12"/>
          <w:lang w:val="en-US"/>
        </w:rPr>
        <w:t xml:space="preserve"> </w:t>
      </w:r>
      <w:r w:rsidRPr="004E5003">
        <w:rPr>
          <w:noProof/>
          <w:lang w:val="en-US"/>
        </w:rPr>
        <w:t>particular</w:t>
      </w:r>
      <w:r w:rsidRPr="004E5003">
        <w:rPr>
          <w:noProof/>
          <w:spacing w:val="-11"/>
          <w:lang w:val="en-US"/>
        </w:rPr>
        <w:t xml:space="preserve"> </w:t>
      </w:r>
      <w:r w:rsidRPr="004E5003">
        <w:rPr>
          <w:noProof/>
          <w:lang w:val="en-US"/>
        </w:rPr>
        <w:t>Article 207(4)</w:t>
      </w:r>
      <w:r w:rsidR="008666B7">
        <w:rPr>
          <w:noProof/>
          <w:lang w:val="en-US"/>
        </w:rPr>
        <w:t>,</w:t>
      </w:r>
      <w:r w:rsidRPr="004E5003">
        <w:rPr>
          <w:noProof/>
          <w:lang w:val="en-US"/>
        </w:rPr>
        <w:t xml:space="preserve"> </w:t>
      </w:r>
      <w:r w:rsidR="008666B7">
        <w:rPr>
          <w:noProof/>
          <w:spacing w:val="-11"/>
          <w:lang w:val="en-US"/>
        </w:rPr>
        <w:t xml:space="preserve">first subparagraph, </w:t>
      </w:r>
      <w:r w:rsidRPr="004E5003">
        <w:rPr>
          <w:noProof/>
          <w:lang w:val="en-US"/>
        </w:rPr>
        <w:t>in conjunction with Article 218(9) thereof,</w:t>
      </w:r>
    </w:p>
    <w:p w:rsidR="008810C4" w:rsidRPr="00FD40BA" w:rsidRDefault="008810C4" w:rsidP="00D90F0F">
      <w:pPr>
        <w:rPr>
          <w:noProof/>
        </w:rPr>
      </w:pPr>
      <w:r w:rsidRPr="00FD40BA">
        <w:rPr>
          <w:noProof/>
        </w:rPr>
        <w:t>Having regard to the proposal from the European Commission,</w:t>
      </w:r>
    </w:p>
    <w:p w:rsidR="008810C4" w:rsidRPr="00FD40BA" w:rsidRDefault="008810C4" w:rsidP="00D90F0F">
      <w:pPr>
        <w:rPr>
          <w:noProof/>
        </w:rPr>
      </w:pPr>
      <w:r w:rsidRPr="00FD40BA">
        <w:rPr>
          <w:noProof/>
        </w:rPr>
        <w:t>Whereas:</w:t>
      </w:r>
    </w:p>
    <w:p w:rsidR="008810C4" w:rsidRPr="00FD40BA" w:rsidRDefault="00200F54" w:rsidP="00AF2954">
      <w:pPr>
        <w:pStyle w:val="ManualConsidrant"/>
        <w:rPr>
          <w:noProof/>
        </w:rPr>
      </w:pPr>
      <w:r>
        <w:rPr>
          <w:noProof/>
        </w:rPr>
        <w:t>(1)</w:t>
      </w:r>
      <w:r>
        <w:rPr>
          <w:noProof/>
        </w:rPr>
        <w:tab/>
      </w:r>
      <w:r w:rsidRPr="6AD3BAEE">
        <w:rPr>
          <w:rFonts w:eastAsiaTheme="minorEastAsia"/>
          <w:noProof/>
        </w:rPr>
        <w:t>On 18 January 1977, the European Economic Community and the Syrian Arab Republic concluded a Cooperation Agreement</w:t>
      </w:r>
      <w:r w:rsidR="000E152C">
        <w:rPr>
          <w:rStyle w:val="FootnoteReference"/>
          <w:rFonts w:eastAsiaTheme="minorEastAsia"/>
          <w:noProof/>
        </w:rPr>
        <w:footnoteReference w:id="1"/>
      </w:r>
      <w:r w:rsidR="000E152C">
        <w:rPr>
          <w:rFonts w:eastAsiaTheme="minorEastAsia"/>
          <w:noProof/>
        </w:rPr>
        <w:t xml:space="preserve"> </w:t>
      </w:r>
      <w:r w:rsidRPr="6AD3BAEE">
        <w:rPr>
          <w:rFonts w:eastAsiaTheme="minorEastAsia"/>
          <w:noProof/>
        </w:rPr>
        <w:t xml:space="preserve">(the Cooperation Agreement) to promote overall cooperation with a view to strengthening relations between the </w:t>
      </w:r>
      <w:r w:rsidR="005D1585">
        <w:rPr>
          <w:rFonts w:eastAsiaTheme="minorEastAsia"/>
          <w:noProof/>
        </w:rPr>
        <w:t>p</w:t>
      </w:r>
      <w:r w:rsidRPr="6AD3BAEE">
        <w:rPr>
          <w:rFonts w:eastAsiaTheme="minorEastAsia"/>
          <w:noProof/>
        </w:rPr>
        <w:t>arties.</w:t>
      </w:r>
    </w:p>
    <w:p w:rsidR="003F2440" w:rsidRDefault="00CE130A" w:rsidP="00CE130A">
      <w:pPr>
        <w:pStyle w:val="ManualConsidrant"/>
        <w:rPr>
          <w:noProof/>
        </w:rPr>
      </w:pPr>
      <w:r>
        <w:rPr>
          <w:noProof/>
        </w:rPr>
        <w:t>(2)</w:t>
      </w:r>
      <w:r>
        <w:rPr>
          <w:noProof/>
        </w:rPr>
        <w:tab/>
      </w:r>
      <w:r w:rsidRPr="6AD3BAEE">
        <w:rPr>
          <w:noProof/>
        </w:rPr>
        <w:t>Council Decision 2011/523/EU</w:t>
      </w:r>
      <w:r w:rsidR="002929DE">
        <w:rPr>
          <w:rStyle w:val="FootnoteReference"/>
          <w:noProof/>
        </w:rPr>
        <w:footnoteReference w:id="2"/>
      </w:r>
      <w:r w:rsidRPr="6AD3BAEE">
        <w:rPr>
          <w:noProof/>
        </w:rPr>
        <w:t xml:space="preserve"> partially </w:t>
      </w:r>
      <w:r w:rsidR="002929DE" w:rsidRPr="6AD3BAEE">
        <w:rPr>
          <w:noProof/>
        </w:rPr>
        <w:t>suspend</w:t>
      </w:r>
      <w:r w:rsidR="002929DE">
        <w:rPr>
          <w:noProof/>
        </w:rPr>
        <w:t>ed</w:t>
      </w:r>
      <w:r w:rsidR="002929DE" w:rsidRPr="6AD3BAEE">
        <w:rPr>
          <w:noProof/>
        </w:rPr>
        <w:t xml:space="preserve"> </w:t>
      </w:r>
      <w:r w:rsidRPr="6AD3BAEE">
        <w:rPr>
          <w:noProof/>
        </w:rPr>
        <w:t xml:space="preserve">the application of the Cooperation Agreement following the brutal campaign waged by Bashar </w:t>
      </w:r>
      <w:r w:rsidR="00D871C2">
        <w:rPr>
          <w:noProof/>
        </w:rPr>
        <w:t>a</w:t>
      </w:r>
      <w:r w:rsidRPr="6AD3BAEE">
        <w:rPr>
          <w:noProof/>
        </w:rPr>
        <w:t>l</w:t>
      </w:r>
      <w:r w:rsidR="00D871C2">
        <w:rPr>
          <w:noProof/>
        </w:rPr>
        <w:t>-</w:t>
      </w:r>
      <w:r w:rsidRPr="6AD3BAEE">
        <w:rPr>
          <w:noProof/>
        </w:rPr>
        <w:t>Assad and his regime against their own people.</w:t>
      </w:r>
    </w:p>
    <w:p w:rsidR="00D674A4" w:rsidRDefault="00D674A4" w:rsidP="003637AA">
      <w:pPr>
        <w:pStyle w:val="ManualConsidrant"/>
        <w:rPr>
          <w:noProof/>
        </w:rPr>
      </w:pPr>
      <w:r>
        <w:rPr>
          <w:noProof/>
        </w:rPr>
        <w:t>(3)</w:t>
      </w:r>
      <w:r>
        <w:rPr>
          <w:noProof/>
        </w:rPr>
        <w:tab/>
        <w:t xml:space="preserve">The </w:t>
      </w:r>
      <w:r w:rsidR="00A96032">
        <w:rPr>
          <w:noProof/>
        </w:rPr>
        <w:t xml:space="preserve">partial </w:t>
      </w:r>
      <w:r>
        <w:rPr>
          <w:noProof/>
        </w:rPr>
        <w:t>suspen</w:t>
      </w:r>
      <w:r w:rsidR="003F2440">
        <w:rPr>
          <w:noProof/>
        </w:rPr>
        <w:t>sion of</w:t>
      </w:r>
      <w:r>
        <w:rPr>
          <w:noProof/>
        </w:rPr>
        <w:t xml:space="preserve"> </w:t>
      </w:r>
      <w:r w:rsidR="00A96032">
        <w:rPr>
          <w:noProof/>
        </w:rPr>
        <w:t>A</w:t>
      </w:r>
      <w:r>
        <w:rPr>
          <w:noProof/>
        </w:rPr>
        <w:t xml:space="preserve">rticles </w:t>
      </w:r>
      <w:r w:rsidR="00A96032">
        <w:rPr>
          <w:noProof/>
        </w:rPr>
        <w:t xml:space="preserve">12, 14 and 15 </w:t>
      </w:r>
      <w:r>
        <w:rPr>
          <w:noProof/>
        </w:rPr>
        <w:t>of the Cooperation Agreement</w:t>
      </w:r>
      <w:r w:rsidR="002356B8">
        <w:rPr>
          <w:noProof/>
        </w:rPr>
        <w:t>, which</w:t>
      </w:r>
      <w:r>
        <w:rPr>
          <w:noProof/>
        </w:rPr>
        <w:t xml:space="preserve"> </w:t>
      </w:r>
      <w:r w:rsidR="003F2440">
        <w:rPr>
          <w:noProof/>
        </w:rPr>
        <w:t>prohibit</w:t>
      </w:r>
      <w:r>
        <w:rPr>
          <w:noProof/>
        </w:rPr>
        <w:t xml:space="preserve"> </w:t>
      </w:r>
      <w:r w:rsidRPr="00D674A4">
        <w:rPr>
          <w:noProof/>
        </w:rPr>
        <w:t>Syrian imports into the Union</w:t>
      </w:r>
      <w:r w:rsidR="008859BE">
        <w:rPr>
          <w:noProof/>
        </w:rPr>
        <w:t>,</w:t>
      </w:r>
      <w:r w:rsidRPr="00D674A4">
        <w:rPr>
          <w:noProof/>
        </w:rPr>
        <w:t xml:space="preserve"> </w:t>
      </w:r>
      <w:r>
        <w:rPr>
          <w:noProof/>
        </w:rPr>
        <w:t xml:space="preserve">with regard to </w:t>
      </w:r>
      <w:r w:rsidRPr="00AF66E2">
        <w:rPr>
          <w:noProof/>
        </w:rPr>
        <w:t>crude oil and petroleum products</w:t>
      </w:r>
      <w:r>
        <w:rPr>
          <w:noProof/>
        </w:rPr>
        <w:t xml:space="preserve"> </w:t>
      </w:r>
      <w:r w:rsidR="003F2440">
        <w:rPr>
          <w:noProof/>
        </w:rPr>
        <w:t xml:space="preserve">was necessary </w:t>
      </w:r>
      <w:r w:rsidR="00112894">
        <w:rPr>
          <w:noProof/>
        </w:rPr>
        <w:t xml:space="preserve">in order to </w:t>
      </w:r>
      <w:r w:rsidR="003F2440">
        <w:rPr>
          <w:noProof/>
        </w:rPr>
        <w:t>implement</w:t>
      </w:r>
      <w:r>
        <w:rPr>
          <w:noProof/>
        </w:rPr>
        <w:t xml:space="preserve"> Council Decision 2011/522/CFSP</w:t>
      </w:r>
      <w:r w:rsidR="003637AA">
        <w:rPr>
          <w:rStyle w:val="FootnoteReference"/>
          <w:noProof/>
        </w:rPr>
        <w:footnoteReference w:id="3"/>
      </w:r>
      <w:r>
        <w:rPr>
          <w:noProof/>
        </w:rPr>
        <w:t>.</w:t>
      </w:r>
    </w:p>
    <w:p w:rsidR="006807E0" w:rsidRPr="00EF1DB1" w:rsidRDefault="005E3EB4" w:rsidP="00D160FD">
      <w:pPr>
        <w:pStyle w:val="ManualConsidrant"/>
        <w:rPr>
          <w:noProof/>
        </w:rPr>
      </w:pPr>
      <w:r>
        <w:rPr>
          <w:noProof/>
        </w:rPr>
        <w:t>(4)</w:t>
      </w:r>
      <w:r>
        <w:rPr>
          <w:noProof/>
        </w:rPr>
        <w:tab/>
        <w:t>Council D</w:t>
      </w:r>
      <w:r w:rsidRPr="00D328C3">
        <w:rPr>
          <w:noProof/>
        </w:rPr>
        <w:t>ecision 2012/123/CFSP</w:t>
      </w:r>
      <w:r w:rsidR="00F5251A">
        <w:rPr>
          <w:rStyle w:val="FootnoteReference"/>
          <w:noProof/>
        </w:rPr>
        <w:footnoteReference w:id="4"/>
      </w:r>
      <w:r w:rsidR="003818B7">
        <w:rPr>
          <w:noProof/>
        </w:rPr>
        <w:t xml:space="preserve"> ex</w:t>
      </w:r>
      <w:r w:rsidR="00860D53">
        <w:rPr>
          <w:noProof/>
        </w:rPr>
        <w:t>t</w:t>
      </w:r>
      <w:r w:rsidR="003818B7">
        <w:rPr>
          <w:noProof/>
        </w:rPr>
        <w:t>ended the partial suspension</w:t>
      </w:r>
      <w:r w:rsidR="00C42825">
        <w:rPr>
          <w:noProof/>
        </w:rPr>
        <w:t xml:space="preserve"> </w:t>
      </w:r>
      <w:r w:rsidR="001D3343">
        <w:rPr>
          <w:noProof/>
        </w:rPr>
        <w:t xml:space="preserve">of the </w:t>
      </w:r>
      <w:r w:rsidR="001D3343" w:rsidRPr="6AD3BAEE">
        <w:rPr>
          <w:noProof/>
        </w:rPr>
        <w:t xml:space="preserve">application </w:t>
      </w:r>
      <w:r w:rsidR="00C42825">
        <w:rPr>
          <w:noProof/>
        </w:rPr>
        <w:t xml:space="preserve">of the Cooperation Agreement </w:t>
      </w:r>
      <w:r w:rsidR="003818B7">
        <w:rPr>
          <w:noProof/>
        </w:rPr>
        <w:t>to</w:t>
      </w:r>
      <w:r w:rsidR="00C42825" w:rsidRPr="00D674A4">
        <w:rPr>
          <w:noProof/>
        </w:rPr>
        <w:t xml:space="preserve"> Syrian imports into the Union </w:t>
      </w:r>
      <w:r w:rsidR="003818B7">
        <w:rPr>
          <w:noProof/>
        </w:rPr>
        <w:t>of</w:t>
      </w:r>
      <w:r w:rsidR="00C42825">
        <w:rPr>
          <w:noProof/>
        </w:rPr>
        <w:t xml:space="preserve"> </w:t>
      </w:r>
      <w:r w:rsidR="00C42825" w:rsidRPr="00AF66E2">
        <w:rPr>
          <w:noProof/>
        </w:rPr>
        <w:t>gold</w:t>
      </w:r>
      <w:r w:rsidR="00C42825">
        <w:rPr>
          <w:noProof/>
        </w:rPr>
        <w:t>,</w:t>
      </w:r>
      <w:r w:rsidR="00C42825" w:rsidRPr="00AF66E2">
        <w:rPr>
          <w:noProof/>
        </w:rPr>
        <w:t xml:space="preserve"> precious metals </w:t>
      </w:r>
      <w:r w:rsidR="003818B7">
        <w:rPr>
          <w:noProof/>
        </w:rPr>
        <w:t>and</w:t>
      </w:r>
      <w:r w:rsidR="00C42825" w:rsidRPr="00AF66E2">
        <w:rPr>
          <w:noProof/>
        </w:rPr>
        <w:t xml:space="preserve"> diamonds</w:t>
      </w:r>
      <w:r w:rsidR="00723A93">
        <w:rPr>
          <w:noProof/>
        </w:rPr>
        <w:t xml:space="preserve">. </w:t>
      </w:r>
      <w:r w:rsidR="00E06F5B">
        <w:rPr>
          <w:noProof/>
        </w:rPr>
        <w:t>The adoption of D</w:t>
      </w:r>
      <w:r w:rsidR="00E06F5B" w:rsidRPr="00D328C3">
        <w:rPr>
          <w:noProof/>
        </w:rPr>
        <w:t>ecision 2012/123/CFSP</w:t>
      </w:r>
      <w:r w:rsidR="00E06F5B">
        <w:rPr>
          <w:noProof/>
        </w:rPr>
        <w:t xml:space="preserve"> </w:t>
      </w:r>
      <w:r w:rsidR="008D70E4">
        <w:rPr>
          <w:noProof/>
        </w:rPr>
        <w:t xml:space="preserve">was </w:t>
      </w:r>
      <w:r w:rsidR="000E09C5">
        <w:rPr>
          <w:noProof/>
        </w:rPr>
        <w:t xml:space="preserve">necessary </w:t>
      </w:r>
      <w:r w:rsidR="005D1585">
        <w:rPr>
          <w:noProof/>
        </w:rPr>
        <w:t xml:space="preserve">in order to </w:t>
      </w:r>
      <w:r w:rsidR="000E09C5">
        <w:rPr>
          <w:noProof/>
        </w:rPr>
        <w:t xml:space="preserve">implement </w:t>
      </w:r>
      <w:r w:rsidR="00E06F5B">
        <w:rPr>
          <w:noProof/>
        </w:rPr>
        <w:t xml:space="preserve">the </w:t>
      </w:r>
      <w:r w:rsidR="00C42825">
        <w:rPr>
          <w:noProof/>
        </w:rPr>
        <w:t xml:space="preserve">restrictive measures </w:t>
      </w:r>
      <w:r w:rsidR="008D70E4">
        <w:rPr>
          <w:noProof/>
        </w:rPr>
        <w:t>pro</w:t>
      </w:r>
      <w:r w:rsidR="007D4A21">
        <w:rPr>
          <w:noProof/>
        </w:rPr>
        <w:t xml:space="preserve">vided for in </w:t>
      </w:r>
      <w:r w:rsidR="00C42825">
        <w:rPr>
          <w:noProof/>
        </w:rPr>
        <w:t>Council</w:t>
      </w:r>
      <w:r w:rsidR="007D4A21">
        <w:rPr>
          <w:noProof/>
        </w:rPr>
        <w:t xml:space="preserve"> </w:t>
      </w:r>
      <w:r w:rsidR="00C42825">
        <w:rPr>
          <w:noProof/>
        </w:rPr>
        <w:t>Decision 2012/122/CFSP</w:t>
      </w:r>
      <w:r w:rsidR="003637AA">
        <w:rPr>
          <w:rStyle w:val="FootnoteReference"/>
          <w:noProof/>
        </w:rPr>
        <w:footnoteReference w:id="5"/>
      </w:r>
      <w:r w:rsidR="00C42825">
        <w:rPr>
          <w:noProof/>
        </w:rPr>
        <w:t>.</w:t>
      </w:r>
    </w:p>
    <w:p w:rsidR="00CE130A" w:rsidRPr="00EF1DB1" w:rsidRDefault="00CE130A" w:rsidP="00CE130A">
      <w:pPr>
        <w:pStyle w:val="ManualConsidrant"/>
        <w:rPr>
          <w:noProof/>
        </w:rPr>
      </w:pPr>
      <w:r>
        <w:rPr>
          <w:noProof/>
        </w:rPr>
        <w:t>(5)</w:t>
      </w:r>
      <w:r>
        <w:rPr>
          <w:noProof/>
        </w:rPr>
        <w:tab/>
      </w:r>
      <w:r w:rsidRPr="6AD3BAEE">
        <w:rPr>
          <w:noProof/>
        </w:rPr>
        <w:t xml:space="preserve">Since December 2024, the fall of the Bashar al-Assad regime has brought about a fundamental change in the Syrian political landscape rendering the original grounds for </w:t>
      </w:r>
      <w:r w:rsidR="00112894">
        <w:rPr>
          <w:noProof/>
        </w:rPr>
        <w:t>the</w:t>
      </w:r>
      <w:r w:rsidR="00112894" w:rsidRPr="6AD3BAEE">
        <w:rPr>
          <w:noProof/>
        </w:rPr>
        <w:t xml:space="preserve"> </w:t>
      </w:r>
      <w:r w:rsidRPr="6AD3BAEE">
        <w:rPr>
          <w:noProof/>
        </w:rPr>
        <w:t>suspension obsolete.</w:t>
      </w:r>
      <w:r w:rsidRPr="00EF1DB1">
        <w:rPr>
          <w:noProof/>
        </w:rPr>
        <w:t xml:space="preserve"> </w:t>
      </w:r>
    </w:p>
    <w:p w:rsidR="00CE130A" w:rsidRDefault="00CE130A" w:rsidP="00CE130A">
      <w:pPr>
        <w:pStyle w:val="ManualConsidrant"/>
        <w:rPr>
          <w:noProof/>
        </w:rPr>
      </w:pPr>
      <w:r>
        <w:rPr>
          <w:noProof/>
        </w:rPr>
        <w:t>(6)</w:t>
      </w:r>
      <w:r>
        <w:rPr>
          <w:noProof/>
        </w:rPr>
        <w:tab/>
      </w:r>
      <w:r w:rsidRPr="6AD3BAEE">
        <w:rPr>
          <w:noProof/>
        </w:rPr>
        <w:t xml:space="preserve">In its </w:t>
      </w:r>
      <w:r w:rsidR="00112894">
        <w:rPr>
          <w:noProof/>
        </w:rPr>
        <w:t>c</w:t>
      </w:r>
      <w:r w:rsidRPr="6AD3BAEE">
        <w:rPr>
          <w:noProof/>
        </w:rPr>
        <w:t>onclusions of 23 June</w:t>
      </w:r>
      <w:r>
        <w:rPr>
          <w:noProof/>
        </w:rPr>
        <w:t xml:space="preserve"> 2025</w:t>
      </w:r>
      <w:r w:rsidRPr="00C146FE">
        <w:rPr>
          <w:noProof/>
        </w:rPr>
        <w:t>, the Council underlined the importance of a peaceful and inclusive transition in Syria, free from harmful foreign interference, and protecti</w:t>
      </w:r>
      <w:r w:rsidR="00112894">
        <w:rPr>
          <w:noProof/>
        </w:rPr>
        <w:t>ng</w:t>
      </w:r>
      <w:r w:rsidRPr="00C146FE">
        <w:rPr>
          <w:noProof/>
        </w:rPr>
        <w:t xml:space="preserve"> the rights of all Syrian </w:t>
      </w:r>
      <w:r w:rsidR="00112894">
        <w:rPr>
          <w:noProof/>
        </w:rPr>
        <w:t>people</w:t>
      </w:r>
      <w:r w:rsidRPr="00C146FE">
        <w:rPr>
          <w:noProof/>
        </w:rPr>
        <w:t xml:space="preserve">, without discrimination. </w:t>
      </w:r>
    </w:p>
    <w:p w:rsidR="00CE130A" w:rsidRDefault="00CE130A" w:rsidP="00CE130A">
      <w:pPr>
        <w:pStyle w:val="ManualConsidrant"/>
        <w:rPr>
          <w:noProof/>
        </w:rPr>
      </w:pPr>
      <w:r>
        <w:rPr>
          <w:noProof/>
        </w:rPr>
        <w:t>(7)</w:t>
      </w:r>
      <w:r>
        <w:rPr>
          <w:noProof/>
        </w:rPr>
        <w:tab/>
        <w:t>T</w:t>
      </w:r>
      <w:r w:rsidRPr="6AD3BAEE">
        <w:rPr>
          <w:noProof/>
        </w:rPr>
        <w:t xml:space="preserve">he Council </w:t>
      </w:r>
      <w:r>
        <w:rPr>
          <w:noProof/>
        </w:rPr>
        <w:t xml:space="preserve">also </w:t>
      </w:r>
      <w:r w:rsidRPr="6AD3BAEE">
        <w:rPr>
          <w:noProof/>
        </w:rPr>
        <w:t xml:space="preserve">underlined its support for ongoing efforts </w:t>
      </w:r>
      <w:r w:rsidR="00112894">
        <w:rPr>
          <w:noProof/>
        </w:rPr>
        <w:t>by</w:t>
      </w:r>
      <w:r w:rsidR="00112894" w:rsidRPr="6AD3BAEE">
        <w:rPr>
          <w:noProof/>
        </w:rPr>
        <w:t xml:space="preserve"> </w:t>
      </w:r>
      <w:r w:rsidRPr="6AD3BAEE">
        <w:rPr>
          <w:noProof/>
        </w:rPr>
        <w:t xml:space="preserve">international financial institutions to assess Syria’s needs </w:t>
      </w:r>
      <w:r w:rsidR="00014777">
        <w:rPr>
          <w:noProof/>
        </w:rPr>
        <w:t xml:space="preserve">and </w:t>
      </w:r>
      <w:r w:rsidRPr="6AD3BAEE">
        <w:rPr>
          <w:noProof/>
        </w:rPr>
        <w:t>invi</w:t>
      </w:r>
      <w:r>
        <w:rPr>
          <w:noProof/>
        </w:rPr>
        <w:t>ted</w:t>
      </w:r>
      <w:r w:rsidRPr="6AD3BAEE">
        <w:rPr>
          <w:noProof/>
        </w:rPr>
        <w:t xml:space="preserve"> the European Investment Bank to resume its activity in Syri</w:t>
      </w:r>
      <w:r>
        <w:rPr>
          <w:noProof/>
        </w:rPr>
        <w:t>a</w:t>
      </w:r>
      <w:r w:rsidR="00112894">
        <w:rPr>
          <w:noProof/>
        </w:rPr>
        <w:t>. It called</w:t>
      </w:r>
      <w:r w:rsidRPr="005A2C0D">
        <w:rPr>
          <w:noProof/>
        </w:rPr>
        <w:t xml:space="preserve"> on the international community to facilitate Syria’s economic recovery and to work on its reintegration into the international financial system</w:t>
      </w:r>
      <w:r>
        <w:rPr>
          <w:noProof/>
        </w:rPr>
        <w:t xml:space="preserve">. </w:t>
      </w:r>
    </w:p>
    <w:p w:rsidR="00CE130A" w:rsidRPr="0016484F" w:rsidRDefault="0049281D" w:rsidP="00CE130A">
      <w:pPr>
        <w:pStyle w:val="ManualConsidrant"/>
        <w:rPr>
          <w:noProof/>
        </w:rPr>
      </w:pPr>
      <w:r>
        <w:rPr>
          <w:noProof/>
        </w:rPr>
        <w:t>(8)</w:t>
      </w:r>
      <w:r>
        <w:rPr>
          <w:noProof/>
        </w:rPr>
        <w:tab/>
      </w:r>
      <w:r w:rsidRPr="0016484F">
        <w:rPr>
          <w:noProof/>
        </w:rPr>
        <w:t xml:space="preserve">On </w:t>
      </w:r>
      <w:r w:rsidR="00717F6A" w:rsidRPr="004B31EA">
        <w:rPr>
          <w:noProof/>
        </w:rPr>
        <w:t xml:space="preserve"> 24 February and 27 May 2025, in its Decisions (CFSP) 2025/406</w:t>
      </w:r>
      <w:r w:rsidR="001C3557">
        <w:rPr>
          <w:rStyle w:val="FootnoteReference"/>
          <w:noProof/>
        </w:rPr>
        <w:footnoteReference w:id="6"/>
      </w:r>
      <w:r w:rsidR="00717F6A" w:rsidRPr="004B31EA">
        <w:rPr>
          <w:noProof/>
        </w:rPr>
        <w:t xml:space="preserve"> and (CFSP) 2025/1096</w:t>
      </w:r>
      <w:r w:rsidR="00717F6A" w:rsidRPr="004B31EA">
        <w:rPr>
          <w:rStyle w:val="FootnoteReference"/>
          <w:noProof/>
        </w:rPr>
        <w:footnoteReference w:id="7"/>
      </w:r>
      <w:r w:rsidR="00717F6A" w:rsidRPr="004B31EA">
        <w:rPr>
          <w:noProof/>
        </w:rPr>
        <w:t>,</w:t>
      </w:r>
      <w:r w:rsidRPr="0016484F">
        <w:rPr>
          <w:noProof/>
        </w:rPr>
        <w:t xml:space="preserve"> </w:t>
      </w:r>
      <w:r w:rsidR="00717F6A" w:rsidRPr="004B31EA">
        <w:rPr>
          <w:noProof/>
        </w:rPr>
        <w:t>t</w:t>
      </w:r>
      <w:r w:rsidR="00CE130A" w:rsidRPr="0016484F">
        <w:rPr>
          <w:noProof/>
        </w:rPr>
        <w:t>he Council lifted all economic restrictive measures on Syria, with the exception of those based on security grounds, in order to support the country’s socio-economic recovery.</w:t>
      </w:r>
    </w:p>
    <w:p w:rsidR="007B3720" w:rsidRDefault="00CE130A" w:rsidP="00D90F0F">
      <w:pPr>
        <w:pStyle w:val="ManualConsidrant"/>
        <w:rPr>
          <w:noProof/>
        </w:rPr>
      </w:pPr>
      <w:r>
        <w:rPr>
          <w:noProof/>
        </w:rPr>
        <w:t>(9)</w:t>
      </w:r>
      <w:r>
        <w:rPr>
          <w:noProof/>
        </w:rPr>
        <w:tab/>
      </w:r>
      <w:r w:rsidRPr="0016484F">
        <w:rPr>
          <w:noProof/>
        </w:rPr>
        <w:t xml:space="preserve">In </w:t>
      </w:r>
      <w:r w:rsidR="0049281D" w:rsidRPr="0016484F">
        <w:rPr>
          <w:noProof/>
        </w:rPr>
        <w:t xml:space="preserve">accordance </w:t>
      </w:r>
      <w:r w:rsidRPr="0016484F">
        <w:rPr>
          <w:noProof/>
        </w:rPr>
        <w:t>with th</w:t>
      </w:r>
      <w:r w:rsidR="0049281D" w:rsidRPr="0016484F">
        <w:rPr>
          <w:noProof/>
        </w:rPr>
        <w:t>o</w:t>
      </w:r>
      <w:r w:rsidRPr="0016484F">
        <w:rPr>
          <w:noProof/>
        </w:rPr>
        <w:t>se decisions, and with the objective of restoring normal trade relations with Syria and support</w:t>
      </w:r>
      <w:r w:rsidR="005755BC" w:rsidRPr="0016484F">
        <w:rPr>
          <w:noProof/>
        </w:rPr>
        <w:t>ing</w:t>
      </w:r>
      <w:r w:rsidRPr="0016484F">
        <w:rPr>
          <w:noProof/>
        </w:rPr>
        <w:t xml:space="preserve"> the country’s socio-economic recovery, </w:t>
      </w:r>
      <w:r w:rsidR="003818B7" w:rsidRPr="0016484F">
        <w:rPr>
          <w:noProof/>
        </w:rPr>
        <w:t xml:space="preserve">the partial suspension </w:t>
      </w:r>
      <w:r w:rsidR="001D3343" w:rsidRPr="0016484F">
        <w:rPr>
          <w:noProof/>
        </w:rPr>
        <w:t xml:space="preserve">of the application </w:t>
      </w:r>
      <w:r w:rsidR="003818B7" w:rsidRPr="0016484F">
        <w:rPr>
          <w:noProof/>
        </w:rPr>
        <w:t xml:space="preserve">of the Cooperation Agreement </w:t>
      </w:r>
      <w:r w:rsidR="00804EEC" w:rsidRPr="0016484F">
        <w:rPr>
          <w:noProof/>
        </w:rPr>
        <w:t xml:space="preserve">provided for in </w:t>
      </w:r>
      <w:r w:rsidRPr="0016484F">
        <w:rPr>
          <w:noProof/>
        </w:rPr>
        <w:t xml:space="preserve">Decision 2011/523/EU should be </w:t>
      </w:r>
      <w:r w:rsidR="003818B7" w:rsidRPr="0016484F">
        <w:rPr>
          <w:noProof/>
        </w:rPr>
        <w:t>terminated</w:t>
      </w:r>
      <w:r w:rsidR="007B3720" w:rsidRPr="0016484F">
        <w:rPr>
          <w:noProof/>
        </w:rPr>
        <w:t>.</w:t>
      </w:r>
    </w:p>
    <w:p w:rsidR="008810C4" w:rsidRDefault="009C1DE7" w:rsidP="00964A9E">
      <w:pPr>
        <w:pStyle w:val="ManualConsidrant"/>
        <w:spacing w:after="360"/>
        <w:rPr>
          <w:noProof/>
        </w:rPr>
      </w:pPr>
      <w:r>
        <w:rPr>
          <w:noProof/>
        </w:rPr>
        <w:t>(10)</w:t>
      </w:r>
      <w:r>
        <w:rPr>
          <w:noProof/>
        </w:rPr>
        <w:tab/>
        <w:t xml:space="preserve">Decision </w:t>
      </w:r>
      <w:r w:rsidRPr="007B3720">
        <w:rPr>
          <w:noProof/>
        </w:rPr>
        <w:t>2011/523/EU</w:t>
      </w:r>
      <w:r>
        <w:rPr>
          <w:noProof/>
        </w:rPr>
        <w:t xml:space="preserve"> should therefore be repealed</w:t>
      </w:r>
      <w:r w:rsidR="00964A9E">
        <w:rPr>
          <w:noProof/>
        </w:rPr>
        <w:t>,</w:t>
      </w:r>
    </w:p>
    <w:p w:rsidR="008810C4" w:rsidRPr="00FD40BA" w:rsidRDefault="008810C4" w:rsidP="00D90F0F">
      <w:pPr>
        <w:pStyle w:val="Formuledadoption"/>
        <w:rPr>
          <w:noProof/>
        </w:rPr>
      </w:pPr>
      <w:r w:rsidRPr="00FD40BA">
        <w:rPr>
          <w:noProof/>
        </w:rPr>
        <w:t xml:space="preserve">HAS ADOPTED THIS DECISION: </w:t>
      </w:r>
    </w:p>
    <w:p w:rsidR="008810C4" w:rsidRPr="00FD40BA" w:rsidRDefault="008810C4" w:rsidP="00D90F0F">
      <w:pPr>
        <w:pStyle w:val="Titrearticle"/>
        <w:rPr>
          <w:noProof/>
        </w:rPr>
      </w:pPr>
      <w:r w:rsidRPr="00FD40BA">
        <w:rPr>
          <w:noProof/>
        </w:rPr>
        <w:t>Article 1</w:t>
      </w:r>
    </w:p>
    <w:p w:rsidR="001122BE" w:rsidRDefault="005901C9" w:rsidP="009A1C8C">
      <w:pPr>
        <w:rPr>
          <w:noProof/>
        </w:rPr>
      </w:pPr>
      <w:r w:rsidRPr="002126F2">
        <w:rPr>
          <w:noProof/>
        </w:rPr>
        <w:t>Decision 2011/523/EU</w:t>
      </w:r>
      <w:r w:rsidR="004E601A">
        <w:rPr>
          <w:noProof/>
        </w:rPr>
        <w:t xml:space="preserve"> is repealed</w:t>
      </w:r>
      <w:r w:rsidR="0016484F">
        <w:rPr>
          <w:noProof/>
        </w:rPr>
        <w:t>.</w:t>
      </w:r>
    </w:p>
    <w:p w:rsidR="008810C4" w:rsidRPr="00FD40BA" w:rsidRDefault="008810C4" w:rsidP="00D90F0F">
      <w:pPr>
        <w:pStyle w:val="Titrearticle"/>
        <w:keepNext w:val="0"/>
        <w:rPr>
          <w:noProof/>
        </w:rPr>
      </w:pPr>
      <w:r w:rsidRPr="00FD40BA">
        <w:rPr>
          <w:noProof/>
        </w:rPr>
        <w:t xml:space="preserve">Article </w:t>
      </w:r>
      <w:bookmarkStart w:id="8" w:name="_Hlk126129799"/>
      <w:r w:rsidR="004759D0">
        <w:rPr>
          <w:noProof/>
        </w:rPr>
        <w:t>2</w:t>
      </w:r>
      <w:r>
        <w:rPr>
          <w:i w:val="0"/>
          <w:noProof/>
        </w:rPr>
        <w:t xml:space="preserve"> </w:t>
      </w:r>
      <w:r>
        <w:rPr>
          <w:i w:val="0"/>
          <w:noProof/>
        </w:rPr>
        <w:br/>
      </w:r>
      <w:bookmarkEnd w:id="8"/>
    </w:p>
    <w:p w:rsidR="008810C4" w:rsidRDefault="00340B64" w:rsidP="009A1C8C">
      <w:pPr>
        <w:spacing w:after="360"/>
        <w:rPr>
          <w:noProof/>
        </w:rPr>
      </w:pPr>
      <w:r>
        <w:rPr>
          <w:noProof/>
        </w:rPr>
        <w:t xml:space="preserve">This </w:t>
      </w:r>
      <w:r w:rsidRPr="00FD40BA">
        <w:rPr>
          <w:noProof/>
        </w:rPr>
        <w:t xml:space="preserve">Decision shall </w:t>
      </w:r>
      <w:r w:rsidR="009C1DE7">
        <w:rPr>
          <w:noProof/>
        </w:rPr>
        <w:t>take effect on the date of its notification</w:t>
      </w:r>
      <w:r>
        <w:rPr>
          <w:noProof/>
        </w:rPr>
        <w:t>.</w:t>
      </w:r>
    </w:p>
    <w:p w:rsidR="00CC4522" w:rsidRPr="00FD40BA" w:rsidRDefault="00CC4522" w:rsidP="0077018D">
      <w:pPr>
        <w:pStyle w:val="Titrearticle"/>
        <w:rPr>
          <w:noProof/>
        </w:rPr>
      </w:pPr>
      <w:r w:rsidRPr="00FD40BA">
        <w:rPr>
          <w:noProof/>
        </w:rPr>
        <w:t xml:space="preserve">Article </w:t>
      </w:r>
      <w:r>
        <w:rPr>
          <w:noProof/>
        </w:rPr>
        <w:t>3</w:t>
      </w:r>
      <w:r>
        <w:rPr>
          <w:i w:val="0"/>
          <w:noProof/>
        </w:rPr>
        <w:t xml:space="preserve"> </w:t>
      </w:r>
      <w:r>
        <w:rPr>
          <w:i w:val="0"/>
          <w:noProof/>
        </w:rPr>
        <w:br/>
      </w:r>
    </w:p>
    <w:p w:rsidR="00CC4522" w:rsidRPr="00FD40BA" w:rsidRDefault="00CC4522" w:rsidP="00CC4522">
      <w:pPr>
        <w:spacing w:after="360"/>
        <w:rPr>
          <w:noProof/>
        </w:rPr>
      </w:pPr>
      <w:r w:rsidRPr="00E851BB">
        <w:rPr>
          <w:noProof/>
        </w:rPr>
        <w:t xml:space="preserve">This Decision </w:t>
      </w:r>
      <w:r w:rsidRPr="007F4BE3">
        <w:rPr>
          <w:noProof/>
        </w:rPr>
        <w:t xml:space="preserve">is addressed </w:t>
      </w:r>
      <w:r w:rsidRPr="00E851BB">
        <w:rPr>
          <w:noProof/>
        </w:rPr>
        <w:t>to the Syrian Arab Republic.</w:t>
      </w:r>
      <w:r>
        <w:rPr>
          <w:noProof/>
        </w:rPr>
        <w:t xml:space="preserve"> </w:t>
      </w:r>
    </w:p>
    <w:p w:rsidR="008810C4" w:rsidRDefault="00585DF3" w:rsidP="0077018D">
      <w:pPr>
        <w:pStyle w:val="Fait"/>
        <w:rPr>
          <w:noProof/>
        </w:rPr>
      </w:pPr>
      <w:r>
        <w:rPr>
          <w:noProof/>
        </w:rPr>
        <w:t>Done at Brussels,</w:t>
      </w:r>
    </w:p>
    <w:p w:rsidR="008810C4" w:rsidRDefault="008810C4" w:rsidP="0077018D">
      <w:pPr>
        <w:pStyle w:val="Institutionquisigne"/>
        <w:rPr>
          <w:noProof/>
        </w:rPr>
      </w:pPr>
      <w:r w:rsidRPr="008810C4">
        <w:rPr>
          <w:noProof/>
        </w:rPr>
        <w:tab/>
        <w:t>For the Council</w:t>
      </w:r>
    </w:p>
    <w:p w:rsidR="008810C4" w:rsidRPr="00334B30" w:rsidRDefault="008810C4" w:rsidP="004362AC">
      <w:pPr>
        <w:pStyle w:val="Personnequisigne"/>
        <w:rPr>
          <w:noProof/>
          <w:color w:val="008000"/>
        </w:rPr>
      </w:pPr>
      <w:r w:rsidRPr="008810C4">
        <w:rPr>
          <w:noProof/>
        </w:rPr>
        <w:tab/>
        <w:t>The President</w:t>
      </w:r>
    </w:p>
    <w:sectPr w:rsidR="008810C4" w:rsidRPr="00334B30" w:rsidSect="00A32CDE">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C13" w:rsidRDefault="00805C13" w:rsidP="008810C4">
      <w:pPr>
        <w:spacing w:before="0" w:after="0"/>
      </w:pPr>
      <w:r>
        <w:separator/>
      </w:r>
    </w:p>
  </w:endnote>
  <w:endnote w:type="continuationSeparator" w:id="0">
    <w:p w:rsidR="00805C13" w:rsidRDefault="00805C13" w:rsidP="008810C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CDE" w:rsidRPr="00A32CDE" w:rsidRDefault="00A32CDE" w:rsidP="00A32CDE">
    <w:pPr>
      <w:pStyle w:val="Footer"/>
      <w:rPr>
        <w:rFonts w:ascii="Arial" w:hAnsi="Arial" w:cs="Arial"/>
        <w:b/>
        <w:sz w:val="48"/>
      </w:rPr>
    </w:pPr>
    <w:r w:rsidRPr="00A32CDE">
      <w:rPr>
        <w:rFonts w:ascii="Arial" w:hAnsi="Arial" w:cs="Arial"/>
        <w:b/>
        <w:sz w:val="48"/>
      </w:rPr>
      <w:t>EN</w:t>
    </w:r>
    <w:r w:rsidRPr="00A32CDE">
      <w:rPr>
        <w:rFonts w:ascii="Arial" w:hAnsi="Arial" w:cs="Arial"/>
        <w:b/>
        <w:sz w:val="48"/>
      </w:rPr>
      <w:tab/>
    </w:r>
    <w:r w:rsidRPr="00A32CDE">
      <w:rPr>
        <w:rFonts w:ascii="Arial" w:hAnsi="Arial" w:cs="Arial"/>
        <w:b/>
        <w:sz w:val="48"/>
      </w:rPr>
      <w:tab/>
    </w:r>
    <w:r w:rsidRPr="00A32CDE">
      <w:tab/>
    </w:r>
    <w:r w:rsidRPr="00A32CD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CDE" w:rsidRPr="00A32CDE" w:rsidRDefault="00A32CDE" w:rsidP="00A32CDE">
    <w:pPr>
      <w:pStyle w:val="Footer"/>
      <w:rPr>
        <w:rFonts w:ascii="Arial" w:hAnsi="Arial" w:cs="Arial"/>
        <w:b/>
        <w:sz w:val="48"/>
      </w:rPr>
    </w:pPr>
    <w:r w:rsidRPr="00A32CDE">
      <w:rPr>
        <w:rFonts w:ascii="Arial" w:hAnsi="Arial" w:cs="Arial"/>
        <w:b/>
        <w:sz w:val="48"/>
      </w:rPr>
      <w:t>EN</w:t>
    </w:r>
    <w:r w:rsidRPr="00A32CDE">
      <w:rPr>
        <w:rFonts w:ascii="Arial" w:hAnsi="Arial" w:cs="Arial"/>
        <w:b/>
        <w:sz w:val="48"/>
      </w:rPr>
      <w:tab/>
    </w:r>
    <w:r w:rsidRPr="00A32CDE">
      <w:rPr>
        <w:rFonts w:ascii="Arial" w:hAnsi="Arial" w:cs="Arial"/>
        <w:b/>
        <w:sz w:val="48"/>
      </w:rPr>
      <w:tab/>
    </w:r>
    <w:r w:rsidRPr="00A32CDE">
      <w:tab/>
    </w:r>
    <w:r w:rsidRPr="00A32CD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CDE" w:rsidRDefault="00A32C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CDE" w:rsidRPr="00A32CDE" w:rsidRDefault="00A32CDE" w:rsidP="00A32CDE">
    <w:pPr>
      <w:pStyle w:val="Footer"/>
      <w:rPr>
        <w:rFonts w:ascii="Arial" w:hAnsi="Arial" w:cs="Arial"/>
        <w:b/>
        <w:sz w:val="48"/>
      </w:rPr>
    </w:pPr>
    <w:r w:rsidRPr="00A32CDE">
      <w:rPr>
        <w:rFonts w:ascii="Arial" w:hAnsi="Arial" w:cs="Arial"/>
        <w:b/>
        <w:sz w:val="48"/>
      </w:rPr>
      <w:t>EN</w:t>
    </w:r>
    <w:r w:rsidRPr="00A32CDE">
      <w:rPr>
        <w:rFonts w:ascii="Arial" w:hAnsi="Arial" w:cs="Arial"/>
        <w:b/>
        <w:sz w:val="48"/>
      </w:rPr>
      <w:tab/>
    </w:r>
    <w:r>
      <w:fldChar w:fldCharType="begin"/>
    </w:r>
    <w:r>
      <w:instrText xml:space="preserve"> PAGE  \* MERGEFORMAT </w:instrText>
    </w:r>
    <w:r>
      <w:fldChar w:fldCharType="separate"/>
    </w:r>
    <w:r w:rsidR="0077018D">
      <w:rPr>
        <w:noProof/>
      </w:rPr>
      <w:t>6</w:t>
    </w:r>
    <w:r>
      <w:fldChar w:fldCharType="end"/>
    </w:r>
    <w:r>
      <w:tab/>
    </w:r>
    <w:r w:rsidRPr="00A32CDE">
      <w:tab/>
    </w:r>
    <w:r w:rsidRPr="00A32CD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CDE" w:rsidRDefault="00A32CDE" w:rsidP="00A32C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C13" w:rsidRDefault="00805C13" w:rsidP="008810C4">
      <w:pPr>
        <w:spacing w:before="0" w:after="0"/>
      </w:pPr>
      <w:r>
        <w:separator/>
      </w:r>
    </w:p>
  </w:footnote>
  <w:footnote w:type="continuationSeparator" w:id="0">
    <w:p w:rsidR="00805C13" w:rsidRDefault="00805C13" w:rsidP="008810C4">
      <w:pPr>
        <w:spacing w:before="0" w:after="0"/>
      </w:pPr>
      <w:r>
        <w:continuationSeparator/>
      </w:r>
    </w:p>
  </w:footnote>
  <w:footnote w:id="1">
    <w:p w:rsidR="000E152C" w:rsidRPr="004B31EA" w:rsidRDefault="000E152C">
      <w:pPr>
        <w:pStyle w:val="FootnoteText"/>
      </w:pPr>
      <w:r w:rsidRPr="00B31F69">
        <w:rPr>
          <w:rStyle w:val="FootnoteReference"/>
        </w:rPr>
        <w:footnoteRef/>
      </w:r>
      <w:r w:rsidR="004362AC" w:rsidRPr="004B31EA">
        <w:tab/>
      </w:r>
      <w:r w:rsidR="00AC60F5" w:rsidRPr="004B31EA">
        <w:t>Cooperation Agreement between the European Economic Community and the Syrian Arab Republic (</w:t>
      </w:r>
      <w:r w:rsidR="00DB3794" w:rsidRPr="004B31EA">
        <w:t>OJ L 269, 27.9.1978, p. 2</w:t>
      </w:r>
      <w:r w:rsidR="00AC60F5" w:rsidRPr="004B31EA">
        <w:t>, ELI: http://data.europa.eu/eli/agree_internation/1978/2216/oj)</w:t>
      </w:r>
      <w:r w:rsidR="00DB3794" w:rsidRPr="004B31EA">
        <w:t>.</w:t>
      </w:r>
    </w:p>
  </w:footnote>
  <w:footnote w:id="2">
    <w:p w:rsidR="002929DE" w:rsidRPr="0099272F" w:rsidRDefault="002929DE" w:rsidP="002929DE">
      <w:pPr>
        <w:pStyle w:val="FootnoteText"/>
      </w:pPr>
      <w:r w:rsidRPr="00B31F69">
        <w:rPr>
          <w:rStyle w:val="FootnoteReference"/>
        </w:rPr>
        <w:footnoteRef/>
      </w:r>
      <w:r w:rsidRPr="0099272F">
        <w:tab/>
        <w:t>Council Decision 2011/523/EU of 2 September 2011 partially suspending the application of the Cooperation Agreement between the European Economic Community and the Syrian Arab Republic (OJ L 228, 3.9.2011, p. 19, ELI: http://data.europa.eu/eli/dec/2011/523/oj).</w:t>
      </w:r>
    </w:p>
  </w:footnote>
  <w:footnote w:id="3">
    <w:p w:rsidR="003637AA" w:rsidRPr="004B31EA" w:rsidRDefault="003637AA">
      <w:pPr>
        <w:pStyle w:val="FootnoteText"/>
      </w:pPr>
      <w:r w:rsidRPr="00B31F69">
        <w:rPr>
          <w:rStyle w:val="FootnoteReference"/>
        </w:rPr>
        <w:footnoteRef/>
      </w:r>
      <w:bookmarkStart w:id="6" w:name="_Hlk223507126"/>
      <w:r w:rsidR="004362AC" w:rsidRPr="004B31EA">
        <w:tab/>
      </w:r>
      <w:r w:rsidR="002356B8" w:rsidRPr="004B31EA">
        <w:t>Council Decision 2011/522/CFSP of 2 September 2011 amending Decision 2011/273/CFSP concerning restrictive measures against Syria (</w:t>
      </w:r>
      <w:r w:rsidRPr="004B31EA">
        <w:t>OJ L 228, 3.9.2011, p.</w:t>
      </w:r>
      <w:r w:rsidR="00C75C51" w:rsidRPr="004B31EA">
        <w:t xml:space="preserve"> </w:t>
      </w:r>
      <w:r w:rsidRPr="004B31EA">
        <w:t>16</w:t>
      </w:r>
      <w:bookmarkEnd w:id="6"/>
      <w:r w:rsidR="006F3F7A" w:rsidRPr="004B31EA">
        <w:t>, ELI: http://data.europa.eu/eli/dec/2011/522/oj)</w:t>
      </w:r>
      <w:r w:rsidR="00C75C51" w:rsidRPr="004B31EA">
        <w:t>.</w:t>
      </w:r>
    </w:p>
  </w:footnote>
  <w:footnote w:id="4">
    <w:p w:rsidR="00F5251A" w:rsidRPr="004B31EA" w:rsidRDefault="00F5251A">
      <w:pPr>
        <w:pStyle w:val="FootnoteText"/>
      </w:pPr>
      <w:r w:rsidRPr="00B31F69">
        <w:rPr>
          <w:rStyle w:val="FootnoteReference"/>
        </w:rPr>
        <w:footnoteRef/>
      </w:r>
      <w:r w:rsidR="004362AC" w:rsidRPr="004B31EA">
        <w:tab/>
      </w:r>
      <w:r w:rsidR="001E7184" w:rsidRPr="004B31EA">
        <w:t>Council Decision 2012/123/CFSP of 27 February 2012 amending Decision 2011/523/EU partially suspending the application of the Cooperation Agreement between the European Economic Community and the Syrian Arab Republic (</w:t>
      </w:r>
      <w:r w:rsidRPr="004B31EA">
        <w:t xml:space="preserve">OJ L </w:t>
      </w:r>
      <w:r w:rsidR="00655AE1" w:rsidRPr="004B31EA">
        <w:t xml:space="preserve">54, </w:t>
      </w:r>
      <w:r w:rsidR="004B21F3" w:rsidRPr="004B31EA">
        <w:t xml:space="preserve">28.2.2012, </w:t>
      </w:r>
      <w:r w:rsidR="00655AE1" w:rsidRPr="004B31EA">
        <w:t>p.</w:t>
      </w:r>
      <w:r w:rsidR="00C75C51" w:rsidRPr="004B31EA">
        <w:t xml:space="preserve"> </w:t>
      </w:r>
      <w:r w:rsidR="00631B1D" w:rsidRPr="004B31EA">
        <w:t>18</w:t>
      </w:r>
      <w:r w:rsidR="001E7184" w:rsidRPr="004B31EA">
        <w:t>, ELI: http://data.europa.eu/eli/dec/2012/123(1)/oj)</w:t>
      </w:r>
      <w:r w:rsidR="00C75C51" w:rsidRPr="004B31EA">
        <w:t>.</w:t>
      </w:r>
    </w:p>
  </w:footnote>
  <w:footnote w:id="5">
    <w:p w:rsidR="003637AA" w:rsidRPr="004B31EA" w:rsidRDefault="003637AA">
      <w:pPr>
        <w:pStyle w:val="FootnoteText"/>
      </w:pPr>
      <w:r w:rsidRPr="00B31F69">
        <w:rPr>
          <w:rStyle w:val="FootnoteReference"/>
        </w:rPr>
        <w:footnoteRef/>
      </w:r>
      <w:bookmarkStart w:id="7" w:name="_Hlk223507152"/>
      <w:r w:rsidR="004362AC" w:rsidRPr="004B31EA">
        <w:tab/>
      </w:r>
      <w:r w:rsidR="005C6E3D" w:rsidRPr="005C6E3D">
        <w:t xml:space="preserve">Council Decision 2012/122/CFSP of 27 February 2012 amending Decision 2011/782/CFSP concerning restrictive measures against Syria </w:t>
      </w:r>
      <w:r w:rsidR="005C6E3D">
        <w:t>(</w:t>
      </w:r>
      <w:r w:rsidRPr="004B31EA">
        <w:t>O</w:t>
      </w:r>
      <w:r w:rsidR="00C75C51" w:rsidRPr="004B31EA">
        <w:t>J</w:t>
      </w:r>
      <w:r w:rsidRPr="004B31EA">
        <w:t xml:space="preserve"> L 54, 28.2.2012, p.</w:t>
      </w:r>
      <w:r w:rsidR="00C75C51" w:rsidRPr="004B31EA">
        <w:t xml:space="preserve"> </w:t>
      </w:r>
      <w:r w:rsidRPr="004B31EA">
        <w:t>14</w:t>
      </w:r>
      <w:bookmarkEnd w:id="7"/>
      <w:r w:rsidR="005C6E3D">
        <w:t xml:space="preserve">, </w:t>
      </w:r>
      <w:r w:rsidR="005C6E3D" w:rsidRPr="005C6E3D">
        <w:t>ELI: http://data.europa.eu/eli/dec/2012/122(1)/oj</w:t>
      </w:r>
      <w:r w:rsidR="005C6E3D">
        <w:t>)</w:t>
      </w:r>
      <w:r w:rsidR="00C75C51" w:rsidRPr="004B31EA">
        <w:t>.</w:t>
      </w:r>
    </w:p>
  </w:footnote>
  <w:footnote w:id="6">
    <w:p w:rsidR="001C3557" w:rsidRPr="001C3557" w:rsidRDefault="001C3557">
      <w:pPr>
        <w:pStyle w:val="FootnoteText"/>
        <w:rPr>
          <w:lang w:val="en-IE"/>
        </w:rPr>
      </w:pPr>
      <w:r w:rsidRPr="00295DA8">
        <w:rPr>
          <w:rStyle w:val="FootnoteReference"/>
        </w:rPr>
        <w:footnoteRef/>
      </w:r>
      <w:r w:rsidR="00295DA8">
        <w:tab/>
      </w:r>
      <w:r w:rsidRPr="00E10F3D">
        <w:t>Council Decision (CFSP) 2025/406 of 24 February 2025 amending Decision 2013/255/CFSP concerning restrictive measures in view of the situation in Syria</w:t>
      </w:r>
      <w:r>
        <w:t xml:space="preserve"> (</w:t>
      </w:r>
      <w:r w:rsidRPr="00E10F3D">
        <w:rPr>
          <w:i/>
          <w:iCs/>
        </w:rPr>
        <w:t>OJ L, 2025/406, 25.2.2025, ELI: </w:t>
      </w:r>
      <w:hyperlink r:id="rId1" w:tgtFrame="_blank" w:tooltip="Gives access to this document through its ELI URI." w:history="1">
        <w:r w:rsidRPr="00E10F3D">
          <w:rPr>
            <w:rStyle w:val="Hyperlink"/>
            <w:i/>
            <w:iCs/>
          </w:rPr>
          <w:t>http://data.europa.eu/eli/dec/2025/406/oj</w:t>
        </w:r>
      </w:hyperlink>
      <w:r>
        <w:t>).</w:t>
      </w:r>
    </w:p>
  </w:footnote>
  <w:footnote w:id="7">
    <w:p w:rsidR="00717F6A" w:rsidRPr="007635C5" w:rsidRDefault="00717F6A" w:rsidP="00717F6A">
      <w:pPr>
        <w:pStyle w:val="FootnoteText"/>
        <w:rPr>
          <w:lang w:val="en-IE"/>
        </w:rPr>
      </w:pPr>
      <w:r w:rsidRPr="00E15B24">
        <w:rPr>
          <w:rStyle w:val="FootnoteReference"/>
        </w:rPr>
        <w:footnoteRef/>
      </w:r>
      <w:r w:rsidR="00E15B24">
        <w:tab/>
      </w:r>
      <w:r w:rsidRPr="00E10F3D">
        <w:t>Council Decision (CFSP) 2025/1096 of 27 May 2025 amending Decision 2013/255/CFSP concerning restrictive measures in view of the situation in Syria</w:t>
      </w:r>
      <w:r>
        <w:t xml:space="preserve"> (</w:t>
      </w:r>
      <w:r w:rsidRPr="00E10F3D">
        <w:rPr>
          <w:i/>
          <w:iCs/>
        </w:rPr>
        <w:t>OJ L, 2025/1096, 28.5.2025, ELI: </w:t>
      </w:r>
      <w:hyperlink r:id="rId2" w:tgtFrame="_blank" w:tooltip="Gives access to this document through its ELI URI." w:history="1">
        <w:r w:rsidRPr="00E10F3D">
          <w:rPr>
            <w:rStyle w:val="Hyperlink"/>
            <w:i/>
            <w:iCs/>
          </w:rPr>
          <w:t>http://data.europa.eu/eli/dec/2025/1096/oj</w:t>
        </w:r>
      </w:hyperlink>
      <w:r>
        <w:t>)</w:t>
      </w:r>
      <w:r w:rsidR="001C355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CDE" w:rsidRDefault="00A32C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2CDE" w:rsidRDefault="00A32C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16 12:32: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AA9DED6-16C8-4E40-91F1-01365471D358"/>
    <w:docVar w:name="LW_COVERPAGE_TYPE" w:val="1"/>
    <w:docVar w:name="LW_CreatedUtc" w:val="2026-01-21T14:40:59.7418192Z"/>
    <w:docVar w:name="LW_CROSSREFERENCE" w:val="&lt;UNUSED&gt;"/>
    <w:docVar w:name="LW_DocType" w:val="COM"/>
    <w:docVar w:name="LW_EMISSION" w:val="20.4.2026"/>
    <w:docVar w:name="LW_EMISSION_ISODATE" w:val="2026-04-20"/>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93"/>
    <w:docVar w:name="LW_REF.II.NEW.CP_YEAR" w:val="2026"/>
    <w:docVar w:name="LW_REF.INST.NEW" w:val="COM"/>
    <w:docVar w:name="LW_REF.INST.NEW_ADOPTED" w:val="final"/>
    <w:docVar w:name="LW_REF.INST.NEW_TEXT" w:val="(2026) 16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terminating the partial suspension of the Cooperation Agreement between the European Economic Community and the Syrian Arab Republic and repealing Decision 2011/523/EU "/>
    <w:docVar w:name="LW_TYPE.DOC.CP" w:val="COUNCIL DECISION"/>
    <w:docVar w:name="LwApiVersions" w:val="LW4CoDe 1.24.5.0; LW 9.2, Build 20251112"/>
  </w:docVars>
  <w:rsids>
    <w:rsidRoot w:val="008810C4"/>
    <w:rsid w:val="000024E6"/>
    <w:rsid w:val="00011239"/>
    <w:rsid w:val="00011392"/>
    <w:rsid w:val="0001236D"/>
    <w:rsid w:val="00013898"/>
    <w:rsid w:val="00014777"/>
    <w:rsid w:val="000157E7"/>
    <w:rsid w:val="00021BFF"/>
    <w:rsid w:val="00033268"/>
    <w:rsid w:val="000406CD"/>
    <w:rsid w:val="000422BC"/>
    <w:rsid w:val="00046314"/>
    <w:rsid w:val="000611EC"/>
    <w:rsid w:val="00061853"/>
    <w:rsid w:val="00062698"/>
    <w:rsid w:val="00065E5A"/>
    <w:rsid w:val="000673B3"/>
    <w:rsid w:val="00067E52"/>
    <w:rsid w:val="000732A7"/>
    <w:rsid w:val="00073A5F"/>
    <w:rsid w:val="000918E0"/>
    <w:rsid w:val="0009428C"/>
    <w:rsid w:val="0009484D"/>
    <w:rsid w:val="000A0369"/>
    <w:rsid w:val="000A4D69"/>
    <w:rsid w:val="000A4FD5"/>
    <w:rsid w:val="000A50F7"/>
    <w:rsid w:val="000B2714"/>
    <w:rsid w:val="000B63A3"/>
    <w:rsid w:val="000C5AA9"/>
    <w:rsid w:val="000D065C"/>
    <w:rsid w:val="000D1877"/>
    <w:rsid w:val="000D2482"/>
    <w:rsid w:val="000D5D19"/>
    <w:rsid w:val="000D5D29"/>
    <w:rsid w:val="000D6D6A"/>
    <w:rsid w:val="000E09C5"/>
    <w:rsid w:val="000E152C"/>
    <w:rsid w:val="000E296A"/>
    <w:rsid w:val="000F450A"/>
    <w:rsid w:val="000F4FEB"/>
    <w:rsid w:val="000F6051"/>
    <w:rsid w:val="00102ACD"/>
    <w:rsid w:val="00103CE6"/>
    <w:rsid w:val="001059B8"/>
    <w:rsid w:val="001065F5"/>
    <w:rsid w:val="00111CD3"/>
    <w:rsid w:val="001122BE"/>
    <w:rsid w:val="00112894"/>
    <w:rsid w:val="00115190"/>
    <w:rsid w:val="00115AC5"/>
    <w:rsid w:val="00117F4B"/>
    <w:rsid w:val="001238EF"/>
    <w:rsid w:val="00125C1A"/>
    <w:rsid w:val="00133AC6"/>
    <w:rsid w:val="001347EA"/>
    <w:rsid w:val="00142184"/>
    <w:rsid w:val="00144733"/>
    <w:rsid w:val="001449E6"/>
    <w:rsid w:val="00150FB3"/>
    <w:rsid w:val="0016484F"/>
    <w:rsid w:val="00164AA2"/>
    <w:rsid w:val="00164C12"/>
    <w:rsid w:val="0016567D"/>
    <w:rsid w:val="00167BDA"/>
    <w:rsid w:val="001713E2"/>
    <w:rsid w:val="00173C16"/>
    <w:rsid w:val="001751D7"/>
    <w:rsid w:val="00176599"/>
    <w:rsid w:val="00183028"/>
    <w:rsid w:val="00187E7F"/>
    <w:rsid w:val="00194E15"/>
    <w:rsid w:val="00195D38"/>
    <w:rsid w:val="00197613"/>
    <w:rsid w:val="00197CB1"/>
    <w:rsid w:val="001A19A1"/>
    <w:rsid w:val="001A75F4"/>
    <w:rsid w:val="001A771F"/>
    <w:rsid w:val="001A7831"/>
    <w:rsid w:val="001B59E5"/>
    <w:rsid w:val="001B718E"/>
    <w:rsid w:val="001C3557"/>
    <w:rsid w:val="001C3944"/>
    <w:rsid w:val="001C3B7E"/>
    <w:rsid w:val="001D13FC"/>
    <w:rsid w:val="001D3343"/>
    <w:rsid w:val="001D38B0"/>
    <w:rsid w:val="001D4D09"/>
    <w:rsid w:val="001E3619"/>
    <w:rsid w:val="001E42A8"/>
    <w:rsid w:val="001E7184"/>
    <w:rsid w:val="001F1F49"/>
    <w:rsid w:val="001F37C9"/>
    <w:rsid w:val="001F6513"/>
    <w:rsid w:val="00200F54"/>
    <w:rsid w:val="00202B67"/>
    <w:rsid w:val="00203F4B"/>
    <w:rsid w:val="002126F2"/>
    <w:rsid w:val="002175B3"/>
    <w:rsid w:val="00221935"/>
    <w:rsid w:val="00222358"/>
    <w:rsid w:val="002227BC"/>
    <w:rsid w:val="002259B7"/>
    <w:rsid w:val="002269E4"/>
    <w:rsid w:val="002304F1"/>
    <w:rsid w:val="00233DC7"/>
    <w:rsid w:val="002356B8"/>
    <w:rsid w:val="00236289"/>
    <w:rsid w:val="0023666A"/>
    <w:rsid w:val="00240C8D"/>
    <w:rsid w:val="00241899"/>
    <w:rsid w:val="00242F6E"/>
    <w:rsid w:val="00247779"/>
    <w:rsid w:val="0025071B"/>
    <w:rsid w:val="0025502B"/>
    <w:rsid w:val="00257082"/>
    <w:rsid w:val="00277E56"/>
    <w:rsid w:val="00285BEE"/>
    <w:rsid w:val="00286171"/>
    <w:rsid w:val="00290BAF"/>
    <w:rsid w:val="00291793"/>
    <w:rsid w:val="002929DE"/>
    <w:rsid w:val="0029510D"/>
    <w:rsid w:val="0029533F"/>
    <w:rsid w:val="00295DA8"/>
    <w:rsid w:val="002962F4"/>
    <w:rsid w:val="002A0CFB"/>
    <w:rsid w:val="002B291A"/>
    <w:rsid w:val="002B30AF"/>
    <w:rsid w:val="002B48CA"/>
    <w:rsid w:val="002B6153"/>
    <w:rsid w:val="002C655F"/>
    <w:rsid w:val="002D124D"/>
    <w:rsid w:val="002D1C53"/>
    <w:rsid w:val="002D48A5"/>
    <w:rsid w:val="002D5043"/>
    <w:rsid w:val="002E14FB"/>
    <w:rsid w:val="002E18AF"/>
    <w:rsid w:val="002E3136"/>
    <w:rsid w:val="002E42DD"/>
    <w:rsid w:val="002E704D"/>
    <w:rsid w:val="002F078B"/>
    <w:rsid w:val="002F273F"/>
    <w:rsid w:val="002F276D"/>
    <w:rsid w:val="002F4069"/>
    <w:rsid w:val="003015BE"/>
    <w:rsid w:val="003053D3"/>
    <w:rsid w:val="003118E5"/>
    <w:rsid w:val="00314CA8"/>
    <w:rsid w:val="00316778"/>
    <w:rsid w:val="003218B6"/>
    <w:rsid w:val="00322016"/>
    <w:rsid w:val="00324C3E"/>
    <w:rsid w:val="00325BFC"/>
    <w:rsid w:val="003310F8"/>
    <w:rsid w:val="003311EB"/>
    <w:rsid w:val="0033344A"/>
    <w:rsid w:val="003339D0"/>
    <w:rsid w:val="00333DCF"/>
    <w:rsid w:val="003362EE"/>
    <w:rsid w:val="003407E3"/>
    <w:rsid w:val="00340B64"/>
    <w:rsid w:val="00342950"/>
    <w:rsid w:val="003436AB"/>
    <w:rsid w:val="0034574A"/>
    <w:rsid w:val="00350695"/>
    <w:rsid w:val="00351E05"/>
    <w:rsid w:val="00351E63"/>
    <w:rsid w:val="00355B84"/>
    <w:rsid w:val="003637AA"/>
    <w:rsid w:val="00366078"/>
    <w:rsid w:val="00367AC8"/>
    <w:rsid w:val="003718FA"/>
    <w:rsid w:val="00372622"/>
    <w:rsid w:val="00373355"/>
    <w:rsid w:val="003818B7"/>
    <w:rsid w:val="003832E9"/>
    <w:rsid w:val="0039023E"/>
    <w:rsid w:val="003907A6"/>
    <w:rsid w:val="00391C64"/>
    <w:rsid w:val="003A2095"/>
    <w:rsid w:val="003A2DDB"/>
    <w:rsid w:val="003A6C9E"/>
    <w:rsid w:val="003B1F2C"/>
    <w:rsid w:val="003B2930"/>
    <w:rsid w:val="003B4273"/>
    <w:rsid w:val="003B5C18"/>
    <w:rsid w:val="003B723A"/>
    <w:rsid w:val="003C039F"/>
    <w:rsid w:val="003C04D1"/>
    <w:rsid w:val="003C1753"/>
    <w:rsid w:val="003C6A54"/>
    <w:rsid w:val="003D19AF"/>
    <w:rsid w:val="003D299F"/>
    <w:rsid w:val="003E2A31"/>
    <w:rsid w:val="003E4961"/>
    <w:rsid w:val="003E5523"/>
    <w:rsid w:val="003E5E74"/>
    <w:rsid w:val="003E7601"/>
    <w:rsid w:val="003F11BD"/>
    <w:rsid w:val="003F1967"/>
    <w:rsid w:val="003F2440"/>
    <w:rsid w:val="003F245E"/>
    <w:rsid w:val="003F3335"/>
    <w:rsid w:val="003F4D77"/>
    <w:rsid w:val="003F66A7"/>
    <w:rsid w:val="003F7828"/>
    <w:rsid w:val="004068DE"/>
    <w:rsid w:val="00413619"/>
    <w:rsid w:val="0041417A"/>
    <w:rsid w:val="00417F0C"/>
    <w:rsid w:val="0042347A"/>
    <w:rsid w:val="004261FC"/>
    <w:rsid w:val="0042648E"/>
    <w:rsid w:val="00426B0E"/>
    <w:rsid w:val="00430170"/>
    <w:rsid w:val="00430F92"/>
    <w:rsid w:val="00433645"/>
    <w:rsid w:val="0043378E"/>
    <w:rsid w:val="004362AC"/>
    <w:rsid w:val="00442F1B"/>
    <w:rsid w:val="004462A7"/>
    <w:rsid w:val="0044661D"/>
    <w:rsid w:val="0045139D"/>
    <w:rsid w:val="00456B63"/>
    <w:rsid w:val="00462DE2"/>
    <w:rsid w:val="00462E64"/>
    <w:rsid w:val="00472C38"/>
    <w:rsid w:val="00473722"/>
    <w:rsid w:val="00473EDF"/>
    <w:rsid w:val="0047479E"/>
    <w:rsid w:val="004759D0"/>
    <w:rsid w:val="004764D3"/>
    <w:rsid w:val="00480018"/>
    <w:rsid w:val="00480470"/>
    <w:rsid w:val="00483F43"/>
    <w:rsid w:val="0049281D"/>
    <w:rsid w:val="004936D2"/>
    <w:rsid w:val="00496C34"/>
    <w:rsid w:val="004A1D7D"/>
    <w:rsid w:val="004A29CB"/>
    <w:rsid w:val="004A7AB5"/>
    <w:rsid w:val="004B21F3"/>
    <w:rsid w:val="004B31EA"/>
    <w:rsid w:val="004B5783"/>
    <w:rsid w:val="004B6BA4"/>
    <w:rsid w:val="004C1929"/>
    <w:rsid w:val="004C1A9E"/>
    <w:rsid w:val="004C3C46"/>
    <w:rsid w:val="004D3AE5"/>
    <w:rsid w:val="004D73C1"/>
    <w:rsid w:val="004E04AB"/>
    <w:rsid w:val="004E1815"/>
    <w:rsid w:val="004E1A41"/>
    <w:rsid w:val="004E2003"/>
    <w:rsid w:val="004E39C5"/>
    <w:rsid w:val="004E4FAA"/>
    <w:rsid w:val="004E59B8"/>
    <w:rsid w:val="004E601A"/>
    <w:rsid w:val="004E6C14"/>
    <w:rsid w:val="004E760D"/>
    <w:rsid w:val="004F07BB"/>
    <w:rsid w:val="0050039C"/>
    <w:rsid w:val="00501EF4"/>
    <w:rsid w:val="00503A99"/>
    <w:rsid w:val="00505435"/>
    <w:rsid w:val="00507038"/>
    <w:rsid w:val="00517ADB"/>
    <w:rsid w:val="005234E2"/>
    <w:rsid w:val="005250D5"/>
    <w:rsid w:val="005331E3"/>
    <w:rsid w:val="00533A3E"/>
    <w:rsid w:val="0054660C"/>
    <w:rsid w:val="005503F9"/>
    <w:rsid w:val="005522AB"/>
    <w:rsid w:val="005579AB"/>
    <w:rsid w:val="00561D41"/>
    <w:rsid w:val="00563875"/>
    <w:rsid w:val="00566072"/>
    <w:rsid w:val="00570314"/>
    <w:rsid w:val="00570EFA"/>
    <w:rsid w:val="00574721"/>
    <w:rsid w:val="005755BC"/>
    <w:rsid w:val="00585A0B"/>
    <w:rsid w:val="00585DF3"/>
    <w:rsid w:val="005901C9"/>
    <w:rsid w:val="005908D9"/>
    <w:rsid w:val="0059329F"/>
    <w:rsid w:val="005A247A"/>
    <w:rsid w:val="005A3AA4"/>
    <w:rsid w:val="005A67B5"/>
    <w:rsid w:val="005A69D3"/>
    <w:rsid w:val="005A6F4C"/>
    <w:rsid w:val="005B1EB6"/>
    <w:rsid w:val="005B4B26"/>
    <w:rsid w:val="005C5F84"/>
    <w:rsid w:val="005C6E3D"/>
    <w:rsid w:val="005C730C"/>
    <w:rsid w:val="005D1585"/>
    <w:rsid w:val="005D1F90"/>
    <w:rsid w:val="005D572D"/>
    <w:rsid w:val="005D7BA2"/>
    <w:rsid w:val="005E3EB4"/>
    <w:rsid w:val="005F0CC0"/>
    <w:rsid w:val="005F3D38"/>
    <w:rsid w:val="005F4CD0"/>
    <w:rsid w:val="005F5A9F"/>
    <w:rsid w:val="005F6596"/>
    <w:rsid w:val="005F71DB"/>
    <w:rsid w:val="00602059"/>
    <w:rsid w:val="006050CB"/>
    <w:rsid w:val="006058EA"/>
    <w:rsid w:val="00605946"/>
    <w:rsid w:val="00611A3E"/>
    <w:rsid w:val="00612A43"/>
    <w:rsid w:val="00614809"/>
    <w:rsid w:val="00615790"/>
    <w:rsid w:val="00617E31"/>
    <w:rsid w:val="00617EF1"/>
    <w:rsid w:val="00620BC0"/>
    <w:rsid w:val="00620E99"/>
    <w:rsid w:val="0063143A"/>
    <w:rsid w:val="00631B1D"/>
    <w:rsid w:val="00631D77"/>
    <w:rsid w:val="00633528"/>
    <w:rsid w:val="006335E3"/>
    <w:rsid w:val="00634358"/>
    <w:rsid w:val="00635AF4"/>
    <w:rsid w:val="00636C8B"/>
    <w:rsid w:val="00636E44"/>
    <w:rsid w:val="00641A6D"/>
    <w:rsid w:val="006475BB"/>
    <w:rsid w:val="006515B7"/>
    <w:rsid w:val="00651EC3"/>
    <w:rsid w:val="00654641"/>
    <w:rsid w:val="00654CCF"/>
    <w:rsid w:val="00655AE1"/>
    <w:rsid w:val="00663EFD"/>
    <w:rsid w:val="006662AF"/>
    <w:rsid w:val="00667DB5"/>
    <w:rsid w:val="006721ED"/>
    <w:rsid w:val="00672387"/>
    <w:rsid w:val="00675B8F"/>
    <w:rsid w:val="0067633C"/>
    <w:rsid w:val="00676FBB"/>
    <w:rsid w:val="006807E0"/>
    <w:rsid w:val="00681132"/>
    <w:rsid w:val="00681651"/>
    <w:rsid w:val="00682960"/>
    <w:rsid w:val="0069236B"/>
    <w:rsid w:val="006A0EB9"/>
    <w:rsid w:val="006A2F08"/>
    <w:rsid w:val="006A3647"/>
    <w:rsid w:val="006A4725"/>
    <w:rsid w:val="006A5580"/>
    <w:rsid w:val="006A563E"/>
    <w:rsid w:val="006A5CF3"/>
    <w:rsid w:val="006A6C53"/>
    <w:rsid w:val="006B4ECE"/>
    <w:rsid w:val="006B788C"/>
    <w:rsid w:val="006C0C81"/>
    <w:rsid w:val="006C3EB5"/>
    <w:rsid w:val="006C726C"/>
    <w:rsid w:val="006D2851"/>
    <w:rsid w:val="006D663C"/>
    <w:rsid w:val="006E41A7"/>
    <w:rsid w:val="006E5427"/>
    <w:rsid w:val="006E68EF"/>
    <w:rsid w:val="006E7902"/>
    <w:rsid w:val="006F1AB7"/>
    <w:rsid w:val="006F3C60"/>
    <w:rsid w:val="006F3F7A"/>
    <w:rsid w:val="006F46DD"/>
    <w:rsid w:val="006F4D1E"/>
    <w:rsid w:val="006F538B"/>
    <w:rsid w:val="007049C8"/>
    <w:rsid w:val="00704CC6"/>
    <w:rsid w:val="007066F4"/>
    <w:rsid w:val="0070755B"/>
    <w:rsid w:val="00711030"/>
    <w:rsid w:val="00711CF3"/>
    <w:rsid w:val="00713D09"/>
    <w:rsid w:val="00716C07"/>
    <w:rsid w:val="00717F6A"/>
    <w:rsid w:val="00723A93"/>
    <w:rsid w:val="007265CA"/>
    <w:rsid w:val="0074501B"/>
    <w:rsid w:val="00746381"/>
    <w:rsid w:val="00752A99"/>
    <w:rsid w:val="0075736D"/>
    <w:rsid w:val="007632ED"/>
    <w:rsid w:val="0077018D"/>
    <w:rsid w:val="00773331"/>
    <w:rsid w:val="007843ED"/>
    <w:rsid w:val="00792FA2"/>
    <w:rsid w:val="007932EF"/>
    <w:rsid w:val="0079601A"/>
    <w:rsid w:val="00796436"/>
    <w:rsid w:val="007A0A12"/>
    <w:rsid w:val="007A1517"/>
    <w:rsid w:val="007B16AC"/>
    <w:rsid w:val="007B3720"/>
    <w:rsid w:val="007B4646"/>
    <w:rsid w:val="007B5684"/>
    <w:rsid w:val="007B5CFC"/>
    <w:rsid w:val="007B6A64"/>
    <w:rsid w:val="007C399B"/>
    <w:rsid w:val="007C4003"/>
    <w:rsid w:val="007C50A3"/>
    <w:rsid w:val="007D3BD5"/>
    <w:rsid w:val="007D4877"/>
    <w:rsid w:val="007D4A21"/>
    <w:rsid w:val="007D6682"/>
    <w:rsid w:val="007E05B0"/>
    <w:rsid w:val="007E7870"/>
    <w:rsid w:val="007E7CDE"/>
    <w:rsid w:val="007F0C70"/>
    <w:rsid w:val="007F0ED7"/>
    <w:rsid w:val="007F19FB"/>
    <w:rsid w:val="007F270F"/>
    <w:rsid w:val="007F3279"/>
    <w:rsid w:val="007F4BBF"/>
    <w:rsid w:val="007F4BE3"/>
    <w:rsid w:val="007F7FF0"/>
    <w:rsid w:val="00804EEC"/>
    <w:rsid w:val="00805C13"/>
    <w:rsid w:val="00806927"/>
    <w:rsid w:val="00806DDF"/>
    <w:rsid w:val="0081287D"/>
    <w:rsid w:val="00812EC7"/>
    <w:rsid w:val="00821B64"/>
    <w:rsid w:val="008274B7"/>
    <w:rsid w:val="0083548E"/>
    <w:rsid w:val="00836385"/>
    <w:rsid w:val="00836F70"/>
    <w:rsid w:val="0084690D"/>
    <w:rsid w:val="00846E5E"/>
    <w:rsid w:val="00852A3C"/>
    <w:rsid w:val="00860D53"/>
    <w:rsid w:val="00860D92"/>
    <w:rsid w:val="00861632"/>
    <w:rsid w:val="00865C83"/>
    <w:rsid w:val="0086630C"/>
    <w:rsid w:val="008666B7"/>
    <w:rsid w:val="00867C58"/>
    <w:rsid w:val="00872445"/>
    <w:rsid w:val="00872D60"/>
    <w:rsid w:val="00874A65"/>
    <w:rsid w:val="00874D22"/>
    <w:rsid w:val="008810C4"/>
    <w:rsid w:val="008838A5"/>
    <w:rsid w:val="00885910"/>
    <w:rsid w:val="008859BE"/>
    <w:rsid w:val="00891B6A"/>
    <w:rsid w:val="00893139"/>
    <w:rsid w:val="00894C21"/>
    <w:rsid w:val="008957EE"/>
    <w:rsid w:val="008A2914"/>
    <w:rsid w:val="008A470F"/>
    <w:rsid w:val="008A6BE9"/>
    <w:rsid w:val="008A740F"/>
    <w:rsid w:val="008A765D"/>
    <w:rsid w:val="008B57A9"/>
    <w:rsid w:val="008C6453"/>
    <w:rsid w:val="008C7825"/>
    <w:rsid w:val="008D0242"/>
    <w:rsid w:val="008D70E4"/>
    <w:rsid w:val="008E3491"/>
    <w:rsid w:val="008E4D8E"/>
    <w:rsid w:val="008F0A28"/>
    <w:rsid w:val="008F1987"/>
    <w:rsid w:val="008F1D20"/>
    <w:rsid w:val="008F5E32"/>
    <w:rsid w:val="008F7F55"/>
    <w:rsid w:val="0090350F"/>
    <w:rsid w:val="00905762"/>
    <w:rsid w:val="00905B01"/>
    <w:rsid w:val="00907215"/>
    <w:rsid w:val="009175CE"/>
    <w:rsid w:val="00921BBD"/>
    <w:rsid w:val="00926AC0"/>
    <w:rsid w:val="00930712"/>
    <w:rsid w:val="00930B5B"/>
    <w:rsid w:val="0093269A"/>
    <w:rsid w:val="00932AFD"/>
    <w:rsid w:val="00937DAC"/>
    <w:rsid w:val="009434C1"/>
    <w:rsid w:val="0094651E"/>
    <w:rsid w:val="009535C2"/>
    <w:rsid w:val="00954C17"/>
    <w:rsid w:val="00957D96"/>
    <w:rsid w:val="0096185A"/>
    <w:rsid w:val="00963966"/>
    <w:rsid w:val="00964A9E"/>
    <w:rsid w:val="0096787C"/>
    <w:rsid w:val="00982DB7"/>
    <w:rsid w:val="00983740"/>
    <w:rsid w:val="00984C51"/>
    <w:rsid w:val="009877C5"/>
    <w:rsid w:val="00987B3E"/>
    <w:rsid w:val="009943DB"/>
    <w:rsid w:val="009A1C8C"/>
    <w:rsid w:val="009A3E4C"/>
    <w:rsid w:val="009A4453"/>
    <w:rsid w:val="009B0C4D"/>
    <w:rsid w:val="009B4B96"/>
    <w:rsid w:val="009B5AF8"/>
    <w:rsid w:val="009B762E"/>
    <w:rsid w:val="009B7B4A"/>
    <w:rsid w:val="009C03C2"/>
    <w:rsid w:val="009C1DE7"/>
    <w:rsid w:val="009C3D35"/>
    <w:rsid w:val="009C67B0"/>
    <w:rsid w:val="009D6583"/>
    <w:rsid w:val="009F1C4F"/>
    <w:rsid w:val="009F3156"/>
    <w:rsid w:val="009F426D"/>
    <w:rsid w:val="00A03985"/>
    <w:rsid w:val="00A069B9"/>
    <w:rsid w:val="00A073B9"/>
    <w:rsid w:val="00A07731"/>
    <w:rsid w:val="00A209BE"/>
    <w:rsid w:val="00A20BC5"/>
    <w:rsid w:val="00A21099"/>
    <w:rsid w:val="00A254CC"/>
    <w:rsid w:val="00A25DF6"/>
    <w:rsid w:val="00A30736"/>
    <w:rsid w:val="00A31DB7"/>
    <w:rsid w:val="00A31F73"/>
    <w:rsid w:val="00A32CDE"/>
    <w:rsid w:val="00A33CFD"/>
    <w:rsid w:val="00A3796A"/>
    <w:rsid w:val="00A41430"/>
    <w:rsid w:val="00A46E7F"/>
    <w:rsid w:val="00A52F7A"/>
    <w:rsid w:val="00A56D84"/>
    <w:rsid w:val="00A61E97"/>
    <w:rsid w:val="00A63B0F"/>
    <w:rsid w:val="00A668FD"/>
    <w:rsid w:val="00A671BA"/>
    <w:rsid w:val="00A71400"/>
    <w:rsid w:val="00A75DC1"/>
    <w:rsid w:val="00A75DD8"/>
    <w:rsid w:val="00A76C11"/>
    <w:rsid w:val="00A85142"/>
    <w:rsid w:val="00A91AA5"/>
    <w:rsid w:val="00A91E6A"/>
    <w:rsid w:val="00A9429D"/>
    <w:rsid w:val="00A9442C"/>
    <w:rsid w:val="00A95AC8"/>
    <w:rsid w:val="00A96032"/>
    <w:rsid w:val="00AA4A2B"/>
    <w:rsid w:val="00AA72D9"/>
    <w:rsid w:val="00AA7405"/>
    <w:rsid w:val="00AB1882"/>
    <w:rsid w:val="00AC1475"/>
    <w:rsid w:val="00AC1A20"/>
    <w:rsid w:val="00AC24C1"/>
    <w:rsid w:val="00AC60F5"/>
    <w:rsid w:val="00AD04D2"/>
    <w:rsid w:val="00AD4911"/>
    <w:rsid w:val="00AD5CF0"/>
    <w:rsid w:val="00AD7F18"/>
    <w:rsid w:val="00AE3C87"/>
    <w:rsid w:val="00AF011A"/>
    <w:rsid w:val="00AF2628"/>
    <w:rsid w:val="00AF2806"/>
    <w:rsid w:val="00AF2954"/>
    <w:rsid w:val="00AF30D0"/>
    <w:rsid w:val="00AF66E2"/>
    <w:rsid w:val="00B00F9A"/>
    <w:rsid w:val="00B01E6D"/>
    <w:rsid w:val="00B05117"/>
    <w:rsid w:val="00B064F6"/>
    <w:rsid w:val="00B075EB"/>
    <w:rsid w:val="00B264D6"/>
    <w:rsid w:val="00B27C8E"/>
    <w:rsid w:val="00B31F69"/>
    <w:rsid w:val="00B35822"/>
    <w:rsid w:val="00B4016B"/>
    <w:rsid w:val="00B40C5F"/>
    <w:rsid w:val="00B40E3C"/>
    <w:rsid w:val="00B420F5"/>
    <w:rsid w:val="00B4506E"/>
    <w:rsid w:val="00B511FC"/>
    <w:rsid w:val="00B63CF0"/>
    <w:rsid w:val="00B63DD2"/>
    <w:rsid w:val="00B65637"/>
    <w:rsid w:val="00B70420"/>
    <w:rsid w:val="00B7423C"/>
    <w:rsid w:val="00B843DB"/>
    <w:rsid w:val="00B847AD"/>
    <w:rsid w:val="00B85E84"/>
    <w:rsid w:val="00B8692B"/>
    <w:rsid w:val="00B92BC6"/>
    <w:rsid w:val="00B95E33"/>
    <w:rsid w:val="00B969B9"/>
    <w:rsid w:val="00B972CC"/>
    <w:rsid w:val="00BA06F6"/>
    <w:rsid w:val="00BA17C8"/>
    <w:rsid w:val="00BA337A"/>
    <w:rsid w:val="00BB39EC"/>
    <w:rsid w:val="00BB5969"/>
    <w:rsid w:val="00BB5C13"/>
    <w:rsid w:val="00BC321C"/>
    <w:rsid w:val="00BC3947"/>
    <w:rsid w:val="00BC5CF7"/>
    <w:rsid w:val="00BC6CFB"/>
    <w:rsid w:val="00BD2D1A"/>
    <w:rsid w:val="00BD3418"/>
    <w:rsid w:val="00BD383A"/>
    <w:rsid w:val="00BD5169"/>
    <w:rsid w:val="00BD5F2F"/>
    <w:rsid w:val="00BE6C2F"/>
    <w:rsid w:val="00BE6EE0"/>
    <w:rsid w:val="00BE7AA4"/>
    <w:rsid w:val="00BF21B5"/>
    <w:rsid w:val="00BF30AC"/>
    <w:rsid w:val="00BF3671"/>
    <w:rsid w:val="00BF5E03"/>
    <w:rsid w:val="00C00208"/>
    <w:rsid w:val="00C01BDD"/>
    <w:rsid w:val="00C01DD7"/>
    <w:rsid w:val="00C02369"/>
    <w:rsid w:val="00C05176"/>
    <w:rsid w:val="00C05D0C"/>
    <w:rsid w:val="00C0625C"/>
    <w:rsid w:val="00C10B64"/>
    <w:rsid w:val="00C12301"/>
    <w:rsid w:val="00C12D4D"/>
    <w:rsid w:val="00C13907"/>
    <w:rsid w:val="00C16C0C"/>
    <w:rsid w:val="00C22E5C"/>
    <w:rsid w:val="00C24BDE"/>
    <w:rsid w:val="00C24D75"/>
    <w:rsid w:val="00C27448"/>
    <w:rsid w:val="00C30A74"/>
    <w:rsid w:val="00C31BF4"/>
    <w:rsid w:val="00C33106"/>
    <w:rsid w:val="00C343E7"/>
    <w:rsid w:val="00C36438"/>
    <w:rsid w:val="00C37AD4"/>
    <w:rsid w:val="00C42825"/>
    <w:rsid w:val="00C443B2"/>
    <w:rsid w:val="00C46AD5"/>
    <w:rsid w:val="00C505BC"/>
    <w:rsid w:val="00C56CAA"/>
    <w:rsid w:val="00C6019D"/>
    <w:rsid w:val="00C61C8A"/>
    <w:rsid w:val="00C6340B"/>
    <w:rsid w:val="00C6403C"/>
    <w:rsid w:val="00C6493D"/>
    <w:rsid w:val="00C65D30"/>
    <w:rsid w:val="00C739A0"/>
    <w:rsid w:val="00C75C51"/>
    <w:rsid w:val="00C85694"/>
    <w:rsid w:val="00C87077"/>
    <w:rsid w:val="00C90488"/>
    <w:rsid w:val="00C9207D"/>
    <w:rsid w:val="00C96BCB"/>
    <w:rsid w:val="00CA391E"/>
    <w:rsid w:val="00CA3B36"/>
    <w:rsid w:val="00CA41AE"/>
    <w:rsid w:val="00CA6243"/>
    <w:rsid w:val="00CA6559"/>
    <w:rsid w:val="00CA6CD1"/>
    <w:rsid w:val="00CA739E"/>
    <w:rsid w:val="00CB09E8"/>
    <w:rsid w:val="00CB114D"/>
    <w:rsid w:val="00CB1158"/>
    <w:rsid w:val="00CB2DE4"/>
    <w:rsid w:val="00CB4D4D"/>
    <w:rsid w:val="00CC2220"/>
    <w:rsid w:val="00CC43E9"/>
    <w:rsid w:val="00CC4522"/>
    <w:rsid w:val="00CC4EBA"/>
    <w:rsid w:val="00CC5060"/>
    <w:rsid w:val="00CC5D72"/>
    <w:rsid w:val="00CC7D5C"/>
    <w:rsid w:val="00CC7F0B"/>
    <w:rsid w:val="00CD2E58"/>
    <w:rsid w:val="00CD3EBD"/>
    <w:rsid w:val="00CD4E38"/>
    <w:rsid w:val="00CE130A"/>
    <w:rsid w:val="00CF53BF"/>
    <w:rsid w:val="00D00162"/>
    <w:rsid w:val="00D07351"/>
    <w:rsid w:val="00D07956"/>
    <w:rsid w:val="00D15D6B"/>
    <w:rsid w:val="00D20381"/>
    <w:rsid w:val="00D22E00"/>
    <w:rsid w:val="00D22FED"/>
    <w:rsid w:val="00D25C48"/>
    <w:rsid w:val="00D328C3"/>
    <w:rsid w:val="00D37001"/>
    <w:rsid w:val="00D37643"/>
    <w:rsid w:val="00D420F5"/>
    <w:rsid w:val="00D508AE"/>
    <w:rsid w:val="00D55FF0"/>
    <w:rsid w:val="00D625BF"/>
    <w:rsid w:val="00D674A4"/>
    <w:rsid w:val="00D8629E"/>
    <w:rsid w:val="00D871C2"/>
    <w:rsid w:val="00D90F0F"/>
    <w:rsid w:val="00D91ECF"/>
    <w:rsid w:val="00D9428F"/>
    <w:rsid w:val="00D96DAA"/>
    <w:rsid w:val="00D973F3"/>
    <w:rsid w:val="00DA474E"/>
    <w:rsid w:val="00DA7AD8"/>
    <w:rsid w:val="00DB15DD"/>
    <w:rsid w:val="00DB3794"/>
    <w:rsid w:val="00DC34D7"/>
    <w:rsid w:val="00DC52CA"/>
    <w:rsid w:val="00DC5359"/>
    <w:rsid w:val="00DC7E63"/>
    <w:rsid w:val="00DD2DBF"/>
    <w:rsid w:val="00DD3D96"/>
    <w:rsid w:val="00DD5C36"/>
    <w:rsid w:val="00DE092D"/>
    <w:rsid w:val="00DE381B"/>
    <w:rsid w:val="00DE3C9E"/>
    <w:rsid w:val="00DE3E52"/>
    <w:rsid w:val="00DE5A09"/>
    <w:rsid w:val="00DE5A81"/>
    <w:rsid w:val="00DE60C9"/>
    <w:rsid w:val="00DE6A62"/>
    <w:rsid w:val="00DF01A7"/>
    <w:rsid w:val="00DF19CD"/>
    <w:rsid w:val="00DF1C64"/>
    <w:rsid w:val="00DF1E55"/>
    <w:rsid w:val="00DF5674"/>
    <w:rsid w:val="00E0280F"/>
    <w:rsid w:val="00E02A5C"/>
    <w:rsid w:val="00E030EA"/>
    <w:rsid w:val="00E031D1"/>
    <w:rsid w:val="00E06F5B"/>
    <w:rsid w:val="00E07631"/>
    <w:rsid w:val="00E07A8A"/>
    <w:rsid w:val="00E07C0B"/>
    <w:rsid w:val="00E11F91"/>
    <w:rsid w:val="00E15B24"/>
    <w:rsid w:val="00E17711"/>
    <w:rsid w:val="00E21873"/>
    <w:rsid w:val="00E21999"/>
    <w:rsid w:val="00E2397B"/>
    <w:rsid w:val="00E25490"/>
    <w:rsid w:val="00E27B2A"/>
    <w:rsid w:val="00E327A2"/>
    <w:rsid w:val="00E32D2E"/>
    <w:rsid w:val="00E41C52"/>
    <w:rsid w:val="00E42066"/>
    <w:rsid w:val="00E45A26"/>
    <w:rsid w:val="00E45CE2"/>
    <w:rsid w:val="00E46178"/>
    <w:rsid w:val="00E51A87"/>
    <w:rsid w:val="00E52696"/>
    <w:rsid w:val="00E56B07"/>
    <w:rsid w:val="00E61F3C"/>
    <w:rsid w:val="00E633BA"/>
    <w:rsid w:val="00E664ED"/>
    <w:rsid w:val="00E678C8"/>
    <w:rsid w:val="00E7113D"/>
    <w:rsid w:val="00E83CC2"/>
    <w:rsid w:val="00E851BB"/>
    <w:rsid w:val="00E857F1"/>
    <w:rsid w:val="00E874B1"/>
    <w:rsid w:val="00E90454"/>
    <w:rsid w:val="00E91C54"/>
    <w:rsid w:val="00EA0338"/>
    <w:rsid w:val="00EA0F14"/>
    <w:rsid w:val="00EA2717"/>
    <w:rsid w:val="00EA2EAA"/>
    <w:rsid w:val="00EA427D"/>
    <w:rsid w:val="00EA7271"/>
    <w:rsid w:val="00EA7A6A"/>
    <w:rsid w:val="00EB1C67"/>
    <w:rsid w:val="00EC12A1"/>
    <w:rsid w:val="00EC1EF0"/>
    <w:rsid w:val="00EC4EDE"/>
    <w:rsid w:val="00EC5473"/>
    <w:rsid w:val="00EC6960"/>
    <w:rsid w:val="00EC7182"/>
    <w:rsid w:val="00ED22B1"/>
    <w:rsid w:val="00ED347A"/>
    <w:rsid w:val="00EE1A9A"/>
    <w:rsid w:val="00EE1F8E"/>
    <w:rsid w:val="00EF4617"/>
    <w:rsid w:val="00F02EFE"/>
    <w:rsid w:val="00F07E3C"/>
    <w:rsid w:val="00F11B1E"/>
    <w:rsid w:val="00F155C5"/>
    <w:rsid w:val="00F15BCC"/>
    <w:rsid w:val="00F17A8F"/>
    <w:rsid w:val="00F205F2"/>
    <w:rsid w:val="00F313A5"/>
    <w:rsid w:val="00F321BC"/>
    <w:rsid w:val="00F32914"/>
    <w:rsid w:val="00F33141"/>
    <w:rsid w:val="00F36868"/>
    <w:rsid w:val="00F43D02"/>
    <w:rsid w:val="00F4495B"/>
    <w:rsid w:val="00F45041"/>
    <w:rsid w:val="00F522B2"/>
    <w:rsid w:val="00F5251A"/>
    <w:rsid w:val="00F61FFF"/>
    <w:rsid w:val="00F74F1A"/>
    <w:rsid w:val="00F801C0"/>
    <w:rsid w:val="00F87D23"/>
    <w:rsid w:val="00F9580B"/>
    <w:rsid w:val="00F95C04"/>
    <w:rsid w:val="00F9777E"/>
    <w:rsid w:val="00FA14A5"/>
    <w:rsid w:val="00FA6621"/>
    <w:rsid w:val="00FB1016"/>
    <w:rsid w:val="00FB410C"/>
    <w:rsid w:val="00FB4D66"/>
    <w:rsid w:val="00FC0290"/>
    <w:rsid w:val="00FC3011"/>
    <w:rsid w:val="00FC30EA"/>
    <w:rsid w:val="00FC38AE"/>
    <w:rsid w:val="00FC38F8"/>
    <w:rsid w:val="00FC51FF"/>
    <w:rsid w:val="00FC7EDD"/>
    <w:rsid w:val="00FD2CED"/>
    <w:rsid w:val="00FD795C"/>
    <w:rsid w:val="00FE44C7"/>
    <w:rsid w:val="00FE550D"/>
    <w:rsid w:val="00FF183F"/>
    <w:rsid w:val="00FF261B"/>
    <w:rsid w:val="00FF2748"/>
    <w:rsid w:val="00FF2BB9"/>
    <w:rsid w:val="00FF458A"/>
    <w:rsid w:val="00FF4BF9"/>
    <w:rsid w:val="00FF5A62"/>
    <w:rsid w:val="00FF5F14"/>
    <w:rsid w:val="0BCDE2CA"/>
    <w:rsid w:val="0CCC737C"/>
    <w:rsid w:val="0F67F480"/>
    <w:rsid w:val="15F028DD"/>
    <w:rsid w:val="19CA1085"/>
    <w:rsid w:val="35DA1C42"/>
    <w:rsid w:val="446083BB"/>
    <w:rsid w:val="464C3CC3"/>
    <w:rsid w:val="4EF21E8B"/>
    <w:rsid w:val="67F8DC16"/>
    <w:rsid w:val="6B116C3C"/>
    <w:rsid w:val="6CD93B73"/>
    <w:rsid w:val="71E55F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C08AE10E-A79B-4A33-B8BE-74C37358A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8810C4"/>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8810C4"/>
    <w:pPr>
      <w:numPr>
        <w:numId w:val="6"/>
      </w:numPr>
      <w:tabs>
        <w:tab w:val="clear" w:pos="709"/>
      </w:tabs>
      <w:ind w:left="0" w:firstLine="0"/>
    </w:pPr>
    <w:rPr>
      <w:rFonts w:eastAsia="Times New Roman"/>
      <w:lang w:eastAsia="de-DE"/>
    </w:rPr>
  </w:style>
  <w:style w:type="paragraph" w:customStyle="1" w:styleId="ListBullet1">
    <w:name w:val="List Bullet 1"/>
    <w:basedOn w:val="Normal"/>
    <w:rsid w:val="008810C4"/>
    <w:pPr>
      <w:numPr>
        <w:numId w:val="1"/>
      </w:numPr>
      <w:tabs>
        <w:tab w:val="clear" w:pos="1134"/>
      </w:tabs>
      <w:ind w:left="0" w:firstLine="0"/>
    </w:pPr>
    <w:rPr>
      <w:rFonts w:eastAsia="Times New Roman"/>
      <w:lang w:eastAsia="de-DE"/>
    </w:rPr>
  </w:style>
  <w:style w:type="paragraph" w:customStyle="1" w:styleId="ListDash">
    <w:name w:val="List Dash"/>
    <w:basedOn w:val="Normal"/>
    <w:rsid w:val="008810C4"/>
    <w:pPr>
      <w:numPr>
        <w:numId w:val="3"/>
      </w:numPr>
      <w:tabs>
        <w:tab w:val="clear" w:pos="283"/>
      </w:tabs>
      <w:ind w:left="0" w:firstLine="0"/>
    </w:pPr>
    <w:rPr>
      <w:rFonts w:eastAsia="Times New Roman"/>
      <w:lang w:eastAsia="de-DE"/>
    </w:rPr>
  </w:style>
  <w:style w:type="paragraph" w:customStyle="1" w:styleId="ListDash1">
    <w:name w:val="List Dash 1"/>
    <w:basedOn w:val="Normal"/>
    <w:rsid w:val="008810C4"/>
    <w:pPr>
      <w:numPr>
        <w:numId w:val="4"/>
      </w:numPr>
      <w:tabs>
        <w:tab w:val="clear" w:pos="1134"/>
      </w:tabs>
      <w:ind w:left="0" w:firstLine="0"/>
    </w:pPr>
    <w:rPr>
      <w:rFonts w:eastAsia="Times New Roman"/>
      <w:lang w:eastAsia="de-DE"/>
    </w:rPr>
  </w:style>
  <w:style w:type="paragraph" w:customStyle="1" w:styleId="ListDash2">
    <w:name w:val="List Dash 2"/>
    <w:basedOn w:val="Normal"/>
    <w:rsid w:val="008810C4"/>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8810C4"/>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8810C4"/>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8810C4"/>
    <w:pPr>
      <w:numPr>
        <w:ilvl w:val="3"/>
        <w:numId w:val="6"/>
      </w:numPr>
      <w:tabs>
        <w:tab w:val="clear" w:pos="2835"/>
      </w:tabs>
      <w:ind w:left="0" w:firstLine="0"/>
    </w:pPr>
    <w:rPr>
      <w:rFonts w:eastAsia="Times New Roman"/>
      <w:lang w:eastAsia="de-DE"/>
    </w:rPr>
  </w:style>
  <w:style w:type="table" w:styleId="TableGrid">
    <w:name w:val="Table Grid"/>
    <w:basedOn w:val="TableNormal"/>
    <w:rsid w:val="008810C4"/>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810C4"/>
    <w:rPr>
      <w:color w:val="0000FF"/>
      <w:u w:val="single"/>
    </w:rPr>
  </w:style>
  <w:style w:type="paragraph" w:styleId="ListBullet">
    <w:name w:val="List Bullet"/>
    <w:basedOn w:val="Normal"/>
    <w:rsid w:val="008810C4"/>
    <w:pPr>
      <w:numPr>
        <w:numId w:val="7"/>
      </w:numPr>
      <w:tabs>
        <w:tab w:val="clear" w:pos="283"/>
      </w:tabs>
      <w:ind w:left="0" w:firstLine="0"/>
    </w:pPr>
    <w:rPr>
      <w:rFonts w:eastAsia="Times New Roman"/>
      <w:lang w:val="fr-FR" w:eastAsia="en-GB"/>
    </w:rPr>
  </w:style>
  <w:style w:type="paragraph" w:styleId="ListBullet2">
    <w:name w:val="List Bullet 2"/>
    <w:basedOn w:val="Normal"/>
    <w:rsid w:val="008810C4"/>
    <w:pPr>
      <w:numPr>
        <w:numId w:val="8"/>
      </w:numPr>
      <w:tabs>
        <w:tab w:val="clear" w:pos="1134"/>
      </w:tabs>
      <w:ind w:left="0" w:firstLine="0"/>
    </w:pPr>
    <w:rPr>
      <w:rFonts w:eastAsia="Times New Roman"/>
      <w:lang w:val="fr-FR" w:eastAsia="en-GB"/>
    </w:rPr>
  </w:style>
  <w:style w:type="paragraph" w:styleId="ListBullet3">
    <w:name w:val="List Bullet 3"/>
    <w:basedOn w:val="Normal"/>
    <w:rsid w:val="008810C4"/>
    <w:pPr>
      <w:numPr>
        <w:numId w:val="9"/>
      </w:numPr>
      <w:tabs>
        <w:tab w:val="clear" w:pos="1134"/>
      </w:tabs>
      <w:ind w:left="0" w:firstLine="0"/>
    </w:pPr>
    <w:rPr>
      <w:rFonts w:eastAsia="Times New Roman"/>
      <w:lang w:val="fr-FR" w:eastAsia="en-GB"/>
    </w:rPr>
  </w:style>
  <w:style w:type="paragraph" w:styleId="ListNumber2">
    <w:name w:val="List Number 2"/>
    <w:basedOn w:val="Normal"/>
    <w:rsid w:val="008810C4"/>
    <w:pPr>
      <w:numPr>
        <w:numId w:val="13"/>
      </w:numPr>
      <w:tabs>
        <w:tab w:val="clear" w:pos="1560"/>
      </w:tabs>
      <w:ind w:left="0" w:firstLine="0"/>
    </w:pPr>
    <w:rPr>
      <w:rFonts w:eastAsia="Times New Roman"/>
      <w:lang w:val="fr-FR" w:eastAsia="en-GB"/>
    </w:rPr>
  </w:style>
  <w:style w:type="paragraph" w:styleId="ListNumber3">
    <w:name w:val="List Number 3"/>
    <w:basedOn w:val="Normal"/>
    <w:rsid w:val="008810C4"/>
    <w:pPr>
      <w:numPr>
        <w:numId w:val="14"/>
      </w:numPr>
      <w:tabs>
        <w:tab w:val="clear" w:pos="1560"/>
      </w:tabs>
      <w:ind w:left="0" w:firstLine="0"/>
    </w:pPr>
    <w:rPr>
      <w:rFonts w:eastAsia="Times New Roman"/>
      <w:lang w:val="fr-FR" w:eastAsia="en-GB"/>
    </w:rPr>
  </w:style>
  <w:style w:type="paragraph" w:styleId="ListNumber4">
    <w:name w:val="List Number 4"/>
    <w:basedOn w:val="Normal"/>
    <w:rsid w:val="008810C4"/>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8810C4"/>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8810C4"/>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8810C4"/>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8810C4"/>
    <w:pPr>
      <w:numPr>
        <w:ilvl w:val="1"/>
        <w:numId w:val="12"/>
      </w:numPr>
      <w:tabs>
        <w:tab w:val="clear" w:pos="2268"/>
      </w:tabs>
      <w:ind w:left="0" w:firstLine="0"/>
    </w:pPr>
    <w:rPr>
      <w:rFonts w:eastAsia="Times New Roman"/>
      <w:lang w:val="fr-FR" w:eastAsia="en-GB"/>
    </w:rPr>
  </w:style>
  <w:style w:type="paragraph" w:customStyle="1" w:styleId="ListNumber2Level2">
    <w:name w:val="List Number 2 (Level 2)"/>
    <w:basedOn w:val="Text2"/>
    <w:rsid w:val="008810C4"/>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8810C4"/>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8810C4"/>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8810C4"/>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8810C4"/>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8810C4"/>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8810C4"/>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8810C4"/>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8810C4"/>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8810C4"/>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8810C4"/>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8810C4"/>
    <w:pPr>
      <w:jc w:val="center"/>
    </w:pPr>
    <w:rPr>
      <w:rFonts w:eastAsia="Times New Roman"/>
      <w:b/>
      <w:u w:val="single"/>
      <w:lang w:val="fr-FR" w:eastAsia="en-GB"/>
    </w:rPr>
  </w:style>
  <w:style w:type="paragraph" w:customStyle="1" w:styleId="Annexetitreexposglobal">
    <w:name w:val="Annexe titre (exposé global)"/>
    <w:basedOn w:val="Normal"/>
    <w:next w:val="Normal"/>
    <w:rsid w:val="008810C4"/>
    <w:pPr>
      <w:jc w:val="center"/>
    </w:pPr>
    <w:rPr>
      <w:rFonts w:eastAsia="Times New Roman"/>
      <w:b/>
      <w:u w:val="single"/>
      <w:lang w:val="fr-FR" w:eastAsia="en-GB"/>
    </w:rPr>
  </w:style>
  <w:style w:type="paragraph" w:customStyle="1" w:styleId="Annexetitrefichefinacte">
    <w:name w:val="Annexe titre (fiche fin. acte)"/>
    <w:basedOn w:val="Normal"/>
    <w:next w:val="Normal"/>
    <w:rsid w:val="008810C4"/>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8810C4"/>
    <w:pPr>
      <w:jc w:val="center"/>
    </w:pPr>
    <w:rPr>
      <w:rFonts w:eastAsia="Times New Roman"/>
      <w:b/>
      <w:u w:val="single"/>
      <w:lang w:val="fr-FR" w:eastAsia="en-GB"/>
    </w:rPr>
  </w:style>
  <w:style w:type="paragraph" w:customStyle="1" w:styleId="Annexetitreglobale">
    <w:name w:val="Annexe titre (globale)"/>
    <w:basedOn w:val="Normal"/>
    <w:next w:val="Normal"/>
    <w:rsid w:val="008810C4"/>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8810C4"/>
    <w:pPr>
      <w:jc w:val="center"/>
    </w:pPr>
    <w:rPr>
      <w:rFonts w:eastAsia="Times New Roman"/>
      <w:b/>
      <w:u w:val="single"/>
      <w:lang w:val="fr-FR" w:eastAsia="en-GB"/>
    </w:rPr>
  </w:style>
  <w:style w:type="paragraph" w:customStyle="1" w:styleId="Langueoriginale">
    <w:name w:val="Langue originale"/>
    <w:basedOn w:val="Normal"/>
    <w:rsid w:val="008810C4"/>
    <w:pPr>
      <w:spacing w:before="360"/>
      <w:jc w:val="center"/>
    </w:pPr>
    <w:rPr>
      <w:rFonts w:eastAsia="Times New Roman"/>
      <w:caps/>
      <w:lang w:val="fr-FR" w:eastAsia="en-GB"/>
    </w:rPr>
  </w:style>
  <w:style w:type="paragraph" w:customStyle="1" w:styleId="Phrasefinale">
    <w:name w:val="Phrase finale"/>
    <w:basedOn w:val="Normal"/>
    <w:next w:val="Normal"/>
    <w:rsid w:val="008810C4"/>
    <w:pPr>
      <w:spacing w:before="360" w:after="0"/>
      <w:jc w:val="center"/>
    </w:pPr>
    <w:rPr>
      <w:rFonts w:eastAsia="Times New Roman"/>
      <w:lang w:val="fr-FR" w:eastAsia="en-GB"/>
    </w:rPr>
  </w:style>
  <w:style w:type="paragraph" w:customStyle="1" w:styleId="Prliminairetitre">
    <w:name w:val="Préliminaire titre"/>
    <w:basedOn w:val="Normal"/>
    <w:next w:val="Normal"/>
    <w:rsid w:val="008810C4"/>
    <w:pPr>
      <w:spacing w:before="360" w:after="360"/>
      <w:jc w:val="center"/>
    </w:pPr>
    <w:rPr>
      <w:rFonts w:eastAsia="Times New Roman"/>
      <w:b/>
      <w:lang w:val="fr-FR" w:eastAsia="en-GB"/>
    </w:rPr>
  </w:style>
  <w:style w:type="paragraph" w:customStyle="1" w:styleId="Prliminairetype">
    <w:name w:val="Préliminaire type"/>
    <w:basedOn w:val="Normal"/>
    <w:next w:val="Normal"/>
    <w:rsid w:val="008810C4"/>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8810C4"/>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8810C4"/>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8810C4"/>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8810C4"/>
    <w:pPr>
      <w:spacing w:before="0" w:after="0"/>
      <w:jc w:val="center"/>
    </w:pPr>
    <w:rPr>
      <w:rFonts w:eastAsia="Times New Roman"/>
      <w:b/>
      <w:lang w:val="fr-FR" w:eastAsia="en-GB"/>
    </w:rPr>
  </w:style>
  <w:style w:type="paragraph" w:customStyle="1" w:styleId="Statutprliminaire">
    <w:name w:val="Statut (préliminaire)"/>
    <w:basedOn w:val="Normal"/>
    <w:next w:val="Normal"/>
    <w:rsid w:val="008810C4"/>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8810C4"/>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8810C4"/>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8810C4"/>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8810C4"/>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8810C4"/>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8810C4"/>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8810C4"/>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8810C4"/>
    <w:pPr>
      <w:jc w:val="center"/>
    </w:pPr>
    <w:rPr>
      <w:rFonts w:eastAsia="Times New Roman"/>
      <w:b/>
      <w:u w:val="single"/>
      <w:lang w:val="fr-FR" w:eastAsia="en-GB"/>
    </w:rPr>
  </w:style>
  <w:style w:type="character" w:styleId="CommentReference">
    <w:name w:val="annotation reference"/>
    <w:rsid w:val="008810C4"/>
    <w:rPr>
      <w:rFonts w:cs="Times New Roman"/>
      <w:sz w:val="16"/>
      <w:szCs w:val="16"/>
    </w:rPr>
  </w:style>
  <w:style w:type="paragraph" w:styleId="CommentText">
    <w:name w:val="annotation text"/>
    <w:basedOn w:val="Normal"/>
    <w:link w:val="CommentTextChar"/>
    <w:rsid w:val="008810C4"/>
    <w:rPr>
      <w:rFonts w:eastAsia="Times New Roman"/>
      <w:sz w:val="20"/>
      <w:szCs w:val="20"/>
      <w:lang w:val="fr-FR" w:eastAsia="en-GB"/>
    </w:rPr>
  </w:style>
  <w:style w:type="character" w:customStyle="1" w:styleId="CommentTextChar">
    <w:name w:val="Comment Text Char"/>
    <w:basedOn w:val="DefaultParagraphFont"/>
    <w:link w:val="CommentText"/>
    <w:rsid w:val="008810C4"/>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8810C4"/>
    <w:rPr>
      <w:b/>
      <w:bCs/>
    </w:rPr>
  </w:style>
  <w:style w:type="character" w:customStyle="1" w:styleId="CommentSubjectChar">
    <w:name w:val="Comment Subject Char"/>
    <w:basedOn w:val="CommentTextChar"/>
    <w:link w:val="CommentSubject"/>
    <w:rsid w:val="008810C4"/>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8810C4"/>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8810C4"/>
    <w:rPr>
      <w:rFonts w:ascii="Tahoma" w:eastAsia="Times New Roman" w:hAnsi="Tahoma" w:cs="Tahoma"/>
      <w:sz w:val="16"/>
      <w:szCs w:val="16"/>
      <w:lang w:val="fr-FR" w:eastAsia="en-GB"/>
    </w:rPr>
  </w:style>
  <w:style w:type="paragraph" w:styleId="Caption">
    <w:name w:val="caption"/>
    <w:basedOn w:val="Normal"/>
    <w:next w:val="Normal"/>
    <w:qFormat/>
    <w:rsid w:val="008810C4"/>
    <w:rPr>
      <w:rFonts w:eastAsia="Times New Roman"/>
      <w:b/>
      <w:bCs/>
      <w:sz w:val="20"/>
      <w:szCs w:val="20"/>
      <w:lang w:val="fr-FR" w:eastAsia="en-GB"/>
    </w:rPr>
  </w:style>
  <w:style w:type="paragraph" w:styleId="TableofFigures">
    <w:name w:val="table of figures"/>
    <w:basedOn w:val="Normal"/>
    <w:next w:val="Normal"/>
    <w:rsid w:val="008810C4"/>
    <w:rPr>
      <w:rFonts w:eastAsia="Times New Roman"/>
      <w:lang w:val="fr-FR" w:eastAsia="en-GB"/>
    </w:rPr>
  </w:style>
  <w:style w:type="character" w:styleId="PageNumber">
    <w:name w:val="page number"/>
    <w:rsid w:val="008810C4"/>
  </w:style>
  <w:style w:type="character" w:customStyle="1" w:styleId="tw4winMark">
    <w:name w:val="tw4winMark"/>
    <w:rsid w:val="008810C4"/>
    <w:rPr>
      <w:vanish/>
      <w:color w:val="800080"/>
      <w:vertAlign w:val="subscript"/>
    </w:rPr>
  </w:style>
  <w:style w:type="character" w:styleId="FollowedHyperlink">
    <w:name w:val="FollowedHyperlink"/>
    <w:rsid w:val="008810C4"/>
    <w:rPr>
      <w:color w:val="800080"/>
      <w:u w:val="single"/>
    </w:rPr>
  </w:style>
  <w:style w:type="paragraph" w:customStyle="1" w:styleId="Sous-titreobjet">
    <w:name w:val="Sous-titre objet"/>
    <w:basedOn w:val="Normal"/>
    <w:rsid w:val="008810C4"/>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8810C4"/>
  </w:style>
  <w:style w:type="paragraph" w:styleId="Revision">
    <w:name w:val="Revision"/>
    <w:hidden/>
    <w:uiPriority w:val="99"/>
    <w:semiHidden/>
    <w:rsid w:val="008810C4"/>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8810C4"/>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8810C4"/>
    <w:rPr>
      <w:rFonts w:ascii="Times New Roman" w:hAnsi="Times New Roman" w:cs="Times New Roman"/>
      <w:b/>
      <w:sz w:val="28"/>
      <w:lang w:val="en-GB"/>
    </w:rPr>
  </w:style>
  <w:style w:type="character" w:customStyle="1" w:styleId="FooterCoverPageChar">
    <w:name w:val="Footer Cover Page Char"/>
    <w:link w:val="FooterCoverPage"/>
    <w:rsid w:val="008810C4"/>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8810C4"/>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8810C4"/>
    <w:rPr>
      <w:rFonts w:ascii="Times New Roman" w:eastAsia="Calibri" w:hAnsi="Times New Roman" w:cs="Times New Roman"/>
      <w:sz w:val="24"/>
      <w:lang w:val="en-GB" w:eastAsia="en-GB"/>
    </w:rPr>
  </w:style>
  <w:style w:type="character" w:customStyle="1" w:styleId="FooterSensitivityChar">
    <w:name w:val="Footer Sensitivity Char"/>
    <w:rsid w:val="008810C4"/>
    <w:rPr>
      <w:rFonts w:ascii="Times New Roman" w:hAnsi="Times New Roman" w:cs="Times New Roman"/>
      <w:b/>
      <w:sz w:val="32"/>
      <w:lang w:val="en-GB"/>
    </w:rPr>
  </w:style>
  <w:style w:type="character" w:customStyle="1" w:styleId="HeaderSensitivityChar">
    <w:name w:val="Header Sensitivity Char"/>
    <w:rsid w:val="008810C4"/>
    <w:rPr>
      <w:rFonts w:ascii="Times New Roman" w:hAnsi="Times New Roman" w:cs="Times New Roman"/>
      <w:b/>
      <w:sz w:val="32"/>
      <w:lang w:val="en-GB"/>
    </w:rPr>
  </w:style>
  <w:style w:type="character" w:customStyle="1" w:styleId="HeaderSensitivityRightChar">
    <w:name w:val="Header Sensitivity Right Char"/>
    <w:rsid w:val="008810C4"/>
    <w:rPr>
      <w:rFonts w:ascii="Times New Roman" w:hAnsi="Times New Roman" w:cs="Times New Roman"/>
      <w:sz w:val="28"/>
      <w:lang w:val="en-GB"/>
    </w:rPr>
  </w:style>
  <w:style w:type="paragraph" w:customStyle="1" w:styleId="LegalNumPar">
    <w:name w:val="LegalNumPar"/>
    <w:basedOn w:val="Normal"/>
    <w:rsid w:val="008810C4"/>
    <w:pPr>
      <w:numPr>
        <w:numId w:val="16"/>
      </w:numPr>
      <w:spacing w:line="360" w:lineRule="auto"/>
      <w:ind w:left="0" w:firstLine="0"/>
    </w:pPr>
    <w:rPr>
      <w:rFonts w:eastAsia="Times New Roman"/>
      <w:lang w:eastAsia="en-GB"/>
    </w:rPr>
  </w:style>
  <w:style w:type="paragraph" w:customStyle="1" w:styleId="LegalNumPar2">
    <w:name w:val="LegalNumPar2"/>
    <w:basedOn w:val="Normal"/>
    <w:rsid w:val="008810C4"/>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8810C4"/>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8810C4"/>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8810C4"/>
    <w:rPr>
      <w:color w:val="605E5C"/>
      <w:shd w:val="clear" w:color="auto" w:fill="E1DFDD"/>
    </w:rPr>
  </w:style>
  <w:style w:type="character" w:styleId="Strong">
    <w:name w:val="Strong"/>
    <w:basedOn w:val="DefaultParagraphFont"/>
    <w:qFormat/>
    <w:rsid w:val="008810C4"/>
    <w:rPr>
      <w:b/>
      <w:bCs/>
    </w:rPr>
  </w:style>
  <w:style w:type="character" w:styleId="Emphasis">
    <w:name w:val="Emphasis"/>
    <w:basedOn w:val="DefaultParagraphFont"/>
    <w:qFormat/>
    <w:rsid w:val="008810C4"/>
    <w:rPr>
      <w:i/>
      <w:iCs/>
    </w:rPr>
  </w:style>
  <w:style w:type="character" w:customStyle="1" w:styleId="Mention">
    <w:name w:val="Mention"/>
    <w:basedOn w:val="DefaultParagraphFont"/>
    <w:uiPriority w:val="99"/>
    <w:unhideWhenUsed/>
    <w:rsid w:val="008810C4"/>
    <w:rPr>
      <w:color w:val="2B579A"/>
      <w:shd w:val="clear" w:color="auto" w:fill="E1DFDD"/>
    </w:rPr>
  </w:style>
  <w:style w:type="character" w:customStyle="1" w:styleId="normaltextrun">
    <w:name w:val="normaltextrun"/>
    <w:basedOn w:val="DefaultParagraphFont"/>
    <w:rsid w:val="008810C4"/>
  </w:style>
  <w:style w:type="character" w:customStyle="1" w:styleId="eop">
    <w:name w:val="eop"/>
    <w:basedOn w:val="DefaultParagraphFont"/>
    <w:rsid w:val="008810C4"/>
  </w:style>
  <w:style w:type="character" w:customStyle="1" w:styleId="HeaderChar">
    <w:name w:val="Header Char"/>
    <w:basedOn w:val="DefaultParagraphFont"/>
    <w:link w:val="Header"/>
    <w:uiPriority w:val="99"/>
    <w:rsid w:val="00A32CDE"/>
    <w:rPr>
      <w:rFonts w:ascii="Times New Roman" w:hAnsi="Times New Roman" w:cs="Times New Roman"/>
      <w:sz w:val="24"/>
      <w:lang w:val="en-GB"/>
    </w:rPr>
  </w:style>
  <w:style w:type="character" w:customStyle="1" w:styleId="FooterChar">
    <w:name w:val="Footer Char"/>
    <w:basedOn w:val="DefaultParagraphFont"/>
    <w:link w:val="Footer"/>
    <w:uiPriority w:val="99"/>
    <w:rsid w:val="00A32CD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32CD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32CDE"/>
    <w:pPr>
      <w:spacing w:before="0"/>
      <w:jc w:val="right"/>
    </w:pPr>
    <w:rPr>
      <w:sz w:val="28"/>
    </w:rPr>
  </w:style>
  <w:style w:type="paragraph" w:customStyle="1" w:styleId="FooterSensitivity">
    <w:name w:val="Footer Sensitivity"/>
    <w:basedOn w:val="Normal"/>
    <w:rsid w:val="00A32CD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32CDE"/>
    <w:pPr>
      <w:tabs>
        <w:tab w:val="center" w:pos="4535"/>
        <w:tab w:val="right" w:pos="9071"/>
      </w:tabs>
      <w:spacing w:before="0"/>
    </w:pPr>
  </w:style>
  <w:style w:type="paragraph" w:customStyle="1" w:styleId="HeaderLandscape">
    <w:name w:val="HeaderLandscape"/>
    <w:basedOn w:val="Normal"/>
    <w:rsid w:val="00A32CDE"/>
    <w:pPr>
      <w:tabs>
        <w:tab w:val="center" w:pos="7285"/>
        <w:tab w:val="right" w:pos="14003"/>
      </w:tabs>
      <w:spacing w:before="0"/>
    </w:pPr>
  </w:style>
  <w:style w:type="paragraph" w:styleId="Footer">
    <w:name w:val="footer"/>
    <w:basedOn w:val="Normal"/>
    <w:link w:val="FooterChar"/>
    <w:uiPriority w:val="99"/>
    <w:unhideWhenUsed/>
    <w:rsid w:val="00A32CD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32CD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15950">
      <w:bodyDiv w:val="1"/>
      <w:marLeft w:val="0"/>
      <w:marRight w:val="0"/>
      <w:marTop w:val="0"/>
      <w:marBottom w:val="0"/>
      <w:divBdr>
        <w:top w:val="none" w:sz="0" w:space="0" w:color="auto"/>
        <w:left w:val="none" w:sz="0" w:space="0" w:color="auto"/>
        <w:bottom w:val="none" w:sz="0" w:space="0" w:color="auto"/>
        <w:right w:val="none" w:sz="0" w:space="0" w:color="auto"/>
      </w:divBdr>
    </w:div>
    <w:div w:id="845750073">
      <w:bodyDiv w:val="1"/>
      <w:marLeft w:val="0"/>
      <w:marRight w:val="0"/>
      <w:marTop w:val="0"/>
      <w:marBottom w:val="0"/>
      <w:divBdr>
        <w:top w:val="none" w:sz="0" w:space="0" w:color="auto"/>
        <w:left w:val="none" w:sz="0" w:space="0" w:color="auto"/>
        <w:bottom w:val="none" w:sz="0" w:space="0" w:color="auto"/>
        <w:right w:val="none" w:sz="0" w:space="0" w:color="auto"/>
      </w:divBdr>
    </w:div>
    <w:div w:id="1176311484">
      <w:bodyDiv w:val="1"/>
      <w:marLeft w:val="0"/>
      <w:marRight w:val="0"/>
      <w:marTop w:val="0"/>
      <w:marBottom w:val="0"/>
      <w:divBdr>
        <w:top w:val="none" w:sz="0" w:space="0" w:color="auto"/>
        <w:left w:val="none" w:sz="0" w:space="0" w:color="auto"/>
        <w:bottom w:val="none" w:sz="0" w:space="0" w:color="auto"/>
        <w:right w:val="none" w:sz="0" w:space="0" w:color="auto"/>
      </w:divBdr>
    </w:div>
    <w:div w:id="127208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25/1096/oj" TargetMode="External"/><Relationship Id="rId1" Type="http://schemas.openxmlformats.org/officeDocument/2006/relationships/hyperlink" Target="http://data.europa.eu/eli/dec/2025/4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EF5DE-EF53-421C-A149-612EFD302243}">
  <ds:schemaRefs>
    <ds:schemaRef ds:uri="http://schemas.microsoft.com/sharepoint/v3/contenttype/forms"/>
  </ds:schemaRefs>
</ds:datastoreItem>
</file>

<file path=customXml/itemProps2.xml><?xml version="1.0" encoding="utf-8"?>
<ds:datastoreItem xmlns:ds="http://schemas.openxmlformats.org/officeDocument/2006/customXml" ds:itemID="{BED6996D-E7E4-41A9-9F0C-B5A1364C8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75AAB0-99BF-4275-83EC-2CC435529E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35C9EC-386E-483B-BA0D-75BCC918C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7</Pages>
  <Words>1955</Words>
  <Characters>11148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cp:lastPrinted>2026-03-24T09:54:00Z</cp:lastPrinted>
  <dcterms:created xsi:type="dcterms:W3CDTF">2026-04-13T14:54:00Z</dcterms:created>
  <dcterms:modified xsi:type="dcterms:W3CDTF">2026-04-16T10:32:00Z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2026-01-21T14:41:55Z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5d0db376-5997-4b51-94e8-12923119b01d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MediaServiceImageTags">
    <vt:lpwstr/>
  </property>
  <property fmtid="{D5CDD505-2E9C-101B-9397-08002B2CF9AE}" pid="20" name="DQCStatus">
    <vt:lpwstr>Green (DQC version 03)</vt:lpwstr>
  </property>
</Properties>
</file>