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2D05F6" w14:textId="5737AF2F" w:rsidR="00642F7B" w:rsidRPr="007E7B3F" w:rsidRDefault="00A47D02" w:rsidP="00A47D02">
      <w:pPr>
        <w:pStyle w:val="Pagedecouverture"/>
        <w:rPr>
          <w:noProof/>
        </w:rPr>
      </w:pPr>
      <w:r>
        <w:rPr>
          <w:noProof/>
        </w:rPr>
        <w:pict w14:anchorId="5577F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009733E-0625-46A4-96AF-D8EF91297E23" style="width:455.25pt;height:424.5pt">
            <v:imagedata r:id="rId10" o:title=""/>
          </v:shape>
        </w:pict>
      </w:r>
    </w:p>
    <w:p w14:paraId="544A8FB3" w14:textId="77777777" w:rsidR="00642F7B" w:rsidRPr="007E7B3F" w:rsidRDefault="00642F7B" w:rsidP="00642F7B">
      <w:pPr>
        <w:rPr>
          <w:noProof/>
        </w:rPr>
        <w:sectPr w:rsidR="00642F7B" w:rsidRPr="007E7B3F" w:rsidSect="00A47D02">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6D3197AD" w14:textId="77777777" w:rsidR="00000D6D" w:rsidRPr="007E7B3F" w:rsidRDefault="00000D6D" w:rsidP="00000D6D">
      <w:pPr>
        <w:pStyle w:val="Annexetitre"/>
        <w:rPr>
          <w:noProof/>
        </w:rPr>
      </w:pPr>
      <w:bookmarkStart w:id="0" w:name="_GoBack"/>
      <w:bookmarkEnd w:id="0"/>
      <w:r w:rsidRPr="007E7B3F">
        <w:rPr>
          <w:noProof/>
        </w:rPr>
        <w:lastRenderedPageBreak/>
        <w:t>ANEXA I</w:t>
      </w:r>
    </w:p>
    <w:p w14:paraId="2294BD1D" w14:textId="049F91C3" w:rsidR="00000D6D" w:rsidRPr="007E7B3F" w:rsidRDefault="00000D6D" w:rsidP="00000D6D">
      <w:pPr>
        <w:shd w:val="clear" w:color="auto" w:fill="FFFFFF"/>
        <w:jc w:val="center"/>
        <w:rPr>
          <w:rFonts w:eastAsia="Calibri"/>
          <w:b/>
          <w:noProof/>
        </w:rPr>
      </w:pPr>
      <w:r w:rsidRPr="007E7B3F">
        <w:rPr>
          <w:b/>
          <w:noProof/>
        </w:rPr>
        <w:t>Condiții de acces al telespectatorilor și ascultătorilor din Uniune la serviciile de radio și televiziune digitale</w:t>
      </w:r>
    </w:p>
    <w:p w14:paraId="3F27BF5A" w14:textId="77777777" w:rsidR="00000D6D" w:rsidRPr="007E7B3F" w:rsidRDefault="00000D6D" w:rsidP="00000D6D">
      <w:pPr>
        <w:shd w:val="clear" w:color="auto" w:fill="FFFFFF"/>
        <w:rPr>
          <w:noProof/>
        </w:rPr>
      </w:pPr>
      <w:r w:rsidRPr="007E7B3F">
        <w:rPr>
          <w:noProof/>
        </w:rPr>
        <w:t xml:space="preserve">Partea I Condițiile privind sistemele de acces condiționat care se aplică în conformitate cu articolul 67 alineatul (1) </w:t>
      </w:r>
    </w:p>
    <w:p w14:paraId="4AD6F824" w14:textId="57B1B56A" w:rsidR="00000D6D" w:rsidRPr="007E7B3F" w:rsidRDefault="005015C3" w:rsidP="00624AC9">
      <w:pPr>
        <w:pStyle w:val="Point0letter"/>
        <w:numPr>
          <w:ilvl w:val="1"/>
          <w:numId w:val="16"/>
        </w:numPr>
        <w:rPr>
          <w:rFonts w:eastAsia="Calibri"/>
          <w:noProof/>
        </w:rPr>
      </w:pPr>
      <w:r w:rsidRPr="007E7B3F">
        <w:rPr>
          <w:noProof/>
        </w:rPr>
        <w:t xml:space="preserve">Toate întreprinderile furnizoare de servicii de acces condiționat, indiferent de mijloacele de transmisie, care furnizează servicii de acces la servicii de televiziune digitale și la servicii radio pe care se bazează radiodifuzorii pentru a ajunge la orice grup de potențiali telespectatori sau ascultători trebuie: </w:t>
      </w:r>
    </w:p>
    <w:p w14:paraId="33FA58B7" w14:textId="77777777" w:rsidR="00000D6D" w:rsidRPr="007E7B3F" w:rsidRDefault="00000D6D" w:rsidP="00B41ED5">
      <w:pPr>
        <w:pStyle w:val="ListDash"/>
        <w:tabs>
          <w:tab w:val="clear" w:pos="283"/>
        </w:tabs>
        <w:ind w:left="1134"/>
        <w:rPr>
          <w:rFonts w:eastAsia="Calibri"/>
          <w:noProof/>
        </w:rPr>
      </w:pPr>
      <w:r w:rsidRPr="007E7B3F">
        <w:rPr>
          <w:noProof/>
        </w:rPr>
        <w:t xml:space="preserve">să ofere tuturor radiodifuzorilor, în condiții echitabile, rezonabile și nediscriminatorii compatibile cu dreptul concurenței al Uniunii, servicii tehnice care să permită recepționarea serviciilor de radio și televiziune digitale de către telespectatorii sau ascultătorii autorizați prin intermediul decodoarelor gestionate de operatorii de servicii și să respecte dreptul concurenței al Uniunii; </w:t>
      </w:r>
    </w:p>
    <w:p w14:paraId="262A43F1" w14:textId="77777777" w:rsidR="00000D6D" w:rsidRPr="007E7B3F" w:rsidRDefault="00000D6D" w:rsidP="00B41ED5">
      <w:pPr>
        <w:pStyle w:val="ListDash"/>
        <w:tabs>
          <w:tab w:val="clear" w:pos="283"/>
        </w:tabs>
        <w:ind w:left="1134"/>
        <w:rPr>
          <w:rFonts w:eastAsia="Calibri"/>
          <w:noProof/>
        </w:rPr>
      </w:pPr>
      <w:r w:rsidRPr="007E7B3F">
        <w:rPr>
          <w:noProof/>
        </w:rPr>
        <w:t xml:space="preserve">să păstreze conturi financiare separate privind activitatea lor de furnizori de servicii de acces condiționat; </w:t>
      </w:r>
    </w:p>
    <w:p w14:paraId="3E7D37C3" w14:textId="708E5532" w:rsidR="00000D6D" w:rsidRPr="007E7B3F" w:rsidRDefault="005D77DC" w:rsidP="00A65054">
      <w:pPr>
        <w:pStyle w:val="Point0letter"/>
        <w:rPr>
          <w:rFonts w:eastAsia="Calibri"/>
          <w:noProof/>
        </w:rPr>
      </w:pPr>
      <w:r w:rsidRPr="007E7B3F">
        <w:rPr>
          <w:noProof/>
        </w:rPr>
        <w:t xml:space="preserve">atunci când acordă licențe producătorilor de echipamente pentru consumatori, titularii de drepturi de proprietate industrială pentru produsele și sistemele de acces condiționat trebuie să se asigure că acționează în condiții echitabile, rezonabile și nediscriminatorii. Luând în considerare factorii tehnici și comerciali, acordarea licențelor de către titularii de drepturi nu trebuie să fie condiționată de interzicerea, împiedicarea sau descurajarea includerii în același produs: </w:t>
      </w:r>
    </w:p>
    <w:p w14:paraId="64D10B0E" w14:textId="77777777" w:rsidR="00000D6D" w:rsidRPr="007E7B3F" w:rsidRDefault="00000D6D" w:rsidP="00B41ED5">
      <w:pPr>
        <w:pStyle w:val="ListDash"/>
        <w:tabs>
          <w:tab w:val="clear" w:pos="283"/>
        </w:tabs>
        <w:ind w:left="1134"/>
        <w:rPr>
          <w:rFonts w:eastAsia="Calibri"/>
          <w:noProof/>
        </w:rPr>
      </w:pPr>
      <w:r w:rsidRPr="007E7B3F">
        <w:rPr>
          <w:noProof/>
        </w:rPr>
        <w:t xml:space="preserve">a unei interfețe comune care să permită conectarea cu mai multe alte sisteme de acces sau </w:t>
      </w:r>
    </w:p>
    <w:p w14:paraId="42A20269" w14:textId="77777777" w:rsidR="00000D6D" w:rsidRPr="007E7B3F" w:rsidRDefault="00000D6D" w:rsidP="00B41ED5">
      <w:pPr>
        <w:pStyle w:val="ListDash"/>
        <w:tabs>
          <w:tab w:val="clear" w:pos="283"/>
        </w:tabs>
        <w:ind w:left="1134"/>
        <w:rPr>
          <w:rFonts w:eastAsia="Calibri"/>
          <w:noProof/>
        </w:rPr>
      </w:pPr>
      <w:r w:rsidRPr="007E7B3F">
        <w:rPr>
          <w:noProof/>
        </w:rPr>
        <w:t xml:space="preserve">a unor mijloace specifice altui sistem de acces, sub rezerva respectării de către titularul licenței a unor condiții adecvate și rezonabile care să asigure, în ceea ce îl privește, siguranța tranzacțiilor operatorilor de acces condiționat. </w:t>
      </w:r>
    </w:p>
    <w:p w14:paraId="5C434651" w14:textId="49365AC6" w:rsidR="00000D6D" w:rsidRPr="007E7B3F" w:rsidRDefault="00000D6D" w:rsidP="00000D6D">
      <w:pPr>
        <w:shd w:val="clear" w:color="auto" w:fill="FFFFFF"/>
        <w:rPr>
          <w:noProof/>
        </w:rPr>
      </w:pPr>
      <w:r w:rsidRPr="007E7B3F">
        <w:rPr>
          <w:noProof/>
        </w:rPr>
        <w:t>Partea II Alte infrastructuri cărora li se pot aplica condiții în temeiul articolului 67 alineatul</w:t>
      </w:r>
      <w:r w:rsidR="009B4F7E">
        <w:rPr>
          <w:noProof/>
        </w:rPr>
        <w:t> </w:t>
      </w:r>
      <w:r w:rsidRPr="007E7B3F">
        <w:rPr>
          <w:noProof/>
        </w:rPr>
        <w:t xml:space="preserve">(1) și al articolului 68 alineatul (2) litera (d): </w:t>
      </w:r>
    </w:p>
    <w:p w14:paraId="1BED78E7" w14:textId="13FD6A05" w:rsidR="00000D6D" w:rsidRPr="007E7B3F" w:rsidRDefault="00D56F75" w:rsidP="00C52460">
      <w:pPr>
        <w:pStyle w:val="Point0letter"/>
        <w:numPr>
          <w:ilvl w:val="1"/>
          <w:numId w:val="6"/>
        </w:numPr>
        <w:rPr>
          <w:rFonts w:eastAsia="Calibri"/>
          <w:noProof/>
        </w:rPr>
      </w:pPr>
      <w:r w:rsidRPr="007E7B3F">
        <w:rPr>
          <w:noProof/>
        </w:rPr>
        <w:t xml:space="preserve">accesul la API; </w:t>
      </w:r>
    </w:p>
    <w:p w14:paraId="46F4FC8E" w14:textId="4E9480EA" w:rsidR="00642F7B" w:rsidRPr="007E7B3F" w:rsidRDefault="00D56F75" w:rsidP="00C52460">
      <w:pPr>
        <w:pStyle w:val="Point0letter"/>
        <w:numPr>
          <w:ilvl w:val="1"/>
          <w:numId w:val="6"/>
        </w:numPr>
        <w:rPr>
          <w:noProof/>
        </w:rPr>
      </w:pPr>
      <w:r w:rsidRPr="007E7B3F">
        <w:rPr>
          <w:noProof/>
        </w:rPr>
        <w:t>accesul la EPG.</w:t>
      </w:r>
    </w:p>
    <w:p w14:paraId="3F89A0EA" w14:textId="77777777" w:rsidR="00642F7B" w:rsidRPr="007E7B3F" w:rsidRDefault="00642F7B" w:rsidP="00642F7B">
      <w:pPr>
        <w:rPr>
          <w:noProof/>
        </w:rPr>
        <w:sectPr w:rsidR="00642F7B" w:rsidRPr="007E7B3F" w:rsidSect="00A47D02">
          <w:headerReference w:type="even" r:id="rId17"/>
          <w:footerReference w:type="even" r:id="rId18"/>
          <w:footerReference w:type="default" r:id="rId19"/>
          <w:headerReference w:type="first" r:id="rId20"/>
          <w:footerReference w:type="first" r:id="rId21"/>
          <w:pgSz w:w="11907" w:h="16839"/>
          <w:pgMar w:top="1134" w:right="1417" w:bottom="1134" w:left="1417" w:header="709" w:footer="709" w:gutter="0"/>
          <w:cols w:space="720"/>
          <w:docGrid w:linePitch="360"/>
        </w:sectPr>
      </w:pPr>
    </w:p>
    <w:p w14:paraId="1F8BAA01" w14:textId="77777777" w:rsidR="00000D6D" w:rsidRPr="007E7B3F" w:rsidRDefault="00000D6D" w:rsidP="00000D6D">
      <w:pPr>
        <w:pStyle w:val="Annexetitre"/>
        <w:rPr>
          <w:noProof/>
        </w:rPr>
      </w:pPr>
      <w:r w:rsidRPr="007E7B3F">
        <w:rPr>
          <w:noProof/>
        </w:rPr>
        <w:lastRenderedPageBreak/>
        <w:t>ANEXA II</w:t>
      </w:r>
    </w:p>
    <w:p w14:paraId="4C05B444" w14:textId="77777777" w:rsidR="00000D6D" w:rsidRPr="007E7B3F" w:rsidRDefault="00000D6D" w:rsidP="00000D6D">
      <w:pPr>
        <w:shd w:val="clear" w:color="auto" w:fill="FFFFFF"/>
        <w:spacing w:before="240"/>
        <w:jc w:val="center"/>
        <w:rPr>
          <w:rFonts w:eastAsia="Times New Roman"/>
          <w:b/>
          <w:noProof/>
          <w:color w:val="000000"/>
        </w:rPr>
      </w:pPr>
      <w:r w:rsidRPr="007E7B3F">
        <w:rPr>
          <w:b/>
          <w:noProof/>
          <w:color w:val="000000"/>
        </w:rPr>
        <w:t>Criteriile de stabilire a tarifelor de terminare a apelurilor de voce la nivel angro</w:t>
      </w:r>
    </w:p>
    <w:p w14:paraId="11E16E9F" w14:textId="7077B553" w:rsidR="00000D6D" w:rsidRPr="007E7B3F" w:rsidRDefault="00000D6D" w:rsidP="00000D6D">
      <w:pPr>
        <w:rPr>
          <w:rFonts w:eastAsia="Times New Roman"/>
          <w:noProof/>
          <w:color w:val="000000"/>
        </w:rPr>
      </w:pPr>
      <w:r w:rsidRPr="007E7B3F">
        <w:rPr>
          <w:noProof/>
          <w:color w:val="000000"/>
        </w:rPr>
        <w:t>Principiile, criteriile și parametrii pentru stabilirea tarifelor de terminare a apelurilor de voce la nivel angro pe piețele de telefonie fixă și mobilă menționate la articolul 75 alineatul (1):</w:t>
      </w:r>
    </w:p>
    <w:p w14:paraId="105D7C0B" w14:textId="66CF70C5" w:rsidR="00000D6D" w:rsidRPr="007E7B3F" w:rsidRDefault="00000D6D" w:rsidP="00624AC9">
      <w:pPr>
        <w:pStyle w:val="Point0letter"/>
        <w:numPr>
          <w:ilvl w:val="1"/>
          <w:numId w:val="12"/>
        </w:numPr>
        <w:rPr>
          <w:noProof/>
        </w:rPr>
      </w:pPr>
      <w:r w:rsidRPr="007E7B3F">
        <w:rPr>
          <w:noProof/>
        </w:rPr>
        <w:t>tarifele se bazează pe recuperarea costurilor suportate de un operator eficient;</w:t>
      </w:r>
      <w:r w:rsidR="009B4F7E">
        <w:rPr>
          <w:noProof/>
        </w:rPr>
        <w:t xml:space="preserve"> </w:t>
      </w:r>
      <w:r w:rsidRPr="007E7B3F">
        <w:rPr>
          <w:noProof/>
        </w:rPr>
        <w:t>evaluarea costurilor eficiente se bazează pe valorile costurilor curente; metodologia costului pentru calcularea costurilor eficiente se bazează pe o abordare de modelare ascendentă care utilizează costurile legate de trafic incrementale pe termen lung aferente furnizării către terți a serviciului de terminare a apelurilor de voce la nivel angro;</w:t>
      </w:r>
    </w:p>
    <w:p w14:paraId="6D6C60E6" w14:textId="77777777" w:rsidR="00000D6D" w:rsidRPr="007E7B3F" w:rsidRDefault="00000D6D" w:rsidP="00000D6D">
      <w:pPr>
        <w:pStyle w:val="Point0letter"/>
        <w:rPr>
          <w:noProof/>
        </w:rPr>
      </w:pPr>
      <w:r w:rsidRPr="007E7B3F">
        <w:rPr>
          <w:noProof/>
        </w:rPr>
        <w:t>costurile incrementale relevante aferente unui serviciu de terminare a apelurilor de voce la nivel angro se stabilesc ca fiind diferența dintre costurile totale pe termen lung ale unui operator care furnizează gama sa completă de servicii și costurile totale pe termen lung ale operatorului respectiv atunci când acesta nu furnizează terților un serviciu de terminare a apelurilor de voce la nivel angro;</w:t>
      </w:r>
    </w:p>
    <w:p w14:paraId="71CE4C84" w14:textId="77777777" w:rsidR="00000D6D" w:rsidRPr="007E7B3F" w:rsidRDefault="00000D6D" w:rsidP="00000D6D">
      <w:pPr>
        <w:pStyle w:val="Point0letter"/>
        <w:rPr>
          <w:noProof/>
        </w:rPr>
      </w:pPr>
      <w:r w:rsidRPr="007E7B3F">
        <w:rPr>
          <w:noProof/>
        </w:rPr>
        <w:t>suplimentul relevant pentru terminarea apelurilor include numai acele costuri legate de trafic care ar fi evitate în absența furnizării unui serviciu de terminare a apelurilor de voce la nivel angro;</w:t>
      </w:r>
    </w:p>
    <w:p w14:paraId="125A52A0" w14:textId="77777777" w:rsidR="00000D6D" w:rsidRPr="007E7B3F" w:rsidRDefault="00000D6D" w:rsidP="00000D6D">
      <w:pPr>
        <w:pStyle w:val="Point0letter"/>
        <w:rPr>
          <w:noProof/>
        </w:rPr>
      </w:pPr>
      <w:r w:rsidRPr="007E7B3F">
        <w:rPr>
          <w:noProof/>
        </w:rPr>
        <w:t>costurile legate de capacitatea de rețea suplimentară se includ numai în măsura în care rezultă din necesitatea de a spori capacitatea în scopul de a permite asigurarea unui trafic suplimentar pentru terminarea apelurilor de voce la nivel angro;</w:t>
      </w:r>
    </w:p>
    <w:p w14:paraId="2E20828B" w14:textId="77777777" w:rsidR="00000D6D" w:rsidRPr="007E7B3F" w:rsidRDefault="00000D6D" w:rsidP="00000D6D">
      <w:pPr>
        <w:pStyle w:val="Point0letter"/>
        <w:rPr>
          <w:noProof/>
        </w:rPr>
      </w:pPr>
      <w:r w:rsidRPr="007E7B3F">
        <w:rPr>
          <w:noProof/>
        </w:rPr>
        <w:t>taxele de utilizare a spectrului de frecvențe radio sunt excluse din suplimentul pentru terminarea apelurilor mobile;</w:t>
      </w:r>
    </w:p>
    <w:p w14:paraId="303CCDBD" w14:textId="77777777" w:rsidR="00000D6D" w:rsidRPr="007E7B3F" w:rsidRDefault="00000D6D" w:rsidP="00000D6D">
      <w:pPr>
        <w:pStyle w:val="Point0letter"/>
        <w:rPr>
          <w:noProof/>
        </w:rPr>
      </w:pPr>
      <w:r w:rsidRPr="007E7B3F">
        <w:rPr>
          <w:noProof/>
        </w:rPr>
        <w:t>se includ numai acele costuri comerciale la nivel angro legate în mod direct de furnizarea către terți a serviciului de terminare a apelurilor de voce la nivel angro;</w:t>
      </w:r>
    </w:p>
    <w:p w14:paraId="27AD8AD4" w14:textId="77777777" w:rsidR="00000D6D" w:rsidRPr="007E7B3F" w:rsidRDefault="00000D6D" w:rsidP="00000D6D">
      <w:pPr>
        <w:pStyle w:val="Point0letter"/>
        <w:rPr>
          <w:noProof/>
        </w:rPr>
      </w:pPr>
      <w:r w:rsidRPr="007E7B3F">
        <w:rPr>
          <w:noProof/>
        </w:rPr>
        <w:t>se consideră că toți operatorii de rețele fixe, indiferent de dimensiunea lor, oferă servicii de terminare a apelurilor de voce la aceleași costuri unitare ca și operatorul eficient;</w:t>
      </w:r>
    </w:p>
    <w:p w14:paraId="47B39F36" w14:textId="77777777" w:rsidR="00000D6D" w:rsidRPr="007E7B3F" w:rsidRDefault="00000D6D" w:rsidP="00000D6D">
      <w:pPr>
        <w:pStyle w:val="Point0letter"/>
        <w:rPr>
          <w:noProof/>
        </w:rPr>
      </w:pPr>
      <w:r w:rsidRPr="007E7B3F">
        <w:rPr>
          <w:noProof/>
        </w:rPr>
        <w:t>în cazul operatorilor de rețele mobile, nivelul minim de eficiență se stabilește la o cotă de piață de cel puțin 20 %;</w:t>
      </w:r>
    </w:p>
    <w:p w14:paraId="50EFBD4C" w14:textId="77777777" w:rsidR="00000D6D" w:rsidRPr="007E7B3F" w:rsidRDefault="00000D6D" w:rsidP="00000D6D">
      <w:pPr>
        <w:pStyle w:val="Point0letter"/>
        <w:rPr>
          <w:noProof/>
        </w:rPr>
      </w:pPr>
      <w:r w:rsidRPr="007E7B3F">
        <w:rPr>
          <w:noProof/>
        </w:rPr>
        <w:t xml:space="preserve">abordarea relevantă cu privire la amortizarea activelor este amortizarea economică; </w:t>
      </w:r>
    </w:p>
    <w:p w14:paraId="735B1CB6" w14:textId="29822A52" w:rsidR="00642F7B" w:rsidRPr="007E7B3F" w:rsidRDefault="00000D6D" w:rsidP="00642F7B">
      <w:pPr>
        <w:pStyle w:val="Point0letter"/>
        <w:rPr>
          <w:noProof/>
        </w:rPr>
      </w:pPr>
      <w:r w:rsidRPr="007E7B3F">
        <w:rPr>
          <w:noProof/>
        </w:rPr>
        <w:t>alegerea tehnologiei în ceea ce privește rețelele care fac obiectul modelării are o dimensiune prospectivă, bazată pe o rețea a cărei parte centrală utilizează protocolul internet (</w:t>
      </w:r>
      <w:r w:rsidRPr="007E7B3F">
        <w:rPr>
          <w:i/>
          <w:iCs/>
          <w:noProof/>
        </w:rPr>
        <w:t>IP core network</w:t>
      </w:r>
      <w:r w:rsidRPr="007E7B3F">
        <w:rPr>
          <w:noProof/>
        </w:rPr>
        <w:t>), și ține seama de diversele tehnologii susceptibile a fi utilizate pe perioada de valabilitate a tarifului maxim. În cazul rețelelor fixe, apelurile se consideră a fi efectuate exclusiv prin comutarea pachetelor.</w:t>
      </w:r>
    </w:p>
    <w:p w14:paraId="096974DF" w14:textId="77777777" w:rsidR="00642F7B" w:rsidRPr="007E7B3F" w:rsidRDefault="00642F7B" w:rsidP="00642F7B">
      <w:pPr>
        <w:rPr>
          <w:noProof/>
        </w:rPr>
        <w:sectPr w:rsidR="00642F7B" w:rsidRPr="007E7B3F" w:rsidSect="00A47D02">
          <w:pgSz w:w="11907" w:h="16839"/>
          <w:pgMar w:top="1134" w:right="1417" w:bottom="1134" w:left="1417" w:header="709" w:footer="709" w:gutter="0"/>
          <w:cols w:space="720"/>
          <w:docGrid w:linePitch="360"/>
        </w:sectPr>
      </w:pPr>
    </w:p>
    <w:p w14:paraId="2AB800E3" w14:textId="77777777" w:rsidR="00000D6D" w:rsidRPr="007E7B3F" w:rsidRDefault="00000D6D" w:rsidP="00000D6D">
      <w:pPr>
        <w:pStyle w:val="Annexetitre"/>
        <w:rPr>
          <w:noProof/>
        </w:rPr>
      </w:pPr>
      <w:r w:rsidRPr="007E7B3F">
        <w:rPr>
          <w:noProof/>
        </w:rPr>
        <w:t>ANEXA III</w:t>
      </w:r>
    </w:p>
    <w:p w14:paraId="7006D05D" w14:textId="5576E73D" w:rsidR="00000D6D" w:rsidRPr="007E7B3F" w:rsidRDefault="00000D6D" w:rsidP="00A65054">
      <w:pPr>
        <w:shd w:val="clear" w:color="auto" w:fill="FFFFFF" w:themeFill="background1"/>
        <w:jc w:val="center"/>
        <w:rPr>
          <w:rFonts w:eastAsia="Times New Roman"/>
          <w:b/>
          <w:noProof/>
          <w:color w:val="000000"/>
        </w:rPr>
      </w:pPr>
      <w:r w:rsidRPr="007E7B3F">
        <w:rPr>
          <w:b/>
          <w:noProof/>
          <w:color w:val="000000"/>
        </w:rPr>
        <w:t>Cerințele de informare care trebuie îndeplinite în conformitate cu articolul 95 (cerințe de informare aplicabile contractelor)</w:t>
      </w:r>
    </w:p>
    <w:p w14:paraId="2061BE74" w14:textId="77777777" w:rsidR="00000D6D" w:rsidRPr="007E7B3F" w:rsidRDefault="00000D6D" w:rsidP="00624AC9">
      <w:pPr>
        <w:pStyle w:val="Heading1"/>
        <w:numPr>
          <w:ilvl w:val="0"/>
          <w:numId w:val="17"/>
        </w:numPr>
        <w:rPr>
          <w:rFonts w:eastAsia="Times New Roman"/>
          <w:noProof/>
        </w:rPr>
      </w:pPr>
      <w:r w:rsidRPr="007E7B3F">
        <w:rPr>
          <w:noProof/>
        </w:rPr>
        <w:t>Informații privind principalele caracteristici ale fiecărui serviciu furnizat:</w:t>
      </w:r>
    </w:p>
    <w:p w14:paraId="60D43D68" w14:textId="211BBC58" w:rsidR="00000D6D" w:rsidRPr="007E7B3F" w:rsidRDefault="00000D6D" w:rsidP="00000D6D">
      <w:pPr>
        <w:rPr>
          <w:rFonts w:eastAsia="Calibri"/>
          <w:noProof/>
        </w:rPr>
      </w:pPr>
      <w:r w:rsidRPr="007E7B3F">
        <w:rPr>
          <w:noProof/>
        </w:rPr>
        <w:t>În cadrul caracteristicilor principale ale fiecărui serviciu furnizat, eventualele niveluri minime de calitate a serviciului, în măsura în care acestea sunt oferite, și, pentru alte servicii decât serviciile de acces la internet, parametrii de calitate specifici asigurați.</w:t>
      </w:r>
    </w:p>
    <w:p w14:paraId="4944B3BE" w14:textId="401541A7" w:rsidR="00000D6D" w:rsidRPr="007E7B3F" w:rsidRDefault="00000D6D" w:rsidP="00000D6D">
      <w:pPr>
        <w:rPr>
          <w:rFonts w:eastAsia="Calibri"/>
          <w:noProof/>
          <w:color w:val="000000"/>
        </w:rPr>
      </w:pPr>
      <w:r w:rsidRPr="007E7B3F">
        <w:rPr>
          <w:noProof/>
        </w:rPr>
        <w:t>În cazul în care nu se oferă niveluri minime de calitate a serviciului, se face o declarație în acest sens.</w:t>
      </w:r>
    </w:p>
    <w:p w14:paraId="6BB06E9E" w14:textId="60326412" w:rsidR="00000D6D" w:rsidRPr="007E7B3F" w:rsidRDefault="00000D6D" w:rsidP="00000D6D">
      <w:pPr>
        <w:rPr>
          <w:rFonts w:eastAsia="Calibri"/>
          <w:noProof/>
          <w:color w:val="000000"/>
        </w:rPr>
      </w:pPr>
      <w:r w:rsidRPr="007E7B3F">
        <w:rPr>
          <w:noProof/>
        </w:rPr>
        <w:t>Furnizorii de servicii de acces la internet se asigură că un contract care include servicii de acces la internet specifică cel puțin informațiile din secțiunea 5 din prezenta anexă, precum și latența, variația întârzierii de transfer a pachetelor de date și pierderea pachetelor de date. Orientările OAREC adoptate în conformitate cu articolul 94 alineatul (5) privind parametrii de calitate a serviciului sunt luate în considerare în cea mai mare măsură posibilă, fără a aduce atingere dreptului utilizatorilor finali de a utiliza echipamente terminale la alegere, în conformitate cu articolul 93 alineatul (1) din prezentul regulament, și nici oricăror condiții, inclusiv perceperea de taxe, impuse de furnizor pentru utilizarea echipamentelor terminale furnizate.</w:t>
      </w:r>
    </w:p>
    <w:p w14:paraId="6A908122" w14:textId="39936BD4" w:rsidR="00000D6D" w:rsidRPr="007E7B3F" w:rsidRDefault="00000D6D" w:rsidP="00000D6D">
      <w:pPr>
        <w:rPr>
          <w:rFonts w:eastAsia="Calibri"/>
          <w:noProof/>
          <w:color w:val="000000"/>
        </w:rPr>
      </w:pPr>
      <w:r w:rsidRPr="007E7B3F">
        <w:rPr>
          <w:noProof/>
        </w:rPr>
        <w:t>Detalii privind produsele și serviciile concepute pentru utilizatorii finali cu dizabilități și precizarea modalității de obținere a unor informații actualizate cu privire la acestea.</w:t>
      </w:r>
    </w:p>
    <w:p w14:paraId="44B6D82F" w14:textId="17AE26BD" w:rsidR="00000D6D" w:rsidRPr="007E7B3F" w:rsidRDefault="00000D6D" w:rsidP="00000D6D">
      <w:pPr>
        <w:rPr>
          <w:rFonts w:eastAsia="Calibri"/>
          <w:noProof/>
          <w:color w:val="000000"/>
        </w:rPr>
      </w:pPr>
      <w:r w:rsidRPr="007E7B3F">
        <w:rPr>
          <w:noProof/>
        </w:rPr>
        <w:t>Orice limitări privind accesul la serviciile de urgență sau la disponibilitatea informațiilor de localizare a apelantului din motive de lipsă a fezabilității tehnice, în măsura în care serviciile respective permit utilizatorilor finali să inițieze comunicații de urgență.</w:t>
      </w:r>
    </w:p>
    <w:p w14:paraId="35904CF4" w14:textId="77777777" w:rsidR="00000D6D" w:rsidRPr="007E7B3F" w:rsidRDefault="00000D6D" w:rsidP="00000D6D">
      <w:pPr>
        <w:pStyle w:val="Heading1"/>
        <w:rPr>
          <w:rFonts w:eastAsia="Times New Roman"/>
          <w:noProof/>
        </w:rPr>
      </w:pPr>
      <w:r w:rsidRPr="007E7B3F">
        <w:rPr>
          <w:noProof/>
        </w:rPr>
        <w:t>Informații privind prețul</w:t>
      </w:r>
    </w:p>
    <w:p w14:paraId="7BE50A39" w14:textId="77777777" w:rsidR="00000D6D" w:rsidRPr="007E7B3F" w:rsidRDefault="00000D6D" w:rsidP="00000D6D">
      <w:pPr>
        <w:shd w:val="clear" w:color="auto" w:fill="FFFFFF"/>
        <w:rPr>
          <w:rFonts w:eastAsia="Times New Roman"/>
          <w:noProof/>
          <w:color w:val="000000"/>
        </w:rPr>
      </w:pPr>
      <w:r w:rsidRPr="007E7B3F">
        <w:rPr>
          <w:noProof/>
          <w:color w:val="000000"/>
        </w:rPr>
        <w:t>În cadrul informațiilor privind prețul, dacă și în măsura în care este cazul, prețurile pentru activarea serviciului de comunicații electronice și, respectiv, pentru orice taxe recurente sau aferente consumului și în plus, dacă este cazul:</w:t>
      </w:r>
    </w:p>
    <w:p w14:paraId="1CC627E4" w14:textId="77777777" w:rsidR="00000D6D" w:rsidRPr="007E7B3F" w:rsidRDefault="00000D6D" w:rsidP="00624AC9">
      <w:pPr>
        <w:pStyle w:val="Point0letter"/>
        <w:numPr>
          <w:ilvl w:val="1"/>
          <w:numId w:val="13"/>
        </w:numPr>
        <w:rPr>
          <w:rFonts w:eastAsia="Calibri"/>
          <w:noProof/>
          <w:color w:val="000000"/>
        </w:rPr>
      </w:pPr>
      <w:r w:rsidRPr="007E7B3F">
        <w:rPr>
          <w:noProof/>
        </w:rPr>
        <w:t xml:space="preserve">detalii privind planurile tarifare specifice sau planurile prevăzute în contract și, pentru fiecare astfel de plan tarifar, tipurile de servicii oferite, inclusiv, după caz, volumele de comunicații (MB, minute, mesaje) incluse pe perioadă de facturare și prețul pe unitate de comunicare suplimentară; </w:t>
      </w:r>
    </w:p>
    <w:p w14:paraId="78F520FA" w14:textId="77777777" w:rsidR="00000D6D" w:rsidRPr="007E7B3F" w:rsidRDefault="00000D6D" w:rsidP="00C52460">
      <w:pPr>
        <w:pStyle w:val="Point0letter"/>
        <w:numPr>
          <w:ilvl w:val="1"/>
          <w:numId w:val="6"/>
        </w:numPr>
        <w:rPr>
          <w:rFonts w:eastAsia="Calibri"/>
          <w:noProof/>
          <w:color w:val="000000"/>
        </w:rPr>
      </w:pPr>
      <w:r w:rsidRPr="007E7B3F">
        <w:rPr>
          <w:noProof/>
        </w:rPr>
        <w:t xml:space="preserve">în cazul unor planuri tarifare sau al unor planuri cu un volum de comunicații prestabilit, posibilitatea pentru consumatori de a reporta orice volum neutilizat din perioada de facturare precedentă la următoarea perioadă de facturare, în cazul în care această opțiune este inclusă în contract; </w:t>
      </w:r>
    </w:p>
    <w:p w14:paraId="6EFF1E23" w14:textId="77777777" w:rsidR="00000D6D" w:rsidRPr="007E7B3F" w:rsidRDefault="00000D6D" w:rsidP="00C52460">
      <w:pPr>
        <w:pStyle w:val="Point0letter"/>
        <w:numPr>
          <w:ilvl w:val="1"/>
          <w:numId w:val="6"/>
        </w:numPr>
        <w:rPr>
          <w:rFonts w:eastAsia="Calibri"/>
          <w:noProof/>
          <w:color w:val="000000"/>
        </w:rPr>
      </w:pPr>
      <w:r w:rsidRPr="007E7B3F">
        <w:rPr>
          <w:noProof/>
        </w:rPr>
        <w:t>facilități pentru a garanta transparența facturării și pentru a monitoriza nivelul consumului;</w:t>
      </w:r>
    </w:p>
    <w:p w14:paraId="4C3426B7" w14:textId="33CAA7B4" w:rsidR="00000D6D" w:rsidRPr="007E7B3F" w:rsidRDefault="00000D6D" w:rsidP="00C52460">
      <w:pPr>
        <w:pStyle w:val="Point0letter"/>
        <w:numPr>
          <w:ilvl w:val="1"/>
          <w:numId w:val="6"/>
        </w:numPr>
        <w:rPr>
          <w:rFonts w:eastAsia="Calibri"/>
          <w:noProof/>
          <w:color w:val="000000"/>
        </w:rPr>
      </w:pPr>
      <w:r w:rsidRPr="007E7B3F">
        <w:rPr>
          <w:noProof/>
        </w:rPr>
        <w:t>informații tarifare privind orice numere sau servicii care fac obiectul unor condiții tarifare speciale; în ceea ce privește categoriile individuale de servicii, autoritățile competente, în coordonare, după caz, cu autoritățile naționale de reglementare pot solicita în plus ca aceste informații să fie furnizate imediat înaintea conectării apelului sau înaintea conectării la furnizorul serviciului;</w:t>
      </w:r>
      <w:r w:rsidR="009B4F7E">
        <w:rPr>
          <w:noProof/>
        </w:rPr>
        <w:t xml:space="preserve"> </w:t>
      </w:r>
    </w:p>
    <w:p w14:paraId="07BE1A05" w14:textId="3EE63608" w:rsidR="00000D6D" w:rsidRPr="007E7B3F" w:rsidRDefault="00000D6D" w:rsidP="00C52460">
      <w:pPr>
        <w:pStyle w:val="Point0letter"/>
        <w:numPr>
          <w:ilvl w:val="1"/>
          <w:numId w:val="6"/>
        </w:numPr>
        <w:rPr>
          <w:rFonts w:eastAsia="Calibri"/>
          <w:noProof/>
          <w:color w:val="000000"/>
        </w:rPr>
      </w:pPr>
      <w:r w:rsidRPr="007E7B3F">
        <w:rPr>
          <w:noProof/>
        </w:rPr>
        <w:t>în cazul pachetelor de servicii și al pachetelor care includ atât servicii, cât și echipamente terminale, prețul fiecărui element al pachetului, în măsura în care acestea sunt comercializate și separat;</w:t>
      </w:r>
      <w:r w:rsidR="009B4F7E">
        <w:rPr>
          <w:noProof/>
        </w:rPr>
        <w:t xml:space="preserve"> </w:t>
      </w:r>
    </w:p>
    <w:p w14:paraId="22F8D5A2" w14:textId="679C6B45" w:rsidR="00000D6D" w:rsidRPr="007E7B3F" w:rsidRDefault="00000D6D" w:rsidP="00C52460">
      <w:pPr>
        <w:pStyle w:val="Point0letter"/>
        <w:numPr>
          <w:ilvl w:val="1"/>
          <w:numId w:val="6"/>
        </w:numPr>
        <w:rPr>
          <w:rFonts w:eastAsia="Calibri"/>
          <w:noProof/>
          <w:color w:val="000000"/>
        </w:rPr>
      </w:pPr>
      <w:r w:rsidRPr="007E7B3F">
        <w:rPr>
          <w:noProof/>
        </w:rPr>
        <w:t xml:space="preserve">mijloacele prin care se pot obține informații actualizate privind toate tarifele și taxele de întreținere aplicabile; </w:t>
      </w:r>
    </w:p>
    <w:p w14:paraId="3F287AF3" w14:textId="77777777" w:rsidR="00000D6D" w:rsidRPr="007E7B3F" w:rsidRDefault="00000D6D" w:rsidP="00C52460">
      <w:pPr>
        <w:pStyle w:val="Point0letter"/>
        <w:numPr>
          <w:ilvl w:val="1"/>
          <w:numId w:val="6"/>
        </w:numPr>
        <w:rPr>
          <w:rFonts w:eastAsia="Calibri"/>
          <w:noProof/>
          <w:color w:val="000000"/>
        </w:rPr>
      </w:pPr>
      <w:r w:rsidRPr="007E7B3F">
        <w:rPr>
          <w:noProof/>
        </w:rPr>
        <w:t>descrierea metodei prin care prețurile pot varia în mod legal.</w:t>
      </w:r>
    </w:p>
    <w:p w14:paraId="0F01809E" w14:textId="77777777" w:rsidR="00000D6D" w:rsidRPr="007E7B3F" w:rsidRDefault="00000D6D" w:rsidP="00000D6D">
      <w:pPr>
        <w:pStyle w:val="Heading1"/>
        <w:rPr>
          <w:rFonts w:eastAsia="Times New Roman"/>
          <w:noProof/>
        </w:rPr>
      </w:pPr>
      <w:r w:rsidRPr="007E7B3F">
        <w:rPr>
          <w:noProof/>
        </w:rPr>
        <w:t>Informații privind durata contractului și condițiile de reînnoire și încetare a acestuia</w:t>
      </w:r>
    </w:p>
    <w:p w14:paraId="47AFD3B0" w14:textId="77777777" w:rsidR="00000D6D" w:rsidRPr="007E7B3F" w:rsidRDefault="00000D6D" w:rsidP="00000D6D">
      <w:pPr>
        <w:shd w:val="clear" w:color="auto" w:fill="FFFFFF"/>
        <w:rPr>
          <w:rFonts w:eastAsia="Times New Roman"/>
          <w:noProof/>
          <w:color w:val="000000"/>
        </w:rPr>
      </w:pPr>
      <w:r w:rsidRPr="007E7B3F">
        <w:rPr>
          <w:noProof/>
          <w:color w:val="000000"/>
        </w:rPr>
        <w:t>În cadrul informațiilor privind durata contractului și condițiile de reînnoire și încetare a contractului, inclusiv eventualele taxe de încetare a contractului, în măsura în care astfel de condiții se aplică: </w:t>
      </w:r>
    </w:p>
    <w:p w14:paraId="3F58D9CF" w14:textId="77777777" w:rsidR="00000D6D" w:rsidRPr="007E7B3F" w:rsidRDefault="00000D6D" w:rsidP="00C52460">
      <w:pPr>
        <w:pStyle w:val="Point0letter"/>
        <w:numPr>
          <w:ilvl w:val="1"/>
          <w:numId w:val="7"/>
        </w:numPr>
        <w:rPr>
          <w:rFonts w:eastAsia="Calibri"/>
          <w:noProof/>
          <w:color w:val="000000"/>
        </w:rPr>
      </w:pPr>
      <w:r w:rsidRPr="007E7B3F">
        <w:rPr>
          <w:noProof/>
        </w:rPr>
        <w:t>orice utilizare sau durată minimă necesară pentru a beneficia de termenii promoționali; </w:t>
      </w:r>
    </w:p>
    <w:p w14:paraId="4EA8AFFE" w14:textId="77777777" w:rsidR="00000D6D" w:rsidRPr="007E7B3F" w:rsidRDefault="00000D6D" w:rsidP="00C52460">
      <w:pPr>
        <w:pStyle w:val="Point0letter"/>
        <w:numPr>
          <w:ilvl w:val="1"/>
          <w:numId w:val="7"/>
        </w:numPr>
        <w:rPr>
          <w:rFonts w:eastAsia="Times New Roman"/>
          <w:noProof/>
          <w:color w:val="000000"/>
        </w:rPr>
      </w:pPr>
      <w:r w:rsidRPr="007E7B3F">
        <w:rPr>
          <w:noProof/>
          <w:color w:val="000000"/>
        </w:rPr>
        <w:t>orice taxe legate de trecerea de la un furnizor la altul și mecanismele de despăgubire și rambursare pentru întârziere sau abuz în legătură cu schimbarea furnizorului, precum și informații despre procedurile respective; </w:t>
      </w:r>
    </w:p>
    <w:p w14:paraId="38747C4A" w14:textId="0F10DCFB" w:rsidR="00000D6D" w:rsidRPr="007E7B3F" w:rsidRDefault="00000D6D" w:rsidP="00C52460">
      <w:pPr>
        <w:pStyle w:val="Point0letter"/>
        <w:numPr>
          <w:ilvl w:val="1"/>
          <w:numId w:val="7"/>
        </w:numPr>
        <w:rPr>
          <w:rFonts w:eastAsia="Times New Roman"/>
          <w:noProof/>
          <w:color w:val="000000"/>
        </w:rPr>
      </w:pPr>
      <w:r w:rsidRPr="007E7B3F">
        <w:rPr>
          <w:noProof/>
          <w:color w:val="000000"/>
        </w:rPr>
        <w:t>informații privind dreptul consumatorilor care utilizează servicii preplătite să li se ramburseze, la cerere, orice credit restant în caz de trecere de la un furnizor la altul, astfel cum se prevede la articolul 100 alineatul (6); </w:t>
      </w:r>
    </w:p>
    <w:p w14:paraId="67D0F4A1" w14:textId="77777777" w:rsidR="00000D6D" w:rsidRPr="007E7B3F" w:rsidRDefault="00000D6D" w:rsidP="00C52460">
      <w:pPr>
        <w:pStyle w:val="Point0letter"/>
        <w:numPr>
          <w:ilvl w:val="1"/>
          <w:numId w:val="7"/>
        </w:numPr>
        <w:rPr>
          <w:rFonts w:eastAsia="Times New Roman"/>
          <w:noProof/>
          <w:color w:val="000000"/>
        </w:rPr>
      </w:pPr>
      <w:r w:rsidRPr="007E7B3F">
        <w:rPr>
          <w:noProof/>
          <w:color w:val="000000"/>
        </w:rPr>
        <w:t>orice tarife datorate în cazul rezilierii anticipate a contractului, inclusiv informații privind deblocarea echipamentelor terminale și orice recuperare a costurilor în ceea ce privește echipamentul terminal;</w:t>
      </w:r>
    </w:p>
    <w:p w14:paraId="5645A4D8" w14:textId="14FA4521" w:rsidR="00000D6D" w:rsidRPr="007E7B3F" w:rsidRDefault="00000D6D" w:rsidP="00C52460">
      <w:pPr>
        <w:pStyle w:val="Point0letter"/>
        <w:numPr>
          <w:ilvl w:val="1"/>
          <w:numId w:val="7"/>
        </w:numPr>
        <w:rPr>
          <w:rFonts w:eastAsia="Times New Roman"/>
          <w:noProof/>
          <w:color w:val="000000"/>
        </w:rPr>
      </w:pPr>
      <w:r w:rsidRPr="007E7B3F">
        <w:rPr>
          <w:noProof/>
          <w:color w:val="000000"/>
        </w:rPr>
        <w:t>pentru pachetele de servicii și condițiile de reînnoire și încetare a contractului, după caz, condițiile de reînnoire și încetare a pachetului sau a elementelor acestuia.</w:t>
      </w:r>
    </w:p>
    <w:p w14:paraId="48D1E2F0" w14:textId="77777777" w:rsidR="00000D6D" w:rsidRPr="007E7B3F" w:rsidRDefault="00000D6D" w:rsidP="00000D6D">
      <w:pPr>
        <w:pStyle w:val="Heading1"/>
        <w:rPr>
          <w:rFonts w:eastAsia="Times New Roman"/>
          <w:noProof/>
        </w:rPr>
      </w:pPr>
      <w:r w:rsidRPr="007E7B3F">
        <w:rPr>
          <w:noProof/>
        </w:rPr>
        <w:t>Informații privind căile de atac</w:t>
      </w:r>
    </w:p>
    <w:p w14:paraId="36FBDD51" w14:textId="603AC273" w:rsidR="00000D6D" w:rsidRPr="007E7B3F" w:rsidRDefault="00000D6D" w:rsidP="00000D6D">
      <w:pPr>
        <w:shd w:val="clear" w:color="auto" w:fill="FFFFFF"/>
        <w:rPr>
          <w:rFonts w:eastAsia="Times New Roman"/>
          <w:noProof/>
          <w:color w:val="000000"/>
        </w:rPr>
      </w:pPr>
      <w:r w:rsidRPr="007E7B3F">
        <w:rPr>
          <w:noProof/>
          <w:color w:val="000000"/>
        </w:rPr>
        <w:t xml:space="preserve">Orice mecanisme de despăgubire și rambursare, inclusiv, după caz, trimiteri explicite la drepturile consumatorilor, care se aplică în cazul în care nu sunt respectate nivelurile de calitate a serviciului prevăzute în contract sau în cazul în care furnizorul nu reacționează corespunzător la un incident de securitate, o amenințare sau o vulnerabilitate. </w:t>
      </w:r>
    </w:p>
    <w:p w14:paraId="776634E1" w14:textId="76CC2C4D" w:rsidR="00000D6D" w:rsidRPr="007E7B3F" w:rsidRDefault="004D6580" w:rsidP="00000D6D">
      <w:pPr>
        <w:shd w:val="clear" w:color="auto" w:fill="FFFFFF"/>
        <w:rPr>
          <w:rFonts w:eastAsia="Times New Roman"/>
          <w:noProof/>
          <w:color w:val="000000"/>
        </w:rPr>
      </w:pPr>
      <w:r w:rsidRPr="007E7B3F">
        <w:rPr>
          <w:noProof/>
          <w:color w:val="000000"/>
        </w:rPr>
        <w:t>Dacă este cazul, informații privind drepturile la compensație legate de schimbarea furnizorului și de portabilitatea numerelor.</w:t>
      </w:r>
    </w:p>
    <w:p w14:paraId="27078E61" w14:textId="529AA294" w:rsidR="00000D6D" w:rsidRPr="007E7B3F" w:rsidRDefault="004D6580" w:rsidP="00000D6D">
      <w:pPr>
        <w:rPr>
          <w:noProof/>
        </w:rPr>
      </w:pPr>
      <w:r w:rsidRPr="007E7B3F">
        <w:rPr>
          <w:noProof/>
        </w:rPr>
        <w:t>Tipul de măsură care ar putea fi luată de către furnizor ca răspuns la incidentele sau amenințările în materie de securitate sau la vulnerabilități.</w:t>
      </w:r>
    </w:p>
    <w:p w14:paraId="67EDF5C7" w14:textId="77777777" w:rsidR="00000D6D" w:rsidRPr="007E7B3F" w:rsidRDefault="00000D6D" w:rsidP="00000D6D">
      <w:pPr>
        <w:pStyle w:val="Heading1"/>
        <w:rPr>
          <w:rFonts w:eastAsia="Times New Roman"/>
          <w:noProof/>
        </w:rPr>
      </w:pPr>
      <w:r w:rsidRPr="007E7B3F">
        <w:rPr>
          <w:noProof/>
        </w:rPr>
        <w:t>Informații pentru contractele cu servicii de acces la internet</w:t>
      </w:r>
    </w:p>
    <w:p w14:paraId="2EFACBA1" w14:textId="5E7292AE" w:rsidR="00000D6D" w:rsidRPr="007E7B3F" w:rsidRDefault="00F14832" w:rsidP="00000D6D">
      <w:pPr>
        <w:shd w:val="clear" w:color="auto" w:fill="FFFFFF"/>
        <w:rPr>
          <w:rFonts w:eastAsia="Times New Roman"/>
          <w:noProof/>
          <w:color w:val="000000"/>
        </w:rPr>
      </w:pPr>
      <w:r w:rsidRPr="007E7B3F">
        <w:rPr>
          <w:noProof/>
          <w:color w:val="000000"/>
        </w:rPr>
        <w:t>Furnizorii de servicii de acces la internet se asigură că un contract care include servicii de acces la internet precizează cel puțin următoarele:</w:t>
      </w:r>
    </w:p>
    <w:p w14:paraId="6662AE63" w14:textId="77777777" w:rsidR="00000D6D" w:rsidRPr="007E7B3F" w:rsidRDefault="00000D6D" w:rsidP="00C52460">
      <w:pPr>
        <w:pStyle w:val="Point0letter"/>
        <w:numPr>
          <w:ilvl w:val="1"/>
          <w:numId w:val="8"/>
        </w:numPr>
        <w:rPr>
          <w:noProof/>
        </w:rPr>
      </w:pPr>
      <w:r w:rsidRPr="007E7B3F">
        <w:rPr>
          <w:noProof/>
        </w:rPr>
        <w:t>informații cu privire la modul în care măsurile de gestionare a traficului aplicate de furnizorul respectiv ar putea afecta calitatea serviciului de acces la internet, viața privată a consumatorilor și protecția datelor cu caracter personal;</w:t>
      </w:r>
    </w:p>
    <w:p w14:paraId="72C8F011" w14:textId="77777777" w:rsidR="00000D6D" w:rsidRPr="007E7B3F" w:rsidRDefault="00000D6D" w:rsidP="00C52460">
      <w:pPr>
        <w:pStyle w:val="Point0letter"/>
        <w:numPr>
          <w:ilvl w:val="1"/>
          <w:numId w:val="8"/>
        </w:numPr>
        <w:rPr>
          <w:noProof/>
        </w:rPr>
      </w:pPr>
      <w:r w:rsidRPr="007E7B3F">
        <w:rPr>
          <w:noProof/>
        </w:rPr>
        <w:t>o explicație clară și inteligibilă privind modul în care orice limitare a volumului datelor, viteza și alți parametri de calitate a serviciului pot influența în practică serviciile de acces la internet și, în special, utilizarea conținutului, a aplicațiilor și a serviciilor;</w:t>
      </w:r>
    </w:p>
    <w:p w14:paraId="21AEAFCB" w14:textId="6B536A4F" w:rsidR="00000D6D" w:rsidRPr="007E7B3F" w:rsidRDefault="00000D6D" w:rsidP="54FDE849">
      <w:pPr>
        <w:pStyle w:val="Point0letter"/>
        <w:rPr>
          <w:noProof/>
        </w:rPr>
      </w:pPr>
      <w:r w:rsidRPr="007E7B3F">
        <w:rPr>
          <w:noProof/>
        </w:rPr>
        <w:t>o explicație clară și inteligibilă a modului în care orice servicii, altele decât serviciile de acces la internet menționate la articolul 93 alineatul (5), la care se abonează consumatorul ar putea afecta, în practică, serviciile de acces la internet furnizate aceluiași consumator;</w:t>
      </w:r>
    </w:p>
    <w:p w14:paraId="459ABCB6" w14:textId="7A225C32" w:rsidR="00000D6D" w:rsidRPr="007E7B3F" w:rsidRDefault="00000D6D" w:rsidP="00C52460">
      <w:pPr>
        <w:pStyle w:val="Point0letter"/>
        <w:numPr>
          <w:ilvl w:val="1"/>
          <w:numId w:val="8"/>
        </w:numPr>
        <w:rPr>
          <w:noProof/>
        </w:rPr>
      </w:pPr>
      <w:r w:rsidRPr="007E7B3F">
        <w:rPr>
          <w:noProof/>
        </w:rPr>
        <w:t>o explicație clară și inteligibilă cu privire la viteza de descărcare și de încărcare minimă, viteza disponibilă în mod normal, viteza maximă și viteza promovată pe care o au serviciile de acces la internet în cazul unor rețele fixe sau cu privire la viteza estimată maximă și viteza promovată de descărcare și încărcare pe care o au serviciile de acces la internet în cazul rețelelor mobile, precum și cu privire la modul în care abaterile importante de la respectivele viteze de descărcare și de încărcare promovate ar putea afecta exercitarea drepturilor consumatorilor prevăzute la articolul 93 alineatul (1);</w:t>
      </w:r>
    </w:p>
    <w:p w14:paraId="1D90C96A" w14:textId="7E4BB248" w:rsidR="00642F7B" w:rsidRPr="007E7B3F" w:rsidRDefault="00000D6D" w:rsidP="00C52460">
      <w:pPr>
        <w:pStyle w:val="Point0letter"/>
        <w:numPr>
          <w:ilvl w:val="1"/>
          <w:numId w:val="8"/>
        </w:numPr>
        <w:rPr>
          <w:noProof/>
        </w:rPr>
      </w:pPr>
      <w:r w:rsidRPr="007E7B3F">
        <w:rPr>
          <w:noProof/>
        </w:rPr>
        <w:t>o explicație clară și inteligibilă a căilor de atac aflate la dispoziția consumatorilor în conformitate cu legislația națională, în cazul oricărei diferențe permanente sau care se repetă la intervale regulate, între performanța reală a serviciului de acces la internet în ceea ce privește viteza sau alți parametri de calitate a serviciului și performanța indicată în conformitate cu literele (a)-(d).</w:t>
      </w:r>
    </w:p>
    <w:p w14:paraId="568B97FC" w14:textId="77777777" w:rsidR="00642F7B" w:rsidRPr="007E7B3F" w:rsidRDefault="00642F7B" w:rsidP="00642F7B">
      <w:pPr>
        <w:rPr>
          <w:noProof/>
        </w:rPr>
        <w:sectPr w:rsidR="00642F7B" w:rsidRPr="007E7B3F" w:rsidSect="00A47D02">
          <w:pgSz w:w="11907" w:h="16839"/>
          <w:pgMar w:top="1134" w:right="1417" w:bottom="1134" w:left="1417" w:header="709" w:footer="709" w:gutter="0"/>
          <w:cols w:space="720"/>
          <w:docGrid w:linePitch="360"/>
        </w:sectPr>
      </w:pPr>
    </w:p>
    <w:p w14:paraId="53A93AF1" w14:textId="77777777" w:rsidR="00000D6D" w:rsidRPr="007E7B3F" w:rsidRDefault="00000D6D" w:rsidP="00000D6D">
      <w:pPr>
        <w:pStyle w:val="Annexetitre"/>
        <w:rPr>
          <w:noProof/>
        </w:rPr>
      </w:pPr>
      <w:r w:rsidRPr="007E7B3F">
        <w:rPr>
          <w:noProof/>
        </w:rPr>
        <w:t>ANEXA IV</w:t>
      </w:r>
    </w:p>
    <w:p w14:paraId="1E47203F" w14:textId="61E4F861" w:rsidR="00000D6D" w:rsidRPr="007E7B3F" w:rsidRDefault="00000D6D" w:rsidP="00000D6D">
      <w:pPr>
        <w:shd w:val="clear" w:color="auto" w:fill="FFFFFF"/>
        <w:jc w:val="center"/>
        <w:rPr>
          <w:rFonts w:eastAsia="Times New Roman"/>
          <w:b/>
          <w:noProof/>
          <w:color w:val="000000"/>
        </w:rPr>
      </w:pPr>
      <w:r w:rsidRPr="007E7B3F">
        <w:rPr>
          <w:b/>
          <w:noProof/>
          <w:color w:val="000000"/>
        </w:rPr>
        <w:t>Informațiile care trebuie publicate în conformitate cu articolul 96 (transparența)</w:t>
      </w:r>
    </w:p>
    <w:p w14:paraId="29ACCB8F" w14:textId="4FD39049" w:rsidR="00000D6D" w:rsidRPr="007E7B3F" w:rsidRDefault="00000D6D" w:rsidP="00624AC9">
      <w:pPr>
        <w:pStyle w:val="NumPar1"/>
        <w:numPr>
          <w:ilvl w:val="0"/>
          <w:numId w:val="18"/>
        </w:numPr>
        <w:rPr>
          <w:noProof/>
        </w:rPr>
      </w:pPr>
      <w:r w:rsidRPr="007E7B3F">
        <w:rPr>
          <w:noProof/>
        </w:rPr>
        <w:t>Datele de contact ale întreprinderii</w:t>
      </w:r>
    </w:p>
    <w:p w14:paraId="6509E90A" w14:textId="77777777" w:rsidR="00000D6D" w:rsidRPr="007E7B3F" w:rsidRDefault="00000D6D" w:rsidP="00000D6D">
      <w:pPr>
        <w:pStyle w:val="NumPar1"/>
        <w:rPr>
          <w:noProof/>
        </w:rPr>
      </w:pPr>
      <w:r w:rsidRPr="007E7B3F">
        <w:rPr>
          <w:noProof/>
        </w:rPr>
        <w:t xml:space="preserve">Descrierea serviciilor oferite </w:t>
      </w:r>
    </w:p>
    <w:p w14:paraId="483E1866" w14:textId="37F48E51" w:rsidR="00000D6D" w:rsidRPr="007E7B3F" w:rsidRDefault="00000D6D" w:rsidP="00000D6D">
      <w:pPr>
        <w:pStyle w:val="NumPar2"/>
        <w:rPr>
          <w:noProof/>
        </w:rPr>
      </w:pPr>
      <w:r w:rsidRPr="007E7B3F">
        <w:rPr>
          <w:noProof/>
        </w:rPr>
        <w:t xml:space="preserve">Domeniul serviciilor oferite și principalele caracteristici ale fiecărui serviciu furnizat, inclusiv eventualele niveluri minime de calitate a serviciilor, în cazul în care acestea sunt oferite, și orice restricții impuse de furnizor cu privire la utilizarea echipamentului terminal furnizat. În cazul în care întreprinderea este un furnizor de servicii de acces la internet, informații cuprinzătoare, comparabile, fiabile, ușor de utilizat și actualizate pentru consumatori cu privire la calitatea serviciilor lor, ținând </w:t>
      </w:r>
      <w:bookmarkStart w:id="1" w:name="_Hlk214015826"/>
      <w:r w:rsidRPr="007E7B3F">
        <w:rPr>
          <w:noProof/>
        </w:rPr>
        <w:t>seama</w:t>
      </w:r>
      <w:bookmarkEnd w:id="1"/>
      <w:r w:rsidRPr="007E7B3F">
        <w:rPr>
          <w:noProof/>
        </w:rPr>
        <w:t xml:space="preserve"> în cea mai mare măsură de orientările OAREC menționate la articolul 94 alineatul (5).</w:t>
      </w:r>
    </w:p>
    <w:p w14:paraId="113ACCE3" w14:textId="77777777" w:rsidR="00000D6D" w:rsidRPr="007E7B3F" w:rsidRDefault="00000D6D" w:rsidP="00000D6D">
      <w:pPr>
        <w:pStyle w:val="NumPar2"/>
        <w:rPr>
          <w:noProof/>
        </w:rPr>
      </w:pPr>
      <w:r w:rsidRPr="007E7B3F">
        <w:rPr>
          <w:noProof/>
        </w:rPr>
        <w:t xml:space="preserve">Tarifele serviciilor oferite, inclusiv informații privind volumele de comunicații (cum ar fi restricțiile privind utilizarea datelor, numărul de minute de voce, numărul de mesaje) ale planurilor tarifare specifice și tarifele aplicabile pentru unitățile de comunicații suplimentare, numerele sau serviciile care fac obiectul unor condiții tarifare speciale, tarifele pentru acces și întreținere, toate tipurile de tarife pentru utilizare, sistemele de tarifare speciale și cele ce vizează o anumită categorie de utilizatori și orice alte taxe suplimentare, precum și costurile privind echipamentul terminal. </w:t>
      </w:r>
    </w:p>
    <w:p w14:paraId="17D2CD0D" w14:textId="77777777" w:rsidR="00000D6D" w:rsidRPr="007E7B3F" w:rsidRDefault="00000D6D" w:rsidP="00000D6D">
      <w:pPr>
        <w:pStyle w:val="NumPar2"/>
        <w:rPr>
          <w:noProof/>
        </w:rPr>
      </w:pPr>
      <w:r w:rsidRPr="007E7B3F">
        <w:rPr>
          <w:noProof/>
        </w:rPr>
        <w:t xml:space="preserve">Serviciile postvânzare, de întreținere și de asistență pentru clienți oferite și datele de contact aferente acestora. </w:t>
      </w:r>
    </w:p>
    <w:p w14:paraId="0D112220" w14:textId="77777777" w:rsidR="00000D6D" w:rsidRPr="007E7B3F" w:rsidRDefault="00000D6D" w:rsidP="00000D6D">
      <w:pPr>
        <w:pStyle w:val="NumPar2"/>
        <w:rPr>
          <w:noProof/>
        </w:rPr>
      </w:pPr>
      <w:r w:rsidRPr="007E7B3F">
        <w:rPr>
          <w:noProof/>
        </w:rPr>
        <w:t xml:space="preserve">Condițiile contractuale standard, inclusiv durata contractului, taxele datorate ca urmare a rezilierii anticipate a contractului, drepturile legate de încetarea ofertelor propuse în cadrul unui pachet sau a unor elemente ale acestora și procedurile și tarifele directe legate de portarea numerelor și a altor identificatori, dacă sunt relevante. </w:t>
      </w:r>
    </w:p>
    <w:p w14:paraId="6556D427" w14:textId="11CC77F1" w:rsidR="00000D6D" w:rsidRPr="007E7B3F" w:rsidRDefault="00000D6D" w:rsidP="00000D6D">
      <w:pPr>
        <w:pStyle w:val="NumPar2"/>
        <w:rPr>
          <w:noProof/>
        </w:rPr>
      </w:pPr>
      <w:r w:rsidRPr="007E7B3F">
        <w:rPr>
          <w:noProof/>
        </w:rPr>
        <w:t>Informații privind măsura în care accesul la serviciile de urgență și localizarea apelantului este sau nu inclus în oferta furnizorilor de servicii de comunicații interpersonale.</w:t>
      </w:r>
    </w:p>
    <w:p w14:paraId="4F15D4A7" w14:textId="77777777" w:rsidR="00000D6D" w:rsidRPr="007E7B3F" w:rsidRDefault="00000D6D" w:rsidP="00000D6D">
      <w:pPr>
        <w:pStyle w:val="NumPar2"/>
        <w:rPr>
          <w:noProof/>
        </w:rPr>
      </w:pPr>
      <w:r w:rsidRPr="007E7B3F">
        <w:rPr>
          <w:noProof/>
        </w:rPr>
        <w:t xml:space="preserve">Detalii referitoare la produsele și serviciile, inclusiv privind orice funcții, practici, politici și proceduri aferente, și referitoare la orice modificări ale funcționării serviciului destinate în mod specific utilizatorilor finali cu dizabilități, în conformitate cu cerințele de accesibilitate prevăzute în anexa I la Directiva (UE) 2019/882, precum și măsurile luate pentru a asigura echivalența accesului. </w:t>
      </w:r>
    </w:p>
    <w:p w14:paraId="138BE782" w14:textId="293E812E" w:rsidR="00000D6D" w:rsidRPr="007E7B3F" w:rsidRDefault="00000D6D" w:rsidP="00000D6D">
      <w:pPr>
        <w:pStyle w:val="NumPar1"/>
        <w:rPr>
          <w:noProof/>
        </w:rPr>
      </w:pPr>
      <w:r w:rsidRPr="007E7B3F">
        <w:rPr>
          <w:noProof/>
        </w:rPr>
        <w:t>Mecanisme de soluționare a litigiilor, inclusiv cele elaborate de întreprindere și inclusiv mijloacele de inițiere a procedurilor de soluționare a litigiilor, inclusiv a litigiilor naționale și transfrontaliere, în conformitate cu articolul 188.</w:t>
      </w:r>
    </w:p>
    <w:p w14:paraId="2DE0BD1C" w14:textId="0D9899CD" w:rsidR="00642F7B" w:rsidRPr="007E7B3F" w:rsidRDefault="00BF6DEA" w:rsidP="00642F7B">
      <w:pPr>
        <w:pStyle w:val="NumPar1"/>
        <w:rPr>
          <w:noProof/>
        </w:rPr>
      </w:pPr>
      <w:r w:rsidRPr="007E7B3F">
        <w:rPr>
          <w:noProof/>
        </w:rPr>
        <w:t>Furnizorii de servicii de acces la internet publică informațiile specificate în secțiunea</w:t>
      </w:r>
      <w:r w:rsidR="009B4F7E">
        <w:rPr>
          <w:noProof/>
        </w:rPr>
        <w:t> </w:t>
      </w:r>
      <w:r w:rsidRPr="007E7B3F">
        <w:rPr>
          <w:noProof/>
        </w:rPr>
        <w:t>5 din anexa III.</w:t>
      </w:r>
    </w:p>
    <w:p w14:paraId="21C39A6A" w14:textId="77777777" w:rsidR="00642F7B" w:rsidRPr="007E7B3F" w:rsidRDefault="00642F7B" w:rsidP="00642F7B">
      <w:pPr>
        <w:rPr>
          <w:noProof/>
        </w:rPr>
        <w:sectPr w:rsidR="00642F7B" w:rsidRPr="007E7B3F" w:rsidSect="00A47D02">
          <w:pgSz w:w="11907" w:h="16839"/>
          <w:pgMar w:top="1134" w:right="1417" w:bottom="1134" w:left="1417" w:header="709" w:footer="709" w:gutter="0"/>
          <w:cols w:space="720"/>
          <w:docGrid w:linePitch="360"/>
        </w:sectPr>
      </w:pPr>
    </w:p>
    <w:p w14:paraId="275718C6" w14:textId="77777777" w:rsidR="00000D6D" w:rsidRPr="007E7B3F" w:rsidRDefault="00000D6D" w:rsidP="00000D6D">
      <w:pPr>
        <w:pStyle w:val="Annexetitre"/>
        <w:rPr>
          <w:noProof/>
        </w:rPr>
      </w:pPr>
      <w:r w:rsidRPr="007E7B3F">
        <w:rPr>
          <w:noProof/>
        </w:rPr>
        <w:t>ANEXA V</w:t>
      </w:r>
    </w:p>
    <w:p w14:paraId="535E2EC8" w14:textId="2CF7D7A9" w:rsidR="00000D6D" w:rsidRPr="007E7B3F" w:rsidRDefault="00000D6D" w:rsidP="54FDE849">
      <w:pPr>
        <w:shd w:val="clear" w:color="auto" w:fill="FFFFFF" w:themeFill="background1"/>
        <w:jc w:val="center"/>
        <w:rPr>
          <w:rFonts w:eastAsia="Times New Roman"/>
          <w:b/>
          <w:noProof/>
          <w:color w:val="000000"/>
        </w:rPr>
      </w:pPr>
      <w:r w:rsidRPr="007E7B3F">
        <w:rPr>
          <w:b/>
          <w:noProof/>
          <w:color w:val="000000" w:themeColor="text1"/>
        </w:rPr>
        <w:t>Interoperabilitatea echipamentelor radio auto și a echipamentelor de televiziune digitală pentru consumatori menționate la articolul 112</w:t>
      </w:r>
    </w:p>
    <w:p w14:paraId="5F359A1A" w14:textId="77777777" w:rsidR="00000D6D" w:rsidRPr="007E7B3F" w:rsidRDefault="00000D6D" w:rsidP="00C52460">
      <w:pPr>
        <w:pStyle w:val="NumPar1"/>
        <w:numPr>
          <w:ilvl w:val="0"/>
          <w:numId w:val="9"/>
        </w:numPr>
        <w:rPr>
          <w:rFonts w:eastAsia="Times New Roman"/>
          <w:noProof/>
        </w:rPr>
      </w:pPr>
      <w:r w:rsidRPr="007E7B3F">
        <w:rPr>
          <w:noProof/>
        </w:rPr>
        <w:t xml:space="preserve">Algoritmul comun de codare și recepția liberă </w:t>
      </w:r>
    </w:p>
    <w:p w14:paraId="42F2DC79" w14:textId="77777777" w:rsidR="00276DC6" w:rsidRPr="007E7B3F" w:rsidRDefault="00000D6D" w:rsidP="00000D6D">
      <w:pPr>
        <w:shd w:val="clear" w:color="auto" w:fill="FFFFFF"/>
        <w:rPr>
          <w:rFonts w:eastAsia="Times New Roman"/>
          <w:noProof/>
        </w:rPr>
      </w:pPr>
      <w:r w:rsidRPr="007E7B3F">
        <w:rPr>
          <w:noProof/>
        </w:rPr>
        <w:t>Toate echipamentele destinate consumatorilor pentru recepționarea semnalelor de televiziune digitală (și anume a difuzării prin transmisie terestră, prin cablu sau prin satelit), care sunt vândute, închiriate sau puse la dispoziție în oricare alt mod în Uniune și care pot decoda semnalele de televiziune digitală trebuie să poată permite:</w:t>
      </w:r>
    </w:p>
    <w:p w14:paraId="2D3B7DDD" w14:textId="33C49965" w:rsidR="00276DC6" w:rsidRPr="007E7B3F" w:rsidRDefault="00000D6D" w:rsidP="00000D6D">
      <w:pPr>
        <w:shd w:val="clear" w:color="auto" w:fill="FFFFFF"/>
        <w:rPr>
          <w:rFonts w:eastAsia="Times New Roman"/>
          <w:noProof/>
        </w:rPr>
      </w:pPr>
      <w:r w:rsidRPr="007E7B3F">
        <w:rPr>
          <w:noProof/>
        </w:rPr>
        <w:t xml:space="preserve">(a) decodarea acestor semnale conform unui algoritm comun european de codare, administrat de o organizație europeană de standardizare recunoscută (în prezent ETSI); </w:t>
      </w:r>
    </w:p>
    <w:p w14:paraId="2665C36B" w14:textId="21780F1F" w:rsidR="00000D6D" w:rsidRPr="007E7B3F" w:rsidRDefault="00000D6D" w:rsidP="00000D6D">
      <w:pPr>
        <w:shd w:val="clear" w:color="auto" w:fill="FFFFFF"/>
        <w:rPr>
          <w:rFonts w:eastAsia="Times New Roman"/>
          <w:noProof/>
        </w:rPr>
      </w:pPr>
      <w:r w:rsidRPr="007E7B3F">
        <w:rPr>
          <w:noProof/>
        </w:rPr>
        <w:t>(b) afișarea semnalelor care au fost transmise liber, cu condiția ca, în cazul în care acest echipament este închiriat, cel căruia i-a fost închiriat echipamentul să respecte contractul de închiriere aplicabil.</w:t>
      </w:r>
    </w:p>
    <w:p w14:paraId="2906AFE5" w14:textId="2984892F" w:rsidR="00000D6D" w:rsidRPr="007E7B3F" w:rsidRDefault="00000D6D" w:rsidP="00000D6D">
      <w:pPr>
        <w:pStyle w:val="NumPar1"/>
        <w:rPr>
          <w:noProof/>
        </w:rPr>
      </w:pPr>
      <w:r w:rsidRPr="007E7B3F">
        <w:rPr>
          <w:noProof/>
        </w:rPr>
        <w:t>Interoperabilitatea televizoarelor digitale</w:t>
      </w:r>
      <w:r w:rsidR="009B4F7E">
        <w:rPr>
          <w:noProof/>
        </w:rPr>
        <w:t xml:space="preserve"> </w:t>
      </w:r>
    </w:p>
    <w:p w14:paraId="0096BDBC" w14:textId="77777777" w:rsidR="00000D6D" w:rsidRPr="007E7B3F" w:rsidRDefault="00000D6D" w:rsidP="00000D6D">
      <w:pPr>
        <w:shd w:val="clear" w:color="auto" w:fill="FFFFFF"/>
        <w:rPr>
          <w:rFonts w:eastAsia="Times New Roman"/>
          <w:noProof/>
          <w:color w:val="000000"/>
        </w:rPr>
      </w:pPr>
      <w:r w:rsidRPr="007E7B3F">
        <w:rPr>
          <w:noProof/>
          <w:color w:val="000000"/>
        </w:rPr>
        <w:t>Orice televizor digital cu un ecran integral cu o diagonală vizibilă mai mare de 30 cm care este introdus pe piață pentru a fi vândut sau închiriat în Uniune trebuie să aibă cel puțin o interfață socket deschisă („</w:t>
      </w:r>
      <w:r w:rsidRPr="007E7B3F">
        <w:rPr>
          <w:i/>
          <w:iCs/>
          <w:noProof/>
          <w:color w:val="000000"/>
        </w:rPr>
        <w:t>open interface socket</w:t>
      </w:r>
      <w:r w:rsidRPr="007E7B3F">
        <w:rPr>
          <w:noProof/>
          <w:color w:val="000000"/>
        </w:rPr>
        <w:t>”) (fie standardizată de o organizație europeană de standardizare recunoscută, fie conformă unui standard adoptat de o asemenea organizație sau unei specificații acceptate de întreg sectorul industrial în cauză), care să permită o conectare simplă a echipamentelor periferice și care să poată permite transferul tuturor elementelor relevante ale unui semnal de televiziune digitală, inclusiv al informațiilor legate de serviciile interactive și cu acces condiționat. </w:t>
      </w:r>
    </w:p>
    <w:p w14:paraId="31F98B19" w14:textId="0EC6C410" w:rsidR="00000D6D" w:rsidRPr="007E7B3F" w:rsidRDefault="00000D6D" w:rsidP="00000D6D">
      <w:pPr>
        <w:pStyle w:val="NumPar1"/>
        <w:rPr>
          <w:noProof/>
        </w:rPr>
      </w:pPr>
      <w:r w:rsidRPr="007E7B3F">
        <w:rPr>
          <w:noProof/>
        </w:rPr>
        <w:t>Interoperabilitatea echipamentelor radio auto</w:t>
      </w:r>
      <w:r w:rsidR="009B4F7E">
        <w:rPr>
          <w:noProof/>
        </w:rPr>
        <w:t xml:space="preserve"> </w:t>
      </w:r>
    </w:p>
    <w:p w14:paraId="05B90C0C" w14:textId="27E380E6" w:rsidR="00642F7B" w:rsidRPr="007E7B3F" w:rsidRDefault="00000D6D" w:rsidP="00000D6D">
      <w:pPr>
        <w:shd w:val="clear" w:color="auto" w:fill="FFFFFF"/>
        <w:rPr>
          <w:noProof/>
        </w:rPr>
      </w:pPr>
      <w:r w:rsidRPr="007E7B3F">
        <w:rPr>
          <w:noProof/>
          <w:color w:val="000000"/>
        </w:rPr>
        <w:t xml:space="preserve">Orice echipament radio auto integrat într-un autoturism nou din categoria M care este pus la dispoziție pe piață pentru a fi vândut sau închiriat în Uniune conține un receptor care are capacitatea de recepționare și reproducere cel puțin a serviciilor radio furnizate prin intermediul radiodifuziunii digitale terestre. Receptoarele care sunt conforme cu standardele armonizate ale căror referințe au fost publicate în </w:t>
      </w:r>
      <w:r w:rsidRPr="007E7B3F">
        <w:rPr>
          <w:i/>
          <w:iCs/>
          <w:noProof/>
          <w:color w:val="000000"/>
        </w:rPr>
        <w:t>Jurnalul Oficial al Uniunii Europene</w:t>
      </w:r>
      <w:r w:rsidRPr="007E7B3F">
        <w:rPr>
          <w:noProof/>
          <w:color w:val="000000"/>
        </w:rPr>
        <w:t xml:space="preserve"> sau cu părți ale acestor standarde se consideră că îndeplinesc cerința menționată cuprinsă în respectivele standarde sau părți ale acestor standarde. </w:t>
      </w:r>
    </w:p>
    <w:p w14:paraId="270FE4AE" w14:textId="77777777" w:rsidR="00642F7B" w:rsidRPr="007E7B3F" w:rsidRDefault="00642F7B" w:rsidP="00642F7B">
      <w:pPr>
        <w:rPr>
          <w:noProof/>
        </w:rPr>
        <w:sectPr w:rsidR="00642F7B" w:rsidRPr="007E7B3F" w:rsidSect="00A47D02">
          <w:pgSz w:w="11907" w:h="16839"/>
          <w:pgMar w:top="1134" w:right="1417" w:bottom="1134" w:left="1417" w:header="709" w:footer="709" w:gutter="0"/>
          <w:cols w:space="720"/>
          <w:docGrid w:linePitch="360"/>
        </w:sectPr>
      </w:pPr>
    </w:p>
    <w:p w14:paraId="3C89808A" w14:textId="77777777" w:rsidR="00000D6D" w:rsidRPr="007E7B3F" w:rsidRDefault="00000D6D" w:rsidP="00000D6D">
      <w:pPr>
        <w:pStyle w:val="Annexetitre"/>
        <w:rPr>
          <w:noProof/>
        </w:rPr>
      </w:pPr>
      <w:r w:rsidRPr="007E7B3F">
        <w:rPr>
          <w:noProof/>
        </w:rPr>
        <w:t>ANEXA VI</w:t>
      </w:r>
    </w:p>
    <w:p w14:paraId="0214FC70" w14:textId="1E566C9B" w:rsidR="00000D6D" w:rsidRPr="007E7B3F" w:rsidRDefault="001F2899" w:rsidP="00000D6D">
      <w:pPr>
        <w:jc w:val="center"/>
        <w:rPr>
          <w:rFonts w:eastAsia="Times New Roman"/>
          <w:noProof/>
        </w:rPr>
      </w:pPr>
      <w:r w:rsidRPr="007E7B3F">
        <w:rPr>
          <w:b/>
          <w:noProof/>
        </w:rPr>
        <w:t>Acordarea autorizației Uniunii pe baza unei proceduri de selecție</w:t>
      </w:r>
    </w:p>
    <w:p w14:paraId="7A25010B" w14:textId="2BA7FFC9" w:rsidR="00000D6D" w:rsidRPr="007E7B3F" w:rsidRDefault="00000D6D" w:rsidP="00000D6D">
      <w:pPr>
        <w:pStyle w:val="ManualHeading1"/>
        <w:rPr>
          <w:noProof/>
        </w:rPr>
      </w:pPr>
      <w:r w:rsidRPr="007E7B3F">
        <w:rPr>
          <w:noProof/>
        </w:rPr>
        <w:t>Partea A: Dispoziții generale</w:t>
      </w:r>
    </w:p>
    <w:p w14:paraId="78A5F137" w14:textId="749147AE" w:rsidR="00000D6D" w:rsidRPr="007E7B3F" w:rsidRDefault="00000D6D" w:rsidP="00624AC9">
      <w:pPr>
        <w:pStyle w:val="NumPar1"/>
        <w:numPr>
          <w:ilvl w:val="0"/>
          <w:numId w:val="14"/>
        </w:numPr>
        <w:rPr>
          <w:noProof/>
        </w:rPr>
      </w:pPr>
      <w:r w:rsidRPr="007E7B3F">
        <w:rPr>
          <w:noProof/>
        </w:rPr>
        <w:t>Dacă este necesar și în conformitate cu articolul 40 alineatul (5), Comisia poate decide să organizeze, cu sprijinul Comitetului pentru comunicații, o procedură de selecție transparentă, deschisă și nediscriminatorie. Procedura respectivă înlocuiește procedura prevăzută la articolul 30.</w:t>
      </w:r>
    </w:p>
    <w:p w14:paraId="1123C33E" w14:textId="41F122D9" w:rsidR="00000D6D" w:rsidRPr="007E7B3F" w:rsidRDefault="00000D6D" w:rsidP="00C52460">
      <w:pPr>
        <w:pStyle w:val="NumPar1"/>
        <w:numPr>
          <w:ilvl w:val="0"/>
          <w:numId w:val="9"/>
        </w:numPr>
        <w:rPr>
          <w:noProof/>
          <w:szCs w:val="24"/>
        </w:rPr>
      </w:pPr>
      <w:r w:rsidRPr="007E7B3F">
        <w:rPr>
          <w:noProof/>
        </w:rPr>
        <w:t>Comisia identifică numărul de frecvențe care urmează să fie acordate prin procedura de selecție. Stabilirea spectrului de frecvențe radio acoperit poate, după caz, să includă dispoziții sau măsuri de protecție specifice solicitate de un stat membru pentru a face față nevoilor locale specifice de la nivel național permise în temeiul dreptului internațional sau al dreptului Uniunii. Aceste regimuri sau măsuri sunt specificate în orice autorizație acordată de Comisie.</w:t>
      </w:r>
      <w:r w:rsidR="009B4F7E">
        <w:rPr>
          <w:noProof/>
        </w:rPr>
        <w:t xml:space="preserve"> </w:t>
      </w:r>
    </w:p>
    <w:p w14:paraId="2405E988" w14:textId="2AA913C0" w:rsidR="00000D6D" w:rsidRPr="007E7B3F" w:rsidRDefault="00000D6D" w:rsidP="00C52460">
      <w:pPr>
        <w:pStyle w:val="NumPar1"/>
        <w:numPr>
          <w:ilvl w:val="0"/>
          <w:numId w:val="9"/>
        </w:numPr>
        <w:rPr>
          <w:noProof/>
        </w:rPr>
      </w:pPr>
      <w:r w:rsidRPr="007E7B3F">
        <w:rPr>
          <w:noProof/>
        </w:rPr>
        <w:t xml:space="preserve">Comisia decide, ținând seama în cea mai mare măsură de avizul RSPB, să desfășoare, în a doua etapă de selecție, fie o procedură comparativă, fie o procedură competitivă, în funcție de natura serviciilor care se preconizează că vor fi furnizate în benzile de frecvențe, în special în cazul în care suveranitatea și securitatea Uniunii și a statelor membre trebuie menținute. În funcție de tipul de procedură de selecție aleasă, Comisia stabilește fie o taxă unică, fie un preț de rezervă, ținând seama de articolul 29. </w:t>
      </w:r>
    </w:p>
    <w:p w14:paraId="11DCCF3D" w14:textId="77777777" w:rsidR="00000D6D" w:rsidRPr="007E7B3F" w:rsidRDefault="00000D6D" w:rsidP="00C52460">
      <w:pPr>
        <w:pStyle w:val="NumPar1"/>
        <w:numPr>
          <w:ilvl w:val="0"/>
          <w:numId w:val="9"/>
        </w:numPr>
        <w:rPr>
          <w:noProof/>
        </w:rPr>
      </w:pPr>
      <w:r w:rsidRPr="007E7B3F">
        <w:rPr>
          <w:noProof/>
        </w:rPr>
        <w:t xml:space="preserve">Comisia precizează mai în detaliu criteriile de admisibilitate din partea B și criteriile de selecție din partea D, ținând seama de avizul RSPB și cu sprijinul Comitetului pentru comunicații. </w:t>
      </w:r>
    </w:p>
    <w:p w14:paraId="5F071FEA" w14:textId="77777777" w:rsidR="00000D6D" w:rsidRPr="007E7B3F" w:rsidRDefault="00000D6D" w:rsidP="00C52460">
      <w:pPr>
        <w:pStyle w:val="NumPar1"/>
        <w:numPr>
          <w:ilvl w:val="0"/>
          <w:numId w:val="9"/>
        </w:numPr>
        <w:rPr>
          <w:noProof/>
        </w:rPr>
      </w:pPr>
      <w:r w:rsidRPr="007E7B3F">
        <w:rPr>
          <w:noProof/>
        </w:rPr>
        <w:t xml:space="preserve">Cererea de candidaturi, precum și cerințele de admisibilitate, informațiile și documentele care trebuie incluse în candidaturi, condițiile de selecție și condițiile în care pot fi făcute publice informațiile referitoare la candidaturi se publică în </w:t>
      </w:r>
      <w:r w:rsidRPr="007E7B3F">
        <w:rPr>
          <w:i/>
          <w:iCs/>
          <w:noProof/>
        </w:rPr>
        <w:t>Jurnalul Oficial al Uniunii Europene</w:t>
      </w:r>
      <w:r w:rsidRPr="007E7B3F">
        <w:rPr>
          <w:noProof/>
        </w:rPr>
        <w:t>.</w:t>
      </w:r>
    </w:p>
    <w:p w14:paraId="2F603C29" w14:textId="77777777" w:rsidR="00000D6D" w:rsidRPr="007E7B3F" w:rsidRDefault="00000D6D" w:rsidP="00C52460">
      <w:pPr>
        <w:pStyle w:val="NumPar1"/>
        <w:numPr>
          <w:ilvl w:val="0"/>
          <w:numId w:val="9"/>
        </w:numPr>
        <w:rPr>
          <w:noProof/>
          <w:color w:val="000000"/>
        </w:rPr>
      </w:pPr>
      <w:r w:rsidRPr="007E7B3F">
        <w:rPr>
          <w:noProof/>
        </w:rPr>
        <w:t>Comisia poate solicita consiliere și asistență din partea unor experți externi pentru punerea în aplicare a procedurii de selecție. Acești experți externi sunt selectați pe baza experienței deținute și a gradului înalt de independență și imparțialitate.</w:t>
      </w:r>
    </w:p>
    <w:p w14:paraId="19F0B6CE" w14:textId="77777777" w:rsidR="00000D6D" w:rsidRPr="007E7B3F" w:rsidRDefault="00000D6D" w:rsidP="00C52460">
      <w:pPr>
        <w:pStyle w:val="NumPar1"/>
        <w:numPr>
          <w:ilvl w:val="0"/>
          <w:numId w:val="9"/>
        </w:numPr>
        <w:rPr>
          <w:noProof/>
        </w:rPr>
      </w:pPr>
      <w:r w:rsidRPr="007E7B3F">
        <w:rPr>
          <w:noProof/>
        </w:rPr>
        <w:t xml:space="preserve">Comisia poate solicita asistență din partea ODN atunci când desfășoară procedura de selecție. </w:t>
      </w:r>
    </w:p>
    <w:p w14:paraId="42A1C25F" w14:textId="77777777" w:rsidR="00000D6D" w:rsidRPr="007E7B3F" w:rsidRDefault="00000D6D" w:rsidP="00000D6D">
      <w:pPr>
        <w:pStyle w:val="ManualHeading1"/>
        <w:rPr>
          <w:bCs/>
          <w:noProof/>
        </w:rPr>
      </w:pPr>
      <w:r w:rsidRPr="007E7B3F">
        <w:rPr>
          <w:noProof/>
        </w:rPr>
        <w:t>Partea B: Admiterea candidaturilor</w:t>
      </w:r>
    </w:p>
    <w:p w14:paraId="52AA7F91" w14:textId="77777777" w:rsidR="00000D6D" w:rsidRPr="007E7B3F" w:rsidRDefault="00000D6D" w:rsidP="00C52460">
      <w:pPr>
        <w:pStyle w:val="NumPar1"/>
        <w:numPr>
          <w:ilvl w:val="0"/>
          <w:numId w:val="10"/>
        </w:numPr>
        <w:rPr>
          <w:noProof/>
        </w:rPr>
      </w:pPr>
      <w:r w:rsidRPr="007E7B3F">
        <w:rPr>
          <w:noProof/>
        </w:rPr>
        <w:t>Cerințele de admisibilitate a oricărei cereri includ, după caz, dar fără a se limita la acestea, următoarele:</w:t>
      </w:r>
    </w:p>
    <w:p w14:paraId="71ECBB55" w14:textId="3C02F07D" w:rsidR="00000D6D" w:rsidRPr="007E7B3F" w:rsidRDefault="00000D6D" w:rsidP="00B41ED5">
      <w:pPr>
        <w:pStyle w:val="ListDash"/>
        <w:tabs>
          <w:tab w:val="clear" w:pos="283"/>
          <w:tab w:val="num" w:pos="993"/>
        </w:tabs>
        <w:rPr>
          <w:noProof/>
        </w:rPr>
      </w:pPr>
      <w:r w:rsidRPr="007E7B3F">
        <w:rPr>
          <w:noProof/>
        </w:rPr>
        <w:t>necesitatea ca solicitantul să fie stabilit sau considerat a fi stabilit în Uniune și, în măsura în care sunt identificate nevoi de securitate, restricții privind proprietatea;</w:t>
      </w:r>
    </w:p>
    <w:p w14:paraId="21DBAE08" w14:textId="77777777" w:rsidR="00000D6D" w:rsidRPr="007E7B3F" w:rsidRDefault="00000D6D" w:rsidP="00B41ED5">
      <w:pPr>
        <w:pStyle w:val="ListDash"/>
        <w:tabs>
          <w:tab w:val="clear" w:pos="283"/>
          <w:tab w:val="num" w:pos="993"/>
        </w:tabs>
        <w:rPr>
          <w:noProof/>
        </w:rPr>
      </w:pPr>
      <w:r w:rsidRPr="007E7B3F">
        <w:rPr>
          <w:noProof/>
        </w:rPr>
        <w:t xml:space="preserve">capacitatea tehnică și gradul de pregătire al solicitantului, în special în ceea ce privește dezvoltarea, lansarea și exploatarea sistemului de sateliți; </w:t>
      </w:r>
    </w:p>
    <w:p w14:paraId="03B03004" w14:textId="77777777" w:rsidR="00000D6D" w:rsidRPr="007E7B3F" w:rsidRDefault="00000D6D" w:rsidP="00B41ED5">
      <w:pPr>
        <w:pStyle w:val="ListDash"/>
        <w:tabs>
          <w:tab w:val="clear" w:pos="283"/>
          <w:tab w:val="num" w:pos="993"/>
        </w:tabs>
        <w:rPr>
          <w:noProof/>
        </w:rPr>
      </w:pPr>
      <w:r w:rsidRPr="007E7B3F">
        <w:rPr>
          <w:noProof/>
        </w:rPr>
        <w:t>dovezile privind cererea depusă sau cererile depuse la UIT aferente și măsurile de asigurare a conformității cu reglementările UIT;</w:t>
      </w:r>
    </w:p>
    <w:p w14:paraId="192ECB65" w14:textId="77777777" w:rsidR="00000D6D" w:rsidRPr="007E7B3F" w:rsidRDefault="00000D6D" w:rsidP="00A65054">
      <w:pPr>
        <w:pStyle w:val="ListDash"/>
        <w:rPr>
          <w:noProof/>
        </w:rPr>
      </w:pPr>
      <w:r w:rsidRPr="007E7B3F">
        <w:rPr>
          <w:noProof/>
        </w:rPr>
        <w:t>capacitatea financiară a solicitantului. Cerințele de admisibilitate pot include dovezi ale îndeplinirii obiectivelor de etapă definite în temeiul părții C.2.</w:t>
      </w:r>
    </w:p>
    <w:p w14:paraId="333D8F2D" w14:textId="77777777" w:rsidR="00000D6D" w:rsidRPr="007E7B3F" w:rsidRDefault="00000D6D" w:rsidP="00000D6D">
      <w:pPr>
        <w:pStyle w:val="NumPar1"/>
        <w:rPr>
          <w:noProof/>
        </w:rPr>
      </w:pPr>
      <w:r w:rsidRPr="007E7B3F">
        <w:rPr>
          <w:noProof/>
        </w:rPr>
        <w:t>Candidaturile se prezintă Comisiei. Comisia poate cere solicitanților să furnizeze informații suplimentare privind îndeplinirea cerințelor de admisibilitate într-un termen care urmează să fie specificat. Candidatura este considerată inadmisibilă în cazul în care aceste informații nu sunt furnizate în termenul specificat.</w:t>
      </w:r>
    </w:p>
    <w:p w14:paraId="5BAA6EA3" w14:textId="77777777" w:rsidR="00000D6D" w:rsidRPr="007E7B3F" w:rsidRDefault="00000D6D" w:rsidP="00000D6D">
      <w:pPr>
        <w:pStyle w:val="NumPar1"/>
        <w:rPr>
          <w:noProof/>
        </w:rPr>
      </w:pPr>
      <w:r w:rsidRPr="007E7B3F">
        <w:rPr>
          <w:noProof/>
        </w:rPr>
        <w:t>Comisia decide, cu sprijinul Comitetului pentru comunicații, cu privire la admisibilitatea cererilor.</w:t>
      </w:r>
    </w:p>
    <w:p w14:paraId="34635362" w14:textId="77777777" w:rsidR="00000D6D" w:rsidRPr="007E7B3F" w:rsidRDefault="00000D6D" w:rsidP="00000D6D">
      <w:pPr>
        <w:pStyle w:val="NumPar1"/>
        <w:rPr>
          <w:noProof/>
        </w:rPr>
      </w:pPr>
      <w:r w:rsidRPr="007E7B3F">
        <w:rPr>
          <w:noProof/>
        </w:rPr>
        <w:t>Comisia informează imediat solicitanții în cazul în care solicitările lor au fost considerate admisibile și publică lista solicitanților admisibili.</w:t>
      </w:r>
    </w:p>
    <w:p w14:paraId="6182AD38" w14:textId="77777777" w:rsidR="00000D6D" w:rsidRPr="007E7B3F" w:rsidRDefault="00000D6D" w:rsidP="00000D6D">
      <w:pPr>
        <w:pStyle w:val="ManualHeading1"/>
        <w:rPr>
          <w:bCs/>
          <w:noProof/>
        </w:rPr>
      </w:pPr>
      <w:r w:rsidRPr="007E7B3F">
        <w:rPr>
          <w:noProof/>
        </w:rPr>
        <w:t>Partea C: Prima etapă de selecție pentru comunicațiile prin satelit</w:t>
      </w:r>
    </w:p>
    <w:p w14:paraId="6D3C1648" w14:textId="37FC8B3C" w:rsidR="00000D6D" w:rsidRPr="007E7B3F" w:rsidRDefault="00000D6D" w:rsidP="00624AC9">
      <w:pPr>
        <w:pStyle w:val="NumPar1"/>
        <w:numPr>
          <w:ilvl w:val="0"/>
          <w:numId w:val="19"/>
        </w:numPr>
        <w:rPr>
          <w:noProof/>
        </w:rPr>
      </w:pPr>
      <w:r w:rsidRPr="007E7B3F">
        <w:rPr>
          <w:noProof/>
        </w:rPr>
        <w:t>În termen de 40 de zile lucrătoare de la publicarea listei solicitanților considerați admisibili, Comisia evaluează în ce măsură solicitanții au demonstrat faptul că sistemele lor de comunicații prin satelit se află la nivelul de dezvoltare tehnică și comercială necesar. Comisia va evalua, de asemenea, capacitatea solicitanților de a îndeplini condițiile prevăzute la articolele 38 și 39.</w:t>
      </w:r>
    </w:p>
    <w:p w14:paraId="352FB94D" w14:textId="77777777" w:rsidR="00000D6D" w:rsidRPr="007E7B3F" w:rsidRDefault="00000D6D" w:rsidP="00624AC9">
      <w:pPr>
        <w:pStyle w:val="NumPar1"/>
        <w:numPr>
          <w:ilvl w:val="0"/>
          <w:numId w:val="19"/>
        </w:numPr>
        <w:rPr>
          <w:noProof/>
        </w:rPr>
      </w:pPr>
      <w:r w:rsidRPr="007E7B3F">
        <w:rPr>
          <w:noProof/>
        </w:rPr>
        <w:t>O astfel de evaluare se poate baza pe atingerea în mod satisfăcător a unei serii de jaloane care urmează să fie decise de Comisie. Aceste jaloane includ, după caz:</w:t>
      </w:r>
    </w:p>
    <w:p w14:paraId="02E47D3E" w14:textId="77777777" w:rsidR="00000D6D" w:rsidRPr="007E7B3F" w:rsidRDefault="00000D6D" w:rsidP="00B41ED5">
      <w:pPr>
        <w:pStyle w:val="ListDash"/>
        <w:tabs>
          <w:tab w:val="clear" w:pos="283"/>
        </w:tabs>
        <w:ind w:left="1134"/>
        <w:rPr>
          <w:noProof/>
        </w:rPr>
      </w:pPr>
      <w:r w:rsidRPr="007E7B3F">
        <w:rPr>
          <w:noProof/>
        </w:rPr>
        <w:t xml:space="preserve">depunerea la UIT a unei cereri de coordonare a sistemului prin satelit; </w:t>
      </w:r>
    </w:p>
    <w:p w14:paraId="12A564D4" w14:textId="77777777" w:rsidR="00000D6D" w:rsidRPr="007E7B3F" w:rsidRDefault="00000D6D" w:rsidP="00B41ED5">
      <w:pPr>
        <w:pStyle w:val="ListDash"/>
        <w:tabs>
          <w:tab w:val="clear" w:pos="283"/>
        </w:tabs>
        <w:ind w:left="1134"/>
        <w:rPr>
          <w:noProof/>
        </w:rPr>
      </w:pPr>
      <w:r w:rsidRPr="007E7B3F">
        <w:rPr>
          <w:noProof/>
        </w:rPr>
        <w:t xml:space="preserve">semnarea unui acord pentru fabricarea sistemului de sateliți; </w:t>
      </w:r>
    </w:p>
    <w:p w14:paraId="6E19E06C" w14:textId="77777777" w:rsidR="00000D6D" w:rsidRPr="007E7B3F" w:rsidRDefault="00000D6D" w:rsidP="00B41ED5">
      <w:pPr>
        <w:pStyle w:val="ListDash"/>
        <w:tabs>
          <w:tab w:val="clear" w:pos="283"/>
        </w:tabs>
        <w:ind w:left="1134"/>
        <w:rPr>
          <w:noProof/>
        </w:rPr>
      </w:pPr>
      <w:r w:rsidRPr="007E7B3F">
        <w:rPr>
          <w:noProof/>
        </w:rPr>
        <w:t xml:space="preserve">semnarea unui acord pentru lansarea sistemului de sateliți; </w:t>
      </w:r>
    </w:p>
    <w:p w14:paraId="71C3840B" w14:textId="77777777" w:rsidR="00000D6D" w:rsidRPr="007E7B3F" w:rsidRDefault="00000D6D" w:rsidP="00B41ED5">
      <w:pPr>
        <w:pStyle w:val="ListDash"/>
        <w:tabs>
          <w:tab w:val="clear" w:pos="283"/>
        </w:tabs>
        <w:ind w:left="1134"/>
        <w:rPr>
          <w:noProof/>
        </w:rPr>
      </w:pPr>
      <w:r w:rsidRPr="007E7B3F">
        <w:rPr>
          <w:noProof/>
        </w:rPr>
        <w:t xml:space="preserve">semnarea unui acord pentru construirea și instalarea stațiilor terestre de acces; </w:t>
      </w:r>
    </w:p>
    <w:p w14:paraId="74ADA117" w14:textId="77777777" w:rsidR="00000D6D" w:rsidRPr="007E7B3F" w:rsidRDefault="00000D6D" w:rsidP="00B41ED5">
      <w:pPr>
        <w:pStyle w:val="ListDash"/>
        <w:tabs>
          <w:tab w:val="clear" w:pos="283"/>
        </w:tabs>
        <w:ind w:left="1134"/>
        <w:rPr>
          <w:noProof/>
        </w:rPr>
      </w:pPr>
      <w:r w:rsidRPr="007E7B3F">
        <w:rPr>
          <w:noProof/>
        </w:rPr>
        <w:t xml:space="preserve">finalizarea analizei critice a proiectării; </w:t>
      </w:r>
    </w:p>
    <w:p w14:paraId="4409DC60" w14:textId="77777777" w:rsidR="00000D6D" w:rsidRPr="007E7B3F" w:rsidRDefault="00000D6D" w:rsidP="00B41ED5">
      <w:pPr>
        <w:pStyle w:val="ListDash"/>
        <w:tabs>
          <w:tab w:val="clear" w:pos="283"/>
        </w:tabs>
        <w:ind w:left="1134"/>
        <w:rPr>
          <w:noProof/>
        </w:rPr>
      </w:pPr>
      <w:r w:rsidRPr="007E7B3F">
        <w:rPr>
          <w:noProof/>
        </w:rPr>
        <w:t xml:space="preserve">asamblarea modulelor sateliților; </w:t>
      </w:r>
    </w:p>
    <w:p w14:paraId="495833CE" w14:textId="77777777" w:rsidR="00000D6D" w:rsidRPr="007E7B3F" w:rsidRDefault="00000D6D" w:rsidP="00B41ED5">
      <w:pPr>
        <w:pStyle w:val="ListDash"/>
        <w:tabs>
          <w:tab w:val="clear" w:pos="283"/>
        </w:tabs>
        <w:ind w:left="1134"/>
        <w:rPr>
          <w:noProof/>
        </w:rPr>
      </w:pPr>
      <w:r w:rsidRPr="007E7B3F">
        <w:rPr>
          <w:noProof/>
        </w:rPr>
        <w:t xml:space="preserve">lansarea sistemului de sateliți; </w:t>
      </w:r>
    </w:p>
    <w:p w14:paraId="57C83303" w14:textId="77777777" w:rsidR="00000D6D" w:rsidRPr="007E7B3F" w:rsidRDefault="00000D6D" w:rsidP="00B41ED5">
      <w:pPr>
        <w:pStyle w:val="ListDash"/>
        <w:tabs>
          <w:tab w:val="clear" w:pos="283"/>
        </w:tabs>
        <w:ind w:left="1134"/>
        <w:rPr>
          <w:noProof/>
        </w:rPr>
      </w:pPr>
      <w:r w:rsidRPr="007E7B3F">
        <w:rPr>
          <w:noProof/>
        </w:rPr>
        <w:t xml:space="preserve">coordonarea frecvențelor în conformitate cu reglementările radio ale UIT și </w:t>
      </w:r>
    </w:p>
    <w:p w14:paraId="3659D760" w14:textId="77777777" w:rsidR="00000D6D" w:rsidRPr="007E7B3F" w:rsidRDefault="00000D6D" w:rsidP="00B41ED5">
      <w:pPr>
        <w:pStyle w:val="ListDash"/>
        <w:tabs>
          <w:tab w:val="clear" w:pos="283"/>
        </w:tabs>
        <w:ind w:left="1134"/>
        <w:rPr>
          <w:noProof/>
        </w:rPr>
      </w:pPr>
      <w:r w:rsidRPr="007E7B3F">
        <w:rPr>
          <w:noProof/>
        </w:rPr>
        <w:t>furnizarea efectivă de servicii prin satelit în Uniune.</w:t>
      </w:r>
    </w:p>
    <w:p w14:paraId="2FA85D2F" w14:textId="39BC29F9" w:rsidR="00000D6D" w:rsidRPr="007E7B3F" w:rsidRDefault="00000D6D" w:rsidP="00000D6D">
      <w:pPr>
        <w:pStyle w:val="NumPar1"/>
        <w:rPr>
          <w:noProof/>
        </w:rPr>
      </w:pPr>
      <w:r w:rsidRPr="007E7B3F">
        <w:rPr>
          <w:noProof/>
        </w:rPr>
        <w:t>În cazul în care cererea combinată de frecvențe radio solicitate de solicitanții eligibili reținuți în conformitate cu punctul 1 din prezenta parte nu depășește numărul de frecvențe radio disponibile identificate de Comisie în temeiul părții A, Comisia stabilește, printr-o decizie motivată, că sunt selectați toți solicitanții eligibili și identifică frecvențele respective pe care fiecare solicitant selectat are dreptul să le utilizeze în conformitate cu autorizația Uniunii.</w:t>
      </w:r>
    </w:p>
    <w:p w14:paraId="690BAFB6" w14:textId="77777777" w:rsidR="00000D6D" w:rsidRPr="007E7B3F" w:rsidRDefault="00000D6D" w:rsidP="00000D6D">
      <w:pPr>
        <w:pStyle w:val="NumPar1"/>
        <w:rPr>
          <w:noProof/>
        </w:rPr>
      </w:pPr>
      <w:r w:rsidRPr="007E7B3F">
        <w:rPr>
          <w:noProof/>
        </w:rPr>
        <w:t>Comisia informează imediat solicitanții în cazul în care solicitările lor au fost considerate eligibile pentru cea de-a doua etapă de selectare sau dacă au fost selectate în conformitate cu punctul 3. Comisia publică lista solicitanților eligibili sau selectați. În termen de 30 de zile lucrătoare de la publicare, solicitanții eligibili care nu mai intenționează să participe la următoarele etape din cadrul procedurii de selectare, precum și solicitanții selectați care nu mai intenționează să utilizeze frecvențele radio informează imediat Comisia în scris despre acest fapt.</w:t>
      </w:r>
    </w:p>
    <w:p w14:paraId="0060B894" w14:textId="77777777" w:rsidR="00000D6D" w:rsidRPr="007E7B3F" w:rsidRDefault="00000D6D" w:rsidP="00000D6D">
      <w:pPr>
        <w:pStyle w:val="ManualHeading1"/>
        <w:rPr>
          <w:bCs/>
          <w:noProof/>
        </w:rPr>
      </w:pPr>
      <w:r w:rsidRPr="007E7B3F">
        <w:rPr>
          <w:noProof/>
        </w:rPr>
        <w:t>Partea D: A doua etapă de selectare</w:t>
      </w:r>
    </w:p>
    <w:p w14:paraId="1995C8FB" w14:textId="77777777" w:rsidR="00000D6D" w:rsidRPr="007E7B3F" w:rsidRDefault="00000D6D" w:rsidP="00624AC9">
      <w:pPr>
        <w:pStyle w:val="NumPar1"/>
        <w:numPr>
          <w:ilvl w:val="0"/>
          <w:numId w:val="11"/>
        </w:numPr>
        <w:rPr>
          <w:noProof/>
        </w:rPr>
      </w:pPr>
      <w:r w:rsidRPr="007E7B3F">
        <w:rPr>
          <w:noProof/>
        </w:rPr>
        <w:t xml:space="preserve">În cazul în care cererea combinată de frecvențe radio solicitate de solicitanții eligibili identificați în prima etapă de selecție depășește numărul de frecvențe radio disponibile identificate de Comisie în temeiul părții A, Comisia aplică o a doua etapă de selecție. </w:t>
      </w:r>
    </w:p>
    <w:p w14:paraId="224BF60A" w14:textId="77777777" w:rsidR="00000D6D" w:rsidRPr="007E7B3F" w:rsidRDefault="00000D6D" w:rsidP="00624AC9">
      <w:pPr>
        <w:pStyle w:val="NumPar1"/>
        <w:numPr>
          <w:ilvl w:val="0"/>
          <w:numId w:val="11"/>
        </w:numPr>
        <w:rPr>
          <w:noProof/>
        </w:rPr>
      </w:pPr>
      <w:r w:rsidRPr="007E7B3F">
        <w:rPr>
          <w:noProof/>
        </w:rPr>
        <w:t>În cazul în care se aplică o procedură comparativă, Comisia stabilește criterii de selecție ponderate care pot include, în special:</w:t>
      </w:r>
    </w:p>
    <w:p w14:paraId="572AAFF6" w14:textId="77777777" w:rsidR="00000D6D" w:rsidRPr="007E7B3F" w:rsidRDefault="00000D6D" w:rsidP="00624AC9">
      <w:pPr>
        <w:pStyle w:val="Point0letter"/>
        <w:numPr>
          <w:ilvl w:val="1"/>
          <w:numId w:val="15"/>
        </w:numPr>
        <w:rPr>
          <w:noProof/>
        </w:rPr>
      </w:pPr>
      <w:r w:rsidRPr="007E7B3F">
        <w:rPr>
          <w:noProof/>
        </w:rPr>
        <w:t>acoperirea geografică și demografică a Uniunii și calendarul acesteia;</w:t>
      </w:r>
    </w:p>
    <w:p w14:paraId="1BAD439D" w14:textId="77777777" w:rsidR="00000D6D" w:rsidRPr="007E7B3F" w:rsidRDefault="00000D6D" w:rsidP="00C52460">
      <w:pPr>
        <w:pStyle w:val="Point0letter"/>
        <w:numPr>
          <w:ilvl w:val="1"/>
          <w:numId w:val="6"/>
        </w:numPr>
        <w:rPr>
          <w:noProof/>
        </w:rPr>
      </w:pPr>
      <w:r w:rsidRPr="007E7B3F">
        <w:rPr>
          <w:noProof/>
        </w:rPr>
        <w:t>beneficiile pentru consumatori și competitivitate oferite, inclusiv numărul de utilizatori finali și gama de servicii prin satelit care urmează să fie furnizate până la data începerii furnizării continue de servicii prin satelit, precum și data începerii furnizării continue de servicii prin satelit;</w:t>
      </w:r>
    </w:p>
    <w:p w14:paraId="6107B04E" w14:textId="77777777" w:rsidR="00000D6D" w:rsidRPr="007E7B3F" w:rsidRDefault="00000D6D" w:rsidP="00C52460">
      <w:pPr>
        <w:pStyle w:val="Point0letter"/>
        <w:numPr>
          <w:ilvl w:val="1"/>
          <w:numId w:val="6"/>
        </w:numPr>
        <w:rPr>
          <w:noProof/>
        </w:rPr>
      </w:pPr>
      <w:r w:rsidRPr="007E7B3F">
        <w:rPr>
          <w:noProof/>
        </w:rPr>
        <w:t>eficiența spectrului, care cuprinde cantitatea totală de spectru necesară și capacitatea agregată de transmisie;</w:t>
      </w:r>
    </w:p>
    <w:p w14:paraId="7F038B1B" w14:textId="77777777" w:rsidR="00000D6D" w:rsidRPr="007E7B3F" w:rsidRDefault="00000D6D" w:rsidP="00C52460">
      <w:pPr>
        <w:pStyle w:val="Point0letter"/>
        <w:numPr>
          <w:ilvl w:val="1"/>
          <w:numId w:val="6"/>
        </w:numPr>
        <w:rPr>
          <w:noProof/>
        </w:rPr>
      </w:pPr>
      <w:r w:rsidRPr="007E7B3F">
        <w:rPr>
          <w:noProof/>
        </w:rPr>
        <w:t>măsura în care pot fi îndeplinite obiectivele de politică publică, în special:</w:t>
      </w:r>
    </w:p>
    <w:p w14:paraId="45FC84CB" w14:textId="77777777" w:rsidR="00000D6D" w:rsidRPr="007E7B3F" w:rsidRDefault="00000D6D" w:rsidP="00A65054">
      <w:pPr>
        <w:pStyle w:val="ListDash"/>
        <w:rPr>
          <w:rFonts w:eastAsia="Calibri"/>
          <w:noProof/>
        </w:rPr>
      </w:pPr>
      <w:r w:rsidRPr="007E7B3F">
        <w:rPr>
          <w:noProof/>
        </w:rPr>
        <w:t xml:space="preserve">competitivitatea globală a Uniunii și a statelor sale membre în lanțul valoric al sectorului spațial; </w:t>
      </w:r>
    </w:p>
    <w:p w14:paraId="037F2E80" w14:textId="77777777" w:rsidR="00000D6D" w:rsidRPr="007E7B3F" w:rsidRDefault="00000D6D" w:rsidP="00A65054">
      <w:pPr>
        <w:pStyle w:val="ListDash"/>
        <w:rPr>
          <w:rFonts w:eastAsia="Calibri"/>
          <w:noProof/>
        </w:rPr>
      </w:pPr>
      <w:r w:rsidRPr="007E7B3F">
        <w:rPr>
          <w:noProof/>
        </w:rPr>
        <w:t xml:space="preserve">impactul global al sistemelor prin satelit asupra mediului în ceea ce privește durabilitatea spațiului; </w:t>
      </w:r>
    </w:p>
    <w:p w14:paraId="4127944E" w14:textId="77777777" w:rsidR="00000D6D" w:rsidRPr="007E7B3F" w:rsidRDefault="00000D6D" w:rsidP="00A65054">
      <w:pPr>
        <w:pStyle w:val="ListDash"/>
        <w:rPr>
          <w:rFonts w:eastAsia="Calibri"/>
          <w:noProof/>
        </w:rPr>
      </w:pPr>
      <w:r w:rsidRPr="007E7B3F">
        <w:rPr>
          <w:noProof/>
        </w:rPr>
        <w:t>utilizarea standardelor deschise, a tehnologiilor cu sursă deschisă și a interoperabilității în arhitectura sistemelor prin satelit;</w:t>
      </w:r>
    </w:p>
    <w:p w14:paraId="267149D5" w14:textId="4797A7C3" w:rsidR="00000D6D" w:rsidRPr="007E7B3F" w:rsidRDefault="00000D6D" w:rsidP="00A65054">
      <w:pPr>
        <w:pStyle w:val="ListDash"/>
        <w:rPr>
          <w:noProof/>
        </w:rPr>
      </w:pPr>
      <w:r w:rsidRPr="007E7B3F">
        <w:rPr>
          <w:noProof/>
        </w:rPr>
        <w:t xml:space="preserve">capacitatea sistemelor mobile de comunicații prin satelit propuse de a spori capacitățile UE în lanțul valoric al sateliților; </w:t>
      </w:r>
    </w:p>
    <w:p w14:paraId="632A2D85" w14:textId="77777777" w:rsidR="00000D6D" w:rsidRPr="007E7B3F" w:rsidRDefault="00000D6D" w:rsidP="00C52460">
      <w:pPr>
        <w:pStyle w:val="Point0letter"/>
        <w:numPr>
          <w:ilvl w:val="1"/>
          <w:numId w:val="6"/>
        </w:numPr>
        <w:rPr>
          <w:noProof/>
        </w:rPr>
      </w:pPr>
      <w:r w:rsidRPr="007E7B3F">
        <w:rPr>
          <w:noProof/>
        </w:rPr>
        <w:t>integritatea, securitatea și reziliența serviciilor;</w:t>
      </w:r>
    </w:p>
    <w:p w14:paraId="6421298C" w14:textId="77777777" w:rsidR="00000D6D" w:rsidRPr="007E7B3F" w:rsidRDefault="00000D6D" w:rsidP="00C52460">
      <w:pPr>
        <w:pStyle w:val="Point0letter"/>
        <w:numPr>
          <w:ilvl w:val="1"/>
          <w:numId w:val="6"/>
        </w:numPr>
        <w:rPr>
          <w:noProof/>
        </w:rPr>
      </w:pPr>
      <w:r w:rsidRPr="007E7B3F">
        <w:rPr>
          <w:noProof/>
        </w:rPr>
        <w:t>orice plată pentru utilizarea spectrului, sub forma unei taxe unice sau anuale.</w:t>
      </w:r>
    </w:p>
    <w:p w14:paraId="6743BEB7" w14:textId="43FEEEBF" w:rsidR="00000D6D" w:rsidRPr="007E7B3F" w:rsidRDefault="00000D6D" w:rsidP="00000D6D">
      <w:pPr>
        <w:pStyle w:val="NumPar1"/>
        <w:rPr>
          <w:noProof/>
        </w:rPr>
      </w:pPr>
      <w:r w:rsidRPr="007E7B3F">
        <w:rPr>
          <w:noProof/>
        </w:rPr>
        <w:t xml:space="preserve">În termen de 80 de zile lucrătoare de la publicarea listei solicitanților eligibili identificați în prima etapă de selecție, Comisia adoptă o decizie privind selecția solicitanților, acționând în conformitate cu procedura menționată la articolul 202. Decizia stabilește solicitanții selectați, clasificați în funcție de măsura în care îndeplinesc criteriile de selecție, motivele pe care se bazează decizia, precum și frecvențele pe care fiecare solicitant selectat este autorizat să le utilizeze în conformitate cu autorizația Uniunii. </w:t>
      </w:r>
    </w:p>
    <w:p w14:paraId="7F700957" w14:textId="3B53367F" w:rsidR="005F3683" w:rsidRPr="007E7B3F" w:rsidRDefault="00000D6D" w:rsidP="002E50A4">
      <w:pPr>
        <w:pStyle w:val="NumPar1"/>
        <w:rPr>
          <w:noProof/>
        </w:rPr>
      </w:pPr>
      <w:r w:rsidRPr="007E7B3F">
        <w:rPr>
          <w:noProof/>
        </w:rPr>
        <w:t xml:space="preserve">În cazul în care se aplică o procedură competitivă, Comisia publică, înainte de consultarea tuturor părților interesate, criteriile competitive, care pot include prețuri de rezervă, precum și orice măsuri de formare a pieței, cum ar fi cele de la articolul 32. Comisia stabilește printr-o decizie, cu sprijinul Comitetului pentru comunicații, condițiile aplicabile selecției, precum și detaliile procedurale. </w:t>
      </w:r>
    </w:p>
    <w:sectPr w:rsidR="005F3683" w:rsidRPr="007E7B3F" w:rsidSect="00A47D0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98DD16" w14:textId="77777777" w:rsidR="002B07B8" w:rsidRPr="007E7B3F" w:rsidRDefault="002B07B8" w:rsidP="00642F7B">
      <w:pPr>
        <w:spacing w:before="0" w:after="0"/>
      </w:pPr>
      <w:r w:rsidRPr="007E7B3F">
        <w:separator/>
      </w:r>
    </w:p>
  </w:endnote>
  <w:endnote w:type="continuationSeparator" w:id="0">
    <w:p w14:paraId="142F9922" w14:textId="77777777" w:rsidR="002B07B8" w:rsidRPr="007E7B3F" w:rsidRDefault="002B07B8" w:rsidP="00642F7B">
      <w:pPr>
        <w:spacing w:before="0" w:after="0"/>
      </w:pPr>
      <w:r w:rsidRPr="007E7B3F">
        <w:continuationSeparator/>
      </w:r>
    </w:p>
  </w:endnote>
  <w:endnote w:type="continuationNotice" w:id="1">
    <w:p w14:paraId="3950143B" w14:textId="77777777" w:rsidR="002B07B8" w:rsidRPr="007E7B3F" w:rsidRDefault="002B07B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302DE0" w14:textId="57EAD492" w:rsidR="00A47D02" w:rsidRPr="00A47D02" w:rsidRDefault="00A47D02" w:rsidP="00A47D02">
    <w:pPr>
      <w:pStyle w:val="Footer"/>
      <w:rPr>
        <w:rFonts w:ascii="Arial" w:hAnsi="Arial" w:cs="Arial"/>
        <w:b/>
        <w:sz w:val="48"/>
      </w:rPr>
    </w:pPr>
    <w:r w:rsidRPr="00A47D02">
      <w:rPr>
        <w:rFonts w:ascii="Arial" w:hAnsi="Arial" w:cs="Arial"/>
        <w:b/>
        <w:sz w:val="48"/>
      </w:rPr>
      <w:t>RO</w:t>
    </w:r>
    <w:r w:rsidRPr="00A47D02">
      <w:rPr>
        <w:rFonts w:ascii="Arial" w:hAnsi="Arial" w:cs="Arial"/>
        <w:b/>
        <w:sz w:val="48"/>
      </w:rPr>
      <w:tab/>
    </w:r>
    <w:r w:rsidRPr="00A47D02">
      <w:rPr>
        <w:rFonts w:ascii="Arial" w:hAnsi="Arial" w:cs="Arial"/>
        <w:b/>
        <w:sz w:val="48"/>
      </w:rPr>
      <w:tab/>
    </w:r>
    <w:r w:rsidRPr="00A47D02">
      <w:tab/>
    </w:r>
    <w:r w:rsidRPr="00A47D0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565E8" w14:textId="558553F9" w:rsidR="00A47D02" w:rsidRPr="00A47D02" w:rsidRDefault="00A47D02" w:rsidP="00A47D02">
    <w:pPr>
      <w:pStyle w:val="Footer"/>
      <w:rPr>
        <w:rFonts w:ascii="Arial" w:hAnsi="Arial" w:cs="Arial"/>
        <w:b/>
        <w:sz w:val="48"/>
      </w:rPr>
    </w:pPr>
    <w:r w:rsidRPr="00A47D02">
      <w:rPr>
        <w:rFonts w:ascii="Arial" w:hAnsi="Arial" w:cs="Arial"/>
        <w:b/>
        <w:sz w:val="48"/>
      </w:rPr>
      <w:t>RO</w:t>
    </w:r>
    <w:r w:rsidRPr="00A47D02">
      <w:rPr>
        <w:rFonts w:ascii="Arial" w:hAnsi="Arial" w:cs="Arial"/>
        <w:b/>
        <w:sz w:val="48"/>
      </w:rPr>
      <w:tab/>
    </w:r>
    <w:r w:rsidRPr="00A47D02">
      <w:rPr>
        <w:rFonts w:ascii="Arial" w:hAnsi="Arial" w:cs="Arial"/>
        <w:b/>
        <w:sz w:val="48"/>
      </w:rPr>
      <w:tab/>
    </w:r>
    <w:r w:rsidRPr="00A47D02">
      <w:tab/>
    </w:r>
    <w:r w:rsidRPr="00A47D0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981C68" w14:textId="77777777" w:rsidR="00A47D02" w:rsidRPr="00A47D02" w:rsidRDefault="00A47D02" w:rsidP="00A47D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BE197" w14:textId="77777777" w:rsidR="00A47D02" w:rsidRDefault="00A47D0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DFDAB" w14:textId="33792438" w:rsidR="00A47D02" w:rsidRPr="00A47D02" w:rsidRDefault="00A47D02" w:rsidP="00A47D02">
    <w:pPr>
      <w:pStyle w:val="Footer"/>
      <w:rPr>
        <w:rFonts w:ascii="Arial" w:hAnsi="Arial" w:cs="Arial"/>
        <w:b/>
        <w:sz w:val="48"/>
      </w:rPr>
    </w:pPr>
    <w:r w:rsidRPr="00A47D02">
      <w:rPr>
        <w:rFonts w:ascii="Arial" w:hAnsi="Arial" w:cs="Arial"/>
        <w:b/>
        <w:sz w:val="48"/>
      </w:rPr>
      <w:t>RO</w:t>
    </w:r>
    <w:r w:rsidRPr="00A47D02">
      <w:rPr>
        <w:rFonts w:ascii="Arial" w:hAnsi="Arial" w:cs="Arial"/>
        <w:b/>
        <w:sz w:val="48"/>
      </w:rPr>
      <w:tab/>
    </w:r>
    <w:r>
      <w:fldChar w:fldCharType="begin"/>
    </w:r>
    <w:r>
      <w:instrText xml:space="preserve"> PAGE  \* MERGEFORMAT </w:instrText>
    </w:r>
    <w:r>
      <w:fldChar w:fldCharType="separate"/>
    </w:r>
    <w:r w:rsidR="005F63FE">
      <w:rPr>
        <w:noProof/>
      </w:rPr>
      <w:t>1</w:t>
    </w:r>
    <w:r>
      <w:fldChar w:fldCharType="end"/>
    </w:r>
    <w:r>
      <w:tab/>
    </w:r>
    <w:r w:rsidRPr="00A47D02">
      <w:tab/>
    </w:r>
    <w:r w:rsidRPr="00A47D02">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AFE78" w14:textId="77777777" w:rsidR="00A47D02" w:rsidRDefault="00A47D02" w:rsidP="00A47D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B401E" w14:textId="77777777" w:rsidR="002B07B8" w:rsidRPr="007E7B3F" w:rsidRDefault="002B07B8" w:rsidP="00642F7B">
      <w:pPr>
        <w:spacing w:before="0" w:after="0"/>
      </w:pPr>
      <w:r w:rsidRPr="007E7B3F">
        <w:separator/>
      </w:r>
    </w:p>
  </w:footnote>
  <w:footnote w:type="continuationSeparator" w:id="0">
    <w:p w14:paraId="777187E5" w14:textId="77777777" w:rsidR="002B07B8" w:rsidRPr="007E7B3F" w:rsidRDefault="002B07B8" w:rsidP="00642F7B">
      <w:pPr>
        <w:spacing w:before="0" w:after="0"/>
      </w:pPr>
      <w:r w:rsidRPr="007E7B3F">
        <w:continuationSeparator/>
      </w:r>
    </w:p>
  </w:footnote>
  <w:footnote w:type="continuationNotice" w:id="1">
    <w:p w14:paraId="53375F67" w14:textId="77777777" w:rsidR="002B07B8" w:rsidRPr="007E7B3F" w:rsidRDefault="002B07B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8C24ED" w14:textId="77777777" w:rsidR="00A47D02" w:rsidRPr="00A47D02" w:rsidRDefault="00A47D02" w:rsidP="00A47D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2D7D1" w14:textId="77777777" w:rsidR="00A47D02" w:rsidRPr="00A47D02" w:rsidRDefault="00A47D02" w:rsidP="00A47D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D1750" w14:textId="77777777" w:rsidR="00A47D02" w:rsidRPr="00A47D02" w:rsidRDefault="00A47D02" w:rsidP="00A47D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614C1" w14:textId="77777777" w:rsidR="00A47D02" w:rsidRDefault="00A47D0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0225F" w14:textId="77777777" w:rsidR="00A47D02" w:rsidRDefault="00A47D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05F8783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FFEA0B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E068CE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A12B9E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8"/>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9"/>
  </w:num>
  <w:num w:numId="22">
    <w:abstractNumId w:val="18"/>
  </w:num>
  <w:num w:numId="23">
    <w:abstractNumId w:val="7"/>
  </w:num>
  <w:num w:numId="24">
    <w:abstractNumId w:val="10"/>
  </w:num>
  <w:num w:numId="25">
    <w:abstractNumId w:val="11"/>
  </w:num>
  <w:num w:numId="26">
    <w:abstractNumId w:val="5"/>
  </w:num>
  <w:num w:numId="27">
    <w:abstractNumId w:val="17"/>
  </w:num>
  <w:num w:numId="28">
    <w:abstractNumId w:val="4"/>
  </w:num>
  <w:num w:numId="29">
    <w:abstractNumId w:val="12"/>
  </w:num>
  <w:num w:numId="30">
    <w:abstractNumId w:val="14"/>
  </w:num>
  <w:num w:numId="31">
    <w:abstractNumId w:val="15"/>
  </w:num>
  <w:num w:numId="32">
    <w:abstractNumId w:val="6"/>
  </w:num>
  <w:num w:numId="33">
    <w:abstractNumId w:val="13"/>
  </w:num>
  <w:num w:numId="34">
    <w:abstractNumId w:val="19"/>
  </w:num>
  <w:num w:numId="35">
    <w:abstractNumId w:val="16"/>
  </w:num>
  <w:num w:numId="36">
    <w:abstractNumId w:val="9"/>
  </w:num>
  <w:num w:numId="37">
    <w:abstractNumId w:val="18"/>
  </w:num>
  <w:num w:numId="38">
    <w:abstractNumId w:val="7"/>
  </w:num>
  <w:num w:numId="39">
    <w:abstractNumId w:val="10"/>
  </w:num>
  <w:num w:numId="40">
    <w:abstractNumId w:val="11"/>
  </w:num>
  <w:num w:numId="41">
    <w:abstractNumId w:val="5"/>
  </w:num>
  <w:num w:numId="42">
    <w:abstractNumId w:val="17"/>
  </w:num>
  <w:num w:numId="43">
    <w:abstractNumId w:val="4"/>
  </w:num>
  <w:num w:numId="44">
    <w:abstractNumId w:val="12"/>
  </w:num>
  <w:num w:numId="45">
    <w:abstractNumId w:val="14"/>
  </w:num>
  <w:num w:numId="46">
    <w:abstractNumId w:val="15"/>
  </w:num>
  <w:num w:numId="47">
    <w:abstractNumId w:val="6"/>
  </w:num>
  <w:num w:numId="48">
    <w:abstractNumId w:val="13"/>
  </w:num>
  <w:num w:numId="49">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4-20 15:20: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FigNum" w:val="1"/>
    <w:docVar w:name="LW_ACCOMPAGNANT" w:val="la"/>
    <w:docVar w:name="LW_ACCOMPAGNANT.CP" w:val="la"/>
    <w:docVar w:name="LW_ANNEX_NBR_FIRST" w:val="1"/>
    <w:docVar w:name="LW_ANNEX_NBR_LAST" w:val="6"/>
    <w:docVar w:name="LW_ANNEX_UNIQUE" w:val="0"/>
    <w:docVar w:name="LW_CORRIGENDUM" w:val="&lt;UNUSED&gt;"/>
    <w:docVar w:name="LW_COVERPAGE_EXISTS" w:val="True"/>
    <w:docVar w:name="LW_COVERPAGE_GUID" w:val="D009733E-0625-46A4-96AF-D8EF91297E23"/>
    <w:docVar w:name="LW_COVERPAGE_TYPE" w:val="1"/>
    <w:docVar w:name="LW_CreatedUtc" w:val="2025-12-22T08:26:37.0594504Z"/>
    <w:docVar w:name="LW_CROSSREFERENCE" w:val="{SEC(2026) 14 final} - {SWD(2026) 13 final} - {SWD(2026) 14 final}"/>
    <w:docVar w:name="LW_DocType" w:val="ANNEX"/>
    <w:docVar w:name="LW_EMISSION" w:val="21.1.2026"/>
    <w:docVar w:name="LW_EMISSION_ISODATE" w:val="2026-01-21"/>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REGULAMENT AL PARLAMENTULUI EUROPEAN \u536?I AL CONSILIULUI_x000d__x000d__x000d__x000b_privind re\u539?elele digitale, de modificare a Regulamentului (UE) 2015/2120, a Directivei 2002/58/CE \u537?i a Deciziei 676/2002/CE \u537?i de abrogare a Regulamentului (UE) 2018/1971, a Directivei (UE) 2018/1972 \u537?i a Deciziei 243/2012/UE (Regulamentul privind re\u539?elele digitale)_x000d__x000d__x000d__x000b_"/>
    <w:docVar w:name="LW_OBJETACTEPRINCIPAL.CP" w:val="REGULAMENT AL PARLAMENTULUI EUROPEAN \u536?I AL CONSILIULUI_x000d__x000d__x000d__x000b_privind re\u539?elele digitale, de modificare a Regulamentului (UE) 2015/2120, a Directivei 2002/58/CE \u537?i a Deciziei 676/2002/CE \u537?i de abrogare a Regulamentului (UE) 2018/1971, a Directivei (UE) 2018/1972 \u537?i a Deciziei 243/2012/UE (Regulamentul privind re\u539?elele digitale)_x000d__x000d__x000d__x000b_"/>
    <w:docVar w:name="LW_PART_NBR" w:val="&lt;UNUSED&gt;"/>
    <w:docVar w:name="LW_PART_NBR_TOTAL" w:val="&lt;UNUSED&gt;"/>
    <w:docVar w:name="LW_REF.INST.NEW" w:val="COM"/>
    <w:docVar w:name="LW_REF.INST.NEW_ADOPTED" w:val="final"/>
    <w:docVar w:name="LW_REF.INST.NEW_TEXT" w:val="(2026) 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a de"/>
    <w:docVar w:name="LW_TYPEACTEPRINCIPAL.CP" w:val="Propunerea de"/>
    <w:docVar w:name="LwApiVersions" w:val="LW4CoDe 1.24.5.0; LW 9.2, Build 20251112"/>
  </w:docVars>
  <w:rsids>
    <w:rsidRoot w:val="00642F7B"/>
    <w:rsid w:val="00000018"/>
    <w:rsid w:val="00000D6D"/>
    <w:rsid w:val="00005BA4"/>
    <w:rsid w:val="00010C9D"/>
    <w:rsid w:val="0002608F"/>
    <w:rsid w:val="00026294"/>
    <w:rsid w:val="00031CD5"/>
    <w:rsid w:val="00032509"/>
    <w:rsid w:val="00036719"/>
    <w:rsid w:val="00040FF0"/>
    <w:rsid w:val="00044334"/>
    <w:rsid w:val="0005145E"/>
    <w:rsid w:val="00063A38"/>
    <w:rsid w:val="000749A4"/>
    <w:rsid w:val="00075D96"/>
    <w:rsid w:val="000766C2"/>
    <w:rsid w:val="00077C8E"/>
    <w:rsid w:val="00077E7E"/>
    <w:rsid w:val="00080E34"/>
    <w:rsid w:val="000862FD"/>
    <w:rsid w:val="00086C83"/>
    <w:rsid w:val="0009513E"/>
    <w:rsid w:val="00096C4D"/>
    <w:rsid w:val="000A1188"/>
    <w:rsid w:val="000A531E"/>
    <w:rsid w:val="000A6EB9"/>
    <w:rsid w:val="000B2BAA"/>
    <w:rsid w:val="000C09D2"/>
    <w:rsid w:val="000C49EC"/>
    <w:rsid w:val="000D0867"/>
    <w:rsid w:val="000D2B14"/>
    <w:rsid w:val="000D6093"/>
    <w:rsid w:val="000F0AE1"/>
    <w:rsid w:val="000F4BDE"/>
    <w:rsid w:val="000F5492"/>
    <w:rsid w:val="00107EF0"/>
    <w:rsid w:val="00107F5A"/>
    <w:rsid w:val="00112633"/>
    <w:rsid w:val="001135F9"/>
    <w:rsid w:val="001140D9"/>
    <w:rsid w:val="001163D6"/>
    <w:rsid w:val="00130170"/>
    <w:rsid w:val="001326B0"/>
    <w:rsid w:val="001435D7"/>
    <w:rsid w:val="0014375F"/>
    <w:rsid w:val="00152A57"/>
    <w:rsid w:val="00156391"/>
    <w:rsid w:val="00164C83"/>
    <w:rsid w:val="00165C4F"/>
    <w:rsid w:val="00170DFF"/>
    <w:rsid w:val="00170F99"/>
    <w:rsid w:val="0017398E"/>
    <w:rsid w:val="00184873"/>
    <w:rsid w:val="001A5B58"/>
    <w:rsid w:val="001A6328"/>
    <w:rsid w:val="001B24BA"/>
    <w:rsid w:val="001B30C8"/>
    <w:rsid w:val="001C4B34"/>
    <w:rsid w:val="001C5D12"/>
    <w:rsid w:val="001C5DA2"/>
    <w:rsid w:val="001D46E8"/>
    <w:rsid w:val="001D6E6C"/>
    <w:rsid w:val="001D6EED"/>
    <w:rsid w:val="001D7193"/>
    <w:rsid w:val="001E1E80"/>
    <w:rsid w:val="001F2899"/>
    <w:rsid w:val="001F343E"/>
    <w:rsid w:val="00204E1B"/>
    <w:rsid w:val="00211C9D"/>
    <w:rsid w:val="002134A9"/>
    <w:rsid w:val="0021728A"/>
    <w:rsid w:val="00223DF5"/>
    <w:rsid w:val="00224CA8"/>
    <w:rsid w:val="00226EA2"/>
    <w:rsid w:val="00226FAB"/>
    <w:rsid w:val="00233D9B"/>
    <w:rsid w:val="00240013"/>
    <w:rsid w:val="00242538"/>
    <w:rsid w:val="00253C9C"/>
    <w:rsid w:val="00254A80"/>
    <w:rsid w:val="0026134F"/>
    <w:rsid w:val="002659BD"/>
    <w:rsid w:val="00276DC6"/>
    <w:rsid w:val="002779C1"/>
    <w:rsid w:val="00277D24"/>
    <w:rsid w:val="00291D11"/>
    <w:rsid w:val="0029437E"/>
    <w:rsid w:val="00294EE1"/>
    <w:rsid w:val="002A1A67"/>
    <w:rsid w:val="002A32C7"/>
    <w:rsid w:val="002A6058"/>
    <w:rsid w:val="002A7971"/>
    <w:rsid w:val="002B07B8"/>
    <w:rsid w:val="002B570F"/>
    <w:rsid w:val="002C1370"/>
    <w:rsid w:val="002C29F1"/>
    <w:rsid w:val="002D0A9F"/>
    <w:rsid w:val="002D57AE"/>
    <w:rsid w:val="002E50A4"/>
    <w:rsid w:val="002E73B2"/>
    <w:rsid w:val="00302700"/>
    <w:rsid w:val="00307ADC"/>
    <w:rsid w:val="00314C48"/>
    <w:rsid w:val="00315047"/>
    <w:rsid w:val="00320131"/>
    <w:rsid w:val="00327E60"/>
    <w:rsid w:val="00332BD8"/>
    <w:rsid w:val="003341C3"/>
    <w:rsid w:val="003433B3"/>
    <w:rsid w:val="00345370"/>
    <w:rsid w:val="00345F7A"/>
    <w:rsid w:val="00360F4E"/>
    <w:rsid w:val="003722E2"/>
    <w:rsid w:val="003777AE"/>
    <w:rsid w:val="003932AB"/>
    <w:rsid w:val="003A5E2C"/>
    <w:rsid w:val="003B21AD"/>
    <w:rsid w:val="003C0249"/>
    <w:rsid w:val="003C1C4A"/>
    <w:rsid w:val="003C3D49"/>
    <w:rsid w:val="003C65EB"/>
    <w:rsid w:val="003E6169"/>
    <w:rsid w:val="003E6235"/>
    <w:rsid w:val="003F4996"/>
    <w:rsid w:val="00405741"/>
    <w:rsid w:val="00411D9B"/>
    <w:rsid w:val="00420111"/>
    <w:rsid w:val="0042300F"/>
    <w:rsid w:val="00431D0D"/>
    <w:rsid w:val="004419DF"/>
    <w:rsid w:val="00452036"/>
    <w:rsid w:val="00452728"/>
    <w:rsid w:val="00461A31"/>
    <w:rsid w:val="00463C0B"/>
    <w:rsid w:val="00465618"/>
    <w:rsid w:val="00466BE5"/>
    <w:rsid w:val="00471E36"/>
    <w:rsid w:val="0047788F"/>
    <w:rsid w:val="004839F3"/>
    <w:rsid w:val="00485243"/>
    <w:rsid w:val="00487D3E"/>
    <w:rsid w:val="00492EB7"/>
    <w:rsid w:val="004A0A0B"/>
    <w:rsid w:val="004A16C3"/>
    <w:rsid w:val="004A239E"/>
    <w:rsid w:val="004A3800"/>
    <w:rsid w:val="004A6F93"/>
    <w:rsid w:val="004C16C2"/>
    <w:rsid w:val="004C1F80"/>
    <w:rsid w:val="004D15C3"/>
    <w:rsid w:val="004D26C9"/>
    <w:rsid w:val="004D2D81"/>
    <w:rsid w:val="004D6580"/>
    <w:rsid w:val="004E2585"/>
    <w:rsid w:val="004E2F22"/>
    <w:rsid w:val="004E3293"/>
    <w:rsid w:val="004E74C7"/>
    <w:rsid w:val="004E79E4"/>
    <w:rsid w:val="004F2183"/>
    <w:rsid w:val="004F3E64"/>
    <w:rsid w:val="004F3F36"/>
    <w:rsid w:val="004F5328"/>
    <w:rsid w:val="005015C3"/>
    <w:rsid w:val="005117D4"/>
    <w:rsid w:val="00514DD3"/>
    <w:rsid w:val="005175D0"/>
    <w:rsid w:val="00521963"/>
    <w:rsid w:val="00524A9E"/>
    <w:rsid w:val="00534CD8"/>
    <w:rsid w:val="005358E6"/>
    <w:rsid w:val="00540DD0"/>
    <w:rsid w:val="00540F8F"/>
    <w:rsid w:val="00551DE1"/>
    <w:rsid w:val="00576A36"/>
    <w:rsid w:val="005838B4"/>
    <w:rsid w:val="00584E62"/>
    <w:rsid w:val="00593BAF"/>
    <w:rsid w:val="0059668D"/>
    <w:rsid w:val="005A07A2"/>
    <w:rsid w:val="005A1B05"/>
    <w:rsid w:val="005A2F28"/>
    <w:rsid w:val="005A4166"/>
    <w:rsid w:val="005B08B3"/>
    <w:rsid w:val="005B2AF6"/>
    <w:rsid w:val="005B6172"/>
    <w:rsid w:val="005C0BF6"/>
    <w:rsid w:val="005C1F96"/>
    <w:rsid w:val="005C379E"/>
    <w:rsid w:val="005D03FF"/>
    <w:rsid w:val="005D062E"/>
    <w:rsid w:val="005D65F1"/>
    <w:rsid w:val="005D77DC"/>
    <w:rsid w:val="005D7EF7"/>
    <w:rsid w:val="005E75E3"/>
    <w:rsid w:val="005F2698"/>
    <w:rsid w:val="005F277B"/>
    <w:rsid w:val="005F3683"/>
    <w:rsid w:val="005F63FE"/>
    <w:rsid w:val="00603C89"/>
    <w:rsid w:val="006040B0"/>
    <w:rsid w:val="00614B65"/>
    <w:rsid w:val="0061700E"/>
    <w:rsid w:val="00624AC9"/>
    <w:rsid w:val="00626E37"/>
    <w:rsid w:val="006333BC"/>
    <w:rsid w:val="0063399B"/>
    <w:rsid w:val="00637718"/>
    <w:rsid w:val="00637A51"/>
    <w:rsid w:val="00642D09"/>
    <w:rsid w:val="00642F7B"/>
    <w:rsid w:val="0066202B"/>
    <w:rsid w:val="00665E82"/>
    <w:rsid w:val="0067105A"/>
    <w:rsid w:val="00674A30"/>
    <w:rsid w:val="0067600C"/>
    <w:rsid w:val="00676977"/>
    <w:rsid w:val="00683738"/>
    <w:rsid w:val="00686228"/>
    <w:rsid w:val="006870E9"/>
    <w:rsid w:val="006A4B11"/>
    <w:rsid w:val="006A6BCB"/>
    <w:rsid w:val="006A6C9D"/>
    <w:rsid w:val="006B285A"/>
    <w:rsid w:val="006B36A9"/>
    <w:rsid w:val="006B3E95"/>
    <w:rsid w:val="006C114E"/>
    <w:rsid w:val="006D5C45"/>
    <w:rsid w:val="006E4522"/>
    <w:rsid w:val="007037D8"/>
    <w:rsid w:val="00707DCD"/>
    <w:rsid w:val="00707E76"/>
    <w:rsid w:val="007100DA"/>
    <w:rsid w:val="00714ACB"/>
    <w:rsid w:val="0072007E"/>
    <w:rsid w:val="007216D7"/>
    <w:rsid w:val="007224ED"/>
    <w:rsid w:val="00724D44"/>
    <w:rsid w:val="00726534"/>
    <w:rsid w:val="007351CA"/>
    <w:rsid w:val="00742A3A"/>
    <w:rsid w:val="00743D42"/>
    <w:rsid w:val="00746019"/>
    <w:rsid w:val="00766974"/>
    <w:rsid w:val="00771AB0"/>
    <w:rsid w:val="007721A9"/>
    <w:rsid w:val="007807F3"/>
    <w:rsid w:val="00791139"/>
    <w:rsid w:val="00792FC9"/>
    <w:rsid w:val="0079449D"/>
    <w:rsid w:val="007A38C3"/>
    <w:rsid w:val="007B78F8"/>
    <w:rsid w:val="007C7943"/>
    <w:rsid w:val="007D43A3"/>
    <w:rsid w:val="007E7B3F"/>
    <w:rsid w:val="007F484A"/>
    <w:rsid w:val="008008BA"/>
    <w:rsid w:val="00800F22"/>
    <w:rsid w:val="00801A30"/>
    <w:rsid w:val="008048BB"/>
    <w:rsid w:val="008122D6"/>
    <w:rsid w:val="008154FD"/>
    <w:rsid w:val="00815C82"/>
    <w:rsid w:val="00817997"/>
    <w:rsid w:val="00820477"/>
    <w:rsid w:val="008230A5"/>
    <w:rsid w:val="00823DFB"/>
    <w:rsid w:val="00833D09"/>
    <w:rsid w:val="0083588F"/>
    <w:rsid w:val="00836C38"/>
    <w:rsid w:val="0086168A"/>
    <w:rsid w:val="00864361"/>
    <w:rsid w:val="008672F4"/>
    <w:rsid w:val="00871795"/>
    <w:rsid w:val="0087285A"/>
    <w:rsid w:val="00874995"/>
    <w:rsid w:val="008764F8"/>
    <w:rsid w:val="008926BD"/>
    <w:rsid w:val="00894422"/>
    <w:rsid w:val="00896B31"/>
    <w:rsid w:val="008976E0"/>
    <w:rsid w:val="008A0A53"/>
    <w:rsid w:val="008A32FB"/>
    <w:rsid w:val="008A3332"/>
    <w:rsid w:val="008A566E"/>
    <w:rsid w:val="008B371E"/>
    <w:rsid w:val="008B3768"/>
    <w:rsid w:val="008B7C32"/>
    <w:rsid w:val="008C0225"/>
    <w:rsid w:val="008C0D0F"/>
    <w:rsid w:val="008C650C"/>
    <w:rsid w:val="008D4417"/>
    <w:rsid w:val="008D6398"/>
    <w:rsid w:val="008E3CC0"/>
    <w:rsid w:val="008E719E"/>
    <w:rsid w:val="008F06D3"/>
    <w:rsid w:val="008F32E1"/>
    <w:rsid w:val="00905258"/>
    <w:rsid w:val="00905D22"/>
    <w:rsid w:val="00907A47"/>
    <w:rsid w:val="00907AB9"/>
    <w:rsid w:val="00913E5A"/>
    <w:rsid w:val="0091595E"/>
    <w:rsid w:val="009211D7"/>
    <w:rsid w:val="009271A1"/>
    <w:rsid w:val="00932C8B"/>
    <w:rsid w:val="00933039"/>
    <w:rsid w:val="00933799"/>
    <w:rsid w:val="0093543B"/>
    <w:rsid w:val="00936DB3"/>
    <w:rsid w:val="00936F55"/>
    <w:rsid w:val="00944880"/>
    <w:rsid w:val="009507C7"/>
    <w:rsid w:val="00961AB5"/>
    <w:rsid w:val="00972B7D"/>
    <w:rsid w:val="00974C0D"/>
    <w:rsid w:val="009764EE"/>
    <w:rsid w:val="00980141"/>
    <w:rsid w:val="009805ED"/>
    <w:rsid w:val="0098698A"/>
    <w:rsid w:val="009A16B9"/>
    <w:rsid w:val="009A7D01"/>
    <w:rsid w:val="009B4F7E"/>
    <w:rsid w:val="009B6FBE"/>
    <w:rsid w:val="009B7523"/>
    <w:rsid w:val="009B7644"/>
    <w:rsid w:val="009C1BF0"/>
    <w:rsid w:val="009D57EF"/>
    <w:rsid w:val="009D6122"/>
    <w:rsid w:val="009E2AD6"/>
    <w:rsid w:val="009E36DC"/>
    <w:rsid w:val="009F340A"/>
    <w:rsid w:val="009F6215"/>
    <w:rsid w:val="00A02100"/>
    <w:rsid w:val="00A02B0C"/>
    <w:rsid w:val="00A072BC"/>
    <w:rsid w:val="00A141C0"/>
    <w:rsid w:val="00A166F1"/>
    <w:rsid w:val="00A36F95"/>
    <w:rsid w:val="00A3719C"/>
    <w:rsid w:val="00A37C2D"/>
    <w:rsid w:val="00A422A1"/>
    <w:rsid w:val="00A444D1"/>
    <w:rsid w:val="00A47D02"/>
    <w:rsid w:val="00A51830"/>
    <w:rsid w:val="00A562E8"/>
    <w:rsid w:val="00A60AFF"/>
    <w:rsid w:val="00A6243B"/>
    <w:rsid w:val="00A63280"/>
    <w:rsid w:val="00A65054"/>
    <w:rsid w:val="00A66038"/>
    <w:rsid w:val="00A7186F"/>
    <w:rsid w:val="00A71F6D"/>
    <w:rsid w:val="00A76DC6"/>
    <w:rsid w:val="00A87B1B"/>
    <w:rsid w:val="00A9379A"/>
    <w:rsid w:val="00A966F8"/>
    <w:rsid w:val="00AA3783"/>
    <w:rsid w:val="00AB04A1"/>
    <w:rsid w:val="00AB5CFD"/>
    <w:rsid w:val="00AC4563"/>
    <w:rsid w:val="00AC5E9E"/>
    <w:rsid w:val="00AD5244"/>
    <w:rsid w:val="00AD72D1"/>
    <w:rsid w:val="00AE54D2"/>
    <w:rsid w:val="00AF1246"/>
    <w:rsid w:val="00AF435B"/>
    <w:rsid w:val="00AF4DFE"/>
    <w:rsid w:val="00B03923"/>
    <w:rsid w:val="00B10DC7"/>
    <w:rsid w:val="00B17770"/>
    <w:rsid w:val="00B24EA2"/>
    <w:rsid w:val="00B31C8C"/>
    <w:rsid w:val="00B354CF"/>
    <w:rsid w:val="00B4197F"/>
    <w:rsid w:val="00B41ED5"/>
    <w:rsid w:val="00B47152"/>
    <w:rsid w:val="00B518E9"/>
    <w:rsid w:val="00B55C2E"/>
    <w:rsid w:val="00B62C09"/>
    <w:rsid w:val="00B722EB"/>
    <w:rsid w:val="00B729BB"/>
    <w:rsid w:val="00B75FDA"/>
    <w:rsid w:val="00B91115"/>
    <w:rsid w:val="00B915AF"/>
    <w:rsid w:val="00B91D87"/>
    <w:rsid w:val="00B95D83"/>
    <w:rsid w:val="00BA276A"/>
    <w:rsid w:val="00BA2B21"/>
    <w:rsid w:val="00BA4F3C"/>
    <w:rsid w:val="00BB30BC"/>
    <w:rsid w:val="00BC089B"/>
    <w:rsid w:val="00BE230D"/>
    <w:rsid w:val="00BE4A25"/>
    <w:rsid w:val="00BF6DEA"/>
    <w:rsid w:val="00BF755E"/>
    <w:rsid w:val="00BF7E2E"/>
    <w:rsid w:val="00C151BF"/>
    <w:rsid w:val="00C15420"/>
    <w:rsid w:val="00C15FB4"/>
    <w:rsid w:val="00C16920"/>
    <w:rsid w:val="00C327A3"/>
    <w:rsid w:val="00C35DBC"/>
    <w:rsid w:val="00C36616"/>
    <w:rsid w:val="00C44113"/>
    <w:rsid w:val="00C45EC5"/>
    <w:rsid w:val="00C51FD4"/>
    <w:rsid w:val="00C52460"/>
    <w:rsid w:val="00C563E0"/>
    <w:rsid w:val="00C650BA"/>
    <w:rsid w:val="00C71231"/>
    <w:rsid w:val="00C7163B"/>
    <w:rsid w:val="00C76C18"/>
    <w:rsid w:val="00C865C8"/>
    <w:rsid w:val="00C902D2"/>
    <w:rsid w:val="00C92699"/>
    <w:rsid w:val="00C93FC0"/>
    <w:rsid w:val="00C953CA"/>
    <w:rsid w:val="00CA0510"/>
    <w:rsid w:val="00CA33FF"/>
    <w:rsid w:val="00CB3F5D"/>
    <w:rsid w:val="00CD435E"/>
    <w:rsid w:val="00CE1901"/>
    <w:rsid w:val="00CF0194"/>
    <w:rsid w:val="00D111E4"/>
    <w:rsid w:val="00D12FD8"/>
    <w:rsid w:val="00D16747"/>
    <w:rsid w:val="00D23853"/>
    <w:rsid w:val="00D26AAC"/>
    <w:rsid w:val="00D328C4"/>
    <w:rsid w:val="00D33986"/>
    <w:rsid w:val="00D343A6"/>
    <w:rsid w:val="00D350C1"/>
    <w:rsid w:val="00D35B36"/>
    <w:rsid w:val="00D5181F"/>
    <w:rsid w:val="00D520C9"/>
    <w:rsid w:val="00D56F75"/>
    <w:rsid w:val="00D57889"/>
    <w:rsid w:val="00D64448"/>
    <w:rsid w:val="00D814CF"/>
    <w:rsid w:val="00D83149"/>
    <w:rsid w:val="00D83B67"/>
    <w:rsid w:val="00D90B75"/>
    <w:rsid w:val="00D90EA0"/>
    <w:rsid w:val="00DA0B44"/>
    <w:rsid w:val="00DB57A4"/>
    <w:rsid w:val="00DC1767"/>
    <w:rsid w:val="00DD1A85"/>
    <w:rsid w:val="00DD42F9"/>
    <w:rsid w:val="00DE0406"/>
    <w:rsid w:val="00DF1752"/>
    <w:rsid w:val="00DF28CB"/>
    <w:rsid w:val="00E01675"/>
    <w:rsid w:val="00E03406"/>
    <w:rsid w:val="00E10059"/>
    <w:rsid w:val="00E12362"/>
    <w:rsid w:val="00E14BE8"/>
    <w:rsid w:val="00E216E7"/>
    <w:rsid w:val="00E2176C"/>
    <w:rsid w:val="00E22959"/>
    <w:rsid w:val="00E3068A"/>
    <w:rsid w:val="00E34397"/>
    <w:rsid w:val="00E37014"/>
    <w:rsid w:val="00E411F8"/>
    <w:rsid w:val="00E5181F"/>
    <w:rsid w:val="00E51A6D"/>
    <w:rsid w:val="00E51E46"/>
    <w:rsid w:val="00E52105"/>
    <w:rsid w:val="00E6059E"/>
    <w:rsid w:val="00E62806"/>
    <w:rsid w:val="00E62A79"/>
    <w:rsid w:val="00E63DB3"/>
    <w:rsid w:val="00E65F32"/>
    <w:rsid w:val="00E671CB"/>
    <w:rsid w:val="00E723A9"/>
    <w:rsid w:val="00E776C2"/>
    <w:rsid w:val="00E87BBE"/>
    <w:rsid w:val="00E93251"/>
    <w:rsid w:val="00E93657"/>
    <w:rsid w:val="00E967C5"/>
    <w:rsid w:val="00E96ED2"/>
    <w:rsid w:val="00EA4006"/>
    <w:rsid w:val="00EA5354"/>
    <w:rsid w:val="00EB6E62"/>
    <w:rsid w:val="00EB7EE2"/>
    <w:rsid w:val="00EC23FD"/>
    <w:rsid w:val="00EC4DDD"/>
    <w:rsid w:val="00ED211C"/>
    <w:rsid w:val="00EE598B"/>
    <w:rsid w:val="00F006D8"/>
    <w:rsid w:val="00F00E09"/>
    <w:rsid w:val="00F0692A"/>
    <w:rsid w:val="00F13165"/>
    <w:rsid w:val="00F14832"/>
    <w:rsid w:val="00F17E7C"/>
    <w:rsid w:val="00F22FC2"/>
    <w:rsid w:val="00F30BD7"/>
    <w:rsid w:val="00F32D4E"/>
    <w:rsid w:val="00F36348"/>
    <w:rsid w:val="00F47F28"/>
    <w:rsid w:val="00F535F3"/>
    <w:rsid w:val="00F5670A"/>
    <w:rsid w:val="00F56874"/>
    <w:rsid w:val="00F6333C"/>
    <w:rsid w:val="00F65E1D"/>
    <w:rsid w:val="00F7024E"/>
    <w:rsid w:val="00F75CC9"/>
    <w:rsid w:val="00F77542"/>
    <w:rsid w:val="00F82260"/>
    <w:rsid w:val="00F83F03"/>
    <w:rsid w:val="00F85562"/>
    <w:rsid w:val="00FA1E89"/>
    <w:rsid w:val="00FA551C"/>
    <w:rsid w:val="00FB55FF"/>
    <w:rsid w:val="00FC1A3D"/>
    <w:rsid w:val="00FD6AA5"/>
    <w:rsid w:val="00FE22D1"/>
    <w:rsid w:val="00FE528A"/>
    <w:rsid w:val="00FE60BD"/>
    <w:rsid w:val="00FF5CCF"/>
    <w:rsid w:val="0831EFF4"/>
    <w:rsid w:val="0D7C97CB"/>
    <w:rsid w:val="116507CC"/>
    <w:rsid w:val="178D5BF1"/>
    <w:rsid w:val="18F62CB9"/>
    <w:rsid w:val="1D50610C"/>
    <w:rsid w:val="1DBDC27F"/>
    <w:rsid w:val="23D65F82"/>
    <w:rsid w:val="2A47C0E4"/>
    <w:rsid w:val="2B07CFD2"/>
    <w:rsid w:val="2B724458"/>
    <w:rsid w:val="2EB8F1D2"/>
    <w:rsid w:val="4FA98E36"/>
    <w:rsid w:val="54FDE849"/>
    <w:rsid w:val="661B16BB"/>
    <w:rsid w:val="6DBD08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5FBCA2E"/>
  <w15:docId w15:val="{D40A8B75-F9E7-4735-832A-6BC481025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07DCD"/>
    <w:pPr>
      <w:numPr>
        <w:numId w:val="1"/>
      </w:numPr>
      <w:contextualSpacing/>
    </w:pPr>
  </w:style>
  <w:style w:type="paragraph" w:styleId="ListBullet2">
    <w:name w:val="List Bullet 2"/>
    <w:basedOn w:val="Normal"/>
    <w:unhideWhenUsed/>
    <w:rsid w:val="00707DCD"/>
    <w:pPr>
      <w:numPr>
        <w:numId w:val="2"/>
      </w:numPr>
      <w:contextualSpacing/>
    </w:pPr>
  </w:style>
  <w:style w:type="paragraph" w:styleId="ListBullet3">
    <w:name w:val="List Bullet 3"/>
    <w:basedOn w:val="Normal"/>
    <w:uiPriority w:val="99"/>
    <w:semiHidden/>
    <w:unhideWhenUsed/>
    <w:rsid w:val="00707DCD"/>
    <w:pPr>
      <w:numPr>
        <w:numId w:val="3"/>
      </w:numPr>
      <w:contextualSpacing/>
    </w:pPr>
  </w:style>
  <w:style w:type="paragraph" w:styleId="ListBullet4">
    <w:name w:val="List Bullet 4"/>
    <w:basedOn w:val="Normal"/>
    <w:uiPriority w:val="99"/>
    <w:semiHidden/>
    <w:unhideWhenUsed/>
    <w:rsid w:val="00707DCD"/>
    <w:pPr>
      <w:numPr>
        <w:numId w:val="4"/>
      </w:numPr>
      <w:contextualSpacing/>
    </w:pPr>
  </w:style>
  <w:style w:type="paragraph" w:customStyle="1" w:styleId="ListDash">
    <w:name w:val="List Dash"/>
    <w:basedOn w:val="Normal"/>
    <w:rsid w:val="00000D6D"/>
    <w:pPr>
      <w:numPr>
        <w:numId w:val="5"/>
      </w:numPr>
    </w:pPr>
    <w:rPr>
      <w:rFonts w:eastAsia="Times New Roman"/>
      <w:lang w:eastAsia="de-DE"/>
    </w:rPr>
  </w:style>
  <w:style w:type="character" w:styleId="CommentReference">
    <w:name w:val="annotation reference"/>
    <w:basedOn w:val="DefaultParagraphFont"/>
    <w:uiPriority w:val="99"/>
    <w:semiHidden/>
    <w:unhideWhenUsed/>
    <w:rsid w:val="00974C0D"/>
    <w:rPr>
      <w:sz w:val="16"/>
      <w:szCs w:val="16"/>
    </w:rPr>
  </w:style>
  <w:style w:type="paragraph" w:styleId="CommentText">
    <w:name w:val="annotation text"/>
    <w:basedOn w:val="Normal"/>
    <w:link w:val="CommentTextChar"/>
    <w:uiPriority w:val="99"/>
    <w:unhideWhenUsed/>
    <w:rsid w:val="00974C0D"/>
    <w:rPr>
      <w:sz w:val="20"/>
      <w:szCs w:val="20"/>
    </w:rPr>
  </w:style>
  <w:style w:type="character" w:customStyle="1" w:styleId="CommentTextChar">
    <w:name w:val="Comment Text Char"/>
    <w:basedOn w:val="DefaultParagraphFont"/>
    <w:link w:val="CommentText"/>
    <w:uiPriority w:val="99"/>
    <w:rsid w:val="00974C0D"/>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74C0D"/>
    <w:rPr>
      <w:b/>
      <w:bCs/>
    </w:rPr>
  </w:style>
  <w:style w:type="character" w:customStyle="1" w:styleId="CommentSubjectChar">
    <w:name w:val="Comment Subject Char"/>
    <w:basedOn w:val="CommentTextChar"/>
    <w:link w:val="CommentSubject"/>
    <w:uiPriority w:val="99"/>
    <w:semiHidden/>
    <w:rsid w:val="00974C0D"/>
    <w:rPr>
      <w:rFonts w:ascii="Times New Roman" w:hAnsi="Times New Roman" w:cs="Times New Roman"/>
      <w:b/>
      <w:bCs/>
      <w:sz w:val="20"/>
      <w:szCs w:val="20"/>
      <w:lang w:val="ro-RO"/>
    </w:rPr>
  </w:style>
  <w:style w:type="character" w:styleId="Hyperlink">
    <w:name w:val="Hyperlink"/>
    <w:basedOn w:val="DefaultParagraphFont"/>
    <w:uiPriority w:val="99"/>
    <w:unhideWhenUsed/>
    <w:rsid w:val="00974C0D"/>
    <w:rPr>
      <w:color w:val="0000FF" w:themeColor="hyperlink"/>
      <w:u w:val="single"/>
    </w:rPr>
  </w:style>
  <w:style w:type="character" w:customStyle="1" w:styleId="UnresolvedMention1">
    <w:name w:val="Unresolved Mention1"/>
    <w:basedOn w:val="DefaultParagraphFont"/>
    <w:uiPriority w:val="99"/>
    <w:semiHidden/>
    <w:unhideWhenUsed/>
    <w:rsid w:val="00974C0D"/>
    <w:rPr>
      <w:color w:val="605E5C"/>
      <w:shd w:val="clear" w:color="auto" w:fill="E1DFDD"/>
    </w:rPr>
  </w:style>
  <w:style w:type="paragraph" w:styleId="Revision">
    <w:name w:val="Revision"/>
    <w:hidden/>
    <w:uiPriority w:val="99"/>
    <w:semiHidden/>
    <w:rsid w:val="00FA551C"/>
    <w:pPr>
      <w:spacing w:after="0" w:line="240" w:lineRule="auto"/>
    </w:pPr>
    <w:rPr>
      <w:rFonts w:ascii="Times New Roman" w:hAnsi="Times New Roman" w:cs="Times New Roman"/>
      <w:sz w:val="24"/>
    </w:rPr>
  </w:style>
  <w:style w:type="character" w:customStyle="1" w:styleId="Mention1">
    <w:name w:val="Mention1"/>
    <w:basedOn w:val="DefaultParagraphFont"/>
    <w:uiPriority w:val="99"/>
    <w:unhideWhenUsed/>
    <w:rsid w:val="0029437E"/>
    <w:rPr>
      <w:color w:val="2B579A"/>
      <w:shd w:val="clear" w:color="auto" w:fill="E1DFDD"/>
    </w:rPr>
  </w:style>
  <w:style w:type="character" w:customStyle="1" w:styleId="HeaderChar">
    <w:name w:val="Header Char"/>
    <w:basedOn w:val="DefaultParagraphFont"/>
    <w:link w:val="Header"/>
    <w:uiPriority w:val="99"/>
    <w:rsid w:val="00A47D02"/>
    <w:rPr>
      <w:rFonts w:ascii="Times New Roman" w:hAnsi="Times New Roman" w:cs="Times New Roman"/>
      <w:sz w:val="24"/>
      <w:lang w:val="ro-RO"/>
    </w:rPr>
  </w:style>
  <w:style w:type="character" w:customStyle="1" w:styleId="FooterChar">
    <w:name w:val="Footer Char"/>
    <w:basedOn w:val="DefaultParagraphFont"/>
    <w:link w:val="Footer"/>
    <w:uiPriority w:val="99"/>
    <w:rsid w:val="00A47D0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47D0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47D02"/>
    <w:pPr>
      <w:spacing w:before="0"/>
      <w:jc w:val="right"/>
    </w:pPr>
    <w:rPr>
      <w:sz w:val="28"/>
    </w:rPr>
  </w:style>
  <w:style w:type="paragraph" w:customStyle="1" w:styleId="FooterSensitivity">
    <w:name w:val="Footer Sensitivity"/>
    <w:basedOn w:val="Normal"/>
    <w:rsid w:val="00A47D0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A47D02"/>
    <w:pPr>
      <w:tabs>
        <w:tab w:val="center" w:pos="4535"/>
        <w:tab w:val="right" w:pos="9071"/>
      </w:tabs>
      <w:spacing w:before="0"/>
    </w:pPr>
  </w:style>
  <w:style w:type="paragraph" w:customStyle="1" w:styleId="HeaderLandscape">
    <w:name w:val="HeaderLandscape"/>
    <w:basedOn w:val="Normal"/>
    <w:rsid w:val="00A47D02"/>
    <w:pPr>
      <w:tabs>
        <w:tab w:val="center" w:pos="7285"/>
        <w:tab w:val="right" w:pos="14003"/>
      </w:tabs>
      <w:spacing w:before="0"/>
    </w:pPr>
  </w:style>
  <w:style w:type="paragraph" w:styleId="Footer">
    <w:name w:val="footer"/>
    <w:basedOn w:val="Normal"/>
    <w:link w:val="FooterChar"/>
    <w:uiPriority w:val="99"/>
    <w:unhideWhenUsed/>
    <w:rsid w:val="00A47D0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47D0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EF338F37A4A9419D40C896D14C7EF5" ma:contentTypeVersion="10" ma:contentTypeDescription="Create a new document." ma:contentTypeScope="" ma:versionID="36f037375f1ea1ca1dfa679ae9420172">
  <xsd:schema xmlns:xsd="http://www.w3.org/2001/XMLSchema" xmlns:xs="http://www.w3.org/2001/XMLSchema" xmlns:p="http://schemas.microsoft.com/office/2006/metadata/properties" xmlns:ns2="5e3b0e23-edc7-4d68-902a-f7eeae56b19b" targetNamespace="http://schemas.microsoft.com/office/2006/metadata/properties" ma:root="true" ma:fieldsID="672049701e3345b8720478c9a840d27b" ns2:_="">
    <xsd:import namespace="5e3b0e23-edc7-4d68-902a-f7eeae56b1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b0e23-edc7-4d68-902a-f7eeae56b1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3b0e23-edc7-4d68-902a-f7eeae56b1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B650316-5465-4F5A-AF89-3E3F5A6F0C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b0e23-edc7-4d68-902a-f7eeae56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2A5A4C-E552-43E5-9A3B-475E26DC3C3D}">
  <ds:schemaRefs>
    <ds:schemaRef ds:uri="http://schemas.microsoft.com/sharepoint/v3/contenttype/forms"/>
  </ds:schemaRefs>
</ds:datastoreItem>
</file>

<file path=customXml/itemProps3.xml><?xml version="1.0" encoding="utf-8"?>
<ds:datastoreItem xmlns:ds="http://schemas.openxmlformats.org/officeDocument/2006/customXml" ds:itemID="{BF976572-D998-4659-8216-E50B46B11768}">
  <ds:schemaRefs>
    <ds:schemaRef ds:uri="http://www.w3.org/XML/1998/namespace"/>
    <ds:schemaRef ds:uri="http://purl.org/dc/dcmitype/"/>
    <ds:schemaRef ds:uri="5e3b0e23-edc7-4d68-902a-f7eeae56b19b"/>
    <ds:schemaRef ds:uri="http://purl.org/dc/elements/1.1/"/>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ANNEX.dotm</Template>
  <TotalTime>12</TotalTime>
  <Pages>11</Pages>
  <Words>3825</Words>
  <Characters>21807</Characters>
  <Application>Microsoft Office Word</Application>
  <DocSecurity>0</DocSecurity>
  <Lines>181</Lines>
  <Paragraphs>51</Paragraphs>
  <ScaleCrop>false</ScaleCrop>
  <Manager/>
  <Company/>
  <LinksUpToDate>false</LinksUpToDate>
  <CharactersWithSpaces>25581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dcterms:created xsi:type="dcterms:W3CDTF">2026-01-14T12:45:00Z</dcterms:created>
  <dcterms:modified xsi:type="dcterms:W3CDTF">2026-04-20T13:20:00Z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6</vt:lpwstr>
  </property>
  <property fmtid="{D5CDD505-2E9C-101B-9397-08002B2CF9AE}" pid="8" name="Unique annex">
    <vt:lpwstr>0</vt:lpwstr>
  </property>
  <property fmtid="{D5CDD505-2E9C-101B-9397-08002B2CF9AE}" pid="9" name="Part">
    <vt:lpwstr>&lt;UNUSED&gt;</vt:lpwstr>
  </property>
  <property fmtid="{D5CDD505-2E9C-101B-9397-08002B2CF9AE}" pid="10" name="Total parts">
    <vt:lpwstr>&lt;UNUSED&gt;</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2025-12-22T08:27:12Z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b9ef9082-0273-47ce-ae61-b0b006f9c39d</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0x010100FAEF338F37A4A9419D40C896D14C7EF5</vt:lpwstr>
  </property>
  <property fmtid="{D5CDD505-2E9C-101B-9397-08002B2CF9AE}" pid="22" name="MediaServiceImageTags">
    <vt:lpwstr/>
  </property>
  <property fmtid="{D5CDD505-2E9C-101B-9397-08002B2CF9AE}" pid="23" name="DQCStatus">
    <vt:lpwstr>Green (DQC version 03)</vt:lpwstr>
  </property>
</Properties>
</file>