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B93B0D" w:rsidRDefault="009D5B7C" w:rsidP="009D5B7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ABF2806-BEE1-497B-9EF9-7A6B8A938FC0" style="width:455.25pt;height:357.75pt">
            <v:imagedata r:id="rId8" o:title=""/>
          </v:shape>
        </w:pict>
      </w:r>
    </w:p>
    <w:p w:rsidR="001A62D7" w:rsidRPr="00B93B0D" w:rsidRDefault="001A62D7" w:rsidP="001A62D7">
      <w:pPr>
        <w:rPr>
          <w:noProof/>
        </w:rPr>
        <w:sectPr w:rsidR="001A62D7" w:rsidRPr="00B93B0D" w:rsidSect="009D5B7C">
          <w:footerReference w:type="even" r:id="rId9"/>
          <w:footerReference w:type="default" r:id="rId10"/>
          <w:pgSz w:w="11907" w:h="16839"/>
          <w:pgMar w:top="1134" w:right="1417" w:bottom="1134" w:left="1417" w:header="709" w:footer="709" w:gutter="0"/>
          <w:pgNumType w:start="0"/>
          <w:cols w:space="720"/>
          <w:docGrid w:linePitch="360"/>
        </w:sectPr>
      </w:pPr>
    </w:p>
    <w:p w:rsidR="001A62D7" w:rsidRPr="00B93B0D" w:rsidRDefault="001A62D7" w:rsidP="001A62D7">
      <w:pPr>
        <w:pStyle w:val="Exposdesmotifstitre"/>
        <w:rPr>
          <w:noProof/>
        </w:rPr>
      </w:pPr>
      <w:bookmarkStart w:id="0" w:name="_GoBack"/>
      <w:bookmarkEnd w:id="0"/>
      <w:r w:rsidRPr="00B93B0D">
        <w:rPr>
          <w:noProof/>
        </w:rPr>
        <w:lastRenderedPageBreak/>
        <w:t>EXPLANATORY MEMORANDUM</w:t>
      </w:r>
    </w:p>
    <w:p w:rsidR="001A62D7" w:rsidRPr="00B93B0D" w:rsidRDefault="001A62D7" w:rsidP="001A62D7">
      <w:pPr>
        <w:pStyle w:val="ManualHeading1"/>
        <w:rPr>
          <w:noProof/>
        </w:rPr>
      </w:pPr>
      <w:r w:rsidRPr="00B93B0D">
        <w:rPr>
          <w:noProof/>
        </w:rPr>
        <w:t>CONTEXT OF THE PROPOSAL</w:t>
      </w:r>
    </w:p>
    <w:p w:rsidR="001A62D7" w:rsidRPr="00B93B0D" w:rsidRDefault="001A62D7" w:rsidP="00AE7D04">
      <w:pPr>
        <w:pStyle w:val="ManualNumPar1"/>
        <w:rPr>
          <w:noProof/>
        </w:rPr>
      </w:pPr>
      <w:r>
        <w:rPr>
          <w:noProof/>
        </w:rPr>
        <w:t>1.</w:t>
      </w:r>
      <w:r>
        <w:rPr>
          <w:noProof/>
        </w:rPr>
        <w:tab/>
      </w:r>
      <w:r w:rsidRPr="00B93B0D">
        <w:rPr>
          <w:noProof/>
        </w:rPr>
        <w:t>The rules applicable to financial contributions from the European Globalisation Adjustment Fund for Displaced Workers (EGF) are laid down in Regulation (EU) 2021/691 of the European Parliament and of the Council of 28 April 2021 on the European Globalisation Adjustment Fund for Displaced Workers (EGF) and repealing Regulation (EU) No 1309/2013</w:t>
      </w:r>
      <w:r w:rsidRPr="00B93B0D">
        <w:rPr>
          <w:rStyle w:val="FootnoteReference"/>
          <w:noProof/>
        </w:rPr>
        <w:footnoteReference w:id="1"/>
      </w:r>
      <w:r w:rsidRPr="00B93B0D">
        <w:rPr>
          <w:noProof/>
        </w:rPr>
        <w:t>.</w:t>
      </w:r>
    </w:p>
    <w:p w:rsidR="001A62D7" w:rsidRPr="00B93B0D" w:rsidRDefault="001A62D7" w:rsidP="00AE7D04">
      <w:pPr>
        <w:pStyle w:val="ManualNumPar1"/>
        <w:rPr>
          <w:noProof/>
        </w:rPr>
      </w:pPr>
      <w:r>
        <w:rPr>
          <w:noProof/>
        </w:rPr>
        <w:t>2.</w:t>
      </w:r>
      <w:r>
        <w:rPr>
          <w:noProof/>
        </w:rPr>
        <w:tab/>
      </w:r>
      <w:r w:rsidRPr="00B93B0D">
        <w:rPr>
          <w:noProof/>
        </w:rPr>
        <w:t xml:space="preserve">On </w:t>
      </w:r>
      <w:r w:rsidR="003421FC" w:rsidRPr="00B93B0D">
        <w:rPr>
          <w:noProof/>
        </w:rPr>
        <w:t>7 April 2026</w:t>
      </w:r>
      <w:r w:rsidRPr="00B93B0D">
        <w:rPr>
          <w:noProof/>
        </w:rPr>
        <w:t xml:space="preserve">, </w:t>
      </w:r>
      <w:r w:rsidR="003421FC" w:rsidRPr="00B93B0D">
        <w:rPr>
          <w:noProof/>
        </w:rPr>
        <w:t>Spain</w:t>
      </w:r>
      <w:r w:rsidRPr="00B93B0D">
        <w:rPr>
          <w:noProof/>
        </w:rPr>
        <w:t xml:space="preserve"> submitted an application EGF/</w:t>
      </w:r>
      <w:bookmarkStart w:id="1" w:name="EGF_Ref_Year"/>
      <w:r w:rsidR="003421FC" w:rsidRPr="00B93B0D">
        <w:rPr>
          <w:noProof/>
        </w:rPr>
        <w:t>2026</w:t>
      </w:r>
      <w:bookmarkEnd w:id="1"/>
      <w:r w:rsidRPr="00B93B0D">
        <w:rPr>
          <w:noProof/>
        </w:rPr>
        <w:t>/</w:t>
      </w:r>
      <w:bookmarkStart w:id="2" w:name="EGF_Ref_CaseNumber"/>
      <w:r w:rsidR="003421FC" w:rsidRPr="00B93B0D">
        <w:rPr>
          <w:noProof/>
        </w:rPr>
        <w:t>002</w:t>
      </w:r>
      <w:bookmarkEnd w:id="2"/>
      <w:r w:rsidRPr="00B93B0D">
        <w:rPr>
          <w:noProof/>
        </w:rPr>
        <w:t> </w:t>
      </w:r>
      <w:bookmarkStart w:id="3" w:name="MS_Code"/>
      <w:r w:rsidR="003421FC" w:rsidRPr="00B93B0D">
        <w:rPr>
          <w:noProof/>
        </w:rPr>
        <w:t>ES</w:t>
      </w:r>
      <w:bookmarkEnd w:id="3"/>
      <w:r w:rsidRPr="00B93B0D">
        <w:rPr>
          <w:noProof/>
        </w:rPr>
        <w:t>/</w:t>
      </w:r>
      <w:bookmarkStart w:id="4" w:name="EGF_Ref_CaseName"/>
      <w:r w:rsidR="003421FC" w:rsidRPr="00B93B0D">
        <w:rPr>
          <w:noProof/>
        </w:rPr>
        <w:t>Galicia automotive ancillary</w:t>
      </w:r>
      <w:bookmarkEnd w:id="4"/>
      <w:r w:rsidRPr="00B93B0D">
        <w:rPr>
          <w:noProof/>
        </w:rPr>
        <w:t xml:space="preserve"> for a financial contribution from the EGF, following displacements in the </w:t>
      </w:r>
      <w:r w:rsidR="003421FC" w:rsidRPr="00B93B0D">
        <w:rPr>
          <w:noProof/>
          <w:szCs w:val="24"/>
        </w:rPr>
        <w:t xml:space="preserve">automotive ancillary industry </w:t>
      </w:r>
      <w:r w:rsidRPr="00B93B0D">
        <w:rPr>
          <w:noProof/>
        </w:rPr>
        <w:t>(which comprises the economic sectors classified under the NACE Revision 2 division</w:t>
      </w:r>
      <w:r w:rsidR="0052597B">
        <w:rPr>
          <w:noProof/>
        </w:rPr>
        <w:t>s</w:t>
      </w:r>
      <w:r w:rsidRPr="00B93B0D">
        <w:rPr>
          <w:noProof/>
        </w:rPr>
        <w:t xml:space="preserve"> listed in the summary of the application, here below) </w:t>
      </w:r>
      <w:r w:rsidRPr="00B93B0D">
        <w:rPr>
          <w:noProof/>
          <w:szCs w:val="24"/>
        </w:rPr>
        <w:t xml:space="preserve">in the </w:t>
      </w:r>
      <w:r w:rsidRPr="00B93B0D">
        <w:rPr>
          <w:noProof/>
        </w:rPr>
        <w:t xml:space="preserve">NUTS 2 region of </w:t>
      </w:r>
      <w:r w:rsidR="003421FC" w:rsidRPr="00B93B0D">
        <w:rPr>
          <w:noProof/>
          <w:szCs w:val="24"/>
        </w:rPr>
        <w:t>Galicia</w:t>
      </w:r>
      <w:r w:rsidRPr="00B93B0D">
        <w:rPr>
          <w:noProof/>
          <w:szCs w:val="24"/>
        </w:rPr>
        <w:t xml:space="preserve"> (</w:t>
      </w:r>
      <w:r w:rsidR="003421FC" w:rsidRPr="00B93B0D">
        <w:rPr>
          <w:noProof/>
          <w:szCs w:val="24"/>
        </w:rPr>
        <w:t>ES11</w:t>
      </w:r>
      <w:r w:rsidRPr="00B93B0D">
        <w:rPr>
          <w:noProof/>
          <w:szCs w:val="24"/>
        </w:rPr>
        <w:t>)</w:t>
      </w:r>
      <w:r w:rsidRPr="00B93B0D">
        <w:rPr>
          <w:noProof/>
        </w:rPr>
        <w:t xml:space="preserve"> in </w:t>
      </w:r>
      <w:bookmarkStart w:id="5" w:name="MS_Name"/>
      <w:r w:rsidR="003421FC" w:rsidRPr="00B93B0D">
        <w:rPr>
          <w:noProof/>
        </w:rPr>
        <w:t>Spain</w:t>
      </w:r>
      <w:bookmarkEnd w:id="5"/>
      <w:r w:rsidRPr="00B93B0D">
        <w:rPr>
          <w:noProof/>
        </w:rPr>
        <w:t>.</w:t>
      </w:r>
    </w:p>
    <w:p w:rsidR="001A62D7" w:rsidRPr="00B93B0D" w:rsidRDefault="001A62D7" w:rsidP="00AE7D04">
      <w:pPr>
        <w:pStyle w:val="ManualNumPar1"/>
        <w:rPr>
          <w:noProof/>
        </w:rPr>
      </w:pPr>
      <w:r>
        <w:rPr>
          <w:noProof/>
        </w:rPr>
        <w:t>3.</w:t>
      </w:r>
      <w:r>
        <w:rPr>
          <w:noProof/>
        </w:rPr>
        <w:tab/>
      </w:r>
      <w:r w:rsidRPr="00B93B0D">
        <w:rPr>
          <w:noProof/>
        </w:rPr>
        <w:t xml:space="preserve">Following its assessment of this application, the Commission has concluded, in accordance with all applicable provisions of Regulation (EU) 2021/691, that the conditions for awarding a financial contribution from the EGF are met. </w:t>
      </w:r>
    </w:p>
    <w:p w:rsidR="001A62D7" w:rsidRPr="00B93B0D" w:rsidRDefault="001A62D7" w:rsidP="001A62D7">
      <w:pPr>
        <w:pStyle w:val="ManualHeading1"/>
        <w:rPr>
          <w:noProof/>
        </w:rPr>
      </w:pPr>
      <w:r w:rsidRPr="00B93B0D">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FA4162" w:rsidTr="001D5990">
        <w:tc>
          <w:tcPr>
            <w:tcW w:w="4908" w:type="dxa"/>
            <w:shd w:val="clear" w:color="auto" w:fill="auto"/>
          </w:tcPr>
          <w:p w:rsidR="001A62D7" w:rsidRPr="00B93B0D" w:rsidRDefault="001A62D7" w:rsidP="001D5990">
            <w:pPr>
              <w:spacing w:before="60" w:after="60"/>
              <w:jc w:val="left"/>
              <w:rPr>
                <w:rFonts w:eastAsia="Calibri"/>
                <w:noProof/>
              </w:rPr>
            </w:pPr>
            <w:r w:rsidRPr="00B93B0D">
              <w:rPr>
                <w:noProof/>
              </w:rPr>
              <w:t>EGF application</w:t>
            </w:r>
          </w:p>
        </w:tc>
        <w:tc>
          <w:tcPr>
            <w:tcW w:w="4379" w:type="dxa"/>
            <w:shd w:val="clear" w:color="auto" w:fill="auto"/>
          </w:tcPr>
          <w:p w:rsidR="001A62D7" w:rsidRPr="00FA4162" w:rsidRDefault="001A62D7" w:rsidP="001D5990">
            <w:pPr>
              <w:spacing w:before="60" w:after="60"/>
              <w:ind w:rightChars="192" w:right="461"/>
              <w:jc w:val="left"/>
              <w:rPr>
                <w:rFonts w:eastAsia="Calibri"/>
                <w:noProof/>
              </w:rPr>
            </w:pPr>
            <w:r w:rsidRPr="00FA4162">
              <w:rPr>
                <w:noProof/>
              </w:rPr>
              <w:t>EGF/</w:t>
            </w:r>
            <w:r w:rsidR="003421FC" w:rsidRPr="00FA4162">
              <w:rPr>
                <w:noProof/>
              </w:rPr>
              <w:t>2026</w:t>
            </w:r>
            <w:r w:rsidRPr="00FA4162">
              <w:rPr>
                <w:noProof/>
              </w:rPr>
              <w:t>/</w:t>
            </w:r>
            <w:r w:rsidR="003421FC" w:rsidRPr="00FA4162">
              <w:rPr>
                <w:noProof/>
              </w:rPr>
              <w:t>002</w:t>
            </w:r>
            <w:r w:rsidRPr="00FA4162">
              <w:rPr>
                <w:noProof/>
              </w:rPr>
              <w:t xml:space="preserve"> </w:t>
            </w:r>
            <w:r w:rsidR="003421FC" w:rsidRPr="00FA4162">
              <w:rPr>
                <w:noProof/>
              </w:rPr>
              <w:t>ES</w:t>
            </w:r>
            <w:r w:rsidRPr="00FA4162">
              <w:rPr>
                <w:noProof/>
              </w:rPr>
              <w:t>/</w:t>
            </w:r>
            <w:r w:rsidR="003421FC" w:rsidRPr="00FA4162">
              <w:rPr>
                <w:noProof/>
              </w:rPr>
              <w:t>Galicia automotive ancillary</w:t>
            </w:r>
          </w:p>
        </w:tc>
      </w:tr>
      <w:tr w:rsidR="001A62D7" w:rsidRPr="00B93B0D" w:rsidTr="001D5990">
        <w:tc>
          <w:tcPr>
            <w:tcW w:w="4908" w:type="dxa"/>
            <w:shd w:val="clear" w:color="auto" w:fill="auto"/>
          </w:tcPr>
          <w:p w:rsidR="001A62D7" w:rsidRPr="00B93B0D" w:rsidRDefault="001A62D7" w:rsidP="001D5990">
            <w:pPr>
              <w:spacing w:before="60" w:after="60"/>
              <w:jc w:val="left"/>
              <w:rPr>
                <w:rFonts w:eastAsia="Calibri"/>
                <w:noProof/>
              </w:rPr>
            </w:pPr>
            <w:r w:rsidRPr="00B93B0D">
              <w:rPr>
                <w:rFonts w:eastAsia="Calibri"/>
                <w:noProof/>
              </w:rPr>
              <w:t>Member State</w:t>
            </w:r>
          </w:p>
        </w:tc>
        <w:tc>
          <w:tcPr>
            <w:tcW w:w="4379" w:type="dxa"/>
            <w:shd w:val="clear" w:color="auto" w:fill="auto"/>
          </w:tcPr>
          <w:p w:rsidR="001A62D7" w:rsidRPr="00B93B0D" w:rsidRDefault="003421FC" w:rsidP="001D5990">
            <w:pPr>
              <w:spacing w:before="60" w:after="60"/>
              <w:ind w:rightChars="192" w:right="461"/>
              <w:jc w:val="left"/>
              <w:rPr>
                <w:rFonts w:eastAsia="Calibri"/>
                <w:noProof/>
              </w:rPr>
            </w:pPr>
            <w:r w:rsidRPr="00B93B0D">
              <w:rPr>
                <w:noProof/>
              </w:rPr>
              <w:t>Spain</w:t>
            </w:r>
          </w:p>
        </w:tc>
      </w:tr>
      <w:tr w:rsidR="001A62D7" w:rsidRPr="00B93B0D" w:rsidTr="001D5990">
        <w:tc>
          <w:tcPr>
            <w:tcW w:w="4908" w:type="dxa"/>
            <w:tcBorders>
              <w:bottom w:val="single"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Region(s) concerned (NUTS</w:t>
            </w:r>
            <w:r w:rsidRPr="00B93B0D">
              <w:rPr>
                <w:rStyle w:val="FootnoteReference"/>
                <w:noProof/>
              </w:rPr>
              <w:footnoteReference w:id="2"/>
            </w:r>
            <w:r w:rsidRPr="00B93B0D">
              <w:rPr>
                <w:rFonts w:eastAsia="Calibri"/>
                <w:noProof/>
              </w:rPr>
              <w:t xml:space="preserve"> level 2)</w:t>
            </w:r>
          </w:p>
        </w:tc>
        <w:tc>
          <w:tcPr>
            <w:tcW w:w="4379" w:type="dxa"/>
            <w:tcBorders>
              <w:bottom w:val="single" w:sz="4" w:space="0" w:color="auto"/>
            </w:tcBorders>
            <w:shd w:val="clear" w:color="auto" w:fill="auto"/>
          </w:tcPr>
          <w:p w:rsidR="001A62D7" w:rsidRPr="00B93B0D" w:rsidRDefault="003421FC" w:rsidP="00CC0130">
            <w:pPr>
              <w:spacing w:before="0" w:after="0"/>
              <w:ind w:rightChars="192" w:right="461"/>
              <w:jc w:val="left"/>
              <w:rPr>
                <w:noProof/>
                <w:szCs w:val="24"/>
              </w:rPr>
            </w:pPr>
            <w:bookmarkStart w:id="6" w:name="Region_1_Name"/>
            <w:r w:rsidRPr="00B93B0D">
              <w:rPr>
                <w:noProof/>
                <w:szCs w:val="24"/>
              </w:rPr>
              <w:t>Galicia</w:t>
            </w:r>
            <w:bookmarkEnd w:id="6"/>
            <w:r w:rsidR="001A62D7" w:rsidRPr="00B93B0D">
              <w:rPr>
                <w:noProof/>
                <w:szCs w:val="24"/>
              </w:rPr>
              <w:t xml:space="preserve"> (</w:t>
            </w:r>
            <w:r w:rsidRPr="00B93B0D">
              <w:rPr>
                <w:noProof/>
                <w:szCs w:val="24"/>
              </w:rPr>
              <w:t>ES11</w:t>
            </w:r>
            <w:r w:rsidR="001A62D7" w:rsidRPr="00B93B0D">
              <w:rPr>
                <w:noProof/>
                <w:szCs w:val="24"/>
              </w:rPr>
              <w:t>)</w:t>
            </w:r>
          </w:p>
        </w:tc>
      </w:tr>
      <w:tr w:rsidR="001A62D7" w:rsidRPr="00B93B0D" w:rsidTr="001D5990">
        <w:tc>
          <w:tcPr>
            <w:tcW w:w="4908" w:type="dxa"/>
            <w:tcBorders>
              <w:bottom w:val="dotted"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Date of submission of the application</w:t>
            </w:r>
          </w:p>
        </w:tc>
        <w:tc>
          <w:tcPr>
            <w:tcW w:w="4379" w:type="dxa"/>
            <w:tcBorders>
              <w:bottom w:val="dotted" w:sz="4" w:space="0" w:color="auto"/>
            </w:tcBorders>
            <w:shd w:val="clear" w:color="auto" w:fill="auto"/>
          </w:tcPr>
          <w:p w:rsidR="001A62D7" w:rsidRPr="00B93B0D" w:rsidRDefault="003421FC" w:rsidP="001D5990">
            <w:pPr>
              <w:spacing w:before="60" w:after="60"/>
              <w:ind w:rightChars="192" w:right="461"/>
              <w:jc w:val="left"/>
              <w:rPr>
                <w:rFonts w:eastAsia="Calibri"/>
                <w:noProof/>
              </w:rPr>
            </w:pPr>
            <w:r w:rsidRPr="00B93B0D">
              <w:rPr>
                <w:noProof/>
              </w:rPr>
              <w:t>7 April 2026</w:t>
            </w:r>
          </w:p>
        </w:tc>
      </w:tr>
      <w:tr w:rsidR="001A62D7" w:rsidRPr="00B93B0D" w:rsidTr="001D5990">
        <w:tc>
          <w:tcPr>
            <w:tcW w:w="4908" w:type="dxa"/>
            <w:tcBorders>
              <w:top w:val="dotted" w:sz="4" w:space="0" w:color="auto"/>
              <w:bottom w:val="dotted"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Date of acknowledgement of receipt of the application</w:t>
            </w:r>
          </w:p>
        </w:tc>
        <w:tc>
          <w:tcPr>
            <w:tcW w:w="4379" w:type="dxa"/>
            <w:tcBorders>
              <w:top w:val="dotted" w:sz="4" w:space="0" w:color="auto"/>
              <w:bottom w:val="dotted" w:sz="4" w:space="0" w:color="auto"/>
            </w:tcBorders>
            <w:shd w:val="clear" w:color="auto" w:fill="auto"/>
          </w:tcPr>
          <w:p w:rsidR="001A62D7" w:rsidRPr="00B93B0D" w:rsidRDefault="00674268" w:rsidP="001D5990">
            <w:pPr>
              <w:spacing w:before="60" w:after="60"/>
              <w:ind w:rightChars="192" w:right="461"/>
              <w:jc w:val="left"/>
              <w:rPr>
                <w:rFonts w:eastAsia="Calibri"/>
                <w:noProof/>
              </w:rPr>
            </w:pPr>
            <w:r w:rsidRPr="00B93B0D">
              <w:rPr>
                <w:noProof/>
              </w:rPr>
              <w:t>21 April 2026</w:t>
            </w:r>
          </w:p>
        </w:tc>
      </w:tr>
      <w:tr w:rsidR="001A62D7" w:rsidRPr="00B93B0D" w:rsidTr="001D5990">
        <w:tc>
          <w:tcPr>
            <w:tcW w:w="4908" w:type="dxa"/>
            <w:tcBorders>
              <w:top w:val="dotted" w:sz="4" w:space="0" w:color="auto"/>
              <w:bottom w:val="dotted"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Date of request for additional information</w:t>
            </w:r>
          </w:p>
        </w:tc>
        <w:tc>
          <w:tcPr>
            <w:tcW w:w="4379" w:type="dxa"/>
            <w:tcBorders>
              <w:top w:val="dotted" w:sz="4" w:space="0" w:color="auto"/>
              <w:bottom w:val="dotted" w:sz="4" w:space="0" w:color="auto"/>
            </w:tcBorders>
            <w:shd w:val="clear" w:color="auto" w:fill="auto"/>
          </w:tcPr>
          <w:p w:rsidR="001A62D7" w:rsidRPr="00B93B0D" w:rsidRDefault="00674268" w:rsidP="001D5990">
            <w:pPr>
              <w:spacing w:before="60" w:after="60"/>
              <w:ind w:rightChars="192" w:right="461"/>
              <w:jc w:val="left"/>
              <w:rPr>
                <w:rFonts w:eastAsia="Calibri"/>
                <w:noProof/>
              </w:rPr>
            </w:pPr>
            <w:r w:rsidRPr="00B93B0D">
              <w:rPr>
                <w:noProof/>
              </w:rPr>
              <w:t>21 April 2026</w:t>
            </w:r>
          </w:p>
        </w:tc>
      </w:tr>
      <w:tr w:rsidR="001A62D7" w:rsidRPr="00B93B0D" w:rsidTr="001D5990">
        <w:tc>
          <w:tcPr>
            <w:tcW w:w="4908" w:type="dxa"/>
            <w:tcBorders>
              <w:top w:val="dotted" w:sz="4" w:space="0" w:color="auto"/>
              <w:bottom w:val="dotted"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Deadline for provision of the additional information</w:t>
            </w:r>
          </w:p>
        </w:tc>
        <w:tc>
          <w:tcPr>
            <w:tcW w:w="4379" w:type="dxa"/>
            <w:tcBorders>
              <w:top w:val="dotted" w:sz="4" w:space="0" w:color="auto"/>
              <w:bottom w:val="dotted" w:sz="4" w:space="0" w:color="auto"/>
            </w:tcBorders>
            <w:shd w:val="clear" w:color="auto" w:fill="auto"/>
          </w:tcPr>
          <w:p w:rsidR="001A62D7" w:rsidRPr="00B93B0D" w:rsidRDefault="00674268" w:rsidP="001D5990">
            <w:pPr>
              <w:spacing w:before="60" w:after="60"/>
              <w:ind w:rightChars="192" w:right="461"/>
              <w:jc w:val="left"/>
              <w:rPr>
                <w:rFonts w:eastAsia="Calibri"/>
                <w:noProof/>
              </w:rPr>
            </w:pPr>
            <w:r w:rsidRPr="00B93B0D">
              <w:rPr>
                <w:noProof/>
              </w:rPr>
              <w:t>13 May 2026</w:t>
            </w:r>
          </w:p>
        </w:tc>
      </w:tr>
      <w:tr w:rsidR="001A62D7" w:rsidRPr="00B93B0D" w:rsidTr="001D5990">
        <w:tc>
          <w:tcPr>
            <w:tcW w:w="4908" w:type="dxa"/>
            <w:tcBorders>
              <w:top w:val="dotted"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Deadline for the completion of the assessment</w:t>
            </w:r>
          </w:p>
        </w:tc>
        <w:tc>
          <w:tcPr>
            <w:tcW w:w="4379" w:type="dxa"/>
            <w:tcBorders>
              <w:top w:val="dotted" w:sz="4" w:space="0" w:color="auto"/>
            </w:tcBorders>
            <w:shd w:val="clear" w:color="auto" w:fill="auto"/>
          </w:tcPr>
          <w:p w:rsidR="001A62D7" w:rsidRPr="00B93B0D" w:rsidRDefault="00674268" w:rsidP="001D5990">
            <w:pPr>
              <w:spacing w:before="60" w:after="60"/>
              <w:ind w:rightChars="192" w:right="461"/>
              <w:jc w:val="left"/>
              <w:rPr>
                <w:rFonts w:eastAsia="Calibri"/>
                <w:noProof/>
              </w:rPr>
            </w:pPr>
            <w:r w:rsidRPr="00B93B0D">
              <w:rPr>
                <w:noProof/>
              </w:rPr>
              <w:t>28 July 2026</w:t>
            </w:r>
          </w:p>
        </w:tc>
      </w:tr>
      <w:tr w:rsidR="001A62D7" w:rsidRPr="00B93B0D" w:rsidTr="001D5990">
        <w:tc>
          <w:tcPr>
            <w:tcW w:w="4908" w:type="dxa"/>
            <w:shd w:val="clear" w:color="auto" w:fill="auto"/>
          </w:tcPr>
          <w:p w:rsidR="001A62D7" w:rsidRPr="00B93B0D" w:rsidRDefault="001A62D7" w:rsidP="001D5990">
            <w:pPr>
              <w:spacing w:before="60" w:after="60"/>
              <w:jc w:val="left"/>
              <w:rPr>
                <w:rFonts w:eastAsia="Calibri"/>
                <w:noProof/>
              </w:rPr>
            </w:pPr>
            <w:r w:rsidRPr="00B93B0D">
              <w:rPr>
                <w:rFonts w:eastAsia="Calibri"/>
                <w:noProof/>
              </w:rPr>
              <w:t>Intervention criterion</w:t>
            </w:r>
          </w:p>
        </w:tc>
        <w:tc>
          <w:tcPr>
            <w:tcW w:w="4379" w:type="dxa"/>
            <w:shd w:val="clear" w:color="auto" w:fill="auto"/>
          </w:tcPr>
          <w:p w:rsidR="001A62D7" w:rsidRPr="00B93B0D" w:rsidRDefault="001A62D7" w:rsidP="001D5990">
            <w:pPr>
              <w:spacing w:before="60" w:after="60"/>
              <w:ind w:rightChars="192" w:right="461"/>
              <w:jc w:val="left"/>
              <w:rPr>
                <w:rFonts w:eastAsia="Calibri"/>
                <w:noProof/>
              </w:rPr>
            </w:pPr>
            <w:r w:rsidRPr="00B93B0D">
              <w:rPr>
                <w:rFonts w:eastAsia="Calibri"/>
                <w:noProof/>
              </w:rPr>
              <w:t>Article 4(</w:t>
            </w:r>
            <w:r w:rsidR="00CC0130" w:rsidRPr="00B93B0D">
              <w:rPr>
                <w:rFonts w:eastAsia="Calibri"/>
                <w:noProof/>
              </w:rPr>
              <w:t>2)</w:t>
            </w:r>
            <w:r w:rsidR="008F1D16" w:rsidRPr="00B93B0D">
              <w:rPr>
                <w:rFonts w:eastAsia="Calibri"/>
                <w:noProof/>
              </w:rPr>
              <w:t xml:space="preserve">, point </w:t>
            </w:r>
            <w:r w:rsidR="00CC0130" w:rsidRPr="00B93B0D">
              <w:rPr>
                <w:rFonts w:eastAsia="Calibri"/>
                <w:noProof/>
              </w:rPr>
              <w:t>(c)</w:t>
            </w:r>
            <w:r w:rsidRPr="00B93B0D">
              <w:rPr>
                <w:rFonts w:eastAsia="Calibri"/>
                <w:noProof/>
              </w:rPr>
              <w:t>, of Regulation (EU) 2021/691</w:t>
            </w:r>
          </w:p>
        </w:tc>
      </w:tr>
      <w:tr w:rsidR="001A62D7" w:rsidRPr="00B93B0D" w:rsidTr="001D5990">
        <w:tc>
          <w:tcPr>
            <w:tcW w:w="4908" w:type="dxa"/>
            <w:tcBorders>
              <w:top w:val="single" w:sz="4" w:space="0" w:color="auto"/>
              <w:bottom w:val="single" w:sz="4" w:space="0" w:color="auto"/>
              <w:right w:val="single" w:sz="4" w:space="0" w:color="auto"/>
            </w:tcBorders>
            <w:shd w:val="clear" w:color="auto" w:fill="auto"/>
          </w:tcPr>
          <w:p w:rsidR="001A62D7" w:rsidRPr="00B93B0D" w:rsidRDefault="001A62D7" w:rsidP="001D5990">
            <w:pPr>
              <w:spacing w:before="60" w:after="60"/>
              <w:jc w:val="left"/>
              <w:rPr>
                <w:rFonts w:eastAsia="Calibri"/>
                <w:noProof/>
              </w:rPr>
            </w:pPr>
            <w:r w:rsidRPr="00B93B0D">
              <w:rPr>
                <w:noProof/>
              </w:rPr>
              <w:br w:type="page"/>
            </w:r>
            <w:r w:rsidRPr="00B93B0D">
              <w:rPr>
                <w:rFonts w:eastAsia="Calibri"/>
                <w:noProof/>
              </w:rPr>
              <w:t>Number of enterprises concerned</w:t>
            </w:r>
          </w:p>
        </w:tc>
        <w:tc>
          <w:tcPr>
            <w:tcW w:w="4379" w:type="dxa"/>
            <w:tcBorders>
              <w:top w:val="single" w:sz="4" w:space="0" w:color="auto"/>
              <w:left w:val="single" w:sz="4" w:space="0" w:color="auto"/>
              <w:bottom w:val="single" w:sz="4" w:space="0" w:color="auto"/>
            </w:tcBorders>
            <w:shd w:val="clear" w:color="auto" w:fill="auto"/>
          </w:tcPr>
          <w:p w:rsidR="001A62D7" w:rsidRPr="00B93B0D" w:rsidRDefault="00A10F73" w:rsidP="001D5990">
            <w:pPr>
              <w:spacing w:before="60" w:after="60"/>
              <w:ind w:rightChars="192" w:right="461"/>
              <w:jc w:val="left"/>
              <w:rPr>
                <w:noProof/>
                <w:szCs w:val="24"/>
              </w:rPr>
            </w:pPr>
            <w:r w:rsidRPr="00B93B0D">
              <w:rPr>
                <w:noProof/>
                <w:szCs w:val="24"/>
              </w:rPr>
              <w:t>20</w:t>
            </w:r>
          </w:p>
        </w:tc>
      </w:tr>
      <w:tr w:rsidR="001A62D7" w:rsidRPr="00B93B0D" w:rsidTr="001D5990">
        <w:tc>
          <w:tcPr>
            <w:tcW w:w="4908" w:type="dxa"/>
            <w:shd w:val="clear" w:color="auto" w:fill="auto"/>
          </w:tcPr>
          <w:p w:rsidR="001A62D7" w:rsidRPr="00B93B0D" w:rsidRDefault="001A62D7" w:rsidP="001D5990">
            <w:pPr>
              <w:spacing w:before="60" w:after="60"/>
              <w:jc w:val="left"/>
              <w:rPr>
                <w:rFonts w:eastAsia="Calibri"/>
                <w:noProof/>
              </w:rPr>
            </w:pPr>
            <w:r w:rsidRPr="00B93B0D">
              <w:rPr>
                <w:rFonts w:eastAsia="Calibri"/>
                <w:noProof/>
              </w:rPr>
              <w:t>Sector(s) of economic activity</w:t>
            </w:r>
          </w:p>
          <w:p w:rsidR="001A62D7" w:rsidRPr="00B93B0D" w:rsidRDefault="001A62D7" w:rsidP="001D5990">
            <w:pPr>
              <w:spacing w:before="60" w:after="60"/>
              <w:jc w:val="left"/>
              <w:rPr>
                <w:rFonts w:eastAsia="Calibri"/>
                <w:noProof/>
              </w:rPr>
            </w:pPr>
            <w:r w:rsidRPr="00B93B0D">
              <w:rPr>
                <w:rFonts w:eastAsia="Calibri"/>
                <w:noProof/>
              </w:rPr>
              <w:t>(NACE Revision 2 division)</w:t>
            </w:r>
            <w:r w:rsidRPr="00B93B0D">
              <w:rPr>
                <w:rStyle w:val="FootnoteReference"/>
                <w:noProof/>
                <w:szCs w:val="24"/>
              </w:rPr>
              <w:footnoteReference w:id="3"/>
            </w:r>
          </w:p>
        </w:tc>
        <w:tc>
          <w:tcPr>
            <w:tcW w:w="4379" w:type="dxa"/>
            <w:shd w:val="clear" w:color="auto" w:fill="auto"/>
          </w:tcPr>
          <w:p w:rsidR="001A62D7" w:rsidRPr="00B93B0D" w:rsidRDefault="001A62D7" w:rsidP="001D5990">
            <w:pPr>
              <w:spacing w:before="60" w:after="60"/>
              <w:ind w:rightChars="192" w:right="461"/>
              <w:jc w:val="left"/>
              <w:rPr>
                <w:noProof/>
                <w:szCs w:val="24"/>
              </w:rPr>
            </w:pPr>
            <w:r w:rsidRPr="00B93B0D">
              <w:rPr>
                <w:noProof/>
                <w:szCs w:val="24"/>
              </w:rPr>
              <w:t xml:space="preserve">Division </w:t>
            </w:r>
            <w:r w:rsidR="002A70E5" w:rsidRPr="00B93B0D">
              <w:rPr>
                <w:noProof/>
                <w:szCs w:val="24"/>
              </w:rPr>
              <w:t>25</w:t>
            </w:r>
            <w:r w:rsidRPr="00B93B0D">
              <w:rPr>
                <w:noProof/>
                <w:szCs w:val="24"/>
              </w:rPr>
              <w:t xml:space="preserve"> (</w:t>
            </w:r>
            <w:r w:rsidR="002A70E5" w:rsidRPr="00B93B0D">
              <w:rPr>
                <w:noProof/>
                <w:szCs w:val="24"/>
              </w:rPr>
              <w:t>Manufacture of fabricated metal products, except machinery and equipment</w:t>
            </w:r>
            <w:r w:rsidRPr="00B93B0D">
              <w:rPr>
                <w:noProof/>
                <w:szCs w:val="24"/>
              </w:rPr>
              <w:t>)</w:t>
            </w:r>
            <w:r w:rsidR="002A70E5" w:rsidRPr="00B93B0D">
              <w:rPr>
                <w:noProof/>
                <w:szCs w:val="24"/>
              </w:rPr>
              <w:t>,</w:t>
            </w:r>
          </w:p>
          <w:p w:rsidR="002A70E5" w:rsidRPr="00B93B0D" w:rsidRDefault="001A62D7" w:rsidP="002A70E5">
            <w:pPr>
              <w:spacing w:before="60" w:after="60"/>
              <w:ind w:rightChars="192" w:right="461"/>
              <w:jc w:val="left"/>
              <w:rPr>
                <w:noProof/>
                <w:szCs w:val="24"/>
              </w:rPr>
            </w:pPr>
            <w:r w:rsidRPr="00B93B0D">
              <w:rPr>
                <w:noProof/>
                <w:szCs w:val="24"/>
              </w:rPr>
              <w:t xml:space="preserve">Division </w:t>
            </w:r>
            <w:r w:rsidR="002A70E5" w:rsidRPr="00B93B0D">
              <w:rPr>
                <w:noProof/>
                <w:szCs w:val="24"/>
              </w:rPr>
              <w:t>27</w:t>
            </w:r>
            <w:r w:rsidRPr="00B93B0D">
              <w:rPr>
                <w:noProof/>
                <w:szCs w:val="24"/>
              </w:rPr>
              <w:t xml:space="preserve"> (</w:t>
            </w:r>
            <w:r w:rsidR="002A70E5" w:rsidRPr="00B93B0D">
              <w:rPr>
                <w:noProof/>
                <w:szCs w:val="24"/>
              </w:rPr>
              <w:t>Manufacture of electrical equipment</w:t>
            </w:r>
            <w:r w:rsidRPr="00B93B0D">
              <w:rPr>
                <w:noProof/>
                <w:szCs w:val="24"/>
              </w:rPr>
              <w:t>)</w:t>
            </w:r>
            <w:r w:rsidR="002A70E5" w:rsidRPr="00B93B0D">
              <w:rPr>
                <w:noProof/>
                <w:szCs w:val="24"/>
              </w:rPr>
              <w:t>,</w:t>
            </w:r>
          </w:p>
          <w:p w:rsidR="002A70E5" w:rsidRPr="00B93B0D" w:rsidRDefault="002A70E5" w:rsidP="002A70E5">
            <w:pPr>
              <w:spacing w:before="60" w:after="60"/>
              <w:ind w:rightChars="192" w:right="461"/>
              <w:jc w:val="left"/>
              <w:rPr>
                <w:noProof/>
                <w:szCs w:val="24"/>
              </w:rPr>
            </w:pPr>
            <w:r w:rsidRPr="00B93B0D">
              <w:rPr>
                <w:noProof/>
                <w:szCs w:val="24"/>
              </w:rPr>
              <w:t xml:space="preserve">Division 28 (Manufacture of </w:t>
            </w:r>
            <w:r w:rsidRPr="00B93B0D">
              <w:rPr>
                <w:noProof/>
                <w:szCs w:val="24"/>
              </w:rPr>
              <w:lastRenderedPageBreak/>
              <w:t>machinery and equipment),</w:t>
            </w:r>
          </w:p>
          <w:p w:rsidR="001A62D7" w:rsidRPr="00B93B0D" w:rsidRDefault="002A70E5" w:rsidP="002A70E5">
            <w:pPr>
              <w:spacing w:before="60" w:after="60"/>
              <w:ind w:rightChars="192" w:right="461"/>
              <w:jc w:val="left"/>
              <w:rPr>
                <w:rFonts w:eastAsia="Calibri"/>
                <w:noProof/>
              </w:rPr>
            </w:pPr>
            <w:r w:rsidRPr="00B93B0D">
              <w:rPr>
                <w:noProof/>
                <w:szCs w:val="24"/>
              </w:rPr>
              <w:t>Division 29 (Manufacture of motor vehicles, trailers and semi-trailers), Division 74 (Other professional, scientific and technical activities)</w:t>
            </w:r>
          </w:p>
        </w:tc>
      </w:tr>
      <w:tr w:rsidR="001A62D7" w:rsidRPr="00B93B0D" w:rsidTr="001D5990">
        <w:tc>
          <w:tcPr>
            <w:tcW w:w="4908" w:type="dxa"/>
            <w:tcBorders>
              <w:bottom w:val="single"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lastRenderedPageBreak/>
              <w:t>Reference period (</w:t>
            </w:r>
            <w:r w:rsidR="00CC0130" w:rsidRPr="00B93B0D">
              <w:rPr>
                <w:rFonts w:eastAsia="Calibri"/>
                <w:noProof/>
              </w:rPr>
              <w:t xml:space="preserve">four </w:t>
            </w:r>
            <w:r w:rsidRPr="00B93B0D">
              <w:rPr>
                <w:rFonts w:eastAsia="Calibri"/>
                <w:noProof/>
              </w:rPr>
              <w:t>months):</w:t>
            </w:r>
          </w:p>
        </w:tc>
        <w:tc>
          <w:tcPr>
            <w:tcW w:w="4379" w:type="dxa"/>
            <w:tcBorders>
              <w:bottom w:val="single" w:sz="4" w:space="0" w:color="auto"/>
            </w:tcBorders>
            <w:shd w:val="clear" w:color="auto" w:fill="auto"/>
          </w:tcPr>
          <w:p w:rsidR="001A62D7" w:rsidRPr="00B93B0D" w:rsidRDefault="002A70E5" w:rsidP="001D5990">
            <w:pPr>
              <w:spacing w:before="60" w:after="60"/>
              <w:ind w:rightChars="192" w:right="461"/>
              <w:jc w:val="left"/>
              <w:rPr>
                <w:rFonts w:eastAsia="Calibri"/>
                <w:noProof/>
              </w:rPr>
            </w:pPr>
            <w:r w:rsidRPr="00B93B0D">
              <w:rPr>
                <w:noProof/>
              </w:rPr>
              <w:t>15 September 2025</w:t>
            </w:r>
            <w:r w:rsidR="001A62D7" w:rsidRPr="00B93B0D">
              <w:rPr>
                <w:rFonts w:eastAsia="Calibri"/>
                <w:noProof/>
              </w:rPr>
              <w:t xml:space="preserve"> </w:t>
            </w:r>
            <w:r w:rsidRPr="00B93B0D">
              <w:rPr>
                <w:rFonts w:eastAsia="Calibri"/>
                <w:noProof/>
              </w:rPr>
              <w:t>–</w:t>
            </w:r>
            <w:r w:rsidR="001A62D7" w:rsidRPr="00B93B0D">
              <w:rPr>
                <w:rFonts w:eastAsia="Calibri"/>
                <w:noProof/>
              </w:rPr>
              <w:t xml:space="preserve"> </w:t>
            </w:r>
            <w:r w:rsidRPr="00B93B0D">
              <w:rPr>
                <w:noProof/>
              </w:rPr>
              <w:t>15 January 2026</w:t>
            </w:r>
          </w:p>
        </w:tc>
      </w:tr>
      <w:tr w:rsidR="001A62D7" w:rsidRPr="00B93B0D" w:rsidTr="001D5990">
        <w:tc>
          <w:tcPr>
            <w:tcW w:w="4908" w:type="dxa"/>
            <w:tcBorders>
              <w:bottom w:val="dotted" w:sz="4" w:space="0" w:color="auto"/>
            </w:tcBorders>
            <w:shd w:val="clear" w:color="auto" w:fill="auto"/>
          </w:tcPr>
          <w:p w:rsidR="001A62D7" w:rsidRPr="00B93B0D" w:rsidRDefault="001A62D7" w:rsidP="001D5990">
            <w:pPr>
              <w:spacing w:before="60" w:after="60"/>
              <w:jc w:val="left"/>
              <w:rPr>
                <w:rFonts w:eastAsia="Calibri"/>
                <w:noProof/>
                <w:highlight w:val="magenta"/>
              </w:rPr>
            </w:pPr>
            <w:r w:rsidRPr="00B93B0D">
              <w:rPr>
                <w:rFonts w:eastAsia="Calibri"/>
                <w:noProof/>
              </w:rPr>
              <w:t>Number of displacements during the reference period (</w:t>
            </w:r>
            <w:r w:rsidRPr="00B93B0D">
              <w:rPr>
                <w:rFonts w:eastAsia="Calibri"/>
                <w:i/>
                <w:noProof/>
              </w:rPr>
              <w:t>a</w:t>
            </w:r>
            <w:r w:rsidRPr="00B93B0D">
              <w:rPr>
                <w:rFonts w:eastAsia="Calibri"/>
                <w:noProof/>
              </w:rPr>
              <w:t>)</w:t>
            </w:r>
          </w:p>
        </w:tc>
        <w:tc>
          <w:tcPr>
            <w:tcW w:w="4379" w:type="dxa"/>
            <w:tcBorders>
              <w:bottom w:val="dotted" w:sz="4" w:space="0" w:color="auto"/>
            </w:tcBorders>
            <w:shd w:val="clear" w:color="auto" w:fill="auto"/>
          </w:tcPr>
          <w:p w:rsidR="001A62D7" w:rsidRPr="00B93B0D" w:rsidRDefault="002A70E5" w:rsidP="001D5990">
            <w:pPr>
              <w:spacing w:before="60" w:after="60"/>
              <w:ind w:rightChars="192" w:right="461"/>
              <w:jc w:val="left"/>
              <w:rPr>
                <w:rFonts w:eastAsia="Calibri"/>
                <w:noProof/>
                <w:highlight w:val="magenta"/>
              </w:rPr>
            </w:pPr>
            <w:r w:rsidRPr="00B93B0D">
              <w:rPr>
                <w:noProof/>
              </w:rPr>
              <w:t>313</w:t>
            </w:r>
          </w:p>
        </w:tc>
      </w:tr>
      <w:tr w:rsidR="001A62D7" w:rsidRPr="00B93B0D" w:rsidTr="001D5990">
        <w:tc>
          <w:tcPr>
            <w:tcW w:w="4908" w:type="dxa"/>
            <w:tcBorders>
              <w:top w:val="dotted" w:sz="4" w:space="0" w:color="auto"/>
              <w:bottom w:val="dotted" w:sz="4" w:space="0" w:color="auto"/>
            </w:tcBorders>
            <w:shd w:val="clear" w:color="auto" w:fill="auto"/>
          </w:tcPr>
          <w:p w:rsidR="001A62D7" w:rsidRPr="00B93B0D" w:rsidRDefault="001A62D7" w:rsidP="001D5990">
            <w:pPr>
              <w:spacing w:before="60" w:after="60"/>
              <w:jc w:val="left"/>
              <w:rPr>
                <w:rFonts w:eastAsia="Calibri"/>
                <w:noProof/>
                <w:highlight w:val="magenta"/>
              </w:rPr>
            </w:pPr>
            <w:r w:rsidRPr="00B93B0D">
              <w:rPr>
                <w:rFonts w:eastAsia="Calibri"/>
                <w:noProof/>
              </w:rPr>
              <w:t>Number of displacements before or after the reference period (</w:t>
            </w:r>
            <w:r w:rsidRPr="00B93B0D">
              <w:rPr>
                <w:rFonts w:eastAsia="Calibri"/>
                <w:i/>
                <w:noProof/>
              </w:rPr>
              <w:t>b</w:t>
            </w:r>
            <w:r w:rsidRPr="00B93B0D">
              <w:rPr>
                <w:rFonts w:eastAsia="Calibri"/>
                <w:noProof/>
              </w:rPr>
              <w:t>)</w:t>
            </w:r>
          </w:p>
        </w:tc>
        <w:tc>
          <w:tcPr>
            <w:tcW w:w="4379" w:type="dxa"/>
            <w:tcBorders>
              <w:top w:val="dotted" w:sz="4" w:space="0" w:color="auto"/>
              <w:bottom w:val="dotted" w:sz="4" w:space="0" w:color="auto"/>
            </w:tcBorders>
            <w:shd w:val="clear" w:color="auto" w:fill="auto"/>
          </w:tcPr>
          <w:p w:rsidR="001A62D7" w:rsidRPr="00B93B0D" w:rsidRDefault="002A70E5" w:rsidP="001D5990">
            <w:pPr>
              <w:spacing w:before="60" w:after="60"/>
              <w:ind w:rightChars="192" w:right="461"/>
              <w:jc w:val="left"/>
              <w:rPr>
                <w:rFonts w:eastAsia="Calibri"/>
                <w:noProof/>
              </w:rPr>
            </w:pPr>
            <w:r w:rsidRPr="00B93B0D">
              <w:rPr>
                <w:noProof/>
              </w:rPr>
              <w:t>358</w:t>
            </w:r>
          </w:p>
        </w:tc>
      </w:tr>
      <w:tr w:rsidR="001A62D7" w:rsidRPr="00B93B0D" w:rsidTr="001D5990">
        <w:tc>
          <w:tcPr>
            <w:tcW w:w="4908" w:type="dxa"/>
            <w:tcBorders>
              <w:top w:val="dotted" w:sz="4" w:space="0" w:color="auto"/>
              <w:bottom w:val="single"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Total number of displacements (</w:t>
            </w:r>
            <w:r w:rsidRPr="00B93B0D">
              <w:rPr>
                <w:rFonts w:eastAsia="Calibri"/>
                <w:i/>
                <w:noProof/>
              </w:rPr>
              <w:t>a</w:t>
            </w:r>
            <w:r w:rsidRPr="00B93B0D">
              <w:rPr>
                <w:rFonts w:eastAsia="Calibri"/>
                <w:noProof/>
              </w:rPr>
              <w:t xml:space="preserve"> + </w:t>
            </w:r>
            <w:r w:rsidRPr="00B93B0D">
              <w:rPr>
                <w:rFonts w:eastAsia="Calibri"/>
                <w:i/>
                <w:noProof/>
              </w:rPr>
              <w:t>b</w:t>
            </w:r>
            <w:r w:rsidRPr="00B93B0D">
              <w:rPr>
                <w:rFonts w:eastAsia="Calibri"/>
                <w:noProof/>
              </w:rPr>
              <w:t>)</w:t>
            </w:r>
          </w:p>
        </w:tc>
        <w:tc>
          <w:tcPr>
            <w:tcW w:w="4379" w:type="dxa"/>
            <w:tcBorders>
              <w:top w:val="dotted" w:sz="4" w:space="0" w:color="auto"/>
              <w:bottom w:val="single" w:sz="4" w:space="0" w:color="auto"/>
            </w:tcBorders>
            <w:shd w:val="clear" w:color="auto" w:fill="auto"/>
          </w:tcPr>
          <w:p w:rsidR="001A62D7" w:rsidRPr="00B93B0D" w:rsidRDefault="002A70E5" w:rsidP="001D5990">
            <w:pPr>
              <w:spacing w:before="60" w:after="60"/>
              <w:ind w:rightChars="192" w:right="461"/>
              <w:jc w:val="left"/>
              <w:rPr>
                <w:rFonts w:eastAsia="Calibri"/>
                <w:noProof/>
              </w:rPr>
            </w:pPr>
            <w:r w:rsidRPr="00B93B0D">
              <w:rPr>
                <w:noProof/>
              </w:rPr>
              <w:t>671</w:t>
            </w:r>
          </w:p>
        </w:tc>
      </w:tr>
      <w:tr w:rsidR="001A62D7" w:rsidRPr="00B93B0D" w:rsidTr="001D5990">
        <w:tc>
          <w:tcPr>
            <w:tcW w:w="4908" w:type="dxa"/>
            <w:tcBorders>
              <w:bottom w:val="dotted"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Total number of eligible beneficiaries</w:t>
            </w:r>
          </w:p>
        </w:tc>
        <w:tc>
          <w:tcPr>
            <w:tcW w:w="4379" w:type="dxa"/>
            <w:tcBorders>
              <w:bottom w:val="dotted" w:sz="4" w:space="0" w:color="auto"/>
            </w:tcBorders>
            <w:shd w:val="clear" w:color="auto" w:fill="auto"/>
          </w:tcPr>
          <w:p w:rsidR="001A62D7" w:rsidRPr="00B93B0D" w:rsidRDefault="002A70E5" w:rsidP="001D5990">
            <w:pPr>
              <w:spacing w:before="60" w:after="60"/>
              <w:ind w:rightChars="192" w:right="461"/>
              <w:jc w:val="left"/>
              <w:rPr>
                <w:rFonts w:eastAsia="Calibri"/>
                <w:noProof/>
              </w:rPr>
            </w:pPr>
            <w:r w:rsidRPr="00B93B0D">
              <w:rPr>
                <w:noProof/>
              </w:rPr>
              <w:t>671</w:t>
            </w:r>
          </w:p>
        </w:tc>
      </w:tr>
      <w:tr w:rsidR="001A62D7" w:rsidRPr="00B93B0D" w:rsidTr="001D5990">
        <w:tc>
          <w:tcPr>
            <w:tcW w:w="4908" w:type="dxa"/>
            <w:tcBorders>
              <w:top w:val="dotted" w:sz="4" w:space="0" w:color="auto"/>
              <w:bottom w:val="dotted" w:sz="4" w:space="0" w:color="auto"/>
            </w:tcBorders>
            <w:shd w:val="clear" w:color="auto" w:fill="auto"/>
          </w:tcPr>
          <w:p w:rsidR="001A62D7" w:rsidRPr="00B93B0D" w:rsidRDefault="001A62D7" w:rsidP="001D5990">
            <w:pPr>
              <w:spacing w:before="60" w:after="60"/>
              <w:jc w:val="left"/>
              <w:rPr>
                <w:rFonts w:eastAsia="Calibri"/>
                <w:noProof/>
              </w:rPr>
            </w:pPr>
            <w:r w:rsidRPr="00B93B0D">
              <w:rPr>
                <w:rFonts w:eastAsia="Calibri"/>
                <w:noProof/>
              </w:rPr>
              <w:t>Total number of targeted beneficiaries</w:t>
            </w:r>
          </w:p>
        </w:tc>
        <w:tc>
          <w:tcPr>
            <w:tcW w:w="4379" w:type="dxa"/>
            <w:tcBorders>
              <w:top w:val="dotted" w:sz="4" w:space="0" w:color="auto"/>
              <w:bottom w:val="dotted" w:sz="4" w:space="0" w:color="auto"/>
            </w:tcBorders>
            <w:shd w:val="clear" w:color="auto" w:fill="auto"/>
          </w:tcPr>
          <w:p w:rsidR="001A62D7" w:rsidRPr="00B93B0D" w:rsidRDefault="002A70E5" w:rsidP="001D5990">
            <w:pPr>
              <w:spacing w:before="60" w:after="60"/>
              <w:ind w:rightChars="192" w:right="461"/>
              <w:jc w:val="left"/>
              <w:rPr>
                <w:rFonts w:eastAsia="Calibri"/>
                <w:noProof/>
              </w:rPr>
            </w:pPr>
            <w:r w:rsidRPr="00B93B0D">
              <w:rPr>
                <w:noProof/>
              </w:rPr>
              <w:t>400</w:t>
            </w:r>
          </w:p>
        </w:tc>
      </w:tr>
      <w:tr w:rsidR="001A62D7" w:rsidRPr="00B93B0D" w:rsidTr="001D5990">
        <w:tc>
          <w:tcPr>
            <w:tcW w:w="4908" w:type="dxa"/>
            <w:tcBorders>
              <w:bottom w:val="dotted" w:sz="4" w:space="0" w:color="auto"/>
            </w:tcBorders>
            <w:shd w:val="clear" w:color="auto" w:fill="auto"/>
            <w:vAlign w:val="center"/>
          </w:tcPr>
          <w:p w:rsidR="001A62D7" w:rsidRPr="00B93B0D" w:rsidRDefault="001A62D7" w:rsidP="001D5990">
            <w:pPr>
              <w:spacing w:before="0" w:after="0"/>
              <w:jc w:val="left"/>
              <w:rPr>
                <w:noProof/>
              </w:rPr>
            </w:pPr>
            <w:r w:rsidRPr="00B93B0D">
              <w:rPr>
                <w:noProof/>
              </w:rPr>
              <w:t>Budget for personalised services (EUR)</w:t>
            </w:r>
          </w:p>
        </w:tc>
        <w:tc>
          <w:tcPr>
            <w:tcW w:w="4379" w:type="dxa"/>
            <w:tcBorders>
              <w:bottom w:val="dotted" w:sz="4" w:space="0" w:color="auto"/>
            </w:tcBorders>
            <w:shd w:val="clear" w:color="auto" w:fill="auto"/>
            <w:vAlign w:val="center"/>
          </w:tcPr>
          <w:p w:rsidR="001A62D7" w:rsidRPr="00B93B0D" w:rsidRDefault="00044450" w:rsidP="001D5990">
            <w:pPr>
              <w:spacing w:before="0" w:after="0"/>
              <w:ind w:rightChars="192" w:right="461"/>
              <w:jc w:val="left"/>
              <w:rPr>
                <w:noProof/>
              </w:rPr>
            </w:pPr>
            <w:r w:rsidRPr="00B93B0D">
              <w:rPr>
                <w:noProof/>
              </w:rPr>
              <w:t>3 046 000</w:t>
            </w:r>
          </w:p>
        </w:tc>
      </w:tr>
      <w:tr w:rsidR="001A62D7" w:rsidRPr="00B93B0D" w:rsidTr="001D5990">
        <w:tc>
          <w:tcPr>
            <w:tcW w:w="4908" w:type="dxa"/>
            <w:tcBorders>
              <w:top w:val="dotted" w:sz="4" w:space="0" w:color="auto"/>
              <w:bottom w:val="dotted" w:sz="4" w:space="0" w:color="auto"/>
            </w:tcBorders>
            <w:shd w:val="clear" w:color="auto" w:fill="auto"/>
            <w:vAlign w:val="center"/>
          </w:tcPr>
          <w:p w:rsidR="001A62D7" w:rsidRPr="00B93B0D" w:rsidRDefault="001A62D7" w:rsidP="001D5990">
            <w:pPr>
              <w:spacing w:before="0" w:after="0"/>
              <w:jc w:val="left"/>
              <w:rPr>
                <w:noProof/>
              </w:rPr>
            </w:pPr>
            <w:r w:rsidRPr="00B93B0D">
              <w:rPr>
                <w:noProof/>
              </w:rPr>
              <w:t>Budget for implementing EGF</w:t>
            </w:r>
            <w:r w:rsidRPr="00B93B0D">
              <w:rPr>
                <w:rStyle w:val="FootnoteReference"/>
                <w:noProof/>
              </w:rPr>
              <w:footnoteReference w:id="4"/>
            </w:r>
            <w:r w:rsidRPr="00B93B0D">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B93B0D" w:rsidRDefault="00044450" w:rsidP="001D5990">
            <w:pPr>
              <w:spacing w:before="0" w:after="0"/>
              <w:ind w:rightChars="192" w:right="461"/>
              <w:jc w:val="left"/>
              <w:rPr>
                <w:noProof/>
              </w:rPr>
            </w:pPr>
            <w:r w:rsidRPr="00B93B0D">
              <w:rPr>
                <w:noProof/>
              </w:rPr>
              <w:t>160 000</w:t>
            </w:r>
          </w:p>
        </w:tc>
      </w:tr>
      <w:tr w:rsidR="001A62D7" w:rsidRPr="00B93B0D" w:rsidTr="001D5990">
        <w:tc>
          <w:tcPr>
            <w:tcW w:w="4908" w:type="dxa"/>
            <w:tcBorders>
              <w:top w:val="dotted" w:sz="4" w:space="0" w:color="auto"/>
              <w:bottom w:val="dotted" w:sz="4" w:space="0" w:color="auto"/>
            </w:tcBorders>
            <w:shd w:val="clear" w:color="auto" w:fill="auto"/>
            <w:vAlign w:val="center"/>
          </w:tcPr>
          <w:p w:rsidR="001A62D7" w:rsidRPr="00B93B0D" w:rsidRDefault="001A62D7" w:rsidP="001D5990">
            <w:pPr>
              <w:spacing w:before="0" w:after="0"/>
              <w:jc w:val="left"/>
              <w:rPr>
                <w:noProof/>
              </w:rPr>
            </w:pPr>
            <w:r w:rsidRPr="00B93B0D">
              <w:rPr>
                <w:noProof/>
              </w:rPr>
              <w:t>Total budget (EUR)</w:t>
            </w:r>
          </w:p>
        </w:tc>
        <w:tc>
          <w:tcPr>
            <w:tcW w:w="4379" w:type="dxa"/>
            <w:tcBorders>
              <w:top w:val="dotted" w:sz="4" w:space="0" w:color="auto"/>
              <w:bottom w:val="dotted" w:sz="4" w:space="0" w:color="auto"/>
            </w:tcBorders>
            <w:shd w:val="clear" w:color="auto" w:fill="auto"/>
            <w:vAlign w:val="center"/>
          </w:tcPr>
          <w:p w:rsidR="001A62D7" w:rsidRPr="00B93B0D" w:rsidRDefault="00044450" w:rsidP="001D5990">
            <w:pPr>
              <w:spacing w:before="0" w:after="0"/>
              <w:ind w:rightChars="192" w:right="461"/>
              <w:jc w:val="left"/>
              <w:rPr>
                <w:noProof/>
              </w:rPr>
            </w:pPr>
            <w:r w:rsidRPr="00B93B0D">
              <w:rPr>
                <w:noProof/>
              </w:rPr>
              <w:t>3 206 000</w:t>
            </w:r>
          </w:p>
        </w:tc>
      </w:tr>
      <w:tr w:rsidR="001A62D7" w:rsidRPr="00B93B0D" w:rsidTr="001D5990">
        <w:tc>
          <w:tcPr>
            <w:tcW w:w="4908" w:type="dxa"/>
            <w:tcBorders>
              <w:top w:val="dotted" w:sz="4" w:space="0" w:color="auto"/>
            </w:tcBorders>
            <w:shd w:val="clear" w:color="auto" w:fill="auto"/>
            <w:vAlign w:val="center"/>
          </w:tcPr>
          <w:p w:rsidR="001A62D7" w:rsidRPr="00B93B0D" w:rsidRDefault="001A62D7" w:rsidP="001D5990">
            <w:pPr>
              <w:spacing w:before="0" w:after="0"/>
              <w:jc w:val="left"/>
              <w:rPr>
                <w:noProof/>
              </w:rPr>
            </w:pPr>
            <w:r w:rsidRPr="00B93B0D">
              <w:rPr>
                <w:noProof/>
              </w:rPr>
              <w:t>EGF contribution (</w:t>
            </w:r>
            <w:r w:rsidR="00044450" w:rsidRPr="00B93B0D">
              <w:rPr>
                <w:noProof/>
              </w:rPr>
              <w:t>85</w:t>
            </w:r>
            <w:r w:rsidRPr="00B93B0D">
              <w:rPr>
                <w:noProof/>
              </w:rPr>
              <w:t> %) (EUR)</w:t>
            </w:r>
          </w:p>
        </w:tc>
        <w:tc>
          <w:tcPr>
            <w:tcW w:w="4379" w:type="dxa"/>
            <w:tcBorders>
              <w:top w:val="dotted" w:sz="4" w:space="0" w:color="auto"/>
            </w:tcBorders>
            <w:shd w:val="clear" w:color="auto" w:fill="auto"/>
            <w:vAlign w:val="center"/>
          </w:tcPr>
          <w:p w:rsidR="001A62D7" w:rsidRPr="00B93B0D" w:rsidRDefault="00044450" w:rsidP="001D5990">
            <w:pPr>
              <w:spacing w:before="0" w:after="0"/>
              <w:ind w:rightChars="192" w:right="461"/>
              <w:jc w:val="left"/>
              <w:rPr>
                <w:noProof/>
              </w:rPr>
            </w:pPr>
            <w:r w:rsidRPr="00B93B0D">
              <w:rPr>
                <w:noProof/>
              </w:rPr>
              <w:t>2 725 100</w:t>
            </w:r>
          </w:p>
        </w:tc>
      </w:tr>
    </w:tbl>
    <w:p w:rsidR="001A62D7" w:rsidRPr="00B93B0D" w:rsidRDefault="001A62D7" w:rsidP="001A62D7">
      <w:pPr>
        <w:pStyle w:val="ManualHeading1"/>
        <w:rPr>
          <w:noProof/>
        </w:rPr>
      </w:pPr>
      <w:r w:rsidRPr="00B93B0D">
        <w:rPr>
          <w:noProof/>
        </w:rPr>
        <w:t>ASSESSMENT OF THE APPLICATION</w:t>
      </w:r>
    </w:p>
    <w:p w:rsidR="001A62D7" w:rsidRPr="00B93B0D" w:rsidRDefault="001A62D7" w:rsidP="001A62D7">
      <w:pPr>
        <w:pStyle w:val="ManualHeading2"/>
        <w:rPr>
          <w:noProof/>
        </w:rPr>
      </w:pPr>
      <w:r w:rsidRPr="00B93B0D">
        <w:rPr>
          <w:noProof/>
        </w:rPr>
        <w:t>Procedure</w:t>
      </w:r>
    </w:p>
    <w:p w:rsidR="001A62D7" w:rsidRPr="00B93B0D" w:rsidRDefault="003421FC" w:rsidP="00AE7D04">
      <w:pPr>
        <w:pStyle w:val="ManualNumPar1"/>
        <w:rPr>
          <w:noProof/>
        </w:rPr>
      </w:pPr>
      <w:r>
        <w:rPr>
          <w:noProof/>
        </w:rPr>
        <w:t>4.</w:t>
      </w:r>
      <w:r>
        <w:rPr>
          <w:noProof/>
        </w:rPr>
        <w:tab/>
      </w:r>
      <w:r w:rsidRPr="00B93B0D">
        <w:rPr>
          <w:noProof/>
        </w:rPr>
        <w:t>Spain</w:t>
      </w:r>
      <w:r w:rsidR="001A62D7" w:rsidRPr="00B93B0D">
        <w:rPr>
          <w:noProof/>
        </w:rPr>
        <w:t xml:space="preserve"> submitted application EGF/</w:t>
      </w:r>
      <w:r w:rsidRPr="00B93B0D">
        <w:rPr>
          <w:noProof/>
        </w:rPr>
        <w:t>2026</w:t>
      </w:r>
      <w:r w:rsidR="001A62D7" w:rsidRPr="00B93B0D">
        <w:rPr>
          <w:noProof/>
        </w:rPr>
        <w:t>/</w:t>
      </w:r>
      <w:r w:rsidRPr="00B93B0D">
        <w:rPr>
          <w:noProof/>
        </w:rPr>
        <w:t>002</w:t>
      </w:r>
      <w:r w:rsidR="001A62D7" w:rsidRPr="00B93B0D">
        <w:rPr>
          <w:noProof/>
        </w:rPr>
        <w:t> </w:t>
      </w:r>
      <w:r w:rsidRPr="00B93B0D">
        <w:rPr>
          <w:noProof/>
        </w:rPr>
        <w:t>ES</w:t>
      </w:r>
      <w:r w:rsidR="001A62D7" w:rsidRPr="00B93B0D">
        <w:rPr>
          <w:noProof/>
        </w:rPr>
        <w:t>/</w:t>
      </w:r>
      <w:r w:rsidRPr="00B93B0D">
        <w:rPr>
          <w:noProof/>
        </w:rPr>
        <w:t>Galicia automotive ancillary</w:t>
      </w:r>
      <w:r w:rsidR="001A62D7" w:rsidRPr="00B93B0D">
        <w:rPr>
          <w:noProof/>
        </w:rPr>
        <w:t xml:space="preserve"> within 12 weeks of the date on which the intervention criteria set out in Article 4 </w:t>
      </w:r>
      <w:r w:rsidR="001A62D7" w:rsidRPr="00B93B0D">
        <w:rPr>
          <w:rFonts w:eastAsia="Calibri"/>
          <w:noProof/>
        </w:rPr>
        <w:t>(</w:t>
      </w:r>
      <w:r w:rsidR="00CC0130" w:rsidRPr="00B93B0D">
        <w:rPr>
          <w:rFonts w:eastAsia="Calibri"/>
          <w:noProof/>
        </w:rPr>
        <w:t>2)</w:t>
      </w:r>
      <w:r w:rsidR="008F1D16" w:rsidRPr="00B93B0D">
        <w:rPr>
          <w:rFonts w:eastAsia="Calibri"/>
          <w:noProof/>
        </w:rPr>
        <w:t xml:space="preserve">, point </w:t>
      </w:r>
      <w:r w:rsidR="00CC0130" w:rsidRPr="00B93B0D">
        <w:rPr>
          <w:rFonts w:eastAsia="Calibri"/>
          <w:noProof/>
        </w:rPr>
        <w:t>(c)</w:t>
      </w:r>
      <w:r w:rsidR="001A62D7" w:rsidRPr="00B93B0D">
        <w:rPr>
          <w:rFonts w:eastAsia="Calibri"/>
          <w:noProof/>
        </w:rPr>
        <w:t xml:space="preserve"> </w:t>
      </w:r>
      <w:r w:rsidR="001A62D7" w:rsidRPr="00B93B0D">
        <w:rPr>
          <w:noProof/>
        </w:rPr>
        <w:t xml:space="preserve">of Regulation (EU) 2021/691 were met, on </w:t>
      </w:r>
      <w:r w:rsidRPr="00B93B0D">
        <w:rPr>
          <w:noProof/>
        </w:rPr>
        <w:t>7 April 2026</w:t>
      </w:r>
      <w:r w:rsidR="001A62D7" w:rsidRPr="00B93B0D">
        <w:rPr>
          <w:noProof/>
        </w:rPr>
        <w:t xml:space="preserve">. The Commission acknowledged receipt of the application and requested additional information from </w:t>
      </w:r>
      <w:r w:rsidRPr="00B93B0D">
        <w:rPr>
          <w:noProof/>
        </w:rPr>
        <w:t>Spain</w:t>
      </w:r>
      <w:r w:rsidR="001A62D7" w:rsidRPr="00B93B0D">
        <w:rPr>
          <w:noProof/>
        </w:rPr>
        <w:t xml:space="preserve"> on </w:t>
      </w:r>
      <w:r w:rsidR="00A10F73" w:rsidRPr="00B93B0D">
        <w:rPr>
          <w:noProof/>
        </w:rPr>
        <w:t>21 April 2026</w:t>
      </w:r>
      <w:r w:rsidR="001A62D7" w:rsidRPr="00B93B0D">
        <w:rPr>
          <w:noProof/>
        </w:rPr>
        <w:t>. Such additional information was provided within 15 working days</w:t>
      </w:r>
      <w:r w:rsidR="00CC0130" w:rsidRPr="00B93B0D">
        <w:rPr>
          <w:noProof/>
        </w:rPr>
        <w:t xml:space="preserve"> </w:t>
      </w:r>
      <w:r w:rsidR="001A62D7" w:rsidRPr="00B93B0D">
        <w:rPr>
          <w:noProof/>
        </w:rPr>
        <w:t>of the request</w:t>
      </w:r>
      <w:r w:rsidR="00CC0130" w:rsidRPr="00B93B0D">
        <w:rPr>
          <w:noProof/>
        </w:rPr>
        <w:t>.</w:t>
      </w:r>
      <w:r w:rsidR="001A62D7" w:rsidRPr="00B93B0D">
        <w:rPr>
          <w:noProof/>
        </w:rPr>
        <w:t xml:space="preserve"> The deadline of 50 working days of the receipt of the complete application within which the Commission should finalise its assessment of the application's compliance with the conditions for providing a financial contribution expires on </w:t>
      </w:r>
      <w:r w:rsidR="00A10F73" w:rsidRPr="00B93B0D">
        <w:rPr>
          <w:noProof/>
        </w:rPr>
        <w:t>28 July 2026</w:t>
      </w:r>
      <w:r w:rsidR="001A62D7" w:rsidRPr="00B93B0D">
        <w:rPr>
          <w:noProof/>
        </w:rPr>
        <w:t xml:space="preserve">. </w:t>
      </w:r>
    </w:p>
    <w:p w:rsidR="001A62D7" w:rsidRPr="00B93B0D" w:rsidRDefault="001A62D7" w:rsidP="001A62D7">
      <w:pPr>
        <w:pStyle w:val="ManualHeading2"/>
        <w:rPr>
          <w:noProof/>
        </w:rPr>
      </w:pPr>
      <w:r w:rsidRPr="00B93B0D">
        <w:rPr>
          <w:noProof/>
        </w:rPr>
        <w:t>Eligibility of the application</w:t>
      </w:r>
    </w:p>
    <w:p w:rsidR="001A62D7" w:rsidRPr="00B93B0D" w:rsidRDefault="001A62D7" w:rsidP="001A62D7">
      <w:pPr>
        <w:pStyle w:val="ManualHeading3"/>
        <w:rPr>
          <w:noProof/>
        </w:rPr>
      </w:pPr>
      <w:r w:rsidRPr="00B93B0D">
        <w:rPr>
          <w:noProof/>
        </w:rPr>
        <w:t>Enterprises and beneficiaries concerned</w:t>
      </w:r>
    </w:p>
    <w:p w:rsidR="001A62D7" w:rsidRPr="00B93B0D" w:rsidRDefault="001A62D7" w:rsidP="00AE7D04">
      <w:pPr>
        <w:pStyle w:val="ManualNumPar1"/>
        <w:rPr>
          <w:noProof/>
          <w:szCs w:val="24"/>
        </w:rPr>
      </w:pPr>
      <w:r>
        <w:rPr>
          <w:noProof/>
        </w:rPr>
        <w:t>5.</w:t>
      </w:r>
      <w:r>
        <w:rPr>
          <w:noProof/>
        </w:rPr>
        <w:tab/>
      </w:r>
      <w:r w:rsidRPr="00B93B0D">
        <w:rPr>
          <w:noProof/>
        </w:rPr>
        <w:t xml:space="preserve">The application relates to </w:t>
      </w:r>
      <w:r w:rsidR="00A10F73" w:rsidRPr="00B93B0D">
        <w:rPr>
          <w:noProof/>
        </w:rPr>
        <w:t>313</w:t>
      </w:r>
      <w:r w:rsidRPr="00B93B0D">
        <w:rPr>
          <w:noProof/>
        </w:rPr>
        <w:t xml:space="preserve"> workers whose activity has ceased in </w:t>
      </w:r>
      <w:r w:rsidR="00B93B0D" w:rsidRPr="00B93B0D">
        <w:rPr>
          <w:noProof/>
        </w:rPr>
        <w:t xml:space="preserve">the </w:t>
      </w:r>
      <w:r w:rsidR="003421FC" w:rsidRPr="00B93B0D">
        <w:rPr>
          <w:noProof/>
          <w:szCs w:val="24"/>
        </w:rPr>
        <w:t>automotive ancillary</w:t>
      </w:r>
      <w:r w:rsidRPr="00B93B0D">
        <w:rPr>
          <w:noProof/>
          <w:szCs w:val="24"/>
        </w:rPr>
        <w:t xml:space="preserve"> secto</w:t>
      </w:r>
      <w:r w:rsidR="00FB1E28" w:rsidRPr="00B93B0D">
        <w:rPr>
          <w:noProof/>
          <w:szCs w:val="24"/>
        </w:rPr>
        <w:t>rs</w:t>
      </w:r>
      <w:r w:rsidR="00B93B0D" w:rsidRPr="00B93B0D">
        <w:rPr>
          <w:noProof/>
          <w:szCs w:val="24"/>
        </w:rPr>
        <w:t xml:space="preserve"> listed in the above sum</w:t>
      </w:r>
      <w:r w:rsidR="0052597B">
        <w:rPr>
          <w:noProof/>
          <w:szCs w:val="24"/>
        </w:rPr>
        <w:t>m</w:t>
      </w:r>
      <w:r w:rsidR="00B93B0D" w:rsidRPr="00B93B0D">
        <w:rPr>
          <w:noProof/>
          <w:szCs w:val="24"/>
        </w:rPr>
        <w:t>ary</w:t>
      </w:r>
      <w:r w:rsidRPr="00B93B0D">
        <w:rPr>
          <w:noProof/>
          <w:szCs w:val="24"/>
        </w:rPr>
        <w:t>.</w:t>
      </w:r>
      <w:r w:rsidR="004A34B9" w:rsidRPr="00B93B0D">
        <w:rPr>
          <w:noProof/>
          <w:szCs w:val="24"/>
        </w:rPr>
        <w:t xml:space="preserve"> </w:t>
      </w:r>
      <w:r w:rsidRPr="00B93B0D">
        <w:rPr>
          <w:noProof/>
        </w:rPr>
        <w:t xml:space="preserve">The </w:t>
      </w:r>
      <w:r w:rsidR="00BF33E4" w:rsidRPr="00B93B0D">
        <w:rPr>
          <w:noProof/>
        </w:rPr>
        <w:t xml:space="preserve">jobs displaced </w:t>
      </w:r>
      <w:r w:rsidRPr="00B93B0D">
        <w:rPr>
          <w:noProof/>
        </w:rPr>
        <w:t xml:space="preserve">are located in the NUTS 2 region of </w:t>
      </w:r>
      <w:r w:rsidR="00FB1E28" w:rsidRPr="00B93B0D">
        <w:rPr>
          <w:noProof/>
          <w:szCs w:val="24"/>
        </w:rPr>
        <w:t>Galicia</w:t>
      </w:r>
      <w:r w:rsidRPr="00B93B0D">
        <w:rPr>
          <w:noProof/>
          <w:szCs w:val="24"/>
        </w:rPr>
        <w:t xml:space="preserve"> (</w:t>
      </w:r>
      <w:r w:rsidR="00FB1E28" w:rsidRPr="00B93B0D">
        <w:rPr>
          <w:noProof/>
          <w:szCs w:val="24"/>
        </w:rPr>
        <w:t>ES11</w:t>
      </w:r>
      <w:r w:rsidRPr="00B93B0D">
        <w:rPr>
          <w:noProof/>
          <w:szCs w:val="24"/>
        </w:rPr>
        <w:t>).</w:t>
      </w:r>
    </w:p>
    <w:tbl>
      <w:tblPr>
        <w:tblW w:w="8340"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6"/>
        <w:gridCol w:w="144"/>
        <w:gridCol w:w="360"/>
        <w:gridCol w:w="2940"/>
        <w:gridCol w:w="667"/>
        <w:gridCol w:w="533"/>
      </w:tblGrid>
      <w:tr w:rsidR="001A62D7" w:rsidRPr="00B93B0D" w:rsidTr="001D5990">
        <w:trPr>
          <w:trHeight w:val="284"/>
          <w:tblHeader/>
        </w:trPr>
        <w:tc>
          <w:tcPr>
            <w:tcW w:w="8340" w:type="dxa"/>
            <w:gridSpan w:val="6"/>
            <w:shd w:val="clear" w:color="auto" w:fill="D9D9D9" w:themeFill="background1" w:themeFillShade="D9"/>
          </w:tcPr>
          <w:p w:rsidR="001A62D7" w:rsidRPr="00B93B0D" w:rsidRDefault="001A62D7" w:rsidP="001D5990">
            <w:pPr>
              <w:spacing w:beforeLines="20" w:before="48" w:afterLines="20" w:after="48" w:line="276" w:lineRule="auto"/>
              <w:ind w:left="57"/>
              <w:jc w:val="center"/>
              <w:rPr>
                <w:rFonts w:eastAsia="Calibri"/>
                <w:noProof/>
                <w:szCs w:val="24"/>
              </w:rPr>
            </w:pPr>
            <w:r w:rsidRPr="00B93B0D">
              <w:rPr>
                <w:rFonts w:eastAsia="Calibri"/>
                <w:b/>
                <w:noProof/>
                <w:szCs w:val="24"/>
              </w:rPr>
              <w:t>Enterprises and number of displacements within the reference period</w:t>
            </w:r>
          </w:p>
        </w:tc>
      </w:tr>
      <w:tr w:rsidR="00343140" w:rsidRPr="00B93B0D" w:rsidTr="004D6E0D">
        <w:tc>
          <w:tcPr>
            <w:tcW w:w="3696" w:type="dxa"/>
            <w:tcBorders>
              <w:bottom w:val="dotted" w:sz="4" w:space="0" w:color="auto"/>
              <w:right w:val="dotted" w:sz="4" w:space="0" w:color="auto"/>
            </w:tcBorders>
            <w:shd w:val="clear" w:color="auto" w:fill="auto"/>
          </w:tcPr>
          <w:p w:rsidR="00343140" w:rsidRPr="00DE674B" w:rsidRDefault="00343140" w:rsidP="00343140">
            <w:pPr>
              <w:spacing w:before="0" w:after="0"/>
              <w:ind w:right="252"/>
              <w:jc w:val="left"/>
              <w:rPr>
                <w:noProof/>
                <w:sz w:val="20"/>
                <w:szCs w:val="20"/>
                <w:lang w:val="it-IT"/>
              </w:rPr>
            </w:pPr>
            <w:r w:rsidRPr="00DE674B">
              <w:rPr>
                <w:noProof/>
                <w:color w:val="000000"/>
                <w:sz w:val="20"/>
                <w:szCs w:val="20"/>
                <w:lang w:val="it-IT"/>
              </w:rPr>
              <w:t>AKWEL VIGO SPAIN, S.L.</w:t>
            </w:r>
          </w:p>
        </w:tc>
        <w:tc>
          <w:tcPr>
            <w:tcW w:w="504" w:type="dxa"/>
            <w:gridSpan w:val="2"/>
            <w:tcBorders>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85</w:t>
            </w:r>
          </w:p>
        </w:tc>
        <w:tc>
          <w:tcPr>
            <w:tcW w:w="3607" w:type="dxa"/>
            <w:gridSpan w:val="2"/>
            <w:tcBorders>
              <w:bottom w:val="dotted" w:sz="4" w:space="0" w:color="auto"/>
              <w:right w:val="dotted" w:sz="4" w:space="0" w:color="auto"/>
            </w:tcBorders>
            <w:shd w:val="clear" w:color="auto" w:fill="auto"/>
          </w:tcPr>
          <w:p w:rsidR="00343140" w:rsidRPr="00DE674B" w:rsidRDefault="00343140" w:rsidP="00343140">
            <w:pPr>
              <w:spacing w:before="0" w:after="0"/>
              <w:jc w:val="left"/>
              <w:rPr>
                <w:noProof/>
                <w:sz w:val="20"/>
                <w:szCs w:val="20"/>
                <w:lang w:val="es-ES"/>
              </w:rPr>
            </w:pPr>
            <w:r w:rsidRPr="00DE674B">
              <w:rPr>
                <w:noProof/>
                <w:color w:val="000000"/>
                <w:sz w:val="20"/>
                <w:szCs w:val="20"/>
                <w:lang w:val="es-ES"/>
              </w:rPr>
              <w:t xml:space="preserve">METALES Y MUEBLES ESPECIALES SL </w:t>
            </w:r>
          </w:p>
        </w:tc>
        <w:tc>
          <w:tcPr>
            <w:tcW w:w="533" w:type="dxa"/>
            <w:tcBorders>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5</w:t>
            </w:r>
          </w:p>
        </w:tc>
      </w:tr>
      <w:tr w:rsidR="00343140" w:rsidRPr="00B93B0D" w:rsidTr="004D6E0D">
        <w:trPr>
          <w:trHeight w:val="138"/>
        </w:trPr>
        <w:tc>
          <w:tcPr>
            <w:tcW w:w="3696" w:type="dxa"/>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ALUMAN SISTEMAS, S.L.</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3</w:t>
            </w:r>
          </w:p>
        </w:tc>
        <w:tc>
          <w:tcPr>
            <w:tcW w:w="3607" w:type="dxa"/>
            <w:gridSpan w:val="2"/>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NERVION INDUSTRIES, ENGINEERING AND SERVICES SL</w:t>
            </w:r>
          </w:p>
        </w:tc>
        <w:tc>
          <w:tcPr>
            <w:tcW w:w="533" w:type="dxa"/>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4</w:t>
            </w:r>
          </w:p>
        </w:tc>
      </w:tr>
      <w:tr w:rsidR="00343140" w:rsidRPr="00B93B0D" w:rsidTr="004D6E0D">
        <w:tc>
          <w:tcPr>
            <w:tcW w:w="3696" w:type="dxa"/>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BORGWARNER EMISSIONS SYSTEMS SPAIN SL</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39</w:t>
            </w:r>
          </w:p>
        </w:tc>
        <w:tc>
          <w:tcPr>
            <w:tcW w:w="3607" w:type="dxa"/>
            <w:gridSpan w:val="2"/>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OFFSHORE WINDWAVES, SL</w:t>
            </w:r>
          </w:p>
        </w:tc>
        <w:tc>
          <w:tcPr>
            <w:tcW w:w="533" w:type="dxa"/>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6</w:t>
            </w:r>
          </w:p>
        </w:tc>
      </w:tr>
      <w:tr w:rsidR="00343140" w:rsidRPr="00B93B0D" w:rsidTr="004D6E0D">
        <w:tc>
          <w:tcPr>
            <w:tcW w:w="3696" w:type="dxa"/>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CABLERÍAS AUTO, S.L</w:t>
            </w:r>
            <w:r w:rsidR="004A34B9" w:rsidRPr="00B93B0D">
              <w:rPr>
                <w:noProof/>
                <w:color w:val="000000"/>
                <w:sz w:val="20"/>
                <w:szCs w:val="20"/>
              </w:rPr>
              <w:t>.</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2</w:t>
            </w:r>
          </w:p>
        </w:tc>
        <w:tc>
          <w:tcPr>
            <w:tcW w:w="3607" w:type="dxa"/>
            <w:gridSpan w:val="2"/>
            <w:tcBorders>
              <w:top w:val="dotted" w:sz="4" w:space="0" w:color="auto"/>
              <w:bottom w:val="dotted" w:sz="4" w:space="0" w:color="auto"/>
              <w:right w:val="dotted" w:sz="4" w:space="0" w:color="auto"/>
            </w:tcBorders>
            <w:shd w:val="clear" w:color="auto" w:fill="auto"/>
          </w:tcPr>
          <w:p w:rsidR="00343140" w:rsidRPr="0052597B" w:rsidRDefault="00343140" w:rsidP="00343140">
            <w:pPr>
              <w:spacing w:before="0" w:after="0"/>
              <w:jc w:val="left"/>
              <w:rPr>
                <w:noProof/>
                <w:sz w:val="20"/>
                <w:szCs w:val="20"/>
                <w:lang w:val="fr-FR"/>
              </w:rPr>
            </w:pPr>
            <w:r w:rsidRPr="0052597B">
              <w:rPr>
                <w:noProof/>
                <w:color w:val="000000"/>
                <w:sz w:val="20"/>
                <w:szCs w:val="20"/>
                <w:lang w:val="fr-FR"/>
              </w:rPr>
              <w:t>PEUGEOT CITROEN AUTOMOVILES ESPAÑA, SA</w:t>
            </w:r>
          </w:p>
        </w:tc>
        <w:tc>
          <w:tcPr>
            <w:tcW w:w="533" w:type="dxa"/>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6</w:t>
            </w:r>
          </w:p>
        </w:tc>
      </w:tr>
      <w:tr w:rsidR="00343140" w:rsidRPr="00B93B0D" w:rsidTr="004D6E0D">
        <w:tc>
          <w:tcPr>
            <w:tcW w:w="3696" w:type="dxa"/>
            <w:tcBorders>
              <w:top w:val="dotted" w:sz="4" w:space="0" w:color="auto"/>
              <w:bottom w:val="dotted" w:sz="4" w:space="0" w:color="auto"/>
              <w:right w:val="dotted" w:sz="4" w:space="0" w:color="auto"/>
            </w:tcBorders>
            <w:shd w:val="clear" w:color="auto" w:fill="auto"/>
          </w:tcPr>
          <w:p w:rsidR="00343140" w:rsidRPr="00DE674B" w:rsidRDefault="00343140" w:rsidP="00343140">
            <w:pPr>
              <w:spacing w:before="0" w:after="0"/>
              <w:jc w:val="left"/>
              <w:rPr>
                <w:noProof/>
                <w:sz w:val="20"/>
                <w:szCs w:val="20"/>
                <w:lang w:val="es-ES"/>
              </w:rPr>
            </w:pPr>
            <w:r w:rsidRPr="00DE674B">
              <w:rPr>
                <w:noProof/>
                <w:color w:val="000000"/>
                <w:sz w:val="20"/>
                <w:szCs w:val="20"/>
                <w:lang w:val="es-ES"/>
              </w:rPr>
              <w:lastRenderedPageBreak/>
              <w:t>CENTRO TECNOLÓGICO DE AUTOMOCIÓN DE GALICIA (CTAG)</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32</w:t>
            </w:r>
          </w:p>
        </w:tc>
        <w:tc>
          <w:tcPr>
            <w:tcW w:w="3607" w:type="dxa"/>
            <w:gridSpan w:val="2"/>
            <w:tcBorders>
              <w:top w:val="dotted" w:sz="4" w:space="0" w:color="auto"/>
              <w:bottom w:val="dotted" w:sz="4" w:space="0" w:color="auto"/>
              <w:right w:val="dotted" w:sz="4" w:space="0" w:color="auto"/>
            </w:tcBorders>
            <w:shd w:val="clear" w:color="auto" w:fill="auto"/>
          </w:tcPr>
          <w:p w:rsidR="00343140" w:rsidRPr="00DE674B" w:rsidRDefault="00343140" w:rsidP="00343140">
            <w:pPr>
              <w:spacing w:before="0" w:after="0"/>
              <w:jc w:val="left"/>
              <w:rPr>
                <w:noProof/>
                <w:sz w:val="20"/>
                <w:szCs w:val="20"/>
                <w:lang w:val="es-ES"/>
              </w:rPr>
            </w:pPr>
            <w:r w:rsidRPr="00DE674B">
              <w:rPr>
                <w:noProof/>
                <w:color w:val="000000"/>
                <w:sz w:val="20"/>
                <w:szCs w:val="20"/>
                <w:lang w:val="es-ES"/>
              </w:rPr>
              <w:t>PREFABRICACION Y MONTAJES DEL NOROESTE SA</w:t>
            </w:r>
          </w:p>
        </w:tc>
        <w:tc>
          <w:tcPr>
            <w:tcW w:w="533" w:type="dxa"/>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1</w:t>
            </w:r>
          </w:p>
        </w:tc>
      </w:tr>
      <w:tr w:rsidR="00343140" w:rsidRPr="00B93B0D" w:rsidTr="004D6E0D">
        <w:tc>
          <w:tcPr>
            <w:tcW w:w="3696" w:type="dxa"/>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DIMALNOX SL</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6</w:t>
            </w:r>
          </w:p>
        </w:tc>
        <w:tc>
          <w:tcPr>
            <w:tcW w:w="3607" w:type="dxa"/>
            <w:gridSpan w:val="2"/>
            <w:tcBorders>
              <w:top w:val="dotted" w:sz="4" w:space="0" w:color="auto"/>
              <w:bottom w:val="dotted" w:sz="4" w:space="0" w:color="auto"/>
              <w:right w:val="dotted" w:sz="4" w:space="0" w:color="auto"/>
            </w:tcBorders>
            <w:shd w:val="clear" w:color="auto" w:fill="auto"/>
          </w:tcPr>
          <w:p w:rsidR="00343140" w:rsidRPr="00DE674B" w:rsidRDefault="00343140" w:rsidP="00343140">
            <w:pPr>
              <w:spacing w:before="0" w:after="0"/>
              <w:jc w:val="left"/>
              <w:rPr>
                <w:noProof/>
                <w:sz w:val="20"/>
                <w:szCs w:val="20"/>
                <w:lang w:val="it-IT"/>
              </w:rPr>
            </w:pPr>
            <w:r w:rsidRPr="00DE674B">
              <w:rPr>
                <w:noProof/>
                <w:color w:val="000000"/>
                <w:sz w:val="20"/>
                <w:szCs w:val="20"/>
                <w:lang w:val="it-IT"/>
              </w:rPr>
              <w:t>RUBÍ AUTOMOTIVE GALICIA, S.A.U.</w:t>
            </w:r>
          </w:p>
        </w:tc>
        <w:tc>
          <w:tcPr>
            <w:tcW w:w="533" w:type="dxa"/>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szCs w:val="20"/>
              </w:rPr>
            </w:pPr>
            <w:r w:rsidRPr="00B93B0D">
              <w:rPr>
                <w:noProof/>
                <w:sz w:val="20"/>
                <w:szCs w:val="20"/>
              </w:rPr>
              <w:t>1</w:t>
            </w:r>
          </w:p>
        </w:tc>
      </w:tr>
      <w:tr w:rsidR="00343140" w:rsidRPr="00B93B0D" w:rsidTr="004D6E0D">
        <w:tc>
          <w:tcPr>
            <w:tcW w:w="3696" w:type="dxa"/>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GKN DRIVELINE VIGO SA</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1</w:t>
            </w:r>
          </w:p>
        </w:tc>
        <w:tc>
          <w:tcPr>
            <w:tcW w:w="3607" w:type="dxa"/>
            <w:gridSpan w:val="2"/>
            <w:tcBorders>
              <w:top w:val="dotted" w:sz="4" w:space="0" w:color="auto"/>
              <w:bottom w:val="dotted" w:sz="4" w:space="0" w:color="auto"/>
              <w:right w:val="dotted" w:sz="4" w:space="0" w:color="auto"/>
            </w:tcBorders>
            <w:shd w:val="clear" w:color="auto" w:fill="auto"/>
          </w:tcPr>
          <w:p w:rsidR="00343140" w:rsidRPr="00DE674B" w:rsidRDefault="00343140" w:rsidP="00343140">
            <w:pPr>
              <w:spacing w:before="0" w:after="0"/>
              <w:jc w:val="left"/>
              <w:rPr>
                <w:noProof/>
                <w:sz w:val="20"/>
                <w:szCs w:val="20"/>
                <w:lang w:val="es-ES"/>
              </w:rPr>
            </w:pPr>
            <w:r w:rsidRPr="00DE674B">
              <w:rPr>
                <w:noProof/>
                <w:color w:val="000000"/>
                <w:sz w:val="20"/>
                <w:szCs w:val="20"/>
                <w:lang w:val="es-ES"/>
              </w:rPr>
              <w:t>SISTEMAS TECNICOS DEL ACCESORIO Y COMPONENTES SL</w:t>
            </w:r>
          </w:p>
        </w:tc>
        <w:tc>
          <w:tcPr>
            <w:tcW w:w="533" w:type="dxa"/>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7</w:t>
            </w:r>
          </w:p>
        </w:tc>
      </w:tr>
      <w:tr w:rsidR="00343140" w:rsidRPr="00B93B0D" w:rsidTr="004D6E0D">
        <w:tc>
          <w:tcPr>
            <w:tcW w:w="3696" w:type="dxa"/>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 xml:space="preserve">INDUSTRIAL DE ACABADOS SA </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9</w:t>
            </w:r>
          </w:p>
        </w:tc>
        <w:tc>
          <w:tcPr>
            <w:tcW w:w="3607" w:type="dxa"/>
            <w:gridSpan w:val="2"/>
            <w:tcBorders>
              <w:top w:val="dotted" w:sz="4" w:space="0" w:color="auto"/>
              <w:bottom w:val="dotted"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STELLANTIS ESPAÑA, S.L.</w:t>
            </w:r>
          </w:p>
        </w:tc>
        <w:tc>
          <w:tcPr>
            <w:tcW w:w="533" w:type="dxa"/>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33</w:t>
            </w:r>
          </w:p>
        </w:tc>
      </w:tr>
      <w:tr w:rsidR="00343140" w:rsidRPr="00B93B0D" w:rsidTr="004D6E0D">
        <w:tc>
          <w:tcPr>
            <w:tcW w:w="3696" w:type="dxa"/>
            <w:tcBorders>
              <w:top w:val="dotted" w:sz="4" w:space="0" w:color="auto"/>
              <w:bottom w:val="dotted" w:sz="4" w:space="0" w:color="auto"/>
              <w:right w:val="dotted" w:sz="4" w:space="0" w:color="auto"/>
            </w:tcBorders>
            <w:shd w:val="clear" w:color="auto" w:fill="auto"/>
          </w:tcPr>
          <w:p w:rsidR="00343140" w:rsidRPr="00DE674B" w:rsidRDefault="00343140" w:rsidP="00343140">
            <w:pPr>
              <w:spacing w:before="0" w:after="0"/>
              <w:jc w:val="left"/>
              <w:rPr>
                <w:noProof/>
                <w:sz w:val="20"/>
                <w:szCs w:val="20"/>
                <w:lang w:val="es-ES"/>
              </w:rPr>
            </w:pPr>
            <w:r w:rsidRPr="00DE674B">
              <w:rPr>
                <w:noProof/>
                <w:color w:val="000000"/>
                <w:sz w:val="20"/>
                <w:szCs w:val="20"/>
                <w:lang w:val="es-ES"/>
              </w:rPr>
              <w:t>INGENIERIA Y MONTAJES RIAS BAJAS, SA</w:t>
            </w:r>
          </w:p>
        </w:tc>
        <w:tc>
          <w:tcPr>
            <w:tcW w:w="504" w:type="dxa"/>
            <w:gridSpan w:val="2"/>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8</w:t>
            </w:r>
          </w:p>
        </w:tc>
        <w:tc>
          <w:tcPr>
            <w:tcW w:w="3607" w:type="dxa"/>
            <w:gridSpan w:val="2"/>
            <w:tcBorders>
              <w:top w:val="dotted" w:sz="4" w:space="0" w:color="auto"/>
              <w:bottom w:val="dotted" w:sz="4" w:space="0" w:color="auto"/>
              <w:right w:val="dotted" w:sz="4" w:space="0" w:color="auto"/>
            </w:tcBorders>
            <w:shd w:val="clear" w:color="auto" w:fill="auto"/>
          </w:tcPr>
          <w:p w:rsidR="00343140" w:rsidRPr="00DE674B" w:rsidRDefault="00343140" w:rsidP="00343140">
            <w:pPr>
              <w:spacing w:before="0" w:after="0"/>
              <w:jc w:val="left"/>
              <w:rPr>
                <w:noProof/>
                <w:sz w:val="20"/>
                <w:szCs w:val="20"/>
                <w:lang w:val="es-ES"/>
              </w:rPr>
            </w:pPr>
            <w:r w:rsidRPr="00DE674B">
              <w:rPr>
                <w:noProof/>
                <w:color w:val="000000"/>
                <w:sz w:val="20"/>
                <w:szCs w:val="20"/>
                <w:lang w:val="es-ES"/>
              </w:rPr>
              <w:t>TROQUELES Y MOLDES DE GALICIA, S.A.-TROMOSA</w:t>
            </w:r>
          </w:p>
        </w:tc>
        <w:tc>
          <w:tcPr>
            <w:tcW w:w="533" w:type="dxa"/>
            <w:tcBorders>
              <w:top w:val="dotted" w:sz="4" w:space="0" w:color="auto"/>
              <w:left w:val="dotted" w:sz="4" w:space="0" w:color="auto"/>
              <w:bottom w:val="dotted"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58</w:t>
            </w:r>
          </w:p>
        </w:tc>
      </w:tr>
      <w:tr w:rsidR="00343140" w:rsidRPr="00B93B0D" w:rsidTr="004D6E0D">
        <w:tc>
          <w:tcPr>
            <w:tcW w:w="3696" w:type="dxa"/>
            <w:tcBorders>
              <w:top w:val="dotted" w:sz="4" w:space="0" w:color="auto"/>
              <w:bottom w:val="single" w:sz="4" w:space="0" w:color="auto"/>
              <w:right w:val="dotted" w:sz="4" w:space="0" w:color="auto"/>
            </w:tcBorders>
            <w:shd w:val="clear" w:color="auto" w:fill="auto"/>
          </w:tcPr>
          <w:p w:rsidR="00343140" w:rsidRPr="00DE674B" w:rsidRDefault="00343140" w:rsidP="00343140">
            <w:pPr>
              <w:spacing w:before="0" w:after="0"/>
              <w:jc w:val="left"/>
              <w:rPr>
                <w:noProof/>
                <w:sz w:val="20"/>
                <w:szCs w:val="20"/>
                <w:lang w:val="it-IT"/>
              </w:rPr>
            </w:pPr>
            <w:r w:rsidRPr="00DE674B">
              <w:rPr>
                <w:noProof/>
                <w:color w:val="000000"/>
                <w:sz w:val="20"/>
                <w:szCs w:val="20"/>
                <w:lang w:val="it-IT"/>
              </w:rPr>
              <w:t>MAGNA SEATING VIGO, S.A.U.</w:t>
            </w:r>
          </w:p>
        </w:tc>
        <w:tc>
          <w:tcPr>
            <w:tcW w:w="504" w:type="dxa"/>
            <w:gridSpan w:val="2"/>
            <w:tcBorders>
              <w:top w:val="dotted" w:sz="4" w:space="0" w:color="auto"/>
              <w:left w:val="dotted" w:sz="4" w:space="0" w:color="auto"/>
              <w:bottom w:val="single"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2</w:t>
            </w:r>
          </w:p>
        </w:tc>
        <w:tc>
          <w:tcPr>
            <w:tcW w:w="3607" w:type="dxa"/>
            <w:gridSpan w:val="2"/>
            <w:tcBorders>
              <w:top w:val="dotted" w:sz="4" w:space="0" w:color="auto"/>
              <w:bottom w:val="single" w:sz="4" w:space="0" w:color="auto"/>
              <w:right w:val="dotted" w:sz="4" w:space="0" w:color="auto"/>
            </w:tcBorders>
            <w:shd w:val="clear" w:color="auto" w:fill="auto"/>
          </w:tcPr>
          <w:p w:rsidR="00343140" w:rsidRPr="00B93B0D" w:rsidRDefault="00343140" w:rsidP="00343140">
            <w:pPr>
              <w:spacing w:before="0" w:after="0"/>
              <w:jc w:val="left"/>
              <w:rPr>
                <w:noProof/>
                <w:sz w:val="20"/>
                <w:szCs w:val="20"/>
              </w:rPr>
            </w:pPr>
            <w:r w:rsidRPr="00B93B0D">
              <w:rPr>
                <w:noProof/>
                <w:color w:val="000000"/>
                <w:sz w:val="20"/>
                <w:szCs w:val="20"/>
              </w:rPr>
              <w:t>WINDAR MP SL</w:t>
            </w:r>
          </w:p>
        </w:tc>
        <w:tc>
          <w:tcPr>
            <w:tcW w:w="533" w:type="dxa"/>
            <w:tcBorders>
              <w:top w:val="dotted" w:sz="4" w:space="0" w:color="auto"/>
              <w:left w:val="dotted" w:sz="4" w:space="0" w:color="auto"/>
              <w:bottom w:val="single" w:sz="4" w:space="0" w:color="auto"/>
            </w:tcBorders>
            <w:shd w:val="clear" w:color="auto" w:fill="auto"/>
            <w:vAlign w:val="center"/>
          </w:tcPr>
          <w:p w:rsidR="00343140" w:rsidRPr="00B93B0D" w:rsidRDefault="00343140" w:rsidP="00343140">
            <w:pPr>
              <w:spacing w:before="0" w:after="0"/>
              <w:ind w:left="-828"/>
              <w:jc w:val="right"/>
              <w:rPr>
                <w:noProof/>
                <w:sz w:val="20"/>
              </w:rPr>
            </w:pPr>
            <w:r w:rsidRPr="00B93B0D">
              <w:rPr>
                <w:noProof/>
                <w:sz w:val="20"/>
                <w:szCs w:val="20"/>
              </w:rPr>
              <w:t>5</w:t>
            </w:r>
          </w:p>
        </w:tc>
      </w:tr>
      <w:tr w:rsidR="00A10F73" w:rsidRPr="00B93B0D" w:rsidTr="001D5990">
        <w:trPr>
          <w:trHeight w:val="284"/>
        </w:trPr>
        <w:tc>
          <w:tcPr>
            <w:tcW w:w="3840" w:type="dxa"/>
            <w:gridSpan w:val="2"/>
            <w:tcBorders>
              <w:bottom w:val="nil"/>
              <w:right w:val="nil"/>
            </w:tcBorders>
            <w:shd w:val="clear" w:color="auto" w:fill="E6E6E6"/>
            <w:vAlign w:val="center"/>
          </w:tcPr>
          <w:p w:rsidR="00A10F73" w:rsidRPr="00B93B0D" w:rsidRDefault="00A10F73" w:rsidP="00A10F73">
            <w:pPr>
              <w:spacing w:beforeLines="20" w:before="48" w:afterLines="20" w:after="48" w:line="276" w:lineRule="auto"/>
              <w:ind w:left="57"/>
              <w:jc w:val="left"/>
              <w:rPr>
                <w:rFonts w:eastAsia="Calibri"/>
                <w:b/>
                <w:noProof/>
                <w:szCs w:val="24"/>
              </w:rPr>
            </w:pPr>
            <w:r w:rsidRPr="00B93B0D">
              <w:rPr>
                <w:rFonts w:eastAsia="Calibri"/>
                <w:noProof/>
                <w:szCs w:val="24"/>
              </w:rPr>
              <w:br w:type="page"/>
            </w:r>
            <w:r w:rsidRPr="00B93B0D">
              <w:rPr>
                <w:rFonts w:eastAsia="Calibri"/>
                <w:b/>
                <w:noProof/>
                <w:szCs w:val="24"/>
              </w:rPr>
              <w:t>Total no. of enterprises:</w:t>
            </w:r>
            <w:r w:rsidRPr="00B93B0D">
              <w:rPr>
                <w:b/>
                <w:noProof/>
                <w:sz w:val="22"/>
              </w:rPr>
              <w:t xml:space="preserve"> </w:t>
            </w:r>
            <w:r w:rsidR="00343140" w:rsidRPr="00B93B0D">
              <w:rPr>
                <w:b/>
                <w:noProof/>
              </w:rPr>
              <w:t>20</w:t>
            </w:r>
          </w:p>
        </w:tc>
        <w:tc>
          <w:tcPr>
            <w:tcW w:w="3300" w:type="dxa"/>
            <w:gridSpan w:val="2"/>
            <w:tcBorders>
              <w:left w:val="nil"/>
              <w:bottom w:val="nil"/>
              <w:right w:val="nil"/>
            </w:tcBorders>
            <w:shd w:val="clear" w:color="auto" w:fill="E6E6E6"/>
            <w:vAlign w:val="center"/>
          </w:tcPr>
          <w:p w:rsidR="00A10F73" w:rsidRPr="00B93B0D" w:rsidRDefault="00A10F73" w:rsidP="00A10F73">
            <w:pPr>
              <w:spacing w:beforeLines="20" w:before="48" w:afterLines="20" w:after="48" w:line="276" w:lineRule="auto"/>
              <w:ind w:left="57" w:right="227"/>
              <w:jc w:val="left"/>
              <w:rPr>
                <w:rFonts w:eastAsia="Calibri"/>
                <w:b/>
                <w:noProof/>
                <w:szCs w:val="24"/>
              </w:rPr>
            </w:pPr>
            <w:r w:rsidRPr="00B93B0D">
              <w:rPr>
                <w:rFonts w:eastAsia="Calibri"/>
                <w:b/>
                <w:noProof/>
                <w:szCs w:val="24"/>
              </w:rPr>
              <w:t>Total no. of displacements:</w:t>
            </w:r>
            <w:r w:rsidRPr="00B93B0D">
              <w:rPr>
                <w:b/>
                <w:noProof/>
                <w:sz w:val="22"/>
              </w:rPr>
              <w:t xml:space="preserve"> </w:t>
            </w:r>
          </w:p>
        </w:tc>
        <w:tc>
          <w:tcPr>
            <w:tcW w:w="1200" w:type="dxa"/>
            <w:gridSpan w:val="2"/>
            <w:tcBorders>
              <w:left w:val="nil"/>
              <w:bottom w:val="nil"/>
            </w:tcBorders>
            <w:shd w:val="clear" w:color="auto" w:fill="E6E6E6"/>
            <w:vAlign w:val="center"/>
          </w:tcPr>
          <w:p w:rsidR="00A10F73" w:rsidRPr="00B93B0D" w:rsidRDefault="00343140" w:rsidP="00A10F73">
            <w:pPr>
              <w:spacing w:beforeLines="20" w:before="48" w:afterLines="20" w:after="48" w:line="276" w:lineRule="auto"/>
              <w:ind w:left="57" w:right="227"/>
              <w:jc w:val="left"/>
              <w:rPr>
                <w:rFonts w:eastAsia="Calibri"/>
                <w:b/>
                <w:noProof/>
                <w:szCs w:val="24"/>
              </w:rPr>
            </w:pPr>
            <w:r w:rsidRPr="00B93B0D">
              <w:rPr>
                <w:b/>
                <w:noProof/>
              </w:rPr>
              <w:t>313</w:t>
            </w:r>
          </w:p>
        </w:tc>
      </w:tr>
      <w:tr w:rsidR="00A10F73" w:rsidRPr="00B93B0D" w:rsidTr="001D5990">
        <w:trPr>
          <w:trHeight w:val="284"/>
        </w:trPr>
        <w:tc>
          <w:tcPr>
            <w:tcW w:w="7140" w:type="dxa"/>
            <w:gridSpan w:val="4"/>
            <w:tcBorders>
              <w:top w:val="nil"/>
              <w:right w:val="nil"/>
            </w:tcBorders>
            <w:shd w:val="clear" w:color="auto" w:fill="E6E6E6"/>
            <w:vAlign w:val="center"/>
          </w:tcPr>
          <w:p w:rsidR="00A10F73" w:rsidRPr="00B93B0D" w:rsidRDefault="00A10F73" w:rsidP="00A10F73">
            <w:pPr>
              <w:spacing w:beforeLines="20" w:before="48" w:afterLines="20" w:after="48" w:line="276" w:lineRule="auto"/>
              <w:ind w:left="57"/>
              <w:jc w:val="left"/>
              <w:rPr>
                <w:rFonts w:eastAsia="Calibri"/>
                <w:b/>
                <w:noProof/>
                <w:szCs w:val="24"/>
              </w:rPr>
            </w:pPr>
            <w:r w:rsidRPr="00B93B0D">
              <w:rPr>
                <w:rFonts w:eastAsia="Calibri"/>
                <w:b/>
                <w:noProof/>
                <w:szCs w:val="24"/>
              </w:rPr>
              <w:t xml:space="preserve">Total no. of eligible workers: </w:t>
            </w:r>
          </w:p>
        </w:tc>
        <w:tc>
          <w:tcPr>
            <w:tcW w:w="1200" w:type="dxa"/>
            <w:gridSpan w:val="2"/>
            <w:tcBorders>
              <w:top w:val="nil"/>
              <w:left w:val="nil"/>
            </w:tcBorders>
            <w:shd w:val="clear" w:color="auto" w:fill="E6E6E6"/>
            <w:vAlign w:val="center"/>
          </w:tcPr>
          <w:p w:rsidR="00A10F73" w:rsidRPr="00B93B0D" w:rsidRDefault="00343140" w:rsidP="00A10F73">
            <w:pPr>
              <w:spacing w:beforeLines="20" w:before="48" w:afterLines="20" w:after="48" w:line="276" w:lineRule="auto"/>
              <w:ind w:left="57" w:right="227"/>
              <w:jc w:val="left"/>
              <w:rPr>
                <w:rFonts w:eastAsia="Calibri"/>
                <w:b/>
                <w:noProof/>
                <w:szCs w:val="24"/>
              </w:rPr>
            </w:pPr>
            <w:r w:rsidRPr="00B93B0D">
              <w:rPr>
                <w:b/>
                <w:noProof/>
              </w:rPr>
              <w:t>313</w:t>
            </w:r>
          </w:p>
        </w:tc>
      </w:tr>
    </w:tbl>
    <w:p w:rsidR="001A62D7" w:rsidRPr="00B93B0D" w:rsidRDefault="001A62D7" w:rsidP="001A62D7">
      <w:pPr>
        <w:pStyle w:val="ManualHeading3"/>
        <w:rPr>
          <w:noProof/>
        </w:rPr>
      </w:pPr>
      <w:r w:rsidRPr="00B93B0D">
        <w:rPr>
          <w:noProof/>
        </w:rPr>
        <w:t>Intervention criteria</w:t>
      </w:r>
    </w:p>
    <w:p w:rsidR="001A62D7" w:rsidRPr="00B93B0D" w:rsidRDefault="00FB1E28" w:rsidP="001A62D7">
      <w:pPr>
        <w:pStyle w:val="ManualNumPar1"/>
        <w:rPr>
          <w:noProof/>
        </w:rPr>
      </w:pPr>
      <w:r>
        <w:rPr>
          <w:noProof/>
        </w:rPr>
        <w:t>6.</w:t>
      </w:r>
      <w:r>
        <w:rPr>
          <w:noProof/>
        </w:rPr>
        <w:tab/>
      </w:r>
      <w:r w:rsidRPr="00B93B0D">
        <w:rPr>
          <w:noProof/>
        </w:rPr>
        <w:t>Spain</w:t>
      </w:r>
      <w:r w:rsidR="001A62D7" w:rsidRPr="00B93B0D">
        <w:rPr>
          <w:noProof/>
        </w:rPr>
        <w:t xml:space="preserve"> submitted the application under the intervention criteria of </w:t>
      </w:r>
      <w:r w:rsidR="001A62D7" w:rsidRPr="00B93B0D">
        <w:rPr>
          <w:rFonts w:eastAsia="Calibri"/>
          <w:noProof/>
        </w:rPr>
        <w:t>Article 4(</w:t>
      </w:r>
      <w:r w:rsidR="008F1D16" w:rsidRPr="00B93B0D">
        <w:rPr>
          <w:rFonts w:eastAsia="Calibri"/>
          <w:noProof/>
        </w:rPr>
        <w:t>2)</w:t>
      </w:r>
      <w:r w:rsidR="001A62D7" w:rsidRPr="00B93B0D">
        <w:rPr>
          <w:rFonts w:eastAsia="Calibri"/>
          <w:noProof/>
        </w:rPr>
        <w:t>, point (</w:t>
      </w:r>
      <w:r w:rsidR="008F1D16" w:rsidRPr="00B93B0D">
        <w:rPr>
          <w:rFonts w:eastAsia="Calibri"/>
          <w:noProof/>
        </w:rPr>
        <w:t>c)</w:t>
      </w:r>
      <w:r w:rsidR="001A62D7" w:rsidRPr="00B93B0D">
        <w:rPr>
          <w:rFonts w:eastAsia="Calibri"/>
          <w:noProof/>
        </w:rPr>
        <w:t>,</w:t>
      </w:r>
      <w:r w:rsidR="001A62D7" w:rsidRPr="00B93B0D">
        <w:rPr>
          <w:noProof/>
        </w:rPr>
        <w:t xml:space="preserve"> of Regulation (EU) 2021/691, which requires the cessation of activity of at least 200 displaced workers over a reference period of four months in enterprises operating in the same or different economic sectors defined at NACE Revision 2 level and located in the same region defined at NUTS 2 level in a Member State. There were </w:t>
      </w:r>
      <w:r w:rsidR="00DB409E" w:rsidRPr="00B93B0D">
        <w:rPr>
          <w:noProof/>
        </w:rPr>
        <w:t>313</w:t>
      </w:r>
      <w:r w:rsidR="001A62D7" w:rsidRPr="00B93B0D">
        <w:rPr>
          <w:noProof/>
        </w:rPr>
        <w:t xml:space="preserve"> displaced workers in the NUTS 2 region of </w:t>
      </w:r>
      <w:r w:rsidR="00DB409E" w:rsidRPr="00B93B0D">
        <w:rPr>
          <w:noProof/>
          <w:szCs w:val="24"/>
        </w:rPr>
        <w:t>Galicia</w:t>
      </w:r>
      <w:r w:rsidR="001A62D7" w:rsidRPr="00B93B0D">
        <w:rPr>
          <w:noProof/>
          <w:szCs w:val="24"/>
        </w:rPr>
        <w:t xml:space="preserve"> (</w:t>
      </w:r>
      <w:r w:rsidRPr="00B93B0D">
        <w:rPr>
          <w:noProof/>
          <w:szCs w:val="24"/>
        </w:rPr>
        <w:t>ES11</w:t>
      </w:r>
      <w:r w:rsidR="001A62D7" w:rsidRPr="00B93B0D">
        <w:rPr>
          <w:noProof/>
          <w:szCs w:val="24"/>
        </w:rPr>
        <w:t>)</w:t>
      </w:r>
      <w:r w:rsidR="008F1D16" w:rsidRPr="00B93B0D">
        <w:rPr>
          <w:noProof/>
          <w:szCs w:val="24"/>
        </w:rPr>
        <w:t>.</w:t>
      </w:r>
    </w:p>
    <w:p w:rsidR="001A62D7" w:rsidRPr="00B93B0D" w:rsidRDefault="001A62D7" w:rsidP="00DB409E">
      <w:pPr>
        <w:pStyle w:val="ManualNumPar1"/>
        <w:rPr>
          <w:noProof/>
        </w:rPr>
      </w:pPr>
      <w:r>
        <w:rPr>
          <w:noProof/>
        </w:rPr>
        <w:t>7.</w:t>
      </w:r>
      <w:r>
        <w:rPr>
          <w:noProof/>
        </w:rPr>
        <w:tab/>
      </w:r>
      <w:bookmarkStart w:id="7" w:name="_Ref372189348"/>
      <w:r w:rsidRPr="00B93B0D">
        <w:rPr>
          <w:noProof/>
        </w:rPr>
        <w:t xml:space="preserve">The reference period of </w:t>
      </w:r>
      <w:r w:rsidRPr="00B93B0D">
        <w:rPr>
          <w:rFonts w:eastAsia="Calibri"/>
          <w:noProof/>
        </w:rPr>
        <w:t>four</w:t>
      </w:r>
      <w:r w:rsidRPr="00B93B0D">
        <w:rPr>
          <w:noProof/>
        </w:rPr>
        <w:t xml:space="preserve"> months for the application runs from </w:t>
      </w:r>
      <w:r w:rsidR="00DB409E" w:rsidRPr="00B93B0D">
        <w:rPr>
          <w:noProof/>
        </w:rPr>
        <w:t>15 September 2025</w:t>
      </w:r>
      <w:r w:rsidRPr="00B93B0D">
        <w:rPr>
          <w:noProof/>
        </w:rPr>
        <w:t xml:space="preserve"> to </w:t>
      </w:r>
      <w:bookmarkEnd w:id="7"/>
      <w:r w:rsidR="00DB409E" w:rsidRPr="00B93B0D">
        <w:rPr>
          <w:noProof/>
        </w:rPr>
        <w:t>15 January 2026</w:t>
      </w:r>
      <w:r w:rsidRPr="00B93B0D">
        <w:rPr>
          <w:noProof/>
        </w:rPr>
        <w:t xml:space="preserve">. </w:t>
      </w:r>
    </w:p>
    <w:p w:rsidR="001A62D7" w:rsidRPr="00B93B0D" w:rsidRDefault="001A62D7" w:rsidP="001A62D7">
      <w:pPr>
        <w:pStyle w:val="ManualHeading3"/>
        <w:rPr>
          <w:noProof/>
        </w:rPr>
      </w:pPr>
      <w:r w:rsidRPr="00B93B0D">
        <w:rPr>
          <w:noProof/>
        </w:rPr>
        <w:t>Calculation of displacements and of cessation of activity</w:t>
      </w:r>
    </w:p>
    <w:p w:rsidR="00DB409E" w:rsidRPr="00B93B0D" w:rsidRDefault="001A62D7" w:rsidP="00DB409E">
      <w:pPr>
        <w:pStyle w:val="ManualNumPar1"/>
        <w:rPr>
          <w:noProof/>
        </w:rPr>
      </w:pPr>
      <w:r>
        <w:rPr>
          <w:noProof/>
        </w:rPr>
        <w:t>8.</w:t>
      </w:r>
      <w:r>
        <w:rPr>
          <w:noProof/>
        </w:rPr>
        <w:tab/>
      </w:r>
      <w:r w:rsidRPr="00B93B0D">
        <w:rPr>
          <w:noProof/>
        </w:rPr>
        <w:t>Pursuant to Article 6, first paragraph, point (a), in conjunction with Article 5, first paragraph</w:t>
      </w:r>
      <w:r w:rsidR="00DB409E" w:rsidRPr="00B93B0D">
        <w:rPr>
          <w:noProof/>
        </w:rPr>
        <w:t xml:space="preserve">, point </w:t>
      </w:r>
      <w:r w:rsidR="00507F26">
        <w:rPr>
          <w:noProof/>
        </w:rPr>
        <w:t>(</w:t>
      </w:r>
      <w:r w:rsidR="00DB409E" w:rsidRPr="00B93B0D">
        <w:rPr>
          <w:noProof/>
        </w:rPr>
        <w:t>c</w:t>
      </w:r>
      <w:r w:rsidR="00507F26">
        <w:rPr>
          <w:noProof/>
        </w:rPr>
        <w:t>)</w:t>
      </w:r>
      <w:r w:rsidRPr="00B93B0D">
        <w:rPr>
          <w:noProof/>
        </w:rPr>
        <w:t xml:space="preserve"> of Regulation (EU) 2021/691,</w:t>
      </w:r>
      <w:r w:rsidRPr="00B93B0D" w:rsidDel="00991BDD">
        <w:rPr>
          <w:noProof/>
        </w:rPr>
        <w:t xml:space="preserve"> </w:t>
      </w:r>
      <w:r w:rsidR="009C2E1D" w:rsidRPr="00B93B0D">
        <w:rPr>
          <w:noProof/>
        </w:rPr>
        <w:t xml:space="preserve">the number of workers affected by job displacement </w:t>
      </w:r>
      <w:r w:rsidRPr="00B93B0D">
        <w:rPr>
          <w:noProof/>
        </w:rPr>
        <w:t>during the reference period has been calculated from the date of the de facto termination of the contract of employment or its expiry</w:t>
      </w:r>
      <w:r w:rsidR="00DB409E" w:rsidRPr="00B93B0D">
        <w:rPr>
          <w:noProof/>
        </w:rPr>
        <w:t xml:space="preserve">. </w:t>
      </w:r>
    </w:p>
    <w:p w:rsidR="001A62D7" w:rsidRPr="00B93B0D" w:rsidRDefault="001A62D7" w:rsidP="001A62D7">
      <w:pPr>
        <w:pStyle w:val="ManualHeading3"/>
        <w:rPr>
          <w:noProof/>
        </w:rPr>
      </w:pPr>
      <w:r w:rsidRPr="00B93B0D">
        <w:rPr>
          <w:noProof/>
        </w:rPr>
        <w:t>Eligible beneficiaries</w:t>
      </w:r>
    </w:p>
    <w:p w:rsidR="001A62D7" w:rsidRPr="00B93B0D" w:rsidRDefault="001A62D7" w:rsidP="00AE7D04">
      <w:pPr>
        <w:pStyle w:val="ManualNumPar1"/>
        <w:rPr>
          <w:noProof/>
        </w:rPr>
      </w:pPr>
      <w:r>
        <w:rPr>
          <w:noProof/>
        </w:rPr>
        <w:t>9.</w:t>
      </w:r>
      <w:r>
        <w:rPr>
          <w:noProof/>
        </w:rPr>
        <w:tab/>
      </w:r>
      <w:r w:rsidRPr="00B93B0D">
        <w:rPr>
          <w:noProof/>
        </w:rPr>
        <w:t xml:space="preserve">In addition to the workers already referred to, the eligible beneficiaries include </w:t>
      </w:r>
      <w:r w:rsidR="000E796A" w:rsidRPr="00B93B0D">
        <w:rPr>
          <w:noProof/>
        </w:rPr>
        <w:t>358</w:t>
      </w:r>
      <w:r w:rsidRPr="00B93B0D">
        <w:rPr>
          <w:noProof/>
        </w:rPr>
        <w:t xml:space="preserve"> displaced workers </w:t>
      </w:r>
      <w:r w:rsidR="009805F3">
        <w:rPr>
          <w:noProof/>
        </w:rPr>
        <w:t xml:space="preserve">from the same enterprises </w:t>
      </w:r>
      <w:r w:rsidRPr="00B93B0D">
        <w:rPr>
          <w:noProof/>
        </w:rPr>
        <w:t xml:space="preserve">whose activity ceased before or after the reference period of four months. All these workers ceased their activity within the six months before the start of the reference period on </w:t>
      </w:r>
      <w:r w:rsidR="000E796A" w:rsidRPr="00B93B0D">
        <w:rPr>
          <w:noProof/>
        </w:rPr>
        <w:t>15 September 2025</w:t>
      </w:r>
      <w:r w:rsidRPr="00B93B0D">
        <w:rPr>
          <w:noProof/>
        </w:rPr>
        <w:t xml:space="preserve"> and/or between the end of the reference period and the day before the adoption of this proposal, pursuant to Article 6, first paragraph, point (b), of Regulation (EU) 2021/691, as required by Article 6, second paragraph, of Regulation (EU) 2021/691. A clear causal link can be established with the event that triggered the cessations of activity of the displaced workers during the reference period as required by Article 6, second paragraph, of Regulation (EU) 2021/691.</w:t>
      </w:r>
    </w:p>
    <w:p w:rsidR="001A62D7" w:rsidRPr="00B93B0D" w:rsidRDefault="001A62D7" w:rsidP="00AE7D04">
      <w:pPr>
        <w:pStyle w:val="ManualNumPar1"/>
        <w:rPr>
          <w:noProof/>
        </w:rPr>
      </w:pPr>
      <w:r>
        <w:rPr>
          <w:noProof/>
        </w:rPr>
        <w:t>10.</w:t>
      </w:r>
      <w:r>
        <w:rPr>
          <w:noProof/>
        </w:rPr>
        <w:tab/>
      </w:r>
      <w:r w:rsidRPr="00B93B0D">
        <w:rPr>
          <w:noProof/>
        </w:rPr>
        <w:t xml:space="preserve">The total number of eligible beneficiaries is </w:t>
      </w:r>
      <w:r w:rsidR="000E796A" w:rsidRPr="00B93B0D">
        <w:rPr>
          <w:noProof/>
        </w:rPr>
        <w:t>671</w:t>
      </w:r>
      <w:r w:rsidRPr="00B93B0D">
        <w:rPr>
          <w:noProof/>
        </w:rPr>
        <w:t>.</w:t>
      </w:r>
    </w:p>
    <w:p w:rsidR="001A62D7" w:rsidRPr="00B93B0D" w:rsidRDefault="001A62D7" w:rsidP="001A62D7">
      <w:pPr>
        <w:pStyle w:val="ManualHeading3"/>
        <w:rPr>
          <w:noProof/>
        </w:rPr>
      </w:pPr>
      <w:r w:rsidRPr="00B93B0D">
        <w:rPr>
          <w:noProof/>
        </w:rPr>
        <w:t>Description of the events that led to the displacements and cessation of activity</w:t>
      </w:r>
    </w:p>
    <w:p w:rsidR="000C62BC" w:rsidRPr="00B93B0D" w:rsidRDefault="000C62BC" w:rsidP="000C62BC">
      <w:pPr>
        <w:pStyle w:val="ManualNumPar1"/>
        <w:rPr>
          <w:noProof/>
        </w:rPr>
      </w:pPr>
      <w:r>
        <w:rPr>
          <w:noProof/>
        </w:rPr>
        <w:t>11.</w:t>
      </w:r>
      <w:r>
        <w:rPr>
          <w:noProof/>
        </w:rPr>
        <w:tab/>
      </w:r>
      <w:r w:rsidRPr="00B93B0D">
        <w:rPr>
          <w:noProof/>
        </w:rPr>
        <w:t xml:space="preserve">Since 2024, Spain’s car </w:t>
      </w:r>
      <w:r w:rsidR="00571BFE">
        <w:rPr>
          <w:noProof/>
        </w:rPr>
        <w:t xml:space="preserve">components </w:t>
      </w:r>
      <w:r w:rsidRPr="00B93B0D">
        <w:rPr>
          <w:noProof/>
        </w:rPr>
        <w:t>industry has been steadily worsening. In October 2025, the sector’s employers' association (Sernauto) revised its year-end forecasts, projecting a near 2% decline in revenue and a 1% drop in employment (3 000 jobs), marking the second consecutive year of aggregate decline</w:t>
      </w:r>
      <w:r w:rsidR="007E4E97" w:rsidRPr="00B93B0D">
        <w:rPr>
          <w:rStyle w:val="FootnoteReference"/>
          <w:noProof/>
        </w:rPr>
        <w:footnoteReference w:id="5"/>
      </w:r>
      <w:r w:rsidRPr="00B93B0D">
        <w:rPr>
          <w:noProof/>
        </w:rPr>
        <w:t xml:space="preserve">. In 2024, the sector recorded </w:t>
      </w:r>
      <w:r w:rsidR="00145F53" w:rsidRPr="00B93B0D">
        <w:rPr>
          <w:noProof/>
        </w:rPr>
        <w:t>EUR </w:t>
      </w:r>
      <w:r w:rsidRPr="00B93B0D">
        <w:rPr>
          <w:noProof/>
        </w:rPr>
        <w:t xml:space="preserve">41 238 billion in sales, a 0,7% contraction year-on year and a </w:t>
      </w:r>
      <w:r w:rsidRPr="00B93B0D">
        <w:rPr>
          <w:noProof/>
        </w:rPr>
        <w:lastRenderedPageBreak/>
        <w:t>0,7% reduction in direct employment</w:t>
      </w:r>
      <w:r w:rsidR="007E4E97" w:rsidRPr="00B93B0D">
        <w:rPr>
          <w:rStyle w:val="FootnoteReference"/>
          <w:noProof/>
        </w:rPr>
        <w:footnoteReference w:id="6"/>
      </w:r>
      <w:r w:rsidRPr="00B93B0D">
        <w:rPr>
          <w:noProof/>
        </w:rPr>
        <w:t xml:space="preserve">, alongside significant declines in productive investment (-12.3%) and R&amp;D (-2%). </w:t>
      </w:r>
      <w:r w:rsidR="00196B92" w:rsidRPr="00B93B0D">
        <w:rPr>
          <w:noProof/>
        </w:rPr>
        <w:t>These figures confirm that the adjustment is not cyclical but rather reflects a restructuring of margins and volumes in the customer markets of Spain’s car component suppliers.</w:t>
      </w:r>
    </w:p>
    <w:p w:rsidR="00AE5452" w:rsidRPr="00B93B0D" w:rsidRDefault="000C62BC" w:rsidP="000C62BC">
      <w:pPr>
        <w:pStyle w:val="ManualNumPar1"/>
        <w:rPr>
          <w:noProof/>
        </w:rPr>
      </w:pPr>
      <w:r>
        <w:rPr>
          <w:noProof/>
        </w:rPr>
        <w:t>12.</w:t>
      </w:r>
      <w:r>
        <w:rPr>
          <w:noProof/>
        </w:rPr>
        <w:tab/>
      </w:r>
      <w:r w:rsidRPr="00B93B0D">
        <w:rPr>
          <w:noProof/>
        </w:rPr>
        <w:t xml:space="preserve">The strong export orientation of Galicia’s </w:t>
      </w:r>
      <w:r w:rsidR="00196B92" w:rsidRPr="00B93B0D">
        <w:rPr>
          <w:noProof/>
        </w:rPr>
        <w:t>car</w:t>
      </w:r>
      <w:r w:rsidRPr="00B93B0D">
        <w:rPr>
          <w:noProof/>
        </w:rPr>
        <w:t xml:space="preserve"> component </w:t>
      </w:r>
      <w:r w:rsidR="00575749" w:rsidRPr="00B93B0D">
        <w:rPr>
          <w:noProof/>
        </w:rPr>
        <w:t>enterprises</w:t>
      </w:r>
      <w:r w:rsidRPr="00B93B0D">
        <w:rPr>
          <w:noProof/>
        </w:rPr>
        <w:t xml:space="preserve">—which direct 60–70% of their production to the EU—means any fluctuation in European demand directly impacts their activity, workload, and job stability. </w:t>
      </w:r>
    </w:p>
    <w:p w:rsidR="000C62BC" w:rsidRPr="00B93B0D" w:rsidRDefault="00AE5452" w:rsidP="00AE5452">
      <w:pPr>
        <w:pStyle w:val="ManualNumPar1"/>
        <w:rPr>
          <w:noProof/>
        </w:rPr>
      </w:pPr>
      <w:r>
        <w:rPr>
          <w:noProof/>
        </w:rPr>
        <w:t>13.</w:t>
      </w:r>
      <w:r>
        <w:rPr>
          <w:noProof/>
        </w:rPr>
        <w:tab/>
      </w:r>
      <w:r w:rsidRPr="00B93B0D">
        <w:rPr>
          <w:noProof/>
        </w:rPr>
        <w:t>The combination of weaker-than-expected European demand, trade and supply chain disruptions—which undermine stable purchasing and new model launches—and the redirection of investment towards electrified platforms and higher electronic content is leading to job cuts</w:t>
      </w:r>
      <w:r w:rsidR="000C62BC" w:rsidRPr="00B93B0D">
        <w:rPr>
          <w:noProof/>
        </w:rPr>
        <w:t xml:space="preserve"> in the Vigo area (Stellantis, its auxiliary network, and component suppliers).</w:t>
      </w:r>
    </w:p>
    <w:p w:rsidR="006B5FAA" w:rsidRPr="00B93B0D" w:rsidRDefault="000C62BC" w:rsidP="000C62BC">
      <w:pPr>
        <w:pStyle w:val="ManualNumPar1"/>
        <w:rPr>
          <w:noProof/>
        </w:rPr>
      </w:pPr>
      <w:r>
        <w:rPr>
          <w:noProof/>
        </w:rPr>
        <w:t>14.</w:t>
      </w:r>
      <w:r>
        <w:rPr>
          <w:noProof/>
        </w:rPr>
        <w:tab/>
      </w:r>
      <w:r w:rsidRPr="00B93B0D">
        <w:rPr>
          <w:noProof/>
        </w:rPr>
        <w:t>The labour cost per vehicle indicator, which relates total labo</w:t>
      </w:r>
      <w:r w:rsidR="007D45EC">
        <w:rPr>
          <w:noProof/>
        </w:rPr>
        <w:t>u</w:t>
      </w:r>
      <w:r w:rsidRPr="00B93B0D">
        <w:rPr>
          <w:noProof/>
        </w:rPr>
        <w:t xml:space="preserve">r expenditure to units produced, has become a critical variable in times of electrification and tightening margins. Countries </w:t>
      </w:r>
      <w:r w:rsidR="00AE5452" w:rsidRPr="00B93B0D">
        <w:rPr>
          <w:noProof/>
        </w:rPr>
        <w:t xml:space="preserve">with low labour cost, </w:t>
      </w:r>
      <w:r w:rsidRPr="00B93B0D">
        <w:rPr>
          <w:noProof/>
        </w:rPr>
        <w:t>like Morocco (</w:t>
      </w:r>
      <w:r w:rsidR="00AE5452" w:rsidRPr="00B93B0D">
        <w:rPr>
          <w:noProof/>
        </w:rPr>
        <w:t>EUR </w:t>
      </w:r>
      <w:r w:rsidRPr="00B93B0D">
        <w:rPr>
          <w:noProof/>
        </w:rPr>
        <w:t xml:space="preserve">90 per vehicle) and </w:t>
      </w:r>
      <w:r w:rsidR="00255E4E" w:rsidRPr="00255E4E">
        <w:rPr>
          <w:noProof/>
        </w:rPr>
        <w:t>Türkiye</w:t>
      </w:r>
      <w:r w:rsidRPr="00B93B0D">
        <w:rPr>
          <w:noProof/>
        </w:rPr>
        <w:t xml:space="preserve"> (</w:t>
      </w:r>
      <w:r w:rsidR="00AE5452" w:rsidRPr="00B93B0D">
        <w:rPr>
          <w:noProof/>
        </w:rPr>
        <w:t>EUR </w:t>
      </w:r>
      <w:r w:rsidRPr="00B93B0D">
        <w:rPr>
          <w:noProof/>
        </w:rPr>
        <w:t>350)</w:t>
      </w:r>
      <w:r w:rsidR="00AE5452" w:rsidRPr="00B93B0D">
        <w:rPr>
          <w:noProof/>
        </w:rPr>
        <w:t>,</w:t>
      </w:r>
      <w:r w:rsidRPr="00B93B0D">
        <w:rPr>
          <w:noProof/>
        </w:rPr>
        <w:t xml:space="preserve"> are absorbing much of the new industrial capacity, whereas mid-cost countries like Spain (</w:t>
      </w:r>
      <w:r w:rsidR="00AE5452" w:rsidRPr="00B93B0D">
        <w:rPr>
          <w:noProof/>
        </w:rPr>
        <w:t>EUR </w:t>
      </w:r>
      <w:r w:rsidRPr="00B93B0D">
        <w:rPr>
          <w:noProof/>
        </w:rPr>
        <w:t>850)</w:t>
      </w:r>
      <w:r w:rsidR="000E796A" w:rsidRPr="00B93B0D">
        <w:rPr>
          <w:rStyle w:val="FootnoteReference"/>
          <w:noProof/>
        </w:rPr>
        <w:footnoteReference w:id="7"/>
      </w:r>
      <w:r w:rsidRPr="00B93B0D">
        <w:rPr>
          <w:noProof/>
        </w:rPr>
        <w:t xml:space="preserve"> </w:t>
      </w:r>
      <w:r w:rsidR="006B5FAA" w:rsidRPr="00B93B0D">
        <w:rPr>
          <w:noProof/>
        </w:rPr>
        <w:t>must maintain competitiveness through efficiency gains, specialisation, and stronger logistics—adding further pressure, especially in lower-margin segments.</w:t>
      </w:r>
    </w:p>
    <w:p w:rsidR="001A62D7" w:rsidRPr="00DE674B" w:rsidRDefault="00A02E1B" w:rsidP="000C62BC">
      <w:pPr>
        <w:pStyle w:val="ManualNumPar1"/>
        <w:rPr>
          <w:noProof/>
          <w:lang w:val="en-IE"/>
        </w:rPr>
      </w:pPr>
      <w:r>
        <w:rPr>
          <w:noProof/>
        </w:rPr>
        <w:t>15.</w:t>
      </w:r>
      <w:r>
        <w:rPr>
          <w:noProof/>
        </w:rPr>
        <w:tab/>
      </w:r>
      <w:r w:rsidRPr="00B93B0D">
        <w:rPr>
          <w:noProof/>
        </w:rPr>
        <w:t xml:space="preserve">The combination of all these factors has forced structural adjustments across the car sector’s value chain in Galicia, resulting in temporary layoff schemes and redundancies (e.g. at Stellantis, Akwel Vigo Spain, or CTAG),  insolvency proceedings, and liquidations (e.g. </w:t>
      </w:r>
      <w:r w:rsidRPr="00DE674B">
        <w:rPr>
          <w:noProof/>
          <w:lang w:val="en-IE"/>
        </w:rPr>
        <w:t>Cablerías Auto S.L. or Troqueles y Moldes de Galicia)</w:t>
      </w:r>
      <w:r w:rsidR="000C62BC" w:rsidRPr="00DE674B">
        <w:rPr>
          <w:noProof/>
          <w:lang w:val="en-IE"/>
        </w:rPr>
        <w:t>.</w:t>
      </w:r>
    </w:p>
    <w:p w:rsidR="001A62D7" w:rsidRPr="00B93B0D" w:rsidRDefault="001A62D7" w:rsidP="001A62D7">
      <w:pPr>
        <w:pStyle w:val="ManualHeading3"/>
        <w:tabs>
          <w:tab w:val="clear" w:pos="850"/>
          <w:tab w:val="left" w:pos="0"/>
        </w:tabs>
        <w:ind w:left="0" w:firstLine="0"/>
        <w:rPr>
          <w:noProof/>
        </w:rPr>
      </w:pPr>
      <w:r w:rsidRPr="00B93B0D">
        <w:rPr>
          <w:noProof/>
        </w:rPr>
        <w:t>Expected impact of the displacements as regards the local, regional or national economy and employment</w:t>
      </w:r>
    </w:p>
    <w:p w:rsidR="000B43AC" w:rsidRPr="00B93B0D" w:rsidRDefault="00F87A6D" w:rsidP="000B43AC">
      <w:pPr>
        <w:pStyle w:val="ManualNumPar1"/>
        <w:rPr>
          <w:noProof/>
        </w:rPr>
      </w:pPr>
      <w:r>
        <w:rPr>
          <w:noProof/>
        </w:rPr>
        <w:t>16.</w:t>
      </w:r>
      <w:r>
        <w:rPr>
          <w:noProof/>
        </w:rPr>
        <w:tab/>
      </w:r>
      <w:bookmarkStart w:id="8" w:name="_Hlk230862378"/>
      <w:r w:rsidRPr="00B93B0D">
        <w:rPr>
          <w:noProof/>
        </w:rPr>
        <w:t>The automotive industry in Galicia employs a high proportion of skilled, specialised workers, including professionals in industrial engineering, product development, validation and testing, advanced manufacturing, automation, digitalisation, and technologies linked to electric mobility. The loss of a significant volume of jobs in a single value chain—such as the automotive sector—has a disproportionate impact on employment structures and re-employment opportunities</w:t>
      </w:r>
      <w:r>
        <w:rPr>
          <w:noProof/>
        </w:rPr>
        <w:t xml:space="preserve">, as the regional labour market has a limited capacity to </w:t>
      </w:r>
      <w:r w:rsidRPr="004234DA">
        <w:rPr>
          <w:noProof/>
        </w:rPr>
        <w:t xml:space="preserve">immediately absorb such </w:t>
      </w:r>
      <w:r>
        <w:rPr>
          <w:noProof/>
        </w:rPr>
        <w:t xml:space="preserve">specialised </w:t>
      </w:r>
      <w:r w:rsidRPr="004234DA">
        <w:rPr>
          <w:noProof/>
        </w:rPr>
        <w:t>workers into equivalent roles</w:t>
      </w:r>
      <w:r>
        <w:rPr>
          <w:noProof/>
        </w:rPr>
        <w:t>.</w:t>
      </w:r>
      <w:bookmarkEnd w:id="8"/>
      <w:r>
        <w:rPr>
          <w:noProof/>
        </w:rPr>
        <w:t xml:space="preserve"> </w:t>
      </w:r>
    </w:p>
    <w:p w:rsidR="000B43AC" w:rsidRPr="00B93B0D" w:rsidRDefault="000B43AC" w:rsidP="000B43AC">
      <w:pPr>
        <w:pStyle w:val="ManualNumPar1"/>
        <w:rPr>
          <w:noProof/>
        </w:rPr>
      </w:pPr>
      <w:r>
        <w:rPr>
          <w:noProof/>
        </w:rPr>
        <w:t>17.</w:t>
      </w:r>
      <w:r>
        <w:rPr>
          <w:noProof/>
        </w:rPr>
        <w:tab/>
      </w:r>
      <w:r w:rsidRPr="00B93B0D">
        <w:rPr>
          <w:noProof/>
        </w:rPr>
        <w:t>In Galicia, the industrial sector accounts for 16</w:t>
      </w:r>
      <w:r w:rsidR="009942B8" w:rsidRPr="00B93B0D">
        <w:rPr>
          <w:noProof/>
        </w:rPr>
        <w:t>,</w:t>
      </w:r>
      <w:r w:rsidRPr="00B93B0D">
        <w:rPr>
          <w:noProof/>
        </w:rPr>
        <w:t>4% of total regional employment</w:t>
      </w:r>
      <w:r w:rsidR="00C60083" w:rsidRPr="00B93B0D">
        <w:rPr>
          <w:rStyle w:val="FootnoteReference"/>
          <w:noProof/>
        </w:rPr>
        <w:footnoteReference w:id="8"/>
      </w:r>
      <w:r w:rsidRPr="00B93B0D">
        <w:rPr>
          <w:noProof/>
        </w:rPr>
        <w:t>—6,</w:t>
      </w:r>
      <w:r w:rsidR="0028567E" w:rsidRPr="00B93B0D">
        <w:rPr>
          <w:noProof/>
        </w:rPr>
        <w:t>5</w:t>
      </w:r>
      <w:r w:rsidRPr="00B93B0D">
        <w:rPr>
          <w:noProof/>
        </w:rPr>
        <w:t xml:space="preserve"> percentage points (pp) higher than the national average (9,</w:t>
      </w:r>
      <w:r w:rsidR="0028567E" w:rsidRPr="00B93B0D">
        <w:rPr>
          <w:noProof/>
        </w:rPr>
        <w:t>9</w:t>
      </w:r>
      <w:r w:rsidRPr="00B93B0D">
        <w:rPr>
          <w:noProof/>
        </w:rPr>
        <w:t>%)</w:t>
      </w:r>
      <w:r w:rsidR="0028567E" w:rsidRPr="00B93B0D">
        <w:rPr>
          <w:rStyle w:val="FootnoteReference"/>
          <w:noProof/>
        </w:rPr>
        <w:footnoteReference w:id="9"/>
      </w:r>
      <w:r w:rsidRPr="00B93B0D">
        <w:rPr>
          <w:noProof/>
        </w:rPr>
        <w:t>. The regional unemployment rate (8,4%)</w:t>
      </w:r>
      <w:r w:rsidR="009942B8" w:rsidRPr="00B93B0D">
        <w:rPr>
          <w:rStyle w:val="FootnoteReference"/>
          <w:noProof/>
        </w:rPr>
        <w:footnoteReference w:id="10"/>
      </w:r>
      <w:r w:rsidRPr="00B93B0D">
        <w:rPr>
          <w:noProof/>
        </w:rPr>
        <w:t xml:space="preserve"> is 2,</w:t>
      </w:r>
      <w:r w:rsidR="00EB02F0" w:rsidRPr="00B93B0D">
        <w:rPr>
          <w:noProof/>
        </w:rPr>
        <w:t>6</w:t>
      </w:r>
      <w:r w:rsidRPr="00B93B0D">
        <w:rPr>
          <w:noProof/>
        </w:rPr>
        <w:t xml:space="preserve"> pp above the EU average</w:t>
      </w:r>
      <w:r w:rsidR="009942B8" w:rsidRPr="00B93B0D">
        <w:rPr>
          <w:noProof/>
        </w:rPr>
        <w:t xml:space="preserve"> (</w:t>
      </w:r>
      <w:r w:rsidR="00EB02F0" w:rsidRPr="00B93B0D">
        <w:rPr>
          <w:noProof/>
        </w:rPr>
        <w:t>5,8%</w:t>
      </w:r>
      <w:r w:rsidR="009942B8" w:rsidRPr="00B93B0D">
        <w:rPr>
          <w:noProof/>
        </w:rPr>
        <w:t>)</w:t>
      </w:r>
      <w:r w:rsidR="008E0A34" w:rsidRPr="00B93B0D">
        <w:rPr>
          <w:rStyle w:val="FootnoteReference"/>
          <w:noProof/>
        </w:rPr>
        <w:footnoteReference w:id="11"/>
      </w:r>
      <w:r w:rsidRPr="00B93B0D">
        <w:rPr>
          <w:noProof/>
        </w:rPr>
        <w:t>, though 1,5 pp below Spain’s national rate (9,9%)</w:t>
      </w:r>
      <w:r w:rsidR="008E0A34" w:rsidRPr="00B93B0D">
        <w:rPr>
          <w:rStyle w:val="FootnoteReference"/>
          <w:noProof/>
        </w:rPr>
        <w:footnoteReference w:id="12"/>
      </w:r>
      <w:r w:rsidRPr="00B93B0D">
        <w:rPr>
          <w:noProof/>
        </w:rPr>
        <w:t xml:space="preserve">. However, in the territory affected by </w:t>
      </w:r>
      <w:r w:rsidRPr="00B93B0D">
        <w:rPr>
          <w:noProof/>
        </w:rPr>
        <w:lastRenderedPageBreak/>
        <w:t>redundancies, the Vigo area, unemployment stands at 11,2%</w:t>
      </w:r>
      <w:r w:rsidR="00EB02F0" w:rsidRPr="00B93B0D">
        <w:rPr>
          <w:rStyle w:val="FootnoteReference"/>
          <w:noProof/>
        </w:rPr>
        <w:footnoteReference w:id="13"/>
      </w:r>
      <w:r w:rsidRPr="00B93B0D">
        <w:rPr>
          <w:noProof/>
        </w:rPr>
        <w:t>, nearly 3 pp above the regional average, and almost double the EU average.</w:t>
      </w:r>
    </w:p>
    <w:p w:rsidR="000B43AC" w:rsidRPr="00B93B0D" w:rsidRDefault="000B43AC" w:rsidP="000B43AC">
      <w:pPr>
        <w:pStyle w:val="ManualNumPar1"/>
        <w:rPr>
          <w:noProof/>
        </w:rPr>
      </w:pPr>
      <w:r>
        <w:rPr>
          <w:noProof/>
        </w:rPr>
        <w:t>18.</w:t>
      </w:r>
      <w:r>
        <w:rPr>
          <w:noProof/>
        </w:rPr>
        <w:tab/>
      </w:r>
      <w:r w:rsidRPr="00B93B0D">
        <w:rPr>
          <w:noProof/>
        </w:rPr>
        <w:t>The regional employment rate (49,6%)</w:t>
      </w:r>
      <w:r w:rsidR="007E153F" w:rsidRPr="00B93B0D">
        <w:rPr>
          <w:rStyle w:val="FootnoteReference"/>
          <w:noProof/>
        </w:rPr>
        <w:footnoteReference w:id="14"/>
      </w:r>
      <w:r w:rsidRPr="00B93B0D">
        <w:rPr>
          <w:noProof/>
        </w:rPr>
        <w:t xml:space="preserve"> is 21 pp below Spain’s national rate (71,4%) and 26 pp lower than the EU average (75,8%)</w:t>
      </w:r>
      <w:r w:rsidR="007E153F" w:rsidRPr="00B93B0D">
        <w:rPr>
          <w:rStyle w:val="FootnoteReference"/>
          <w:noProof/>
        </w:rPr>
        <w:footnoteReference w:id="15"/>
      </w:r>
      <w:r w:rsidRPr="00B93B0D">
        <w:rPr>
          <w:noProof/>
        </w:rPr>
        <w:t>.</w:t>
      </w:r>
    </w:p>
    <w:p w:rsidR="001A62D7" w:rsidRPr="00B93B0D" w:rsidRDefault="000B43AC" w:rsidP="000B43AC">
      <w:pPr>
        <w:pStyle w:val="ManualNumPar1"/>
        <w:rPr>
          <w:noProof/>
        </w:rPr>
      </w:pPr>
      <w:r>
        <w:rPr>
          <w:noProof/>
        </w:rPr>
        <w:t>19.</w:t>
      </w:r>
      <w:r>
        <w:rPr>
          <w:noProof/>
        </w:rPr>
        <w:tab/>
      </w:r>
      <w:r w:rsidRPr="00B93B0D">
        <w:rPr>
          <w:noProof/>
        </w:rPr>
        <w:t>Given the challenges in the labour market affected by redundancies, workers will require tailored support to successfully transition to new employment.</w:t>
      </w:r>
    </w:p>
    <w:p w:rsidR="001A62D7" w:rsidRPr="00B93B0D" w:rsidRDefault="001A62D7" w:rsidP="00771F6F">
      <w:pPr>
        <w:pStyle w:val="ManualHeading2"/>
        <w:tabs>
          <w:tab w:val="clear" w:pos="850"/>
          <w:tab w:val="left" w:pos="0"/>
        </w:tabs>
        <w:ind w:left="0" w:firstLine="0"/>
        <w:rPr>
          <w:noProof/>
        </w:rPr>
      </w:pPr>
      <w:r w:rsidRPr="00B93B0D">
        <w:rPr>
          <w:noProof/>
        </w:rPr>
        <w:t>Application of the EU Quality Framework for anticipation of change and restructuring</w:t>
      </w:r>
      <w:r w:rsidR="00771F6F">
        <w:rPr>
          <w:noProof/>
        </w:rPr>
        <w:t xml:space="preserve"> </w:t>
      </w:r>
      <w:r w:rsidRPr="00B93B0D">
        <w:rPr>
          <w:noProof/>
        </w:rPr>
        <w:t>(QFR)</w:t>
      </w:r>
    </w:p>
    <w:p w:rsidR="001A62D7" w:rsidRPr="00B93B0D" w:rsidRDefault="00EB7E74" w:rsidP="00AE7D04">
      <w:pPr>
        <w:pStyle w:val="ManualNumPar1"/>
        <w:rPr>
          <w:noProof/>
        </w:rPr>
      </w:pPr>
      <w:r>
        <w:rPr>
          <w:noProof/>
        </w:rPr>
        <w:t>20.</w:t>
      </w:r>
      <w:r>
        <w:rPr>
          <w:noProof/>
        </w:rPr>
        <w:tab/>
      </w:r>
      <w:r w:rsidRPr="00B93B0D">
        <w:rPr>
          <w:noProof/>
        </w:rPr>
        <w:t>Spain</w:t>
      </w:r>
      <w:r w:rsidR="001A62D7" w:rsidRPr="00B93B0D">
        <w:rPr>
          <w:noProof/>
        </w:rPr>
        <w:t xml:space="preserve"> has described how the recommendations set out in the EU Quality Framework for anticipation of change and restructuring have been taken into account: </w:t>
      </w:r>
      <w:r w:rsidR="004032AD" w:rsidRPr="00B93B0D">
        <w:rPr>
          <w:noProof/>
        </w:rPr>
        <w:t>Spain has reported that national labour law requires enterprises to provide displaced workers with training and redeployment services for at least six months—delivered through an authorised outplacement provider—if the collective redundancy affects more than 50 employees. This obligation applied to two of the 20 enterprises referred to in paragraph 5</w:t>
      </w:r>
      <w:r w:rsidR="004032AD" w:rsidRPr="00B93B0D">
        <w:rPr>
          <w:rStyle w:val="FootnoteReference"/>
          <w:noProof/>
        </w:rPr>
        <w:footnoteReference w:id="16"/>
      </w:r>
      <w:r w:rsidR="001A62D7" w:rsidRPr="00B93B0D">
        <w:rPr>
          <w:noProof/>
        </w:rPr>
        <w:t>.</w:t>
      </w:r>
    </w:p>
    <w:p w:rsidR="001A62D7" w:rsidRPr="00B93B0D" w:rsidRDefault="001A62D7" w:rsidP="00AE7D04">
      <w:pPr>
        <w:pStyle w:val="ManualNumPar1"/>
        <w:rPr>
          <w:noProof/>
        </w:rPr>
      </w:pPr>
      <w:r>
        <w:rPr>
          <w:noProof/>
        </w:rPr>
        <w:t>21.</w:t>
      </w:r>
      <w:r>
        <w:rPr>
          <w:noProof/>
        </w:rPr>
        <w:tab/>
      </w:r>
      <w:r w:rsidRPr="00B93B0D">
        <w:rPr>
          <w:noProof/>
        </w:rPr>
        <w:t xml:space="preserve">Regarding the activities undertaken to assist the displaced workers, </w:t>
      </w:r>
      <w:r w:rsidR="00A42E41" w:rsidRPr="00B93B0D">
        <w:rPr>
          <w:noProof/>
        </w:rPr>
        <w:t>Spain</w:t>
      </w:r>
      <w:r w:rsidRPr="00B93B0D">
        <w:rPr>
          <w:noProof/>
        </w:rPr>
        <w:t xml:space="preserve"> has reported that </w:t>
      </w:r>
      <w:r w:rsidR="00A42E41" w:rsidRPr="00B93B0D">
        <w:rPr>
          <w:noProof/>
        </w:rPr>
        <w:t>Emprego Galicia, the regional public employment services, has provided the workers with access to its general services (job-search support, vocational counselling and training)</w:t>
      </w:r>
      <w:r w:rsidRPr="00B93B0D">
        <w:rPr>
          <w:noProof/>
        </w:rPr>
        <w:t>.</w:t>
      </w:r>
    </w:p>
    <w:p w:rsidR="001A62D7" w:rsidRPr="00B93B0D" w:rsidRDefault="001A62D7" w:rsidP="001A62D7">
      <w:pPr>
        <w:pStyle w:val="ManualHeading3"/>
        <w:rPr>
          <w:noProof/>
        </w:rPr>
      </w:pPr>
      <w:r w:rsidRPr="00B93B0D">
        <w:rPr>
          <w:noProof/>
        </w:rPr>
        <w:t>Complementarity with actions funded by national or Union funds</w:t>
      </w:r>
    </w:p>
    <w:p w:rsidR="001A62D7" w:rsidRPr="00B93B0D" w:rsidRDefault="00574487" w:rsidP="00AE7D04">
      <w:pPr>
        <w:pStyle w:val="ManualNumPar1"/>
        <w:rPr>
          <w:noProof/>
        </w:rPr>
      </w:pPr>
      <w:r>
        <w:rPr>
          <w:noProof/>
        </w:rPr>
        <w:t>22.</w:t>
      </w:r>
      <w:r>
        <w:rPr>
          <w:noProof/>
        </w:rPr>
        <w:tab/>
      </w:r>
      <w:r w:rsidRPr="00B93B0D">
        <w:rPr>
          <w:noProof/>
        </w:rPr>
        <w:t>Spain</w:t>
      </w:r>
      <w:r w:rsidR="001A62D7" w:rsidRPr="00B93B0D">
        <w:rPr>
          <w:noProof/>
        </w:rPr>
        <w:t xml:space="preserve"> has confirmed that the measures described below receiving a financial contribution from the EGF will not also receive financial contributions from other Union financial instruments.</w:t>
      </w:r>
    </w:p>
    <w:p w:rsidR="001A62D7" w:rsidRPr="00B93B0D" w:rsidRDefault="001A62D7" w:rsidP="00AE7D04">
      <w:pPr>
        <w:pStyle w:val="ManualNumPar1"/>
        <w:rPr>
          <w:noProof/>
        </w:rPr>
      </w:pPr>
      <w:r>
        <w:rPr>
          <w:noProof/>
        </w:rPr>
        <w:t>23.</w:t>
      </w:r>
      <w:r>
        <w:rPr>
          <w:noProof/>
        </w:rPr>
        <w:tab/>
      </w:r>
      <w:r w:rsidRPr="00B93B0D">
        <w:rPr>
          <w:noProof/>
        </w:rPr>
        <w:t>The coordinated package of personalised services complements actions funded by other national or EU funds</w:t>
      </w:r>
      <w:r w:rsidR="00574487" w:rsidRPr="00B93B0D">
        <w:rPr>
          <w:noProof/>
        </w:rPr>
        <w:t>.</w:t>
      </w:r>
    </w:p>
    <w:p w:rsidR="001A62D7" w:rsidRPr="00B93B0D" w:rsidRDefault="001A62D7" w:rsidP="001A62D7">
      <w:pPr>
        <w:pStyle w:val="ManualHeading3"/>
        <w:tabs>
          <w:tab w:val="clear" w:pos="850"/>
          <w:tab w:val="left" w:pos="0"/>
        </w:tabs>
        <w:ind w:left="0" w:firstLine="0"/>
        <w:rPr>
          <w:noProof/>
          <w:u w:val="single"/>
        </w:rPr>
      </w:pPr>
      <w:r w:rsidRPr="00B93B0D">
        <w:rPr>
          <w:noProof/>
        </w:rPr>
        <w:t>Procedures for consulting the targeted beneficiaries or their representatives or the social partners as well as local and regional authorities</w:t>
      </w:r>
    </w:p>
    <w:p w:rsidR="001A62D7" w:rsidRPr="00B93B0D" w:rsidRDefault="00574487" w:rsidP="00AE7D04">
      <w:pPr>
        <w:pStyle w:val="ManualNumPar1"/>
        <w:rPr>
          <w:noProof/>
        </w:rPr>
      </w:pPr>
      <w:r>
        <w:rPr>
          <w:noProof/>
        </w:rPr>
        <w:t>24.</w:t>
      </w:r>
      <w:r>
        <w:rPr>
          <w:noProof/>
        </w:rPr>
        <w:tab/>
      </w:r>
      <w:r w:rsidRPr="00B93B0D">
        <w:rPr>
          <w:noProof/>
        </w:rPr>
        <w:t>Spain</w:t>
      </w:r>
      <w:r w:rsidR="001A62D7" w:rsidRPr="00B93B0D">
        <w:rPr>
          <w:noProof/>
        </w:rPr>
        <w:t xml:space="preserve"> has indicated that the co-ordinated package of personalised services has been drawn up in consultation with </w:t>
      </w:r>
      <w:r w:rsidR="00433EDC" w:rsidRPr="00B93B0D">
        <w:rPr>
          <w:noProof/>
        </w:rPr>
        <w:t xml:space="preserve">the trade unions: </w:t>
      </w:r>
      <w:r w:rsidRPr="00B93B0D">
        <w:rPr>
          <w:noProof/>
        </w:rPr>
        <w:t>CCOO</w:t>
      </w:r>
      <w:r w:rsidR="00336E9F" w:rsidRPr="00B93B0D">
        <w:rPr>
          <w:rStyle w:val="FootnoteReference"/>
          <w:noProof/>
        </w:rPr>
        <w:footnoteReference w:id="17"/>
      </w:r>
      <w:r w:rsidRPr="00B93B0D">
        <w:rPr>
          <w:noProof/>
        </w:rPr>
        <w:t>, Industry, Metal, Construction and Allied Workers’ Federation of UGT (UGT-FICA</w:t>
      </w:r>
      <w:r w:rsidR="00DB077F" w:rsidRPr="00B93B0D">
        <w:rPr>
          <w:rStyle w:val="FootnoteReference"/>
          <w:noProof/>
        </w:rPr>
        <w:footnoteReference w:id="18"/>
      </w:r>
      <w:r w:rsidRPr="00B93B0D">
        <w:rPr>
          <w:noProof/>
        </w:rPr>
        <w:t xml:space="preserve">), </w:t>
      </w:r>
      <w:r w:rsidR="00433EDC" w:rsidRPr="00B93B0D">
        <w:rPr>
          <w:noProof/>
        </w:rPr>
        <w:t xml:space="preserve">and </w:t>
      </w:r>
      <w:r w:rsidRPr="00B93B0D">
        <w:rPr>
          <w:noProof/>
        </w:rPr>
        <w:t>CIG</w:t>
      </w:r>
      <w:r w:rsidR="009A5688" w:rsidRPr="00B93B0D">
        <w:rPr>
          <w:rStyle w:val="FootnoteReference"/>
          <w:noProof/>
        </w:rPr>
        <w:footnoteReference w:id="19"/>
      </w:r>
      <w:r w:rsidR="00433EDC" w:rsidRPr="00B93B0D">
        <w:rPr>
          <w:noProof/>
        </w:rPr>
        <w:t xml:space="preserve">; </w:t>
      </w:r>
      <w:r w:rsidRPr="00B93B0D">
        <w:rPr>
          <w:noProof/>
        </w:rPr>
        <w:t>Galician Employers’ Confederation</w:t>
      </w:r>
      <w:r w:rsidR="001B747A" w:rsidRPr="00B93B0D">
        <w:rPr>
          <w:noProof/>
        </w:rPr>
        <w:t xml:space="preserve">, </w:t>
      </w:r>
      <w:r w:rsidRPr="00B93B0D">
        <w:rPr>
          <w:noProof/>
        </w:rPr>
        <w:t>CEG</w:t>
      </w:r>
      <w:r w:rsidR="001B747A" w:rsidRPr="00B93B0D">
        <w:rPr>
          <w:noProof/>
        </w:rPr>
        <w:t>,</w:t>
      </w:r>
      <w:r w:rsidRPr="00B93B0D">
        <w:rPr>
          <w:noProof/>
        </w:rPr>
        <w:t xml:space="preserve"> and </w:t>
      </w:r>
      <w:r w:rsidR="004671F0" w:rsidRPr="00B93B0D">
        <w:rPr>
          <w:noProof/>
        </w:rPr>
        <w:t xml:space="preserve">Galicia automotive cluster, </w:t>
      </w:r>
      <w:r w:rsidR="001B747A" w:rsidRPr="00B93B0D">
        <w:rPr>
          <w:noProof/>
        </w:rPr>
        <w:t>CEAGA</w:t>
      </w:r>
      <w:r w:rsidR="001B747A" w:rsidRPr="00B93B0D">
        <w:rPr>
          <w:rStyle w:val="FootnoteReference"/>
          <w:noProof/>
        </w:rPr>
        <w:footnoteReference w:id="20"/>
      </w:r>
      <w:r w:rsidR="001A62D7" w:rsidRPr="00B93B0D">
        <w:rPr>
          <w:noProof/>
        </w:rPr>
        <w:t xml:space="preserve">, in compliance with Article 7(4) of Regulation (EU) 2021/691. </w:t>
      </w:r>
      <w:r w:rsidR="004924A8" w:rsidRPr="00B93B0D">
        <w:rPr>
          <w:noProof/>
        </w:rPr>
        <w:t>The Regional Government maintained an ongoing, structured consultation process, which concluded with in-person meetings held on 13 and 15 January 2026</w:t>
      </w:r>
      <w:r w:rsidR="00A75BE8" w:rsidRPr="00B93B0D">
        <w:rPr>
          <w:noProof/>
        </w:rPr>
        <w:t xml:space="preserve"> of all stakeholders</w:t>
      </w:r>
      <w:r w:rsidR="004924A8" w:rsidRPr="00B93B0D">
        <w:rPr>
          <w:rStyle w:val="FootnoteReference"/>
          <w:noProof/>
        </w:rPr>
        <w:footnoteReference w:id="21"/>
      </w:r>
      <w:r w:rsidR="004924A8" w:rsidRPr="00B93B0D">
        <w:rPr>
          <w:noProof/>
        </w:rPr>
        <w:t xml:space="preserve">. </w:t>
      </w:r>
      <w:r w:rsidR="00F76B79" w:rsidRPr="00B93B0D">
        <w:rPr>
          <w:noProof/>
        </w:rPr>
        <w:t>CEAGA was instrumental in shaping the training scope and offer</w:t>
      </w:r>
      <w:r w:rsidR="001A62D7" w:rsidRPr="00B93B0D">
        <w:rPr>
          <w:noProof/>
        </w:rPr>
        <w:t>.</w:t>
      </w:r>
    </w:p>
    <w:p w:rsidR="001A62D7" w:rsidRPr="00B93B0D" w:rsidRDefault="001A62D7" w:rsidP="001A62D7">
      <w:pPr>
        <w:pStyle w:val="ManualHeading2"/>
        <w:rPr>
          <w:noProof/>
        </w:rPr>
      </w:pPr>
      <w:r w:rsidRPr="00B93B0D">
        <w:rPr>
          <w:noProof/>
        </w:rPr>
        <w:lastRenderedPageBreak/>
        <w:t>Targeted beneficiaries and proposed measures</w:t>
      </w:r>
    </w:p>
    <w:p w:rsidR="001A62D7" w:rsidRPr="00B93B0D" w:rsidRDefault="001A62D7" w:rsidP="001A62D7">
      <w:pPr>
        <w:pStyle w:val="ManualHeading3"/>
        <w:rPr>
          <w:noProof/>
        </w:rPr>
      </w:pPr>
      <w:r w:rsidRPr="00B93B0D">
        <w:rPr>
          <w:noProof/>
        </w:rPr>
        <w:t>Targeted beneficiaries</w:t>
      </w:r>
    </w:p>
    <w:p w:rsidR="001A62D7" w:rsidRPr="00B93B0D" w:rsidRDefault="001A62D7" w:rsidP="00AE7D04">
      <w:pPr>
        <w:pStyle w:val="ManualNumPar1"/>
        <w:rPr>
          <w:noProof/>
        </w:rPr>
      </w:pPr>
      <w:r>
        <w:rPr>
          <w:noProof/>
        </w:rPr>
        <w:t>25.</w:t>
      </w:r>
      <w:r>
        <w:rPr>
          <w:noProof/>
        </w:rPr>
        <w:tab/>
      </w:r>
      <w:r w:rsidRPr="00B93B0D">
        <w:rPr>
          <w:noProof/>
        </w:rPr>
        <w:t xml:space="preserve">The estimated number of displaced workers expected to participate in the measures is </w:t>
      </w:r>
      <w:r w:rsidR="002C701E" w:rsidRPr="00B93B0D">
        <w:rPr>
          <w:noProof/>
        </w:rPr>
        <w:t>400</w:t>
      </w:r>
      <w:r w:rsidRPr="00B93B0D">
        <w:rPr>
          <w:noProof/>
        </w:rPr>
        <w:t>. Pursuant to Article 8(7), point (f), of Regulation (EU) 2021/691, the provided breakdown of these workers 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RPr="00B93B0D" w:rsidTr="001D5990">
        <w:trPr>
          <w:jc w:val="center"/>
        </w:trPr>
        <w:tc>
          <w:tcPr>
            <w:tcW w:w="3559" w:type="dxa"/>
            <w:gridSpan w:val="2"/>
            <w:tcBorders>
              <w:top w:val="single" w:sz="4" w:space="0" w:color="auto"/>
              <w:left w:val="nil"/>
              <w:bottom w:val="single" w:sz="4" w:space="0" w:color="auto"/>
              <w:right w:val="nil"/>
            </w:tcBorders>
            <w:hideMark/>
          </w:tcPr>
          <w:p w:rsidR="001A62D7" w:rsidRPr="00B93B0D" w:rsidRDefault="001A62D7" w:rsidP="001D5990">
            <w:pPr>
              <w:spacing w:before="60" w:after="60"/>
              <w:jc w:val="center"/>
              <w:rPr>
                <w:noProof/>
              </w:rPr>
            </w:pPr>
            <w:r w:rsidRPr="00B93B0D">
              <w:rPr>
                <w:noProof/>
              </w:rPr>
              <w:t>Category</w:t>
            </w:r>
          </w:p>
        </w:tc>
        <w:tc>
          <w:tcPr>
            <w:tcW w:w="2352" w:type="dxa"/>
            <w:gridSpan w:val="2"/>
            <w:tcBorders>
              <w:top w:val="single" w:sz="4" w:space="0" w:color="auto"/>
              <w:left w:val="nil"/>
              <w:bottom w:val="single" w:sz="4" w:space="0" w:color="auto"/>
              <w:right w:val="nil"/>
            </w:tcBorders>
            <w:hideMark/>
          </w:tcPr>
          <w:p w:rsidR="001A62D7" w:rsidRPr="00B93B0D" w:rsidRDefault="001A62D7" w:rsidP="001D5990">
            <w:pPr>
              <w:spacing w:before="60" w:after="60"/>
              <w:jc w:val="center"/>
              <w:rPr>
                <w:noProof/>
              </w:rPr>
            </w:pPr>
            <w:r w:rsidRPr="00B93B0D">
              <w:rPr>
                <w:noProof/>
              </w:rPr>
              <w:t xml:space="preserve">Number of </w:t>
            </w:r>
            <w:r w:rsidRPr="00B93B0D">
              <w:rPr>
                <w:noProof/>
              </w:rPr>
              <w:br/>
              <w:t>expected beneficiaries</w:t>
            </w:r>
          </w:p>
        </w:tc>
      </w:tr>
      <w:tr w:rsidR="001A62D7" w:rsidRPr="00B93B0D" w:rsidTr="001D5990">
        <w:trPr>
          <w:jc w:val="center"/>
        </w:trPr>
        <w:tc>
          <w:tcPr>
            <w:tcW w:w="1496" w:type="dxa"/>
            <w:tcBorders>
              <w:top w:val="single" w:sz="4" w:space="0" w:color="auto"/>
              <w:left w:val="nil"/>
              <w:right w:val="nil"/>
            </w:tcBorders>
            <w:hideMark/>
          </w:tcPr>
          <w:p w:rsidR="001A62D7" w:rsidRPr="00B93B0D" w:rsidRDefault="001A62D7" w:rsidP="001D5990">
            <w:pPr>
              <w:spacing w:before="60" w:after="60"/>
              <w:rPr>
                <w:noProof/>
              </w:rPr>
            </w:pPr>
            <w:r w:rsidRPr="00B93B0D">
              <w:rPr>
                <w:noProof/>
              </w:rPr>
              <w:t>Gender:</w:t>
            </w:r>
          </w:p>
        </w:tc>
        <w:tc>
          <w:tcPr>
            <w:tcW w:w="2063" w:type="dxa"/>
            <w:tcBorders>
              <w:top w:val="single" w:sz="4" w:space="0" w:color="auto"/>
              <w:left w:val="nil"/>
              <w:right w:val="nil"/>
            </w:tcBorders>
            <w:hideMark/>
          </w:tcPr>
          <w:p w:rsidR="001A62D7" w:rsidRPr="00B93B0D" w:rsidRDefault="001A62D7" w:rsidP="001D5990">
            <w:pPr>
              <w:spacing w:before="60" w:after="60"/>
              <w:rPr>
                <w:noProof/>
              </w:rPr>
            </w:pPr>
            <w:r w:rsidRPr="00B93B0D">
              <w:rPr>
                <w:noProof/>
              </w:rPr>
              <w:t>Men:</w:t>
            </w:r>
          </w:p>
        </w:tc>
        <w:tc>
          <w:tcPr>
            <w:tcW w:w="1176" w:type="dxa"/>
            <w:tcBorders>
              <w:top w:val="single" w:sz="4" w:space="0" w:color="auto"/>
              <w:left w:val="nil"/>
              <w:right w:val="nil"/>
            </w:tcBorders>
            <w:hideMark/>
          </w:tcPr>
          <w:p w:rsidR="001A62D7" w:rsidRPr="00B93B0D" w:rsidRDefault="002C701E" w:rsidP="001D5990">
            <w:pPr>
              <w:spacing w:before="60" w:after="60"/>
              <w:jc w:val="right"/>
              <w:rPr>
                <w:noProof/>
              </w:rPr>
            </w:pPr>
            <w:r w:rsidRPr="00B93B0D">
              <w:rPr>
                <w:noProof/>
              </w:rPr>
              <w:t>285</w:t>
            </w:r>
          </w:p>
        </w:tc>
        <w:tc>
          <w:tcPr>
            <w:tcW w:w="1176" w:type="dxa"/>
            <w:tcBorders>
              <w:top w:val="single" w:sz="4" w:space="0" w:color="auto"/>
              <w:left w:val="nil"/>
              <w:right w:val="nil"/>
            </w:tcBorders>
            <w:hideMark/>
          </w:tcPr>
          <w:p w:rsidR="001A62D7" w:rsidRPr="00B93B0D" w:rsidRDefault="001A62D7" w:rsidP="001D5990">
            <w:pPr>
              <w:spacing w:before="60" w:after="60"/>
              <w:jc w:val="right"/>
              <w:rPr>
                <w:noProof/>
              </w:rPr>
            </w:pPr>
            <w:r w:rsidRPr="00B93B0D">
              <w:rPr>
                <w:rFonts w:eastAsia="Calibri"/>
                <w:noProof/>
              </w:rPr>
              <w:t>(</w:t>
            </w:r>
            <w:r w:rsidR="002C701E" w:rsidRPr="00B93B0D">
              <w:rPr>
                <w:noProof/>
              </w:rPr>
              <w:t>71,3</w:t>
            </w:r>
            <w:r w:rsidRPr="00B93B0D">
              <w:rPr>
                <w:rFonts w:eastAsia="Calibri"/>
                <w:noProof/>
              </w:rPr>
              <w:t> %)</w:t>
            </w:r>
          </w:p>
        </w:tc>
      </w:tr>
      <w:tr w:rsidR="001A62D7" w:rsidRPr="00B93B0D" w:rsidTr="001D5990">
        <w:trPr>
          <w:jc w:val="center"/>
        </w:trPr>
        <w:tc>
          <w:tcPr>
            <w:tcW w:w="1496" w:type="dxa"/>
            <w:tcBorders>
              <w:top w:val="nil"/>
              <w:left w:val="nil"/>
              <w:right w:val="nil"/>
            </w:tcBorders>
          </w:tcPr>
          <w:p w:rsidR="001A62D7" w:rsidRPr="00B93B0D" w:rsidRDefault="001A62D7" w:rsidP="001D5990">
            <w:pPr>
              <w:spacing w:before="60" w:after="60"/>
              <w:rPr>
                <w:noProof/>
              </w:rPr>
            </w:pPr>
          </w:p>
        </w:tc>
        <w:tc>
          <w:tcPr>
            <w:tcW w:w="2063" w:type="dxa"/>
            <w:tcBorders>
              <w:top w:val="nil"/>
              <w:left w:val="nil"/>
              <w:right w:val="nil"/>
            </w:tcBorders>
          </w:tcPr>
          <w:p w:rsidR="001A62D7" w:rsidRPr="00B93B0D" w:rsidRDefault="001A62D7" w:rsidP="001D5990">
            <w:pPr>
              <w:spacing w:before="60" w:after="60"/>
              <w:rPr>
                <w:rFonts w:eastAsia="Calibri"/>
                <w:noProof/>
              </w:rPr>
            </w:pPr>
            <w:r w:rsidRPr="00B93B0D">
              <w:rPr>
                <w:rFonts w:eastAsia="Calibri"/>
                <w:noProof/>
              </w:rPr>
              <w:t>W</w:t>
            </w:r>
            <w:r w:rsidRPr="00B93B0D">
              <w:rPr>
                <w:noProof/>
              </w:rPr>
              <w:t>omen:</w:t>
            </w:r>
          </w:p>
        </w:tc>
        <w:tc>
          <w:tcPr>
            <w:tcW w:w="1176" w:type="dxa"/>
          </w:tcPr>
          <w:p w:rsidR="001A62D7" w:rsidRPr="00B93B0D" w:rsidRDefault="002C701E" w:rsidP="001D5990">
            <w:pPr>
              <w:spacing w:before="60" w:after="60"/>
              <w:jc w:val="right"/>
              <w:rPr>
                <w:noProof/>
              </w:rPr>
            </w:pPr>
            <w:r w:rsidRPr="00B93B0D">
              <w:rPr>
                <w:noProof/>
              </w:rPr>
              <w:t>115</w:t>
            </w:r>
          </w:p>
        </w:tc>
        <w:tc>
          <w:tcPr>
            <w:tcW w:w="1176" w:type="dxa"/>
          </w:tcPr>
          <w:p w:rsidR="001A62D7" w:rsidRPr="00B93B0D" w:rsidRDefault="001A62D7" w:rsidP="001D5990">
            <w:pPr>
              <w:spacing w:before="60" w:after="60"/>
              <w:jc w:val="right"/>
              <w:rPr>
                <w:rFonts w:eastAsia="Calibri"/>
                <w:noProof/>
              </w:rPr>
            </w:pPr>
            <w:r w:rsidRPr="00B93B0D">
              <w:rPr>
                <w:rFonts w:eastAsia="Calibri"/>
                <w:noProof/>
              </w:rPr>
              <w:t>(</w:t>
            </w:r>
            <w:r w:rsidR="002C701E" w:rsidRPr="00B93B0D">
              <w:rPr>
                <w:noProof/>
              </w:rPr>
              <w:t>28.7</w:t>
            </w:r>
            <w:r w:rsidRPr="00B93B0D">
              <w:rPr>
                <w:rFonts w:eastAsia="Calibri"/>
                <w:noProof/>
              </w:rPr>
              <w:t> %)</w:t>
            </w:r>
          </w:p>
        </w:tc>
      </w:tr>
      <w:tr w:rsidR="001A62D7" w:rsidRPr="00B93B0D" w:rsidTr="001D5990">
        <w:trPr>
          <w:jc w:val="center"/>
        </w:trPr>
        <w:tc>
          <w:tcPr>
            <w:tcW w:w="1496" w:type="dxa"/>
            <w:tcBorders>
              <w:left w:val="nil"/>
              <w:bottom w:val="single" w:sz="4" w:space="0" w:color="auto"/>
              <w:right w:val="nil"/>
            </w:tcBorders>
          </w:tcPr>
          <w:p w:rsidR="001A62D7" w:rsidRPr="00B93B0D" w:rsidRDefault="001A62D7" w:rsidP="001D5990">
            <w:pPr>
              <w:spacing w:before="60" w:after="60"/>
              <w:rPr>
                <w:noProof/>
              </w:rPr>
            </w:pPr>
          </w:p>
        </w:tc>
        <w:tc>
          <w:tcPr>
            <w:tcW w:w="2063" w:type="dxa"/>
            <w:tcBorders>
              <w:left w:val="nil"/>
              <w:bottom w:val="single" w:sz="4" w:space="0" w:color="auto"/>
              <w:right w:val="nil"/>
            </w:tcBorders>
          </w:tcPr>
          <w:p w:rsidR="001A62D7" w:rsidRPr="00B93B0D" w:rsidRDefault="001A62D7" w:rsidP="001D5990">
            <w:pPr>
              <w:spacing w:before="60" w:after="60"/>
              <w:rPr>
                <w:noProof/>
              </w:rPr>
            </w:pPr>
            <w:r w:rsidRPr="00B93B0D">
              <w:rPr>
                <w:rFonts w:eastAsia="Calibri"/>
                <w:noProof/>
              </w:rPr>
              <w:t>Non-binary</w:t>
            </w:r>
          </w:p>
        </w:tc>
        <w:tc>
          <w:tcPr>
            <w:tcW w:w="1176" w:type="dxa"/>
            <w:tcBorders>
              <w:bottom w:val="single" w:sz="4" w:space="0" w:color="auto"/>
            </w:tcBorders>
            <w:hideMark/>
          </w:tcPr>
          <w:p w:rsidR="001A62D7" w:rsidRPr="00B93B0D" w:rsidRDefault="002C701E" w:rsidP="001D5990">
            <w:pPr>
              <w:spacing w:before="60" w:after="60"/>
              <w:jc w:val="right"/>
              <w:rPr>
                <w:noProof/>
              </w:rPr>
            </w:pPr>
            <w:r w:rsidRPr="00B93B0D">
              <w:rPr>
                <w:noProof/>
              </w:rPr>
              <w:t>0</w:t>
            </w:r>
          </w:p>
        </w:tc>
        <w:tc>
          <w:tcPr>
            <w:tcW w:w="1176" w:type="dxa"/>
            <w:tcBorders>
              <w:bottom w:val="single" w:sz="4" w:space="0" w:color="auto"/>
            </w:tcBorders>
            <w:hideMark/>
          </w:tcPr>
          <w:p w:rsidR="001A62D7" w:rsidRPr="00B93B0D" w:rsidRDefault="001A62D7" w:rsidP="001D5990">
            <w:pPr>
              <w:spacing w:before="60" w:after="60"/>
              <w:jc w:val="right"/>
              <w:rPr>
                <w:noProof/>
              </w:rPr>
            </w:pPr>
            <w:r w:rsidRPr="00B93B0D">
              <w:rPr>
                <w:rFonts w:eastAsia="Calibri"/>
                <w:noProof/>
              </w:rPr>
              <w:t>(</w:t>
            </w:r>
            <w:r w:rsidR="002C701E" w:rsidRPr="00B93B0D">
              <w:rPr>
                <w:noProof/>
              </w:rPr>
              <w:t>0,0</w:t>
            </w:r>
            <w:r w:rsidRPr="00B93B0D">
              <w:rPr>
                <w:rFonts w:eastAsia="Calibri"/>
                <w:noProof/>
              </w:rPr>
              <w:t> %)</w:t>
            </w:r>
          </w:p>
        </w:tc>
      </w:tr>
      <w:tr w:rsidR="001A62D7" w:rsidRPr="00B93B0D" w:rsidTr="001D5990">
        <w:trPr>
          <w:jc w:val="center"/>
        </w:trPr>
        <w:tc>
          <w:tcPr>
            <w:tcW w:w="1496" w:type="dxa"/>
            <w:tcBorders>
              <w:top w:val="single" w:sz="4" w:space="0" w:color="auto"/>
              <w:left w:val="nil"/>
              <w:bottom w:val="nil"/>
              <w:right w:val="nil"/>
            </w:tcBorders>
            <w:hideMark/>
          </w:tcPr>
          <w:p w:rsidR="001A62D7" w:rsidRPr="00B93B0D" w:rsidRDefault="001A62D7" w:rsidP="001D5990">
            <w:pPr>
              <w:spacing w:before="60" w:after="60"/>
              <w:rPr>
                <w:noProof/>
              </w:rPr>
            </w:pPr>
            <w:r w:rsidRPr="00B93B0D">
              <w:rPr>
                <w:noProof/>
              </w:rPr>
              <w:t>Age group:</w:t>
            </w:r>
          </w:p>
        </w:tc>
        <w:tc>
          <w:tcPr>
            <w:tcW w:w="2063" w:type="dxa"/>
            <w:tcBorders>
              <w:top w:val="single" w:sz="4" w:space="0" w:color="auto"/>
              <w:left w:val="nil"/>
              <w:bottom w:val="nil"/>
              <w:right w:val="nil"/>
            </w:tcBorders>
            <w:hideMark/>
          </w:tcPr>
          <w:p w:rsidR="001A62D7" w:rsidRPr="00B93B0D" w:rsidRDefault="001A62D7" w:rsidP="001D5990">
            <w:pPr>
              <w:spacing w:before="60" w:after="60"/>
              <w:rPr>
                <w:noProof/>
              </w:rPr>
            </w:pPr>
            <w:r w:rsidRPr="00B93B0D">
              <w:rPr>
                <w:noProof/>
              </w:rPr>
              <w:t>Below 30 years:</w:t>
            </w:r>
          </w:p>
        </w:tc>
        <w:tc>
          <w:tcPr>
            <w:tcW w:w="1176" w:type="dxa"/>
            <w:tcBorders>
              <w:top w:val="single" w:sz="4" w:space="0" w:color="auto"/>
            </w:tcBorders>
            <w:hideMark/>
          </w:tcPr>
          <w:p w:rsidR="001A62D7" w:rsidRPr="00B93B0D" w:rsidRDefault="002C701E" w:rsidP="001D5990">
            <w:pPr>
              <w:spacing w:before="60" w:after="60"/>
              <w:jc w:val="right"/>
              <w:rPr>
                <w:noProof/>
              </w:rPr>
            </w:pPr>
            <w:r w:rsidRPr="00B93B0D">
              <w:rPr>
                <w:noProof/>
              </w:rPr>
              <w:t>14</w:t>
            </w:r>
          </w:p>
        </w:tc>
        <w:tc>
          <w:tcPr>
            <w:tcW w:w="1176" w:type="dxa"/>
            <w:tcBorders>
              <w:top w:val="single" w:sz="4" w:space="0" w:color="auto"/>
            </w:tcBorders>
            <w:hideMark/>
          </w:tcPr>
          <w:p w:rsidR="001A62D7" w:rsidRPr="00B93B0D" w:rsidRDefault="001A62D7" w:rsidP="001D5990">
            <w:pPr>
              <w:spacing w:before="60" w:after="60"/>
              <w:jc w:val="right"/>
              <w:rPr>
                <w:noProof/>
              </w:rPr>
            </w:pPr>
            <w:r w:rsidRPr="00B93B0D">
              <w:rPr>
                <w:rFonts w:eastAsia="Calibri"/>
                <w:noProof/>
              </w:rPr>
              <w:t>(</w:t>
            </w:r>
            <w:r w:rsidR="002C701E" w:rsidRPr="00B93B0D">
              <w:rPr>
                <w:noProof/>
              </w:rPr>
              <w:t>3,5</w:t>
            </w:r>
            <w:r w:rsidRPr="00B93B0D">
              <w:rPr>
                <w:rFonts w:eastAsia="Calibri"/>
                <w:noProof/>
              </w:rPr>
              <w:t> %)</w:t>
            </w:r>
          </w:p>
        </w:tc>
      </w:tr>
      <w:tr w:rsidR="001A62D7" w:rsidRPr="00B93B0D" w:rsidTr="001D5990">
        <w:trPr>
          <w:jc w:val="center"/>
        </w:trPr>
        <w:tc>
          <w:tcPr>
            <w:tcW w:w="1496" w:type="dxa"/>
          </w:tcPr>
          <w:p w:rsidR="001A62D7" w:rsidRPr="00B93B0D" w:rsidRDefault="001A62D7" w:rsidP="001D5990">
            <w:pPr>
              <w:spacing w:before="60" w:after="60"/>
              <w:rPr>
                <w:noProof/>
              </w:rPr>
            </w:pPr>
          </w:p>
        </w:tc>
        <w:tc>
          <w:tcPr>
            <w:tcW w:w="2063" w:type="dxa"/>
            <w:hideMark/>
          </w:tcPr>
          <w:p w:rsidR="001A62D7" w:rsidRPr="00B93B0D" w:rsidRDefault="001A62D7" w:rsidP="001D5990">
            <w:pPr>
              <w:spacing w:before="60" w:after="60"/>
              <w:rPr>
                <w:noProof/>
              </w:rPr>
            </w:pPr>
            <w:r w:rsidRPr="00B93B0D">
              <w:rPr>
                <w:rFonts w:eastAsia="Calibri"/>
                <w:noProof/>
              </w:rPr>
              <w:t>30-54 years:</w:t>
            </w:r>
          </w:p>
        </w:tc>
        <w:tc>
          <w:tcPr>
            <w:tcW w:w="1176" w:type="dxa"/>
            <w:hideMark/>
          </w:tcPr>
          <w:p w:rsidR="001A62D7" w:rsidRPr="00B93B0D" w:rsidRDefault="002C701E" w:rsidP="001D5990">
            <w:pPr>
              <w:spacing w:before="60" w:after="60"/>
              <w:jc w:val="right"/>
              <w:rPr>
                <w:noProof/>
              </w:rPr>
            </w:pPr>
            <w:r w:rsidRPr="00B93B0D">
              <w:rPr>
                <w:noProof/>
              </w:rPr>
              <w:t>286</w:t>
            </w:r>
          </w:p>
        </w:tc>
        <w:tc>
          <w:tcPr>
            <w:tcW w:w="1176" w:type="dxa"/>
            <w:hideMark/>
          </w:tcPr>
          <w:p w:rsidR="001A62D7" w:rsidRPr="00B93B0D" w:rsidRDefault="001A62D7" w:rsidP="001D5990">
            <w:pPr>
              <w:spacing w:before="60" w:after="60"/>
              <w:jc w:val="right"/>
              <w:rPr>
                <w:noProof/>
              </w:rPr>
            </w:pPr>
            <w:r w:rsidRPr="00B93B0D">
              <w:rPr>
                <w:rFonts w:eastAsia="Calibri"/>
                <w:noProof/>
              </w:rPr>
              <w:t>(</w:t>
            </w:r>
            <w:r w:rsidR="002C701E" w:rsidRPr="00B93B0D">
              <w:rPr>
                <w:noProof/>
              </w:rPr>
              <w:t>71,5</w:t>
            </w:r>
            <w:r w:rsidRPr="00B93B0D">
              <w:rPr>
                <w:rFonts w:eastAsia="Calibri"/>
                <w:noProof/>
              </w:rPr>
              <w:t> %)</w:t>
            </w:r>
          </w:p>
        </w:tc>
      </w:tr>
      <w:tr w:rsidR="001A62D7" w:rsidRPr="00B93B0D" w:rsidTr="001D5990">
        <w:trPr>
          <w:jc w:val="center"/>
        </w:trPr>
        <w:tc>
          <w:tcPr>
            <w:tcW w:w="1496" w:type="dxa"/>
          </w:tcPr>
          <w:p w:rsidR="001A62D7" w:rsidRPr="00B93B0D" w:rsidRDefault="001A62D7" w:rsidP="001D5990">
            <w:pPr>
              <w:spacing w:before="60" w:after="60"/>
              <w:rPr>
                <w:noProof/>
              </w:rPr>
            </w:pPr>
          </w:p>
        </w:tc>
        <w:tc>
          <w:tcPr>
            <w:tcW w:w="2063" w:type="dxa"/>
            <w:hideMark/>
          </w:tcPr>
          <w:p w:rsidR="001A62D7" w:rsidRPr="00B93B0D" w:rsidRDefault="001A62D7" w:rsidP="001D5990">
            <w:pPr>
              <w:spacing w:before="60" w:after="60"/>
              <w:jc w:val="left"/>
              <w:rPr>
                <w:noProof/>
              </w:rPr>
            </w:pPr>
            <w:r w:rsidRPr="00B93B0D">
              <w:rPr>
                <w:noProof/>
              </w:rPr>
              <w:t>Over 54 years:</w:t>
            </w:r>
          </w:p>
        </w:tc>
        <w:tc>
          <w:tcPr>
            <w:tcW w:w="1176" w:type="dxa"/>
            <w:hideMark/>
          </w:tcPr>
          <w:p w:rsidR="001A62D7" w:rsidRPr="00B93B0D" w:rsidRDefault="002C701E" w:rsidP="001D5990">
            <w:pPr>
              <w:spacing w:before="60" w:after="60"/>
              <w:jc w:val="right"/>
              <w:rPr>
                <w:noProof/>
              </w:rPr>
            </w:pPr>
            <w:r w:rsidRPr="00B93B0D">
              <w:rPr>
                <w:noProof/>
              </w:rPr>
              <w:t>100</w:t>
            </w:r>
          </w:p>
        </w:tc>
        <w:tc>
          <w:tcPr>
            <w:tcW w:w="1176" w:type="dxa"/>
            <w:hideMark/>
          </w:tcPr>
          <w:p w:rsidR="001A62D7" w:rsidRPr="00B93B0D" w:rsidRDefault="001A62D7" w:rsidP="001D5990">
            <w:pPr>
              <w:spacing w:before="60" w:after="60"/>
              <w:jc w:val="right"/>
              <w:rPr>
                <w:noProof/>
              </w:rPr>
            </w:pPr>
            <w:r w:rsidRPr="00B93B0D">
              <w:rPr>
                <w:rFonts w:eastAsia="Calibri"/>
                <w:noProof/>
              </w:rPr>
              <w:t>(</w:t>
            </w:r>
            <w:r w:rsidR="002C701E" w:rsidRPr="00B93B0D">
              <w:rPr>
                <w:noProof/>
              </w:rPr>
              <w:t>25,0</w:t>
            </w:r>
            <w:r w:rsidRPr="00B93B0D">
              <w:rPr>
                <w:rFonts w:eastAsia="Calibri"/>
                <w:noProof/>
              </w:rPr>
              <w:t> %)</w:t>
            </w:r>
          </w:p>
        </w:tc>
      </w:tr>
      <w:tr w:rsidR="001A62D7" w:rsidRPr="00B93B0D" w:rsidTr="001D5990">
        <w:trPr>
          <w:jc w:val="center"/>
        </w:trPr>
        <w:tc>
          <w:tcPr>
            <w:tcW w:w="1496" w:type="dxa"/>
            <w:tcBorders>
              <w:top w:val="single" w:sz="4" w:space="0" w:color="auto"/>
              <w:left w:val="nil"/>
              <w:bottom w:val="nil"/>
              <w:right w:val="nil"/>
            </w:tcBorders>
          </w:tcPr>
          <w:p w:rsidR="001A62D7" w:rsidRPr="00B93B0D" w:rsidRDefault="001A62D7" w:rsidP="001D5990">
            <w:pPr>
              <w:spacing w:before="60" w:after="60"/>
              <w:rPr>
                <w:noProof/>
              </w:rPr>
            </w:pPr>
            <w:r w:rsidRPr="00B93B0D">
              <w:rPr>
                <w:noProof/>
              </w:rPr>
              <w:t>Educational level</w:t>
            </w:r>
          </w:p>
        </w:tc>
        <w:tc>
          <w:tcPr>
            <w:tcW w:w="2063" w:type="dxa"/>
            <w:tcBorders>
              <w:top w:val="single" w:sz="4" w:space="0" w:color="auto"/>
              <w:left w:val="nil"/>
              <w:bottom w:val="nil"/>
              <w:right w:val="nil"/>
            </w:tcBorders>
          </w:tcPr>
          <w:p w:rsidR="001A62D7" w:rsidRPr="00B93B0D" w:rsidRDefault="001A62D7" w:rsidP="001D5990">
            <w:pPr>
              <w:spacing w:before="60" w:after="60"/>
              <w:rPr>
                <w:noProof/>
              </w:rPr>
            </w:pPr>
            <w:r w:rsidRPr="00B93B0D">
              <w:rPr>
                <w:noProof/>
              </w:rPr>
              <w:t>Lower secondary education or less</w:t>
            </w:r>
            <w:r w:rsidRPr="00B93B0D">
              <w:rPr>
                <w:rStyle w:val="FootnoteReference"/>
                <w:noProof/>
              </w:rPr>
              <w:footnoteReference w:id="22"/>
            </w:r>
            <w:r w:rsidRPr="00B93B0D">
              <w:rPr>
                <w:noProof/>
              </w:rPr>
              <w:t xml:space="preserve"> </w:t>
            </w:r>
          </w:p>
        </w:tc>
        <w:tc>
          <w:tcPr>
            <w:tcW w:w="1176" w:type="dxa"/>
            <w:tcBorders>
              <w:top w:val="single" w:sz="4" w:space="0" w:color="auto"/>
              <w:left w:val="nil"/>
              <w:bottom w:val="nil"/>
              <w:right w:val="nil"/>
            </w:tcBorders>
          </w:tcPr>
          <w:p w:rsidR="001A62D7" w:rsidRPr="00B93B0D" w:rsidRDefault="002C701E" w:rsidP="001D5990">
            <w:pPr>
              <w:spacing w:before="60" w:after="60"/>
              <w:jc w:val="right"/>
              <w:rPr>
                <w:noProof/>
              </w:rPr>
            </w:pPr>
            <w:r w:rsidRPr="00B93B0D">
              <w:rPr>
                <w:noProof/>
              </w:rPr>
              <w:t>100</w:t>
            </w:r>
          </w:p>
        </w:tc>
        <w:tc>
          <w:tcPr>
            <w:tcW w:w="1176" w:type="dxa"/>
            <w:tcBorders>
              <w:top w:val="single" w:sz="4" w:space="0" w:color="auto"/>
              <w:left w:val="nil"/>
              <w:bottom w:val="nil"/>
              <w:right w:val="nil"/>
            </w:tcBorders>
          </w:tcPr>
          <w:p w:rsidR="001A62D7" w:rsidRPr="00B93B0D" w:rsidRDefault="001A62D7" w:rsidP="001D5990">
            <w:pPr>
              <w:spacing w:before="60" w:after="60"/>
              <w:jc w:val="right"/>
              <w:rPr>
                <w:rFonts w:eastAsia="Calibri"/>
                <w:noProof/>
              </w:rPr>
            </w:pPr>
            <w:r w:rsidRPr="00B93B0D">
              <w:rPr>
                <w:rFonts w:eastAsia="Calibri"/>
                <w:noProof/>
              </w:rPr>
              <w:t>(</w:t>
            </w:r>
            <w:r w:rsidR="002C701E" w:rsidRPr="00B93B0D">
              <w:rPr>
                <w:noProof/>
              </w:rPr>
              <w:t>25,0</w:t>
            </w:r>
            <w:r w:rsidRPr="00B93B0D">
              <w:rPr>
                <w:rFonts w:eastAsia="Calibri"/>
                <w:noProof/>
              </w:rPr>
              <w:t> %)</w:t>
            </w:r>
          </w:p>
        </w:tc>
      </w:tr>
      <w:tr w:rsidR="001A62D7" w:rsidRPr="00B93B0D" w:rsidTr="001D5990">
        <w:trPr>
          <w:jc w:val="center"/>
        </w:trPr>
        <w:tc>
          <w:tcPr>
            <w:tcW w:w="1496" w:type="dxa"/>
            <w:tcBorders>
              <w:top w:val="nil"/>
              <w:left w:val="nil"/>
              <w:right w:val="nil"/>
            </w:tcBorders>
          </w:tcPr>
          <w:p w:rsidR="001A62D7" w:rsidRPr="00B93B0D" w:rsidRDefault="001A62D7" w:rsidP="001D5990">
            <w:pPr>
              <w:spacing w:before="60" w:after="60"/>
              <w:rPr>
                <w:noProof/>
              </w:rPr>
            </w:pPr>
          </w:p>
        </w:tc>
        <w:tc>
          <w:tcPr>
            <w:tcW w:w="2063" w:type="dxa"/>
            <w:tcBorders>
              <w:top w:val="nil"/>
              <w:left w:val="nil"/>
              <w:right w:val="nil"/>
            </w:tcBorders>
          </w:tcPr>
          <w:p w:rsidR="001A62D7" w:rsidRPr="00B93B0D" w:rsidRDefault="001A62D7" w:rsidP="001D5990">
            <w:pPr>
              <w:spacing w:before="60" w:after="60"/>
              <w:rPr>
                <w:noProof/>
              </w:rPr>
            </w:pPr>
            <w:r w:rsidRPr="00B93B0D">
              <w:rPr>
                <w:noProof/>
              </w:rPr>
              <w:t>Upper secondary</w:t>
            </w:r>
            <w:r w:rsidRPr="00B93B0D">
              <w:rPr>
                <w:rStyle w:val="FootnoteReference"/>
                <w:noProof/>
              </w:rPr>
              <w:footnoteReference w:id="23"/>
            </w:r>
            <w:r w:rsidRPr="00B93B0D">
              <w:rPr>
                <w:noProof/>
              </w:rPr>
              <w:t xml:space="preserve"> or post-secondary education</w:t>
            </w:r>
            <w:r w:rsidRPr="00B93B0D">
              <w:rPr>
                <w:rStyle w:val="FootnoteReference"/>
                <w:noProof/>
              </w:rPr>
              <w:footnoteReference w:id="24"/>
            </w:r>
          </w:p>
        </w:tc>
        <w:tc>
          <w:tcPr>
            <w:tcW w:w="1176" w:type="dxa"/>
            <w:tcBorders>
              <w:top w:val="nil"/>
              <w:left w:val="nil"/>
              <w:right w:val="nil"/>
            </w:tcBorders>
          </w:tcPr>
          <w:p w:rsidR="001A62D7" w:rsidRPr="00B93B0D" w:rsidRDefault="002C701E" w:rsidP="001D5990">
            <w:pPr>
              <w:spacing w:before="60" w:after="60"/>
              <w:jc w:val="right"/>
              <w:rPr>
                <w:noProof/>
              </w:rPr>
            </w:pPr>
            <w:r w:rsidRPr="00B93B0D">
              <w:rPr>
                <w:noProof/>
              </w:rPr>
              <w:t>220</w:t>
            </w:r>
          </w:p>
        </w:tc>
        <w:tc>
          <w:tcPr>
            <w:tcW w:w="1176" w:type="dxa"/>
            <w:tcBorders>
              <w:top w:val="nil"/>
              <w:left w:val="nil"/>
              <w:right w:val="nil"/>
            </w:tcBorders>
          </w:tcPr>
          <w:p w:rsidR="001A62D7" w:rsidRPr="00B93B0D" w:rsidRDefault="001A62D7" w:rsidP="001D5990">
            <w:pPr>
              <w:spacing w:before="60" w:after="60"/>
              <w:jc w:val="right"/>
              <w:rPr>
                <w:rFonts w:eastAsia="Calibri"/>
                <w:noProof/>
              </w:rPr>
            </w:pPr>
            <w:r w:rsidRPr="00B93B0D">
              <w:rPr>
                <w:rFonts w:eastAsia="Calibri"/>
                <w:noProof/>
              </w:rPr>
              <w:t>(</w:t>
            </w:r>
            <w:r w:rsidR="002C701E" w:rsidRPr="00B93B0D">
              <w:rPr>
                <w:noProof/>
              </w:rPr>
              <w:t>55,0</w:t>
            </w:r>
            <w:r w:rsidRPr="00B93B0D">
              <w:rPr>
                <w:rFonts w:eastAsia="Calibri"/>
                <w:noProof/>
              </w:rPr>
              <w:t> %)</w:t>
            </w:r>
          </w:p>
        </w:tc>
      </w:tr>
      <w:tr w:rsidR="001A62D7" w:rsidRPr="00B93B0D" w:rsidTr="001D5990">
        <w:trPr>
          <w:jc w:val="center"/>
        </w:trPr>
        <w:tc>
          <w:tcPr>
            <w:tcW w:w="1496" w:type="dxa"/>
            <w:tcBorders>
              <w:top w:val="nil"/>
              <w:left w:val="nil"/>
              <w:bottom w:val="single" w:sz="4" w:space="0" w:color="auto"/>
              <w:right w:val="nil"/>
            </w:tcBorders>
          </w:tcPr>
          <w:p w:rsidR="001A62D7" w:rsidRPr="00B93B0D" w:rsidRDefault="001A62D7" w:rsidP="001D5990">
            <w:pPr>
              <w:spacing w:before="60" w:after="60"/>
              <w:rPr>
                <w:noProof/>
              </w:rPr>
            </w:pPr>
          </w:p>
        </w:tc>
        <w:tc>
          <w:tcPr>
            <w:tcW w:w="2063" w:type="dxa"/>
            <w:tcBorders>
              <w:top w:val="nil"/>
              <w:left w:val="nil"/>
              <w:bottom w:val="single" w:sz="4" w:space="0" w:color="auto"/>
              <w:right w:val="nil"/>
            </w:tcBorders>
          </w:tcPr>
          <w:p w:rsidR="001A62D7" w:rsidRPr="00B93B0D" w:rsidRDefault="001A62D7" w:rsidP="001D5990">
            <w:pPr>
              <w:spacing w:before="60" w:after="60"/>
              <w:rPr>
                <w:noProof/>
              </w:rPr>
            </w:pPr>
            <w:r w:rsidRPr="00B93B0D">
              <w:rPr>
                <w:noProof/>
              </w:rPr>
              <w:t>Tertiary education</w:t>
            </w:r>
            <w:r w:rsidRPr="00B93B0D">
              <w:rPr>
                <w:rStyle w:val="FootnoteReference"/>
                <w:noProof/>
              </w:rPr>
              <w:footnoteReference w:id="25"/>
            </w:r>
          </w:p>
        </w:tc>
        <w:tc>
          <w:tcPr>
            <w:tcW w:w="1176" w:type="dxa"/>
            <w:tcBorders>
              <w:top w:val="nil"/>
              <w:left w:val="nil"/>
              <w:bottom w:val="single" w:sz="4" w:space="0" w:color="auto"/>
              <w:right w:val="nil"/>
            </w:tcBorders>
          </w:tcPr>
          <w:p w:rsidR="001A62D7" w:rsidRPr="00B93B0D" w:rsidRDefault="002C701E" w:rsidP="001D5990">
            <w:pPr>
              <w:spacing w:before="60" w:after="60"/>
              <w:jc w:val="right"/>
              <w:rPr>
                <w:noProof/>
              </w:rPr>
            </w:pPr>
            <w:r w:rsidRPr="00B93B0D">
              <w:rPr>
                <w:noProof/>
              </w:rPr>
              <w:t>80</w:t>
            </w:r>
          </w:p>
        </w:tc>
        <w:tc>
          <w:tcPr>
            <w:tcW w:w="1176" w:type="dxa"/>
            <w:tcBorders>
              <w:top w:val="nil"/>
              <w:left w:val="nil"/>
              <w:bottom w:val="single" w:sz="4" w:space="0" w:color="auto"/>
              <w:right w:val="nil"/>
            </w:tcBorders>
          </w:tcPr>
          <w:p w:rsidR="001A62D7" w:rsidRPr="00B93B0D" w:rsidRDefault="001A62D7" w:rsidP="001D5990">
            <w:pPr>
              <w:spacing w:before="60" w:after="60"/>
              <w:jc w:val="right"/>
              <w:rPr>
                <w:rFonts w:eastAsia="Calibri"/>
                <w:noProof/>
              </w:rPr>
            </w:pPr>
            <w:r w:rsidRPr="00B93B0D">
              <w:rPr>
                <w:rFonts w:eastAsia="Calibri"/>
                <w:noProof/>
              </w:rPr>
              <w:t>(</w:t>
            </w:r>
            <w:r w:rsidR="002C701E" w:rsidRPr="00B93B0D">
              <w:rPr>
                <w:noProof/>
              </w:rPr>
              <w:t>20</w:t>
            </w:r>
            <w:r w:rsidRPr="00B93B0D">
              <w:rPr>
                <w:rFonts w:eastAsia="Calibri"/>
                <w:noProof/>
              </w:rPr>
              <w:t> %)</w:t>
            </w:r>
          </w:p>
        </w:tc>
      </w:tr>
    </w:tbl>
    <w:p w:rsidR="001A62D7" w:rsidRPr="00B93B0D" w:rsidRDefault="001A62D7" w:rsidP="001A62D7">
      <w:pPr>
        <w:pStyle w:val="ManualHeading3"/>
        <w:rPr>
          <w:noProof/>
          <w:u w:val="single"/>
        </w:rPr>
      </w:pPr>
      <w:r w:rsidRPr="00B93B0D">
        <w:rPr>
          <w:noProof/>
        </w:rPr>
        <w:t>Proposed measures</w:t>
      </w:r>
    </w:p>
    <w:p w:rsidR="001A62D7" w:rsidRPr="00B93B0D" w:rsidRDefault="001A62D7" w:rsidP="00AE7D04">
      <w:pPr>
        <w:pStyle w:val="ManualNumPar1"/>
        <w:rPr>
          <w:noProof/>
        </w:rPr>
      </w:pPr>
      <w:r>
        <w:rPr>
          <w:noProof/>
        </w:rPr>
        <w:t>26.</w:t>
      </w:r>
      <w:r>
        <w:rPr>
          <w:noProof/>
        </w:rPr>
        <w:tab/>
      </w:r>
      <w:bookmarkStart w:id="9" w:name="_Ref372214239"/>
      <w:r w:rsidRPr="00B93B0D">
        <w:rPr>
          <w:noProof/>
        </w:rPr>
        <w:t xml:space="preserve">Pursuant to Article 8(7), point (h) of Regulation (EU) 2021/691, the personalised coordinated package to be provided to displaced workers consists of the following measures: </w:t>
      </w:r>
      <w:bookmarkEnd w:id="9"/>
    </w:p>
    <w:p w:rsidR="00C239B8" w:rsidRPr="00B93B0D" w:rsidRDefault="00C239B8" w:rsidP="005253A6">
      <w:pPr>
        <w:pStyle w:val="Tiret1"/>
        <w:numPr>
          <w:ilvl w:val="0"/>
          <w:numId w:val="20"/>
        </w:numPr>
        <w:rPr>
          <w:noProof/>
        </w:rPr>
      </w:pPr>
      <w:r w:rsidRPr="00B93B0D">
        <w:rPr>
          <w:noProof/>
          <w:u w:val="single"/>
        </w:rPr>
        <w:t>Information, intake phase and workers’ profiling</w:t>
      </w:r>
      <w:r w:rsidR="001A62D7" w:rsidRPr="00B93B0D">
        <w:rPr>
          <w:noProof/>
        </w:rPr>
        <w:t xml:space="preserve">: </w:t>
      </w:r>
      <w:r w:rsidRPr="00B93B0D">
        <w:rPr>
          <w:noProof/>
        </w:rPr>
        <w:t xml:space="preserve">Information sessions outlining </w:t>
      </w:r>
      <w:r w:rsidR="00EB1AE5" w:rsidRPr="00B93B0D">
        <w:rPr>
          <w:noProof/>
        </w:rPr>
        <w:t xml:space="preserve">the </w:t>
      </w:r>
      <w:r w:rsidRPr="00B93B0D">
        <w:rPr>
          <w:noProof/>
        </w:rPr>
        <w:t xml:space="preserve">objectives, </w:t>
      </w:r>
      <w:r w:rsidR="00EB1AE5" w:rsidRPr="00B93B0D">
        <w:rPr>
          <w:noProof/>
        </w:rPr>
        <w:t>content, and t</w:t>
      </w:r>
      <w:r w:rsidRPr="00B93B0D">
        <w:rPr>
          <w:noProof/>
        </w:rPr>
        <w:t xml:space="preserve">imelines </w:t>
      </w:r>
      <w:r w:rsidR="00EB1AE5" w:rsidRPr="00B93B0D">
        <w:rPr>
          <w:noProof/>
        </w:rPr>
        <w:t>of the support package</w:t>
      </w:r>
      <w:r w:rsidRPr="00B93B0D">
        <w:rPr>
          <w:noProof/>
        </w:rPr>
        <w:t>. Participants will be informed about the resources and support available to help them in their reskilling and employability enhancement. Applications for participation will be collected during these sessions.</w:t>
      </w:r>
    </w:p>
    <w:p w:rsidR="00C239B8" w:rsidRPr="00B93B0D" w:rsidRDefault="00C239B8" w:rsidP="00C239B8">
      <w:pPr>
        <w:pStyle w:val="Text2"/>
        <w:rPr>
          <w:noProof/>
        </w:rPr>
      </w:pPr>
      <w:r w:rsidRPr="00B93B0D">
        <w:rPr>
          <w:noProof/>
        </w:rPr>
        <w:t>The intake phase will involve collaboration with Galicia’s leading social partners—including UGT-Galicia, CCOO-Galicia (trade unions), and the Galician Employers’ Confederation (CEG)—as well as the regional public employment services</w:t>
      </w:r>
      <w:r w:rsidRPr="00B93B0D">
        <w:rPr>
          <w:rStyle w:val="FootnoteReference"/>
          <w:noProof/>
        </w:rPr>
        <w:footnoteReference w:id="26"/>
      </w:r>
      <w:r w:rsidRPr="00B93B0D">
        <w:rPr>
          <w:noProof/>
        </w:rPr>
        <w:t>. The engagement of these sectoral stakeholders will help workers to clarify their professional expectations to remain in the sector, redesign their career paths, or pursue professional reorientation.</w:t>
      </w:r>
    </w:p>
    <w:p w:rsidR="001A62D7" w:rsidRPr="00B93B0D" w:rsidRDefault="00C239B8" w:rsidP="00396DAC">
      <w:pPr>
        <w:pStyle w:val="Text2"/>
        <w:rPr>
          <w:noProof/>
        </w:rPr>
      </w:pPr>
      <w:r w:rsidRPr="00B93B0D">
        <w:rPr>
          <w:noProof/>
        </w:rPr>
        <w:lastRenderedPageBreak/>
        <w:t>A workers’ profiling phase will follow. Through individual interviews, each participant’s socio-professional situation, educational background, employment expectations, aptitudes, skills, experience, and interests will be assessed</w:t>
      </w:r>
      <w:r w:rsidR="001A62D7" w:rsidRPr="00B93B0D">
        <w:rPr>
          <w:noProof/>
        </w:rPr>
        <w:t>.</w:t>
      </w:r>
    </w:p>
    <w:p w:rsidR="00BC7DB9" w:rsidRPr="00B93B0D" w:rsidRDefault="00003509" w:rsidP="00B1308F">
      <w:pPr>
        <w:pStyle w:val="Tiret1"/>
        <w:numPr>
          <w:ilvl w:val="0"/>
          <w:numId w:val="19"/>
        </w:numPr>
        <w:rPr>
          <w:noProof/>
        </w:rPr>
      </w:pPr>
      <w:r w:rsidRPr="00B93B0D">
        <w:rPr>
          <w:noProof/>
          <w:u w:val="single"/>
        </w:rPr>
        <w:t>Occupational guidance</w:t>
      </w:r>
      <w:r w:rsidRPr="00B93B0D">
        <w:rPr>
          <w:noProof/>
        </w:rPr>
        <w:t>—focused on employment or self-employment—will be provided throughout the implementation period. The measure includes job-search assistance and soft-skills workshops</w:t>
      </w:r>
      <w:r w:rsidR="00BC7DB9" w:rsidRPr="00B93B0D">
        <w:rPr>
          <w:noProof/>
        </w:rPr>
        <w:t>.</w:t>
      </w:r>
    </w:p>
    <w:p w:rsidR="0070290B" w:rsidRPr="00B93B0D" w:rsidRDefault="0070290B" w:rsidP="0070290B">
      <w:pPr>
        <w:pStyle w:val="Tiret1"/>
        <w:rPr>
          <w:noProof/>
        </w:rPr>
      </w:pPr>
      <w:r w:rsidRPr="00B93B0D">
        <w:rPr>
          <w:noProof/>
          <w:u w:val="single"/>
        </w:rPr>
        <w:t>Training</w:t>
      </w:r>
      <w:r w:rsidRPr="00B93B0D">
        <w:rPr>
          <w:noProof/>
        </w:rPr>
        <w:t xml:space="preserve">: </w:t>
      </w:r>
      <w:bookmarkStart w:id="10" w:name="_Hlk227334416"/>
      <w:r w:rsidR="00485013" w:rsidRPr="00B93B0D">
        <w:rPr>
          <w:noProof/>
        </w:rPr>
        <w:t>The training offer will include</w:t>
      </w:r>
      <w:r w:rsidR="00A90BE2" w:rsidRPr="00B93B0D">
        <w:rPr>
          <w:noProof/>
        </w:rPr>
        <w:t>:</w:t>
      </w:r>
      <w:r w:rsidR="00485013" w:rsidRPr="00B93B0D">
        <w:rPr>
          <w:noProof/>
        </w:rPr>
        <w:t xml:space="preserve"> </w:t>
      </w:r>
      <w:r w:rsidR="00485013" w:rsidRPr="00B93B0D">
        <w:rPr>
          <w:b/>
          <w:bCs/>
          <w:noProof/>
        </w:rPr>
        <w:t>(1)</w:t>
      </w:r>
      <w:r w:rsidR="00612753" w:rsidRPr="00B93B0D">
        <w:rPr>
          <w:b/>
          <w:bCs/>
          <w:noProof/>
        </w:rPr>
        <w:t> </w:t>
      </w:r>
      <w:r w:rsidR="00A90BE2" w:rsidRPr="00B93B0D">
        <w:rPr>
          <w:b/>
          <w:bCs/>
          <w:noProof/>
        </w:rPr>
        <w:t>C</w:t>
      </w:r>
      <w:r w:rsidR="00485013" w:rsidRPr="00B93B0D">
        <w:rPr>
          <w:b/>
          <w:bCs/>
          <w:noProof/>
        </w:rPr>
        <w:t>ross-cutting training</w:t>
      </w:r>
      <w:r w:rsidR="00485013" w:rsidRPr="00B93B0D">
        <w:rPr>
          <w:noProof/>
        </w:rPr>
        <w:t xml:space="preserve"> cover</w:t>
      </w:r>
      <w:r w:rsidR="004A34B9" w:rsidRPr="00B93B0D">
        <w:rPr>
          <w:noProof/>
        </w:rPr>
        <w:t>ing</w:t>
      </w:r>
      <w:r w:rsidR="00485013" w:rsidRPr="00B93B0D">
        <w:rPr>
          <w:noProof/>
        </w:rPr>
        <w:t xml:space="preserve"> </w:t>
      </w:r>
      <w:r w:rsidRPr="00B93B0D">
        <w:rPr>
          <w:noProof/>
        </w:rPr>
        <w:t>training in both basic and advanced digital competencies</w:t>
      </w:r>
      <w:r w:rsidR="004F5368" w:rsidRPr="00B93B0D">
        <w:rPr>
          <w:rStyle w:val="FootnoteReference"/>
          <w:noProof/>
        </w:rPr>
        <w:footnoteReference w:id="27"/>
      </w:r>
      <w:r w:rsidR="001A29C6">
        <w:rPr>
          <w:noProof/>
        </w:rPr>
        <w:t>,</w:t>
      </w:r>
      <w:r w:rsidR="00715D6D" w:rsidRPr="00B93B0D">
        <w:rPr>
          <w:noProof/>
        </w:rPr>
        <w:t xml:space="preserve"> </w:t>
      </w:r>
      <w:r w:rsidR="001A29C6">
        <w:rPr>
          <w:noProof/>
        </w:rPr>
        <w:t>i</w:t>
      </w:r>
      <w:r w:rsidR="00EB2471" w:rsidRPr="00B93B0D">
        <w:rPr>
          <w:noProof/>
        </w:rPr>
        <w:t>ndustrial digitalisation, including fundamentals of Industry 4.0 and 5.0, industrial data literacy, MES</w:t>
      </w:r>
      <w:r w:rsidR="00EB2471" w:rsidRPr="00B93B0D">
        <w:rPr>
          <w:rStyle w:val="FootnoteReference"/>
          <w:noProof/>
        </w:rPr>
        <w:footnoteReference w:id="28"/>
      </w:r>
      <w:r w:rsidR="00EB2471" w:rsidRPr="00B93B0D">
        <w:rPr>
          <w:noProof/>
        </w:rPr>
        <w:t xml:space="preserve"> and SCADA</w:t>
      </w:r>
      <w:r w:rsidR="00EB2471" w:rsidRPr="00B93B0D">
        <w:rPr>
          <w:rStyle w:val="FootnoteReference"/>
          <w:noProof/>
        </w:rPr>
        <w:footnoteReference w:id="29"/>
      </w:r>
      <w:r w:rsidR="00EB2471" w:rsidRPr="00B93B0D">
        <w:rPr>
          <w:noProof/>
        </w:rPr>
        <w:t>, process automation via RPA</w:t>
      </w:r>
      <w:r w:rsidR="00EC4DA7" w:rsidRPr="00B93B0D">
        <w:rPr>
          <w:rStyle w:val="FootnoteReference"/>
          <w:noProof/>
        </w:rPr>
        <w:footnoteReference w:id="30"/>
      </w:r>
      <w:r w:rsidR="00EB2471" w:rsidRPr="00B93B0D">
        <w:rPr>
          <w:noProof/>
        </w:rPr>
        <w:t>, and industrial automation (e.g., PLCs)</w:t>
      </w:r>
      <w:r w:rsidR="009B4078" w:rsidRPr="00B93B0D">
        <w:rPr>
          <w:rStyle w:val="FootnoteReference"/>
          <w:noProof/>
        </w:rPr>
        <w:footnoteReference w:id="31"/>
      </w:r>
      <w:r w:rsidR="001A29C6">
        <w:rPr>
          <w:noProof/>
        </w:rPr>
        <w:t>,</w:t>
      </w:r>
      <w:r w:rsidR="00715D6D" w:rsidRPr="00B93B0D">
        <w:rPr>
          <w:noProof/>
        </w:rPr>
        <w:t xml:space="preserve"> </w:t>
      </w:r>
      <w:r w:rsidR="001A29C6">
        <w:rPr>
          <w:noProof/>
        </w:rPr>
        <w:t>o</w:t>
      </w:r>
      <w:r w:rsidRPr="00B93B0D">
        <w:rPr>
          <w:noProof/>
        </w:rPr>
        <w:t>ccupational risk prevention</w:t>
      </w:r>
      <w:r w:rsidR="001A29C6">
        <w:rPr>
          <w:noProof/>
        </w:rPr>
        <w:t>,</w:t>
      </w:r>
      <w:r w:rsidR="00715D6D" w:rsidRPr="00B93B0D">
        <w:rPr>
          <w:noProof/>
        </w:rPr>
        <w:t xml:space="preserve"> </w:t>
      </w:r>
      <w:r w:rsidR="001A29C6">
        <w:rPr>
          <w:noProof/>
        </w:rPr>
        <w:t>t</w:t>
      </w:r>
      <w:r w:rsidRPr="00B93B0D">
        <w:rPr>
          <w:noProof/>
        </w:rPr>
        <w:t>raining on sustainability applied to production processes, and foreign language</w:t>
      </w:r>
      <w:r w:rsidR="00485013" w:rsidRPr="00B93B0D">
        <w:rPr>
          <w:noProof/>
        </w:rPr>
        <w:t>s</w:t>
      </w:r>
      <w:r w:rsidR="00EB2471" w:rsidRPr="00B93B0D">
        <w:rPr>
          <w:noProof/>
        </w:rPr>
        <w:t>.</w:t>
      </w:r>
      <w:r w:rsidR="00485013" w:rsidRPr="00B93B0D">
        <w:rPr>
          <w:noProof/>
        </w:rPr>
        <w:t xml:space="preserve"> </w:t>
      </w:r>
      <w:r w:rsidR="00485013" w:rsidRPr="00B93B0D">
        <w:rPr>
          <w:b/>
          <w:bCs/>
          <w:noProof/>
        </w:rPr>
        <w:t>(2)</w:t>
      </w:r>
      <w:r w:rsidR="00612753" w:rsidRPr="00B93B0D">
        <w:rPr>
          <w:b/>
          <w:bCs/>
          <w:noProof/>
        </w:rPr>
        <w:t> </w:t>
      </w:r>
      <w:r w:rsidR="00A90BE2" w:rsidRPr="00B93B0D">
        <w:rPr>
          <w:b/>
          <w:bCs/>
          <w:noProof/>
        </w:rPr>
        <w:t>U</w:t>
      </w:r>
      <w:r w:rsidR="00485013" w:rsidRPr="00B93B0D">
        <w:rPr>
          <w:b/>
          <w:bCs/>
          <w:noProof/>
        </w:rPr>
        <w:t>p-skilling</w:t>
      </w:r>
      <w:r w:rsidR="00485013" w:rsidRPr="00B93B0D">
        <w:rPr>
          <w:noProof/>
        </w:rPr>
        <w:t xml:space="preserve"> aligned with CEAGA’S Report on Training and Employment in Galicia’s Automotive Sector (November 2025) and the Galicia Automotive Master Plan 2025–2027</w:t>
      </w:r>
      <w:r w:rsidR="001B498D" w:rsidRPr="00B93B0D">
        <w:rPr>
          <w:rStyle w:val="FootnoteReference"/>
          <w:noProof/>
        </w:rPr>
        <w:footnoteReference w:id="32"/>
      </w:r>
      <w:r w:rsidR="00A90BE2" w:rsidRPr="00B93B0D">
        <w:rPr>
          <w:noProof/>
        </w:rPr>
        <w:t>.</w:t>
      </w:r>
      <w:r w:rsidR="00485013" w:rsidRPr="00B93B0D">
        <w:rPr>
          <w:noProof/>
        </w:rPr>
        <w:t xml:space="preserve"> </w:t>
      </w:r>
      <w:r w:rsidR="00485013" w:rsidRPr="00B93B0D">
        <w:rPr>
          <w:b/>
          <w:bCs/>
          <w:noProof/>
        </w:rPr>
        <w:t>(3)</w:t>
      </w:r>
      <w:r w:rsidR="00612753" w:rsidRPr="00B93B0D">
        <w:rPr>
          <w:b/>
          <w:bCs/>
          <w:noProof/>
        </w:rPr>
        <w:t> </w:t>
      </w:r>
      <w:r w:rsidR="00A90BE2" w:rsidRPr="00B93B0D">
        <w:rPr>
          <w:b/>
          <w:bCs/>
          <w:noProof/>
        </w:rPr>
        <w:t>R</w:t>
      </w:r>
      <w:r w:rsidR="00485013" w:rsidRPr="00B93B0D">
        <w:rPr>
          <w:b/>
          <w:bCs/>
          <w:noProof/>
        </w:rPr>
        <w:t>eskilling</w:t>
      </w:r>
      <w:r w:rsidR="00485013" w:rsidRPr="00B93B0D">
        <w:rPr>
          <w:noProof/>
        </w:rPr>
        <w:t xml:space="preserve"> aimed at providing a new professional qualification will focus on courses </w:t>
      </w:r>
      <w:r w:rsidR="00EC1FFE" w:rsidRPr="00B93B0D">
        <w:rPr>
          <w:noProof/>
        </w:rPr>
        <w:t>related to</w:t>
      </w:r>
      <w:r w:rsidR="00485013" w:rsidRPr="00B93B0D">
        <w:rPr>
          <w:noProof/>
        </w:rPr>
        <w:t xml:space="preserve"> key sectors such as aeronautics</w:t>
      </w:r>
      <w:r w:rsidR="00EC1FFE" w:rsidRPr="00B93B0D">
        <w:rPr>
          <w:rStyle w:val="FootnoteReference"/>
          <w:noProof/>
        </w:rPr>
        <w:footnoteReference w:id="33"/>
      </w:r>
      <w:r w:rsidR="00485013" w:rsidRPr="00B93B0D">
        <w:rPr>
          <w:noProof/>
        </w:rPr>
        <w:t>, renewable energy</w:t>
      </w:r>
      <w:r w:rsidR="00EC1FFE" w:rsidRPr="00B93B0D">
        <w:rPr>
          <w:rStyle w:val="FootnoteReference"/>
          <w:noProof/>
        </w:rPr>
        <w:footnoteReference w:id="34"/>
      </w:r>
      <w:r w:rsidR="00485013" w:rsidRPr="00B93B0D">
        <w:rPr>
          <w:noProof/>
        </w:rPr>
        <w:t>, transport, and warehousing</w:t>
      </w:r>
      <w:r w:rsidR="001933D0" w:rsidRPr="00B93B0D">
        <w:rPr>
          <w:rStyle w:val="FootnoteReference"/>
          <w:noProof/>
        </w:rPr>
        <w:footnoteReference w:id="35"/>
      </w:r>
      <w:r w:rsidR="00485013" w:rsidRPr="00B93B0D">
        <w:rPr>
          <w:noProof/>
        </w:rPr>
        <w:t>, and infrastructure and industrial maintenance</w:t>
      </w:r>
      <w:r w:rsidR="007C0AB0" w:rsidRPr="00B93B0D">
        <w:rPr>
          <w:rStyle w:val="FootnoteReference"/>
          <w:noProof/>
        </w:rPr>
        <w:footnoteReference w:id="36"/>
      </w:r>
      <w:r w:rsidR="00485013" w:rsidRPr="00B93B0D">
        <w:rPr>
          <w:noProof/>
        </w:rPr>
        <w:t>, which demonstrates a strong capacity to absorb industrial profiles</w:t>
      </w:r>
      <w:r w:rsidR="00A90BE2" w:rsidRPr="00B93B0D">
        <w:rPr>
          <w:noProof/>
        </w:rPr>
        <w:t>.</w:t>
      </w:r>
      <w:r w:rsidR="00595DB2" w:rsidRPr="00B93B0D">
        <w:rPr>
          <w:noProof/>
        </w:rPr>
        <w:t xml:space="preserve"> </w:t>
      </w:r>
      <w:r w:rsidR="00595DB2" w:rsidRPr="00B93B0D">
        <w:rPr>
          <w:b/>
          <w:bCs/>
          <w:noProof/>
        </w:rPr>
        <w:t>(4)</w:t>
      </w:r>
      <w:r w:rsidR="00B617B4" w:rsidRPr="00B93B0D">
        <w:rPr>
          <w:b/>
          <w:bCs/>
          <w:noProof/>
        </w:rPr>
        <w:t> </w:t>
      </w:r>
      <w:r w:rsidR="00A90BE2" w:rsidRPr="00B93B0D">
        <w:rPr>
          <w:b/>
          <w:bCs/>
          <w:noProof/>
        </w:rPr>
        <w:t>T</w:t>
      </w:r>
      <w:r w:rsidR="00595DB2" w:rsidRPr="00B93B0D">
        <w:rPr>
          <w:b/>
          <w:bCs/>
          <w:noProof/>
        </w:rPr>
        <w:t>raining towards entrepreneurship</w:t>
      </w:r>
      <w:r w:rsidR="00595DB2" w:rsidRPr="00B93B0D">
        <w:rPr>
          <w:noProof/>
        </w:rPr>
        <w:t xml:space="preserve"> will be provided for those aiming at self-employment.</w:t>
      </w:r>
      <w:bookmarkEnd w:id="10"/>
      <w:r w:rsidRPr="00B93B0D">
        <w:rPr>
          <w:noProof/>
        </w:rPr>
        <w:t xml:space="preserve"> </w:t>
      </w:r>
    </w:p>
    <w:p w:rsidR="00BC7DB9" w:rsidRPr="00B93B0D" w:rsidRDefault="000966A5" w:rsidP="00B1308F">
      <w:pPr>
        <w:pStyle w:val="Tiret1"/>
        <w:numPr>
          <w:ilvl w:val="0"/>
          <w:numId w:val="19"/>
        </w:numPr>
        <w:rPr>
          <w:noProof/>
        </w:rPr>
      </w:pPr>
      <w:r w:rsidRPr="00B93B0D">
        <w:rPr>
          <w:noProof/>
          <w:u w:val="single"/>
        </w:rPr>
        <w:t>Intensive job-search assistance,</w:t>
      </w:r>
      <w:r w:rsidRPr="00B93B0D">
        <w:rPr>
          <w:noProof/>
        </w:rPr>
        <w:t xml:space="preserve"> including active search of the local and regional employment opportunities (also for self-employed persons) and job-matching.</w:t>
      </w:r>
    </w:p>
    <w:p w:rsidR="00BC7DB9" w:rsidRPr="00B93B0D" w:rsidRDefault="00791ECB" w:rsidP="00B1308F">
      <w:pPr>
        <w:pStyle w:val="Tiret1"/>
        <w:numPr>
          <w:ilvl w:val="0"/>
          <w:numId w:val="19"/>
        </w:numPr>
        <w:rPr>
          <w:noProof/>
        </w:rPr>
      </w:pPr>
      <w:bookmarkStart w:id="11" w:name="_Hlk230021973"/>
      <w:r w:rsidRPr="00B93B0D">
        <w:rPr>
          <w:noProof/>
          <w:u w:val="single"/>
        </w:rPr>
        <w:t>Tutoring after reintegration into work</w:t>
      </w:r>
      <w:bookmarkEnd w:id="11"/>
      <w:r w:rsidR="00BC7DB9" w:rsidRPr="00B93B0D">
        <w:rPr>
          <w:noProof/>
        </w:rPr>
        <w:t xml:space="preserve">: </w:t>
      </w:r>
      <w:r w:rsidRPr="00B93B0D">
        <w:rPr>
          <w:noProof/>
        </w:rPr>
        <w:t>The workers reintegrated into employment will be guided during the first months to prevent possible problems arising in their new jobs</w:t>
      </w:r>
      <w:r w:rsidR="00BC7DB9" w:rsidRPr="00B93B0D">
        <w:rPr>
          <w:noProof/>
        </w:rPr>
        <w:t>.</w:t>
      </w:r>
    </w:p>
    <w:p w:rsidR="00BC7DB9" w:rsidRPr="00B93B0D" w:rsidRDefault="00872D17" w:rsidP="00B1308F">
      <w:pPr>
        <w:pStyle w:val="Tiret1"/>
        <w:numPr>
          <w:ilvl w:val="0"/>
          <w:numId w:val="19"/>
        </w:numPr>
        <w:rPr>
          <w:noProof/>
        </w:rPr>
      </w:pPr>
      <w:r w:rsidRPr="00B93B0D">
        <w:rPr>
          <w:noProof/>
          <w:u w:val="single"/>
        </w:rPr>
        <w:t>Financial support and incentives</w:t>
      </w:r>
      <w:r w:rsidR="00BC7DB9" w:rsidRPr="00B93B0D">
        <w:rPr>
          <w:noProof/>
        </w:rPr>
        <w:t xml:space="preserve">: </w:t>
      </w:r>
      <w:r w:rsidRPr="00B93B0D">
        <w:rPr>
          <w:b/>
          <w:bCs/>
          <w:noProof/>
        </w:rPr>
        <w:t>(1) Participation incentive.</w:t>
      </w:r>
      <w:r w:rsidRPr="00B93B0D">
        <w:rPr>
          <w:noProof/>
        </w:rPr>
        <w:t xml:space="preserve"> Workers who engage with the measures and follow their agreed reintegration pathway will receive up to EUR 400, paid either as a lump sum or in instalments. </w:t>
      </w:r>
      <w:r w:rsidRPr="00B93B0D">
        <w:rPr>
          <w:b/>
          <w:bCs/>
          <w:noProof/>
        </w:rPr>
        <w:t>(2) Financial support for commuting expenses.</w:t>
      </w:r>
      <w:r w:rsidRPr="00B93B0D">
        <w:rPr>
          <w:noProof/>
        </w:rPr>
        <w:t xml:space="preserve"> Eligible expenses will include costs for public transport or private vehicle mileage (</w:t>
      </w:r>
      <w:r w:rsidR="00771F6F">
        <w:rPr>
          <w:noProof/>
        </w:rPr>
        <w:t xml:space="preserve">EUR </w:t>
      </w:r>
      <w:r w:rsidRPr="00B93B0D">
        <w:rPr>
          <w:noProof/>
        </w:rPr>
        <w:t xml:space="preserve">0.26/km), tolls, parking, meals, and accommodation, up to a maximum of </w:t>
      </w:r>
      <w:r w:rsidR="00771F6F">
        <w:rPr>
          <w:noProof/>
        </w:rPr>
        <w:t xml:space="preserve">EUR </w:t>
      </w:r>
      <w:r w:rsidRPr="00B93B0D">
        <w:rPr>
          <w:noProof/>
        </w:rPr>
        <w:t xml:space="preserve">340 per training course. </w:t>
      </w:r>
      <w:r w:rsidRPr="00B93B0D">
        <w:rPr>
          <w:b/>
          <w:bCs/>
          <w:noProof/>
        </w:rPr>
        <w:t>(3) </w:t>
      </w:r>
      <w:r w:rsidR="005C4C7E" w:rsidRPr="00B93B0D">
        <w:rPr>
          <w:b/>
          <w:bCs/>
          <w:noProof/>
        </w:rPr>
        <w:t>Financial support for carers of dependent persons.</w:t>
      </w:r>
      <w:r w:rsidR="005C4C7E" w:rsidRPr="00B93B0D">
        <w:rPr>
          <w:noProof/>
        </w:rPr>
        <w:t xml:space="preserve"> A daily allowance of up to EUR 20 will be provided to participants with caring responsibilities (e.g., for children, the elderly, or disabled dependents), to offset additional costs incurred when attending training. </w:t>
      </w:r>
      <w:r w:rsidRPr="00B93B0D">
        <w:rPr>
          <w:b/>
          <w:bCs/>
          <w:noProof/>
        </w:rPr>
        <w:t>(4)</w:t>
      </w:r>
      <w:r w:rsidR="005C4C7E" w:rsidRPr="00B93B0D">
        <w:rPr>
          <w:b/>
          <w:bCs/>
          <w:noProof/>
        </w:rPr>
        <w:t> </w:t>
      </w:r>
      <w:r w:rsidRPr="00B93B0D">
        <w:rPr>
          <w:b/>
          <w:bCs/>
          <w:noProof/>
        </w:rPr>
        <w:t xml:space="preserve">Outplacement </w:t>
      </w:r>
      <w:r w:rsidRPr="00B93B0D">
        <w:rPr>
          <w:b/>
          <w:bCs/>
          <w:noProof/>
        </w:rPr>
        <w:lastRenderedPageBreak/>
        <w:t>incentives.</w:t>
      </w:r>
      <w:r w:rsidRPr="00B93B0D">
        <w:rPr>
          <w:noProof/>
        </w:rPr>
        <w:t xml:space="preserve"> Those who return to employment—either as employees or as self-employed—will receive </w:t>
      </w:r>
      <w:r w:rsidR="005C4C7E" w:rsidRPr="00B93B0D">
        <w:rPr>
          <w:noProof/>
        </w:rPr>
        <w:t>EUR </w:t>
      </w:r>
      <w:r w:rsidRPr="00B93B0D">
        <w:rPr>
          <w:noProof/>
        </w:rPr>
        <w:t>200 per month for a maximum of six months. This incentive aims to encourage workers, particularly older individuals, to remain in the labour market and secure rapid re-employment</w:t>
      </w:r>
      <w:r w:rsidR="005C4C7E" w:rsidRPr="00B93B0D">
        <w:rPr>
          <w:noProof/>
        </w:rPr>
        <w:t>.</w:t>
      </w:r>
    </w:p>
    <w:p w:rsidR="001A62D7" w:rsidRPr="00B93B0D" w:rsidRDefault="008D1B07" w:rsidP="001A62D7">
      <w:pPr>
        <w:pStyle w:val="ManualNumPar1"/>
        <w:rPr>
          <w:noProof/>
        </w:rPr>
      </w:pPr>
      <w:r>
        <w:rPr>
          <w:noProof/>
        </w:rPr>
        <w:t>27.</w:t>
      </w:r>
      <w:r>
        <w:rPr>
          <w:noProof/>
        </w:rPr>
        <w:tab/>
      </w:r>
      <w:r w:rsidRPr="00B93B0D">
        <w:rPr>
          <w:noProof/>
        </w:rPr>
        <w:t>C</w:t>
      </w:r>
      <w:r w:rsidR="00983E8B" w:rsidRPr="00B93B0D">
        <w:rPr>
          <w:noProof/>
        </w:rPr>
        <w:t>ross-cutting training</w:t>
      </w:r>
      <w:r w:rsidR="001A62D7" w:rsidRPr="00B93B0D">
        <w:rPr>
          <w:noProof/>
        </w:rPr>
        <w:t xml:space="preserve"> caters for the dissemination of the skills required in the digital industrial age and in a resource-efficient economy, as required by Article 7(2) of Regulation (EU) 2021/691.</w:t>
      </w:r>
    </w:p>
    <w:p w:rsidR="001A62D7" w:rsidRPr="00B93B0D" w:rsidRDefault="001A62D7" w:rsidP="00AE7D04">
      <w:pPr>
        <w:pStyle w:val="ManualNumPar1"/>
        <w:rPr>
          <w:noProof/>
        </w:rPr>
      </w:pPr>
      <w:r>
        <w:rPr>
          <w:noProof/>
        </w:rPr>
        <w:t>28.</w:t>
      </w:r>
      <w:r>
        <w:rPr>
          <w:noProof/>
        </w:rPr>
        <w:tab/>
      </w:r>
      <w:bookmarkStart w:id="12" w:name="_Ref372214242"/>
      <w:r w:rsidRPr="00B93B0D">
        <w:rPr>
          <w:noProof/>
        </w:rPr>
        <w:t xml:space="preserve">The proposed actions, here described, constitute active labour market policy measures within the eligible actions set out in Article 7 of Regulation (EU) 2021/691. These actions do not substitute passive social protection measures. </w:t>
      </w:r>
    </w:p>
    <w:p w:rsidR="001A62D7" w:rsidRPr="00B93B0D" w:rsidRDefault="008D1B07" w:rsidP="00AE7D04">
      <w:pPr>
        <w:pStyle w:val="ManualNumPar1"/>
        <w:rPr>
          <w:noProof/>
        </w:rPr>
      </w:pPr>
      <w:r>
        <w:rPr>
          <w:noProof/>
        </w:rPr>
        <w:t>29.</w:t>
      </w:r>
      <w:r>
        <w:rPr>
          <w:noProof/>
        </w:rPr>
        <w:tab/>
      </w:r>
      <w:r w:rsidRPr="00B93B0D">
        <w:rPr>
          <w:noProof/>
        </w:rPr>
        <w:t>Spain</w:t>
      </w:r>
      <w:r w:rsidR="001A62D7" w:rsidRPr="00B93B0D">
        <w:rPr>
          <w:noProof/>
        </w:rPr>
        <w:t xml:space="preserve"> has provided the required information on measures that are mandatory for the enterprise concerned by virtue of national law or pursuant to collective agreements. In accordance with Article 9(1) of Regulation (EU) 2021/691, </w:t>
      </w:r>
      <w:r w:rsidR="000E7D45" w:rsidRPr="00B93B0D">
        <w:rPr>
          <w:noProof/>
        </w:rPr>
        <w:t>Spain</w:t>
      </w:r>
      <w:r w:rsidR="001A62D7" w:rsidRPr="00B93B0D">
        <w:rPr>
          <w:noProof/>
        </w:rPr>
        <w:t xml:space="preserve"> has confirmed that a financial contribution from the EGF will not replace such measures.</w:t>
      </w:r>
      <w:bookmarkEnd w:id="12"/>
    </w:p>
    <w:p w:rsidR="001A62D7" w:rsidRPr="00B93B0D" w:rsidRDefault="001A62D7" w:rsidP="001A62D7">
      <w:pPr>
        <w:pStyle w:val="ManualHeading3"/>
        <w:rPr>
          <w:noProof/>
        </w:rPr>
      </w:pPr>
      <w:r w:rsidRPr="00B93B0D">
        <w:rPr>
          <w:noProof/>
        </w:rPr>
        <w:t>Estimated budget</w:t>
      </w:r>
    </w:p>
    <w:p w:rsidR="001A62D7" w:rsidRPr="00B93B0D" w:rsidRDefault="001A62D7" w:rsidP="00AE7D04">
      <w:pPr>
        <w:pStyle w:val="ManualNumPar1"/>
        <w:rPr>
          <w:noProof/>
        </w:rPr>
      </w:pPr>
      <w:r>
        <w:rPr>
          <w:noProof/>
        </w:rPr>
        <w:t>30.</w:t>
      </w:r>
      <w:r>
        <w:rPr>
          <w:noProof/>
        </w:rPr>
        <w:tab/>
      </w:r>
      <w:r w:rsidRPr="00B93B0D">
        <w:rPr>
          <w:noProof/>
        </w:rPr>
        <w:t>The estimated total costs are EUR </w:t>
      </w:r>
      <w:r w:rsidR="00044450" w:rsidRPr="00B93B0D">
        <w:rPr>
          <w:noProof/>
        </w:rPr>
        <w:t>3 206 000</w:t>
      </w:r>
      <w:r w:rsidRPr="00B93B0D">
        <w:rPr>
          <w:noProof/>
        </w:rPr>
        <w:t>, comprising expenditure for personalised services of EUR </w:t>
      </w:r>
      <w:r w:rsidR="00044450" w:rsidRPr="00B93B0D">
        <w:rPr>
          <w:noProof/>
        </w:rPr>
        <w:t>3 046 000</w:t>
      </w:r>
      <w:r w:rsidRPr="00B93B0D">
        <w:rPr>
          <w:rFonts w:eastAsia="Calibri"/>
          <w:noProof/>
        </w:rPr>
        <w:t xml:space="preserve"> </w:t>
      </w:r>
      <w:r w:rsidRPr="00B93B0D">
        <w:rPr>
          <w:noProof/>
        </w:rPr>
        <w:t>and expenditure for preparatory, management, information and publicity, control and reporting activities of EUR </w:t>
      </w:r>
      <w:r w:rsidR="00044450" w:rsidRPr="00B93B0D">
        <w:rPr>
          <w:noProof/>
        </w:rPr>
        <w:t>160 000</w:t>
      </w:r>
      <w:r w:rsidRPr="00B93B0D">
        <w:rPr>
          <w:noProof/>
        </w:rPr>
        <w:t>.</w:t>
      </w:r>
    </w:p>
    <w:p w:rsidR="001A62D7" w:rsidRPr="00B93B0D" w:rsidRDefault="001A62D7" w:rsidP="00AE7D04">
      <w:pPr>
        <w:pStyle w:val="ManualNumPar1"/>
        <w:rPr>
          <w:noProof/>
        </w:rPr>
      </w:pPr>
      <w:r>
        <w:rPr>
          <w:noProof/>
        </w:rPr>
        <w:t>31.</w:t>
      </w:r>
      <w:r>
        <w:rPr>
          <w:noProof/>
        </w:rPr>
        <w:tab/>
      </w:r>
      <w:bookmarkStart w:id="13" w:name="_Ref372550770"/>
      <w:r w:rsidRPr="00B93B0D">
        <w:rPr>
          <w:noProof/>
        </w:rPr>
        <w:t>The total financial contribution requested from the EGF is EUR </w:t>
      </w:r>
      <w:r w:rsidR="00044450" w:rsidRPr="00B93B0D">
        <w:rPr>
          <w:noProof/>
        </w:rPr>
        <w:t>2 725 100</w:t>
      </w:r>
      <w:r w:rsidRPr="00B93B0D">
        <w:rPr>
          <w:noProof/>
        </w:rPr>
        <w:t xml:space="preserve"> (</w:t>
      </w:r>
      <w:r w:rsidR="00044450" w:rsidRPr="00B93B0D">
        <w:rPr>
          <w:noProof/>
        </w:rPr>
        <w:t>85</w:t>
      </w:r>
      <w:r w:rsidRPr="00B93B0D">
        <w:rPr>
          <w:noProof/>
        </w:rPr>
        <w:t> % of total costs).</w:t>
      </w:r>
      <w:bookmarkEnd w:id="13"/>
    </w:p>
    <w:p w:rsidR="001A62D7" w:rsidRPr="00B93B0D" w:rsidRDefault="001A62D7" w:rsidP="00AE7D04">
      <w:pPr>
        <w:pStyle w:val="ManualNumPar1"/>
        <w:rPr>
          <w:noProof/>
        </w:rPr>
      </w:pPr>
      <w:r>
        <w:rPr>
          <w:noProof/>
        </w:rPr>
        <w:t>32.</w:t>
      </w:r>
      <w:r>
        <w:rPr>
          <w:noProof/>
        </w:rPr>
        <w:tab/>
      </w:r>
      <w:r w:rsidRPr="00B93B0D">
        <w:rPr>
          <w:noProof/>
        </w:rPr>
        <w:t xml:space="preserve">Pursuant to Article 8(7), point (m), of Regulation (EU) 2021/691, </w:t>
      </w:r>
      <w:r w:rsidR="000E7D45" w:rsidRPr="00B93B0D">
        <w:rPr>
          <w:noProof/>
        </w:rPr>
        <w:t>Spain</w:t>
      </w:r>
      <w:r w:rsidRPr="00B93B0D">
        <w:rPr>
          <w:noProof/>
        </w:rPr>
        <w:t xml:space="preserve"> has specified that the national pre-financing and co-funding is provided by </w:t>
      </w:r>
      <w:r w:rsidR="000E7D45" w:rsidRPr="00B93B0D">
        <w:rPr>
          <w:noProof/>
        </w:rPr>
        <w:t>Xunta de Galicia</w:t>
      </w:r>
      <w:r w:rsidR="000E7D45" w:rsidRPr="00B93B0D">
        <w:rPr>
          <w:rStyle w:val="FootnoteReference"/>
          <w:noProof/>
        </w:rPr>
        <w:footnoteReference w:id="37"/>
      </w:r>
      <w:r w:rsidRPr="00B93B0D">
        <w:rPr>
          <w:noProof/>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B93B0D" w:rsidTr="001D5990">
        <w:tc>
          <w:tcPr>
            <w:tcW w:w="4644" w:type="dxa"/>
            <w:shd w:val="clear" w:color="auto" w:fill="auto"/>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Measures</w:t>
            </w:r>
          </w:p>
        </w:tc>
        <w:tc>
          <w:tcPr>
            <w:tcW w:w="1548" w:type="dxa"/>
            <w:shd w:val="clear" w:color="auto" w:fill="auto"/>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Estimated number of participants</w:t>
            </w:r>
          </w:p>
        </w:tc>
        <w:tc>
          <w:tcPr>
            <w:tcW w:w="1548" w:type="dxa"/>
            <w:shd w:val="clear" w:color="auto" w:fill="auto"/>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Estimated cost per participant</w:t>
            </w:r>
            <w:r w:rsidRPr="00B93B0D">
              <w:rPr>
                <w:rFonts w:eastAsia="Times New Roman"/>
                <w:noProof/>
                <w:sz w:val="22"/>
              </w:rPr>
              <w:br/>
            </w:r>
            <w:r w:rsidRPr="00B93B0D">
              <w:rPr>
                <w:rFonts w:eastAsia="Times New Roman"/>
                <w:i/>
                <w:noProof/>
                <w:sz w:val="22"/>
              </w:rPr>
              <w:t>(EUR)</w:t>
            </w:r>
            <w:r w:rsidRPr="00B93B0D">
              <w:rPr>
                <w:rStyle w:val="FootnoteReference"/>
                <w:rFonts w:eastAsia="Times New Roman"/>
                <w:i/>
                <w:noProof/>
                <w:sz w:val="22"/>
              </w:rPr>
              <w:footnoteReference w:id="38"/>
            </w:r>
          </w:p>
        </w:tc>
        <w:tc>
          <w:tcPr>
            <w:tcW w:w="1548" w:type="dxa"/>
            <w:shd w:val="clear" w:color="auto" w:fill="auto"/>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Estimated total costs</w:t>
            </w:r>
          </w:p>
          <w:p w:rsidR="001A62D7" w:rsidRPr="00B93B0D" w:rsidRDefault="001A62D7" w:rsidP="001D5990">
            <w:pPr>
              <w:spacing w:before="60" w:after="60"/>
              <w:jc w:val="center"/>
              <w:rPr>
                <w:rFonts w:eastAsia="Times New Roman"/>
                <w:noProof/>
                <w:sz w:val="22"/>
              </w:rPr>
            </w:pPr>
            <w:r w:rsidRPr="00B93B0D">
              <w:rPr>
                <w:rFonts w:eastAsia="Times New Roman"/>
                <w:i/>
                <w:noProof/>
                <w:sz w:val="22"/>
              </w:rPr>
              <w:t>(EUR)</w:t>
            </w:r>
            <w:r w:rsidRPr="00B93B0D">
              <w:rPr>
                <w:rStyle w:val="FootnoteReference"/>
                <w:rFonts w:eastAsia="Times New Roman"/>
                <w:i/>
                <w:noProof/>
                <w:sz w:val="22"/>
              </w:rPr>
              <w:footnoteReference w:id="39"/>
            </w:r>
            <w:r w:rsidRPr="00B93B0D">
              <w:rPr>
                <w:rFonts w:eastAsia="Times New Roman"/>
                <w:i/>
                <w:noProof/>
                <w:sz w:val="22"/>
              </w:rPr>
              <w:t xml:space="preserve"> </w:t>
            </w:r>
          </w:p>
        </w:tc>
      </w:tr>
      <w:tr w:rsidR="001A62D7" w:rsidRPr="00B93B0D" w:rsidTr="001D5990">
        <w:tc>
          <w:tcPr>
            <w:tcW w:w="9288" w:type="dxa"/>
            <w:gridSpan w:val="4"/>
            <w:shd w:val="clear" w:color="auto" w:fill="auto"/>
          </w:tcPr>
          <w:p w:rsidR="001A62D7" w:rsidRPr="00B93B0D" w:rsidRDefault="001A62D7" w:rsidP="001D5990">
            <w:pPr>
              <w:spacing w:before="60" w:after="60"/>
              <w:jc w:val="left"/>
              <w:rPr>
                <w:rFonts w:eastAsia="Times New Roman"/>
                <w:noProof/>
                <w:sz w:val="22"/>
              </w:rPr>
            </w:pPr>
            <w:r w:rsidRPr="00B93B0D">
              <w:rPr>
                <w:rFonts w:eastAsia="Times New Roman"/>
                <w:noProof/>
                <w:sz w:val="22"/>
              </w:rPr>
              <w:t xml:space="preserve">Personalised services (measures under Article 7(2), </w:t>
            </w:r>
            <w:r w:rsidRPr="00B93B0D">
              <w:rPr>
                <w:noProof/>
              </w:rPr>
              <w:t>second subparagraph</w:t>
            </w:r>
            <w:r w:rsidRPr="00B93B0D">
              <w:rPr>
                <w:rFonts w:eastAsia="Times New Roman"/>
                <w:noProof/>
                <w:sz w:val="22"/>
              </w:rPr>
              <w:t>, point (a), of Regulation (EU) 2021/691)</w:t>
            </w:r>
          </w:p>
        </w:tc>
      </w:tr>
      <w:tr w:rsidR="001A62D7" w:rsidRPr="00B93B0D"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93B0D" w:rsidRDefault="009F2938" w:rsidP="001D5990">
            <w:pPr>
              <w:spacing w:before="60" w:after="60"/>
              <w:jc w:val="left"/>
              <w:rPr>
                <w:noProof/>
              </w:rPr>
            </w:pPr>
            <w:r w:rsidRPr="00B93B0D">
              <w:rPr>
                <w:noProof/>
              </w:rPr>
              <w:t>Information, intake phase and workers’ profiling</w:t>
            </w:r>
            <w:r w:rsidRPr="00B93B0D">
              <w:rPr>
                <w:noProof/>
              </w:rPr>
              <w:br/>
              <w:t>(</w:t>
            </w:r>
            <w:r w:rsidR="00D163F9" w:rsidRPr="00B93B0D">
              <w:rPr>
                <w:i/>
                <w:iCs/>
                <w:noProof/>
              </w:rPr>
              <w:t>a</w:t>
            </w:r>
            <w:r w:rsidRPr="00B93B0D">
              <w:rPr>
                <w:i/>
                <w:iCs/>
                <w:noProof/>
              </w:rPr>
              <w:t>cogida y diagnóstico inicial)</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BC23D3" w:rsidP="001D5990">
            <w:pPr>
              <w:spacing w:before="60" w:after="60"/>
              <w:jc w:val="center"/>
              <w:rPr>
                <w:noProof/>
              </w:rPr>
            </w:pPr>
            <w:r w:rsidRPr="00B93B0D">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BC23D3" w:rsidP="001D5990">
            <w:pPr>
              <w:spacing w:before="60" w:after="60"/>
              <w:jc w:val="center"/>
              <w:rPr>
                <w:noProof/>
              </w:rPr>
            </w:pPr>
            <w:r w:rsidRPr="00B93B0D">
              <w:rPr>
                <w:noProof/>
              </w:rPr>
              <w:t>100</w:t>
            </w:r>
          </w:p>
        </w:tc>
        <w:tc>
          <w:tcPr>
            <w:tcW w:w="1548" w:type="dxa"/>
            <w:tcBorders>
              <w:top w:val="single" w:sz="4" w:space="0" w:color="auto"/>
              <w:left w:val="single" w:sz="4" w:space="0" w:color="auto"/>
              <w:bottom w:val="single" w:sz="4" w:space="0" w:color="auto"/>
              <w:right w:val="nil"/>
            </w:tcBorders>
            <w:vAlign w:val="center"/>
            <w:hideMark/>
          </w:tcPr>
          <w:p w:rsidR="001A62D7" w:rsidRPr="00B93B0D" w:rsidRDefault="00BC23D3" w:rsidP="001D5990">
            <w:pPr>
              <w:spacing w:before="60" w:after="60"/>
              <w:jc w:val="center"/>
              <w:rPr>
                <w:noProof/>
              </w:rPr>
            </w:pPr>
            <w:r w:rsidRPr="00B93B0D">
              <w:rPr>
                <w:noProof/>
              </w:rPr>
              <w:t>40 000</w:t>
            </w:r>
          </w:p>
        </w:tc>
      </w:tr>
      <w:tr w:rsidR="0070290B" w:rsidRPr="00B93B0D" w:rsidTr="008A3196">
        <w:trPr>
          <w:trHeight w:val="802"/>
        </w:trPr>
        <w:tc>
          <w:tcPr>
            <w:tcW w:w="4644" w:type="dxa"/>
            <w:tcBorders>
              <w:top w:val="single" w:sz="4" w:space="0" w:color="auto"/>
              <w:left w:val="nil"/>
              <w:bottom w:val="single" w:sz="4" w:space="0" w:color="auto"/>
              <w:right w:val="single" w:sz="4" w:space="0" w:color="auto"/>
            </w:tcBorders>
            <w:vAlign w:val="center"/>
            <w:hideMark/>
          </w:tcPr>
          <w:p w:rsidR="0070290B" w:rsidRPr="00DE674B" w:rsidRDefault="0070290B" w:rsidP="008A3196">
            <w:pPr>
              <w:spacing w:before="60" w:after="60"/>
              <w:jc w:val="left"/>
              <w:rPr>
                <w:noProof/>
                <w:lang w:val="es-ES"/>
              </w:rPr>
            </w:pPr>
            <w:r w:rsidRPr="00DE674B">
              <w:rPr>
                <w:noProof/>
                <w:lang w:val="es-ES"/>
              </w:rPr>
              <w:t>Occupational guidance</w:t>
            </w:r>
            <w:r w:rsidRPr="00DE674B">
              <w:rPr>
                <w:noProof/>
                <w:lang w:val="es-ES"/>
              </w:rPr>
              <w:br/>
              <w:t>(</w:t>
            </w:r>
            <w:r w:rsidRPr="00DE674B">
              <w:rPr>
                <w:i/>
                <w:iCs/>
                <w:noProof/>
                <w:lang w:val="es-ES"/>
              </w:rPr>
              <w:t>orientación laboral por cuenta agena y propia)</w:t>
            </w:r>
            <w:r w:rsidRPr="00DE674B">
              <w:rPr>
                <w:noProof/>
                <w:lang w:val="es-ES"/>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0290B" w:rsidRPr="00B93B0D" w:rsidRDefault="00BC23D3" w:rsidP="008A3196">
            <w:pPr>
              <w:spacing w:before="60" w:after="60"/>
              <w:jc w:val="center"/>
              <w:rPr>
                <w:noProof/>
              </w:rPr>
            </w:pPr>
            <w:r w:rsidRPr="00B93B0D">
              <w:rPr>
                <w:noProof/>
              </w:rPr>
              <w:t>300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0290B" w:rsidRPr="00B93B0D" w:rsidRDefault="00BC23D3" w:rsidP="008A3196">
            <w:pPr>
              <w:spacing w:before="60" w:after="60"/>
              <w:jc w:val="center"/>
              <w:rPr>
                <w:noProof/>
              </w:rPr>
            </w:pPr>
            <w:r w:rsidRPr="00B93B0D">
              <w:rPr>
                <w:noProof/>
              </w:rPr>
              <w:t>500</w:t>
            </w:r>
          </w:p>
        </w:tc>
        <w:tc>
          <w:tcPr>
            <w:tcW w:w="1548" w:type="dxa"/>
            <w:tcBorders>
              <w:top w:val="single" w:sz="4" w:space="0" w:color="auto"/>
              <w:left w:val="single" w:sz="4" w:space="0" w:color="auto"/>
              <w:bottom w:val="single" w:sz="4" w:space="0" w:color="auto"/>
              <w:right w:val="nil"/>
            </w:tcBorders>
            <w:vAlign w:val="center"/>
            <w:hideMark/>
          </w:tcPr>
          <w:p w:rsidR="0070290B" w:rsidRPr="00B93B0D" w:rsidRDefault="00BC23D3" w:rsidP="008A3196">
            <w:pPr>
              <w:spacing w:before="60" w:after="60"/>
              <w:jc w:val="center"/>
              <w:rPr>
                <w:noProof/>
              </w:rPr>
            </w:pPr>
            <w:r w:rsidRPr="00B93B0D">
              <w:rPr>
                <w:noProof/>
              </w:rPr>
              <w:t>150 000</w:t>
            </w:r>
          </w:p>
        </w:tc>
      </w:tr>
      <w:tr w:rsidR="001A62D7" w:rsidRPr="00B93B0D"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E674B" w:rsidRDefault="00D163F9" w:rsidP="001D5990">
            <w:pPr>
              <w:spacing w:before="60" w:after="60"/>
              <w:jc w:val="left"/>
              <w:rPr>
                <w:noProof/>
                <w:lang w:val="es-ES"/>
              </w:rPr>
            </w:pPr>
            <w:r w:rsidRPr="00DE674B">
              <w:rPr>
                <w:noProof/>
                <w:lang w:val="es-ES"/>
              </w:rPr>
              <w:t>Training</w:t>
            </w:r>
            <w:r w:rsidRPr="00DE674B">
              <w:rPr>
                <w:noProof/>
                <w:lang w:val="es-ES"/>
              </w:rPr>
              <w:br/>
              <w:t>(</w:t>
            </w:r>
            <w:r w:rsidRPr="00DE674B">
              <w:rPr>
                <w:i/>
                <w:iCs/>
                <w:noProof/>
                <w:lang w:val="es-ES"/>
              </w:rPr>
              <w:t>formación transversal</w:t>
            </w:r>
            <w:r w:rsidR="000A411E" w:rsidRPr="00DE674B">
              <w:rPr>
                <w:i/>
                <w:iCs/>
                <w:noProof/>
                <w:lang w:val="es-ES"/>
              </w:rPr>
              <w:t>, recualificación profesional dentro o fuera del sector</w:t>
            </w:r>
            <w:r w:rsidR="00145AB1" w:rsidRPr="00DE674B">
              <w:rPr>
                <w:i/>
                <w:iCs/>
                <w:noProof/>
                <w:lang w:val="es-ES"/>
              </w:rPr>
              <w:t xml:space="preserve"> y formación en autoempleo</w:t>
            </w:r>
            <w:r w:rsidRPr="00DE674B">
              <w:rPr>
                <w:i/>
                <w:iCs/>
                <w:noProof/>
                <w:lang w:val="es-ES"/>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C22B7B" w:rsidP="001D5990">
            <w:pPr>
              <w:spacing w:before="60" w:after="60"/>
              <w:jc w:val="center"/>
              <w:rPr>
                <w:noProof/>
              </w:rPr>
            </w:pPr>
            <w:r w:rsidRPr="00B93B0D">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C22B7B" w:rsidP="001D5990">
            <w:pPr>
              <w:spacing w:before="60" w:after="60"/>
              <w:jc w:val="center"/>
              <w:rPr>
                <w:noProof/>
              </w:rPr>
            </w:pPr>
            <w:r w:rsidRPr="00B93B0D">
              <w:rPr>
                <w:noProof/>
              </w:rPr>
              <w:t>5 050</w:t>
            </w:r>
          </w:p>
        </w:tc>
        <w:tc>
          <w:tcPr>
            <w:tcW w:w="1548" w:type="dxa"/>
            <w:tcBorders>
              <w:top w:val="single" w:sz="4" w:space="0" w:color="auto"/>
              <w:left w:val="single" w:sz="4" w:space="0" w:color="auto"/>
              <w:bottom w:val="single" w:sz="4" w:space="0" w:color="auto"/>
              <w:right w:val="nil"/>
            </w:tcBorders>
            <w:vAlign w:val="center"/>
            <w:hideMark/>
          </w:tcPr>
          <w:p w:rsidR="001A62D7" w:rsidRPr="00B93B0D" w:rsidRDefault="00BC23D3" w:rsidP="001D5990">
            <w:pPr>
              <w:spacing w:before="60" w:after="60"/>
              <w:jc w:val="center"/>
              <w:rPr>
                <w:noProof/>
              </w:rPr>
            </w:pPr>
            <w:r w:rsidRPr="00B93B0D">
              <w:rPr>
                <w:noProof/>
              </w:rPr>
              <w:t>2 020 000</w:t>
            </w:r>
          </w:p>
        </w:tc>
      </w:tr>
      <w:tr w:rsidR="001A62D7" w:rsidRPr="00B93B0D"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93B0D" w:rsidRDefault="00DD32A0" w:rsidP="001D5990">
            <w:pPr>
              <w:spacing w:before="60" w:after="60"/>
              <w:jc w:val="left"/>
              <w:rPr>
                <w:noProof/>
              </w:rPr>
            </w:pPr>
            <w:r w:rsidRPr="00B93B0D">
              <w:rPr>
                <w:noProof/>
              </w:rPr>
              <w:lastRenderedPageBreak/>
              <w:t>Intensive job-search assistance</w:t>
            </w:r>
            <w:r w:rsidRPr="00B93B0D">
              <w:rPr>
                <w:noProof/>
              </w:rPr>
              <w:br/>
              <w:t>(</w:t>
            </w:r>
            <w:r w:rsidRPr="00B93B0D">
              <w:rPr>
                <w:i/>
                <w:iCs/>
                <w:noProof/>
              </w:rPr>
              <w:t>apoyo a la recolocación)</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BC23D3" w:rsidP="001D5990">
            <w:pPr>
              <w:spacing w:before="60" w:after="60"/>
              <w:jc w:val="center"/>
              <w:rPr>
                <w:noProof/>
              </w:rPr>
            </w:pPr>
            <w:r w:rsidRPr="00B93B0D">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BC23D3" w:rsidP="001D5990">
            <w:pPr>
              <w:spacing w:before="60" w:after="60"/>
              <w:jc w:val="center"/>
              <w:rPr>
                <w:noProof/>
              </w:rPr>
            </w:pPr>
            <w:r w:rsidRPr="00B93B0D">
              <w:rPr>
                <w:noProof/>
              </w:rPr>
              <w:t>1 300</w:t>
            </w:r>
          </w:p>
        </w:tc>
        <w:tc>
          <w:tcPr>
            <w:tcW w:w="1548" w:type="dxa"/>
            <w:tcBorders>
              <w:top w:val="single" w:sz="4" w:space="0" w:color="auto"/>
              <w:left w:val="single" w:sz="4" w:space="0" w:color="auto"/>
              <w:bottom w:val="single" w:sz="4" w:space="0" w:color="auto"/>
              <w:right w:val="nil"/>
            </w:tcBorders>
            <w:vAlign w:val="center"/>
            <w:hideMark/>
          </w:tcPr>
          <w:p w:rsidR="001A62D7" w:rsidRPr="00B93B0D" w:rsidRDefault="00BC23D3" w:rsidP="001D5990">
            <w:pPr>
              <w:spacing w:before="60" w:after="60"/>
              <w:jc w:val="center"/>
              <w:rPr>
                <w:noProof/>
              </w:rPr>
            </w:pPr>
            <w:r w:rsidRPr="00B93B0D">
              <w:rPr>
                <w:noProof/>
              </w:rPr>
              <w:t>325 000</w:t>
            </w:r>
          </w:p>
        </w:tc>
      </w:tr>
      <w:tr w:rsidR="001A62D7" w:rsidRPr="00B93B0D"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93B0D" w:rsidRDefault="00DD32A0" w:rsidP="001D5990">
            <w:pPr>
              <w:spacing w:before="60" w:after="60"/>
              <w:jc w:val="left"/>
              <w:rPr>
                <w:noProof/>
              </w:rPr>
            </w:pPr>
            <w:r w:rsidRPr="00B93B0D">
              <w:rPr>
                <w:noProof/>
              </w:rPr>
              <w:t>Tutoring after reintegration into work</w:t>
            </w:r>
            <w:r w:rsidRPr="00B93B0D">
              <w:rPr>
                <w:noProof/>
              </w:rPr>
              <w:br/>
              <w:t>(</w:t>
            </w:r>
            <w:r w:rsidRPr="00B93B0D">
              <w:rPr>
                <w:i/>
                <w:iCs/>
                <w:noProof/>
              </w:rPr>
              <w:t>seguimiento en el empleo)</w:t>
            </w:r>
            <w:r w:rsidR="001A62D7" w:rsidRPr="00B93B0D">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BC23D3" w:rsidP="001D5990">
            <w:pPr>
              <w:spacing w:before="60" w:after="60"/>
              <w:jc w:val="center"/>
              <w:rPr>
                <w:noProof/>
              </w:rPr>
            </w:pPr>
            <w:r w:rsidRPr="00B93B0D">
              <w:rPr>
                <w:noProof/>
              </w:rPr>
              <w:t>200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BC23D3" w:rsidP="001D5990">
            <w:pPr>
              <w:spacing w:before="60" w:after="60"/>
              <w:jc w:val="center"/>
              <w:rPr>
                <w:noProof/>
              </w:rPr>
            </w:pPr>
            <w:r w:rsidRPr="00B93B0D">
              <w:rPr>
                <w:noProof/>
              </w:rPr>
              <w:t>250</w:t>
            </w:r>
          </w:p>
        </w:tc>
        <w:tc>
          <w:tcPr>
            <w:tcW w:w="1548" w:type="dxa"/>
            <w:tcBorders>
              <w:top w:val="single" w:sz="4" w:space="0" w:color="auto"/>
              <w:left w:val="single" w:sz="4" w:space="0" w:color="auto"/>
              <w:bottom w:val="single" w:sz="4" w:space="0" w:color="auto"/>
              <w:right w:val="nil"/>
            </w:tcBorders>
            <w:vAlign w:val="center"/>
            <w:hideMark/>
          </w:tcPr>
          <w:p w:rsidR="001A62D7" w:rsidRPr="00B93B0D" w:rsidRDefault="00BC23D3" w:rsidP="001D5990">
            <w:pPr>
              <w:spacing w:before="60" w:after="60"/>
              <w:jc w:val="center"/>
              <w:rPr>
                <w:noProof/>
              </w:rPr>
            </w:pPr>
            <w:r w:rsidRPr="00B93B0D">
              <w:rPr>
                <w:noProof/>
              </w:rPr>
              <w:t>50 000</w:t>
            </w:r>
          </w:p>
        </w:tc>
      </w:tr>
      <w:tr w:rsidR="001A62D7" w:rsidRPr="00B93B0D" w:rsidTr="001D5990">
        <w:trPr>
          <w:trHeight w:val="398"/>
        </w:trPr>
        <w:tc>
          <w:tcPr>
            <w:tcW w:w="4644" w:type="dxa"/>
            <w:vMerge w:val="restart"/>
            <w:shd w:val="clear" w:color="auto" w:fill="auto"/>
            <w:vAlign w:val="center"/>
          </w:tcPr>
          <w:p w:rsidR="001A62D7" w:rsidRPr="00B93B0D" w:rsidRDefault="001A62D7" w:rsidP="001D5990">
            <w:pPr>
              <w:spacing w:before="60" w:after="60"/>
              <w:jc w:val="right"/>
              <w:rPr>
                <w:rFonts w:eastAsia="Times New Roman"/>
                <w:noProof/>
                <w:sz w:val="22"/>
              </w:rPr>
            </w:pPr>
            <w:r w:rsidRPr="00B93B0D">
              <w:rPr>
                <w:rFonts w:eastAsia="Times New Roman"/>
                <w:noProof/>
                <w:sz w:val="22"/>
              </w:rPr>
              <w:t>Sub-total (a):</w:t>
            </w:r>
          </w:p>
          <w:p w:rsidR="001A62D7" w:rsidRPr="00B93B0D" w:rsidRDefault="001A62D7" w:rsidP="001D5990">
            <w:pPr>
              <w:spacing w:before="60" w:after="60"/>
              <w:jc w:val="right"/>
              <w:rPr>
                <w:rFonts w:eastAsia="Times New Roman"/>
                <w:noProof/>
                <w:sz w:val="22"/>
              </w:rPr>
            </w:pPr>
            <w:r w:rsidRPr="00B93B0D">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p>
        </w:tc>
        <w:tc>
          <w:tcPr>
            <w:tcW w:w="1548" w:type="dxa"/>
            <w:tcBorders>
              <w:bottom w:val="nil"/>
            </w:tcBorders>
            <w:shd w:val="clear" w:color="auto" w:fill="auto"/>
            <w:vAlign w:val="center"/>
          </w:tcPr>
          <w:p w:rsidR="001A62D7" w:rsidRPr="00B93B0D" w:rsidRDefault="00BC23D3" w:rsidP="001D5990">
            <w:pPr>
              <w:spacing w:before="60" w:after="60"/>
              <w:jc w:val="center"/>
              <w:rPr>
                <w:rFonts w:eastAsia="Times New Roman"/>
                <w:noProof/>
                <w:sz w:val="22"/>
              </w:rPr>
            </w:pPr>
            <w:r w:rsidRPr="00B93B0D">
              <w:rPr>
                <w:noProof/>
              </w:rPr>
              <w:t>2 585 000</w:t>
            </w:r>
          </w:p>
        </w:tc>
      </w:tr>
      <w:tr w:rsidR="001A62D7" w:rsidRPr="00B93B0D" w:rsidTr="001D5990">
        <w:trPr>
          <w:trHeight w:val="397"/>
        </w:trPr>
        <w:tc>
          <w:tcPr>
            <w:tcW w:w="4644" w:type="dxa"/>
            <w:vMerge/>
            <w:shd w:val="clear" w:color="auto" w:fill="auto"/>
            <w:vAlign w:val="center"/>
          </w:tcPr>
          <w:p w:rsidR="001A62D7" w:rsidRPr="00B93B0D"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B93B0D"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r w:rsidR="0042221A" w:rsidRPr="00B93B0D">
              <w:rPr>
                <w:noProof/>
              </w:rPr>
              <w:t>84,87</w:t>
            </w:r>
            <w:r w:rsidRPr="00B93B0D">
              <w:rPr>
                <w:noProof/>
              </w:rPr>
              <w:t> </w:t>
            </w:r>
            <w:r w:rsidRPr="00B93B0D">
              <w:rPr>
                <w:rFonts w:eastAsia="Times New Roman"/>
                <w:noProof/>
                <w:sz w:val="22"/>
              </w:rPr>
              <w:t>%)</w:t>
            </w:r>
          </w:p>
        </w:tc>
      </w:tr>
      <w:tr w:rsidR="001A62D7" w:rsidRPr="00B93B0D" w:rsidTr="001D5990">
        <w:tc>
          <w:tcPr>
            <w:tcW w:w="9288" w:type="dxa"/>
            <w:gridSpan w:val="4"/>
            <w:shd w:val="clear" w:color="auto" w:fill="auto"/>
            <w:vAlign w:val="center"/>
          </w:tcPr>
          <w:p w:rsidR="001A62D7" w:rsidRPr="00B93B0D" w:rsidRDefault="001A62D7" w:rsidP="001D5990">
            <w:pPr>
              <w:spacing w:before="60" w:after="60"/>
              <w:jc w:val="left"/>
              <w:rPr>
                <w:noProof/>
                <w:sz w:val="22"/>
              </w:rPr>
            </w:pPr>
            <w:r w:rsidRPr="00B93B0D">
              <w:rPr>
                <w:rFonts w:eastAsia="Times New Roman"/>
                <w:noProof/>
                <w:sz w:val="22"/>
              </w:rPr>
              <w:t xml:space="preserve">Allowances and incentives (measures under Article 7(2), </w:t>
            </w:r>
            <w:r w:rsidRPr="00B93B0D">
              <w:rPr>
                <w:noProof/>
              </w:rPr>
              <w:t>second subparagraph</w:t>
            </w:r>
            <w:r w:rsidRPr="00B93B0D">
              <w:rPr>
                <w:rFonts w:eastAsia="Times New Roman"/>
                <w:noProof/>
                <w:sz w:val="22"/>
              </w:rPr>
              <w:t>, point (b), of Regulation (EU) 2021/691)</w:t>
            </w:r>
          </w:p>
        </w:tc>
      </w:tr>
      <w:tr w:rsidR="001A62D7" w:rsidRPr="00B93B0D"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DE674B" w:rsidRDefault="00DD32A0" w:rsidP="001D5990">
            <w:pPr>
              <w:spacing w:before="60" w:after="60"/>
              <w:jc w:val="left"/>
              <w:rPr>
                <w:noProof/>
                <w:lang w:val="es-ES"/>
              </w:rPr>
            </w:pPr>
            <w:r w:rsidRPr="00DE674B">
              <w:rPr>
                <w:noProof/>
                <w:lang w:val="es-ES"/>
              </w:rPr>
              <w:t>Financial support and incentives</w:t>
            </w:r>
            <w:r w:rsidRPr="00DE674B">
              <w:rPr>
                <w:noProof/>
                <w:lang w:val="es-ES"/>
              </w:rPr>
              <w:br/>
              <w:t>(</w:t>
            </w:r>
            <w:r w:rsidRPr="00DE674B">
              <w:rPr>
                <w:i/>
                <w:iCs/>
                <w:noProof/>
                <w:lang w:val="es-ES"/>
              </w:rPr>
              <w:t>becas de participación activa y de desplazamiento, incentivo para la inserción laboral por cuenta propia y ajena, incentivo para el fomento del autoempleo, e incentivo para la conciliación)</w:t>
            </w:r>
            <w:r w:rsidR="001A62D7" w:rsidRPr="00DE674B">
              <w:rPr>
                <w:noProof/>
                <w:lang w:val="es-ES"/>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BC23D3" w:rsidP="001D5990">
            <w:pPr>
              <w:spacing w:before="60" w:after="60"/>
              <w:jc w:val="center"/>
              <w:rPr>
                <w:noProof/>
              </w:rPr>
            </w:pPr>
            <w:r w:rsidRPr="00B93B0D">
              <w:rPr>
                <w:noProof/>
              </w:rPr>
              <w:t>400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93B0D" w:rsidRDefault="00BC23D3" w:rsidP="001D5990">
            <w:pPr>
              <w:spacing w:before="60" w:after="60"/>
              <w:jc w:val="center"/>
              <w:rPr>
                <w:noProof/>
              </w:rPr>
            </w:pPr>
            <w:r w:rsidRPr="00B93B0D">
              <w:rPr>
                <w:noProof/>
              </w:rPr>
              <w:t>1 152</w:t>
            </w:r>
          </w:p>
        </w:tc>
        <w:tc>
          <w:tcPr>
            <w:tcW w:w="1548" w:type="dxa"/>
            <w:tcBorders>
              <w:top w:val="single" w:sz="4" w:space="0" w:color="auto"/>
              <w:left w:val="single" w:sz="4" w:space="0" w:color="auto"/>
              <w:bottom w:val="single" w:sz="4" w:space="0" w:color="auto"/>
              <w:right w:val="nil"/>
            </w:tcBorders>
            <w:vAlign w:val="center"/>
            <w:hideMark/>
          </w:tcPr>
          <w:p w:rsidR="001A62D7" w:rsidRPr="00B93B0D" w:rsidRDefault="00BC23D3" w:rsidP="001D5990">
            <w:pPr>
              <w:spacing w:before="60" w:after="60"/>
              <w:jc w:val="center"/>
              <w:rPr>
                <w:noProof/>
              </w:rPr>
            </w:pPr>
            <w:r w:rsidRPr="00B93B0D">
              <w:rPr>
                <w:noProof/>
              </w:rPr>
              <w:t>461 000</w:t>
            </w:r>
          </w:p>
        </w:tc>
      </w:tr>
      <w:tr w:rsidR="001A62D7" w:rsidRPr="00B93B0D" w:rsidTr="001D5990">
        <w:trPr>
          <w:trHeight w:val="203"/>
        </w:trPr>
        <w:tc>
          <w:tcPr>
            <w:tcW w:w="4644" w:type="dxa"/>
            <w:vMerge w:val="restart"/>
            <w:shd w:val="clear" w:color="auto" w:fill="auto"/>
            <w:vAlign w:val="center"/>
          </w:tcPr>
          <w:p w:rsidR="001A62D7" w:rsidRPr="00B93B0D" w:rsidRDefault="001A62D7" w:rsidP="001D5990">
            <w:pPr>
              <w:spacing w:before="60" w:after="60"/>
              <w:jc w:val="right"/>
              <w:rPr>
                <w:rFonts w:eastAsia="Times New Roman"/>
                <w:noProof/>
                <w:sz w:val="22"/>
              </w:rPr>
            </w:pPr>
            <w:r w:rsidRPr="00B93B0D">
              <w:rPr>
                <w:rFonts w:eastAsia="Times New Roman"/>
                <w:noProof/>
                <w:sz w:val="22"/>
              </w:rPr>
              <w:t>Sub-total (b):</w:t>
            </w:r>
          </w:p>
          <w:p w:rsidR="001A62D7" w:rsidRPr="00B93B0D" w:rsidRDefault="001A62D7" w:rsidP="001D5990">
            <w:pPr>
              <w:spacing w:before="60" w:after="60"/>
              <w:jc w:val="right"/>
              <w:rPr>
                <w:rFonts w:eastAsia="Times New Roman"/>
                <w:noProof/>
                <w:sz w:val="22"/>
              </w:rPr>
            </w:pPr>
            <w:r w:rsidRPr="00B93B0D">
              <w:rPr>
                <w:rFonts w:eastAsia="Times New Roman"/>
                <w:noProof/>
                <w:sz w:val="22"/>
              </w:rPr>
              <w:t>Percentage of the package of personalised services:</w:t>
            </w:r>
          </w:p>
        </w:tc>
        <w:tc>
          <w:tcPr>
            <w:tcW w:w="3096" w:type="dxa"/>
            <w:gridSpan w:val="2"/>
            <w:vMerge w:val="restart"/>
            <w:shd w:val="clear" w:color="auto" w:fill="D9D9D9"/>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p>
        </w:tc>
        <w:tc>
          <w:tcPr>
            <w:tcW w:w="1548" w:type="dxa"/>
            <w:tcBorders>
              <w:bottom w:val="nil"/>
            </w:tcBorders>
            <w:shd w:val="clear" w:color="auto" w:fill="auto"/>
            <w:vAlign w:val="center"/>
          </w:tcPr>
          <w:p w:rsidR="001A62D7" w:rsidRPr="00B93B0D" w:rsidRDefault="00BC23D3" w:rsidP="001D5990">
            <w:pPr>
              <w:spacing w:before="60" w:after="60"/>
              <w:jc w:val="center"/>
              <w:rPr>
                <w:rFonts w:eastAsia="Times New Roman"/>
                <w:noProof/>
                <w:sz w:val="22"/>
              </w:rPr>
            </w:pPr>
            <w:r w:rsidRPr="00B93B0D">
              <w:rPr>
                <w:noProof/>
              </w:rPr>
              <w:t>461 000</w:t>
            </w:r>
          </w:p>
        </w:tc>
      </w:tr>
      <w:tr w:rsidR="001A62D7" w:rsidRPr="00B93B0D" w:rsidTr="001D5990">
        <w:trPr>
          <w:trHeight w:val="202"/>
        </w:trPr>
        <w:tc>
          <w:tcPr>
            <w:tcW w:w="4644" w:type="dxa"/>
            <w:vMerge/>
            <w:shd w:val="clear" w:color="auto" w:fill="auto"/>
            <w:vAlign w:val="center"/>
          </w:tcPr>
          <w:p w:rsidR="001A62D7" w:rsidRPr="00B93B0D"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B93B0D"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r w:rsidR="00FF65D3" w:rsidRPr="00B93B0D">
              <w:rPr>
                <w:noProof/>
              </w:rPr>
              <w:t>15,13</w:t>
            </w:r>
            <w:r w:rsidRPr="00B93B0D">
              <w:rPr>
                <w:noProof/>
              </w:rPr>
              <w:t> </w:t>
            </w:r>
            <w:r w:rsidRPr="00B93B0D">
              <w:rPr>
                <w:rFonts w:eastAsia="Times New Roman"/>
                <w:noProof/>
                <w:sz w:val="22"/>
              </w:rPr>
              <w:t>%)</w:t>
            </w:r>
          </w:p>
        </w:tc>
      </w:tr>
      <w:tr w:rsidR="001A62D7" w:rsidRPr="00B93B0D" w:rsidTr="001D5990">
        <w:tc>
          <w:tcPr>
            <w:tcW w:w="9288" w:type="dxa"/>
            <w:gridSpan w:val="4"/>
            <w:shd w:val="clear" w:color="auto" w:fill="auto"/>
            <w:vAlign w:val="center"/>
          </w:tcPr>
          <w:p w:rsidR="001A62D7" w:rsidRPr="00B93B0D" w:rsidRDefault="001A62D7" w:rsidP="001D5990">
            <w:pPr>
              <w:spacing w:before="60" w:after="60"/>
              <w:jc w:val="left"/>
              <w:rPr>
                <w:rFonts w:eastAsia="Times New Roman"/>
                <w:noProof/>
                <w:sz w:val="22"/>
              </w:rPr>
            </w:pPr>
            <w:r w:rsidRPr="00B93B0D">
              <w:rPr>
                <w:rFonts w:eastAsia="Times New Roman"/>
                <w:noProof/>
                <w:sz w:val="22"/>
              </w:rPr>
              <w:t>Activities under Article 7(5) of Regulation (EU) 2021/691</w:t>
            </w:r>
          </w:p>
        </w:tc>
      </w:tr>
      <w:tr w:rsidR="001A62D7" w:rsidRPr="00B93B0D" w:rsidTr="001D5990">
        <w:tc>
          <w:tcPr>
            <w:tcW w:w="4644" w:type="dxa"/>
            <w:shd w:val="clear" w:color="auto" w:fill="auto"/>
          </w:tcPr>
          <w:p w:rsidR="001A62D7" w:rsidRPr="00B93B0D" w:rsidRDefault="001A62D7" w:rsidP="001D5990">
            <w:pPr>
              <w:spacing w:before="60" w:after="60"/>
              <w:ind w:left="284"/>
              <w:jc w:val="left"/>
              <w:rPr>
                <w:rFonts w:eastAsia="Times New Roman"/>
                <w:noProof/>
                <w:sz w:val="22"/>
              </w:rPr>
            </w:pPr>
            <w:r w:rsidRPr="00B93B0D">
              <w:rPr>
                <w:rFonts w:eastAsia="Times New Roman"/>
                <w:noProof/>
                <w:sz w:val="22"/>
              </w:rPr>
              <w:t>1. Preparatory activities</w:t>
            </w:r>
          </w:p>
        </w:tc>
        <w:tc>
          <w:tcPr>
            <w:tcW w:w="3096" w:type="dxa"/>
            <w:gridSpan w:val="2"/>
            <w:shd w:val="clear" w:color="auto" w:fill="D9D9D9"/>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p>
        </w:tc>
        <w:tc>
          <w:tcPr>
            <w:tcW w:w="1548" w:type="dxa"/>
            <w:shd w:val="clear" w:color="auto" w:fill="auto"/>
          </w:tcPr>
          <w:p w:rsidR="001A62D7" w:rsidRPr="00B93B0D" w:rsidRDefault="0042221A" w:rsidP="001D5990">
            <w:pPr>
              <w:spacing w:before="60" w:after="60"/>
              <w:jc w:val="center"/>
              <w:rPr>
                <w:rFonts w:eastAsia="Times New Roman"/>
                <w:noProof/>
                <w:sz w:val="22"/>
              </w:rPr>
            </w:pPr>
            <w:r w:rsidRPr="00B93B0D">
              <w:rPr>
                <w:noProof/>
              </w:rPr>
              <w:t>0</w:t>
            </w:r>
            <w:r w:rsidRPr="00B93B0D">
              <w:rPr>
                <w:rStyle w:val="FootnoteReference"/>
                <w:noProof/>
              </w:rPr>
              <w:footnoteReference w:id="40"/>
            </w:r>
          </w:p>
        </w:tc>
      </w:tr>
      <w:tr w:rsidR="001A62D7" w:rsidRPr="00B93B0D" w:rsidTr="001D5990">
        <w:tc>
          <w:tcPr>
            <w:tcW w:w="4644" w:type="dxa"/>
            <w:shd w:val="clear" w:color="auto" w:fill="auto"/>
          </w:tcPr>
          <w:p w:rsidR="001A62D7" w:rsidRPr="00B93B0D" w:rsidRDefault="001A62D7" w:rsidP="001D5990">
            <w:pPr>
              <w:spacing w:before="60" w:after="60"/>
              <w:ind w:left="284"/>
              <w:jc w:val="left"/>
              <w:rPr>
                <w:rFonts w:eastAsia="Times New Roman"/>
                <w:noProof/>
                <w:sz w:val="22"/>
              </w:rPr>
            </w:pPr>
            <w:r w:rsidRPr="00B93B0D">
              <w:rPr>
                <w:rFonts w:eastAsia="Times New Roman"/>
                <w:noProof/>
                <w:sz w:val="22"/>
              </w:rPr>
              <w:t>2. Management</w:t>
            </w:r>
          </w:p>
        </w:tc>
        <w:tc>
          <w:tcPr>
            <w:tcW w:w="3096" w:type="dxa"/>
            <w:gridSpan w:val="2"/>
            <w:shd w:val="clear" w:color="auto" w:fill="D9D9D9"/>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p>
        </w:tc>
        <w:tc>
          <w:tcPr>
            <w:tcW w:w="1548" w:type="dxa"/>
            <w:shd w:val="clear" w:color="auto" w:fill="auto"/>
          </w:tcPr>
          <w:p w:rsidR="001A62D7" w:rsidRPr="00B93B0D" w:rsidRDefault="0042221A" w:rsidP="001D5990">
            <w:pPr>
              <w:spacing w:before="60" w:after="60"/>
              <w:jc w:val="center"/>
              <w:rPr>
                <w:rFonts w:eastAsia="Times New Roman"/>
                <w:noProof/>
                <w:sz w:val="22"/>
              </w:rPr>
            </w:pPr>
            <w:r w:rsidRPr="00B93B0D">
              <w:rPr>
                <w:noProof/>
              </w:rPr>
              <w:t>130 000</w:t>
            </w:r>
          </w:p>
        </w:tc>
      </w:tr>
      <w:tr w:rsidR="001A62D7" w:rsidRPr="00B93B0D" w:rsidTr="001D5990">
        <w:tc>
          <w:tcPr>
            <w:tcW w:w="4644" w:type="dxa"/>
            <w:shd w:val="clear" w:color="auto" w:fill="auto"/>
          </w:tcPr>
          <w:p w:rsidR="001A62D7" w:rsidRPr="00B93B0D" w:rsidRDefault="001A62D7" w:rsidP="001D5990">
            <w:pPr>
              <w:spacing w:before="60" w:after="60"/>
              <w:ind w:left="284"/>
              <w:jc w:val="left"/>
              <w:rPr>
                <w:rFonts w:eastAsia="Times New Roman"/>
                <w:noProof/>
                <w:sz w:val="22"/>
              </w:rPr>
            </w:pPr>
            <w:r w:rsidRPr="00B93B0D">
              <w:rPr>
                <w:rFonts w:eastAsia="Times New Roman"/>
                <w:noProof/>
                <w:sz w:val="22"/>
              </w:rPr>
              <w:t>3. Information and publicity</w:t>
            </w:r>
          </w:p>
        </w:tc>
        <w:tc>
          <w:tcPr>
            <w:tcW w:w="3096" w:type="dxa"/>
            <w:gridSpan w:val="2"/>
            <w:shd w:val="clear" w:color="auto" w:fill="D9D9D9"/>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p>
        </w:tc>
        <w:tc>
          <w:tcPr>
            <w:tcW w:w="1548" w:type="dxa"/>
            <w:shd w:val="clear" w:color="auto" w:fill="auto"/>
          </w:tcPr>
          <w:p w:rsidR="001A62D7" w:rsidRPr="00B93B0D" w:rsidRDefault="0042221A" w:rsidP="001D5990">
            <w:pPr>
              <w:spacing w:before="60" w:after="60"/>
              <w:jc w:val="center"/>
              <w:rPr>
                <w:rFonts w:eastAsia="Times New Roman"/>
                <w:noProof/>
                <w:sz w:val="22"/>
              </w:rPr>
            </w:pPr>
            <w:r w:rsidRPr="00B93B0D">
              <w:rPr>
                <w:noProof/>
              </w:rPr>
              <w:t>30 000</w:t>
            </w:r>
          </w:p>
        </w:tc>
      </w:tr>
      <w:tr w:rsidR="001A62D7" w:rsidRPr="00B93B0D" w:rsidTr="001D5990">
        <w:tc>
          <w:tcPr>
            <w:tcW w:w="4644" w:type="dxa"/>
            <w:shd w:val="clear" w:color="auto" w:fill="auto"/>
          </w:tcPr>
          <w:p w:rsidR="001A62D7" w:rsidRPr="00B93B0D" w:rsidRDefault="001A62D7" w:rsidP="001D5990">
            <w:pPr>
              <w:spacing w:before="60" w:after="60"/>
              <w:ind w:left="284"/>
              <w:jc w:val="left"/>
              <w:rPr>
                <w:rFonts w:eastAsia="Times New Roman"/>
                <w:noProof/>
                <w:sz w:val="22"/>
              </w:rPr>
            </w:pPr>
            <w:r w:rsidRPr="00B93B0D">
              <w:rPr>
                <w:rFonts w:eastAsia="Times New Roman"/>
                <w:noProof/>
                <w:sz w:val="22"/>
              </w:rPr>
              <w:t>4. Control and reporting</w:t>
            </w:r>
          </w:p>
        </w:tc>
        <w:tc>
          <w:tcPr>
            <w:tcW w:w="3096" w:type="dxa"/>
            <w:gridSpan w:val="2"/>
            <w:shd w:val="clear" w:color="auto" w:fill="D9D9D9"/>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p>
        </w:tc>
        <w:tc>
          <w:tcPr>
            <w:tcW w:w="1548" w:type="dxa"/>
            <w:tcBorders>
              <w:bottom w:val="single" w:sz="4" w:space="0" w:color="auto"/>
            </w:tcBorders>
            <w:shd w:val="clear" w:color="auto" w:fill="auto"/>
          </w:tcPr>
          <w:p w:rsidR="001A62D7" w:rsidRPr="00B93B0D" w:rsidRDefault="0042221A" w:rsidP="001D5990">
            <w:pPr>
              <w:spacing w:before="60" w:after="60"/>
              <w:jc w:val="center"/>
              <w:rPr>
                <w:rFonts w:eastAsia="Times New Roman"/>
                <w:noProof/>
                <w:sz w:val="22"/>
              </w:rPr>
            </w:pPr>
            <w:r w:rsidRPr="00B93B0D">
              <w:rPr>
                <w:noProof/>
              </w:rPr>
              <w:t>0</w:t>
            </w:r>
            <w:r w:rsidRPr="00B93B0D">
              <w:rPr>
                <w:rStyle w:val="FootnoteReference"/>
                <w:noProof/>
              </w:rPr>
              <w:footnoteReference w:id="41"/>
            </w:r>
          </w:p>
        </w:tc>
      </w:tr>
      <w:tr w:rsidR="001A62D7" w:rsidRPr="00B93B0D" w:rsidTr="001D5990">
        <w:trPr>
          <w:trHeight w:val="203"/>
        </w:trPr>
        <w:tc>
          <w:tcPr>
            <w:tcW w:w="4644" w:type="dxa"/>
            <w:vMerge w:val="restart"/>
            <w:shd w:val="clear" w:color="auto" w:fill="auto"/>
            <w:vAlign w:val="center"/>
          </w:tcPr>
          <w:p w:rsidR="001A62D7" w:rsidRPr="00B93B0D" w:rsidRDefault="001A62D7" w:rsidP="001D5990">
            <w:pPr>
              <w:spacing w:before="60" w:after="60"/>
              <w:jc w:val="right"/>
              <w:rPr>
                <w:rFonts w:eastAsia="Times New Roman"/>
                <w:noProof/>
                <w:sz w:val="22"/>
              </w:rPr>
            </w:pPr>
            <w:r w:rsidRPr="00B93B0D">
              <w:rPr>
                <w:rFonts w:eastAsia="Times New Roman"/>
                <w:noProof/>
                <w:sz w:val="22"/>
              </w:rPr>
              <w:t>Sub-total (c):</w:t>
            </w:r>
          </w:p>
          <w:p w:rsidR="001A62D7" w:rsidRPr="00B93B0D" w:rsidRDefault="001A62D7" w:rsidP="001D5990">
            <w:pPr>
              <w:spacing w:before="60" w:after="60"/>
              <w:jc w:val="right"/>
              <w:rPr>
                <w:rFonts w:eastAsia="Times New Roman"/>
                <w:noProof/>
                <w:sz w:val="22"/>
              </w:rPr>
            </w:pPr>
            <w:r w:rsidRPr="00B93B0D">
              <w:rPr>
                <w:rFonts w:eastAsia="Times New Roman"/>
                <w:noProof/>
                <w:sz w:val="22"/>
              </w:rPr>
              <w:t>Percentage of the total costs :</w:t>
            </w:r>
          </w:p>
        </w:tc>
        <w:tc>
          <w:tcPr>
            <w:tcW w:w="3096" w:type="dxa"/>
            <w:gridSpan w:val="2"/>
            <w:vMerge w:val="restart"/>
            <w:shd w:val="clear" w:color="auto" w:fill="D9D9D9"/>
            <w:vAlign w:val="center"/>
          </w:tcPr>
          <w:p w:rsidR="001A62D7" w:rsidRPr="00B93B0D" w:rsidRDefault="001A62D7" w:rsidP="001D5990">
            <w:pPr>
              <w:spacing w:before="0" w:after="0"/>
              <w:jc w:val="center"/>
              <w:rPr>
                <w:rFonts w:eastAsia="Times New Roman"/>
                <w:noProof/>
                <w:sz w:val="22"/>
              </w:rPr>
            </w:pPr>
            <w:r w:rsidRPr="00B93B0D">
              <w:rPr>
                <w:rFonts w:eastAsia="Times New Roman"/>
                <w:noProof/>
                <w:sz w:val="22"/>
              </w:rPr>
              <w:t>–</w:t>
            </w:r>
          </w:p>
        </w:tc>
        <w:tc>
          <w:tcPr>
            <w:tcW w:w="1548" w:type="dxa"/>
            <w:tcBorders>
              <w:bottom w:val="nil"/>
            </w:tcBorders>
            <w:shd w:val="clear" w:color="auto" w:fill="auto"/>
            <w:vAlign w:val="center"/>
          </w:tcPr>
          <w:p w:rsidR="001A62D7" w:rsidRPr="00B93B0D" w:rsidRDefault="00044450" w:rsidP="001D5990">
            <w:pPr>
              <w:spacing w:before="60" w:after="60"/>
              <w:jc w:val="center"/>
              <w:rPr>
                <w:rFonts w:eastAsia="Times New Roman"/>
                <w:noProof/>
                <w:sz w:val="22"/>
              </w:rPr>
            </w:pPr>
            <w:r w:rsidRPr="00B93B0D">
              <w:rPr>
                <w:noProof/>
              </w:rPr>
              <w:t>160 000</w:t>
            </w:r>
          </w:p>
        </w:tc>
      </w:tr>
      <w:tr w:rsidR="001A62D7" w:rsidRPr="00B93B0D" w:rsidTr="001D5990">
        <w:trPr>
          <w:trHeight w:val="202"/>
        </w:trPr>
        <w:tc>
          <w:tcPr>
            <w:tcW w:w="4644" w:type="dxa"/>
            <w:vMerge/>
            <w:shd w:val="clear" w:color="auto" w:fill="auto"/>
          </w:tcPr>
          <w:p w:rsidR="001A62D7" w:rsidRPr="00B93B0D"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B93B0D"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r w:rsidR="00FF65D3" w:rsidRPr="00B93B0D">
              <w:rPr>
                <w:noProof/>
              </w:rPr>
              <w:t>4,99</w:t>
            </w:r>
            <w:r w:rsidRPr="00B93B0D">
              <w:rPr>
                <w:noProof/>
              </w:rPr>
              <w:t> </w:t>
            </w:r>
            <w:r w:rsidRPr="00B93B0D">
              <w:rPr>
                <w:rFonts w:eastAsia="Times New Roman"/>
                <w:noProof/>
                <w:sz w:val="22"/>
              </w:rPr>
              <w:t>%)</w:t>
            </w:r>
          </w:p>
        </w:tc>
      </w:tr>
      <w:tr w:rsidR="001A62D7" w:rsidRPr="00B93B0D" w:rsidTr="001D5990">
        <w:tc>
          <w:tcPr>
            <w:tcW w:w="4644" w:type="dxa"/>
            <w:shd w:val="clear" w:color="auto" w:fill="auto"/>
          </w:tcPr>
          <w:p w:rsidR="001A62D7" w:rsidRPr="00B93B0D" w:rsidRDefault="001A62D7" w:rsidP="001D5990">
            <w:pPr>
              <w:spacing w:before="60" w:after="60"/>
              <w:jc w:val="left"/>
              <w:rPr>
                <w:rFonts w:eastAsia="Times New Roman"/>
                <w:noProof/>
                <w:sz w:val="22"/>
              </w:rPr>
            </w:pPr>
            <w:r w:rsidRPr="00B93B0D">
              <w:rPr>
                <w:rFonts w:eastAsia="Times New Roman"/>
                <w:noProof/>
                <w:sz w:val="22"/>
              </w:rPr>
              <w:t>Total costs (a + b + c):</w:t>
            </w:r>
          </w:p>
        </w:tc>
        <w:tc>
          <w:tcPr>
            <w:tcW w:w="3096" w:type="dxa"/>
            <w:gridSpan w:val="2"/>
            <w:shd w:val="clear" w:color="auto" w:fill="D9D9D9"/>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p>
        </w:tc>
        <w:tc>
          <w:tcPr>
            <w:tcW w:w="1548" w:type="dxa"/>
            <w:shd w:val="clear" w:color="auto" w:fill="auto"/>
          </w:tcPr>
          <w:p w:rsidR="001A62D7" w:rsidRPr="00B93B0D" w:rsidRDefault="00044450" w:rsidP="001D5990">
            <w:pPr>
              <w:spacing w:before="60" w:after="60"/>
              <w:jc w:val="center"/>
              <w:rPr>
                <w:noProof/>
                <w:sz w:val="22"/>
              </w:rPr>
            </w:pPr>
            <w:r w:rsidRPr="00B93B0D">
              <w:rPr>
                <w:noProof/>
              </w:rPr>
              <w:t>3 206 000</w:t>
            </w:r>
          </w:p>
        </w:tc>
      </w:tr>
      <w:tr w:rsidR="001A62D7" w:rsidRPr="00B93B0D" w:rsidTr="001D5990">
        <w:tc>
          <w:tcPr>
            <w:tcW w:w="4644" w:type="dxa"/>
            <w:shd w:val="clear" w:color="auto" w:fill="auto"/>
          </w:tcPr>
          <w:p w:rsidR="001A62D7" w:rsidRPr="00B93B0D" w:rsidRDefault="001A62D7" w:rsidP="001D5990">
            <w:pPr>
              <w:spacing w:before="60" w:after="60"/>
              <w:jc w:val="left"/>
              <w:rPr>
                <w:rFonts w:eastAsia="Times New Roman"/>
                <w:noProof/>
                <w:sz w:val="22"/>
              </w:rPr>
            </w:pPr>
            <w:r w:rsidRPr="00B93B0D">
              <w:rPr>
                <w:rFonts w:eastAsia="Times New Roman"/>
                <w:noProof/>
                <w:sz w:val="22"/>
              </w:rPr>
              <w:t>EGF contribution (</w:t>
            </w:r>
            <w:r w:rsidR="00044450" w:rsidRPr="00B93B0D">
              <w:rPr>
                <w:noProof/>
              </w:rPr>
              <w:t>85</w:t>
            </w:r>
            <w:r w:rsidRPr="00B93B0D">
              <w:rPr>
                <w:rFonts w:eastAsia="Times New Roman"/>
                <w:noProof/>
                <w:sz w:val="22"/>
              </w:rPr>
              <w:t> % of total costs)</w:t>
            </w:r>
          </w:p>
        </w:tc>
        <w:tc>
          <w:tcPr>
            <w:tcW w:w="3096" w:type="dxa"/>
            <w:gridSpan w:val="2"/>
            <w:shd w:val="clear" w:color="auto" w:fill="D9D9D9"/>
            <w:vAlign w:val="center"/>
          </w:tcPr>
          <w:p w:rsidR="001A62D7" w:rsidRPr="00B93B0D" w:rsidRDefault="001A62D7" w:rsidP="001D5990">
            <w:pPr>
              <w:spacing w:before="60" w:after="60"/>
              <w:jc w:val="center"/>
              <w:rPr>
                <w:rFonts w:eastAsia="Times New Roman"/>
                <w:noProof/>
                <w:sz w:val="22"/>
              </w:rPr>
            </w:pPr>
            <w:r w:rsidRPr="00B93B0D">
              <w:rPr>
                <w:rFonts w:eastAsia="Times New Roman"/>
                <w:noProof/>
                <w:sz w:val="22"/>
              </w:rPr>
              <w:t>–</w:t>
            </w:r>
          </w:p>
        </w:tc>
        <w:tc>
          <w:tcPr>
            <w:tcW w:w="1548" w:type="dxa"/>
            <w:shd w:val="clear" w:color="auto" w:fill="auto"/>
          </w:tcPr>
          <w:p w:rsidR="001A62D7" w:rsidRPr="00B93B0D" w:rsidRDefault="00044450" w:rsidP="001D5990">
            <w:pPr>
              <w:spacing w:before="60" w:after="60"/>
              <w:jc w:val="center"/>
              <w:rPr>
                <w:rFonts w:eastAsia="Times New Roman"/>
                <w:noProof/>
                <w:sz w:val="22"/>
              </w:rPr>
            </w:pPr>
            <w:r w:rsidRPr="00B93B0D">
              <w:rPr>
                <w:noProof/>
              </w:rPr>
              <w:t>2 725 100</w:t>
            </w:r>
          </w:p>
        </w:tc>
      </w:tr>
    </w:tbl>
    <w:p w:rsidR="001A62D7" w:rsidRPr="00B93B0D" w:rsidRDefault="001A62D7" w:rsidP="00AE7D04">
      <w:pPr>
        <w:pStyle w:val="ManualNumPar1"/>
        <w:rPr>
          <w:noProof/>
        </w:rPr>
      </w:pPr>
      <w:r>
        <w:rPr>
          <w:noProof/>
        </w:rPr>
        <w:t>33.</w:t>
      </w:r>
      <w:r>
        <w:rPr>
          <w:noProof/>
        </w:rPr>
        <w:tab/>
      </w:r>
      <w:r w:rsidRPr="00B93B0D">
        <w:rPr>
          <w:noProof/>
        </w:rPr>
        <w:t xml:space="preserve">The costs of the measures identified in the table above as measures under Article 7(2), second subparagraph, point (b), of Regulation (EU) 2021/691 do not exceed 35 % of the total costs for the coordinated package of personalised services. </w:t>
      </w:r>
      <w:r w:rsidR="006E5A91" w:rsidRPr="00B93B0D">
        <w:rPr>
          <w:noProof/>
        </w:rPr>
        <w:t>Spain</w:t>
      </w:r>
      <w:r w:rsidRPr="00B93B0D">
        <w:rPr>
          <w:noProof/>
        </w:rPr>
        <w:t xml:space="preserve"> confirmed that these measures are conditional on the active participation of the targeted beneficiaries in job-search or training activities.</w:t>
      </w:r>
    </w:p>
    <w:p w:rsidR="001A62D7" w:rsidRPr="00B93B0D" w:rsidRDefault="001A62D7" w:rsidP="001A62D7">
      <w:pPr>
        <w:pStyle w:val="ManualHeading3"/>
        <w:rPr>
          <w:noProof/>
        </w:rPr>
      </w:pPr>
      <w:r w:rsidRPr="00B93B0D">
        <w:rPr>
          <w:noProof/>
        </w:rPr>
        <w:t>Period of eligibility of expenditure</w:t>
      </w:r>
    </w:p>
    <w:p w:rsidR="001A62D7" w:rsidRPr="00B93B0D" w:rsidRDefault="00937874" w:rsidP="00AE7D04">
      <w:pPr>
        <w:pStyle w:val="ManualNumPar1"/>
        <w:rPr>
          <w:noProof/>
        </w:rPr>
      </w:pPr>
      <w:r>
        <w:rPr>
          <w:noProof/>
        </w:rPr>
        <w:t>34.</w:t>
      </w:r>
      <w:r>
        <w:rPr>
          <w:noProof/>
        </w:rPr>
        <w:tab/>
      </w:r>
      <w:r w:rsidRPr="00B93B0D">
        <w:rPr>
          <w:noProof/>
        </w:rPr>
        <w:t>Spain</w:t>
      </w:r>
      <w:r w:rsidR="001A62D7" w:rsidRPr="00B93B0D">
        <w:rPr>
          <w:noProof/>
        </w:rPr>
        <w:t xml:space="preserve"> will start providing the personalised services to the targeted beneficiaries on </w:t>
      </w:r>
      <w:r w:rsidRPr="00B93B0D">
        <w:rPr>
          <w:noProof/>
        </w:rPr>
        <w:t>1 September 2026</w:t>
      </w:r>
      <w:r w:rsidR="001A62D7" w:rsidRPr="00B93B0D">
        <w:rPr>
          <w:noProof/>
        </w:rPr>
        <w:t xml:space="preserve">. The expenditure on the measures will therefore be eligible for a financial contribution from the EGF from </w:t>
      </w:r>
      <w:r w:rsidRPr="00B93B0D">
        <w:rPr>
          <w:noProof/>
        </w:rPr>
        <w:t>1 September 2026</w:t>
      </w:r>
      <w:r w:rsidR="001A62D7" w:rsidRPr="00B93B0D">
        <w:rPr>
          <w:noProof/>
        </w:rPr>
        <w:t xml:space="preserve"> until 24 months after the date of the entry into force of the Financing Decision. </w:t>
      </w:r>
    </w:p>
    <w:p w:rsidR="001A62D7" w:rsidRPr="00B93B0D" w:rsidRDefault="00937874" w:rsidP="00AE7D04">
      <w:pPr>
        <w:pStyle w:val="ManualNumPar1"/>
        <w:rPr>
          <w:noProof/>
        </w:rPr>
      </w:pPr>
      <w:r>
        <w:rPr>
          <w:noProof/>
        </w:rPr>
        <w:lastRenderedPageBreak/>
        <w:t>35.</w:t>
      </w:r>
      <w:r>
        <w:rPr>
          <w:noProof/>
        </w:rPr>
        <w:tab/>
      </w:r>
      <w:r w:rsidRPr="00B93B0D">
        <w:rPr>
          <w:noProof/>
        </w:rPr>
        <w:t>Spain</w:t>
      </w:r>
      <w:r w:rsidR="001A62D7" w:rsidRPr="00B93B0D">
        <w:rPr>
          <w:noProof/>
        </w:rPr>
        <w:t xml:space="preserve"> started incurring the administrative expenditure to implement the EGF on </w:t>
      </w:r>
      <w:r w:rsidR="00605A1A" w:rsidRPr="00B93B0D">
        <w:rPr>
          <w:noProof/>
        </w:rPr>
        <w:t>1 July 2026</w:t>
      </w:r>
      <w:r w:rsidR="001A62D7" w:rsidRPr="00B93B0D">
        <w:rPr>
          <w:noProof/>
        </w:rPr>
        <w:t xml:space="preserve">. The expenditure for preparatory, management, information and publicity, control and reporting activities shall therefore be eligible for a financial contribution from the EGF from </w:t>
      </w:r>
      <w:r w:rsidRPr="00B93B0D">
        <w:rPr>
          <w:noProof/>
        </w:rPr>
        <w:t>1 July 2026</w:t>
      </w:r>
      <w:r w:rsidR="001A62D7" w:rsidRPr="00B93B0D">
        <w:rPr>
          <w:noProof/>
        </w:rPr>
        <w:t xml:space="preserve"> until 31 months after the date of the entry into force of the Financing Decision. </w:t>
      </w:r>
    </w:p>
    <w:p w:rsidR="001A62D7" w:rsidRPr="00B93B0D" w:rsidRDefault="001A62D7" w:rsidP="001A62D7">
      <w:pPr>
        <w:pStyle w:val="ManualHeading2"/>
        <w:rPr>
          <w:noProof/>
        </w:rPr>
      </w:pPr>
      <w:r w:rsidRPr="00B93B0D">
        <w:rPr>
          <w:noProof/>
        </w:rPr>
        <w:t>Management and control systems</w:t>
      </w:r>
    </w:p>
    <w:p w:rsidR="001A62D7" w:rsidRPr="00B93B0D" w:rsidRDefault="001A62D7" w:rsidP="00AE7D04">
      <w:pPr>
        <w:pStyle w:val="ManualNumPar1"/>
        <w:rPr>
          <w:noProof/>
        </w:rPr>
      </w:pPr>
      <w:r>
        <w:rPr>
          <w:noProof/>
        </w:rPr>
        <w:t>36.</w:t>
      </w:r>
      <w:r>
        <w:rPr>
          <w:noProof/>
        </w:rPr>
        <w:tab/>
      </w:r>
      <w:r w:rsidRPr="00B93B0D">
        <w:rPr>
          <w:noProof/>
        </w:rPr>
        <w:t xml:space="preserve">The application contains a description of the management and control system required under Article 23 of Regulation (EU) 2021/691, which specifies the responsibilities of the bodies involved. </w:t>
      </w:r>
      <w:r w:rsidR="00937874" w:rsidRPr="00B93B0D">
        <w:rPr>
          <w:noProof/>
        </w:rPr>
        <w:t>Spain</w:t>
      </w:r>
      <w:r w:rsidRPr="00B93B0D">
        <w:rPr>
          <w:noProof/>
        </w:rPr>
        <w:t xml:space="preserve"> has notified the Commission that the financial contribution will be </w:t>
      </w:r>
      <w:r w:rsidR="00605A1A" w:rsidRPr="00B93B0D">
        <w:rPr>
          <w:noProof/>
        </w:rPr>
        <w:t>managed and controlled by the same bodies that manage and control the ESF+. The Xunta de Galicia</w:t>
      </w:r>
      <w:r w:rsidR="00F904EC" w:rsidRPr="00B93B0D">
        <w:rPr>
          <w:rStyle w:val="FootnoteReference"/>
          <w:noProof/>
        </w:rPr>
        <w:footnoteReference w:id="42"/>
      </w:r>
      <w:r w:rsidR="00605A1A" w:rsidRPr="00B93B0D">
        <w:rPr>
          <w:noProof/>
        </w:rPr>
        <w:t xml:space="preserve"> will be the intermediate body for the managing authority.</w:t>
      </w:r>
    </w:p>
    <w:p w:rsidR="001A62D7" w:rsidRPr="00B93B0D" w:rsidRDefault="001A62D7" w:rsidP="001A62D7">
      <w:pPr>
        <w:pStyle w:val="ManualHeading2"/>
        <w:rPr>
          <w:noProof/>
        </w:rPr>
      </w:pPr>
      <w:r w:rsidRPr="00B93B0D">
        <w:rPr>
          <w:noProof/>
        </w:rPr>
        <w:t>Commitments provided by the Member State concerned</w:t>
      </w:r>
    </w:p>
    <w:p w:rsidR="001A62D7" w:rsidRPr="00B93B0D" w:rsidRDefault="00937874" w:rsidP="00AE7D04">
      <w:pPr>
        <w:pStyle w:val="ManualNumPar1"/>
        <w:rPr>
          <w:noProof/>
        </w:rPr>
      </w:pPr>
      <w:r>
        <w:rPr>
          <w:noProof/>
        </w:rPr>
        <w:t>37.</w:t>
      </w:r>
      <w:r>
        <w:rPr>
          <w:noProof/>
        </w:rPr>
        <w:tab/>
      </w:r>
      <w:r w:rsidRPr="00B93B0D">
        <w:rPr>
          <w:noProof/>
        </w:rPr>
        <w:t>Spain</w:t>
      </w:r>
      <w:r w:rsidR="001A62D7" w:rsidRPr="00B93B0D">
        <w:rPr>
          <w:noProof/>
        </w:rPr>
        <w:t xml:space="preserve"> has provided all necessary assurances regarding the following: </w:t>
      </w:r>
    </w:p>
    <w:p w:rsidR="001A62D7" w:rsidRPr="00B93B0D" w:rsidRDefault="001A62D7" w:rsidP="001A62D7">
      <w:pPr>
        <w:pStyle w:val="Tiret1"/>
        <w:rPr>
          <w:noProof/>
        </w:rPr>
      </w:pPr>
      <w:r w:rsidRPr="00B93B0D">
        <w:rPr>
          <w:noProof/>
        </w:rPr>
        <w:t>the principles of equality of treatment and non-discrimination will be respected in access to the proposed measures and their implementation,</w:t>
      </w:r>
    </w:p>
    <w:p w:rsidR="001A62D7" w:rsidRPr="00B93B0D" w:rsidRDefault="001A62D7" w:rsidP="001A62D7">
      <w:pPr>
        <w:pStyle w:val="Tiret1"/>
        <w:rPr>
          <w:noProof/>
        </w:rPr>
      </w:pPr>
      <w:r w:rsidRPr="00B93B0D">
        <w:rPr>
          <w:noProof/>
        </w:rPr>
        <w:t>the requirements laid down in national and EU legislation concerning collective redundancies have been complied with,</w:t>
      </w:r>
    </w:p>
    <w:p w:rsidR="001A62D7" w:rsidRPr="00B93B0D" w:rsidRDefault="001A62D7" w:rsidP="001A62D7">
      <w:pPr>
        <w:pStyle w:val="Tiret1"/>
        <w:rPr>
          <w:noProof/>
        </w:rPr>
      </w:pPr>
      <w:r w:rsidRPr="00B93B0D">
        <w:rPr>
          <w:noProof/>
        </w:rPr>
        <w:t>the dismissing enterprises, which have continued their activities after the lay-offs, have</w:t>
      </w:r>
      <w:r w:rsidR="00FB1E28" w:rsidRPr="00B93B0D">
        <w:rPr>
          <w:noProof/>
        </w:rPr>
        <w:t xml:space="preserve"> c</w:t>
      </w:r>
      <w:r w:rsidRPr="00B93B0D">
        <w:rPr>
          <w:noProof/>
        </w:rPr>
        <w:t>omplied with their legal obligations and provided for their workers accordingly,</w:t>
      </w:r>
    </w:p>
    <w:p w:rsidR="001A62D7" w:rsidRPr="00B93B0D" w:rsidRDefault="001A62D7" w:rsidP="001A62D7">
      <w:pPr>
        <w:pStyle w:val="Tiret1"/>
        <w:rPr>
          <w:noProof/>
        </w:rPr>
      </w:pPr>
      <w:r w:rsidRPr="00B93B0D">
        <w:rPr>
          <w:noProof/>
        </w:rPr>
        <w:t>any double financing will be prevented,</w:t>
      </w:r>
    </w:p>
    <w:p w:rsidR="001A62D7" w:rsidRPr="00B93B0D" w:rsidRDefault="001A62D7" w:rsidP="001A62D7">
      <w:pPr>
        <w:pStyle w:val="Tiret1"/>
        <w:rPr>
          <w:noProof/>
        </w:rPr>
      </w:pPr>
      <w:r w:rsidRPr="00B93B0D">
        <w:rPr>
          <w:noProof/>
        </w:rPr>
        <w:t>the financial contribution from the EGF will comply with the procedural and material Union rules on State aid.</w:t>
      </w:r>
    </w:p>
    <w:p w:rsidR="001A62D7" w:rsidRPr="00B93B0D" w:rsidRDefault="001A62D7" w:rsidP="001A62D7">
      <w:pPr>
        <w:pStyle w:val="ManualHeading1"/>
        <w:rPr>
          <w:noProof/>
        </w:rPr>
      </w:pPr>
      <w:r w:rsidRPr="00B93B0D">
        <w:rPr>
          <w:noProof/>
        </w:rPr>
        <w:t>BUDGETARY IMPLICATION</w:t>
      </w:r>
    </w:p>
    <w:p w:rsidR="001A62D7" w:rsidRPr="00B93B0D" w:rsidRDefault="001A62D7" w:rsidP="001A62D7">
      <w:pPr>
        <w:pStyle w:val="ManualHeading2"/>
        <w:rPr>
          <w:noProof/>
        </w:rPr>
      </w:pPr>
      <w:r w:rsidRPr="00B93B0D">
        <w:rPr>
          <w:noProof/>
        </w:rPr>
        <w:t>Budgetary proposal</w:t>
      </w:r>
    </w:p>
    <w:p w:rsidR="001A62D7" w:rsidRPr="00B93B0D" w:rsidRDefault="001A62D7" w:rsidP="00AE7D04">
      <w:pPr>
        <w:pStyle w:val="ManualNumPar1"/>
        <w:rPr>
          <w:noProof/>
        </w:rPr>
      </w:pPr>
      <w:r>
        <w:rPr>
          <w:noProof/>
        </w:rPr>
        <w:t>38.</w:t>
      </w:r>
      <w:r>
        <w:rPr>
          <w:noProof/>
        </w:rPr>
        <w:tab/>
      </w:r>
      <w:r w:rsidRPr="00B93B0D">
        <w:rPr>
          <w:noProof/>
        </w:rPr>
        <w:t>The EGF shall not exceed a maximum annual amount of EUR 30 million (in 2018 prices), as laid down in Article 8 of Council Regulation (EU, Euratom) 2020/2093 of 17 December 2020 laying down the multiannual financial framework for the years 2021 to 2027</w:t>
      </w:r>
      <w:r w:rsidRPr="00B93B0D">
        <w:rPr>
          <w:rStyle w:val="FootnoteReference"/>
          <w:noProof/>
        </w:rPr>
        <w:footnoteReference w:id="43"/>
      </w:r>
      <w:r w:rsidRPr="00B93B0D">
        <w:rPr>
          <w:noProof/>
        </w:rPr>
        <w:t xml:space="preserve"> </w:t>
      </w:r>
    </w:p>
    <w:p w:rsidR="001A62D7" w:rsidRPr="00B93B0D" w:rsidRDefault="001A62D7" w:rsidP="00AE7D04">
      <w:pPr>
        <w:pStyle w:val="ManualNumPar1"/>
        <w:rPr>
          <w:rFonts w:eastAsia="Calibri"/>
          <w:noProof/>
        </w:rPr>
      </w:pPr>
      <w:r>
        <w:rPr>
          <w:noProof/>
        </w:rPr>
        <w:t>39.</w:t>
      </w:r>
      <w:r>
        <w:rPr>
          <w:noProof/>
        </w:rPr>
        <w:tab/>
      </w:r>
      <w:r w:rsidRPr="00B93B0D">
        <w:rPr>
          <w:noProof/>
        </w:rPr>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 </w:t>
      </w:r>
      <w:r w:rsidR="00044450" w:rsidRPr="00B93B0D">
        <w:rPr>
          <w:noProof/>
        </w:rPr>
        <w:t>2 725 100</w:t>
      </w:r>
      <w:r w:rsidRPr="00B93B0D">
        <w:rPr>
          <w:rFonts w:eastAsia="Calibri"/>
          <w:noProof/>
        </w:rPr>
        <w:t xml:space="preserve">, representing </w:t>
      </w:r>
      <w:r w:rsidR="00FB1E28" w:rsidRPr="00B93B0D">
        <w:rPr>
          <w:noProof/>
        </w:rPr>
        <w:t>85</w:t>
      </w:r>
      <w:r w:rsidRPr="00B93B0D">
        <w:rPr>
          <w:rFonts w:eastAsia="Calibri"/>
          <w:noProof/>
        </w:rPr>
        <w:t> % of the total costs of the proposed measures,</w:t>
      </w:r>
      <w:r w:rsidRPr="00B93B0D">
        <w:rPr>
          <w:noProof/>
        </w:rPr>
        <w:t xml:space="preserve"> </w:t>
      </w:r>
      <w:r w:rsidRPr="00B93B0D">
        <w:rPr>
          <w:rFonts w:eastAsia="Calibri"/>
          <w:noProof/>
        </w:rPr>
        <w:t>in order to provide a financial contribution for the application.</w:t>
      </w:r>
    </w:p>
    <w:p w:rsidR="001A62D7" w:rsidRPr="00B93B0D" w:rsidRDefault="001A62D7" w:rsidP="00AE7D04">
      <w:pPr>
        <w:pStyle w:val="ManualNumPar1"/>
        <w:rPr>
          <w:rFonts w:eastAsia="Times New Roman"/>
          <w:noProof/>
        </w:rPr>
      </w:pPr>
      <w:r>
        <w:rPr>
          <w:noProof/>
        </w:rPr>
        <w:t>40.</w:t>
      </w:r>
      <w:r>
        <w:rPr>
          <w:noProof/>
        </w:rPr>
        <w:tab/>
      </w:r>
      <w:r w:rsidRPr="00B93B0D">
        <w:rPr>
          <w:noProof/>
        </w:rPr>
        <w:t xml:space="preserve">The proposed decision to mobilise the EGF will be taken jointly by the European Parliament and the Council pursuant to Article 15(1), first subparagraph, second sentence, of Regulation (EU) 2021/691 and, as laid down in point 9 of the Interinstitutional Agreement of 16 December 2020 between the European </w:t>
      </w:r>
      <w:r w:rsidRPr="00B93B0D">
        <w:rPr>
          <w:noProof/>
        </w:rPr>
        <w:lastRenderedPageBreak/>
        <w:t>Parliament, the Council of the European Union and the European Commission on budgetary discipline, on cooperation in budgetary matters and on sound financial management, as well as on new own resources, including a roadmap towards the introduction of new own resources</w:t>
      </w:r>
      <w:r w:rsidRPr="00B93B0D">
        <w:rPr>
          <w:rStyle w:val="FootnoteReference"/>
          <w:noProof/>
        </w:rPr>
        <w:footnoteReference w:id="44"/>
      </w:r>
      <w:r w:rsidRPr="00B93B0D">
        <w:rPr>
          <w:noProof/>
        </w:rPr>
        <w:t>.</w:t>
      </w:r>
    </w:p>
    <w:p w:rsidR="001A62D7" w:rsidRPr="00B93B0D" w:rsidRDefault="001A62D7" w:rsidP="001A62D7">
      <w:pPr>
        <w:pStyle w:val="ManualHeading2"/>
        <w:rPr>
          <w:noProof/>
        </w:rPr>
      </w:pPr>
      <w:r w:rsidRPr="00B93B0D">
        <w:rPr>
          <w:noProof/>
        </w:rPr>
        <w:t>Related acts</w:t>
      </w:r>
    </w:p>
    <w:p w:rsidR="001A62D7" w:rsidRPr="00B93B0D" w:rsidRDefault="001A62D7" w:rsidP="00AE7D04">
      <w:pPr>
        <w:pStyle w:val="ManualNumPar1"/>
        <w:rPr>
          <w:noProof/>
        </w:rPr>
      </w:pPr>
      <w:r>
        <w:rPr>
          <w:noProof/>
        </w:rPr>
        <w:t>41.</w:t>
      </w:r>
      <w:r>
        <w:rPr>
          <w:noProof/>
        </w:rPr>
        <w:tab/>
      </w:r>
      <w:r w:rsidRPr="00B93B0D">
        <w:rPr>
          <w:noProof/>
        </w:rPr>
        <w:t>At the same time as it presents this proposal for a decision to mobilise the EGF, the Commission will present to the European Parliament and to the Council a proposal to transfer to the relevant budgetary line the amount of EUR </w:t>
      </w:r>
      <w:r w:rsidR="00044450" w:rsidRPr="00B93B0D">
        <w:rPr>
          <w:noProof/>
        </w:rPr>
        <w:t>2 725 100</w:t>
      </w:r>
      <w:r w:rsidRPr="00B93B0D">
        <w:rPr>
          <w:noProof/>
        </w:rPr>
        <w:t>.</w:t>
      </w:r>
    </w:p>
    <w:p w:rsidR="001A62D7" w:rsidRPr="00B93B0D" w:rsidRDefault="001A62D7" w:rsidP="00AE7D04">
      <w:pPr>
        <w:pStyle w:val="ManualNumPar1"/>
        <w:rPr>
          <w:noProof/>
        </w:rPr>
      </w:pPr>
      <w:r>
        <w:rPr>
          <w:noProof/>
        </w:rPr>
        <w:t>42.</w:t>
      </w:r>
      <w:r>
        <w:rPr>
          <w:noProof/>
        </w:rPr>
        <w:tab/>
      </w:r>
      <w:r w:rsidRPr="00B93B0D">
        <w:rPr>
          <w:noProof/>
        </w:rPr>
        <w:t>At the same time as it adopted this proposal for a decision to mobilise the EGF, the Commission adopted a decision on a financial contribution that constitutes a financing decision within the meaning of Article 110 of Regulation (EU, Euratom) 2024/2509</w:t>
      </w:r>
      <w:r w:rsidRPr="00B93B0D">
        <w:rPr>
          <w:rStyle w:val="FootnoteReference"/>
          <w:noProof/>
        </w:rPr>
        <w:footnoteReference w:id="45"/>
      </w:r>
      <w:r w:rsidRPr="00B93B0D">
        <w:rPr>
          <w:noProof/>
        </w:rPr>
        <w:t>. That financing decision will enter into force on the date on which the Commission is notified of the approval of the budgetary transfer by the European Parliament and the Council pursuant to Article 15(2), first subparagraph, of Regulation (EU) 2021/691.</w:t>
      </w:r>
    </w:p>
    <w:p w:rsidR="001A62D7" w:rsidRPr="00B93B0D" w:rsidRDefault="001A62D7" w:rsidP="001A62D7">
      <w:pPr>
        <w:rPr>
          <w:noProof/>
        </w:rPr>
        <w:sectPr w:rsidR="001A62D7" w:rsidRPr="00B93B0D" w:rsidSect="009D5B7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p>
    <w:p w:rsidR="009D1220" w:rsidRDefault="00066439">
      <w:pPr>
        <w:pStyle w:val="Rfrenceinterinstitutionnelle"/>
        <w:rPr>
          <w:noProof/>
        </w:rPr>
      </w:pPr>
      <w:r>
        <w:rPr>
          <w:noProof/>
        </w:rPr>
        <w:lastRenderedPageBreak/>
        <w:t>2026/0195 (BUD)</w:t>
      </w:r>
    </w:p>
    <w:p w:rsidR="001A62D7" w:rsidRPr="00B93B0D" w:rsidRDefault="003421FC" w:rsidP="003421FC">
      <w:pPr>
        <w:pStyle w:val="Statut"/>
        <w:rPr>
          <w:noProof/>
        </w:rPr>
      </w:pPr>
      <w:r w:rsidRPr="00B93B0D">
        <w:rPr>
          <w:noProof/>
        </w:rPr>
        <w:t>Proposal for a</w:t>
      </w:r>
    </w:p>
    <w:p w:rsidR="001A62D7" w:rsidRPr="00B93B0D" w:rsidRDefault="003421FC" w:rsidP="003421FC">
      <w:pPr>
        <w:pStyle w:val="Typedudocument"/>
        <w:rPr>
          <w:noProof/>
        </w:rPr>
      </w:pPr>
      <w:r w:rsidRPr="00B93B0D">
        <w:rPr>
          <w:noProof/>
        </w:rPr>
        <w:t>DECISION OF THE EUROPEAN PARLIAMENT AND OF THE COUNCIL</w:t>
      </w:r>
    </w:p>
    <w:p w:rsidR="001A62D7" w:rsidRPr="00B93B0D" w:rsidRDefault="003421FC" w:rsidP="003421FC">
      <w:pPr>
        <w:pStyle w:val="Titreobjet"/>
        <w:rPr>
          <w:noProof/>
        </w:rPr>
      </w:pPr>
      <w:r w:rsidRPr="00B93B0D">
        <w:rPr>
          <w:noProof/>
        </w:rPr>
        <w:t>on the mobilisation of the European Globalisation Adjustment Fund for Displaced Workers following an application from Spain – EGF/2026/002 ES/Galicia automotive ancillary</w:t>
      </w:r>
    </w:p>
    <w:p w:rsidR="001A62D7" w:rsidRPr="00B93B0D" w:rsidRDefault="001A62D7" w:rsidP="001A62D7">
      <w:pPr>
        <w:pStyle w:val="Institutionquiagit"/>
        <w:rPr>
          <w:noProof/>
        </w:rPr>
      </w:pPr>
      <w:r w:rsidRPr="00B93B0D">
        <w:rPr>
          <w:noProof/>
        </w:rPr>
        <w:t>THE EUROPEAN PARLIAMENT AND THE COUNCIL OF THE EUROPEAN UNION,</w:t>
      </w:r>
    </w:p>
    <w:p w:rsidR="001A62D7" w:rsidRPr="00B93B0D" w:rsidRDefault="001A62D7" w:rsidP="001A62D7">
      <w:pPr>
        <w:rPr>
          <w:noProof/>
        </w:rPr>
      </w:pPr>
      <w:r w:rsidRPr="00B93B0D">
        <w:rPr>
          <w:noProof/>
        </w:rPr>
        <w:t>Having regard to the Treaty on the Functioning of the European Union,</w:t>
      </w:r>
    </w:p>
    <w:p w:rsidR="001A62D7" w:rsidRPr="00B93B0D" w:rsidRDefault="001A62D7" w:rsidP="001A62D7">
      <w:pPr>
        <w:rPr>
          <w:noProof/>
        </w:rPr>
      </w:pPr>
      <w:r w:rsidRPr="00B93B0D">
        <w:rPr>
          <w:noProof/>
        </w:rPr>
        <w:t>Having regard to Regulation (EU) 2021/691 of the European Parliament and of the Council of 28 April 2021 on the European Globalisation Adjustment Fund for Displaced Workers (EGF) and repealing Regulation (EU) No 1309/2013</w:t>
      </w:r>
      <w:r w:rsidRPr="00B93B0D">
        <w:rPr>
          <w:rStyle w:val="FootnoteReference"/>
          <w:noProof/>
        </w:rPr>
        <w:footnoteReference w:id="46"/>
      </w:r>
      <w:r w:rsidRPr="00B93B0D">
        <w:rPr>
          <w:noProof/>
        </w:rPr>
        <w:t>, and in particular Article 15(1), first subparagraph, thereof,</w:t>
      </w:r>
    </w:p>
    <w:p w:rsidR="001A62D7" w:rsidRPr="00B93B0D" w:rsidRDefault="001A62D7" w:rsidP="001A62D7">
      <w:pPr>
        <w:rPr>
          <w:noProof/>
        </w:rPr>
      </w:pPr>
      <w:r w:rsidRPr="00B93B0D">
        <w:rPr>
          <w:noProof/>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Pr="00B93B0D">
        <w:rPr>
          <w:rStyle w:val="FootnoteReference"/>
          <w:noProof/>
        </w:rPr>
        <w:footnoteReference w:id="47"/>
      </w:r>
      <w:r w:rsidRPr="00B93B0D">
        <w:rPr>
          <w:noProof/>
        </w:rPr>
        <w:t>, and in particular point 9 thereof,</w:t>
      </w:r>
    </w:p>
    <w:p w:rsidR="001A62D7" w:rsidRPr="00B93B0D" w:rsidRDefault="001A62D7" w:rsidP="001A62D7">
      <w:pPr>
        <w:rPr>
          <w:noProof/>
        </w:rPr>
      </w:pPr>
      <w:r w:rsidRPr="00B93B0D">
        <w:rPr>
          <w:noProof/>
        </w:rPr>
        <w:t>Having regard to the proposal from the European Commission,</w:t>
      </w:r>
    </w:p>
    <w:p w:rsidR="001A62D7" w:rsidRPr="00B93B0D" w:rsidRDefault="001A62D7" w:rsidP="001A62D7">
      <w:pPr>
        <w:rPr>
          <w:noProof/>
        </w:rPr>
      </w:pPr>
      <w:r w:rsidRPr="00B93B0D">
        <w:rPr>
          <w:noProof/>
        </w:rPr>
        <w:t>Whereas:</w:t>
      </w:r>
    </w:p>
    <w:p w:rsidR="001A62D7" w:rsidRPr="00B93B0D" w:rsidRDefault="001A62D7" w:rsidP="00AE7D04">
      <w:pPr>
        <w:pStyle w:val="ManualConsidrant"/>
        <w:rPr>
          <w:noProof/>
        </w:rPr>
      </w:pPr>
      <w:r>
        <w:rPr>
          <w:noProof/>
        </w:rPr>
        <w:t>(1)</w:t>
      </w:r>
      <w:r>
        <w:rPr>
          <w:noProof/>
        </w:rPr>
        <w:tab/>
      </w:r>
      <w:r w:rsidRPr="00B93B0D">
        <w:rPr>
          <w:noProof/>
        </w:rPr>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Pr="00B93B0D" w:rsidRDefault="001A62D7" w:rsidP="00AE7D04">
      <w:pPr>
        <w:pStyle w:val="ManualConsidrant"/>
        <w:rPr>
          <w:noProof/>
        </w:rPr>
      </w:pPr>
      <w:r>
        <w:rPr>
          <w:noProof/>
        </w:rPr>
        <w:t>(2)</w:t>
      </w:r>
      <w:r>
        <w:rPr>
          <w:noProof/>
        </w:rPr>
        <w:tab/>
      </w:r>
      <w:r w:rsidRPr="00B93B0D">
        <w:rPr>
          <w:noProof/>
        </w:rPr>
        <w:t>The EGF is not to exceed a maximum annual amount of EUR 30 million (in 2018 prices), as laid down in Article 8 of Council Regulation (EU, Euratom) 2020/2093</w:t>
      </w:r>
      <w:r w:rsidRPr="00B93B0D">
        <w:rPr>
          <w:rStyle w:val="FootnoteReference"/>
          <w:noProof/>
        </w:rPr>
        <w:footnoteReference w:id="48"/>
      </w:r>
      <w:r w:rsidRPr="00B93B0D">
        <w:rPr>
          <w:noProof/>
        </w:rPr>
        <w:t>, and Article 16 of Regulation (EU) 2021/691.</w:t>
      </w:r>
    </w:p>
    <w:p w:rsidR="001A62D7" w:rsidRPr="00B93B0D" w:rsidRDefault="001A62D7" w:rsidP="00DE674B">
      <w:pPr>
        <w:pStyle w:val="ManualConsidrant"/>
        <w:rPr>
          <w:noProof/>
        </w:rPr>
      </w:pPr>
      <w:r>
        <w:rPr>
          <w:noProof/>
        </w:rPr>
        <w:t>(3)</w:t>
      </w:r>
      <w:r>
        <w:rPr>
          <w:noProof/>
        </w:rPr>
        <w:tab/>
      </w:r>
      <w:r w:rsidRPr="00B93B0D">
        <w:rPr>
          <w:noProof/>
        </w:rPr>
        <w:t xml:space="preserve">On </w:t>
      </w:r>
      <w:r w:rsidR="00FB1E28" w:rsidRPr="00B93B0D">
        <w:rPr>
          <w:noProof/>
        </w:rPr>
        <w:t>7 April 2026</w:t>
      </w:r>
      <w:r w:rsidRPr="00B93B0D">
        <w:rPr>
          <w:noProof/>
        </w:rPr>
        <w:t xml:space="preserve">, </w:t>
      </w:r>
      <w:r w:rsidR="00FB1E28" w:rsidRPr="00B93B0D">
        <w:rPr>
          <w:noProof/>
        </w:rPr>
        <w:t>Spain</w:t>
      </w:r>
      <w:r w:rsidRPr="00B93B0D">
        <w:rPr>
          <w:noProof/>
        </w:rPr>
        <w:t xml:space="preserve"> submitted an application to mobilise the EGF in accordance with Article 8(1) of Regulation (EU) 2021/691, in respect of worker</w:t>
      </w:r>
      <w:r w:rsidR="00265183" w:rsidRPr="00B93B0D">
        <w:rPr>
          <w:noProof/>
        </w:rPr>
        <w:t>s</w:t>
      </w:r>
      <w:r w:rsidRPr="00B93B0D">
        <w:rPr>
          <w:noProof/>
        </w:rPr>
        <w:t>’ displacements in the economic sector</w:t>
      </w:r>
      <w:r w:rsidR="00D83013" w:rsidRPr="00B93B0D">
        <w:rPr>
          <w:noProof/>
        </w:rPr>
        <w:t>s</w:t>
      </w:r>
      <w:r w:rsidRPr="00B93B0D">
        <w:rPr>
          <w:noProof/>
        </w:rPr>
        <w:t xml:space="preserve"> classified under the Statistical classification of economic activities in the European Community ('NACE')</w:t>
      </w:r>
      <w:r w:rsidRPr="00B93B0D">
        <w:rPr>
          <w:rStyle w:val="FootnoteReference"/>
          <w:noProof/>
        </w:rPr>
        <w:footnoteReference w:id="49"/>
      </w:r>
      <w:r w:rsidRPr="00B93B0D">
        <w:rPr>
          <w:noProof/>
        </w:rPr>
        <w:t xml:space="preserve"> Revision 2 division </w:t>
      </w:r>
      <w:r w:rsidR="00937874" w:rsidRPr="00B93B0D">
        <w:rPr>
          <w:noProof/>
          <w:szCs w:val="24"/>
        </w:rPr>
        <w:t xml:space="preserve">Division 25 (Manufacture of fabricated metal products, except machinery and equipment), </w:t>
      </w:r>
      <w:r w:rsidR="00937874" w:rsidRPr="00B93B0D">
        <w:rPr>
          <w:noProof/>
          <w:szCs w:val="24"/>
        </w:rPr>
        <w:lastRenderedPageBreak/>
        <w:t xml:space="preserve">Division 27 (Manufacture of electrical equipment), Division 28 (Manufacture of machinery and equipment), Division 29 (Manufacture of motor vehicles, trailers and semi-trailers), and Division 74 (Other professional, scientific and technical activities) </w:t>
      </w:r>
      <w:r w:rsidRPr="00B93B0D">
        <w:rPr>
          <w:noProof/>
          <w:szCs w:val="24"/>
        </w:rPr>
        <w:t>in the Nomenclature of Territorial Units for Statistics ('</w:t>
      </w:r>
      <w:r w:rsidRPr="00B93B0D">
        <w:rPr>
          <w:noProof/>
        </w:rPr>
        <w:t>NUTS')</w:t>
      </w:r>
      <w:r w:rsidRPr="00B93B0D">
        <w:rPr>
          <w:rStyle w:val="FootnoteReference"/>
          <w:noProof/>
        </w:rPr>
        <w:footnoteReference w:id="50"/>
      </w:r>
      <w:r w:rsidRPr="00B93B0D">
        <w:rPr>
          <w:noProof/>
        </w:rPr>
        <w:t xml:space="preserve"> level 2 region of </w:t>
      </w:r>
      <w:r w:rsidR="00FB1E28" w:rsidRPr="00B93B0D">
        <w:rPr>
          <w:noProof/>
          <w:szCs w:val="24"/>
        </w:rPr>
        <w:t>Galicia</w:t>
      </w:r>
      <w:r w:rsidRPr="00B93B0D">
        <w:rPr>
          <w:noProof/>
          <w:szCs w:val="24"/>
        </w:rPr>
        <w:t xml:space="preserve"> (</w:t>
      </w:r>
      <w:r w:rsidR="00FB1E28" w:rsidRPr="00B93B0D">
        <w:rPr>
          <w:noProof/>
          <w:szCs w:val="24"/>
        </w:rPr>
        <w:t>ES11</w:t>
      </w:r>
      <w:r w:rsidRPr="00B93B0D">
        <w:rPr>
          <w:noProof/>
          <w:szCs w:val="24"/>
        </w:rPr>
        <w:t xml:space="preserve">) </w:t>
      </w:r>
      <w:r w:rsidRPr="00B93B0D">
        <w:rPr>
          <w:noProof/>
          <w:color w:val="FFFFFF" w:themeColor="background1"/>
          <w:u w:val="single"/>
        </w:rPr>
        <w:t xml:space="preserve"> </w:t>
      </w:r>
      <w:r w:rsidRPr="00B93B0D">
        <w:rPr>
          <w:noProof/>
        </w:rPr>
        <w:t xml:space="preserve">in </w:t>
      </w:r>
      <w:r w:rsidR="00FB1E28" w:rsidRPr="00B93B0D">
        <w:rPr>
          <w:noProof/>
        </w:rPr>
        <w:t>Spain</w:t>
      </w:r>
      <w:r w:rsidRPr="00B93B0D">
        <w:rPr>
          <w:noProof/>
        </w:rPr>
        <w:t xml:space="preserve">. It was supplemented by additional information provided in accordance with Article 8(5) of Regulation (EU) 2021/691. That application </w:t>
      </w:r>
      <w:r w:rsidRPr="00B93B0D">
        <w:rPr>
          <w:iCs/>
          <w:noProof/>
        </w:rPr>
        <w:t xml:space="preserve">is considered to comply </w:t>
      </w:r>
      <w:r w:rsidRPr="00B93B0D">
        <w:rPr>
          <w:noProof/>
        </w:rPr>
        <w:t xml:space="preserve">with the conditions for </w:t>
      </w:r>
      <w:r w:rsidRPr="00B93B0D">
        <w:rPr>
          <w:iCs/>
          <w:noProof/>
        </w:rPr>
        <w:t xml:space="preserve">providing </w:t>
      </w:r>
      <w:r w:rsidRPr="00B93B0D">
        <w:rPr>
          <w:noProof/>
        </w:rPr>
        <w:t xml:space="preserve">a financial contribution from the EGF as laid down in Article 13 of Regulation (EU) 2021/691, </w:t>
      </w:r>
      <w:r w:rsidRPr="00B93B0D">
        <w:rPr>
          <w:iCs/>
          <w:noProof/>
        </w:rPr>
        <w:t>on the basis of the assessment made by the Commission in the Proposal for a mobilisation decision of the European Parliament and of the Council</w:t>
      </w:r>
      <w:r w:rsidRPr="00B93B0D">
        <w:rPr>
          <w:rStyle w:val="FootnoteReference"/>
          <w:iCs/>
          <w:noProof/>
        </w:rPr>
        <w:footnoteReference w:id="51"/>
      </w:r>
      <w:r w:rsidRPr="00B93B0D">
        <w:rPr>
          <w:iCs/>
          <w:noProof/>
        </w:rPr>
        <w:t>.</w:t>
      </w:r>
    </w:p>
    <w:p w:rsidR="001A62D7" w:rsidRPr="00B93B0D" w:rsidRDefault="001A62D7" w:rsidP="00AE7D04">
      <w:pPr>
        <w:pStyle w:val="ManualConsidrant"/>
        <w:rPr>
          <w:noProof/>
        </w:rPr>
      </w:pPr>
      <w:r>
        <w:rPr>
          <w:noProof/>
        </w:rPr>
        <w:t>(4)</w:t>
      </w:r>
      <w:r>
        <w:rPr>
          <w:noProof/>
        </w:rPr>
        <w:tab/>
      </w:r>
      <w:r w:rsidRPr="00B93B0D">
        <w:rPr>
          <w:noProof/>
        </w:rPr>
        <w:t>The EGF should, therefore, be mobilised in order to provide a financial contribution of EUR </w:t>
      </w:r>
      <w:r w:rsidR="00044450" w:rsidRPr="00B93B0D">
        <w:rPr>
          <w:noProof/>
        </w:rPr>
        <w:t>2 725 100</w:t>
      </w:r>
      <w:r w:rsidRPr="00B93B0D">
        <w:rPr>
          <w:noProof/>
        </w:rPr>
        <w:t xml:space="preserve"> in respect of the application submitted by </w:t>
      </w:r>
      <w:r w:rsidR="00FB1E28" w:rsidRPr="00B93B0D">
        <w:rPr>
          <w:noProof/>
        </w:rPr>
        <w:t>Spain</w:t>
      </w:r>
      <w:r w:rsidRPr="00B93B0D">
        <w:rPr>
          <w:noProof/>
        </w:rPr>
        <w:t>.</w:t>
      </w:r>
    </w:p>
    <w:p w:rsidR="001A62D7" w:rsidRPr="00B93B0D" w:rsidRDefault="001A62D7" w:rsidP="00AE7D04">
      <w:pPr>
        <w:pStyle w:val="ManualConsidrant"/>
        <w:rPr>
          <w:noProof/>
        </w:rPr>
      </w:pPr>
      <w:r>
        <w:rPr>
          <w:noProof/>
        </w:rPr>
        <w:t>(5)</w:t>
      </w:r>
      <w:r>
        <w:rPr>
          <w:noProof/>
        </w:rPr>
        <w:tab/>
      </w:r>
      <w:r w:rsidRPr="00B93B0D">
        <w:rPr>
          <w:noProof/>
        </w:rPr>
        <w:t xml:space="preserve">In order to minimise the time taken to mobilise the EGF, this </w:t>
      </w:r>
      <w:r w:rsidR="00265183" w:rsidRPr="00B93B0D">
        <w:rPr>
          <w:noProof/>
        </w:rPr>
        <w:t>D</w:t>
      </w:r>
      <w:r w:rsidRPr="00B93B0D">
        <w:rPr>
          <w:noProof/>
        </w:rPr>
        <w:t>ecision should apply from the date of its adoption,</w:t>
      </w:r>
    </w:p>
    <w:p w:rsidR="001A62D7" w:rsidRPr="00B93B0D" w:rsidRDefault="001A62D7" w:rsidP="001A62D7">
      <w:pPr>
        <w:pStyle w:val="Formuledadoption"/>
        <w:rPr>
          <w:noProof/>
        </w:rPr>
      </w:pPr>
      <w:r w:rsidRPr="00B93B0D">
        <w:rPr>
          <w:noProof/>
        </w:rPr>
        <w:t xml:space="preserve">HAVE ADOPTED THIS DECISION: </w:t>
      </w:r>
    </w:p>
    <w:p w:rsidR="001A62D7" w:rsidRPr="00B93B0D" w:rsidRDefault="001A62D7" w:rsidP="001A62D7">
      <w:pPr>
        <w:pStyle w:val="Titrearticle"/>
        <w:rPr>
          <w:noProof/>
        </w:rPr>
      </w:pPr>
      <w:r w:rsidRPr="00B93B0D">
        <w:rPr>
          <w:noProof/>
        </w:rPr>
        <w:t>Article 1</w:t>
      </w:r>
    </w:p>
    <w:p w:rsidR="001A62D7" w:rsidRPr="00B93B0D" w:rsidRDefault="001A62D7" w:rsidP="001A62D7">
      <w:pPr>
        <w:rPr>
          <w:noProof/>
        </w:rPr>
      </w:pPr>
      <w:r w:rsidRPr="00B93B0D">
        <w:rPr>
          <w:noProof/>
        </w:rPr>
        <w:t xml:space="preserve">For the general budget of the Union for the financial year </w:t>
      </w:r>
      <w:r w:rsidR="00044450" w:rsidRPr="00B93B0D">
        <w:rPr>
          <w:noProof/>
        </w:rPr>
        <w:t>2026</w:t>
      </w:r>
      <w:r w:rsidRPr="00B93B0D">
        <w:rPr>
          <w:noProof/>
        </w:rPr>
        <w:t>, the European Globalisation Adjustment Fund for Displaced Workers shall be mobilised to provide the amount of EUR </w:t>
      </w:r>
      <w:r w:rsidR="00044450" w:rsidRPr="00B93B0D">
        <w:rPr>
          <w:noProof/>
        </w:rPr>
        <w:t>2 725 100</w:t>
      </w:r>
      <w:r w:rsidRPr="00B93B0D">
        <w:rPr>
          <w:noProof/>
        </w:rPr>
        <w:t xml:space="preserve"> in commitment and payment appropriations.</w:t>
      </w:r>
    </w:p>
    <w:p w:rsidR="001A62D7" w:rsidRPr="00B93B0D" w:rsidRDefault="001A62D7" w:rsidP="00DA75BD">
      <w:pPr>
        <w:pStyle w:val="Titrearticle"/>
        <w:rPr>
          <w:noProof/>
        </w:rPr>
      </w:pPr>
      <w:r w:rsidRPr="00B93B0D">
        <w:rPr>
          <w:noProof/>
        </w:rPr>
        <w:t>Article 2</w:t>
      </w:r>
    </w:p>
    <w:p w:rsidR="001A62D7" w:rsidRPr="00B93B0D" w:rsidRDefault="001A62D7" w:rsidP="001A62D7">
      <w:pPr>
        <w:keepNext/>
        <w:keepLines/>
        <w:rPr>
          <w:noProof/>
        </w:rPr>
      </w:pPr>
      <w:r w:rsidRPr="00B93B0D">
        <w:rPr>
          <w:noProof/>
        </w:rPr>
        <w:t xml:space="preserve">This Decision shall enter into force on the day of its publication in the Official Journal of the European Union. It shall apply from </w:t>
      </w:r>
      <w:r w:rsidRPr="00B93B0D">
        <w:rPr>
          <w:noProof/>
          <w:color w:val="FF0000"/>
        </w:rPr>
        <w:t>[</w:t>
      </w:r>
      <w:r w:rsidRPr="00B93B0D">
        <w:rPr>
          <w:i/>
          <w:noProof/>
          <w:color w:val="FF0000"/>
        </w:rPr>
        <w:t>the date of its adoption</w:t>
      </w:r>
      <w:r w:rsidRPr="00B93B0D">
        <w:rPr>
          <w:noProof/>
          <w:color w:val="FF0000"/>
        </w:rPr>
        <w:t>]</w:t>
      </w:r>
      <w:r w:rsidR="00281AE4" w:rsidRPr="00B93B0D">
        <w:rPr>
          <w:rStyle w:val="FootnoteReference"/>
          <w:noProof/>
          <w:color w:val="FF0000"/>
        </w:rPr>
        <w:footnoteReference w:customMarkFollows="1" w:id="52"/>
        <w:t>*</w:t>
      </w:r>
      <w:r w:rsidR="00281AE4" w:rsidRPr="00B93B0D">
        <w:rPr>
          <w:rStyle w:val="CommentReference"/>
          <w:rFonts w:eastAsia="Times New Roman"/>
          <w:noProof/>
          <w:lang w:eastAsia="en-GB"/>
        </w:rPr>
        <w:t xml:space="preserve"> </w:t>
      </w:r>
      <w:r w:rsidRPr="00B93B0D">
        <w:rPr>
          <w:noProof/>
        </w:rPr>
        <w:t>.</w:t>
      </w:r>
    </w:p>
    <w:p w:rsidR="001A62D7" w:rsidRPr="00B93B0D" w:rsidRDefault="003421FC" w:rsidP="00DA75BD">
      <w:pPr>
        <w:pStyle w:val="Fait"/>
        <w:rPr>
          <w:noProof/>
        </w:rPr>
      </w:pPr>
      <w:r>
        <w:rPr>
          <w:noProof/>
        </w:rPr>
        <w:t>Done at Brussels,</w:t>
      </w:r>
    </w:p>
    <w:p w:rsidR="001A62D7" w:rsidRPr="00B93B0D" w:rsidRDefault="001A62D7" w:rsidP="00DA75BD">
      <w:pPr>
        <w:pStyle w:val="Institutionquisigne"/>
        <w:rPr>
          <w:noProof/>
        </w:rPr>
      </w:pPr>
      <w:r w:rsidRPr="00B93B0D">
        <w:rPr>
          <w:noProof/>
        </w:rPr>
        <w:t>For the European Parliament</w:t>
      </w:r>
      <w:r w:rsidRPr="00B93B0D">
        <w:rPr>
          <w:noProof/>
        </w:rPr>
        <w:tab/>
        <w:t>For the Council</w:t>
      </w:r>
    </w:p>
    <w:p w:rsidR="001A62D7" w:rsidRPr="00B93B0D" w:rsidRDefault="001A62D7" w:rsidP="001A62D7">
      <w:pPr>
        <w:pStyle w:val="Personnequisigne"/>
        <w:rPr>
          <w:noProof/>
        </w:rPr>
      </w:pPr>
      <w:r w:rsidRPr="00B93B0D">
        <w:rPr>
          <w:noProof/>
        </w:rPr>
        <w:t>The President</w:t>
      </w:r>
      <w:r w:rsidRPr="00B93B0D">
        <w:rPr>
          <w:noProof/>
        </w:rPr>
        <w:tab/>
        <w:t>The President</w:t>
      </w:r>
      <w:r w:rsidRPr="00B93B0D">
        <w:rPr>
          <w:noProof/>
        </w:rPr>
        <w:br/>
      </w:r>
    </w:p>
    <w:sectPr w:rsidR="001A62D7" w:rsidRPr="00B93B0D" w:rsidSect="009D5B7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9C1" w:rsidRDefault="00A409C1" w:rsidP="001A62D7">
      <w:pPr>
        <w:spacing w:before="0" w:after="0"/>
      </w:pPr>
      <w:r>
        <w:separator/>
      </w:r>
    </w:p>
  </w:endnote>
  <w:endnote w:type="continuationSeparator" w:id="0">
    <w:p w:rsidR="00A409C1" w:rsidRDefault="00A409C1"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7C" w:rsidRPr="009D5B7C" w:rsidRDefault="009D5B7C" w:rsidP="009D5B7C">
    <w:pPr>
      <w:pStyle w:val="Footer"/>
      <w:rPr>
        <w:rFonts w:ascii="Arial" w:hAnsi="Arial" w:cs="Arial"/>
        <w:b/>
        <w:sz w:val="48"/>
      </w:rPr>
    </w:pPr>
    <w:r w:rsidRPr="009D5B7C">
      <w:rPr>
        <w:rFonts w:ascii="Arial" w:hAnsi="Arial" w:cs="Arial"/>
        <w:b/>
        <w:sz w:val="48"/>
      </w:rPr>
      <w:t>EN</w:t>
    </w:r>
    <w:r w:rsidRPr="009D5B7C">
      <w:rPr>
        <w:rFonts w:ascii="Arial" w:hAnsi="Arial" w:cs="Arial"/>
        <w:b/>
        <w:sz w:val="48"/>
      </w:rPr>
      <w:tab/>
    </w:r>
    <w:r w:rsidRPr="009D5B7C">
      <w:rPr>
        <w:rFonts w:ascii="Arial" w:hAnsi="Arial" w:cs="Arial"/>
        <w:b/>
        <w:sz w:val="48"/>
      </w:rPr>
      <w:tab/>
    </w:r>
    <w:r w:rsidRPr="009D5B7C">
      <w:tab/>
    </w:r>
    <w:r w:rsidRPr="009D5B7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7C" w:rsidRPr="009D5B7C" w:rsidRDefault="009D5B7C" w:rsidP="009D5B7C">
    <w:pPr>
      <w:pStyle w:val="Footer"/>
      <w:rPr>
        <w:rFonts w:ascii="Arial" w:hAnsi="Arial" w:cs="Arial"/>
        <w:b/>
        <w:sz w:val="48"/>
      </w:rPr>
    </w:pPr>
    <w:r w:rsidRPr="009D5B7C">
      <w:rPr>
        <w:rFonts w:ascii="Arial" w:hAnsi="Arial" w:cs="Arial"/>
        <w:b/>
        <w:sz w:val="48"/>
      </w:rPr>
      <w:t>EN</w:t>
    </w:r>
    <w:r w:rsidRPr="009D5B7C">
      <w:rPr>
        <w:rFonts w:ascii="Arial" w:hAnsi="Arial" w:cs="Arial"/>
        <w:b/>
        <w:sz w:val="48"/>
      </w:rPr>
      <w:tab/>
    </w:r>
    <w:r w:rsidRPr="009D5B7C">
      <w:rPr>
        <w:rFonts w:ascii="Arial" w:hAnsi="Arial" w:cs="Arial"/>
        <w:b/>
        <w:sz w:val="48"/>
      </w:rPr>
      <w:tab/>
    </w:r>
    <w:r w:rsidRPr="009D5B7C">
      <w:tab/>
    </w:r>
    <w:r w:rsidRPr="009D5B7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7C" w:rsidRDefault="009D5B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7C" w:rsidRPr="009D5B7C" w:rsidRDefault="009D5B7C" w:rsidP="009D5B7C">
    <w:pPr>
      <w:pStyle w:val="Footer"/>
      <w:rPr>
        <w:rFonts w:ascii="Arial" w:hAnsi="Arial" w:cs="Arial"/>
        <w:b/>
        <w:sz w:val="48"/>
      </w:rPr>
    </w:pPr>
    <w:r w:rsidRPr="009D5B7C">
      <w:rPr>
        <w:rFonts w:ascii="Arial" w:hAnsi="Arial" w:cs="Arial"/>
        <w:b/>
        <w:sz w:val="48"/>
      </w:rPr>
      <w:t>EN</w:t>
    </w:r>
    <w:r w:rsidRPr="009D5B7C">
      <w:rPr>
        <w:rFonts w:ascii="Arial" w:hAnsi="Arial" w:cs="Arial"/>
        <w:b/>
        <w:sz w:val="48"/>
      </w:rPr>
      <w:tab/>
    </w:r>
    <w:r>
      <w:fldChar w:fldCharType="begin"/>
    </w:r>
    <w:r>
      <w:instrText xml:space="preserve"> PAGE  \* MERGEFORMAT </w:instrText>
    </w:r>
    <w:r>
      <w:fldChar w:fldCharType="separate"/>
    </w:r>
    <w:r w:rsidR="00DA75BD">
      <w:rPr>
        <w:noProof/>
      </w:rPr>
      <w:t>13</w:t>
    </w:r>
    <w:r>
      <w:fldChar w:fldCharType="end"/>
    </w:r>
    <w:r>
      <w:tab/>
    </w:r>
    <w:r w:rsidRPr="009D5B7C">
      <w:tab/>
    </w:r>
    <w:r w:rsidRPr="009D5B7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7C" w:rsidRDefault="009D5B7C" w:rsidP="009D5B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9C1" w:rsidRDefault="00A409C1" w:rsidP="001A62D7">
      <w:pPr>
        <w:spacing w:before="0" w:after="0"/>
      </w:pPr>
      <w:r>
        <w:separator/>
      </w:r>
    </w:p>
  </w:footnote>
  <w:footnote w:type="continuationSeparator" w:id="0">
    <w:p w:rsidR="00A409C1" w:rsidRDefault="00A409C1" w:rsidP="001A62D7">
      <w:pPr>
        <w:spacing w:before="0" w:after="0"/>
      </w:pPr>
      <w:r>
        <w:continuationSeparator/>
      </w:r>
    </w:p>
  </w:footnote>
  <w:footnote w:id="1">
    <w:p w:rsidR="001A62D7" w:rsidRPr="00771F6F" w:rsidRDefault="001A62D7" w:rsidP="001A62D7">
      <w:pPr>
        <w:pStyle w:val="FootnoteText"/>
        <w:rPr>
          <w:lang w:val="fi-FI"/>
        </w:rPr>
      </w:pPr>
      <w:r w:rsidRPr="00872F86">
        <w:rPr>
          <w:rStyle w:val="FootnoteReference"/>
        </w:rPr>
        <w:footnoteRef/>
      </w:r>
      <w:r w:rsidRPr="00771F6F">
        <w:rPr>
          <w:lang w:val="fi-FI"/>
        </w:rPr>
        <w:tab/>
        <w:t>OJ L 153, 3.5.2021, p. 48</w:t>
      </w:r>
      <w:r w:rsidR="004F46E1">
        <w:rPr>
          <w:lang w:val="pl-PL"/>
        </w:rPr>
        <w:t>,</w:t>
      </w:r>
      <w:r w:rsidR="004F46E1" w:rsidRPr="004768B8">
        <w:rPr>
          <w:sz w:val="24"/>
          <w:szCs w:val="22"/>
          <w:lang w:val="fi-FI"/>
        </w:rPr>
        <w:t xml:space="preserve"> </w:t>
      </w:r>
      <w:r w:rsidR="004F46E1" w:rsidRPr="0075062E">
        <w:rPr>
          <w:lang w:val="pl-PL"/>
        </w:rPr>
        <w:t>ELI: http://data.europa.eu/eli/reg/2021/691/oj</w:t>
      </w:r>
      <w:r w:rsidRPr="00771F6F">
        <w:rPr>
          <w:lang w:val="fi-FI"/>
        </w:rPr>
        <w:t>.</w:t>
      </w:r>
    </w:p>
  </w:footnote>
  <w:footnote w:id="2">
    <w:p w:rsidR="001A62D7" w:rsidRPr="002308DE" w:rsidRDefault="001A62D7" w:rsidP="001A62D7">
      <w:pPr>
        <w:pStyle w:val="FootnoteText"/>
      </w:pPr>
      <w:r>
        <w:rPr>
          <w:rStyle w:val="FootnoteReference"/>
        </w:rPr>
        <w:footnoteRef/>
      </w:r>
      <w:r w:rsidRPr="002308DE">
        <w:tab/>
      </w:r>
      <w:r w:rsidRPr="003D4C12">
        <w:t>Commission Delegated Regulation 2019/1755 of 8 August 2019 amending the Annexes to Regulation (EC) No 1059/2003 of the European Parliament and of the Council on the establishment of a common classification of territorial units for statistics (NUTS). OJ L 270, 24.10.2019, p. 1–56</w:t>
      </w:r>
      <w:r>
        <w:t>.</w:t>
      </w:r>
    </w:p>
  </w:footnote>
  <w:footnote w:id="3">
    <w:p w:rsidR="001A62D7" w:rsidRPr="00A50D50" w:rsidRDefault="001A62D7" w:rsidP="001A62D7">
      <w:pPr>
        <w:pStyle w:val="FootnoteText"/>
      </w:pPr>
      <w:r w:rsidRPr="009B1FDB">
        <w:rPr>
          <w:rStyle w:val="FootnoteReference"/>
        </w:rPr>
        <w:footnoteRef/>
      </w:r>
      <w:r>
        <w:tab/>
      </w:r>
      <w:r w:rsidRPr="00A50D50">
        <w:t>OJ L 393, 30.12.2006, p. 1.</w:t>
      </w:r>
    </w:p>
  </w:footnote>
  <w:footnote w:id="4">
    <w:p w:rsidR="001A62D7" w:rsidRPr="00A50D50" w:rsidRDefault="001A62D7" w:rsidP="001A62D7">
      <w:pPr>
        <w:pStyle w:val="FootnoteText"/>
        <w:rPr>
          <w:lang w:val="en-US"/>
        </w:rPr>
      </w:pPr>
      <w:r w:rsidRPr="009B1FDB">
        <w:rPr>
          <w:rStyle w:val="FootnoteReference"/>
        </w:rPr>
        <w:footnoteRef/>
      </w:r>
      <w:r>
        <w:tab/>
      </w:r>
      <w:r w:rsidRPr="00A50D50">
        <w:t>In accordance with Article</w:t>
      </w:r>
      <w:r>
        <w:t> 7(5)</w:t>
      </w:r>
      <w:r w:rsidRPr="00A50D50">
        <w:t xml:space="preserve"> of Regulation </w:t>
      </w:r>
      <w:r w:rsidRPr="0063277E">
        <w:t>(EU) 2021/691.</w:t>
      </w:r>
    </w:p>
  </w:footnote>
  <w:footnote w:id="5">
    <w:p w:rsidR="007E4E97" w:rsidRPr="007E4E97" w:rsidRDefault="007E4E97">
      <w:pPr>
        <w:pStyle w:val="FootnoteText"/>
        <w:rPr>
          <w:lang w:val="es-ES"/>
        </w:rPr>
      </w:pPr>
      <w:r>
        <w:rPr>
          <w:rStyle w:val="FootnoteReference"/>
        </w:rPr>
        <w:footnoteRef/>
      </w:r>
      <w:r>
        <w:rPr>
          <w:lang w:val="es-ES"/>
        </w:rPr>
        <w:tab/>
      </w:r>
      <w:hyperlink r:id="rId1" w:history="1">
        <w:r w:rsidRPr="007E4E97">
          <w:rPr>
            <w:rStyle w:val="Hyperlink"/>
            <w:lang w:val="es-ES"/>
          </w:rPr>
          <w:t>Sernauto</w:t>
        </w:r>
      </w:hyperlink>
      <w:r>
        <w:rPr>
          <w:lang w:val="es-ES"/>
        </w:rPr>
        <w:t>.</w:t>
      </w:r>
    </w:p>
  </w:footnote>
  <w:footnote w:id="6">
    <w:p w:rsidR="007E4E97" w:rsidRPr="007E4E97" w:rsidRDefault="007E4E97">
      <w:pPr>
        <w:pStyle w:val="FootnoteText"/>
        <w:rPr>
          <w:lang w:val="es-ES"/>
        </w:rPr>
      </w:pPr>
      <w:r>
        <w:rPr>
          <w:rStyle w:val="FootnoteReference"/>
        </w:rPr>
        <w:footnoteRef/>
      </w:r>
      <w:r>
        <w:rPr>
          <w:lang w:val="es-ES"/>
        </w:rPr>
        <w:tab/>
      </w:r>
      <w:hyperlink r:id="rId2" w:anchor=":~:text=La%20facturaci%C3%B3n%20de%20los%20proveedores%20de%20automoci%C3%B3n,de%20euros%20en%20un%20contexto%20de%20desaceleraci%C3%B3n." w:history="1">
        <w:r w:rsidRPr="007E4E97">
          <w:rPr>
            <w:rStyle w:val="Hyperlink"/>
            <w:lang w:val="es-ES"/>
          </w:rPr>
          <w:t>Sernauto</w:t>
        </w:r>
      </w:hyperlink>
      <w:r>
        <w:rPr>
          <w:lang w:val="es-ES"/>
        </w:rPr>
        <w:t>.</w:t>
      </w:r>
    </w:p>
  </w:footnote>
  <w:footnote w:id="7">
    <w:p w:rsidR="000E796A" w:rsidRPr="000E796A" w:rsidRDefault="000E796A">
      <w:pPr>
        <w:pStyle w:val="FootnoteText"/>
        <w:rPr>
          <w:lang w:val="es-ES"/>
        </w:rPr>
      </w:pPr>
      <w:r>
        <w:rPr>
          <w:rStyle w:val="FootnoteReference"/>
        </w:rPr>
        <w:footnoteRef/>
      </w:r>
      <w:r w:rsidRPr="000E796A">
        <w:rPr>
          <w:lang w:val="es-ES"/>
        </w:rPr>
        <w:tab/>
      </w:r>
      <w:hyperlink r:id="rId3" w:history="1">
        <w:r w:rsidRPr="000E796A">
          <w:rPr>
            <w:rStyle w:val="Hyperlink"/>
            <w:lang w:val="es-ES"/>
          </w:rPr>
          <w:t>Labour cost per vehicle report.</w:t>
        </w:r>
      </w:hyperlink>
    </w:p>
  </w:footnote>
  <w:footnote w:id="8">
    <w:p w:rsidR="00C60083" w:rsidRPr="00C60083" w:rsidRDefault="00C60083">
      <w:pPr>
        <w:pStyle w:val="FootnoteText"/>
        <w:rPr>
          <w:lang w:val="es-ES"/>
        </w:rPr>
      </w:pPr>
      <w:r>
        <w:rPr>
          <w:rStyle w:val="FootnoteReference"/>
        </w:rPr>
        <w:footnoteRef/>
      </w:r>
      <w:r>
        <w:rPr>
          <w:lang w:val="es-ES"/>
        </w:rPr>
        <w:tab/>
      </w:r>
      <w:hyperlink r:id="rId4" w:history="1">
        <w:r w:rsidRPr="00C60083">
          <w:rPr>
            <w:rStyle w:val="Hyperlink"/>
            <w:lang w:val="es-ES"/>
          </w:rPr>
          <w:t>Xunta de Galicia. Empleo industrial (marzo 2026)</w:t>
        </w:r>
      </w:hyperlink>
      <w:r w:rsidR="00EB02F0">
        <w:rPr>
          <w:lang w:val="es-ES"/>
        </w:rPr>
        <w:t>.</w:t>
      </w:r>
    </w:p>
  </w:footnote>
  <w:footnote w:id="9">
    <w:p w:rsidR="0028567E" w:rsidRPr="0028567E" w:rsidRDefault="0028567E">
      <w:pPr>
        <w:pStyle w:val="FootnoteText"/>
        <w:rPr>
          <w:lang w:val="es-ES"/>
        </w:rPr>
      </w:pPr>
      <w:r>
        <w:rPr>
          <w:rStyle w:val="FootnoteReference"/>
        </w:rPr>
        <w:footnoteRef/>
      </w:r>
      <w:r>
        <w:rPr>
          <w:lang w:val="es-ES"/>
        </w:rPr>
        <w:tab/>
      </w:r>
      <w:hyperlink r:id="rId5" w:anchor=":~:text=Las%20manufacturas%20han%20reducido%20un%2025%25%20el,de%20los%20puestos%20de%20trabajo%20en%20Espa%C3%B1a%2C" w:history="1">
        <w:r w:rsidRPr="0028567E">
          <w:rPr>
            <w:rStyle w:val="Hyperlink"/>
            <w:lang w:val="es-ES"/>
          </w:rPr>
          <w:t>Fundación BBVA. España se aleja del objetivo de reindustrialización marcado por la Unión Europea</w:t>
        </w:r>
      </w:hyperlink>
      <w:r w:rsidR="00EB02F0">
        <w:rPr>
          <w:lang w:val="es-ES"/>
        </w:rPr>
        <w:t>.</w:t>
      </w:r>
    </w:p>
  </w:footnote>
  <w:footnote w:id="10">
    <w:p w:rsidR="009942B8" w:rsidRPr="006070D2" w:rsidRDefault="009942B8">
      <w:pPr>
        <w:pStyle w:val="FootnoteText"/>
        <w:rPr>
          <w:lang w:val="it-IT"/>
        </w:rPr>
      </w:pPr>
      <w:r>
        <w:rPr>
          <w:rStyle w:val="FootnoteReference"/>
        </w:rPr>
        <w:footnoteRef/>
      </w:r>
      <w:r w:rsidRPr="006070D2">
        <w:rPr>
          <w:lang w:val="it-IT"/>
        </w:rPr>
        <w:tab/>
      </w:r>
      <w:hyperlink r:id="rId6" w:history="1">
        <w:r w:rsidR="006070D2" w:rsidRPr="009914DD">
          <w:rPr>
            <w:rStyle w:val="Hyperlink"/>
            <w:lang w:val="it-IT"/>
          </w:rPr>
          <w:t>INE. EPA Q4 2025</w:t>
        </w:r>
      </w:hyperlink>
      <w:r w:rsidR="00EB02F0">
        <w:rPr>
          <w:lang w:val="it-IT"/>
        </w:rPr>
        <w:t>.</w:t>
      </w:r>
    </w:p>
  </w:footnote>
  <w:footnote w:id="11">
    <w:p w:rsidR="008E0A34" w:rsidRPr="006070D2" w:rsidRDefault="008E0A34">
      <w:pPr>
        <w:pStyle w:val="FootnoteText"/>
        <w:rPr>
          <w:lang w:val="it-IT"/>
        </w:rPr>
      </w:pPr>
      <w:r>
        <w:rPr>
          <w:rStyle w:val="FootnoteReference"/>
        </w:rPr>
        <w:footnoteRef/>
      </w:r>
      <w:r w:rsidRPr="006070D2">
        <w:rPr>
          <w:lang w:val="it-IT"/>
        </w:rPr>
        <w:tab/>
      </w:r>
      <w:hyperlink r:id="rId7" w:history="1">
        <w:r w:rsidR="006070D2" w:rsidRPr="006070D2">
          <w:rPr>
            <w:rStyle w:val="Hyperlink"/>
            <w:lang w:val="it-IT"/>
          </w:rPr>
          <w:t>Eurostat.</w:t>
        </w:r>
      </w:hyperlink>
    </w:p>
  </w:footnote>
  <w:footnote w:id="12">
    <w:p w:rsidR="008E0A34" w:rsidRPr="00EA1B38" w:rsidRDefault="008E0A34">
      <w:pPr>
        <w:pStyle w:val="FootnoteText"/>
        <w:rPr>
          <w:lang w:val="it-IT"/>
        </w:rPr>
      </w:pPr>
      <w:r>
        <w:rPr>
          <w:rStyle w:val="FootnoteReference"/>
        </w:rPr>
        <w:footnoteRef/>
      </w:r>
      <w:r w:rsidRPr="00EA1B38">
        <w:rPr>
          <w:lang w:val="it-IT"/>
        </w:rPr>
        <w:tab/>
      </w:r>
      <w:hyperlink r:id="rId8" w:anchor=":~:text=Tasa%20de%20actividad%20(en%20%25)%2C%20Tasa%20de,(en%20%25).%204T%202025%2C%2024.940%2C4%2C%2022.463%2C3%2C%202.477&amp;text=Organizaci%C3%B3n%20Estad%C3%ADstica%20en%20Espa%C3%B1a%20%C2%B7%20Calidad%20%C2%B7%20Sistema%20Estad%C3%ADstico%20Europeo." w:history="1">
        <w:r w:rsidR="009914DD" w:rsidRPr="00EA1B38">
          <w:rPr>
            <w:rStyle w:val="Hyperlink"/>
            <w:lang w:val="it-IT"/>
          </w:rPr>
          <w:t>INE. EPA Q4 2025</w:t>
        </w:r>
      </w:hyperlink>
      <w:r w:rsidR="00EB02F0" w:rsidRPr="007E153F">
        <w:rPr>
          <w:lang w:val="it-IT"/>
        </w:rPr>
        <w:t>.</w:t>
      </w:r>
    </w:p>
  </w:footnote>
  <w:footnote w:id="13">
    <w:p w:rsidR="00EB02F0" w:rsidRPr="00EB02F0" w:rsidRDefault="00EB02F0">
      <w:pPr>
        <w:pStyle w:val="FootnoteText"/>
        <w:rPr>
          <w:lang w:val="es-ES"/>
        </w:rPr>
      </w:pPr>
      <w:r>
        <w:rPr>
          <w:rStyle w:val="FootnoteReference"/>
        </w:rPr>
        <w:footnoteRef/>
      </w:r>
      <w:r>
        <w:rPr>
          <w:lang w:val="es-ES"/>
        </w:rPr>
        <w:tab/>
      </w:r>
      <w:hyperlink r:id="rId9" w:history="1">
        <w:r w:rsidRPr="00EB02F0">
          <w:rPr>
            <w:rStyle w:val="Hyperlink"/>
            <w:lang w:val="es-ES"/>
          </w:rPr>
          <w:t>Datos macro-INE, EPA Q4 2025</w:t>
        </w:r>
      </w:hyperlink>
      <w:r>
        <w:rPr>
          <w:lang w:val="es-ES"/>
        </w:rPr>
        <w:t>.</w:t>
      </w:r>
    </w:p>
  </w:footnote>
  <w:footnote w:id="14">
    <w:p w:rsidR="007E153F" w:rsidRPr="007E153F" w:rsidRDefault="007E153F">
      <w:pPr>
        <w:pStyle w:val="FootnoteText"/>
        <w:rPr>
          <w:lang w:val="it-IT"/>
        </w:rPr>
      </w:pPr>
      <w:r>
        <w:rPr>
          <w:rStyle w:val="FootnoteReference"/>
        </w:rPr>
        <w:footnoteRef/>
      </w:r>
      <w:r w:rsidRPr="007E153F">
        <w:rPr>
          <w:lang w:val="it-IT"/>
        </w:rPr>
        <w:tab/>
      </w:r>
      <w:hyperlink r:id="rId10" w:history="1">
        <w:r w:rsidRPr="007E153F">
          <w:rPr>
            <w:rStyle w:val="Hyperlink"/>
            <w:lang w:val="it-IT"/>
          </w:rPr>
          <w:t>IGE-INE, EPA Q4 2025</w:t>
        </w:r>
      </w:hyperlink>
      <w:r>
        <w:rPr>
          <w:lang w:val="it-IT"/>
        </w:rPr>
        <w:t>.</w:t>
      </w:r>
    </w:p>
  </w:footnote>
  <w:footnote w:id="15">
    <w:p w:rsidR="007E153F" w:rsidRPr="007E153F" w:rsidRDefault="007E153F">
      <w:pPr>
        <w:pStyle w:val="FootnoteText"/>
        <w:rPr>
          <w:lang w:val="it-IT"/>
        </w:rPr>
      </w:pPr>
      <w:r>
        <w:rPr>
          <w:rStyle w:val="FootnoteReference"/>
        </w:rPr>
        <w:footnoteRef/>
      </w:r>
      <w:r w:rsidRPr="007E153F">
        <w:rPr>
          <w:lang w:val="it-IT"/>
        </w:rPr>
        <w:tab/>
      </w:r>
      <w:hyperlink r:id="rId11" w:history="1">
        <w:r w:rsidRPr="007E153F">
          <w:rPr>
            <w:rStyle w:val="Hyperlink"/>
            <w:lang w:val="it-IT"/>
          </w:rPr>
          <w:t>Eurostat</w:t>
        </w:r>
      </w:hyperlink>
      <w:r>
        <w:rPr>
          <w:lang w:val="it-IT"/>
        </w:rPr>
        <w:t>.</w:t>
      </w:r>
    </w:p>
  </w:footnote>
  <w:footnote w:id="16">
    <w:p w:rsidR="004032AD" w:rsidRPr="004032AD" w:rsidRDefault="004032AD">
      <w:pPr>
        <w:pStyle w:val="FootnoteText"/>
        <w:rPr>
          <w:lang w:val="es-ES"/>
        </w:rPr>
      </w:pPr>
      <w:r>
        <w:rPr>
          <w:rStyle w:val="FootnoteReference"/>
        </w:rPr>
        <w:footnoteRef/>
      </w:r>
      <w:r w:rsidRPr="004032AD">
        <w:rPr>
          <w:lang w:val="es-ES"/>
        </w:rPr>
        <w:tab/>
        <w:t>A</w:t>
      </w:r>
      <w:r>
        <w:rPr>
          <w:lang w:val="es-ES"/>
        </w:rPr>
        <w:t>kwel Vigo Spain</w:t>
      </w:r>
      <w:r w:rsidRPr="004032AD">
        <w:rPr>
          <w:lang w:val="es-ES"/>
        </w:rPr>
        <w:t xml:space="preserve"> and Troqueles y Moldes de</w:t>
      </w:r>
      <w:r>
        <w:rPr>
          <w:lang w:val="es-ES"/>
        </w:rPr>
        <w:t xml:space="preserve"> Galicia.</w:t>
      </w:r>
    </w:p>
  </w:footnote>
  <w:footnote w:id="17">
    <w:p w:rsidR="00336E9F" w:rsidRPr="00336E9F" w:rsidRDefault="00336E9F">
      <w:pPr>
        <w:pStyle w:val="FootnoteText"/>
        <w:rPr>
          <w:lang w:val="es-ES"/>
        </w:rPr>
      </w:pPr>
      <w:r>
        <w:rPr>
          <w:rStyle w:val="FootnoteReference"/>
        </w:rPr>
        <w:footnoteRef/>
      </w:r>
      <w:r w:rsidRPr="00336E9F">
        <w:rPr>
          <w:lang w:val="es-ES"/>
        </w:rPr>
        <w:tab/>
        <w:t>Industry Federation of CCOO Galicia (</w:t>
      </w:r>
      <w:r w:rsidRPr="00336E9F">
        <w:rPr>
          <w:i/>
          <w:iCs/>
          <w:lang w:val="es-ES"/>
        </w:rPr>
        <w:t>Federación de industria de Comisiones Obreras de Galicia</w:t>
      </w:r>
      <w:r>
        <w:rPr>
          <w:lang w:val="es-ES"/>
        </w:rPr>
        <w:t>).</w:t>
      </w:r>
    </w:p>
  </w:footnote>
  <w:footnote w:id="18">
    <w:p w:rsidR="00DB077F" w:rsidRPr="00503F72" w:rsidRDefault="00DB077F">
      <w:pPr>
        <w:pStyle w:val="FootnoteText"/>
        <w:rPr>
          <w:lang w:val="es-ES"/>
        </w:rPr>
      </w:pPr>
      <w:r>
        <w:rPr>
          <w:rStyle w:val="FootnoteReference"/>
        </w:rPr>
        <w:footnoteRef/>
      </w:r>
      <w:r w:rsidRPr="00503F72">
        <w:rPr>
          <w:lang w:val="es-ES"/>
        </w:rPr>
        <w:tab/>
        <w:t xml:space="preserve">Industry, Metal, Construction and </w:t>
      </w:r>
      <w:r w:rsidR="00503F72" w:rsidRPr="00503F72">
        <w:rPr>
          <w:lang w:val="es-ES"/>
        </w:rPr>
        <w:t>Related Indu</w:t>
      </w:r>
      <w:r w:rsidR="00503F72">
        <w:rPr>
          <w:lang w:val="es-ES"/>
        </w:rPr>
        <w:t>stries</w:t>
      </w:r>
      <w:r w:rsidRPr="00503F72">
        <w:rPr>
          <w:lang w:val="es-ES"/>
        </w:rPr>
        <w:t xml:space="preserve"> Workers’ Federation of UGT (</w:t>
      </w:r>
      <w:r w:rsidRPr="00503F72">
        <w:rPr>
          <w:i/>
          <w:iCs/>
          <w:lang w:val="es-ES"/>
        </w:rPr>
        <w:t>Federación de Industria, Metal, Construcción y Afines de UGT</w:t>
      </w:r>
      <w:r w:rsidRPr="00503F72">
        <w:rPr>
          <w:lang w:val="es-ES"/>
        </w:rPr>
        <w:t>)</w:t>
      </w:r>
      <w:r w:rsidR="009A5688" w:rsidRPr="00503F72">
        <w:rPr>
          <w:lang w:val="es-ES"/>
        </w:rPr>
        <w:t>.</w:t>
      </w:r>
      <w:r w:rsidRPr="00503F72">
        <w:rPr>
          <w:lang w:val="es-ES"/>
        </w:rPr>
        <w:t xml:space="preserve"> </w:t>
      </w:r>
    </w:p>
  </w:footnote>
  <w:footnote w:id="19">
    <w:p w:rsidR="009A5688" w:rsidRPr="009A5688" w:rsidRDefault="009A5688">
      <w:pPr>
        <w:pStyle w:val="FootnoteText"/>
        <w:rPr>
          <w:lang w:val="es-ES"/>
        </w:rPr>
      </w:pPr>
      <w:r>
        <w:rPr>
          <w:rStyle w:val="FootnoteReference"/>
        </w:rPr>
        <w:footnoteRef/>
      </w:r>
      <w:r>
        <w:rPr>
          <w:lang w:val="es-ES"/>
        </w:rPr>
        <w:tab/>
      </w:r>
      <w:r w:rsidRPr="009A5688">
        <w:rPr>
          <w:lang w:val="es-ES"/>
        </w:rPr>
        <w:t>Galician Inter</w:t>
      </w:r>
      <w:r w:rsidR="00503F72">
        <w:rPr>
          <w:lang w:val="es-ES"/>
        </w:rPr>
        <w:t xml:space="preserve">-union </w:t>
      </w:r>
      <w:r w:rsidRPr="009A5688">
        <w:rPr>
          <w:lang w:val="es-ES"/>
        </w:rPr>
        <w:t>Confederation</w:t>
      </w:r>
      <w:r>
        <w:rPr>
          <w:lang w:val="es-ES"/>
        </w:rPr>
        <w:t xml:space="preserve"> (</w:t>
      </w:r>
      <w:r w:rsidRPr="009A5688">
        <w:rPr>
          <w:i/>
          <w:iCs/>
          <w:lang w:val="es-ES"/>
        </w:rPr>
        <w:t>Confederación Intersindical de Galicia</w:t>
      </w:r>
      <w:r>
        <w:rPr>
          <w:lang w:val="es-ES"/>
        </w:rPr>
        <w:t>)</w:t>
      </w:r>
    </w:p>
  </w:footnote>
  <w:footnote w:id="20">
    <w:p w:rsidR="001B747A" w:rsidRPr="001B747A" w:rsidRDefault="001B747A">
      <w:pPr>
        <w:pStyle w:val="FootnoteText"/>
        <w:rPr>
          <w:lang w:val="es-ES"/>
        </w:rPr>
      </w:pPr>
      <w:r>
        <w:rPr>
          <w:rStyle w:val="FootnoteReference"/>
        </w:rPr>
        <w:footnoteRef/>
      </w:r>
      <w:r w:rsidRPr="001B747A">
        <w:rPr>
          <w:lang w:val="es-ES"/>
        </w:rPr>
        <w:tab/>
        <w:t>Galician Automotive Business Cluster (</w:t>
      </w:r>
      <w:r w:rsidRPr="001B747A">
        <w:rPr>
          <w:i/>
          <w:iCs/>
          <w:lang w:val="es-ES"/>
        </w:rPr>
        <w:t>Clúster de Empresas de Automoción de Galicia-CEAGA)</w:t>
      </w:r>
      <w:r>
        <w:rPr>
          <w:lang w:val="es-ES"/>
        </w:rPr>
        <w:t>.</w:t>
      </w:r>
    </w:p>
  </w:footnote>
  <w:footnote w:id="21">
    <w:p w:rsidR="004924A8" w:rsidRPr="00A75BE8" w:rsidRDefault="004924A8">
      <w:pPr>
        <w:pStyle w:val="FootnoteText"/>
        <w:rPr>
          <w:lang w:val="en-IE"/>
        </w:rPr>
      </w:pPr>
      <w:r>
        <w:rPr>
          <w:rStyle w:val="FootnoteReference"/>
        </w:rPr>
        <w:footnoteRef/>
      </w:r>
      <w:r w:rsidRPr="00A75BE8">
        <w:rPr>
          <w:lang w:val="en-IE"/>
        </w:rPr>
        <w:tab/>
      </w:r>
      <w:r w:rsidR="00A75BE8">
        <w:rPr>
          <w:lang w:val="en-IE"/>
        </w:rPr>
        <w:t xml:space="preserve">Meetings </w:t>
      </w:r>
      <w:r w:rsidR="00A75BE8" w:rsidRPr="004924A8">
        <w:rPr>
          <w:noProof/>
        </w:rPr>
        <w:t xml:space="preserve">organised by the </w:t>
      </w:r>
      <w:r w:rsidR="00A75BE8">
        <w:rPr>
          <w:noProof/>
        </w:rPr>
        <w:t xml:space="preserve">Regional </w:t>
      </w:r>
      <w:r w:rsidR="00A75BE8" w:rsidRPr="004924A8">
        <w:rPr>
          <w:noProof/>
        </w:rPr>
        <w:t>Ministry of Employment, Trade and Emigration</w:t>
      </w:r>
      <w:r w:rsidR="00A75BE8">
        <w:rPr>
          <w:noProof/>
        </w:rPr>
        <w:t>.</w:t>
      </w:r>
    </w:p>
  </w:footnote>
  <w:footnote w:id="22">
    <w:p w:rsidR="001A62D7" w:rsidRPr="004B1226" w:rsidRDefault="001A62D7" w:rsidP="001A62D7">
      <w:pPr>
        <w:pStyle w:val="FootnoteText"/>
        <w:rPr>
          <w:lang w:val="es-ES"/>
        </w:rPr>
      </w:pPr>
      <w:r>
        <w:rPr>
          <w:rStyle w:val="FootnoteReference"/>
        </w:rPr>
        <w:footnoteRef/>
      </w:r>
      <w:r w:rsidRPr="004B1226">
        <w:rPr>
          <w:lang w:val="es-ES"/>
        </w:rPr>
        <w:tab/>
        <w:t>ISCED 0-2</w:t>
      </w:r>
    </w:p>
  </w:footnote>
  <w:footnote w:id="23">
    <w:p w:rsidR="001A62D7" w:rsidRPr="004B1226" w:rsidRDefault="001A62D7" w:rsidP="001A62D7">
      <w:pPr>
        <w:pStyle w:val="FootnoteText"/>
        <w:rPr>
          <w:lang w:val="es-ES"/>
        </w:rPr>
      </w:pPr>
      <w:r>
        <w:rPr>
          <w:rStyle w:val="FootnoteReference"/>
        </w:rPr>
        <w:footnoteRef/>
      </w:r>
      <w:r w:rsidRPr="004B1226">
        <w:rPr>
          <w:lang w:val="es-ES"/>
        </w:rPr>
        <w:tab/>
        <w:t>ISCED 3</w:t>
      </w:r>
    </w:p>
  </w:footnote>
  <w:footnote w:id="24">
    <w:p w:rsidR="001A62D7" w:rsidRPr="004B1226" w:rsidRDefault="001A62D7" w:rsidP="001A62D7">
      <w:pPr>
        <w:pStyle w:val="FootnoteText"/>
        <w:rPr>
          <w:lang w:val="es-ES"/>
        </w:rPr>
      </w:pPr>
      <w:r>
        <w:rPr>
          <w:rStyle w:val="FootnoteReference"/>
        </w:rPr>
        <w:footnoteRef/>
      </w:r>
      <w:r w:rsidRPr="004B1226">
        <w:rPr>
          <w:lang w:val="es-ES"/>
        </w:rPr>
        <w:tab/>
        <w:t>ISCED 4</w:t>
      </w:r>
    </w:p>
  </w:footnote>
  <w:footnote w:id="25">
    <w:p w:rsidR="001A62D7" w:rsidRPr="004B1226" w:rsidRDefault="001A62D7" w:rsidP="001A62D7">
      <w:pPr>
        <w:pStyle w:val="FootnoteText"/>
        <w:rPr>
          <w:lang w:val="es-ES"/>
        </w:rPr>
      </w:pPr>
      <w:r>
        <w:rPr>
          <w:rStyle w:val="FootnoteReference"/>
        </w:rPr>
        <w:footnoteRef/>
      </w:r>
      <w:r w:rsidRPr="004B1226">
        <w:rPr>
          <w:lang w:val="es-ES"/>
        </w:rPr>
        <w:tab/>
        <w:t>ISCED 5-8</w:t>
      </w:r>
    </w:p>
  </w:footnote>
  <w:footnote w:id="26">
    <w:p w:rsidR="00C239B8" w:rsidRPr="00C239B8" w:rsidRDefault="00C239B8">
      <w:pPr>
        <w:pStyle w:val="FootnoteText"/>
        <w:rPr>
          <w:lang w:val="es-ES"/>
        </w:rPr>
      </w:pPr>
      <w:r>
        <w:rPr>
          <w:rStyle w:val="FootnoteReference"/>
        </w:rPr>
        <w:footnoteRef/>
      </w:r>
      <w:r>
        <w:rPr>
          <w:lang w:val="es-ES"/>
        </w:rPr>
        <w:tab/>
      </w:r>
      <w:r w:rsidRPr="00C239B8">
        <w:rPr>
          <w:lang w:val="es-ES"/>
        </w:rPr>
        <w:t xml:space="preserve">Oficinas de Empleo </w:t>
      </w:r>
      <w:r>
        <w:rPr>
          <w:lang w:val="es-ES"/>
        </w:rPr>
        <w:t>de la Consejería de Empleo</w:t>
      </w:r>
      <w:r w:rsidR="00C2079B">
        <w:rPr>
          <w:lang w:val="es-ES"/>
        </w:rPr>
        <w:t>, Comercio e Inmigración</w:t>
      </w:r>
      <w:r>
        <w:rPr>
          <w:lang w:val="es-ES"/>
        </w:rPr>
        <w:t xml:space="preserve">/Consellería de </w:t>
      </w:r>
      <w:r w:rsidR="00C2079B">
        <w:rPr>
          <w:lang w:val="es-ES"/>
        </w:rPr>
        <w:t>Emprego, Comercio e Emigración</w:t>
      </w:r>
      <w:r w:rsidR="004F5368">
        <w:rPr>
          <w:lang w:val="es-ES"/>
        </w:rPr>
        <w:t>.</w:t>
      </w:r>
      <w:r w:rsidR="00553ECB">
        <w:rPr>
          <w:lang w:val="es-ES"/>
        </w:rPr>
        <w:t xml:space="preserve"> </w:t>
      </w:r>
    </w:p>
  </w:footnote>
  <w:footnote w:id="27">
    <w:p w:rsidR="004F5368" w:rsidRPr="00EB2471" w:rsidRDefault="004F5368" w:rsidP="004F5368">
      <w:pPr>
        <w:pStyle w:val="FootnoteText"/>
        <w:rPr>
          <w:lang w:val="en-IE"/>
        </w:rPr>
      </w:pPr>
      <w:r>
        <w:rPr>
          <w:rStyle w:val="FootnoteReference"/>
        </w:rPr>
        <w:footnoteRef/>
      </w:r>
      <w:r w:rsidRPr="00EB2471">
        <w:rPr>
          <w:lang w:val="en-IE"/>
        </w:rPr>
        <w:tab/>
      </w:r>
      <w:r w:rsidR="003171CA">
        <w:rPr>
          <w:lang w:val="en-IE"/>
        </w:rPr>
        <w:t>U</w:t>
      </w:r>
      <w:r w:rsidRPr="00EB2471">
        <w:rPr>
          <w:lang w:val="en-IE"/>
        </w:rPr>
        <w:t xml:space="preserve">se of collaborative tools, data analytics applied to industrial environments, cybersecurity, and an introduction to emerging technologies, such as artificial intelligence in production processes. </w:t>
      </w:r>
    </w:p>
  </w:footnote>
  <w:footnote w:id="28">
    <w:p w:rsidR="00EB2471" w:rsidRPr="00EC4DA7" w:rsidRDefault="00EB2471">
      <w:pPr>
        <w:pStyle w:val="FootnoteText"/>
        <w:rPr>
          <w:lang w:val="en-IE"/>
        </w:rPr>
      </w:pPr>
      <w:r>
        <w:rPr>
          <w:rStyle w:val="FootnoteReference"/>
        </w:rPr>
        <w:footnoteRef/>
      </w:r>
      <w:r w:rsidRPr="00EC4DA7">
        <w:rPr>
          <w:lang w:val="en-IE"/>
        </w:rPr>
        <w:tab/>
        <w:t xml:space="preserve">Manufacturing Execution Systems. </w:t>
      </w:r>
    </w:p>
  </w:footnote>
  <w:footnote w:id="29">
    <w:p w:rsidR="00EB2471" w:rsidRPr="00EC4DA7" w:rsidRDefault="00EB2471">
      <w:pPr>
        <w:pStyle w:val="FootnoteText"/>
        <w:rPr>
          <w:lang w:val="en-IE"/>
        </w:rPr>
      </w:pPr>
      <w:r>
        <w:rPr>
          <w:rStyle w:val="FootnoteReference"/>
        </w:rPr>
        <w:footnoteRef/>
      </w:r>
      <w:r w:rsidRPr="00EC4DA7">
        <w:rPr>
          <w:lang w:val="en-IE"/>
        </w:rPr>
        <w:tab/>
      </w:r>
      <w:r w:rsidR="00EC4DA7" w:rsidRPr="00EC4DA7">
        <w:rPr>
          <w:lang w:val="en-IE"/>
        </w:rPr>
        <w:t>Supervisory Control and Data Acquisition</w:t>
      </w:r>
      <w:r w:rsidR="00EC4DA7">
        <w:rPr>
          <w:lang w:val="en-IE"/>
        </w:rPr>
        <w:t>.</w:t>
      </w:r>
    </w:p>
  </w:footnote>
  <w:footnote w:id="30">
    <w:p w:rsidR="00EC4DA7" w:rsidRPr="008D0904" w:rsidRDefault="00EC4DA7">
      <w:pPr>
        <w:pStyle w:val="FootnoteText"/>
        <w:rPr>
          <w:lang w:val="en-IE"/>
        </w:rPr>
      </w:pPr>
      <w:r>
        <w:rPr>
          <w:rStyle w:val="FootnoteReference"/>
        </w:rPr>
        <w:footnoteRef/>
      </w:r>
      <w:r w:rsidRPr="008D0904">
        <w:rPr>
          <w:lang w:val="en-IE"/>
        </w:rPr>
        <w:tab/>
      </w:r>
      <w:r w:rsidR="009B4078">
        <w:rPr>
          <w:lang w:val="en-IE"/>
        </w:rPr>
        <w:t>Robotics Process Automation.</w:t>
      </w:r>
    </w:p>
  </w:footnote>
  <w:footnote w:id="31">
    <w:p w:rsidR="009B4078" w:rsidRPr="009B4078" w:rsidRDefault="009B4078">
      <w:pPr>
        <w:pStyle w:val="FootnoteText"/>
        <w:rPr>
          <w:lang w:val="en-IE"/>
        </w:rPr>
      </w:pPr>
      <w:r>
        <w:rPr>
          <w:rStyle w:val="FootnoteReference"/>
        </w:rPr>
        <w:footnoteRef/>
      </w:r>
      <w:r w:rsidRPr="009B4078">
        <w:rPr>
          <w:lang w:val="en-IE"/>
        </w:rPr>
        <w:tab/>
      </w:r>
      <w:r>
        <w:rPr>
          <w:lang w:val="en-IE"/>
        </w:rPr>
        <w:t>P</w:t>
      </w:r>
      <w:r w:rsidRPr="00EB2471">
        <w:rPr>
          <w:lang w:val="en-IE"/>
        </w:rPr>
        <w:t xml:space="preserve">rogrammable </w:t>
      </w:r>
      <w:r>
        <w:rPr>
          <w:lang w:val="en-IE"/>
        </w:rPr>
        <w:t>L</w:t>
      </w:r>
      <w:r w:rsidRPr="00EB2471">
        <w:rPr>
          <w:lang w:val="en-IE"/>
        </w:rPr>
        <w:t xml:space="preserve">ogic </w:t>
      </w:r>
      <w:r>
        <w:rPr>
          <w:lang w:val="en-IE"/>
        </w:rPr>
        <w:t>C</w:t>
      </w:r>
      <w:r w:rsidRPr="00EB2471">
        <w:rPr>
          <w:lang w:val="en-IE"/>
        </w:rPr>
        <w:t>ontrollers</w:t>
      </w:r>
      <w:r>
        <w:rPr>
          <w:lang w:val="en-IE"/>
        </w:rPr>
        <w:t>.</w:t>
      </w:r>
    </w:p>
  </w:footnote>
  <w:footnote w:id="32">
    <w:p w:rsidR="001B498D" w:rsidRPr="00575749" w:rsidRDefault="001B498D">
      <w:pPr>
        <w:pStyle w:val="FootnoteText"/>
        <w:rPr>
          <w:lang w:val="en-IE"/>
        </w:rPr>
      </w:pPr>
      <w:r>
        <w:rPr>
          <w:rStyle w:val="FootnoteReference"/>
        </w:rPr>
        <w:footnoteRef/>
      </w:r>
      <w:r w:rsidRPr="00575749">
        <w:rPr>
          <w:lang w:val="en-IE"/>
        </w:rPr>
        <w:tab/>
      </w:r>
      <w:hyperlink r:id="rId12" w:history="1">
        <w:r w:rsidRPr="00575749">
          <w:rPr>
            <w:rStyle w:val="Hyperlink"/>
            <w:lang w:val="en-IE"/>
          </w:rPr>
          <w:t>Galicia Automotive Master Plan 2025–2027</w:t>
        </w:r>
      </w:hyperlink>
      <w:r w:rsidRPr="00575749">
        <w:rPr>
          <w:lang w:val="en-IE"/>
        </w:rPr>
        <w:t>.</w:t>
      </w:r>
    </w:p>
  </w:footnote>
  <w:footnote w:id="33">
    <w:p w:rsidR="00EC1FFE" w:rsidRPr="00EC1FFE" w:rsidRDefault="00EC1FFE">
      <w:pPr>
        <w:pStyle w:val="FootnoteText"/>
        <w:rPr>
          <w:lang w:val="en-IE"/>
        </w:rPr>
      </w:pPr>
      <w:r>
        <w:rPr>
          <w:rStyle w:val="FootnoteReference"/>
        </w:rPr>
        <w:footnoteRef/>
      </w:r>
      <w:r w:rsidRPr="00EC1FFE">
        <w:rPr>
          <w:lang w:val="en-IE"/>
        </w:rPr>
        <w:tab/>
      </w:r>
      <w:r>
        <w:rPr>
          <w:lang w:val="en-IE"/>
        </w:rPr>
        <w:t xml:space="preserve">Aeronautics is </w:t>
      </w:r>
      <w:r w:rsidRPr="00EC1FFE">
        <w:rPr>
          <w:lang w:val="en-IE"/>
        </w:rPr>
        <w:t>a sector of growing regional industrial significance with high demand for skilled technical profiles and shared key competencies with the automotive sector</w:t>
      </w:r>
      <w:r>
        <w:rPr>
          <w:lang w:val="en-IE"/>
        </w:rPr>
        <w:t>.</w:t>
      </w:r>
      <w:r w:rsidRPr="00EC1FFE">
        <w:rPr>
          <w:lang w:val="en-IE"/>
        </w:rPr>
        <w:t xml:space="preserve"> </w:t>
      </w:r>
    </w:p>
  </w:footnote>
  <w:footnote w:id="34">
    <w:p w:rsidR="00EC1FFE" w:rsidRPr="001933D0" w:rsidRDefault="00EC1FFE">
      <w:pPr>
        <w:pStyle w:val="FootnoteText"/>
        <w:rPr>
          <w:lang w:val="en-IE"/>
        </w:rPr>
      </w:pPr>
      <w:r>
        <w:rPr>
          <w:rStyle w:val="FootnoteReference"/>
        </w:rPr>
        <w:footnoteRef/>
      </w:r>
      <w:r w:rsidRPr="001933D0">
        <w:rPr>
          <w:lang w:val="en-IE"/>
        </w:rPr>
        <w:tab/>
      </w:r>
      <w:r w:rsidR="001933D0">
        <w:rPr>
          <w:lang w:val="en-IE"/>
        </w:rPr>
        <w:t>R</w:t>
      </w:r>
      <w:r w:rsidR="001933D0" w:rsidRPr="001933D0">
        <w:rPr>
          <w:lang w:val="en-IE"/>
        </w:rPr>
        <w:t>enewable energy offers high skill transferability from the automotive sector alongside rising demand in wind, photovoltaic, and offshore energy</w:t>
      </w:r>
      <w:r w:rsidR="001933D0">
        <w:rPr>
          <w:lang w:val="en-IE"/>
        </w:rPr>
        <w:t>.</w:t>
      </w:r>
    </w:p>
  </w:footnote>
  <w:footnote w:id="35">
    <w:p w:rsidR="001933D0" w:rsidRPr="007C0AB0" w:rsidRDefault="001933D0">
      <w:pPr>
        <w:pStyle w:val="FootnoteText"/>
        <w:rPr>
          <w:lang w:val="en-IE"/>
        </w:rPr>
      </w:pPr>
      <w:r>
        <w:rPr>
          <w:rStyle w:val="FootnoteReference"/>
        </w:rPr>
        <w:footnoteRef/>
      </w:r>
      <w:r w:rsidRPr="007C0AB0">
        <w:rPr>
          <w:lang w:val="en-IE"/>
        </w:rPr>
        <w:tab/>
      </w:r>
      <w:r w:rsidR="007C0AB0">
        <w:rPr>
          <w:lang w:val="en-IE"/>
        </w:rPr>
        <w:t>T</w:t>
      </w:r>
      <w:r w:rsidR="007C0AB0" w:rsidRPr="007C0AB0">
        <w:rPr>
          <w:lang w:val="en-IE"/>
        </w:rPr>
        <w:t>ransport and warehousing</w:t>
      </w:r>
      <w:r w:rsidR="007C0AB0">
        <w:rPr>
          <w:lang w:val="en-IE"/>
        </w:rPr>
        <w:t xml:space="preserve"> </w:t>
      </w:r>
      <w:r w:rsidR="00A90BE2">
        <w:rPr>
          <w:lang w:val="en-IE"/>
        </w:rPr>
        <w:t>are</w:t>
      </w:r>
      <w:r w:rsidR="007C0AB0" w:rsidRPr="007C0AB0">
        <w:rPr>
          <w:lang w:val="en-IE"/>
        </w:rPr>
        <w:t xml:space="preserve"> characterised by high job creation, low training barriers to entry, and strong immediate employability</w:t>
      </w:r>
      <w:r w:rsidR="007C0AB0">
        <w:rPr>
          <w:lang w:val="en-IE"/>
        </w:rPr>
        <w:t>.</w:t>
      </w:r>
    </w:p>
  </w:footnote>
  <w:footnote w:id="36">
    <w:p w:rsidR="007C0AB0" w:rsidRPr="00B52E6D" w:rsidRDefault="007C0AB0">
      <w:pPr>
        <w:pStyle w:val="FootnoteText"/>
        <w:rPr>
          <w:lang w:val="en-IE"/>
        </w:rPr>
      </w:pPr>
      <w:r>
        <w:rPr>
          <w:rStyle w:val="FootnoteReference"/>
        </w:rPr>
        <w:footnoteRef/>
      </w:r>
      <w:r w:rsidRPr="00B52E6D">
        <w:rPr>
          <w:lang w:val="en-IE"/>
        </w:rPr>
        <w:tab/>
      </w:r>
      <w:r w:rsidR="00B52E6D">
        <w:rPr>
          <w:lang w:val="en-IE"/>
        </w:rPr>
        <w:t>I</w:t>
      </w:r>
      <w:r w:rsidR="00B52E6D" w:rsidRPr="00B52E6D">
        <w:rPr>
          <w:lang w:val="en-IE"/>
        </w:rPr>
        <w:t>nfrastructure and industrial maintenance demonstrate a strong capacity to absorb industrial profiles</w:t>
      </w:r>
      <w:r w:rsidR="00B52E6D">
        <w:rPr>
          <w:lang w:val="en-IE"/>
        </w:rPr>
        <w:t>.</w:t>
      </w:r>
    </w:p>
  </w:footnote>
  <w:footnote w:id="37">
    <w:p w:rsidR="000E7D45" w:rsidRPr="00F904EC" w:rsidRDefault="000E7D45">
      <w:pPr>
        <w:pStyle w:val="FootnoteText"/>
        <w:rPr>
          <w:lang w:val="es-ES"/>
        </w:rPr>
      </w:pPr>
      <w:r>
        <w:rPr>
          <w:rStyle w:val="FootnoteReference"/>
        </w:rPr>
        <w:footnoteRef/>
      </w:r>
      <w:r w:rsidRPr="00F904EC">
        <w:rPr>
          <w:lang w:val="es-ES"/>
        </w:rPr>
        <w:tab/>
        <w:t>Ministry of Employment, Trade and Emigration of the Government of Galicia (</w:t>
      </w:r>
      <w:r w:rsidR="00F904EC" w:rsidRPr="00F904EC">
        <w:rPr>
          <w:i/>
          <w:iCs/>
          <w:lang w:val="es-ES"/>
        </w:rPr>
        <w:t>Consejería de Empleo, Comercio e Inmigración/</w:t>
      </w:r>
      <w:r w:rsidRPr="00F904EC">
        <w:rPr>
          <w:i/>
          <w:iCs/>
          <w:lang w:val="es-ES"/>
        </w:rPr>
        <w:t>Consellería de Emprego, Comercio e Emigración de la Xunta de Galicia</w:t>
      </w:r>
      <w:r w:rsidRPr="00F904EC">
        <w:rPr>
          <w:lang w:val="es-ES"/>
        </w:rPr>
        <w:t>).</w:t>
      </w:r>
    </w:p>
  </w:footnote>
  <w:footnote w:id="38">
    <w:p w:rsidR="001A62D7" w:rsidRPr="00A31F0E" w:rsidRDefault="001A62D7" w:rsidP="001A62D7">
      <w:pPr>
        <w:pStyle w:val="FootnoteText"/>
      </w:pPr>
      <w:r>
        <w:rPr>
          <w:rStyle w:val="FootnoteReference"/>
        </w:rPr>
        <w:footnoteRef/>
      </w:r>
      <w:r w:rsidRPr="007244BC">
        <w:tab/>
        <w:t>To avoid decimals, the estimated costs per worker have been rounded. However, the rounding has no impact on the total cost of each measure, which remains as in the application submitted by</w:t>
      </w:r>
      <w:r>
        <w:t xml:space="preserve"> </w:t>
      </w:r>
      <w:r w:rsidR="00416DCB">
        <w:t>Spain.</w:t>
      </w:r>
    </w:p>
  </w:footnote>
  <w:footnote w:id="39">
    <w:p w:rsidR="001A62D7" w:rsidRPr="002060F6" w:rsidRDefault="001A62D7" w:rsidP="001A62D7">
      <w:pPr>
        <w:pStyle w:val="FootnoteText"/>
      </w:pPr>
      <w:r>
        <w:rPr>
          <w:rStyle w:val="FootnoteReference"/>
        </w:rPr>
        <w:footnoteRef/>
      </w:r>
      <w:r w:rsidRPr="007244BC">
        <w:tab/>
        <w:t>Totals do not tally due to rounding.</w:t>
      </w:r>
    </w:p>
  </w:footnote>
  <w:footnote w:id="40">
    <w:p w:rsidR="0042221A" w:rsidRPr="0042221A" w:rsidRDefault="0042221A">
      <w:pPr>
        <w:pStyle w:val="FootnoteText"/>
        <w:rPr>
          <w:lang w:val="en-IE"/>
        </w:rPr>
      </w:pPr>
      <w:r>
        <w:rPr>
          <w:rStyle w:val="FootnoteReference"/>
        </w:rPr>
        <w:footnoteRef/>
      </w:r>
      <w:r w:rsidRPr="0042221A">
        <w:rPr>
          <w:lang w:val="en-IE"/>
        </w:rPr>
        <w:tab/>
        <w:t>The costs related to preparatory measures will be covered solely by national funding.</w:t>
      </w:r>
    </w:p>
  </w:footnote>
  <w:footnote w:id="41">
    <w:p w:rsidR="0042221A" w:rsidRPr="00D022E6" w:rsidRDefault="0042221A">
      <w:pPr>
        <w:pStyle w:val="FootnoteText"/>
        <w:rPr>
          <w:lang w:val="en-IE"/>
        </w:rPr>
      </w:pPr>
      <w:r>
        <w:rPr>
          <w:rStyle w:val="FootnoteReference"/>
        </w:rPr>
        <w:footnoteRef/>
      </w:r>
      <w:r w:rsidRPr="00D022E6">
        <w:rPr>
          <w:lang w:val="en-IE"/>
        </w:rPr>
        <w:tab/>
      </w:r>
      <w:r w:rsidR="00D022E6" w:rsidRPr="00D022E6">
        <w:rPr>
          <w:lang w:val="en-IE"/>
        </w:rPr>
        <w:t>The costs related to c</w:t>
      </w:r>
      <w:r w:rsidR="00D022E6">
        <w:rPr>
          <w:lang w:val="en-IE"/>
        </w:rPr>
        <w:t>ontrol and reporting will be covered solely by national funding.</w:t>
      </w:r>
    </w:p>
  </w:footnote>
  <w:footnote w:id="42">
    <w:p w:rsidR="00F904EC" w:rsidRPr="00F904EC" w:rsidRDefault="00F904EC">
      <w:pPr>
        <w:pStyle w:val="FootnoteText"/>
        <w:rPr>
          <w:lang w:val="es-ES"/>
        </w:rPr>
      </w:pPr>
      <w:r>
        <w:rPr>
          <w:rStyle w:val="FootnoteReference"/>
        </w:rPr>
        <w:footnoteRef/>
      </w:r>
      <w:r>
        <w:rPr>
          <w:lang w:val="es-ES"/>
        </w:rPr>
        <w:tab/>
      </w:r>
      <w:r w:rsidRPr="00F904EC">
        <w:rPr>
          <w:i/>
          <w:iCs/>
          <w:lang w:val="es-ES"/>
        </w:rPr>
        <w:t>Consejería de Empleo, Comercio e Inmigración/Consellería de Emprego, Comercio e Emigración de la Xunta de Galicia</w:t>
      </w:r>
    </w:p>
  </w:footnote>
  <w:footnote w:id="43">
    <w:p w:rsidR="001A62D7" w:rsidRDefault="001A62D7" w:rsidP="001A62D7">
      <w:pPr>
        <w:pStyle w:val="FootnoteText"/>
        <w:rPr>
          <w:lang w:val="pl-PL"/>
        </w:rPr>
      </w:pPr>
      <w:r>
        <w:rPr>
          <w:rStyle w:val="FootnoteReference"/>
        </w:rPr>
        <w:footnoteRef/>
      </w:r>
      <w:r>
        <w:rPr>
          <w:lang w:val="pl-PL"/>
        </w:rPr>
        <w:tab/>
        <w:t>OJ L </w:t>
      </w:r>
      <w:r w:rsidRPr="0089670E">
        <w:rPr>
          <w:lang w:val="pl-PL"/>
        </w:rPr>
        <w:t>433</w:t>
      </w:r>
      <w:r>
        <w:rPr>
          <w:lang w:val="pl-PL"/>
        </w:rPr>
        <w:t xml:space="preserve"> I, 22.12.2020, p. 11</w:t>
      </w:r>
      <w:r w:rsidR="004F46E1">
        <w:rPr>
          <w:lang w:val="it-IT"/>
        </w:rPr>
        <w:t xml:space="preserve">, </w:t>
      </w:r>
      <w:r w:rsidR="004F46E1" w:rsidRPr="005B2FE9">
        <w:rPr>
          <w:lang w:val="pl-PL"/>
        </w:rPr>
        <w:t>ELI: http://data.europa.eu/eli/reg/2020/2093/oj</w:t>
      </w:r>
      <w:r>
        <w:rPr>
          <w:lang w:val="pl-PL"/>
        </w:rPr>
        <w:t>.</w:t>
      </w:r>
    </w:p>
  </w:footnote>
  <w:footnote w:id="44">
    <w:p w:rsidR="001A62D7" w:rsidRDefault="001A62D7" w:rsidP="001A62D7">
      <w:pPr>
        <w:pStyle w:val="FootnoteText"/>
        <w:rPr>
          <w:lang w:val="pl-PL"/>
        </w:rPr>
      </w:pPr>
      <w:r>
        <w:rPr>
          <w:rStyle w:val="FootnoteReference"/>
        </w:rPr>
        <w:footnoteRef/>
      </w:r>
      <w:r>
        <w:rPr>
          <w:lang w:val="pl-PL"/>
        </w:rPr>
        <w:tab/>
        <w:t>OJ L 433 I, 22.12.2020, p. 28</w:t>
      </w:r>
      <w:r w:rsidR="004F46E1">
        <w:rPr>
          <w:lang w:val="it-IT"/>
        </w:rPr>
        <w:t xml:space="preserve">, </w:t>
      </w:r>
      <w:r w:rsidR="004F46E1" w:rsidRPr="00751DE2">
        <w:rPr>
          <w:lang w:val="it-IT"/>
        </w:rPr>
        <w:t>ELI: http://data.europa.eu/eli/agree_interinstit/2020/1222/oj</w:t>
      </w:r>
      <w:r>
        <w:rPr>
          <w:lang w:val="pl-PL"/>
        </w:rPr>
        <w:t>.</w:t>
      </w:r>
    </w:p>
  </w:footnote>
  <w:footnote w:id="45">
    <w:p w:rsidR="001A62D7" w:rsidRPr="00E76684" w:rsidRDefault="001A62D7" w:rsidP="001A62D7">
      <w:pPr>
        <w:pStyle w:val="FootnoteText"/>
      </w:pPr>
      <w:r>
        <w:rPr>
          <w:rStyle w:val="FootnoteReference"/>
        </w:rPr>
        <w:footnoteRef/>
      </w:r>
      <w:r w:rsidRPr="00E76684">
        <w:tab/>
      </w:r>
      <w:r w:rsidRPr="00B54269">
        <w:t>Regulation (EU, Euratom) 2024/2509 of the European Parliament and of the Council of 23 September 2024 on the financial rules applicable to the general budget of the Union (recast), OJ L, 2024/2509, 26.9.2024</w:t>
      </w:r>
      <w:r w:rsidR="00C054F9">
        <w:t xml:space="preserve">, </w:t>
      </w:r>
      <w:r w:rsidR="00C054F9" w:rsidRPr="00C054F9">
        <w:t>ELI: http://data.europa.eu/eli/reg/2024/2509/oj</w:t>
      </w:r>
      <w:r w:rsidRPr="00B54269">
        <w:t>.</w:t>
      </w:r>
    </w:p>
  </w:footnote>
  <w:footnote w:id="46">
    <w:p w:rsidR="001A62D7" w:rsidRDefault="001A62D7" w:rsidP="001A62D7">
      <w:pPr>
        <w:pStyle w:val="FootnoteText"/>
        <w:rPr>
          <w:lang w:val="pl-PL"/>
        </w:rPr>
      </w:pPr>
      <w:r>
        <w:rPr>
          <w:rStyle w:val="FootnoteReference"/>
        </w:rPr>
        <w:footnoteRef/>
      </w:r>
      <w:r>
        <w:rPr>
          <w:lang w:val="pl-PL"/>
        </w:rPr>
        <w:tab/>
      </w:r>
      <w:r w:rsidRPr="00640DB0">
        <w:rPr>
          <w:lang w:val="pl-PL"/>
        </w:rPr>
        <w:t>OJ L 153, 3.5.2021, p. 48</w:t>
      </w:r>
      <w:r w:rsidR="004F46E1">
        <w:rPr>
          <w:lang w:val="pl-PL"/>
        </w:rPr>
        <w:t>,</w:t>
      </w:r>
      <w:r w:rsidR="004F46E1" w:rsidRPr="004768B8">
        <w:rPr>
          <w:sz w:val="24"/>
          <w:szCs w:val="22"/>
          <w:lang w:val="fi-FI"/>
        </w:rPr>
        <w:t xml:space="preserve"> </w:t>
      </w:r>
      <w:r w:rsidR="004F46E1" w:rsidRPr="0075062E">
        <w:rPr>
          <w:lang w:val="pl-PL"/>
        </w:rPr>
        <w:t>ELI: http://data.europa.eu/eli/reg/2021/691/oj</w:t>
      </w:r>
      <w:r w:rsidRPr="00640DB0">
        <w:rPr>
          <w:lang w:val="pl-PL"/>
        </w:rPr>
        <w:t>.</w:t>
      </w:r>
    </w:p>
  </w:footnote>
  <w:footnote w:id="47">
    <w:p w:rsidR="001A62D7" w:rsidRPr="00DE674B" w:rsidRDefault="001A62D7" w:rsidP="001A62D7">
      <w:pPr>
        <w:pStyle w:val="FootnoteText"/>
        <w:rPr>
          <w:lang w:val="it-IT"/>
        </w:rPr>
      </w:pPr>
      <w:r>
        <w:rPr>
          <w:rStyle w:val="FootnoteReference"/>
        </w:rPr>
        <w:footnoteRef/>
      </w:r>
      <w:r w:rsidRPr="00DE674B">
        <w:rPr>
          <w:lang w:val="it-IT"/>
        </w:rPr>
        <w:tab/>
        <w:t>OJ L 433 I, 22.12.2020, p. 28</w:t>
      </w:r>
      <w:r w:rsidR="004F46E1">
        <w:rPr>
          <w:lang w:val="it-IT"/>
        </w:rPr>
        <w:t xml:space="preserve">, </w:t>
      </w:r>
      <w:r w:rsidR="004F46E1" w:rsidRPr="00751DE2">
        <w:rPr>
          <w:lang w:val="it-IT"/>
        </w:rPr>
        <w:t>ELI: http://data.europa.eu/eli/agree_interinstit/2020/1222/oj</w:t>
      </w:r>
      <w:r w:rsidR="004F46E1">
        <w:rPr>
          <w:lang w:val="it-IT"/>
        </w:rPr>
        <w:t>.</w:t>
      </w:r>
    </w:p>
  </w:footnote>
  <w:footnote w:id="48">
    <w:p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r w:rsidR="004F46E1">
        <w:rPr>
          <w:lang w:val="pl-PL"/>
        </w:rPr>
        <w:t xml:space="preserve">, </w:t>
      </w:r>
      <w:r w:rsidR="004F46E1" w:rsidRPr="005B2FE9">
        <w:rPr>
          <w:lang w:val="pl-PL"/>
        </w:rPr>
        <w:t>ELI: http://data.europa.eu/eli/reg/2020/2093/oj</w:t>
      </w:r>
      <w:r>
        <w:rPr>
          <w:lang w:val="pl-PL"/>
        </w:rPr>
        <w:t>).</w:t>
      </w:r>
    </w:p>
  </w:footnote>
  <w:footnote w:id="49">
    <w:p w:rsidR="001A62D7" w:rsidRPr="005F0673" w:rsidRDefault="001A62D7" w:rsidP="001A62D7">
      <w:pPr>
        <w:pStyle w:val="FootnoteText"/>
      </w:pPr>
      <w:r>
        <w:rPr>
          <w:rStyle w:val="FootnoteReference"/>
        </w:rPr>
        <w:footnoteRef/>
      </w:r>
      <w:r w:rsidRPr="005F0673">
        <w:tab/>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w:t>
      </w:r>
    </w:p>
  </w:footnote>
  <w:footnote w:id="50">
    <w:p w:rsidR="001A62D7" w:rsidRPr="001D4700" w:rsidRDefault="001A62D7" w:rsidP="001A62D7">
      <w:pPr>
        <w:pStyle w:val="FootnoteText"/>
        <w:rPr>
          <w:color w:val="FF0000"/>
        </w:rPr>
      </w:pPr>
      <w:r>
        <w:rPr>
          <w:rStyle w:val="FootnoteReference"/>
        </w:rPr>
        <w:footnoteRef/>
      </w:r>
      <w:r w:rsidRPr="002308DE">
        <w:tab/>
      </w:r>
      <w:r w:rsidRPr="00EB3A3D">
        <w:t xml:space="preserve"> </w:t>
      </w:r>
      <w:r>
        <w:t>Commission Delegated Regulation 2019/1755 of 8 August 2019 amending the Annexes to Regulation (EC) No 1059/2003 of the European Parliament and of the Council on the establishment of a common classification of territorial units for statistics (NUTS). OJ L 270, 24.10.2019, p. 1–56.</w:t>
      </w:r>
    </w:p>
  </w:footnote>
  <w:footnote w:id="51">
    <w:p w:rsidR="001A62D7" w:rsidRPr="0097092E" w:rsidRDefault="001A62D7" w:rsidP="001A62D7">
      <w:pPr>
        <w:pStyle w:val="FootnoteText"/>
      </w:pPr>
      <w:r>
        <w:rPr>
          <w:rStyle w:val="FootnoteReference"/>
        </w:rPr>
        <w:footnoteRef/>
      </w:r>
      <w:r w:rsidRPr="0097092E">
        <w:rPr>
          <w:lang w:val="en-IE"/>
        </w:rPr>
        <w:tab/>
      </w:r>
      <w:r w:rsidR="009E7442">
        <w:rPr>
          <w:lang w:val="en-IE"/>
        </w:rPr>
        <w:t>COM(2026) 170</w:t>
      </w:r>
    </w:p>
  </w:footnote>
  <w:footnote w:id="52">
    <w:p w:rsidR="00281AE4" w:rsidRPr="00281AE4" w:rsidRDefault="00281AE4">
      <w:pPr>
        <w:pStyle w:val="FootnoteText"/>
        <w:rPr>
          <w:lang w:val="en-IE"/>
        </w:rPr>
      </w:pPr>
      <w:r>
        <w:rPr>
          <w:rStyle w:val="FootnoteReference"/>
        </w:rPr>
        <w:t>*</w:t>
      </w:r>
      <w:r>
        <w:tab/>
      </w:r>
      <w:r w:rsidRPr="00855ED0">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7C" w:rsidRDefault="009D5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B7C" w:rsidRDefault="009D5B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num>
  <w:num w:numId="20">
    <w:abstractNumId w:val="12"/>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3 20:14: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ABF2806-BEE1-497B-9EF9-7A6B8A938FC0"/>
    <w:docVar w:name="LW_COVERPAGE_TYPE" w:val="1"/>
    <w:docVar w:name="LW_CreatedUtc" w:val="2025-02-03T12:09:04.7855178Z"/>
    <w:docVar w:name="LW_CROSSREFERENCE" w:val="&lt;UNUSED&gt;"/>
    <w:docVar w:name="LW_DocType" w:val="COM"/>
    <w:docVar w:name="LW_EMISSION" w:val="16.7.2026"/>
    <w:docVar w:name="LW_EMISSION_ISODATE" w:val="2026-07-16"/>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195"/>
    <w:docVar w:name="LW_REF.II.NEW.CP_YEAR" w:val="2026"/>
    <w:docVar w:name="LW_REF.INST.NEW" w:val="COM"/>
    <w:docVar w:name="LW_REF.INST.NEW_ADOPTED" w:val="final"/>
    <w:docVar w:name="LW_REF.INST.NEW_TEXT" w:val="(2026) 1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Spain \u8211? EGF/2026/002 ES/Galicia automotive ancillary"/>
    <w:docVar w:name="LW_TYPE.DOC.CP" w:val="DECISION OF THE EUROPEAN PARLIAMENT AND OF THE COUNCIL"/>
    <w:docVar w:name="LwApiVersions" w:val="LW4CoDe 1.24.5.0; LW 9.2, Build 20251112"/>
  </w:docVars>
  <w:rsids>
    <w:rsidRoot w:val="001A62D7"/>
    <w:rsid w:val="00003509"/>
    <w:rsid w:val="000171AE"/>
    <w:rsid w:val="00026A17"/>
    <w:rsid w:val="000435E7"/>
    <w:rsid w:val="00044450"/>
    <w:rsid w:val="00044BB1"/>
    <w:rsid w:val="00064B2C"/>
    <w:rsid w:val="000918D5"/>
    <w:rsid w:val="000956A7"/>
    <w:rsid w:val="000966A5"/>
    <w:rsid w:val="000A411E"/>
    <w:rsid w:val="000B43AC"/>
    <w:rsid w:val="000C62BC"/>
    <w:rsid w:val="000D7DB9"/>
    <w:rsid w:val="000E54A7"/>
    <w:rsid w:val="000E796A"/>
    <w:rsid w:val="000E7D45"/>
    <w:rsid w:val="000F24B9"/>
    <w:rsid w:val="000F29F2"/>
    <w:rsid w:val="001065F5"/>
    <w:rsid w:val="001238EF"/>
    <w:rsid w:val="0013736E"/>
    <w:rsid w:val="00145AB1"/>
    <w:rsid w:val="00145F53"/>
    <w:rsid w:val="00161D77"/>
    <w:rsid w:val="00165D5F"/>
    <w:rsid w:val="0018250E"/>
    <w:rsid w:val="001933D0"/>
    <w:rsid w:val="0019593B"/>
    <w:rsid w:val="00196B92"/>
    <w:rsid w:val="00197613"/>
    <w:rsid w:val="001A29C6"/>
    <w:rsid w:val="001A62D7"/>
    <w:rsid w:val="001B498D"/>
    <w:rsid w:val="001B747A"/>
    <w:rsid w:val="001B7E21"/>
    <w:rsid w:val="001C58A8"/>
    <w:rsid w:val="001D3672"/>
    <w:rsid w:val="001E79C8"/>
    <w:rsid w:val="001F1BF2"/>
    <w:rsid w:val="00203BFD"/>
    <w:rsid w:val="00207E64"/>
    <w:rsid w:val="0022114D"/>
    <w:rsid w:val="00226C7F"/>
    <w:rsid w:val="00233DC7"/>
    <w:rsid w:val="00241826"/>
    <w:rsid w:val="00247779"/>
    <w:rsid w:val="00255E4E"/>
    <w:rsid w:val="00265183"/>
    <w:rsid w:val="00265BB3"/>
    <w:rsid w:val="00271F18"/>
    <w:rsid w:val="00281AE4"/>
    <w:rsid w:val="0028567E"/>
    <w:rsid w:val="00285BEE"/>
    <w:rsid w:val="00285C0D"/>
    <w:rsid w:val="00287EEB"/>
    <w:rsid w:val="002910D1"/>
    <w:rsid w:val="0029533F"/>
    <w:rsid w:val="002A70E5"/>
    <w:rsid w:val="002B30AF"/>
    <w:rsid w:val="002C667E"/>
    <w:rsid w:val="002C701E"/>
    <w:rsid w:val="002D0016"/>
    <w:rsid w:val="002E1225"/>
    <w:rsid w:val="002E5EA1"/>
    <w:rsid w:val="002F0F09"/>
    <w:rsid w:val="00300687"/>
    <w:rsid w:val="0030399C"/>
    <w:rsid w:val="00305268"/>
    <w:rsid w:val="003171CA"/>
    <w:rsid w:val="0033344A"/>
    <w:rsid w:val="00336E9F"/>
    <w:rsid w:val="003421FC"/>
    <w:rsid w:val="00342DED"/>
    <w:rsid w:val="00343140"/>
    <w:rsid w:val="003812AA"/>
    <w:rsid w:val="003857D9"/>
    <w:rsid w:val="00385F14"/>
    <w:rsid w:val="0039521F"/>
    <w:rsid w:val="00396DAC"/>
    <w:rsid w:val="003979B1"/>
    <w:rsid w:val="003C39C4"/>
    <w:rsid w:val="003D3D6D"/>
    <w:rsid w:val="003E7F16"/>
    <w:rsid w:val="004032AD"/>
    <w:rsid w:val="00406EB1"/>
    <w:rsid w:val="00416DCB"/>
    <w:rsid w:val="0042221A"/>
    <w:rsid w:val="00423495"/>
    <w:rsid w:val="0042648E"/>
    <w:rsid w:val="00433EDC"/>
    <w:rsid w:val="004671F0"/>
    <w:rsid w:val="00485013"/>
    <w:rsid w:val="004924A8"/>
    <w:rsid w:val="004936D2"/>
    <w:rsid w:val="004A0B30"/>
    <w:rsid w:val="004A34B9"/>
    <w:rsid w:val="004B1226"/>
    <w:rsid w:val="004C314A"/>
    <w:rsid w:val="004D3EAA"/>
    <w:rsid w:val="004D790E"/>
    <w:rsid w:val="004F46E1"/>
    <w:rsid w:val="004F5368"/>
    <w:rsid w:val="004F5528"/>
    <w:rsid w:val="00503F72"/>
    <w:rsid w:val="00507F26"/>
    <w:rsid w:val="00520071"/>
    <w:rsid w:val="005206E6"/>
    <w:rsid w:val="005253A6"/>
    <w:rsid w:val="0052597B"/>
    <w:rsid w:val="00532962"/>
    <w:rsid w:val="00553ECB"/>
    <w:rsid w:val="00571BFE"/>
    <w:rsid w:val="00574487"/>
    <w:rsid w:val="00575749"/>
    <w:rsid w:val="00595936"/>
    <w:rsid w:val="00595DB2"/>
    <w:rsid w:val="005B1EB6"/>
    <w:rsid w:val="005B5E5A"/>
    <w:rsid w:val="005C2B1D"/>
    <w:rsid w:val="005C4C7E"/>
    <w:rsid w:val="005C65D7"/>
    <w:rsid w:val="005D0D5D"/>
    <w:rsid w:val="005D4FD4"/>
    <w:rsid w:val="005E047F"/>
    <w:rsid w:val="005E60E3"/>
    <w:rsid w:val="005F335F"/>
    <w:rsid w:val="00605200"/>
    <w:rsid w:val="00605A1A"/>
    <w:rsid w:val="006070D2"/>
    <w:rsid w:val="00612753"/>
    <w:rsid w:val="00645CDB"/>
    <w:rsid w:val="006515A2"/>
    <w:rsid w:val="006610FB"/>
    <w:rsid w:val="00664BC5"/>
    <w:rsid w:val="00674268"/>
    <w:rsid w:val="00674A76"/>
    <w:rsid w:val="006771CD"/>
    <w:rsid w:val="00682245"/>
    <w:rsid w:val="0069046D"/>
    <w:rsid w:val="00695D63"/>
    <w:rsid w:val="006B5FAA"/>
    <w:rsid w:val="006E5A91"/>
    <w:rsid w:val="006F2B4D"/>
    <w:rsid w:val="0070290B"/>
    <w:rsid w:val="00715D6D"/>
    <w:rsid w:val="00731183"/>
    <w:rsid w:val="00731699"/>
    <w:rsid w:val="00737516"/>
    <w:rsid w:val="0075181C"/>
    <w:rsid w:val="00757A1E"/>
    <w:rsid w:val="00771F6F"/>
    <w:rsid w:val="00773331"/>
    <w:rsid w:val="00791ECB"/>
    <w:rsid w:val="007932EF"/>
    <w:rsid w:val="007A0C2F"/>
    <w:rsid w:val="007B3690"/>
    <w:rsid w:val="007C0AB0"/>
    <w:rsid w:val="007C116C"/>
    <w:rsid w:val="007C1A81"/>
    <w:rsid w:val="007C6DFE"/>
    <w:rsid w:val="007D45EC"/>
    <w:rsid w:val="007E05B0"/>
    <w:rsid w:val="007E05D9"/>
    <w:rsid w:val="007E153F"/>
    <w:rsid w:val="007E4E97"/>
    <w:rsid w:val="007F6054"/>
    <w:rsid w:val="00825F24"/>
    <w:rsid w:val="00832804"/>
    <w:rsid w:val="00840121"/>
    <w:rsid w:val="00842DE2"/>
    <w:rsid w:val="00846B3D"/>
    <w:rsid w:val="00861418"/>
    <w:rsid w:val="00872D17"/>
    <w:rsid w:val="00874D22"/>
    <w:rsid w:val="00886D8F"/>
    <w:rsid w:val="008958F2"/>
    <w:rsid w:val="008A2914"/>
    <w:rsid w:val="008D0904"/>
    <w:rsid w:val="008D1B07"/>
    <w:rsid w:val="008D2433"/>
    <w:rsid w:val="008D2CB8"/>
    <w:rsid w:val="008E0A34"/>
    <w:rsid w:val="008E4D8E"/>
    <w:rsid w:val="008F1D16"/>
    <w:rsid w:val="00937874"/>
    <w:rsid w:val="0094105D"/>
    <w:rsid w:val="00943BE5"/>
    <w:rsid w:val="009739AC"/>
    <w:rsid w:val="0097588C"/>
    <w:rsid w:val="009805F3"/>
    <w:rsid w:val="00983E8B"/>
    <w:rsid w:val="00985D0A"/>
    <w:rsid w:val="00987B82"/>
    <w:rsid w:val="009914DD"/>
    <w:rsid w:val="009942B8"/>
    <w:rsid w:val="009A3072"/>
    <w:rsid w:val="009A476A"/>
    <w:rsid w:val="009A5688"/>
    <w:rsid w:val="009B4078"/>
    <w:rsid w:val="009B4854"/>
    <w:rsid w:val="009C1C6F"/>
    <w:rsid w:val="009C2E1D"/>
    <w:rsid w:val="009D1220"/>
    <w:rsid w:val="009D5B7C"/>
    <w:rsid w:val="009E7442"/>
    <w:rsid w:val="009F2938"/>
    <w:rsid w:val="00A02E1B"/>
    <w:rsid w:val="00A10F73"/>
    <w:rsid w:val="00A13970"/>
    <w:rsid w:val="00A409C1"/>
    <w:rsid w:val="00A42E41"/>
    <w:rsid w:val="00A5644D"/>
    <w:rsid w:val="00A748C9"/>
    <w:rsid w:val="00A75BE8"/>
    <w:rsid w:val="00A90BE2"/>
    <w:rsid w:val="00AC4D05"/>
    <w:rsid w:val="00AE477E"/>
    <w:rsid w:val="00AE5452"/>
    <w:rsid w:val="00AE6E50"/>
    <w:rsid w:val="00AE7D04"/>
    <w:rsid w:val="00AF6CDB"/>
    <w:rsid w:val="00B0078F"/>
    <w:rsid w:val="00B0477A"/>
    <w:rsid w:val="00B0540A"/>
    <w:rsid w:val="00B10303"/>
    <w:rsid w:val="00B12D62"/>
    <w:rsid w:val="00B1308F"/>
    <w:rsid w:val="00B2207B"/>
    <w:rsid w:val="00B404B7"/>
    <w:rsid w:val="00B5092E"/>
    <w:rsid w:val="00B52E6D"/>
    <w:rsid w:val="00B617B4"/>
    <w:rsid w:val="00B85464"/>
    <w:rsid w:val="00B93B0D"/>
    <w:rsid w:val="00BA399F"/>
    <w:rsid w:val="00BC23D3"/>
    <w:rsid w:val="00BC7DB9"/>
    <w:rsid w:val="00BE41E5"/>
    <w:rsid w:val="00BF33E4"/>
    <w:rsid w:val="00C054F9"/>
    <w:rsid w:val="00C0608D"/>
    <w:rsid w:val="00C12301"/>
    <w:rsid w:val="00C2027B"/>
    <w:rsid w:val="00C2079B"/>
    <w:rsid w:val="00C22B7B"/>
    <w:rsid w:val="00C22CCB"/>
    <w:rsid w:val="00C239B8"/>
    <w:rsid w:val="00C55B43"/>
    <w:rsid w:val="00C56E66"/>
    <w:rsid w:val="00C60083"/>
    <w:rsid w:val="00C6666D"/>
    <w:rsid w:val="00C964F4"/>
    <w:rsid w:val="00CA7EE1"/>
    <w:rsid w:val="00CC0130"/>
    <w:rsid w:val="00CC52A1"/>
    <w:rsid w:val="00D01C6B"/>
    <w:rsid w:val="00D022E6"/>
    <w:rsid w:val="00D068C3"/>
    <w:rsid w:val="00D163F9"/>
    <w:rsid w:val="00D16AC5"/>
    <w:rsid w:val="00D20381"/>
    <w:rsid w:val="00D4408D"/>
    <w:rsid w:val="00D51A37"/>
    <w:rsid w:val="00D54F1D"/>
    <w:rsid w:val="00D574B1"/>
    <w:rsid w:val="00D76287"/>
    <w:rsid w:val="00D83013"/>
    <w:rsid w:val="00DA5166"/>
    <w:rsid w:val="00DA75BD"/>
    <w:rsid w:val="00DB077F"/>
    <w:rsid w:val="00DB409E"/>
    <w:rsid w:val="00DD32A0"/>
    <w:rsid w:val="00DE674B"/>
    <w:rsid w:val="00E1163B"/>
    <w:rsid w:val="00E2441E"/>
    <w:rsid w:val="00E346FB"/>
    <w:rsid w:val="00E468DA"/>
    <w:rsid w:val="00E54A23"/>
    <w:rsid w:val="00E72773"/>
    <w:rsid w:val="00E77E1C"/>
    <w:rsid w:val="00E948B7"/>
    <w:rsid w:val="00EA15A9"/>
    <w:rsid w:val="00EA1B38"/>
    <w:rsid w:val="00EB02F0"/>
    <w:rsid w:val="00EB1AE5"/>
    <w:rsid w:val="00EB2471"/>
    <w:rsid w:val="00EB443A"/>
    <w:rsid w:val="00EB4D9B"/>
    <w:rsid w:val="00EB7E74"/>
    <w:rsid w:val="00EC1FFE"/>
    <w:rsid w:val="00EC21F6"/>
    <w:rsid w:val="00EC4DA7"/>
    <w:rsid w:val="00ED4A5B"/>
    <w:rsid w:val="00EE0097"/>
    <w:rsid w:val="00EE4EA9"/>
    <w:rsid w:val="00EE5249"/>
    <w:rsid w:val="00EF01DB"/>
    <w:rsid w:val="00F04468"/>
    <w:rsid w:val="00F211CD"/>
    <w:rsid w:val="00F61BC9"/>
    <w:rsid w:val="00F76B79"/>
    <w:rsid w:val="00F87A6D"/>
    <w:rsid w:val="00F87FDE"/>
    <w:rsid w:val="00F904EC"/>
    <w:rsid w:val="00F956D3"/>
    <w:rsid w:val="00FA4162"/>
    <w:rsid w:val="00FA5322"/>
    <w:rsid w:val="00FB1E28"/>
    <w:rsid w:val="00FC38F8"/>
    <w:rsid w:val="00FC5264"/>
    <w:rsid w:val="00FC6C00"/>
    <w:rsid w:val="00FD69F5"/>
    <w:rsid w:val="00FF0E8A"/>
    <w:rsid w:val="00FF6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uiPriority w:val="99"/>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9D5B7C"/>
    <w:rPr>
      <w:rFonts w:ascii="Times New Roman" w:hAnsi="Times New Roman" w:cs="Times New Roman"/>
      <w:sz w:val="24"/>
      <w:lang w:val="en-GB"/>
    </w:rPr>
  </w:style>
  <w:style w:type="character" w:customStyle="1" w:styleId="FooterChar">
    <w:name w:val="Footer Char"/>
    <w:basedOn w:val="DefaultParagraphFont"/>
    <w:link w:val="Footer"/>
    <w:uiPriority w:val="99"/>
    <w:rsid w:val="009D5B7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D5B7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D5B7C"/>
    <w:pPr>
      <w:spacing w:before="0"/>
      <w:jc w:val="right"/>
    </w:pPr>
    <w:rPr>
      <w:sz w:val="28"/>
    </w:rPr>
  </w:style>
  <w:style w:type="paragraph" w:customStyle="1" w:styleId="FooterSensitivity">
    <w:name w:val="Footer Sensitivity"/>
    <w:basedOn w:val="Normal"/>
    <w:rsid w:val="009D5B7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D5B7C"/>
    <w:pPr>
      <w:tabs>
        <w:tab w:val="center" w:pos="4535"/>
        <w:tab w:val="right" w:pos="9071"/>
      </w:tabs>
      <w:spacing w:before="0"/>
    </w:pPr>
  </w:style>
  <w:style w:type="paragraph" w:customStyle="1" w:styleId="HeaderLandscape">
    <w:name w:val="HeaderLandscape"/>
    <w:basedOn w:val="Normal"/>
    <w:rsid w:val="009D5B7C"/>
    <w:pPr>
      <w:tabs>
        <w:tab w:val="center" w:pos="7285"/>
        <w:tab w:val="right" w:pos="14003"/>
      </w:tabs>
      <w:spacing w:before="0"/>
    </w:pPr>
  </w:style>
  <w:style w:type="paragraph" w:styleId="Footer">
    <w:name w:val="footer"/>
    <w:basedOn w:val="Normal"/>
    <w:link w:val="FooterChar"/>
    <w:uiPriority w:val="99"/>
    <w:unhideWhenUsed/>
    <w:rsid w:val="009D5B7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D5B7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ine.es/prensa/epa_tabla.htm" TargetMode="External"/><Relationship Id="rId3" Type="http://schemas.openxmlformats.org/officeDocument/2006/relationships/hyperlink" Target="https://www.oliverwyman.com/content/dam/oliver-wyman/v2/publications/2025/apr/labor-cost-per-vehicle-report.pdf" TargetMode="External"/><Relationship Id="rId7" Type="http://schemas.openxmlformats.org/officeDocument/2006/relationships/hyperlink" Target="https://ec.europa.eu/eurostat/web/products-euro-indicators/w/3-04032026-ap" TargetMode="External"/><Relationship Id="rId12" Type="http://schemas.openxmlformats.org/officeDocument/2006/relationships/hyperlink" Target="https://www.xunta.gal/documents/35297/43285/pd-automocion-cas.pdf?version=1.0" TargetMode="External"/><Relationship Id="rId2" Type="http://schemas.openxmlformats.org/officeDocument/2006/relationships/hyperlink" Target="https://www.sernauto.es/sala-de-prensa/noticias/la-facturacion-de-los-proveedores-de-automocion-se-mantiene-por-encima-de-los-41000-millones-de-euros-en-un-contexto-de-desaceleracion" TargetMode="External"/><Relationship Id="rId1" Type="http://schemas.openxmlformats.org/officeDocument/2006/relationships/hyperlink" Target="https://www.sernauto.es/en/sala-de-prensa/noticias/la-junta-directiva-de-sernauto-rebaja-sus-previsiones-de-facturacion-para-2025" TargetMode="External"/><Relationship Id="rId6" Type="http://schemas.openxmlformats.org/officeDocument/2006/relationships/hyperlink" Target="https://www.ine.es/jaxiT3/Tabla.htm?t=65334" TargetMode="External"/><Relationship Id="rId11" Type="http://schemas.openxmlformats.org/officeDocument/2006/relationships/hyperlink" Target="https://ec.europa.eu/eurostat/statistics-explained/index.php?title=Employment_-_annual_statistics" TargetMode="External"/><Relationship Id="rId5" Type="http://schemas.openxmlformats.org/officeDocument/2006/relationships/hyperlink" Target="https://www.fbbva.es/noticias/industria-manufacturera-pierde-empleo-aportacion-renta-espanola/" TargetMode="External"/><Relationship Id="rId10" Type="http://schemas.openxmlformats.org/officeDocument/2006/relationships/hyperlink" Target="https://www.ige.gal/igebdt/principais.jsp?COD=6363&amp;R=3%5ball%5d&amp;C=T%5b1:last%5d;1%5ball%5d&amp;F=2:0&amp;S=998:12" TargetMode="External"/><Relationship Id="rId4" Type="http://schemas.openxmlformats.org/officeDocument/2006/relationships/hyperlink" Target="https://www.xunta.gal/es/notas-de-prensa/-/nova/021985/empleo-industrial-bate-records-galicia-con-192-300-personas-ocupadas-crecimiento" TargetMode="External"/><Relationship Id="rId9" Type="http://schemas.openxmlformats.org/officeDocument/2006/relationships/hyperlink" Target="https://datosmacro.expansion.com/paro/espana/municipios/galicia/pontevedr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B6229-828E-4237-8166-9D0F55C6F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9</Pages>
  <Words>4087</Words>
  <Characters>23300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2026-07-03T10:51:00Z</dcterms:created>
  <dcterms:modified xsi:type="dcterms:W3CDTF">2026-07-13T18:14:00Z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