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5F0D45" w:rsidRDefault="00BD4025" w:rsidP="00BD402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E829FB5-60A4-485B-A33A-638639DE7148" style="width:455.25pt;height:357.75pt">
            <v:imagedata r:id="rId8" o:title=""/>
          </v:shape>
        </w:pict>
      </w:r>
    </w:p>
    <w:p w:rsidR="001A62D7" w:rsidRPr="005F0D45" w:rsidRDefault="001A62D7" w:rsidP="001A62D7">
      <w:pPr>
        <w:rPr>
          <w:noProof/>
        </w:rPr>
        <w:sectPr w:rsidR="001A62D7" w:rsidRPr="005F0D45" w:rsidSect="00BD4025">
          <w:footerReference w:type="even" r:id="rId9"/>
          <w:footerReference w:type="default" r:id="rId10"/>
          <w:pgSz w:w="11907" w:h="16839"/>
          <w:pgMar w:top="1134" w:right="1417" w:bottom="1134" w:left="1417" w:header="709" w:footer="709" w:gutter="0"/>
          <w:pgNumType w:start="0"/>
          <w:cols w:space="720"/>
          <w:docGrid w:linePitch="360"/>
        </w:sectPr>
      </w:pPr>
    </w:p>
    <w:p w:rsidR="001A62D7" w:rsidRPr="005F0D45" w:rsidRDefault="001A62D7" w:rsidP="001A62D7">
      <w:pPr>
        <w:pStyle w:val="Exposdesmotifstitre"/>
        <w:rPr>
          <w:noProof/>
        </w:rPr>
      </w:pPr>
      <w:bookmarkStart w:id="0" w:name="_GoBack"/>
      <w:bookmarkEnd w:id="0"/>
      <w:r w:rsidRPr="005F0D45">
        <w:rPr>
          <w:noProof/>
        </w:rPr>
        <w:lastRenderedPageBreak/>
        <w:t>EXPOSÉ DES MOTIFS</w:t>
      </w:r>
    </w:p>
    <w:p w:rsidR="001A62D7" w:rsidRPr="005F0D45" w:rsidRDefault="001A62D7" w:rsidP="001A62D7">
      <w:pPr>
        <w:pStyle w:val="ManualHeading1"/>
        <w:rPr>
          <w:noProof/>
        </w:rPr>
      </w:pPr>
      <w:r w:rsidRPr="005F0D45">
        <w:rPr>
          <w:noProof/>
        </w:rPr>
        <w:t>CONTEXTE DE LA PROPOSITION</w:t>
      </w:r>
    </w:p>
    <w:p w:rsidR="001A62D7" w:rsidRPr="005F0D45" w:rsidRDefault="001A62D7" w:rsidP="00AE7D04">
      <w:pPr>
        <w:pStyle w:val="ManualNumPar1"/>
        <w:rPr>
          <w:noProof/>
        </w:rPr>
      </w:pPr>
      <w:r>
        <w:rPr>
          <w:noProof/>
        </w:rPr>
        <w:t>1.</w:t>
      </w:r>
      <w:r>
        <w:rPr>
          <w:noProof/>
        </w:rPr>
        <w:tab/>
      </w:r>
      <w:r w:rsidRPr="005F0D45">
        <w:rPr>
          <w:noProof/>
        </w:rPr>
        <w:t>Les règles régissant les contributions financières du Fonds européen d’ajustement à la mondialisation en faveur des travailleurs licenciés (FEM) sont définies dans le règlement (UE) 2021/691 du Parlement européen et du Conseil du 28 avril 2021 relatif au Fonds européen d’ajustement à la mondialisation en faveur des travailleurs licenciés (FEM) et abrogeant le règlement (UE) nº 1309/2013</w:t>
      </w:r>
      <w:r w:rsidRPr="005F0D45">
        <w:rPr>
          <w:rStyle w:val="FootnoteReference"/>
          <w:noProof/>
        </w:rPr>
        <w:footnoteReference w:id="1"/>
      </w:r>
      <w:r w:rsidRPr="005F0D45">
        <w:rPr>
          <w:noProof/>
        </w:rPr>
        <w:t>.</w:t>
      </w:r>
    </w:p>
    <w:p w:rsidR="001A62D7" w:rsidRPr="005F0D45" w:rsidRDefault="001A62D7" w:rsidP="00AE7D04">
      <w:pPr>
        <w:pStyle w:val="ManualNumPar1"/>
        <w:rPr>
          <w:noProof/>
        </w:rPr>
      </w:pPr>
      <w:r>
        <w:rPr>
          <w:noProof/>
        </w:rPr>
        <w:t>2.</w:t>
      </w:r>
      <w:r>
        <w:rPr>
          <w:noProof/>
        </w:rPr>
        <w:tab/>
      </w:r>
      <w:r w:rsidRPr="005F0D45">
        <w:rPr>
          <w:noProof/>
        </w:rPr>
        <w:t>Le 7 avril 2026, l’Espagne a introduit la demande EGF/</w:t>
      </w:r>
      <w:bookmarkStart w:id="1" w:name="EGF_Ref_Year"/>
      <w:r w:rsidRPr="005F0D45">
        <w:rPr>
          <w:noProof/>
        </w:rPr>
        <w:t>2026</w:t>
      </w:r>
      <w:bookmarkEnd w:id="1"/>
      <w:r w:rsidRPr="005F0D45">
        <w:rPr>
          <w:noProof/>
        </w:rPr>
        <w:t>/</w:t>
      </w:r>
      <w:bookmarkStart w:id="2" w:name="EGF_Ref_CaseNumber"/>
      <w:r w:rsidRPr="005F0D45">
        <w:rPr>
          <w:noProof/>
        </w:rPr>
        <w:t>002</w:t>
      </w:r>
      <w:bookmarkEnd w:id="2"/>
      <w:r w:rsidRPr="005F0D45">
        <w:rPr>
          <w:noProof/>
        </w:rPr>
        <w:t xml:space="preserve"> </w:t>
      </w:r>
      <w:bookmarkStart w:id="3" w:name="MS_Code"/>
      <w:r w:rsidRPr="005F0D45">
        <w:rPr>
          <w:noProof/>
        </w:rPr>
        <w:t>ES</w:t>
      </w:r>
      <w:bookmarkEnd w:id="3"/>
      <w:r w:rsidRPr="005F0D45">
        <w:rPr>
          <w:noProof/>
        </w:rPr>
        <w:t>/</w:t>
      </w:r>
      <w:bookmarkStart w:id="4" w:name="EGF_Ref_CaseName"/>
      <w:r w:rsidRPr="005F0D45">
        <w:rPr>
          <w:noProof/>
        </w:rPr>
        <w:t>Galicia automotive ancillary</w:t>
      </w:r>
      <w:bookmarkEnd w:id="4"/>
      <w:r w:rsidRPr="005F0D45">
        <w:rPr>
          <w:noProof/>
        </w:rPr>
        <w:t xml:space="preserve"> en vue d’obtenir une contribution financière du FEM, à la suite de licenciements dans le secteur des équipementiers automobiles (qui comprend les secteurs d’activité économique relevant des divisions de la NACE Rév. 2 énumérées dans la synthèse de la demande ci-dessous), dans la région de niveau NUTS 2 de Galice (ES11), en </w:t>
      </w:r>
      <w:bookmarkStart w:id="5" w:name="MS_Name"/>
      <w:r w:rsidRPr="005F0D45">
        <w:rPr>
          <w:noProof/>
        </w:rPr>
        <w:t>Espagne</w:t>
      </w:r>
      <w:bookmarkEnd w:id="5"/>
      <w:r w:rsidRPr="005F0D45">
        <w:rPr>
          <w:noProof/>
        </w:rPr>
        <w:t>.</w:t>
      </w:r>
    </w:p>
    <w:p w:rsidR="001A62D7" w:rsidRPr="005F0D45" w:rsidRDefault="001A62D7" w:rsidP="00AE7D04">
      <w:pPr>
        <w:pStyle w:val="ManualNumPar1"/>
        <w:rPr>
          <w:noProof/>
        </w:rPr>
      </w:pPr>
      <w:r>
        <w:rPr>
          <w:noProof/>
        </w:rPr>
        <w:t>3.</w:t>
      </w:r>
      <w:r>
        <w:rPr>
          <w:noProof/>
        </w:rPr>
        <w:tab/>
      </w:r>
      <w:r w:rsidRPr="005F0D45">
        <w:rPr>
          <w:noProof/>
        </w:rPr>
        <w:t xml:space="preserve">Au terme de l’évaluation de cette demande, la Commission a conclu, conformément à l’ensemble des dispositions applicables du règlement (UE) 2021/691, que les conditions d’octroi d’une contribution financière au titre du FEM sont remplies. </w:t>
      </w:r>
    </w:p>
    <w:p w:rsidR="001A62D7" w:rsidRPr="005F0D45" w:rsidRDefault="001A62D7" w:rsidP="001A62D7">
      <w:pPr>
        <w:pStyle w:val="ManualHeading1"/>
        <w:rPr>
          <w:noProof/>
        </w:rPr>
      </w:pPr>
      <w:r w:rsidRPr="005F0D45">
        <w:rPr>
          <w:noProof/>
        </w:rPr>
        <w:t>SYNTHÈSE DE LA DEMANDE</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5F0D45" w:rsidTr="001D5990">
        <w:tc>
          <w:tcPr>
            <w:tcW w:w="4908" w:type="dxa"/>
          </w:tcPr>
          <w:p w:rsidR="001A62D7" w:rsidRPr="005F0D45" w:rsidRDefault="001A62D7" w:rsidP="001D5990">
            <w:pPr>
              <w:spacing w:before="60" w:after="60"/>
              <w:jc w:val="left"/>
              <w:rPr>
                <w:rFonts w:eastAsia="Calibri"/>
                <w:noProof/>
              </w:rPr>
            </w:pPr>
            <w:r w:rsidRPr="005F0D45">
              <w:rPr>
                <w:noProof/>
              </w:rPr>
              <w:t>Numéro de la demande FEM</w:t>
            </w:r>
          </w:p>
        </w:tc>
        <w:tc>
          <w:tcPr>
            <w:tcW w:w="4379" w:type="dxa"/>
          </w:tcPr>
          <w:p w:rsidR="001A62D7" w:rsidRPr="005F0D45" w:rsidRDefault="001A62D7" w:rsidP="001D5990">
            <w:pPr>
              <w:spacing w:before="60" w:after="60"/>
              <w:ind w:rightChars="192" w:right="461"/>
              <w:jc w:val="left"/>
              <w:rPr>
                <w:rFonts w:eastAsia="Calibri"/>
                <w:noProof/>
              </w:rPr>
            </w:pPr>
            <w:r w:rsidRPr="005F0D45">
              <w:rPr>
                <w:noProof/>
              </w:rPr>
              <w:t>EGF/2026/002 ES/Galicia automotive ancillary</w:t>
            </w:r>
          </w:p>
        </w:tc>
      </w:tr>
      <w:tr w:rsidR="001A62D7" w:rsidRPr="005F0D45" w:rsidTr="001D5990">
        <w:tc>
          <w:tcPr>
            <w:tcW w:w="4908" w:type="dxa"/>
          </w:tcPr>
          <w:p w:rsidR="001A62D7" w:rsidRPr="005F0D45" w:rsidRDefault="001A62D7" w:rsidP="001D5990">
            <w:pPr>
              <w:spacing w:before="60" w:after="60"/>
              <w:jc w:val="left"/>
              <w:rPr>
                <w:rFonts w:eastAsia="Calibri"/>
                <w:noProof/>
              </w:rPr>
            </w:pPr>
            <w:r w:rsidRPr="005F0D45">
              <w:rPr>
                <w:noProof/>
              </w:rPr>
              <w:t>État membre</w:t>
            </w:r>
          </w:p>
        </w:tc>
        <w:tc>
          <w:tcPr>
            <w:tcW w:w="4379" w:type="dxa"/>
          </w:tcPr>
          <w:p w:rsidR="001A62D7" w:rsidRPr="005F0D45" w:rsidRDefault="003421FC" w:rsidP="001D5990">
            <w:pPr>
              <w:spacing w:before="60" w:after="60"/>
              <w:ind w:rightChars="192" w:right="461"/>
              <w:jc w:val="left"/>
              <w:rPr>
                <w:rFonts w:eastAsia="Calibri"/>
                <w:noProof/>
              </w:rPr>
            </w:pPr>
            <w:r w:rsidRPr="005F0D45">
              <w:rPr>
                <w:noProof/>
              </w:rPr>
              <w:t>Espagne</w:t>
            </w:r>
          </w:p>
        </w:tc>
      </w:tr>
      <w:tr w:rsidR="001A62D7" w:rsidRPr="005F0D45" w:rsidTr="001D5990">
        <w:tc>
          <w:tcPr>
            <w:tcW w:w="4908" w:type="dxa"/>
            <w:tcBorders>
              <w:bottom w:val="single" w:sz="4" w:space="0" w:color="auto"/>
            </w:tcBorders>
          </w:tcPr>
          <w:p w:rsidR="001A62D7" w:rsidRPr="005F0D45" w:rsidRDefault="001A62D7" w:rsidP="001D5990">
            <w:pPr>
              <w:spacing w:before="60" w:after="60"/>
              <w:jc w:val="left"/>
              <w:rPr>
                <w:rFonts w:eastAsia="Calibri"/>
                <w:noProof/>
              </w:rPr>
            </w:pPr>
            <w:r w:rsidRPr="005F0D45">
              <w:rPr>
                <w:noProof/>
              </w:rPr>
              <w:t>Région(s) concernée(s) (niveau NUTS</w:t>
            </w:r>
            <w:r w:rsidRPr="005F0D45">
              <w:rPr>
                <w:rStyle w:val="FootnoteReference"/>
                <w:noProof/>
              </w:rPr>
              <w:footnoteReference w:id="2"/>
            </w:r>
            <w:r w:rsidRPr="005F0D45">
              <w:rPr>
                <w:noProof/>
              </w:rPr>
              <w:t> 2)</w:t>
            </w:r>
          </w:p>
        </w:tc>
        <w:tc>
          <w:tcPr>
            <w:tcW w:w="4379" w:type="dxa"/>
            <w:tcBorders>
              <w:bottom w:val="single" w:sz="4" w:space="0" w:color="auto"/>
            </w:tcBorders>
          </w:tcPr>
          <w:p w:rsidR="001A62D7" w:rsidRPr="005F0D45" w:rsidRDefault="003421FC" w:rsidP="00CC0130">
            <w:pPr>
              <w:spacing w:before="0" w:after="0"/>
              <w:ind w:rightChars="192" w:right="461"/>
              <w:jc w:val="left"/>
              <w:rPr>
                <w:noProof/>
                <w:szCs w:val="24"/>
              </w:rPr>
            </w:pPr>
            <w:bookmarkStart w:id="6" w:name="Region_1_Name"/>
            <w:r w:rsidRPr="005F0D45">
              <w:rPr>
                <w:noProof/>
              </w:rPr>
              <w:t>Galice</w:t>
            </w:r>
            <w:bookmarkEnd w:id="6"/>
            <w:r w:rsidRPr="005F0D45">
              <w:rPr>
                <w:noProof/>
              </w:rPr>
              <w:t xml:space="preserve"> (ES11)</w:t>
            </w:r>
          </w:p>
        </w:tc>
      </w:tr>
      <w:tr w:rsidR="001A62D7" w:rsidRPr="005F0D45" w:rsidTr="001D5990">
        <w:tc>
          <w:tcPr>
            <w:tcW w:w="4908" w:type="dxa"/>
            <w:tcBorders>
              <w:bottom w:val="dotted" w:sz="4" w:space="0" w:color="auto"/>
            </w:tcBorders>
          </w:tcPr>
          <w:p w:rsidR="001A62D7" w:rsidRPr="005F0D45" w:rsidRDefault="001A62D7" w:rsidP="001D5990">
            <w:pPr>
              <w:spacing w:before="60" w:after="60"/>
              <w:jc w:val="left"/>
              <w:rPr>
                <w:rFonts w:eastAsia="Calibri"/>
                <w:noProof/>
              </w:rPr>
            </w:pPr>
            <w:r w:rsidRPr="005F0D45">
              <w:rPr>
                <w:noProof/>
              </w:rPr>
              <w:t>Date de dépôt de la demande</w:t>
            </w:r>
          </w:p>
        </w:tc>
        <w:tc>
          <w:tcPr>
            <w:tcW w:w="4379" w:type="dxa"/>
            <w:tcBorders>
              <w:bottom w:val="dotted" w:sz="4" w:space="0" w:color="auto"/>
            </w:tcBorders>
          </w:tcPr>
          <w:p w:rsidR="001A62D7" w:rsidRPr="005F0D45" w:rsidRDefault="003421FC" w:rsidP="001D5990">
            <w:pPr>
              <w:spacing w:before="60" w:after="60"/>
              <w:ind w:rightChars="192" w:right="461"/>
              <w:jc w:val="left"/>
              <w:rPr>
                <w:rFonts w:eastAsia="Calibri"/>
                <w:noProof/>
              </w:rPr>
            </w:pPr>
            <w:r w:rsidRPr="005F0D45">
              <w:rPr>
                <w:noProof/>
              </w:rPr>
              <w:t>7 avril 2026</w:t>
            </w:r>
          </w:p>
        </w:tc>
      </w:tr>
      <w:tr w:rsidR="001A62D7" w:rsidRPr="005F0D45" w:rsidTr="001D5990">
        <w:tc>
          <w:tcPr>
            <w:tcW w:w="4908" w:type="dxa"/>
            <w:tcBorders>
              <w:top w:val="dotted" w:sz="4" w:space="0" w:color="auto"/>
              <w:bottom w:val="dotted" w:sz="4" w:space="0" w:color="auto"/>
            </w:tcBorders>
          </w:tcPr>
          <w:p w:rsidR="001A62D7" w:rsidRPr="005F0D45" w:rsidRDefault="001A62D7" w:rsidP="001D5990">
            <w:pPr>
              <w:spacing w:before="60" w:after="60"/>
              <w:jc w:val="left"/>
              <w:rPr>
                <w:rFonts w:eastAsia="Calibri"/>
                <w:noProof/>
              </w:rPr>
            </w:pPr>
            <w:r w:rsidRPr="005F0D45">
              <w:rPr>
                <w:noProof/>
              </w:rPr>
              <w:t>Date d’accusé de réception de la demande</w:t>
            </w:r>
          </w:p>
        </w:tc>
        <w:tc>
          <w:tcPr>
            <w:tcW w:w="4379" w:type="dxa"/>
            <w:tcBorders>
              <w:top w:val="dotted" w:sz="4" w:space="0" w:color="auto"/>
              <w:bottom w:val="dotted" w:sz="4" w:space="0" w:color="auto"/>
            </w:tcBorders>
          </w:tcPr>
          <w:p w:rsidR="001A62D7" w:rsidRPr="005F0D45" w:rsidRDefault="00674268" w:rsidP="001D5990">
            <w:pPr>
              <w:spacing w:before="60" w:after="60"/>
              <w:ind w:rightChars="192" w:right="461"/>
              <w:jc w:val="left"/>
              <w:rPr>
                <w:rFonts w:eastAsia="Calibri"/>
                <w:noProof/>
              </w:rPr>
            </w:pPr>
            <w:r w:rsidRPr="005F0D45">
              <w:rPr>
                <w:noProof/>
              </w:rPr>
              <w:t>21 avril 2026</w:t>
            </w:r>
          </w:p>
        </w:tc>
      </w:tr>
      <w:tr w:rsidR="001A62D7" w:rsidRPr="005F0D45" w:rsidTr="001D5990">
        <w:tc>
          <w:tcPr>
            <w:tcW w:w="4908" w:type="dxa"/>
            <w:tcBorders>
              <w:top w:val="dotted" w:sz="4" w:space="0" w:color="auto"/>
              <w:bottom w:val="dotted" w:sz="4" w:space="0" w:color="auto"/>
            </w:tcBorders>
          </w:tcPr>
          <w:p w:rsidR="001A62D7" w:rsidRPr="005F0D45" w:rsidRDefault="001A62D7" w:rsidP="001D5990">
            <w:pPr>
              <w:spacing w:before="60" w:after="60"/>
              <w:jc w:val="left"/>
              <w:rPr>
                <w:rFonts w:eastAsia="Calibri"/>
                <w:noProof/>
              </w:rPr>
            </w:pPr>
            <w:r w:rsidRPr="005F0D45">
              <w:rPr>
                <w:noProof/>
              </w:rPr>
              <w:t>Date de demande d’informations complémentaires</w:t>
            </w:r>
          </w:p>
        </w:tc>
        <w:tc>
          <w:tcPr>
            <w:tcW w:w="4379" w:type="dxa"/>
            <w:tcBorders>
              <w:top w:val="dotted" w:sz="4" w:space="0" w:color="auto"/>
              <w:bottom w:val="dotted" w:sz="4" w:space="0" w:color="auto"/>
            </w:tcBorders>
          </w:tcPr>
          <w:p w:rsidR="001A62D7" w:rsidRPr="005F0D45" w:rsidRDefault="00674268" w:rsidP="001D5990">
            <w:pPr>
              <w:spacing w:before="60" w:after="60"/>
              <w:ind w:rightChars="192" w:right="461"/>
              <w:jc w:val="left"/>
              <w:rPr>
                <w:rFonts w:eastAsia="Calibri"/>
                <w:noProof/>
              </w:rPr>
            </w:pPr>
            <w:r w:rsidRPr="005F0D45">
              <w:rPr>
                <w:noProof/>
              </w:rPr>
              <w:t>21 avril 2026</w:t>
            </w:r>
          </w:p>
        </w:tc>
      </w:tr>
      <w:tr w:rsidR="001A62D7" w:rsidRPr="005F0D45" w:rsidTr="001D5990">
        <w:tc>
          <w:tcPr>
            <w:tcW w:w="4908" w:type="dxa"/>
            <w:tcBorders>
              <w:top w:val="dotted" w:sz="4" w:space="0" w:color="auto"/>
              <w:bottom w:val="dotted" w:sz="4" w:space="0" w:color="auto"/>
            </w:tcBorders>
          </w:tcPr>
          <w:p w:rsidR="001A62D7" w:rsidRPr="005F0D45" w:rsidRDefault="001A62D7" w:rsidP="001D5990">
            <w:pPr>
              <w:spacing w:before="60" w:after="60"/>
              <w:jc w:val="left"/>
              <w:rPr>
                <w:rFonts w:eastAsia="Calibri"/>
                <w:noProof/>
              </w:rPr>
            </w:pPr>
            <w:r w:rsidRPr="005F0D45">
              <w:rPr>
                <w:noProof/>
              </w:rPr>
              <w:t>Date limite pour la communication des informations complémentaires</w:t>
            </w:r>
          </w:p>
        </w:tc>
        <w:tc>
          <w:tcPr>
            <w:tcW w:w="4379" w:type="dxa"/>
            <w:tcBorders>
              <w:top w:val="dotted" w:sz="4" w:space="0" w:color="auto"/>
              <w:bottom w:val="dotted" w:sz="4" w:space="0" w:color="auto"/>
            </w:tcBorders>
          </w:tcPr>
          <w:p w:rsidR="001A62D7" w:rsidRPr="005F0D45" w:rsidRDefault="00674268" w:rsidP="001D5990">
            <w:pPr>
              <w:spacing w:before="60" w:after="60"/>
              <w:ind w:rightChars="192" w:right="461"/>
              <w:jc w:val="left"/>
              <w:rPr>
                <w:rFonts w:eastAsia="Calibri"/>
                <w:noProof/>
              </w:rPr>
            </w:pPr>
            <w:r w:rsidRPr="005F0D45">
              <w:rPr>
                <w:noProof/>
              </w:rPr>
              <w:t>13 mai 2026</w:t>
            </w:r>
          </w:p>
        </w:tc>
      </w:tr>
      <w:tr w:rsidR="001A62D7" w:rsidRPr="005F0D45" w:rsidTr="001D5990">
        <w:tc>
          <w:tcPr>
            <w:tcW w:w="4908" w:type="dxa"/>
            <w:tcBorders>
              <w:top w:val="dotted" w:sz="4" w:space="0" w:color="auto"/>
            </w:tcBorders>
          </w:tcPr>
          <w:p w:rsidR="001A62D7" w:rsidRPr="005F0D45" w:rsidRDefault="001A62D7" w:rsidP="001D5990">
            <w:pPr>
              <w:spacing w:before="60" w:after="60"/>
              <w:jc w:val="left"/>
              <w:rPr>
                <w:rFonts w:eastAsia="Calibri"/>
                <w:noProof/>
              </w:rPr>
            </w:pPr>
            <w:r w:rsidRPr="005F0D45">
              <w:rPr>
                <w:noProof/>
              </w:rPr>
              <w:t>Date limite pour la réalisation de l’évaluation</w:t>
            </w:r>
          </w:p>
        </w:tc>
        <w:tc>
          <w:tcPr>
            <w:tcW w:w="4379" w:type="dxa"/>
            <w:tcBorders>
              <w:top w:val="dotted" w:sz="4" w:space="0" w:color="auto"/>
            </w:tcBorders>
          </w:tcPr>
          <w:p w:rsidR="001A62D7" w:rsidRPr="005F0D45" w:rsidRDefault="00674268" w:rsidP="001D5990">
            <w:pPr>
              <w:spacing w:before="60" w:after="60"/>
              <w:ind w:rightChars="192" w:right="461"/>
              <w:jc w:val="left"/>
              <w:rPr>
                <w:rFonts w:eastAsia="Calibri"/>
                <w:noProof/>
              </w:rPr>
            </w:pPr>
            <w:r w:rsidRPr="005F0D45">
              <w:rPr>
                <w:noProof/>
              </w:rPr>
              <w:t>28 juillet 2026</w:t>
            </w:r>
          </w:p>
        </w:tc>
      </w:tr>
      <w:tr w:rsidR="001A62D7" w:rsidRPr="005F0D45" w:rsidTr="001D5990">
        <w:tc>
          <w:tcPr>
            <w:tcW w:w="4908" w:type="dxa"/>
          </w:tcPr>
          <w:p w:rsidR="001A62D7" w:rsidRPr="005F0D45" w:rsidRDefault="001A62D7" w:rsidP="001D5990">
            <w:pPr>
              <w:spacing w:before="60" w:after="60"/>
              <w:jc w:val="left"/>
              <w:rPr>
                <w:rFonts w:eastAsia="Calibri"/>
                <w:noProof/>
              </w:rPr>
            </w:pPr>
            <w:r w:rsidRPr="005F0D45">
              <w:rPr>
                <w:noProof/>
              </w:rPr>
              <w:t>Critère d’intervention</w:t>
            </w:r>
          </w:p>
        </w:tc>
        <w:tc>
          <w:tcPr>
            <w:tcW w:w="4379" w:type="dxa"/>
          </w:tcPr>
          <w:p w:rsidR="001A62D7" w:rsidRPr="005F0D45" w:rsidRDefault="001A62D7" w:rsidP="001D5990">
            <w:pPr>
              <w:spacing w:before="60" w:after="60"/>
              <w:ind w:rightChars="192" w:right="461"/>
              <w:jc w:val="left"/>
              <w:rPr>
                <w:rFonts w:eastAsia="Calibri"/>
                <w:noProof/>
              </w:rPr>
            </w:pPr>
            <w:r w:rsidRPr="005F0D45">
              <w:rPr>
                <w:noProof/>
              </w:rPr>
              <w:t>Article 4, paragraphe 2, point c), du règlement (UE) 2021/691</w:t>
            </w:r>
          </w:p>
        </w:tc>
      </w:tr>
      <w:tr w:rsidR="001A62D7" w:rsidRPr="005F0D45" w:rsidTr="001D5990">
        <w:tc>
          <w:tcPr>
            <w:tcW w:w="4908" w:type="dxa"/>
            <w:tcBorders>
              <w:top w:val="single" w:sz="4" w:space="0" w:color="auto"/>
              <w:bottom w:val="single" w:sz="4" w:space="0" w:color="auto"/>
              <w:right w:val="single" w:sz="4" w:space="0" w:color="auto"/>
            </w:tcBorders>
          </w:tcPr>
          <w:p w:rsidR="001A62D7" w:rsidRPr="005F0D45" w:rsidRDefault="001A62D7" w:rsidP="001D5990">
            <w:pPr>
              <w:spacing w:before="60" w:after="60"/>
              <w:jc w:val="left"/>
              <w:rPr>
                <w:rFonts w:eastAsia="Calibri"/>
                <w:noProof/>
              </w:rPr>
            </w:pPr>
            <w:r w:rsidRPr="005F0D45">
              <w:rPr>
                <w:noProof/>
              </w:rPr>
              <w:br w:type="page"/>
              <w:t>Nombre d’entreprises concernées</w:t>
            </w:r>
          </w:p>
        </w:tc>
        <w:tc>
          <w:tcPr>
            <w:tcW w:w="4379" w:type="dxa"/>
            <w:tcBorders>
              <w:top w:val="single" w:sz="4" w:space="0" w:color="auto"/>
              <w:left w:val="single" w:sz="4" w:space="0" w:color="auto"/>
              <w:bottom w:val="single" w:sz="4" w:space="0" w:color="auto"/>
            </w:tcBorders>
          </w:tcPr>
          <w:p w:rsidR="001A62D7" w:rsidRPr="005F0D45" w:rsidRDefault="00A10F73" w:rsidP="001D5990">
            <w:pPr>
              <w:spacing w:before="60" w:after="60"/>
              <w:ind w:rightChars="192" w:right="461"/>
              <w:jc w:val="left"/>
              <w:rPr>
                <w:noProof/>
                <w:szCs w:val="24"/>
              </w:rPr>
            </w:pPr>
            <w:r w:rsidRPr="005F0D45">
              <w:rPr>
                <w:noProof/>
              </w:rPr>
              <w:t>20</w:t>
            </w:r>
          </w:p>
        </w:tc>
      </w:tr>
      <w:tr w:rsidR="001A62D7" w:rsidRPr="005F0D45" w:rsidTr="001D5990">
        <w:tc>
          <w:tcPr>
            <w:tcW w:w="4908" w:type="dxa"/>
          </w:tcPr>
          <w:p w:rsidR="001A62D7" w:rsidRPr="005F0D45" w:rsidRDefault="001A62D7" w:rsidP="001D5990">
            <w:pPr>
              <w:spacing w:before="60" w:after="60"/>
              <w:jc w:val="left"/>
              <w:rPr>
                <w:rFonts w:eastAsia="Calibri"/>
                <w:noProof/>
              </w:rPr>
            </w:pPr>
            <w:r w:rsidRPr="005F0D45">
              <w:rPr>
                <w:noProof/>
              </w:rPr>
              <w:t>Secteur(s) d’activité économique</w:t>
            </w:r>
          </w:p>
          <w:p w:rsidR="001A62D7" w:rsidRPr="005F0D45" w:rsidRDefault="001A62D7" w:rsidP="001D5990">
            <w:pPr>
              <w:spacing w:before="60" w:after="60"/>
              <w:jc w:val="left"/>
              <w:rPr>
                <w:rFonts w:eastAsia="Calibri"/>
                <w:noProof/>
              </w:rPr>
            </w:pPr>
            <w:r w:rsidRPr="005F0D45">
              <w:rPr>
                <w:noProof/>
              </w:rPr>
              <w:t>(division de la NACE Rév. 2)</w:t>
            </w:r>
            <w:r w:rsidRPr="005F0D45">
              <w:rPr>
                <w:rStyle w:val="FootnoteReference"/>
                <w:noProof/>
                <w:szCs w:val="24"/>
              </w:rPr>
              <w:footnoteReference w:id="3"/>
            </w:r>
          </w:p>
        </w:tc>
        <w:tc>
          <w:tcPr>
            <w:tcW w:w="4379" w:type="dxa"/>
          </w:tcPr>
          <w:p w:rsidR="001A62D7" w:rsidRPr="005F0D45" w:rsidRDefault="001A62D7" w:rsidP="001D5990">
            <w:pPr>
              <w:spacing w:before="60" w:after="60"/>
              <w:ind w:rightChars="192" w:right="461"/>
              <w:jc w:val="left"/>
              <w:rPr>
                <w:noProof/>
                <w:szCs w:val="24"/>
              </w:rPr>
            </w:pPr>
            <w:r w:rsidRPr="005F0D45">
              <w:rPr>
                <w:noProof/>
              </w:rPr>
              <w:t>Division 25 (Fabrication de produits métalliques, à l’exception des machines et des équipements),</w:t>
            </w:r>
          </w:p>
          <w:p w:rsidR="002A70E5" w:rsidRPr="005F0D45" w:rsidRDefault="001A62D7" w:rsidP="002A70E5">
            <w:pPr>
              <w:spacing w:before="60" w:after="60"/>
              <w:ind w:rightChars="192" w:right="461"/>
              <w:jc w:val="left"/>
              <w:rPr>
                <w:noProof/>
                <w:szCs w:val="24"/>
              </w:rPr>
            </w:pPr>
            <w:r w:rsidRPr="005F0D45">
              <w:rPr>
                <w:noProof/>
              </w:rPr>
              <w:t>Division 27 (Fabrication d’équipements électriques)</w:t>
            </w:r>
          </w:p>
          <w:p w:rsidR="002A70E5" w:rsidRPr="005F0D45" w:rsidRDefault="002A70E5" w:rsidP="002A70E5">
            <w:pPr>
              <w:spacing w:before="60" w:after="60"/>
              <w:ind w:rightChars="192" w:right="461"/>
              <w:jc w:val="left"/>
              <w:rPr>
                <w:noProof/>
                <w:szCs w:val="24"/>
              </w:rPr>
            </w:pPr>
            <w:r w:rsidRPr="005F0D45">
              <w:rPr>
                <w:noProof/>
              </w:rPr>
              <w:lastRenderedPageBreak/>
              <w:t>Division 28 (Fabrication de machines et équipements n.c.a.)</w:t>
            </w:r>
          </w:p>
          <w:p w:rsidR="001A62D7" w:rsidRPr="005F0D45" w:rsidRDefault="002A70E5" w:rsidP="002A70E5">
            <w:pPr>
              <w:spacing w:before="60" w:after="60"/>
              <w:ind w:rightChars="192" w:right="461"/>
              <w:jc w:val="left"/>
              <w:rPr>
                <w:rFonts w:eastAsia="Calibri"/>
                <w:noProof/>
              </w:rPr>
            </w:pPr>
            <w:r w:rsidRPr="005F0D45">
              <w:rPr>
                <w:noProof/>
              </w:rPr>
              <w:t>Division 29 (Construction de véhicules automobiles, de remorques et de semi-remorques), division 74 (Autres activités spécialisées, scientifiques et techniques)</w:t>
            </w:r>
          </w:p>
        </w:tc>
      </w:tr>
      <w:tr w:rsidR="001A62D7" w:rsidRPr="005F0D45" w:rsidTr="001D5990">
        <w:tc>
          <w:tcPr>
            <w:tcW w:w="4908" w:type="dxa"/>
            <w:tcBorders>
              <w:bottom w:val="single" w:sz="4" w:space="0" w:color="auto"/>
            </w:tcBorders>
          </w:tcPr>
          <w:p w:rsidR="001A62D7" w:rsidRPr="005F0D45" w:rsidRDefault="001A62D7" w:rsidP="001D5990">
            <w:pPr>
              <w:spacing w:before="60" w:after="60"/>
              <w:jc w:val="left"/>
              <w:rPr>
                <w:rFonts w:eastAsia="Calibri"/>
                <w:noProof/>
              </w:rPr>
            </w:pPr>
            <w:r w:rsidRPr="005F0D45">
              <w:rPr>
                <w:noProof/>
              </w:rPr>
              <w:lastRenderedPageBreak/>
              <w:t>Période de référence (quatre mois):</w:t>
            </w:r>
          </w:p>
        </w:tc>
        <w:tc>
          <w:tcPr>
            <w:tcW w:w="4379" w:type="dxa"/>
            <w:tcBorders>
              <w:bottom w:val="single" w:sz="4" w:space="0" w:color="auto"/>
            </w:tcBorders>
          </w:tcPr>
          <w:p w:rsidR="001A62D7" w:rsidRPr="005F0D45" w:rsidRDefault="002A70E5" w:rsidP="001D5990">
            <w:pPr>
              <w:spacing w:before="60" w:after="60"/>
              <w:ind w:rightChars="192" w:right="461"/>
              <w:jc w:val="left"/>
              <w:rPr>
                <w:rFonts w:eastAsia="Calibri"/>
                <w:noProof/>
              </w:rPr>
            </w:pPr>
            <w:r w:rsidRPr="005F0D45">
              <w:rPr>
                <w:noProof/>
              </w:rPr>
              <w:t>15 septembre 2025 – 15 janvier 2026</w:t>
            </w:r>
          </w:p>
        </w:tc>
      </w:tr>
      <w:tr w:rsidR="001A62D7" w:rsidRPr="005F0D45" w:rsidTr="001D5990">
        <w:tc>
          <w:tcPr>
            <w:tcW w:w="4908" w:type="dxa"/>
            <w:tcBorders>
              <w:bottom w:val="dotted" w:sz="4" w:space="0" w:color="auto"/>
            </w:tcBorders>
          </w:tcPr>
          <w:p w:rsidR="001A62D7" w:rsidRPr="005F0D45" w:rsidRDefault="001A62D7" w:rsidP="001D5990">
            <w:pPr>
              <w:spacing w:before="60" w:after="60"/>
              <w:jc w:val="left"/>
              <w:rPr>
                <w:rFonts w:eastAsia="Calibri"/>
                <w:noProof/>
                <w:highlight w:val="magenta"/>
              </w:rPr>
            </w:pPr>
            <w:r w:rsidRPr="005F0D45">
              <w:rPr>
                <w:noProof/>
              </w:rPr>
              <w:t>Nombre de licenciements intervenus durant la période de référence (</w:t>
            </w:r>
            <w:r w:rsidRPr="005F0D45">
              <w:rPr>
                <w:i/>
                <w:noProof/>
              </w:rPr>
              <w:t>a</w:t>
            </w:r>
            <w:r w:rsidRPr="005F0D45">
              <w:rPr>
                <w:noProof/>
              </w:rPr>
              <w:t>)</w:t>
            </w:r>
          </w:p>
        </w:tc>
        <w:tc>
          <w:tcPr>
            <w:tcW w:w="4379" w:type="dxa"/>
            <w:tcBorders>
              <w:bottom w:val="dotted" w:sz="4" w:space="0" w:color="auto"/>
            </w:tcBorders>
          </w:tcPr>
          <w:p w:rsidR="001A62D7" w:rsidRPr="005F0D45" w:rsidRDefault="002A70E5" w:rsidP="001D5990">
            <w:pPr>
              <w:spacing w:before="60" w:after="60"/>
              <w:ind w:rightChars="192" w:right="461"/>
              <w:jc w:val="left"/>
              <w:rPr>
                <w:rFonts w:eastAsia="Calibri"/>
                <w:noProof/>
                <w:highlight w:val="magenta"/>
              </w:rPr>
            </w:pPr>
            <w:r w:rsidRPr="005F0D45">
              <w:rPr>
                <w:noProof/>
              </w:rPr>
              <w:t>313</w:t>
            </w:r>
          </w:p>
        </w:tc>
      </w:tr>
      <w:tr w:rsidR="001A62D7" w:rsidRPr="005F0D45" w:rsidTr="001D5990">
        <w:tc>
          <w:tcPr>
            <w:tcW w:w="4908" w:type="dxa"/>
            <w:tcBorders>
              <w:top w:val="dotted" w:sz="4" w:space="0" w:color="auto"/>
              <w:bottom w:val="dotted" w:sz="4" w:space="0" w:color="auto"/>
            </w:tcBorders>
          </w:tcPr>
          <w:p w:rsidR="001A62D7" w:rsidRPr="005F0D45" w:rsidRDefault="001A62D7" w:rsidP="001D5990">
            <w:pPr>
              <w:spacing w:before="60" w:after="60"/>
              <w:jc w:val="left"/>
              <w:rPr>
                <w:rFonts w:eastAsia="Calibri"/>
                <w:noProof/>
                <w:highlight w:val="magenta"/>
              </w:rPr>
            </w:pPr>
            <w:r w:rsidRPr="005F0D45">
              <w:rPr>
                <w:noProof/>
              </w:rPr>
              <w:t>Nombre de licenciements intervenus avant ou après la période de référence (</w:t>
            </w:r>
            <w:r w:rsidRPr="005F0D45">
              <w:rPr>
                <w:i/>
                <w:noProof/>
              </w:rPr>
              <w:t>b</w:t>
            </w:r>
            <w:r w:rsidRPr="005F0D45">
              <w:rPr>
                <w:noProof/>
              </w:rPr>
              <w:t>)</w:t>
            </w:r>
          </w:p>
        </w:tc>
        <w:tc>
          <w:tcPr>
            <w:tcW w:w="4379" w:type="dxa"/>
            <w:tcBorders>
              <w:top w:val="dotted" w:sz="4" w:space="0" w:color="auto"/>
              <w:bottom w:val="dotted" w:sz="4" w:space="0" w:color="auto"/>
            </w:tcBorders>
          </w:tcPr>
          <w:p w:rsidR="001A62D7" w:rsidRPr="005F0D45" w:rsidRDefault="002A70E5" w:rsidP="001D5990">
            <w:pPr>
              <w:spacing w:before="60" w:after="60"/>
              <w:ind w:rightChars="192" w:right="461"/>
              <w:jc w:val="left"/>
              <w:rPr>
                <w:rFonts w:eastAsia="Calibri"/>
                <w:noProof/>
              </w:rPr>
            </w:pPr>
            <w:r w:rsidRPr="005F0D45">
              <w:rPr>
                <w:noProof/>
              </w:rPr>
              <w:t>358</w:t>
            </w:r>
          </w:p>
        </w:tc>
      </w:tr>
      <w:tr w:rsidR="001A62D7" w:rsidRPr="005F0D45" w:rsidTr="001D5990">
        <w:tc>
          <w:tcPr>
            <w:tcW w:w="4908" w:type="dxa"/>
            <w:tcBorders>
              <w:top w:val="dotted" w:sz="4" w:space="0" w:color="auto"/>
              <w:bottom w:val="single" w:sz="4" w:space="0" w:color="auto"/>
            </w:tcBorders>
          </w:tcPr>
          <w:p w:rsidR="001A62D7" w:rsidRPr="005F0D45" w:rsidRDefault="001A62D7" w:rsidP="001D5990">
            <w:pPr>
              <w:spacing w:before="60" w:after="60"/>
              <w:jc w:val="left"/>
              <w:rPr>
                <w:rFonts w:eastAsia="Calibri"/>
                <w:noProof/>
              </w:rPr>
            </w:pPr>
            <w:r w:rsidRPr="005F0D45">
              <w:rPr>
                <w:noProof/>
              </w:rPr>
              <w:t>Nombre total de licenciements (</w:t>
            </w:r>
            <w:r w:rsidRPr="005F0D45">
              <w:rPr>
                <w:i/>
                <w:noProof/>
              </w:rPr>
              <w:t>a</w:t>
            </w:r>
            <w:r w:rsidRPr="005F0D45">
              <w:rPr>
                <w:noProof/>
              </w:rPr>
              <w:t xml:space="preserve"> + </w:t>
            </w:r>
            <w:r w:rsidRPr="005F0D45">
              <w:rPr>
                <w:i/>
                <w:noProof/>
              </w:rPr>
              <w:t>b</w:t>
            </w:r>
            <w:r w:rsidRPr="005F0D45">
              <w:rPr>
                <w:noProof/>
              </w:rPr>
              <w:t>)</w:t>
            </w:r>
          </w:p>
        </w:tc>
        <w:tc>
          <w:tcPr>
            <w:tcW w:w="4379" w:type="dxa"/>
            <w:tcBorders>
              <w:top w:val="dotted" w:sz="4" w:space="0" w:color="auto"/>
              <w:bottom w:val="single" w:sz="4" w:space="0" w:color="auto"/>
            </w:tcBorders>
          </w:tcPr>
          <w:p w:rsidR="001A62D7" w:rsidRPr="005F0D45" w:rsidRDefault="002A70E5" w:rsidP="001D5990">
            <w:pPr>
              <w:spacing w:before="60" w:after="60"/>
              <w:ind w:rightChars="192" w:right="461"/>
              <w:jc w:val="left"/>
              <w:rPr>
                <w:rFonts w:eastAsia="Calibri"/>
                <w:noProof/>
              </w:rPr>
            </w:pPr>
            <w:r w:rsidRPr="005F0D45">
              <w:rPr>
                <w:noProof/>
              </w:rPr>
              <w:t>671</w:t>
            </w:r>
          </w:p>
        </w:tc>
      </w:tr>
      <w:tr w:rsidR="001A62D7" w:rsidRPr="005F0D45" w:rsidTr="001D5990">
        <w:tc>
          <w:tcPr>
            <w:tcW w:w="4908" w:type="dxa"/>
            <w:tcBorders>
              <w:bottom w:val="dotted" w:sz="4" w:space="0" w:color="auto"/>
            </w:tcBorders>
          </w:tcPr>
          <w:p w:rsidR="001A62D7" w:rsidRPr="005F0D45" w:rsidRDefault="001A62D7" w:rsidP="001D5990">
            <w:pPr>
              <w:spacing w:before="60" w:after="60"/>
              <w:jc w:val="left"/>
              <w:rPr>
                <w:rFonts w:eastAsia="Calibri"/>
                <w:noProof/>
              </w:rPr>
            </w:pPr>
            <w:r w:rsidRPr="005F0D45">
              <w:rPr>
                <w:noProof/>
              </w:rPr>
              <w:t>Nombre total de bénéficiaires éligibles</w:t>
            </w:r>
          </w:p>
        </w:tc>
        <w:tc>
          <w:tcPr>
            <w:tcW w:w="4379" w:type="dxa"/>
            <w:tcBorders>
              <w:bottom w:val="dotted" w:sz="4" w:space="0" w:color="auto"/>
            </w:tcBorders>
          </w:tcPr>
          <w:p w:rsidR="001A62D7" w:rsidRPr="005F0D45" w:rsidRDefault="002A70E5" w:rsidP="001D5990">
            <w:pPr>
              <w:spacing w:before="60" w:after="60"/>
              <w:ind w:rightChars="192" w:right="461"/>
              <w:jc w:val="left"/>
              <w:rPr>
                <w:rFonts w:eastAsia="Calibri"/>
                <w:noProof/>
              </w:rPr>
            </w:pPr>
            <w:r w:rsidRPr="005F0D45">
              <w:rPr>
                <w:noProof/>
              </w:rPr>
              <w:t>671</w:t>
            </w:r>
          </w:p>
        </w:tc>
      </w:tr>
      <w:tr w:rsidR="001A62D7" w:rsidRPr="005F0D45" w:rsidTr="001D5990">
        <w:tc>
          <w:tcPr>
            <w:tcW w:w="4908" w:type="dxa"/>
            <w:tcBorders>
              <w:top w:val="dotted" w:sz="4" w:space="0" w:color="auto"/>
              <w:bottom w:val="dotted" w:sz="4" w:space="0" w:color="auto"/>
            </w:tcBorders>
          </w:tcPr>
          <w:p w:rsidR="001A62D7" w:rsidRPr="005F0D45" w:rsidRDefault="001A62D7" w:rsidP="001D5990">
            <w:pPr>
              <w:spacing w:before="60" w:after="60"/>
              <w:jc w:val="left"/>
              <w:rPr>
                <w:rFonts w:eastAsia="Calibri"/>
                <w:noProof/>
              </w:rPr>
            </w:pPr>
            <w:r w:rsidRPr="005F0D45">
              <w:rPr>
                <w:noProof/>
              </w:rPr>
              <w:t>Nombre total de bénéficiaires visés</w:t>
            </w:r>
          </w:p>
        </w:tc>
        <w:tc>
          <w:tcPr>
            <w:tcW w:w="4379" w:type="dxa"/>
            <w:tcBorders>
              <w:top w:val="dotted" w:sz="4" w:space="0" w:color="auto"/>
              <w:bottom w:val="dotted" w:sz="4" w:space="0" w:color="auto"/>
            </w:tcBorders>
          </w:tcPr>
          <w:p w:rsidR="001A62D7" w:rsidRPr="005F0D45" w:rsidRDefault="002A70E5" w:rsidP="001D5990">
            <w:pPr>
              <w:spacing w:before="60" w:after="60"/>
              <w:ind w:rightChars="192" w:right="461"/>
              <w:jc w:val="left"/>
              <w:rPr>
                <w:rFonts w:eastAsia="Calibri"/>
                <w:noProof/>
              </w:rPr>
            </w:pPr>
            <w:r w:rsidRPr="005F0D45">
              <w:rPr>
                <w:noProof/>
              </w:rPr>
              <w:t>400</w:t>
            </w:r>
          </w:p>
        </w:tc>
      </w:tr>
      <w:tr w:rsidR="001A62D7" w:rsidRPr="005F0D45" w:rsidTr="001D5990">
        <w:tc>
          <w:tcPr>
            <w:tcW w:w="4908" w:type="dxa"/>
            <w:tcBorders>
              <w:bottom w:val="dotted" w:sz="4" w:space="0" w:color="auto"/>
            </w:tcBorders>
            <w:vAlign w:val="center"/>
          </w:tcPr>
          <w:p w:rsidR="001A62D7" w:rsidRPr="005F0D45" w:rsidRDefault="001A62D7" w:rsidP="001D5990">
            <w:pPr>
              <w:spacing w:before="0" w:after="0"/>
              <w:jc w:val="left"/>
              <w:rPr>
                <w:noProof/>
              </w:rPr>
            </w:pPr>
            <w:r w:rsidRPr="005F0D45">
              <w:rPr>
                <w:noProof/>
              </w:rPr>
              <w:t>Budget pour les services personnalisés (en EUR)</w:t>
            </w:r>
          </w:p>
        </w:tc>
        <w:tc>
          <w:tcPr>
            <w:tcW w:w="4379" w:type="dxa"/>
            <w:tcBorders>
              <w:bottom w:val="dotted" w:sz="4" w:space="0" w:color="auto"/>
            </w:tcBorders>
            <w:vAlign w:val="center"/>
          </w:tcPr>
          <w:p w:rsidR="001A62D7" w:rsidRPr="005F0D45" w:rsidRDefault="00044450" w:rsidP="001D5990">
            <w:pPr>
              <w:spacing w:before="0" w:after="0"/>
              <w:ind w:rightChars="192" w:right="461"/>
              <w:jc w:val="left"/>
              <w:rPr>
                <w:noProof/>
              </w:rPr>
            </w:pPr>
            <w:r w:rsidRPr="005F0D45">
              <w:rPr>
                <w:noProof/>
              </w:rPr>
              <w:t>3 046 000</w:t>
            </w:r>
          </w:p>
        </w:tc>
      </w:tr>
      <w:tr w:rsidR="001A62D7" w:rsidRPr="005F0D45" w:rsidTr="001D5990">
        <w:tc>
          <w:tcPr>
            <w:tcW w:w="4908" w:type="dxa"/>
            <w:tcBorders>
              <w:top w:val="dotted" w:sz="4" w:space="0" w:color="auto"/>
              <w:bottom w:val="dotted" w:sz="4" w:space="0" w:color="auto"/>
            </w:tcBorders>
            <w:vAlign w:val="center"/>
          </w:tcPr>
          <w:p w:rsidR="001A62D7" w:rsidRPr="005F0D45" w:rsidRDefault="001A62D7" w:rsidP="001D5990">
            <w:pPr>
              <w:spacing w:before="0" w:after="0"/>
              <w:jc w:val="left"/>
              <w:rPr>
                <w:noProof/>
              </w:rPr>
            </w:pPr>
            <w:r w:rsidRPr="005F0D45">
              <w:rPr>
                <w:noProof/>
              </w:rPr>
              <w:t>Budget pour la mise en œuvre du FEM</w:t>
            </w:r>
            <w:r w:rsidRPr="005F0D45">
              <w:rPr>
                <w:rStyle w:val="FootnoteReference"/>
                <w:noProof/>
              </w:rPr>
              <w:footnoteReference w:id="4"/>
            </w:r>
            <w:r w:rsidRPr="005F0D45">
              <w:rPr>
                <w:noProof/>
              </w:rPr>
              <w:t xml:space="preserve"> (en EUR)</w:t>
            </w:r>
          </w:p>
        </w:tc>
        <w:tc>
          <w:tcPr>
            <w:tcW w:w="4379" w:type="dxa"/>
            <w:tcBorders>
              <w:top w:val="dotted" w:sz="4" w:space="0" w:color="auto"/>
              <w:bottom w:val="dotted" w:sz="4" w:space="0" w:color="auto"/>
            </w:tcBorders>
            <w:vAlign w:val="center"/>
          </w:tcPr>
          <w:p w:rsidR="001A62D7" w:rsidRPr="005F0D45" w:rsidRDefault="00044450" w:rsidP="001D5990">
            <w:pPr>
              <w:spacing w:before="0" w:after="0"/>
              <w:ind w:rightChars="192" w:right="461"/>
              <w:jc w:val="left"/>
              <w:rPr>
                <w:noProof/>
              </w:rPr>
            </w:pPr>
            <w:r w:rsidRPr="005F0D45">
              <w:rPr>
                <w:noProof/>
              </w:rPr>
              <w:t>160 000</w:t>
            </w:r>
          </w:p>
        </w:tc>
      </w:tr>
      <w:tr w:rsidR="001A62D7" w:rsidRPr="005F0D45" w:rsidTr="001D5990">
        <w:tc>
          <w:tcPr>
            <w:tcW w:w="4908" w:type="dxa"/>
            <w:tcBorders>
              <w:top w:val="dotted" w:sz="4" w:space="0" w:color="auto"/>
              <w:bottom w:val="dotted" w:sz="4" w:space="0" w:color="auto"/>
            </w:tcBorders>
            <w:vAlign w:val="center"/>
          </w:tcPr>
          <w:p w:rsidR="001A62D7" w:rsidRPr="005F0D45" w:rsidRDefault="001A62D7" w:rsidP="001D5990">
            <w:pPr>
              <w:spacing w:before="0" w:after="0"/>
              <w:jc w:val="left"/>
              <w:rPr>
                <w:noProof/>
              </w:rPr>
            </w:pPr>
            <w:r w:rsidRPr="005F0D45">
              <w:rPr>
                <w:noProof/>
              </w:rPr>
              <w:t>Budget total (en EUR)</w:t>
            </w:r>
          </w:p>
        </w:tc>
        <w:tc>
          <w:tcPr>
            <w:tcW w:w="4379" w:type="dxa"/>
            <w:tcBorders>
              <w:top w:val="dotted" w:sz="4" w:space="0" w:color="auto"/>
              <w:bottom w:val="dotted" w:sz="4" w:space="0" w:color="auto"/>
            </w:tcBorders>
            <w:vAlign w:val="center"/>
          </w:tcPr>
          <w:p w:rsidR="001A62D7" w:rsidRPr="005F0D45" w:rsidRDefault="00044450" w:rsidP="001D5990">
            <w:pPr>
              <w:spacing w:before="0" w:after="0"/>
              <w:ind w:rightChars="192" w:right="461"/>
              <w:jc w:val="left"/>
              <w:rPr>
                <w:noProof/>
              </w:rPr>
            </w:pPr>
            <w:r w:rsidRPr="005F0D45">
              <w:rPr>
                <w:noProof/>
              </w:rPr>
              <w:t>3 206 000</w:t>
            </w:r>
          </w:p>
        </w:tc>
      </w:tr>
      <w:tr w:rsidR="001A62D7" w:rsidRPr="005F0D45" w:rsidTr="001D5990">
        <w:tc>
          <w:tcPr>
            <w:tcW w:w="4908" w:type="dxa"/>
            <w:tcBorders>
              <w:top w:val="dotted" w:sz="4" w:space="0" w:color="auto"/>
            </w:tcBorders>
            <w:vAlign w:val="center"/>
          </w:tcPr>
          <w:p w:rsidR="001A62D7" w:rsidRPr="005F0D45" w:rsidRDefault="001A62D7" w:rsidP="001D5990">
            <w:pPr>
              <w:spacing w:before="0" w:after="0"/>
              <w:jc w:val="left"/>
              <w:rPr>
                <w:noProof/>
              </w:rPr>
            </w:pPr>
            <w:r w:rsidRPr="005F0D45">
              <w:rPr>
                <w:noProof/>
              </w:rPr>
              <w:t>Contribution du FEM (85 %) (en EUR)</w:t>
            </w:r>
          </w:p>
        </w:tc>
        <w:tc>
          <w:tcPr>
            <w:tcW w:w="4379" w:type="dxa"/>
            <w:tcBorders>
              <w:top w:val="dotted" w:sz="4" w:space="0" w:color="auto"/>
            </w:tcBorders>
            <w:vAlign w:val="center"/>
          </w:tcPr>
          <w:p w:rsidR="001A62D7" w:rsidRPr="005F0D45" w:rsidRDefault="00044450" w:rsidP="001D5990">
            <w:pPr>
              <w:spacing w:before="0" w:after="0"/>
              <w:ind w:rightChars="192" w:right="461"/>
              <w:jc w:val="left"/>
              <w:rPr>
                <w:noProof/>
              </w:rPr>
            </w:pPr>
            <w:r w:rsidRPr="005F0D45">
              <w:rPr>
                <w:noProof/>
              </w:rPr>
              <w:t>2 725 100</w:t>
            </w:r>
          </w:p>
        </w:tc>
      </w:tr>
    </w:tbl>
    <w:p w:rsidR="001A62D7" w:rsidRPr="005F0D45" w:rsidRDefault="001A62D7" w:rsidP="001A62D7">
      <w:pPr>
        <w:pStyle w:val="ManualHeading1"/>
        <w:rPr>
          <w:noProof/>
        </w:rPr>
      </w:pPr>
      <w:r w:rsidRPr="005F0D45">
        <w:rPr>
          <w:noProof/>
        </w:rPr>
        <w:t>ÉVALUATION DE LA DEMANDE</w:t>
      </w:r>
    </w:p>
    <w:p w:rsidR="001A62D7" w:rsidRPr="005F0D45" w:rsidRDefault="001A62D7" w:rsidP="001A62D7">
      <w:pPr>
        <w:pStyle w:val="ManualHeading2"/>
        <w:rPr>
          <w:noProof/>
        </w:rPr>
      </w:pPr>
      <w:r w:rsidRPr="005F0D45">
        <w:rPr>
          <w:noProof/>
        </w:rPr>
        <w:t>Procédure</w:t>
      </w:r>
    </w:p>
    <w:p w:rsidR="001A62D7" w:rsidRPr="005F0D45" w:rsidRDefault="003421FC" w:rsidP="00AE7D04">
      <w:pPr>
        <w:pStyle w:val="ManualNumPar1"/>
        <w:rPr>
          <w:noProof/>
        </w:rPr>
      </w:pPr>
      <w:r>
        <w:rPr>
          <w:noProof/>
        </w:rPr>
        <w:t>4.</w:t>
      </w:r>
      <w:r>
        <w:rPr>
          <w:noProof/>
        </w:rPr>
        <w:tab/>
      </w:r>
      <w:r w:rsidRPr="005F0D45">
        <w:rPr>
          <w:noProof/>
        </w:rPr>
        <w:t xml:space="preserve">L’Espagne a présenté la demande EGF/2026/002 ES/Galicia automotive ancillary le 7 avril 2026 dans le délai de 12 semaines à compter de la date à laquelle les critères d’intervention précisés à l’article 4, paragraphe 2, point c), du règlement (UE) 2021/691 ont été remplis. La Commission a accusé réception de la demande et a demandé des informations complémentaires à l’Espagne le 21 avril 2026. Ces informations complémentaires ont été fournies dans les 15 jours ouvrables qui ont suivi la demande. Le délai de 50 jours ouvrables à compter de la réception de la demande complète dont dispose la Commission pour achever son évaluation de la conformité de la demande avec les conditions d’octroi d’une contribution financière expire le 28 juillet 2026. </w:t>
      </w:r>
    </w:p>
    <w:p w:rsidR="001A62D7" w:rsidRPr="005F0D45" w:rsidRDefault="001A62D7" w:rsidP="001A62D7">
      <w:pPr>
        <w:pStyle w:val="ManualHeading2"/>
        <w:rPr>
          <w:noProof/>
        </w:rPr>
      </w:pPr>
      <w:r w:rsidRPr="005F0D45">
        <w:rPr>
          <w:noProof/>
        </w:rPr>
        <w:t>Recevabilité de la demande</w:t>
      </w:r>
    </w:p>
    <w:p w:rsidR="001A62D7" w:rsidRPr="005F0D45" w:rsidRDefault="001A62D7" w:rsidP="001A62D7">
      <w:pPr>
        <w:pStyle w:val="ManualHeading3"/>
        <w:rPr>
          <w:noProof/>
        </w:rPr>
      </w:pPr>
      <w:r w:rsidRPr="005F0D45">
        <w:rPr>
          <w:noProof/>
        </w:rPr>
        <w:t>Entreprises et bénéficiaires concernés</w:t>
      </w:r>
    </w:p>
    <w:p w:rsidR="001A62D7" w:rsidRPr="005F0D45" w:rsidRDefault="001A62D7" w:rsidP="00AE7D04">
      <w:pPr>
        <w:pStyle w:val="ManualNumPar1"/>
        <w:rPr>
          <w:noProof/>
          <w:szCs w:val="24"/>
        </w:rPr>
      </w:pPr>
      <w:r>
        <w:rPr>
          <w:noProof/>
        </w:rPr>
        <w:t>5.</w:t>
      </w:r>
      <w:r>
        <w:rPr>
          <w:noProof/>
        </w:rPr>
        <w:tab/>
      </w:r>
      <w:r w:rsidRPr="005F0D45">
        <w:rPr>
          <w:noProof/>
        </w:rPr>
        <w:t>La demande concerne 313 travailleurs dont l’activité dans les secteurs des équipementiers automobiles énumérés dans la synthèse ci-dessus a cessé. Les emplois supprimés sont situés dans la région de niveau NUTS 2 de Galice (ES11).</w:t>
      </w:r>
    </w:p>
    <w:tbl>
      <w:tblPr>
        <w:tblW w:w="8340"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6"/>
        <w:gridCol w:w="144"/>
        <w:gridCol w:w="360"/>
        <w:gridCol w:w="2940"/>
        <w:gridCol w:w="667"/>
        <w:gridCol w:w="533"/>
      </w:tblGrid>
      <w:tr w:rsidR="001A62D7" w:rsidRPr="005F0D45" w:rsidTr="001D5990">
        <w:trPr>
          <w:trHeight w:val="284"/>
          <w:tblHeader/>
        </w:trPr>
        <w:tc>
          <w:tcPr>
            <w:tcW w:w="8340" w:type="dxa"/>
            <w:gridSpan w:val="6"/>
            <w:shd w:val="clear" w:color="auto" w:fill="D9D9D9" w:themeFill="background1" w:themeFillShade="D9"/>
          </w:tcPr>
          <w:p w:rsidR="001A62D7" w:rsidRPr="005F0D45" w:rsidRDefault="001A62D7" w:rsidP="001D5990">
            <w:pPr>
              <w:spacing w:beforeLines="20" w:before="48" w:afterLines="20" w:after="48" w:line="276" w:lineRule="auto"/>
              <w:ind w:left="57"/>
              <w:jc w:val="center"/>
              <w:rPr>
                <w:rFonts w:eastAsia="Calibri"/>
                <w:noProof/>
                <w:szCs w:val="24"/>
              </w:rPr>
            </w:pPr>
            <w:r w:rsidRPr="005F0D45">
              <w:rPr>
                <w:b/>
                <w:noProof/>
              </w:rPr>
              <w:t>Entreprises et nombre de licenciements intervenus durant la période de référence</w:t>
            </w:r>
          </w:p>
        </w:tc>
      </w:tr>
      <w:tr w:rsidR="00343140" w:rsidRPr="005F0D45" w:rsidTr="004D6E0D">
        <w:tc>
          <w:tcPr>
            <w:tcW w:w="3696" w:type="dxa"/>
            <w:tcBorders>
              <w:bottom w:val="dotted" w:sz="4" w:space="0" w:color="auto"/>
              <w:right w:val="dotted" w:sz="4" w:space="0" w:color="auto"/>
            </w:tcBorders>
          </w:tcPr>
          <w:p w:rsidR="00343140" w:rsidRPr="00020F58" w:rsidRDefault="00343140" w:rsidP="00343140">
            <w:pPr>
              <w:spacing w:before="0" w:after="0"/>
              <w:ind w:right="252"/>
              <w:jc w:val="left"/>
              <w:rPr>
                <w:noProof/>
                <w:sz w:val="20"/>
                <w:szCs w:val="20"/>
                <w:lang w:val="en-IE"/>
              </w:rPr>
            </w:pPr>
            <w:r w:rsidRPr="00020F58">
              <w:rPr>
                <w:noProof/>
                <w:color w:val="000000"/>
                <w:sz w:val="20"/>
                <w:lang w:val="en-IE"/>
              </w:rPr>
              <w:t>AKWEL VIGO SPAIN, S.L.</w:t>
            </w:r>
          </w:p>
        </w:tc>
        <w:tc>
          <w:tcPr>
            <w:tcW w:w="504" w:type="dxa"/>
            <w:gridSpan w:val="2"/>
            <w:tcBorders>
              <w:left w:val="dotted" w:sz="4" w:space="0" w:color="auto"/>
              <w:bottom w:val="dotted" w:sz="4" w:space="0" w:color="auto"/>
            </w:tcBorders>
            <w:vAlign w:val="center"/>
          </w:tcPr>
          <w:p w:rsidR="00343140" w:rsidRPr="005F0D45" w:rsidRDefault="00343140" w:rsidP="00343140">
            <w:pPr>
              <w:spacing w:before="0" w:after="0"/>
              <w:ind w:left="-828"/>
              <w:jc w:val="right"/>
              <w:rPr>
                <w:noProof/>
                <w:sz w:val="20"/>
                <w:szCs w:val="20"/>
              </w:rPr>
            </w:pPr>
            <w:r w:rsidRPr="005F0D45">
              <w:rPr>
                <w:noProof/>
                <w:sz w:val="20"/>
              </w:rPr>
              <w:t>85</w:t>
            </w:r>
          </w:p>
        </w:tc>
        <w:tc>
          <w:tcPr>
            <w:tcW w:w="3607" w:type="dxa"/>
            <w:gridSpan w:val="2"/>
            <w:tcBorders>
              <w:bottom w:val="dotted"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 xml:space="preserve">METALES Y MUEBLES ESPECIALES </w:t>
            </w:r>
            <w:r w:rsidRPr="005F0D45">
              <w:rPr>
                <w:noProof/>
                <w:color w:val="000000"/>
                <w:sz w:val="20"/>
              </w:rPr>
              <w:lastRenderedPageBreak/>
              <w:t xml:space="preserve">SL </w:t>
            </w:r>
          </w:p>
        </w:tc>
        <w:tc>
          <w:tcPr>
            <w:tcW w:w="533" w:type="dxa"/>
            <w:tcBorders>
              <w:left w:val="dotted" w:sz="4" w:space="0" w:color="auto"/>
              <w:bottom w:val="dotted" w:sz="4" w:space="0" w:color="auto"/>
            </w:tcBorders>
            <w:vAlign w:val="center"/>
          </w:tcPr>
          <w:p w:rsidR="00343140" w:rsidRPr="005F0D45" w:rsidRDefault="00343140" w:rsidP="00343140">
            <w:pPr>
              <w:spacing w:before="0" w:after="0"/>
              <w:ind w:left="-828"/>
              <w:jc w:val="right"/>
              <w:rPr>
                <w:noProof/>
                <w:sz w:val="20"/>
              </w:rPr>
            </w:pPr>
            <w:r w:rsidRPr="005F0D45">
              <w:rPr>
                <w:noProof/>
                <w:sz w:val="20"/>
              </w:rPr>
              <w:lastRenderedPageBreak/>
              <w:t>5</w:t>
            </w:r>
          </w:p>
        </w:tc>
      </w:tr>
      <w:tr w:rsidR="00343140" w:rsidRPr="005F0D45" w:rsidTr="004D6E0D">
        <w:trPr>
          <w:trHeight w:val="138"/>
        </w:trPr>
        <w:tc>
          <w:tcPr>
            <w:tcW w:w="3696" w:type="dxa"/>
            <w:tcBorders>
              <w:top w:val="dotted" w:sz="4" w:space="0" w:color="auto"/>
              <w:bottom w:val="dotted"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ALUMAN SISTEMAS, S.L.</w:t>
            </w:r>
          </w:p>
        </w:tc>
        <w:tc>
          <w:tcPr>
            <w:tcW w:w="504" w:type="dxa"/>
            <w:gridSpan w:val="2"/>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rPr>
            </w:pPr>
            <w:r w:rsidRPr="005F0D45">
              <w:rPr>
                <w:noProof/>
                <w:sz w:val="20"/>
              </w:rPr>
              <w:t>3</w:t>
            </w:r>
          </w:p>
        </w:tc>
        <w:tc>
          <w:tcPr>
            <w:tcW w:w="3607" w:type="dxa"/>
            <w:gridSpan w:val="2"/>
            <w:tcBorders>
              <w:top w:val="dotted" w:sz="4" w:space="0" w:color="auto"/>
              <w:bottom w:val="dotted" w:sz="4" w:space="0" w:color="auto"/>
              <w:right w:val="dotted" w:sz="4" w:space="0" w:color="auto"/>
            </w:tcBorders>
          </w:tcPr>
          <w:p w:rsidR="00343140" w:rsidRPr="00020F58" w:rsidRDefault="00343140" w:rsidP="00343140">
            <w:pPr>
              <w:spacing w:before="0" w:after="0"/>
              <w:jc w:val="left"/>
              <w:rPr>
                <w:noProof/>
                <w:sz w:val="20"/>
                <w:szCs w:val="20"/>
                <w:lang w:val="en-IE"/>
              </w:rPr>
            </w:pPr>
            <w:r w:rsidRPr="00020F58">
              <w:rPr>
                <w:noProof/>
                <w:color w:val="000000"/>
                <w:sz w:val="20"/>
                <w:lang w:val="en-IE"/>
              </w:rPr>
              <w:t>NERVION INDUSTRIES, ENGINEERING AND SERVICES SL</w:t>
            </w:r>
          </w:p>
        </w:tc>
        <w:tc>
          <w:tcPr>
            <w:tcW w:w="533" w:type="dxa"/>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rPr>
            </w:pPr>
            <w:r w:rsidRPr="005F0D45">
              <w:rPr>
                <w:noProof/>
                <w:sz w:val="20"/>
              </w:rPr>
              <w:t>4</w:t>
            </w:r>
          </w:p>
        </w:tc>
      </w:tr>
      <w:tr w:rsidR="00343140" w:rsidRPr="005F0D45" w:rsidTr="004D6E0D">
        <w:tc>
          <w:tcPr>
            <w:tcW w:w="3696" w:type="dxa"/>
            <w:tcBorders>
              <w:top w:val="dotted" w:sz="4" w:space="0" w:color="auto"/>
              <w:bottom w:val="dotted" w:sz="4" w:space="0" w:color="auto"/>
              <w:right w:val="dotted" w:sz="4" w:space="0" w:color="auto"/>
            </w:tcBorders>
          </w:tcPr>
          <w:p w:rsidR="00343140" w:rsidRPr="00020F58" w:rsidRDefault="00343140" w:rsidP="00343140">
            <w:pPr>
              <w:spacing w:before="0" w:after="0"/>
              <w:jc w:val="left"/>
              <w:rPr>
                <w:noProof/>
                <w:sz w:val="20"/>
                <w:szCs w:val="20"/>
                <w:lang w:val="en-IE"/>
              </w:rPr>
            </w:pPr>
            <w:r w:rsidRPr="00020F58">
              <w:rPr>
                <w:noProof/>
                <w:color w:val="000000"/>
                <w:sz w:val="20"/>
                <w:lang w:val="en-IE"/>
              </w:rPr>
              <w:t>BORGWARNER EMISSIONS SYSTEMS SPAIN SL</w:t>
            </w:r>
          </w:p>
        </w:tc>
        <w:tc>
          <w:tcPr>
            <w:tcW w:w="504" w:type="dxa"/>
            <w:gridSpan w:val="2"/>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szCs w:val="20"/>
              </w:rPr>
            </w:pPr>
            <w:r w:rsidRPr="005F0D45">
              <w:rPr>
                <w:noProof/>
                <w:sz w:val="20"/>
              </w:rPr>
              <w:t>39</w:t>
            </w:r>
          </w:p>
        </w:tc>
        <w:tc>
          <w:tcPr>
            <w:tcW w:w="3607" w:type="dxa"/>
            <w:gridSpan w:val="2"/>
            <w:tcBorders>
              <w:top w:val="dotted" w:sz="4" w:space="0" w:color="auto"/>
              <w:bottom w:val="dotted"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OFFSHORE WINDWAVES, SL</w:t>
            </w:r>
          </w:p>
        </w:tc>
        <w:tc>
          <w:tcPr>
            <w:tcW w:w="533" w:type="dxa"/>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szCs w:val="20"/>
              </w:rPr>
            </w:pPr>
            <w:r w:rsidRPr="005F0D45">
              <w:rPr>
                <w:noProof/>
                <w:sz w:val="20"/>
              </w:rPr>
              <w:t>6</w:t>
            </w:r>
          </w:p>
        </w:tc>
      </w:tr>
      <w:tr w:rsidR="00343140" w:rsidRPr="005F0D45" w:rsidTr="004D6E0D">
        <w:tc>
          <w:tcPr>
            <w:tcW w:w="3696" w:type="dxa"/>
            <w:tcBorders>
              <w:top w:val="dotted" w:sz="4" w:space="0" w:color="auto"/>
              <w:bottom w:val="dotted"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CABLERÍAS AUTO, S.L.</w:t>
            </w:r>
          </w:p>
        </w:tc>
        <w:tc>
          <w:tcPr>
            <w:tcW w:w="504" w:type="dxa"/>
            <w:gridSpan w:val="2"/>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szCs w:val="20"/>
              </w:rPr>
            </w:pPr>
            <w:r w:rsidRPr="005F0D45">
              <w:rPr>
                <w:noProof/>
                <w:sz w:val="20"/>
              </w:rPr>
              <w:t>2</w:t>
            </w:r>
          </w:p>
        </w:tc>
        <w:tc>
          <w:tcPr>
            <w:tcW w:w="3607" w:type="dxa"/>
            <w:gridSpan w:val="2"/>
            <w:tcBorders>
              <w:top w:val="dotted" w:sz="4" w:space="0" w:color="auto"/>
              <w:bottom w:val="dotted"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PEUGEOT CITROEN AUTOMOVILES ESPAÑA, SA</w:t>
            </w:r>
          </w:p>
        </w:tc>
        <w:tc>
          <w:tcPr>
            <w:tcW w:w="533" w:type="dxa"/>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szCs w:val="20"/>
              </w:rPr>
            </w:pPr>
            <w:r w:rsidRPr="005F0D45">
              <w:rPr>
                <w:noProof/>
                <w:sz w:val="20"/>
              </w:rPr>
              <w:t>6</w:t>
            </w:r>
          </w:p>
        </w:tc>
      </w:tr>
      <w:tr w:rsidR="00343140" w:rsidRPr="005F0D45" w:rsidTr="004D6E0D">
        <w:tc>
          <w:tcPr>
            <w:tcW w:w="3696" w:type="dxa"/>
            <w:tcBorders>
              <w:top w:val="dotted" w:sz="4" w:space="0" w:color="auto"/>
              <w:bottom w:val="dotted"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CENTRO TECNOLÓGICO DE AUTOMOCIÓN DE GALICIA (CTAG)</w:t>
            </w:r>
          </w:p>
        </w:tc>
        <w:tc>
          <w:tcPr>
            <w:tcW w:w="504" w:type="dxa"/>
            <w:gridSpan w:val="2"/>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szCs w:val="20"/>
              </w:rPr>
            </w:pPr>
            <w:r w:rsidRPr="005F0D45">
              <w:rPr>
                <w:noProof/>
                <w:sz w:val="20"/>
              </w:rPr>
              <w:t>32</w:t>
            </w:r>
          </w:p>
        </w:tc>
        <w:tc>
          <w:tcPr>
            <w:tcW w:w="3607" w:type="dxa"/>
            <w:gridSpan w:val="2"/>
            <w:tcBorders>
              <w:top w:val="dotted" w:sz="4" w:space="0" w:color="auto"/>
              <w:bottom w:val="dotted"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PREFABRICACION Y MONTAJES DEL NOROESTE SA</w:t>
            </w:r>
          </w:p>
        </w:tc>
        <w:tc>
          <w:tcPr>
            <w:tcW w:w="533" w:type="dxa"/>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szCs w:val="20"/>
              </w:rPr>
            </w:pPr>
            <w:r w:rsidRPr="005F0D45">
              <w:rPr>
                <w:noProof/>
                <w:sz w:val="20"/>
              </w:rPr>
              <w:t>1</w:t>
            </w:r>
          </w:p>
        </w:tc>
      </w:tr>
      <w:tr w:rsidR="00343140" w:rsidRPr="005F0D45" w:rsidTr="004D6E0D">
        <w:tc>
          <w:tcPr>
            <w:tcW w:w="3696" w:type="dxa"/>
            <w:tcBorders>
              <w:top w:val="dotted" w:sz="4" w:space="0" w:color="auto"/>
              <w:bottom w:val="dotted"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DIMALNOX SL</w:t>
            </w:r>
          </w:p>
        </w:tc>
        <w:tc>
          <w:tcPr>
            <w:tcW w:w="504" w:type="dxa"/>
            <w:gridSpan w:val="2"/>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szCs w:val="20"/>
              </w:rPr>
            </w:pPr>
            <w:r w:rsidRPr="005F0D45">
              <w:rPr>
                <w:noProof/>
                <w:sz w:val="20"/>
              </w:rPr>
              <w:t>6</w:t>
            </w:r>
          </w:p>
        </w:tc>
        <w:tc>
          <w:tcPr>
            <w:tcW w:w="3607" w:type="dxa"/>
            <w:gridSpan w:val="2"/>
            <w:tcBorders>
              <w:top w:val="dotted" w:sz="4" w:space="0" w:color="auto"/>
              <w:bottom w:val="dotted"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RUBÍ AUTOMOTIVE GALICIA, S.A.U.</w:t>
            </w:r>
          </w:p>
        </w:tc>
        <w:tc>
          <w:tcPr>
            <w:tcW w:w="533" w:type="dxa"/>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szCs w:val="20"/>
              </w:rPr>
            </w:pPr>
            <w:r w:rsidRPr="005F0D45">
              <w:rPr>
                <w:noProof/>
                <w:sz w:val="20"/>
              </w:rPr>
              <w:t>1</w:t>
            </w:r>
          </w:p>
        </w:tc>
      </w:tr>
      <w:tr w:rsidR="00343140" w:rsidRPr="005F0D45" w:rsidTr="004D6E0D">
        <w:tc>
          <w:tcPr>
            <w:tcW w:w="3696" w:type="dxa"/>
            <w:tcBorders>
              <w:top w:val="dotted" w:sz="4" w:space="0" w:color="auto"/>
              <w:bottom w:val="dotted"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GKN DRIVELINE VIGO SA</w:t>
            </w:r>
          </w:p>
        </w:tc>
        <w:tc>
          <w:tcPr>
            <w:tcW w:w="504" w:type="dxa"/>
            <w:gridSpan w:val="2"/>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rPr>
            </w:pPr>
            <w:r w:rsidRPr="005F0D45">
              <w:rPr>
                <w:noProof/>
                <w:sz w:val="20"/>
              </w:rPr>
              <w:t>1</w:t>
            </w:r>
          </w:p>
        </w:tc>
        <w:tc>
          <w:tcPr>
            <w:tcW w:w="3607" w:type="dxa"/>
            <w:gridSpan w:val="2"/>
            <w:tcBorders>
              <w:top w:val="dotted" w:sz="4" w:space="0" w:color="auto"/>
              <w:bottom w:val="dotted"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SISTEMAS TECNICOS DEL ACCESORIO Y COMPONENTES SL</w:t>
            </w:r>
          </w:p>
        </w:tc>
        <w:tc>
          <w:tcPr>
            <w:tcW w:w="533" w:type="dxa"/>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rPr>
            </w:pPr>
            <w:r w:rsidRPr="005F0D45">
              <w:rPr>
                <w:noProof/>
                <w:sz w:val="20"/>
              </w:rPr>
              <w:t>7</w:t>
            </w:r>
          </w:p>
        </w:tc>
      </w:tr>
      <w:tr w:rsidR="00343140" w:rsidRPr="005F0D45" w:rsidTr="004D6E0D">
        <w:tc>
          <w:tcPr>
            <w:tcW w:w="3696" w:type="dxa"/>
            <w:tcBorders>
              <w:top w:val="dotted" w:sz="4" w:space="0" w:color="auto"/>
              <w:bottom w:val="dotted"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 xml:space="preserve">INDUSTRIAL DE ACABADOS SA </w:t>
            </w:r>
          </w:p>
        </w:tc>
        <w:tc>
          <w:tcPr>
            <w:tcW w:w="504" w:type="dxa"/>
            <w:gridSpan w:val="2"/>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rPr>
            </w:pPr>
            <w:r w:rsidRPr="005F0D45">
              <w:rPr>
                <w:noProof/>
                <w:sz w:val="20"/>
              </w:rPr>
              <w:t>9</w:t>
            </w:r>
          </w:p>
        </w:tc>
        <w:tc>
          <w:tcPr>
            <w:tcW w:w="3607" w:type="dxa"/>
            <w:gridSpan w:val="2"/>
            <w:tcBorders>
              <w:top w:val="dotted" w:sz="4" w:space="0" w:color="auto"/>
              <w:bottom w:val="dotted"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STELLANTIS ESPAÑA, S.L.</w:t>
            </w:r>
          </w:p>
        </w:tc>
        <w:tc>
          <w:tcPr>
            <w:tcW w:w="533" w:type="dxa"/>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rPr>
            </w:pPr>
            <w:r w:rsidRPr="005F0D45">
              <w:rPr>
                <w:noProof/>
                <w:sz w:val="20"/>
              </w:rPr>
              <w:t>33</w:t>
            </w:r>
          </w:p>
        </w:tc>
      </w:tr>
      <w:tr w:rsidR="00343140" w:rsidRPr="005F0D45" w:rsidTr="004D6E0D">
        <w:tc>
          <w:tcPr>
            <w:tcW w:w="3696" w:type="dxa"/>
            <w:tcBorders>
              <w:top w:val="dotted" w:sz="4" w:space="0" w:color="auto"/>
              <w:bottom w:val="dotted"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INGENIERIA Y MONTAJES RIAS BAJAS, SA</w:t>
            </w:r>
          </w:p>
        </w:tc>
        <w:tc>
          <w:tcPr>
            <w:tcW w:w="504" w:type="dxa"/>
            <w:gridSpan w:val="2"/>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rPr>
            </w:pPr>
            <w:r w:rsidRPr="005F0D45">
              <w:rPr>
                <w:noProof/>
                <w:sz w:val="20"/>
              </w:rPr>
              <w:t>8</w:t>
            </w:r>
          </w:p>
        </w:tc>
        <w:tc>
          <w:tcPr>
            <w:tcW w:w="3607" w:type="dxa"/>
            <w:gridSpan w:val="2"/>
            <w:tcBorders>
              <w:top w:val="dotted" w:sz="4" w:space="0" w:color="auto"/>
              <w:bottom w:val="dotted"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TROQUELES Y MOLDES DE GALICIA, S.A.-TROMOSA</w:t>
            </w:r>
          </w:p>
        </w:tc>
        <w:tc>
          <w:tcPr>
            <w:tcW w:w="533" w:type="dxa"/>
            <w:tcBorders>
              <w:top w:val="dotted" w:sz="4" w:space="0" w:color="auto"/>
              <w:left w:val="dotted" w:sz="4" w:space="0" w:color="auto"/>
              <w:bottom w:val="dotted" w:sz="4" w:space="0" w:color="auto"/>
            </w:tcBorders>
            <w:vAlign w:val="center"/>
          </w:tcPr>
          <w:p w:rsidR="00343140" w:rsidRPr="005F0D45" w:rsidRDefault="00343140" w:rsidP="00343140">
            <w:pPr>
              <w:spacing w:before="0" w:after="0"/>
              <w:ind w:left="-828"/>
              <w:jc w:val="right"/>
              <w:rPr>
                <w:noProof/>
                <w:sz w:val="20"/>
              </w:rPr>
            </w:pPr>
            <w:r w:rsidRPr="005F0D45">
              <w:rPr>
                <w:noProof/>
                <w:sz w:val="20"/>
              </w:rPr>
              <w:t>58</w:t>
            </w:r>
          </w:p>
        </w:tc>
      </w:tr>
      <w:tr w:rsidR="00343140" w:rsidRPr="005F0D45" w:rsidTr="004D6E0D">
        <w:tc>
          <w:tcPr>
            <w:tcW w:w="3696" w:type="dxa"/>
            <w:tcBorders>
              <w:top w:val="dotted" w:sz="4" w:space="0" w:color="auto"/>
              <w:bottom w:val="single" w:sz="4" w:space="0" w:color="auto"/>
              <w:right w:val="dotted" w:sz="4" w:space="0" w:color="auto"/>
            </w:tcBorders>
          </w:tcPr>
          <w:p w:rsidR="00343140" w:rsidRPr="00020F58" w:rsidRDefault="00343140" w:rsidP="00343140">
            <w:pPr>
              <w:spacing w:before="0" w:after="0"/>
              <w:jc w:val="left"/>
              <w:rPr>
                <w:noProof/>
                <w:sz w:val="20"/>
                <w:szCs w:val="20"/>
                <w:lang w:val="en-IE"/>
              </w:rPr>
            </w:pPr>
            <w:r w:rsidRPr="00020F58">
              <w:rPr>
                <w:noProof/>
                <w:color w:val="000000"/>
                <w:sz w:val="20"/>
                <w:lang w:val="en-IE"/>
              </w:rPr>
              <w:t>MAGNA SEATING VIGO, S.A.U.</w:t>
            </w:r>
          </w:p>
        </w:tc>
        <w:tc>
          <w:tcPr>
            <w:tcW w:w="504" w:type="dxa"/>
            <w:gridSpan w:val="2"/>
            <w:tcBorders>
              <w:top w:val="dotted" w:sz="4" w:space="0" w:color="auto"/>
              <w:left w:val="dotted" w:sz="4" w:space="0" w:color="auto"/>
              <w:bottom w:val="single" w:sz="4" w:space="0" w:color="auto"/>
            </w:tcBorders>
            <w:vAlign w:val="center"/>
          </w:tcPr>
          <w:p w:rsidR="00343140" w:rsidRPr="005F0D45" w:rsidRDefault="00343140" w:rsidP="00343140">
            <w:pPr>
              <w:spacing w:before="0" w:after="0"/>
              <w:ind w:left="-828"/>
              <w:jc w:val="right"/>
              <w:rPr>
                <w:noProof/>
                <w:sz w:val="20"/>
              </w:rPr>
            </w:pPr>
            <w:r w:rsidRPr="005F0D45">
              <w:rPr>
                <w:noProof/>
                <w:sz w:val="20"/>
              </w:rPr>
              <w:t>2</w:t>
            </w:r>
          </w:p>
        </w:tc>
        <w:tc>
          <w:tcPr>
            <w:tcW w:w="3607" w:type="dxa"/>
            <w:gridSpan w:val="2"/>
            <w:tcBorders>
              <w:top w:val="dotted" w:sz="4" w:space="0" w:color="auto"/>
              <w:bottom w:val="single" w:sz="4" w:space="0" w:color="auto"/>
              <w:right w:val="dotted" w:sz="4" w:space="0" w:color="auto"/>
            </w:tcBorders>
          </w:tcPr>
          <w:p w:rsidR="00343140" w:rsidRPr="005F0D45" w:rsidRDefault="00343140" w:rsidP="00343140">
            <w:pPr>
              <w:spacing w:before="0" w:after="0"/>
              <w:jc w:val="left"/>
              <w:rPr>
                <w:noProof/>
                <w:sz w:val="20"/>
                <w:szCs w:val="20"/>
              </w:rPr>
            </w:pPr>
            <w:r w:rsidRPr="005F0D45">
              <w:rPr>
                <w:noProof/>
                <w:color w:val="000000"/>
                <w:sz w:val="20"/>
              </w:rPr>
              <w:t>WINDAR MP SL</w:t>
            </w:r>
          </w:p>
        </w:tc>
        <w:tc>
          <w:tcPr>
            <w:tcW w:w="533" w:type="dxa"/>
            <w:tcBorders>
              <w:top w:val="dotted" w:sz="4" w:space="0" w:color="auto"/>
              <w:left w:val="dotted" w:sz="4" w:space="0" w:color="auto"/>
              <w:bottom w:val="single" w:sz="4" w:space="0" w:color="auto"/>
            </w:tcBorders>
            <w:vAlign w:val="center"/>
          </w:tcPr>
          <w:p w:rsidR="00343140" w:rsidRPr="005F0D45" w:rsidRDefault="00343140" w:rsidP="00343140">
            <w:pPr>
              <w:spacing w:before="0" w:after="0"/>
              <w:ind w:left="-828"/>
              <w:jc w:val="right"/>
              <w:rPr>
                <w:noProof/>
                <w:sz w:val="20"/>
              </w:rPr>
            </w:pPr>
            <w:r w:rsidRPr="005F0D45">
              <w:rPr>
                <w:noProof/>
                <w:sz w:val="20"/>
              </w:rPr>
              <w:t>5</w:t>
            </w:r>
          </w:p>
        </w:tc>
      </w:tr>
      <w:tr w:rsidR="00A10F73" w:rsidRPr="005F0D45" w:rsidTr="001D5990">
        <w:trPr>
          <w:trHeight w:val="284"/>
        </w:trPr>
        <w:tc>
          <w:tcPr>
            <w:tcW w:w="3840" w:type="dxa"/>
            <w:gridSpan w:val="2"/>
            <w:tcBorders>
              <w:bottom w:val="nil"/>
              <w:right w:val="nil"/>
            </w:tcBorders>
            <w:shd w:val="clear" w:color="auto" w:fill="E6E6E6"/>
            <w:vAlign w:val="center"/>
          </w:tcPr>
          <w:p w:rsidR="00A10F73" w:rsidRPr="005F0D45" w:rsidRDefault="00A10F73" w:rsidP="00A10F73">
            <w:pPr>
              <w:spacing w:beforeLines="20" w:before="48" w:afterLines="20" w:after="48" w:line="276" w:lineRule="auto"/>
              <w:ind w:left="57"/>
              <w:jc w:val="left"/>
              <w:rPr>
                <w:rFonts w:eastAsia="Calibri"/>
                <w:b/>
                <w:noProof/>
                <w:szCs w:val="24"/>
              </w:rPr>
            </w:pPr>
            <w:r w:rsidRPr="005F0D45">
              <w:rPr>
                <w:noProof/>
              </w:rPr>
              <w:br w:type="page"/>
            </w:r>
            <w:r w:rsidRPr="005F0D45">
              <w:rPr>
                <w:b/>
                <w:noProof/>
              </w:rPr>
              <w:t>Nombre total d’entreprises:</w:t>
            </w:r>
            <w:r w:rsidRPr="005F0D45">
              <w:rPr>
                <w:b/>
                <w:noProof/>
                <w:sz w:val="22"/>
              </w:rPr>
              <w:t xml:space="preserve"> </w:t>
            </w:r>
            <w:r w:rsidRPr="005F0D45">
              <w:rPr>
                <w:b/>
                <w:noProof/>
              </w:rPr>
              <w:t>20</w:t>
            </w:r>
          </w:p>
        </w:tc>
        <w:tc>
          <w:tcPr>
            <w:tcW w:w="3300" w:type="dxa"/>
            <w:gridSpan w:val="2"/>
            <w:tcBorders>
              <w:left w:val="nil"/>
              <w:bottom w:val="nil"/>
              <w:right w:val="nil"/>
            </w:tcBorders>
            <w:shd w:val="clear" w:color="auto" w:fill="E6E6E6"/>
            <w:vAlign w:val="center"/>
          </w:tcPr>
          <w:p w:rsidR="00A10F73" w:rsidRPr="005F0D45" w:rsidRDefault="00A10F73" w:rsidP="00A10F73">
            <w:pPr>
              <w:spacing w:beforeLines="20" w:before="48" w:afterLines="20" w:after="48" w:line="276" w:lineRule="auto"/>
              <w:ind w:left="57" w:right="227"/>
              <w:jc w:val="left"/>
              <w:rPr>
                <w:rFonts w:eastAsia="Calibri"/>
                <w:b/>
                <w:noProof/>
                <w:szCs w:val="24"/>
              </w:rPr>
            </w:pPr>
            <w:r w:rsidRPr="005F0D45">
              <w:rPr>
                <w:b/>
                <w:noProof/>
              </w:rPr>
              <w:t>Nombre total de licenciements:</w:t>
            </w:r>
            <w:r w:rsidRPr="005F0D45">
              <w:rPr>
                <w:b/>
                <w:noProof/>
                <w:sz w:val="22"/>
              </w:rPr>
              <w:t xml:space="preserve"> </w:t>
            </w:r>
          </w:p>
        </w:tc>
        <w:tc>
          <w:tcPr>
            <w:tcW w:w="1200" w:type="dxa"/>
            <w:gridSpan w:val="2"/>
            <w:tcBorders>
              <w:left w:val="nil"/>
              <w:bottom w:val="nil"/>
            </w:tcBorders>
            <w:shd w:val="clear" w:color="auto" w:fill="E6E6E6"/>
            <w:vAlign w:val="center"/>
          </w:tcPr>
          <w:p w:rsidR="00A10F73" w:rsidRPr="005F0D45" w:rsidRDefault="00343140" w:rsidP="00A10F73">
            <w:pPr>
              <w:spacing w:beforeLines="20" w:before="48" w:afterLines="20" w:after="48" w:line="276" w:lineRule="auto"/>
              <w:ind w:left="57" w:right="227"/>
              <w:jc w:val="left"/>
              <w:rPr>
                <w:rFonts w:eastAsia="Calibri"/>
                <w:b/>
                <w:noProof/>
                <w:szCs w:val="24"/>
              </w:rPr>
            </w:pPr>
            <w:r w:rsidRPr="005F0D45">
              <w:rPr>
                <w:b/>
                <w:noProof/>
              </w:rPr>
              <w:t>313</w:t>
            </w:r>
          </w:p>
        </w:tc>
      </w:tr>
      <w:tr w:rsidR="00A10F73" w:rsidRPr="005F0D45" w:rsidTr="001D5990">
        <w:trPr>
          <w:trHeight w:val="284"/>
        </w:trPr>
        <w:tc>
          <w:tcPr>
            <w:tcW w:w="7140" w:type="dxa"/>
            <w:gridSpan w:val="4"/>
            <w:tcBorders>
              <w:top w:val="nil"/>
              <w:right w:val="nil"/>
            </w:tcBorders>
            <w:shd w:val="clear" w:color="auto" w:fill="E6E6E6"/>
            <w:vAlign w:val="center"/>
          </w:tcPr>
          <w:p w:rsidR="00A10F73" w:rsidRPr="005F0D45" w:rsidRDefault="00A10F73" w:rsidP="00A10F73">
            <w:pPr>
              <w:spacing w:beforeLines="20" w:before="48" w:afterLines="20" w:after="48" w:line="276" w:lineRule="auto"/>
              <w:ind w:left="57"/>
              <w:jc w:val="left"/>
              <w:rPr>
                <w:rFonts w:eastAsia="Calibri"/>
                <w:b/>
                <w:noProof/>
                <w:szCs w:val="24"/>
              </w:rPr>
            </w:pPr>
            <w:r w:rsidRPr="005F0D45">
              <w:rPr>
                <w:b/>
                <w:noProof/>
              </w:rPr>
              <w:t xml:space="preserve">Nombre total de travailleurs éligibles: </w:t>
            </w:r>
          </w:p>
        </w:tc>
        <w:tc>
          <w:tcPr>
            <w:tcW w:w="1200" w:type="dxa"/>
            <w:gridSpan w:val="2"/>
            <w:tcBorders>
              <w:top w:val="nil"/>
              <w:left w:val="nil"/>
            </w:tcBorders>
            <w:shd w:val="clear" w:color="auto" w:fill="E6E6E6"/>
            <w:vAlign w:val="center"/>
          </w:tcPr>
          <w:p w:rsidR="00A10F73" w:rsidRPr="005F0D45" w:rsidRDefault="00343140" w:rsidP="00A10F73">
            <w:pPr>
              <w:spacing w:beforeLines="20" w:before="48" w:afterLines="20" w:after="48" w:line="276" w:lineRule="auto"/>
              <w:ind w:left="57" w:right="227"/>
              <w:jc w:val="left"/>
              <w:rPr>
                <w:rFonts w:eastAsia="Calibri"/>
                <w:b/>
                <w:noProof/>
                <w:szCs w:val="24"/>
              </w:rPr>
            </w:pPr>
            <w:r w:rsidRPr="005F0D45">
              <w:rPr>
                <w:b/>
                <w:noProof/>
              </w:rPr>
              <w:t>313</w:t>
            </w:r>
          </w:p>
        </w:tc>
      </w:tr>
    </w:tbl>
    <w:p w:rsidR="001A62D7" w:rsidRPr="005F0D45" w:rsidRDefault="001A62D7" w:rsidP="001A62D7">
      <w:pPr>
        <w:pStyle w:val="ManualHeading3"/>
        <w:rPr>
          <w:noProof/>
        </w:rPr>
      </w:pPr>
      <w:r w:rsidRPr="005F0D45">
        <w:rPr>
          <w:noProof/>
        </w:rPr>
        <w:t>Critères d’intervention</w:t>
      </w:r>
    </w:p>
    <w:p w:rsidR="001A62D7" w:rsidRPr="005F0D45" w:rsidRDefault="00FB1E28" w:rsidP="001A62D7">
      <w:pPr>
        <w:pStyle w:val="ManualNumPar1"/>
        <w:rPr>
          <w:noProof/>
        </w:rPr>
      </w:pPr>
      <w:r>
        <w:rPr>
          <w:noProof/>
        </w:rPr>
        <w:t>6.</w:t>
      </w:r>
      <w:r>
        <w:rPr>
          <w:noProof/>
        </w:rPr>
        <w:tab/>
      </w:r>
      <w:r w:rsidRPr="005F0D45">
        <w:rPr>
          <w:noProof/>
        </w:rPr>
        <w:t>L’Espagne a présenté la demande au titre du critère d’intervention prévu à l’article 4, paragraphe 2, point c), du règlement (UE) 2021/691, qui exige la cessation d’activité d’au moins 200 travailleurs licenciés sur une période de référence de quatre mois, dans des entreprises opérant dans des secteurs d’activité économique identiques ou différents définis au niveau de la NACE Rév. 2 et situées dans la même région de niveau de NUTS 2 d’un État membre. Il y a eu 313 travailleurs licenciés dans la région de niveau NUTS 2 de Galice (ES11).</w:t>
      </w:r>
    </w:p>
    <w:p w:rsidR="001A62D7" w:rsidRPr="005F0D45" w:rsidRDefault="001A62D7" w:rsidP="00DB409E">
      <w:pPr>
        <w:pStyle w:val="ManualNumPar1"/>
        <w:rPr>
          <w:noProof/>
        </w:rPr>
      </w:pPr>
      <w:r>
        <w:rPr>
          <w:noProof/>
        </w:rPr>
        <w:t>7.</w:t>
      </w:r>
      <w:r>
        <w:rPr>
          <w:noProof/>
        </w:rPr>
        <w:tab/>
      </w:r>
      <w:bookmarkStart w:id="7" w:name="_Ref372189348"/>
      <w:r w:rsidRPr="005F0D45">
        <w:rPr>
          <w:noProof/>
        </w:rPr>
        <w:t xml:space="preserve">La période de référence de quatre mois retenue pour la demande s’étend du 15 septembre 2025 au </w:t>
      </w:r>
      <w:bookmarkEnd w:id="7"/>
      <w:r w:rsidRPr="005F0D45">
        <w:rPr>
          <w:noProof/>
        </w:rPr>
        <w:t xml:space="preserve">15 janvier 2026. </w:t>
      </w:r>
    </w:p>
    <w:p w:rsidR="001A62D7" w:rsidRPr="005F0D45" w:rsidRDefault="001A62D7" w:rsidP="001A62D7">
      <w:pPr>
        <w:pStyle w:val="ManualHeading3"/>
        <w:rPr>
          <w:noProof/>
        </w:rPr>
      </w:pPr>
      <w:r w:rsidRPr="005F0D45">
        <w:rPr>
          <w:noProof/>
        </w:rPr>
        <w:t>Calcul des licenciements et de la cessation d’activité</w:t>
      </w:r>
    </w:p>
    <w:p w:rsidR="00DB409E" w:rsidRPr="005F0D45" w:rsidRDefault="001A62D7" w:rsidP="00DB409E">
      <w:pPr>
        <w:pStyle w:val="ManualNumPar1"/>
        <w:rPr>
          <w:noProof/>
        </w:rPr>
      </w:pPr>
      <w:r>
        <w:rPr>
          <w:noProof/>
        </w:rPr>
        <w:t>8.</w:t>
      </w:r>
      <w:r>
        <w:rPr>
          <w:noProof/>
        </w:rPr>
        <w:tab/>
      </w:r>
      <w:r w:rsidRPr="005F0D45">
        <w:rPr>
          <w:noProof/>
        </w:rPr>
        <w:t xml:space="preserve">Conformément à l’article 6, premier alinéa, point a), lu en combinaison avec l’article 5, premier alinéa, point c), du règlement (UE) 2021/691, le nombre de travailleurs concernés par les licenciements intervenus durant la période de référence a été calculé à partir de la date de la résiliation de fait du contrat de travail ou de son expiration. </w:t>
      </w:r>
    </w:p>
    <w:p w:rsidR="001A62D7" w:rsidRPr="005F0D45" w:rsidRDefault="001A62D7" w:rsidP="001A62D7">
      <w:pPr>
        <w:pStyle w:val="ManualHeading3"/>
        <w:rPr>
          <w:noProof/>
        </w:rPr>
      </w:pPr>
      <w:r w:rsidRPr="005F0D45">
        <w:rPr>
          <w:noProof/>
        </w:rPr>
        <w:t>Bénéficiaires éligibles</w:t>
      </w:r>
    </w:p>
    <w:p w:rsidR="001A62D7" w:rsidRPr="005F0D45" w:rsidRDefault="001A62D7" w:rsidP="00AE7D04">
      <w:pPr>
        <w:pStyle w:val="ManualNumPar1"/>
        <w:rPr>
          <w:noProof/>
        </w:rPr>
      </w:pPr>
      <w:r>
        <w:rPr>
          <w:noProof/>
        </w:rPr>
        <w:t>9.</w:t>
      </w:r>
      <w:r>
        <w:rPr>
          <w:noProof/>
        </w:rPr>
        <w:tab/>
      </w:r>
      <w:r w:rsidRPr="005F0D45">
        <w:rPr>
          <w:noProof/>
        </w:rPr>
        <w:t>Outre les travailleurs déjà mentionnés, les bénéficiaires éligibles comprennent 358 travailleurs licenciés issus des mêmes entreprises, dont l’activité a cessé avant ou après la période de référence de quatre mois. Tous ces travailleurs ont cessé leur activité dans les six mois précédant le début de la période de référence, le 15 septembre 2025, et/ou entre la fin de la période de référence et la veille de l’adoption de la présente proposition, conformément à l’article 6, premier alinéa, point b), du règlement (UE) 2021/691, comme l’exige l’article 6, deuxième alinéa, dudit règlement. Un lien de causalité clair peut être établi avec l’événement qui a déclenché la cessation d’activité des travailleurs licenciés au cours de la période de référence, comme l’exige l’article 6, deuxième alinéa, du règlement (UE) 2021/691.</w:t>
      </w:r>
    </w:p>
    <w:p w:rsidR="001A62D7" w:rsidRPr="005F0D45" w:rsidRDefault="001A62D7" w:rsidP="00AE7D04">
      <w:pPr>
        <w:pStyle w:val="ManualNumPar1"/>
        <w:rPr>
          <w:noProof/>
        </w:rPr>
      </w:pPr>
      <w:r>
        <w:rPr>
          <w:noProof/>
        </w:rPr>
        <w:lastRenderedPageBreak/>
        <w:t>10.</w:t>
      </w:r>
      <w:r>
        <w:rPr>
          <w:noProof/>
        </w:rPr>
        <w:tab/>
      </w:r>
      <w:r w:rsidRPr="005F0D45">
        <w:rPr>
          <w:noProof/>
        </w:rPr>
        <w:t>Le nombre total de bénéficiaires éligibles s’élève à 671.</w:t>
      </w:r>
    </w:p>
    <w:p w:rsidR="001A62D7" w:rsidRPr="005F0D45" w:rsidRDefault="001A62D7" w:rsidP="001A62D7">
      <w:pPr>
        <w:pStyle w:val="ManualHeading3"/>
        <w:rPr>
          <w:noProof/>
        </w:rPr>
      </w:pPr>
      <w:r w:rsidRPr="005F0D45">
        <w:rPr>
          <w:noProof/>
        </w:rPr>
        <w:t>Description des événements ayant conduit aux licenciements et à la cessation d’activité</w:t>
      </w:r>
    </w:p>
    <w:p w:rsidR="000C62BC" w:rsidRPr="005F0D45" w:rsidRDefault="000C62BC" w:rsidP="000C62BC">
      <w:pPr>
        <w:pStyle w:val="ManualNumPar1"/>
        <w:rPr>
          <w:noProof/>
        </w:rPr>
      </w:pPr>
      <w:r>
        <w:rPr>
          <w:noProof/>
        </w:rPr>
        <w:t>11.</w:t>
      </w:r>
      <w:r>
        <w:rPr>
          <w:noProof/>
        </w:rPr>
        <w:tab/>
      </w:r>
      <w:r w:rsidRPr="005F0D45">
        <w:rPr>
          <w:noProof/>
        </w:rPr>
        <w:t>Depuis 2024, le secteur espagnol des équipementiers automobiles connaît une dégradation continue. En octobre 2025, l’association professionnelle du secteur (Sernauto) a revu à la baisse ses prévisions pour la fin de l’année, anticipant une diminution de près de 2 % du chiffre d’affaires et un recul de 1 % de l’emploi (3 000 emplois), soit une deuxième année consécutive de baisse globale</w:t>
      </w:r>
      <w:r w:rsidR="007E4E97" w:rsidRPr="005F0D45">
        <w:rPr>
          <w:rStyle w:val="FootnoteReference"/>
          <w:noProof/>
        </w:rPr>
        <w:footnoteReference w:id="5"/>
      </w:r>
      <w:r w:rsidRPr="005F0D45">
        <w:rPr>
          <w:noProof/>
        </w:rPr>
        <w:t>. En 2024, le secteur a enregistré un chiffre d’affaires de 41 238 milliards d’EUR, un recul de 0,7 % par rapport à l’année précédente et une diminution de 0,7 % de l’emploi direct</w:t>
      </w:r>
      <w:r w:rsidR="007E4E97" w:rsidRPr="005F0D45">
        <w:rPr>
          <w:rStyle w:val="FootnoteReference"/>
          <w:noProof/>
        </w:rPr>
        <w:footnoteReference w:id="6"/>
      </w:r>
      <w:r w:rsidRPr="005F0D45">
        <w:rPr>
          <w:noProof/>
        </w:rPr>
        <w:t>, parallèlement à une forte baisse des investissements productifs (-12,3 %) et des dépenses de recherche et développement (-2 %). Ces chiffres confirment que cet ajustement n’est pas de nature conjoncturelle, mais qu’il traduit plutôt une restructuration des marges et des volumes sur les marchés clients des fournisseurs espagnols de composants automobiles.</w:t>
      </w:r>
    </w:p>
    <w:p w:rsidR="00AE5452" w:rsidRPr="005F0D45" w:rsidRDefault="000C62BC" w:rsidP="000C62BC">
      <w:pPr>
        <w:pStyle w:val="ManualNumPar1"/>
        <w:rPr>
          <w:noProof/>
        </w:rPr>
      </w:pPr>
      <w:r>
        <w:rPr>
          <w:noProof/>
        </w:rPr>
        <w:t>12.</w:t>
      </w:r>
      <w:r>
        <w:rPr>
          <w:noProof/>
        </w:rPr>
        <w:tab/>
      </w:r>
      <w:r w:rsidRPr="005F0D45">
        <w:rPr>
          <w:noProof/>
        </w:rPr>
        <w:t xml:space="preserve">La forte orientation à l’exportation des entreprises galiciennes de fabrication de composants automobiles — qui destinent 60 à 70 % de leur production à l’Union européenne — implique que toute fluctuation de la demande européenne a une incidence directe sur leur activité, leur charge de travail et la stabilité de l’emploi. </w:t>
      </w:r>
    </w:p>
    <w:p w:rsidR="000C62BC" w:rsidRPr="005F0D45" w:rsidRDefault="00AE5452" w:rsidP="00AE5452">
      <w:pPr>
        <w:pStyle w:val="ManualNumPar1"/>
        <w:rPr>
          <w:noProof/>
        </w:rPr>
      </w:pPr>
      <w:r>
        <w:rPr>
          <w:noProof/>
        </w:rPr>
        <w:t>13.</w:t>
      </w:r>
      <w:r>
        <w:rPr>
          <w:noProof/>
        </w:rPr>
        <w:tab/>
      </w:r>
      <w:r w:rsidRPr="005F0D45">
        <w:rPr>
          <w:noProof/>
        </w:rPr>
        <w:t>La conjugaison d’une demande européenne plus faible que prévu, des perturbations des échanges commerciaux et des chaînes d’approvisionnement — qui compromettent la stabilité des achats et le lancement de nouveaux modèles — et de la réorientation des investissements vers les plateformes électrifiées et une plus forte intégration de composants électroniques entraîne des suppressions d’emplois dans la région de Vigo (Stellantis, son réseau de sous-traitants et ses équipementiers).</w:t>
      </w:r>
    </w:p>
    <w:p w:rsidR="006B5FAA" w:rsidRPr="005F0D45" w:rsidRDefault="000C62BC" w:rsidP="000C62BC">
      <w:pPr>
        <w:pStyle w:val="ManualNumPar1"/>
        <w:rPr>
          <w:noProof/>
        </w:rPr>
      </w:pPr>
      <w:r>
        <w:rPr>
          <w:noProof/>
        </w:rPr>
        <w:t>14.</w:t>
      </w:r>
      <w:r>
        <w:rPr>
          <w:noProof/>
        </w:rPr>
        <w:tab/>
      </w:r>
      <w:r w:rsidRPr="005F0D45">
        <w:rPr>
          <w:noProof/>
        </w:rPr>
        <w:t>L’indicateur du coût de la main-d’œuvre par véhicule, qui rapporte les dépenses totales de main-d’œuvre au nombre d’unités produites, est devenu une variable déterminante dans un contexte d’électrification et de resserrement des marges. Les pays où le coût de la main-d’œuvre est faible, comme le Maroc (90 EUR par véhicule) et la Turquie (350 EUR), absorbent une grande partie des nouvelles capacités industrielles, tandis que les pays à coût intermédiaire, comme l’Espagne (850 EUR)</w:t>
      </w:r>
      <w:r w:rsidR="000E796A" w:rsidRPr="005F0D45">
        <w:rPr>
          <w:rStyle w:val="FootnoteReference"/>
          <w:noProof/>
        </w:rPr>
        <w:footnoteReference w:id="7"/>
      </w:r>
      <w:r w:rsidRPr="005F0D45">
        <w:rPr>
          <w:noProof/>
        </w:rPr>
        <w:t>, doivent préserver leur compétitivité en améliorant leur efficacité, en se spécialisant davantage et en renforçant leur logistique, ce qui accentue encore la pression, notamment dans les segments à faibles marges.</w:t>
      </w:r>
    </w:p>
    <w:p w:rsidR="001A62D7" w:rsidRPr="005F0D45" w:rsidRDefault="00A02E1B" w:rsidP="000C62BC">
      <w:pPr>
        <w:pStyle w:val="ManualNumPar1"/>
        <w:rPr>
          <w:noProof/>
        </w:rPr>
      </w:pPr>
      <w:r>
        <w:rPr>
          <w:noProof/>
        </w:rPr>
        <w:t>15.</w:t>
      </w:r>
      <w:r>
        <w:rPr>
          <w:noProof/>
        </w:rPr>
        <w:tab/>
      </w:r>
      <w:r w:rsidRPr="005F0D45">
        <w:rPr>
          <w:noProof/>
        </w:rPr>
        <w:t>La combinaison de tous ces facteurs a imposé des ajustements structurels tout au long de la chaîne de valeur du secteur automobile en Galice, se traduisant par des dispositifs de chômage temporaire et des licenciements (par exemple chez Stellantis, Akwel Vigo Spain ou CTAG), des procédures d’insolvabilité engagées par les créanciers ainsi que des liquidations (par exemple Cablerías Auto S.L. ou Troqueles y Moldes de Galicia).</w:t>
      </w:r>
    </w:p>
    <w:p w:rsidR="001A62D7" w:rsidRPr="005F0D45" w:rsidRDefault="001A62D7" w:rsidP="001A62D7">
      <w:pPr>
        <w:pStyle w:val="ManualHeading3"/>
        <w:tabs>
          <w:tab w:val="clear" w:pos="850"/>
          <w:tab w:val="left" w:pos="0"/>
        </w:tabs>
        <w:ind w:left="0" w:firstLine="0"/>
        <w:rPr>
          <w:noProof/>
        </w:rPr>
      </w:pPr>
      <w:r w:rsidRPr="005F0D45">
        <w:rPr>
          <w:noProof/>
        </w:rPr>
        <w:t>Effets attendus des licenciements sur l’économie et l’emploi au niveau local, régional ou national</w:t>
      </w:r>
    </w:p>
    <w:p w:rsidR="000B43AC" w:rsidRPr="005F0D45" w:rsidRDefault="00F87A6D" w:rsidP="000B43AC">
      <w:pPr>
        <w:pStyle w:val="ManualNumPar1"/>
        <w:rPr>
          <w:noProof/>
        </w:rPr>
      </w:pPr>
      <w:r>
        <w:rPr>
          <w:noProof/>
        </w:rPr>
        <w:t>16.</w:t>
      </w:r>
      <w:r>
        <w:rPr>
          <w:noProof/>
        </w:rPr>
        <w:tab/>
      </w:r>
      <w:bookmarkStart w:id="8" w:name="_Hlk230862378"/>
      <w:r w:rsidRPr="005F0D45">
        <w:rPr>
          <w:noProof/>
        </w:rPr>
        <w:t xml:space="preserve">L’industrie automobile en Galice emploie une forte proportion de travailleurs qualifiés et spécialisés, notamment des professionnels de l’ingénierie industrielle, du développement de produits, de la validation et des essais, de la fabrication de pointe, </w:t>
      </w:r>
      <w:r w:rsidRPr="005F0D45">
        <w:rPr>
          <w:noProof/>
        </w:rPr>
        <w:lastRenderedPageBreak/>
        <w:t>de l’automatisation, de la numérisation et des technologies liées à la mobilité électrique. La suppression d’un nombre important d’emplois au sein d’une seule chaîne de valeur — telle que celle du secteur automobile — a une incidence disproportionnée sur les structures de l’emploi et les possibilités de réemploi, le marché régional du travail ayant une capacité limitée à absorber immédiatement ces travailleurs spécialisés dans des fonctions équivalentes.</w:t>
      </w:r>
      <w:bookmarkEnd w:id="8"/>
      <w:r w:rsidRPr="005F0D45">
        <w:rPr>
          <w:noProof/>
        </w:rPr>
        <w:t xml:space="preserve"> </w:t>
      </w:r>
    </w:p>
    <w:p w:rsidR="000B43AC" w:rsidRPr="005F0D45" w:rsidRDefault="000B43AC" w:rsidP="000B43AC">
      <w:pPr>
        <w:pStyle w:val="ManualNumPar1"/>
        <w:rPr>
          <w:noProof/>
        </w:rPr>
      </w:pPr>
      <w:r>
        <w:rPr>
          <w:noProof/>
        </w:rPr>
        <w:t>17.</w:t>
      </w:r>
      <w:r>
        <w:rPr>
          <w:noProof/>
        </w:rPr>
        <w:tab/>
      </w:r>
      <w:r w:rsidRPr="005F0D45">
        <w:rPr>
          <w:noProof/>
        </w:rPr>
        <w:t>En Galice, le secteur industriel représente 16,4 % de l’emploi régional total</w:t>
      </w:r>
      <w:r w:rsidR="00C60083" w:rsidRPr="005F0D45">
        <w:rPr>
          <w:rStyle w:val="FootnoteReference"/>
          <w:noProof/>
        </w:rPr>
        <w:footnoteReference w:id="8"/>
      </w:r>
      <w:r w:rsidRPr="005F0D45">
        <w:rPr>
          <w:noProof/>
        </w:rPr>
        <w:t>, soit 6,5 points de pourcentage (pp) de plus que la moyenne nationale (9,9 %)</w:t>
      </w:r>
      <w:r w:rsidR="0028567E" w:rsidRPr="005F0D45">
        <w:rPr>
          <w:rStyle w:val="FootnoteReference"/>
          <w:noProof/>
        </w:rPr>
        <w:footnoteReference w:id="9"/>
      </w:r>
      <w:r w:rsidRPr="005F0D45">
        <w:rPr>
          <w:noProof/>
        </w:rPr>
        <w:t>. Le taux de chômage régional (8,4 %)</w:t>
      </w:r>
      <w:r w:rsidR="009942B8" w:rsidRPr="005F0D45">
        <w:rPr>
          <w:rStyle w:val="FootnoteReference"/>
          <w:noProof/>
        </w:rPr>
        <w:footnoteReference w:id="10"/>
      </w:r>
      <w:r w:rsidRPr="005F0D45">
        <w:rPr>
          <w:noProof/>
        </w:rPr>
        <w:t xml:space="preserve"> est supérieur de 2,6 pp à la moyenne de l’Union (5,8 %)</w:t>
      </w:r>
      <w:r w:rsidR="008E0A34" w:rsidRPr="005F0D45">
        <w:rPr>
          <w:rStyle w:val="FootnoteReference"/>
          <w:noProof/>
        </w:rPr>
        <w:footnoteReference w:id="11"/>
      </w:r>
      <w:r w:rsidRPr="005F0D45">
        <w:rPr>
          <w:noProof/>
        </w:rPr>
        <w:t>, tout en étant inférieur de 1,5 pp au taux de chômage national espagnol (9,9 %)</w:t>
      </w:r>
      <w:r w:rsidR="008E0A34" w:rsidRPr="005F0D45">
        <w:rPr>
          <w:rStyle w:val="FootnoteReference"/>
          <w:noProof/>
        </w:rPr>
        <w:footnoteReference w:id="12"/>
      </w:r>
      <w:r w:rsidRPr="005F0D45">
        <w:rPr>
          <w:noProof/>
        </w:rPr>
        <w:t>. Toutefois, dans le territoire touché par les licenciements, à savoir la région de Vigo, le taux de chômage s’élève à 11,2 %</w:t>
      </w:r>
      <w:r w:rsidR="00EB02F0" w:rsidRPr="005F0D45">
        <w:rPr>
          <w:rStyle w:val="FootnoteReference"/>
          <w:noProof/>
        </w:rPr>
        <w:footnoteReference w:id="13"/>
      </w:r>
      <w:r w:rsidRPr="005F0D45">
        <w:rPr>
          <w:noProof/>
        </w:rPr>
        <w:t>, soit près de 3 pp au-dessus de la moyenne régionale et presque le double de la moyenne de l’Union.</w:t>
      </w:r>
    </w:p>
    <w:p w:rsidR="000B43AC" w:rsidRPr="005F0D45" w:rsidRDefault="000B43AC" w:rsidP="000B43AC">
      <w:pPr>
        <w:pStyle w:val="ManualNumPar1"/>
        <w:rPr>
          <w:noProof/>
        </w:rPr>
      </w:pPr>
      <w:r>
        <w:rPr>
          <w:noProof/>
        </w:rPr>
        <w:t>18.</w:t>
      </w:r>
      <w:r>
        <w:rPr>
          <w:noProof/>
        </w:rPr>
        <w:tab/>
      </w:r>
      <w:r w:rsidRPr="005F0D45">
        <w:rPr>
          <w:noProof/>
        </w:rPr>
        <w:t>Le taux d’emploi régional (49,6 %)</w:t>
      </w:r>
      <w:r w:rsidR="007E153F" w:rsidRPr="005F0D45">
        <w:rPr>
          <w:rStyle w:val="FootnoteReference"/>
          <w:noProof/>
        </w:rPr>
        <w:footnoteReference w:id="14"/>
      </w:r>
      <w:r w:rsidRPr="005F0D45">
        <w:rPr>
          <w:noProof/>
        </w:rPr>
        <w:t xml:space="preserve"> est inférieur de 21 pp au taux national espagnol (71,4 %) et de 26 pp à la moyenne de l’Union (75,8 %)</w:t>
      </w:r>
      <w:r w:rsidR="007E153F" w:rsidRPr="005F0D45">
        <w:rPr>
          <w:rStyle w:val="FootnoteReference"/>
          <w:noProof/>
        </w:rPr>
        <w:footnoteReference w:id="15"/>
      </w:r>
      <w:r w:rsidRPr="005F0D45">
        <w:rPr>
          <w:noProof/>
        </w:rPr>
        <w:t>.</w:t>
      </w:r>
    </w:p>
    <w:p w:rsidR="001A62D7" w:rsidRPr="005F0D45" w:rsidRDefault="000B43AC" w:rsidP="000B43AC">
      <w:pPr>
        <w:pStyle w:val="ManualNumPar1"/>
        <w:rPr>
          <w:noProof/>
        </w:rPr>
      </w:pPr>
      <w:r>
        <w:rPr>
          <w:noProof/>
        </w:rPr>
        <w:t>19.</w:t>
      </w:r>
      <w:r>
        <w:rPr>
          <w:noProof/>
        </w:rPr>
        <w:tab/>
      </w:r>
      <w:r w:rsidRPr="005F0D45">
        <w:rPr>
          <w:noProof/>
        </w:rPr>
        <w:t>Compte tenu des difficultés que connaît le marché du travail touché par les licenciements, les travailleurs auront besoin d’un accompagnement adapté pour réussir leur transition vers un nouvel emploi.</w:t>
      </w:r>
    </w:p>
    <w:p w:rsidR="001A62D7" w:rsidRPr="005F0D45" w:rsidRDefault="001A62D7" w:rsidP="00771F6F">
      <w:pPr>
        <w:pStyle w:val="ManualHeading2"/>
        <w:tabs>
          <w:tab w:val="clear" w:pos="850"/>
          <w:tab w:val="left" w:pos="0"/>
        </w:tabs>
        <w:ind w:left="0" w:firstLine="0"/>
        <w:rPr>
          <w:noProof/>
        </w:rPr>
      </w:pPr>
      <w:r w:rsidRPr="005F0D45">
        <w:rPr>
          <w:noProof/>
        </w:rPr>
        <w:t>Mise en œuvre du cadre de qualité de l’UE pour l’anticipation des changements et des restructurations</w:t>
      </w:r>
    </w:p>
    <w:p w:rsidR="001A62D7" w:rsidRPr="005F0D45" w:rsidRDefault="00EB7E74" w:rsidP="00AE7D04">
      <w:pPr>
        <w:pStyle w:val="ManualNumPar1"/>
        <w:rPr>
          <w:noProof/>
        </w:rPr>
      </w:pPr>
      <w:r>
        <w:rPr>
          <w:noProof/>
        </w:rPr>
        <w:t>20.</w:t>
      </w:r>
      <w:r>
        <w:rPr>
          <w:noProof/>
        </w:rPr>
        <w:tab/>
      </w:r>
      <w:r w:rsidRPr="005F0D45">
        <w:rPr>
          <w:noProof/>
        </w:rPr>
        <w:t>L’Espagne a décrit la manière dont les recommandations énoncées dans le cadre de qualité de l’Union européenne pour l’anticipation des changements et des restructurations ont été prises en considération. L’Espagne a indiqué que le droit national du travail impose aux entreprises de fournir aux travailleurs licenciés des services de formation et de reclassement externe pendant une durée minimale de six mois — assurés par un prestataire de services de reclassement externe agréé — lorsque le licenciement collectif concerne plus de 50 travailleurs. Cette obligation s’appliquait à deux des vingt entreprises visées au point 5</w:t>
      </w:r>
      <w:r w:rsidR="004032AD" w:rsidRPr="005F0D45">
        <w:rPr>
          <w:rStyle w:val="FootnoteReference"/>
          <w:noProof/>
        </w:rPr>
        <w:footnoteReference w:id="16"/>
      </w:r>
      <w:r w:rsidRPr="005F0D45">
        <w:rPr>
          <w:noProof/>
        </w:rPr>
        <w:t>.</w:t>
      </w:r>
    </w:p>
    <w:p w:rsidR="001A62D7" w:rsidRPr="005F0D45" w:rsidRDefault="001A62D7" w:rsidP="00AE7D04">
      <w:pPr>
        <w:pStyle w:val="ManualNumPar1"/>
        <w:rPr>
          <w:noProof/>
        </w:rPr>
      </w:pPr>
      <w:r>
        <w:rPr>
          <w:noProof/>
        </w:rPr>
        <w:t>21.</w:t>
      </w:r>
      <w:r>
        <w:rPr>
          <w:noProof/>
        </w:rPr>
        <w:tab/>
      </w:r>
      <w:r w:rsidRPr="005F0D45">
        <w:rPr>
          <w:noProof/>
        </w:rPr>
        <w:t>En ce qui concerne les activités mises en œuvre pour aider les travailleurs licenciés, l’Espagne a indiqué qu’Emprego Galicia, le service public régional de l’emploi, a permis aux travailleurs d’accéder à ses services généraux (aide à la recherche d’un emploi, orientation professionnelle et formation).</w:t>
      </w:r>
    </w:p>
    <w:p w:rsidR="001A62D7" w:rsidRPr="005F0D45" w:rsidRDefault="001A62D7" w:rsidP="001A62D7">
      <w:pPr>
        <w:pStyle w:val="ManualHeading3"/>
        <w:rPr>
          <w:noProof/>
        </w:rPr>
      </w:pPr>
      <w:r w:rsidRPr="005F0D45">
        <w:rPr>
          <w:noProof/>
        </w:rPr>
        <w:t>Complémentarité avec les actions financées par des fonds nationaux ou de l’Union</w:t>
      </w:r>
    </w:p>
    <w:p w:rsidR="001A62D7" w:rsidRPr="005F0D45" w:rsidRDefault="00574487" w:rsidP="00AE7D04">
      <w:pPr>
        <w:pStyle w:val="ManualNumPar1"/>
        <w:rPr>
          <w:noProof/>
        </w:rPr>
      </w:pPr>
      <w:r>
        <w:rPr>
          <w:noProof/>
        </w:rPr>
        <w:t>22.</w:t>
      </w:r>
      <w:r>
        <w:rPr>
          <w:noProof/>
        </w:rPr>
        <w:tab/>
      </w:r>
      <w:r w:rsidRPr="005F0D45">
        <w:rPr>
          <w:noProof/>
        </w:rPr>
        <w:t>L’Espagne a confirmé que les mesures décrites ci-dessous bénéficiant d’une contribution financière du FEM ne bénéficieront pas également d’une contribution financière au titre d’autres instruments financiers de l’Union.</w:t>
      </w:r>
    </w:p>
    <w:p w:rsidR="001A62D7" w:rsidRPr="005F0D45" w:rsidRDefault="001A62D7" w:rsidP="00AE7D04">
      <w:pPr>
        <w:pStyle w:val="ManualNumPar1"/>
        <w:rPr>
          <w:noProof/>
        </w:rPr>
      </w:pPr>
      <w:r>
        <w:rPr>
          <w:noProof/>
        </w:rPr>
        <w:lastRenderedPageBreak/>
        <w:t>23.</w:t>
      </w:r>
      <w:r>
        <w:rPr>
          <w:noProof/>
        </w:rPr>
        <w:tab/>
      </w:r>
      <w:r w:rsidRPr="005F0D45">
        <w:rPr>
          <w:noProof/>
        </w:rPr>
        <w:t>L’ensemble coordonné de services personnalisés complète les actions financées par d’autres fonds nationaux ou de l’UE.</w:t>
      </w:r>
    </w:p>
    <w:p w:rsidR="001A62D7" w:rsidRPr="005F0D45" w:rsidRDefault="001A62D7" w:rsidP="001A62D7">
      <w:pPr>
        <w:pStyle w:val="ManualHeading3"/>
        <w:tabs>
          <w:tab w:val="clear" w:pos="850"/>
          <w:tab w:val="left" w:pos="0"/>
        </w:tabs>
        <w:ind w:left="0" w:firstLine="0"/>
        <w:rPr>
          <w:noProof/>
          <w:u w:val="single"/>
        </w:rPr>
      </w:pPr>
      <w:r w:rsidRPr="005F0D45">
        <w:rPr>
          <w:noProof/>
        </w:rPr>
        <w:t>Procédures suivies pour la consultation des bénéficiaires visés ou de leurs représentants, des partenaires sociaux et des collectivités locales et régionales</w:t>
      </w:r>
    </w:p>
    <w:p w:rsidR="001A62D7" w:rsidRPr="005F0D45" w:rsidRDefault="00574487" w:rsidP="00AE7D04">
      <w:pPr>
        <w:pStyle w:val="ManualNumPar1"/>
        <w:rPr>
          <w:noProof/>
        </w:rPr>
      </w:pPr>
      <w:r>
        <w:rPr>
          <w:noProof/>
        </w:rPr>
        <w:t>24.</w:t>
      </w:r>
      <w:r>
        <w:rPr>
          <w:noProof/>
        </w:rPr>
        <w:tab/>
      </w:r>
      <w:r w:rsidRPr="005F0D45">
        <w:rPr>
          <w:noProof/>
        </w:rPr>
        <w:t>L’Espagne a indiqué que l’ensemble coordonné de services personnalisés a été élaboré en concertation avec les syndicats CCOO</w:t>
      </w:r>
      <w:r w:rsidR="00336E9F" w:rsidRPr="005F0D45">
        <w:rPr>
          <w:rStyle w:val="FootnoteReference"/>
          <w:noProof/>
        </w:rPr>
        <w:footnoteReference w:id="17"/>
      </w:r>
      <w:r w:rsidRPr="005F0D45">
        <w:rPr>
          <w:noProof/>
        </w:rPr>
        <w:t>, la Fédération des travailleurs de l’industrie, de la métallurgie, de la construction et des secteurs connexes de l’UGT (UGT-FICA</w:t>
      </w:r>
      <w:r w:rsidR="00DB077F" w:rsidRPr="005F0D45">
        <w:rPr>
          <w:rStyle w:val="FootnoteReference"/>
          <w:noProof/>
        </w:rPr>
        <w:footnoteReference w:id="18"/>
      </w:r>
      <w:r w:rsidRPr="005F0D45">
        <w:rPr>
          <w:noProof/>
        </w:rPr>
        <w:t>) et la CIG</w:t>
      </w:r>
      <w:r w:rsidR="009A5688" w:rsidRPr="005F0D45">
        <w:rPr>
          <w:rStyle w:val="FootnoteReference"/>
          <w:noProof/>
        </w:rPr>
        <w:footnoteReference w:id="19"/>
      </w:r>
      <w:r w:rsidRPr="005F0D45">
        <w:rPr>
          <w:noProof/>
        </w:rPr>
        <w:t>, ainsi qu’avec la Confédération des entreprises de Galice (CEG) et le pôle automobile de Galice (CEAGA)</w:t>
      </w:r>
      <w:r w:rsidR="001B747A" w:rsidRPr="005F0D45">
        <w:rPr>
          <w:rStyle w:val="FootnoteReference"/>
          <w:noProof/>
        </w:rPr>
        <w:footnoteReference w:id="20"/>
      </w:r>
      <w:r w:rsidRPr="005F0D45">
        <w:rPr>
          <w:noProof/>
        </w:rPr>
        <w:t>, conformément à l’article 7, paragraphe 4, du règlement (UE) 2021/691. Le gouvernement régional a mené un processus de consultation structuré et continu, qui s’est achevé par des réunions en présentiel de l’ensemble des parties prenantes les 13 et 15 janvier 2026</w:t>
      </w:r>
      <w:r w:rsidR="004924A8" w:rsidRPr="005F0D45">
        <w:rPr>
          <w:rStyle w:val="FootnoteReference"/>
          <w:noProof/>
        </w:rPr>
        <w:footnoteReference w:id="21"/>
      </w:r>
      <w:r w:rsidRPr="005F0D45">
        <w:rPr>
          <w:noProof/>
        </w:rPr>
        <w:t>. CEAGA a joué un rôle déterminant dans la définition du contenu et de l’offre de formation.</w:t>
      </w:r>
    </w:p>
    <w:p w:rsidR="001A62D7" w:rsidRPr="005F0D45" w:rsidRDefault="001A62D7" w:rsidP="001A62D7">
      <w:pPr>
        <w:pStyle w:val="ManualHeading2"/>
        <w:rPr>
          <w:noProof/>
        </w:rPr>
      </w:pPr>
      <w:r w:rsidRPr="005F0D45">
        <w:rPr>
          <w:noProof/>
        </w:rPr>
        <w:t>Bénéficiaires visés et mesures proposées</w:t>
      </w:r>
    </w:p>
    <w:p w:rsidR="001A62D7" w:rsidRPr="005F0D45" w:rsidRDefault="001A62D7" w:rsidP="001A62D7">
      <w:pPr>
        <w:pStyle w:val="ManualHeading3"/>
        <w:rPr>
          <w:noProof/>
        </w:rPr>
      </w:pPr>
      <w:r w:rsidRPr="005F0D45">
        <w:rPr>
          <w:noProof/>
        </w:rPr>
        <w:t>Bénéficiaires visés</w:t>
      </w:r>
    </w:p>
    <w:p w:rsidR="001A62D7" w:rsidRPr="005F0D45" w:rsidRDefault="001A62D7" w:rsidP="00AE7D04">
      <w:pPr>
        <w:pStyle w:val="ManualNumPar1"/>
        <w:rPr>
          <w:noProof/>
        </w:rPr>
      </w:pPr>
      <w:r>
        <w:rPr>
          <w:noProof/>
        </w:rPr>
        <w:t>25.</w:t>
      </w:r>
      <w:r>
        <w:rPr>
          <w:noProof/>
        </w:rPr>
        <w:tab/>
      </w:r>
      <w:r w:rsidRPr="005F0D45">
        <w:rPr>
          <w:noProof/>
        </w:rPr>
        <w:t>On estime à 400 le nombre de travailleurs licenciés qui devraient participer aux mesures. Conformément à l’article 8, paragraphe 7, point f), du règlement (UE) 2021/691, la ventilation par genre, groupe d’âge et niveau d’éducation qui a été fournie pour ces travailleurs est la suivante:</w:t>
      </w:r>
    </w:p>
    <w:tbl>
      <w:tblPr>
        <w:tblW w:w="0" w:type="auto"/>
        <w:jc w:val="center"/>
        <w:tblLook w:val="04A0" w:firstRow="1" w:lastRow="0" w:firstColumn="1" w:lastColumn="0" w:noHBand="0" w:noVBand="1"/>
      </w:tblPr>
      <w:tblGrid>
        <w:gridCol w:w="1496"/>
        <w:gridCol w:w="2063"/>
        <w:gridCol w:w="1176"/>
        <w:gridCol w:w="1176"/>
      </w:tblGrid>
      <w:tr w:rsidR="001A62D7" w:rsidRPr="005F0D45" w:rsidTr="001D5990">
        <w:trPr>
          <w:jc w:val="center"/>
        </w:trPr>
        <w:tc>
          <w:tcPr>
            <w:tcW w:w="3559" w:type="dxa"/>
            <w:gridSpan w:val="2"/>
            <w:tcBorders>
              <w:top w:val="single" w:sz="4" w:space="0" w:color="auto"/>
              <w:left w:val="nil"/>
              <w:bottom w:val="single" w:sz="4" w:space="0" w:color="auto"/>
              <w:right w:val="nil"/>
            </w:tcBorders>
            <w:hideMark/>
          </w:tcPr>
          <w:p w:rsidR="001A62D7" w:rsidRPr="005F0D45" w:rsidRDefault="001A62D7" w:rsidP="001D5990">
            <w:pPr>
              <w:spacing w:before="60" w:after="60"/>
              <w:jc w:val="center"/>
              <w:rPr>
                <w:noProof/>
              </w:rPr>
            </w:pPr>
            <w:r w:rsidRPr="005F0D45">
              <w:rPr>
                <w:noProof/>
              </w:rPr>
              <w:t>Catégorie</w:t>
            </w:r>
          </w:p>
        </w:tc>
        <w:tc>
          <w:tcPr>
            <w:tcW w:w="2352" w:type="dxa"/>
            <w:gridSpan w:val="2"/>
            <w:tcBorders>
              <w:top w:val="single" w:sz="4" w:space="0" w:color="auto"/>
              <w:left w:val="nil"/>
              <w:bottom w:val="single" w:sz="4" w:space="0" w:color="auto"/>
              <w:right w:val="nil"/>
            </w:tcBorders>
            <w:hideMark/>
          </w:tcPr>
          <w:p w:rsidR="001A62D7" w:rsidRPr="005F0D45" w:rsidRDefault="001A62D7" w:rsidP="001D5990">
            <w:pPr>
              <w:spacing w:before="60" w:after="60"/>
              <w:jc w:val="center"/>
              <w:rPr>
                <w:noProof/>
              </w:rPr>
            </w:pPr>
            <w:r w:rsidRPr="005F0D45">
              <w:rPr>
                <w:noProof/>
              </w:rPr>
              <w:t xml:space="preserve">Nombre de </w:t>
            </w:r>
            <w:r w:rsidRPr="005F0D45">
              <w:rPr>
                <w:noProof/>
              </w:rPr>
              <w:br/>
              <w:t>bénéficiaires attendus</w:t>
            </w:r>
          </w:p>
        </w:tc>
      </w:tr>
      <w:tr w:rsidR="001A62D7" w:rsidRPr="005F0D45" w:rsidTr="001D5990">
        <w:trPr>
          <w:jc w:val="center"/>
        </w:trPr>
        <w:tc>
          <w:tcPr>
            <w:tcW w:w="1496" w:type="dxa"/>
            <w:tcBorders>
              <w:top w:val="single" w:sz="4" w:space="0" w:color="auto"/>
              <w:left w:val="nil"/>
              <w:right w:val="nil"/>
            </w:tcBorders>
            <w:hideMark/>
          </w:tcPr>
          <w:p w:rsidR="001A62D7" w:rsidRPr="005F0D45" w:rsidRDefault="001A62D7" w:rsidP="001D5990">
            <w:pPr>
              <w:spacing w:before="60" w:after="60"/>
              <w:rPr>
                <w:noProof/>
              </w:rPr>
            </w:pPr>
            <w:r w:rsidRPr="005F0D45">
              <w:rPr>
                <w:noProof/>
              </w:rPr>
              <w:t>Genre:</w:t>
            </w:r>
          </w:p>
        </w:tc>
        <w:tc>
          <w:tcPr>
            <w:tcW w:w="2063" w:type="dxa"/>
            <w:tcBorders>
              <w:top w:val="single" w:sz="4" w:space="0" w:color="auto"/>
              <w:left w:val="nil"/>
              <w:right w:val="nil"/>
            </w:tcBorders>
            <w:hideMark/>
          </w:tcPr>
          <w:p w:rsidR="001A62D7" w:rsidRPr="005F0D45" w:rsidRDefault="001A62D7" w:rsidP="001D5990">
            <w:pPr>
              <w:spacing w:before="60" w:after="60"/>
              <w:rPr>
                <w:noProof/>
              </w:rPr>
            </w:pPr>
            <w:r w:rsidRPr="005F0D45">
              <w:rPr>
                <w:noProof/>
              </w:rPr>
              <w:t>Hommes:</w:t>
            </w:r>
          </w:p>
        </w:tc>
        <w:tc>
          <w:tcPr>
            <w:tcW w:w="1176" w:type="dxa"/>
            <w:tcBorders>
              <w:top w:val="single" w:sz="4" w:space="0" w:color="auto"/>
              <w:left w:val="nil"/>
              <w:right w:val="nil"/>
            </w:tcBorders>
            <w:hideMark/>
          </w:tcPr>
          <w:p w:rsidR="001A62D7" w:rsidRPr="005F0D45" w:rsidRDefault="002C701E" w:rsidP="001D5990">
            <w:pPr>
              <w:spacing w:before="60" w:after="60"/>
              <w:jc w:val="right"/>
              <w:rPr>
                <w:noProof/>
              </w:rPr>
            </w:pPr>
            <w:r w:rsidRPr="005F0D45">
              <w:rPr>
                <w:noProof/>
              </w:rPr>
              <w:t>285</w:t>
            </w:r>
          </w:p>
        </w:tc>
        <w:tc>
          <w:tcPr>
            <w:tcW w:w="1176" w:type="dxa"/>
            <w:tcBorders>
              <w:top w:val="single" w:sz="4" w:space="0" w:color="auto"/>
              <w:left w:val="nil"/>
              <w:right w:val="nil"/>
            </w:tcBorders>
            <w:hideMark/>
          </w:tcPr>
          <w:p w:rsidR="001A62D7" w:rsidRPr="005F0D45" w:rsidRDefault="001A62D7" w:rsidP="001D5990">
            <w:pPr>
              <w:spacing w:before="60" w:after="60"/>
              <w:jc w:val="right"/>
              <w:rPr>
                <w:noProof/>
              </w:rPr>
            </w:pPr>
            <w:r w:rsidRPr="005F0D45">
              <w:rPr>
                <w:noProof/>
              </w:rPr>
              <w:t>(71,3 %)</w:t>
            </w:r>
          </w:p>
        </w:tc>
      </w:tr>
      <w:tr w:rsidR="001A62D7" w:rsidRPr="005F0D45" w:rsidTr="001D5990">
        <w:trPr>
          <w:jc w:val="center"/>
        </w:trPr>
        <w:tc>
          <w:tcPr>
            <w:tcW w:w="1496" w:type="dxa"/>
            <w:tcBorders>
              <w:top w:val="nil"/>
              <w:left w:val="nil"/>
              <w:right w:val="nil"/>
            </w:tcBorders>
          </w:tcPr>
          <w:p w:rsidR="001A62D7" w:rsidRPr="005F0D45" w:rsidRDefault="001A62D7" w:rsidP="001D5990">
            <w:pPr>
              <w:spacing w:before="60" w:after="60"/>
              <w:rPr>
                <w:noProof/>
              </w:rPr>
            </w:pPr>
          </w:p>
        </w:tc>
        <w:tc>
          <w:tcPr>
            <w:tcW w:w="2063" w:type="dxa"/>
            <w:tcBorders>
              <w:top w:val="nil"/>
              <w:left w:val="nil"/>
              <w:right w:val="nil"/>
            </w:tcBorders>
          </w:tcPr>
          <w:p w:rsidR="001A62D7" w:rsidRPr="005F0D45" w:rsidRDefault="001A62D7" w:rsidP="001D5990">
            <w:pPr>
              <w:spacing w:before="60" w:after="60"/>
              <w:rPr>
                <w:rFonts w:eastAsia="Calibri"/>
                <w:noProof/>
              </w:rPr>
            </w:pPr>
            <w:r w:rsidRPr="005F0D45">
              <w:rPr>
                <w:noProof/>
              </w:rPr>
              <w:t>Femmes:</w:t>
            </w:r>
          </w:p>
        </w:tc>
        <w:tc>
          <w:tcPr>
            <w:tcW w:w="1176" w:type="dxa"/>
          </w:tcPr>
          <w:p w:rsidR="001A62D7" w:rsidRPr="005F0D45" w:rsidRDefault="002C701E" w:rsidP="001D5990">
            <w:pPr>
              <w:spacing w:before="60" w:after="60"/>
              <w:jc w:val="right"/>
              <w:rPr>
                <w:noProof/>
              </w:rPr>
            </w:pPr>
            <w:r w:rsidRPr="005F0D45">
              <w:rPr>
                <w:noProof/>
              </w:rPr>
              <w:t>115</w:t>
            </w:r>
          </w:p>
        </w:tc>
        <w:tc>
          <w:tcPr>
            <w:tcW w:w="1176" w:type="dxa"/>
          </w:tcPr>
          <w:p w:rsidR="001A62D7" w:rsidRPr="005F0D45" w:rsidRDefault="001A62D7" w:rsidP="001D5990">
            <w:pPr>
              <w:spacing w:before="60" w:after="60"/>
              <w:jc w:val="right"/>
              <w:rPr>
                <w:rFonts w:eastAsia="Calibri"/>
                <w:noProof/>
              </w:rPr>
            </w:pPr>
            <w:r w:rsidRPr="005F0D45">
              <w:rPr>
                <w:noProof/>
              </w:rPr>
              <w:t>(28,7 %)</w:t>
            </w:r>
          </w:p>
        </w:tc>
      </w:tr>
      <w:tr w:rsidR="001A62D7" w:rsidRPr="005F0D45" w:rsidTr="001D5990">
        <w:trPr>
          <w:jc w:val="center"/>
        </w:trPr>
        <w:tc>
          <w:tcPr>
            <w:tcW w:w="1496" w:type="dxa"/>
            <w:tcBorders>
              <w:left w:val="nil"/>
              <w:bottom w:val="single" w:sz="4" w:space="0" w:color="auto"/>
              <w:right w:val="nil"/>
            </w:tcBorders>
          </w:tcPr>
          <w:p w:rsidR="001A62D7" w:rsidRPr="005F0D45" w:rsidRDefault="001A62D7" w:rsidP="001D5990">
            <w:pPr>
              <w:spacing w:before="60" w:after="60"/>
              <w:rPr>
                <w:noProof/>
              </w:rPr>
            </w:pPr>
          </w:p>
        </w:tc>
        <w:tc>
          <w:tcPr>
            <w:tcW w:w="2063" w:type="dxa"/>
            <w:tcBorders>
              <w:left w:val="nil"/>
              <w:bottom w:val="single" w:sz="4" w:space="0" w:color="auto"/>
              <w:right w:val="nil"/>
            </w:tcBorders>
          </w:tcPr>
          <w:p w:rsidR="001A62D7" w:rsidRPr="005F0D45" w:rsidRDefault="001A62D7" w:rsidP="001D5990">
            <w:pPr>
              <w:spacing w:before="60" w:after="60"/>
              <w:rPr>
                <w:noProof/>
              </w:rPr>
            </w:pPr>
            <w:r w:rsidRPr="005F0D45">
              <w:rPr>
                <w:noProof/>
              </w:rPr>
              <w:t>Non binaire</w:t>
            </w:r>
          </w:p>
        </w:tc>
        <w:tc>
          <w:tcPr>
            <w:tcW w:w="1176" w:type="dxa"/>
            <w:tcBorders>
              <w:bottom w:val="single" w:sz="4" w:space="0" w:color="auto"/>
            </w:tcBorders>
            <w:hideMark/>
          </w:tcPr>
          <w:p w:rsidR="001A62D7" w:rsidRPr="005F0D45" w:rsidRDefault="002C701E" w:rsidP="001D5990">
            <w:pPr>
              <w:spacing w:before="60" w:after="60"/>
              <w:jc w:val="right"/>
              <w:rPr>
                <w:noProof/>
              </w:rPr>
            </w:pPr>
            <w:r w:rsidRPr="005F0D45">
              <w:rPr>
                <w:noProof/>
              </w:rPr>
              <w:t>0</w:t>
            </w:r>
          </w:p>
        </w:tc>
        <w:tc>
          <w:tcPr>
            <w:tcW w:w="1176" w:type="dxa"/>
            <w:tcBorders>
              <w:bottom w:val="single" w:sz="4" w:space="0" w:color="auto"/>
            </w:tcBorders>
            <w:hideMark/>
          </w:tcPr>
          <w:p w:rsidR="001A62D7" w:rsidRPr="005F0D45" w:rsidRDefault="001A62D7" w:rsidP="001D5990">
            <w:pPr>
              <w:spacing w:before="60" w:after="60"/>
              <w:jc w:val="right"/>
              <w:rPr>
                <w:noProof/>
              </w:rPr>
            </w:pPr>
            <w:r w:rsidRPr="005F0D45">
              <w:rPr>
                <w:noProof/>
              </w:rPr>
              <w:t>(0,0 %)</w:t>
            </w:r>
          </w:p>
        </w:tc>
      </w:tr>
      <w:tr w:rsidR="001A62D7" w:rsidRPr="005F0D45" w:rsidTr="001D5990">
        <w:trPr>
          <w:jc w:val="center"/>
        </w:trPr>
        <w:tc>
          <w:tcPr>
            <w:tcW w:w="1496" w:type="dxa"/>
            <w:tcBorders>
              <w:top w:val="single" w:sz="4" w:space="0" w:color="auto"/>
              <w:left w:val="nil"/>
              <w:bottom w:val="nil"/>
              <w:right w:val="nil"/>
            </w:tcBorders>
            <w:hideMark/>
          </w:tcPr>
          <w:p w:rsidR="001A62D7" w:rsidRPr="005F0D45" w:rsidRDefault="001A62D7" w:rsidP="001D5990">
            <w:pPr>
              <w:spacing w:before="60" w:after="60"/>
              <w:rPr>
                <w:noProof/>
              </w:rPr>
            </w:pPr>
            <w:r w:rsidRPr="005F0D45">
              <w:rPr>
                <w:noProof/>
              </w:rPr>
              <w:t>Groupe d’âge:</w:t>
            </w:r>
          </w:p>
        </w:tc>
        <w:tc>
          <w:tcPr>
            <w:tcW w:w="2063" w:type="dxa"/>
            <w:tcBorders>
              <w:top w:val="single" w:sz="4" w:space="0" w:color="auto"/>
              <w:left w:val="nil"/>
              <w:bottom w:val="nil"/>
              <w:right w:val="nil"/>
            </w:tcBorders>
            <w:hideMark/>
          </w:tcPr>
          <w:p w:rsidR="001A62D7" w:rsidRPr="005F0D45" w:rsidRDefault="001A62D7" w:rsidP="001D5990">
            <w:pPr>
              <w:spacing w:before="60" w:after="60"/>
              <w:rPr>
                <w:noProof/>
              </w:rPr>
            </w:pPr>
            <w:r w:rsidRPr="005F0D45">
              <w:rPr>
                <w:noProof/>
              </w:rPr>
              <w:t>Moins de 30 ans:</w:t>
            </w:r>
          </w:p>
        </w:tc>
        <w:tc>
          <w:tcPr>
            <w:tcW w:w="1176" w:type="dxa"/>
            <w:tcBorders>
              <w:top w:val="single" w:sz="4" w:space="0" w:color="auto"/>
            </w:tcBorders>
            <w:hideMark/>
          </w:tcPr>
          <w:p w:rsidR="001A62D7" w:rsidRPr="005F0D45" w:rsidRDefault="002C701E" w:rsidP="001D5990">
            <w:pPr>
              <w:spacing w:before="60" w:after="60"/>
              <w:jc w:val="right"/>
              <w:rPr>
                <w:noProof/>
              </w:rPr>
            </w:pPr>
            <w:r w:rsidRPr="005F0D45">
              <w:rPr>
                <w:noProof/>
              </w:rPr>
              <w:t>14</w:t>
            </w:r>
          </w:p>
        </w:tc>
        <w:tc>
          <w:tcPr>
            <w:tcW w:w="1176" w:type="dxa"/>
            <w:tcBorders>
              <w:top w:val="single" w:sz="4" w:space="0" w:color="auto"/>
            </w:tcBorders>
            <w:hideMark/>
          </w:tcPr>
          <w:p w:rsidR="001A62D7" w:rsidRPr="005F0D45" w:rsidRDefault="001A62D7" w:rsidP="001D5990">
            <w:pPr>
              <w:spacing w:before="60" w:after="60"/>
              <w:jc w:val="right"/>
              <w:rPr>
                <w:noProof/>
              </w:rPr>
            </w:pPr>
            <w:r w:rsidRPr="005F0D45">
              <w:rPr>
                <w:noProof/>
              </w:rPr>
              <w:t>(3,5 %)</w:t>
            </w:r>
          </w:p>
        </w:tc>
      </w:tr>
      <w:tr w:rsidR="001A62D7" w:rsidRPr="005F0D45" w:rsidTr="001D5990">
        <w:trPr>
          <w:jc w:val="center"/>
        </w:trPr>
        <w:tc>
          <w:tcPr>
            <w:tcW w:w="1496" w:type="dxa"/>
          </w:tcPr>
          <w:p w:rsidR="001A62D7" w:rsidRPr="005F0D45" w:rsidRDefault="001A62D7" w:rsidP="001D5990">
            <w:pPr>
              <w:spacing w:before="60" w:after="60"/>
              <w:rPr>
                <w:noProof/>
              </w:rPr>
            </w:pPr>
          </w:p>
        </w:tc>
        <w:tc>
          <w:tcPr>
            <w:tcW w:w="2063" w:type="dxa"/>
            <w:hideMark/>
          </w:tcPr>
          <w:p w:rsidR="001A62D7" w:rsidRPr="005F0D45" w:rsidRDefault="001A62D7" w:rsidP="001D5990">
            <w:pPr>
              <w:spacing w:before="60" w:after="60"/>
              <w:rPr>
                <w:noProof/>
              </w:rPr>
            </w:pPr>
            <w:r w:rsidRPr="005F0D45">
              <w:rPr>
                <w:noProof/>
              </w:rPr>
              <w:t>30-54 ans:</w:t>
            </w:r>
          </w:p>
        </w:tc>
        <w:tc>
          <w:tcPr>
            <w:tcW w:w="1176" w:type="dxa"/>
            <w:hideMark/>
          </w:tcPr>
          <w:p w:rsidR="001A62D7" w:rsidRPr="005F0D45" w:rsidRDefault="002C701E" w:rsidP="001D5990">
            <w:pPr>
              <w:spacing w:before="60" w:after="60"/>
              <w:jc w:val="right"/>
              <w:rPr>
                <w:noProof/>
              </w:rPr>
            </w:pPr>
            <w:r w:rsidRPr="005F0D45">
              <w:rPr>
                <w:noProof/>
              </w:rPr>
              <w:t>286</w:t>
            </w:r>
          </w:p>
        </w:tc>
        <w:tc>
          <w:tcPr>
            <w:tcW w:w="1176" w:type="dxa"/>
            <w:hideMark/>
          </w:tcPr>
          <w:p w:rsidR="001A62D7" w:rsidRPr="005F0D45" w:rsidRDefault="001A62D7" w:rsidP="001D5990">
            <w:pPr>
              <w:spacing w:before="60" w:after="60"/>
              <w:jc w:val="right"/>
              <w:rPr>
                <w:noProof/>
              </w:rPr>
            </w:pPr>
            <w:r w:rsidRPr="005F0D45">
              <w:rPr>
                <w:noProof/>
              </w:rPr>
              <w:t>(71,5 %)</w:t>
            </w:r>
          </w:p>
        </w:tc>
      </w:tr>
      <w:tr w:rsidR="001A62D7" w:rsidRPr="005F0D45" w:rsidTr="001D5990">
        <w:trPr>
          <w:jc w:val="center"/>
        </w:trPr>
        <w:tc>
          <w:tcPr>
            <w:tcW w:w="1496" w:type="dxa"/>
          </w:tcPr>
          <w:p w:rsidR="001A62D7" w:rsidRPr="005F0D45" w:rsidRDefault="001A62D7" w:rsidP="001D5990">
            <w:pPr>
              <w:spacing w:before="60" w:after="60"/>
              <w:rPr>
                <w:noProof/>
              </w:rPr>
            </w:pPr>
          </w:p>
        </w:tc>
        <w:tc>
          <w:tcPr>
            <w:tcW w:w="2063" w:type="dxa"/>
            <w:hideMark/>
          </w:tcPr>
          <w:p w:rsidR="001A62D7" w:rsidRPr="005F0D45" w:rsidRDefault="001A62D7" w:rsidP="001D5990">
            <w:pPr>
              <w:spacing w:before="60" w:after="60"/>
              <w:jc w:val="left"/>
              <w:rPr>
                <w:noProof/>
              </w:rPr>
            </w:pPr>
            <w:r w:rsidRPr="005F0D45">
              <w:rPr>
                <w:noProof/>
              </w:rPr>
              <w:t>Plus de 54 ans:</w:t>
            </w:r>
          </w:p>
        </w:tc>
        <w:tc>
          <w:tcPr>
            <w:tcW w:w="1176" w:type="dxa"/>
            <w:hideMark/>
          </w:tcPr>
          <w:p w:rsidR="001A62D7" w:rsidRPr="005F0D45" w:rsidRDefault="002C701E" w:rsidP="001D5990">
            <w:pPr>
              <w:spacing w:before="60" w:after="60"/>
              <w:jc w:val="right"/>
              <w:rPr>
                <w:noProof/>
              </w:rPr>
            </w:pPr>
            <w:r w:rsidRPr="005F0D45">
              <w:rPr>
                <w:noProof/>
              </w:rPr>
              <w:t>100</w:t>
            </w:r>
          </w:p>
        </w:tc>
        <w:tc>
          <w:tcPr>
            <w:tcW w:w="1176" w:type="dxa"/>
            <w:hideMark/>
          </w:tcPr>
          <w:p w:rsidR="001A62D7" w:rsidRPr="005F0D45" w:rsidRDefault="001A62D7" w:rsidP="001D5990">
            <w:pPr>
              <w:spacing w:before="60" w:after="60"/>
              <w:jc w:val="right"/>
              <w:rPr>
                <w:noProof/>
              </w:rPr>
            </w:pPr>
            <w:r w:rsidRPr="005F0D45">
              <w:rPr>
                <w:noProof/>
              </w:rPr>
              <w:t>(25,0 %)</w:t>
            </w:r>
          </w:p>
        </w:tc>
      </w:tr>
      <w:tr w:rsidR="001A62D7" w:rsidRPr="005F0D45" w:rsidTr="001D5990">
        <w:trPr>
          <w:jc w:val="center"/>
        </w:trPr>
        <w:tc>
          <w:tcPr>
            <w:tcW w:w="1496" w:type="dxa"/>
            <w:tcBorders>
              <w:top w:val="single" w:sz="4" w:space="0" w:color="auto"/>
              <w:left w:val="nil"/>
              <w:bottom w:val="nil"/>
              <w:right w:val="nil"/>
            </w:tcBorders>
          </w:tcPr>
          <w:p w:rsidR="001A62D7" w:rsidRPr="005F0D45" w:rsidRDefault="001A62D7" w:rsidP="001D5990">
            <w:pPr>
              <w:spacing w:before="60" w:after="60"/>
              <w:rPr>
                <w:noProof/>
              </w:rPr>
            </w:pPr>
            <w:r w:rsidRPr="005F0D45">
              <w:rPr>
                <w:noProof/>
              </w:rPr>
              <w:t>Niveau d’éducation</w:t>
            </w:r>
          </w:p>
        </w:tc>
        <w:tc>
          <w:tcPr>
            <w:tcW w:w="2063" w:type="dxa"/>
            <w:tcBorders>
              <w:top w:val="single" w:sz="4" w:space="0" w:color="auto"/>
              <w:left w:val="nil"/>
              <w:bottom w:val="nil"/>
              <w:right w:val="nil"/>
            </w:tcBorders>
          </w:tcPr>
          <w:p w:rsidR="001A62D7" w:rsidRPr="005F0D45" w:rsidRDefault="001A62D7" w:rsidP="001D5990">
            <w:pPr>
              <w:spacing w:before="60" w:after="60"/>
              <w:rPr>
                <w:noProof/>
              </w:rPr>
            </w:pPr>
            <w:r w:rsidRPr="005F0D45">
              <w:rPr>
                <w:noProof/>
              </w:rPr>
              <w:t>Premier cycle du secondaire ou inférieur</w:t>
            </w:r>
            <w:r w:rsidRPr="005F0D45">
              <w:rPr>
                <w:rStyle w:val="FootnoteReference"/>
                <w:noProof/>
              </w:rPr>
              <w:footnoteReference w:id="22"/>
            </w:r>
            <w:r w:rsidRPr="005F0D45">
              <w:rPr>
                <w:noProof/>
              </w:rPr>
              <w:t xml:space="preserve"> </w:t>
            </w:r>
          </w:p>
        </w:tc>
        <w:tc>
          <w:tcPr>
            <w:tcW w:w="1176" w:type="dxa"/>
            <w:tcBorders>
              <w:top w:val="single" w:sz="4" w:space="0" w:color="auto"/>
              <w:left w:val="nil"/>
              <w:bottom w:val="nil"/>
              <w:right w:val="nil"/>
            </w:tcBorders>
          </w:tcPr>
          <w:p w:rsidR="001A62D7" w:rsidRPr="005F0D45" w:rsidRDefault="002C701E" w:rsidP="001D5990">
            <w:pPr>
              <w:spacing w:before="60" w:after="60"/>
              <w:jc w:val="right"/>
              <w:rPr>
                <w:noProof/>
              </w:rPr>
            </w:pPr>
            <w:r w:rsidRPr="005F0D45">
              <w:rPr>
                <w:noProof/>
              </w:rPr>
              <w:t>100</w:t>
            </w:r>
          </w:p>
        </w:tc>
        <w:tc>
          <w:tcPr>
            <w:tcW w:w="1176" w:type="dxa"/>
            <w:tcBorders>
              <w:top w:val="single" w:sz="4" w:space="0" w:color="auto"/>
              <w:left w:val="nil"/>
              <w:bottom w:val="nil"/>
              <w:right w:val="nil"/>
            </w:tcBorders>
          </w:tcPr>
          <w:p w:rsidR="001A62D7" w:rsidRPr="005F0D45" w:rsidRDefault="001A62D7" w:rsidP="001D5990">
            <w:pPr>
              <w:spacing w:before="60" w:after="60"/>
              <w:jc w:val="right"/>
              <w:rPr>
                <w:rFonts w:eastAsia="Calibri"/>
                <w:noProof/>
              </w:rPr>
            </w:pPr>
            <w:r w:rsidRPr="005F0D45">
              <w:rPr>
                <w:noProof/>
              </w:rPr>
              <w:t>(25,0 %)</w:t>
            </w:r>
          </w:p>
        </w:tc>
      </w:tr>
      <w:tr w:rsidR="001A62D7" w:rsidRPr="005F0D45" w:rsidTr="001D5990">
        <w:trPr>
          <w:jc w:val="center"/>
        </w:trPr>
        <w:tc>
          <w:tcPr>
            <w:tcW w:w="1496" w:type="dxa"/>
            <w:tcBorders>
              <w:top w:val="nil"/>
              <w:left w:val="nil"/>
              <w:right w:val="nil"/>
            </w:tcBorders>
          </w:tcPr>
          <w:p w:rsidR="001A62D7" w:rsidRPr="005F0D45" w:rsidRDefault="001A62D7" w:rsidP="001D5990">
            <w:pPr>
              <w:spacing w:before="60" w:after="60"/>
              <w:rPr>
                <w:noProof/>
              </w:rPr>
            </w:pPr>
          </w:p>
        </w:tc>
        <w:tc>
          <w:tcPr>
            <w:tcW w:w="2063" w:type="dxa"/>
            <w:tcBorders>
              <w:top w:val="nil"/>
              <w:left w:val="nil"/>
              <w:right w:val="nil"/>
            </w:tcBorders>
          </w:tcPr>
          <w:p w:rsidR="001A62D7" w:rsidRPr="005F0D45" w:rsidRDefault="001A62D7" w:rsidP="001D5990">
            <w:pPr>
              <w:spacing w:before="60" w:after="60"/>
              <w:rPr>
                <w:noProof/>
              </w:rPr>
            </w:pPr>
            <w:r w:rsidRPr="005F0D45">
              <w:rPr>
                <w:noProof/>
              </w:rPr>
              <w:t>Deuxième cycle du secondaire</w:t>
            </w:r>
            <w:r w:rsidRPr="005F0D45">
              <w:rPr>
                <w:rStyle w:val="FootnoteReference"/>
                <w:noProof/>
              </w:rPr>
              <w:footnoteReference w:id="23"/>
            </w:r>
            <w:r w:rsidRPr="005F0D45">
              <w:rPr>
                <w:noProof/>
              </w:rPr>
              <w:t xml:space="preserve"> ou post-secondaire </w:t>
            </w:r>
            <w:r w:rsidRPr="005F0D45">
              <w:rPr>
                <w:noProof/>
              </w:rPr>
              <w:lastRenderedPageBreak/>
              <w:t>non supérieur</w:t>
            </w:r>
            <w:r w:rsidRPr="005F0D45">
              <w:rPr>
                <w:rStyle w:val="FootnoteReference"/>
                <w:noProof/>
              </w:rPr>
              <w:footnoteReference w:id="24"/>
            </w:r>
          </w:p>
        </w:tc>
        <w:tc>
          <w:tcPr>
            <w:tcW w:w="1176" w:type="dxa"/>
            <w:tcBorders>
              <w:top w:val="nil"/>
              <w:left w:val="nil"/>
              <w:right w:val="nil"/>
            </w:tcBorders>
          </w:tcPr>
          <w:p w:rsidR="001A62D7" w:rsidRPr="005F0D45" w:rsidRDefault="002C701E" w:rsidP="001D5990">
            <w:pPr>
              <w:spacing w:before="60" w:after="60"/>
              <w:jc w:val="right"/>
              <w:rPr>
                <w:noProof/>
              </w:rPr>
            </w:pPr>
            <w:r w:rsidRPr="005F0D45">
              <w:rPr>
                <w:noProof/>
              </w:rPr>
              <w:lastRenderedPageBreak/>
              <w:t>220</w:t>
            </w:r>
          </w:p>
        </w:tc>
        <w:tc>
          <w:tcPr>
            <w:tcW w:w="1176" w:type="dxa"/>
            <w:tcBorders>
              <w:top w:val="nil"/>
              <w:left w:val="nil"/>
              <w:right w:val="nil"/>
            </w:tcBorders>
          </w:tcPr>
          <w:p w:rsidR="001A62D7" w:rsidRPr="005F0D45" w:rsidRDefault="001A62D7" w:rsidP="001D5990">
            <w:pPr>
              <w:spacing w:before="60" w:after="60"/>
              <w:jc w:val="right"/>
              <w:rPr>
                <w:rFonts w:eastAsia="Calibri"/>
                <w:noProof/>
              </w:rPr>
            </w:pPr>
            <w:r w:rsidRPr="005F0D45">
              <w:rPr>
                <w:noProof/>
              </w:rPr>
              <w:t>(55,0 %)</w:t>
            </w:r>
          </w:p>
        </w:tc>
      </w:tr>
      <w:tr w:rsidR="001A62D7" w:rsidRPr="005F0D45" w:rsidTr="001D5990">
        <w:trPr>
          <w:jc w:val="center"/>
        </w:trPr>
        <w:tc>
          <w:tcPr>
            <w:tcW w:w="1496" w:type="dxa"/>
            <w:tcBorders>
              <w:top w:val="nil"/>
              <w:left w:val="nil"/>
              <w:bottom w:val="single" w:sz="4" w:space="0" w:color="auto"/>
              <w:right w:val="nil"/>
            </w:tcBorders>
          </w:tcPr>
          <w:p w:rsidR="001A62D7" w:rsidRPr="005F0D45" w:rsidRDefault="001A62D7" w:rsidP="001D5990">
            <w:pPr>
              <w:spacing w:before="60" w:after="60"/>
              <w:rPr>
                <w:noProof/>
              </w:rPr>
            </w:pPr>
          </w:p>
        </w:tc>
        <w:tc>
          <w:tcPr>
            <w:tcW w:w="2063" w:type="dxa"/>
            <w:tcBorders>
              <w:top w:val="nil"/>
              <w:left w:val="nil"/>
              <w:bottom w:val="single" w:sz="4" w:space="0" w:color="auto"/>
              <w:right w:val="nil"/>
            </w:tcBorders>
          </w:tcPr>
          <w:p w:rsidR="001A62D7" w:rsidRPr="005F0D45" w:rsidRDefault="001A62D7" w:rsidP="001D5990">
            <w:pPr>
              <w:spacing w:before="60" w:after="60"/>
              <w:rPr>
                <w:noProof/>
              </w:rPr>
            </w:pPr>
            <w:r w:rsidRPr="005F0D45">
              <w:rPr>
                <w:noProof/>
              </w:rPr>
              <w:t>Enseignement tertiaire</w:t>
            </w:r>
            <w:r w:rsidRPr="005F0D45">
              <w:rPr>
                <w:rStyle w:val="FootnoteReference"/>
                <w:noProof/>
              </w:rPr>
              <w:footnoteReference w:id="25"/>
            </w:r>
          </w:p>
        </w:tc>
        <w:tc>
          <w:tcPr>
            <w:tcW w:w="1176" w:type="dxa"/>
            <w:tcBorders>
              <w:top w:val="nil"/>
              <w:left w:val="nil"/>
              <w:bottom w:val="single" w:sz="4" w:space="0" w:color="auto"/>
              <w:right w:val="nil"/>
            </w:tcBorders>
          </w:tcPr>
          <w:p w:rsidR="001A62D7" w:rsidRPr="005F0D45" w:rsidRDefault="002C701E" w:rsidP="001D5990">
            <w:pPr>
              <w:spacing w:before="60" w:after="60"/>
              <w:jc w:val="right"/>
              <w:rPr>
                <w:noProof/>
              </w:rPr>
            </w:pPr>
            <w:r w:rsidRPr="005F0D45">
              <w:rPr>
                <w:noProof/>
              </w:rPr>
              <w:t>80</w:t>
            </w:r>
          </w:p>
        </w:tc>
        <w:tc>
          <w:tcPr>
            <w:tcW w:w="1176" w:type="dxa"/>
            <w:tcBorders>
              <w:top w:val="nil"/>
              <w:left w:val="nil"/>
              <w:bottom w:val="single" w:sz="4" w:space="0" w:color="auto"/>
              <w:right w:val="nil"/>
            </w:tcBorders>
          </w:tcPr>
          <w:p w:rsidR="001A62D7" w:rsidRPr="005F0D45" w:rsidRDefault="001A62D7" w:rsidP="001D5990">
            <w:pPr>
              <w:spacing w:before="60" w:after="60"/>
              <w:jc w:val="right"/>
              <w:rPr>
                <w:rFonts w:eastAsia="Calibri"/>
                <w:noProof/>
              </w:rPr>
            </w:pPr>
            <w:r w:rsidRPr="005F0D45">
              <w:rPr>
                <w:noProof/>
              </w:rPr>
              <w:t>(20 %)</w:t>
            </w:r>
          </w:p>
        </w:tc>
      </w:tr>
    </w:tbl>
    <w:p w:rsidR="001A62D7" w:rsidRPr="005F0D45" w:rsidRDefault="001A62D7" w:rsidP="001A62D7">
      <w:pPr>
        <w:pStyle w:val="ManualHeading3"/>
        <w:rPr>
          <w:noProof/>
          <w:u w:val="single"/>
        </w:rPr>
      </w:pPr>
      <w:r w:rsidRPr="005F0D45">
        <w:rPr>
          <w:noProof/>
        </w:rPr>
        <w:t>Mesures proposées</w:t>
      </w:r>
    </w:p>
    <w:p w:rsidR="001A62D7" w:rsidRPr="005F0D45" w:rsidRDefault="001A62D7" w:rsidP="00AE7D04">
      <w:pPr>
        <w:pStyle w:val="ManualNumPar1"/>
        <w:rPr>
          <w:noProof/>
        </w:rPr>
      </w:pPr>
      <w:r>
        <w:rPr>
          <w:noProof/>
        </w:rPr>
        <w:t>26.</w:t>
      </w:r>
      <w:r>
        <w:rPr>
          <w:noProof/>
        </w:rPr>
        <w:tab/>
      </w:r>
      <w:bookmarkStart w:id="9" w:name="_Ref372214239"/>
      <w:r w:rsidRPr="005F0D45">
        <w:rPr>
          <w:noProof/>
        </w:rPr>
        <w:t xml:space="preserve">Conformément à l’article 8, paragraphe 7, point h), du règlement (UE) 2021/691, l’ensemble coordonné de services personnalisés à fournir aux travailleurs licenciés comprend les mesures suivantes: </w:t>
      </w:r>
      <w:bookmarkEnd w:id="9"/>
    </w:p>
    <w:p w:rsidR="00C239B8" w:rsidRPr="005F0D45" w:rsidRDefault="00C239B8" w:rsidP="005253A6">
      <w:pPr>
        <w:pStyle w:val="Tiret1"/>
        <w:numPr>
          <w:ilvl w:val="0"/>
          <w:numId w:val="20"/>
        </w:numPr>
        <w:rPr>
          <w:noProof/>
        </w:rPr>
      </w:pPr>
      <w:r w:rsidRPr="005F0D45">
        <w:rPr>
          <w:noProof/>
          <w:u w:val="single"/>
        </w:rPr>
        <w:t>Information, phase d’accueil et profilage des travailleurs</w:t>
      </w:r>
      <w:r w:rsidRPr="005F0D45">
        <w:rPr>
          <w:noProof/>
        </w:rPr>
        <w:t>: des séances d’information seront organisées afin de présenter les objectifs, le contenu et le calendrier de l’ensemble des mesures de soutien. Les participants seront informés des ressources et des aides mises à leur disposition pour les accompagner dans le développement de leurs compétences et l’amélioration de leur employabilité. Les demandes de participation seront recueillies au cours de ces séances.</w:t>
      </w:r>
    </w:p>
    <w:p w:rsidR="00C239B8" w:rsidRPr="005F0D45" w:rsidRDefault="00C239B8" w:rsidP="00C239B8">
      <w:pPr>
        <w:pStyle w:val="Text2"/>
        <w:rPr>
          <w:noProof/>
        </w:rPr>
      </w:pPr>
      <w:r w:rsidRPr="005F0D45">
        <w:rPr>
          <w:noProof/>
        </w:rPr>
        <w:t>La phase d’accueil reposera sur une collaboration avec les principaux partenaires sociaux de Galice, à savoir UGT-Galicia, CCOO-Galicia (organisations syndicales) et la Confédération des entreprises de Galice (CEG), ainsi qu’avec les services publics régionaux de l’emploi</w:t>
      </w:r>
      <w:r w:rsidRPr="005F0D45">
        <w:rPr>
          <w:rStyle w:val="FootnoteReference"/>
          <w:noProof/>
        </w:rPr>
        <w:footnoteReference w:id="26"/>
      </w:r>
      <w:r w:rsidRPr="005F0D45">
        <w:rPr>
          <w:noProof/>
        </w:rPr>
        <w:t>. La participation de ces acteurs sectoriels permettra aux travailleurs de préciser leurs attentes professionnelles afin de rester dans le secteur, de redéfinir leur parcours professionnel ou d’entreprendre une réorientation professionnelle.</w:t>
      </w:r>
    </w:p>
    <w:p w:rsidR="001A62D7" w:rsidRPr="005F0D45" w:rsidRDefault="00C239B8" w:rsidP="00396DAC">
      <w:pPr>
        <w:pStyle w:val="Text2"/>
        <w:rPr>
          <w:noProof/>
        </w:rPr>
      </w:pPr>
      <w:r w:rsidRPr="005F0D45">
        <w:rPr>
          <w:noProof/>
        </w:rPr>
        <w:t>Une phase de profilage des travailleurs suivra. Au moyen d’entretiens individuels, la situation socioprofessionnelle, le parcours de formation, les attentes professionnelles, les aptitudes, les compétences, l’expérience et les centres d’intérêt de chaque participant seront évalués.</w:t>
      </w:r>
    </w:p>
    <w:p w:rsidR="00BC7DB9" w:rsidRPr="005F0D45" w:rsidRDefault="00003509" w:rsidP="00B1308F">
      <w:pPr>
        <w:pStyle w:val="Tiret1"/>
        <w:numPr>
          <w:ilvl w:val="0"/>
          <w:numId w:val="19"/>
        </w:numPr>
        <w:rPr>
          <w:noProof/>
        </w:rPr>
      </w:pPr>
      <w:r w:rsidRPr="005F0D45">
        <w:rPr>
          <w:noProof/>
        </w:rPr>
        <w:t xml:space="preserve">Une </w:t>
      </w:r>
      <w:r w:rsidRPr="005F0D45">
        <w:rPr>
          <w:noProof/>
          <w:u w:val="single"/>
        </w:rPr>
        <w:t>orientation professionnelle</w:t>
      </w:r>
      <w:r w:rsidRPr="005F0D45">
        <w:rPr>
          <w:noProof/>
        </w:rPr>
        <w:t xml:space="preserve"> — axée sur l’emploi salarié ou le travail indépendant — sera assurée tout au long de la période de mise en œuvre. Cette mesure comprend une aide à la recherche d’un emploi ainsi que des ateliers consacrés aux compétences comportementales.</w:t>
      </w:r>
    </w:p>
    <w:p w:rsidR="0070290B" w:rsidRPr="005F0D45" w:rsidRDefault="0070290B" w:rsidP="0070290B">
      <w:pPr>
        <w:pStyle w:val="Tiret1"/>
        <w:rPr>
          <w:noProof/>
        </w:rPr>
      </w:pPr>
      <w:r w:rsidRPr="005F0D45">
        <w:rPr>
          <w:noProof/>
          <w:u w:val="single"/>
        </w:rPr>
        <w:t>Formation</w:t>
      </w:r>
      <w:r w:rsidRPr="005F0D45">
        <w:rPr>
          <w:noProof/>
        </w:rPr>
        <w:t xml:space="preserve">: </w:t>
      </w:r>
      <w:bookmarkStart w:id="10" w:name="_Hlk227334416"/>
      <w:r w:rsidRPr="005F0D45">
        <w:rPr>
          <w:noProof/>
        </w:rPr>
        <w:t xml:space="preserve">l’offre de formation comprendra: </w:t>
      </w:r>
      <w:r w:rsidRPr="005F0D45">
        <w:rPr>
          <w:b/>
          <w:noProof/>
        </w:rPr>
        <w:t>(1) des formations transversales</w:t>
      </w:r>
      <w:r w:rsidRPr="005F0D45">
        <w:rPr>
          <w:noProof/>
        </w:rPr>
        <w:t xml:space="preserve"> portant sur les compétences numériques de base et avancées, la numérisation de l’industrie</w:t>
      </w:r>
      <w:r w:rsidR="004F5368" w:rsidRPr="005F0D45">
        <w:rPr>
          <w:rStyle w:val="FootnoteReference"/>
          <w:noProof/>
        </w:rPr>
        <w:footnoteReference w:id="27"/>
      </w:r>
      <w:r w:rsidRPr="005F0D45">
        <w:rPr>
          <w:noProof/>
        </w:rPr>
        <w:t>, notamment les principes fondamentaux de l’industrie 4.0 et 5.0, la culture des données appliquée à l’industrie, les systèmes MES</w:t>
      </w:r>
      <w:r w:rsidR="00EB2471" w:rsidRPr="005F0D45">
        <w:rPr>
          <w:rStyle w:val="FootnoteReference"/>
          <w:noProof/>
        </w:rPr>
        <w:footnoteReference w:id="28"/>
      </w:r>
      <w:r w:rsidRPr="005F0D45">
        <w:rPr>
          <w:noProof/>
        </w:rPr>
        <w:t xml:space="preserve"> et SCADA</w:t>
      </w:r>
      <w:r w:rsidR="00EB2471" w:rsidRPr="005F0D45">
        <w:rPr>
          <w:rStyle w:val="FootnoteReference"/>
          <w:noProof/>
        </w:rPr>
        <w:footnoteReference w:id="29"/>
      </w:r>
      <w:r w:rsidRPr="005F0D45">
        <w:rPr>
          <w:noProof/>
        </w:rPr>
        <w:t>, l’automatisation des processus au moyen de la RPA</w:t>
      </w:r>
      <w:r w:rsidR="00EC4DA7" w:rsidRPr="005F0D45">
        <w:rPr>
          <w:rStyle w:val="FootnoteReference"/>
          <w:noProof/>
        </w:rPr>
        <w:footnoteReference w:id="30"/>
      </w:r>
      <w:r w:rsidRPr="005F0D45">
        <w:rPr>
          <w:noProof/>
        </w:rPr>
        <w:t>, ainsi que l’automatisation industrielle (par exemple les PLC)</w:t>
      </w:r>
      <w:r w:rsidR="009B4078" w:rsidRPr="005F0D45">
        <w:rPr>
          <w:rStyle w:val="FootnoteReference"/>
          <w:noProof/>
        </w:rPr>
        <w:footnoteReference w:id="31"/>
      </w:r>
      <w:r w:rsidRPr="005F0D45">
        <w:rPr>
          <w:noProof/>
        </w:rPr>
        <w:t xml:space="preserve">, la prévention des risques professionnels, les procédés de production durables et les langues étrangères. </w:t>
      </w:r>
      <w:r w:rsidRPr="005F0D45">
        <w:rPr>
          <w:b/>
          <w:noProof/>
        </w:rPr>
        <w:t>(2) Le perfectionnement des compétences</w:t>
      </w:r>
      <w:r w:rsidRPr="005F0D45">
        <w:rPr>
          <w:noProof/>
        </w:rPr>
        <w:t xml:space="preserve">, conformément au Rapport sur la </w:t>
      </w:r>
      <w:r w:rsidRPr="005F0D45">
        <w:rPr>
          <w:noProof/>
        </w:rPr>
        <w:lastRenderedPageBreak/>
        <w:t>formation et l’emploi dans le secteur automobile de Galice de CEAGA (novembre 2025) et au Plan directeur du secteur automobile de Galice 2025-2027</w:t>
      </w:r>
      <w:r w:rsidR="001B498D" w:rsidRPr="005F0D45">
        <w:rPr>
          <w:rStyle w:val="FootnoteReference"/>
          <w:noProof/>
        </w:rPr>
        <w:footnoteReference w:id="32"/>
      </w:r>
      <w:r w:rsidRPr="005F0D45">
        <w:rPr>
          <w:noProof/>
        </w:rPr>
        <w:t xml:space="preserve">. </w:t>
      </w:r>
      <w:r w:rsidRPr="005F0D45">
        <w:rPr>
          <w:b/>
          <w:noProof/>
        </w:rPr>
        <w:t>(3) La reconversion professionnelle</w:t>
      </w:r>
      <w:r w:rsidRPr="005F0D45">
        <w:rPr>
          <w:noProof/>
        </w:rPr>
        <w:t xml:space="preserve"> visant l’acquisition d’une nouvelle qualification professionnelle sera axée sur des formations liées à des secteurs clés tels que l’aéronautique</w:t>
      </w:r>
      <w:r w:rsidR="00EC1FFE" w:rsidRPr="005F0D45">
        <w:rPr>
          <w:rStyle w:val="FootnoteReference"/>
          <w:noProof/>
        </w:rPr>
        <w:footnoteReference w:id="33"/>
      </w:r>
      <w:r w:rsidRPr="005F0D45">
        <w:rPr>
          <w:noProof/>
        </w:rPr>
        <w:t>, les énergies renouvelables</w:t>
      </w:r>
      <w:r w:rsidR="00EC1FFE" w:rsidRPr="005F0D45">
        <w:rPr>
          <w:rStyle w:val="FootnoteReference"/>
          <w:noProof/>
        </w:rPr>
        <w:footnoteReference w:id="34"/>
      </w:r>
      <w:r w:rsidRPr="005F0D45">
        <w:rPr>
          <w:noProof/>
        </w:rPr>
        <w:t>, les transports et l’entreposage</w:t>
      </w:r>
      <w:r w:rsidR="001933D0" w:rsidRPr="005F0D45">
        <w:rPr>
          <w:rStyle w:val="FootnoteReference"/>
          <w:noProof/>
        </w:rPr>
        <w:footnoteReference w:id="35"/>
      </w:r>
      <w:r w:rsidRPr="005F0D45">
        <w:rPr>
          <w:noProof/>
        </w:rPr>
        <w:t>, ainsi que les infrastructures et la maintenance industrielle</w:t>
      </w:r>
      <w:r w:rsidR="007C0AB0" w:rsidRPr="005F0D45">
        <w:rPr>
          <w:rStyle w:val="FootnoteReference"/>
          <w:noProof/>
        </w:rPr>
        <w:footnoteReference w:id="36"/>
      </w:r>
      <w:r w:rsidRPr="005F0D45">
        <w:rPr>
          <w:noProof/>
        </w:rPr>
        <w:t xml:space="preserve">, qui présentent une forte capacité d’absorption des profils industriels. </w:t>
      </w:r>
      <w:r w:rsidRPr="005F0D45">
        <w:rPr>
          <w:b/>
          <w:noProof/>
        </w:rPr>
        <w:t>(4) Une formation à l’entreprenariat</w:t>
      </w:r>
      <w:r w:rsidRPr="005F0D45">
        <w:rPr>
          <w:noProof/>
        </w:rPr>
        <w:t xml:space="preserve"> sera dispensée à ceux souhaitant exercer une activité indépendante.</w:t>
      </w:r>
      <w:bookmarkEnd w:id="10"/>
      <w:r w:rsidRPr="005F0D45">
        <w:rPr>
          <w:noProof/>
        </w:rPr>
        <w:t xml:space="preserve"> </w:t>
      </w:r>
    </w:p>
    <w:p w:rsidR="00BC7DB9" w:rsidRPr="005F0D45" w:rsidRDefault="000966A5" w:rsidP="00B1308F">
      <w:pPr>
        <w:pStyle w:val="Tiret1"/>
        <w:numPr>
          <w:ilvl w:val="0"/>
          <w:numId w:val="19"/>
        </w:numPr>
        <w:rPr>
          <w:noProof/>
        </w:rPr>
      </w:pPr>
      <w:r w:rsidRPr="005F0D45">
        <w:rPr>
          <w:noProof/>
          <w:u w:val="single"/>
        </w:rPr>
        <w:t>Aide intensive à la recherche d’un emploi</w:t>
      </w:r>
      <w:r w:rsidRPr="005F0D45">
        <w:rPr>
          <w:noProof/>
        </w:rPr>
        <w:t>, comprenant la recherche active d’offres d’emploi aux niveaux local et régional (y compris pour les personnes souhaitant exercer une activité indépendante) ainsi que le rapprochement entre les offres et les demandes d’emploi.</w:t>
      </w:r>
    </w:p>
    <w:p w:rsidR="00BC7DB9" w:rsidRPr="005F0D45" w:rsidRDefault="00791ECB" w:rsidP="00B1308F">
      <w:pPr>
        <w:pStyle w:val="Tiret1"/>
        <w:numPr>
          <w:ilvl w:val="0"/>
          <w:numId w:val="19"/>
        </w:numPr>
        <w:rPr>
          <w:noProof/>
        </w:rPr>
      </w:pPr>
      <w:bookmarkStart w:id="11" w:name="_Hlk230021973"/>
      <w:r w:rsidRPr="005F0D45">
        <w:rPr>
          <w:noProof/>
          <w:u w:val="single"/>
        </w:rPr>
        <w:t>Accompagnement après le retour à l’emploi</w:t>
      </w:r>
      <w:bookmarkEnd w:id="11"/>
      <w:r w:rsidRPr="005F0D45">
        <w:rPr>
          <w:noProof/>
        </w:rPr>
        <w:t>: la prise en charge des travailleurs ayant retrouvé un emploi pendant leurs premiers mois d’activité évitera d’éventuels problèmes liés à leur nouveau travail.</w:t>
      </w:r>
    </w:p>
    <w:p w:rsidR="00BC7DB9" w:rsidRPr="005F0D45" w:rsidRDefault="00872D17" w:rsidP="00B1308F">
      <w:pPr>
        <w:pStyle w:val="Tiret1"/>
        <w:numPr>
          <w:ilvl w:val="0"/>
          <w:numId w:val="19"/>
        </w:numPr>
        <w:rPr>
          <w:noProof/>
        </w:rPr>
      </w:pPr>
      <w:r w:rsidRPr="005F0D45">
        <w:rPr>
          <w:noProof/>
          <w:u w:val="single"/>
        </w:rPr>
        <w:t>Soutien financier et incitations</w:t>
      </w:r>
      <w:r w:rsidRPr="005F0D45">
        <w:rPr>
          <w:noProof/>
        </w:rPr>
        <w:t xml:space="preserve">: </w:t>
      </w:r>
      <w:r w:rsidRPr="005F0D45">
        <w:rPr>
          <w:b/>
          <w:noProof/>
        </w:rPr>
        <w:t>(1) incitation à la participation.</w:t>
      </w:r>
      <w:r w:rsidRPr="005F0D45">
        <w:rPr>
          <w:noProof/>
        </w:rPr>
        <w:t xml:space="preserve"> Les travailleurs qui participent aux mesures et suivent le parcours de réinsertion convenu recevront un montant pouvant aller jusqu’à 400 EUR, versé soit en une seule fois, soit en plusieurs versements. </w:t>
      </w:r>
      <w:r w:rsidRPr="005F0D45">
        <w:rPr>
          <w:b/>
          <w:noProof/>
        </w:rPr>
        <w:t>(2) Prise en charge des frais de déplacement.</w:t>
      </w:r>
      <w:r w:rsidRPr="005F0D45">
        <w:rPr>
          <w:noProof/>
        </w:rPr>
        <w:t xml:space="preserve"> Les dépenses éligibles comprendront les frais de transport en commun ou les frais kilométriques liés à l’utilisation d’un véhicule privé (0,26 EUR/km), les péages, les frais de stationnement, les repas et l’hébergement, à concurrence de 340 EUR par formation. </w:t>
      </w:r>
      <w:r w:rsidRPr="005F0D45">
        <w:rPr>
          <w:b/>
          <w:noProof/>
        </w:rPr>
        <w:t>(3) Soutien financier aux aidants ayant des personnes dépendantes à charge.</w:t>
      </w:r>
      <w:r w:rsidRPr="005F0D45">
        <w:rPr>
          <w:noProof/>
        </w:rPr>
        <w:t xml:space="preserve"> Une allocation journalière pouvant atteindre 20 EUR sera accordée aux participants assumant des responsabilités de prise en charge (par exemple d’enfants, de personnes âgées ou de personnes handicapées dépendantes), afin de compenser les coûts supplémentaires liés à leur participation aux formations. </w:t>
      </w:r>
      <w:r w:rsidRPr="005F0D45">
        <w:rPr>
          <w:b/>
          <w:noProof/>
        </w:rPr>
        <w:t>(4) Incitations au reclassement externe.</w:t>
      </w:r>
      <w:r w:rsidRPr="005F0D45">
        <w:rPr>
          <w:noProof/>
        </w:rPr>
        <w:t xml:space="preserve"> Les personnes qui retrouvent un emploi, en tant que salariés ou travailleurs indépendants, recevront 200 EUR par mois pendant une période maximale de six mois. Cette incitation vise à encourager les travailleurs, en particulier les plus âgés, à rester sur le marché du travail et à retrouver rapidement un emploi.</w:t>
      </w:r>
    </w:p>
    <w:p w:rsidR="001A62D7" w:rsidRPr="005F0D45" w:rsidRDefault="008D1B07" w:rsidP="001A62D7">
      <w:pPr>
        <w:pStyle w:val="ManualNumPar1"/>
        <w:rPr>
          <w:noProof/>
        </w:rPr>
      </w:pPr>
      <w:r>
        <w:rPr>
          <w:noProof/>
        </w:rPr>
        <w:t>27.</w:t>
      </w:r>
      <w:r>
        <w:rPr>
          <w:noProof/>
        </w:rPr>
        <w:tab/>
      </w:r>
      <w:r w:rsidRPr="005F0D45">
        <w:rPr>
          <w:noProof/>
        </w:rPr>
        <w:t>Les formations transversales visent à diffuser les compétences requises à l’ère de l’industrie numérique et dans une économie efficace dans l’utilisation des ressources, conformément à l’article 7, paragraphe 2, du règlement (UE) 2021/691.</w:t>
      </w:r>
    </w:p>
    <w:p w:rsidR="001A62D7" w:rsidRPr="005F0D45" w:rsidRDefault="001A62D7" w:rsidP="00AE7D04">
      <w:pPr>
        <w:pStyle w:val="ManualNumPar1"/>
        <w:rPr>
          <w:noProof/>
        </w:rPr>
      </w:pPr>
      <w:r>
        <w:rPr>
          <w:noProof/>
        </w:rPr>
        <w:t>28.</w:t>
      </w:r>
      <w:r>
        <w:rPr>
          <w:noProof/>
        </w:rPr>
        <w:tab/>
      </w:r>
      <w:bookmarkStart w:id="12" w:name="_Ref372214242"/>
      <w:r w:rsidRPr="005F0D45">
        <w:rPr>
          <w:noProof/>
        </w:rPr>
        <w:t xml:space="preserve">Les actions proposées, décrites ici, constituent des mesures actives du marché du travail entrant dans le cadre des mesures éligibles prévues à l’article 7 du règlement </w:t>
      </w:r>
      <w:r w:rsidRPr="005F0D45">
        <w:rPr>
          <w:noProof/>
        </w:rPr>
        <w:lastRenderedPageBreak/>
        <w:t xml:space="preserve">(UE) 2021/691. Elles ne se substituent pas à des mesures passives de protection sociale. </w:t>
      </w:r>
    </w:p>
    <w:p w:rsidR="001A62D7" w:rsidRPr="005F0D45" w:rsidRDefault="008D1B07" w:rsidP="00AE7D04">
      <w:pPr>
        <w:pStyle w:val="ManualNumPar1"/>
        <w:rPr>
          <w:noProof/>
        </w:rPr>
      </w:pPr>
      <w:r>
        <w:rPr>
          <w:noProof/>
        </w:rPr>
        <w:t>29.</w:t>
      </w:r>
      <w:r>
        <w:rPr>
          <w:noProof/>
        </w:rPr>
        <w:tab/>
      </w:r>
      <w:r w:rsidRPr="005F0D45">
        <w:rPr>
          <w:noProof/>
        </w:rPr>
        <w:t>L’Espagne a fourni les informations requises sur les mesures revêtant un caractère obligatoire pour les entreprises concernées en vertu du droit national ou des conventions collectives. Conformément à l’article 9, paragraphe 1, du règlement (UE) 2021/691, l’Espagne a confirmé que la contribution financière du FEM ne se substituerait pas à ces mesures.</w:t>
      </w:r>
      <w:bookmarkEnd w:id="12"/>
    </w:p>
    <w:p w:rsidR="001A62D7" w:rsidRPr="005F0D45" w:rsidRDefault="001A62D7" w:rsidP="001A62D7">
      <w:pPr>
        <w:pStyle w:val="ManualHeading3"/>
        <w:rPr>
          <w:noProof/>
        </w:rPr>
      </w:pPr>
      <w:r w:rsidRPr="005F0D45">
        <w:rPr>
          <w:noProof/>
        </w:rPr>
        <w:t>Budget prévisionnel</w:t>
      </w:r>
    </w:p>
    <w:p w:rsidR="001A62D7" w:rsidRPr="005F0D45" w:rsidRDefault="001A62D7" w:rsidP="00AE7D04">
      <w:pPr>
        <w:pStyle w:val="ManualNumPar1"/>
        <w:rPr>
          <w:noProof/>
        </w:rPr>
      </w:pPr>
      <w:r>
        <w:rPr>
          <w:noProof/>
        </w:rPr>
        <w:t>30.</w:t>
      </w:r>
      <w:r>
        <w:rPr>
          <w:noProof/>
        </w:rPr>
        <w:tab/>
      </w:r>
      <w:r w:rsidRPr="005F0D45">
        <w:rPr>
          <w:noProof/>
        </w:rPr>
        <w:t>Le coût total estimé s’élève à 3 206 000 EUR; il correspond aux dépenses afférentes aux services personnalisés à hauteur de 3 046 000 EUR et aux dépenses afférentes aux activités préparatoires, de gestion, d’information et de publicité, ainsi qu’aux activités de contrôle et de rapport, à hauteur de 160 000 EUR.</w:t>
      </w:r>
    </w:p>
    <w:p w:rsidR="001A62D7" w:rsidRPr="005F0D45" w:rsidRDefault="001A62D7" w:rsidP="00AE7D04">
      <w:pPr>
        <w:pStyle w:val="ManualNumPar1"/>
        <w:rPr>
          <w:noProof/>
        </w:rPr>
      </w:pPr>
      <w:r>
        <w:rPr>
          <w:noProof/>
        </w:rPr>
        <w:t>31.</w:t>
      </w:r>
      <w:r>
        <w:rPr>
          <w:noProof/>
        </w:rPr>
        <w:tab/>
      </w:r>
      <w:bookmarkStart w:id="13" w:name="_Ref372550770"/>
      <w:r w:rsidRPr="005F0D45">
        <w:rPr>
          <w:noProof/>
        </w:rPr>
        <w:t>La contribution financière totale demandée au FEM s’élève à 2 725 100 EUR (soit 85 % du coût total).</w:t>
      </w:r>
      <w:bookmarkEnd w:id="13"/>
    </w:p>
    <w:p w:rsidR="001A62D7" w:rsidRPr="005F0D45" w:rsidRDefault="001A62D7" w:rsidP="00AE7D04">
      <w:pPr>
        <w:pStyle w:val="ManualNumPar1"/>
        <w:rPr>
          <w:noProof/>
        </w:rPr>
      </w:pPr>
      <w:r>
        <w:rPr>
          <w:noProof/>
        </w:rPr>
        <w:t>32.</w:t>
      </w:r>
      <w:r>
        <w:rPr>
          <w:noProof/>
        </w:rPr>
        <w:tab/>
      </w:r>
      <w:r w:rsidRPr="005F0D45">
        <w:rPr>
          <w:noProof/>
        </w:rPr>
        <w:t>Conformément à l’article 8, paragraphe 7, point m), du règlement (UE) 2021/691, l’Espagne a indiqué que le préfinancement et le cofinancement nationaux sont assurés par la Xunta de Galicia</w:t>
      </w:r>
      <w:r w:rsidR="000E7D45" w:rsidRPr="005F0D45">
        <w:rPr>
          <w:rStyle w:val="FootnoteReference"/>
          <w:noProof/>
        </w:rPr>
        <w:footnoteReference w:id="37"/>
      </w:r>
      <w:r w:rsidRPr="005F0D45">
        <w:rPr>
          <w:noProof/>
        </w:rPr>
        <w:t>.</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5F0D45" w:rsidTr="001D5990">
        <w:tc>
          <w:tcPr>
            <w:tcW w:w="4644" w:type="dxa"/>
            <w:vAlign w:val="center"/>
          </w:tcPr>
          <w:p w:rsidR="001A62D7" w:rsidRPr="005F0D45" w:rsidRDefault="001A62D7" w:rsidP="001D5990">
            <w:pPr>
              <w:spacing w:before="60" w:after="60"/>
              <w:jc w:val="center"/>
              <w:rPr>
                <w:rFonts w:eastAsia="Times New Roman"/>
                <w:noProof/>
                <w:sz w:val="22"/>
              </w:rPr>
            </w:pPr>
            <w:r w:rsidRPr="005F0D45">
              <w:rPr>
                <w:noProof/>
                <w:sz w:val="22"/>
              </w:rPr>
              <w:t>Mesures</w:t>
            </w:r>
          </w:p>
        </w:tc>
        <w:tc>
          <w:tcPr>
            <w:tcW w:w="1548" w:type="dxa"/>
            <w:vAlign w:val="center"/>
          </w:tcPr>
          <w:p w:rsidR="001A62D7" w:rsidRPr="005F0D45" w:rsidRDefault="001A62D7" w:rsidP="001D5990">
            <w:pPr>
              <w:spacing w:before="60" w:after="60"/>
              <w:jc w:val="center"/>
              <w:rPr>
                <w:rFonts w:eastAsia="Times New Roman"/>
                <w:noProof/>
                <w:sz w:val="22"/>
              </w:rPr>
            </w:pPr>
            <w:r w:rsidRPr="005F0D45">
              <w:rPr>
                <w:noProof/>
                <w:sz w:val="22"/>
              </w:rPr>
              <w:t>Nombre estimé de participants</w:t>
            </w:r>
          </w:p>
        </w:tc>
        <w:tc>
          <w:tcPr>
            <w:tcW w:w="1548" w:type="dxa"/>
            <w:vAlign w:val="center"/>
          </w:tcPr>
          <w:p w:rsidR="001A62D7" w:rsidRPr="005F0D45" w:rsidRDefault="001A62D7" w:rsidP="001D5990">
            <w:pPr>
              <w:spacing w:before="60" w:after="60"/>
              <w:jc w:val="center"/>
              <w:rPr>
                <w:rFonts w:eastAsia="Times New Roman"/>
                <w:noProof/>
                <w:sz w:val="22"/>
              </w:rPr>
            </w:pPr>
            <w:r w:rsidRPr="005F0D45">
              <w:rPr>
                <w:noProof/>
                <w:sz w:val="22"/>
              </w:rPr>
              <w:t>Coût estimé par participant</w:t>
            </w:r>
            <w:r w:rsidRPr="005F0D45">
              <w:rPr>
                <w:noProof/>
                <w:sz w:val="22"/>
              </w:rPr>
              <w:br/>
            </w:r>
            <w:r w:rsidRPr="005F0D45">
              <w:rPr>
                <w:i/>
                <w:noProof/>
                <w:sz w:val="22"/>
              </w:rPr>
              <w:t>(en euros)</w:t>
            </w:r>
            <w:r w:rsidRPr="005F0D45">
              <w:rPr>
                <w:rStyle w:val="FootnoteReference"/>
                <w:rFonts w:eastAsia="Times New Roman"/>
                <w:i/>
                <w:noProof/>
                <w:sz w:val="22"/>
              </w:rPr>
              <w:footnoteReference w:id="38"/>
            </w:r>
          </w:p>
        </w:tc>
        <w:tc>
          <w:tcPr>
            <w:tcW w:w="1548" w:type="dxa"/>
            <w:vAlign w:val="center"/>
          </w:tcPr>
          <w:p w:rsidR="001A62D7" w:rsidRPr="005F0D45" w:rsidRDefault="001A62D7" w:rsidP="001D5990">
            <w:pPr>
              <w:spacing w:before="60" w:after="60"/>
              <w:jc w:val="center"/>
              <w:rPr>
                <w:rFonts w:eastAsia="Times New Roman"/>
                <w:noProof/>
                <w:sz w:val="22"/>
              </w:rPr>
            </w:pPr>
            <w:r w:rsidRPr="005F0D45">
              <w:rPr>
                <w:noProof/>
                <w:sz w:val="22"/>
              </w:rPr>
              <w:t>Estimation du coût total</w:t>
            </w:r>
          </w:p>
          <w:p w:rsidR="001A62D7" w:rsidRPr="005F0D45" w:rsidRDefault="001A62D7" w:rsidP="001D5990">
            <w:pPr>
              <w:spacing w:before="60" w:after="60"/>
              <w:jc w:val="center"/>
              <w:rPr>
                <w:rFonts w:eastAsia="Times New Roman"/>
                <w:noProof/>
                <w:sz w:val="22"/>
              </w:rPr>
            </w:pPr>
            <w:r w:rsidRPr="005F0D45">
              <w:rPr>
                <w:i/>
                <w:noProof/>
                <w:sz w:val="22"/>
              </w:rPr>
              <w:t>(en euros)</w:t>
            </w:r>
            <w:r w:rsidRPr="005F0D45">
              <w:rPr>
                <w:rStyle w:val="FootnoteReference"/>
                <w:rFonts w:eastAsia="Times New Roman"/>
                <w:i/>
                <w:noProof/>
                <w:sz w:val="22"/>
              </w:rPr>
              <w:footnoteReference w:id="39"/>
            </w:r>
            <w:r w:rsidRPr="005F0D45">
              <w:rPr>
                <w:i/>
                <w:noProof/>
                <w:sz w:val="22"/>
              </w:rPr>
              <w:t xml:space="preserve"> </w:t>
            </w:r>
          </w:p>
        </w:tc>
      </w:tr>
      <w:tr w:rsidR="001A62D7" w:rsidRPr="005F0D45" w:rsidTr="001D5990">
        <w:tc>
          <w:tcPr>
            <w:tcW w:w="9288" w:type="dxa"/>
            <w:gridSpan w:val="4"/>
          </w:tcPr>
          <w:p w:rsidR="001A62D7" w:rsidRPr="005F0D45" w:rsidRDefault="001A62D7" w:rsidP="001D5990">
            <w:pPr>
              <w:spacing w:before="60" w:after="60"/>
              <w:jc w:val="left"/>
              <w:rPr>
                <w:rFonts w:eastAsia="Times New Roman"/>
                <w:noProof/>
                <w:sz w:val="22"/>
              </w:rPr>
            </w:pPr>
            <w:r w:rsidRPr="005F0D45">
              <w:rPr>
                <w:noProof/>
                <w:sz w:val="22"/>
              </w:rPr>
              <w:t>Services personnalisés [mesures au titre de l’article 7, paragraphe 2</w:t>
            </w:r>
            <w:r w:rsidRPr="005F0D45">
              <w:rPr>
                <w:noProof/>
              </w:rPr>
              <w:t xml:space="preserve">, deuxième alinéa, </w:t>
            </w:r>
            <w:r w:rsidRPr="005F0D45">
              <w:rPr>
                <w:noProof/>
                <w:sz w:val="22"/>
              </w:rPr>
              <w:t>point a), du règlement (UE) 2021/691]</w:t>
            </w:r>
          </w:p>
        </w:tc>
      </w:tr>
      <w:tr w:rsidR="001A62D7" w:rsidRPr="005F0D45"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5F0D45" w:rsidRDefault="009F2938" w:rsidP="001D5990">
            <w:pPr>
              <w:spacing w:before="60" w:after="60"/>
              <w:jc w:val="left"/>
              <w:rPr>
                <w:noProof/>
              </w:rPr>
            </w:pPr>
            <w:r w:rsidRPr="005F0D45">
              <w:rPr>
                <w:noProof/>
              </w:rPr>
              <w:t>Information, phase d’accueil et profilage des travailleurs</w:t>
            </w:r>
            <w:r w:rsidRPr="005F0D45">
              <w:rPr>
                <w:noProof/>
              </w:rPr>
              <w:br/>
              <w:t>(</w:t>
            </w:r>
            <w:r w:rsidRPr="005F0D45">
              <w:rPr>
                <w:i/>
                <w:noProof/>
              </w:rPr>
              <w:t>acogida y diagnóstico inicial)</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F0D45" w:rsidRDefault="00BC23D3" w:rsidP="001D5990">
            <w:pPr>
              <w:spacing w:before="60" w:after="60"/>
              <w:jc w:val="center"/>
              <w:rPr>
                <w:noProof/>
              </w:rPr>
            </w:pPr>
            <w:r w:rsidRPr="005F0D45">
              <w:rPr>
                <w:noProof/>
              </w:rPr>
              <w:t>400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F0D45" w:rsidRDefault="00BC23D3" w:rsidP="001D5990">
            <w:pPr>
              <w:spacing w:before="60" w:after="60"/>
              <w:jc w:val="center"/>
              <w:rPr>
                <w:noProof/>
              </w:rPr>
            </w:pPr>
            <w:r w:rsidRPr="005F0D45">
              <w:rPr>
                <w:noProof/>
              </w:rPr>
              <w:t>100</w:t>
            </w:r>
          </w:p>
        </w:tc>
        <w:tc>
          <w:tcPr>
            <w:tcW w:w="1548" w:type="dxa"/>
            <w:tcBorders>
              <w:top w:val="single" w:sz="4" w:space="0" w:color="auto"/>
              <w:left w:val="single" w:sz="4" w:space="0" w:color="auto"/>
              <w:bottom w:val="single" w:sz="4" w:space="0" w:color="auto"/>
              <w:right w:val="nil"/>
            </w:tcBorders>
            <w:vAlign w:val="center"/>
            <w:hideMark/>
          </w:tcPr>
          <w:p w:rsidR="001A62D7" w:rsidRPr="005F0D45" w:rsidRDefault="00BC23D3" w:rsidP="001D5990">
            <w:pPr>
              <w:spacing w:before="60" w:after="60"/>
              <w:jc w:val="center"/>
              <w:rPr>
                <w:noProof/>
              </w:rPr>
            </w:pPr>
            <w:r w:rsidRPr="005F0D45">
              <w:rPr>
                <w:noProof/>
              </w:rPr>
              <w:t>40 000</w:t>
            </w:r>
          </w:p>
        </w:tc>
      </w:tr>
      <w:tr w:rsidR="0070290B" w:rsidRPr="005F0D45" w:rsidTr="008A3196">
        <w:trPr>
          <w:trHeight w:val="802"/>
        </w:trPr>
        <w:tc>
          <w:tcPr>
            <w:tcW w:w="4644" w:type="dxa"/>
            <w:tcBorders>
              <w:top w:val="single" w:sz="4" w:space="0" w:color="auto"/>
              <w:left w:val="nil"/>
              <w:bottom w:val="single" w:sz="4" w:space="0" w:color="auto"/>
              <w:right w:val="single" w:sz="4" w:space="0" w:color="auto"/>
            </w:tcBorders>
            <w:vAlign w:val="center"/>
            <w:hideMark/>
          </w:tcPr>
          <w:p w:rsidR="0070290B" w:rsidRPr="005F0D45" w:rsidRDefault="0070290B" w:rsidP="008A3196">
            <w:pPr>
              <w:spacing w:before="60" w:after="60"/>
              <w:jc w:val="left"/>
              <w:rPr>
                <w:noProof/>
              </w:rPr>
            </w:pPr>
            <w:r w:rsidRPr="005F0D45">
              <w:rPr>
                <w:noProof/>
              </w:rPr>
              <w:t>Orientation professionnelle</w:t>
            </w:r>
            <w:r w:rsidRPr="005F0D45">
              <w:rPr>
                <w:noProof/>
              </w:rPr>
              <w:br/>
              <w:t>(</w:t>
            </w:r>
            <w:r w:rsidRPr="005F0D45">
              <w:rPr>
                <w:i/>
                <w:noProof/>
              </w:rPr>
              <w:t>orientación laboral por cuenta agena y propia)</w:t>
            </w:r>
            <w:r w:rsidRPr="005F0D45">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0290B" w:rsidRPr="005F0D45" w:rsidRDefault="00BC23D3" w:rsidP="008A3196">
            <w:pPr>
              <w:spacing w:before="60" w:after="60"/>
              <w:jc w:val="center"/>
              <w:rPr>
                <w:noProof/>
              </w:rPr>
            </w:pPr>
            <w:r w:rsidRPr="005F0D45">
              <w:rPr>
                <w:noProof/>
              </w:rPr>
              <w:t>300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70290B" w:rsidRPr="005F0D45" w:rsidRDefault="00BC23D3" w:rsidP="008A3196">
            <w:pPr>
              <w:spacing w:before="60" w:after="60"/>
              <w:jc w:val="center"/>
              <w:rPr>
                <w:noProof/>
              </w:rPr>
            </w:pPr>
            <w:r w:rsidRPr="005F0D45">
              <w:rPr>
                <w:noProof/>
              </w:rPr>
              <w:t>500</w:t>
            </w:r>
          </w:p>
        </w:tc>
        <w:tc>
          <w:tcPr>
            <w:tcW w:w="1548" w:type="dxa"/>
            <w:tcBorders>
              <w:top w:val="single" w:sz="4" w:space="0" w:color="auto"/>
              <w:left w:val="single" w:sz="4" w:space="0" w:color="auto"/>
              <w:bottom w:val="single" w:sz="4" w:space="0" w:color="auto"/>
              <w:right w:val="nil"/>
            </w:tcBorders>
            <w:vAlign w:val="center"/>
            <w:hideMark/>
          </w:tcPr>
          <w:p w:rsidR="0070290B" w:rsidRPr="005F0D45" w:rsidRDefault="00BC23D3" w:rsidP="008A3196">
            <w:pPr>
              <w:spacing w:before="60" w:after="60"/>
              <w:jc w:val="center"/>
              <w:rPr>
                <w:noProof/>
              </w:rPr>
            </w:pPr>
            <w:r w:rsidRPr="005F0D45">
              <w:rPr>
                <w:noProof/>
              </w:rPr>
              <w:t>150 000</w:t>
            </w:r>
          </w:p>
        </w:tc>
      </w:tr>
      <w:tr w:rsidR="001A62D7" w:rsidRPr="005F0D45"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5F0D45" w:rsidRDefault="00D163F9" w:rsidP="001D5990">
            <w:pPr>
              <w:spacing w:before="60" w:after="60"/>
              <w:jc w:val="left"/>
              <w:rPr>
                <w:noProof/>
              </w:rPr>
            </w:pPr>
            <w:r w:rsidRPr="005F0D45">
              <w:rPr>
                <w:noProof/>
              </w:rPr>
              <w:t>Formation</w:t>
            </w:r>
            <w:r w:rsidRPr="005F0D45">
              <w:rPr>
                <w:noProof/>
              </w:rPr>
              <w:br/>
              <w:t>(</w:t>
            </w:r>
            <w:r w:rsidRPr="005F0D45">
              <w:rPr>
                <w:i/>
                <w:noProof/>
              </w:rPr>
              <w:t>formación transversal, recualificación profesional dentro o fuera del sector y formación en autoempleo)</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F0D45" w:rsidRDefault="00C22B7B" w:rsidP="001D5990">
            <w:pPr>
              <w:spacing w:before="60" w:after="60"/>
              <w:jc w:val="center"/>
              <w:rPr>
                <w:noProof/>
              </w:rPr>
            </w:pPr>
            <w:r w:rsidRPr="005F0D45">
              <w:rPr>
                <w:noProof/>
              </w:rPr>
              <w:t>400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F0D45" w:rsidRDefault="00C22B7B" w:rsidP="001D5990">
            <w:pPr>
              <w:spacing w:before="60" w:after="60"/>
              <w:jc w:val="center"/>
              <w:rPr>
                <w:noProof/>
              </w:rPr>
            </w:pPr>
            <w:r w:rsidRPr="005F0D45">
              <w:rPr>
                <w:noProof/>
              </w:rPr>
              <w:t>5 050</w:t>
            </w:r>
          </w:p>
        </w:tc>
        <w:tc>
          <w:tcPr>
            <w:tcW w:w="1548" w:type="dxa"/>
            <w:tcBorders>
              <w:top w:val="single" w:sz="4" w:space="0" w:color="auto"/>
              <w:left w:val="single" w:sz="4" w:space="0" w:color="auto"/>
              <w:bottom w:val="single" w:sz="4" w:space="0" w:color="auto"/>
              <w:right w:val="nil"/>
            </w:tcBorders>
            <w:vAlign w:val="center"/>
            <w:hideMark/>
          </w:tcPr>
          <w:p w:rsidR="001A62D7" w:rsidRPr="005F0D45" w:rsidRDefault="00BC23D3" w:rsidP="001D5990">
            <w:pPr>
              <w:spacing w:before="60" w:after="60"/>
              <w:jc w:val="center"/>
              <w:rPr>
                <w:noProof/>
              </w:rPr>
            </w:pPr>
            <w:r w:rsidRPr="005F0D45">
              <w:rPr>
                <w:noProof/>
              </w:rPr>
              <w:t>2 020 000</w:t>
            </w:r>
          </w:p>
        </w:tc>
      </w:tr>
      <w:tr w:rsidR="001A62D7" w:rsidRPr="005F0D45"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5F0D45" w:rsidRDefault="00DD32A0" w:rsidP="001D5990">
            <w:pPr>
              <w:spacing w:before="60" w:after="60"/>
              <w:jc w:val="left"/>
              <w:rPr>
                <w:noProof/>
              </w:rPr>
            </w:pPr>
            <w:r w:rsidRPr="005F0D45">
              <w:rPr>
                <w:noProof/>
              </w:rPr>
              <w:t>Aide intensive à la recherche d’un emploi</w:t>
            </w:r>
            <w:r w:rsidRPr="005F0D45">
              <w:rPr>
                <w:noProof/>
              </w:rPr>
              <w:br/>
              <w:t>(</w:t>
            </w:r>
            <w:r w:rsidRPr="005F0D45">
              <w:rPr>
                <w:i/>
                <w:noProof/>
              </w:rPr>
              <w:t>apoyo a la recolocación)</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F0D45" w:rsidRDefault="00BC23D3" w:rsidP="001D5990">
            <w:pPr>
              <w:spacing w:before="60" w:after="60"/>
              <w:jc w:val="center"/>
              <w:rPr>
                <w:noProof/>
              </w:rPr>
            </w:pPr>
            <w:r w:rsidRPr="005F0D45">
              <w:rPr>
                <w:noProof/>
              </w:rPr>
              <w:t>250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F0D45" w:rsidRDefault="00BC23D3" w:rsidP="001D5990">
            <w:pPr>
              <w:spacing w:before="60" w:after="60"/>
              <w:jc w:val="center"/>
              <w:rPr>
                <w:noProof/>
              </w:rPr>
            </w:pPr>
            <w:r w:rsidRPr="005F0D45">
              <w:rPr>
                <w:noProof/>
              </w:rPr>
              <w:t>1 300</w:t>
            </w:r>
          </w:p>
        </w:tc>
        <w:tc>
          <w:tcPr>
            <w:tcW w:w="1548" w:type="dxa"/>
            <w:tcBorders>
              <w:top w:val="single" w:sz="4" w:space="0" w:color="auto"/>
              <w:left w:val="single" w:sz="4" w:space="0" w:color="auto"/>
              <w:bottom w:val="single" w:sz="4" w:space="0" w:color="auto"/>
              <w:right w:val="nil"/>
            </w:tcBorders>
            <w:vAlign w:val="center"/>
            <w:hideMark/>
          </w:tcPr>
          <w:p w:rsidR="001A62D7" w:rsidRPr="005F0D45" w:rsidRDefault="00BC23D3" w:rsidP="001D5990">
            <w:pPr>
              <w:spacing w:before="60" w:after="60"/>
              <w:jc w:val="center"/>
              <w:rPr>
                <w:noProof/>
              </w:rPr>
            </w:pPr>
            <w:r w:rsidRPr="005F0D45">
              <w:rPr>
                <w:noProof/>
              </w:rPr>
              <w:t>325 000</w:t>
            </w:r>
          </w:p>
        </w:tc>
      </w:tr>
      <w:tr w:rsidR="001A62D7" w:rsidRPr="005F0D45"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5F0D45" w:rsidRDefault="00DD32A0" w:rsidP="001D5990">
            <w:pPr>
              <w:spacing w:before="60" w:after="60"/>
              <w:jc w:val="left"/>
              <w:rPr>
                <w:noProof/>
              </w:rPr>
            </w:pPr>
            <w:r w:rsidRPr="005F0D45">
              <w:rPr>
                <w:noProof/>
              </w:rPr>
              <w:t>Accompagnement après le retour à l’emploi</w:t>
            </w:r>
            <w:r w:rsidRPr="005F0D45">
              <w:rPr>
                <w:noProof/>
              </w:rPr>
              <w:br/>
              <w:t>(</w:t>
            </w:r>
            <w:r w:rsidRPr="005F0D45">
              <w:rPr>
                <w:i/>
                <w:noProof/>
              </w:rPr>
              <w:t>seguimiento en el empleo)</w:t>
            </w:r>
            <w:r w:rsidRPr="005F0D45">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F0D45" w:rsidRDefault="00BC23D3" w:rsidP="001D5990">
            <w:pPr>
              <w:spacing w:before="60" w:after="60"/>
              <w:jc w:val="center"/>
              <w:rPr>
                <w:noProof/>
              </w:rPr>
            </w:pPr>
            <w:r w:rsidRPr="005F0D45">
              <w:rPr>
                <w:noProof/>
              </w:rPr>
              <w:t>200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F0D45" w:rsidRDefault="00BC23D3" w:rsidP="001D5990">
            <w:pPr>
              <w:spacing w:before="60" w:after="60"/>
              <w:jc w:val="center"/>
              <w:rPr>
                <w:noProof/>
              </w:rPr>
            </w:pPr>
            <w:r w:rsidRPr="005F0D45">
              <w:rPr>
                <w:noProof/>
              </w:rPr>
              <w:t>250</w:t>
            </w:r>
          </w:p>
        </w:tc>
        <w:tc>
          <w:tcPr>
            <w:tcW w:w="1548" w:type="dxa"/>
            <w:tcBorders>
              <w:top w:val="single" w:sz="4" w:space="0" w:color="auto"/>
              <w:left w:val="single" w:sz="4" w:space="0" w:color="auto"/>
              <w:bottom w:val="single" w:sz="4" w:space="0" w:color="auto"/>
              <w:right w:val="nil"/>
            </w:tcBorders>
            <w:vAlign w:val="center"/>
            <w:hideMark/>
          </w:tcPr>
          <w:p w:rsidR="001A62D7" w:rsidRPr="005F0D45" w:rsidRDefault="00BC23D3" w:rsidP="001D5990">
            <w:pPr>
              <w:spacing w:before="60" w:after="60"/>
              <w:jc w:val="center"/>
              <w:rPr>
                <w:noProof/>
              </w:rPr>
            </w:pPr>
            <w:r w:rsidRPr="005F0D45">
              <w:rPr>
                <w:noProof/>
              </w:rPr>
              <w:t>50 000</w:t>
            </w:r>
          </w:p>
        </w:tc>
      </w:tr>
      <w:tr w:rsidR="001A62D7" w:rsidRPr="005F0D45" w:rsidTr="001D5990">
        <w:trPr>
          <w:trHeight w:val="398"/>
        </w:trPr>
        <w:tc>
          <w:tcPr>
            <w:tcW w:w="4644" w:type="dxa"/>
            <w:vMerge w:val="restart"/>
            <w:vAlign w:val="center"/>
          </w:tcPr>
          <w:p w:rsidR="001A62D7" w:rsidRPr="005F0D45" w:rsidRDefault="001A62D7" w:rsidP="001D5990">
            <w:pPr>
              <w:spacing w:before="60" w:after="60"/>
              <w:jc w:val="right"/>
              <w:rPr>
                <w:rFonts w:eastAsia="Times New Roman"/>
                <w:noProof/>
                <w:sz w:val="22"/>
              </w:rPr>
            </w:pPr>
            <w:r w:rsidRPr="005F0D45">
              <w:rPr>
                <w:noProof/>
                <w:sz w:val="22"/>
              </w:rPr>
              <w:lastRenderedPageBreak/>
              <w:t>Sous-total a):</w:t>
            </w:r>
          </w:p>
          <w:p w:rsidR="001A62D7" w:rsidRPr="005F0D45" w:rsidRDefault="001A62D7" w:rsidP="001D5990">
            <w:pPr>
              <w:spacing w:before="60" w:after="60"/>
              <w:jc w:val="right"/>
              <w:rPr>
                <w:rFonts w:eastAsia="Times New Roman"/>
                <w:noProof/>
                <w:sz w:val="22"/>
              </w:rPr>
            </w:pPr>
            <w:r w:rsidRPr="005F0D45">
              <w:rPr>
                <w:noProof/>
                <w:sz w:val="22"/>
              </w:rPr>
              <w:t xml:space="preserve">Pourcentage de l’ensemble coordonné de services personnalisés </w:t>
            </w:r>
          </w:p>
        </w:tc>
        <w:tc>
          <w:tcPr>
            <w:tcW w:w="3096" w:type="dxa"/>
            <w:gridSpan w:val="2"/>
            <w:vMerge w:val="restart"/>
            <w:shd w:val="clear" w:color="auto" w:fill="D9D9D9"/>
            <w:vAlign w:val="center"/>
          </w:tcPr>
          <w:p w:rsidR="001A62D7" w:rsidRPr="005F0D45" w:rsidRDefault="001A62D7" w:rsidP="001D5990">
            <w:pPr>
              <w:spacing w:before="60" w:after="60"/>
              <w:jc w:val="center"/>
              <w:rPr>
                <w:rFonts w:eastAsia="Times New Roman"/>
                <w:noProof/>
                <w:sz w:val="22"/>
              </w:rPr>
            </w:pPr>
            <w:r w:rsidRPr="005F0D45">
              <w:rPr>
                <w:noProof/>
                <w:sz w:val="22"/>
              </w:rPr>
              <w:t>–</w:t>
            </w:r>
          </w:p>
        </w:tc>
        <w:tc>
          <w:tcPr>
            <w:tcW w:w="1548" w:type="dxa"/>
            <w:tcBorders>
              <w:bottom w:val="nil"/>
            </w:tcBorders>
            <w:vAlign w:val="center"/>
          </w:tcPr>
          <w:p w:rsidR="001A62D7" w:rsidRPr="005F0D45" w:rsidRDefault="00BC23D3" w:rsidP="001D5990">
            <w:pPr>
              <w:spacing w:before="60" w:after="60"/>
              <w:jc w:val="center"/>
              <w:rPr>
                <w:rFonts w:eastAsia="Times New Roman"/>
                <w:noProof/>
                <w:sz w:val="22"/>
              </w:rPr>
            </w:pPr>
            <w:r w:rsidRPr="005F0D45">
              <w:rPr>
                <w:noProof/>
              </w:rPr>
              <w:t>2 585 000</w:t>
            </w:r>
          </w:p>
        </w:tc>
      </w:tr>
      <w:tr w:rsidR="001A62D7" w:rsidRPr="005F0D45" w:rsidTr="001D5990">
        <w:trPr>
          <w:trHeight w:val="397"/>
        </w:trPr>
        <w:tc>
          <w:tcPr>
            <w:tcW w:w="4644" w:type="dxa"/>
            <w:vMerge/>
            <w:vAlign w:val="center"/>
          </w:tcPr>
          <w:p w:rsidR="001A62D7" w:rsidRPr="005F0D45"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5F0D45" w:rsidRDefault="001A62D7" w:rsidP="001D5990">
            <w:pPr>
              <w:spacing w:before="60" w:after="60"/>
              <w:jc w:val="center"/>
              <w:rPr>
                <w:rFonts w:eastAsia="Times New Roman"/>
                <w:noProof/>
                <w:sz w:val="22"/>
              </w:rPr>
            </w:pPr>
          </w:p>
        </w:tc>
        <w:tc>
          <w:tcPr>
            <w:tcW w:w="1548" w:type="dxa"/>
            <w:tcBorders>
              <w:top w:val="nil"/>
            </w:tcBorders>
            <w:vAlign w:val="center"/>
          </w:tcPr>
          <w:p w:rsidR="001A62D7" w:rsidRPr="005F0D45" w:rsidRDefault="001A62D7" w:rsidP="001D5990">
            <w:pPr>
              <w:spacing w:before="60" w:after="60"/>
              <w:jc w:val="center"/>
              <w:rPr>
                <w:rFonts w:eastAsia="Times New Roman"/>
                <w:noProof/>
                <w:sz w:val="22"/>
              </w:rPr>
            </w:pPr>
            <w:r w:rsidRPr="005F0D45">
              <w:rPr>
                <w:noProof/>
                <w:sz w:val="22"/>
              </w:rPr>
              <w:t>(</w:t>
            </w:r>
            <w:r w:rsidRPr="005F0D45">
              <w:rPr>
                <w:noProof/>
              </w:rPr>
              <w:t>84,87 </w:t>
            </w:r>
            <w:r w:rsidRPr="005F0D45">
              <w:rPr>
                <w:noProof/>
                <w:sz w:val="22"/>
              </w:rPr>
              <w:t>%)</w:t>
            </w:r>
          </w:p>
        </w:tc>
      </w:tr>
      <w:tr w:rsidR="001A62D7" w:rsidRPr="005F0D45" w:rsidTr="001D5990">
        <w:tc>
          <w:tcPr>
            <w:tcW w:w="9288" w:type="dxa"/>
            <w:gridSpan w:val="4"/>
            <w:vAlign w:val="center"/>
          </w:tcPr>
          <w:p w:rsidR="001A62D7" w:rsidRPr="005F0D45" w:rsidRDefault="001A62D7" w:rsidP="001D5990">
            <w:pPr>
              <w:spacing w:before="60" w:after="60"/>
              <w:jc w:val="left"/>
              <w:rPr>
                <w:noProof/>
                <w:sz w:val="22"/>
              </w:rPr>
            </w:pPr>
            <w:r w:rsidRPr="005F0D45">
              <w:rPr>
                <w:noProof/>
                <w:sz w:val="22"/>
              </w:rPr>
              <w:t xml:space="preserve">Allocations et incitations [mesures au titre de l’article 7, paragraphe 2, </w:t>
            </w:r>
            <w:r w:rsidRPr="005F0D45">
              <w:rPr>
                <w:noProof/>
              </w:rPr>
              <w:t>deuxième alinéa</w:t>
            </w:r>
            <w:r w:rsidRPr="005F0D45">
              <w:rPr>
                <w:noProof/>
                <w:sz w:val="22"/>
              </w:rPr>
              <w:t>, point b), du règlement (UE) 2021/691]</w:t>
            </w:r>
          </w:p>
        </w:tc>
      </w:tr>
      <w:tr w:rsidR="001A62D7" w:rsidRPr="005F0D45"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5F0D45" w:rsidRDefault="00DD32A0" w:rsidP="001D5990">
            <w:pPr>
              <w:spacing w:before="60" w:after="60"/>
              <w:jc w:val="left"/>
              <w:rPr>
                <w:noProof/>
              </w:rPr>
            </w:pPr>
            <w:r w:rsidRPr="005F0D45">
              <w:rPr>
                <w:noProof/>
              </w:rPr>
              <w:t>Soutien financier et incitations</w:t>
            </w:r>
            <w:r w:rsidRPr="005F0D45">
              <w:rPr>
                <w:noProof/>
              </w:rPr>
              <w:br/>
              <w:t>(</w:t>
            </w:r>
            <w:r w:rsidRPr="005F0D45">
              <w:rPr>
                <w:i/>
                <w:noProof/>
              </w:rPr>
              <w:t>becas de participación activa y de desplazamiento, incentivo para la inserción laboral por cuenta propia y ajena, incentivo para el fomento del autoempleo, e incentivo para la conciliación)</w:t>
            </w:r>
            <w:r w:rsidRPr="005F0D45">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F0D45" w:rsidRDefault="00BC23D3" w:rsidP="001D5990">
            <w:pPr>
              <w:spacing w:before="60" w:after="60"/>
              <w:jc w:val="center"/>
              <w:rPr>
                <w:noProof/>
              </w:rPr>
            </w:pPr>
            <w:r w:rsidRPr="005F0D45">
              <w:rPr>
                <w:noProof/>
              </w:rPr>
              <w:t>400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5F0D45" w:rsidRDefault="00BC23D3" w:rsidP="001D5990">
            <w:pPr>
              <w:spacing w:before="60" w:after="60"/>
              <w:jc w:val="center"/>
              <w:rPr>
                <w:noProof/>
              </w:rPr>
            </w:pPr>
            <w:r w:rsidRPr="005F0D45">
              <w:rPr>
                <w:noProof/>
              </w:rPr>
              <w:t>1 152</w:t>
            </w:r>
          </w:p>
        </w:tc>
        <w:tc>
          <w:tcPr>
            <w:tcW w:w="1548" w:type="dxa"/>
            <w:tcBorders>
              <w:top w:val="single" w:sz="4" w:space="0" w:color="auto"/>
              <w:left w:val="single" w:sz="4" w:space="0" w:color="auto"/>
              <w:bottom w:val="single" w:sz="4" w:space="0" w:color="auto"/>
              <w:right w:val="nil"/>
            </w:tcBorders>
            <w:vAlign w:val="center"/>
            <w:hideMark/>
          </w:tcPr>
          <w:p w:rsidR="001A62D7" w:rsidRPr="005F0D45" w:rsidRDefault="00BC23D3" w:rsidP="001D5990">
            <w:pPr>
              <w:spacing w:before="60" w:after="60"/>
              <w:jc w:val="center"/>
              <w:rPr>
                <w:noProof/>
              </w:rPr>
            </w:pPr>
            <w:r w:rsidRPr="005F0D45">
              <w:rPr>
                <w:noProof/>
              </w:rPr>
              <w:t>461 000</w:t>
            </w:r>
          </w:p>
        </w:tc>
      </w:tr>
      <w:tr w:rsidR="001A62D7" w:rsidRPr="005F0D45" w:rsidTr="001D5990">
        <w:trPr>
          <w:trHeight w:val="203"/>
        </w:trPr>
        <w:tc>
          <w:tcPr>
            <w:tcW w:w="4644" w:type="dxa"/>
            <w:vMerge w:val="restart"/>
            <w:vAlign w:val="center"/>
          </w:tcPr>
          <w:p w:rsidR="001A62D7" w:rsidRPr="005F0D45" w:rsidRDefault="001A62D7" w:rsidP="001D5990">
            <w:pPr>
              <w:spacing w:before="60" w:after="60"/>
              <w:jc w:val="right"/>
              <w:rPr>
                <w:rFonts w:eastAsia="Times New Roman"/>
                <w:noProof/>
                <w:sz w:val="22"/>
              </w:rPr>
            </w:pPr>
            <w:r w:rsidRPr="005F0D45">
              <w:rPr>
                <w:noProof/>
                <w:sz w:val="22"/>
              </w:rPr>
              <w:t>Sous-total b):</w:t>
            </w:r>
          </w:p>
          <w:p w:rsidR="001A62D7" w:rsidRPr="005F0D45" w:rsidRDefault="001A62D7" w:rsidP="001D5990">
            <w:pPr>
              <w:spacing w:before="60" w:after="60"/>
              <w:jc w:val="right"/>
              <w:rPr>
                <w:rFonts w:eastAsia="Times New Roman"/>
                <w:noProof/>
                <w:sz w:val="22"/>
              </w:rPr>
            </w:pPr>
            <w:r w:rsidRPr="005F0D45">
              <w:rPr>
                <w:noProof/>
                <w:sz w:val="22"/>
              </w:rPr>
              <w:t>Pourcentage de l’ensemble coordonné de services personnalisés:</w:t>
            </w:r>
          </w:p>
        </w:tc>
        <w:tc>
          <w:tcPr>
            <w:tcW w:w="3096" w:type="dxa"/>
            <w:gridSpan w:val="2"/>
            <w:vMerge w:val="restart"/>
            <w:shd w:val="clear" w:color="auto" w:fill="D9D9D9"/>
            <w:vAlign w:val="center"/>
          </w:tcPr>
          <w:p w:rsidR="001A62D7" w:rsidRPr="005F0D45" w:rsidRDefault="001A62D7" w:rsidP="001D5990">
            <w:pPr>
              <w:spacing w:before="60" w:after="60"/>
              <w:jc w:val="center"/>
              <w:rPr>
                <w:rFonts w:eastAsia="Times New Roman"/>
                <w:noProof/>
                <w:sz w:val="22"/>
              </w:rPr>
            </w:pPr>
            <w:r w:rsidRPr="005F0D45">
              <w:rPr>
                <w:noProof/>
                <w:sz w:val="22"/>
              </w:rPr>
              <w:t>–</w:t>
            </w:r>
          </w:p>
        </w:tc>
        <w:tc>
          <w:tcPr>
            <w:tcW w:w="1548" w:type="dxa"/>
            <w:tcBorders>
              <w:bottom w:val="nil"/>
            </w:tcBorders>
            <w:vAlign w:val="center"/>
          </w:tcPr>
          <w:p w:rsidR="001A62D7" w:rsidRPr="005F0D45" w:rsidRDefault="00BC23D3" w:rsidP="001D5990">
            <w:pPr>
              <w:spacing w:before="60" w:after="60"/>
              <w:jc w:val="center"/>
              <w:rPr>
                <w:rFonts w:eastAsia="Times New Roman"/>
                <w:noProof/>
                <w:sz w:val="22"/>
              </w:rPr>
            </w:pPr>
            <w:r w:rsidRPr="005F0D45">
              <w:rPr>
                <w:noProof/>
              </w:rPr>
              <w:t>461 000</w:t>
            </w:r>
          </w:p>
        </w:tc>
      </w:tr>
      <w:tr w:rsidR="001A62D7" w:rsidRPr="005F0D45" w:rsidTr="001D5990">
        <w:trPr>
          <w:trHeight w:val="202"/>
        </w:trPr>
        <w:tc>
          <w:tcPr>
            <w:tcW w:w="4644" w:type="dxa"/>
            <w:vMerge/>
            <w:vAlign w:val="center"/>
          </w:tcPr>
          <w:p w:rsidR="001A62D7" w:rsidRPr="005F0D45"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5F0D45" w:rsidRDefault="001A62D7" w:rsidP="001D5990">
            <w:pPr>
              <w:spacing w:before="60" w:after="60"/>
              <w:jc w:val="center"/>
              <w:rPr>
                <w:rFonts w:eastAsia="Times New Roman"/>
                <w:noProof/>
                <w:sz w:val="22"/>
              </w:rPr>
            </w:pPr>
          </w:p>
        </w:tc>
        <w:tc>
          <w:tcPr>
            <w:tcW w:w="1548" w:type="dxa"/>
            <w:tcBorders>
              <w:top w:val="nil"/>
            </w:tcBorders>
            <w:vAlign w:val="center"/>
          </w:tcPr>
          <w:p w:rsidR="001A62D7" w:rsidRPr="005F0D45" w:rsidRDefault="001A62D7" w:rsidP="001D5990">
            <w:pPr>
              <w:spacing w:before="60" w:after="60"/>
              <w:jc w:val="center"/>
              <w:rPr>
                <w:rFonts w:eastAsia="Times New Roman"/>
                <w:noProof/>
                <w:sz w:val="22"/>
              </w:rPr>
            </w:pPr>
            <w:r w:rsidRPr="005F0D45">
              <w:rPr>
                <w:noProof/>
                <w:sz w:val="22"/>
              </w:rPr>
              <w:t>(</w:t>
            </w:r>
            <w:r w:rsidRPr="005F0D45">
              <w:rPr>
                <w:noProof/>
              </w:rPr>
              <w:t>15,13 </w:t>
            </w:r>
            <w:r w:rsidRPr="005F0D45">
              <w:rPr>
                <w:noProof/>
                <w:sz w:val="22"/>
              </w:rPr>
              <w:t>%)</w:t>
            </w:r>
          </w:p>
        </w:tc>
      </w:tr>
      <w:tr w:rsidR="001A62D7" w:rsidRPr="005F0D45" w:rsidTr="001D5990">
        <w:tc>
          <w:tcPr>
            <w:tcW w:w="9288" w:type="dxa"/>
            <w:gridSpan w:val="4"/>
            <w:vAlign w:val="center"/>
          </w:tcPr>
          <w:p w:rsidR="001A62D7" w:rsidRPr="005F0D45" w:rsidRDefault="001A62D7" w:rsidP="001D5990">
            <w:pPr>
              <w:spacing w:before="60" w:after="60"/>
              <w:jc w:val="left"/>
              <w:rPr>
                <w:rFonts w:eastAsia="Times New Roman"/>
                <w:noProof/>
                <w:sz w:val="22"/>
              </w:rPr>
            </w:pPr>
            <w:r w:rsidRPr="005F0D45">
              <w:rPr>
                <w:noProof/>
                <w:sz w:val="22"/>
              </w:rPr>
              <w:t>Activités relevant de l’article 7, paragraphe 5, du règlement (UE) 2021/691</w:t>
            </w:r>
          </w:p>
        </w:tc>
      </w:tr>
      <w:tr w:rsidR="001A62D7" w:rsidRPr="005F0D45" w:rsidTr="001D5990">
        <w:tc>
          <w:tcPr>
            <w:tcW w:w="4644" w:type="dxa"/>
          </w:tcPr>
          <w:p w:rsidR="001A62D7" w:rsidRPr="005F0D45" w:rsidRDefault="001A62D7" w:rsidP="001D5990">
            <w:pPr>
              <w:spacing w:before="60" w:after="60"/>
              <w:ind w:left="284"/>
              <w:jc w:val="left"/>
              <w:rPr>
                <w:rFonts w:eastAsia="Times New Roman"/>
                <w:noProof/>
                <w:sz w:val="22"/>
              </w:rPr>
            </w:pPr>
            <w:r w:rsidRPr="005F0D45">
              <w:rPr>
                <w:noProof/>
                <w:sz w:val="22"/>
              </w:rPr>
              <w:t>1. Activités préparatoires</w:t>
            </w:r>
          </w:p>
        </w:tc>
        <w:tc>
          <w:tcPr>
            <w:tcW w:w="3096" w:type="dxa"/>
            <w:gridSpan w:val="2"/>
            <w:shd w:val="clear" w:color="auto" w:fill="D9D9D9"/>
            <w:vAlign w:val="center"/>
          </w:tcPr>
          <w:p w:rsidR="001A62D7" w:rsidRPr="005F0D45" w:rsidRDefault="001A62D7" w:rsidP="001D5990">
            <w:pPr>
              <w:spacing w:before="60" w:after="60"/>
              <w:jc w:val="center"/>
              <w:rPr>
                <w:rFonts w:eastAsia="Times New Roman"/>
                <w:noProof/>
                <w:sz w:val="22"/>
              </w:rPr>
            </w:pPr>
            <w:r w:rsidRPr="005F0D45">
              <w:rPr>
                <w:noProof/>
                <w:sz w:val="22"/>
              </w:rPr>
              <w:t>–</w:t>
            </w:r>
          </w:p>
        </w:tc>
        <w:tc>
          <w:tcPr>
            <w:tcW w:w="1548" w:type="dxa"/>
          </w:tcPr>
          <w:p w:rsidR="001A62D7" w:rsidRPr="005F0D45" w:rsidRDefault="0042221A" w:rsidP="001D5990">
            <w:pPr>
              <w:spacing w:before="60" w:after="60"/>
              <w:jc w:val="center"/>
              <w:rPr>
                <w:rFonts w:eastAsia="Times New Roman"/>
                <w:noProof/>
                <w:sz w:val="22"/>
              </w:rPr>
            </w:pPr>
            <w:r w:rsidRPr="005F0D45">
              <w:rPr>
                <w:noProof/>
              </w:rPr>
              <w:t>0</w:t>
            </w:r>
            <w:r w:rsidRPr="005F0D45">
              <w:rPr>
                <w:rStyle w:val="FootnoteReference"/>
                <w:noProof/>
              </w:rPr>
              <w:footnoteReference w:id="40"/>
            </w:r>
          </w:p>
        </w:tc>
      </w:tr>
      <w:tr w:rsidR="001A62D7" w:rsidRPr="005F0D45" w:rsidTr="001D5990">
        <w:tc>
          <w:tcPr>
            <w:tcW w:w="4644" w:type="dxa"/>
          </w:tcPr>
          <w:p w:rsidR="001A62D7" w:rsidRPr="005F0D45" w:rsidRDefault="001A62D7" w:rsidP="001D5990">
            <w:pPr>
              <w:spacing w:before="60" w:after="60"/>
              <w:ind w:left="284"/>
              <w:jc w:val="left"/>
              <w:rPr>
                <w:rFonts w:eastAsia="Times New Roman"/>
                <w:noProof/>
                <w:sz w:val="22"/>
              </w:rPr>
            </w:pPr>
            <w:r w:rsidRPr="005F0D45">
              <w:rPr>
                <w:noProof/>
                <w:sz w:val="22"/>
              </w:rPr>
              <w:t>2. Activités de gestion</w:t>
            </w:r>
          </w:p>
        </w:tc>
        <w:tc>
          <w:tcPr>
            <w:tcW w:w="3096" w:type="dxa"/>
            <w:gridSpan w:val="2"/>
            <w:shd w:val="clear" w:color="auto" w:fill="D9D9D9"/>
            <w:vAlign w:val="center"/>
          </w:tcPr>
          <w:p w:rsidR="001A62D7" w:rsidRPr="005F0D45" w:rsidRDefault="001A62D7" w:rsidP="001D5990">
            <w:pPr>
              <w:spacing w:before="60" w:after="60"/>
              <w:jc w:val="center"/>
              <w:rPr>
                <w:rFonts w:eastAsia="Times New Roman"/>
                <w:noProof/>
                <w:sz w:val="22"/>
              </w:rPr>
            </w:pPr>
            <w:r w:rsidRPr="005F0D45">
              <w:rPr>
                <w:noProof/>
                <w:sz w:val="22"/>
              </w:rPr>
              <w:t>–</w:t>
            </w:r>
          </w:p>
        </w:tc>
        <w:tc>
          <w:tcPr>
            <w:tcW w:w="1548" w:type="dxa"/>
          </w:tcPr>
          <w:p w:rsidR="001A62D7" w:rsidRPr="005F0D45" w:rsidRDefault="0042221A" w:rsidP="001D5990">
            <w:pPr>
              <w:spacing w:before="60" w:after="60"/>
              <w:jc w:val="center"/>
              <w:rPr>
                <w:rFonts w:eastAsia="Times New Roman"/>
                <w:noProof/>
                <w:sz w:val="22"/>
              </w:rPr>
            </w:pPr>
            <w:r w:rsidRPr="005F0D45">
              <w:rPr>
                <w:noProof/>
              </w:rPr>
              <w:t>130 000</w:t>
            </w:r>
          </w:p>
        </w:tc>
      </w:tr>
      <w:tr w:rsidR="001A62D7" w:rsidRPr="005F0D45" w:rsidTr="001D5990">
        <w:tc>
          <w:tcPr>
            <w:tcW w:w="4644" w:type="dxa"/>
          </w:tcPr>
          <w:p w:rsidR="001A62D7" w:rsidRPr="005F0D45" w:rsidRDefault="001A62D7" w:rsidP="001D5990">
            <w:pPr>
              <w:spacing w:before="60" w:after="60"/>
              <w:ind w:left="284"/>
              <w:jc w:val="left"/>
              <w:rPr>
                <w:rFonts w:eastAsia="Times New Roman"/>
                <w:noProof/>
                <w:sz w:val="22"/>
              </w:rPr>
            </w:pPr>
            <w:r w:rsidRPr="005F0D45">
              <w:rPr>
                <w:noProof/>
                <w:sz w:val="22"/>
              </w:rPr>
              <w:t>3. Activités de gestion et de publicité</w:t>
            </w:r>
          </w:p>
        </w:tc>
        <w:tc>
          <w:tcPr>
            <w:tcW w:w="3096" w:type="dxa"/>
            <w:gridSpan w:val="2"/>
            <w:shd w:val="clear" w:color="auto" w:fill="D9D9D9"/>
            <w:vAlign w:val="center"/>
          </w:tcPr>
          <w:p w:rsidR="001A62D7" w:rsidRPr="005F0D45" w:rsidRDefault="001A62D7" w:rsidP="001D5990">
            <w:pPr>
              <w:spacing w:before="60" w:after="60"/>
              <w:jc w:val="center"/>
              <w:rPr>
                <w:rFonts w:eastAsia="Times New Roman"/>
                <w:noProof/>
                <w:sz w:val="22"/>
              </w:rPr>
            </w:pPr>
            <w:r w:rsidRPr="005F0D45">
              <w:rPr>
                <w:noProof/>
                <w:sz w:val="22"/>
              </w:rPr>
              <w:t>–</w:t>
            </w:r>
          </w:p>
        </w:tc>
        <w:tc>
          <w:tcPr>
            <w:tcW w:w="1548" w:type="dxa"/>
          </w:tcPr>
          <w:p w:rsidR="001A62D7" w:rsidRPr="005F0D45" w:rsidRDefault="0042221A" w:rsidP="001D5990">
            <w:pPr>
              <w:spacing w:before="60" w:after="60"/>
              <w:jc w:val="center"/>
              <w:rPr>
                <w:rFonts w:eastAsia="Times New Roman"/>
                <w:noProof/>
                <w:sz w:val="22"/>
              </w:rPr>
            </w:pPr>
            <w:r w:rsidRPr="005F0D45">
              <w:rPr>
                <w:noProof/>
              </w:rPr>
              <w:t>30 000</w:t>
            </w:r>
          </w:p>
        </w:tc>
      </w:tr>
      <w:tr w:rsidR="001A62D7" w:rsidRPr="005F0D45" w:rsidTr="001D5990">
        <w:tc>
          <w:tcPr>
            <w:tcW w:w="4644" w:type="dxa"/>
          </w:tcPr>
          <w:p w:rsidR="001A62D7" w:rsidRPr="005F0D45" w:rsidRDefault="001A62D7" w:rsidP="001D5990">
            <w:pPr>
              <w:spacing w:before="60" w:after="60"/>
              <w:ind w:left="284"/>
              <w:jc w:val="left"/>
              <w:rPr>
                <w:rFonts w:eastAsia="Times New Roman"/>
                <w:noProof/>
                <w:sz w:val="22"/>
              </w:rPr>
            </w:pPr>
            <w:r w:rsidRPr="005F0D45">
              <w:rPr>
                <w:noProof/>
                <w:sz w:val="22"/>
              </w:rPr>
              <w:t>4. Activité de contrôle et de rapport</w:t>
            </w:r>
          </w:p>
        </w:tc>
        <w:tc>
          <w:tcPr>
            <w:tcW w:w="3096" w:type="dxa"/>
            <w:gridSpan w:val="2"/>
            <w:shd w:val="clear" w:color="auto" w:fill="D9D9D9"/>
            <w:vAlign w:val="center"/>
          </w:tcPr>
          <w:p w:rsidR="001A62D7" w:rsidRPr="005F0D45" w:rsidRDefault="001A62D7" w:rsidP="001D5990">
            <w:pPr>
              <w:spacing w:before="60" w:after="60"/>
              <w:jc w:val="center"/>
              <w:rPr>
                <w:rFonts w:eastAsia="Times New Roman"/>
                <w:noProof/>
                <w:sz w:val="22"/>
              </w:rPr>
            </w:pPr>
            <w:r w:rsidRPr="005F0D45">
              <w:rPr>
                <w:noProof/>
                <w:sz w:val="22"/>
              </w:rPr>
              <w:t>–</w:t>
            </w:r>
          </w:p>
        </w:tc>
        <w:tc>
          <w:tcPr>
            <w:tcW w:w="1548" w:type="dxa"/>
            <w:tcBorders>
              <w:bottom w:val="single" w:sz="4" w:space="0" w:color="auto"/>
            </w:tcBorders>
          </w:tcPr>
          <w:p w:rsidR="001A62D7" w:rsidRPr="005F0D45" w:rsidRDefault="0042221A" w:rsidP="001D5990">
            <w:pPr>
              <w:spacing w:before="60" w:after="60"/>
              <w:jc w:val="center"/>
              <w:rPr>
                <w:rFonts w:eastAsia="Times New Roman"/>
                <w:noProof/>
                <w:sz w:val="22"/>
              </w:rPr>
            </w:pPr>
            <w:r w:rsidRPr="005F0D45">
              <w:rPr>
                <w:noProof/>
              </w:rPr>
              <w:t>0</w:t>
            </w:r>
            <w:r w:rsidRPr="005F0D45">
              <w:rPr>
                <w:rStyle w:val="FootnoteReference"/>
                <w:noProof/>
              </w:rPr>
              <w:footnoteReference w:id="41"/>
            </w:r>
          </w:p>
        </w:tc>
      </w:tr>
      <w:tr w:rsidR="001A62D7" w:rsidRPr="005F0D45" w:rsidTr="001D5990">
        <w:trPr>
          <w:trHeight w:val="203"/>
        </w:trPr>
        <w:tc>
          <w:tcPr>
            <w:tcW w:w="4644" w:type="dxa"/>
            <w:vMerge w:val="restart"/>
            <w:vAlign w:val="center"/>
          </w:tcPr>
          <w:p w:rsidR="001A62D7" w:rsidRPr="005F0D45" w:rsidRDefault="001A62D7" w:rsidP="001D5990">
            <w:pPr>
              <w:spacing w:before="60" w:after="60"/>
              <w:jc w:val="right"/>
              <w:rPr>
                <w:rFonts w:eastAsia="Times New Roman"/>
                <w:noProof/>
                <w:sz w:val="22"/>
              </w:rPr>
            </w:pPr>
            <w:r w:rsidRPr="005F0D45">
              <w:rPr>
                <w:noProof/>
                <w:sz w:val="22"/>
              </w:rPr>
              <w:t>Sous-total c):</w:t>
            </w:r>
          </w:p>
          <w:p w:rsidR="001A62D7" w:rsidRPr="005F0D45" w:rsidRDefault="001A62D7" w:rsidP="001D5990">
            <w:pPr>
              <w:spacing w:before="60" w:after="60"/>
              <w:jc w:val="right"/>
              <w:rPr>
                <w:rFonts w:eastAsia="Times New Roman"/>
                <w:noProof/>
                <w:sz w:val="22"/>
              </w:rPr>
            </w:pPr>
            <w:r w:rsidRPr="005F0D45">
              <w:rPr>
                <w:noProof/>
                <w:sz w:val="22"/>
              </w:rPr>
              <w:t>Pourcentage du coût total:</w:t>
            </w:r>
          </w:p>
        </w:tc>
        <w:tc>
          <w:tcPr>
            <w:tcW w:w="3096" w:type="dxa"/>
            <w:gridSpan w:val="2"/>
            <w:vMerge w:val="restart"/>
            <w:shd w:val="clear" w:color="auto" w:fill="D9D9D9"/>
            <w:vAlign w:val="center"/>
          </w:tcPr>
          <w:p w:rsidR="001A62D7" w:rsidRPr="005F0D45" w:rsidRDefault="001A62D7" w:rsidP="001D5990">
            <w:pPr>
              <w:spacing w:before="0" w:after="0"/>
              <w:jc w:val="center"/>
              <w:rPr>
                <w:rFonts w:eastAsia="Times New Roman"/>
                <w:noProof/>
                <w:sz w:val="22"/>
              </w:rPr>
            </w:pPr>
            <w:r w:rsidRPr="005F0D45">
              <w:rPr>
                <w:noProof/>
                <w:sz w:val="22"/>
              </w:rPr>
              <w:t>–</w:t>
            </w:r>
          </w:p>
        </w:tc>
        <w:tc>
          <w:tcPr>
            <w:tcW w:w="1548" w:type="dxa"/>
            <w:tcBorders>
              <w:bottom w:val="nil"/>
            </w:tcBorders>
            <w:vAlign w:val="center"/>
          </w:tcPr>
          <w:p w:rsidR="001A62D7" w:rsidRPr="005F0D45" w:rsidRDefault="00044450" w:rsidP="001D5990">
            <w:pPr>
              <w:spacing w:before="60" w:after="60"/>
              <w:jc w:val="center"/>
              <w:rPr>
                <w:rFonts w:eastAsia="Times New Roman"/>
                <w:noProof/>
                <w:sz w:val="22"/>
              </w:rPr>
            </w:pPr>
            <w:r w:rsidRPr="005F0D45">
              <w:rPr>
                <w:noProof/>
              </w:rPr>
              <w:t>160 000</w:t>
            </w:r>
          </w:p>
        </w:tc>
      </w:tr>
      <w:tr w:rsidR="001A62D7" w:rsidRPr="005F0D45" w:rsidTr="001D5990">
        <w:trPr>
          <w:trHeight w:val="202"/>
        </w:trPr>
        <w:tc>
          <w:tcPr>
            <w:tcW w:w="4644" w:type="dxa"/>
            <w:vMerge/>
          </w:tcPr>
          <w:p w:rsidR="001A62D7" w:rsidRPr="005F0D45"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5F0D45" w:rsidRDefault="001A62D7" w:rsidP="001D5990">
            <w:pPr>
              <w:spacing w:before="0" w:after="0"/>
              <w:jc w:val="center"/>
              <w:rPr>
                <w:rFonts w:eastAsia="Times New Roman"/>
                <w:noProof/>
                <w:sz w:val="22"/>
              </w:rPr>
            </w:pPr>
          </w:p>
        </w:tc>
        <w:tc>
          <w:tcPr>
            <w:tcW w:w="1548" w:type="dxa"/>
            <w:tcBorders>
              <w:top w:val="nil"/>
            </w:tcBorders>
            <w:vAlign w:val="center"/>
          </w:tcPr>
          <w:p w:rsidR="001A62D7" w:rsidRPr="005F0D45" w:rsidRDefault="001A62D7" w:rsidP="001D5990">
            <w:pPr>
              <w:spacing w:before="60" w:after="60"/>
              <w:jc w:val="center"/>
              <w:rPr>
                <w:rFonts w:eastAsia="Times New Roman"/>
                <w:noProof/>
                <w:sz w:val="22"/>
              </w:rPr>
            </w:pPr>
            <w:r w:rsidRPr="005F0D45">
              <w:rPr>
                <w:noProof/>
                <w:sz w:val="22"/>
              </w:rPr>
              <w:t>(</w:t>
            </w:r>
            <w:r w:rsidRPr="005F0D45">
              <w:rPr>
                <w:noProof/>
              </w:rPr>
              <w:t>4,99 </w:t>
            </w:r>
            <w:r w:rsidRPr="005F0D45">
              <w:rPr>
                <w:noProof/>
                <w:sz w:val="22"/>
              </w:rPr>
              <w:t>%)</w:t>
            </w:r>
          </w:p>
        </w:tc>
      </w:tr>
      <w:tr w:rsidR="001A62D7" w:rsidRPr="005F0D45" w:rsidTr="001D5990">
        <w:tc>
          <w:tcPr>
            <w:tcW w:w="4644" w:type="dxa"/>
          </w:tcPr>
          <w:p w:rsidR="001A62D7" w:rsidRPr="005F0D45" w:rsidRDefault="001A62D7" w:rsidP="001D5990">
            <w:pPr>
              <w:spacing w:before="60" w:after="60"/>
              <w:jc w:val="left"/>
              <w:rPr>
                <w:rFonts w:eastAsia="Times New Roman"/>
                <w:noProof/>
                <w:sz w:val="22"/>
              </w:rPr>
            </w:pPr>
            <w:r w:rsidRPr="005F0D45">
              <w:rPr>
                <w:noProof/>
                <w:sz w:val="22"/>
              </w:rPr>
              <w:t>Coût total (a + b + c):</w:t>
            </w:r>
          </w:p>
        </w:tc>
        <w:tc>
          <w:tcPr>
            <w:tcW w:w="3096" w:type="dxa"/>
            <w:gridSpan w:val="2"/>
            <w:shd w:val="clear" w:color="auto" w:fill="D9D9D9"/>
            <w:vAlign w:val="center"/>
          </w:tcPr>
          <w:p w:rsidR="001A62D7" w:rsidRPr="005F0D45" w:rsidRDefault="001A62D7" w:rsidP="001D5990">
            <w:pPr>
              <w:spacing w:before="60" w:after="60"/>
              <w:jc w:val="center"/>
              <w:rPr>
                <w:rFonts w:eastAsia="Times New Roman"/>
                <w:noProof/>
                <w:sz w:val="22"/>
              </w:rPr>
            </w:pPr>
            <w:r w:rsidRPr="005F0D45">
              <w:rPr>
                <w:noProof/>
                <w:sz w:val="22"/>
              </w:rPr>
              <w:t>–</w:t>
            </w:r>
          </w:p>
        </w:tc>
        <w:tc>
          <w:tcPr>
            <w:tcW w:w="1548" w:type="dxa"/>
          </w:tcPr>
          <w:p w:rsidR="001A62D7" w:rsidRPr="005F0D45" w:rsidRDefault="00044450" w:rsidP="001D5990">
            <w:pPr>
              <w:spacing w:before="60" w:after="60"/>
              <w:jc w:val="center"/>
              <w:rPr>
                <w:noProof/>
                <w:sz w:val="22"/>
              </w:rPr>
            </w:pPr>
            <w:r w:rsidRPr="005F0D45">
              <w:rPr>
                <w:noProof/>
              </w:rPr>
              <w:t>3 206 000</w:t>
            </w:r>
          </w:p>
        </w:tc>
      </w:tr>
      <w:tr w:rsidR="001A62D7" w:rsidRPr="005F0D45" w:rsidTr="001D5990">
        <w:tc>
          <w:tcPr>
            <w:tcW w:w="4644" w:type="dxa"/>
          </w:tcPr>
          <w:p w:rsidR="001A62D7" w:rsidRPr="005F0D45" w:rsidRDefault="001A62D7" w:rsidP="001D5990">
            <w:pPr>
              <w:spacing w:before="60" w:after="60"/>
              <w:jc w:val="left"/>
              <w:rPr>
                <w:rFonts w:eastAsia="Times New Roman"/>
                <w:noProof/>
                <w:sz w:val="22"/>
              </w:rPr>
            </w:pPr>
            <w:r w:rsidRPr="005F0D45">
              <w:rPr>
                <w:noProof/>
                <w:sz w:val="22"/>
              </w:rPr>
              <w:t>Contribution du FEM (</w:t>
            </w:r>
            <w:r w:rsidRPr="005F0D45">
              <w:rPr>
                <w:noProof/>
              </w:rPr>
              <w:t>85 </w:t>
            </w:r>
            <w:r w:rsidRPr="005F0D45">
              <w:rPr>
                <w:noProof/>
                <w:sz w:val="22"/>
              </w:rPr>
              <w:t>% du coût total)</w:t>
            </w:r>
          </w:p>
        </w:tc>
        <w:tc>
          <w:tcPr>
            <w:tcW w:w="3096" w:type="dxa"/>
            <w:gridSpan w:val="2"/>
            <w:shd w:val="clear" w:color="auto" w:fill="D9D9D9"/>
            <w:vAlign w:val="center"/>
          </w:tcPr>
          <w:p w:rsidR="001A62D7" w:rsidRPr="005F0D45" w:rsidRDefault="001A62D7" w:rsidP="001D5990">
            <w:pPr>
              <w:spacing w:before="60" w:after="60"/>
              <w:jc w:val="center"/>
              <w:rPr>
                <w:rFonts w:eastAsia="Times New Roman"/>
                <w:noProof/>
                <w:sz w:val="22"/>
              </w:rPr>
            </w:pPr>
            <w:r w:rsidRPr="005F0D45">
              <w:rPr>
                <w:noProof/>
                <w:sz w:val="22"/>
              </w:rPr>
              <w:t>–</w:t>
            </w:r>
          </w:p>
        </w:tc>
        <w:tc>
          <w:tcPr>
            <w:tcW w:w="1548" w:type="dxa"/>
          </w:tcPr>
          <w:p w:rsidR="001A62D7" w:rsidRPr="005F0D45" w:rsidRDefault="00044450" w:rsidP="001D5990">
            <w:pPr>
              <w:spacing w:before="60" w:after="60"/>
              <w:jc w:val="center"/>
              <w:rPr>
                <w:rFonts w:eastAsia="Times New Roman"/>
                <w:noProof/>
                <w:sz w:val="22"/>
              </w:rPr>
            </w:pPr>
            <w:r w:rsidRPr="005F0D45">
              <w:rPr>
                <w:noProof/>
              </w:rPr>
              <w:t>2 725 100</w:t>
            </w:r>
          </w:p>
        </w:tc>
      </w:tr>
    </w:tbl>
    <w:p w:rsidR="001A62D7" w:rsidRPr="005F0D45" w:rsidRDefault="001A62D7" w:rsidP="00AE7D04">
      <w:pPr>
        <w:pStyle w:val="ManualNumPar1"/>
        <w:rPr>
          <w:noProof/>
        </w:rPr>
      </w:pPr>
      <w:r>
        <w:rPr>
          <w:noProof/>
        </w:rPr>
        <w:t>33.</w:t>
      </w:r>
      <w:r>
        <w:rPr>
          <w:noProof/>
        </w:rPr>
        <w:tab/>
      </w:r>
      <w:r w:rsidRPr="005F0D45">
        <w:rPr>
          <w:noProof/>
        </w:rPr>
        <w:t>Le coût des mesures indiquées dans le tableau ci-dessus en tant que mesures relevant de l’article 7, paragraphe 2, deuxième alinéa, point b), du règlement (UE) 2021/691 ne dépasse pas 35 % du coût total de l’ensemble coordonné de services personnalisés. L’Espagne a confirmé que ces mesures étaient subordonnées à la participation active des bénéficiaires visés à des activités de recherche d’emploi ou de formation.</w:t>
      </w:r>
    </w:p>
    <w:p w:rsidR="001A62D7" w:rsidRPr="005F0D45" w:rsidRDefault="001A62D7" w:rsidP="001A62D7">
      <w:pPr>
        <w:pStyle w:val="ManualHeading3"/>
        <w:rPr>
          <w:noProof/>
        </w:rPr>
      </w:pPr>
      <w:r w:rsidRPr="005F0D45">
        <w:rPr>
          <w:noProof/>
        </w:rPr>
        <w:t>Période d’éligibilité des dépenses</w:t>
      </w:r>
    </w:p>
    <w:p w:rsidR="001A62D7" w:rsidRPr="005F0D45" w:rsidRDefault="00937874" w:rsidP="00AE7D04">
      <w:pPr>
        <w:pStyle w:val="ManualNumPar1"/>
        <w:rPr>
          <w:noProof/>
        </w:rPr>
      </w:pPr>
      <w:r>
        <w:rPr>
          <w:noProof/>
        </w:rPr>
        <w:t>34.</w:t>
      </w:r>
      <w:r>
        <w:rPr>
          <w:noProof/>
        </w:rPr>
        <w:tab/>
      </w:r>
      <w:r w:rsidRPr="005F0D45">
        <w:rPr>
          <w:noProof/>
        </w:rPr>
        <w:t>L’Espagne commencera à fournir les services personnalisés aux bénéficiaires visés le 1</w:t>
      </w:r>
      <w:r w:rsidRPr="005F0D45">
        <w:rPr>
          <w:noProof/>
          <w:vertAlign w:val="superscript"/>
        </w:rPr>
        <w:t>er</w:t>
      </w:r>
      <w:r w:rsidRPr="005F0D45">
        <w:rPr>
          <w:noProof/>
        </w:rPr>
        <w:t> septembre 2026. Les dépenses relatives aux mesures seront donc éligibles à une contribution financière du FEM à partir du 1</w:t>
      </w:r>
      <w:r w:rsidRPr="005F0D45">
        <w:rPr>
          <w:noProof/>
          <w:vertAlign w:val="superscript"/>
        </w:rPr>
        <w:t>er</w:t>
      </w:r>
      <w:r w:rsidRPr="005F0D45">
        <w:rPr>
          <w:noProof/>
        </w:rPr>
        <w:t xml:space="preserve"> septembre 2026 et pendant 24 mois après la date d’entrée en vigueur de la décision de financement. </w:t>
      </w:r>
    </w:p>
    <w:p w:rsidR="001A62D7" w:rsidRPr="005F0D45" w:rsidRDefault="00937874" w:rsidP="00AE7D04">
      <w:pPr>
        <w:pStyle w:val="ManualNumPar1"/>
        <w:rPr>
          <w:noProof/>
        </w:rPr>
      </w:pPr>
      <w:r>
        <w:rPr>
          <w:noProof/>
        </w:rPr>
        <w:t>35.</w:t>
      </w:r>
      <w:r>
        <w:rPr>
          <w:noProof/>
        </w:rPr>
        <w:tab/>
      </w:r>
      <w:r w:rsidRPr="005F0D45">
        <w:rPr>
          <w:noProof/>
        </w:rPr>
        <w:t xml:space="preserve">L’Espagne a commencé à engager les dépenses administratives pour la mise en œuvre du FEM le 1 juillet 2026. Les dépenses relatives aux activités préparatoires, de gestion, d’information et de publicité, ainsi que de contrôle et de rapport, peuvent donc faire l’objet d’une contribution financière du FEM à partir du 1 juillet 2026 et pendant 31 mois après la date d’entrée en vigueur de la décision de financement. </w:t>
      </w:r>
    </w:p>
    <w:p w:rsidR="001A62D7" w:rsidRPr="005F0D45" w:rsidRDefault="001A62D7" w:rsidP="001A62D7">
      <w:pPr>
        <w:pStyle w:val="ManualHeading2"/>
        <w:rPr>
          <w:noProof/>
        </w:rPr>
      </w:pPr>
      <w:r w:rsidRPr="005F0D45">
        <w:rPr>
          <w:noProof/>
        </w:rPr>
        <w:lastRenderedPageBreak/>
        <w:t>Systèmes de gestion et de contrôle</w:t>
      </w:r>
    </w:p>
    <w:p w:rsidR="001A62D7" w:rsidRPr="005F0D45" w:rsidRDefault="001A62D7" w:rsidP="00AE7D04">
      <w:pPr>
        <w:pStyle w:val="ManualNumPar1"/>
        <w:rPr>
          <w:noProof/>
        </w:rPr>
      </w:pPr>
      <w:r>
        <w:rPr>
          <w:noProof/>
        </w:rPr>
        <w:t>36.</w:t>
      </w:r>
      <w:r>
        <w:rPr>
          <w:noProof/>
        </w:rPr>
        <w:tab/>
      </w:r>
      <w:r w:rsidRPr="005F0D45">
        <w:rPr>
          <w:noProof/>
        </w:rPr>
        <w:t>La demande contient une description du système de gestion et de contrôle requis en vertu de l’article 23 du règlement (UE) 2021/691, qui précise les responsabilités des organismes concernés. L’Espagne a informé la Commission que les contributions financières seraient gérées et contrôlées par les organismes déjà chargés de cette mission pour le FSE+. La Xunta de Galicia</w:t>
      </w:r>
      <w:r w:rsidR="00F904EC" w:rsidRPr="005F0D45">
        <w:rPr>
          <w:rStyle w:val="FootnoteReference"/>
          <w:noProof/>
        </w:rPr>
        <w:footnoteReference w:id="42"/>
      </w:r>
      <w:r w:rsidRPr="005F0D45">
        <w:rPr>
          <w:noProof/>
        </w:rPr>
        <w:t xml:space="preserve"> servira d’intermédiaire à l’autorité de gestion.</w:t>
      </w:r>
    </w:p>
    <w:p w:rsidR="001A62D7" w:rsidRPr="005F0D45" w:rsidRDefault="001A62D7" w:rsidP="001A62D7">
      <w:pPr>
        <w:pStyle w:val="ManualHeading2"/>
        <w:rPr>
          <w:noProof/>
        </w:rPr>
      </w:pPr>
      <w:r w:rsidRPr="005F0D45">
        <w:rPr>
          <w:noProof/>
        </w:rPr>
        <w:t>Engagements de l’État membre concerné</w:t>
      </w:r>
    </w:p>
    <w:p w:rsidR="001A62D7" w:rsidRPr="005F0D45" w:rsidRDefault="00937874" w:rsidP="00AE7D04">
      <w:pPr>
        <w:pStyle w:val="ManualNumPar1"/>
        <w:rPr>
          <w:noProof/>
        </w:rPr>
      </w:pPr>
      <w:r>
        <w:rPr>
          <w:noProof/>
        </w:rPr>
        <w:t>37.</w:t>
      </w:r>
      <w:r>
        <w:rPr>
          <w:noProof/>
        </w:rPr>
        <w:tab/>
      </w:r>
      <w:r w:rsidRPr="005F0D45">
        <w:rPr>
          <w:noProof/>
        </w:rPr>
        <w:t xml:space="preserve">L’Espagne a apporté toutes les assurances nécessaires sur les points suivants: </w:t>
      </w:r>
    </w:p>
    <w:p w:rsidR="001A62D7" w:rsidRPr="005F0D45" w:rsidRDefault="001A62D7" w:rsidP="001A62D7">
      <w:pPr>
        <w:pStyle w:val="Tiret1"/>
        <w:rPr>
          <w:noProof/>
        </w:rPr>
      </w:pPr>
      <w:r w:rsidRPr="005F0D45">
        <w:rPr>
          <w:noProof/>
        </w:rPr>
        <w:t>les principes d’égalité de traitement et de non-discrimination seront respectés pour l’accès aux mesures proposées et leur réalisation;</w:t>
      </w:r>
    </w:p>
    <w:p w:rsidR="001A62D7" w:rsidRPr="005F0D45" w:rsidRDefault="001A62D7" w:rsidP="001A62D7">
      <w:pPr>
        <w:pStyle w:val="Tiret1"/>
        <w:rPr>
          <w:noProof/>
        </w:rPr>
      </w:pPr>
      <w:r w:rsidRPr="005F0D45">
        <w:rPr>
          <w:noProof/>
        </w:rPr>
        <w:t>les exigences fixées dans la législation nationale et dans celle de l’UE concernant les licenciements collectifs ont été respectées;</w:t>
      </w:r>
    </w:p>
    <w:p w:rsidR="001A62D7" w:rsidRPr="005F0D45" w:rsidRDefault="001A62D7" w:rsidP="001A62D7">
      <w:pPr>
        <w:pStyle w:val="Tiret1"/>
        <w:rPr>
          <w:noProof/>
        </w:rPr>
      </w:pPr>
      <w:r w:rsidRPr="005F0D45">
        <w:rPr>
          <w:noProof/>
        </w:rPr>
        <w:t>les entreprises à l’origine des licenciements qui ont poursuivi leurs activités par la suite ont respecté leurs obligations légales et pris les dispositions nécessaires pour leurs salariés;</w:t>
      </w:r>
    </w:p>
    <w:p w:rsidR="001A62D7" w:rsidRPr="005F0D45" w:rsidRDefault="001A62D7" w:rsidP="001A62D7">
      <w:pPr>
        <w:pStyle w:val="Tiret1"/>
        <w:rPr>
          <w:noProof/>
        </w:rPr>
      </w:pPr>
      <w:r w:rsidRPr="005F0D45">
        <w:rPr>
          <w:noProof/>
        </w:rPr>
        <w:t>tout double financement sera évité;</w:t>
      </w:r>
    </w:p>
    <w:p w:rsidR="001A62D7" w:rsidRPr="005F0D45" w:rsidRDefault="001A62D7" w:rsidP="001A62D7">
      <w:pPr>
        <w:pStyle w:val="Tiret1"/>
        <w:rPr>
          <w:noProof/>
        </w:rPr>
      </w:pPr>
      <w:r w:rsidRPr="005F0D45">
        <w:rPr>
          <w:noProof/>
        </w:rPr>
        <w:t>la contribution financière du FEM sera conforme aux règles procédurales et de fond de l’Union en matière d’aides d’État.</w:t>
      </w:r>
    </w:p>
    <w:p w:rsidR="001A62D7" w:rsidRPr="005F0D45" w:rsidRDefault="001A62D7" w:rsidP="001A62D7">
      <w:pPr>
        <w:pStyle w:val="ManualHeading1"/>
        <w:rPr>
          <w:noProof/>
        </w:rPr>
      </w:pPr>
      <w:r w:rsidRPr="005F0D45">
        <w:rPr>
          <w:noProof/>
        </w:rPr>
        <w:t>INCIDENCE BUDGÉTAIRE</w:t>
      </w:r>
    </w:p>
    <w:p w:rsidR="001A62D7" w:rsidRPr="005F0D45" w:rsidRDefault="001A62D7" w:rsidP="001A62D7">
      <w:pPr>
        <w:pStyle w:val="ManualHeading2"/>
        <w:rPr>
          <w:noProof/>
        </w:rPr>
      </w:pPr>
      <w:r w:rsidRPr="005F0D45">
        <w:rPr>
          <w:noProof/>
        </w:rPr>
        <w:t>Proposition budgétaire</w:t>
      </w:r>
    </w:p>
    <w:p w:rsidR="001A62D7" w:rsidRPr="005F0D45" w:rsidRDefault="001A62D7" w:rsidP="00AE7D04">
      <w:pPr>
        <w:pStyle w:val="ManualNumPar1"/>
        <w:rPr>
          <w:noProof/>
        </w:rPr>
      </w:pPr>
      <w:r>
        <w:rPr>
          <w:noProof/>
        </w:rPr>
        <w:t>38.</w:t>
      </w:r>
      <w:r>
        <w:rPr>
          <w:noProof/>
        </w:rPr>
        <w:tab/>
      </w:r>
      <w:r w:rsidRPr="005F0D45">
        <w:rPr>
          <w:noProof/>
        </w:rPr>
        <w:t>La dotation annuelle du FEM n’excède pas un montant maximal de 30 millions d’EUR (aux prix de 2018), comme le prévoit l’article 8 du règlement (UE, Euratom) 2020/2093 du Conseil du 17 décembre 2020 fixant le cadre financier pluriannuel pour les années 2021 à 2027</w:t>
      </w:r>
      <w:r w:rsidRPr="005F0D45">
        <w:rPr>
          <w:rStyle w:val="FootnoteReference"/>
          <w:noProof/>
        </w:rPr>
        <w:footnoteReference w:id="43"/>
      </w:r>
      <w:r w:rsidRPr="005F0D45">
        <w:rPr>
          <w:noProof/>
        </w:rPr>
        <w:t xml:space="preserve">. </w:t>
      </w:r>
    </w:p>
    <w:p w:rsidR="001A62D7" w:rsidRPr="005F0D45" w:rsidRDefault="001A62D7" w:rsidP="00AE7D04">
      <w:pPr>
        <w:pStyle w:val="ManualNumPar1"/>
        <w:rPr>
          <w:rFonts w:eastAsia="Calibri"/>
          <w:noProof/>
        </w:rPr>
      </w:pPr>
      <w:r>
        <w:rPr>
          <w:noProof/>
        </w:rPr>
        <w:t>39.</w:t>
      </w:r>
      <w:r>
        <w:rPr>
          <w:noProof/>
        </w:rPr>
        <w:tab/>
      </w:r>
      <w:r w:rsidRPr="005F0D45">
        <w:rPr>
          <w:noProof/>
        </w:rPr>
        <w:t>Au terme de l’examen de la demande eu égard aux conditions fixées à l’article 13, paragraphes 1 et 2, du règlement (UE) 2021/691, et compte tenu du nombre de bénéficiaires visés, des mesures proposées et des coûts estimés, la Commission propose de mobiliser le FEM pour un montant de 2 725 100 EUR, ce qui correspond à 85 % du coût total des mesures proposées, afin d’apporter une contribution financière en réponse à la demande.</w:t>
      </w:r>
    </w:p>
    <w:p w:rsidR="001A62D7" w:rsidRPr="005F0D45" w:rsidRDefault="001A62D7" w:rsidP="00AE7D04">
      <w:pPr>
        <w:pStyle w:val="ManualNumPar1"/>
        <w:rPr>
          <w:rFonts w:eastAsia="Times New Roman"/>
          <w:noProof/>
        </w:rPr>
      </w:pPr>
      <w:r>
        <w:rPr>
          <w:noProof/>
        </w:rPr>
        <w:t>40.</w:t>
      </w:r>
      <w:r>
        <w:rPr>
          <w:noProof/>
        </w:rPr>
        <w:tab/>
      </w:r>
      <w:r w:rsidRPr="005F0D45">
        <w:rPr>
          <w:noProof/>
        </w:rPr>
        <w:t>La décision proposée de mobiliser le FEM sera prise conjointement par le Parlement européen et le Conseil, en application de l’article 15, paragraphe 1, premier alinéa, deuxième phrase, du règlement (UE) 2021/691 et comme indiqué au point 9 de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5F0D45">
        <w:rPr>
          <w:rStyle w:val="FootnoteReference"/>
          <w:noProof/>
        </w:rPr>
        <w:footnoteReference w:id="44"/>
      </w:r>
      <w:r w:rsidRPr="005F0D45">
        <w:rPr>
          <w:noProof/>
        </w:rPr>
        <w:t>.</w:t>
      </w:r>
    </w:p>
    <w:p w:rsidR="001A62D7" w:rsidRPr="005F0D45" w:rsidRDefault="001A62D7" w:rsidP="001A62D7">
      <w:pPr>
        <w:pStyle w:val="ManualHeading2"/>
        <w:rPr>
          <w:noProof/>
        </w:rPr>
      </w:pPr>
      <w:r w:rsidRPr="005F0D45">
        <w:rPr>
          <w:noProof/>
        </w:rPr>
        <w:lastRenderedPageBreak/>
        <w:t>Actes liés</w:t>
      </w:r>
    </w:p>
    <w:p w:rsidR="001A62D7" w:rsidRPr="005F0D45" w:rsidRDefault="001A62D7" w:rsidP="00AE7D04">
      <w:pPr>
        <w:pStyle w:val="ManualNumPar1"/>
        <w:rPr>
          <w:noProof/>
        </w:rPr>
      </w:pPr>
      <w:r>
        <w:rPr>
          <w:noProof/>
        </w:rPr>
        <w:t>41.</w:t>
      </w:r>
      <w:r>
        <w:rPr>
          <w:noProof/>
        </w:rPr>
        <w:tab/>
      </w:r>
      <w:r w:rsidRPr="005F0D45">
        <w:rPr>
          <w:noProof/>
        </w:rPr>
        <w:t>En même temps que la présente proposition de décision de mobilisation du FEM, la Commission présentera au Parlement européen et au Conseil une proposition de virement à la ligne budgétaire pertinente d’un montant de 2 725 100 EUR.</w:t>
      </w:r>
    </w:p>
    <w:p w:rsidR="001A62D7" w:rsidRPr="005F0D45" w:rsidRDefault="001A62D7" w:rsidP="00AE7D04">
      <w:pPr>
        <w:pStyle w:val="ManualNumPar1"/>
        <w:rPr>
          <w:noProof/>
        </w:rPr>
      </w:pPr>
      <w:r>
        <w:rPr>
          <w:noProof/>
        </w:rPr>
        <w:t>42.</w:t>
      </w:r>
      <w:r>
        <w:rPr>
          <w:noProof/>
        </w:rPr>
        <w:tab/>
      </w:r>
      <w:r w:rsidRPr="005F0D45">
        <w:rPr>
          <w:noProof/>
        </w:rPr>
        <w:t>En même temps que la présente proposition de décision de mobilisation du FEM, la Commission a adopté une décision relative à une contribution financière qui constitue une décision de financement au sens de l’article 110 du règlement (UE, Euratom) 2024/2509</w:t>
      </w:r>
      <w:r w:rsidRPr="005F0D45">
        <w:rPr>
          <w:rStyle w:val="FootnoteReference"/>
          <w:noProof/>
        </w:rPr>
        <w:footnoteReference w:id="45"/>
      </w:r>
      <w:r w:rsidRPr="005F0D45">
        <w:rPr>
          <w:noProof/>
        </w:rPr>
        <w:t>. Cette décision de financement entre en vigueur à la date à laquelle la Commission est informée de l’approbation du virement budgétaire par le Parlement européen et le Conseil, en application de l’article 15, paragraphe 2, premier alinéa, du règlement (UE) 2021/691.</w:t>
      </w:r>
    </w:p>
    <w:p w:rsidR="001A62D7" w:rsidRPr="005F0D45" w:rsidRDefault="001A62D7" w:rsidP="001A62D7">
      <w:pPr>
        <w:rPr>
          <w:noProof/>
        </w:rPr>
        <w:sectPr w:rsidR="001A62D7" w:rsidRPr="005F0D45" w:rsidSect="00BD402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D23FFF" w:rsidRDefault="00BE43D4">
      <w:pPr>
        <w:pStyle w:val="Rfrenceinterinstitutionnelle"/>
        <w:rPr>
          <w:noProof/>
        </w:rPr>
      </w:pPr>
      <w:r>
        <w:rPr>
          <w:noProof/>
        </w:rPr>
        <w:lastRenderedPageBreak/>
        <w:t>2026/0195 (BUD)</w:t>
      </w:r>
    </w:p>
    <w:p w:rsidR="001A62D7" w:rsidRPr="005F0D45" w:rsidRDefault="005F0D45" w:rsidP="005F0D45">
      <w:pPr>
        <w:pStyle w:val="Statut"/>
        <w:rPr>
          <w:noProof/>
        </w:rPr>
      </w:pPr>
      <w:r w:rsidRPr="005F0D45">
        <w:rPr>
          <w:noProof/>
        </w:rPr>
        <w:t>Proposition de</w:t>
      </w:r>
    </w:p>
    <w:p w:rsidR="001A62D7" w:rsidRPr="005F0D45" w:rsidRDefault="005F0D45" w:rsidP="005F0D45">
      <w:pPr>
        <w:pStyle w:val="Typedudocument"/>
        <w:rPr>
          <w:noProof/>
        </w:rPr>
      </w:pPr>
      <w:r w:rsidRPr="005F0D45">
        <w:rPr>
          <w:noProof/>
        </w:rPr>
        <w:t>DÉCISION DU PARLEMENT EUROPÉEN ET DU CONSEIL</w:t>
      </w:r>
    </w:p>
    <w:p w:rsidR="001A62D7" w:rsidRPr="005F0D45" w:rsidRDefault="005F0D45" w:rsidP="005F0D45">
      <w:pPr>
        <w:pStyle w:val="Titreobjet"/>
        <w:rPr>
          <w:noProof/>
        </w:rPr>
      </w:pPr>
      <w:r w:rsidRPr="005F0D45">
        <w:rPr>
          <w:noProof/>
        </w:rPr>
        <w:t>relative à la mobilisation du Fonds européen d’ajustement à la mondialisation en faveur des travailleurs licenciés à la suite d’une demande présentée par l’Espagne – EGF/2026/002 ES/Galicia automotive ancillary</w:t>
      </w:r>
    </w:p>
    <w:p w:rsidR="001A62D7" w:rsidRPr="005F0D45" w:rsidRDefault="001A62D7" w:rsidP="001A62D7">
      <w:pPr>
        <w:pStyle w:val="Institutionquiagit"/>
        <w:rPr>
          <w:noProof/>
        </w:rPr>
      </w:pPr>
      <w:r w:rsidRPr="005F0D45">
        <w:rPr>
          <w:noProof/>
        </w:rPr>
        <w:t>LE PARLEMENT EUROPÉEN ET LE CONSEIL DE L’UNION EUROPÉENNE,</w:t>
      </w:r>
    </w:p>
    <w:p w:rsidR="001A62D7" w:rsidRPr="005F0D45" w:rsidRDefault="001A62D7" w:rsidP="001A62D7">
      <w:pPr>
        <w:rPr>
          <w:noProof/>
        </w:rPr>
      </w:pPr>
      <w:r w:rsidRPr="005F0D45">
        <w:rPr>
          <w:noProof/>
        </w:rPr>
        <w:t>vu le traité sur le fonctionnement de l’Union européenne,</w:t>
      </w:r>
    </w:p>
    <w:p w:rsidR="001A62D7" w:rsidRPr="005F0D45" w:rsidRDefault="001A62D7" w:rsidP="001A62D7">
      <w:pPr>
        <w:rPr>
          <w:noProof/>
        </w:rPr>
      </w:pPr>
      <w:r w:rsidRPr="005F0D45">
        <w:rPr>
          <w:noProof/>
        </w:rPr>
        <w:t>vu le règlement (UE) 2021/691 du Parlement européen et du Conseil du 28 avril 2021 relatif au Fonds européen d’ajustement à la mondialisation en faveur des travailleurs licenciés (FEM) et abrogeant le règlement (UE) nº 1309/2013</w:t>
      </w:r>
      <w:r w:rsidRPr="005F0D45">
        <w:rPr>
          <w:rStyle w:val="FootnoteReference"/>
          <w:noProof/>
        </w:rPr>
        <w:footnoteReference w:id="46"/>
      </w:r>
      <w:r w:rsidRPr="005F0D45">
        <w:rPr>
          <w:noProof/>
        </w:rPr>
        <w:t>, et notamment son article 15, paragraphe 1, premier alinéa,</w:t>
      </w:r>
    </w:p>
    <w:p w:rsidR="001A62D7" w:rsidRPr="005F0D45" w:rsidRDefault="001A62D7" w:rsidP="001A62D7">
      <w:pPr>
        <w:rPr>
          <w:noProof/>
        </w:rPr>
      </w:pPr>
      <w:r w:rsidRPr="005F0D45">
        <w:rPr>
          <w:noProof/>
        </w:rP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5F0D45">
        <w:rPr>
          <w:rStyle w:val="FootnoteReference"/>
          <w:noProof/>
        </w:rPr>
        <w:footnoteReference w:id="47"/>
      </w:r>
      <w:r w:rsidRPr="005F0D45">
        <w:rPr>
          <w:noProof/>
        </w:rPr>
        <w:t>, et notamment son point 9,</w:t>
      </w:r>
    </w:p>
    <w:p w:rsidR="001A62D7" w:rsidRPr="005F0D45" w:rsidRDefault="001A62D7" w:rsidP="001A62D7">
      <w:pPr>
        <w:rPr>
          <w:noProof/>
        </w:rPr>
      </w:pPr>
      <w:r w:rsidRPr="005F0D45">
        <w:rPr>
          <w:noProof/>
        </w:rPr>
        <w:t>vu la proposition de la Commission européenne,</w:t>
      </w:r>
    </w:p>
    <w:p w:rsidR="001A62D7" w:rsidRPr="005F0D45" w:rsidRDefault="001A62D7" w:rsidP="001A62D7">
      <w:pPr>
        <w:rPr>
          <w:noProof/>
        </w:rPr>
      </w:pPr>
      <w:r w:rsidRPr="005F0D45">
        <w:rPr>
          <w:noProof/>
        </w:rPr>
        <w:t>considérant ce qui suit:</w:t>
      </w:r>
    </w:p>
    <w:p w:rsidR="001A62D7" w:rsidRPr="005F0D45" w:rsidRDefault="001A62D7" w:rsidP="00AE7D04">
      <w:pPr>
        <w:pStyle w:val="ManualConsidrant"/>
        <w:rPr>
          <w:noProof/>
        </w:rPr>
      </w:pPr>
      <w:r>
        <w:rPr>
          <w:noProof/>
        </w:rPr>
        <w:t>(1)</w:t>
      </w:r>
      <w:r>
        <w:rPr>
          <w:noProof/>
        </w:rPr>
        <w:tab/>
      </w:r>
      <w:r w:rsidRPr="005F0D45">
        <w:rPr>
          <w:noProof/>
        </w:rPr>
        <w:t xml:space="preserve">Le Fonds européen d’ajustement à la mondialisation en faveur des travailleurs licenciés (FEM) vise à faire preuve de solidarité et à promouvoir des emplois décents et durables dans l’Union en apportant un soutien aux travailleurs licenciés et aux travailleurs indépendants dont l’activité a cessé par suite de restructurations de grande ampleur et en les aidant à retrouver, dès que possible, un emploi décent et durable. </w:t>
      </w:r>
    </w:p>
    <w:p w:rsidR="001A62D7" w:rsidRPr="005F0D45" w:rsidRDefault="001A62D7" w:rsidP="00AE7D04">
      <w:pPr>
        <w:pStyle w:val="ManualConsidrant"/>
        <w:rPr>
          <w:noProof/>
        </w:rPr>
      </w:pPr>
      <w:r>
        <w:rPr>
          <w:noProof/>
        </w:rPr>
        <w:t>(2)</w:t>
      </w:r>
      <w:r>
        <w:rPr>
          <w:noProof/>
        </w:rPr>
        <w:tab/>
      </w:r>
      <w:r w:rsidRPr="005F0D45">
        <w:rPr>
          <w:noProof/>
        </w:rPr>
        <w:t>La dotation annuelle du FEM n’excède pas un montant maximal de 30 000 000 EUR (aux prix de 2018), comme le prévoient l’article 8 du règlement (UE, Euratom) 2020/2093</w:t>
      </w:r>
      <w:r w:rsidRPr="005F0D45">
        <w:rPr>
          <w:rStyle w:val="FootnoteReference"/>
          <w:noProof/>
        </w:rPr>
        <w:footnoteReference w:id="48"/>
      </w:r>
      <w:r w:rsidRPr="005F0D45">
        <w:rPr>
          <w:noProof/>
        </w:rPr>
        <w:t xml:space="preserve"> du Conseil et l’article 16 du règlement (UE) 2021/691.</w:t>
      </w:r>
    </w:p>
    <w:p w:rsidR="001A62D7" w:rsidRPr="005F0D45" w:rsidRDefault="001A62D7" w:rsidP="00DE674B">
      <w:pPr>
        <w:pStyle w:val="ManualConsidrant"/>
        <w:rPr>
          <w:noProof/>
        </w:rPr>
      </w:pPr>
      <w:r>
        <w:rPr>
          <w:noProof/>
        </w:rPr>
        <w:t>(3)</w:t>
      </w:r>
      <w:r>
        <w:rPr>
          <w:noProof/>
        </w:rPr>
        <w:tab/>
      </w:r>
      <w:r w:rsidRPr="005F0D45">
        <w:rPr>
          <w:noProof/>
        </w:rPr>
        <w:t xml:space="preserve">Le 7 avril 2026, l’Espagne a introduit une demande de mobilisation du FEM, conformément à l’article 8, paragraphe 1, du règlement (UE) 2021/691, concernant des licenciements intervenus dans les secteurs d’activité économique relevant des divisions 25 (Fabrication de produits métalliques, à l’exception des machines et des équipements), 27 (Fabrication d’équipements électriques), 28 (Fabrication de machines et d’équipements n.c.a.), 29 (Construction de véhicules automobiles, de remorques et de semi-remorques) et 74 (Autres activités spécialisées, scientifiques et techniques) de la nomenclature statistique des activités économiques dans la </w:t>
      </w:r>
      <w:r w:rsidRPr="005F0D45">
        <w:rPr>
          <w:noProof/>
        </w:rPr>
        <w:lastRenderedPageBreak/>
        <w:t>Communauté européenne («NACE»)</w:t>
      </w:r>
      <w:r w:rsidRPr="005F0D45">
        <w:rPr>
          <w:rStyle w:val="FootnoteReference"/>
          <w:noProof/>
        </w:rPr>
        <w:footnoteReference w:id="49"/>
      </w:r>
      <w:r w:rsidRPr="005F0D45">
        <w:rPr>
          <w:noProof/>
        </w:rPr>
        <w:t xml:space="preserve"> Rév. 2 et situés dans la région de niveau 2 de la nomenclature des unités territoriales statistiques («NUTS»)</w:t>
      </w:r>
      <w:r w:rsidRPr="005F0D45">
        <w:rPr>
          <w:rStyle w:val="FootnoteReference"/>
          <w:noProof/>
        </w:rPr>
        <w:footnoteReference w:id="50"/>
      </w:r>
      <w:r w:rsidRPr="005F0D45">
        <w:rPr>
          <w:noProof/>
        </w:rPr>
        <w:t xml:space="preserve"> de Galice (ES11),</w:t>
      </w:r>
      <w:r w:rsidRPr="005F0D45">
        <w:rPr>
          <w:noProof/>
          <w:color w:val="FFFFFF" w:themeColor="background1"/>
          <w:u w:val="single"/>
        </w:rPr>
        <w:t xml:space="preserve"> </w:t>
      </w:r>
      <w:r w:rsidRPr="005F0D45">
        <w:rPr>
          <w:noProof/>
        </w:rPr>
        <w:t>en Espagne. Des informations complémentaires ont été fournies conformément à l’article 8, paragraphe 5, du règlement (UE) 2021/691. Cette demande est considérée comme remplissant les conditions d’octroi d’une contribution financière du FEM conformément à l’article 13 du règlement (UE) 2021/691, sur la base de l’évaluation effectuée par la Commission dans la proposition de décision du Parlement européen et du Conseil relative à la mobilisation du FEM</w:t>
      </w:r>
      <w:r w:rsidRPr="005F0D45">
        <w:rPr>
          <w:rStyle w:val="FootnoteReference"/>
          <w:iCs/>
          <w:noProof/>
        </w:rPr>
        <w:footnoteReference w:id="51"/>
      </w:r>
      <w:r w:rsidRPr="005F0D45">
        <w:rPr>
          <w:noProof/>
        </w:rPr>
        <w:t>.</w:t>
      </w:r>
    </w:p>
    <w:p w:rsidR="001A62D7" w:rsidRPr="005F0D45" w:rsidRDefault="001A62D7" w:rsidP="00AE7D04">
      <w:pPr>
        <w:pStyle w:val="ManualConsidrant"/>
        <w:rPr>
          <w:noProof/>
        </w:rPr>
      </w:pPr>
      <w:r>
        <w:rPr>
          <w:noProof/>
        </w:rPr>
        <w:t>(4)</w:t>
      </w:r>
      <w:r>
        <w:rPr>
          <w:noProof/>
        </w:rPr>
        <w:tab/>
      </w:r>
      <w:r w:rsidRPr="005F0D45">
        <w:rPr>
          <w:noProof/>
        </w:rPr>
        <w:t>Il convient, par conséquent, de mobiliser le FEM en vue d’octroyer une contribution financière d’un montant de 2 725 100 EUR en réponse à la demande présentée par l’Espagne.</w:t>
      </w:r>
    </w:p>
    <w:p w:rsidR="001A62D7" w:rsidRPr="005F0D45" w:rsidRDefault="001A62D7" w:rsidP="00AE7D04">
      <w:pPr>
        <w:pStyle w:val="ManualConsidrant"/>
        <w:rPr>
          <w:noProof/>
        </w:rPr>
      </w:pPr>
      <w:r>
        <w:rPr>
          <w:noProof/>
        </w:rPr>
        <w:t>(5)</w:t>
      </w:r>
      <w:r>
        <w:rPr>
          <w:noProof/>
        </w:rPr>
        <w:tab/>
      </w:r>
      <w:r w:rsidRPr="005F0D45">
        <w:rPr>
          <w:noProof/>
        </w:rPr>
        <w:t>Afin de limiter au maximum le délai de mobilisation du FEM, il convient que la présente décision soit applicable à partir de la date de son adoption,</w:t>
      </w:r>
    </w:p>
    <w:p w:rsidR="001A62D7" w:rsidRPr="005F0D45" w:rsidRDefault="001A62D7" w:rsidP="001A62D7">
      <w:pPr>
        <w:pStyle w:val="Formuledadoption"/>
        <w:rPr>
          <w:noProof/>
        </w:rPr>
      </w:pPr>
      <w:r w:rsidRPr="005F0D45">
        <w:rPr>
          <w:noProof/>
        </w:rPr>
        <w:t xml:space="preserve">ONT ADOPTÉ LA PRÉSENTE DÉCISION: </w:t>
      </w:r>
    </w:p>
    <w:p w:rsidR="001A62D7" w:rsidRPr="005F0D45" w:rsidRDefault="001A62D7" w:rsidP="001A62D7">
      <w:pPr>
        <w:pStyle w:val="Titrearticle"/>
        <w:rPr>
          <w:noProof/>
        </w:rPr>
      </w:pPr>
      <w:r w:rsidRPr="005F0D45">
        <w:rPr>
          <w:noProof/>
        </w:rPr>
        <w:t>Article premier</w:t>
      </w:r>
    </w:p>
    <w:p w:rsidR="001A62D7" w:rsidRPr="005F0D45" w:rsidRDefault="001A62D7" w:rsidP="001A62D7">
      <w:pPr>
        <w:rPr>
          <w:noProof/>
        </w:rPr>
      </w:pPr>
      <w:r w:rsidRPr="005F0D45">
        <w:rPr>
          <w:noProof/>
        </w:rPr>
        <w:t>Dans le cadre du budget général de l’Union établi pour l’exercice 2026, un montant de 2 725 100 EUR en crédits d’engagement et de paiement est mobilisé au titre du Fonds européen d’ajustement à la mondialisation en faveur des travailleurs licenciés.</w:t>
      </w:r>
    </w:p>
    <w:p w:rsidR="001A62D7" w:rsidRPr="005F0D45" w:rsidRDefault="001A62D7" w:rsidP="00F56064">
      <w:pPr>
        <w:pStyle w:val="Titrearticle"/>
        <w:rPr>
          <w:noProof/>
        </w:rPr>
      </w:pPr>
      <w:r w:rsidRPr="005F0D45">
        <w:rPr>
          <w:noProof/>
        </w:rPr>
        <w:t>Article 2</w:t>
      </w:r>
    </w:p>
    <w:p w:rsidR="001A62D7" w:rsidRPr="005F0D45" w:rsidRDefault="001A62D7" w:rsidP="001A62D7">
      <w:pPr>
        <w:keepNext/>
        <w:keepLines/>
        <w:rPr>
          <w:noProof/>
        </w:rPr>
      </w:pPr>
      <w:r w:rsidRPr="005F0D45">
        <w:rPr>
          <w:noProof/>
        </w:rPr>
        <w:t xml:space="preserve">La présente décision entre en vigueur le jour de sa publication au Journal officiel de l’Union européenne. Elle est applicable à partir du </w:t>
      </w:r>
      <w:r w:rsidRPr="005F0D45">
        <w:rPr>
          <w:noProof/>
          <w:color w:val="FF0000"/>
        </w:rPr>
        <w:t>[</w:t>
      </w:r>
      <w:r w:rsidRPr="005F0D45">
        <w:rPr>
          <w:i/>
          <w:noProof/>
          <w:color w:val="FF0000"/>
        </w:rPr>
        <w:t>date de son adoption</w:t>
      </w:r>
      <w:r w:rsidRPr="005F0D45">
        <w:rPr>
          <w:noProof/>
          <w:color w:val="FF0000"/>
        </w:rPr>
        <w:t>]</w:t>
      </w:r>
      <w:r w:rsidRPr="005F0D45">
        <w:rPr>
          <w:rStyle w:val="FootnoteReference"/>
          <w:noProof/>
          <w:color w:val="FF0000"/>
        </w:rPr>
        <w:footnoteReference w:customMarkFollows="1" w:id="52"/>
        <w:t>*</w:t>
      </w:r>
      <w:r w:rsidRPr="005F0D45">
        <w:rPr>
          <w:noProof/>
        </w:rPr>
        <w:t>.</w:t>
      </w:r>
    </w:p>
    <w:p w:rsidR="001A62D7" w:rsidRPr="005F0D45" w:rsidRDefault="005F0D45" w:rsidP="00F56064">
      <w:pPr>
        <w:pStyle w:val="Fait"/>
        <w:rPr>
          <w:noProof/>
        </w:rPr>
      </w:pPr>
      <w:r>
        <w:rPr>
          <w:noProof/>
        </w:rPr>
        <w:t>Fait à Bruxelles, le</w:t>
      </w:r>
    </w:p>
    <w:p w:rsidR="001A62D7" w:rsidRPr="005F0D45" w:rsidRDefault="001A62D7" w:rsidP="00F56064">
      <w:pPr>
        <w:pStyle w:val="Institutionquisigne"/>
        <w:rPr>
          <w:noProof/>
        </w:rPr>
      </w:pPr>
      <w:r w:rsidRPr="005F0D45">
        <w:rPr>
          <w:noProof/>
        </w:rPr>
        <w:t>Par le Parlement européen</w:t>
      </w:r>
      <w:r w:rsidRPr="005F0D45">
        <w:rPr>
          <w:noProof/>
        </w:rPr>
        <w:tab/>
        <w:t>Par le Conseil</w:t>
      </w:r>
    </w:p>
    <w:p w:rsidR="001A62D7" w:rsidRPr="005F0D45" w:rsidRDefault="001A62D7" w:rsidP="001A62D7">
      <w:pPr>
        <w:pStyle w:val="Personnequisigne"/>
        <w:rPr>
          <w:noProof/>
        </w:rPr>
      </w:pPr>
      <w:r w:rsidRPr="005F0D45">
        <w:rPr>
          <w:noProof/>
        </w:rPr>
        <w:t>La présidente</w:t>
      </w:r>
      <w:r w:rsidRPr="005F0D45">
        <w:rPr>
          <w:noProof/>
        </w:rPr>
        <w:tab/>
        <w:t>Le président</w:t>
      </w:r>
      <w:r w:rsidRPr="005F0D45">
        <w:rPr>
          <w:noProof/>
        </w:rPr>
        <w:br/>
      </w:r>
    </w:p>
    <w:sectPr w:rsidR="001A62D7" w:rsidRPr="005F0D45" w:rsidSect="00BD402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D07" w:rsidRDefault="00F06D07" w:rsidP="001A62D7">
      <w:pPr>
        <w:spacing w:before="0" w:after="0"/>
      </w:pPr>
      <w:r>
        <w:separator/>
      </w:r>
    </w:p>
  </w:endnote>
  <w:endnote w:type="continuationSeparator" w:id="0">
    <w:p w:rsidR="00F06D07" w:rsidRDefault="00F06D07"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025" w:rsidRPr="00BD4025" w:rsidRDefault="00BD4025" w:rsidP="00BD4025">
    <w:pPr>
      <w:pStyle w:val="Footer"/>
      <w:rPr>
        <w:rFonts w:ascii="Arial" w:hAnsi="Arial" w:cs="Arial"/>
        <w:b/>
        <w:sz w:val="48"/>
      </w:rPr>
    </w:pPr>
    <w:r w:rsidRPr="00BD4025">
      <w:rPr>
        <w:rFonts w:ascii="Arial" w:hAnsi="Arial" w:cs="Arial"/>
        <w:b/>
        <w:sz w:val="48"/>
      </w:rPr>
      <w:t>FR</w:t>
    </w:r>
    <w:r w:rsidRPr="00BD4025">
      <w:rPr>
        <w:rFonts w:ascii="Arial" w:hAnsi="Arial" w:cs="Arial"/>
        <w:b/>
        <w:sz w:val="48"/>
      </w:rPr>
      <w:tab/>
    </w:r>
    <w:r w:rsidRPr="00BD4025">
      <w:rPr>
        <w:rFonts w:ascii="Arial" w:hAnsi="Arial" w:cs="Arial"/>
        <w:b/>
        <w:sz w:val="48"/>
      </w:rPr>
      <w:tab/>
    </w:r>
    <w:r w:rsidRPr="00BD4025">
      <w:tab/>
    </w:r>
    <w:r w:rsidRPr="00BD402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025" w:rsidRPr="00BD4025" w:rsidRDefault="00BD4025" w:rsidP="00BD4025">
    <w:pPr>
      <w:pStyle w:val="Footer"/>
      <w:rPr>
        <w:rFonts w:ascii="Arial" w:hAnsi="Arial" w:cs="Arial"/>
        <w:b/>
        <w:sz w:val="48"/>
      </w:rPr>
    </w:pPr>
    <w:r w:rsidRPr="00BD4025">
      <w:rPr>
        <w:rFonts w:ascii="Arial" w:hAnsi="Arial" w:cs="Arial"/>
        <w:b/>
        <w:sz w:val="48"/>
      </w:rPr>
      <w:t>FR</w:t>
    </w:r>
    <w:r w:rsidRPr="00BD4025">
      <w:rPr>
        <w:rFonts w:ascii="Arial" w:hAnsi="Arial" w:cs="Arial"/>
        <w:b/>
        <w:sz w:val="48"/>
      </w:rPr>
      <w:tab/>
    </w:r>
    <w:r w:rsidRPr="00BD4025">
      <w:rPr>
        <w:rFonts w:ascii="Arial" w:hAnsi="Arial" w:cs="Arial"/>
        <w:b/>
        <w:sz w:val="48"/>
      </w:rPr>
      <w:tab/>
    </w:r>
    <w:r w:rsidRPr="00BD4025">
      <w:tab/>
    </w:r>
    <w:r w:rsidRPr="00BD402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025" w:rsidRDefault="00BD40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025" w:rsidRPr="00BD4025" w:rsidRDefault="00BD4025" w:rsidP="00BD4025">
    <w:pPr>
      <w:pStyle w:val="Footer"/>
      <w:rPr>
        <w:rFonts w:ascii="Arial" w:hAnsi="Arial" w:cs="Arial"/>
        <w:b/>
        <w:sz w:val="48"/>
      </w:rPr>
    </w:pPr>
    <w:r w:rsidRPr="00BD4025">
      <w:rPr>
        <w:rFonts w:ascii="Arial" w:hAnsi="Arial" w:cs="Arial"/>
        <w:b/>
        <w:sz w:val="48"/>
      </w:rPr>
      <w:t>FR</w:t>
    </w:r>
    <w:r w:rsidRPr="00BD4025">
      <w:rPr>
        <w:rFonts w:ascii="Arial" w:hAnsi="Arial" w:cs="Arial"/>
        <w:b/>
        <w:sz w:val="48"/>
      </w:rPr>
      <w:tab/>
    </w:r>
    <w:r>
      <w:fldChar w:fldCharType="begin"/>
    </w:r>
    <w:r>
      <w:instrText xml:space="preserve"> PAGE  \* MERGEFORMAT </w:instrText>
    </w:r>
    <w:r>
      <w:fldChar w:fldCharType="separate"/>
    </w:r>
    <w:r w:rsidR="00F56064">
      <w:rPr>
        <w:noProof/>
      </w:rPr>
      <w:t>14</w:t>
    </w:r>
    <w:r>
      <w:fldChar w:fldCharType="end"/>
    </w:r>
    <w:r>
      <w:tab/>
    </w:r>
    <w:r w:rsidRPr="00BD4025">
      <w:tab/>
    </w:r>
    <w:r w:rsidRPr="00BD402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025" w:rsidRDefault="00BD4025" w:rsidP="00BD4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D07" w:rsidRDefault="00F06D07" w:rsidP="001A62D7">
      <w:pPr>
        <w:spacing w:before="0" w:after="0"/>
      </w:pPr>
      <w:r>
        <w:separator/>
      </w:r>
    </w:p>
  </w:footnote>
  <w:footnote w:type="continuationSeparator" w:id="0">
    <w:p w:rsidR="00F06D07" w:rsidRDefault="00F06D07" w:rsidP="001A62D7">
      <w:pPr>
        <w:spacing w:before="0" w:after="0"/>
      </w:pPr>
      <w:r>
        <w:continuationSeparator/>
      </w:r>
    </w:p>
  </w:footnote>
  <w:footnote w:id="1">
    <w:p w:rsidR="001A62D7" w:rsidRPr="005F0D45" w:rsidRDefault="001A62D7" w:rsidP="001A62D7">
      <w:pPr>
        <w:pStyle w:val="FootnoteText"/>
        <w:rPr>
          <w:lang w:val="fr-BE"/>
        </w:rPr>
      </w:pPr>
      <w:r>
        <w:rPr>
          <w:rStyle w:val="FootnoteReference"/>
        </w:rPr>
        <w:footnoteRef/>
      </w:r>
      <w:r w:rsidRPr="005F0D45">
        <w:rPr>
          <w:lang w:val="fr-BE"/>
        </w:rPr>
        <w:tab/>
        <w:t>JO L 153 du 3.5.2021, p. 48,</w:t>
      </w:r>
      <w:r w:rsidRPr="005F0D45">
        <w:rPr>
          <w:sz w:val="24"/>
          <w:lang w:val="fr-BE"/>
        </w:rPr>
        <w:t xml:space="preserve"> </w:t>
      </w:r>
      <w:r w:rsidRPr="005F0D45">
        <w:rPr>
          <w:lang w:val="fr-BE"/>
        </w:rPr>
        <w:t>ELI: http://data.europa.eu/eli/reg/2021/691/oj.</w:t>
      </w:r>
    </w:p>
  </w:footnote>
  <w:footnote w:id="2">
    <w:p w:rsidR="001A62D7" w:rsidRPr="005F0D45" w:rsidRDefault="001A62D7" w:rsidP="001A62D7">
      <w:pPr>
        <w:pStyle w:val="FootnoteText"/>
        <w:rPr>
          <w:lang w:val="fr-BE"/>
        </w:rPr>
      </w:pPr>
      <w:r>
        <w:rPr>
          <w:rStyle w:val="FootnoteReference"/>
        </w:rPr>
        <w:footnoteRef/>
      </w:r>
      <w:r w:rsidRPr="005F0D45">
        <w:rPr>
          <w:lang w:val="fr-BE"/>
        </w:rPr>
        <w:tab/>
        <w:t>Règlement délégué (UE) 2019/1755 de la Commission du 8 août 2019 modifiant les annexes du règlement (CE) nº 1059/2003 du Parlement européen et du Conseil relatif à l’établissement d’une nomenclature commune des unités territoriales statistiques (NUTS) (JO L 270 du 24.10.2019, p. 1).</w:t>
      </w:r>
    </w:p>
  </w:footnote>
  <w:footnote w:id="3">
    <w:p w:rsidR="001A62D7" w:rsidRPr="005F0D45" w:rsidRDefault="001A62D7" w:rsidP="001A62D7">
      <w:pPr>
        <w:pStyle w:val="FootnoteText"/>
        <w:rPr>
          <w:lang w:val="fr-BE"/>
        </w:rPr>
      </w:pPr>
      <w:r>
        <w:rPr>
          <w:rStyle w:val="FootnoteReference"/>
        </w:rPr>
        <w:footnoteRef/>
      </w:r>
      <w:r w:rsidRPr="005F0D45">
        <w:rPr>
          <w:lang w:val="fr-BE"/>
        </w:rPr>
        <w:tab/>
        <w:t>JO L 393 du 30.12.2006, p. 1.</w:t>
      </w:r>
    </w:p>
  </w:footnote>
  <w:footnote w:id="4">
    <w:p w:rsidR="001A62D7" w:rsidRPr="005F0D45" w:rsidRDefault="001A62D7" w:rsidP="001A62D7">
      <w:pPr>
        <w:pStyle w:val="FootnoteText"/>
        <w:rPr>
          <w:lang w:val="fr-BE"/>
        </w:rPr>
      </w:pPr>
      <w:r>
        <w:rPr>
          <w:rStyle w:val="FootnoteReference"/>
        </w:rPr>
        <w:footnoteRef/>
      </w:r>
      <w:r w:rsidRPr="005F0D45">
        <w:rPr>
          <w:lang w:val="fr-BE"/>
        </w:rPr>
        <w:tab/>
        <w:t>Conformément à l’article 7, paragraphe 5, du règlement (UE) 2021/691.</w:t>
      </w:r>
    </w:p>
  </w:footnote>
  <w:footnote w:id="5">
    <w:p w:rsidR="007E4E97" w:rsidRPr="005F0D45" w:rsidRDefault="007E4E97">
      <w:pPr>
        <w:pStyle w:val="FootnoteText"/>
        <w:rPr>
          <w:lang w:val="fr-BE"/>
        </w:rPr>
      </w:pPr>
      <w:r>
        <w:rPr>
          <w:rStyle w:val="FootnoteReference"/>
        </w:rPr>
        <w:footnoteRef/>
      </w:r>
      <w:r w:rsidRPr="005F0D45">
        <w:rPr>
          <w:lang w:val="fr-BE"/>
        </w:rPr>
        <w:tab/>
      </w:r>
      <w:hyperlink r:id="rId1" w:history="1">
        <w:r w:rsidRPr="005F0D45">
          <w:rPr>
            <w:rStyle w:val="Hyperlink"/>
            <w:lang w:val="fr-BE"/>
          </w:rPr>
          <w:t>Sernauto</w:t>
        </w:r>
      </w:hyperlink>
      <w:r w:rsidRPr="005F0D45">
        <w:rPr>
          <w:lang w:val="fr-BE"/>
        </w:rPr>
        <w:t>.</w:t>
      </w:r>
    </w:p>
  </w:footnote>
  <w:footnote w:id="6">
    <w:p w:rsidR="007E4E97" w:rsidRPr="005F0D45" w:rsidRDefault="007E4E97">
      <w:pPr>
        <w:pStyle w:val="FootnoteText"/>
        <w:rPr>
          <w:lang w:val="fr-BE"/>
        </w:rPr>
      </w:pPr>
      <w:r>
        <w:rPr>
          <w:rStyle w:val="FootnoteReference"/>
        </w:rPr>
        <w:footnoteRef/>
      </w:r>
      <w:r w:rsidRPr="005F0D45">
        <w:rPr>
          <w:lang w:val="fr-BE"/>
        </w:rPr>
        <w:tab/>
      </w:r>
      <w:hyperlink r:id="rId2" w:anchor=":~:text=La%20facturaci%C3%B3n%20de%20los%20proveedores%20de%20automoci%C3%B3n,de%20euros%20en%20un%20contexto%20de%20desaceleraci%C3%B3n." w:history="1">
        <w:r w:rsidRPr="005F0D45">
          <w:rPr>
            <w:rStyle w:val="Hyperlink"/>
            <w:lang w:val="fr-BE"/>
          </w:rPr>
          <w:t>Sernauto</w:t>
        </w:r>
      </w:hyperlink>
      <w:r w:rsidRPr="005F0D45">
        <w:rPr>
          <w:lang w:val="fr-BE"/>
        </w:rPr>
        <w:t>.</w:t>
      </w:r>
    </w:p>
  </w:footnote>
  <w:footnote w:id="7">
    <w:p w:rsidR="000E796A" w:rsidRPr="005F0D45" w:rsidRDefault="000E796A">
      <w:pPr>
        <w:pStyle w:val="FootnoteText"/>
        <w:rPr>
          <w:lang w:val="fr-BE"/>
        </w:rPr>
      </w:pPr>
      <w:r>
        <w:rPr>
          <w:rStyle w:val="FootnoteReference"/>
        </w:rPr>
        <w:footnoteRef/>
      </w:r>
      <w:r w:rsidRPr="005F0D45">
        <w:rPr>
          <w:lang w:val="fr-BE"/>
        </w:rPr>
        <w:tab/>
      </w:r>
      <w:hyperlink r:id="rId3" w:history="1">
        <w:r w:rsidRPr="005F0D45">
          <w:rPr>
            <w:rStyle w:val="Hyperlink"/>
            <w:i/>
            <w:lang w:val="fr-BE"/>
          </w:rPr>
          <w:t>Labour cost per vehicle report</w:t>
        </w:r>
      </w:hyperlink>
      <w:r w:rsidRPr="005F0D45">
        <w:rPr>
          <w:lang w:val="fr-BE"/>
        </w:rPr>
        <w:t xml:space="preserve"> (Rapport sur le coût de la main-d’œuvre par véhicule).</w:t>
      </w:r>
    </w:p>
  </w:footnote>
  <w:footnote w:id="8">
    <w:p w:rsidR="00C60083" w:rsidRPr="005F0D45" w:rsidRDefault="00C60083">
      <w:pPr>
        <w:pStyle w:val="FootnoteText"/>
        <w:rPr>
          <w:lang w:val="fr-BE"/>
        </w:rPr>
      </w:pPr>
      <w:r>
        <w:rPr>
          <w:rStyle w:val="FootnoteReference"/>
        </w:rPr>
        <w:footnoteRef/>
      </w:r>
      <w:r w:rsidRPr="005F0D45">
        <w:rPr>
          <w:lang w:val="fr-BE"/>
        </w:rPr>
        <w:tab/>
      </w:r>
      <w:hyperlink r:id="rId4" w:history="1">
        <w:r w:rsidRPr="005F0D45">
          <w:rPr>
            <w:rStyle w:val="Hyperlink"/>
            <w:lang w:val="fr-BE"/>
          </w:rPr>
          <w:t>Xunta de Galicia.</w:t>
        </w:r>
      </w:hyperlink>
      <w:hyperlink r:id="rId5" w:history="1">
        <w:r w:rsidRPr="005F0D45">
          <w:rPr>
            <w:rStyle w:val="Hyperlink"/>
            <w:lang w:val="fr-BE"/>
          </w:rPr>
          <w:t xml:space="preserve"> </w:t>
        </w:r>
        <w:r w:rsidRPr="005F0D45">
          <w:rPr>
            <w:rStyle w:val="Hyperlink"/>
            <w:i/>
            <w:lang w:val="fr-BE"/>
          </w:rPr>
          <w:t>Empleo industrial (marzo 2026)</w:t>
        </w:r>
      </w:hyperlink>
      <w:r w:rsidRPr="005F0D45">
        <w:rPr>
          <w:lang w:val="fr-BE"/>
        </w:rPr>
        <w:t xml:space="preserve"> [Emploi industriel (mars 2026)].</w:t>
      </w:r>
    </w:p>
  </w:footnote>
  <w:footnote w:id="9">
    <w:p w:rsidR="0028567E" w:rsidRPr="005F0D45" w:rsidRDefault="0028567E">
      <w:pPr>
        <w:pStyle w:val="FootnoteText"/>
        <w:rPr>
          <w:lang w:val="fr-BE"/>
        </w:rPr>
      </w:pPr>
      <w:r>
        <w:rPr>
          <w:rStyle w:val="FootnoteReference"/>
        </w:rPr>
        <w:footnoteRef/>
      </w:r>
      <w:r w:rsidRPr="005F0D45">
        <w:rPr>
          <w:lang w:val="fr-BE"/>
        </w:rPr>
        <w:tab/>
      </w:r>
      <w:hyperlink r:id="rId6" w:anchor=":~:text=Las%20manufacturas%20han%20reducido%20un%2025%25%20el,de%20los%20puestos%20de%20trabajo%20en%20Espa%C3%B1a%2C" w:history="1">
        <w:r w:rsidRPr="005F0D45">
          <w:rPr>
            <w:rStyle w:val="Hyperlink"/>
            <w:i/>
            <w:lang w:val="fr-BE"/>
          </w:rPr>
          <w:t>Fundación BBVA.</w:t>
        </w:r>
      </w:hyperlink>
      <w:hyperlink r:id="rId7" w:anchor=":~:text=Las%20manufacturas%20han%20reducido%20un%2025%25%20el,de%20los%20puestos%20de%20trabajo%20en%20Espa%C3%B1a%2C" w:history="1">
        <w:r w:rsidRPr="005F0D45">
          <w:rPr>
            <w:rStyle w:val="Hyperlink"/>
            <w:i/>
            <w:lang w:val="fr-BE"/>
          </w:rPr>
          <w:t xml:space="preserve"> España se aleja del objetivo de reindustrialización marcado por la Unión Europea</w:t>
        </w:r>
      </w:hyperlink>
      <w:r w:rsidRPr="005F0D45">
        <w:rPr>
          <w:lang w:val="fr-BE"/>
        </w:rPr>
        <w:t xml:space="preserve"> (Fondation BBVA. L’Espagne s’éloigne de l’objectif de réindustrialisation fixé par l’Union européenne.)</w:t>
      </w:r>
    </w:p>
  </w:footnote>
  <w:footnote w:id="10">
    <w:p w:rsidR="009942B8" w:rsidRPr="005F0D45" w:rsidRDefault="009942B8">
      <w:pPr>
        <w:pStyle w:val="FootnoteText"/>
        <w:rPr>
          <w:lang w:val="fr-BE"/>
        </w:rPr>
      </w:pPr>
      <w:r>
        <w:rPr>
          <w:rStyle w:val="FootnoteReference"/>
        </w:rPr>
        <w:footnoteRef/>
      </w:r>
      <w:r w:rsidRPr="005F0D45">
        <w:rPr>
          <w:lang w:val="fr-BE"/>
        </w:rPr>
        <w:tab/>
      </w:r>
      <w:hyperlink r:id="rId8" w:history="1">
        <w:r w:rsidRPr="005F0D45">
          <w:rPr>
            <w:rStyle w:val="Hyperlink"/>
            <w:lang w:val="fr-BE"/>
          </w:rPr>
          <w:t>INE.</w:t>
        </w:r>
      </w:hyperlink>
      <w:hyperlink r:id="rId9" w:history="1">
        <w:r w:rsidRPr="005F0D45">
          <w:rPr>
            <w:rStyle w:val="Hyperlink"/>
            <w:lang w:val="fr-BE"/>
          </w:rPr>
          <w:t xml:space="preserve"> EPA Q4 2025</w:t>
        </w:r>
      </w:hyperlink>
      <w:r w:rsidRPr="005F0D45">
        <w:rPr>
          <w:lang w:val="fr-BE"/>
        </w:rPr>
        <w:t xml:space="preserve"> (Enquête sur la population active, 4</w:t>
      </w:r>
      <w:r w:rsidRPr="005F0D45">
        <w:rPr>
          <w:vertAlign w:val="superscript"/>
          <w:lang w:val="fr-BE"/>
        </w:rPr>
        <w:t>e</w:t>
      </w:r>
      <w:r w:rsidRPr="005F0D45">
        <w:rPr>
          <w:lang w:val="fr-BE"/>
        </w:rPr>
        <w:t xml:space="preserve"> trimestre 2025).</w:t>
      </w:r>
    </w:p>
  </w:footnote>
  <w:footnote w:id="11">
    <w:p w:rsidR="008E0A34" w:rsidRPr="005F0D45" w:rsidRDefault="008E0A34">
      <w:pPr>
        <w:pStyle w:val="FootnoteText"/>
        <w:rPr>
          <w:lang w:val="fr-BE"/>
        </w:rPr>
      </w:pPr>
      <w:r>
        <w:rPr>
          <w:rStyle w:val="FootnoteReference"/>
        </w:rPr>
        <w:footnoteRef/>
      </w:r>
      <w:r w:rsidRPr="005F0D45">
        <w:rPr>
          <w:lang w:val="fr-BE"/>
        </w:rPr>
        <w:tab/>
      </w:r>
      <w:hyperlink r:id="rId10" w:history="1">
        <w:r w:rsidRPr="005F0D45">
          <w:rPr>
            <w:rStyle w:val="Hyperlink"/>
            <w:lang w:val="fr-BE"/>
          </w:rPr>
          <w:t>Eurostat.</w:t>
        </w:r>
      </w:hyperlink>
    </w:p>
  </w:footnote>
  <w:footnote w:id="12">
    <w:p w:rsidR="008E0A34" w:rsidRPr="005F0D45" w:rsidRDefault="008E0A34">
      <w:pPr>
        <w:pStyle w:val="FootnoteText"/>
        <w:rPr>
          <w:lang w:val="fr-BE"/>
        </w:rPr>
      </w:pPr>
      <w:r>
        <w:rPr>
          <w:rStyle w:val="FootnoteReference"/>
        </w:rPr>
        <w:footnoteRef/>
      </w:r>
      <w:r w:rsidRPr="005F0D45">
        <w:rPr>
          <w:lang w:val="fr-BE"/>
        </w:rPr>
        <w:tab/>
      </w:r>
      <w:hyperlink r:id="rId11" w:anchor=":~:text=Tasa%20de%20actividad%20(en%20%25)%2C%20Tasa%20de,(en%20%25).%204T%202025%2C%2024.940%2C4%2C%2022.463%2C3%2C%202.477&amp;amp;text=Organizaci%C3%B3n%20Estad%C3%ADstica%20en%20Espa%C3%B1a%20%C2%B7%20Calidad%20%C2%B7%20Sistema%20Estad%C3%ADstico%20Europeo." w:history="1">
        <w:r w:rsidRPr="005F0D45">
          <w:rPr>
            <w:rStyle w:val="Hyperlink"/>
            <w:lang w:val="fr-BE"/>
          </w:rPr>
          <w:t>INE.</w:t>
        </w:r>
      </w:hyperlink>
      <w:hyperlink r:id="rId12" w:anchor=":~:text=Tasa%20de%20actividad%20(en%20%25)%2C%20Tasa%20de,(en%20%25).%204T%202025%2C%2024.940%2C4%2C%2022.463%2C3%2C%202.477&amp;amp;text=Organizaci%C3%B3n%20Estad%C3%ADstica%20en%20Espa%C3%B1a%20%C2%B7%20Calidad%20%C2%B7%20Sistema%20Estad%C3%ADstico%20Europeo." w:history="1">
        <w:r w:rsidRPr="005F0D45">
          <w:rPr>
            <w:rStyle w:val="Hyperlink"/>
            <w:lang w:val="fr-BE"/>
          </w:rPr>
          <w:t xml:space="preserve"> EPA Q4 2025</w:t>
        </w:r>
      </w:hyperlink>
      <w:r w:rsidRPr="005F0D45">
        <w:rPr>
          <w:lang w:val="fr-BE"/>
        </w:rPr>
        <w:t xml:space="preserve"> (Enquête sur la population active, 4</w:t>
      </w:r>
      <w:r w:rsidRPr="005F0D45">
        <w:rPr>
          <w:vertAlign w:val="superscript"/>
          <w:lang w:val="fr-BE"/>
        </w:rPr>
        <w:t>e</w:t>
      </w:r>
      <w:r w:rsidRPr="005F0D45">
        <w:rPr>
          <w:lang w:val="fr-BE"/>
        </w:rPr>
        <w:t xml:space="preserve"> trimestre 2025).</w:t>
      </w:r>
    </w:p>
  </w:footnote>
  <w:footnote w:id="13">
    <w:p w:rsidR="00EB02F0" w:rsidRPr="005F0D45" w:rsidRDefault="00EB02F0">
      <w:pPr>
        <w:pStyle w:val="FootnoteText"/>
        <w:rPr>
          <w:lang w:val="fr-BE"/>
        </w:rPr>
      </w:pPr>
      <w:r>
        <w:rPr>
          <w:rStyle w:val="FootnoteReference"/>
        </w:rPr>
        <w:footnoteRef/>
      </w:r>
      <w:r w:rsidRPr="005F0D45">
        <w:rPr>
          <w:lang w:val="fr-BE"/>
        </w:rPr>
        <w:tab/>
      </w:r>
      <w:hyperlink r:id="rId13" w:history="1">
        <w:r w:rsidRPr="005F0D45">
          <w:rPr>
            <w:rStyle w:val="Hyperlink"/>
            <w:i/>
            <w:lang w:val="fr-BE"/>
          </w:rPr>
          <w:t>Datos macro-INE, EPA Q4 2025</w:t>
        </w:r>
      </w:hyperlink>
      <w:r w:rsidRPr="005F0D45">
        <w:rPr>
          <w:lang w:val="fr-BE"/>
        </w:rPr>
        <w:t xml:space="preserve"> [Données macroéconomiques – INE. Enquête sur la population active (EPA), 4</w:t>
      </w:r>
      <w:r w:rsidRPr="005F0D45">
        <w:rPr>
          <w:vertAlign w:val="superscript"/>
          <w:lang w:val="fr-BE"/>
        </w:rPr>
        <w:t>e</w:t>
      </w:r>
      <w:r w:rsidRPr="005F0D45">
        <w:rPr>
          <w:lang w:val="fr-BE"/>
        </w:rPr>
        <w:t xml:space="preserve"> trimestre 2025].</w:t>
      </w:r>
    </w:p>
  </w:footnote>
  <w:footnote w:id="14">
    <w:p w:rsidR="007E153F" w:rsidRPr="005F0D45" w:rsidRDefault="007E153F">
      <w:pPr>
        <w:pStyle w:val="FootnoteText"/>
        <w:rPr>
          <w:lang w:val="fr-BE"/>
        </w:rPr>
      </w:pPr>
      <w:r>
        <w:rPr>
          <w:rStyle w:val="FootnoteReference"/>
        </w:rPr>
        <w:footnoteRef/>
      </w:r>
      <w:r w:rsidRPr="005F0D45">
        <w:rPr>
          <w:lang w:val="fr-BE"/>
        </w:rPr>
        <w:tab/>
      </w:r>
      <w:hyperlink r:id="rId14" w:history="1">
        <w:r w:rsidRPr="005F0D45">
          <w:rPr>
            <w:rStyle w:val="Hyperlink"/>
            <w:lang w:val="fr-BE"/>
          </w:rPr>
          <w:t>IGE-INE, EPA Q4 2025</w:t>
        </w:r>
      </w:hyperlink>
      <w:r w:rsidRPr="005F0D45">
        <w:rPr>
          <w:lang w:val="fr-BE"/>
        </w:rPr>
        <w:t xml:space="preserve"> (Enquête sur la population active, 4</w:t>
      </w:r>
      <w:r w:rsidRPr="005F0D45">
        <w:rPr>
          <w:vertAlign w:val="superscript"/>
          <w:lang w:val="fr-BE"/>
        </w:rPr>
        <w:t>e</w:t>
      </w:r>
      <w:r w:rsidRPr="005F0D45">
        <w:rPr>
          <w:lang w:val="fr-BE"/>
        </w:rPr>
        <w:t xml:space="preserve"> trimestre 2025).</w:t>
      </w:r>
    </w:p>
  </w:footnote>
  <w:footnote w:id="15">
    <w:p w:rsidR="007E153F" w:rsidRPr="005F0D45" w:rsidRDefault="007E153F">
      <w:pPr>
        <w:pStyle w:val="FootnoteText"/>
        <w:rPr>
          <w:lang w:val="fr-BE"/>
        </w:rPr>
      </w:pPr>
      <w:r>
        <w:rPr>
          <w:rStyle w:val="FootnoteReference"/>
        </w:rPr>
        <w:footnoteRef/>
      </w:r>
      <w:r w:rsidRPr="005F0D45">
        <w:rPr>
          <w:lang w:val="fr-BE"/>
        </w:rPr>
        <w:tab/>
      </w:r>
      <w:hyperlink r:id="rId15" w:history="1">
        <w:r w:rsidRPr="005F0D45">
          <w:rPr>
            <w:rStyle w:val="Hyperlink"/>
            <w:lang w:val="fr-BE"/>
          </w:rPr>
          <w:t>Eurostat</w:t>
        </w:r>
      </w:hyperlink>
      <w:r w:rsidRPr="005F0D45">
        <w:rPr>
          <w:lang w:val="fr-BE"/>
        </w:rPr>
        <w:t>.</w:t>
      </w:r>
    </w:p>
  </w:footnote>
  <w:footnote w:id="16">
    <w:p w:rsidR="004032AD" w:rsidRPr="005F0D45" w:rsidRDefault="004032AD">
      <w:pPr>
        <w:pStyle w:val="FootnoteText"/>
        <w:rPr>
          <w:lang w:val="fr-BE"/>
        </w:rPr>
      </w:pPr>
      <w:r>
        <w:rPr>
          <w:rStyle w:val="FootnoteReference"/>
        </w:rPr>
        <w:footnoteRef/>
      </w:r>
      <w:r w:rsidRPr="005F0D45">
        <w:rPr>
          <w:lang w:val="fr-BE"/>
        </w:rPr>
        <w:tab/>
        <w:t>Akwel Vigo Spain et Troqueles y Moldes de Galicia.</w:t>
      </w:r>
    </w:p>
  </w:footnote>
  <w:footnote w:id="17">
    <w:p w:rsidR="00336E9F" w:rsidRPr="005F0D45" w:rsidRDefault="00336E9F">
      <w:pPr>
        <w:pStyle w:val="FootnoteText"/>
        <w:rPr>
          <w:lang w:val="fr-BE"/>
        </w:rPr>
      </w:pPr>
      <w:r>
        <w:rPr>
          <w:rStyle w:val="FootnoteReference"/>
        </w:rPr>
        <w:footnoteRef/>
      </w:r>
      <w:r w:rsidRPr="005F0D45">
        <w:rPr>
          <w:lang w:val="fr-BE"/>
        </w:rPr>
        <w:tab/>
        <w:t>Fédération de l’industrie des Commissions ouvrières de Galice (</w:t>
      </w:r>
      <w:r w:rsidRPr="005F0D45">
        <w:rPr>
          <w:i/>
          <w:lang w:val="fr-BE"/>
        </w:rPr>
        <w:t>Federación de industria de Comisiones Obreras de Galicia</w:t>
      </w:r>
      <w:r w:rsidRPr="005F0D45">
        <w:rPr>
          <w:lang w:val="fr-BE"/>
        </w:rPr>
        <w:t>).</w:t>
      </w:r>
    </w:p>
  </w:footnote>
  <w:footnote w:id="18">
    <w:p w:rsidR="00DB077F" w:rsidRPr="005F0D45" w:rsidRDefault="00DB077F">
      <w:pPr>
        <w:pStyle w:val="FootnoteText"/>
        <w:rPr>
          <w:lang w:val="fr-BE"/>
        </w:rPr>
      </w:pPr>
      <w:r>
        <w:rPr>
          <w:rStyle w:val="FootnoteReference"/>
        </w:rPr>
        <w:footnoteRef/>
      </w:r>
      <w:r w:rsidRPr="005F0D45">
        <w:rPr>
          <w:lang w:val="fr-BE"/>
        </w:rPr>
        <w:tab/>
        <w:t>Fédération des travailleurs de l’industrie, de la métallurgie, de la construction et des secteurs connexes de l’UGT (</w:t>
      </w:r>
      <w:r w:rsidRPr="005F0D45">
        <w:rPr>
          <w:i/>
          <w:lang w:val="fr-BE"/>
        </w:rPr>
        <w:t>Federación de Industria, Metal, Construcción y Afines de UGT</w:t>
      </w:r>
      <w:r w:rsidRPr="005F0D45">
        <w:rPr>
          <w:lang w:val="fr-BE"/>
        </w:rPr>
        <w:t xml:space="preserve">). </w:t>
      </w:r>
    </w:p>
  </w:footnote>
  <w:footnote w:id="19">
    <w:p w:rsidR="009A5688" w:rsidRPr="005F0D45" w:rsidRDefault="009A5688">
      <w:pPr>
        <w:pStyle w:val="FootnoteText"/>
        <w:rPr>
          <w:lang w:val="fr-BE"/>
        </w:rPr>
      </w:pPr>
      <w:r>
        <w:rPr>
          <w:rStyle w:val="FootnoteReference"/>
        </w:rPr>
        <w:footnoteRef/>
      </w:r>
      <w:r w:rsidRPr="005F0D45">
        <w:rPr>
          <w:lang w:val="fr-BE"/>
        </w:rPr>
        <w:tab/>
        <w:t>Confédération intersyndicale galicienne (</w:t>
      </w:r>
      <w:r w:rsidRPr="005F0D45">
        <w:rPr>
          <w:i/>
          <w:lang w:val="fr-BE"/>
        </w:rPr>
        <w:t>Confederación Intersindical de Galicia</w:t>
      </w:r>
      <w:r w:rsidRPr="005F0D45">
        <w:rPr>
          <w:lang w:val="fr-BE"/>
        </w:rPr>
        <w:t>).</w:t>
      </w:r>
    </w:p>
  </w:footnote>
  <w:footnote w:id="20">
    <w:p w:rsidR="001B747A" w:rsidRPr="005F0D45" w:rsidRDefault="001B747A">
      <w:pPr>
        <w:pStyle w:val="FootnoteText"/>
        <w:rPr>
          <w:lang w:val="fr-BE"/>
        </w:rPr>
      </w:pPr>
      <w:r>
        <w:rPr>
          <w:rStyle w:val="FootnoteReference"/>
        </w:rPr>
        <w:footnoteRef/>
      </w:r>
      <w:r w:rsidRPr="005F0D45">
        <w:rPr>
          <w:lang w:val="fr-BE"/>
        </w:rPr>
        <w:tab/>
        <w:t>Pôle d’entreprises du secteur automobile de Galice (</w:t>
      </w:r>
      <w:r w:rsidRPr="005F0D45">
        <w:rPr>
          <w:i/>
          <w:lang w:val="fr-BE"/>
        </w:rPr>
        <w:t>Clúster de Empresas de Automoción de Galicia-CEAGA</w:t>
      </w:r>
      <w:r w:rsidRPr="005F0D45">
        <w:rPr>
          <w:lang w:val="fr-BE"/>
        </w:rPr>
        <w:t>).</w:t>
      </w:r>
    </w:p>
  </w:footnote>
  <w:footnote w:id="21">
    <w:p w:rsidR="004924A8" w:rsidRPr="005F0D45" w:rsidRDefault="004924A8">
      <w:pPr>
        <w:pStyle w:val="FootnoteText"/>
        <w:rPr>
          <w:lang w:val="fr-BE"/>
        </w:rPr>
      </w:pPr>
      <w:r>
        <w:rPr>
          <w:rStyle w:val="FootnoteReference"/>
        </w:rPr>
        <w:footnoteRef/>
      </w:r>
      <w:r w:rsidRPr="005F0D45">
        <w:rPr>
          <w:lang w:val="fr-BE"/>
        </w:rPr>
        <w:tab/>
        <w:t>Réunions organisées par le ministère régional de l’emploi, du commerce et de l’émigration.</w:t>
      </w:r>
    </w:p>
  </w:footnote>
  <w:footnote w:id="22">
    <w:p w:rsidR="001A62D7" w:rsidRPr="005F0D45" w:rsidRDefault="001A62D7" w:rsidP="001A62D7">
      <w:pPr>
        <w:pStyle w:val="FootnoteText"/>
        <w:rPr>
          <w:lang w:val="fr-BE"/>
        </w:rPr>
      </w:pPr>
      <w:r>
        <w:rPr>
          <w:rStyle w:val="FootnoteReference"/>
        </w:rPr>
        <w:footnoteRef/>
      </w:r>
      <w:r w:rsidRPr="005F0D45">
        <w:rPr>
          <w:lang w:val="fr-BE"/>
        </w:rPr>
        <w:tab/>
        <w:t>CITE 0-2.</w:t>
      </w:r>
    </w:p>
  </w:footnote>
  <w:footnote w:id="23">
    <w:p w:rsidR="001A62D7" w:rsidRPr="005F0D45" w:rsidRDefault="001A62D7" w:rsidP="001A62D7">
      <w:pPr>
        <w:pStyle w:val="FootnoteText"/>
        <w:rPr>
          <w:lang w:val="fr-BE"/>
        </w:rPr>
      </w:pPr>
      <w:r>
        <w:rPr>
          <w:rStyle w:val="FootnoteReference"/>
        </w:rPr>
        <w:footnoteRef/>
      </w:r>
      <w:r w:rsidRPr="005F0D45">
        <w:rPr>
          <w:lang w:val="fr-BE"/>
        </w:rPr>
        <w:tab/>
        <w:t>CITE 3.</w:t>
      </w:r>
    </w:p>
  </w:footnote>
  <w:footnote w:id="24">
    <w:p w:rsidR="001A62D7" w:rsidRPr="005F0D45" w:rsidRDefault="001A62D7" w:rsidP="001A62D7">
      <w:pPr>
        <w:pStyle w:val="FootnoteText"/>
        <w:rPr>
          <w:lang w:val="fr-BE"/>
        </w:rPr>
      </w:pPr>
      <w:r>
        <w:rPr>
          <w:rStyle w:val="FootnoteReference"/>
        </w:rPr>
        <w:footnoteRef/>
      </w:r>
      <w:r w:rsidRPr="005F0D45">
        <w:rPr>
          <w:lang w:val="fr-BE"/>
        </w:rPr>
        <w:tab/>
        <w:t>CITE 4.</w:t>
      </w:r>
    </w:p>
  </w:footnote>
  <w:footnote w:id="25">
    <w:p w:rsidR="001A62D7" w:rsidRPr="005F0D45" w:rsidRDefault="001A62D7" w:rsidP="001A62D7">
      <w:pPr>
        <w:pStyle w:val="FootnoteText"/>
        <w:rPr>
          <w:lang w:val="fr-BE"/>
        </w:rPr>
      </w:pPr>
      <w:r>
        <w:rPr>
          <w:rStyle w:val="FootnoteReference"/>
        </w:rPr>
        <w:footnoteRef/>
      </w:r>
      <w:r w:rsidRPr="005F0D45">
        <w:rPr>
          <w:lang w:val="fr-BE"/>
        </w:rPr>
        <w:tab/>
        <w:t>CITE 5-8.</w:t>
      </w:r>
    </w:p>
  </w:footnote>
  <w:footnote w:id="26">
    <w:p w:rsidR="00C239B8" w:rsidRPr="005F0D45" w:rsidRDefault="00C239B8">
      <w:pPr>
        <w:pStyle w:val="FootnoteText"/>
        <w:rPr>
          <w:lang w:val="fr-BE"/>
        </w:rPr>
      </w:pPr>
      <w:r>
        <w:rPr>
          <w:rStyle w:val="FootnoteReference"/>
        </w:rPr>
        <w:footnoteRef/>
      </w:r>
      <w:r w:rsidRPr="005F0D45">
        <w:rPr>
          <w:lang w:val="fr-BE"/>
        </w:rPr>
        <w:tab/>
        <w:t xml:space="preserve">Bureaux de l’emploi de la Consejería de Empleo, Comercio e Inmigración/Consellería de Emprego, Comercio e Emigración. </w:t>
      </w:r>
    </w:p>
  </w:footnote>
  <w:footnote w:id="27">
    <w:p w:rsidR="004F5368" w:rsidRPr="005F0D45" w:rsidRDefault="004F5368" w:rsidP="004F5368">
      <w:pPr>
        <w:pStyle w:val="FootnoteText"/>
        <w:rPr>
          <w:lang w:val="fr-BE"/>
        </w:rPr>
      </w:pPr>
      <w:r>
        <w:rPr>
          <w:rStyle w:val="FootnoteReference"/>
        </w:rPr>
        <w:footnoteRef/>
      </w:r>
      <w:r w:rsidRPr="005F0D45">
        <w:rPr>
          <w:lang w:val="fr-BE"/>
        </w:rPr>
        <w:tab/>
        <w:t xml:space="preserve">Utilisation d’outils collaboratifs, analyse des données appliquée aux environnements industriels, cybersécurité et introduction aux technologies émergentes, telles que l’intelligence artificielle dans les procédés de production. </w:t>
      </w:r>
    </w:p>
  </w:footnote>
  <w:footnote w:id="28">
    <w:p w:rsidR="00EB2471" w:rsidRPr="005F0D45" w:rsidRDefault="00EB2471">
      <w:pPr>
        <w:pStyle w:val="FootnoteText"/>
        <w:rPr>
          <w:lang w:val="fr-BE"/>
        </w:rPr>
      </w:pPr>
      <w:r>
        <w:rPr>
          <w:rStyle w:val="FootnoteReference"/>
        </w:rPr>
        <w:footnoteRef/>
      </w:r>
      <w:r w:rsidRPr="005F0D45">
        <w:rPr>
          <w:lang w:val="fr-BE"/>
        </w:rPr>
        <w:tab/>
        <w:t xml:space="preserve">Systèmes d’exécution de la fabrication. </w:t>
      </w:r>
    </w:p>
  </w:footnote>
  <w:footnote w:id="29">
    <w:p w:rsidR="00EB2471" w:rsidRPr="005F0D45" w:rsidRDefault="00EB2471">
      <w:pPr>
        <w:pStyle w:val="FootnoteText"/>
        <w:rPr>
          <w:lang w:val="fr-BE"/>
        </w:rPr>
      </w:pPr>
      <w:r>
        <w:rPr>
          <w:rStyle w:val="FootnoteReference"/>
        </w:rPr>
        <w:footnoteRef/>
      </w:r>
      <w:r w:rsidRPr="005F0D45">
        <w:rPr>
          <w:lang w:val="fr-BE"/>
        </w:rPr>
        <w:tab/>
        <w:t>Systèmes de contrôle et d’acquisition de données.</w:t>
      </w:r>
    </w:p>
  </w:footnote>
  <w:footnote w:id="30">
    <w:p w:rsidR="00EC4DA7" w:rsidRPr="005F0D45" w:rsidRDefault="00EC4DA7">
      <w:pPr>
        <w:pStyle w:val="FootnoteText"/>
        <w:rPr>
          <w:lang w:val="fr-BE"/>
        </w:rPr>
      </w:pPr>
      <w:r>
        <w:rPr>
          <w:rStyle w:val="FootnoteReference"/>
        </w:rPr>
        <w:footnoteRef/>
      </w:r>
      <w:r w:rsidRPr="005F0D45">
        <w:rPr>
          <w:lang w:val="fr-BE"/>
        </w:rPr>
        <w:tab/>
        <w:t>Automatisation robotisée des processus.</w:t>
      </w:r>
    </w:p>
  </w:footnote>
  <w:footnote w:id="31">
    <w:p w:rsidR="009B4078" w:rsidRPr="005F0D45" w:rsidRDefault="009B4078">
      <w:pPr>
        <w:pStyle w:val="FootnoteText"/>
        <w:rPr>
          <w:lang w:val="fr-BE"/>
        </w:rPr>
      </w:pPr>
      <w:r>
        <w:rPr>
          <w:rStyle w:val="FootnoteReference"/>
        </w:rPr>
        <w:footnoteRef/>
      </w:r>
      <w:r w:rsidRPr="005F0D45">
        <w:rPr>
          <w:lang w:val="fr-BE"/>
        </w:rPr>
        <w:tab/>
        <w:t>Contrôleurs logiques programmables.</w:t>
      </w:r>
    </w:p>
  </w:footnote>
  <w:footnote w:id="32">
    <w:p w:rsidR="001B498D" w:rsidRPr="005F0D45" w:rsidRDefault="001B498D">
      <w:pPr>
        <w:pStyle w:val="FootnoteText"/>
        <w:rPr>
          <w:lang w:val="fr-BE"/>
        </w:rPr>
      </w:pPr>
      <w:r>
        <w:rPr>
          <w:rStyle w:val="FootnoteReference"/>
        </w:rPr>
        <w:footnoteRef/>
      </w:r>
      <w:r w:rsidRPr="005F0D45">
        <w:rPr>
          <w:lang w:val="fr-BE"/>
        </w:rPr>
        <w:tab/>
      </w:r>
      <w:hyperlink r:id="rId16" w:history="1">
        <w:r w:rsidRPr="005F0D45">
          <w:rPr>
            <w:rStyle w:val="Hyperlink"/>
            <w:lang w:val="fr-BE"/>
          </w:rPr>
          <w:t>Plan directeur du secteur automobile de Galice 2025-2027</w:t>
        </w:r>
      </w:hyperlink>
      <w:r w:rsidRPr="005F0D45">
        <w:rPr>
          <w:lang w:val="fr-BE"/>
        </w:rPr>
        <w:t>.</w:t>
      </w:r>
    </w:p>
  </w:footnote>
  <w:footnote w:id="33">
    <w:p w:rsidR="00EC1FFE" w:rsidRPr="005F0D45" w:rsidRDefault="00EC1FFE">
      <w:pPr>
        <w:pStyle w:val="FootnoteText"/>
        <w:rPr>
          <w:lang w:val="fr-BE"/>
        </w:rPr>
      </w:pPr>
      <w:r>
        <w:rPr>
          <w:rStyle w:val="FootnoteReference"/>
        </w:rPr>
        <w:footnoteRef/>
      </w:r>
      <w:r w:rsidRPr="005F0D45">
        <w:rPr>
          <w:lang w:val="fr-BE"/>
        </w:rPr>
        <w:tab/>
        <w:t xml:space="preserve">L’aéronautique est un secteur industriel régional en plein essor, caractérisé par une forte demande de profils techniques qualifiés et des compétences clés communes avec le secteur automobile. </w:t>
      </w:r>
    </w:p>
  </w:footnote>
  <w:footnote w:id="34">
    <w:p w:rsidR="00EC1FFE" w:rsidRPr="005F0D45" w:rsidRDefault="00EC1FFE">
      <w:pPr>
        <w:pStyle w:val="FootnoteText"/>
        <w:rPr>
          <w:lang w:val="fr-BE"/>
        </w:rPr>
      </w:pPr>
      <w:r>
        <w:rPr>
          <w:rStyle w:val="FootnoteReference"/>
        </w:rPr>
        <w:footnoteRef/>
      </w:r>
      <w:r w:rsidRPr="005F0D45">
        <w:rPr>
          <w:lang w:val="fr-BE"/>
        </w:rPr>
        <w:tab/>
        <w:t>Les énergies renouvelables offrent un fort potentiel de transfert des compétences issues du secteur automobile, parallèlement à une demande croissante dans les domaines de l’énergie éolienne, photovoltaïque et en mer.</w:t>
      </w:r>
    </w:p>
  </w:footnote>
  <w:footnote w:id="35">
    <w:p w:rsidR="001933D0" w:rsidRPr="005F0D45" w:rsidRDefault="001933D0">
      <w:pPr>
        <w:pStyle w:val="FootnoteText"/>
        <w:rPr>
          <w:lang w:val="fr-BE"/>
        </w:rPr>
      </w:pPr>
      <w:r>
        <w:rPr>
          <w:rStyle w:val="FootnoteReference"/>
        </w:rPr>
        <w:footnoteRef/>
      </w:r>
      <w:r w:rsidRPr="005F0D45">
        <w:rPr>
          <w:lang w:val="fr-BE"/>
        </w:rPr>
        <w:tab/>
        <w:t>Le secteur des transports et de l’entreposage se caractérise par une forte création d’emplois, de faibles exigences en matière de formation à l’entrée et un fort potentiel d’employabilité immédiate.</w:t>
      </w:r>
    </w:p>
  </w:footnote>
  <w:footnote w:id="36">
    <w:p w:rsidR="007C0AB0" w:rsidRPr="005F0D45" w:rsidRDefault="007C0AB0">
      <w:pPr>
        <w:pStyle w:val="FootnoteText"/>
        <w:rPr>
          <w:lang w:val="fr-BE"/>
        </w:rPr>
      </w:pPr>
      <w:r>
        <w:rPr>
          <w:rStyle w:val="FootnoteReference"/>
        </w:rPr>
        <w:footnoteRef/>
      </w:r>
      <w:r w:rsidRPr="005F0D45">
        <w:rPr>
          <w:lang w:val="fr-BE"/>
        </w:rPr>
        <w:tab/>
        <w:t>Les infrastructures et la maintenance industrielle présentent une forte capacité d’absorption des profils industriels.</w:t>
      </w:r>
    </w:p>
  </w:footnote>
  <w:footnote w:id="37">
    <w:p w:rsidR="000E7D45" w:rsidRPr="005F0D45" w:rsidRDefault="000E7D45">
      <w:pPr>
        <w:pStyle w:val="FootnoteText"/>
        <w:rPr>
          <w:lang w:val="fr-BE"/>
        </w:rPr>
      </w:pPr>
      <w:r>
        <w:rPr>
          <w:rStyle w:val="FootnoteReference"/>
        </w:rPr>
        <w:footnoteRef/>
      </w:r>
      <w:r w:rsidRPr="005F0D45">
        <w:rPr>
          <w:lang w:val="fr-BE"/>
        </w:rPr>
        <w:tab/>
        <w:t>Ministère de l’emploi, du commerce et de l’émigration du gouvernement de Galice (</w:t>
      </w:r>
      <w:r w:rsidRPr="005F0D45">
        <w:rPr>
          <w:i/>
          <w:lang w:val="fr-BE"/>
        </w:rPr>
        <w:t>Consejería de Empleo, Comercio e Inmigración/Consellería de Emprego, Comercio e Emigración de la Xunta de Galicia</w:t>
      </w:r>
      <w:r w:rsidRPr="005F0D45">
        <w:rPr>
          <w:lang w:val="fr-BE"/>
        </w:rPr>
        <w:t>).</w:t>
      </w:r>
    </w:p>
  </w:footnote>
  <w:footnote w:id="38">
    <w:p w:rsidR="001A62D7" w:rsidRPr="005F0D45" w:rsidRDefault="001A62D7" w:rsidP="001A62D7">
      <w:pPr>
        <w:pStyle w:val="FootnoteText"/>
        <w:rPr>
          <w:lang w:val="fr-BE"/>
        </w:rPr>
      </w:pPr>
      <w:r>
        <w:rPr>
          <w:rStyle w:val="FootnoteReference"/>
        </w:rPr>
        <w:footnoteRef/>
      </w:r>
      <w:r w:rsidRPr="005F0D45">
        <w:rPr>
          <w:lang w:val="fr-BE"/>
        </w:rPr>
        <w:tab/>
        <w:t>Afin d’éviter les décimales, les coûts estimés par travailleur ont été arrondis. Cela n’a néanmoins aucune incidence sur le coût total de chaque mesure, qui reste identique à celui indiqué dans la demande présentée par l’Espagne.</w:t>
      </w:r>
    </w:p>
  </w:footnote>
  <w:footnote w:id="39">
    <w:p w:rsidR="001A62D7" w:rsidRPr="005F0D45" w:rsidRDefault="001A62D7" w:rsidP="001A62D7">
      <w:pPr>
        <w:pStyle w:val="FootnoteText"/>
        <w:rPr>
          <w:lang w:val="fr-BE"/>
        </w:rPr>
      </w:pPr>
      <w:r>
        <w:rPr>
          <w:rStyle w:val="FootnoteReference"/>
        </w:rPr>
        <w:footnoteRef/>
      </w:r>
      <w:r w:rsidRPr="005F0D45">
        <w:rPr>
          <w:lang w:val="fr-BE"/>
        </w:rPr>
        <w:tab/>
        <w:t>Le total diffère de la somme des rubriques en raison de l’arrondi.</w:t>
      </w:r>
    </w:p>
  </w:footnote>
  <w:footnote w:id="40">
    <w:p w:rsidR="0042221A" w:rsidRPr="005F0D45" w:rsidRDefault="0042221A">
      <w:pPr>
        <w:pStyle w:val="FootnoteText"/>
        <w:rPr>
          <w:lang w:val="fr-BE"/>
        </w:rPr>
      </w:pPr>
      <w:r>
        <w:rPr>
          <w:rStyle w:val="FootnoteReference"/>
        </w:rPr>
        <w:footnoteRef/>
      </w:r>
      <w:r w:rsidRPr="005F0D45">
        <w:rPr>
          <w:lang w:val="fr-BE"/>
        </w:rPr>
        <w:tab/>
        <w:t>Les coûts liés aux Activités préparatoires seront couverts exclusivement par un financement national.</w:t>
      </w:r>
    </w:p>
  </w:footnote>
  <w:footnote w:id="41">
    <w:p w:rsidR="0042221A" w:rsidRPr="005F0D45" w:rsidRDefault="0042221A">
      <w:pPr>
        <w:pStyle w:val="FootnoteText"/>
        <w:rPr>
          <w:lang w:val="fr-BE"/>
        </w:rPr>
      </w:pPr>
      <w:r>
        <w:rPr>
          <w:rStyle w:val="FootnoteReference"/>
        </w:rPr>
        <w:footnoteRef/>
      </w:r>
      <w:r w:rsidRPr="005F0D45">
        <w:rPr>
          <w:lang w:val="fr-BE"/>
        </w:rPr>
        <w:tab/>
        <w:t>Les coûts liés au contrôle et à l’établissement de rapports seront couverts exclusivement par un financement national.</w:t>
      </w:r>
    </w:p>
  </w:footnote>
  <w:footnote w:id="42">
    <w:p w:rsidR="00F904EC" w:rsidRPr="005F0D45" w:rsidRDefault="00F904EC">
      <w:pPr>
        <w:pStyle w:val="FootnoteText"/>
        <w:rPr>
          <w:lang w:val="fr-BE"/>
        </w:rPr>
      </w:pPr>
      <w:r>
        <w:rPr>
          <w:rStyle w:val="FootnoteReference"/>
        </w:rPr>
        <w:footnoteRef/>
      </w:r>
      <w:r w:rsidRPr="005F0D45">
        <w:rPr>
          <w:lang w:val="fr-BE"/>
        </w:rPr>
        <w:tab/>
      </w:r>
      <w:r w:rsidRPr="005F0D45">
        <w:rPr>
          <w:i/>
          <w:lang w:val="fr-BE"/>
        </w:rPr>
        <w:t>Ministère de l’emploi, du commerce et de l’émigration de la Xunta de Galicia (Consejería de Empleo, Comercio e Inmigración/Consellería de Emprego, Comercio e Emigración de la Xunta de Galicia)</w:t>
      </w:r>
      <w:r w:rsidRPr="005F0D45">
        <w:rPr>
          <w:lang w:val="fr-BE"/>
        </w:rPr>
        <w:t>.</w:t>
      </w:r>
    </w:p>
  </w:footnote>
  <w:footnote w:id="43">
    <w:p w:rsidR="001A62D7" w:rsidRPr="005F0D45" w:rsidRDefault="001A62D7" w:rsidP="001A62D7">
      <w:pPr>
        <w:pStyle w:val="FootnoteText"/>
        <w:rPr>
          <w:lang w:val="fr-BE"/>
        </w:rPr>
      </w:pPr>
      <w:r>
        <w:rPr>
          <w:rStyle w:val="FootnoteReference"/>
        </w:rPr>
        <w:footnoteRef/>
      </w:r>
      <w:r w:rsidRPr="005F0D45">
        <w:rPr>
          <w:lang w:val="fr-BE"/>
        </w:rPr>
        <w:tab/>
        <w:t>JO L 433 I du 22.12.2020, p. 11, ELI: http://data.europa.eu/eli/reg/2020/2093/oj.</w:t>
      </w:r>
    </w:p>
  </w:footnote>
  <w:footnote w:id="44">
    <w:p w:rsidR="001A62D7" w:rsidRPr="005F0D45" w:rsidRDefault="001A62D7" w:rsidP="001A62D7">
      <w:pPr>
        <w:pStyle w:val="FootnoteText"/>
        <w:rPr>
          <w:lang w:val="fr-BE"/>
        </w:rPr>
      </w:pPr>
      <w:r>
        <w:rPr>
          <w:rStyle w:val="FootnoteReference"/>
        </w:rPr>
        <w:footnoteRef/>
      </w:r>
      <w:r w:rsidRPr="005F0D45">
        <w:rPr>
          <w:lang w:val="fr-BE"/>
        </w:rPr>
        <w:tab/>
        <w:t>JO L 433 I du 22.12.2020, p. 28, ELI: http://data.europa.eu/eli/agree_interinstit/2020/1222/oj.</w:t>
      </w:r>
    </w:p>
  </w:footnote>
  <w:footnote w:id="45">
    <w:p w:rsidR="001A62D7" w:rsidRPr="005F0D45" w:rsidRDefault="001A62D7" w:rsidP="001A62D7">
      <w:pPr>
        <w:pStyle w:val="FootnoteText"/>
        <w:rPr>
          <w:lang w:val="fr-BE"/>
        </w:rPr>
      </w:pPr>
      <w:r>
        <w:rPr>
          <w:rStyle w:val="FootnoteReference"/>
        </w:rPr>
        <w:footnoteRef/>
      </w:r>
      <w:r w:rsidRPr="005F0D45">
        <w:rPr>
          <w:lang w:val="fr-BE"/>
        </w:rPr>
        <w:tab/>
        <w:t>Règlement (UE, Euratom) 2024/2509 du Parlement européen et du Conseil du 23 septembre 2024 relatif aux règles financières applicables au budget général de l’Union (refonte) (JO L, 2024/2509, 26.9.2024, ELI: http://data.europa.eu/eli/reg/2024/2509/oj).</w:t>
      </w:r>
    </w:p>
  </w:footnote>
  <w:footnote w:id="46">
    <w:p w:rsidR="001A62D7" w:rsidRPr="005F0D45" w:rsidRDefault="001A62D7" w:rsidP="001A62D7">
      <w:pPr>
        <w:pStyle w:val="FootnoteText"/>
        <w:rPr>
          <w:lang w:val="fr-BE"/>
        </w:rPr>
      </w:pPr>
      <w:r>
        <w:rPr>
          <w:rStyle w:val="FootnoteReference"/>
        </w:rPr>
        <w:footnoteRef/>
      </w:r>
      <w:r w:rsidRPr="005F0D45">
        <w:rPr>
          <w:lang w:val="fr-BE"/>
        </w:rPr>
        <w:tab/>
        <w:t>JO L 153 du 3.5.2021, p. 48,</w:t>
      </w:r>
      <w:r w:rsidRPr="005F0D45">
        <w:rPr>
          <w:sz w:val="24"/>
          <w:lang w:val="fr-BE"/>
        </w:rPr>
        <w:t xml:space="preserve"> </w:t>
      </w:r>
      <w:r w:rsidRPr="005F0D45">
        <w:rPr>
          <w:lang w:val="fr-BE"/>
        </w:rPr>
        <w:t>ELI: http://data.europa.eu/eli/reg/2021/691/oj.</w:t>
      </w:r>
    </w:p>
  </w:footnote>
  <w:footnote w:id="47">
    <w:p w:rsidR="001A62D7" w:rsidRPr="005F0D45" w:rsidRDefault="001A62D7" w:rsidP="001A62D7">
      <w:pPr>
        <w:pStyle w:val="FootnoteText"/>
        <w:rPr>
          <w:lang w:val="fr-BE"/>
        </w:rPr>
      </w:pPr>
      <w:r>
        <w:rPr>
          <w:rStyle w:val="FootnoteReference"/>
        </w:rPr>
        <w:footnoteRef/>
      </w:r>
      <w:r w:rsidRPr="005F0D45">
        <w:rPr>
          <w:lang w:val="fr-BE"/>
        </w:rPr>
        <w:tab/>
        <w:t>JO L 433 I du 22.12.2020, p. 28, ELI: http://data.europa.eu/eli/agree_interinstit/2020/1222/oj.</w:t>
      </w:r>
    </w:p>
  </w:footnote>
  <w:footnote w:id="48">
    <w:p w:rsidR="001A62D7" w:rsidRPr="005F0D45" w:rsidRDefault="001A62D7" w:rsidP="001A62D7">
      <w:pPr>
        <w:pStyle w:val="FootnoteText"/>
        <w:rPr>
          <w:lang w:val="fr-BE"/>
        </w:rPr>
      </w:pPr>
      <w:r>
        <w:rPr>
          <w:rStyle w:val="FootnoteReference"/>
        </w:rPr>
        <w:footnoteRef/>
      </w:r>
      <w:r w:rsidRPr="005F0D45">
        <w:rPr>
          <w:lang w:val="fr-BE"/>
        </w:rPr>
        <w:tab/>
        <w:t>Règlement (UE, Euratom) 2020/2093 du Conseil du 17 décembre 2020 fixant le cadre financier pluriannuel pour les années 2021 à 2027 (JO L 433 I du 22.12.2020, p. 11, ELI: http://data.europa.eu/eli/reg/2020/2093/oj).</w:t>
      </w:r>
    </w:p>
  </w:footnote>
  <w:footnote w:id="49">
    <w:p w:rsidR="001A62D7" w:rsidRPr="005F0D45" w:rsidRDefault="001A62D7" w:rsidP="001A62D7">
      <w:pPr>
        <w:pStyle w:val="FootnoteText"/>
        <w:rPr>
          <w:lang w:val="fr-BE"/>
        </w:rPr>
      </w:pPr>
      <w:r>
        <w:rPr>
          <w:rStyle w:val="FootnoteReference"/>
        </w:rPr>
        <w:footnoteRef/>
      </w:r>
      <w:r w:rsidRPr="005F0D45">
        <w:rPr>
          <w:lang w:val="fr-BE"/>
        </w:rPr>
        <w:tab/>
        <w:t>Règlement (CE) nº 1893/2006 du Parlement européen et du Conseil du 20 décembre 2006 établissant la nomenclature statistique des activités économiques NACE Rév. 2 et modifiant le règlement (CEE) nº 3037/90 du Conseil ainsi que certains règlements (CE) relatifs à des domaines statistiques spécifiques (JO L 393 du 30.12.2006, p. 1).</w:t>
      </w:r>
    </w:p>
  </w:footnote>
  <w:footnote w:id="50">
    <w:p w:rsidR="001A62D7" w:rsidRPr="005F0D45" w:rsidRDefault="001A62D7" w:rsidP="001A62D7">
      <w:pPr>
        <w:pStyle w:val="FootnoteText"/>
        <w:rPr>
          <w:color w:val="FF0000"/>
          <w:lang w:val="fr-BE"/>
        </w:rPr>
      </w:pPr>
      <w:r>
        <w:rPr>
          <w:rStyle w:val="FootnoteReference"/>
        </w:rPr>
        <w:footnoteRef/>
      </w:r>
      <w:r w:rsidRPr="005F0D45">
        <w:rPr>
          <w:lang w:val="fr-BE"/>
        </w:rPr>
        <w:tab/>
        <w:t>Règlement délégué (UE) 2019/1755 de la Commission du 8 août 2019 modifiant les annexes du règlement (CE) nº 1059/2003 du Parlement européen et du Conseil relatif à l’établissement d’une nomenclature commune des unités territoriales statistiques (NUTS) (JO L 270 du 24.10.2019, p. 1).</w:t>
      </w:r>
    </w:p>
  </w:footnote>
  <w:footnote w:id="51">
    <w:p w:rsidR="001A62D7" w:rsidRPr="005F0D45" w:rsidRDefault="001A62D7" w:rsidP="001A62D7">
      <w:pPr>
        <w:pStyle w:val="FootnoteText"/>
        <w:rPr>
          <w:lang w:val="fr-BE"/>
        </w:rPr>
      </w:pPr>
      <w:r>
        <w:rPr>
          <w:rStyle w:val="FootnoteReference"/>
        </w:rPr>
        <w:footnoteRef/>
      </w:r>
      <w:r w:rsidRPr="005F0D45">
        <w:rPr>
          <w:lang w:val="fr-BE"/>
        </w:rPr>
        <w:tab/>
        <w:t>COM(2026) 170.</w:t>
      </w:r>
    </w:p>
  </w:footnote>
  <w:footnote w:id="52">
    <w:p w:rsidR="00281AE4" w:rsidRPr="005F0D45" w:rsidRDefault="00281AE4">
      <w:pPr>
        <w:pStyle w:val="FootnoteText"/>
        <w:rPr>
          <w:lang w:val="fr-BE"/>
        </w:rPr>
      </w:pPr>
      <w:r w:rsidRPr="005F0D45">
        <w:rPr>
          <w:rStyle w:val="FootnoteReference"/>
          <w:lang w:val="fr-BE"/>
        </w:rPr>
        <w:t>*</w:t>
      </w:r>
      <w:r w:rsidRPr="005F0D45">
        <w:rPr>
          <w:lang w:val="fr-BE"/>
        </w:rPr>
        <w:tab/>
      </w:r>
      <w:r w:rsidRPr="005F0D45">
        <w:rPr>
          <w:color w:val="FF0000"/>
          <w:lang w:val="fr-BE"/>
        </w:rPr>
        <w:t>Date à insérer par le Parlement européen avant la publication au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025" w:rsidRDefault="00BD40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025" w:rsidRDefault="00BD40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num>
  <w:num w:numId="20">
    <w:abstractNumId w:val="12"/>
    <w:lvlOverride w:ilvl="0">
      <w:startOverride w:val="1"/>
    </w:lvlOverride>
  </w:num>
  <w:num w:numId="21">
    <w:abstractNumId w:val="23"/>
  </w:num>
  <w:num w:numId="22">
    <w:abstractNumId w:val="12"/>
  </w:num>
  <w:num w:numId="23">
    <w:abstractNumId w:val="26"/>
  </w:num>
  <w:num w:numId="24">
    <w:abstractNumId w:val="6"/>
  </w:num>
  <w:num w:numId="25">
    <w:abstractNumId w:val="13"/>
  </w:num>
  <w:num w:numId="26">
    <w:abstractNumId w:val="14"/>
  </w:num>
  <w:num w:numId="27">
    <w:abstractNumId w:val="4"/>
  </w:num>
  <w:num w:numId="28">
    <w:abstractNumId w:val="25"/>
  </w:num>
  <w:num w:numId="29">
    <w:abstractNumId w:val="3"/>
  </w:num>
  <w:num w:numId="30">
    <w:abstractNumId w:val="15"/>
  </w:num>
  <w:num w:numId="31">
    <w:abstractNumId w:val="21"/>
  </w:num>
  <w:num w:numId="32">
    <w:abstractNumId w:val="22"/>
  </w:num>
  <w:num w:numId="33">
    <w:abstractNumId w:val="5"/>
  </w:num>
  <w:num w:numId="34">
    <w:abstractNumId w:val="19"/>
  </w:num>
  <w:num w:numId="35">
    <w:abstractNumId w:val="30"/>
  </w:num>
  <w:num w:numId="36">
    <w:abstractNumId w:val="23"/>
  </w:num>
  <w:num w:numId="37">
    <w:abstractNumId w:val="12"/>
  </w:num>
  <w:num w:numId="38">
    <w:abstractNumId w:val="26"/>
  </w:num>
  <w:num w:numId="39">
    <w:abstractNumId w:val="6"/>
  </w:num>
  <w:num w:numId="40">
    <w:abstractNumId w:val="13"/>
  </w:num>
  <w:num w:numId="41">
    <w:abstractNumId w:val="14"/>
  </w:num>
  <w:num w:numId="42">
    <w:abstractNumId w:val="4"/>
  </w:num>
  <w:num w:numId="43">
    <w:abstractNumId w:val="25"/>
  </w:num>
  <w:num w:numId="44">
    <w:abstractNumId w:val="3"/>
  </w:num>
  <w:num w:numId="45">
    <w:abstractNumId w:val="15"/>
  </w:num>
  <w:num w:numId="46">
    <w:abstractNumId w:val="21"/>
  </w:num>
  <w:num w:numId="47">
    <w:abstractNumId w:val="22"/>
  </w:num>
  <w:num w:numId="48">
    <w:abstractNumId w:val="5"/>
  </w:num>
  <w:num w:numId="49">
    <w:abstractNumId w:val="19"/>
  </w:num>
  <w:num w:numId="50">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3 20:14: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E829FB5-60A4-485B-A33A-638639DE7148"/>
    <w:docVar w:name="LW_COVERPAGE_TYPE" w:val="1"/>
    <w:docVar w:name="LW_CreatedUtc" w:val="2025-02-03T12:09:04.7855178Z"/>
    <w:docVar w:name="LW_CROSSREFERENCE" w:val="&lt;UNUSED&gt;"/>
    <w:docVar w:name="LW_DocType" w:val="COM"/>
    <w:docVar w:name="LW_EMISSION" w:val="16.7.2026"/>
    <w:docVar w:name="LW_EMISSION_ISODATE" w:val="2026-07-16"/>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BUD"/>
    <w:docVar w:name="LW_REF.II.NEW.CP_NUMBER" w:val="0195"/>
    <w:docVar w:name="LW_REF.II.NEW.CP_YEAR" w:val="2026"/>
    <w:docVar w:name="LW_REF.INST.NEW" w:val="COM"/>
    <w:docVar w:name="LW_REF.INST.NEW_ADOPTED" w:val="final"/>
    <w:docVar w:name="LW_REF.INST.NEW_TEXT" w:val="(2026) 17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obilisation du Fonds européen d\u8217?ajustement à la mondialisation en faveur des travailleurs licenciés à la suite d\u8217?une demande présentée par l\u8217?Espagne \u8211? EGF/2026/002 ES/Galicia automotive ancillary"/>
    <w:docVar w:name="LW_TYPE.DOC.CP" w:val="DÉCISION DU PARLEMENT EUROPÉEN ET DU CONSEIL"/>
    <w:docVar w:name="LwApiVersions" w:val="LW4CoDe 1.24.5.0; LW 9.2, Build 20251112"/>
  </w:docVars>
  <w:rsids>
    <w:rsidRoot w:val="001A62D7"/>
    <w:rsid w:val="00003509"/>
    <w:rsid w:val="000171AE"/>
    <w:rsid w:val="00020F58"/>
    <w:rsid w:val="00026A17"/>
    <w:rsid w:val="000435E7"/>
    <w:rsid w:val="00044450"/>
    <w:rsid w:val="00044BB1"/>
    <w:rsid w:val="00064B2C"/>
    <w:rsid w:val="000918D5"/>
    <w:rsid w:val="000956A7"/>
    <w:rsid w:val="000966A5"/>
    <w:rsid w:val="000A411E"/>
    <w:rsid w:val="000B43AC"/>
    <w:rsid w:val="000C62BC"/>
    <w:rsid w:val="000D7DB9"/>
    <w:rsid w:val="000E54A7"/>
    <w:rsid w:val="000E796A"/>
    <w:rsid w:val="000E7D45"/>
    <w:rsid w:val="000F24B9"/>
    <w:rsid w:val="000F29F2"/>
    <w:rsid w:val="001065F5"/>
    <w:rsid w:val="001238EF"/>
    <w:rsid w:val="0013736E"/>
    <w:rsid w:val="00145AB1"/>
    <w:rsid w:val="00145F53"/>
    <w:rsid w:val="00161D77"/>
    <w:rsid w:val="00165D5F"/>
    <w:rsid w:val="0018250E"/>
    <w:rsid w:val="001933D0"/>
    <w:rsid w:val="0019593B"/>
    <w:rsid w:val="00196B92"/>
    <w:rsid w:val="00197613"/>
    <w:rsid w:val="001A29C6"/>
    <w:rsid w:val="001A62D7"/>
    <w:rsid w:val="001B498D"/>
    <w:rsid w:val="001B747A"/>
    <w:rsid w:val="001B7E21"/>
    <w:rsid w:val="001C58A8"/>
    <w:rsid w:val="001D3672"/>
    <w:rsid w:val="001E79C8"/>
    <w:rsid w:val="001F1BF2"/>
    <w:rsid w:val="00203BFD"/>
    <w:rsid w:val="00207E64"/>
    <w:rsid w:val="0022114D"/>
    <w:rsid w:val="00226C7F"/>
    <w:rsid w:val="00233DC7"/>
    <w:rsid w:val="00241826"/>
    <w:rsid w:val="00247779"/>
    <w:rsid w:val="00255E4E"/>
    <w:rsid w:val="00265183"/>
    <w:rsid w:val="00265BB3"/>
    <w:rsid w:val="00281AE4"/>
    <w:rsid w:val="0028567E"/>
    <w:rsid w:val="00285BEE"/>
    <w:rsid w:val="00285C0D"/>
    <w:rsid w:val="00287EEB"/>
    <w:rsid w:val="002910D1"/>
    <w:rsid w:val="0029533F"/>
    <w:rsid w:val="002A70E5"/>
    <w:rsid w:val="002B30AF"/>
    <w:rsid w:val="002C667E"/>
    <w:rsid w:val="002C701E"/>
    <w:rsid w:val="002D0016"/>
    <w:rsid w:val="002E1225"/>
    <w:rsid w:val="002E5EA1"/>
    <w:rsid w:val="002F0F09"/>
    <w:rsid w:val="00300687"/>
    <w:rsid w:val="0030399C"/>
    <w:rsid w:val="00305268"/>
    <w:rsid w:val="003171CA"/>
    <w:rsid w:val="0033344A"/>
    <w:rsid w:val="00336E9F"/>
    <w:rsid w:val="003421FC"/>
    <w:rsid w:val="00342DED"/>
    <w:rsid w:val="00343140"/>
    <w:rsid w:val="003812AA"/>
    <w:rsid w:val="003857D9"/>
    <w:rsid w:val="00385F14"/>
    <w:rsid w:val="0039521F"/>
    <w:rsid w:val="00396DAC"/>
    <w:rsid w:val="003979B1"/>
    <w:rsid w:val="003C39C4"/>
    <w:rsid w:val="003D3D6D"/>
    <w:rsid w:val="003E4BF2"/>
    <w:rsid w:val="003E7F16"/>
    <w:rsid w:val="004032AD"/>
    <w:rsid w:val="00406EB1"/>
    <w:rsid w:val="00416DCB"/>
    <w:rsid w:val="0042221A"/>
    <w:rsid w:val="00423495"/>
    <w:rsid w:val="0042648E"/>
    <w:rsid w:val="00433EDC"/>
    <w:rsid w:val="004671F0"/>
    <w:rsid w:val="00485013"/>
    <w:rsid w:val="004924A8"/>
    <w:rsid w:val="004936D2"/>
    <w:rsid w:val="004A0B30"/>
    <w:rsid w:val="004A34B9"/>
    <w:rsid w:val="004B1226"/>
    <w:rsid w:val="004C314A"/>
    <w:rsid w:val="004D3EAA"/>
    <w:rsid w:val="004D790E"/>
    <w:rsid w:val="004F46E1"/>
    <w:rsid w:val="004F5368"/>
    <w:rsid w:val="004F5528"/>
    <w:rsid w:val="00503F72"/>
    <w:rsid w:val="00507F26"/>
    <w:rsid w:val="00520071"/>
    <w:rsid w:val="005206E6"/>
    <w:rsid w:val="005253A6"/>
    <w:rsid w:val="0052597B"/>
    <w:rsid w:val="00532962"/>
    <w:rsid w:val="00553ECB"/>
    <w:rsid w:val="00571BFE"/>
    <w:rsid w:val="00574487"/>
    <w:rsid w:val="00575749"/>
    <w:rsid w:val="00595936"/>
    <w:rsid w:val="00595DB2"/>
    <w:rsid w:val="005B1EB6"/>
    <w:rsid w:val="005B5E5A"/>
    <w:rsid w:val="005C2B1D"/>
    <w:rsid w:val="005C4C7E"/>
    <w:rsid w:val="005C65D7"/>
    <w:rsid w:val="005D0D5D"/>
    <w:rsid w:val="005D4FD4"/>
    <w:rsid w:val="005E047F"/>
    <w:rsid w:val="005E60E3"/>
    <w:rsid w:val="005F0D45"/>
    <w:rsid w:val="005F335F"/>
    <w:rsid w:val="00605200"/>
    <w:rsid w:val="00605A1A"/>
    <w:rsid w:val="006070D2"/>
    <w:rsid w:val="00612753"/>
    <w:rsid w:val="00612E9A"/>
    <w:rsid w:val="00645CDB"/>
    <w:rsid w:val="006515A2"/>
    <w:rsid w:val="006610FB"/>
    <w:rsid w:val="00664BC5"/>
    <w:rsid w:val="00674268"/>
    <w:rsid w:val="00674A76"/>
    <w:rsid w:val="006771CD"/>
    <w:rsid w:val="00682245"/>
    <w:rsid w:val="0069046D"/>
    <w:rsid w:val="00695D63"/>
    <w:rsid w:val="006B5FAA"/>
    <w:rsid w:val="006C4EB9"/>
    <w:rsid w:val="006E5A91"/>
    <w:rsid w:val="006F2B4D"/>
    <w:rsid w:val="0070290B"/>
    <w:rsid w:val="00704123"/>
    <w:rsid w:val="00715D6D"/>
    <w:rsid w:val="00731183"/>
    <w:rsid w:val="00731699"/>
    <w:rsid w:val="00737516"/>
    <w:rsid w:val="0075181C"/>
    <w:rsid w:val="00757A1E"/>
    <w:rsid w:val="00771F6F"/>
    <w:rsid w:val="00773331"/>
    <w:rsid w:val="00791ECB"/>
    <w:rsid w:val="007932EF"/>
    <w:rsid w:val="007A0C2F"/>
    <w:rsid w:val="007B3690"/>
    <w:rsid w:val="007C0AB0"/>
    <w:rsid w:val="007C116C"/>
    <w:rsid w:val="007C1A81"/>
    <w:rsid w:val="007C6DFE"/>
    <w:rsid w:val="007D45EC"/>
    <w:rsid w:val="007E05B0"/>
    <w:rsid w:val="007E05D9"/>
    <w:rsid w:val="007E153F"/>
    <w:rsid w:val="007E4E97"/>
    <w:rsid w:val="007F6054"/>
    <w:rsid w:val="00825F24"/>
    <w:rsid w:val="00832804"/>
    <w:rsid w:val="00840121"/>
    <w:rsid w:val="00842DE2"/>
    <w:rsid w:val="00842E80"/>
    <w:rsid w:val="00845EB7"/>
    <w:rsid w:val="00846B3D"/>
    <w:rsid w:val="00861418"/>
    <w:rsid w:val="0086775C"/>
    <w:rsid w:val="00872D17"/>
    <w:rsid w:val="00874D22"/>
    <w:rsid w:val="00886D8F"/>
    <w:rsid w:val="008958F2"/>
    <w:rsid w:val="008A2914"/>
    <w:rsid w:val="008D0904"/>
    <w:rsid w:val="008D1B07"/>
    <w:rsid w:val="008D2433"/>
    <w:rsid w:val="008D2CB8"/>
    <w:rsid w:val="008D6973"/>
    <w:rsid w:val="008E0A34"/>
    <w:rsid w:val="008E4D8E"/>
    <w:rsid w:val="008F1D16"/>
    <w:rsid w:val="00937874"/>
    <w:rsid w:val="0094105D"/>
    <w:rsid w:val="00943BE5"/>
    <w:rsid w:val="009739AC"/>
    <w:rsid w:val="0097588C"/>
    <w:rsid w:val="009805F3"/>
    <w:rsid w:val="00983E8B"/>
    <w:rsid w:val="00985D0A"/>
    <w:rsid w:val="00987B82"/>
    <w:rsid w:val="009914DD"/>
    <w:rsid w:val="009942B8"/>
    <w:rsid w:val="009A3072"/>
    <w:rsid w:val="009A476A"/>
    <w:rsid w:val="009A5688"/>
    <w:rsid w:val="009B4078"/>
    <w:rsid w:val="009B4854"/>
    <w:rsid w:val="009C1C6F"/>
    <w:rsid w:val="009C2E1D"/>
    <w:rsid w:val="009E7442"/>
    <w:rsid w:val="009F2938"/>
    <w:rsid w:val="00A02E1B"/>
    <w:rsid w:val="00A10F73"/>
    <w:rsid w:val="00A13970"/>
    <w:rsid w:val="00A409C1"/>
    <w:rsid w:val="00A42E41"/>
    <w:rsid w:val="00A5644D"/>
    <w:rsid w:val="00A748C9"/>
    <w:rsid w:val="00A75BE8"/>
    <w:rsid w:val="00A90BE2"/>
    <w:rsid w:val="00AC4D05"/>
    <w:rsid w:val="00AE477E"/>
    <w:rsid w:val="00AE5452"/>
    <w:rsid w:val="00AE6E50"/>
    <w:rsid w:val="00AE7D04"/>
    <w:rsid w:val="00AF6CDB"/>
    <w:rsid w:val="00B0078F"/>
    <w:rsid w:val="00B0477A"/>
    <w:rsid w:val="00B0540A"/>
    <w:rsid w:val="00B10303"/>
    <w:rsid w:val="00B12D62"/>
    <w:rsid w:val="00B1308F"/>
    <w:rsid w:val="00B2207B"/>
    <w:rsid w:val="00B404B7"/>
    <w:rsid w:val="00B5092E"/>
    <w:rsid w:val="00B52E6D"/>
    <w:rsid w:val="00B617B4"/>
    <w:rsid w:val="00B85464"/>
    <w:rsid w:val="00B93B0D"/>
    <w:rsid w:val="00BA399F"/>
    <w:rsid w:val="00BC23D3"/>
    <w:rsid w:val="00BC7DB9"/>
    <w:rsid w:val="00BD4025"/>
    <w:rsid w:val="00BE41E5"/>
    <w:rsid w:val="00BE43D4"/>
    <w:rsid w:val="00BF33E4"/>
    <w:rsid w:val="00C054F9"/>
    <w:rsid w:val="00C0608D"/>
    <w:rsid w:val="00C12301"/>
    <w:rsid w:val="00C2027B"/>
    <w:rsid w:val="00C2079B"/>
    <w:rsid w:val="00C22B7B"/>
    <w:rsid w:val="00C22CCB"/>
    <w:rsid w:val="00C239B8"/>
    <w:rsid w:val="00C55B43"/>
    <w:rsid w:val="00C56E66"/>
    <w:rsid w:val="00C60083"/>
    <w:rsid w:val="00C6666D"/>
    <w:rsid w:val="00C964F4"/>
    <w:rsid w:val="00CA7EE1"/>
    <w:rsid w:val="00CC0130"/>
    <w:rsid w:val="00CC52A1"/>
    <w:rsid w:val="00D01C6B"/>
    <w:rsid w:val="00D022E6"/>
    <w:rsid w:val="00D068C3"/>
    <w:rsid w:val="00D163F9"/>
    <w:rsid w:val="00D16AC5"/>
    <w:rsid w:val="00D20381"/>
    <w:rsid w:val="00D23FFF"/>
    <w:rsid w:val="00D4408D"/>
    <w:rsid w:val="00D51A37"/>
    <w:rsid w:val="00D54F1D"/>
    <w:rsid w:val="00D574B1"/>
    <w:rsid w:val="00D76287"/>
    <w:rsid w:val="00D83013"/>
    <w:rsid w:val="00DA5166"/>
    <w:rsid w:val="00DB077F"/>
    <w:rsid w:val="00DB409E"/>
    <w:rsid w:val="00DD32A0"/>
    <w:rsid w:val="00DE674B"/>
    <w:rsid w:val="00E1163B"/>
    <w:rsid w:val="00E2441E"/>
    <w:rsid w:val="00E346FB"/>
    <w:rsid w:val="00E468DA"/>
    <w:rsid w:val="00E54A23"/>
    <w:rsid w:val="00E72773"/>
    <w:rsid w:val="00E77E1C"/>
    <w:rsid w:val="00E948B7"/>
    <w:rsid w:val="00EA15A9"/>
    <w:rsid w:val="00EA1B38"/>
    <w:rsid w:val="00EB02F0"/>
    <w:rsid w:val="00EB1AE5"/>
    <w:rsid w:val="00EB2471"/>
    <w:rsid w:val="00EB443A"/>
    <w:rsid w:val="00EB4D9B"/>
    <w:rsid w:val="00EB7E74"/>
    <w:rsid w:val="00EC1FFE"/>
    <w:rsid w:val="00EC21F6"/>
    <w:rsid w:val="00EC4DA7"/>
    <w:rsid w:val="00EE46AC"/>
    <w:rsid w:val="00EE4EA9"/>
    <w:rsid w:val="00EE5249"/>
    <w:rsid w:val="00EF01DB"/>
    <w:rsid w:val="00F04468"/>
    <w:rsid w:val="00F06D07"/>
    <w:rsid w:val="00F211CD"/>
    <w:rsid w:val="00F41357"/>
    <w:rsid w:val="00F56064"/>
    <w:rsid w:val="00F61BC9"/>
    <w:rsid w:val="00F76B79"/>
    <w:rsid w:val="00F87A6D"/>
    <w:rsid w:val="00F87FDE"/>
    <w:rsid w:val="00F904EC"/>
    <w:rsid w:val="00F956D3"/>
    <w:rsid w:val="00FA4162"/>
    <w:rsid w:val="00FA5322"/>
    <w:rsid w:val="00FB1E28"/>
    <w:rsid w:val="00FC38F8"/>
    <w:rsid w:val="00FC5264"/>
    <w:rsid w:val="00FC6C00"/>
    <w:rsid w:val="00FD69F5"/>
    <w:rsid w:val="00FF0E8A"/>
    <w:rsid w:val="00FF65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fr-FR"/>
    </w:rPr>
  </w:style>
  <w:style w:type="character" w:customStyle="1" w:styleId="FooterCoverPageChar">
    <w:name w:val="Footer Cover Page Char"/>
    <w:link w:val="FooterCoverPage"/>
    <w:rsid w:val="001A62D7"/>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fr-FR" w:eastAsia="en-GB"/>
    </w:rPr>
  </w:style>
  <w:style w:type="character" w:customStyle="1" w:styleId="FooterSensitivityChar">
    <w:name w:val="Footer Sensitivity Char"/>
    <w:rsid w:val="001A62D7"/>
    <w:rPr>
      <w:rFonts w:ascii="Times New Roman" w:hAnsi="Times New Roman" w:cs="Times New Roman"/>
      <w:b/>
      <w:sz w:val="32"/>
      <w:lang w:val="fr-FR"/>
    </w:rPr>
  </w:style>
  <w:style w:type="character" w:customStyle="1" w:styleId="HeaderSensitivityChar">
    <w:name w:val="Header Sensitivity Char"/>
    <w:rsid w:val="001A62D7"/>
    <w:rPr>
      <w:rFonts w:ascii="Times New Roman" w:hAnsi="Times New Roman" w:cs="Times New Roman"/>
      <w:b/>
      <w:sz w:val="32"/>
      <w:lang w:val="fr-FR"/>
    </w:rPr>
  </w:style>
  <w:style w:type="character" w:customStyle="1" w:styleId="HeaderSensitivityRightChar">
    <w:name w:val="Header Sensitivity Right Char"/>
    <w:rsid w:val="001A62D7"/>
    <w:rPr>
      <w:rFonts w:ascii="Times New Roman" w:hAnsi="Times New Roman" w:cs="Times New Roman"/>
      <w:sz w:val="28"/>
      <w:lang w:val="fr-FR"/>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BD4025"/>
    <w:rPr>
      <w:rFonts w:ascii="Times New Roman" w:hAnsi="Times New Roman" w:cs="Times New Roman"/>
      <w:sz w:val="24"/>
      <w:lang w:val="fr-FR"/>
    </w:rPr>
  </w:style>
  <w:style w:type="character" w:customStyle="1" w:styleId="FooterChar">
    <w:name w:val="Footer Char"/>
    <w:basedOn w:val="DefaultParagraphFont"/>
    <w:link w:val="Footer"/>
    <w:uiPriority w:val="99"/>
    <w:rsid w:val="00BD402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D402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D4025"/>
    <w:pPr>
      <w:spacing w:before="0"/>
      <w:jc w:val="right"/>
    </w:pPr>
    <w:rPr>
      <w:sz w:val="28"/>
    </w:rPr>
  </w:style>
  <w:style w:type="paragraph" w:customStyle="1" w:styleId="FooterSensitivity">
    <w:name w:val="Footer Sensitivity"/>
    <w:basedOn w:val="Normal"/>
    <w:rsid w:val="00BD402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D4025"/>
    <w:pPr>
      <w:tabs>
        <w:tab w:val="center" w:pos="4535"/>
        <w:tab w:val="right" w:pos="9071"/>
      </w:tabs>
      <w:spacing w:before="0"/>
    </w:pPr>
  </w:style>
  <w:style w:type="paragraph" w:customStyle="1" w:styleId="HeaderLandscape">
    <w:name w:val="HeaderLandscape"/>
    <w:basedOn w:val="Normal"/>
    <w:rsid w:val="00BD4025"/>
    <w:pPr>
      <w:tabs>
        <w:tab w:val="center" w:pos="7285"/>
        <w:tab w:val="right" w:pos="14003"/>
      </w:tabs>
      <w:spacing w:before="0"/>
    </w:pPr>
  </w:style>
  <w:style w:type="paragraph" w:styleId="Footer">
    <w:name w:val="footer"/>
    <w:basedOn w:val="Normal"/>
    <w:link w:val="FooterChar"/>
    <w:uiPriority w:val="99"/>
    <w:unhideWhenUsed/>
    <w:rsid w:val="00BD402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D402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ine.es/jaxiT3/Tabla.htm?t=65334" TargetMode="External"/><Relationship Id="rId13" Type="http://schemas.openxmlformats.org/officeDocument/2006/relationships/hyperlink" Target="https://datosmacro.expansion.com/paro/espana/municipios/galicia/pontevedra" TargetMode="External"/><Relationship Id="rId3" Type="http://schemas.openxmlformats.org/officeDocument/2006/relationships/hyperlink" Target="https://www.oliverwyman.com/content/dam/oliver-wyman/v2/publications/2025/apr/labor-cost-per-vehicle-report.pdf" TargetMode="External"/><Relationship Id="rId7" Type="http://schemas.openxmlformats.org/officeDocument/2006/relationships/hyperlink" Target="https://www.fbbva.es/noticias/industria-manufacturera-pierde-empleo-aportacion-renta-espanola/" TargetMode="External"/><Relationship Id="rId12" Type="http://schemas.openxmlformats.org/officeDocument/2006/relationships/hyperlink" Target="https://www.ine.es/prensa/epa_tabla.htm" TargetMode="External"/><Relationship Id="rId2" Type="http://schemas.openxmlformats.org/officeDocument/2006/relationships/hyperlink" Target="https://www.sernauto.es/sala-de-prensa/noticias/la-facturacion-de-los-proveedores-de-automocion-se-mantiene-por-encima-de-los-41000-millones-de-euros-en-un-contexto-de-desaceleracion" TargetMode="External"/><Relationship Id="rId16" Type="http://schemas.openxmlformats.org/officeDocument/2006/relationships/hyperlink" Target="https://www.xunta.gal/documents/35297/43285/pd-automocion-cas.pdf?version=1.0" TargetMode="External"/><Relationship Id="rId1" Type="http://schemas.openxmlformats.org/officeDocument/2006/relationships/hyperlink" Target="https://www.sernauto.es/en/sala-de-prensa/noticias/la-junta-directiva-de-sernauto-rebaja-sus-previsiones-de-facturacion-para-2025" TargetMode="External"/><Relationship Id="rId6" Type="http://schemas.openxmlformats.org/officeDocument/2006/relationships/hyperlink" Target="https://www.fbbva.es/noticias/industria-manufacturera-pierde-empleo-aportacion-renta-espanola/" TargetMode="External"/><Relationship Id="rId11" Type="http://schemas.openxmlformats.org/officeDocument/2006/relationships/hyperlink" Target="https://www.ine.es/prensa/epa_tabla.htm" TargetMode="External"/><Relationship Id="rId5" Type="http://schemas.openxmlformats.org/officeDocument/2006/relationships/hyperlink" Target="https://www.xunta.gal/es/notas-de-prensa/-/nova/021985/empleo-industrial-bate-records-galicia-con-192-300-personas-ocupadas-crecimiento" TargetMode="External"/><Relationship Id="rId15" Type="http://schemas.openxmlformats.org/officeDocument/2006/relationships/hyperlink" Target="https://ec.europa.eu/eurostat/statistics-explained/index.php?title=Employment_-_annual_statistics" TargetMode="External"/><Relationship Id="rId10" Type="http://schemas.openxmlformats.org/officeDocument/2006/relationships/hyperlink" Target="https://ec.europa.eu/eurostat/web/products-euro-indicators/w/3-04032026-ap" TargetMode="External"/><Relationship Id="rId4" Type="http://schemas.openxmlformats.org/officeDocument/2006/relationships/hyperlink" Target="https://www.xunta.gal/es/notas-de-prensa/-/nova/021985/empleo-industrial-bate-records-galicia-con-192-300-personas-ocupadas-crecimiento" TargetMode="External"/><Relationship Id="rId9" Type="http://schemas.openxmlformats.org/officeDocument/2006/relationships/hyperlink" Target="https://www.ine.es/jaxiT3/Tabla.htm?t=65334" TargetMode="External"/><Relationship Id="rId14" Type="http://schemas.openxmlformats.org/officeDocument/2006/relationships/hyperlink" Target="https://www.ige.gal/igebdt/principais.jsp?COD=6363&amp;R=3%5ball%5d&amp;C=T%5b1:last%5d;1%5ball%5d&amp;F=2:0&amp;S=998: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591F8-6601-44D5-B417-3C192C067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11</Pages>
  <Words>4636</Words>
  <Characters>26431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2026-07-03T10:51:00Z</dcterms:created>
  <dcterms:modified xsi:type="dcterms:W3CDTF">2026-07-13T18:14:00Z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