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62D7" w:rsidRPr="00FF3491" w:rsidRDefault="001D3B1F" w:rsidP="001D3B1F">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B2F2C20-6381-4FF1-A765-730EA6FB9121" style="width:455.25pt;height:357.75pt">
            <v:imagedata r:id="rId8" o:title=""/>
          </v:shape>
        </w:pict>
      </w:r>
    </w:p>
    <w:p w:rsidR="001A62D7" w:rsidRPr="00FF3491" w:rsidRDefault="001A62D7" w:rsidP="001A62D7">
      <w:pPr>
        <w:rPr>
          <w:noProof/>
        </w:rPr>
        <w:sectPr w:rsidR="001A62D7" w:rsidRPr="00FF3491" w:rsidSect="001D3B1F">
          <w:footerReference w:type="even" r:id="rId9"/>
          <w:footerReference w:type="default" r:id="rId10"/>
          <w:pgSz w:w="11907" w:h="16839"/>
          <w:pgMar w:top="1134" w:right="1417" w:bottom="1134" w:left="1417" w:header="709" w:footer="709" w:gutter="0"/>
          <w:pgNumType w:start="0"/>
          <w:cols w:space="720"/>
          <w:docGrid w:linePitch="360"/>
        </w:sectPr>
      </w:pPr>
    </w:p>
    <w:p w:rsidR="001A62D7" w:rsidRPr="00FF3491" w:rsidRDefault="001A62D7" w:rsidP="001A62D7">
      <w:pPr>
        <w:pStyle w:val="Exposdesmotifstitre"/>
        <w:rPr>
          <w:noProof/>
        </w:rPr>
      </w:pPr>
      <w:bookmarkStart w:id="0" w:name="_GoBack"/>
      <w:bookmarkEnd w:id="0"/>
      <w:r w:rsidRPr="00FF3491">
        <w:rPr>
          <w:noProof/>
        </w:rPr>
        <w:lastRenderedPageBreak/>
        <w:t>EXPUNERE DE MOTIVE</w:t>
      </w:r>
    </w:p>
    <w:p w:rsidR="001A62D7" w:rsidRPr="00FF3491" w:rsidRDefault="001A62D7" w:rsidP="001A62D7">
      <w:pPr>
        <w:pStyle w:val="ManualHeading1"/>
        <w:rPr>
          <w:noProof/>
        </w:rPr>
      </w:pPr>
      <w:r w:rsidRPr="00FF3491">
        <w:rPr>
          <w:noProof/>
        </w:rPr>
        <w:t>CONTEXTUL PROPUNERII</w:t>
      </w:r>
    </w:p>
    <w:p w:rsidR="001A62D7" w:rsidRPr="00FF3491" w:rsidRDefault="001A62D7" w:rsidP="00AE7D04">
      <w:pPr>
        <w:pStyle w:val="ManualNumPar1"/>
        <w:rPr>
          <w:noProof/>
        </w:rPr>
      </w:pPr>
      <w:r>
        <w:rPr>
          <w:noProof/>
        </w:rPr>
        <w:t>1.</w:t>
      </w:r>
      <w:r>
        <w:rPr>
          <w:noProof/>
        </w:rPr>
        <w:tab/>
      </w:r>
      <w:r w:rsidRPr="00FF3491">
        <w:rPr>
          <w:noProof/>
        </w:rPr>
        <w:t>Normele aplicabile contribuțiilor financiare din partea Fondului european de ajustare la globalizare pentru lucrătorii disponibilizați (FEG) sunt prevăzute în Regulamentul (UE) 2021/691 al Parlamentului European și al Consiliului din 28 aprilie 2021 privind Fondul european de ajustare la globalizare pentru lucrătorii disponibilizați (FEG) și de abrogare a Regulamentului (UE) nr. 1309/2013</w:t>
      </w:r>
      <w:r w:rsidRPr="00FF3491">
        <w:rPr>
          <w:rStyle w:val="FootnoteReference"/>
          <w:noProof/>
        </w:rPr>
        <w:footnoteReference w:id="1"/>
      </w:r>
      <w:r w:rsidRPr="00FF3491">
        <w:rPr>
          <w:noProof/>
        </w:rPr>
        <w:t>.</w:t>
      </w:r>
    </w:p>
    <w:p w:rsidR="001A62D7" w:rsidRPr="00FF3491" w:rsidRDefault="001A62D7" w:rsidP="00AE7D04">
      <w:pPr>
        <w:pStyle w:val="ManualNumPar1"/>
        <w:rPr>
          <w:noProof/>
        </w:rPr>
      </w:pPr>
      <w:r>
        <w:rPr>
          <w:noProof/>
        </w:rPr>
        <w:t>2.</w:t>
      </w:r>
      <w:r>
        <w:rPr>
          <w:noProof/>
        </w:rPr>
        <w:tab/>
      </w:r>
      <w:r w:rsidRPr="00FF3491">
        <w:rPr>
          <w:noProof/>
        </w:rPr>
        <w:t>La 7 aprilie 2026, Spania a depus cererea EGF/</w:t>
      </w:r>
      <w:bookmarkStart w:id="1" w:name="EGF_Ref_Year"/>
      <w:r w:rsidRPr="00FF3491">
        <w:rPr>
          <w:noProof/>
        </w:rPr>
        <w:t>2026</w:t>
      </w:r>
      <w:bookmarkEnd w:id="1"/>
      <w:r w:rsidRPr="00FF3491">
        <w:rPr>
          <w:noProof/>
        </w:rPr>
        <w:t>/</w:t>
      </w:r>
      <w:bookmarkStart w:id="2" w:name="EGF_Ref_CaseNumber"/>
      <w:r w:rsidRPr="00FF3491">
        <w:rPr>
          <w:noProof/>
        </w:rPr>
        <w:t>002</w:t>
      </w:r>
      <w:bookmarkEnd w:id="2"/>
      <w:r w:rsidRPr="00FF3491">
        <w:rPr>
          <w:noProof/>
        </w:rPr>
        <w:t xml:space="preserve"> </w:t>
      </w:r>
      <w:bookmarkStart w:id="3" w:name="MS_Code"/>
      <w:r w:rsidRPr="00FF3491">
        <w:rPr>
          <w:noProof/>
        </w:rPr>
        <w:t>ES</w:t>
      </w:r>
      <w:bookmarkEnd w:id="3"/>
      <w:r w:rsidRPr="00FF3491">
        <w:rPr>
          <w:noProof/>
        </w:rPr>
        <w:t>/</w:t>
      </w:r>
      <w:bookmarkStart w:id="4" w:name="EGF_Ref_CaseName"/>
      <w:r w:rsidRPr="00FF3491">
        <w:rPr>
          <w:noProof/>
        </w:rPr>
        <w:t>Sectoarele auxiliare industriei autovehiculelor</w:t>
      </w:r>
      <w:bookmarkEnd w:id="4"/>
      <w:r w:rsidRPr="00FF3491">
        <w:rPr>
          <w:noProof/>
        </w:rPr>
        <w:t xml:space="preserve"> din Galicia pentru o contribuție financiară din partea FEG, ca urmare a disponibilizărilor din sectoarele auxiliare industriei autovehiculelor (care includ sectoarele economice clasificate în diviziunile NACE Rev. 2 enumerate în rezumatul cererii de mai jos) din regiunea NUTS 2 Galicia (ES11) din </w:t>
      </w:r>
      <w:bookmarkStart w:id="5" w:name="MS_Name"/>
      <w:r w:rsidRPr="00FF3491">
        <w:rPr>
          <w:noProof/>
        </w:rPr>
        <w:t>Spania</w:t>
      </w:r>
      <w:bookmarkEnd w:id="5"/>
      <w:r w:rsidRPr="00FF3491">
        <w:rPr>
          <w:noProof/>
        </w:rPr>
        <w:t>.</w:t>
      </w:r>
    </w:p>
    <w:p w:rsidR="001A62D7" w:rsidRPr="00FF3491" w:rsidRDefault="001A62D7" w:rsidP="00AE7D04">
      <w:pPr>
        <w:pStyle w:val="ManualNumPar1"/>
        <w:rPr>
          <w:noProof/>
        </w:rPr>
      </w:pPr>
      <w:r>
        <w:rPr>
          <w:noProof/>
        </w:rPr>
        <w:t>3.</w:t>
      </w:r>
      <w:r>
        <w:rPr>
          <w:noProof/>
        </w:rPr>
        <w:tab/>
      </w:r>
      <w:r w:rsidRPr="00FF3491">
        <w:rPr>
          <w:noProof/>
        </w:rPr>
        <w:t xml:space="preserve">După evaluarea acestei cereri, Comisia a concluzionat, în conformitate cu toate dispozițiile aplicabile ale Regulamentului (UE) 2021/691, că sunt îndeplinite condițiile pentru acordarea unei contribuții financiare din partea FEG. </w:t>
      </w:r>
    </w:p>
    <w:p w:rsidR="001A62D7" w:rsidRPr="00FF3491" w:rsidRDefault="001A62D7" w:rsidP="001A62D7">
      <w:pPr>
        <w:pStyle w:val="ManualHeading1"/>
        <w:rPr>
          <w:noProof/>
        </w:rPr>
      </w:pPr>
      <w:r w:rsidRPr="00FF3491">
        <w:rPr>
          <w:noProof/>
        </w:rPr>
        <w:t>REZUMATUL CERERII</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908"/>
        <w:gridCol w:w="4379"/>
      </w:tblGrid>
      <w:tr w:rsidR="001A62D7" w:rsidRPr="00FF3491" w:rsidTr="001D5990">
        <w:tc>
          <w:tcPr>
            <w:tcW w:w="4908" w:type="dxa"/>
            <w:shd w:val="clear" w:color="auto" w:fill="auto"/>
          </w:tcPr>
          <w:p w:rsidR="001A62D7" w:rsidRPr="00FF3491" w:rsidRDefault="001A62D7" w:rsidP="001D5990">
            <w:pPr>
              <w:spacing w:before="60" w:after="60"/>
              <w:jc w:val="left"/>
              <w:rPr>
                <w:rFonts w:eastAsia="Calibri"/>
                <w:noProof/>
              </w:rPr>
            </w:pPr>
            <w:r w:rsidRPr="00FF3491">
              <w:rPr>
                <w:noProof/>
              </w:rPr>
              <w:t>Cererea FEG</w:t>
            </w:r>
          </w:p>
        </w:tc>
        <w:tc>
          <w:tcPr>
            <w:tcW w:w="4379" w:type="dxa"/>
            <w:shd w:val="clear" w:color="auto" w:fill="auto"/>
          </w:tcPr>
          <w:p w:rsidR="001A62D7" w:rsidRPr="00FF3491" w:rsidRDefault="001A62D7" w:rsidP="001D5990">
            <w:pPr>
              <w:spacing w:before="60" w:after="60"/>
              <w:ind w:rightChars="192" w:right="461"/>
              <w:jc w:val="left"/>
              <w:rPr>
                <w:rFonts w:eastAsia="Calibri"/>
                <w:noProof/>
              </w:rPr>
            </w:pPr>
            <w:r w:rsidRPr="00FF3491">
              <w:rPr>
                <w:noProof/>
              </w:rPr>
              <w:t>EGF/2026/002 ES/Sectoarele auxiliare industriei autovehiculelor din Galicia</w:t>
            </w:r>
          </w:p>
        </w:tc>
      </w:tr>
      <w:tr w:rsidR="001A62D7" w:rsidRPr="00FF3491" w:rsidTr="001D5990">
        <w:tc>
          <w:tcPr>
            <w:tcW w:w="4908" w:type="dxa"/>
            <w:shd w:val="clear" w:color="auto" w:fill="auto"/>
          </w:tcPr>
          <w:p w:rsidR="001A62D7" w:rsidRPr="00FF3491" w:rsidRDefault="001A62D7" w:rsidP="001D5990">
            <w:pPr>
              <w:spacing w:before="60" w:after="60"/>
              <w:jc w:val="left"/>
              <w:rPr>
                <w:rFonts w:eastAsia="Calibri"/>
                <w:noProof/>
              </w:rPr>
            </w:pPr>
            <w:r w:rsidRPr="00FF3491">
              <w:rPr>
                <w:noProof/>
              </w:rPr>
              <w:t>Statul membru</w:t>
            </w:r>
          </w:p>
        </w:tc>
        <w:tc>
          <w:tcPr>
            <w:tcW w:w="4379" w:type="dxa"/>
            <w:shd w:val="clear" w:color="auto" w:fill="auto"/>
          </w:tcPr>
          <w:p w:rsidR="001A62D7" w:rsidRPr="00FF3491" w:rsidRDefault="003421FC" w:rsidP="001D5990">
            <w:pPr>
              <w:spacing w:before="60" w:after="60"/>
              <w:ind w:rightChars="192" w:right="461"/>
              <w:jc w:val="left"/>
              <w:rPr>
                <w:rFonts w:eastAsia="Calibri"/>
                <w:noProof/>
              </w:rPr>
            </w:pPr>
            <w:r w:rsidRPr="00FF3491">
              <w:rPr>
                <w:noProof/>
              </w:rPr>
              <w:t>Spania</w:t>
            </w:r>
          </w:p>
        </w:tc>
      </w:tr>
      <w:tr w:rsidR="001A62D7" w:rsidRPr="00FF3491" w:rsidTr="001D5990">
        <w:tc>
          <w:tcPr>
            <w:tcW w:w="4908" w:type="dxa"/>
            <w:tcBorders>
              <w:bottom w:val="single" w:sz="4" w:space="0" w:color="auto"/>
            </w:tcBorders>
            <w:shd w:val="clear" w:color="auto" w:fill="auto"/>
          </w:tcPr>
          <w:p w:rsidR="001A62D7" w:rsidRPr="00FF3491" w:rsidRDefault="001A62D7" w:rsidP="001D5990">
            <w:pPr>
              <w:spacing w:before="60" w:after="60"/>
              <w:jc w:val="left"/>
              <w:rPr>
                <w:rFonts w:eastAsia="Calibri"/>
                <w:noProof/>
              </w:rPr>
            </w:pPr>
            <w:r w:rsidRPr="00FF3491">
              <w:rPr>
                <w:noProof/>
              </w:rPr>
              <w:t>Regiunea sau regiunile vizate (nivel NUTS</w:t>
            </w:r>
            <w:r w:rsidRPr="00FF3491">
              <w:rPr>
                <w:rStyle w:val="FootnoteReference"/>
                <w:noProof/>
              </w:rPr>
              <w:footnoteReference w:id="2"/>
            </w:r>
            <w:r w:rsidRPr="00FF3491">
              <w:rPr>
                <w:noProof/>
              </w:rPr>
              <w:t xml:space="preserve"> 2)</w:t>
            </w:r>
          </w:p>
        </w:tc>
        <w:tc>
          <w:tcPr>
            <w:tcW w:w="4379" w:type="dxa"/>
            <w:tcBorders>
              <w:bottom w:val="single" w:sz="4" w:space="0" w:color="auto"/>
            </w:tcBorders>
            <w:shd w:val="clear" w:color="auto" w:fill="auto"/>
          </w:tcPr>
          <w:p w:rsidR="001A62D7" w:rsidRPr="00FF3491" w:rsidRDefault="003421FC" w:rsidP="00CC0130">
            <w:pPr>
              <w:spacing w:before="0" w:after="0"/>
              <w:ind w:rightChars="192" w:right="461"/>
              <w:jc w:val="left"/>
              <w:rPr>
                <w:noProof/>
                <w:szCs w:val="24"/>
              </w:rPr>
            </w:pPr>
            <w:bookmarkStart w:id="6" w:name="Region_1_Name"/>
            <w:r w:rsidRPr="00FF3491">
              <w:rPr>
                <w:noProof/>
              </w:rPr>
              <w:t>Galicia</w:t>
            </w:r>
            <w:bookmarkEnd w:id="6"/>
            <w:r w:rsidRPr="00FF3491">
              <w:rPr>
                <w:noProof/>
              </w:rPr>
              <w:t xml:space="preserve"> (ES11)</w:t>
            </w:r>
          </w:p>
        </w:tc>
      </w:tr>
      <w:tr w:rsidR="001A62D7" w:rsidRPr="00FF3491" w:rsidTr="001D5990">
        <w:tc>
          <w:tcPr>
            <w:tcW w:w="4908" w:type="dxa"/>
            <w:tcBorders>
              <w:bottom w:val="dotted" w:sz="4" w:space="0" w:color="auto"/>
            </w:tcBorders>
            <w:shd w:val="clear" w:color="auto" w:fill="auto"/>
          </w:tcPr>
          <w:p w:rsidR="001A62D7" w:rsidRPr="00FF3491" w:rsidRDefault="001A62D7" w:rsidP="001D5990">
            <w:pPr>
              <w:spacing w:before="60" w:after="60"/>
              <w:jc w:val="left"/>
              <w:rPr>
                <w:rFonts w:eastAsia="Calibri"/>
                <w:noProof/>
              </w:rPr>
            </w:pPr>
            <w:r w:rsidRPr="00FF3491">
              <w:rPr>
                <w:noProof/>
              </w:rPr>
              <w:t>Data depunerii cererii</w:t>
            </w:r>
          </w:p>
        </w:tc>
        <w:tc>
          <w:tcPr>
            <w:tcW w:w="4379" w:type="dxa"/>
            <w:tcBorders>
              <w:bottom w:val="dotted" w:sz="4" w:space="0" w:color="auto"/>
            </w:tcBorders>
            <w:shd w:val="clear" w:color="auto" w:fill="auto"/>
          </w:tcPr>
          <w:p w:rsidR="001A62D7" w:rsidRPr="00FF3491" w:rsidRDefault="003421FC" w:rsidP="001D5990">
            <w:pPr>
              <w:spacing w:before="60" w:after="60"/>
              <w:ind w:rightChars="192" w:right="461"/>
              <w:jc w:val="left"/>
              <w:rPr>
                <w:rFonts w:eastAsia="Calibri"/>
                <w:noProof/>
              </w:rPr>
            </w:pPr>
            <w:r w:rsidRPr="00FF3491">
              <w:rPr>
                <w:noProof/>
              </w:rPr>
              <w:t>7 aprilie 2026</w:t>
            </w:r>
          </w:p>
        </w:tc>
      </w:tr>
      <w:tr w:rsidR="001A62D7" w:rsidRPr="00FF3491" w:rsidTr="001D5990">
        <w:tc>
          <w:tcPr>
            <w:tcW w:w="4908" w:type="dxa"/>
            <w:tcBorders>
              <w:top w:val="dotted" w:sz="4" w:space="0" w:color="auto"/>
              <w:bottom w:val="dotted" w:sz="4" w:space="0" w:color="auto"/>
            </w:tcBorders>
            <w:shd w:val="clear" w:color="auto" w:fill="auto"/>
          </w:tcPr>
          <w:p w:rsidR="001A62D7" w:rsidRPr="00FF3491" w:rsidRDefault="001A62D7" w:rsidP="001D5990">
            <w:pPr>
              <w:spacing w:before="60" w:after="60"/>
              <w:jc w:val="left"/>
              <w:rPr>
                <w:rFonts w:eastAsia="Calibri"/>
                <w:noProof/>
              </w:rPr>
            </w:pPr>
            <w:r w:rsidRPr="00FF3491">
              <w:rPr>
                <w:noProof/>
              </w:rPr>
              <w:t>Data confirmării primirii cererii</w:t>
            </w:r>
          </w:p>
        </w:tc>
        <w:tc>
          <w:tcPr>
            <w:tcW w:w="4379" w:type="dxa"/>
            <w:tcBorders>
              <w:top w:val="dotted" w:sz="4" w:space="0" w:color="auto"/>
              <w:bottom w:val="dotted" w:sz="4" w:space="0" w:color="auto"/>
            </w:tcBorders>
            <w:shd w:val="clear" w:color="auto" w:fill="auto"/>
          </w:tcPr>
          <w:p w:rsidR="001A62D7" w:rsidRPr="00FF3491" w:rsidRDefault="00674268" w:rsidP="001D5990">
            <w:pPr>
              <w:spacing w:before="60" w:after="60"/>
              <w:ind w:rightChars="192" w:right="461"/>
              <w:jc w:val="left"/>
              <w:rPr>
                <w:rFonts w:eastAsia="Calibri"/>
                <w:noProof/>
              </w:rPr>
            </w:pPr>
            <w:r w:rsidRPr="00FF3491">
              <w:rPr>
                <w:noProof/>
              </w:rPr>
              <w:t>21 aprilie 2026</w:t>
            </w:r>
          </w:p>
        </w:tc>
      </w:tr>
      <w:tr w:rsidR="001A62D7" w:rsidRPr="00FF3491" w:rsidTr="001D5990">
        <w:tc>
          <w:tcPr>
            <w:tcW w:w="4908" w:type="dxa"/>
            <w:tcBorders>
              <w:top w:val="dotted" w:sz="4" w:space="0" w:color="auto"/>
              <w:bottom w:val="dotted" w:sz="4" w:space="0" w:color="auto"/>
            </w:tcBorders>
            <w:shd w:val="clear" w:color="auto" w:fill="auto"/>
          </w:tcPr>
          <w:p w:rsidR="001A62D7" w:rsidRPr="00FF3491" w:rsidRDefault="001A62D7" w:rsidP="001D5990">
            <w:pPr>
              <w:spacing w:before="60" w:after="60"/>
              <w:jc w:val="left"/>
              <w:rPr>
                <w:rFonts w:eastAsia="Calibri"/>
                <w:noProof/>
              </w:rPr>
            </w:pPr>
            <w:r w:rsidRPr="00FF3491">
              <w:rPr>
                <w:noProof/>
              </w:rPr>
              <w:t>Data cererii de informații suplimentare</w:t>
            </w:r>
          </w:p>
        </w:tc>
        <w:tc>
          <w:tcPr>
            <w:tcW w:w="4379" w:type="dxa"/>
            <w:tcBorders>
              <w:top w:val="dotted" w:sz="4" w:space="0" w:color="auto"/>
              <w:bottom w:val="dotted" w:sz="4" w:space="0" w:color="auto"/>
            </w:tcBorders>
            <w:shd w:val="clear" w:color="auto" w:fill="auto"/>
          </w:tcPr>
          <w:p w:rsidR="001A62D7" w:rsidRPr="00FF3491" w:rsidRDefault="00674268" w:rsidP="001D5990">
            <w:pPr>
              <w:spacing w:before="60" w:after="60"/>
              <w:ind w:rightChars="192" w:right="461"/>
              <w:jc w:val="left"/>
              <w:rPr>
                <w:rFonts w:eastAsia="Calibri"/>
                <w:noProof/>
              </w:rPr>
            </w:pPr>
            <w:r w:rsidRPr="00FF3491">
              <w:rPr>
                <w:noProof/>
              </w:rPr>
              <w:t>21 aprilie 2026</w:t>
            </w:r>
          </w:p>
        </w:tc>
      </w:tr>
      <w:tr w:rsidR="001A62D7" w:rsidRPr="00FF3491" w:rsidTr="001D5990">
        <w:tc>
          <w:tcPr>
            <w:tcW w:w="4908" w:type="dxa"/>
            <w:tcBorders>
              <w:top w:val="dotted" w:sz="4" w:space="0" w:color="auto"/>
              <w:bottom w:val="dotted" w:sz="4" w:space="0" w:color="auto"/>
            </w:tcBorders>
            <w:shd w:val="clear" w:color="auto" w:fill="auto"/>
          </w:tcPr>
          <w:p w:rsidR="001A62D7" w:rsidRPr="00FF3491" w:rsidRDefault="001A62D7" w:rsidP="001D5990">
            <w:pPr>
              <w:spacing w:before="60" w:after="60"/>
              <w:jc w:val="left"/>
              <w:rPr>
                <w:rFonts w:eastAsia="Calibri"/>
                <w:noProof/>
              </w:rPr>
            </w:pPr>
            <w:r w:rsidRPr="00FF3491">
              <w:rPr>
                <w:noProof/>
              </w:rPr>
              <w:t>Termenul pentru furnizarea informațiilor suplimentare</w:t>
            </w:r>
          </w:p>
        </w:tc>
        <w:tc>
          <w:tcPr>
            <w:tcW w:w="4379" w:type="dxa"/>
            <w:tcBorders>
              <w:top w:val="dotted" w:sz="4" w:space="0" w:color="auto"/>
              <w:bottom w:val="dotted" w:sz="4" w:space="0" w:color="auto"/>
            </w:tcBorders>
            <w:shd w:val="clear" w:color="auto" w:fill="auto"/>
          </w:tcPr>
          <w:p w:rsidR="001A62D7" w:rsidRPr="00FF3491" w:rsidRDefault="00674268" w:rsidP="001D5990">
            <w:pPr>
              <w:spacing w:before="60" w:after="60"/>
              <w:ind w:rightChars="192" w:right="461"/>
              <w:jc w:val="left"/>
              <w:rPr>
                <w:rFonts w:eastAsia="Calibri"/>
                <w:noProof/>
              </w:rPr>
            </w:pPr>
            <w:r w:rsidRPr="00FF3491">
              <w:rPr>
                <w:noProof/>
              </w:rPr>
              <w:t>13 mai 2026</w:t>
            </w:r>
          </w:p>
        </w:tc>
      </w:tr>
      <w:tr w:rsidR="001A62D7" w:rsidRPr="00FF3491" w:rsidTr="001D5990">
        <w:tc>
          <w:tcPr>
            <w:tcW w:w="4908" w:type="dxa"/>
            <w:tcBorders>
              <w:top w:val="dotted" w:sz="4" w:space="0" w:color="auto"/>
            </w:tcBorders>
            <w:shd w:val="clear" w:color="auto" w:fill="auto"/>
          </w:tcPr>
          <w:p w:rsidR="001A62D7" w:rsidRPr="00FF3491" w:rsidRDefault="001A62D7" w:rsidP="001D5990">
            <w:pPr>
              <w:spacing w:before="60" w:after="60"/>
              <w:jc w:val="left"/>
              <w:rPr>
                <w:rFonts w:eastAsia="Calibri"/>
                <w:noProof/>
              </w:rPr>
            </w:pPr>
            <w:r w:rsidRPr="00FF3491">
              <w:rPr>
                <w:noProof/>
              </w:rPr>
              <w:t>Termenul pentru finalizarea evaluării</w:t>
            </w:r>
          </w:p>
        </w:tc>
        <w:tc>
          <w:tcPr>
            <w:tcW w:w="4379" w:type="dxa"/>
            <w:tcBorders>
              <w:top w:val="dotted" w:sz="4" w:space="0" w:color="auto"/>
            </w:tcBorders>
            <w:shd w:val="clear" w:color="auto" w:fill="auto"/>
          </w:tcPr>
          <w:p w:rsidR="001A62D7" w:rsidRPr="00FF3491" w:rsidRDefault="00674268" w:rsidP="001D5990">
            <w:pPr>
              <w:spacing w:before="60" w:after="60"/>
              <w:ind w:rightChars="192" w:right="461"/>
              <w:jc w:val="left"/>
              <w:rPr>
                <w:rFonts w:eastAsia="Calibri"/>
                <w:noProof/>
              </w:rPr>
            </w:pPr>
            <w:r w:rsidRPr="00FF3491">
              <w:rPr>
                <w:noProof/>
              </w:rPr>
              <w:t>28 iulie 2026</w:t>
            </w:r>
          </w:p>
        </w:tc>
      </w:tr>
      <w:tr w:rsidR="001A62D7" w:rsidRPr="00FF3491" w:rsidTr="001D5990">
        <w:tc>
          <w:tcPr>
            <w:tcW w:w="4908" w:type="dxa"/>
            <w:shd w:val="clear" w:color="auto" w:fill="auto"/>
          </w:tcPr>
          <w:p w:rsidR="001A62D7" w:rsidRPr="00FF3491" w:rsidRDefault="001A62D7" w:rsidP="001D5990">
            <w:pPr>
              <w:spacing w:before="60" w:after="60"/>
              <w:jc w:val="left"/>
              <w:rPr>
                <w:rFonts w:eastAsia="Calibri"/>
                <w:noProof/>
              </w:rPr>
            </w:pPr>
            <w:r w:rsidRPr="00FF3491">
              <w:rPr>
                <w:noProof/>
              </w:rPr>
              <w:t>Criteriul de intervenție</w:t>
            </w:r>
          </w:p>
        </w:tc>
        <w:tc>
          <w:tcPr>
            <w:tcW w:w="4379" w:type="dxa"/>
            <w:shd w:val="clear" w:color="auto" w:fill="auto"/>
          </w:tcPr>
          <w:p w:rsidR="001A62D7" w:rsidRPr="00FF3491" w:rsidRDefault="001A62D7" w:rsidP="001D5990">
            <w:pPr>
              <w:spacing w:before="60" w:after="60"/>
              <w:ind w:rightChars="192" w:right="461"/>
              <w:jc w:val="left"/>
              <w:rPr>
                <w:rFonts w:eastAsia="Calibri"/>
                <w:noProof/>
              </w:rPr>
            </w:pPr>
            <w:r w:rsidRPr="00FF3491">
              <w:rPr>
                <w:noProof/>
              </w:rPr>
              <w:t>Articolul 4 alineatul (2) litera (c) din Regulamentul (UE) 2021/691</w:t>
            </w:r>
          </w:p>
        </w:tc>
      </w:tr>
      <w:tr w:rsidR="001A62D7" w:rsidRPr="00FF3491" w:rsidTr="001D5990">
        <w:tc>
          <w:tcPr>
            <w:tcW w:w="4908" w:type="dxa"/>
            <w:tcBorders>
              <w:top w:val="single" w:sz="4" w:space="0" w:color="auto"/>
              <w:bottom w:val="single" w:sz="4" w:space="0" w:color="auto"/>
              <w:right w:val="single" w:sz="4" w:space="0" w:color="auto"/>
            </w:tcBorders>
            <w:shd w:val="clear" w:color="auto" w:fill="auto"/>
          </w:tcPr>
          <w:p w:rsidR="001A62D7" w:rsidRPr="00FF3491" w:rsidRDefault="001A62D7" w:rsidP="001D5990">
            <w:pPr>
              <w:spacing w:before="60" w:after="60"/>
              <w:jc w:val="left"/>
              <w:rPr>
                <w:rFonts w:eastAsia="Calibri"/>
                <w:noProof/>
              </w:rPr>
            </w:pPr>
            <w:r w:rsidRPr="00FF3491">
              <w:rPr>
                <w:noProof/>
              </w:rPr>
              <w:br w:type="page"/>
              <w:t>Numărul de întreprinderi vizate</w:t>
            </w:r>
          </w:p>
        </w:tc>
        <w:tc>
          <w:tcPr>
            <w:tcW w:w="4379" w:type="dxa"/>
            <w:tcBorders>
              <w:top w:val="single" w:sz="4" w:space="0" w:color="auto"/>
              <w:left w:val="single" w:sz="4" w:space="0" w:color="auto"/>
              <w:bottom w:val="single" w:sz="4" w:space="0" w:color="auto"/>
            </w:tcBorders>
            <w:shd w:val="clear" w:color="auto" w:fill="auto"/>
          </w:tcPr>
          <w:p w:rsidR="001A62D7" w:rsidRPr="00FF3491" w:rsidRDefault="00A10F73" w:rsidP="001D5990">
            <w:pPr>
              <w:spacing w:before="60" w:after="60"/>
              <w:ind w:rightChars="192" w:right="461"/>
              <w:jc w:val="left"/>
              <w:rPr>
                <w:noProof/>
                <w:szCs w:val="24"/>
              </w:rPr>
            </w:pPr>
            <w:r w:rsidRPr="00FF3491">
              <w:rPr>
                <w:noProof/>
              </w:rPr>
              <w:t>20</w:t>
            </w:r>
          </w:p>
        </w:tc>
      </w:tr>
      <w:tr w:rsidR="001A62D7" w:rsidRPr="00FF3491" w:rsidTr="001D5990">
        <w:tc>
          <w:tcPr>
            <w:tcW w:w="4908" w:type="dxa"/>
            <w:shd w:val="clear" w:color="auto" w:fill="auto"/>
          </w:tcPr>
          <w:p w:rsidR="001A62D7" w:rsidRPr="00FF3491" w:rsidRDefault="001A62D7" w:rsidP="001D5990">
            <w:pPr>
              <w:spacing w:before="60" w:after="60"/>
              <w:jc w:val="left"/>
              <w:rPr>
                <w:rFonts w:eastAsia="Calibri"/>
                <w:noProof/>
              </w:rPr>
            </w:pPr>
            <w:r w:rsidRPr="00FF3491">
              <w:rPr>
                <w:noProof/>
              </w:rPr>
              <w:t>Sectorul (sectoarele) de activitate economică</w:t>
            </w:r>
          </w:p>
          <w:p w:rsidR="001A62D7" w:rsidRPr="00FF3491" w:rsidRDefault="001A62D7" w:rsidP="001D5990">
            <w:pPr>
              <w:spacing w:before="60" w:after="60"/>
              <w:jc w:val="left"/>
              <w:rPr>
                <w:rFonts w:eastAsia="Calibri"/>
                <w:noProof/>
              </w:rPr>
            </w:pPr>
            <w:r w:rsidRPr="00FF3491">
              <w:rPr>
                <w:noProof/>
              </w:rPr>
              <w:t>(Diviziunea NACE Rev. 2)</w:t>
            </w:r>
            <w:r w:rsidRPr="00FF3491">
              <w:rPr>
                <w:rStyle w:val="FootnoteReference"/>
                <w:noProof/>
                <w:szCs w:val="24"/>
              </w:rPr>
              <w:footnoteReference w:id="3"/>
            </w:r>
          </w:p>
        </w:tc>
        <w:tc>
          <w:tcPr>
            <w:tcW w:w="4379" w:type="dxa"/>
            <w:shd w:val="clear" w:color="auto" w:fill="auto"/>
          </w:tcPr>
          <w:p w:rsidR="001A62D7" w:rsidRPr="00FF3491" w:rsidRDefault="001A62D7" w:rsidP="001D5990">
            <w:pPr>
              <w:spacing w:before="60" w:after="60"/>
              <w:ind w:rightChars="192" w:right="461"/>
              <w:jc w:val="left"/>
              <w:rPr>
                <w:noProof/>
                <w:szCs w:val="24"/>
              </w:rPr>
            </w:pPr>
            <w:r w:rsidRPr="00FF3491">
              <w:rPr>
                <w:noProof/>
              </w:rPr>
              <w:t>Diviziunea 25 (Fabricarea produselor metalice cu excepția mașinilor și echipamentelor),</w:t>
            </w:r>
          </w:p>
          <w:p w:rsidR="002A70E5" w:rsidRPr="00FF3491" w:rsidRDefault="001A62D7" w:rsidP="002A70E5">
            <w:pPr>
              <w:spacing w:before="60" w:after="60"/>
              <w:ind w:rightChars="192" w:right="461"/>
              <w:jc w:val="left"/>
              <w:rPr>
                <w:noProof/>
                <w:szCs w:val="24"/>
              </w:rPr>
            </w:pPr>
            <w:r w:rsidRPr="00FF3491">
              <w:rPr>
                <w:noProof/>
              </w:rPr>
              <w:t>Diviziunea 27 (Fabricarea echipamentelor electrice),</w:t>
            </w:r>
          </w:p>
          <w:p w:rsidR="002A70E5" w:rsidRPr="00FF3491" w:rsidRDefault="002A70E5" w:rsidP="002A70E5">
            <w:pPr>
              <w:spacing w:before="60" w:after="60"/>
              <w:ind w:rightChars="192" w:right="461"/>
              <w:jc w:val="left"/>
              <w:rPr>
                <w:noProof/>
                <w:szCs w:val="24"/>
              </w:rPr>
            </w:pPr>
            <w:r w:rsidRPr="00FF3491">
              <w:rPr>
                <w:noProof/>
              </w:rPr>
              <w:t xml:space="preserve">Diviziunea 28 (Fabricarea altor </w:t>
            </w:r>
            <w:r w:rsidRPr="00FF3491">
              <w:rPr>
                <w:noProof/>
              </w:rPr>
              <w:lastRenderedPageBreak/>
              <w:t>mașini și echipamente),</w:t>
            </w:r>
          </w:p>
          <w:p w:rsidR="001A62D7" w:rsidRPr="00FF3491" w:rsidRDefault="002A70E5" w:rsidP="002A70E5">
            <w:pPr>
              <w:spacing w:before="60" w:after="60"/>
              <w:ind w:rightChars="192" w:right="461"/>
              <w:jc w:val="left"/>
              <w:rPr>
                <w:rFonts w:eastAsia="Calibri"/>
                <w:noProof/>
              </w:rPr>
            </w:pPr>
            <w:r w:rsidRPr="00FF3491">
              <w:rPr>
                <w:noProof/>
              </w:rPr>
              <w:t>Diviziunea 29 (Fabricarea autovehiculelor, remorcilor și semiremorcilor), Diviziunea 74 (Alte activități specializate, științifice și tehnice)</w:t>
            </w:r>
          </w:p>
        </w:tc>
      </w:tr>
      <w:tr w:rsidR="001A62D7" w:rsidRPr="00FF3491" w:rsidTr="001D5990">
        <w:tc>
          <w:tcPr>
            <w:tcW w:w="4908" w:type="dxa"/>
            <w:tcBorders>
              <w:bottom w:val="single" w:sz="4" w:space="0" w:color="auto"/>
            </w:tcBorders>
            <w:shd w:val="clear" w:color="auto" w:fill="auto"/>
          </w:tcPr>
          <w:p w:rsidR="001A62D7" w:rsidRPr="00FF3491" w:rsidRDefault="001A62D7" w:rsidP="001D5990">
            <w:pPr>
              <w:spacing w:before="60" w:after="60"/>
              <w:jc w:val="left"/>
              <w:rPr>
                <w:rFonts w:eastAsia="Calibri"/>
                <w:noProof/>
              </w:rPr>
            </w:pPr>
            <w:r w:rsidRPr="00FF3491">
              <w:rPr>
                <w:noProof/>
              </w:rPr>
              <w:lastRenderedPageBreak/>
              <w:t>Perioada de referință (patru luni):</w:t>
            </w:r>
          </w:p>
        </w:tc>
        <w:tc>
          <w:tcPr>
            <w:tcW w:w="4379" w:type="dxa"/>
            <w:tcBorders>
              <w:bottom w:val="single" w:sz="4" w:space="0" w:color="auto"/>
            </w:tcBorders>
            <w:shd w:val="clear" w:color="auto" w:fill="auto"/>
          </w:tcPr>
          <w:p w:rsidR="001A62D7" w:rsidRPr="00FF3491" w:rsidRDefault="002A70E5" w:rsidP="001D5990">
            <w:pPr>
              <w:spacing w:before="60" w:after="60"/>
              <w:ind w:rightChars="192" w:right="461"/>
              <w:jc w:val="left"/>
              <w:rPr>
                <w:rFonts w:eastAsia="Calibri"/>
                <w:noProof/>
              </w:rPr>
            </w:pPr>
            <w:r w:rsidRPr="00FF3491">
              <w:rPr>
                <w:noProof/>
              </w:rPr>
              <w:t>15 septembrie 2025 – 15 ianuarie 2026</w:t>
            </w:r>
          </w:p>
        </w:tc>
      </w:tr>
      <w:tr w:rsidR="001A62D7" w:rsidRPr="00FF3491" w:rsidTr="001D5990">
        <w:tc>
          <w:tcPr>
            <w:tcW w:w="4908" w:type="dxa"/>
            <w:tcBorders>
              <w:bottom w:val="dotted" w:sz="4" w:space="0" w:color="auto"/>
            </w:tcBorders>
            <w:shd w:val="clear" w:color="auto" w:fill="auto"/>
          </w:tcPr>
          <w:p w:rsidR="001A62D7" w:rsidRPr="00FF3491" w:rsidRDefault="001A62D7" w:rsidP="001D5990">
            <w:pPr>
              <w:spacing w:before="60" w:after="60"/>
              <w:jc w:val="left"/>
              <w:rPr>
                <w:rFonts w:eastAsia="Calibri"/>
                <w:noProof/>
                <w:highlight w:val="magenta"/>
              </w:rPr>
            </w:pPr>
            <w:r w:rsidRPr="00FF3491">
              <w:rPr>
                <w:noProof/>
              </w:rPr>
              <w:t>Numărul de disponibilizări în perioada de referință (</w:t>
            </w:r>
            <w:r w:rsidRPr="00FF3491">
              <w:rPr>
                <w:i/>
                <w:noProof/>
              </w:rPr>
              <w:t>a</w:t>
            </w:r>
            <w:r w:rsidRPr="00FF3491">
              <w:rPr>
                <w:noProof/>
              </w:rPr>
              <w:t>)</w:t>
            </w:r>
          </w:p>
        </w:tc>
        <w:tc>
          <w:tcPr>
            <w:tcW w:w="4379" w:type="dxa"/>
            <w:tcBorders>
              <w:bottom w:val="dotted" w:sz="4" w:space="0" w:color="auto"/>
            </w:tcBorders>
            <w:shd w:val="clear" w:color="auto" w:fill="auto"/>
          </w:tcPr>
          <w:p w:rsidR="001A62D7" w:rsidRPr="00FF3491" w:rsidRDefault="002A70E5" w:rsidP="001D5990">
            <w:pPr>
              <w:spacing w:before="60" w:after="60"/>
              <w:ind w:rightChars="192" w:right="461"/>
              <w:jc w:val="left"/>
              <w:rPr>
                <w:rFonts w:eastAsia="Calibri"/>
                <w:noProof/>
                <w:highlight w:val="magenta"/>
              </w:rPr>
            </w:pPr>
            <w:r w:rsidRPr="00FF3491">
              <w:rPr>
                <w:noProof/>
              </w:rPr>
              <w:t>313</w:t>
            </w:r>
          </w:p>
        </w:tc>
      </w:tr>
      <w:tr w:rsidR="001A62D7" w:rsidRPr="00FF3491" w:rsidTr="001D5990">
        <w:tc>
          <w:tcPr>
            <w:tcW w:w="4908" w:type="dxa"/>
            <w:tcBorders>
              <w:top w:val="dotted" w:sz="4" w:space="0" w:color="auto"/>
              <w:bottom w:val="dotted" w:sz="4" w:space="0" w:color="auto"/>
            </w:tcBorders>
            <w:shd w:val="clear" w:color="auto" w:fill="auto"/>
          </w:tcPr>
          <w:p w:rsidR="001A62D7" w:rsidRPr="00FF3491" w:rsidRDefault="001A62D7" w:rsidP="001D5990">
            <w:pPr>
              <w:spacing w:before="60" w:after="60"/>
              <w:jc w:val="left"/>
              <w:rPr>
                <w:rFonts w:eastAsia="Calibri"/>
                <w:noProof/>
                <w:highlight w:val="magenta"/>
              </w:rPr>
            </w:pPr>
            <w:r w:rsidRPr="00FF3491">
              <w:rPr>
                <w:noProof/>
              </w:rPr>
              <w:t>Numărul de disponibilizări înainte sau după perioada de referință (</w:t>
            </w:r>
            <w:r w:rsidRPr="00FF3491">
              <w:rPr>
                <w:i/>
                <w:noProof/>
              </w:rPr>
              <w:t>b</w:t>
            </w:r>
            <w:r w:rsidRPr="00FF3491">
              <w:rPr>
                <w:noProof/>
              </w:rPr>
              <w:t>)</w:t>
            </w:r>
          </w:p>
        </w:tc>
        <w:tc>
          <w:tcPr>
            <w:tcW w:w="4379" w:type="dxa"/>
            <w:tcBorders>
              <w:top w:val="dotted" w:sz="4" w:space="0" w:color="auto"/>
              <w:bottom w:val="dotted" w:sz="4" w:space="0" w:color="auto"/>
            </w:tcBorders>
            <w:shd w:val="clear" w:color="auto" w:fill="auto"/>
          </w:tcPr>
          <w:p w:rsidR="001A62D7" w:rsidRPr="00FF3491" w:rsidRDefault="002A70E5" w:rsidP="001D5990">
            <w:pPr>
              <w:spacing w:before="60" w:after="60"/>
              <w:ind w:rightChars="192" w:right="461"/>
              <w:jc w:val="left"/>
              <w:rPr>
                <w:rFonts w:eastAsia="Calibri"/>
                <w:noProof/>
              </w:rPr>
            </w:pPr>
            <w:r w:rsidRPr="00FF3491">
              <w:rPr>
                <w:noProof/>
              </w:rPr>
              <w:t>358</w:t>
            </w:r>
          </w:p>
        </w:tc>
      </w:tr>
      <w:tr w:rsidR="001A62D7" w:rsidRPr="00FF3491" w:rsidTr="001D5990">
        <w:tc>
          <w:tcPr>
            <w:tcW w:w="4908" w:type="dxa"/>
            <w:tcBorders>
              <w:top w:val="dotted" w:sz="4" w:space="0" w:color="auto"/>
              <w:bottom w:val="single" w:sz="4" w:space="0" w:color="auto"/>
            </w:tcBorders>
            <w:shd w:val="clear" w:color="auto" w:fill="auto"/>
          </w:tcPr>
          <w:p w:rsidR="001A62D7" w:rsidRPr="00FF3491" w:rsidRDefault="001A62D7" w:rsidP="001D5990">
            <w:pPr>
              <w:spacing w:before="60" w:after="60"/>
              <w:jc w:val="left"/>
              <w:rPr>
                <w:rFonts w:eastAsia="Calibri"/>
                <w:noProof/>
              </w:rPr>
            </w:pPr>
            <w:r w:rsidRPr="00FF3491">
              <w:rPr>
                <w:noProof/>
              </w:rPr>
              <w:t>Numărul total de disponibilizări (</w:t>
            </w:r>
            <w:r w:rsidRPr="00FF3491">
              <w:rPr>
                <w:i/>
                <w:noProof/>
              </w:rPr>
              <w:t>a</w:t>
            </w:r>
            <w:r w:rsidRPr="00FF3491">
              <w:rPr>
                <w:noProof/>
              </w:rPr>
              <w:t xml:space="preserve"> + </w:t>
            </w:r>
            <w:r w:rsidRPr="00FF3491">
              <w:rPr>
                <w:i/>
                <w:noProof/>
              </w:rPr>
              <w:t>b</w:t>
            </w:r>
            <w:r w:rsidRPr="00FF3491">
              <w:rPr>
                <w:noProof/>
              </w:rPr>
              <w:t>)</w:t>
            </w:r>
          </w:p>
        </w:tc>
        <w:tc>
          <w:tcPr>
            <w:tcW w:w="4379" w:type="dxa"/>
            <w:tcBorders>
              <w:top w:val="dotted" w:sz="4" w:space="0" w:color="auto"/>
              <w:bottom w:val="single" w:sz="4" w:space="0" w:color="auto"/>
            </w:tcBorders>
            <w:shd w:val="clear" w:color="auto" w:fill="auto"/>
          </w:tcPr>
          <w:p w:rsidR="001A62D7" w:rsidRPr="00FF3491" w:rsidRDefault="002A70E5" w:rsidP="001D5990">
            <w:pPr>
              <w:spacing w:before="60" w:after="60"/>
              <w:ind w:rightChars="192" w:right="461"/>
              <w:jc w:val="left"/>
              <w:rPr>
                <w:rFonts w:eastAsia="Calibri"/>
                <w:noProof/>
              </w:rPr>
            </w:pPr>
            <w:r w:rsidRPr="00FF3491">
              <w:rPr>
                <w:noProof/>
              </w:rPr>
              <w:t>671</w:t>
            </w:r>
          </w:p>
        </w:tc>
      </w:tr>
      <w:tr w:rsidR="001A62D7" w:rsidRPr="00FF3491" w:rsidTr="001D5990">
        <w:tc>
          <w:tcPr>
            <w:tcW w:w="4908" w:type="dxa"/>
            <w:tcBorders>
              <w:bottom w:val="dotted" w:sz="4" w:space="0" w:color="auto"/>
            </w:tcBorders>
            <w:shd w:val="clear" w:color="auto" w:fill="auto"/>
          </w:tcPr>
          <w:p w:rsidR="001A62D7" w:rsidRPr="00FF3491" w:rsidRDefault="001A62D7" w:rsidP="001D5990">
            <w:pPr>
              <w:spacing w:before="60" w:after="60"/>
              <w:jc w:val="left"/>
              <w:rPr>
                <w:rFonts w:eastAsia="Calibri"/>
                <w:noProof/>
              </w:rPr>
            </w:pPr>
            <w:r w:rsidRPr="00FF3491">
              <w:rPr>
                <w:noProof/>
              </w:rPr>
              <w:t>Numărul total de beneficiari eligibili</w:t>
            </w:r>
          </w:p>
        </w:tc>
        <w:tc>
          <w:tcPr>
            <w:tcW w:w="4379" w:type="dxa"/>
            <w:tcBorders>
              <w:bottom w:val="dotted" w:sz="4" w:space="0" w:color="auto"/>
            </w:tcBorders>
            <w:shd w:val="clear" w:color="auto" w:fill="auto"/>
          </w:tcPr>
          <w:p w:rsidR="001A62D7" w:rsidRPr="00FF3491" w:rsidRDefault="002A70E5" w:rsidP="001D5990">
            <w:pPr>
              <w:spacing w:before="60" w:after="60"/>
              <w:ind w:rightChars="192" w:right="461"/>
              <w:jc w:val="left"/>
              <w:rPr>
                <w:rFonts w:eastAsia="Calibri"/>
                <w:noProof/>
              </w:rPr>
            </w:pPr>
            <w:r w:rsidRPr="00FF3491">
              <w:rPr>
                <w:noProof/>
              </w:rPr>
              <w:t>671</w:t>
            </w:r>
          </w:p>
        </w:tc>
      </w:tr>
      <w:tr w:rsidR="001A62D7" w:rsidRPr="00FF3491" w:rsidTr="001D5990">
        <w:tc>
          <w:tcPr>
            <w:tcW w:w="4908" w:type="dxa"/>
            <w:tcBorders>
              <w:top w:val="dotted" w:sz="4" w:space="0" w:color="auto"/>
              <w:bottom w:val="dotted" w:sz="4" w:space="0" w:color="auto"/>
            </w:tcBorders>
            <w:shd w:val="clear" w:color="auto" w:fill="auto"/>
          </w:tcPr>
          <w:p w:rsidR="001A62D7" w:rsidRPr="00FF3491" w:rsidRDefault="001A62D7" w:rsidP="001D5990">
            <w:pPr>
              <w:spacing w:before="60" w:after="60"/>
              <w:jc w:val="left"/>
              <w:rPr>
                <w:rFonts w:eastAsia="Calibri"/>
                <w:noProof/>
              </w:rPr>
            </w:pPr>
            <w:r w:rsidRPr="00FF3491">
              <w:rPr>
                <w:noProof/>
              </w:rPr>
              <w:t>Numărul total de beneficiari vizați</w:t>
            </w:r>
          </w:p>
        </w:tc>
        <w:tc>
          <w:tcPr>
            <w:tcW w:w="4379" w:type="dxa"/>
            <w:tcBorders>
              <w:top w:val="dotted" w:sz="4" w:space="0" w:color="auto"/>
              <w:bottom w:val="dotted" w:sz="4" w:space="0" w:color="auto"/>
            </w:tcBorders>
            <w:shd w:val="clear" w:color="auto" w:fill="auto"/>
          </w:tcPr>
          <w:p w:rsidR="001A62D7" w:rsidRPr="00FF3491" w:rsidRDefault="002A70E5" w:rsidP="001D5990">
            <w:pPr>
              <w:spacing w:before="60" w:after="60"/>
              <w:ind w:rightChars="192" w:right="461"/>
              <w:jc w:val="left"/>
              <w:rPr>
                <w:rFonts w:eastAsia="Calibri"/>
                <w:noProof/>
              </w:rPr>
            </w:pPr>
            <w:r w:rsidRPr="00FF3491">
              <w:rPr>
                <w:noProof/>
              </w:rPr>
              <w:t>400</w:t>
            </w:r>
          </w:p>
        </w:tc>
      </w:tr>
      <w:tr w:rsidR="001A62D7" w:rsidRPr="00FF3491" w:rsidTr="001D5990">
        <w:tc>
          <w:tcPr>
            <w:tcW w:w="4908" w:type="dxa"/>
            <w:tcBorders>
              <w:bottom w:val="dotted" w:sz="4" w:space="0" w:color="auto"/>
            </w:tcBorders>
            <w:shd w:val="clear" w:color="auto" w:fill="auto"/>
            <w:vAlign w:val="center"/>
          </w:tcPr>
          <w:p w:rsidR="001A62D7" w:rsidRPr="00FF3491" w:rsidRDefault="001A62D7" w:rsidP="001D5990">
            <w:pPr>
              <w:spacing w:before="0" w:after="0"/>
              <w:jc w:val="left"/>
              <w:rPr>
                <w:noProof/>
              </w:rPr>
            </w:pPr>
            <w:r w:rsidRPr="00FF3491">
              <w:rPr>
                <w:noProof/>
              </w:rPr>
              <w:t>Bugetul pentru servicii personalizate (EUR)</w:t>
            </w:r>
          </w:p>
        </w:tc>
        <w:tc>
          <w:tcPr>
            <w:tcW w:w="4379" w:type="dxa"/>
            <w:tcBorders>
              <w:bottom w:val="dotted" w:sz="4" w:space="0" w:color="auto"/>
            </w:tcBorders>
            <w:shd w:val="clear" w:color="auto" w:fill="auto"/>
            <w:vAlign w:val="center"/>
          </w:tcPr>
          <w:p w:rsidR="001A62D7" w:rsidRPr="00FF3491" w:rsidRDefault="00044450" w:rsidP="001D5990">
            <w:pPr>
              <w:spacing w:before="0" w:after="0"/>
              <w:ind w:rightChars="192" w:right="461"/>
              <w:jc w:val="left"/>
              <w:rPr>
                <w:noProof/>
              </w:rPr>
            </w:pPr>
            <w:r w:rsidRPr="00FF3491">
              <w:rPr>
                <w:noProof/>
              </w:rPr>
              <w:t>3 046 000</w:t>
            </w:r>
          </w:p>
        </w:tc>
      </w:tr>
      <w:tr w:rsidR="001A62D7" w:rsidRPr="00FF3491" w:rsidTr="001D5990">
        <w:tc>
          <w:tcPr>
            <w:tcW w:w="4908" w:type="dxa"/>
            <w:tcBorders>
              <w:top w:val="dotted" w:sz="4" w:space="0" w:color="auto"/>
              <w:bottom w:val="dotted" w:sz="4" w:space="0" w:color="auto"/>
            </w:tcBorders>
            <w:shd w:val="clear" w:color="auto" w:fill="auto"/>
            <w:vAlign w:val="center"/>
          </w:tcPr>
          <w:p w:rsidR="001A62D7" w:rsidRPr="00FF3491" w:rsidRDefault="001A62D7" w:rsidP="001D5990">
            <w:pPr>
              <w:spacing w:before="0" w:after="0"/>
              <w:jc w:val="left"/>
              <w:rPr>
                <w:noProof/>
              </w:rPr>
            </w:pPr>
            <w:r w:rsidRPr="00FF3491">
              <w:rPr>
                <w:noProof/>
              </w:rPr>
              <w:t>Bugetul pentru implementarea FEG</w:t>
            </w:r>
            <w:r w:rsidRPr="00FF3491">
              <w:rPr>
                <w:rStyle w:val="FootnoteReference"/>
                <w:noProof/>
              </w:rPr>
              <w:footnoteReference w:id="4"/>
            </w:r>
            <w:r w:rsidRPr="00FF3491">
              <w:rPr>
                <w:noProof/>
              </w:rPr>
              <w:t xml:space="preserve"> (EUR)</w:t>
            </w:r>
          </w:p>
        </w:tc>
        <w:tc>
          <w:tcPr>
            <w:tcW w:w="4379" w:type="dxa"/>
            <w:tcBorders>
              <w:top w:val="dotted" w:sz="4" w:space="0" w:color="auto"/>
              <w:bottom w:val="dotted" w:sz="4" w:space="0" w:color="auto"/>
            </w:tcBorders>
            <w:shd w:val="clear" w:color="auto" w:fill="auto"/>
            <w:vAlign w:val="center"/>
          </w:tcPr>
          <w:p w:rsidR="001A62D7" w:rsidRPr="00FF3491" w:rsidRDefault="00044450" w:rsidP="001D5990">
            <w:pPr>
              <w:spacing w:before="0" w:after="0"/>
              <w:ind w:rightChars="192" w:right="461"/>
              <w:jc w:val="left"/>
              <w:rPr>
                <w:noProof/>
              </w:rPr>
            </w:pPr>
            <w:r w:rsidRPr="00FF3491">
              <w:rPr>
                <w:noProof/>
              </w:rPr>
              <w:t>160 000</w:t>
            </w:r>
          </w:p>
        </w:tc>
      </w:tr>
      <w:tr w:rsidR="001A62D7" w:rsidRPr="00FF3491" w:rsidTr="001D5990">
        <w:tc>
          <w:tcPr>
            <w:tcW w:w="4908" w:type="dxa"/>
            <w:tcBorders>
              <w:top w:val="dotted" w:sz="4" w:space="0" w:color="auto"/>
              <w:bottom w:val="dotted" w:sz="4" w:space="0" w:color="auto"/>
            </w:tcBorders>
            <w:shd w:val="clear" w:color="auto" w:fill="auto"/>
            <w:vAlign w:val="center"/>
          </w:tcPr>
          <w:p w:rsidR="001A62D7" w:rsidRPr="00FF3491" w:rsidRDefault="001A62D7" w:rsidP="001D5990">
            <w:pPr>
              <w:spacing w:before="0" w:after="0"/>
              <w:jc w:val="left"/>
              <w:rPr>
                <w:noProof/>
              </w:rPr>
            </w:pPr>
            <w:r w:rsidRPr="00FF3491">
              <w:rPr>
                <w:noProof/>
              </w:rPr>
              <w:t>Bugetul total (EUR)</w:t>
            </w:r>
          </w:p>
        </w:tc>
        <w:tc>
          <w:tcPr>
            <w:tcW w:w="4379" w:type="dxa"/>
            <w:tcBorders>
              <w:top w:val="dotted" w:sz="4" w:space="0" w:color="auto"/>
              <w:bottom w:val="dotted" w:sz="4" w:space="0" w:color="auto"/>
            </w:tcBorders>
            <w:shd w:val="clear" w:color="auto" w:fill="auto"/>
            <w:vAlign w:val="center"/>
          </w:tcPr>
          <w:p w:rsidR="001A62D7" w:rsidRPr="00FF3491" w:rsidRDefault="00044450" w:rsidP="001D5990">
            <w:pPr>
              <w:spacing w:before="0" w:after="0"/>
              <w:ind w:rightChars="192" w:right="461"/>
              <w:jc w:val="left"/>
              <w:rPr>
                <w:noProof/>
              </w:rPr>
            </w:pPr>
            <w:r w:rsidRPr="00FF3491">
              <w:rPr>
                <w:noProof/>
              </w:rPr>
              <w:t>3 206 000</w:t>
            </w:r>
          </w:p>
        </w:tc>
      </w:tr>
      <w:tr w:rsidR="001A62D7" w:rsidRPr="00FF3491" w:rsidTr="001D5990">
        <w:tc>
          <w:tcPr>
            <w:tcW w:w="4908" w:type="dxa"/>
            <w:tcBorders>
              <w:top w:val="dotted" w:sz="4" w:space="0" w:color="auto"/>
            </w:tcBorders>
            <w:shd w:val="clear" w:color="auto" w:fill="auto"/>
            <w:vAlign w:val="center"/>
          </w:tcPr>
          <w:p w:rsidR="001A62D7" w:rsidRPr="00FF3491" w:rsidRDefault="001A62D7" w:rsidP="001D5990">
            <w:pPr>
              <w:spacing w:before="0" w:after="0"/>
              <w:jc w:val="left"/>
              <w:rPr>
                <w:noProof/>
              </w:rPr>
            </w:pPr>
            <w:r w:rsidRPr="00FF3491">
              <w:rPr>
                <w:noProof/>
              </w:rPr>
              <w:t>Contribuția din partea FEG (85 %) (EUR)</w:t>
            </w:r>
          </w:p>
        </w:tc>
        <w:tc>
          <w:tcPr>
            <w:tcW w:w="4379" w:type="dxa"/>
            <w:tcBorders>
              <w:top w:val="dotted" w:sz="4" w:space="0" w:color="auto"/>
            </w:tcBorders>
            <w:shd w:val="clear" w:color="auto" w:fill="auto"/>
            <w:vAlign w:val="center"/>
          </w:tcPr>
          <w:p w:rsidR="001A62D7" w:rsidRPr="00FF3491" w:rsidRDefault="00044450" w:rsidP="001D5990">
            <w:pPr>
              <w:spacing w:before="0" w:after="0"/>
              <w:ind w:rightChars="192" w:right="461"/>
              <w:jc w:val="left"/>
              <w:rPr>
                <w:noProof/>
              </w:rPr>
            </w:pPr>
            <w:r w:rsidRPr="00FF3491">
              <w:rPr>
                <w:noProof/>
              </w:rPr>
              <w:t>2 725 100</w:t>
            </w:r>
          </w:p>
        </w:tc>
      </w:tr>
    </w:tbl>
    <w:p w:rsidR="001A62D7" w:rsidRPr="00FF3491" w:rsidRDefault="001A62D7" w:rsidP="001A62D7">
      <w:pPr>
        <w:pStyle w:val="ManualHeading1"/>
        <w:rPr>
          <w:noProof/>
        </w:rPr>
      </w:pPr>
      <w:r w:rsidRPr="00FF3491">
        <w:rPr>
          <w:noProof/>
        </w:rPr>
        <w:t>EVALUAREA CERERII</w:t>
      </w:r>
    </w:p>
    <w:p w:rsidR="001A62D7" w:rsidRPr="00FF3491" w:rsidRDefault="001A62D7" w:rsidP="001A62D7">
      <w:pPr>
        <w:pStyle w:val="ManualHeading2"/>
        <w:rPr>
          <w:noProof/>
        </w:rPr>
      </w:pPr>
      <w:r w:rsidRPr="00FF3491">
        <w:rPr>
          <w:noProof/>
        </w:rPr>
        <w:t>Procedură</w:t>
      </w:r>
    </w:p>
    <w:p w:rsidR="001A62D7" w:rsidRPr="00FF3491" w:rsidRDefault="003421FC" w:rsidP="00AE7D04">
      <w:pPr>
        <w:pStyle w:val="ManualNumPar1"/>
        <w:rPr>
          <w:noProof/>
        </w:rPr>
      </w:pPr>
      <w:r>
        <w:rPr>
          <w:noProof/>
        </w:rPr>
        <w:t>4.</w:t>
      </w:r>
      <w:r>
        <w:rPr>
          <w:noProof/>
        </w:rPr>
        <w:tab/>
      </w:r>
      <w:r w:rsidRPr="00FF3491">
        <w:rPr>
          <w:noProof/>
        </w:rPr>
        <w:t xml:space="preserve">La 7 aprilie 2026, Spania a depus cererea EGF/2026/002 ES/Sectoarele auxiliare industriei autovehiculelor din Galicia, încadrându-se în termenul de 12 săptămâni de la data la care au fost îndeplinite criteriile de intervenție stabilite la articolul 4 alineatul (2) litera (c) din Regulamentul (UE) 2021/691. Comisia a confirmat primirea cererii și a solicitat informații suplimentare din partea Spaniei la 21 aprilie 2026. Aceste informații suplimentare au fost furnizate în termen de 15 zile lucrătoare de la data cererii. Termenul de 50 de zile lucrătoare de la data primirii cererii complete, în cursul căruia Comisia ar trebui să finalizeze evaluarea conformității cererii cu condițiile de acordare a unei contribuții financiare, expiră la 28 iulie 2026. </w:t>
      </w:r>
    </w:p>
    <w:p w:rsidR="001A62D7" w:rsidRPr="00FF3491" w:rsidRDefault="001A62D7" w:rsidP="001A62D7">
      <w:pPr>
        <w:pStyle w:val="ManualHeading2"/>
        <w:rPr>
          <w:noProof/>
        </w:rPr>
      </w:pPr>
      <w:r w:rsidRPr="00FF3491">
        <w:rPr>
          <w:noProof/>
        </w:rPr>
        <w:t>Eligibilitatea cererii</w:t>
      </w:r>
    </w:p>
    <w:p w:rsidR="001A62D7" w:rsidRPr="00FF3491" w:rsidRDefault="001A62D7" w:rsidP="001A62D7">
      <w:pPr>
        <w:pStyle w:val="ManualHeading3"/>
        <w:rPr>
          <w:noProof/>
        </w:rPr>
      </w:pPr>
      <w:r w:rsidRPr="00FF3491">
        <w:rPr>
          <w:noProof/>
        </w:rPr>
        <w:t>Întreprinderile și beneficiarii vizați</w:t>
      </w:r>
    </w:p>
    <w:p w:rsidR="001A62D7" w:rsidRPr="00FF3491" w:rsidRDefault="001A62D7" w:rsidP="00AE7D04">
      <w:pPr>
        <w:pStyle w:val="ManualNumPar1"/>
        <w:rPr>
          <w:noProof/>
          <w:szCs w:val="24"/>
        </w:rPr>
      </w:pPr>
      <w:r>
        <w:rPr>
          <w:noProof/>
        </w:rPr>
        <w:t>5.</w:t>
      </w:r>
      <w:r>
        <w:rPr>
          <w:noProof/>
        </w:rPr>
        <w:tab/>
      </w:r>
      <w:r w:rsidRPr="00FF3491">
        <w:rPr>
          <w:noProof/>
        </w:rPr>
        <w:t>Cererea se referă la 313 lucrători, a căror activitate în cadrul sectoarelor auxiliare industriei autovehiculelor enumerate în rezumatul de mai sus a încetat. Locurile de muncă desființate sunt situate în regiunea NUTS 2 Galicia (ES11).</w:t>
      </w:r>
    </w:p>
    <w:tbl>
      <w:tblPr>
        <w:tblW w:w="8340" w:type="dxa"/>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96"/>
        <w:gridCol w:w="144"/>
        <w:gridCol w:w="360"/>
        <w:gridCol w:w="2940"/>
        <w:gridCol w:w="667"/>
        <w:gridCol w:w="533"/>
      </w:tblGrid>
      <w:tr w:rsidR="001A62D7" w:rsidRPr="00FF3491" w:rsidTr="001D5990">
        <w:trPr>
          <w:trHeight w:val="284"/>
          <w:tblHeader/>
        </w:trPr>
        <w:tc>
          <w:tcPr>
            <w:tcW w:w="8340" w:type="dxa"/>
            <w:gridSpan w:val="6"/>
            <w:shd w:val="clear" w:color="auto" w:fill="D9D9D9" w:themeFill="background1" w:themeFillShade="D9"/>
          </w:tcPr>
          <w:p w:rsidR="001A62D7" w:rsidRPr="00FF3491" w:rsidRDefault="001A62D7" w:rsidP="001D5990">
            <w:pPr>
              <w:spacing w:beforeLines="20" w:before="48" w:afterLines="20" w:after="48" w:line="276" w:lineRule="auto"/>
              <w:ind w:left="57"/>
              <w:jc w:val="center"/>
              <w:rPr>
                <w:rFonts w:eastAsia="Calibri"/>
                <w:noProof/>
                <w:szCs w:val="24"/>
              </w:rPr>
            </w:pPr>
            <w:r w:rsidRPr="00FF3491">
              <w:rPr>
                <w:b/>
                <w:noProof/>
              </w:rPr>
              <w:t>Întreprinderile și numărul disponibilizărilor în perioada de referință</w:t>
            </w:r>
          </w:p>
        </w:tc>
      </w:tr>
      <w:tr w:rsidR="00343140" w:rsidRPr="00FF3491" w:rsidTr="004D6E0D">
        <w:tc>
          <w:tcPr>
            <w:tcW w:w="3696" w:type="dxa"/>
            <w:tcBorders>
              <w:bottom w:val="dotted" w:sz="4" w:space="0" w:color="auto"/>
              <w:right w:val="dotted" w:sz="4" w:space="0" w:color="auto"/>
            </w:tcBorders>
            <w:shd w:val="clear" w:color="auto" w:fill="auto"/>
          </w:tcPr>
          <w:p w:rsidR="00343140" w:rsidRPr="00FF3491" w:rsidRDefault="00343140" w:rsidP="00343140">
            <w:pPr>
              <w:spacing w:before="0" w:after="0"/>
              <w:ind w:right="252"/>
              <w:jc w:val="left"/>
              <w:rPr>
                <w:noProof/>
                <w:sz w:val="20"/>
                <w:szCs w:val="20"/>
              </w:rPr>
            </w:pPr>
            <w:r w:rsidRPr="00FF3491">
              <w:rPr>
                <w:noProof/>
                <w:color w:val="000000"/>
                <w:sz w:val="20"/>
              </w:rPr>
              <w:t>AKWEL VIGO SPAIN, S.L.</w:t>
            </w:r>
          </w:p>
        </w:tc>
        <w:tc>
          <w:tcPr>
            <w:tcW w:w="504" w:type="dxa"/>
            <w:gridSpan w:val="2"/>
            <w:tcBorders>
              <w:left w:val="dotted" w:sz="4" w:space="0" w:color="auto"/>
              <w:bottom w:val="dotted" w:sz="4" w:space="0" w:color="auto"/>
            </w:tcBorders>
            <w:shd w:val="clear" w:color="auto" w:fill="auto"/>
            <w:vAlign w:val="center"/>
          </w:tcPr>
          <w:p w:rsidR="00343140" w:rsidRPr="00FF3491" w:rsidRDefault="00343140" w:rsidP="00343140">
            <w:pPr>
              <w:spacing w:before="0" w:after="0"/>
              <w:ind w:left="-828"/>
              <w:jc w:val="right"/>
              <w:rPr>
                <w:noProof/>
                <w:sz w:val="20"/>
                <w:szCs w:val="20"/>
              </w:rPr>
            </w:pPr>
            <w:r w:rsidRPr="00FF3491">
              <w:rPr>
                <w:noProof/>
                <w:sz w:val="20"/>
              </w:rPr>
              <w:t>85</w:t>
            </w:r>
          </w:p>
        </w:tc>
        <w:tc>
          <w:tcPr>
            <w:tcW w:w="3607" w:type="dxa"/>
            <w:gridSpan w:val="2"/>
            <w:tcBorders>
              <w:bottom w:val="dotted" w:sz="4" w:space="0" w:color="auto"/>
              <w:right w:val="dotted" w:sz="4" w:space="0" w:color="auto"/>
            </w:tcBorders>
            <w:shd w:val="clear" w:color="auto" w:fill="auto"/>
          </w:tcPr>
          <w:p w:rsidR="00343140" w:rsidRPr="00FF3491" w:rsidRDefault="00343140" w:rsidP="00343140">
            <w:pPr>
              <w:spacing w:before="0" w:after="0"/>
              <w:jc w:val="left"/>
              <w:rPr>
                <w:noProof/>
                <w:sz w:val="20"/>
                <w:szCs w:val="20"/>
              </w:rPr>
            </w:pPr>
            <w:r w:rsidRPr="00FF3491">
              <w:rPr>
                <w:noProof/>
                <w:color w:val="000000"/>
                <w:sz w:val="20"/>
              </w:rPr>
              <w:t xml:space="preserve">METALES Y MUEBLES ESPECIALES SL </w:t>
            </w:r>
          </w:p>
        </w:tc>
        <w:tc>
          <w:tcPr>
            <w:tcW w:w="533" w:type="dxa"/>
            <w:tcBorders>
              <w:left w:val="dotted" w:sz="4" w:space="0" w:color="auto"/>
              <w:bottom w:val="dotted" w:sz="4" w:space="0" w:color="auto"/>
            </w:tcBorders>
            <w:shd w:val="clear" w:color="auto" w:fill="auto"/>
            <w:vAlign w:val="center"/>
          </w:tcPr>
          <w:p w:rsidR="00343140" w:rsidRPr="00FF3491" w:rsidRDefault="00343140" w:rsidP="00343140">
            <w:pPr>
              <w:spacing w:before="0" w:after="0"/>
              <w:ind w:left="-828"/>
              <w:jc w:val="right"/>
              <w:rPr>
                <w:noProof/>
                <w:sz w:val="20"/>
              </w:rPr>
            </w:pPr>
            <w:r w:rsidRPr="00FF3491">
              <w:rPr>
                <w:noProof/>
                <w:sz w:val="20"/>
              </w:rPr>
              <w:t>5</w:t>
            </w:r>
          </w:p>
        </w:tc>
      </w:tr>
      <w:tr w:rsidR="00343140" w:rsidRPr="00FF3491" w:rsidTr="004D6E0D">
        <w:trPr>
          <w:trHeight w:val="138"/>
        </w:trPr>
        <w:tc>
          <w:tcPr>
            <w:tcW w:w="3696" w:type="dxa"/>
            <w:tcBorders>
              <w:top w:val="dotted" w:sz="4" w:space="0" w:color="auto"/>
              <w:bottom w:val="dotted" w:sz="4" w:space="0" w:color="auto"/>
              <w:right w:val="dotted" w:sz="4" w:space="0" w:color="auto"/>
            </w:tcBorders>
            <w:shd w:val="clear" w:color="auto" w:fill="auto"/>
          </w:tcPr>
          <w:p w:rsidR="00343140" w:rsidRPr="00FF3491" w:rsidRDefault="00343140" w:rsidP="00343140">
            <w:pPr>
              <w:spacing w:before="0" w:after="0"/>
              <w:jc w:val="left"/>
              <w:rPr>
                <w:noProof/>
                <w:sz w:val="20"/>
                <w:szCs w:val="20"/>
              </w:rPr>
            </w:pPr>
            <w:r w:rsidRPr="00FF3491">
              <w:rPr>
                <w:noProof/>
                <w:color w:val="000000"/>
                <w:sz w:val="20"/>
              </w:rPr>
              <w:t>ALUMAN SISTEMAS, S.L.</w:t>
            </w:r>
          </w:p>
        </w:tc>
        <w:tc>
          <w:tcPr>
            <w:tcW w:w="504" w:type="dxa"/>
            <w:gridSpan w:val="2"/>
            <w:tcBorders>
              <w:top w:val="dotted" w:sz="4" w:space="0" w:color="auto"/>
              <w:left w:val="dotted" w:sz="4" w:space="0" w:color="auto"/>
              <w:bottom w:val="dotted" w:sz="4" w:space="0" w:color="auto"/>
            </w:tcBorders>
            <w:shd w:val="clear" w:color="auto" w:fill="auto"/>
            <w:vAlign w:val="center"/>
          </w:tcPr>
          <w:p w:rsidR="00343140" w:rsidRPr="00FF3491" w:rsidRDefault="00343140" w:rsidP="00343140">
            <w:pPr>
              <w:spacing w:before="0" w:after="0"/>
              <w:ind w:left="-828"/>
              <w:jc w:val="right"/>
              <w:rPr>
                <w:noProof/>
                <w:sz w:val="20"/>
              </w:rPr>
            </w:pPr>
            <w:r w:rsidRPr="00FF3491">
              <w:rPr>
                <w:noProof/>
                <w:sz w:val="20"/>
              </w:rPr>
              <w:t>3</w:t>
            </w:r>
          </w:p>
        </w:tc>
        <w:tc>
          <w:tcPr>
            <w:tcW w:w="3607" w:type="dxa"/>
            <w:gridSpan w:val="2"/>
            <w:tcBorders>
              <w:top w:val="dotted" w:sz="4" w:space="0" w:color="auto"/>
              <w:bottom w:val="dotted" w:sz="4" w:space="0" w:color="auto"/>
              <w:right w:val="dotted" w:sz="4" w:space="0" w:color="auto"/>
            </w:tcBorders>
            <w:shd w:val="clear" w:color="auto" w:fill="auto"/>
          </w:tcPr>
          <w:p w:rsidR="00343140" w:rsidRPr="00FF3491" w:rsidRDefault="00343140" w:rsidP="00343140">
            <w:pPr>
              <w:spacing w:before="0" w:after="0"/>
              <w:jc w:val="left"/>
              <w:rPr>
                <w:noProof/>
                <w:sz w:val="20"/>
                <w:szCs w:val="20"/>
              </w:rPr>
            </w:pPr>
            <w:r w:rsidRPr="00FF3491">
              <w:rPr>
                <w:noProof/>
                <w:color w:val="000000"/>
                <w:sz w:val="20"/>
              </w:rPr>
              <w:t>NERVION INDUSTRIES, ENGINEERING AND SERVICES SL</w:t>
            </w:r>
          </w:p>
        </w:tc>
        <w:tc>
          <w:tcPr>
            <w:tcW w:w="533" w:type="dxa"/>
            <w:tcBorders>
              <w:top w:val="dotted" w:sz="4" w:space="0" w:color="auto"/>
              <w:left w:val="dotted" w:sz="4" w:space="0" w:color="auto"/>
              <w:bottom w:val="dotted" w:sz="4" w:space="0" w:color="auto"/>
            </w:tcBorders>
            <w:shd w:val="clear" w:color="auto" w:fill="auto"/>
            <w:vAlign w:val="center"/>
          </w:tcPr>
          <w:p w:rsidR="00343140" w:rsidRPr="00FF3491" w:rsidRDefault="00343140" w:rsidP="00343140">
            <w:pPr>
              <w:spacing w:before="0" w:after="0"/>
              <w:ind w:left="-828"/>
              <w:jc w:val="right"/>
              <w:rPr>
                <w:noProof/>
                <w:sz w:val="20"/>
              </w:rPr>
            </w:pPr>
            <w:r w:rsidRPr="00FF3491">
              <w:rPr>
                <w:noProof/>
                <w:sz w:val="20"/>
              </w:rPr>
              <w:t>4</w:t>
            </w:r>
          </w:p>
        </w:tc>
      </w:tr>
      <w:tr w:rsidR="00343140" w:rsidRPr="00FF3491" w:rsidTr="004D6E0D">
        <w:tc>
          <w:tcPr>
            <w:tcW w:w="3696" w:type="dxa"/>
            <w:tcBorders>
              <w:top w:val="dotted" w:sz="4" w:space="0" w:color="auto"/>
              <w:bottom w:val="dotted" w:sz="4" w:space="0" w:color="auto"/>
              <w:right w:val="dotted" w:sz="4" w:space="0" w:color="auto"/>
            </w:tcBorders>
            <w:shd w:val="clear" w:color="auto" w:fill="auto"/>
          </w:tcPr>
          <w:p w:rsidR="00343140" w:rsidRPr="00FF3491" w:rsidRDefault="00343140" w:rsidP="00343140">
            <w:pPr>
              <w:spacing w:before="0" w:after="0"/>
              <w:jc w:val="left"/>
              <w:rPr>
                <w:noProof/>
                <w:sz w:val="20"/>
                <w:szCs w:val="20"/>
              </w:rPr>
            </w:pPr>
            <w:r w:rsidRPr="00FF3491">
              <w:rPr>
                <w:noProof/>
                <w:color w:val="000000"/>
                <w:sz w:val="20"/>
              </w:rPr>
              <w:t>BORGWARNER EMISSIONS SYSTEMS SPAIN SL</w:t>
            </w:r>
          </w:p>
        </w:tc>
        <w:tc>
          <w:tcPr>
            <w:tcW w:w="504" w:type="dxa"/>
            <w:gridSpan w:val="2"/>
            <w:tcBorders>
              <w:top w:val="dotted" w:sz="4" w:space="0" w:color="auto"/>
              <w:left w:val="dotted" w:sz="4" w:space="0" w:color="auto"/>
              <w:bottom w:val="dotted" w:sz="4" w:space="0" w:color="auto"/>
            </w:tcBorders>
            <w:shd w:val="clear" w:color="auto" w:fill="auto"/>
            <w:vAlign w:val="center"/>
          </w:tcPr>
          <w:p w:rsidR="00343140" w:rsidRPr="00FF3491" w:rsidRDefault="00343140" w:rsidP="00343140">
            <w:pPr>
              <w:spacing w:before="0" w:after="0"/>
              <w:ind w:left="-828"/>
              <w:jc w:val="right"/>
              <w:rPr>
                <w:noProof/>
                <w:sz w:val="20"/>
                <w:szCs w:val="20"/>
              </w:rPr>
            </w:pPr>
            <w:r w:rsidRPr="00FF3491">
              <w:rPr>
                <w:noProof/>
                <w:sz w:val="20"/>
              </w:rPr>
              <w:t>39</w:t>
            </w:r>
          </w:p>
        </w:tc>
        <w:tc>
          <w:tcPr>
            <w:tcW w:w="3607" w:type="dxa"/>
            <w:gridSpan w:val="2"/>
            <w:tcBorders>
              <w:top w:val="dotted" w:sz="4" w:space="0" w:color="auto"/>
              <w:bottom w:val="dotted" w:sz="4" w:space="0" w:color="auto"/>
              <w:right w:val="dotted" w:sz="4" w:space="0" w:color="auto"/>
            </w:tcBorders>
            <w:shd w:val="clear" w:color="auto" w:fill="auto"/>
          </w:tcPr>
          <w:p w:rsidR="00343140" w:rsidRPr="00FF3491" w:rsidRDefault="00343140" w:rsidP="00343140">
            <w:pPr>
              <w:spacing w:before="0" w:after="0"/>
              <w:jc w:val="left"/>
              <w:rPr>
                <w:noProof/>
                <w:sz w:val="20"/>
                <w:szCs w:val="20"/>
              </w:rPr>
            </w:pPr>
            <w:r w:rsidRPr="00FF3491">
              <w:rPr>
                <w:noProof/>
                <w:color w:val="000000"/>
                <w:sz w:val="20"/>
              </w:rPr>
              <w:t>OFFSHORE WINDWAVES, SL</w:t>
            </w:r>
          </w:p>
        </w:tc>
        <w:tc>
          <w:tcPr>
            <w:tcW w:w="533" w:type="dxa"/>
            <w:tcBorders>
              <w:top w:val="dotted" w:sz="4" w:space="0" w:color="auto"/>
              <w:left w:val="dotted" w:sz="4" w:space="0" w:color="auto"/>
              <w:bottom w:val="dotted" w:sz="4" w:space="0" w:color="auto"/>
            </w:tcBorders>
            <w:shd w:val="clear" w:color="auto" w:fill="auto"/>
            <w:vAlign w:val="center"/>
          </w:tcPr>
          <w:p w:rsidR="00343140" w:rsidRPr="00FF3491" w:rsidRDefault="00343140" w:rsidP="00343140">
            <w:pPr>
              <w:spacing w:before="0" w:after="0"/>
              <w:ind w:left="-828"/>
              <w:jc w:val="right"/>
              <w:rPr>
                <w:noProof/>
                <w:sz w:val="20"/>
                <w:szCs w:val="20"/>
              </w:rPr>
            </w:pPr>
            <w:r w:rsidRPr="00FF3491">
              <w:rPr>
                <w:noProof/>
                <w:sz w:val="20"/>
              </w:rPr>
              <w:t>6</w:t>
            </w:r>
          </w:p>
        </w:tc>
      </w:tr>
      <w:tr w:rsidR="00343140" w:rsidRPr="00FF3491" w:rsidTr="004D6E0D">
        <w:tc>
          <w:tcPr>
            <w:tcW w:w="3696" w:type="dxa"/>
            <w:tcBorders>
              <w:top w:val="dotted" w:sz="4" w:space="0" w:color="auto"/>
              <w:bottom w:val="dotted" w:sz="4" w:space="0" w:color="auto"/>
              <w:right w:val="dotted" w:sz="4" w:space="0" w:color="auto"/>
            </w:tcBorders>
            <w:shd w:val="clear" w:color="auto" w:fill="auto"/>
          </w:tcPr>
          <w:p w:rsidR="00343140" w:rsidRPr="00FF3491" w:rsidRDefault="00343140" w:rsidP="00343140">
            <w:pPr>
              <w:spacing w:before="0" w:after="0"/>
              <w:jc w:val="left"/>
              <w:rPr>
                <w:noProof/>
                <w:sz w:val="20"/>
                <w:szCs w:val="20"/>
              </w:rPr>
            </w:pPr>
            <w:r w:rsidRPr="00FF3491">
              <w:rPr>
                <w:noProof/>
                <w:color w:val="000000"/>
                <w:sz w:val="20"/>
              </w:rPr>
              <w:lastRenderedPageBreak/>
              <w:t>CABLERÍAS AUTO, S.L.</w:t>
            </w:r>
          </w:p>
        </w:tc>
        <w:tc>
          <w:tcPr>
            <w:tcW w:w="504" w:type="dxa"/>
            <w:gridSpan w:val="2"/>
            <w:tcBorders>
              <w:top w:val="dotted" w:sz="4" w:space="0" w:color="auto"/>
              <w:left w:val="dotted" w:sz="4" w:space="0" w:color="auto"/>
              <w:bottom w:val="dotted" w:sz="4" w:space="0" w:color="auto"/>
            </w:tcBorders>
            <w:shd w:val="clear" w:color="auto" w:fill="auto"/>
            <w:vAlign w:val="center"/>
          </w:tcPr>
          <w:p w:rsidR="00343140" w:rsidRPr="00FF3491" w:rsidRDefault="00343140" w:rsidP="00343140">
            <w:pPr>
              <w:spacing w:before="0" w:after="0"/>
              <w:ind w:left="-828"/>
              <w:jc w:val="right"/>
              <w:rPr>
                <w:noProof/>
                <w:sz w:val="20"/>
                <w:szCs w:val="20"/>
              </w:rPr>
            </w:pPr>
            <w:r w:rsidRPr="00FF3491">
              <w:rPr>
                <w:noProof/>
                <w:sz w:val="20"/>
              </w:rPr>
              <w:t>2</w:t>
            </w:r>
          </w:p>
        </w:tc>
        <w:tc>
          <w:tcPr>
            <w:tcW w:w="3607" w:type="dxa"/>
            <w:gridSpan w:val="2"/>
            <w:tcBorders>
              <w:top w:val="dotted" w:sz="4" w:space="0" w:color="auto"/>
              <w:bottom w:val="dotted" w:sz="4" w:space="0" w:color="auto"/>
              <w:right w:val="dotted" w:sz="4" w:space="0" w:color="auto"/>
            </w:tcBorders>
            <w:shd w:val="clear" w:color="auto" w:fill="auto"/>
          </w:tcPr>
          <w:p w:rsidR="00343140" w:rsidRPr="00FF3491" w:rsidRDefault="00343140" w:rsidP="00343140">
            <w:pPr>
              <w:spacing w:before="0" w:after="0"/>
              <w:jc w:val="left"/>
              <w:rPr>
                <w:noProof/>
                <w:sz w:val="20"/>
                <w:szCs w:val="20"/>
              </w:rPr>
            </w:pPr>
            <w:r w:rsidRPr="00FF3491">
              <w:rPr>
                <w:noProof/>
                <w:color w:val="000000"/>
                <w:sz w:val="20"/>
              </w:rPr>
              <w:t>PEUGEOT CITROEN AUTOMOVILES ESPAÑA, SA</w:t>
            </w:r>
          </w:p>
        </w:tc>
        <w:tc>
          <w:tcPr>
            <w:tcW w:w="533" w:type="dxa"/>
            <w:tcBorders>
              <w:top w:val="dotted" w:sz="4" w:space="0" w:color="auto"/>
              <w:left w:val="dotted" w:sz="4" w:space="0" w:color="auto"/>
              <w:bottom w:val="dotted" w:sz="4" w:space="0" w:color="auto"/>
            </w:tcBorders>
            <w:shd w:val="clear" w:color="auto" w:fill="auto"/>
            <w:vAlign w:val="center"/>
          </w:tcPr>
          <w:p w:rsidR="00343140" w:rsidRPr="00FF3491" w:rsidRDefault="00343140" w:rsidP="00343140">
            <w:pPr>
              <w:spacing w:before="0" w:after="0"/>
              <w:ind w:left="-828"/>
              <w:jc w:val="right"/>
              <w:rPr>
                <w:noProof/>
                <w:sz w:val="20"/>
                <w:szCs w:val="20"/>
              </w:rPr>
            </w:pPr>
            <w:r w:rsidRPr="00FF3491">
              <w:rPr>
                <w:noProof/>
                <w:sz w:val="20"/>
              </w:rPr>
              <w:t>6</w:t>
            </w:r>
          </w:p>
        </w:tc>
      </w:tr>
      <w:tr w:rsidR="00343140" w:rsidRPr="00FF3491" w:rsidTr="004D6E0D">
        <w:tc>
          <w:tcPr>
            <w:tcW w:w="3696" w:type="dxa"/>
            <w:tcBorders>
              <w:top w:val="dotted" w:sz="4" w:space="0" w:color="auto"/>
              <w:bottom w:val="dotted" w:sz="4" w:space="0" w:color="auto"/>
              <w:right w:val="dotted" w:sz="4" w:space="0" w:color="auto"/>
            </w:tcBorders>
            <w:shd w:val="clear" w:color="auto" w:fill="auto"/>
          </w:tcPr>
          <w:p w:rsidR="00343140" w:rsidRPr="00FF3491" w:rsidRDefault="00343140" w:rsidP="00343140">
            <w:pPr>
              <w:spacing w:before="0" w:after="0"/>
              <w:jc w:val="left"/>
              <w:rPr>
                <w:noProof/>
                <w:sz w:val="20"/>
                <w:szCs w:val="20"/>
              </w:rPr>
            </w:pPr>
            <w:r w:rsidRPr="00FF3491">
              <w:rPr>
                <w:noProof/>
                <w:color w:val="000000"/>
                <w:sz w:val="20"/>
              </w:rPr>
              <w:t>CENTRO TECNOLÓGICO DE AUTOMOCIÓN DE GALICIA (CTAG)</w:t>
            </w:r>
          </w:p>
        </w:tc>
        <w:tc>
          <w:tcPr>
            <w:tcW w:w="504" w:type="dxa"/>
            <w:gridSpan w:val="2"/>
            <w:tcBorders>
              <w:top w:val="dotted" w:sz="4" w:space="0" w:color="auto"/>
              <w:left w:val="dotted" w:sz="4" w:space="0" w:color="auto"/>
              <w:bottom w:val="dotted" w:sz="4" w:space="0" w:color="auto"/>
            </w:tcBorders>
            <w:shd w:val="clear" w:color="auto" w:fill="auto"/>
            <w:vAlign w:val="center"/>
          </w:tcPr>
          <w:p w:rsidR="00343140" w:rsidRPr="00FF3491" w:rsidRDefault="00343140" w:rsidP="00343140">
            <w:pPr>
              <w:spacing w:before="0" w:after="0"/>
              <w:ind w:left="-828"/>
              <w:jc w:val="right"/>
              <w:rPr>
                <w:noProof/>
                <w:sz w:val="20"/>
                <w:szCs w:val="20"/>
              </w:rPr>
            </w:pPr>
            <w:r w:rsidRPr="00FF3491">
              <w:rPr>
                <w:noProof/>
                <w:sz w:val="20"/>
              </w:rPr>
              <w:t>32</w:t>
            </w:r>
          </w:p>
        </w:tc>
        <w:tc>
          <w:tcPr>
            <w:tcW w:w="3607" w:type="dxa"/>
            <w:gridSpan w:val="2"/>
            <w:tcBorders>
              <w:top w:val="dotted" w:sz="4" w:space="0" w:color="auto"/>
              <w:bottom w:val="dotted" w:sz="4" w:space="0" w:color="auto"/>
              <w:right w:val="dotted" w:sz="4" w:space="0" w:color="auto"/>
            </w:tcBorders>
            <w:shd w:val="clear" w:color="auto" w:fill="auto"/>
          </w:tcPr>
          <w:p w:rsidR="00343140" w:rsidRPr="00FF3491" w:rsidRDefault="00343140" w:rsidP="00343140">
            <w:pPr>
              <w:spacing w:before="0" w:after="0"/>
              <w:jc w:val="left"/>
              <w:rPr>
                <w:noProof/>
                <w:sz w:val="20"/>
                <w:szCs w:val="20"/>
              </w:rPr>
            </w:pPr>
            <w:r w:rsidRPr="00FF3491">
              <w:rPr>
                <w:noProof/>
                <w:color w:val="000000"/>
                <w:sz w:val="20"/>
              </w:rPr>
              <w:t>PREFABRICACION Y MONTAJES DEL NOROESTE SA</w:t>
            </w:r>
          </w:p>
        </w:tc>
        <w:tc>
          <w:tcPr>
            <w:tcW w:w="533" w:type="dxa"/>
            <w:tcBorders>
              <w:top w:val="dotted" w:sz="4" w:space="0" w:color="auto"/>
              <w:left w:val="dotted" w:sz="4" w:space="0" w:color="auto"/>
              <w:bottom w:val="dotted" w:sz="4" w:space="0" w:color="auto"/>
            </w:tcBorders>
            <w:shd w:val="clear" w:color="auto" w:fill="auto"/>
            <w:vAlign w:val="center"/>
          </w:tcPr>
          <w:p w:rsidR="00343140" w:rsidRPr="00FF3491" w:rsidRDefault="00343140" w:rsidP="00343140">
            <w:pPr>
              <w:spacing w:before="0" w:after="0"/>
              <w:ind w:left="-828"/>
              <w:jc w:val="right"/>
              <w:rPr>
                <w:noProof/>
                <w:sz w:val="20"/>
                <w:szCs w:val="20"/>
              </w:rPr>
            </w:pPr>
            <w:r w:rsidRPr="00FF3491">
              <w:rPr>
                <w:noProof/>
                <w:sz w:val="20"/>
              </w:rPr>
              <w:t>1</w:t>
            </w:r>
          </w:p>
        </w:tc>
      </w:tr>
      <w:tr w:rsidR="00343140" w:rsidRPr="00FF3491" w:rsidTr="004D6E0D">
        <w:tc>
          <w:tcPr>
            <w:tcW w:w="3696" w:type="dxa"/>
            <w:tcBorders>
              <w:top w:val="dotted" w:sz="4" w:space="0" w:color="auto"/>
              <w:bottom w:val="dotted" w:sz="4" w:space="0" w:color="auto"/>
              <w:right w:val="dotted" w:sz="4" w:space="0" w:color="auto"/>
            </w:tcBorders>
            <w:shd w:val="clear" w:color="auto" w:fill="auto"/>
          </w:tcPr>
          <w:p w:rsidR="00343140" w:rsidRPr="00FF3491" w:rsidRDefault="00343140" w:rsidP="00343140">
            <w:pPr>
              <w:spacing w:before="0" w:after="0"/>
              <w:jc w:val="left"/>
              <w:rPr>
                <w:noProof/>
                <w:sz w:val="20"/>
                <w:szCs w:val="20"/>
              </w:rPr>
            </w:pPr>
            <w:r w:rsidRPr="00FF3491">
              <w:rPr>
                <w:noProof/>
                <w:color w:val="000000"/>
                <w:sz w:val="20"/>
              </w:rPr>
              <w:t>DIMALNOX SL</w:t>
            </w:r>
          </w:p>
        </w:tc>
        <w:tc>
          <w:tcPr>
            <w:tcW w:w="504" w:type="dxa"/>
            <w:gridSpan w:val="2"/>
            <w:tcBorders>
              <w:top w:val="dotted" w:sz="4" w:space="0" w:color="auto"/>
              <w:left w:val="dotted" w:sz="4" w:space="0" w:color="auto"/>
              <w:bottom w:val="dotted" w:sz="4" w:space="0" w:color="auto"/>
            </w:tcBorders>
            <w:shd w:val="clear" w:color="auto" w:fill="auto"/>
            <w:vAlign w:val="center"/>
          </w:tcPr>
          <w:p w:rsidR="00343140" w:rsidRPr="00FF3491" w:rsidRDefault="00343140" w:rsidP="00343140">
            <w:pPr>
              <w:spacing w:before="0" w:after="0"/>
              <w:ind w:left="-828"/>
              <w:jc w:val="right"/>
              <w:rPr>
                <w:noProof/>
                <w:sz w:val="20"/>
                <w:szCs w:val="20"/>
              </w:rPr>
            </w:pPr>
            <w:r w:rsidRPr="00FF3491">
              <w:rPr>
                <w:noProof/>
                <w:sz w:val="20"/>
              </w:rPr>
              <w:t>6</w:t>
            </w:r>
          </w:p>
        </w:tc>
        <w:tc>
          <w:tcPr>
            <w:tcW w:w="3607" w:type="dxa"/>
            <w:gridSpan w:val="2"/>
            <w:tcBorders>
              <w:top w:val="dotted" w:sz="4" w:space="0" w:color="auto"/>
              <w:bottom w:val="dotted" w:sz="4" w:space="0" w:color="auto"/>
              <w:right w:val="dotted" w:sz="4" w:space="0" w:color="auto"/>
            </w:tcBorders>
            <w:shd w:val="clear" w:color="auto" w:fill="auto"/>
          </w:tcPr>
          <w:p w:rsidR="00343140" w:rsidRPr="00FF3491" w:rsidRDefault="00343140" w:rsidP="00343140">
            <w:pPr>
              <w:spacing w:before="0" w:after="0"/>
              <w:jc w:val="left"/>
              <w:rPr>
                <w:noProof/>
                <w:sz w:val="20"/>
                <w:szCs w:val="20"/>
              </w:rPr>
            </w:pPr>
            <w:r w:rsidRPr="00FF3491">
              <w:rPr>
                <w:noProof/>
                <w:color w:val="000000"/>
                <w:sz w:val="20"/>
              </w:rPr>
              <w:t>RUBÍ AUTOMOTIVE GALICIA, S.A.U.</w:t>
            </w:r>
          </w:p>
        </w:tc>
        <w:tc>
          <w:tcPr>
            <w:tcW w:w="533" w:type="dxa"/>
            <w:tcBorders>
              <w:top w:val="dotted" w:sz="4" w:space="0" w:color="auto"/>
              <w:left w:val="dotted" w:sz="4" w:space="0" w:color="auto"/>
              <w:bottom w:val="dotted" w:sz="4" w:space="0" w:color="auto"/>
            </w:tcBorders>
            <w:shd w:val="clear" w:color="auto" w:fill="auto"/>
            <w:vAlign w:val="center"/>
          </w:tcPr>
          <w:p w:rsidR="00343140" w:rsidRPr="00FF3491" w:rsidRDefault="00343140" w:rsidP="00343140">
            <w:pPr>
              <w:spacing w:before="0" w:after="0"/>
              <w:ind w:left="-828"/>
              <w:jc w:val="right"/>
              <w:rPr>
                <w:noProof/>
                <w:sz w:val="20"/>
                <w:szCs w:val="20"/>
              </w:rPr>
            </w:pPr>
            <w:r w:rsidRPr="00FF3491">
              <w:rPr>
                <w:noProof/>
                <w:sz w:val="20"/>
              </w:rPr>
              <w:t>1</w:t>
            </w:r>
          </w:p>
        </w:tc>
      </w:tr>
      <w:tr w:rsidR="00343140" w:rsidRPr="00FF3491" w:rsidTr="004D6E0D">
        <w:tc>
          <w:tcPr>
            <w:tcW w:w="3696" w:type="dxa"/>
            <w:tcBorders>
              <w:top w:val="dotted" w:sz="4" w:space="0" w:color="auto"/>
              <w:bottom w:val="dotted" w:sz="4" w:space="0" w:color="auto"/>
              <w:right w:val="dotted" w:sz="4" w:space="0" w:color="auto"/>
            </w:tcBorders>
            <w:shd w:val="clear" w:color="auto" w:fill="auto"/>
          </w:tcPr>
          <w:p w:rsidR="00343140" w:rsidRPr="00FF3491" w:rsidRDefault="00343140" w:rsidP="00343140">
            <w:pPr>
              <w:spacing w:before="0" w:after="0"/>
              <w:jc w:val="left"/>
              <w:rPr>
                <w:noProof/>
                <w:sz w:val="20"/>
                <w:szCs w:val="20"/>
              </w:rPr>
            </w:pPr>
            <w:r w:rsidRPr="00FF3491">
              <w:rPr>
                <w:noProof/>
                <w:color w:val="000000"/>
                <w:sz w:val="20"/>
              </w:rPr>
              <w:t>GKN DRIVELINE VIGO SA</w:t>
            </w:r>
          </w:p>
        </w:tc>
        <w:tc>
          <w:tcPr>
            <w:tcW w:w="504" w:type="dxa"/>
            <w:gridSpan w:val="2"/>
            <w:tcBorders>
              <w:top w:val="dotted" w:sz="4" w:space="0" w:color="auto"/>
              <w:left w:val="dotted" w:sz="4" w:space="0" w:color="auto"/>
              <w:bottom w:val="dotted" w:sz="4" w:space="0" w:color="auto"/>
            </w:tcBorders>
            <w:shd w:val="clear" w:color="auto" w:fill="auto"/>
            <w:vAlign w:val="center"/>
          </w:tcPr>
          <w:p w:rsidR="00343140" w:rsidRPr="00FF3491" w:rsidRDefault="00343140" w:rsidP="00343140">
            <w:pPr>
              <w:spacing w:before="0" w:after="0"/>
              <w:ind w:left="-828"/>
              <w:jc w:val="right"/>
              <w:rPr>
                <w:noProof/>
                <w:sz w:val="20"/>
              </w:rPr>
            </w:pPr>
            <w:r w:rsidRPr="00FF3491">
              <w:rPr>
                <w:noProof/>
                <w:sz w:val="20"/>
              </w:rPr>
              <w:t>1</w:t>
            </w:r>
          </w:p>
        </w:tc>
        <w:tc>
          <w:tcPr>
            <w:tcW w:w="3607" w:type="dxa"/>
            <w:gridSpan w:val="2"/>
            <w:tcBorders>
              <w:top w:val="dotted" w:sz="4" w:space="0" w:color="auto"/>
              <w:bottom w:val="dotted" w:sz="4" w:space="0" w:color="auto"/>
              <w:right w:val="dotted" w:sz="4" w:space="0" w:color="auto"/>
            </w:tcBorders>
            <w:shd w:val="clear" w:color="auto" w:fill="auto"/>
          </w:tcPr>
          <w:p w:rsidR="00343140" w:rsidRPr="00FF3491" w:rsidRDefault="00343140" w:rsidP="00343140">
            <w:pPr>
              <w:spacing w:before="0" w:after="0"/>
              <w:jc w:val="left"/>
              <w:rPr>
                <w:noProof/>
                <w:sz w:val="20"/>
                <w:szCs w:val="20"/>
              </w:rPr>
            </w:pPr>
            <w:r w:rsidRPr="00FF3491">
              <w:rPr>
                <w:noProof/>
                <w:color w:val="000000"/>
                <w:sz w:val="20"/>
              </w:rPr>
              <w:t>SISTEMAS TECNICOS DEL ACCESORIO Y COMPONENTES SL</w:t>
            </w:r>
          </w:p>
        </w:tc>
        <w:tc>
          <w:tcPr>
            <w:tcW w:w="533" w:type="dxa"/>
            <w:tcBorders>
              <w:top w:val="dotted" w:sz="4" w:space="0" w:color="auto"/>
              <w:left w:val="dotted" w:sz="4" w:space="0" w:color="auto"/>
              <w:bottom w:val="dotted" w:sz="4" w:space="0" w:color="auto"/>
            </w:tcBorders>
            <w:shd w:val="clear" w:color="auto" w:fill="auto"/>
            <w:vAlign w:val="center"/>
          </w:tcPr>
          <w:p w:rsidR="00343140" w:rsidRPr="00FF3491" w:rsidRDefault="00343140" w:rsidP="00343140">
            <w:pPr>
              <w:spacing w:before="0" w:after="0"/>
              <w:ind w:left="-828"/>
              <w:jc w:val="right"/>
              <w:rPr>
                <w:noProof/>
                <w:sz w:val="20"/>
              </w:rPr>
            </w:pPr>
            <w:r w:rsidRPr="00FF3491">
              <w:rPr>
                <w:noProof/>
                <w:sz w:val="20"/>
              </w:rPr>
              <w:t>7</w:t>
            </w:r>
          </w:p>
        </w:tc>
      </w:tr>
      <w:tr w:rsidR="00343140" w:rsidRPr="00FF3491" w:rsidTr="004D6E0D">
        <w:tc>
          <w:tcPr>
            <w:tcW w:w="3696" w:type="dxa"/>
            <w:tcBorders>
              <w:top w:val="dotted" w:sz="4" w:space="0" w:color="auto"/>
              <w:bottom w:val="dotted" w:sz="4" w:space="0" w:color="auto"/>
              <w:right w:val="dotted" w:sz="4" w:space="0" w:color="auto"/>
            </w:tcBorders>
            <w:shd w:val="clear" w:color="auto" w:fill="auto"/>
          </w:tcPr>
          <w:p w:rsidR="00343140" w:rsidRPr="00FF3491" w:rsidRDefault="00343140" w:rsidP="00343140">
            <w:pPr>
              <w:spacing w:before="0" w:after="0"/>
              <w:jc w:val="left"/>
              <w:rPr>
                <w:noProof/>
                <w:sz w:val="20"/>
                <w:szCs w:val="20"/>
              </w:rPr>
            </w:pPr>
            <w:r w:rsidRPr="00FF3491">
              <w:rPr>
                <w:noProof/>
                <w:color w:val="000000"/>
                <w:sz w:val="20"/>
              </w:rPr>
              <w:t xml:space="preserve">INDUSTRIAL DE ACABADOS SA </w:t>
            </w:r>
          </w:p>
        </w:tc>
        <w:tc>
          <w:tcPr>
            <w:tcW w:w="504" w:type="dxa"/>
            <w:gridSpan w:val="2"/>
            <w:tcBorders>
              <w:top w:val="dotted" w:sz="4" w:space="0" w:color="auto"/>
              <w:left w:val="dotted" w:sz="4" w:space="0" w:color="auto"/>
              <w:bottom w:val="dotted" w:sz="4" w:space="0" w:color="auto"/>
            </w:tcBorders>
            <w:shd w:val="clear" w:color="auto" w:fill="auto"/>
            <w:vAlign w:val="center"/>
          </w:tcPr>
          <w:p w:rsidR="00343140" w:rsidRPr="00FF3491" w:rsidRDefault="00343140" w:rsidP="00343140">
            <w:pPr>
              <w:spacing w:before="0" w:after="0"/>
              <w:ind w:left="-828"/>
              <w:jc w:val="right"/>
              <w:rPr>
                <w:noProof/>
                <w:sz w:val="20"/>
              </w:rPr>
            </w:pPr>
            <w:r w:rsidRPr="00FF3491">
              <w:rPr>
                <w:noProof/>
                <w:sz w:val="20"/>
              </w:rPr>
              <w:t>9</w:t>
            </w:r>
          </w:p>
        </w:tc>
        <w:tc>
          <w:tcPr>
            <w:tcW w:w="3607" w:type="dxa"/>
            <w:gridSpan w:val="2"/>
            <w:tcBorders>
              <w:top w:val="dotted" w:sz="4" w:space="0" w:color="auto"/>
              <w:bottom w:val="dotted" w:sz="4" w:space="0" w:color="auto"/>
              <w:right w:val="dotted" w:sz="4" w:space="0" w:color="auto"/>
            </w:tcBorders>
            <w:shd w:val="clear" w:color="auto" w:fill="auto"/>
          </w:tcPr>
          <w:p w:rsidR="00343140" w:rsidRPr="00FF3491" w:rsidRDefault="00343140" w:rsidP="00343140">
            <w:pPr>
              <w:spacing w:before="0" w:after="0"/>
              <w:jc w:val="left"/>
              <w:rPr>
                <w:noProof/>
                <w:sz w:val="20"/>
                <w:szCs w:val="20"/>
              </w:rPr>
            </w:pPr>
            <w:r w:rsidRPr="00FF3491">
              <w:rPr>
                <w:noProof/>
                <w:color w:val="000000"/>
                <w:sz w:val="20"/>
              </w:rPr>
              <w:t>STELLANTIS ESPAÑA, S.L.</w:t>
            </w:r>
          </w:p>
        </w:tc>
        <w:tc>
          <w:tcPr>
            <w:tcW w:w="533" w:type="dxa"/>
            <w:tcBorders>
              <w:top w:val="dotted" w:sz="4" w:space="0" w:color="auto"/>
              <w:left w:val="dotted" w:sz="4" w:space="0" w:color="auto"/>
              <w:bottom w:val="dotted" w:sz="4" w:space="0" w:color="auto"/>
            </w:tcBorders>
            <w:shd w:val="clear" w:color="auto" w:fill="auto"/>
            <w:vAlign w:val="center"/>
          </w:tcPr>
          <w:p w:rsidR="00343140" w:rsidRPr="00FF3491" w:rsidRDefault="00343140" w:rsidP="00343140">
            <w:pPr>
              <w:spacing w:before="0" w:after="0"/>
              <w:ind w:left="-828"/>
              <w:jc w:val="right"/>
              <w:rPr>
                <w:noProof/>
                <w:sz w:val="20"/>
              </w:rPr>
            </w:pPr>
            <w:r w:rsidRPr="00FF3491">
              <w:rPr>
                <w:noProof/>
                <w:sz w:val="20"/>
              </w:rPr>
              <w:t>33</w:t>
            </w:r>
          </w:p>
        </w:tc>
      </w:tr>
      <w:tr w:rsidR="00343140" w:rsidRPr="00FF3491" w:rsidTr="004D6E0D">
        <w:tc>
          <w:tcPr>
            <w:tcW w:w="3696" w:type="dxa"/>
            <w:tcBorders>
              <w:top w:val="dotted" w:sz="4" w:space="0" w:color="auto"/>
              <w:bottom w:val="dotted" w:sz="4" w:space="0" w:color="auto"/>
              <w:right w:val="dotted" w:sz="4" w:space="0" w:color="auto"/>
            </w:tcBorders>
            <w:shd w:val="clear" w:color="auto" w:fill="auto"/>
          </w:tcPr>
          <w:p w:rsidR="00343140" w:rsidRPr="00FF3491" w:rsidRDefault="00343140" w:rsidP="00343140">
            <w:pPr>
              <w:spacing w:before="0" w:after="0"/>
              <w:jc w:val="left"/>
              <w:rPr>
                <w:noProof/>
                <w:sz w:val="20"/>
                <w:szCs w:val="20"/>
              </w:rPr>
            </w:pPr>
            <w:r w:rsidRPr="00FF3491">
              <w:rPr>
                <w:noProof/>
                <w:color w:val="000000"/>
                <w:sz w:val="20"/>
              </w:rPr>
              <w:t>INGENIERIA Y MONTAJES RIAS BAJAS, SA</w:t>
            </w:r>
          </w:p>
        </w:tc>
        <w:tc>
          <w:tcPr>
            <w:tcW w:w="504" w:type="dxa"/>
            <w:gridSpan w:val="2"/>
            <w:tcBorders>
              <w:top w:val="dotted" w:sz="4" w:space="0" w:color="auto"/>
              <w:left w:val="dotted" w:sz="4" w:space="0" w:color="auto"/>
              <w:bottom w:val="dotted" w:sz="4" w:space="0" w:color="auto"/>
            </w:tcBorders>
            <w:shd w:val="clear" w:color="auto" w:fill="auto"/>
            <w:vAlign w:val="center"/>
          </w:tcPr>
          <w:p w:rsidR="00343140" w:rsidRPr="00FF3491" w:rsidRDefault="00343140" w:rsidP="00343140">
            <w:pPr>
              <w:spacing w:before="0" w:after="0"/>
              <w:ind w:left="-828"/>
              <w:jc w:val="right"/>
              <w:rPr>
                <w:noProof/>
                <w:sz w:val="20"/>
              </w:rPr>
            </w:pPr>
            <w:r w:rsidRPr="00FF3491">
              <w:rPr>
                <w:noProof/>
                <w:sz w:val="20"/>
              </w:rPr>
              <w:t>8</w:t>
            </w:r>
          </w:p>
        </w:tc>
        <w:tc>
          <w:tcPr>
            <w:tcW w:w="3607" w:type="dxa"/>
            <w:gridSpan w:val="2"/>
            <w:tcBorders>
              <w:top w:val="dotted" w:sz="4" w:space="0" w:color="auto"/>
              <w:bottom w:val="dotted" w:sz="4" w:space="0" w:color="auto"/>
              <w:right w:val="dotted" w:sz="4" w:space="0" w:color="auto"/>
            </w:tcBorders>
            <w:shd w:val="clear" w:color="auto" w:fill="auto"/>
          </w:tcPr>
          <w:p w:rsidR="00343140" w:rsidRPr="00FF3491" w:rsidRDefault="00343140" w:rsidP="00343140">
            <w:pPr>
              <w:spacing w:before="0" w:after="0"/>
              <w:jc w:val="left"/>
              <w:rPr>
                <w:noProof/>
                <w:sz w:val="20"/>
                <w:szCs w:val="20"/>
              </w:rPr>
            </w:pPr>
            <w:r w:rsidRPr="00FF3491">
              <w:rPr>
                <w:noProof/>
                <w:color w:val="000000"/>
                <w:sz w:val="20"/>
              </w:rPr>
              <w:t>TROQUELES Y MOLDES DE GALICIA, S.A.-TROMOSA</w:t>
            </w:r>
          </w:p>
        </w:tc>
        <w:tc>
          <w:tcPr>
            <w:tcW w:w="533" w:type="dxa"/>
            <w:tcBorders>
              <w:top w:val="dotted" w:sz="4" w:space="0" w:color="auto"/>
              <w:left w:val="dotted" w:sz="4" w:space="0" w:color="auto"/>
              <w:bottom w:val="dotted" w:sz="4" w:space="0" w:color="auto"/>
            </w:tcBorders>
            <w:shd w:val="clear" w:color="auto" w:fill="auto"/>
            <w:vAlign w:val="center"/>
          </w:tcPr>
          <w:p w:rsidR="00343140" w:rsidRPr="00FF3491" w:rsidRDefault="00343140" w:rsidP="00343140">
            <w:pPr>
              <w:spacing w:before="0" w:after="0"/>
              <w:ind w:left="-828"/>
              <w:jc w:val="right"/>
              <w:rPr>
                <w:noProof/>
                <w:sz w:val="20"/>
              </w:rPr>
            </w:pPr>
            <w:r w:rsidRPr="00FF3491">
              <w:rPr>
                <w:noProof/>
                <w:sz w:val="20"/>
              </w:rPr>
              <w:t>58</w:t>
            </w:r>
          </w:p>
        </w:tc>
      </w:tr>
      <w:tr w:rsidR="00343140" w:rsidRPr="00FF3491" w:rsidTr="004D6E0D">
        <w:tc>
          <w:tcPr>
            <w:tcW w:w="3696" w:type="dxa"/>
            <w:tcBorders>
              <w:top w:val="dotted" w:sz="4" w:space="0" w:color="auto"/>
              <w:bottom w:val="single" w:sz="4" w:space="0" w:color="auto"/>
              <w:right w:val="dotted" w:sz="4" w:space="0" w:color="auto"/>
            </w:tcBorders>
            <w:shd w:val="clear" w:color="auto" w:fill="auto"/>
          </w:tcPr>
          <w:p w:rsidR="00343140" w:rsidRPr="00FF3491" w:rsidRDefault="00343140" w:rsidP="00343140">
            <w:pPr>
              <w:spacing w:before="0" w:after="0"/>
              <w:jc w:val="left"/>
              <w:rPr>
                <w:noProof/>
                <w:sz w:val="20"/>
                <w:szCs w:val="20"/>
              </w:rPr>
            </w:pPr>
            <w:r w:rsidRPr="00FF3491">
              <w:rPr>
                <w:noProof/>
                <w:color w:val="000000"/>
                <w:sz w:val="20"/>
              </w:rPr>
              <w:t>MAGNA SEATING VIGO, S.A.U.</w:t>
            </w:r>
          </w:p>
        </w:tc>
        <w:tc>
          <w:tcPr>
            <w:tcW w:w="504" w:type="dxa"/>
            <w:gridSpan w:val="2"/>
            <w:tcBorders>
              <w:top w:val="dotted" w:sz="4" w:space="0" w:color="auto"/>
              <w:left w:val="dotted" w:sz="4" w:space="0" w:color="auto"/>
              <w:bottom w:val="single" w:sz="4" w:space="0" w:color="auto"/>
            </w:tcBorders>
            <w:shd w:val="clear" w:color="auto" w:fill="auto"/>
            <w:vAlign w:val="center"/>
          </w:tcPr>
          <w:p w:rsidR="00343140" w:rsidRPr="00FF3491" w:rsidRDefault="00343140" w:rsidP="00343140">
            <w:pPr>
              <w:spacing w:before="0" w:after="0"/>
              <w:ind w:left="-828"/>
              <w:jc w:val="right"/>
              <w:rPr>
                <w:noProof/>
                <w:sz w:val="20"/>
              </w:rPr>
            </w:pPr>
            <w:r w:rsidRPr="00FF3491">
              <w:rPr>
                <w:noProof/>
                <w:sz w:val="20"/>
              </w:rPr>
              <w:t>2</w:t>
            </w:r>
          </w:p>
        </w:tc>
        <w:tc>
          <w:tcPr>
            <w:tcW w:w="3607" w:type="dxa"/>
            <w:gridSpan w:val="2"/>
            <w:tcBorders>
              <w:top w:val="dotted" w:sz="4" w:space="0" w:color="auto"/>
              <w:bottom w:val="single" w:sz="4" w:space="0" w:color="auto"/>
              <w:right w:val="dotted" w:sz="4" w:space="0" w:color="auto"/>
            </w:tcBorders>
            <w:shd w:val="clear" w:color="auto" w:fill="auto"/>
          </w:tcPr>
          <w:p w:rsidR="00343140" w:rsidRPr="00FF3491" w:rsidRDefault="00343140" w:rsidP="00343140">
            <w:pPr>
              <w:spacing w:before="0" w:after="0"/>
              <w:jc w:val="left"/>
              <w:rPr>
                <w:noProof/>
                <w:sz w:val="20"/>
                <w:szCs w:val="20"/>
              </w:rPr>
            </w:pPr>
            <w:r w:rsidRPr="00FF3491">
              <w:rPr>
                <w:noProof/>
                <w:color w:val="000000"/>
                <w:sz w:val="20"/>
              </w:rPr>
              <w:t>WINDAR MP SL</w:t>
            </w:r>
          </w:p>
        </w:tc>
        <w:tc>
          <w:tcPr>
            <w:tcW w:w="533" w:type="dxa"/>
            <w:tcBorders>
              <w:top w:val="dotted" w:sz="4" w:space="0" w:color="auto"/>
              <w:left w:val="dotted" w:sz="4" w:space="0" w:color="auto"/>
              <w:bottom w:val="single" w:sz="4" w:space="0" w:color="auto"/>
            </w:tcBorders>
            <w:shd w:val="clear" w:color="auto" w:fill="auto"/>
            <w:vAlign w:val="center"/>
          </w:tcPr>
          <w:p w:rsidR="00343140" w:rsidRPr="00FF3491" w:rsidRDefault="00343140" w:rsidP="00343140">
            <w:pPr>
              <w:spacing w:before="0" w:after="0"/>
              <w:ind w:left="-828"/>
              <w:jc w:val="right"/>
              <w:rPr>
                <w:noProof/>
                <w:sz w:val="20"/>
              </w:rPr>
            </w:pPr>
            <w:r w:rsidRPr="00FF3491">
              <w:rPr>
                <w:noProof/>
                <w:sz w:val="20"/>
              </w:rPr>
              <w:t>5</w:t>
            </w:r>
          </w:p>
        </w:tc>
      </w:tr>
      <w:tr w:rsidR="00A10F73" w:rsidRPr="00FF3491" w:rsidTr="001D5990">
        <w:trPr>
          <w:trHeight w:val="284"/>
        </w:trPr>
        <w:tc>
          <w:tcPr>
            <w:tcW w:w="3840" w:type="dxa"/>
            <w:gridSpan w:val="2"/>
            <w:tcBorders>
              <w:bottom w:val="nil"/>
              <w:right w:val="nil"/>
            </w:tcBorders>
            <w:shd w:val="clear" w:color="auto" w:fill="E6E6E6"/>
            <w:vAlign w:val="center"/>
          </w:tcPr>
          <w:p w:rsidR="00A10F73" w:rsidRPr="00FF3491" w:rsidRDefault="00A10F73" w:rsidP="00A10F73">
            <w:pPr>
              <w:spacing w:beforeLines="20" w:before="48" w:afterLines="20" w:after="48" w:line="276" w:lineRule="auto"/>
              <w:ind w:left="57"/>
              <w:jc w:val="left"/>
              <w:rPr>
                <w:rFonts w:eastAsia="Calibri"/>
                <w:b/>
                <w:noProof/>
                <w:szCs w:val="24"/>
              </w:rPr>
            </w:pPr>
            <w:r w:rsidRPr="00FF3491">
              <w:rPr>
                <w:noProof/>
              </w:rPr>
              <w:br w:type="page"/>
            </w:r>
            <w:r w:rsidRPr="00FF3491">
              <w:rPr>
                <w:b/>
                <w:noProof/>
              </w:rPr>
              <w:t>Numărul total de întreprinderi:</w:t>
            </w:r>
            <w:r w:rsidRPr="00FF3491">
              <w:rPr>
                <w:b/>
                <w:noProof/>
                <w:sz w:val="22"/>
              </w:rPr>
              <w:t xml:space="preserve"> </w:t>
            </w:r>
            <w:r w:rsidRPr="00FF3491">
              <w:rPr>
                <w:b/>
                <w:noProof/>
              </w:rPr>
              <w:t>20</w:t>
            </w:r>
          </w:p>
        </w:tc>
        <w:tc>
          <w:tcPr>
            <w:tcW w:w="3300" w:type="dxa"/>
            <w:gridSpan w:val="2"/>
            <w:tcBorders>
              <w:left w:val="nil"/>
              <w:bottom w:val="nil"/>
              <w:right w:val="nil"/>
            </w:tcBorders>
            <w:shd w:val="clear" w:color="auto" w:fill="E6E6E6"/>
            <w:vAlign w:val="center"/>
          </w:tcPr>
          <w:p w:rsidR="00A10F73" w:rsidRPr="00FF3491" w:rsidRDefault="00A10F73" w:rsidP="00A10F73">
            <w:pPr>
              <w:spacing w:beforeLines="20" w:before="48" w:afterLines="20" w:after="48" w:line="276" w:lineRule="auto"/>
              <w:ind w:left="57" w:right="227"/>
              <w:jc w:val="left"/>
              <w:rPr>
                <w:rFonts w:eastAsia="Calibri"/>
                <w:b/>
                <w:noProof/>
                <w:szCs w:val="24"/>
              </w:rPr>
            </w:pPr>
            <w:r w:rsidRPr="00FF3491">
              <w:rPr>
                <w:b/>
                <w:noProof/>
              </w:rPr>
              <w:t>Numărul total de disponibilizări:</w:t>
            </w:r>
            <w:r w:rsidRPr="00FF3491">
              <w:rPr>
                <w:b/>
                <w:noProof/>
                <w:sz w:val="22"/>
              </w:rPr>
              <w:t xml:space="preserve"> </w:t>
            </w:r>
          </w:p>
        </w:tc>
        <w:tc>
          <w:tcPr>
            <w:tcW w:w="1200" w:type="dxa"/>
            <w:gridSpan w:val="2"/>
            <w:tcBorders>
              <w:left w:val="nil"/>
              <w:bottom w:val="nil"/>
            </w:tcBorders>
            <w:shd w:val="clear" w:color="auto" w:fill="E6E6E6"/>
            <w:vAlign w:val="center"/>
          </w:tcPr>
          <w:p w:rsidR="00A10F73" w:rsidRPr="00FF3491" w:rsidRDefault="00343140" w:rsidP="00A10F73">
            <w:pPr>
              <w:spacing w:beforeLines="20" w:before="48" w:afterLines="20" w:after="48" w:line="276" w:lineRule="auto"/>
              <w:ind w:left="57" w:right="227"/>
              <w:jc w:val="left"/>
              <w:rPr>
                <w:rFonts w:eastAsia="Calibri"/>
                <w:b/>
                <w:noProof/>
                <w:szCs w:val="24"/>
              </w:rPr>
            </w:pPr>
            <w:r w:rsidRPr="00FF3491">
              <w:rPr>
                <w:b/>
                <w:noProof/>
              </w:rPr>
              <w:t>313</w:t>
            </w:r>
          </w:p>
        </w:tc>
      </w:tr>
      <w:tr w:rsidR="00A10F73" w:rsidRPr="00FF3491" w:rsidTr="001D5990">
        <w:trPr>
          <w:trHeight w:val="284"/>
        </w:trPr>
        <w:tc>
          <w:tcPr>
            <w:tcW w:w="7140" w:type="dxa"/>
            <w:gridSpan w:val="4"/>
            <w:tcBorders>
              <w:top w:val="nil"/>
              <w:right w:val="nil"/>
            </w:tcBorders>
            <w:shd w:val="clear" w:color="auto" w:fill="E6E6E6"/>
            <w:vAlign w:val="center"/>
          </w:tcPr>
          <w:p w:rsidR="00A10F73" w:rsidRPr="00FF3491" w:rsidRDefault="00A10F73" w:rsidP="00A10F73">
            <w:pPr>
              <w:spacing w:beforeLines="20" w:before="48" w:afterLines="20" w:after="48" w:line="276" w:lineRule="auto"/>
              <w:ind w:left="57"/>
              <w:jc w:val="left"/>
              <w:rPr>
                <w:rFonts w:eastAsia="Calibri"/>
                <w:b/>
                <w:noProof/>
                <w:szCs w:val="24"/>
              </w:rPr>
            </w:pPr>
            <w:r w:rsidRPr="00FF3491">
              <w:rPr>
                <w:b/>
                <w:noProof/>
              </w:rPr>
              <w:t xml:space="preserve">Numărul total de lucrători eligibili: </w:t>
            </w:r>
          </w:p>
        </w:tc>
        <w:tc>
          <w:tcPr>
            <w:tcW w:w="1200" w:type="dxa"/>
            <w:gridSpan w:val="2"/>
            <w:tcBorders>
              <w:top w:val="nil"/>
              <w:left w:val="nil"/>
            </w:tcBorders>
            <w:shd w:val="clear" w:color="auto" w:fill="E6E6E6"/>
            <w:vAlign w:val="center"/>
          </w:tcPr>
          <w:p w:rsidR="00A10F73" w:rsidRPr="00FF3491" w:rsidRDefault="00343140" w:rsidP="00A10F73">
            <w:pPr>
              <w:spacing w:beforeLines="20" w:before="48" w:afterLines="20" w:after="48" w:line="276" w:lineRule="auto"/>
              <w:ind w:left="57" w:right="227"/>
              <w:jc w:val="left"/>
              <w:rPr>
                <w:rFonts w:eastAsia="Calibri"/>
                <w:b/>
                <w:noProof/>
                <w:szCs w:val="24"/>
              </w:rPr>
            </w:pPr>
            <w:r w:rsidRPr="00FF3491">
              <w:rPr>
                <w:b/>
                <w:noProof/>
              </w:rPr>
              <w:t>313</w:t>
            </w:r>
          </w:p>
        </w:tc>
      </w:tr>
    </w:tbl>
    <w:p w:rsidR="001A62D7" w:rsidRPr="00FF3491" w:rsidRDefault="001A62D7" w:rsidP="001A62D7">
      <w:pPr>
        <w:pStyle w:val="ManualHeading3"/>
        <w:rPr>
          <w:noProof/>
        </w:rPr>
      </w:pPr>
      <w:r w:rsidRPr="00FF3491">
        <w:rPr>
          <w:noProof/>
        </w:rPr>
        <w:t>Criteriile de intervenție</w:t>
      </w:r>
    </w:p>
    <w:p w:rsidR="001A62D7" w:rsidRPr="00FF3491" w:rsidRDefault="00FB1E28" w:rsidP="001A62D7">
      <w:pPr>
        <w:pStyle w:val="ManualNumPar1"/>
        <w:rPr>
          <w:noProof/>
        </w:rPr>
      </w:pPr>
      <w:r>
        <w:rPr>
          <w:noProof/>
        </w:rPr>
        <w:t>6.</w:t>
      </w:r>
      <w:r>
        <w:rPr>
          <w:noProof/>
        </w:rPr>
        <w:tab/>
      </w:r>
      <w:r w:rsidRPr="00FF3491">
        <w:rPr>
          <w:noProof/>
        </w:rPr>
        <w:t>Spania a depus cererea în temeiul criteriilor de intervenție prevăzute la articolul 4 alineatul (2) litera (c) din Regulamentul (UE) 2021/691, care prevede încetarea activității a cel puțin 200 de lucrători disponibilizați, într-o perioadă de referință de patru luni, în întreprinderi care operează în același sector economic sau în sectoare economice diferite definite la nivel de diviziune NACE Rev. 2 și care sunt situate în aceeași regiune definită la nivelul NUTS 2 dintr-un stat membru. În regiunea NUTS 2 Galicia (ES11) au fost disponibilizați 313 lucrători.</w:t>
      </w:r>
    </w:p>
    <w:p w:rsidR="001A62D7" w:rsidRPr="00FF3491" w:rsidRDefault="001A62D7" w:rsidP="00DB409E">
      <w:pPr>
        <w:pStyle w:val="ManualNumPar1"/>
        <w:rPr>
          <w:noProof/>
        </w:rPr>
      </w:pPr>
      <w:r>
        <w:rPr>
          <w:noProof/>
        </w:rPr>
        <w:t>7.</w:t>
      </w:r>
      <w:r>
        <w:rPr>
          <w:noProof/>
        </w:rPr>
        <w:tab/>
      </w:r>
      <w:bookmarkStart w:id="7" w:name="_Ref372189348"/>
      <w:r w:rsidRPr="00FF3491">
        <w:rPr>
          <w:noProof/>
        </w:rPr>
        <w:t xml:space="preserve">Perioada de referință de patru luni pentru cerere este cuprinsă între 15 septembrie 2025 și </w:t>
      </w:r>
      <w:bookmarkEnd w:id="7"/>
      <w:r w:rsidRPr="00FF3491">
        <w:rPr>
          <w:noProof/>
        </w:rPr>
        <w:t xml:space="preserve">15 ianuarie 2026. </w:t>
      </w:r>
    </w:p>
    <w:p w:rsidR="001A62D7" w:rsidRPr="00FF3491" w:rsidRDefault="001A62D7" w:rsidP="001A62D7">
      <w:pPr>
        <w:pStyle w:val="ManualHeading3"/>
        <w:rPr>
          <w:noProof/>
        </w:rPr>
      </w:pPr>
      <w:r w:rsidRPr="00FF3491">
        <w:rPr>
          <w:noProof/>
        </w:rPr>
        <w:t>Calcularea disponibilizărilor și a cazurilor de încetare a activității</w:t>
      </w:r>
    </w:p>
    <w:p w:rsidR="00DB409E" w:rsidRPr="00FF3491" w:rsidRDefault="001A62D7" w:rsidP="00DB409E">
      <w:pPr>
        <w:pStyle w:val="ManualNumPar1"/>
        <w:rPr>
          <w:noProof/>
        </w:rPr>
      </w:pPr>
      <w:r>
        <w:rPr>
          <w:noProof/>
        </w:rPr>
        <w:t>8.</w:t>
      </w:r>
      <w:r>
        <w:rPr>
          <w:noProof/>
        </w:rPr>
        <w:tab/>
      </w:r>
      <w:r w:rsidRPr="00FF3491">
        <w:rPr>
          <w:noProof/>
        </w:rPr>
        <w:t xml:space="preserve">În temeiul articolului 6 primul paragraf litera (a) coroborat cu articolul 5 primul paragraf litera (c) din Regulamentul (UE) 2021/691, numărul de lucrători afectați de disponibilizări în cursul perioadei de referință a fost calculat de la data încetării de facto a contractului de muncă sau de la data expirării acestuia. </w:t>
      </w:r>
    </w:p>
    <w:p w:rsidR="001A62D7" w:rsidRPr="00FF3491" w:rsidRDefault="001A62D7" w:rsidP="001A62D7">
      <w:pPr>
        <w:pStyle w:val="ManualHeading3"/>
        <w:rPr>
          <w:noProof/>
        </w:rPr>
      </w:pPr>
      <w:r w:rsidRPr="00FF3491">
        <w:rPr>
          <w:noProof/>
        </w:rPr>
        <w:t>Beneficiari eligibili</w:t>
      </w:r>
    </w:p>
    <w:p w:rsidR="001A62D7" w:rsidRPr="00FF3491" w:rsidRDefault="001A62D7" w:rsidP="00AE7D04">
      <w:pPr>
        <w:pStyle w:val="ManualNumPar1"/>
        <w:rPr>
          <w:noProof/>
        </w:rPr>
      </w:pPr>
      <w:r>
        <w:rPr>
          <w:noProof/>
        </w:rPr>
        <w:t>9.</w:t>
      </w:r>
      <w:r>
        <w:rPr>
          <w:noProof/>
        </w:rPr>
        <w:tab/>
      </w:r>
      <w:r w:rsidRPr="00FF3491">
        <w:rPr>
          <w:noProof/>
        </w:rPr>
        <w:t>Pe lângă lucrătorii deja menționați, printre beneficiarii eligibili se numără 358 de lucrători disponibilizați din aceleași întreprinderi, a căror activitate a încetat înainte sau după perioada de referință de patru luni. Toți acești lucrători și-au încetat activitatea în cele șase luni anterioare începerii perioadei de referință, la 15 septembrie 2025 și/sau între sfârșitul perioadei de referință și ziua anterioară adoptării prezentei propuneri, în conformitate cu articolul 6 primul paragraf litera (b) din Regulamentul (UE) 2021/691, astfel cum se prevede la articolul 6 al doilea paragraf din Regulamentul (UE) 2021/691. Se poate stabili o legătură de cauzalitate clară cu evenimentul care a declanșat încetarea activității lucrătorilor disponibilizați în perioada de referință, astfel cum se prevede la articolul 6 al doilea paragraf din Regulamentul (UE) 2021/691.</w:t>
      </w:r>
    </w:p>
    <w:p w:rsidR="001A62D7" w:rsidRPr="00FF3491" w:rsidRDefault="001A62D7" w:rsidP="00AE7D04">
      <w:pPr>
        <w:pStyle w:val="ManualNumPar1"/>
        <w:rPr>
          <w:noProof/>
        </w:rPr>
      </w:pPr>
      <w:r>
        <w:rPr>
          <w:noProof/>
        </w:rPr>
        <w:t>10.</w:t>
      </w:r>
      <w:r>
        <w:rPr>
          <w:noProof/>
        </w:rPr>
        <w:tab/>
      </w:r>
      <w:r w:rsidRPr="00FF3491">
        <w:rPr>
          <w:noProof/>
        </w:rPr>
        <w:t>Numărul total de beneficiari eligibili este de 671.</w:t>
      </w:r>
    </w:p>
    <w:p w:rsidR="001A62D7" w:rsidRPr="00FF3491" w:rsidRDefault="001A62D7" w:rsidP="001A62D7">
      <w:pPr>
        <w:pStyle w:val="ManualHeading3"/>
        <w:rPr>
          <w:noProof/>
        </w:rPr>
      </w:pPr>
      <w:r w:rsidRPr="00FF3491">
        <w:rPr>
          <w:noProof/>
        </w:rPr>
        <w:t>Descrierea evenimentelor care au determinat disponibilizările și încetarea activității</w:t>
      </w:r>
    </w:p>
    <w:p w:rsidR="000C62BC" w:rsidRPr="00FF3491" w:rsidRDefault="000C62BC" w:rsidP="000C62BC">
      <w:pPr>
        <w:pStyle w:val="ManualNumPar1"/>
        <w:rPr>
          <w:noProof/>
        </w:rPr>
      </w:pPr>
      <w:r>
        <w:rPr>
          <w:noProof/>
        </w:rPr>
        <w:t>11.</w:t>
      </w:r>
      <w:r>
        <w:rPr>
          <w:noProof/>
        </w:rPr>
        <w:tab/>
      </w:r>
      <w:r w:rsidRPr="00FF3491">
        <w:rPr>
          <w:noProof/>
        </w:rPr>
        <w:t xml:space="preserve">Din 2024, industria componentelor auto din Spania s-a înrăutățit constant. În octombrie 2025, asociația patronală din sector (Sernauto) și-a revizuit previziunile de </w:t>
      </w:r>
      <w:r w:rsidRPr="00FF3491">
        <w:rPr>
          <w:noProof/>
        </w:rPr>
        <w:lastRenderedPageBreak/>
        <w:t>sfârșit de an, preconizând o scădere cu aproape 2 % a veniturilor și o scădere cu 1 % a ocupării forței de muncă (3 000 de locuri de muncă), marcând al doilea an consecutiv de scădere agregată</w:t>
      </w:r>
      <w:r w:rsidR="007E4E97" w:rsidRPr="00FF3491">
        <w:rPr>
          <w:rStyle w:val="FootnoteReference"/>
          <w:noProof/>
        </w:rPr>
        <w:footnoteReference w:id="5"/>
      </w:r>
      <w:r w:rsidRPr="00FF3491">
        <w:rPr>
          <w:noProof/>
        </w:rPr>
        <w:t>. În 2024, sectorul a înregistrat vânzări în valoare de 41 238 miliarde EUR, o contracție de 0,7 % de la an la an și o reducere cu 0,7 % a ocupării directe a forței de muncă</w:t>
      </w:r>
      <w:r w:rsidR="007E4E97" w:rsidRPr="00FF3491">
        <w:rPr>
          <w:rStyle w:val="FootnoteReference"/>
          <w:noProof/>
        </w:rPr>
        <w:footnoteReference w:id="6"/>
      </w:r>
      <w:r w:rsidRPr="00FF3491">
        <w:rPr>
          <w:noProof/>
        </w:rPr>
        <w:t>, alături de scăderi semnificative ale investițiilor productive (-12,3 %) și ale C&amp;D (-2 %). Aceste cifre confirmă faptul că ajustarea nu este ciclică, ci reflectă mai degrabă o restructurare a marjelor și a volumelor pe piețele de clienți ale furnizorilor spanioli de componente pentru autovehicule.</w:t>
      </w:r>
    </w:p>
    <w:p w:rsidR="00AE5452" w:rsidRPr="00FF3491" w:rsidRDefault="000C62BC" w:rsidP="000C62BC">
      <w:pPr>
        <w:pStyle w:val="ManualNumPar1"/>
        <w:rPr>
          <w:noProof/>
        </w:rPr>
      </w:pPr>
      <w:r>
        <w:rPr>
          <w:noProof/>
        </w:rPr>
        <w:t>12.</w:t>
      </w:r>
      <w:r>
        <w:rPr>
          <w:noProof/>
        </w:rPr>
        <w:tab/>
      </w:r>
      <w:r w:rsidRPr="00FF3491">
        <w:rPr>
          <w:noProof/>
        </w:rPr>
        <w:t xml:space="preserve">Orientarea puternică către export a întreprinderilor producătoare de componente auto din Galicia, care direcționează 60-70 % din producția lor către UE, echivalează cu faptul că orice fluctuație a cererii europene le afectează în mod direct activitatea, volumul de muncă și stabilitatea locurilor de muncă. </w:t>
      </w:r>
    </w:p>
    <w:p w:rsidR="000C62BC" w:rsidRPr="00FF3491" w:rsidRDefault="00AE5452" w:rsidP="00AE5452">
      <w:pPr>
        <w:pStyle w:val="ManualNumPar1"/>
        <w:rPr>
          <w:noProof/>
        </w:rPr>
      </w:pPr>
      <w:r>
        <w:rPr>
          <w:noProof/>
        </w:rPr>
        <w:t>13.</w:t>
      </w:r>
      <w:r>
        <w:rPr>
          <w:noProof/>
        </w:rPr>
        <w:tab/>
      </w:r>
      <w:r w:rsidRPr="00FF3491">
        <w:rPr>
          <w:noProof/>
        </w:rPr>
        <w:t>Combinația dintre cererea europeană mai slabă decât se preconizase, perturbările comerțului și ale lanțului de aprovizionare – care subminează achizițiile stabile și lansările de noi modele – și redirecționarea investițiilor către platforme electrificate și către un conținut electronic mai ridicat duce la reducerea locurilor de muncă în zona Vigo (Stellantis, rețeaua sa auxiliară și furnizorii de componente).</w:t>
      </w:r>
    </w:p>
    <w:p w:rsidR="006B5FAA" w:rsidRPr="00FF3491" w:rsidRDefault="000C62BC" w:rsidP="000C62BC">
      <w:pPr>
        <w:pStyle w:val="ManualNumPar1"/>
        <w:rPr>
          <w:noProof/>
        </w:rPr>
      </w:pPr>
      <w:r>
        <w:rPr>
          <w:noProof/>
        </w:rPr>
        <w:t>14.</w:t>
      </w:r>
      <w:r>
        <w:rPr>
          <w:noProof/>
        </w:rPr>
        <w:tab/>
      </w:r>
      <w:r w:rsidRPr="00FF3491">
        <w:rPr>
          <w:noProof/>
        </w:rPr>
        <w:t>Indicatorul costului forței de muncă per vehicul, care realizează o corelare între cheltuielile totale cu forța de muncă și unitățile produse, a devenit o variabilă esențială în perioadele marcate de electrificare și de reducerea marjelor. Țările cu costuri scăzute ale forței de muncă, cum ar fi Maroc (90 EUR per vehicul) și Turcia (350 EUR), absorb o mare parte din noua capacitate industrială, în timp ce țările cu costuri medii, cum ar fi Spania (850 EUR)</w:t>
      </w:r>
      <w:r w:rsidR="000E796A" w:rsidRPr="00FF3491">
        <w:rPr>
          <w:rStyle w:val="FootnoteReference"/>
          <w:noProof/>
        </w:rPr>
        <w:footnoteReference w:id="7"/>
      </w:r>
      <w:r w:rsidRPr="00FF3491">
        <w:rPr>
          <w:noProof/>
        </w:rPr>
        <w:t>, trebuie să își mențină competitivitatea prin creșterea eficienței, specializare și o logistică mai solidă, lucru care exercită o presiune suplimentară, în special în segmentele cu marjă mai mică.</w:t>
      </w:r>
    </w:p>
    <w:p w:rsidR="001A62D7" w:rsidRPr="00FF3491" w:rsidRDefault="00A02E1B" w:rsidP="000C62BC">
      <w:pPr>
        <w:pStyle w:val="ManualNumPar1"/>
        <w:rPr>
          <w:noProof/>
        </w:rPr>
      </w:pPr>
      <w:r>
        <w:rPr>
          <w:noProof/>
        </w:rPr>
        <w:t>15.</w:t>
      </w:r>
      <w:r>
        <w:rPr>
          <w:noProof/>
        </w:rPr>
        <w:tab/>
      </w:r>
      <w:r w:rsidRPr="00FF3491">
        <w:rPr>
          <w:noProof/>
        </w:rPr>
        <w:t>Combinația tuturor acestor factori a impus ajustări structurale de-a lungul lanțului valoric al sectorului autovehiculelor din Galicia, ceea ce a dus la scheme de șomaj tehnic și la concedieri (de exemplu, la Stellantis, Akwel Vigo Spania sau CTAG), la proceduri de insolvență și la lichidări (de exemplu, Cablerías Auto S.L. sau Troqueles y Moldes de Galicia).</w:t>
      </w:r>
    </w:p>
    <w:p w:rsidR="001A62D7" w:rsidRPr="00FF3491" w:rsidRDefault="001A62D7" w:rsidP="001A62D7">
      <w:pPr>
        <w:pStyle w:val="ManualHeading3"/>
        <w:tabs>
          <w:tab w:val="clear" w:pos="850"/>
          <w:tab w:val="left" w:pos="0"/>
        </w:tabs>
        <w:ind w:left="0" w:firstLine="0"/>
        <w:rPr>
          <w:noProof/>
        </w:rPr>
      </w:pPr>
      <w:r w:rsidRPr="00FF3491">
        <w:rPr>
          <w:noProof/>
        </w:rPr>
        <w:t>Impactul preconizat al disponibilizărilor asupra economiei și a ocupării forței de muncă la nivel local, regional sau național</w:t>
      </w:r>
    </w:p>
    <w:p w:rsidR="000B43AC" w:rsidRPr="00FF3491" w:rsidRDefault="00F87A6D" w:rsidP="000B43AC">
      <w:pPr>
        <w:pStyle w:val="ManualNumPar1"/>
        <w:rPr>
          <w:noProof/>
        </w:rPr>
      </w:pPr>
      <w:r>
        <w:rPr>
          <w:noProof/>
        </w:rPr>
        <w:t>16.</w:t>
      </w:r>
      <w:r>
        <w:rPr>
          <w:noProof/>
        </w:rPr>
        <w:tab/>
      </w:r>
      <w:bookmarkStart w:id="8" w:name="_Hlk230862378"/>
      <w:r w:rsidRPr="00FF3491">
        <w:rPr>
          <w:noProof/>
        </w:rPr>
        <w:t>Industria autovehiculelor din Galicia angajează o proporție ridicată de lucrători calificați și specializați, inclusiv profesioniști din domeniul ingineriei industriale, al dezvoltării, validării și testării produselor, al producției avansate, al automatizării, al digitalizării și al tehnologiilor legate de mobilitatea electrică. Pierderea unui volum semnificativ de locuri de muncă într-un lanț valoric unic – cum ar fi sectorul autovehiculelor – are un impact disproporționat asupra structurilor de ocupare a forței de muncă și asupra oportunităților de reangajare, deoarece piața regională a forței de muncă are o capacitate limitată de a absorbi imediat astfel de lucrători specializați în roluri echivalente.</w:t>
      </w:r>
      <w:bookmarkEnd w:id="8"/>
      <w:r w:rsidRPr="00FF3491">
        <w:rPr>
          <w:noProof/>
        </w:rPr>
        <w:t xml:space="preserve"> </w:t>
      </w:r>
    </w:p>
    <w:p w:rsidR="000B43AC" w:rsidRPr="00FF3491" w:rsidRDefault="000B43AC" w:rsidP="000B43AC">
      <w:pPr>
        <w:pStyle w:val="ManualNumPar1"/>
        <w:rPr>
          <w:noProof/>
        </w:rPr>
      </w:pPr>
      <w:r>
        <w:rPr>
          <w:noProof/>
        </w:rPr>
        <w:t>17.</w:t>
      </w:r>
      <w:r>
        <w:rPr>
          <w:noProof/>
        </w:rPr>
        <w:tab/>
      </w:r>
      <w:r w:rsidRPr="00FF3491">
        <w:rPr>
          <w:noProof/>
        </w:rPr>
        <w:t>În Galicia, sectorul industrial reprezintă 16,4 % din totalul locurilor de muncă la nivel regional</w:t>
      </w:r>
      <w:r w:rsidR="00C60083" w:rsidRPr="00FF3491">
        <w:rPr>
          <w:rStyle w:val="FootnoteReference"/>
          <w:noProof/>
        </w:rPr>
        <w:footnoteReference w:id="8"/>
      </w:r>
      <w:r w:rsidRPr="00FF3491">
        <w:rPr>
          <w:noProof/>
        </w:rPr>
        <w:t xml:space="preserve"> – cu 6,5 puncte procentuale (pp) mai mult decât media națională </w:t>
      </w:r>
      <w:r w:rsidRPr="00FF3491">
        <w:rPr>
          <w:noProof/>
        </w:rPr>
        <w:lastRenderedPageBreak/>
        <w:t>(9,9 %)</w:t>
      </w:r>
      <w:r w:rsidR="0028567E" w:rsidRPr="00FF3491">
        <w:rPr>
          <w:rStyle w:val="FootnoteReference"/>
          <w:noProof/>
        </w:rPr>
        <w:footnoteReference w:id="9"/>
      </w:r>
      <w:r w:rsidRPr="00FF3491">
        <w:rPr>
          <w:noProof/>
        </w:rPr>
        <w:t>. Rata șomajului la nivel regional (8,4 %)</w:t>
      </w:r>
      <w:r w:rsidR="009942B8" w:rsidRPr="00FF3491">
        <w:rPr>
          <w:rStyle w:val="FootnoteReference"/>
          <w:noProof/>
        </w:rPr>
        <w:footnoteReference w:id="10"/>
      </w:r>
      <w:r w:rsidRPr="00FF3491">
        <w:rPr>
          <w:noProof/>
        </w:rPr>
        <w:t xml:space="preserve"> este cu 2,6 puncte procentuale peste media UE (5,8 %)</w:t>
      </w:r>
      <w:r w:rsidR="008E0A34" w:rsidRPr="00FF3491">
        <w:rPr>
          <w:rStyle w:val="FootnoteReference"/>
          <w:noProof/>
        </w:rPr>
        <w:footnoteReference w:id="11"/>
      </w:r>
      <w:r w:rsidRPr="00FF3491">
        <w:rPr>
          <w:noProof/>
        </w:rPr>
        <w:t>, deși cu 1,5 puncte procentuale sub rata națională a Spaniei (9,9 %)</w:t>
      </w:r>
      <w:r w:rsidR="008E0A34" w:rsidRPr="00FF3491">
        <w:rPr>
          <w:rStyle w:val="FootnoteReference"/>
          <w:noProof/>
        </w:rPr>
        <w:footnoteReference w:id="12"/>
      </w:r>
      <w:r w:rsidRPr="00FF3491">
        <w:rPr>
          <w:noProof/>
        </w:rPr>
        <w:t>. Cu toate acestea, în teritoriul afectat de concedieri, zona Vigo, șomajul este de 11,2 %</w:t>
      </w:r>
      <w:r w:rsidR="00EB02F0" w:rsidRPr="00FF3491">
        <w:rPr>
          <w:rStyle w:val="FootnoteReference"/>
          <w:noProof/>
        </w:rPr>
        <w:footnoteReference w:id="13"/>
      </w:r>
      <w:r w:rsidRPr="00FF3491">
        <w:rPr>
          <w:noProof/>
        </w:rPr>
        <w:t>, cu aproape 3 puncte procentuale peste media regională și aproape dublu față de media UE.</w:t>
      </w:r>
    </w:p>
    <w:p w:rsidR="000B43AC" w:rsidRPr="00FF3491" w:rsidRDefault="000B43AC" w:rsidP="000B43AC">
      <w:pPr>
        <w:pStyle w:val="ManualNumPar1"/>
        <w:rPr>
          <w:noProof/>
        </w:rPr>
      </w:pPr>
      <w:r>
        <w:rPr>
          <w:noProof/>
        </w:rPr>
        <w:t>18.</w:t>
      </w:r>
      <w:r>
        <w:rPr>
          <w:noProof/>
        </w:rPr>
        <w:tab/>
      </w:r>
      <w:r w:rsidRPr="00FF3491">
        <w:rPr>
          <w:noProof/>
        </w:rPr>
        <w:t>Rata de ocupare a forței de muncă la nivel regional (49,6 %)</w:t>
      </w:r>
      <w:r w:rsidR="007E153F" w:rsidRPr="00FF3491">
        <w:rPr>
          <w:rStyle w:val="FootnoteReference"/>
          <w:noProof/>
        </w:rPr>
        <w:footnoteReference w:id="14"/>
      </w:r>
      <w:r w:rsidRPr="00FF3491">
        <w:rPr>
          <w:noProof/>
        </w:rPr>
        <w:t xml:space="preserve"> este cu 21 de puncte procentuale sub rata națională a Spaniei (71,4 %) și cu 26 de puncte procentuale sub media UE (75,8 %)</w:t>
      </w:r>
      <w:r w:rsidR="007E153F" w:rsidRPr="00FF3491">
        <w:rPr>
          <w:rStyle w:val="FootnoteReference"/>
          <w:noProof/>
        </w:rPr>
        <w:footnoteReference w:id="15"/>
      </w:r>
      <w:r w:rsidRPr="00FF3491">
        <w:rPr>
          <w:noProof/>
        </w:rPr>
        <w:t>.</w:t>
      </w:r>
    </w:p>
    <w:p w:rsidR="001A62D7" w:rsidRPr="00FF3491" w:rsidRDefault="000B43AC" w:rsidP="000B43AC">
      <w:pPr>
        <w:pStyle w:val="ManualNumPar1"/>
        <w:rPr>
          <w:noProof/>
        </w:rPr>
      </w:pPr>
      <w:r>
        <w:rPr>
          <w:noProof/>
        </w:rPr>
        <w:t>19.</w:t>
      </w:r>
      <w:r>
        <w:rPr>
          <w:noProof/>
        </w:rPr>
        <w:tab/>
      </w:r>
      <w:r w:rsidRPr="00FF3491">
        <w:rPr>
          <w:noProof/>
        </w:rPr>
        <w:t>Având în vedere provocările de pe piața forței de muncă afectate de concedieri, lucrătorii vor avea nevoie de sprijin adaptat pentru a trece cu succes la un nou loc de muncă.</w:t>
      </w:r>
    </w:p>
    <w:p w:rsidR="001A62D7" w:rsidRPr="00FF3491" w:rsidRDefault="001A62D7" w:rsidP="00771F6F">
      <w:pPr>
        <w:pStyle w:val="ManualHeading2"/>
        <w:tabs>
          <w:tab w:val="clear" w:pos="850"/>
          <w:tab w:val="left" w:pos="0"/>
        </w:tabs>
        <w:ind w:left="0" w:firstLine="0"/>
        <w:rPr>
          <w:noProof/>
        </w:rPr>
      </w:pPr>
      <w:r w:rsidRPr="00FF3491">
        <w:rPr>
          <w:noProof/>
        </w:rPr>
        <w:t>Aplicarea Cadrului de calitate al UE pentru anticiparea schimbărilor și a restructurării (QFR)</w:t>
      </w:r>
    </w:p>
    <w:p w:rsidR="001A62D7" w:rsidRPr="00FF3491" w:rsidRDefault="00EB7E74" w:rsidP="00AE7D04">
      <w:pPr>
        <w:pStyle w:val="ManualNumPar1"/>
        <w:rPr>
          <w:noProof/>
        </w:rPr>
      </w:pPr>
      <w:r>
        <w:rPr>
          <w:noProof/>
        </w:rPr>
        <w:t>20.</w:t>
      </w:r>
      <w:r>
        <w:rPr>
          <w:noProof/>
        </w:rPr>
        <w:tab/>
      </w:r>
      <w:r w:rsidRPr="00FF3491">
        <w:rPr>
          <w:noProof/>
        </w:rPr>
        <w:t>Spania a descris modul în care au fost luate în considerare recomandările prevăzute în Cadrul de calitate al UE pentru anticiparea schimbărilor și restructurare: Spania a raportat că legislația națională a muncii impune întreprinderilor să ofere lucrătorilor disponibilizați servicii de formare și reconversie profesională timp de cel puțin șase luni, furnizate prin intermediul unui furnizor autorizat de servicii de plasare pe piața muncii a personalului disponibilizat, în cazul în care concedierea colectivă afectează peste 50 de angajați. Această obligație s-a aplicat în cazul a două dintre cele 20 de întreprinderi menționate la punctul 5</w:t>
      </w:r>
      <w:r w:rsidR="004032AD" w:rsidRPr="00FF3491">
        <w:rPr>
          <w:rStyle w:val="FootnoteReference"/>
          <w:noProof/>
        </w:rPr>
        <w:footnoteReference w:id="16"/>
      </w:r>
      <w:r w:rsidRPr="00FF3491">
        <w:rPr>
          <w:noProof/>
        </w:rPr>
        <w:t>.</w:t>
      </w:r>
    </w:p>
    <w:p w:rsidR="001A62D7" w:rsidRPr="00FF3491" w:rsidRDefault="001A62D7" w:rsidP="00AE7D04">
      <w:pPr>
        <w:pStyle w:val="ManualNumPar1"/>
        <w:rPr>
          <w:noProof/>
        </w:rPr>
      </w:pPr>
      <w:r>
        <w:rPr>
          <w:noProof/>
        </w:rPr>
        <w:t>21.</w:t>
      </w:r>
      <w:r>
        <w:rPr>
          <w:noProof/>
        </w:rPr>
        <w:tab/>
      </w:r>
      <w:r w:rsidRPr="00FF3491">
        <w:rPr>
          <w:noProof/>
        </w:rPr>
        <w:t>În ceea ce privește activitățile întreprinse pentru a sprijini lucrătorii disponibilizați, Spania a raportat că Emprego Galicia, serviciile publice regionale pentru ocuparea forței de muncă, a oferit lucrătorilor acces la serviciile sale generale (sprijin pentru căutarea unui loc de muncă, consiliere și formare profesională).</w:t>
      </w:r>
    </w:p>
    <w:p w:rsidR="001A62D7" w:rsidRPr="00FF3491" w:rsidRDefault="001A62D7" w:rsidP="001A62D7">
      <w:pPr>
        <w:pStyle w:val="ManualHeading3"/>
        <w:rPr>
          <w:noProof/>
        </w:rPr>
      </w:pPr>
      <w:r w:rsidRPr="00FF3491">
        <w:rPr>
          <w:noProof/>
        </w:rPr>
        <w:t>Complementaritatea cu acțiuni finanțate din fonduri naționale sau din fonduri ale Uniunii</w:t>
      </w:r>
    </w:p>
    <w:p w:rsidR="001A62D7" w:rsidRPr="00FF3491" w:rsidRDefault="00574487" w:rsidP="00AE7D04">
      <w:pPr>
        <w:pStyle w:val="ManualNumPar1"/>
        <w:rPr>
          <w:noProof/>
        </w:rPr>
      </w:pPr>
      <w:r>
        <w:rPr>
          <w:noProof/>
        </w:rPr>
        <w:t>22.</w:t>
      </w:r>
      <w:r>
        <w:rPr>
          <w:noProof/>
        </w:rPr>
        <w:tab/>
      </w:r>
      <w:r w:rsidRPr="00FF3491">
        <w:rPr>
          <w:noProof/>
        </w:rPr>
        <w:t>Spania a confirmat faptul că măsurile descrise mai jos care primesc o contribuție financiară din partea FEG nu vor beneficia și de contribuții financiare din partea altor instrumente financiare ale Uniunii.</w:t>
      </w:r>
    </w:p>
    <w:p w:rsidR="001A62D7" w:rsidRPr="00FF3491" w:rsidRDefault="001A62D7" w:rsidP="00AE7D04">
      <w:pPr>
        <w:pStyle w:val="ManualNumPar1"/>
        <w:rPr>
          <w:noProof/>
        </w:rPr>
      </w:pPr>
      <w:r>
        <w:rPr>
          <w:noProof/>
        </w:rPr>
        <w:t>23.</w:t>
      </w:r>
      <w:r>
        <w:rPr>
          <w:noProof/>
        </w:rPr>
        <w:tab/>
      </w:r>
      <w:r w:rsidRPr="00FF3491">
        <w:rPr>
          <w:noProof/>
        </w:rPr>
        <w:t>Pachetul coordonat de servicii personalizate completează acțiunile finanțate prin alte fonduri naționale sau ale UE.</w:t>
      </w:r>
    </w:p>
    <w:p w:rsidR="001A62D7" w:rsidRPr="00FF3491" w:rsidRDefault="001A62D7" w:rsidP="001A62D7">
      <w:pPr>
        <w:pStyle w:val="ManualHeading3"/>
        <w:tabs>
          <w:tab w:val="clear" w:pos="850"/>
          <w:tab w:val="left" w:pos="0"/>
        </w:tabs>
        <w:ind w:left="0" w:firstLine="0"/>
        <w:rPr>
          <w:noProof/>
          <w:u w:val="single"/>
        </w:rPr>
      </w:pPr>
      <w:r w:rsidRPr="00FF3491">
        <w:rPr>
          <w:noProof/>
        </w:rPr>
        <w:t>Proceduri de consultare a beneficiarilor vizați sau a reprezentanților acestora ori a partenerilor sociali, precum și a autorităților locale și regionale</w:t>
      </w:r>
    </w:p>
    <w:p w:rsidR="001A62D7" w:rsidRPr="00FF3491" w:rsidRDefault="00574487" w:rsidP="00AE7D04">
      <w:pPr>
        <w:pStyle w:val="ManualNumPar1"/>
        <w:rPr>
          <w:noProof/>
        </w:rPr>
      </w:pPr>
      <w:r>
        <w:rPr>
          <w:noProof/>
        </w:rPr>
        <w:t>24.</w:t>
      </w:r>
      <w:r>
        <w:rPr>
          <w:noProof/>
        </w:rPr>
        <w:tab/>
      </w:r>
      <w:r w:rsidRPr="00FF3491">
        <w:rPr>
          <w:noProof/>
        </w:rPr>
        <w:t>Spania a indicat că pachetul coordonat de servicii personalizate a fost elaborat în consultare cu sindicatele: CCOO</w:t>
      </w:r>
      <w:r w:rsidR="00336E9F" w:rsidRPr="00FF3491">
        <w:rPr>
          <w:rStyle w:val="FootnoteReference"/>
          <w:noProof/>
        </w:rPr>
        <w:footnoteReference w:id="17"/>
      </w:r>
      <w:r w:rsidRPr="00FF3491">
        <w:rPr>
          <w:noProof/>
        </w:rPr>
        <w:t>, Federația Lucrătorilor din Industrie, Metalurgie, Construcții și din Industriile Conexe din cadrul UGT (UGT-FICA</w:t>
      </w:r>
      <w:r w:rsidR="00DB077F" w:rsidRPr="00FF3491">
        <w:rPr>
          <w:rStyle w:val="FootnoteReference"/>
          <w:noProof/>
        </w:rPr>
        <w:footnoteReference w:id="18"/>
      </w:r>
      <w:r w:rsidRPr="00FF3491">
        <w:rPr>
          <w:noProof/>
        </w:rPr>
        <w:t>) și CIG</w:t>
      </w:r>
      <w:r w:rsidR="009A5688" w:rsidRPr="00FF3491">
        <w:rPr>
          <w:rStyle w:val="FootnoteReference"/>
          <w:noProof/>
        </w:rPr>
        <w:footnoteReference w:id="19"/>
      </w:r>
      <w:r w:rsidRPr="00FF3491">
        <w:rPr>
          <w:noProof/>
        </w:rPr>
        <w:t xml:space="preserve">; </w:t>
      </w:r>
      <w:r w:rsidRPr="00FF3491">
        <w:rPr>
          <w:noProof/>
        </w:rPr>
        <w:lastRenderedPageBreak/>
        <w:t>Confederația patronală din Galicia, CEG și clusterul societăților din sectorul autovehiculelor din Galicia, CEAGA</w:t>
      </w:r>
      <w:r w:rsidR="001B747A" w:rsidRPr="00FF3491">
        <w:rPr>
          <w:rStyle w:val="FootnoteReference"/>
          <w:noProof/>
        </w:rPr>
        <w:footnoteReference w:id="20"/>
      </w:r>
      <w:r w:rsidRPr="00FF3491">
        <w:rPr>
          <w:noProof/>
        </w:rPr>
        <w:t>, în conformitate cu articolul 7 alineatul (4) din Regulamentul (UE) 2021/691. Guvernul regional a menținut un proces de consultare structurat și continuu, care s-a încheiat cu reuniuni cu prezență fizică ale tuturor părților interesate, organizate la 13 și 15 ianuarie 2026</w:t>
      </w:r>
      <w:r w:rsidR="004924A8" w:rsidRPr="00FF3491">
        <w:rPr>
          <w:rStyle w:val="FootnoteReference"/>
          <w:noProof/>
        </w:rPr>
        <w:footnoteReference w:id="21"/>
      </w:r>
      <w:r w:rsidRPr="00FF3491">
        <w:rPr>
          <w:noProof/>
        </w:rPr>
        <w:t>. CEAGA a avut un rol esențial în conturarea domeniului de aplicare al formării și a ofertei aferente.</w:t>
      </w:r>
    </w:p>
    <w:p w:rsidR="001A62D7" w:rsidRPr="00FF3491" w:rsidRDefault="001A62D7" w:rsidP="001A62D7">
      <w:pPr>
        <w:pStyle w:val="ManualHeading2"/>
        <w:rPr>
          <w:noProof/>
        </w:rPr>
      </w:pPr>
      <w:r w:rsidRPr="00FF3491">
        <w:rPr>
          <w:noProof/>
        </w:rPr>
        <w:t>Beneficiarii vizați și măsurile propuse</w:t>
      </w:r>
    </w:p>
    <w:p w:rsidR="001A62D7" w:rsidRPr="00FF3491" w:rsidRDefault="001A62D7" w:rsidP="001A62D7">
      <w:pPr>
        <w:pStyle w:val="ManualHeading3"/>
        <w:rPr>
          <w:noProof/>
        </w:rPr>
      </w:pPr>
      <w:r w:rsidRPr="00FF3491">
        <w:rPr>
          <w:noProof/>
        </w:rPr>
        <w:t>Beneficiarii vizați</w:t>
      </w:r>
    </w:p>
    <w:p w:rsidR="001A62D7" w:rsidRPr="00FF3491" w:rsidRDefault="001A62D7" w:rsidP="00AE7D04">
      <w:pPr>
        <w:pStyle w:val="ManualNumPar1"/>
        <w:rPr>
          <w:noProof/>
        </w:rPr>
      </w:pPr>
      <w:r>
        <w:rPr>
          <w:noProof/>
        </w:rPr>
        <w:t>25.</w:t>
      </w:r>
      <w:r>
        <w:rPr>
          <w:noProof/>
        </w:rPr>
        <w:tab/>
      </w:r>
      <w:r w:rsidRPr="00FF3491">
        <w:rPr>
          <w:noProof/>
        </w:rPr>
        <w:t>Se estimează că numărul lucrătorilor disponibilizați care vor beneficia de măsuri va fi de 400. În conformitate cu articolul 8 alineatul (7) litera (f) din Regulamentul (UE) 2021/691, defalcarea acestor lucrători în funcție de gen, grupă de vârstă și nivel de studii este următoarea:</w:t>
      </w:r>
    </w:p>
    <w:tbl>
      <w:tblPr>
        <w:tblW w:w="0" w:type="auto"/>
        <w:jc w:val="center"/>
        <w:tblLook w:val="04A0" w:firstRow="1" w:lastRow="0" w:firstColumn="1" w:lastColumn="0" w:noHBand="0" w:noVBand="1"/>
      </w:tblPr>
      <w:tblGrid>
        <w:gridCol w:w="1496"/>
        <w:gridCol w:w="2063"/>
        <w:gridCol w:w="1176"/>
        <w:gridCol w:w="1176"/>
      </w:tblGrid>
      <w:tr w:rsidR="001A62D7" w:rsidRPr="00FF3491" w:rsidTr="001D5990">
        <w:trPr>
          <w:jc w:val="center"/>
        </w:trPr>
        <w:tc>
          <w:tcPr>
            <w:tcW w:w="3559" w:type="dxa"/>
            <w:gridSpan w:val="2"/>
            <w:tcBorders>
              <w:top w:val="single" w:sz="4" w:space="0" w:color="auto"/>
              <w:left w:val="nil"/>
              <w:bottom w:val="single" w:sz="4" w:space="0" w:color="auto"/>
              <w:right w:val="nil"/>
            </w:tcBorders>
            <w:hideMark/>
          </w:tcPr>
          <w:p w:rsidR="001A62D7" w:rsidRPr="00FF3491" w:rsidRDefault="001A62D7" w:rsidP="001D5990">
            <w:pPr>
              <w:spacing w:before="60" w:after="60"/>
              <w:jc w:val="center"/>
              <w:rPr>
                <w:noProof/>
              </w:rPr>
            </w:pPr>
            <w:r w:rsidRPr="00FF3491">
              <w:rPr>
                <w:noProof/>
              </w:rPr>
              <w:t>Categorie</w:t>
            </w:r>
          </w:p>
        </w:tc>
        <w:tc>
          <w:tcPr>
            <w:tcW w:w="2352" w:type="dxa"/>
            <w:gridSpan w:val="2"/>
            <w:tcBorders>
              <w:top w:val="single" w:sz="4" w:space="0" w:color="auto"/>
              <w:left w:val="nil"/>
              <w:bottom w:val="single" w:sz="4" w:space="0" w:color="auto"/>
              <w:right w:val="nil"/>
            </w:tcBorders>
            <w:hideMark/>
          </w:tcPr>
          <w:p w:rsidR="001A62D7" w:rsidRPr="00FF3491" w:rsidRDefault="001A62D7" w:rsidP="001D5990">
            <w:pPr>
              <w:spacing w:before="60" w:after="60"/>
              <w:jc w:val="center"/>
              <w:rPr>
                <w:noProof/>
              </w:rPr>
            </w:pPr>
            <w:r w:rsidRPr="00FF3491">
              <w:rPr>
                <w:noProof/>
              </w:rPr>
              <w:t xml:space="preserve">Numărul </w:t>
            </w:r>
            <w:r w:rsidRPr="00FF3491">
              <w:rPr>
                <w:noProof/>
              </w:rPr>
              <w:br/>
              <w:t>beneficiarilor preconizați</w:t>
            </w:r>
          </w:p>
        </w:tc>
      </w:tr>
      <w:tr w:rsidR="001A62D7" w:rsidRPr="00FF3491" w:rsidTr="001D5990">
        <w:trPr>
          <w:jc w:val="center"/>
        </w:trPr>
        <w:tc>
          <w:tcPr>
            <w:tcW w:w="1496" w:type="dxa"/>
            <w:tcBorders>
              <w:top w:val="single" w:sz="4" w:space="0" w:color="auto"/>
              <w:left w:val="nil"/>
              <w:right w:val="nil"/>
            </w:tcBorders>
            <w:hideMark/>
          </w:tcPr>
          <w:p w:rsidR="001A62D7" w:rsidRPr="00FF3491" w:rsidRDefault="001A62D7" w:rsidP="001D5990">
            <w:pPr>
              <w:spacing w:before="60" w:after="60"/>
              <w:rPr>
                <w:noProof/>
              </w:rPr>
            </w:pPr>
            <w:r w:rsidRPr="00FF3491">
              <w:rPr>
                <w:noProof/>
              </w:rPr>
              <w:t>Gen:</w:t>
            </w:r>
          </w:p>
        </w:tc>
        <w:tc>
          <w:tcPr>
            <w:tcW w:w="2063" w:type="dxa"/>
            <w:tcBorders>
              <w:top w:val="single" w:sz="4" w:space="0" w:color="auto"/>
              <w:left w:val="nil"/>
              <w:right w:val="nil"/>
            </w:tcBorders>
            <w:hideMark/>
          </w:tcPr>
          <w:p w:rsidR="001A62D7" w:rsidRPr="00FF3491" w:rsidRDefault="001A62D7" w:rsidP="001D5990">
            <w:pPr>
              <w:spacing w:before="60" w:after="60"/>
              <w:rPr>
                <w:noProof/>
              </w:rPr>
            </w:pPr>
            <w:r w:rsidRPr="00FF3491">
              <w:rPr>
                <w:noProof/>
              </w:rPr>
              <w:t>Bărbați:</w:t>
            </w:r>
          </w:p>
        </w:tc>
        <w:tc>
          <w:tcPr>
            <w:tcW w:w="1176" w:type="dxa"/>
            <w:tcBorders>
              <w:top w:val="single" w:sz="4" w:space="0" w:color="auto"/>
              <w:left w:val="nil"/>
              <w:right w:val="nil"/>
            </w:tcBorders>
            <w:hideMark/>
          </w:tcPr>
          <w:p w:rsidR="001A62D7" w:rsidRPr="00FF3491" w:rsidRDefault="002C701E" w:rsidP="001D5990">
            <w:pPr>
              <w:spacing w:before="60" w:after="60"/>
              <w:jc w:val="right"/>
              <w:rPr>
                <w:noProof/>
              </w:rPr>
            </w:pPr>
            <w:r w:rsidRPr="00FF3491">
              <w:rPr>
                <w:noProof/>
              </w:rPr>
              <w:t>285</w:t>
            </w:r>
          </w:p>
        </w:tc>
        <w:tc>
          <w:tcPr>
            <w:tcW w:w="1176" w:type="dxa"/>
            <w:tcBorders>
              <w:top w:val="single" w:sz="4" w:space="0" w:color="auto"/>
              <w:left w:val="nil"/>
              <w:right w:val="nil"/>
            </w:tcBorders>
            <w:hideMark/>
          </w:tcPr>
          <w:p w:rsidR="001A62D7" w:rsidRPr="00FF3491" w:rsidRDefault="001A62D7" w:rsidP="001D5990">
            <w:pPr>
              <w:spacing w:before="60" w:after="60"/>
              <w:jc w:val="right"/>
              <w:rPr>
                <w:noProof/>
              </w:rPr>
            </w:pPr>
            <w:r w:rsidRPr="00FF3491">
              <w:rPr>
                <w:noProof/>
              </w:rPr>
              <w:t>(71,3 %)</w:t>
            </w:r>
          </w:p>
        </w:tc>
      </w:tr>
      <w:tr w:rsidR="001A62D7" w:rsidRPr="00FF3491" w:rsidTr="001D5990">
        <w:trPr>
          <w:jc w:val="center"/>
        </w:trPr>
        <w:tc>
          <w:tcPr>
            <w:tcW w:w="1496" w:type="dxa"/>
            <w:tcBorders>
              <w:top w:val="nil"/>
              <w:left w:val="nil"/>
              <w:right w:val="nil"/>
            </w:tcBorders>
          </w:tcPr>
          <w:p w:rsidR="001A62D7" w:rsidRPr="00FF3491" w:rsidRDefault="001A62D7" w:rsidP="001D5990">
            <w:pPr>
              <w:spacing w:before="60" w:after="60"/>
              <w:rPr>
                <w:noProof/>
              </w:rPr>
            </w:pPr>
          </w:p>
        </w:tc>
        <w:tc>
          <w:tcPr>
            <w:tcW w:w="2063" w:type="dxa"/>
            <w:tcBorders>
              <w:top w:val="nil"/>
              <w:left w:val="nil"/>
              <w:right w:val="nil"/>
            </w:tcBorders>
          </w:tcPr>
          <w:p w:rsidR="001A62D7" w:rsidRPr="00FF3491" w:rsidRDefault="001A62D7" w:rsidP="001D5990">
            <w:pPr>
              <w:spacing w:before="60" w:after="60"/>
              <w:rPr>
                <w:rFonts w:eastAsia="Calibri"/>
                <w:noProof/>
              </w:rPr>
            </w:pPr>
            <w:r w:rsidRPr="00FF3491">
              <w:rPr>
                <w:noProof/>
              </w:rPr>
              <w:t>Femei:</w:t>
            </w:r>
          </w:p>
        </w:tc>
        <w:tc>
          <w:tcPr>
            <w:tcW w:w="1176" w:type="dxa"/>
          </w:tcPr>
          <w:p w:rsidR="001A62D7" w:rsidRPr="00FF3491" w:rsidRDefault="002C701E" w:rsidP="001D5990">
            <w:pPr>
              <w:spacing w:before="60" w:after="60"/>
              <w:jc w:val="right"/>
              <w:rPr>
                <w:noProof/>
              </w:rPr>
            </w:pPr>
            <w:r w:rsidRPr="00FF3491">
              <w:rPr>
                <w:noProof/>
              </w:rPr>
              <w:t>115</w:t>
            </w:r>
          </w:p>
        </w:tc>
        <w:tc>
          <w:tcPr>
            <w:tcW w:w="1176" w:type="dxa"/>
          </w:tcPr>
          <w:p w:rsidR="001A62D7" w:rsidRPr="00FF3491" w:rsidRDefault="001A62D7" w:rsidP="001D5990">
            <w:pPr>
              <w:spacing w:before="60" w:after="60"/>
              <w:jc w:val="right"/>
              <w:rPr>
                <w:rFonts w:eastAsia="Calibri"/>
                <w:noProof/>
              </w:rPr>
            </w:pPr>
            <w:r w:rsidRPr="00FF3491">
              <w:rPr>
                <w:noProof/>
              </w:rPr>
              <w:t>(28,7 %)</w:t>
            </w:r>
          </w:p>
        </w:tc>
      </w:tr>
      <w:tr w:rsidR="001A62D7" w:rsidRPr="00FF3491" w:rsidTr="001D5990">
        <w:trPr>
          <w:jc w:val="center"/>
        </w:trPr>
        <w:tc>
          <w:tcPr>
            <w:tcW w:w="1496" w:type="dxa"/>
            <w:tcBorders>
              <w:left w:val="nil"/>
              <w:bottom w:val="single" w:sz="4" w:space="0" w:color="auto"/>
              <w:right w:val="nil"/>
            </w:tcBorders>
          </w:tcPr>
          <w:p w:rsidR="001A62D7" w:rsidRPr="00FF3491" w:rsidRDefault="001A62D7" w:rsidP="001D5990">
            <w:pPr>
              <w:spacing w:before="60" w:after="60"/>
              <w:rPr>
                <w:noProof/>
              </w:rPr>
            </w:pPr>
          </w:p>
        </w:tc>
        <w:tc>
          <w:tcPr>
            <w:tcW w:w="2063" w:type="dxa"/>
            <w:tcBorders>
              <w:left w:val="nil"/>
              <w:bottom w:val="single" w:sz="4" w:space="0" w:color="auto"/>
              <w:right w:val="nil"/>
            </w:tcBorders>
          </w:tcPr>
          <w:p w:rsidR="001A62D7" w:rsidRPr="00FF3491" w:rsidRDefault="001A62D7" w:rsidP="001D5990">
            <w:pPr>
              <w:spacing w:before="60" w:after="60"/>
              <w:rPr>
                <w:noProof/>
              </w:rPr>
            </w:pPr>
            <w:r w:rsidRPr="00FF3491">
              <w:rPr>
                <w:noProof/>
              </w:rPr>
              <w:t>Persoane non-binare</w:t>
            </w:r>
          </w:p>
        </w:tc>
        <w:tc>
          <w:tcPr>
            <w:tcW w:w="1176" w:type="dxa"/>
            <w:tcBorders>
              <w:bottom w:val="single" w:sz="4" w:space="0" w:color="auto"/>
            </w:tcBorders>
            <w:hideMark/>
          </w:tcPr>
          <w:p w:rsidR="001A62D7" w:rsidRPr="00FF3491" w:rsidRDefault="002C701E" w:rsidP="001D5990">
            <w:pPr>
              <w:spacing w:before="60" w:after="60"/>
              <w:jc w:val="right"/>
              <w:rPr>
                <w:noProof/>
              </w:rPr>
            </w:pPr>
            <w:r w:rsidRPr="00FF3491">
              <w:rPr>
                <w:noProof/>
              </w:rPr>
              <w:t>0</w:t>
            </w:r>
          </w:p>
        </w:tc>
        <w:tc>
          <w:tcPr>
            <w:tcW w:w="1176" w:type="dxa"/>
            <w:tcBorders>
              <w:bottom w:val="single" w:sz="4" w:space="0" w:color="auto"/>
            </w:tcBorders>
            <w:hideMark/>
          </w:tcPr>
          <w:p w:rsidR="001A62D7" w:rsidRPr="00FF3491" w:rsidRDefault="001A62D7" w:rsidP="001D5990">
            <w:pPr>
              <w:spacing w:before="60" w:after="60"/>
              <w:jc w:val="right"/>
              <w:rPr>
                <w:noProof/>
              </w:rPr>
            </w:pPr>
            <w:r w:rsidRPr="00FF3491">
              <w:rPr>
                <w:noProof/>
              </w:rPr>
              <w:t>(0,0 %)</w:t>
            </w:r>
          </w:p>
        </w:tc>
      </w:tr>
      <w:tr w:rsidR="001A62D7" w:rsidRPr="00FF3491" w:rsidTr="001D5990">
        <w:trPr>
          <w:jc w:val="center"/>
        </w:trPr>
        <w:tc>
          <w:tcPr>
            <w:tcW w:w="1496" w:type="dxa"/>
            <w:tcBorders>
              <w:top w:val="single" w:sz="4" w:space="0" w:color="auto"/>
              <w:left w:val="nil"/>
              <w:bottom w:val="nil"/>
              <w:right w:val="nil"/>
            </w:tcBorders>
            <w:hideMark/>
          </w:tcPr>
          <w:p w:rsidR="001A62D7" w:rsidRPr="00FF3491" w:rsidRDefault="001A62D7" w:rsidP="001D5990">
            <w:pPr>
              <w:spacing w:before="60" w:after="60"/>
              <w:rPr>
                <w:noProof/>
              </w:rPr>
            </w:pPr>
            <w:r w:rsidRPr="00FF3491">
              <w:rPr>
                <w:noProof/>
              </w:rPr>
              <w:t>Grupa de vârstă:</w:t>
            </w:r>
          </w:p>
        </w:tc>
        <w:tc>
          <w:tcPr>
            <w:tcW w:w="2063" w:type="dxa"/>
            <w:tcBorders>
              <w:top w:val="single" w:sz="4" w:space="0" w:color="auto"/>
              <w:left w:val="nil"/>
              <w:bottom w:val="nil"/>
              <w:right w:val="nil"/>
            </w:tcBorders>
            <w:hideMark/>
          </w:tcPr>
          <w:p w:rsidR="001A62D7" w:rsidRPr="00FF3491" w:rsidRDefault="001A62D7" w:rsidP="001D5990">
            <w:pPr>
              <w:spacing w:before="60" w:after="60"/>
              <w:rPr>
                <w:noProof/>
              </w:rPr>
            </w:pPr>
            <w:r w:rsidRPr="00FF3491">
              <w:rPr>
                <w:noProof/>
              </w:rPr>
              <w:t>sub 30 de ani:</w:t>
            </w:r>
          </w:p>
        </w:tc>
        <w:tc>
          <w:tcPr>
            <w:tcW w:w="1176" w:type="dxa"/>
            <w:tcBorders>
              <w:top w:val="single" w:sz="4" w:space="0" w:color="auto"/>
            </w:tcBorders>
            <w:hideMark/>
          </w:tcPr>
          <w:p w:rsidR="001A62D7" w:rsidRPr="00FF3491" w:rsidRDefault="002C701E" w:rsidP="001D5990">
            <w:pPr>
              <w:spacing w:before="60" w:after="60"/>
              <w:jc w:val="right"/>
              <w:rPr>
                <w:noProof/>
              </w:rPr>
            </w:pPr>
            <w:r w:rsidRPr="00FF3491">
              <w:rPr>
                <w:noProof/>
              </w:rPr>
              <w:t>14</w:t>
            </w:r>
          </w:p>
        </w:tc>
        <w:tc>
          <w:tcPr>
            <w:tcW w:w="1176" w:type="dxa"/>
            <w:tcBorders>
              <w:top w:val="single" w:sz="4" w:space="0" w:color="auto"/>
            </w:tcBorders>
            <w:hideMark/>
          </w:tcPr>
          <w:p w:rsidR="001A62D7" w:rsidRPr="00FF3491" w:rsidRDefault="001A62D7" w:rsidP="001D5990">
            <w:pPr>
              <w:spacing w:before="60" w:after="60"/>
              <w:jc w:val="right"/>
              <w:rPr>
                <w:noProof/>
              </w:rPr>
            </w:pPr>
            <w:r w:rsidRPr="00FF3491">
              <w:rPr>
                <w:noProof/>
              </w:rPr>
              <w:t>(3,5 %)</w:t>
            </w:r>
          </w:p>
        </w:tc>
      </w:tr>
      <w:tr w:rsidR="001A62D7" w:rsidRPr="00FF3491" w:rsidTr="001D5990">
        <w:trPr>
          <w:jc w:val="center"/>
        </w:trPr>
        <w:tc>
          <w:tcPr>
            <w:tcW w:w="1496" w:type="dxa"/>
          </w:tcPr>
          <w:p w:rsidR="001A62D7" w:rsidRPr="00FF3491" w:rsidRDefault="001A62D7" w:rsidP="001D5990">
            <w:pPr>
              <w:spacing w:before="60" w:after="60"/>
              <w:rPr>
                <w:noProof/>
              </w:rPr>
            </w:pPr>
          </w:p>
        </w:tc>
        <w:tc>
          <w:tcPr>
            <w:tcW w:w="2063" w:type="dxa"/>
            <w:hideMark/>
          </w:tcPr>
          <w:p w:rsidR="001A62D7" w:rsidRPr="00FF3491" w:rsidRDefault="001A62D7" w:rsidP="001D5990">
            <w:pPr>
              <w:spacing w:before="60" w:after="60"/>
              <w:rPr>
                <w:noProof/>
              </w:rPr>
            </w:pPr>
            <w:r w:rsidRPr="00FF3491">
              <w:rPr>
                <w:noProof/>
              </w:rPr>
              <w:t>30-54 de ani:</w:t>
            </w:r>
          </w:p>
        </w:tc>
        <w:tc>
          <w:tcPr>
            <w:tcW w:w="1176" w:type="dxa"/>
            <w:hideMark/>
          </w:tcPr>
          <w:p w:rsidR="001A62D7" w:rsidRPr="00FF3491" w:rsidRDefault="002C701E" w:rsidP="001D5990">
            <w:pPr>
              <w:spacing w:before="60" w:after="60"/>
              <w:jc w:val="right"/>
              <w:rPr>
                <w:noProof/>
              </w:rPr>
            </w:pPr>
            <w:r w:rsidRPr="00FF3491">
              <w:rPr>
                <w:noProof/>
              </w:rPr>
              <w:t>286</w:t>
            </w:r>
          </w:p>
        </w:tc>
        <w:tc>
          <w:tcPr>
            <w:tcW w:w="1176" w:type="dxa"/>
            <w:hideMark/>
          </w:tcPr>
          <w:p w:rsidR="001A62D7" w:rsidRPr="00FF3491" w:rsidRDefault="001A62D7" w:rsidP="001D5990">
            <w:pPr>
              <w:spacing w:before="60" w:after="60"/>
              <w:jc w:val="right"/>
              <w:rPr>
                <w:noProof/>
              </w:rPr>
            </w:pPr>
            <w:r w:rsidRPr="00FF3491">
              <w:rPr>
                <w:noProof/>
              </w:rPr>
              <w:t>(71,5 %)</w:t>
            </w:r>
          </w:p>
        </w:tc>
      </w:tr>
      <w:tr w:rsidR="001A62D7" w:rsidRPr="00FF3491" w:rsidTr="001D5990">
        <w:trPr>
          <w:jc w:val="center"/>
        </w:trPr>
        <w:tc>
          <w:tcPr>
            <w:tcW w:w="1496" w:type="dxa"/>
          </w:tcPr>
          <w:p w:rsidR="001A62D7" w:rsidRPr="00FF3491" w:rsidRDefault="001A62D7" w:rsidP="001D5990">
            <w:pPr>
              <w:spacing w:before="60" w:after="60"/>
              <w:rPr>
                <w:noProof/>
              </w:rPr>
            </w:pPr>
          </w:p>
        </w:tc>
        <w:tc>
          <w:tcPr>
            <w:tcW w:w="2063" w:type="dxa"/>
            <w:hideMark/>
          </w:tcPr>
          <w:p w:rsidR="001A62D7" w:rsidRPr="00FF3491" w:rsidRDefault="001A62D7" w:rsidP="001D5990">
            <w:pPr>
              <w:spacing w:before="60" w:after="60"/>
              <w:jc w:val="left"/>
              <w:rPr>
                <w:noProof/>
              </w:rPr>
            </w:pPr>
            <w:r w:rsidRPr="00FF3491">
              <w:rPr>
                <w:noProof/>
              </w:rPr>
              <w:t>peste 54 de ani:</w:t>
            </w:r>
          </w:p>
        </w:tc>
        <w:tc>
          <w:tcPr>
            <w:tcW w:w="1176" w:type="dxa"/>
            <w:hideMark/>
          </w:tcPr>
          <w:p w:rsidR="001A62D7" w:rsidRPr="00FF3491" w:rsidRDefault="002C701E" w:rsidP="001D5990">
            <w:pPr>
              <w:spacing w:before="60" w:after="60"/>
              <w:jc w:val="right"/>
              <w:rPr>
                <w:noProof/>
              </w:rPr>
            </w:pPr>
            <w:r w:rsidRPr="00FF3491">
              <w:rPr>
                <w:noProof/>
              </w:rPr>
              <w:t>100</w:t>
            </w:r>
          </w:p>
        </w:tc>
        <w:tc>
          <w:tcPr>
            <w:tcW w:w="1176" w:type="dxa"/>
            <w:hideMark/>
          </w:tcPr>
          <w:p w:rsidR="001A62D7" w:rsidRPr="00FF3491" w:rsidRDefault="001A62D7" w:rsidP="001D5990">
            <w:pPr>
              <w:spacing w:before="60" w:after="60"/>
              <w:jc w:val="right"/>
              <w:rPr>
                <w:noProof/>
              </w:rPr>
            </w:pPr>
            <w:r w:rsidRPr="00FF3491">
              <w:rPr>
                <w:noProof/>
              </w:rPr>
              <w:t>(25,0 %)</w:t>
            </w:r>
          </w:p>
        </w:tc>
      </w:tr>
      <w:tr w:rsidR="001A62D7" w:rsidRPr="00FF3491" w:rsidTr="001D5990">
        <w:trPr>
          <w:jc w:val="center"/>
        </w:trPr>
        <w:tc>
          <w:tcPr>
            <w:tcW w:w="1496" w:type="dxa"/>
            <w:tcBorders>
              <w:top w:val="single" w:sz="4" w:space="0" w:color="auto"/>
              <w:left w:val="nil"/>
              <w:bottom w:val="nil"/>
              <w:right w:val="nil"/>
            </w:tcBorders>
          </w:tcPr>
          <w:p w:rsidR="001A62D7" w:rsidRPr="00FF3491" w:rsidRDefault="001A62D7" w:rsidP="001D5990">
            <w:pPr>
              <w:spacing w:before="60" w:after="60"/>
              <w:rPr>
                <w:noProof/>
              </w:rPr>
            </w:pPr>
            <w:r w:rsidRPr="00FF3491">
              <w:rPr>
                <w:noProof/>
              </w:rPr>
              <w:t>Nivelul de instruire</w:t>
            </w:r>
          </w:p>
        </w:tc>
        <w:tc>
          <w:tcPr>
            <w:tcW w:w="2063" w:type="dxa"/>
            <w:tcBorders>
              <w:top w:val="single" w:sz="4" w:space="0" w:color="auto"/>
              <w:left w:val="nil"/>
              <w:bottom w:val="nil"/>
              <w:right w:val="nil"/>
            </w:tcBorders>
          </w:tcPr>
          <w:p w:rsidR="001A62D7" w:rsidRPr="00FF3491" w:rsidRDefault="001A62D7" w:rsidP="001D5990">
            <w:pPr>
              <w:spacing w:before="60" w:after="60"/>
              <w:rPr>
                <w:noProof/>
              </w:rPr>
            </w:pPr>
            <w:r w:rsidRPr="00FF3491">
              <w:rPr>
                <w:noProof/>
              </w:rPr>
              <w:t>Învățământ secundar inferior sau sub acest nivel</w:t>
            </w:r>
            <w:r w:rsidRPr="00FF3491">
              <w:rPr>
                <w:rStyle w:val="FootnoteReference"/>
                <w:noProof/>
              </w:rPr>
              <w:footnoteReference w:id="22"/>
            </w:r>
            <w:r w:rsidRPr="00FF3491">
              <w:rPr>
                <w:noProof/>
              </w:rPr>
              <w:t xml:space="preserve"> </w:t>
            </w:r>
          </w:p>
        </w:tc>
        <w:tc>
          <w:tcPr>
            <w:tcW w:w="1176" w:type="dxa"/>
            <w:tcBorders>
              <w:top w:val="single" w:sz="4" w:space="0" w:color="auto"/>
              <w:left w:val="nil"/>
              <w:bottom w:val="nil"/>
              <w:right w:val="nil"/>
            </w:tcBorders>
          </w:tcPr>
          <w:p w:rsidR="001A62D7" w:rsidRPr="00FF3491" w:rsidRDefault="002C701E" w:rsidP="001D5990">
            <w:pPr>
              <w:spacing w:before="60" w:after="60"/>
              <w:jc w:val="right"/>
              <w:rPr>
                <w:noProof/>
              </w:rPr>
            </w:pPr>
            <w:r w:rsidRPr="00FF3491">
              <w:rPr>
                <w:noProof/>
              </w:rPr>
              <w:t>100</w:t>
            </w:r>
          </w:p>
        </w:tc>
        <w:tc>
          <w:tcPr>
            <w:tcW w:w="1176" w:type="dxa"/>
            <w:tcBorders>
              <w:top w:val="single" w:sz="4" w:space="0" w:color="auto"/>
              <w:left w:val="nil"/>
              <w:bottom w:val="nil"/>
              <w:right w:val="nil"/>
            </w:tcBorders>
          </w:tcPr>
          <w:p w:rsidR="001A62D7" w:rsidRPr="00FF3491" w:rsidRDefault="001A62D7" w:rsidP="001D5990">
            <w:pPr>
              <w:spacing w:before="60" w:after="60"/>
              <w:jc w:val="right"/>
              <w:rPr>
                <w:rFonts w:eastAsia="Calibri"/>
                <w:noProof/>
              </w:rPr>
            </w:pPr>
            <w:r w:rsidRPr="00FF3491">
              <w:rPr>
                <w:noProof/>
              </w:rPr>
              <w:t>(25,0 %)</w:t>
            </w:r>
          </w:p>
        </w:tc>
      </w:tr>
      <w:tr w:rsidR="001A62D7" w:rsidRPr="00FF3491" w:rsidTr="001D5990">
        <w:trPr>
          <w:jc w:val="center"/>
        </w:trPr>
        <w:tc>
          <w:tcPr>
            <w:tcW w:w="1496" w:type="dxa"/>
            <w:tcBorders>
              <w:top w:val="nil"/>
              <w:left w:val="nil"/>
              <w:right w:val="nil"/>
            </w:tcBorders>
          </w:tcPr>
          <w:p w:rsidR="001A62D7" w:rsidRPr="00FF3491" w:rsidRDefault="001A62D7" w:rsidP="001D5990">
            <w:pPr>
              <w:spacing w:before="60" w:after="60"/>
              <w:rPr>
                <w:noProof/>
              </w:rPr>
            </w:pPr>
          </w:p>
        </w:tc>
        <w:tc>
          <w:tcPr>
            <w:tcW w:w="2063" w:type="dxa"/>
            <w:tcBorders>
              <w:top w:val="nil"/>
              <w:left w:val="nil"/>
              <w:right w:val="nil"/>
            </w:tcBorders>
          </w:tcPr>
          <w:p w:rsidR="001A62D7" w:rsidRPr="00FF3491" w:rsidRDefault="001A62D7" w:rsidP="001D5990">
            <w:pPr>
              <w:spacing w:before="60" w:after="60"/>
              <w:rPr>
                <w:noProof/>
              </w:rPr>
            </w:pPr>
            <w:r w:rsidRPr="00FF3491">
              <w:rPr>
                <w:noProof/>
              </w:rPr>
              <w:t>Învățământ liceal</w:t>
            </w:r>
            <w:r w:rsidRPr="00FF3491">
              <w:rPr>
                <w:rStyle w:val="FootnoteReference"/>
                <w:noProof/>
              </w:rPr>
              <w:footnoteReference w:id="23"/>
            </w:r>
            <w:r w:rsidRPr="00FF3491">
              <w:rPr>
                <w:noProof/>
              </w:rPr>
              <w:t xml:space="preserve"> sau postliceal</w:t>
            </w:r>
            <w:r w:rsidRPr="00FF3491">
              <w:rPr>
                <w:rStyle w:val="FootnoteReference"/>
                <w:noProof/>
              </w:rPr>
              <w:footnoteReference w:id="24"/>
            </w:r>
          </w:p>
        </w:tc>
        <w:tc>
          <w:tcPr>
            <w:tcW w:w="1176" w:type="dxa"/>
            <w:tcBorders>
              <w:top w:val="nil"/>
              <w:left w:val="nil"/>
              <w:right w:val="nil"/>
            </w:tcBorders>
          </w:tcPr>
          <w:p w:rsidR="001A62D7" w:rsidRPr="00FF3491" w:rsidRDefault="002C701E" w:rsidP="001D5990">
            <w:pPr>
              <w:spacing w:before="60" w:after="60"/>
              <w:jc w:val="right"/>
              <w:rPr>
                <w:noProof/>
              </w:rPr>
            </w:pPr>
            <w:r w:rsidRPr="00FF3491">
              <w:rPr>
                <w:noProof/>
              </w:rPr>
              <w:t>220</w:t>
            </w:r>
          </w:p>
        </w:tc>
        <w:tc>
          <w:tcPr>
            <w:tcW w:w="1176" w:type="dxa"/>
            <w:tcBorders>
              <w:top w:val="nil"/>
              <w:left w:val="nil"/>
              <w:right w:val="nil"/>
            </w:tcBorders>
          </w:tcPr>
          <w:p w:rsidR="001A62D7" w:rsidRPr="00FF3491" w:rsidRDefault="001A62D7" w:rsidP="001D5990">
            <w:pPr>
              <w:spacing w:before="60" w:after="60"/>
              <w:jc w:val="right"/>
              <w:rPr>
                <w:rFonts w:eastAsia="Calibri"/>
                <w:noProof/>
              </w:rPr>
            </w:pPr>
            <w:r w:rsidRPr="00FF3491">
              <w:rPr>
                <w:noProof/>
              </w:rPr>
              <w:t>(55,0 %)</w:t>
            </w:r>
          </w:p>
        </w:tc>
      </w:tr>
      <w:tr w:rsidR="001A62D7" w:rsidRPr="00FF3491" w:rsidTr="001D5990">
        <w:trPr>
          <w:jc w:val="center"/>
        </w:trPr>
        <w:tc>
          <w:tcPr>
            <w:tcW w:w="1496" w:type="dxa"/>
            <w:tcBorders>
              <w:top w:val="nil"/>
              <w:left w:val="nil"/>
              <w:bottom w:val="single" w:sz="4" w:space="0" w:color="auto"/>
              <w:right w:val="nil"/>
            </w:tcBorders>
          </w:tcPr>
          <w:p w:rsidR="001A62D7" w:rsidRPr="00FF3491" w:rsidRDefault="001A62D7" w:rsidP="001D5990">
            <w:pPr>
              <w:spacing w:before="60" w:after="60"/>
              <w:rPr>
                <w:noProof/>
              </w:rPr>
            </w:pPr>
          </w:p>
        </w:tc>
        <w:tc>
          <w:tcPr>
            <w:tcW w:w="2063" w:type="dxa"/>
            <w:tcBorders>
              <w:top w:val="nil"/>
              <w:left w:val="nil"/>
              <w:bottom w:val="single" w:sz="4" w:space="0" w:color="auto"/>
              <w:right w:val="nil"/>
            </w:tcBorders>
          </w:tcPr>
          <w:p w:rsidR="001A62D7" w:rsidRPr="00FF3491" w:rsidRDefault="001A62D7" w:rsidP="001D5990">
            <w:pPr>
              <w:spacing w:before="60" w:after="60"/>
              <w:rPr>
                <w:noProof/>
              </w:rPr>
            </w:pPr>
            <w:r w:rsidRPr="00FF3491">
              <w:rPr>
                <w:noProof/>
              </w:rPr>
              <w:t>Învățământ terțiar</w:t>
            </w:r>
            <w:r w:rsidRPr="00FF3491">
              <w:rPr>
                <w:rStyle w:val="FootnoteReference"/>
                <w:noProof/>
              </w:rPr>
              <w:footnoteReference w:id="25"/>
            </w:r>
          </w:p>
        </w:tc>
        <w:tc>
          <w:tcPr>
            <w:tcW w:w="1176" w:type="dxa"/>
            <w:tcBorders>
              <w:top w:val="nil"/>
              <w:left w:val="nil"/>
              <w:bottom w:val="single" w:sz="4" w:space="0" w:color="auto"/>
              <w:right w:val="nil"/>
            </w:tcBorders>
          </w:tcPr>
          <w:p w:rsidR="001A62D7" w:rsidRPr="00FF3491" w:rsidRDefault="002C701E" w:rsidP="001D5990">
            <w:pPr>
              <w:spacing w:before="60" w:after="60"/>
              <w:jc w:val="right"/>
              <w:rPr>
                <w:noProof/>
              </w:rPr>
            </w:pPr>
            <w:r w:rsidRPr="00FF3491">
              <w:rPr>
                <w:noProof/>
              </w:rPr>
              <w:t>80</w:t>
            </w:r>
          </w:p>
        </w:tc>
        <w:tc>
          <w:tcPr>
            <w:tcW w:w="1176" w:type="dxa"/>
            <w:tcBorders>
              <w:top w:val="nil"/>
              <w:left w:val="nil"/>
              <w:bottom w:val="single" w:sz="4" w:space="0" w:color="auto"/>
              <w:right w:val="nil"/>
            </w:tcBorders>
          </w:tcPr>
          <w:p w:rsidR="001A62D7" w:rsidRPr="00FF3491" w:rsidRDefault="001A62D7" w:rsidP="001D5990">
            <w:pPr>
              <w:spacing w:before="60" w:after="60"/>
              <w:jc w:val="right"/>
              <w:rPr>
                <w:rFonts w:eastAsia="Calibri"/>
                <w:noProof/>
              </w:rPr>
            </w:pPr>
            <w:r w:rsidRPr="00FF3491">
              <w:rPr>
                <w:noProof/>
              </w:rPr>
              <w:t>(20 %)</w:t>
            </w:r>
          </w:p>
        </w:tc>
      </w:tr>
    </w:tbl>
    <w:p w:rsidR="001A62D7" w:rsidRPr="00FF3491" w:rsidRDefault="001A62D7" w:rsidP="001A62D7">
      <w:pPr>
        <w:pStyle w:val="ManualHeading3"/>
        <w:rPr>
          <w:noProof/>
          <w:u w:val="single"/>
        </w:rPr>
      </w:pPr>
      <w:r w:rsidRPr="00FF3491">
        <w:rPr>
          <w:noProof/>
        </w:rPr>
        <w:t>Măsurile propuse</w:t>
      </w:r>
    </w:p>
    <w:p w:rsidR="001A62D7" w:rsidRPr="00FF3491" w:rsidRDefault="001A62D7" w:rsidP="00AE7D04">
      <w:pPr>
        <w:pStyle w:val="ManualNumPar1"/>
        <w:rPr>
          <w:noProof/>
        </w:rPr>
      </w:pPr>
      <w:r>
        <w:rPr>
          <w:noProof/>
        </w:rPr>
        <w:t>26.</w:t>
      </w:r>
      <w:r>
        <w:rPr>
          <w:noProof/>
        </w:rPr>
        <w:tab/>
      </w:r>
      <w:bookmarkStart w:id="9" w:name="_Ref372214239"/>
      <w:r w:rsidRPr="00FF3491">
        <w:rPr>
          <w:noProof/>
        </w:rPr>
        <w:t xml:space="preserve">În conformitate cu articolul 8 alineatul (7) litera (h) din Regulamentul (UE) 2021/691, pachetul coordonat personalizat care urmează să fie pus la dispoziția lucrătorilor disponibilizați constă în următoarele măsuri: </w:t>
      </w:r>
      <w:bookmarkEnd w:id="9"/>
    </w:p>
    <w:p w:rsidR="00C239B8" w:rsidRPr="00FF3491" w:rsidRDefault="00C239B8" w:rsidP="005253A6">
      <w:pPr>
        <w:pStyle w:val="Tiret1"/>
        <w:numPr>
          <w:ilvl w:val="0"/>
          <w:numId w:val="20"/>
        </w:numPr>
        <w:rPr>
          <w:noProof/>
        </w:rPr>
      </w:pPr>
      <w:r w:rsidRPr="00FF3491">
        <w:rPr>
          <w:noProof/>
          <w:u w:val="single"/>
        </w:rPr>
        <w:lastRenderedPageBreak/>
        <w:t>Informare, etapa înregistrării și stabilirea profilului lucrătorilor</w:t>
      </w:r>
      <w:r w:rsidRPr="00FF3491">
        <w:rPr>
          <w:noProof/>
        </w:rPr>
        <w:t>: Sesiuni de informare care prezintă obiectivele, conținutul și calendarele pachetului de sprijin. Participanții vor fi informați cu privire la resursele și sprijinul disponibile pentru a-i ajuta să se recalifice și să își îmbunătățească capacitatea de inserție profesională. Cererile de participare vor fi colectate în timpul acestor sesiuni.</w:t>
      </w:r>
    </w:p>
    <w:p w:rsidR="00C239B8" w:rsidRPr="00FF3491" w:rsidRDefault="00C239B8" w:rsidP="00C239B8">
      <w:pPr>
        <w:pStyle w:val="Text2"/>
        <w:rPr>
          <w:noProof/>
        </w:rPr>
      </w:pPr>
      <w:r w:rsidRPr="00FF3491">
        <w:rPr>
          <w:noProof/>
        </w:rPr>
        <w:t>Etapa înregistrării va implica colaborarea cu principalii parteneri sociali din Galicia – inclusiv UGT-Galicia, CCOO-Galicia (sindicate) și Confederația angajatorilor din Galicia (CEG) – precum și cu serviciile publice regionale de ocupare a forței de muncă</w:t>
      </w:r>
      <w:r w:rsidRPr="00FF3491">
        <w:rPr>
          <w:rStyle w:val="FootnoteReference"/>
          <w:noProof/>
        </w:rPr>
        <w:footnoteReference w:id="26"/>
      </w:r>
      <w:r w:rsidRPr="00FF3491">
        <w:rPr>
          <w:noProof/>
        </w:rPr>
        <w:t>. Implicarea acestor părți interesate sectoriale va ajuta lucrătorii să își clarifice așteptările profesionale de a rămâne în sector, să își reproiecteze parcursurile profesionale sau să urmeze reorientarea profesională.</w:t>
      </w:r>
    </w:p>
    <w:p w:rsidR="001A62D7" w:rsidRPr="00FF3491" w:rsidRDefault="00C239B8" w:rsidP="00396DAC">
      <w:pPr>
        <w:pStyle w:val="Text2"/>
        <w:rPr>
          <w:noProof/>
        </w:rPr>
      </w:pPr>
      <w:r w:rsidRPr="00FF3491">
        <w:rPr>
          <w:noProof/>
        </w:rPr>
        <w:t>Va urma o etapă de stabilire a profilului lucrătorilor. Prin interviuri individuale, se vor evalua situația socioprofesională, studiile, așteptările în materie de ocupare a forței de muncă, aptitudinile, competențele, experiența și interesele fiecărui participant.</w:t>
      </w:r>
    </w:p>
    <w:p w:rsidR="00BC7DB9" w:rsidRPr="00FF3491" w:rsidRDefault="00003509" w:rsidP="00B1308F">
      <w:pPr>
        <w:pStyle w:val="Tiret1"/>
        <w:numPr>
          <w:ilvl w:val="0"/>
          <w:numId w:val="19"/>
        </w:numPr>
        <w:rPr>
          <w:noProof/>
        </w:rPr>
      </w:pPr>
      <w:r w:rsidRPr="00FF3491">
        <w:rPr>
          <w:noProof/>
        </w:rPr>
        <w:t xml:space="preserve">Se va oferi </w:t>
      </w:r>
      <w:r w:rsidRPr="00FF3491">
        <w:rPr>
          <w:noProof/>
          <w:u w:val="single"/>
        </w:rPr>
        <w:t>orientare profesională</w:t>
      </w:r>
      <w:r w:rsidRPr="00FF3491">
        <w:rPr>
          <w:noProof/>
        </w:rPr>
        <w:t xml:space="preserve"> în direcția angajării sau a activităților independente pe tot parcursul perioadei de punere în aplicare a măsurii. Măsura include asistență pentru căutarea unui loc de muncă și ateliere privind competențele non-tehnice.</w:t>
      </w:r>
    </w:p>
    <w:p w:rsidR="0070290B" w:rsidRPr="00FF3491" w:rsidRDefault="0070290B" w:rsidP="0070290B">
      <w:pPr>
        <w:pStyle w:val="Tiret1"/>
        <w:rPr>
          <w:noProof/>
        </w:rPr>
      </w:pPr>
      <w:r w:rsidRPr="00FF3491">
        <w:rPr>
          <w:noProof/>
          <w:u w:val="single"/>
        </w:rPr>
        <w:t>Formare:</w:t>
      </w:r>
      <w:r w:rsidRPr="00FF3491">
        <w:rPr>
          <w:noProof/>
        </w:rPr>
        <w:t xml:space="preserve"> </w:t>
      </w:r>
      <w:bookmarkStart w:id="10" w:name="_Hlk227334416"/>
      <w:r w:rsidRPr="00FF3491">
        <w:rPr>
          <w:noProof/>
        </w:rPr>
        <w:t xml:space="preserve">Oferta de formare va include: </w:t>
      </w:r>
      <w:r w:rsidRPr="00FF3491">
        <w:rPr>
          <w:b/>
          <w:bCs/>
          <w:noProof/>
        </w:rPr>
        <w:t>(1) Formare transversală</w:t>
      </w:r>
      <w:r w:rsidRPr="00FF3491">
        <w:rPr>
          <w:noProof/>
        </w:rPr>
        <w:t xml:space="preserve"> care acoperă formarea atât în ceea ce privește competențele digitale de bază</w:t>
      </w:r>
      <w:r w:rsidR="004F5368" w:rsidRPr="00FF3491">
        <w:rPr>
          <w:rStyle w:val="FootnoteReference"/>
          <w:noProof/>
        </w:rPr>
        <w:footnoteReference w:id="27"/>
      </w:r>
      <w:r w:rsidRPr="00FF3491">
        <w:rPr>
          <w:noProof/>
        </w:rPr>
        <w:t>, cât și cele avansate, digitalizarea industrială, inclusiv Elementele fundamentale ale industriei 4.0 și 5.0, alfabetizarea industrială în materie de date, MES</w:t>
      </w:r>
      <w:r w:rsidR="00EB2471" w:rsidRPr="00FF3491">
        <w:rPr>
          <w:rStyle w:val="FootnoteReference"/>
          <w:noProof/>
        </w:rPr>
        <w:footnoteReference w:id="28"/>
      </w:r>
      <w:r w:rsidRPr="00FF3491">
        <w:rPr>
          <w:noProof/>
        </w:rPr>
        <w:t xml:space="preserve"> și SCADA</w:t>
      </w:r>
      <w:r w:rsidR="00EB2471" w:rsidRPr="00FF3491">
        <w:rPr>
          <w:rStyle w:val="FootnoteReference"/>
          <w:noProof/>
        </w:rPr>
        <w:footnoteReference w:id="29"/>
      </w:r>
      <w:r w:rsidRPr="00FF3491">
        <w:rPr>
          <w:noProof/>
        </w:rPr>
        <w:t>, automatizarea proceselor prin intermediul RPA</w:t>
      </w:r>
      <w:r w:rsidR="00EC4DA7" w:rsidRPr="00FF3491">
        <w:rPr>
          <w:rStyle w:val="FootnoteReference"/>
          <w:noProof/>
        </w:rPr>
        <w:footnoteReference w:id="30"/>
      </w:r>
      <w:r w:rsidRPr="00FF3491">
        <w:rPr>
          <w:noProof/>
        </w:rPr>
        <w:t xml:space="preserve"> și automatizarea industrială (de exemplu, PLC)</w:t>
      </w:r>
      <w:r w:rsidR="009B4078" w:rsidRPr="00FF3491">
        <w:rPr>
          <w:rStyle w:val="FootnoteReference"/>
          <w:noProof/>
        </w:rPr>
        <w:footnoteReference w:id="31"/>
      </w:r>
      <w:r w:rsidRPr="00FF3491">
        <w:rPr>
          <w:noProof/>
        </w:rPr>
        <w:t xml:space="preserve">, prevenirea riscurilor profesionale, formarea privind sustenabilitatea aplicată proceselor de producție și limbile străine. </w:t>
      </w:r>
      <w:r w:rsidRPr="00FF3491">
        <w:rPr>
          <w:b/>
          <w:bCs/>
          <w:noProof/>
        </w:rPr>
        <w:t>(2)</w:t>
      </w:r>
      <w:r w:rsidR="00FF3491" w:rsidRPr="00FF3491">
        <w:rPr>
          <w:b/>
          <w:bCs/>
          <w:noProof/>
        </w:rPr>
        <w:t> </w:t>
      </w:r>
      <w:r w:rsidRPr="00FF3491">
        <w:rPr>
          <w:b/>
          <w:bCs/>
          <w:noProof/>
        </w:rPr>
        <w:t>Perfecționare</w:t>
      </w:r>
      <w:r w:rsidRPr="00FF3491">
        <w:rPr>
          <w:noProof/>
        </w:rPr>
        <w:t xml:space="preserve"> aliniată la Raportul CEAGA privind formarea și ocuparea forței de muncă în sectorul autovehiculelor din Galicia (noiembrie 2025) și la Planul general pentru industria autovehiculelor din Galicia pentru perioada 2025-2027</w:t>
      </w:r>
      <w:r w:rsidR="001B498D" w:rsidRPr="00FF3491">
        <w:rPr>
          <w:rStyle w:val="FootnoteReference"/>
          <w:noProof/>
        </w:rPr>
        <w:footnoteReference w:id="32"/>
      </w:r>
      <w:r w:rsidRPr="00FF3491">
        <w:rPr>
          <w:noProof/>
        </w:rPr>
        <w:t xml:space="preserve">. </w:t>
      </w:r>
      <w:r w:rsidRPr="00FF3491">
        <w:rPr>
          <w:b/>
          <w:noProof/>
        </w:rPr>
        <w:t>(3) Reconversie profesională</w:t>
      </w:r>
      <w:r w:rsidRPr="00FF3491">
        <w:rPr>
          <w:noProof/>
        </w:rPr>
        <w:t>, menită să ofere o nouă calificare profesională, se va axa pe cursuri legate de sectoare-cheie, cum ar fi aeronautica</w:t>
      </w:r>
      <w:r w:rsidR="00EC1FFE" w:rsidRPr="00FF3491">
        <w:rPr>
          <w:rStyle w:val="FootnoteReference"/>
          <w:noProof/>
        </w:rPr>
        <w:footnoteReference w:id="33"/>
      </w:r>
      <w:r w:rsidRPr="00FF3491">
        <w:rPr>
          <w:noProof/>
        </w:rPr>
        <w:t>, energia din surse regenerabile</w:t>
      </w:r>
      <w:r w:rsidR="00EC1FFE" w:rsidRPr="00FF3491">
        <w:rPr>
          <w:rStyle w:val="FootnoteReference"/>
          <w:noProof/>
        </w:rPr>
        <w:footnoteReference w:id="34"/>
      </w:r>
      <w:r w:rsidRPr="00FF3491">
        <w:rPr>
          <w:noProof/>
        </w:rPr>
        <w:t>, transporturile și depozitarea</w:t>
      </w:r>
      <w:r w:rsidR="001933D0" w:rsidRPr="00FF3491">
        <w:rPr>
          <w:rStyle w:val="FootnoteReference"/>
          <w:noProof/>
        </w:rPr>
        <w:footnoteReference w:id="35"/>
      </w:r>
      <w:r w:rsidRPr="00FF3491">
        <w:rPr>
          <w:noProof/>
        </w:rPr>
        <w:t xml:space="preserve">, </w:t>
      </w:r>
      <w:r w:rsidRPr="00FF3491">
        <w:rPr>
          <w:noProof/>
        </w:rPr>
        <w:lastRenderedPageBreak/>
        <w:t>precum și infrastructura și întreținerea industrială</w:t>
      </w:r>
      <w:r w:rsidR="007C0AB0" w:rsidRPr="00FF3491">
        <w:rPr>
          <w:rStyle w:val="FootnoteReference"/>
          <w:noProof/>
        </w:rPr>
        <w:footnoteReference w:id="36"/>
      </w:r>
      <w:r w:rsidRPr="00FF3491">
        <w:rPr>
          <w:noProof/>
        </w:rPr>
        <w:t xml:space="preserve">, ceea ce demonstrează o capacitate puternică de absorbție a profilurilor industriale. </w:t>
      </w:r>
      <w:r w:rsidRPr="00FF3491">
        <w:rPr>
          <w:b/>
          <w:noProof/>
        </w:rPr>
        <w:t>(4) Cursuri de formare în domeniul antreprenoriatului</w:t>
      </w:r>
      <w:r w:rsidRPr="00FF3491">
        <w:rPr>
          <w:noProof/>
        </w:rPr>
        <w:t xml:space="preserve"> vor fi furnizare persoanelor care doresc să desfășoare activități independente.</w:t>
      </w:r>
      <w:bookmarkEnd w:id="10"/>
      <w:r w:rsidRPr="00FF3491">
        <w:rPr>
          <w:noProof/>
        </w:rPr>
        <w:t xml:space="preserve"> </w:t>
      </w:r>
    </w:p>
    <w:p w:rsidR="00BC7DB9" w:rsidRPr="00FF3491" w:rsidRDefault="000966A5" w:rsidP="00B1308F">
      <w:pPr>
        <w:pStyle w:val="Tiret1"/>
        <w:numPr>
          <w:ilvl w:val="0"/>
          <w:numId w:val="19"/>
        </w:numPr>
        <w:rPr>
          <w:noProof/>
        </w:rPr>
      </w:pPr>
      <w:r w:rsidRPr="00FF3491">
        <w:rPr>
          <w:noProof/>
          <w:u w:val="single"/>
        </w:rPr>
        <w:t>Asistență în vederea căutării intensive a unui loc de muncă</w:t>
      </w:r>
      <w:r w:rsidRPr="00FF3491">
        <w:rPr>
          <w:noProof/>
        </w:rPr>
        <w:t>, inclusiv cercetarea activă a oportunităților locale și regionale de angajare (inclusiv pentru lucrătorii independenți) și plasarea forței de muncă.</w:t>
      </w:r>
    </w:p>
    <w:p w:rsidR="00BC7DB9" w:rsidRPr="00FF3491" w:rsidRDefault="00791ECB" w:rsidP="00B1308F">
      <w:pPr>
        <w:pStyle w:val="Tiret1"/>
        <w:numPr>
          <w:ilvl w:val="0"/>
          <w:numId w:val="19"/>
        </w:numPr>
        <w:rPr>
          <w:noProof/>
        </w:rPr>
      </w:pPr>
      <w:bookmarkStart w:id="11" w:name="_Hlk230021973"/>
      <w:r w:rsidRPr="00FF3491">
        <w:rPr>
          <w:noProof/>
          <w:u w:val="single"/>
        </w:rPr>
        <w:t>Sprijin după reintegrarea profesională</w:t>
      </w:r>
      <w:bookmarkEnd w:id="11"/>
      <w:r w:rsidRPr="00FF3491">
        <w:rPr>
          <w:noProof/>
        </w:rPr>
        <w:t>: Lucrătorii reintegrați profesional vor fi sprijiniți în cursul primelor luni la locul de muncă, pentru a preîntâmpina eventualele probleme.</w:t>
      </w:r>
    </w:p>
    <w:p w:rsidR="00BC7DB9" w:rsidRPr="00FF3491" w:rsidRDefault="00872D17" w:rsidP="00B1308F">
      <w:pPr>
        <w:pStyle w:val="Tiret1"/>
        <w:numPr>
          <w:ilvl w:val="0"/>
          <w:numId w:val="19"/>
        </w:numPr>
        <w:rPr>
          <w:noProof/>
        </w:rPr>
      </w:pPr>
      <w:r w:rsidRPr="00FF3491">
        <w:rPr>
          <w:noProof/>
          <w:u w:val="single"/>
        </w:rPr>
        <w:t>Sprijin și stimulente financiare</w:t>
      </w:r>
      <w:r w:rsidRPr="00FF3491">
        <w:rPr>
          <w:noProof/>
        </w:rPr>
        <w:t xml:space="preserve">: </w:t>
      </w:r>
      <w:r w:rsidRPr="00FF3491">
        <w:rPr>
          <w:b/>
          <w:noProof/>
        </w:rPr>
        <w:t>(1) Stimulente de participare.</w:t>
      </w:r>
      <w:r w:rsidRPr="00FF3491">
        <w:rPr>
          <w:noProof/>
        </w:rPr>
        <w:t xml:space="preserve"> Lucrătorii care se implică în măsuri și își urmează parcursul de reintegrare convenit vor primi până la 400 EUR, plătiți fie ca sumă forfetară, fie în tranșe. </w:t>
      </w:r>
      <w:r w:rsidRPr="00FF3491">
        <w:rPr>
          <w:b/>
          <w:noProof/>
        </w:rPr>
        <w:t>(2) Sprijin financiar pentru cheltuielile cu naveta.</w:t>
      </w:r>
      <w:r w:rsidRPr="00FF3491">
        <w:rPr>
          <w:noProof/>
        </w:rPr>
        <w:t xml:space="preserve"> Cheltuielile eligibile vor include costurile pentru transportul public sau numărul de kilometri parcurși de vehiculele private (0,26 EUR/km), taxe de drum, parcare, masă și cazare, până la maximum 340 EUR per curs de formare. </w:t>
      </w:r>
      <w:r w:rsidRPr="00FF3491">
        <w:rPr>
          <w:b/>
          <w:noProof/>
        </w:rPr>
        <w:t>(3) Sprijin financiar pentru îngrijitorii de persoane dependente.</w:t>
      </w:r>
      <w:r w:rsidRPr="00FF3491">
        <w:rPr>
          <w:noProof/>
        </w:rPr>
        <w:t xml:space="preserve"> Participanților cu responsabilități de îngrijire (de exemplu, a copiilor, a persoanelor în vârstă sau a persoanelor aflate în întreținere cu handicap) li se va acorda o diurnă de până la 20 EUR, pentru a compensa costurile suplimentare suportate atunci când participă la formare. </w:t>
      </w:r>
      <w:r w:rsidRPr="00FF3491">
        <w:rPr>
          <w:b/>
          <w:noProof/>
        </w:rPr>
        <w:t>(4) Stimulente pentru plasarea pe piața muncii a personalului disponibilizat.</w:t>
      </w:r>
      <w:r w:rsidRPr="00FF3491">
        <w:rPr>
          <w:noProof/>
        </w:rPr>
        <w:t xml:space="preserve"> Persoanele care se întorc în câmpul muncii în calitate de angajați sau pentru a desfășura o activitate independentă vor primi 200 EUR pe lună, pe o perioadă de cel mult șase luni. Acest stimulent urmărește să încurajeze lucrătorii, în special persoanele în vârstă, să rămână pe piața forței de muncă și să asigure reangajarea rapidă.</w:t>
      </w:r>
    </w:p>
    <w:p w:rsidR="001A62D7" w:rsidRPr="00FF3491" w:rsidRDefault="008D1B07" w:rsidP="001A62D7">
      <w:pPr>
        <w:pStyle w:val="ManualNumPar1"/>
        <w:rPr>
          <w:noProof/>
        </w:rPr>
      </w:pPr>
      <w:r>
        <w:rPr>
          <w:noProof/>
        </w:rPr>
        <w:t>27.</w:t>
      </w:r>
      <w:r>
        <w:rPr>
          <w:noProof/>
        </w:rPr>
        <w:tab/>
      </w:r>
      <w:r w:rsidRPr="00FF3491">
        <w:rPr>
          <w:noProof/>
        </w:rPr>
        <w:t>Formarea transversală permite diseminarea competențelor necesare în era industrială digitală și într-o economie eficientă din punctul de vedere al utilizării resurselor, astfel cum se prevede la articolul 7 alineatul (2) din Regulamentul (UE) 2021/691.</w:t>
      </w:r>
    </w:p>
    <w:p w:rsidR="001A62D7" w:rsidRPr="00FF3491" w:rsidRDefault="001A62D7" w:rsidP="00AE7D04">
      <w:pPr>
        <w:pStyle w:val="ManualNumPar1"/>
        <w:rPr>
          <w:noProof/>
        </w:rPr>
      </w:pPr>
      <w:r>
        <w:rPr>
          <w:noProof/>
        </w:rPr>
        <w:t>28.</w:t>
      </w:r>
      <w:r>
        <w:rPr>
          <w:noProof/>
        </w:rPr>
        <w:tab/>
      </w:r>
      <w:bookmarkStart w:id="12" w:name="_Ref372214242"/>
      <w:r w:rsidRPr="00FF3491">
        <w:rPr>
          <w:noProof/>
        </w:rPr>
        <w:t xml:space="preserve">Acțiunile propuse, descrise în prezentul document, constituie măsuri active de ocupare a forței de muncă ce se încadrează la acțiunile eligibile prevăzute la articolul 7 din Regulamentul (UE) 2021/691. Aceste acțiuni nu înlocuiesc măsurile pasive de protecție socială. </w:t>
      </w:r>
    </w:p>
    <w:p w:rsidR="001A62D7" w:rsidRPr="00FF3491" w:rsidRDefault="008D1B07" w:rsidP="00AE7D04">
      <w:pPr>
        <w:pStyle w:val="ManualNumPar1"/>
        <w:rPr>
          <w:noProof/>
        </w:rPr>
      </w:pPr>
      <w:r>
        <w:rPr>
          <w:noProof/>
        </w:rPr>
        <w:t>29.</w:t>
      </w:r>
      <w:r>
        <w:rPr>
          <w:noProof/>
        </w:rPr>
        <w:tab/>
      </w:r>
      <w:r w:rsidRPr="00FF3491">
        <w:rPr>
          <w:noProof/>
        </w:rPr>
        <w:t>Spania a furnizat informațiile necesare privind măsurile care sunt obligatorii pentru întreprinderea vizată în temeiul legislației naționale sau în temeiul contractelor colective de muncă. În conformitate cu articolul 9 alineatul (1) din Regulamentul (UE) 2021/691, Spania a confirmat că măsurile respective nu vor fi înlocuite cu o contribuție financiară din partea FEG.</w:t>
      </w:r>
      <w:bookmarkEnd w:id="12"/>
    </w:p>
    <w:p w:rsidR="001A62D7" w:rsidRPr="00FF3491" w:rsidRDefault="001A62D7" w:rsidP="001A62D7">
      <w:pPr>
        <w:pStyle w:val="ManualHeading3"/>
        <w:rPr>
          <w:noProof/>
        </w:rPr>
      </w:pPr>
      <w:r w:rsidRPr="00FF3491">
        <w:rPr>
          <w:noProof/>
        </w:rPr>
        <w:t>Buget estimat</w:t>
      </w:r>
    </w:p>
    <w:p w:rsidR="001A62D7" w:rsidRPr="00FF3491" w:rsidRDefault="001A62D7" w:rsidP="00AE7D04">
      <w:pPr>
        <w:pStyle w:val="ManualNumPar1"/>
        <w:rPr>
          <w:noProof/>
        </w:rPr>
      </w:pPr>
      <w:r>
        <w:rPr>
          <w:noProof/>
        </w:rPr>
        <w:t>30.</w:t>
      </w:r>
      <w:r>
        <w:rPr>
          <w:noProof/>
        </w:rPr>
        <w:tab/>
      </w:r>
      <w:r w:rsidRPr="00FF3491">
        <w:rPr>
          <w:noProof/>
        </w:rPr>
        <w:t>Costurile totale estimate sunt de 3 206 000 EUR, incluzând cheltuieli pentru servicii personalizate de 3 046 000 EUR și cheltuieli pentru activitățile de pregătire, gestionare, informare și publicitate, control și raportare de 160 000 EUR.</w:t>
      </w:r>
    </w:p>
    <w:p w:rsidR="001A62D7" w:rsidRPr="00FF3491" w:rsidRDefault="001A62D7" w:rsidP="00AE7D04">
      <w:pPr>
        <w:pStyle w:val="ManualNumPar1"/>
        <w:rPr>
          <w:noProof/>
        </w:rPr>
      </w:pPr>
      <w:r>
        <w:rPr>
          <w:noProof/>
        </w:rPr>
        <w:lastRenderedPageBreak/>
        <w:t>31.</w:t>
      </w:r>
      <w:r>
        <w:rPr>
          <w:noProof/>
        </w:rPr>
        <w:tab/>
      </w:r>
      <w:bookmarkStart w:id="13" w:name="_Ref372550770"/>
      <w:r w:rsidRPr="00FF3491">
        <w:rPr>
          <w:noProof/>
        </w:rPr>
        <w:t>Contribuția financiară totală solicitată din partea FEG este de 2 725 100 EUR (85 % din costurile totale).</w:t>
      </w:r>
      <w:bookmarkEnd w:id="13"/>
    </w:p>
    <w:p w:rsidR="001A62D7" w:rsidRPr="00FF3491" w:rsidRDefault="001A62D7" w:rsidP="00AE7D04">
      <w:pPr>
        <w:pStyle w:val="ManualNumPar1"/>
        <w:rPr>
          <w:noProof/>
        </w:rPr>
      </w:pPr>
      <w:r>
        <w:rPr>
          <w:noProof/>
        </w:rPr>
        <w:t>32.</w:t>
      </w:r>
      <w:r>
        <w:rPr>
          <w:noProof/>
        </w:rPr>
        <w:tab/>
      </w:r>
      <w:r w:rsidRPr="00FF3491">
        <w:rPr>
          <w:noProof/>
        </w:rPr>
        <w:t>În conformitate cu articolul 8 alineatul (7) litera (m) din Regulamentul (UE) 2021/691, Spania a precizat că prefinanțarea și cofinanțarea națională sunt asigurate de Xunta de Galicia</w:t>
      </w:r>
      <w:r w:rsidR="000E7D45" w:rsidRPr="00FF3491">
        <w:rPr>
          <w:rStyle w:val="FootnoteReference"/>
          <w:noProof/>
        </w:rPr>
        <w:footnoteReference w:id="37"/>
      </w:r>
      <w:r w:rsidRPr="00FF3491">
        <w:rPr>
          <w:noProof/>
        </w:rPr>
        <w:t>.</w:t>
      </w: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4644"/>
        <w:gridCol w:w="1548"/>
        <w:gridCol w:w="1548"/>
        <w:gridCol w:w="1548"/>
      </w:tblGrid>
      <w:tr w:rsidR="001A62D7" w:rsidRPr="00FF3491" w:rsidTr="001D5990">
        <w:tc>
          <w:tcPr>
            <w:tcW w:w="4644" w:type="dxa"/>
            <w:shd w:val="clear" w:color="auto" w:fill="auto"/>
            <w:vAlign w:val="center"/>
          </w:tcPr>
          <w:p w:rsidR="001A62D7" w:rsidRPr="00FF3491" w:rsidRDefault="001A62D7" w:rsidP="001D5990">
            <w:pPr>
              <w:spacing w:before="60" w:after="60"/>
              <w:jc w:val="center"/>
              <w:rPr>
                <w:rFonts w:eastAsia="Times New Roman"/>
                <w:noProof/>
                <w:sz w:val="22"/>
              </w:rPr>
            </w:pPr>
            <w:r w:rsidRPr="00FF3491">
              <w:rPr>
                <w:noProof/>
                <w:sz w:val="22"/>
              </w:rPr>
              <w:t>Măsuri</w:t>
            </w:r>
          </w:p>
        </w:tc>
        <w:tc>
          <w:tcPr>
            <w:tcW w:w="1548" w:type="dxa"/>
            <w:shd w:val="clear" w:color="auto" w:fill="auto"/>
            <w:vAlign w:val="center"/>
          </w:tcPr>
          <w:p w:rsidR="001A62D7" w:rsidRPr="00FF3491" w:rsidRDefault="001A62D7" w:rsidP="001D5990">
            <w:pPr>
              <w:spacing w:before="60" w:after="60"/>
              <w:jc w:val="center"/>
              <w:rPr>
                <w:rFonts w:eastAsia="Times New Roman"/>
                <w:noProof/>
                <w:sz w:val="22"/>
              </w:rPr>
            </w:pPr>
            <w:r w:rsidRPr="00FF3491">
              <w:rPr>
                <w:noProof/>
                <w:sz w:val="22"/>
              </w:rPr>
              <w:t>Numărul de participanți estimat</w:t>
            </w:r>
          </w:p>
        </w:tc>
        <w:tc>
          <w:tcPr>
            <w:tcW w:w="1548" w:type="dxa"/>
            <w:shd w:val="clear" w:color="auto" w:fill="auto"/>
            <w:vAlign w:val="center"/>
          </w:tcPr>
          <w:p w:rsidR="001A62D7" w:rsidRPr="00FF3491" w:rsidRDefault="001A62D7" w:rsidP="001D5990">
            <w:pPr>
              <w:spacing w:before="60" w:after="60"/>
              <w:jc w:val="center"/>
              <w:rPr>
                <w:rFonts w:eastAsia="Times New Roman"/>
                <w:noProof/>
                <w:sz w:val="22"/>
              </w:rPr>
            </w:pPr>
            <w:r w:rsidRPr="00FF3491">
              <w:rPr>
                <w:noProof/>
                <w:sz w:val="22"/>
              </w:rPr>
              <w:t>Costul estimat per participant</w:t>
            </w:r>
            <w:r w:rsidRPr="00FF3491">
              <w:rPr>
                <w:noProof/>
                <w:sz w:val="22"/>
              </w:rPr>
              <w:br/>
            </w:r>
            <w:r w:rsidRPr="00FF3491">
              <w:rPr>
                <w:i/>
                <w:noProof/>
                <w:sz w:val="22"/>
              </w:rPr>
              <w:t>(EUR)</w:t>
            </w:r>
            <w:r w:rsidRPr="00FF3491">
              <w:rPr>
                <w:rStyle w:val="FootnoteReference"/>
                <w:rFonts w:eastAsia="Times New Roman"/>
                <w:i/>
                <w:noProof/>
                <w:sz w:val="22"/>
              </w:rPr>
              <w:footnoteReference w:id="38"/>
            </w:r>
          </w:p>
        </w:tc>
        <w:tc>
          <w:tcPr>
            <w:tcW w:w="1548" w:type="dxa"/>
            <w:shd w:val="clear" w:color="auto" w:fill="auto"/>
            <w:vAlign w:val="center"/>
          </w:tcPr>
          <w:p w:rsidR="001A62D7" w:rsidRPr="00FF3491" w:rsidRDefault="001A62D7" w:rsidP="001D5990">
            <w:pPr>
              <w:spacing w:before="60" w:after="60"/>
              <w:jc w:val="center"/>
              <w:rPr>
                <w:rFonts w:eastAsia="Times New Roman"/>
                <w:noProof/>
                <w:sz w:val="22"/>
              </w:rPr>
            </w:pPr>
            <w:r w:rsidRPr="00FF3491">
              <w:rPr>
                <w:noProof/>
                <w:sz w:val="22"/>
              </w:rPr>
              <w:t>Costuri totale estimate</w:t>
            </w:r>
          </w:p>
          <w:p w:rsidR="001A62D7" w:rsidRPr="00FF3491" w:rsidRDefault="001A62D7" w:rsidP="001D5990">
            <w:pPr>
              <w:spacing w:before="60" w:after="60"/>
              <w:jc w:val="center"/>
              <w:rPr>
                <w:rFonts w:eastAsia="Times New Roman"/>
                <w:noProof/>
                <w:sz w:val="22"/>
              </w:rPr>
            </w:pPr>
            <w:r w:rsidRPr="00FF3491">
              <w:rPr>
                <w:i/>
                <w:noProof/>
                <w:sz w:val="22"/>
              </w:rPr>
              <w:t>(EUR)</w:t>
            </w:r>
            <w:r w:rsidRPr="00FF3491">
              <w:rPr>
                <w:rStyle w:val="FootnoteReference"/>
                <w:rFonts w:eastAsia="Times New Roman"/>
                <w:i/>
                <w:noProof/>
                <w:sz w:val="22"/>
              </w:rPr>
              <w:footnoteReference w:id="39"/>
            </w:r>
            <w:r w:rsidRPr="00FF3491">
              <w:rPr>
                <w:i/>
                <w:noProof/>
                <w:sz w:val="22"/>
              </w:rPr>
              <w:t xml:space="preserve"> </w:t>
            </w:r>
          </w:p>
        </w:tc>
      </w:tr>
      <w:tr w:rsidR="001A62D7" w:rsidRPr="00FF3491" w:rsidTr="001D5990">
        <w:tc>
          <w:tcPr>
            <w:tcW w:w="9288" w:type="dxa"/>
            <w:gridSpan w:val="4"/>
            <w:shd w:val="clear" w:color="auto" w:fill="auto"/>
          </w:tcPr>
          <w:p w:rsidR="001A62D7" w:rsidRPr="00FF3491" w:rsidRDefault="001A62D7" w:rsidP="001D5990">
            <w:pPr>
              <w:spacing w:before="60" w:after="60"/>
              <w:jc w:val="left"/>
              <w:rPr>
                <w:rFonts w:eastAsia="Times New Roman"/>
                <w:noProof/>
                <w:sz w:val="22"/>
              </w:rPr>
            </w:pPr>
            <w:r w:rsidRPr="00FF3491">
              <w:rPr>
                <w:noProof/>
                <w:sz w:val="22"/>
              </w:rPr>
              <w:t xml:space="preserve">Servicii personalizate [măsuri în temeiul articolului 7 alineatul (2) </w:t>
            </w:r>
            <w:r w:rsidRPr="00FF3491">
              <w:rPr>
                <w:noProof/>
              </w:rPr>
              <w:t>al doilea paragraf</w:t>
            </w:r>
            <w:r w:rsidRPr="00FF3491">
              <w:rPr>
                <w:noProof/>
                <w:sz w:val="22"/>
              </w:rPr>
              <w:t xml:space="preserve"> litera (a) din Regulamentul (UE) 2021/691]</w:t>
            </w:r>
          </w:p>
        </w:tc>
      </w:tr>
      <w:tr w:rsidR="001A62D7" w:rsidRPr="00FF3491"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FF3491" w:rsidRDefault="009F2938" w:rsidP="001D5990">
            <w:pPr>
              <w:spacing w:before="60" w:after="60"/>
              <w:jc w:val="left"/>
              <w:rPr>
                <w:noProof/>
              </w:rPr>
            </w:pPr>
            <w:r w:rsidRPr="00FF3491">
              <w:rPr>
                <w:noProof/>
              </w:rPr>
              <w:t>Informare, etapa înregistrării și stabilirea profilului lucrătorilor</w:t>
            </w:r>
            <w:r w:rsidRPr="00FF3491">
              <w:rPr>
                <w:noProof/>
              </w:rPr>
              <w:br/>
              <w:t>(</w:t>
            </w:r>
            <w:r w:rsidRPr="00FF3491">
              <w:rPr>
                <w:i/>
                <w:noProof/>
              </w:rPr>
              <w:t>acogida y diagnóstico inicial)</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FF3491" w:rsidRDefault="00BC23D3" w:rsidP="001D5990">
            <w:pPr>
              <w:spacing w:before="60" w:after="60"/>
              <w:jc w:val="center"/>
              <w:rPr>
                <w:noProof/>
              </w:rPr>
            </w:pPr>
            <w:r w:rsidRPr="00FF3491">
              <w:rPr>
                <w:noProof/>
              </w:rPr>
              <w:t>400</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FF3491" w:rsidRDefault="00BC23D3" w:rsidP="001D5990">
            <w:pPr>
              <w:spacing w:before="60" w:after="60"/>
              <w:jc w:val="center"/>
              <w:rPr>
                <w:noProof/>
              </w:rPr>
            </w:pPr>
            <w:r w:rsidRPr="00FF3491">
              <w:rPr>
                <w:noProof/>
              </w:rPr>
              <w:t>100</w:t>
            </w:r>
          </w:p>
        </w:tc>
        <w:tc>
          <w:tcPr>
            <w:tcW w:w="1548" w:type="dxa"/>
            <w:tcBorders>
              <w:top w:val="single" w:sz="4" w:space="0" w:color="auto"/>
              <w:left w:val="single" w:sz="4" w:space="0" w:color="auto"/>
              <w:bottom w:val="single" w:sz="4" w:space="0" w:color="auto"/>
              <w:right w:val="nil"/>
            </w:tcBorders>
            <w:vAlign w:val="center"/>
            <w:hideMark/>
          </w:tcPr>
          <w:p w:rsidR="001A62D7" w:rsidRPr="00FF3491" w:rsidRDefault="00BC23D3" w:rsidP="001D5990">
            <w:pPr>
              <w:spacing w:before="60" w:after="60"/>
              <w:jc w:val="center"/>
              <w:rPr>
                <w:noProof/>
              </w:rPr>
            </w:pPr>
            <w:r w:rsidRPr="00FF3491">
              <w:rPr>
                <w:noProof/>
              </w:rPr>
              <w:t>40 000</w:t>
            </w:r>
          </w:p>
        </w:tc>
      </w:tr>
      <w:tr w:rsidR="0070290B" w:rsidRPr="00FF3491" w:rsidTr="008A3196">
        <w:trPr>
          <w:trHeight w:val="802"/>
        </w:trPr>
        <w:tc>
          <w:tcPr>
            <w:tcW w:w="4644" w:type="dxa"/>
            <w:tcBorders>
              <w:top w:val="single" w:sz="4" w:space="0" w:color="auto"/>
              <w:left w:val="nil"/>
              <w:bottom w:val="single" w:sz="4" w:space="0" w:color="auto"/>
              <w:right w:val="single" w:sz="4" w:space="0" w:color="auto"/>
            </w:tcBorders>
            <w:vAlign w:val="center"/>
            <w:hideMark/>
          </w:tcPr>
          <w:p w:rsidR="0070290B" w:rsidRPr="00FF3491" w:rsidRDefault="0070290B" w:rsidP="008A3196">
            <w:pPr>
              <w:spacing w:before="60" w:after="60"/>
              <w:jc w:val="left"/>
              <w:rPr>
                <w:noProof/>
              </w:rPr>
            </w:pPr>
            <w:r w:rsidRPr="00FF3491">
              <w:rPr>
                <w:noProof/>
              </w:rPr>
              <w:t>Orientare profesională</w:t>
            </w:r>
            <w:r w:rsidRPr="00FF3491">
              <w:rPr>
                <w:noProof/>
              </w:rPr>
              <w:br/>
              <w:t>(</w:t>
            </w:r>
            <w:r w:rsidRPr="00FF3491">
              <w:rPr>
                <w:i/>
                <w:noProof/>
              </w:rPr>
              <w:t>orientación laboral por cuenta agena y propia)</w:t>
            </w:r>
            <w:r w:rsidRPr="00FF3491">
              <w:rPr>
                <w:noProof/>
              </w:rPr>
              <w:t xml:space="preserve"> </w:t>
            </w:r>
          </w:p>
        </w:tc>
        <w:tc>
          <w:tcPr>
            <w:tcW w:w="1548" w:type="dxa"/>
            <w:tcBorders>
              <w:top w:val="single" w:sz="4" w:space="0" w:color="auto"/>
              <w:left w:val="single" w:sz="4" w:space="0" w:color="auto"/>
              <w:bottom w:val="single" w:sz="4" w:space="0" w:color="auto"/>
              <w:right w:val="single" w:sz="4" w:space="0" w:color="auto"/>
            </w:tcBorders>
            <w:vAlign w:val="center"/>
            <w:hideMark/>
          </w:tcPr>
          <w:p w:rsidR="0070290B" w:rsidRPr="00FF3491" w:rsidRDefault="00BC23D3" w:rsidP="008A3196">
            <w:pPr>
              <w:spacing w:before="60" w:after="60"/>
              <w:jc w:val="center"/>
              <w:rPr>
                <w:noProof/>
              </w:rPr>
            </w:pPr>
            <w:r w:rsidRPr="00FF3491">
              <w:rPr>
                <w:noProof/>
              </w:rPr>
              <w:t>300</w:t>
            </w:r>
          </w:p>
        </w:tc>
        <w:tc>
          <w:tcPr>
            <w:tcW w:w="1548" w:type="dxa"/>
            <w:tcBorders>
              <w:top w:val="single" w:sz="4" w:space="0" w:color="auto"/>
              <w:left w:val="single" w:sz="4" w:space="0" w:color="auto"/>
              <w:bottom w:val="single" w:sz="4" w:space="0" w:color="auto"/>
              <w:right w:val="single" w:sz="4" w:space="0" w:color="auto"/>
            </w:tcBorders>
            <w:vAlign w:val="center"/>
            <w:hideMark/>
          </w:tcPr>
          <w:p w:rsidR="0070290B" w:rsidRPr="00FF3491" w:rsidRDefault="00BC23D3" w:rsidP="008A3196">
            <w:pPr>
              <w:spacing w:before="60" w:after="60"/>
              <w:jc w:val="center"/>
              <w:rPr>
                <w:noProof/>
              </w:rPr>
            </w:pPr>
            <w:r w:rsidRPr="00FF3491">
              <w:rPr>
                <w:noProof/>
              </w:rPr>
              <w:t>500</w:t>
            </w:r>
          </w:p>
        </w:tc>
        <w:tc>
          <w:tcPr>
            <w:tcW w:w="1548" w:type="dxa"/>
            <w:tcBorders>
              <w:top w:val="single" w:sz="4" w:space="0" w:color="auto"/>
              <w:left w:val="single" w:sz="4" w:space="0" w:color="auto"/>
              <w:bottom w:val="single" w:sz="4" w:space="0" w:color="auto"/>
              <w:right w:val="nil"/>
            </w:tcBorders>
            <w:vAlign w:val="center"/>
            <w:hideMark/>
          </w:tcPr>
          <w:p w:rsidR="0070290B" w:rsidRPr="00FF3491" w:rsidRDefault="00BC23D3" w:rsidP="008A3196">
            <w:pPr>
              <w:spacing w:before="60" w:after="60"/>
              <w:jc w:val="center"/>
              <w:rPr>
                <w:noProof/>
              </w:rPr>
            </w:pPr>
            <w:r w:rsidRPr="00FF3491">
              <w:rPr>
                <w:noProof/>
              </w:rPr>
              <w:t>150 000</w:t>
            </w:r>
          </w:p>
        </w:tc>
      </w:tr>
      <w:tr w:rsidR="001A62D7" w:rsidRPr="00FF3491"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FF3491" w:rsidRDefault="00D163F9" w:rsidP="001D5990">
            <w:pPr>
              <w:spacing w:before="60" w:after="60"/>
              <w:jc w:val="left"/>
              <w:rPr>
                <w:noProof/>
              </w:rPr>
            </w:pPr>
            <w:r w:rsidRPr="00FF3491">
              <w:rPr>
                <w:noProof/>
              </w:rPr>
              <w:t>Formare</w:t>
            </w:r>
            <w:r w:rsidRPr="00FF3491">
              <w:rPr>
                <w:noProof/>
              </w:rPr>
              <w:br/>
              <w:t>(</w:t>
            </w:r>
            <w:r w:rsidRPr="00FF3491">
              <w:rPr>
                <w:i/>
                <w:noProof/>
              </w:rPr>
              <w:t>formación transversal, recualificación profesional dentro o fuera del sector y formación en autoempleo)</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FF3491" w:rsidRDefault="00C22B7B" w:rsidP="001D5990">
            <w:pPr>
              <w:spacing w:before="60" w:after="60"/>
              <w:jc w:val="center"/>
              <w:rPr>
                <w:noProof/>
              </w:rPr>
            </w:pPr>
            <w:r w:rsidRPr="00FF3491">
              <w:rPr>
                <w:noProof/>
              </w:rPr>
              <w:t>400</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FF3491" w:rsidRDefault="00C22B7B" w:rsidP="001D5990">
            <w:pPr>
              <w:spacing w:before="60" w:after="60"/>
              <w:jc w:val="center"/>
              <w:rPr>
                <w:noProof/>
              </w:rPr>
            </w:pPr>
            <w:r w:rsidRPr="00FF3491">
              <w:rPr>
                <w:noProof/>
              </w:rPr>
              <w:t>5 050</w:t>
            </w:r>
          </w:p>
        </w:tc>
        <w:tc>
          <w:tcPr>
            <w:tcW w:w="1548" w:type="dxa"/>
            <w:tcBorders>
              <w:top w:val="single" w:sz="4" w:space="0" w:color="auto"/>
              <w:left w:val="single" w:sz="4" w:space="0" w:color="auto"/>
              <w:bottom w:val="single" w:sz="4" w:space="0" w:color="auto"/>
              <w:right w:val="nil"/>
            </w:tcBorders>
            <w:vAlign w:val="center"/>
            <w:hideMark/>
          </w:tcPr>
          <w:p w:rsidR="001A62D7" w:rsidRPr="00FF3491" w:rsidRDefault="00BC23D3" w:rsidP="001D5990">
            <w:pPr>
              <w:spacing w:before="60" w:after="60"/>
              <w:jc w:val="center"/>
              <w:rPr>
                <w:noProof/>
              </w:rPr>
            </w:pPr>
            <w:r w:rsidRPr="00FF3491">
              <w:rPr>
                <w:noProof/>
              </w:rPr>
              <w:t>2 020 000</w:t>
            </w:r>
          </w:p>
        </w:tc>
      </w:tr>
      <w:tr w:rsidR="001A62D7" w:rsidRPr="00FF3491"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FF3491" w:rsidRDefault="00DD32A0" w:rsidP="001D5990">
            <w:pPr>
              <w:spacing w:before="60" w:after="60"/>
              <w:jc w:val="left"/>
              <w:rPr>
                <w:noProof/>
              </w:rPr>
            </w:pPr>
            <w:r w:rsidRPr="00FF3491">
              <w:rPr>
                <w:noProof/>
              </w:rPr>
              <w:t>Asistență intensivă pentru căutarea unui loc de muncă</w:t>
            </w:r>
            <w:r w:rsidRPr="00FF3491">
              <w:rPr>
                <w:noProof/>
              </w:rPr>
              <w:br/>
              <w:t>(</w:t>
            </w:r>
            <w:r w:rsidRPr="00FF3491">
              <w:rPr>
                <w:i/>
                <w:noProof/>
              </w:rPr>
              <w:t>apoyo a la recolocación)</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FF3491" w:rsidRDefault="00BC23D3" w:rsidP="001D5990">
            <w:pPr>
              <w:spacing w:before="60" w:after="60"/>
              <w:jc w:val="center"/>
              <w:rPr>
                <w:noProof/>
              </w:rPr>
            </w:pPr>
            <w:r w:rsidRPr="00FF3491">
              <w:rPr>
                <w:noProof/>
              </w:rPr>
              <w:t>250</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FF3491" w:rsidRDefault="00BC23D3" w:rsidP="001D5990">
            <w:pPr>
              <w:spacing w:before="60" w:after="60"/>
              <w:jc w:val="center"/>
              <w:rPr>
                <w:noProof/>
              </w:rPr>
            </w:pPr>
            <w:r w:rsidRPr="00FF3491">
              <w:rPr>
                <w:noProof/>
              </w:rPr>
              <w:t>1 300</w:t>
            </w:r>
          </w:p>
        </w:tc>
        <w:tc>
          <w:tcPr>
            <w:tcW w:w="1548" w:type="dxa"/>
            <w:tcBorders>
              <w:top w:val="single" w:sz="4" w:space="0" w:color="auto"/>
              <w:left w:val="single" w:sz="4" w:space="0" w:color="auto"/>
              <w:bottom w:val="single" w:sz="4" w:space="0" w:color="auto"/>
              <w:right w:val="nil"/>
            </w:tcBorders>
            <w:vAlign w:val="center"/>
            <w:hideMark/>
          </w:tcPr>
          <w:p w:rsidR="001A62D7" w:rsidRPr="00FF3491" w:rsidRDefault="00BC23D3" w:rsidP="001D5990">
            <w:pPr>
              <w:spacing w:before="60" w:after="60"/>
              <w:jc w:val="center"/>
              <w:rPr>
                <w:noProof/>
              </w:rPr>
            </w:pPr>
            <w:r w:rsidRPr="00FF3491">
              <w:rPr>
                <w:noProof/>
              </w:rPr>
              <w:t>325 000</w:t>
            </w:r>
          </w:p>
        </w:tc>
      </w:tr>
      <w:tr w:rsidR="001A62D7" w:rsidRPr="00FF3491"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FF3491" w:rsidRDefault="00DD32A0" w:rsidP="001D5990">
            <w:pPr>
              <w:spacing w:before="60" w:after="60"/>
              <w:jc w:val="left"/>
              <w:rPr>
                <w:noProof/>
              </w:rPr>
            </w:pPr>
            <w:r w:rsidRPr="00FF3491">
              <w:rPr>
                <w:noProof/>
              </w:rPr>
              <w:t>Sprijin după reintegrarea profesională</w:t>
            </w:r>
            <w:r w:rsidRPr="00FF3491">
              <w:rPr>
                <w:noProof/>
              </w:rPr>
              <w:br/>
              <w:t>(</w:t>
            </w:r>
            <w:r w:rsidRPr="00FF3491">
              <w:rPr>
                <w:i/>
                <w:noProof/>
              </w:rPr>
              <w:t>seguimiento en el empleo)</w:t>
            </w:r>
            <w:r w:rsidRPr="00FF3491">
              <w:rPr>
                <w:noProof/>
              </w:rPr>
              <w:t xml:space="preserve"> </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FF3491" w:rsidRDefault="00BC23D3" w:rsidP="001D5990">
            <w:pPr>
              <w:spacing w:before="60" w:after="60"/>
              <w:jc w:val="center"/>
              <w:rPr>
                <w:noProof/>
              </w:rPr>
            </w:pPr>
            <w:r w:rsidRPr="00FF3491">
              <w:rPr>
                <w:noProof/>
              </w:rPr>
              <w:t>200</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FF3491" w:rsidRDefault="00BC23D3" w:rsidP="001D5990">
            <w:pPr>
              <w:spacing w:before="60" w:after="60"/>
              <w:jc w:val="center"/>
              <w:rPr>
                <w:noProof/>
              </w:rPr>
            </w:pPr>
            <w:r w:rsidRPr="00FF3491">
              <w:rPr>
                <w:noProof/>
              </w:rPr>
              <w:t>250</w:t>
            </w:r>
          </w:p>
        </w:tc>
        <w:tc>
          <w:tcPr>
            <w:tcW w:w="1548" w:type="dxa"/>
            <w:tcBorders>
              <w:top w:val="single" w:sz="4" w:space="0" w:color="auto"/>
              <w:left w:val="single" w:sz="4" w:space="0" w:color="auto"/>
              <w:bottom w:val="single" w:sz="4" w:space="0" w:color="auto"/>
              <w:right w:val="nil"/>
            </w:tcBorders>
            <w:vAlign w:val="center"/>
            <w:hideMark/>
          </w:tcPr>
          <w:p w:rsidR="001A62D7" w:rsidRPr="00FF3491" w:rsidRDefault="00BC23D3" w:rsidP="001D5990">
            <w:pPr>
              <w:spacing w:before="60" w:after="60"/>
              <w:jc w:val="center"/>
              <w:rPr>
                <w:noProof/>
              </w:rPr>
            </w:pPr>
            <w:r w:rsidRPr="00FF3491">
              <w:rPr>
                <w:noProof/>
              </w:rPr>
              <w:t>50 000</w:t>
            </w:r>
          </w:p>
        </w:tc>
      </w:tr>
      <w:tr w:rsidR="001A62D7" w:rsidRPr="00FF3491" w:rsidTr="001D5990">
        <w:trPr>
          <w:trHeight w:val="398"/>
        </w:trPr>
        <w:tc>
          <w:tcPr>
            <w:tcW w:w="4644" w:type="dxa"/>
            <w:vMerge w:val="restart"/>
            <w:shd w:val="clear" w:color="auto" w:fill="auto"/>
            <w:vAlign w:val="center"/>
          </w:tcPr>
          <w:p w:rsidR="001A62D7" w:rsidRPr="00FF3491" w:rsidRDefault="001A62D7" w:rsidP="001D5990">
            <w:pPr>
              <w:spacing w:before="60" w:after="60"/>
              <w:jc w:val="right"/>
              <w:rPr>
                <w:rFonts w:eastAsia="Times New Roman"/>
                <w:noProof/>
                <w:sz w:val="22"/>
              </w:rPr>
            </w:pPr>
            <w:r w:rsidRPr="00FF3491">
              <w:rPr>
                <w:noProof/>
                <w:sz w:val="22"/>
              </w:rPr>
              <w:t>Subtotal (a):</w:t>
            </w:r>
          </w:p>
          <w:p w:rsidR="001A62D7" w:rsidRPr="00FF3491" w:rsidRDefault="001A62D7" w:rsidP="001D5990">
            <w:pPr>
              <w:spacing w:before="60" w:after="60"/>
              <w:jc w:val="right"/>
              <w:rPr>
                <w:rFonts w:eastAsia="Times New Roman"/>
                <w:noProof/>
                <w:sz w:val="22"/>
              </w:rPr>
            </w:pPr>
            <w:r w:rsidRPr="00FF3491">
              <w:rPr>
                <w:noProof/>
                <w:sz w:val="22"/>
              </w:rPr>
              <w:t xml:space="preserve">Procentaj din pachetul de servicii personalizate </w:t>
            </w:r>
          </w:p>
        </w:tc>
        <w:tc>
          <w:tcPr>
            <w:tcW w:w="3096" w:type="dxa"/>
            <w:gridSpan w:val="2"/>
            <w:vMerge w:val="restart"/>
            <w:shd w:val="clear" w:color="auto" w:fill="D9D9D9"/>
            <w:vAlign w:val="center"/>
          </w:tcPr>
          <w:p w:rsidR="001A62D7" w:rsidRPr="00FF3491" w:rsidRDefault="001A62D7" w:rsidP="001D5990">
            <w:pPr>
              <w:spacing w:before="60" w:after="60"/>
              <w:jc w:val="center"/>
              <w:rPr>
                <w:rFonts w:eastAsia="Times New Roman"/>
                <w:noProof/>
                <w:sz w:val="22"/>
              </w:rPr>
            </w:pPr>
            <w:r w:rsidRPr="00FF3491">
              <w:rPr>
                <w:noProof/>
                <w:sz w:val="22"/>
              </w:rPr>
              <w:t>–</w:t>
            </w:r>
          </w:p>
        </w:tc>
        <w:tc>
          <w:tcPr>
            <w:tcW w:w="1548" w:type="dxa"/>
            <w:tcBorders>
              <w:bottom w:val="nil"/>
            </w:tcBorders>
            <w:shd w:val="clear" w:color="auto" w:fill="auto"/>
            <w:vAlign w:val="center"/>
          </w:tcPr>
          <w:p w:rsidR="001A62D7" w:rsidRPr="00FF3491" w:rsidRDefault="00BC23D3" w:rsidP="001D5990">
            <w:pPr>
              <w:spacing w:before="60" w:after="60"/>
              <w:jc w:val="center"/>
              <w:rPr>
                <w:rFonts w:eastAsia="Times New Roman"/>
                <w:noProof/>
                <w:sz w:val="22"/>
              </w:rPr>
            </w:pPr>
            <w:r w:rsidRPr="00FF3491">
              <w:rPr>
                <w:noProof/>
              </w:rPr>
              <w:t>2 585 000</w:t>
            </w:r>
          </w:p>
        </w:tc>
      </w:tr>
      <w:tr w:rsidR="001A62D7" w:rsidRPr="00FF3491" w:rsidTr="001D5990">
        <w:trPr>
          <w:trHeight w:val="397"/>
        </w:trPr>
        <w:tc>
          <w:tcPr>
            <w:tcW w:w="4644" w:type="dxa"/>
            <w:vMerge/>
            <w:shd w:val="clear" w:color="auto" w:fill="auto"/>
            <w:vAlign w:val="center"/>
          </w:tcPr>
          <w:p w:rsidR="001A62D7" w:rsidRPr="00FF3491" w:rsidRDefault="001A62D7" w:rsidP="001D5990">
            <w:pPr>
              <w:spacing w:before="60" w:after="60"/>
              <w:jc w:val="right"/>
              <w:rPr>
                <w:rFonts w:eastAsia="Times New Roman"/>
                <w:noProof/>
                <w:sz w:val="22"/>
              </w:rPr>
            </w:pPr>
          </w:p>
        </w:tc>
        <w:tc>
          <w:tcPr>
            <w:tcW w:w="3096" w:type="dxa"/>
            <w:gridSpan w:val="2"/>
            <w:vMerge/>
            <w:shd w:val="clear" w:color="auto" w:fill="D9D9D9"/>
            <w:vAlign w:val="center"/>
          </w:tcPr>
          <w:p w:rsidR="001A62D7" w:rsidRPr="00FF3491" w:rsidRDefault="001A62D7" w:rsidP="001D5990">
            <w:pPr>
              <w:spacing w:before="60" w:after="60"/>
              <w:jc w:val="center"/>
              <w:rPr>
                <w:rFonts w:eastAsia="Times New Roman"/>
                <w:noProof/>
                <w:sz w:val="22"/>
              </w:rPr>
            </w:pPr>
          </w:p>
        </w:tc>
        <w:tc>
          <w:tcPr>
            <w:tcW w:w="1548" w:type="dxa"/>
            <w:tcBorders>
              <w:top w:val="nil"/>
            </w:tcBorders>
            <w:shd w:val="clear" w:color="auto" w:fill="auto"/>
            <w:vAlign w:val="center"/>
          </w:tcPr>
          <w:p w:rsidR="001A62D7" w:rsidRPr="00FF3491" w:rsidRDefault="001A62D7" w:rsidP="001D5990">
            <w:pPr>
              <w:spacing w:before="60" w:after="60"/>
              <w:jc w:val="center"/>
              <w:rPr>
                <w:rFonts w:eastAsia="Times New Roman"/>
                <w:noProof/>
                <w:sz w:val="22"/>
              </w:rPr>
            </w:pPr>
            <w:r w:rsidRPr="00FF3491">
              <w:rPr>
                <w:noProof/>
                <w:sz w:val="22"/>
              </w:rPr>
              <w:t>(</w:t>
            </w:r>
            <w:r w:rsidRPr="00FF3491">
              <w:rPr>
                <w:noProof/>
              </w:rPr>
              <w:t>84,87 </w:t>
            </w:r>
            <w:r w:rsidRPr="00FF3491">
              <w:rPr>
                <w:noProof/>
                <w:sz w:val="22"/>
              </w:rPr>
              <w:t>%)</w:t>
            </w:r>
          </w:p>
        </w:tc>
      </w:tr>
      <w:tr w:rsidR="001A62D7" w:rsidRPr="00FF3491" w:rsidTr="001D5990">
        <w:tc>
          <w:tcPr>
            <w:tcW w:w="9288" w:type="dxa"/>
            <w:gridSpan w:val="4"/>
            <w:shd w:val="clear" w:color="auto" w:fill="auto"/>
            <w:vAlign w:val="center"/>
          </w:tcPr>
          <w:p w:rsidR="001A62D7" w:rsidRPr="00FF3491" w:rsidRDefault="001A62D7" w:rsidP="001D5990">
            <w:pPr>
              <w:spacing w:before="60" w:after="60"/>
              <w:jc w:val="left"/>
              <w:rPr>
                <w:noProof/>
                <w:sz w:val="22"/>
              </w:rPr>
            </w:pPr>
            <w:r w:rsidRPr="00FF3491">
              <w:rPr>
                <w:noProof/>
                <w:sz w:val="22"/>
              </w:rPr>
              <w:t>Alocații și stimulente [măsuri în temeiul articolului 7 alineatul (2)</w:t>
            </w:r>
            <w:r w:rsidRPr="00FF3491">
              <w:rPr>
                <w:noProof/>
              </w:rPr>
              <w:t xml:space="preserve"> al doilea paragraf</w:t>
            </w:r>
            <w:r w:rsidRPr="00FF3491">
              <w:rPr>
                <w:noProof/>
                <w:sz w:val="22"/>
              </w:rPr>
              <w:t xml:space="preserve"> litera (b) din Regulamentul (UE) 2021/691]</w:t>
            </w:r>
          </w:p>
        </w:tc>
      </w:tr>
      <w:tr w:rsidR="001A62D7" w:rsidRPr="00FF3491"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FF3491" w:rsidRDefault="00DD32A0" w:rsidP="001D5990">
            <w:pPr>
              <w:spacing w:before="60" w:after="60"/>
              <w:jc w:val="left"/>
              <w:rPr>
                <w:noProof/>
              </w:rPr>
            </w:pPr>
            <w:r w:rsidRPr="00FF3491">
              <w:rPr>
                <w:noProof/>
              </w:rPr>
              <w:t>Sprijin și stimulente financiare</w:t>
            </w:r>
            <w:r w:rsidRPr="00FF3491">
              <w:rPr>
                <w:noProof/>
              </w:rPr>
              <w:br/>
              <w:t>(</w:t>
            </w:r>
            <w:r w:rsidRPr="00FF3491">
              <w:rPr>
                <w:i/>
                <w:noProof/>
              </w:rPr>
              <w:t>becas de participación activa y de desplazamiento, incentivo para la inserción laboral por cuenta propia y ajena, incentivo para el fomento del autoempleo, e incentivo para la conciliación)</w:t>
            </w:r>
            <w:r w:rsidRPr="00FF3491">
              <w:rPr>
                <w:noProof/>
              </w:rPr>
              <w:t xml:space="preserve"> </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FF3491" w:rsidRDefault="00BC23D3" w:rsidP="001D5990">
            <w:pPr>
              <w:spacing w:before="60" w:after="60"/>
              <w:jc w:val="center"/>
              <w:rPr>
                <w:noProof/>
              </w:rPr>
            </w:pPr>
            <w:r w:rsidRPr="00FF3491">
              <w:rPr>
                <w:noProof/>
              </w:rPr>
              <w:t>400</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FF3491" w:rsidRDefault="00BC23D3" w:rsidP="001D5990">
            <w:pPr>
              <w:spacing w:before="60" w:after="60"/>
              <w:jc w:val="center"/>
              <w:rPr>
                <w:noProof/>
              </w:rPr>
            </w:pPr>
            <w:r w:rsidRPr="00FF3491">
              <w:rPr>
                <w:noProof/>
              </w:rPr>
              <w:t>1 152</w:t>
            </w:r>
          </w:p>
        </w:tc>
        <w:tc>
          <w:tcPr>
            <w:tcW w:w="1548" w:type="dxa"/>
            <w:tcBorders>
              <w:top w:val="single" w:sz="4" w:space="0" w:color="auto"/>
              <w:left w:val="single" w:sz="4" w:space="0" w:color="auto"/>
              <w:bottom w:val="single" w:sz="4" w:space="0" w:color="auto"/>
              <w:right w:val="nil"/>
            </w:tcBorders>
            <w:vAlign w:val="center"/>
            <w:hideMark/>
          </w:tcPr>
          <w:p w:rsidR="001A62D7" w:rsidRPr="00FF3491" w:rsidRDefault="00BC23D3" w:rsidP="001D5990">
            <w:pPr>
              <w:spacing w:before="60" w:after="60"/>
              <w:jc w:val="center"/>
              <w:rPr>
                <w:noProof/>
              </w:rPr>
            </w:pPr>
            <w:r w:rsidRPr="00FF3491">
              <w:rPr>
                <w:noProof/>
              </w:rPr>
              <w:t>461 000</w:t>
            </w:r>
          </w:p>
        </w:tc>
      </w:tr>
      <w:tr w:rsidR="001A62D7" w:rsidRPr="00FF3491" w:rsidTr="001D5990">
        <w:trPr>
          <w:trHeight w:val="203"/>
        </w:trPr>
        <w:tc>
          <w:tcPr>
            <w:tcW w:w="4644" w:type="dxa"/>
            <w:vMerge w:val="restart"/>
            <w:shd w:val="clear" w:color="auto" w:fill="auto"/>
            <w:vAlign w:val="center"/>
          </w:tcPr>
          <w:p w:rsidR="001A62D7" w:rsidRPr="00FF3491" w:rsidRDefault="001A62D7" w:rsidP="001D5990">
            <w:pPr>
              <w:spacing w:before="60" w:after="60"/>
              <w:jc w:val="right"/>
              <w:rPr>
                <w:rFonts w:eastAsia="Times New Roman"/>
                <w:noProof/>
                <w:sz w:val="22"/>
              </w:rPr>
            </w:pPr>
            <w:r w:rsidRPr="00FF3491">
              <w:rPr>
                <w:noProof/>
                <w:sz w:val="22"/>
              </w:rPr>
              <w:t>Subtotal (b):</w:t>
            </w:r>
          </w:p>
          <w:p w:rsidR="001A62D7" w:rsidRPr="00FF3491" w:rsidRDefault="001A62D7" w:rsidP="001D5990">
            <w:pPr>
              <w:spacing w:before="60" w:after="60"/>
              <w:jc w:val="right"/>
              <w:rPr>
                <w:rFonts w:eastAsia="Times New Roman"/>
                <w:noProof/>
                <w:sz w:val="22"/>
              </w:rPr>
            </w:pPr>
            <w:r w:rsidRPr="00FF3491">
              <w:rPr>
                <w:noProof/>
                <w:sz w:val="22"/>
              </w:rPr>
              <w:lastRenderedPageBreak/>
              <w:t>Procentaj din pachetul de servicii personalizate</w:t>
            </w:r>
          </w:p>
        </w:tc>
        <w:tc>
          <w:tcPr>
            <w:tcW w:w="3096" w:type="dxa"/>
            <w:gridSpan w:val="2"/>
            <w:vMerge w:val="restart"/>
            <w:shd w:val="clear" w:color="auto" w:fill="D9D9D9"/>
            <w:vAlign w:val="center"/>
          </w:tcPr>
          <w:p w:rsidR="001A62D7" w:rsidRPr="00FF3491" w:rsidRDefault="001A62D7" w:rsidP="001D5990">
            <w:pPr>
              <w:spacing w:before="60" w:after="60"/>
              <w:jc w:val="center"/>
              <w:rPr>
                <w:rFonts w:eastAsia="Times New Roman"/>
                <w:noProof/>
                <w:sz w:val="22"/>
              </w:rPr>
            </w:pPr>
            <w:r w:rsidRPr="00FF3491">
              <w:rPr>
                <w:noProof/>
                <w:sz w:val="22"/>
              </w:rPr>
              <w:lastRenderedPageBreak/>
              <w:t>–</w:t>
            </w:r>
          </w:p>
        </w:tc>
        <w:tc>
          <w:tcPr>
            <w:tcW w:w="1548" w:type="dxa"/>
            <w:tcBorders>
              <w:bottom w:val="nil"/>
            </w:tcBorders>
            <w:shd w:val="clear" w:color="auto" w:fill="auto"/>
            <w:vAlign w:val="center"/>
          </w:tcPr>
          <w:p w:rsidR="001A62D7" w:rsidRPr="00FF3491" w:rsidRDefault="00BC23D3" w:rsidP="001D5990">
            <w:pPr>
              <w:spacing w:before="60" w:after="60"/>
              <w:jc w:val="center"/>
              <w:rPr>
                <w:rFonts w:eastAsia="Times New Roman"/>
                <w:noProof/>
                <w:sz w:val="22"/>
              </w:rPr>
            </w:pPr>
            <w:r w:rsidRPr="00FF3491">
              <w:rPr>
                <w:noProof/>
              </w:rPr>
              <w:t>461 000</w:t>
            </w:r>
          </w:p>
        </w:tc>
      </w:tr>
      <w:tr w:rsidR="001A62D7" w:rsidRPr="00FF3491" w:rsidTr="001D5990">
        <w:trPr>
          <w:trHeight w:val="202"/>
        </w:trPr>
        <w:tc>
          <w:tcPr>
            <w:tcW w:w="4644" w:type="dxa"/>
            <w:vMerge/>
            <w:shd w:val="clear" w:color="auto" w:fill="auto"/>
            <w:vAlign w:val="center"/>
          </w:tcPr>
          <w:p w:rsidR="001A62D7" w:rsidRPr="00FF3491" w:rsidRDefault="001A62D7" w:rsidP="001D5990">
            <w:pPr>
              <w:spacing w:before="60" w:after="60"/>
              <w:jc w:val="right"/>
              <w:rPr>
                <w:rFonts w:eastAsia="Times New Roman"/>
                <w:noProof/>
                <w:sz w:val="22"/>
              </w:rPr>
            </w:pPr>
          </w:p>
        </w:tc>
        <w:tc>
          <w:tcPr>
            <w:tcW w:w="3096" w:type="dxa"/>
            <w:gridSpan w:val="2"/>
            <w:vMerge/>
            <w:shd w:val="clear" w:color="auto" w:fill="D9D9D9"/>
            <w:vAlign w:val="center"/>
          </w:tcPr>
          <w:p w:rsidR="001A62D7" w:rsidRPr="00FF3491" w:rsidRDefault="001A62D7" w:rsidP="001D5990">
            <w:pPr>
              <w:spacing w:before="60" w:after="60"/>
              <w:jc w:val="center"/>
              <w:rPr>
                <w:rFonts w:eastAsia="Times New Roman"/>
                <w:noProof/>
                <w:sz w:val="22"/>
              </w:rPr>
            </w:pPr>
          </w:p>
        </w:tc>
        <w:tc>
          <w:tcPr>
            <w:tcW w:w="1548" w:type="dxa"/>
            <w:tcBorders>
              <w:top w:val="nil"/>
            </w:tcBorders>
            <w:shd w:val="clear" w:color="auto" w:fill="auto"/>
            <w:vAlign w:val="center"/>
          </w:tcPr>
          <w:p w:rsidR="001A62D7" w:rsidRPr="00FF3491" w:rsidRDefault="001A62D7" w:rsidP="001D5990">
            <w:pPr>
              <w:spacing w:before="60" w:after="60"/>
              <w:jc w:val="center"/>
              <w:rPr>
                <w:rFonts w:eastAsia="Times New Roman"/>
                <w:noProof/>
                <w:sz w:val="22"/>
              </w:rPr>
            </w:pPr>
            <w:r w:rsidRPr="00FF3491">
              <w:rPr>
                <w:noProof/>
                <w:sz w:val="22"/>
              </w:rPr>
              <w:t>(</w:t>
            </w:r>
            <w:r w:rsidRPr="00FF3491">
              <w:rPr>
                <w:noProof/>
              </w:rPr>
              <w:t>15,13 </w:t>
            </w:r>
            <w:r w:rsidRPr="00FF3491">
              <w:rPr>
                <w:noProof/>
                <w:sz w:val="22"/>
              </w:rPr>
              <w:t>%)</w:t>
            </w:r>
          </w:p>
        </w:tc>
      </w:tr>
      <w:tr w:rsidR="001A62D7" w:rsidRPr="00FF3491" w:rsidTr="001D5990">
        <w:tc>
          <w:tcPr>
            <w:tcW w:w="9288" w:type="dxa"/>
            <w:gridSpan w:val="4"/>
            <w:shd w:val="clear" w:color="auto" w:fill="auto"/>
            <w:vAlign w:val="center"/>
          </w:tcPr>
          <w:p w:rsidR="001A62D7" w:rsidRPr="00FF3491" w:rsidRDefault="001A62D7" w:rsidP="001D5990">
            <w:pPr>
              <w:spacing w:before="60" w:after="60"/>
              <w:jc w:val="left"/>
              <w:rPr>
                <w:rFonts w:eastAsia="Times New Roman"/>
                <w:noProof/>
                <w:sz w:val="22"/>
              </w:rPr>
            </w:pPr>
            <w:r w:rsidRPr="00FF3491">
              <w:rPr>
                <w:noProof/>
                <w:sz w:val="22"/>
              </w:rPr>
              <w:t>Activități în temeiul articolului 7 alineatul (5) din Regulamentul (UE) 2021/691</w:t>
            </w:r>
          </w:p>
        </w:tc>
      </w:tr>
      <w:tr w:rsidR="001A62D7" w:rsidRPr="00FF3491" w:rsidTr="001D5990">
        <w:tc>
          <w:tcPr>
            <w:tcW w:w="4644" w:type="dxa"/>
            <w:shd w:val="clear" w:color="auto" w:fill="auto"/>
          </w:tcPr>
          <w:p w:rsidR="001A62D7" w:rsidRPr="00FF3491" w:rsidRDefault="001A62D7" w:rsidP="001D5990">
            <w:pPr>
              <w:spacing w:before="60" w:after="60"/>
              <w:ind w:left="284"/>
              <w:jc w:val="left"/>
              <w:rPr>
                <w:rFonts w:eastAsia="Times New Roman"/>
                <w:noProof/>
                <w:sz w:val="22"/>
              </w:rPr>
            </w:pPr>
            <w:r w:rsidRPr="00FF3491">
              <w:rPr>
                <w:noProof/>
                <w:sz w:val="22"/>
              </w:rPr>
              <w:t>1. Activități de pregătire</w:t>
            </w:r>
          </w:p>
        </w:tc>
        <w:tc>
          <w:tcPr>
            <w:tcW w:w="3096" w:type="dxa"/>
            <w:gridSpan w:val="2"/>
            <w:shd w:val="clear" w:color="auto" w:fill="D9D9D9"/>
            <w:vAlign w:val="center"/>
          </w:tcPr>
          <w:p w:rsidR="001A62D7" w:rsidRPr="00FF3491" w:rsidRDefault="001A62D7" w:rsidP="001D5990">
            <w:pPr>
              <w:spacing w:before="60" w:after="60"/>
              <w:jc w:val="center"/>
              <w:rPr>
                <w:rFonts w:eastAsia="Times New Roman"/>
                <w:noProof/>
                <w:sz w:val="22"/>
              </w:rPr>
            </w:pPr>
            <w:r w:rsidRPr="00FF3491">
              <w:rPr>
                <w:noProof/>
                <w:sz w:val="22"/>
              </w:rPr>
              <w:t>–</w:t>
            </w:r>
          </w:p>
        </w:tc>
        <w:tc>
          <w:tcPr>
            <w:tcW w:w="1548" w:type="dxa"/>
            <w:shd w:val="clear" w:color="auto" w:fill="auto"/>
          </w:tcPr>
          <w:p w:rsidR="001A62D7" w:rsidRPr="00FF3491" w:rsidRDefault="0042221A" w:rsidP="001D5990">
            <w:pPr>
              <w:spacing w:before="60" w:after="60"/>
              <w:jc w:val="center"/>
              <w:rPr>
                <w:rFonts w:eastAsia="Times New Roman"/>
                <w:noProof/>
                <w:sz w:val="22"/>
              </w:rPr>
            </w:pPr>
            <w:r w:rsidRPr="00FF3491">
              <w:rPr>
                <w:noProof/>
              </w:rPr>
              <w:t>0</w:t>
            </w:r>
            <w:r w:rsidRPr="00FF3491">
              <w:rPr>
                <w:rStyle w:val="FootnoteReference"/>
                <w:noProof/>
              </w:rPr>
              <w:footnoteReference w:id="40"/>
            </w:r>
          </w:p>
        </w:tc>
      </w:tr>
      <w:tr w:rsidR="001A62D7" w:rsidRPr="00FF3491" w:rsidTr="001D5990">
        <w:tc>
          <w:tcPr>
            <w:tcW w:w="4644" w:type="dxa"/>
            <w:shd w:val="clear" w:color="auto" w:fill="auto"/>
          </w:tcPr>
          <w:p w:rsidR="001A62D7" w:rsidRPr="00FF3491" w:rsidRDefault="001A62D7" w:rsidP="001D5990">
            <w:pPr>
              <w:spacing w:before="60" w:after="60"/>
              <w:ind w:left="284"/>
              <w:jc w:val="left"/>
              <w:rPr>
                <w:rFonts w:eastAsia="Times New Roman"/>
                <w:noProof/>
                <w:sz w:val="22"/>
              </w:rPr>
            </w:pPr>
            <w:r w:rsidRPr="00FF3491">
              <w:rPr>
                <w:noProof/>
                <w:sz w:val="22"/>
              </w:rPr>
              <w:t>2. Gestionare</w:t>
            </w:r>
          </w:p>
        </w:tc>
        <w:tc>
          <w:tcPr>
            <w:tcW w:w="3096" w:type="dxa"/>
            <w:gridSpan w:val="2"/>
            <w:shd w:val="clear" w:color="auto" w:fill="D9D9D9"/>
            <w:vAlign w:val="center"/>
          </w:tcPr>
          <w:p w:rsidR="001A62D7" w:rsidRPr="00FF3491" w:rsidRDefault="001A62D7" w:rsidP="001D5990">
            <w:pPr>
              <w:spacing w:before="60" w:after="60"/>
              <w:jc w:val="center"/>
              <w:rPr>
                <w:rFonts w:eastAsia="Times New Roman"/>
                <w:noProof/>
                <w:sz w:val="22"/>
              </w:rPr>
            </w:pPr>
            <w:r w:rsidRPr="00FF3491">
              <w:rPr>
                <w:noProof/>
                <w:sz w:val="22"/>
              </w:rPr>
              <w:t>–</w:t>
            </w:r>
          </w:p>
        </w:tc>
        <w:tc>
          <w:tcPr>
            <w:tcW w:w="1548" w:type="dxa"/>
            <w:shd w:val="clear" w:color="auto" w:fill="auto"/>
          </w:tcPr>
          <w:p w:rsidR="001A62D7" w:rsidRPr="00FF3491" w:rsidRDefault="0042221A" w:rsidP="001D5990">
            <w:pPr>
              <w:spacing w:before="60" w:after="60"/>
              <w:jc w:val="center"/>
              <w:rPr>
                <w:rFonts w:eastAsia="Times New Roman"/>
                <w:noProof/>
                <w:sz w:val="22"/>
              </w:rPr>
            </w:pPr>
            <w:r w:rsidRPr="00FF3491">
              <w:rPr>
                <w:noProof/>
              </w:rPr>
              <w:t>130 000</w:t>
            </w:r>
          </w:p>
        </w:tc>
      </w:tr>
      <w:tr w:rsidR="001A62D7" w:rsidRPr="00FF3491" w:rsidTr="001D5990">
        <w:tc>
          <w:tcPr>
            <w:tcW w:w="4644" w:type="dxa"/>
            <w:shd w:val="clear" w:color="auto" w:fill="auto"/>
          </w:tcPr>
          <w:p w:rsidR="001A62D7" w:rsidRPr="00FF3491" w:rsidRDefault="001A62D7" w:rsidP="001D5990">
            <w:pPr>
              <w:spacing w:before="60" w:after="60"/>
              <w:ind w:left="284"/>
              <w:jc w:val="left"/>
              <w:rPr>
                <w:rFonts w:eastAsia="Times New Roman"/>
                <w:noProof/>
                <w:sz w:val="22"/>
              </w:rPr>
            </w:pPr>
            <w:r w:rsidRPr="00FF3491">
              <w:rPr>
                <w:noProof/>
                <w:sz w:val="22"/>
              </w:rPr>
              <w:t>3. Informare și publicitate</w:t>
            </w:r>
          </w:p>
        </w:tc>
        <w:tc>
          <w:tcPr>
            <w:tcW w:w="3096" w:type="dxa"/>
            <w:gridSpan w:val="2"/>
            <w:shd w:val="clear" w:color="auto" w:fill="D9D9D9"/>
            <w:vAlign w:val="center"/>
          </w:tcPr>
          <w:p w:rsidR="001A62D7" w:rsidRPr="00FF3491" w:rsidRDefault="001A62D7" w:rsidP="001D5990">
            <w:pPr>
              <w:spacing w:before="60" w:after="60"/>
              <w:jc w:val="center"/>
              <w:rPr>
                <w:rFonts w:eastAsia="Times New Roman"/>
                <w:noProof/>
                <w:sz w:val="22"/>
              </w:rPr>
            </w:pPr>
            <w:r w:rsidRPr="00FF3491">
              <w:rPr>
                <w:noProof/>
                <w:sz w:val="22"/>
              </w:rPr>
              <w:t>–</w:t>
            </w:r>
          </w:p>
        </w:tc>
        <w:tc>
          <w:tcPr>
            <w:tcW w:w="1548" w:type="dxa"/>
            <w:shd w:val="clear" w:color="auto" w:fill="auto"/>
          </w:tcPr>
          <w:p w:rsidR="001A62D7" w:rsidRPr="00FF3491" w:rsidRDefault="0042221A" w:rsidP="001D5990">
            <w:pPr>
              <w:spacing w:before="60" w:after="60"/>
              <w:jc w:val="center"/>
              <w:rPr>
                <w:rFonts w:eastAsia="Times New Roman"/>
                <w:noProof/>
                <w:sz w:val="22"/>
              </w:rPr>
            </w:pPr>
            <w:r w:rsidRPr="00FF3491">
              <w:rPr>
                <w:noProof/>
              </w:rPr>
              <w:t>30 000</w:t>
            </w:r>
          </w:p>
        </w:tc>
      </w:tr>
      <w:tr w:rsidR="001A62D7" w:rsidRPr="00FF3491" w:rsidTr="001D5990">
        <w:tc>
          <w:tcPr>
            <w:tcW w:w="4644" w:type="dxa"/>
            <w:shd w:val="clear" w:color="auto" w:fill="auto"/>
          </w:tcPr>
          <w:p w:rsidR="001A62D7" w:rsidRPr="00FF3491" w:rsidRDefault="001A62D7" w:rsidP="001D5990">
            <w:pPr>
              <w:spacing w:before="60" w:after="60"/>
              <w:ind w:left="284"/>
              <w:jc w:val="left"/>
              <w:rPr>
                <w:rFonts w:eastAsia="Times New Roman"/>
                <w:noProof/>
                <w:sz w:val="22"/>
              </w:rPr>
            </w:pPr>
            <w:r w:rsidRPr="00FF3491">
              <w:rPr>
                <w:noProof/>
                <w:sz w:val="22"/>
              </w:rPr>
              <w:t>4. Control și raportare</w:t>
            </w:r>
          </w:p>
        </w:tc>
        <w:tc>
          <w:tcPr>
            <w:tcW w:w="3096" w:type="dxa"/>
            <w:gridSpan w:val="2"/>
            <w:shd w:val="clear" w:color="auto" w:fill="D9D9D9"/>
            <w:vAlign w:val="center"/>
          </w:tcPr>
          <w:p w:rsidR="001A62D7" w:rsidRPr="00FF3491" w:rsidRDefault="001A62D7" w:rsidP="001D5990">
            <w:pPr>
              <w:spacing w:before="60" w:after="60"/>
              <w:jc w:val="center"/>
              <w:rPr>
                <w:rFonts w:eastAsia="Times New Roman"/>
                <w:noProof/>
                <w:sz w:val="22"/>
              </w:rPr>
            </w:pPr>
            <w:r w:rsidRPr="00FF3491">
              <w:rPr>
                <w:noProof/>
                <w:sz w:val="22"/>
              </w:rPr>
              <w:t>–</w:t>
            </w:r>
          </w:p>
        </w:tc>
        <w:tc>
          <w:tcPr>
            <w:tcW w:w="1548" w:type="dxa"/>
            <w:tcBorders>
              <w:bottom w:val="single" w:sz="4" w:space="0" w:color="auto"/>
            </w:tcBorders>
            <w:shd w:val="clear" w:color="auto" w:fill="auto"/>
          </w:tcPr>
          <w:p w:rsidR="001A62D7" w:rsidRPr="00FF3491" w:rsidRDefault="0042221A" w:rsidP="001D5990">
            <w:pPr>
              <w:spacing w:before="60" w:after="60"/>
              <w:jc w:val="center"/>
              <w:rPr>
                <w:rFonts w:eastAsia="Times New Roman"/>
                <w:noProof/>
                <w:sz w:val="22"/>
              </w:rPr>
            </w:pPr>
            <w:r w:rsidRPr="00FF3491">
              <w:rPr>
                <w:noProof/>
              </w:rPr>
              <w:t>0</w:t>
            </w:r>
            <w:r w:rsidRPr="00FF3491">
              <w:rPr>
                <w:rStyle w:val="FootnoteReference"/>
                <w:noProof/>
              </w:rPr>
              <w:footnoteReference w:id="41"/>
            </w:r>
          </w:p>
        </w:tc>
      </w:tr>
      <w:tr w:rsidR="001A62D7" w:rsidRPr="00FF3491" w:rsidTr="001D5990">
        <w:trPr>
          <w:trHeight w:val="203"/>
        </w:trPr>
        <w:tc>
          <w:tcPr>
            <w:tcW w:w="4644" w:type="dxa"/>
            <w:vMerge w:val="restart"/>
            <w:shd w:val="clear" w:color="auto" w:fill="auto"/>
            <w:vAlign w:val="center"/>
          </w:tcPr>
          <w:p w:rsidR="001A62D7" w:rsidRPr="00FF3491" w:rsidRDefault="001A62D7" w:rsidP="001D5990">
            <w:pPr>
              <w:spacing w:before="60" w:after="60"/>
              <w:jc w:val="right"/>
              <w:rPr>
                <w:rFonts w:eastAsia="Times New Roman"/>
                <w:noProof/>
                <w:sz w:val="22"/>
              </w:rPr>
            </w:pPr>
            <w:r w:rsidRPr="00FF3491">
              <w:rPr>
                <w:noProof/>
                <w:sz w:val="22"/>
              </w:rPr>
              <w:t>Subtotal (c):</w:t>
            </w:r>
          </w:p>
          <w:p w:rsidR="001A62D7" w:rsidRPr="00FF3491" w:rsidRDefault="001A62D7" w:rsidP="001D5990">
            <w:pPr>
              <w:spacing w:before="60" w:after="60"/>
              <w:jc w:val="right"/>
              <w:rPr>
                <w:rFonts w:eastAsia="Times New Roman"/>
                <w:noProof/>
                <w:sz w:val="22"/>
              </w:rPr>
            </w:pPr>
            <w:r w:rsidRPr="00FF3491">
              <w:rPr>
                <w:noProof/>
                <w:sz w:val="22"/>
              </w:rPr>
              <w:t>Procentaj din costurile totale:</w:t>
            </w:r>
          </w:p>
        </w:tc>
        <w:tc>
          <w:tcPr>
            <w:tcW w:w="3096" w:type="dxa"/>
            <w:gridSpan w:val="2"/>
            <w:vMerge w:val="restart"/>
            <w:shd w:val="clear" w:color="auto" w:fill="D9D9D9"/>
            <w:vAlign w:val="center"/>
          </w:tcPr>
          <w:p w:rsidR="001A62D7" w:rsidRPr="00FF3491" w:rsidRDefault="001A62D7" w:rsidP="001D5990">
            <w:pPr>
              <w:spacing w:before="0" w:after="0"/>
              <w:jc w:val="center"/>
              <w:rPr>
                <w:rFonts w:eastAsia="Times New Roman"/>
                <w:noProof/>
                <w:sz w:val="22"/>
              </w:rPr>
            </w:pPr>
            <w:r w:rsidRPr="00FF3491">
              <w:rPr>
                <w:noProof/>
                <w:sz w:val="22"/>
              </w:rPr>
              <w:t>–</w:t>
            </w:r>
          </w:p>
        </w:tc>
        <w:tc>
          <w:tcPr>
            <w:tcW w:w="1548" w:type="dxa"/>
            <w:tcBorders>
              <w:bottom w:val="nil"/>
            </w:tcBorders>
            <w:shd w:val="clear" w:color="auto" w:fill="auto"/>
            <w:vAlign w:val="center"/>
          </w:tcPr>
          <w:p w:rsidR="001A62D7" w:rsidRPr="00FF3491" w:rsidRDefault="00044450" w:rsidP="001D5990">
            <w:pPr>
              <w:spacing w:before="60" w:after="60"/>
              <w:jc w:val="center"/>
              <w:rPr>
                <w:rFonts w:eastAsia="Times New Roman"/>
                <w:noProof/>
                <w:sz w:val="22"/>
              </w:rPr>
            </w:pPr>
            <w:r w:rsidRPr="00FF3491">
              <w:rPr>
                <w:noProof/>
              </w:rPr>
              <w:t>160 000</w:t>
            </w:r>
          </w:p>
        </w:tc>
      </w:tr>
      <w:tr w:rsidR="001A62D7" w:rsidRPr="00FF3491" w:rsidTr="001D5990">
        <w:trPr>
          <w:trHeight w:val="202"/>
        </w:trPr>
        <w:tc>
          <w:tcPr>
            <w:tcW w:w="4644" w:type="dxa"/>
            <w:vMerge/>
            <w:shd w:val="clear" w:color="auto" w:fill="auto"/>
          </w:tcPr>
          <w:p w:rsidR="001A62D7" w:rsidRPr="00FF3491" w:rsidRDefault="001A62D7" w:rsidP="001D5990">
            <w:pPr>
              <w:spacing w:before="0" w:after="0"/>
              <w:jc w:val="right"/>
              <w:rPr>
                <w:rFonts w:eastAsia="Times New Roman"/>
                <w:noProof/>
                <w:sz w:val="22"/>
              </w:rPr>
            </w:pPr>
          </w:p>
        </w:tc>
        <w:tc>
          <w:tcPr>
            <w:tcW w:w="3096" w:type="dxa"/>
            <w:gridSpan w:val="2"/>
            <w:vMerge/>
            <w:shd w:val="clear" w:color="auto" w:fill="D9D9D9"/>
            <w:vAlign w:val="center"/>
          </w:tcPr>
          <w:p w:rsidR="001A62D7" w:rsidRPr="00FF3491" w:rsidRDefault="001A62D7" w:rsidP="001D5990">
            <w:pPr>
              <w:spacing w:before="0" w:after="0"/>
              <w:jc w:val="center"/>
              <w:rPr>
                <w:rFonts w:eastAsia="Times New Roman"/>
                <w:noProof/>
                <w:sz w:val="22"/>
              </w:rPr>
            </w:pPr>
          </w:p>
        </w:tc>
        <w:tc>
          <w:tcPr>
            <w:tcW w:w="1548" w:type="dxa"/>
            <w:tcBorders>
              <w:top w:val="nil"/>
            </w:tcBorders>
            <w:shd w:val="clear" w:color="auto" w:fill="auto"/>
            <w:vAlign w:val="center"/>
          </w:tcPr>
          <w:p w:rsidR="001A62D7" w:rsidRPr="00FF3491" w:rsidRDefault="001A62D7" w:rsidP="001D5990">
            <w:pPr>
              <w:spacing w:before="60" w:after="60"/>
              <w:jc w:val="center"/>
              <w:rPr>
                <w:rFonts w:eastAsia="Times New Roman"/>
                <w:noProof/>
                <w:sz w:val="22"/>
              </w:rPr>
            </w:pPr>
            <w:r w:rsidRPr="00FF3491">
              <w:rPr>
                <w:noProof/>
                <w:sz w:val="22"/>
              </w:rPr>
              <w:t>(</w:t>
            </w:r>
            <w:r w:rsidRPr="00FF3491">
              <w:rPr>
                <w:noProof/>
              </w:rPr>
              <w:t>4,99 </w:t>
            </w:r>
            <w:r w:rsidRPr="00FF3491">
              <w:rPr>
                <w:noProof/>
                <w:sz w:val="22"/>
              </w:rPr>
              <w:t>%)</w:t>
            </w:r>
          </w:p>
        </w:tc>
      </w:tr>
      <w:tr w:rsidR="001A62D7" w:rsidRPr="00FF3491" w:rsidTr="001D5990">
        <w:tc>
          <w:tcPr>
            <w:tcW w:w="4644" w:type="dxa"/>
            <w:shd w:val="clear" w:color="auto" w:fill="auto"/>
          </w:tcPr>
          <w:p w:rsidR="001A62D7" w:rsidRPr="00FF3491" w:rsidRDefault="001A62D7" w:rsidP="001D5990">
            <w:pPr>
              <w:spacing w:before="60" w:after="60"/>
              <w:jc w:val="left"/>
              <w:rPr>
                <w:rFonts w:eastAsia="Times New Roman"/>
                <w:noProof/>
                <w:sz w:val="22"/>
              </w:rPr>
            </w:pPr>
            <w:r w:rsidRPr="00FF3491">
              <w:rPr>
                <w:noProof/>
                <w:sz w:val="22"/>
              </w:rPr>
              <w:t>Costuri totale (a + b + c):</w:t>
            </w:r>
          </w:p>
        </w:tc>
        <w:tc>
          <w:tcPr>
            <w:tcW w:w="3096" w:type="dxa"/>
            <w:gridSpan w:val="2"/>
            <w:shd w:val="clear" w:color="auto" w:fill="D9D9D9"/>
            <w:vAlign w:val="center"/>
          </w:tcPr>
          <w:p w:rsidR="001A62D7" w:rsidRPr="00FF3491" w:rsidRDefault="001A62D7" w:rsidP="001D5990">
            <w:pPr>
              <w:spacing w:before="60" w:after="60"/>
              <w:jc w:val="center"/>
              <w:rPr>
                <w:rFonts w:eastAsia="Times New Roman"/>
                <w:noProof/>
                <w:sz w:val="22"/>
              </w:rPr>
            </w:pPr>
            <w:r w:rsidRPr="00FF3491">
              <w:rPr>
                <w:noProof/>
                <w:sz w:val="22"/>
              </w:rPr>
              <w:t>–</w:t>
            </w:r>
          </w:p>
        </w:tc>
        <w:tc>
          <w:tcPr>
            <w:tcW w:w="1548" w:type="dxa"/>
            <w:shd w:val="clear" w:color="auto" w:fill="auto"/>
          </w:tcPr>
          <w:p w:rsidR="001A62D7" w:rsidRPr="00FF3491" w:rsidRDefault="00044450" w:rsidP="001D5990">
            <w:pPr>
              <w:spacing w:before="60" w:after="60"/>
              <w:jc w:val="center"/>
              <w:rPr>
                <w:noProof/>
                <w:sz w:val="22"/>
              </w:rPr>
            </w:pPr>
            <w:r w:rsidRPr="00FF3491">
              <w:rPr>
                <w:noProof/>
              </w:rPr>
              <w:t>3 206 000</w:t>
            </w:r>
          </w:p>
        </w:tc>
      </w:tr>
      <w:tr w:rsidR="001A62D7" w:rsidRPr="00FF3491" w:rsidTr="001D5990">
        <w:tc>
          <w:tcPr>
            <w:tcW w:w="4644" w:type="dxa"/>
            <w:shd w:val="clear" w:color="auto" w:fill="auto"/>
          </w:tcPr>
          <w:p w:rsidR="001A62D7" w:rsidRPr="00FF3491" w:rsidRDefault="001A62D7" w:rsidP="001D5990">
            <w:pPr>
              <w:spacing w:before="60" w:after="60"/>
              <w:jc w:val="left"/>
              <w:rPr>
                <w:rFonts w:eastAsia="Times New Roman"/>
                <w:noProof/>
                <w:sz w:val="22"/>
              </w:rPr>
            </w:pPr>
            <w:r w:rsidRPr="00FF3491">
              <w:rPr>
                <w:noProof/>
                <w:sz w:val="22"/>
              </w:rPr>
              <w:t>Contribuția din partea FEG (</w:t>
            </w:r>
            <w:r w:rsidRPr="00FF3491">
              <w:rPr>
                <w:noProof/>
              </w:rPr>
              <w:t>85</w:t>
            </w:r>
            <w:r w:rsidRPr="00FF3491">
              <w:rPr>
                <w:noProof/>
                <w:sz w:val="22"/>
              </w:rPr>
              <w:t> % din costurile totale)</w:t>
            </w:r>
          </w:p>
        </w:tc>
        <w:tc>
          <w:tcPr>
            <w:tcW w:w="3096" w:type="dxa"/>
            <w:gridSpan w:val="2"/>
            <w:shd w:val="clear" w:color="auto" w:fill="D9D9D9"/>
            <w:vAlign w:val="center"/>
          </w:tcPr>
          <w:p w:rsidR="001A62D7" w:rsidRPr="00FF3491" w:rsidRDefault="001A62D7" w:rsidP="001D5990">
            <w:pPr>
              <w:spacing w:before="60" w:after="60"/>
              <w:jc w:val="center"/>
              <w:rPr>
                <w:rFonts w:eastAsia="Times New Roman"/>
                <w:noProof/>
                <w:sz w:val="22"/>
              </w:rPr>
            </w:pPr>
            <w:r w:rsidRPr="00FF3491">
              <w:rPr>
                <w:noProof/>
                <w:sz w:val="22"/>
              </w:rPr>
              <w:t>–</w:t>
            </w:r>
          </w:p>
        </w:tc>
        <w:tc>
          <w:tcPr>
            <w:tcW w:w="1548" w:type="dxa"/>
            <w:shd w:val="clear" w:color="auto" w:fill="auto"/>
          </w:tcPr>
          <w:p w:rsidR="001A62D7" w:rsidRPr="00FF3491" w:rsidRDefault="00044450" w:rsidP="001D5990">
            <w:pPr>
              <w:spacing w:before="60" w:after="60"/>
              <w:jc w:val="center"/>
              <w:rPr>
                <w:rFonts w:eastAsia="Times New Roman"/>
                <w:noProof/>
                <w:sz w:val="22"/>
              </w:rPr>
            </w:pPr>
            <w:r w:rsidRPr="00FF3491">
              <w:rPr>
                <w:noProof/>
              </w:rPr>
              <w:t>2 725 100</w:t>
            </w:r>
          </w:p>
        </w:tc>
      </w:tr>
    </w:tbl>
    <w:p w:rsidR="001A62D7" w:rsidRPr="00FF3491" w:rsidRDefault="001A62D7" w:rsidP="00AE7D04">
      <w:pPr>
        <w:pStyle w:val="ManualNumPar1"/>
        <w:rPr>
          <w:noProof/>
        </w:rPr>
      </w:pPr>
      <w:r>
        <w:rPr>
          <w:noProof/>
        </w:rPr>
        <w:t>33.</w:t>
      </w:r>
      <w:r>
        <w:rPr>
          <w:noProof/>
        </w:rPr>
        <w:tab/>
      </w:r>
      <w:r w:rsidRPr="00FF3491">
        <w:rPr>
          <w:noProof/>
        </w:rPr>
        <w:t>Costurile măsurilor identificate în tabelul de mai sus ca măsuri adoptate în temeiul articolului 7 alineatul (2) al doilea paragraf litera (b) din Regulamentul (UE) 2021/691 nu depășesc 35 % din costurile totale ale pachetului coordonat de servicii personalizate. Spania a confirmat că aceste măsuri sunt condiționate de participarea activă a beneficiarilor vizați la activități de căutare a unui loc de muncă sau de formare.</w:t>
      </w:r>
    </w:p>
    <w:p w:rsidR="001A62D7" w:rsidRPr="00FF3491" w:rsidRDefault="001A62D7" w:rsidP="001A62D7">
      <w:pPr>
        <w:pStyle w:val="ManualHeading3"/>
        <w:rPr>
          <w:noProof/>
        </w:rPr>
      </w:pPr>
      <w:r w:rsidRPr="00FF3491">
        <w:rPr>
          <w:noProof/>
        </w:rPr>
        <w:t>Perioada de eligibilitate a cheltuielilor</w:t>
      </w:r>
    </w:p>
    <w:p w:rsidR="001A62D7" w:rsidRPr="00FF3491" w:rsidRDefault="00937874" w:rsidP="00AE7D04">
      <w:pPr>
        <w:pStyle w:val="ManualNumPar1"/>
        <w:rPr>
          <w:noProof/>
        </w:rPr>
      </w:pPr>
      <w:r>
        <w:rPr>
          <w:noProof/>
        </w:rPr>
        <w:t>34.</w:t>
      </w:r>
      <w:r>
        <w:rPr>
          <w:noProof/>
        </w:rPr>
        <w:tab/>
      </w:r>
      <w:r w:rsidRPr="00FF3491">
        <w:rPr>
          <w:noProof/>
        </w:rPr>
        <w:t xml:space="preserve">Spania va începe furnizarea serviciilor personalizate către beneficiarii vizați la 1 septembrie 2026. Prin urmare, cheltuielile aferente măsurilor vor fi eligibile pentru o contribuție financiară din FEG începând cu 1 septembrie 2026, pentru o perioadă de 24 de luni de la data intrării în vigoare a deciziei de finanțare. </w:t>
      </w:r>
    </w:p>
    <w:p w:rsidR="001A62D7" w:rsidRPr="00FF3491" w:rsidRDefault="00937874" w:rsidP="00AE7D04">
      <w:pPr>
        <w:pStyle w:val="ManualNumPar1"/>
        <w:rPr>
          <w:noProof/>
        </w:rPr>
      </w:pPr>
      <w:r>
        <w:rPr>
          <w:noProof/>
        </w:rPr>
        <w:t>35.</w:t>
      </w:r>
      <w:r>
        <w:rPr>
          <w:noProof/>
        </w:rPr>
        <w:tab/>
      </w:r>
      <w:r w:rsidRPr="00FF3491">
        <w:rPr>
          <w:noProof/>
        </w:rPr>
        <w:t xml:space="preserve">Spania a început plata cheltuielilor administrative pentru punerea în aplicare a FEG la 1 iulie 2026. Prin urmare, cheltuielile pentru activitățile de pregătire, gestionare, informare și publicitate, control și raportare sunt eligibile pentru o contribuție financiară din FEG de la 1 iulie 2026, pentru o perioadă de 31 de luni de la data intrării în vigoare a deciziei de finanțare. </w:t>
      </w:r>
    </w:p>
    <w:p w:rsidR="001A62D7" w:rsidRPr="00FF3491" w:rsidRDefault="001A62D7" w:rsidP="001A62D7">
      <w:pPr>
        <w:pStyle w:val="ManualHeading2"/>
        <w:rPr>
          <w:noProof/>
        </w:rPr>
      </w:pPr>
      <w:r w:rsidRPr="00FF3491">
        <w:rPr>
          <w:noProof/>
        </w:rPr>
        <w:t>Sisteme de gestionare și control</w:t>
      </w:r>
    </w:p>
    <w:p w:rsidR="001A62D7" w:rsidRPr="00FF3491" w:rsidRDefault="001A62D7" w:rsidP="00AE7D04">
      <w:pPr>
        <w:pStyle w:val="ManualNumPar1"/>
        <w:rPr>
          <w:noProof/>
        </w:rPr>
      </w:pPr>
      <w:r>
        <w:rPr>
          <w:noProof/>
        </w:rPr>
        <w:t>36.</w:t>
      </w:r>
      <w:r>
        <w:rPr>
          <w:noProof/>
        </w:rPr>
        <w:tab/>
      </w:r>
      <w:r w:rsidRPr="00FF3491">
        <w:rPr>
          <w:noProof/>
        </w:rPr>
        <w:t>Cererea conține o descriere a sistemului de gestionare și control prevăzut la articolul 23 din Regulamentul (UE) 2021/691, care precizează responsabilitățile organismelor implicate. Spania a notificat Comisiei faptul că aceleași organisme care asigură gestionarea și controlul finanțărilor din FSE+ vor gestiona și controla și contribuția financiară în discuție. Xunta de Galicia</w:t>
      </w:r>
      <w:r w:rsidR="00F904EC" w:rsidRPr="00FF3491">
        <w:rPr>
          <w:rStyle w:val="FootnoteReference"/>
          <w:noProof/>
        </w:rPr>
        <w:footnoteReference w:id="42"/>
      </w:r>
      <w:r w:rsidRPr="00FF3491">
        <w:rPr>
          <w:noProof/>
        </w:rPr>
        <w:t xml:space="preserve"> va fi organismul intermediar pentru autoritatea de management.</w:t>
      </w:r>
    </w:p>
    <w:p w:rsidR="001A62D7" w:rsidRPr="00FF3491" w:rsidRDefault="001A62D7" w:rsidP="001A62D7">
      <w:pPr>
        <w:pStyle w:val="ManualHeading2"/>
        <w:rPr>
          <w:noProof/>
        </w:rPr>
      </w:pPr>
      <w:r w:rsidRPr="00FF3491">
        <w:rPr>
          <w:noProof/>
        </w:rPr>
        <w:t>Angajamentele asumate de statul membru în cauză</w:t>
      </w:r>
    </w:p>
    <w:p w:rsidR="001A62D7" w:rsidRPr="00FF3491" w:rsidRDefault="00937874" w:rsidP="00AE7D04">
      <w:pPr>
        <w:pStyle w:val="ManualNumPar1"/>
        <w:rPr>
          <w:noProof/>
        </w:rPr>
      </w:pPr>
      <w:r>
        <w:rPr>
          <w:noProof/>
        </w:rPr>
        <w:t>37.</w:t>
      </w:r>
      <w:r>
        <w:rPr>
          <w:noProof/>
        </w:rPr>
        <w:tab/>
      </w:r>
      <w:r w:rsidRPr="00FF3491">
        <w:rPr>
          <w:noProof/>
        </w:rPr>
        <w:t xml:space="preserve">Spania a oferit toate garanțiile necesare cu privire la următoarele: </w:t>
      </w:r>
    </w:p>
    <w:p w:rsidR="001A62D7" w:rsidRPr="00FF3491" w:rsidRDefault="001A62D7" w:rsidP="001A62D7">
      <w:pPr>
        <w:pStyle w:val="Tiret1"/>
        <w:rPr>
          <w:noProof/>
        </w:rPr>
      </w:pPr>
      <w:r w:rsidRPr="00FF3491">
        <w:rPr>
          <w:noProof/>
        </w:rPr>
        <w:t>în contextul accesului la măsurile propuse și al punerii în aplicare a acestora, vor fi respectate principiul egalității de tratament și principiul nediscriminării,</w:t>
      </w:r>
    </w:p>
    <w:p w:rsidR="001A62D7" w:rsidRPr="00FF3491" w:rsidRDefault="001A62D7" w:rsidP="001A62D7">
      <w:pPr>
        <w:pStyle w:val="Tiret1"/>
        <w:rPr>
          <w:noProof/>
        </w:rPr>
      </w:pPr>
      <w:r w:rsidRPr="00FF3491">
        <w:rPr>
          <w:noProof/>
        </w:rPr>
        <w:lastRenderedPageBreak/>
        <w:t>au fost îndeplinite cerințele prevăzute de legislația națională și de legislația UE în ceea ce privește concedierile colective,</w:t>
      </w:r>
    </w:p>
    <w:p w:rsidR="001A62D7" w:rsidRPr="00FF3491" w:rsidRDefault="001A62D7" w:rsidP="001A62D7">
      <w:pPr>
        <w:pStyle w:val="Tiret1"/>
        <w:rPr>
          <w:noProof/>
        </w:rPr>
      </w:pPr>
      <w:r w:rsidRPr="00FF3491">
        <w:rPr>
          <w:noProof/>
        </w:rPr>
        <w:t>întreprinderile care au efectuat disponibilizările și care și-au continuat activitățile după concedieri și-au respectat obligațiile legale și au luat măsurile adecvate pentru lucrătorii lor,</w:t>
      </w:r>
    </w:p>
    <w:p w:rsidR="001A62D7" w:rsidRPr="00FF3491" w:rsidRDefault="001A62D7" w:rsidP="001A62D7">
      <w:pPr>
        <w:pStyle w:val="Tiret1"/>
        <w:rPr>
          <w:noProof/>
        </w:rPr>
      </w:pPr>
      <w:r w:rsidRPr="00FF3491">
        <w:rPr>
          <w:noProof/>
        </w:rPr>
        <w:t>se va evita orice fel de dublă finanțare,</w:t>
      </w:r>
    </w:p>
    <w:p w:rsidR="001A62D7" w:rsidRPr="00FF3491" w:rsidRDefault="001A62D7" w:rsidP="001A62D7">
      <w:pPr>
        <w:pStyle w:val="Tiret1"/>
        <w:rPr>
          <w:noProof/>
        </w:rPr>
      </w:pPr>
      <w:r w:rsidRPr="00FF3491">
        <w:rPr>
          <w:noProof/>
        </w:rPr>
        <w:t>contribuția financiară din partea FEG va respecta normele procedurale și de fond ale Uniunii privind ajutoarele de stat.</w:t>
      </w:r>
    </w:p>
    <w:p w:rsidR="001A62D7" w:rsidRPr="00FF3491" w:rsidRDefault="001A62D7" w:rsidP="001A62D7">
      <w:pPr>
        <w:pStyle w:val="ManualHeading1"/>
        <w:rPr>
          <w:noProof/>
        </w:rPr>
      </w:pPr>
      <w:r w:rsidRPr="00FF3491">
        <w:rPr>
          <w:noProof/>
        </w:rPr>
        <w:t>IMPLICAȚII BUGETARE</w:t>
      </w:r>
    </w:p>
    <w:p w:rsidR="001A62D7" w:rsidRPr="00FF3491" w:rsidRDefault="001A62D7" w:rsidP="001A62D7">
      <w:pPr>
        <w:pStyle w:val="ManualHeading2"/>
        <w:rPr>
          <w:noProof/>
        </w:rPr>
      </w:pPr>
      <w:r w:rsidRPr="00FF3491">
        <w:rPr>
          <w:noProof/>
        </w:rPr>
        <w:t>Propunerea bugetară</w:t>
      </w:r>
    </w:p>
    <w:p w:rsidR="001A62D7" w:rsidRPr="00FF3491" w:rsidRDefault="001A62D7" w:rsidP="00AE7D04">
      <w:pPr>
        <w:pStyle w:val="ManualNumPar1"/>
        <w:rPr>
          <w:noProof/>
        </w:rPr>
      </w:pPr>
      <w:r>
        <w:rPr>
          <w:noProof/>
        </w:rPr>
        <w:t>38.</w:t>
      </w:r>
      <w:r>
        <w:rPr>
          <w:noProof/>
        </w:rPr>
        <w:tab/>
      </w:r>
      <w:r w:rsidRPr="00FF3491">
        <w:rPr>
          <w:noProof/>
        </w:rPr>
        <w:t>FEG nu trebuie să depășească un cuantum anual de maximum 30 de milioane EUR (la prețurile din 2018), astfel cum se prevede la articolul 8 din Regulamentul (UE, Euratom) 2020/2093 al Consiliului din 17 decembrie 2020 de stabilire a cadrului financiar multianual pentru perioada 2021-2027</w:t>
      </w:r>
      <w:r w:rsidRPr="00FF3491">
        <w:rPr>
          <w:rStyle w:val="FootnoteReference"/>
          <w:noProof/>
        </w:rPr>
        <w:footnoteReference w:id="43"/>
      </w:r>
      <w:r w:rsidRPr="00FF3491">
        <w:rPr>
          <w:noProof/>
        </w:rPr>
        <w:t xml:space="preserve"> </w:t>
      </w:r>
    </w:p>
    <w:p w:rsidR="001A62D7" w:rsidRPr="00FF3491" w:rsidRDefault="001A62D7" w:rsidP="00AE7D04">
      <w:pPr>
        <w:pStyle w:val="ManualNumPar1"/>
        <w:rPr>
          <w:rFonts w:eastAsia="Calibri"/>
          <w:noProof/>
        </w:rPr>
      </w:pPr>
      <w:r>
        <w:rPr>
          <w:noProof/>
        </w:rPr>
        <w:t>39.</w:t>
      </w:r>
      <w:r>
        <w:rPr>
          <w:noProof/>
        </w:rPr>
        <w:tab/>
      </w:r>
      <w:r w:rsidRPr="00FF3491">
        <w:rPr>
          <w:noProof/>
        </w:rPr>
        <w:t>După examinarea cererii în conformitate cu condițiile stabilite la articolul 13 alineatele (1) și (2) din Regulamentul (UE) 2021/691 și luând în considerare numărul de beneficiari vizați, măsurile propuse și costurile estimate, Comisia propune mobilizarea FEG pentru suma de 2 725 100 EUR, reprezentând 85 % din costurile totale ale măsurilor propuse, cu scopul de a furniza o contribuție financiară ca răspuns la cererea menționată.</w:t>
      </w:r>
    </w:p>
    <w:p w:rsidR="001A62D7" w:rsidRPr="00FF3491" w:rsidRDefault="001A62D7" w:rsidP="00AE7D04">
      <w:pPr>
        <w:pStyle w:val="ManualNumPar1"/>
        <w:rPr>
          <w:rFonts w:eastAsia="Times New Roman"/>
          <w:noProof/>
        </w:rPr>
      </w:pPr>
      <w:r>
        <w:rPr>
          <w:noProof/>
        </w:rPr>
        <w:t>40.</w:t>
      </w:r>
      <w:r>
        <w:rPr>
          <w:noProof/>
        </w:rPr>
        <w:tab/>
      </w:r>
      <w:r w:rsidRPr="00FF3491">
        <w:rPr>
          <w:noProof/>
        </w:rPr>
        <w:t>Decizia propusă privind mobilizarea FEG va fi adoptată în comun de Parlamentul European și de Consiliu, în conformitate cu articolul 15 alineatul (1) primul paragraf a doua teză din Regulamentul (UE) 2021/691 și astfel cum se prevede la punctul 9 din Acordul interinstituțional din 16 decembrie 2020 între Parlamentul European, Consiliul Uniunii Europene și Comisia Europeană privind disciplina bugetară, cooperarea în chestiuni bugetare și buna gestiune financiară, precum și privind noile resurse proprii, inclusiv o foaie de parcurs în vederea introducerii de noi resurse proprii</w:t>
      </w:r>
      <w:r w:rsidRPr="00FF3491">
        <w:rPr>
          <w:rStyle w:val="FootnoteReference"/>
          <w:noProof/>
        </w:rPr>
        <w:footnoteReference w:id="44"/>
      </w:r>
      <w:r w:rsidRPr="00FF3491">
        <w:rPr>
          <w:noProof/>
        </w:rPr>
        <w:t>.</w:t>
      </w:r>
    </w:p>
    <w:p w:rsidR="001A62D7" w:rsidRPr="00FF3491" w:rsidRDefault="001A62D7" w:rsidP="001A62D7">
      <w:pPr>
        <w:pStyle w:val="ManualHeading2"/>
        <w:rPr>
          <w:noProof/>
        </w:rPr>
      </w:pPr>
      <w:r w:rsidRPr="00FF3491">
        <w:rPr>
          <w:noProof/>
        </w:rPr>
        <w:t>Acte conexe</w:t>
      </w:r>
    </w:p>
    <w:p w:rsidR="001A62D7" w:rsidRPr="00FF3491" w:rsidRDefault="001A62D7" w:rsidP="00AE7D04">
      <w:pPr>
        <w:pStyle w:val="ManualNumPar1"/>
        <w:rPr>
          <w:noProof/>
        </w:rPr>
      </w:pPr>
      <w:r>
        <w:rPr>
          <w:noProof/>
        </w:rPr>
        <w:t>41.</w:t>
      </w:r>
      <w:r>
        <w:rPr>
          <w:noProof/>
        </w:rPr>
        <w:tab/>
      </w:r>
      <w:r w:rsidRPr="00FF3491">
        <w:rPr>
          <w:noProof/>
        </w:rPr>
        <w:t>În același timp cu prezentarea acestei propuneri de decizie privind mobilizarea FEG, Comisia va prezenta Parlamentului European și Consiliului o propunere de transfer al sumei de 2 725 100 EUR către linia bugetară relevantă.</w:t>
      </w:r>
    </w:p>
    <w:p w:rsidR="001A62D7" w:rsidRPr="00FF3491" w:rsidRDefault="001A62D7" w:rsidP="00AE7D04">
      <w:pPr>
        <w:pStyle w:val="ManualNumPar1"/>
        <w:rPr>
          <w:noProof/>
        </w:rPr>
      </w:pPr>
      <w:r>
        <w:rPr>
          <w:noProof/>
        </w:rPr>
        <w:t>42.</w:t>
      </w:r>
      <w:r>
        <w:rPr>
          <w:noProof/>
        </w:rPr>
        <w:tab/>
      </w:r>
      <w:r w:rsidRPr="00FF3491">
        <w:rPr>
          <w:noProof/>
        </w:rPr>
        <w:t>Concomitent cu adoptarea prezentei propuneri de decizie privind mobilizarea FEG, Comisia a adoptat o decizie privind o contribuție financiară, care constituie o decizie de finanțare în sensul articolului 110 din Regulamentul (UE, Euratom) 2024/2509</w:t>
      </w:r>
      <w:r w:rsidRPr="00FF3491">
        <w:rPr>
          <w:rStyle w:val="FootnoteReference"/>
          <w:noProof/>
        </w:rPr>
        <w:footnoteReference w:id="45"/>
      </w:r>
      <w:r w:rsidRPr="00FF3491">
        <w:rPr>
          <w:noProof/>
        </w:rPr>
        <w:t>. Respectiva decizie de finanțare va intra în vigoare la data la care Comisiei i se notifică aprobarea transferului bugetar de către Parlamentul European și Consiliu în conformitate cu articolul 15 alineatul (2) primul paragraf din Regulamentul (UE) 2021/691.</w:t>
      </w:r>
    </w:p>
    <w:p w:rsidR="001A62D7" w:rsidRPr="00FF3491" w:rsidRDefault="001A62D7" w:rsidP="001A62D7">
      <w:pPr>
        <w:rPr>
          <w:noProof/>
        </w:rPr>
        <w:sectPr w:rsidR="001A62D7" w:rsidRPr="00FF3491" w:rsidSect="001D3B1F">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pgNumType w:start="1"/>
          <w:cols w:space="708"/>
          <w:docGrid w:linePitch="360"/>
        </w:sectPr>
      </w:pPr>
    </w:p>
    <w:p w:rsidR="000C5490" w:rsidRDefault="00B01EC8">
      <w:pPr>
        <w:pStyle w:val="Rfrenceinterinstitutionnelle"/>
        <w:rPr>
          <w:noProof/>
        </w:rPr>
      </w:pPr>
      <w:r>
        <w:rPr>
          <w:noProof/>
        </w:rPr>
        <w:lastRenderedPageBreak/>
        <w:t>2026/0195 (BUD)</w:t>
      </w:r>
    </w:p>
    <w:p w:rsidR="001A62D7" w:rsidRPr="00FF3491" w:rsidRDefault="001B0E0C" w:rsidP="001B0E0C">
      <w:pPr>
        <w:pStyle w:val="Statut"/>
        <w:rPr>
          <w:noProof/>
        </w:rPr>
      </w:pPr>
      <w:r w:rsidRPr="00FF3491">
        <w:rPr>
          <w:noProof/>
        </w:rPr>
        <w:t>Propunere de</w:t>
      </w:r>
    </w:p>
    <w:p w:rsidR="001A62D7" w:rsidRPr="00FF3491" w:rsidRDefault="001B0E0C" w:rsidP="001B0E0C">
      <w:pPr>
        <w:pStyle w:val="Typedudocument"/>
        <w:rPr>
          <w:noProof/>
        </w:rPr>
      </w:pPr>
      <w:r w:rsidRPr="00FF3491">
        <w:rPr>
          <w:noProof/>
        </w:rPr>
        <w:t>DECIZIE A PARLAMENTULUI EUROPEAN ȘI A CONSILIULUI</w:t>
      </w:r>
    </w:p>
    <w:p w:rsidR="001A62D7" w:rsidRPr="00FF3491" w:rsidRDefault="001B0E0C" w:rsidP="001B0E0C">
      <w:pPr>
        <w:pStyle w:val="Titreobjet"/>
        <w:rPr>
          <w:noProof/>
        </w:rPr>
      </w:pPr>
      <w:r w:rsidRPr="00FF3491">
        <w:rPr>
          <w:noProof/>
        </w:rPr>
        <w:t>privind mobilizarea Fondului european de ajustare la globalizare pentru lucrătorii disponibilizați în urma unei cereri din partea Spaniei EGF/2026/002 ES/Sectoarele auxiliare industriei autovehiculelor din Galicia</w:t>
      </w:r>
    </w:p>
    <w:p w:rsidR="001A62D7" w:rsidRPr="00FF3491" w:rsidRDefault="001A62D7" w:rsidP="001A62D7">
      <w:pPr>
        <w:pStyle w:val="Institutionquiagit"/>
        <w:rPr>
          <w:noProof/>
        </w:rPr>
      </w:pPr>
      <w:r w:rsidRPr="00FF3491">
        <w:rPr>
          <w:noProof/>
        </w:rPr>
        <w:t>PARLAMENTUL EUROPEAN ȘI CONSILIUL UNIUNII EUROPENE,</w:t>
      </w:r>
    </w:p>
    <w:p w:rsidR="001A62D7" w:rsidRPr="00FF3491" w:rsidRDefault="001A62D7" w:rsidP="001A62D7">
      <w:pPr>
        <w:rPr>
          <w:noProof/>
        </w:rPr>
      </w:pPr>
      <w:r w:rsidRPr="00FF3491">
        <w:rPr>
          <w:noProof/>
        </w:rPr>
        <w:t>având în vedere Tratatul privind funcționarea Uniunii Europene,</w:t>
      </w:r>
    </w:p>
    <w:p w:rsidR="001A62D7" w:rsidRPr="00FF3491" w:rsidRDefault="001A62D7" w:rsidP="001A62D7">
      <w:pPr>
        <w:rPr>
          <w:noProof/>
        </w:rPr>
      </w:pPr>
      <w:r w:rsidRPr="00FF3491">
        <w:rPr>
          <w:noProof/>
        </w:rPr>
        <w:t>având în vedere Regulamentul (UE) 2021/691 al Parlamentului European și al Consiliului din 28 aprilie 2021 privind Fondul european de ajustare la globalizare pentru lucrătorii disponibilizați (FEG) și de abrogare a Regulamentului (UE) nr. 1309/2013</w:t>
      </w:r>
      <w:r w:rsidRPr="00FF3491">
        <w:rPr>
          <w:rStyle w:val="FootnoteReference"/>
          <w:noProof/>
        </w:rPr>
        <w:footnoteReference w:id="46"/>
      </w:r>
      <w:r w:rsidRPr="00FF3491">
        <w:rPr>
          <w:noProof/>
        </w:rPr>
        <w:t>, în special articolul 15 alineatul (1) primul paragraf,</w:t>
      </w:r>
    </w:p>
    <w:p w:rsidR="001A62D7" w:rsidRPr="00FF3491" w:rsidRDefault="001A62D7" w:rsidP="001A62D7">
      <w:pPr>
        <w:rPr>
          <w:noProof/>
        </w:rPr>
      </w:pPr>
      <w:r w:rsidRPr="00FF3491">
        <w:rPr>
          <w:noProof/>
        </w:rPr>
        <w:t>având în vedere Acordul interinstituțional din 16 decembrie 2020 între Parlamentul European, Consiliul Uniunii Europene și Comisia Europeană privind disciplina bugetară, cooperarea în chestiuni bugetare și buna gestiune financiară, precum și privind noile resurse proprii, inclusiv o foaie de parcurs în vederea introducerii de noi resurse proprii</w:t>
      </w:r>
      <w:r w:rsidRPr="00FF3491">
        <w:rPr>
          <w:rStyle w:val="FootnoteReference"/>
          <w:noProof/>
        </w:rPr>
        <w:footnoteReference w:id="47"/>
      </w:r>
      <w:r w:rsidRPr="00FF3491">
        <w:rPr>
          <w:noProof/>
        </w:rPr>
        <w:t>, în special punctul 9,</w:t>
      </w:r>
    </w:p>
    <w:p w:rsidR="001A62D7" w:rsidRPr="00FF3491" w:rsidRDefault="001A62D7" w:rsidP="001A62D7">
      <w:pPr>
        <w:rPr>
          <w:noProof/>
        </w:rPr>
      </w:pPr>
      <w:r w:rsidRPr="00FF3491">
        <w:rPr>
          <w:noProof/>
        </w:rPr>
        <w:t>având în vedere propunerea Comisiei Europene,</w:t>
      </w:r>
    </w:p>
    <w:p w:rsidR="001A62D7" w:rsidRPr="00FF3491" w:rsidRDefault="001A62D7" w:rsidP="001A62D7">
      <w:pPr>
        <w:rPr>
          <w:noProof/>
        </w:rPr>
      </w:pPr>
      <w:r w:rsidRPr="00FF3491">
        <w:rPr>
          <w:noProof/>
        </w:rPr>
        <w:t>întrucât:</w:t>
      </w:r>
    </w:p>
    <w:p w:rsidR="001A62D7" w:rsidRPr="00FF3491" w:rsidRDefault="001A62D7" w:rsidP="00AE7D04">
      <w:pPr>
        <w:pStyle w:val="ManualConsidrant"/>
        <w:rPr>
          <w:noProof/>
        </w:rPr>
      </w:pPr>
      <w:r>
        <w:rPr>
          <w:noProof/>
        </w:rPr>
        <w:t>(1)</w:t>
      </w:r>
      <w:r>
        <w:rPr>
          <w:noProof/>
        </w:rPr>
        <w:tab/>
      </w:r>
      <w:r w:rsidRPr="00FF3491">
        <w:rPr>
          <w:noProof/>
        </w:rPr>
        <w:t xml:space="preserve">Fondul european de ajustare la globalizare pentru lucrătorii disponibilizați (FEG) urmărește să demonstreze solidaritatea și să promoveze locuri de muncă decente și sustenabile în Uniune, oferind sprijin lucrătorilor concediați și lucrătorilor independenți a căror activitate a încetat în cazul unor evenimente majore de restructurare și ajutându-i să revină cât mai curând posibil la locuri de muncă decente și sustenabile. </w:t>
      </w:r>
    </w:p>
    <w:p w:rsidR="001A62D7" w:rsidRPr="00FF3491" w:rsidRDefault="001A62D7" w:rsidP="00AE7D04">
      <w:pPr>
        <w:pStyle w:val="ManualConsidrant"/>
        <w:rPr>
          <w:noProof/>
        </w:rPr>
      </w:pPr>
      <w:r>
        <w:rPr>
          <w:noProof/>
        </w:rPr>
        <w:t>(2)</w:t>
      </w:r>
      <w:r>
        <w:rPr>
          <w:noProof/>
        </w:rPr>
        <w:tab/>
      </w:r>
      <w:r w:rsidRPr="00FF3491">
        <w:rPr>
          <w:noProof/>
        </w:rPr>
        <w:t>FEG nu trebuie să depășească un cuantum anual de maximum 30 de milioane EUR (la prețurile din 2018), astfel cum se prevede la articolul 8 din Regulamentul (UE, Euratom) 2020/2093</w:t>
      </w:r>
      <w:r w:rsidRPr="00FF3491">
        <w:rPr>
          <w:rStyle w:val="FootnoteReference"/>
          <w:noProof/>
        </w:rPr>
        <w:footnoteReference w:id="48"/>
      </w:r>
      <w:r w:rsidRPr="00FF3491">
        <w:rPr>
          <w:noProof/>
        </w:rPr>
        <w:t xml:space="preserve"> al Consiliului și la articolul 16 din Regulamentul (UE) 2021/691.</w:t>
      </w:r>
    </w:p>
    <w:p w:rsidR="001A62D7" w:rsidRPr="00FF3491" w:rsidRDefault="001A62D7" w:rsidP="00DE674B">
      <w:pPr>
        <w:pStyle w:val="ManualConsidrant"/>
        <w:rPr>
          <w:noProof/>
        </w:rPr>
      </w:pPr>
      <w:r>
        <w:rPr>
          <w:noProof/>
        </w:rPr>
        <w:t>(3)</w:t>
      </w:r>
      <w:r>
        <w:rPr>
          <w:noProof/>
        </w:rPr>
        <w:tab/>
      </w:r>
      <w:r w:rsidRPr="00FF3491">
        <w:rPr>
          <w:noProof/>
        </w:rPr>
        <w:t>La 7 aprilie 2026, Spania a depus o cerere de mobilizare a FEG în conformitate cu articolul 8 alineatul (1) din Regulamentul (UE) 2021/691, în ceea ce privește disponibilizările lucrătorilor din sectoarele economice clasificate în conformitate cu nomenclatorul statistic al activităților economice din Comunitatea Europeană („NACE”)</w:t>
      </w:r>
      <w:r w:rsidRPr="00FF3491">
        <w:rPr>
          <w:rStyle w:val="FootnoteReference"/>
          <w:noProof/>
        </w:rPr>
        <w:footnoteReference w:id="49"/>
      </w:r>
      <w:r w:rsidRPr="00FF3491">
        <w:rPr>
          <w:noProof/>
        </w:rPr>
        <w:t xml:space="preserve"> Rev. 2 diviziunea 25 (Fabricarea produselor metalice cu excepția </w:t>
      </w:r>
      <w:r w:rsidRPr="00FF3491">
        <w:rPr>
          <w:noProof/>
        </w:rPr>
        <w:lastRenderedPageBreak/>
        <w:t>mașinilor și echipamentelor), diviziunea 27 (Fabricarea echipamentelor electrice), diviziunea 28 (Fabricarea mașinilor și echipamentelor), diviziunea 29 (Fabricarea autovehiculelor, remorcilor și semiremorcilor) și diviziunea 74 (Alte activități profesionale, științifice și tehnice) în regiunea de nivel 2 a Nomenclatorului unităților teritoriale de statistică („NUTS”)</w:t>
      </w:r>
      <w:r w:rsidRPr="00FF3491">
        <w:rPr>
          <w:rStyle w:val="FootnoteReference"/>
          <w:noProof/>
        </w:rPr>
        <w:footnoteReference w:id="50"/>
      </w:r>
      <w:r w:rsidRPr="00FF3491">
        <w:rPr>
          <w:noProof/>
        </w:rPr>
        <w:t xml:space="preserve"> Galicia (ES11) din Spania. Cererea a fost completată cu informații suplimentare furnizate în conformitate cu articolul 8 alineatul (5) din Regulamentul (UE) 2021/691. Se consideră că cererea respectivă îndeplinește condițiile de acordare a unei contribuții financiare din FEG, astfel cum sunt prevăzute la articolul 13 din Regulamentul (UE) 2021/691, pe baza evaluării efectuate de Comisie în propunerea de decizie de mobilizare a Parlamentului European și a Consiliului</w:t>
      </w:r>
      <w:r w:rsidRPr="00FF3491">
        <w:rPr>
          <w:rStyle w:val="FootnoteReference"/>
          <w:iCs/>
          <w:noProof/>
        </w:rPr>
        <w:footnoteReference w:id="51"/>
      </w:r>
      <w:r w:rsidRPr="00FF3491">
        <w:rPr>
          <w:noProof/>
        </w:rPr>
        <w:t>.</w:t>
      </w:r>
    </w:p>
    <w:p w:rsidR="001A62D7" w:rsidRPr="00FF3491" w:rsidRDefault="001A62D7" w:rsidP="00AE7D04">
      <w:pPr>
        <w:pStyle w:val="ManualConsidrant"/>
        <w:rPr>
          <w:noProof/>
        </w:rPr>
      </w:pPr>
      <w:r>
        <w:rPr>
          <w:noProof/>
        </w:rPr>
        <w:t>(4)</w:t>
      </w:r>
      <w:r>
        <w:rPr>
          <w:noProof/>
        </w:rPr>
        <w:tab/>
      </w:r>
      <w:r w:rsidRPr="00FF3491">
        <w:rPr>
          <w:noProof/>
        </w:rPr>
        <w:t>Prin urmare, este necesară mobilizarea FEG pentru a se furniza o contribuție financiară în valoare de 2 725 100 EUR ca urmare a cererii depuse de Spania.</w:t>
      </w:r>
    </w:p>
    <w:p w:rsidR="001A62D7" w:rsidRPr="00FF3491" w:rsidRDefault="001A62D7" w:rsidP="00AE7D04">
      <w:pPr>
        <w:pStyle w:val="ManualConsidrant"/>
        <w:rPr>
          <w:noProof/>
        </w:rPr>
      </w:pPr>
      <w:r>
        <w:rPr>
          <w:noProof/>
        </w:rPr>
        <w:t>(5)</w:t>
      </w:r>
      <w:r>
        <w:rPr>
          <w:noProof/>
        </w:rPr>
        <w:tab/>
      </w:r>
      <w:r w:rsidRPr="00FF3491">
        <w:rPr>
          <w:noProof/>
        </w:rPr>
        <w:t>Pentru a se reduce la minimum timpul necesar pentru mobilizarea FEG, prezenta decizie trebuie să se aplice de la data adoptării,</w:t>
      </w:r>
    </w:p>
    <w:p w:rsidR="001A62D7" w:rsidRPr="00FF3491" w:rsidRDefault="001A62D7" w:rsidP="001A62D7">
      <w:pPr>
        <w:pStyle w:val="Formuledadoption"/>
        <w:rPr>
          <w:noProof/>
        </w:rPr>
      </w:pPr>
      <w:r w:rsidRPr="00FF3491">
        <w:rPr>
          <w:noProof/>
        </w:rPr>
        <w:t xml:space="preserve">ADOPTĂ PREZENTA DECIZIE: </w:t>
      </w:r>
    </w:p>
    <w:p w:rsidR="001A62D7" w:rsidRPr="00FF3491" w:rsidRDefault="001A62D7" w:rsidP="001A62D7">
      <w:pPr>
        <w:pStyle w:val="Titrearticle"/>
        <w:rPr>
          <w:noProof/>
        </w:rPr>
      </w:pPr>
      <w:r w:rsidRPr="00FF3491">
        <w:rPr>
          <w:noProof/>
        </w:rPr>
        <w:t>Articolul 1</w:t>
      </w:r>
    </w:p>
    <w:p w:rsidR="001A62D7" w:rsidRPr="00FF3491" w:rsidRDefault="001A62D7" w:rsidP="001A62D7">
      <w:pPr>
        <w:rPr>
          <w:noProof/>
        </w:rPr>
      </w:pPr>
      <w:r w:rsidRPr="00FF3491">
        <w:rPr>
          <w:noProof/>
        </w:rPr>
        <w:t>În cadrul bugetului general al Uniunii aferent exercițiului financiar 2026, Fondul european de ajustare la globalizare pentru lucrătorii disponibilizați se mobilizează pentru a se furniza cuantumul de 2 725 100 EUR, sub formă de credite de angajament și de credite de plată.</w:t>
      </w:r>
    </w:p>
    <w:p w:rsidR="001A62D7" w:rsidRPr="00FF3491" w:rsidRDefault="001A62D7" w:rsidP="00A81ED6">
      <w:pPr>
        <w:pStyle w:val="Titrearticle"/>
        <w:rPr>
          <w:noProof/>
        </w:rPr>
      </w:pPr>
      <w:r w:rsidRPr="00FF3491">
        <w:rPr>
          <w:noProof/>
        </w:rPr>
        <w:t>Articolul 2</w:t>
      </w:r>
    </w:p>
    <w:p w:rsidR="001A62D7" w:rsidRPr="00FF3491" w:rsidRDefault="001A62D7" w:rsidP="001A62D7">
      <w:pPr>
        <w:keepNext/>
        <w:keepLines/>
        <w:rPr>
          <w:noProof/>
        </w:rPr>
      </w:pPr>
      <w:r w:rsidRPr="00FF3491">
        <w:rPr>
          <w:noProof/>
        </w:rPr>
        <w:t xml:space="preserve">Prezenta decizie intră în vigoare la data publicării în </w:t>
      </w:r>
      <w:r w:rsidRPr="00FF3491">
        <w:rPr>
          <w:i/>
          <w:iCs/>
          <w:noProof/>
        </w:rPr>
        <w:t>Jurnalul Oficial al Uniunii Europene</w:t>
      </w:r>
      <w:r w:rsidRPr="00FF3491">
        <w:rPr>
          <w:noProof/>
        </w:rPr>
        <w:t xml:space="preserve">. Prezenta decizie se aplică de la </w:t>
      </w:r>
      <w:r w:rsidRPr="00FF3491">
        <w:rPr>
          <w:noProof/>
          <w:color w:val="FF0000"/>
        </w:rPr>
        <w:t>[</w:t>
      </w:r>
      <w:r w:rsidRPr="00FF3491">
        <w:rPr>
          <w:i/>
          <w:noProof/>
          <w:color w:val="FF0000"/>
        </w:rPr>
        <w:t>data adoptării</w:t>
      </w:r>
      <w:r w:rsidRPr="00FF3491">
        <w:rPr>
          <w:noProof/>
          <w:color w:val="FF0000"/>
        </w:rPr>
        <w:t>]</w:t>
      </w:r>
      <w:r w:rsidRPr="00FF3491">
        <w:rPr>
          <w:rStyle w:val="FootnoteReference"/>
          <w:noProof/>
          <w:color w:val="FF0000"/>
        </w:rPr>
        <w:footnoteReference w:customMarkFollows="1" w:id="52"/>
        <w:t>*</w:t>
      </w:r>
      <w:r w:rsidRPr="00FF3491">
        <w:rPr>
          <w:rStyle w:val="CommentReference"/>
          <w:noProof/>
        </w:rPr>
        <w:t xml:space="preserve"> </w:t>
      </w:r>
      <w:r w:rsidRPr="00FF3491">
        <w:rPr>
          <w:noProof/>
        </w:rPr>
        <w:t>.</w:t>
      </w:r>
    </w:p>
    <w:p w:rsidR="001A62D7" w:rsidRPr="00FF3491" w:rsidRDefault="001B0E0C" w:rsidP="00A81ED6">
      <w:pPr>
        <w:pStyle w:val="Fait"/>
        <w:rPr>
          <w:noProof/>
        </w:rPr>
      </w:pPr>
      <w:r>
        <w:rPr>
          <w:noProof/>
        </w:rPr>
        <w:t>Adoptată la Bruxelles,</w:t>
      </w:r>
    </w:p>
    <w:p w:rsidR="001A62D7" w:rsidRPr="00FF3491" w:rsidRDefault="001A62D7" w:rsidP="00A81ED6">
      <w:pPr>
        <w:pStyle w:val="Institutionquisigne"/>
        <w:rPr>
          <w:noProof/>
        </w:rPr>
      </w:pPr>
      <w:r w:rsidRPr="00FF3491">
        <w:rPr>
          <w:noProof/>
        </w:rPr>
        <w:t>Pentru Parlamentul European</w:t>
      </w:r>
      <w:r w:rsidRPr="00FF3491">
        <w:rPr>
          <w:noProof/>
        </w:rPr>
        <w:tab/>
        <w:t>Pentru Consiliu</w:t>
      </w:r>
    </w:p>
    <w:p w:rsidR="001A62D7" w:rsidRPr="00FF3491" w:rsidRDefault="001A62D7" w:rsidP="001A62D7">
      <w:pPr>
        <w:pStyle w:val="Personnequisigne"/>
        <w:rPr>
          <w:noProof/>
        </w:rPr>
      </w:pPr>
      <w:r w:rsidRPr="00FF3491">
        <w:rPr>
          <w:noProof/>
        </w:rPr>
        <w:t>Președint</w:t>
      </w:r>
      <w:r w:rsidR="00FF3491" w:rsidRPr="00FF3491">
        <w:rPr>
          <w:noProof/>
        </w:rPr>
        <w:t>a</w:t>
      </w:r>
      <w:r w:rsidRPr="00FF3491">
        <w:rPr>
          <w:noProof/>
        </w:rPr>
        <w:tab/>
        <w:t>Președintele</w:t>
      </w:r>
      <w:r w:rsidRPr="00FF3491">
        <w:rPr>
          <w:noProof/>
        </w:rPr>
        <w:br/>
      </w:r>
    </w:p>
    <w:sectPr w:rsidR="001A62D7" w:rsidRPr="00FF3491" w:rsidSect="001D3B1F">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09C1" w:rsidRPr="00FF3491" w:rsidRDefault="00A409C1" w:rsidP="001A62D7">
      <w:pPr>
        <w:spacing w:before="0" w:after="0"/>
      </w:pPr>
      <w:r w:rsidRPr="00FF3491">
        <w:separator/>
      </w:r>
    </w:p>
  </w:endnote>
  <w:endnote w:type="continuationSeparator" w:id="0">
    <w:p w:rsidR="00A409C1" w:rsidRPr="00FF3491" w:rsidRDefault="00A409C1" w:rsidP="001A62D7">
      <w:pPr>
        <w:spacing w:before="0" w:after="0"/>
      </w:pPr>
      <w:r w:rsidRPr="00FF34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3B1F" w:rsidRPr="001D3B1F" w:rsidRDefault="001D3B1F" w:rsidP="001D3B1F">
    <w:pPr>
      <w:pStyle w:val="Footer"/>
      <w:rPr>
        <w:rFonts w:ascii="Arial" w:hAnsi="Arial" w:cs="Arial"/>
        <w:b/>
        <w:sz w:val="48"/>
      </w:rPr>
    </w:pPr>
    <w:r w:rsidRPr="001D3B1F">
      <w:rPr>
        <w:rFonts w:ascii="Arial" w:hAnsi="Arial" w:cs="Arial"/>
        <w:b/>
        <w:sz w:val="48"/>
      </w:rPr>
      <w:t>RO</w:t>
    </w:r>
    <w:r w:rsidRPr="001D3B1F">
      <w:rPr>
        <w:rFonts w:ascii="Arial" w:hAnsi="Arial" w:cs="Arial"/>
        <w:b/>
        <w:sz w:val="48"/>
      </w:rPr>
      <w:tab/>
    </w:r>
    <w:r w:rsidRPr="001D3B1F">
      <w:rPr>
        <w:rFonts w:ascii="Arial" w:hAnsi="Arial" w:cs="Arial"/>
        <w:b/>
        <w:sz w:val="48"/>
      </w:rPr>
      <w:tab/>
    </w:r>
    <w:r w:rsidRPr="001D3B1F">
      <w:tab/>
    </w:r>
    <w:r w:rsidRPr="001D3B1F">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3B1F" w:rsidRPr="001D3B1F" w:rsidRDefault="001D3B1F" w:rsidP="001D3B1F">
    <w:pPr>
      <w:pStyle w:val="Footer"/>
      <w:rPr>
        <w:rFonts w:ascii="Arial" w:hAnsi="Arial" w:cs="Arial"/>
        <w:b/>
        <w:sz w:val="48"/>
      </w:rPr>
    </w:pPr>
    <w:r w:rsidRPr="001D3B1F">
      <w:rPr>
        <w:rFonts w:ascii="Arial" w:hAnsi="Arial" w:cs="Arial"/>
        <w:b/>
        <w:sz w:val="48"/>
      </w:rPr>
      <w:t>RO</w:t>
    </w:r>
    <w:r w:rsidRPr="001D3B1F">
      <w:rPr>
        <w:rFonts w:ascii="Arial" w:hAnsi="Arial" w:cs="Arial"/>
        <w:b/>
        <w:sz w:val="48"/>
      </w:rPr>
      <w:tab/>
    </w:r>
    <w:r w:rsidRPr="001D3B1F">
      <w:rPr>
        <w:rFonts w:ascii="Arial" w:hAnsi="Arial" w:cs="Arial"/>
        <w:b/>
        <w:sz w:val="48"/>
      </w:rPr>
      <w:tab/>
    </w:r>
    <w:r w:rsidRPr="001D3B1F">
      <w:tab/>
    </w:r>
    <w:r w:rsidRPr="001D3B1F">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3B1F" w:rsidRDefault="001D3B1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3B1F" w:rsidRPr="001D3B1F" w:rsidRDefault="001D3B1F" w:rsidP="001D3B1F">
    <w:pPr>
      <w:pStyle w:val="Footer"/>
      <w:rPr>
        <w:rFonts w:ascii="Arial" w:hAnsi="Arial" w:cs="Arial"/>
        <w:b/>
        <w:sz w:val="48"/>
      </w:rPr>
    </w:pPr>
    <w:r w:rsidRPr="001D3B1F">
      <w:rPr>
        <w:rFonts w:ascii="Arial" w:hAnsi="Arial" w:cs="Arial"/>
        <w:b/>
        <w:sz w:val="48"/>
      </w:rPr>
      <w:t>RO</w:t>
    </w:r>
    <w:r w:rsidRPr="001D3B1F">
      <w:rPr>
        <w:rFonts w:ascii="Arial" w:hAnsi="Arial" w:cs="Arial"/>
        <w:b/>
        <w:sz w:val="48"/>
      </w:rPr>
      <w:tab/>
    </w:r>
    <w:r>
      <w:fldChar w:fldCharType="begin"/>
    </w:r>
    <w:r>
      <w:instrText xml:space="preserve"> PAGE  \* MERGEFORMAT </w:instrText>
    </w:r>
    <w:r>
      <w:fldChar w:fldCharType="separate"/>
    </w:r>
    <w:r w:rsidR="00A81ED6">
      <w:rPr>
        <w:noProof/>
      </w:rPr>
      <w:t>13</w:t>
    </w:r>
    <w:r>
      <w:fldChar w:fldCharType="end"/>
    </w:r>
    <w:r>
      <w:tab/>
    </w:r>
    <w:r w:rsidRPr="001D3B1F">
      <w:tab/>
    </w:r>
    <w:r w:rsidRPr="001D3B1F">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3B1F" w:rsidRDefault="001D3B1F" w:rsidP="001D3B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09C1" w:rsidRPr="00FF3491" w:rsidRDefault="00A409C1" w:rsidP="001A62D7">
      <w:pPr>
        <w:spacing w:before="0" w:after="0"/>
      </w:pPr>
      <w:r w:rsidRPr="00FF3491">
        <w:separator/>
      </w:r>
    </w:p>
  </w:footnote>
  <w:footnote w:type="continuationSeparator" w:id="0">
    <w:p w:rsidR="00A409C1" w:rsidRPr="00FF3491" w:rsidRDefault="00A409C1" w:rsidP="001A62D7">
      <w:pPr>
        <w:spacing w:before="0" w:after="0"/>
      </w:pPr>
      <w:r w:rsidRPr="00FF3491">
        <w:continuationSeparator/>
      </w:r>
    </w:p>
  </w:footnote>
  <w:footnote w:id="1">
    <w:p w:rsidR="001A62D7" w:rsidRPr="00FF3491" w:rsidRDefault="001A62D7" w:rsidP="001A62D7">
      <w:pPr>
        <w:pStyle w:val="FootnoteText"/>
      </w:pPr>
      <w:r w:rsidRPr="00FF3491">
        <w:rPr>
          <w:rStyle w:val="FootnoteReference"/>
        </w:rPr>
        <w:footnoteRef/>
      </w:r>
      <w:r w:rsidRPr="00FF3491">
        <w:tab/>
        <w:t>JO</w:t>
      </w:r>
      <w:r w:rsidR="00FF3491">
        <w:t> </w:t>
      </w:r>
      <w:r w:rsidRPr="00FF3491">
        <w:t>L 153, 3.5.2021, p. 48,</w:t>
      </w:r>
      <w:r w:rsidRPr="00FF3491">
        <w:rPr>
          <w:sz w:val="24"/>
        </w:rPr>
        <w:t xml:space="preserve"> </w:t>
      </w:r>
      <w:r w:rsidRPr="00FF3491">
        <w:t>ELI: http://data.europa.eu/eli/reg/2021/691/oj.</w:t>
      </w:r>
    </w:p>
  </w:footnote>
  <w:footnote w:id="2">
    <w:p w:rsidR="001A62D7" w:rsidRPr="00FF3491" w:rsidRDefault="001A62D7" w:rsidP="001A62D7">
      <w:pPr>
        <w:pStyle w:val="FootnoteText"/>
      </w:pPr>
      <w:r w:rsidRPr="00FF3491">
        <w:rPr>
          <w:rStyle w:val="FootnoteReference"/>
        </w:rPr>
        <w:footnoteRef/>
      </w:r>
      <w:r w:rsidRPr="00FF3491">
        <w:tab/>
        <w:t>Regulamentul Delegat (UE) 2019/1755 al Comisiei din 8 august 2019 de modificare a anexelor la Regulamentul (CE) nr. 1059/2003 al Parlamentului European și al Consiliului privind instituirea unui nomenclator comun al unităților teritoriale de statistică (NUTS). JO</w:t>
      </w:r>
      <w:r w:rsidR="00FF3491">
        <w:t> </w:t>
      </w:r>
      <w:r w:rsidRPr="00FF3491">
        <w:t>L 270, 24.10.2019, p. 1.</w:t>
      </w:r>
    </w:p>
  </w:footnote>
  <w:footnote w:id="3">
    <w:p w:rsidR="001A62D7" w:rsidRPr="00FF3491" w:rsidRDefault="001A62D7" w:rsidP="001A62D7">
      <w:pPr>
        <w:pStyle w:val="FootnoteText"/>
      </w:pPr>
      <w:r w:rsidRPr="00FF3491">
        <w:rPr>
          <w:rStyle w:val="FootnoteReference"/>
        </w:rPr>
        <w:footnoteRef/>
      </w:r>
      <w:r w:rsidRPr="00FF3491">
        <w:tab/>
        <w:t>JO</w:t>
      </w:r>
      <w:r w:rsidR="00FF3491">
        <w:t> </w:t>
      </w:r>
      <w:r w:rsidRPr="00FF3491">
        <w:t>L 393, 30.12.2006, p. 1.</w:t>
      </w:r>
    </w:p>
  </w:footnote>
  <w:footnote w:id="4">
    <w:p w:rsidR="001A62D7" w:rsidRPr="00FF3491" w:rsidRDefault="001A62D7" w:rsidP="001A62D7">
      <w:pPr>
        <w:pStyle w:val="FootnoteText"/>
      </w:pPr>
      <w:r w:rsidRPr="00FF3491">
        <w:rPr>
          <w:rStyle w:val="FootnoteReference"/>
        </w:rPr>
        <w:footnoteRef/>
      </w:r>
      <w:r w:rsidRPr="00FF3491">
        <w:tab/>
        <w:t>În conformitate cu articolul 7 alineatul (5) din Regulamentul (UE) 2021/691.</w:t>
      </w:r>
    </w:p>
  </w:footnote>
  <w:footnote w:id="5">
    <w:p w:rsidR="007E4E97" w:rsidRPr="00FF3491" w:rsidRDefault="007E4E97">
      <w:pPr>
        <w:pStyle w:val="FootnoteText"/>
      </w:pPr>
      <w:r w:rsidRPr="00FF3491">
        <w:rPr>
          <w:rStyle w:val="FootnoteReference"/>
        </w:rPr>
        <w:footnoteRef/>
      </w:r>
      <w:r w:rsidRPr="00FF3491">
        <w:tab/>
      </w:r>
      <w:hyperlink r:id="rId1" w:history="1">
        <w:r w:rsidRPr="00FF3491">
          <w:rPr>
            <w:rStyle w:val="Hyperlink"/>
          </w:rPr>
          <w:t>Sernauto</w:t>
        </w:r>
      </w:hyperlink>
      <w:r w:rsidRPr="00FF3491">
        <w:t>.</w:t>
      </w:r>
    </w:p>
  </w:footnote>
  <w:footnote w:id="6">
    <w:p w:rsidR="007E4E97" w:rsidRPr="00FF3491" w:rsidRDefault="007E4E97">
      <w:pPr>
        <w:pStyle w:val="FootnoteText"/>
      </w:pPr>
      <w:r w:rsidRPr="00FF3491">
        <w:rPr>
          <w:rStyle w:val="FootnoteReference"/>
        </w:rPr>
        <w:footnoteRef/>
      </w:r>
      <w:r w:rsidRPr="00FF3491">
        <w:tab/>
      </w:r>
      <w:hyperlink r:id="rId2" w:anchor=":~:text=La%20facturaci%C3%B3n%20de%20los%20proveedores%20de%20automoci%C3%B3n,de%20euros%20en%20un%20contexto%20de%20desaceleraci%C3%B3n." w:history="1">
        <w:r w:rsidRPr="00FF3491">
          <w:rPr>
            <w:rStyle w:val="Hyperlink"/>
          </w:rPr>
          <w:t>Sernauto</w:t>
        </w:r>
      </w:hyperlink>
      <w:r w:rsidRPr="00FF3491">
        <w:t>.</w:t>
      </w:r>
    </w:p>
  </w:footnote>
  <w:footnote w:id="7">
    <w:p w:rsidR="000E796A" w:rsidRPr="00FF3491" w:rsidRDefault="000E796A">
      <w:pPr>
        <w:pStyle w:val="FootnoteText"/>
      </w:pPr>
      <w:r w:rsidRPr="00FF3491">
        <w:rPr>
          <w:rStyle w:val="FootnoteReference"/>
        </w:rPr>
        <w:footnoteRef/>
      </w:r>
      <w:r w:rsidRPr="00FF3491">
        <w:tab/>
      </w:r>
      <w:hyperlink r:id="rId3" w:history="1">
        <w:r w:rsidRPr="00FF3491">
          <w:rPr>
            <w:rStyle w:val="Hyperlink"/>
          </w:rPr>
          <w:t>Raportul privind costul forței de muncă per vehicul.</w:t>
        </w:r>
      </w:hyperlink>
    </w:p>
  </w:footnote>
  <w:footnote w:id="8">
    <w:p w:rsidR="00C60083" w:rsidRPr="00FF3491" w:rsidRDefault="00C60083">
      <w:pPr>
        <w:pStyle w:val="FootnoteText"/>
      </w:pPr>
      <w:r w:rsidRPr="00FF3491">
        <w:rPr>
          <w:rStyle w:val="FootnoteReference"/>
        </w:rPr>
        <w:footnoteRef/>
      </w:r>
      <w:r w:rsidRPr="00FF3491">
        <w:tab/>
      </w:r>
      <w:hyperlink r:id="rId4" w:history="1">
        <w:r w:rsidRPr="00FF3491">
          <w:rPr>
            <w:rStyle w:val="Hyperlink"/>
          </w:rPr>
          <w:t>Xunta de Galicia.</w:t>
        </w:r>
      </w:hyperlink>
      <w:hyperlink r:id="rId5" w:history="1">
        <w:r w:rsidRPr="00FF3491">
          <w:rPr>
            <w:rStyle w:val="Hyperlink"/>
          </w:rPr>
          <w:t xml:space="preserve"> Empleo industrial (marzo 2026)</w:t>
        </w:r>
      </w:hyperlink>
      <w:r w:rsidRPr="00FF3491">
        <w:t>.</w:t>
      </w:r>
    </w:p>
  </w:footnote>
  <w:footnote w:id="9">
    <w:p w:rsidR="0028567E" w:rsidRPr="00FF3491" w:rsidRDefault="0028567E">
      <w:pPr>
        <w:pStyle w:val="FootnoteText"/>
      </w:pPr>
      <w:r w:rsidRPr="00FF3491">
        <w:rPr>
          <w:rStyle w:val="FootnoteReference"/>
        </w:rPr>
        <w:footnoteRef/>
      </w:r>
      <w:r w:rsidRPr="00FF3491">
        <w:tab/>
      </w:r>
      <w:hyperlink r:id="rId6" w:anchor=":~:text=Las%20manufacturas%20han%20reducido%20un%2025%25%20el,de%20los%20puestos%20de%20trabajo%20en%20Espa%C3%B1a%2C" w:history="1">
        <w:r w:rsidRPr="00FF3491">
          <w:rPr>
            <w:rStyle w:val="Hyperlink"/>
          </w:rPr>
          <w:t>Fundación BBVA.</w:t>
        </w:r>
      </w:hyperlink>
      <w:hyperlink r:id="rId7" w:anchor=":~:text=Las%20manufacturas%20han%20reducido%20un%2025%25%20el,de%20los%20puestos%20de%20trabajo%20en%20Espa%C3%B1a%2C" w:history="1">
        <w:r w:rsidRPr="00FF3491">
          <w:rPr>
            <w:rStyle w:val="Hyperlink"/>
          </w:rPr>
          <w:t xml:space="preserve"> España se aleja del objetivo de reindustrialización marcado por la Unión Europea</w:t>
        </w:r>
      </w:hyperlink>
      <w:r w:rsidRPr="00FF3491">
        <w:t>.</w:t>
      </w:r>
    </w:p>
  </w:footnote>
  <w:footnote w:id="10">
    <w:p w:rsidR="009942B8" w:rsidRPr="00FF3491" w:rsidRDefault="009942B8">
      <w:pPr>
        <w:pStyle w:val="FootnoteText"/>
      </w:pPr>
      <w:r w:rsidRPr="00FF3491">
        <w:rPr>
          <w:rStyle w:val="FootnoteReference"/>
        </w:rPr>
        <w:footnoteRef/>
      </w:r>
      <w:r w:rsidRPr="00FF3491">
        <w:tab/>
      </w:r>
      <w:hyperlink r:id="rId8" w:history="1">
        <w:r w:rsidRPr="00FF3491">
          <w:rPr>
            <w:rStyle w:val="Hyperlink"/>
          </w:rPr>
          <w:t>INE.</w:t>
        </w:r>
      </w:hyperlink>
      <w:hyperlink r:id="rId9" w:history="1">
        <w:r w:rsidRPr="00FF3491">
          <w:rPr>
            <w:rStyle w:val="Hyperlink"/>
          </w:rPr>
          <w:t xml:space="preserve"> EPA Q4 2025</w:t>
        </w:r>
      </w:hyperlink>
      <w:r w:rsidRPr="00FF3491">
        <w:t>.</w:t>
      </w:r>
    </w:p>
  </w:footnote>
  <w:footnote w:id="11">
    <w:p w:rsidR="008E0A34" w:rsidRPr="00FF3491" w:rsidRDefault="008E0A34">
      <w:pPr>
        <w:pStyle w:val="FootnoteText"/>
      </w:pPr>
      <w:r w:rsidRPr="00FF3491">
        <w:rPr>
          <w:rStyle w:val="FootnoteReference"/>
        </w:rPr>
        <w:footnoteRef/>
      </w:r>
      <w:r w:rsidRPr="00FF3491">
        <w:tab/>
      </w:r>
      <w:hyperlink r:id="rId10" w:history="1">
        <w:r w:rsidRPr="00FF3491">
          <w:rPr>
            <w:rStyle w:val="Hyperlink"/>
          </w:rPr>
          <w:t>Eurostat.</w:t>
        </w:r>
      </w:hyperlink>
    </w:p>
  </w:footnote>
  <w:footnote w:id="12">
    <w:p w:rsidR="008E0A34" w:rsidRPr="00FF3491" w:rsidRDefault="008E0A34">
      <w:pPr>
        <w:pStyle w:val="FootnoteText"/>
      </w:pPr>
      <w:r w:rsidRPr="00FF3491">
        <w:rPr>
          <w:rStyle w:val="FootnoteReference"/>
        </w:rPr>
        <w:footnoteRef/>
      </w:r>
      <w:r w:rsidRPr="00FF3491">
        <w:tab/>
      </w:r>
      <w:hyperlink r:id="rId11" w:anchor=":~:text=Tasa%20de%20actividad%20(en%20%25)%2C%20Tasa%20de,(en%20%25).%204T%202025%2C%2024.940%2C4%2C%2022.463%2C3%2C%202.477&amp;amp;text=Organizaci%C3%B3n%20Estad%C3%ADstica%20en%20Espa%C3%B1a%20%C2%B7%20Calidad%20%C2%B7%20Sistema%20Estad%C3%ADstico%20Europeo." w:history="1">
        <w:r w:rsidRPr="00FF3491">
          <w:rPr>
            <w:rStyle w:val="Hyperlink"/>
          </w:rPr>
          <w:t>INE.</w:t>
        </w:r>
      </w:hyperlink>
      <w:hyperlink r:id="rId12" w:anchor=":~:text=Tasa%20de%20actividad%20(en%20%25)%2C%20Tasa%20de,(en%20%25).%204T%202025%2C%2024.940%2C4%2C%2022.463%2C3%2C%202.477&amp;amp;text=Organizaci%C3%B3n%20Estad%C3%ADstica%20en%20Espa%C3%B1a%20%C2%B7%20Calidad%20%C2%B7%20Sistema%20Estad%C3%ADstico%20Europeo." w:history="1">
        <w:r w:rsidRPr="00FF3491">
          <w:rPr>
            <w:rStyle w:val="Hyperlink"/>
          </w:rPr>
          <w:t xml:space="preserve"> EPA Q4 2025</w:t>
        </w:r>
      </w:hyperlink>
      <w:r w:rsidRPr="00FF3491">
        <w:t>.</w:t>
      </w:r>
    </w:p>
  </w:footnote>
  <w:footnote w:id="13">
    <w:p w:rsidR="00EB02F0" w:rsidRPr="00FF3491" w:rsidRDefault="00EB02F0">
      <w:pPr>
        <w:pStyle w:val="FootnoteText"/>
      </w:pPr>
      <w:r w:rsidRPr="00FF3491">
        <w:rPr>
          <w:rStyle w:val="FootnoteReference"/>
        </w:rPr>
        <w:footnoteRef/>
      </w:r>
      <w:r w:rsidRPr="00FF3491">
        <w:tab/>
      </w:r>
      <w:hyperlink r:id="rId13" w:history="1">
        <w:r w:rsidRPr="00FF3491">
          <w:rPr>
            <w:rStyle w:val="Hyperlink"/>
          </w:rPr>
          <w:t>Datos macro-INE, EPA Q4 2025</w:t>
        </w:r>
      </w:hyperlink>
      <w:r w:rsidRPr="00FF3491">
        <w:t>.</w:t>
      </w:r>
    </w:p>
  </w:footnote>
  <w:footnote w:id="14">
    <w:p w:rsidR="007E153F" w:rsidRPr="00FF3491" w:rsidRDefault="007E153F">
      <w:pPr>
        <w:pStyle w:val="FootnoteText"/>
      </w:pPr>
      <w:r w:rsidRPr="00FF3491">
        <w:rPr>
          <w:rStyle w:val="FootnoteReference"/>
        </w:rPr>
        <w:footnoteRef/>
      </w:r>
      <w:r w:rsidRPr="00FF3491">
        <w:tab/>
      </w:r>
      <w:hyperlink r:id="rId14" w:history="1">
        <w:r w:rsidRPr="00FF3491">
          <w:rPr>
            <w:rStyle w:val="Hyperlink"/>
          </w:rPr>
          <w:t>IGE-INE, EPA Q4 2025</w:t>
        </w:r>
      </w:hyperlink>
      <w:r w:rsidRPr="00FF3491">
        <w:t>.</w:t>
      </w:r>
    </w:p>
  </w:footnote>
  <w:footnote w:id="15">
    <w:p w:rsidR="007E153F" w:rsidRPr="00FF3491" w:rsidRDefault="007E153F">
      <w:pPr>
        <w:pStyle w:val="FootnoteText"/>
      </w:pPr>
      <w:r w:rsidRPr="00FF3491">
        <w:rPr>
          <w:rStyle w:val="FootnoteReference"/>
        </w:rPr>
        <w:footnoteRef/>
      </w:r>
      <w:r w:rsidRPr="00FF3491">
        <w:tab/>
      </w:r>
      <w:hyperlink r:id="rId15" w:history="1">
        <w:r w:rsidRPr="00FF3491">
          <w:rPr>
            <w:rStyle w:val="Hyperlink"/>
          </w:rPr>
          <w:t>Eurostat</w:t>
        </w:r>
      </w:hyperlink>
      <w:r w:rsidRPr="00FF3491">
        <w:t>.</w:t>
      </w:r>
    </w:p>
  </w:footnote>
  <w:footnote w:id="16">
    <w:p w:rsidR="004032AD" w:rsidRPr="00FF3491" w:rsidRDefault="004032AD">
      <w:pPr>
        <w:pStyle w:val="FootnoteText"/>
      </w:pPr>
      <w:r w:rsidRPr="00FF3491">
        <w:rPr>
          <w:rStyle w:val="FootnoteReference"/>
        </w:rPr>
        <w:footnoteRef/>
      </w:r>
      <w:r w:rsidRPr="00FF3491">
        <w:tab/>
        <w:t>Akwel Vigo Spain și Troqueles y Moldes de Galicia.</w:t>
      </w:r>
    </w:p>
  </w:footnote>
  <w:footnote w:id="17">
    <w:p w:rsidR="00336E9F" w:rsidRPr="00FF3491" w:rsidRDefault="00336E9F">
      <w:pPr>
        <w:pStyle w:val="FootnoteText"/>
      </w:pPr>
      <w:r w:rsidRPr="00FF3491">
        <w:rPr>
          <w:rStyle w:val="FootnoteReference"/>
        </w:rPr>
        <w:footnoteRef/>
      </w:r>
      <w:r w:rsidRPr="00FF3491">
        <w:tab/>
        <w:t>Federația Industriei CCOO Galicia (</w:t>
      </w:r>
      <w:r w:rsidRPr="00FF3491">
        <w:rPr>
          <w:i/>
        </w:rPr>
        <w:t>Federación de industria de Comisiones Obreras de Galicia</w:t>
      </w:r>
      <w:r w:rsidRPr="00FF3491">
        <w:t>).</w:t>
      </w:r>
    </w:p>
  </w:footnote>
  <w:footnote w:id="18">
    <w:p w:rsidR="00DB077F" w:rsidRPr="00FF3491" w:rsidRDefault="00DB077F">
      <w:pPr>
        <w:pStyle w:val="FootnoteText"/>
      </w:pPr>
      <w:r w:rsidRPr="00FF3491">
        <w:rPr>
          <w:rStyle w:val="FootnoteReference"/>
        </w:rPr>
        <w:footnoteRef/>
      </w:r>
      <w:r w:rsidRPr="00FF3491">
        <w:tab/>
        <w:t>Federația Lucrătorilor din Industrie, Metalurgie, Construcții și din Industriile Conexe din cadrul UGT (</w:t>
      </w:r>
      <w:r w:rsidRPr="00FF3491">
        <w:rPr>
          <w:i/>
        </w:rPr>
        <w:t>Federación de Industria, Metal, Construcción y Afines de UGT</w:t>
      </w:r>
      <w:r w:rsidRPr="00FF3491">
        <w:t xml:space="preserve">). </w:t>
      </w:r>
    </w:p>
  </w:footnote>
  <w:footnote w:id="19">
    <w:p w:rsidR="009A5688" w:rsidRPr="00FF3491" w:rsidRDefault="009A5688">
      <w:pPr>
        <w:pStyle w:val="FootnoteText"/>
      </w:pPr>
      <w:r w:rsidRPr="00FF3491">
        <w:rPr>
          <w:rStyle w:val="FootnoteReference"/>
        </w:rPr>
        <w:footnoteRef/>
      </w:r>
      <w:r w:rsidRPr="00FF3491">
        <w:tab/>
        <w:t>Confederația Intersindicală Galiciană (</w:t>
      </w:r>
      <w:r w:rsidRPr="00FF3491">
        <w:rPr>
          <w:i/>
        </w:rPr>
        <w:t>Confederación Intersindical de Galicia</w:t>
      </w:r>
      <w:r w:rsidRPr="00FF3491">
        <w:t>).</w:t>
      </w:r>
    </w:p>
  </w:footnote>
  <w:footnote w:id="20">
    <w:p w:rsidR="001B747A" w:rsidRPr="00FF3491" w:rsidRDefault="001B747A">
      <w:pPr>
        <w:pStyle w:val="FootnoteText"/>
      </w:pPr>
      <w:r w:rsidRPr="00FF3491">
        <w:rPr>
          <w:rStyle w:val="FootnoteReference"/>
        </w:rPr>
        <w:footnoteRef/>
      </w:r>
      <w:r w:rsidRPr="00FF3491">
        <w:tab/>
        <w:t>Clusterul de întreprinderi din industria autovehiculelor din Galicia (</w:t>
      </w:r>
      <w:r w:rsidRPr="00FF3491">
        <w:rPr>
          <w:i/>
        </w:rPr>
        <w:t>Clúster de Empresas de Automoción de Galicia-CEAGA)</w:t>
      </w:r>
      <w:r w:rsidRPr="00FF3491">
        <w:t>.</w:t>
      </w:r>
    </w:p>
  </w:footnote>
  <w:footnote w:id="21">
    <w:p w:rsidR="004924A8" w:rsidRPr="00FF3491" w:rsidRDefault="004924A8">
      <w:pPr>
        <w:pStyle w:val="FootnoteText"/>
      </w:pPr>
      <w:r w:rsidRPr="00FF3491">
        <w:rPr>
          <w:rStyle w:val="FootnoteReference"/>
        </w:rPr>
        <w:footnoteRef/>
      </w:r>
      <w:r w:rsidRPr="00FF3491">
        <w:tab/>
        <w:t>Reuniuni organizate de Ministerul Regional al Ocupării Forței de Muncă, al Comerțului și al Emigrării.</w:t>
      </w:r>
    </w:p>
  </w:footnote>
  <w:footnote w:id="22">
    <w:p w:rsidR="001A62D7" w:rsidRPr="00FF3491" w:rsidRDefault="001A62D7" w:rsidP="001A62D7">
      <w:pPr>
        <w:pStyle w:val="FootnoteText"/>
      </w:pPr>
      <w:r w:rsidRPr="00FF3491">
        <w:rPr>
          <w:rStyle w:val="FootnoteReference"/>
        </w:rPr>
        <w:footnoteRef/>
      </w:r>
      <w:r w:rsidRPr="00FF3491">
        <w:tab/>
        <w:t>ISCED 0-2.</w:t>
      </w:r>
    </w:p>
  </w:footnote>
  <w:footnote w:id="23">
    <w:p w:rsidR="001A62D7" w:rsidRPr="00FF3491" w:rsidRDefault="001A62D7" w:rsidP="001A62D7">
      <w:pPr>
        <w:pStyle w:val="FootnoteText"/>
      </w:pPr>
      <w:r w:rsidRPr="00FF3491">
        <w:rPr>
          <w:rStyle w:val="FootnoteReference"/>
        </w:rPr>
        <w:footnoteRef/>
      </w:r>
      <w:r w:rsidRPr="00FF3491">
        <w:tab/>
        <w:t>ISCED 3.</w:t>
      </w:r>
    </w:p>
  </w:footnote>
  <w:footnote w:id="24">
    <w:p w:rsidR="001A62D7" w:rsidRPr="00FF3491" w:rsidRDefault="001A62D7" w:rsidP="001A62D7">
      <w:pPr>
        <w:pStyle w:val="FootnoteText"/>
      </w:pPr>
      <w:r w:rsidRPr="00FF3491">
        <w:rPr>
          <w:rStyle w:val="FootnoteReference"/>
        </w:rPr>
        <w:footnoteRef/>
      </w:r>
      <w:r w:rsidRPr="00FF3491">
        <w:tab/>
        <w:t>ISCED 4.</w:t>
      </w:r>
    </w:p>
  </w:footnote>
  <w:footnote w:id="25">
    <w:p w:rsidR="001A62D7" w:rsidRPr="00FF3491" w:rsidRDefault="001A62D7" w:rsidP="001A62D7">
      <w:pPr>
        <w:pStyle w:val="FootnoteText"/>
      </w:pPr>
      <w:r w:rsidRPr="00FF3491">
        <w:rPr>
          <w:rStyle w:val="FootnoteReference"/>
        </w:rPr>
        <w:footnoteRef/>
      </w:r>
      <w:r w:rsidRPr="00FF3491">
        <w:tab/>
        <w:t>ISCED 5-8.</w:t>
      </w:r>
    </w:p>
  </w:footnote>
  <w:footnote w:id="26">
    <w:p w:rsidR="00C239B8" w:rsidRPr="00FF3491" w:rsidRDefault="00C239B8">
      <w:pPr>
        <w:pStyle w:val="FootnoteText"/>
      </w:pPr>
      <w:r w:rsidRPr="00FF3491">
        <w:rPr>
          <w:rStyle w:val="FootnoteReference"/>
        </w:rPr>
        <w:footnoteRef/>
      </w:r>
      <w:r w:rsidRPr="00FF3491">
        <w:tab/>
        <w:t xml:space="preserve">Oficinas de Empleo de la Consejería de Empleo, Comercio e Inmigración/Consellería de Emprego, Comercio e Emigración. </w:t>
      </w:r>
    </w:p>
  </w:footnote>
  <w:footnote w:id="27">
    <w:p w:rsidR="004F5368" w:rsidRPr="00FF3491" w:rsidRDefault="004F5368" w:rsidP="004F5368">
      <w:pPr>
        <w:pStyle w:val="FootnoteText"/>
      </w:pPr>
      <w:r w:rsidRPr="00FF3491">
        <w:rPr>
          <w:rStyle w:val="FootnoteReference"/>
        </w:rPr>
        <w:footnoteRef/>
      </w:r>
      <w:r w:rsidRPr="00FF3491">
        <w:tab/>
        <w:t xml:space="preserve">Utilizarea instrumentelor de colaborare, analiza datelor aplicată mediilor industriale, securitatea cibernetică și o introducere în tehnologiile emergente, cum ar fi inteligența artificială în procesele de producție. </w:t>
      </w:r>
    </w:p>
  </w:footnote>
  <w:footnote w:id="28">
    <w:p w:rsidR="00EB2471" w:rsidRPr="00FF3491" w:rsidRDefault="00EB2471">
      <w:pPr>
        <w:pStyle w:val="FootnoteText"/>
      </w:pPr>
      <w:r w:rsidRPr="00FF3491">
        <w:rPr>
          <w:rStyle w:val="FootnoteReference"/>
        </w:rPr>
        <w:footnoteRef/>
      </w:r>
      <w:r w:rsidRPr="00FF3491">
        <w:tab/>
        <w:t xml:space="preserve">Manufacturing Execution Systems (sisteme de execuție a fabricației). </w:t>
      </w:r>
    </w:p>
  </w:footnote>
  <w:footnote w:id="29">
    <w:p w:rsidR="00EB2471" w:rsidRPr="00FF3491" w:rsidRDefault="00EB2471">
      <w:pPr>
        <w:pStyle w:val="FootnoteText"/>
      </w:pPr>
      <w:r w:rsidRPr="00FF3491">
        <w:rPr>
          <w:rStyle w:val="FootnoteReference"/>
        </w:rPr>
        <w:footnoteRef/>
      </w:r>
      <w:r w:rsidRPr="00FF3491">
        <w:tab/>
        <w:t>Supervisory Control and Data Acquisition (monitorizare, comandă și achiziție de date).</w:t>
      </w:r>
    </w:p>
  </w:footnote>
  <w:footnote w:id="30">
    <w:p w:rsidR="00EC4DA7" w:rsidRPr="00FF3491" w:rsidRDefault="00EC4DA7">
      <w:pPr>
        <w:pStyle w:val="FootnoteText"/>
      </w:pPr>
      <w:r w:rsidRPr="00FF3491">
        <w:rPr>
          <w:rStyle w:val="FootnoteReference"/>
        </w:rPr>
        <w:footnoteRef/>
      </w:r>
      <w:r w:rsidRPr="00FF3491">
        <w:tab/>
        <w:t>Robotics Process Automation (automatizarea proceselor robotizate).</w:t>
      </w:r>
    </w:p>
  </w:footnote>
  <w:footnote w:id="31">
    <w:p w:rsidR="009B4078" w:rsidRPr="00FF3491" w:rsidRDefault="009B4078">
      <w:pPr>
        <w:pStyle w:val="FootnoteText"/>
      </w:pPr>
      <w:r w:rsidRPr="00FF3491">
        <w:rPr>
          <w:rStyle w:val="FootnoteReference"/>
        </w:rPr>
        <w:footnoteRef/>
      </w:r>
      <w:r w:rsidRPr="00FF3491">
        <w:tab/>
        <w:t>Programmable Logic Controllers (controlere logice programabile).</w:t>
      </w:r>
    </w:p>
  </w:footnote>
  <w:footnote w:id="32">
    <w:p w:rsidR="001B498D" w:rsidRPr="00FF3491" w:rsidRDefault="001B498D">
      <w:pPr>
        <w:pStyle w:val="FootnoteText"/>
      </w:pPr>
      <w:r w:rsidRPr="00FF3491">
        <w:rPr>
          <w:rStyle w:val="FootnoteReference"/>
        </w:rPr>
        <w:footnoteRef/>
      </w:r>
      <w:r w:rsidRPr="00FF3491">
        <w:tab/>
      </w:r>
      <w:hyperlink r:id="rId16" w:history="1">
        <w:r w:rsidRPr="00FF3491">
          <w:rPr>
            <w:rStyle w:val="Hyperlink"/>
          </w:rPr>
          <w:t>Planul general pentru industria autovehiculelor din Galicia pentru perioada 2025-2027</w:t>
        </w:r>
      </w:hyperlink>
      <w:r w:rsidRPr="00FF3491">
        <w:t>.</w:t>
      </w:r>
    </w:p>
  </w:footnote>
  <w:footnote w:id="33">
    <w:p w:rsidR="00EC1FFE" w:rsidRPr="00FF3491" w:rsidRDefault="00EC1FFE">
      <w:pPr>
        <w:pStyle w:val="FootnoteText"/>
      </w:pPr>
      <w:r w:rsidRPr="00FF3491">
        <w:rPr>
          <w:rStyle w:val="FootnoteReference"/>
        </w:rPr>
        <w:footnoteRef/>
      </w:r>
      <w:r w:rsidRPr="00FF3491">
        <w:tab/>
        <w:t xml:space="preserve">Aeronautica este un sector cu o importanță industrială regională din ce în ce mai mare, cu o cerere ridicată de profiluri tehnice calificate și de competențe-cheie comune cu sectorul autovehiculelor. </w:t>
      </w:r>
    </w:p>
  </w:footnote>
  <w:footnote w:id="34">
    <w:p w:rsidR="00EC1FFE" w:rsidRPr="00FF3491" w:rsidRDefault="00EC1FFE">
      <w:pPr>
        <w:pStyle w:val="FootnoteText"/>
      </w:pPr>
      <w:r w:rsidRPr="00FF3491">
        <w:rPr>
          <w:rStyle w:val="FootnoteReference"/>
        </w:rPr>
        <w:footnoteRef/>
      </w:r>
      <w:r w:rsidRPr="00FF3491">
        <w:tab/>
        <w:t>Energia din surse regenerabile oferă o transferabilitate ridicată a competențelor din sectorul autovehiculelor, alături de creșterea cererii de energie eoliană, fotovoltaică și offshore.</w:t>
      </w:r>
    </w:p>
  </w:footnote>
  <w:footnote w:id="35">
    <w:p w:rsidR="001933D0" w:rsidRPr="00FF3491" w:rsidRDefault="001933D0">
      <w:pPr>
        <w:pStyle w:val="FootnoteText"/>
      </w:pPr>
      <w:r w:rsidRPr="00FF3491">
        <w:rPr>
          <w:rStyle w:val="FootnoteReference"/>
        </w:rPr>
        <w:footnoteRef/>
      </w:r>
      <w:r w:rsidRPr="00FF3491">
        <w:tab/>
        <w:t>Transportul și depozitarea sunt caracterizate de un nivel ridicat de creare de locuri de muncă, de bariere scăzute în materie de formare la intrare și de o capacitate puternică de inserție profesională imediată.</w:t>
      </w:r>
    </w:p>
  </w:footnote>
  <w:footnote w:id="36">
    <w:p w:rsidR="007C0AB0" w:rsidRPr="00FF3491" w:rsidRDefault="007C0AB0">
      <w:pPr>
        <w:pStyle w:val="FootnoteText"/>
      </w:pPr>
      <w:r w:rsidRPr="00FF3491">
        <w:rPr>
          <w:rStyle w:val="FootnoteReference"/>
        </w:rPr>
        <w:footnoteRef/>
      </w:r>
      <w:r w:rsidRPr="00FF3491">
        <w:tab/>
        <w:t>Infrastructura și întreținerea industrială demonstrează o capacitate puternică de absorbție a profilurilor industriale.</w:t>
      </w:r>
    </w:p>
  </w:footnote>
  <w:footnote w:id="37">
    <w:p w:rsidR="000E7D45" w:rsidRPr="00FF3491" w:rsidRDefault="000E7D45">
      <w:pPr>
        <w:pStyle w:val="FootnoteText"/>
      </w:pPr>
      <w:r w:rsidRPr="00FF3491">
        <w:rPr>
          <w:rStyle w:val="FootnoteReference"/>
        </w:rPr>
        <w:footnoteRef/>
      </w:r>
      <w:r w:rsidRPr="00FF3491">
        <w:tab/>
        <w:t>Ministerul Ocupării Forței de Muncă, al Comerțului și al Emigrării din cadrul Guvernului Galiciei (</w:t>
      </w:r>
      <w:r w:rsidRPr="00FF3491">
        <w:rPr>
          <w:i/>
        </w:rPr>
        <w:t>Consejería de Empleo, Comercio e Inmigración/Consellería de Emprego, Comercio e Emigración de la Xunta de Galicia</w:t>
      </w:r>
      <w:r w:rsidRPr="00FF3491">
        <w:t>).</w:t>
      </w:r>
    </w:p>
  </w:footnote>
  <w:footnote w:id="38">
    <w:p w:rsidR="001A62D7" w:rsidRPr="00FF3491" w:rsidRDefault="001A62D7" w:rsidP="001A62D7">
      <w:pPr>
        <w:pStyle w:val="FootnoteText"/>
      </w:pPr>
      <w:r w:rsidRPr="00FF3491">
        <w:rPr>
          <w:rStyle w:val="FootnoteReference"/>
        </w:rPr>
        <w:footnoteRef/>
      </w:r>
      <w:r w:rsidRPr="00FF3491">
        <w:tab/>
        <w:t>Pentru a se evita zecimalele, costurile estimate per lucrător au fost rotunjite. Cu toate acestea, rotunjirile nu au niciun impact asupra costului total al fiecărei măsuri, care nu diferă de cel indicat în cererea prezentată de Spania.</w:t>
      </w:r>
    </w:p>
  </w:footnote>
  <w:footnote w:id="39">
    <w:p w:rsidR="001A62D7" w:rsidRPr="00FF3491" w:rsidRDefault="001A62D7" w:rsidP="001A62D7">
      <w:pPr>
        <w:pStyle w:val="FootnoteText"/>
      </w:pPr>
      <w:r w:rsidRPr="00FF3491">
        <w:rPr>
          <w:rStyle w:val="FootnoteReference"/>
        </w:rPr>
        <w:footnoteRef/>
      </w:r>
      <w:r w:rsidRPr="00FF3491">
        <w:tab/>
        <w:t>Totalurile nu corespund din cauza rotunjirii.</w:t>
      </w:r>
    </w:p>
  </w:footnote>
  <w:footnote w:id="40">
    <w:p w:rsidR="0042221A" w:rsidRPr="00FF3491" w:rsidRDefault="0042221A">
      <w:pPr>
        <w:pStyle w:val="FootnoteText"/>
      </w:pPr>
      <w:r w:rsidRPr="00FF3491">
        <w:rPr>
          <w:rStyle w:val="FootnoteReference"/>
        </w:rPr>
        <w:footnoteRef/>
      </w:r>
      <w:r w:rsidRPr="00FF3491">
        <w:tab/>
        <w:t>Costurile legate de măsurile pregătitoare vor fi acoperite exclusiv din fonduri naționale.</w:t>
      </w:r>
    </w:p>
  </w:footnote>
  <w:footnote w:id="41">
    <w:p w:rsidR="0042221A" w:rsidRPr="00FF3491" w:rsidRDefault="0042221A">
      <w:pPr>
        <w:pStyle w:val="FootnoteText"/>
      </w:pPr>
      <w:r w:rsidRPr="00FF3491">
        <w:rPr>
          <w:rStyle w:val="FootnoteReference"/>
        </w:rPr>
        <w:footnoteRef/>
      </w:r>
      <w:r w:rsidRPr="00FF3491">
        <w:tab/>
        <w:t>Costurile legate de control și raportare vor fi acoperite exclusiv din fonduri naționale.</w:t>
      </w:r>
    </w:p>
  </w:footnote>
  <w:footnote w:id="42">
    <w:p w:rsidR="00F904EC" w:rsidRPr="00FF3491" w:rsidRDefault="00F904EC">
      <w:pPr>
        <w:pStyle w:val="FootnoteText"/>
      </w:pPr>
      <w:r w:rsidRPr="00FF3491">
        <w:rPr>
          <w:rStyle w:val="FootnoteReference"/>
        </w:rPr>
        <w:footnoteRef/>
      </w:r>
      <w:r w:rsidRPr="00FF3491">
        <w:rPr>
          <w:i/>
        </w:rPr>
        <w:tab/>
        <w:t>Consejería de Empleo, Comercio e Inmigración/Consellería de Emprego, Comercio e Emigración de la Xunta de Galicia</w:t>
      </w:r>
      <w:r w:rsidRPr="00FF3491">
        <w:t>.</w:t>
      </w:r>
    </w:p>
  </w:footnote>
  <w:footnote w:id="43">
    <w:p w:rsidR="001A62D7" w:rsidRPr="00FF3491" w:rsidRDefault="001A62D7" w:rsidP="001A62D7">
      <w:pPr>
        <w:pStyle w:val="FootnoteText"/>
      </w:pPr>
      <w:r w:rsidRPr="00FF3491">
        <w:rPr>
          <w:rStyle w:val="FootnoteReference"/>
        </w:rPr>
        <w:footnoteRef/>
      </w:r>
      <w:r w:rsidRPr="00FF3491">
        <w:tab/>
        <w:t>JO</w:t>
      </w:r>
      <w:r w:rsidR="00FF3491">
        <w:t> </w:t>
      </w:r>
      <w:r w:rsidRPr="00FF3491">
        <w:t>L 433 I, 22.12.2020, p. 11, ELI: http://data.europa.eu/eli/reg/2020/2093/oj.</w:t>
      </w:r>
    </w:p>
  </w:footnote>
  <w:footnote w:id="44">
    <w:p w:rsidR="001A62D7" w:rsidRPr="00FF3491" w:rsidRDefault="001A62D7" w:rsidP="001A62D7">
      <w:pPr>
        <w:pStyle w:val="FootnoteText"/>
      </w:pPr>
      <w:r w:rsidRPr="00FF3491">
        <w:rPr>
          <w:rStyle w:val="FootnoteReference"/>
        </w:rPr>
        <w:footnoteRef/>
      </w:r>
      <w:r w:rsidRPr="00FF3491">
        <w:tab/>
        <w:t>JO</w:t>
      </w:r>
      <w:r w:rsidR="00FF3491">
        <w:t> </w:t>
      </w:r>
      <w:r w:rsidRPr="00FF3491">
        <w:t>L 433 I, 22.12.2020, p. 28, ELI: http://data.europa.eu/eli/agree_interinstit/2020/1222/oj.</w:t>
      </w:r>
    </w:p>
  </w:footnote>
  <w:footnote w:id="45">
    <w:p w:rsidR="001A62D7" w:rsidRPr="00FF3491" w:rsidRDefault="001A62D7" w:rsidP="001A62D7">
      <w:pPr>
        <w:pStyle w:val="FootnoteText"/>
      </w:pPr>
      <w:r w:rsidRPr="00FF3491">
        <w:rPr>
          <w:rStyle w:val="FootnoteReference"/>
        </w:rPr>
        <w:footnoteRef/>
      </w:r>
      <w:r w:rsidRPr="00FF3491">
        <w:tab/>
        <w:t>Regulamentul (UE, Euratom) 2024/2509 al Parlamentului European și al Consiliului din 23 septembrie 2024 privind normele financiare aplicabile bugetului general al Uniunii (reformare) JO L, 2024/2509, 26.9.2024, ELI: http://data.europa.eu/eli/reg/2024/2509/oj.</w:t>
      </w:r>
    </w:p>
  </w:footnote>
  <w:footnote w:id="46">
    <w:p w:rsidR="001A62D7" w:rsidRPr="00FF3491" w:rsidRDefault="001A62D7" w:rsidP="001A62D7">
      <w:pPr>
        <w:pStyle w:val="FootnoteText"/>
      </w:pPr>
      <w:r w:rsidRPr="00FF3491">
        <w:rPr>
          <w:rStyle w:val="FootnoteReference"/>
        </w:rPr>
        <w:footnoteRef/>
      </w:r>
      <w:r w:rsidRPr="00FF3491">
        <w:tab/>
        <w:t>JO</w:t>
      </w:r>
      <w:r w:rsidR="00FF3491">
        <w:t> </w:t>
      </w:r>
      <w:r w:rsidRPr="00FF3491">
        <w:t>L 153, 3.5.2021, p. 48,</w:t>
      </w:r>
      <w:r w:rsidRPr="00FF3491">
        <w:rPr>
          <w:sz w:val="24"/>
        </w:rPr>
        <w:t xml:space="preserve"> </w:t>
      </w:r>
      <w:r w:rsidRPr="00FF3491">
        <w:t>ELI: http://data.europa.eu/eli/reg/2021/691/oj.</w:t>
      </w:r>
    </w:p>
  </w:footnote>
  <w:footnote w:id="47">
    <w:p w:rsidR="001A62D7" w:rsidRPr="00FF3491" w:rsidRDefault="001A62D7" w:rsidP="001A62D7">
      <w:pPr>
        <w:pStyle w:val="FootnoteText"/>
      </w:pPr>
      <w:r w:rsidRPr="00FF3491">
        <w:rPr>
          <w:rStyle w:val="FootnoteReference"/>
        </w:rPr>
        <w:footnoteRef/>
      </w:r>
      <w:r w:rsidRPr="00FF3491">
        <w:tab/>
        <w:t>JO</w:t>
      </w:r>
      <w:r w:rsidR="00FF3491">
        <w:t> </w:t>
      </w:r>
      <w:r w:rsidRPr="00FF3491">
        <w:t>L 433 I, 22.12.2020, p. 28, ELI: http://data.europa.eu/eli/agree_interinstit/2020/1222/oj.</w:t>
      </w:r>
    </w:p>
  </w:footnote>
  <w:footnote w:id="48">
    <w:p w:rsidR="001A62D7" w:rsidRPr="00FF3491" w:rsidRDefault="001A62D7" w:rsidP="001A62D7">
      <w:pPr>
        <w:pStyle w:val="FootnoteText"/>
      </w:pPr>
      <w:r w:rsidRPr="00FF3491">
        <w:rPr>
          <w:rStyle w:val="FootnoteReference"/>
        </w:rPr>
        <w:footnoteRef/>
      </w:r>
      <w:r w:rsidRPr="00FF3491">
        <w:tab/>
        <w:t>Regulamentul (UE, Euratom) 2020/2093 al Consiliului din 17 decembrie 2020 de stabilire a cadrului financiar multianual pentru perioada 2021-2027 (JO</w:t>
      </w:r>
      <w:r w:rsidR="00FF3491">
        <w:t> </w:t>
      </w:r>
      <w:r w:rsidRPr="00FF3491">
        <w:t>L</w:t>
      </w:r>
      <w:r w:rsidR="00FF3491">
        <w:t> </w:t>
      </w:r>
      <w:r w:rsidRPr="00FF3491">
        <w:t>433</w:t>
      </w:r>
      <w:r w:rsidR="00FF3491">
        <w:t> </w:t>
      </w:r>
      <w:r w:rsidRPr="00FF3491">
        <w:t>I, 22.12.2020, p. 11, ELI: http://data.europa.eu/eli/reg/2020/2093/oj).</w:t>
      </w:r>
    </w:p>
  </w:footnote>
  <w:footnote w:id="49">
    <w:p w:rsidR="001A62D7" w:rsidRPr="00FF3491" w:rsidRDefault="001A62D7" w:rsidP="001A62D7">
      <w:pPr>
        <w:pStyle w:val="FootnoteText"/>
      </w:pPr>
      <w:r w:rsidRPr="00FF3491">
        <w:rPr>
          <w:rStyle w:val="FootnoteReference"/>
        </w:rPr>
        <w:footnoteRef/>
      </w:r>
      <w:r w:rsidRPr="00FF3491">
        <w:tab/>
        <w:t>Regulamentul (CE) nr. 1893/2006 al Parlamentului European și al Consiliului din 20 decembrie 2006 de stabilire a Nomenclatorului statistic al activităților economice NACE a doua revizuire și de modificare a Regulamentului (CEE) nr. 3037/90 al Consiliului, precum și a anumitor regulamente CE privind domenii statistice specifice (JO</w:t>
      </w:r>
      <w:r w:rsidR="00FF3491">
        <w:t> </w:t>
      </w:r>
      <w:r w:rsidRPr="00FF3491">
        <w:t>L 393, 30.12.2006, p. 1).</w:t>
      </w:r>
    </w:p>
  </w:footnote>
  <w:footnote w:id="50">
    <w:p w:rsidR="001A62D7" w:rsidRPr="00FF3491" w:rsidRDefault="001A62D7" w:rsidP="001A62D7">
      <w:pPr>
        <w:pStyle w:val="FootnoteText"/>
        <w:rPr>
          <w:color w:val="FF0000"/>
        </w:rPr>
      </w:pPr>
      <w:r w:rsidRPr="00FF3491">
        <w:rPr>
          <w:rStyle w:val="FootnoteReference"/>
        </w:rPr>
        <w:footnoteRef/>
      </w:r>
      <w:r w:rsidRPr="00FF3491">
        <w:tab/>
        <w:t>Regulamentul Delegat (UE) 2019/1755 al Comisiei din 8 august 2019 de modificare a anexelor la Regulamentul (CE) nr. 1059/2003 al Parlamentului European și al Consiliului privind instituirea unui nomenclator comun al unităților teritoriale de statistică (NUTS). JO</w:t>
      </w:r>
      <w:r w:rsidR="00FF3491">
        <w:t> </w:t>
      </w:r>
      <w:r w:rsidRPr="00FF3491">
        <w:t>L 270, 24.10.2019, p. 1.</w:t>
      </w:r>
    </w:p>
  </w:footnote>
  <w:footnote w:id="51">
    <w:p w:rsidR="001A62D7" w:rsidRPr="00FF3491" w:rsidRDefault="001A62D7" w:rsidP="001A62D7">
      <w:pPr>
        <w:pStyle w:val="FootnoteText"/>
      </w:pPr>
      <w:r w:rsidRPr="00FF3491">
        <w:rPr>
          <w:rStyle w:val="FootnoteReference"/>
        </w:rPr>
        <w:footnoteRef/>
      </w:r>
      <w:r w:rsidRPr="00FF3491">
        <w:tab/>
        <w:t>COM(2026) 170.</w:t>
      </w:r>
    </w:p>
  </w:footnote>
  <w:footnote w:id="52">
    <w:p w:rsidR="00281AE4" w:rsidRPr="00281AE4" w:rsidRDefault="00281AE4">
      <w:pPr>
        <w:pStyle w:val="FootnoteText"/>
      </w:pPr>
      <w:r w:rsidRPr="00FF3491">
        <w:rPr>
          <w:rStyle w:val="FootnoteReference"/>
        </w:rPr>
        <w:t>*</w:t>
      </w:r>
      <w:r w:rsidRPr="00FF3491">
        <w:tab/>
      </w:r>
      <w:r w:rsidRPr="00FF3491">
        <w:rPr>
          <w:color w:val="FF0000"/>
        </w:rPr>
        <w:t>Data urmează să fie introdusă de către Parlament înainte de publicarea în JO.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3B1F" w:rsidRDefault="001D3B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3B1F" w:rsidRDefault="001D3B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startOverride w:val="1"/>
    </w:lvlOverride>
  </w:num>
  <w:num w:numId="19">
    <w:abstractNumId w:val="12"/>
  </w:num>
  <w:num w:numId="20">
    <w:abstractNumId w:val="12"/>
    <w:lvlOverride w:ilvl="0">
      <w:startOverride w:val="1"/>
    </w:lvlOverride>
  </w:num>
  <w:num w:numId="21">
    <w:abstractNumId w:val="23"/>
  </w:num>
  <w:num w:numId="22">
    <w:abstractNumId w:val="12"/>
  </w:num>
  <w:num w:numId="23">
    <w:abstractNumId w:val="26"/>
  </w:num>
  <w:num w:numId="24">
    <w:abstractNumId w:val="6"/>
  </w:num>
  <w:num w:numId="25">
    <w:abstractNumId w:val="13"/>
  </w:num>
  <w:num w:numId="26">
    <w:abstractNumId w:val="14"/>
  </w:num>
  <w:num w:numId="27">
    <w:abstractNumId w:val="4"/>
  </w:num>
  <w:num w:numId="28">
    <w:abstractNumId w:val="25"/>
  </w:num>
  <w:num w:numId="29">
    <w:abstractNumId w:val="3"/>
  </w:num>
  <w:num w:numId="30">
    <w:abstractNumId w:val="15"/>
  </w:num>
  <w:num w:numId="31">
    <w:abstractNumId w:val="21"/>
  </w:num>
  <w:num w:numId="32">
    <w:abstractNumId w:val="22"/>
  </w:num>
  <w:num w:numId="33">
    <w:abstractNumId w:val="5"/>
  </w:num>
  <w:num w:numId="34">
    <w:abstractNumId w:val="19"/>
  </w:num>
  <w:num w:numId="35">
    <w:abstractNumId w:val="30"/>
  </w:num>
  <w:num w:numId="36">
    <w:abstractNumId w:val="23"/>
  </w:num>
  <w:num w:numId="37">
    <w:abstractNumId w:val="12"/>
  </w:num>
  <w:num w:numId="38">
    <w:abstractNumId w:val="26"/>
  </w:num>
  <w:num w:numId="39">
    <w:abstractNumId w:val="6"/>
  </w:num>
  <w:num w:numId="40">
    <w:abstractNumId w:val="13"/>
  </w:num>
  <w:num w:numId="41">
    <w:abstractNumId w:val="14"/>
  </w:num>
  <w:num w:numId="42">
    <w:abstractNumId w:val="4"/>
  </w:num>
  <w:num w:numId="43">
    <w:abstractNumId w:val="25"/>
  </w:num>
  <w:num w:numId="44">
    <w:abstractNumId w:val="3"/>
  </w:num>
  <w:num w:numId="45">
    <w:abstractNumId w:val="15"/>
  </w:num>
  <w:num w:numId="46">
    <w:abstractNumId w:val="21"/>
  </w:num>
  <w:num w:numId="47">
    <w:abstractNumId w:val="22"/>
  </w:num>
  <w:num w:numId="48">
    <w:abstractNumId w:val="5"/>
  </w:num>
  <w:num w:numId="49">
    <w:abstractNumId w:val="19"/>
  </w:num>
  <w:num w:numId="50">
    <w:abstractNumId w:val="30"/>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ocumentProtection w:edit="forms" w:enforcement="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13 20:14:3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3B2F2C20-6381-4FF1-A765-730EA6FB9121"/>
    <w:docVar w:name="LW_COVERPAGE_TYPE" w:val="1"/>
    <w:docVar w:name="LW_CreatedUtc" w:val="2025-02-03T12:09:04.7855178Z"/>
    <w:docVar w:name="LW_CROSSREFERENCE" w:val="&lt;UNUSED&gt;"/>
    <w:docVar w:name="LW_DocType" w:val="COM"/>
    <w:docVar w:name="LW_EMISSION" w:val="16.7.2026"/>
    <w:docVar w:name="LW_EMISSION_ISODATE" w:val="2026-07-16"/>
    <w:docVar w:name="LW_EMISSION_LOCATION" w:val="BRX"/>
    <w:docVar w:name="LW_EMISSION_PREFIX" w:val="Bruxelles, "/>
    <w:docVar w:name="LW_EMISSION_SUFFIX" w:val=" "/>
    <w:docVar w:name="LW_ID_DOCMODEL" w:val="SJ-026"/>
    <w:docVar w:name="LW_ID_DOCSIGNATURE" w:val="SJ-026"/>
    <w:docVar w:name="LW_ID_DOCSTRUCTURE" w:val="COM/PL/ORG"/>
    <w:docVar w:name="LW_ID_DOCTYPE" w:val="SJ-026"/>
    <w:docVar w:name="LW_ID_STATUT" w:val="SJ-026"/>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BUD"/>
    <w:docVar w:name="LW_REF.II.NEW.CP_NUMBER" w:val="0195"/>
    <w:docVar w:name="LW_REF.II.NEW.CP_YEAR" w:val="2026"/>
    <w:docVar w:name="LW_REF.INST.NEW" w:val="COM"/>
    <w:docVar w:name="LW_REF.INST.NEW_ADOPTED" w:val="final"/>
    <w:docVar w:name="LW_REF.INST.NEW_TEXT" w:val="(2026) 17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mobilizarea Fondului european de ajustare la globalizare pentru lucr\u259?torii disponibiliza\u539?i în urma unei cereri din partea Spaniei EGF/2026/002 ES/Sectoarele auxiliare industriei autovehiculelor din Galicia"/>
    <w:docVar w:name="LW_TYPE.DOC.CP" w:val="DECIZIE A PARLAMENTULUI EUROPEAN \u536?I A CONSILIULUI"/>
    <w:docVar w:name="LwApiVersions" w:val="LW4CoDe 1.24.5.0; LW 9.2, Build 20251112"/>
  </w:docVars>
  <w:rsids>
    <w:rsidRoot w:val="001A62D7"/>
    <w:rsid w:val="00003509"/>
    <w:rsid w:val="00004BAF"/>
    <w:rsid w:val="000171AE"/>
    <w:rsid w:val="00026A17"/>
    <w:rsid w:val="000435E7"/>
    <w:rsid w:val="00044450"/>
    <w:rsid w:val="00044BB1"/>
    <w:rsid w:val="00064B2C"/>
    <w:rsid w:val="000918D5"/>
    <w:rsid w:val="000956A7"/>
    <w:rsid w:val="000966A5"/>
    <w:rsid w:val="000A411E"/>
    <w:rsid w:val="000B43AC"/>
    <w:rsid w:val="000C5490"/>
    <w:rsid w:val="000C62BC"/>
    <w:rsid w:val="000D7DB9"/>
    <w:rsid w:val="000E54A7"/>
    <w:rsid w:val="000E796A"/>
    <w:rsid w:val="000E7D45"/>
    <w:rsid w:val="000F24B9"/>
    <w:rsid w:val="000F29F2"/>
    <w:rsid w:val="001065F5"/>
    <w:rsid w:val="001238EF"/>
    <w:rsid w:val="0013736E"/>
    <w:rsid w:val="00145AB1"/>
    <w:rsid w:val="00145F53"/>
    <w:rsid w:val="00161D77"/>
    <w:rsid w:val="00165D5F"/>
    <w:rsid w:val="0018250E"/>
    <w:rsid w:val="001933D0"/>
    <w:rsid w:val="0019593B"/>
    <w:rsid w:val="00196B92"/>
    <w:rsid w:val="00197613"/>
    <w:rsid w:val="001A29C6"/>
    <w:rsid w:val="001A62D7"/>
    <w:rsid w:val="001B0361"/>
    <w:rsid w:val="001B0E0C"/>
    <w:rsid w:val="001B498D"/>
    <w:rsid w:val="001B747A"/>
    <w:rsid w:val="001B7E21"/>
    <w:rsid w:val="001C58A8"/>
    <w:rsid w:val="001D3672"/>
    <w:rsid w:val="001D3B1F"/>
    <w:rsid w:val="001E79C8"/>
    <w:rsid w:val="001F1BF2"/>
    <w:rsid w:val="00203BFD"/>
    <w:rsid w:val="00207E64"/>
    <w:rsid w:val="0022114D"/>
    <w:rsid w:val="00226C7F"/>
    <w:rsid w:val="00233DC7"/>
    <w:rsid w:val="00241826"/>
    <w:rsid w:val="00247779"/>
    <w:rsid w:val="00255E4E"/>
    <w:rsid w:val="00265183"/>
    <w:rsid w:val="00265BB3"/>
    <w:rsid w:val="00281AE4"/>
    <w:rsid w:val="0028205A"/>
    <w:rsid w:val="0028567E"/>
    <w:rsid w:val="00285BEE"/>
    <w:rsid w:val="00285C0D"/>
    <w:rsid w:val="00287EEB"/>
    <w:rsid w:val="002910D1"/>
    <w:rsid w:val="00294FC0"/>
    <w:rsid w:val="0029533F"/>
    <w:rsid w:val="002959F1"/>
    <w:rsid w:val="002A70E5"/>
    <w:rsid w:val="002B30AF"/>
    <w:rsid w:val="002C667E"/>
    <w:rsid w:val="002C701E"/>
    <w:rsid w:val="002D0016"/>
    <w:rsid w:val="002E1225"/>
    <w:rsid w:val="002E5EA1"/>
    <w:rsid w:val="002F0F09"/>
    <w:rsid w:val="00300687"/>
    <w:rsid w:val="0030399C"/>
    <w:rsid w:val="00305268"/>
    <w:rsid w:val="003171CA"/>
    <w:rsid w:val="0033344A"/>
    <w:rsid w:val="00336E9F"/>
    <w:rsid w:val="003421FC"/>
    <w:rsid w:val="00342DED"/>
    <w:rsid w:val="00343140"/>
    <w:rsid w:val="00365110"/>
    <w:rsid w:val="003812AA"/>
    <w:rsid w:val="003857D9"/>
    <w:rsid w:val="00385F14"/>
    <w:rsid w:val="0039521F"/>
    <w:rsid w:val="00396DAC"/>
    <w:rsid w:val="003979B1"/>
    <w:rsid w:val="003C39C4"/>
    <w:rsid w:val="003D3D6D"/>
    <w:rsid w:val="003E7F16"/>
    <w:rsid w:val="004032AD"/>
    <w:rsid w:val="00406EB1"/>
    <w:rsid w:val="00416DCB"/>
    <w:rsid w:val="0042221A"/>
    <w:rsid w:val="00423495"/>
    <w:rsid w:val="0042648E"/>
    <w:rsid w:val="00433EDC"/>
    <w:rsid w:val="004671F0"/>
    <w:rsid w:val="00485013"/>
    <w:rsid w:val="004924A8"/>
    <w:rsid w:val="004936D2"/>
    <w:rsid w:val="004A0B30"/>
    <w:rsid w:val="004A34B9"/>
    <w:rsid w:val="004B1226"/>
    <w:rsid w:val="004C314A"/>
    <w:rsid w:val="004D3EAA"/>
    <w:rsid w:val="004D790E"/>
    <w:rsid w:val="004F46E1"/>
    <w:rsid w:val="004F5368"/>
    <w:rsid w:val="004F5528"/>
    <w:rsid w:val="00503F72"/>
    <w:rsid w:val="00507EF2"/>
    <w:rsid w:val="00507F26"/>
    <w:rsid w:val="00520071"/>
    <w:rsid w:val="005206E6"/>
    <w:rsid w:val="005253A6"/>
    <w:rsid w:val="0052597B"/>
    <w:rsid w:val="00532962"/>
    <w:rsid w:val="00553ECB"/>
    <w:rsid w:val="00571BFE"/>
    <w:rsid w:val="00574487"/>
    <w:rsid w:val="00575749"/>
    <w:rsid w:val="00595936"/>
    <w:rsid w:val="00595DB2"/>
    <w:rsid w:val="005B1EB6"/>
    <w:rsid w:val="005B5E5A"/>
    <w:rsid w:val="005C2B1D"/>
    <w:rsid w:val="005C4C7E"/>
    <w:rsid w:val="005C65D7"/>
    <w:rsid w:val="005D0D5D"/>
    <w:rsid w:val="005D4FD4"/>
    <w:rsid w:val="005E047F"/>
    <w:rsid w:val="005E60E3"/>
    <w:rsid w:val="005F335F"/>
    <w:rsid w:val="00605200"/>
    <w:rsid w:val="00605A1A"/>
    <w:rsid w:val="006070D2"/>
    <w:rsid w:val="00612753"/>
    <w:rsid w:val="00645CDB"/>
    <w:rsid w:val="006515A2"/>
    <w:rsid w:val="006610FB"/>
    <w:rsid w:val="00664BC5"/>
    <w:rsid w:val="006662DD"/>
    <w:rsid w:val="00674268"/>
    <w:rsid w:val="00674A76"/>
    <w:rsid w:val="006771CD"/>
    <w:rsid w:val="00682245"/>
    <w:rsid w:val="0069046D"/>
    <w:rsid w:val="00695D63"/>
    <w:rsid w:val="006B5FAA"/>
    <w:rsid w:val="006E5A91"/>
    <w:rsid w:val="006F2B4D"/>
    <w:rsid w:val="0070290B"/>
    <w:rsid w:val="00715D6D"/>
    <w:rsid w:val="00731183"/>
    <w:rsid w:val="00731699"/>
    <w:rsid w:val="00737516"/>
    <w:rsid w:val="0075181C"/>
    <w:rsid w:val="00757A1E"/>
    <w:rsid w:val="00771F6F"/>
    <w:rsid w:val="00773331"/>
    <w:rsid w:val="00791ECB"/>
    <w:rsid w:val="007932EF"/>
    <w:rsid w:val="007A0C2F"/>
    <w:rsid w:val="007B3690"/>
    <w:rsid w:val="007C0AB0"/>
    <w:rsid w:val="007C116C"/>
    <w:rsid w:val="007C1A81"/>
    <w:rsid w:val="007C6DFE"/>
    <w:rsid w:val="007D45EC"/>
    <w:rsid w:val="007E05B0"/>
    <w:rsid w:val="007E05D9"/>
    <w:rsid w:val="007E153F"/>
    <w:rsid w:val="007E4E97"/>
    <w:rsid w:val="007F6054"/>
    <w:rsid w:val="00825F24"/>
    <w:rsid w:val="00832804"/>
    <w:rsid w:val="00840121"/>
    <w:rsid w:val="00842DE2"/>
    <w:rsid w:val="00846B3D"/>
    <w:rsid w:val="00861418"/>
    <w:rsid w:val="00872D17"/>
    <w:rsid w:val="00874D22"/>
    <w:rsid w:val="00886D8F"/>
    <w:rsid w:val="008958F2"/>
    <w:rsid w:val="008A2914"/>
    <w:rsid w:val="008D0904"/>
    <w:rsid w:val="008D1B07"/>
    <w:rsid w:val="008D2433"/>
    <w:rsid w:val="008D2CB8"/>
    <w:rsid w:val="008E0A34"/>
    <w:rsid w:val="008E4D8E"/>
    <w:rsid w:val="008F1D16"/>
    <w:rsid w:val="00937874"/>
    <w:rsid w:val="0094105D"/>
    <w:rsid w:val="00943BE5"/>
    <w:rsid w:val="009739AC"/>
    <w:rsid w:val="0097588C"/>
    <w:rsid w:val="009805F3"/>
    <w:rsid w:val="00983E8B"/>
    <w:rsid w:val="00985D0A"/>
    <w:rsid w:val="00987B82"/>
    <w:rsid w:val="009914DD"/>
    <w:rsid w:val="009942B8"/>
    <w:rsid w:val="009A3072"/>
    <w:rsid w:val="009A476A"/>
    <w:rsid w:val="009A5688"/>
    <w:rsid w:val="009B4078"/>
    <w:rsid w:val="009B4854"/>
    <w:rsid w:val="009C1C6F"/>
    <w:rsid w:val="009C2E1D"/>
    <w:rsid w:val="009E7442"/>
    <w:rsid w:val="009F2938"/>
    <w:rsid w:val="009F523C"/>
    <w:rsid w:val="00A02E1B"/>
    <w:rsid w:val="00A10F73"/>
    <w:rsid w:val="00A13970"/>
    <w:rsid w:val="00A16902"/>
    <w:rsid w:val="00A409C1"/>
    <w:rsid w:val="00A42E41"/>
    <w:rsid w:val="00A5644D"/>
    <w:rsid w:val="00A748C9"/>
    <w:rsid w:val="00A75BE8"/>
    <w:rsid w:val="00A81ED6"/>
    <w:rsid w:val="00A90BE2"/>
    <w:rsid w:val="00AC4D05"/>
    <w:rsid w:val="00AE477E"/>
    <w:rsid w:val="00AE5452"/>
    <w:rsid w:val="00AE6E50"/>
    <w:rsid w:val="00AE7D04"/>
    <w:rsid w:val="00AF6CDB"/>
    <w:rsid w:val="00B0078F"/>
    <w:rsid w:val="00B0477A"/>
    <w:rsid w:val="00B0540A"/>
    <w:rsid w:val="00B10303"/>
    <w:rsid w:val="00B12D62"/>
    <w:rsid w:val="00B1308F"/>
    <w:rsid w:val="00B2207B"/>
    <w:rsid w:val="00B404B7"/>
    <w:rsid w:val="00B5092E"/>
    <w:rsid w:val="00B52E6D"/>
    <w:rsid w:val="00B617B4"/>
    <w:rsid w:val="00B85464"/>
    <w:rsid w:val="00B93B0D"/>
    <w:rsid w:val="00BA399F"/>
    <w:rsid w:val="00BC23D3"/>
    <w:rsid w:val="00BC7DB9"/>
    <w:rsid w:val="00BE41E5"/>
    <w:rsid w:val="00BF33E4"/>
    <w:rsid w:val="00C054F9"/>
    <w:rsid w:val="00C0608D"/>
    <w:rsid w:val="00C12301"/>
    <w:rsid w:val="00C2027B"/>
    <w:rsid w:val="00C2079B"/>
    <w:rsid w:val="00C22B7B"/>
    <w:rsid w:val="00C22CCB"/>
    <w:rsid w:val="00C239B8"/>
    <w:rsid w:val="00C55B43"/>
    <w:rsid w:val="00C56E66"/>
    <w:rsid w:val="00C60083"/>
    <w:rsid w:val="00C6622E"/>
    <w:rsid w:val="00C6666D"/>
    <w:rsid w:val="00C964F4"/>
    <w:rsid w:val="00CA7EE1"/>
    <w:rsid w:val="00CC0130"/>
    <w:rsid w:val="00CC52A1"/>
    <w:rsid w:val="00D01C6B"/>
    <w:rsid w:val="00D022E6"/>
    <w:rsid w:val="00D068C3"/>
    <w:rsid w:val="00D163F9"/>
    <w:rsid w:val="00D16AC5"/>
    <w:rsid w:val="00D20381"/>
    <w:rsid w:val="00D4408D"/>
    <w:rsid w:val="00D51A37"/>
    <w:rsid w:val="00D54F1D"/>
    <w:rsid w:val="00D574B1"/>
    <w:rsid w:val="00D76287"/>
    <w:rsid w:val="00D83013"/>
    <w:rsid w:val="00DA5166"/>
    <w:rsid w:val="00DB077F"/>
    <w:rsid w:val="00DB409E"/>
    <w:rsid w:val="00DD32A0"/>
    <w:rsid w:val="00DE674B"/>
    <w:rsid w:val="00E1163B"/>
    <w:rsid w:val="00E2441E"/>
    <w:rsid w:val="00E346FB"/>
    <w:rsid w:val="00E468DA"/>
    <w:rsid w:val="00E54A23"/>
    <w:rsid w:val="00E72773"/>
    <w:rsid w:val="00E77E1C"/>
    <w:rsid w:val="00E948B7"/>
    <w:rsid w:val="00EA15A9"/>
    <w:rsid w:val="00EA1B38"/>
    <w:rsid w:val="00EB02F0"/>
    <w:rsid w:val="00EB1AE5"/>
    <w:rsid w:val="00EB2471"/>
    <w:rsid w:val="00EB443A"/>
    <w:rsid w:val="00EB4D9B"/>
    <w:rsid w:val="00EB7E74"/>
    <w:rsid w:val="00EC1FFE"/>
    <w:rsid w:val="00EC21F6"/>
    <w:rsid w:val="00EC4DA7"/>
    <w:rsid w:val="00EE4EA9"/>
    <w:rsid w:val="00EE5249"/>
    <w:rsid w:val="00EF01DB"/>
    <w:rsid w:val="00F04468"/>
    <w:rsid w:val="00F211CD"/>
    <w:rsid w:val="00F61BC9"/>
    <w:rsid w:val="00F76B79"/>
    <w:rsid w:val="00F87A6D"/>
    <w:rsid w:val="00F87FDE"/>
    <w:rsid w:val="00F904EC"/>
    <w:rsid w:val="00F956D3"/>
    <w:rsid w:val="00FA4162"/>
    <w:rsid w:val="00FA5322"/>
    <w:rsid w:val="00FB1E28"/>
    <w:rsid w:val="00FC38F8"/>
    <w:rsid w:val="00FC5264"/>
    <w:rsid w:val="00FC6C00"/>
    <w:rsid w:val="00FD69F5"/>
    <w:rsid w:val="00FF0E8A"/>
    <w:rsid w:val="00FF3491"/>
    <w:rsid w:val="00FF65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49135F58-2DE3-4C0E-842E-895763F0A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4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uiPriority w:val="99"/>
    <w:rsid w:val="001A62D7"/>
    <w:pPr>
      <w:numPr>
        <w:numId w:val="2"/>
      </w:numPr>
      <w:tabs>
        <w:tab w:val="num" w:pos="360"/>
      </w:tabs>
      <w:ind w:left="0" w:firstLine="0"/>
    </w:pPr>
    <w:rPr>
      <w:rFonts w:eastAsia="Times New Roman"/>
      <w:lang w:eastAsia="de-DE"/>
    </w:rPr>
  </w:style>
  <w:style w:type="paragraph" w:styleId="ListNumber">
    <w:name w:val="List Number"/>
    <w:basedOn w:val="Normal"/>
    <w:uiPriority w:val="99"/>
    <w:rsid w:val="001A62D7"/>
    <w:pPr>
      <w:numPr>
        <w:numId w:val="6"/>
      </w:numPr>
    </w:pPr>
    <w:rPr>
      <w:rFonts w:eastAsia="Times New Roman"/>
      <w:lang w:eastAsia="de-DE"/>
    </w:rPr>
  </w:style>
  <w:style w:type="paragraph" w:customStyle="1" w:styleId="ListBullet1">
    <w:name w:val="List Bullet 1"/>
    <w:basedOn w:val="Normal"/>
    <w:rsid w:val="001A62D7"/>
    <w:pPr>
      <w:numPr>
        <w:numId w:val="1"/>
      </w:numPr>
    </w:pPr>
    <w:rPr>
      <w:rFonts w:eastAsia="Times New Roman"/>
      <w:lang w:eastAsia="de-DE"/>
    </w:rPr>
  </w:style>
  <w:style w:type="paragraph" w:customStyle="1" w:styleId="ListDash">
    <w:name w:val="List Dash"/>
    <w:basedOn w:val="Normal"/>
    <w:rsid w:val="001A62D7"/>
    <w:pPr>
      <w:numPr>
        <w:numId w:val="3"/>
      </w:numPr>
    </w:pPr>
    <w:rPr>
      <w:rFonts w:eastAsia="Times New Roman"/>
      <w:lang w:eastAsia="de-DE"/>
    </w:rPr>
  </w:style>
  <w:style w:type="paragraph" w:customStyle="1" w:styleId="ListDash1">
    <w:name w:val="List Dash 1"/>
    <w:basedOn w:val="Normal"/>
    <w:rsid w:val="001A62D7"/>
    <w:pPr>
      <w:numPr>
        <w:numId w:val="4"/>
      </w:numPr>
    </w:pPr>
    <w:rPr>
      <w:rFonts w:eastAsia="Times New Roman"/>
      <w:lang w:eastAsia="de-DE"/>
    </w:rPr>
  </w:style>
  <w:style w:type="paragraph" w:customStyle="1" w:styleId="ListDash2">
    <w:name w:val="List Dash 2"/>
    <w:basedOn w:val="Normal"/>
    <w:rsid w:val="001A62D7"/>
    <w:pPr>
      <w:numPr>
        <w:numId w:val="5"/>
      </w:numPr>
    </w:pPr>
    <w:rPr>
      <w:rFonts w:eastAsia="Times New Roman"/>
      <w:lang w:eastAsia="de-DE"/>
    </w:rPr>
  </w:style>
  <w:style w:type="paragraph" w:customStyle="1" w:styleId="ListNumberLevel2">
    <w:name w:val="List Number (Level 2)"/>
    <w:basedOn w:val="Normal"/>
    <w:rsid w:val="001A62D7"/>
    <w:pPr>
      <w:numPr>
        <w:ilvl w:val="1"/>
        <w:numId w:val="6"/>
      </w:numPr>
    </w:pPr>
    <w:rPr>
      <w:rFonts w:eastAsia="Times New Roman"/>
      <w:lang w:eastAsia="de-DE"/>
    </w:rPr>
  </w:style>
  <w:style w:type="paragraph" w:customStyle="1" w:styleId="ListNumberLevel3">
    <w:name w:val="List Number (Level 3)"/>
    <w:basedOn w:val="Normal"/>
    <w:rsid w:val="001A62D7"/>
    <w:pPr>
      <w:numPr>
        <w:ilvl w:val="2"/>
        <w:numId w:val="6"/>
      </w:numPr>
    </w:pPr>
    <w:rPr>
      <w:rFonts w:eastAsia="Times New Roman"/>
      <w:lang w:eastAsia="de-DE"/>
    </w:rPr>
  </w:style>
  <w:style w:type="paragraph" w:customStyle="1" w:styleId="ListNumberLevel4">
    <w:name w:val="List Number (Level 4)"/>
    <w:basedOn w:val="Normal"/>
    <w:rsid w:val="001A62D7"/>
    <w:pPr>
      <w:numPr>
        <w:ilvl w:val="3"/>
        <w:numId w:val="6"/>
      </w:numPr>
    </w:pPr>
    <w:rPr>
      <w:rFonts w:eastAsia="Times New Roman"/>
      <w:lang w:eastAsia="de-DE"/>
    </w:rPr>
  </w:style>
  <w:style w:type="table" w:styleId="TableGrid">
    <w:name w:val="Table Grid"/>
    <w:basedOn w:val="TableNormal"/>
    <w:rsid w:val="001A62D7"/>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1A62D7"/>
    <w:rPr>
      <w:color w:val="0000FF"/>
      <w:u w:val="single"/>
    </w:rPr>
  </w:style>
  <w:style w:type="paragraph" w:styleId="ListBullet">
    <w:name w:val="List Bullet"/>
    <w:basedOn w:val="Normal"/>
    <w:uiPriority w:val="99"/>
    <w:rsid w:val="001A62D7"/>
    <w:pPr>
      <w:numPr>
        <w:numId w:val="7"/>
      </w:numPr>
    </w:pPr>
    <w:rPr>
      <w:rFonts w:eastAsia="Times New Roman"/>
      <w:lang w:eastAsia="en-GB"/>
    </w:rPr>
  </w:style>
  <w:style w:type="paragraph" w:styleId="ListBullet2">
    <w:name w:val="List Bullet 2"/>
    <w:basedOn w:val="Normal"/>
    <w:uiPriority w:val="99"/>
    <w:rsid w:val="001A62D7"/>
    <w:pPr>
      <w:numPr>
        <w:numId w:val="8"/>
      </w:numPr>
    </w:pPr>
    <w:rPr>
      <w:rFonts w:eastAsia="Times New Roman"/>
      <w:lang w:eastAsia="en-GB"/>
    </w:rPr>
  </w:style>
  <w:style w:type="paragraph" w:styleId="ListBullet3">
    <w:name w:val="List Bullet 3"/>
    <w:basedOn w:val="Normal"/>
    <w:uiPriority w:val="99"/>
    <w:rsid w:val="001A62D7"/>
    <w:pPr>
      <w:numPr>
        <w:numId w:val="9"/>
      </w:numPr>
    </w:pPr>
    <w:rPr>
      <w:rFonts w:eastAsia="Times New Roman"/>
      <w:lang w:eastAsia="en-GB"/>
    </w:rPr>
  </w:style>
  <w:style w:type="paragraph" w:styleId="ListNumber2">
    <w:name w:val="List Number 2"/>
    <w:basedOn w:val="Normal"/>
    <w:uiPriority w:val="99"/>
    <w:rsid w:val="001A62D7"/>
    <w:pPr>
      <w:numPr>
        <w:numId w:val="13"/>
      </w:numPr>
    </w:pPr>
    <w:rPr>
      <w:rFonts w:eastAsia="Times New Roman"/>
      <w:lang w:eastAsia="en-GB"/>
    </w:rPr>
  </w:style>
  <w:style w:type="paragraph" w:styleId="ListNumber3">
    <w:name w:val="List Number 3"/>
    <w:basedOn w:val="Normal"/>
    <w:uiPriority w:val="99"/>
    <w:rsid w:val="001A62D7"/>
    <w:pPr>
      <w:numPr>
        <w:numId w:val="14"/>
      </w:numPr>
    </w:pPr>
    <w:rPr>
      <w:rFonts w:eastAsia="Times New Roman"/>
      <w:lang w:eastAsia="en-GB"/>
    </w:rPr>
  </w:style>
  <w:style w:type="paragraph" w:styleId="ListNumber4">
    <w:name w:val="List Number 4"/>
    <w:basedOn w:val="Normal"/>
    <w:uiPriority w:val="99"/>
    <w:rsid w:val="001A62D7"/>
    <w:pPr>
      <w:numPr>
        <w:numId w:val="15"/>
      </w:numPr>
    </w:pPr>
    <w:rPr>
      <w:rFonts w:eastAsia="Times New Roman"/>
      <w:lang w:eastAsia="en-GB"/>
    </w:rPr>
  </w:style>
  <w:style w:type="paragraph" w:customStyle="1" w:styleId="ListDash3">
    <w:name w:val="List Dash 3"/>
    <w:basedOn w:val="Normal"/>
    <w:rsid w:val="001A62D7"/>
    <w:pPr>
      <w:numPr>
        <w:numId w:val="10"/>
      </w:numPr>
    </w:pPr>
    <w:rPr>
      <w:rFonts w:eastAsia="Times New Roman"/>
      <w:lang w:eastAsia="en-GB"/>
    </w:rPr>
  </w:style>
  <w:style w:type="paragraph" w:customStyle="1" w:styleId="ListDash4">
    <w:name w:val="List Dash 4"/>
    <w:basedOn w:val="Normal"/>
    <w:rsid w:val="001A62D7"/>
    <w:pPr>
      <w:numPr>
        <w:numId w:val="11"/>
      </w:numPr>
    </w:pPr>
    <w:rPr>
      <w:rFonts w:eastAsia="Times New Roman"/>
      <w:lang w:eastAsia="en-GB"/>
    </w:rPr>
  </w:style>
  <w:style w:type="paragraph" w:customStyle="1" w:styleId="ListNumber1">
    <w:name w:val="List Number 1"/>
    <w:basedOn w:val="Text1"/>
    <w:rsid w:val="001A62D7"/>
    <w:pPr>
      <w:numPr>
        <w:numId w:val="12"/>
      </w:numPr>
    </w:pPr>
    <w:rPr>
      <w:rFonts w:eastAsia="Times New Roman"/>
      <w:lang w:eastAsia="en-GB"/>
    </w:rPr>
  </w:style>
  <w:style w:type="paragraph" w:customStyle="1" w:styleId="ListNumber1Level2">
    <w:name w:val="List Number 1 (Level 2)"/>
    <w:basedOn w:val="Text1"/>
    <w:rsid w:val="001A62D7"/>
    <w:pPr>
      <w:numPr>
        <w:ilvl w:val="1"/>
        <w:numId w:val="12"/>
      </w:numPr>
    </w:pPr>
    <w:rPr>
      <w:rFonts w:eastAsia="Times New Roman"/>
      <w:lang w:eastAsia="en-GB"/>
    </w:rPr>
  </w:style>
  <w:style w:type="paragraph" w:customStyle="1" w:styleId="ListNumber2Level2">
    <w:name w:val="List Number 2 (Level 2)"/>
    <w:basedOn w:val="Text2"/>
    <w:rsid w:val="001A62D7"/>
    <w:pPr>
      <w:numPr>
        <w:ilvl w:val="1"/>
        <w:numId w:val="13"/>
      </w:numPr>
    </w:pPr>
    <w:rPr>
      <w:rFonts w:eastAsia="Times New Roman"/>
      <w:lang w:eastAsia="en-GB"/>
    </w:rPr>
  </w:style>
  <w:style w:type="paragraph" w:customStyle="1" w:styleId="ListNumber3Level2">
    <w:name w:val="List Number 3 (Level 2)"/>
    <w:basedOn w:val="Text3"/>
    <w:rsid w:val="001A62D7"/>
    <w:pPr>
      <w:numPr>
        <w:ilvl w:val="1"/>
        <w:numId w:val="14"/>
      </w:numPr>
    </w:pPr>
    <w:rPr>
      <w:rFonts w:eastAsia="Times New Roman"/>
      <w:lang w:eastAsia="en-GB"/>
    </w:rPr>
  </w:style>
  <w:style w:type="paragraph" w:customStyle="1" w:styleId="ListNumber4Level2">
    <w:name w:val="List Number 4 (Level 2)"/>
    <w:basedOn w:val="Text4"/>
    <w:rsid w:val="001A62D7"/>
    <w:pPr>
      <w:numPr>
        <w:ilvl w:val="1"/>
        <w:numId w:val="15"/>
      </w:numPr>
    </w:pPr>
    <w:rPr>
      <w:rFonts w:eastAsia="Times New Roman"/>
      <w:lang w:eastAsia="en-GB"/>
    </w:rPr>
  </w:style>
  <w:style w:type="paragraph" w:customStyle="1" w:styleId="ListNumber1Level3">
    <w:name w:val="List Number 1 (Level 3)"/>
    <w:basedOn w:val="Text1"/>
    <w:rsid w:val="001A62D7"/>
    <w:pPr>
      <w:numPr>
        <w:ilvl w:val="2"/>
        <w:numId w:val="12"/>
      </w:numPr>
    </w:pPr>
    <w:rPr>
      <w:rFonts w:eastAsia="Times New Roman"/>
      <w:lang w:eastAsia="en-GB"/>
    </w:rPr>
  </w:style>
  <w:style w:type="paragraph" w:customStyle="1" w:styleId="ListNumber2Level3">
    <w:name w:val="List Number 2 (Level 3)"/>
    <w:basedOn w:val="Text2"/>
    <w:rsid w:val="001A62D7"/>
    <w:pPr>
      <w:numPr>
        <w:ilvl w:val="2"/>
        <w:numId w:val="13"/>
      </w:numPr>
    </w:pPr>
    <w:rPr>
      <w:rFonts w:eastAsia="Times New Roman"/>
      <w:lang w:eastAsia="en-GB"/>
    </w:rPr>
  </w:style>
  <w:style w:type="paragraph" w:customStyle="1" w:styleId="ListNumber3Level3">
    <w:name w:val="List Number 3 (Level 3)"/>
    <w:basedOn w:val="Text3"/>
    <w:rsid w:val="001A62D7"/>
    <w:pPr>
      <w:numPr>
        <w:ilvl w:val="2"/>
        <w:numId w:val="14"/>
      </w:numPr>
    </w:pPr>
    <w:rPr>
      <w:rFonts w:eastAsia="Times New Roman"/>
      <w:lang w:eastAsia="en-GB"/>
    </w:rPr>
  </w:style>
  <w:style w:type="paragraph" w:customStyle="1" w:styleId="ListNumber4Level3">
    <w:name w:val="List Number 4 (Level 3)"/>
    <w:basedOn w:val="Text4"/>
    <w:rsid w:val="001A62D7"/>
    <w:pPr>
      <w:numPr>
        <w:ilvl w:val="2"/>
        <w:numId w:val="15"/>
      </w:numPr>
    </w:pPr>
    <w:rPr>
      <w:rFonts w:eastAsia="Times New Roman"/>
      <w:lang w:eastAsia="en-GB"/>
    </w:rPr>
  </w:style>
  <w:style w:type="paragraph" w:customStyle="1" w:styleId="ListNumber1Level4">
    <w:name w:val="List Number 1 (Level 4)"/>
    <w:basedOn w:val="Text1"/>
    <w:rsid w:val="001A62D7"/>
    <w:pPr>
      <w:numPr>
        <w:ilvl w:val="3"/>
        <w:numId w:val="12"/>
      </w:numPr>
    </w:pPr>
    <w:rPr>
      <w:rFonts w:eastAsia="Times New Roman"/>
      <w:lang w:eastAsia="en-GB"/>
    </w:rPr>
  </w:style>
  <w:style w:type="paragraph" w:customStyle="1" w:styleId="ListNumber2Level4">
    <w:name w:val="List Number 2 (Level 4)"/>
    <w:basedOn w:val="Text2"/>
    <w:rsid w:val="001A62D7"/>
    <w:pPr>
      <w:numPr>
        <w:ilvl w:val="3"/>
        <w:numId w:val="13"/>
      </w:numPr>
    </w:pPr>
    <w:rPr>
      <w:rFonts w:eastAsia="Times New Roman"/>
      <w:lang w:eastAsia="en-GB"/>
    </w:rPr>
  </w:style>
  <w:style w:type="paragraph" w:customStyle="1" w:styleId="ListNumber3Level4">
    <w:name w:val="List Number 3 (Level 4)"/>
    <w:basedOn w:val="Text3"/>
    <w:rsid w:val="001A62D7"/>
    <w:pPr>
      <w:numPr>
        <w:ilvl w:val="3"/>
        <w:numId w:val="14"/>
      </w:numPr>
    </w:pPr>
    <w:rPr>
      <w:rFonts w:eastAsia="Times New Roman"/>
      <w:lang w:eastAsia="en-GB"/>
    </w:rPr>
  </w:style>
  <w:style w:type="paragraph" w:customStyle="1" w:styleId="ListNumber4Level4">
    <w:name w:val="List Number 4 (Level 4)"/>
    <w:basedOn w:val="Text4"/>
    <w:rsid w:val="001A62D7"/>
    <w:pPr>
      <w:numPr>
        <w:ilvl w:val="3"/>
        <w:numId w:val="15"/>
      </w:numPr>
    </w:pPr>
    <w:rPr>
      <w:rFonts w:eastAsia="Times New Roman"/>
      <w:lang w:eastAsia="en-GB"/>
    </w:rPr>
  </w:style>
  <w:style w:type="paragraph" w:customStyle="1" w:styleId="Annexetitreacte">
    <w:name w:val="Annexe titre (acte)"/>
    <w:basedOn w:val="Normal"/>
    <w:next w:val="Normal"/>
    <w:rsid w:val="001A62D7"/>
    <w:pPr>
      <w:jc w:val="center"/>
    </w:pPr>
    <w:rPr>
      <w:rFonts w:eastAsia="Times New Roman"/>
      <w:b/>
      <w:u w:val="single"/>
      <w:lang w:eastAsia="en-GB"/>
    </w:rPr>
  </w:style>
  <w:style w:type="paragraph" w:customStyle="1" w:styleId="Annexetitreexposglobal">
    <w:name w:val="Annexe titre (exposé global)"/>
    <w:basedOn w:val="Normal"/>
    <w:next w:val="Normal"/>
    <w:rsid w:val="001A62D7"/>
    <w:pPr>
      <w:jc w:val="center"/>
    </w:pPr>
    <w:rPr>
      <w:rFonts w:eastAsia="Times New Roman"/>
      <w:b/>
      <w:u w:val="single"/>
      <w:lang w:eastAsia="en-GB"/>
    </w:rPr>
  </w:style>
  <w:style w:type="paragraph" w:customStyle="1" w:styleId="Annexetitrefichefinacte">
    <w:name w:val="Annexe titre (fiche fin. acte)"/>
    <w:basedOn w:val="Normal"/>
    <w:next w:val="Normal"/>
    <w:rsid w:val="001A62D7"/>
    <w:pPr>
      <w:jc w:val="center"/>
    </w:pPr>
    <w:rPr>
      <w:rFonts w:eastAsia="Times New Roman"/>
      <w:b/>
      <w:u w:val="single"/>
      <w:lang w:eastAsia="en-GB"/>
    </w:rPr>
  </w:style>
  <w:style w:type="paragraph" w:customStyle="1" w:styleId="Annexetitrefichefinglobale">
    <w:name w:val="Annexe titre (fiche fin. globale)"/>
    <w:basedOn w:val="Normal"/>
    <w:next w:val="Normal"/>
    <w:rsid w:val="001A62D7"/>
    <w:pPr>
      <w:jc w:val="center"/>
    </w:pPr>
    <w:rPr>
      <w:rFonts w:eastAsia="Times New Roman"/>
      <w:b/>
      <w:u w:val="single"/>
      <w:lang w:eastAsia="en-GB"/>
    </w:rPr>
  </w:style>
  <w:style w:type="paragraph" w:customStyle="1" w:styleId="Annexetitreglobale">
    <w:name w:val="Annexe titre (globale)"/>
    <w:basedOn w:val="Normal"/>
    <w:next w:val="Normal"/>
    <w:rsid w:val="001A62D7"/>
    <w:pPr>
      <w:jc w:val="center"/>
    </w:pPr>
    <w:rPr>
      <w:rFonts w:eastAsia="Times New Roman"/>
      <w:b/>
      <w:u w:val="single"/>
      <w:lang w:eastAsia="en-GB"/>
    </w:rPr>
  </w:style>
  <w:style w:type="paragraph" w:customStyle="1" w:styleId="Exposdesmotifstitreglobal">
    <w:name w:val="Exposé des motifs titre (global)"/>
    <w:basedOn w:val="Normal"/>
    <w:next w:val="Normal"/>
    <w:rsid w:val="001A62D7"/>
    <w:pPr>
      <w:jc w:val="center"/>
    </w:pPr>
    <w:rPr>
      <w:rFonts w:eastAsia="Times New Roman"/>
      <w:b/>
      <w:u w:val="single"/>
      <w:lang w:eastAsia="en-GB"/>
    </w:rPr>
  </w:style>
  <w:style w:type="paragraph" w:customStyle="1" w:styleId="Langueoriginale">
    <w:name w:val="Langue originale"/>
    <w:basedOn w:val="Normal"/>
    <w:rsid w:val="001A62D7"/>
    <w:pPr>
      <w:spacing w:before="360"/>
      <w:jc w:val="center"/>
    </w:pPr>
    <w:rPr>
      <w:rFonts w:eastAsia="Times New Roman"/>
      <w:caps/>
      <w:lang w:eastAsia="en-GB"/>
    </w:rPr>
  </w:style>
  <w:style w:type="paragraph" w:customStyle="1" w:styleId="Phrasefinale">
    <w:name w:val="Phrase finale"/>
    <w:basedOn w:val="Normal"/>
    <w:next w:val="Normal"/>
    <w:rsid w:val="001A62D7"/>
    <w:pPr>
      <w:spacing w:before="360" w:after="0"/>
      <w:jc w:val="center"/>
    </w:pPr>
    <w:rPr>
      <w:rFonts w:eastAsia="Times New Roman"/>
      <w:lang w:eastAsia="en-GB"/>
    </w:rPr>
  </w:style>
  <w:style w:type="paragraph" w:customStyle="1" w:styleId="Prliminairetitre">
    <w:name w:val="Préliminaire titre"/>
    <w:basedOn w:val="Normal"/>
    <w:next w:val="Normal"/>
    <w:rsid w:val="001A62D7"/>
    <w:pPr>
      <w:spacing w:before="360" w:after="360"/>
      <w:jc w:val="center"/>
    </w:pPr>
    <w:rPr>
      <w:rFonts w:eastAsia="Times New Roman"/>
      <w:b/>
      <w:lang w:eastAsia="en-GB"/>
    </w:rPr>
  </w:style>
  <w:style w:type="paragraph" w:customStyle="1" w:styleId="Prliminairetype">
    <w:name w:val="Préliminaire type"/>
    <w:basedOn w:val="Normal"/>
    <w:next w:val="Normal"/>
    <w:rsid w:val="001A62D7"/>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1A62D7"/>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1A62D7"/>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1A62D7"/>
    <w:pPr>
      <w:spacing w:before="0" w:after="0"/>
      <w:ind w:left="5103"/>
      <w:jc w:val="left"/>
    </w:pPr>
    <w:rPr>
      <w:rFonts w:eastAsia="Times New Roman"/>
      <w:lang w:eastAsia="en-GB"/>
    </w:rPr>
  </w:style>
  <w:style w:type="paragraph" w:customStyle="1" w:styleId="Sous-titreobjetprliminaire">
    <w:name w:val="Sous-titre objet (préliminaire)"/>
    <w:basedOn w:val="Normal"/>
    <w:rsid w:val="001A62D7"/>
    <w:pPr>
      <w:spacing w:before="0" w:after="0"/>
      <w:jc w:val="center"/>
    </w:pPr>
    <w:rPr>
      <w:rFonts w:eastAsia="Times New Roman"/>
      <w:b/>
      <w:lang w:eastAsia="en-GB"/>
    </w:rPr>
  </w:style>
  <w:style w:type="paragraph" w:customStyle="1" w:styleId="Statutprliminaire">
    <w:name w:val="Statut (préliminaire)"/>
    <w:basedOn w:val="Normal"/>
    <w:next w:val="Normal"/>
    <w:rsid w:val="001A62D7"/>
    <w:pPr>
      <w:spacing w:before="360" w:after="0"/>
      <w:jc w:val="center"/>
    </w:pPr>
    <w:rPr>
      <w:rFonts w:eastAsia="Times New Roman"/>
      <w:lang w:eastAsia="en-GB"/>
    </w:rPr>
  </w:style>
  <w:style w:type="paragraph" w:customStyle="1" w:styleId="Titreobjetprliminaire">
    <w:name w:val="Titre objet (préliminaire)"/>
    <w:basedOn w:val="Normal"/>
    <w:next w:val="Normal"/>
    <w:rsid w:val="001A62D7"/>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1A62D7"/>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1A62D7"/>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1A62D7"/>
    <w:pPr>
      <w:jc w:val="center"/>
    </w:pPr>
    <w:rPr>
      <w:rFonts w:eastAsia="Times New Roman"/>
      <w:b/>
      <w:u w:val="single"/>
      <w:lang w:eastAsia="en-GB"/>
    </w:rPr>
  </w:style>
  <w:style w:type="paragraph" w:customStyle="1" w:styleId="Fichefinanciretravailtitre">
    <w:name w:val="Fiche financière (travail) titre"/>
    <w:basedOn w:val="Normal"/>
    <w:next w:val="Normal"/>
    <w:rsid w:val="001A62D7"/>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1A62D7"/>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1A62D7"/>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1A62D7"/>
    <w:pPr>
      <w:jc w:val="center"/>
    </w:pPr>
    <w:rPr>
      <w:rFonts w:eastAsia="Times New Roman"/>
      <w:b/>
      <w:u w:val="single"/>
      <w:lang w:eastAsia="en-GB"/>
    </w:rPr>
  </w:style>
  <w:style w:type="character" w:styleId="CommentReference">
    <w:name w:val="annotation reference"/>
    <w:uiPriority w:val="99"/>
    <w:rsid w:val="001A62D7"/>
    <w:rPr>
      <w:rFonts w:cs="Times New Roman"/>
      <w:sz w:val="16"/>
      <w:szCs w:val="16"/>
    </w:rPr>
  </w:style>
  <w:style w:type="paragraph" w:styleId="CommentText">
    <w:name w:val="annotation text"/>
    <w:basedOn w:val="Normal"/>
    <w:link w:val="CommentTextChar"/>
    <w:uiPriority w:val="99"/>
    <w:rsid w:val="001A62D7"/>
    <w:rPr>
      <w:rFonts w:eastAsia="Times New Roman"/>
      <w:sz w:val="20"/>
      <w:szCs w:val="20"/>
      <w:lang w:eastAsia="en-GB"/>
    </w:rPr>
  </w:style>
  <w:style w:type="character" w:customStyle="1" w:styleId="CommentTextChar">
    <w:name w:val="Comment Text Char"/>
    <w:basedOn w:val="DefaultParagraphFont"/>
    <w:link w:val="CommentText"/>
    <w:uiPriority w:val="99"/>
    <w:rsid w:val="001A62D7"/>
    <w:rPr>
      <w:rFonts w:ascii="Times New Roman" w:eastAsia="Times New Roman" w:hAnsi="Times New Roman" w:cs="Times New Roman"/>
      <w:sz w:val="20"/>
      <w:szCs w:val="20"/>
      <w:lang w:val="ro-RO" w:eastAsia="en-GB"/>
    </w:rPr>
  </w:style>
  <w:style w:type="paragraph" w:styleId="CommentSubject">
    <w:name w:val="annotation subject"/>
    <w:basedOn w:val="CommentText"/>
    <w:next w:val="CommentText"/>
    <w:link w:val="CommentSubjectChar"/>
    <w:uiPriority w:val="99"/>
    <w:rsid w:val="001A62D7"/>
    <w:rPr>
      <w:b/>
      <w:bCs/>
    </w:rPr>
  </w:style>
  <w:style w:type="character" w:customStyle="1" w:styleId="CommentSubjectChar">
    <w:name w:val="Comment Subject Char"/>
    <w:basedOn w:val="CommentTextChar"/>
    <w:link w:val="CommentSubject"/>
    <w:uiPriority w:val="99"/>
    <w:rsid w:val="001A62D7"/>
    <w:rPr>
      <w:rFonts w:ascii="Times New Roman" w:eastAsia="Times New Roman" w:hAnsi="Times New Roman" w:cs="Times New Roman"/>
      <w:b/>
      <w:bCs/>
      <w:sz w:val="20"/>
      <w:szCs w:val="20"/>
      <w:lang w:val="ro-RO" w:eastAsia="en-GB"/>
    </w:rPr>
  </w:style>
  <w:style w:type="paragraph" w:styleId="BalloonText">
    <w:name w:val="Balloon Text"/>
    <w:basedOn w:val="Normal"/>
    <w:link w:val="BalloonTextChar"/>
    <w:uiPriority w:val="99"/>
    <w:rsid w:val="001A62D7"/>
    <w:rPr>
      <w:rFonts w:ascii="Tahoma" w:eastAsia="Times New Roman" w:hAnsi="Tahoma" w:cs="Tahoma"/>
      <w:sz w:val="16"/>
      <w:szCs w:val="16"/>
      <w:lang w:eastAsia="en-GB"/>
    </w:rPr>
  </w:style>
  <w:style w:type="character" w:customStyle="1" w:styleId="BalloonTextChar">
    <w:name w:val="Balloon Text Char"/>
    <w:basedOn w:val="DefaultParagraphFont"/>
    <w:link w:val="BalloonText"/>
    <w:uiPriority w:val="99"/>
    <w:rsid w:val="001A62D7"/>
    <w:rPr>
      <w:rFonts w:ascii="Tahoma" w:eastAsia="Times New Roman" w:hAnsi="Tahoma" w:cs="Tahoma"/>
      <w:sz w:val="16"/>
      <w:szCs w:val="16"/>
      <w:lang w:val="ro-RO" w:eastAsia="en-GB"/>
    </w:rPr>
  </w:style>
  <w:style w:type="paragraph" w:styleId="Caption">
    <w:name w:val="caption"/>
    <w:basedOn w:val="Normal"/>
    <w:next w:val="Normal"/>
    <w:uiPriority w:val="35"/>
    <w:qFormat/>
    <w:rsid w:val="001A62D7"/>
    <w:rPr>
      <w:rFonts w:eastAsia="Times New Roman"/>
      <w:b/>
      <w:bCs/>
      <w:sz w:val="20"/>
      <w:szCs w:val="20"/>
      <w:lang w:eastAsia="en-GB"/>
    </w:rPr>
  </w:style>
  <w:style w:type="paragraph" w:styleId="TableofFigures">
    <w:name w:val="table of figures"/>
    <w:basedOn w:val="Normal"/>
    <w:next w:val="Normal"/>
    <w:uiPriority w:val="99"/>
    <w:rsid w:val="001A62D7"/>
    <w:rPr>
      <w:rFonts w:eastAsia="Times New Roman"/>
      <w:lang w:eastAsia="en-GB"/>
    </w:rPr>
  </w:style>
  <w:style w:type="character" w:styleId="PageNumber">
    <w:name w:val="page number"/>
    <w:rsid w:val="001A62D7"/>
  </w:style>
  <w:style w:type="character" w:customStyle="1" w:styleId="tw4winMark">
    <w:name w:val="tw4winMark"/>
    <w:rsid w:val="001A62D7"/>
    <w:rPr>
      <w:vanish/>
      <w:color w:val="800080"/>
      <w:vertAlign w:val="subscript"/>
    </w:rPr>
  </w:style>
  <w:style w:type="character" w:styleId="FollowedHyperlink">
    <w:name w:val="FollowedHyperlink"/>
    <w:rsid w:val="001A62D7"/>
    <w:rPr>
      <w:color w:val="800080"/>
      <w:u w:val="single"/>
    </w:rPr>
  </w:style>
  <w:style w:type="paragraph" w:customStyle="1" w:styleId="Sous-titreobjet">
    <w:name w:val="Sous-titre objet"/>
    <w:basedOn w:val="Normal"/>
    <w:rsid w:val="001A62D7"/>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1A62D7"/>
  </w:style>
  <w:style w:type="paragraph" w:styleId="Revision">
    <w:name w:val="Revision"/>
    <w:hidden/>
    <w:uiPriority w:val="99"/>
    <w:semiHidden/>
    <w:rsid w:val="001A62D7"/>
    <w:rPr>
      <w:rFonts w:ascii="Calibri" w:eastAsia="Calibri" w:hAnsi="Calibri" w:cs="Times New Roman"/>
      <w:sz w:val="24"/>
      <w:lang w:eastAsia="en-GB"/>
    </w:rPr>
  </w:style>
  <w:style w:type="paragraph" w:customStyle="1" w:styleId="FooterCoverPage">
    <w:name w:val="Footer Cover Page"/>
    <w:basedOn w:val="Normal"/>
    <w:link w:val="FooterCoverPageChar"/>
    <w:rsid w:val="001A62D7"/>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1A62D7"/>
    <w:rPr>
      <w:rFonts w:ascii="Times New Roman" w:hAnsi="Times New Roman" w:cs="Times New Roman"/>
      <w:b/>
      <w:sz w:val="28"/>
      <w:lang w:val="ro-RO"/>
    </w:rPr>
  </w:style>
  <w:style w:type="character" w:customStyle="1" w:styleId="FooterCoverPageChar">
    <w:name w:val="Footer Cover Page Char"/>
    <w:link w:val="FooterCoverPage"/>
    <w:rsid w:val="001A62D7"/>
    <w:rPr>
      <w:rFonts w:ascii="Times New Roman" w:eastAsia="Calibri" w:hAnsi="Times New Roman" w:cs="Times New Roman"/>
      <w:sz w:val="24"/>
      <w:lang w:val="ro-RO" w:eastAsia="en-GB"/>
    </w:rPr>
  </w:style>
  <w:style w:type="paragraph" w:customStyle="1" w:styleId="HeaderCoverPage">
    <w:name w:val="Header Cover Page"/>
    <w:basedOn w:val="Normal"/>
    <w:link w:val="HeaderCoverPageChar"/>
    <w:rsid w:val="001A62D7"/>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1A62D7"/>
    <w:rPr>
      <w:rFonts w:ascii="Times New Roman" w:eastAsia="Calibri" w:hAnsi="Times New Roman" w:cs="Times New Roman"/>
      <w:sz w:val="24"/>
      <w:lang w:val="ro-RO" w:eastAsia="en-GB"/>
    </w:rPr>
  </w:style>
  <w:style w:type="character" w:customStyle="1" w:styleId="FooterSensitivityChar">
    <w:name w:val="Footer Sensitivity Char"/>
    <w:rsid w:val="001A62D7"/>
    <w:rPr>
      <w:rFonts w:ascii="Times New Roman" w:hAnsi="Times New Roman" w:cs="Times New Roman"/>
      <w:b/>
      <w:sz w:val="32"/>
      <w:lang w:val="ro-RO"/>
    </w:rPr>
  </w:style>
  <w:style w:type="character" w:customStyle="1" w:styleId="HeaderSensitivityChar">
    <w:name w:val="Header Sensitivity Char"/>
    <w:rsid w:val="001A62D7"/>
    <w:rPr>
      <w:rFonts w:ascii="Times New Roman" w:hAnsi="Times New Roman" w:cs="Times New Roman"/>
      <w:b/>
      <w:sz w:val="32"/>
      <w:lang w:val="ro-RO"/>
    </w:rPr>
  </w:style>
  <w:style w:type="character" w:customStyle="1" w:styleId="HeaderSensitivityRightChar">
    <w:name w:val="Header Sensitivity Right Char"/>
    <w:rsid w:val="001A62D7"/>
    <w:rPr>
      <w:rFonts w:ascii="Times New Roman" w:hAnsi="Times New Roman" w:cs="Times New Roman"/>
      <w:sz w:val="28"/>
      <w:lang w:val="ro-RO"/>
    </w:rPr>
  </w:style>
  <w:style w:type="paragraph" w:customStyle="1" w:styleId="LegalNumPar">
    <w:name w:val="LegalNumPar"/>
    <w:basedOn w:val="Normal"/>
    <w:rsid w:val="001A62D7"/>
    <w:pPr>
      <w:numPr>
        <w:numId w:val="16"/>
      </w:numPr>
      <w:spacing w:line="360" w:lineRule="auto"/>
    </w:pPr>
    <w:rPr>
      <w:rFonts w:eastAsia="Times New Roman"/>
      <w:lang w:eastAsia="en-GB"/>
    </w:rPr>
  </w:style>
  <w:style w:type="paragraph" w:customStyle="1" w:styleId="LegalNumPar2">
    <w:name w:val="LegalNumPar2"/>
    <w:basedOn w:val="Normal"/>
    <w:rsid w:val="001A62D7"/>
    <w:pPr>
      <w:numPr>
        <w:ilvl w:val="1"/>
        <w:numId w:val="16"/>
      </w:numPr>
      <w:spacing w:line="360" w:lineRule="auto"/>
    </w:pPr>
    <w:rPr>
      <w:rFonts w:eastAsia="Times New Roman"/>
      <w:lang w:eastAsia="en-GB"/>
    </w:rPr>
  </w:style>
  <w:style w:type="paragraph" w:customStyle="1" w:styleId="LegalNumPar3">
    <w:name w:val="LegalNumPar3"/>
    <w:basedOn w:val="Normal"/>
    <w:rsid w:val="001A62D7"/>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1A62D7"/>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1A62D7"/>
    <w:rPr>
      <w:color w:val="605E5C"/>
      <w:shd w:val="clear" w:color="auto" w:fill="E1DFDD"/>
    </w:rPr>
  </w:style>
  <w:style w:type="character" w:styleId="Strong">
    <w:name w:val="Strong"/>
    <w:basedOn w:val="DefaultParagraphFont"/>
    <w:qFormat/>
    <w:rsid w:val="001A62D7"/>
    <w:rPr>
      <w:b/>
      <w:bCs/>
    </w:rPr>
  </w:style>
  <w:style w:type="character" w:styleId="Emphasis">
    <w:name w:val="Emphasis"/>
    <w:basedOn w:val="DefaultParagraphFont"/>
    <w:qFormat/>
    <w:rsid w:val="001A62D7"/>
    <w:rPr>
      <w:i/>
      <w:iCs/>
    </w:rPr>
  </w:style>
  <w:style w:type="character" w:customStyle="1" w:styleId="Mention">
    <w:name w:val="Mention"/>
    <w:basedOn w:val="DefaultParagraphFont"/>
    <w:uiPriority w:val="99"/>
    <w:unhideWhenUsed/>
    <w:rsid w:val="001A62D7"/>
    <w:rPr>
      <w:color w:val="2B579A"/>
      <w:shd w:val="clear" w:color="auto" w:fill="E1DFDD"/>
    </w:rPr>
  </w:style>
  <w:style w:type="character" w:customStyle="1" w:styleId="normaltextrun">
    <w:name w:val="normaltextrun"/>
    <w:basedOn w:val="DefaultParagraphFont"/>
    <w:rsid w:val="001A62D7"/>
  </w:style>
  <w:style w:type="character" w:customStyle="1" w:styleId="eop">
    <w:name w:val="eop"/>
    <w:basedOn w:val="DefaultParagraphFont"/>
    <w:rsid w:val="001A62D7"/>
  </w:style>
  <w:style w:type="character" w:customStyle="1" w:styleId="viiyi">
    <w:name w:val="viiyi"/>
    <w:basedOn w:val="DefaultParagraphFont"/>
    <w:rsid w:val="001A62D7"/>
  </w:style>
  <w:style w:type="character" w:customStyle="1" w:styleId="jlqj4b">
    <w:name w:val="jlqj4b"/>
    <w:basedOn w:val="DefaultParagraphFont"/>
    <w:rsid w:val="001A62D7"/>
  </w:style>
  <w:style w:type="character" w:customStyle="1" w:styleId="HeaderChar">
    <w:name w:val="Header Char"/>
    <w:basedOn w:val="DefaultParagraphFont"/>
    <w:link w:val="Header"/>
    <w:uiPriority w:val="99"/>
    <w:rsid w:val="001D3B1F"/>
    <w:rPr>
      <w:rFonts w:ascii="Times New Roman" w:hAnsi="Times New Roman" w:cs="Times New Roman"/>
      <w:sz w:val="24"/>
      <w:lang w:val="ro-RO"/>
    </w:rPr>
  </w:style>
  <w:style w:type="character" w:customStyle="1" w:styleId="FooterChar">
    <w:name w:val="Footer Char"/>
    <w:basedOn w:val="DefaultParagraphFont"/>
    <w:link w:val="Footer"/>
    <w:uiPriority w:val="99"/>
    <w:rsid w:val="001D3B1F"/>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1D3B1F"/>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D3B1F"/>
    <w:pPr>
      <w:spacing w:before="0"/>
      <w:jc w:val="right"/>
    </w:pPr>
    <w:rPr>
      <w:sz w:val="28"/>
    </w:rPr>
  </w:style>
  <w:style w:type="paragraph" w:customStyle="1" w:styleId="FooterSensitivity">
    <w:name w:val="Footer Sensitivity"/>
    <w:basedOn w:val="Normal"/>
    <w:rsid w:val="001D3B1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6"/>
      </w:numPr>
    </w:pPr>
  </w:style>
  <w:style w:type="paragraph" w:customStyle="1" w:styleId="Tiret1">
    <w:name w:val="Tiret 1"/>
    <w:basedOn w:val="Point1"/>
    <w:pPr>
      <w:numPr>
        <w:numId w:val="37"/>
      </w:numPr>
    </w:pPr>
  </w:style>
  <w:style w:type="paragraph" w:customStyle="1" w:styleId="Tiret2">
    <w:name w:val="Tiret 2"/>
    <w:basedOn w:val="Point2"/>
    <w:pPr>
      <w:numPr>
        <w:numId w:val="38"/>
      </w:numPr>
    </w:pPr>
  </w:style>
  <w:style w:type="paragraph" w:customStyle="1" w:styleId="Tiret3">
    <w:name w:val="Tiret 3"/>
    <w:basedOn w:val="Point3"/>
    <w:pPr>
      <w:numPr>
        <w:numId w:val="39"/>
      </w:numPr>
    </w:pPr>
  </w:style>
  <w:style w:type="paragraph" w:customStyle="1" w:styleId="Tiret4">
    <w:name w:val="Tiret 4"/>
    <w:basedOn w:val="Point4"/>
    <w:pPr>
      <w:numPr>
        <w:numId w:val="40"/>
      </w:numPr>
    </w:pPr>
  </w:style>
  <w:style w:type="paragraph" w:customStyle="1" w:styleId="Tiret5">
    <w:name w:val="Tiret 5"/>
    <w:basedOn w:val="Point5"/>
    <w:pPr>
      <w:numPr>
        <w:numId w:val="4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2"/>
      </w:numPr>
    </w:pPr>
  </w:style>
  <w:style w:type="paragraph" w:customStyle="1" w:styleId="NumPar2">
    <w:name w:val="NumPar 2"/>
    <w:basedOn w:val="Normal"/>
    <w:next w:val="Text1"/>
    <w:pPr>
      <w:numPr>
        <w:ilvl w:val="1"/>
        <w:numId w:val="42"/>
      </w:numPr>
    </w:pPr>
  </w:style>
  <w:style w:type="paragraph" w:customStyle="1" w:styleId="NumPar3">
    <w:name w:val="NumPar 3"/>
    <w:basedOn w:val="Normal"/>
    <w:next w:val="Text1"/>
    <w:pPr>
      <w:numPr>
        <w:ilvl w:val="2"/>
        <w:numId w:val="42"/>
      </w:numPr>
    </w:pPr>
  </w:style>
  <w:style w:type="paragraph" w:customStyle="1" w:styleId="NumPar4">
    <w:name w:val="NumPar 4"/>
    <w:basedOn w:val="Normal"/>
    <w:next w:val="Text1"/>
    <w:pPr>
      <w:numPr>
        <w:ilvl w:val="3"/>
        <w:numId w:val="42"/>
      </w:numPr>
    </w:pPr>
  </w:style>
  <w:style w:type="paragraph" w:customStyle="1" w:styleId="NumPar5">
    <w:name w:val="NumPar 5"/>
    <w:basedOn w:val="Normal"/>
    <w:next w:val="Text2"/>
    <w:pPr>
      <w:numPr>
        <w:ilvl w:val="4"/>
        <w:numId w:val="42"/>
      </w:numPr>
    </w:pPr>
  </w:style>
  <w:style w:type="paragraph" w:customStyle="1" w:styleId="NumPar6">
    <w:name w:val="NumPar 6"/>
    <w:basedOn w:val="Normal"/>
    <w:next w:val="Text2"/>
    <w:pPr>
      <w:numPr>
        <w:ilvl w:val="5"/>
        <w:numId w:val="42"/>
      </w:numPr>
    </w:pPr>
  </w:style>
  <w:style w:type="paragraph" w:customStyle="1" w:styleId="NumPar7">
    <w:name w:val="NumPar 7"/>
    <w:basedOn w:val="Normal"/>
    <w:next w:val="Text2"/>
    <w:pPr>
      <w:numPr>
        <w:ilvl w:val="6"/>
        <w:numId w:val="4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4"/>
      </w:numPr>
    </w:pPr>
  </w:style>
  <w:style w:type="paragraph" w:customStyle="1" w:styleId="Point1number">
    <w:name w:val="Point 1 (number)"/>
    <w:basedOn w:val="Normal"/>
    <w:pPr>
      <w:numPr>
        <w:ilvl w:val="2"/>
        <w:numId w:val="44"/>
      </w:numPr>
    </w:pPr>
  </w:style>
  <w:style w:type="paragraph" w:customStyle="1" w:styleId="Point2number">
    <w:name w:val="Point 2 (number)"/>
    <w:basedOn w:val="Normal"/>
    <w:pPr>
      <w:numPr>
        <w:ilvl w:val="4"/>
        <w:numId w:val="44"/>
      </w:numPr>
    </w:pPr>
  </w:style>
  <w:style w:type="paragraph" w:customStyle="1" w:styleId="Point3number">
    <w:name w:val="Point 3 (number)"/>
    <w:basedOn w:val="Normal"/>
    <w:pPr>
      <w:numPr>
        <w:ilvl w:val="6"/>
        <w:numId w:val="44"/>
      </w:numPr>
    </w:pPr>
  </w:style>
  <w:style w:type="paragraph" w:customStyle="1" w:styleId="Point0letter">
    <w:name w:val="Point 0 (letter)"/>
    <w:basedOn w:val="Normal"/>
    <w:pPr>
      <w:numPr>
        <w:ilvl w:val="1"/>
        <w:numId w:val="44"/>
      </w:numPr>
    </w:pPr>
  </w:style>
  <w:style w:type="paragraph" w:customStyle="1" w:styleId="Point1letter">
    <w:name w:val="Point 1 (letter)"/>
    <w:basedOn w:val="Normal"/>
    <w:pPr>
      <w:numPr>
        <w:ilvl w:val="3"/>
        <w:numId w:val="44"/>
      </w:numPr>
    </w:pPr>
  </w:style>
  <w:style w:type="paragraph" w:customStyle="1" w:styleId="Point2letter">
    <w:name w:val="Point 2 (letter)"/>
    <w:basedOn w:val="Normal"/>
    <w:pPr>
      <w:numPr>
        <w:ilvl w:val="5"/>
        <w:numId w:val="44"/>
      </w:numPr>
    </w:pPr>
  </w:style>
  <w:style w:type="paragraph" w:customStyle="1" w:styleId="Point3letter">
    <w:name w:val="Point 3 (letter)"/>
    <w:basedOn w:val="Normal"/>
    <w:pPr>
      <w:numPr>
        <w:ilvl w:val="7"/>
        <w:numId w:val="44"/>
      </w:numPr>
    </w:pPr>
  </w:style>
  <w:style w:type="paragraph" w:customStyle="1" w:styleId="Point4letter">
    <w:name w:val="Point 4 (letter)"/>
    <w:basedOn w:val="Normal"/>
    <w:pPr>
      <w:numPr>
        <w:ilvl w:val="8"/>
        <w:numId w:val="44"/>
      </w:numPr>
    </w:pPr>
  </w:style>
  <w:style w:type="paragraph" w:customStyle="1" w:styleId="Bullet0">
    <w:name w:val="Bullet 0"/>
    <w:basedOn w:val="Normal"/>
    <w:pPr>
      <w:numPr>
        <w:numId w:val="45"/>
      </w:numPr>
    </w:pPr>
  </w:style>
  <w:style w:type="paragraph" w:customStyle="1" w:styleId="Bullet1">
    <w:name w:val="Bullet 1"/>
    <w:basedOn w:val="Normal"/>
    <w:pPr>
      <w:numPr>
        <w:numId w:val="46"/>
      </w:numPr>
    </w:pPr>
  </w:style>
  <w:style w:type="paragraph" w:customStyle="1" w:styleId="Bullet2">
    <w:name w:val="Bullet 2"/>
    <w:basedOn w:val="Normal"/>
    <w:pPr>
      <w:numPr>
        <w:numId w:val="47"/>
      </w:numPr>
    </w:pPr>
  </w:style>
  <w:style w:type="paragraph" w:customStyle="1" w:styleId="Bullet3">
    <w:name w:val="Bullet 3"/>
    <w:basedOn w:val="Normal"/>
    <w:pPr>
      <w:numPr>
        <w:numId w:val="48"/>
      </w:numPr>
    </w:pPr>
  </w:style>
  <w:style w:type="paragraph" w:customStyle="1" w:styleId="Bullet4">
    <w:name w:val="Bullet 4"/>
    <w:basedOn w:val="Normal"/>
    <w:pPr>
      <w:numPr>
        <w:numId w:val="4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1D3B1F"/>
    <w:pPr>
      <w:tabs>
        <w:tab w:val="center" w:pos="4535"/>
        <w:tab w:val="right" w:pos="9071"/>
      </w:tabs>
      <w:spacing w:before="0"/>
    </w:pPr>
  </w:style>
  <w:style w:type="paragraph" w:customStyle="1" w:styleId="HeaderLandscape">
    <w:name w:val="HeaderLandscape"/>
    <w:basedOn w:val="Normal"/>
    <w:rsid w:val="001D3B1F"/>
    <w:pPr>
      <w:tabs>
        <w:tab w:val="center" w:pos="7285"/>
        <w:tab w:val="right" w:pos="14003"/>
      </w:tabs>
      <w:spacing w:before="0"/>
    </w:pPr>
  </w:style>
  <w:style w:type="paragraph" w:styleId="Footer">
    <w:name w:val="footer"/>
    <w:basedOn w:val="Normal"/>
    <w:link w:val="FooterChar"/>
    <w:uiPriority w:val="99"/>
    <w:unhideWhenUsed/>
    <w:rsid w:val="001D3B1F"/>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1D3B1F"/>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www.ine.es/jaxiT3/Tabla.htm?t=65334" TargetMode="External"/><Relationship Id="rId13" Type="http://schemas.openxmlformats.org/officeDocument/2006/relationships/hyperlink" Target="https://datosmacro.expansion.com/paro/espana/municipios/galicia/pontevedra" TargetMode="External"/><Relationship Id="rId3" Type="http://schemas.openxmlformats.org/officeDocument/2006/relationships/hyperlink" Target="https://www.oliverwyman.com/content/dam/oliver-wyman/v2/publications/2025/apr/labor-cost-per-vehicle-report.pdf" TargetMode="External"/><Relationship Id="rId7" Type="http://schemas.openxmlformats.org/officeDocument/2006/relationships/hyperlink" Target="https://www.fbbva.es/noticias/industria-manufacturera-pierde-empleo-aportacion-renta-espanola/" TargetMode="External"/><Relationship Id="rId12" Type="http://schemas.openxmlformats.org/officeDocument/2006/relationships/hyperlink" Target="https://www.ine.es/prensa/epa_tabla.htm" TargetMode="External"/><Relationship Id="rId2" Type="http://schemas.openxmlformats.org/officeDocument/2006/relationships/hyperlink" Target="https://www.sernauto.es/sala-de-prensa/noticias/la-facturacion-de-los-proveedores-de-automocion-se-mantiene-por-encima-de-los-41000-millones-de-euros-en-un-contexto-de-desaceleracion" TargetMode="External"/><Relationship Id="rId16" Type="http://schemas.openxmlformats.org/officeDocument/2006/relationships/hyperlink" Target="https://www.xunta.gal/documents/35297/43285/pd-automocion-cas.pdf?version=1.0" TargetMode="External"/><Relationship Id="rId1" Type="http://schemas.openxmlformats.org/officeDocument/2006/relationships/hyperlink" Target="https://www.sernauto.es/en/sala-de-prensa/noticias/la-junta-directiva-de-sernauto-rebaja-sus-previsiones-de-facturacion-para-2025" TargetMode="External"/><Relationship Id="rId6" Type="http://schemas.openxmlformats.org/officeDocument/2006/relationships/hyperlink" Target="https://www.fbbva.es/noticias/industria-manufacturera-pierde-empleo-aportacion-renta-espanola/" TargetMode="External"/><Relationship Id="rId11" Type="http://schemas.openxmlformats.org/officeDocument/2006/relationships/hyperlink" Target="https://www.ine.es/prensa/epa_tabla.htm" TargetMode="External"/><Relationship Id="rId5" Type="http://schemas.openxmlformats.org/officeDocument/2006/relationships/hyperlink" Target="https://www.xunta.gal/es/notas-de-prensa/-/nova/021985/empleo-industrial-bate-records-galicia-con-192-300-personas-ocupadas-crecimiento" TargetMode="External"/><Relationship Id="rId15" Type="http://schemas.openxmlformats.org/officeDocument/2006/relationships/hyperlink" Target="https://ec.europa.eu/eurostat/statistics-explained/index.php?title=Employment_-_annual_statistics" TargetMode="External"/><Relationship Id="rId10" Type="http://schemas.openxmlformats.org/officeDocument/2006/relationships/hyperlink" Target="https://ec.europa.eu/eurostat/web/products-euro-indicators/w/3-04032026-ap" TargetMode="External"/><Relationship Id="rId4" Type="http://schemas.openxmlformats.org/officeDocument/2006/relationships/hyperlink" Target="https://www.xunta.gal/es/notas-de-prensa/-/nova/021985/empleo-industrial-bate-records-galicia-con-192-300-personas-ocupadas-crecimiento" TargetMode="External"/><Relationship Id="rId9" Type="http://schemas.openxmlformats.org/officeDocument/2006/relationships/hyperlink" Target="https://www.ine.es/jaxiT3/Tabla.htm?t=65334" TargetMode="External"/><Relationship Id="rId14" Type="http://schemas.openxmlformats.org/officeDocument/2006/relationships/hyperlink" Target="https://www.ige.gal/igebdt/principais.jsp?COD=6363&amp;R=3%5ball%5d&amp;C=T%5b1:last%5d;1%5ball%5d&amp;F=2:0&amp;S=998:1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4BDCDE-CDFE-42D7-8F61-75BD5C60E8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35</TotalTime>
  <Pages>10</Pages>
  <Words>4542</Words>
  <Characters>25892</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28</cp:revision>
  <dcterms:created xsi:type="dcterms:W3CDTF">2026-07-03T10:51:00Z</dcterms:created>
  <dcterms:modified xsi:type="dcterms:W3CDTF">2026-07-13T18:14:00Z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SJ-026</vt:lpwstr>
  </property>
  <property fmtid="{D5CDD505-2E9C-101B-9397-08002B2CF9AE}" pid="10" name="MSIP_Label_6bd9ddd1-4d20-43f6-abfa-fc3c07406f94_Enabled">
    <vt:lpwstr>true</vt:lpwstr>
  </property>
  <property fmtid="{D5CDD505-2E9C-101B-9397-08002B2CF9AE}" pid="11" name="MSIP_Label_6bd9ddd1-4d20-43f6-abfa-fc3c07406f94_SetDate">
    <vt:lpwstr>2025-02-03T12:15:49Z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56910240-6c56-4989-8e01-d1db357c2268</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