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DAEC8" w14:textId="73302BA2" w:rsidR="0029533F" w:rsidRPr="00704DBA" w:rsidRDefault="00A3006A" w:rsidP="00A3006A">
      <w:pPr>
        <w:pStyle w:val="Pagedecouverture"/>
        <w:rPr>
          <w:noProof/>
        </w:rPr>
      </w:pPr>
      <w:r>
        <w:rPr>
          <w:noProof/>
        </w:rPr>
        <w:pict w14:anchorId="149B79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6BAA00A-4794-4BEA-BDA7-3CA299452707" style="width:455.25pt;height:408.75pt">
            <v:imagedata r:id="rId10" o:title=""/>
          </v:shape>
        </w:pict>
      </w:r>
    </w:p>
    <w:p w14:paraId="14D6FC82" w14:textId="77777777" w:rsidR="00B62921" w:rsidRPr="00704DBA" w:rsidRDefault="00B62921">
      <w:pPr>
        <w:rPr>
          <w:noProof/>
        </w:rPr>
        <w:sectPr w:rsidR="00B62921" w:rsidRPr="00704DBA" w:rsidSect="00A3006A">
          <w:footerReference w:type="even" r:id="rId11"/>
          <w:footerReference w:type="default" r:id="rId12"/>
          <w:pgSz w:w="11907" w:h="16839"/>
          <w:pgMar w:top="1134" w:right="1417" w:bottom="1134" w:left="1417" w:header="709" w:footer="709" w:gutter="0"/>
          <w:pgNumType w:start="0"/>
          <w:cols w:space="720"/>
          <w:docGrid w:linePitch="360"/>
        </w:sectPr>
      </w:pPr>
    </w:p>
    <w:p w14:paraId="16A1D681" w14:textId="77777777" w:rsidR="00B62921" w:rsidRPr="00704DBA" w:rsidRDefault="00B62921" w:rsidP="00B62921">
      <w:pPr>
        <w:pStyle w:val="Rfrenceinterinstitutionnelle"/>
        <w:rPr>
          <w:noProof/>
        </w:rPr>
      </w:pPr>
      <w:bookmarkStart w:id="0" w:name="_GoBack"/>
      <w:bookmarkEnd w:id="0"/>
      <w:r>
        <w:rPr>
          <w:noProof/>
        </w:rPr>
        <w:lastRenderedPageBreak/>
        <w:t>2023/0271 (COD)</w:t>
      </w:r>
    </w:p>
    <w:p w14:paraId="59AECD15" w14:textId="77777777" w:rsidR="00B62921" w:rsidRPr="00704DBA" w:rsidRDefault="00B62921" w:rsidP="00B62921">
      <w:pPr>
        <w:pStyle w:val="Typedudocument"/>
        <w:rPr>
          <w:noProof/>
        </w:rPr>
      </w:pPr>
      <w:r w:rsidRPr="00704DBA">
        <w:rPr>
          <w:noProof/>
        </w:rPr>
        <w:t>COMMUNICATION FROM THE COMMISSION</w:t>
      </w:r>
      <w:r w:rsidRPr="00704DBA">
        <w:rPr>
          <w:noProof/>
        </w:rPr>
        <w:br/>
        <w:t>TO THE EUROPEAN PARLIAMENT</w:t>
      </w:r>
      <w:r w:rsidRPr="00704DBA">
        <w:rPr>
          <w:noProof/>
        </w:rPr>
        <w:br/>
      </w:r>
      <w:r w:rsidRPr="00704DBA">
        <w:rPr>
          <w:noProof/>
        </w:rPr>
        <w:br/>
        <w:t>pursuant to Article 294(6) of the Treaty on the Functioning of the European Union</w:t>
      </w:r>
      <w:r w:rsidRPr="00704DBA">
        <w:rPr>
          <w:noProof/>
        </w:rPr>
        <w:br/>
      </w:r>
      <w:r w:rsidRPr="00704DBA">
        <w:rPr>
          <w:noProof/>
        </w:rPr>
        <w:br/>
        <w:t>concerning the</w:t>
      </w:r>
    </w:p>
    <w:p w14:paraId="21FE7DA4" w14:textId="77777777" w:rsidR="00B62921" w:rsidRPr="00704DBA" w:rsidRDefault="00B62921" w:rsidP="00B62921">
      <w:pPr>
        <w:pStyle w:val="Titreobjet"/>
        <w:rPr>
          <w:noProof/>
        </w:rPr>
      </w:pPr>
      <w:r w:rsidRPr="00704DBA">
        <w:rPr>
          <w:noProof/>
        </w:rPr>
        <w:t>position of the Council on the adoption of a Regulation of the European Parliament of the Council on the use of railway infrastructure capacity in the single European railway area</w:t>
      </w:r>
    </w:p>
    <w:p w14:paraId="3B26BC58" w14:textId="77777777" w:rsidR="00B62921" w:rsidRPr="00704DBA" w:rsidRDefault="00B62921" w:rsidP="00B62921">
      <w:pPr>
        <w:pStyle w:val="IntrtEEE"/>
        <w:rPr>
          <w:noProof/>
        </w:rPr>
      </w:pPr>
      <w:r w:rsidRPr="00704DBA">
        <w:rPr>
          <w:noProof/>
        </w:rPr>
        <w:t>(Text with EEA relevance)</w:t>
      </w:r>
    </w:p>
    <w:p w14:paraId="5814458C" w14:textId="77777777" w:rsidR="00B62921" w:rsidRPr="00704DBA" w:rsidRDefault="00B62921" w:rsidP="001704B9">
      <w:pPr>
        <w:pStyle w:val="ManualHeading1"/>
        <w:rPr>
          <w:noProof/>
          <w:sz w:val="22"/>
        </w:rPr>
      </w:pPr>
      <w:r w:rsidRPr="00704DBA">
        <w:rPr>
          <w:noProof/>
        </w:rPr>
        <w:t>1.</w:t>
      </w:r>
      <w:r w:rsidRPr="00704DBA">
        <w:rPr>
          <w:noProof/>
        </w:rPr>
        <w:tab/>
        <w:t>Background</w:t>
      </w:r>
    </w:p>
    <w:tbl>
      <w:tblPr>
        <w:tblW w:w="0" w:type="auto"/>
        <w:tblLayout w:type="fixed"/>
        <w:tblLook w:val="0000" w:firstRow="0" w:lastRow="0" w:firstColumn="0" w:lastColumn="0" w:noHBand="0" w:noVBand="0"/>
      </w:tblPr>
      <w:tblGrid>
        <w:gridCol w:w="6804"/>
        <w:gridCol w:w="2483"/>
      </w:tblGrid>
      <w:tr w:rsidR="00704DBA" w:rsidRPr="00704DBA" w14:paraId="1389A4A5" w14:textId="77777777" w:rsidTr="00FC48CE">
        <w:tc>
          <w:tcPr>
            <w:tcW w:w="6804" w:type="dxa"/>
          </w:tcPr>
          <w:p w14:paraId="1CBCF3F0" w14:textId="77777777" w:rsidR="00B62921" w:rsidRPr="00704DBA" w:rsidRDefault="00B62921" w:rsidP="00FC48CE">
            <w:pPr>
              <w:jc w:val="left"/>
              <w:rPr>
                <w:noProof/>
              </w:rPr>
            </w:pPr>
            <w:r w:rsidRPr="00704DBA">
              <w:rPr>
                <w:noProof/>
              </w:rPr>
              <w:t>Date of transmission of the proposal to the European Parliament and to the Council</w:t>
            </w:r>
            <w:r w:rsidRPr="00704DBA">
              <w:rPr>
                <w:noProof/>
              </w:rPr>
              <w:br/>
              <w:t>(document COM(</w:t>
            </w:r>
            <w:r w:rsidRPr="00417130">
              <w:rPr>
                <w:noProof/>
              </w:rPr>
              <w:t>2023</w:t>
            </w:r>
            <w:r w:rsidRPr="00704DBA">
              <w:rPr>
                <w:noProof/>
              </w:rPr>
              <w:t xml:space="preserve">) </w:t>
            </w:r>
            <w:r w:rsidRPr="00417130">
              <w:rPr>
                <w:noProof/>
              </w:rPr>
              <w:t>443</w:t>
            </w:r>
            <w:r w:rsidRPr="00704DBA">
              <w:rPr>
                <w:noProof/>
              </w:rPr>
              <w:t xml:space="preserve"> final – </w:t>
            </w:r>
            <w:r w:rsidRPr="00417130">
              <w:rPr>
                <w:noProof/>
              </w:rPr>
              <w:t>2023</w:t>
            </w:r>
            <w:r w:rsidRPr="00704DBA">
              <w:rPr>
                <w:noProof/>
              </w:rPr>
              <w:t>/</w:t>
            </w:r>
            <w:r w:rsidRPr="00417130">
              <w:rPr>
                <w:noProof/>
              </w:rPr>
              <w:t xml:space="preserve">0271 </w:t>
            </w:r>
            <w:r w:rsidRPr="00704DBA">
              <w:rPr>
                <w:noProof/>
              </w:rPr>
              <w:t>COD):</w:t>
            </w:r>
          </w:p>
        </w:tc>
        <w:tc>
          <w:tcPr>
            <w:tcW w:w="2483" w:type="dxa"/>
          </w:tcPr>
          <w:p w14:paraId="17E6FD21" w14:textId="77777777" w:rsidR="00B62921" w:rsidRPr="00704DBA" w:rsidRDefault="00B62921" w:rsidP="00FC48CE">
            <w:pPr>
              <w:jc w:val="left"/>
              <w:rPr>
                <w:noProof/>
              </w:rPr>
            </w:pPr>
            <w:r w:rsidRPr="00417130">
              <w:rPr>
                <w:noProof/>
              </w:rPr>
              <w:t>12 July 2023</w:t>
            </w:r>
            <w:r w:rsidRPr="00704DBA">
              <w:rPr>
                <w:noProof/>
              </w:rPr>
              <w:t>.</w:t>
            </w:r>
          </w:p>
        </w:tc>
      </w:tr>
      <w:tr w:rsidR="00704DBA" w:rsidRPr="00704DBA" w14:paraId="7F7BB7F1" w14:textId="77777777" w:rsidTr="00FC48CE">
        <w:tc>
          <w:tcPr>
            <w:tcW w:w="6804" w:type="dxa"/>
          </w:tcPr>
          <w:p w14:paraId="227E16A0" w14:textId="77777777" w:rsidR="00B62921" w:rsidRPr="00704DBA" w:rsidRDefault="00B62921" w:rsidP="00FC48CE">
            <w:pPr>
              <w:rPr>
                <w:noProof/>
              </w:rPr>
            </w:pPr>
            <w:r w:rsidRPr="00704DBA">
              <w:rPr>
                <w:noProof/>
              </w:rPr>
              <w:t>Date of the opinion of the European Economic and Social Committee:</w:t>
            </w:r>
          </w:p>
        </w:tc>
        <w:tc>
          <w:tcPr>
            <w:tcW w:w="2483" w:type="dxa"/>
          </w:tcPr>
          <w:p w14:paraId="5A36B2F1" w14:textId="77777777" w:rsidR="00B62921" w:rsidRPr="00704DBA" w:rsidRDefault="00B62921" w:rsidP="00FC48CE">
            <w:pPr>
              <w:jc w:val="left"/>
              <w:rPr>
                <w:noProof/>
              </w:rPr>
            </w:pPr>
            <w:r w:rsidRPr="00417130">
              <w:rPr>
                <w:noProof/>
              </w:rPr>
              <w:t>25 October 2023</w:t>
            </w:r>
            <w:r w:rsidRPr="00704DBA">
              <w:rPr>
                <w:noProof/>
              </w:rPr>
              <w:t>.</w:t>
            </w:r>
          </w:p>
        </w:tc>
      </w:tr>
      <w:tr w:rsidR="00704DBA" w:rsidRPr="00704DBA" w14:paraId="7FD6AF74" w14:textId="77777777" w:rsidTr="00FC48CE">
        <w:tc>
          <w:tcPr>
            <w:tcW w:w="6804" w:type="dxa"/>
          </w:tcPr>
          <w:p w14:paraId="484C8413" w14:textId="77777777" w:rsidR="00B62921" w:rsidRPr="00704DBA" w:rsidRDefault="00B62921" w:rsidP="00FC48CE">
            <w:pPr>
              <w:rPr>
                <w:noProof/>
              </w:rPr>
            </w:pPr>
            <w:r w:rsidRPr="00704DBA">
              <w:rPr>
                <w:noProof/>
              </w:rPr>
              <w:t>Date of the position of the European Parliament, first reading:</w:t>
            </w:r>
          </w:p>
        </w:tc>
        <w:tc>
          <w:tcPr>
            <w:tcW w:w="2483" w:type="dxa"/>
          </w:tcPr>
          <w:p w14:paraId="3A73998E" w14:textId="77777777" w:rsidR="00B62921" w:rsidRPr="00704DBA" w:rsidRDefault="00B62921" w:rsidP="00FC48CE">
            <w:pPr>
              <w:jc w:val="left"/>
              <w:rPr>
                <w:noProof/>
              </w:rPr>
            </w:pPr>
            <w:r w:rsidRPr="00417130">
              <w:rPr>
                <w:noProof/>
              </w:rPr>
              <w:t>12 March 2024</w:t>
            </w:r>
            <w:r w:rsidRPr="00704DBA">
              <w:rPr>
                <w:noProof/>
              </w:rPr>
              <w:t>.</w:t>
            </w:r>
          </w:p>
        </w:tc>
      </w:tr>
      <w:tr w:rsidR="00704DBA" w:rsidRPr="00704DBA" w14:paraId="5904B0BE" w14:textId="77777777" w:rsidTr="00FC48CE">
        <w:tc>
          <w:tcPr>
            <w:tcW w:w="6804" w:type="dxa"/>
          </w:tcPr>
          <w:p w14:paraId="6A15F14B" w14:textId="77777777" w:rsidR="00B62921" w:rsidRPr="00704DBA" w:rsidRDefault="00B62921" w:rsidP="00FC48CE">
            <w:pPr>
              <w:rPr>
                <w:noProof/>
              </w:rPr>
            </w:pPr>
            <w:r w:rsidRPr="00704DBA">
              <w:rPr>
                <w:noProof/>
              </w:rPr>
              <w:t>Date of transmission of the amended proposal:</w:t>
            </w:r>
          </w:p>
        </w:tc>
        <w:tc>
          <w:tcPr>
            <w:tcW w:w="2483" w:type="dxa"/>
          </w:tcPr>
          <w:p w14:paraId="66D6C9B2" w14:textId="77777777" w:rsidR="00B62921" w:rsidRPr="00704DBA" w:rsidRDefault="00B62921" w:rsidP="00FC48CE">
            <w:pPr>
              <w:jc w:val="left"/>
              <w:rPr>
                <w:noProof/>
              </w:rPr>
            </w:pPr>
            <w:r w:rsidRPr="00417130">
              <w:rPr>
                <w:noProof/>
              </w:rPr>
              <w:t>N/A</w:t>
            </w:r>
            <w:r w:rsidRPr="00704DBA">
              <w:rPr>
                <w:noProof/>
              </w:rPr>
              <w:t>.</w:t>
            </w:r>
          </w:p>
        </w:tc>
      </w:tr>
      <w:tr w:rsidR="00704DBA" w:rsidRPr="00704DBA" w14:paraId="0EBB71E6" w14:textId="77777777" w:rsidTr="00FC48CE">
        <w:tc>
          <w:tcPr>
            <w:tcW w:w="6804" w:type="dxa"/>
          </w:tcPr>
          <w:p w14:paraId="23FD4543" w14:textId="77777777" w:rsidR="00B62921" w:rsidRPr="00704DBA" w:rsidRDefault="00B62921" w:rsidP="00FC48CE">
            <w:pPr>
              <w:rPr>
                <w:noProof/>
              </w:rPr>
            </w:pPr>
            <w:r w:rsidRPr="00704DBA">
              <w:rPr>
                <w:noProof/>
              </w:rPr>
              <w:t>Date of adoption of the position of the Council:</w:t>
            </w:r>
          </w:p>
        </w:tc>
        <w:tc>
          <w:tcPr>
            <w:tcW w:w="2483" w:type="dxa"/>
          </w:tcPr>
          <w:p w14:paraId="4656E5D2" w14:textId="77777777" w:rsidR="00B62921" w:rsidRPr="00704DBA" w:rsidRDefault="00854376" w:rsidP="00FC48CE">
            <w:pPr>
              <w:jc w:val="left"/>
              <w:rPr>
                <w:noProof/>
              </w:rPr>
            </w:pPr>
            <w:r w:rsidRPr="00417130">
              <w:rPr>
                <w:noProof/>
              </w:rPr>
              <w:t xml:space="preserve">21 April </w:t>
            </w:r>
            <w:r w:rsidR="00B62921" w:rsidRPr="00417130">
              <w:rPr>
                <w:noProof/>
              </w:rPr>
              <w:t>2026.</w:t>
            </w:r>
          </w:p>
        </w:tc>
      </w:tr>
    </w:tbl>
    <w:p w14:paraId="480D3868" w14:textId="77777777" w:rsidR="00B62921" w:rsidRPr="00704DBA" w:rsidRDefault="00B62921" w:rsidP="001704B9">
      <w:pPr>
        <w:pStyle w:val="ManualHeading1"/>
        <w:rPr>
          <w:noProof/>
        </w:rPr>
      </w:pPr>
      <w:r w:rsidRPr="00704DBA">
        <w:rPr>
          <w:noProof/>
        </w:rPr>
        <w:t>2.</w:t>
      </w:r>
      <w:r w:rsidRPr="00704DBA">
        <w:rPr>
          <w:noProof/>
        </w:rPr>
        <w:tab/>
        <w:t>Objective of the proposal from the Commission</w:t>
      </w:r>
    </w:p>
    <w:p w14:paraId="3E39BBEF" w14:textId="77777777" w:rsidR="00B62921" w:rsidRPr="00704DBA" w:rsidRDefault="00B62921" w:rsidP="001704B9">
      <w:pPr>
        <w:rPr>
          <w:noProof/>
        </w:rPr>
      </w:pPr>
      <w:r w:rsidRPr="00704DBA">
        <w:rPr>
          <w:noProof/>
        </w:rPr>
        <w:t>This proposal is a key action of the European Green Deal and the Sustainable and Smart Mobility Strategy. Its main goal is to lay down a framework allowing rail infrastructure capacity and traffic to be managed more efficiently, thereby improving the quality of services and accommodating more traffic on the railway network. Achieving this goal is crucial for ensuring that the transport sector contributes to decarbonisation</w:t>
      </w:r>
    </w:p>
    <w:p w14:paraId="47EB849C" w14:textId="77777777" w:rsidR="00B62921" w:rsidRPr="00704DBA" w:rsidRDefault="00B62921" w:rsidP="001704B9">
      <w:pPr>
        <w:pStyle w:val="ManualHeading1"/>
        <w:rPr>
          <w:noProof/>
        </w:rPr>
      </w:pPr>
      <w:r w:rsidRPr="00704DBA">
        <w:rPr>
          <w:noProof/>
        </w:rPr>
        <w:t>3.</w:t>
      </w:r>
      <w:r w:rsidRPr="00704DBA">
        <w:rPr>
          <w:noProof/>
        </w:rPr>
        <w:tab/>
        <w:t>Comments on the position of the Council</w:t>
      </w:r>
    </w:p>
    <w:p w14:paraId="314B24C5" w14:textId="77777777" w:rsidR="00B62921" w:rsidRPr="00704DBA" w:rsidRDefault="00AD6D61" w:rsidP="001704B9">
      <w:pPr>
        <w:widowControl w:val="0"/>
        <w:rPr>
          <w:noProof/>
        </w:rPr>
      </w:pPr>
      <w:r w:rsidRPr="00704DBA">
        <w:rPr>
          <w:noProof/>
        </w:rPr>
        <w:t>The position of the Council as adopted at first reading fully reflects the political agreement reached between the European Parliament and the Council on 18 November 2025. The Commission accepts the overall agreement. The main amendments to Commission’s original proposal are:</w:t>
      </w:r>
    </w:p>
    <w:p w14:paraId="2ACE7A13" w14:textId="77777777" w:rsidR="00AD6D61" w:rsidRPr="00704DBA" w:rsidRDefault="00AD6D61" w:rsidP="00EA26CE">
      <w:pPr>
        <w:pStyle w:val="Bullet0"/>
        <w:numPr>
          <w:ilvl w:val="0"/>
          <w:numId w:val="5"/>
        </w:numPr>
        <w:rPr>
          <w:noProof/>
        </w:rPr>
      </w:pPr>
      <w:r w:rsidRPr="00704DBA">
        <w:rPr>
          <w:b/>
          <w:bCs/>
          <w:noProof/>
        </w:rPr>
        <w:t>A stronger role of national administrations</w:t>
      </w:r>
      <w:r w:rsidRPr="00704DBA">
        <w:rPr>
          <w:noProof/>
        </w:rPr>
        <w:t xml:space="preserve"> in </w:t>
      </w:r>
      <w:r w:rsidR="006C175E" w:rsidRPr="00704DBA">
        <w:rPr>
          <w:noProof/>
        </w:rPr>
        <w:t>laying down general requirements for the use of rail infrastructure</w:t>
      </w:r>
      <w:r w:rsidRPr="00704DBA">
        <w:rPr>
          <w:noProof/>
        </w:rPr>
        <w:t xml:space="preserve"> (e.g. </w:t>
      </w:r>
      <w:r w:rsidR="006C175E" w:rsidRPr="00704DBA">
        <w:rPr>
          <w:noProof/>
        </w:rPr>
        <w:t>Member States may</w:t>
      </w:r>
      <w:r w:rsidRPr="00704DBA">
        <w:rPr>
          <w:noProof/>
        </w:rPr>
        <w:t xml:space="preserve"> require </w:t>
      </w:r>
      <w:r w:rsidR="006C175E" w:rsidRPr="00704DBA">
        <w:rPr>
          <w:noProof/>
        </w:rPr>
        <w:t xml:space="preserve">the infrastructure to develop </w:t>
      </w:r>
      <w:r w:rsidRPr="00704DBA">
        <w:rPr>
          <w:noProof/>
        </w:rPr>
        <w:t>a clock-face timetable</w:t>
      </w:r>
      <w:r w:rsidR="006C175E" w:rsidRPr="00704DBA">
        <w:rPr>
          <w:noProof/>
        </w:rPr>
        <w:t>,</w:t>
      </w:r>
      <w:r w:rsidRPr="00704DBA">
        <w:rPr>
          <w:noProof/>
        </w:rPr>
        <w:t xml:space="preserve"> or </w:t>
      </w:r>
      <w:r w:rsidR="006C175E" w:rsidRPr="00704DBA">
        <w:rPr>
          <w:noProof/>
        </w:rPr>
        <w:t xml:space="preserve">to reserve a </w:t>
      </w:r>
      <w:r w:rsidRPr="00704DBA">
        <w:rPr>
          <w:noProof/>
        </w:rPr>
        <w:t xml:space="preserve">minimum </w:t>
      </w:r>
      <w:r w:rsidR="006C175E" w:rsidRPr="00704DBA">
        <w:rPr>
          <w:noProof/>
        </w:rPr>
        <w:t>amount of infrastructure capacity for</w:t>
      </w:r>
      <w:r w:rsidRPr="00704DBA">
        <w:rPr>
          <w:noProof/>
        </w:rPr>
        <w:t xml:space="preserve"> certain market segments). Those prerogatives are however strictly defined</w:t>
      </w:r>
      <w:r w:rsidR="006C175E" w:rsidRPr="00704DBA">
        <w:rPr>
          <w:noProof/>
        </w:rPr>
        <w:t>,</w:t>
      </w:r>
      <w:r w:rsidRPr="00704DBA">
        <w:rPr>
          <w:noProof/>
        </w:rPr>
        <w:t xml:space="preserve"> do not impinge on the operational </w:t>
      </w:r>
      <w:r w:rsidR="006C175E" w:rsidRPr="00704DBA">
        <w:rPr>
          <w:noProof/>
        </w:rPr>
        <w:t xml:space="preserve">responsibilities </w:t>
      </w:r>
      <w:r w:rsidRPr="00704DBA">
        <w:rPr>
          <w:noProof/>
        </w:rPr>
        <w:t>of infrastructure managers</w:t>
      </w:r>
      <w:r w:rsidR="006C175E" w:rsidRPr="00704DBA">
        <w:rPr>
          <w:noProof/>
        </w:rPr>
        <w:t xml:space="preserve"> and must leave them a sufficient margin of independence</w:t>
      </w:r>
      <w:r w:rsidRPr="00704DBA">
        <w:rPr>
          <w:noProof/>
        </w:rPr>
        <w:t xml:space="preserve">.  </w:t>
      </w:r>
    </w:p>
    <w:p w14:paraId="4E2E02F1" w14:textId="77777777" w:rsidR="00AD6D61" w:rsidRPr="00704DBA" w:rsidRDefault="00AD6D61" w:rsidP="00704DBA">
      <w:pPr>
        <w:pStyle w:val="Bullet0"/>
        <w:rPr>
          <w:noProof/>
        </w:rPr>
      </w:pPr>
      <w:r w:rsidRPr="00704DBA">
        <w:rPr>
          <w:noProof/>
        </w:rPr>
        <w:lastRenderedPageBreak/>
        <w:t>A wide derogation from the rules</w:t>
      </w:r>
      <w:r w:rsidR="006C175E" w:rsidRPr="00704DBA">
        <w:rPr>
          <w:noProof/>
        </w:rPr>
        <w:t xml:space="preserve"> of the Regulation</w:t>
      </w:r>
      <w:r w:rsidRPr="00704DBA">
        <w:rPr>
          <w:noProof/>
        </w:rPr>
        <w:t xml:space="preserve"> was introduced for </w:t>
      </w:r>
      <w:r w:rsidRPr="00704DBA">
        <w:rPr>
          <w:b/>
          <w:bCs/>
          <w:noProof/>
        </w:rPr>
        <w:t>military and defence purposes</w:t>
      </w:r>
      <w:r w:rsidRPr="00704DBA">
        <w:rPr>
          <w:noProof/>
        </w:rPr>
        <w:t>.</w:t>
      </w:r>
    </w:p>
    <w:p w14:paraId="5633C1CC" w14:textId="77777777" w:rsidR="00AD6D61" w:rsidRPr="00704DBA" w:rsidRDefault="00362EC6" w:rsidP="00704DBA">
      <w:pPr>
        <w:pStyle w:val="Bullet0"/>
        <w:rPr>
          <w:noProof/>
        </w:rPr>
      </w:pPr>
      <w:r w:rsidRPr="00704DBA">
        <w:rPr>
          <w:noProof/>
        </w:rPr>
        <w:t xml:space="preserve">Rules on the calculation </w:t>
      </w:r>
      <w:r w:rsidR="008B2DA2" w:rsidRPr="00704DBA">
        <w:rPr>
          <w:noProof/>
        </w:rPr>
        <w:t xml:space="preserve">and capping </w:t>
      </w:r>
      <w:r w:rsidRPr="00704DBA">
        <w:rPr>
          <w:noProof/>
        </w:rPr>
        <w:t>of</w:t>
      </w:r>
      <w:r w:rsidR="008B2DA2" w:rsidRPr="00704DBA">
        <w:rPr>
          <w:noProof/>
        </w:rPr>
        <w:t xml:space="preserve"> the</w:t>
      </w:r>
      <w:r w:rsidR="00AD6D61" w:rsidRPr="00704DBA">
        <w:rPr>
          <w:noProof/>
        </w:rPr>
        <w:t xml:space="preserve"> </w:t>
      </w:r>
      <w:r w:rsidR="00AD6D61" w:rsidRPr="00704DBA">
        <w:rPr>
          <w:b/>
          <w:bCs/>
          <w:noProof/>
        </w:rPr>
        <w:t>penalties</w:t>
      </w:r>
      <w:r w:rsidRPr="00704DBA">
        <w:rPr>
          <w:noProof/>
        </w:rPr>
        <w:t xml:space="preserve"> </w:t>
      </w:r>
      <w:r w:rsidR="008B2DA2" w:rsidRPr="00704DBA">
        <w:rPr>
          <w:noProof/>
        </w:rPr>
        <w:t xml:space="preserve">which are due when making changes to allocated capacity </w:t>
      </w:r>
      <w:r w:rsidRPr="00704DBA">
        <w:rPr>
          <w:noProof/>
        </w:rPr>
        <w:t>were introduced</w:t>
      </w:r>
      <w:r w:rsidR="00AD6D61" w:rsidRPr="00704DBA">
        <w:rPr>
          <w:noProof/>
        </w:rPr>
        <w:t xml:space="preserve">. However, the </w:t>
      </w:r>
      <w:r w:rsidR="008B2DA2" w:rsidRPr="00704DBA">
        <w:rPr>
          <w:noProof/>
        </w:rPr>
        <w:t xml:space="preserve">reciprocal nature of the </w:t>
      </w:r>
      <w:r w:rsidR="00AD6D61" w:rsidRPr="00704DBA">
        <w:rPr>
          <w:noProof/>
        </w:rPr>
        <w:t xml:space="preserve">penalty </w:t>
      </w:r>
      <w:r w:rsidR="008B2DA2" w:rsidRPr="00704DBA">
        <w:rPr>
          <w:noProof/>
        </w:rPr>
        <w:t>system is maintained, and the rules on calculation and capping do not deprive the penalty system of its incentive effect</w:t>
      </w:r>
      <w:r w:rsidR="00AD6D61" w:rsidRPr="00704DBA">
        <w:rPr>
          <w:noProof/>
        </w:rPr>
        <w:t>.</w:t>
      </w:r>
    </w:p>
    <w:p w14:paraId="1A9E9EAE" w14:textId="77777777" w:rsidR="00AD6D61" w:rsidRPr="00704DBA" w:rsidRDefault="00AD6D61" w:rsidP="00704DBA">
      <w:pPr>
        <w:pStyle w:val="Bullet0"/>
        <w:rPr>
          <w:noProof/>
        </w:rPr>
      </w:pPr>
      <w:r w:rsidRPr="00704DBA">
        <w:rPr>
          <w:noProof/>
        </w:rPr>
        <w:t xml:space="preserve">In relation to </w:t>
      </w:r>
      <w:r w:rsidRPr="00704DBA">
        <w:rPr>
          <w:b/>
          <w:bCs/>
          <w:noProof/>
        </w:rPr>
        <w:t>governance</w:t>
      </w:r>
      <w:r w:rsidRPr="00704DBA">
        <w:rPr>
          <w:noProof/>
        </w:rPr>
        <w:t>, a</w:t>
      </w:r>
      <w:r w:rsidR="008B2DA2" w:rsidRPr="00704DBA">
        <w:rPr>
          <w:noProof/>
        </w:rPr>
        <w:t xml:space="preserve"> new entity called</w:t>
      </w:r>
      <w:r w:rsidRPr="00704DBA">
        <w:rPr>
          <w:noProof/>
        </w:rPr>
        <w:t xml:space="preserve"> </w:t>
      </w:r>
      <w:r w:rsidR="008B2DA2" w:rsidRPr="00704DBA">
        <w:rPr>
          <w:noProof/>
        </w:rPr>
        <w:t>“</w:t>
      </w:r>
      <w:r w:rsidRPr="00704DBA">
        <w:rPr>
          <w:noProof/>
        </w:rPr>
        <w:t>European Railway Platform</w:t>
      </w:r>
      <w:r w:rsidR="008B2DA2" w:rsidRPr="00704DBA">
        <w:rPr>
          <w:noProof/>
        </w:rPr>
        <w:t>”</w:t>
      </w:r>
      <w:r w:rsidRPr="00704DBA">
        <w:rPr>
          <w:noProof/>
        </w:rPr>
        <w:t xml:space="preserve"> was </w:t>
      </w:r>
      <w:r w:rsidR="008B2DA2" w:rsidRPr="00704DBA">
        <w:rPr>
          <w:noProof/>
        </w:rPr>
        <w:t xml:space="preserve">introduced with a view </w:t>
      </w:r>
      <w:r w:rsidRPr="00704DBA">
        <w:rPr>
          <w:noProof/>
        </w:rPr>
        <w:t xml:space="preserve">to </w:t>
      </w:r>
      <w:r w:rsidR="008B2DA2" w:rsidRPr="00704DBA">
        <w:rPr>
          <w:noProof/>
        </w:rPr>
        <w:t xml:space="preserve">facilitate the consultation of the </w:t>
      </w:r>
      <w:r w:rsidRPr="00704DBA">
        <w:rPr>
          <w:noProof/>
        </w:rPr>
        <w:t xml:space="preserve">users of </w:t>
      </w:r>
      <w:r w:rsidR="008B2DA2" w:rsidRPr="00704DBA">
        <w:rPr>
          <w:noProof/>
        </w:rPr>
        <w:t xml:space="preserve">the </w:t>
      </w:r>
      <w:r w:rsidRPr="00704DBA">
        <w:rPr>
          <w:noProof/>
        </w:rPr>
        <w:t>rail</w:t>
      </w:r>
      <w:r w:rsidR="008B2DA2" w:rsidRPr="00704DBA">
        <w:rPr>
          <w:noProof/>
        </w:rPr>
        <w:t>way network by rail</w:t>
      </w:r>
      <w:r w:rsidRPr="00704DBA">
        <w:rPr>
          <w:noProof/>
        </w:rPr>
        <w:t xml:space="preserve"> infrastructure</w:t>
      </w:r>
      <w:r w:rsidR="008B2DA2" w:rsidRPr="00704DBA">
        <w:rPr>
          <w:noProof/>
        </w:rPr>
        <w:t xml:space="preserve"> managers</w:t>
      </w:r>
      <w:r w:rsidRPr="00704DBA">
        <w:rPr>
          <w:noProof/>
        </w:rPr>
        <w:t>. In addition, the Commission will no longer have sole chairmanship of the European Network of Rail Regulatory Bodies (ENRRB) but will co-chair with a national regulator.</w:t>
      </w:r>
    </w:p>
    <w:p w14:paraId="523A3E72" w14:textId="77777777" w:rsidR="00B62921" w:rsidRPr="00704DBA" w:rsidRDefault="00B62921" w:rsidP="001704B9">
      <w:pPr>
        <w:pStyle w:val="ManualHeading1"/>
        <w:rPr>
          <w:noProof/>
        </w:rPr>
      </w:pPr>
      <w:r w:rsidRPr="00704DBA">
        <w:rPr>
          <w:noProof/>
        </w:rPr>
        <w:t>4.</w:t>
      </w:r>
      <w:r w:rsidRPr="00704DBA">
        <w:rPr>
          <w:noProof/>
        </w:rPr>
        <w:tab/>
        <w:t>Conclusion</w:t>
      </w:r>
    </w:p>
    <w:p w14:paraId="1F7A6EF6" w14:textId="77777777" w:rsidR="00AD6D61" w:rsidRPr="00704DBA" w:rsidRDefault="00B62921" w:rsidP="001704B9">
      <w:pPr>
        <w:rPr>
          <w:noProof/>
        </w:rPr>
      </w:pPr>
      <w:r w:rsidRPr="00704DBA">
        <w:rPr>
          <w:noProof/>
        </w:rPr>
        <w:t>The Commission accepts the results of the inter-institutional negotiations and can therefore accept the Council's position at first reading.</w:t>
      </w:r>
      <w:r w:rsidR="00AD6D61" w:rsidRPr="00704DBA">
        <w:rPr>
          <w:noProof/>
        </w:rPr>
        <w:t xml:space="preserve"> </w:t>
      </w:r>
      <w:r w:rsidR="00E72137" w:rsidRPr="00704DBA">
        <w:rPr>
          <w:noProof/>
        </w:rPr>
        <w:t>Furthermore, as agreed during the interinstitutional negotiations, the Commission will issue a statement upon adoption of the Regulation. It will indicate that the Commission will assess the synergies between the tasks and competences of the EU Agency for Railways, as established under its current mandate, and the requirements for the implementation of this Regulation. This statement is reproduced in the annex.</w:t>
      </w:r>
    </w:p>
    <w:p w14:paraId="36FF9B26" w14:textId="77777777" w:rsidR="00AD6D61" w:rsidRPr="00704DBA" w:rsidRDefault="00AD6D61" w:rsidP="00AD6D61">
      <w:pPr>
        <w:rPr>
          <w:noProof/>
        </w:rPr>
        <w:sectPr w:rsidR="00AD6D61" w:rsidRPr="00704DBA" w:rsidSect="00A3006A">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20"/>
          <w:docGrid w:linePitch="360"/>
        </w:sectPr>
      </w:pPr>
    </w:p>
    <w:p w14:paraId="06EFDB19" w14:textId="77777777" w:rsidR="00B62921" w:rsidRPr="00704DBA" w:rsidRDefault="00AD6D61" w:rsidP="00704DBA">
      <w:pPr>
        <w:jc w:val="center"/>
        <w:rPr>
          <w:b/>
          <w:bCs/>
          <w:noProof/>
          <w:u w:val="single"/>
        </w:rPr>
      </w:pPr>
      <w:r w:rsidRPr="00704DBA">
        <w:rPr>
          <w:b/>
          <w:bCs/>
          <w:noProof/>
          <w:u w:val="single"/>
        </w:rPr>
        <w:lastRenderedPageBreak/>
        <w:t>ANNEX</w:t>
      </w:r>
    </w:p>
    <w:p w14:paraId="3AB4FCD7" w14:textId="77777777" w:rsidR="00E72137" w:rsidRPr="00704DBA" w:rsidRDefault="00E72137" w:rsidP="00E72137">
      <w:pPr>
        <w:rPr>
          <w:noProof/>
        </w:rPr>
      </w:pPr>
      <w:r w:rsidRPr="00704DBA">
        <w:rPr>
          <w:noProof/>
        </w:rPr>
        <w:t>Statement to be made by the Commission upon Adoption of the Regulation:</w:t>
      </w:r>
    </w:p>
    <w:p w14:paraId="4C5484C5" w14:textId="77777777" w:rsidR="00E72137" w:rsidRPr="00704DBA" w:rsidRDefault="00E72137" w:rsidP="00E72137">
      <w:pPr>
        <w:rPr>
          <w:i/>
          <w:iCs/>
          <w:noProof/>
        </w:rPr>
      </w:pPr>
      <w:r w:rsidRPr="00704DBA">
        <w:rPr>
          <w:i/>
          <w:iCs/>
          <w:noProof/>
        </w:rPr>
        <w:t>“The Commission has stated its intention to assess the synergies that exist between the tasks and competences of the European Union Agency for Railways (ERA) established in the framework of its current mandate under Regulation (EU) 2016/796 of the European Parliament and of the Council and the requirements for implementation of this Regulation with a view to seek ERA’s support in activities related to the preparatory work for secondary legislation and to performance monitoring. The Commission notes in this respect that data collected and monitored by ERA within its current mandate, as well as ERA’s tools of analysis, can also be used to monitor the capacity use, to assess the railway sector performance, and to support the preparation of secondary legislation, thereby avoiding duplications of data collection, storage, and tools for analysis, in a spirit of simplification and better regulation.”</w:t>
      </w:r>
    </w:p>
    <w:p w14:paraId="0E9BABC2" w14:textId="77777777" w:rsidR="00FB4E9B" w:rsidRDefault="00FB4E9B" w:rsidP="00AD6D61">
      <w:pPr>
        <w:rPr>
          <w:noProof/>
        </w:rPr>
      </w:pPr>
    </w:p>
    <w:p w14:paraId="61764A0A" w14:textId="2A3A0341" w:rsidR="00AD6D61" w:rsidRPr="00704DBA" w:rsidRDefault="00AD6D61" w:rsidP="00AD6D61">
      <w:pPr>
        <w:rPr>
          <w:noProof/>
        </w:rPr>
      </w:pPr>
    </w:p>
    <w:sectPr w:rsidR="00AD6D61" w:rsidRPr="00704DBA" w:rsidSect="00A3006A">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ADAD6" w14:textId="77777777" w:rsidR="00E92E38" w:rsidRDefault="00E92E38" w:rsidP="00B62921">
      <w:pPr>
        <w:spacing w:before="0" w:after="0"/>
      </w:pPr>
      <w:r>
        <w:separator/>
      </w:r>
    </w:p>
  </w:endnote>
  <w:endnote w:type="continuationSeparator" w:id="0">
    <w:p w14:paraId="045CD541" w14:textId="77777777" w:rsidR="00E92E38" w:rsidRDefault="00E92E38" w:rsidP="00B6292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07833" w14:textId="63A04131" w:rsidR="00A3006A" w:rsidRPr="00A3006A" w:rsidRDefault="00A3006A" w:rsidP="00A3006A">
    <w:pPr>
      <w:pStyle w:val="Footer"/>
      <w:rPr>
        <w:rFonts w:ascii="Arial" w:hAnsi="Arial" w:cs="Arial"/>
        <w:b/>
        <w:sz w:val="48"/>
      </w:rPr>
    </w:pPr>
    <w:r w:rsidRPr="00A3006A">
      <w:rPr>
        <w:rFonts w:ascii="Arial" w:hAnsi="Arial" w:cs="Arial"/>
        <w:b/>
        <w:sz w:val="48"/>
      </w:rPr>
      <w:t>EN</w:t>
    </w:r>
    <w:r w:rsidRPr="00A3006A">
      <w:rPr>
        <w:rFonts w:ascii="Arial" w:hAnsi="Arial" w:cs="Arial"/>
        <w:b/>
        <w:sz w:val="48"/>
      </w:rPr>
      <w:tab/>
    </w:r>
    <w:r w:rsidRPr="00A3006A">
      <w:rPr>
        <w:rFonts w:ascii="Arial" w:hAnsi="Arial" w:cs="Arial"/>
        <w:b/>
        <w:sz w:val="48"/>
      </w:rPr>
      <w:tab/>
    </w:r>
    <w:r w:rsidRPr="00A3006A">
      <w:tab/>
    </w:r>
    <w:r w:rsidRPr="00A3006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4FEB6" w14:textId="60BF23F7" w:rsidR="00A3006A" w:rsidRPr="00A3006A" w:rsidRDefault="00A3006A" w:rsidP="00A3006A">
    <w:pPr>
      <w:pStyle w:val="Footer"/>
      <w:rPr>
        <w:rFonts w:ascii="Arial" w:hAnsi="Arial" w:cs="Arial"/>
        <w:b/>
        <w:sz w:val="48"/>
      </w:rPr>
    </w:pPr>
    <w:r w:rsidRPr="00A3006A">
      <w:rPr>
        <w:rFonts w:ascii="Arial" w:hAnsi="Arial" w:cs="Arial"/>
        <w:b/>
        <w:sz w:val="48"/>
      </w:rPr>
      <w:t>EN</w:t>
    </w:r>
    <w:r w:rsidRPr="00A3006A">
      <w:rPr>
        <w:rFonts w:ascii="Arial" w:hAnsi="Arial" w:cs="Arial"/>
        <w:b/>
        <w:sz w:val="48"/>
      </w:rPr>
      <w:tab/>
    </w:r>
    <w:r w:rsidRPr="00A3006A">
      <w:rPr>
        <w:rFonts w:ascii="Arial" w:hAnsi="Arial" w:cs="Arial"/>
        <w:b/>
        <w:sz w:val="48"/>
      </w:rPr>
      <w:tab/>
    </w:r>
    <w:r w:rsidRPr="00A3006A">
      <w:tab/>
    </w:r>
    <w:r w:rsidRPr="00A3006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CAD3D" w14:textId="77777777" w:rsidR="00A3006A" w:rsidRDefault="00A300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93365" w14:textId="0A7EB739" w:rsidR="00A3006A" w:rsidRPr="00A3006A" w:rsidRDefault="00A3006A" w:rsidP="00A3006A">
    <w:pPr>
      <w:pStyle w:val="Footer"/>
      <w:rPr>
        <w:rFonts w:ascii="Arial" w:hAnsi="Arial" w:cs="Arial"/>
        <w:b/>
        <w:sz w:val="48"/>
      </w:rPr>
    </w:pPr>
    <w:r w:rsidRPr="00A3006A">
      <w:rPr>
        <w:rFonts w:ascii="Arial" w:hAnsi="Arial" w:cs="Arial"/>
        <w:b/>
        <w:sz w:val="48"/>
      </w:rPr>
      <w:t>EN</w:t>
    </w:r>
    <w:r w:rsidRPr="00A3006A">
      <w:rPr>
        <w:rFonts w:ascii="Arial" w:hAnsi="Arial" w:cs="Arial"/>
        <w:b/>
        <w:sz w:val="48"/>
      </w:rPr>
      <w:tab/>
    </w:r>
    <w:r>
      <w:fldChar w:fldCharType="begin"/>
    </w:r>
    <w:r>
      <w:instrText xml:space="preserve"> PAGE  \* MERGEFORMAT </w:instrText>
    </w:r>
    <w:r>
      <w:fldChar w:fldCharType="separate"/>
    </w:r>
    <w:r w:rsidR="00FB4E9B">
      <w:rPr>
        <w:noProof/>
      </w:rPr>
      <w:t>3</w:t>
    </w:r>
    <w:r>
      <w:fldChar w:fldCharType="end"/>
    </w:r>
    <w:r>
      <w:tab/>
    </w:r>
    <w:r w:rsidRPr="00A3006A">
      <w:tab/>
    </w:r>
    <w:r w:rsidRPr="00A3006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112AD" w14:textId="77777777" w:rsidR="00A3006A" w:rsidRDefault="00A3006A" w:rsidP="00A300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609AA" w14:textId="77777777" w:rsidR="00E92E38" w:rsidRDefault="00E92E38" w:rsidP="00B62921">
      <w:pPr>
        <w:spacing w:before="0" w:after="0"/>
      </w:pPr>
      <w:r>
        <w:separator/>
      </w:r>
    </w:p>
  </w:footnote>
  <w:footnote w:type="continuationSeparator" w:id="0">
    <w:p w14:paraId="25692E64" w14:textId="77777777" w:rsidR="00E92E38" w:rsidRDefault="00E92E38" w:rsidP="00B6292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76287" w14:textId="77777777" w:rsidR="00A3006A" w:rsidRDefault="00A300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D494C" w14:textId="77777777" w:rsidR="00A3006A" w:rsidRDefault="00A300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50E780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67E7AB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DC216E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5AE4E0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6E80A5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9B06CC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636102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59CC7B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5"/>
    <w:lvlOverride w:ilvl="0">
      <w:startOverride w:val="1"/>
    </w:lvlOverride>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1 08:17: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6BAA00A-4794-4BEA-BDA7-3CA299452707"/>
    <w:docVar w:name="LW_COVERPAGE_TYPE" w:val="1"/>
    <w:docVar w:name="LW_CreatedUtc" w:val="2026-01-23T09:24:30.8812161Z"/>
    <w:docVar w:name="LW_CROSSREFERENCE" w:val="&lt;UNUSED&gt;"/>
    <w:docVar w:name="LW_DocType" w:val="COM"/>
    <w:docVar w:name="LW_EMISSION" w:val="23.4.2026"/>
    <w:docVar w:name="LW_EMISSION_ISODATE" w:val="2026-04-23"/>
    <w:docVar w:name="LW_EMISSION_LOCATION" w:val="BRX"/>
    <w:docVar w:name="LW_EMISSION_PREFIX" w:val="Brussels, "/>
    <w:docVar w:name="LW_EMISSION_SUFFIX" w:val=" "/>
    <w:docVar w:name="LW_ID_DOCMODEL" w:val="SJ-028"/>
    <w:docVar w:name="LW_ID_DOCSTRUCTURE" w:val="COM/PL/CODEC"/>
    <w:docVar w:name="LW_ID_DOCTYPE" w:val="SJ-028"/>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71"/>
    <w:docVar w:name="LW_REF.II.NEW.CP_YEAR" w:val="2023"/>
    <w:docVar w:name="LW_REF.INST.NEW" w:val="COM"/>
    <w:docVar w:name="LW_REF.INST.NEW_ADOPTED" w:val="final"/>
    <w:docVar w:name="LW_REF.INST.NEW_TEXT" w:val="(2026) 1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of the Council on the adoption of a Regulation of the European Parliament of the Council on the use of railway infrastructure capacity in the single European railway area"/>
    <w:docVar w:name="LW_TYPE.DOC.CP" w:val="COMMUNICATION FROM THE COMMISSION_x000b_TO THE EUROPEAN PARLIAMENT_x000b__x000b_pursuant to Article 294(6) of the Treaty on the Functioning of the European Union_x000b__x000b_concerning the"/>
    <w:docVar w:name="LwApiVersions" w:val="LW4CoDe 1.24.5.0; LW 9.2, Build 20251112"/>
  </w:docVars>
  <w:rsids>
    <w:rsidRoot w:val="00B62921"/>
    <w:rsid w:val="00063536"/>
    <w:rsid w:val="001065F5"/>
    <w:rsid w:val="001238EF"/>
    <w:rsid w:val="00197613"/>
    <w:rsid w:val="00233DC7"/>
    <w:rsid w:val="00247779"/>
    <w:rsid w:val="00285BEE"/>
    <w:rsid w:val="0029533F"/>
    <w:rsid w:val="002B30AF"/>
    <w:rsid w:val="0033344A"/>
    <w:rsid w:val="00362EC6"/>
    <w:rsid w:val="003D1CBA"/>
    <w:rsid w:val="003D7B87"/>
    <w:rsid w:val="00417130"/>
    <w:rsid w:val="0042648E"/>
    <w:rsid w:val="004936D2"/>
    <w:rsid w:val="005B1EB6"/>
    <w:rsid w:val="005B6807"/>
    <w:rsid w:val="005D1F90"/>
    <w:rsid w:val="00613F40"/>
    <w:rsid w:val="006539BF"/>
    <w:rsid w:val="00673C61"/>
    <w:rsid w:val="006C175E"/>
    <w:rsid w:val="00704DBA"/>
    <w:rsid w:val="00740AF0"/>
    <w:rsid w:val="00773331"/>
    <w:rsid w:val="007932EF"/>
    <w:rsid w:val="007E05B0"/>
    <w:rsid w:val="00854376"/>
    <w:rsid w:val="00874D22"/>
    <w:rsid w:val="008A2914"/>
    <w:rsid w:val="008B2DA2"/>
    <w:rsid w:val="008E4D8E"/>
    <w:rsid w:val="0095210A"/>
    <w:rsid w:val="00985EA7"/>
    <w:rsid w:val="0099379A"/>
    <w:rsid w:val="009D0B27"/>
    <w:rsid w:val="00A3006A"/>
    <w:rsid w:val="00AC5EDE"/>
    <w:rsid w:val="00AD6D61"/>
    <w:rsid w:val="00B62921"/>
    <w:rsid w:val="00BA740C"/>
    <w:rsid w:val="00BA78EF"/>
    <w:rsid w:val="00C12301"/>
    <w:rsid w:val="00CE6B3E"/>
    <w:rsid w:val="00D20381"/>
    <w:rsid w:val="00DC44D3"/>
    <w:rsid w:val="00DC5CD3"/>
    <w:rsid w:val="00DF388D"/>
    <w:rsid w:val="00E664ED"/>
    <w:rsid w:val="00E72137"/>
    <w:rsid w:val="00E92E38"/>
    <w:rsid w:val="00EA26CE"/>
    <w:rsid w:val="00F06B88"/>
    <w:rsid w:val="00F570E7"/>
    <w:rsid w:val="00F75290"/>
    <w:rsid w:val="00FB4E9B"/>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088144"/>
  <w15:docId w15:val="{CC85F435-D196-4E12-A447-0D076626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D61"/>
    <w:pPr>
      <w:ind w:left="720"/>
      <w:contextualSpacing/>
    </w:pPr>
  </w:style>
  <w:style w:type="paragraph" w:styleId="ListBullet">
    <w:name w:val="List Bullet"/>
    <w:basedOn w:val="Normal"/>
    <w:uiPriority w:val="99"/>
    <w:semiHidden/>
    <w:unhideWhenUsed/>
    <w:rsid w:val="00DC44D3"/>
    <w:pPr>
      <w:numPr>
        <w:numId w:val="1"/>
      </w:numPr>
      <w:contextualSpacing/>
    </w:pPr>
  </w:style>
  <w:style w:type="paragraph" w:styleId="ListBullet2">
    <w:name w:val="List Bullet 2"/>
    <w:basedOn w:val="Normal"/>
    <w:uiPriority w:val="99"/>
    <w:semiHidden/>
    <w:unhideWhenUsed/>
    <w:rsid w:val="00DC44D3"/>
    <w:pPr>
      <w:numPr>
        <w:numId w:val="2"/>
      </w:numPr>
      <w:contextualSpacing/>
    </w:pPr>
  </w:style>
  <w:style w:type="paragraph" w:styleId="ListBullet3">
    <w:name w:val="List Bullet 3"/>
    <w:basedOn w:val="Normal"/>
    <w:uiPriority w:val="99"/>
    <w:semiHidden/>
    <w:unhideWhenUsed/>
    <w:rsid w:val="00DC44D3"/>
    <w:pPr>
      <w:numPr>
        <w:numId w:val="3"/>
      </w:numPr>
      <w:contextualSpacing/>
    </w:pPr>
  </w:style>
  <w:style w:type="paragraph" w:styleId="ListBullet4">
    <w:name w:val="List Bullet 4"/>
    <w:basedOn w:val="Normal"/>
    <w:uiPriority w:val="99"/>
    <w:semiHidden/>
    <w:unhideWhenUsed/>
    <w:rsid w:val="00DC44D3"/>
    <w:pPr>
      <w:numPr>
        <w:numId w:val="4"/>
      </w:numPr>
      <w:contextualSpacing/>
    </w:pPr>
  </w:style>
  <w:style w:type="character" w:styleId="CommentReference">
    <w:name w:val="annotation reference"/>
    <w:basedOn w:val="DefaultParagraphFont"/>
    <w:uiPriority w:val="99"/>
    <w:semiHidden/>
    <w:unhideWhenUsed/>
    <w:rsid w:val="00DC44D3"/>
    <w:rPr>
      <w:sz w:val="16"/>
      <w:szCs w:val="16"/>
    </w:rPr>
  </w:style>
  <w:style w:type="paragraph" w:styleId="CommentText">
    <w:name w:val="annotation text"/>
    <w:basedOn w:val="Normal"/>
    <w:link w:val="CommentTextChar"/>
    <w:uiPriority w:val="99"/>
    <w:unhideWhenUsed/>
    <w:rsid w:val="00DC44D3"/>
    <w:rPr>
      <w:sz w:val="20"/>
      <w:szCs w:val="20"/>
    </w:rPr>
  </w:style>
  <w:style w:type="character" w:customStyle="1" w:styleId="CommentTextChar">
    <w:name w:val="Comment Text Char"/>
    <w:basedOn w:val="DefaultParagraphFont"/>
    <w:link w:val="CommentText"/>
    <w:uiPriority w:val="99"/>
    <w:rsid w:val="00DC44D3"/>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C44D3"/>
    <w:rPr>
      <w:b/>
      <w:bCs/>
    </w:rPr>
  </w:style>
  <w:style w:type="character" w:customStyle="1" w:styleId="CommentSubjectChar">
    <w:name w:val="Comment Subject Char"/>
    <w:basedOn w:val="CommentTextChar"/>
    <w:link w:val="CommentSubject"/>
    <w:uiPriority w:val="99"/>
    <w:semiHidden/>
    <w:rsid w:val="00DC44D3"/>
    <w:rPr>
      <w:rFonts w:ascii="Times New Roman" w:hAnsi="Times New Roman" w:cs="Times New Roman"/>
      <w:b/>
      <w:bCs/>
      <w:sz w:val="20"/>
      <w:szCs w:val="20"/>
      <w:lang w:val="en-GB"/>
    </w:rPr>
  </w:style>
  <w:style w:type="paragraph" w:styleId="Revision">
    <w:name w:val="Revision"/>
    <w:hidden/>
    <w:uiPriority w:val="99"/>
    <w:semiHidden/>
    <w:rsid w:val="006C175E"/>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985EA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985EA7"/>
    <w:pPr>
      <w:spacing w:after="0"/>
    </w:pPr>
  </w:style>
  <w:style w:type="paragraph" w:styleId="ListNumber">
    <w:name w:val="List Number"/>
    <w:basedOn w:val="Normal"/>
    <w:uiPriority w:val="99"/>
    <w:semiHidden/>
    <w:unhideWhenUsed/>
    <w:rsid w:val="00985EA7"/>
    <w:pPr>
      <w:numPr>
        <w:numId w:val="6"/>
      </w:numPr>
      <w:contextualSpacing/>
    </w:pPr>
  </w:style>
  <w:style w:type="paragraph" w:styleId="ListNumber2">
    <w:name w:val="List Number 2"/>
    <w:basedOn w:val="Normal"/>
    <w:uiPriority w:val="99"/>
    <w:semiHidden/>
    <w:unhideWhenUsed/>
    <w:rsid w:val="00985EA7"/>
    <w:pPr>
      <w:numPr>
        <w:numId w:val="7"/>
      </w:numPr>
      <w:contextualSpacing/>
    </w:pPr>
  </w:style>
  <w:style w:type="paragraph" w:styleId="ListNumber3">
    <w:name w:val="List Number 3"/>
    <w:basedOn w:val="Normal"/>
    <w:uiPriority w:val="99"/>
    <w:semiHidden/>
    <w:unhideWhenUsed/>
    <w:rsid w:val="00985EA7"/>
    <w:pPr>
      <w:numPr>
        <w:numId w:val="8"/>
      </w:numPr>
      <w:contextualSpacing/>
    </w:pPr>
  </w:style>
  <w:style w:type="paragraph" w:styleId="ListNumber4">
    <w:name w:val="List Number 4"/>
    <w:basedOn w:val="Normal"/>
    <w:uiPriority w:val="99"/>
    <w:semiHidden/>
    <w:unhideWhenUsed/>
    <w:rsid w:val="00985EA7"/>
    <w:pPr>
      <w:numPr>
        <w:numId w:val="9"/>
      </w:numPr>
      <w:contextualSpacing/>
    </w:pPr>
  </w:style>
  <w:style w:type="character" w:styleId="Hyperlink">
    <w:name w:val="Hyperlink"/>
    <w:basedOn w:val="DefaultParagraphFont"/>
    <w:uiPriority w:val="99"/>
    <w:semiHidden/>
    <w:unhideWhenUsed/>
    <w:rsid w:val="00DC5CD3"/>
    <w:rPr>
      <w:color w:val="0000FF" w:themeColor="hyperlink"/>
      <w:u w:val="single"/>
    </w:rPr>
  </w:style>
  <w:style w:type="character" w:customStyle="1" w:styleId="HeaderChar">
    <w:name w:val="Header Char"/>
    <w:basedOn w:val="DefaultParagraphFont"/>
    <w:link w:val="Header"/>
    <w:uiPriority w:val="99"/>
    <w:rsid w:val="00A3006A"/>
    <w:rPr>
      <w:rFonts w:ascii="Times New Roman" w:hAnsi="Times New Roman" w:cs="Times New Roman"/>
      <w:sz w:val="24"/>
      <w:lang w:val="en-GB"/>
    </w:rPr>
  </w:style>
  <w:style w:type="character" w:customStyle="1" w:styleId="FooterChar">
    <w:name w:val="Footer Char"/>
    <w:basedOn w:val="DefaultParagraphFont"/>
    <w:link w:val="Footer"/>
    <w:uiPriority w:val="99"/>
    <w:rsid w:val="00A3006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3006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3006A"/>
    <w:pPr>
      <w:spacing w:before="0"/>
      <w:jc w:val="right"/>
    </w:pPr>
    <w:rPr>
      <w:sz w:val="28"/>
    </w:rPr>
  </w:style>
  <w:style w:type="paragraph" w:customStyle="1" w:styleId="FooterSensitivity">
    <w:name w:val="Footer Sensitivity"/>
    <w:basedOn w:val="Normal"/>
    <w:rsid w:val="00A3006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3006A"/>
    <w:pPr>
      <w:tabs>
        <w:tab w:val="center" w:pos="4535"/>
        <w:tab w:val="right" w:pos="9071"/>
      </w:tabs>
      <w:spacing w:before="0"/>
    </w:pPr>
  </w:style>
  <w:style w:type="paragraph" w:customStyle="1" w:styleId="HeaderLandscape">
    <w:name w:val="HeaderLandscape"/>
    <w:basedOn w:val="Normal"/>
    <w:rsid w:val="00A3006A"/>
    <w:pPr>
      <w:tabs>
        <w:tab w:val="center" w:pos="7285"/>
        <w:tab w:val="right" w:pos="14003"/>
      </w:tabs>
      <w:spacing w:before="0"/>
    </w:pPr>
  </w:style>
  <w:style w:type="paragraph" w:styleId="Footer">
    <w:name w:val="footer"/>
    <w:basedOn w:val="Normal"/>
    <w:link w:val="FooterChar"/>
    <w:uiPriority w:val="99"/>
    <w:unhideWhenUsed/>
    <w:rsid w:val="00A3006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3006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BE8789F8B926479CD54A9F58D67CFC" ma:contentTypeVersion="10" ma:contentTypeDescription="Create a new document." ma:contentTypeScope="" ma:versionID="fd8bab90d54cc5ec1b6ccd7e03828108">
  <xsd:schema xmlns:xsd="http://www.w3.org/2001/XMLSchema" xmlns:xs="http://www.w3.org/2001/XMLSchema" xmlns:p="http://schemas.microsoft.com/office/2006/metadata/properties" xmlns:ns2="b028dedc-88e8-4c93-a042-66a8d9c7aacf" targetNamespace="http://schemas.microsoft.com/office/2006/metadata/properties" ma:root="true" ma:fieldsID="e014806f4e2215754f98e1e2adc69c04" ns2:_="">
    <xsd:import namespace="b028dedc-88e8-4c93-a042-66a8d9c7aa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8dedc-88e8-4c93-a042-66a8d9c7aa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28dedc-88e8-4c93-a042-66a8d9c7aa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38A819-EF9F-4770-A331-92B18375970E}">
  <ds:schemaRefs>
    <ds:schemaRef ds:uri="http://schemas.microsoft.com/sharepoint/v3/contenttype/forms"/>
  </ds:schemaRefs>
</ds:datastoreItem>
</file>

<file path=customXml/itemProps2.xml><?xml version="1.0" encoding="utf-8"?>
<ds:datastoreItem xmlns:ds="http://schemas.openxmlformats.org/officeDocument/2006/customXml" ds:itemID="{9BCD8DE6-925C-4AFE-B153-EC6AFCE1C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8dedc-88e8-4c93-a042-66a8d9c7a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31251F-D638-4782-83F5-13706CBF8342}">
  <ds:schemaRefs>
    <ds:schemaRef ds:uri="http://schemas.microsoft.com/office/2006/metadata/properties"/>
    <ds:schemaRef ds:uri="http://schemas.microsoft.com/office/infopath/2007/PartnerControls"/>
    <ds:schemaRef ds:uri="b028dedc-88e8-4c93-a042-66a8d9c7aacf"/>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4</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2026-03-26T10:03:00Z</dcterms:created>
  <dcterms:modified xsi:type="dcterms:W3CDTF">2026-04-21T06:17:00Z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2026-01-23T09:49:07Z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68bba34e-7801-444e-96f4-0838edba9a31</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0x010100F3BE8789F8B926479CD54A9F58D67CFC</vt:lpwstr>
  </property>
  <property fmtid="{D5CDD505-2E9C-101B-9397-08002B2CF9AE}" pid="19" name="MediaServiceImageTags">
    <vt:lpwstr/>
  </property>
  <property fmtid="{D5CDD505-2E9C-101B-9397-08002B2CF9AE}" pid="20" name="DQCStatus">
    <vt:lpwstr>Green (DQC version 03)</vt:lpwstr>
  </property>
</Properties>
</file>