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A33" w:rsidRPr="00F03365" w:rsidRDefault="00DB111E" w:rsidP="00DB111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9258EB6-4C97-4A17-ADE8-D0FE47D86B61" style="width:455.25pt;height:357.75pt">
            <v:imagedata r:id="rId8" o:title=""/>
          </v:shape>
        </w:pict>
      </w:r>
    </w:p>
    <w:p w:rsidR="00CF3A33" w:rsidRPr="00F03365" w:rsidRDefault="00CF3A33" w:rsidP="00CF3A33">
      <w:pPr>
        <w:rPr>
          <w:noProof/>
        </w:rPr>
        <w:sectPr w:rsidR="00CF3A33" w:rsidRPr="00F03365" w:rsidSect="00DB111E">
          <w:footerReference w:type="even" r:id="rId9"/>
          <w:footerReference w:type="default" r:id="rId10"/>
          <w:pgSz w:w="11907" w:h="16839"/>
          <w:pgMar w:top="1134" w:right="1417" w:bottom="1134" w:left="1417" w:header="709" w:footer="709" w:gutter="0"/>
          <w:pgNumType w:start="0"/>
          <w:cols w:space="720"/>
          <w:docGrid w:linePitch="360"/>
        </w:sectPr>
      </w:pPr>
    </w:p>
    <w:p w:rsidR="00CF3A33" w:rsidRPr="00F03365" w:rsidRDefault="00CF3A33" w:rsidP="00BB6B30">
      <w:pPr>
        <w:pStyle w:val="Exposdesmotifstitre"/>
        <w:rPr>
          <w:noProof/>
        </w:rPr>
      </w:pPr>
      <w:bookmarkStart w:id="0" w:name="_GoBack"/>
      <w:bookmarkEnd w:id="0"/>
      <w:r w:rsidRPr="00F03365">
        <w:rPr>
          <w:noProof/>
        </w:rPr>
        <w:lastRenderedPageBreak/>
        <w:t>EXPUNERE DE MOTIVE</w:t>
      </w:r>
    </w:p>
    <w:p w:rsidR="00CF3A33" w:rsidRPr="00F03365" w:rsidRDefault="00CF3A33" w:rsidP="00482FE5">
      <w:pPr>
        <w:pStyle w:val="ManualHeading1"/>
        <w:rPr>
          <w:rFonts w:eastAsia="Arial Unicode MS"/>
          <w:noProof/>
        </w:rPr>
      </w:pPr>
      <w:r>
        <w:rPr>
          <w:noProof/>
        </w:rPr>
        <w:t>1.</w:t>
      </w:r>
      <w:r>
        <w:rPr>
          <w:noProof/>
        </w:rPr>
        <w:tab/>
      </w:r>
      <w:r w:rsidRPr="00F03365">
        <w:rPr>
          <w:noProof/>
        </w:rPr>
        <w:t>Obiectul propunerii</w:t>
      </w:r>
    </w:p>
    <w:p w:rsidR="00C50AF7" w:rsidRPr="00F03365" w:rsidRDefault="00F746F8" w:rsidP="00F746F8">
      <w:pPr>
        <w:spacing w:before="0" w:after="0"/>
        <w:rPr>
          <w:rFonts w:eastAsia="Arial Unicode MS"/>
          <w:noProof/>
        </w:rPr>
      </w:pPr>
      <w:r w:rsidRPr="00F03365">
        <w:rPr>
          <w:noProof/>
        </w:rPr>
        <w:t>Prezenta propunere se referă la decizia de stabilire a poziției care urmează să fie adoptată în numele Uniunii în cadrul Comisiei Convenției privind protecția mediului marin al Atlanticului de Nord-Est („Comisia OSPAR”) în legătură cu adoptarea preconizată a recomandării privind eliminarea treptată a frânghiei antiabraziune utilizată ca centură de protecție.</w:t>
      </w:r>
    </w:p>
    <w:p w:rsidR="00CF3A33" w:rsidRPr="00F03365" w:rsidRDefault="00CF3A33" w:rsidP="00736AA9">
      <w:pPr>
        <w:pStyle w:val="ManualHeading1"/>
        <w:rPr>
          <w:noProof/>
        </w:rPr>
      </w:pPr>
      <w:r>
        <w:rPr>
          <w:noProof/>
        </w:rPr>
        <w:t>2.</w:t>
      </w:r>
      <w:r>
        <w:rPr>
          <w:noProof/>
        </w:rPr>
        <w:tab/>
      </w:r>
      <w:r w:rsidRPr="00F03365">
        <w:rPr>
          <w:noProof/>
        </w:rPr>
        <w:t>Contextul propunerii</w:t>
      </w:r>
    </w:p>
    <w:p w:rsidR="00CF3A33" w:rsidRPr="00F03365" w:rsidRDefault="00F746F8" w:rsidP="00736AA9">
      <w:pPr>
        <w:pStyle w:val="ManualHeading2"/>
        <w:rPr>
          <w:noProof/>
        </w:rPr>
      </w:pPr>
      <w:r>
        <w:rPr>
          <w:noProof/>
        </w:rPr>
        <w:t>2.1.</w:t>
      </w:r>
      <w:r>
        <w:rPr>
          <w:noProof/>
        </w:rPr>
        <w:tab/>
      </w:r>
      <w:r w:rsidRPr="00F03365">
        <w:rPr>
          <w:noProof/>
        </w:rPr>
        <w:t>Convenția OSPAR</w:t>
      </w:r>
    </w:p>
    <w:p w:rsidR="00F746F8" w:rsidRPr="00F03365" w:rsidRDefault="00F746F8" w:rsidP="00176486">
      <w:pPr>
        <w:spacing w:before="0" w:after="0"/>
        <w:rPr>
          <w:rFonts w:eastAsia="Arial Unicode MS"/>
          <w:noProof/>
        </w:rPr>
      </w:pPr>
      <w:r w:rsidRPr="00F03365">
        <w:rPr>
          <w:noProof/>
        </w:rPr>
        <w:t>Convenția privind protecția mediului marin al Atlanticului de Nord-Est („Convenția</w:t>
      </w:r>
      <w:r w:rsidR="00793AD3">
        <w:rPr>
          <w:noProof/>
        </w:rPr>
        <w:t> </w:t>
      </w:r>
      <w:r w:rsidRPr="00F03365">
        <w:rPr>
          <w:noProof/>
        </w:rPr>
        <w:t>OSPAR”) vizează protejarea zonei maritime a Atlanticului de Nord-Est împotriva efectelor negative ale activităților umane în scopul protejării sănătății umane, al conservării ecosistemelor marine și, atunci când este posibil, al refacerii zonelor marine care au fost afectate negativ. Convenția are 16 părți contractante: Belgia, Danemarca, UE, Finlanda, Franța, Germania, Islanda, Irlanda,</w:t>
      </w:r>
    </w:p>
    <w:p w:rsidR="00CF3A33" w:rsidRPr="00F03365" w:rsidRDefault="00F746F8" w:rsidP="00176486">
      <w:pPr>
        <w:spacing w:before="0" w:after="0"/>
        <w:rPr>
          <w:rFonts w:eastAsia="Arial Unicode MS"/>
          <w:noProof/>
        </w:rPr>
      </w:pPr>
      <w:r w:rsidRPr="00F03365">
        <w:rPr>
          <w:noProof/>
        </w:rPr>
        <w:t>Luxemburg, Țările de Jos, Norvegia, Portugalia, Spania, Suedia, Regatul Unit și Elveția. Convenția OSPAR a intrat în vigoare la 25 martie 1998.</w:t>
      </w:r>
    </w:p>
    <w:p w:rsidR="00CF3A33" w:rsidRPr="00F03365" w:rsidRDefault="00F746F8" w:rsidP="00736AA9">
      <w:pPr>
        <w:pStyle w:val="ManualHeading2"/>
        <w:rPr>
          <w:noProof/>
        </w:rPr>
      </w:pPr>
      <w:r>
        <w:rPr>
          <w:noProof/>
        </w:rPr>
        <w:t>2.2.</w:t>
      </w:r>
      <w:r>
        <w:rPr>
          <w:noProof/>
        </w:rPr>
        <w:tab/>
      </w:r>
      <w:r w:rsidRPr="00F03365">
        <w:rPr>
          <w:noProof/>
        </w:rPr>
        <w:t>Comisia OSPAR</w:t>
      </w:r>
    </w:p>
    <w:p w:rsidR="00F746F8" w:rsidRPr="00F03365" w:rsidRDefault="00F746F8" w:rsidP="0008782D">
      <w:pPr>
        <w:spacing w:before="0" w:after="0"/>
        <w:rPr>
          <w:rFonts w:eastAsia="Arial Unicode MS"/>
          <w:noProof/>
        </w:rPr>
      </w:pPr>
      <w:r w:rsidRPr="00F03365">
        <w:rPr>
          <w:noProof/>
        </w:rPr>
        <w:t>Comisia OSPAR (instituită prin articolul 10 din Convenția OSPAR) este alcătuită din reprezentanți ai fiecărei părți contractante; aceasta se reunește la intervale regulate și în orice alt moment considerat necesar datorită unor circumstanțe speciale. Printre atribuțiile sale se numără supravegherea punerii în aplicare a convenției și analizarea priorităților OSPAR, a stării zonei maritime, a eficacității măsurilor care sunt în curs de a fi adoptate și a necesității unor măsuri suplimentare sau diferite. În temeiul articolului 10 alineatul (3) din Convenția</w:t>
      </w:r>
      <w:r w:rsidR="00793AD3">
        <w:rPr>
          <w:noProof/>
        </w:rPr>
        <w:t> </w:t>
      </w:r>
      <w:r w:rsidRPr="00F03365">
        <w:rPr>
          <w:noProof/>
        </w:rPr>
        <w:t xml:space="preserve">OSPAR, Comisia OSPAR are competența de a adopta decizii și recomandări în conformitate cu articolul 13 din convenția respectivă. </w:t>
      </w:r>
    </w:p>
    <w:p w:rsidR="00F746F8" w:rsidRPr="00F03365" w:rsidRDefault="00F746F8" w:rsidP="00B63477">
      <w:pPr>
        <w:spacing w:before="0" w:after="0"/>
        <w:rPr>
          <w:rFonts w:eastAsia="Arial Unicode MS"/>
          <w:noProof/>
        </w:rPr>
      </w:pPr>
    </w:p>
    <w:p w:rsidR="00F746F8" w:rsidRPr="00F03365" w:rsidRDefault="00F746F8" w:rsidP="0008782D">
      <w:pPr>
        <w:spacing w:before="0" w:after="0"/>
        <w:rPr>
          <w:noProof/>
        </w:rPr>
      </w:pPr>
      <w:r w:rsidRPr="00F03365">
        <w:rPr>
          <w:noProof/>
        </w:rPr>
        <w:t>În conformitate cu articolul 20 din convenție, fiecare parte contractantă are un vot în cadrul Comisiei OSPAR. UE are dreptul la un număr de voturi egal cu numărul statelor sale membre care sunt părți contractante la convenție. UE nu își exercită dreptul de vot atunci când statele sale membre îl exercită pe al lor și nici viceversa [articolul 20 alineatul (2)]. În temeiul articolului 13 alineatul (1) din Convenția OSPAR, deciziile și recomandările se adoptă prin votul unanim al părților contractante sau – în cazul în care nu se poate obține unanimitatea – cu o majoritate de trei pătrimi din voturile părților contractante.</w:t>
      </w:r>
    </w:p>
    <w:p w:rsidR="00F746F8" w:rsidRPr="00F03365" w:rsidRDefault="00F746F8" w:rsidP="00F746F8">
      <w:pPr>
        <w:spacing w:before="0" w:after="0"/>
        <w:rPr>
          <w:rFonts w:eastAsia="Arial Unicode MS"/>
          <w:noProof/>
        </w:rPr>
      </w:pPr>
    </w:p>
    <w:p w:rsidR="00F746F8" w:rsidRPr="00F03365" w:rsidRDefault="00CF3A33" w:rsidP="00F746F8">
      <w:pPr>
        <w:pStyle w:val="ManualHeading2"/>
        <w:rPr>
          <w:noProof/>
        </w:rPr>
      </w:pPr>
      <w:r>
        <w:rPr>
          <w:noProof/>
        </w:rPr>
        <w:t>2.3.</w:t>
      </w:r>
      <w:r>
        <w:rPr>
          <w:noProof/>
        </w:rPr>
        <w:tab/>
      </w:r>
      <w:r w:rsidRPr="00F03365">
        <w:rPr>
          <w:noProof/>
        </w:rPr>
        <w:t>Actul Comisiei OSPAR avut în vedere</w:t>
      </w:r>
    </w:p>
    <w:p w:rsidR="00176486" w:rsidRPr="00F03365" w:rsidRDefault="00A91EFD" w:rsidP="00A91EFD">
      <w:pPr>
        <w:rPr>
          <w:noProof/>
        </w:rPr>
      </w:pPr>
      <w:r w:rsidRPr="00F03365">
        <w:rPr>
          <w:noProof/>
        </w:rPr>
        <w:t>În cadrul reuniunii sale din iunie 2026, Comisia OSPAR urmează să adopte o recomandare privind eliminarea treptată a utilizării frânghiei antiabraziune utilizată ca centură de protecție în sectorul pescuitului pentru a reduce substanțial deșeurile marine provenite de la uneltele de pescuit („actul avut în vedere”). Frânghia antiabraziune este fabricată din plastic, contribuind astfel la poluarea cu plastic și, în plus, prezintă pericole de durată pentru speciile marine din cauza încurcării.</w:t>
      </w:r>
    </w:p>
    <w:p w:rsidR="0001397F" w:rsidRPr="00F03365" w:rsidRDefault="00A91EFD" w:rsidP="00A91EFD">
      <w:pPr>
        <w:rPr>
          <w:noProof/>
        </w:rPr>
      </w:pPr>
      <w:r w:rsidRPr="00F03365">
        <w:rPr>
          <w:noProof/>
        </w:rPr>
        <w:t xml:space="preserve">Recomandarea, care nu este obligatorie din punct de vedere juridic, încurajează părțile contractante la OSPAR să adopte măsuri naționale pentru a înlocui frânghia antiabraziune cu alternative adecvate din punct de vedere ecologic și să sprijine testarea și dezvoltarea unor </w:t>
      </w:r>
      <w:r w:rsidRPr="00F03365">
        <w:rPr>
          <w:noProof/>
        </w:rPr>
        <w:lastRenderedPageBreak/>
        <w:t xml:space="preserve">astfel de alternative. În plus, aceasta pledează pentru eforturi colective privind schimbul de informații, depășirea potențialelor bariere și promovarea măsurilor juridice de îndată ce vor fi disponibile alternative adecvate. </w:t>
      </w:r>
    </w:p>
    <w:p w:rsidR="00A91EFD" w:rsidRPr="00F03365" w:rsidRDefault="00A91EFD" w:rsidP="00A91EFD">
      <w:pPr>
        <w:rPr>
          <w:noProof/>
        </w:rPr>
      </w:pPr>
      <w:r w:rsidRPr="00F03365">
        <w:rPr>
          <w:noProof/>
        </w:rPr>
        <w:t>De asemenea, recomandarea promovează depunerea de eforturi în materie de monitorizare pentru a înțelege impactul frânghiei antiabraziune asupra mediului marin.</w:t>
      </w:r>
    </w:p>
    <w:p w:rsidR="00CF3A33" w:rsidRPr="00F03365" w:rsidRDefault="00CF3A33" w:rsidP="00736AA9">
      <w:pPr>
        <w:pStyle w:val="ManualHeading1"/>
        <w:rPr>
          <w:rFonts w:eastAsia="Arial Unicode MS"/>
          <w:noProof/>
        </w:rPr>
      </w:pPr>
      <w:r>
        <w:rPr>
          <w:noProof/>
        </w:rPr>
        <w:t>3.</w:t>
      </w:r>
      <w:r>
        <w:rPr>
          <w:noProof/>
        </w:rPr>
        <w:tab/>
      </w:r>
      <w:r w:rsidRPr="00F03365">
        <w:rPr>
          <w:noProof/>
        </w:rPr>
        <w:t>Poziția care urmează să fie luată în numele Uniunii Europene</w:t>
      </w:r>
    </w:p>
    <w:p w:rsidR="00176486" w:rsidRPr="00F03365" w:rsidRDefault="003977AC" w:rsidP="003977AC">
      <w:pPr>
        <w:rPr>
          <w:noProof/>
        </w:rPr>
      </w:pPr>
      <w:r w:rsidRPr="00F03365">
        <w:rPr>
          <w:noProof/>
        </w:rPr>
        <w:t>Poziția care urmează să fie luată în cadrul reuniunii Comisiei OSPAR din iunie 2026 este de a sprijini adoptarea actului avut în vedere. Recomandarea este aliniată la legislația UE referitoare la protecția mediului marin, inclusiv la Directiva (UE) 2019/904, care abordează reducerea impactului anumitor produse din plastic asupra mediului, și la Directiva</w:t>
      </w:r>
      <w:r w:rsidR="00793AD3">
        <w:rPr>
          <w:noProof/>
        </w:rPr>
        <w:t> </w:t>
      </w:r>
      <w:r w:rsidRPr="00F03365">
        <w:rPr>
          <w:noProof/>
        </w:rPr>
        <w:t xml:space="preserve">2008/56/CE, care stabilește un cadru de acțiune comunitară în domeniul politicii privind mediul marin. Un element-cheie al celei din urmă directive implică, în special, luarea de măsuri pentru a preveni ca deșeurile marine să dăuneze mediului costier și marin, ceea ce reprezintă o componentă esențială pentru atingerea unei stări ecologice bune a apelor marine. </w:t>
      </w:r>
    </w:p>
    <w:p w:rsidR="003977AC" w:rsidRPr="00F03365" w:rsidRDefault="003977AC" w:rsidP="003977AC">
      <w:pPr>
        <w:rPr>
          <w:noProof/>
        </w:rPr>
      </w:pPr>
      <w:r w:rsidRPr="00F03365">
        <w:rPr>
          <w:noProof/>
        </w:rPr>
        <w:t>În plus, Regulamentul (UE) 2019/1241 stabilește dispoziții pentru conservarea resurselor piscicole și protecția ecosistemelor marine. Aceste acte legislative ale UE oferă un cadru coerent pentru posibila eliminare treptată a frânghiei antiabraziune în scopul reducerii poluării cu materiale plastice, aliniindu-se la obiectivele recomandării OSPAR avute în vedere. Este necesară o poziție a Uniunii privind recomandarea avută în vedere, deoarece aceasta va facilita punerea în aplicare a politicilor și a legislației UE și va preveni daunele aduse mediului marin, îmbunătățind protecția sa. Prin urmare, se propune ca Uniunea să sprijine adoptarea actului avut în vedere.</w:t>
      </w:r>
    </w:p>
    <w:p w:rsidR="00CF3A33" w:rsidRPr="00F03365" w:rsidRDefault="00CF3A33" w:rsidP="00736AA9">
      <w:pPr>
        <w:pStyle w:val="ManualHeading1"/>
        <w:rPr>
          <w:noProof/>
        </w:rPr>
      </w:pPr>
      <w:r>
        <w:rPr>
          <w:noProof/>
        </w:rPr>
        <w:t>4.</w:t>
      </w:r>
      <w:r>
        <w:rPr>
          <w:noProof/>
        </w:rPr>
        <w:tab/>
      </w:r>
      <w:r w:rsidRPr="00F03365">
        <w:rPr>
          <w:noProof/>
        </w:rPr>
        <w:t>Temei juridic</w:t>
      </w:r>
    </w:p>
    <w:p w:rsidR="00CF3A33" w:rsidRPr="00F03365" w:rsidRDefault="00CF3A33" w:rsidP="00736AA9">
      <w:pPr>
        <w:pStyle w:val="ManualHeading2"/>
        <w:rPr>
          <w:noProof/>
        </w:rPr>
      </w:pPr>
      <w:r>
        <w:rPr>
          <w:noProof/>
        </w:rPr>
        <w:t>4.1.</w:t>
      </w:r>
      <w:r>
        <w:rPr>
          <w:noProof/>
        </w:rPr>
        <w:tab/>
      </w:r>
      <w:r w:rsidRPr="00F03365">
        <w:rPr>
          <w:noProof/>
        </w:rPr>
        <w:t>Temeiul juridic procedural</w:t>
      </w:r>
    </w:p>
    <w:p w:rsidR="00CF3A33" w:rsidRPr="00F03365" w:rsidRDefault="00CF3A33" w:rsidP="00CF3A33">
      <w:pPr>
        <w:pStyle w:val="ManualHeading3"/>
        <w:tabs>
          <w:tab w:val="clear" w:pos="850"/>
          <w:tab w:val="num" w:pos="1984"/>
        </w:tabs>
        <w:ind w:left="1984" w:hanging="567"/>
        <w:rPr>
          <w:noProof/>
        </w:rPr>
      </w:pPr>
      <w:r>
        <w:rPr>
          <w:noProof/>
        </w:rPr>
        <w:t>4.1.1.</w:t>
      </w:r>
      <w:r>
        <w:rPr>
          <w:noProof/>
        </w:rPr>
        <w:tab/>
      </w:r>
      <w:r w:rsidRPr="00F03365">
        <w:rPr>
          <w:noProof/>
        </w:rPr>
        <w:t>Principii</w:t>
      </w:r>
    </w:p>
    <w:p w:rsidR="00CF3A33" w:rsidRPr="00F03365" w:rsidRDefault="00CF3A33" w:rsidP="00736AA9">
      <w:pPr>
        <w:rPr>
          <w:noProof/>
        </w:rPr>
      </w:pPr>
      <w:r w:rsidRPr="00F03365">
        <w:rPr>
          <w:noProof/>
        </w:rPr>
        <w:t>Articolul 218 alineatul (9) din Tratatul privind funcționarea Uniunii Europene (TFUE) prevede adoptarea unor decizii de stabilire „</w:t>
      </w:r>
      <w:r w:rsidRPr="00F03365">
        <w:rPr>
          <w:i/>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F03365">
        <w:rPr>
          <w:noProof/>
        </w:rPr>
        <w:t>.”</w:t>
      </w:r>
    </w:p>
    <w:p w:rsidR="00CF3A33" w:rsidRPr="00F03365" w:rsidRDefault="00CF3A33" w:rsidP="00736AA9">
      <w:pPr>
        <w:rPr>
          <w:noProof/>
        </w:rPr>
      </w:pPr>
      <w:r w:rsidRPr="00F03365">
        <w:rPr>
          <w:noProof/>
        </w:rPr>
        <w:t>Conceptul de „</w:t>
      </w:r>
      <w:r w:rsidRPr="00F03365">
        <w:rPr>
          <w:i/>
          <w:noProof/>
        </w:rPr>
        <w:t>acte cu efecte juridice</w:t>
      </w:r>
      <w:r w:rsidRPr="00F03365">
        <w:rPr>
          <w:noProof/>
        </w:rPr>
        <w:t>” include actele care au efecte juridice în temeiul normelor de drept internațional aplicabile organismului în cauză. Acesta include, de asemenea, instrumentele care nu au efect obligatoriu în temeiul dreptului internațional, dar care „</w:t>
      </w:r>
      <w:r w:rsidRPr="00F03365">
        <w:rPr>
          <w:i/>
          <w:iCs/>
          <w:noProof/>
        </w:rPr>
        <w:t>au vocația de a influența în mod decisiv conținutul reglementării adoptate de legiuitorul Uniunii</w:t>
      </w:r>
      <w:r w:rsidRPr="00F03365">
        <w:rPr>
          <w:noProof/>
        </w:rPr>
        <w:t>”</w:t>
      </w:r>
      <w:r w:rsidRPr="00F03365">
        <w:rPr>
          <w:rStyle w:val="FootnoteReference"/>
          <w:noProof/>
        </w:rPr>
        <w:footnoteReference w:id="1"/>
      </w:r>
      <w:r w:rsidRPr="00F03365">
        <w:rPr>
          <w:noProof/>
        </w:rPr>
        <w:t>.</w:t>
      </w:r>
    </w:p>
    <w:p w:rsidR="00CF3A33" w:rsidRPr="00F03365" w:rsidRDefault="00CF3A33" w:rsidP="00CF3A33">
      <w:pPr>
        <w:pStyle w:val="ManualHeading3"/>
        <w:tabs>
          <w:tab w:val="clear" w:pos="850"/>
          <w:tab w:val="num" w:pos="1984"/>
        </w:tabs>
        <w:ind w:left="1984" w:hanging="567"/>
        <w:rPr>
          <w:noProof/>
        </w:rPr>
      </w:pPr>
      <w:r>
        <w:rPr>
          <w:noProof/>
        </w:rPr>
        <w:t>4.1.2.</w:t>
      </w:r>
      <w:r>
        <w:rPr>
          <w:noProof/>
        </w:rPr>
        <w:tab/>
      </w:r>
      <w:r w:rsidRPr="00F03365">
        <w:rPr>
          <w:noProof/>
        </w:rPr>
        <w:t>Aplicarea la cazul în discuție</w:t>
      </w:r>
    </w:p>
    <w:p w:rsidR="003977AC" w:rsidRPr="00F03365" w:rsidRDefault="003977AC" w:rsidP="003977AC">
      <w:pPr>
        <w:rPr>
          <w:noProof/>
        </w:rPr>
      </w:pPr>
      <w:r w:rsidRPr="00F03365">
        <w:rPr>
          <w:noProof/>
        </w:rPr>
        <w:t>Comisia OSPAR este un organism instituit printr-un acord, și anume Convenția OSPAR.</w:t>
      </w:r>
    </w:p>
    <w:p w:rsidR="003977AC" w:rsidRPr="00F03365" w:rsidRDefault="003977AC" w:rsidP="003977AC">
      <w:pPr>
        <w:rPr>
          <w:noProof/>
        </w:rPr>
      </w:pPr>
      <w:r w:rsidRPr="00F03365">
        <w:rPr>
          <w:noProof/>
        </w:rPr>
        <w:t xml:space="preserve">Actul avut în vedere constituie un act cu efecte juridice în sensul articolului 218 alineatul (9) din TFUE, deoarece recomandarea privind eliminarea treptată a frânghiei antiabraziune utilizată ca centură de protecție, chiar dacă nu este obligatorie din punct de vedere juridic, generează efecte juridice în temeiul dreptului internațional, având în vedere că </w:t>
      </w:r>
      <w:r w:rsidRPr="00F03365">
        <w:rPr>
          <w:noProof/>
        </w:rPr>
        <w:lastRenderedPageBreak/>
        <w:t>Convenția</w:t>
      </w:r>
      <w:r w:rsidR="00793AD3">
        <w:rPr>
          <w:noProof/>
        </w:rPr>
        <w:t> </w:t>
      </w:r>
      <w:r w:rsidRPr="00F03365">
        <w:rPr>
          <w:noProof/>
        </w:rPr>
        <w:t>OSPAR impune părților contractante o obligație de conduită în ceea ce privește punerea în aplicare a recomandărilor Comisiei OSPAR. .</w:t>
      </w:r>
    </w:p>
    <w:p w:rsidR="003007BA" w:rsidRPr="00F03365" w:rsidRDefault="007563A7" w:rsidP="003007BA">
      <w:pPr>
        <w:rPr>
          <w:noProof/>
        </w:rPr>
      </w:pPr>
      <w:r w:rsidRPr="00F03365">
        <w:rPr>
          <w:noProof/>
        </w:rPr>
        <w:t xml:space="preserve">În acest context, ar trebui să se facă trimitere la articolul 22 din Convenția OSPAR, care impune părților contractante obligația juridică de a raporta periodic Comisiei OSPAR cu privire la „(a) </w:t>
      </w:r>
      <w:r w:rsidRPr="00F03365">
        <w:rPr>
          <w:i/>
          <w:noProof/>
          <w:u w:val="single"/>
        </w:rPr>
        <w:t>măsurile legislative, administrative sau de altă natură pe care le-au adoptat</w:t>
      </w:r>
      <w:r w:rsidRPr="00F03365">
        <w:rPr>
          <w:i/>
          <w:noProof/>
        </w:rPr>
        <w:t xml:space="preserve"> în vederea aplicării dispozițiilor convenției și a deciziilor și </w:t>
      </w:r>
      <w:r w:rsidRPr="00F03365">
        <w:rPr>
          <w:i/>
          <w:noProof/>
          <w:u w:val="single"/>
        </w:rPr>
        <w:t>recomandărilor adoptate pentru aplicarea sa</w:t>
      </w:r>
      <w:r w:rsidRPr="00F03365">
        <w:rPr>
          <w:i/>
          <w:noProof/>
        </w:rPr>
        <w:t>, în special măsurile adoptate pentru prevenirea și sancționarea oricărui act care contravine dispozițiilor în cauză</w:t>
      </w:r>
      <w:r w:rsidRPr="00F03365">
        <w:rPr>
          <w:noProof/>
        </w:rPr>
        <w:t xml:space="preserve"> [...]”. În plus, articolul 23 din Convenția OSPAR prevede că Comisia OSPAR „</w:t>
      </w:r>
      <w:r w:rsidRPr="00F03365">
        <w:rPr>
          <w:i/>
          <w:noProof/>
          <w:u w:val="single"/>
        </w:rPr>
        <w:t>evaluează respectarea de către părțile contractante</w:t>
      </w:r>
      <w:r w:rsidRPr="00F03365">
        <w:rPr>
          <w:i/>
          <w:noProof/>
        </w:rPr>
        <w:t xml:space="preserve"> a convenției și a deciziilor și </w:t>
      </w:r>
      <w:r w:rsidRPr="00F03365">
        <w:rPr>
          <w:i/>
          <w:noProof/>
          <w:u w:val="single"/>
        </w:rPr>
        <w:t>recomandărilor adoptate pentru aplicarea ei</w:t>
      </w:r>
      <w:r w:rsidRPr="00F03365">
        <w:rPr>
          <w:noProof/>
        </w:rPr>
        <w:t>”.</w:t>
      </w:r>
    </w:p>
    <w:p w:rsidR="007563A7" w:rsidRPr="00F03365" w:rsidRDefault="007563A7" w:rsidP="009E62BB">
      <w:pPr>
        <w:rPr>
          <w:noProof/>
        </w:rPr>
      </w:pPr>
      <w:r w:rsidRPr="00F03365">
        <w:rPr>
          <w:noProof/>
        </w:rPr>
        <w:t>Aceste dispoziții clarifică faptul că Convenția OSPAR stabilește, într-un mod obligatoriu din punct de vedere juridic, că părțile trebuie să ia măsuri pentru a pune în aplicare recomandările Comisiei OSPAR și să raporteze cu privire la măsurile respective și că respectarea recomandărilor respective este monitorizată de Comisia OSPAR, impunând astfel părților o obligație de conduită în ceea ce privește aceste recomandări. Din acest motiv, se consideră că recomandările OSPAR generează efecte juridice față de părțile contractante, inclusiv față de Uniune, în sensul articolului 218 alineatul (9) din TFUE.</w:t>
      </w:r>
    </w:p>
    <w:p w:rsidR="007563A7" w:rsidRPr="00F03365" w:rsidRDefault="003007BA" w:rsidP="007A637B">
      <w:pPr>
        <w:rPr>
          <w:noProof/>
        </w:rPr>
      </w:pPr>
      <w:r w:rsidRPr="00F03365">
        <w:rPr>
          <w:noProof/>
        </w:rPr>
        <w:t xml:space="preserve">În cazul recomandării privind eliminarea treptată a frânghiei antiabraziune utilizată ca centură de protecție, existența unor astfel de efecte juridice este confirmată de conținutul recomandării. În acest context, trebuie să se facă trimitere la punctul 5 din recomandarea intitulată „Rapoarte de punere în aplicare”, care confirmă că părțile trebuie să pună în aplicare recomandarea și sunt obligate să raporteze („este prezentat”) cu privire la această punere în aplicare, utilizând un format de raportare stabilit în mod specific în anexa I la recomandare. </w:t>
      </w:r>
    </w:p>
    <w:p w:rsidR="00CF3A33" w:rsidRPr="00F03365" w:rsidRDefault="007A7DD7" w:rsidP="00736AA9">
      <w:pPr>
        <w:rPr>
          <w:noProof/>
        </w:rPr>
      </w:pPr>
      <w:r w:rsidRPr="00F03365">
        <w:rPr>
          <w:noProof/>
        </w:rPr>
        <w:t>Prin urmare, actul avut în vedere are efecte juridice în temeiul dreptului internațional pentru Uniune, având în vedere că Uniunii, în calitate de parte contractantă la Convenția OSPAR, îi este impusă o obligație de conduită de a pune în aplicare actul avut în vedere și de a raporta cu privire la această punere în aplicare. Actul avut în vedere nu completează și nu modifică cadrul instituțional al acordului.</w:t>
      </w:r>
    </w:p>
    <w:p w:rsidR="00CF3A33" w:rsidRPr="00F03365" w:rsidRDefault="00CF3A33" w:rsidP="00736AA9">
      <w:pPr>
        <w:rPr>
          <w:noProof/>
        </w:rPr>
      </w:pPr>
      <w:r w:rsidRPr="00F03365">
        <w:rPr>
          <w:noProof/>
        </w:rPr>
        <w:t>În consecință, temeiul juridic procedural al deciziei propuse este articolul 218 alineatul (9) din TFUE.</w:t>
      </w:r>
    </w:p>
    <w:p w:rsidR="00CF3A33" w:rsidRPr="00F03365" w:rsidRDefault="00CF3A33" w:rsidP="00736AA9">
      <w:pPr>
        <w:pStyle w:val="ManualHeading2"/>
        <w:rPr>
          <w:noProof/>
        </w:rPr>
      </w:pPr>
      <w:r>
        <w:rPr>
          <w:noProof/>
        </w:rPr>
        <w:t>4.2.</w:t>
      </w:r>
      <w:r>
        <w:rPr>
          <w:noProof/>
        </w:rPr>
        <w:tab/>
      </w:r>
      <w:r w:rsidRPr="00F03365">
        <w:rPr>
          <w:noProof/>
        </w:rPr>
        <w:t>Temeiul juridic material</w:t>
      </w:r>
    </w:p>
    <w:p w:rsidR="00CF3A33" w:rsidRPr="00F03365" w:rsidRDefault="00CF3A33" w:rsidP="00CF3A33">
      <w:pPr>
        <w:pStyle w:val="ManualHeading3"/>
        <w:tabs>
          <w:tab w:val="clear" w:pos="850"/>
          <w:tab w:val="num" w:pos="1984"/>
        </w:tabs>
        <w:ind w:left="1984" w:hanging="567"/>
        <w:rPr>
          <w:noProof/>
        </w:rPr>
      </w:pPr>
      <w:r>
        <w:rPr>
          <w:noProof/>
        </w:rPr>
        <w:t>4.2.1.</w:t>
      </w:r>
      <w:r>
        <w:rPr>
          <w:noProof/>
        </w:rPr>
        <w:tab/>
      </w:r>
      <w:r w:rsidRPr="00F03365">
        <w:rPr>
          <w:noProof/>
        </w:rPr>
        <w:t>Principii</w:t>
      </w:r>
    </w:p>
    <w:p w:rsidR="00CF3A33" w:rsidRPr="00F03365" w:rsidRDefault="00CF3A33" w:rsidP="00736AA9">
      <w:pPr>
        <w:rPr>
          <w:noProof/>
        </w:rPr>
      </w:pPr>
      <w:r w:rsidRPr="00F03365">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CF3A33" w:rsidRPr="00F03365" w:rsidRDefault="00CF3A33" w:rsidP="00CF3A33">
      <w:pPr>
        <w:pStyle w:val="ManualHeading3"/>
        <w:tabs>
          <w:tab w:val="clear" w:pos="850"/>
          <w:tab w:val="num" w:pos="1984"/>
        </w:tabs>
        <w:ind w:left="1984" w:hanging="567"/>
        <w:rPr>
          <w:noProof/>
        </w:rPr>
      </w:pPr>
      <w:r>
        <w:rPr>
          <w:noProof/>
        </w:rPr>
        <w:t>4.2.2.</w:t>
      </w:r>
      <w:r>
        <w:rPr>
          <w:noProof/>
        </w:rPr>
        <w:tab/>
      </w:r>
      <w:r w:rsidRPr="00F03365">
        <w:rPr>
          <w:noProof/>
        </w:rPr>
        <w:t>Aplicarea la cazul în discuție</w:t>
      </w:r>
    </w:p>
    <w:p w:rsidR="00CF3A33" w:rsidRPr="00F03365" w:rsidRDefault="00760671" w:rsidP="00736AA9">
      <w:pPr>
        <w:rPr>
          <w:noProof/>
        </w:rPr>
      </w:pPr>
      <w:r w:rsidRPr="00F03365">
        <w:rPr>
          <w:noProof/>
        </w:rPr>
        <w:t>Obiectivul principal și conținutul actului avut în vedere vizează protecția mediului. Prin urmare, temeiul juridic material al deciziei propuse este articolul 192 alineatul (1) din TFUE.</w:t>
      </w:r>
    </w:p>
    <w:p w:rsidR="00CF3A33" w:rsidRPr="00F03365" w:rsidRDefault="00CF3A33" w:rsidP="00736AA9">
      <w:pPr>
        <w:pStyle w:val="ManualHeading2"/>
        <w:rPr>
          <w:noProof/>
        </w:rPr>
      </w:pPr>
      <w:r>
        <w:rPr>
          <w:noProof/>
        </w:rPr>
        <w:lastRenderedPageBreak/>
        <w:t>4.3.</w:t>
      </w:r>
      <w:r>
        <w:rPr>
          <w:noProof/>
        </w:rPr>
        <w:tab/>
      </w:r>
      <w:r w:rsidRPr="00F03365">
        <w:rPr>
          <w:noProof/>
        </w:rPr>
        <w:t>Concluzie</w:t>
      </w:r>
    </w:p>
    <w:p w:rsidR="00CF3A33" w:rsidRPr="00F03365" w:rsidRDefault="00760671" w:rsidP="00760671">
      <w:pPr>
        <w:rPr>
          <w:noProof/>
        </w:rPr>
      </w:pPr>
      <w:r w:rsidRPr="00F03365">
        <w:rPr>
          <w:noProof/>
        </w:rPr>
        <w:t>Temeiul juridic al deciziei propuse ar trebui să fie articolul 192 alineatul (1), coroborat cu articolul 218 alineatul (9) din TFUE.</w:t>
      </w:r>
    </w:p>
    <w:p w:rsidR="00CF3A33" w:rsidRPr="00F03365" w:rsidRDefault="00CF3A33" w:rsidP="00FD40BA">
      <w:pPr>
        <w:rPr>
          <w:noProof/>
        </w:rPr>
        <w:sectPr w:rsidR="00CF3A33" w:rsidRPr="00F03365" w:rsidSect="00DB111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5166DB" w:rsidRDefault="00C719E8">
      <w:pPr>
        <w:pStyle w:val="Rfrenceinterinstitutionnelle"/>
        <w:rPr>
          <w:noProof/>
        </w:rPr>
      </w:pPr>
      <w:r>
        <w:rPr>
          <w:noProof/>
        </w:rPr>
        <w:lastRenderedPageBreak/>
        <w:t>2026/0094 (NLE)</w:t>
      </w:r>
    </w:p>
    <w:p w:rsidR="00CF3A33" w:rsidRPr="00F03365" w:rsidRDefault="00F03365" w:rsidP="00F03365">
      <w:pPr>
        <w:pStyle w:val="Statut"/>
        <w:rPr>
          <w:noProof/>
        </w:rPr>
      </w:pPr>
      <w:r w:rsidRPr="00F03365">
        <w:rPr>
          <w:noProof/>
        </w:rPr>
        <w:t>Propunere de</w:t>
      </w:r>
    </w:p>
    <w:p w:rsidR="00CF3A33" w:rsidRPr="00F03365" w:rsidRDefault="00F03365" w:rsidP="00F03365">
      <w:pPr>
        <w:pStyle w:val="Typedudocument"/>
        <w:rPr>
          <w:noProof/>
        </w:rPr>
      </w:pPr>
      <w:r w:rsidRPr="00F03365">
        <w:rPr>
          <w:noProof/>
        </w:rPr>
        <w:t>DECIZIE A CONSILIULUI</w:t>
      </w:r>
    </w:p>
    <w:p w:rsidR="00CF3A33" w:rsidRPr="00F03365" w:rsidRDefault="00F03365" w:rsidP="00F03365">
      <w:pPr>
        <w:pStyle w:val="Titreobjet"/>
        <w:rPr>
          <w:noProof/>
        </w:rPr>
      </w:pPr>
      <w:r w:rsidRPr="00F03365">
        <w:rPr>
          <w:noProof/>
        </w:rPr>
        <w:t>privind poziția care urmează să fie adoptată în numele Uniunii Europene în cadrul Convenției privind protecția mediului marin al Atlanticului de Nord-Est la reuniunea Comisiei OSPAR din iunie 2026</w:t>
      </w:r>
    </w:p>
    <w:p w:rsidR="00CF3A33" w:rsidRPr="00F03365" w:rsidRDefault="00CF3A33" w:rsidP="00BE7CB9">
      <w:pPr>
        <w:pStyle w:val="Institutionquiagit"/>
        <w:rPr>
          <w:noProof/>
        </w:rPr>
      </w:pPr>
      <w:r w:rsidRPr="00F03365">
        <w:rPr>
          <w:noProof/>
        </w:rPr>
        <w:t>CONSILIUL UNIUNII EUROPENE,</w:t>
      </w:r>
    </w:p>
    <w:p w:rsidR="00CF3A33" w:rsidRPr="00F03365" w:rsidRDefault="000D2AA9" w:rsidP="000D2AA9">
      <w:pPr>
        <w:rPr>
          <w:noProof/>
        </w:rPr>
      </w:pPr>
      <w:r w:rsidRPr="00F03365">
        <w:rPr>
          <w:noProof/>
        </w:rPr>
        <w:t>având în vedere Tratatul privind funcționarea Uniunii Europene, în special articolul 192 alineatul (1), coroborat cu articolul 218 alineatul (9),</w:t>
      </w:r>
    </w:p>
    <w:p w:rsidR="00CF3A33" w:rsidRPr="00F03365" w:rsidRDefault="00CF3A33" w:rsidP="00BE7CB9">
      <w:pPr>
        <w:rPr>
          <w:noProof/>
        </w:rPr>
      </w:pPr>
      <w:r w:rsidRPr="00F03365">
        <w:rPr>
          <w:noProof/>
        </w:rPr>
        <w:t>având în vedere propunerea Comisiei Europene,</w:t>
      </w:r>
    </w:p>
    <w:p w:rsidR="00CF3A33" w:rsidRPr="00F03365" w:rsidRDefault="00CF3A33" w:rsidP="00BE7CB9">
      <w:pPr>
        <w:rPr>
          <w:noProof/>
        </w:rPr>
      </w:pPr>
      <w:r w:rsidRPr="00F03365">
        <w:rPr>
          <w:noProof/>
        </w:rPr>
        <w:t>întrucât:</w:t>
      </w:r>
    </w:p>
    <w:p w:rsidR="000D2AA9" w:rsidRPr="00F03365" w:rsidRDefault="000D2AA9" w:rsidP="00482FE5">
      <w:pPr>
        <w:pStyle w:val="ManualConsidrant"/>
        <w:rPr>
          <w:noProof/>
        </w:rPr>
      </w:pPr>
      <w:r>
        <w:rPr>
          <w:noProof/>
        </w:rPr>
        <w:t>(1)</w:t>
      </w:r>
      <w:r>
        <w:rPr>
          <w:noProof/>
        </w:rPr>
        <w:tab/>
      </w:r>
      <w:r w:rsidRPr="00F03365">
        <w:rPr>
          <w:noProof/>
        </w:rPr>
        <w:t>Convenția OSPAR („convenția”) a fost încheiată de Uniune prin Decizia 98/249/CE a Consiliului din 7 octombrie 1998.</w:t>
      </w:r>
    </w:p>
    <w:p w:rsidR="000D2AA9" w:rsidRPr="00F03365" w:rsidRDefault="000D2AA9" w:rsidP="000D2AA9">
      <w:pPr>
        <w:pStyle w:val="ManualConsidrant"/>
        <w:rPr>
          <w:noProof/>
        </w:rPr>
      </w:pPr>
      <w:r>
        <w:rPr>
          <w:noProof/>
        </w:rPr>
        <w:t>(2)</w:t>
      </w:r>
      <w:r>
        <w:rPr>
          <w:noProof/>
        </w:rPr>
        <w:tab/>
      </w:r>
      <w:r w:rsidRPr="00F03365">
        <w:rPr>
          <w:noProof/>
        </w:rPr>
        <w:t>În temeiul articolului 10 alineatul (3) din convenție, comisia instituită prin articolul 10 alineatul (1) din convenție („Comisia OSPAR”) poate adopta decizii și recomandări în conformitate cu articolul 13 din convenție.</w:t>
      </w:r>
    </w:p>
    <w:p w:rsidR="000D2AA9" w:rsidRPr="00F03365" w:rsidRDefault="000D2AA9" w:rsidP="000D2AA9">
      <w:pPr>
        <w:pStyle w:val="ManualConsidrant"/>
        <w:rPr>
          <w:noProof/>
        </w:rPr>
      </w:pPr>
      <w:r>
        <w:rPr>
          <w:noProof/>
        </w:rPr>
        <w:t>(3)</w:t>
      </w:r>
      <w:r>
        <w:rPr>
          <w:noProof/>
        </w:rPr>
        <w:tab/>
      </w:r>
      <w:r w:rsidRPr="00F03365">
        <w:rPr>
          <w:noProof/>
        </w:rPr>
        <w:t>În cadrul celei de a 29-a reuniuni ordinare care începe la 22 iunie 2026, Comisia OSPAR urmează să adopte o recomandare privind eliminarea treptată a frânghiei antiabraziune utilizată ca centură de protecție.</w:t>
      </w:r>
    </w:p>
    <w:p w:rsidR="002D4CA6" w:rsidRPr="00F03365" w:rsidRDefault="002D4CA6" w:rsidP="002D4CA6">
      <w:pPr>
        <w:pStyle w:val="ManualConsidrant"/>
        <w:rPr>
          <w:noProof/>
          <w:sz w:val="22"/>
        </w:rPr>
      </w:pPr>
      <w:r>
        <w:rPr>
          <w:noProof/>
        </w:rPr>
        <w:t>(4)</w:t>
      </w:r>
      <w:r>
        <w:rPr>
          <w:noProof/>
        </w:rPr>
        <w:tab/>
      </w:r>
      <w:r w:rsidRPr="00F03365">
        <w:rPr>
          <w:noProof/>
        </w:rPr>
        <w:t>Dacă va fi adoptată, recomandarea Comisiei OSPAR privind eliminarea treptată a frânghiei antiabraziune utilizată ca centură de protecție va produce efecte juridice pentru Uniune.</w:t>
      </w:r>
      <w:r w:rsidRPr="00F03365">
        <w:rPr>
          <w:noProof/>
          <w:color w:val="000000" w:themeColor="text1"/>
        </w:rPr>
        <w:t xml:space="preserve"> </w:t>
      </w:r>
    </w:p>
    <w:p w:rsidR="002D4CA6" w:rsidRPr="00F03365" w:rsidRDefault="002D4CA6" w:rsidP="002D4CA6">
      <w:pPr>
        <w:pStyle w:val="ManualConsidrant"/>
        <w:rPr>
          <w:noProof/>
          <w:sz w:val="22"/>
        </w:rPr>
      </w:pPr>
      <w:r>
        <w:rPr>
          <w:noProof/>
        </w:rPr>
        <w:t>(5)</w:t>
      </w:r>
      <w:r>
        <w:rPr>
          <w:noProof/>
        </w:rPr>
        <w:tab/>
      </w:r>
      <w:r w:rsidRPr="00F03365">
        <w:rPr>
          <w:noProof/>
        </w:rPr>
        <w:t>Prin urmare, este oportun să se stabilească poziția care urmează să fie adoptată în cadrul Comisiei OSPAR în ceea ce privește recomandarea privind eliminarea treptată a frânghiei antiabraziune utilizată ca centură de protecție,</w:t>
      </w:r>
    </w:p>
    <w:p w:rsidR="00CF3A33" w:rsidRPr="00F03365" w:rsidRDefault="00CF3A33" w:rsidP="00BE7CB9">
      <w:pPr>
        <w:pStyle w:val="Formuledadoption"/>
        <w:rPr>
          <w:noProof/>
        </w:rPr>
      </w:pPr>
      <w:r w:rsidRPr="00F03365">
        <w:rPr>
          <w:noProof/>
        </w:rPr>
        <w:t>ADOPTĂ PREZENTA DECIZIE:</w:t>
      </w:r>
    </w:p>
    <w:p w:rsidR="00CF3A33" w:rsidRPr="00F03365" w:rsidRDefault="00CF3A33" w:rsidP="00BE7CB9">
      <w:pPr>
        <w:pStyle w:val="Titrearticle"/>
        <w:rPr>
          <w:noProof/>
        </w:rPr>
      </w:pPr>
      <w:r w:rsidRPr="00F03365">
        <w:rPr>
          <w:noProof/>
        </w:rPr>
        <w:t>Articolul 1</w:t>
      </w:r>
    </w:p>
    <w:p w:rsidR="000D2AA9" w:rsidRPr="00F03365" w:rsidRDefault="000D2AA9" w:rsidP="000D2AA9">
      <w:pPr>
        <w:pStyle w:val="Titrearticle"/>
        <w:jc w:val="both"/>
        <w:rPr>
          <w:i w:val="0"/>
          <w:iCs/>
          <w:noProof/>
        </w:rPr>
      </w:pPr>
      <w:r w:rsidRPr="00F03365">
        <w:rPr>
          <w:i w:val="0"/>
          <w:noProof/>
        </w:rPr>
        <w:t>Uniunea este de acord cu adoptarea în cadrul Comisiei OSPAR a recomandării privind eliminarea treptată a frânghiei antiabraziune utilizată ca centură de protecție.</w:t>
      </w:r>
    </w:p>
    <w:p w:rsidR="00CF3A33" w:rsidRPr="00F03365" w:rsidRDefault="00CF3A33" w:rsidP="000D2AA9">
      <w:pPr>
        <w:pStyle w:val="Titrearticle"/>
        <w:rPr>
          <w:i w:val="0"/>
          <w:noProof/>
          <w:color w:val="008000"/>
        </w:rPr>
      </w:pPr>
      <w:r w:rsidRPr="00F03365">
        <w:rPr>
          <w:noProof/>
        </w:rPr>
        <w:t>Articolul 2</w:t>
      </w:r>
    </w:p>
    <w:p w:rsidR="008F7B32" w:rsidRPr="00F03365" w:rsidRDefault="008F7B32" w:rsidP="008F7B32">
      <w:pPr>
        <w:rPr>
          <w:noProof/>
        </w:rPr>
      </w:pPr>
      <w:r w:rsidRPr="00F03365">
        <w:rPr>
          <w:noProof/>
        </w:rPr>
        <w:t>Se poate conveni asupra unor modificări tehnice minore ale poziției menționate la articolul 1 fără a mai fi necesară o nouă decizie a Consiliului.</w:t>
      </w:r>
    </w:p>
    <w:p w:rsidR="000D2AA9" w:rsidRPr="00F03365" w:rsidRDefault="000D2AA9" w:rsidP="000D2AA9">
      <w:pPr>
        <w:rPr>
          <w:noProof/>
        </w:rPr>
      </w:pPr>
      <w:r w:rsidRPr="00F03365">
        <w:rPr>
          <w:noProof/>
        </w:rPr>
        <w:t xml:space="preserve"> </w:t>
      </w:r>
    </w:p>
    <w:p w:rsidR="008F7B32" w:rsidRPr="00F03365" w:rsidRDefault="008F7B32" w:rsidP="009E62BB">
      <w:pPr>
        <w:jc w:val="center"/>
        <w:rPr>
          <w:i/>
          <w:noProof/>
        </w:rPr>
      </w:pPr>
      <w:r w:rsidRPr="00F03365">
        <w:rPr>
          <w:i/>
          <w:noProof/>
        </w:rPr>
        <w:t>Articolul 3</w:t>
      </w:r>
    </w:p>
    <w:p w:rsidR="008F7B32" w:rsidRPr="00F03365" w:rsidRDefault="008F7B32" w:rsidP="008F7B32">
      <w:pPr>
        <w:rPr>
          <w:noProof/>
        </w:rPr>
      </w:pPr>
      <w:r w:rsidRPr="00F03365">
        <w:rPr>
          <w:noProof/>
        </w:rPr>
        <w:t>Prezenta decizie intră în vigoare la data adoptării.</w:t>
      </w:r>
    </w:p>
    <w:p w:rsidR="008F7B32" w:rsidRPr="00F03365" w:rsidRDefault="008F7B32" w:rsidP="000D2AA9">
      <w:pPr>
        <w:rPr>
          <w:noProof/>
        </w:rPr>
      </w:pPr>
    </w:p>
    <w:p w:rsidR="00CF3A33" w:rsidRPr="00F03365" w:rsidRDefault="00F03365" w:rsidP="00750A0C">
      <w:pPr>
        <w:pStyle w:val="Fait"/>
        <w:rPr>
          <w:noProof/>
        </w:rPr>
      </w:pPr>
      <w:r>
        <w:rPr>
          <w:noProof/>
        </w:rPr>
        <w:t>Adoptată la Bruxelles,</w:t>
      </w:r>
    </w:p>
    <w:p w:rsidR="00CF3A33" w:rsidRPr="00F03365" w:rsidRDefault="00CF3A33" w:rsidP="00750A0C">
      <w:pPr>
        <w:pStyle w:val="Institutionquisigne"/>
        <w:rPr>
          <w:noProof/>
        </w:rPr>
      </w:pPr>
      <w:r w:rsidRPr="00F03365">
        <w:rPr>
          <w:noProof/>
        </w:rPr>
        <w:tab/>
        <w:t>Pentru Consiliu</w:t>
      </w:r>
    </w:p>
    <w:p w:rsidR="00CF3A33" w:rsidRPr="00F03365" w:rsidRDefault="00CF3A33" w:rsidP="00CF3A33">
      <w:pPr>
        <w:pStyle w:val="Personnequisigne"/>
        <w:rPr>
          <w:noProof/>
        </w:rPr>
      </w:pPr>
      <w:r w:rsidRPr="00F03365">
        <w:rPr>
          <w:noProof/>
        </w:rPr>
        <w:tab/>
        <w:t>Președintele</w:t>
      </w:r>
    </w:p>
    <w:sectPr w:rsidR="00CF3A33" w:rsidRPr="00F03365" w:rsidSect="00DB111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A92" w:rsidRDefault="00254A92" w:rsidP="00CF3A33">
      <w:pPr>
        <w:spacing w:before="0" w:after="0"/>
      </w:pPr>
      <w:r>
        <w:separator/>
      </w:r>
    </w:p>
  </w:endnote>
  <w:endnote w:type="continuationSeparator" w:id="0">
    <w:p w:rsidR="00254A92" w:rsidRDefault="00254A92" w:rsidP="00CF3A3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1E" w:rsidRPr="00DB111E" w:rsidRDefault="00DB111E" w:rsidP="00DB111E">
    <w:pPr>
      <w:pStyle w:val="Footer"/>
      <w:rPr>
        <w:rFonts w:ascii="Arial" w:hAnsi="Arial" w:cs="Arial"/>
        <w:b/>
        <w:sz w:val="48"/>
      </w:rPr>
    </w:pPr>
    <w:r w:rsidRPr="00DB111E">
      <w:rPr>
        <w:rFonts w:ascii="Arial" w:hAnsi="Arial" w:cs="Arial"/>
        <w:b/>
        <w:sz w:val="48"/>
      </w:rPr>
      <w:t>RO</w:t>
    </w:r>
    <w:r w:rsidRPr="00DB111E">
      <w:rPr>
        <w:rFonts w:ascii="Arial" w:hAnsi="Arial" w:cs="Arial"/>
        <w:b/>
        <w:sz w:val="48"/>
      </w:rPr>
      <w:tab/>
    </w:r>
    <w:r w:rsidRPr="00DB111E">
      <w:rPr>
        <w:rFonts w:ascii="Arial" w:hAnsi="Arial" w:cs="Arial"/>
        <w:b/>
        <w:sz w:val="48"/>
      </w:rPr>
      <w:tab/>
    </w:r>
    <w:r w:rsidRPr="00DB111E">
      <w:tab/>
    </w:r>
    <w:r w:rsidRPr="00DB111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1E" w:rsidRPr="00DB111E" w:rsidRDefault="00DB111E" w:rsidP="00DB111E">
    <w:pPr>
      <w:pStyle w:val="Footer"/>
      <w:rPr>
        <w:rFonts w:ascii="Arial" w:hAnsi="Arial" w:cs="Arial"/>
        <w:b/>
        <w:sz w:val="48"/>
      </w:rPr>
    </w:pPr>
    <w:r w:rsidRPr="00DB111E">
      <w:rPr>
        <w:rFonts w:ascii="Arial" w:hAnsi="Arial" w:cs="Arial"/>
        <w:b/>
        <w:sz w:val="48"/>
      </w:rPr>
      <w:t>RO</w:t>
    </w:r>
    <w:r w:rsidRPr="00DB111E">
      <w:rPr>
        <w:rFonts w:ascii="Arial" w:hAnsi="Arial" w:cs="Arial"/>
        <w:b/>
        <w:sz w:val="48"/>
      </w:rPr>
      <w:tab/>
    </w:r>
    <w:r w:rsidRPr="00DB111E">
      <w:rPr>
        <w:rFonts w:ascii="Arial" w:hAnsi="Arial" w:cs="Arial"/>
        <w:b/>
        <w:sz w:val="48"/>
      </w:rPr>
      <w:tab/>
    </w:r>
    <w:r w:rsidRPr="00DB111E">
      <w:tab/>
    </w:r>
    <w:r w:rsidRPr="00DB111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1E" w:rsidRDefault="00DB11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1E" w:rsidRPr="00DB111E" w:rsidRDefault="00DB111E" w:rsidP="00DB111E">
    <w:pPr>
      <w:pStyle w:val="Footer"/>
      <w:rPr>
        <w:rFonts w:ascii="Arial" w:hAnsi="Arial" w:cs="Arial"/>
        <w:b/>
        <w:sz w:val="48"/>
      </w:rPr>
    </w:pPr>
    <w:r w:rsidRPr="00DB111E">
      <w:rPr>
        <w:rFonts w:ascii="Arial" w:hAnsi="Arial" w:cs="Arial"/>
        <w:b/>
        <w:sz w:val="48"/>
      </w:rPr>
      <w:t>RO</w:t>
    </w:r>
    <w:r w:rsidRPr="00DB111E">
      <w:rPr>
        <w:rFonts w:ascii="Arial" w:hAnsi="Arial" w:cs="Arial"/>
        <w:b/>
        <w:sz w:val="48"/>
      </w:rPr>
      <w:tab/>
    </w:r>
    <w:r>
      <w:fldChar w:fldCharType="begin"/>
    </w:r>
    <w:r>
      <w:instrText xml:space="preserve"> PAGE  \* MERGEFORMAT </w:instrText>
    </w:r>
    <w:r>
      <w:fldChar w:fldCharType="separate"/>
    </w:r>
    <w:r w:rsidR="00750A0C">
      <w:rPr>
        <w:noProof/>
      </w:rPr>
      <w:t>6</w:t>
    </w:r>
    <w:r>
      <w:fldChar w:fldCharType="end"/>
    </w:r>
    <w:r>
      <w:tab/>
    </w:r>
    <w:r w:rsidRPr="00DB111E">
      <w:tab/>
    </w:r>
    <w:r w:rsidRPr="00DB111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1E" w:rsidRDefault="00DB111E" w:rsidP="00DB1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A92" w:rsidRDefault="00254A92" w:rsidP="00CF3A33">
      <w:pPr>
        <w:spacing w:before="0" w:after="0"/>
      </w:pPr>
      <w:r>
        <w:separator/>
      </w:r>
    </w:p>
  </w:footnote>
  <w:footnote w:type="continuationSeparator" w:id="0">
    <w:p w:rsidR="00254A92" w:rsidRDefault="00254A92" w:rsidP="00CF3A33">
      <w:pPr>
        <w:spacing w:before="0" w:after="0"/>
      </w:pPr>
      <w:r>
        <w:continuationSeparator/>
      </w:r>
    </w:p>
  </w:footnote>
  <w:footnote w:id="1">
    <w:p w:rsidR="00CF3A33" w:rsidRPr="00F03365" w:rsidRDefault="00CF3A33" w:rsidP="00736AA9">
      <w:pPr>
        <w:pStyle w:val="FootnoteText"/>
        <w:rPr>
          <w:lang w:val="fr-FR"/>
        </w:rPr>
      </w:pPr>
      <w:r>
        <w:rPr>
          <w:rStyle w:val="FootnoteReference"/>
        </w:rPr>
        <w:footnoteRef/>
      </w:r>
      <w:r w:rsidRPr="00F03365">
        <w:rPr>
          <w:lang w:val="fr-FR"/>
        </w:rPr>
        <w:tab/>
        <w:t xml:space="preserve">Hotărârea Curții de Justiție din 7 octombrie 2014, Germania/Consiliul, C-399/12, ECLI:EU:C:2014:2258, punctele 61-64.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1E" w:rsidRDefault="00DB1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11E" w:rsidRDefault="00DB11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9EA9BF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77028C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6C463F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5D09B7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8 19:00: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9258EB6-4C97-4A17-ADE8-D0FE47D86B61"/>
    <w:docVar w:name="LW_COVERPAGE_TYPE" w:val="1"/>
    <w:docVar w:name="LW_CreatedUtc" w:val="2026-03-09T14:47:05.1709005Z"/>
    <w:docVar w:name="LW_CROSSREFERENCE" w:val="&lt;UNUSED&gt;"/>
    <w:docVar w:name="LW_DocType" w:val="COM"/>
    <w:docVar w:name="LW_EMISSION" w:val="23.4.2026"/>
    <w:docVar w:name="LW_EMISSION_ISODATE" w:val="2026-04-2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94"/>
    <w:docVar w:name="LW_REF.II.NEW.CP_YEAR" w:val="2026"/>
    <w:docVar w:name="LW_REF.INST.NEW" w:val="COM"/>
    <w:docVar w:name="LW_REF.INST.NEW_ADOPTED" w:val="final"/>
    <w:docVar w:name="LW_REF.INST.NEW_TEXT" w:val="(2026) 1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nven\u539?iei privind protec\u539?ia mediului marin al Atlanticului de Nord-Est la reuniunea Comisiei OSPAR din iunie 2026"/>
    <w:docVar w:name="LW_TYPE.DOC.CP" w:val="DECIZIE A CONSILIULUI"/>
    <w:docVar w:name="LwApiVersions" w:val="LW4CoDe 1.24.5.0; LW 9.2, Build 20251112"/>
  </w:docVars>
  <w:rsids>
    <w:rsidRoot w:val="00CF3A33"/>
    <w:rsid w:val="0001397F"/>
    <w:rsid w:val="00014267"/>
    <w:rsid w:val="00046BB1"/>
    <w:rsid w:val="0008782D"/>
    <w:rsid w:val="000D2AA9"/>
    <w:rsid w:val="000D3E0D"/>
    <w:rsid w:val="000E689F"/>
    <w:rsid w:val="000F6363"/>
    <w:rsid w:val="00100FED"/>
    <w:rsid w:val="001065F5"/>
    <w:rsid w:val="001238EF"/>
    <w:rsid w:val="00142BA1"/>
    <w:rsid w:val="00154CB1"/>
    <w:rsid w:val="00166533"/>
    <w:rsid w:val="00176486"/>
    <w:rsid w:val="00197613"/>
    <w:rsid w:val="001C3A62"/>
    <w:rsid w:val="00233DC7"/>
    <w:rsid w:val="00247779"/>
    <w:rsid w:val="00254A92"/>
    <w:rsid w:val="00285BEE"/>
    <w:rsid w:val="0029533F"/>
    <w:rsid w:val="002B30AF"/>
    <w:rsid w:val="002D4CA6"/>
    <w:rsid w:val="002D6D8A"/>
    <w:rsid w:val="003007BA"/>
    <w:rsid w:val="0033344A"/>
    <w:rsid w:val="00334DCF"/>
    <w:rsid w:val="00336106"/>
    <w:rsid w:val="00344517"/>
    <w:rsid w:val="00360B8E"/>
    <w:rsid w:val="003970EB"/>
    <w:rsid w:val="003977AC"/>
    <w:rsid w:val="003B003E"/>
    <w:rsid w:val="003C7D42"/>
    <w:rsid w:val="00405BA1"/>
    <w:rsid w:val="004162C2"/>
    <w:rsid w:val="0042648E"/>
    <w:rsid w:val="00480769"/>
    <w:rsid w:val="00482FE5"/>
    <w:rsid w:val="004936D2"/>
    <w:rsid w:val="004D4DFA"/>
    <w:rsid w:val="004E2022"/>
    <w:rsid w:val="005166DB"/>
    <w:rsid w:val="00582F41"/>
    <w:rsid w:val="0058410B"/>
    <w:rsid w:val="005A2004"/>
    <w:rsid w:val="005B1EB6"/>
    <w:rsid w:val="005D1F90"/>
    <w:rsid w:val="005F45F3"/>
    <w:rsid w:val="005F6AED"/>
    <w:rsid w:val="00615805"/>
    <w:rsid w:val="00666C7C"/>
    <w:rsid w:val="006840B8"/>
    <w:rsid w:val="006970C5"/>
    <w:rsid w:val="00711534"/>
    <w:rsid w:val="00714C00"/>
    <w:rsid w:val="00725950"/>
    <w:rsid w:val="00743913"/>
    <w:rsid w:val="00750A0C"/>
    <w:rsid w:val="007563A7"/>
    <w:rsid w:val="00760671"/>
    <w:rsid w:val="00773331"/>
    <w:rsid w:val="00785C65"/>
    <w:rsid w:val="007932EF"/>
    <w:rsid w:val="00793AD3"/>
    <w:rsid w:val="007A4EB3"/>
    <w:rsid w:val="007A637B"/>
    <w:rsid w:val="007A7DD7"/>
    <w:rsid w:val="007C1D7D"/>
    <w:rsid w:val="007D2469"/>
    <w:rsid w:val="007E05B0"/>
    <w:rsid w:val="00822C45"/>
    <w:rsid w:val="00822F71"/>
    <w:rsid w:val="00823B4B"/>
    <w:rsid w:val="00833D19"/>
    <w:rsid w:val="00874D22"/>
    <w:rsid w:val="008A2914"/>
    <w:rsid w:val="008E4D8E"/>
    <w:rsid w:val="008F0224"/>
    <w:rsid w:val="008F1437"/>
    <w:rsid w:val="008F7B32"/>
    <w:rsid w:val="00903914"/>
    <w:rsid w:val="00927DE0"/>
    <w:rsid w:val="009D6C17"/>
    <w:rsid w:val="009E0B39"/>
    <w:rsid w:val="009E5E61"/>
    <w:rsid w:val="009E62BB"/>
    <w:rsid w:val="00A04FED"/>
    <w:rsid w:val="00A1770E"/>
    <w:rsid w:val="00A204D2"/>
    <w:rsid w:val="00A45B22"/>
    <w:rsid w:val="00A91EFD"/>
    <w:rsid w:val="00AA20E3"/>
    <w:rsid w:val="00B63477"/>
    <w:rsid w:val="00BB00C3"/>
    <w:rsid w:val="00BB6447"/>
    <w:rsid w:val="00BD10C2"/>
    <w:rsid w:val="00C0733B"/>
    <w:rsid w:val="00C116A2"/>
    <w:rsid w:val="00C12301"/>
    <w:rsid w:val="00C154F4"/>
    <w:rsid w:val="00C41837"/>
    <w:rsid w:val="00C43F2D"/>
    <w:rsid w:val="00C50AF7"/>
    <w:rsid w:val="00C63650"/>
    <w:rsid w:val="00CC0135"/>
    <w:rsid w:val="00CF3A33"/>
    <w:rsid w:val="00D20381"/>
    <w:rsid w:val="00D73E6D"/>
    <w:rsid w:val="00D750B4"/>
    <w:rsid w:val="00DB111E"/>
    <w:rsid w:val="00DB17F0"/>
    <w:rsid w:val="00DD0CBA"/>
    <w:rsid w:val="00DD5C20"/>
    <w:rsid w:val="00E02B93"/>
    <w:rsid w:val="00E57493"/>
    <w:rsid w:val="00E664ED"/>
    <w:rsid w:val="00E979FA"/>
    <w:rsid w:val="00F03365"/>
    <w:rsid w:val="00F550E4"/>
    <w:rsid w:val="00F746F8"/>
    <w:rsid w:val="00F75D09"/>
    <w:rsid w:val="00FA0BF8"/>
    <w:rsid w:val="00FC38F8"/>
    <w:rsid w:val="00FC7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842D735B-7FE1-42D5-B88E-1343F1D9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63650"/>
    <w:rPr>
      <w:sz w:val="16"/>
      <w:szCs w:val="16"/>
    </w:rPr>
  </w:style>
  <w:style w:type="paragraph" w:styleId="CommentText">
    <w:name w:val="annotation text"/>
    <w:basedOn w:val="Normal"/>
    <w:link w:val="CommentTextChar"/>
    <w:uiPriority w:val="99"/>
    <w:unhideWhenUsed/>
    <w:rsid w:val="00C63650"/>
    <w:rPr>
      <w:sz w:val="20"/>
      <w:szCs w:val="20"/>
    </w:rPr>
  </w:style>
  <w:style w:type="character" w:customStyle="1" w:styleId="CommentTextChar">
    <w:name w:val="Comment Text Char"/>
    <w:basedOn w:val="DefaultParagraphFont"/>
    <w:link w:val="CommentText"/>
    <w:uiPriority w:val="99"/>
    <w:rsid w:val="00C63650"/>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63650"/>
    <w:rPr>
      <w:b/>
      <w:bCs/>
    </w:rPr>
  </w:style>
  <w:style w:type="character" w:customStyle="1" w:styleId="CommentSubjectChar">
    <w:name w:val="Comment Subject Char"/>
    <w:basedOn w:val="CommentTextChar"/>
    <w:link w:val="CommentSubject"/>
    <w:uiPriority w:val="99"/>
    <w:semiHidden/>
    <w:rsid w:val="00C63650"/>
    <w:rPr>
      <w:rFonts w:ascii="Times New Roman" w:hAnsi="Times New Roman" w:cs="Times New Roman"/>
      <w:b/>
      <w:bCs/>
      <w:sz w:val="20"/>
      <w:szCs w:val="20"/>
      <w:lang w:val="ro-RO"/>
    </w:rPr>
  </w:style>
  <w:style w:type="paragraph" w:styleId="Revision">
    <w:name w:val="Revision"/>
    <w:hidden/>
    <w:uiPriority w:val="99"/>
    <w:semiHidden/>
    <w:rsid w:val="009E0B39"/>
    <w:pPr>
      <w:spacing w:after="0" w:line="240" w:lineRule="auto"/>
    </w:pPr>
    <w:rPr>
      <w:rFonts w:ascii="Times New Roman" w:hAnsi="Times New Roman" w:cs="Times New Roman"/>
      <w:sz w:val="24"/>
    </w:rPr>
  </w:style>
  <w:style w:type="paragraph" w:styleId="ListBullet">
    <w:name w:val="List Bullet"/>
    <w:basedOn w:val="Normal"/>
    <w:uiPriority w:val="99"/>
    <w:semiHidden/>
    <w:unhideWhenUsed/>
    <w:rsid w:val="00B63477"/>
    <w:pPr>
      <w:numPr>
        <w:numId w:val="1"/>
      </w:numPr>
      <w:contextualSpacing/>
    </w:pPr>
  </w:style>
  <w:style w:type="paragraph" w:styleId="ListBullet2">
    <w:name w:val="List Bullet 2"/>
    <w:basedOn w:val="Normal"/>
    <w:uiPriority w:val="99"/>
    <w:semiHidden/>
    <w:unhideWhenUsed/>
    <w:rsid w:val="00B63477"/>
    <w:pPr>
      <w:numPr>
        <w:numId w:val="2"/>
      </w:numPr>
      <w:contextualSpacing/>
    </w:pPr>
  </w:style>
  <w:style w:type="paragraph" w:styleId="ListBullet3">
    <w:name w:val="List Bullet 3"/>
    <w:basedOn w:val="Normal"/>
    <w:uiPriority w:val="99"/>
    <w:semiHidden/>
    <w:unhideWhenUsed/>
    <w:rsid w:val="00B63477"/>
    <w:pPr>
      <w:numPr>
        <w:numId w:val="3"/>
      </w:numPr>
      <w:contextualSpacing/>
    </w:pPr>
  </w:style>
  <w:style w:type="paragraph" w:styleId="ListBullet4">
    <w:name w:val="List Bullet 4"/>
    <w:basedOn w:val="Normal"/>
    <w:uiPriority w:val="99"/>
    <w:semiHidden/>
    <w:unhideWhenUsed/>
    <w:rsid w:val="00B63477"/>
    <w:pPr>
      <w:numPr>
        <w:numId w:val="4"/>
      </w:numPr>
      <w:contextualSpacing/>
    </w:pPr>
  </w:style>
  <w:style w:type="character" w:styleId="Hyperlink">
    <w:name w:val="Hyperlink"/>
    <w:basedOn w:val="DefaultParagraphFont"/>
    <w:uiPriority w:val="99"/>
    <w:unhideWhenUsed/>
    <w:rsid w:val="00CC0135"/>
    <w:rPr>
      <w:color w:val="0000FF" w:themeColor="hyperlink"/>
      <w:u w:val="single"/>
    </w:rPr>
  </w:style>
  <w:style w:type="character" w:customStyle="1" w:styleId="UnresolvedMention">
    <w:name w:val="Unresolved Mention"/>
    <w:basedOn w:val="DefaultParagraphFont"/>
    <w:uiPriority w:val="99"/>
    <w:semiHidden/>
    <w:unhideWhenUsed/>
    <w:rsid w:val="00CC0135"/>
    <w:rPr>
      <w:color w:val="605E5C"/>
      <w:shd w:val="clear" w:color="auto" w:fill="E1DFDD"/>
    </w:rPr>
  </w:style>
  <w:style w:type="paragraph" w:styleId="ListParagraph">
    <w:name w:val="List Paragraph"/>
    <w:basedOn w:val="Normal"/>
    <w:uiPriority w:val="34"/>
    <w:qFormat/>
    <w:rsid w:val="002D4CA6"/>
    <w:pPr>
      <w:spacing w:before="0" w:after="160" w:line="256" w:lineRule="auto"/>
      <w:ind w:left="720"/>
      <w:contextualSpacing/>
      <w:jc w:val="left"/>
    </w:pPr>
    <w:rPr>
      <w:rFonts w:asciiTheme="minorHAnsi" w:hAnsiTheme="minorHAnsi" w:cstheme="minorBidi"/>
      <w:kern w:val="2"/>
      <w:sz w:val="22"/>
      <w14:ligatures w14:val="standardContextual"/>
    </w:rPr>
  </w:style>
  <w:style w:type="character" w:customStyle="1" w:styleId="HeaderChar">
    <w:name w:val="Header Char"/>
    <w:basedOn w:val="DefaultParagraphFont"/>
    <w:link w:val="Header"/>
    <w:uiPriority w:val="99"/>
    <w:rsid w:val="00DB111E"/>
    <w:rPr>
      <w:rFonts w:ascii="Times New Roman" w:hAnsi="Times New Roman" w:cs="Times New Roman"/>
      <w:sz w:val="24"/>
      <w:lang w:val="ro-RO"/>
    </w:rPr>
  </w:style>
  <w:style w:type="character" w:customStyle="1" w:styleId="FooterChar">
    <w:name w:val="Footer Char"/>
    <w:basedOn w:val="DefaultParagraphFont"/>
    <w:link w:val="Footer"/>
    <w:uiPriority w:val="99"/>
    <w:rsid w:val="00DB111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B111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B111E"/>
    <w:pPr>
      <w:spacing w:before="0"/>
      <w:jc w:val="right"/>
    </w:pPr>
    <w:rPr>
      <w:sz w:val="28"/>
    </w:rPr>
  </w:style>
  <w:style w:type="paragraph" w:customStyle="1" w:styleId="FooterSensitivity">
    <w:name w:val="Footer Sensitivity"/>
    <w:basedOn w:val="Normal"/>
    <w:rsid w:val="00DB111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B111E"/>
    <w:pPr>
      <w:tabs>
        <w:tab w:val="center" w:pos="4535"/>
        <w:tab w:val="right" w:pos="9071"/>
      </w:tabs>
      <w:spacing w:before="0"/>
    </w:pPr>
  </w:style>
  <w:style w:type="paragraph" w:customStyle="1" w:styleId="HeaderLandscape">
    <w:name w:val="HeaderLandscape"/>
    <w:basedOn w:val="Normal"/>
    <w:rsid w:val="00DB111E"/>
    <w:pPr>
      <w:tabs>
        <w:tab w:val="center" w:pos="7285"/>
        <w:tab w:val="right" w:pos="14003"/>
      </w:tabs>
      <w:spacing w:before="0"/>
    </w:pPr>
  </w:style>
  <w:style w:type="paragraph" w:styleId="Footer">
    <w:name w:val="footer"/>
    <w:basedOn w:val="Normal"/>
    <w:link w:val="FooterChar"/>
    <w:uiPriority w:val="99"/>
    <w:unhideWhenUsed/>
    <w:rsid w:val="00DB111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B111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12331">
      <w:bodyDiv w:val="1"/>
      <w:marLeft w:val="0"/>
      <w:marRight w:val="0"/>
      <w:marTop w:val="0"/>
      <w:marBottom w:val="0"/>
      <w:divBdr>
        <w:top w:val="none" w:sz="0" w:space="0" w:color="auto"/>
        <w:left w:val="none" w:sz="0" w:space="0" w:color="auto"/>
        <w:bottom w:val="none" w:sz="0" w:space="0" w:color="auto"/>
        <w:right w:val="none" w:sz="0" w:space="0" w:color="auto"/>
      </w:divBdr>
    </w:div>
    <w:div w:id="76295211">
      <w:bodyDiv w:val="1"/>
      <w:marLeft w:val="0"/>
      <w:marRight w:val="0"/>
      <w:marTop w:val="0"/>
      <w:marBottom w:val="0"/>
      <w:divBdr>
        <w:top w:val="none" w:sz="0" w:space="0" w:color="auto"/>
        <w:left w:val="none" w:sz="0" w:space="0" w:color="auto"/>
        <w:bottom w:val="none" w:sz="0" w:space="0" w:color="auto"/>
        <w:right w:val="none" w:sz="0" w:space="0" w:color="auto"/>
      </w:divBdr>
    </w:div>
    <w:div w:id="78792648">
      <w:bodyDiv w:val="1"/>
      <w:marLeft w:val="0"/>
      <w:marRight w:val="0"/>
      <w:marTop w:val="0"/>
      <w:marBottom w:val="0"/>
      <w:divBdr>
        <w:top w:val="none" w:sz="0" w:space="0" w:color="auto"/>
        <w:left w:val="none" w:sz="0" w:space="0" w:color="auto"/>
        <w:bottom w:val="none" w:sz="0" w:space="0" w:color="auto"/>
        <w:right w:val="none" w:sz="0" w:space="0" w:color="auto"/>
      </w:divBdr>
    </w:div>
    <w:div w:id="95756078">
      <w:bodyDiv w:val="1"/>
      <w:marLeft w:val="0"/>
      <w:marRight w:val="0"/>
      <w:marTop w:val="0"/>
      <w:marBottom w:val="0"/>
      <w:divBdr>
        <w:top w:val="none" w:sz="0" w:space="0" w:color="auto"/>
        <w:left w:val="none" w:sz="0" w:space="0" w:color="auto"/>
        <w:bottom w:val="none" w:sz="0" w:space="0" w:color="auto"/>
        <w:right w:val="none" w:sz="0" w:space="0" w:color="auto"/>
      </w:divBdr>
    </w:div>
    <w:div w:id="121729704">
      <w:bodyDiv w:val="1"/>
      <w:marLeft w:val="0"/>
      <w:marRight w:val="0"/>
      <w:marTop w:val="0"/>
      <w:marBottom w:val="0"/>
      <w:divBdr>
        <w:top w:val="none" w:sz="0" w:space="0" w:color="auto"/>
        <w:left w:val="none" w:sz="0" w:space="0" w:color="auto"/>
        <w:bottom w:val="none" w:sz="0" w:space="0" w:color="auto"/>
        <w:right w:val="none" w:sz="0" w:space="0" w:color="auto"/>
      </w:divBdr>
    </w:div>
    <w:div w:id="126629952">
      <w:bodyDiv w:val="1"/>
      <w:marLeft w:val="0"/>
      <w:marRight w:val="0"/>
      <w:marTop w:val="0"/>
      <w:marBottom w:val="0"/>
      <w:divBdr>
        <w:top w:val="none" w:sz="0" w:space="0" w:color="auto"/>
        <w:left w:val="none" w:sz="0" w:space="0" w:color="auto"/>
        <w:bottom w:val="none" w:sz="0" w:space="0" w:color="auto"/>
        <w:right w:val="none" w:sz="0" w:space="0" w:color="auto"/>
      </w:divBdr>
    </w:div>
    <w:div w:id="323820527">
      <w:bodyDiv w:val="1"/>
      <w:marLeft w:val="0"/>
      <w:marRight w:val="0"/>
      <w:marTop w:val="0"/>
      <w:marBottom w:val="0"/>
      <w:divBdr>
        <w:top w:val="none" w:sz="0" w:space="0" w:color="auto"/>
        <w:left w:val="none" w:sz="0" w:space="0" w:color="auto"/>
        <w:bottom w:val="none" w:sz="0" w:space="0" w:color="auto"/>
        <w:right w:val="none" w:sz="0" w:space="0" w:color="auto"/>
      </w:divBdr>
    </w:div>
    <w:div w:id="392848292">
      <w:bodyDiv w:val="1"/>
      <w:marLeft w:val="0"/>
      <w:marRight w:val="0"/>
      <w:marTop w:val="0"/>
      <w:marBottom w:val="0"/>
      <w:divBdr>
        <w:top w:val="none" w:sz="0" w:space="0" w:color="auto"/>
        <w:left w:val="none" w:sz="0" w:space="0" w:color="auto"/>
        <w:bottom w:val="none" w:sz="0" w:space="0" w:color="auto"/>
        <w:right w:val="none" w:sz="0" w:space="0" w:color="auto"/>
      </w:divBdr>
    </w:div>
    <w:div w:id="484706299">
      <w:bodyDiv w:val="1"/>
      <w:marLeft w:val="0"/>
      <w:marRight w:val="0"/>
      <w:marTop w:val="0"/>
      <w:marBottom w:val="0"/>
      <w:divBdr>
        <w:top w:val="none" w:sz="0" w:space="0" w:color="auto"/>
        <w:left w:val="none" w:sz="0" w:space="0" w:color="auto"/>
        <w:bottom w:val="none" w:sz="0" w:space="0" w:color="auto"/>
        <w:right w:val="none" w:sz="0" w:space="0" w:color="auto"/>
      </w:divBdr>
    </w:div>
    <w:div w:id="495076710">
      <w:bodyDiv w:val="1"/>
      <w:marLeft w:val="0"/>
      <w:marRight w:val="0"/>
      <w:marTop w:val="0"/>
      <w:marBottom w:val="0"/>
      <w:divBdr>
        <w:top w:val="none" w:sz="0" w:space="0" w:color="auto"/>
        <w:left w:val="none" w:sz="0" w:space="0" w:color="auto"/>
        <w:bottom w:val="none" w:sz="0" w:space="0" w:color="auto"/>
        <w:right w:val="none" w:sz="0" w:space="0" w:color="auto"/>
      </w:divBdr>
    </w:div>
    <w:div w:id="780763035">
      <w:bodyDiv w:val="1"/>
      <w:marLeft w:val="0"/>
      <w:marRight w:val="0"/>
      <w:marTop w:val="0"/>
      <w:marBottom w:val="0"/>
      <w:divBdr>
        <w:top w:val="none" w:sz="0" w:space="0" w:color="auto"/>
        <w:left w:val="none" w:sz="0" w:space="0" w:color="auto"/>
        <w:bottom w:val="none" w:sz="0" w:space="0" w:color="auto"/>
        <w:right w:val="none" w:sz="0" w:space="0" w:color="auto"/>
      </w:divBdr>
    </w:div>
    <w:div w:id="1006204166">
      <w:bodyDiv w:val="1"/>
      <w:marLeft w:val="0"/>
      <w:marRight w:val="0"/>
      <w:marTop w:val="0"/>
      <w:marBottom w:val="0"/>
      <w:divBdr>
        <w:top w:val="none" w:sz="0" w:space="0" w:color="auto"/>
        <w:left w:val="none" w:sz="0" w:space="0" w:color="auto"/>
        <w:bottom w:val="none" w:sz="0" w:space="0" w:color="auto"/>
        <w:right w:val="none" w:sz="0" w:space="0" w:color="auto"/>
      </w:divBdr>
    </w:div>
    <w:div w:id="1358316869">
      <w:bodyDiv w:val="1"/>
      <w:marLeft w:val="0"/>
      <w:marRight w:val="0"/>
      <w:marTop w:val="0"/>
      <w:marBottom w:val="0"/>
      <w:divBdr>
        <w:top w:val="none" w:sz="0" w:space="0" w:color="auto"/>
        <w:left w:val="none" w:sz="0" w:space="0" w:color="auto"/>
        <w:bottom w:val="none" w:sz="0" w:space="0" w:color="auto"/>
        <w:right w:val="none" w:sz="0" w:space="0" w:color="auto"/>
      </w:divBdr>
    </w:div>
    <w:div w:id="1434477300">
      <w:bodyDiv w:val="1"/>
      <w:marLeft w:val="0"/>
      <w:marRight w:val="0"/>
      <w:marTop w:val="0"/>
      <w:marBottom w:val="0"/>
      <w:divBdr>
        <w:top w:val="none" w:sz="0" w:space="0" w:color="auto"/>
        <w:left w:val="none" w:sz="0" w:space="0" w:color="auto"/>
        <w:bottom w:val="none" w:sz="0" w:space="0" w:color="auto"/>
        <w:right w:val="none" w:sz="0" w:space="0" w:color="auto"/>
      </w:divBdr>
    </w:div>
    <w:div w:id="1733194717">
      <w:bodyDiv w:val="1"/>
      <w:marLeft w:val="0"/>
      <w:marRight w:val="0"/>
      <w:marTop w:val="0"/>
      <w:marBottom w:val="0"/>
      <w:divBdr>
        <w:top w:val="none" w:sz="0" w:space="0" w:color="auto"/>
        <w:left w:val="none" w:sz="0" w:space="0" w:color="auto"/>
        <w:bottom w:val="none" w:sz="0" w:space="0" w:color="auto"/>
        <w:right w:val="none" w:sz="0" w:space="0" w:color="auto"/>
      </w:divBdr>
    </w:div>
    <w:div w:id="1743988895">
      <w:bodyDiv w:val="1"/>
      <w:marLeft w:val="0"/>
      <w:marRight w:val="0"/>
      <w:marTop w:val="0"/>
      <w:marBottom w:val="0"/>
      <w:divBdr>
        <w:top w:val="none" w:sz="0" w:space="0" w:color="auto"/>
        <w:left w:val="none" w:sz="0" w:space="0" w:color="auto"/>
        <w:bottom w:val="none" w:sz="0" w:space="0" w:color="auto"/>
        <w:right w:val="none" w:sz="0" w:space="0" w:color="auto"/>
      </w:divBdr>
    </w:div>
    <w:div w:id="1833400693">
      <w:bodyDiv w:val="1"/>
      <w:marLeft w:val="0"/>
      <w:marRight w:val="0"/>
      <w:marTop w:val="0"/>
      <w:marBottom w:val="0"/>
      <w:divBdr>
        <w:top w:val="none" w:sz="0" w:space="0" w:color="auto"/>
        <w:left w:val="none" w:sz="0" w:space="0" w:color="auto"/>
        <w:bottom w:val="none" w:sz="0" w:space="0" w:color="auto"/>
        <w:right w:val="none" w:sz="0" w:space="0" w:color="auto"/>
      </w:divBdr>
    </w:div>
    <w:div w:id="1933971852">
      <w:bodyDiv w:val="1"/>
      <w:marLeft w:val="0"/>
      <w:marRight w:val="0"/>
      <w:marTop w:val="0"/>
      <w:marBottom w:val="0"/>
      <w:divBdr>
        <w:top w:val="none" w:sz="0" w:space="0" w:color="auto"/>
        <w:left w:val="none" w:sz="0" w:space="0" w:color="auto"/>
        <w:bottom w:val="none" w:sz="0" w:space="0" w:color="auto"/>
        <w:right w:val="none" w:sz="0" w:space="0" w:color="auto"/>
      </w:divBdr>
    </w:div>
    <w:div w:id="2055889834">
      <w:bodyDiv w:val="1"/>
      <w:marLeft w:val="0"/>
      <w:marRight w:val="0"/>
      <w:marTop w:val="0"/>
      <w:marBottom w:val="0"/>
      <w:divBdr>
        <w:top w:val="none" w:sz="0" w:space="0" w:color="auto"/>
        <w:left w:val="none" w:sz="0" w:space="0" w:color="auto"/>
        <w:bottom w:val="none" w:sz="0" w:space="0" w:color="auto"/>
        <w:right w:val="none" w:sz="0" w:space="0" w:color="auto"/>
      </w:divBdr>
    </w:div>
    <w:div w:id="213589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7A938-8819-4990-82AC-58A0124D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193</TotalTime>
  <Pages>7</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2026-04-07T08:50:00Z</dcterms:created>
  <dcterms:modified xsi:type="dcterms:W3CDTF">2026-04-28T17:00:00Z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2026-03-09T17:20:15Z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505aa41b-4523-4e11-8505-1560b018ca37</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