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A33" w:rsidRPr="00582F41" w:rsidRDefault="00642925" w:rsidP="0064292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DDF2EC2-3B15-4C4C-91EA-807F4E6BB746" style="width:455.25pt;height:357.75pt">
            <v:imagedata r:id="rId8" o:title=""/>
          </v:shape>
        </w:pict>
      </w:r>
    </w:p>
    <w:p w:rsidR="00CF3A33" w:rsidRPr="00582F41" w:rsidRDefault="00CF3A33" w:rsidP="00CF3A33">
      <w:pPr>
        <w:rPr>
          <w:noProof/>
        </w:rPr>
        <w:sectPr w:rsidR="00CF3A33" w:rsidRPr="00582F41" w:rsidSect="00642925">
          <w:footerReference w:type="even" r:id="rId9"/>
          <w:footerReference w:type="default" r:id="rId10"/>
          <w:pgSz w:w="11907" w:h="16839"/>
          <w:pgMar w:top="1134" w:right="1417" w:bottom="1134" w:left="1417" w:header="709" w:footer="709" w:gutter="0"/>
          <w:pgNumType w:start="0"/>
          <w:cols w:space="720"/>
          <w:docGrid w:linePitch="360"/>
        </w:sectPr>
      </w:pPr>
    </w:p>
    <w:p w:rsidR="00CF3A33" w:rsidRPr="00582F41" w:rsidRDefault="00CF3A33" w:rsidP="00BB6B30">
      <w:pPr>
        <w:pStyle w:val="Exposdesmotifstitre"/>
        <w:rPr>
          <w:noProof/>
        </w:rPr>
      </w:pPr>
      <w:bookmarkStart w:id="0" w:name="_GoBack"/>
      <w:bookmarkEnd w:id="0"/>
      <w:r w:rsidRPr="00582F41">
        <w:rPr>
          <w:noProof/>
        </w:rPr>
        <w:lastRenderedPageBreak/>
        <w:t>EXPLANATORY MEMORANDUM</w:t>
      </w:r>
    </w:p>
    <w:p w:rsidR="00CF3A33" w:rsidRPr="00582F41" w:rsidRDefault="00CF3A33" w:rsidP="00482FE5">
      <w:pPr>
        <w:pStyle w:val="ManualHeading1"/>
        <w:rPr>
          <w:rFonts w:eastAsia="Arial Unicode MS"/>
          <w:noProof/>
        </w:rPr>
      </w:pPr>
      <w:r>
        <w:rPr>
          <w:noProof/>
        </w:rPr>
        <w:t>1.</w:t>
      </w:r>
      <w:r>
        <w:rPr>
          <w:noProof/>
        </w:rPr>
        <w:tab/>
      </w:r>
      <w:r w:rsidRPr="00582F41">
        <w:rPr>
          <w:rFonts w:eastAsia="Arial Unicode MS"/>
          <w:noProof/>
        </w:rPr>
        <w:t>Subject matter of the proposal</w:t>
      </w:r>
    </w:p>
    <w:p w:rsidR="00C50AF7" w:rsidRPr="00C50AF7" w:rsidRDefault="00F746F8" w:rsidP="00F746F8">
      <w:pPr>
        <w:spacing w:before="0" w:after="0"/>
        <w:rPr>
          <w:rFonts w:eastAsia="Arial Unicode MS"/>
          <w:noProof/>
        </w:rPr>
      </w:pPr>
      <w:r w:rsidRPr="00582F41">
        <w:rPr>
          <w:rFonts w:eastAsia="Arial Unicode MS"/>
          <w:noProof/>
        </w:rPr>
        <w:t xml:space="preserve">This proposal concerns the </w:t>
      </w:r>
      <w:r w:rsidR="00C50AF7">
        <w:rPr>
          <w:rFonts w:eastAsia="Arial Unicode MS"/>
          <w:noProof/>
        </w:rPr>
        <w:t xml:space="preserve">decision establishing the </w:t>
      </w:r>
      <w:r w:rsidRPr="00582F41">
        <w:rPr>
          <w:rFonts w:eastAsia="Arial Unicode MS"/>
          <w:noProof/>
        </w:rPr>
        <w:t>position to be taken on the Union's behalf in the Commission</w:t>
      </w:r>
      <w:r w:rsidR="00C50AF7">
        <w:rPr>
          <w:rFonts w:eastAsia="Arial Unicode MS"/>
          <w:noProof/>
        </w:rPr>
        <w:t xml:space="preserve"> of the </w:t>
      </w:r>
      <w:r w:rsidRPr="00582F41">
        <w:rPr>
          <w:rFonts w:eastAsia="Arial Unicode MS"/>
          <w:noProof/>
        </w:rPr>
        <w:t>Convention for the protection of the marine environment of the North-East Atlantic (the ‘OSPAR C</w:t>
      </w:r>
      <w:r w:rsidR="00C50AF7">
        <w:rPr>
          <w:rFonts w:eastAsia="Arial Unicode MS"/>
          <w:noProof/>
        </w:rPr>
        <w:t>ommission</w:t>
      </w:r>
      <w:r w:rsidRPr="00582F41">
        <w:rPr>
          <w:rFonts w:eastAsia="Arial Unicode MS"/>
          <w:noProof/>
        </w:rPr>
        <w:t>’)</w:t>
      </w:r>
      <w:r w:rsidR="00C50AF7">
        <w:rPr>
          <w:rFonts w:eastAsia="Arial Unicode MS"/>
          <w:noProof/>
        </w:rPr>
        <w:t xml:space="preserve"> in connection with the envisaged adoption of the </w:t>
      </w:r>
      <w:r w:rsidR="00C50AF7" w:rsidRPr="00582F41">
        <w:rPr>
          <w:noProof/>
        </w:rPr>
        <w:t>recommendation on the phasing out of dolly rope serving as chafing gear</w:t>
      </w:r>
      <w:r w:rsidR="00C50AF7">
        <w:rPr>
          <w:noProof/>
        </w:rPr>
        <w:t>.</w:t>
      </w:r>
    </w:p>
    <w:p w:rsidR="00CF3A33" w:rsidRPr="00582F41" w:rsidRDefault="00CF3A33" w:rsidP="00736AA9">
      <w:pPr>
        <w:pStyle w:val="ManualHeading1"/>
        <w:rPr>
          <w:noProof/>
        </w:rPr>
      </w:pPr>
      <w:r>
        <w:rPr>
          <w:noProof/>
        </w:rPr>
        <w:t>2.</w:t>
      </w:r>
      <w:r>
        <w:rPr>
          <w:noProof/>
        </w:rPr>
        <w:tab/>
      </w:r>
      <w:r w:rsidRPr="00582F41">
        <w:rPr>
          <w:noProof/>
        </w:rPr>
        <w:t>Context of the proposal</w:t>
      </w:r>
    </w:p>
    <w:p w:rsidR="00CF3A33" w:rsidRPr="00582F41" w:rsidRDefault="00F746F8" w:rsidP="00736AA9">
      <w:pPr>
        <w:pStyle w:val="ManualHeading2"/>
        <w:rPr>
          <w:noProof/>
        </w:rPr>
      </w:pPr>
      <w:r>
        <w:rPr>
          <w:noProof/>
        </w:rPr>
        <w:t>2.1.</w:t>
      </w:r>
      <w:r>
        <w:rPr>
          <w:noProof/>
        </w:rPr>
        <w:tab/>
      </w:r>
      <w:r w:rsidRPr="00582F41">
        <w:rPr>
          <w:noProof/>
        </w:rPr>
        <w:t>The OSPAR Convention</w:t>
      </w:r>
    </w:p>
    <w:p w:rsidR="00F746F8" w:rsidRPr="00582F41" w:rsidRDefault="00F746F8" w:rsidP="00176486">
      <w:pPr>
        <w:spacing w:before="0" w:after="0"/>
        <w:rPr>
          <w:rFonts w:eastAsia="Arial Unicode MS"/>
          <w:noProof/>
        </w:rPr>
      </w:pPr>
      <w:r w:rsidRPr="00582F41">
        <w:rPr>
          <w:rFonts w:eastAsia="Arial Unicode MS"/>
          <w:noProof/>
        </w:rPr>
        <w:t xml:space="preserve">The </w:t>
      </w:r>
      <w:r w:rsidR="00C50AF7" w:rsidRPr="00582F41">
        <w:rPr>
          <w:rFonts w:eastAsia="Arial Unicode MS"/>
          <w:noProof/>
        </w:rPr>
        <w:t xml:space="preserve">Convention for the protection of the marine environment of the North-East Atlantic </w:t>
      </w:r>
      <w:r w:rsidR="00C50AF7">
        <w:rPr>
          <w:rFonts w:eastAsia="Arial Unicode MS"/>
          <w:noProof/>
        </w:rPr>
        <w:t>(‘</w:t>
      </w:r>
      <w:r w:rsidRPr="00582F41">
        <w:rPr>
          <w:rFonts w:eastAsia="Arial Unicode MS"/>
          <w:noProof/>
        </w:rPr>
        <w:t>OSPAR Convention</w:t>
      </w:r>
      <w:r w:rsidR="00C50AF7">
        <w:rPr>
          <w:rFonts w:eastAsia="Arial Unicode MS"/>
          <w:noProof/>
        </w:rPr>
        <w:t>’)</w:t>
      </w:r>
      <w:r w:rsidRPr="00582F41">
        <w:rPr>
          <w:rFonts w:eastAsia="Arial Unicode MS"/>
          <w:noProof/>
        </w:rPr>
        <w:t xml:space="preserve"> aims to protect the North-East Atlantic maritime area against the adverse effects of human activities to safeguard human health, conserve marine ecosystems and, when practicable, restore marine areas which have been adversely affected. It has 16 Contracting Parties: Belgium, Denmark, the EU, Finland, France, Germany, Iceland, Ireland,</w:t>
      </w:r>
    </w:p>
    <w:p w:rsidR="00CF3A33" w:rsidRPr="00582F41" w:rsidRDefault="00F746F8" w:rsidP="00176486">
      <w:pPr>
        <w:spacing w:before="0" w:after="0"/>
        <w:rPr>
          <w:rFonts w:eastAsia="Arial Unicode MS"/>
          <w:noProof/>
        </w:rPr>
      </w:pPr>
      <w:r w:rsidRPr="00582F41">
        <w:rPr>
          <w:rFonts w:eastAsia="Arial Unicode MS"/>
          <w:noProof/>
        </w:rPr>
        <w:t>Luxemb</w:t>
      </w:r>
      <w:r w:rsidR="002D6D8A">
        <w:rPr>
          <w:rFonts w:eastAsia="Arial Unicode MS"/>
          <w:noProof/>
        </w:rPr>
        <w:t>o</w:t>
      </w:r>
      <w:r w:rsidRPr="00582F41">
        <w:rPr>
          <w:rFonts w:eastAsia="Arial Unicode MS"/>
          <w:noProof/>
        </w:rPr>
        <w:t xml:space="preserve">urg, the Netherlands, Norway, Portugal, Spain, Sweden the United Kingdom, and Switzerland. The </w:t>
      </w:r>
      <w:r w:rsidR="00C50AF7">
        <w:rPr>
          <w:rFonts w:eastAsia="Arial Unicode MS"/>
          <w:noProof/>
        </w:rPr>
        <w:t xml:space="preserve">OSPAR </w:t>
      </w:r>
      <w:r w:rsidRPr="00582F41">
        <w:rPr>
          <w:rFonts w:eastAsia="Arial Unicode MS"/>
          <w:noProof/>
        </w:rPr>
        <w:t>Convention entered into force on 25 March 1998.</w:t>
      </w:r>
    </w:p>
    <w:p w:rsidR="00CF3A33" w:rsidRPr="00582F41" w:rsidRDefault="00F746F8" w:rsidP="00736AA9">
      <w:pPr>
        <w:pStyle w:val="ManualHeading2"/>
        <w:rPr>
          <w:noProof/>
        </w:rPr>
      </w:pPr>
      <w:r>
        <w:rPr>
          <w:noProof/>
        </w:rPr>
        <w:t>2.2.</w:t>
      </w:r>
      <w:r>
        <w:rPr>
          <w:noProof/>
        </w:rPr>
        <w:tab/>
      </w:r>
      <w:r w:rsidRPr="00582F41">
        <w:rPr>
          <w:noProof/>
        </w:rPr>
        <w:t>The OSPAR Commission</w:t>
      </w:r>
    </w:p>
    <w:p w:rsidR="00F746F8" w:rsidRPr="00582F41" w:rsidRDefault="00F746F8" w:rsidP="0008782D">
      <w:pPr>
        <w:spacing w:before="0" w:after="0"/>
        <w:rPr>
          <w:rFonts w:eastAsia="Arial Unicode MS"/>
          <w:noProof/>
        </w:rPr>
      </w:pPr>
      <w:r w:rsidRPr="00582F41">
        <w:rPr>
          <w:rFonts w:eastAsia="Arial Unicode MS"/>
          <w:noProof/>
        </w:rPr>
        <w:t xml:space="preserve">The OSPAR Commission (established </w:t>
      </w:r>
      <w:r w:rsidR="00C50AF7">
        <w:rPr>
          <w:rFonts w:eastAsia="Arial Unicode MS"/>
          <w:noProof/>
        </w:rPr>
        <w:t>by</w:t>
      </w:r>
      <w:r w:rsidRPr="00582F41">
        <w:rPr>
          <w:rFonts w:eastAsia="Arial Unicode MS"/>
          <w:noProof/>
        </w:rPr>
        <w:t xml:space="preserve"> Article 10 of the </w:t>
      </w:r>
      <w:r w:rsidR="00C50AF7">
        <w:rPr>
          <w:rFonts w:eastAsia="Arial Unicode MS"/>
          <w:noProof/>
        </w:rPr>
        <w:t xml:space="preserve">OSPAR </w:t>
      </w:r>
      <w:r w:rsidRPr="00582F41">
        <w:rPr>
          <w:rFonts w:eastAsia="Arial Unicode MS"/>
          <w:noProof/>
        </w:rPr>
        <w:t xml:space="preserve">Convention) is made up of representatives of each of the Contracting Parties; it meets at regular intervals and at any time deemed necessary </w:t>
      </w:r>
      <w:r w:rsidR="0008782D" w:rsidRPr="00582F41">
        <w:rPr>
          <w:rFonts w:eastAsia="Arial Unicode MS"/>
          <w:noProof/>
        </w:rPr>
        <w:t>due to</w:t>
      </w:r>
      <w:r w:rsidRPr="00582F41">
        <w:rPr>
          <w:rFonts w:eastAsia="Arial Unicode MS"/>
          <w:noProof/>
        </w:rPr>
        <w:t xml:space="preserve"> special circumstances. Its duties include supervising the</w:t>
      </w:r>
      <w:r w:rsidR="0008782D" w:rsidRPr="00582F41">
        <w:rPr>
          <w:rFonts w:eastAsia="Arial Unicode MS"/>
          <w:noProof/>
        </w:rPr>
        <w:t xml:space="preserve"> </w:t>
      </w:r>
      <w:r w:rsidRPr="00582F41">
        <w:rPr>
          <w:rFonts w:eastAsia="Arial Unicode MS"/>
          <w:noProof/>
        </w:rPr>
        <w:t>implementation of the Convention and reviewing the OSPAR priorities, the condition of the</w:t>
      </w:r>
      <w:r w:rsidR="0008782D" w:rsidRPr="00582F41">
        <w:rPr>
          <w:rFonts w:eastAsia="Arial Unicode MS"/>
          <w:noProof/>
        </w:rPr>
        <w:t xml:space="preserve"> </w:t>
      </w:r>
      <w:r w:rsidRPr="00582F41">
        <w:rPr>
          <w:rFonts w:eastAsia="Arial Unicode MS"/>
          <w:noProof/>
        </w:rPr>
        <w:t>maritime area, the effectiveness of the measures being adopted, and the need for any additional or different measures.</w:t>
      </w:r>
      <w:r w:rsidR="00C50AF7">
        <w:rPr>
          <w:rFonts w:eastAsia="Arial Unicode MS"/>
          <w:noProof/>
        </w:rPr>
        <w:t xml:space="preserve"> Pursuant to Article 10(3) of the OSPAR Convention, the OSPAR Commission has the power to adopt decisions and recommendations in accordance with Article 13 of the OSPAR Convention. </w:t>
      </w:r>
    </w:p>
    <w:p w:rsidR="00F746F8" w:rsidRPr="00582F41" w:rsidRDefault="00F746F8" w:rsidP="00B63477">
      <w:pPr>
        <w:spacing w:before="0" w:after="0"/>
        <w:rPr>
          <w:rFonts w:eastAsia="Arial Unicode MS"/>
          <w:noProof/>
        </w:rPr>
      </w:pPr>
    </w:p>
    <w:p w:rsidR="00F746F8" w:rsidRPr="00CC0135" w:rsidRDefault="00F746F8" w:rsidP="0008782D">
      <w:pPr>
        <w:spacing w:before="0" w:after="0"/>
        <w:rPr>
          <w:noProof/>
        </w:rPr>
      </w:pPr>
      <w:r w:rsidRPr="00582F41">
        <w:rPr>
          <w:rFonts w:eastAsia="Arial Unicode MS"/>
          <w:noProof/>
        </w:rPr>
        <w:t xml:space="preserve">According to Article 20 of the Convention, each Contracting Party has one vote in the OSPAR Commission. The EU is entitled to a number of votes equal to the number of its Member States that are Contracting Parties to the Convention. The EU </w:t>
      </w:r>
      <w:r w:rsidR="00C50AF7">
        <w:rPr>
          <w:rFonts w:eastAsia="Arial Unicode MS"/>
          <w:noProof/>
        </w:rPr>
        <w:t>shall</w:t>
      </w:r>
      <w:r w:rsidR="00C50AF7" w:rsidRPr="00582F41">
        <w:rPr>
          <w:rFonts w:eastAsia="Arial Unicode MS"/>
          <w:noProof/>
        </w:rPr>
        <w:t xml:space="preserve"> </w:t>
      </w:r>
      <w:r w:rsidRPr="00582F41">
        <w:rPr>
          <w:rFonts w:eastAsia="Arial Unicode MS"/>
          <w:noProof/>
        </w:rPr>
        <w:t>not exercise its</w:t>
      </w:r>
      <w:r w:rsidR="0008782D" w:rsidRPr="00582F41">
        <w:rPr>
          <w:rFonts w:eastAsia="Arial Unicode MS"/>
          <w:noProof/>
        </w:rPr>
        <w:t xml:space="preserve"> </w:t>
      </w:r>
      <w:r w:rsidRPr="00582F41">
        <w:rPr>
          <w:rFonts w:eastAsia="Arial Unicode MS"/>
          <w:noProof/>
        </w:rPr>
        <w:t>right to vote when its Member States exercise their</w:t>
      </w:r>
      <w:r w:rsidR="0008782D" w:rsidRPr="00582F41">
        <w:rPr>
          <w:rFonts w:eastAsia="Arial Unicode MS"/>
          <w:noProof/>
        </w:rPr>
        <w:t>s,</w:t>
      </w:r>
      <w:r w:rsidRPr="00582F41">
        <w:rPr>
          <w:rFonts w:eastAsia="Arial Unicode MS"/>
          <w:noProof/>
        </w:rPr>
        <w:t xml:space="preserve"> and vice-versa</w:t>
      </w:r>
      <w:r w:rsidR="00C50AF7">
        <w:rPr>
          <w:rFonts w:eastAsia="Arial Unicode MS"/>
          <w:noProof/>
        </w:rPr>
        <w:t xml:space="preserve"> (Article 20(2))</w:t>
      </w:r>
      <w:r w:rsidRPr="00582F41">
        <w:rPr>
          <w:rFonts w:eastAsia="Arial Unicode MS"/>
          <w:noProof/>
        </w:rPr>
        <w:t>.</w:t>
      </w:r>
      <w:r w:rsidR="00C50AF7" w:rsidRPr="00C50AF7">
        <w:rPr>
          <w:rFonts w:eastAsia="Arial Unicode MS"/>
          <w:noProof/>
        </w:rPr>
        <w:t xml:space="preserve"> </w:t>
      </w:r>
      <w:r w:rsidR="00C50AF7">
        <w:rPr>
          <w:rFonts w:eastAsia="Arial Unicode MS"/>
          <w:noProof/>
        </w:rPr>
        <w:t>Pursuant to Article 13(1) of the OSPAR Convention, d</w:t>
      </w:r>
      <w:r w:rsidR="00C50AF7" w:rsidRPr="00C50AF7">
        <w:rPr>
          <w:rFonts w:eastAsia="Arial Unicode MS"/>
          <w:noProof/>
        </w:rPr>
        <w:t>ecisions and recommendations shall be adopted by unanimous vote of the Contracting Parties</w:t>
      </w:r>
      <w:r w:rsidR="00C50AF7">
        <w:rPr>
          <w:rFonts w:eastAsia="Arial Unicode MS"/>
          <w:noProof/>
        </w:rPr>
        <w:t>, or – if unanimity cannot be attained – by a three-quarters majority vote of the Contracting Parties.</w:t>
      </w:r>
    </w:p>
    <w:p w:rsidR="00F746F8" w:rsidRPr="00582F41" w:rsidRDefault="00F746F8" w:rsidP="00F746F8">
      <w:pPr>
        <w:spacing w:before="0" w:after="0"/>
        <w:rPr>
          <w:rFonts w:eastAsia="Arial Unicode MS"/>
          <w:noProof/>
        </w:rPr>
      </w:pPr>
    </w:p>
    <w:p w:rsidR="00F746F8" w:rsidRPr="00582F41" w:rsidRDefault="00CF3A33" w:rsidP="00F746F8">
      <w:pPr>
        <w:pStyle w:val="ManualHeading2"/>
        <w:rPr>
          <w:noProof/>
        </w:rPr>
      </w:pPr>
      <w:r>
        <w:rPr>
          <w:noProof/>
        </w:rPr>
        <w:t>2.3.</w:t>
      </w:r>
      <w:r>
        <w:rPr>
          <w:noProof/>
        </w:rPr>
        <w:tab/>
      </w:r>
      <w:r w:rsidRPr="00582F41">
        <w:rPr>
          <w:noProof/>
        </w:rPr>
        <w:t xml:space="preserve">The envisaged act of the </w:t>
      </w:r>
      <w:r w:rsidR="00F746F8" w:rsidRPr="00582F41">
        <w:rPr>
          <w:noProof/>
        </w:rPr>
        <w:t>OSPAR Commission</w:t>
      </w:r>
    </w:p>
    <w:p w:rsidR="00176486" w:rsidRPr="00582F41" w:rsidRDefault="00A91EFD" w:rsidP="00A91EFD">
      <w:pPr>
        <w:rPr>
          <w:noProof/>
        </w:rPr>
      </w:pPr>
      <w:r w:rsidRPr="00C50AF7">
        <w:rPr>
          <w:noProof/>
        </w:rPr>
        <w:t xml:space="preserve">During </w:t>
      </w:r>
      <w:r w:rsidR="007D2469" w:rsidRPr="00C50AF7">
        <w:rPr>
          <w:noProof/>
        </w:rPr>
        <w:t xml:space="preserve">its </w:t>
      </w:r>
      <w:r w:rsidRPr="00C50AF7">
        <w:rPr>
          <w:noProof/>
        </w:rPr>
        <w:t>meeting</w:t>
      </w:r>
      <w:r w:rsidR="007D2469" w:rsidRPr="00C50AF7">
        <w:rPr>
          <w:noProof/>
        </w:rPr>
        <w:t xml:space="preserve"> of </w:t>
      </w:r>
      <w:r w:rsidR="00B63477" w:rsidRPr="00C50AF7">
        <w:rPr>
          <w:noProof/>
        </w:rPr>
        <w:t>June 2026</w:t>
      </w:r>
      <w:r w:rsidRPr="00C50AF7">
        <w:rPr>
          <w:noProof/>
        </w:rPr>
        <w:t xml:space="preserve">, the OSPAR Commission is set to adopt </w:t>
      </w:r>
      <w:r w:rsidRPr="005F6AED">
        <w:rPr>
          <w:noProof/>
        </w:rPr>
        <w:t>a recommendation on the phasing out of the use of dolly ropes</w:t>
      </w:r>
      <w:r w:rsidRPr="00C50AF7">
        <w:rPr>
          <w:noProof/>
        </w:rPr>
        <w:t xml:space="preserve"> </w:t>
      </w:r>
      <w:r w:rsidR="007D2469" w:rsidRPr="00C50AF7">
        <w:rPr>
          <w:noProof/>
        </w:rPr>
        <w:t xml:space="preserve">serving </w:t>
      </w:r>
      <w:r w:rsidRPr="00C50AF7">
        <w:rPr>
          <w:noProof/>
        </w:rPr>
        <w:t xml:space="preserve">as chafing gear in fisheries to substantially </w:t>
      </w:r>
      <w:r w:rsidRPr="005F6AED">
        <w:rPr>
          <w:noProof/>
        </w:rPr>
        <w:t>reduce marine litter from fishing gear</w:t>
      </w:r>
      <w:r w:rsidR="00C50AF7">
        <w:rPr>
          <w:noProof/>
        </w:rPr>
        <w:t xml:space="preserve"> (‘the envisaged act’)</w:t>
      </w:r>
      <w:r w:rsidRPr="00582F41">
        <w:rPr>
          <w:noProof/>
        </w:rPr>
        <w:t>. Dolly ropes</w:t>
      </w:r>
      <w:r w:rsidR="00176486" w:rsidRPr="00582F41">
        <w:rPr>
          <w:noProof/>
        </w:rPr>
        <w:t xml:space="preserve"> are </w:t>
      </w:r>
      <w:r w:rsidRPr="00582F41">
        <w:rPr>
          <w:noProof/>
        </w:rPr>
        <w:t>made</w:t>
      </w:r>
      <w:r w:rsidR="007D2469" w:rsidRPr="00582F41">
        <w:rPr>
          <w:noProof/>
        </w:rPr>
        <w:t xml:space="preserve"> </w:t>
      </w:r>
      <w:r w:rsidRPr="00582F41">
        <w:rPr>
          <w:noProof/>
        </w:rPr>
        <w:t xml:space="preserve">of </w:t>
      </w:r>
      <w:r w:rsidR="007D2469" w:rsidRPr="00582F41">
        <w:rPr>
          <w:noProof/>
        </w:rPr>
        <w:t>plastic</w:t>
      </w:r>
      <w:r w:rsidR="00176486" w:rsidRPr="00582F41">
        <w:rPr>
          <w:noProof/>
        </w:rPr>
        <w:t xml:space="preserve"> and as such </w:t>
      </w:r>
      <w:r w:rsidRPr="00582F41">
        <w:rPr>
          <w:noProof/>
        </w:rPr>
        <w:t>contribute to plastic pollution and</w:t>
      </w:r>
      <w:r w:rsidR="00176486" w:rsidRPr="00582F41">
        <w:rPr>
          <w:noProof/>
        </w:rPr>
        <w:t>, in addition,</w:t>
      </w:r>
      <w:r w:rsidRPr="00582F41">
        <w:rPr>
          <w:noProof/>
        </w:rPr>
        <w:t xml:space="preserve"> pose </w:t>
      </w:r>
      <w:r w:rsidR="007D2469" w:rsidRPr="00582F41">
        <w:rPr>
          <w:noProof/>
        </w:rPr>
        <w:t xml:space="preserve">lasting </w:t>
      </w:r>
      <w:r w:rsidRPr="00582F41">
        <w:rPr>
          <w:noProof/>
        </w:rPr>
        <w:t>hazards to marine species due to entanglement.</w:t>
      </w:r>
    </w:p>
    <w:p w:rsidR="0001397F" w:rsidRPr="00C50AF7" w:rsidRDefault="00A91EFD" w:rsidP="00A91EFD">
      <w:pPr>
        <w:rPr>
          <w:noProof/>
        </w:rPr>
      </w:pPr>
      <w:r w:rsidRPr="00C50AF7">
        <w:rPr>
          <w:noProof/>
        </w:rPr>
        <w:t>The recommendation</w:t>
      </w:r>
      <w:r w:rsidR="00C50AF7">
        <w:rPr>
          <w:noProof/>
        </w:rPr>
        <w:t>, which is not legally binding,</w:t>
      </w:r>
      <w:r w:rsidRPr="00C50AF7">
        <w:rPr>
          <w:noProof/>
        </w:rPr>
        <w:t xml:space="preserve"> encourages OSPAR Contracting Parties to </w:t>
      </w:r>
      <w:r w:rsidRPr="005F6AED">
        <w:rPr>
          <w:noProof/>
        </w:rPr>
        <w:t>adopt national measures to replace dolly ropes with environmentally appropriate alternatives</w:t>
      </w:r>
      <w:r w:rsidRPr="00C50AF7">
        <w:rPr>
          <w:noProof/>
        </w:rPr>
        <w:t xml:space="preserve"> and to support the testing and development of such alternatives. Furthermore, it advocates collective efforts to exchange information, overcome potential barriers, and promote legal measures once suitable alternatives are available. </w:t>
      </w:r>
    </w:p>
    <w:p w:rsidR="00A91EFD" w:rsidRPr="00582F41" w:rsidRDefault="00A91EFD" w:rsidP="00A91EFD">
      <w:pPr>
        <w:rPr>
          <w:noProof/>
        </w:rPr>
      </w:pPr>
      <w:r w:rsidRPr="00C50AF7">
        <w:rPr>
          <w:noProof/>
        </w:rPr>
        <w:lastRenderedPageBreak/>
        <w:t xml:space="preserve">The recommendation also </w:t>
      </w:r>
      <w:r w:rsidR="007D2469" w:rsidRPr="00C50AF7">
        <w:rPr>
          <w:noProof/>
        </w:rPr>
        <w:t xml:space="preserve">promotes </w:t>
      </w:r>
      <w:r w:rsidRPr="00C50AF7">
        <w:rPr>
          <w:noProof/>
        </w:rPr>
        <w:t>monitoring efforts to understand the impact of dolly ropes on the marine environment</w:t>
      </w:r>
      <w:r w:rsidRPr="00582F41">
        <w:rPr>
          <w:noProof/>
        </w:rPr>
        <w:t>.</w:t>
      </w:r>
    </w:p>
    <w:p w:rsidR="00CF3A33" w:rsidRPr="00582F41" w:rsidRDefault="00CF3A33" w:rsidP="00736AA9">
      <w:pPr>
        <w:pStyle w:val="ManualHeading1"/>
        <w:rPr>
          <w:rFonts w:eastAsia="Arial Unicode MS"/>
          <w:noProof/>
        </w:rPr>
      </w:pPr>
      <w:r>
        <w:rPr>
          <w:noProof/>
        </w:rPr>
        <w:t>3.</w:t>
      </w:r>
      <w:r>
        <w:rPr>
          <w:noProof/>
        </w:rPr>
        <w:tab/>
      </w:r>
      <w:r w:rsidRPr="00582F41">
        <w:rPr>
          <w:rFonts w:eastAsia="Arial Unicode MS"/>
          <w:noProof/>
        </w:rPr>
        <w:t>Position to be taken on the Union's behalf</w:t>
      </w:r>
    </w:p>
    <w:p w:rsidR="00176486" w:rsidRPr="00582F41" w:rsidRDefault="003977AC" w:rsidP="003977AC">
      <w:pPr>
        <w:rPr>
          <w:noProof/>
          <w:lang w:val="en-IE"/>
        </w:rPr>
      </w:pPr>
      <w:r w:rsidRPr="00582F41">
        <w:rPr>
          <w:noProof/>
        </w:rPr>
        <w:t>The position to be taken at the OSPAR Commission meeting</w:t>
      </w:r>
      <w:r w:rsidR="00C50AF7">
        <w:rPr>
          <w:noProof/>
        </w:rPr>
        <w:t xml:space="preserve"> in June 2026</w:t>
      </w:r>
      <w:r w:rsidRPr="00582F41">
        <w:rPr>
          <w:noProof/>
        </w:rPr>
        <w:t xml:space="preserve"> is to support the </w:t>
      </w:r>
      <w:r w:rsidR="00C50AF7">
        <w:rPr>
          <w:noProof/>
        </w:rPr>
        <w:t>adoption</w:t>
      </w:r>
      <w:r w:rsidR="00C50AF7" w:rsidRPr="00582F41">
        <w:rPr>
          <w:noProof/>
        </w:rPr>
        <w:t xml:space="preserve"> </w:t>
      </w:r>
      <w:r w:rsidRPr="00582F41">
        <w:rPr>
          <w:noProof/>
        </w:rPr>
        <w:t xml:space="preserve">of the envisaged act. The </w:t>
      </w:r>
      <w:r w:rsidRPr="005F6AED">
        <w:rPr>
          <w:noProof/>
        </w:rPr>
        <w:t xml:space="preserve">recommendation is aligned with </w:t>
      </w:r>
      <w:r w:rsidR="00822C45" w:rsidRPr="005F6AED">
        <w:rPr>
          <w:noProof/>
        </w:rPr>
        <w:t>EU legislation</w:t>
      </w:r>
      <w:r w:rsidR="00822C45" w:rsidRPr="00C50AF7">
        <w:rPr>
          <w:noProof/>
        </w:rPr>
        <w:t xml:space="preserve"> </w:t>
      </w:r>
      <w:r w:rsidR="00DD5C20" w:rsidRPr="00C50AF7">
        <w:rPr>
          <w:noProof/>
        </w:rPr>
        <w:t>pe</w:t>
      </w:r>
      <w:r w:rsidR="00DD5C20" w:rsidRPr="00582F41">
        <w:rPr>
          <w:noProof/>
        </w:rPr>
        <w:t>rtaining to</w:t>
      </w:r>
      <w:r w:rsidR="00822C45" w:rsidRPr="00582F41">
        <w:rPr>
          <w:noProof/>
        </w:rPr>
        <w:t xml:space="preserve"> marine environmental protection</w:t>
      </w:r>
      <w:r w:rsidR="00DD5C20" w:rsidRPr="00582F41">
        <w:rPr>
          <w:noProof/>
        </w:rPr>
        <w:t>, including</w:t>
      </w:r>
      <w:r w:rsidR="00822C45" w:rsidRPr="00582F41">
        <w:rPr>
          <w:noProof/>
        </w:rPr>
        <w:t xml:space="preserve"> Directive (EU) 2019/904</w:t>
      </w:r>
      <w:r w:rsidR="00480769" w:rsidRPr="00582F41">
        <w:rPr>
          <w:noProof/>
        </w:rPr>
        <w:t>,</w:t>
      </w:r>
      <w:r w:rsidR="00822C45" w:rsidRPr="00582F41">
        <w:rPr>
          <w:noProof/>
        </w:rPr>
        <w:t xml:space="preserve"> </w:t>
      </w:r>
      <w:r w:rsidR="00480769" w:rsidRPr="00582F41">
        <w:rPr>
          <w:noProof/>
        </w:rPr>
        <w:t>which addresses</w:t>
      </w:r>
      <w:r w:rsidR="00822C45" w:rsidRPr="00582F41">
        <w:rPr>
          <w:noProof/>
        </w:rPr>
        <w:t xml:space="preserve"> the reduction of the impact of certain plastic products on the environment, and Directive 2008/56/EC</w:t>
      </w:r>
      <w:r w:rsidR="00480769" w:rsidRPr="00582F41">
        <w:rPr>
          <w:noProof/>
        </w:rPr>
        <w:t>,</w:t>
      </w:r>
      <w:r w:rsidR="00822C45" w:rsidRPr="00582F41">
        <w:rPr>
          <w:noProof/>
        </w:rPr>
        <w:t xml:space="preserve"> </w:t>
      </w:r>
      <w:r w:rsidR="00480769" w:rsidRPr="00582F41">
        <w:rPr>
          <w:noProof/>
        </w:rPr>
        <w:t xml:space="preserve">which </w:t>
      </w:r>
      <w:r w:rsidR="00822C45" w:rsidRPr="00582F41">
        <w:rPr>
          <w:noProof/>
        </w:rPr>
        <w:t>establish</w:t>
      </w:r>
      <w:r w:rsidR="00480769" w:rsidRPr="00582F41">
        <w:rPr>
          <w:noProof/>
        </w:rPr>
        <w:t>es</w:t>
      </w:r>
      <w:r w:rsidR="00822C45" w:rsidRPr="00582F41">
        <w:rPr>
          <w:noProof/>
        </w:rPr>
        <w:t xml:space="preserve"> a framework for community action in the field of marine environmental policy</w:t>
      </w:r>
      <w:r w:rsidR="00480769" w:rsidRPr="00582F41">
        <w:rPr>
          <w:noProof/>
        </w:rPr>
        <w:t>.</w:t>
      </w:r>
      <w:r w:rsidR="00822C45" w:rsidRPr="00582F41">
        <w:rPr>
          <w:noProof/>
        </w:rPr>
        <w:t xml:space="preserve"> </w:t>
      </w:r>
      <w:r w:rsidR="00480769" w:rsidRPr="00582F41">
        <w:rPr>
          <w:noProof/>
          <w:lang w:val="en-IE"/>
        </w:rPr>
        <w:t xml:space="preserve">A key element of the latter </w:t>
      </w:r>
      <w:r w:rsidR="0001397F">
        <w:rPr>
          <w:noProof/>
          <w:lang w:val="en-IE"/>
        </w:rPr>
        <w:t>D</w:t>
      </w:r>
      <w:r w:rsidR="00480769" w:rsidRPr="00582F41">
        <w:rPr>
          <w:noProof/>
          <w:lang w:val="en-IE"/>
        </w:rPr>
        <w:t>irective notably involves taking measures to prevent marine litter from causing harm to the coastal and marine environment, which is an essential component in achieving good environmental status of marine waters</w:t>
      </w:r>
      <w:r w:rsidR="00822C45" w:rsidRPr="00582F41">
        <w:rPr>
          <w:noProof/>
        </w:rPr>
        <w:t>.</w:t>
      </w:r>
      <w:r w:rsidRPr="00582F41">
        <w:rPr>
          <w:noProof/>
        </w:rPr>
        <w:t xml:space="preserve"> </w:t>
      </w:r>
    </w:p>
    <w:p w:rsidR="003977AC" w:rsidRPr="00582F41" w:rsidRDefault="003977AC" w:rsidP="003977AC">
      <w:pPr>
        <w:rPr>
          <w:noProof/>
        </w:rPr>
      </w:pPr>
      <w:r w:rsidRPr="00582F41">
        <w:rPr>
          <w:noProof/>
        </w:rPr>
        <w:t xml:space="preserve">Additionally, EU Regulation 2019/1241 </w:t>
      </w:r>
      <w:r w:rsidR="00FA0BF8" w:rsidRPr="00582F41">
        <w:rPr>
          <w:noProof/>
        </w:rPr>
        <w:t xml:space="preserve">sets provisions </w:t>
      </w:r>
      <w:r w:rsidRPr="00582F41">
        <w:rPr>
          <w:noProof/>
        </w:rPr>
        <w:t>for the conservation of fisheries resources and protection of marine ecosystems. Th</w:t>
      </w:r>
      <w:r w:rsidR="00B63477" w:rsidRPr="00582F41">
        <w:rPr>
          <w:noProof/>
        </w:rPr>
        <w:t>ese</w:t>
      </w:r>
      <w:r w:rsidRPr="00582F41">
        <w:rPr>
          <w:noProof/>
        </w:rPr>
        <w:t xml:space="preserve"> </w:t>
      </w:r>
      <w:r w:rsidR="00666C7C" w:rsidRPr="00582F41">
        <w:rPr>
          <w:noProof/>
        </w:rPr>
        <w:t xml:space="preserve">pieces of </w:t>
      </w:r>
      <w:r w:rsidRPr="00582F41">
        <w:rPr>
          <w:noProof/>
        </w:rPr>
        <w:t xml:space="preserve">EU legislation provide a coherent framework </w:t>
      </w:r>
      <w:r w:rsidR="005F6AED">
        <w:rPr>
          <w:noProof/>
        </w:rPr>
        <w:t>for the possible</w:t>
      </w:r>
      <w:r w:rsidRPr="00582F41">
        <w:rPr>
          <w:noProof/>
        </w:rPr>
        <w:t xml:space="preserve"> phasing out of dolly ropes to mitigate plastic pollution, aligning with the objectives of the </w:t>
      </w:r>
      <w:r w:rsidR="00666C7C" w:rsidRPr="00582F41">
        <w:rPr>
          <w:noProof/>
        </w:rPr>
        <w:t xml:space="preserve">envisaged </w:t>
      </w:r>
      <w:r w:rsidRPr="00582F41">
        <w:rPr>
          <w:noProof/>
        </w:rPr>
        <w:t xml:space="preserve">OSPAR </w:t>
      </w:r>
      <w:r w:rsidR="00FC74E8" w:rsidRPr="00582F41">
        <w:rPr>
          <w:noProof/>
        </w:rPr>
        <w:t>recommendation</w:t>
      </w:r>
      <w:r w:rsidRPr="00582F41">
        <w:rPr>
          <w:noProof/>
        </w:rPr>
        <w:t xml:space="preserve">. A Union position on the envisaged </w:t>
      </w:r>
      <w:r w:rsidR="00822F71" w:rsidRPr="00582F41">
        <w:rPr>
          <w:noProof/>
        </w:rPr>
        <w:t xml:space="preserve">recommendation </w:t>
      </w:r>
      <w:r w:rsidRPr="00582F41">
        <w:rPr>
          <w:noProof/>
        </w:rPr>
        <w:t>is necessary since it will facilitate the implementation of EU policies and legislation and prevent damage to and improve protection of the marine environment</w:t>
      </w:r>
      <w:r w:rsidR="00822F71" w:rsidRPr="00582F41">
        <w:rPr>
          <w:noProof/>
        </w:rPr>
        <w:t>.</w:t>
      </w:r>
      <w:r w:rsidRPr="00582F41">
        <w:rPr>
          <w:noProof/>
        </w:rPr>
        <w:t xml:space="preserve"> </w:t>
      </w:r>
      <w:r w:rsidR="00822F71" w:rsidRPr="00582F41">
        <w:rPr>
          <w:noProof/>
        </w:rPr>
        <w:t>I</w:t>
      </w:r>
      <w:r w:rsidRPr="00582F41">
        <w:rPr>
          <w:noProof/>
        </w:rPr>
        <w:t xml:space="preserve">t is </w:t>
      </w:r>
      <w:r w:rsidR="00822F71" w:rsidRPr="00582F41">
        <w:rPr>
          <w:noProof/>
        </w:rPr>
        <w:t xml:space="preserve">therefore </w:t>
      </w:r>
      <w:r w:rsidRPr="00582F41">
        <w:rPr>
          <w:noProof/>
        </w:rPr>
        <w:t xml:space="preserve">proposed that the Union supports </w:t>
      </w:r>
      <w:r w:rsidR="007A7DD7">
        <w:rPr>
          <w:noProof/>
        </w:rPr>
        <w:t>the</w:t>
      </w:r>
      <w:r w:rsidR="007A7DD7" w:rsidRPr="00582F41">
        <w:rPr>
          <w:noProof/>
        </w:rPr>
        <w:t xml:space="preserve"> </w:t>
      </w:r>
      <w:r w:rsidRPr="00582F41">
        <w:rPr>
          <w:noProof/>
        </w:rPr>
        <w:t>adoption</w:t>
      </w:r>
      <w:r w:rsidR="007A7DD7">
        <w:rPr>
          <w:noProof/>
        </w:rPr>
        <w:t xml:space="preserve"> of the envisaged act</w:t>
      </w:r>
      <w:r w:rsidRPr="00582F41">
        <w:rPr>
          <w:noProof/>
        </w:rPr>
        <w:t>.</w:t>
      </w:r>
    </w:p>
    <w:p w:rsidR="00CF3A33" w:rsidRPr="00582F41" w:rsidRDefault="00CF3A33" w:rsidP="00736AA9">
      <w:pPr>
        <w:pStyle w:val="ManualHeading1"/>
        <w:rPr>
          <w:noProof/>
        </w:rPr>
      </w:pPr>
      <w:r>
        <w:rPr>
          <w:noProof/>
        </w:rPr>
        <w:t>4.</w:t>
      </w:r>
      <w:r>
        <w:rPr>
          <w:noProof/>
        </w:rPr>
        <w:tab/>
      </w:r>
      <w:r w:rsidRPr="00582F41">
        <w:rPr>
          <w:noProof/>
        </w:rPr>
        <w:t>Legal basis</w:t>
      </w:r>
    </w:p>
    <w:p w:rsidR="00CF3A33" w:rsidRPr="00582F41" w:rsidRDefault="00CF3A33" w:rsidP="00736AA9">
      <w:pPr>
        <w:pStyle w:val="ManualHeading2"/>
        <w:rPr>
          <w:noProof/>
        </w:rPr>
      </w:pPr>
      <w:r>
        <w:rPr>
          <w:noProof/>
        </w:rPr>
        <w:t>4.1.</w:t>
      </w:r>
      <w:r>
        <w:rPr>
          <w:noProof/>
        </w:rPr>
        <w:tab/>
      </w:r>
      <w:r w:rsidRPr="00582F41">
        <w:rPr>
          <w:noProof/>
        </w:rPr>
        <w:t>Procedural legal basis</w:t>
      </w:r>
    </w:p>
    <w:p w:rsidR="00CF3A33" w:rsidRPr="00582F41" w:rsidRDefault="00CF3A33" w:rsidP="00CF3A33">
      <w:pPr>
        <w:pStyle w:val="ManualHeading3"/>
        <w:tabs>
          <w:tab w:val="clear" w:pos="850"/>
          <w:tab w:val="num" w:pos="1984"/>
        </w:tabs>
        <w:ind w:left="1984" w:hanging="567"/>
        <w:rPr>
          <w:noProof/>
        </w:rPr>
      </w:pPr>
      <w:r>
        <w:rPr>
          <w:noProof/>
        </w:rPr>
        <w:t>4.1.1.</w:t>
      </w:r>
      <w:r>
        <w:rPr>
          <w:noProof/>
        </w:rPr>
        <w:tab/>
      </w:r>
      <w:r w:rsidRPr="00582F41">
        <w:rPr>
          <w:noProof/>
        </w:rPr>
        <w:t>Principles</w:t>
      </w:r>
    </w:p>
    <w:p w:rsidR="00CF3A33" w:rsidRPr="00582F41" w:rsidRDefault="00CF3A33" w:rsidP="00736AA9">
      <w:pPr>
        <w:rPr>
          <w:noProof/>
        </w:rPr>
      </w:pPr>
      <w:r w:rsidRPr="00582F41">
        <w:rPr>
          <w:noProof/>
        </w:rPr>
        <w:t>Article 218(9) of the Treaty on the Functioning of the European Union (TFEU) provides for decisions establishing ‘</w:t>
      </w:r>
      <w:r w:rsidRPr="00582F41">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582F41">
        <w:rPr>
          <w:noProof/>
        </w:rPr>
        <w:t>.’</w:t>
      </w:r>
    </w:p>
    <w:p w:rsidR="00CF3A33" w:rsidRPr="00582F41" w:rsidRDefault="00CF3A33" w:rsidP="00736AA9">
      <w:pPr>
        <w:rPr>
          <w:noProof/>
        </w:rPr>
      </w:pPr>
      <w:r w:rsidRPr="00582F41">
        <w:rPr>
          <w:noProof/>
        </w:rPr>
        <w:t>The concept of ‘</w:t>
      </w:r>
      <w:r w:rsidRPr="00582F41">
        <w:rPr>
          <w:i/>
          <w:noProof/>
        </w:rPr>
        <w:t>acts having legal effects</w:t>
      </w:r>
      <w:r w:rsidRPr="00582F41">
        <w:rPr>
          <w:noProof/>
        </w:rPr>
        <w:t>’ includes acts that have legal effects by virtue of the rules of international law governing the body in question. It also includes instruments that do not have a binding effect under international law, but that are ‘</w:t>
      </w:r>
      <w:r w:rsidRPr="00582F41">
        <w:rPr>
          <w:i/>
          <w:noProof/>
        </w:rPr>
        <w:t>capable of decisively influencing the content of the legislation adopted by the EU legislature</w:t>
      </w:r>
      <w:r w:rsidRPr="00582F41">
        <w:rPr>
          <w:noProof/>
        </w:rPr>
        <w:t>’</w:t>
      </w:r>
      <w:r w:rsidRPr="00582F41">
        <w:rPr>
          <w:rStyle w:val="FootnoteReference"/>
          <w:noProof/>
        </w:rPr>
        <w:footnoteReference w:id="1"/>
      </w:r>
      <w:r w:rsidRPr="00582F41">
        <w:rPr>
          <w:noProof/>
        </w:rPr>
        <w:t>.</w:t>
      </w:r>
    </w:p>
    <w:p w:rsidR="00CF3A33" w:rsidRPr="00582F41" w:rsidRDefault="00CF3A33" w:rsidP="00CF3A33">
      <w:pPr>
        <w:pStyle w:val="ManualHeading3"/>
        <w:tabs>
          <w:tab w:val="clear" w:pos="850"/>
          <w:tab w:val="num" w:pos="1984"/>
        </w:tabs>
        <w:ind w:left="1984" w:hanging="567"/>
        <w:rPr>
          <w:noProof/>
        </w:rPr>
      </w:pPr>
      <w:r>
        <w:rPr>
          <w:noProof/>
        </w:rPr>
        <w:t>4.1.2.</w:t>
      </w:r>
      <w:r>
        <w:rPr>
          <w:noProof/>
        </w:rPr>
        <w:tab/>
      </w:r>
      <w:r w:rsidRPr="00582F41">
        <w:rPr>
          <w:noProof/>
        </w:rPr>
        <w:t>Application to the present case</w:t>
      </w:r>
    </w:p>
    <w:p w:rsidR="003977AC" w:rsidRPr="00582F41" w:rsidRDefault="003977AC" w:rsidP="003977AC">
      <w:pPr>
        <w:rPr>
          <w:noProof/>
        </w:rPr>
      </w:pPr>
      <w:r w:rsidRPr="00582F41">
        <w:rPr>
          <w:noProof/>
        </w:rPr>
        <w:t>The OSPAR Commission is a body set up by an agreement, namely the OSPAR Convention.</w:t>
      </w:r>
    </w:p>
    <w:p w:rsidR="003977AC" w:rsidRDefault="003977AC" w:rsidP="003977AC">
      <w:pPr>
        <w:rPr>
          <w:noProof/>
        </w:rPr>
      </w:pPr>
      <w:r w:rsidRPr="00582F41">
        <w:rPr>
          <w:noProof/>
        </w:rPr>
        <w:t xml:space="preserve">The </w:t>
      </w:r>
      <w:r w:rsidR="007A7DD7">
        <w:rPr>
          <w:noProof/>
        </w:rPr>
        <w:t xml:space="preserve">envisaged act </w:t>
      </w:r>
      <w:r w:rsidRPr="00582F41">
        <w:rPr>
          <w:noProof/>
        </w:rPr>
        <w:t>constitute</w:t>
      </w:r>
      <w:r w:rsidR="007A7DD7">
        <w:rPr>
          <w:noProof/>
        </w:rPr>
        <w:t>s an</w:t>
      </w:r>
      <w:r w:rsidRPr="00582F41">
        <w:rPr>
          <w:noProof/>
        </w:rPr>
        <w:t xml:space="preserve"> act having legal effects within the meaning of Article 218(9) TFEU</w:t>
      </w:r>
      <w:r w:rsidR="007A7DD7">
        <w:rPr>
          <w:noProof/>
        </w:rPr>
        <w:t>,</w:t>
      </w:r>
      <w:r w:rsidRPr="00582F41">
        <w:rPr>
          <w:noProof/>
        </w:rPr>
        <w:t xml:space="preserve"> because the </w:t>
      </w:r>
      <w:r w:rsidR="00760671" w:rsidRPr="00582F41">
        <w:rPr>
          <w:noProof/>
        </w:rPr>
        <w:t>r</w:t>
      </w:r>
      <w:r w:rsidRPr="00582F41">
        <w:rPr>
          <w:noProof/>
        </w:rPr>
        <w:t xml:space="preserve">ecommendation on the phasing out of dolly ropes </w:t>
      </w:r>
      <w:r w:rsidR="00344517" w:rsidRPr="00582F41">
        <w:rPr>
          <w:noProof/>
        </w:rPr>
        <w:t xml:space="preserve">serving </w:t>
      </w:r>
      <w:r w:rsidR="00760671" w:rsidRPr="00582F41">
        <w:rPr>
          <w:noProof/>
        </w:rPr>
        <w:t>as chafing gear in fisheries</w:t>
      </w:r>
      <w:r w:rsidR="007A7DD7">
        <w:rPr>
          <w:noProof/>
        </w:rPr>
        <w:t>, even if it is not legally binding,</w:t>
      </w:r>
      <w:r w:rsidR="00760671" w:rsidRPr="00582F41">
        <w:rPr>
          <w:noProof/>
        </w:rPr>
        <w:t xml:space="preserve"> </w:t>
      </w:r>
      <w:r w:rsidRPr="00582F41">
        <w:rPr>
          <w:noProof/>
        </w:rPr>
        <w:t>generates legal effects under international law</w:t>
      </w:r>
      <w:r w:rsidR="007563A7">
        <w:rPr>
          <w:noProof/>
        </w:rPr>
        <w:t xml:space="preserve">, </w:t>
      </w:r>
      <w:r w:rsidR="007A7DD7">
        <w:rPr>
          <w:noProof/>
        </w:rPr>
        <w:t>given that</w:t>
      </w:r>
      <w:r w:rsidR="007563A7">
        <w:rPr>
          <w:noProof/>
        </w:rPr>
        <w:t xml:space="preserve"> the OSPAR Convention imposes an obligation of conduct on the contracting parties as regards the</w:t>
      </w:r>
      <w:r w:rsidR="007A7DD7">
        <w:rPr>
          <w:noProof/>
        </w:rPr>
        <w:t xml:space="preserve"> implementation of</w:t>
      </w:r>
      <w:r w:rsidR="007563A7">
        <w:rPr>
          <w:noProof/>
        </w:rPr>
        <w:t xml:space="preserve"> recommendations of the OSPAR Commission. </w:t>
      </w:r>
      <w:r w:rsidRPr="00582F41">
        <w:rPr>
          <w:noProof/>
        </w:rPr>
        <w:t>.</w:t>
      </w:r>
    </w:p>
    <w:p w:rsidR="003007BA" w:rsidRDefault="007563A7" w:rsidP="003007BA">
      <w:pPr>
        <w:rPr>
          <w:noProof/>
        </w:rPr>
      </w:pPr>
      <w:r>
        <w:rPr>
          <w:noProof/>
        </w:rPr>
        <w:t xml:space="preserve">In this context, reference should be made to Article 22 of the OSPAR Convention, which imposes a legal obligation on the contracting parties to report at regular intervals to the OSPAR Commission on </w:t>
      </w:r>
      <w:r w:rsidRPr="009E62BB">
        <w:rPr>
          <w:i/>
          <w:iCs/>
          <w:noProof/>
        </w:rPr>
        <w:t xml:space="preserve">“(a) the </w:t>
      </w:r>
      <w:r w:rsidRPr="009E62BB">
        <w:rPr>
          <w:i/>
          <w:iCs/>
          <w:noProof/>
          <w:u w:val="single"/>
        </w:rPr>
        <w:t>legal, regulatory, or other measures taken by them</w:t>
      </w:r>
      <w:r w:rsidRPr="009E62BB">
        <w:rPr>
          <w:i/>
          <w:iCs/>
          <w:noProof/>
        </w:rPr>
        <w:t xml:space="preserve"> for the implementation of the provisions of the Convention and of decisions and </w:t>
      </w:r>
      <w:r w:rsidRPr="009E62BB">
        <w:rPr>
          <w:i/>
          <w:iCs/>
          <w:noProof/>
          <w:u w:val="single"/>
        </w:rPr>
        <w:t xml:space="preserve">recommendations </w:t>
      </w:r>
      <w:r w:rsidRPr="009E62BB">
        <w:rPr>
          <w:i/>
          <w:iCs/>
          <w:noProof/>
          <w:u w:val="single"/>
        </w:rPr>
        <w:lastRenderedPageBreak/>
        <w:t>adopted thereunder</w:t>
      </w:r>
      <w:r w:rsidRPr="009E62BB">
        <w:rPr>
          <w:i/>
          <w:iCs/>
          <w:noProof/>
        </w:rPr>
        <w:t>, including in particular measures taken to prevent and punish conduct in contravention of those provisions</w:t>
      </w:r>
      <w:r>
        <w:rPr>
          <w:noProof/>
        </w:rPr>
        <w:t xml:space="preserve"> […]”. </w:t>
      </w:r>
      <w:r w:rsidR="003007BA">
        <w:rPr>
          <w:noProof/>
        </w:rPr>
        <w:t>In addition, Article 23 of the OSPAR Convention provides that the OSPAR Commission shall “</w:t>
      </w:r>
      <w:r w:rsidR="003007BA" w:rsidRPr="009E62BB">
        <w:rPr>
          <w:i/>
          <w:iCs/>
          <w:noProof/>
          <w:u w:val="single"/>
        </w:rPr>
        <w:t>assess their compliance</w:t>
      </w:r>
      <w:r w:rsidR="003007BA" w:rsidRPr="009E62BB">
        <w:rPr>
          <w:i/>
          <w:iCs/>
          <w:noProof/>
        </w:rPr>
        <w:t xml:space="preserve"> with the Convention and the decisions and </w:t>
      </w:r>
      <w:r w:rsidR="003007BA" w:rsidRPr="009E62BB">
        <w:rPr>
          <w:i/>
          <w:iCs/>
          <w:noProof/>
          <w:u w:val="single"/>
        </w:rPr>
        <w:t>recommendations adopted thereunder</w:t>
      </w:r>
      <w:r w:rsidR="003007BA">
        <w:rPr>
          <w:noProof/>
        </w:rPr>
        <w:t>”</w:t>
      </w:r>
    </w:p>
    <w:p w:rsidR="007563A7" w:rsidRPr="003007BA" w:rsidRDefault="007563A7" w:rsidP="009E62BB">
      <w:pPr>
        <w:rPr>
          <w:noProof/>
        </w:rPr>
      </w:pPr>
      <w:r w:rsidRPr="003007BA">
        <w:rPr>
          <w:bCs/>
          <w:noProof/>
          <w:szCs w:val="24"/>
        </w:rPr>
        <w:t xml:space="preserve">These provisions make clear that the </w:t>
      </w:r>
      <w:r w:rsidR="003007BA">
        <w:rPr>
          <w:bCs/>
          <w:noProof/>
          <w:szCs w:val="24"/>
        </w:rPr>
        <w:t>OSPAR Convention</w:t>
      </w:r>
      <w:r w:rsidRPr="003007BA">
        <w:rPr>
          <w:bCs/>
          <w:noProof/>
          <w:szCs w:val="24"/>
        </w:rPr>
        <w:t xml:space="preserve"> establishes, in a legally binding manner, that the parties are expected to take measures to implement the recommendations</w:t>
      </w:r>
      <w:r w:rsidR="007A7DD7">
        <w:rPr>
          <w:bCs/>
          <w:noProof/>
          <w:szCs w:val="24"/>
        </w:rPr>
        <w:t xml:space="preserve"> of the OSPAR Commission</w:t>
      </w:r>
      <w:r w:rsidRPr="003007BA">
        <w:rPr>
          <w:bCs/>
          <w:noProof/>
          <w:szCs w:val="24"/>
        </w:rPr>
        <w:t xml:space="preserve"> and to report on </w:t>
      </w:r>
      <w:r w:rsidR="003007BA">
        <w:rPr>
          <w:bCs/>
          <w:noProof/>
          <w:szCs w:val="24"/>
        </w:rPr>
        <w:t>those measures</w:t>
      </w:r>
      <w:r w:rsidRPr="003007BA">
        <w:rPr>
          <w:bCs/>
          <w:noProof/>
          <w:szCs w:val="24"/>
        </w:rPr>
        <w:t xml:space="preserve">, </w:t>
      </w:r>
      <w:r w:rsidR="003007BA">
        <w:rPr>
          <w:bCs/>
          <w:noProof/>
          <w:szCs w:val="24"/>
        </w:rPr>
        <w:t xml:space="preserve">and that their compliance with those recommendations shall be monitored by the OSPAR Commission, </w:t>
      </w:r>
      <w:r w:rsidRPr="003007BA">
        <w:rPr>
          <w:bCs/>
          <w:noProof/>
          <w:szCs w:val="24"/>
        </w:rPr>
        <w:t>thus imposing an obligation of conduct on the parties as regards these recommendations.</w:t>
      </w:r>
      <w:r w:rsidR="003007BA">
        <w:rPr>
          <w:bCs/>
          <w:noProof/>
          <w:szCs w:val="24"/>
        </w:rPr>
        <w:t xml:space="preserve"> For this reason, OSPAR recommendations </w:t>
      </w:r>
      <w:r w:rsidR="007A7DD7">
        <w:rPr>
          <w:bCs/>
          <w:noProof/>
          <w:szCs w:val="24"/>
        </w:rPr>
        <w:t>are</w:t>
      </w:r>
      <w:r w:rsidR="003007BA">
        <w:rPr>
          <w:bCs/>
          <w:noProof/>
          <w:szCs w:val="24"/>
        </w:rPr>
        <w:t xml:space="preserve"> considered to generate legal effects vis-à-vis the contracting parties, including the Union, within the meaning of Article 218(9) TFEU.</w:t>
      </w:r>
    </w:p>
    <w:p w:rsidR="007563A7" w:rsidRDefault="003007BA" w:rsidP="007A637B">
      <w:pPr>
        <w:rPr>
          <w:noProof/>
        </w:rPr>
      </w:pPr>
      <w:r>
        <w:rPr>
          <w:noProof/>
        </w:rPr>
        <w:t xml:space="preserve">In the case of the </w:t>
      </w:r>
      <w:r w:rsidRPr="00582F41">
        <w:rPr>
          <w:noProof/>
        </w:rPr>
        <w:t>recommendation on the phasing out of dolly rope serving as chafing gear</w:t>
      </w:r>
      <w:r>
        <w:rPr>
          <w:noProof/>
        </w:rPr>
        <w:t xml:space="preserve">, the existence of such legal effects </w:t>
      </w:r>
      <w:r w:rsidR="007A637B">
        <w:rPr>
          <w:noProof/>
        </w:rPr>
        <w:t>is</w:t>
      </w:r>
      <w:r>
        <w:rPr>
          <w:noProof/>
        </w:rPr>
        <w:t xml:space="preserve"> confirmed by the content of the recommendation. In this context,</w:t>
      </w:r>
      <w:r w:rsidR="007A637B">
        <w:rPr>
          <w:noProof/>
        </w:rPr>
        <w:t xml:space="preserve"> reference should be made to</w:t>
      </w:r>
      <w:r>
        <w:rPr>
          <w:noProof/>
        </w:rPr>
        <w:t xml:space="preserve"> </w:t>
      </w:r>
      <w:r w:rsidR="007A7DD7">
        <w:rPr>
          <w:noProof/>
        </w:rPr>
        <w:t>point</w:t>
      </w:r>
      <w:r>
        <w:rPr>
          <w:noProof/>
        </w:rPr>
        <w:t xml:space="preserve"> 5 of the recommendation entitled ‘implementation reports’</w:t>
      </w:r>
      <w:r w:rsidR="007A637B">
        <w:rPr>
          <w:noProof/>
        </w:rPr>
        <w:t>, which</w:t>
      </w:r>
      <w:r>
        <w:rPr>
          <w:noProof/>
        </w:rPr>
        <w:t xml:space="preserve"> confirms that the parties </w:t>
      </w:r>
      <w:r w:rsidR="007A7DD7">
        <w:rPr>
          <w:noProof/>
        </w:rPr>
        <w:t>are expected</w:t>
      </w:r>
      <w:r>
        <w:rPr>
          <w:noProof/>
        </w:rPr>
        <w:t xml:space="preserve"> to implement the recommendation, and </w:t>
      </w:r>
      <w:r w:rsidR="007A7DD7">
        <w:rPr>
          <w:noProof/>
        </w:rPr>
        <w:t xml:space="preserve">are obliged </w:t>
      </w:r>
      <w:r>
        <w:rPr>
          <w:noProof/>
        </w:rPr>
        <w:t>to report</w:t>
      </w:r>
      <w:r w:rsidR="007A7DD7">
        <w:rPr>
          <w:noProof/>
        </w:rPr>
        <w:t xml:space="preserve"> (‘shall be submitted’)</w:t>
      </w:r>
      <w:r>
        <w:rPr>
          <w:noProof/>
        </w:rPr>
        <w:t xml:space="preserve"> on that implementation, using a specifically established reporting format set </w:t>
      </w:r>
      <w:r w:rsidR="007A7DD7">
        <w:rPr>
          <w:noProof/>
        </w:rPr>
        <w:t>out</w:t>
      </w:r>
      <w:r>
        <w:rPr>
          <w:noProof/>
        </w:rPr>
        <w:t xml:space="preserve"> in Annex I of the recommendation. </w:t>
      </w:r>
    </w:p>
    <w:p w:rsidR="00CF3A33" w:rsidRPr="00582F41" w:rsidRDefault="007A7DD7" w:rsidP="00736AA9">
      <w:pPr>
        <w:rPr>
          <w:noProof/>
        </w:rPr>
      </w:pPr>
      <w:r>
        <w:rPr>
          <w:noProof/>
        </w:rPr>
        <w:t>Therefore, the envisaged act has legal effects under international law for the Union, given that an obligation of conduct is imposed on the Union, as a contracting party to the OSPAR Convention, to implement the envisaged act and to report on that implementation.</w:t>
      </w:r>
      <w:r w:rsidR="005A2004">
        <w:rPr>
          <w:noProof/>
        </w:rPr>
        <w:t xml:space="preserve"> </w:t>
      </w:r>
      <w:r w:rsidR="00CF3A33" w:rsidRPr="00582F41">
        <w:rPr>
          <w:noProof/>
        </w:rPr>
        <w:t>The envisaged act does not supplement or amend the institutional framework of the Agreement.</w:t>
      </w:r>
    </w:p>
    <w:p w:rsidR="00CF3A33" w:rsidRPr="00582F41" w:rsidRDefault="00CF3A33" w:rsidP="00736AA9">
      <w:pPr>
        <w:rPr>
          <w:noProof/>
        </w:rPr>
      </w:pPr>
      <w:r w:rsidRPr="00582F41">
        <w:rPr>
          <w:noProof/>
        </w:rPr>
        <w:t>Therefore, the procedural legal basis for the proposed decision is Article 218(9) TFEU.</w:t>
      </w:r>
    </w:p>
    <w:p w:rsidR="00CF3A33" w:rsidRPr="00582F41" w:rsidRDefault="00CF3A33" w:rsidP="00736AA9">
      <w:pPr>
        <w:pStyle w:val="ManualHeading2"/>
        <w:rPr>
          <w:noProof/>
        </w:rPr>
      </w:pPr>
      <w:r>
        <w:rPr>
          <w:noProof/>
        </w:rPr>
        <w:t>4.2.</w:t>
      </w:r>
      <w:r>
        <w:rPr>
          <w:noProof/>
        </w:rPr>
        <w:tab/>
      </w:r>
      <w:r w:rsidRPr="00582F41">
        <w:rPr>
          <w:noProof/>
        </w:rPr>
        <w:t>Substantive legal basis</w:t>
      </w:r>
    </w:p>
    <w:p w:rsidR="00CF3A33" w:rsidRPr="00582F41" w:rsidRDefault="00CF3A33" w:rsidP="00CF3A33">
      <w:pPr>
        <w:pStyle w:val="ManualHeading3"/>
        <w:tabs>
          <w:tab w:val="clear" w:pos="850"/>
          <w:tab w:val="num" w:pos="1984"/>
        </w:tabs>
        <w:ind w:left="1984" w:hanging="567"/>
        <w:rPr>
          <w:noProof/>
        </w:rPr>
      </w:pPr>
      <w:r>
        <w:rPr>
          <w:noProof/>
        </w:rPr>
        <w:t>4.2.1.</w:t>
      </w:r>
      <w:r>
        <w:rPr>
          <w:noProof/>
        </w:rPr>
        <w:tab/>
      </w:r>
      <w:r w:rsidRPr="00582F41">
        <w:rPr>
          <w:noProof/>
        </w:rPr>
        <w:t>Principles</w:t>
      </w:r>
    </w:p>
    <w:p w:rsidR="00CF3A33" w:rsidRPr="00582F41" w:rsidRDefault="00CF3A33" w:rsidP="00736AA9">
      <w:pPr>
        <w:rPr>
          <w:noProof/>
        </w:rPr>
      </w:pPr>
      <w:r w:rsidRPr="00582F41">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CF3A33" w:rsidRPr="00582F41" w:rsidRDefault="00CF3A33" w:rsidP="00CF3A33">
      <w:pPr>
        <w:pStyle w:val="ManualHeading3"/>
        <w:tabs>
          <w:tab w:val="clear" w:pos="850"/>
          <w:tab w:val="num" w:pos="1984"/>
        </w:tabs>
        <w:ind w:left="1984" w:hanging="567"/>
        <w:rPr>
          <w:noProof/>
        </w:rPr>
      </w:pPr>
      <w:r>
        <w:rPr>
          <w:noProof/>
        </w:rPr>
        <w:t>4.2.2.</w:t>
      </w:r>
      <w:r>
        <w:rPr>
          <w:noProof/>
        </w:rPr>
        <w:tab/>
      </w:r>
      <w:r w:rsidRPr="00582F41">
        <w:rPr>
          <w:noProof/>
        </w:rPr>
        <w:t>Application to the present case</w:t>
      </w:r>
    </w:p>
    <w:p w:rsidR="00CF3A33" w:rsidRPr="00582F41" w:rsidRDefault="00760671" w:rsidP="00736AA9">
      <w:pPr>
        <w:rPr>
          <w:noProof/>
        </w:rPr>
      </w:pPr>
      <w:r w:rsidRPr="00582F41">
        <w:rPr>
          <w:noProof/>
        </w:rPr>
        <w:t xml:space="preserve">The main objective and content of the envisaged act </w:t>
      </w:r>
      <w:r w:rsidR="00B63477" w:rsidRPr="00582F41">
        <w:rPr>
          <w:noProof/>
        </w:rPr>
        <w:t>relate</w:t>
      </w:r>
      <w:r w:rsidRPr="00582F41">
        <w:rPr>
          <w:noProof/>
        </w:rPr>
        <w:t xml:space="preserve"> to protection of the environment. Therefore, the substantive legal basis of the proposed decision is Article 192(1) TFEU.</w:t>
      </w:r>
    </w:p>
    <w:p w:rsidR="00CF3A33" w:rsidRPr="00582F41" w:rsidRDefault="00CF3A33" w:rsidP="00736AA9">
      <w:pPr>
        <w:pStyle w:val="ManualHeading2"/>
        <w:rPr>
          <w:noProof/>
        </w:rPr>
      </w:pPr>
      <w:r>
        <w:rPr>
          <w:noProof/>
        </w:rPr>
        <w:t>4.3.</w:t>
      </w:r>
      <w:r>
        <w:rPr>
          <w:noProof/>
        </w:rPr>
        <w:tab/>
      </w:r>
      <w:r w:rsidRPr="00582F41">
        <w:rPr>
          <w:noProof/>
        </w:rPr>
        <w:t>Conclusion</w:t>
      </w:r>
    </w:p>
    <w:p w:rsidR="00CF3A33" w:rsidRPr="00582F41" w:rsidRDefault="00760671" w:rsidP="00760671">
      <w:pPr>
        <w:rPr>
          <w:noProof/>
        </w:rPr>
      </w:pPr>
      <w:r w:rsidRPr="00582F41">
        <w:rPr>
          <w:noProof/>
        </w:rPr>
        <w:t>The legal basis of the proposed decision should be Article 192(1), in conjunction with Article 218(9) TFEU</w:t>
      </w:r>
      <w:r w:rsidR="00CF3A33" w:rsidRPr="00582F41">
        <w:rPr>
          <w:noProof/>
        </w:rPr>
        <w:t>.</w:t>
      </w:r>
    </w:p>
    <w:p w:rsidR="00CF3A33" w:rsidRPr="00582F41" w:rsidRDefault="00CF3A33" w:rsidP="00FD40BA">
      <w:pPr>
        <w:rPr>
          <w:noProof/>
        </w:rPr>
        <w:sectPr w:rsidR="00CF3A33" w:rsidRPr="00582F41" w:rsidSect="0064292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105203" w:rsidRDefault="00522176">
      <w:pPr>
        <w:pStyle w:val="Rfrenceinterinstitutionnelle"/>
        <w:rPr>
          <w:noProof/>
        </w:rPr>
      </w:pPr>
      <w:r>
        <w:rPr>
          <w:noProof/>
        </w:rPr>
        <w:lastRenderedPageBreak/>
        <w:t>2026/0094 (NLE)</w:t>
      </w:r>
    </w:p>
    <w:p w:rsidR="00CF3A33" w:rsidRPr="00582F41" w:rsidRDefault="00CF3A33" w:rsidP="00CF3A33">
      <w:pPr>
        <w:pStyle w:val="Statut"/>
        <w:rPr>
          <w:noProof/>
        </w:rPr>
      </w:pPr>
      <w:r w:rsidRPr="00582F41">
        <w:rPr>
          <w:noProof/>
        </w:rPr>
        <w:t>Proposal for a</w:t>
      </w:r>
    </w:p>
    <w:p w:rsidR="00CF3A33" w:rsidRPr="00582F41" w:rsidRDefault="00CF3A33" w:rsidP="00CF3A33">
      <w:pPr>
        <w:pStyle w:val="Typedudocument"/>
        <w:rPr>
          <w:noProof/>
        </w:rPr>
      </w:pPr>
      <w:r w:rsidRPr="00582F41">
        <w:rPr>
          <w:noProof/>
        </w:rPr>
        <w:t>COUNCIL DECISION</w:t>
      </w:r>
    </w:p>
    <w:p w:rsidR="00CF3A33" w:rsidRPr="00582F41" w:rsidRDefault="00CF3A33" w:rsidP="00CF3A33">
      <w:pPr>
        <w:pStyle w:val="Titreobjet"/>
        <w:rPr>
          <w:noProof/>
        </w:rPr>
      </w:pPr>
      <w:r w:rsidRPr="00582F41">
        <w:rPr>
          <w:noProof/>
        </w:rPr>
        <w:t>on the position to be taken on behalf of the European Union in the Convention for the Protection of the Marine Environment of the North-East Atlantic at the OSPAR Commission meeting of June 2026</w:t>
      </w:r>
    </w:p>
    <w:p w:rsidR="00CF3A33" w:rsidRPr="00582F41" w:rsidRDefault="00CF3A33" w:rsidP="00BE7CB9">
      <w:pPr>
        <w:pStyle w:val="Institutionquiagit"/>
        <w:rPr>
          <w:noProof/>
        </w:rPr>
      </w:pPr>
      <w:r w:rsidRPr="00582F41">
        <w:rPr>
          <w:noProof/>
        </w:rPr>
        <w:t>THE COUNCIL OF THE EUROPEAN UNION,</w:t>
      </w:r>
    </w:p>
    <w:p w:rsidR="00CF3A33" w:rsidRPr="00582F41" w:rsidRDefault="000D2AA9" w:rsidP="000D2AA9">
      <w:pPr>
        <w:rPr>
          <w:noProof/>
        </w:rPr>
      </w:pPr>
      <w:r w:rsidRPr="00582F41">
        <w:rPr>
          <w:noProof/>
        </w:rPr>
        <w:t>Having regard to the Treaty on the Functioning of the European Union, and in particular Article 192(1) in conjunction with Article 218(9) thereof,</w:t>
      </w:r>
    </w:p>
    <w:p w:rsidR="00CF3A33" w:rsidRPr="00582F41" w:rsidRDefault="00CF3A33" w:rsidP="00BE7CB9">
      <w:pPr>
        <w:rPr>
          <w:noProof/>
        </w:rPr>
      </w:pPr>
      <w:r w:rsidRPr="00582F41">
        <w:rPr>
          <w:noProof/>
        </w:rPr>
        <w:t>Having regard to the proposal from the European Commission,</w:t>
      </w:r>
    </w:p>
    <w:p w:rsidR="00CF3A33" w:rsidRPr="00582F41" w:rsidRDefault="00CF3A33" w:rsidP="00BE7CB9">
      <w:pPr>
        <w:rPr>
          <w:noProof/>
        </w:rPr>
      </w:pPr>
      <w:r w:rsidRPr="00582F41">
        <w:rPr>
          <w:noProof/>
        </w:rPr>
        <w:t>Whereas:</w:t>
      </w:r>
    </w:p>
    <w:p w:rsidR="000D2AA9" w:rsidRDefault="000D2AA9" w:rsidP="00482FE5">
      <w:pPr>
        <w:pStyle w:val="ManualConsidrant"/>
        <w:rPr>
          <w:noProof/>
        </w:rPr>
      </w:pPr>
      <w:r>
        <w:rPr>
          <w:noProof/>
        </w:rPr>
        <w:t>(1)</w:t>
      </w:r>
      <w:r>
        <w:rPr>
          <w:noProof/>
        </w:rPr>
        <w:tab/>
      </w:r>
      <w:r w:rsidRPr="00582F41">
        <w:rPr>
          <w:noProof/>
        </w:rPr>
        <w:t xml:space="preserve">The OSPAR Convention (‘the Convention’) was concluded by the Union by </w:t>
      </w:r>
      <w:r w:rsidR="008F7B32">
        <w:rPr>
          <w:noProof/>
        </w:rPr>
        <w:t xml:space="preserve">means of </w:t>
      </w:r>
      <w:r w:rsidRPr="00582F41">
        <w:rPr>
          <w:noProof/>
        </w:rPr>
        <w:t>Council Decision 98/249/EC of 7 October 1998.</w:t>
      </w:r>
    </w:p>
    <w:p w:rsidR="000D2AA9" w:rsidRPr="00582F41" w:rsidRDefault="000D2AA9" w:rsidP="000D2AA9">
      <w:pPr>
        <w:pStyle w:val="ManualConsidrant"/>
        <w:rPr>
          <w:noProof/>
        </w:rPr>
      </w:pPr>
      <w:r>
        <w:rPr>
          <w:noProof/>
        </w:rPr>
        <w:t>(2)</w:t>
      </w:r>
      <w:r>
        <w:rPr>
          <w:noProof/>
        </w:rPr>
        <w:tab/>
      </w:r>
      <w:r w:rsidRPr="00582F41">
        <w:rPr>
          <w:noProof/>
        </w:rPr>
        <w:t xml:space="preserve">Pursuant to Article 10(3) of the Convention, the Commission established by Article 10(1) of the Convention (“the OSPAR Commission”) </w:t>
      </w:r>
      <w:r w:rsidR="002D4CA6">
        <w:rPr>
          <w:noProof/>
        </w:rPr>
        <w:t xml:space="preserve">is able to </w:t>
      </w:r>
      <w:r w:rsidRPr="00582F41">
        <w:rPr>
          <w:noProof/>
        </w:rPr>
        <w:t xml:space="preserve">adopt </w:t>
      </w:r>
      <w:r w:rsidR="002D4CA6">
        <w:rPr>
          <w:noProof/>
        </w:rPr>
        <w:t>d</w:t>
      </w:r>
      <w:r w:rsidRPr="00582F41">
        <w:rPr>
          <w:noProof/>
        </w:rPr>
        <w:t>ecisions</w:t>
      </w:r>
      <w:r w:rsidR="002D4CA6">
        <w:rPr>
          <w:noProof/>
        </w:rPr>
        <w:t xml:space="preserve"> and recommendations</w:t>
      </w:r>
      <w:r w:rsidRPr="00582F41">
        <w:rPr>
          <w:noProof/>
        </w:rPr>
        <w:t xml:space="preserve"> in accordance with Article 13 of the Convention.</w:t>
      </w:r>
    </w:p>
    <w:p w:rsidR="000D2AA9" w:rsidRPr="00582F41" w:rsidRDefault="000D2AA9" w:rsidP="000D2AA9">
      <w:pPr>
        <w:pStyle w:val="ManualConsidrant"/>
        <w:rPr>
          <w:noProof/>
        </w:rPr>
      </w:pPr>
      <w:r>
        <w:rPr>
          <w:noProof/>
        </w:rPr>
        <w:t>(3)</w:t>
      </w:r>
      <w:r>
        <w:rPr>
          <w:noProof/>
        </w:rPr>
        <w:tab/>
      </w:r>
      <w:r w:rsidRPr="00582F41">
        <w:rPr>
          <w:noProof/>
        </w:rPr>
        <w:t>The OSPAR Commission, during its 2</w:t>
      </w:r>
      <w:r w:rsidR="009E5E61" w:rsidRPr="00582F41">
        <w:rPr>
          <w:noProof/>
        </w:rPr>
        <w:t>9</w:t>
      </w:r>
      <w:r w:rsidR="009E5E61" w:rsidRPr="00582F41">
        <w:rPr>
          <w:noProof/>
          <w:vertAlign w:val="superscript"/>
        </w:rPr>
        <w:t>th</w:t>
      </w:r>
      <w:r w:rsidR="009E5E61" w:rsidRPr="00582F41">
        <w:rPr>
          <w:noProof/>
        </w:rPr>
        <w:t xml:space="preserve"> </w:t>
      </w:r>
      <w:r w:rsidRPr="00582F41">
        <w:rPr>
          <w:noProof/>
        </w:rPr>
        <w:t>regular meeting starting on 2</w:t>
      </w:r>
      <w:r w:rsidR="009E5E61" w:rsidRPr="00582F41">
        <w:rPr>
          <w:noProof/>
        </w:rPr>
        <w:t xml:space="preserve">2 </w:t>
      </w:r>
      <w:r w:rsidRPr="00582F41">
        <w:rPr>
          <w:noProof/>
        </w:rPr>
        <w:t>June 202</w:t>
      </w:r>
      <w:r w:rsidR="009E5E61" w:rsidRPr="00582F41">
        <w:rPr>
          <w:noProof/>
        </w:rPr>
        <w:t>6</w:t>
      </w:r>
      <w:r w:rsidRPr="00582F41">
        <w:rPr>
          <w:noProof/>
        </w:rPr>
        <w:t xml:space="preserve">, is </w:t>
      </w:r>
      <w:r w:rsidR="00927DE0">
        <w:rPr>
          <w:noProof/>
        </w:rPr>
        <w:t>schedul</w:t>
      </w:r>
      <w:r w:rsidR="003970EB" w:rsidRPr="00582F41">
        <w:rPr>
          <w:noProof/>
        </w:rPr>
        <w:t xml:space="preserve">ed </w:t>
      </w:r>
      <w:r w:rsidRPr="00582F41">
        <w:rPr>
          <w:noProof/>
        </w:rPr>
        <w:t xml:space="preserve">to adopt a recommendation on the phasing out of dolly rope </w:t>
      </w:r>
      <w:r w:rsidR="003970EB" w:rsidRPr="00582F41">
        <w:rPr>
          <w:noProof/>
        </w:rPr>
        <w:t xml:space="preserve">serving </w:t>
      </w:r>
      <w:r w:rsidRPr="00582F41">
        <w:rPr>
          <w:noProof/>
        </w:rPr>
        <w:t>as chafing gear.</w:t>
      </w:r>
    </w:p>
    <w:p w:rsidR="002D4CA6" w:rsidRDefault="002D4CA6" w:rsidP="002D4CA6">
      <w:pPr>
        <w:pStyle w:val="ManualConsidrant"/>
        <w:rPr>
          <w:noProof/>
          <w:sz w:val="22"/>
          <w:lang w:val="en-IE"/>
        </w:rPr>
      </w:pPr>
      <w:r>
        <w:rPr>
          <w:noProof/>
        </w:rPr>
        <w:t>(4)</w:t>
      </w:r>
      <w:r>
        <w:rPr>
          <w:noProof/>
        </w:rPr>
        <w:tab/>
        <w:t xml:space="preserve">The </w:t>
      </w:r>
      <w:r w:rsidRPr="00582F41">
        <w:rPr>
          <w:noProof/>
        </w:rPr>
        <w:t>recommendation on the phasing out of dolly rope serving as chafing gear</w:t>
      </w:r>
      <w:r>
        <w:rPr>
          <w:noProof/>
        </w:rPr>
        <w:t xml:space="preserve"> of the </w:t>
      </w:r>
      <w:r w:rsidRPr="009E62BB">
        <w:rPr>
          <w:noProof/>
          <w:color w:val="000000" w:themeColor="text1"/>
        </w:rPr>
        <w:t xml:space="preserve">OSPAR Commission will, if adopted, produce legal effects for the Union. </w:t>
      </w:r>
    </w:p>
    <w:p w:rsidR="002D4CA6" w:rsidRDefault="002D4CA6" w:rsidP="002D4CA6">
      <w:pPr>
        <w:pStyle w:val="ManualConsidrant"/>
        <w:rPr>
          <w:noProof/>
          <w:sz w:val="22"/>
          <w:lang w:val="en-IE" w:eastAsia="fr-BE"/>
        </w:rPr>
      </w:pPr>
      <w:r>
        <w:rPr>
          <w:noProof/>
        </w:rPr>
        <w:t>(5)</w:t>
      </w:r>
      <w:r>
        <w:rPr>
          <w:noProof/>
        </w:rPr>
        <w:tab/>
      </w:r>
      <w:r>
        <w:rPr>
          <w:noProof/>
          <w:szCs w:val="24"/>
        </w:rPr>
        <w:t xml:space="preserve">It is therefore </w:t>
      </w:r>
      <w:r w:rsidR="005F6AED">
        <w:rPr>
          <w:noProof/>
          <w:szCs w:val="24"/>
        </w:rPr>
        <w:t xml:space="preserve">appropriate </w:t>
      </w:r>
      <w:r>
        <w:rPr>
          <w:noProof/>
          <w:szCs w:val="24"/>
        </w:rPr>
        <w:t xml:space="preserve">to establish </w:t>
      </w:r>
      <w:r>
        <w:rPr>
          <w:noProof/>
          <w:lang w:eastAsia="fr-BE"/>
        </w:rPr>
        <w:t xml:space="preserve">the position to be taken within the OSPAR Commission with regard to the </w:t>
      </w:r>
      <w:r w:rsidRPr="00582F41">
        <w:rPr>
          <w:noProof/>
        </w:rPr>
        <w:t>recommendation on the phasing out of dolly rope serving as chafing gear</w:t>
      </w:r>
      <w:r>
        <w:rPr>
          <w:noProof/>
        </w:rPr>
        <w:t>.</w:t>
      </w:r>
    </w:p>
    <w:p w:rsidR="00CF3A33" w:rsidRPr="00582F41" w:rsidRDefault="00CF3A33" w:rsidP="00BE7CB9">
      <w:pPr>
        <w:pStyle w:val="Formuledadoption"/>
        <w:rPr>
          <w:noProof/>
        </w:rPr>
      </w:pPr>
      <w:r w:rsidRPr="00582F41">
        <w:rPr>
          <w:noProof/>
        </w:rPr>
        <w:t>HAS ADOPTED THIS DECISION:</w:t>
      </w:r>
    </w:p>
    <w:p w:rsidR="00CF3A33" w:rsidRPr="00582F41" w:rsidRDefault="00CF3A33" w:rsidP="00BE7CB9">
      <w:pPr>
        <w:pStyle w:val="Titrearticle"/>
        <w:rPr>
          <w:noProof/>
        </w:rPr>
      </w:pPr>
      <w:r w:rsidRPr="00582F41">
        <w:rPr>
          <w:noProof/>
        </w:rPr>
        <w:t>Article 1</w:t>
      </w:r>
    </w:p>
    <w:p w:rsidR="000D2AA9" w:rsidRDefault="000D2AA9" w:rsidP="000D2AA9">
      <w:pPr>
        <w:pStyle w:val="Titrearticle"/>
        <w:jc w:val="both"/>
        <w:rPr>
          <w:i w:val="0"/>
          <w:iCs/>
          <w:noProof/>
        </w:rPr>
      </w:pPr>
      <w:r w:rsidRPr="00582F41">
        <w:rPr>
          <w:i w:val="0"/>
          <w:iCs/>
          <w:noProof/>
        </w:rPr>
        <w:t xml:space="preserve">The </w:t>
      </w:r>
      <w:r w:rsidR="007563A7">
        <w:rPr>
          <w:i w:val="0"/>
          <w:iCs/>
          <w:noProof/>
        </w:rPr>
        <w:t xml:space="preserve">Union shall </w:t>
      </w:r>
      <w:r w:rsidR="005F6AED">
        <w:rPr>
          <w:i w:val="0"/>
          <w:iCs/>
          <w:noProof/>
        </w:rPr>
        <w:t>agree to</w:t>
      </w:r>
      <w:r w:rsidR="007563A7">
        <w:rPr>
          <w:i w:val="0"/>
          <w:iCs/>
          <w:noProof/>
        </w:rPr>
        <w:t xml:space="preserve"> the </w:t>
      </w:r>
      <w:r w:rsidRPr="00582F41">
        <w:rPr>
          <w:i w:val="0"/>
          <w:iCs/>
          <w:noProof/>
        </w:rPr>
        <w:t xml:space="preserve">adoption of the recommendation on the phasing out of dolly ropes </w:t>
      </w:r>
      <w:r w:rsidR="004E2022" w:rsidRPr="00582F41">
        <w:rPr>
          <w:i w:val="0"/>
          <w:iCs/>
          <w:noProof/>
        </w:rPr>
        <w:t xml:space="preserve">serving </w:t>
      </w:r>
      <w:r w:rsidRPr="00582F41">
        <w:rPr>
          <w:i w:val="0"/>
          <w:iCs/>
          <w:noProof/>
        </w:rPr>
        <w:t>as chafing gear</w:t>
      </w:r>
      <w:r w:rsidR="007563A7">
        <w:rPr>
          <w:i w:val="0"/>
          <w:iCs/>
          <w:noProof/>
        </w:rPr>
        <w:t xml:space="preserve"> within the OSPAR Commission</w:t>
      </w:r>
      <w:r w:rsidRPr="00582F41">
        <w:rPr>
          <w:i w:val="0"/>
          <w:iCs/>
          <w:noProof/>
        </w:rPr>
        <w:t>.</w:t>
      </w:r>
    </w:p>
    <w:p w:rsidR="00CF3A33" w:rsidRPr="00582F41" w:rsidRDefault="00CF3A33" w:rsidP="000D2AA9">
      <w:pPr>
        <w:pStyle w:val="Titrearticle"/>
        <w:rPr>
          <w:i w:val="0"/>
          <w:noProof/>
          <w:color w:val="008000"/>
        </w:rPr>
      </w:pPr>
      <w:r w:rsidRPr="00582F41">
        <w:rPr>
          <w:noProof/>
        </w:rPr>
        <w:t xml:space="preserve">Article </w:t>
      </w:r>
      <w:r w:rsidR="00615805" w:rsidRPr="00582F41">
        <w:rPr>
          <w:noProof/>
        </w:rPr>
        <w:t>2</w:t>
      </w:r>
    </w:p>
    <w:p w:rsidR="008F7B32" w:rsidRPr="008F7B32" w:rsidRDefault="008F7B32" w:rsidP="008F7B32">
      <w:pPr>
        <w:rPr>
          <w:noProof/>
          <w:lang w:val="en-IE"/>
        </w:rPr>
      </w:pPr>
      <w:r w:rsidRPr="008F7B32">
        <w:rPr>
          <w:noProof/>
          <w:lang w:val="en-IE"/>
        </w:rPr>
        <w:t>Minor technical changes to the position set out in</w:t>
      </w:r>
      <w:r>
        <w:rPr>
          <w:noProof/>
          <w:lang w:val="en-IE"/>
        </w:rPr>
        <w:t xml:space="preserve"> </w:t>
      </w:r>
      <w:r w:rsidRPr="008F7B32">
        <w:rPr>
          <w:noProof/>
          <w:lang w:val="en-IE"/>
        </w:rPr>
        <w:t xml:space="preserve">Article </w:t>
      </w:r>
      <w:r>
        <w:rPr>
          <w:noProof/>
          <w:lang w:val="en-IE"/>
        </w:rPr>
        <w:t>1</w:t>
      </w:r>
      <w:r w:rsidRPr="008F7B32">
        <w:rPr>
          <w:noProof/>
          <w:lang w:val="en-IE"/>
        </w:rPr>
        <w:t xml:space="preserve"> may be agreed upon without a further decision of the Council.</w:t>
      </w:r>
    </w:p>
    <w:p w:rsidR="000D2AA9" w:rsidRDefault="000D2AA9" w:rsidP="000D2AA9">
      <w:pPr>
        <w:rPr>
          <w:noProof/>
        </w:rPr>
      </w:pPr>
      <w:r w:rsidRPr="00CC0135">
        <w:rPr>
          <w:noProof/>
        </w:rPr>
        <w:t xml:space="preserve"> </w:t>
      </w:r>
    </w:p>
    <w:p w:rsidR="008F7B32" w:rsidRPr="008F7B32" w:rsidRDefault="008F7B32" w:rsidP="009E62BB">
      <w:pPr>
        <w:jc w:val="center"/>
        <w:rPr>
          <w:i/>
          <w:noProof/>
          <w:lang w:val="en-IE"/>
        </w:rPr>
      </w:pPr>
      <w:r w:rsidRPr="008F7B32">
        <w:rPr>
          <w:i/>
          <w:noProof/>
          <w:lang w:val="en-IE"/>
        </w:rPr>
        <w:t xml:space="preserve">Article </w:t>
      </w:r>
      <w:r>
        <w:rPr>
          <w:i/>
          <w:noProof/>
          <w:lang w:val="en-IE"/>
        </w:rPr>
        <w:t>3</w:t>
      </w:r>
    </w:p>
    <w:p w:rsidR="008F7B32" w:rsidRPr="008F7B32" w:rsidRDefault="008F7B32" w:rsidP="008F7B32">
      <w:pPr>
        <w:rPr>
          <w:noProof/>
          <w:lang w:val="en-IE"/>
        </w:rPr>
      </w:pPr>
      <w:r w:rsidRPr="008F7B32">
        <w:rPr>
          <w:noProof/>
          <w:lang w:val="en-IE"/>
        </w:rPr>
        <w:t>This Decision shall enter into force on</w:t>
      </w:r>
      <w:r>
        <w:rPr>
          <w:noProof/>
          <w:lang w:val="en-IE"/>
        </w:rPr>
        <w:t xml:space="preserve"> the date of its adoption</w:t>
      </w:r>
      <w:r w:rsidRPr="008F7B32">
        <w:rPr>
          <w:noProof/>
          <w:lang w:val="en-IE"/>
        </w:rPr>
        <w:t>.</w:t>
      </w:r>
    </w:p>
    <w:p w:rsidR="008F7B32" w:rsidRPr="008F7B32" w:rsidRDefault="008F7B32" w:rsidP="000D2AA9">
      <w:pPr>
        <w:rPr>
          <w:noProof/>
          <w:lang w:val="en-IE"/>
        </w:rPr>
      </w:pPr>
    </w:p>
    <w:p w:rsidR="00CF3A33" w:rsidRPr="00582F41" w:rsidRDefault="00CF3A33" w:rsidP="00652E4B">
      <w:pPr>
        <w:pStyle w:val="Fait"/>
        <w:rPr>
          <w:noProof/>
        </w:rPr>
      </w:pPr>
      <w:r>
        <w:rPr>
          <w:noProof/>
        </w:rPr>
        <w:t>Done at Brussels,</w:t>
      </w:r>
    </w:p>
    <w:p w:rsidR="00CF3A33" w:rsidRPr="00582F41" w:rsidRDefault="00CF3A33" w:rsidP="00652E4B">
      <w:pPr>
        <w:pStyle w:val="Institutionquisigne"/>
        <w:rPr>
          <w:noProof/>
        </w:rPr>
      </w:pPr>
      <w:r w:rsidRPr="00582F41">
        <w:rPr>
          <w:noProof/>
        </w:rPr>
        <w:tab/>
        <w:t>For the Council</w:t>
      </w:r>
    </w:p>
    <w:p w:rsidR="00CF3A33" w:rsidRPr="00CF3A33" w:rsidRDefault="00CF3A33" w:rsidP="00CF3A33">
      <w:pPr>
        <w:pStyle w:val="Personnequisigne"/>
        <w:rPr>
          <w:noProof/>
        </w:rPr>
      </w:pPr>
      <w:r w:rsidRPr="00582F41">
        <w:rPr>
          <w:noProof/>
        </w:rPr>
        <w:tab/>
        <w:t>The President</w:t>
      </w:r>
    </w:p>
    <w:sectPr w:rsidR="00CF3A33" w:rsidRPr="00CF3A33" w:rsidSect="0064292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A92" w:rsidRDefault="00254A92" w:rsidP="00CF3A33">
      <w:pPr>
        <w:spacing w:before="0" w:after="0"/>
      </w:pPr>
      <w:r>
        <w:separator/>
      </w:r>
    </w:p>
  </w:endnote>
  <w:endnote w:type="continuationSeparator" w:id="0">
    <w:p w:rsidR="00254A92" w:rsidRDefault="00254A92" w:rsidP="00CF3A3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925" w:rsidRPr="00642925" w:rsidRDefault="00642925" w:rsidP="00642925">
    <w:pPr>
      <w:pStyle w:val="Footer"/>
      <w:rPr>
        <w:rFonts w:ascii="Arial" w:hAnsi="Arial" w:cs="Arial"/>
        <w:b/>
        <w:sz w:val="48"/>
      </w:rPr>
    </w:pPr>
    <w:r w:rsidRPr="00642925">
      <w:rPr>
        <w:rFonts w:ascii="Arial" w:hAnsi="Arial" w:cs="Arial"/>
        <w:b/>
        <w:sz w:val="48"/>
      </w:rPr>
      <w:t>EN</w:t>
    </w:r>
    <w:r w:rsidRPr="00642925">
      <w:rPr>
        <w:rFonts w:ascii="Arial" w:hAnsi="Arial" w:cs="Arial"/>
        <w:b/>
        <w:sz w:val="48"/>
      </w:rPr>
      <w:tab/>
    </w:r>
    <w:r w:rsidRPr="00642925">
      <w:rPr>
        <w:rFonts w:ascii="Arial" w:hAnsi="Arial" w:cs="Arial"/>
        <w:b/>
        <w:sz w:val="48"/>
      </w:rPr>
      <w:tab/>
    </w:r>
    <w:r w:rsidRPr="00642925">
      <w:tab/>
    </w:r>
    <w:r w:rsidRPr="0064292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925" w:rsidRPr="00642925" w:rsidRDefault="00642925" w:rsidP="00642925">
    <w:pPr>
      <w:pStyle w:val="Footer"/>
      <w:rPr>
        <w:rFonts w:ascii="Arial" w:hAnsi="Arial" w:cs="Arial"/>
        <w:b/>
        <w:sz w:val="48"/>
      </w:rPr>
    </w:pPr>
    <w:r w:rsidRPr="00642925">
      <w:rPr>
        <w:rFonts w:ascii="Arial" w:hAnsi="Arial" w:cs="Arial"/>
        <w:b/>
        <w:sz w:val="48"/>
      </w:rPr>
      <w:t>EN</w:t>
    </w:r>
    <w:r w:rsidRPr="00642925">
      <w:rPr>
        <w:rFonts w:ascii="Arial" w:hAnsi="Arial" w:cs="Arial"/>
        <w:b/>
        <w:sz w:val="48"/>
      </w:rPr>
      <w:tab/>
    </w:r>
    <w:r w:rsidRPr="00642925">
      <w:rPr>
        <w:rFonts w:ascii="Arial" w:hAnsi="Arial" w:cs="Arial"/>
        <w:b/>
        <w:sz w:val="48"/>
      </w:rPr>
      <w:tab/>
    </w:r>
    <w:r w:rsidRPr="00642925">
      <w:tab/>
    </w:r>
    <w:r w:rsidRPr="0064292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925" w:rsidRDefault="006429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925" w:rsidRPr="00642925" w:rsidRDefault="00642925" w:rsidP="00642925">
    <w:pPr>
      <w:pStyle w:val="Footer"/>
      <w:rPr>
        <w:rFonts w:ascii="Arial" w:hAnsi="Arial" w:cs="Arial"/>
        <w:b/>
        <w:sz w:val="48"/>
      </w:rPr>
    </w:pPr>
    <w:r w:rsidRPr="00642925">
      <w:rPr>
        <w:rFonts w:ascii="Arial" w:hAnsi="Arial" w:cs="Arial"/>
        <w:b/>
        <w:sz w:val="48"/>
      </w:rPr>
      <w:t>EN</w:t>
    </w:r>
    <w:r w:rsidRPr="00642925">
      <w:rPr>
        <w:rFonts w:ascii="Arial" w:hAnsi="Arial" w:cs="Arial"/>
        <w:b/>
        <w:sz w:val="48"/>
      </w:rPr>
      <w:tab/>
    </w:r>
    <w:r>
      <w:fldChar w:fldCharType="begin"/>
    </w:r>
    <w:r>
      <w:instrText xml:space="preserve"> PAGE  \* MERGEFORMAT </w:instrText>
    </w:r>
    <w:r>
      <w:fldChar w:fldCharType="separate"/>
    </w:r>
    <w:r w:rsidR="00652E4B">
      <w:rPr>
        <w:noProof/>
      </w:rPr>
      <w:t>5</w:t>
    </w:r>
    <w:r>
      <w:fldChar w:fldCharType="end"/>
    </w:r>
    <w:r>
      <w:tab/>
    </w:r>
    <w:r w:rsidRPr="00642925">
      <w:tab/>
    </w:r>
    <w:r w:rsidRPr="00642925">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925" w:rsidRDefault="00642925" w:rsidP="006429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A92" w:rsidRDefault="00254A92" w:rsidP="00CF3A33">
      <w:pPr>
        <w:spacing w:before="0" w:after="0"/>
      </w:pPr>
      <w:r>
        <w:separator/>
      </w:r>
    </w:p>
  </w:footnote>
  <w:footnote w:type="continuationSeparator" w:id="0">
    <w:p w:rsidR="00254A92" w:rsidRDefault="00254A92" w:rsidP="00CF3A33">
      <w:pPr>
        <w:spacing w:before="0" w:after="0"/>
      </w:pPr>
      <w:r>
        <w:continuationSeparator/>
      </w:r>
    </w:p>
  </w:footnote>
  <w:footnote w:id="1">
    <w:p w:rsidR="00CF3A33" w:rsidRPr="00B035F8" w:rsidRDefault="00CF3A33" w:rsidP="00736AA9">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925" w:rsidRDefault="006429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925" w:rsidRDefault="006429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9EA9BF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77028C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6C463F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5D09B7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B3D4A0C"/>
    <w:multiLevelType w:val="hybridMultilevel"/>
    <w:tmpl w:val="69042F36"/>
    <w:lvl w:ilvl="0" w:tplc="7E96B36E">
      <w:start w:val="1"/>
      <w:numFmt w:val="decimal"/>
      <w:lvlText w:val="%1."/>
      <w:lvlJc w:val="left"/>
      <w:pPr>
        <w:ind w:left="36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DF07B6"/>
    <w:multiLevelType w:val="hybridMultilevel"/>
    <w:tmpl w:val="E294CE6C"/>
    <w:lvl w:ilvl="0" w:tplc="B0008FAE">
      <w:start w:val="1"/>
      <w:numFmt w:val="decimal"/>
      <w:lvlText w:val="(%1)"/>
      <w:lvlJc w:val="left"/>
      <w:pPr>
        <w:ind w:left="824" w:hanging="708"/>
      </w:pPr>
      <w:rPr>
        <w:rFonts w:ascii="Times New Roman" w:eastAsia="Times New Roman" w:hAnsi="Times New Roman" w:cs="Times New Roman" w:hint="default"/>
        <w:b w:val="0"/>
        <w:bCs w:val="0"/>
        <w:i w:val="0"/>
        <w:iCs w:val="0"/>
        <w:spacing w:val="0"/>
        <w:w w:val="100"/>
        <w:sz w:val="24"/>
        <w:szCs w:val="24"/>
        <w:lang w:val="en-US" w:eastAsia="en-US" w:bidi="ar-SA"/>
      </w:rPr>
    </w:lvl>
    <w:lvl w:ilvl="1" w:tplc="852A454C">
      <w:numFmt w:val="bullet"/>
      <w:lvlText w:val="•"/>
      <w:lvlJc w:val="left"/>
      <w:pPr>
        <w:ind w:left="1668" w:hanging="708"/>
      </w:pPr>
      <w:rPr>
        <w:lang w:val="en-US" w:eastAsia="en-US" w:bidi="ar-SA"/>
      </w:rPr>
    </w:lvl>
    <w:lvl w:ilvl="2" w:tplc="ED849502">
      <w:numFmt w:val="bullet"/>
      <w:lvlText w:val="•"/>
      <w:lvlJc w:val="left"/>
      <w:pPr>
        <w:ind w:left="2517" w:hanging="708"/>
      </w:pPr>
      <w:rPr>
        <w:lang w:val="en-US" w:eastAsia="en-US" w:bidi="ar-SA"/>
      </w:rPr>
    </w:lvl>
    <w:lvl w:ilvl="3" w:tplc="070E27A6">
      <w:numFmt w:val="bullet"/>
      <w:lvlText w:val="•"/>
      <w:lvlJc w:val="left"/>
      <w:pPr>
        <w:ind w:left="3365" w:hanging="708"/>
      </w:pPr>
      <w:rPr>
        <w:lang w:val="en-US" w:eastAsia="en-US" w:bidi="ar-SA"/>
      </w:rPr>
    </w:lvl>
    <w:lvl w:ilvl="4" w:tplc="8E68C2B4">
      <w:numFmt w:val="bullet"/>
      <w:lvlText w:val="•"/>
      <w:lvlJc w:val="left"/>
      <w:pPr>
        <w:ind w:left="4214" w:hanging="708"/>
      </w:pPr>
      <w:rPr>
        <w:lang w:val="en-US" w:eastAsia="en-US" w:bidi="ar-SA"/>
      </w:rPr>
    </w:lvl>
    <w:lvl w:ilvl="5" w:tplc="E4F06BF8">
      <w:numFmt w:val="bullet"/>
      <w:lvlText w:val="•"/>
      <w:lvlJc w:val="left"/>
      <w:pPr>
        <w:ind w:left="5063" w:hanging="708"/>
      </w:pPr>
      <w:rPr>
        <w:lang w:val="en-US" w:eastAsia="en-US" w:bidi="ar-SA"/>
      </w:rPr>
    </w:lvl>
    <w:lvl w:ilvl="6" w:tplc="6E58B906">
      <w:numFmt w:val="bullet"/>
      <w:lvlText w:val="•"/>
      <w:lvlJc w:val="left"/>
      <w:pPr>
        <w:ind w:left="5911" w:hanging="708"/>
      </w:pPr>
      <w:rPr>
        <w:lang w:val="en-US" w:eastAsia="en-US" w:bidi="ar-SA"/>
      </w:rPr>
    </w:lvl>
    <w:lvl w:ilvl="7" w:tplc="A8BCD420">
      <w:numFmt w:val="bullet"/>
      <w:lvlText w:val="•"/>
      <w:lvlJc w:val="left"/>
      <w:pPr>
        <w:ind w:left="6760" w:hanging="708"/>
      </w:pPr>
      <w:rPr>
        <w:lang w:val="en-US" w:eastAsia="en-US" w:bidi="ar-SA"/>
      </w:rPr>
    </w:lvl>
    <w:lvl w:ilvl="8" w:tplc="613CC044">
      <w:numFmt w:val="bullet"/>
      <w:lvlText w:val="•"/>
      <w:lvlJc w:val="left"/>
      <w:pPr>
        <w:ind w:left="7609" w:hanging="708"/>
      </w:pPr>
      <w:rPr>
        <w:lang w:val="en-US" w:eastAsia="en-US" w:bidi="ar-SA"/>
      </w:r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num>
  <w:num w:numId="7">
    <w:abstractNumId w:val="17"/>
  </w:num>
  <w:num w:numId="8">
    <w:abstractNumId w:val="10"/>
  </w:num>
  <w:num w:numId="9">
    <w:abstractNumId w:val="19"/>
  </w:num>
  <w:num w:numId="10">
    <w:abstractNumId w:val="8"/>
  </w:num>
  <w:num w:numId="11">
    <w:abstractNumId w:val="11"/>
  </w:num>
  <w:num w:numId="12">
    <w:abstractNumId w:val="12"/>
  </w:num>
  <w:num w:numId="13">
    <w:abstractNumId w:val="6"/>
  </w:num>
  <w:num w:numId="14">
    <w:abstractNumId w:val="18"/>
  </w:num>
  <w:num w:numId="15">
    <w:abstractNumId w:val="5"/>
  </w:num>
  <w:num w:numId="16">
    <w:abstractNumId w:val="13"/>
  </w:num>
  <w:num w:numId="17">
    <w:abstractNumId w:val="15"/>
  </w:num>
  <w:num w:numId="18">
    <w:abstractNumId w:val="16"/>
  </w:num>
  <w:num w:numId="19">
    <w:abstractNumId w:val="7"/>
  </w:num>
  <w:num w:numId="20">
    <w:abstractNumId w:val="14"/>
  </w:num>
  <w:num w:numId="21">
    <w:abstractNumId w:val="20"/>
  </w:num>
  <w:num w:numId="22">
    <w:abstractNumId w:val="9"/>
    <w:lvlOverride w:ilvl="0">
      <w:startOverride w:val="1"/>
    </w:lvlOverride>
    <w:lvlOverride w:ilvl="1"/>
    <w:lvlOverride w:ilvl="2"/>
    <w:lvlOverride w:ilvl="3"/>
    <w:lvlOverride w:ilvl="4"/>
    <w:lvlOverride w:ilvl="5"/>
    <w:lvlOverride w:ilvl="6"/>
    <w:lvlOverride w:ilvl="7"/>
    <w:lvlOverride w:ilvl="8"/>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0"/>
  </w:num>
  <w:num w:numId="26">
    <w:abstractNumId w:val="19"/>
  </w:num>
  <w:num w:numId="27">
    <w:abstractNumId w:val="8"/>
  </w:num>
  <w:num w:numId="28">
    <w:abstractNumId w:val="11"/>
  </w:num>
  <w:num w:numId="29">
    <w:abstractNumId w:val="12"/>
  </w:num>
  <w:num w:numId="30">
    <w:abstractNumId w:val="6"/>
  </w:num>
  <w:num w:numId="31">
    <w:abstractNumId w:val="18"/>
  </w:num>
  <w:num w:numId="32">
    <w:abstractNumId w:val="5"/>
  </w:num>
  <w:num w:numId="33">
    <w:abstractNumId w:val="13"/>
  </w:num>
  <w:num w:numId="34">
    <w:abstractNumId w:val="15"/>
  </w:num>
  <w:num w:numId="35">
    <w:abstractNumId w:val="16"/>
  </w:num>
  <w:num w:numId="36">
    <w:abstractNumId w:val="7"/>
  </w:num>
  <w:num w:numId="37">
    <w:abstractNumId w:val="14"/>
  </w:num>
  <w:num w:numId="38">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0 21:24: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DDF2EC2-3B15-4C4C-91EA-807F4E6BB746"/>
    <w:docVar w:name="LW_COVERPAGE_TYPE" w:val="1"/>
    <w:docVar w:name="LW_CreatedUtc" w:val="2026-03-09T14:47:05.1709005Z"/>
    <w:docVar w:name="LW_CROSSREFERENCE" w:val="&lt;UNUSED&gt;"/>
    <w:docVar w:name="LW_DocType" w:val="COM"/>
    <w:docVar w:name="LW_EMISSION" w:val="23.4.2026"/>
    <w:docVar w:name="LW_EMISSION_ISODATE" w:val="2026-04-23"/>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94"/>
    <w:docVar w:name="LW_REF.II.NEW.CP_YEAR" w:val="2026"/>
    <w:docVar w:name="LW_REF.INST.NEW" w:val="COM"/>
    <w:docVar w:name="LW_REF.INST.NEW_ADOPTED" w:val="final"/>
    <w:docVar w:name="LW_REF.INST.NEW_TEXT" w:val="(2026) 1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Convention for the Protection of the Marine Environment of the North-East Atlantic at the OSPAR Commission meeting of June 2026"/>
    <w:docVar w:name="LW_TYPE.DOC.CP" w:val="COUNCIL DECISION"/>
    <w:docVar w:name="LwApiVersions" w:val="LW4CoDe 1.24.5.0; LW 9.2, Build 20251112"/>
  </w:docVars>
  <w:rsids>
    <w:rsidRoot w:val="00CF3A33"/>
    <w:rsid w:val="0001397F"/>
    <w:rsid w:val="00046BB1"/>
    <w:rsid w:val="0008782D"/>
    <w:rsid w:val="000D2AA9"/>
    <w:rsid w:val="000E689F"/>
    <w:rsid w:val="000F6363"/>
    <w:rsid w:val="00100FED"/>
    <w:rsid w:val="00105203"/>
    <w:rsid w:val="001065F5"/>
    <w:rsid w:val="001238EF"/>
    <w:rsid w:val="00154CB1"/>
    <w:rsid w:val="00166533"/>
    <w:rsid w:val="00176486"/>
    <w:rsid w:val="00197613"/>
    <w:rsid w:val="00233DC7"/>
    <w:rsid w:val="00247779"/>
    <w:rsid w:val="00254A92"/>
    <w:rsid w:val="00285BEE"/>
    <w:rsid w:val="0029533F"/>
    <w:rsid w:val="002B30AF"/>
    <w:rsid w:val="002D4CA6"/>
    <w:rsid w:val="002D6D8A"/>
    <w:rsid w:val="003007BA"/>
    <w:rsid w:val="0033344A"/>
    <w:rsid w:val="00334DCF"/>
    <w:rsid w:val="00344517"/>
    <w:rsid w:val="00360B8E"/>
    <w:rsid w:val="003970EB"/>
    <w:rsid w:val="003977AC"/>
    <w:rsid w:val="003B003E"/>
    <w:rsid w:val="004162C2"/>
    <w:rsid w:val="0042648E"/>
    <w:rsid w:val="00480769"/>
    <w:rsid w:val="00482FE5"/>
    <w:rsid w:val="004936D2"/>
    <w:rsid w:val="004D4DFA"/>
    <w:rsid w:val="004E2022"/>
    <w:rsid w:val="00582F41"/>
    <w:rsid w:val="0058410B"/>
    <w:rsid w:val="005A2004"/>
    <w:rsid w:val="005B1EB6"/>
    <w:rsid w:val="005D1F90"/>
    <w:rsid w:val="005F45F3"/>
    <w:rsid w:val="005F6AED"/>
    <w:rsid w:val="00615805"/>
    <w:rsid w:val="00642925"/>
    <w:rsid w:val="00642C60"/>
    <w:rsid w:val="00652E4B"/>
    <w:rsid w:val="00666C7C"/>
    <w:rsid w:val="006840B8"/>
    <w:rsid w:val="00711534"/>
    <w:rsid w:val="00714C00"/>
    <w:rsid w:val="00725950"/>
    <w:rsid w:val="00743913"/>
    <w:rsid w:val="007563A7"/>
    <w:rsid w:val="00760671"/>
    <w:rsid w:val="00773331"/>
    <w:rsid w:val="00785C65"/>
    <w:rsid w:val="007932EF"/>
    <w:rsid w:val="007A4EB3"/>
    <w:rsid w:val="007A637B"/>
    <w:rsid w:val="007A7DD7"/>
    <w:rsid w:val="007C1D7D"/>
    <w:rsid w:val="007D2469"/>
    <w:rsid w:val="007E05B0"/>
    <w:rsid w:val="00822C45"/>
    <w:rsid w:val="00822F71"/>
    <w:rsid w:val="00823B4B"/>
    <w:rsid w:val="00833D19"/>
    <w:rsid w:val="00874D22"/>
    <w:rsid w:val="008A2914"/>
    <w:rsid w:val="008E4D8E"/>
    <w:rsid w:val="008F0224"/>
    <w:rsid w:val="008F1437"/>
    <w:rsid w:val="008F7B32"/>
    <w:rsid w:val="00927DE0"/>
    <w:rsid w:val="009D6C17"/>
    <w:rsid w:val="009E0B39"/>
    <w:rsid w:val="009E5E61"/>
    <w:rsid w:val="009E62BB"/>
    <w:rsid w:val="00A04FED"/>
    <w:rsid w:val="00A1770E"/>
    <w:rsid w:val="00A47998"/>
    <w:rsid w:val="00A91EFD"/>
    <w:rsid w:val="00AA20E3"/>
    <w:rsid w:val="00B63477"/>
    <w:rsid w:val="00BB00C3"/>
    <w:rsid w:val="00BB6447"/>
    <w:rsid w:val="00C116A2"/>
    <w:rsid w:val="00C12301"/>
    <w:rsid w:val="00C41837"/>
    <w:rsid w:val="00C50AF7"/>
    <w:rsid w:val="00C63650"/>
    <w:rsid w:val="00CC0135"/>
    <w:rsid w:val="00CF3A33"/>
    <w:rsid w:val="00D20381"/>
    <w:rsid w:val="00D73E6D"/>
    <w:rsid w:val="00D750B4"/>
    <w:rsid w:val="00DB17F0"/>
    <w:rsid w:val="00DD0CBA"/>
    <w:rsid w:val="00DD5C20"/>
    <w:rsid w:val="00E664ED"/>
    <w:rsid w:val="00E979FA"/>
    <w:rsid w:val="00F550E4"/>
    <w:rsid w:val="00F746F8"/>
    <w:rsid w:val="00F75D09"/>
    <w:rsid w:val="00F8754E"/>
    <w:rsid w:val="00FA0BF8"/>
    <w:rsid w:val="00FC38F8"/>
    <w:rsid w:val="00FC7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2D735B-7FE1-42D5-B88E-1343F1D93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63650"/>
    <w:rPr>
      <w:sz w:val="16"/>
      <w:szCs w:val="16"/>
    </w:rPr>
  </w:style>
  <w:style w:type="paragraph" w:styleId="CommentText">
    <w:name w:val="annotation text"/>
    <w:basedOn w:val="Normal"/>
    <w:link w:val="CommentTextChar"/>
    <w:uiPriority w:val="99"/>
    <w:unhideWhenUsed/>
    <w:rsid w:val="00C63650"/>
    <w:rPr>
      <w:sz w:val="20"/>
      <w:szCs w:val="20"/>
    </w:rPr>
  </w:style>
  <w:style w:type="character" w:customStyle="1" w:styleId="CommentTextChar">
    <w:name w:val="Comment Text Char"/>
    <w:basedOn w:val="DefaultParagraphFont"/>
    <w:link w:val="CommentText"/>
    <w:uiPriority w:val="99"/>
    <w:rsid w:val="00C63650"/>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63650"/>
    <w:rPr>
      <w:b/>
      <w:bCs/>
    </w:rPr>
  </w:style>
  <w:style w:type="character" w:customStyle="1" w:styleId="CommentSubjectChar">
    <w:name w:val="Comment Subject Char"/>
    <w:basedOn w:val="CommentTextChar"/>
    <w:link w:val="CommentSubject"/>
    <w:uiPriority w:val="99"/>
    <w:semiHidden/>
    <w:rsid w:val="00C63650"/>
    <w:rPr>
      <w:rFonts w:ascii="Times New Roman" w:hAnsi="Times New Roman" w:cs="Times New Roman"/>
      <w:b/>
      <w:bCs/>
      <w:sz w:val="20"/>
      <w:szCs w:val="20"/>
      <w:lang w:val="en-GB"/>
    </w:rPr>
  </w:style>
  <w:style w:type="paragraph" w:styleId="Revision">
    <w:name w:val="Revision"/>
    <w:hidden/>
    <w:uiPriority w:val="99"/>
    <w:semiHidden/>
    <w:rsid w:val="009E0B39"/>
    <w:pPr>
      <w:spacing w:after="0" w:line="240" w:lineRule="auto"/>
    </w:pPr>
    <w:rPr>
      <w:rFonts w:ascii="Times New Roman" w:hAnsi="Times New Roman" w:cs="Times New Roman"/>
      <w:sz w:val="24"/>
      <w:lang w:val="en-GB"/>
    </w:rPr>
  </w:style>
  <w:style w:type="paragraph" w:styleId="ListBullet">
    <w:name w:val="List Bullet"/>
    <w:basedOn w:val="Normal"/>
    <w:uiPriority w:val="99"/>
    <w:semiHidden/>
    <w:unhideWhenUsed/>
    <w:rsid w:val="00B63477"/>
    <w:pPr>
      <w:numPr>
        <w:numId w:val="1"/>
      </w:numPr>
      <w:contextualSpacing/>
    </w:pPr>
  </w:style>
  <w:style w:type="paragraph" w:styleId="ListBullet2">
    <w:name w:val="List Bullet 2"/>
    <w:basedOn w:val="Normal"/>
    <w:uiPriority w:val="99"/>
    <w:semiHidden/>
    <w:unhideWhenUsed/>
    <w:rsid w:val="00B63477"/>
    <w:pPr>
      <w:numPr>
        <w:numId w:val="2"/>
      </w:numPr>
      <w:contextualSpacing/>
    </w:pPr>
  </w:style>
  <w:style w:type="paragraph" w:styleId="ListBullet3">
    <w:name w:val="List Bullet 3"/>
    <w:basedOn w:val="Normal"/>
    <w:uiPriority w:val="99"/>
    <w:semiHidden/>
    <w:unhideWhenUsed/>
    <w:rsid w:val="00B63477"/>
    <w:pPr>
      <w:numPr>
        <w:numId w:val="3"/>
      </w:numPr>
      <w:contextualSpacing/>
    </w:pPr>
  </w:style>
  <w:style w:type="paragraph" w:styleId="ListBullet4">
    <w:name w:val="List Bullet 4"/>
    <w:basedOn w:val="Normal"/>
    <w:uiPriority w:val="99"/>
    <w:semiHidden/>
    <w:unhideWhenUsed/>
    <w:rsid w:val="00B63477"/>
    <w:pPr>
      <w:numPr>
        <w:numId w:val="4"/>
      </w:numPr>
      <w:contextualSpacing/>
    </w:pPr>
  </w:style>
  <w:style w:type="character" w:styleId="Hyperlink">
    <w:name w:val="Hyperlink"/>
    <w:basedOn w:val="DefaultParagraphFont"/>
    <w:uiPriority w:val="99"/>
    <w:unhideWhenUsed/>
    <w:rsid w:val="00CC0135"/>
    <w:rPr>
      <w:color w:val="0000FF" w:themeColor="hyperlink"/>
      <w:u w:val="single"/>
    </w:rPr>
  </w:style>
  <w:style w:type="character" w:customStyle="1" w:styleId="UnresolvedMention">
    <w:name w:val="Unresolved Mention"/>
    <w:basedOn w:val="DefaultParagraphFont"/>
    <w:uiPriority w:val="99"/>
    <w:semiHidden/>
    <w:unhideWhenUsed/>
    <w:rsid w:val="00CC0135"/>
    <w:rPr>
      <w:color w:val="605E5C"/>
      <w:shd w:val="clear" w:color="auto" w:fill="E1DFDD"/>
    </w:rPr>
  </w:style>
  <w:style w:type="paragraph" w:styleId="ListParagraph">
    <w:name w:val="List Paragraph"/>
    <w:basedOn w:val="Normal"/>
    <w:uiPriority w:val="34"/>
    <w:qFormat/>
    <w:rsid w:val="002D4CA6"/>
    <w:pPr>
      <w:spacing w:before="0" w:after="160" w:line="256" w:lineRule="auto"/>
      <w:ind w:left="720"/>
      <w:contextualSpacing/>
      <w:jc w:val="left"/>
    </w:pPr>
    <w:rPr>
      <w:rFonts w:asciiTheme="minorHAnsi" w:hAnsiTheme="minorHAnsi" w:cstheme="minorBidi"/>
      <w:kern w:val="2"/>
      <w:sz w:val="22"/>
      <w:lang w:val="en-IE"/>
      <w14:ligatures w14:val="standardContextual"/>
    </w:rPr>
  </w:style>
  <w:style w:type="character" w:customStyle="1" w:styleId="HeaderChar">
    <w:name w:val="Header Char"/>
    <w:basedOn w:val="DefaultParagraphFont"/>
    <w:link w:val="Header"/>
    <w:uiPriority w:val="99"/>
    <w:rsid w:val="00642925"/>
    <w:rPr>
      <w:rFonts w:ascii="Times New Roman" w:hAnsi="Times New Roman" w:cs="Times New Roman"/>
      <w:sz w:val="24"/>
      <w:lang w:val="en-GB"/>
    </w:rPr>
  </w:style>
  <w:style w:type="character" w:customStyle="1" w:styleId="FooterChar">
    <w:name w:val="Footer Char"/>
    <w:basedOn w:val="DefaultParagraphFont"/>
    <w:link w:val="Footer"/>
    <w:uiPriority w:val="99"/>
    <w:rsid w:val="0064292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4292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42925"/>
    <w:pPr>
      <w:spacing w:before="0"/>
      <w:jc w:val="right"/>
    </w:pPr>
    <w:rPr>
      <w:sz w:val="28"/>
    </w:rPr>
  </w:style>
  <w:style w:type="paragraph" w:customStyle="1" w:styleId="FooterSensitivity">
    <w:name w:val="Footer Sensitivity"/>
    <w:basedOn w:val="Normal"/>
    <w:rsid w:val="0064292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42925"/>
    <w:pPr>
      <w:tabs>
        <w:tab w:val="center" w:pos="4535"/>
        <w:tab w:val="right" w:pos="9071"/>
      </w:tabs>
      <w:spacing w:before="0"/>
    </w:pPr>
  </w:style>
  <w:style w:type="paragraph" w:customStyle="1" w:styleId="HeaderLandscape">
    <w:name w:val="HeaderLandscape"/>
    <w:basedOn w:val="Normal"/>
    <w:rsid w:val="00642925"/>
    <w:pPr>
      <w:tabs>
        <w:tab w:val="center" w:pos="7285"/>
        <w:tab w:val="right" w:pos="14003"/>
      </w:tabs>
      <w:spacing w:before="0"/>
    </w:pPr>
  </w:style>
  <w:style w:type="paragraph" w:styleId="Footer">
    <w:name w:val="footer"/>
    <w:basedOn w:val="Normal"/>
    <w:link w:val="FooterChar"/>
    <w:uiPriority w:val="99"/>
    <w:unhideWhenUsed/>
    <w:rsid w:val="0064292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4292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12331">
      <w:bodyDiv w:val="1"/>
      <w:marLeft w:val="0"/>
      <w:marRight w:val="0"/>
      <w:marTop w:val="0"/>
      <w:marBottom w:val="0"/>
      <w:divBdr>
        <w:top w:val="none" w:sz="0" w:space="0" w:color="auto"/>
        <w:left w:val="none" w:sz="0" w:space="0" w:color="auto"/>
        <w:bottom w:val="none" w:sz="0" w:space="0" w:color="auto"/>
        <w:right w:val="none" w:sz="0" w:space="0" w:color="auto"/>
      </w:divBdr>
    </w:div>
    <w:div w:id="76295211">
      <w:bodyDiv w:val="1"/>
      <w:marLeft w:val="0"/>
      <w:marRight w:val="0"/>
      <w:marTop w:val="0"/>
      <w:marBottom w:val="0"/>
      <w:divBdr>
        <w:top w:val="none" w:sz="0" w:space="0" w:color="auto"/>
        <w:left w:val="none" w:sz="0" w:space="0" w:color="auto"/>
        <w:bottom w:val="none" w:sz="0" w:space="0" w:color="auto"/>
        <w:right w:val="none" w:sz="0" w:space="0" w:color="auto"/>
      </w:divBdr>
    </w:div>
    <w:div w:id="78792648">
      <w:bodyDiv w:val="1"/>
      <w:marLeft w:val="0"/>
      <w:marRight w:val="0"/>
      <w:marTop w:val="0"/>
      <w:marBottom w:val="0"/>
      <w:divBdr>
        <w:top w:val="none" w:sz="0" w:space="0" w:color="auto"/>
        <w:left w:val="none" w:sz="0" w:space="0" w:color="auto"/>
        <w:bottom w:val="none" w:sz="0" w:space="0" w:color="auto"/>
        <w:right w:val="none" w:sz="0" w:space="0" w:color="auto"/>
      </w:divBdr>
    </w:div>
    <w:div w:id="95756078">
      <w:bodyDiv w:val="1"/>
      <w:marLeft w:val="0"/>
      <w:marRight w:val="0"/>
      <w:marTop w:val="0"/>
      <w:marBottom w:val="0"/>
      <w:divBdr>
        <w:top w:val="none" w:sz="0" w:space="0" w:color="auto"/>
        <w:left w:val="none" w:sz="0" w:space="0" w:color="auto"/>
        <w:bottom w:val="none" w:sz="0" w:space="0" w:color="auto"/>
        <w:right w:val="none" w:sz="0" w:space="0" w:color="auto"/>
      </w:divBdr>
    </w:div>
    <w:div w:id="121729704">
      <w:bodyDiv w:val="1"/>
      <w:marLeft w:val="0"/>
      <w:marRight w:val="0"/>
      <w:marTop w:val="0"/>
      <w:marBottom w:val="0"/>
      <w:divBdr>
        <w:top w:val="none" w:sz="0" w:space="0" w:color="auto"/>
        <w:left w:val="none" w:sz="0" w:space="0" w:color="auto"/>
        <w:bottom w:val="none" w:sz="0" w:space="0" w:color="auto"/>
        <w:right w:val="none" w:sz="0" w:space="0" w:color="auto"/>
      </w:divBdr>
    </w:div>
    <w:div w:id="126629952">
      <w:bodyDiv w:val="1"/>
      <w:marLeft w:val="0"/>
      <w:marRight w:val="0"/>
      <w:marTop w:val="0"/>
      <w:marBottom w:val="0"/>
      <w:divBdr>
        <w:top w:val="none" w:sz="0" w:space="0" w:color="auto"/>
        <w:left w:val="none" w:sz="0" w:space="0" w:color="auto"/>
        <w:bottom w:val="none" w:sz="0" w:space="0" w:color="auto"/>
        <w:right w:val="none" w:sz="0" w:space="0" w:color="auto"/>
      </w:divBdr>
    </w:div>
    <w:div w:id="323820527">
      <w:bodyDiv w:val="1"/>
      <w:marLeft w:val="0"/>
      <w:marRight w:val="0"/>
      <w:marTop w:val="0"/>
      <w:marBottom w:val="0"/>
      <w:divBdr>
        <w:top w:val="none" w:sz="0" w:space="0" w:color="auto"/>
        <w:left w:val="none" w:sz="0" w:space="0" w:color="auto"/>
        <w:bottom w:val="none" w:sz="0" w:space="0" w:color="auto"/>
        <w:right w:val="none" w:sz="0" w:space="0" w:color="auto"/>
      </w:divBdr>
    </w:div>
    <w:div w:id="392848292">
      <w:bodyDiv w:val="1"/>
      <w:marLeft w:val="0"/>
      <w:marRight w:val="0"/>
      <w:marTop w:val="0"/>
      <w:marBottom w:val="0"/>
      <w:divBdr>
        <w:top w:val="none" w:sz="0" w:space="0" w:color="auto"/>
        <w:left w:val="none" w:sz="0" w:space="0" w:color="auto"/>
        <w:bottom w:val="none" w:sz="0" w:space="0" w:color="auto"/>
        <w:right w:val="none" w:sz="0" w:space="0" w:color="auto"/>
      </w:divBdr>
    </w:div>
    <w:div w:id="484706299">
      <w:bodyDiv w:val="1"/>
      <w:marLeft w:val="0"/>
      <w:marRight w:val="0"/>
      <w:marTop w:val="0"/>
      <w:marBottom w:val="0"/>
      <w:divBdr>
        <w:top w:val="none" w:sz="0" w:space="0" w:color="auto"/>
        <w:left w:val="none" w:sz="0" w:space="0" w:color="auto"/>
        <w:bottom w:val="none" w:sz="0" w:space="0" w:color="auto"/>
        <w:right w:val="none" w:sz="0" w:space="0" w:color="auto"/>
      </w:divBdr>
    </w:div>
    <w:div w:id="495076710">
      <w:bodyDiv w:val="1"/>
      <w:marLeft w:val="0"/>
      <w:marRight w:val="0"/>
      <w:marTop w:val="0"/>
      <w:marBottom w:val="0"/>
      <w:divBdr>
        <w:top w:val="none" w:sz="0" w:space="0" w:color="auto"/>
        <w:left w:val="none" w:sz="0" w:space="0" w:color="auto"/>
        <w:bottom w:val="none" w:sz="0" w:space="0" w:color="auto"/>
        <w:right w:val="none" w:sz="0" w:space="0" w:color="auto"/>
      </w:divBdr>
    </w:div>
    <w:div w:id="780763035">
      <w:bodyDiv w:val="1"/>
      <w:marLeft w:val="0"/>
      <w:marRight w:val="0"/>
      <w:marTop w:val="0"/>
      <w:marBottom w:val="0"/>
      <w:divBdr>
        <w:top w:val="none" w:sz="0" w:space="0" w:color="auto"/>
        <w:left w:val="none" w:sz="0" w:space="0" w:color="auto"/>
        <w:bottom w:val="none" w:sz="0" w:space="0" w:color="auto"/>
        <w:right w:val="none" w:sz="0" w:space="0" w:color="auto"/>
      </w:divBdr>
    </w:div>
    <w:div w:id="1006204166">
      <w:bodyDiv w:val="1"/>
      <w:marLeft w:val="0"/>
      <w:marRight w:val="0"/>
      <w:marTop w:val="0"/>
      <w:marBottom w:val="0"/>
      <w:divBdr>
        <w:top w:val="none" w:sz="0" w:space="0" w:color="auto"/>
        <w:left w:val="none" w:sz="0" w:space="0" w:color="auto"/>
        <w:bottom w:val="none" w:sz="0" w:space="0" w:color="auto"/>
        <w:right w:val="none" w:sz="0" w:space="0" w:color="auto"/>
      </w:divBdr>
    </w:div>
    <w:div w:id="1358316869">
      <w:bodyDiv w:val="1"/>
      <w:marLeft w:val="0"/>
      <w:marRight w:val="0"/>
      <w:marTop w:val="0"/>
      <w:marBottom w:val="0"/>
      <w:divBdr>
        <w:top w:val="none" w:sz="0" w:space="0" w:color="auto"/>
        <w:left w:val="none" w:sz="0" w:space="0" w:color="auto"/>
        <w:bottom w:val="none" w:sz="0" w:space="0" w:color="auto"/>
        <w:right w:val="none" w:sz="0" w:space="0" w:color="auto"/>
      </w:divBdr>
    </w:div>
    <w:div w:id="1434477300">
      <w:bodyDiv w:val="1"/>
      <w:marLeft w:val="0"/>
      <w:marRight w:val="0"/>
      <w:marTop w:val="0"/>
      <w:marBottom w:val="0"/>
      <w:divBdr>
        <w:top w:val="none" w:sz="0" w:space="0" w:color="auto"/>
        <w:left w:val="none" w:sz="0" w:space="0" w:color="auto"/>
        <w:bottom w:val="none" w:sz="0" w:space="0" w:color="auto"/>
        <w:right w:val="none" w:sz="0" w:space="0" w:color="auto"/>
      </w:divBdr>
    </w:div>
    <w:div w:id="1733194717">
      <w:bodyDiv w:val="1"/>
      <w:marLeft w:val="0"/>
      <w:marRight w:val="0"/>
      <w:marTop w:val="0"/>
      <w:marBottom w:val="0"/>
      <w:divBdr>
        <w:top w:val="none" w:sz="0" w:space="0" w:color="auto"/>
        <w:left w:val="none" w:sz="0" w:space="0" w:color="auto"/>
        <w:bottom w:val="none" w:sz="0" w:space="0" w:color="auto"/>
        <w:right w:val="none" w:sz="0" w:space="0" w:color="auto"/>
      </w:divBdr>
    </w:div>
    <w:div w:id="1743988895">
      <w:bodyDiv w:val="1"/>
      <w:marLeft w:val="0"/>
      <w:marRight w:val="0"/>
      <w:marTop w:val="0"/>
      <w:marBottom w:val="0"/>
      <w:divBdr>
        <w:top w:val="none" w:sz="0" w:space="0" w:color="auto"/>
        <w:left w:val="none" w:sz="0" w:space="0" w:color="auto"/>
        <w:bottom w:val="none" w:sz="0" w:space="0" w:color="auto"/>
        <w:right w:val="none" w:sz="0" w:space="0" w:color="auto"/>
      </w:divBdr>
    </w:div>
    <w:div w:id="1833400693">
      <w:bodyDiv w:val="1"/>
      <w:marLeft w:val="0"/>
      <w:marRight w:val="0"/>
      <w:marTop w:val="0"/>
      <w:marBottom w:val="0"/>
      <w:divBdr>
        <w:top w:val="none" w:sz="0" w:space="0" w:color="auto"/>
        <w:left w:val="none" w:sz="0" w:space="0" w:color="auto"/>
        <w:bottom w:val="none" w:sz="0" w:space="0" w:color="auto"/>
        <w:right w:val="none" w:sz="0" w:space="0" w:color="auto"/>
      </w:divBdr>
    </w:div>
    <w:div w:id="1933971852">
      <w:bodyDiv w:val="1"/>
      <w:marLeft w:val="0"/>
      <w:marRight w:val="0"/>
      <w:marTop w:val="0"/>
      <w:marBottom w:val="0"/>
      <w:divBdr>
        <w:top w:val="none" w:sz="0" w:space="0" w:color="auto"/>
        <w:left w:val="none" w:sz="0" w:space="0" w:color="auto"/>
        <w:bottom w:val="none" w:sz="0" w:space="0" w:color="auto"/>
        <w:right w:val="none" w:sz="0" w:space="0" w:color="auto"/>
      </w:divBdr>
    </w:div>
    <w:div w:id="2055889834">
      <w:bodyDiv w:val="1"/>
      <w:marLeft w:val="0"/>
      <w:marRight w:val="0"/>
      <w:marTop w:val="0"/>
      <w:marBottom w:val="0"/>
      <w:divBdr>
        <w:top w:val="none" w:sz="0" w:space="0" w:color="auto"/>
        <w:left w:val="none" w:sz="0" w:space="0" w:color="auto"/>
        <w:bottom w:val="none" w:sz="0" w:space="0" w:color="auto"/>
        <w:right w:val="none" w:sz="0" w:space="0" w:color="auto"/>
      </w:divBdr>
    </w:div>
    <w:div w:id="213589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8596E-0CC8-4BD9-AC06-3155D8805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186</TotalTime>
  <Pages>6</Pages>
  <Words>1653</Words>
  <Characters>9426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2026-04-07T08:50:00Z</dcterms:created>
  <dcterms:modified xsi:type="dcterms:W3CDTF">2026-04-20T19:24:00Z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2026-03-09T17:20:15Z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505aa41b-4523-4e11-8505-1560b018ca37</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