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AA6B62" w14:textId="378A7DC6" w:rsidR="002C0A6F" w:rsidRPr="004C259F" w:rsidRDefault="008470AF" w:rsidP="008470AF">
      <w:pPr>
        <w:pStyle w:val="Pagedecouverture"/>
        <w:rPr>
          <w:noProof/>
        </w:rPr>
      </w:pPr>
      <w:bookmarkStart w:id="0" w:name="LW_BM_COVERPAGE"/>
      <w:r>
        <w:rPr>
          <w:noProof/>
        </w:rPr>
        <w:pict w14:anchorId="022DA2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19CC495-0DCB-4565-935D-DAD24DB2058D" style="width:455.25pt;height:300pt">
            <v:imagedata r:id="rId11" o:title=""/>
          </v:shape>
        </w:pict>
      </w:r>
    </w:p>
    <w:bookmarkEnd w:id="0"/>
    <w:p w14:paraId="056DA6C3" w14:textId="77777777" w:rsidR="002C0A6F" w:rsidRPr="004C259F" w:rsidRDefault="002C0A6F" w:rsidP="002C0A6F">
      <w:pPr>
        <w:rPr>
          <w:noProof/>
        </w:rPr>
        <w:sectPr w:rsidR="002C0A6F" w:rsidRPr="004C259F" w:rsidSect="008470AF">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B8FBFE0" w14:textId="70BD0402" w:rsidR="00181B4B" w:rsidRPr="004C259F" w:rsidRDefault="00181B4B" w:rsidP="00C5287D">
      <w:pPr>
        <w:jc w:val="center"/>
        <w:rPr>
          <w:rFonts w:eastAsia="Calibri" w:cs="Times New Roman"/>
          <w:b/>
          <w:bCs/>
          <w:noProof/>
          <w:kern w:val="0"/>
          <w:szCs w:val="24"/>
          <w14:ligatures w14:val="none"/>
        </w:rPr>
      </w:pPr>
      <w:bookmarkStart w:id="1" w:name="_GoBack"/>
      <w:bookmarkEnd w:id="1"/>
      <w:r w:rsidRPr="004C259F">
        <w:rPr>
          <w:rFonts w:eastAsia="Calibri" w:cs="Times New Roman"/>
          <w:b/>
          <w:bCs/>
          <w:noProof/>
          <w:kern w:val="0"/>
          <w:szCs w:val="24"/>
          <w14:ligatures w14:val="none"/>
        </w:rPr>
        <w:lastRenderedPageBreak/>
        <w:t>202</w:t>
      </w:r>
      <w:r w:rsidR="00C5287D" w:rsidRPr="004C259F">
        <w:rPr>
          <w:rFonts w:eastAsia="Calibri" w:cs="Times New Roman"/>
          <w:b/>
          <w:bCs/>
          <w:noProof/>
          <w:kern w:val="0"/>
          <w:szCs w:val="24"/>
          <w14:ligatures w14:val="none"/>
        </w:rPr>
        <w:t>5</w:t>
      </w:r>
      <w:r w:rsidRPr="004C259F">
        <w:rPr>
          <w:rFonts w:eastAsia="Calibri" w:cs="Times New Roman"/>
          <w:b/>
          <w:bCs/>
          <w:noProof/>
          <w:kern w:val="0"/>
          <w:szCs w:val="24"/>
          <w14:ligatures w14:val="none"/>
        </w:rPr>
        <w:t xml:space="preserve"> Report from the European Commission on </w:t>
      </w:r>
      <w:r w:rsidR="0021428F">
        <w:rPr>
          <w:rFonts w:eastAsia="Calibri" w:cs="Times New Roman"/>
          <w:b/>
          <w:bCs/>
          <w:noProof/>
          <w:kern w:val="0"/>
          <w:szCs w:val="24"/>
          <w14:ligatures w14:val="none"/>
        </w:rPr>
        <w:t>g</w:t>
      </w:r>
      <w:r w:rsidR="00C5287D" w:rsidRPr="004C259F">
        <w:rPr>
          <w:rFonts w:eastAsia="Calibri" w:cs="Times New Roman"/>
          <w:b/>
          <w:bCs/>
          <w:noProof/>
          <w:kern w:val="0"/>
          <w:szCs w:val="24"/>
          <w14:ligatures w14:val="none"/>
        </w:rPr>
        <w:t xml:space="preserve">reenhouse </w:t>
      </w:r>
      <w:r w:rsidR="0021428F">
        <w:rPr>
          <w:rFonts w:eastAsia="Calibri" w:cs="Times New Roman"/>
          <w:b/>
          <w:bCs/>
          <w:noProof/>
          <w:kern w:val="0"/>
          <w:szCs w:val="24"/>
          <w14:ligatures w14:val="none"/>
        </w:rPr>
        <w:t>g</w:t>
      </w:r>
      <w:r w:rsidR="00C5287D" w:rsidRPr="004C259F">
        <w:rPr>
          <w:rFonts w:eastAsia="Calibri" w:cs="Times New Roman"/>
          <w:b/>
          <w:bCs/>
          <w:noProof/>
          <w:kern w:val="0"/>
          <w:szCs w:val="24"/>
          <w14:ligatures w14:val="none"/>
        </w:rPr>
        <w:t>as</w:t>
      </w:r>
      <w:r w:rsidRPr="004C259F">
        <w:rPr>
          <w:rFonts w:eastAsia="Calibri" w:cs="Times New Roman"/>
          <w:b/>
          <w:bCs/>
          <w:noProof/>
          <w:kern w:val="0"/>
          <w:szCs w:val="24"/>
          <w14:ligatures w14:val="none"/>
        </w:rPr>
        <w:t xml:space="preserve"> </w:t>
      </w:r>
      <w:r w:rsidR="0021428F">
        <w:rPr>
          <w:rFonts w:eastAsia="Calibri" w:cs="Times New Roman"/>
          <w:b/>
          <w:bCs/>
          <w:noProof/>
          <w:kern w:val="0"/>
          <w:szCs w:val="24"/>
          <w14:ligatures w14:val="none"/>
        </w:rPr>
        <w:t>e</w:t>
      </w:r>
      <w:r w:rsidRPr="004C259F">
        <w:rPr>
          <w:rFonts w:eastAsia="Calibri" w:cs="Times New Roman"/>
          <w:b/>
          <w:bCs/>
          <w:noProof/>
          <w:kern w:val="0"/>
          <w:szCs w:val="24"/>
          <w14:ligatures w14:val="none"/>
        </w:rPr>
        <w:t xml:space="preserve">missions from </w:t>
      </w:r>
      <w:r w:rsidR="0021428F">
        <w:rPr>
          <w:rFonts w:eastAsia="Calibri" w:cs="Times New Roman"/>
          <w:b/>
          <w:bCs/>
          <w:noProof/>
          <w:kern w:val="0"/>
          <w:szCs w:val="24"/>
          <w14:ligatures w14:val="none"/>
        </w:rPr>
        <w:t>m</w:t>
      </w:r>
      <w:r w:rsidRPr="004C259F">
        <w:rPr>
          <w:rFonts w:eastAsia="Calibri" w:cs="Times New Roman"/>
          <w:b/>
          <w:bCs/>
          <w:noProof/>
          <w:kern w:val="0"/>
          <w:szCs w:val="24"/>
          <w14:ligatures w14:val="none"/>
        </w:rPr>
        <w:t xml:space="preserve">aritime </w:t>
      </w:r>
      <w:r w:rsidR="0021428F">
        <w:rPr>
          <w:rFonts w:eastAsia="Calibri" w:cs="Times New Roman"/>
          <w:b/>
          <w:bCs/>
          <w:noProof/>
          <w:kern w:val="0"/>
          <w:szCs w:val="24"/>
          <w14:ligatures w14:val="none"/>
        </w:rPr>
        <w:t>t</w:t>
      </w:r>
      <w:r w:rsidRPr="004C259F">
        <w:rPr>
          <w:rFonts w:eastAsia="Calibri" w:cs="Times New Roman"/>
          <w:b/>
          <w:bCs/>
          <w:noProof/>
          <w:kern w:val="0"/>
          <w:szCs w:val="24"/>
          <w14:ligatures w14:val="none"/>
        </w:rPr>
        <w:t>ransport</w:t>
      </w:r>
    </w:p>
    <w:p w14:paraId="1D395047" w14:textId="3C1E4482" w:rsidR="0060179A" w:rsidRPr="004C259F" w:rsidRDefault="00181B4B" w:rsidP="00A17337">
      <w:pPr>
        <w:numPr>
          <w:ilvl w:val="0"/>
          <w:numId w:val="1"/>
        </w:numPr>
        <w:spacing w:after="0" w:line="240" w:lineRule="auto"/>
        <w:contextualSpacing/>
        <w:jc w:val="left"/>
        <w:textAlignment w:val="baseline"/>
        <w:rPr>
          <w:rFonts w:eastAsia="Times New Roman" w:cs="Times New Roman"/>
          <w:b/>
          <w:bCs/>
          <w:noProof/>
          <w:color w:val="000000"/>
          <w:kern w:val="0"/>
          <w:szCs w:val="24"/>
          <w:lang w:eastAsia="en-IE"/>
          <w14:ligatures w14:val="none"/>
        </w:rPr>
      </w:pPr>
      <w:r w:rsidRPr="004C259F">
        <w:rPr>
          <w:rFonts w:eastAsia="Calibri" w:cs="Times New Roman"/>
          <w:b/>
          <w:bCs/>
          <w:noProof/>
          <w:kern w:val="0"/>
          <w:szCs w:val="24"/>
          <w14:ligatures w14:val="none"/>
        </w:rPr>
        <w:t>Introduction</w:t>
      </w:r>
    </w:p>
    <w:p w14:paraId="642D70C4" w14:textId="60AFD968" w:rsidR="005968E6" w:rsidRPr="004C259F" w:rsidRDefault="00181B4B" w:rsidP="00A17337">
      <w:pPr>
        <w:rPr>
          <w:noProof/>
        </w:rPr>
      </w:pPr>
      <w:r w:rsidRPr="004C259F">
        <w:rPr>
          <w:noProof/>
        </w:rPr>
        <w:t>Maritime transport</w:t>
      </w:r>
      <w:r w:rsidR="007928F9" w:rsidRPr="004C259F">
        <w:rPr>
          <w:noProof/>
        </w:rPr>
        <w:t xml:space="preserve"> is fundamental to the EU economy and stands out as one of the most energy-efficient </w:t>
      </w:r>
      <w:r w:rsidR="00C26EB0" w:rsidRPr="004C259F">
        <w:rPr>
          <w:noProof/>
        </w:rPr>
        <w:t xml:space="preserve">modes of </w:t>
      </w:r>
      <w:r w:rsidR="00FD0E49" w:rsidRPr="004C259F">
        <w:rPr>
          <w:noProof/>
        </w:rPr>
        <w:t>transport.</w:t>
      </w:r>
      <w:r w:rsidRPr="004C259F">
        <w:rPr>
          <w:noProof/>
        </w:rPr>
        <w:t xml:space="preserve"> However, it </w:t>
      </w:r>
      <w:r w:rsidR="002C5257" w:rsidRPr="004C259F">
        <w:rPr>
          <w:noProof/>
        </w:rPr>
        <w:t xml:space="preserve">remains </w:t>
      </w:r>
      <w:r w:rsidRPr="004C259F">
        <w:rPr>
          <w:noProof/>
        </w:rPr>
        <w:t xml:space="preserve">a major source of greenhouse gas </w:t>
      </w:r>
      <w:r w:rsidR="00295665" w:rsidRPr="004C259F">
        <w:rPr>
          <w:noProof/>
        </w:rPr>
        <w:t xml:space="preserve">(GHG) </w:t>
      </w:r>
      <w:r w:rsidRPr="004C259F">
        <w:rPr>
          <w:noProof/>
        </w:rPr>
        <w:t>emissions</w:t>
      </w:r>
      <w:r w:rsidR="00955B45" w:rsidRPr="004C259F">
        <w:rPr>
          <w:noProof/>
        </w:rPr>
        <w:t>.</w:t>
      </w:r>
    </w:p>
    <w:p w14:paraId="1BD6058A" w14:textId="3503609B" w:rsidR="00676A3A" w:rsidRPr="004C259F" w:rsidRDefault="00181B4B" w:rsidP="00A17337">
      <w:pPr>
        <w:rPr>
          <w:noProof/>
        </w:rPr>
      </w:pPr>
      <w:r w:rsidRPr="004C259F">
        <w:rPr>
          <w:noProof/>
        </w:rPr>
        <w:t xml:space="preserve">This </w:t>
      </w:r>
      <w:r w:rsidR="00095C06" w:rsidRPr="004C259F">
        <w:rPr>
          <w:noProof/>
        </w:rPr>
        <w:t>2025</w:t>
      </w:r>
      <w:r w:rsidRPr="004C259F">
        <w:rPr>
          <w:noProof/>
        </w:rPr>
        <w:t xml:space="preserve"> report on </w:t>
      </w:r>
      <w:r w:rsidR="00D710F3">
        <w:rPr>
          <w:noProof/>
        </w:rPr>
        <w:t>GHG</w:t>
      </w:r>
      <w:r w:rsidR="002B3444" w:rsidRPr="004C259F">
        <w:rPr>
          <w:noProof/>
        </w:rPr>
        <w:t xml:space="preserve"> emissions</w:t>
      </w:r>
      <w:r w:rsidRPr="004C259F">
        <w:rPr>
          <w:noProof/>
        </w:rPr>
        <w:t xml:space="preserve"> from ships entering and leaving ports in the European Economic Area (EEA)</w:t>
      </w:r>
      <w:r w:rsidR="00393F18" w:rsidRPr="004C259F">
        <w:rPr>
          <w:noProof/>
        </w:rPr>
        <w:t xml:space="preserve"> presents</w:t>
      </w:r>
      <w:r w:rsidR="00415C6B" w:rsidRPr="004C259F">
        <w:rPr>
          <w:noProof/>
        </w:rPr>
        <w:t xml:space="preserve"> data</w:t>
      </w:r>
      <w:r w:rsidRPr="004C259F">
        <w:rPr>
          <w:noProof/>
        </w:rPr>
        <w:t xml:space="preserve"> collected under the EU Regulation on the monitoring, reporting and verification of greenhouse gas emissions from maritime transport</w:t>
      </w:r>
      <w:r w:rsidR="00D710F3">
        <w:rPr>
          <w:noProof/>
        </w:rPr>
        <w:t>,</w:t>
      </w:r>
      <w:r w:rsidRPr="004C259F">
        <w:rPr>
          <w:noProof/>
        </w:rPr>
        <w:t xml:space="preserve"> adopted in 2015</w:t>
      </w:r>
      <w:r w:rsidR="00147430">
        <w:rPr>
          <w:noProof/>
        </w:rPr>
        <w:t> (</w:t>
      </w:r>
      <w:r w:rsidRPr="004C259F">
        <w:rPr>
          <w:noProof/>
          <w:color w:val="000000"/>
          <w:vertAlign w:val="superscript"/>
        </w:rPr>
        <w:footnoteReference w:id="2"/>
      </w:r>
      <w:r w:rsidR="00147430">
        <w:rPr>
          <w:noProof/>
        </w:rPr>
        <w:t>)</w:t>
      </w:r>
      <w:r w:rsidRPr="004C259F">
        <w:rPr>
          <w:noProof/>
        </w:rPr>
        <w:t xml:space="preserve"> (the EU </w:t>
      </w:r>
      <w:r w:rsidR="00753EC3" w:rsidRPr="00753EC3">
        <w:rPr>
          <w:noProof/>
        </w:rPr>
        <w:t xml:space="preserve">Monitoring, Reporting and Verification </w:t>
      </w:r>
      <w:r w:rsidR="00753EC3">
        <w:rPr>
          <w:noProof/>
        </w:rPr>
        <w:t>(</w:t>
      </w:r>
      <w:r w:rsidRPr="004C259F">
        <w:rPr>
          <w:noProof/>
        </w:rPr>
        <w:t>MRV</w:t>
      </w:r>
      <w:r w:rsidR="00753EC3">
        <w:rPr>
          <w:noProof/>
        </w:rPr>
        <w:t>)</w:t>
      </w:r>
      <w:r w:rsidRPr="004C259F">
        <w:rPr>
          <w:noProof/>
        </w:rPr>
        <w:t xml:space="preserve"> </w:t>
      </w:r>
      <w:r w:rsidR="00E52BC6" w:rsidRPr="004C259F">
        <w:rPr>
          <w:noProof/>
        </w:rPr>
        <w:t xml:space="preserve">Maritime </w:t>
      </w:r>
      <w:r w:rsidRPr="004C259F">
        <w:rPr>
          <w:noProof/>
        </w:rPr>
        <w:t>Regulation). </w:t>
      </w:r>
      <w:r w:rsidRPr="004C259F">
        <w:rPr>
          <w:rFonts w:eastAsia="Times New Roman"/>
          <w:noProof/>
          <w:color w:val="000000"/>
          <w:lang w:eastAsia="en-IE"/>
        </w:rPr>
        <w:t xml:space="preserve">The report covers </w:t>
      </w:r>
      <w:r w:rsidR="33B5D5C2" w:rsidRPr="004C259F">
        <w:rPr>
          <w:rFonts w:eastAsia="Times New Roman"/>
          <w:noProof/>
          <w:color w:val="000000"/>
          <w:lang w:eastAsia="en-IE"/>
        </w:rPr>
        <w:t xml:space="preserve">data collected </w:t>
      </w:r>
      <w:r w:rsidR="5B5625BE" w:rsidRPr="004C259F">
        <w:rPr>
          <w:rFonts w:eastAsia="Times New Roman"/>
          <w:noProof/>
          <w:color w:val="000000"/>
          <w:lang w:eastAsia="en-IE"/>
        </w:rPr>
        <w:t xml:space="preserve">over the period </w:t>
      </w:r>
      <w:r w:rsidRPr="004C259F">
        <w:rPr>
          <w:rFonts w:eastAsia="Times New Roman"/>
          <w:noProof/>
          <w:color w:val="000000"/>
          <w:lang w:eastAsia="en-IE"/>
        </w:rPr>
        <w:t>2018-202</w:t>
      </w:r>
      <w:r w:rsidR="007F583A" w:rsidRPr="004C259F">
        <w:rPr>
          <w:rFonts w:eastAsia="Times New Roman"/>
          <w:noProof/>
          <w:color w:val="000000"/>
          <w:lang w:eastAsia="en-IE"/>
        </w:rPr>
        <w:t>4</w:t>
      </w:r>
      <w:r w:rsidR="00581296">
        <w:rPr>
          <w:rFonts w:eastAsia="Times New Roman"/>
          <w:noProof/>
          <w:color w:val="000000" w:themeColor="text1"/>
          <w:lang w:eastAsia="en-IE"/>
        </w:rPr>
        <w:t>. It provides</w:t>
      </w:r>
      <w:r w:rsidR="0018502D" w:rsidRPr="004C259F">
        <w:rPr>
          <w:rFonts w:eastAsia="Times New Roman"/>
          <w:noProof/>
          <w:color w:val="000000" w:themeColor="text1"/>
          <w:lang w:eastAsia="en-IE"/>
        </w:rPr>
        <w:t xml:space="preserve"> a comprehensive </w:t>
      </w:r>
      <w:r w:rsidRPr="004C259F">
        <w:rPr>
          <w:rFonts w:eastAsia="Times New Roman"/>
          <w:noProof/>
          <w:color w:val="000000"/>
          <w:lang w:eastAsia="en-IE"/>
        </w:rPr>
        <w:t xml:space="preserve">comparison </w:t>
      </w:r>
      <w:r w:rsidR="005575A9" w:rsidRPr="004C259F">
        <w:rPr>
          <w:rFonts w:eastAsia="Times New Roman"/>
          <w:noProof/>
          <w:color w:val="000000"/>
          <w:lang w:eastAsia="en-IE"/>
        </w:rPr>
        <w:t xml:space="preserve">and analysis of </w:t>
      </w:r>
      <w:r w:rsidRPr="004C259F">
        <w:rPr>
          <w:rFonts w:eastAsia="Times New Roman"/>
          <w:noProof/>
          <w:color w:val="000000"/>
          <w:lang w:eastAsia="en-IE"/>
        </w:rPr>
        <w:t>trends in emissions and energy efficiency over the years</w:t>
      </w:r>
      <w:r w:rsidR="00581296">
        <w:rPr>
          <w:rFonts w:eastAsia="Times New Roman"/>
          <w:noProof/>
          <w:color w:val="000000"/>
          <w:lang w:eastAsia="en-IE"/>
        </w:rPr>
        <w:t xml:space="preserve"> and </w:t>
      </w:r>
      <w:r w:rsidR="00581296" w:rsidRPr="004C259F">
        <w:rPr>
          <w:rFonts w:eastAsia="Times New Roman"/>
          <w:noProof/>
          <w:color w:val="000000"/>
          <w:lang w:eastAsia="en-IE"/>
        </w:rPr>
        <w:t>shed</w:t>
      </w:r>
      <w:r w:rsidR="00581296">
        <w:rPr>
          <w:rFonts w:eastAsia="Times New Roman"/>
          <w:noProof/>
          <w:color w:val="000000"/>
          <w:lang w:eastAsia="en-IE"/>
        </w:rPr>
        <w:t>s</w:t>
      </w:r>
      <w:r w:rsidR="00581296" w:rsidRPr="004C259F">
        <w:rPr>
          <w:noProof/>
        </w:rPr>
        <w:t xml:space="preserve"> </w:t>
      </w:r>
      <w:r w:rsidR="005575A9" w:rsidRPr="004C259F">
        <w:rPr>
          <w:noProof/>
        </w:rPr>
        <w:t>light on the factors influe</w:t>
      </w:r>
      <w:r w:rsidR="002B1B46" w:rsidRPr="004C259F">
        <w:rPr>
          <w:noProof/>
        </w:rPr>
        <w:t xml:space="preserve">ncing </w:t>
      </w:r>
      <w:r w:rsidR="001D2647" w:rsidRPr="004C259F">
        <w:rPr>
          <w:noProof/>
        </w:rPr>
        <w:t>GHG</w:t>
      </w:r>
      <w:r w:rsidR="002B1B46" w:rsidRPr="004C259F">
        <w:rPr>
          <w:noProof/>
        </w:rPr>
        <w:t xml:space="preserve"> emissions</w:t>
      </w:r>
      <w:r w:rsidR="00581296" w:rsidRPr="00581296">
        <w:rPr>
          <w:noProof/>
        </w:rPr>
        <w:t xml:space="preserve"> </w:t>
      </w:r>
      <w:r w:rsidR="00581296">
        <w:rPr>
          <w:noProof/>
        </w:rPr>
        <w:t xml:space="preserve">from </w:t>
      </w:r>
      <w:r w:rsidR="00581296" w:rsidRPr="004C259F">
        <w:rPr>
          <w:noProof/>
        </w:rPr>
        <w:t>maritime transport</w:t>
      </w:r>
      <w:r w:rsidR="002B1B46" w:rsidRPr="004C259F">
        <w:rPr>
          <w:noProof/>
        </w:rPr>
        <w:t xml:space="preserve">. </w:t>
      </w:r>
      <w:r w:rsidR="006E33BD">
        <w:rPr>
          <w:noProof/>
        </w:rPr>
        <w:t>It takes into account</w:t>
      </w:r>
      <w:r w:rsidR="00ED3819" w:rsidRPr="004C259F">
        <w:rPr>
          <w:noProof/>
        </w:rPr>
        <w:t xml:space="preserve"> the implementation of the </w:t>
      </w:r>
      <w:r w:rsidR="006E33BD" w:rsidRPr="004C259F">
        <w:rPr>
          <w:noProof/>
        </w:rPr>
        <w:t xml:space="preserve">EU </w:t>
      </w:r>
      <w:r w:rsidR="0021428F">
        <w:rPr>
          <w:noProof/>
        </w:rPr>
        <w:t>e</w:t>
      </w:r>
      <w:r w:rsidR="006E33BD">
        <w:rPr>
          <w:noProof/>
        </w:rPr>
        <w:t xml:space="preserve">missions </w:t>
      </w:r>
      <w:r w:rsidR="0021428F">
        <w:rPr>
          <w:noProof/>
        </w:rPr>
        <w:t>t</w:t>
      </w:r>
      <w:r w:rsidR="006E33BD">
        <w:rPr>
          <w:noProof/>
        </w:rPr>
        <w:t xml:space="preserve">rading </w:t>
      </w:r>
      <w:r w:rsidR="0021428F">
        <w:rPr>
          <w:noProof/>
        </w:rPr>
        <w:t>s</w:t>
      </w:r>
      <w:r w:rsidR="006E33BD">
        <w:rPr>
          <w:noProof/>
        </w:rPr>
        <w:t>ystem (</w:t>
      </w:r>
      <w:r w:rsidR="006E33BD" w:rsidRPr="004C259F">
        <w:rPr>
          <w:noProof/>
        </w:rPr>
        <w:t>ETS</w:t>
      </w:r>
      <w:r w:rsidR="006E33BD">
        <w:rPr>
          <w:noProof/>
        </w:rPr>
        <w:t>)</w:t>
      </w:r>
      <w:r w:rsidR="00ED3819" w:rsidRPr="004C259F">
        <w:rPr>
          <w:noProof/>
        </w:rPr>
        <w:t xml:space="preserve"> up to the </w:t>
      </w:r>
      <w:r w:rsidR="00910DA7" w:rsidRPr="004C259F">
        <w:rPr>
          <w:noProof/>
        </w:rPr>
        <w:t>2024</w:t>
      </w:r>
      <w:r w:rsidR="00910DA7">
        <w:rPr>
          <w:noProof/>
        </w:rPr>
        <w:t xml:space="preserve"> </w:t>
      </w:r>
      <w:r w:rsidR="00ED3819" w:rsidRPr="004C259F">
        <w:rPr>
          <w:noProof/>
        </w:rPr>
        <w:t xml:space="preserve">reporting period, the first year </w:t>
      </w:r>
      <w:r w:rsidR="006E33BD">
        <w:rPr>
          <w:noProof/>
        </w:rPr>
        <w:t>the</w:t>
      </w:r>
      <w:r w:rsidR="006E33BD" w:rsidRPr="004C259F">
        <w:rPr>
          <w:noProof/>
        </w:rPr>
        <w:t xml:space="preserve"> </w:t>
      </w:r>
      <w:r w:rsidR="006E33BD">
        <w:rPr>
          <w:noProof/>
        </w:rPr>
        <w:t>system applied to</w:t>
      </w:r>
      <w:r w:rsidR="00ED3819" w:rsidRPr="004C259F">
        <w:rPr>
          <w:noProof/>
        </w:rPr>
        <w:t xml:space="preserve"> maritime transport</w:t>
      </w:r>
      <w:r w:rsidR="002E5B0F" w:rsidRPr="004C259F">
        <w:rPr>
          <w:noProof/>
        </w:rPr>
        <w:t>.</w:t>
      </w:r>
    </w:p>
    <w:p w14:paraId="586CD7C8" w14:textId="5A1ABF3C" w:rsidR="0060179A" w:rsidRPr="004C259F" w:rsidRDefault="00181B4B" w:rsidP="0060179A">
      <w:pPr>
        <w:numPr>
          <w:ilvl w:val="0"/>
          <w:numId w:val="1"/>
        </w:numPr>
        <w:spacing w:after="0"/>
        <w:contextualSpacing/>
        <w:jc w:val="left"/>
        <w:rPr>
          <w:rFonts w:eastAsia="Calibri" w:cs="Times New Roman"/>
          <w:b/>
          <w:bCs/>
          <w:noProof/>
          <w:kern w:val="0"/>
          <w:szCs w:val="24"/>
          <w14:ligatures w14:val="none"/>
        </w:rPr>
      </w:pPr>
      <w:r w:rsidRPr="004C259F">
        <w:rPr>
          <w:rFonts w:eastAsia="Calibri" w:cs="Times New Roman"/>
          <w:b/>
          <w:bCs/>
          <w:noProof/>
          <w:kern w:val="0"/>
          <w:szCs w:val="24"/>
          <w14:ligatures w14:val="none"/>
        </w:rPr>
        <w:t>Policy development</w:t>
      </w:r>
    </w:p>
    <w:p w14:paraId="14CC4D44" w14:textId="395A25E1" w:rsidR="00F32520" w:rsidRPr="004C259F" w:rsidRDefault="00181B4B" w:rsidP="00A17337">
      <w:pPr>
        <w:rPr>
          <w:noProof/>
          <w:color w:val="000000"/>
        </w:rPr>
      </w:pPr>
      <w:r w:rsidRPr="004C259F">
        <w:rPr>
          <w:noProof/>
        </w:rPr>
        <w:t xml:space="preserve">As part of the package to deliver the European Green Deal, the European Parliament and the Council adopted a series of measures </w:t>
      </w:r>
      <w:r w:rsidR="00B82A1F" w:rsidRPr="004C259F">
        <w:rPr>
          <w:noProof/>
        </w:rPr>
        <w:t>in 2023</w:t>
      </w:r>
      <w:r w:rsidR="00B82A1F">
        <w:rPr>
          <w:noProof/>
        </w:rPr>
        <w:t xml:space="preserve"> </w:t>
      </w:r>
      <w:r w:rsidRPr="004C259F">
        <w:rPr>
          <w:noProof/>
        </w:rPr>
        <w:t>to ensure that the maritime transport sector contributes to achieving the EU’s climate ambitions</w:t>
      </w:r>
      <w:r w:rsidR="00085261" w:rsidRPr="004C259F">
        <w:rPr>
          <w:noProof/>
        </w:rPr>
        <w:t>. Th</w:t>
      </w:r>
      <w:r w:rsidR="00EC2A8E">
        <w:rPr>
          <w:noProof/>
        </w:rPr>
        <w:t>e</w:t>
      </w:r>
      <w:r w:rsidR="00085261" w:rsidRPr="004C259F">
        <w:rPr>
          <w:noProof/>
        </w:rPr>
        <w:t>s</w:t>
      </w:r>
      <w:r w:rsidR="00EC2A8E">
        <w:rPr>
          <w:noProof/>
        </w:rPr>
        <w:t>e</w:t>
      </w:r>
      <w:r w:rsidR="00085261" w:rsidRPr="004C259F">
        <w:rPr>
          <w:noProof/>
        </w:rPr>
        <w:t xml:space="preserve"> include </w:t>
      </w:r>
      <w:r w:rsidR="00F32520" w:rsidRPr="004C259F">
        <w:rPr>
          <w:noProof/>
        </w:rPr>
        <w:t xml:space="preserve">the revision of the </w:t>
      </w:r>
      <w:r w:rsidRPr="004C259F">
        <w:rPr>
          <w:b/>
          <w:bCs/>
          <w:noProof/>
          <w:color w:val="000000"/>
        </w:rPr>
        <w:t>EU ETS</w:t>
      </w:r>
      <w:r w:rsidR="00147430">
        <w:rPr>
          <w:b/>
          <w:bCs/>
          <w:noProof/>
          <w:color w:val="000000"/>
        </w:rPr>
        <w:t> </w:t>
      </w:r>
      <w:r w:rsidR="00147430" w:rsidRPr="00EC2A8E">
        <w:rPr>
          <w:noProof/>
          <w:color w:val="000000"/>
        </w:rPr>
        <w:t>(</w:t>
      </w:r>
      <w:r w:rsidRPr="00AB71B6">
        <w:rPr>
          <w:noProof/>
          <w:vertAlign w:val="superscript"/>
        </w:rPr>
        <w:footnoteReference w:id="3"/>
      </w:r>
      <w:r w:rsidR="00147430" w:rsidRPr="00EC2A8E">
        <w:rPr>
          <w:noProof/>
          <w:color w:val="000000"/>
        </w:rPr>
        <w:t>)</w:t>
      </w:r>
      <w:r w:rsidR="004C259F" w:rsidRPr="004C259F">
        <w:rPr>
          <w:b/>
          <w:bCs/>
          <w:noProof/>
          <w:color w:val="000000"/>
        </w:rPr>
        <w:t>,</w:t>
      </w:r>
      <w:r w:rsidR="002D0667" w:rsidRPr="004C259F">
        <w:rPr>
          <w:noProof/>
          <w:color w:val="000000" w:themeColor="text1"/>
        </w:rPr>
        <w:t xml:space="preserve"> which</w:t>
      </w:r>
      <w:r w:rsidRPr="004C259F">
        <w:rPr>
          <w:noProof/>
          <w:color w:val="000000"/>
        </w:rPr>
        <w:t xml:space="preserve"> has extended the scope of the EU ETS to cover CO</w:t>
      </w:r>
      <w:r w:rsidR="004C259F">
        <w:rPr>
          <w:noProof/>
          <w:color w:val="000000"/>
          <w:vertAlign w:val="subscript"/>
        </w:rPr>
        <w:t>2</w:t>
      </w:r>
      <w:r w:rsidRPr="004C259F">
        <w:rPr>
          <w:noProof/>
          <w:color w:val="000000"/>
        </w:rPr>
        <w:t xml:space="preserve"> emissions from large ships entering EU ports as from 1 January 2024, regardless of the flag they fly</w:t>
      </w:r>
      <w:r w:rsidR="009E4516" w:rsidRPr="004C259F">
        <w:rPr>
          <w:noProof/>
          <w:color w:val="000000"/>
        </w:rPr>
        <w:t>. Furthermore,</w:t>
      </w:r>
      <w:r w:rsidR="00F32520" w:rsidRPr="004C259F">
        <w:rPr>
          <w:noProof/>
          <w:color w:val="000000"/>
        </w:rPr>
        <w:t xml:space="preserve"> </w:t>
      </w:r>
      <w:r w:rsidR="00FD7CD8">
        <w:rPr>
          <w:noProof/>
          <w:color w:val="000000"/>
        </w:rPr>
        <w:t xml:space="preserve">the </w:t>
      </w:r>
      <w:r w:rsidRPr="004C259F">
        <w:rPr>
          <w:b/>
          <w:bCs/>
          <w:noProof/>
          <w:color w:val="000000"/>
        </w:rPr>
        <w:t>FuelEU Maritime Regulation</w:t>
      </w:r>
      <w:r w:rsidR="00147430">
        <w:rPr>
          <w:b/>
          <w:bCs/>
          <w:noProof/>
          <w:color w:val="000000"/>
        </w:rPr>
        <w:t> </w:t>
      </w:r>
      <w:r w:rsidR="00147430" w:rsidRPr="00EC2A8E">
        <w:rPr>
          <w:noProof/>
          <w:color w:val="000000"/>
        </w:rPr>
        <w:t>(</w:t>
      </w:r>
      <w:r w:rsidRPr="00AB71B6">
        <w:rPr>
          <w:noProof/>
          <w:vertAlign w:val="superscript"/>
        </w:rPr>
        <w:footnoteReference w:id="4"/>
      </w:r>
      <w:r w:rsidR="00147430" w:rsidRPr="00EC2A8E">
        <w:rPr>
          <w:noProof/>
          <w:color w:val="000000"/>
        </w:rPr>
        <w:t>)</w:t>
      </w:r>
      <w:r w:rsidRPr="004C259F">
        <w:rPr>
          <w:noProof/>
          <w:color w:val="000000"/>
        </w:rPr>
        <w:t xml:space="preserve"> ensure</w:t>
      </w:r>
      <w:r w:rsidR="3CA1F8FE" w:rsidRPr="004C259F">
        <w:rPr>
          <w:noProof/>
          <w:color w:val="000000"/>
        </w:rPr>
        <w:t>s</w:t>
      </w:r>
      <w:r w:rsidR="00D426CD" w:rsidRPr="004C259F">
        <w:rPr>
          <w:noProof/>
          <w:color w:val="000000"/>
        </w:rPr>
        <w:t xml:space="preserve">, </w:t>
      </w:r>
      <w:r w:rsidR="00FD7CD8">
        <w:rPr>
          <w:noProof/>
          <w:color w:val="000000"/>
        </w:rPr>
        <w:t>as from</w:t>
      </w:r>
      <w:r w:rsidR="00FD7CD8" w:rsidRPr="004C259F">
        <w:rPr>
          <w:noProof/>
          <w:color w:val="000000"/>
        </w:rPr>
        <w:t xml:space="preserve"> </w:t>
      </w:r>
      <w:r w:rsidR="00D426CD" w:rsidRPr="004C259F">
        <w:rPr>
          <w:noProof/>
          <w:color w:val="000000"/>
        </w:rPr>
        <w:t>2025,</w:t>
      </w:r>
      <w:r w:rsidRPr="004C259F">
        <w:rPr>
          <w:noProof/>
          <w:color w:val="000000"/>
        </w:rPr>
        <w:t xml:space="preserve"> that the greenhouse gas intensity of energy used onboard ships gradually decreases over time</w:t>
      </w:r>
      <w:r w:rsidR="00F32520" w:rsidRPr="004C259F">
        <w:rPr>
          <w:noProof/>
          <w:color w:val="000000"/>
        </w:rPr>
        <w:t>.</w:t>
      </w:r>
    </w:p>
    <w:p w14:paraId="1097D6D9" w14:textId="7848973C" w:rsidR="004C6DE9" w:rsidRPr="004C259F" w:rsidRDefault="00F227D1" w:rsidP="00A17337">
      <w:pPr>
        <w:rPr>
          <w:noProof/>
          <w:color w:val="000000"/>
        </w:rPr>
      </w:pPr>
      <w:r w:rsidRPr="004C259F">
        <w:rPr>
          <w:noProof/>
          <w:color w:val="000000"/>
        </w:rPr>
        <w:t xml:space="preserve">Compliance with </w:t>
      </w:r>
      <w:r w:rsidR="00B65B3D">
        <w:rPr>
          <w:noProof/>
          <w:color w:val="000000"/>
        </w:rPr>
        <w:t xml:space="preserve">the </w:t>
      </w:r>
      <w:r w:rsidR="00B65B3D" w:rsidRPr="004C259F">
        <w:rPr>
          <w:noProof/>
          <w:color w:val="000000"/>
        </w:rPr>
        <w:t xml:space="preserve">obligations </w:t>
      </w:r>
      <w:r w:rsidR="00753EC3">
        <w:rPr>
          <w:noProof/>
          <w:color w:val="000000"/>
        </w:rPr>
        <w:t xml:space="preserve">arising from </w:t>
      </w:r>
      <w:r w:rsidR="00ED3819" w:rsidRPr="004C259F">
        <w:rPr>
          <w:noProof/>
          <w:color w:val="000000"/>
        </w:rPr>
        <w:t xml:space="preserve">both the EU ETS and </w:t>
      </w:r>
      <w:r w:rsidR="00B65B3D">
        <w:rPr>
          <w:noProof/>
          <w:color w:val="000000"/>
        </w:rPr>
        <w:t xml:space="preserve">the </w:t>
      </w:r>
      <w:r w:rsidR="00ED3819" w:rsidRPr="004C259F">
        <w:rPr>
          <w:noProof/>
          <w:color w:val="000000"/>
        </w:rPr>
        <w:t xml:space="preserve">FuelEU Maritime </w:t>
      </w:r>
      <w:r w:rsidR="00753EC3">
        <w:rPr>
          <w:noProof/>
          <w:color w:val="000000"/>
        </w:rPr>
        <w:t xml:space="preserve">Regulation </w:t>
      </w:r>
      <w:r w:rsidR="004C6DE9" w:rsidRPr="004C259F">
        <w:rPr>
          <w:noProof/>
          <w:color w:val="000000"/>
        </w:rPr>
        <w:t>builds</w:t>
      </w:r>
      <w:r w:rsidRPr="004C259F">
        <w:rPr>
          <w:noProof/>
          <w:color w:val="000000"/>
        </w:rPr>
        <w:t xml:space="preserve"> on the monitoring, reporting and verification system established by the </w:t>
      </w:r>
      <w:r w:rsidRPr="004C259F">
        <w:rPr>
          <w:b/>
          <w:bCs/>
          <w:noProof/>
          <w:color w:val="000000"/>
        </w:rPr>
        <w:t xml:space="preserve">EU MRV </w:t>
      </w:r>
      <w:r w:rsidR="00D83F7F" w:rsidRPr="004C259F">
        <w:rPr>
          <w:b/>
          <w:bCs/>
          <w:noProof/>
          <w:color w:val="000000"/>
        </w:rPr>
        <w:t xml:space="preserve">Maritime </w:t>
      </w:r>
      <w:r w:rsidRPr="004C259F">
        <w:rPr>
          <w:b/>
          <w:bCs/>
          <w:noProof/>
          <w:color w:val="000000"/>
        </w:rPr>
        <w:t>Regulation</w:t>
      </w:r>
      <w:r w:rsidRPr="004C259F">
        <w:rPr>
          <w:noProof/>
          <w:color w:val="000000"/>
        </w:rPr>
        <w:t xml:space="preserve">, </w:t>
      </w:r>
      <w:r w:rsidR="000A2FF8" w:rsidRPr="004C259F">
        <w:rPr>
          <w:noProof/>
          <w:color w:val="000000"/>
        </w:rPr>
        <w:t>as</w:t>
      </w:r>
      <w:r w:rsidRPr="004C259F">
        <w:rPr>
          <w:noProof/>
          <w:color w:val="000000"/>
        </w:rPr>
        <w:t xml:space="preserve"> revised in 2023</w:t>
      </w:r>
      <w:r w:rsidR="00147430">
        <w:rPr>
          <w:noProof/>
          <w:color w:val="000000"/>
        </w:rPr>
        <w:t> (</w:t>
      </w:r>
      <w:r w:rsidRPr="004C259F">
        <w:rPr>
          <w:noProof/>
          <w:vertAlign w:val="superscript"/>
        </w:rPr>
        <w:footnoteReference w:id="5"/>
      </w:r>
      <w:r w:rsidR="003523B5">
        <w:rPr>
          <w:noProof/>
          <w:color w:val="000000"/>
        </w:rPr>
        <w:t>)</w:t>
      </w:r>
      <w:r w:rsidR="004C259F" w:rsidRPr="004C259F">
        <w:rPr>
          <w:noProof/>
          <w:color w:val="000000"/>
        </w:rPr>
        <w:t>.</w:t>
      </w:r>
      <w:r w:rsidRPr="004C259F">
        <w:rPr>
          <w:noProof/>
          <w:color w:val="000000"/>
        </w:rPr>
        <w:t xml:space="preserve"> </w:t>
      </w:r>
      <w:r w:rsidR="00ED3819" w:rsidRPr="004C259F">
        <w:rPr>
          <w:noProof/>
          <w:color w:val="000000"/>
        </w:rPr>
        <w:t xml:space="preserve">The </w:t>
      </w:r>
      <w:r w:rsidR="00910DA7" w:rsidRPr="004C259F">
        <w:rPr>
          <w:noProof/>
          <w:color w:val="000000"/>
        </w:rPr>
        <w:t xml:space="preserve">2024 </w:t>
      </w:r>
      <w:r w:rsidR="00ED3819" w:rsidRPr="004C259F">
        <w:rPr>
          <w:noProof/>
          <w:color w:val="000000"/>
        </w:rPr>
        <w:t xml:space="preserve">reporting period </w:t>
      </w:r>
      <w:r w:rsidR="00910DA7">
        <w:rPr>
          <w:noProof/>
          <w:color w:val="000000"/>
        </w:rPr>
        <w:t>was</w:t>
      </w:r>
      <w:r w:rsidR="00ED3819" w:rsidRPr="004C259F">
        <w:rPr>
          <w:noProof/>
          <w:color w:val="000000"/>
        </w:rPr>
        <w:t xml:space="preserve"> the first </w:t>
      </w:r>
      <w:r w:rsidR="00910DA7">
        <w:rPr>
          <w:noProof/>
          <w:color w:val="000000"/>
        </w:rPr>
        <w:t>to</w:t>
      </w:r>
      <w:r w:rsidR="00910DA7" w:rsidRPr="004C259F">
        <w:rPr>
          <w:noProof/>
          <w:color w:val="000000"/>
        </w:rPr>
        <w:t xml:space="preserve"> </w:t>
      </w:r>
      <w:r w:rsidR="00910DA7">
        <w:rPr>
          <w:noProof/>
          <w:color w:val="000000"/>
        </w:rPr>
        <w:t>apply</w:t>
      </w:r>
      <w:r w:rsidR="00910DA7" w:rsidRPr="004C259F">
        <w:rPr>
          <w:noProof/>
          <w:color w:val="000000"/>
        </w:rPr>
        <w:t xml:space="preserve"> </w:t>
      </w:r>
      <w:r w:rsidR="00ED3819" w:rsidRPr="004C259F">
        <w:rPr>
          <w:noProof/>
          <w:color w:val="000000"/>
        </w:rPr>
        <w:t xml:space="preserve">the </w:t>
      </w:r>
      <w:r w:rsidR="004C6DE9" w:rsidRPr="004C259F">
        <w:rPr>
          <w:noProof/>
          <w:color w:val="000000"/>
        </w:rPr>
        <w:t xml:space="preserve">revised rules, </w:t>
      </w:r>
      <w:r w:rsidR="00910DA7">
        <w:rPr>
          <w:noProof/>
          <w:color w:val="000000"/>
        </w:rPr>
        <w:t xml:space="preserve">which were </w:t>
      </w:r>
      <w:r w:rsidR="00ED3819" w:rsidRPr="004C259F">
        <w:rPr>
          <w:noProof/>
          <w:color w:val="000000"/>
        </w:rPr>
        <w:t xml:space="preserve">adopted in 2023 to </w:t>
      </w:r>
      <w:r w:rsidR="00910DA7">
        <w:rPr>
          <w:noProof/>
          <w:color w:val="000000"/>
        </w:rPr>
        <w:t>enable</w:t>
      </w:r>
      <w:r w:rsidR="00ED3819" w:rsidRPr="004C259F">
        <w:rPr>
          <w:noProof/>
          <w:color w:val="000000"/>
        </w:rPr>
        <w:t xml:space="preserve"> the </w:t>
      </w:r>
      <w:r w:rsidR="004C6DE9" w:rsidRPr="004C259F">
        <w:rPr>
          <w:noProof/>
          <w:color w:val="000000"/>
        </w:rPr>
        <w:t xml:space="preserve">ETS </w:t>
      </w:r>
      <w:r w:rsidR="00910DA7">
        <w:rPr>
          <w:noProof/>
          <w:color w:val="000000"/>
        </w:rPr>
        <w:t>to be implemented</w:t>
      </w:r>
      <w:r w:rsidR="00910DA7" w:rsidRPr="004C259F">
        <w:rPr>
          <w:noProof/>
          <w:color w:val="000000"/>
        </w:rPr>
        <w:t xml:space="preserve"> </w:t>
      </w:r>
      <w:r w:rsidR="00CF7E25">
        <w:rPr>
          <w:noProof/>
          <w:color w:val="000000"/>
        </w:rPr>
        <w:t>in</w:t>
      </w:r>
      <w:r w:rsidR="00CF7E25" w:rsidRPr="004C259F">
        <w:rPr>
          <w:noProof/>
          <w:color w:val="000000"/>
        </w:rPr>
        <w:t xml:space="preserve"> </w:t>
      </w:r>
      <w:r w:rsidR="004C6DE9" w:rsidRPr="004C259F">
        <w:rPr>
          <w:noProof/>
          <w:color w:val="000000"/>
        </w:rPr>
        <w:t xml:space="preserve">shipping and </w:t>
      </w:r>
      <w:r w:rsidR="00910DA7">
        <w:rPr>
          <w:noProof/>
          <w:color w:val="000000"/>
        </w:rPr>
        <w:t>to include</w:t>
      </w:r>
      <w:r w:rsidR="004C6DE9" w:rsidRPr="004C259F">
        <w:rPr>
          <w:noProof/>
          <w:color w:val="000000"/>
        </w:rPr>
        <w:t xml:space="preserve"> </w:t>
      </w:r>
      <w:r w:rsidR="00822249" w:rsidRPr="004C259F">
        <w:rPr>
          <w:noProof/>
          <w:color w:val="000000"/>
        </w:rPr>
        <w:t>methane</w:t>
      </w:r>
      <w:r w:rsidR="008E3118" w:rsidRPr="004C259F">
        <w:rPr>
          <w:noProof/>
          <w:color w:val="000000"/>
        </w:rPr>
        <w:t xml:space="preserve"> (CH</w:t>
      </w:r>
      <w:r w:rsidR="004C259F">
        <w:rPr>
          <w:noProof/>
          <w:color w:val="000000"/>
          <w:vertAlign w:val="subscript"/>
        </w:rPr>
        <w:t>4</w:t>
      </w:r>
      <w:r w:rsidR="008E3118" w:rsidRPr="004C259F">
        <w:rPr>
          <w:noProof/>
          <w:color w:val="000000"/>
        </w:rPr>
        <w:t>)</w:t>
      </w:r>
      <w:r w:rsidR="00822249" w:rsidRPr="004C259F">
        <w:rPr>
          <w:noProof/>
          <w:color w:val="000000"/>
        </w:rPr>
        <w:t xml:space="preserve"> and nitrous oxide</w:t>
      </w:r>
      <w:r w:rsidR="008E3118" w:rsidRPr="004C259F">
        <w:rPr>
          <w:noProof/>
          <w:color w:val="000000"/>
        </w:rPr>
        <w:t xml:space="preserve"> (N</w:t>
      </w:r>
      <w:r w:rsidR="008E3118" w:rsidRPr="004C259F">
        <w:rPr>
          <w:noProof/>
          <w:color w:val="000000"/>
          <w:vertAlign w:val="subscript"/>
        </w:rPr>
        <w:t>2</w:t>
      </w:r>
      <w:r w:rsidR="008E3118" w:rsidRPr="004C259F">
        <w:rPr>
          <w:noProof/>
          <w:color w:val="000000"/>
        </w:rPr>
        <w:t>O)</w:t>
      </w:r>
      <w:r w:rsidR="00822249" w:rsidRPr="004C259F">
        <w:rPr>
          <w:noProof/>
          <w:color w:val="000000"/>
        </w:rPr>
        <w:t xml:space="preserve"> emissions </w:t>
      </w:r>
      <w:r w:rsidR="006B3CD9">
        <w:rPr>
          <w:noProof/>
          <w:color w:val="000000"/>
        </w:rPr>
        <w:t>with</w:t>
      </w:r>
      <w:r w:rsidR="00910DA7">
        <w:rPr>
          <w:noProof/>
          <w:color w:val="000000"/>
        </w:rPr>
        <w:t>in the</w:t>
      </w:r>
      <w:r w:rsidR="00910DA7" w:rsidRPr="004C259F">
        <w:rPr>
          <w:noProof/>
          <w:color w:val="000000"/>
        </w:rPr>
        <w:t xml:space="preserve"> </w:t>
      </w:r>
      <w:r w:rsidR="00822249" w:rsidRPr="004C259F">
        <w:rPr>
          <w:noProof/>
          <w:color w:val="000000"/>
        </w:rPr>
        <w:t>scope</w:t>
      </w:r>
      <w:r w:rsidR="00910DA7" w:rsidRPr="00910DA7">
        <w:rPr>
          <w:noProof/>
          <w:color w:val="000000"/>
        </w:rPr>
        <w:t xml:space="preserve"> </w:t>
      </w:r>
      <w:r w:rsidR="00910DA7">
        <w:rPr>
          <w:noProof/>
          <w:color w:val="000000"/>
        </w:rPr>
        <w:t xml:space="preserve">of </w:t>
      </w:r>
      <w:r w:rsidR="0064097C">
        <w:rPr>
          <w:noProof/>
          <w:color w:val="000000"/>
        </w:rPr>
        <w:t xml:space="preserve">the </w:t>
      </w:r>
      <w:r w:rsidR="00910DA7" w:rsidRPr="004C259F">
        <w:rPr>
          <w:noProof/>
          <w:color w:val="000000"/>
        </w:rPr>
        <w:t>MRV</w:t>
      </w:r>
      <w:r w:rsidR="0064097C">
        <w:rPr>
          <w:noProof/>
          <w:color w:val="000000"/>
        </w:rPr>
        <w:t xml:space="preserve"> </w:t>
      </w:r>
      <w:r w:rsidR="00EC2A8E">
        <w:rPr>
          <w:noProof/>
          <w:color w:val="000000"/>
        </w:rPr>
        <w:t>Regulation</w:t>
      </w:r>
      <w:r w:rsidR="00ED3819" w:rsidRPr="004C259F">
        <w:rPr>
          <w:noProof/>
          <w:color w:val="000000"/>
        </w:rPr>
        <w:t>.</w:t>
      </w:r>
    </w:p>
    <w:p w14:paraId="285A8EB8" w14:textId="4DDEFB19" w:rsidR="001D4660" w:rsidRPr="004C259F" w:rsidRDefault="00C8726A" w:rsidP="00A17337">
      <w:pPr>
        <w:rPr>
          <w:noProof/>
          <w:color w:val="000000"/>
        </w:rPr>
      </w:pPr>
      <w:r w:rsidRPr="004C259F">
        <w:rPr>
          <w:noProof/>
          <w:color w:val="000000"/>
        </w:rPr>
        <w:t xml:space="preserve">In addition to legislative measures, the EU is further supporting the successful implementation of shipping decarbonisation through </w:t>
      </w:r>
      <w:r w:rsidRPr="004C259F">
        <w:rPr>
          <w:b/>
          <w:bCs/>
          <w:noProof/>
          <w:color w:val="000000"/>
        </w:rPr>
        <w:t xml:space="preserve">support </w:t>
      </w:r>
      <w:r w:rsidR="00751D36">
        <w:rPr>
          <w:b/>
          <w:bCs/>
          <w:noProof/>
          <w:color w:val="000000"/>
        </w:rPr>
        <w:t>for</w:t>
      </w:r>
      <w:r w:rsidR="00751D36" w:rsidRPr="004C259F">
        <w:rPr>
          <w:b/>
          <w:bCs/>
          <w:noProof/>
          <w:color w:val="000000"/>
        </w:rPr>
        <w:t xml:space="preserve"> </w:t>
      </w:r>
      <w:r w:rsidRPr="004C259F">
        <w:rPr>
          <w:b/>
          <w:bCs/>
          <w:noProof/>
          <w:color w:val="000000"/>
        </w:rPr>
        <w:t>research and innovation</w:t>
      </w:r>
      <w:r w:rsidRPr="004C259F">
        <w:rPr>
          <w:noProof/>
          <w:color w:val="000000"/>
        </w:rPr>
        <w:t>.</w:t>
      </w:r>
      <w:r w:rsidR="00034901">
        <w:rPr>
          <w:noProof/>
          <w:color w:val="000000"/>
        </w:rPr>
        <w:t xml:space="preserve"> </w:t>
      </w:r>
      <w:r w:rsidR="001D4660" w:rsidRPr="004C259F">
        <w:rPr>
          <w:noProof/>
          <w:color w:val="000000"/>
        </w:rPr>
        <w:t xml:space="preserve">The </w:t>
      </w:r>
      <w:r w:rsidRPr="004C259F">
        <w:rPr>
          <w:noProof/>
          <w:color w:val="000000"/>
        </w:rPr>
        <w:t>Innovation Fund</w:t>
      </w:r>
      <w:r w:rsidR="001D4660" w:rsidRPr="004C259F">
        <w:rPr>
          <w:noProof/>
          <w:color w:val="000000"/>
        </w:rPr>
        <w:t xml:space="preserve">, which will </w:t>
      </w:r>
      <w:r w:rsidR="00B972ED">
        <w:rPr>
          <w:noProof/>
          <w:color w:val="000000"/>
        </w:rPr>
        <w:t xml:space="preserve">draw </w:t>
      </w:r>
      <w:r w:rsidR="001D4660" w:rsidRPr="004C259F">
        <w:rPr>
          <w:noProof/>
          <w:color w:val="000000"/>
        </w:rPr>
        <w:t xml:space="preserve">on 20 million EU allowances </w:t>
      </w:r>
      <w:r w:rsidR="00751D36" w:rsidRPr="004C259F">
        <w:rPr>
          <w:noProof/>
          <w:color w:val="000000"/>
        </w:rPr>
        <w:t>(</w:t>
      </w:r>
      <w:r w:rsidR="00751D36">
        <w:rPr>
          <w:noProof/>
          <w:color w:val="000000"/>
        </w:rPr>
        <w:t>EUR</w:t>
      </w:r>
      <w:r w:rsidR="0021428F">
        <w:rPr>
          <w:noProof/>
          <w:color w:val="000000"/>
        </w:rPr>
        <w:t> </w:t>
      </w:r>
      <w:r w:rsidR="00D11A5F" w:rsidRPr="004C259F">
        <w:rPr>
          <w:noProof/>
          <w:color w:val="000000"/>
        </w:rPr>
        <w:t>1.5 billion</w:t>
      </w:r>
      <w:r w:rsidR="00E97E2F" w:rsidRPr="004C259F">
        <w:rPr>
          <w:noProof/>
          <w:color w:val="000000"/>
        </w:rPr>
        <w:t>)</w:t>
      </w:r>
      <w:r w:rsidR="00147430">
        <w:rPr>
          <w:noProof/>
          <w:color w:val="000000"/>
        </w:rPr>
        <w:t> (</w:t>
      </w:r>
      <w:r w:rsidR="00166FBF" w:rsidRPr="004C259F">
        <w:rPr>
          <w:rStyle w:val="FootnoteReference"/>
          <w:rFonts w:eastAsia="Calibri" w:cs="Times New Roman"/>
          <w:noProof/>
          <w:color w:val="000000"/>
          <w:kern w:val="0"/>
          <w:szCs w:val="24"/>
          <w14:ligatures w14:val="none"/>
        </w:rPr>
        <w:footnoteReference w:id="6"/>
      </w:r>
      <w:r w:rsidR="00147430">
        <w:rPr>
          <w:noProof/>
          <w:color w:val="000000"/>
        </w:rPr>
        <w:t>)</w:t>
      </w:r>
      <w:r w:rsidR="00D11A5F" w:rsidRPr="004C259F">
        <w:rPr>
          <w:noProof/>
          <w:color w:val="000000"/>
        </w:rPr>
        <w:t xml:space="preserve"> </w:t>
      </w:r>
      <w:r w:rsidR="00B972ED">
        <w:rPr>
          <w:noProof/>
          <w:color w:val="000000"/>
        </w:rPr>
        <w:t xml:space="preserve">by </w:t>
      </w:r>
      <w:r w:rsidR="001D4660" w:rsidRPr="004C259F">
        <w:rPr>
          <w:noProof/>
          <w:color w:val="000000"/>
        </w:rPr>
        <w:t>2030</w:t>
      </w:r>
      <w:r w:rsidR="00034901">
        <w:rPr>
          <w:noProof/>
          <w:color w:val="000000"/>
        </w:rPr>
        <w:t xml:space="preserve"> </w:t>
      </w:r>
      <w:r w:rsidR="00B972ED">
        <w:rPr>
          <w:noProof/>
          <w:color w:val="000000"/>
        </w:rPr>
        <w:t>to fund</w:t>
      </w:r>
      <w:r w:rsidR="001D4660" w:rsidRPr="004C259F">
        <w:rPr>
          <w:noProof/>
          <w:color w:val="000000"/>
        </w:rPr>
        <w:t xml:space="preserve"> projects to decarbonise the maritime sector, </w:t>
      </w:r>
      <w:r w:rsidR="00034901">
        <w:rPr>
          <w:noProof/>
          <w:color w:val="000000"/>
        </w:rPr>
        <w:t xml:space="preserve">also </w:t>
      </w:r>
      <w:r w:rsidR="001D4660" w:rsidRPr="004C259F">
        <w:rPr>
          <w:noProof/>
          <w:color w:val="000000"/>
        </w:rPr>
        <w:t>covers</w:t>
      </w:r>
      <w:r w:rsidR="00034901">
        <w:rPr>
          <w:noProof/>
          <w:color w:val="000000"/>
        </w:rPr>
        <w:t xml:space="preserve"> </w:t>
      </w:r>
      <w:r w:rsidR="001D4660" w:rsidRPr="004C259F">
        <w:rPr>
          <w:noProof/>
          <w:color w:val="000000"/>
        </w:rPr>
        <w:t>the production and use of sustainable fuels, the electrification of the maritime transport system, and the building and/or retrofitting of low- and zero</w:t>
      </w:r>
      <w:r w:rsidR="006A2671">
        <w:rPr>
          <w:noProof/>
          <w:color w:val="000000"/>
        </w:rPr>
        <w:t>-</w:t>
      </w:r>
      <w:r w:rsidR="00034901">
        <w:rPr>
          <w:noProof/>
          <w:color w:val="000000"/>
        </w:rPr>
        <w:t>emission</w:t>
      </w:r>
      <w:r w:rsidR="00034901" w:rsidRPr="004C259F">
        <w:rPr>
          <w:noProof/>
          <w:color w:val="000000"/>
        </w:rPr>
        <w:t xml:space="preserve"> </w:t>
      </w:r>
      <w:r w:rsidR="001D4660" w:rsidRPr="004C259F">
        <w:rPr>
          <w:noProof/>
          <w:color w:val="000000"/>
        </w:rPr>
        <w:t>vessels.</w:t>
      </w:r>
      <w:r w:rsidR="00034901">
        <w:rPr>
          <w:noProof/>
          <w:color w:val="000000"/>
        </w:rPr>
        <w:t xml:space="preserve"> </w:t>
      </w:r>
      <w:r w:rsidR="00902DBE">
        <w:rPr>
          <w:noProof/>
          <w:color w:val="000000"/>
        </w:rPr>
        <w:t>Since</w:t>
      </w:r>
      <w:r w:rsidR="001D4660" w:rsidRPr="004C259F">
        <w:rPr>
          <w:noProof/>
          <w:color w:val="000000"/>
        </w:rPr>
        <w:t xml:space="preserve"> early 2026</w:t>
      </w:r>
      <w:r w:rsidR="00C63E0D">
        <w:rPr>
          <w:noProof/>
          <w:color w:val="000000"/>
        </w:rPr>
        <w:t>,</w:t>
      </w:r>
      <w:r w:rsidR="001D4660" w:rsidRPr="004C259F">
        <w:rPr>
          <w:noProof/>
          <w:color w:val="000000"/>
        </w:rPr>
        <w:t xml:space="preserve"> and after just two calls for</w:t>
      </w:r>
      <w:r w:rsidR="00C63E0D">
        <w:rPr>
          <w:noProof/>
          <w:color w:val="000000"/>
        </w:rPr>
        <w:t xml:space="preserve"> </w:t>
      </w:r>
      <w:r w:rsidR="001D4660" w:rsidRPr="004C259F">
        <w:rPr>
          <w:noProof/>
          <w:color w:val="000000"/>
        </w:rPr>
        <w:t xml:space="preserve">proposals, the Innovation Fund </w:t>
      </w:r>
      <w:r w:rsidR="00C63E0D">
        <w:rPr>
          <w:noProof/>
          <w:color w:val="000000"/>
        </w:rPr>
        <w:t xml:space="preserve">has provided </w:t>
      </w:r>
      <w:r w:rsidR="001D4660" w:rsidRPr="004C259F">
        <w:rPr>
          <w:noProof/>
          <w:color w:val="000000"/>
        </w:rPr>
        <w:t>support</w:t>
      </w:r>
      <w:r w:rsidR="00C63E0D">
        <w:rPr>
          <w:noProof/>
          <w:color w:val="000000"/>
        </w:rPr>
        <w:t xml:space="preserve"> for </w:t>
      </w:r>
      <w:r w:rsidR="001D4660" w:rsidRPr="004C259F">
        <w:rPr>
          <w:noProof/>
          <w:color w:val="000000"/>
        </w:rPr>
        <w:t>21 maritime</w:t>
      </w:r>
      <w:r w:rsidR="00C63E0D">
        <w:rPr>
          <w:noProof/>
          <w:color w:val="000000"/>
        </w:rPr>
        <w:t xml:space="preserve"> </w:t>
      </w:r>
      <w:r w:rsidR="001D4660" w:rsidRPr="004C259F">
        <w:rPr>
          <w:noProof/>
          <w:color w:val="000000"/>
        </w:rPr>
        <w:t>projects for a total of EUR</w:t>
      </w:r>
      <w:r w:rsidR="004C259F">
        <w:rPr>
          <w:noProof/>
          <w:color w:val="000000"/>
        </w:rPr>
        <w:t> </w:t>
      </w:r>
      <w:r w:rsidR="001D4660" w:rsidRPr="004C259F">
        <w:rPr>
          <w:noProof/>
          <w:color w:val="000000"/>
        </w:rPr>
        <w:t>1.03 billion, including EUR</w:t>
      </w:r>
      <w:r w:rsidR="004C259F">
        <w:rPr>
          <w:noProof/>
          <w:color w:val="000000"/>
        </w:rPr>
        <w:t> </w:t>
      </w:r>
      <w:r w:rsidR="001D4660" w:rsidRPr="004C259F">
        <w:rPr>
          <w:noProof/>
          <w:color w:val="000000"/>
        </w:rPr>
        <w:t>365.3 million through auctions for hydrogen-based fuels and EUR</w:t>
      </w:r>
      <w:r w:rsidR="004C259F">
        <w:rPr>
          <w:noProof/>
          <w:color w:val="000000"/>
        </w:rPr>
        <w:t> </w:t>
      </w:r>
      <w:r w:rsidR="001D4660" w:rsidRPr="004C259F">
        <w:rPr>
          <w:noProof/>
          <w:color w:val="000000"/>
        </w:rPr>
        <w:t>202.3 million for projects related to construction and/or retrofitting of vessels.</w:t>
      </w:r>
    </w:p>
    <w:p w14:paraId="13878CF7" w14:textId="08B4E38D" w:rsidR="00C8726A" w:rsidRPr="004C259F" w:rsidRDefault="00C8726A" w:rsidP="00A17337">
      <w:pPr>
        <w:rPr>
          <w:noProof/>
          <w:color w:val="000000"/>
        </w:rPr>
      </w:pPr>
      <w:r w:rsidRPr="004C259F">
        <w:rPr>
          <w:noProof/>
          <w:color w:val="000000"/>
        </w:rPr>
        <w:t xml:space="preserve">While the Innovation Fund focuses on </w:t>
      </w:r>
      <w:r w:rsidR="006A2671">
        <w:rPr>
          <w:noProof/>
          <w:color w:val="000000"/>
        </w:rPr>
        <w:t xml:space="preserve">projects at a </w:t>
      </w:r>
      <w:r w:rsidRPr="004C259F">
        <w:rPr>
          <w:noProof/>
          <w:color w:val="000000"/>
        </w:rPr>
        <w:t xml:space="preserve">higher </w:t>
      </w:r>
      <w:r w:rsidR="002D6174">
        <w:rPr>
          <w:noProof/>
          <w:color w:val="000000"/>
        </w:rPr>
        <w:t>t</w:t>
      </w:r>
      <w:r w:rsidRPr="004C259F">
        <w:rPr>
          <w:noProof/>
          <w:color w:val="000000"/>
        </w:rPr>
        <w:t xml:space="preserve">echnology </w:t>
      </w:r>
      <w:r w:rsidR="002D6174">
        <w:rPr>
          <w:noProof/>
          <w:color w:val="000000"/>
        </w:rPr>
        <w:t>r</w:t>
      </w:r>
      <w:r w:rsidRPr="004C259F">
        <w:rPr>
          <w:noProof/>
          <w:color w:val="000000"/>
        </w:rPr>
        <w:t xml:space="preserve">eadiness </w:t>
      </w:r>
      <w:r w:rsidR="002D6174">
        <w:rPr>
          <w:noProof/>
          <w:color w:val="000000"/>
        </w:rPr>
        <w:t>l</w:t>
      </w:r>
      <w:r w:rsidRPr="004C259F">
        <w:rPr>
          <w:noProof/>
          <w:color w:val="000000"/>
        </w:rPr>
        <w:t xml:space="preserve">evel (TRL) and deployment, the EU has </w:t>
      </w:r>
      <w:r w:rsidR="00B21371" w:rsidRPr="004C259F">
        <w:rPr>
          <w:noProof/>
          <w:color w:val="000000"/>
        </w:rPr>
        <w:t xml:space="preserve">also </w:t>
      </w:r>
      <w:r w:rsidRPr="004C259F">
        <w:rPr>
          <w:noProof/>
          <w:color w:val="000000"/>
        </w:rPr>
        <w:t xml:space="preserve">invested in lower TRL projects for the maritime sector through Horizon Europe, in particular </w:t>
      </w:r>
      <w:r w:rsidR="00B21371">
        <w:rPr>
          <w:noProof/>
          <w:color w:val="000000"/>
        </w:rPr>
        <w:t xml:space="preserve">in </w:t>
      </w:r>
      <w:r w:rsidRPr="004C259F">
        <w:rPr>
          <w:noProof/>
          <w:color w:val="000000"/>
        </w:rPr>
        <w:t xml:space="preserve">the </w:t>
      </w:r>
      <w:r w:rsidR="00D42F5F">
        <w:rPr>
          <w:noProof/>
          <w:color w:val="000000"/>
        </w:rPr>
        <w:t>z</w:t>
      </w:r>
      <w:r w:rsidRPr="004C259F">
        <w:rPr>
          <w:noProof/>
          <w:color w:val="000000"/>
        </w:rPr>
        <w:t>ero-</w:t>
      </w:r>
      <w:r w:rsidR="00D42F5F">
        <w:rPr>
          <w:noProof/>
          <w:color w:val="000000"/>
        </w:rPr>
        <w:t>e</w:t>
      </w:r>
      <w:r w:rsidRPr="004C259F">
        <w:rPr>
          <w:noProof/>
          <w:color w:val="000000"/>
        </w:rPr>
        <w:t xml:space="preserve">mission </w:t>
      </w:r>
      <w:r w:rsidR="00D42F5F">
        <w:rPr>
          <w:noProof/>
          <w:color w:val="000000"/>
        </w:rPr>
        <w:t>w</w:t>
      </w:r>
      <w:r w:rsidRPr="004C259F">
        <w:rPr>
          <w:noProof/>
          <w:color w:val="000000"/>
        </w:rPr>
        <w:t xml:space="preserve">aterborne </w:t>
      </w:r>
      <w:r w:rsidR="00D42F5F">
        <w:rPr>
          <w:noProof/>
          <w:color w:val="000000"/>
        </w:rPr>
        <w:t>t</w:t>
      </w:r>
      <w:r w:rsidRPr="004C259F">
        <w:rPr>
          <w:noProof/>
          <w:color w:val="000000"/>
        </w:rPr>
        <w:t xml:space="preserve">ransport </w:t>
      </w:r>
      <w:r w:rsidR="00D42F5F">
        <w:rPr>
          <w:noProof/>
          <w:color w:val="000000"/>
        </w:rPr>
        <w:t>p</w:t>
      </w:r>
      <w:r w:rsidRPr="004C259F">
        <w:rPr>
          <w:noProof/>
          <w:color w:val="000000"/>
        </w:rPr>
        <w:t xml:space="preserve">artnership. Under </w:t>
      </w:r>
      <w:r w:rsidR="00D42F5F" w:rsidRPr="004C259F">
        <w:rPr>
          <w:noProof/>
          <w:color w:val="000000"/>
        </w:rPr>
        <w:t>th</w:t>
      </w:r>
      <w:r w:rsidR="00D42F5F">
        <w:rPr>
          <w:noProof/>
          <w:color w:val="000000"/>
        </w:rPr>
        <w:t>at</w:t>
      </w:r>
      <w:r w:rsidR="00D42F5F" w:rsidRPr="004C259F">
        <w:rPr>
          <w:noProof/>
          <w:color w:val="000000"/>
        </w:rPr>
        <w:t xml:space="preserve"> </w:t>
      </w:r>
      <w:r w:rsidRPr="004C259F">
        <w:rPr>
          <w:noProof/>
          <w:color w:val="000000"/>
        </w:rPr>
        <w:t>partnership, the EU will invest up to EUR</w:t>
      </w:r>
      <w:r w:rsidR="004C259F">
        <w:rPr>
          <w:noProof/>
          <w:color w:val="000000"/>
        </w:rPr>
        <w:t> </w:t>
      </w:r>
      <w:r w:rsidRPr="004C259F">
        <w:rPr>
          <w:noProof/>
          <w:color w:val="000000"/>
        </w:rPr>
        <w:t xml:space="preserve">530 million until 2027, in </w:t>
      </w:r>
      <w:r w:rsidR="0083736B" w:rsidRPr="004C259F">
        <w:rPr>
          <w:noProof/>
          <w:color w:val="000000"/>
        </w:rPr>
        <w:t xml:space="preserve">six </w:t>
      </w:r>
      <w:r w:rsidRPr="004C259F">
        <w:rPr>
          <w:noProof/>
          <w:color w:val="000000"/>
        </w:rPr>
        <w:t>areas</w:t>
      </w:r>
      <w:r w:rsidR="00821A67" w:rsidRPr="004C259F">
        <w:rPr>
          <w:noProof/>
          <w:color w:val="000000"/>
        </w:rPr>
        <w:t>:</w:t>
      </w:r>
      <w:r w:rsidR="00EC2A8E">
        <w:rPr>
          <w:noProof/>
          <w:color w:val="000000"/>
        </w:rPr>
        <w:t xml:space="preserve"> (i)</w:t>
      </w:r>
      <w:r w:rsidRPr="004C259F">
        <w:rPr>
          <w:noProof/>
          <w:color w:val="000000"/>
        </w:rPr>
        <w:t xml:space="preserve"> use of sustainable alternative fuels, </w:t>
      </w:r>
      <w:r w:rsidR="00EC2A8E">
        <w:rPr>
          <w:noProof/>
          <w:color w:val="000000"/>
        </w:rPr>
        <w:t xml:space="preserve">(ii) </w:t>
      </w:r>
      <w:r w:rsidRPr="004C259F">
        <w:rPr>
          <w:noProof/>
          <w:color w:val="000000"/>
        </w:rPr>
        <w:t xml:space="preserve">electrification, </w:t>
      </w:r>
      <w:r w:rsidR="00EC2A8E">
        <w:rPr>
          <w:noProof/>
          <w:color w:val="000000"/>
        </w:rPr>
        <w:t xml:space="preserve">(iii) </w:t>
      </w:r>
      <w:r w:rsidRPr="004C259F">
        <w:rPr>
          <w:noProof/>
          <w:color w:val="000000"/>
        </w:rPr>
        <w:t xml:space="preserve">energy efficiency, </w:t>
      </w:r>
      <w:r w:rsidR="00EC2A8E">
        <w:rPr>
          <w:noProof/>
          <w:color w:val="000000"/>
        </w:rPr>
        <w:t xml:space="preserve">(iv) </w:t>
      </w:r>
      <w:r w:rsidRPr="004C259F">
        <w:rPr>
          <w:noProof/>
          <w:color w:val="000000"/>
        </w:rPr>
        <w:t xml:space="preserve">design </w:t>
      </w:r>
      <w:r w:rsidR="00A6233A" w:rsidRPr="004C259F">
        <w:rPr>
          <w:noProof/>
          <w:color w:val="000000"/>
        </w:rPr>
        <w:t>and</w:t>
      </w:r>
      <w:r w:rsidRPr="004C259F">
        <w:rPr>
          <w:noProof/>
          <w:color w:val="000000"/>
        </w:rPr>
        <w:t xml:space="preserve"> retrofitting, </w:t>
      </w:r>
      <w:r w:rsidR="00EC2A8E">
        <w:rPr>
          <w:noProof/>
          <w:color w:val="000000"/>
        </w:rPr>
        <w:t xml:space="preserve">(v) </w:t>
      </w:r>
      <w:r w:rsidRPr="004C259F">
        <w:rPr>
          <w:noProof/>
          <w:color w:val="000000"/>
        </w:rPr>
        <w:t xml:space="preserve">digital and </w:t>
      </w:r>
      <w:r w:rsidR="00EC2A8E">
        <w:rPr>
          <w:noProof/>
          <w:color w:val="000000"/>
        </w:rPr>
        <w:t xml:space="preserve">(vi) </w:t>
      </w:r>
      <w:r w:rsidR="00DD4796" w:rsidRPr="004C259F">
        <w:rPr>
          <w:noProof/>
          <w:color w:val="000000"/>
        </w:rPr>
        <w:t xml:space="preserve">green </w:t>
      </w:r>
      <w:r w:rsidRPr="004C259F">
        <w:rPr>
          <w:noProof/>
          <w:color w:val="000000"/>
        </w:rPr>
        <w:t>ports.</w:t>
      </w:r>
    </w:p>
    <w:p w14:paraId="227D3831" w14:textId="2E60742D" w:rsidR="00C53CC2" w:rsidRPr="004C259F" w:rsidRDefault="00181B4B" w:rsidP="00A17337">
      <w:pPr>
        <w:rPr>
          <w:noProof/>
        </w:rPr>
      </w:pPr>
      <w:r w:rsidRPr="004C259F">
        <w:rPr>
          <w:noProof/>
        </w:rPr>
        <w:t xml:space="preserve">The Commission is also committed to supporting global action to encourage the decarbonisation of the sector, notably </w:t>
      </w:r>
      <w:r w:rsidR="006A2671">
        <w:rPr>
          <w:noProof/>
        </w:rPr>
        <w:t xml:space="preserve">in its work with </w:t>
      </w:r>
      <w:r w:rsidRPr="004C259F">
        <w:rPr>
          <w:noProof/>
        </w:rPr>
        <w:t xml:space="preserve">the </w:t>
      </w:r>
      <w:r w:rsidRPr="004C259F">
        <w:rPr>
          <w:b/>
          <w:bCs/>
          <w:noProof/>
        </w:rPr>
        <w:t>International Maritime Organization (IMO)</w:t>
      </w:r>
      <w:r w:rsidR="009A183C" w:rsidRPr="004C259F">
        <w:rPr>
          <w:noProof/>
        </w:rPr>
        <w:t xml:space="preserve">. </w:t>
      </w:r>
      <w:r w:rsidR="00C53CC2" w:rsidRPr="004C259F">
        <w:rPr>
          <w:noProof/>
        </w:rPr>
        <w:t xml:space="preserve">In April 2025, the EU welcomed the approval </w:t>
      </w:r>
      <w:r w:rsidR="002E6466">
        <w:rPr>
          <w:noProof/>
        </w:rPr>
        <w:t xml:space="preserve">by </w:t>
      </w:r>
      <w:r w:rsidR="002E6466" w:rsidRPr="004C259F">
        <w:rPr>
          <w:noProof/>
        </w:rPr>
        <w:t xml:space="preserve">the IMO </w:t>
      </w:r>
      <w:r w:rsidR="00C53CC2" w:rsidRPr="004C259F">
        <w:rPr>
          <w:noProof/>
        </w:rPr>
        <w:t xml:space="preserve">of the </w:t>
      </w:r>
      <w:r w:rsidR="002E6466">
        <w:rPr>
          <w:noProof/>
        </w:rPr>
        <w:t>n</w:t>
      </w:r>
      <w:r w:rsidR="00C53CC2" w:rsidRPr="004C259F">
        <w:rPr>
          <w:noProof/>
        </w:rPr>
        <w:t>et-</w:t>
      </w:r>
      <w:r w:rsidR="002E6466">
        <w:rPr>
          <w:noProof/>
        </w:rPr>
        <w:t>z</w:t>
      </w:r>
      <w:r w:rsidR="00C53CC2" w:rsidRPr="004C259F">
        <w:rPr>
          <w:noProof/>
        </w:rPr>
        <w:t xml:space="preserve">ero </w:t>
      </w:r>
      <w:r w:rsidR="002E6466">
        <w:rPr>
          <w:noProof/>
        </w:rPr>
        <w:t>f</w:t>
      </w:r>
      <w:r w:rsidR="00C53CC2" w:rsidRPr="004C259F">
        <w:rPr>
          <w:noProof/>
        </w:rPr>
        <w:t xml:space="preserve">ramework </w:t>
      </w:r>
      <w:r w:rsidR="002E6466">
        <w:rPr>
          <w:noProof/>
        </w:rPr>
        <w:t>for</w:t>
      </w:r>
      <w:r w:rsidR="002E6466" w:rsidRPr="004C259F">
        <w:rPr>
          <w:noProof/>
        </w:rPr>
        <w:t xml:space="preserve"> </w:t>
      </w:r>
      <w:r w:rsidR="00C53CC2" w:rsidRPr="004C259F">
        <w:rPr>
          <w:noProof/>
        </w:rPr>
        <w:t>reduc</w:t>
      </w:r>
      <w:r w:rsidR="002E6466">
        <w:rPr>
          <w:noProof/>
        </w:rPr>
        <w:t>ing</w:t>
      </w:r>
      <w:r w:rsidR="00C53CC2" w:rsidRPr="004C259F">
        <w:rPr>
          <w:noProof/>
        </w:rPr>
        <w:t xml:space="preserve"> greenhouse gas emissions from international shipping</w:t>
      </w:r>
      <w:r w:rsidR="002E6466">
        <w:rPr>
          <w:noProof/>
        </w:rPr>
        <w:t>. The framework</w:t>
      </w:r>
      <w:r w:rsidR="00C53CC2" w:rsidRPr="004C259F">
        <w:rPr>
          <w:noProof/>
        </w:rPr>
        <w:t xml:space="preserve"> includes a global standard for gradually reducing the GHG intensity of marine fuels and a pricing </w:t>
      </w:r>
      <w:r w:rsidR="005D2878">
        <w:rPr>
          <w:noProof/>
        </w:rPr>
        <w:t>mechanism</w:t>
      </w:r>
      <w:r w:rsidR="005D2878" w:rsidRPr="004C259F">
        <w:rPr>
          <w:noProof/>
        </w:rPr>
        <w:t xml:space="preserve"> </w:t>
      </w:r>
      <w:r w:rsidR="00C53CC2" w:rsidRPr="004C259F">
        <w:rPr>
          <w:noProof/>
        </w:rPr>
        <w:t>for GHG emissions. The agreement, pending its adoption, is a meaningful step towards the goal of net-zero emissions from maritime transport by or around, i.e. close to</w:t>
      </w:r>
      <w:r w:rsidR="005D2878">
        <w:rPr>
          <w:noProof/>
        </w:rPr>
        <w:t>,</w:t>
      </w:r>
      <w:r w:rsidR="00C53CC2" w:rsidRPr="004C259F">
        <w:rPr>
          <w:noProof/>
        </w:rPr>
        <w:t xml:space="preserve"> 2050 as set in the 2023 IMO GHG strategy. Discussions on the adoption of the agreement have been postponed to October 2026.</w:t>
      </w:r>
    </w:p>
    <w:p w14:paraId="0F5C2CAE" w14:textId="66B2A136" w:rsidR="00CB7387" w:rsidRPr="004C259F" w:rsidRDefault="005D2878" w:rsidP="00CB7387">
      <w:pPr>
        <w:numPr>
          <w:ilvl w:val="0"/>
          <w:numId w:val="1"/>
        </w:numPr>
        <w:spacing w:after="0"/>
        <w:contextualSpacing/>
        <w:rPr>
          <w:rFonts w:eastAsia="Calibri" w:cs="Times New Roman"/>
          <w:b/>
          <w:bCs/>
          <w:noProof/>
          <w:kern w:val="0"/>
          <w:szCs w:val="24"/>
          <w14:ligatures w14:val="none"/>
        </w:rPr>
      </w:pPr>
      <w:r>
        <w:rPr>
          <w:rFonts w:eastAsia="Calibri" w:cs="Times New Roman"/>
          <w:b/>
          <w:bCs/>
          <w:noProof/>
          <w:kern w:val="0"/>
          <w:szCs w:val="24"/>
          <w14:ligatures w14:val="none"/>
        </w:rPr>
        <w:t>R</w:t>
      </w:r>
      <w:r w:rsidR="00945DF3" w:rsidRPr="004C259F">
        <w:rPr>
          <w:rFonts w:eastAsia="Calibri" w:cs="Times New Roman"/>
          <w:b/>
          <w:bCs/>
          <w:noProof/>
          <w:kern w:val="0"/>
          <w:szCs w:val="24"/>
          <w14:ligatures w14:val="none"/>
        </w:rPr>
        <w:t>ecord maritime emissions</w:t>
      </w:r>
      <w:r w:rsidR="00D4322D" w:rsidRPr="004C259F">
        <w:rPr>
          <w:rFonts w:eastAsia="Calibri" w:cs="Times New Roman"/>
          <w:b/>
          <w:bCs/>
          <w:noProof/>
          <w:kern w:val="0"/>
          <w:szCs w:val="24"/>
          <w14:ligatures w14:val="none"/>
        </w:rPr>
        <w:t xml:space="preserve"> </w:t>
      </w:r>
      <w:r>
        <w:rPr>
          <w:rFonts w:eastAsia="Calibri" w:cs="Times New Roman"/>
          <w:b/>
          <w:bCs/>
          <w:noProof/>
          <w:kern w:val="0"/>
          <w:szCs w:val="24"/>
          <w14:ligatures w14:val="none"/>
        </w:rPr>
        <w:t xml:space="preserve">in 2024 </w:t>
      </w:r>
      <w:r w:rsidR="00D4322D" w:rsidRPr="004C259F">
        <w:rPr>
          <w:rFonts w:eastAsia="Calibri" w:cs="Times New Roman"/>
          <w:b/>
          <w:bCs/>
          <w:noProof/>
          <w:kern w:val="0"/>
          <w:szCs w:val="24"/>
          <w14:ligatures w14:val="none"/>
        </w:rPr>
        <w:t>as a consequence of the Red Sea crisis</w:t>
      </w:r>
    </w:p>
    <w:p w14:paraId="3B073E17" w14:textId="796E7CD8" w:rsidR="0060179A" w:rsidRPr="004C259F" w:rsidRDefault="00665155" w:rsidP="00A17337">
      <w:pPr>
        <w:rPr>
          <w:noProof/>
        </w:rPr>
      </w:pPr>
      <w:r>
        <w:rPr>
          <w:noProof/>
        </w:rPr>
        <w:t xml:space="preserve">In </w:t>
      </w:r>
      <w:r w:rsidRPr="004C259F">
        <w:rPr>
          <w:noProof/>
        </w:rPr>
        <w:t>the 2024 reporting year</w:t>
      </w:r>
      <w:r>
        <w:rPr>
          <w:noProof/>
        </w:rPr>
        <w:t>,</w:t>
      </w:r>
      <w:r w:rsidRPr="004C259F">
        <w:rPr>
          <w:noProof/>
        </w:rPr>
        <w:t xml:space="preserve"> </w:t>
      </w:r>
      <w:r>
        <w:rPr>
          <w:noProof/>
        </w:rPr>
        <w:t>t</w:t>
      </w:r>
      <w:r w:rsidR="00181B4B" w:rsidRPr="004C259F">
        <w:rPr>
          <w:noProof/>
        </w:rPr>
        <w:t xml:space="preserve">he monitored voyages emitted </w:t>
      </w:r>
      <w:r w:rsidR="00945DF3" w:rsidRPr="004C259F">
        <w:rPr>
          <w:b/>
          <w:bCs/>
          <w:noProof/>
        </w:rPr>
        <w:t>144.9</w:t>
      </w:r>
      <w:r w:rsidR="00181B4B" w:rsidRPr="004C259F">
        <w:rPr>
          <w:b/>
          <w:bCs/>
          <w:noProof/>
        </w:rPr>
        <w:t xml:space="preserve"> million tonnes of CO</w:t>
      </w:r>
      <w:r w:rsidR="004C259F">
        <w:rPr>
          <w:b/>
          <w:bCs/>
          <w:noProof/>
          <w:vertAlign w:val="subscript"/>
        </w:rPr>
        <w:t>2</w:t>
      </w:r>
      <w:r w:rsidR="00181B4B" w:rsidRPr="004C259F">
        <w:rPr>
          <w:noProof/>
        </w:rPr>
        <w:t xml:space="preserve"> into the atmosphere. These emissions</w:t>
      </w:r>
      <w:r w:rsidR="00945DF3" w:rsidRPr="004C259F">
        <w:rPr>
          <w:noProof/>
        </w:rPr>
        <w:t>, reported by a fleet of around 12</w:t>
      </w:r>
      <w:r w:rsidR="004C259F">
        <w:rPr>
          <w:noProof/>
        </w:rPr>
        <w:t> </w:t>
      </w:r>
      <w:r w:rsidR="00945DF3" w:rsidRPr="004C259F">
        <w:rPr>
          <w:noProof/>
        </w:rPr>
        <w:t>700 ships,</w:t>
      </w:r>
      <w:r w:rsidR="00181B4B" w:rsidRPr="004C259F">
        <w:rPr>
          <w:noProof/>
        </w:rPr>
        <w:t xml:space="preserve"> were</w:t>
      </w:r>
      <w:r w:rsidR="00945DF3" w:rsidRPr="004C259F">
        <w:rPr>
          <w:noProof/>
        </w:rPr>
        <w:t xml:space="preserve"> the highest record</w:t>
      </w:r>
      <w:r>
        <w:rPr>
          <w:noProof/>
        </w:rPr>
        <w:t>ed</w:t>
      </w:r>
      <w:r w:rsidR="00945DF3" w:rsidRPr="004C259F">
        <w:rPr>
          <w:noProof/>
        </w:rPr>
        <w:t xml:space="preserve"> since the MRV </w:t>
      </w:r>
      <w:r w:rsidR="00370231" w:rsidRPr="004C259F">
        <w:rPr>
          <w:noProof/>
        </w:rPr>
        <w:t>system</w:t>
      </w:r>
      <w:r w:rsidR="006A2671">
        <w:rPr>
          <w:noProof/>
        </w:rPr>
        <w:t xml:space="preserve"> was set up</w:t>
      </w:r>
      <w:r>
        <w:rPr>
          <w:noProof/>
        </w:rPr>
        <w:t>. They were</w:t>
      </w:r>
      <w:r w:rsidRPr="004C259F">
        <w:rPr>
          <w:noProof/>
        </w:rPr>
        <w:t xml:space="preserve"> </w:t>
      </w:r>
      <w:r w:rsidR="00370231" w:rsidRPr="004C259F">
        <w:rPr>
          <w:b/>
          <w:bCs/>
          <w:noProof/>
        </w:rPr>
        <w:t>12.9</w:t>
      </w:r>
      <w:r w:rsidR="00181B4B" w:rsidRPr="004C259F">
        <w:rPr>
          <w:b/>
          <w:bCs/>
          <w:noProof/>
        </w:rPr>
        <w:t xml:space="preserve">% </w:t>
      </w:r>
      <w:r w:rsidR="00945DF3" w:rsidRPr="004C259F">
        <w:rPr>
          <w:b/>
          <w:bCs/>
          <w:noProof/>
        </w:rPr>
        <w:t>higher</w:t>
      </w:r>
      <w:r w:rsidR="00181B4B" w:rsidRPr="004C259F">
        <w:rPr>
          <w:noProof/>
        </w:rPr>
        <w:t xml:space="preserve"> than those reported in 202</w:t>
      </w:r>
      <w:r w:rsidR="00945DF3" w:rsidRPr="004C259F">
        <w:rPr>
          <w:noProof/>
        </w:rPr>
        <w:t>3</w:t>
      </w:r>
      <w:r w:rsidR="00370231" w:rsidRPr="004C259F">
        <w:rPr>
          <w:noProof/>
        </w:rPr>
        <w:t>,</w:t>
      </w:r>
      <w:r w:rsidR="00945DF3" w:rsidRPr="004C259F">
        <w:rPr>
          <w:noProof/>
        </w:rPr>
        <w:t xml:space="preserve"> and 5.7% higher than those reported pre-COVID</w:t>
      </w:r>
      <w:r w:rsidR="00A00436">
        <w:rPr>
          <w:noProof/>
        </w:rPr>
        <w:t>-</w:t>
      </w:r>
      <w:r w:rsidR="00945DF3" w:rsidRPr="004C259F">
        <w:rPr>
          <w:noProof/>
        </w:rPr>
        <w:t>2019</w:t>
      </w:r>
      <w:r w:rsidR="00147430">
        <w:rPr>
          <w:noProof/>
        </w:rPr>
        <w:t> (</w:t>
      </w:r>
      <w:r w:rsidR="00945DF3" w:rsidRPr="004C259F">
        <w:rPr>
          <w:rStyle w:val="FootnoteReference"/>
          <w:rFonts w:eastAsia="Calibri" w:cs="Times New Roman"/>
          <w:noProof/>
          <w:kern w:val="0"/>
          <w:szCs w:val="24"/>
          <w14:ligatures w14:val="none"/>
        </w:rPr>
        <w:footnoteReference w:id="7"/>
      </w:r>
      <w:r w:rsidR="00147430">
        <w:rPr>
          <w:noProof/>
        </w:rPr>
        <w:t>)</w:t>
      </w:r>
      <w:r w:rsidR="004C259F" w:rsidRPr="004C259F">
        <w:rPr>
          <w:noProof/>
        </w:rPr>
        <w:t>.</w:t>
      </w:r>
      <w:r w:rsidR="00945DF3" w:rsidRPr="004C259F">
        <w:rPr>
          <w:noProof/>
        </w:rPr>
        <w:t xml:space="preserve"> </w:t>
      </w:r>
      <w:r w:rsidR="007E5985" w:rsidRPr="004C259F">
        <w:rPr>
          <w:noProof/>
        </w:rPr>
        <w:t xml:space="preserve">For the first </w:t>
      </w:r>
      <w:r>
        <w:rPr>
          <w:noProof/>
        </w:rPr>
        <w:t>time</w:t>
      </w:r>
      <w:r w:rsidR="00722CAD" w:rsidRPr="004C259F">
        <w:rPr>
          <w:noProof/>
        </w:rPr>
        <w:t>,</w:t>
      </w:r>
      <w:r w:rsidR="007E5985" w:rsidRPr="004C259F">
        <w:rPr>
          <w:noProof/>
        </w:rPr>
        <w:t xml:space="preserve"> ships also reported non-CO</w:t>
      </w:r>
      <w:r w:rsidR="004C259F">
        <w:rPr>
          <w:noProof/>
          <w:vertAlign w:val="subscript"/>
        </w:rPr>
        <w:t>2</w:t>
      </w:r>
      <w:r w:rsidR="007E5985" w:rsidRPr="004C259F">
        <w:rPr>
          <w:noProof/>
        </w:rPr>
        <w:t xml:space="preserve"> emissions</w:t>
      </w:r>
      <w:r w:rsidR="003C6038" w:rsidRPr="004C259F">
        <w:rPr>
          <w:noProof/>
        </w:rPr>
        <w:t xml:space="preserve"> </w:t>
      </w:r>
      <w:r w:rsidR="00A00436">
        <w:rPr>
          <w:noProof/>
        </w:rPr>
        <w:t>within the scope of the</w:t>
      </w:r>
      <w:r w:rsidR="00A00436" w:rsidRPr="004C259F">
        <w:rPr>
          <w:noProof/>
        </w:rPr>
        <w:t xml:space="preserve"> </w:t>
      </w:r>
      <w:r w:rsidR="007E5985" w:rsidRPr="004C259F">
        <w:rPr>
          <w:noProof/>
        </w:rPr>
        <w:t xml:space="preserve">MRV </w:t>
      </w:r>
      <w:r w:rsidR="00A00436">
        <w:rPr>
          <w:noProof/>
        </w:rPr>
        <w:t>system.</w:t>
      </w:r>
      <w:r w:rsidR="007E5985" w:rsidRPr="004C259F">
        <w:rPr>
          <w:noProof/>
        </w:rPr>
        <w:t xml:space="preserve"> </w:t>
      </w:r>
      <w:r w:rsidR="00A00436">
        <w:rPr>
          <w:noProof/>
        </w:rPr>
        <w:t>These emissions</w:t>
      </w:r>
      <w:r w:rsidR="00A00436" w:rsidRPr="004C259F">
        <w:rPr>
          <w:noProof/>
        </w:rPr>
        <w:t xml:space="preserve"> </w:t>
      </w:r>
      <w:r w:rsidR="007E5985" w:rsidRPr="004C259F">
        <w:rPr>
          <w:noProof/>
        </w:rPr>
        <w:t>amounted to an additional 3.7 million tonnes of CO</w:t>
      </w:r>
      <w:r w:rsidR="004C259F">
        <w:rPr>
          <w:noProof/>
          <w:vertAlign w:val="subscript"/>
        </w:rPr>
        <w:t>2</w:t>
      </w:r>
      <w:r w:rsidR="007E5985" w:rsidRPr="004C259F">
        <w:rPr>
          <w:noProof/>
        </w:rPr>
        <w:t xml:space="preserve">-equivalent, with nitrous oxide </w:t>
      </w:r>
      <w:r w:rsidR="00BF7B94" w:rsidRPr="004C259F">
        <w:rPr>
          <w:noProof/>
        </w:rPr>
        <w:t>(N</w:t>
      </w:r>
      <w:r w:rsidR="00BF7B94" w:rsidRPr="004C259F">
        <w:rPr>
          <w:noProof/>
          <w:vertAlign w:val="subscript"/>
        </w:rPr>
        <w:t>2</w:t>
      </w:r>
      <w:r w:rsidR="00BF7B94" w:rsidRPr="004C259F">
        <w:rPr>
          <w:noProof/>
        </w:rPr>
        <w:t xml:space="preserve">O) </w:t>
      </w:r>
      <w:r w:rsidR="007E5985" w:rsidRPr="004C259F">
        <w:rPr>
          <w:noProof/>
        </w:rPr>
        <w:t>emissions accounting for 2.2 million tonnes</w:t>
      </w:r>
      <w:r w:rsidR="00A00436">
        <w:rPr>
          <w:noProof/>
        </w:rPr>
        <w:t xml:space="preserve"> of</w:t>
      </w:r>
      <w:r w:rsidR="007E5985" w:rsidRPr="004C259F">
        <w:rPr>
          <w:noProof/>
        </w:rPr>
        <w:t xml:space="preserve"> CO</w:t>
      </w:r>
      <w:r w:rsidR="004C259F">
        <w:rPr>
          <w:noProof/>
          <w:vertAlign w:val="subscript"/>
        </w:rPr>
        <w:t>2</w:t>
      </w:r>
      <w:r w:rsidR="007E5985" w:rsidRPr="004C259F">
        <w:rPr>
          <w:noProof/>
        </w:rPr>
        <w:t xml:space="preserve">-equivalent and methane </w:t>
      </w:r>
      <w:r w:rsidR="00BF7B94" w:rsidRPr="004C259F">
        <w:rPr>
          <w:noProof/>
        </w:rPr>
        <w:t>(CH</w:t>
      </w:r>
      <w:r w:rsidR="004C259F">
        <w:rPr>
          <w:noProof/>
          <w:vertAlign w:val="subscript"/>
        </w:rPr>
        <w:t>4</w:t>
      </w:r>
      <w:r w:rsidR="00BF7B94" w:rsidRPr="004C259F">
        <w:rPr>
          <w:noProof/>
        </w:rPr>
        <w:t xml:space="preserve">) </w:t>
      </w:r>
      <w:r w:rsidR="00096EBF" w:rsidRPr="004C259F">
        <w:rPr>
          <w:noProof/>
        </w:rPr>
        <w:t xml:space="preserve">emissions </w:t>
      </w:r>
      <w:r w:rsidR="00A00436">
        <w:rPr>
          <w:noProof/>
        </w:rPr>
        <w:t xml:space="preserve">accounting </w:t>
      </w:r>
      <w:r w:rsidR="007E5985" w:rsidRPr="004C259F">
        <w:rPr>
          <w:noProof/>
        </w:rPr>
        <w:t xml:space="preserve">for 1.6 million tonnes </w:t>
      </w:r>
      <w:r w:rsidR="00A00436">
        <w:rPr>
          <w:noProof/>
        </w:rPr>
        <w:t xml:space="preserve">of </w:t>
      </w:r>
      <w:r w:rsidR="007E5985" w:rsidRPr="004C259F">
        <w:rPr>
          <w:noProof/>
        </w:rPr>
        <w:t>CO</w:t>
      </w:r>
      <w:r w:rsidR="004C259F">
        <w:rPr>
          <w:noProof/>
          <w:vertAlign w:val="subscript"/>
        </w:rPr>
        <w:t>2</w:t>
      </w:r>
      <w:r w:rsidR="007E5985" w:rsidRPr="004C259F">
        <w:rPr>
          <w:noProof/>
        </w:rPr>
        <w:t>-equivalent</w:t>
      </w:r>
      <w:r w:rsidR="00972560" w:rsidRPr="004C259F">
        <w:rPr>
          <w:noProof/>
        </w:rPr>
        <w:t>.</w:t>
      </w:r>
    </w:p>
    <w:p w14:paraId="1D883BE5" w14:textId="7049513C" w:rsidR="00CB7387" w:rsidRPr="004C259F" w:rsidRDefault="001F72A4" w:rsidP="00A17337">
      <w:pPr>
        <w:rPr>
          <w:noProof/>
        </w:rPr>
      </w:pPr>
      <w:r w:rsidRPr="004C259F">
        <w:rPr>
          <w:noProof/>
        </w:rPr>
        <w:t xml:space="preserve">The increase in </w:t>
      </w:r>
      <w:r w:rsidR="00C70825">
        <w:rPr>
          <w:noProof/>
        </w:rPr>
        <w:t xml:space="preserve">the </w:t>
      </w:r>
      <w:r w:rsidRPr="004C259F">
        <w:rPr>
          <w:noProof/>
        </w:rPr>
        <w:t xml:space="preserve">reported </w:t>
      </w:r>
      <w:r w:rsidR="00096EBF" w:rsidRPr="004C259F">
        <w:rPr>
          <w:noProof/>
        </w:rPr>
        <w:t>CO</w:t>
      </w:r>
      <w:r w:rsidR="004C259F">
        <w:rPr>
          <w:noProof/>
          <w:vertAlign w:val="subscript"/>
        </w:rPr>
        <w:t>2</w:t>
      </w:r>
      <w:r w:rsidR="00096EBF" w:rsidRPr="004C259F">
        <w:rPr>
          <w:noProof/>
        </w:rPr>
        <w:t xml:space="preserve"> </w:t>
      </w:r>
      <w:r w:rsidRPr="004C259F">
        <w:rPr>
          <w:noProof/>
        </w:rPr>
        <w:t xml:space="preserve">emissions </w:t>
      </w:r>
      <w:r w:rsidR="00C70825">
        <w:rPr>
          <w:noProof/>
        </w:rPr>
        <w:t>occurred</w:t>
      </w:r>
      <w:r w:rsidRPr="004C259F">
        <w:rPr>
          <w:noProof/>
        </w:rPr>
        <w:t xml:space="preserve"> in a year </w:t>
      </w:r>
      <w:r w:rsidR="00AB5347" w:rsidRPr="004C259F">
        <w:rPr>
          <w:noProof/>
        </w:rPr>
        <w:t>when the</w:t>
      </w:r>
      <w:r w:rsidRPr="004C259F">
        <w:rPr>
          <w:noProof/>
        </w:rPr>
        <w:t xml:space="preserve"> volume of goods handled in EU ports</w:t>
      </w:r>
      <w:r w:rsidR="00AB5347" w:rsidRPr="004C259F">
        <w:rPr>
          <w:noProof/>
        </w:rPr>
        <w:t xml:space="preserve"> remained </w:t>
      </w:r>
      <w:r w:rsidR="00924EC6">
        <w:rPr>
          <w:noProof/>
        </w:rPr>
        <w:t>almost unchanged</w:t>
      </w:r>
      <w:r w:rsidRPr="004C259F">
        <w:rPr>
          <w:noProof/>
        </w:rPr>
        <w:t xml:space="preserve"> (-0.2%</w:t>
      </w:r>
      <w:r w:rsidRPr="004C259F">
        <w:rPr>
          <w:rFonts w:eastAsia="Calibri" w:cs="Times New Roman"/>
          <w:noProof/>
          <w:szCs w:val="24"/>
        </w:rPr>
        <w:t xml:space="preserve"> compared </w:t>
      </w:r>
      <w:r w:rsidR="006B3CD9">
        <w:rPr>
          <w:rFonts w:eastAsia="Calibri" w:cs="Times New Roman"/>
          <w:noProof/>
          <w:szCs w:val="24"/>
        </w:rPr>
        <w:t>with</w:t>
      </w:r>
      <w:r w:rsidR="006B3CD9" w:rsidRPr="004C259F">
        <w:rPr>
          <w:rFonts w:eastAsia="Calibri" w:cs="Times New Roman"/>
          <w:noProof/>
          <w:szCs w:val="24"/>
        </w:rPr>
        <w:t xml:space="preserve"> </w:t>
      </w:r>
      <w:r w:rsidRPr="004C259F">
        <w:rPr>
          <w:rFonts w:eastAsia="Calibri" w:cs="Times New Roman"/>
          <w:noProof/>
          <w:szCs w:val="24"/>
        </w:rPr>
        <w:t>2023</w:t>
      </w:r>
      <w:r w:rsidRPr="004C259F">
        <w:rPr>
          <w:noProof/>
        </w:rPr>
        <w:t>)</w:t>
      </w:r>
      <w:r w:rsidR="00EF4912" w:rsidRPr="004C259F">
        <w:rPr>
          <w:noProof/>
        </w:rPr>
        <w:t xml:space="preserve">, </w:t>
      </w:r>
      <w:r w:rsidR="72106376" w:rsidRPr="004C259F">
        <w:rPr>
          <w:noProof/>
        </w:rPr>
        <w:t>partly due to a drop in</w:t>
      </w:r>
      <w:r w:rsidR="00EF4912" w:rsidRPr="004C259F">
        <w:rPr>
          <w:noProof/>
        </w:rPr>
        <w:t xml:space="preserve"> energy goods imports</w:t>
      </w:r>
      <w:r w:rsidR="1AF1DF24" w:rsidRPr="004C259F">
        <w:rPr>
          <w:noProof/>
        </w:rPr>
        <w:t>. However, 2024 was</w:t>
      </w:r>
      <w:r w:rsidR="00E34FAF" w:rsidRPr="004C259F">
        <w:rPr>
          <w:noProof/>
        </w:rPr>
        <w:t xml:space="preserve"> </w:t>
      </w:r>
      <w:r w:rsidR="00AB5347" w:rsidRPr="004C259F">
        <w:rPr>
          <w:noProof/>
        </w:rPr>
        <w:t xml:space="preserve">marked by a considerable </w:t>
      </w:r>
      <w:r w:rsidR="00FD4831" w:rsidRPr="004C259F">
        <w:rPr>
          <w:noProof/>
        </w:rPr>
        <w:t xml:space="preserve">increase in the </w:t>
      </w:r>
      <w:r w:rsidR="004B7338">
        <w:rPr>
          <w:noProof/>
        </w:rPr>
        <w:t>total</w:t>
      </w:r>
      <w:r w:rsidR="004B7338" w:rsidRPr="004C259F">
        <w:rPr>
          <w:noProof/>
        </w:rPr>
        <w:t xml:space="preserve"> </w:t>
      </w:r>
      <w:r w:rsidR="00FD4831" w:rsidRPr="004C259F">
        <w:rPr>
          <w:noProof/>
        </w:rPr>
        <w:t>fleet activity as a consequence of the Red Sea crisi</w:t>
      </w:r>
      <w:r w:rsidR="0058078E" w:rsidRPr="004C259F">
        <w:rPr>
          <w:noProof/>
        </w:rPr>
        <w:t xml:space="preserve">s and the </w:t>
      </w:r>
      <w:r w:rsidR="40EE7B17" w:rsidRPr="004C259F">
        <w:rPr>
          <w:noProof/>
        </w:rPr>
        <w:t>subsequent</w:t>
      </w:r>
      <w:r w:rsidR="0058078E" w:rsidRPr="004C259F">
        <w:rPr>
          <w:noProof/>
        </w:rPr>
        <w:t xml:space="preserve"> drop in transits through the Suez Canal</w:t>
      </w:r>
      <w:r w:rsidR="00C42D30" w:rsidRPr="004C259F">
        <w:rPr>
          <w:noProof/>
        </w:rPr>
        <w:t xml:space="preserve"> and rerouting</w:t>
      </w:r>
      <w:r w:rsidR="00AD26AD" w:rsidRPr="004C259F">
        <w:rPr>
          <w:noProof/>
        </w:rPr>
        <w:t xml:space="preserve">, </w:t>
      </w:r>
      <w:r w:rsidR="004B7338">
        <w:rPr>
          <w:noProof/>
        </w:rPr>
        <w:t>which significantly increased the</w:t>
      </w:r>
      <w:r w:rsidR="00AD26AD" w:rsidRPr="004C259F">
        <w:rPr>
          <w:noProof/>
        </w:rPr>
        <w:t xml:space="preserve"> </w:t>
      </w:r>
      <w:r w:rsidR="004B7338">
        <w:rPr>
          <w:noProof/>
        </w:rPr>
        <w:t>total</w:t>
      </w:r>
      <w:r w:rsidR="004B7338" w:rsidRPr="004C259F">
        <w:rPr>
          <w:noProof/>
        </w:rPr>
        <w:t xml:space="preserve"> </w:t>
      </w:r>
      <w:r w:rsidR="00AD26AD" w:rsidRPr="004C259F">
        <w:rPr>
          <w:noProof/>
        </w:rPr>
        <w:t xml:space="preserve">distance travelled and time </w:t>
      </w:r>
      <w:r w:rsidR="004B7338">
        <w:rPr>
          <w:noProof/>
        </w:rPr>
        <w:t xml:space="preserve">spent </w:t>
      </w:r>
      <w:r w:rsidR="00AD26AD" w:rsidRPr="004C259F">
        <w:rPr>
          <w:noProof/>
        </w:rPr>
        <w:t>at sea (by 9.3% and 8.6%</w:t>
      </w:r>
      <w:r w:rsidR="004B7338">
        <w:rPr>
          <w:noProof/>
        </w:rPr>
        <w:t>,</w:t>
      </w:r>
      <w:r w:rsidR="00AD26AD" w:rsidRPr="004C259F">
        <w:rPr>
          <w:noProof/>
        </w:rPr>
        <w:t xml:space="preserve"> respectively)</w:t>
      </w:r>
      <w:r w:rsidR="0058078E" w:rsidRPr="004C259F">
        <w:rPr>
          <w:noProof/>
        </w:rPr>
        <w:t>.</w:t>
      </w:r>
    </w:p>
    <w:p w14:paraId="0BFC93C4" w14:textId="4A20D019" w:rsidR="0060179A" w:rsidRPr="004C259F" w:rsidRDefault="00AB5347" w:rsidP="00A17337">
      <w:pPr>
        <w:rPr>
          <w:noProof/>
        </w:rPr>
      </w:pPr>
      <w:r w:rsidRPr="004C259F">
        <w:rPr>
          <w:noProof/>
        </w:rPr>
        <w:t xml:space="preserve">The </w:t>
      </w:r>
      <w:r w:rsidRPr="004C259F">
        <w:rPr>
          <w:b/>
          <w:bCs/>
          <w:noProof/>
        </w:rPr>
        <w:t>container ship</w:t>
      </w:r>
      <w:r w:rsidRPr="004C259F">
        <w:rPr>
          <w:noProof/>
        </w:rPr>
        <w:t xml:space="preserve"> segment was the most affected, </w:t>
      </w:r>
      <w:r w:rsidR="00ED2482">
        <w:rPr>
          <w:noProof/>
        </w:rPr>
        <w:t>accounting</w:t>
      </w:r>
      <w:r w:rsidR="00E34FAF" w:rsidRPr="004C259F">
        <w:rPr>
          <w:b/>
          <w:bCs/>
          <w:noProof/>
        </w:rPr>
        <w:t xml:space="preserve"> for most of the increase in emissions </w:t>
      </w:r>
      <w:r w:rsidR="00E34FAF" w:rsidRPr="004C259F">
        <w:rPr>
          <w:noProof/>
        </w:rPr>
        <w:t>(+46%</w:t>
      </w:r>
      <w:r w:rsidRPr="004C259F">
        <w:rPr>
          <w:noProof/>
        </w:rPr>
        <w:t>, corresponding to 16.7 m</w:t>
      </w:r>
      <w:r w:rsidR="46C4F0C5" w:rsidRPr="004C259F">
        <w:rPr>
          <w:noProof/>
        </w:rPr>
        <w:t>i</w:t>
      </w:r>
      <w:r w:rsidRPr="004C259F">
        <w:rPr>
          <w:noProof/>
        </w:rPr>
        <w:t>l</w:t>
      </w:r>
      <w:r w:rsidR="1113317B" w:rsidRPr="004C259F">
        <w:rPr>
          <w:noProof/>
        </w:rPr>
        <w:t>lio</w:t>
      </w:r>
      <w:r w:rsidRPr="004C259F">
        <w:rPr>
          <w:noProof/>
        </w:rPr>
        <w:t xml:space="preserve">n </w:t>
      </w:r>
      <w:r w:rsidR="00ED2482">
        <w:rPr>
          <w:noProof/>
        </w:rPr>
        <w:t xml:space="preserve">tonnes of </w:t>
      </w:r>
      <w:r w:rsidRPr="004C259F">
        <w:rPr>
          <w:noProof/>
        </w:rPr>
        <w:t>CO</w:t>
      </w:r>
      <w:r w:rsidRPr="004C259F">
        <w:rPr>
          <w:noProof/>
          <w:vertAlign w:val="subscript"/>
        </w:rPr>
        <w:t>2</w:t>
      </w:r>
      <w:r w:rsidR="00E34FAF" w:rsidRPr="004C259F">
        <w:rPr>
          <w:noProof/>
        </w:rPr>
        <w:t>)</w:t>
      </w:r>
      <w:r w:rsidR="006B3CD9">
        <w:rPr>
          <w:noProof/>
        </w:rPr>
        <w:t>. T</w:t>
      </w:r>
      <w:r w:rsidR="00E34FAF" w:rsidRPr="004C259F">
        <w:rPr>
          <w:noProof/>
        </w:rPr>
        <w:t xml:space="preserve">he </w:t>
      </w:r>
      <w:r w:rsidR="003E2E9E" w:rsidRPr="004C259F">
        <w:rPr>
          <w:noProof/>
        </w:rPr>
        <w:t>established routes connecting European ports with the Far East had to be rerouted</w:t>
      </w:r>
      <w:r w:rsidR="00E34FAF" w:rsidRPr="004C259F">
        <w:rPr>
          <w:noProof/>
        </w:rPr>
        <w:t xml:space="preserve"> </w:t>
      </w:r>
      <w:r w:rsidR="006B3CD9">
        <w:rPr>
          <w:noProof/>
        </w:rPr>
        <w:t>around</w:t>
      </w:r>
      <w:r w:rsidR="006B3CD9" w:rsidRPr="004C259F">
        <w:rPr>
          <w:noProof/>
        </w:rPr>
        <w:t xml:space="preserve"> </w:t>
      </w:r>
      <w:r w:rsidR="00E34FAF" w:rsidRPr="004C259F">
        <w:rPr>
          <w:noProof/>
        </w:rPr>
        <w:t>the Cape of Good Ho</w:t>
      </w:r>
      <w:r w:rsidR="2C564B19" w:rsidRPr="004C259F">
        <w:rPr>
          <w:noProof/>
        </w:rPr>
        <w:t>pe</w:t>
      </w:r>
      <w:r w:rsidR="00E34FAF" w:rsidRPr="004C259F">
        <w:rPr>
          <w:noProof/>
        </w:rPr>
        <w:t xml:space="preserve">, </w:t>
      </w:r>
      <w:r w:rsidR="006B3CD9">
        <w:rPr>
          <w:noProof/>
        </w:rPr>
        <w:t>substantially affecting</w:t>
      </w:r>
      <w:r w:rsidRPr="004C259F">
        <w:rPr>
          <w:noProof/>
        </w:rPr>
        <w:t xml:space="preserve"> the operational behaviour of the segment. </w:t>
      </w:r>
      <w:r w:rsidR="00AE5DF2" w:rsidRPr="004C259F">
        <w:rPr>
          <w:noProof/>
        </w:rPr>
        <w:t xml:space="preserve">More container ships </w:t>
      </w:r>
      <w:r w:rsidR="006B3CD9">
        <w:rPr>
          <w:noProof/>
        </w:rPr>
        <w:t>within</w:t>
      </w:r>
      <w:r w:rsidR="006B3CD9" w:rsidRPr="004C259F">
        <w:rPr>
          <w:noProof/>
        </w:rPr>
        <w:t xml:space="preserve"> </w:t>
      </w:r>
      <w:r w:rsidR="00AE5DF2" w:rsidRPr="004C259F">
        <w:rPr>
          <w:noProof/>
        </w:rPr>
        <w:t xml:space="preserve">the </w:t>
      </w:r>
      <w:r w:rsidR="006B3CD9">
        <w:rPr>
          <w:noProof/>
        </w:rPr>
        <w:t xml:space="preserve">scope of the </w:t>
      </w:r>
      <w:r w:rsidR="00AE5DF2" w:rsidRPr="004C259F">
        <w:rPr>
          <w:noProof/>
        </w:rPr>
        <w:t xml:space="preserve">MRV </w:t>
      </w:r>
      <w:r w:rsidR="006B3CD9">
        <w:rPr>
          <w:noProof/>
        </w:rPr>
        <w:t>s</w:t>
      </w:r>
      <w:r w:rsidR="00930D34">
        <w:rPr>
          <w:noProof/>
        </w:rPr>
        <w:t>ystem</w:t>
      </w:r>
      <w:r w:rsidR="006B3CD9" w:rsidRPr="004C259F">
        <w:rPr>
          <w:noProof/>
        </w:rPr>
        <w:t xml:space="preserve"> </w:t>
      </w:r>
      <w:r w:rsidR="006A2671" w:rsidRPr="004C259F">
        <w:rPr>
          <w:noProof/>
        </w:rPr>
        <w:t xml:space="preserve">had to be deployed </w:t>
      </w:r>
      <w:r w:rsidR="00AE5DF2" w:rsidRPr="004C259F">
        <w:rPr>
          <w:noProof/>
        </w:rPr>
        <w:t>(+8%) to meet the increased demand for transporting containerised goods in EU ports (+ 4.4%)</w:t>
      </w:r>
      <w:r w:rsidR="000E16F2">
        <w:rPr>
          <w:noProof/>
        </w:rPr>
        <w:t xml:space="preserve"> and the need for</w:t>
      </w:r>
      <w:r w:rsidR="00AE5DF2" w:rsidRPr="004C259F">
        <w:rPr>
          <w:noProof/>
        </w:rPr>
        <w:t xml:space="preserve"> </w:t>
      </w:r>
      <w:r w:rsidR="00E34FAF" w:rsidRPr="004C259F">
        <w:rPr>
          <w:noProof/>
        </w:rPr>
        <w:t xml:space="preserve">longer </w:t>
      </w:r>
      <w:r w:rsidR="000E16F2">
        <w:rPr>
          <w:noProof/>
        </w:rPr>
        <w:t xml:space="preserve">travel </w:t>
      </w:r>
      <w:r w:rsidR="00E34FAF" w:rsidRPr="004C259F">
        <w:rPr>
          <w:noProof/>
        </w:rPr>
        <w:t>distances (+29%)</w:t>
      </w:r>
      <w:r w:rsidRPr="004C259F">
        <w:rPr>
          <w:noProof/>
        </w:rPr>
        <w:t xml:space="preserve"> </w:t>
      </w:r>
      <w:r w:rsidR="000E16F2">
        <w:rPr>
          <w:noProof/>
        </w:rPr>
        <w:t>and</w:t>
      </w:r>
      <w:r w:rsidR="000E16F2" w:rsidRPr="004C259F">
        <w:rPr>
          <w:noProof/>
        </w:rPr>
        <w:t xml:space="preserve"> </w:t>
      </w:r>
      <w:r w:rsidR="00E34FAF" w:rsidRPr="004C259F">
        <w:rPr>
          <w:noProof/>
        </w:rPr>
        <w:t>higher speed</w:t>
      </w:r>
      <w:r w:rsidR="000E16F2">
        <w:rPr>
          <w:noProof/>
        </w:rPr>
        <w:t>s</w:t>
      </w:r>
      <w:r w:rsidR="00E34FAF" w:rsidRPr="004C259F">
        <w:rPr>
          <w:noProof/>
        </w:rPr>
        <w:t xml:space="preserve"> (+2.2%)</w:t>
      </w:r>
      <w:r w:rsidR="002E5B0F" w:rsidRPr="004C259F">
        <w:rPr>
          <w:noProof/>
        </w:rPr>
        <w:t>.</w:t>
      </w:r>
    </w:p>
    <w:p w14:paraId="31094E6F" w14:textId="44710D43" w:rsidR="00385CC2" w:rsidRPr="004C259F" w:rsidRDefault="003342FB" w:rsidP="00A17337">
      <w:pPr>
        <w:rPr>
          <w:noProof/>
        </w:rPr>
      </w:pPr>
      <w:r>
        <w:rPr>
          <w:noProof/>
        </w:rPr>
        <w:t>Apart from</w:t>
      </w:r>
      <w:r w:rsidRPr="004C259F">
        <w:rPr>
          <w:noProof/>
        </w:rPr>
        <w:t xml:space="preserve"> </w:t>
      </w:r>
      <w:r w:rsidR="00385CC2" w:rsidRPr="004C259F">
        <w:rPr>
          <w:noProof/>
        </w:rPr>
        <w:t xml:space="preserve">container ships, 8 out of </w:t>
      </w:r>
      <w:r>
        <w:rPr>
          <w:noProof/>
        </w:rPr>
        <w:t xml:space="preserve">the </w:t>
      </w:r>
      <w:r w:rsidR="00385CC2" w:rsidRPr="004C259F">
        <w:rPr>
          <w:noProof/>
        </w:rPr>
        <w:t xml:space="preserve">14 remaining ship types recorded an increase in emissions compared </w:t>
      </w:r>
      <w:r>
        <w:rPr>
          <w:noProof/>
        </w:rPr>
        <w:t>with</w:t>
      </w:r>
      <w:r w:rsidRPr="004C259F">
        <w:rPr>
          <w:noProof/>
        </w:rPr>
        <w:t xml:space="preserve"> </w:t>
      </w:r>
      <w:r w:rsidR="00385CC2" w:rsidRPr="004C259F">
        <w:rPr>
          <w:noProof/>
        </w:rPr>
        <w:t>2023</w:t>
      </w:r>
      <w:r>
        <w:rPr>
          <w:noProof/>
        </w:rPr>
        <w:t>. This was</w:t>
      </w:r>
      <w:r w:rsidRPr="004C259F">
        <w:rPr>
          <w:noProof/>
        </w:rPr>
        <w:t xml:space="preserve"> </w:t>
      </w:r>
      <w:r w:rsidR="00385CC2" w:rsidRPr="004C259F">
        <w:rPr>
          <w:noProof/>
        </w:rPr>
        <w:t xml:space="preserve">often driven by the </w:t>
      </w:r>
      <w:r>
        <w:rPr>
          <w:noProof/>
        </w:rPr>
        <w:t>higher</w:t>
      </w:r>
      <w:r w:rsidR="00385CC2" w:rsidRPr="004C259F">
        <w:rPr>
          <w:noProof/>
        </w:rPr>
        <w:t xml:space="preserve"> </w:t>
      </w:r>
      <w:r w:rsidR="00C77766" w:rsidRPr="004C259F">
        <w:rPr>
          <w:noProof/>
        </w:rPr>
        <w:t xml:space="preserve">emissions from </w:t>
      </w:r>
      <w:r w:rsidR="00385CC2" w:rsidRPr="004C259F">
        <w:rPr>
          <w:noProof/>
        </w:rPr>
        <w:t xml:space="preserve">extra-EEA voyages due to the Red Sea crisis, as in the case of oil tankers (+4%), chemical tankers (+7%), general cargo ships (+8%), </w:t>
      </w:r>
      <w:r w:rsidR="00C77766" w:rsidRPr="004C259F">
        <w:rPr>
          <w:noProof/>
        </w:rPr>
        <w:t xml:space="preserve">and </w:t>
      </w:r>
      <w:r w:rsidR="00385CC2" w:rsidRPr="004C259F">
        <w:rPr>
          <w:noProof/>
        </w:rPr>
        <w:t xml:space="preserve">vehicle carriers (+4%). The most significant drop in reported emissions was recorded for </w:t>
      </w:r>
      <w:r w:rsidR="00EC4D98" w:rsidRPr="00EC4D98">
        <w:rPr>
          <w:noProof/>
        </w:rPr>
        <w:t xml:space="preserve">liquefied natural gas </w:t>
      </w:r>
      <w:r w:rsidR="00EC4D98">
        <w:rPr>
          <w:noProof/>
        </w:rPr>
        <w:t>(</w:t>
      </w:r>
      <w:r w:rsidR="00385CC2" w:rsidRPr="004C259F">
        <w:rPr>
          <w:noProof/>
        </w:rPr>
        <w:t>LNG</w:t>
      </w:r>
      <w:r w:rsidR="00EC4D98">
        <w:rPr>
          <w:noProof/>
        </w:rPr>
        <w:t>)</w:t>
      </w:r>
      <w:r w:rsidR="00385CC2" w:rsidRPr="004C259F">
        <w:rPr>
          <w:noProof/>
        </w:rPr>
        <w:t xml:space="preserve"> carriers (-24%)</w:t>
      </w:r>
      <w:r w:rsidR="00C77766" w:rsidRPr="004C259F">
        <w:rPr>
          <w:noProof/>
        </w:rPr>
        <w:t xml:space="preserve">, as </w:t>
      </w:r>
      <w:r w:rsidR="009701D7" w:rsidRPr="004C259F">
        <w:rPr>
          <w:noProof/>
        </w:rPr>
        <w:t xml:space="preserve">European </w:t>
      </w:r>
      <w:r w:rsidR="00C77766" w:rsidRPr="004C259F">
        <w:rPr>
          <w:noProof/>
        </w:rPr>
        <w:t xml:space="preserve">LNG imports </w:t>
      </w:r>
      <w:r w:rsidR="000F6EA9" w:rsidRPr="004C259F">
        <w:rPr>
          <w:noProof/>
        </w:rPr>
        <w:t>returned</w:t>
      </w:r>
      <w:r w:rsidR="00C77766" w:rsidRPr="004C259F">
        <w:rPr>
          <w:noProof/>
        </w:rPr>
        <w:t xml:space="preserve"> to pre-2022 levels.</w:t>
      </w:r>
    </w:p>
    <w:p w14:paraId="3A0CD642" w14:textId="1E124371" w:rsidR="000F6EA9" w:rsidRPr="004C259F" w:rsidRDefault="00181B4B" w:rsidP="00A17337">
      <w:pPr>
        <w:rPr>
          <w:noProof/>
        </w:rPr>
      </w:pPr>
      <w:r w:rsidRPr="004C259F">
        <w:rPr>
          <w:b/>
          <w:bCs/>
          <w:noProof/>
        </w:rPr>
        <w:t>Container ships, oil tankers and bulk carriers were confirmed as the top emitters in 202</w:t>
      </w:r>
      <w:r w:rsidR="00173946" w:rsidRPr="004C259F">
        <w:rPr>
          <w:b/>
          <w:bCs/>
          <w:noProof/>
        </w:rPr>
        <w:t>4</w:t>
      </w:r>
      <w:r w:rsidR="00173946" w:rsidRPr="004C259F">
        <w:rPr>
          <w:noProof/>
        </w:rPr>
        <w:t xml:space="preserve">, </w:t>
      </w:r>
      <w:r w:rsidR="003342FB">
        <w:rPr>
          <w:noProof/>
        </w:rPr>
        <w:t xml:space="preserve">as </w:t>
      </w:r>
      <w:r w:rsidR="00173946" w:rsidRPr="004C259F">
        <w:rPr>
          <w:noProof/>
        </w:rPr>
        <w:t>in all previous reporting years since 2018</w:t>
      </w:r>
      <w:r w:rsidRPr="004C259F">
        <w:rPr>
          <w:noProof/>
        </w:rPr>
        <w:t>.</w:t>
      </w:r>
      <w:r w:rsidR="000F6EA9" w:rsidRPr="004C259F">
        <w:rPr>
          <w:noProof/>
        </w:rPr>
        <w:t xml:space="preserve"> The significant increase in emissions from container ships </w:t>
      </w:r>
      <w:r w:rsidR="00A241D6">
        <w:rPr>
          <w:noProof/>
        </w:rPr>
        <w:t>raised</w:t>
      </w:r>
      <w:r w:rsidR="00A241D6" w:rsidRPr="004C259F">
        <w:rPr>
          <w:noProof/>
        </w:rPr>
        <w:t xml:space="preserve"> </w:t>
      </w:r>
      <w:r w:rsidR="000F6EA9" w:rsidRPr="004C259F">
        <w:rPr>
          <w:noProof/>
        </w:rPr>
        <w:t xml:space="preserve">their share </w:t>
      </w:r>
      <w:r w:rsidR="00A241D6">
        <w:rPr>
          <w:noProof/>
        </w:rPr>
        <w:t>of</w:t>
      </w:r>
      <w:r w:rsidR="00A241D6" w:rsidRPr="004C259F">
        <w:rPr>
          <w:noProof/>
        </w:rPr>
        <w:t xml:space="preserve"> </w:t>
      </w:r>
      <w:r w:rsidR="000F6EA9" w:rsidRPr="004C259F">
        <w:rPr>
          <w:noProof/>
        </w:rPr>
        <w:t>total reported emissions</w:t>
      </w:r>
      <w:r w:rsidR="00A241D6">
        <w:rPr>
          <w:noProof/>
        </w:rPr>
        <w:t xml:space="preserve"> to</w:t>
      </w:r>
      <w:r w:rsidR="000F6EA9" w:rsidRPr="004C259F">
        <w:rPr>
          <w:noProof/>
        </w:rPr>
        <w:t xml:space="preserve"> the highest level record</w:t>
      </w:r>
      <w:r w:rsidR="00A241D6">
        <w:rPr>
          <w:noProof/>
        </w:rPr>
        <w:t>ed</w:t>
      </w:r>
      <w:r w:rsidR="000F6EA9" w:rsidRPr="004C259F">
        <w:rPr>
          <w:noProof/>
        </w:rPr>
        <w:t xml:space="preserve"> (37%, up from the 30% yearly average for the period 2018-2023). The relative share for most ship types remained stable, except for LNG carriers, </w:t>
      </w:r>
      <w:r w:rsidR="00B74EA9">
        <w:rPr>
          <w:noProof/>
        </w:rPr>
        <w:t>whose</w:t>
      </w:r>
      <w:r w:rsidR="000F6EA9" w:rsidRPr="004C259F">
        <w:rPr>
          <w:noProof/>
        </w:rPr>
        <w:t xml:space="preserve"> contribution </w:t>
      </w:r>
      <w:r w:rsidR="00B74EA9">
        <w:rPr>
          <w:noProof/>
        </w:rPr>
        <w:t>fell</w:t>
      </w:r>
      <w:r w:rsidR="00B74EA9" w:rsidRPr="004C259F">
        <w:rPr>
          <w:noProof/>
        </w:rPr>
        <w:t xml:space="preserve"> </w:t>
      </w:r>
      <w:r w:rsidR="000F6EA9" w:rsidRPr="004C259F">
        <w:rPr>
          <w:noProof/>
        </w:rPr>
        <w:t>to 5% of total</w:t>
      </w:r>
      <w:r w:rsidR="00B74EA9">
        <w:rPr>
          <w:noProof/>
        </w:rPr>
        <w:t xml:space="preserve"> emissions</w:t>
      </w:r>
      <w:r w:rsidR="000F6EA9" w:rsidRPr="004C259F">
        <w:rPr>
          <w:noProof/>
        </w:rPr>
        <w:t xml:space="preserve">, </w:t>
      </w:r>
      <w:r w:rsidR="00B74EA9">
        <w:rPr>
          <w:noProof/>
        </w:rPr>
        <w:t>returning to the</w:t>
      </w:r>
      <w:r w:rsidR="000F6EA9" w:rsidRPr="004C259F">
        <w:rPr>
          <w:noProof/>
        </w:rPr>
        <w:t xml:space="preserve"> level </w:t>
      </w:r>
      <w:r w:rsidR="00B74EA9">
        <w:rPr>
          <w:noProof/>
        </w:rPr>
        <w:t>before</w:t>
      </w:r>
      <w:r w:rsidR="00B74EA9" w:rsidRPr="004C259F">
        <w:rPr>
          <w:noProof/>
        </w:rPr>
        <w:t xml:space="preserve"> </w:t>
      </w:r>
      <w:r w:rsidR="000F6EA9" w:rsidRPr="004C259F">
        <w:rPr>
          <w:noProof/>
        </w:rPr>
        <w:t>the 2022 Russian full-scale invasion of Ukraine.</w:t>
      </w:r>
    </w:p>
    <w:p w14:paraId="22137AD6" w14:textId="2DD2EDB2" w:rsidR="00FC7EB5" w:rsidRPr="004C259F" w:rsidRDefault="00497B28" w:rsidP="00A17337">
      <w:pPr>
        <w:rPr>
          <w:noProof/>
        </w:rPr>
      </w:pPr>
      <w:r w:rsidRPr="004C259F">
        <w:rPr>
          <w:noProof/>
        </w:rPr>
        <w:t>The distribution of the fleet’s total CO</w:t>
      </w:r>
      <w:r w:rsidR="004C259F">
        <w:rPr>
          <w:noProof/>
          <w:vertAlign w:val="subscript"/>
        </w:rPr>
        <w:t>2</w:t>
      </w:r>
      <w:r w:rsidRPr="004C259F">
        <w:rPr>
          <w:noProof/>
        </w:rPr>
        <w:t xml:space="preserve"> emissions between the different types of voyages and </w:t>
      </w:r>
      <w:r w:rsidR="005412BA" w:rsidRPr="004C259F">
        <w:rPr>
          <w:noProof/>
        </w:rPr>
        <w:t>within port</w:t>
      </w:r>
      <w:r w:rsidR="00796E4D">
        <w:rPr>
          <w:noProof/>
        </w:rPr>
        <w:t>s</w:t>
      </w:r>
      <w:r w:rsidR="005412BA" w:rsidRPr="004C259F">
        <w:rPr>
          <w:noProof/>
        </w:rPr>
        <w:t xml:space="preserve"> was deeply affected by the Red Sea crisis</w:t>
      </w:r>
      <w:r w:rsidR="00796E4D">
        <w:rPr>
          <w:noProof/>
        </w:rPr>
        <w:t>.</w:t>
      </w:r>
      <w:r w:rsidR="00796E4D" w:rsidRPr="004C259F" w:rsidDel="00796E4D">
        <w:rPr>
          <w:noProof/>
        </w:rPr>
        <w:t xml:space="preserve"> </w:t>
      </w:r>
      <w:r w:rsidR="00796E4D">
        <w:rPr>
          <w:noProof/>
        </w:rPr>
        <w:t>T</w:t>
      </w:r>
      <w:r w:rsidR="005412BA" w:rsidRPr="004C259F">
        <w:rPr>
          <w:noProof/>
        </w:rPr>
        <w:t xml:space="preserve">he longer </w:t>
      </w:r>
      <w:r w:rsidR="00796E4D">
        <w:rPr>
          <w:noProof/>
        </w:rPr>
        <w:t xml:space="preserve">travel </w:t>
      </w:r>
      <w:r w:rsidR="005412BA" w:rsidRPr="004C259F">
        <w:rPr>
          <w:noProof/>
        </w:rPr>
        <w:t>distances on extra-EEA trade routes increase</w:t>
      </w:r>
      <w:r w:rsidR="00796E4D">
        <w:rPr>
          <w:noProof/>
        </w:rPr>
        <w:t>d</w:t>
      </w:r>
      <w:r w:rsidR="005412BA" w:rsidRPr="004C259F">
        <w:rPr>
          <w:noProof/>
        </w:rPr>
        <w:t xml:space="preserve"> the relative </w:t>
      </w:r>
      <w:r w:rsidR="005412BA" w:rsidRPr="004C259F">
        <w:rPr>
          <w:b/>
          <w:bCs/>
          <w:noProof/>
        </w:rPr>
        <w:t>share of emissions from extra-EEA voyages from 65.7% in 2023 to 70.6% in 2024</w:t>
      </w:r>
      <w:r w:rsidR="005412BA" w:rsidRPr="004C259F">
        <w:rPr>
          <w:noProof/>
        </w:rPr>
        <w:t xml:space="preserve">, </w:t>
      </w:r>
      <w:r w:rsidR="00796E4D">
        <w:rPr>
          <w:noProof/>
        </w:rPr>
        <w:t>the</w:t>
      </w:r>
      <w:r w:rsidR="00796E4D" w:rsidRPr="004C259F">
        <w:rPr>
          <w:noProof/>
        </w:rPr>
        <w:t xml:space="preserve"> </w:t>
      </w:r>
      <w:r w:rsidR="005412BA" w:rsidRPr="004C259F">
        <w:rPr>
          <w:noProof/>
        </w:rPr>
        <w:t>highest record</w:t>
      </w:r>
      <w:r w:rsidR="00796E4D">
        <w:rPr>
          <w:noProof/>
        </w:rPr>
        <w:t>ed</w:t>
      </w:r>
      <w:r w:rsidR="0058078E" w:rsidRPr="004C259F">
        <w:rPr>
          <w:noProof/>
        </w:rPr>
        <w:t xml:space="preserve"> since 2018</w:t>
      </w:r>
      <w:r w:rsidR="005412BA" w:rsidRPr="004C259F">
        <w:rPr>
          <w:noProof/>
        </w:rPr>
        <w:t xml:space="preserve">. This </w:t>
      </w:r>
      <w:r w:rsidR="00796E4D">
        <w:rPr>
          <w:noProof/>
        </w:rPr>
        <w:t>trend is consistent</w:t>
      </w:r>
      <w:r w:rsidR="005412BA" w:rsidRPr="004C259F">
        <w:rPr>
          <w:noProof/>
        </w:rPr>
        <w:t xml:space="preserve"> with the increase in the </w:t>
      </w:r>
      <w:r w:rsidRPr="004C259F">
        <w:rPr>
          <w:noProof/>
        </w:rPr>
        <w:t xml:space="preserve">activity of the </w:t>
      </w:r>
      <w:r w:rsidR="00796E4D">
        <w:rPr>
          <w:noProof/>
        </w:rPr>
        <w:t xml:space="preserve">fleet </w:t>
      </w:r>
      <w:r w:rsidR="006D4BB0">
        <w:rPr>
          <w:noProof/>
        </w:rPr>
        <w:t>segments</w:t>
      </w:r>
      <w:r w:rsidR="006D4BB0" w:rsidRPr="004C259F">
        <w:rPr>
          <w:noProof/>
        </w:rPr>
        <w:t xml:space="preserve"> </w:t>
      </w:r>
      <w:r w:rsidR="00796E4D">
        <w:rPr>
          <w:noProof/>
        </w:rPr>
        <w:t>that</w:t>
      </w:r>
      <w:r w:rsidRPr="004C259F">
        <w:rPr>
          <w:noProof/>
        </w:rPr>
        <w:t xml:space="preserve"> are most active on extra-EEA trade routes.</w:t>
      </w:r>
    </w:p>
    <w:p w14:paraId="33842146" w14:textId="3A6FE402" w:rsidR="009F32A3" w:rsidRDefault="00181B4B" w:rsidP="00A17337">
      <w:pPr>
        <w:rPr>
          <w:noProof/>
        </w:rPr>
      </w:pPr>
      <w:r w:rsidRPr="004C259F">
        <w:rPr>
          <w:noProof/>
        </w:rPr>
        <w:t xml:space="preserve">In terms of </w:t>
      </w:r>
      <w:r w:rsidRPr="004C259F">
        <w:rPr>
          <w:b/>
          <w:bCs/>
          <w:noProof/>
        </w:rPr>
        <w:t>fuel consumption</w:t>
      </w:r>
      <w:r w:rsidRPr="004C259F">
        <w:rPr>
          <w:noProof/>
        </w:rPr>
        <w:t xml:space="preserve">, the monitored ships consumed </w:t>
      </w:r>
      <w:r w:rsidR="0058078E" w:rsidRPr="004C259F">
        <w:rPr>
          <w:noProof/>
        </w:rPr>
        <w:t>46.8</w:t>
      </w:r>
      <w:r w:rsidRPr="004C259F">
        <w:rPr>
          <w:noProof/>
        </w:rPr>
        <w:t xml:space="preserve"> million tonnes of fuel in 202</w:t>
      </w:r>
      <w:r w:rsidR="0058078E" w:rsidRPr="004C259F">
        <w:rPr>
          <w:noProof/>
        </w:rPr>
        <w:t>4</w:t>
      </w:r>
      <w:r w:rsidRPr="004C259F">
        <w:rPr>
          <w:noProof/>
        </w:rPr>
        <w:t>.</w:t>
      </w:r>
      <w:r w:rsidR="00823B76" w:rsidRPr="004C259F">
        <w:rPr>
          <w:noProof/>
        </w:rPr>
        <w:t xml:space="preserve"> </w:t>
      </w:r>
      <w:r w:rsidR="00944E37" w:rsidRPr="004C259F">
        <w:rPr>
          <w:noProof/>
        </w:rPr>
        <w:t>Fuel consumption over the period 2018-202</w:t>
      </w:r>
      <w:r w:rsidR="0058078E" w:rsidRPr="004C259F">
        <w:rPr>
          <w:noProof/>
        </w:rPr>
        <w:t>4</w:t>
      </w:r>
      <w:r w:rsidR="00944E37" w:rsidRPr="004C259F">
        <w:rPr>
          <w:noProof/>
        </w:rPr>
        <w:t xml:space="preserve"> remain</w:t>
      </w:r>
      <w:r w:rsidR="009F32A3">
        <w:rPr>
          <w:noProof/>
        </w:rPr>
        <w:t>ed</w:t>
      </w:r>
      <w:r w:rsidR="00944E37" w:rsidRPr="004C259F">
        <w:rPr>
          <w:noProof/>
        </w:rPr>
        <w:t xml:space="preserve"> dominated by conventional fossil marine fuels (heavy fuel oil, light fuel oil, gas oil, diesel oil) which accounted for </w:t>
      </w:r>
      <w:r w:rsidR="0058078E" w:rsidRPr="004C259F">
        <w:rPr>
          <w:noProof/>
        </w:rPr>
        <w:t xml:space="preserve">over </w:t>
      </w:r>
      <w:r w:rsidR="00944E37" w:rsidRPr="004C259F">
        <w:rPr>
          <w:noProof/>
        </w:rPr>
        <w:t>91% of the total mass of fuels reported in 202</w:t>
      </w:r>
      <w:r w:rsidR="0058078E" w:rsidRPr="004C259F">
        <w:rPr>
          <w:noProof/>
        </w:rPr>
        <w:t xml:space="preserve">4. As </w:t>
      </w:r>
      <w:r w:rsidR="00826BFD">
        <w:rPr>
          <w:noProof/>
        </w:rPr>
        <w:t>in</w:t>
      </w:r>
      <w:r w:rsidR="00826BFD" w:rsidRPr="004C259F">
        <w:rPr>
          <w:noProof/>
        </w:rPr>
        <w:t xml:space="preserve"> </w:t>
      </w:r>
      <w:r w:rsidR="0058078E" w:rsidRPr="004C259F">
        <w:rPr>
          <w:noProof/>
        </w:rPr>
        <w:t xml:space="preserve">previous years, the system recorded an increase in the consumption of heavy fuel oil, almost entirely </w:t>
      </w:r>
      <w:r w:rsidR="009F32A3">
        <w:rPr>
          <w:noProof/>
        </w:rPr>
        <w:t>offset</w:t>
      </w:r>
      <w:r w:rsidR="009F32A3" w:rsidRPr="004C259F">
        <w:rPr>
          <w:noProof/>
        </w:rPr>
        <w:t xml:space="preserve"> </w:t>
      </w:r>
      <w:r w:rsidR="0058078E" w:rsidRPr="004C259F">
        <w:rPr>
          <w:noProof/>
        </w:rPr>
        <w:t xml:space="preserve">by </w:t>
      </w:r>
      <w:r w:rsidR="009F32A3">
        <w:rPr>
          <w:noProof/>
        </w:rPr>
        <w:t>a</w:t>
      </w:r>
      <w:r w:rsidR="009F32A3" w:rsidRPr="004C259F">
        <w:rPr>
          <w:noProof/>
        </w:rPr>
        <w:t xml:space="preserve"> </w:t>
      </w:r>
      <w:r w:rsidR="0058078E" w:rsidRPr="004C259F">
        <w:rPr>
          <w:noProof/>
        </w:rPr>
        <w:t xml:space="preserve">decrease in the consumption of light fuel oil, </w:t>
      </w:r>
      <w:r w:rsidR="00A07353">
        <w:rPr>
          <w:noProof/>
        </w:rPr>
        <w:t xml:space="preserve">the latter being </w:t>
      </w:r>
      <w:r w:rsidR="0058078E" w:rsidRPr="004C259F">
        <w:rPr>
          <w:noProof/>
        </w:rPr>
        <w:t>driven by the increasing uptake of exhaust gas cleaning systems in the fleet.</w:t>
      </w:r>
      <w:r w:rsidR="001D2647" w:rsidRPr="004C259F">
        <w:rPr>
          <w:noProof/>
        </w:rPr>
        <w:t xml:space="preserve"> </w:t>
      </w:r>
    </w:p>
    <w:p w14:paraId="689185D9" w14:textId="6C61C49E" w:rsidR="001F1559" w:rsidRPr="004C259F" w:rsidRDefault="008F0AD3" w:rsidP="00A17337">
      <w:pPr>
        <w:rPr>
          <w:noProof/>
        </w:rPr>
      </w:pPr>
      <w:r>
        <w:rPr>
          <w:noProof/>
        </w:rPr>
        <w:t xml:space="preserve">In </w:t>
      </w:r>
      <w:r w:rsidR="00181B4B" w:rsidRPr="004C259F">
        <w:rPr>
          <w:noProof/>
        </w:rPr>
        <w:t>202</w:t>
      </w:r>
      <w:r w:rsidR="0058078E" w:rsidRPr="004C259F">
        <w:rPr>
          <w:noProof/>
        </w:rPr>
        <w:t>4</w:t>
      </w:r>
      <w:r w:rsidR="00181B4B" w:rsidRPr="004C259F">
        <w:rPr>
          <w:noProof/>
        </w:rPr>
        <w:t xml:space="preserve"> the </w:t>
      </w:r>
      <w:r>
        <w:rPr>
          <w:noProof/>
        </w:rPr>
        <w:t xml:space="preserve">fleet </w:t>
      </w:r>
      <w:r w:rsidR="00181B4B" w:rsidRPr="004C259F">
        <w:rPr>
          <w:noProof/>
        </w:rPr>
        <w:t xml:space="preserve">recorded </w:t>
      </w:r>
      <w:r>
        <w:rPr>
          <w:noProof/>
        </w:rPr>
        <w:t xml:space="preserve">the </w:t>
      </w:r>
      <w:r w:rsidRPr="004C259F">
        <w:rPr>
          <w:noProof/>
        </w:rPr>
        <w:t xml:space="preserve">highest </w:t>
      </w:r>
      <w:r w:rsidR="00181B4B" w:rsidRPr="004C259F">
        <w:rPr>
          <w:noProof/>
        </w:rPr>
        <w:t>level of LNG consum</w:t>
      </w:r>
      <w:r>
        <w:rPr>
          <w:noProof/>
        </w:rPr>
        <w:t>ption</w:t>
      </w:r>
      <w:r w:rsidR="00181B4B" w:rsidRPr="004C259F">
        <w:rPr>
          <w:noProof/>
        </w:rPr>
        <w:t xml:space="preserve"> (around </w:t>
      </w:r>
      <w:r w:rsidR="00E36C6F" w:rsidRPr="004C259F">
        <w:rPr>
          <w:noProof/>
        </w:rPr>
        <w:t>1</w:t>
      </w:r>
      <w:r w:rsidR="00181B4B" w:rsidRPr="004C259F">
        <w:rPr>
          <w:noProof/>
        </w:rPr>
        <w:t>% higher than in 202</w:t>
      </w:r>
      <w:r w:rsidR="0058078E" w:rsidRPr="004C259F">
        <w:rPr>
          <w:noProof/>
        </w:rPr>
        <w:t>3</w:t>
      </w:r>
      <w:r w:rsidR="00E36C6F" w:rsidRPr="004C259F">
        <w:rPr>
          <w:noProof/>
        </w:rPr>
        <w:t xml:space="preserve">, accounting for </w:t>
      </w:r>
      <w:r w:rsidR="0058078E" w:rsidRPr="004C259F">
        <w:rPr>
          <w:noProof/>
        </w:rPr>
        <w:t>7.5%</w:t>
      </w:r>
      <w:r w:rsidR="00E36C6F" w:rsidRPr="004C259F">
        <w:rPr>
          <w:noProof/>
        </w:rPr>
        <w:t xml:space="preserve"> of </w:t>
      </w:r>
      <w:r>
        <w:rPr>
          <w:noProof/>
        </w:rPr>
        <w:t xml:space="preserve">the </w:t>
      </w:r>
      <w:r w:rsidR="00E36C6F" w:rsidRPr="004C259F">
        <w:rPr>
          <w:noProof/>
        </w:rPr>
        <w:t xml:space="preserve">total fuel </w:t>
      </w:r>
      <w:r>
        <w:rPr>
          <w:noProof/>
        </w:rPr>
        <w:t xml:space="preserve">consumption </w:t>
      </w:r>
      <w:r w:rsidR="00EC4D98" w:rsidRPr="004C259F">
        <w:rPr>
          <w:noProof/>
        </w:rPr>
        <w:t xml:space="preserve">reported </w:t>
      </w:r>
      <w:r w:rsidR="00E36C6F" w:rsidRPr="004C259F">
        <w:rPr>
          <w:noProof/>
        </w:rPr>
        <w:t>in 202</w:t>
      </w:r>
      <w:r w:rsidR="0058078E" w:rsidRPr="004C259F">
        <w:rPr>
          <w:noProof/>
        </w:rPr>
        <w:t>4</w:t>
      </w:r>
      <w:r w:rsidR="00181B4B" w:rsidRPr="004C259F">
        <w:rPr>
          <w:noProof/>
        </w:rPr>
        <w:t>)</w:t>
      </w:r>
      <w:r>
        <w:rPr>
          <w:noProof/>
        </w:rPr>
        <w:t>. This</w:t>
      </w:r>
      <w:r w:rsidR="0058078E" w:rsidRPr="004C259F">
        <w:rPr>
          <w:noProof/>
        </w:rPr>
        <w:t xml:space="preserve"> increase </w:t>
      </w:r>
      <w:r>
        <w:rPr>
          <w:noProof/>
        </w:rPr>
        <w:t xml:space="preserve">was </w:t>
      </w:r>
      <w:r w:rsidR="00EC4D98">
        <w:rPr>
          <w:noProof/>
        </w:rPr>
        <w:t xml:space="preserve">due to </w:t>
      </w:r>
      <w:r w:rsidR="0058078E" w:rsidRPr="004C259F">
        <w:rPr>
          <w:noProof/>
        </w:rPr>
        <w:t xml:space="preserve">LNG </w:t>
      </w:r>
      <w:r w:rsidR="00EC4D98">
        <w:rPr>
          <w:noProof/>
        </w:rPr>
        <w:t xml:space="preserve">being </w:t>
      </w:r>
      <w:r w:rsidR="0058078E" w:rsidRPr="004C259F">
        <w:rPr>
          <w:noProof/>
        </w:rPr>
        <w:t>use</w:t>
      </w:r>
      <w:r w:rsidR="00EC4D98">
        <w:rPr>
          <w:noProof/>
        </w:rPr>
        <w:t>d</w:t>
      </w:r>
      <w:r w:rsidR="0058078E" w:rsidRPr="004C259F">
        <w:rPr>
          <w:noProof/>
        </w:rPr>
        <w:t xml:space="preserve"> by </w:t>
      </w:r>
      <w:r w:rsidR="00E36C6F" w:rsidRPr="004C259F">
        <w:rPr>
          <w:noProof/>
        </w:rPr>
        <w:t xml:space="preserve">ships other than LNG carriers, with container ships, </w:t>
      </w:r>
      <w:r w:rsidR="001C7AA3" w:rsidRPr="001C7AA3">
        <w:rPr>
          <w:noProof/>
        </w:rPr>
        <w:t>Ro</w:t>
      </w:r>
      <w:r w:rsidR="001C7AA3">
        <w:rPr>
          <w:noProof/>
        </w:rPr>
        <w:t>-</w:t>
      </w:r>
      <w:r w:rsidR="001C7AA3" w:rsidRPr="001C7AA3">
        <w:rPr>
          <w:noProof/>
        </w:rPr>
        <w:t>Pax (roll-on/roll-off passenger)</w:t>
      </w:r>
      <w:r w:rsidR="001C7AA3">
        <w:rPr>
          <w:noProof/>
        </w:rPr>
        <w:t xml:space="preserve"> ships</w:t>
      </w:r>
      <w:r w:rsidR="00E36C6F" w:rsidRPr="004C259F">
        <w:rPr>
          <w:noProof/>
        </w:rPr>
        <w:t xml:space="preserve">, and </w:t>
      </w:r>
      <w:r w:rsidR="00C94FB5" w:rsidRPr="004C259F">
        <w:rPr>
          <w:noProof/>
        </w:rPr>
        <w:t xml:space="preserve">passenger </w:t>
      </w:r>
      <w:r w:rsidR="00E36C6F" w:rsidRPr="004C259F">
        <w:rPr>
          <w:noProof/>
        </w:rPr>
        <w:t xml:space="preserve">ships </w:t>
      </w:r>
      <w:r w:rsidR="00EC4D98">
        <w:rPr>
          <w:noProof/>
        </w:rPr>
        <w:t>making up</w:t>
      </w:r>
      <w:r w:rsidR="00EC4D98" w:rsidRPr="004C259F">
        <w:rPr>
          <w:noProof/>
        </w:rPr>
        <w:t xml:space="preserve"> </w:t>
      </w:r>
      <w:r w:rsidR="00E36C6F" w:rsidRPr="004C259F">
        <w:rPr>
          <w:noProof/>
        </w:rPr>
        <w:t>the lion</w:t>
      </w:r>
      <w:r w:rsidR="00AA3E6D" w:rsidRPr="004C259F">
        <w:rPr>
          <w:noProof/>
        </w:rPr>
        <w:t>’s</w:t>
      </w:r>
      <w:r w:rsidR="00E36C6F" w:rsidRPr="004C259F">
        <w:rPr>
          <w:noProof/>
        </w:rPr>
        <w:t xml:space="preserve"> share</w:t>
      </w:r>
      <w:r w:rsidR="00181B4B" w:rsidRPr="004C259F">
        <w:rPr>
          <w:noProof/>
        </w:rPr>
        <w:t xml:space="preserve">. </w:t>
      </w:r>
      <w:r w:rsidR="00AD26AD" w:rsidRPr="004C259F">
        <w:rPr>
          <w:noProof/>
        </w:rPr>
        <w:t>L</w:t>
      </w:r>
      <w:r w:rsidR="0058078E" w:rsidRPr="004C259F">
        <w:rPr>
          <w:noProof/>
        </w:rPr>
        <w:t xml:space="preserve">iquified petroleum gas and methanol consumption considerably increased compared </w:t>
      </w:r>
      <w:r w:rsidR="006D0665">
        <w:rPr>
          <w:noProof/>
        </w:rPr>
        <w:t>with</w:t>
      </w:r>
      <w:r w:rsidR="006D0665" w:rsidRPr="004C259F">
        <w:rPr>
          <w:noProof/>
        </w:rPr>
        <w:t xml:space="preserve"> </w:t>
      </w:r>
      <w:r w:rsidR="0058078E" w:rsidRPr="004C259F">
        <w:rPr>
          <w:noProof/>
        </w:rPr>
        <w:t xml:space="preserve">2023 (+38% and +428%), yet still representing a minor share of total consumption (0.1% each) by the monitored fleet. </w:t>
      </w:r>
      <w:r w:rsidR="00ED0509">
        <w:rPr>
          <w:noProof/>
        </w:rPr>
        <w:t>O</w:t>
      </w:r>
      <w:r w:rsidR="00AD26AD" w:rsidRPr="004C259F">
        <w:rPr>
          <w:noProof/>
        </w:rPr>
        <w:t xml:space="preserve">ther non-standard fuels accounted for 0.9% of </w:t>
      </w:r>
      <w:r w:rsidR="00ED0509">
        <w:rPr>
          <w:noProof/>
        </w:rPr>
        <w:t xml:space="preserve">the </w:t>
      </w:r>
      <w:r w:rsidR="00AD26AD" w:rsidRPr="004C259F">
        <w:rPr>
          <w:noProof/>
        </w:rPr>
        <w:t>total fuel</w:t>
      </w:r>
      <w:r w:rsidR="00132593" w:rsidRPr="004C259F">
        <w:rPr>
          <w:noProof/>
        </w:rPr>
        <w:t xml:space="preserve"> </w:t>
      </w:r>
      <w:r w:rsidR="00ED0509">
        <w:rPr>
          <w:noProof/>
        </w:rPr>
        <w:t xml:space="preserve">consumption </w:t>
      </w:r>
      <w:r w:rsidR="00ED0509" w:rsidRPr="004C259F">
        <w:rPr>
          <w:noProof/>
        </w:rPr>
        <w:t xml:space="preserve">reported </w:t>
      </w:r>
      <w:r w:rsidR="00132593" w:rsidRPr="004C259F">
        <w:rPr>
          <w:noProof/>
        </w:rPr>
        <w:t>(0.42 million tonnes)</w:t>
      </w:r>
      <w:r w:rsidR="00AD26AD" w:rsidRPr="004C259F">
        <w:rPr>
          <w:noProof/>
        </w:rPr>
        <w:t>,</w:t>
      </w:r>
      <w:r w:rsidR="00132593" w:rsidRPr="004C259F">
        <w:rPr>
          <w:noProof/>
        </w:rPr>
        <w:t xml:space="preserve"> </w:t>
      </w:r>
      <w:r w:rsidR="00ED0509">
        <w:rPr>
          <w:noProof/>
        </w:rPr>
        <w:t>with</w:t>
      </w:r>
      <w:r w:rsidR="00132593" w:rsidRPr="004C259F">
        <w:rPr>
          <w:noProof/>
        </w:rPr>
        <w:t xml:space="preserve"> 0.22 million tonnes reported as biodiesel.</w:t>
      </w:r>
    </w:p>
    <w:p w14:paraId="74A5AAB5" w14:textId="06E1FF08" w:rsidR="00181B4B" w:rsidRPr="004C259F" w:rsidRDefault="00181B4B" w:rsidP="00B22F05">
      <w:pPr>
        <w:numPr>
          <w:ilvl w:val="0"/>
          <w:numId w:val="1"/>
        </w:numPr>
        <w:contextualSpacing/>
        <w:jc w:val="left"/>
        <w:rPr>
          <w:rFonts w:eastAsia="Calibri" w:cs="Times New Roman"/>
          <w:b/>
          <w:bCs/>
          <w:noProof/>
          <w:kern w:val="0"/>
          <w:szCs w:val="24"/>
          <w14:ligatures w14:val="none"/>
        </w:rPr>
      </w:pPr>
      <w:r w:rsidRPr="004C259F">
        <w:rPr>
          <w:rFonts w:eastAsia="Calibri" w:cs="Times New Roman"/>
          <w:b/>
          <w:bCs/>
          <w:noProof/>
          <w:kern w:val="0"/>
          <w:szCs w:val="24"/>
          <w14:ligatures w14:val="none"/>
        </w:rPr>
        <w:t>The monitored fleet:</w:t>
      </w:r>
      <w:r w:rsidR="00783846" w:rsidRPr="004C259F">
        <w:rPr>
          <w:rFonts w:eastAsia="Calibri" w:cs="Times New Roman"/>
          <w:b/>
          <w:bCs/>
          <w:noProof/>
          <w:kern w:val="0"/>
          <w:szCs w:val="24"/>
          <w14:ligatures w14:val="none"/>
        </w:rPr>
        <w:t xml:space="preserve"> shipping</w:t>
      </w:r>
      <w:r w:rsidRPr="004C259F">
        <w:rPr>
          <w:rFonts w:eastAsia="Calibri" w:cs="Times New Roman"/>
          <w:b/>
          <w:bCs/>
          <w:noProof/>
          <w:kern w:val="0"/>
          <w:szCs w:val="24"/>
          <w14:ligatures w14:val="none"/>
        </w:rPr>
        <w:t xml:space="preserve"> routes, </w:t>
      </w:r>
      <w:r w:rsidR="00E6713E" w:rsidRPr="004C259F">
        <w:rPr>
          <w:rFonts w:eastAsia="Calibri" w:cs="Times New Roman"/>
          <w:b/>
          <w:bCs/>
          <w:noProof/>
          <w:kern w:val="0"/>
          <w:szCs w:val="24"/>
          <w14:ligatures w14:val="none"/>
        </w:rPr>
        <w:t>speed</w:t>
      </w:r>
      <w:r w:rsidR="00783846" w:rsidRPr="004C259F">
        <w:rPr>
          <w:rFonts w:eastAsia="Calibri" w:cs="Times New Roman"/>
          <w:b/>
          <w:bCs/>
          <w:noProof/>
          <w:kern w:val="0"/>
          <w:szCs w:val="24"/>
          <w14:ligatures w14:val="none"/>
        </w:rPr>
        <w:t xml:space="preserve"> </w:t>
      </w:r>
      <w:r w:rsidR="00ED0509">
        <w:rPr>
          <w:rFonts w:eastAsia="Calibri" w:cs="Times New Roman"/>
          <w:b/>
          <w:bCs/>
          <w:noProof/>
          <w:kern w:val="0"/>
          <w:szCs w:val="24"/>
          <w14:ligatures w14:val="none"/>
        </w:rPr>
        <w:t xml:space="preserve">and </w:t>
      </w:r>
      <w:r w:rsidR="00783846" w:rsidRPr="004C259F">
        <w:rPr>
          <w:rFonts w:eastAsia="Calibri" w:cs="Times New Roman"/>
          <w:b/>
          <w:bCs/>
          <w:noProof/>
          <w:kern w:val="0"/>
          <w:szCs w:val="24"/>
          <w14:ligatures w14:val="none"/>
        </w:rPr>
        <w:t>technical and operational efficiency</w:t>
      </w:r>
    </w:p>
    <w:p w14:paraId="4050F8FC" w14:textId="6D6BCCDF" w:rsidR="00CF6064" w:rsidRPr="004C259F" w:rsidRDefault="080A4289" w:rsidP="00A17337">
      <w:pPr>
        <w:rPr>
          <w:noProof/>
        </w:rPr>
      </w:pPr>
      <w:r w:rsidRPr="004C259F">
        <w:rPr>
          <w:noProof/>
        </w:rPr>
        <w:t>In terms of maritime transport flows, Eurostat data</w:t>
      </w:r>
      <w:r w:rsidR="00147430">
        <w:rPr>
          <w:noProof/>
        </w:rPr>
        <w:t> (</w:t>
      </w:r>
      <w:r w:rsidR="00B8133D" w:rsidRPr="004C259F">
        <w:rPr>
          <w:rStyle w:val="FootnoteReference"/>
          <w:rFonts w:eastAsia="Calibri" w:cs="Times New Roman"/>
          <w:noProof/>
          <w:kern w:val="0"/>
          <w:szCs w:val="24"/>
          <w14:ligatures w14:val="none"/>
        </w:rPr>
        <w:footnoteReference w:id="8"/>
      </w:r>
      <w:r w:rsidR="00147430">
        <w:rPr>
          <w:noProof/>
        </w:rPr>
        <w:t>)</w:t>
      </w:r>
      <w:r w:rsidRPr="004C259F">
        <w:rPr>
          <w:noProof/>
        </w:rPr>
        <w:t xml:space="preserve"> shows that </w:t>
      </w:r>
      <w:r w:rsidR="001650BB" w:rsidRPr="004C259F">
        <w:rPr>
          <w:noProof/>
        </w:rPr>
        <w:t>the total gross weight of seaborne goods handled in EU ports slightly decreased by 0.2% in 2024.</w:t>
      </w:r>
    </w:p>
    <w:p w14:paraId="166707C3" w14:textId="6A3AABF6" w:rsidR="008258BA" w:rsidRPr="004C259F" w:rsidRDefault="00CF6064" w:rsidP="00A17337">
      <w:pPr>
        <w:rPr>
          <w:noProof/>
          <w:highlight w:val="yellow"/>
        </w:rPr>
      </w:pPr>
      <w:r w:rsidRPr="004C259F">
        <w:rPr>
          <w:noProof/>
        </w:rPr>
        <w:t xml:space="preserve">Compared with 2023, </w:t>
      </w:r>
      <w:r w:rsidR="00181B4B" w:rsidRPr="004C259F">
        <w:rPr>
          <w:noProof/>
        </w:rPr>
        <w:t>the inflow</w:t>
      </w:r>
      <w:r w:rsidR="00DC7892" w:rsidRPr="004C259F">
        <w:rPr>
          <w:noProof/>
        </w:rPr>
        <w:t>s</w:t>
      </w:r>
      <w:r w:rsidR="00181B4B" w:rsidRPr="004C259F">
        <w:rPr>
          <w:noProof/>
        </w:rPr>
        <w:t xml:space="preserve"> from</w:t>
      </w:r>
      <w:r w:rsidR="6B239BF8" w:rsidRPr="004C259F">
        <w:rPr>
          <w:noProof/>
        </w:rPr>
        <w:t xml:space="preserve"> countries such as Ukraine, Canada, Türkiye </w:t>
      </w:r>
      <w:r w:rsidR="0003444E" w:rsidRPr="004C259F">
        <w:rPr>
          <w:noProof/>
        </w:rPr>
        <w:t>and China</w:t>
      </w:r>
      <w:r w:rsidRPr="004C259F">
        <w:rPr>
          <w:noProof/>
        </w:rPr>
        <w:t xml:space="preserve"> increased in 2024</w:t>
      </w:r>
      <w:r w:rsidR="00DC7892" w:rsidRPr="004C259F">
        <w:rPr>
          <w:noProof/>
        </w:rPr>
        <w:t xml:space="preserve">, contributing to </w:t>
      </w:r>
      <w:r w:rsidR="00981E27">
        <w:rPr>
          <w:noProof/>
        </w:rPr>
        <w:t>a 1.2%</w:t>
      </w:r>
      <w:r w:rsidR="00DC7892" w:rsidRPr="004C259F">
        <w:rPr>
          <w:noProof/>
        </w:rPr>
        <w:t xml:space="preserve"> increase in the total volume of </w:t>
      </w:r>
      <w:r w:rsidR="00DC7892" w:rsidRPr="004C259F">
        <w:rPr>
          <w:b/>
          <w:bCs/>
          <w:noProof/>
        </w:rPr>
        <w:t>inward trade flows</w:t>
      </w:r>
      <w:r w:rsidR="00DC7892" w:rsidRPr="004C259F">
        <w:rPr>
          <w:noProof/>
        </w:rPr>
        <w:t>.</w:t>
      </w:r>
      <w:r w:rsidR="00A17337" w:rsidRPr="004C259F">
        <w:rPr>
          <w:noProof/>
        </w:rPr>
        <w:t xml:space="preserve"> </w:t>
      </w:r>
      <w:r w:rsidR="00DC7892" w:rsidRPr="004C259F">
        <w:rPr>
          <w:noProof/>
        </w:rPr>
        <w:t xml:space="preserve">The total 2024 volume of </w:t>
      </w:r>
      <w:r w:rsidR="00DC7892" w:rsidRPr="004C259F">
        <w:rPr>
          <w:b/>
          <w:bCs/>
          <w:noProof/>
        </w:rPr>
        <w:t>outward trade flows</w:t>
      </w:r>
      <w:r w:rsidR="00FF37DC">
        <w:rPr>
          <w:b/>
          <w:bCs/>
          <w:noProof/>
        </w:rPr>
        <w:t xml:space="preserve"> </w:t>
      </w:r>
      <w:r w:rsidR="00FF37DC" w:rsidRPr="00144960">
        <w:rPr>
          <w:noProof/>
        </w:rPr>
        <w:t>in</w:t>
      </w:r>
      <w:r w:rsidR="00DC7892" w:rsidRPr="004C259F">
        <w:rPr>
          <w:noProof/>
        </w:rPr>
        <w:t xml:space="preserve"> </w:t>
      </w:r>
      <w:r w:rsidR="00FF37DC" w:rsidRPr="004C259F">
        <w:rPr>
          <w:noProof/>
        </w:rPr>
        <w:t xml:space="preserve">2024 </w:t>
      </w:r>
      <w:r w:rsidR="00DC7892" w:rsidRPr="004C259F">
        <w:rPr>
          <w:noProof/>
        </w:rPr>
        <w:t>decreased by 3.2</w:t>
      </w:r>
      <w:r w:rsidR="00FF37DC" w:rsidRPr="004C259F">
        <w:rPr>
          <w:noProof/>
        </w:rPr>
        <w:t>%</w:t>
      </w:r>
      <w:r w:rsidR="00FF37DC">
        <w:rPr>
          <w:noProof/>
        </w:rPr>
        <w:t>.</w:t>
      </w:r>
      <w:r w:rsidR="00FF37DC" w:rsidRPr="004C259F">
        <w:rPr>
          <w:noProof/>
        </w:rPr>
        <w:t xml:space="preserve"> </w:t>
      </w:r>
      <w:r w:rsidR="00FF37DC">
        <w:rPr>
          <w:noProof/>
        </w:rPr>
        <w:t>T</w:t>
      </w:r>
      <w:r w:rsidR="008258BA" w:rsidRPr="004C259F">
        <w:rPr>
          <w:noProof/>
        </w:rPr>
        <w:t xml:space="preserve">he most significant decreases affecting outward flows </w:t>
      </w:r>
      <w:r w:rsidR="00FF37DC">
        <w:rPr>
          <w:noProof/>
        </w:rPr>
        <w:t>concerned</w:t>
      </w:r>
      <w:r w:rsidR="008258BA" w:rsidRPr="004C259F">
        <w:rPr>
          <w:noProof/>
        </w:rPr>
        <w:t xml:space="preserve"> the United States (East Coast) and China.</w:t>
      </w:r>
    </w:p>
    <w:p w14:paraId="35188293" w14:textId="46764BBA" w:rsidR="00B22F05" w:rsidRPr="004C259F" w:rsidRDefault="008B68C9" w:rsidP="00A17337">
      <w:pPr>
        <w:rPr>
          <w:noProof/>
        </w:rPr>
      </w:pPr>
      <w:r w:rsidRPr="004C259F">
        <w:rPr>
          <w:noProof/>
        </w:rPr>
        <w:t xml:space="preserve">MRV data </w:t>
      </w:r>
      <w:r w:rsidR="006106AA">
        <w:rPr>
          <w:noProof/>
        </w:rPr>
        <w:t xml:space="preserve">for </w:t>
      </w:r>
      <w:r w:rsidR="006106AA" w:rsidRPr="004C259F">
        <w:rPr>
          <w:noProof/>
        </w:rPr>
        <w:t>the period 2018-2024</w:t>
      </w:r>
      <w:r w:rsidR="006106AA">
        <w:rPr>
          <w:noProof/>
        </w:rPr>
        <w:t xml:space="preserve"> </w:t>
      </w:r>
      <w:r w:rsidRPr="004C259F">
        <w:rPr>
          <w:noProof/>
        </w:rPr>
        <w:t xml:space="preserve">shows </w:t>
      </w:r>
      <w:r w:rsidRPr="004C259F">
        <w:rPr>
          <w:b/>
          <w:bCs/>
          <w:noProof/>
        </w:rPr>
        <w:t xml:space="preserve">no indication of </w:t>
      </w:r>
      <w:r w:rsidR="006106AA">
        <w:rPr>
          <w:b/>
          <w:bCs/>
          <w:noProof/>
        </w:rPr>
        <w:t xml:space="preserve">a </w:t>
      </w:r>
      <w:r w:rsidRPr="004C259F">
        <w:rPr>
          <w:b/>
          <w:bCs/>
          <w:noProof/>
        </w:rPr>
        <w:t>structural</w:t>
      </w:r>
      <w:r w:rsidRPr="004C259F">
        <w:rPr>
          <w:noProof/>
        </w:rPr>
        <w:t xml:space="preserve"> </w:t>
      </w:r>
      <w:r w:rsidR="006106AA" w:rsidRPr="004C259F">
        <w:rPr>
          <w:b/>
          <w:bCs/>
          <w:noProof/>
        </w:rPr>
        <w:t>reduction</w:t>
      </w:r>
      <w:r w:rsidR="006106AA" w:rsidRPr="00144960">
        <w:rPr>
          <w:b/>
          <w:bCs/>
          <w:noProof/>
        </w:rPr>
        <w:t xml:space="preserve"> in </w:t>
      </w:r>
      <w:r w:rsidRPr="004C259F">
        <w:rPr>
          <w:b/>
          <w:bCs/>
          <w:noProof/>
        </w:rPr>
        <w:t xml:space="preserve">speed </w:t>
      </w:r>
      <w:r w:rsidRPr="004C259F">
        <w:rPr>
          <w:noProof/>
        </w:rPr>
        <w:t xml:space="preserve">for the MRV fleet. </w:t>
      </w:r>
      <w:r w:rsidR="006106AA">
        <w:rPr>
          <w:noProof/>
        </w:rPr>
        <w:t xml:space="preserve">In </w:t>
      </w:r>
      <w:r w:rsidR="00981E27">
        <w:rPr>
          <w:noProof/>
        </w:rPr>
        <w:t>2024</w:t>
      </w:r>
      <w:r w:rsidR="006106AA">
        <w:rPr>
          <w:noProof/>
        </w:rPr>
        <w:t xml:space="preserve">, </w:t>
      </w:r>
      <w:r w:rsidR="001C2B57" w:rsidRPr="004C259F">
        <w:rPr>
          <w:noProof/>
        </w:rPr>
        <w:t>10</w:t>
      </w:r>
      <w:r w:rsidRPr="004C259F">
        <w:rPr>
          <w:noProof/>
        </w:rPr>
        <w:t xml:space="preserve"> out of 15 ship types</w:t>
      </w:r>
      <w:r w:rsidR="00783846" w:rsidRPr="004C259F">
        <w:rPr>
          <w:noProof/>
        </w:rPr>
        <w:t xml:space="preserve"> recorded higher average speed </w:t>
      </w:r>
      <w:r w:rsidR="00981E27">
        <w:rPr>
          <w:noProof/>
        </w:rPr>
        <w:t>than in</w:t>
      </w:r>
      <w:r w:rsidR="00981E27" w:rsidRPr="004C259F">
        <w:rPr>
          <w:noProof/>
        </w:rPr>
        <w:t xml:space="preserve"> </w:t>
      </w:r>
      <w:r w:rsidR="00783846" w:rsidRPr="004C259F">
        <w:rPr>
          <w:noProof/>
        </w:rPr>
        <w:t>2018</w:t>
      </w:r>
      <w:r w:rsidR="00981E27">
        <w:rPr>
          <w:noProof/>
        </w:rPr>
        <w:t>.</w:t>
      </w:r>
      <w:r w:rsidR="00783846" w:rsidRPr="004C259F">
        <w:rPr>
          <w:noProof/>
        </w:rPr>
        <w:t xml:space="preserve"> </w:t>
      </w:r>
      <w:r w:rsidR="00981E27">
        <w:rPr>
          <w:noProof/>
        </w:rPr>
        <w:t>S</w:t>
      </w:r>
      <w:r w:rsidR="00783846" w:rsidRPr="004C259F">
        <w:rPr>
          <w:noProof/>
        </w:rPr>
        <w:t xml:space="preserve">ome </w:t>
      </w:r>
      <w:r w:rsidR="00981E27">
        <w:rPr>
          <w:noProof/>
        </w:rPr>
        <w:t xml:space="preserve">types </w:t>
      </w:r>
      <w:r w:rsidR="006106AA">
        <w:rPr>
          <w:noProof/>
        </w:rPr>
        <w:t>record</w:t>
      </w:r>
      <w:r w:rsidR="00981E27">
        <w:rPr>
          <w:noProof/>
        </w:rPr>
        <w:t>ed</w:t>
      </w:r>
      <w:r w:rsidR="006106AA">
        <w:rPr>
          <w:noProof/>
        </w:rPr>
        <w:t xml:space="preserve"> considerable increases in</w:t>
      </w:r>
      <w:r w:rsidR="00783846" w:rsidRPr="004C259F">
        <w:rPr>
          <w:noProof/>
        </w:rPr>
        <w:t xml:space="preserve"> speed, as in the case of combination carriers (+32%), </w:t>
      </w:r>
      <w:r w:rsidR="0019284E" w:rsidRPr="004C259F">
        <w:rPr>
          <w:noProof/>
        </w:rPr>
        <w:t>g</w:t>
      </w:r>
      <w:r w:rsidR="00783846" w:rsidRPr="004C259F">
        <w:rPr>
          <w:noProof/>
        </w:rPr>
        <w:t xml:space="preserve">as </w:t>
      </w:r>
      <w:r w:rsidR="0019284E" w:rsidRPr="004C259F">
        <w:rPr>
          <w:noProof/>
        </w:rPr>
        <w:t>c</w:t>
      </w:r>
      <w:r w:rsidR="00783846" w:rsidRPr="004C259F">
        <w:rPr>
          <w:noProof/>
        </w:rPr>
        <w:t>arriers (+</w:t>
      </w:r>
      <w:r w:rsidR="00E26A5E" w:rsidRPr="004C259F">
        <w:rPr>
          <w:noProof/>
        </w:rPr>
        <w:t>16</w:t>
      </w:r>
      <w:r w:rsidR="00783846" w:rsidRPr="004C259F">
        <w:rPr>
          <w:noProof/>
        </w:rPr>
        <w:t xml:space="preserve">%), </w:t>
      </w:r>
      <w:r w:rsidR="0019284E" w:rsidRPr="004C259F">
        <w:rPr>
          <w:noProof/>
        </w:rPr>
        <w:t>o</w:t>
      </w:r>
      <w:r w:rsidR="00783846" w:rsidRPr="004C259F">
        <w:rPr>
          <w:noProof/>
        </w:rPr>
        <w:t>ther ships (+1</w:t>
      </w:r>
      <w:r w:rsidR="00E26A5E" w:rsidRPr="004C259F">
        <w:rPr>
          <w:noProof/>
        </w:rPr>
        <w:t>6</w:t>
      </w:r>
      <w:r w:rsidR="00783846" w:rsidRPr="004C259F">
        <w:rPr>
          <w:noProof/>
        </w:rPr>
        <w:t>%)</w:t>
      </w:r>
      <w:r w:rsidR="00A77016" w:rsidRPr="004C259F">
        <w:rPr>
          <w:noProof/>
        </w:rPr>
        <w:t xml:space="preserve">, </w:t>
      </w:r>
      <w:r w:rsidR="006106AA">
        <w:rPr>
          <w:noProof/>
        </w:rPr>
        <w:t xml:space="preserve">and </w:t>
      </w:r>
      <w:r w:rsidR="00A77016" w:rsidRPr="004C259F">
        <w:rPr>
          <w:noProof/>
        </w:rPr>
        <w:t>oil tankers (+13%)</w:t>
      </w:r>
      <w:r w:rsidR="00E26A5E" w:rsidRPr="004C259F">
        <w:rPr>
          <w:noProof/>
        </w:rPr>
        <w:t xml:space="preserve">. </w:t>
      </w:r>
      <w:r w:rsidR="72039EE3" w:rsidRPr="004C259F">
        <w:rPr>
          <w:noProof/>
        </w:rPr>
        <w:t xml:space="preserve">However, </w:t>
      </w:r>
      <w:r w:rsidR="686530C4" w:rsidRPr="004C259F">
        <w:rPr>
          <w:noProof/>
        </w:rPr>
        <w:t xml:space="preserve">compared </w:t>
      </w:r>
      <w:r w:rsidR="006106AA">
        <w:rPr>
          <w:noProof/>
        </w:rPr>
        <w:t>with</w:t>
      </w:r>
      <w:r w:rsidR="006106AA" w:rsidRPr="004C259F">
        <w:rPr>
          <w:noProof/>
        </w:rPr>
        <w:t xml:space="preserve"> </w:t>
      </w:r>
      <w:r w:rsidR="686530C4" w:rsidRPr="004C259F">
        <w:rPr>
          <w:noProof/>
        </w:rPr>
        <w:t xml:space="preserve">2023, </w:t>
      </w:r>
      <w:r w:rsidR="001C2B57" w:rsidRPr="004C259F">
        <w:rPr>
          <w:noProof/>
        </w:rPr>
        <w:t xml:space="preserve">11 out </w:t>
      </w:r>
      <w:r w:rsidR="1627FCD7" w:rsidRPr="004C259F">
        <w:rPr>
          <w:noProof/>
        </w:rPr>
        <w:t>o</w:t>
      </w:r>
      <w:r w:rsidR="001C2B57" w:rsidRPr="004C259F">
        <w:rPr>
          <w:noProof/>
        </w:rPr>
        <w:t>f 15 ship types decreased</w:t>
      </w:r>
      <w:r w:rsidR="6A2FC361" w:rsidRPr="004C259F">
        <w:rPr>
          <w:noProof/>
        </w:rPr>
        <w:t xml:space="preserve"> their </w:t>
      </w:r>
      <w:r w:rsidR="001C2B57" w:rsidRPr="004C259F">
        <w:rPr>
          <w:noProof/>
        </w:rPr>
        <w:t>average speed in 2024</w:t>
      </w:r>
      <w:r w:rsidR="00666989">
        <w:rPr>
          <w:noProof/>
        </w:rPr>
        <w:t>. B</w:t>
      </w:r>
      <w:r w:rsidR="001C2B57" w:rsidRPr="004C259F">
        <w:rPr>
          <w:noProof/>
        </w:rPr>
        <w:t>oth container ships and LNG carriers considerably increased it, by 2.2% and 2.4%</w:t>
      </w:r>
      <w:r w:rsidR="00666989">
        <w:rPr>
          <w:noProof/>
        </w:rPr>
        <w:t>,</w:t>
      </w:r>
      <w:r w:rsidR="001C2B57" w:rsidRPr="004C259F">
        <w:rPr>
          <w:noProof/>
        </w:rPr>
        <w:t xml:space="preserve"> respectively.</w:t>
      </w:r>
    </w:p>
    <w:p w14:paraId="13EC733F" w14:textId="6DF7723F" w:rsidR="00380C28" w:rsidRPr="004C259F" w:rsidRDefault="006C427F" w:rsidP="00A17337">
      <w:pPr>
        <w:rPr>
          <w:noProof/>
        </w:rPr>
      </w:pPr>
      <w:r>
        <w:rPr>
          <w:noProof/>
        </w:rPr>
        <w:t>A</w:t>
      </w:r>
      <w:r w:rsidRPr="004C259F">
        <w:rPr>
          <w:noProof/>
        </w:rPr>
        <w:t xml:space="preserve"> </w:t>
      </w:r>
      <w:r w:rsidR="00181B4B" w:rsidRPr="004C259F">
        <w:rPr>
          <w:noProof/>
        </w:rPr>
        <w:t xml:space="preserve">graphical analysis of key </w:t>
      </w:r>
      <w:r w:rsidR="00181B4B" w:rsidRPr="004C259F">
        <w:rPr>
          <w:b/>
          <w:bCs/>
          <w:noProof/>
        </w:rPr>
        <w:t>technical and operational efficiency</w:t>
      </w:r>
      <w:r w:rsidR="00181B4B" w:rsidRPr="004C259F">
        <w:rPr>
          <w:noProof/>
        </w:rPr>
        <w:t xml:space="preserve"> indicators </w:t>
      </w:r>
      <w:r w:rsidR="00A77016" w:rsidRPr="004C259F">
        <w:rPr>
          <w:noProof/>
        </w:rPr>
        <w:t>confirmed the gradual increase in data correlation values between key technical and operational efficiency indicators</w:t>
      </w:r>
      <w:r w:rsidR="00147430">
        <w:rPr>
          <w:noProof/>
        </w:rPr>
        <w:t> (</w:t>
      </w:r>
      <w:r w:rsidR="00A77016" w:rsidRPr="004C259F">
        <w:rPr>
          <w:noProof/>
          <w:vertAlign w:val="superscript"/>
        </w:rPr>
        <w:footnoteReference w:id="9"/>
      </w:r>
      <w:r w:rsidR="00147430">
        <w:rPr>
          <w:noProof/>
        </w:rPr>
        <w:t>)</w:t>
      </w:r>
      <w:r w:rsidR="00A77016" w:rsidRPr="004C259F">
        <w:rPr>
          <w:noProof/>
        </w:rPr>
        <w:t xml:space="preserve"> and the size of the ships reporting under the EU MRV</w:t>
      </w:r>
      <w:r w:rsidR="002036D0" w:rsidRPr="004C259F">
        <w:rPr>
          <w:noProof/>
        </w:rPr>
        <w:t xml:space="preserve"> Maritime</w:t>
      </w:r>
      <w:r w:rsidR="00A77016" w:rsidRPr="004C259F">
        <w:rPr>
          <w:noProof/>
        </w:rPr>
        <w:t xml:space="preserve"> Regulation, thus highlighting the increased maturity of the MRV framework. Efficiency trends </w:t>
      </w:r>
      <w:r w:rsidR="00B74A75">
        <w:rPr>
          <w:noProof/>
        </w:rPr>
        <w:t xml:space="preserve">generally </w:t>
      </w:r>
      <w:r w:rsidR="00A77016" w:rsidRPr="004C259F">
        <w:rPr>
          <w:noProof/>
        </w:rPr>
        <w:t>remained stable</w:t>
      </w:r>
      <w:r w:rsidR="00B74A75">
        <w:rPr>
          <w:noProof/>
        </w:rPr>
        <w:t>,</w:t>
      </w:r>
      <w:r w:rsidR="00A77016" w:rsidRPr="004C259F">
        <w:rPr>
          <w:noProof/>
        </w:rPr>
        <w:t xml:space="preserve"> especially </w:t>
      </w:r>
      <w:r w:rsidR="00DC468D">
        <w:rPr>
          <w:noProof/>
        </w:rPr>
        <w:t>among</w:t>
      </w:r>
      <w:r w:rsidR="00DC468D" w:rsidRPr="004C259F">
        <w:rPr>
          <w:noProof/>
        </w:rPr>
        <w:t xml:space="preserve"> </w:t>
      </w:r>
      <w:r w:rsidR="00DC468D">
        <w:rPr>
          <w:noProof/>
        </w:rPr>
        <w:t xml:space="preserve">the fleet's </w:t>
      </w:r>
      <w:r w:rsidR="00A77016" w:rsidRPr="004C259F">
        <w:rPr>
          <w:noProof/>
        </w:rPr>
        <w:t>top emitters</w:t>
      </w:r>
      <w:r w:rsidR="00E3583B" w:rsidRPr="004C259F">
        <w:rPr>
          <w:rFonts w:eastAsia="Calibri" w:cs="Times New Roman"/>
          <w:noProof/>
          <w:szCs w:val="24"/>
        </w:rPr>
        <w:t xml:space="preserve">, </w:t>
      </w:r>
      <w:r w:rsidR="01141019" w:rsidRPr="004C259F">
        <w:rPr>
          <w:rFonts w:eastAsia="Calibri" w:cs="Times New Roman"/>
          <w:noProof/>
          <w:szCs w:val="24"/>
        </w:rPr>
        <w:t xml:space="preserve">while </w:t>
      </w:r>
      <w:r w:rsidR="00DC468D">
        <w:rPr>
          <w:rFonts w:eastAsia="Calibri" w:cs="Times New Roman"/>
          <w:noProof/>
          <w:szCs w:val="24"/>
        </w:rPr>
        <w:t xml:space="preserve">some segments </w:t>
      </w:r>
      <w:r w:rsidR="00DC468D" w:rsidRPr="004C259F">
        <w:rPr>
          <w:rFonts w:eastAsia="Calibri" w:cs="Times New Roman"/>
          <w:noProof/>
          <w:szCs w:val="24"/>
        </w:rPr>
        <w:t>(e.g. container ships)</w:t>
      </w:r>
      <w:r w:rsidR="00DC468D">
        <w:rPr>
          <w:rFonts w:eastAsia="Calibri" w:cs="Times New Roman"/>
          <w:noProof/>
          <w:szCs w:val="24"/>
        </w:rPr>
        <w:t xml:space="preserve"> showed</w:t>
      </w:r>
      <w:r w:rsidR="00DC468D" w:rsidRPr="004C259F">
        <w:rPr>
          <w:rFonts w:eastAsia="Calibri" w:cs="Times New Roman"/>
          <w:noProof/>
          <w:szCs w:val="24"/>
        </w:rPr>
        <w:t xml:space="preserve"> </w:t>
      </w:r>
      <w:r w:rsidR="00E3583B" w:rsidRPr="004C259F">
        <w:rPr>
          <w:rFonts w:eastAsia="Calibri" w:cs="Times New Roman"/>
          <w:noProof/>
          <w:szCs w:val="24"/>
        </w:rPr>
        <w:t xml:space="preserve">improvements </w:t>
      </w:r>
      <w:r w:rsidR="42135061" w:rsidRPr="004C259F">
        <w:rPr>
          <w:rFonts w:eastAsia="Calibri" w:cs="Times New Roman"/>
          <w:noProof/>
          <w:szCs w:val="24"/>
        </w:rPr>
        <w:t xml:space="preserve">in the </w:t>
      </w:r>
      <w:r w:rsidR="00E3583B" w:rsidRPr="004C259F">
        <w:rPr>
          <w:rFonts w:eastAsia="Calibri" w:cs="Times New Roman"/>
          <w:noProof/>
          <w:szCs w:val="24"/>
        </w:rPr>
        <w:t>technical efficiency</w:t>
      </w:r>
      <w:r w:rsidR="00DC468D" w:rsidRPr="00DC468D">
        <w:rPr>
          <w:rFonts w:eastAsia="Calibri" w:cs="Times New Roman"/>
          <w:noProof/>
          <w:szCs w:val="24"/>
        </w:rPr>
        <w:t xml:space="preserve"> </w:t>
      </w:r>
      <w:r w:rsidR="00DC468D" w:rsidRPr="004C259F">
        <w:rPr>
          <w:rFonts w:eastAsia="Calibri" w:cs="Times New Roman"/>
          <w:noProof/>
          <w:szCs w:val="24"/>
        </w:rPr>
        <w:t>reported</w:t>
      </w:r>
      <w:r w:rsidR="0B842801" w:rsidRPr="004C259F">
        <w:rPr>
          <w:noProof/>
        </w:rPr>
        <w:t>.</w:t>
      </w:r>
    </w:p>
    <w:p w14:paraId="5157EC6A" w14:textId="7855EB43" w:rsidR="00181B4B" w:rsidRPr="004C259F" w:rsidRDefault="00F311D4" w:rsidP="00181B4B">
      <w:pPr>
        <w:numPr>
          <w:ilvl w:val="0"/>
          <w:numId w:val="1"/>
        </w:numPr>
        <w:textAlignment w:val="baseline"/>
        <w:rPr>
          <w:rFonts w:eastAsia="Times New Roman" w:cs="Times New Roman"/>
          <w:b/>
          <w:bCs/>
          <w:noProof/>
          <w:kern w:val="0"/>
          <w:szCs w:val="24"/>
          <w14:ligatures w14:val="none"/>
        </w:rPr>
      </w:pPr>
      <w:r>
        <w:rPr>
          <w:rFonts w:eastAsia="Times New Roman" w:cs="Times New Roman"/>
          <w:b/>
          <w:bCs/>
          <w:noProof/>
          <w:kern w:val="0"/>
          <w:szCs w:val="24"/>
          <w14:ligatures w14:val="none"/>
        </w:rPr>
        <w:t>I</w:t>
      </w:r>
      <w:r w:rsidR="00C92D3D" w:rsidRPr="004C259F">
        <w:rPr>
          <w:rFonts w:eastAsia="Times New Roman" w:cs="Times New Roman"/>
          <w:b/>
          <w:bCs/>
          <w:noProof/>
          <w:kern w:val="0"/>
          <w:szCs w:val="24"/>
          <w14:ligatures w14:val="none"/>
        </w:rPr>
        <w:t>mplementation of the EU MRV Maritime Regulation</w:t>
      </w:r>
    </w:p>
    <w:p w14:paraId="3EF07CDD" w14:textId="0F12591B" w:rsidR="00CB7387" w:rsidRPr="004C259F" w:rsidRDefault="00181B4B" w:rsidP="00A17337">
      <w:pPr>
        <w:rPr>
          <w:noProof/>
        </w:rPr>
      </w:pPr>
      <w:r w:rsidRPr="004C259F">
        <w:rPr>
          <w:noProof/>
        </w:rPr>
        <w:t xml:space="preserve">In terms of implementation of the EU MRV </w:t>
      </w:r>
      <w:r w:rsidR="002036D0" w:rsidRPr="004C259F">
        <w:rPr>
          <w:noProof/>
        </w:rPr>
        <w:t xml:space="preserve">Maritime </w:t>
      </w:r>
      <w:r w:rsidRPr="004C259F">
        <w:rPr>
          <w:noProof/>
        </w:rPr>
        <w:t xml:space="preserve">Regulation, the results confirm the </w:t>
      </w:r>
      <w:r w:rsidR="006D3C76" w:rsidRPr="004C259F">
        <w:rPr>
          <w:noProof/>
        </w:rPr>
        <w:t xml:space="preserve">robustness and completeness of the reported data. Both shipping companies and accredited verifiers coped well with the new reporting requirements </w:t>
      </w:r>
      <w:r w:rsidR="0021428F">
        <w:rPr>
          <w:noProof/>
        </w:rPr>
        <w:t xml:space="preserve">brought </w:t>
      </w:r>
      <w:r w:rsidR="006D3C76" w:rsidRPr="004C259F">
        <w:rPr>
          <w:noProof/>
        </w:rPr>
        <w:t xml:space="preserve">in to support the ETS extension to maritime </w:t>
      </w:r>
      <w:r w:rsidR="00AA15A1">
        <w:rPr>
          <w:noProof/>
        </w:rPr>
        <w:t xml:space="preserve">transport </w:t>
      </w:r>
      <w:r w:rsidR="00653866">
        <w:rPr>
          <w:noProof/>
        </w:rPr>
        <w:t>as from</w:t>
      </w:r>
      <w:r w:rsidR="00AA15A1">
        <w:rPr>
          <w:noProof/>
        </w:rPr>
        <w:t xml:space="preserve"> </w:t>
      </w:r>
      <w:r w:rsidR="006D3C76" w:rsidRPr="004C259F">
        <w:rPr>
          <w:noProof/>
        </w:rPr>
        <w:t>2024</w:t>
      </w:r>
      <w:r w:rsidR="00AA15A1">
        <w:rPr>
          <w:noProof/>
        </w:rPr>
        <w:t>. This is evidenced</w:t>
      </w:r>
      <w:r w:rsidR="006D3C76" w:rsidRPr="004C259F">
        <w:rPr>
          <w:noProof/>
        </w:rPr>
        <w:t xml:space="preserve"> by the </w:t>
      </w:r>
      <w:r w:rsidR="006D3C76" w:rsidRPr="004C259F">
        <w:rPr>
          <w:b/>
          <w:bCs/>
          <w:noProof/>
        </w:rPr>
        <w:t>improve</w:t>
      </w:r>
      <w:r w:rsidR="00AA15A1">
        <w:rPr>
          <w:b/>
          <w:bCs/>
          <w:noProof/>
        </w:rPr>
        <w:t>d</w:t>
      </w:r>
      <w:r w:rsidR="006D3C76" w:rsidRPr="004C259F">
        <w:rPr>
          <w:b/>
          <w:bCs/>
          <w:noProof/>
        </w:rPr>
        <w:t xml:space="preserve"> punctuality</w:t>
      </w:r>
      <w:r w:rsidR="006D3C76" w:rsidRPr="004C259F">
        <w:rPr>
          <w:noProof/>
        </w:rPr>
        <w:t xml:space="preserve"> indicators (69%</w:t>
      </w:r>
      <w:r w:rsidR="00AA15A1">
        <w:rPr>
          <w:noProof/>
        </w:rPr>
        <w:t>,</w:t>
      </w:r>
      <w:r w:rsidR="00C1758D" w:rsidRPr="004C259F">
        <w:rPr>
          <w:noProof/>
        </w:rPr>
        <w:t xml:space="preserve"> up from 52% </w:t>
      </w:r>
      <w:r w:rsidR="00AA15A1">
        <w:rPr>
          <w:noProof/>
        </w:rPr>
        <w:t>in</w:t>
      </w:r>
      <w:r w:rsidR="00AA15A1" w:rsidRPr="004C259F">
        <w:rPr>
          <w:noProof/>
        </w:rPr>
        <w:t xml:space="preserve"> </w:t>
      </w:r>
      <w:r w:rsidR="00C1758D" w:rsidRPr="004C259F">
        <w:rPr>
          <w:noProof/>
        </w:rPr>
        <w:t>2023</w:t>
      </w:r>
      <w:r w:rsidR="006D3C76" w:rsidRPr="004C259F">
        <w:rPr>
          <w:noProof/>
        </w:rPr>
        <w:t xml:space="preserve">), despite an earlier deadline for </w:t>
      </w:r>
      <w:r w:rsidR="00653866">
        <w:rPr>
          <w:noProof/>
        </w:rPr>
        <w:t xml:space="preserve">the </w:t>
      </w:r>
      <w:r w:rsidR="006D3C76" w:rsidRPr="004C259F">
        <w:rPr>
          <w:noProof/>
        </w:rPr>
        <w:t>submission</w:t>
      </w:r>
      <w:r w:rsidR="00653866" w:rsidRPr="00653866">
        <w:rPr>
          <w:noProof/>
        </w:rPr>
        <w:t xml:space="preserve"> </w:t>
      </w:r>
      <w:r w:rsidR="00653866">
        <w:rPr>
          <w:noProof/>
        </w:rPr>
        <w:t xml:space="preserve">of annual </w:t>
      </w:r>
      <w:r w:rsidR="00653866" w:rsidRPr="004C259F">
        <w:rPr>
          <w:noProof/>
        </w:rPr>
        <w:t>report</w:t>
      </w:r>
      <w:r w:rsidR="00653866">
        <w:rPr>
          <w:noProof/>
        </w:rPr>
        <w:t>s</w:t>
      </w:r>
      <w:r w:rsidR="00147430">
        <w:rPr>
          <w:noProof/>
        </w:rPr>
        <w:t> (</w:t>
      </w:r>
      <w:r w:rsidR="006D3C76" w:rsidRPr="004C259F">
        <w:rPr>
          <w:rStyle w:val="FootnoteReference"/>
          <w:rFonts w:eastAsia="Calibri" w:cs="Times New Roman"/>
          <w:noProof/>
          <w:kern w:val="0"/>
          <w:szCs w:val="24"/>
          <w14:ligatures w14:val="none"/>
        </w:rPr>
        <w:footnoteReference w:id="10"/>
      </w:r>
      <w:r w:rsidR="00147430">
        <w:rPr>
          <w:noProof/>
        </w:rPr>
        <w:t>)</w:t>
      </w:r>
      <w:r w:rsidR="004C259F" w:rsidRPr="004C259F">
        <w:rPr>
          <w:noProof/>
        </w:rPr>
        <w:t>.</w:t>
      </w:r>
    </w:p>
    <w:p w14:paraId="4562AEC8" w14:textId="7C938644" w:rsidR="00CB7387" w:rsidRPr="004C259F" w:rsidRDefault="00C1758D" w:rsidP="00A17337">
      <w:pPr>
        <w:rPr>
          <w:noProof/>
        </w:rPr>
      </w:pPr>
      <w:r w:rsidRPr="004C259F">
        <w:rPr>
          <w:noProof/>
        </w:rPr>
        <w:t xml:space="preserve">The </w:t>
      </w:r>
      <w:r w:rsidRPr="004C259F">
        <w:rPr>
          <w:b/>
          <w:bCs/>
          <w:noProof/>
        </w:rPr>
        <w:t>quality of the submitted data</w:t>
      </w:r>
      <w:r w:rsidRPr="004C259F">
        <w:rPr>
          <w:noProof/>
        </w:rPr>
        <w:t xml:space="preserve"> remained </w:t>
      </w:r>
      <w:r w:rsidR="00653866">
        <w:rPr>
          <w:noProof/>
        </w:rPr>
        <w:t>generally consistent</w:t>
      </w:r>
      <w:r w:rsidRPr="004C259F">
        <w:rPr>
          <w:noProof/>
        </w:rPr>
        <w:t xml:space="preserve"> with the previous reporting period (2023)</w:t>
      </w:r>
      <w:r w:rsidR="00653866">
        <w:rPr>
          <w:noProof/>
        </w:rPr>
        <w:t>. T</w:t>
      </w:r>
      <w:r w:rsidRPr="004C259F">
        <w:rPr>
          <w:noProof/>
        </w:rPr>
        <w:t>he share of reports with outliers only slightly increased to 0.5% of the total, still considerably lower than the average of 1.1% for the period 2018-2024.</w:t>
      </w:r>
    </w:p>
    <w:p w14:paraId="65F60445" w14:textId="71CDC58B" w:rsidR="006D3C76" w:rsidRPr="004C259F" w:rsidRDefault="004F2B7C" w:rsidP="00A17337">
      <w:pPr>
        <w:rPr>
          <w:noProof/>
        </w:rPr>
      </w:pPr>
      <w:r w:rsidRPr="004C259F">
        <w:rPr>
          <w:noProof/>
        </w:rPr>
        <w:t xml:space="preserve">The </w:t>
      </w:r>
      <w:r w:rsidR="00B00590" w:rsidRPr="004C259F">
        <w:rPr>
          <w:b/>
          <w:bCs/>
          <w:noProof/>
        </w:rPr>
        <w:t xml:space="preserve">MRV </w:t>
      </w:r>
      <w:r w:rsidRPr="004C259F">
        <w:rPr>
          <w:b/>
          <w:bCs/>
          <w:noProof/>
        </w:rPr>
        <w:t>compliance checks</w:t>
      </w:r>
      <w:r w:rsidRPr="004C259F">
        <w:rPr>
          <w:noProof/>
        </w:rPr>
        <w:t xml:space="preserve"> carried out </w:t>
      </w:r>
      <w:r w:rsidR="00354ED4">
        <w:rPr>
          <w:noProof/>
        </w:rPr>
        <w:t>during</w:t>
      </w:r>
      <w:r w:rsidR="00354ED4" w:rsidRPr="004C259F">
        <w:rPr>
          <w:noProof/>
        </w:rPr>
        <w:t xml:space="preserve"> </w:t>
      </w:r>
      <w:r w:rsidRPr="004C259F">
        <w:rPr>
          <w:noProof/>
        </w:rPr>
        <w:t xml:space="preserve">port state control inspections </w:t>
      </w:r>
      <w:r w:rsidR="003D594C" w:rsidRPr="004C259F">
        <w:rPr>
          <w:noProof/>
        </w:rPr>
        <w:t>confirmed the improvements recorded in previous years</w:t>
      </w:r>
      <w:r w:rsidR="00354ED4">
        <w:rPr>
          <w:noProof/>
        </w:rPr>
        <w:t>.</w:t>
      </w:r>
      <w:r w:rsidRPr="004C259F">
        <w:rPr>
          <w:noProof/>
        </w:rPr>
        <w:t xml:space="preserve"> </w:t>
      </w:r>
      <w:r w:rsidR="00354ED4">
        <w:rPr>
          <w:noProof/>
        </w:rPr>
        <w:t>I</w:t>
      </w:r>
      <w:r w:rsidRPr="004C259F">
        <w:rPr>
          <w:noProof/>
        </w:rPr>
        <w:t xml:space="preserve">n 2025 only 2% of inspected ships </w:t>
      </w:r>
      <w:r w:rsidR="00354ED4">
        <w:rPr>
          <w:noProof/>
        </w:rPr>
        <w:t>failed to</w:t>
      </w:r>
      <w:r w:rsidRPr="004C259F">
        <w:rPr>
          <w:noProof/>
        </w:rPr>
        <w:t xml:space="preserve"> provide a valid </w:t>
      </w:r>
      <w:r w:rsidR="00384B1B">
        <w:rPr>
          <w:noProof/>
        </w:rPr>
        <w:t>d</w:t>
      </w:r>
      <w:r w:rsidRPr="004C259F">
        <w:rPr>
          <w:noProof/>
        </w:rPr>
        <w:t xml:space="preserve">ocument of </w:t>
      </w:r>
      <w:r w:rsidR="00384B1B">
        <w:rPr>
          <w:noProof/>
        </w:rPr>
        <w:t>c</w:t>
      </w:r>
      <w:r w:rsidRPr="004C259F">
        <w:rPr>
          <w:noProof/>
        </w:rPr>
        <w:t>ompliance to demonstrate compliance with</w:t>
      </w:r>
      <w:r w:rsidR="00354ED4">
        <w:rPr>
          <w:noProof/>
        </w:rPr>
        <w:t xml:space="preserve"> the</w:t>
      </w:r>
      <w:r w:rsidRPr="004C259F">
        <w:rPr>
          <w:noProof/>
        </w:rPr>
        <w:t xml:space="preserve"> EU MRV obligations </w:t>
      </w:r>
      <w:r w:rsidR="00354ED4">
        <w:rPr>
          <w:noProof/>
        </w:rPr>
        <w:t>in</w:t>
      </w:r>
      <w:r w:rsidR="00354ED4" w:rsidRPr="004C259F">
        <w:rPr>
          <w:noProof/>
        </w:rPr>
        <w:t xml:space="preserve"> </w:t>
      </w:r>
      <w:r w:rsidRPr="004C259F">
        <w:rPr>
          <w:noProof/>
        </w:rPr>
        <w:t xml:space="preserve">the previous year. </w:t>
      </w:r>
      <w:r w:rsidR="003D594C" w:rsidRPr="004C259F">
        <w:rPr>
          <w:noProof/>
        </w:rPr>
        <w:t xml:space="preserve">The </w:t>
      </w:r>
      <w:r w:rsidR="0042633D" w:rsidRPr="004C259F">
        <w:rPr>
          <w:noProof/>
        </w:rPr>
        <w:t>maturity</w:t>
      </w:r>
      <w:r w:rsidR="003D594C" w:rsidRPr="004C259F">
        <w:rPr>
          <w:noProof/>
        </w:rPr>
        <w:t xml:space="preserve"> of the </w:t>
      </w:r>
      <w:r w:rsidR="00B8020B" w:rsidRPr="004C259F">
        <w:rPr>
          <w:noProof/>
        </w:rPr>
        <w:t xml:space="preserve">implementation of the EU MRV Maritime system </w:t>
      </w:r>
      <w:r w:rsidR="00F10DD4" w:rsidRPr="004C259F">
        <w:rPr>
          <w:noProof/>
        </w:rPr>
        <w:t xml:space="preserve">played a key role </w:t>
      </w:r>
      <w:r w:rsidR="006A42CF" w:rsidRPr="004C259F">
        <w:rPr>
          <w:noProof/>
        </w:rPr>
        <w:t xml:space="preserve">in ensuring high compliance </w:t>
      </w:r>
      <w:r w:rsidR="00D85F12">
        <w:rPr>
          <w:noProof/>
        </w:rPr>
        <w:t>with</w:t>
      </w:r>
      <w:r w:rsidR="00326389" w:rsidRPr="004C259F">
        <w:rPr>
          <w:noProof/>
        </w:rPr>
        <w:t xml:space="preserve"> ETS </w:t>
      </w:r>
      <w:r w:rsidR="00D80511" w:rsidRPr="004C259F">
        <w:rPr>
          <w:noProof/>
        </w:rPr>
        <w:t xml:space="preserve">maritime </w:t>
      </w:r>
      <w:r w:rsidR="00326389" w:rsidRPr="004C259F">
        <w:rPr>
          <w:noProof/>
        </w:rPr>
        <w:t xml:space="preserve">obligations, </w:t>
      </w:r>
      <w:r w:rsidR="00144960">
        <w:rPr>
          <w:noProof/>
        </w:rPr>
        <w:t xml:space="preserve">reflecting the sector’s adaptation to these requirements, </w:t>
      </w:r>
      <w:r w:rsidR="00326389" w:rsidRPr="004C259F">
        <w:rPr>
          <w:noProof/>
        </w:rPr>
        <w:t>as</w:t>
      </w:r>
      <w:r w:rsidR="001D3E85" w:rsidRPr="004C259F">
        <w:rPr>
          <w:noProof/>
        </w:rPr>
        <w:t xml:space="preserve"> in </w:t>
      </w:r>
      <w:r w:rsidR="006E3BCF" w:rsidRPr="004C259F">
        <w:rPr>
          <w:noProof/>
        </w:rPr>
        <w:t>2025</w:t>
      </w:r>
      <w:r w:rsidR="00326389" w:rsidRPr="004C259F">
        <w:rPr>
          <w:noProof/>
        </w:rPr>
        <w:t xml:space="preserve"> shipping companies surrendered allowances </w:t>
      </w:r>
      <w:r w:rsidR="00D80511" w:rsidRPr="004C259F">
        <w:rPr>
          <w:noProof/>
        </w:rPr>
        <w:t xml:space="preserve">by the legal deadline </w:t>
      </w:r>
      <w:r w:rsidR="00871620" w:rsidRPr="004C259F">
        <w:rPr>
          <w:noProof/>
        </w:rPr>
        <w:t>for more than 99% of surrendering requirements</w:t>
      </w:r>
      <w:r w:rsidR="00147430">
        <w:rPr>
          <w:noProof/>
        </w:rPr>
        <w:t> (</w:t>
      </w:r>
      <w:r w:rsidR="00F145CF" w:rsidRPr="004C259F">
        <w:rPr>
          <w:rStyle w:val="FootnoteReference"/>
          <w:rFonts w:eastAsia="Calibri" w:cs="Times New Roman"/>
          <w:noProof/>
          <w:kern w:val="0"/>
          <w:szCs w:val="24"/>
          <w14:ligatures w14:val="none"/>
        </w:rPr>
        <w:footnoteReference w:id="11"/>
      </w:r>
      <w:r w:rsidR="00147430">
        <w:rPr>
          <w:noProof/>
        </w:rPr>
        <w:t>)</w:t>
      </w:r>
      <w:r w:rsidR="004C259F" w:rsidRPr="004C259F">
        <w:rPr>
          <w:noProof/>
        </w:rPr>
        <w:t>.</w:t>
      </w:r>
    </w:p>
    <w:sectPr w:rsidR="006D3C76" w:rsidRPr="004C259F" w:rsidSect="002C0A6F">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4B32EC" w14:textId="77777777" w:rsidR="001C5025" w:rsidRPr="004C259F" w:rsidRDefault="001C5025" w:rsidP="00181B4B">
      <w:pPr>
        <w:spacing w:after="0" w:line="240" w:lineRule="auto"/>
      </w:pPr>
      <w:r w:rsidRPr="004C259F">
        <w:separator/>
      </w:r>
    </w:p>
  </w:endnote>
  <w:endnote w:type="continuationSeparator" w:id="0">
    <w:p w14:paraId="36A26C1E" w14:textId="77777777" w:rsidR="001C5025" w:rsidRPr="004C259F" w:rsidRDefault="001C5025" w:rsidP="00181B4B">
      <w:pPr>
        <w:spacing w:after="0" w:line="240" w:lineRule="auto"/>
      </w:pPr>
      <w:r w:rsidRPr="004C259F">
        <w:continuationSeparator/>
      </w:r>
    </w:p>
  </w:endnote>
  <w:endnote w:type="continuationNotice" w:id="1">
    <w:p w14:paraId="65281B15" w14:textId="77777777" w:rsidR="001C5025" w:rsidRPr="004C259F" w:rsidRDefault="001C50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9D3DB" w14:textId="6835A1D5" w:rsidR="008470AF" w:rsidRPr="008470AF" w:rsidRDefault="008470AF" w:rsidP="008470AF">
    <w:pPr>
      <w:pStyle w:val="FooterCoverPage"/>
      <w:rPr>
        <w:rFonts w:ascii="Arial" w:hAnsi="Arial" w:cs="Arial"/>
        <w:b/>
        <w:sz w:val="48"/>
      </w:rPr>
    </w:pPr>
    <w:r w:rsidRPr="008470AF">
      <w:rPr>
        <w:rFonts w:ascii="Arial" w:hAnsi="Arial" w:cs="Arial"/>
        <w:b/>
        <w:sz w:val="48"/>
      </w:rPr>
      <w:t>EN</w:t>
    </w:r>
    <w:r w:rsidRPr="008470AF">
      <w:rPr>
        <w:rFonts w:ascii="Arial" w:hAnsi="Arial" w:cs="Arial"/>
        <w:b/>
        <w:sz w:val="48"/>
      </w:rPr>
      <w:tab/>
    </w:r>
    <w:r w:rsidRPr="008470AF">
      <w:rPr>
        <w:rFonts w:ascii="Arial" w:hAnsi="Arial" w:cs="Arial"/>
        <w:b/>
        <w:sz w:val="48"/>
      </w:rPr>
      <w:tab/>
    </w:r>
    <w:r w:rsidRPr="008470AF">
      <w:tab/>
    </w:r>
    <w:r w:rsidRPr="008470A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11EB8" w14:textId="22DF9471" w:rsidR="008470AF" w:rsidRPr="008470AF" w:rsidRDefault="008470AF" w:rsidP="008470AF">
    <w:pPr>
      <w:pStyle w:val="FooterCoverPage"/>
      <w:rPr>
        <w:rFonts w:ascii="Arial" w:hAnsi="Arial" w:cs="Arial"/>
        <w:b/>
        <w:sz w:val="48"/>
      </w:rPr>
    </w:pPr>
    <w:r w:rsidRPr="008470AF">
      <w:rPr>
        <w:rFonts w:ascii="Arial" w:hAnsi="Arial" w:cs="Arial"/>
        <w:b/>
        <w:sz w:val="48"/>
      </w:rPr>
      <w:t>EN</w:t>
    </w:r>
    <w:r w:rsidRPr="008470AF">
      <w:rPr>
        <w:rFonts w:ascii="Arial" w:hAnsi="Arial" w:cs="Arial"/>
        <w:b/>
        <w:sz w:val="48"/>
      </w:rPr>
      <w:tab/>
    </w:r>
    <w:r w:rsidRPr="008470AF">
      <w:rPr>
        <w:rFonts w:ascii="Arial" w:hAnsi="Arial" w:cs="Arial"/>
        <w:b/>
        <w:sz w:val="48"/>
      </w:rPr>
      <w:tab/>
    </w:r>
    <w:r w:rsidRPr="008470AF">
      <w:tab/>
    </w:r>
    <w:r w:rsidRPr="008470A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19D3E" w14:textId="77777777" w:rsidR="008470AF" w:rsidRPr="008470AF" w:rsidRDefault="008470AF" w:rsidP="008470A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AA69A" w14:textId="77777777" w:rsidR="002C0A6F" w:rsidRPr="004C259F" w:rsidRDefault="002C0A6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3512876"/>
      <w:docPartObj>
        <w:docPartGallery w:val="Page Numbers (Bottom of Page)"/>
        <w:docPartUnique/>
      </w:docPartObj>
    </w:sdtPr>
    <w:sdtEndPr/>
    <w:sdtContent>
      <w:p w14:paraId="2ED5FC93" w14:textId="572AA43A" w:rsidR="002C0A6F" w:rsidRPr="004C259F" w:rsidRDefault="002C0A6F">
        <w:pPr>
          <w:pStyle w:val="Footer"/>
          <w:jc w:val="right"/>
        </w:pPr>
        <w:r w:rsidRPr="004C259F">
          <w:fldChar w:fldCharType="begin"/>
        </w:r>
        <w:r w:rsidRPr="004C259F">
          <w:instrText xml:space="preserve"> PAGE   \* MERGEFORMAT </w:instrText>
        </w:r>
        <w:r w:rsidRPr="004C259F">
          <w:fldChar w:fldCharType="separate"/>
        </w:r>
        <w:r w:rsidR="008470AF">
          <w:rPr>
            <w:noProof/>
          </w:rPr>
          <w:t>1</w:t>
        </w:r>
        <w:r w:rsidRPr="004C259F">
          <w:fldChar w:fldCharType="end"/>
        </w:r>
      </w:p>
    </w:sdtContent>
  </w:sdt>
  <w:p w14:paraId="62476CCA" w14:textId="77777777" w:rsidR="002C0A6F" w:rsidRPr="004C259F" w:rsidRDefault="002C0A6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11AD3" w14:textId="77777777" w:rsidR="002C0A6F" w:rsidRPr="004C259F" w:rsidRDefault="002C0A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E04073" w14:textId="77777777" w:rsidR="001C5025" w:rsidRPr="004C259F" w:rsidRDefault="001C5025" w:rsidP="00181B4B">
      <w:pPr>
        <w:spacing w:after="0" w:line="240" w:lineRule="auto"/>
      </w:pPr>
      <w:r w:rsidRPr="004C259F">
        <w:separator/>
      </w:r>
    </w:p>
  </w:footnote>
  <w:footnote w:type="continuationSeparator" w:id="0">
    <w:p w14:paraId="74538896" w14:textId="77777777" w:rsidR="001C5025" w:rsidRPr="004C259F" w:rsidRDefault="001C5025" w:rsidP="00181B4B">
      <w:pPr>
        <w:spacing w:after="0" w:line="240" w:lineRule="auto"/>
      </w:pPr>
      <w:r w:rsidRPr="004C259F">
        <w:continuationSeparator/>
      </w:r>
    </w:p>
  </w:footnote>
  <w:footnote w:type="continuationNotice" w:id="1">
    <w:p w14:paraId="3397BED3" w14:textId="77777777" w:rsidR="001C5025" w:rsidRPr="004C259F" w:rsidRDefault="001C5025">
      <w:pPr>
        <w:spacing w:after="0" w:line="240" w:lineRule="auto"/>
      </w:pPr>
    </w:p>
  </w:footnote>
  <w:footnote w:id="2">
    <w:p w14:paraId="15FE45C1" w14:textId="61EF77F4" w:rsidR="00181B4B" w:rsidRPr="004C259F" w:rsidRDefault="008B58DC" w:rsidP="00181B4B">
      <w:pPr>
        <w:pStyle w:val="FootnoteText"/>
        <w:rPr>
          <w:rFonts w:cs="Times New Roman"/>
        </w:rPr>
      </w:pPr>
      <w:r w:rsidRPr="00A07353">
        <w:rPr>
          <w:rFonts w:ascii="Segoe UI" w:hAnsi="Segoe UI" w:cs="Segoe UI"/>
          <w:color w:val="333333"/>
          <w:sz w:val="21"/>
          <w:szCs w:val="21"/>
          <w:shd w:val="clear" w:color="auto" w:fill="FFFFFF"/>
        </w:rPr>
        <w:t>(</w:t>
      </w:r>
      <w:r w:rsidR="00181B4B" w:rsidRPr="008B58DC">
        <w:rPr>
          <w:rStyle w:val="FootnoteReference"/>
          <w:rFonts w:cs="Times New Roman"/>
        </w:rPr>
        <w:footnoteRef/>
      </w:r>
      <w:r w:rsidR="00147430" w:rsidRPr="00A07353">
        <w:rPr>
          <w:rFonts w:ascii="Segoe UI" w:hAnsi="Segoe UI" w:cs="Segoe UI"/>
          <w:color w:val="333333"/>
          <w:sz w:val="21"/>
          <w:szCs w:val="21"/>
          <w:shd w:val="clear" w:color="auto" w:fill="FFFFFF"/>
        </w:rPr>
        <w:t>)</w:t>
      </w:r>
      <w:r w:rsidR="004C259F" w:rsidRPr="004C259F">
        <w:rPr>
          <w:rFonts w:ascii="Segoe UI" w:hAnsi="Segoe UI" w:cs="Segoe UI"/>
          <w:b/>
          <w:bCs/>
          <w:color w:val="333333"/>
          <w:sz w:val="21"/>
          <w:szCs w:val="21"/>
          <w:shd w:val="clear" w:color="auto" w:fill="FFFFFF"/>
        </w:rPr>
        <w:t xml:space="preserve"> </w:t>
      </w:r>
      <w:r w:rsidR="00181B4B" w:rsidRPr="004C259F">
        <w:rPr>
          <w:rFonts w:cs="Times New Roman"/>
        </w:rPr>
        <w:t xml:space="preserve">Regulation (EU) 2015/757 of the European Parliament and of the Council of 29 April 2015 on the monitoring, reporting and verification of </w:t>
      </w:r>
      <w:r w:rsidRPr="00A07353">
        <w:rPr>
          <w:rFonts w:cs="Times New Roman"/>
        </w:rPr>
        <w:t>greenhouse gas</w:t>
      </w:r>
      <w:r w:rsidR="00181B4B" w:rsidRPr="004C259F">
        <w:rPr>
          <w:rFonts w:cs="Times New Roman"/>
        </w:rPr>
        <w:t xml:space="preserve"> emissions from maritime transport, and amending Directive 2009/16/EC, OJ L 123, 19.5.2015, p. 55</w:t>
      </w:r>
      <w:r w:rsidR="00D710F3">
        <w:rPr>
          <w:rFonts w:cs="Times New Roman"/>
        </w:rPr>
        <w:t xml:space="preserve">, </w:t>
      </w:r>
      <w:hyperlink r:id="rId1" w:tooltip="Gives access to this document through its ELI URI." w:history="1">
        <w:r w:rsidRPr="008B58DC">
          <w:rPr>
            <w:rStyle w:val="Hyperlink"/>
            <w:rFonts w:cs="Times New Roman"/>
          </w:rPr>
          <w:t>http://data.europa.eu/eli/reg/2015/757/2025-01-01</w:t>
        </w:r>
      </w:hyperlink>
      <w:r w:rsidR="00D710F3" w:rsidRPr="00D710F3">
        <w:rPr>
          <w:rFonts w:cs="Times New Roman"/>
        </w:rPr>
        <w:t>.</w:t>
      </w:r>
    </w:p>
  </w:footnote>
  <w:footnote w:id="3">
    <w:p w14:paraId="207CB681" w14:textId="3AD9B49E" w:rsidR="00181B4B" w:rsidRPr="004C259F" w:rsidRDefault="00147430" w:rsidP="00181B4B">
      <w:pPr>
        <w:pStyle w:val="FootnoteText"/>
        <w:rPr>
          <w:rFonts w:cs="Times New Roman"/>
        </w:rPr>
      </w:pPr>
      <w:r>
        <w:t>(</w:t>
      </w:r>
      <w:r w:rsidR="00181B4B" w:rsidRPr="004C259F">
        <w:rPr>
          <w:rStyle w:val="FootnoteReference"/>
        </w:rPr>
        <w:footnoteRef/>
      </w:r>
      <w:r>
        <w:t>)</w:t>
      </w:r>
      <w:r w:rsidR="004C259F" w:rsidRPr="004C259F">
        <w:t xml:space="preserve"> </w:t>
      </w:r>
      <w:r w:rsidR="00181B4B" w:rsidRPr="004C259F">
        <w:rPr>
          <w:rFonts w:eastAsia="Calibri" w:cs="Times New Roman"/>
          <w:color w:val="000000"/>
        </w:rPr>
        <w:t>Through Directive (EU) 2023/959, </w:t>
      </w:r>
      <w:bookmarkStart w:id="2" w:name="_Hlk152078498"/>
      <w:r w:rsidR="00181B4B" w:rsidRPr="004C259F">
        <w:rPr>
          <w:rFonts w:eastAsia="Calibri" w:cs="Times New Roman"/>
          <w:color w:val="000000"/>
        </w:rPr>
        <w:t>OJ</w:t>
      </w:r>
      <w:r w:rsidR="00181B4B" w:rsidRPr="004C259F">
        <w:rPr>
          <w:rFonts w:cs="Times New Roman"/>
        </w:rPr>
        <w:t xml:space="preserve"> L 130, 16.5.2023, p. 134, </w:t>
      </w:r>
      <w:bookmarkEnd w:id="2"/>
      <w:r w:rsidR="00181B4B" w:rsidRPr="004C259F">
        <w:rPr>
          <w:rFonts w:cs="Times New Roman"/>
        </w:rPr>
        <w:fldChar w:fldCharType="begin"/>
      </w:r>
      <w:r w:rsidR="00181B4B" w:rsidRPr="004C259F">
        <w:rPr>
          <w:rFonts w:cs="Times New Roman"/>
        </w:rPr>
        <w:instrText>HYPERLINK "http://data.europa.eu/eli/dir/2023/959/oj"</w:instrText>
      </w:r>
      <w:r w:rsidR="00181B4B" w:rsidRPr="004C259F">
        <w:rPr>
          <w:rFonts w:cs="Times New Roman"/>
        </w:rPr>
        <w:fldChar w:fldCharType="separate"/>
      </w:r>
      <w:r w:rsidR="00181B4B" w:rsidRPr="004C259F">
        <w:rPr>
          <w:rStyle w:val="Hyperlink1"/>
          <w:rFonts w:cs="Times New Roman"/>
        </w:rPr>
        <w:t>http://data.europa.eu/eli/dir/2023/959/oj</w:t>
      </w:r>
      <w:r w:rsidR="00181B4B" w:rsidRPr="004C259F">
        <w:rPr>
          <w:rFonts w:cs="Times New Roman"/>
        </w:rPr>
        <w:fldChar w:fldCharType="end"/>
      </w:r>
      <w:r w:rsidR="00181B4B" w:rsidRPr="004C259F">
        <w:rPr>
          <w:rFonts w:cs="Times New Roman"/>
        </w:rPr>
        <w:t>.</w:t>
      </w:r>
    </w:p>
  </w:footnote>
  <w:footnote w:id="4">
    <w:p w14:paraId="6B722643" w14:textId="6D62D5A7" w:rsidR="00181B4B" w:rsidRPr="004C259F" w:rsidRDefault="00147430" w:rsidP="00181B4B">
      <w:pPr>
        <w:pStyle w:val="FootnoteText"/>
      </w:pPr>
      <w:r>
        <w:t>(</w:t>
      </w:r>
      <w:r w:rsidR="00181B4B" w:rsidRPr="004C259F">
        <w:rPr>
          <w:rStyle w:val="FootnoteReference"/>
        </w:rPr>
        <w:footnoteRef/>
      </w:r>
      <w:r>
        <w:t>)</w:t>
      </w:r>
      <w:r w:rsidR="00181B4B" w:rsidRPr="004C259F">
        <w:rPr>
          <w:rFonts w:cs="Times New Roman"/>
        </w:rPr>
        <w:t>Regulation (EU) 2023/1805, OJ L 234, 22.9.2023, p. 48,</w:t>
      </w:r>
      <w:r w:rsidR="004C259F" w:rsidRPr="004C259F">
        <w:rPr>
          <w:rFonts w:cs="Times New Roman"/>
        </w:rPr>
        <w:t xml:space="preserve"> </w:t>
      </w:r>
      <w:hyperlink r:id="rId2" w:history="1">
        <w:r w:rsidR="001D4660" w:rsidRPr="004C259F">
          <w:rPr>
            <w:rStyle w:val="Hyperlink"/>
            <w:rFonts w:cs="Times New Roman"/>
          </w:rPr>
          <w:t>http://data.europa.eu/eli/reg/2023/1805/oj</w:t>
        </w:r>
      </w:hyperlink>
      <w:r w:rsidR="001D4660" w:rsidRPr="004C259F">
        <w:rPr>
          <w:rFonts w:cs="Times New Roman"/>
        </w:rPr>
        <w:t>.</w:t>
      </w:r>
    </w:p>
  </w:footnote>
  <w:footnote w:id="5">
    <w:p w14:paraId="025BDC3F" w14:textId="03AB46FB" w:rsidR="00F227D1" w:rsidRPr="004C259F" w:rsidRDefault="00147430" w:rsidP="00F227D1">
      <w:pPr>
        <w:pStyle w:val="FootnoteText"/>
        <w:rPr>
          <w:rFonts w:cs="Times New Roman"/>
          <w:bCs/>
        </w:rPr>
      </w:pPr>
      <w:r>
        <w:rPr>
          <w:rFonts w:cs="Times New Roman"/>
          <w:bCs/>
        </w:rPr>
        <w:t>(</w:t>
      </w:r>
      <w:r w:rsidR="00F227D1" w:rsidRPr="004C259F">
        <w:rPr>
          <w:rStyle w:val="FootnoteReference"/>
        </w:rPr>
        <w:footnoteRef/>
      </w:r>
      <w:r>
        <w:rPr>
          <w:rFonts w:cs="Times New Roman"/>
          <w:bCs/>
        </w:rPr>
        <w:t>)</w:t>
      </w:r>
      <w:r w:rsidR="004C259F" w:rsidRPr="004C259F">
        <w:rPr>
          <w:rFonts w:cs="Times New Roman"/>
          <w:bCs/>
        </w:rPr>
        <w:t xml:space="preserve"> </w:t>
      </w:r>
      <w:r w:rsidR="00F227D1" w:rsidRPr="004C259F">
        <w:rPr>
          <w:rFonts w:cs="Times New Roman"/>
          <w:bCs/>
        </w:rPr>
        <w:t>Regulation (EU) 2023/957,</w:t>
      </w:r>
      <w:r w:rsidR="0017355A" w:rsidRPr="004C259F">
        <w:rPr>
          <w:rFonts w:cs="Times New Roman"/>
          <w:bCs/>
        </w:rPr>
        <w:t xml:space="preserve"> </w:t>
      </w:r>
      <w:r w:rsidR="00F227D1" w:rsidRPr="004C259F">
        <w:rPr>
          <w:rFonts w:cs="Times New Roman"/>
          <w:bCs/>
        </w:rPr>
        <w:t xml:space="preserve">OJ L 130, 16.5.2023, p. 105, </w:t>
      </w:r>
      <w:hyperlink r:id="rId3" w:history="1">
        <w:r w:rsidR="009E210D" w:rsidRPr="004C259F">
          <w:rPr>
            <w:rStyle w:val="Hyperlink"/>
            <w:rFonts w:cs="Times New Roman"/>
            <w:bCs/>
          </w:rPr>
          <w:t>http://data.europa.eu/eli/reg/2023/957/oj</w:t>
        </w:r>
      </w:hyperlink>
      <w:r w:rsidR="00F227D1" w:rsidRPr="004C259F">
        <w:rPr>
          <w:rFonts w:cs="Times New Roman"/>
          <w:bCs/>
        </w:rPr>
        <w:t>.</w:t>
      </w:r>
    </w:p>
  </w:footnote>
  <w:footnote w:id="6">
    <w:p w14:paraId="270489B4" w14:textId="5CCEC075" w:rsidR="00166FBF" w:rsidRPr="004C259F" w:rsidRDefault="00147430">
      <w:pPr>
        <w:pStyle w:val="FootnoteText"/>
        <w:rPr>
          <w:rFonts w:cs="Times New Roman"/>
        </w:rPr>
      </w:pPr>
      <w:r>
        <w:rPr>
          <w:rFonts w:cs="Times New Roman"/>
        </w:rPr>
        <w:t>(</w:t>
      </w:r>
      <w:r w:rsidR="00166FBF" w:rsidRPr="004C259F">
        <w:rPr>
          <w:rStyle w:val="FootnoteReference"/>
          <w:rFonts w:cs="Times New Roman"/>
        </w:rPr>
        <w:footnoteRef/>
      </w:r>
      <w:r>
        <w:rPr>
          <w:rFonts w:cs="Times New Roman"/>
        </w:rPr>
        <w:t>)</w:t>
      </w:r>
      <w:r w:rsidR="00166FBF" w:rsidRPr="004C259F">
        <w:rPr>
          <w:rFonts w:cs="Times New Roman"/>
        </w:rPr>
        <w:t xml:space="preserve"> Based on a carbon price of </w:t>
      </w:r>
      <w:r w:rsidR="00751D36">
        <w:rPr>
          <w:rFonts w:cs="Times New Roman"/>
        </w:rPr>
        <w:t>EUR </w:t>
      </w:r>
      <w:r w:rsidR="00166FBF" w:rsidRPr="004C259F">
        <w:rPr>
          <w:rFonts w:cs="Times New Roman"/>
        </w:rPr>
        <w:t>75/tonne</w:t>
      </w:r>
      <w:r w:rsidR="007974ED" w:rsidRPr="004C259F">
        <w:rPr>
          <w:rFonts w:cs="Times New Roman"/>
        </w:rPr>
        <w:t>.</w:t>
      </w:r>
    </w:p>
  </w:footnote>
  <w:footnote w:id="7">
    <w:p w14:paraId="2158D155" w14:textId="3A9BF1F1" w:rsidR="00945DF3" w:rsidRPr="004C259F" w:rsidRDefault="00147430">
      <w:pPr>
        <w:pStyle w:val="FootnoteText"/>
      </w:pPr>
      <w:r>
        <w:t>(</w:t>
      </w:r>
      <w:r w:rsidR="00945DF3" w:rsidRPr="004C259F">
        <w:rPr>
          <w:rStyle w:val="FootnoteReference"/>
        </w:rPr>
        <w:footnoteRef/>
      </w:r>
      <w:r>
        <w:t>)</w:t>
      </w:r>
      <w:r w:rsidR="006A2671">
        <w:t xml:space="preserve"> </w:t>
      </w:r>
      <w:r w:rsidR="00945DF3" w:rsidRPr="004C259F">
        <w:rPr>
          <w:rFonts w:cs="Times New Roman"/>
        </w:rPr>
        <w:t>Excluding the emissions resulting from the application of the EU Maritime MRV Regulation to the United Kingdom for the reporting year</w:t>
      </w:r>
      <w:r w:rsidR="00C42D30" w:rsidRPr="004C259F">
        <w:rPr>
          <w:rFonts w:cs="Times New Roman"/>
        </w:rPr>
        <w:t>s 2018-2020</w:t>
      </w:r>
      <w:r w:rsidR="00945DF3" w:rsidRPr="004C259F">
        <w:rPr>
          <w:rFonts w:cs="Times New Roman"/>
        </w:rPr>
        <w:t>.</w:t>
      </w:r>
    </w:p>
  </w:footnote>
  <w:footnote w:id="8">
    <w:p w14:paraId="68CBC4DC" w14:textId="1AECA565" w:rsidR="00B8133D" w:rsidRPr="004C259F" w:rsidRDefault="00147430">
      <w:pPr>
        <w:pStyle w:val="FootnoteText"/>
      </w:pPr>
      <w:r>
        <w:t>(</w:t>
      </w:r>
      <w:r w:rsidR="00B8133D" w:rsidRPr="004C259F">
        <w:rPr>
          <w:rStyle w:val="FootnoteReference"/>
        </w:rPr>
        <w:footnoteRef/>
      </w:r>
      <w:r>
        <w:t>)</w:t>
      </w:r>
      <w:r w:rsidR="00B8133D" w:rsidRPr="004C259F">
        <w:t xml:space="preserve"> </w:t>
      </w:r>
      <w:r w:rsidR="00B8133D" w:rsidRPr="004C259F">
        <w:rPr>
          <w:rFonts w:eastAsia="Arial" w:cs="Times New Roman"/>
          <w:bCs/>
        </w:rPr>
        <w:t xml:space="preserve">Eurostat. (2024). </w:t>
      </w:r>
      <w:r w:rsidR="00B8133D" w:rsidRPr="004C259F">
        <w:rPr>
          <w:rFonts w:eastAsia="Arial" w:cs="Times New Roman"/>
          <w:bCs/>
          <w:i/>
        </w:rPr>
        <w:t>Maritime transport of goods - annual data</w:t>
      </w:r>
      <w:r w:rsidR="00B8133D" w:rsidRPr="004C259F">
        <w:rPr>
          <w:rFonts w:eastAsia="Arial" w:cs="Times New Roman"/>
          <w:bCs/>
        </w:rPr>
        <w:t xml:space="preserve">. </w:t>
      </w:r>
      <w:hyperlink r:id="rId4" w:history="1">
        <w:r w:rsidR="00B8133D" w:rsidRPr="004C259F">
          <w:rPr>
            <w:rStyle w:val="Hyperlink"/>
            <w:rFonts w:eastAsia="Arial" w:cs="Times New Roman"/>
            <w:bCs/>
          </w:rPr>
          <w:t>https://ec.europa.eu/eurostat/statistics-explained/index.php?title=Maritime_transport_of_goods_-_annual_data</w:t>
        </w:r>
      </w:hyperlink>
    </w:p>
  </w:footnote>
  <w:footnote w:id="9">
    <w:p w14:paraId="5EA2A546" w14:textId="27385CAD" w:rsidR="00A77016" w:rsidRPr="004C259F" w:rsidRDefault="00147430" w:rsidP="00A77016">
      <w:pPr>
        <w:pStyle w:val="FootnoteText"/>
      </w:pPr>
      <w:r>
        <w:t>(</w:t>
      </w:r>
      <w:r w:rsidR="00A77016" w:rsidRPr="004C259F">
        <w:rPr>
          <w:rStyle w:val="FootnoteReference"/>
        </w:rPr>
        <w:footnoteRef/>
      </w:r>
      <w:r>
        <w:t>)</w:t>
      </w:r>
      <w:r w:rsidR="00A77016" w:rsidRPr="004C259F">
        <w:t xml:space="preserve"> </w:t>
      </w:r>
      <w:r w:rsidR="00A77016" w:rsidRPr="004C259F">
        <w:rPr>
          <w:rFonts w:cs="Times New Roman"/>
          <w:bCs/>
        </w:rPr>
        <w:t>The Energy Efficiency Design Index, the Estimated Index Value, and the Energy Efficiency Existing Ship Index are assessed for the technical efficiency of ships. The Energy Efficiency Operational Indicator and the Annual Efficiency Ratio are assessed for their operational efficiency.</w:t>
      </w:r>
    </w:p>
  </w:footnote>
  <w:footnote w:id="10">
    <w:p w14:paraId="53E61A81" w14:textId="75AC5BC8" w:rsidR="006D3C76" w:rsidRPr="004C259F" w:rsidRDefault="00147430">
      <w:pPr>
        <w:pStyle w:val="FootnoteText"/>
      </w:pPr>
      <w:r>
        <w:t>(</w:t>
      </w:r>
      <w:r w:rsidR="006D3C76" w:rsidRPr="004C259F">
        <w:rPr>
          <w:rStyle w:val="FootnoteReference"/>
        </w:rPr>
        <w:footnoteRef/>
      </w:r>
      <w:r>
        <w:t>)</w:t>
      </w:r>
      <w:r w:rsidR="006D3C76" w:rsidRPr="004C259F">
        <w:t xml:space="preserve"> </w:t>
      </w:r>
      <w:r w:rsidR="00653866">
        <w:rPr>
          <w:rFonts w:cs="Times New Roman"/>
          <w:bCs/>
        </w:rPr>
        <w:t xml:space="preserve">The deadline was moved </w:t>
      </w:r>
      <w:r w:rsidR="006D3C76" w:rsidRPr="004C259F">
        <w:rPr>
          <w:rFonts w:cs="Times New Roman"/>
          <w:bCs/>
        </w:rPr>
        <w:t>from 30</w:t>
      </w:r>
      <w:r w:rsidR="00653866">
        <w:rPr>
          <w:rFonts w:cs="Times New Roman"/>
          <w:bCs/>
        </w:rPr>
        <w:t> </w:t>
      </w:r>
      <w:r w:rsidR="006D3C76" w:rsidRPr="004C259F">
        <w:rPr>
          <w:rFonts w:cs="Times New Roman"/>
          <w:bCs/>
        </w:rPr>
        <w:t>April to 31</w:t>
      </w:r>
      <w:r w:rsidR="00653866">
        <w:rPr>
          <w:rFonts w:cs="Times New Roman"/>
          <w:bCs/>
        </w:rPr>
        <w:t> </w:t>
      </w:r>
      <w:r w:rsidR="006D3C76" w:rsidRPr="004C259F">
        <w:rPr>
          <w:rFonts w:cs="Times New Roman"/>
          <w:bCs/>
        </w:rPr>
        <w:t>March</w:t>
      </w:r>
      <w:r w:rsidR="00653866">
        <w:rPr>
          <w:rFonts w:cs="Times New Roman"/>
          <w:bCs/>
        </w:rPr>
        <w:t>,</w:t>
      </w:r>
      <w:r w:rsidR="006D3C76" w:rsidRPr="004C259F">
        <w:rPr>
          <w:rFonts w:cs="Times New Roman"/>
          <w:bCs/>
        </w:rPr>
        <w:t xml:space="preserve"> starting </w:t>
      </w:r>
      <w:r w:rsidR="00653866">
        <w:rPr>
          <w:rFonts w:cs="Times New Roman"/>
          <w:bCs/>
        </w:rPr>
        <w:t xml:space="preserve">from </w:t>
      </w:r>
      <w:r w:rsidR="006D3C76" w:rsidRPr="004C259F">
        <w:rPr>
          <w:rFonts w:cs="Times New Roman"/>
          <w:bCs/>
        </w:rPr>
        <w:t xml:space="preserve">the </w:t>
      </w:r>
      <w:r w:rsidR="00653866">
        <w:rPr>
          <w:rFonts w:cs="Times New Roman"/>
          <w:bCs/>
        </w:rPr>
        <w:t xml:space="preserve">2024 </w:t>
      </w:r>
      <w:r w:rsidR="006D3C76" w:rsidRPr="004C259F">
        <w:rPr>
          <w:rFonts w:cs="Times New Roman"/>
          <w:bCs/>
        </w:rPr>
        <w:t>reporting period.</w:t>
      </w:r>
    </w:p>
  </w:footnote>
  <w:footnote w:id="11">
    <w:p w14:paraId="03B6489C" w14:textId="7049F8DF" w:rsidR="00F145CF" w:rsidRPr="004C259F" w:rsidRDefault="00147430" w:rsidP="00F145CF">
      <w:pPr>
        <w:pStyle w:val="FootnoteText"/>
      </w:pPr>
      <w:r>
        <w:t>(</w:t>
      </w:r>
      <w:r w:rsidR="00F145CF" w:rsidRPr="004C259F">
        <w:rPr>
          <w:rStyle w:val="FootnoteReference"/>
        </w:rPr>
        <w:footnoteRef/>
      </w:r>
      <w:r>
        <w:t>)</w:t>
      </w:r>
      <w:r w:rsidR="00F145CF" w:rsidRPr="004C259F">
        <w:t xml:space="preserve"> </w:t>
      </w:r>
      <w:r w:rsidR="008437E8" w:rsidRPr="004C259F">
        <w:rPr>
          <w:rFonts w:cs="Times New Roman"/>
          <w:bCs/>
        </w:rPr>
        <w:t>Determined on the basi</w:t>
      </w:r>
      <w:r w:rsidR="00084CF8" w:rsidRPr="004C259F">
        <w:rPr>
          <w:rFonts w:cs="Times New Roman"/>
          <w:bCs/>
        </w:rPr>
        <w:t xml:space="preserve">s of figures reported by shipping companies in the Union Registry </w:t>
      </w:r>
      <w:r w:rsidR="00523E04" w:rsidRPr="004C259F">
        <w:rPr>
          <w:rFonts w:cs="Times New Roman"/>
          <w:bCs/>
        </w:rPr>
        <w:t>by 1</w:t>
      </w:r>
      <w:r w:rsidR="0023482A">
        <w:rPr>
          <w:rFonts w:cs="Times New Roman"/>
          <w:bCs/>
        </w:rPr>
        <w:t> </w:t>
      </w:r>
      <w:r w:rsidR="00523E04" w:rsidRPr="004C259F">
        <w:rPr>
          <w:rFonts w:cs="Times New Roman"/>
          <w:bCs/>
        </w:rPr>
        <w:t>October 2025</w:t>
      </w:r>
      <w:r w:rsidR="0023482A">
        <w:rPr>
          <w:rFonts w:cs="Times New Roman"/>
          <w:bCs/>
        </w:rPr>
        <w:t xml:space="preserve"> </w:t>
      </w:r>
      <w:r w:rsidR="00084CF8" w:rsidRPr="004C259F">
        <w:rPr>
          <w:rFonts w:cs="Times New Roman"/>
          <w:bCs/>
        </w:rPr>
        <w:t>in respect of 2024 emissions.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E9A9D" w14:textId="77777777" w:rsidR="008470AF" w:rsidRPr="008470AF" w:rsidRDefault="008470AF" w:rsidP="008470A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C96CD" w14:textId="77777777" w:rsidR="008470AF" w:rsidRPr="008470AF" w:rsidRDefault="008470AF" w:rsidP="008470A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A8ED7" w14:textId="77777777" w:rsidR="008470AF" w:rsidRPr="008470AF" w:rsidRDefault="008470AF" w:rsidP="008470A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5F905" w14:textId="77777777" w:rsidR="002C0A6F" w:rsidRPr="004C259F" w:rsidRDefault="002C0A6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B3702" w14:textId="77777777" w:rsidR="002C0A6F" w:rsidRPr="004C259F" w:rsidRDefault="002C0A6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9329D" w14:textId="77777777" w:rsidR="002C0A6F" w:rsidRPr="004C259F" w:rsidRDefault="002C0A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E0D7B"/>
    <w:multiLevelType w:val="hybridMultilevel"/>
    <w:tmpl w:val="83C49322"/>
    <w:lvl w:ilvl="0" w:tplc="AEAEC7AC">
      <w:start w:val="2025"/>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4A655017"/>
    <w:multiLevelType w:val="hybridMultilevel"/>
    <w:tmpl w:val="51BE59EC"/>
    <w:lvl w:ilvl="0" w:tplc="9FFC0C32">
      <w:start w:val="5"/>
      <w:numFmt w:val="bullet"/>
      <w:lvlText w:val="-"/>
      <w:lvlJc w:val="left"/>
      <w:pPr>
        <w:ind w:left="720" w:hanging="360"/>
      </w:pPr>
      <w:rPr>
        <w:rFonts w:ascii="Times New Roman" w:eastAsia="Calibri" w:hAnsi="Times New Roman" w:cs="Times New Roman"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74622B22"/>
    <w:multiLevelType w:val="hybridMultilevel"/>
    <w:tmpl w:val="5D96C1F8"/>
    <w:lvl w:ilvl="0" w:tplc="FFFFFFF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19CC495-0DCB-4565-935D-DAD24DB2058D"/>
    <w:docVar w:name="LW_COVERPAGE_TYPE" w:val="1"/>
    <w:docVar w:name="LW_CROSSREFERENCE" w:val="{SWD(2026) 119 final}"/>
    <w:docVar w:name="LW_DocType" w:val="NORMAL"/>
    <w:docVar w:name="LW_EMISSION" w:val="29.4.2026"/>
    <w:docVar w:name="LW_EMISSION_ISODATE" w:val="2026-04-29"/>
    <w:docVar w:name="LW_EMISSION_LOCATION" w:val="BRX"/>
    <w:docVar w:name="LW_EMISSION_PREFIX" w:val="Brussels, "/>
    <w:docVar w:name="LW_EMISSION_SUFFIX" w:val=" "/>
    <w:docVar w:name="LW_ID_DOCTYPE_NONLW" w:val="CP-003"/>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17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25 Report from the European Commission on greenhouse gas emissions from maritime transport"/>
    <w:docVar w:name="LW_TYPE.DOC.CP" w:val="REPORT FROM THE COMMISSION"/>
    <w:docVar w:name="LwApiVersions" w:val="LW4CoDe 1.24.5.0; LW 9.2, Build 20251112"/>
    <w:docVar w:name="Stamp" w:val="\\dossiers.dgt.cec.eu.int\dossiers\CLIMA\CLIMA-2026-00105\CLIMA-2026-00105-00-00-EN-EDT-00.202603091113258511767.DOCX"/>
  </w:docVars>
  <w:rsids>
    <w:rsidRoot w:val="00181B4B"/>
    <w:rsid w:val="00010CFE"/>
    <w:rsid w:val="00011873"/>
    <w:rsid w:val="00012C2A"/>
    <w:rsid w:val="0002036C"/>
    <w:rsid w:val="00021084"/>
    <w:rsid w:val="00023AFC"/>
    <w:rsid w:val="0003444E"/>
    <w:rsid w:val="00034901"/>
    <w:rsid w:val="00034E32"/>
    <w:rsid w:val="00037980"/>
    <w:rsid w:val="00043309"/>
    <w:rsid w:val="000446B2"/>
    <w:rsid w:val="00047692"/>
    <w:rsid w:val="00051F97"/>
    <w:rsid w:val="0006154F"/>
    <w:rsid w:val="00067047"/>
    <w:rsid w:val="0006766C"/>
    <w:rsid w:val="000678C2"/>
    <w:rsid w:val="00070E3E"/>
    <w:rsid w:val="000716C1"/>
    <w:rsid w:val="0007680B"/>
    <w:rsid w:val="0007739A"/>
    <w:rsid w:val="0007766A"/>
    <w:rsid w:val="00081774"/>
    <w:rsid w:val="00082DB6"/>
    <w:rsid w:val="00084CF8"/>
    <w:rsid w:val="00084E2F"/>
    <w:rsid w:val="00085261"/>
    <w:rsid w:val="000852B8"/>
    <w:rsid w:val="000856D7"/>
    <w:rsid w:val="000913F8"/>
    <w:rsid w:val="000915FE"/>
    <w:rsid w:val="00095C06"/>
    <w:rsid w:val="00096D5B"/>
    <w:rsid w:val="00096EBF"/>
    <w:rsid w:val="000A2FF8"/>
    <w:rsid w:val="000A7F6A"/>
    <w:rsid w:val="000B5672"/>
    <w:rsid w:val="000B693E"/>
    <w:rsid w:val="000C010D"/>
    <w:rsid w:val="000C23D9"/>
    <w:rsid w:val="000C6B1A"/>
    <w:rsid w:val="000C7428"/>
    <w:rsid w:val="000D1AB2"/>
    <w:rsid w:val="000D1B5D"/>
    <w:rsid w:val="000E07A3"/>
    <w:rsid w:val="000E16F2"/>
    <w:rsid w:val="000E4802"/>
    <w:rsid w:val="000F04E1"/>
    <w:rsid w:val="000F6EA9"/>
    <w:rsid w:val="00103D01"/>
    <w:rsid w:val="00106013"/>
    <w:rsid w:val="00111391"/>
    <w:rsid w:val="00113232"/>
    <w:rsid w:val="0011341B"/>
    <w:rsid w:val="001134C1"/>
    <w:rsid w:val="00116725"/>
    <w:rsid w:val="001305F3"/>
    <w:rsid w:val="00132593"/>
    <w:rsid w:val="0013382D"/>
    <w:rsid w:val="00135328"/>
    <w:rsid w:val="0013680F"/>
    <w:rsid w:val="00143798"/>
    <w:rsid w:val="00144960"/>
    <w:rsid w:val="00146FB8"/>
    <w:rsid w:val="00147430"/>
    <w:rsid w:val="00154413"/>
    <w:rsid w:val="00157A90"/>
    <w:rsid w:val="001634D0"/>
    <w:rsid w:val="001650BB"/>
    <w:rsid w:val="001659DE"/>
    <w:rsid w:val="0016696B"/>
    <w:rsid w:val="00166FBF"/>
    <w:rsid w:val="00167B21"/>
    <w:rsid w:val="00172BCE"/>
    <w:rsid w:val="0017355A"/>
    <w:rsid w:val="00173946"/>
    <w:rsid w:val="00177727"/>
    <w:rsid w:val="00181B4B"/>
    <w:rsid w:val="0018502D"/>
    <w:rsid w:val="00190AD6"/>
    <w:rsid w:val="0019284E"/>
    <w:rsid w:val="001936D3"/>
    <w:rsid w:val="0019614D"/>
    <w:rsid w:val="001A2142"/>
    <w:rsid w:val="001B4555"/>
    <w:rsid w:val="001B75F5"/>
    <w:rsid w:val="001B7AA9"/>
    <w:rsid w:val="001C2B57"/>
    <w:rsid w:val="001C3326"/>
    <w:rsid w:val="001C5025"/>
    <w:rsid w:val="001C61AE"/>
    <w:rsid w:val="001C6336"/>
    <w:rsid w:val="001C7AA3"/>
    <w:rsid w:val="001D2647"/>
    <w:rsid w:val="001D3CAD"/>
    <w:rsid w:val="001D3E85"/>
    <w:rsid w:val="001D4660"/>
    <w:rsid w:val="001D5BCB"/>
    <w:rsid w:val="001D73B4"/>
    <w:rsid w:val="001E0E21"/>
    <w:rsid w:val="001E468A"/>
    <w:rsid w:val="001E64BC"/>
    <w:rsid w:val="001F1559"/>
    <w:rsid w:val="001F26E9"/>
    <w:rsid w:val="001F3B6D"/>
    <w:rsid w:val="001F72A4"/>
    <w:rsid w:val="0020336F"/>
    <w:rsid w:val="002036D0"/>
    <w:rsid w:val="0021428F"/>
    <w:rsid w:val="00214374"/>
    <w:rsid w:val="002153E5"/>
    <w:rsid w:val="00230DAD"/>
    <w:rsid w:val="0023482A"/>
    <w:rsid w:val="002470FB"/>
    <w:rsid w:val="00252726"/>
    <w:rsid w:val="00253263"/>
    <w:rsid w:val="0027023A"/>
    <w:rsid w:val="002747CE"/>
    <w:rsid w:val="00280062"/>
    <w:rsid w:val="002800C2"/>
    <w:rsid w:val="002804C0"/>
    <w:rsid w:val="00285694"/>
    <w:rsid w:val="00290891"/>
    <w:rsid w:val="002927BE"/>
    <w:rsid w:val="0029385C"/>
    <w:rsid w:val="00293B52"/>
    <w:rsid w:val="002953E8"/>
    <w:rsid w:val="00295665"/>
    <w:rsid w:val="002965EB"/>
    <w:rsid w:val="002A0AEB"/>
    <w:rsid w:val="002A3895"/>
    <w:rsid w:val="002A7681"/>
    <w:rsid w:val="002A7DC7"/>
    <w:rsid w:val="002B1B46"/>
    <w:rsid w:val="002B3444"/>
    <w:rsid w:val="002B4172"/>
    <w:rsid w:val="002B4A75"/>
    <w:rsid w:val="002B4F72"/>
    <w:rsid w:val="002C0A6F"/>
    <w:rsid w:val="002C3356"/>
    <w:rsid w:val="002C5257"/>
    <w:rsid w:val="002C6FB3"/>
    <w:rsid w:val="002C7860"/>
    <w:rsid w:val="002D0667"/>
    <w:rsid w:val="002D1606"/>
    <w:rsid w:val="002D5DFB"/>
    <w:rsid w:val="002D6174"/>
    <w:rsid w:val="002E0760"/>
    <w:rsid w:val="002E0DF7"/>
    <w:rsid w:val="002E32E6"/>
    <w:rsid w:val="002E4A4F"/>
    <w:rsid w:val="002E5B0F"/>
    <w:rsid w:val="002E6466"/>
    <w:rsid w:val="002E70F6"/>
    <w:rsid w:val="002F74B3"/>
    <w:rsid w:val="00300F08"/>
    <w:rsid w:val="00302096"/>
    <w:rsid w:val="00311395"/>
    <w:rsid w:val="0031455F"/>
    <w:rsid w:val="003158EC"/>
    <w:rsid w:val="00322D6D"/>
    <w:rsid w:val="00326389"/>
    <w:rsid w:val="00326723"/>
    <w:rsid w:val="0032680D"/>
    <w:rsid w:val="00327483"/>
    <w:rsid w:val="00327BD1"/>
    <w:rsid w:val="003342FB"/>
    <w:rsid w:val="0033730F"/>
    <w:rsid w:val="00342915"/>
    <w:rsid w:val="003435FB"/>
    <w:rsid w:val="003523B5"/>
    <w:rsid w:val="00353F4C"/>
    <w:rsid w:val="00354ED4"/>
    <w:rsid w:val="003575E6"/>
    <w:rsid w:val="003612E1"/>
    <w:rsid w:val="0036232E"/>
    <w:rsid w:val="00363712"/>
    <w:rsid w:val="00363BBC"/>
    <w:rsid w:val="00364507"/>
    <w:rsid w:val="003654AB"/>
    <w:rsid w:val="00370231"/>
    <w:rsid w:val="003729E2"/>
    <w:rsid w:val="003731EA"/>
    <w:rsid w:val="00374C9B"/>
    <w:rsid w:val="00375CEB"/>
    <w:rsid w:val="00380C28"/>
    <w:rsid w:val="00384B1B"/>
    <w:rsid w:val="00385CC2"/>
    <w:rsid w:val="00386C4D"/>
    <w:rsid w:val="00386FC8"/>
    <w:rsid w:val="00390860"/>
    <w:rsid w:val="00392B7D"/>
    <w:rsid w:val="00393F18"/>
    <w:rsid w:val="0039523C"/>
    <w:rsid w:val="003963BB"/>
    <w:rsid w:val="003A40C2"/>
    <w:rsid w:val="003A4D4C"/>
    <w:rsid w:val="003B0C9C"/>
    <w:rsid w:val="003B22AA"/>
    <w:rsid w:val="003B2830"/>
    <w:rsid w:val="003B69DE"/>
    <w:rsid w:val="003B78E6"/>
    <w:rsid w:val="003C0036"/>
    <w:rsid w:val="003C0AAC"/>
    <w:rsid w:val="003C1FAB"/>
    <w:rsid w:val="003C4036"/>
    <w:rsid w:val="003C6038"/>
    <w:rsid w:val="003D18B2"/>
    <w:rsid w:val="003D594C"/>
    <w:rsid w:val="003E26FA"/>
    <w:rsid w:val="003E2E9E"/>
    <w:rsid w:val="003E433C"/>
    <w:rsid w:val="003E7596"/>
    <w:rsid w:val="003E76CD"/>
    <w:rsid w:val="003F3415"/>
    <w:rsid w:val="003F3B1B"/>
    <w:rsid w:val="003F54E2"/>
    <w:rsid w:val="003F60C5"/>
    <w:rsid w:val="003F6FFC"/>
    <w:rsid w:val="00405788"/>
    <w:rsid w:val="00413F41"/>
    <w:rsid w:val="00414E31"/>
    <w:rsid w:val="0041578B"/>
    <w:rsid w:val="00415C6B"/>
    <w:rsid w:val="004235B7"/>
    <w:rsid w:val="0042633D"/>
    <w:rsid w:val="00431240"/>
    <w:rsid w:val="00434652"/>
    <w:rsid w:val="00434D50"/>
    <w:rsid w:val="0043761D"/>
    <w:rsid w:val="004406FE"/>
    <w:rsid w:val="0044196C"/>
    <w:rsid w:val="004457B6"/>
    <w:rsid w:val="00447022"/>
    <w:rsid w:val="00447480"/>
    <w:rsid w:val="00450E18"/>
    <w:rsid w:val="0045282E"/>
    <w:rsid w:val="00452D30"/>
    <w:rsid w:val="00460062"/>
    <w:rsid w:val="004633F0"/>
    <w:rsid w:val="00470C25"/>
    <w:rsid w:val="00473E63"/>
    <w:rsid w:val="00480282"/>
    <w:rsid w:val="00480B17"/>
    <w:rsid w:val="004832F8"/>
    <w:rsid w:val="004858E8"/>
    <w:rsid w:val="004867FF"/>
    <w:rsid w:val="004916B6"/>
    <w:rsid w:val="00494AAE"/>
    <w:rsid w:val="00496644"/>
    <w:rsid w:val="00497325"/>
    <w:rsid w:val="00497B28"/>
    <w:rsid w:val="004B4722"/>
    <w:rsid w:val="004B7338"/>
    <w:rsid w:val="004C2086"/>
    <w:rsid w:val="004C259F"/>
    <w:rsid w:val="004C28E7"/>
    <w:rsid w:val="004C6DE9"/>
    <w:rsid w:val="004D2346"/>
    <w:rsid w:val="004D2B17"/>
    <w:rsid w:val="004D613B"/>
    <w:rsid w:val="004D7E52"/>
    <w:rsid w:val="004E2416"/>
    <w:rsid w:val="004E3F60"/>
    <w:rsid w:val="004E5649"/>
    <w:rsid w:val="004F18F0"/>
    <w:rsid w:val="004F2B7C"/>
    <w:rsid w:val="004F42EC"/>
    <w:rsid w:val="004F52BE"/>
    <w:rsid w:val="004F76AF"/>
    <w:rsid w:val="0050019A"/>
    <w:rsid w:val="0050079C"/>
    <w:rsid w:val="00503E38"/>
    <w:rsid w:val="00513565"/>
    <w:rsid w:val="00514431"/>
    <w:rsid w:val="00515F8D"/>
    <w:rsid w:val="00523E04"/>
    <w:rsid w:val="00523F43"/>
    <w:rsid w:val="00524D02"/>
    <w:rsid w:val="00530DFC"/>
    <w:rsid w:val="005323F0"/>
    <w:rsid w:val="005342A4"/>
    <w:rsid w:val="005371D3"/>
    <w:rsid w:val="005412BA"/>
    <w:rsid w:val="005436F3"/>
    <w:rsid w:val="005461FA"/>
    <w:rsid w:val="00547BB5"/>
    <w:rsid w:val="0055719B"/>
    <w:rsid w:val="005575A9"/>
    <w:rsid w:val="00557C35"/>
    <w:rsid w:val="00560140"/>
    <w:rsid w:val="005623D1"/>
    <w:rsid w:val="00562E20"/>
    <w:rsid w:val="00564261"/>
    <w:rsid w:val="005647ED"/>
    <w:rsid w:val="00567986"/>
    <w:rsid w:val="00572465"/>
    <w:rsid w:val="00573E97"/>
    <w:rsid w:val="005753CF"/>
    <w:rsid w:val="00575FED"/>
    <w:rsid w:val="0058078E"/>
    <w:rsid w:val="00581296"/>
    <w:rsid w:val="00581EA0"/>
    <w:rsid w:val="00587D69"/>
    <w:rsid w:val="0059395B"/>
    <w:rsid w:val="0059423B"/>
    <w:rsid w:val="00594E70"/>
    <w:rsid w:val="005968E6"/>
    <w:rsid w:val="005A0061"/>
    <w:rsid w:val="005A4E50"/>
    <w:rsid w:val="005B3D5F"/>
    <w:rsid w:val="005C7E78"/>
    <w:rsid w:val="005D2878"/>
    <w:rsid w:val="005D3186"/>
    <w:rsid w:val="005D6992"/>
    <w:rsid w:val="005E19BF"/>
    <w:rsid w:val="005E434C"/>
    <w:rsid w:val="005F00A2"/>
    <w:rsid w:val="005F0A04"/>
    <w:rsid w:val="005F18EF"/>
    <w:rsid w:val="005F7808"/>
    <w:rsid w:val="0060072A"/>
    <w:rsid w:val="0060179A"/>
    <w:rsid w:val="00603B50"/>
    <w:rsid w:val="00603EE8"/>
    <w:rsid w:val="00605DD7"/>
    <w:rsid w:val="00607E80"/>
    <w:rsid w:val="006106AA"/>
    <w:rsid w:val="00615D4A"/>
    <w:rsid w:val="00620ACF"/>
    <w:rsid w:val="00625D63"/>
    <w:rsid w:val="00631A2D"/>
    <w:rsid w:val="00631F59"/>
    <w:rsid w:val="00634FDF"/>
    <w:rsid w:val="00635914"/>
    <w:rsid w:val="0064097C"/>
    <w:rsid w:val="00643AA8"/>
    <w:rsid w:val="00646858"/>
    <w:rsid w:val="00646E75"/>
    <w:rsid w:val="0064769A"/>
    <w:rsid w:val="00650D19"/>
    <w:rsid w:val="00651AE0"/>
    <w:rsid w:val="00653866"/>
    <w:rsid w:val="0066095E"/>
    <w:rsid w:val="00662EB2"/>
    <w:rsid w:val="00665155"/>
    <w:rsid w:val="00666989"/>
    <w:rsid w:val="00674FFB"/>
    <w:rsid w:val="00675497"/>
    <w:rsid w:val="00676A3A"/>
    <w:rsid w:val="00676AEC"/>
    <w:rsid w:val="00676D8B"/>
    <w:rsid w:val="00681432"/>
    <w:rsid w:val="00681D17"/>
    <w:rsid w:val="00682ED5"/>
    <w:rsid w:val="006858B3"/>
    <w:rsid w:val="0069013A"/>
    <w:rsid w:val="00692FCB"/>
    <w:rsid w:val="00694F50"/>
    <w:rsid w:val="00695B29"/>
    <w:rsid w:val="006963F1"/>
    <w:rsid w:val="00697AC5"/>
    <w:rsid w:val="006A1CC4"/>
    <w:rsid w:val="006A2671"/>
    <w:rsid w:val="006A42CF"/>
    <w:rsid w:val="006A5E07"/>
    <w:rsid w:val="006A79CF"/>
    <w:rsid w:val="006A7CDA"/>
    <w:rsid w:val="006B3CD9"/>
    <w:rsid w:val="006C427F"/>
    <w:rsid w:val="006C5142"/>
    <w:rsid w:val="006C59AB"/>
    <w:rsid w:val="006C6A47"/>
    <w:rsid w:val="006C6DDE"/>
    <w:rsid w:val="006C6FEF"/>
    <w:rsid w:val="006C7FF0"/>
    <w:rsid w:val="006D0665"/>
    <w:rsid w:val="006D3C76"/>
    <w:rsid w:val="006D4533"/>
    <w:rsid w:val="006D4BB0"/>
    <w:rsid w:val="006D6C69"/>
    <w:rsid w:val="006D7318"/>
    <w:rsid w:val="006E33BD"/>
    <w:rsid w:val="006E3BCF"/>
    <w:rsid w:val="006E3DCC"/>
    <w:rsid w:val="006E4A03"/>
    <w:rsid w:val="006F0324"/>
    <w:rsid w:val="006F0710"/>
    <w:rsid w:val="006F3F63"/>
    <w:rsid w:val="007014FC"/>
    <w:rsid w:val="0070322F"/>
    <w:rsid w:val="007039CE"/>
    <w:rsid w:val="00706554"/>
    <w:rsid w:val="00714D9A"/>
    <w:rsid w:val="007166C6"/>
    <w:rsid w:val="00717186"/>
    <w:rsid w:val="0072279C"/>
    <w:rsid w:val="00722CAD"/>
    <w:rsid w:val="00726ACC"/>
    <w:rsid w:val="00731DD7"/>
    <w:rsid w:val="0073237F"/>
    <w:rsid w:val="007440CB"/>
    <w:rsid w:val="00750077"/>
    <w:rsid w:val="0075032E"/>
    <w:rsid w:val="0075041C"/>
    <w:rsid w:val="00751D36"/>
    <w:rsid w:val="00753EC3"/>
    <w:rsid w:val="00756323"/>
    <w:rsid w:val="00757817"/>
    <w:rsid w:val="0076122D"/>
    <w:rsid w:val="007622FA"/>
    <w:rsid w:val="00764EB3"/>
    <w:rsid w:val="007730FE"/>
    <w:rsid w:val="00774242"/>
    <w:rsid w:val="00775E00"/>
    <w:rsid w:val="0077636F"/>
    <w:rsid w:val="00780738"/>
    <w:rsid w:val="00780DF4"/>
    <w:rsid w:val="00783846"/>
    <w:rsid w:val="00784668"/>
    <w:rsid w:val="00791080"/>
    <w:rsid w:val="007928F9"/>
    <w:rsid w:val="00792EBF"/>
    <w:rsid w:val="0079380E"/>
    <w:rsid w:val="00793A65"/>
    <w:rsid w:val="00796949"/>
    <w:rsid w:val="00796E4D"/>
    <w:rsid w:val="007974ED"/>
    <w:rsid w:val="007A1CCD"/>
    <w:rsid w:val="007A5B54"/>
    <w:rsid w:val="007B01B4"/>
    <w:rsid w:val="007B546F"/>
    <w:rsid w:val="007B784B"/>
    <w:rsid w:val="007C0C1A"/>
    <w:rsid w:val="007C52E9"/>
    <w:rsid w:val="007E244F"/>
    <w:rsid w:val="007E2AE7"/>
    <w:rsid w:val="007E5985"/>
    <w:rsid w:val="007F0767"/>
    <w:rsid w:val="007F1136"/>
    <w:rsid w:val="007F583A"/>
    <w:rsid w:val="007F73DC"/>
    <w:rsid w:val="00806EE3"/>
    <w:rsid w:val="008071D2"/>
    <w:rsid w:val="00807509"/>
    <w:rsid w:val="00813CD8"/>
    <w:rsid w:val="00813FD8"/>
    <w:rsid w:val="00814C88"/>
    <w:rsid w:val="00815C32"/>
    <w:rsid w:val="0082066E"/>
    <w:rsid w:val="00821A67"/>
    <w:rsid w:val="00822249"/>
    <w:rsid w:val="0082275B"/>
    <w:rsid w:val="00823B76"/>
    <w:rsid w:val="0082429B"/>
    <w:rsid w:val="008258BA"/>
    <w:rsid w:val="00826569"/>
    <w:rsid w:val="00826BFD"/>
    <w:rsid w:val="00826CC5"/>
    <w:rsid w:val="00834362"/>
    <w:rsid w:val="0083736B"/>
    <w:rsid w:val="0084225D"/>
    <w:rsid w:val="00843622"/>
    <w:rsid w:val="008437E8"/>
    <w:rsid w:val="008454D1"/>
    <w:rsid w:val="00845813"/>
    <w:rsid w:val="008470AF"/>
    <w:rsid w:val="00853BFC"/>
    <w:rsid w:val="00857534"/>
    <w:rsid w:val="0086134A"/>
    <w:rsid w:val="008631AF"/>
    <w:rsid w:val="00864C4F"/>
    <w:rsid w:val="0086635F"/>
    <w:rsid w:val="00867064"/>
    <w:rsid w:val="00871620"/>
    <w:rsid w:val="00872236"/>
    <w:rsid w:val="00872CB5"/>
    <w:rsid w:val="00880D93"/>
    <w:rsid w:val="00882282"/>
    <w:rsid w:val="00882C19"/>
    <w:rsid w:val="0088796A"/>
    <w:rsid w:val="008909BC"/>
    <w:rsid w:val="00891B91"/>
    <w:rsid w:val="008920E6"/>
    <w:rsid w:val="00893E48"/>
    <w:rsid w:val="008A6CBB"/>
    <w:rsid w:val="008A7737"/>
    <w:rsid w:val="008B53FE"/>
    <w:rsid w:val="008B58DC"/>
    <w:rsid w:val="008B68C9"/>
    <w:rsid w:val="008B6923"/>
    <w:rsid w:val="008C1548"/>
    <w:rsid w:val="008C299E"/>
    <w:rsid w:val="008C2D91"/>
    <w:rsid w:val="008D124E"/>
    <w:rsid w:val="008D5D2A"/>
    <w:rsid w:val="008D6BCC"/>
    <w:rsid w:val="008E05D8"/>
    <w:rsid w:val="008E23DF"/>
    <w:rsid w:val="008E3118"/>
    <w:rsid w:val="008E49DD"/>
    <w:rsid w:val="008E6F14"/>
    <w:rsid w:val="008E71B2"/>
    <w:rsid w:val="008E7441"/>
    <w:rsid w:val="008E7DDA"/>
    <w:rsid w:val="008F0AD3"/>
    <w:rsid w:val="008F21B8"/>
    <w:rsid w:val="008F220E"/>
    <w:rsid w:val="008F5308"/>
    <w:rsid w:val="008F6DA0"/>
    <w:rsid w:val="00902DBE"/>
    <w:rsid w:val="0090384D"/>
    <w:rsid w:val="00906DAD"/>
    <w:rsid w:val="00910DA7"/>
    <w:rsid w:val="00911432"/>
    <w:rsid w:val="00917BD0"/>
    <w:rsid w:val="00923C57"/>
    <w:rsid w:val="00923CAC"/>
    <w:rsid w:val="009244C8"/>
    <w:rsid w:val="00924EC6"/>
    <w:rsid w:val="009254FC"/>
    <w:rsid w:val="00930D34"/>
    <w:rsid w:val="00941C62"/>
    <w:rsid w:val="00944E37"/>
    <w:rsid w:val="00945DF3"/>
    <w:rsid w:val="009465A1"/>
    <w:rsid w:val="0094701A"/>
    <w:rsid w:val="00947740"/>
    <w:rsid w:val="009500D1"/>
    <w:rsid w:val="00953220"/>
    <w:rsid w:val="00953511"/>
    <w:rsid w:val="00955AFC"/>
    <w:rsid w:val="00955B45"/>
    <w:rsid w:val="00962E18"/>
    <w:rsid w:val="009647CC"/>
    <w:rsid w:val="009701D7"/>
    <w:rsid w:val="00972560"/>
    <w:rsid w:val="00975BCE"/>
    <w:rsid w:val="00976144"/>
    <w:rsid w:val="00977534"/>
    <w:rsid w:val="00977817"/>
    <w:rsid w:val="0098117F"/>
    <w:rsid w:val="00981E27"/>
    <w:rsid w:val="0098533D"/>
    <w:rsid w:val="00986A93"/>
    <w:rsid w:val="009901F8"/>
    <w:rsid w:val="00990B40"/>
    <w:rsid w:val="00990DE9"/>
    <w:rsid w:val="0099278C"/>
    <w:rsid w:val="00995691"/>
    <w:rsid w:val="009A183C"/>
    <w:rsid w:val="009A3638"/>
    <w:rsid w:val="009A79E2"/>
    <w:rsid w:val="009B4638"/>
    <w:rsid w:val="009B5519"/>
    <w:rsid w:val="009C23A6"/>
    <w:rsid w:val="009D16D8"/>
    <w:rsid w:val="009D64BF"/>
    <w:rsid w:val="009D6D52"/>
    <w:rsid w:val="009E210D"/>
    <w:rsid w:val="009E4516"/>
    <w:rsid w:val="009E62FC"/>
    <w:rsid w:val="009E792A"/>
    <w:rsid w:val="009F0457"/>
    <w:rsid w:val="009F1C3D"/>
    <w:rsid w:val="009F2999"/>
    <w:rsid w:val="009F32A3"/>
    <w:rsid w:val="009F7017"/>
    <w:rsid w:val="009F78DD"/>
    <w:rsid w:val="00A00436"/>
    <w:rsid w:val="00A00BF2"/>
    <w:rsid w:val="00A01F6F"/>
    <w:rsid w:val="00A040E7"/>
    <w:rsid w:val="00A044EC"/>
    <w:rsid w:val="00A05602"/>
    <w:rsid w:val="00A060A9"/>
    <w:rsid w:val="00A07353"/>
    <w:rsid w:val="00A1325B"/>
    <w:rsid w:val="00A136A0"/>
    <w:rsid w:val="00A17337"/>
    <w:rsid w:val="00A17A75"/>
    <w:rsid w:val="00A21953"/>
    <w:rsid w:val="00A219DF"/>
    <w:rsid w:val="00A22BF6"/>
    <w:rsid w:val="00A241D6"/>
    <w:rsid w:val="00A2442D"/>
    <w:rsid w:val="00A3010E"/>
    <w:rsid w:val="00A33E1D"/>
    <w:rsid w:val="00A3498C"/>
    <w:rsid w:val="00A36CEE"/>
    <w:rsid w:val="00A43583"/>
    <w:rsid w:val="00A44BFE"/>
    <w:rsid w:val="00A4753D"/>
    <w:rsid w:val="00A4788C"/>
    <w:rsid w:val="00A60BB1"/>
    <w:rsid w:val="00A6233A"/>
    <w:rsid w:val="00A62471"/>
    <w:rsid w:val="00A72620"/>
    <w:rsid w:val="00A7267A"/>
    <w:rsid w:val="00A73C0C"/>
    <w:rsid w:val="00A74351"/>
    <w:rsid w:val="00A76B4B"/>
    <w:rsid w:val="00A77016"/>
    <w:rsid w:val="00A922C1"/>
    <w:rsid w:val="00A92A4F"/>
    <w:rsid w:val="00AA0347"/>
    <w:rsid w:val="00AA0D86"/>
    <w:rsid w:val="00AA15A1"/>
    <w:rsid w:val="00AA3E6D"/>
    <w:rsid w:val="00AA7295"/>
    <w:rsid w:val="00AB1300"/>
    <w:rsid w:val="00AB1AFA"/>
    <w:rsid w:val="00AB1DFD"/>
    <w:rsid w:val="00AB3DB5"/>
    <w:rsid w:val="00AB5347"/>
    <w:rsid w:val="00AB71B6"/>
    <w:rsid w:val="00AB7B4A"/>
    <w:rsid w:val="00AD1954"/>
    <w:rsid w:val="00AD26AD"/>
    <w:rsid w:val="00AD2FB2"/>
    <w:rsid w:val="00AD3D12"/>
    <w:rsid w:val="00AD5E77"/>
    <w:rsid w:val="00AD6381"/>
    <w:rsid w:val="00AE0342"/>
    <w:rsid w:val="00AE2D68"/>
    <w:rsid w:val="00AE4782"/>
    <w:rsid w:val="00AE57D6"/>
    <w:rsid w:val="00AE5B4E"/>
    <w:rsid w:val="00AE5DF2"/>
    <w:rsid w:val="00AF3F38"/>
    <w:rsid w:val="00AF5316"/>
    <w:rsid w:val="00AF7818"/>
    <w:rsid w:val="00B00590"/>
    <w:rsid w:val="00B03327"/>
    <w:rsid w:val="00B118EC"/>
    <w:rsid w:val="00B15970"/>
    <w:rsid w:val="00B16969"/>
    <w:rsid w:val="00B17371"/>
    <w:rsid w:val="00B20E6D"/>
    <w:rsid w:val="00B21371"/>
    <w:rsid w:val="00B22F05"/>
    <w:rsid w:val="00B26D32"/>
    <w:rsid w:val="00B27D6D"/>
    <w:rsid w:val="00B3561F"/>
    <w:rsid w:val="00B4374A"/>
    <w:rsid w:val="00B43976"/>
    <w:rsid w:val="00B47CC5"/>
    <w:rsid w:val="00B51392"/>
    <w:rsid w:val="00B51F47"/>
    <w:rsid w:val="00B5403A"/>
    <w:rsid w:val="00B55CF4"/>
    <w:rsid w:val="00B6211B"/>
    <w:rsid w:val="00B63E6E"/>
    <w:rsid w:val="00B65B3D"/>
    <w:rsid w:val="00B74A75"/>
    <w:rsid w:val="00B74EA9"/>
    <w:rsid w:val="00B75E45"/>
    <w:rsid w:val="00B77785"/>
    <w:rsid w:val="00B77F9E"/>
    <w:rsid w:val="00B8020B"/>
    <w:rsid w:val="00B8133D"/>
    <w:rsid w:val="00B8187A"/>
    <w:rsid w:val="00B82A1F"/>
    <w:rsid w:val="00B8777F"/>
    <w:rsid w:val="00B90E9A"/>
    <w:rsid w:val="00B9233B"/>
    <w:rsid w:val="00B928B6"/>
    <w:rsid w:val="00B953C3"/>
    <w:rsid w:val="00B972ED"/>
    <w:rsid w:val="00BA29FA"/>
    <w:rsid w:val="00BA47C0"/>
    <w:rsid w:val="00BB10EE"/>
    <w:rsid w:val="00BB7F31"/>
    <w:rsid w:val="00BC00D2"/>
    <w:rsid w:val="00BC0F88"/>
    <w:rsid w:val="00BC7F75"/>
    <w:rsid w:val="00BD3524"/>
    <w:rsid w:val="00BE0B93"/>
    <w:rsid w:val="00BE0F65"/>
    <w:rsid w:val="00BE20F8"/>
    <w:rsid w:val="00BE2826"/>
    <w:rsid w:val="00BF5378"/>
    <w:rsid w:val="00BF7B94"/>
    <w:rsid w:val="00C11A12"/>
    <w:rsid w:val="00C1249D"/>
    <w:rsid w:val="00C16A23"/>
    <w:rsid w:val="00C1758D"/>
    <w:rsid w:val="00C22ED9"/>
    <w:rsid w:val="00C24A80"/>
    <w:rsid w:val="00C26E90"/>
    <w:rsid w:val="00C26EB0"/>
    <w:rsid w:val="00C27890"/>
    <w:rsid w:val="00C36FAC"/>
    <w:rsid w:val="00C41850"/>
    <w:rsid w:val="00C428E4"/>
    <w:rsid w:val="00C42D30"/>
    <w:rsid w:val="00C43C3A"/>
    <w:rsid w:val="00C47ADB"/>
    <w:rsid w:val="00C47F74"/>
    <w:rsid w:val="00C5105C"/>
    <w:rsid w:val="00C5287D"/>
    <w:rsid w:val="00C53CC2"/>
    <w:rsid w:val="00C57C4D"/>
    <w:rsid w:val="00C63E0D"/>
    <w:rsid w:val="00C70825"/>
    <w:rsid w:val="00C765E4"/>
    <w:rsid w:val="00C77766"/>
    <w:rsid w:val="00C84537"/>
    <w:rsid w:val="00C850AB"/>
    <w:rsid w:val="00C8726A"/>
    <w:rsid w:val="00C87BF0"/>
    <w:rsid w:val="00C92C9A"/>
    <w:rsid w:val="00C92D3D"/>
    <w:rsid w:val="00C94087"/>
    <w:rsid w:val="00C94FB5"/>
    <w:rsid w:val="00C970BE"/>
    <w:rsid w:val="00CA166B"/>
    <w:rsid w:val="00CA2786"/>
    <w:rsid w:val="00CA7733"/>
    <w:rsid w:val="00CB7387"/>
    <w:rsid w:val="00CC038C"/>
    <w:rsid w:val="00CC1DFB"/>
    <w:rsid w:val="00CD117F"/>
    <w:rsid w:val="00CD3986"/>
    <w:rsid w:val="00CD6EE9"/>
    <w:rsid w:val="00CE0DCA"/>
    <w:rsid w:val="00CE141C"/>
    <w:rsid w:val="00CE5205"/>
    <w:rsid w:val="00CE6984"/>
    <w:rsid w:val="00CF020D"/>
    <w:rsid w:val="00CF6064"/>
    <w:rsid w:val="00CF7E25"/>
    <w:rsid w:val="00D01399"/>
    <w:rsid w:val="00D0306F"/>
    <w:rsid w:val="00D03E5B"/>
    <w:rsid w:val="00D043D4"/>
    <w:rsid w:val="00D05BD2"/>
    <w:rsid w:val="00D11829"/>
    <w:rsid w:val="00D11A5F"/>
    <w:rsid w:val="00D21244"/>
    <w:rsid w:val="00D21C0D"/>
    <w:rsid w:val="00D22BA7"/>
    <w:rsid w:val="00D245FB"/>
    <w:rsid w:val="00D269FF"/>
    <w:rsid w:val="00D330BF"/>
    <w:rsid w:val="00D34CD8"/>
    <w:rsid w:val="00D426CD"/>
    <w:rsid w:val="00D42F5F"/>
    <w:rsid w:val="00D4322D"/>
    <w:rsid w:val="00D456FC"/>
    <w:rsid w:val="00D56791"/>
    <w:rsid w:val="00D601EB"/>
    <w:rsid w:val="00D60A74"/>
    <w:rsid w:val="00D61305"/>
    <w:rsid w:val="00D63A8C"/>
    <w:rsid w:val="00D643F3"/>
    <w:rsid w:val="00D710F3"/>
    <w:rsid w:val="00D7177F"/>
    <w:rsid w:val="00D766AC"/>
    <w:rsid w:val="00D80511"/>
    <w:rsid w:val="00D824A2"/>
    <w:rsid w:val="00D82F62"/>
    <w:rsid w:val="00D83F7F"/>
    <w:rsid w:val="00D844D9"/>
    <w:rsid w:val="00D85F12"/>
    <w:rsid w:val="00D879EB"/>
    <w:rsid w:val="00D977EB"/>
    <w:rsid w:val="00DA2870"/>
    <w:rsid w:val="00DA700F"/>
    <w:rsid w:val="00DB46AE"/>
    <w:rsid w:val="00DB4A4E"/>
    <w:rsid w:val="00DC0FCF"/>
    <w:rsid w:val="00DC13FD"/>
    <w:rsid w:val="00DC468D"/>
    <w:rsid w:val="00DC7892"/>
    <w:rsid w:val="00DD1ED2"/>
    <w:rsid w:val="00DD4796"/>
    <w:rsid w:val="00DD5751"/>
    <w:rsid w:val="00DE1A66"/>
    <w:rsid w:val="00DE1E11"/>
    <w:rsid w:val="00DE4603"/>
    <w:rsid w:val="00DF15BD"/>
    <w:rsid w:val="00DF3321"/>
    <w:rsid w:val="00DF4DE7"/>
    <w:rsid w:val="00DF5EBA"/>
    <w:rsid w:val="00DF6799"/>
    <w:rsid w:val="00E026EE"/>
    <w:rsid w:val="00E05897"/>
    <w:rsid w:val="00E06F2D"/>
    <w:rsid w:val="00E07E31"/>
    <w:rsid w:val="00E14B05"/>
    <w:rsid w:val="00E178C8"/>
    <w:rsid w:val="00E17F60"/>
    <w:rsid w:val="00E20051"/>
    <w:rsid w:val="00E26A5E"/>
    <w:rsid w:val="00E307BB"/>
    <w:rsid w:val="00E33A3F"/>
    <w:rsid w:val="00E34FAF"/>
    <w:rsid w:val="00E3583B"/>
    <w:rsid w:val="00E36C6F"/>
    <w:rsid w:val="00E43416"/>
    <w:rsid w:val="00E43AF8"/>
    <w:rsid w:val="00E43C07"/>
    <w:rsid w:val="00E44451"/>
    <w:rsid w:val="00E453FF"/>
    <w:rsid w:val="00E5150B"/>
    <w:rsid w:val="00E52BC6"/>
    <w:rsid w:val="00E54274"/>
    <w:rsid w:val="00E54B95"/>
    <w:rsid w:val="00E604A3"/>
    <w:rsid w:val="00E6713E"/>
    <w:rsid w:val="00E67864"/>
    <w:rsid w:val="00E72BD5"/>
    <w:rsid w:val="00E77C42"/>
    <w:rsid w:val="00E81215"/>
    <w:rsid w:val="00E83DC5"/>
    <w:rsid w:val="00E83E83"/>
    <w:rsid w:val="00E84FEB"/>
    <w:rsid w:val="00E863B8"/>
    <w:rsid w:val="00E86E0B"/>
    <w:rsid w:val="00E878A3"/>
    <w:rsid w:val="00E90217"/>
    <w:rsid w:val="00E91603"/>
    <w:rsid w:val="00E92125"/>
    <w:rsid w:val="00E92807"/>
    <w:rsid w:val="00E9417F"/>
    <w:rsid w:val="00E97E2F"/>
    <w:rsid w:val="00EA1499"/>
    <w:rsid w:val="00EA23D8"/>
    <w:rsid w:val="00EA30A4"/>
    <w:rsid w:val="00EA30C5"/>
    <w:rsid w:val="00EA70D6"/>
    <w:rsid w:val="00EB2CE2"/>
    <w:rsid w:val="00EB5269"/>
    <w:rsid w:val="00EB52B2"/>
    <w:rsid w:val="00EB5952"/>
    <w:rsid w:val="00EB6340"/>
    <w:rsid w:val="00EC2801"/>
    <w:rsid w:val="00EC2A8E"/>
    <w:rsid w:val="00EC49D8"/>
    <w:rsid w:val="00EC4D98"/>
    <w:rsid w:val="00ED0509"/>
    <w:rsid w:val="00ED2230"/>
    <w:rsid w:val="00ED2482"/>
    <w:rsid w:val="00ED267B"/>
    <w:rsid w:val="00ED286B"/>
    <w:rsid w:val="00ED3819"/>
    <w:rsid w:val="00EE05C9"/>
    <w:rsid w:val="00EE5302"/>
    <w:rsid w:val="00EF3B82"/>
    <w:rsid w:val="00EF4912"/>
    <w:rsid w:val="00F003C4"/>
    <w:rsid w:val="00F03B57"/>
    <w:rsid w:val="00F0402B"/>
    <w:rsid w:val="00F06ABE"/>
    <w:rsid w:val="00F108F4"/>
    <w:rsid w:val="00F10DD4"/>
    <w:rsid w:val="00F1149E"/>
    <w:rsid w:val="00F12E0F"/>
    <w:rsid w:val="00F145CF"/>
    <w:rsid w:val="00F1714C"/>
    <w:rsid w:val="00F2053D"/>
    <w:rsid w:val="00F227D1"/>
    <w:rsid w:val="00F22962"/>
    <w:rsid w:val="00F241E0"/>
    <w:rsid w:val="00F30164"/>
    <w:rsid w:val="00F311D4"/>
    <w:rsid w:val="00F32520"/>
    <w:rsid w:val="00F338E6"/>
    <w:rsid w:val="00F444DB"/>
    <w:rsid w:val="00F647E6"/>
    <w:rsid w:val="00F6638B"/>
    <w:rsid w:val="00F67FF8"/>
    <w:rsid w:val="00F709DB"/>
    <w:rsid w:val="00F71E29"/>
    <w:rsid w:val="00F76183"/>
    <w:rsid w:val="00F81A9D"/>
    <w:rsid w:val="00F861C2"/>
    <w:rsid w:val="00F87EE2"/>
    <w:rsid w:val="00F87F63"/>
    <w:rsid w:val="00F90F1E"/>
    <w:rsid w:val="00F9262B"/>
    <w:rsid w:val="00F929FD"/>
    <w:rsid w:val="00F92CEE"/>
    <w:rsid w:val="00F94905"/>
    <w:rsid w:val="00F97F09"/>
    <w:rsid w:val="00FA1267"/>
    <w:rsid w:val="00FA1F10"/>
    <w:rsid w:val="00FA412C"/>
    <w:rsid w:val="00FA6061"/>
    <w:rsid w:val="00FB02F4"/>
    <w:rsid w:val="00FB1763"/>
    <w:rsid w:val="00FB374D"/>
    <w:rsid w:val="00FB5D4D"/>
    <w:rsid w:val="00FC4194"/>
    <w:rsid w:val="00FC5A81"/>
    <w:rsid w:val="00FC7EB5"/>
    <w:rsid w:val="00FD0E49"/>
    <w:rsid w:val="00FD23C5"/>
    <w:rsid w:val="00FD4831"/>
    <w:rsid w:val="00FD7CD8"/>
    <w:rsid w:val="00FE1FB1"/>
    <w:rsid w:val="00FE6934"/>
    <w:rsid w:val="00FF1F92"/>
    <w:rsid w:val="00FF37DC"/>
    <w:rsid w:val="00FF5DFD"/>
    <w:rsid w:val="01141019"/>
    <w:rsid w:val="01CABFDA"/>
    <w:rsid w:val="01DDDB1F"/>
    <w:rsid w:val="02432159"/>
    <w:rsid w:val="02463024"/>
    <w:rsid w:val="02668A98"/>
    <w:rsid w:val="032F1F33"/>
    <w:rsid w:val="04126B0D"/>
    <w:rsid w:val="0641254B"/>
    <w:rsid w:val="080A4289"/>
    <w:rsid w:val="091F27D7"/>
    <w:rsid w:val="096701B6"/>
    <w:rsid w:val="0A79AF8B"/>
    <w:rsid w:val="0B074745"/>
    <w:rsid w:val="0B17A8A7"/>
    <w:rsid w:val="0B842801"/>
    <w:rsid w:val="1113317B"/>
    <w:rsid w:val="13698F5E"/>
    <w:rsid w:val="148EA385"/>
    <w:rsid w:val="14B7CAEA"/>
    <w:rsid w:val="1627FCD7"/>
    <w:rsid w:val="165AFF25"/>
    <w:rsid w:val="1A91343B"/>
    <w:rsid w:val="1AF1DF24"/>
    <w:rsid w:val="1E24AFD5"/>
    <w:rsid w:val="1E58B9D2"/>
    <w:rsid w:val="202866D5"/>
    <w:rsid w:val="20F06466"/>
    <w:rsid w:val="21CDE84D"/>
    <w:rsid w:val="23096C0F"/>
    <w:rsid w:val="25AD2CE8"/>
    <w:rsid w:val="2A46D553"/>
    <w:rsid w:val="2BBD7FE0"/>
    <w:rsid w:val="2C564B19"/>
    <w:rsid w:val="2E2B2C04"/>
    <w:rsid w:val="2EDAEF59"/>
    <w:rsid w:val="2F382D4C"/>
    <w:rsid w:val="2FC6CE1A"/>
    <w:rsid w:val="30016A05"/>
    <w:rsid w:val="300E7596"/>
    <w:rsid w:val="32F5B849"/>
    <w:rsid w:val="33B5D5C2"/>
    <w:rsid w:val="35CCDB97"/>
    <w:rsid w:val="37604DD1"/>
    <w:rsid w:val="3A2BCAAA"/>
    <w:rsid w:val="3AEDD81C"/>
    <w:rsid w:val="3C61B379"/>
    <w:rsid w:val="3CA1F8FE"/>
    <w:rsid w:val="3E10B56F"/>
    <w:rsid w:val="40EE7B17"/>
    <w:rsid w:val="42135061"/>
    <w:rsid w:val="429D3C58"/>
    <w:rsid w:val="43FCFEFF"/>
    <w:rsid w:val="4417E13B"/>
    <w:rsid w:val="44E3800F"/>
    <w:rsid w:val="468091EF"/>
    <w:rsid w:val="46C4F0C5"/>
    <w:rsid w:val="475C6839"/>
    <w:rsid w:val="48890B04"/>
    <w:rsid w:val="4949E131"/>
    <w:rsid w:val="4A595841"/>
    <w:rsid w:val="4B2662DA"/>
    <w:rsid w:val="4C200254"/>
    <w:rsid w:val="4C3E6796"/>
    <w:rsid w:val="4CBE0B96"/>
    <w:rsid w:val="4DD2804C"/>
    <w:rsid w:val="4EBF7836"/>
    <w:rsid w:val="4F8A436E"/>
    <w:rsid w:val="4FFB2CDC"/>
    <w:rsid w:val="52E1C2E8"/>
    <w:rsid w:val="55073C97"/>
    <w:rsid w:val="55272349"/>
    <w:rsid w:val="55BEAE54"/>
    <w:rsid w:val="56478C07"/>
    <w:rsid w:val="565AF004"/>
    <w:rsid w:val="56B3B515"/>
    <w:rsid w:val="5766B13C"/>
    <w:rsid w:val="5802BF32"/>
    <w:rsid w:val="582C7AF6"/>
    <w:rsid w:val="5855ABD6"/>
    <w:rsid w:val="5A08A048"/>
    <w:rsid w:val="5B5625BE"/>
    <w:rsid w:val="5D1CD770"/>
    <w:rsid w:val="6127838C"/>
    <w:rsid w:val="62C26E03"/>
    <w:rsid w:val="63153285"/>
    <w:rsid w:val="6449FDDB"/>
    <w:rsid w:val="65F3FD76"/>
    <w:rsid w:val="686530C4"/>
    <w:rsid w:val="698F721C"/>
    <w:rsid w:val="69CE38D8"/>
    <w:rsid w:val="6A2FC361"/>
    <w:rsid w:val="6AB8A0FC"/>
    <w:rsid w:val="6B239BF8"/>
    <w:rsid w:val="6F002CA6"/>
    <w:rsid w:val="72039EE3"/>
    <w:rsid w:val="72106376"/>
    <w:rsid w:val="72C8B556"/>
    <w:rsid w:val="75E247F8"/>
    <w:rsid w:val="77D62B94"/>
    <w:rsid w:val="7B56B945"/>
    <w:rsid w:val="7B6BB580"/>
    <w:rsid w:val="7BA63E77"/>
    <w:rsid w:val="7E6D54B4"/>
    <w:rsid w:val="7EBED741"/>
    <w:rsid w:val="7F97C43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A7C4F3F"/>
  <w15:chartTrackingRefBased/>
  <w15:docId w15:val="{690BD387-6F4D-49C3-8FD6-E856CE30B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2560"/>
    <w:pPr>
      <w:jc w:val="both"/>
    </w:pPr>
    <w:rPr>
      <w:rFonts w:ascii="Times New Roman" w:hAnsi="Times New Roman"/>
      <w:sz w:val="24"/>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uiPriority w:val="99"/>
    <w:unhideWhenUsed/>
    <w:rsid w:val="00181B4B"/>
    <w:pPr>
      <w:spacing w:after="0" w:line="240" w:lineRule="auto"/>
    </w:pPr>
    <w:rPr>
      <w:kern w:val="0"/>
      <w:sz w:val="20"/>
      <w:szCs w:val="20"/>
      <w14:ligatures w14:val="none"/>
    </w:rPr>
  </w:style>
  <w:style w:type="character" w:customStyle="1" w:styleId="FootnoteTextChar">
    <w:name w:val="Footnote Text Char"/>
    <w:basedOn w:val="DefaultParagraphFont"/>
    <w:uiPriority w:val="99"/>
    <w:rsid w:val="00181B4B"/>
    <w:rPr>
      <w:kern w:val="0"/>
      <w:sz w:val="20"/>
      <w:szCs w:val="20"/>
      <w:lang w:val="en-GB"/>
      <w14:ligatures w14:val="none"/>
    </w:rPr>
  </w:style>
  <w:style w:type="character" w:styleId="FootnoteReference">
    <w:name w:val="footnote reference"/>
    <w:basedOn w:val="DefaultParagraphFont"/>
    <w:uiPriority w:val="99"/>
    <w:semiHidden/>
    <w:unhideWhenUsed/>
    <w:rsid w:val="00181B4B"/>
    <w:rPr>
      <w:vertAlign w:val="superscript"/>
    </w:rPr>
  </w:style>
  <w:style w:type="paragraph" w:styleId="Header">
    <w:name w:val="header"/>
    <w:basedOn w:val="Normal"/>
    <w:link w:val="HeaderChar"/>
    <w:uiPriority w:val="99"/>
    <w:unhideWhenUsed/>
    <w:rsid w:val="00181B4B"/>
    <w:pPr>
      <w:tabs>
        <w:tab w:val="center" w:pos="4513"/>
        <w:tab w:val="right" w:pos="9026"/>
      </w:tabs>
      <w:spacing w:after="0" w:line="240" w:lineRule="auto"/>
    </w:pPr>
    <w:rPr>
      <w:kern w:val="0"/>
      <w14:ligatures w14:val="none"/>
    </w:rPr>
  </w:style>
  <w:style w:type="character" w:customStyle="1" w:styleId="HeaderChar">
    <w:name w:val="Header Char"/>
    <w:basedOn w:val="DefaultParagraphFont"/>
    <w:link w:val="Header"/>
    <w:uiPriority w:val="99"/>
    <w:rsid w:val="00181B4B"/>
    <w:rPr>
      <w:kern w:val="0"/>
      <w14:ligatures w14:val="none"/>
    </w:rPr>
  </w:style>
  <w:style w:type="paragraph" w:styleId="Footer">
    <w:name w:val="footer"/>
    <w:basedOn w:val="Normal"/>
    <w:link w:val="FooterChar"/>
    <w:uiPriority w:val="99"/>
    <w:unhideWhenUsed/>
    <w:rsid w:val="00181B4B"/>
    <w:pPr>
      <w:tabs>
        <w:tab w:val="center" w:pos="4513"/>
        <w:tab w:val="right" w:pos="9026"/>
      </w:tabs>
      <w:spacing w:after="0" w:line="240" w:lineRule="auto"/>
    </w:pPr>
    <w:rPr>
      <w:kern w:val="0"/>
      <w14:ligatures w14:val="none"/>
    </w:rPr>
  </w:style>
  <w:style w:type="character" w:customStyle="1" w:styleId="FooterChar">
    <w:name w:val="Footer Char"/>
    <w:basedOn w:val="DefaultParagraphFont"/>
    <w:link w:val="Footer"/>
    <w:uiPriority w:val="99"/>
    <w:rsid w:val="00181B4B"/>
    <w:rPr>
      <w:kern w:val="0"/>
      <w14:ligatures w14:val="none"/>
    </w:rPr>
  </w:style>
  <w:style w:type="character" w:customStyle="1" w:styleId="Hyperlink1">
    <w:name w:val="Hyperlink1"/>
    <w:basedOn w:val="DefaultParagraphFont"/>
    <w:uiPriority w:val="99"/>
    <w:unhideWhenUsed/>
    <w:rsid w:val="00181B4B"/>
    <w:rPr>
      <w:color w:val="0563C1"/>
      <w:u w:val="single"/>
    </w:rPr>
  </w:style>
  <w:style w:type="character" w:styleId="Hyperlink">
    <w:name w:val="Hyperlink"/>
    <w:basedOn w:val="DefaultParagraphFont"/>
    <w:uiPriority w:val="99"/>
    <w:unhideWhenUsed/>
    <w:rsid w:val="00181B4B"/>
    <w:rPr>
      <w:color w:val="0563C1" w:themeColor="hyperlink"/>
      <w:u w:val="single"/>
    </w:rPr>
  </w:style>
  <w:style w:type="character" w:styleId="CommentReference">
    <w:name w:val="annotation reference"/>
    <w:basedOn w:val="DefaultParagraphFont"/>
    <w:uiPriority w:val="99"/>
    <w:semiHidden/>
    <w:unhideWhenUsed/>
    <w:rsid w:val="00497B28"/>
    <w:rPr>
      <w:sz w:val="16"/>
      <w:szCs w:val="16"/>
    </w:rPr>
  </w:style>
  <w:style w:type="paragraph" w:styleId="CommentText">
    <w:name w:val="annotation text"/>
    <w:basedOn w:val="Normal"/>
    <w:link w:val="CommentTextChar"/>
    <w:uiPriority w:val="99"/>
    <w:unhideWhenUsed/>
    <w:rsid w:val="00497B28"/>
    <w:pPr>
      <w:spacing w:after="240" w:line="240" w:lineRule="auto"/>
    </w:pPr>
    <w:rPr>
      <w:rFonts w:eastAsia="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497B28"/>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8E23DF"/>
    <w:pPr>
      <w:spacing w:after="160"/>
      <w:jc w:val="left"/>
    </w:pPr>
    <w:rPr>
      <w:rFonts w:asciiTheme="minorHAnsi" w:eastAsiaTheme="minorHAnsi" w:hAnsiTheme="minorHAnsi" w:cstheme="minorBidi"/>
      <w:b/>
      <w:bCs/>
      <w:kern w:val="2"/>
      <w:lang w:val="en-US"/>
      <w14:ligatures w14:val="standardContextual"/>
    </w:rPr>
  </w:style>
  <w:style w:type="character" w:customStyle="1" w:styleId="CommentSubjectChar">
    <w:name w:val="Comment Subject Char"/>
    <w:basedOn w:val="CommentTextChar"/>
    <w:link w:val="CommentSubject"/>
    <w:uiPriority w:val="99"/>
    <w:semiHidden/>
    <w:rsid w:val="008E23DF"/>
    <w:rPr>
      <w:rFonts w:ascii="Times New Roman" w:eastAsia="Times New Roman" w:hAnsi="Times New Roman" w:cs="Times New Roman"/>
      <w:b/>
      <w:bCs/>
      <w:kern w:val="0"/>
      <w:sz w:val="20"/>
      <w:szCs w:val="20"/>
      <w:lang w:val="en-GB"/>
      <w14:ligatures w14:val="none"/>
    </w:rPr>
  </w:style>
  <w:style w:type="character" w:customStyle="1" w:styleId="Mention">
    <w:name w:val="Mention"/>
    <w:basedOn w:val="DefaultParagraphFont"/>
    <w:uiPriority w:val="99"/>
    <w:unhideWhenUsed/>
    <w:rsid w:val="008E23DF"/>
    <w:rPr>
      <w:color w:val="2B579A"/>
      <w:shd w:val="clear" w:color="auto" w:fill="E1DFDD"/>
    </w:rPr>
  </w:style>
  <w:style w:type="paragraph" w:styleId="Revision">
    <w:name w:val="Revision"/>
    <w:hidden/>
    <w:uiPriority w:val="99"/>
    <w:semiHidden/>
    <w:rsid w:val="0082275B"/>
    <w:pPr>
      <w:spacing w:after="0" w:line="240" w:lineRule="auto"/>
    </w:pPr>
  </w:style>
  <w:style w:type="character" w:customStyle="1" w:styleId="UnresolvedMention">
    <w:name w:val="Unresolved Mention"/>
    <w:basedOn w:val="DefaultParagraphFont"/>
    <w:uiPriority w:val="99"/>
    <w:semiHidden/>
    <w:unhideWhenUsed/>
    <w:rsid w:val="009E210D"/>
    <w:rPr>
      <w:color w:val="605E5C"/>
      <w:shd w:val="clear" w:color="auto" w:fill="E1DFDD"/>
    </w:rPr>
  </w:style>
  <w:style w:type="paragraph" w:styleId="ListParagraph">
    <w:name w:val="List Paragraph"/>
    <w:basedOn w:val="Normal"/>
    <w:uiPriority w:val="34"/>
    <w:qFormat/>
    <w:rsid w:val="00E34FAF"/>
    <w:pPr>
      <w:ind w:left="720"/>
      <w:contextualSpacing/>
    </w:pPr>
  </w:style>
  <w:style w:type="character" w:customStyle="1" w:styleId="Marker">
    <w:name w:val="Marker"/>
    <w:basedOn w:val="DefaultParagraphFont"/>
    <w:rsid w:val="002C0A6F"/>
    <w:rPr>
      <w:color w:val="0000FF"/>
      <w:shd w:val="clear" w:color="auto" w:fill="auto"/>
    </w:rPr>
  </w:style>
  <w:style w:type="paragraph" w:customStyle="1" w:styleId="Pagedecouverture">
    <w:name w:val="Page de couverture"/>
    <w:basedOn w:val="Normal"/>
    <w:next w:val="Normal"/>
    <w:rsid w:val="002C0A6F"/>
    <w:pPr>
      <w:spacing w:after="0" w:line="240" w:lineRule="auto"/>
    </w:pPr>
    <w:rPr>
      <w:rFonts w:cs="Times New Roman"/>
      <w:kern w:val="0"/>
      <w14:ligatures w14:val="none"/>
    </w:rPr>
  </w:style>
  <w:style w:type="paragraph" w:customStyle="1" w:styleId="FooterCoverPage">
    <w:name w:val="Footer Cover Page"/>
    <w:basedOn w:val="Normal"/>
    <w:link w:val="FooterCoverPageChar"/>
    <w:rsid w:val="002C0A6F"/>
    <w:pPr>
      <w:tabs>
        <w:tab w:val="center" w:pos="4535"/>
        <w:tab w:val="right" w:pos="9071"/>
        <w:tab w:val="right" w:pos="9921"/>
      </w:tabs>
      <w:spacing w:before="360" w:after="0" w:line="240" w:lineRule="auto"/>
      <w:ind w:left="-850" w:right="-850"/>
      <w:jc w:val="left"/>
    </w:pPr>
  </w:style>
  <w:style w:type="character" w:customStyle="1" w:styleId="FooterCoverPageChar">
    <w:name w:val="Footer Cover Page Char"/>
    <w:basedOn w:val="DefaultParagraphFont"/>
    <w:link w:val="FooterCoverPage"/>
    <w:rsid w:val="002C0A6F"/>
    <w:rPr>
      <w:rFonts w:ascii="Times New Roman" w:hAnsi="Times New Roman"/>
      <w:sz w:val="24"/>
      <w:lang w:val="en-GB"/>
    </w:rPr>
  </w:style>
  <w:style w:type="paragraph" w:customStyle="1" w:styleId="FooterSensitivity">
    <w:name w:val="Footer Sensitivity"/>
    <w:basedOn w:val="Normal"/>
    <w:link w:val="FooterSensitivityChar"/>
    <w:rsid w:val="002C0A6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sid w:val="002C0A6F"/>
    <w:rPr>
      <w:rFonts w:ascii="Times New Roman" w:hAnsi="Times New Roman"/>
      <w:b/>
      <w:sz w:val="32"/>
      <w:lang w:val="en-GB"/>
    </w:rPr>
  </w:style>
  <w:style w:type="paragraph" w:customStyle="1" w:styleId="HeaderCoverPage">
    <w:name w:val="Header Cover Page"/>
    <w:basedOn w:val="Normal"/>
    <w:link w:val="HeaderCoverPageChar"/>
    <w:rsid w:val="002C0A6F"/>
    <w:pPr>
      <w:tabs>
        <w:tab w:val="center" w:pos="4535"/>
        <w:tab w:val="right" w:pos="9071"/>
      </w:tabs>
      <w:spacing w:after="120" w:line="240" w:lineRule="auto"/>
    </w:pPr>
  </w:style>
  <w:style w:type="character" w:customStyle="1" w:styleId="HeaderCoverPageChar">
    <w:name w:val="Header Cover Page Char"/>
    <w:basedOn w:val="DefaultParagraphFont"/>
    <w:link w:val="HeaderCoverPage"/>
    <w:rsid w:val="002C0A6F"/>
    <w:rPr>
      <w:rFonts w:ascii="Times New Roman" w:hAnsi="Times New Roman"/>
      <w:sz w:val="24"/>
      <w:lang w:val="en-GB"/>
    </w:rPr>
  </w:style>
  <w:style w:type="paragraph" w:customStyle="1" w:styleId="HeaderSensitivity">
    <w:name w:val="Header Sensitivity"/>
    <w:basedOn w:val="Normal"/>
    <w:link w:val="HeaderSensitivityChar"/>
    <w:rsid w:val="002C0A6F"/>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2C0A6F"/>
    <w:rPr>
      <w:rFonts w:ascii="Times New Roman" w:hAnsi="Times New Roman"/>
      <w:b/>
      <w:sz w:val="32"/>
      <w:lang w:val="en-GB"/>
    </w:rPr>
  </w:style>
  <w:style w:type="paragraph" w:customStyle="1" w:styleId="HeaderSensitivityRight">
    <w:name w:val="Header Sensitivity Right"/>
    <w:basedOn w:val="Normal"/>
    <w:link w:val="HeaderSensitivityRightChar"/>
    <w:rsid w:val="00676AEC"/>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2C0A6F"/>
    <w:rPr>
      <w:rFonts w:ascii="Times New Roman" w:hAnsi="Times New Roman"/>
      <w:sz w:val="28"/>
      <w:lang w:val="en-GB"/>
    </w:rPr>
  </w:style>
  <w:style w:type="paragraph" w:customStyle="1" w:styleId="Disclaimer">
    <w:name w:val="Disclaimer"/>
    <w:basedOn w:val="Normal"/>
    <w:rsid w:val="00676AEC"/>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pPr>
    <w:rPr>
      <w:rFonts w:cs="Times New Roman"/>
      <w:kern w:val="0"/>
      <w14:ligatures w14:val="none"/>
    </w:rPr>
  </w:style>
  <w:style w:type="paragraph" w:customStyle="1" w:styleId="SecurityMarking">
    <w:name w:val="SecurityMarking"/>
    <w:basedOn w:val="Normal"/>
    <w:rsid w:val="00676AEC"/>
    <w:pPr>
      <w:spacing w:after="0" w:line="276" w:lineRule="auto"/>
      <w:ind w:left="5103"/>
      <w:jc w:val="left"/>
    </w:pPr>
    <w:rPr>
      <w:rFonts w:cs="Times New Roman"/>
      <w:kern w:val="0"/>
      <w:sz w:val="28"/>
      <w14:ligatures w14:val="none"/>
    </w:rPr>
  </w:style>
  <w:style w:type="paragraph" w:customStyle="1" w:styleId="DateMarking">
    <w:name w:val="DateMarking"/>
    <w:basedOn w:val="Normal"/>
    <w:rsid w:val="00676AEC"/>
    <w:pPr>
      <w:spacing w:after="0" w:line="276" w:lineRule="auto"/>
      <w:ind w:left="5103"/>
      <w:jc w:val="left"/>
    </w:pPr>
    <w:rPr>
      <w:rFonts w:cs="Times New Roman"/>
      <w:i/>
      <w:kern w:val="0"/>
      <w:sz w:val="28"/>
      <w14:ligatures w14:val="none"/>
    </w:rPr>
  </w:style>
  <w:style w:type="paragraph" w:customStyle="1" w:styleId="ReleasableTo">
    <w:name w:val="ReleasableTo"/>
    <w:basedOn w:val="Normal"/>
    <w:rsid w:val="00676AEC"/>
    <w:pPr>
      <w:spacing w:after="0" w:line="276" w:lineRule="auto"/>
      <w:ind w:left="5103"/>
      <w:jc w:val="left"/>
    </w:pPr>
    <w:rPr>
      <w:rFonts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3/957/oj" TargetMode="External"/><Relationship Id="rId2" Type="http://schemas.openxmlformats.org/officeDocument/2006/relationships/hyperlink" Target="http://data.europa.eu/eli/reg/2023/1805/oj" TargetMode="External"/><Relationship Id="rId1" Type="http://schemas.openxmlformats.org/officeDocument/2006/relationships/hyperlink" Target="http://data.europa.eu/eli/reg/2015/757/2025-01-01" TargetMode="External"/><Relationship Id="rId4" Type="http://schemas.openxmlformats.org/officeDocument/2006/relationships/hyperlink" Target="https://ec.europa.eu/eurostat/statistics-explained/index.php?title=Maritime_transport_of_goods_-_annual_d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843c966-cb45-4885-93fc-2ce78a94204b">
      <Terms xmlns="http://schemas.microsoft.com/office/infopath/2007/PartnerControls"/>
    </lcf76f155ced4ddcb4097134ff3c332f>
    <TaxCatchAll xmlns="ac131f03-315b-4cd8-8e3a-6189969fd4f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9782AF6692CB4E8097BF428225D135" ma:contentTypeVersion="17" ma:contentTypeDescription="Create a new document." ma:contentTypeScope="" ma:versionID="59ff5651a4f3a1a5cb8238938fd32999">
  <xsd:schema xmlns:xsd="http://www.w3.org/2001/XMLSchema" xmlns:xs="http://www.w3.org/2001/XMLSchema" xmlns:p="http://schemas.microsoft.com/office/2006/metadata/properties" xmlns:ns2="5843c966-cb45-4885-93fc-2ce78a94204b" xmlns:ns3="ac131f03-315b-4cd8-8e3a-6189969fd4f0" targetNamespace="http://schemas.microsoft.com/office/2006/metadata/properties" ma:root="true" ma:fieldsID="f35b6c5cbc38fcaa39852b720d769a3f" ns2:_="" ns3:_="">
    <xsd:import namespace="5843c966-cb45-4885-93fc-2ce78a94204b"/>
    <xsd:import namespace="ac131f03-315b-4cd8-8e3a-6189969fd4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43c966-cb45-4885-93fc-2ce78a9420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131f03-315b-4cd8-8e3a-6189969fd4f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9a683dc-7c89-45b8-ab9d-480aec8b90de}" ma:internalName="TaxCatchAll" ma:showField="CatchAllData" ma:web="ac131f03-315b-4cd8-8e3a-6189969fd4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b:Tag>Eur233</b:Tag>
    <b:SourceType>InternetSite</b:SourceType>
    <b:Guid>{9ABAD34F-CA07-4F65-A1F8-3C2A1236E4C6}</b:Guid>
    <b:Author>
      <b:Author>
        <b:Corporate>European Commission </b:Corporate>
      </b:Author>
    </b:Author>
    <b:Title>Questions and Answers: Launch of the Innovation Fund 2023 Call for Projects</b:Title>
    <b:Year>2023</b:Year>
    <b:Month>November</b:Month>
    <b:Day>23</b:Day>
    <b:URL>https://ec.europa.eu/commission/presscorner/detail/en/qanda_23_5992</b:URL>
    <b:RefOrder>8</b:RefOrder>
  </b:Source>
</b:Sources>
</file>

<file path=customXml/itemProps1.xml><?xml version="1.0" encoding="utf-8"?>
<ds:datastoreItem xmlns:ds="http://schemas.openxmlformats.org/officeDocument/2006/customXml" ds:itemID="{B2EB4526-1C77-40B9-995E-88864B1CCCFD}">
  <ds:schemaRefs>
    <ds:schemaRef ds:uri="http://schemas.microsoft.com/office/2006/metadata/properties"/>
    <ds:schemaRef ds:uri="http://schemas.microsoft.com/office/infopath/2007/PartnerControls"/>
    <ds:schemaRef ds:uri="5843c966-cb45-4885-93fc-2ce78a94204b"/>
    <ds:schemaRef ds:uri="ac131f03-315b-4cd8-8e3a-6189969fd4f0"/>
  </ds:schemaRefs>
</ds:datastoreItem>
</file>

<file path=customXml/itemProps2.xml><?xml version="1.0" encoding="utf-8"?>
<ds:datastoreItem xmlns:ds="http://schemas.openxmlformats.org/officeDocument/2006/customXml" ds:itemID="{DB70F777-06B9-457E-B66D-23B2807579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43c966-cb45-4885-93fc-2ce78a94204b"/>
    <ds:schemaRef ds:uri="ac131f03-315b-4cd8-8e3a-6189969fd4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936575-F7F5-4D22-BBB6-7B115E2F45AF}">
  <ds:schemaRefs>
    <ds:schemaRef ds:uri="http://schemas.microsoft.com/sharepoint/v3/contenttype/forms"/>
  </ds:schemaRefs>
</ds:datastoreItem>
</file>

<file path=customXml/itemProps4.xml><?xml version="1.0" encoding="utf-8"?>
<ds:datastoreItem xmlns:ds="http://schemas.openxmlformats.org/officeDocument/2006/customXml" ds:itemID="{4D9C47E5-5A20-47D8-89A6-146B1EFEC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1785</Words>
  <Characters>10181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11943</CharactersWithSpaces>
  <SharedDoc>false</SharedDoc>
  <HLinks>
    <vt:vector size="30" baseType="variant">
      <vt:variant>
        <vt:i4>7995449</vt:i4>
      </vt:variant>
      <vt:variant>
        <vt:i4>9</vt:i4>
      </vt:variant>
      <vt:variant>
        <vt:i4>0</vt:i4>
      </vt:variant>
      <vt:variant>
        <vt:i4>5</vt:i4>
      </vt:variant>
      <vt:variant>
        <vt:lpwstr>https://ec.europa.eu/eurostat/statistics-explained/index.php?title=Maritime_transport_of_goods_-_annual_data</vt:lpwstr>
      </vt:variant>
      <vt:variant>
        <vt:lpwstr/>
      </vt:variant>
      <vt:variant>
        <vt:i4>5177369</vt:i4>
      </vt:variant>
      <vt:variant>
        <vt:i4>6</vt:i4>
      </vt:variant>
      <vt:variant>
        <vt:i4>0</vt:i4>
      </vt:variant>
      <vt:variant>
        <vt:i4>5</vt:i4>
      </vt:variant>
      <vt:variant>
        <vt:lpwstr>http://data.europa.eu/eli/reg/2023/957/oj</vt:lpwstr>
      </vt:variant>
      <vt:variant>
        <vt:lpwstr/>
      </vt:variant>
      <vt:variant>
        <vt:i4>6946913</vt:i4>
      </vt:variant>
      <vt:variant>
        <vt:i4>3</vt:i4>
      </vt:variant>
      <vt:variant>
        <vt:i4>0</vt:i4>
      </vt:variant>
      <vt:variant>
        <vt:i4>5</vt:i4>
      </vt:variant>
      <vt:variant>
        <vt:lpwstr>http://data.europa.eu/eli/reg/2023/1805/oj</vt:lpwstr>
      </vt:variant>
      <vt:variant>
        <vt:lpwstr/>
      </vt:variant>
      <vt:variant>
        <vt:i4>5046298</vt:i4>
      </vt:variant>
      <vt:variant>
        <vt:i4>0</vt:i4>
      </vt:variant>
      <vt:variant>
        <vt:i4>0</vt:i4>
      </vt:variant>
      <vt:variant>
        <vt:i4>5</vt:i4>
      </vt:variant>
      <vt:variant>
        <vt:lpwstr>http://data.europa.eu/eli/dir/2023/959/oj</vt:lpwstr>
      </vt:variant>
      <vt:variant>
        <vt:lpwstr/>
      </vt:variant>
      <vt:variant>
        <vt:i4>3276811</vt:i4>
      </vt:variant>
      <vt:variant>
        <vt:i4>0</vt:i4>
      </vt:variant>
      <vt:variant>
        <vt:i4>0</vt:i4>
      </vt:variant>
      <vt:variant>
        <vt:i4>5</vt:i4>
      </vt:variant>
      <vt:variant>
        <vt:lpwstr>mailto:Luca.COLONNA@ec.europa.eu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2026-04-20T10:51:00Z</dcterms:created>
  <dcterms:modified xsi:type="dcterms:W3CDTF">2026-04-22T07:34:00Z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2026-03-23T11:31:42Z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856c74e6-efa7-42fe-b1a9-614ba87b3c7e</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0x010100199782AF6692CB4E8097BF428225D135</vt:lpwstr>
  </property>
</Properties>
</file>