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326" w:rsidRDefault="00C01694" w:rsidP="00C0169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625DFE-AF1E-486C-A01B-127898682665" style="width:455.25pt;height:357.75pt">
            <v:imagedata r:id="rId11" o:title=""/>
          </v:shape>
        </w:pict>
      </w:r>
    </w:p>
    <w:p w:rsidR="00427F25" w:rsidRPr="00B85326" w:rsidRDefault="00427F25" w:rsidP="00427F25">
      <w:pPr>
        <w:rPr>
          <w:noProof/>
        </w:rPr>
        <w:sectPr w:rsidR="00427F25" w:rsidRPr="00B85326" w:rsidSect="00C01694">
          <w:footerReference w:type="even" r:id="rId12"/>
          <w:footerReference w:type="default" r:id="rId13"/>
          <w:footnotePr>
            <w:numRestart w:val="eachSect"/>
          </w:footnotePr>
          <w:pgSz w:w="11907" w:h="16839"/>
          <w:pgMar w:top="1134" w:right="1417" w:bottom="1134" w:left="1417" w:header="709" w:footer="709" w:gutter="0"/>
          <w:pgNumType w:start="1"/>
          <w:cols w:space="720"/>
          <w:docGrid w:linePitch="360"/>
        </w:sectPr>
      </w:pPr>
    </w:p>
    <w:p w:rsidR="004A5E08" w:rsidRPr="005A3B25" w:rsidRDefault="004A5E08" w:rsidP="00B85326">
      <w:pPr>
        <w:pStyle w:val="Exposdesmotifstitre"/>
        <w:rPr>
          <w:noProof/>
        </w:rPr>
      </w:pPr>
      <w:bookmarkStart w:id="0" w:name="_GoBack"/>
      <w:bookmarkEnd w:id="0"/>
      <w:r w:rsidRPr="005A3B25">
        <w:rPr>
          <w:noProof/>
        </w:rPr>
        <w:lastRenderedPageBreak/>
        <w:t>EXPLANATORY MEMORANDUM</w:t>
      </w:r>
    </w:p>
    <w:p w:rsidR="004A5E08" w:rsidRPr="005A3B25" w:rsidRDefault="004A5E08" w:rsidP="004A5E08">
      <w:pPr>
        <w:pStyle w:val="ManualHeading1"/>
        <w:rPr>
          <w:noProof/>
        </w:rPr>
      </w:pPr>
      <w:r w:rsidRPr="005A3B25">
        <w:rPr>
          <w:noProof/>
        </w:rPr>
        <w:t>1.</w:t>
      </w:r>
      <w:r w:rsidRPr="005A3B25">
        <w:rPr>
          <w:noProof/>
        </w:rPr>
        <w:tab/>
        <w:t>CONTEXT OF THE PROPOSAL</w:t>
      </w:r>
    </w:p>
    <w:p w:rsidR="004A5E08" w:rsidRPr="005A3B25" w:rsidRDefault="004A5E08" w:rsidP="004A5E08">
      <w:pPr>
        <w:pStyle w:val="ManualHeading2"/>
        <w:rPr>
          <w:rFonts w:eastAsia="Arial Unicode MS"/>
          <w:noProof/>
        </w:rPr>
      </w:pPr>
      <w:r w:rsidRPr="005A3B25">
        <w:rPr>
          <w:rFonts w:eastAsia="Arial Unicode MS"/>
          <w:noProof/>
          <w:color w:val="000000"/>
          <w:u w:color="000000"/>
          <w:bdr w:val="nil"/>
          <w:lang w:val="en-US" w:eastAsia="en-GB"/>
        </w:rPr>
        <w:t>•</w:t>
      </w:r>
      <w:r w:rsidRPr="005A3B25">
        <w:rPr>
          <w:rFonts w:eastAsia="Arial Unicode MS"/>
          <w:noProof/>
          <w:color w:val="000000"/>
          <w:u w:color="000000"/>
          <w:bdr w:val="nil"/>
          <w:lang w:val="en-US" w:eastAsia="en-GB"/>
        </w:rPr>
        <w:tab/>
      </w:r>
      <w:r w:rsidRPr="005A3B25">
        <w:rPr>
          <w:rFonts w:eastAsia="Arial Unicode MS"/>
          <w:noProof/>
        </w:rPr>
        <w:t>Reasons for and objectives of the proposal</w:t>
      </w:r>
    </w:p>
    <w:p w:rsidR="004A5E08" w:rsidRPr="005A3B25" w:rsidRDefault="004A5E08" w:rsidP="004A5E08">
      <w:pPr>
        <w:rPr>
          <w:noProof/>
        </w:rPr>
      </w:pPr>
      <w:r w:rsidRPr="005A3B25">
        <w:rPr>
          <w:noProof/>
        </w:rPr>
        <w:t>In order to ensure sufficient and uninterrupted supplies of certain agricultural and industrial products</w:t>
      </w:r>
      <w:r w:rsidRPr="005A3B25" w:rsidDel="001B2CF3">
        <w:rPr>
          <w:noProof/>
        </w:rPr>
        <w:t xml:space="preserve"> </w:t>
      </w:r>
      <w:r w:rsidRPr="005A3B25">
        <w:rPr>
          <w:noProof/>
        </w:rPr>
        <w:t>which are insufficiently produced or not produced at all in the Union and to avoid any disturbances on the market for these products, some Common Customs Tariff duties have been partially or totally suspended</w:t>
      </w:r>
      <w:r w:rsidR="00DD4CE4" w:rsidRPr="005A3B25">
        <w:rPr>
          <w:noProof/>
        </w:rPr>
        <w:t>, without any limits as regards their quantity,</w:t>
      </w:r>
      <w:r w:rsidRPr="005A3B25">
        <w:rPr>
          <w:noProof/>
        </w:rPr>
        <w:t xml:space="preserve"> by Council Regulation (EU) No 2021/2278</w:t>
      </w:r>
      <w:r w:rsidR="00902B30" w:rsidRPr="005A3B25">
        <w:rPr>
          <w:noProof/>
        </w:rPr>
        <w:t xml:space="preserve"> </w:t>
      </w:r>
      <w:r w:rsidRPr="005A3B25">
        <w:rPr>
          <w:noProof/>
        </w:rPr>
        <w:t>(hereinafter "the Regulation")</w:t>
      </w:r>
      <w:r w:rsidR="00F97099" w:rsidRPr="005A3B25">
        <w:rPr>
          <w:rStyle w:val="FootnoteReference"/>
          <w:noProof/>
        </w:rPr>
        <w:footnoteReference w:id="2"/>
      </w:r>
      <w:r w:rsidRPr="005A3B25">
        <w:rPr>
          <w:noProof/>
        </w:rPr>
        <w:t>.</w:t>
      </w:r>
    </w:p>
    <w:p w:rsidR="00DF2C0E" w:rsidRPr="005A3B25" w:rsidRDefault="004A5E08" w:rsidP="004A5E08">
      <w:pPr>
        <w:rPr>
          <w:noProof/>
        </w:rPr>
      </w:pPr>
      <w:r w:rsidRPr="005A3B25">
        <w:rPr>
          <w:noProof/>
        </w:rPr>
        <w:t>The Regulation</w:t>
      </w:r>
      <w:r w:rsidR="00DF2C0E" w:rsidRPr="005A3B25">
        <w:rPr>
          <w:noProof/>
        </w:rPr>
        <w:t xml:space="preserve"> is</w:t>
      </w:r>
      <w:r w:rsidRPr="005A3B25">
        <w:rPr>
          <w:noProof/>
        </w:rPr>
        <w:t xml:space="preserve"> updated every six months to accommodate the needs of Union industry. </w:t>
      </w:r>
    </w:p>
    <w:p w:rsidR="004A5E08" w:rsidRPr="005A3B25" w:rsidRDefault="004A5E08" w:rsidP="004A5E08">
      <w:pPr>
        <w:rPr>
          <w:noProof/>
        </w:rPr>
      </w:pPr>
      <w:r w:rsidRPr="005A3B25">
        <w:rPr>
          <w:noProof/>
        </w:rPr>
        <w:t>The Commission, assisted by the Economic Tariff Questions Group</w:t>
      </w:r>
      <w:r w:rsidR="00DD4CE4" w:rsidRPr="005A3B25">
        <w:rPr>
          <w:noProof/>
        </w:rPr>
        <w:t xml:space="preserve"> (ETQG)</w:t>
      </w:r>
      <w:r w:rsidRPr="005A3B25">
        <w:rPr>
          <w:noProof/>
        </w:rPr>
        <w:t>, has reviewed all requests from the Member States for autonomous tariff suspensions.</w:t>
      </w:r>
    </w:p>
    <w:p w:rsidR="004A5E08" w:rsidRPr="005A3B25" w:rsidRDefault="004A5E08" w:rsidP="004A5E08">
      <w:pPr>
        <w:rPr>
          <w:noProof/>
        </w:rPr>
      </w:pPr>
      <w:r w:rsidRPr="005A3B25">
        <w:rPr>
          <w:noProof/>
        </w:rPr>
        <w:t>Following this review, the Commission considers that the suspension of duties is justified for some new products, currently not listed in the Annex of the Regulation. In relation to some other products, it is necessary to modify the conditions in terms of product description</w:t>
      </w:r>
      <w:r w:rsidR="0075670A" w:rsidRPr="005A3B25">
        <w:rPr>
          <w:noProof/>
        </w:rPr>
        <w:t xml:space="preserve">, </w:t>
      </w:r>
      <w:r w:rsidRPr="005A3B25">
        <w:rPr>
          <w:noProof/>
        </w:rPr>
        <w:t>classification</w:t>
      </w:r>
      <w:r w:rsidR="001777E5" w:rsidRPr="005A3B25">
        <w:rPr>
          <w:noProof/>
        </w:rPr>
        <w:t>, end-use requirement,</w:t>
      </w:r>
      <w:r w:rsidR="0075670A" w:rsidRPr="005A3B25">
        <w:rPr>
          <w:noProof/>
        </w:rPr>
        <w:t xml:space="preserve"> and</w:t>
      </w:r>
      <w:r w:rsidR="001777E5" w:rsidRPr="005A3B25">
        <w:rPr>
          <w:noProof/>
        </w:rPr>
        <w:t>/or</w:t>
      </w:r>
      <w:r w:rsidR="0075670A" w:rsidRPr="005A3B25">
        <w:rPr>
          <w:noProof/>
        </w:rPr>
        <w:t xml:space="preserve"> date envisaged for mandatory review</w:t>
      </w:r>
      <w:r w:rsidRPr="005A3B25">
        <w:rPr>
          <w:noProof/>
        </w:rPr>
        <w:t>. Products for which a tariff suspension is no longer in the Union's economic interest are proposed to be withdrawn.</w:t>
      </w:r>
    </w:p>
    <w:p w:rsidR="004A5E08" w:rsidRPr="005A3B25" w:rsidRDefault="004A5E08" w:rsidP="004A5E08">
      <w:pPr>
        <w:pStyle w:val="ManualHeading2"/>
        <w:rPr>
          <w:rFonts w:eastAsia="Arial Unicode MS"/>
          <w:noProof/>
          <w:color w:val="000000"/>
          <w:u w:color="000000"/>
          <w:bdr w:val="nil"/>
          <w:lang w:val="en-US" w:eastAsia="en-GB"/>
        </w:rPr>
      </w:pPr>
      <w:r w:rsidRPr="005A3B25">
        <w:rPr>
          <w:rFonts w:eastAsia="Arial Unicode MS"/>
          <w:noProof/>
          <w:color w:val="000000"/>
          <w:u w:color="000000"/>
          <w:bdr w:val="nil"/>
          <w:lang w:val="en-US" w:eastAsia="en-GB"/>
        </w:rPr>
        <w:t>•</w:t>
      </w:r>
      <w:r w:rsidRPr="005A3B25">
        <w:rPr>
          <w:rFonts w:eastAsia="Arial Unicode MS"/>
          <w:noProof/>
          <w:color w:val="000000"/>
          <w:u w:color="000000"/>
          <w:bdr w:val="nil"/>
          <w:lang w:val="en-US" w:eastAsia="en-GB"/>
        </w:rPr>
        <w:tab/>
      </w:r>
      <w:r w:rsidRPr="005A3B25">
        <w:rPr>
          <w:rFonts w:eastAsia="Arial Unicode MS"/>
          <w:noProof/>
        </w:rPr>
        <w:t>Consistency with existing policy provisions in the policy area</w:t>
      </w:r>
    </w:p>
    <w:p w:rsidR="004A5E08" w:rsidRPr="005A3B25" w:rsidRDefault="004A5E08" w:rsidP="004A5E08">
      <w:pPr>
        <w:rPr>
          <w:noProof/>
        </w:rPr>
      </w:pPr>
      <w:r w:rsidRPr="005A3B25">
        <w:rPr>
          <w:noProof/>
        </w:rPr>
        <w:t>This proposal does not affect countries that have a preferential trading agreement with the Union nor candidate countries or potential candidates for preferential agreements with the Union (e.g. Generalised System of Preferences; the African, Caribbean and Pacific group trade regime; Free Trade Agreements).</w:t>
      </w:r>
    </w:p>
    <w:p w:rsidR="004A5E08" w:rsidRPr="005A3B25" w:rsidRDefault="004A5E08" w:rsidP="004A5E08">
      <w:pPr>
        <w:pStyle w:val="ManualHeading2"/>
        <w:rPr>
          <w:rFonts w:eastAsia="Arial Unicode MS"/>
          <w:noProof/>
        </w:rPr>
      </w:pPr>
      <w:r w:rsidRPr="005A3B25">
        <w:rPr>
          <w:rFonts w:eastAsia="Arial Unicode MS"/>
          <w:noProof/>
          <w:color w:val="000000"/>
          <w:u w:color="000000"/>
          <w:bdr w:val="nil"/>
          <w:lang w:val="en-US" w:eastAsia="en-GB"/>
        </w:rPr>
        <w:t>•</w:t>
      </w:r>
      <w:r w:rsidRPr="005A3B25">
        <w:rPr>
          <w:rFonts w:eastAsia="Arial Unicode MS"/>
          <w:noProof/>
          <w:color w:val="000000"/>
          <w:u w:color="000000"/>
          <w:bdr w:val="nil"/>
          <w:lang w:val="en-US" w:eastAsia="en-GB"/>
        </w:rPr>
        <w:tab/>
      </w:r>
      <w:r w:rsidRPr="005A3B25">
        <w:rPr>
          <w:rFonts w:eastAsia="Arial Unicode MS"/>
          <w:noProof/>
        </w:rPr>
        <w:t>Consistency with other Union policies</w:t>
      </w:r>
    </w:p>
    <w:p w:rsidR="004A5E08" w:rsidRPr="005A3B25" w:rsidRDefault="004A5E08" w:rsidP="004A5E08">
      <w:pPr>
        <w:rPr>
          <w:noProof/>
        </w:rPr>
      </w:pPr>
      <w:r w:rsidRPr="005A3B25">
        <w:rPr>
          <w:noProof/>
        </w:rPr>
        <w:t>The proposal is in line with Union policies in the area of agriculture, trade, enterprise, environment, development and external relations.</w:t>
      </w:r>
    </w:p>
    <w:p w:rsidR="004A5E08" w:rsidRPr="005A3B25" w:rsidRDefault="004A5E08" w:rsidP="004A5E08">
      <w:pPr>
        <w:pStyle w:val="ManualHeading1"/>
        <w:rPr>
          <w:noProof/>
        </w:rPr>
      </w:pPr>
      <w:r w:rsidRPr="005A3B25">
        <w:rPr>
          <w:noProof/>
        </w:rPr>
        <w:t>2.</w:t>
      </w:r>
      <w:r w:rsidRPr="005A3B25">
        <w:rPr>
          <w:noProof/>
        </w:rPr>
        <w:tab/>
        <w:t>LEGAL BASIS, SUBSIDIARITY AND PROPORTIONALITY</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Legal basis</w:t>
      </w:r>
    </w:p>
    <w:p w:rsidR="004A5E08" w:rsidRPr="005A3B25" w:rsidRDefault="004A5E08" w:rsidP="004A5E08">
      <w:pPr>
        <w:rPr>
          <w:noProof/>
        </w:rPr>
      </w:pPr>
      <w:r w:rsidRPr="005A3B25">
        <w:rPr>
          <w:noProof/>
        </w:rPr>
        <w:t>The legal basis of this proposal is Article 31 of the Treaty on the Functioning of the European Union (TFEU).</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 xml:space="preserve">Subsidiarity (for non-exclusive competence) </w:t>
      </w:r>
    </w:p>
    <w:p w:rsidR="004A5E08" w:rsidRPr="005A3B25" w:rsidRDefault="004A5E08" w:rsidP="004A5E08">
      <w:pPr>
        <w:rPr>
          <w:noProof/>
        </w:rPr>
      </w:pPr>
      <w:r w:rsidRPr="005A3B25">
        <w:rPr>
          <w:noProof/>
        </w:rPr>
        <w:t>The proposal falls under the exclusive competence of the Union. The subsidiarity principle therefore does not apply.</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lastRenderedPageBreak/>
        <w:t>•</w:t>
      </w:r>
      <w:r w:rsidRPr="005A3B25">
        <w:rPr>
          <w:rFonts w:eastAsia="Arial Unicode MS"/>
          <w:noProof/>
          <w:u w:color="000000"/>
          <w:bdr w:val="nil"/>
          <w:lang w:val="en-US" w:eastAsia="en-GB"/>
        </w:rPr>
        <w:tab/>
        <w:t>Proportionality</w:t>
      </w:r>
    </w:p>
    <w:p w:rsidR="004A5E08" w:rsidRPr="005A3B25" w:rsidRDefault="004A5E08" w:rsidP="004A5E08">
      <w:pPr>
        <w:rPr>
          <w:noProof/>
        </w:rPr>
      </w:pPr>
      <w:r w:rsidRPr="005A3B25">
        <w:rPr>
          <w:noProof/>
          <w:szCs w:val="24"/>
          <w:lang w:eastAsia="en-GB"/>
        </w:rPr>
        <w:t>The proposal complies with the principle of proportionality. The measures envisaged are in line with the principles for simplifying procedures for operators engaged in foreign trade, as stated in the Commission communication concerning autonomous tariff suspensions and quotas</w:t>
      </w:r>
      <w:r w:rsidRPr="005A3B25">
        <w:rPr>
          <w:rStyle w:val="FootnoteReference"/>
          <w:noProof/>
        </w:rPr>
        <w:footnoteReference w:id="3"/>
      </w:r>
      <w:r w:rsidRPr="005A3B25">
        <w:rPr>
          <w:noProof/>
          <w:szCs w:val="24"/>
          <w:lang w:eastAsia="en-GB"/>
        </w:rPr>
        <w:t>. This Regulation does not go beyond what is necessary to achieve the objectives pursued in accordance with Article 5(4) of the Treaty on European Union (TEU)</w:t>
      </w:r>
      <w:r w:rsidRPr="005A3B25">
        <w:rPr>
          <w:noProof/>
        </w:rPr>
        <w:t>.</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Choice of the instrument</w:t>
      </w:r>
    </w:p>
    <w:p w:rsidR="004A5E08" w:rsidRPr="005A3B25" w:rsidRDefault="004A5E08" w:rsidP="004A5E08">
      <w:pPr>
        <w:rPr>
          <w:noProof/>
        </w:rPr>
      </w:pPr>
      <w:r w:rsidRPr="005A3B25">
        <w:rPr>
          <w:noProof/>
        </w:rPr>
        <w:t>By virtue of Article 31 of the TFEU, "Common Customs Tariff duties shall be fixed by the Council on a proposal from the Commission". Therefore, a Council regulation is the appropriate instrument.</w:t>
      </w:r>
    </w:p>
    <w:p w:rsidR="004A5E08" w:rsidRPr="005A3B25" w:rsidRDefault="004A5E08" w:rsidP="004A5E08">
      <w:pPr>
        <w:pStyle w:val="ManualHeading1"/>
        <w:rPr>
          <w:noProof/>
        </w:rPr>
      </w:pPr>
      <w:r w:rsidRPr="005A3B25">
        <w:rPr>
          <w:noProof/>
        </w:rPr>
        <w:t>3.</w:t>
      </w:r>
      <w:r w:rsidRPr="005A3B25">
        <w:rPr>
          <w:noProof/>
        </w:rPr>
        <w:tab/>
        <w:t>RESULTS OF EX-POST EVALUATIONS, STAKEHOLDER CONSULTATIONS AND IMPACT ASSESSMENTS</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Ex-post evaluations/fitness checks of existing legislation</w:t>
      </w:r>
    </w:p>
    <w:p w:rsidR="004A5E08" w:rsidRPr="005A3B25" w:rsidRDefault="004A5E08" w:rsidP="004A5E08">
      <w:pPr>
        <w:rPr>
          <w:noProof/>
        </w:rPr>
      </w:pPr>
      <w:r w:rsidRPr="005A3B25">
        <w:rPr>
          <w:noProof/>
        </w:rPr>
        <w:t>The autonomous suspensions scheme was subject to an evaluation study carried out in 2013</w:t>
      </w:r>
      <w:r w:rsidR="00DD4CE4" w:rsidRPr="005A3B25">
        <w:rPr>
          <w:rStyle w:val="FootnoteReference"/>
          <w:noProof/>
        </w:rPr>
        <w:footnoteReference w:id="4"/>
      </w:r>
      <w:r w:rsidRPr="005A3B25">
        <w:rPr>
          <w:noProof/>
        </w:rPr>
        <w:t xml:space="preserve">. The evaluation concluded that the core rationale for the scheme remains valid. The cost savings for EU businesses importing goods under the scheme can be significant. In turn, depending on the product, company and sector, these savings can have wider benefits, such as boosting competitiveness, making production methods more efficient, and creating or keeping jobs in the Union. Details of the savings </w:t>
      </w:r>
      <w:r w:rsidR="00DF2C0E" w:rsidRPr="005A3B25">
        <w:rPr>
          <w:noProof/>
        </w:rPr>
        <w:t xml:space="preserve">stemming from </w:t>
      </w:r>
      <w:r w:rsidRPr="005A3B25">
        <w:rPr>
          <w:noProof/>
        </w:rPr>
        <w:t>this regulation can be found in the attached legislative financial statement.</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Stakeholder consultations</w:t>
      </w:r>
    </w:p>
    <w:p w:rsidR="004A5E08" w:rsidRPr="005A3B25" w:rsidRDefault="004A5E08" w:rsidP="004A5E08">
      <w:pPr>
        <w:rPr>
          <w:noProof/>
        </w:rPr>
      </w:pPr>
      <w:r w:rsidRPr="005A3B25">
        <w:rPr>
          <w:noProof/>
          <w:lang w:eastAsia="en-GB"/>
        </w:rPr>
        <w:t xml:space="preserve">The </w:t>
      </w:r>
      <w:r w:rsidR="009F52A7" w:rsidRPr="005A3B25">
        <w:rPr>
          <w:noProof/>
        </w:rPr>
        <w:t>Economic Tariff Questions Group (</w:t>
      </w:r>
      <w:r w:rsidRPr="005A3B25">
        <w:rPr>
          <w:noProof/>
          <w:lang w:eastAsia="en-GB"/>
        </w:rPr>
        <w:t>ETQG</w:t>
      </w:r>
      <w:r w:rsidR="009F52A7" w:rsidRPr="005A3B25">
        <w:rPr>
          <w:noProof/>
          <w:lang w:eastAsia="en-GB"/>
        </w:rPr>
        <w:t>)</w:t>
      </w:r>
      <w:r w:rsidRPr="005A3B25">
        <w:rPr>
          <w:noProof/>
          <w:lang w:eastAsia="en-GB"/>
        </w:rPr>
        <w:t xml:space="preserve">, which consists of representatives from all Member States plus </w:t>
      </w:r>
      <w:r w:rsidR="00FB6D44" w:rsidRPr="005A3B25">
        <w:rPr>
          <w:noProof/>
          <w:lang w:eastAsia="en-GB"/>
        </w:rPr>
        <w:t>Türkiye</w:t>
      </w:r>
      <w:r w:rsidRPr="005A3B25">
        <w:rPr>
          <w:noProof/>
        </w:rPr>
        <w:t>,</w:t>
      </w:r>
      <w:r w:rsidR="00DF2C0E" w:rsidRPr="005A3B25">
        <w:rPr>
          <w:noProof/>
        </w:rPr>
        <w:t xml:space="preserve"> assisted the Commission in the preparation of this proposal</w:t>
      </w:r>
      <w:r w:rsidR="00CD392B" w:rsidRPr="005A3B25">
        <w:rPr>
          <w:noProof/>
        </w:rPr>
        <w:t>.</w:t>
      </w:r>
      <w:r w:rsidRPr="005A3B25">
        <w:rPr>
          <w:noProof/>
        </w:rPr>
        <w:t xml:space="preserve"> </w:t>
      </w:r>
    </w:p>
    <w:p w:rsidR="004A5E08" w:rsidRPr="005A3B25" w:rsidRDefault="004A5E08" w:rsidP="004A5E08">
      <w:pPr>
        <w:rPr>
          <w:noProof/>
          <w:lang w:eastAsia="en-GB"/>
        </w:rPr>
      </w:pPr>
      <w:r w:rsidRPr="005A3B25">
        <w:rPr>
          <w:noProof/>
          <w:lang w:eastAsia="en-GB"/>
        </w:rPr>
        <w:t xml:space="preserve">The ETQG carefully examined each </w:t>
      </w:r>
      <w:r w:rsidR="00DD4CE4" w:rsidRPr="005A3B25">
        <w:rPr>
          <w:noProof/>
          <w:lang w:eastAsia="en-GB"/>
        </w:rPr>
        <w:t>request</w:t>
      </w:r>
      <w:r w:rsidRPr="005A3B25">
        <w:rPr>
          <w:noProof/>
          <w:lang w:eastAsia="en-GB"/>
        </w:rPr>
        <w:t xml:space="preserve"> to ensure that it would not cause any harm to Union enterprises and would strengthen and consolidate the competitiveness of Union's production. The members of the ETQG carried out the assessment through discussions, and Member States, in turn, consulted the concerned industries, associations, chambers of commerce and other stakeholders involved.</w:t>
      </w:r>
    </w:p>
    <w:p w:rsidR="004A5E08" w:rsidRPr="005A3B25" w:rsidRDefault="00DF2C0E" w:rsidP="004A5E08">
      <w:pPr>
        <w:rPr>
          <w:noProof/>
        </w:rPr>
      </w:pPr>
      <w:r w:rsidRPr="005A3B25">
        <w:rPr>
          <w:noProof/>
        </w:rPr>
        <w:t xml:space="preserve">All listed suspensions correspond to agreements or compromises reached in the discussions of the ETQG. </w:t>
      </w:r>
      <w:r w:rsidR="004A5E08" w:rsidRPr="005A3B25">
        <w:rPr>
          <w:noProof/>
        </w:rPr>
        <w:t>No potential serious risk with irreversible consequences was identified</w:t>
      </w:r>
      <w:r w:rsidRPr="005A3B25">
        <w:rPr>
          <w:noProof/>
        </w:rPr>
        <w:t>.</w:t>
      </w:r>
      <w:r w:rsidR="004A5E08" w:rsidRPr="005A3B25">
        <w:rPr>
          <w:noProof/>
        </w:rPr>
        <w:t xml:space="preserve"> </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Impact assessment</w:t>
      </w:r>
    </w:p>
    <w:p w:rsidR="004A5E08" w:rsidRPr="005A3B25" w:rsidRDefault="004A5E08" w:rsidP="004A5E08">
      <w:pPr>
        <w:rPr>
          <w:noProof/>
        </w:rPr>
      </w:pPr>
      <w:r w:rsidRPr="005A3B25">
        <w:rPr>
          <w:noProof/>
        </w:rPr>
        <w:t xml:space="preserve">The proposed amendment is of a purely technical nature and concerns only the coverage of the suspensions currently listed in the Annex to Council Regulation (EU) No 2021/2278. An impact assessment was not carried out because the proposed changes in the list of products </w:t>
      </w:r>
      <w:r w:rsidRPr="005A3B25">
        <w:rPr>
          <w:noProof/>
        </w:rPr>
        <w:lastRenderedPageBreak/>
        <w:t xml:space="preserve">that would benefit from the autonomous </w:t>
      </w:r>
      <w:r w:rsidR="005917C2" w:rsidRPr="005A3B25">
        <w:rPr>
          <w:noProof/>
        </w:rPr>
        <w:t xml:space="preserve">suspension of </w:t>
      </w:r>
      <w:r w:rsidRPr="005A3B25">
        <w:rPr>
          <w:noProof/>
        </w:rPr>
        <w:t>Common Customs Tariff duties are not expected to have significant impacts.</w:t>
      </w:r>
    </w:p>
    <w:p w:rsidR="004A5E08" w:rsidRPr="005A3B25" w:rsidRDefault="004A5E08" w:rsidP="004A5E08">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Fundamental rights</w:t>
      </w:r>
    </w:p>
    <w:p w:rsidR="004A5E08" w:rsidRPr="005A3B25" w:rsidRDefault="004A5E08" w:rsidP="004A5E08">
      <w:pPr>
        <w:rPr>
          <w:noProof/>
        </w:rPr>
      </w:pPr>
      <w:r w:rsidRPr="005A3B25">
        <w:rPr>
          <w:noProof/>
        </w:rPr>
        <w:t>The proposal has no consequences on fundamental rights.</w:t>
      </w:r>
    </w:p>
    <w:p w:rsidR="004A5E08" w:rsidRPr="005A3B25" w:rsidRDefault="004A5E08" w:rsidP="004A5E08">
      <w:pPr>
        <w:pStyle w:val="ManualHeading1"/>
        <w:rPr>
          <w:noProof/>
        </w:rPr>
      </w:pPr>
      <w:r w:rsidRPr="005A3B25">
        <w:rPr>
          <w:noProof/>
        </w:rPr>
        <w:t>4.</w:t>
      </w:r>
      <w:r w:rsidRPr="005A3B25">
        <w:rPr>
          <w:noProof/>
        </w:rPr>
        <w:tab/>
        <w:t>BUDGETARY IMPLICATIONS</w:t>
      </w:r>
    </w:p>
    <w:p w:rsidR="00E92306" w:rsidRPr="005A3B25" w:rsidRDefault="00E92306" w:rsidP="00C153E2">
      <w:pPr>
        <w:rPr>
          <w:noProof/>
        </w:rPr>
      </w:pPr>
      <w:bookmarkStart w:id="1" w:name="_Hlk191656121"/>
      <w:r w:rsidRPr="005A3B25">
        <w:rPr>
          <w:noProof/>
        </w:rPr>
        <w:t>This proposal has no financial impact on expenditure</w:t>
      </w:r>
      <w:r w:rsidR="003F0F7B" w:rsidRPr="005A3B25">
        <w:rPr>
          <w:noProof/>
        </w:rPr>
        <w:t>,</w:t>
      </w:r>
      <w:r w:rsidRPr="005A3B25">
        <w:rPr>
          <w:noProof/>
        </w:rPr>
        <w:t xml:space="preserve"> but has a financial impact on revenue. </w:t>
      </w:r>
      <w:r w:rsidR="004A5E08" w:rsidRPr="00D95086">
        <w:rPr>
          <w:noProof/>
        </w:rPr>
        <w:t>Uncollected customs</w:t>
      </w:r>
      <w:r w:rsidRPr="00D95086">
        <w:rPr>
          <w:noProof/>
        </w:rPr>
        <w:t xml:space="preserve"> duties corresponding to </w:t>
      </w:r>
      <w:r w:rsidR="004A5E08" w:rsidRPr="00D95086">
        <w:rPr>
          <w:noProof/>
        </w:rPr>
        <w:t xml:space="preserve">the suspension </w:t>
      </w:r>
      <w:r w:rsidR="0036432E" w:rsidRPr="00D95086">
        <w:rPr>
          <w:noProof/>
        </w:rPr>
        <w:t xml:space="preserve">will </w:t>
      </w:r>
      <w:r w:rsidR="004A5E08" w:rsidRPr="00D95086">
        <w:rPr>
          <w:noProof/>
        </w:rPr>
        <w:t>amount approximately</w:t>
      </w:r>
      <w:r w:rsidRPr="00D95086">
        <w:rPr>
          <w:noProof/>
        </w:rPr>
        <w:t xml:space="preserve"> EUR</w:t>
      </w:r>
      <w:r w:rsidR="00F90352" w:rsidRPr="00D95086">
        <w:rPr>
          <w:noProof/>
        </w:rPr>
        <w:t xml:space="preserve"> </w:t>
      </w:r>
      <w:r w:rsidR="000B17CC" w:rsidRPr="00D95086">
        <w:rPr>
          <w:noProof/>
        </w:rPr>
        <w:t>10 677 422</w:t>
      </w:r>
      <w:r w:rsidR="00F90352" w:rsidRPr="00D95086">
        <w:rPr>
          <w:noProof/>
        </w:rPr>
        <w:t xml:space="preserve"> </w:t>
      </w:r>
      <w:r w:rsidRPr="00D95086">
        <w:rPr>
          <w:noProof/>
        </w:rPr>
        <w:t xml:space="preserve">per year. The </w:t>
      </w:r>
      <w:r w:rsidR="004A5E08" w:rsidRPr="00D95086">
        <w:rPr>
          <w:noProof/>
        </w:rPr>
        <w:t>negative</w:t>
      </w:r>
      <w:r w:rsidRPr="00D95086">
        <w:rPr>
          <w:noProof/>
        </w:rPr>
        <w:t xml:space="preserve"> effect on the </w:t>
      </w:r>
      <w:r w:rsidR="004A5E08" w:rsidRPr="00D95086">
        <w:rPr>
          <w:noProof/>
        </w:rPr>
        <w:t xml:space="preserve">budget’s </w:t>
      </w:r>
      <w:r w:rsidRPr="00D95086">
        <w:rPr>
          <w:noProof/>
        </w:rPr>
        <w:t xml:space="preserve">traditional own resources </w:t>
      </w:r>
      <w:r w:rsidR="004A5E08" w:rsidRPr="00D95086">
        <w:rPr>
          <w:noProof/>
        </w:rPr>
        <w:t xml:space="preserve">is </w:t>
      </w:r>
      <w:r w:rsidRPr="00D95086">
        <w:rPr>
          <w:noProof/>
        </w:rPr>
        <w:t>EUR</w:t>
      </w:r>
      <w:r w:rsidR="004A5E08" w:rsidRPr="00D95086">
        <w:rPr>
          <w:noProof/>
        </w:rPr>
        <w:t xml:space="preserve"> </w:t>
      </w:r>
      <w:r w:rsidR="000B17CC" w:rsidRPr="00D95086">
        <w:rPr>
          <w:noProof/>
        </w:rPr>
        <w:t>8 008 067</w:t>
      </w:r>
      <w:r w:rsidRPr="00D95086">
        <w:rPr>
          <w:noProof/>
        </w:rPr>
        <w:t xml:space="preserve"> per year (</w:t>
      </w:r>
      <w:r w:rsidR="004A5E08" w:rsidRPr="00D95086">
        <w:rPr>
          <w:noProof/>
        </w:rPr>
        <w:t xml:space="preserve">i.e. </w:t>
      </w:r>
      <w:r w:rsidRPr="00D95086">
        <w:rPr>
          <w:noProof/>
        </w:rPr>
        <w:t>75 % of the total). The</w:t>
      </w:r>
      <w:r w:rsidRPr="005A3B25">
        <w:rPr>
          <w:noProof/>
        </w:rPr>
        <w:t xml:space="preserve"> legislative financial statement sets out the budgetary implications of the proposal in greater detail.</w:t>
      </w:r>
    </w:p>
    <w:p w:rsidR="004A5E08" w:rsidRPr="005A3B25" w:rsidRDefault="004A5E08" w:rsidP="00151F04">
      <w:pPr>
        <w:rPr>
          <w:noProof/>
        </w:rPr>
      </w:pPr>
      <w:r w:rsidRPr="005A3B25">
        <w:rPr>
          <w:noProof/>
        </w:rPr>
        <w:t>The loss of revenue in traditional own resources shall be compensated by Member States Gross National Income (GNI) based on resource contributions.</w:t>
      </w:r>
    </w:p>
    <w:bookmarkEnd w:id="1"/>
    <w:p w:rsidR="004A5E08" w:rsidRPr="005A3B25" w:rsidRDefault="004A5E08" w:rsidP="00151F04">
      <w:pPr>
        <w:pStyle w:val="ManualHeading1"/>
        <w:rPr>
          <w:noProof/>
        </w:rPr>
      </w:pPr>
      <w:r w:rsidRPr="005A3B25">
        <w:rPr>
          <w:noProof/>
        </w:rPr>
        <w:t>5.</w:t>
      </w:r>
      <w:r w:rsidRPr="005A3B25">
        <w:rPr>
          <w:noProof/>
        </w:rPr>
        <w:tab/>
        <w:t>OTHER ELEMENTS</w:t>
      </w:r>
    </w:p>
    <w:p w:rsidR="004A5E08" w:rsidRPr="005A3B25" w:rsidRDefault="004A5E08" w:rsidP="00151F04">
      <w:pPr>
        <w:pStyle w:val="ManualHeading2"/>
        <w:rPr>
          <w:rFonts w:eastAsia="Arial Unicode MS"/>
          <w:noProof/>
          <w:u w:color="000000"/>
          <w:bdr w:val="nil"/>
          <w:lang w:val="en-US" w:eastAsia="en-GB"/>
        </w:rPr>
      </w:pPr>
      <w:r w:rsidRPr="005A3B25">
        <w:rPr>
          <w:rFonts w:eastAsia="Arial Unicode MS"/>
          <w:noProof/>
          <w:u w:color="000000"/>
          <w:bdr w:val="nil"/>
          <w:lang w:val="en-US" w:eastAsia="en-GB"/>
        </w:rPr>
        <w:t>•</w:t>
      </w:r>
      <w:r w:rsidRPr="005A3B25">
        <w:rPr>
          <w:rFonts w:eastAsia="Arial Unicode MS"/>
          <w:noProof/>
          <w:u w:color="000000"/>
          <w:bdr w:val="nil"/>
          <w:lang w:val="en-US" w:eastAsia="en-GB"/>
        </w:rPr>
        <w:tab/>
        <w:t>Implementation plans and monitoring, evaluation and reporting arrangements</w:t>
      </w:r>
    </w:p>
    <w:p w:rsidR="004A5E08" w:rsidRPr="005A3B25" w:rsidRDefault="004A5E08" w:rsidP="00151F04">
      <w:pPr>
        <w:rPr>
          <w:noProof/>
        </w:rPr>
      </w:pPr>
      <w:r w:rsidRPr="005A3B25">
        <w:rPr>
          <w:noProof/>
        </w:rPr>
        <w:t xml:space="preserve">The </w:t>
      </w:r>
      <w:r w:rsidR="00DF2C0E" w:rsidRPr="005A3B25">
        <w:rPr>
          <w:noProof/>
        </w:rPr>
        <w:t xml:space="preserve">proposed </w:t>
      </w:r>
      <w:r w:rsidRPr="005A3B25">
        <w:rPr>
          <w:noProof/>
        </w:rPr>
        <w:t>measures are managed within the framework of the Integrated Tariff of the European Union (TARIC) and applied by customs administrations of the Member States.</w:t>
      </w:r>
    </w:p>
    <w:p w:rsidR="004A5E08" w:rsidRPr="005A3B25" w:rsidRDefault="004A5E08" w:rsidP="00151F04">
      <w:pPr>
        <w:rPr>
          <w:noProof/>
          <w:lang w:val="en-US" w:eastAsia="en-GB"/>
        </w:rPr>
        <w:sectPr w:rsidR="004A5E08" w:rsidRPr="005A3B25" w:rsidSect="00C01694">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pgNumType w:start="1"/>
          <w:cols w:space="708"/>
          <w:docGrid w:linePitch="360"/>
        </w:sectPr>
      </w:pPr>
    </w:p>
    <w:p w:rsidR="00B231E3" w:rsidRDefault="00541CA9">
      <w:pPr>
        <w:pStyle w:val="Rfrenceinterinstitutionnelle"/>
        <w:rPr>
          <w:noProof/>
        </w:rPr>
      </w:pPr>
      <w:r>
        <w:rPr>
          <w:noProof/>
        </w:rPr>
        <w:lastRenderedPageBreak/>
        <w:t>2026/0095 (NLE)</w:t>
      </w:r>
    </w:p>
    <w:p w:rsidR="004A5E08" w:rsidRPr="005A3B25" w:rsidRDefault="00A451D5" w:rsidP="00A451D5">
      <w:pPr>
        <w:pStyle w:val="Statut"/>
        <w:rPr>
          <w:noProof/>
        </w:rPr>
      </w:pPr>
      <w:r w:rsidRPr="00A451D5">
        <w:rPr>
          <w:noProof/>
        </w:rPr>
        <w:t>Proposal for a</w:t>
      </w:r>
    </w:p>
    <w:p w:rsidR="004A5E08" w:rsidRPr="005A3B25" w:rsidRDefault="00A451D5" w:rsidP="00A451D5">
      <w:pPr>
        <w:pStyle w:val="Typedudocument"/>
        <w:rPr>
          <w:noProof/>
        </w:rPr>
      </w:pPr>
      <w:r w:rsidRPr="00A451D5">
        <w:rPr>
          <w:noProof/>
        </w:rPr>
        <w:t>COUNCIL REGULATION</w:t>
      </w:r>
    </w:p>
    <w:p w:rsidR="00F72A3C" w:rsidRPr="005A3B25" w:rsidRDefault="00A451D5" w:rsidP="00A451D5">
      <w:pPr>
        <w:pStyle w:val="Titreobjet"/>
        <w:rPr>
          <w:noProof/>
        </w:rPr>
      </w:pPr>
      <w:r w:rsidRPr="00A451D5">
        <w:rPr>
          <w:noProof/>
        </w:rPr>
        <w:t>amending Regulation (EU) 2021/2278 suspending the Common Customs Tariff duties referred to in Article 56(2), point (c), of Regulation (EU) No 952/2013 of the European Parliament and of the Council on certain agricultural and industrial products</w:t>
      </w:r>
    </w:p>
    <w:p w:rsidR="004A5E08" w:rsidRPr="005A3B25" w:rsidRDefault="004A5E08" w:rsidP="00151F04">
      <w:pPr>
        <w:pStyle w:val="Institutionquiagit"/>
        <w:rPr>
          <w:noProof/>
        </w:rPr>
      </w:pPr>
      <w:r w:rsidRPr="005A3B25">
        <w:rPr>
          <w:noProof/>
        </w:rPr>
        <w:t>THE COUNCIL OF THE EUROPEAN UNION,</w:t>
      </w:r>
    </w:p>
    <w:p w:rsidR="004A5E08" w:rsidRPr="005A3B25" w:rsidRDefault="004A5E08" w:rsidP="00151F04">
      <w:pPr>
        <w:rPr>
          <w:noProof/>
        </w:rPr>
      </w:pPr>
      <w:r w:rsidRPr="005A3B25">
        <w:rPr>
          <w:noProof/>
        </w:rPr>
        <w:t>Having regard to the Treaty on the Functioning of the European Union, and in particular Article 31 thereof,</w:t>
      </w:r>
    </w:p>
    <w:p w:rsidR="004A5E08" w:rsidRPr="005A3B25" w:rsidRDefault="004A5E08" w:rsidP="00151F04">
      <w:pPr>
        <w:rPr>
          <w:noProof/>
        </w:rPr>
      </w:pPr>
      <w:r w:rsidRPr="005A3B25">
        <w:rPr>
          <w:noProof/>
        </w:rPr>
        <w:t>Having regard to the proposal from the European Commission,</w:t>
      </w:r>
    </w:p>
    <w:p w:rsidR="004A5E08" w:rsidRPr="005A3B25" w:rsidRDefault="004A5E08" w:rsidP="00151F04">
      <w:pPr>
        <w:rPr>
          <w:noProof/>
        </w:rPr>
      </w:pPr>
      <w:r w:rsidRPr="005A3B25">
        <w:rPr>
          <w:noProof/>
        </w:rPr>
        <w:t>Whereas:</w:t>
      </w:r>
    </w:p>
    <w:p w:rsidR="0075670A" w:rsidRPr="005A3B25" w:rsidRDefault="0075670A" w:rsidP="0075670A">
      <w:pPr>
        <w:pStyle w:val="ManualConsidrant"/>
        <w:rPr>
          <w:noProof/>
        </w:rPr>
      </w:pPr>
      <w:r>
        <w:rPr>
          <w:noProof/>
        </w:rPr>
        <w:t>(1)</w:t>
      </w:r>
      <w:r>
        <w:rPr>
          <w:noProof/>
        </w:rPr>
        <w:tab/>
      </w:r>
      <w:r w:rsidRPr="005A3B25">
        <w:rPr>
          <w:noProof/>
        </w:rPr>
        <w:t>In order to ensure a sufficient and uninterrupted supply of certain agricultural and industrial products which are not produced in the Union</w:t>
      </w:r>
      <w:r w:rsidR="004F66C4">
        <w:rPr>
          <w:noProof/>
        </w:rPr>
        <w:t>,</w:t>
      </w:r>
      <w:r w:rsidRPr="005A3B25">
        <w:rPr>
          <w:noProof/>
        </w:rPr>
        <w:t xml:space="preserve"> and thereby avoid any disturbances on the market for those products, Common Customs Tariff duties of the type referred to in Article 56(2), point (c), of Regulation (EU) No 952/2013 of the European Parliament and of the Council</w:t>
      </w:r>
      <w:r w:rsidRPr="005A3B25">
        <w:rPr>
          <w:rStyle w:val="FootnoteReference"/>
          <w:noProof/>
        </w:rPr>
        <w:footnoteReference w:id="5"/>
      </w:r>
      <w:r w:rsidRPr="005A3B25">
        <w:rPr>
          <w:noProof/>
        </w:rPr>
        <w:t xml:space="preserve"> (‘CCT duties’)</w:t>
      </w:r>
      <w:r w:rsidRPr="005A3B25">
        <w:rPr>
          <w:noProof/>
          <w:color w:val="444444"/>
          <w:sz w:val="27"/>
          <w:szCs w:val="27"/>
        </w:rPr>
        <w:t xml:space="preserve"> </w:t>
      </w:r>
      <w:r w:rsidRPr="005A3B25">
        <w:rPr>
          <w:noProof/>
        </w:rPr>
        <w:t>on those products have been suspended by Council Regulation (EU) 2021/2278</w:t>
      </w:r>
      <w:r w:rsidRPr="005A3B25">
        <w:rPr>
          <w:rStyle w:val="FootnoteReference"/>
          <w:noProof/>
        </w:rPr>
        <w:footnoteReference w:id="6"/>
      </w:r>
      <w:r w:rsidRPr="005A3B25">
        <w:rPr>
          <w:noProof/>
        </w:rPr>
        <w:t>. As a result, the products listed in the Annex to Regulation (EU) 2021/2278 can be imported into the Union at reduced or zero duty rates without any limitation as regards their quantity.</w:t>
      </w:r>
    </w:p>
    <w:p w:rsidR="0075670A" w:rsidRPr="005A3B25" w:rsidRDefault="0075670A" w:rsidP="0075670A">
      <w:pPr>
        <w:pStyle w:val="ManualConsidrant"/>
        <w:rPr>
          <w:noProof/>
        </w:rPr>
      </w:pPr>
      <w:r>
        <w:rPr>
          <w:noProof/>
        </w:rPr>
        <w:t>(2)</w:t>
      </w:r>
      <w:r>
        <w:rPr>
          <w:noProof/>
        </w:rPr>
        <w:tab/>
      </w:r>
      <w:r w:rsidRPr="005A3B25">
        <w:rPr>
          <w:noProof/>
        </w:rPr>
        <w:t xml:space="preserve">The Union production of certain products that are not listed in the Annex to Regulation (EU) 2021/2278 is inadequate to meet the specific requirements of the user industries in the Union. As it is in the Union's </w:t>
      </w:r>
      <w:r w:rsidR="00DC02DC" w:rsidRPr="005A3B25">
        <w:rPr>
          <w:noProof/>
        </w:rPr>
        <w:t xml:space="preserve">interest </w:t>
      </w:r>
      <w:r w:rsidRPr="005A3B25">
        <w:rPr>
          <w:noProof/>
        </w:rPr>
        <w:t>to ensure an adequate supply of certain products, and having regard to the fact that identical, equivalent or substitute products are not produced in sufficient quantities within the Union, it is necessary to grant a complete suspension of the CCT duties on those</w:t>
      </w:r>
      <w:r w:rsidR="00AD5549" w:rsidRPr="005A3B25">
        <w:rPr>
          <w:noProof/>
        </w:rPr>
        <w:t xml:space="preserve"> </w:t>
      </w:r>
      <w:r w:rsidRPr="005A3B25">
        <w:rPr>
          <w:noProof/>
        </w:rPr>
        <w:t>products.</w:t>
      </w:r>
    </w:p>
    <w:p w:rsidR="00742DC2" w:rsidRPr="005A3B25" w:rsidRDefault="00742DC2" w:rsidP="0075670A">
      <w:pPr>
        <w:pStyle w:val="ManualConsidrant"/>
        <w:rPr>
          <w:noProof/>
          <w:sz w:val="22"/>
          <w:lang w:val="en-US"/>
        </w:rPr>
      </w:pPr>
      <w:r>
        <w:rPr>
          <w:noProof/>
        </w:rPr>
        <w:t>(3)</w:t>
      </w:r>
      <w:r>
        <w:rPr>
          <w:noProof/>
        </w:rPr>
        <w:tab/>
      </w:r>
      <w:r w:rsidRPr="005A3B25">
        <w:rPr>
          <w:noProof/>
        </w:rPr>
        <w:t>With a</w:t>
      </w:r>
      <w:r w:rsidR="00A4724B">
        <w:rPr>
          <w:noProof/>
        </w:rPr>
        <w:t xml:space="preserve"> </w:t>
      </w:r>
      <w:r w:rsidRPr="005A3B25">
        <w:rPr>
          <w:noProof/>
        </w:rPr>
        <w:t>view to promoting integrated battery production in the Union, a</w:t>
      </w:r>
      <w:r w:rsidR="00A4724B">
        <w:rPr>
          <w:noProof/>
        </w:rPr>
        <w:t xml:space="preserve"> </w:t>
      </w:r>
      <w:r w:rsidRPr="005A3B25">
        <w:rPr>
          <w:noProof/>
        </w:rPr>
        <w:t>partial suspension of the CCT duties should be granted in respect of certain products related to battery production that are currently not listed in the Annex to Regulation (EU) 2021/2278, th</w:t>
      </w:r>
      <w:r w:rsidR="006D6D1C">
        <w:rPr>
          <w:noProof/>
        </w:rPr>
        <w:t xml:space="preserve">e </w:t>
      </w:r>
      <w:r w:rsidRPr="005A3B25">
        <w:rPr>
          <w:noProof/>
        </w:rPr>
        <w:t xml:space="preserve">Union production of which is inadequate to meet the specific </w:t>
      </w:r>
      <w:r w:rsidRPr="005A3B25">
        <w:rPr>
          <w:noProof/>
        </w:rPr>
        <w:lastRenderedPageBreak/>
        <w:t xml:space="preserve">requirements of the user industries in the Union. The mandatory review of those suspensions should </w:t>
      </w:r>
      <w:r w:rsidR="00E064DB">
        <w:rPr>
          <w:noProof/>
        </w:rPr>
        <w:t xml:space="preserve">be </w:t>
      </w:r>
      <w:r w:rsidR="008846F3">
        <w:rPr>
          <w:noProof/>
        </w:rPr>
        <w:t xml:space="preserve">undertaken </w:t>
      </w:r>
      <w:r w:rsidR="002216E2">
        <w:rPr>
          <w:noProof/>
        </w:rPr>
        <w:t xml:space="preserve">by </w:t>
      </w:r>
      <w:r w:rsidRPr="008D75B7">
        <w:rPr>
          <w:noProof/>
        </w:rPr>
        <w:t>31 December 202</w:t>
      </w:r>
      <w:r w:rsidR="00AB2152" w:rsidRPr="008D75B7">
        <w:rPr>
          <w:noProof/>
        </w:rPr>
        <w:t>6</w:t>
      </w:r>
      <w:r w:rsidRPr="008D75B7">
        <w:rPr>
          <w:noProof/>
        </w:rPr>
        <w:t>,</w:t>
      </w:r>
      <w:r w:rsidRPr="005A3B25">
        <w:rPr>
          <w:noProof/>
        </w:rPr>
        <w:t xml:space="preserve"> in order for that review to take into account the short-term evolution of the battery production sector in the Union.</w:t>
      </w:r>
    </w:p>
    <w:p w:rsidR="0075670A" w:rsidRPr="005A3B25" w:rsidRDefault="00742DC2" w:rsidP="0075670A">
      <w:pPr>
        <w:pStyle w:val="ManualConsidrant"/>
        <w:spacing w:after="0" w:line="312" w:lineRule="atLeast"/>
        <w:rPr>
          <w:noProof/>
        </w:rPr>
      </w:pPr>
      <w:r>
        <w:rPr>
          <w:noProof/>
        </w:rPr>
        <w:t>(4)</w:t>
      </w:r>
      <w:r>
        <w:rPr>
          <w:noProof/>
        </w:rPr>
        <w:tab/>
      </w:r>
      <w:r w:rsidRPr="005A3B25">
        <w:rPr>
          <w:noProof/>
        </w:rPr>
        <w:t xml:space="preserve">It is necessary to amend the product description, classification, or end-use requirement for certain </w:t>
      </w:r>
      <w:r w:rsidR="00D151BF" w:rsidRPr="005A3B25">
        <w:rPr>
          <w:noProof/>
        </w:rPr>
        <w:t>products l</w:t>
      </w:r>
      <w:r w:rsidRPr="005A3B25">
        <w:rPr>
          <w:noProof/>
        </w:rPr>
        <w:t>isted in the Annex to Regulation (EU) 2021/2278 in order to take into account technical product developments and economic trends in the market.</w:t>
      </w:r>
      <w:r w:rsidR="0075670A" w:rsidRPr="005A3B25">
        <w:rPr>
          <w:noProof/>
        </w:rPr>
        <w:t xml:space="preserve"> </w:t>
      </w:r>
    </w:p>
    <w:p w:rsidR="004B4AF5" w:rsidRPr="005A3B25" w:rsidRDefault="004B4AF5" w:rsidP="0075670A">
      <w:pPr>
        <w:pStyle w:val="ManualConsidrant"/>
        <w:rPr>
          <w:noProof/>
        </w:rPr>
      </w:pPr>
      <w:r>
        <w:rPr>
          <w:noProof/>
        </w:rPr>
        <w:t>(5)</w:t>
      </w:r>
      <w:r>
        <w:rPr>
          <w:noProof/>
        </w:rPr>
        <w:tab/>
      </w:r>
      <w:r w:rsidRPr="005A3B25">
        <w:rPr>
          <w:noProof/>
        </w:rPr>
        <w:t xml:space="preserve">The Commission has reviewed certain CCT duty suspensions </w:t>
      </w:r>
      <w:r w:rsidR="00D20B42" w:rsidRPr="005A3B25">
        <w:rPr>
          <w:noProof/>
        </w:rPr>
        <w:t xml:space="preserve">for products </w:t>
      </w:r>
      <w:r w:rsidRPr="005A3B25">
        <w:rPr>
          <w:noProof/>
        </w:rPr>
        <w:t>listed in the Annex to Regulation (EU) 2021/2278</w:t>
      </w:r>
      <w:r w:rsidR="004376B7">
        <w:rPr>
          <w:noProof/>
        </w:rPr>
        <w:t>,</w:t>
      </w:r>
      <w:r w:rsidRPr="005A3B25">
        <w:rPr>
          <w:noProof/>
        </w:rPr>
        <w:t xml:space="preserve"> in accordance with Article 2</w:t>
      </w:r>
      <w:r w:rsidR="001C3802" w:rsidRPr="005A3B25">
        <w:rPr>
          <w:noProof/>
        </w:rPr>
        <w:t xml:space="preserve">(2) </w:t>
      </w:r>
      <w:r w:rsidRPr="005A3B25">
        <w:rPr>
          <w:noProof/>
        </w:rPr>
        <w:t xml:space="preserve">of that Regulation. As it is in the interest </w:t>
      </w:r>
      <w:r w:rsidR="00420619" w:rsidRPr="005A3B25">
        <w:rPr>
          <w:noProof/>
        </w:rPr>
        <w:t xml:space="preserve">of the Union </w:t>
      </w:r>
      <w:r w:rsidRPr="005A3B25">
        <w:rPr>
          <w:noProof/>
        </w:rPr>
        <w:t xml:space="preserve">to maintain </w:t>
      </w:r>
      <w:r w:rsidR="006A5FFA" w:rsidRPr="005A3B25">
        <w:rPr>
          <w:noProof/>
        </w:rPr>
        <w:t>the suspensions for</w:t>
      </w:r>
      <w:r w:rsidR="00D151BF" w:rsidRPr="005A3B25">
        <w:rPr>
          <w:noProof/>
        </w:rPr>
        <w:t xml:space="preserve"> </w:t>
      </w:r>
      <w:r w:rsidRPr="005A3B25">
        <w:rPr>
          <w:noProof/>
        </w:rPr>
        <w:t xml:space="preserve">certain </w:t>
      </w:r>
      <w:r w:rsidR="009A7260" w:rsidRPr="005A3B25">
        <w:rPr>
          <w:noProof/>
        </w:rPr>
        <w:t>of th</w:t>
      </w:r>
      <w:r w:rsidR="001C3802" w:rsidRPr="005A3B25">
        <w:rPr>
          <w:noProof/>
        </w:rPr>
        <w:t>o</w:t>
      </w:r>
      <w:r w:rsidR="009A7260" w:rsidRPr="005A3B25">
        <w:rPr>
          <w:noProof/>
        </w:rPr>
        <w:t xml:space="preserve">se </w:t>
      </w:r>
      <w:r w:rsidR="00D56237" w:rsidRPr="005A3B25">
        <w:rPr>
          <w:noProof/>
        </w:rPr>
        <w:t>products</w:t>
      </w:r>
      <w:r w:rsidRPr="005A3B25">
        <w:rPr>
          <w:noProof/>
        </w:rPr>
        <w:t>, new dates should be set for their next mandatory review.</w:t>
      </w:r>
    </w:p>
    <w:p w:rsidR="0075670A" w:rsidRPr="005A3B25" w:rsidRDefault="0075670A" w:rsidP="0075670A">
      <w:pPr>
        <w:pStyle w:val="ManualConsidrant"/>
        <w:rPr>
          <w:noProof/>
        </w:rPr>
      </w:pPr>
      <w:r>
        <w:rPr>
          <w:noProof/>
        </w:rPr>
        <w:t>(6)</w:t>
      </w:r>
      <w:r>
        <w:rPr>
          <w:noProof/>
        </w:rPr>
        <w:tab/>
      </w:r>
      <w:r w:rsidRPr="005A3B25">
        <w:rPr>
          <w:noProof/>
        </w:rPr>
        <w:t>It is no longer in the interest of the Union to maintain the suspension of CCT duties for certain products listed in the Annex to Regulation (EU) 2021/2278. The suspensions for those products should therefore be deleted from that Annex, with effect from 1 J</w:t>
      </w:r>
      <w:r w:rsidR="009E41DF">
        <w:rPr>
          <w:noProof/>
        </w:rPr>
        <w:t>uly</w:t>
      </w:r>
      <w:r w:rsidRPr="005A3B25">
        <w:rPr>
          <w:noProof/>
        </w:rPr>
        <w:t> 202</w:t>
      </w:r>
      <w:r w:rsidR="00AB2152" w:rsidRPr="005A3B25">
        <w:rPr>
          <w:noProof/>
        </w:rPr>
        <w:t>6</w:t>
      </w:r>
      <w:r w:rsidRPr="005A3B25">
        <w:rPr>
          <w:noProof/>
        </w:rPr>
        <w:t>.</w:t>
      </w:r>
      <w:r w:rsidR="004C4D12" w:rsidRPr="005A3B25">
        <w:rPr>
          <w:noProof/>
        </w:rPr>
        <w:t xml:space="preserve"> </w:t>
      </w:r>
    </w:p>
    <w:p w:rsidR="0075670A" w:rsidRPr="005A3B25" w:rsidRDefault="0075670A" w:rsidP="0075670A">
      <w:pPr>
        <w:pStyle w:val="ManualConsidrant"/>
        <w:rPr>
          <w:noProof/>
        </w:rPr>
      </w:pPr>
      <w:r>
        <w:rPr>
          <w:noProof/>
        </w:rPr>
        <w:t>(7)</w:t>
      </w:r>
      <w:r>
        <w:rPr>
          <w:noProof/>
        </w:rPr>
        <w:tab/>
      </w:r>
      <w:r w:rsidRPr="005A3B25">
        <w:rPr>
          <w:noProof/>
        </w:rPr>
        <w:t>Regulation (EU) 2021/2278 should therefore be amended accordingly.</w:t>
      </w:r>
    </w:p>
    <w:p w:rsidR="0075670A" w:rsidRPr="005A3B25" w:rsidRDefault="0075670A" w:rsidP="0075670A">
      <w:pPr>
        <w:pStyle w:val="ManualConsidrant"/>
        <w:rPr>
          <w:noProof/>
        </w:rPr>
      </w:pPr>
      <w:r>
        <w:rPr>
          <w:noProof/>
        </w:rPr>
        <w:t>(8)</w:t>
      </w:r>
      <w:r>
        <w:rPr>
          <w:noProof/>
        </w:rPr>
        <w:tab/>
      </w:r>
      <w:r w:rsidRPr="005A3B25">
        <w:rPr>
          <w:noProof/>
        </w:rPr>
        <w:t>In order to avoid any interruption in the application of the autonomous tariff suspension scheme and to comply with the guidelines set out in the Communication from the Commission of 13 December 2011 concerning autonomous tariff suspensions and quotas, the changes provided for in this Regulation regarding the tariff suspensions for the products concerned should apply from 1 J</w:t>
      </w:r>
      <w:r w:rsidR="009E41DF">
        <w:rPr>
          <w:noProof/>
        </w:rPr>
        <w:t>uly</w:t>
      </w:r>
      <w:r w:rsidRPr="005A3B25">
        <w:rPr>
          <w:noProof/>
        </w:rPr>
        <w:t xml:space="preserve"> 202</w:t>
      </w:r>
      <w:r w:rsidR="00AB2152" w:rsidRPr="005A3B25">
        <w:rPr>
          <w:noProof/>
        </w:rPr>
        <w:t>6</w:t>
      </w:r>
      <w:r w:rsidRPr="005A3B25">
        <w:rPr>
          <w:noProof/>
        </w:rPr>
        <w:t>. This Regulation should therefore enter into force as a matter of urgency,</w:t>
      </w:r>
    </w:p>
    <w:p w:rsidR="004A5E08" w:rsidRPr="005A3B25" w:rsidRDefault="004A5E08" w:rsidP="00151F04">
      <w:pPr>
        <w:pStyle w:val="Formuledadoption"/>
        <w:rPr>
          <w:noProof/>
        </w:rPr>
      </w:pPr>
      <w:r w:rsidRPr="005A3B25">
        <w:rPr>
          <w:noProof/>
        </w:rPr>
        <w:t>HAS ADOPTED THIS REGULATION:</w:t>
      </w:r>
    </w:p>
    <w:p w:rsidR="004A5E08" w:rsidRPr="005A3B25" w:rsidRDefault="004A5E08" w:rsidP="00151F04">
      <w:pPr>
        <w:pStyle w:val="Titrearticle"/>
        <w:rPr>
          <w:noProof/>
        </w:rPr>
      </w:pPr>
      <w:r w:rsidRPr="005A3B25">
        <w:rPr>
          <w:noProof/>
        </w:rPr>
        <w:t>Article 1</w:t>
      </w:r>
    </w:p>
    <w:p w:rsidR="00A07FFB" w:rsidRPr="005A3B25" w:rsidRDefault="004A5E08" w:rsidP="00151F04">
      <w:pPr>
        <w:rPr>
          <w:noProof/>
        </w:rPr>
      </w:pPr>
      <w:r w:rsidRPr="005A3B25">
        <w:rPr>
          <w:noProof/>
        </w:rPr>
        <w:t>The Annex to Regulation (EU) 2021/2278</w:t>
      </w:r>
      <w:r w:rsidR="00902B30" w:rsidRPr="005A3B25">
        <w:rPr>
          <w:noProof/>
        </w:rPr>
        <w:t xml:space="preserve"> </w:t>
      </w:r>
      <w:r w:rsidRPr="005A3B25">
        <w:rPr>
          <w:noProof/>
        </w:rPr>
        <w:t xml:space="preserve">is </w:t>
      </w:r>
      <w:r w:rsidR="00CA3A13" w:rsidRPr="00CA3A13">
        <w:rPr>
          <w:noProof/>
        </w:rPr>
        <w:t xml:space="preserve">amended in accordance with </w:t>
      </w:r>
      <w:r w:rsidR="00A07FFB" w:rsidRPr="005A3B25">
        <w:rPr>
          <w:noProof/>
        </w:rPr>
        <w:t>the Annex to this Regulation.</w:t>
      </w:r>
    </w:p>
    <w:p w:rsidR="004A5E08" w:rsidRPr="005A3B25" w:rsidRDefault="004A5E08" w:rsidP="00151F04">
      <w:pPr>
        <w:pStyle w:val="Titrearticle"/>
        <w:rPr>
          <w:noProof/>
        </w:rPr>
      </w:pPr>
      <w:r w:rsidRPr="005A3B25">
        <w:rPr>
          <w:noProof/>
        </w:rPr>
        <w:t>Article 2</w:t>
      </w:r>
    </w:p>
    <w:p w:rsidR="004A5E08" w:rsidRPr="005A3B25" w:rsidRDefault="004A5E08" w:rsidP="00151F04">
      <w:pPr>
        <w:rPr>
          <w:noProof/>
        </w:rPr>
      </w:pPr>
      <w:r w:rsidRPr="005A3B25">
        <w:rPr>
          <w:noProof/>
        </w:rPr>
        <w:t xml:space="preserve">This Regulation shall enter into force on the day following that of its publication in the </w:t>
      </w:r>
      <w:r w:rsidRPr="005A3B25">
        <w:rPr>
          <w:i/>
          <w:noProof/>
        </w:rPr>
        <w:t>Official Journal of the European Union</w:t>
      </w:r>
      <w:r w:rsidRPr="005A3B25">
        <w:rPr>
          <w:noProof/>
        </w:rPr>
        <w:t xml:space="preserve">. </w:t>
      </w:r>
    </w:p>
    <w:p w:rsidR="004A5E08" w:rsidRPr="00151F04" w:rsidRDefault="004A5E08" w:rsidP="00151F04">
      <w:pPr>
        <w:rPr>
          <w:noProof/>
        </w:rPr>
      </w:pPr>
      <w:r w:rsidRPr="005A3B25">
        <w:rPr>
          <w:noProof/>
        </w:rPr>
        <w:t xml:space="preserve">It shall apply from 1 </w:t>
      </w:r>
      <w:r w:rsidR="00BE6896" w:rsidRPr="005A3B25">
        <w:rPr>
          <w:noProof/>
        </w:rPr>
        <w:t>J</w:t>
      </w:r>
      <w:r w:rsidR="00CF24DF">
        <w:rPr>
          <w:noProof/>
        </w:rPr>
        <w:t>uly</w:t>
      </w:r>
      <w:r w:rsidR="00BE6896" w:rsidRPr="005A3B25">
        <w:rPr>
          <w:noProof/>
        </w:rPr>
        <w:t xml:space="preserve"> 202</w:t>
      </w:r>
      <w:r w:rsidR="00AB2152" w:rsidRPr="005A3B25">
        <w:rPr>
          <w:noProof/>
        </w:rPr>
        <w:t>6</w:t>
      </w:r>
      <w:r w:rsidRPr="005A3B25">
        <w:rPr>
          <w:noProof/>
        </w:rPr>
        <w:t>.</w:t>
      </w:r>
    </w:p>
    <w:p w:rsidR="004A5E08" w:rsidRPr="00151F04" w:rsidRDefault="004A5E08" w:rsidP="00151F04">
      <w:pPr>
        <w:pStyle w:val="Applicationdirecte"/>
        <w:rPr>
          <w:noProof/>
        </w:rPr>
      </w:pPr>
      <w:r w:rsidRPr="00151F04">
        <w:rPr>
          <w:noProof/>
        </w:rPr>
        <w:t>This Regulation shall be binding in its entirety and directly applicable in all Member States.</w:t>
      </w:r>
    </w:p>
    <w:p w:rsidR="004A5E08" w:rsidRPr="00151F04" w:rsidRDefault="00A451D5" w:rsidP="006948B8">
      <w:pPr>
        <w:pStyle w:val="Fait"/>
        <w:rPr>
          <w:noProof/>
        </w:rPr>
      </w:pPr>
      <w:r>
        <w:rPr>
          <w:noProof/>
        </w:rPr>
        <w:t>Done at Brussels,</w:t>
      </w:r>
    </w:p>
    <w:p w:rsidR="004A5E08" w:rsidRPr="00D95086" w:rsidRDefault="004A5E08" w:rsidP="006948B8">
      <w:pPr>
        <w:pStyle w:val="Institutionquisigne"/>
        <w:rPr>
          <w:noProof/>
        </w:rPr>
      </w:pPr>
      <w:r w:rsidRPr="00151F04">
        <w:rPr>
          <w:noProof/>
        </w:rPr>
        <w:tab/>
      </w:r>
      <w:r w:rsidRPr="00D95086">
        <w:rPr>
          <w:noProof/>
        </w:rPr>
        <w:t>For the Council</w:t>
      </w:r>
    </w:p>
    <w:p w:rsidR="004A5E08" w:rsidRPr="00D95086" w:rsidRDefault="004A5E08" w:rsidP="00151F04">
      <w:pPr>
        <w:pStyle w:val="Personnequisigne"/>
        <w:rPr>
          <w:noProof/>
        </w:rPr>
      </w:pPr>
      <w:r w:rsidRPr="00D95086">
        <w:rPr>
          <w:noProof/>
        </w:rPr>
        <w:tab/>
        <w:t>The President</w:t>
      </w:r>
    </w:p>
    <w:p w:rsidR="004A5E08" w:rsidRPr="00D95086" w:rsidRDefault="004A5E08" w:rsidP="00151F04">
      <w:pPr>
        <w:rPr>
          <w:noProof/>
        </w:rPr>
        <w:sectPr w:rsidR="004A5E08" w:rsidRPr="00D95086" w:rsidSect="00C01694">
          <w:footnotePr>
            <w:numRestart w:val="eachSect"/>
          </w:footnotePr>
          <w:pgSz w:w="11907" w:h="16839"/>
          <w:pgMar w:top="1134" w:right="1417" w:bottom="1134" w:left="1417" w:header="709" w:footer="709" w:gutter="0"/>
          <w:cols w:space="708"/>
          <w:docGrid w:linePitch="360"/>
        </w:sectPr>
      </w:pPr>
    </w:p>
    <w:p w:rsidR="004A5E08" w:rsidRPr="00D95086" w:rsidRDefault="004A5E08" w:rsidP="00151F04">
      <w:pPr>
        <w:pStyle w:val="Fichefinanciretitre"/>
        <w:rPr>
          <w:noProof/>
        </w:rPr>
      </w:pPr>
      <w:r w:rsidRPr="00D95086">
        <w:rPr>
          <w:noProof/>
        </w:rPr>
        <w:lastRenderedPageBreak/>
        <w:t>LEGISLATIVE FINANCIAL STATEMENT</w:t>
      </w:r>
    </w:p>
    <w:p w:rsidR="004A5E08" w:rsidRPr="00D95086" w:rsidRDefault="004A5E08" w:rsidP="00151F04">
      <w:pPr>
        <w:pStyle w:val="ManualHeading1"/>
        <w:rPr>
          <w:noProof/>
          <w:szCs w:val="24"/>
        </w:rPr>
      </w:pPr>
      <w:r>
        <w:rPr>
          <w:noProof/>
        </w:rPr>
        <w:t>1.</w:t>
      </w:r>
      <w:r>
        <w:rPr>
          <w:noProof/>
        </w:rPr>
        <w:tab/>
      </w:r>
      <w:r w:rsidRPr="00D95086">
        <w:rPr>
          <w:noProof/>
          <w:szCs w:val="24"/>
        </w:rPr>
        <w:t>NAME OF THE PROPOSAL:</w:t>
      </w:r>
    </w:p>
    <w:p w:rsidR="004A5E08" w:rsidRPr="00D95086" w:rsidRDefault="004A5E08" w:rsidP="00151F04">
      <w:pPr>
        <w:pStyle w:val="Text1"/>
        <w:rPr>
          <w:noProof/>
        </w:rPr>
      </w:pPr>
      <w:r w:rsidRPr="00D95086">
        <w:rPr>
          <w:noProof/>
        </w:rPr>
        <w:t>Proposal for amending Regulation (EU) 2021/2278</w:t>
      </w:r>
      <w:r w:rsidR="00FB6D44" w:rsidRPr="00D95086">
        <w:rPr>
          <w:noProof/>
        </w:rPr>
        <w:t xml:space="preserve"> </w:t>
      </w:r>
      <w:r w:rsidRPr="00D95086">
        <w:rPr>
          <w:noProof/>
        </w:rPr>
        <w:t>suspending the Common Customs Tariff duties referred to in Article 56</w:t>
      </w:r>
      <w:r w:rsidR="008E465A" w:rsidRPr="00D95086">
        <w:rPr>
          <w:noProof/>
        </w:rPr>
        <w:t xml:space="preserve"> </w:t>
      </w:r>
      <w:r w:rsidRPr="00D95086">
        <w:rPr>
          <w:noProof/>
        </w:rPr>
        <w:t xml:space="preserve">(2) point (c) of Regulation (EU) No 952/2013 </w:t>
      </w:r>
      <w:r w:rsidR="00004B01" w:rsidRPr="00D95086">
        <w:rPr>
          <w:noProof/>
        </w:rPr>
        <w:t>of the European Parliament and of the Council</w:t>
      </w:r>
      <w:r w:rsidRPr="00D95086">
        <w:rPr>
          <w:noProof/>
        </w:rPr>
        <w:t xml:space="preserve"> on certain agricultural and industrial products</w:t>
      </w:r>
    </w:p>
    <w:p w:rsidR="004A5E08" w:rsidRPr="00D95086" w:rsidRDefault="004A5E08" w:rsidP="00151F04">
      <w:pPr>
        <w:pStyle w:val="ManualHeading1"/>
        <w:rPr>
          <w:noProof/>
          <w:szCs w:val="24"/>
        </w:rPr>
      </w:pPr>
      <w:r>
        <w:rPr>
          <w:noProof/>
        </w:rPr>
        <w:t>2.</w:t>
      </w:r>
      <w:r>
        <w:rPr>
          <w:noProof/>
        </w:rPr>
        <w:tab/>
      </w:r>
      <w:r w:rsidRPr="00D95086">
        <w:rPr>
          <w:noProof/>
          <w:szCs w:val="24"/>
        </w:rPr>
        <w:t>BUDGET LINES:</w:t>
      </w:r>
    </w:p>
    <w:p w:rsidR="004A5E08" w:rsidRPr="00D95086" w:rsidRDefault="004A5E08" w:rsidP="00151F04">
      <w:pPr>
        <w:pStyle w:val="Text1"/>
        <w:rPr>
          <w:noProof/>
          <w:lang w:val="fr-BE"/>
        </w:rPr>
      </w:pPr>
      <w:r w:rsidRPr="00D95086">
        <w:rPr>
          <w:noProof/>
          <w:lang w:val="fr-BE"/>
        </w:rPr>
        <w:t>Chapter and Article: Chapter 12, Article 120</w:t>
      </w:r>
    </w:p>
    <w:p w:rsidR="004A5E08" w:rsidRPr="00D95086" w:rsidRDefault="004A5E08" w:rsidP="00151F04">
      <w:pPr>
        <w:pStyle w:val="Text1"/>
        <w:rPr>
          <w:noProof/>
        </w:rPr>
      </w:pPr>
      <w:r w:rsidRPr="00D95086">
        <w:rPr>
          <w:noProof/>
        </w:rPr>
        <w:t xml:space="preserve">Amount budgeted for the year </w:t>
      </w:r>
      <w:r w:rsidR="00DB6563" w:rsidRPr="00D95086">
        <w:rPr>
          <w:noProof/>
        </w:rPr>
        <w:t>202</w:t>
      </w:r>
      <w:r w:rsidR="00EB242F" w:rsidRPr="00D95086">
        <w:rPr>
          <w:noProof/>
        </w:rPr>
        <w:t>6</w:t>
      </w:r>
      <w:r w:rsidR="00DB6563" w:rsidRPr="00D95086">
        <w:rPr>
          <w:noProof/>
        </w:rPr>
        <w:t xml:space="preserve">: </w:t>
      </w:r>
      <w:r w:rsidR="00A52C47" w:rsidRPr="00D95086">
        <w:rPr>
          <w:noProof/>
        </w:rPr>
        <w:t>EUR 21 368 300 000</w:t>
      </w:r>
    </w:p>
    <w:p w:rsidR="004A5E08" w:rsidRPr="00D95086" w:rsidRDefault="004A5E08" w:rsidP="00151F04">
      <w:pPr>
        <w:pStyle w:val="ManualHeading1"/>
        <w:rPr>
          <w:noProof/>
          <w:szCs w:val="24"/>
        </w:rPr>
      </w:pPr>
      <w:r>
        <w:rPr>
          <w:noProof/>
        </w:rPr>
        <w:t>3.</w:t>
      </w:r>
      <w:r>
        <w:rPr>
          <w:noProof/>
        </w:rPr>
        <w:tab/>
      </w:r>
      <w:r w:rsidRPr="00D95086">
        <w:rPr>
          <w:noProof/>
          <w:szCs w:val="24"/>
        </w:rPr>
        <w:t>FINANCIAL IMPACT</w:t>
      </w:r>
    </w:p>
    <w:p w:rsidR="004A5E08" w:rsidRPr="00D95086" w:rsidRDefault="004A5E08" w:rsidP="00151F04">
      <w:pPr>
        <w:pStyle w:val="Text1"/>
        <w:rPr>
          <w:noProof/>
        </w:rPr>
      </w:pPr>
      <w:r w:rsidRPr="00D95086">
        <w:rPr>
          <w:noProof/>
        </w:rPr>
        <w:sym w:font="Wingdings" w:char="F0A8"/>
      </w:r>
      <w:r w:rsidRPr="00D95086">
        <w:rPr>
          <w:noProof/>
        </w:rPr>
        <w:tab/>
        <w:t>Proposal has no financial implications</w:t>
      </w:r>
    </w:p>
    <w:p w:rsidR="004A5E08" w:rsidRPr="00D95086" w:rsidRDefault="004A5E08" w:rsidP="00151F04">
      <w:pPr>
        <w:pStyle w:val="Text1"/>
        <w:rPr>
          <w:noProof/>
        </w:rPr>
      </w:pPr>
      <w:r w:rsidRPr="00D95086">
        <w:rPr>
          <w:noProof/>
        </w:rPr>
        <w:t>X Proposal has no financial impact on expenditure but has a financial impact on revenue -</w:t>
      </w:r>
      <w:r w:rsidR="00DF2C0E" w:rsidRPr="00D95086">
        <w:rPr>
          <w:noProof/>
        </w:rPr>
        <w:t xml:space="preserve"> </w:t>
      </w:r>
      <w:r w:rsidRPr="00D95086">
        <w:rPr>
          <w:noProof/>
        </w:rPr>
        <w:t>the effect is as follows:</w:t>
      </w:r>
    </w:p>
    <w:p w:rsidR="004A5E08" w:rsidRPr="00D95086" w:rsidRDefault="004A5E08" w:rsidP="00151F04">
      <w:pPr>
        <w:jc w:val="right"/>
        <w:rPr>
          <w:noProof/>
        </w:rPr>
      </w:pPr>
      <w:bookmarkStart w:id="2" w:name="_Hlk191656785"/>
      <w:r w:rsidRPr="00D95086">
        <w:rPr>
          <w:noProof/>
        </w:rPr>
        <w:t>(EUR million</w:t>
      </w:r>
      <w:r w:rsidR="00960263" w:rsidRPr="00D95086">
        <w:rPr>
          <w:noProof/>
        </w:rPr>
        <w:t xml:space="preserve"> to one decimal place</w:t>
      </w:r>
      <w:r w:rsidRPr="00D95086">
        <w:rPr>
          <w:noProof/>
        </w:rPr>
        <w:t>)</w:t>
      </w:r>
    </w:p>
    <w:bookmarkEnd w:id="2"/>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2"/>
        <w:gridCol w:w="2880"/>
        <w:gridCol w:w="2070"/>
        <w:gridCol w:w="2070"/>
      </w:tblGrid>
      <w:tr w:rsidR="004A5E08" w:rsidRPr="00D95086" w:rsidTr="006560DF">
        <w:trPr>
          <w:gridAfter w:val="2"/>
          <w:wAfter w:w="4140" w:type="dxa"/>
          <w:cantSplit/>
        </w:trPr>
        <w:tc>
          <w:tcPr>
            <w:tcW w:w="1322" w:type="dxa"/>
          </w:tcPr>
          <w:p w:rsidR="004A5E08" w:rsidRPr="00D95086" w:rsidRDefault="004A5E08" w:rsidP="00151F04">
            <w:pPr>
              <w:spacing w:before="0" w:after="0"/>
              <w:jc w:val="left"/>
              <w:rPr>
                <w:noProof/>
                <w:snapToGrid w:val="0"/>
                <w:sz w:val="18"/>
              </w:rPr>
            </w:pPr>
          </w:p>
        </w:tc>
        <w:tc>
          <w:tcPr>
            <w:tcW w:w="2880" w:type="dxa"/>
          </w:tcPr>
          <w:p w:rsidR="004A5E08" w:rsidRPr="00D95086" w:rsidRDefault="004A5E08" w:rsidP="00151F04">
            <w:pPr>
              <w:spacing w:before="0" w:after="0"/>
              <w:jc w:val="left"/>
              <w:rPr>
                <w:noProof/>
                <w:snapToGrid w:val="0"/>
                <w:sz w:val="18"/>
              </w:rPr>
            </w:pPr>
          </w:p>
        </w:tc>
      </w:tr>
      <w:tr w:rsidR="004A5E08" w:rsidRPr="00D95086" w:rsidTr="006560DF">
        <w:trPr>
          <w:cantSplit/>
        </w:trPr>
        <w:tc>
          <w:tcPr>
            <w:tcW w:w="1322" w:type="dxa"/>
          </w:tcPr>
          <w:p w:rsidR="004A5E08" w:rsidRPr="00D95086" w:rsidRDefault="004A5E08" w:rsidP="00151F04">
            <w:pPr>
              <w:spacing w:before="0" w:after="0"/>
              <w:jc w:val="left"/>
              <w:rPr>
                <w:noProof/>
                <w:snapToGrid w:val="0"/>
              </w:rPr>
            </w:pPr>
            <w:r w:rsidRPr="00D95086">
              <w:rPr>
                <w:noProof/>
              </w:rPr>
              <w:t>Budget line</w:t>
            </w:r>
          </w:p>
        </w:tc>
        <w:tc>
          <w:tcPr>
            <w:tcW w:w="2880" w:type="dxa"/>
          </w:tcPr>
          <w:p w:rsidR="004A5E08" w:rsidRPr="00D95086" w:rsidRDefault="004A5E08" w:rsidP="00151F04">
            <w:pPr>
              <w:spacing w:before="0" w:after="0"/>
              <w:jc w:val="center"/>
              <w:rPr>
                <w:noProof/>
                <w:snapToGrid w:val="0"/>
              </w:rPr>
            </w:pPr>
            <w:r w:rsidRPr="00D95086">
              <w:rPr>
                <w:noProof/>
              </w:rPr>
              <w:t>Revenue</w:t>
            </w:r>
          </w:p>
        </w:tc>
        <w:tc>
          <w:tcPr>
            <w:tcW w:w="2070" w:type="dxa"/>
            <w:shd w:val="clear" w:color="auto" w:fill="auto"/>
          </w:tcPr>
          <w:p w:rsidR="004A5E08" w:rsidRPr="00D95086" w:rsidRDefault="00723261" w:rsidP="00151F04">
            <w:pPr>
              <w:spacing w:before="0" w:after="0"/>
              <w:jc w:val="center"/>
              <w:rPr>
                <w:noProof/>
                <w:snapToGrid w:val="0"/>
              </w:rPr>
            </w:pPr>
            <w:r w:rsidRPr="00D95086">
              <w:rPr>
                <w:noProof/>
              </w:rPr>
              <w:t>6</w:t>
            </w:r>
            <w:r w:rsidR="00151C93" w:rsidRPr="00D95086">
              <w:rPr>
                <w:noProof/>
              </w:rPr>
              <w:t xml:space="preserve"> month period, starting dd/mm/yyyy</w:t>
            </w:r>
          </w:p>
        </w:tc>
        <w:tc>
          <w:tcPr>
            <w:tcW w:w="2070" w:type="dxa"/>
            <w:shd w:val="clear" w:color="auto" w:fill="auto"/>
          </w:tcPr>
          <w:p w:rsidR="004A5E08" w:rsidRPr="00D95086" w:rsidRDefault="004A5E08" w:rsidP="00151F04">
            <w:pPr>
              <w:spacing w:before="0" w:after="0"/>
              <w:jc w:val="center"/>
              <w:rPr>
                <w:noProof/>
                <w:snapToGrid w:val="0"/>
              </w:rPr>
            </w:pPr>
            <w:r w:rsidRPr="00D95086">
              <w:rPr>
                <w:noProof/>
                <w:szCs w:val="24"/>
              </w:rPr>
              <w:t xml:space="preserve">[Year: </w:t>
            </w:r>
            <w:r w:rsidR="00723261" w:rsidRPr="00D95086">
              <w:rPr>
                <w:noProof/>
                <w:szCs w:val="24"/>
              </w:rPr>
              <w:t xml:space="preserve">second half of </w:t>
            </w:r>
            <w:r w:rsidR="00CD392B" w:rsidRPr="00D95086">
              <w:rPr>
                <w:noProof/>
                <w:szCs w:val="24"/>
              </w:rPr>
              <w:t>202</w:t>
            </w:r>
            <w:r w:rsidR="00EB242F" w:rsidRPr="00D95086">
              <w:rPr>
                <w:noProof/>
                <w:szCs w:val="24"/>
              </w:rPr>
              <w:t>6</w:t>
            </w:r>
            <w:r w:rsidRPr="00D95086">
              <w:rPr>
                <w:noProof/>
                <w:szCs w:val="24"/>
              </w:rPr>
              <w:t>]</w:t>
            </w:r>
          </w:p>
        </w:tc>
      </w:tr>
      <w:tr w:rsidR="004A5E08" w:rsidRPr="00D95086" w:rsidTr="006560DF">
        <w:trPr>
          <w:cantSplit/>
        </w:trPr>
        <w:tc>
          <w:tcPr>
            <w:tcW w:w="1322" w:type="dxa"/>
            <w:shd w:val="clear" w:color="auto" w:fill="auto"/>
          </w:tcPr>
          <w:p w:rsidR="004A5E08" w:rsidRPr="00D95086" w:rsidRDefault="004A5E08" w:rsidP="00151F04">
            <w:pPr>
              <w:spacing w:before="0" w:after="0"/>
              <w:jc w:val="left"/>
              <w:rPr>
                <w:noProof/>
              </w:rPr>
            </w:pPr>
            <w:r w:rsidRPr="00D95086">
              <w:rPr>
                <w:noProof/>
              </w:rPr>
              <w:t xml:space="preserve">Article 120 </w:t>
            </w:r>
          </w:p>
          <w:p w:rsidR="004A5E08" w:rsidRPr="00D95086" w:rsidRDefault="004A5E08" w:rsidP="00151F04">
            <w:pPr>
              <w:spacing w:before="0" w:after="0"/>
              <w:jc w:val="left"/>
              <w:rPr>
                <w:noProof/>
                <w:snapToGrid w:val="0"/>
              </w:rPr>
            </w:pPr>
          </w:p>
        </w:tc>
        <w:tc>
          <w:tcPr>
            <w:tcW w:w="2880" w:type="dxa"/>
          </w:tcPr>
          <w:p w:rsidR="004A5E08" w:rsidRPr="00D95086" w:rsidRDefault="004A5E08" w:rsidP="00151F04">
            <w:pPr>
              <w:spacing w:before="0" w:after="0"/>
              <w:jc w:val="left"/>
              <w:rPr>
                <w:i/>
                <w:noProof/>
                <w:snapToGrid w:val="0"/>
              </w:rPr>
            </w:pPr>
            <w:r w:rsidRPr="00D95086">
              <w:rPr>
                <w:i/>
                <w:noProof/>
              </w:rPr>
              <w:t>Impact on own resources</w:t>
            </w:r>
          </w:p>
        </w:tc>
        <w:tc>
          <w:tcPr>
            <w:tcW w:w="2070" w:type="dxa"/>
            <w:shd w:val="clear" w:color="auto" w:fill="auto"/>
          </w:tcPr>
          <w:p w:rsidR="004A5E08" w:rsidRPr="00D95086" w:rsidRDefault="004A5E08" w:rsidP="00151F04">
            <w:pPr>
              <w:spacing w:before="0" w:after="0"/>
              <w:jc w:val="left"/>
              <w:rPr>
                <w:noProof/>
                <w:snapToGrid w:val="0"/>
              </w:rPr>
            </w:pPr>
            <w:r w:rsidRPr="00D95086">
              <w:rPr>
                <w:noProof/>
                <w:snapToGrid w:val="0"/>
              </w:rPr>
              <w:t xml:space="preserve">      01/</w:t>
            </w:r>
            <w:r w:rsidR="00CD392B" w:rsidRPr="00D95086">
              <w:rPr>
                <w:noProof/>
                <w:snapToGrid w:val="0"/>
              </w:rPr>
              <w:t>0</w:t>
            </w:r>
            <w:r w:rsidR="00723261" w:rsidRPr="00D95086">
              <w:rPr>
                <w:noProof/>
                <w:snapToGrid w:val="0"/>
              </w:rPr>
              <w:t>7</w:t>
            </w:r>
            <w:r w:rsidRPr="00D95086">
              <w:rPr>
                <w:noProof/>
                <w:snapToGrid w:val="0"/>
              </w:rPr>
              <w:t>/</w:t>
            </w:r>
            <w:r w:rsidR="00CD392B" w:rsidRPr="00D95086">
              <w:rPr>
                <w:noProof/>
                <w:snapToGrid w:val="0"/>
              </w:rPr>
              <w:t>202</w:t>
            </w:r>
            <w:r w:rsidR="00EB242F" w:rsidRPr="00D95086">
              <w:rPr>
                <w:noProof/>
                <w:snapToGrid w:val="0"/>
              </w:rPr>
              <w:t>6</w:t>
            </w:r>
          </w:p>
        </w:tc>
        <w:tc>
          <w:tcPr>
            <w:tcW w:w="2070" w:type="dxa"/>
            <w:shd w:val="clear" w:color="auto" w:fill="auto"/>
          </w:tcPr>
          <w:p w:rsidR="004A5E08" w:rsidRPr="00D95086" w:rsidRDefault="00D95086" w:rsidP="00151F04">
            <w:pPr>
              <w:spacing w:before="0" w:after="0"/>
              <w:jc w:val="center"/>
              <w:rPr>
                <w:noProof/>
                <w:snapToGrid w:val="0"/>
              </w:rPr>
            </w:pPr>
            <w:r w:rsidRPr="00D95086">
              <w:rPr>
                <w:noProof/>
                <w:snapToGrid w:val="0"/>
              </w:rPr>
              <w:t>-</w:t>
            </w:r>
            <w:r w:rsidR="000B17CC" w:rsidRPr="00D95086">
              <w:rPr>
                <w:noProof/>
                <w:snapToGrid w:val="0"/>
              </w:rPr>
              <w:t>4</w:t>
            </w:r>
            <w:r w:rsidRPr="00D95086">
              <w:rPr>
                <w:noProof/>
                <w:snapToGrid w:val="0"/>
              </w:rPr>
              <w:t>,00</w:t>
            </w:r>
          </w:p>
        </w:tc>
      </w:tr>
    </w:tbl>
    <w:p w:rsidR="004A5E08" w:rsidRPr="00D95086" w:rsidRDefault="004A5E08" w:rsidP="00151F04">
      <w:pPr>
        <w:rPr>
          <w:b/>
          <w:i/>
          <w:noProof/>
          <w:snapToGrid w:val="0"/>
        </w:rPr>
      </w:pPr>
    </w:p>
    <w:tbl>
      <w:tblPr>
        <w:tblW w:w="84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6"/>
        <w:gridCol w:w="1321"/>
        <w:gridCol w:w="823"/>
        <w:gridCol w:w="2144"/>
        <w:gridCol w:w="4106"/>
      </w:tblGrid>
      <w:tr w:rsidR="004A5E08" w:rsidRPr="00D95086" w:rsidTr="006560DF">
        <w:trPr>
          <w:gridBefore w:val="1"/>
          <w:wBefore w:w="6" w:type="dxa"/>
          <w:cantSplit/>
        </w:trPr>
        <w:tc>
          <w:tcPr>
            <w:tcW w:w="8394" w:type="dxa"/>
            <w:gridSpan w:val="4"/>
            <w:tcBorders>
              <w:top w:val="single" w:sz="4" w:space="0" w:color="auto"/>
              <w:left w:val="single" w:sz="4" w:space="0" w:color="auto"/>
              <w:bottom w:val="single" w:sz="4" w:space="0" w:color="auto"/>
              <w:right w:val="single" w:sz="4" w:space="0" w:color="auto"/>
            </w:tcBorders>
          </w:tcPr>
          <w:p w:rsidR="004A5E08" w:rsidRPr="00D95086" w:rsidRDefault="004A5E08" w:rsidP="00151F04">
            <w:pPr>
              <w:spacing w:line="276" w:lineRule="auto"/>
              <w:jc w:val="center"/>
              <w:rPr>
                <w:noProof/>
                <w:szCs w:val="24"/>
              </w:rPr>
            </w:pPr>
            <w:r w:rsidRPr="00D95086">
              <w:rPr>
                <w:noProof/>
                <w:szCs w:val="24"/>
              </w:rPr>
              <w:t>Situation following action</w:t>
            </w:r>
          </w:p>
        </w:tc>
      </w:tr>
      <w:tr w:rsidR="004A5E08" w:rsidRPr="00D95086" w:rsidTr="006560DF">
        <w:trPr>
          <w:gridBefore w:val="1"/>
          <w:wBefore w:w="6" w:type="dxa"/>
          <w:cantSplit/>
        </w:trPr>
        <w:tc>
          <w:tcPr>
            <w:tcW w:w="1321" w:type="dxa"/>
            <w:tcBorders>
              <w:top w:val="single" w:sz="4" w:space="0" w:color="auto"/>
              <w:left w:val="single" w:sz="4" w:space="0" w:color="auto"/>
              <w:bottom w:val="single" w:sz="4" w:space="0" w:color="auto"/>
              <w:right w:val="single" w:sz="4" w:space="0" w:color="auto"/>
            </w:tcBorders>
          </w:tcPr>
          <w:p w:rsidR="004A5E08" w:rsidRPr="00D95086" w:rsidRDefault="004A5E08" w:rsidP="00151F04">
            <w:pPr>
              <w:spacing w:line="276" w:lineRule="auto"/>
              <w:jc w:val="center"/>
              <w:rPr>
                <w:noProof/>
                <w:szCs w:val="24"/>
              </w:rPr>
            </w:pPr>
          </w:p>
        </w:tc>
        <w:tc>
          <w:tcPr>
            <w:tcW w:w="7073" w:type="dxa"/>
            <w:gridSpan w:val="3"/>
            <w:tcBorders>
              <w:top w:val="single" w:sz="4" w:space="0" w:color="auto"/>
              <w:left w:val="single" w:sz="4" w:space="0" w:color="auto"/>
              <w:bottom w:val="single" w:sz="4" w:space="0" w:color="auto"/>
              <w:right w:val="single" w:sz="4" w:space="0" w:color="auto"/>
            </w:tcBorders>
          </w:tcPr>
          <w:p w:rsidR="004A5E08" w:rsidRPr="00D95086" w:rsidRDefault="004A5E08" w:rsidP="00151F04">
            <w:pPr>
              <w:spacing w:line="276" w:lineRule="auto"/>
              <w:jc w:val="center"/>
              <w:rPr>
                <w:noProof/>
                <w:szCs w:val="24"/>
              </w:rPr>
            </w:pPr>
            <w:r w:rsidRPr="00D95086">
              <w:rPr>
                <w:noProof/>
                <w:szCs w:val="24"/>
              </w:rPr>
              <w:t>[</w:t>
            </w:r>
            <w:r w:rsidR="00CD392B" w:rsidRPr="00D95086">
              <w:rPr>
                <w:noProof/>
                <w:szCs w:val="24"/>
              </w:rPr>
              <w:t>202</w:t>
            </w:r>
            <w:r w:rsidR="00EB242F" w:rsidRPr="00D95086">
              <w:rPr>
                <w:noProof/>
                <w:szCs w:val="24"/>
              </w:rPr>
              <w:t>6</w:t>
            </w:r>
            <w:r w:rsidR="00CD392B" w:rsidRPr="00D95086">
              <w:rPr>
                <w:noProof/>
                <w:szCs w:val="24"/>
              </w:rPr>
              <w:t> </w:t>
            </w:r>
            <w:r w:rsidR="00FB6D44" w:rsidRPr="00D95086">
              <w:rPr>
                <w:noProof/>
                <w:szCs w:val="24"/>
              </w:rPr>
              <w:t>– </w:t>
            </w:r>
            <w:r w:rsidR="00CD392B" w:rsidRPr="00D95086">
              <w:rPr>
                <w:noProof/>
                <w:szCs w:val="24"/>
              </w:rPr>
              <w:t>20</w:t>
            </w:r>
            <w:r w:rsidR="00EB242F" w:rsidRPr="00D95086">
              <w:rPr>
                <w:noProof/>
                <w:szCs w:val="24"/>
              </w:rPr>
              <w:t>30</w:t>
            </w:r>
            <w:r w:rsidRPr="00D95086">
              <w:rPr>
                <w:noProof/>
                <w:szCs w:val="24"/>
              </w:rPr>
              <w:t>]</w:t>
            </w:r>
          </w:p>
        </w:tc>
      </w:tr>
      <w:tr w:rsidR="004A5E08" w:rsidRPr="00D95086" w:rsidTr="006560DF">
        <w:trPr>
          <w:gridBefore w:val="1"/>
          <w:wBefore w:w="6" w:type="dxa"/>
          <w:cantSplit/>
        </w:trPr>
        <w:tc>
          <w:tcPr>
            <w:tcW w:w="1321" w:type="dxa"/>
            <w:tcBorders>
              <w:top w:val="single" w:sz="4" w:space="0" w:color="auto"/>
              <w:left w:val="single" w:sz="4" w:space="0" w:color="auto"/>
              <w:bottom w:val="single" w:sz="4" w:space="0" w:color="auto"/>
              <w:right w:val="single" w:sz="4" w:space="0" w:color="auto"/>
            </w:tcBorders>
          </w:tcPr>
          <w:p w:rsidR="004A5E08" w:rsidRPr="00D95086" w:rsidRDefault="004A5E08" w:rsidP="00151F04">
            <w:pPr>
              <w:spacing w:line="276" w:lineRule="auto"/>
              <w:rPr>
                <w:noProof/>
                <w:szCs w:val="24"/>
              </w:rPr>
            </w:pPr>
            <w:r w:rsidRPr="00D95086">
              <w:rPr>
                <w:noProof/>
                <w:szCs w:val="24"/>
              </w:rPr>
              <w:t>Article 120</w:t>
            </w:r>
          </w:p>
        </w:tc>
        <w:tc>
          <w:tcPr>
            <w:tcW w:w="7073" w:type="dxa"/>
            <w:gridSpan w:val="3"/>
            <w:tcBorders>
              <w:top w:val="single" w:sz="4" w:space="0" w:color="auto"/>
              <w:left w:val="single" w:sz="4" w:space="0" w:color="auto"/>
              <w:bottom w:val="single" w:sz="4" w:space="0" w:color="auto"/>
              <w:right w:val="single" w:sz="4" w:space="0" w:color="auto"/>
            </w:tcBorders>
          </w:tcPr>
          <w:p w:rsidR="004A5E08" w:rsidRPr="00D95086" w:rsidRDefault="00D95086" w:rsidP="00151F04">
            <w:pPr>
              <w:spacing w:line="276" w:lineRule="auto"/>
              <w:jc w:val="center"/>
              <w:rPr>
                <w:noProof/>
                <w:szCs w:val="24"/>
              </w:rPr>
            </w:pPr>
            <w:r w:rsidRPr="00D95086">
              <w:rPr>
                <w:noProof/>
                <w:szCs w:val="24"/>
              </w:rPr>
              <w:t>-8,</w:t>
            </w:r>
            <w:r w:rsidR="00782F28" w:rsidRPr="00D95086">
              <w:rPr>
                <w:noProof/>
                <w:szCs w:val="24"/>
              </w:rPr>
              <w:t>0</w:t>
            </w:r>
            <w:r w:rsidRPr="00D95086">
              <w:rPr>
                <w:noProof/>
                <w:szCs w:val="24"/>
              </w:rPr>
              <w:t>1</w:t>
            </w:r>
            <w:r w:rsidR="004A5E08" w:rsidRPr="00D95086">
              <w:rPr>
                <w:noProof/>
              </w:rPr>
              <w:t xml:space="preserve"> EUR</w:t>
            </w:r>
            <w:r w:rsidR="004A5E08" w:rsidRPr="00D95086">
              <w:rPr>
                <w:noProof/>
                <w:szCs w:val="24"/>
              </w:rPr>
              <w:t xml:space="preserve"> million/ year</w:t>
            </w:r>
          </w:p>
        </w:tc>
      </w:tr>
      <w:tr w:rsidR="004A5E08" w:rsidRPr="00D95086" w:rsidTr="006560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106" w:type="dxa"/>
        </w:trPr>
        <w:tc>
          <w:tcPr>
            <w:tcW w:w="215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4A5E08" w:rsidRPr="00D95086" w:rsidRDefault="004A5E08" w:rsidP="00151F04">
            <w:pPr>
              <w:pStyle w:val="Text1"/>
              <w:rPr>
                <w:noProof/>
              </w:rPr>
            </w:pPr>
          </w:p>
        </w:tc>
        <w:tc>
          <w:tcPr>
            <w:tcW w:w="2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4A5E08" w:rsidRPr="00D95086" w:rsidRDefault="004A5E08" w:rsidP="00151F04">
            <w:pPr>
              <w:pStyle w:val="Text1"/>
              <w:rPr>
                <w:noProof/>
              </w:rPr>
            </w:pPr>
          </w:p>
        </w:tc>
      </w:tr>
    </w:tbl>
    <w:p w:rsidR="00CE64C9" w:rsidRPr="00D95086" w:rsidRDefault="00CE64C9" w:rsidP="00151F04">
      <w:pPr>
        <w:pStyle w:val="Text1"/>
        <w:rPr>
          <w:noProof/>
        </w:rPr>
      </w:pPr>
      <w:r w:rsidRPr="00D95086">
        <w:rPr>
          <w:noProof/>
        </w:rPr>
        <w:t xml:space="preserve">The Annex contains </w:t>
      </w:r>
      <w:r w:rsidR="00723261" w:rsidRPr="00D95086">
        <w:rPr>
          <w:noProof/>
        </w:rPr>
        <w:t>70</w:t>
      </w:r>
      <w:r w:rsidRPr="00D95086">
        <w:rPr>
          <w:noProof/>
        </w:rPr>
        <w:t xml:space="preserve"> new products. The uncollected duties corresponding to these suspensions, calculated on the basis of requesting Member State projections for the period 202</w:t>
      </w:r>
      <w:r w:rsidR="00EB242F" w:rsidRPr="00D95086">
        <w:rPr>
          <w:noProof/>
        </w:rPr>
        <w:t>6</w:t>
      </w:r>
      <w:r w:rsidRPr="00D95086">
        <w:rPr>
          <w:noProof/>
        </w:rPr>
        <w:t xml:space="preserve"> to 20</w:t>
      </w:r>
      <w:r w:rsidR="00EB242F" w:rsidRPr="00D95086">
        <w:rPr>
          <w:noProof/>
        </w:rPr>
        <w:t>30</w:t>
      </w:r>
      <w:r w:rsidRPr="00D95086">
        <w:rPr>
          <w:noProof/>
        </w:rPr>
        <w:t xml:space="preserve">, amount to EUR </w:t>
      </w:r>
      <w:r w:rsidR="00FF24C1" w:rsidRPr="00D95086">
        <w:rPr>
          <w:noProof/>
        </w:rPr>
        <w:t>1</w:t>
      </w:r>
      <w:r w:rsidR="000B17CC" w:rsidRPr="00D95086">
        <w:rPr>
          <w:noProof/>
        </w:rPr>
        <w:t xml:space="preserve">4 </w:t>
      </w:r>
      <w:r w:rsidR="00FF24C1" w:rsidRPr="00D95086">
        <w:rPr>
          <w:noProof/>
        </w:rPr>
        <w:t>5</w:t>
      </w:r>
      <w:r w:rsidR="000B17CC" w:rsidRPr="00D95086">
        <w:rPr>
          <w:noProof/>
        </w:rPr>
        <w:t>56 827</w:t>
      </w:r>
      <w:r w:rsidR="009F4C40" w:rsidRPr="00D95086">
        <w:rPr>
          <w:noProof/>
        </w:rPr>
        <w:t xml:space="preserve"> </w:t>
      </w:r>
      <w:r w:rsidRPr="00D95086">
        <w:rPr>
          <w:noProof/>
        </w:rPr>
        <w:t>per year.</w:t>
      </w:r>
    </w:p>
    <w:p w:rsidR="00CE64C9" w:rsidRPr="00D95086" w:rsidRDefault="004A5E08" w:rsidP="00151F04">
      <w:pPr>
        <w:pStyle w:val="Text1"/>
        <w:rPr>
          <w:noProof/>
        </w:rPr>
      </w:pPr>
      <w:r w:rsidRPr="00D95086">
        <w:rPr>
          <w:noProof/>
        </w:rPr>
        <w:t xml:space="preserve">On the basis of the existing statistics for preceding years, it would appear, however, necessary to increase this amount by an average factor, estimated at 1,8 to take account of imports into other Member States using the same suspensions. This means uncollected duties of some EUR </w:t>
      </w:r>
      <w:r w:rsidR="00BC08E3" w:rsidRPr="00D95086">
        <w:rPr>
          <w:noProof/>
        </w:rPr>
        <w:t>2</w:t>
      </w:r>
      <w:r w:rsidR="000B17CC" w:rsidRPr="00D95086">
        <w:rPr>
          <w:noProof/>
        </w:rPr>
        <w:t>6 202 289</w:t>
      </w:r>
      <w:r w:rsidR="00565626" w:rsidRPr="00D95086">
        <w:rPr>
          <w:rFonts w:ascii="Arial" w:hAnsi="Arial"/>
          <w:noProof/>
          <w:sz w:val="20"/>
          <w:lang w:val="en-US"/>
        </w:rPr>
        <w:t xml:space="preserve"> </w:t>
      </w:r>
      <w:r w:rsidRPr="00D95086">
        <w:rPr>
          <w:noProof/>
        </w:rPr>
        <w:t>per year.</w:t>
      </w:r>
    </w:p>
    <w:p w:rsidR="004A5E08" w:rsidRPr="00D95086" w:rsidRDefault="000B17CC" w:rsidP="00151F04">
      <w:pPr>
        <w:pStyle w:val="Text1"/>
        <w:rPr>
          <w:noProof/>
        </w:rPr>
      </w:pPr>
      <w:r w:rsidRPr="00D95086">
        <w:rPr>
          <w:noProof/>
        </w:rPr>
        <w:t>20</w:t>
      </w:r>
      <w:r w:rsidR="004A5E08" w:rsidRPr="00D95086">
        <w:rPr>
          <w:noProof/>
        </w:rPr>
        <w:t xml:space="preserve"> products have been withdrawn from this Annex reflecting the reintroduction of customs duties. This represents an increase of EUR </w:t>
      </w:r>
      <w:bookmarkStart w:id="3" w:name="_Hlk208307212"/>
      <w:r w:rsidRPr="00D95086">
        <w:rPr>
          <w:noProof/>
        </w:rPr>
        <w:t>15</w:t>
      </w:r>
      <w:r w:rsidR="00BC08E3" w:rsidRPr="00D95086">
        <w:rPr>
          <w:noProof/>
        </w:rPr>
        <w:t xml:space="preserve"> </w:t>
      </w:r>
      <w:r w:rsidRPr="00D95086">
        <w:rPr>
          <w:noProof/>
        </w:rPr>
        <w:t>524</w:t>
      </w:r>
      <w:r w:rsidR="00BC08E3" w:rsidRPr="00D95086">
        <w:rPr>
          <w:noProof/>
        </w:rPr>
        <w:t xml:space="preserve"> </w:t>
      </w:r>
      <w:r w:rsidRPr="00D95086">
        <w:rPr>
          <w:noProof/>
        </w:rPr>
        <w:t>866</w:t>
      </w:r>
      <w:r w:rsidR="001F2AE3" w:rsidRPr="00D95086">
        <w:rPr>
          <w:noProof/>
        </w:rPr>
        <w:t xml:space="preserve"> </w:t>
      </w:r>
      <w:bookmarkEnd w:id="3"/>
      <w:r w:rsidR="004A5E08" w:rsidRPr="00D95086">
        <w:rPr>
          <w:noProof/>
        </w:rPr>
        <w:t>per year in the collection of duties, a</w:t>
      </w:r>
      <w:r w:rsidR="007D7EEF" w:rsidRPr="00D95086">
        <w:rPr>
          <w:noProof/>
        </w:rPr>
        <w:t>s estimated on the basis of</w:t>
      </w:r>
      <w:r w:rsidR="002C7D0C" w:rsidRPr="00D95086">
        <w:rPr>
          <w:noProof/>
        </w:rPr>
        <w:t xml:space="preserve"> </w:t>
      </w:r>
      <w:r w:rsidR="00CD392B" w:rsidRPr="00D95086">
        <w:rPr>
          <w:noProof/>
        </w:rPr>
        <w:t>202</w:t>
      </w:r>
      <w:r w:rsidR="00723261" w:rsidRPr="00D95086">
        <w:rPr>
          <w:noProof/>
        </w:rPr>
        <w:t>5</w:t>
      </w:r>
      <w:r w:rsidR="00CD392B" w:rsidRPr="00D95086">
        <w:rPr>
          <w:noProof/>
        </w:rPr>
        <w:t xml:space="preserve"> </w:t>
      </w:r>
      <w:r w:rsidR="004A5E08" w:rsidRPr="00D95086">
        <w:rPr>
          <w:noProof/>
        </w:rPr>
        <w:t>statistics.</w:t>
      </w:r>
    </w:p>
    <w:p w:rsidR="004A5E08" w:rsidRPr="00E92306" w:rsidRDefault="004A5E08" w:rsidP="00151F04">
      <w:pPr>
        <w:pStyle w:val="Text1"/>
        <w:rPr>
          <w:noProof/>
        </w:rPr>
      </w:pPr>
      <w:bookmarkStart w:id="4" w:name="_Hlk191656742"/>
      <w:r w:rsidRPr="00D95086">
        <w:rPr>
          <w:noProof/>
        </w:rPr>
        <w:t xml:space="preserve">On the basis of the above, the impact on the loss of revenue for the EU budget resulting from this Regulation is estimated at </w:t>
      </w:r>
      <w:r w:rsidR="000B17CC" w:rsidRPr="00D95086">
        <w:rPr>
          <w:noProof/>
        </w:rPr>
        <w:t xml:space="preserve">26 202 289 </w:t>
      </w:r>
      <w:r w:rsidRPr="00D95086">
        <w:rPr>
          <w:noProof/>
        </w:rPr>
        <w:t xml:space="preserve">– </w:t>
      </w:r>
      <w:r w:rsidR="000B17CC" w:rsidRPr="00D95086">
        <w:rPr>
          <w:noProof/>
        </w:rPr>
        <w:t xml:space="preserve">15 524 866 </w:t>
      </w:r>
      <w:r w:rsidR="007D7EEF" w:rsidRPr="00D95086">
        <w:rPr>
          <w:noProof/>
        </w:rPr>
        <w:t>= EUR</w:t>
      </w:r>
      <w:r w:rsidR="00E92306" w:rsidRPr="00D95086">
        <w:rPr>
          <w:noProof/>
        </w:rPr>
        <w:t xml:space="preserve"> </w:t>
      </w:r>
      <w:r w:rsidR="000B17CC" w:rsidRPr="00D95086">
        <w:rPr>
          <w:noProof/>
        </w:rPr>
        <w:t>10 677 422</w:t>
      </w:r>
      <w:r w:rsidR="001F2AE3" w:rsidRPr="00D95086">
        <w:rPr>
          <w:noProof/>
        </w:rPr>
        <w:t xml:space="preserve"> </w:t>
      </w:r>
      <w:r w:rsidRPr="00D95086">
        <w:rPr>
          <w:noProof/>
        </w:rPr>
        <w:t>(gross amount, including collection costs) x 0,75 = EUR</w:t>
      </w:r>
      <w:r w:rsidR="00E92306" w:rsidRPr="00D95086">
        <w:rPr>
          <w:noProof/>
        </w:rPr>
        <w:t xml:space="preserve"> </w:t>
      </w:r>
      <w:r w:rsidR="000B17CC" w:rsidRPr="00D95086">
        <w:rPr>
          <w:noProof/>
        </w:rPr>
        <w:t>8 008 067</w:t>
      </w:r>
      <w:r w:rsidR="009F5BF7" w:rsidRPr="00D95086">
        <w:rPr>
          <w:noProof/>
        </w:rPr>
        <w:t xml:space="preserve"> </w:t>
      </w:r>
      <w:r w:rsidRPr="00D95086">
        <w:rPr>
          <w:noProof/>
        </w:rPr>
        <w:t>per year.</w:t>
      </w:r>
    </w:p>
    <w:bookmarkEnd w:id="4"/>
    <w:p w:rsidR="004A5E08" w:rsidRPr="00E92306" w:rsidRDefault="004A5E08" w:rsidP="00151F04">
      <w:pPr>
        <w:pStyle w:val="ManualHeading1"/>
        <w:rPr>
          <w:noProof/>
          <w:szCs w:val="24"/>
        </w:rPr>
      </w:pPr>
      <w:r>
        <w:rPr>
          <w:noProof/>
        </w:rPr>
        <w:t>4.</w:t>
      </w:r>
      <w:r>
        <w:rPr>
          <w:noProof/>
        </w:rPr>
        <w:tab/>
      </w:r>
      <w:r w:rsidRPr="00E92306">
        <w:rPr>
          <w:noProof/>
          <w:szCs w:val="24"/>
        </w:rPr>
        <w:t>ANTI-FRAUD MEASURES</w:t>
      </w:r>
    </w:p>
    <w:p w:rsidR="004A5E08" w:rsidRPr="00151F04" w:rsidRDefault="004A5E08" w:rsidP="00151F04">
      <w:pPr>
        <w:pStyle w:val="Text1"/>
        <w:rPr>
          <w:noProof/>
        </w:rPr>
      </w:pPr>
      <w:r w:rsidRPr="00151F04">
        <w:rPr>
          <w:noProof/>
        </w:rPr>
        <w:t>Checks on the end-use of some of the products covered by this Council Regulation will be carried out in accordance with Article 254 of Regulation (EU) No 952/2013.</w:t>
      </w:r>
    </w:p>
    <w:p w:rsidR="004A5E08" w:rsidRDefault="004A5E08" w:rsidP="00151F04">
      <w:pPr>
        <w:pStyle w:val="Text1"/>
        <w:rPr>
          <w:noProof/>
        </w:rPr>
      </w:pPr>
      <w:r w:rsidRPr="00151F04">
        <w:rPr>
          <w:noProof/>
        </w:rPr>
        <w:t>In addition, Member States may carry out any customs controls they deem appropriate under the risk management they undertake, as provided for by Article 46</w:t>
      </w:r>
      <w:r w:rsidRPr="004A5E08">
        <w:rPr>
          <w:noProof/>
        </w:rPr>
        <w:t xml:space="preserve"> of Regulation (EU) No 952/2013.</w:t>
      </w:r>
    </w:p>
    <w:sectPr w:rsidR="004A5E08" w:rsidSect="00C01694">
      <w:footnotePr>
        <w:numRestart w:val="eachSect"/>
      </w:footnotePr>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8CB" w:rsidRDefault="00D438CB">
      <w:r>
        <w:separator/>
      </w:r>
    </w:p>
  </w:endnote>
  <w:endnote w:type="continuationSeparator" w:id="0">
    <w:p w:rsidR="00D438CB" w:rsidRDefault="00D438CB">
      <w:r>
        <w:continuationSeparator/>
      </w:r>
    </w:p>
  </w:endnote>
  <w:endnote w:type="continuationNotice" w:id="1">
    <w:p w:rsidR="00D438CB" w:rsidRDefault="00D438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Pr="00C01694" w:rsidRDefault="00C01694" w:rsidP="00C01694">
    <w:pPr>
      <w:pStyle w:val="Footer"/>
      <w:rPr>
        <w:rFonts w:ascii="Arial" w:hAnsi="Arial" w:cs="Arial"/>
        <w:b/>
        <w:sz w:val="48"/>
      </w:rPr>
    </w:pPr>
    <w:r w:rsidRPr="00C01694">
      <w:rPr>
        <w:rFonts w:ascii="Arial" w:hAnsi="Arial" w:cs="Arial"/>
        <w:b/>
        <w:sz w:val="48"/>
      </w:rPr>
      <w:t>EN</w:t>
    </w:r>
    <w:r w:rsidRPr="00C01694">
      <w:rPr>
        <w:rFonts w:ascii="Arial" w:hAnsi="Arial" w:cs="Arial"/>
        <w:b/>
        <w:sz w:val="48"/>
      </w:rPr>
      <w:tab/>
    </w:r>
    <w:r w:rsidRPr="00C01694">
      <w:rPr>
        <w:rFonts w:ascii="Arial" w:hAnsi="Arial" w:cs="Arial"/>
        <w:b/>
        <w:sz w:val="48"/>
      </w:rPr>
      <w:tab/>
    </w:r>
    <w:r w:rsidRPr="00C01694">
      <w:tab/>
    </w:r>
    <w:r w:rsidRPr="00C016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Pr="00C01694" w:rsidRDefault="00C01694" w:rsidP="00C01694">
    <w:pPr>
      <w:pStyle w:val="Footer"/>
      <w:rPr>
        <w:rFonts w:ascii="Arial" w:hAnsi="Arial" w:cs="Arial"/>
        <w:b/>
        <w:sz w:val="48"/>
      </w:rPr>
    </w:pPr>
    <w:r w:rsidRPr="00C01694">
      <w:rPr>
        <w:rFonts w:ascii="Arial" w:hAnsi="Arial" w:cs="Arial"/>
        <w:b/>
        <w:sz w:val="48"/>
      </w:rPr>
      <w:t>EN</w:t>
    </w:r>
    <w:r w:rsidRPr="00C01694">
      <w:rPr>
        <w:rFonts w:ascii="Arial" w:hAnsi="Arial" w:cs="Arial"/>
        <w:b/>
        <w:sz w:val="48"/>
      </w:rPr>
      <w:tab/>
    </w:r>
    <w:r w:rsidRPr="00C01694">
      <w:rPr>
        <w:rFonts w:ascii="Arial" w:hAnsi="Arial" w:cs="Arial"/>
        <w:b/>
        <w:sz w:val="48"/>
      </w:rPr>
      <w:tab/>
    </w:r>
    <w:r w:rsidRPr="00C01694">
      <w:tab/>
    </w:r>
    <w:r w:rsidRPr="00C016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Default="00C016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Pr="00C01694" w:rsidRDefault="00C01694" w:rsidP="00C01694">
    <w:pPr>
      <w:pStyle w:val="Footer"/>
      <w:rPr>
        <w:rFonts w:ascii="Arial" w:hAnsi="Arial" w:cs="Arial"/>
        <w:b/>
        <w:sz w:val="48"/>
      </w:rPr>
    </w:pPr>
    <w:r w:rsidRPr="00C01694">
      <w:rPr>
        <w:rFonts w:ascii="Arial" w:hAnsi="Arial" w:cs="Arial"/>
        <w:b/>
        <w:sz w:val="48"/>
      </w:rPr>
      <w:t>EN</w:t>
    </w:r>
    <w:r w:rsidRPr="00C01694">
      <w:rPr>
        <w:rFonts w:ascii="Arial" w:hAnsi="Arial" w:cs="Arial"/>
        <w:b/>
        <w:sz w:val="48"/>
      </w:rPr>
      <w:tab/>
    </w:r>
    <w:r>
      <w:fldChar w:fldCharType="begin"/>
    </w:r>
    <w:r>
      <w:instrText xml:space="preserve"> PAGE  \* MERGEFORMAT </w:instrText>
    </w:r>
    <w:r>
      <w:fldChar w:fldCharType="separate"/>
    </w:r>
    <w:r w:rsidR="006948B8">
      <w:rPr>
        <w:noProof/>
      </w:rPr>
      <w:t>5</w:t>
    </w:r>
    <w:r>
      <w:fldChar w:fldCharType="end"/>
    </w:r>
    <w:r>
      <w:tab/>
    </w:r>
    <w:r w:rsidRPr="00C01694">
      <w:tab/>
    </w:r>
    <w:r w:rsidRPr="00C0169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Default="00C01694" w:rsidP="00C01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8CB" w:rsidRDefault="00D438CB">
      <w:r>
        <w:separator/>
      </w:r>
    </w:p>
  </w:footnote>
  <w:footnote w:type="continuationSeparator" w:id="0">
    <w:p w:rsidR="00D438CB" w:rsidRDefault="00D438CB">
      <w:r>
        <w:continuationSeparator/>
      </w:r>
    </w:p>
  </w:footnote>
  <w:footnote w:type="continuationNotice" w:id="1">
    <w:p w:rsidR="00D438CB" w:rsidRDefault="00D438CB">
      <w:pPr>
        <w:spacing w:before="0" w:after="0"/>
      </w:pPr>
    </w:p>
  </w:footnote>
  <w:footnote w:id="2">
    <w:p w:rsidR="00F97099" w:rsidRPr="002B24EA" w:rsidRDefault="00F97099">
      <w:pPr>
        <w:pStyle w:val="FootnoteText"/>
        <w:rPr>
          <w:lang w:val="fi-FI"/>
        </w:rPr>
      </w:pPr>
      <w:r w:rsidRPr="008F7D83">
        <w:rPr>
          <w:rStyle w:val="FootnoteReference"/>
        </w:rPr>
        <w:footnoteRef/>
      </w:r>
      <w:r w:rsidR="008F7D83" w:rsidRPr="002B24EA">
        <w:rPr>
          <w:lang w:val="fi-FI"/>
        </w:rPr>
        <w:tab/>
      </w:r>
      <w:r w:rsidRPr="002B24EA">
        <w:rPr>
          <w:lang w:val="fi-FI"/>
        </w:rPr>
        <w:t>OJ L 466, 29.12.2021, p.1</w:t>
      </w:r>
    </w:p>
  </w:footnote>
  <w:footnote w:id="3">
    <w:p w:rsidR="004A5E08" w:rsidRPr="002B24EA" w:rsidRDefault="004A5E08" w:rsidP="004A5E08">
      <w:pPr>
        <w:pStyle w:val="FootnoteText"/>
        <w:rPr>
          <w:lang w:val="fi-FI"/>
        </w:rPr>
      </w:pPr>
      <w:r w:rsidRPr="00985395">
        <w:rPr>
          <w:rStyle w:val="FootnoteReference"/>
        </w:rPr>
        <w:footnoteRef/>
      </w:r>
      <w:r w:rsidRPr="002B24EA">
        <w:rPr>
          <w:lang w:val="fi-FI"/>
        </w:rPr>
        <w:tab/>
        <w:t>OJ C 363, 13.12.2011, p. 6.</w:t>
      </w:r>
    </w:p>
  </w:footnote>
  <w:footnote w:id="4">
    <w:p w:rsidR="00DD4CE4" w:rsidRPr="002B24EA" w:rsidRDefault="00DD4CE4">
      <w:pPr>
        <w:pStyle w:val="FootnoteText"/>
        <w:rPr>
          <w:lang w:val="fi-FI"/>
        </w:rPr>
      </w:pPr>
      <w:r w:rsidRPr="00422DD6">
        <w:rPr>
          <w:rStyle w:val="FootnoteReference"/>
        </w:rPr>
        <w:footnoteRef/>
      </w:r>
      <w:r w:rsidR="00422DD6">
        <w:rPr>
          <w:lang w:val="fi-FI"/>
        </w:rPr>
        <w:tab/>
      </w:r>
      <w:r w:rsidRPr="002B24EA">
        <w:rPr>
          <w:lang w:val="fi-FI"/>
        </w:rPr>
        <w:t>https://taxation-customs.ec.europa.eu/system/files/2016-09/evaluation_suspensions_duties.pdf</w:t>
      </w:r>
    </w:p>
  </w:footnote>
  <w:footnote w:id="5">
    <w:p w:rsidR="0075670A" w:rsidRPr="00F41A39" w:rsidRDefault="0075670A" w:rsidP="0075670A">
      <w:pPr>
        <w:pStyle w:val="FootnoteText"/>
        <w:rPr>
          <w:lang w:val="en-IE"/>
        </w:rPr>
      </w:pPr>
      <w:r w:rsidRPr="000F0377">
        <w:rPr>
          <w:rStyle w:val="FootnoteReference"/>
        </w:rPr>
        <w:footnoteRef/>
      </w:r>
      <w:r>
        <w:tab/>
        <w:t>Regulation (EU) No 952/2013 of the European Parliament and of the Council of 9 October 2013 laying down the Union Customs Code (OJ L 269, 10.1</w:t>
      </w:r>
      <w:r w:rsidRPr="00B966DC">
        <w:t xml:space="preserve">0.2013, p. 1, </w:t>
      </w:r>
      <w:r w:rsidRPr="008B299A">
        <w:t>ELI: </w:t>
      </w:r>
      <w:hyperlink r:id="rId1" w:tooltip="Gives access to this document through its ELI URI." w:history="1">
        <w:r w:rsidRPr="008B299A">
          <w:rPr>
            <w:rStyle w:val="Hyperlink"/>
          </w:rPr>
          <w:t>http://data.europa.eu/eli/reg/2013/952/oj</w:t>
        </w:r>
      </w:hyperlink>
      <w:r w:rsidRPr="00B966DC">
        <w:t>).</w:t>
      </w:r>
    </w:p>
  </w:footnote>
  <w:footnote w:id="6">
    <w:p w:rsidR="003A5FBC" w:rsidRPr="00605EE7" w:rsidRDefault="0075670A" w:rsidP="003A5FBC">
      <w:pPr>
        <w:pStyle w:val="FootnoteText"/>
      </w:pPr>
      <w:r w:rsidRPr="000F0377">
        <w:rPr>
          <w:rStyle w:val="FootnoteReference"/>
        </w:rPr>
        <w:footnoteRef/>
      </w:r>
      <w:r>
        <w:tab/>
      </w:r>
      <w:r w:rsidRPr="00605EE7">
        <w:t>Council Regulation (EU) 2021/2278 of 20 December 2021 suspending the Common Customs Tariff duties referred to in Article 56(2), point (c), of Regulation (EU) No 952/2013 on certain agricultural and industrial products, and repealing Regulation (EU) No 1387/2013 (OJ L 46</w:t>
      </w:r>
      <w:r>
        <w:t>6</w:t>
      </w:r>
      <w:r w:rsidRPr="00605EE7">
        <w:t>, 29.12.2021, p.</w:t>
      </w:r>
      <w:r>
        <w:t xml:space="preserve"> </w:t>
      </w:r>
      <w:r w:rsidRPr="00B966DC">
        <w:t>1</w:t>
      </w:r>
      <w:r w:rsidRPr="008B299A">
        <w:t>, ELI: </w:t>
      </w:r>
      <w:hyperlink r:id="rId2" w:tooltip="Gives access to this document through its ELI URI." w:history="1">
        <w:r w:rsidRPr="008B299A">
          <w:t>http://data.europa.eu/eli/reg/2021/2278/oj</w:t>
        </w:r>
      </w:hyperlink>
      <w:r w:rsidRPr="00605EE7">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Default="00C01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94" w:rsidRDefault="00C01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B2CA93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4326C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B8E816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F20F3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D24F1C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54259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1E91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72E117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20"/>
  </w:num>
  <w:num w:numId="12">
    <w:abstractNumId w:val="22"/>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activeWritingStyle w:appName="MSWord" w:lang="fi-FI" w:vendorID="64" w:dllVersion="6" w:nlCheck="1" w:checkStyle="0"/>
  <w:activeWritingStyle w:appName="MSWord" w:lang="fi-FI"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120"/>
  <w:displayHorizontalDrawingGridEvery w:val="2"/>
  <w:noPunctuationKerning/>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nsidérant" w:val="Considérant__1"/>
    <w:docVar w:name="Copylist_Path" w:val="\\at100\user\wk\SEILEG\Lw5x\Copylist\CecCons\Template"/>
    <w:docVar w:name="DQCDateTime" w:val="2026-04-22 09:40: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B625DFE-AF1E-486C-A01B-127898682665"/>
    <w:docVar w:name="LW_COVERPAGE_TYPE" w:val="1"/>
    <w:docVar w:name="LW_CROSSREFERENCE" w:val="&lt;UNUSED&gt;"/>
    <w:docVar w:name="LW_DocType" w:val="COM"/>
    <w:docVar w:name="LW_EMISSION" w:val="27.4.2026"/>
    <w:docVar w:name="LW_EMISSION_ISODATE" w:val="2026-04-27"/>
    <w:docVar w:name="LW_EMISSION_LOCATION" w:val="BRX"/>
    <w:docVar w:name="LW_EMISSION_PREFIX" w:val="Brussels, "/>
    <w:docVar w:name="LW_EMISSION_SUFFIX" w:val=" "/>
    <w:docVar w:name="LW_ID_DOCMODEL" w:val="b01"/>
    <w:docVar w:name="LW_ID_DOCSIGNATURE" w:val="SJ-016"/>
    <w:docVar w:name="LW_ID_DOCSTRUCTURE" w:val="COM/PL/ORG"/>
    <w:docVar w:name="LW_ID_DOCTYPE" w:val="SJ-016"/>
    <w:docVar w:name="LW_ID_STATUT" w:val="PROPOSAL"/>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5"/>
    <w:docVar w:name="LW_REF.II.NEW.CP_YEAR" w:val="2026"/>
    <w:docVar w:name="LW_REF.INST.NEW" w:val="COM"/>
    <w:docVar w:name="LW_REF.INST.NEW_ADOPTED" w:val="final"/>
    <w:docVar w:name="LW_REF.INST.NEW_TEXT" w:val="(2026) 1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1/2278 suspending the Common Customs Tariff duties referred to in Article 56(2), point (c), of Regulation (EU) No 952/2013 of the European Parliament and of the Council on certain agricultural and industrial products"/>
    <w:docVar w:name="LW_TITRE.OBJ.CP_PREVIOUS" w:val="&lt;UNUSED&gt;"/>
    <w:docVar w:name="LW_TYPE.DOC.CP" w:val="COUNCIL REGULATION"/>
    <w:docVar w:name="LwApiVersions" w:val="LW4CoDe 1.24.5.0; LW 9.2, Build 20251112"/>
    <w:docVar w:name="VSSDB_IniPath" w:val="\\at100\user\wovo\SEILEG\vss\srcsafe.ini"/>
    <w:docVar w:name="VSSDB_ProjectPath" w:val="$/LegisWrite/DOT/COM"/>
  </w:docVars>
  <w:rsids>
    <w:rsidRoot w:val="00D34740"/>
    <w:rsid w:val="00004B01"/>
    <w:rsid w:val="00004CD3"/>
    <w:rsid w:val="00005907"/>
    <w:rsid w:val="0000704F"/>
    <w:rsid w:val="0000758D"/>
    <w:rsid w:val="00011B3F"/>
    <w:rsid w:val="00012F6C"/>
    <w:rsid w:val="00013EED"/>
    <w:rsid w:val="00014925"/>
    <w:rsid w:val="00015B39"/>
    <w:rsid w:val="00027C1B"/>
    <w:rsid w:val="00030E2C"/>
    <w:rsid w:val="00036EF7"/>
    <w:rsid w:val="00043514"/>
    <w:rsid w:val="00043D79"/>
    <w:rsid w:val="00052BDF"/>
    <w:rsid w:val="00057E8A"/>
    <w:rsid w:val="000628EE"/>
    <w:rsid w:val="00062957"/>
    <w:rsid w:val="0006316B"/>
    <w:rsid w:val="0006339B"/>
    <w:rsid w:val="00063BFE"/>
    <w:rsid w:val="00065769"/>
    <w:rsid w:val="00066EE5"/>
    <w:rsid w:val="00074F2F"/>
    <w:rsid w:val="000753F0"/>
    <w:rsid w:val="00077AC1"/>
    <w:rsid w:val="0008014F"/>
    <w:rsid w:val="00080A36"/>
    <w:rsid w:val="00082AF2"/>
    <w:rsid w:val="00082CC3"/>
    <w:rsid w:val="000849C8"/>
    <w:rsid w:val="00086B1F"/>
    <w:rsid w:val="0008763E"/>
    <w:rsid w:val="000908B3"/>
    <w:rsid w:val="00092294"/>
    <w:rsid w:val="000926F7"/>
    <w:rsid w:val="000937A5"/>
    <w:rsid w:val="000A22D5"/>
    <w:rsid w:val="000A51B0"/>
    <w:rsid w:val="000B0DC4"/>
    <w:rsid w:val="000B17CC"/>
    <w:rsid w:val="000B3B35"/>
    <w:rsid w:val="000B7E7B"/>
    <w:rsid w:val="000C2192"/>
    <w:rsid w:val="000C3019"/>
    <w:rsid w:val="000C52AD"/>
    <w:rsid w:val="000D351A"/>
    <w:rsid w:val="000D5E7C"/>
    <w:rsid w:val="000D71B5"/>
    <w:rsid w:val="000D74CE"/>
    <w:rsid w:val="000E030F"/>
    <w:rsid w:val="000E2825"/>
    <w:rsid w:val="000E3141"/>
    <w:rsid w:val="000E4433"/>
    <w:rsid w:val="000F0140"/>
    <w:rsid w:val="000F1B4C"/>
    <w:rsid w:val="000F2D34"/>
    <w:rsid w:val="000F43BA"/>
    <w:rsid w:val="000F6CCD"/>
    <w:rsid w:val="00102D23"/>
    <w:rsid w:val="00104866"/>
    <w:rsid w:val="001048E2"/>
    <w:rsid w:val="00105CF0"/>
    <w:rsid w:val="00106175"/>
    <w:rsid w:val="00106B04"/>
    <w:rsid w:val="001104FD"/>
    <w:rsid w:val="00110F44"/>
    <w:rsid w:val="00113872"/>
    <w:rsid w:val="00114503"/>
    <w:rsid w:val="00115AC1"/>
    <w:rsid w:val="001163B3"/>
    <w:rsid w:val="001167B1"/>
    <w:rsid w:val="00124213"/>
    <w:rsid w:val="00125406"/>
    <w:rsid w:val="00131343"/>
    <w:rsid w:val="00132626"/>
    <w:rsid w:val="0013507F"/>
    <w:rsid w:val="00137F38"/>
    <w:rsid w:val="00140418"/>
    <w:rsid w:val="00141685"/>
    <w:rsid w:val="00141F5E"/>
    <w:rsid w:val="001469B9"/>
    <w:rsid w:val="00151B11"/>
    <w:rsid w:val="00151C93"/>
    <w:rsid w:val="00151F04"/>
    <w:rsid w:val="001522A0"/>
    <w:rsid w:val="001536A7"/>
    <w:rsid w:val="001570EF"/>
    <w:rsid w:val="00160BC2"/>
    <w:rsid w:val="00160DBF"/>
    <w:rsid w:val="001614B1"/>
    <w:rsid w:val="00162E5B"/>
    <w:rsid w:val="00166C69"/>
    <w:rsid w:val="00167B43"/>
    <w:rsid w:val="001721B8"/>
    <w:rsid w:val="001730F9"/>
    <w:rsid w:val="00173B7F"/>
    <w:rsid w:val="00176841"/>
    <w:rsid w:val="00176AA4"/>
    <w:rsid w:val="001777E5"/>
    <w:rsid w:val="00180CB6"/>
    <w:rsid w:val="00181A9B"/>
    <w:rsid w:val="00185618"/>
    <w:rsid w:val="0018661C"/>
    <w:rsid w:val="00193527"/>
    <w:rsid w:val="001940D8"/>
    <w:rsid w:val="00195D99"/>
    <w:rsid w:val="001A0AB5"/>
    <w:rsid w:val="001A39BD"/>
    <w:rsid w:val="001A47F7"/>
    <w:rsid w:val="001A680C"/>
    <w:rsid w:val="001B1CE8"/>
    <w:rsid w:val="001B20C7"/>
    <w:rsid w:val="001B2D61"/>
    <w:rsid w:val="001B31DC"/>
    <w:rsid w:val="001B5DC5"/>
    <w:rsid w:val="001B7303"/>
    <w:rsid w:val="001C19F7"/>
    <w:rsid w:val="001C1CD7"/>
    <w:rsid w:val="001C3802"/>
    <w:rsid w:val="001C7ABE"/>
    <w:rsid w:val="001D1A88"/>
    <w:rsid w:val="001D1F4F"/>
    <w:rsid w:val="001D28EB"/>
    <w:rsid w:val="001D4B19"/>
    <w:rsid w:val="001D7621"/>
    <w:rsid w:val="001E0B23"/>
    <w:rsid w:val="001E0B57"/>
    <w:rsid w:val="001E1216"/>
    <w:rsid w:val="001E3BBE"/>
    <w:rsid w:val="001E5809"/>
    <w:rsid w:val="001E5A41"/>
    <w:rsid w:val="001E6B33"/>
    <w:rsid w:val="001E7CF8"/>
    <w:rsid w:val="001F1AC9"/>
    <w:rsid w:val="001F2AE3"/>
    <w:rsid w:val="001F5821"/>
    <w:rsid w:val="00200E6D"/>
    <w:rsid w:val="002019B6"/>
    <w:rsid w:val="00204A87"/>
    <w:rsid w:val="00204F34"/>
    <w:rsid w:val="00206290"/>
    <w:rsid w:val="00206B9C"/>
    <w:rsid w:val="00207B91"/>
    <w:rsid w:val="00210953"/>
    <w:rsid w:val="002133F8"/>
    <w:rsid w:val="002167F3"/>
    <w:rsid w:val="00216850"/>
    <w:rsid w:val="0021793A"/>
    <w:rsid w:val="00220003"/>
    <w:rsid w:val="002216E2"/>
    <w:rsid w:val="0022196A"/>
    <w:rsid w:val="00222A8F"/>
    <w:rsid w:val="00223ABB"/>
    <w:rsid w:val="0022487F"/>
    <w:rsid w:val="00231491"/>
    <w:rsid w:val="00234FA1"/>
    <w:rsid w:val="002372EF"/>
    <w:rsid w:val="00242C1C"/>
    <w:rsid w:val="00244BEA"/>
    <w:rsid w:val="00246810"/>
    <w:rsid w:val="00250E99"/>
    <w:rsid w:val="00257A1A"/>
    <w:rsid w:val="00262EA1"/>
    <w:rsid w:val="00263C2D"/>
    <w:rsid w:val="00265CB7"/>
    <w:rsid w:val="00267429"/>
    <w:rsid w:val="00272122"/>
    <w:rsid w:val="002727E3"/>
    <w:rsid w:val="0027443F"/>
    <w:rsid w:val="00281975"/>
    <w:rsid w:val="00281F80"/>
    <w:rsid w:val="0028347A"/>
    <w:rsid w:val="00284102"/>
    <w:rsid w:val="00285D45"/>
    <w:rsid w:val="002867EA"/>
    <w:rsid w:val="0029182F"/>
    <w:rsid w:val="002948B6"/>
    <w:rsid w:val="0029517E"/>
    <w:rsid w:val="00296450"/>
    <w:rsid w:val="002970C6"/>
    <w:rsid w:val="002A0D37"/>
    <w:rsid w:val="002A35D2"/>
    <w:rsid w:val="002A674C"/>
    <w:rsid w:val="002A71FD"/>
    <w:rsid w:val="002A75C0"/>
    <w:rsid w:val="002B1FAD"/>
    <w:rsid w:val="002B24EA"/>
    <w:rsid w:val="002B2C9C"/>
    <w:rsid w:val="002B630D"/>
    <w:rsid w:val="002C182F"/>
    <w:rsid w:val="002C5DFE"/>
    <w:rsid w:val="002C7D0C"/>
    <w:rsid w:val="002D097B"/>
    <w:rsid w:val="002D23B5"/>
    <w:rsid w:val="002D4F29"/>
    <w:rsid w:val="002D730C"/>
    <w:rsid w:val="002E055D"/>
    <w:rsid w:val="002E061F"/>
    <w:rsid w:val="002E3DEA"/>
    <w:rsid w:val="002F0044"/>
    <w:rsid w:val="002F0128"/>
    <w:rsid w:val="002F0C0A"/>
    <w:rsid w:val="002F41D8"/>
    <w:rsid w:val="002F7C22"/>
    <w:rsid w:val="00305B90"/>
    <w:rsid w:val="00307B89"/>
    <w:rsid w:val="0031113D"/>
    <w:rsid w:val="00311487"/>
    <w:rsid w:val="00314D3A"/>
    <w:rsid w:val="00316660"/>
    <w:rsid w:val="00316B51"/>
    <w:rsid w:val="00316D2F"/>
    <w:rsid w:val="0031712C"/>
    <w:rsid w:val="00321631"/>
    <w:rsid w:val="0032242D"/>
    <w:rsid w:val="00327D50"/>
    <w:rsid w:val="00333C0D"/>
    <w:rsid w:val="00335BA8"/>
    <w:rsid w:val="00340A3C"/>
    <w:rsid w:val="003425B7"/>
    <w:rsid w:val="00342FAD"/>
    <w:rsid w:val="00343141"/>
    <w:rsid w:val="00343EE8"/>
    <w:rsid w:val="0034460A"/>
    <w:rsid w:val="00344C1C"/>
    <w:rsid w:val="00347CCE"/>
    <w:rsid w:val="00350308"/>
    <w:rsid w:val="0036326A"/>
    <w:rsid w:val="0036432E"/>
    <w:rsid w:val="003670A2"/>
    <w:rsid w:val="00371CA8"/>
    <w:rsid w:val="00371EA7"/>
    <w:rsid w:val="00377F02"/>
    <w:rsid w:val="00380AB5"/>
    <w:rsid w:val="00381EDF"/>
    <w:rsid w:val="003821F7"/>
    <w:rsid w:val="00384C7B"/>
    <w:rsid w:val="00390288"/>
    <w:rsid w:val="003951D1"/>
    <w:rsid w:val="00397612"/>
    <w:rsid w:val="00397A94"/>
    <w:rsid w:val="003A2491"/>
    <w:rsid w:val="003A5FBC"/>
    <w:rsid w:val="003B0BDD"/>
    <w:rsid w:val="003B20A1"/>
    <w:rsid w:val="003B29D1"/>
    <w:rsid w:val="003B3585"/>
    <w:rsid w:val="003B49E4"/>
    <w:rsid w:val="003B57DD"/>
    <w:rsid w:val="003B5C98"/>
    <w:rsid w:val="003B6B9F"/>
    <w:rsid w:val="003C191B"/>
    <w:rsid w:val="003C2A9D"/>
    <w:rsid w:val="003C4FD7"/>
    <w:rsid w:val="003C51EE"/>
    <w:rsid w:val="003D2939"/>
    <w:rsid w:val="003D2BFA"/>
    <w:rsid w:val="003D5212"/>
    <w:rsid w:val="003D5AE4"/>
    <w:rsid w:val="003E0841"/>
    <w:rsid w:val="003E0C68"/>
    <w:rsid w:val="003E2851"/>
    <w:rsid w:val="003E296E"/>
    <w:rsid w:val="003E3F32"/>
    <w:rsid w:val="003E4445"/>
    <w:rsid w:val="003F0950"/>
    <w:rsid w:val="003F0F7B"/>
    <w:rsid w:val="003F2679"/>
    <w:rsid w:val="003F29BB"/>
    <w:rsid w:val="003F3FE1"/>
    <w:rsid w:val="003F49FA"/>
    <w:rsid w:val="003F6B03"/>
    <w:rsid w:val="003F77DB"/>
    <w:rsid w:val="004021C9"/>
    <w:rsid w:val="004027DA"/>
    <w:rsid w:val="0040317C"/>
    <w:rsid w:val="004046C0"/>
    <w:rsid w:val="004104B5"/>
    <w:rsid w:val="00417EA9"/>
    <w:rsid w:val="00420619"/>
    <w:rsid w:val="00422DD6"/>
    <w:rsid w:val="004243B9"/>
    <w:rsid w:val="00424639"/>
    <w:rsid w:val="00427F25"/>
    <w:rsid w:val="0043048E"/>
    <w:rsid w:val="00431600"/>
    <w:rsid w:val="0043214B"/>
    <w:rsid w:val="00434F7E"/>
    <w:rsid w:val="00435A09"/>
    <w:rsid w:val="00437683"/>
    <w:rsid w:val="004376B7"/>
    <w:rsid w:val="00446BC1"/>
    <w:rsid w:val="0044783B"/>
    <w:rsid w:val="00447C0A"/>
    <w:rsid w:val="00451B0E"/>
    <w:rsid w:val="00453E6A"/>
    <w:rsid w:val="0045495F"/>
    <w:rsid w:val="00456421"/>
    <w:rsid w:val="00457F26"/>
    <w:rsid w:val="00462844"/>
    <w:rsid w:val="0046295A"/>
    <w:rsid w:val="0046543B"/>
    <w:rsid w:val="00470147"/>
    <w:rsid w:val="004743C8"/>
    <w:rsid w:val="004750DE"/>
    <w:rsid w:val="004765E7"/>
    <w:rsid w:val="00482DC9"/>
    <w:rsid w:val="00483B09"/>
    <w:rsid w:val="00485790"/>
    <w:rsid w:val="004872C2"/>
    <w:rsid w:val="00490BB0"/>
    <w:rsid w:val="004928A8"/>
    <w:rsid w:val="004948C9"/>
    <w:rsid w:val="00494D5B"/>
    <w:rsid w:val="004950F3"/>
    <w:rsid w:val="004966B7"/>
    <w:rsid w:val="004967C1"/>
    <w:rsid w:val="004A1AED"/>
    <w:rsid w:val="004A4F82"/>
    <w:rsid w:val="004A5E08"/>
    <w:rsid w:val="004A68DF"/>
    <w:rsid w:val="004A68F4"/>
    <w:rsid w:val="004B0E69"/>
    <w:rsid w:val="004B1233"/>
    <w:rsid w:val="004B173F"/>
    <w:rsid w:val="004B19B8"/>
    <w:rsid w:val="004B2A79"/>
    <w:rsid w:val="004B3151"/>
    <w:rsid w:val="004B42D0"/>
    <w:rsid w:val="004B4585"/>
    <w:rsid w:val="004B4AF5"/>
    <w:rsid w:val="004B7413"/>
    <w:rsid w:val="004C17AC"/>
    <w:rsid w:val="004C4D12"/>
    <w:rsid w:val="004D7BE5"/>
    <w:rsid w:val="004E3C1E"/>
    <w:rsid w:val="004E3F2A"/>
    <w:rsid w:val="004E5227"/>
    <w:rsid w:val="004E5B9A"/>
    <w:rsid w:val="004E798F"/>
    <w:rsid w:val="004F27CB"/>
    <w:rsid w:val="004F4174"/>
    <w:rsid w:val="004F52B3"/>
    <w:rsid w:val="004F66C4"/>
    <w:rsid w:val="005032E0"/>
    <w:rsid w:val="00505534"/>
    <w:rsid w:val="00505C2B"/>
    <w:rsid w:val="00513B6A"/>
    <w:rsid w:val="00515022"/>
    <w:rsid w:val="00516CC3"/>
    <w:rsid w:val="00525F03"/>
    <w:rsid w:val="00526D91"/>
    <w:rsid w:val="005306DC"/>
    <w:rsid w:val="00532594"/>
    <w:rsid w:val="00533BB7"/>
    <w:rsid w:val="00533EC0"/>
    <w:rsid w:val="00534E79"/>
    <w:rsid w:val="00536360"/>
    <w:rsid w:val="0053677C"/>
    <w:rsid w:val="00536CDE"/>
    <w:rsid w:val="00536EB8"/>
    <w:rsid w:val="0054341B"/>
    <w:rsid w:val="00545F54"/>
    <w:rsid w:val="00552A61"/>
    <w:rsid w:val="00554427"/>
    <w:rsid w:val="00556131"/>
    <w:rsid w:val="005562E8"/>
    <w:rsid w:val="00556C2A"/>
    <w:rsid w:val="00557303"/>
    <w:rsid w:val="00557D17"/>
    <w:rsid w:val="00557E41"/>
    <w:rsid w:val="005617B7"/>
    <w:rsid w:val="0056212B"/>
    <w:rsid w:val="005630B4"/>
    <w:rsid w:val="00565626"/>
    <w:rsid w:val="00570620"/>
    <w:rsid w:val="0057183F"/>
    <w:rsid w:val="00572309"/>
    <w:rsid w:val="00572D0C"/>
    <w:rsid w:val="00573773"/>
    <w:rsid w:val="00575D28"/>
    <w:rsid w:val="005800A7"/>
    <w:rsid w:val="005827F4"/>
    <w:rsid w:val="0058302E"/>
    <w:rsid w:val="00584EBF"/>
    <w:rsid w:val="005858B0"/>
    <w:rsid w:val="0058713A"/>
    <w:rsid w:val="005917C2"/>
    <w:rsid w:val="00593AE2"/>
    <w:rsid w:val="005A22CC"/>
    <w:rsid w:val="005A3B25"/>
    <w:rsid w:val="005C6E62"/>
    <w:rsid w:val="005D0223"/>
    <w:rsid w:val="005D7536"/>
    <w:rsid w:val="005E3D26"/>
    <w:rsid w:val="005E4AC4"/>
    <w:rsid w:val="005E7631"/>
    <w:rsid w:val="005F02CA"/>
    <w:rsid w:val="005F14DD"/>
    <w:rsid w:val="005F15E1"/>
    <w:rsid w:val="005F598E"/>
    <w:rsid w:val="005F7E7F"/>
    <w:rsid w:val="00603B2F"/>
    <w:rsid w:val="00604044"/>
    <w:rsid w:val="00610D5A"/>
    <w:rsid w:val="0061133F"/>
    <w:rsid w:val="00611F43"/>
    <w:rsid w:val="006124EC"/>
    <w:rsid w:val="00613068"/>
    <w:rsid w:val="00616511"/>
    <w:rsid w:val="00620999"/>
    <w:rsid w:val="00622EB3"/>
    <w:rsid w:val="00623896"/>
    <w:rsid w:val="006247F7"/>
    <w:rsid w:val="006260FC"/>
    <w:rsid w:val="006263FB"/>
    <w:rsid w:val="00626DB1"/>
    <w:rsid w:val="00627832"/>
    <w:rsid w:val="0063443A"/>
    <w:rsid w:val="00636A74"/>
    <w:rsid w:val="00644E4D"/>
    <w:rsid w:val="00645F44"/>
    <w:rsid w:val="006471B5"/>
    <w:rsid w:val="006509F9"/>
    <w:rsid w:val="00650A66"/>
    <w:rsid w:val="0065201D"/>
    <w:rsid w:val="006520A2"/>
    <w:rsid w:val="00655350"/>
    <w:rsid w:val="006557D7"/>
    <w:rsid w:val="00665B88"/>
    <w:rsid w:val="0066641C"/>
    <w:rsid w:val="006701F7"/>
    <w:rsid w:val="00672651"/>
    <w:rsid w:val="0068045C"/>
    <w:rsid w:val="006907A5"/>
    <w:rsid w:val="006918CD"/>
    <w:rsid w:val="00692799"/>
    <w:rsid w:val="006944B0"/>
    <w:rsid w:val="006948B8"/>
    <w:rsid w:val="00697FD8"/>
    <w:rsid w:val="006A0903"/>
    <w:rsid w:val="006A1313"/>
    <w:rsid w:val="006A25CD"/>
    <w:rsid w:val="006A5FFA"/>
    <w:rsid w:val="006B1B18"/>
    <w:rsid w:val="006B1C39"/>
    <w:rsid w:val="006B3BB4"/>
    <w:rsid w:val="006B47CA"/>
    <w:rsid w:val="006B7E98"/>
    <w:rsid w:val="006D3622"/>
    <w:rsid w:val="006D6253"/>
    <w:rsid w:val="006D6918"/>
    <w:rsid w:val="006D6D1C"/>
    <w:rsid w:val="006E5E76"/>
    <w:rsid w:val="006E7AE9"/>
    <w:rsid w:val="006F170F"/>
    <w:rsid w:val="006F49F9"/>
    <w:rsid w:val="006F6209"/>
    <w:rsid w:val="006F6E13"/>
    <w:rsid w:val="00701A9C"/>
    <w:rsid w:val="007028D1"/>
    <w:rsid w:val="00703F74"/>
    <w:rsid w:val="00706050"/>
    <w:rsid w:val="007067C4"/>
    <w:rsid w:val="0070684F"/>
    <w:rsid w:val="00711F38"/>
    <w:rsid w:val="007171BB"/>
    <w:rsid w:val="007205AC"/>
    <w:rsid w:val="0072315B"/>
    <w:rsid w:val="0072318B"/>
    <w:rsid w:val="00723261"/>
    <w:rsid w:val="0072364D"/>
    <w:rsid w:val="00724273"/>
    <w:rsid w:val="00726715"/>
    <w:rsid w:val="00727F7C"/>
    <w:rsid w:val="00731923"/>
    <w:rsid w:val="00742DC2"/>
    <w:rsid w:val="00752CEB"/>
    <w:rsid w:val="00754351"/>
    <w:rsid w:val="00755F39"/>
    <w:rsid w:val="0075670A"/>
    <w:rsid w:val="007569E6"/>
    <w:rsid w:val="007577A7"/>
    <w:rsid w:val="00757D83"/>
    <w:rsid w:val="0076036C"/>
    <w:rsid w:val="00760956"/>
    <w:rsid w:val="00760E08"/>
    <w:rsid w:val="00760FAE"/>
    <w:rsid w:val="00761438"/>
    <w:rsid w:val="00762B15"/>
    <w:rsid w:val="00763705"/>
    <w:rsid w:val="007714BE"/>
    <w:rsid w:val="0077213A"/>
    <w:rsid w:val="00775CB6"/>
    <w:rsid w:val="007769F3"/>
    <w:rsid w:val="00777822"/>
    <w:rsid w:val="00780263"/>
    <w:rsid w:val="00780BD6"/>
    <w:rsid w:val="00781842"/>
    <w:rsid w:val="00781FC8"/>
    <w:rsid w:val="00782F28"/>
    <w:rsid w:val="00783A4B"/>
    <w:rsid w:val="007849F3"/>
    <w:rsid w:val="0078685C"/>
    <w:rsid w:val="00790B93"/>
    <w:rsid w:val="00791D87"/>
    <w:rsid w:val="0079248F"/>
    <w:rsid w:val="0079387C"/>
    <w:rsid w:val="0079613F"/>
    <w:rsid w:val="007A1945"/>
    <w:rsid w:val="007A2A39"/>
    <w:rsid w:val="007A3BD4"/>
    <w:rsid w:val="007A5FED"/>
    <w:rsid w:val="007B0476"/>
    <w:rsid w:val="007B2090"/>
    <w:rsid w:val="007B47BA"/>
    <w:rsid w:val="007B57A2"/>
    <w:rsid w:val="007B7F96"/>
    <w:rsid w:val="007C01C2"/>
    <w:rsid w:val="007C0777"/>
    <w:rsid w:val="007C24D6"/>
    <w:rsid w:val="007C3E79"/>
    <w:rsid w:val="007C4C57"/>
    <w:rsid w:val="007C502C"/>
    <w:rsid w:val="007C5CC2"/>
    <w:rsid w:val="007C64ED"/>
    <w:rsid w:val="007C676D"/>
    <w:rsid w:val="007D11AC"/>
    <w:rsid w:val="007D3734"/>
    <w:rsid w:val="007D6879"/>
    <w:rsid w:val="007D7EEF"/>
    <w:rsid w:val="007E042C"/>
    <w:rsid w:val="007E2A4E"/>
    <w:rsid w:val="007E30A2"/>
    <w:rsid w:val="007E4D8A"/>
    <w:rsid w:val="007F011E"/>
    <w:rsid w:val="007F218A"/>
    <w:rsid w:val="007F3711"/>
    <w:rsid w:val="007F51A2"/>
    <w:rsid w:val="007F6D7A"/>
    <w:rsid w:val="007F7CC3"/>
    <w:rsid w:val="00802137"/>
    <w:rsid w:val="0080307B"/>
    <w:rsid w:val="008036BE"/>
    <w:rsid w:val="0080600E"/>
    <w:rsid w:val="0080618D"/>
    <w:rsid w:val="00806F97"/>
    <w:rsid w:val="0081054B"/>
    <w:rsid w:val="008124C1"/>
    <w:rsid w:val="008134CA"/>
    <w:rsid w:val="00816652"/>
    <w:rsid w:val="008221E8"/>
    <w:rsid w:val="00825EF3"/>
    <w:rsid w:val="00826FEB"/>
    <w:rsid w:val="008317E0"/>
    <w:rsid w:val="008349E9"/>
    <w:rsid w:val="00835AD9"/>
    <w:rsid w:val="00836076"/>
    <w:rsid w:val="00836529"/>
    <w:rsid w:val="0084080D"/>
    <w:rsid w:val="00840C8B"/>
    <w:rsid w:val="00842942"/>
    <w:rsid w:val="008429C3"/>
    <w:rsid w:val="00851DBA"/>
    <w:rsid w:val="00851ED3"/>
    <w:rsid w:val="00851EEE"/>
    <w:rsid w:val="00854F65"/>
    <w:rsid w:val="00855046"/>
    <w:rsid w:val="00856B93"/>
    <w:rsid w:val="00857CB1"/>
    <w:rsid w:val="00860906"/>
    <w:rsid w:val="008620FD"/>
    <w:rsid w:val="0086293C"/>
    <w:rsid w:val="00863324"/>
    <w:rsid w:val="00866201"/>
    <w:rsid w:val="00866B33"/>
    <w:rsid w:val="00871287"/>
    <w:rsid w:val="00871F3D"/>
    <w:rsid w:val="00872DBE"/>
    <w:rsid w:val="00873254"/>
    <w:rsid w:val="008846F3"/>
    <w:rsid w:val="00884D6C"/>
    <w:rsid w:val="0088623A"/>
    <w:rsid w:val="0089086D"/>
    <w:rsid w:val="008920A9"/>
    <w:rsid w:val="00892E17"/>
    <w:rsid w:val="00894A80"/>
    <w:rsid w:val="008958A4"/>
    <w:rsid w:val="00896BFE"/>
    <w:rsid w:val="008A2478"/>
    <w:rsid w:val="008A2A08"/>
    <w:rsid w:val="008B21CE"/>
    <w:rsid w:val="008B59D0"/>
    <w:rsid w:val="008B6A0E"/>
    <w:rsid w:val="008B6D24"/>
    <w:rsid w:val="008B7DF7"/>
    <w:rsid w:val="008C2662"/>
    <w:rsid w:val="008C31CB"/>
    <w:rsid w:val="008C58CA"/>
    <w:rsid w:val="008C7DB4"/>
    <w:rsid w:val="008D00C3"/>
    <w:rsid w:val="008D0100"/>
    <w:rsid w:val="008D1EDF"/>
    <w:rsid w:val="008D75B7"/>
    <w:rsid w:val="008D7631"/>
    <w:rsid w:val="008D7F75"/>
    <w:rsid w:val="008E049B"/>
    <w:rsid w:val="008E2415"/>
    <w:rsid w:val="008E2C6F"/>
    <w:rsid w:val="008E3D8A"/>
    <w:rsid w:val="008E465A"/>
    <w:rsid w:val="008F0B64"/>
    <w:rsid w:val="008F5BD0"/>
    <w:rsid w:val="008F5E16"/>
    <w:rsid w:val="008F7630"/>
    <w:rsid w:val="008F7D83"/>
    <w:rsid w:val="00901BAB"/>
    <w:rsid w:val="00901CBD"/>
    <w:rsid w:val="00902B30"/>
    <w:rsid w:val="00904D04"/>
    <w:rsid w:val="009061E4"/>
    <w:rsid w:val="00906C7A"/>
    <w:rsid w:val="00924034"/>
    <w:rsid w:val="00927729"/>
    <w:rsid w:val="009278B8"/>
    <w:rsid w:val="00930752"/>
    <w:rsid w:val="00930C6E"/>
    <w:rsid w:val="0093577A"/>
    <w:rsid w:val="00936276"/>
    <w:rsid w:val="00936B19"/>
    <w:rsid w:val="009403B5"/>
    <w:rsid w:val="00940C71"/>
    <w:rsid w:val="00943DE8"/>
    <w:rsid w:val="00945B2C"/>
    <w:rsid w:val="00950A7C"/>
    <w:rsid w:val="00952991"/>
    <w:rsid w:val="0095367B"/>
    <w:rsid w:val="00953973"/>
    <w:rsid w:val="00954308"/>
    <w:rsid w:val="009568C6"/>
    <w:rsid w:val="00960033"/>
    <w:rsid w:val="00960263"/>
    <w:rsid w:val="00960908"/>
    <w:rsid w:val="00961A8D"/>
    <w:rsid w:val="00963B00"/>
    <w:rsid w:val="00963B28"/>
    <w:rsid w:val="00965095"/>
    <w:rsid w:val="00970DCB"/>
    <w:rsid w:val="0098355C"/>
    <w:rsid w:val="00983710"/>
    <w:rsid w:val="00990EF1"/>
    <w:rsid w:val="00991DA8"/>
    <w:rsid w:val="009923B6"/>
    <w:rsid w:val="009946F4"/>
    <w:rsid w:val="00995446"/>
    <w:rsid w:val="009A1D49"/>
    <w:rsid w:val="009A1DC7"/>
    <w:rsid w:val="009A2916"/>
    <w:rsid w:val="009A5A68"/>
    <w:rsid w:val="009A5CFD"/>
    <w:rsid w:val="009A7260"/>
    <w:rsid w:val="009B0F67"/>
    <w:rsid w:val="009B3C6D"/>
    <w:rsid w:val="009B6CD5"/>
    <w:rsid w:val="009C0100"/>
    <w:rsid w:val="009C1252"/>
    <w:rsid w:val="009C1423"/>
    <w:rsid w:val="009D3103"/>
    <w:rsid w:val="009E41DF"/>
    <w:rsid w:val="009F4C40"/>
    <w:rsid w:val="009F52A7"/>
    <w:rsid w:val="009F5BF7"/>
    <w:rsid w:val="009F5CDC"/>
    <w:rsid w:val="009F7181"/>
    <w:rsid w:val="009F7635"/>
    <w:rsid w:val="00A021CA"/>
    <w:rsid w:val="00A0250F"/>
    <w:rsid w:val="00A027A8"/>
    <w:rsid w:val="00A0391A"/>
    <w:rsid w:val="00A0574D"/>
    <w:rsid w:val="00A05E26"/>
    <w:rsid w:val="00A07FFB"/>
    <w:rsid w:val="00A138FE"/>
    <w:rsid w:val="00A164C9"/>
    <w:rsid w:val="00A22594"/>
    <w:rsid w:val="00A26947"/>
    <w:rsid w:val="00A27765"/>
    <w:rsid w:val="00A30574"/>
    <w:rsid w:val="00A30AC9"/>
    <w:rsid w:val="00A30B22"/>
    <w:rsid w:val="00A3307A"/>
    <w:rsid w:val="00A33393"/>
    <w:rsid w:val="00A3578E"/>
    <w:rsid w:val="00A425D5"/>
    <w:rsid w:val="00A42CE9"/>
    <w:rsid w:val="00A4392F"/>
    <w:rsid w:val="00A43B63"/>
    <w:rsid w:val="00A44866"/>
    <w:rsid w:val="00A451D5"/>
    <w:rsid w:val="00A4724B"/>
    <w:rsid w:val="00A5189C"/>
    <w:rsid w:val="00A52375"/>
    <w:rsid w:val="00A52C47"/>
    <w:rsid w:val="00A5358D"/>
    <w:rsid w:val="00A54779"/>
    <w:rsid w:val="00A55403"/>
    <w:rsid w:val="00A56163"/>
    <w:rsid w:val="00A56DFD"/>
    <w:rsid w:val="00A57894"/>
    <w:rsid w:val="00A60B84"/>
    <w:rsid w:val="00A6591C"/>
    <w:rsid w:val="00A66874"/>
    <w:rsid w:val="00A70276"/>
    <w:rsid w:val="00A70D0A"/>
    <w:rsid w:val="00A723F6"/>
    <w:rsid w:val="00A73910"/>
    <w:rsid w:val="00A7753A"/>
    <w:rsid w:val="00A802C8"/>
    <w:rsid w:val="00A81B19"/>
    <w:rsid w:val="00A8462B"/>
    <w:rsid w:val="00A84AF4"/>
    <w:rsid w:val="00A851DC"/>
    <w:rsid w:val="00A8593B"/>
    <w:rsid w:val="00A86B3D"/>
    <w:rsid w:val="00A91512"/>
    <w:rsid w:val="00A9172A"/>
    <w:rsid w:val="00A950AA"/>
    <w:rsid w:val="00A9528B"/>
    <w:rsid w:val="00AA2E40"/>
    <w:rsid w:val="00AA5FC8"/>
    <w:rsid w:val="00AA6D08"/>
    <w:rsid w:val="00AA6EE4"/>
    <w:rsid w:val="00AA7D4E"/>
    <w:rsid w:val="00AB00FF"/>
    <w:rsid w:val="00AB0E8F"/>
    <w:rsid w:val="00AB2152"/>
    <w:rsid w:val="00AB21FF"/>
    <w:rsid w:val="00AB2A22"/>
    <w:rsid w:val="00AB4C0E"/>
    <w:rsid w:val="00AB5685"/>
    <w:rsid w:val="00AB5D9B"/>
    <w:rsid w:val="00AC1F63"/>
    <w:rsid w:val="00AD11B8"/>
    <w:rsid w:val="00AD5549"/>
    <w:rsid w:val="00AE36D6"/>
    <w:rsid w:val="00AE399E"/>
    <w:rsid w:val="00AE3C96"/>
    <w:rsid w:val="00AE7D0E"/>
    <w:rsid w:val="00AF53CB"/>
    <w:rsid w:val="00AF5977"/>
    <w:rsid w:val="00AF72B9"/>
    <w:rsid w:val="00B0129E"/>
    <w:rsid w:val="00B13D9F"/>
    <w:rsid w:val="00B155CE"/>
    <w:rsid w:val="00B155EB"/>
    <w:rsid w:val="00B22750"/>
    <w:rsid w:val="00B231E3"/>
    <w:rsid w:val="00B23B2B"/>
    <w:rsid w:val="00B24603"/>
    <w:rsid w:val="00B261B2"/>
    <w:rsid w:val="00B266F7"/>
    <w:rsid w:val="00B2731D"/>
    <w:rsid w:val="00B31C05"/>
    <w:rsid w:val="00B32F27"/>
    <w:rsid w:val="00B32FDA"/>
    <w:rsid w:val="00B401EA"/>
    <w:rsid w:val="00B40A05"/>
    <w:rsid w:val="00B41223"/>
    <w:rsid w:val="00B4136B"/>
    <w:rsid w:val="00B4201D"/>
    <w:rsid w:val="00B42348"/>
    <w:rsid w:val="00B4287B"/>
    <w:rsid w:val="00B4328F"/>
    <w:rsid w:val="00B43B45"/>
    <w:rsid w:val="00B43E9B"/>
    <w:rsid w:val="00B46FCF"/>
    <w:rsid w:val="00B47313"/>
    <w:rsid w:val="00B47979"/>
    <w:rsid w:val="00B47A18"/>
    <w:rsid w:val="00B54F37"/>
    <w:rsid w:val="00B5716B"/>
    <w:rsid w:val="00B57432"/>
    <w:rsid w:val="00B60D09"/>
    <w:rsid w:val="00B60FB7"/>
    <w:rsid w:val="00B611EF"/>
    <w:rsid w:val="00B64D8A"/>
    <w:rsid w:val="00B65F09"/>
    <w:rsid w:val="00B7062A"/>
    <w:rsid w:val="00B7170A"/>
    <w:rsid w:val="00B74903"/>
    <w:rsid w:val="00B75A68"/>
    <w:rsid w:val="00B77548"/>
    <w:rsid w:val="00B776B8"/>
    <w:rsid w:val="00B803CF"/>
    <w:rsid w:val="00B82B5A"/>
    <w:rsid w:val="00B83D46"/>
    <w:rsid w:val="00B840C6"/>
    <w:rsid w:val="00B85326"/>
    <w:rsid w:val="00B937B8"/>
    <w:rsid w:val="00B93F30"/>
    <w:rsid w:val="00B94832"/>
    <w:rsid w:val="00BA1435"/>
    <w:rsid w:val="00BA2CF1"/>
    <w:rsid w:val="00BA301D"/>
    <w:rsid w:val="00BA5259"/>
    <w:rsid w:val="00BA5F70"/>
    <w:rsid w:val="00BA733D"/>
    <w:rsid w:val="00BB0A88"/>
    <w:rsid w:val="00BB311D"/>
    <w:rsid w:val="00BB3D2D"/>
    <w:rsid w:val="00BB55DE"/>
    <w:rsid w:val="00BB58A7"/>
    <w:rsid w:val="00BB5DB5"/>
    <w:rsid w:val="00BB7EAA"/>
    <w:rsid w:val="00BC02BA"/>
    <w:rsid w:val="00BC08E3"/>
    <w:rsid w:val="00BC370E"/>
    <w:rsid w:val="00BD190A"/>
    <w:rsid w:val="00BD2AC1"/>
    <w:rsid w:val="00BD745C"/>
    <w:rsid w:val="00BE01B6"/>
    <w:rsid w:val="00BE07C7"/>
    <w:rsid w:val="00BE16FB"/>
    <w:rsid w:val="00BE1EB0"/>
    <w:rsid w:val="00BE2DB8"/>
    <w:rsid w:val="00BE5503"/>
    <w:rsid w:val="00BE5B18"/>
    <w:rsid w:val="00BE5D08"/>
    <w:rsid w:val="00BE6896"/>
    <w:rsid w:val="00BE77C0"/>
    <w:rsid w:val="00BF4AD0"/>
    <w:rsid w:val="00BF4B0F"/>
    <w:rsid w:val="00BF4D44"/>
    <w:rsid w:val="00BF5C41"/>
    <w:rsid w:val="00BF6FCE"/>
    <w:rsid w:val="00BF7E71"/>
    <w:rsid w:val="00C005C9"/>
    <w:rsid w:val="00C01694"/>
    <w:rsid w:val="00C01915"/>
    <w:rsid w:val="00C02C2E"/>
    <w:rsid w:val="00C05AF8"/>
    <w:rsid w:val="00C0757D"/>
    <w:rsid w:val="00C153E2"/>
    <w:rsid w:val="00C16017"/>
    <w:rsid w:val="00C17924"/>
    <w:rsid w:val="00C20B67"/>
    <w:rsid w:val="00C212A2"/>
    <w:rsid w:val="00C23A12"/>
    <w:rsid w:val="00C26331"/>
    <w:rsid w:val="00C301DF"/>
    <w:rsid w:val="00C303AF"/>
    <w:rsid w:val="00C346DA"/>
    <w:rsid w:val="00C44844"/>
    <w:rsid w:val="00C44E4A"/>
    <w:rsid w:val="00C44EFF"/>
    <w:rsid w:val="00C45834"/>
    <w:rsid w:val="00C46E32"/>
    <w:rsid w:val="00C47746"/>
    <w:rsid w:val="00C47DCE"/>
    <w:rsid w:val="00C559E0"/>
    <w:rsid w:val="00C56AC3"/>
    <w:rsid w:val="00C5701C"/>
    <w:rsid w:val="00C636D2"/>
    <w:rsid w:val="00C643E3"/>
    <w:rsid w:val="00C66EC6"/>
    <w:rsid w:val="00C761C5"/>
    <w:rsid w:val="00C76333"/>
    <w:rsid w:val="00C7676A"/>
    <w:rsid w:val="00C76C18"/>
    <w:rsid w:val="00C7719F"/>
    <w:rsid w:val="00C801BC"/>
    <w:rsid w:val="00C813FA"/>
    <w:rsid w:val="00C82195"/>
    <w:rsid w:val="00C82685"/>
    <w:rsid w:val="00C83C12"/>
    <w:rsid w:val="00C83DEA"/>
    <w:rsid w:val="00C8463A"/>
    <w:rsid w:val="00C850A5"/>
    <w:rsid w:val="00C91910"/>
    <w:rsid w:val="00C93292"/>
    <w:rsid w:val="00CA04EB"/>
    <w:rsid w:val="00CA0E5E"/>
    <w:rsid w:val="00CA38E5"/>
    <w:rsid w:val="00CA3A13"/>
    <w:rsid w:val="00CA5A78"/>
    <w:rsid w:val="00CA67F5"/>
    <w:rsid w:val="00CB18F5"/>
    <w:rsid w:val="00CB23CB"/>
    <w:rsid w:val="00CB4B1C"/>
    <w:rsid w:val="00CB4ED8"/>
    <w:rsid w:val="00CB5DD2"/>
    <w:rsid w:val="00CB64A7"/>
    <w:rsid w:val="00CB756F"/>
    <w:rsid w:val="00CC47E0"/>
    <w:rsid w:val="00CC6612"/>
    <w:rsid w:val="00CC7AB4"/>
    <w:rsid w:val="00CC7B4C"/>
    <w:rsid w:val="00CD0D5E"/>
    <w:rsid w:val="00CD0F95"/>
    <w:rsid w:val="00CD392B"/>
    <w:rsid w:val="00CD5F9D"/>
    <w:rsid w:val="00CE24DF"/>
    <w:rsid w:val="00CE5433"/>
    <w:rsid w:val="00CE64C9"/>
    <w:rsid w:val="00CE7CAD"/>
    <w:rsid w:val="00CE7CCF"/>
    <w:rsid w:val="00CF0DA3"/>
    <w:rsid w:val="00CF24DF"/>
    <w:rsid w:val="00CF50D3"/>
    <w:rsid w:val="00CF5E9C"/>
    <w:rsid w:val="00CF6F79"/>
    <w:rsid w:val="00D0301E"/>
    <w:rsid w:val="00D03045"/>
    <w:rsid w:val="00D0440A"/>
    <w:rsid w:val="00D048D6"/>
    <w:rsid w:val="00D11892"/>
    <w:rsid w:val="00D12D4F"/>
    <w:rsid w:val="00D151BF"/>
    <w:rsid w:val="00D15A81"/>
    <w:rsid w:val="00D20B42"/>
    <w:rsid w:val="00D2112D"/>
    <w:rsid w:val="00D22681"/>
    <w:rsid w:val="00D23638"/>
    <w:rsid w:val="00D25A0E"/>
    <w:rsid w:val="00D25FE0"/>
    <w:rsid w:val="00D2716F"/>
    <w:rsid w:val="00D27289"/>
    <w:rsid w:val="00D31E8E"/>
    <w:rsid w:val="00D34740"/>
    <w:rsid w:val="00D35332"/>
    <w:rsid w:val="00D36BB8"/>
    <w:rsid w:val="00D37A30"/>
    <w:rsid w:val="00D42C2F"/>
    <w:rsid w:val="00D438CB"/>
    <w:rsid w:val="00D4568B"/>
    <w:rsid w:val="00D46213"/>
    <w:rsid w:val="00D46619"/>
    <w:rsid w:val="00D56237"/>
    <w:rsid w:val="00D578FB"/>
    <w:rsid w:val="00D6126D"/>
    <w:rsid w:val="00D667D1"/>
    <w:rsid w:val="00D7227E"/>
    <w:rsid w:val="00D735B9"/>
    <w:rsid w:val="00D7536D"/>
    <w:rsid w:val="00D7668A"/>
    <w:rsid w:val="00D77352"/>
    <w:rsid w:val="00D77730"/>
    <w:rsid w:val="00D800F5"/>
    <w:rsid w:val="00D802BE"/>
    <w:rsid w:val="00D8044D"/>
    <w:rsid w:val="00D810AA"/>
    <w:rsid w:val="00D877E2"/>
    <w:rsid w:val="00D95086"/>
    <w:rsid w:val="00D975F5"/>
    <w:rsid w:val="00DA0D7B"/>
    <w:rsid w:val="00DA15D4"/>
    <w:rsid w:val="00DA1FB4"/>
    <w:rsid w:val="00DA1FDA"/>
    <w:rsid w:val="00DB2594"/>
    <w:rsid w:val="00DB38D5"/>
    <w:rsid w:val="00DB6547"/>
    <w:rsid w:val="00DB6563"/>
    <w:rsid w:val="00DB7940"/>
    <w:rsid w:val="00DC02DC"/>
    <w:rsid w:val="00DC2A80"/>
    <w:rsid w:val="00DC38CE"/>
    <w:rsid w:val="00DC3900"/>
    <w:rsid w:val="00DC5450"/>
    <w:rsid w:val="00DD03E9"/>
    <w:rsid w:val="00DD0A09"/>
    <w:rsid w:val="00DD200E"/>
    <w:rsid w:val="00DD2D29"/>
    <w:rsid w:val="00DD3A2A"/>
    <w:rsid w:val="00DD49CE"/>
    <w:rsid w:val="00DD4CE4"/>
    <w:rsid w:val="00DE1FAD"/>
    <w:rsid w:val="00DE3550"/>
    <w:rsid w:val="00DE62E2"/>
    <w:rsid w:val="00DF2C0E"/>
    <w:rsid w:val="00DF376B"/>
    <w:rsid w:val="00DF3FC7"/>
    <w:rsid w:val="00DF59FD"/>
    <w:rsid w:val="00DF735C"/>
    <w:rsid w:val="00E013AC"/>
    <w:rsid w:val="00E03173"/>
    <w:rsid w:val="00E03A45"/>
    <w:rsid w:val="00E064DB"/>
    <w:rsid w:val="00E0734E"/>
    <w:rsid w:val="00E07881"/>
    <w:rsid w:val="00E13D01"/>
    <w:rsid w:val="00E14B05"/>
    <w:rsid w:val="00E16D71"/>
    <w:rsid w:val="00E20858"/>
    <w:rsid w:val="00E22789"/>
    <w:rsid w:val="00E2454B"/>
    <w:rsid w:val="00E3019E"/>
    <w:rsid w:val="00E352C3"/>
    <w:rsid w:val="00E3599C"/>
    <w:rsid w:val="00E36AAF"/>
    <w:rsid w:val="00E37CCB"/>
    <w:rsid w:val="00E4079C"/>
    <w:rsid w:val="00E44150"/>
    <w:rsid w:val="00E45608"/>
    <w:rsid w:val="00E45777"/>
    <w:rsid w:val="00E545CD"/>
    <w:rsid w:val="00E614DC"/>
    <w:rsid w:val="00E62DE2"/>
    <w:rsid w:val="00E64044"/>
    <w:rsid w:val="00E64A55"/>
    <w:rsid w:val="00E6668F"/>
    <w:rsid w:val="00E75B44"/>
    <w:rsid w:val="00E76EA5"/>
    <w:rsid w:val="00E85CA4"/>
    <w:rsid w:val="00E90BBB"/>
    <w:rsid w:val="00E92306"/>
    <w:rsid w:val="00E93A3D"/>
    <w:rsid w:val="00E942BB"/>
    <w:rsid w:val="00E94D8C"/>
    <w:rsid w:val="00E950CB"/>
    <w:rsid w:val="00E959D3"/>
    <w:rsid w:val="00EA02FB"/>
    <w:rsid w:val="00EA2C9C"/>
    <w:rsid w:val="00EA4A5C"/>
    <w:rsid w:val="00EA7595"/>
    <w:rsid w:val="00EA7EC3"/>
    <w:rsid w:val="00EB242F"/>
    <w:rsid w:val="00EB4532"/>
    <w:rsid w:val="00EB4EB3"/>
    <w:rsid w:val="00EB77D1"/>
    <w:rsid w:val="00EC1365"/>
    <w:rsid w:val="00EC1E31"/>
    <w:rsid w:val="00EC2B11"/>
    <w:rsid w:val="00EC4F2E"/>
    <w:rsid w:val="00EC6683"/>
    <w:rsid w:val="00ED208E"/>
    <w:rsid w:val="00ED5AAD"/>
    <w:rsid w:val="00ED5ED4"/>
    <w:rsid w:val="00ED6BF1"/>
    <w:rsid w:val="00EE5089"/>
    <w:rsid w:val="00EF0969"/>
    <w:rsid w:val="00EF229C"/>
    <w:rsid w:val="00EF345F"/>
    <w:rsid w:val="00EF467D"/>
    <w:rsid w:val="00EF4F29"/>
    <w:rsid w:val="00F019F2"/>
    <w:rsid w:val="00F04026"/>
    <w:rsid w:val="00F06101"/>
    <w:rsid w:val="00F071A2"/>
    <w:rsid w:val="00F15542"/>
    <w:rsid w:val="00F163E5"/>
    <w:rsid w:val="00F16F1C"/>
    <w:rsid w:val="00F16F6D"/>
    <w:rsid w:val="00F21594"/>
    <w:rsid w:val="00F25212"/>
    <w:rsid w:val="00F25717"/>
    <w:rsid w:val="00F25B9E"/>
    <w:rsid w:val="00F31EF9"/>
    <w:rsid w:val="00F32FFE"/>
    <w:rsid w:val="00F351B1"/>
    <w:rsid w:val="00F42165"/>
    <w:rsid w:val="00F43AC6"/>
    <w:rsid w:val="00F50460"/>
    <w:rsid w:val="00F507AB"/>
    <w:rsid w:val="00F531BE"/>
    <w:rsid w:val="00F57958"/>
    <w:rsid w:val="00F65DE7"/>
    <w:rsid w:val="00F67431"/>
    <w:rsid w:val="00F67C8F"/>
    <w:rsid w:val="00F71381"/>
    <w:rsid w:val="00F71C68"/>
    <w:rsid w:val="00F72A3C"/>
    <w:rsid w:val="00F72FAE"/>
    <w:rsid w:val="00F74D1D"/>
    <w:rsid w:val="00F74F6D"/>
    <w:rsid w:val="00F75DB4"/>
    <w:rsid w:val="00F75DDC"/>
    <w:rsid w:val="00F75F85"/>
    <w:rsid w:val="00F77019"/>
    <w:rsid w:val="00F8337A"/>
    <w:rsid w:val="00F836B0"/>
    <w:rsid w:val="00F8417A"/>
    <w:rsid w:val="00F8689B"/>
    <w:rsid w:val="00F87288"/>
    <w:rsid w:val="00F90352"/>
    <w:rsid w:val="00F95448"/>
    <w:rsid w:val="00F9569F"/>
    <w:rsid w:val="00F97099"/>
    <w:rsid w:val="00F97F1D"/>
    <w:rsid w:val="00FA06FF"/>
    <w:rsid w:val="00FA07F3"/>
    <w:rsid w:val="00FB1C8F"/>
    <w:rsid w:val="00FB41DA"/>
    <w:rsid w:val="00FB56D3"/>
    <w:rsid w:val="00FB6459"/>
    <w:rsid w:val="00FB6D44"/>
    <w:rsid w:val="00FC0E6B"/>
    <w:rsid w:val="00FC282A"/>
    <w:rsid w:val="00FC3B7A"/>
    <w:rsid w:val="00FD1229"/>
    <w:rsid w:val="00FD27F2"/>
    <w:rsid w:val="00FD3916"/>
    <w:rsid w:val="00FD54F8"/>
    <w:rsid w:val="00FD6576"/>
    <w:rsid w:val="00FE443F"/>
    <w:rsid w:val="00FE4851"/>
    <w:rsid w:val="00FE4936"/>
    <w:rsid w:val="00FE4BE5"/>
    <w:rsid w:val="00FE554E"/>
    <w:rsid w:val="00FF05F7"/>
    <w:rsid w:val="00FF0AD5"/>
    <w:rsid w:val="00FF24C1"/>
    <w:rsid w:val="00FF7684"/>
    <w:rsid w:val="00FF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15:chartTrackingRefBased/>
  <w15:docId w15:val="{2F7C8438-7F84-4E74-960E-A527F580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9"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CE7CAD"/>
    <w:pPr>
      <w:spacing w:before="0" w:after="0"/>
      <w:jc w:val="center"/>
    </w:pPr>
    <w:rPr>
      <w:b/>
    </w:rPr>
  </w:style>
  <w:style w:type="paragraph" w:customStyle="1" w:styleId="Sous-titreobjetPagedecouverture">
    <w:name w:val="Sous-titre objet (Page de couverture)"/>
    <w:basedOn w:val="Sous-titreobjet"/>
    <w:rsid w:val="00CE7CAD"/>
  </w:style>
  <w:style w:type="paragraph" w:styleId="ListBullet">
    <w:name w:val="List Bullet"/>
    <w:basedOn w:val="Normal"/>
    <w:rsid w:val="004A1AED"/>
    <w:pPr>
      <w:numPr>
        <w:numId w:val="1"/>
      </w:numPr>
    </w:pPr>
  </w:style>
  <w:style w:type="paragraph" w:styleId="ListBullet2">
    <w:name w:val="List Bullet 2"/>
    <w:basedOn w:val="Normal"/>
    <w:rsid w:val="004A1AED"/>
    <w:pPr>
      <w:numPr>
        <w:numId w:val="2"/>
      </w:numPr>
    </w:pPr>
  </w:style>
  <w:style w:type="paragraph" w:styleId="ListBullet3">
    <w:name w:val="List Bullet 3"/>
    <w:basedOn w:val="Normal"/>
    <w:rsid w:val="004A1AED"/>
    <w:pPr>
      <w:numPr>
        <w:numId w:val="3"/>
      </w:numPr>
    </w:pPr>
  </w:style>
  <w:style w:type="paragraph" w:styleId="ListBullet4">
    <w:name w:val="List Bullet 4"/>
    <w:basedOn w:val="Normal"/>
    <w:rsid w:val="004A1AED"/>
    <w:pPr>
      <w:numPr>
        <w:numId w:val="4"/>
      </w:numPr>
    </w:pPr>
  </w:style>
  <w:style w:type="table" w:customStyle="1" w:styleId="Listtable">
    <w:name w:val="List table"/>
    <w:next w:val="TableNormal"/>
    <w:rsid w:val="0000704F"/>
    <w:rPr>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character" w:styleId="CommentReference">
    <w:name w:val="annotation reference"/>
    <w:semiHidden/>
    <w:rsid w:val="0056212B"/>
    <w:rPr>
      <w:rFonts w:cs="Times New Roman"/>
      <w:sz w:val="16"/>
      <w:szCs w:val="16"/>
      <w:shd w:val="clear" w:color="auto" w:fill="auto"/>
    </w:rPr>
  </w:style>
  <w:style w:type="paragraph" w:customStyle="1" w:styleId="Paragraph">
    <w:name w:val="Paragraph"/>
    <w:basedOn w:val="Text"/>
    <w:rsid w:val="00B64D8A"/>
    <w:pPr>
      <w:jc w:val="both"/>
    </w:pPr>
  </w:style>
  <w:style w:type="paragraph" w:customStyle="1" w:styleId="Text">
    <w:name w:val="Text"/>
    <w:hidden/>
    <w:rsid w:val="00B64D8A"/>
    <w:rPr>
      <w:sz w:val="16"/>
    </w:rPr>
  </w:style>
  <w:style w:type="paragraph" w:customStyle="1" w:styleId="SUSPparagraph">
    <w:name w:val="SUSP paragraph"/>
    <w:basedOn w:val="Paragraph"/>
    <w:rsid w:val="00B64D8A"/>
    <w:pPr>
      <w:spacing w:before="60" w:after="60"/>
    </w:pPr>
  </w:style>
  <w:style w:type="table" w:customStyle="1" w:styleId="Notestable">
    <w:name w:val="Notes table"/>
    <w:rsid w:val="00B64D8A"/>
    <w:rPr>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paragraph" w:styleId="Title">
    <w:name w:val="Title"/>
    <w:aliases w:val="TITLE.TI"/>
    <w:basedOn w:val="SUSPparagraph"/>
    <w:qFormat/>
    <w:rsid w:val="00B64D8A"/>
    <w:pPr>
      <w:keepNext/>
      <w:spacing w:before="120" w:after="120"/>
      <w:jc w:val="center"/>
    </w:pPr>
    <w:rPr>
      <w:sz w:val="24"/>
    </w:rPr>
  </w:style>
  <w:style w:type="paragraph" w:customStyle="1" w:styleId="Subtitle1">
    <w:name w:val="Subtitle1"/>
    <w:aliases w:val="CONTENT.TITLE.TI"/>
    <w:basedOn w:val="SUSPparagraph"/>
    <w:rsid w:val="00B64D8A"/>
    <w:pPr>
      <w:keepNext/>
      <w:spacing w:before="120" w:after="120"/>
      <w:jc w:val="center"/>
    </w:pPr>
    <w:rPr>
      <w:sz w:val="24"/>
    </w:rPr>
  </w:style>
  <w:style w:type="character" w:customStyle="1" w:styleId="FootnoteReference1">
    <w:name w:val="Footnote Reference1"/>
    <w:hidden/>
    <w:rsid w:val="00B64D8A"/>
    <w:rPr>
      <w:sz w:val="16"/>
      <w:szCs w:val="16"/>
    </w:rPr>
  </w:style>
  <w:style w:type="table" w:customStyle="1" w:styleId="Listdash">
    <w:name w:val="List dash"/>
    <w:basedOn w:val="Listtable"/>
    <w:rsid w:val="00B64D8A"/>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styleId="Caption">
    <w:name w:val="caption"/>
    <w:basedOn w:val="Normal"/>
    <w:next w:val="Normal"/>
    <w:qFormat/>
    <w:rsid w:val="00552A61"/>
    <w:rPr>
      <w:b/>
      <w:bCs/>
      <w:sz w:val="20"/>
      <w:szCs w:val="20"/>
    </w:rPr>
  </w:style>
  <w:style w:type="paragraph" w:styleId="TableofFigures">
    <w:name w:val="table of figures"/>
    <w:basedOn w:val="Normal"/>
    <w:next w:val="Normal"/>
    <w:semiHidden/>
    <w:rsid w:val="00552A61"/>
  </w:style>
  <w:style w:type="paragraph" w:styleId="ListNumber">
    <w:name w:val="List Number"/>
    <w:basedOn w:val="Normal"/>
    <w:rsid w:val="00552A61"/>
    <w:pPr>
      <w:numPr>
        <w:numId w:val="5"/>
      </w:numPr>
    </w:pPr>
  </w:style>
  <w:style w:type="paragraph" w:styleId="ListNumber2">
    <w:name w:val="List Number 2"/>
    <w:basedOn w:val="Normal"/>
    <w:rsid w:val="00552A61"/>
    <w:pPr>
      <w:numPr>
        <w:numId w:val="6"/>
      </w:numPr>
    </w:pPr>
  </w:style>
  <w:style w:type="paragraph" w:styleId="ListNumber3">
    <w:name w:val="List Number 3"/>
    <w:basedOn w:val="Normal"/>
    <w:rsid w:val="00552A61"/>
    <w:pPr>
      <w:numPr>
        <w:numId w:val="7"/>
      </w:numPr>
    </w:pPr>
  </w:style>
  <w:style w:type="paragraph" w:styleId="ListNumber4">
    <w:name w:val="List Number 4"/>
    <w:basedOn w:val="Normal"/>
    <w:rsid w:val="00552A61"/>
    <w:pPr>
      <w:numPr>
        <w:numId w:val="8"/>
      </w:numPr>
    </w:pPr>
  </w:style>
  <w:style w:type="paragraph" w:styleId="CommentText">
    <w:name w:val="annotation text"/>
    <w:basedOn w:val="Normal"/>
    <w:semiHidden/>
    <w:rsid w:val="00552A61"/>
    <w:rPr>
      <w:sz w:val="20"/>
      <w:szCs w:val="20"/>
    </w:rPr>
  </w:style>
  <w:style w:type="paragraph" w:styleId="CommentSubject">
    <w:name w:val="annotation subject"/>
    <w:basedOn w:val="CommentText"/>
    <w:next w:val="CommentText"/>
    <w:semiHidden/>
    <w:rsid w:val="00552A61"/>
    <w:rPr>
      <w:b/>
      <w:bCs/>
    </w:rPr>
  </w:style>
  <w:style w:type="character" w:styleId="Hyperlink">
    <w:name w:val="Hyperlink"/>
    <w:rsid w:val="00552A61"/>
    <w:rPr>
      <w:color w:val="0000FF"/>
      <w:u w:val="single"/>
      <w:shd w:val="clear" w:color="auto" w:fill="auto"/>
    </w:rPr>
  </w:style>
  <w:style w:type="paragraph" w:styleId="BalloonText">
    <w:name w:val="Balloon Text"/>
    <w:basedOn w:val="Normal"/>
    <w:semiHidden/>
    <w:rsid w:val="00552A61"/>
    <w:rPr>
      <w:rFonts w:ascii="Tahoma" w:hAnsi="Tahoma" w:cs="Tahoma"/>
      <w:sz w:val="16"/>
      <w:szCs w:val="16"/>
    </w:rPr>
  </w:style>
  <w:style w:type="paragraph" w:customStyle="1" w:styleId="Note">
    <w:name w:val="Note"/>
    <w:aliases w:val="NOTE"/>
    <w:basedOn w:val="SUSPparagraph"/>
    <w:rsid w:val="00FC0E6B"/>
    <w:rPr>
      <w:szCs w:val="16"/>
    </w:rPr>
  </w:style>
  <w:style w:type="paragraph" w:styleId="EndnoteText">
    <w:name w:val="endnote text"/>
    <w:basedOn w:val="Normal"/>
    <w:link w:val="EndnoteTextChar"/>
    <w:rsid w:val="000F6CCD"/>
    <w:rPr>
      <w:sz w:val="20"/>
      <w:szCs w:val="20"/>
    </w:rPr>
  </w:style>
  <w:style w:type="character" w:customStyle="1" w:styleId="EndnoteTextChar">
    <w:name w:val="Endnote Text Char"/>
    <w:link w:val="EndnoteText"/>
    <w:rsid w:val="000F6CCD"/>
    <w:rPr>
      <w:shd w:val="clear" w:color="auto" w:fill="auto"/>
      <w:lang w:eastAsia="en-US"/>
    </w:rPr>
  </w:style>
  <w:style w:type="character" w:styleId="EndnoteReference">
    <w:name w:val="endnote reference"/>
    <w:rsid w:val="000F6CCD"/>
    <w:rPr>
      <w:shd w:val="clear" w:color="auto" w:fill="auto"/>
      <w:vertAlign w:val="superscript"/>
    </w:rPr>
  </w:style>
  <w:style w:type="paragraph" w:customStyle="1" w:styleId="CM1">
    <w:name w:val="CM1"/>
    <w:basedOn w:val="Normal"/>
    <w:next w:val="Normal"/>
    <w:rsid w:val="00347CCE"/>
    <w:pPr>
      <w:autoSpaceDE w:val="0"/>
      <w:autoSpaceDN w:val="0"/>
      <w:adjustRightInd w:val="0"/>
      <w:spacing w:before="0" w:after="0"/>
      <w:jc w:val="left"/>
    </w:pPr>
    <w:rPr>
      <w:rFonts w:ascii="EUAlbertina" w:hAnsi="EUAlbertina"/>
      <w:lang w:val="pl-PL" w:eastAsia="en-GB"/>
    </w:rPr>
  </w:style>
  <w:style w:type="table" w:customStyle="1" w:styleId="Notestablewithoutborder">
    <w:name w:val="Notes table without border"/>
    <w:rsid w:val="00424639"/>
    <w:rPr>
      <w:sz w:val="16"/>
      <w:szCs w:val="16"/>
    </w:rPr>
    <w:tblPr>
      <w:tblCellSpacing w:w="0" w:type="dxa"/>
      <w:tblInd w:w="0" w:type="dxa"/>
      <w:tblCellMar>
        <w:top w:w="60" w:type="dxa"/>
        <w:left w:w="60" w:type="dxa"/>
        <w:bottom w:w="60" w:type="dxa"/>
        <w:right w:w="60" w:type="dxa"/>
      </w:tblCellMar>
    </w:tblPr>
    <w:trPr>
      <w:tblCellSpacing w:w="0" w:type="dxa"/>
    </w:trPr>
  </w:style>
  <w:style w:type="paragraph" w:styleId="Subtitle">
    <w:name w:val="Subtitle"/>
    <w:basedOn w:val="SUSPparagraph"/>
    <w:link w:val="SubtitleChar"/>
    <w:qFormat/>
    <w:rsid w:val="00424639"/>
    <w:pPr>
      <w:keepNext/>
      <w:spacing w:before="120" w:after="120"/>
      <w:jc w:val="center"/>
    </w:pPr>
    <w:rPr>
      <w:sz w:val="24"/>
    </w:rPr>
  </w:style>
  <w:style w:type="character" w:customStyle="1" w:styleId="SubtitleChar">
    <w:name w:val="Subtitle Char"/>
    <w:link w:val="Subtitle"/>
    <w:rsid w:val="00424639"/>
    <w:rPr>
      <w:sz w:val="24"/>
      <w:shd w:val="clear" w:color="auto" w:fill="auto"/>
    </w:rPr>
  </w:style>
  <w:style w:type="table" w:customStyle="1" w:styleId="ListBullet1">
    <w:name w:val="List Bullet1"/>
    <w:basedOn w:val="Listtable"/>
    <w:rsid w:val="00424639"/>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
    <w:name w:val="List numbered"/>
    <w:basedOn w:val="Listtable"/>
    <w:rsid w:val="00424639"/>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customStyle="1" w:styleId="oj-normal">
    <w:name w:val="oj-normal"/>
    <w:basedOn w:val="Normal"/>
    <w:rsid w:val="005F02CA"/>
    <w:pPr>
      <w:spacing w:before="100" w:beforeAutospacing="1" w:after="100" w:afterAutospacing="1"/>
      <w:jc w:val="left"/>
    </w:pPr>
    <w:rPr>
      <w:lang w:val="en-US"/>
    </w:rPr>
  </w:style>
  <w:style w:type="character" w:customStyle="1" w:styleId="oj-super">
    <w:name w:val="oj-super"/>
    <w:rsid w:val="005F02CA"/>
  </w:style>
  <w:style w:type="paragraph" w:customStyle="1" w:styleId="Normal1">
    <w:name w:val="Normal1"/>
    <w:basedOn w:val="Normal"/>
    <w:rsid w:val="00851EEE"/>
    <w:pPr>
      <w:spacing w:before="100" w:beforeAutospacing="1" w:after="100" w:afterAutospacing="1"/>
      <w:jc w:val="left"/>
    </w:pPr>
    <w:rPr>
      <w:lang w:val="en-US"/>
    </w:rPr>
  </w:style>
  <w:style w:type="character" w:customStyle="1" w:styleId="super">
    <w:name w:val="super"/>
    <w:rsid w:val="00930752"/>
  </w:style>
  <w:style w:type="character" w:customStyle="1" w:styleId="italic">
    <w:name w:val="italic"/>
    <w:rsid w:val="00D2716F"/>
  </w:style>
  <w:style w:type="character" w:customStyle="1" w:styleId="oj-italic">
    <w:name w:val="oj-italic"/>
    <w:rsid w:val="00762B15"/>
  </w:style>
  <w:style w:type="character" w:customStyle="1" w:styleId="boldface">
    <w:name w:val="boldface"/>
    <w:rsid w:val="00063BFE"/>
  </w:style>
  <w:style w:type="paragraph" w:customStyle="1" w:styleId="title-article-norm">
    <w:name w:val="title-article-norm"/>
    <w:basedOn w:val="Normal"/>
    <w:rsid w:val="00AF72B9"/>
    <w:pPr>
      <w:spacing w:before="100" w:beforeAutospacing="1" w:after="100" w:afterAutospacing="1"/>
      <w:jc w:val="left"/>
    </w:pPr>
    <w:rPr>
      <w:lang w:val="en-US"/>
    </w:rPr>
  </w:style>
  <w:style w:type="character" w:customStyle="1" w:styleId="no-parag">
    <w:name w:val="no-parag"/>
    <w:rsid w:val="00AF72B9"/>
  </w:style>
  <w:style w:type="paragraph" w:customStyle="1" w:styleId="modref">
    <w:name w:val="modref"/>
    <w:basedOn w:val="Normal"/>
    <w:rsid w:val="00AF72B9"/>
    <w:pPr>
      <w:spacing w:before="100" w:beforeAutospacing="1" w:after="100" w:afterAutospacing="1"/>
      <w:jc w:val="left"/>
    </w:pPr>
    <w:rPr>
      <w:lang w:val="en-US"/>
    </w:rPr>
  </w:style>
  <w:style w:type="paragraph" w:customStyle="1" w:styleId="norm">
    <w:name w:val="norm"/>
    <w:basedOn w:val="Normal"/>
    <w:rsid w:val="00AF72B9"/>
    <w:pPr>
      <w:spacing w:before="100" w:beforeAutospacing="1" w:after="100" w:afterAutospacing="1"/>
      <w:jc w:val="left"/>
    </w:pPr>
    <w:rPr>
      <w:lang w:val="en-US"/>
    </w:rPr>
  </w:style>
  <w:style w:type="character" w:customStyle="1" w:styleId="italics">
    <w:name w:val="italics"/>
    <w:rsid w:val="00AF72B9"/>
  </w:style>
  <w:style w:type="paragraph" w:styleId="Revision">
    <w:name w:val="Revision"/>
    <w:hidden/>
    <w:uiPriority w:val="99"/>
    <w:semiHidden/>
    <w:rsid w:val="00B82B5A"/>
    <w:rPr>
      <w:sz w:val="24"/>
      <w:szCs w:val="24"/>
    </w:rPr>
  </w:style>
  <w:style w:type="character" w:styleId="FollowedHyperlink">
    <w:name w:val="FollowedHyperlink"/>
    <w:rsid w:val="00B85326"/>
    <w:rPr>
      <w:color w:val="954F72"/>
      <w:u w:val="single"/>
    </w:rPr>
  </w:style>
  <w:style w:type="character" w:styleId="Emphasis">
    <w:name w:val="Emphasis"/>
    <w:uiPriority w:val="20"/>
    <w:qFormat/>
    <w:rsid w:val="00F72A3C"/>
    <w:rPr>
      <w:i/>
      <w:iCs/>
    </w:rPr>
  </w:style>
  <w:style w:type="character" w:customStyle="1" w:styleId="UnresolvedMention">
    <w:name w:val="Unresolved Mention"/>
    <w:uiPriority w:val="99"/>
    <w:semiHidden/>
    <w:unhideWhenUsed/>
    <w:rsid w:val="00835AD9"/>
    <w:rPr>
      <w:color w:val="605E5C"/>
      <w:shd w:val="clear" w:color="auto" w:fill="E1DFDD"/>
    </w:rPr>
  </w:style>
  <w:style w:type="character" w:customStyle="1" w:styleId="HeaderChar">
    <w:name w:val="Header Char"/>
    <w:basedOn w:val="DefaultParagraphFont"/>
    <w:link w:val="Header"/>
    <w:uiPriority w:val="99"/>
    <w:rsid w:val="00C01694"/>
    <w:rPr>
      <w:rFonts w:ascii="Times New Roman" w:hAnsi="Times New Roman" w:cs="Times New Roman"/>
      <w:sz w:val="24"/>
      <w:lang w:val="en-GB"/>
    </w:rPr>
  </w:style>
  <w:style w:type="character" w:customStyle="1" w:styleId="FooterChar">
    <w:name w:val="Footer Char"/>
    <w:basedOn w:val="DefaultParagraphFont"/>
    <w:link w:val="Footer"/>
    <w:uiPriority w:val="99"/>
    <w:rsid w:val="00C0169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0169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1694"/>
    <w:pPr>
      <w:spacing w:before="0"/>
      <w:jc w:val="right"/>
    </w:pPr>
    <w:rPr>
      <w:sz w:val="28"/>
    </w:rPr>
  </w:style>
  <w:style w:type="paragraph" w:customStyle="1" w:styleId="FooterSensitivity">
    <w:name w:val="Footer Sensitivity"/>
    <w:basedOn w:val="Normal"/>
    <w:rsid w:val="00C016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01694"/>
    <w:pPr>
      <w:tabs>
        <w:tab w:val="center" w:pos="4535"/>
        <w:tab w:val="right" w:pos="9071"/>
      </w:tabs>
      <w:spacing w:before="0"/>
    </w:pPr>
  </w:style>
  <w:style w:type="paragraph" w:customStyle="1" w:styleId="HeaderLandscape">
    <w:name w:val="HeaderLandscape"/>
    <w:basedOn w:val="Normal"/>
    <w:rsid w:val="00C01694"/>
    <w:pPr>
      <w:tabs>
        <w:tab w:val="center" w:pos="7285"/>
        <w:tab w:val="right" w:pos="14003"/>
      </w:tabs>
      <w:spacing w:before="0"/>
    </w:pPr>
  </w:style>
  <w:style w:type="paragraph" w:styleId="Footer">
    <w:name w:val="footer"/>
    <w:basedOn w:val="Normal"/>
    <w:link w:val="FooterChar"/>
    <w:uiPriority w:val="99"/>
    <w:unhideWhenUsed/>
    <w:rsid w:val="00C0169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0169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7476">
      <w:bodyDiv w:val="1"/>
      <w:marLeft w:val="0"/>
      <w:marRight w:val="0"/>
      <w:marTop w:val="0"/>
      <w:marBottom w:val="0"/>
      <w:divBdr>
        <w:top w:val="none" w:sz="0" w:space="0" w:color="auto"/>
        <w:left w:val="none" w:sz="0" w:space="0" w:color="auto"/>
        <w:bottom w:val="none" w:sz="0" w:space="0" w:color="auto"/>
        <w:right w:val="none" w:sz="0" w:space="0" w:color="auto"/>
      </w:divBdr>
    </w:div>
    <w:div w:id="175120516">
      <w:bodyDiv w:val="1"/>
      <w:marLeft w:val="0"/>
      <w:marRight w:val="0"/>
      <w:marTop w:val="0"/>
      <w:marBottom w:val="0"/>
      <w:divBdr>
        <w:top w:val="none" w:sz="0" w:space="0" w:color="auto"/>
        <w:left w:val="none" w:sz="0" w:space="0" w:color="auto"/>
        <w:bottom w:val="none" w:sz="0" w:space="0" w:color="auto"/>
        <w:right w:val="none" w:sz="0" w:space="0" w:color="auto"/>
      </w:divBdr>
    </w:div>
    <w:div w:id="186069492">
      <w:bodyDiv w:val="1"/>
      <w:marLeft w:val="0"/>
      <w:marRight w:val="0"/>
      <w:marTop w:val="0"/>
      <w:marBottom w:val="0"/>
      <w:divBdr>
        <w:top w:val="none" w:sz="0" w:space="0" w:color="auto"/>
        <w:left w:val="none" w:sz="0" w:space="0" w:color="auto"/>
        <w:bottom w:val="none" w:sz="0" w:space="0" w:color="auto"/>
        <w:right w:val="none" w:sz="0" w:space="0" w:color="auto"/>
      </w:divBdr>
    </w:div>
    <w:div w:id="260526819">
      <w:bodyDiv w:val="1"/>
      <w:marLeft w:val="0"/>
      <w:marRight w:val="0"/>
      <w:marTop w:val="0"/>
      <w:marBottom w:val="0"/>
      <w:divBdr>
        <w:top w:val="none" w:sz="0" w:space="0" w:color="auto"/>
        <w:left w:val="none" w:sz="0" w:space="0" w:color="auto"/>
        <w:bottom w:val="none" w:sz="0" w:space="0" w:color="auto"/>
        <w:right w:val="none" w:sz="0" w:space="0" w:color="auto"/>
      </w:divBdr>
    </w:div>
    <w:div w:id="263652237">
      <w:bodyDiv w:val="1"/>
      <w:marLeft w:val="0"/>
      <w:marRight w:val="0"/>
      <w:marTop w:val="0"/>
      <w:marBottom w:val="0"/>
      <w:divBdr>
        <w:top w:val="none" w:sz="0" w:space="0" w:color="auto"/>
        <w:left w:val="none" w:sz="0" w:space="0" w:color="auto"/>
        <w:bottom w:val="none" w:sz="0" w:space="0" w:color="auto"/>
        <w:right w:val="none" w:sz="0" w:space="0" w:color="auto"/>
      </w:divBdr>
      <w:divsChild>
        <w:div w:id="1696080093">
          <w:marLeft w:val="0"/>
          <w:marRight w:val="0"/>
          <w:marTop w:val="0"/>
          <w:marBottom w:val="0"/>
          <w:divBdr>
            <w:top w:val="none" w:sz="0" w:space="0" w:color="auto"/>
            <w:left w:val="none" w:sz="0" w:space="0" w:color="auto"/>
            <w:bottom w:val="none" w:sz="0" w:space="0" w:color="auto"/>
            <w:right w:val="none" w:sz="0" w:space="0" w:color="auto"/>
          </w:divBdr>
        </w:div>
        <w:div w:id="1252660394">
          <w:marLeft w:val="0"/>
          <w:marRight w:val="0"/>
          <w:marTop w:val="0"/>
          <w:marBottom w:val="0"/>
          <w:divBdr>
            <w:top w:val="none" w:sz="0" w:space="0" w:color="auto"/>
            <w:left w:val="none" w:sz="0" w:space="0" w:color="auto"/>
            <w:bottom w:val="none" w:sz="0" w:space="0" w:color="auto"/>
            <w:right w:val="none" w:sz="0" w:space="0" w:color="auto"/>
          </w:divBdr>
        </w:div>
        <w:div w:id="803742202">
          <w:marLeft w:val="0"/>
          <w:marRight w:val="0"/>
          <w:marTop w:val="0"/>
          <w:marBottom w:val="0"/>
          <w:divBdr>
            <w:top w:val="none" w:sz="0" w:space="0" w:color="auto"/>
            <w:left w:val="none" w:sz="0" w:space="0" w:color="auto"/>
            <w:bottom w:val="none" w:sz="0" w:space="0" w:color="auto"/>
            <w:right w:val="none" w:sz="0" w:space="0" w:color="auto"/>
          </w:divBdr>
        </w:div>
      </w:divsChild>
    </w:div>
    <w:div w:id="341665352">
      <w:bodyDiv w:val="1"/>
      <w:marLeft w:val="0"/>
      <w:marRight w:val="0"/>
      <w:marTop w:val="0"/>
      <w:marBottom w:val="0"/>
      <w:divBdr>
        <w:top w:val="none" w:sz="0" w:space="0" w:color="auto"/>
        <w:left w:val="none" w:sz="0" w:space="0" w:color="auto"/>
        <w:bottom w:val="none" w:sz="0" w:space="0" w:color="auto"/>
        <w:right w:val="none" w:sz="0" w:space="0" w:color="auto"/>
      </w:divBdr>
    </w:div>
    <w:div w:id="414863011">
      <w:bodyDiv w:val="1"/>
      <w:marLeft w:val="0"/>
      <w:marRight w:val="0"/>
      <w:marTop w:val="0"/>
      <w:marBottom w:val="0"/>
      <w:divBdr>
        <w:top w:val="none" w:sz="0" w:space="0" w:color="auto"/>
        <w:left w:val="none" w:sz="0" w:space="0" w:color="auto"/>
        <w:bottom w:val="none" w:sz="0" w:space="0" w:color="auto"/>
        <w:right w:val="none" w:sz="0" w:space="0" w:color="auto"/>
      </w:divBdr>
    </w:div>
    <w:div w:id="475336672">
      <w:bodyDiv w:val="1"/>
      <w:marLeft w:val="0"/>
      <w:marRight w:val="0"/>
      <w:marTop w:val="0"/>
      <w:marBottom w:val="0"/>
      <w:divBdr>
        <w:top w:val="none" w:sz="0" w:space="0" w:color="auto"/>
        <w:left w:val="none" w:sz="0" w:space="0" w:color="auto"/>
        <w:bottom w:val="none" w:sz="0" w:space="0" w:color="auto"/>
        <w:right w:val="none" w:sz="0" w:space="0" w:color="auto"/>
      </w:divBdr>
    </w:div>
    <w:div w:id="576478520">
      <w:bodyDiv w:val="1"/>
      <w:marLeft w:val="0"/>
      <w:marRight w:val="0"/>
      <w:marTop w:val="0"/>
      <w:marBottom w:val="0"/>
      <w:divBdr>
        <w:top w:val="none" w:sz="0" w:space="0" w:color="auto"/>
        <w:left w:val="none" w:sz="0" w:space="0" w:color="auto"/>
        <w:bottom w:val="none" w:sz="0" w:space="0" w:color="auto"/>
        <w:right w:val="none" w:sz="0" w:space="0" w:color="auto"/>
      </w:divBdr>
    </w:div>
    <w:div w:id="708267042">
      <w:bodyDiv w:val="1"/>
      <w:marLeft w:val="0"/>
      <w:marRight w:val="0"/>
      <w:marTop w:val="0"/>
      <w:marBottom w:val="0"/>
      <w:divBdr>
        <w:top w:val="none" w:sz="0" w:space="0" w:color="auto"/>
        <w:left w:val="none" w:sz="0" w:space="0" w:color="auto"/>
        <w:bottom w:val="none" w:sz="0" w:space="0" w:color="auto"/>
        <w:right w:val="none" w:sz="0" w:space="0" w:color="auto"/>
      </w:divBdr>
    </w:div>
    <w:div w:id="727651878">
      <w:bodyDiv w:val="1"/>
      <w:marLeft w:val="0"/>
      <w:marRight w:val="0"/>
      <w:marTop w:val="0"/>
      <w:marBottom w:val="0"/>
      <w:divBdr>
        <w:top w:val="none" w:sz="0" w:space="0" w:color="auto"/>
        <w:left w:val="none" w:sz="0" w:space="0" w:color="auto"/>
        <w:bottom w:val="none" w:sz="0" w:space="0" w:color="auto"/>
        <w:right w:val="none" w:sz="0" w:space="0" w:color="auto"/>
      </w:divBdr>
    </w:div>
    <w:div w:id="904492970">
      <w:bodyDiv w:val="1"/>
      <w:marLeft w:val="0"/>
      <w:marRight w:val="0"/>
      <w:marTop w:val="0"/>
      <w:marBottom w:val="0"/>
      <w:divBdr>
        <w:top w:val="none" w:sz="0" w:space="0" w:color="auto"/>
        <w:left w:val="none" w:sz="0" w:space="0" w:color="auto"/>
        <w:bottom w:val="none" w:sz="0" w:space="0" w:color="auto"/>
        <w:right w:val="none" w:sz="0" w:space="0" w:color="auto"/>
      </w:divBdr>
    </w:div>
    <w:div w:id="1176648093">
      <w:bodyDiv w:val="1"/>
      <w:marLeft w:val="0"/>
      <w:marRight w:val="0"/>
      <w:marTop w:val="0"/>
      <w:marBottom w:val="0"/>
      <w:divBdr>
        <w:top w:val="none" w:sz="0" w:space="0" w:color="auto"/>
        <w:left w:val="none" w:sz="0" w:space="0" w:color="auto"/>
        <w:bottom w:val="none" w:sz="0" w:space="0" w:color="auto"/>
        <w:right w:val="none" w:sz="0" w:space="0" w:color="auto"/>
      </w:divBdr>
    </w:div>
    <w:div w:id="1189024647">
      <w:bodyDiv w:val="1"/>
      <w:marLeft w:val="0"/>
      <w:marRight w:val="0"/>
      <w:marTop w:val="0"/>
      <w:marBottom w:val="0"/>
      <w:divBdr>
        <w:top w:val="none" w:sz="0" w:space="0" w:color="auto"/>
        <w:left w:val="none" w:sz="0" w:space="0" w:color="auto"/>
        <w:bottom w:val="none" w:sz="0" w:space="0" w:color="auto"/>
        <w:right w:val="none" w:sz="0" w:space="0" w:color="auto"/>
      </w:divBdr>
    </w:div>
    <w:div w:id="1213078640">
      <w:bodyDiv w:val="1"/>
      <w:marLeft w:val="0"/>
      <w:marRight w:val="0"/>
      <w:marTop w:val="0"/>
      <w:marBottom w:val="0"/>
      <w:divBdr>
        <w:top w:val="none" w:sz="0" w:space="0" w:color="auto"/>
        <w:left w:val="none" w:sz="0" w:space="0" w:color="auto"/>
        <w:bottom w:val="none" w:sz="0" w:space="0" w:color="auto"/>
        <w:right w:val="none" w:sz="0" w:space="0" w:color="auto"/>
      </w:divBdr>
    </w:div>
    <w:div w:id="1272325032">
      <w:bodyDiv w:val="1"/>
      <w:marLeft w:val="0"/>
      <w:marRight w:val="0"/>
      <w:marTop w:val="0"/>
      <w:marBottom w:val="0"/>
      <w:divBdr>
        <w:top w:val="none" w:sz="0" w:space="0" w:color="auto"/>
        <w:left w:val="none" w:sz="0" w:space="0" w:color="auto"/>
        <w:bottom w:val="none" w:sz="0" w:space="0" w:color="auto"/>
        <w:right w:val="none" w:sz="0" w:space="0" w:color="auto"/>
      </w:divBdr>
    </w:div>
    <w:div w:id="1314213732">
      <w:bodyDiv w:val="1"/>
      <w:marLeft w:val="0"/>
      <w:marRight w:val="0"/>
      <w:marTop w:val="0"/>
      <w:marBottom w:val="0"/>
      <w:divBdr>
        <w:top w:val="none" w:sz="0" w:space="0" w:color="auto"/>
        <w:left w:val="none" w:sz="0" w:space="0" w:color="auto"/>
        <w:bottom w:val="none" w:sz="0" w:space="0" w:color="auto"/>
        <w:right w:val="none" w:sz="0" w:space="0" w:color="auto"/>
      </w:divBdr>
    </w:div>
    <w:div w:id="1329140099">
      <w:bodyDiv w:val="1"/>
      <w:marLeft w:val="0"/>
      <w:marRight w:val="0"/>
      <w:marTop w:val="0"/>
      <w:marBottom w:val="0"/>
      <w:divBdr>
        <w:top w:val="none" w:sz="0" w:space="0" w:color="auto"/>
        <w:left w:val="none" w:sz="0" w:space="0" w:color="auto"/>
        <w:bottom w:val="none" w:sz="0" w:space="0" w:color="auto"/>
        <w:right w:val="none" w:sz="0" w:space="0" w:color="auto"/>
      </w:divBdr>
    </w:div>
    <w:div w:id="1346862491">
      <w:bodyDiv w:val="1"/>
      <w:marLeft w:val="0"/>
      <w:marRight w:val="0"/>
      <w:marTop w:val="0"/>
      <w:marBottom w:val="0"/>
      <w:divBdr>
        <w:top w:val="none" w:sz="0" w:space="0" w:color="auto"/>
        <w:left w:val="none" w:sz="0" w:space="0" w:color="auto"/>
        <w:bottom w:val="none" w:sz="0" w:space="0" w:color="auto"/>
        <w:right w:val="none" w:sz="0" w:space="0" w:color="auto"/>
      </w:divBdr>
    </w:div>
    <w:div w:id="1349411148">
      <w:bodyDiv w:val="1"/>
      <w:marLeft w:val="0"/>
      <w:marRight w:val="0"/>
      <w:marTop w:val="0"/>
      <w:marBottom w:val="0"/>
      <w:divBdr>
        <w:top w:val="none" w:sz="0" w:space="0" w:color="auto"/>
        <w:left w:val="none" w:sz="0" w:space="0" w:color="auto"/>
        <w:bottom w:val="none" w:sz="0" w:space="0" w:color="auto"/>
        <w:right w:val="none" w:sz="0" w:space="0" w:color="auto"/>
      </w:divBdr>
    </w:div>
    <w:div w:id="1349789633">
      <w:bodyDiv w:val="1"/>
      <w:marLeft w:val="0"/>
      <w:marRight w:val="0"/>
      <w:marTop w:val="0"/>
      <w:marBottom w:val="0"/>
      <w:divBdr>
        <w:top w:val="none" w:sz="0" w:space="0" w:color="auto"/>
        <w:left w:val="none" w:sz="0" w:space="0" w:color="auto"/>
        <w:bottom w:val="none" w:sz="0" w:space="0" w:color="auto"/>
        <w:right w:val="none" w:sz="0" w:space="0" w:color="auto"/>
      </w:divBdr>
    </w:div>
    <w:div w:id="1354768929">
      <w:bodyDiv w:val="1"/>
      <w:marLeft w:val="0"/>
      <w:marRight w:val="0"/>
      <w:marTop w:val="0"/>
      <w:marBottom w:val="0"/>
      <w:divBdr>
        <w:top w:val="none" w:sz="0" w:space="0" w:color="auto"/>
        <w:left w:val="none" w:sz="0" w:space="0" w:color="auto"/>
        <w:bottom w:val="none" w:sz="0" w:space="0" w:color="auto"/>
        <w:right w:val="none" w:sz="0" w:space="0" w:color="auto"/>
      </w:divBdr>
      <w:divsChild>
        <w:div w:id="1793935717">
          <w:marLeft w:val="0"/>
          <w:marRight w:val="0"/>
          <w:marTop w:val="0"/>
          <w:marBottom w:val="0"/>
          <w:divBdr>
            <w:top w:val="none" w:sz="0" w:space="0" w:color="auto"/>
            <w:left w:val="none" w:sz="0" w:space="0" w:color="auto"/>
            <w:bottom w:val="none" w:sz="0" w:space="0" w:color="auto"/>
            <w:right w:val="none" w:sz="0" w:space="0" w:color="auto"/>
          </w:divBdr>
          <w:divsChild>
            <w:div w:id="1008604074">
              <w:marLeft w:val="0"/>
              <w:marRight w:val="0"/>
              <w:marTop w:val="0"/>
              <w:marBottom w:val="0"/>
              <w:divBdr>
                <w:top w:val="none" w:sz="0" w:space="0" w:color="auto"/>
                <w:left w:val="none" w:sz="0" w:space="0" w:color="auto"/>
                <w:bottom w:val="none" w:sz="0" w:space="0" w:color="auto"/>
                <w:right w:val="none" w:sz="0" w:space="0" w:color="auto"/>
              </w:divBdr>
            </w:div>
          </w:divsChild>
        </w:div>
        <w:div w:id="100076607">
          <w:marLeft w:val="0"/>
          <w:marRight w:val="0"/>
          <w:marTop w:val="0"/>
          <w:marBottom w:val="0"/>
          <w:divBdr>
            <w:top w:val="none" w:sz="0" w:space="0" w:color="auto"/>
            <w:left w:val="none" w:sz="0" w:space="0" w:color="auto"/>
            <w:bottom w:val="none" w:sz="0" w:space="0" w:color="auto"/>
            <w:right w:val="none" w:sz="0" w:space="0" w:color="auto"/>
          </w:divBdr>
          <w:divsChild>
            <w:div w:id="1234853668">
              <w:marLeft w:val="0"/>
              <w:marRight w:val="0"/>
              <w:marTop w:val="0"/>
              <w:marBottom w:val="0"/>
              <w:divBdr>
                <w:top w:val="none" w:sz="0" w:space="0" w:color="auto"/>
                <w:left w:val="none" w:sz="0" w:space="0" w:color="auto"/>
                <w:bottom w:val="none" w:sz="0" w:space="0" w:color="auto"/>
                <w:right w:val="none" w:sz="0" w:space="0" w:color="auto"/>
              </w:divBdr>
            </w:div>
          </w:divsChild>
        </w:div>
        <w:div w:id="2041083619">
          <w:marLeft w:val="0"/>
          <w:marRight w:val="0"/>
          <w:marTop w:val="0"/>
          <w:marBottom w:val="0"/>
          <w:divBdr>
            <w:top w:val="none" w:sz="0" w:space="0" w:color="auto"/>
            <w:left w:val="none" w:sz="0" w:space="0" w:color="auto"/>
            <w:bottom w:val="none" w:sz="0" w:space="0" w:color="auto"/>
            <w:right w:val="none" w:sz="0" w:space="0" w:color="auto"/>
          </w:divBdr>
          <w:divsChild>
            <w:div w:id="1379277966">
              <w:marLeft w:val="0"/>
              <w:marRight w:val="0"/>
              <w:marTop w:val="0"/>
              <w:marBottom w:val="0"/>
              <w:divBdr>
                <w:top w:val="none" w:sz="0" w:space="0" w:color="auto"/>
                <w:left w:val="none" w:sz="0" w:space="0" w:color="auto"/>
                <w:bottom w:val="none" w:sz="0" w:space="0" w:color="auto"/>
                <w:right w:val="none" w:sz="0" w:space="0" w:color="auto"/>
              </w:divBdr>
              <w:divsChild>
                <w:div w:id="1016158117">
                  <w:marLeft w:val="0"/>
                  <w:marRight w:val="0"/>
                  <w:marTop w:val="0"/>
                  <w:marBottom w:val="0"/>
                  <w:divBdr>
                    <w:top w:val="none" w:sz="0" w:space="0" w:color="auto"/>
                    <w:left w:val="none" w:sz="0" w:space="0" w:color="auto"/>
                    <w:bottom w:val="none" w:sz="0" w:space="0" w:color="auto"/>
                    <w:right w:val="none" w:sz="0" w:space="0" w:color="auto"/>
                  </w:divBdr>
                  <w:divsChild>
                    <w:div w:id="1267273570">
                      <w:marLeft w:val="0"/>
                      <w:marRight w:val="0"/>
                      <w:marTop w:val="120"/>
                      <w:marBottom w:val="0"/>
                      <w:divBdr>
                        <w:top w:val="none" w:sz="0" w:space="0" w:color="auto"/>
                        <w:left w:val="none" w:sz="0" w:space="0" w:color="auto"/>
                        <w:bottom w:val="none" w:sz="0" w:space="0" w:color="auto"/>
                        <w:right w:val="none" w:sz="0" w:space="0" w:color="auto"/>
                      </w:divBdr>
                    </w:div>
                    <w:div w:id="1050378047">
                      <w:marLeft w:val="0"/>
                      <w:marRight w:val="0"/>
                      <w:marTop w:val="0"/>
                      <w:marBottom w:val="0"/>
                      <w:divBdr>
                        <w:top w:val="none" w:sz="0" w:space="0" w:color="auto"/>
                        <w:left w:val="none" w:sz="0" w:space="0" w:color="auto"/>
                        <w:bottom w:val="none" w:sz="0" w:space="0" w:color="auto"/>
                        <w:right w:val="none" w:sz="0" w:space="0" w:color="auto"/>
                      </w:divBdr>
                    </w:div>
                  </w:divsChild>
                </w:div>
                <w:div w:id="530068789">
                  <w:marLeft w:val="0"/>
                  <w:marRight w:val="0"/>
                  <w:marTop w:val="0"/>
                  <w:marBottom w:val="0"/>
                  <w:divBdr>
                    <w:top w:val="none" w:sz="0" w:space="0" w:color="auto"/>
                    <w:left w:val="none" w:sz="0" w:space="0" w:color="auto"/>
                    <w:bottom w:val="none" w:sz="0" w:space="0" w:color="auto"/>
                    <w:right w:val="none" w:sz="0" w:space="0" w:color="auto"/>
                  </w:divBdr>
                  <w:divsChild>
                    <w:div w:id="14354204">
                      <w:marLeft w:val="0"/>
                      <w:marRight w:val="0"/>
                      <w:marTop w:val="120"/>
                      <w:marBottom w:val="0"/>
                      <w:divBdr>
                        <w:top w:val="none" w:sz="0" w:space="0" w:color="auto"/>
                        <w:left w:val="none" w:sz="0" w:space="0" w:color="auto"/>
                        <w:bottom w:val="none" w:sz="0" w:space="0" w:color="auto"/>
                        <w:right w:val="none" w:sz="0" w:space="0" w:color="auto"/>
                      </w:divBdr>
                    </w:div>
                    <w:div w:id="127016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383936">
          <w:marLeft w:val="0"/>
          <w:marRight w:val="0"/>
          <w:marTop w:val="0"/>
          <w:marBottom w:val="0"/>
          <w:divBdr>
            <w:top w:val="none" w:sz="0" w:space="0" w:color="auto"/>
            <w:left w:val="none" w:sz="0" w:space="0" w:color="auto"/>
            <w:bottom w:val="none" w:sz="0" w:space="0" w:color="auto"/>
            <w:right w:val="none" w:sz="0" w:space="0" w:color="auto"/>
          </w:divBdr>
          <w:divsChild>
            <w:div w:id="921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9027">
      <w:bodyDiv w:val="1"/>
      <w:marLeft w:val="0"/>
      <w:marRight w:val="0"/>
      <w:marTop w:val="0"/>
      <w:marBottom w:val="0"/>
      <w:divBdr>
        <w:top w:val="none" w:sz="0" w:space="0" w:color="auto"/>
        <w:left w:val="none" w:sz="0" w:space="0" w:color="auto"/>
        <w:bottom w:val="none" w:sz="0" w:space="0" w:color="auto"/>
        <w:right w:val="none" w:sz="0" w:space="0" w:color="auto"/>
      </w:divBdr>
    </w:div>
    <w:div w:id="1794714405">
      <w:bodyDiv w:val="1"/>
      <w:marLeft w:val="0"/>
      <w:marRight w:val="0"/>
      <w:marTop w:val="0"/>
      <w:marBottom w:val="0"/>
      <w:divBdr>
        <w:top w:val="none" w:sz="0" w:space="0" w:color="auto"/>
        <w:left w:val="none" w:sz="0" w:space="0" w:color="auto"/>
        <w:bottom w:val="none" w:sz="0" w:space="0" w:color="auto"/>
        <w:right w:val="none" w:sz="0" w:space="0" w:color="auto"/>
      </w:divBdr>
    </w:div>
    <w:div w:id="1903060017">
      <w:bodyDiv w:val="1"/>
      <w:marLeft w:val="0"/>
      <w:marRight w:val="0"/>
      <w:marTop w:val="0"/>
      <w:marBottom w:val="0"/>
      <w:divBdr>
        <w:top w:val="none" w:sz="0" w:space="0" w:color="auto"/>
        <w:left w:val="none" w:sz="0" w:space="0" w:color="auto"/>
        <w:bottom w:val="none" w:sz="0" w:space="0" w:color="auto"/>
        <w:right w:val="none" w:sz="0" w:space="0" w:color="auto"/>
      </w:divBdr>
    </w:div>
    <w:div w:id="1926038205">
      <w:bodyDiv w:val="1"/>
      <w:marLeft w:val="0"/>
      <w:marRight w:val="0"/>
      <w:marTop w:val="0"/>
      <w:marBottom w:val="0"/>
      <w:divBdr>
        <w:top w:val="none" w:sz="0" w:space="0" w:color="auto"/>
        <w:left w:val="none" w:sz="0" w:space="0" w:color="auto"/>
        <w:bottom w:val="none" w:sz="0" w:space="0" w:color="auto"/>
        <w:right w:val="none" w:sz="0" w:space="0" w:color="auto"/>
      </w:divBdr>
    </w:div>
    <w:div w:id="1988581762">
      <w:bodyDiv w:val="1"/>
      <w:marLeft w:val="0"/>
      <w:marRight w:val="0"/>
      <w:marTop w:val="0"/>
      <w:marBottom w:val="0"/>
      <w:divBdr>
        <w:top w:val="none" w:sz="0" w:space="0" w:color="auto"/>
        <w:left w:val="none" w:sz="0" w:space="0" w:color="auto"/>
        <w:bottom w:val="none" w:sz="0" w:space="0" w:color="auto"/>
        <w:right w:val="none" w:sz="0" w:space="0" w:color="auto"/>
      </w:divBdr>
    </w:div>
    <w:div w:id="1990669079">
      <w:bodyDiv w:val="1"/>
      <w:marLeft w:val="0"/>
      <w:marRight w:val="0"/>
      <w:marTop w:val="0"/>
      <w:marBottom w:val="0"/>
      <w:divBdr>
        <w:top w:val="none" w:sz="0" w:space="0" w:color="auto"/>
        <w:left w:val="none" w:sz="0" w:space="0" w:color="auto"/>
        <w:bottom w:val="none" w:sz="0" w:space="0" w:color="auto"/>
        <w:right w:val="none" w:sz="0" w:space="0" w:color="auto"/>
      </w:divBdr>
    </w:div>
    <w:div w:id="2097172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2278/oj" TargetMode="External"/><Relationship Id="rId1" Type="http://schemas.openxmlformats.org/officeDocument/2006/relationships/hyperlink" Target="http://data.europa.eu/eli/reg/2013/9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2848C-0FCB-4BEC-8327-BF4A5A664386}">
  <ds:schemaRefs>
    <ds:schemaRef ds:uri="http://schemas.microsoft.com/sharepoint/v3/contenttype/forms"/>
  </ds:schemaRefs>
</ds:datastoreItem>
</file>

<file path=customXml/itemProps2.xml><?xml version="1.0" encoding="utf-8"?>
<ds:datastoreItem xmlns:ds="http://schemas.openxmlformats.org/officeDocument/2006/customXml" ds:itemID="{C24923D7-B89A-4AF0-88AE-EE355FD0E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ABB415-8585-464D-9199-97E4920DB1A3}">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4.xml><?xml version="1.0" encoding="utf-8"?>
<ds:datastoreItem xmlns:ds="http://schemas.openxmlformats.org/officeDocument/2006/customXml" ds:itemID="{04823026-A9ED-4DA5-BE0B-3F393ABB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Pages>
  <Words>1794</Words>
  <Characters>10231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13</cp:revision>
  <cp:lastPrinted>2022-03-24T18:14:00Z</cp:lastPrinted>
  <dcterms:created xsi:type="dcterms:W3CDTF">2026-04-07T09:57:00Z</dcterms:created>
  <dcterms:modified xsi:type="dcterms:W3CDTF">2026-04-22T07:40:00Z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5.8.22.0</vt:lpwstr>
  </property>
  <property fmtid="{D5CDD505-2E9C-101B-9397-08002B2CF9AE}" pid="4" name="Created using">
    <vt:lpwstr>LW 5.8, Build 20110311</vt:lpwstr>
  </property>
  <property fmtid="{D5CDD505-2E9C-101B-9397-08002B2CF9AE}" pid="5" name="Last edited using">
    <vt:lpwstr>LW 9.2, Build 20250828</vt:lpwstr>
  </property>
  <property fmtid="{D5CDD505-2E9C-101B-9397-08002B2CF9AE}" pid="6" name="_NewReviewCycle">
    <vt:lpwstr/>
  </property>
  <property fmtid="{D5CDD505-2E9C-101B-9397-08002B2CF9AE}" pid="7" name="LWTemplateID">
    <vt:lpwstr>SJ-016</vt:lpwstr>
  </property>
  <property fmtid="{D5CDD505-2E9C-101B-9397-08002B2CF9AE}" pid="8" name="Level of sensitivity">
    <vt:lpwstr>Standard treatment</vt:lpwstr>
  </property>
  <property fmtid="{D5CDD505-2E9C-101B-9397-08002B2CF9AE}" pid="9" name="Part">
    <vt:lpwstr>1</vt:lpwstr>
  </property>
  <property fmtid="{D5CDD505-2E9C-101B-9397-08002B2CF9AE}" pid="10" name="Total parts">
    <vt:lpwstr>1</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2023-02-10T11:40:19Z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e750f0b3-1c54-4a71-a94a-bbdb734d8802</vt:lpwstr>
  </property>
  <property fmtid="{D5CDD505-2E9C-101B-9397-08002B2CF9AE}" pid="17" name="MSIP_Label_6bd9ddd1-4d20-43f6-abfa-fc3c07406f94_ContentBits">
    <vt:lpwstr>0</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