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326" w:rsidRPr="009D3BAB" w:rsidRDefault="00F13CFB" w:rsidP="00F13CF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C4BDC3-BB76-4F93-8564-3430D24A3839" style="width:455.25pt;height:371.25pt">
            <v:imagedata r:id="rId11" o:title=""/>
          </v:shape>
        </w:pict>
      </w:r>
    </w:p>
    <w:p w:rsidR="00427F25" w:rsidRPr="009D3BAB" w:rsidRDefault="00427F25" w:rsidP="00427F25">
      <w:pPr>
        <w:rPr>
          <w:noProof/>
        </w:rPr>
        <w:sectPr w:rsidR="00427F25" w:rsidRPr="009D3BAB" w:rsidSect="00F13CFB">
          <w:footerReference w:type="even" r:id="rId12"/>
          <w:footerReference w:type="default" r:id="rId13"/>
          <w:footnotePr>
            <w:numRestart w:val="eachSect"/>
          </w:footnotePr>
          <w:pgSz w:w="11907" w:h="16839"/>
          <w:pgMar w:top="1134" w:right="1417" w:bottom="1134" w:left="1417" w:header="709" w:footer="709" w:gutter="0"/>
          <w:pgNumType w:start="1"/>
          <w:cols w:space="720"/>
          <w:docGrid w:linePitch="360"/>
        </w:sectPr>
      </w:pPr>
    </w:p>
    <w:p w:rsidR="004A5E08" w:rsidRPr="009D3BAB" w:rsidRDefault="004A5E08" w:rsidP="00B85326">
      <w:pPr>
        <w:pStyle w:val="Exposdesmotifstitre"/>
        <w:rPr>
          <w:noProof/>
        </w:rPr>
      </w:pPr>
      <w:bookmarkStart w:id="0" w:name="_GoBack"/>
      <w:bookmarkEnd w:id="0"/>
      <w:r w:rsidRPr="009D3BAB">
        <w:rPr>
          <w:noProof/>
        </w:rPr>
        <w:lastRenderedPageBreak/>
        <w:t>EXPUNERE DE MOTIVE</w:t>
      </w:r>
    </w:p>
    <w:p w:rsidR="004A5E08" w:rsidRPr="009D3BAB" w:rsidRDefault="004A5E08" w:rsidP="004A5E08">
      <w:pPr>
        <w:pStyle w:val="ManualHeading1"/>
        <w:rPr>
          <w:noProof/>
        </w:rPr>
      </w:pPr>
      <w:r w:rsidRPr="009D3BAB">
        <w:rPr>
          <w:noProof/>
        </w:rPr>
        <w:t>1.</w:t>
      </w:r>
      <w:r w:rsidRPr="009D3BAB">
        <w:rPr>
          <w:noProof/>
        </w:rPr>
        <w:tab/>
        <w:t>CONTEXTUL PROPUNERII</w:t>
      </w:r>
    </w:p>
    <w:p w:rsidR="004A5E08" w:rsidRPr="009D3BAB" w:rsidRDefault="004A5E08" w:rsidP="004A5E08">
      <w:pPr>
        <w:pStyle w:val="ManualHeading2"/>
        <w:rPr>
          <w:rFonts w:eastAsia="Arial Unicode MS"/>
          <w:noProof/>
        </w:rPr>
      </w:pPr>
      <w:r w:rsidRPr="009D3BAB">
        <w:rPr>
          <w:noProof/>
          <w:color w:val="000000"/>
          <w:u w:color="000000"/>
          <w:bdr w:val="nil"/>
        </w:rPr>
        <w:t>•</w:t>
      </w:r>
      <w:r w:rsidRPr="009D3BAB">
        <w:rPr>
          <w:noProof/>
        </w:rPr>
        <w:tab/>
        <w:t>Motivele și obiectivele propunerii</w:t>
      </w:r>
    </w:p>
    <w:p w:rsidR="004A5E08" w:rsidRPr="009D3BAB" w:rsidRDefault="004A5E08" w:rsidP="004A5E08">
      <w:pPr>
        <w:rPr>
          <w:noProof/>
        </w:rPr>
      </w:pPr>
      <w:r w:rsidRPr="009D3BAB">
        <w:rPr>
          <w:noProof/>
        </w:rPr>
        <w:t>Pentru a se asigura furnizarea suficientă și neîntreruptă a anumitor produse agricole și industriale care sunt fabricate în cantități insuficiente sau nu sunt fabricate deloc în Uniune și pentru a se evita orice perturbare a pieței produselor respective, anumite taxe din Tariful vamal comun au fost suspendate, parțial sau integral, fără limite în ceea ce privește cantitatea, prin Regulamentul (UE) nr. 2021/2278 al Consiliului (denumit în continuare „regulamentul”)</w:t>
      </w:r>
      <w:r w:rsidRPr="009D3BAB">
        <w:rPr>
          <w:rStyle w:val="FootnoteReference"/>
          <w:noProof/>
        </w:rPr>
        <w:footnoteReference w:id="2"/>
      </w:r>
      <w:r w:rsidRPr="009D3BAB">
        <w:rPr>
          <w:noProof/>
        </w:rPr>
        <w:t>.</w:t>
      </w:r>
    </w:p>
    <w:p w:rsidR="00DF2C0E" w:rsidRPr="009D3BAB" w:rsidRDefault="004A5E08" w:rsidP="004A5E08">
      <w:pPr>
        <w:rPr>
          <w:noProof/>
        </w:rPr>
      </w:pPr>
      <w:r w:rsidRPr="009D3BAB">
        <w:rPr>
          <w:noProof/>
        </w:rPr>
        <w:t xml:space="preserve">Regulamentul este actualizat din șase în șase luni pentru a răspunde necesităților industriei din Uniune. </w:t>
      </w:r>
    </w:p>
    <w:p w:rsidR="004A5E08" w:rsidRPr="009D3BAB" w:rsidRDefault="004A5E08" w:rsidP="004A5E08">
      <w:pPr>
        <w:rPr>
          <w:noProof/>
        </w:rPr>
      </w:pPr>
      <w:r w:rsidRPr="009D3BAB">
        <w:rPr>
          <w:noProof/>
        </w:rPr>
        <w:t>Comisia, asistată de Grupul pentru economie tarifară (ETQG), a analizat toate cererile privind suspendările tarifare autonome prezentate de statele membre.</w:t>
      </w:r>
    </w:p>
    <w:p w:rsidR="004A5E08" w:rsidRPr="009D3BAB" w:rsidRDefault="004A5E08" w:rsidP="004A5E08">
      <w:pPr>
        <w:rPr>
          <w:noProof/>
        </w:rPr>
      </w:pPr>
      <w:r w:rsidRPr="009D3BAB">
        <w:rPr>
          <w:noProof/>
        </w:rPr>
        <w:t>În urma acestei analize, Comisia consideră că suspendarea taxelor este justificată pentru anumite produse noi, care nu sunt incluse în prezent în anexa la regulament. Pentru alte produse, este necesar să se modifice condițiile în ceea ce privește descrierea produsului, clasificarea, cerința privind utilizarea finală și/sau data prevăzută pentru reexaminarea obligatorie. Se propune retragerea produselor pentru care menținerea suspendării taxelor nu mai este în interesul economic al Uniunii.</w:t>
      </w:r>
    </w:p>
    <w:p w:rsidR="004A5E08" w:rsidRPr="009D3BAB" w:rsidRDefault="004A5E08" w:rsidP="004A5E08">
      <w:pPr>
        <w:pStyle w:val="ManualHeading2"/>
        <w:rPr>
          <w:rFonts w:eastAsia="Arial Unicode MS"/>
          <w:noProof/>
          <w:color w:val="000000"/>
          <w:u w:color="000000"/>
          <w:bdr w:val="nil"/>
        </w:rPr>
      </w:pPr>
      <w:r w:rsidRPr="009D3BAB">
        <w:rPr>
          <w:noProof/>
          <w:color w:val="000000"/>
          <w:u w:color="000000"/>
          <w:bdr w:val="nil"/>
        </w:rPr>
        <w:t>•</w:t>
      </w:r>
      <w:r w:rsidRPr="009D3BAB">
        <w:rPr>
          <w:noProof/>
        </w:rPr>
        <w:tab/>
        <w:t>Coerența cu dispozițiile existente în domeniul de politică vizat</w:t>
      </w:r>
    </w:p>
    <w:p w:rsidR="004A5E08" w:rsidRPr="009D3BAB" w:rsidRDefault="004A5E08" w:rsidP="004A5E08">
      <w:pPr>
        <w:rPr>
          <w:noProof/>
        </w:rPr>
      </w:pPr>
      <w:r w:rsidRPr="009D3BAB">
        <w:rPr>
          <w:noProof/>
        </w:rPr>
        <w:t>Prezenta propunere nu are efecte asupra țărilor care au un acord comercial preferențial cu Uniunea, nici asupra țărilor candidate sau potențial candidate pentru acorduri preferențiale cu Uniunea (de exemplu, sistemul generalizat de preferințe, regimul comercial al grupului statelor din Africa, zona Caraibilor și Pacific, acordurile de liber schimb).</w:t>
      </w:r>
    </w:p>
    <w:p w:rsidR="004A5E08" w:rsidRPr="009D3BAB" w:rsidRDefault="004A5E08" w:rsidP="004A5E08">
      <w:pPr>
        <w:pStyle w:val="ManualHeading2"/>
        <w:rPr>
          <w:rFonts w:eastAsia="Arial Unicode MS"/>
          <w:noProof/>
        </w:rPr>
      </w:pPr>
      <w:r w:rsidRPr="009D3BAB">
        <w:rPr>
          <w:noProof/>
          <w:color w:val="000000"/>
          <w:u w:color="000000"/>
          <w:bdr w:val="nil"/>
        </w:rPr>
        <w:t>•</w:t>
      </w:r>
      <w:r w:rsidRPr="009D3BAB">
        <w:rPr>
          <w:noProof/>
        </w:rPr>
        <w:tab/>
        <w:t>Coerența cu alte politici ale Uniunii</w:t>
      </w:r>
    </w:p>
    <w:p w:rsidR="004A5E08" w:rsidRPr="009D3BAB" w:rsidRDefault="004A5E08" w:rsidP="004A5E08">
      <w:pPr>
        <w:rPr>
          <w:noProof/>
        </w:rPr>
      </w:pPr>
      <w:r w:rsidRPr="009D3BAB">
        <w:rPr>
          <w:noProof/>
        </w:rPr>
        <w:t>Propunerea este conformă cu politicile Uniunii în domeniul agriculturii, al comerțului, al întreprinderilor, al mediului, al dezvoltării și al relațiilor externe.</w:t>
      </w:r>
    </w:p>
    <w:p w:rsidR="004A5E08" w:rsidRPr="009D3BAB" w:rsidRDefault="004A5E08" w:rsidP="004A5E08">
      <w:pPr>
        <w:pStyle w:val="ManualHeading1"/>
        <w:rPr>
          <w:noProof/>
        </w:rPr>
      </w:pPr>
      <w:r w:rsidRPr="009D3BAB">
        <w:rPr>
          <w:noProof/>
        </w:rPr>
        <w:t>2.</w:t>
      </w:r>
      <w:r w:rsidRPr="009D3BAB">
        <w:rPr>
          <w:noProof/>
        </w:rPr>
        <w:tab/>
        <w:t>TEMEI JURIDIC, SUBSIDIARITATE ȘI PROPORȚIONALITATE</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Temei juridic</w:t>
      </w:r>
    </w:p>
    <w:p w:rsidR="004A5E08" w:rsidRPr="009D3BAB" w:rsidRDefault="004A5E08" w:rsidP="004A5E08">
      <w:pPr>
        <w:rPr>
          <w:noProof/>
        </w:rPr>
      </w:pPr>
      <w:r w:rsidRPr="009D3BAB">
        <w:rPr>
          <w:noProof/>
        </w:rPr>
        <w:t>Temeiul juridic al prezentei propuneri îl constituie articolul 31 din Tratatul privind funcționarea Uniunii Europene (TFUE).</w:t>
      </w:r>
    </w:p>
    <w:p w:rsidR="004A5E08" w:rsidRPr="009D3BAB" w:rsidRDefault="004A5E08" w:rsidP="004A5E08">
      <w:pPr>
        <w:pStyle w:val="ManualHeading2"/>
        <w:rPr>
          <w:rFonts w:eastAsia="Arial Unicode MS"/>
          <w:noProof/>
          <w:u w:color="000000"/>
          <w:bdr w:val="nil"/>
        </w:rPr>
      </w:pPr>
      <w:r w:rsidRPr="009D3BAB">
        <w:rPr>
          <w:noProof/>
          <w:u w:color="000000"/>
          <w:bdr w:val="nil"/>
        </w:rPr>
        <w:lastRenderedPageBreak/>
        <w:t>•</w:t>
      </w:r>
      <w:r w:rsidRPr="009D3BAB">
        <w:rPr>
          <w:noProof/>
        </w:rPr>
        <w:tab/>
      </w:r>
      <w:r w:rsidRPr="009D3BAB">
        <w:rPr>
          <w:noProof/>
          <w:u w:color="000000"/>
          <w:bdr w:val="nil"/>
        </w:rPr>
        <w:t xml:space="preserve">Subsidiaritate (în cazul competențelor neexclusive) </w:t>
      </w:r>
    </w:p>
    <w:p w:rsidR="004A5E08" w:rsidRPr="009D3BAB" w:rsidRDefault="004A5E08" w:rsidP="004A5E08">
      <w:pPr>
        <w:rPr>
          <w:noProof/>
        </w:rPr>
      </w:pPr>
      <w:r w:rsidRPr="009D3BAB">
        <w:rPr>
          <w:noProof/>
        </w:rPr>
        <w:t>Propunerea intră în sfera competenței exclusive a Uniunii. În consecință, principiul subsidiarității nu se aplică.</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Proporționalitate</w:t>
      </w:r>
    </w:p>
    <w:p w:rsidR="004A5E08" w:rsidRPr="009D3BAB" w:rsidRDefault="004A5E08" w:rsidP="004A5E08">
      <w:pPr>
        <w:rPr>
          <w:noProof/>
        </w:rPr>
      </w:pPr>
      <w:r w:rsidRPr="009D3BAB">
        <w:rPr>
          <w:noProof/>
        </w:rPr>
        <w:t>Propunerea respectă principiul proporționalității. Măsurile propuse sunt conforme cu principiile instituite în scopul simplificării procedurilor pentru operatorii care desfășoară activități de comerț exterior, astfel cum se menționează în Comunicarea Comisiei privind suspendările și contingentele tarifare autonome</w:t>
      </w:r>
      <w:r w:rsidRPr="009D3BAB">
        <w:rPr>
          <w:rStyle w:val="FootnoteReference"/>
          <w:noProof/>
        </w:rPr>
        <w:footnoteReference w:id="3"/>
      </w:r>
      <w:r w:rsidRPr="009D3BAB">
        <w:rPr>
          <w:noProof/>
        </w:rPr>
        <w:t>. Prezentul regulament nu depășește ceea ce este necesar pentru realizarea obiectivelor urmărite, în conformitate cu articolul 5 alineatul (4) din Tratatul privind Uniunea Europeană (TUE).</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Alegerea instrumentului</w:t>
      </w:r>
    </w:p>
    <w:p w:rsidR="004A5E08" w:rsidRPr="009D3BAB" w:rsidRDefault="004A5E08" w:rsidP="004A5E08">
      <w:pPr>
        <w:rPr>
          <w:noProof/>
        </w:rPr>
      </w:pPr>
      <w:r w:rsidRPr="009D3BAB">
        <w:rPr>
          <w:noProof/>
        </w:rPr>
        <w:t>În temeiul articolului 31 din TFUE, „Taxele prevăzute de Tariful Vamal Comun se stabilesc de către Consiliu, la propunerea Comisiei”. Prin urmare, instrumentul adecvat este un regulament al Consiliului.</w:t>
      </w:r>
    </w:p>
    <w:p w:rsidR="004A5E08" w:rsidRPr="009D3BAB" w:rsidRDefault="004A5E08" w:rsidP="004A5E08">
      <w:pPr>
        <w:pStyle w:val="ManualHeading1"/>
        <w:rPr>
          <w:noProof/>
        </w:rPr>
      </w:pPr>
      <w:r w:rsidRPr="009D3BAB">
        <w:rPr>
          <w:noProof/>
        </w:rPr>
        <w:t>3.</w:t>
      </w:r>
      <w:r w:rsidRPr="009D3BAB">
        <w:rPr>
          <w:noProof/>
        </w:rPr>
        <w:tab/>
        <w:t>REZULTATELE EVALUĂRILOR EX POST, ALE CONSULTĂRILOR CU PĂRȚILE INTERESATE ȘI ALE EVALUĂRILOR IMPACTULUI</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Evaluări ex post/verificări ale adecvării legislației existente</w:t>
      </w:r>
    </w:p>
    <w:p w:rsidR="004A5E08" w:rsidRPr="009D3BAB" w:rsidRDefault="004A5E08" w:rsidP="004A5E08">
      <w:pPr>
        <w:rPr>
          <w:noProof/>
        </w:rPr>
      </w:pPr>
      <w:r w:rsidRPr="009D3BAB">
        <w:rPr>
          <w:noProof/>
        </w:rPr>
        <w:t>Sistemul de suspendări autonome a făcut obiectul unui studiu de evaluare realizat în 2013</w:t>
      </w:r>
      <w:r w:rsidRPr="009D3BAB">
        <w:rPr>
          <w:rStyle w:val="FootnoteReference"/>
          <w:noProof/>
        </w:rPr>
        <w:footnoteReference w:id="4"/>
      </w:r>
      <w:r w:rsidRPr="009D3BAB">
        <w:rPr>
          <w:noProof/>
        </w:rPr>
        <w:t>. Concluzia evaluării a fost că motivația esențială care stă la baza acestui sistem rămâne valabilă. Economiile de costuri pentru întreprinderile din UE care importă mărfuri în cadrul sistemului pot fi semnificative. La rândul lor, în funcție de produs, de întreprindere și de sector, aceste economii pot avea beneficii mai ample, precum stimularea competitivității, eficientizarea metodelor de producție, crearea sau menținerea locurilor de muncă în Uniune. Fișa financiară legislativă anexată conține detalii privind economiile generate de prezentul regulament.</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Consultări cu părțile interesate</w:t>
      </w:r>
    </w:p>
    <w:p w:rsidR="004A5E08" w:rsidRPr="009D3BAB" w:rsidRDefault="004A5E08" w:rsidP="004A5E08">
      <w:pPr>
        <w:rPr>
          <w:noProof/>
        </w:rPr>
      </w:pPr>
      <w:r w:rsidRPr="009D3BAB">
        <w:rPr>
          <w:noProof/>
        </w:rPr>
        <w:t xml:space="preserve">Grupul pentru economie tarifară (ETQG), compus din reprezentanți din toate statele membre, plus Turcia, a asistat Comisia pentru pregătirea prezentei propuneri. </w:t>
      </w:r>
    </w:p>
    <w:p w:rsidR="004A5E08" w:rsidRPr="009D3BAB" w:rsidRDefault="004A5E08" w:rsidP="004A5E08">
      <w:pPr>
        <w:rPr>
          <w:noProof/>
        </w:rPr>
      </w:pPr>
      <w:r w:rsidRPr="009D3BAB">
        <w:rPr>
          <w:noProof/>
        </w:rPr>
        <w:t>ETQG a examinat cu atenție fiecare cerere pentru a se asigura că nu va cauza niciun prejudiciu întreprinderilor din Uniune și că va consolida competitivitatea producției Uniunii. Membrii ETQG au efectuat evaluarea prin discuții, iar statele membre au desfășurat consultări cu industriile, asociațiile, camerele de comerț și alte părți interesate implicate.</w:t>
      </w:r>
    </w:p>
    <w:p w:rsidR="004A5E08" w:rsidRPr="009D3BAB" w:rsidRDefault="00DF2C0E" w:rsidP="004A5E08">
      <w:pPr>
        <w:rPr>
          <w:noProof/>
        </w:rPr>
      </w:pPr>
      <w:r w:rsidRPr="009D3BAB">
        <w:rPr>
          <w:noProof/>
        </w:rPr>
        <w:t xml:space="preserve">Toate suspendările enumerate reflectă acordurile sau compromisurile la care s-a ajuns în urma discuțiilor din cadrul ETQG. Nu au fost identificate riscuri potențial grave care să aibă consecințe ireversibile. </w:t>
      </w:r>
    </w:p>
    <w:p w:rsidR="004A5E08" w:rsidRPr="009D3BAB" w:rsidRDefault="004A5E08" w:rsidP="004A5E08">
      <w:pPr>
        <w:pStyle w:val="ManualHeading2"/>
        <w:rPr>
          <w:rFonts w:eastAsia="Arial Unicode MS"/>
          <w:noProof/>
          <w:u w:color="000000"/>
          <w:bdr w:val="nil"/>
        </w:rPr>
      </w:pPr>
      <w:r w:rsidRPr="009D3BAB">
        <w:rPr>
          <w:noProof/>
          <w:u w:color="000000"/>
          <w:bdr w:val="nil"/>
        </w:rPr>
        <w:lastRenderedPageBreak/>
        <w:t>•</w:t>
      </w:r>
      <w:r w:rsidRPr="009D3BAB">
        <w:rPr>
          <w:noProof/>
        </w:rPr>
        <w:tab/>
      </w:r>
      <w:r w:rsidRPr="009D3BAB">
        <w:rPr>
          <w:noProof/>
          <w:u w:color="000000"/>
          <w:bdr w:val="nil"/>
        </w:rPr>
        <w:t>Evaluarea impactului</w:t>
      </w:r>
    </w:p>
    <w:p w:rsidR="004A5E08" w:rsidRPr="009D3BAB" w:rsidRDefault="004A5E08" w:rsidP="004A5E08">
      <w:pPr>
        <w:rPr>
          <w:noProof/>
        </w:rPr>
      </w:pPr>
      <w:r w:rsidRPr="009D3BAB">
        <w:rPr>
          <w:noProof/>
        </w:rPr>
        <w:t>Modificarea propusă este de natură pur tehnică și vizează doar domeniul de aplicare al suspendărilor enumerate în prezent în anexa la Regulamentul (UE) nr. 2021/2278 al Consiliului. Nu a fost efectuată o evaluare a impactului, deoarece se estimează că modificările propuse în lista produselor care ar beneficia de suspendarea autonomă a taxelor din Tariful vamal comun nu vor avea un impact semnificativ.</w:t>
      </w:r>
    </w:p>
    <w:p w:rsidR="004A5E08" w:rsidRPr="009D3BAB" w:rsidRDefault="004A5E08" w:rsidP="004A5E08">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Drepturile fundamentale</w:t>
      </w:r>
    </w:p>
    <w:p w:rsidR="004A5E08" w:rsidRPr="009D3BAB" w:rsidRDefault="004A5E08" w:rsidP="004A5E08">
      <w:pPr>
        <w:rPr>
          <w:noProof/>
        </w:rPr>
      </w:pPr>
      <w:r w:rsidRPr="009D3BAB">
        <w:rPr>
          <w:noProof/>
        </w:rPr>
        <w:t>Propunerea nu are consecințe asupra drepturilor fundamentale.</w:t>
      </w:r>
    </w:p>
    <w:p w:rsidR="004A5E08" w:rsidRPr="009D3BAB" w:rsidRDefault="004A5E08" w:rsidP="004A5E08">
      <w:pPr>
        <w:pStyle w:val="ManualHeading1"/>
        <w:rPr>
          <w:noProof/>
        </w:rPr>
      </w:pPr>
      <w:r w:rsidRPr="009D3BAB">
        <w:rPr>
          <w:noProof/>
        </w:rPr>
        <w:t>4.</w:t>
      </w:r>
      <w:r w:rsidRPr="009D3BAB">
        <w:rPr>
          <w:noProof/>
        </w:rPr>
        <w:tab/>
        <w:t>IMPLICAȚII BUGETARE</w:t>
      </w:r>
    </w:p>
    <w:p w:rsidR="00E92306" w:rsidRPr="009D3BAB" w:rsidRDefault="00E92306" w:rsidP="00C153E2">
      <w:pPr>
        <w:rPr>
          <w:noProof/>
        </w:rPr>
      </w:pPr>
      <w:bookmarkStart w:id="1" w:name="_Hlk191656121"/>
      <w:r w:rsidRPr="009D3BAB">
        <w:rPr>
          <w:noProof/>
        </w:rPr>
        <w:t>Prezenta propunere nu are implicații financiare asupra cheltuielilor, dar are implicații financiare asupra veniturilor. Taxele vamale necolectate care corespund suspendării vor fi de aproximativ 10 677 422 EUR per an. Efectul negativ asupra resurselor proprii tradiționale ale bugetului este de 8 008 067 EUR per an (75 % din total). Fișa financiară legislativă prezintă mai detaliat implicațiile bugetare ale propunerii.</w:t>
      </w:r>
    </w:p>
    <w:p w:rsidR="004A5E08" w:rsidRPr="009D3BAB" w:rsidRDefault="004A5E08" w:rsidP="00151F04">
      <w:pPr>
        <w:rPr>
          <w:noProof/>
        </w:rPr>
      </w:pPr>
      <w:r w:rsidRPr="009D3BAB">
        <w:rPr>
          <w:noProof/>
        </w:rPr>
        <w:t>Pierderea de venituri pentru resursele proprii tradiționale va fi compensată prin contribuții ale statelor membre la resursa proprie bazată pe venitul național brut (VNB).</w:t>
      </w:r>
    </w:p>
    <w:bookmarkEnd w:id="1"/>
    <w:p w:rsidR="004A5E08" w:rsidRPr="009D3BAB" w:rsidRDefault="004A5E08" w:rsidP="00151F04">
      <w:pPr>
        <w:pStyle w:val="ManualHeading1"/>
        <w:rPr>
          <w:noProof/>
        </w:rPr>
      </w:pPr>
      <w:r w:rsidRPr="009D3BAB">
        <w:rPr>
          <w:noProof/>
        </w:rPr>
        <w:t>5.</w:t>
      </w:r>
      <w:r w:rsidRPr="009D3BAB">
        <w:rPr>
          <w:noProof/>
        </w:rPr>
        <w:tab/>
        <w:t>ALTE ELEMENTE</w:t>
      </w:r>
    </w:p>
    <w:p w:rsidR="004A5E08" w:rsidRPr="009D3BAB" w:rsidRDefault="004A5E08" w:rsidP="00151F04">
      <w:pPr>
        <w:pStyle w:val="ManualHeading2"/>
        <w:rPr>
          <w:rFonts w:eastAsia="Arial Unicode MS"/>
          <w:noProof/>
          <w:u w:color="000000"/>
          <w:bdr w:val="nil"/>
        </w:rPr>
      </w:pPr>
      <w:r w:rsidRPr="009D3BAB">
        <w:rPr>
          <w:noProof/>
          <w:u w:color="000000"/>
          <w:bdr w:val="nil"/>
        </w:rPr>
        <w:t>•</w:t>
      </w:r>
      <w:r w:rsidRPr="009D3BAB">
        <w:rPr>
          <w:noProof/>
        </w:rPr>
        <w:tab/>
      </w:r>
      <w:r w:rsidRPr="009D3BAB">
        <w:rPr>
          <w:noProof/>
          <w:u w:color="000000"/>
          <w:bdr w:val="nil"/>
        </w:rPr>
        <w:t>Planuri de punere în aplicare și măsuri de monitorizare, evaluare și raportare</w:t>
      </w:r>
    </w:p>
    <w:p w:rsidR="004A5E08" w:rsidRPr="009D3BAB" w:rsidRDefault="004A5E08" w:rsidP="00151F04">
      <w:pPr>
        <w:rPr>
          <w:noProof/>
        </w:rPr>
      </w:pPr>
      <w:r w:rsidRPr="009D3BAB">
        <w:rPr>
          <w:noProof/>
        </w:rPr>
        <w:t>Măsurile propuse sunt gestionate în cadrul Tarifului vamal integrat al Uniunii Europene (TARIC) și sunt aplicate de administrațiile vamale ale statelor membre.</w:t>
      </w:r>
    </w:p>
    <w:p w:rsidR="004A5E08" w:rsidRPr="009D3BAB" w:rsidRDefault="004A5E08" w:rsidP="00151F04">
      <w:pPr>
        <w:rPr>
          <w:noProof/>
          <w:lang w:eastAsia="en-GB"/>
        </w:rPr>
        <w:sectPr w:rsidR="004A5E08" w:rsidRPr="009D3BAB" w:rsidSect="00F13CFB">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pgNumType w:start="1"/>
          <w:cols w:space="708"/>
          <w:docGrid w:linePitch="360"/>
        </w:sectPr>
      </w:pPr>
    </w:p>
    <w:p w:rsidR="00FA4955" w:rsidRDefault="00C478A4">
      <w:pPr>
        <w:pStyle w:val="Rfrenceinterinstitutionnelle"/>
        <w:rPr>
          <w:noProof/>
        </w:rPr>
      </w:pPr>
      <w:r>
        <w:rPr>
          <w:noProof/>
        </w:rPr>
        <w:lastRenderedPageBreak/>
        <w:t>2026/0095 (NLE)</w:t>
      </w:r>
    </w:p>
    <w:p w:rsidR="004A5E08" w:rsidRPr="009D3BAB" w:rsidRDefault="009D3BAB" w:rsidP="009D3BAB">
      <w:pPr>
        <w:pStyle w:val="Statut"/>
        <w:rPr>
          <w:noProof/>
        </w:rPr>
      </w:pPr>
      <w:r w:rsidRPr="009D3BAB">
        <w:rPr>
          <w:noProof/>
        </w:rPr>
        <w:t>Propunere de</w:t>
      </w:r>
    </w:p>
    <w:p w:rsidR="004A5E08" w:rsidRPr="009D3BAB" w:rsidRDefault="009D3BAB" w:rsidP="009D3BAB">
      <w:pPr>
        <w:pStyle w:val="Typedudocument"/>
        <w:rPr>
          <w:noProof/>
        </w:rPr>
      </w:pPr>
      <w:r w:rsidRPr="009D3BAB">
        <w:rPr>
          <w:noProof/>
        </w:rPr>
        <w:t>REGULAMENT AL CONSILIULUI</w:t>
      </w:r>
    </w:p>
    <w:p w:rsidR="00F72A3C" w:rsidRPr="009D3BAB" w:rsidRDefault="009D3BAB" w:rsidP="009D3BAB">
      <w:pPr>
        <w:pStyle w:val="Titreobjet"/>
        <w:rPr>
          <w:noProof/>
        </w:rPr>
      </w:pPr>
      <w:r w:rsidRPr="009D3BAB">
        <w:rPr>
          <w:noProof/>
        </w:rPr>
        <w:t>de modificare a Regulamentului (UE) 2021/2278 de suspendare a taxelor din Tariful vamal comun menționate la articolul 56 alineatul (2) litera (c) din Regulamentul (UE) nr. 952/2013 al Parlamentului European și al Consiliului pentru anumite produse agricole și industriale</w:t>
      </w:r>
    </w:p>
    <w:p w:rsidR="004A5E08" w:rsidRPr="009D3BAB" w:rsidRDefault="004A5E08" w:rsidP="00151F04">
      <w:pPr>
        <w:pStyle w:val="Institutionquiagit"/>
        <w:rPr>
          <w:noProof/>
        </w:rPr>
      </w:pPr>
      <w:r w:rsidRPr="009D3BAB">
        <w:rPr>
          <w:noProof/>
        </w:rPr>
        <w:t>CONSILIUL UNIUNII EUROPENE,</w:t>
      </w:r>
    </w:p>
    <w:p w:rsidR="004A5E08" w:rsidRPr="009D3BAB" w:rsidRDefault="004A5E08" w:rsidP="00151F04">
      <w:pPr>
        <w:rPr>
          <w:noProof/>
        </w:rPr>
      </w:pPr>
      <w:r w:rsidRPr="009D3BAB">
        <w:rPr>
          <w:noProof/>
        </w:rPr>
        <w:t>având în vedere Tratatul privind funcționarea Uniunii Europene, în special articolul 31,</w:t>
      </w:r>
    </w:p>
    <w:p w:rsidR="004A5E08" w:rsidRPr="009D3BAB" w:rsidRDefault="004A5E08" w:rsidP="00151F04">
      <w:pPr>
        <w:rPr>
          <w:noProof/>
        </w:rPr>
      </w:pPr>
      <w:r w:rsidRPr="009D3BAB">
        <w:rPr>
          <w:noProof/>
        </w:rPr>
        <w:t>având în vedere propunerea Comisiei Europene,</w:t>
      </w:r>
    </w:p>
    <w:p w:rsidR="004A5E08" w:rsidRPr="009D3BAB" w:rsidRDefault="004A5E08" w:rsidP="00151F04">
      <w:pPr>
        <w:rPr>
          <w:noProof/>
        </w:rPr>
      </w:pPr>
      <w:r w:rsidRPr="009D3BAB">
        <w:rPr>
          <w:noProof/>
        </w:rPr>
        <w:t>întrucât:</w:t>
      </w:r>
    </w:p>
    <w:p w:rsidR="0075670A" w:rsidRPr="009D3BAB" w:rsidRDefault="0075670A" w:rsidP="0075670A">
      <w:pPr>
        <w:pStyle w:val="ManualConsidrant"/>
        <w:rPr>
          <w:noProof/>
        </w:rPr>
      </w:pPr>
      <w:r>
        <w:rPr>
          <w:noProof/>
        </w:rPr>
        <w:t>(1)</w:t>
      </w:r>
      <w:r>
        <w:rPr>
          <w:noProof/>
        </w:rPr>
        <w:tab/>
      </w:r>
      <w:r w:rsidRPr="009D3BAB">
        <w:rPr>
          <w:noProof/>
        </w:rPr>
        <w:t>Pentru a se asigura o aprovizionare suficientă și neîntreruptă cu anumite produse agricole și industriale care nu sunt produse în Uniune și pentru a se evita astfel orice perturbare a pieței acestor produse, taxele din Tariful vamal comun de tipul celor menționate la articolul 56 alineatul (2) litera (c) din Regulamentul (UE) nr. 952/2013 al Parlamentului European și al Consiliului</w:t>
      </w:r>
      <w:r w:rsidRPr="009D3BAB">
        <w:rPr>
          <w:rStyle w:val="FootnoteReference"/>
          <w:noProof/>
        </w:rPr>
        <w:footnoteReference w:id="5"/>
      </w:r>
      <w:r w:rsidRPr="009D3BAB">
        <w:rPr>
          <w:noProof/>
        </w:rPr>
        <w:t xml:space="preserve"> (denumite în continuare „taxele TVC”) pentru produsele respective au fost suspendate prin Regulamentul (UE) 2021/2278 al Consiliului</w:t>
      </w:r>
      <w:r w:rsidRPr="009D3BAB">
        <w:rPr>
          <w:rStyle w:val="FootnoteReference"/>
          <w:noProof/>
        </w:rPr>
        <w:footnoteReference w:id="6"/>
      </w:r>
      <w:r w:rsidRPr="009D3BAB">
        <w:rPr>
          <w:noProof/>
        </w:rPr>
        <w:t>. Prin urmare, produsele enumerate în anexa la Regulamentul (UE) 2021/2278 pot fi importate în Uniune cu niveluri reduse sau zero ale taxelor vamale, fără nicio limitare în ceea ce privește cantitatea.</w:t>
      </w:r>
    </w:p>
    <w:p w:rsidR="0075670A" w:rsidRPr="009D3BAB" w:rsidRDefault="0075670A" w:rsidP="0075670A">
      <w:pPr>
        <w:pStyle w:val="ManualConsidrant"/>
        <w:rPr>
          <w:noProof/>
        </w:rPr>
      </w:pPr>
      <w:r>
        <w:rPr>
          <w:noProof/>
        </w:rPr>
        <w:t>(2)</w:t>
      </w:r>
      <w:r>
        <w:rPr>
          <w:noProof/>
        </w:rPr>
        <w:tab/>
      </w:r>
      <w:r w:rsidRPr="009D3BAB">
        <w:rPr>
          <w:noProof/>
        </w:rPr>
        <w:t>Producția din Uniune a anumitor produse care nu figurează în anexa la Regulamentul (UE) 2021/2278 este inadecvată pentru a îndeplini cerințele specifice ale industriilor utilizatoare din Uniune. Întrucât este în interesul Uniunii să asigure o aprovizionare adecvată cu anumite produse și având în vedere faptul că în Uniune nu sunt fabricate în cantități suficiente produse identice, echivalente sau de substituție, este necesar să se acorde o suspendare completă a taxelor TVC pentru produsele respective.</w:t>
      </w:r>
    </w:p>
    <w:p w:rsidR="00742DC2" w:rsidRPr="009D3BAB" w:rsidRDefault="00742DC2" w:rsidP="0075670A">
      <w:pPr>
        <w:pStyle w:val="ManualConsidrant"/>
        <w:rPr>
          <w:noProof/>
          <w:sz w:val="22"/>
        </w:rPr>
      </w:pPr>
      <w:r>
        <w:rPr>
          <w:noProof/>
        </w:rPr>
        <w:t>(3)</w:t>
      </w:r>
      <w:r>
        <w:rPr>
          <w:noProof/>
        </w:rPr>
        <w:tab/>
      </w:r>
      <w:r w:rsidRPr="009D3BAB">
        <w:rPr>
          <w:noProof/>
        </w:rPr>
        <w:t xml:space="preserve">În vederea promovării producției integrate de baterii în Uniune, este necesar să se acorde o suspendare parțială a taxelor TVC pentru anumite produse asociate producției de baterii care în prezent nu figurează în anexa la Regulamentul (UE) 2021/2278 și a </w:t>
      </w:r>
      <w:r w:rsidRPr="009D3BAB">
        <w:rPr>
          <w:noProof/>
        </w:rPr>
        <w:lastRenderedPageBreak/>
        <w:t>căror producție în Uniune este inadecvată pentru a îndeplini cerințele specifice ale industriilor utilizatoare din Uniune. Reexaminarea obligatorie a suspendărilor respective trebuie efectuată până la data de 31 decembrie 2026, pentru ca reexaminarea menționată să țină seama de evoluția pe termen scurt a sectorului producției de baterii din Uniune.</w:t>
      </w:r>
    </w:p>
    <w:p w:rsidR="0075670A" w:rsidRPr="009D3BAB" w:rsidRDefault="00742DC2" w:rsidP="0075670A">
      <w:pPr>
        <w:pStyle w:val="ManualConsidrant"/>
        <w:spacing w:after="0" w:line="312" w:lineRule="atLeast"/>
        <w:rPr>
          <w:noProof/>
        </w:rPr>
      </w:pPr>
      <w:r>
        <w:rPr>
          <w:noProof/>
        </w:rPr>
        <w:t>(4)</w:t>
      </w:r>
      <w:r>
        <w:rPr>
          <w:noProof/>
        </w:rPr>
        <w:tab/>
      </w:r>
      <w:r w:rsidRPr="009D3BAB">
        <w:rPr>
          <w:noProof/>
        </w:rPr>
        <w:t xml:space="preserve">În cazul anumitor produse care figurează în anexa la Regulamentul (UE) 2021/2278, este necesară modificarea descrierii produselor, a clasificării sau a cerinței privind utilizarea finală, pentru a se ține cont de evoluția tehnică a produselor și de tendințele economice ale pieței. </w:t>
      </w:r>
    </w:p>
    <w:p w:rsidR="004B4AF5" w:rsidRPr="009D3BAB" w:rsidRDefault="004B4AF5" w:rsidP="0075670A">
      <w:pPr>
        <w:pStyle w:val="ManualConsidrant"/>
        <w:rPr>
          <w:noProof/>
        </w:rPr>
      </w:pPr>
      <w:r>
        <w:rPr>
          <w:noProof/>
        </w:rPr>
        <w:t>(5)</w:t>
      </w:r>
      <w:r>
        <w:rPr>
          <w:noProof/>
        </w:rPr>
        <w:tab/>
      </w:r>
      <w:r w:rsidRPr="009D3BAB">
        <w:rPr>
          <w:noProof/>
        </w:rPr>
        <w:t>Comisia a reexaminat anumite suspendări ale taxelor TVC pentru produse enumerate în anexa la Regulamentul (UE) 2021/2278 în conformitate cu articolul 2 alineatul (2) din regulamentul respectiv. Întrucât este în interesul Uniunii să mențină suspendările pentru unele dintre aceste produse, trebuie stabilite noi date pentru următoarea reexaminare obligatorie a acestora.</w:t>
      </w:r>
    </w:p>
    <w:p w:rsidR="0075670A" w:rsidRPr="009D3BAB" w:rsidRDefault="0075670A" w:rsidP="0075670A">
      <w:pPr>
        <w:pStyle w:val="ManualConsidrant"/>
        <w:rPr>
          <w:noProof/>
        </w:rPr>
      </w:pPr>
      <w:r>
        <w:rPr>
          <w:noProof/>
        </w:rPr>
        <w:t>(6)</w:t>
      </w:r>
      <w:r>
        <w:rPr>
          <w:noProof/>
        </w:rPr>
        <w:tab/>
      </w:r>
      <w:r w:rsidRPr="009D3BAB">
        <w:rPr>
          <w:noProof/>
        </w:rPr>
        <w:t xml:space="preserve">Menținerea suspendării taxelor TVC pentru anumite produse care figurează în anexa la Regulamentul (UE) 2021/2278 nu mai este în interesul Uniunii. Așadar, este necesar ca suspendările pentru produsele respective să fie eliminate din anexă începând cu 1 iulie 2026. </w:t>
      </w:r>
    </w:p>
    <w:p w:rsidR="0075670A" w:rsidRPr="009D3BAB" w:rsidRDefault="0075670A" w:rsidP="0075670A">
      <w:pPr>
        <w:pStyle w:val="ManualConsidrant"/>
        <w:rPr>
          <w:noProof/>
        </w:rPr>
      </w:pPr>
      <w:r>
        <w:rPr>
          <w:noProof/>
        </w:rPr>
        <w:t>(7)</w:t>
      </w:r>
      <w:r>
        <w:rPr>
          <w:noProof/>
        </w:rPr>
        <w:tab/>
      </w:r>
      <w:r w:rsidRPr="009D3BAB">
        <w:rPr>
          <w:noProof/>
        </w:rPr>
        <w:t>Prin urmare, Regulamentul (UE) 2021/2278 trebuie modificat în consecință.</w:t>
      </w:r>
    </w:p>
    <w:p w:rsidR="0075670A" w:rsidRPr="009D3BAB" w:rsidRDefault="0075670A" w:rsidP="0075670A">
      <w:pPr>
        <w:pStyle w:val="ManualConsidrant"/>
        <w:rPr>
          <w:noProof/>
        </w:rPr>
      </w:pPr>
      <w:r>
        <w:rPr>
          <w:noProof/>
        </w:rPr>
        <w:t>(8)</w:t>
      </w:r>
      <w:r>
        <w:rPr>
          <w:noProof/>
        </w:rPr>
        <w:tab/>
      </w:r>
      <w:r w:rsidRPr="009D3BAB">
        <w:rPr>
          <w:noProof/>
        </w:rPr>
        <w:t>Pentru a se evita orice întrerupere a aplicării sistemului de suspendări tarifare autonome și a se respecta orientările stabilite prin Comunicarea Comisiei din 13 decembrie 2011 privind suspendările și contingentele tarifare autonome, este necesar ca modificările prevăzute în prezentul regulament referitoare la suspendările tarifare pentru produsele în cauză să se aplice de la 1 iulie 2026. Prin urmare, prezentul regulament trebuie să intre în vigoare în regim de urgență,</w:t>
      </w:r>
    </w:p>
    <w:p w:rsidR="004A5E08" w:rsidRPr="009D3BAB" w:rsidRDefault="004A5E08" w:rsidP="00151F04">
      <w:pPr>
        <w:pStyle w:val="Formuledadoption"/>
        <w:rPr>
          <w:noProof/>
        </w:rPr>
      </w:pPr>
      <w:r w:rsidRPr="009D3BAB">
        <w:rPr>
          <w:noProof/>
        </w:rPr>
        <w:t>ADOPTĂ PREZENTUL REGULAMENT:</w:t>
      </w:r>
    </w:p>
    <w:p w:rsidR="004A5E08" w:rsidRPr="009D3BAB" w:rsidRDefault="004A5E08" w:rsidP="00151F04">
      <w:pPr>
        <w:pStyle w:val="Titrearticle"/>
        <w:rPr>
          <w:noProof/>
        </w:rPr>
      </w:pPr>
      <w:r w:rsidRPr="009D3BAB">
        <w:rPr>
          <w:noProof/>
        </w:rPr>
        <w:t>Articolul 1</w:t>
      </w:r>
    </w:p>
    <w:p w:rsidR="00A07FFB" w:rsidRPr="009D3BAB" w:rsidRDefault="004A5E08" w:rsidP="00151F04">
      <w:pPr>
        <w:rPr>
          <w:noProof/>
        </w:rPr>
      </w:pPr>
      <w:r w:rsidRPr="009D3BAB">
        <w:rPr>
          <w:noProof/>
        </w:rPr>
        <w:t>Anexa la Regulamentul (UE) 2021/2278 se modifică în conformitate cu anexa la prezentul regulament.</w:t>
      </w:r>
    </w:p>
    <w:p w:rsidR="004A5E08" w:rsidRPr="009D3BAB" w:rsidRDefault="004A5E08" w:rsidP="00151F04">
      <w:pPr>
        <w:pStyle w:val="Titrearticle"/>
        <w:rPr>
          <w:noProof/>
        </w:rPr>
      </w:pPr>
      <w:r w:rsidRPr="009D3BAB">
        <w:rPr>
          <w:noProof/>
        </w:rPr>
        <w:t>Articolul 2</w:t>
      </w:r>
    </w:p>
    <w:p w:rsidR="004A5E08" w:rsidRPr="009D3BAB" w:rsidRDefault="004A5E08" w:rsidP="00151F04">
      <w:pPr>
        <w:rPr>
          <w:noProof/>
        </w:rPr>
      </w:pPr>
      <w:r w:rsidRPr="009D3BAB">
        <w:rPr>
          <w:noProof/>
        </w:rPr>
        <w:t xml:space="preserve">Prezentul regulament intră în vigoare în ziua următoare datei publicării în </w:t>
      </w:r>
      <w:r w:rsidRPr="009D3BAB">
        <w:rPr>
          <w:i/>
          <w:noProof/>
        </w:rPr>
        <w:t>Jurnalul Oficial al Uniunii Europene</w:t>
      </w:r>
      <w:r w:rsidRPr="009D3BAB">
        <w:rPr>
          <w:noProof/>
        </w:rPr>
        <w:t xml:space="preserve">. </w:t>
      </w:r>
    </w:p>
    <w:p w:rsidR="004A5E08" w:rsidRPr="009D3BAB" w:rsidRDefault="004A5E08" w:rsidP="00151F04">
      <w:pPr>
        <w:rPr>
          <w:noProof/>
        </w:rPr>
      </w:pPr>
      <w:r w:rsidRPr="009D3BAB">
        <w:rPr>
          <w:noProof/>
        </w:rPr>
        <w:t>Se aplică de la 1 iulie 2026.</w:t>
      </w:r>
    </w:p>
    <w:p w:rsidR="004A5E08" w:rsidRPr="009D3BAB" w:rsidRDefault="004A5E08" w:rsidP="002F5C56">
      <w:pPr>
        <w:pStyle w:val="Applicationdirecte"/>
        <w:keepNext/>
        <w:keepLines/>
        <w:rPr>
          <w:noProof/>
        </w:rPr>
      </w:pPr>
      <w:r w:rsidRPr="009D3BAB">
        <w:rPr>
          <w:noProof/>
        </w:rPr>
        <w:lastRenderedPageBreak/>
        <w:t>Prezentul regulament este obligatoriu în toate elementele sale și se aplică direct în toate statele membre.</w:t>
      </w:r>
    </w:p>
    <w:p w:rsidR="004A5E08" w:rsidRPr="009D3BAB" w:rsidRDefault="009D3BAB" w:rsidP="002F5C56">
      <w:pPr>
        <w:pStyle w:val="Fait"/>
        <w:rPr>
          <w:noProof/>
        </w:rPr>
      </w:pPr>
      <w:r>
        <w:rPr>
          <w:noProof/>
        </w:rPr>
        <w:t>Adoptat la Bruxelles,</w:t>
      </w:r>
    </w:p>
    <w:p w:rsidR="004A5E08" w:rsidRPr="009D3BAB" w:rsidRDefault="004A5E08" w:rsidP="002F5C56">
      <w:pPr>
        <w:pStyle w:val="Institutionquisigne"/>
        <w:rPr>
          <w:noProof/>
        </w:rPr>
      </w:pPr>
      <w:r w:rsidRPr="009D3BAB">
        <w:rPr>
          <w:noProof/>
        </w:rPr>
        <w:tab/>
        <w:t>Pentru Consiliu</w:t>
      </w:r>
    </w:p>
    <w:p w:rsidR="004A5E08" w:rsidRPr="009D3BAB" w:rsidRDefault="004A5E08" w:rsidP="00151F04">
      <w:pPr>
        <w:pStyle w:val="Personnequisigne"/>
        <w:rPr>
          <w:noProof/>
        </w:rPr>
      </w:pPr>
      <w:r w:rsidRPr="009D3BAB">
        <w:rPr>
          <w:noProof/>
        </w:rPr>
        <w:tab/>
        <w:t>Președintele</w:t>
      </w:r>
    </w:p>
    <w:p w:rsidR="004A5E08" w:rsidRPr="009D3BAB" w:rsidRDefault="004A5E08" w:rsidP="00151F04">
      <w:pPr>
        <w:rPr>
          <w:noProof/>
        </w:rPr>
        <w:sectPr w:rsidR="004A5E08" w:rsidRPr="009D3BAB" w:rsidSect="00F13CFB">
          <w:footnotePr>
            <w:numRestart w:val="eachSect"/>
          </w:footnotePr>
          <w:pgSz w:w="11907" w:h="16839"/>
          <w:pgMar w:top="1134" w:right="1417" w:bottom="1134" w:left="1417" w:header="709" w:footer="709" w:gutter="0"/>
          <w:cols w:space="708"/>
          <w:docGrid w:linePitch="360"/>
        </w:sectPr>
      </w:pPr>
    </w:p>
    <w:p w:rsidR="004A5E08" w:rsidRPr="009D3BAB" w:rsidRDefault="004A5E08" w:rsidP="00151F04">
      <w:pPr>
        <w:pStyle w:val="Fichefinanciretitre"/>
        <w:rPr>
          <w:noProof/>
        </w:rPr>
      </w:pPr>
      <w:r w:rsidRPr="009D3BAB">
        <w:rPr>
          <w:noProof/>
        </w:rPr>
        <w:lastRenderedPageBreak/>
        <w:t>FIȘĂ FINANCIARĂ LEGISLATIVĂ</w:t>
      </w:r>
    </w:p>
    <w:p w:rsidR="004A5E08" w:rsidRPr="009D3BAB" w:rsidRDefault="004A5E08" w:rsidP="00151F04">
      <w:pPr>
        <w:pStyle w:val="ManualHeading1"/>
        <w:rPr>
          <w:noProof/>
          <w:szCs w:val="24"/>
        </w:rPr>
      </w:pPr>
      <w:r>
        <w:rPr>
          <w:noProof/>
        </w:rPr>
        <w:t>1.</w:t>
      </w:r>
      <w:r>
        <w:rPr>
          <w:noProof/>
        </w:rPr>
        <w:tab/>
      </w:r>
      <w:r w:rsidRPr="009D3BAB">
        <w:rPr>
          <w:noProof/>
        </w:rPr>
        <w:t>TITLUL PROPUNERII:</w:t>
      </w:r>
    </w:p>
    <w:p w:rsidR="004A5E08" w:rsidRPr="009D3BAB" w:rsidRDefault="004A5E08" w:rsidP="00151F04">
      <w:pPr>
        <w:pStyle w:val="Text1"/>
        <w:rPr>
          <w:noProof/>
        </w:rPr>
      </w:pPr>
      <w:r w:rsidRPr="009D3BAB">
        <w:rPr>
          <w:noProof/>
        </w:rPr>
        <w:t>Propunere de modificare a Regulamentului (UE) 2021/2278 de suspendare a taxelor din Tariful vamal comun menționate la articolul 56 alineatul (2) litera (c) din Regulamentul (UE) nr. 952/2013 al Parlamentului European și al Consiliului privind anumite produse agricole și industriale</w:t>
      </w:r>
    </w:p>
    <w:p w:rsidR="004A5E08" w:rsidRPr="009D3BAB" w:rsidRDefault="004A5E08" w:rsidP="00151F04">
      <w:pPr>
        <w:pStyle w:val="ManualHeading1"/>
        <w:rPr>
          <w:noProof/>
          <w:szCs w:val="24"/>
        </w:rPr>
      </w:pPr>
      <w:r>
        <w:rPr>
          <w:noProof/>
        </w:rPr>
        <w:t>2.</w:t>
      </w:r>
      <w:r>
        <w:rPr>
          <w:noProof/>
        </w:rPr>
        <w:tab/>
      </w:r>
      <w:r w:rsidRPr="009D3BAB">
        <w:rPr>
          <w:noProof/>
        </w:rPr>
        <w:t>LINII BUGETARE:</w:t>
      </w:r>
    </w:p>
    <w:p w:rsidR="004A5E08" w:rsidRPr="009D3BAB" w:rsidRDefault="004A5E08" w:rsidP="00151F04">
      <w:pPr>
        <w:pStyle w:val="Text1"/>
        <w:rPr>
          <w:noProof/>
        </w:rPr>
      </w:pPr>
      <w:r w:rsidRPr="009D3BAB">
        <w:rPr>
          <w:noProof/>
        </w:rPr>
        <w:t>Capitol și articol: capitolul 12, articolul 120</w:t>
      </w:r>
    </w:p>
    <w:p w:rsidR="004A5E08" w:rsidRPr="009D3BAB" w:rsidRDefault="004A5E08" w:rsidP="00151F04">
      <w:pPr>
        <w:pStyle w:val="Text1"/>
        <w:rPr>
          <w:noProof/>
        </w:rPr>
      </w:pPr>
      <w:r w:rsidRPr="009D3BAB">
        <w:rPr>
          <w:noProof/>
        </w:rPr>
        <w:t>Suma înscrisă în buget pentru exercițiul financiar 2026: 21 368 300 000 EUR</w:t>
      </w:r>
    </w:p>
    <w:p w:rsidR="004A5E08" w:rsidRPr="009D3BAB" w:rsidRDefault="004A5E08" w:rsidP="00151F04">
      <w:pPr>
        <w:pStyle w:val="ManualHeading1"/>
        <w:rPr>
          <w:noProof/>
          <w:szCs w:val="24"/>
        </w:rPr>
      </w:pPr>
      <w:r>
        <w:rPr>
          <w:noProof/>
        </w:rPr>
        <w:t>3.</w:t>
      </w:r>
      <w:r>
        <w:rPr>
          <w:noProof/>
        </w:rPr>
        <w:tab/>
      </w:r>
      <w:r w:rsidRPr="009D3BAB">
        <w:rPr>
          <w:noProof/>
        </w:rPr>
        <w:t>IMPLICAȚII FINANCIARE</w:t>
      </w:r>
    </w:p>
    <w:p w:rsidR="004A5E08" w:rsidRPr="009D3BAB" w:rsidRDefault="004A5E08" w:rsidP="00151F04">
      <w:pPr>
        <w:pStyle w:val="Text1"/>
        <w:rPr>
          <w:noProof/>
        </w:rPr>
      </w:pPr>
      <w:r w:rsidRPr="009D3BAB">
        <w:rPr>
          <w:noProof/>
        </w:rPr>
        <w:sym w:font="Wingdings" w:char="F0A8"/>
      </w:r>
      <w:r w:rsidRPr="009D3BAB">
        <w:rPr>
          <w:noProof/>
        </w:rPr>
        <w:tab/>
        <w:t>Propunerea nu are implicații financiare</w:t>
      </w:r>
    </w:p>
    <w:p w:rsidR="004A5E08" w:rsidRPr="009D3BAB" w:rsidRDefault="004A5E08" w:rsidP="00151F04">
      <w:pPr>
        <w:pStyle w:val="Text1"/>
        <w:rPr>
          <w:noProof/>
        </w:rPr>
      </w:pPr>
      <w:r w:rsidRPr="009D3BAB">
        <w:rPr>
          <w:noProof/>
        </w:rPr>
        <w:t>X Propunerea nu are implicații financiare asupra cheltuielilor, dar are implicații financiare asupra veniturilor – efectul este următorul:</w:t>
      </w:r>
    </w:p>
    <w:p w:rsidR="004A5E08" w:rsidRPr="009D3BAB" w:rsidRDefault="004A5E08" w:rsidP="00151F04">
      <w:pPr>
        <w:jc w:val="right"/>
        <w:rPr>
          <w:noProof/>
        </w:rPr>
      </w:pPr>
      <w:bookmarkStart w:id="2" w:name="_Hlk191656785"/>
      <w:r w:rsidRPr="009D3BAB">
        <w:rPr>
          <w:noProof/>
        </w:rPr>
        <w:t>(milioane EUR cu o zecimală)</w:t>
      </w:r>
    </w:p>
    <w:bookmarkEnd w:id="2"/>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4A5E08" w:rsidRPr="009D3BAB" w:rsidTr="006560DF">
        <w:trPr>
          <w:gridAfter w:val="2"/>
          <w:wAfter w:w="4140" w:type="dxa"/>
          <w:cantSplit/>
        </w:trPr>
        <w:tc>
          <w:tcPr>
            <w:tcW w:w="1322" w:type="dxa"/>
          </w:tcPr>
          <w:p w:rsidR="004A5E08" w:rsidRPr="009D3BAB" w:rsidRDefault="004A5E08" w:rsidP="00151F04">
            <w:pPr>
              <w:spacing w:before="0" w:after="0"/>
              <w:jc w:val="left"/>
              <w:rPr>
                <w:noProof/>
                <w:snapToGrid w:val="0"/>
                <w:sz w:val="18"/>
              </w:rPr>
            </w:pPr>
          </w:p>
        </w:tc>
        <w:tc>
          <w:tcPr>
            <w:tcW w:w="2880" w:type="dxa"/>
          </w:tcPr>
          <w:p w:rsidR="004A5E08" w:rsidRPr="009D3BAB" w:rsidRDefault="004A5E08" w:rsidP="00151F04">
            <w:pPr>
              <w:spacing w:before="0" w:after="0"/>
              <w:jc w:val="left"/>
              <w:rPr>
                <w:noProof/>
                <w:snapToGrid w:val="0"/>
                <w:sz w:val="18"/>
              </w:rPr>
            </w:pPr>
          </w:p>
        </w:tc>
      </w:tr>
      <w:tr w:rsidR="004A5E08" w:rsidRPr="009D3BAB" w:rsidTr="006560DF">
        <w:trPr>
          <w:cantSplit/>
        </w:trPr>
        <w:tc>
          <w:tcPr>
            <w:tcW w:w="1322" w:type="dxa"/>
          </w:tcPr>
          <w:p w:rsidR="004A5E08" w:rsidRPr="009D3BAB" w:rsidRDefault="004A5E08" w:rsidP="00151F04">
            <w:pPr>
              <w:spacing w:before="0" w:after="0"/>
              <w:jc w:val="left"/>
              <w:rPr>
                <w:noProof/>
                <w:snapToGrid w:val="0"/>
              </w:rPr>
            </w:pPr>
            <w:r w:rsidRPr="009D3BAB">
              <w:rPr>
                <w:noProof/>
              </w:rPr>
              <w:t>Linia bugetară</w:t>
            </w:r>
          </w:p>
        </w:tc>
        <w:tc>
          <w:tcPr>
            <w:tcW w:w="2880" w:type="dxa"/>
          </w:tcPr>
          <w:p w:rsidR="004A5E08" w:rsidRPr="009D3BAB" w:rsidRDefault="004A5E08" w:rsidP="00151F04">
            <w:pPr>
              <w:spacing w:before="0" w:after="0"/>
              <w:jc w:val="center"/>
              <w:rPr>
                <w:noProof/>
                <w:snapToGrid w:val="0"/>
              </w:rPr>
            </w:pPr>
            <w:r w:rsidRPr="009D3BAB">
              <w:rPr>
                <w:noProof/>
              </w:rPr>
              <w:t>Venituri</w:t>
            </w:r>
          </w:p>
        </w:tc>
        <w:tc>
          <w:tcPr>
            <w:tcW w:w="2070" w:type="dxa"/>
            <w:shd w:val="clear" w:color="auto" w:fill="auto"/>
          </w:tcPr>
          <w:p w:rsidR="004A5E08" w:rsidRPr="009D3BAB" w:rsidRDefault="00723261" w:rsidP="00151F04">
            <w:pPr>
              <w:spacing w:before="0" w:after="0"/>
              <w:jc w:val="center"/>
              <w:rPr>
                <w:noProof/>
                <w:snapToGrid w:val="0"/>
              </w:rPr>
            </w:pPr>
            <w:r w:rsidRPr="009D3BAB">
              <w:rPr>
                <w:noProof/>
              </w:rPr>
              <w:t>perioadă de 6 luni începând cu zz/ll/aaaa</w:t>
            </w:r>
          </w:p>
        </w:tc>
        <w:tc>
          <w:tcPr>
            <w:tcW w:w="2070" w:type="dxa"/>
            <w:shd w:val="clear" w:color="auto" w:fill="auto"/>
          </w:tcPr>
          <w:p w:rsidR="004A5E08" w:rsidRPr="009D3BAB" w:rsidRDefault="004A5E08" w:rsidP="00151F04">
            <w:pPr>
              <w:spacing w:before="0" w:after="0"/>
              <w:jc w:val="center"/>
              <w:rPr>
                <w:noProof/>
                <w:snapToGrid w:val="0"/>
              </w:rPr>
            </w:pPr>
            <w:r w:rsidRPr="009D3BAB">
              <w:rPr>
                <w:noProof/>
              </w:rPr>
              <w:t>[Anul: al doilea semestru al anului 2026]</w:t>
            </w:r>
          </w:p>
        </w:tc>
      </w:tr>
      <w:tr w:rsidR="004A5E08" w:rsidRPr="009D3BAB" w:rsidTr="006560DF">
        <w:trPr>
          <w:cantSplit/>
        </w:trPr>
        <w:tc>
          <w:tcPr>
            <w:tcW w:w="1322" w:type="dxa"/>
            <w:shd w:val="clear" w:color="auto" w:fill="auto"/>
          </w:tcPr>
          <w:p w:rsidR="004A5E08" w:rsidRPr="009D3BAB" w:rsidRDefault="004A5E08" w:rsidP="00151F04">
            <w:pPr>
              <w:spacing w:before="0" w:after="0"/>
              <w:jc w:val="left"/>
              <w:rPr>
                <w:noProof/>
              </w:rPr>
            </w:pPr>
            <w:r w:rsidRPr="009D3BAB">
              <w:rPr>
                <w:noProof/>
              </w:rPr>
              <w:t xml:space="preserve">Articolul 120 </w:t>
            </w:r>
          </w:p>
          <w:p w:rsidR="004A5E08" w:rsidRPr="009D3BAB" w:rsidRDefault="004A5E08" w:rsidP="00151F04">
            <w:pPr>
              <w:spacing w:before="0" w:after="0"/>
              <w:jc w:val="left"/>
              <w:rPr>
                <w:noProof/>
                <w:snapToGrid w:val="0"/>
              </w:rPr>
            </w:pPr>
          </w:p>
        </w:tc>
        <w:tc>
          <w:tcPr>
            <w:tcW w:w="2880" w:type="dxa"/>
          </w:tcPr>
          <w:p w:rsidR="004A5E08" w:rsidRPr="009D3BAB" w:rsidRDefault="004A5E08" w:rsidP="00151F04">
            <w:pPr>
              <w:spacing w:before="0" w:after="0"/>
              <w:jc w:val="left"/>
              <w:rPr>
                <w:i/>
                <w:noProof/>
                <w:snapToGrid w:val="0"/>
              </w:rPr>
            </w:pPr>
            <w:r w:rsidRPr="009D3BAB">
              <w:rPr>
                <w:i/>
                <w:noProof/>
              </w:rPr>
              <w:t>Implicații asupra resurselor proprii</w:t>
            </w:r>
          </w:p>
        </w:tc>
        <w:tc>
          <w:tcPr>
            <w:tcW w:w="2070" w:type="dxa"/>
            <w:shd w:val="clear" w:color="auto" w:fill="auto"/>
          </w:tcPr>
          <w:p w:rsidR="004A5E08" w:rsidRPr="009D3BAB" w:rsidRDefault="004A5E08" w:rsidP="00151F04">
            <w:pPr>
              <w:spacing w:before="0" w:after="0"/>
              <w:jc w:val="left"/>
              <w:rPr>
                <w:noProof/>
                <w:snapToGrid w:val="0"/>
              </w:rPr>
            </w:pPr>
            <w:r w:rsidRPr="009D3BAB">
              <w:rPr>
                <w:noProof/>
                <w:snapToGrid w:val="0"/>
              </w:rPr>
              <w:t xml:space="preserve">      1 iulie 2026</w:t>
            </w:r>
          </w:p>
        </w:tc>
        <w:tc>
          <w:tcPr>
            <w:tcW w:w="2070" w:type="dxa"/>
            <w:shd w:val="clear" w:color="auto" w:fill="auto"/>
          </w:tcPr>
          <w:p w:rsidR="004A5E08" w:rsidRPr="009D3BAB" w:rsidRDefault="00D95086" w:rsidP="00151F04">
            <w:pPr>
              <w:spacing w:before="0" w:after="0"/>
              <w:jc w:val="center"/>
              <w:rPr>
                <w:noProof/>
                <w:snapToGrid w:val="0"/>
              </w:rPr>
            </w:pPr>
            <w:r w:rsidRPr="009D3BAB">
              <w:rPr>
                <w:noProof/>
                <w:snapToGrid w:val="0"/>
              </w:rPr>
              <w:t>–4,00</w:t>
            </w:r>
          </w:p>
        </w:tc>
      </w:tr>
    </w:tbl>
    <w:p w:rsidR="004A5E08" w:rsidRPr="009D3BAB" w:rsidRDefault="004A5E08" w:rsidP="00151F04">
      <w:pPr>
        <w:rPr>
          <w:b/>
          <w:i/>
          <w:noProof/>
          <w:snapToGrid w:val="0"/>
        </w:rPr>
      </w:pPr>
    </w:p>
    <w:tbl>
      <w:tblPr>
        <w:tblW w:w="84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6"/>
        <w:gridCol w:w="1321"/>
        <w:gridCol w:w="823"/>
        <w:gridCol w:w="2144"/>
        <w:gridCol w:w="4106"/>
      </w:tblGrid>
      <w:tr w:rsidR="004A5E08" w:rsidRPr="009D3BAB" w:rsidTr="006560DF">
        <w:trPr>
          <w:gridBefore w:val="1"/>
          <w:wBefore w:w="6" w:type="dxa"/>
          <w:cantSplit/>
        </w:trPr>
        <w:tc>
          <w:tcPr>
            <w:tcW w:w="8394" w:type="dxa"/>
            <w:gridSpan w:val="4"/>
            <w:tcBorders>
              <w:top w:val="single" w:sz="4" w:space="0" w:color="auto"/>
              <w:left w:val="single" w:sz="4" w:space="0" w:color="auto"/>
              <w:bottom w:val="single" w:sz="4" w:space="0" w:color="auto"/>
              <w:right w:val="single" w:sz="4" w:space="0" w:color="auto"/>
            </w:tcBorders>
          </w:tcPr>
          <w:p w:rsidR="004A5E08" w:rsidRPr="009D3BAB" w:rsidRDefault="004A5E08" w:rsidP="00151F04">
            <w:pPr>
              <w:spacing w:line="276" w:lineRule="auto"/>
              <w:jc w:val="center"/>
              <w:rPr>
                <w:noProof/>
                <w:szCs w:val="24"/>
              </w:rPr>
            </w:pPr>
            <w:r w:rsidRPr="009D3BAB">
              <w:rPr>
                <w:noProof/>
              </w:rPr>
              <w:t>Situația după acțiune</w:t>
            </w:r>
          </w:p>
        </w:tc>
      </w:tr>
      <w:tr w:rsidR="004A5E08" w:rsidRPr="009D3BAB"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9D3BAB" w:rsidRDefault="004A5E08" w:rsidP="00151F04">
            <w:pPr>
              <w:spacing w:line="276" w:lineRule="auto"/>
              <w:jc w:val="center"/>
              <w:rPr>
                <w:noProof/>
                <w:szCs w:val="24"/>
              </w:rPr>
            </w:pPr>
          </w:p>
        </w:tc>
        <w:tc>
          <w:tcPr>
            <w:tcW w:w="7073" w:type="dxa"/>
            <w:gridSpan w:val="3"/>
            <w:tcBorders>
              <w:top w:val="single" w:sz="4" w:space="0" w:color="auto"/>
              <w:left w:val="single" w:sz="4" w:space="0" w:color="auto"/>
              <w:bottom w:val="single" w:sz="4" w:space="0" w:color="auto"/>
              <w:right w:val="single" w:sz="4" w:space="0" w:color="auto"/>
            </w:tcBorders>
          </w:tcPr>
          <w:p w:rsidR="004A5E08" w:rsidRPr="009D3BAB" w:rsidRDefault="004A5E08" w:rsidP="00151F04">
            <w:pPr>
              <w:spacing w:line="276" w:lineRule="auto"/>
              <w:jc w:val="center"/>
              <w:rPr>
                <w:noProof/>
                <w:szCs w:val="24"/>
              </w:rPr>
            </w:pPr>
            <w:r w:rsidRPr="009D3BAB">
              <w:rPr>
                <w:noProof/>
              </w:rPr>
              <w:t>[2026 – 2030]</w:t>
            </w:r>
          </w:p>
        </w:tc>
      </w:tr>
      <w:tr w:rsidR="004A5E08" w:rsidRPr="009D3BAB" w:rsidTr="006560DF">
        <w:trPr>
          <w:gridBefore w:val="1"/>
          <w:wBefore w:w="6" w:type="dxa"/>
          <w:cantSplit/>
        </w:trPr>
        <w:tc>
          <w:tcPr>
            <w:tcW w:w="1321" w:type="dxa"/>
            <w:tcBorders>
              <w:top w:val="single" w:sz="4" w:space="0" w:color="auto"/>
              <w:left w:val="single" w:sz="4" w:space="0" w:color="auto"/>
              <w:bottom w:val="single" w:sz="4" w:space="0" w:color="auto"/>
              <w:right w:val="single" w:sz="4" w:space="0" w:color="auto"/>
            </w:tcBorders>
          </w:tcPr>
          <w:p w:rsidR="004A5E08" w:rsidRPr="009D3BAB" w:rsidRDefault="004A5E08" w:rsidP="00151F04">
            <w:pPr>
              <w:spacing w:line="276" w:lineRule="auto"/>
              <w:rPr>
                <w:noProof/>
                <w:szCs w:val="24"/>
              </w:rPr>
            </w:pPr>
            <w:r w:rsidRPr="009D3BAB">
              <w:rPr>
                <w:noProof/>
              </w:rPr>
              <w:t>Articolul 120</w:t>
            </w:r>
          </w:p>
        </w:tc>
        <w:tc>
          <w:tcPr>
            <w:tcW w:w="7073" w:type="dxa"/>
            <w:gridSpan w:val="3"/>
            <w:tcBorders>
              <w:top w:val="single" w:sz="4" w:space="0" w:color="auto"/>
              <w:left w:val="single" w:sz="4" w:space="0" w:color="auto"/>
              <w:bottom w:val="single" w:sz="4" w:space="0" w:color="auto"/>
              <w:right w:val="single" w:sz="4" w:space="0" w:color="auto"/>
            </w:tcBorders>
          </w:tcPr>
          <w:p w:rsidR="004A5E08" w:rsidRPr="009D3BAB" w:rsidRDefault="00D95086" w:rsidP="00151F04">
            <w:pPr>
              <w:spacing w:line="276" w:lineRule="auto"/>
              <w:jc w:val="center"/>
              <w:rPr>
                <w:noProof/>
                <w:szCs w:val="24"/>
              </w:rPr>
            </w:pPr>
            <w:r w:rsidRPr="009D3BAB">
              <w:rPr>
                <w:noProof/>
              </w:rPr>
              <w:t>-8,01 milioane EUR/an</w:t>
            </w:r>
          </w:p>
        </w:tc>
      </w:tr>
      <w:tr w:rsidR="004A5E08" w:rsidRPr="009D3BAB" w:rsidTr="006560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106" w:type="dxa"/>
        </w:trPr>
        <w:tc>
          <w:tcPr>
            <w:tcW w:w="215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9D3BAB" w:rsidRDefault="004A5E08" w:rsidP="00151F04">
            <w:pPr>
              <w:pStyle w:val="Text1"/>
              <w:rPr>
                <w:noProof/>
              </w:rPr>
            </w:pPr>
          </w:p>
        </w:tc>
        <w:tc>
          <w:tcPr>
            <w:tcW w:w="214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4A5E08" w:rsidRPr="009D3BAB" w:rsidRDefault="004A5E08" w:rsidP="00151F04">
            <w:pPr>
              <w:pStyle w:val="Text1"/>
              <w:rPr>
                <w:noProof/>
              </w:rPr>
            </w:pPr>
          </w:p>
        </w:tc>
      </w:tr>
    </w:tbl>
    <w:p w:rsidR="00CE64C9" w:rsidRPr="009D3BAB" w:rsidRDefault="00CE64C9" w:rsidP="00151F04">
      <w:pPr>
        <w:pStyle w:val="Text1"/>
        <w:rPr>
          <w:noProof/>
        </w:rPr>
      </w:pPr>
      <w:r w:rsidRPr="009D3BAB">
        <w:rPr>
          <w:noProof/>
        </w:rPr>
        <w:t>Anexa conține 70 de produse noi. Taxele vamale nepercepute corespunzătoare acestor suspendări, calculate pe baza previziunilor statului membru solicitant pentru perioada 2026-2030, sunt de 14 556 827 EUR pe an.</w:t>
      </w:r>
    </w:p>
    <w:p w:rsidR="00CE64C9" w:rsidRPr="009D3BAB" w:rsidRDefault="004A5E08" w:rsidP="00151F04">
      <w:pPr>
        <w:pStyle w:val="Text1"/>
        <w:rPr>
          <w:noProof/>
        </w:rPr>
      </w:pPr>
      <w:r w:rsidRPr="009D3BAB">
        <w:rPr>
          <w:noProof/>
        </w:rPr>
        <w:t>Pe baza statisticilor existente pentru anii precedenți, apare însă ca necesară majorarea acestei sume cu un coeficient mediu estimat la 1,8, pentru a se ține cont de importurile realizate în alte state membre aplicând aceleași suspendări. Aceasta înseamnă taxe nepercepute de aproximativ 26 202 289 EUR pe an.</w:t>
      </w:r>
    </w:p>
    <w:p w:rsidR="004A5E08" w:rsidRPr="009D3BAB" w:rsidRDefault="000B17CC" w:rsidP="00151F04">
      <w:pPr>
        <w:pStyle w:val="Text1"/>
        <w:rPr>
          <w:noProof/>
        </w:rPr>
      </w:pPr>
      <w:r w:rsidRPr="009D3BAB">
        <w:rPr>
          <w:noProof/>
        </w:rPr>
        <w:t xml:space="preserve">20 de produse au fost retrase din anexă ca rezultat al reintroducerii taxelor vamale. Aceasta reprezintă o creștere de </w:t>
      </w:r>
      <w:bookmarkStart w:id="3" w:name="_Hlk208307212"/>
      <w:r w:rsidRPr="009D3BAB">
        <w:rPr>
          <w:noProof/>
        </w:rPr>
        <w:t>15 524 866</w:t>
      </w:r>
      <w:bookmarkEnd w:id="3"/>
      <w:r w:rsidRPr="009D3BAB">
        <w:rPr>
          <w:noProof/>
        </w:rPr>
        <w:t> EUR pe an a taxelor colectate, estimată pe baza statisticilor din anul 2025.</w:t>
      </w:r>
    </w:p>
    <w:p w:rsidR="004A5E08" w:rsidRPr="009D3BAB" w:rsidRDefault="004A5E08" w:rsidP="00151F04">
      <w:pPr>
        <w:pStyle w:val="Text1"/>
        <w:rPr>
          <w:noProof/>
        </w:rPr>
      </w:pPr>
      <w:bookmarkStart w:id="4" w:name="_Hlk191656742"/>
      <w:r w:rsidRPr="009D3BAB">
        <w:rPr>
          <w:noProof/>
        </w:rPr>
        <w:t>Pe baza celor de mai sus, impactul asupra pierderii de venituri pentru bugetul UE care rezultă din prezentul regulament este estimat la 26 202 289 – 15 524 866 = 10 677 422 EUR (cuantum brut, incluzând costuri de colectare) x 0,75 = 8 008 067 EUR pe an (cuantum net).</w:t>
      </w:r>
    </w:p>
    <w:bookmarkEnd w:id="4"/>
    <w:p w:rsidR="004A5E08" w:rsidRPr="009D3BAB" w:rsidRDefault="004A5E08" w:rsidP="00151F04">
      <w:pPr>
        <w:pStyle w:val="ManualHeading1"/>
        <w:rPr>
          <w:noProof/>
          <w:szCs w:val="24"/>
        </w:rPr>
      </w:pPr>
      <w:r>
        <w:rPr>
          <w:noProof/>
        </w:rPr>
        <w:t>4.</w:t>
      </w:r>
      <w:r>
        <w:rPr>
          <w:noProof/>
        </w:rPr>
        <w:tab/>
      </w:r>
      <w:r w:rsidRPr="009D3BAB">
        <w:rPr>
          <w:noProof/>
        </w:rPr>
        <w:t>MĂSURI ANTIFRAUDĂ</w:t>
      </w:r>
    </w:p>
    <w:p w:rsidR="004A5E08" w:rsidRPr="009D3BAB" w:rsidRDefault="004A5E08" w:rsidP="00151F04">
      <w:pPr>
        <w:pStyle w:val="Text1"/>
        <w:rPr>
          <w:noProof/>
        </w:rPr>
      </w:pPr>
      <w:r w:rsidRPr="009D3BAB">
        <w:rPr>
          <w:noProof/>
        </w:rPr>
        <w:t>Controlul utilizării finale a anumitor produse care fac obiectul prezentului regulament al Consiliului se va efectua în conformitate cu articolul 254 din Regulamentul (UE) nr. 952/2013.</w:t>
      </w:r>
    </w:p>
    <w:p w:rsidR="004A5E08" w:rsidRPr="009D3BAB" w:rsidRDefault="004A5E08" w:rsidP="00151F04">
      <w:pPr>
        <w:pStyle w:val="Text1"/>
        <w:rPr>
          <w:noProof/>
        </w:rPr>
      </w:pPr>
      <w:r w:rsidRPr="009D3BAB">
        <w:rPr>
          <w:noProof/>
        </w:rPr>
        <w:t>În plus, statele membre pot efectua orice controale vamale pe care le consideră adecvate în cadrul gestionării riscurilor pe care o efectuează, astfel cum se prevede la articolul 46 din Regulamentul (UE) nr. 952/2013.</w:t>
      </w:r>
    </w:p>
    <w:sectPr w:rsidR="004A5E08" w:rsidRPr="009D3BAB" w:rsidSect="00F13CFB">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8CB" w:rsidRDefault="00D438CB">
      <w:r>
        <w:separator/>
      </w:r>
    </w:p>
  </w:endnote>
  <w:endnote w:type="continuationSeparator" w:id="0">
    <w:p w:rsidR="00D438CB" w:rsidRDefault="00D438CB">
      <w:r>
        <w:continuationSeparator/>
      </w:r>
    </w:p>
  </w:endnote>
  <w:endnote w:type="continuationNotice" w:id="1">
    <w:p w:rsidR="00D438CB" w:rsidRDefault="00D438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Pr="00F13CFB" w:rsidRDefault="00F13CFB" w:rsidP="00F13CFB">
    <w:pPr>
      <w:pStyle w:val="Footer"/>
      <w:rPr>
        <w:rFonts w:ascii="Arial" w:hAnsi="Arial" w:cs="Arial"/>
        <w:b/>
        <w:sz w:val="48"/>
      </w:rPr>
    </w:pPr>
    <w:r w:rsidRPr="00F13CFB">
      <w:rPr>
        <w:rFonts w:ascii="Arial" w:hAnsi="Arial" w:cs="Arial"/>
        <w:b/>
        <w:sz w:val="48"/>
      </w:rPr>
      <w:t>RO</w:t>
    </w:r>
    <w:r w:rsidRPr="00F13CFB">
      <w:rPr>
        <w:rFonts w:ascii="Arial" w:hAnsi="Arial" w:cs="Arial"/>
        <w:b/>
        <w:sz w:val="48"/>
      </w:rPr>
      <w:tab/>
    </w:r>
    <w:r w:rsidRPr="00F13CFB">
      <w:rPr>
        <w:rFonts w:ascii="Arial" w:hAnsi="Arial" w:cs="Arial"/>
        <w:b/>
        <w:sz w:val="48"/>
      </w:rPr>
      <w:tab/>
    </w:r>
    <w:r w:rsidRPr="00F13CFB">
      <w:tab/>
    </w:r>
    <w:r w:rsidRPr="00F13CF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Pr="00F13CFB" w:rsidRDefault="00F13CFB" w:rsidP="00F13CFB">
    <w:pPr>
      <w:pStyle w:val="Footer"/>
      <w:rPr>
        <w:rFonts w:ascii="Arial" w:hAnsi="Arial" w:cs="Arial"/>
        <w:b/>
        <w:sz w:val="48"/>
      </w:rPr>
    </w:pPr>
    <w:r w:rsidRPr="00F13CFB">
      <w:rPr>
        <w:rFonts w:ascii="Arial" w:hAnsi="Arial" w:cs="Arial"/>
        <w:b/>
        <w:sz w:val="48"/>
      </w:rPr>
      <w:t>RO</w:t>
    </w:r>
    <w:r w:rsidRPr="00F13CFB">
      <w:rPr>
        <w:rFonts w:ascii="Arial" w:hAnsi="Arial" w:cs="Arial"/>
        <w:b/>
        <w:sz w:val="48"/>
      </w:rPr>
      <w:tab/>
    </w:r>
    <w:r w:rsidRPr="00F13CFB">
      <w:rPr>
        <w:rFonts w:ascii="Arial" w:hAnsi="Arial" w:cs="Arial"/>
        <w:b/>
        <w:sz w:val="48"/>
      </w:rPr>
      <w:tab/>
    </w:r>
    <w:r w:rsidRPr="00F13CFB">
      <w:tab/>
    </w:r>
    <w:r w:rsidRPr="00F13CF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Default="00F13C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Pr="00F13CFB" w:rsidRDefault="00F13CFB" w:rsidP="00F13CFB">
    <w:pPr>
      <w:pStyle w:val="Footer"/>
      <w:rPr>
        <w:rFonts w:ascii="Arial" w:hAnsi="Arial" w:cs="Arial"/>
        <w:b/>
        <w:sz w:val="48"/>
      </w:rPr>
    </w:pPr>
    <w:r w:rsidRPr="00F13CFB">
      <w:rPr>
        <w:rFonts w:ascii="Arial" w:hAnsi="Arial" w:cs="Arial"/>
        <w:b/>
        <w:sz w:val="48"/>
      </w:rPr>
      <w:t>RO</w:t>
    </w:r>
    <w:r w:rsidRPr="00F13CFB">
      <w:rPr>
        <w:rFonts w:ascii="Arial" w:hAnsi="Arial" w:cs="Arial"/>
        <w:b/>
        <w:sz w:val="48"/>
      </w:rPr>
      <w:tab/>
    </w:r>
    <w:r>
      <w:fldChar w:fldCharType="begin"/>
    </w:r>
    <w:r>
      <w:instrText xml:space="preserve"> PAGE  \* MERGEFORMAT </w:instrText>
    </w:r>
    <w:r>
      <w:fldChar w:fldCharType="separate"/>
    </w:r>
    <w:r w:rsidR="002F5C56">
      <w:rPr>
        <w:noProof/>
      </w:rPr>
      <w:t>6</w:t>
    </w:r>
    <w:r>
      <w:fldChar w:fldCharType="end"/>
    </w:r>
    <w:r>
      <w:tab/>
    </w:r>
    <w:r w:rsidRPr="00F13CFB">
      <w:tab/>
    </w:r>
    <w:r w:rsidRPr="00F13CF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Default="00F13CFB" w:rsidP="00F13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8CB" w:rsidRDefault="00D438CB">
      <w:r>
        <w:separator/>
      </w:r>
    </w:p>
  </w:footnote>
  <w:footnote w:type="continuationSeparator" w:id="0">
    <w:p w:rsidR="00D438CB" w:rsidRDefault="00D438CB">
      <w:r>
        <w:continuationSeparator/>
      </w:r>
    </w:p>
  </w:footnote>
  <w:footnote w:type="continuationNotice" w:id="1">
    <w:p w:rsidR="00D438CB" w:rsidRDefault="00D438CB">
      <w:pPr>
        <w:spacing w:before="0" w:after="0"/>
      </w:pPr>
    </w:p>
  </w:footnote>
  <w:footnote w:id="2">
    <w:p w:rsidR="00F97099" w:rsidRPr="002B24EA" w:rsidRDefault="00F97099">
      <w:pPr>
        <w:pStyle w:val="FootnoteText"/>
      </w:pPr>
      <w:r>
        <w:rPr>
          <w:rStyle w:val="FootnoteReference"/>
        </w:rPr>
        <w:footnoteRef/>
      </w:r>
      <w:r>
        <w:tab/>
        <w:t>JO L 466, 29.12.2021, p.1</w:t>
      </w:r>
    </w:p>
  </w:footnote>
  <w:footnote w:id="3">
    <w:p w:rsidR="004A5E08" w:rsidRPr="002B24EA" w:rsidRDefault="004A5E08" w:rsidP="004A5E08">
      <w:pPr>
        <w:pStyle w:val="FootnoteText"/>
      </w:pPr>
      <w:r>
        <w:rPr>
          <w:rStyle w:val="FootnoteReference"/>
        </w:rPr>
        <w:footnoteRef/>
      </w:r>
      <w:r>
        <w:tab/>
        <w:t>JO C 363, 13.12.2011, p. 6.</w:t>
      </w:r>
    </w:p>
  </w:footnote>
  <w:footnote w:id="4">
    <w:p w:rsidR="00DD4CE4" w:rsidRPr="002B24EA" w:rsidRDefault="00DD4CE4">
      <w:pPr>
        <w:pStyle w:val="FootnoteText"/>
      </w:pPr>
      <w:r>
        <w:rPr>
          <w:rStyle w:val="FootnoteReference"/>
        </w:rPr>
        <w:footnoteRef/>
      </w:r>
      <w:r>
        <w:tab/>
        <w:t>https://taxation-customs.ec.europa.eu/system/files/2016-09/evaluation_suspensions_duties.pdf</w:t>
      </w:r>
    </w:p>
  </w:footnote>
  <w:footnote w:id="5">
    <w:p w:rsidR="0075670A" w:rsidRPr="009D3BAB" w:rsidRDefault="0075670A" w:rsidP="0075670A">
      <w:pPr>
        <w:pStyle w:val="FootnoteText"/>
        <w:rPr>
          <w:lang w:val="fr-FR"/>
        </w:rPr>
      </w:pPr>
      <w:r>
        <w:rPr>
          <w:rStyle w:val="FootnoteReference"/>
        </w:rPr>
        <w:footnoteRef/>
      </w:r>
      <w:r w:rsidRPr="009D3BAB">
        <w:rPr>
          <w:lang w:val="fr-FR"/>
        </w:rPr>
        <w:tab/>
        <w:t>Regulamentul (UE) nr. 952/2013 al Parlamentului European și al Consiliului din 9 octombrie 2013 de stabilire a Codului vamal al Uniunii (JO L 269, 10.10.2013, p. 1, ELI: </w:t>
      </w:r>
      <w:hyperlink r:id="rId1" w:tooltip="Oferă acces la acest document prin identificatorul său uniform de resurse ELI." w:history="1">
        <w:r w:rsidRPr="009D3BAB">
          <w:rPr>
            <w:rStyle w:val="Hyperlink"/>
            <w:lang w:val="fr-FR"/>
          </w:rPr>
          <w:t>http://data.europa.eu/eli/reg/2013/952/oj</w:t>
        </w:r>
      </w:hyperlink>
      <w:r w:rsidRPr="009D3BAB">
        <w:rPr>
          <w:lang w:val="fr-FR"/>
        </w:rPr>
        <w:t>).</w:t>
      </w:r>
    </w:p>
  </w:footnote>
  <w:footnote w:id="6">
    <w:p w:rsidR="003A5FBC" w:rsidRPr="009D3BAB" w:rsidRDefault="0075670A" w:rsidP="003A5FBC">
      <w:pPr>
        <w:pStyle w:val="FootnoteText"/>
        <w:rPr>
          <w:lang w:val="fr-FR"/>
        </w:rPr>
      </w:pPr>
      <w:r>
        <w:rPr>
          <w:rStyle w:val="FootnoteReference"/>
        </w:rPr>
        <w:footnoteRef/>
      </w:r>
      <w:r w:rsidRPr="009D3BAB">
        <w:rPr>
          <w:lang w:val="fr-FR"/>
        </w:rPr>
        <w:tab/>
        <w:t>Regulamentul (UE) 2021/2278 al Consiliului din 20 decembrie 2021 de suspendare a taxelor din Tariful vamal comun menționate la articolul 56 alineatul (2) litera (c) din Regulamentul (UE) nr. 952/2013 pentru anumite produse agricole și industriale și de abrogare a Regulamentului (UE) nr. 1387/2013 (JO L 466, 29.12.2021, p. 1, ELI: </w:t>
      </w:r>
      <w:hyperlink r:id="rId2" w:tooltip="Oferă acces la acest document prin identificatorul său uniform de resurse ELI." w:history="1">
        <w:r w:rsidRPr="009D3BAB">
          <w:rPr>
            <w:lang w:val="fr-FR"/>
          </w:rPr>
          <w:t>http://data.europa.eu/eli/reg/2021/2278/oj</w:t>
        </w:r>
      </w:hyperlink>
      <w:r w:rsidRPr="009D3BA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Default="00F13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FB" w:rsidRDefault="00F13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B2CA93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4326C3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B8E816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F20F3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D24F1C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54259A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1E91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72E11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20"/>
  </w:num>
  <w:num w:numId="12">
    <w:abstractNumId w:val="22"/>
  </w:num>
  <w:num w:numId="13">
    <w:abstractNumId w:val="19"/>
  </w:num>
  <w:num w:numId="14">
    <w:abstractNumId w:val="12"/>
  </w:num>
  <w:num w:numId="15">
    <w:abstractNumId w:val="21"/>
  </w:num>
  <w:num w:numId="16">
    <w:abstractNumId w:val="11"/>
  </w:num>
  <w:num w:numId="17">
    <w:abstractNumId w:val="13"/>
  </w:num>
  <w:num w:numId="18">
    <w:abstractNumId w:val="14"/>
  </w:num>
  <w:num w:numId="19">
    <w:abstractNumId w:val="9"/>
  </w:num>
  <w:num w:numId="20">
    <w:abstractNumId w:val="20"/>
  </w:num>
  <w:num w:numId="21">
    <w:abstractNumId w:val="8"/>
  </w:num>
  <w:num w:numId="22">
    <w:abstractNumId w:val="15"/>
  </w:num>
  <w:num w:numId="23">
    <w:abstractNumId w:val="17"/>
  </w:num>
  <w:num w:numId="24">
    <w:abstractNumId w:val="18"/>
  </w:num>
  <w:num w:numId="25">
    <w:abstractNumId w:val="10"/>
  </w:num>
  <w:num w:numId="26">
    <w:abstractNumId w:val="16"/>
  </w:num>
  <w:num w:numId="27">
    <w:abstractNumId w:val="22"/>
  </w:num>
  <w:num w:numId="28">
    <w:abstractNumId w:val="19"/>
  </w:num>
  <w:num w:numId="29">
    <w:abstractNumId w:val="12"/>
  </w:num>
  <w:num w:numId="30">
    <w:abstractNumId w:val="21"/>
  </w:num>
  <w:num w:numId="31">
    <w:abstractNumId w:val="11"/>
  </w:num>
  <w:num w:numId="32">
    <w:abstractNumId w:val="13"/>
  </w:num>
  <w:num w:numId="33">
    <w:abstractNumId w:val="14"/>
  </w:num>
  <w:num w:numId="34">
    <w:abstractNumId w:val="9"/>
  </w:num>
  <w:num w:numId="35">
    <w:abstractNumId w:val="20"/>
  </w:num>
  <w:num w:numId="36">
    <w:abstractNumId w:val="8"/>
  </w:num>
  <w:num w:numId="37">
    <w:abstractNumId w:val="15"/>
  </w:num>
  <w:num w:numId="38">
    <w:abstractNumId w:val="17"/>
  </w:num>
  <w:num w:numId="39">
    <w:abstractNumId w:val="18"/>
  </w:num>
  <w:num w:numId="40">
    <w:abstractNumId w:val="10"/>
  </w:num>
  <w:num w:numId="41">
    <w:abstractNumId w:val="16"/>
  </w:num>
  <w:num w:numId="42">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0" w:nlCheck="1" w:checkStyle="0"/>
  <w:activeWritingStyle w:appName="MSWord" w:lang="fi-FI" w:vendorID="64" w:dllVersion="6" w:nlCheck="1" w:checkStyle="0"/>
  <w:activeWritingStyle w:appName="MSWord" w:lang="fi-FI"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120"/>
  <w:displayHorizontalDrawingGridEvery w:val="2"/>
  <w:noPunctuationKerning/>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nsidérant" w:val="Considérant__1"/>
    <w:docVar w:name="Copylist_Path" w:val="\\at100\user\wk\SEILEG\Lw5x\Copylist\CecCons\Template"/>
    <w:docVar w:name="DQCDateTime" w:val="2026-04-29 10:25: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4C4BDC3-BB76-4F93-8564-3430D24A3839"/>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xelles, "/>
    <w:docVar w:name="LW_EMISSION_SUFFIX" w:val=" "/>
    <w:docVar w:name="LW_ID_DOCMODEL" w:val="b01"/>
    <w:docVar w:name="LW_ID_DOCSIGNATURE" w:val="SJ-016"/>
    <w:docVar w:name="LW_ID_DOCSTRUCTURE" w:val="COM/PL/ORG"/>
    <w:docVar w:name="LW_ID_DOCTYPE" w:val="SJ-016"/>
    <w:docVar w:name="LW_ID_STATUT" w:val="PROPOSAL"/>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5"/>
    <w:docVar w:name="LW_REF.II.NEW.CP_YEAR" w:val="2026"/>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1/2278 de suspendare a taxelor din Tariful vamal comun men\u539?ionate la articolul 56 alineatul (2) litera (c) din Regulamentul (UE) nr. 952/2013 al Parlamentului European \u537?i al Consiliului pentru anumite produse agricole \u537?i industriale"/>
    <w:docVar w:name="LW_TITRE.OBJ.CP_PREVIOUS" w:val="&lt;UNUSED&gt;"/>
    <w:docVar w:name="LW_TYPE.DOC.CP" w:val="REGULAMENT AL CONSILIULUI"/>
    <w:docVar w:name="LwApiVersions" w:val="LW4CoDe 1.24.5.0; LW 9.2, Build 20251112"/>
    <w:docVar w:name="VSSDB_IniPath" w:val="\\at100\user\wovo\SEILEG\vss\srcsafe.ini"/>
    <w:docVar w:name="VSSDB_ProjectPath" w:val="$/LegisWrite/DOT/COM"/>
  </w:docVars>
  <w:rsids>
    <w:rsidRoot w:val="00D34740"/>
    <w:rsid w:val="00004B01"/>
    <w:rsid w:val="00004CD3"/>
    <w:rsid w:val="00005907"/>
    <w:rsid w:val="0000704F"/>
    <w:rsid w:val="0000758D"/>
    <w:rsid w:val="00011B3F"/>
    <w:rsid w:val="00012F6C"/>
    <w:rsid w:val="00013EED"/>
    <w:rsid w:val="00014925"/>
    <w:rsid w:val="00015B39"/>
    <w:rsid w:val="00027C1B"/>
    <w:rsid w:val="00030E2C"/>
    <w:rsid w:val="00036EF7"/>
    <w:rsid w:val="00043514"/>
    <w:rsid w:val="00043D79"/>
    <w:rsid w:val="00052BDF"/>
    <w:rsid w:val="00057E8A"/>
    <w:rsid w:val="000628EE"/>
    <w:rsid w:val="00062957"/>
    <w:rsid w:val="0006316B"/>
    <w:rsid w:val="0006339B"/>
    <w:rsid w:val="00063BFE"/>
    <w:rsid w:val="00065769"/>
    <w:rsid w:val="00066EE5"/>
    <w:rsid w:val="00074F2F"/>
    <w:rsid w:val="000753F0"/>
    <w:rsid w:val="00077AC1"/>
    <w:rsid w:val="0008014F"/>
    <w:rsid w:val="00080A36"/>
    <w:rsid w:val="00082AF2"/>
    <w:rsid w:val="00082CC3"/>
    <w:rsid w:val="000849C8"/>
    <w:rsid w:val="00086B1F"/>
    <w:rsid w:val="0008763E"/>
    <w:rsid w:val="000908B3"/>
    <w:rsid w:val="00092294"/>
    <w:rsid w:val="000926F7"/>
    <w:rsid w:val="000937A5"/>
    <w:rsid w:val="000A22D5"/>
    <w:rsid w:val="000A51B0"/>
    <w:rsid w:val="000B0DC4"/>
    <w:rsid w:val="000B17CC"/>
    <w:rsid w:val="000B3B35"/>
    <w:rsid w:val="000B7E7B"/>
    <w:rsid w:val="000C2192"/>
    <w:rsid w:val="000C3019"/>
    <w:rsid w:val="000C52AD"/>
    <w:rsid w:val="000D351A"/>
    <w:rsid w:val="000D5E7C"/>
    <w:rsid w:val="000D71B5"/>
    <w:rsid w:val="000D74CE"/>
    <w:rsid w:val="000E030F"/>
    <w:rsid w:val="000E2825"/>
    <w:rsid w:val="000E3141"/>
    <w:rsid w:val="000E4433"/>
    <w:rsid w:val="000F0140"/>
    <w:rsid w:val="000F1B4C"/>
    <w:rsid w:val="000F2D34"/>
    <w:rsid w:val="000F43BA"/>
    <w:rsid w:val="000F6CCD"/>
    <w:rsid w:val="00102D23"/>
    <w:rsid w:val="00104866"/>
    <w:rsid w:val="001048E2"/>
    <w:rsid w:val="00105CF0"/>
    <w:rsid w:val="00106175"/>
    <w:rsid w:val="00106B04"/>
    <w:rsid w:val="001104FD"/>
    <w:rsid w:val="00110F44"/>
    <w:rsid w:val="00113872"/>
    <w:rsid w:val="00114503"/>
    <w:rsid w:val="00115AC1"/>
    <w:rsid w:val="001163B3"/>
    <w:rsid w:val="001167B1"/>
    <w:rsid w:val="00124213"/>
    <w:rsid w:val="00125406"/>
    <w:rsid w:val="00131343"/>
    <w:rsid w:val="00132626"/>
    <w:rsid w:val="0013507F"/>
    <w:rsid w:val="00137F38"/>
    <w:rsid w:val="00140418"/>
    <w:rsid w:val="00141685"/>
    <w:rsid w:val="00141F5E"/>
    <w:rsid w:val="001469B9"/>
    <w:rsid w:val="00151B11"/>
    <w:rsid w:val="00151C93"/>
    <w:rsid w:val="00151F04"/>
    <w:rsid w:val="001522A0"/>
    <w:rsid w:val="001536A7"/>
    <w:rsid w:val="001570EF"/>
    <w:rsid w:val="00160BC2"/>
    <w:rsid w:val="00160DBF"/>
    <w:rsid w:val="001614B1"/>
    <w:rsid w:val="00162E5B"/>
    <w:rsid w:val="00166C69"/>
    <w:rsid w:val="00167B43"/>
    <w:rsid w:val="001721B8"/>
    <w:rsid w:val="001730F9"/>
    <w:rsid w:val="00173B7F"/>
    <w:rsid w:val="00176841"/>
    <w:rsid w:val="00176AA4"/>
    <w:rsid w:val="001777E5"/>
    <w:rsid w:val="00180CB6"/>
    <w:rsid w:val="00181A9B"/>
    <w:rsid w:val="00185618"/>
    <w:rsid w:val="0018661C"/>
    <w:rsid w:val="00193527"/>
    <w:rsid w:val="001940D8"/>
    <w:rsid w:val="00195D99"/>
    <w:rsid w:val="001A0AB5"/>
    <w:rsid w:val="001A39BD"/>
    <w:rsid w:val="001A47F7"/>
    <w:rsid w:val="001A680C"/>
    <w:rsid w:val="001B1CE8"/>
    <w:rsid w:val="001B20C7"/>
    <w:rsid w:val="001B2D61"/>
    <w:rsid w:val="001B31DC"/>
    <w:rsid w:val="001B5DC5"/>
    <w:rsid w:val="001B7303"/>
    <w:rsid w:val="001C19F7"/>
    <w:rsid w:val="001C1CD7"/>
    <w:rsid w:val="001C3802"/>
    <w:rsid w:val="001C7ABE"/>
    <w:rsid w:val="001D1A88"/>
    <w:rsid w:val="001D1F4F"/>
    <w:rsid w:val="001D28EB"/>
    <w:rsid w:val="001D4B19"/>
    <w:rsid w:val="001D7621"/>
    <w:rsid w:val="001E0B23"/>
    <w:rsid w:val="001E0B57"/>
    <w:rsid w:val="001E1216"/>
    <w:rsid w:val="001E3BBE"/>
    <w:rsid w:val="001E5809"/>
    <w:rsid w:val="001E5A41"/>
    <w:rsid w:val="001E6B33"/>
    <w:rsid w:val="001E7CF8"/>
    <w:rsid w:val="001F1AC9"/>
    <w:rsid w:val="001F2AE3"/>
    <w:rsid w:val="001F5821"/>
    <w:rsid w:val="00200E6D"/>
    <w:rsid w:val="002019B6"/>
    <w:rsid w:val="00204A87"/>
    <w:rsid w:val="00204F34"/>
    <w:rsid w:val="00206290"/>
    <w:rsid w:val="00206B9C"/>
    <w:rsid w:val="00207B91"/>
    <w:rsid w:val="00210953"/>
    <w:rsid w:val="002133F8"/>
    <w:rsid w:val="002167F3"/>
    <w:rsid w:val="00216850"/>
    <w:rsid w:val="0021793A"/>
    <w:rsid w:val="00220003"/>
    <w:rsid w:val="002216E2"/>
    <w:rsid w:val="00222A8F"/>
    <w:rsid w:val="00223ABB"/>
    <w:rsid w:val="0022487F"/>
    <w:rsid w:val="00231491"/>
    <w:rsid w:val="00234FA1"/>
    <w:rsid w:val="002372EF"/>
    <w:rsid w:val="00242C1C"/>
    <w:rsid w:val="00244BEA"/>
    <w:rsid w:val="00246810"/>
    <w:rsid w:val="00250E99"/>
    <w:rsid w:val="00250EA1"/>
    <w:rsid w:val="00257A1A"/>
    <w:rsid w:val="00262EA1"/>
    <w:rsid w:val="00263C2D"/>
    <w:rsid w:val="00265CB7"/>
    <w:rsid w:val="00267429"/>
    <w:rsid w:val="00272122"/>
    <w:rsid w:val="002727E3"/>
    <w:rsid w:val="0027443F"/>
    <w:rsid w:val="00281975"/>
    <w:rsid w:val="00281F80"/>
    <w:rsid w:val="0028347A"/>
    <w:rsid w:val="00284102"/>
    <w:rsid w:val="00285D45"/>
    <w:rsid w:val="002867EA"/>
    <w:rsid w:val="0029182F"/>
    <w:rsid w:val="002948B6"/>
    <w:rsid w:val="0029517E"/>
    <w:rsid w:val="00296450"/>
    <w:rsid w:val="002970C6"/>
    <w:rsid w:val="002A0D37"/>
    <w:rsid w:val="002A35D2"/>
    <w:rsid w:val="002A674C"/>
    <w:rsid w:val="002A71FD"/>
    <w:rsid w:val="002A75C0"/>
    <w:rsid w:val="002B1FAD"/>
    <w:rsid w:val="002B24EA"/>
    <w:rsid w:val="002B2C9C"/>
    <w:rsid w:val="002B630D"/>
    <w:rsid w:val="002C182F"/>
    <w:rsid w:val="002C5DFE"/>
    <w:rsid w:val="002C7D0C"/>
    <w:rsid w:val="002D097B"/>
    <w:rsid w:val="002D23B5"/>
    <w:rsid w:val="002D4F29"/>
    <w:rsid w:val="002D730C"/>
    <w:rsid w:val="002E055D"/>
    <w:rsid w:val="002E061F"/>
    <w:rsid w:val="002E3DEA"/>
    <w:rsid w:val="002F0044"/>
    <w:rsid w:val="002F0128"/>
    <w:rsid w:val="002F0C0A"/>
    <w:rsid w:val="002F41D8"/>
    <w:rsid w:val="002F5C56"/>
    <w:rsid w:val="002F7C22"/>
    <w:rsid w:val="00305B90"/>
    <w:rsid w:val="00307B89"/>
    <w:rsid w:val="0031113D"/>
    <w:rsid w:val="00311487"/>
    <w:rsid w:val="00314D3A"/>
    <w:rsid w:val="00316660"/>
    <w:rsid w:val="00316B51"/>
    <w:rsid w:val="00316D2F"/>
    <w:rsid w:val="0031712C"/>
    <w:rsid w:val="00321631"/>
    <w:rsid w:val="0032242D"/>
    <w:rsid w:val="00327D50"/>
    <w:rsid w:val="00333C0D"/>
    <w:rsid w:val="00335BA8"/>
    <w:rsid w:val="00340A3C"/>
    <w:rsid w:val="003425B7"/>
    <w:rsid w:val="00342FAD"/>
    <w:rsid w:val="00343141"/>
    <w:rsid w:val="00343EE8"/>
    <w:rsid w:val="0034460A"/>
    <w:rsid w:val="00344C1C"/>
    <w:rsid w:val="00347CCE"/>
    <w:rsid w:val="00350308"/>
    <w:rsid w:val="00354E56"/>
    <w:rsid w:val="0036326A"/>
    <w:rsid w:val="0036432E"/>
    <w:rsid w:val="003670A2"/>
    <w:rsid w:val="00371CA8"/>
    <w:rsid w:val="00371EA7"/>
    <w:rsid w:val="00377F02"/>
    <w:rsid w:val="00380AB5"/>
    <w:rsid w:val="00381EDF"/>
    <w:rsid w:val="003821F7"/>
    <w:rsid w:val="00384C7B"/>
    <w:rsid w:val="00390288"/>
    <w:rsid w:val="003951D1"/>
    <w:rsid w:val="00397612"/>
    <w:rsid w:val="00397A94"/>
    <w:rsid w:val="003A2491"/>
    <w:rsid w:val="003A5FBC"/>
    <w:rsid w:val="003B0BDD"/>
    <w:rsid w:val="003B20A1"/>
    <w:rsid w:val="003B29D1"/>
    <w:rsid w:val="003B3585"/>
    <w:rsid w:val="003B49E4"/>
    <w:rsid w:val="003B57DD"/>
    <w:rsid w:val="003B5C98"/>
    <w:rsid w:val="003B6B9F"/>
    <w:rsid w:val="003B6EB7"/>
    <w:rsid w:val="003C191B"/>
    <w:rsid w:val="003C2A9D"/>
    <w:rsid w:val="003C4FD7"/>
    <w:rsid w:val="003C51EE"/>
    <w:rsid w:val="003D2939"/>
    <w:rsid w:val="003D2BFA"/>
    <w:rsid w:val="003D5212"/>
    <w:rsid w:val="003D5AE4"/>
    <w:rsid w:val="003E0841"/>
    <w:rsid w:val="003E0C68"/>
    <w:rsid w:val="003E2851"/>
    <w:rsid w:val="003E296E"/>
    <w:rsid w:val="003E3F32"/>
    <w:rsid w:val="003E4445"/>
    <w:rsid w:val="003F0950"/>
    <w:rsid w:val="003F0F7B"/>
    <w:rsid w:val="003F2679"/>
    <w:rsid w:val="003F29BB"/>
    <w:rsid w:val="003F3FE1"/>
    <w:rsid w:val="003F49FA"/>
    <w:rsid w:val="003F6B03"/>
    <w:rsid w:val="003F77DB"/>
    <w:rsid w:val="004021C9"/>
    <w:rsid w:val="004027DA"/>
    <w:rsid w:val="0040317C"/>
    <w:rsid w:val="004046C0"/>
    <w:rsid w:val="004104B5"/>
    <w:rsid w:val="00417EA9"/>
    <w:rsid w:val="00420619"/>
    <w:rsid w:val="00422DD6"/>
    <w:rsid w:val="004243B9"/>
    <w:rsid w:val="00424639"/>
    <w:rsid w:val="00427F25"/>
    <w:rsid w:val="0043048E"/>
    <w:rsid w:val="00431600"/>
    <w:rsid w:val="0043214B"/>
    <w:rsid w:val="00434F7E"/>
    <w:rsid w:val="00435A09"/>
    <w:rsid w:val="00437683"/>
    <w:rsid w:val="004376B7"/>
    <w:rsid w:val="00446BC1"/>
    <w:rsid w:val="0044783B"/>
    <w:rsid w:val="00447C0A"/>
    <w:rsid w:val="00451B0E"/>
    <w:rsid w:val="00453E6A"/>
    <w:rsid w:val="0045495F"/>
    <w:rsid w:val="00456421"/>
    <w:rsid w:val="00457F26"/>
    <w:rsid w:val="00462844"/>
    <w:rsid w:val="0046295A"/>
    <w:rsid w:val="0046543B"/>
    <w:rsid w:val="00470147"/>
    <w:rsid w:val="004743C8"/>
    <w:rsid w:val="004750DE"/>
    <w:rsid w:val="004765E7"/>
    <w:rsid w:val="00482DC9"/>
    <w:rsid w:val="00483B09"/>
    <w:rsid w:val="00485790"/>
    <w:rsid w:val="004872C2"/>
    <w:rsid w:val="00490BB0"/>
    <w:rsid w:val="004928A8"/>
    <w:rsid w:val="004948C9"/>
    <w:rsid w:val="00494D5B"/>
    <w:rsid w:val="004950F3"/>
    <w:rsid w:val="004967C1"/>
    <w:rsid w:val="004A1AED"/>
    <w:rsid w:val="004A48F8"/>
    <w:rsid w:val="004A4F82"/>
    <w:rsid w:val="004A5E08"/>
    <w:rsid w:val="004A68DF"/>
    <w:rsid w:val="004A68F4"/>
    <w:rsid w:val="004B0E69"/>
    <w:rsid w:val="004B1233"/>
    <w:rsid w:val="004B173F"/>
    <w:rsid w:val="004B19B8"/>
    <w:rsid w:val="004B2A79"/>
    <w:rsid w:val="004B3151"/>
    <w:rsid w:val="004B42D0"/>
    <w:rsid w:val="004B4585"/>
    <w:rsid w:val="004B4AF5"/>
    <w:rsid w:val="004B7413"/>
    <w:rsid w:val="004C17AC"/>
    <w:rsid w:val="004C4D12"/>
    <w:rsid w:val="004D7BE5"/>
    <w:rsid w:val="004E3C1E"/>
    <w:rsid w:val="004E3F2A"/>
    <w:rsid w:val="004E5227"/>
    <w:rsid w:val="004E5B9A"/>
    <w:rsid w:val="004E798F"/>
    <w:rsid w:val="004F27CB"/>
    <w:rsid w:val="004F4174"/>
    <w:rsid w:val="004F52B3"/>
    <w:rsid w:val="004F66C4"/>
    <w:rsid w:val="005032E0"/>
    <w:rsid w:val="00505534"/>
    <w:rsid w:val="00505C2B"/>
    <w:rsid w:val="00513B6A"/>
    <w:rsid w:val="00515022"/>
    <w:rsid w:val="00516CC3"/>
    <w:rsid w:val="00525F03"/>
    <w:rsid w:val="00526D91"/>
    <w:rsid w:val="005306DC"/>
    <w:rsid w:val="00532594"/>
    <w:rsid w:val="00533BB7"/>
    <w:rsid w:val="00533EC0"/>
    <w:rsid w:val="00534E79"/>
    <w:rsid w:val="00536360"/>
    <w:rsid w:val="0053677C"/>
    <w:rsid w:val="00536CDE"/>
    <w:rsid w:val="00536EB8"/>
    <w:rsid w:val="0054341B"/>
    <w:rsid w:val="00545F54"/>
    <w:rsid w:val="00552A61"/>
    <w:rsid w:val="00554427"/>
    <w:rsid w:val="00556131"/>
    <w:rsid w:val="005562E8"/>
    <w:rsid w:val="00556C2A"/>
    <w:rsid w:val="00557303"/>
    <w:rsid w:val="00557D17"/>
    <w:rsid w:val="00557E41"/>
    <w:rsid w:val="005617B7"/>
    <w:rsid w:val="0056212B"/>
    <w:rsid w:val="005630B4"/>
    <w:rsid w:val="00565626"/>
    <w:rsid w:val="00570620"/>
    <w:rsid w:val="0057183F"/>
    <w:rsid w:val="00572309"/>
    <w:rsid w:val="00572D0C"/>
    <w:rsid w:val="00573773"/>
    <w:rsid w:val="00575D28"/>
    <w:rsid w:val="005800A7"/>
    <w:rsid w:val="005822AC"/>
    <w:rsid w:val="005827F4"/>
    <w:rsid w:val="0058302E"/>
    <w:rsid w:val="00584EBF"/>
    <w:rsid w:val="005858B0"/>
    <w:rsid w:val="0058713A"/>
    <w:rsid w:val="005917C2"/>
    <w:rsid w:val="00593AE2"/>
    <w:rsid w:val="005A22CC"/>
    <w:rsid w:val="005A3B25"/>
    <w:rsid w:val="005C6E62"/>
    <w:rsid w:val="005D0223"/>
    <w:rsid w:val="005D7536"/>
    <w:rsid w:val="005E3D26"/>
    <w:rsid w:val="005E4AC4"/>
    <w:rsid w:val="005E7631"/>
    <w:rsid w:val="005F02CA"/>
    <w:rsid w:val="005F14DD"/>
    <w:rsid w:val="005F15E1"/>
    <w:rsid w:val="005F598E"/>
    <w:rsid w:val="005F7E7F"/>
    <w:rsid w:val="00603B2F"/>
    <w:rsid w:val="00604044"/>
    <w:rsid w:val="00610D5A"/>
    <w:rsid w:val="0061133F"/>
    <w:rsid w:val="00611F43"/>
    <w:rsid w:val="006124EC"/>
    <w:rsid w:val="00613068"/>
    <w:rsid w:val="00616511"/>
    <w:rsid w:val="00620999"/>
    <w:rsid w:val="00622EB3"/>
    <w:rsid w:val="00623896"/>
    <w:rsid w:val="006247F7"/>
    <w:rsid w:val="006260FC"/>
    <w:rsid w:val="006263FB"/>
    <w:rsid w:val="00627832"/>
    <w:rsid w:val="0063443A"/>
    <w:rsid w:val="00636A74"/>
    <w:rsid w:val="00644E4D"/>
    <w:rsid w:val="00645F44"/>
    <w:rsid w:val="006471B5"/>
    <w:rsid w:val="006509F9"/>
    <w:rsid w:val="00650A66"/>
    <w:rsid w:val="0065201D"/>
    <w:rsid w:val="006520A2"/>
    <w:rsid w:val="00655350"/>
    <w:rsid w:val="006557D7"/>
    <w:rsid w:val="00665B88"/>
    <w:rsid w:val="0066641C"/>
    <w:rsid w:val="006701F7"/>
    <w:rsid w:val="00672651"/>
    <w:rsid w:val="0068045C"/>
    <w:rsid w:val="006907A5"/>
    <w:rsid w:val="006918CD"/>
    <w:rsid w:val="00692799"/>
    <w:rsid w:val="006944B0"/>
    <w:rsid w:val="00697FD8"/>
    <w:rsid w:val="006A0903"/>
    <w:rsid w:val="006A1313"/>
    <w:rsid w:val="006A25CD"/>
    <w:rsid w:val="006A5FFA"/>
    <w:rsid w:val="006B1B18"/>
    <w:rsid w:val="006B1C39"/>
    <w:rsid w:val="006B3BB4"/>
    <w:rsid w:val="006B47CA"/>
    <w:rsid w:val="006B7E98"/>
    <w:rsid w:val="006D3622"/>
    <w:rsid w:val="006D6253"/>
    <w:rsid w:val="006D6918"/>
    <w:rsid w:val="006D6D1C"/>
    <w:rsid w:val="006E5E76"/>
    <w:rsid w:val="006E7AE9"/>
    <w:rsid w:val="006F170F"/>
    <w:rsid w:val="006F49F9"/>
    <w:rsid w:val="006F6209"/>
    <w:rsid w:val="006F6E13"/>
    <w:rsid w:val="00701A9C"/>
    <w:rsid w:val="007028D1"/>
    <w:rsid w:val="00703F74"/>
    <w:rsid w:val="00706050"/>
    <w:rsid w:val="007067C4"/>
    <w:rsid w:val="0070684F"/>
    <w:rsid w:val="00711F38"/>
    <w:rsid w:val="007171BB"/>
    <w:rsid w:val="007205AC"/>
    <w:rsid w:val="0072315B"/>
    <w:rsid w:val="0072318B"/>
    <w:rsid w:val="00723261"/>
    <w:rsid w:val="0072364D"/>
    <w:rsid w:val="00724273"/>
    <w:rsid w:val="00726715"/>
    <w:rsid w:val="00727F7C"/>
    <w:rsid w:val="00731923"/>
    <w:rsid w:val="00742DC2"/>
    <w:rsid w:val="00752CEB"/>
    <w:rsid w:val="00754351"/>
    <w:rsid w:val="00755F39"/>
    <w:rsid w:val="0075670A"/>
    <w:rsid w:val="007569E6"/>
    <w:rsid w:val="007577A7"/>
    <w:rsid w:val="00757D83"/>
    <w:rsid w:val="0076036C"/>
    <w:rsid w:val="00760956"/>
    <w:rsid w:val="00760E08"/>
    <w:rsid w:val="00760FAE"/>
    <w:rsid w:val="00761438"/>
    <w:rsid w:val="00762B15"/>
    <w:rsid w:val="00763705"/>
    <w:rsid w:val="007714BE"/>
    <w:rsid w:val="0077213A"/>
    <w:rsid w:val="00775CB6"/>
    <w:rsid w:val="007769F3"/>
    <w:rsid w:val="00777822"/>
    <w:rsid w:val="00780263"/>
    <w:rsid w:val="00780BD6"/>
    <w:rsid w:val="00781842"/>
    <w:rsid w:val="00781FC8"/>
    <w:rsid w:val="00782F28"/>
    <w:rsid w:val="00783A4B"/>
    <w:rsid w:val="007849F3"/>
    <w:rsid w:val="0078685C"/>
    <w:rsid w:val="00790B93"/>
    <w:rsid w:val="00791D87"/>
    <w:rsid w:val="0079248F"/>
    <w:rsid w:val="0079387C"/>
    <w:rsid w:val="0079613F"/>
    <w:rsid w:val="007A1945"/>
    <w:rsid w:val="007A2A39"/>
    <w:rsid w:val="007A3BD4"/>
    <w:rsid w:val="007A5FED"/>
    <w:rsid w:val="007B0476"/>
    <w:rsid w:val="007B2090"/>
    <w:rsid w:val="007B47BA"/>
    <w:rsid w:val="007B57A2"/>
    <w:rsid w:val="007B7F96"/>
    <w:rsid w:val="007C01C2"/>
    <w:rsid w:val="007C0777"/>
    <w:rsid w:val="007C24D6"/>
    <w:rsid w:val="007C3E79"/>
    <w:rsid w:val="007C4C57"/>
    <w:rsid w:val="007C502C"/>
    <w:rsid w:val="007C5CC2"/>
    <w:rsid w:val="007C64ED"/>
    <w:rsid w:val="007C676D"/>
    <w:rsid w:val="007D11AC"/>
    <w:rsid w:val="007D29C7"/>
    <w:rsid w:val="007D3734"/>
    <w:rsid w:val="007D6879"/>
    <w:rsid w:val="007D7EEF"/>
    <w:rsid w:val="007E042C"/>
    <w:rsid w:val="007E2A4E"/>
    <w:rsid w:val="007E30A2"/>
    <w:rsid w:val="007E4D8A"/>
    <w:rsid w:val="007F011E"/>
    <w:rsid w:val="007F218A"/>
    <w:rsid w:val="007F3711"/>
    <w:rsid w:val="007F51A2"/>
    <w:rsid w:val="007F6D7A"/>
    <w:rsid w:val="007F7CC3"/>
    <w:rsid w:val="00802137"/>
    <w:rsid w:val="0080307B"/>
    <w:rsid w:val="008036BE"/>
    <w:rsid w:val="0080600E"/>
    <w:rsid w:val="0080618D"/>
    <w:rsid w:val="00806F97"/>
    <w:rsid w:val="0081054B"/>
    <w:rsid w:val="008124C1"/>
    <w:rsid w:val="008134CA"/>
    <w:rsid w:val="00816652"/>
    <w:rsid w:val="008221E8"/>
    <w:rsid w:val="00825EF3"/>
    <w:rsid w:val="00826FEB"/>
    <w:rsid w:val="008317E0"/>
    <w:rsid w:val="008349E9"/>
    <w:rsid w:val="00835AD9"/>
    <w:rsid w:val="00836076"/>
    <w:rsid w:val="00836529"/>
    <w:rsid w:val="0084080D"/>
    <w:rsid w:val="00840C8B"/>
    <w:rsid w:val="00842942"/>
    <w:rsid w:val="008429C3"/>
    <w:rsid w:val="00851DBA"/>
    <w:rsid w:val="00851ED3"/>
    <w:rsid w:val="00851EEE"/>
    <w:rsid w:val="00854F65"/>
    <w:rsid w:val="00855046"/>
    <w:rsid w:val="00856B93"/>
    <w:rsid w:val="00857CB1"/>
    <w:rsid w:val="00860906"/>
    <w:rsid w:val="008620FD"/>
    <w:rsid w:val="0086293C"/>
    <w:rsid w:val="00863324"/>
    <w:rsid w:val="00866201"/>
    <w:rsid w:val="00866B33"/>
    <w:rsid w:val="00871287"/>
    <w:rsid w:val="00871F3D"/>
    <w:rsid w:val="00872DBE"/>
    <w:rsid w:val="00873254"/>
    <w:rsid w:val="008846F3"/>
    <w:rsid w:val="00884D6C"/>
    <w:rsid w:val="0088623A"/>
    <w:rsid w:val="0089086D"/>
    <w:rsid w:val="008920A9"/>
    <w:rsid w:val="00892E17"/>
    <w:rsid w:val="00894A80"/>
    <w:rsid w:val="008958A4"/>
    <w:rsid w:val="00896BFE"/>
    <w:rsid w:val="008A2478"/>
    <w:rsid w:val="008A2A08"/>
    <w:rsid w:val="008B21CE"/>
    <w:rsid w:val="008B59D0"/>
    <w:rsid w:val="008B6A0E"/>
    <w:rsid w:val="008B6D24"/>
    <w:rsid w:val="008B7DF7"/>
    <w:rsid w:val="008C2662"/>
    <w:rsid w:val="008C31CB"/>
    <w:rsid w:val="008C58CA"/>
    <w:rsid w:val="008C7DB4"/>
    <w:rsid w:val="008D00C3"/>
    <w:rsid w:val="008D0100"/>
    <w:rsid w:val="008D182F"/>
    <w:rsid w:val="008D1EDF"/>
    <w:rsid w:val="008D75B7"/>
    <w:rsid w:val="008D7631"/>
    <w:rsid w:val="008D7F75"/>
    <w:rsid w:val="008E049B"/>
    <w:rsid w:val="008E2415"/>
    <w:rsid w:val="008E2C6F"/>
    <w:rsid w:val="008E3D8A"/>
    <w:rsid w:val="008E465A"/>
    <w:rsid w:val="008E4E9C"/>
    <w:rsid w:val="008F0B64"/>
    <w:rsid w:val="008F5BD0"/>
    <w:rsid w:val="008F5E16"/>
    <w:rsid w:val="008F7630"/>
    <w:rsid w:val="008F7D83"/>
    <w:rsid w:val="00901BAB"/>
    <w:rsid w:val="00901CBD"/>
    <w:rsid w:val="00902B30"/>
    <w:rsid w:val="00904D04"/>
    <w:rsid w:val="009061E4"/>
    <w:rsid w:val="00906C7A"/>
    <w:rsid w:val="00924034"/>
    <w:rsid w:val="00927729"/>
    <w:rsid w:val="009278B8"/>
    <w:rsid w:val="00930752"/>
    <w:rsid w:val="00930C6E"/>
    <w:rsid w:val="0093577A"/>
    <w:rsid w:val="00936276"/>
    <w:rsid w:val="00936B19"/>
    <w:rsid w:val="009403B5"/>
    <w:rsid w:val="00940C71"/>
    <w:rsid w:val="00943DE8"/>
    <w:rsid w:val="00945B2C"/>
    <w:rsid w:val="00950A7C"/>
    <w:rsid w:val="00952991"/>
    <w:rsid w:val="0095367B"/>
    <w:rsid w:val="00953973"/>
    <w:rsid w:val="00954308"/>
    <w:rsid w:val="009568C6"/>
    <w:rsid w:val="00960033"/>
    <w:rsid w:val="00960263"/>
    <w:rsid w:val="00960908"/>
    <w:rsid w:val="00961A8D"/>
    <w:rsid w:val="00963B00"/>
    <w:rsid w:val="00963B28"/>
    <w:rsid w:val="00965095"/>
    <w:rsid w:val="00970DCB"/>
    <w:rsid w:val="0098355C"/>
    <w:rsid w:val="00983710"/>
    <w:rsid w:val="00990EF1"/>
    <w:rsid w:val="00991DA8"/>
    <w:rsid w:val="009923B6"/>
    <w:rsid w:val="009946F4"/>
    <w:rsid w:val="00995446"/>
    <w:rsid w:val="009A1D49"/>
    <w:rsid w:val="009A1DC7"/>
    <w:rsid w:val="009A2916"/>
    <w:rsid w:val="009A5A68"/>
    <w:rsid w:val="009A5CFD"/>
    <w:rsid w:val="009A7260"/>
    <w:rsid w:val="009B0F67"/>
    <w:rsid w:val="009B3C6D"/>
    <w:rsid w:val="009B6CD5"/>
    <w:rsid w:val="009C0100"/>
    <w:rsid w:val="009C1252"/>
    <w:rsid w:val="009C1423"/>
    <w:rsid w:val="009D3103"/>
    <w:rsid w:val="009D3BAB"/>
    <w:rsid w:val="009E41DF"/>
    <w:rsid w:val="009F4C40"/>
    <w:rsid w:val="009F52A7"/>
    <w:rsid w:val="009F5BF7"/>
    <w:rsid w:val="009F5CDC"/>
    <w:rsid w:val="009F65AA"/>
    <w:rsid w:val="009F7181"/>
    <w:rsid w:val="009F7635"/>
    <w:rsid w:val="00A021CA"/>
    <w:rsid w:val="00A0250F"/>
    <w:rsid w:val="00A027A8"/>
    <w:rsid w:val="00A0391A"/>
    <w:rsid w:val="00A0574D"/>
    <w:rsid w:val="00A05E26"/>
    <w:rsid w:val="00A07FFB"/>
    <w:rsid w:val="00A138FE"/>
    <w:rsid w:val="00A164C9"/>
    <w:rsid w:val="00A22594"/>
    <w:rsid w:val="00A26947"/>
    <w:rsid w:val="00A27765"/>
    <w:rsid w:val="00A30574"/>
    <w:rsid w:val="00A30AC9"/>
    <w:rsid w:val="00A30B22"/>
    <w:rsid w:val="00A3307A"/>
    <w:rsid w:val="00A33393"/>
    <w:rsid w:val="00A3578E"/>
    <w:rsid w:val="00A425D5"/>
    <w:rsid w:val="00A42CE9"/>
    <w:rsid w:val="00A4392F"/>
    <w:rsid w:val="00A43B63"/>
    <w:rsid w:val="00A44866"/>
    <w:rsid w:val="00A451D5"/>
    <w:rsid w:val="00A4724B"/>
    <w:rsid w:val="00A5189C"/>
    <w:rsid w:val="00A52375"/>
    <w:rsid w:val="00A52C47"/>
    <w:rsid w:val="00A5358D"/>
    <w:rsid w:val="00A54779"/>
    <w:rsid w:val="00A55403"/>
    <w:rsid w:val="00A56163"/>
    <w:rsid w:val="00A56DFD"/>
    <w:rsid w:val="00A57894"/>
    <w:rsid w:val="00A60B84"/>
    <w:rsid w:val="00A6591C"/>
    <w:rsid w:val="00A66874"/>
    <w:rsid w:val="00A70276"/>
    <w:rsid w:val="00A70D0A"/>
    <w:rsid w:val="00A723F6"/>
    <w:rsid w:val="00A73910"/>
    <w:rsid w:val="00A7753A"/>
    <w:rsid w:val="00A802C8"/>
    <w:rsid w:val="00A81B19"/>
    <w:rsid w:val="00A8462B"/>
    <w:rsid w:val="00A84AF4"/>
    <w:rsid w:val="00A851DC"/>
    <w:rsid w:val="00A8593B"/>
    <w:rsid w:val="00A86B3D"/>
    <w:rsid w:val="00A91512"/>
    <w:rsid w:val="00A9172A"/>
    <w:rsid w:val="00A950AA"/>
    <w:rsid w:val="00A9528B"/>
    <w:rsid w:val="00AA2E40"/>
    <w:rsid w:val="00AA5FC8"/>
    <w:rsid w:val="00AA6D08"/>
    <w:rsid w:val="00AA6EE4"/>
    <w:rsid w:val="00AA7D4E"/>
    <w:rsid w:val="00AB00FF"/>
    <w:rsid w:val="00AB0E8F"/>
    <w:rsid w:val="00AB2152"/>
    <w:rsid w:val="00AB21FF"/>
    <w:rsid w:val="00AB2A22"/>
    <w:rsid w:val="00AB4C0E"/>
    <w:rsid w:val="00AB5685"/>
    <w:rsid w:val="00AB5D9B"/>
    <w:rsid w:val="00AC1F63"/>
    <w:rsid w:val="00AD11B8"/>
    <w:rsid w:val="00AD5549"/>
    <w:rsid w:val="00AE36D6"/>
    <w:rsid w:val="00AE399E"/>
    <w:rsid w:val="00AE3C96"/>
    <w:rsid w:val="00AE7D0E"/>
    <w:rsid w:val="00AF53CB"/>
    <w:rsid w:val="00AF5977"/>
    <w:rsid w:val="00AF72B9"/>
    <w:rsid w:val="00B0129E"/>
    <w:rsid w:val="00B12F9A"/>
    <w:rsid w:val="00B13D9F"/>
    <w:rsid w:val="00B155CE"/>
    <w:rsid w:val="00B155EB"/>
    <w:rsid w:val="00B22750"/>
    <w:rsid w:val="00B23B2B"/>
    <w:rsid w:val="00B24603"/>
    <w:rsid w:val="00B261B2"/>
    <w:rsid w:val="00B266F7"/>
    <w:rsid w:val="00B2731D"/>
    <w:rsid w:val="00B31C05"/>
    <w:rsid w:val="00B32F27"/>
    <w:rsid w:val="00B32FDA"/>
    <w:rsid w:val="00B401EA"/>
    <w:rsid w:val="00B40A05"/>
    <w:rsid w:val="00B41223"/>
    <w:rsid w:val="00B4136B"/>
    <w:rsid w:val="00B4201D"/>
    <w:rsid w:val="00B42348"/>
    <w:rsid w:val="00B4287B"/>
    <w:rsid w:val="00B4328F"/>
    <w:rsid w:val="00B43B45"/>
    <w:rsid w:val="00B43E9B"/>
    <w:rsid w:val="00B46FCF"/>
    <w:rsid w:val="00B47313"/>
    <w:rsid w:val="00B47979"/>
    <w:rsid w:val="00B47A18"/>
    <w:rsid w:val="00B54F37"/>
    <w:rsid w:val="00B5716B"/>
    <w:rsid w:val="00B57432"/>
    <w:rsid w:val="00B60D09"/>
    <w:rsid w:val="00B60FB7"/>
    <w:rsid w:val="00B611EF"/>
    <w:rsid w:val="00B64D8A"/>
    <w:rsid w:val="00B65F09"/>
    <w:rsid w:val="00B7062A"/>
    <w:rsid w:val="00B7170A"/>
    <w:rsid w:val="00B74903"/>
    <w:rsid w:val="00B75A68"/>
    <w:rsid w:val="00B77548"/>
    <w:rsid w:val="00B776B8"/>
    <w:rsid w:val="00B803CF"/>
    <w:rsid w:val="00B82B5A"/>
    <w:rsid w:val="00B83D46"/>
    <w:rsid w:val="00B840C6"/>
    <w:rsid w:val="00B85326"/>
    <w:rsid w:val="00B937B8"/>
    <w:rsid w:val="00B93F30"/>
    <w:rsid w:val="00B94832"/>
    <w:rsid w:val="00BA1435"/>
    <w:rsid w:val="00BA2CF1"/>
    <w:rsid w:val="00BA301D"/>
    <w:rsid w:val="00BA5259"/>
    <w:rsid w:val="00BA5F70"/>
    <w:rsid w:val="00BA733D"/>
    <w:rsid w:val="00BB0A88"/>
    <w:rsid w:val="00BB311D"/>
    <w:rsid w:val="00BB3D2D"/>
    <w:rsid w:val="00BB55DE"/>
    <w:rsid w:val="00BB58A7"/>
    <w:rsid w:val="00BB5DB5"/>
    <w:rsid w:val="00BB7EAA"/>
    <w:rsid w:val="00BC02BA"/>
    <w:rsid w:val="00BC08E3"/>
    <w:rsid w:val="00BC370E"/>
    <w:rsid w:val="00BD190A"/>
    <w:rsid w:val="00BD2AC1"/>
    <w:rsid w:val="00BD745C"/>
    <w:rsid w:val="00BE01B6"/>
    <w:rsid w:val="00BE07C7"/>
    <w:rsid w:val="00BE16FB"/>
    <w:rsid w:val="00BE1EB0"/>
    <w:rsid w:val="00BE2DB8"/>
    <w:rsid w:val="00BE5503"/>
    <w:rsid w:val="00BE5B18"/>
    <w:rsid w:val="00BE5D08"/>
    <w:rsid w:val="00BE6896"/>
    <w:rsid w:val="00BE77C0"/>
    <w:rsid w:val="00BF4AD0"/>
    <w:rsid w:val="00BF4B0F"/>
    <w:rsid w:val="00BF4D44"/>
    <w:rsid w:val="00BF5C41"/>
    <w:rsid w:val="00BF6FCE"/>
    <w:rsid w:val="00BF7E71"/>
    <w:rsid w:val="00C005C9"/>
    <w:rsid w:val="00C01915"/>
    <w:rsid w:val="00C02C2E"/>
    <w:rsid w:val="00C05AF8"/>
    <w:rsid w:val="00C0757D"/>
    <w:rsid w:val="00C153E2"/>
    <w:rsid w:val="00C16017"/>
    <w:rsid w:val="00C17924"/>
    <w:rsid w:val="00C20B67"/>
    <w:rsid w:val="00C212A2"/>
    <w:rsid w:val="00C23A12"/>
    <w:rsid w:val="00C26331"/>
    <w:rsid w:val="00C301DF"/>
    <w:rsid w:val="00C303AF"/>
    <w:rsid w:val="00C346DA"/>
    <w:rsid w:val="00C44844"/>
    <w:rsid w:val="00C44E4A"/>
    <w:rsid w:val="00C44EFF"/>
    <w:rsid w:val="00C45834"/>
    <w:rsid w:val="00C46E32"/>
    <w:rsid w:val="00C47746"/>
    <w:rsid w:val="00C47DCE"/>
    <w:rsid w:val="00C559E0"/>
    <w:rsid w:val="00C56AC3"/>
    <w:rsid w:val="00C5701C"/>
    <w:rsid w:val="00C636D2"/>
    <w:rsid w:val="00C643E3"/>
    <w:rsid w:val="00C66EC6"/>
    <w:rsid w:val="00C761C5"/>
    <w:rsid w:val="00C76333"/>
    <w:rsid w:val="00C7676A"/>
    <w:rsid w:val="00C76C18"/>
    <w:rsid w:val="00C7719F"/>
    <w:rsid w:val="00C801BC"/>
    <w:rsid w:val="00C813FA"/>
    <w:rsid w:val="00C82195"/>
    <w:rsid w:val="00C82685"/>
    <w:rsid w:val="00C83C12"/>
    <w:rsid w:val="00C83DEA"/>
    <w:rsid w:val="00C8463A"/>
    <w:rsid w:val="00C850A5"/>
    <w:rsid w:val="00C91910"/>
    <w:rsid w:val="00C93292"/>
    <w:rsid w:val="00CA04EB"/>
    <w:rsid w:val="00CA0E5E"/>
    <w:rsid w:val="00CA38E5"/>
    <w:rsid w:val="00CA3A13"/>
    <w:rsid w:val="00CA5A78"/>
    <w:rsid w:val="00CA67F5"/>
    <w:rsid w:val="00CB18F5"/>
    <w:rsid w:val="00CB23CB"/>
    <w:rsid w:val="00CB4B1C"/>
    <w:rsid w:val="00CB4ED8"/>
    <w:rsid w:val="00CB5DD2"/>
    <w:rsid w:val="00CB64A7"/>
    <w:rsid w:val="00CB756F"/>
    <w:rsid w:val="00CC47E0"/>
    <w:rsid w:val="00CC6612"/>
    <w:rsid w:val="00CC7AB4"/>
    <w:rsid w:val="00CC7B4C"/>
    <w:rsid w:val="00CD0D5E"/>
    <w:rsid w:val="00CD0F95"/>
    <w:rsid w:val="00CD392B"/>
    <w:rsid w:val="00CD5F9D"/>
    <w:rsid w:val="00CE24DF"/>
    <w:rsid w:val="00CE5433"/>
    <w:rsid w:val="00CE64C9"/>
    <w:rsid w:val="00CE7CAD"/>
    <w:rsid w:val="00CE7CCF"/>
    <w:rsid w:val="00CF0DA3"/>
    <w:rsid w:val="00CF24DF"/>
    <w:rsid w:val="00CF50D3"/>
    <w:rsid w:val="00CF5E9C"/>
    <w:rsid w:val="00CF6F79"/>
    <w:rsid w:val="00D0301E"/>
    <w:rsid w:val="00D03045"/>
    <w:rsid w:val="00D0440A"/>
    <w:rsid w:val="00D048D6"/>
    <w:rsid w:val="00D11892"/>
    <w:rsid w:val="00D12D4F"/>
    <w:rsid w:val="00D151BF"/>
    <w:rsid w:val="00D15A81"/>
    <w:rsid w:val="00D20B42"/>
    <w:rsid w:val="00D2112D"/>
    <w:rsid w:val="00D22681"/>
    <w:rsid w:val="00D23638"/>
    <w:rsid w:val="00D25A0E"/>
    <w:rsid w:val="00D25FE0"/>
    <w:rsid w:val="00D2716F"/>
    <w:rsid w:val="00D27289"/>
    <w:rsid w:val="00D31E8E"/>
    <w:rsid w:val="00D34740"/>
    <w:rsid w:val="00D35332"/>
    <w:rsid w:val="00D36BB8"/>
    <w:rsid w:val="00D37A30"/>
    <w:rsid w:val="00D42C2F"/>
    <w:rsid w:val="00D438CB"/>
    <w:rsid w:val="00D4568B"/>
    <w:rsid w:val="00D46213"/>
    <w:rsid w:val="00D46619"/>
    <w:rsid w:val="00D56237"/>
    <w:rsid w:val="00D578FB"/>
    <w:rsid w:val="00D6126D"/>
    <w:rsid w:val="00D667D1"/>
    <w:rsid w:val="00D7227E"/>
    <w:rsid w:val="00D735B9"/>
    <w:rsid w:val="00D7536D"/>
    <w:rsid w:val="00D7668A"/>
    <w:rsid w:val="00D77352"/>
    <w:rsid w:val="00D77730"/>
    <w:rsid w:val="00D800F5"/>
    <w:rsid w:val="00D802BE"/>
    <w:rsid w:val="00D8044D"/>
    <w:rsid w:val="00D810AA"/>
    <w:rsid w:val="00D877E2"/>
    <w:rsid w:val="00D95086"/>
    <w:rsid w:val="00D975F5"/>
    <w:rsid w:val="00DA0D7B"/>
    <w:rsid w:val="00DA15D4"/>
    <w:rsid w:val="00DA1FB4"/>
    <w:rsid w:val="00DA1FDA"/>
    <w:rsid w:val="00DB2594"/>
    <w:rsid w:val="00DB38D5"/>
    <w:rsid w:val="00DB6547"/>
    <w:rsid w:val="00DB6563"/>
    <w:rsid w:val="00DB7940"/>
    <w:rsid w:val="00DC02DC"/>
    <w:rsid w:val="00DC2A80"/>
    <w:rsid w:val="00DC38CE"/>
    <w:rsid w:val="00DC3900"/>
    <w:rsid w:val="00DC5450"/>
    <w:rsid w:val="00DD03E9"/>
    <w:rsid w:val="00DD0A09"/>
    <w:rsid w:val="00DD200E"/>
    <w:rsid w:val="00DD2D29"/>
    <w:rsid w:val="00DD3A2A"/>
    <w:rsid w:val="00DD49CE"/>
    <w:rsid w:val="00DD4CE4"/>
    <w:rsid w:val="00DE1FAD"/>
    <w:rsid w:val="00DE3550"/>
    <w:rsid w:val="00DE62E2"/>
    <w:rsid w:val="00DF2C0E"/>
    <w:rsid w:val="00DF376B"/>
    <w:rsid w:val="00DF3FC7"/>
    <w:rsid w:val="00DF59FD"/>
    <w:rsid w:val="00DF735C"/>
    <w:rsid w:val="00E013AC"/>
    <w:rsid w:val="00E03173"/>
    <w:rsid w:val="00E03A45"/>
    <w:rsid w:val="00E064DB"/>
    <w:rsid w:val="00E0734E"/>
    <w:rsid w:val="00E07881"/>
    <w:rsid w:val="00E13D01"/>
    <w:rsid w:val="00E14B05"/>
    <w:rsid w:val="00E16D71"/>
    <w:rsid w:val="00E20858"/>
    <w:rsid w:val="00E21DF8"/>
    <w:rsid w:val="00E22789"/>
    <w:rsid w:val="00E2454B"/>
    <w:rsid w:val="00E3019E"/>
    <w:rsid w:val="00E352C3"/>
    <w:rsid w:val="00E3599C"/>
    <w:rsid w:val="00E36AAF"/>
    <w:rsid w:val="00E37CCB"/>
    <w:rsid w:val="00E4079C"/>
    <w:rsid w:val="00E44150"/>
    <w:rsid w:val="00E45608"/>
    <w:rsid w:val="00E45777"/>
    <w:rsid w:val="00E545CD"/>
    <w:rsid w:val="00E614DC"/>
    <w:rsid w:val="00E62DE2"/>
    <w:rsid w:val="00E64044"/>
    <w:rsid w:val="00E64A55"/>
    <w:rsid w:val="00E6668F"/>
    <w:rsid w:val="00E75B44"/>
    <w:rsid w:val="00E76EA5"/>
    <w:rsid w:val="00E85CA4"/>
    <w:rsid w:val="00E90BBB"/>
    <w:rsid w:val="00E92306"/>
    <w:rsid w:val="00E93A3D"/>
    <w:rsid w:val="00E942BB"/>
    <w:rsid w:val="00E94D8C"/>
    <w:rsid w:val="00E950CB"/>
    <w:rsid w:val="00E959D3"/>
    <w:rsid w:val="00EA02FB"/>
    <w:rsid w:val="00EA2C9C"/>
    <w:rsid w:val="00EA4A5C"/>
    <w:rsid w:val="00EA7595"/>
    <w:rsid w:val="00EA7EC3"/>
    <w:rsid w:val="00EB242F"/>
    <w:rsid w:val="00EB4532"/>
    <w:rsid w:val="00EB4EB3"/>
    <w:rsid w:val="00EB77D1"/>
    <w:rsid w:val="00EC1365"/>
    <w:rsid w:val="00EC1E31"/>
    <w:rsid w:val="00EC2B11"/>
    <w:rsid w:val="00EC4F2E"/>
    <w:rsid w:val="00EC6683"/>
    <w:rsid w:val="00ED208E"/>
    <w:rsid w:val="00ED5AAD"/>
    <w:rsid w:val="00ED5ED4"/>
    <w:rsid w:val="00ED6BF1"/>
    <w:rsid w:val="00EE5089"/>
    <w:rsid w:val="00EF0969"/>
    <w:rsid w:val="00EF229C"/>
    <w:rsid w:val="00EF345F"/>
    <w:rsid w:val="00EF467D"/>
    <w:rsid w:val="00EF4F29"/>
    <w:rsid w:val="00F019F2"/>
    <w:rsid w:val="00F04026"/>
    <w:rsid w:val="00F06101"/>
    <w:rsid w:val="00F071A2"/>
    <w:rsid w:val="00F13CFB"/>
    <w:rsid w:val="00F15542"/>
    <w:rsid w:val="00F163E5"/>
    <w:rsid w:val="00F16F1C"/>
    <w:rsid w:val="00F16F6D"/>
    <w:rsid w:val="00F21594"/>
    <w:rsid w:val="00F25212"/>
    <w:rsid w:val="00F25717"/>
    <w:rsid w:val="00F25B9E"/>
    <w:rsid w:val="00F31EF9"/>
    <w:rsid w:val="00F32FFE"/>
    <w:rsid w:val="00F351B1"/>
    <w:rsid w:val="00F42165"/>
    <w:rsid w:val="00F43AC6"/>
    <w:rsid w:val="00F50460"/>
    <w:rsid w:val="00F507AB"/>
    <w:rsid w:val="00F531BE"/>
    <w:rsid w:val="00F57958"/>
    <w:rsid w:val="00F65DE7"/>
    <w:rsid w:val="00F67431"/>
    <w:rsid w:val="00F67C8F"/>
    <w:rsid w:val="00F71381"/>
    <w:rsid w:val="00F71C68"/>
    <w:rsid w:val="00F72A3C"/>
    <w:rsid w:val="00F72FAE"/>
    <w:rsid w:val="00F74D1D"/>
    <w:rsid w:val="00F74F6D"/>
    <w:rsid w:val="00F75DB4"/>
    <w:rsid w:val="00F75DDC"/>
    <w:rsid w:val="00F75F85"/>
    <w:rsid w:val="00F77019"/>
    <w:rsid w:val="00F8337A"/>
    <w:rsid w:val="00F836B0"/>
    <w:rsid w:val="00F8417A"/>
    <w:rsid w:val="00F8689B"/>
    <w:rsid w:val="00F87288"/>
    <w:rsid w:val="00F90352"/>
    <w:rsid w:val="00F95448"/>
    <w:rsid w:val="00F9569F"/>
    <w:rsid w:val="00F97099"/>
    <w:rsid w:val="00F97F1D"/>
    <w:rsid w:val="00FA06FF"/>
    <w:rsid w:val="00FA07F3"/>
    <w:rsid w:val="00FA4955"/>
    <w:rsid w:val="00FB1C8F"/>
    <w:rsid w:val="00FB41DA"/>
    <w:rsid w:val="00FB56D3"/>
    <w:rsid w:val="00FB6459"/>
    <w:rsid w:val="00FB6D44"/>
    <w:rsid w:val="00FC0E6B"/>
    <w:rsid w:val="00FC1A02"/>
    <w:rsid w:val="00FC282A"/>
    <w:rsid w:val="00FC3B7A"/>
    <w:rsid w:val="00FD1229"/>
    <w:rsid w:val="00FD27F2"/>
    <w:rsid w:val="00FD3916"/>
    <w:rsid w:val="00FD54F8"/>
    <w:rsid w:val="00FD6576"/>
    <w:rsid w:val="00FE443F"/>
    <w:rsid w:val="00FE4851"/>
    <w:rsid w:val="00FE4936"/>
    <w:rsid w:val="00FE4BE5"/>
    <w:rsid w:val="00FE554E"/>
    <w:rsid w:val="00FF05F7"/>
    <w:rsid w:val="00FF0AD5"/>
    <w:rsid w:val="00FF24C1"/>
    <w:rsid w:val="00FF7684"/>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15:chartTrackingRefBased/>
  <w15:docId w15:val="{2F7C8438-7F84-4E74-960E-A527F580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9"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rsid w:val="00CE7CAD"/>
    <w:pPr>
      <w:spacing w:before="0" w:after="0"/>
      <w:jc w:val="center"/>
    </w:pPr>
    <w:rPr>
      <w:b/>
    </w:rPr>
  </w:style>
  <w:style w:type="paragraph" w:customStyle="1" w:styleId="Sous-titreobjetPagedecouverture">
    <w:name w:val="Sous-titre objet (Page de couverture)"/>
    <w:basedOn w:val="Sous-titreobjet"/>
    <w:rsid w:val="00CE7CAD"/>
  </w:style>
  <w:style w:type="paragraph" w:styleId="ListBullet">
    <w:name w:val="List Bullet"/>
    <w:basedOn w:val="Normal"/>
    <w:rsid w:val="004A1AED"/>
    <w:pPr>
      <w:numPr>
        <w:numId w:val="1"/>
      </w:numPr>
    </w:pPr>
  </w:style>
  <w:style w:type="paragraph" w:styleId="ListBullet2">
    <w:name w:val="List Bullet 2"/>
    <w:basedOn w:val="Normal"/>
    <w:rsid w:val="004A1AED"/>
    <w:pPr>
      <w:numPr>
        <w:numId w:val="2"/>
      </w:numPr>
    </w:pPr>
  </w:style>
  <w:style w:type="paragraph" w:styleId="ListBullet3">
    <w:name w:val="List Bullet 3"/>
    <w:basedOn w:val="Normal"/>
    <w:rsid w:val="004A1AED"/>
    <w:pPr>
      <w:numPr>
        <w:numId w:val="3"/>
      </w:numPr>
    </w:pPr>
  </w:style>
  <w:style w:type="paragraph" w:styleId="ListBullet4">
    <w:name w:val="List Bullet 4"/>
    <w:basedOn w:val="Normal"/>
    <w:rsid w:val="004A1AED"/>
    <w:pPr>
      <w:numPr>
        <w:numId w:val="4"/>
      </w:numPr>
    </w:pPr>
  </w:style>
  <w:style w:type="table" w:customStyle="1" w:styleId="Listtable">
    <w:name w:val="List table"/>
    <w:next w:val="TableNormal"/>
    <w:rsid w:val="0000704F"/>
    <w:rPr>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character" w:styleId="CommentReference">
    <w:name w:val="annotation reference"/>
    <w:semiHidden/>
    <w:rsid w:val="0056212B"/>
    <w:rPr>
      <w:rFonts w:cs="Times New Roman"/>
      <w:sz w:val="16"/>
      <w:szCs w:val="16"/>
      <w:shd w:val="clear" w:color="auto" w:fill="auto"/>
    </w:rPr>
  </w:style>
  <w:style w:type="paragraph" w:customStyle="1" w:styleId="Paragraph">
    <w:name w:val="Paragraph"/>
    <w:basedOn w:val="Text"/>
    <w:rsid w:val="00B64D8A"/>
    <w:pPr>
      <w:jc w:val="both"/>
    </w:pPr>
  </w:style>
  <w:style w:type="paragraph" w:customStyle="1" w:styleId="Text">
    <w:name w:val="Text"/>
    <w:hidden/>
    <w:rsid w:val="00B64D8A"/>
    <w:rPr>
      <w:sz w:val="16"/>
    </w:rPr>
  </w:style>
  <w:style w:type="paragraph" w:customStyle="1" w:styleId="SUSPparagraph">
    <w:name w:val="SUSP paragraph"/>
    <w:basedOn w:val="Paragraph"/>
    <w:rsid w:val="00B64D8A"/>
    <w:pPr>
      <w:spacing w:before="60" w:after="60"/>
    </w:pPr>
  </w:style>
  <w:style w:type="table" w:customStyle="1" w:styleId="Notestable">
    <w:name w:val="Notes table"/>
    <w:rsid w:val="00B64D8A"/>
    <w:rPr>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paragraph" w:styleId="Title">
    <w:name w:val="Title"/>
    <w:aliases w:val="TITLE.TI"/>
    <w:basedOn w:val="SUSPparagraph"/>
    <w:qFormat/>
    <w:rsid w:val="00B64D8A"/>
    <w:pPr>
      <w:keepNext/>
      <w:spacing w:before="120" w:after="120"/>
      <w:jc w:val="center"/>
    </w:pPr>
    <w:rPr>
      <w:sz w:val="24"/>
    </w:rPr>
  </w:style>
  <w:style w:type="paragraph" w:customStyle="1" w:styleId="Subtitle1">
    <w:name w:val="Subtitle1"/>
    <w:aliases w:val="CONTENT.TITLE.TI"/>
    <w:basedOn w:val="SUSPparagraph"/>
    <w:rsid w:val="00B64D8A"/>
    <w:pPr>
      <w:keepNext/>
      <w:spacing w:before="120" w:after="120"/>
      <w:jc w:val="center"/>
    </w:pPr>
    <w:rPr>
      <w:sz w:val="24"/>
    </w:rPr>
  </w:style>
  <w:style w:type="character" w:customStyle="1" w:styleId="FootnoteReference1">
    <w:name w:val="Footnote Reference1"/>
    <w:hidden/>
    <w:rsid w:val="00B64D8A"/>
    <w:rPr>
      <w:sz w:val="16"/>
      <w:szCs w:val="16"/>
    </w:rPr>
  </w:style>
  <w:style w:type="table" w:customStyle="1" w:styleId="Listdash">
    <w:name w:val="List dash"/>
    <w:basedOn w:val="Listtable"/>
    <w:rsid w:val="00B64D8A"/>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styleId="Caption">
    <w:name w:val="caption"/>
    <w:basedOn w:val="Normal"/>
    <w:next w:val="Normal"/>
    <w:qFormat/>
    <w:rsid w:val="00552A61"/>
    <w:rPr>
      <w:b/>
      <w:bCs/>
      <w:sz w:val="20"/>
      <w:szCs w:val="20"/>
    </w:rPr>
  </w:style>
  <w:style w:type="paragraph" w:styleId="TableofFigures">
    <w:name w:val="table of figures"/>
    <w:basedOn w:val="Normal"/>
    <w:next w:val="Normal"/>
    <w:semiHidden/>
    <w:rsid w:val="00552A61"/>
  </w:style>
  <w:style w:type="paragraph" w:styleId="ListNumber">
    <w:name w:val="List Number"/>
    <w:basedOn w:val="Normal"/>
    <w:rsid w:val="00552A61"/>
    <w:pPr>
      <w:numPr>
        <w:numId w:val="5"/>
      </w:numPr>
    </w:pPr>
  </w:style>
  <w:style w:type="paragraph" w:styleId="ListNumber2">
    <w:name w:val="List Number 2"/>
    <w:basedOn w:val="Normal"/>
    <w:rsid w:val="00552A61"/>
    <w:pPr>
      <w:numPr>
        <w:numId w:val="6"/>
      </w:numPr>
    </w:pPr>
  </w:style>
  <w:style w:type="paragraph" w:styleId="ListNumber3">
    <w:name w:val="List Number 3"/>
    <w:basedOn w:val="Normal"/>
    <w:rsid w:val="00552A61"/>
    <w:pPr>
      <w:numPr>
        <w:numId w:val="7"/>
      </w:numPr>
    </w:pPr>
  </w:style>
  <w:style w:type="paragraph" w:styleId="ListNumber4">
    <w:name w:val="List Number 4"/>
    <w:basedOn w:val="Normal"/>
    <w:rsid w:val="00552A61"/>
    <w:pPr>
      <w:numPr>
        <w:numId w:val="8"/>
      </w:numPr>
    </w:pPr>
  </w:style>
  <w:style w:type="paragraph" w:styleId="CommentText">
    <w:name w:val="annotation text"/>
    <w:basedOn w:val="Normal"/>
    <w:semiHidden/>
    <w:rsid w:val="00552A61"/>
    <w:rPr>
      <w:sz w:val="20"/>
      <w:szCs w:val="20"/>
    </w:rPr>
  </w:style>
  <w:style w:type="paragraph" w:styleId="CommentSubject">
    <w:name w:val="annotation subject"/>
    <w:basedOn w:val="CommentText"/>
    <w:next w:val="CommentText"/>
    <w:semiHidden/>
    <w:rsid w:val="00552A61"/>
    <w:rPr>
      <w:b/>
      <w:bCs/>
    </w:rPr>
  </w:style>
  <w:style w:type="character" w:styleId="Hyperlink">
    <w:name w:val="Hyperlink"/>
    <w:rsid w:val="00552A61"/>
    <w:rPr>
      <w:color w:val="0000FF"/>
      <w:u w:val="single"/>
      <w:shd w:val="clear" w:color="auto" w:fill="auto"/>
    </w:rPr>
  </w:style>
  <w:style w:type="paragraph" w:styleId="BalloonText">
    <w:name w:val="Balloon Text"/>
    <w:basedOn w:val="Normal"/>
    <w:semiHidden/>
    <w:rsid w:val="00552A61"/>
    <w:rPr>
      <w:rFonts w:ascii="Tahoma" w:hAnsi="Tahoma" w:cs="Tahoma"/>
      <w:sz w:val="16"/>
      <w:szCs w:val="16"/>
    </w:rPr>
  </w:style>
  <w:style w:type="paragraph" w:customStyle="1" w:styleId="Note">
    <w:name w:val="Note"/>
    <w:aliases w:val="NOTE"/>
    <w:basedOn w:val="SUSPparagraph"/>
    <w:rsid w:val="00FC0E6B"/>
    <w:rPr>
      <w:szCs w:val="16"/>
    </w:rPr>
  </w:style>
  <w:style w:type="paragraph" w:styleId="EndnoteText">
    <w:name w:val="endnote text"/>
    <w:basedOn w:val="Normal"/>
    <w:link w:val="EndnoteTextChar"/>
    <w:rsid w:val="000F6CCD"/>
    <w:rPr>
      <w:sz w:val="20"/>
      <w:szCs w:val="20"/>
    </w:rPr>
  </w:style>
  <w:style w:type="character" w:customStyle="1" w:styleId="EndnoteTextChar">
    <w:name w:val="Endnote Text Char"/>
    <w:link w:val="EndnoteText"/>
    <w:rsid w:val="000F6CCD"/>
    <w:rPr>
      <w:shd w:val="clear" w:color="auto" w:fill="auto"/>
      <w:lang w:eastAsia="en-US"/>
    </w:rPr>
  </w:style>
  <w:style w:type="character" w:styleId="EndnoteReference">
    <w:name w:val="endnote reference"/>
    <w:rsid w:val="000F6CCD"/>
    <w:rPr>
      <w:shd w:val="clear" w:color="auto" w:fill="auto"/>
      <w:vertAlign w:val="superscript"/>
    </w:rPr>
  </w:style>
  <w:style w:type="paragraph" w:customStyle="1" w:styleId="CM1">
    <w:name w:val="CM1"/>
    <w:basedOn w:val="Normal"/>
    <w:next w:val="Normal"/>
    <w:rsid w:val="00347CCE"/>
    <w:pPr>
      <w:autoSpaceDE w:val="0"/>
      <w:autoSpaceDN w:val="0"/>
      <w:adjustRightInd w:val="0"/>
      <w:spacing w:before="0" w:after="0"/>
      <w:jc w:val="left"/>
    </w:pPr>
    <w:rPr>
      <w:rFonts w:ascii="EUAlbertina" w:hAnsi="EUAlbertina"/>
      <w:lang w:eastAsia="en-GB"/>
    </w:rPr>
  </w:style>
  <w:style w:type="table" w:customStyle="1" w:styleId="Notestablewithoutborder">
    <w:name w:val="Notes table without border"/>
    <w:rsid w:val="00424639"/>
    <w:rPr>
      <w:sz w:val="16"/>
      <w:szCs w:val="16"/>
    </w:rPr>
    <w:tblPr>
      <w:tblCellSpacing w:w="0" w:type="dxa"/>
      <w:tblInd w:w="0" w:type="dxa"/>
      <w:tblCellMar>
        <w:top w:w="60" w:type="dxa"/>
        <w:left w:w="60" w:type="dxa"/>
        <w:bottom w:w="60" w:type="dxa"/>
        <w:right w:w="60" w:type="dxa"/>
      </w:tblCellMar>
    </w:tblPr>
    <w:trPr>
      <w:tblCellSpacing w:w="0" w:type="dxa"/>
    </w:trPr>
  </w:style>
  <w:style w:type="paragraph" w:styleId="Subtitle">
    <w:name w:val="Subtitle"/>
    <w:basedOn w:val="SUSPparagraph"/>
    <w:link w:val="SubtitleChar"/>
    <w:qFormat/>
    <w:rsid w:val="00424639"/>
    <w:pPr>
      <w:keepNext/>
      <w:spacing w:before="120" w:after="120"/>
      <w:jc w:val="center"/>
    </w:pPr>
    <w:rPr>
      <w:sz w:val="24"/>
    </w:rPr>
  </w:style>
  <w:style w:type="character" w:customStyle="1" w:styleId="SubtitleChar">
    <w:name w:val="Subtitle Char"/>
    <w:link w:val="Subtitle"/>
    <w:rsid w:val="00424639"/>
    <w:rPr>
      <w:sz w:val="24"/>
      <w:shd w:val="clear" w:color="auto" w:fill="auto"/>
    </w:rPr>
  </w:style>
  <w:style w:type="table" w:customStyle="1" w:styleId="ListBullet1">
    <w:name w:val="List Bullet1"/>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
    <w:name w:val="List numbered"/>
    <w:basedOn w:val="Listtable"/>
    <w:rsid w:val="00424639"/>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customStyle="1" w:styleId="oj-normal">
    <w:name w:val="oj-normal"/>
    <w:basedOn w:val="Normal"/>
    <w:rsid w:val="005F02CA"/>
    <w:pPr>
      <w:spacing w:before="100" w:beforeAutospacing="1" w:after="100" w:afterAutospacing="1"/>
      <w:jc w:val="left"/>
    </w:pPr>
  </w:style>
  <w:style w:type="character" w:customStyle="1" w:styleId="oj-super">
    <w:name w:val="oj-super"/>
    <w:rsid w:val="005F02CA"/>
  </w:style>
  <w:style w:type="paragraph" w:customStyle="1" w:styleId="Normal1">
    <w:name w:val="Normal1"/>
    <w:basedOn w:val="Normal"/>
    <w:rsid w:val="00851EEE"/>
    <w:pPr>
      <w:spacing w:before="100" w:beforeAutospacing="1" w:after="100" w:afterAutospacing="1"/>
      <w:jc w:val="left"/>
    </w:pPr>
  </w:style>
  <w:style w:type="character" w:customStyle="1" w:styleId="super">
    <w:name w:val="super"/>
    <w:rsid w:val="00930752"/>
  </w:style>
  <w:style w:type="character" w:customStyle="1" w:styleId="italic">
    <w:name w:val="italic"/>
    <w:rsid w:val="00D2716F"/>
  </w:style>
  <w:style w:type="character" w:customStyle="1" w:styleId="oj-italic">
    <w:name w:val="oj-italic"/>
    <w:rsid w:val="00762B15"/>
  </w:style>
  <w:style w:type="character" w:customStyle="1" w:styleId="boldface">
    <w:name w:val="boldface"/>
    <w:rsid w:val="00063BFE"/>
  </w:style>
  <w:style w:type="paragraph" w:customStyle="1" w:styleId="title-article-norm">
    <w:name w:val="title-article-norm"/>
    <w:basedOn w:val="Normal"/>
    <w:rsid w:val="00AF72B9"/>
    <w:pPr>
      <w:spacing w:before="100" w:beforeAutospacing="1" w:after="100" w:afterAutospacing="1"/>
      <w:jc w:val="left"/>
    </w:pPr>
  </w:style>
  <w:style w:type="character" w:customStyle="1" w:styleId="no-parag">
    <w:name w:val="no-parag"/>
    <w:rsid w:val="00AF72B9"/>
  </w:style>
  <w:style w:type="paragraph" w:customStyle="1" w:styleId="modref">
    <w:name w:val="modref"/>
    <w:basedOn w:val="Normal"/>
    <w:rsid w:val="00AF72B9"/>
    <w:pPr>
      <w:spacing w:before="100" w:beforeAutospacing="1" w:after="100" w:afterAutospacing="1"/>
      <w:jc w:val="left"/>
    </w:pPr>
  </w:style>
  <w:style w:type="paragraph" w:customStyle="1" w:styleId="norm">
    <w:name w:val="norm"/>
    <w:basedOn w:val="Normal"/>
    <w:rsid w:val="00AF72B9"/>
    <w:pPr>
      <w:spacing w:before="100" w:beforeAutospacing="1" w:after="100" w:afterAutospacing="1"/>
      <w:jc w:val="left"/>
    </w:pPr>
  </w:style>
  <w:style w:type="character" w:customStyle="1" w:styleId="italics">
    <w:name w:val="italics"/>
    <w:rsid w:val="00AF72B9"/>
  </w:style>
  <w:style w:type="paragraph" w:styleId="Revision">
    <w:name w:val="Revision"/>
    <w:hidden/>
    <w:uiPriority w:val="99"/>
    <w:semiHidden/>
    <w:rsid w:val="00B82B5A"/>
    <w:rPr>
      <w:sz w:val="24"/>
      <w:szCs w:val="24"/>
    </w:rPr>
  </w:style>
  <w:style w:type="character" w:styleId="FollowedHyperlink">
    <w:name w:val="FollowedHyperlink"/>
    <w:rsid w:val="00B85326"/>
    <w:rPr>
      <w:color w:val="954F72"/>
      <w:u w:val="single"/>
    </w:rPr>
  </w:style>
  <w:style w:type="character" w:styleId="Emphasis">
    <w:name w:val="Emphasis"/>
    <w:uiPriority w:val="20"/>
    <w:qFormat/>
    <w:rsid w:val="00F72A3C"/>
    <w:rPr>
      <w:i/>
      <w:iCs/>
    </w:rPr>
  </w:style>
  <w:style w:type="character" w:customStyle="1" w:styleId="UnresolvedMention">
    <w:name w:val="Unresolved Mention"/>
    <w:uiPriority w:val="99"/>
    <w:semiHidden/>
    <w:unhideWhenUsed/>
    <w:rsid w:val="00835AD9"/>
    <w:rPr>
      <w:color w:val="605E5C"/>
      <w:shd w:val="clear" w:color="auto" w:fill="E1DFDD"/>
    </w:rPr>
  </w:style>
  <w:style w:type="character" w:customStyle="1" w:styleId="HeaderChar">
    <w:name w:val="Header Char"/>
    <w:basedOn w:val="DefaultParagraphFont"/>
    <w:link w:val="Header"/>
    <w:uiPriority w:val="99"/>
    <w:rsid w:val="00F13CFB"/>
    <w:rPr>
      <w:rFonts w:ascii="Times New Roman" w:hAnsi="Times New Roman" w:cs="Times New Roman"/>
      <w:sz w:val="24"/>
      <w:lang w:val="ro-RO"/>
    </w:rPr>
  </w:style>
  <w:style w:type="character" w:customStyle="1" w:styleId="FooterChar">
    <w:name w:val="Footer Char"/>
    <w:basedOn w:val="DefaultParagraphFont"/>
    <w:link w:val="Footer"/>
    <w:uiPriority w:val="99"/>
    <w:rsid w:val="00F13CF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3CF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3CFB"/>
    <w:pPr>
      <w:spacing w:before="0"/>
      <w:jc w:val="right"/>
    </w:pPr>
    <w:rPr>
      <w:sz w:val="28"/>
    </w:rPr>
  </w:style>
  <w:style w:type="paragraph" w:customStyle="1" w:styleId="FooterSensitivity">
    <w:name w:val="Footer Sensitivity"/>
    <w:basedOn w:val="Normal"/>
    <w:rsid w:val="00F13CF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3CFB"/>
    <w:pPr>
      <w:tabs>
        <w:tab w:val="center" w:pos="4535"/>
        <w:tab w:val="right" w:pos="9071"/>
      </w:tabs>
      <w:spacing w:before="0"/>
    </w:pPr>
  </w:style>
  <w:style w:type="paragraph" w:customStyle="1" w:styleId="HeaderLandscape">
    <w:name w:val="HeaderLandscape"/>
    <w:basedOn w:val="Normal"/>
    <w:rsid w:val="00F13CFB"/>
    <w:pPr>
      <w:tabs>
        <w:tab w:val="center" w:pos="7285"/>
        <w:tab w:val="right" w:pos="14003"/>
      </w:tabs>
      <w:spacing w:before="0"/>
    </w:pPr>
  </w:style>
  <w:style w:type="paragraph" w:styleId="Footer">
    <w:name w:val="footer"/>
    <w:basedOn w:val="Normal"/>
    <w:link w:val="FooterChar"/>
    <w:uiPriority w:val="99"/>
    <w:unhideWhenUsed/>
    <w:rsid w:val="00F13CF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3CF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7476">
      <w:bodyDiv w:val="1"/>
      <w:marLeft w:val="0"/>
      <w:marRight w:val="0"/>
      <w:marTop w:val="0"/>
      <w:marBottom w:val="0"/>
      <w:divBdr>
        <w:top w:val="none" w:sz="0" w:space="0" w:color="auto"/>
        <w:left w:val="none" w:sz="0" w:space="0" w:color="auto"/>
        <w:bottom w:val="none" w:sz="0" w:space="0" w:color="auto"/>
        <w:right w:val="none" w:sz="0" w:space="0" w:color="auto"/>
      </w:divBdr>
    </w:div>
    <w:div w:id="175120516">
      <w:bodyDiv w:val="1"/>
      <w:marLeft w:val="0"/>
      <w:marRight w:val="0"/>
      <w:marTop w:val="0"/>
      <w:marBottom w:val="0"/>
      <w:divBdr>
        <w:top w:val="none" w:sz="0" w:space="0" w:color="auto"/>
        <w:left w:val="none" w:sz="0" w:space="0" w:color="auto"/>
        <w:bottom w:val="none" w:sz="0" w:space="0" w:color="auto"/>
        <w:right w:val="none" w:sz="0" w:space="0" w:color="auto"/>
      </w:divBdr>
    </w:div>
    <w:div w:id="186069492">
      <w:bodyDiv w:val="1"/>
      <w:marLeft w:val="0"/>
      <w:marRight w:val="0"/>
      <w:marTop w:val="0"/>
      <w:marBottom w:val="0"/>
      <w:divBdr>
        <w:top w:val="none" w:sz="0" w:space="0" w:color="auto"/>
        <w:left w:val="none" w:sz="0" w:space="0" w:color="auto"/>
        <w:bottom w:val="none" w:sz="0" w:space="0" w:color="auto"/>
        <w:right w:val="none" w:sz="0" w:space="0" w:color="auto"/>
      </w:divBdr>
    </w:div>
    <w:div w:id="260526819">
      <w:bodyDiv w:val="1"/>
      <w:marLeft w:val="0"/>
      <w:marRight w:val="0"/>
      <w:marTop w:val="0"/>
      <w:marBottom w:val="0"/>
      <w:divBdr>
        <w:top w:val="none" w:sz="0" w:space="0" w:color="auto"/>
        <w:left w:val="none" w:sz="0" w:space="0" w:color="auto"/>
        <w:bottom w:val="none" w:sz="0" w:space="0" w:color="auto"/>
        <w:right w:val="none" w:sz="0" w:space="0" w:color="auto"/>
      </w:divBdr>
    </w:div>
    <w:div w:id="263652237">
      <w:bodyDiv w:val="1"/>
      <w:marLeft w:val="0"/>
      <w:marRight w:val="0"/>
      <w:marTop w:val="0"/>
      <w:marBottom w:val="0"/>
      <w:divBdr>
        <w:top w:val="none" w:sz="0" w:space="0" w:color="auto"/>
        <w:left w:val="none" w:sz="0" w:space="0" w:color="auto"/>
        <w:bottom w:val="none" w:sz="0" w:space="0" w:color="auto"/>
        <w:right w:val="none" w:sz="0" w:space="0" w:color="auto"/>
      </w:divBdr>
      <w:divsChild>
        <w:div w:id="1696080093">
          <w:marLeft w:val="0"/>
          <w:marRight w:val="0"/>
          <w:marTop w:val="0"/>
          <w:marBottom w:val="0"/>
          <w:divBdr>
            <w:top w:val="none" w:sz="0" w:space="0" w:color="auto"/>
            <w:left w:val="none" w:sz="0" w:space="0" w:color="auto"/>
            <w:bottom w:val="none" w:sz="0" w:space="0" w:color="auto"/>
            <w:right w:val="none" w:sz="0" w:space="0" w:color="auto"/>
          </w:divBdr>
        </w:div>
        <w:div w:id="1252660394">
          <w:marLeft w:val="0"/>
          <w:marRight w:val="0"/>
          <w:marTop w:val="0"/>
          <w:marBottom w:val="0"/>
          <w:divBdr>
            <w:top w:val="none" w:sz="0" w:space="0" w:color="auto"/>
            <w:left w:val="none" w:sz="0" w:space="0" w:color="auto"/>
            <w:bottom w:val="none" w:sz="0" w:space="0" w:color="auto"/>
            <w:right w:val="none" w:sz="0" w:space="0" w:color="auto"/>
          </w:divBdr>
        </w:div>
        <w:div w:id="803742202">
          <w:marLeft w:val="0"/>
          <w:marRight w:val="0"/>
          <w:marTop w:val="0"/>
          <w:marBottom w:val="0"/>
          <w:divBdr>
            <w:top w:val="none" w:sz="0" w:space="0" w:color="auto"/>
            <w:left w:val="none" w:sz="0" w:space="0" w:color="auto"/>
            <w:bottom w:val="none" w:sz="0" w:space="0" w:color="auto"/>
            <w:right w:val="none" w:sz="0" w:space="0" w:color="auto"/>
          </w:divBdr>
        </w:div>
      </w:divsChild>
    </w:div>
    <w:div w:id="341665352">
      <w:bodyDiv w:val="1"/>
      <w:marLeft w:val="0"/>
      <w:marRight w:val="0"/>
      <w:marTop w:val="0"/>
      <w:marBottom w:val="0"/>
      <w:divBdr>
        <w:top w:val="none" w:sz="0" w:space="0" w:color="auto"/>
        <w:left w:val="none" w:sz="0" w:space="0" w:color="auto"/>
        <w:bottom w:val="none" w:sz="0" w:space="0" w:color="auto"/>
        <w:right w:val="none" w:sz="0" w:space="0" w:color="auto"/>
      </w:divBdr>
    </w:div>
    <w:div w:id="414863011">
      <w:bodyDiv w:val="1"/>
      <w:marLeft w:val="0"/>
      <w:marRight w:val="0"/>
      <w:marTop w:val="0"/>
      <w:marBottom w:val="0"/>
      <w:divBdr>
        <w:top w:val="none" w:sz="0" w:space="0" w:color="auto"/>
        <w:left w:val="none" w:sz="0" w:space="0" w:color="auto"/>
        <w:bottom w:val="none" w:sz="0" w:space="0" w:color="auto"/>
        <w:right w:val="none" w:sz="0" w:space="0" w:color="auto"/>
      </w:divBdr>
    </w:div>
    <w:div w:id="475336672">
      <w:bodyDiv w:val="1"/>
      <w:marLeft w:val="0"/>
      <w:marRight w:val="0"/>
      <w:marTop w:val="0"/>
      <w:marBottom w:val="0"/>
      <w:divBdr>
        <w:top w:val="none" w:sz="0" w:space="0" w:color="auto"/>
        <w:left w:val="none" w:sz="0" w:space="0" w:color="auto"/>
        <w:bottom w:val="none" w:sz="0" w:space="0" w:color="auto"/>
        <w:right w:val="none" w:sz="0" w:space="0" w:color="auto"/>
      </w:divBdr>
    </w:div>
    <w:div w:id="576478520">
      <w:bodyDiv w:val="1"/>
      <w:marLeft w:val="0"/>
      <w:marRight w:val="0"/>
      <w:marTop w:val="0"/>
      <w:marBottom w:val="0"/>
      <w:divBdr>
        <w:top w:val="none" w:sz="0" w:space="0" w:color="auto"/>
        <w:left w:val="none" w:sz="0" w:space="0" w:color="auto"/>
        <w:bottom w:val="none" w:sz="0" w:space="0" w:color="auto"/>
        <w:right w:val="none" w:sz="0" w:space="0" w:color="auto"/>
      </w:divBdr>
    </w:div>
    <w:div w:id="708267042">
      <w:bodyDiv w:val="1"/>
      <w:marLeft w:val="0"/>
      <w:marRight w:val="0"/>
      <w:marTop w:val="0"/>
      <w:marBottom w:val="0"/>
      <w:divBdr>
        <w:top w:val="none" w:sz="0" w:space="0" w:color="auto"/>
        <w:left w:val="none" w:sz="0" w:space="0" w:color="auto"/>
        <w:bottom w:val="none" w:sz="0" w:space="0" w:color="auto"/>
        <w:right w:val="none" w:sz="0" w:space="0" w:color="auto"/>
      </w:divBdr>
    </w:div>
    <w:div w:id="727651878">
      <w:bodyDiv w:val="1"/>
      <w:marLeft w:val="0"/>
      <w:marRight w:val="0"/>
      <w:marTop w:val="0"/>
      <w:marBottom w:val="0"/>
      <w:divBdr>
        <w:top w:val="none" w:sz="0" w:space="0" w:color="auto"/>
        <w:left w:val="none" w:sz="0" w:space="0" w:color="auto"/>
        <w:bottom w:val="none" w:sz="0" w:space="0" w:color="auto"/>
        <w:right w:val="none" w:sz="0" w:space="0" w:color="auto"/>
      </w:divBdr>
    </w:div>
    <w:div w:id="904492970">
      <w:bodyDiv w:val="1"/>
      <w:marLeft w:val="0"/>
      <w:marRight w:val="0"/>
      <w:marTop w:val="0"/>
      <w:marBottom w:val="0"/>
      <w:divBdr>
        <w:top w:val="none" w:sz="0" w:space="0" w:color="auto"/>
        <w:left w:val="none" w:sz="0" w:space="0" w:color="auto"/>
        <w:bottom w:val="none" w:sz="0" w:space="0" w:color="auto"/>
        <w:right w:val="none" w:sz="0" w:space="0" w:color="auto"/>
      </w:divBdr>
    </w:div>
    <w:div w:id="1176648093">
      <w:bodyDiv w:val="1"/>
      <w:marLeft w:val="0"/>
      <w:marRight w:val="0"/>
      <w:marTop w:val="0"/>
      <w:marBottom w:val="0"/>
      <w:divBdr>
        <w:top w:val="none" w:sz="0" w:space="0" w:color="auto"/>
        <w:left w:val="none" w:sz="0" w:space="0" w:color="auto"/>
        <w:bottom w:val="none" w:sz="0" w:space="0" w:color="auto"/>
        <w:right w:val="none" w:sz="0" w:space="0" w:color="auto"/>
      </w:divBdr>
    </w:div>
    <w:div w:id="1189024647">
      <w:bodyDiv w:val="1"/>
      <w:marLeft w:val="0"/>
      <w:marRight w:val="0"/>
      <w:marTop w:val="0"/>
      <w:marBottom w:val="0"/>
      <w:divBdr>
        <w:top w:val="none" w:sz="0" w:space="0" w:color="auto"/>
        <w:left w:val="none" w:sz="0" w:space="0" w:color="auto"/>
        <w:bottom w:val="none" w:sz="0" w:space="0" w:color="auto"/>
        <w:right w:val="none" w:sz="0" w:space="0" w:color="auto"/>
      </w:divBdr>
    </w:div>
    <w:div w:id="1213078640">
      <w:bodyDiv w:val="1"/>
      <w:marLeft w:val="0"/>
      <w:marRight w:val="0"/>
      <w:marTop w:val="0"/>
      <w:marBottom w:val="0"/>
      <w:divBdr>
        <w:top w:val="none" w:sz="0" w:space="0" w:color="auto"/>
        <w:left w:val="none" w:sz="0" w:space="0" w:color="auto"/>
        <w:bottom w:val="none" w:sz="0" w:space="0" w:color="auto"/>
        <w:right w:val="none" w:sz="0" w:space="0" w:color="auto"/>
      </w:divBdr>
    </w:div>
    <w:div w:id="1272325032">
      <w:bodyDiv w:val="1"/>
      <w:marLeft w:val="0"/>
      <w:marRight w:val="0"/>
      <w:marTop w:val="0"/>
      <w:marBottom w:val="0"/>
      <w:divBdr>
        <w:top w:val="none" w:sz="0" w:space="0" w:color="auto"/>
        <w:left w:val="none" w:sz="0" w:space="0" w:color="auto"/>
        <w:bottom w:val="none" w:sz="0" w:space="0" w:color="auto"/>
        <w:right w:val="none" w:sz="0" w:space="0" w:color="auto"/>
      </w:divBdr>
    </w:div>
    <w:div w:id="1314213732">
      <w:bodyDiv w:val="1"/>
      <w:marLeft w:val="0"/>
      <w:marRight w:val="0"/>
      <w:marTop w:val="0"/>
      <w:marBottom w:val="0"/>
      <w:divBdr>
        <w:top w:val="none" w:sz="0" w:space="0" w:color="auto"/>
        <w:left w:val="none" w:sz="0" w:space="0" w:color="auto"/>
        <w:bottom w:val="none" w:sz="0" w:space="0" w:color="auto"/>
        <w:right w:val="none" w:sz="0" w:space="0" w:color="auto"/>
      </w:divBdr>
    </w:div>
    <w:div w:id="1329140099">
      <w:bodyDiv w:val="1"/>
      <w:marLeft w:val="0"/>
      <w:marRight w:val="0"/>
      <w:marTop w:val="0"/>
      <w:marBottom w:val="0"/>
      <w:divBdr>
        <w:top w:val="none" w:sz="0" w:space="0" w:color="auto"/>
        <w:left w:val="none" w:sz="0" w:space="0" w:color="auto"/>
        <w:bottom w:val="none" w:sz="0" w:space="0" w:color="auto"/>
        <w:right w:val="none" w:sz="0" w:space="0" w:color="auto"/>
      </w:divBdr>
    </w:div>
    <w:div w:id="1346862491">
      <w:bodyDiv w:val="1"/>
      <w:marLeft w:val="0"/>
      <w:marRight w:val="0"/>
      <w:marTop w:val="0"/>
      <w:marBottom w:val="0"/>
      <w:divBdr>
        <w:top w:val="none" w:sz="0" w:space="0" w:color="auto"/>
        <w:left w:val="none" w:sz="0" w:space="0" w:color="auto"/>
        <w:bottom w:val="none" w:sz="0" w:space="0" w:color="auto"/>
        <w:right w:val="none" w:sz="0" w:space="0" w:color="auto"/>
      </w:divBdr>
    </w:div>
    <w:div w:id="1349411148">
      <w:bodyDiv w:val="1"/>
      <w:marLeft w:val="0"/>
      <w:marRight w:val="0"/>
      <w:marTop w:val="0"/>
      <w:marBottom w:val="0"/>
      <w:divBdr>
        <w:top w:val="none" w:sz="0" w:space="0" w:color="auto"/>
        <w:left w:val="none" w:sz="0" w:space="0" w:color="auto"/>
        <w:bottom w:val="none" w:sz="0" w:space="0" w:color="auto"/>
        <w:right w:val="none" w:sz="0" w:space="0" w:color="auto"/>
      </w:divBdr>
    </w:div>
    <w:div w:id="1349789633">
      <w:bodyDiv w:val="1"/>
      <w:marLeft w:val="0"/>
      <w:marRight w:val="0"/>
      <w:marTop w:val="0"/>
      <w:marBottom w:val="0"/>
      <w:divBdr>
        <w:top w:val="none" w:sz="0" w:space="0" w:color="auto"/>
        <w:left w:val="none" w:sz="0" w:space="0" w:color="auto"/>
        <w:bottom w:val="none" w:sz="0" w:space="0" w:color="auto"/>
        <w:right w:val="none" w:sz="0" w:space="0" w:color="auto"/>
      </w:divBdr>
    </w:div>
    <w:div w:id="1354768929">
      <w:bodyDiv w:val="1"/>
      <w:marLeft w:val="0"/>
      <w:marRight w:val="0"/>
      <w:marTop w:val="0"/>
      <w:marBottom w:val="0"/>
      <w:divBdr>
        <w:top w:val="none" w:sz="0" w:space="0" w:color="auto"/>
        <w:left w:val="none" w:sz="0" w:space="0" w:color="auto"/>
        <w:bottom w:val="none" w:sz="0" w:space="0" w:color="auto"/>
        <w:right w:val="none" w:sz="0" w:space="0" w:color="auto"/>
      </w:divBdr>
      <w:divsChild>
        <w:div w:id="1793935717">
          <w:marLeft w:val="0"/>
          <w:marRight w:val="0"/>
          <w:marTop w:val="0"/>
          <w:marBottom w:val="0"/>
          <w:divBdr>
            <w:top w:val="none" w:sz="0" w:space="0" w:color="auto"/>
            <w:left w:val="none" w:sz="0" w:space="0" w:color="auto"/>
            <w:bottom w:val="none" w:sz="0" w:space="0" w:color="auto"/>
            <w:right w:val="none" w:sz="0" w:space="0" w:color="auto"/>
          </w:divBdr>
          <w:divsChild>
            <w:div w:id="1008604074">
              <w:marLeft w:val="0"/>
              <w:marRight w:val="0"/>
              <w:marTop w:val="0"/>
              <w:marBottom w:val="0"/>
              <w:divBdr>
                <w:top w:val="none" w:sz="0" w:space="0" w:color="auto"/>
                <w:left w:val="none" w:sz="0" w:space="0" w:color="auto"/>
                <w:bottom w:val="none" w:sz="0" w:space="0" w:color="auto"/>
                <w:right w:val="none" w:sz="0" w:space="0" w:color="auto"/>
              </w:divBdr>
            </w:div>
          </w:divsChild>
        </w:div>
        <w:div w:id="100076607">
          <w:marLeft w:val="0"/>
          <w:marRight w:val="0"/>
          <w:marTop w:val="0"/>
          <w:marBottom w:val="0"/>
          <w:divBdr>
            <w:top w:val="none" w:sz="0" w:space="0" w:color="auto"/>
            <w:left w:val="none" w:sz="0" w:space="0" w:color="auto"/>
            <w:bottom w:val="none" w:sz="0" w:space="0" w:color="auto"/>
            <w:right w:val="none" w:sz="0" w:space="0" w:color="auto"/>
          </w:divBdr>
          <w:divsChild>
            <w:div w:id="1234853668">
              <w:marLeft w:val="0"/>
              <w:marRight w:val="0"/>
              <w:marTop w:val="0"/>
              <w:marBottom w:val="0"/>
              <w:divBdr>
                <w:top w:val="none" w:sz="0" w:space="0" w:color="auto"/>
                <w:left w:val="none" w:sz="0" w:space="0" w:color="auto"/>
                <w:bottom w:val="none" w:sz="0" w:space="0" w:color="auto"/>
                <w:right w:val="none" w:sz="0" w:space="0" w:color="auto"/>
              </w:divBdr>
            </w:div>
          </w:divsChild>
        </w:div>
        <w:div w:id="2041083619">
          <w:marLeft w:val="0"/>
          <w:marRight w:val="0"/>
          <w:marTop w:val="0"/>
          <w:marBottom w:val="0"/>
          <w:divBdr>
            <w:top w:val="none" w:sz="0" w:space="0" w:color="auto"/>
            <w:left w:val="none" w:sz="0" w:space="0" w:color="auto"/>
            <w:bottom w:val="none" w:sz="0" w:space="0" w:color="auto"/>
            <w:right w:val="none" w:sz="0" w:space="0" w:color="auto"/>
          </w:divBdr>
          <w:divsChild>
            <w:div w:id="1379277966">
              <w:marLeft w:val="0"/>
              <w:marRight w:val="0"/>
              <w:marTop w:val="0"/>
              <w:marBottom w:val="0"/>
              <w:divBdr>
                <w:top w:val="none" w:sz="0" w:space="0" w:color="auto"/>
                <w:left w:val="none" w:sz="0" w:space="0" w:color="auto"/>
                <w:bottom w:val="none" w:sz="0" w:space="0" w:color="auto"/>
                <w:right w:val="none" w:sz="0" w:space="0" w:color="auto"/>
              </w:divBdr>
              <w:divsChild>
                <w:div w:id="1016158117">
                  <w:marLeft w:val="0"/>
                  <w:marRight w:val="0"/>
                  <w:marTop w:val="0"/>
                  <w:marBottom w:val="0"/>
                  <w:divBdr>
                    <w:top w:val="none" w:sz="0" w:space="0" w:color="auto"/>
                    <w:left w:val="none" w:sz="0" w:space="0" w:color="auto"/>
                    <w:bottom w:val="none" w:sz="0" w:space="0" w:color="auto"/>
                    <w:right w:val="none" w:sz="0" w:space="0" w:color="auto"/>
                  </w:divBdr>
                  <w:divsChild>
                    <w:div w:id="1267273570">
                      <w:marLeft w:val="0"/>
                      <w:marRight w:val="0"/>
                      <w:marTop w:val="120"/>
                      <w:marBottom w:val="0"/>
                      <w:divBdr>
                        <w:top w:val="none" w:sz="0" w:space="0" w:color="auto"/>
                        <w:left w:val="none" w:sz="0" w:space="0" w:color="auto"/>
                        <w:bottom w:val="none" w:sz="0" w:space="0" w:color="auto"/>
                        <w:right w:val="none" w:sz="0" w:space="0" w:color="auto"/>
                      </w:divBdr>
                    </w:div>
                    <w:div w:id="1050378047">
                      <w:marLeft w:val="0"/>
                      <w:marRight w:val="0"/>
                      <w:marTop w:val="0"/>
                      <w:marBottom w:val="0"/>
                      <w:divBdr>
                        <w:top w:val="none" w:sz="0" w:space="0" w:color="auto"/>
                        <w:left w:val="none" w:sz="0" w:space="0" w:color="auto"/>
                        <w:bottom w:val="none" w:sz="0" w:space="0" w:color="auto"/>
                        <w:right w:val="none" w:sz="0" w:space="0" w:color="auto"/>
                      </w:divBdr>
                    </w:div>
                  </w:divsChild>
                </w:div>
                <w:div w:id="530068789">
                  <w:marLeft w:val="0"/>
                  <w:marRight w:val="0"/>
                  <w:marTop w:val="0"/>
                  <w:marBottom w:val="0"/>
                  <w:divBdr>
                    <w:top w:val="none" w:sz="0" w:space="0" w:color="auto"/>
                    <w:left w:val="none" w:sz="0" w:space="0" w:color="auto"/>
                    <w:bottom w:val="none" w:sz="0" w:space="0" w:color="auto"/>
                    <w:right w:val="none" w:sz="0" w:space="0" w:color="auto"/>
                  </w:divBdr>
                  <w:divsChild>
                    <w:div w:id="14354204">
                      <w:marLeft w:val="0"/>
                      <w:marRight w:val="0"/>
                      <w:marTop w:val="120"/>
                      <w:marBottom w:val="0"/>
                      <w:divBdr>
                        <w:top w:val="none" w:sz="0" w:space="0" w:color="auto"/>
                        <w:left w:val="none" w:sz="0" w:space="0" w:color="auto"/>
                        <w:bottom w:val="none" w:sz="0" w:space="0" w:color="auto"/>
                        <w:right w:val="none" w:sz="0" w:space="0" w:color="auto"/>
                      </w:divBdr>
                    </w:div>
                    <w:div w:id="127016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383936">
          <w:marLeft w:val="0"/>
          <w:marRight w:val="0"/>
          <w:marTop w:val="0"/>
          <w:marBottom w:val="0"/>
          <w:divBdr>
            <w:top w:val="none" w:sz="0" w:space="0" w:color="auto"/>
            <w:left w:val="none" w:sz="0" w:space="0" w:color="auto"/>
            <w:bottom w:val="none" w:sz="0" w:space="0" w:color="auto"/>
            <w:right w:val="none" w:sz="0" w:space="0" w:color="auto"/>
          </w:divBdr>
          <w:divsChild>
            <w:div w:id="921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9027">
      <w:bodyDiv w:val="1"/>
      <w:marLeft w:val="0"/>
      <w:marRight w:val="0"/>
      <w:marTop w:val="0"/>
      <w:marBottom w:val="0"/>
      <w:divBdr>
        <w:top w:val="none" w:sz="0" w:space="0" w:color="auto"/>
        <w:left w:val="none" w:sz="0" w:space="0" w:color="auto"/>
        <w:bottom w:val="none" w:sz="0" w:space="0" w:color="auto"/>
        <w:right w:val="none" w:sz="0" w:space="0" w:color="auto"/>
      </w:divBdr>
    </w:div>
    <w:div w:id="1794714405">
      <w:bodyDiv w:val="1"/>
      <w:marLeft w:val="0"/>
      <w:marRight w:val="0"/>
      <w:marTop w:val="0"/>
      <w:marBottom w:val="0"/>
      <w:divBdr>
        <w:top w:val="none" w:sz="0" w:space="0" w:color="auto"/>
        <w:left w:val="none" w:sz="0" w:space="0" w:color="auto"/>
        <w:bottom w:val="none" w:sz="0" w:space="0" w:color="auto"/>
        <w:right w:val="none" w:sz="0" w:space="0" w:color="auto"/>
      </w:divBdr>
    </w:div>
    <w:div w:id="1903060017">
      <w:bodyDiv w:val="1"/>
      <w:marLeft w:val="0"/>
      <w:marRight w:val="0"/>
      <w:marTop w:val="0"/>
      <w:marBottom w:val="0"/>
      <w:divBdr>
        <w:top w:val="none" w:sz="0" w:space="0" w:color="auto"/>
        <w:left w:val="none" w:sz="0" w:space="0" w:color="auto"/>
        <w:bottom w:val="none" w:sz="0" w:space="0" w:color="auto"/>
        <w:right w:val="none" w:sz="0" w:space="0" w:color="auto"/>
      </w:divBdr>
    </w:div>
    <w:div w:id="1926038205">
      <w:bodyDiv w:val="1"/>
      <w:marLeft w:val="0"/>
      <w:marRight w:val="0"/>
      <w:marTop w:val="0"/>
      <w:marBottom w:val="0"/>
      <w:divBdr>
        <w:top w:val="none" w:sz="0" w:space="0" w:color="auto"/>
        <w:left w:val="none" w:sz="0" w:space="0" w:color="auto"/>
        <w:bottom w:val="none" w:sz="0" w:space="0" w:color="auto"/>
        <w:right w:val="none" w:sz="0" w:space="0" w:color="auto"/>
      </w:divBdr>
    </w:div>
    <w:div w:id="1988581762">
      <w:bodyDiv w:val="1"/>
      <w:marLeft w:val="0"/>
      <w:marRight w:val="0"/>
      <w:marTop w:val="0"/>
      <w:marBottom w:val="0"/>
      <w:divBdr>
        <w:top w:val="none" w:sz="0" w:space="0" w:color="auto"/>
        <w:left w:val="none" w:sz="0" w:space="0" w:color="auto"/>
        <w:bottom w:val="none" w:sz="0" w:space="0" w:color="auto"/>
        <w:right w:val="none" w:sz="0" w:space="0" w:color="auto"/>
      </w:divBdr>
    </w:div>
    <w:div w:id="1990669079">
      <w:bodyDiv w:val="1"/>
      <w:marLeft w:val="0"/>
      <w:marRight w:val="0"/>
      <w:marTop w:val="0"/>
      <w:marBottom w:val="0"/>
      <w:divBdr>
        <w:top w:val="none" w:sz="0" w:space="0" w:color="auto"/>
        <w:left w:val="none" w:sz="0" w:space="0" w:color="auto"/>
        <w:bottom w:val="none" w:sz="0" w:space="0" w:color="auto"/>
        <w:right w:val="none" w:sz="0" w:space="0" w:color="auto"/>
      </w:divBdr>
    </w:div>
    <w:div w:id="2097172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2278/oj" TargetMode="External"/><Relationship Id="rId1" Type="http://schemas.openxmlformats.org/officeDocument/2006/relationships/hyperlink" Target="http://data.europa.eu/eli/reg/2013/9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2848C-0FCB-4BEC-8327-BF4A5A664386}">
  <ds:schemaRefs>
    <ds:schemaRef ds:uri="http://schemas.microsoft.com/sharepoint/v3/contenttype/forms"/>
  </ds:schemaRefs>
</ds:datastoreItem>
</file>

<file path=customXml/itemProps2.xml><?xml version="1.0" encoding="utf-8"?>
<ds:datastoreItem xmlns:ds="http://schemas.openxmlformats.org/officeDocument/2006/customXml" ds:itemID="{C24923D7-B89A-4AF0-88AE-EE355FD0E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BB415-8585-464D-9199-97E4920DB1A3}">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4.xml><?xml version="1.0" encoding="utf-8"?>
<ds:datastoreItem xmlns:ds="http://schemas.openxmlformats.org/officeDocument/2006/customXml" ds:itemID="{A722B38A-630E-4687-8C4E-66FB66567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9</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18</cp:revision>
  <cp:lastPrinted>2022-03-24T18:14:00Z</cp:lastPrinted>
  <dcterms:created xsi:type="dcterms:W3CDTF">2026-04-07T09:57:00Z</dcterms:created>
  <dcterms:modified xsi:type="dcterms:W3CDTF">2026-04-29T08:25:00Z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5.8.22.0</vt:lpwstr>
  </property>
  <property fmtid="{D5CDD505-2E9C-101B-9397-08002B2CF9AE}" pid="4" name="Created using">
    <vt:lpwstr>LW 5.8, Build 20110311</vt:lpwstr>
  </property>
  <property fmtid="{D5CDD505-2E9C-101B-9397-08002B2CF9AE}" pid="5" name="Last edited using">
    <vt:lpwstr>LW 9.2, Build 20250828</vt:lpwstr>
  </property>
  <property fmtid="{D5CDD505-2E9C-101B-9397-08002B2CF9AE}" pid="6" name="_NewReviewCycle">
    <vt:lpwstr/>
  </property>
  <property fmtid="{D5CDD505-2E9C-101B-9397-08002B2CF9AE}" pid="7" name="LWTemplateID">
    <vt:lpwstr>SJ-016</vt:lpwstr>
  </property>
  <property fmtid="{D5CDD505-2E9C-101B-9397-08002B2CF9AE}" pid="8" name="Level of sensitivity">
    <vt:lpwstr>Standard treatment</vt:lpwstr>
  </property>
  <property fmtid="{D5CDD505-2E9C-101B-9397-08002B2CF9AE}" pid="9" name="Part">
    <vt:lpwstr>1</vt:lpwstr>
  </property>
  <property fmtid="{D5CDD505-2E9C-101B-9397-08002B2CF9AE}" pid="10" name="Total parts">
    <vt:lpwstr>1</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2023-02-10T11:40:19Z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e750f0b3-1c54-4a71-a94a-bbdb734d8802</vt:lpwstr>
  </property>
  <property fmtid="{D5CDD505-2E9C-101B-9397-08002B2CF9AE}" pid="17" name="MSIP_Label_6bd9ddd1-4d20-43f6-abfa-fc3c07406f94_ContentBits">
    <vt:lpwstr>0</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