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66" w:rsidRPr="005741B9" w:rsidRDefault="00D444D0" w:rsidP="00D444D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BB2913-3D5E-43EF-A450-A37621A2E536" style="width:455.25pt;height:357.75pt">
            <v:imagedata r:id="rId11" o:title=""/>
          </v:shape>
        </w:pict>
      </w:r>
    </w:p>
    <w:p w:rsidR="00401466" w:rsidRPr="005741B9" w:rsidRDefault="00401466" w:rsidP="00401466">
      <w:pPr>
        <w:rPr>
          <w:noProof/>
        </w:rPr>
        <w:sectPr w:rsidR="00401466" w:rsidRPr="005741B9" w:rsidSect="00D444D0">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2A3D8D" w:rsidRPr="005741B9" w:rsidRDefault="002A3D8D" w:rsidP="002A3D8D">
      <w:pPr>
        <w:pStyle w:val="Exposdesmotifstitre"/>
        <w:rPr>
          <w:noProof/>
        </w:rPr>
      </w:pPr>
      <w:bookmarkStart w:id="0" w:name="_GoBack"/>
      <w:bookmarkEnd w:id="0"/>
      <w:r w:rsidRPr="005741B9">
        <w:rPr>
          <w:noProof/>
        </w:rPr>
        <w:lastRenderedPageBreak/>
        <w:t>EXPOSÉ DES MOTIFS</w:t>
      </w:r>
    </w:p>
    <w:p w:rsidR="002A3D8D" w:rsidRPr="005741B9" w:rsidRDefault="002A3D8D" w:rsidP="002A3D8D">
      <w:pPr>
        <w:pStyle w:val="ManualHeading1"/>
        <w:rPr>
          <w:noProof/>
        </w:rPr>
      </w:pPr>
      <w:r w:rsidRPr="005741B9">
        <w:rPr>
          <w:noProof/>
        </w:rPr>
        <w:t>1.</w:t>
      </w:r>
      <w:r w:rsidRPr="005741B9">
        <w:rPr>
          <w:noProof/>
        </w:rPr>
        <w:tab/>
        <w:t>CONTEXTE DE LA PROPOSITION</w:t>
      </w:r>
    </w:p>
    <w:p w:rsidR="002A3D8D" w:rsidRPr="005741B9" w:rsidRDefault="002A3D8D" w:rsidP="002A3D8D">
      <w:pPr>
        <w:pStyle w:val="ManualHeading2"/>
        <w:rPr>
          <w:rFonts w:eastAsia="Arial Unicode MS"/>
          <w:noProof/>
        </w:rPr>
      </w:pPr>
      <w:r w:rsidRPr="005741B9">
        <w:rPr>
          <w:noProof/>
          <w:color w:val="000000"/>
          <w:u w:color="000000"/>
          <w:bdr w:val="nil"/>
        </w:rPr>
        <w:t>•</w:t>
      </w:r>
      <w:r w:rsidRPr="005741B9">
        <w:rPr>
          <w:noProof/>
        </w:rPr>
        <w:tab/>
        <w:t>Justification et objectifs de la proposition</w:t>
      </w:r>
    </w:p>
    <w:p w:rsidR="002A3D8D" w:rsidRPr="005741B9" w:rsidRDefault="002A3D8D" w:rsidP="002A3D8D">
      <w:pPr>
        <w:pBdr>
          <w:top w:val="nil"/>
          <w:left w:val="nil"/>
          <w:bottom w:val="nil"/>
          <w:right w:val="nil"/>
          <w:between w:val="nil"/>
          <w:bar w:val="nil"/>
        </w:pBdr>
        <w:spacing w:before="0" w:after="240"/>
        <w:rPr>
          <w:noProof/>
        </w:rPr>
      </w:pPr>
      <w:r w:rsidRPr="005741B9">
        <w:rPr>
          <w:noProof/>
        </w:rPr>
        <w:t>Il est nécessaire de fixer des contingents tarifaires autonomes de l’Union pour les produits dont la production dans l’Union n’est pas suffisante au regard des besoins de l’industrie utilisatrice de l’Union pour une période contingentaire donnée. Il convient d’ouvrir des contingents tarifaires de l’Union à droits nuls ou réduits pour des volumes appropriés, sans pour autant perturber le marché de ces produits.</w:t>
      </w:r>
    </w:p>
    <w:p w:rsidR="002A3D8D" w:rsidRPr="005741B9" w:rsidRDefault="002A3D8D" w:rsidP="002A3D8D">
      <w:pPr>
        <w:rPr>
          <w:noProof/>
        </w:rPr>
      </w:pPr>
      <w:r w:rsidRPr="005741B9">
        <w:rPr>
          <w:noProof/>
        </w:rPr>
        <w:t xml:space="preserve">Le 20 décembre 2021, le Conseil de l’Union européenne a adopté le règlement (UE) 2021/2283 portant ouverture et mode de gestion de contingents tarifaires autonomes de l’Union pour certains produits agricoles et industriels, de façon à satisfaire, aux conditions les plus favorables, la demande des produits concernés dans l’Union. </w:t>
      </w:r>
    </w:p>
    <w:p w:rsidR="002A3D8D" w:rsidRPr="005741B9" w:rsidRDefault="002A3D8D" w:rsidP="002A3D8D">
      <w:pPr>
        <w:pBdr>
          <w:top w:val="nil"/>
          <w:left w:val="nil"/>
          <w:bottom w:val="nil"/>
          <w:right w:val="nil"/>
          <w:between w:val="nil"/>
          <w:bar w:val="nil"/>
        </w:pBdr>
        <w:spacing w:before="0" w:after="240"/>
        <w:rPr>
          <w:noProof/>
        </w:rPr>
      </w:pPr>
      <w:r w:rsidRPr="005741B9">
        <w:rPr>
          <w:noProof/>
        </w:rPr>
        <w:t xml:space="preserve">Ce règlement est mis à jour tous les six mois afin de satisfaire les besoins de l’industrie de l’Union. </w:t>
      </w:r>
    </w:p>
    <w:p w:rsidR="002A3D8D" w:rsidRPr="005741B9" w:rsidRDefault="002A3D8D" w:rsidP="002A3D8D">
      <w:pPr>
        <w:pBdr>
          <w:top w:val="nil"/>
          <w:left w:val="nil"/>
          <w:bottom w:val="nil"/>
          <w:right w:val="nil"/>
          <w:between w:val="nil"/>
          <w:bar w:val="nil"/>
        </w:pBdr>
        <w:spacing w:before="0" w:after="240"/>
        <w:rPr>
          <w:noProof/>
        </w:rPr>
      </w:pPr>
      <w:r w:rsidRPr="005741B9">
        <w:rPr>
          <w:noProof/>
        </w:rPr>
        <w:t>La Commission, assistée par le groupe «Économie tarifaire» (GET), a procédé à l’examen de l’ensemble des demandes de contingents tarifaires autonomes qui lui ont été transmises par les États membres.</w:t>
      </w:r>
    </w:p>
    <w:p w:rsidR="00A63CAF" w:rsidRPr="005741B9" w:rsidRDefault="00290884" w:rsidP="00290884">
      <w:pPr>
        <w:pBdr>
          <w:top w:val="nil"/>
          <w:left w:val="nil"/>
          <w:bottom w:val="nil"/>
          <w:right w:val="nil"/>
          <w:between w:val="nil"/>
          <w:bar w:val="nil"/>
        </w:pBdr>
        <w:spacing w:before="0" w:after="240"/>
        <w:rPr>
          <w:noProof/>
        </w:rPr>
      </w:pPr>
      <w:r w:rsidRPr="005741B9">
        <w:rPr>
          <w:noProof/>
        </w:rPr>
        <w:t xml:space="preserve">À la suite de cet examen, la Commission est d’avis que l’ouverture de contingents tarifaires autonomes est justifiée pour quatre produits, qui ne figurent pas actuellement à l’annexe du règlement (UE) 2021/2283 du Conseil. </w:t>
      </w:r>
      <w:bookmarkStart w:id="1" w:name="_Hlk208431332"/>
      <w:r w:rsidRPr="005741B9">
        <w:rPr>
          <w:noProof/>
        </w:rPr>
        <w:t xml:space="preserve">En ce qui concerne trois autres produits, il est devenu nécessaire de modifier le libellé de la désignation ou d’augmenter le volume contingentaire initial. </w:t>
      </w:r>
      <w:r w:rsidRPr="005741B9">
        <w:rPr>
          <w:noProof/>
          <w:color w:val="000000" w:themeColor="text1"/>
        </w:rPr>
        <w:t>Il y a lieu de retirer deux produits pour lesquels le maintien d’un contingent tarifaire ne se justifie plus au regard de l’intérêt économique de l’Union.</w:t>
      </w:r>
      <w:bookmarkEnd w:id="1"/>
    </w:p>
    <w:p w:rsidR="002A3D8D" w:rsidRPr="005741B9" w:rsidRDefault="002A3D8D" w:rsidP="002A3D8D">
      <w:pPr>
        <w:pBdr>
          <w:top w:val="nil"/>
          <w:left w:val="nil"/>
          <w:bottom w:val="nil"/>
          <w:right w:val="nil"/>
          <w:between w:val="nil"/>
          <w:bar w:val="nil"/>
        </w:pBdr>
        <w:spacing w:before="0" w:after="240"/>
        <w:rPr>
          <w:noProof/>
        </w:rPr>
      </w:pPr>
      <w:r w:rsidRPr="005741B9">
        <w:rPr>
          <w:noProof/>
        </w:rPr>
        <w:t>Pour des raisons de clarté, il est souhaitable de publier une version consolidée de l’annexe du règlement (UE) 2021/2283 du Conseil, qui remplacera intégralement l’annexe précédente.</w:t>
      </w:r>
      <w:bookmarkStart w:id="2" w:name="_Hlk127278741"/>
    </w:p>
    <w:bookmarkEnd w:id="2"/>
    <w:p w:rsidR="002A3D8D" w:rsidRPr="005741B9" w:rsidRDefault="002A3D8D" w:rsidP="002A3D8D">
      <w:pPr>
        <w:pStyle w:val="ManualHeading2"/>
        <w:rPr>
          <w:rFonts w:eastAsia="Arial Unicode MS"/>
          <w:noProof/>
          <w:color w:val="000000"/>
          <w:u w:color="000000"/>
          <w:bdr w:val="nil"/>
        </w:rPr>
      </w:pPr>
      <w:r w:rsidRPr="005741B9">
        <w:rPr>
          <w:noProof/>
          <w:color w:val="000000"/>
          <w:u w:color="000000"/>
          <w:bdr w:val="nil"/>
        </w:rPr>
        <w:t>•</w:t>
      </w:r>
      <w:r w:rsidRPr="005741B9">
        <w:rPr>
          <w:noProof/>
        </w:rPr>
        <w:tab/>
        <w:t>Cohérence avec les dispositions existantes dans le domaine d'action</w:t>
      </w:r>
    </w:p>
    <w:p w:rsidR="002A3D8D" w:rsidRPr="005741B9" w:rsidRDefault="002A3D8D" w:rsidP="002A3D8D">
      <w:pPr>
        <w:rPr>
          <w:noProof/>
        </w:rPr>
      </w:pPr>
      <w:r w:rsidRPr="005741B9">
        <w:rPr>
          <w:noProof/>
        </w:rPr>
        <w:t>La présente proposition n’a pas d’incidence sur les pays ayant un accord commercial préférentiel avec l’Union, ni sur les pays candidats ou candidats potentiels à des accords préférentiels avec l’Union (par exemple, système de préférences généralisées, accords commerciaux du groupe des États d’Afrique, des Caraïbes et du Pacifique, accords de libre-échange).</w:t>
      </w:r>
    </w:p>
    <w:p w:rsidR="002A3D8D" w:rsidRPr="005741B9" w:rsidRDefault="002A3D8D" w:rsidP="002A3D8D">
      <w:pPr>
        <w:pStyle w:val="ManualHeading2"/>
        <w:rPr>
          <w:rFonts w:eastAsia="Arial Unicode MS"/>
          <w:noProof/>
        </w:rPr>
      </w:pPr>
      <w:r w:rsidRPr="005741B9">
        <w:rPr>
          <w:noProof/>
          <w:color w:val="000000"/>
          <w:u w:color="000000"/>
          <w:bdr w:val="nil"/>
        </w:rPr>
        <w:t>•</w:t>
      </w:r>
      <w:r w:rsidRPr="005741B9">
        <w:rPr>
          <w:noProof/>
        </w:rPr>
        <w:tab/>
        <w:t>Cohérence avec les autres politiques de l'Union</w:t>
      </w:r>
    </w:p>
    <w:p w:rsidR="002A3D8D" w:rsidRPr="005741B9" w:rsidRDefault="002A3D8D" w:rsidP="002A3D8D">
      <w:pPr>
        <w:pBdr>
          <w:top w:val="nil"/>
          <w:left w:val="nil"/>
          <w:bottom w:val="nil"/>
          <w:right w:val="nil"/>
          <w:between w:val="nil"/>
          <w:bar w:val="nil"/>
        </w:pBdr>
        <w:spacing w:before="0" w:after="240"/>
        <w:rPr>
          <w:rFonts w:eastAsia="Arial Unicode MS"/>
          <w:noProof/>
        </w:rPr>
      </w:pPr>
      <w:r w:rsidRPr="005741B9">
        <w:rPr>
          <w:noProof/>
        </w:rPr>
        <w:t>La proposition est conforme aux politiques de l’Union menées dans les domaines de l’agriculture, du commerce, des entreprises, du développement, de l’environnement et des relations extérieures.</w:t>
      </w:r>
    </w:p>
    <w:p w:rsidR="002A3D8D" w:rsidRPr="005741B9" w:rsidRDefault="002A3D8D" w:rsidP="002A3D8D">
      <w:pPr>
        <w:pStyle w:val="ManualHeading1"/>
        <w:rPr>
          <w:noProof/>
        </w:rPr>
      </w:pPr>
      <w:r w:rsidRPr="005741B9">
        <w:rPr>
          <w:noProof/>
        </w:rPr>
        <w:t>2.</w:t>
      </w:r>
      <w:r w:rsidRPr="005741B9">
        <w:rPr>
          <w:noProof/>
        </w:rPr>
        <w:tab/>
        <w:t>BASE JURIDIQUE, SUBSIDIARITÉ ET PROPORTIONNALITÉ</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Base juridique</w:t>
      </w:r>
    </w:p>
    <w:p w:rsidR="002A3D8D" w:rsidRPr="005741B9" w:rsidRDefault="002A3D8D" w:rsidP="002A3D8D">
      <w:pPr>
        <w:pBdr>
          <w:top w:val="nil"/>
          <w:left w:val="nil"/>
          <w:bottom w:val="nil"/>
          <w:right w:val="nil"/>
          <w:between w:val="nil"/>
          <w:bar w:val="nil"/>
        </w:pBdr>
        <w:spacing w:before="0" w:after="240"/>
        <w:rPr>
          <w:rFonts w:eastAsia="Arial Unicode MS"/>
          <w:noProof/>
        </w:rPr>
      </w:pPr>
      <w:r w:rsidRPr="005741B9">
        <w:rPr>
          <w:noProof/>
        </w:rPr>
        <w:t>La base juridique de la présente proposition est l’article 31 du traité sur le fonctionnement de l’Union européenne (TFUE).</w:t>
      </w:r>
    </w:p>
    <w:p w:rsidR="002A3D8D" w:rsidRPr="005741B9" w:rsidRDefault="002A3D8D" w:rsidP="002A3D8D">
      <w:pPr>
        <w:pStyle w:val="ManualHeading2"/>
        <w:rPr>
          <w:rFonts w:eastAsia="Arial Unicode MS"/>
          <w:noProof/>
          <w:u w:color="000000"/>
          <w:bdr w:val="nil"/>
        </w:rPr>
      </w:pPr>
      <w:r w:rsidRPr="005741B9">
        <w:rPr>
          <w:noProof/>
          <w:u w:color="000000"/>
          <w:bdr w:val="nil"/>
        </w:rPr>
        <w:lastRenderedPageBreak/>
        <w:t>•</w:t>
      </w:r>
      <w:r w:rsidRPr="005741B9">
        <w:rPr>
          <w:noProof/>
        </w:rPr>
        <w:tab/>
      </w:r>
      <w:r w:rsidRPr="005741B9">
        <w:rPr>
          <w:noProof/>
          <w:u w:color="000000"/>
          <w:bdr w:val="nil"/>
        </w:rPr>
        <w:t xml:space="preserve">Subsidiarité (en cas de compétence non exclusive) </w:t>
      </w:r>
    </w:p>
    <w:p w:rsidR="002A3D8D" w:rsidRPr="005741B9" w:rsidRDefault="002A3D8D" w:rsidP="002A3D8D">
      <w:pPr>
        <w:rPr>
          <w:noProof/>
        </w:rPr>
      </w:pPr>
      <w:r w:rsidRPr="005741B9">
        <w:rPr>
          <w:noProof/>
        </w:rPr>
        <w:t>La proposition relève de la compétence exclusive de l’Union. Le principe de subsidiarité ne s’applique donc pas.</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Proportionnalité</w:t>
      </w:r>
    </w:p>
    <w:p w:rsidR="002A3D8D" w:rsidRPr="005741B9" w:rsidRDefault="002A3D8D" w:rsidP="002A3D8D">
      <w:pPr>
        <w:pBdr>
          <w:top w:val="nil"/>
          <w:left w:val="nil"/>
          <w:bottom w:val="nil"/>
          <w:right w:val="nil"/>
          <w:between w:val="nil"/>
          <w:bar w:val="nil"/>
        </w:pBdr>
        <w:spacing w:before="0" w:after="240"/>
        <w:rPr>
          <w:rFonts w:eastAsia="Arial Unicode MS"/>
          <w:noProof/>
        </w:rPr>
      </w:pPr>
      <w:r w:rsidRPr="005741B9">
        <w:rPr>
          <w:noProof/>
        </w:rPr>
        <w:t>La proposition respecte le principe de proportionnalité. Les mesures envisagées sont conformes aux principes visant à simplifier les procédures pour les opérateurs du commerce extérieur et à la communication de la Commission concernant les suspensions et contingents tarifaires autonomes</w:t>
      </w:r>
      <w:r w:rsidRPr="005741B9">
        <w:rPr>
          <w:rStyle w:val="FootnoteReference"/>
          <w:noProof/>
        </w:rPr>
        <w:footnoteReference w:id="2"/>
      </w:r>
      <w:r w:rsidRPr="005741B9">
        <w:rPr>
          <w:noProof/>
        </w:rPr>
        <w:t>. Le présent règlement n’excède pas ce qui est nécessaire pour atteindre les objectifs poursuivis, conformément à l’article 5, paragraphe 4, du traité sur l’Union européenne (TUE).</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Choix de l’instrument</w:t>
      </w:r>
    </w:p>
    <w:p w:rsidR="002A3D8D" w:rsidRPr="005741B9" w:rsidRDefault="002A3D8D" w:rsidP="002A3D8D">
      <w:pPr>
        <w:rPr>
          <w:noProof/>
        </w:rPr>
      </w:pPr>
      <w:r w:rsidRPr="005741B9">
        <w:rPr>
          <w:noProof/>
        </w:rPr>
        <w:t xml:space="preserve">En vertu de l’article 31 du TFUE, «les droits du tarif douanier commun sont fixés par le Conseil, sur proposition de la Commission». Un règlement du Conseil est dès lors l’instrument approprié. </w:t>
      </w:r>
    </w:p>
    <w:p w:rsidR="002A3D8D" w:rsidRPr="005741B9" w:rsidRDefault="002A3D8D" w:rsidP="002A3D8D">
      <w:pPr>
        <w:pStyle w:val="ManualHeading1"/>
        <w:rPr>
          <w:noProof/>
        </w:rPr>
      </w:pPr>
      <w:r w:rsidRPr="005741B9">
        <w:rPr>
          <w:noProof/>
        </w:rPr>
        <w:t>3.</w:t>
      </w:r>
      <w:r w:rsidRPr="005741B9">
        <w:rPr>
          <w:noProof/>
        </w:rPr>
        <w:tab/>
        <w:t>RÉSULTATS DES ÉVALUATIONS EX POST, DES CONSULTATIONS DES PARTIES INTÉRESSÉES ET DES ANALYSES D'IMPACT</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Évaluations ex post/bilans de qualité de la législation existante</w:t>
      </w:r>
    </w:p>
    <w:p w:rsidR="002A3D8D" w:rsidRPr="005741B9" w:rsidRDefault="002A3D8D" w:rsidP="002A3D8D">
      <w:pPr>
        <w:pBdr>
          <w:top w:val="nil"/>
          <w:left w:val="nil"/>
          <w:bottom w:val="nil"/>
          <w:right w:val="nil"/>
          <w:between w:val="nil"/>
          <w:bar w:val="nil"/>
        </w:pBdr>
        <w:spacing w:before="0" w:after="240"/>
        <w:rPr>
          <w:noProof/>
        </w:rPr>
      </w:pPr>
      <w:r w:rsidRPr="005741B9">
        <w:rPr>
          <w:noProof/>
        </w:rPr>
        <w:t>Le régime des contingents tarifaires autonomes a été inclus dans une étude d’évaluation sur les suspensions tarifaires autonomes réalisée en 2013</w:t>
      </w:r>
      <w:r w:rsidRPr="005741B9">
        <w:rPr>
          <w:rStyle w:val="FootnoteReference"/>
          <w:noProof/>
        </w:rPr>
        <w:footnoteReference w:id="3"/>
      </w:r>
      <w:r w:rsidRPr="005741B9">
        <w:rPr>
          <w:noProof/>
        </w:rPr>
        <w:t>.</w:t>
      </w:r>
    </w:p>
    <w:p w:rsidR="002A3D8D" w:rsidRPr="005741B9" w:rsidRDefault="00EB147A" w:rsidP="002A3D8D">
      <w:pPr>
        <w:pBdr>
          <w:top w:val="nil"/>
          <w:left w:val="nil"/>
          <w:bottom w:val="nil"/>
          <w:right w:val="nil"/>
          <w:between w:val="nil"/>
          <w:bar w:val="nil"/>
        </w:pBdr>
        <w:spacing w:before="0" w:after="240"/>
        <w:rPr>
          <w:rFonts w:eastAsia="Arial Unicode MS"/>
          <w:noProof/>
        </w:rPr>
      </w:pPr>
      <w:r w:rsidRPr="005741B9">
        <w:rPr>
          <w:noProof/>
        </w:rPr>
        <w:t>Les contingents tarifaires autonomes et les suspensions tarifaires autonomes sont similaires, à ceci près que les contingents tarifaires autonomes limitent les volumes d’importation bénéficiant des taux de droits réduits, tandis que les suspensions tarifaires autonomes permettent de lever totalement ou partiellement les droits normaux applicables à certaines marchandises importées dans l’UE pour une quantité illimitée. L’évaluation a permis de conclure que la raison d’être principale de ce régime restait valable. Les économies de coûts pour les entreprises de l’Union qui importent les marchandises placées sous ce régime peuvent être considérables. À leur tour, en fonction du produit, de l’entreprise et du secteur, ces économies peuvent avoir des effets positifs plus vastes, comme une compétitivité stimulée, des méthodes de production plus efficientes ainsi que la création ou le maintien d’emplois au sein de l’Union. Les économies réalisables grâce au présent règlement sont exposées au point 4 et dans la fiche financière législative ci-jointe.</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Consultation des parties intéressées</w:t>
      </w:r>
    </w:p>
    <w:p w:rsidR="002A3D8D" w:rsidRPr="005741B9" w:rsidRDefault="002A3D8D" w:rsidP="002A3D8D">
      <w:pPr>
        <w:rPr>
          <w:noProof/>
        </w:rPr>
      </w:pPr>
      <w:r w:rsidRPr="005741B9">
        <w:rPr>
          <w:noProof/>
        </w:rPr>
        <w:t>Le groupe «Économie tarifaire», qui se compose de délégations de tous les États membres de l’UE et de la Turquie, a assisté la Commission lors de l’élaboration de la présente proposition.</w:t>
      </w:r>
    </w:p>
    <w:p w:rsidR="002A3D8D" w:rsidRPr="005741B9" w:rsidRDefault="002A3D8D" w:rsidP="002A3D8D">
      <w:pPr>
        <w:rPr>
          <w:noProof/>
        </w:rPr>
      </w:pPr>
      <w:r w:rsidRPr="005741B9">
        <w:rPr>
          <w:noProof/>
        </w:rPr>
        <w:t xml:space="preserve">Il a soigneusement examiné chaque demande (nouvelle ou en vue d’une modification). Lors de l’examen de chaque cas, une attention particulière a été accordée à la nécessité d’éviter tout préjudice pour les producteurs de l’Union ainsi que de renforcer la compétitivité de la </w:t>
      </w:r>
      <w:r w:rsidRPr="005741B9">
        <w:rPr>
          <w:noProof/>
        </w:rPr>
        <w:lastRenderedPageBreak/>
        <w:t>production de l’Union. Les membres du groupe «Économie tarifaire» ont eu des discussions qui leur ont permis de procéder à l’évaluation et les États membres ont consulté les industries, les associations, les chambres de commerce et les autres parties prenantes concernées.</w:t>
      </w:r>
    </w:p>
    <w:p w:rsidR="002A3D8D" w:rsidRPr="005741B9" w:rsidRDefault="002A3D8D" w:rsidP="002A3D8D">
      <w:pPr>
        <w:rPr>
          <w:noProof/>
        </w:rPr>
      </w:pPr>
      <w:r w:rsidRPr="005741B9">
        <w:rPr>
          <w:noProof/>
        </w:rPr>
        <w:t xml:space="preserve">Tous les contingents tarifaires figurant sur la liste ont fait l’objet d’accords ou de compromis au cours des discussions au sein du groupe «Économie tarifaire» et avec les autres services de la Commission. Aucun risque potentiel sérieux aux conséquences irréversibles n’a été signalé. </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Analyse d'impact</w:t>
      </w:r>
    </w:p>
    <w:p w:rsidR="002A3D8D" w:rsidRPr="005741B9" w:rsidRDefault="002A3D8D" w:rsidP="002A3D8D">
      <w:pPr>
        <w:rPr>
          <w:noProof/>
        </w:rPr>
      </w:pPr>
      <w:r w:rsidRPr="005741B9">
        <w:rPr>
          <w:noProof/>
        </w:rPr>
        <w:t>La modification proposée est de nature purement technique et ne concerne que le champ d’application des contingents tarifaires énumérés à l’annexe du règlement (UE) 2021/2283. Aucune analyse d’impact n’a été réalisée car les modifications proposées dans la liste des produits qui bénéficieraient des contingents autonomes du tarif douanier commun ne devraient pas avoir d’incidence notable.</w:t>
      </w:r>
    </w:p>
    <w:p w:rsidR="002A3D8D" w:rsidRPr="005741B9" w:rsidRDefault="002A3D8D" w:rsidP="002A3D8D">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Droits fondamentaux</w:t>
      </w:r>
    </w:p>
    <w:p w:rsidR="002A3D8D" w:rsidRPr="005741B9" w:rsidRDefault="002A3D8D" w:rsidP="002A3D8D">
      <w:pPr>
        <w:pBdr>
          <w:top w:val="nil"/>
          <w:left w:val="nil"/>
          <w:bottom w:val="nil"/>
          <w:right w:val="nil"/>
          <w:between w:val="nil"/>
          <w:bar w:val="nil"/>
        </w:pBdr>
        <w:spacing w:before="0" w:after="240"/>
        <w:rPr>
          <w:rFonts w:eastAsia="Arial Unicode MS"/>
          <w:noProof/>
        </w:rPr>
      </w:pPr>
      <w:r w:rsidRPr="005741B9">
        <w:rPr>
          <w:noProof/>
        </w:rPr>
        <w:t>La proposition n’a pas d’incidence sur les droits fondamentaux.</w:t>
      </w:r>
    </w:p>
    <w:p w:rsidR="00401466" w:rsidRPr="005741B9" w:rsidRDefault="00401466">
      <w:pPr>
        <w:pStyle w:val="ManualHeading1"/>
        <w:rPr>
          <w:noProof/>
        </w:rPr>
      </w:pPr>
      <w:r w:rsidRPr="005741B9">
        <w:rPr>
          <w:noProof/>
        </w:rPr>
        <w:t>4.</w:t>
      </w:r>
      <w:r w:rsidRPr="005741B9">
        <w:rPr>
          <w:noProof/>
        </w:rPr>
        <w:tab/>
        <w:t>INCIDENCE BUDGÉTAIRE</w:t>
      </w:r>
    </w:p>
    <w:p w:rsidR="00933E03" w:rsidRPr="005741B9" w:rsidRDefault="00CE10DB" w:rsidP="00933E03">
      <w:pPr>
        <w:pStyle w:val="ManualHeading1"/>
        <w:ind w:left="0" w:firstLine="0"/>
        <w:rPr>
          <w:rFonts w:eastAsia="Arial Unicode MS"/>
          <w:b w:val="0"/>
          <w:smallCaps w:val="0"/>
          <w:noProof/>
        </w:rPr>
      </w:pPr>
      <w:r w:rsidRPr="005741B9">
        <w:rPr>
          <w:b w:val="0"/>
          <w:smallCaps w:val="0"/>
          <w:noProof/>
        </w:rPr>
        <w:t>La présente proposition est sans incidence financière sur les dépenses, mais a une incidence financière sur les recettes. L’annexe comporte quatre nouveaux produits. Les droits non perçus correspondant aux contingents tarifaires concernés sont calculés sur la base des projections de l’État membre demandeur pour 2026. L’incidence sur la perception des droits de douane est estimée à 7,1 millions d’EUR par an. L’incidence négative globale sur les ressources propres traditionnelles du budget s’établit à 5,4 millions d’EUR par an (soit 75 % du total). La fiche financière législative contient de plus amples informations sur les incidences budgétaires de la proposition.</w:t>
      </w:r>
    </w:p>
    <w:p w:rsidR="00401466" w:rsidRPr="005741B9" w:rsidRDefault="00401466">
      <w:pPr>
        <w:pStyle w:val="ManualHeading1"/>
        <w:rPr>
          <w:noProof/>
        </w:rPr>
      </w:pPr>
      <w:r w:rsidRPr="005741B9">
        <w:rPr>
          <w:noProof/>
        </w:rPr>
        <w:t>5.</w:t>
      </w:r>
      <w:r w:rsidRPr="005741B9">
        <w:rPr>
          <w:noProof/>
        </w:rPr>
        <w:tab/>
        <w:t>AUTRES ÉLÉMENTS</w:t>
      </w:r>
    </w:p>
    <w:p w:rsidR="00401466" w:rsidRPr="005741B9" w:rsidRDefault="00401466">
      <w:pPr>
        <w:pStyle w:val="ManualHeading2"/>
        <w:rPr>
          <w:rFonts w:eastAsia="Arial Unicode MS"/>
          <w:noProof/>
          <w:u w:color="000000"/>
          <w:bdr w:val="nil"/>
        </w:rPr>
      </w:pPr>
      <w:r w:rsidRPr="005741B9">
        <w:rPr>
          <w:noProof/>
          <w:u w:color="000000"/>
          <w:bdr w:val="nil"/>
        </w:rPr>
        <w:t>•</w:t>
      </w:r>
      <w:r w:rsidRPr="005741B9">
        <w:rPr>
          <w:noProof/>
        </w:rPr>
        <w:tab/>
      </w:r>
      <w:r w:rsidRPr="005741B9">
        <w:rPr>
          <w:noProof/>
          <w:u w:color="000000"/>
          <w:bdr w:val="nil"/>
        </w:rPr>
        <w:t>Plans de mise en œuvre et modalités de suivi, d'évaluation et d'information</w:t>
      </w:r>
    </w:p>
    <w:p w:rsidR="00401466" w:rsidRPr="005741B9" w:rsidRDefault="00401466" w:rsidP="00401466">
      <w:pPr>
        <w:pBdr>
          <w:top w:val="nil"/>
          <w:left w:val="nil"/>
          <w:bottom w:val="nil"/>
          <w:right w:val="nil"/>
          <w:between w:val="nil"/>
          <w:bar w:val="nil"/>
        </w:pBdr>
        <w:spacing w:before="0" w:after="240"/>
        <w:rPr>
          <w:rFonts w:eastAsia="Arial Unicode MS"/>
          <w:noProof/>
        </w:rPr>
      </w:pPr>
      <w:r w:rsidRPr="005741B9">
        <w:rPr>
          <w:noProof/>
        </w:rPr>
        <w:t>Les mesures proposées sont gérées dans le cadre du tarif intégré de l’Union européenne «TARIC» (elles sont intégrées dans le TARIC et gérées par la base de données QUOTA) et appliquées par les administrations douanières des États membres.</w:t>
      </w:r>
    </w:p>
    <w:p w:rsidR="00401466" w:rsidRPr="005741B9" w:rsidRDefault="00401466">
      <w:pPr>
        <w:rPr>
          <w:noProof/>
        </w:rPr>
        <w:sectPr w:rsidR="00401466" w:rsidRPr="005741B9" w:rsidSect="00D444D0">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A052C5" w:rsidRDefault="00BE1DEF">
      <w:pPr>
        <w:pStyle w:val="Rfrenceinterinstitutionnelle"/>
        <w:rPr>
          <w:noProof/>
        </w:rPr>
      </w:pPr>
      <w:r>
        <w:rPr>
          <w:noProof/>
        </w:rPr>
        <w:lastRenderedPageBreak/>
        <w:t>2026/0096 (NLE)</w:t>
      </w:r>
    </w:p>
    <w:p w:rsidR="00401466" w:rsidRPr="005741B9" w:rsidRDefault="005741B9" w:rsidP="005741B9">
      <w:pPr>
        <w:pStyle w:val="Statut"/>
        <w:rPr>
          <w:noProof/>
        </w:rPr>
      </w:pPr>
      <w:r w:rsidRPr="005741B9">
        <w:rPr>
          <w:noProof/>
        </w:rPr>
        <w:t>Proposition de</w:t>
      </w:r>
    </w:p>
    <w:p w:rsidR="00401466" w:rsidRPr="005741B9" w:rsidRDefault="005741B9" w:rsidP="005741B9">
      <w:pPr>
        <w:pStyle w:val="Typedudocument"/>
        <w:rPr>
          <w:noProof/>
        </w:rPr>
      </w:pPr>
      <w:r w:rsidRPr="005741B9">
        <w:rPr>
          <w:noProof/>
        </w:rPr>
        <w:t>RÈGLEMENT DU CONSEIL</w:t>
      </w:r>
    </w:p>
    <w:p w:rsidR="0005332B" w:rsidRPr="005741B9" w:rsidRDefault="005741B9" w:rsidP="005741B9">
      <w:pPr>
        <w:pStyle w:val="Titreobjet"/>
        <w:rPr>
          <w:noProof/>
        </w:rPr>
      </w:pPr>
      <w:r w:rsidRPr="005741B9">
        <w:rPr>
          <w:noProof/>
        </w:rPr>
        <w:t>modifiant le règlement (UE) 2021/2283 portant ouverture et mode de gestion de contingents tarifaires autonomes de l’Union pour certains produits agricoles et industriels</w:t>
      </w:r>
    </w:p>
    <w:p w:rsidR="00401466" w:rsidRPr="005741B9" w:rsidRDefault="00401466">
      <w:pPr>
        <w:pStyle w:val="Institutionquiagit"/>
        <w:rPr>
          <w:noProof/>
        </w:rPr>
      </w:pPr>
      <w:r w:rsidRPr="005741B9">
        <w:rPr>
          <w:noProof/>
        </w:rPr>
        <w:t>LE CONSEIL DE L’UNION EUROPÉENNE,</w:t>
      </w:r>
    </w:p>
    <w:p w:rsidR="00401466" w:rsidRPr="005741B9" w:rsidRDefault="00401466">
      <w:pPr>
        <w:rPr>
          <w:noProof/>
        </w:rPr>
      </w:pPr>
      <w:r w:rsidRPr="005741B9">
        <w:rPr>
          <w:noProof/>
        </w:rPr>
        <w:t>vu le traité sur le fonctionnement de l’Union européenne, et notamment son article 31,</w:t>
      </w:r>
    </w:p>
    <w:p w:rsidR="00401466" w:rsidRPr="005741B9" w:rsidRDefault="00401466">
      <w:pPr>
        <w:rPr>
          <w:noProof/>
        </w:rPr>
      </w:pPr>
      <w:r w:rsidRPr="005741B9">
        <w:rPr>
          <w:noProof/>
        </w:rPr>
        <w:t>vu la proposition de la Commission européenne,</w:t>
      </w:r>
    </w:p>
    <w:p w:rsidR="00401466" w:rsidRPr="005741B9" w:rsidRDefault="00401466">
      <w:pPr>
        <w:rPr>
          <w:noProof/>
        </w:rPr>
      </w:pPr>
      <w:r w:rsidRPr="005741B9">
        <w:rPr>
          <w:noProof/>
        </w:rPr>
        <w:t>considérant ce qui suit:</w:t>
      </w:r>
    </w:p>
    <w:p w:rsidR="008B3EEE" w:rsidRPr="005741B9" w:rsidRDefault="008B3EEE" w:rsidP="00597AE1">
      <w:pPr>
        <w:pStyle w:val="ManualConsidrant"/>
        <w:rPr>
          <w:noProof/>
        </w:rPr>
      </w:pPr>
      <w:r>
        <w:rPr>
          <w:noProof/>
        </w:rPr>
        <w:t>(1)</w:t>
      </w:r>
      <w:r>
        <w:rPr>
          <w:noProof/>
        </w:rPr>
        <w:tab/>
      </w:r>
      <w:r w:rsidRPr="005741B9">
        <w:rPr>
          <w:noProof/>
        </w:rPr>
        <w:t>Pour assurer un approvisionnement suffisant de certains produits agricoles et industriels dont la production est insuffisante dans l’Union et pour éviter ainsi des perturbations sur le marché de ces produits, des contingents tarifaires autonomes de l’Union (ci-après dénommés «contingents») ont été ouverts par le règlement (UE) 2021/2283 du Conseil</w:t>
      </w:r>
      <w:r w:rsidRPr="005741B9">
        <w:rPr>
          <w:rStyle w:val="FootnoteReference"/>
          <w:noProof/>
        </w:rPr>
        <w:footnoteReference w:id="4"/>
      </w:r>
      <w:r w:rsidRPr="005741B9">
        <w:rPr>
          <w:noProof/>
        </w:rPr>
        <w:t>. Dans les limites de ces contingents, les produits peuvent être importés dans l’Union à des taux de droit réduits ou nuls.</w:t>
      </w:r>
    </w:p>
    <w:p w:rsidR="008B3EEE" w:rsidRPr="005741B9" w:rsidRDefault="008B3EEE" w:rsidP="008B3EEE">
      <w:pPr>
        <w:pStyle w:val="ManualConsidrant"/>
        <w:rPr>
          <w:noProof/>
        </w:rPr>
      </w:pPr>
      <w:r>
        <w:rPr>
          <w:noProof/>
        </w:rPr>
        <w:t>(2)</w:t>
      </w:r>
      <w:r>
        <w:rPr>
          <w:noProof/>
        </w:rPr>
        <w:tab/>
      </w:r>
      <w:r w:rsidRPr="005741B9">
        <w:rPr>
          <w:noProof/>
        </w:rPr>
        <w:t>Étant dans l’intérêt de l’Union d’assurer un approvisionnement adéquat de certains produits industriels et compte tenu du fait que des produits identiques, équivalents ou de substitution ne sont pas fabriqués en quantité suffisante dans l’Union, il est nécessaire d’ouvrir de nouveaux contingents portant les numéros d’ordre 09.2517, 09.2516, 09.2518 et 09.2519 à des taux de droits nuls pour des quantités appropriées de ces produits.</w:t>
      </w:r>
    </w:p>
    <w:p w:rsidR="00E62170" w:rsidRPr="005741B9" w:rsidRDefault="00E80CEB" w:rsidP="00E62170">
      <w:pPr>
        <w:pStyle w:val="ManualConsidrant"/>
        <w:rPr>
          <w:noProof/>
        </w:rPr>
      </w:pPr>
      <w:r>
        <w:rPr>
          <w:noProof/>
        </w:rPr>
        <w:t>(3)</w:t>
      </w:r>
      <w:r>
        <w:rPr>
          <w:noProof/>
        </w:rPr>
        <w:tab/>
      </w:r>
      <w:bookmarkStart w:id="3" w:name="_Hlk208432715"/>
      <w:r w:rsidRPr="005741B9">
        <w:rPr>
          <w:noProof/>
        </w:rPr>
        <w:t>La portée des contingents portant les numéros d'ordre 09.2769 et 09.2029 étant devenue inadéquate pour satisfaire les besoins des opérateurs économiques dans l'Union, il y a lieu de modifier la désignation des produits couverts par ces contingents. En outre, il convient de modifier les codes TARIC applicables aux produits portant ces numéros d’ordre.</w:t>
      </w:r>
      <w:bookmarkEnd w:id="3"/>
    </w:p>
    <w:p w:rsidR="008B3EEE" w:rsidRPr="005741B9" w:rsidRDefault="00E80CEB" w:rsidP="00936E88">
      <w:pPr>
        <w:pStyle w:val="ManualConsidrant"/>
        <w:rPr>
          <w:noProof/>
        </w:rPr>
      </w:pPr>
      <w:r>
        <w:rPr>
          <w:noProof/>
        </w:rPr>
        <w:t>(4)</w:t>
      </w:r>
      <w:r>
        <w:rPr>
          <w:noProof/>
        </w:rPr>
        <w:tab/>
      </w:r>
      <w:bookmarkStart w:id="4" w:name="_Hlk208432959"/>
      <w:r w:rsidRPr="005741B9">
        <w:rPr>
          <w:noProof/>
        </w:rPr>
        <w:t>Étant dans l’intérêt de l’Union d’assurer un approvisionnement adéquat d’un produit industriel donné, il y a lieu d’augmenter les volumes du contingent portant le numéro d’ordre 09.2922.</w:t>
      </w:r>
    </w:p>
    <w:p w:rsidR="008B3EEE" w:rsidRPr="005741B9" w:rsidRDefault="008B3EEE" w:rsidP="007E55B7">
      <w:pPr>
        <w:pStyle w:val="ManualConsidrant"/>
        <w:rPr>
          <w:noProof/>
        </w:rPr>
      </w:pPr>
      <w:r>
        <w:rPr>
          <w:noProof/>
        </w:rPr>
        <w:t>(5)</w:t>
      </w:r>
      <w:r>
        <w:rPr>
          <w:noProof/>
        </w:rPr>
        <w:tab/>
      </w:r>
      <w:bookmarkStart w:id="5" w:name="_Hlk208493397"/>
      <w:bookmarkEnd w:id="4"/>
      <w:r w:rsidRPr="005741B9">
        <w:rPr>
          <w:noProof/>
        </w:rPr>
        <w:t>Puisqu’il n’est plus dans l’intérêt de l’Union de maintenir les contingents portant les numéros d’ordre 09.2928 et 09.2551, il convient de fermer ces contingents.</w:t>
      </w:r>
    </w:p>
    <w:bookmarkEnd w:id="5"/>
    <w:p w:rsidR="008B3EEE" w:rsidRPr="005741B9" w:rsidRDefault="008B3EEE" w:rsidP="008B3EEE">
      <w:pPr>
        <w:pStyle w:val="ManualConsidrant"/>
        <w:rPr>
          <w:noProof/>
        </w:rPr>
      </w:pPr>
      <w:r>
        <w:rPr>
          <w:noProof/>
        </w:rPr>
        <w:t>(6)</w:t>
      </w:r>
      <w:r>
        <w:rPr>
          <w:noProof/>
        </w:rPr>
        <w:tab/>
      </w:r>
      <w:r w:rsidRPr="005741B9">
        <w:rPr>
          <w:noProof/>
        </w:rPr>
        <w:t>Il convient, dès lors, de modifier le règlement (UE) 2021/2283 en conséquence.</w:t>
      </w:r>
    </w:p>
    <w:p w:rsidR="008B3EEE" w:rsidRPr="005741B9" w:rsidRDefault="008B3EEE" w:rsidP="008B3EEE">
      <w:pPr>
        <w:pStyle w:val="ManualConsidrant"/>
        <w:rPr>
          <w:noProof/>
        </w:rPr>
      </w:pPr>
      <w:r>
        <w:rPr>
          <w:noProof/>
        </w:rPr>
        <w:lastRenderedPageBreak/>
        <w:t>(7)</w:t>
      </w:r>
      <w:r>
        <w:rPr>
          <w:noProof/>
        </w:rPr>
        <w:tab/>
      </w:r>
      <w:r w:rsidRPr="005741B9">
        <w:rPr>
          <w:noProof/>
        </w:rPr>
        <w:t>Afin d’éviter toute interruption de l’application du régime des contingents et de se conformer aux lignes directrices énoncées dans la communication de la Commission</w:t>
      </w:r>
      <w:r w:rsidRPr="005741B9">
        <w:rPr>
          <w:rStyle w:val="FootnoteReference"/>
          <w:noProof/>
        </w:rPr>
        <w:footnoteReference w:id="5"/>
      </w:r>
      <w:r w:rsidRPr="005741B9">
        <w:rPr>
          <w:noProof/>
        </w:rPr>
        <w:t xml:space="preserve"> du 13 décembre 2011 concernant les suspensions et contingents tarifaires autonomes, il convient que les modifications relatives aux contingents pour les produits concernés prévues dans le présent règlement s’appliquent à partir du 1</w:t>
      </w:r>
      <w:r w:rsidRPr="005741B9">
        <w:rPr>
          <w:noProof/>
          <w:vertAlign w:val="superscript"/>
        </w:rPr>
        <w:t>er</w:t>
      </w:r>
      <w:r w:rsidRPr="005741B9">
        <w:rPr>
          <w:noProof/>
        </w:rPr>
        <w:t> juillet 2026. L’entrée en vigueur du présent règlement devrait dès lors revêtir un caractère d’urgence,</w:t>
      </w:r>
    </w:p>
    <w:p w:rsidR="00401466" w:rsidRPr="005741B9" w:rsidRDefault="00401466">
      <w:pPr>
        <w:pStyle w:val="Formuledadoption"/>
        <w:rPr>
          <w:noProof/>
        </w:rPr>
      </w:pPr>
      <w:r w:rsidRPr="005741B9">
        <w:rPr>
          <w:noProof/>
        </w:rPr>
        <w:t>A ADOPTÉ LE PRÉSENT RÈGLEMENT:</w:t>
      </w:r>
    </w:p>
    <w:p w:rsidR="00401466" w:rsidRPr="005741B9" w:rsidRDefault="00401466">
      <w:pPr>
        <w:pStyle w:val="Titrearticle"/>
        <w:rPr>
          <w:noProof/>
        </w:rPr>
      </w:pPr>
      <w:r w:rsidRPr="005741B9">
        <w:rPr>
          <w:noProof/>
        </w:rPr>
        <w:t>Article premier</w:t>
      </w:r>
    </w:p>
    <w:p w:rsidR="007C265A" w:rsidRPr="005741B9" w:rsidRDefault="007C265A" w:rsidP="007C265A">
      <w:pPr>
        <w:rPr>
          <w:noProof/>
          <w:sz w:val="22"/>
        </w:rPr>
      </w:pPr>
      <w:r w:rsidRPr="005741B9">
        <w:rPr>
          <w:noProof/>
        </w:rPr>
        <w:t>L’annexe du règlement (UE) 2021/2283 est remplacée par le texte figurant à l’annexe du présent règlement.</w:t>
      </w:r>
    </w:p>
    <w:p w:rsidR="00401466" w:rsidRPr="005741B9" w:rsidRDefault="00401466">
      <w:pPr>
        <w:pStyle w:val="Titrearticle"/>
        <w:rPr>
          <w:noProof/>
        </w:rPr>
      </w:pPr>
      <w:r w:rsidRPr="005741B9">
        <w:rPr>
          <w:noProof/>
        </w:rPr>
        <w:t>Article 2</w:t>
      </w:r>
    </w:p>
    <w:p w:rsidR="00401466" w:rsidRPr="005741B9" w:rsidRDefault="00401466">
      <w:pPr>
        <w:rPr>
          <w:noProof/>
        </w:rPr>
      </w:pPr>
      <w:r w:rsidRPr="005741B9">
        <w:rPr>
          <w:noProof/>
        </w:rPr>
        <w:t xml:space="preserve">Le présent règlement entre en vigueur le jour suivant celui de sa publication au </w:t>
      </w:r>
      <w:r w:rsidRPr="005741B9">
        <w:rPr>
          <w:i/>
          <w:noProof/>
        </w:rPr>
        <w:t>Journal officiel de l’Union européenne</w:t>
      </w:r>
      <w:r w:rsidRPr="005741B9">
        <w:rPr>
          <w:noProof/>
        </w:rPr>
        <w:t>.</w:t>
      </w:r>
    </w:p>
    <w:p w:rsidR="007C265A" w:rsidRPr="005741B9" w:rsidRDefault="007C265A">
      <w:pPr>
        <w:rPr>
          <w:noProof/>
        </w:rPr>
      </w:pPr>
      <w:r w:rsidRPr="005741B9">
        <w:rPr>
          <w:noProof/>
        </w:rPr>
        <w:t>Il est applicable à partir du 1</w:t>
      </w:r>
      <w:r w:rsidRPr="005741B9">
        <w:rPr>
          <w:noProof/>
          <w:vertAlign w:val="superscript"/>
        </w:rPr>
        <w:t>er</w:t>
      </w:r>
      <w:r w:rsidRPr="005741B9">
        <w:rPr>
          <w:noProof/>
        </w:rPr>
        <w:t xml:space="preserve"> juillet 2026. </w:t>
      </w:r>
    </w:p>
    <w:p w:rsidR="00401466" w:rsidRPr="005741B9" w:rsidRDefault="00401466">
      <w:pPr>
        <w:pStyle w:val="Applicationdirecte"/>
        <w:rPr>
          <w:noProof/>
        </w:rPr>
      </w:pPr>
      <w:r w:rsidRPr="005741B9">
        <w:rPr>
          <w:noProof/>
        </w:rPr>
        <w:t>Le présent règlement est obligatoire dans tous ses éléments et directement applicable dans tout État membre.</w:t>
      </w:r>
    </w:p>
    <w:p w:rsidR="00401466" w:rsidRPr="005741B9" w:rsidRDefault="005741B9" w:rsidP="006760D6">
      <w:pPr>
        <w:pStyle w:val="Fait"/>
        <w:rPr>
          <w:noProof/>
        </w:rPr>
      </w:pPr>
      <w:r>
        <w:rPr>
          <w:noProof/>
        </w:rPr>
        <w:t>Fait à Bruxelles, le</w:t>
      </w:r>
    </w:p>
    <w:p w:rsidR="00401466" w:rsidRPr="005741B9" w:rsidRDefault="00401466" w:rsidP="006760D6">
      <w:pPr>
        <w:pStyle w:val="Institutionquisigne"/>
        <w:rPr>
          <w:noProof/>
        </w:rPr>
      </w:pPr>
      <w:r w:rsidRPr="005741B9">
        <w:rPr>
          <w:noProof/>
        </w:rPr>
        <w:tab/>
        <w:t>Par le Conseil</w:t>
      </w:r>
    </w:p>
    <w:p w:rsidR="00401466" w:rsidRPr="005741B9" w:rsidRDefault="00401466" w:rsidP="00401466">
      <w:pPr>
        <w:pStyle w:val="Personnequisigne"/>
        <w:rPr>
          <w:noProof/>
        </w:rPr>
      </w:pPr>
      <w:r w:rsidRPr="005741B9">
        <w:rPr>
          <w:noProof/>
        </w:rPr>
        <w:tab/>
        <w:t>La présidente</w:t>
      </w:r>
    </w:p>
    <w:p w:rsidR="00401466" w:rsidRPr="005741B9" w:rsidRDefault="00401466" w:rsidP="00401466">
      <w:pPr>
        <w:rPr>
          <w:noProof/>
        </w:rPr>
        <w:sectPr w:rsidR="00401466" w:rsidRPr="005741B9" w:rsidSect="00D444D0">
          <w:footnotePr>
            <w:numRestart w:val="eachSect"/>
          </w:footnotePr>
          <w:pgSz w:w="11907" w:h="16839"/>
          <w:pgMar w:top="1134" w:right="1417" w:bottom="1134" w:left="1417" w:header="709" w:footer="709" w:gutter="0"/>
          <w:cols w:space="708"/>
          <w:docGrid w:linePitch="360"/>
        </w:sectPr>
      </w:pPr>
    </w:p>
    <w:p w:rsidR="00401466" w:rsidRPr="005741B9" w:rsidRDefault="00401466">
      <w:pPr>
        <w:pStyle w:val="Fichefinanciretitre"/>
        <w:keepNext/>
        <w:rPr>
          <w:noProof/>
        </w:rPr>
      </w:pPr>
      <w:r w:rsidRPr="005741B9">
        <w:rPr>
          <w:noProof/>
        </w:rPr>
        <w:lastRenderedPageBreak/>
        <w:t>FICHE FINANCIÈRE LÉGISLATIVE</w:t>
      </w:r>
    </w:p>
    <w:p w:rsidR="007C265A" w:rsidRPr="005741B9" w:rsidRDefault="007C265A" w:rsidP="00464ED7">
      <w:pPr>
        <w:pStyle w:val="ManualHeading1"/>
        <w:rPr>
          <w:noProof/>
          <w:szCs w:val="24"/>
        </w:rPr>
      </w:pPr>
      <w:r>
        <w:rPr>
          <w:noProof/>
        </w:rPr>
        <w:t>1.</w:t>
      </w:r>
      <w:r>
        <w:rPr>
          <w:noProof/>
        </w:rPr>
        <w:tab/>
      </w:r>
      <w:r w:rsidRPr="005741B9">
        <w:rPr>
          <w:noProof/>
        </w:rPr>
        <w:t>DÉNOMINATION DE LA PROPOSITION:</w:t>
      </w:r>
    </w:p>
    <w:p w:rsidR="007C265A" w:rsidRPr="005741B9" w:rsidRDefault="007C265A" w:rsidP="007C265A">
      <w:pPr>
        <w:pStyle w:val="Text1"/>
        <w:rPr>
          <w:noProof/>
        </w:rPr>
      </w:pPr>
      <w:r w:rsidRPr="005741B9">
        <w:rPr>
          <w:noProof/>
        </w:rPr>
        <w:t>Règlement du Conseil modifiant le règlement (UE) 2021/2283 portant ouverture et mode de gestion de contingents tarifaires autonomes de l’Union pour certains produits agricoles et industriels</w:t>
      </w:r>
    </w:p>
    <w:p w:rsidR="007C265A" w:rsidRPr="005741B9" w:rsidRDefault="007C265A" w:rsidP="00864B01">
      <w:pPr>
        <w:pStyle w:val="ManualHeading1"/>
        <w:rPr>
          <w:noProof/>
          <w:szCs w:val="24"/>
        </w:rPr>
      </w:pPr>
      <w:r>
        <w:rPr>
          <w:noProof/>
        </w:rPr>
        <w:t>2.</w:t>
      </w:r>
      <w:r>
        <w:rPr>
          <w:noProof/>
        </w:rPr>
        <w:tab/>
      </w:r>
      <w:r w:rsidRPr="005741B9">
        <w:rPr>
          <w:noProof/>
        </w:rPr>
        <w:t>LIGNES BUDGÉTAIRES:</w:t>
      </w:r>
    </w:p>
    <w:p w:rsidR="007C265A" w:rsidRPr="005741B9" w:rsidRDefault="007C265A" w:rsidP="007C265A">
      <w:pPr>
        <w:pStyle w:val="Text1"/>
        <w:rPr>
          <w:noProof/>
        </w:rPr>
      </w:pPr>
      <w:r w:rsidRPr="005741B9">
        <w:rPr>
          <w:noProof/>
        </w:rPr>
        <w:t>Chapitre et article: chapitre 12, article 120</w:t>
      </w:r>
    </w:p>
    <w:p w:rsidR="007C265A" w:rsidRPr="005741B9" w:rsidRDefault="007C265A" w:rsidP="007C265A">
      <w:pPr>
        <w:pStyle w:val="Text1"/>
        <w:rPr>
          <w:noProof/>
        </w:rPr>
      </w:pPr>
      <w:r w:rsidRPr="005741B9">
        <w:rPr>
          <w:noProof/>
        </w:rPr>
        <w:t>Montant inscrit au budget pour l’exercice 2026: 21 368 300 000 EUR.</w:t>
      </w:r>
    </w:p>
    <w:p w:rsidR="007C265A" w:rsidRPr="005741B9" w:rsidRDefault="007C265A" w:rsidP="00864B01">
      <w:pPr>
        <w:pStyle w:val="ManualHeading1"/>
        <w:rPr>
          <w:noProof/>
          <w:szCs w:val="24"/>
        </w:rPr>
      </w:pPr>
      <w:r>
        <w:rPr>
          <w:noProof/>
        </w:rPr>
        <w:t>3.</w:t>
      </w:r>
      <w:r>
        <w:rPr>
          <w:noProof/>
        </w:rPr>
        <w:tab/>
      </w:r>
      <w:r w:rsidRPr="005741B9">
        <w:rPr>
          <w:noProof/>
        </w:rPr>
        <w:t>INCIDENCE FINANCIÈRE</w:t>
      </w:r>
    </w:p>
    <w:p w:rsidR="007C265A" w:rsidRPr="005741B9" w:rsidRDefault="007C265A" w:rsidP="007C265A">
      <w:pPr>
        <w:pStyle w:val="Text1"/>
        <w:rPr>
          <w:noProof/>
        </w:rPr>
      </w:pPr>
      <w:r w:rsidRPr="005741B9">
        <w:rPr>
          <w:noProof/>
        </w:rPr>
        <w:sym w:font="Wingdings" w:char="F0A8"/>
      </w:r>
      <w:r w:rsidRPr="005741B9">
        <w:rPr>
          <w:noProof/>
        </w:rPr>
        <w:tab/>
        <w:t>Proposition sans incidence financière</w:t>
      </w:r>
    </w:p>
    <w:p w:rsidR="007C265A" w:rsidRPr="005741B9" w:rsidRDefault="007C265A" w:rsidP="007C265A">
      <w:pPr>
        <w:pStyle w:val="Text1"/>
        <w:rPr>
          <w:noProof/>
        </w:rPr>
      </w:pPr>
      <w:r w:rsidRPr="005741B9">
        <w:rPr>
          <w:noProof/>
        </w:rPr>
        <w:t>X La proposition est sans incidence financière sur les dépenses, mais a une incidence financière sur les recettes. L’effet est le suivant:</w:t>
      </w:r>
    </w:p>
    <w:p w:rsidR="007C265A" w:rsidRPr="005741B9" w:rsidRDefault="007C265A" w:rsidP="007C265A">
      <w:pPr>
        <w:jc w:val="right"/>
        <w:rPr>
          <w:noProof/>
        </w:rPr>
      </w:pPr>
      <w:r w:rsidRPr="005741B9">
        <w:rPr>
          <w:noProof/>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7C265A" w:rsidRPr="005741B9">
        <w:trPr>
          <w:gridAfter w:val="2"/>
          <w:wAfter w:w="4140" w:type="dxa"/>
          <w:cantSplit/>
        </w:trPr>
        <w:tc>
          <w:tcPr>
            <w:tcW w:w="1322" w:type="dxa"/>
          </w:tcPr>
          <w:p w:rsidR="007C265A" w:rsidRPr="005741B9" w:rsidRDefault="007C265A">
            <w:pPr>
              <w:spacing w:before="0" w:after="0"/>
              <w:jc w:val="left"/>
              <w:rPr>
                <w:noProof/>
                <w:snapToGrid w:val="0"/>
                <w:sz w:val="18"/>
              </w:rPr>
            </w:pPr>
          </w:p>
        </w:tc>
        <w:tc>
          <w:tcPr>
            <w:tcW w:w="2880" w:type="dxa"/>
          </w:tcPr>
          <w:p w:rsidR="007C265A" w:rsidRPr="005741B9" w:rsidRDefault="007C265A">
            <w:pPr>
              <w:spacing w:before="0" w:after="0"/>
              <w:jc w:val="left"/>
              <w:rPr>
                <w:noProof/>
                <w:snapToGrid w:val="0"/>
                <w:sz w:val="18"/>
              </w:rPr>
            </w:pPr>
          </w:p>
        </w:tc>
      </w:tr>
      <w:tr w:rsidR="00DE1F22" w:rsidRPr="005741B9">
        <w:trPr>
          <w:cantSplit/>
        </w:trPr>
        <w:tc>
          <w:tcPr>
            <w:tcW w:w="1322" w:type="dxa"/>
          </w:tcPr>
          <w:p w:rsidR="00DE1F22" w:rsidRPr="005741B9" w:rsidRDefault="00DE1F22" w:rsidP="00DE1F22">
            <w:pPr>
              <w:spacing w:before="0" w:after="0"/>
              <w:jc w:val="left"/>
              <w:rPr>
                <w:noProof/>
                <w:snapToGrid w:val="0"/>
              </w:rPr>
            </w:pPr>
            <w:r w:rsidRPr="005741B9">
              <w:rPr>
                <w:noProof/>
                <w:sz w:val="22"/>
              </w:rPr>
              <w:t>Ligne budgétaire</w:t>
            </w:r>
          </w:p>
        </w:tc>
        <w:tc>
          <w:tcPr>
            <w:tcW w:w="2880" w:type="dxa"/>
          </w:tcPr>
          <w:p w:rsidR="00DE1F22" w:rsidRPr="005741B9" w:rsidRDefault="00DE1F22" w:rsidP="00DE1F22">
            <w:pPr>
              <w:spacing w:before="0" w:after="0"/>
              <w:jc w:val="center"/>
              <w:rPr>
                <w:noProof/>
                <w:snapToGrid w:val="0"/>
              </w:rPr>
            </w:pPr>
            <w:r w:rsidRPr="005741B9">
              <w:rPr>
                <w:noProof/>
                <w:sz w:val="22"/>
              </w:rPr>
              <w:t>Recettes</w:t>
            </w:r>
          </w:p>
        </w:tc>
        <w:tc>
          <w:tcPr>
            <w:tcW w:w="2070" w:type="dxa"/>
          </w:tcPr>
          <w:p w:rsidR="00DE1F22" w:rsidRPr="005741B9" w:rsidRDefault="00EE6032" w:rsidP="00DE1F22">
            <w:pPr>
              <w:spacing w:before="0" w:after="0"/>
              <w:jc w:val="center"/>
              <w:rPr>
                <w:noProof/>
                <w:snapToGrid w:val="0"/>
              </w:rPr>
            </w:pPr>
            <w:r w:rsidRPr="005741B9">
              <w:rPr>
                <w:noProof/>
                <w:sz w:val="22"/>
              </w:rPr>
              <w:t>Période de 6 mois à partir du jj/mm/aaaa</w:t>
            </w:r>
          </w:p>
        </w:tc>
        <w:tc>
          <w:tcPr>
            <w:tcW w:w="2070" w:type="dxa"/>
          </w:tcPr>
          <w:p w:rsidR="00DE1F22" w:rsidRPr="005741B9" w:rsidRDefault="00DE1F22" w:rsidP="00DE1F22">
            <w:pPr>
              <w:spacing w:before="0" w:after="0"/>
              <w:jc w:val="center"/>
              <w:rPr>
                <w:noProof/>
                <w:snapToGrid w:val="0"/>
              </w:rPr>
            </w:pPr>
            <w:r w:rsidRPr="005741B9">
              <w:rPr>
                <w:noProof/>
                <w:sz w:val="22"/>
              </w:rPr>
              <w:t>[Année: second semestre de 2026]</w:t>
            </w:r>
          </w:p>
        </w:tc>
      </w:tr>
      <w:tr w:rsidR="00DE1F22" w:rsidRPr="005741B9">
        <w:trPr>
          <w:cantSplit/>
        </w:trPr>
        <w:tc>
          <w:tcPr>
            <w:tcW w:w="1322" w:type="dxa"/>
          </w:tcPr>
          <w:p w:rsidR="00DE1F22" w:rsidRPr="005741B9" w:rsidRDefault="00DE1F22" w:rsidP="00DE1F22">
            <w:pPr>
              <w:spacing w:before="0" w:after="0"/>
              <w:jc w:val="left"/>
              <w:rPr>
                <w:noProof/>
              </w:rPr>
            </w:pPr>
            <w:r w:rsidRPr="005741B9">
              <w:rPr>
                <w:noProof/>
                <w:sz w:val="22"/>
              </w:rPr>
              <w:t xml:space="preserve">Article 120 </w:t>
            </w:r>
          </w:p>
          <w:p w:rsidR="00DE1F22" w:rsidRPr="005741B9" w:rsidRDefault="00DE1F22" w:rsidP="00DE1F22">
            <w:pPr>
              <w:spacing w:before="0" w:after="0"/>
              <w:jc w:val="left"/>
              <w:rPr>
                <w:noProof/>
                <w:snapToGrid w:val="0"/>
              </w:rPr>
            </w:pPr>
          </w:p>
        </w:tc>
        <w:tc>
          <w:tcPr>
            <w:tcW w:w="2880" w:type="dxa"/>
          </w:tcPr>
          <w:p w:rsidR="00DE1F22" w:rsidRPr="005741B9" w:rsidRDefault="00DE1F22" w:rsidP="00DE1F22">
            <w:pPr>
              <w:spacing w:before="0" w:after="0"/>
              <w:jc w:val="left"/>
              <w:rPr>
                <w:i/>
                <w:noProof/>
                <w:snapToGrid w:val="0"/>
              </w:rPr>
            </w:pPr>
            <w:r w:rsidRPr="005741B9">
              <w:rPr>
                <w:i/>
                <w:noProof/>
                <w:sz w:val="22"/>
              </w:rPr>
              <w:t>Incidence sur les ressources propres</w:t>
            </w:r>
          </w:p>
        </w:tc>
        <w:tc>
          <w:tcPr>
            <w:tcW w:w="2070" w:type="dxa"/>
          </w:tcPr>
          <w:p w:rsidR="00DE1F22" w:rsidRPr="005741B9" w:rsidRDefault="00DE1F22" w:rsidP="00DE1F22">
            <w:pPr>
              <w:spacing w:before="0" w:after="0"/>
              <w:jc w:val="center"/>
              <w:rPr>
                <w:noProof/>
                <w:snapToGrid w:val="0"/>
              </w:rPr>
            </w:pPr>
            <w:r w:rsidRPr="005741B9">
              <w:rPr>
                <w:noProof/>
                <w:snapToGrid w:val="0"/>
                <w:sz w:val="22"/>
              </w:rPr>
              <w:t xml:space="preserve">      01/07/2026</w:t>
            </w:r>
          </w:p>
        </w:tc>
        <w:tc>
          <w:tcPr>
            <w:tcW w:w="2070" w:type="dxa"/>
          </w:tcPr>
          <w:p w:rsidR="00DE1F22" w:rsidRPr="005741B9" w:rsidRDefault="004116F1" w:rsidP="00DE1F22">
            <w:pPr>
              <w:spacing w:before="0" w:after="0"/>
              <w:jc w:val="center"/>
              <w:rPr>
                <w:noProof/>
                <w:snapToGrid w:val="0"/>
              </w:rPr>
            </w:pPr>
            <w:r w:rsidRPr="005741B9">
              <w:rPr>
                <w:noProof/>
                <w:snapToGrid w:val="0"/>
              </w:rPr>
              <w:t>–2,7</w:t>
            </w:r>
          </w:p>
        </w:tc>
      </w:tr>
    </w:tbl>
    <w:p w:rsidR="003B1FA7" w:rsidRPr="005741B9" w:rsidRDefault="00946FB9" w:rsidP="00F0228A">
      <w:pPr>
        <w:pStyle w:val="Text1"/>
        <w:rPr>
          <w:noProof/>
        </w:rPr>
      </w:pPr>
      <w:r w:rsidRPr="005741B9">
        <w:rPr>
          <w:noProof/>
        </w:rPr>
        <w:t>L’annexe comporte quatre nouveaux produits. Les droits non perçus correspondant à ces contingents tarifaires, calculés en fonction des projections de l’État membre demandeur pour 2026, s’élèvent à 7 147 503 EUR par an.</w:t>
      </w:r>
    </w:p>
    <w:p w:rsidR="009F725D" w:rsidRPr="005741B9" w:rsidRDefault="00D10C44" w:rsidP="00EC3EF1">
      <w:pPr>
        <w:pStyle w:val="Text1"/>
        <w:rPr>
          <w:noProof/>
          <w:color w:val="000000" w:themeColor="text1"/>
        </w:rPr>
      </w:pPr>
      <w:r w:rsidRPr="005741B9">
        <w:rPr>
          <w:noProof/>
        </w:rPr>
        <w:t>Deux produits ont été retirés de l’annexe du règlement (UE) 2021/2283, à la suite du rétablissement des droits de douane.</w:t>
      </w:r>
      <w:r w:rsidRPr="005741B9">
        <w:rPr>
          <w:noProof/>
          <w:color w:val="000000" w:themeColor="text1"/>
        </w:rPr>
        <w:t xml:space="preserve"> Étant donné qu’il n’y a pas eu d’échanges de ces produits en 2025, aucune incidence n’est attendue sur la perception des droits.</w:t>
      </w:r>
    </w:p>
    <w:p w:rsidR="00F252C5" w:rsidRPr="005741B9" w:rsidRDefault="006D29C6" w:rsidP="00F252C5">
      <w:pPr>
        <w:pStyle w:val="Text1"/>
        <w:rPr>
          <w:noProof/>
        </w:rPr>
      </w:pPr>
      <w:r w:rsidRPr="005741B9">
        <w:rPr>
          <w:noProof/>
        </w:rPr>
        <w:t xml:space="preserve">Sur la base de ce qui précède, l’effet négatif sur les recettes du budget de l’Union résultant de l’application du présent règlement est estimé à 7 147 503 EUR (montant brut, frais de perception inclus) x 0,75 = 5 360 627 EUR par an (montant net). </w:t>
      </w:r>
    </w:p>
    <w:p w:rsidR="007C265A" w:rsidRPr="005741B9" w:rsidRDefault="007C265A" w:rsidP="00864B01">
      <w:pPr>
        <w:pStyle w:val="ManualHeading1"/>
        <w:rPr>
          <w:noProof/>
          <w:szCs w:val="24"/>
        </w:rPr>
      </w:pPr>
      <w:r>
        <w:rPr>
          <w:noProof/>
        </w:rPr>
        <w:t>4.</w:t>
      </w:r>
      <w:r>
        <w:rPr>
          <w:noProof/>
        </w:rPr>
        <w:tab/>
      </w:r>
      <w:r w:rsidRPr="005741B9">
        <w:rPr>
          <w:noProof/>
        </w:rPr>
        <w:t>MESURES ANTIFRAUDE</w:t>
      </w:r>
    </w:p>
    <w:p w:rsidR="007C265A" w:rsidRPr="005741B9" w:rsidRDefault="003915CC" w:rsidP="003915CC">
      <w:pPr>
        <w:pStyle w:val="Text1"/>
        <w:rPr>
          <w:noProof/>
        </w:rPr>
      </w:pPr>
      <w:r w:rsidRPr="005741B9">
        <w:rPr>
          <w:noProof/>
        </w:rPr>
        <w:t>Le contrôle de la destination particulière de certains des produits visés par le présent règlement du Conseil s’effectuera conformément à l’article 254 du règlement (UE) nº 952/2013 du Parlement européen et du Conseil</w:t>
      </w:r>
      <w:r w:rsidRPr="005741B9">
        <w:rPr>
          <w:rStyle w:val="FootnoteReference"/>
          <w:noProof/>
        </w:rPr>
        <w:footnoteReference w:id="6"/>
      </w:r>
      <w:r w:rsidRPr="005741B9">
        <w:rPr>
          <w:noProof/>
        </w:rPr>
        <w:t>. En outre, les États membres peuvent effectuer tous les contrôles douaniers qu’ils jugent appropriés dans le cadre de la gestion des risques qu’ils effectuent, comme le prévoit l’article 46 du règlement (UE) nº 952/2013.</w:t>
      </w:r>
    </w:p>
    <w:sectPr w:rsidR="007C265A" w:rsidRPr="005741B9" w:rsidSect="00D444D0">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C51" w:rsidRDefault="00524C51" w:rsidP="00401466">
      <w:pPr>
        <w:spacing w:before="0" w:after="0"/>
      </w:pPr>
      <w:r>
        <w:separator/>
      </w:r>
    </w:p>
  </w:endnote>
  <w:endnote w:type="continuationSeparator" w:id="0">
    <w:p w:rsidR="00524C51" w:rsidRDefault="00524C51" w:rsidP="00401466">
      <w:pPr>
        <w:spacing w:before="0" w:after="0"/>
      </w:pPr>
      <w:r>
        <w:continuationSeparator/>
      </w:r>
    </w:p>
  </w:endnote>
  <w:endnote w:type="continuationNotice" w:id="1">
    <w:p w:rsidR="00524C51" w:rsidRDefault="00524C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Pr="00D444D0" w:rsidRDefault="00D444D0" w:rsidP="00D444D0">
    <w:pPr>
      <w:pStyle w:val="Footer"/>
      <w:rPr>
        <w:rFonts w:ascii="Arial" w:hAnsi="Arial" w:cs="Arial"/>
        <w:b/>
        <w:sz w:val="48"/>
      </w:rPr>
    </w:pPr>
    <w:r w:rsidRPr="00D444D0">
      <w:rPr>
        <w:rFonts w:ascii="Arial" w:hAnsi="Arial" w:cs="Arial"/>
        <w:b/>
        <w:sz w:val="48"/>
      </w:rPr>
      <w:t>FR</w:t>
    </w:r>
    <w:r w:rsidRPr="00D444D0">
      <w:rPr>
        <w:rFonts w:ascii="Arial" w:hAnsi="Arial" w:cs="Arial"/>
        <w:b/>
        <w:sz w:val="48"/>
      </w:rPr>
      <w:tab/>
    </w:r>
    <w:r w:rsidRPr="00D444D0">
      <w:rPr>
        <w:rFonts w:ascii="Arial" w:hAnsi="Arial" w:cs="Arial"/>
        <w:b/>
        <w:sz w:val="48"/>
      </w:rPr>
      <w:tab/>
    </w:r>
    <w:r w:rsidRPr="00D444D0">
      <w:tab/>
    </w:r>
    <w:r w:rsidRPr="00D444D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Pr="00D444D0" w:rsidRDefault="00D444D0" w:rsidP="00D444D0">
    <w:pPr>
      <w:pStyle w:val="Footer"/>
      <w:rPr>
        <w:rFonts w:ascii="Arial" w:hAnsi="Arial" w:cs="Arial"/>
        <w:b/>
        <w:sz w:val="48"/>
      </w:rPr>
    </w:pPr>
    <w:r w:rsidRPr="00D444D0">
      <w:rPr>
        <w:rFonts w:ascii="Arial" w:hAnsi="Arial" w:cs="Arial"/>
        <w:b/>
        <w:sz w:val="48"/>
      </w:rPr>
      <w:t>FR</w:t>
    </w:r>
    <w:r w:rsidRPr="00D444D0">
      <w:rPr>
        <w:rFonts w:ascii="Arial" w:hAnsi="Arial" w:cs="Arial"/>
        <w:b/>
        <w:sz w:val="48"/>
      </w:rPr>
      <w:tab/>
    </w:r>
    <w:r w:rsidRPr="00D444D0">
      <w:rPr>
        <w:rFonts w:ascii="Arial" w:hAnsi="Arial" w:cs="Arial"/>
        <w:b/>
        <w:sz w:val="48"/>
      </w:rPr>
      <w:tab/>
    </w:r>
    <w:r w:rsidRPr="00D444D0">
      <w:tab/>
    </w:r>
    <w:r w:rsidRPr="00D444D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Default="00D444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Pr="00D444D0" w:rsidRDefault="00D444D0" w:rsidP="00D444D0">
    <w:pPr>
      <w:pStyle w:val="Footer"/>
      <w:rPr>
        <w:rFonts w:ascii="Arial" w:hAnsi="Arial" w:cs="Arial"/>
        <w:b/>
        <w:sz w:val="48"/>
      </w:rPr>
    </w:pPr>
    <w:r w:rsidRPr="00D444D0">
      <w:rPr>
        <w:rFonts w:ascii="Arial" w:hAnsi="Arial" w:cs="Arial"/>
        <w:b/>
        <w:sz w:val="48"/>
      </w:rPr>
      <w:t>FR</w:t>
    </w:r>
    <w:r w:rsidRPr="00D444D0">
      <w:rPr>
        <w:rFonts w:ascii="Arial" w:hAnsi="Arial" w:cs="Arial"/>
        <w:b/>
        <w:sz w:val="48"/>
      </w:rPr>
      <w:tab/>
    </w:r>
    <w:r>
      <w:fldChar w:fldCharType="begin"/>
    </w:r>
    <w:r>
      <w:instrText xml:space="preserve"> PAGE  \* MERGEFORMAT </w:instrText>
    </w:r>
    <w:r>
      <w:fldChar w:fldCharType="separate"/>
    </w:r>
    <w:r w:rsidR="006760D6">
      <w:rPr>
        <w:noProof/>
      </w:rPr>
      <w:t>5</w:t>
    </w:r>
    <w:r>
      <w:fldChar w:fldCharType="end"/>
    </w:r>
    <w:r>
      <w:tab/>
    </w:r>
    <w:r w:rsidRPr="00D444D0">
      <w:tab/>
    </w:r>
    <w:r w:rsidRPr="00D444D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Default="00D444D0" w:rsidP="00D44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C51" w:rsidRDefault="00524C51" w:rsidP="00401466">
      <w:pPr>
        <w:spacing w:before="0" w:after="0"/>
      </w:pPr>
      <w:r>
        <w:separator/>
      </w:r>
    </w:p>
  </w:footnote>
  <w:footnote w:type="continuationSeparator" w:id="0">
    <w:p w:rsidR="00524C51" w:rsidRDefault="00524C51" w:rsidP="00401466">
      <w:pPr>
        <w:spacing w:before="0" w:after="0"/>
      </w:pPr>
      <w:r>
        <w:continuationSeparator/>
      </w:r>
    </w:p>
  </w:footnote>
  <w:footnote w:type="continuationNotice" w:id="1">
    <w:p w:rsidR="00524C51" w:rsidRDefault="00524C51">
      <w:pPr>
        <w:spacing w:before="0" w:after="0"/>
      </w:pPr>
    </w:p>
  </w:footnote>
  <w:footnote w:id="2">
    <w:p w:rsidR="002A3D8D" w:rsidRPr="005741B9" w:rsidRDefault="002A3D8D" w:rsidP="002A3D8D">
      <w:pPr>
        <w:pStyle w:val="FootnoteText"/>
        <w:rPr>
          <w:lang w:val="fr-BE"/>
        </w:rPr>
      </w:pPr>
      <w:r>
        <w:rPr>
          <w:rStyle w:val="FootnoteReference"/>
        </w:rPr>
        <w:footnoteRef/>
      </w:r>
      <w:r w:rsidRPr="005741B9">
        <w:rPr>
          <w:lang w:val="fr-BE"/>
        </w:rPr>
        <w:tab/>
      </w:r>
      <w:r w:rsidRPr="005741B9">
        <w:rPr>
          <w:color w:val="333333"/>
          <w:lang w:val="fr-BE"/>
        </w:rPr>
        <w:t xml:space="preserve">Règlement (UE) 2022/2563 du Conseil du 19 décembre 2022 modifiant le règlement (UE) 2021/2283 portant ouverture et mode de gestion de contingents tarifaires autonomes de l’Union pour certains produits agricoles et industriels (JO L 330 du 23.12.2022, p. 109, ELI: </w:t>
      </w:r>
      <w:hyperlink r:id="rId1" w:history="1">
        <w:r w:rsidRPr="005741B9">
          <w:rPr>
            <w:color w:val="337AB7"/>
            <w:u w:val="single"/>
            <w:lang w:val="fr-BE"/>
          </w:rPr>
          <w:t>http://data.europa.eu/eli/reg/2022/2563/oj</w:t>
        </w:r>
      </w:hyperlink>
      <w:r w:rsidRPr="005741B9">
        <w:rPr>
          <w:color w:val="333333"/>
          <w:lang w:val="fr-BE"/>
        </w:rPr>
        <w:t>).</w:t>
      </w:r>
    </w:p>
  </w:footnote>
  <w:footnote w:id="3">
    <w:p w:rsidR="002A3D8D" w:rsidRPr="005741B9" w:rsidRDefault="002A3D8D" w:rsidP="002A3D8D">
      <w:pPr>
        <w:pStyle w:val="FootnoteText"/>
        <w:rPr>
          <w:lang w:val="fr-BE"/>
        </w:rPr>
      </w:pPr>
      <w:r>
        <w:rPr>
          <w:rStyle w:val="FootnoteReference"/>
        </w:rPr>
        <w:footnoteRef/>
      </w:r>
      <w:r w:rsidRPr="005741B9">
        <w:rPr>
          <w:lang w:val="fr-BE"/>
        </w:rPr>
        <w:tab/>
      </w:r>
      <w:hyperlink r:id="rId2" w:history="1">
        <w:r w:rsidRPr="005741B9">
          <w:rPr>
            <w:rStyle w:val="Hyperlink"/>
            <w:lang w:val="fr-BE"/>
          </w:rPr>
          <w:t>https://taxation-customs.ec.europa.eu/system/files/2016-09/evaluation_suspensions_duties.pdf</w:t>
        </w:r>
      </w:hyperlink>
    </w:p>
  </w:footnote>
  <w:footnote w:id="4">
    <w:p w:rsidR="008B3EEE" w:rsidRPr="005741B9" w:rsidRDefault="008B3EEE" w:rsidP="008B3EEE">
      <w:pPr>
        <w:pStyle w:val="FootnoteText"/>
        <w:rPr>
          <w:lang w:val="fr-BE"/>
        </w:rPr>
      </w:pPr>
      <w:r>
        <w:rPr>
          <w:rStyle w:val="FootnoteReference"/>
        </w:rPr>
        <w:footnoteRef/>
      </w:r>
      <w:r w:rsidRPr="005741B9">
        <w:rPr>
          <w:lang w:val="fr-BE"/>
        </w:rPr>
        <w:tab/>
        <w:t>Règlement (UE) 2021/2283 du Conseil du 20 décembre 2021 portant ouverture et mode de gestion de contingents tarifaires autonomes de l’Union pour certains produits agricoles et industriels, et abrogeant le règlement (UE) nº 1388/2013 (JO L 458 du 22.12.2021, p. 33, ELI: </w:t>
      </w:r>
      <w:hyperlink r:id="rId3" w:history="1">
        <w:r w:rsidRPr="005741B9">
          <w:rPr>
            <w:rStyle w:val="Hyperlink"/>
            <w:lang w:val="fr-BE"/>
          </w:rPr>
          <w:t>http://data.europa.eu/eli/reg/2021/2283/oj</w:t>
        </w:r>
      </w:hyperlink>
      <w:r w:rsidRPr="005741B9">
        <w:rPr>
          <w:lang w:val="fr-BE"/>
        </w:rPr>
        <w:t>).</w:t>
      </w:r>
    </w:p>
  </w:footnote>
  <w:footnote w:id="5">
    <w:p w:rsidR="000F1378" w:rsidRPr="005741B9" w:rsidRDefault="000F1378">
      <w:pPr>
        <w:pStyle w:val="FootnoteText"/>
        <w:rPr>
          <w:lang w:val="fr-BE"/>
        </w:rPr>
      </w:pPr>
      <w:r>
        <w:rPr>
          <w:rStyle w:val="FootnoteReference"/>
        </w:rPr>
        <w:footnoteRef/>
      </w:r>
      <w:r w:rsidRPr="005741B9">
        <w:rPr>
          <w:lang w:val="fr-BE"/>
        </w:rPr>
        <w:tab/>
        <w:t>Communication de la Commission concernant les suspensions et contingents tarifaires autonomes (JO C 363 du 13.12.2011, p. 6).</w:t>
      </w:r>
    </w:p>
  </w:footnote>
  <w:footnote w:id="6">
    <w:p w:rsidR="00CE0C6D" w:rsidRPr="005741B9" w:rsidRDefault="00CE0C6D" w:rsidP="00CE0C6D">
      <w:pPr>
        <w:pStyle w:val="FootnoteText"/>
        <w:rPr>
          <w:lang w:val="fr-BE"/>
        </w:rPr>
      </w:pPr>
      <w:r>
        <w:rPr>
          <w:rStyle w:val="FootnoteReference"/>
        </w:rPr>
        <w:footnoteRef/>
      </w:r>
      <w:r w:rsidRPr="005741B9">
        <w:rPr>
          <w:lang w:val="fr-BE"/>
        </w:rPr>
        <w:tab/>
        <w:t>Règlement (UE) nº 952/2013 du Parlement européen et du Conseil du 9 octobre 2013 établissant le code des douanes de l’Union (JO L 269 du 10.10.2013, p. 1, ELI: http://data.europa.eu/eli/reg/2013/952/oj).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Default="00D44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4D0" w:rsidRDefault="00D44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num>
  <w:num w:numId="18">
    <w:abstractNumId w:val="22"/>
  </w:num>
  <w:num w:numId="19">
    <w:abstractNumId w:val="11"/>
  </w:num>
  <w:num w:numId="20">
    <w:abstractNumId w:val="25"/>
  </w:num>
  <w:num w:numId="21">
    <w:abstractNumId w:val="6"/>
  </w:num>
  <w:num w:numId="22">
    <w:abstractNumId w:val="12"/>
  </w:num>
  <w:num w:numId="23">
    <w:abstractNumId w:val="13"/>
  </w:num>
  <w:num w:numId="24">
    <w:abstractNumId w:val="4"/>
  </w:num>
  <w:num w:numId="25">
    <w:abstractNumId w:val="24"/>
  </w:num>
  <w:num w:numId="26">
    <w:abstractNumId w:val="3"/>
  </w:num>
  <w:num w:numId="27">
    <w:abstractNumId w:val="14"/>
  </w:num>
  <w:num w:numId="28">
    <w:abstractNumId w:val="20"/>
  </w:num>
  <w:num w:numId="29">
    <w:abstractNumId w:val="21"/>
  </w:num>
  <w:num w:numId="30">
    <w:abstractNumId w:val="5"/>
  </w:num>
  <w:num w:numId="31">
    <w:abstractNumId w:val="18"/>
  </w:num>
  <w:num w:numId="32">
    <w:abstractNumId w:val="29"/>
  </w:num>
  <w:num w:numId="33">
    <w:abstractNumId w:val="22"/>
  </w:num>
  <w:num w:numId="34">
    <w:abstractNumId w:val="11"/>
  </w:num>
  <w:num w:numId="35">
    <w:abstractNumId w:val="25"/>
  </w:num>
  <w:num w:numId="36">
    <w:abstractNumId w:val="6"/>
  </w:num>
  <w:num w:numId="37">
    <w:abstractNumId w:val="12"/>
  </w:num>
  <w:num w:numId="38">
    <w:abstractNumId w:val="13"/>
  </w:num>
  <w:num w:numId="39">
    <w:abstractNumId w:val="4"/>
  </w:num>
  <w:num w:numId="40">
    <w:abstractNumId w:val="24"/>
  </w:num>
  <w:num w:numId="41">
    <w:abstractNumId w:val="3"/>
  </w:num>
  <w:num w:numId="42">
    <w:abstractNumId w:val="14"/>
  </w:num>
  <w:num w:numId="43">
    <w:abstractNumId w:val="20"/>
  </w:num>
  <w:num w:numId="44">
    <w:abstractNumId w:val="21"/>
  </w:num>
  <w:num w:numId="45">
    <w:abstractNumId w:val="5"/>
  </w:num>
  <w:num w:numId="46">
    <w:abstractNumId w:val="18"/>
  </w:num>
  <w:num w:numId="47">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fr-FR" w:vendorID="64" w:dllVersion="6" w:nlCheck="1" w:checkStyle="0"/>
  <w:activeWritingStyle w:appName="MSWord" w:lang="sv-FI" w:vendorID="64" w:dllVersion="0"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7 15:50: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5BB2913-3D5E-43EF-A450-A37621A2E536"/>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6"/>
    <w:docVar w:name="LW_REF.II.NEW.CP_YEAR" w:val="2026"/>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1/2283 portant ouverture et mode de gestion de contingents tarifaires autonomes de l\u8217?Union pour certains produits agricoles et industriels"/>
    <w:docVar w:name="LW_TYPE.DOC.CP" w:val="RÈGLEMENT DU CONSEIL"/>
    <w:docVar w:name="LwApiVersions" w:val="LW4CoDe 1.24.5.0; LW 9.2, Build 20251112"/>
  </w:docVars>
  <w:rsids>
    <w:rsidRoot w:val="00401466"/>
    <w:rsid w:val="00000642"/>
    <w:rsid w:val="00003F06"/>
    <w:rsid w:val="00007CEB"/>
    <w:rsid w:val="00011B7F"/>
    <w:rsid w:val="000128A6"/>
    <w:rsid w:val="0001561B"/>
    <w:rsid w:val="00020207"/>
    <w:rsid w:val="000225E7"/>
    <w:rsid w:val="000232ED"/>
    <w:rsid w:val="00024AD4"/>
    <w:rsid w:val="000308BF"/>
    <w:rsid w:val="00031BF7"/>
    <w:rsid w:val="00032825"/>
    <w:rsid w:val="00034207"/>
    <w:rsid w:val="00036ADC"/>
    <w:rsid w:val="000415F1"/>
    <w:rsid w:val="00042E9D"/>
    <w:rsid w:val="000449A3"/>
    <w:rsid w:val="00044F57"/>
    <w:rsid w:val="00052196"/>
    <w:rsid w:val="00052874"/>
    <w:rsid w:val="00052B81"/>
    <w:rsid w:val="00052F42"/>
    <w:rsid w:val="0005332B"/>
    <w:rsid w:val="000544F1"/>
    <w:rsid w:val="00056103"/>
    <w:rsid w:val="00056A63"/>
    <w:rsid w:val="000579D7"/>
    <w:rsid w:val="00057CDF"/>
    <w:rsid w:val="000640DF"/>
    <w:rsid w:val="00064BCD"/>
    <w:rsid w:val="00070B24"/>
    <w:rsid w:val="00072E1A"/>
    <w:rsid w:val="000732F2"/>
    <w:rsid w:val="00077CE9"/>
    <w:rsid w:val="00083E60"/>
    <w:rsid w:val="00084D63"/>
    <w:rsid w:val="00086F1B"/>
    <w:rsid w:val="000872DB"/>
    <w:rsid w:val="000925DD"/>
    <w:rsid w:val="00094AB7"/>
    <w:rsid w:val="000954F4"/>
    <w:rsid w:val="0009696A"/>
    <w:rsid w:val="00096ED8"/>
    <w:rsid w:val="000A1139"/>
    <w:rsid w:val="000A1294"/>
    <w:rsid w:val="000A16BB"/>
    <w:rsid w:val="000A28D0"/>
    <w:rsid w:val="000A3F65"/>
    <w:rsid w:val="000A45F1"/>
    <w:rsid w:val="000A4D1E"/>
    <w:rsid w:val="000A57A5"/>
    <w:rsid w:val="000A5CAD"/>
    <w:rsid w:val="000A6772"/>
    <w:rsid w:val="000A7261"/>
    <w:rsid w:val="000A7517"/>
    <w:rsid w:val="000B05E3"/>
    <w:rsid w:val="000B42FB"/>
    <w:rsid w:val="000B5358"/>
    <w:rsid w:val="000B5BEB"/>
    <w:rsid w:val="000C34A7"/>
    <w:rsid w:val="000D2B7F"/>
    <w:rsid w:val="000D56DA"/>
    <w:rsid w:val="000D56DE"/>
    <w:rsid w:val="000E05A1"/>
    <w:rsid w:val="000E15F5"/>
    <w:rsid w:val="000E198E"/>
    <w:rsid w:val="000E539E"/>
    <w:rsid w:val="000E73DD"/>
    <w:rsid w:val="000F0AC7"/>
    <w:rsid w:val="000F1378"/>
    <w:rsid w:val="000F24AC"/>
    <w:rsid w:val="000F2707"/>
    <w:rsid w:val="000F3111"/>
    <w:rsid w:val="000F5FED"/>
    <w:rsid w:val="00102FA9"/>
    <w:rsid w:val="00103776"/>
    <w:rsid w:val="00110307"/>
    <w:rsid w:val="001231B5"/>
    <w:rsid w:val="00126A4F"/>
    <w:rsid w:val="00135C78"/>
    <w:rsid w:val="00137F59"/>
    <w:rsid w:val="00140480"/>
    <w:rsid w:val="00144EDF"/>
    <w:rsid w:val="00156B47"/>
    <w:rsid w:val="00160423"/>
    <w:rsid w:val="0016077F"/>
    <w:rsid w:val="00160D72"/>
    <w:rsid w:val="001650FE"/>
    <w:rsid w:val="00170522"/>
    <w:rsid w:val="00173E30"/>
    <w:rsid w:val="00175654"/>
    <w:rsid w:val="00176F62"/>
    <w:rsid w:val="0017714A"/>
    <w:rsid w:val="00181BA3"/>
    <w:rsid w:val="0018345E"/>
    <w:rsid w:val="00183B44"/>
    <w:rsid w:val="00185021"/>
    <w:rsid w:val="00186A7E"/>
    <w:rsid w:val="00187529"/>
    <w:rsid w:val="00187C21"/>
    <w:rsid w:val="001908D8"/>
    <w:rsid w:val="0019250E"/>
    <w:rsid w:val="00192AB2"/>
    <w:rsid w:val="0019465F"/>
    <w:rsid w:val="00194919"/>
    <w:rsid w:val="00196C10"/>
    <w:rsid w:val="001A1CA9"/>
    <w:rsid w:val="001A29E5"/>
    <w:rsid w:val="001A3E0B"/>
    <w:rsid w:val="001A43CC"/>
    <w:rsid w:val="001A58A3"/>
    <w:rsid w:val="001A61E2"/>
    <w:rsid w:val="001A6E02"/>
    <w:rsid w:val="001A739A"/>
    <w:rsid w:val="001B360F"/>
    <w:rsid w:val="001B472F"/>
    <w:rsid w:val="001C26A4"/>
    <w:rsid w:val="001C2816"/>
    <w:rsid w:val="001C3771"/>
    <w:rsid w:val="001C395E"/>
    <w:rsid w:val="001C5F01"/>
    <w:rsid w:val="001D4B25"/>
    <w:rsid w:val="001E2882"/>
    <w:rsid w:val="001E56D0"/>
    <w:rsid w:val="001E624B"/>
    <w:rsid w:val="001E6F91"/>
    <w:rsid w:val="001F1E8E"/>
    <w:rsid w:val="001F4FA1"/>
    <w:rsid w:val="0020200D"/>
    <w:rsid w:val="002033EE"/>
    <w:rsid w:val="002054B0"/>
    <w:rsid w:val="00210585"/>
    <w:rsid w:val="002105E8"/>
    <w:rsid w:val="0021250C"/>
    <w:rsid w:val="00213041"/>
    <w:rsid w:val="002135DB"/>
    <w:rsid w:val="00214BB2"/>
    <w:rsid w:val="00214D6F"/>
    <w:rsid w:val="00215592"/>
    <w:rsid w:val="00215C4F"/>
    <w:rsid w:val="00216AE3"/>
    <w:rsid w:val="00222507"/>
    <w:rsid w:val="00225A3C"/>
    <w:rsid w:val="00230892"/>
    <w:rsid w:val="00232E98"/>
    <w:rsid w:val="00234AC1"/>
    <w:rsid w:val="00241ED4"/>
    <w:rsid w:val="00244D69"/>
    <w:rsid w:val="002450D7"/>
    <w:rsid w:val="002461A4"/>
    <w:rsid w:val="002511BB"/>
    <w:rsid w:val="00251FF1"/>
    <w:rsid w:val="0025397B"/>
    <w:rsid w:val="00256697"/>
    <w:rsid w:val="00257F50"/>
    <w:rsid w:val="00260ACE"/>
    <w:rsid w:val="00265EA2"/>
    <w:rsid w:val="002672F0"/>
    <w:rsid w:val="00270B9B"/>
    <w:rsid w:val="00276BAB"/>
    <w:rsid w:val="00276BF7"/>
    <w:rsid w:val="00276E7D"/>
    <w:rsid w:val="002854BC"/>
    <w:rsid w:val="00290884"/>
    <w:rsid w:val="00295016"/>
    <w:rsid w:val="002970C6"/>
    <w:rsid w:val="002A0484"/>
    <w:rsid w:val="002A0B80"/>
    <w:rsid w:val="002A3D8D"/>
    <w:rsid w:val="002A4A81"/>
    <w:rsid w:val="002A4DAC"/>
    <w:rsid w:val="002A68E7"/>
    <w:rsid w:val="002B088E"/>
    <w:rsid w:val="002B08FF"/>
    <w:rsid w:val="002B2405"/>
    <w:rsid w:val="002B571D"/>
    <w:rsid w:val="002B5F40"/>
    <w:rsid w:val="002C609F"/>
    <w:rsid w:val="002C6661"/>
    <w:rsid w:val="002D16AF"/>
    <w:rsid w:val="002D28A8"/>
    <w:rsid w:val="002D30D2"/>
    <w:rsid w:val="002D4DF9"/>
    <w:rsid w:val="002D5ECC"/>
    <w:rsid w:val="002D63BE"/>
    <w:rsid w:val="002D770D"/>
    <w:rsid w:val="002E310B"/>
    <w:rsid w:val="002E3224"/>
    <w:rsid w:val="002F3217"/>
    <w:rsid w:val="002F36AC"/>
    <w:rsid w:val="002F479A"/>
    <w:rsid w:val="002F4E19"/>
    <w:rsid w:val="002F6031"/>
    <w:rsid w:val="002F741C"/>
    <w:rsid w:val="0030123D"/>
    <w:rsid w:val="003028FD"/>
    <w:rsid w:val="003031D7"/>
    <w:rsid w:val="00303FD6"/>
    <w:rsid w:val="003071B9"/>
    <w:rsid w:val="00307D2D"/>
    <w:rsid w:val="00307DBF"/>
    <w:rsid w:val="00310420"/>
    <w:rsid w:val="003124B6"/>
    <w:rsid w:val="003127FA"/>
    <w:rsid w:val="003157F1"/>
    <w:rsid w:val="00320896"/>
    <w:rsid w:val="003305EF"/>
    <w:rsid w:val="00330BC0"/>
    <w:rsid w:val="00331C1A"/>
    <w:rsid w:val="00342FA5"/>
    <w:rsid w:val="0034395E"/>
    <w:rsid w:val="00344430"/>
    <w:rsid w:val="0034522E"/>
    <w:rsid w:val="00347E5B"/>
    <w:rsid w:val="00350ED8"/>
    <w:rsid w:val="003516B5"/>
    <w:rsid w:val="003546FC"/>
    <w:rsid w:val="00357FEC"/>
    <w:rsid w:val="00361332"/>
    <w:rsid w:val="0036339C"/>
    <w:rsid w:val="00365DE9"/>
    <w:rsid w:val="00365FC0"/>
    <w:rsid w:val="00370C7A"/>
    <w:rsid w:val="00370FBF"/>
    <w:rsid w:val="0037398F"/>
    <w:rsid w:val="00375591"/>
    <w:rsid w:val="003775B9"/>
    <w:rsid w:val="00380DBF"/>
    <w:rsid w:val="00380F1A"/>
    <w:rsid w:val="00384EC7"/>
    <w:rsid w:val="0038714C"/>
    <w:rsid w:val="003915CC"/>
    <w:rsid w:val="00391D2F"/>
    <w:rsid w:val="003966EA"/>
    <w:rsid w:val="003967B1"/>
    <w:rsid w:val="00397145"/>
    <w:rsid w:val="003A2D71"/>
    <w:rsid w:val="003A3993"/>
    <w:rsid w:val="003A6B84"/>
    <w:rsid w:val="003A6CFF"/>
    <w:rsid w:val="003A7802"/>
    <w:rsid w:val="003A7EC5"/>
    <w:rsid w:val="003B03E0"/>
    <w:rsid w:val="003B0B99"/>
    <w:rsid w:val="003B1E59"/>
    <w:rsid w:val="003B1FA7"/>
    <w:rsid w:val="003B4650"/>
    <w:rsid w:val="003B5203"/>
    <w:rsid w:val="003B68F2"/>
    <w:rsid w:val="003C2AF6"/>
    <w:rsid w:val="003C32E3"/>
    <w:rsid w:val="003C33ED"/>
    <w:rsid w:val="003C5EA6"/>
    <w:rsid w:val="003C67E8"/>
    <w:rsid w:val="003C6889"/>
    <w:rsid w:val="003D0DE8"/>
    <w:rsid w:val="003D1AF6"/>
    <w:rsid w:val="003D5EE1"/>
    <w:rsid w:val="003E37C6"/>
    <w:rsid w:val="003E3F15"/>
    <w:rsid w:val="003E41CC"/>
    <w:rsid w:val="003E46F3"/>
    <w:rsid w:val="003E4784"/>
    <w:rsid w:val="003E4C89"/>
    <w:rsid w:val="003E5F74"/>
    <w:rsid w:val="003F3D11"/>
    <w:rsid w:val="003F4DAA"/>
    <w:rsid w:val="003F50E8"/>
    <w:rsid w:val="003F743E"/>
    <w:rsid w:val="00401466"/>
    <w:rsid w:val="00404299"/>
    <w:rsid w:val="00405334"/>
    <w:rsid w:val="0040744D"/>
    <w:rsid w:val="00410D55"/>
    <w:rsid w:val="004116F1"/>
    <w:rsid w:val="00413FA4"/>
    <w:rsid w:val="0042453C"/>
    <w:rsid w:val="00425EF5"/>
    <w:rsid w:val="00430589"/>
    <w:rsid w:val="0043503C"/>
    <w:rsid w:val="0043653B"/>
    <w:rsid w:val="00450C1D"/>
    <w:rsid w:val="00451811"/>
    <w:rsid w:val="00453502"/>
    <w:rsid w:val="00455997"/>
    <w:rsid w:val="00455B20"/>
    <w:rsid w:val="00457EE9"/>
    <w:rsid w:val="0046086E"/>
    <w:rsid w:val="0046130B"/>
    <w:rsid w:val="0046142C"/>
    <w:rsid w:val="0046150F"/>
    <w:rsid w:val="0046177A"/>
    <w:rsid w:val="00462CFA"/>
    <w:rsid w:val="004643A1"/>
    <w:rsid w:val="00464ED7"/>
    <w:rsid w:val="00466424"/>
    <w:rsid w:val="00471D87"/>
    <w:rsid w:val="00471F29"/>
    <w:rsid w:val="00477FB7"/>
    <w:rsid w:val="004800F4"/>
    <w:rsid w:val="00480450"/>
    <w:rsid w:val="00480CDA"/>
    <w:rsid w:val="00481406"/>
    <w:rsid w:val="00484FC5"/>
    <w:rsid w:val="0048683A"/>
    <w:rsid w:val="004913EE"/>
    <w:rsid w:val="00492045"/>
    <w:rsid w:val="0049246D"/>
    <w:rsid w:val="00492B03"/>
    <w:rsid w:val="00495EC4"/>
    <w:rsid w:val="00496F48"/>
    <w:rsid w:val="004A0A00"/>
    <w:rsid w:val="004A293C"/>
    <w:rsid w:val="004A4FC9"/>
    <w:rsid w:val="004A5542"/>
    <w:rsid w:val="004B14DE"/>
    <w:rsid w:val="004B31D0"/>
    <w:rsid w:val="004B3D64"/>
    <w:rsid w:val="004B4BED"/>
    <w:rsid w:val="004C24F5"/>
    <w:rsid w:val="004C4F3B"/>
    <w:rsid w:val="004D27B3"/>
    <w:rsid w:val="004D41A1"/>
    <w:rsid w:val="004D44A4"/>
    <w:rsid w:val="004E1B80"/>
    <w:rsid w:val="004E54C0"/>
    <w:rsid w:val="004E5842"/>
    <w:rsid w:val="004E59CE"/>
    <w:rsid w:val="004E63DC"/>
    <w:rsid w:val="004E7704"/>
    <w:rsid w:val="004E778A"/>
    <w:rsid w:val="004F08FD"/>
    <w:rsid w:val="004F12AA"/>
    <w:rsid w:val="004F306A"/>
    <w:rsid w:val="005048F7"/>
    <w:rsid w:val="00505D97"/>
    <w:rsid w:val="0051707A"/>
    <w:rsid w:val="00517778"/>
    <w:rsid w:val="005200C7"/>
    <w:rsid w:val="00524909"/>
    <w:rsid w:val="00524C51"/>
    <w:rsid w:val="00525B34"/>
    <w:rsid w:val="00526095"/>
    <w:rsid w:val="00527B1D"/>
    <w:rsid w:val="0053025D"/>
    <w:rsid w:val="005304B6"/>
    <w:rsid w:val="00533FD9"/>
    <w:rsid w:val="00547DF0"/>
    <w:rsid w:val="0055241A"/>
    <w:rsid w:val="00552C9B"/>
    <w:rsid w:val="00554C79"/>
    <w:rsid w:val="00555269"/>
    <w:rsid w:val="0055575B"/>
    <w:rsid w:val="00556A92"/>
    <w:rsid w:val="0056007B"/>
    <w:rsid w:val="005621BB"/>
    <w:rsid w:val="00562438"/>
    <w:rsid w:val="0056285B"/>
    <w:rsid w:val="00565B09"/>
    <w:rsid w:val="00570AD5"/>
    <w:rsid w:val="00573085"/>
    <w:rsid w:val="005741B9"/>
    <w:rsid w:val="0057752F"/>
    <w:rsid w:val="00577A1A"/>
    <w:rsid w:val="00577AEE"/>
    <w:rsid w:val="005806E9"/>
    <w:rsid w:val="00581C7E"/>
    <w:rsid w:val="0058285F"/>
    <w:rsid w:val="00584A33"/>
    <w:rsid w:val="0058564B"/>
    <w:rsid w:val="005877AF"/>
    <w:rsid w:val="0059047B"/>
    <w:rsid w:val="0059570D"/>
    <w:rsid w:val="00597AE1"/>
    <w:rsid w:val="005A0826"/>
    <w:rsid w:val="005B0568"/>
    <w:rsid w:val="005B3CD5"/>
    <w:rsid w:val="005C2A2B"/>
    <w:rsid w:val="005C64E1"/>
    <w:rsid w:val="005D3CDF"/>
    <w:rsid w:val="005D6B0A"/>
    <w:rsid w:val="005E0D67"/>
    <w:rsid w:val="005E1EBC"/>
    <w:rsid w:val="005E3043"/>
    <w:rsid w:val="005E46CA"/>
    <w:rsid w:val="005F0F36"/>
    <w:rsid w:val="005F36D1"/>
    <w:rsid w:val="005F5703"/>
    <w:rsid w:val="005F6537"/>
    <w:rsid w:val="005F6861"/>
    <w:rsid w:val="005F73B9"/>
    <w:rsid w:val="00602EB3"/>
    <w:rsid w:val="00603760"/>
    <w:rsid w:val="0060397E"/>
    <w:rsid w:val="0061071D"/>
    <w:rsid w:val="00612272"/>
    <w:rsid w:val="0062053C"/>
    <w:rsid w:val="006222FF"/>
    <w:rsid w:val="0062486C"/>
    <w:rsid w:val="00631B17"/>
    <w:rsid w:val="00631D9D"/>
    <w:rsid w:val="00632B57"/>
    <w:rsid w:val="00633142"/>
    <w:rsid w:val="00636D37"/>
    <w:rsid w:val="00637A3B"/>
    <w:rsid w:val="00643472"/>
    <w:rsid w:val="0064537C"/>
    <w:rsid w:val="00646CE9"/>
    <w:rsid w:val="00650A66"/>
    <w:rsid w:val="0065158B"/>
    <w:rsid w:val="0065219E"/>
    <w:rsid w:val="0066071B"/>
    <w:rsid w:val="006638A5"/>
    <w:rsid w:val="0066655A"/>
    <w:rsid w:val="00666D71"/>
    <w:rsid w:val="006729DA"/>
    <w:rsid w:val="00673004"/>
    <w:rsid w:val="00674938"/>
    <w:rsid w:val="00674DCB"/>
    <w:rsid w:val="006760D6"/>
    <w:rsid w:val="006814F4"/>
    <w:rsid w:val="00683043"/>
    <w:rsid w:val="006832A5"/>
    <w:rsid w:val="00684A01"/>
    <w:rsid w:val="00686549"/>
    <w:rsid w:val="00695B65"/>
    <w:rsid w:val="006962E8"/>
    <w:rsid w:val="006A0903"/>
    <w:rsid w:val="006A1DD1"/>
    <w:rsid w:val="006A3619"/>
    <w:rsid w:val="006A5DA2"/>
    <w:rsid w:val="006B6537"/>
    <w:rsid w:val="006C106D"/>
    <w:rsid w:val="006C1BBB"/>
    <w:rsid w:val="006C1C1E"/>
    <w:rsid w:val="006C397B"/>
    <w:rsid w:val="006C3BE3"/>
    <w:rsid w:val="006C421E"/>
    <w:rsid w:val="006D1BFC"/>
    <w:rsid w:val="006D29C6"/>
    <w:rsid w:val="006D31A2"/>
    <w:rsid w:val="006D45D9"/>
    <w:rsid w:val="006D61D8"/>
    <w:rsid w:val="006E0FC7"/>
    <w:rsid w:val="006E25D4"/>
    <w:rsid w:val="006E4A00"/>
    <w:rsid w:val="006E6B8A"/>
    <w:rsid w:val="006F1B18"/>
    <w:rsid w:val="006F23FF"/>
    <w:rsid w:val="006F4C03"/>
    <w:rsid w:val="006F641B"/>
    <w:rsid w:val="0070100B"/>
    <w:rsid w:val="0070128F"/>
    <w:rsid w:val="00703E3F"/>
    <w:rsid w:val="007116FC"/>
    <w:rsid w:val="00716CEE"/>
    <w:rsid w:val="007302B1"/>
    <w:rsid w:val="0073366C"/>
    <w:rsid w:val="0073585B"/>
    <w:rsid w:val="007368A2"/>
    <w:rsid w:val="00743CAD"/>
    <w:rsid w:val="00745170"/>
    <w:rsid w:val="00753646"/>
    <w:rsid w:val="007565E5"/>
    <w:rsid w:val="00757D1B"/>
    <w:rsid w:val="007610AC"/>
    <w:rsid w:val="00763673"/>
    <w:rsid w:val="00763789"/>
    <w:rsid w:val="007637A3"/>
    <w:rsid w:val="00763CAC"/>
    <w:rsid w:val="00765448"/>
    <w:rsid w:val="0077648B"/>
    <w:rsid w:val="007768CE"/>
    <w:rsid w:val="007818EE"/>
    <w:rsid w:val="0078737A"/>
    <w:rsid w:val="007879B2"/>
    <w:rsid w:val="0079023C"/>
    <w:rsid w:val="007911C5"/>
    <w:rsid w:val="00792FED"/>
    <w:rsid w:val="00795FC2"/>
    <w:rsid w:val="007A3D05"/>
    <w:rsid w:val="007A759C"/>
    <w:rsid w:val="007A768D"/>
    <w:rsid w:val="007A7E12"/>
    <w:rsid w:val="007B1E24"/>
    <w:rsid w:val="007B2CEC"/>
    <w:rsid w:val="007B4D42"/>
    <w:rsid w:val="007B6519"/>
    <w:rsid w:val="007B7BED"/>
    <w:rsid w:val="007C0196"/>
    <w:rsid w:val="007C06F6"/>
    <w:rsid w:val="007C09D7"/>
    <w:rsid w:val="007C2174"/>
    <w:rsid w:val="007C265A"/>
    <w:rsid w:val="007C486A"/>
    <w:rsid w:val="007C64F2"/>
    <w:rsid w:val="007C676D"/>
    <w:rsid w:val="007C737F"/>
    <w:rsid w:val="007D46CF"/>
    <w:rsid w:val="007D5AAE"/>
    <w:rsid w:val="007E1E02"/>
    <w:rsid w:val="007E50EE"/>
    <w:rsid w:val="007E5DBF"/>
    <w:rsid w:val="007E617C"/>
    <w:rsid w:val="007E66D5"/>
    <w:rsid w:val="007E7488"/>
    <w:rsid w:val="007F15DC"/>
    <w:rsid w:val="007F1DA4"/>
    <w:rsid w:val="007F23EB"/>
    <w:rsid w:val="007F57DD"/>
    <w:rsid w:val="00811CFC"/>
    <w:rsid w:val="00814474"/>
    <w:rsid w:val="008144EF"/>
    <w:rsid w:val="008154CF"/>
    <w:rsid w:val="0081772A"/>
    <w:rsid w:val="00821B60"/>
    <w:rsid w:val="00822FCB"/>
    <w:rsid w:val="0082395F"/>
    <w:rsid w:val="008249F7"/>
    <w:rsid w:val="00830144"/>
    <w:rsid w:val="00836C05"/>
    <w:rsid w:val="00843F33"/>
    <w:rsid w:val="0084560A"/>
    <w:rsid w:val="00847849"/>
    <w:rsid w:val="00860902"/>
    <w:rsid w:val="00861AB9"/>
    <w:rsid w:val="0086454D"/>
    <w:rsid w:val="00864B01"/>
    <w:rsid w:val="00872702"/>
    <w:rsid w:val="008730B2"/>
    <w:rsid w:val="008743F6"/>
    <w:rsid w:val="008751CA"/>
    <w:rsid w:val="008840B3"/>
    <w:rsid w:val="008873BA"/>
    <w:rsid w:val="008934D1"/>
    <w:rsid w:val="00893DF8"/>
    <w:rsid w:val="00894188"/>
    <w:rsid w:val="00895581"/>
    <w:rsid w:val="008B3EEE"/>
    <w:rsid w:val="008B4646"/>
    <w:rsid w:val="008B7555"/>
    <w:rsid w:val="008D4143"/>
    <w:rsid w:val="008D52DD"/>
    <w:rsid w:val="008D5FA8"/>
    <w:rsid w:val="008D634C"/>
    <w:rsid w:val="008D63A3"/>
    <w:rsid w:val="008D6CD0"/>
    <w:rsid w:val="008E4B78"/>
    <w:rsid w:val="008E4BA0"/>
    <w:rsid w:val="008E6F12"/>
    <w:rsid w:val="008E78F2"/>
    <w:rsid w:val="008F0BCB"/>
    <w:rsid w:val="008F2D83"/>
    <w:rsid w:val="008F344D"/>
    <w:rsid w:val="008F3BDF"/>
    <w:rsid w:val="008F5151"/>
    <w:rsid w:val="008F6422"/>
    <w:rsid w:val="008F6B04"/>
    <w:rsid w:val="008F71E9"/>
    <w:rsid w:val="00903B48"/>
    <w:rsid w:val="00903B61"/>
    <w:rsid w:val="00905103"/>
    <w:rsid w:val="009076F3"/>
    <w:rsid w:val="009328AA"/>
    <w:rsid w:val="009332E6"/>
    <w:rsid w:val="00933E03"/>
    <w:rsid w:val="00936B64"/>
    <w:rsid w:val="00936E88"/>
    <w:rsid w:val="00937A73"/>
    <w:rsid w:val="00943395"/>
    <w:rsid w:val="00946FB9"/>
    <w:rsid w:val="0095030D"/>
    <w:rsid w:val="00955120"/>
    <w:rsid w:val="00956171"/>
    <w:rsid w:val="009579A2"/>
    <w:rsid w:val="009612BE"/>
    <w:rsid w:val="00964339"/>
    <w:rsid w:val="00970B26"/>
    <w:rsid w:val="0097118F"/>
    <w:rsid w:val="00973F63"/>
    <w:rsid w:val="00974135"/>
    <w:rsid w:val="00977F2E"/>
    <w:rsid w:val="00985C3F"/>
    <w:rsid w:val="00985EE7"/>
    <w:rsid w:val="0098613B"/>
    <w:rsid w:val="0098638D"/>
    <w:rsid w:val="00986B33"/>
    <w:rsid w:val="00986EB2"/>
    <w:rsid w:val="00987AD5"/>
    <w:rsid w:val="00992286"/>
    <w:rsid w:val="00996589"/>
    <w:rsid w:val="0099717A"/>
    <w:rsid w:val="009A0E74"/>
    <w:rsid w:val="009A1B02"/>
    <w:rsid w:val="009A1B25"/>
    <w:rsid w:val="009A22B9"/>
    <w:rsid w:val="009A24BF"/>
    <w:rsid w:val="009A5B3E"/>
    <w:rsid w:val="009A6F32"/>
    <w:rsid w:val="009B02B1"/>
    <w:rsid w:val="009B05AE"/>
    <w:rsid w:val="009B0AA3"/>
    <w:rsid w:val="009B1686"/>
    <w:rsid w:val="009B2A45"/>
    <w:rsid w:val="009B2BEA"/>
    <w:rsid w:val="009B3553"/>
    <w:rsid w:val="009B3C6D"/>
    <w:rsid w:val="009B537A"/>
    <w:rsid w:val="009B576D"/>
    <w:rsid w:val="009B6C34"/>
    <w:rsid w:val="009B7138"/>
    <w:rsid w:val="009C37F1"/>
    <w:rsid w:val="009C7CBD"/>
    <w:rsid w:val="009D05A0"/>
    <w:rsid w:val="009E00DC"/>
    <w:rsid w:val="009E071E"/>
    <w:rsid w:val="009E6633"/>
    <w:rsid w:val="009E667A"/>
    <w:rsid w:val="009F0E18"/>
    <w:rsid w:val="009F14CC"/>
    <w:rsid w:val="009F45ED"/>
    <w:rsid w:val="009F5120"/>
    <w:rsid w:val="009F725D"/>
    <w:rsid w:val="00A03763"/>
    <w:rsid w:val="00A0410D"/>
    <w:rsid w:val="00A052C5"/>
    <w:rsid w:val="00A1068C"/>
    <w:rsid w:val="00A12CB8"/>
    <w:rsid w:val="00A16CF7"/>
    <w:rsid w:val="00A30CD4"/>
    <w:rsid w:val="00A31A86"/>
    <w:rsid w:val="00A33634"/>
    <w:rsid w:val="00A345C7"/>
    <w:rsid w:val="00A36D58"/>
    <w:rsid w:val="00A3731A"/>
    <w:rsid w:val="00A375AA"/>
    <w:rsid w:val="00A37616"/>
    <w:rsid w:val="00A40ADA"/>
    <w:rsid w:val="00A40D37"/>
    <w:rsid w:val="00A44060"/>
    <w:rsid w:val="00A45CD3"/>
    <w:rsid w:val="00A518BA"/>
    <w:rsid w:val="00A5321D"/>
    <w:rsid w:val="00A5342F"/>
    <w:rsid w:val="00A53E45"/>
    <w:rsid w:val="00A5467D"/>
    <w:rsid w:val="00A621D0"/>
    <w:rsid w:val="00A62BFE"/>
    <w:rsid w:val="00A63C48"/>
    <w:rsid w:val="00A63CAF"/>
    <w:rsid w:val="00A65EDE"/>
    <w:rsid w:val="00A6685D"/>
    <w:rsid w:val="00A67395"/>
    <w:rsid w:val="00A7251E"/>
    <w:rsid w:val="00A727E5"/>
    <w:rsid w:val="00A73E05"/>
    <w:rsid w:val="00A75409"/>
    <w:rsid w:val="00A76C1F"/>
    <w:rsid w:val="00A77628"/>
    <w:rsid w:val="00A8174E"/>
    <w:rsid w:val="00A8197E"/>
    <w:rsid w:val="00A838FC"/>
    <w:rsid w:val="00A84327"/>
    <w:rsid w:val="00A90AF5"/>
    <w:rsid w:val="00A90F10"/>
    <w:rsid w:val="00A91951"/>
    <w:rsid w:val="00A921F9"/>
    <w:rsid w:val="00A9707F"/>
    <w:rsid w:val="00AA229F"/>
    <w:rsid w:val="00AB1DAE"/>
    <w:rsid w:val="00AB1F03"/>
    <w:rsid w:val="00AB40AA"/>
    <w:rsid w:val="00AC1E6D"/>
    <w:rsid w:val="00AC1FBB"/>
    <w:rsid w:val="00AC34B1"/>
    <w:rsid w:val="00AC50B9"/>
    <w:rsid w:val="00AC52BC"/>
    <w:rsid w:val="00AD1764"/>
    <w:rsid w:val="00AD1EF3"/>
    <w:rsid w:val="00AD2182"/>
    <w:rsid w:val="00AD5893"/>
    <w:rsid w:val="00AD5D8A"/>
    <w:rsid w:val="00AD63BA"/>
    <w:rsid w:val="00AD7C32"/>
    <w:rsid w:val="00AE1982"/>
    <w:rsid w:val="00AE384A"/>
    <w:rsid w:val="00AE7861"/>
    <w:rsid w:val="00AF1AD8"/>
    <w:rsid w:val="00AF64E1"/>
    <w:rsid w:val="00AF6EED"/>
    <w:rsid w:val="00B00BD7"/>
    <w:rsid w:val="00B017A6"/>
    <w:rsid w:val="00B01A04"/>
    <w:rsid w:val="00B03F30"/>
    <w:rsid w:val="00B04141"/>
    <w:rsid w:val="00B0547A"/>
    <w:rsid w:val="00B064CD"/>
    <w:rsid w:val="00B067B5"/>
    <w:rsid w:val="00B12836"/>
    <w:rsid w:val="00B12955"/>
    <w:rsid w:val="00B17873"/>
    <w:rsid w:val="00B17ADF"/>
    <w:rsid w:val="00B248E7"/>
    <w:rsid w:val="00B24B03"/>
    <w:rsid w:val="00B36EC3"/>
    <w:rsid w:val="00B37356"/>
    <w:rsid w:val="00B4039A"/>
    <w:rsid w:val="00B440A2"/>
    <w:rsid w:val="00B51BAB"/>
    <w:rsid w:val="00B522DF"/>
    <w:rsid w:val="00B5758E"/>
    <w:rsid w:val="00B60225"/>
    <w:rsid w:val="00B6378B"/>
    <w:rsid w:val="00B660FF"/>
    <w:rsid w:val="00B67C15"/>
    <w:rsid w:val="00B67E0C"/>
    <w:rsid w:val="00B70F74"/>
    <w:rsid w:val="00B73C9E"/>
    <w:rsid w:val="00B753BB"/>
    <w:rsid w:val="00B772F8"/>
    <w:rsid w:val="00B77548"/>
    <w:rsid w:val="00B776EE"/>
    <w:rsid w:val="00B81732"/>
    <w:rsid w:val="00B83AA0"/>
    <w:rsid w:val="00B83F52"/>
    <w:rsid w:val="00B842B4"/>
    <w:rsid w:val="00B90D41"/>
    <w:rsid w:val="00B913A2"/>
    <w:rsid w:val="00B91CC0"/>
    <w:rsid w:val="00B932D5"/>
    <w:rsid w:val="00B9602B"/>
    <w:rsid w:val="00BB05BF"/>
    <w:rsid w:val="00BB2A20"/>
    <w:rsid w:val="00BB32FB"/>
    <w:rsid w:val="00BB610C"/>
    <w:rsid w:val="00BB6C60"/>
    <w:rsid w:val="00BB7787"/>
    <w:rsid w:val="00BB783C"/>
    <w:rsid w:val="00BC075A"/>
    <w:rsid w:val="00BC0CCB"/>
    <w:rsid w:val="00BC51DA"/>
    <w:rsid w:val="00BC59B9"/>
    <w:rsid w:val="00BC6E79"/>
    <w:rsid w:val="00BD0796"/>
    <w:rsid w:val="00BD3B08"/>
    <w:rsid w:val="00BE246D"/>
    <w:rsid w:val="00BE3E20"/>
    <w:rsid w:val="00BE48CC"/>
    <w:rsid w:val="00BE5D9B"/>
    <w:rsid w:val="00BF17AA"/>
    <w:rsid w:val="00BF2786"/>
    <w:rsid w:val="00BF317E"/>
    <w:rsid w:val="00BF3920"/>
    <w:rsid w:val="00BF4B0A"/>
    <w:rsid w:val="00BF50B8"/>
    <w:rsid w:val="00BF6F8B"/>
    <w:rsid w:val="00C01740"/>
    <w:rsid w:val="00C07FE7"/>
    <w:rsid w:val="00C10253"/>
    <w:rsid w:val="00C109A3"/>
    <w:rsid w:val="00C157B2"/>
    <w:rsid w:val="00C16DBA"/>
    <w:rsid w:val="00C2103A"/>
    <w:rsid w:val="00C24556"/>
    <w:rsid w:val="00C27D44"/>
    <w:rsid w:val="00C3321E"/>
    <w:rsid w:val="00C355A4"/>
    <w:rsid w:val="00C3644B"/>
    <w:rsid w:val="00C401D2"/>
    <w:rsid w:val="00C40757"/>
    <w:rsid w:val="00C40819"/>
    <w:rsid w:val="00C460CC"/>
    <w:rsid w:val="00C467BB"/>
    <w:rsid w:val="00C501A6"/>
    <w:rsid w:val="00C51B29"/>
    <w:rsid w:val="00C56DF7"/>
    <w:rsid w:val="00C579A1"/>
    <w:rsid w:val="00C64D43"/>
    <w:rsid w:val="00C6577A"/>
    <w:rsid w:val="00C66D98"/>
    <w:rsid w:val="00C71169"/>
    <w:rsid w:val="00C71F84"/>
    <w:rsid w:val="00C744C8"/>
    <w:rsid w:val="00C75593"/>
    <w:rsid w:val="00C838A7"/>
    <w:rsid w:val="00C84334"/>
    <w:rsid w:val="00C84CD1"/>
    <w:rsid w:val="00C85DD2"/>
    <w:rsid w:val="00C86639"/>
    <w:rsid w:val="00C86A75"/>
    <w:rsid w:val="00C86F96"/>
    <w:rsid w:val="00C90107"/>
    <w:rsid w:val="00C9013E"/>
    <w:rsid w:val="00C92593"/>
    <w:rsid w:val="00C96BAE"/>
    <w:rsid w:val="00C96C5E"/>
    <w:rsid w:val="00CA2FBC"/>
    <w:rsid w:val="00CA420C"/>
    <w:rsid w:val="00CA558E"/>
    <w:rsid w:val="00CA5E0A"/>
    <w:rsid w:val="00CB06C8"/>
    <w:rsid w:val="00CB0E39"/>
    <w:rsid w:val="00CB29C2"/>
    <w:rsid w:val="00CB5DD7"/>
    <w:rsid w:val="00CB6223"/>
    <w:rsid w:val="00CB6288"/>
    <w:rsid w:val="00CB689E"/>
    <w:rsid w:val="00CC0E46"/>
    <w:rsid w:val="00CC1FAF"/>
    <w:rsid w:val="00CC2D5F"/>
    <w:rsid w:val="00CC354C"/>
    <w:rsid w:val="00CC3660"/>
    <w:rsid w:val="00CC3E19"/>
    <w:rsid w:val="00CC6BA0"/>
    <w:rsid w:val="00CC73F7"/>
    <w:rsid w:val="00CD03E2"/>
    <w:rsid w:val="00CD2836"/>
    <w:rsid w:val="00CD54DE"/>
    <w:rsid w:val="00CE0665"/>
    <w:rsid w:val="00CE0C6D"/>
    <w:rsid w:val="00CE0EF7"/>
    <w:rsid w:val="00CE10DB"/>
    <w:rsid w:val="00CE652A"/>
    <w:rsid w:val="00CF1BA8"/>
    <w:rsid w:val="00CF3951"/>
    <w:rsid w:val="00CF3F52"/>
    <w:rsid w:val="00CF4095"/>
    <w:rsid w:val="00CF501E"/>
    <w:rsid w:val="00D00722"/>
    <w:rsid w:val="00D0157D"/>
    <w:rsid w:val="00D02D42"/>
    <w:rsid w:val="00D02D86"/>
    <w:rsid w:val="00D107C0"/>
    <w:rsid w:val="00D10C44"/>
    <w:rsid w:val="00D114AC"/>
    <w:rsid w:val="00D135DF"/>
    <w:rsid w:val="00D16E45"/>
    <w:rsid w:val="00D251DA"/>
    <w:rsid w:val="00D260FC"/>
    <w:rsid w:val="00D32673"/>
    <w:rsid w:val="00D33685"/>
    <w:rsid w:val="00D366E3"/>
    <w:rsid w:val="00D378CB"/>
    <w:rsid w:val="00D37E85"/>
    <w:rsid w:val="00D41E07"/>
    <w:rsid w:val="00D43BE8"/>
    <w:rsid w:val="00D444D0"/>
    <w:rsid w:val="00D463F8"/>
    <w:rsid w:val="00D5154B"/>
    <w:rsid w:val="00D53ED0"/>
    <w:rsid w:val="00D57A46"/>
    <w:rsid w:val="00D61803"/>
    <w:rsid w:val="00D62DDA"/>
    <w:rsid w:val="00D6465A"/>
    <w:rsid w:val="00D71091"/>
    <w:rsid w:val="00D7196B"/>
    <w:rsid w:val="00D72EF8"/>
    <w:rsid w:val="00D74ABB"/>
    <w:rsid w:val="00D77515"/>
    <w:rsid w:val="00D812BD"/>
    <w:rsid w:val="00D82E81"/>
    <w:rsid w:val="00D84E58"/>
    <w:rsid w:val="00D86D08"/>
    <w:rsid w:val="00D95E29"/>
    <w:rsid w:val="00D9725F"/>
    <w:rsid w:val="00DA6584"/>
    <w:rsid w:val="00DB245C"/>
    <w:rsid w:val="00DB498C"/>
    <w:rsid w:val="00DB7639"/>
    <w:rsid w:val="00DC0740"/>
    <w:rsid w:val="00DC2FB2"/>
    <w:rsid w:val="00DC3E77"/>
    <w:rsid w:val="00DC6502"/>
    <w:rsid w:val="00DD4778"/>
    <w:rsid w:val="00DE0DBB"/>
    <w:rsid w:val="00DE1CE8"/>
    <w:rsid w:val="00DE1F22"/>
    <w:rsid w:val="00DE31E3"/>
    <w:rsid w:val="00DE32BC"/>
    <w:rsid w:val="00DE4F5B"/>
    <w:rsid w:val="00DE56CC"/>
    <w:rsid w:val="00DE7917"/>
    <w:rsid w:val="00DE7ED9"/>
    <w:rsid w:val="00DF10EB"/>
    <w:rsid w:val="00DF18EA"/>
    <w:rsid w:val="00DF3FC7"/>
    <w:rsid w:val="00DF55F9"/>
    <w:rsid w:val="00DF59FD"/>
    <w:rsid w:val="00E00CAE"/>
    <w:rsid w:val="00E03A0A"/>
    <w:rsid w:val="00E05D63"/>
    <w:rsid w:val="00E067F5"/>
    <w:rsid w:val="00E122F3"/>
    <w:rsid w:val="00E13F37"/>
    <w:rsid w:val="00E2003B"/>
    <w:rsid w:val="00E209FA"/>
    <w:rsid w:val="00E22716"/>
    <w:rsid w:val="00E23BF3"/>
    <w:rsid w:val="00E24402"/>
    <w:rsid w:val="00E25172"/>
    <w:rsid w:val="00E25592"/>
    <w:rsid w:val="00E26B0A"/>
    <w:rsid w:val="00E26C6B"/>
    <w:rsid w:val="00E27B47"/>
    <w:rsid w:val="00E31388"/>
    <w:rsid w:val="00E36901"/>
    <w:rsid w:val="00E42827"/>
    <w:rsid w:val="00E43B8C"/>
    <w:rsid w:val="00E44CEC"/>
    <w:rsid w:val="00E45214"/>
    <w:rsid w:val="00E460B0"/>
    <w:rsid w:val="00E46AF1"/>
    <w:rsid w:val="00E50163"/>
    <w:rsid w:val="00E51A61"/>
    <w:rsid w:val="00E54994"/>
    <w:rsid w:val="00E55442"/>
    <w:rsid w:val="00E60F6F"/>
    <w:rsid w:val="00E62170"/>
    <w:rsid w:val="00E64156"/>
    <w:rsid w:val="00E67DC2"/>
    <w:rsid w:val="00E7018E"/>
    <w:rsid w:val="00E71157"/>
    <w:rsid w:val="00E7134A"/>
    <w:rsid w:val="00E726EC"/>
    <w:rsid w:val="00E737F1"/>
    <w:rsid w:val="00E75B9E"/>
    <w:rsid w:val="00E76458"/>
    <w:rsid w:val="00E80CEB"/>
    <w:rsid w:val="00E84716"/>
    <w:rsid w:val="00E87AF4"/>
    <w:rsid w:val="00E9245F"/>
    <w:rsid w:val="00E964B6"/>
    <w:rsid w:val="00EA4286"/>
    <w:rsid w:val="00EA69F7"/>
    <w:rsid w:val="00EB01F7"/>
    <w:rsid w:val="00EB147A"/>
    <w:rsid w:val="00EB2577"/>
    <w:rsid w:val="00EB56A3"/>
    <w:rsid w:val="00EB5AB0"/>
    <w:rsid w:val="00EC3076"/>
    <w:rsid w:val="00EC3EF1"/>
    <w:rsid w:val="00EC6FF8"/>
    <w:rsid w:val="00ED2889"/>
    <w:rsid w:val="00ED3E75"/>
    <w:rsid w:val="00ED510E"/>
    <w:rsid w:val="00ED5ED4"/>
    <w:rsid w:val="00EE022D"/>
    <w:rsid w:val="00EE209E"/>
    <w:rsid w:val="00EE2165"/>
    <w:rsid w:val="00EE6032"/>
    <w:rsid w:val="00EE66A4"/>
    <w:rsid w:val="00EE6F5F"/>
    <w:rsid w:val="00EF1F31"/>
    <w:rsid w:val="00EF592C"/>
    <w:rsid w:val="00EF6701"/>
    <w:rsid w:val="00EF6AC1"/>
    <w:rsid w:val="00EF7CB9"/>
    <w:rsid w:val="00F0228A"/>
    <w:rsid w:val="00F04699"/>
    <w:rsid w:val="00F047AE"/>
    <w:rsid w:val="00F056AC"/>
    <w:rsid w:val="00F0597E"/>
    <w:rsid w:val="00F072F8"/>
    <w:rsid w:val="00F07942"/>
    <w:rsid w:val="00F07C45"/>
    <w:rsid w:val="00F107DE"/>
    <w:rsid w:val="00F20062"/>
    <w:rsid w:val="00F252C5"/>
    <w:rsid w:val="00F34B2D"/>
    <w:rsid w:val="00F36FA4"/>
    <w:rsid w:val="00F371C3"/>
    <w:rsid w:val="00F37E0E"/>
    <w:rsid w:val="00F42C29"/>
    <w:rsid w:val="00F440B9"/>
    <w:rsid w:val="00F44E26"/>
    <w:rsid w:val="00F46E34"/>
    <w:rsid w:val="00F47B8A"/>
    <w:rsid w:val="00F50930"/>
    <w:rsid w:val="00F51BC2"/>
    <w:rsid w:val="00F52521"/>
    <w:rsid w:val="00F5334A"/>
    <w:rsid w:val="00F538D9"/>
    <w:rsid w:val="00F61323"/>
    <w:rsid w:val="00F62340"/>
    <w:rsid w:val="00F63524"/>
    <w:rsid w:val="00F64A07"/>
    <w:rsid w:val="00F758C3"/>
    <w:rsid w:val="00F75F90"/>
    <w:rsid w:val="00F80053"/>
    <w:rsid w:val="00F806E0"/>
    <w:rsid w:val="00F80BD6"/>
    <w:rsid w:val="00F80D06"/>
    <w:rsid w:val="00F90514"/>
    <w:rsid w:val="00F931E8"/>
    <w:rsid w:val="00F96074"/>
    <w:rsid w:val="00F97269"/>
    <w:rsid w:val="00F97E6A"/>
    <w:rsid w:val="00FA175B"/>
    <w:rsid w:val="00FA2D6A"/>
    <w:rsid w:val="00FB0C99"/>
    <w:rsid w:val="00FB56A5"/>
    <w:rsid w:val="00FB636E"/>
    <w:rsid w:val="00FC3598"/>
    <w:rsid w:val="00FC4675"/>
    <w:rsid w:val="00FD1E02"/>
    <w:rsid w:val="00FD22F6"/>
    <w:rsid w:val="00FD3F85"/>
    <w:rsid w:val="00FD4150"/>
    <w:rsid w:val="00FD4CB8"/>
    <w:rsid w:val="00FD5461"/>
    <w:rsid w:val="00FD6818"/>
    <w:rsid w:val="00FD75B8"/>
    <w:rsid w:val="00FE782B"/>
    <w:rsid w:val="00FF2C41"/>
    <w:rsid w:val="00FF3AE8"/>
    <w:rsid w:val="00FF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C72FE99-23E4-451E-8ED2-B4F3CF32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01466"/>
    <w:pPr>
      <w:numPr>
        <w:numId w:val="2"/>
      </w:numPr>
    </w:pPr>
    <w:rPr>
      <w:rFonts w:eastAsia="Times New Roman"/>
      <w:lang w:eastAsia="de-DE"/>
    </w:rPr>
  </w:style>
  <w:style w:type="paragraph" w:styleId="ListNumber">
    <w:name w:val="List Number"/>
    <w:basedOn w:val="Normal"/>
    <w:rsid w:val="00401466"/>
    <w:pPr>
      <w:numPr>
        <w:numId w:val="6"/>
      </w:numPr>
    </w:pPr>
    <w:rPr>
      <w:rFonts w:eastAsia="Times New Roman"/>
      <w:lang w:eastAsia="de-DE"/>
    </w:rPr>
  </w:style>
  <w:style w:type="paragraph" w:customStyle="1" w:styleId="ListBullet1">
    <w:name w:val="List Bullet 1"/>
    <w:basedOn w:val="Normal"/>
    <w:rsid w:val="00401466"/>
    <w:pPr>
      <w:numPr>
        <w:numId w:val="1"/>
      </w:numPr>
    </w:pPr>
    <w:rPr>
      <w:rFonts w:eastAsia="Times New Roman"/>
      <w:lang w:eastAsia="de-DE"/>
    </w:rPr>
  </w:style>
  <w:style w:type="paragraph" w:customStyle="1" w:styleId="ListDash">
    <w:name w:val="List Dash"/>
    <w:basedOn w:val="Normal"/>
    <w:rsid w:val="00401466"/>
    <w:pPr>
      <w:numPr>
        <w:numId w:val="3"/>
      </w:numPr>
    </w:pPr>
    <w:rPr>
      <w:rFonts w:eastAsia="Times New Roman"/>
      <w:lang w:eastAsia="de-DE"/>
    </w:rPr>
  </w:style>
  <w:style w:type="paragraph" w:customStyle="1" w:styleId="ListDash1">
    <w:name w:val="List Dash 1"/>
    <w:basedOn w:val="Normal"/>
    <w:rsid w:val="00401466"/>
    <w:pPr>
      <w:numPr>
        <w:numId w:val="4"/>
      </w:numPr>
    </w:pPr>
    <w:rPr>
      <w:rFonts w:eastAsia="Times New Roman"/>
      <w:lang w:eastAsia="de-DE"/>
    </w:rPr>
  </w:style>
  <w:style w:type="paragraph" w:customStyle="1" w:styleId="ListDash2">
    <w:name w:val="List Dash 2"/>
    <w:basedOn w:val="Normal"/>
    <w:rsid w:val="00401466"/>
    <w:pPr>
      <w:numPr>
        <w:numId w:val="5"/>
      </w:numPr>
    </w:pPr>
    <w:rPr>
      <w:rFonts w:eastAsia="Times New Roman"/>
      <w:lang w:eastAsia="de-DE"/>
    </w:rPr>
  </w:style>
  <w:style w:type="paragraph" w:customStyle="1" w:styleId="ListNumberLevel2">
    <w:name w:val="List Number (Level 2)"/>
    <w:basedOn w:val="Normal"/>
    <w:rsid w:val="00401466"/>
    <w:pPr>
      <w:numPr>
        <w:ilvl w:val="1"/>
        <w:numId w:val="6"/>
      </w:numPr>
    </w:pPr>
    <w:rPr>
      <w:rFonts w:eastAsia="Times New Roman"/>
      <w:lang w:eastAsia="de-DE"/>
    </w:rPr>
  </w:style>
  <w:style w:type="paragraph" w:customStyle="1" w:styleId="ListNumberLevel3">
    <w:name w:val="List Number (Level 3)"/>
    <w:basedOn w:val="Normal"/>
    <w:rsid w:val="00401466"/>
    <w:pPr>
      <w:numPr>
        <w:ilvl w:val="2"/>
        <w:numId w:val="6"/>
      </w:numPr>
    </w:pPr>
    <w:rPr>
      <w:rFonts w:eastAsia="Times New Roman"/>
      <w:lang w:eastAsia="de-DE"/>
    </w:rPr>
  </w:style>
  <w:style w:type="paragraph" w:customStyle="1" w:styleId="ListNumberLevel4">
    <w:name w:val="List Number (Level 4)"/>
    <w:basedOn w:val="Normal"/>
    <w:rsid w:val="00401466"/>
    <w:pPr>
      <w:numPr>
        <w:ilvl w:val="3"/>
        <w:numId w:val="6"/>
      </w:numPr>
    </w:pPr>
    <w:rPr>
      <w:rFonts w:eastAsia="Times New Roman"/>
      <w:lang w:eastAsia="de-DE"/>
    </w:rPr>
  </w:style>
  <w:style w:type="table" w:styleId="TableGrid">
    <w:name w:val="Table Grid"/>
    <w:basedOn w:val="TableNormal"/>
    <w:rsid w:val="00401466"/>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01466"/>
    <w:rPr>
      <w:color w:val="0000FF"/>
      <w:u w:val="single"/>
    </w:rPr>
  </w:style>
  <w:style w:type="paragraph" w:styleId="ListBullet">
    <w:name w:val="List Bullet"/>
    <w:basedOn w:val="Normal"/>
    <w:rsid w:val="00401466"/>
    <w:pPr>
      <w:numPr>
        <w:numId w:val="7"/>
      </w:numPr>
    </w:pPr>
    <w:rPr>
      <w:rFonts w:eastAsia="Times New Roman"/>
      <w:lang w:eastAsia="en-GB"/>
    </w:rPr>
  </w:style>
  <w:style w:type="paragraph" w:styleId="ListBullet2">
    <w:name w:val="List Bullet 2"/>
    <w:basedOn w:val="Normal"/>
    <w:rsid w:val="00401466"/>
    <w:pPr>
      <w:numPr>
        <w:numId w:val="8"/>
      </w:numPr>
    </w:pPr>
    <w:rPr>
      <w:rFonts w:eastAsia="Times New Roman"/>
      <w:lang w:eastAsia="en-GB"/>
    </w:rPr>
  </w:style>
  <w:style w:type="paragraph" w:styleId="ListBullet3">
    <w:name w:val="List Bullet 3"/>
    <w:basedOn w:val="Normal"/>
    <w:rsid w:val="00401466"/>
    <w:pPr>
      <w:numPr>
        <w:numId w:val="9"/>
      </w:numPr>
    </w:pPr>
    <w:rPr>
      <w:rFonts w:eastAsia="Times New Roman"/>
      <w:lang w:eastAsia="en-GB"/>
    </w:rPr>
  </w:style>
  <w:style w:type="paragraph" w:styleId="ListNumber2">
    <w:name w:val="List Number 2"/>
    <w:basedOn w:val="Normal"/>
    <w:rsid w:val="00401466"/>
    <w:pPr>
      <w:numPr>
        <w:numId w:val="13"/>
      </w:numPr>
    </w:pPr>
    <w:rPr>
      <w:rFonts w:eastAsia="Times New Roman"/>
      <w:lang w:eastAsia="en-GB"/>
    </w:rPr>
  </w:style>
  <w:style w:type="paragraph" w:styleId="ListNumber3">
    <w:name w:val="List Number 3"/>
    <w:basedOn w:val="Normal"/>
    <w:rsid w:val="00401466"/>
    <w:pPr>
      <w:numPr>
        <w:numId w:val="14"/>
      </w:numPr>
    </w:pPr>
    <w:rPr>
      <w:rFonts w:eastAsia="Times New Roman"/>
      <w:lang w:eastAsia="en-GB"/>
    </w:rPr>
  </w:style>
  <w:style w:type="paragraph" w:styleId="ListNumber4">
    <w:name w:val="List Number 4"/>
    <w:basedOn w:val="Normal"/>
    <w:rsid w:val="00401466"/>
    <w:pPr>
      <w:numPr>
        <w:numId w:val="15"/>
      </w:numPr>
    </w:pPr>
    <w:rPr>
      <w:rFonts w:eastAsia="Times New Roman"/>
      <w:lang w:eastAsia="en-GB"/>
    </w:rPr>
  </w:style>
  <w:style w:type="paragraph" w:customStyle="1" w:styleId="ListDash3">
    <w:name w:val="List Dash 3"/>
    <w:basedOn w:val="Normal"/>
    <w:rsid w:val="00401466"/>
    <w:pPr>
      <w:numPr>
        <w:numId w:val="10"/>
      </w:numPr>
    </w:pPr>
    <w:rPr>
      <w:rFonts w:eastAsia="Times New Roman"/>
      <w:lang w:eastAsia="en-GB"/>
    </w:rPr>
  </w:style>
  <w:style w:type="paragraph" w:customStyle="1" w:styleId="ListDash4">
    <w:name w:val="List Dash 4"/>
    <w:basedOn w:val="Normal"/>
    <w:rsid w:val="00401466"/>
    <w:pPr>
      <w:numPr>
        <w:numId w:val="11"/>
      </w:numPr>
    </w:pPr>
    <w:rPr>
      <w:rFonts w:eastAsia="Times New Roman"/>
      <w:lang w:eastAsia="en-GB"/>
    </w:rPr>
  </w:style>
  <w:style w:type="paragraph" w:customStyle="1" w:styleId="ListNumber1">
    <w:name w:val="List Number 1"/>
    <w:basedOn w:val="Text1"/>
    <w:rsid w:val="00401466"/>
    <w:pPr>
      <w:numPr>
        <w:numId w:val="12"/>
      </w:numPr>
    </w:pPr>
    <w:rPr>
      <w:rFonts w:eastAsia="Times New Roman"/>
      <w:lang w:eastAsia="en-GB"/>
    </w:rPr>
  </w:style>
  <w:style w:type="paragraph" w:customStyle="1" w:styleId="ListNumber1Level2">
    <w:name w:val="List Number 1 (Level 2)"/>
    <w:basedOn w:val="Text1"/>
    <w:rsid w:val="00401466"/>
    <w:pPr>
      <w:numPr>
        <w:ilvl w:val="1"/>
        <w:numId w:val="12"/>
      </w:numPr>
    </w:pPr>
    <w:rPr>
      <w:rFonts w:eastAsia="Times New Roman"/>
      <w:lang w:eastAsia="en-GB"/>
    </w:rPr>
  </w:style>
  <w:style w:type="paragraph" w:customStyle="1" w:styleId="ListNumber2Level2">
    <w:name w:val="List Number 2 (Level 2)"/>
    <w:basedOn w:val="Text2"/>
    <w:rsid w:val="00401466"/>
    <w:pPr>
      <w:numPr>
        <w:ilvl w:val="1"/>
        <w:numId w:val="13"/>
      </w:numPr>
    </w:pPr>
    <w:rPr>
      <w:rFonts w:eastAsia="Times New Roman"/>
      <w:lang w:eastAsia="en-GB"/>
    </w:rPr>
  </w:style>
  <w:style w:type="paragraph" w:customStyle="1" w:styleId="ListNumber3Level2">
    <w:name w:val="List Number 3 (Level 2)"/>
    <w:basedOn w:val="Text3"/>
    <w:rsid w:val="00401466"/>
    <w:pPr>
      <w:numPr>
        <w:ilvl w:val="1"/>
        <w:numId w:val="14"/>
      </w:numPr>
    </w:pPr>
    <w:rPr>
      <w:rFonts w:eastAsia="Times New Roman"/>
      <w:lang w:eastAsia="en-GB"/>
    </w:rPr>
  </w:style>
  <w:style w:type="paragraph" w:customStyle="1" w:styleId="ListNumber4Level2">
    <w:name w:val="List Number 4 (Level 2)"/>
    <w:basedOn w:val="Text4"/>
    <w:rsid w:val="00401466"/>
    <w:pPr>
      <w:numPr>
        <w:ilvl w:val="1"/>
        <w:numId w:val="15"/>
      </w:numPr>
    </w:pPr>
    <w:rPr>
      <w:rFonts w:eastAsia="Times New Roman"/>
      <w:lang w:eastAsia="en-GB"/>
    </w:rPr>
  </w:style>
  <w:style w:type="paragraph" w:customStyle="1" w:styleId="ListNumber1Level3">
    <w:name w:val="List Number 1 (Level 3)"/>
    <w:basedOn w:val="Text1"/>
    <w:rsid w:val="00401466"/>
    <w:pPr>
      <w:numPr>
        <w:ilvl w:val="2"/>
        <w:numId w:val="12"/>
      </w:numPr>
    </w:pPr>
    <w:rPr>
      <w:rFonts w:eastAsia="Times New Roman"/>
      <w:lang w:eastAsia="en-GB"/>
    </w:rPr>
  </w:style>
  <w:style w:type="paragraph" w:customStyle="1" w:styleId="ListNumber2Level3">
    <w:name w:val="List Number 2 (Level 3)"/>
    <w:basedOn w:val="Text2"/>
    <w:rsid w:val="00401466"/>
    <w:pPr>
      <w:numPr>
        <w:ilvl w:val="2"/>
        <w:numId w:val="13"/>
      </w:numPr>
    </w:pPr>
    <w:rPr>
      <w:rFonts w:eastAsia="Times New Roman"/>
      <w:lang w:eastAsia="en-GB"/>
    </w:rPr>
  </w:style>
  <w:style w:type="paragraph" w:customStyle="1" w:styleId="ListNumber3Level3">
    <w:name w:val="List Number 3 (Level 3)"/>
    <w:basedOn w:val="Text3"/>
    <w:rsid w:val="00401466"/>
    <w:pPr>
      <w:numPr>
        <w:ilvl w:val="2"/>
        <w:numId w:val="14"/>
      </w:numPr>
    </w:pPr>
    <w:rPr>
      <w:rFonts w:eastAsia="Times New Roman"/>
      <w:lang w:eastAsia="en-GB"/>
    </w:rPr>
  </w:style>
  <w:style w:type="paragraph" w:customStyle="1" w:styleId="ListNumber4Level3">
    <w:name w:val="List Number 4 (Level 3)"/>
    <w:basedOn w:val="Text4"/>
    <w:rsid w:val="00401466"/>
    <w:pPr>
      <w:numPr>
        <w:ilvl w:val="2"/>
        <w:numId w:val="15"/>
      </w:numPr>
    </w:pPr>
    <w:rPr>
      <w:rFonts w:eastAsia="Times New Roman"/>
      <w:lang w:eastAsia="en-GB"/>
    </w:rPr>
  </w:style>
  <w:style w:type="paragraph" w:customStyle="1" w:styleId="ListNumber1Level4">
    <w:name w:val="List Number 1 (Level 4)"/>
    <w:basedOn w:val="Text1"/>
    <w:rsid w:val="00401466"/>
    <w:pPr>
      <w:numPr>
        <w:ilvl w:val="3"/>
        <w:numId w:val="12"/>
      </w:numPr>
    </w:pPr>
    <w:rPr>
      <w:rFonts w:eastAsia="Times New Roman"/>
      <w:lang w:eastAsia="en-GB"/>
    </w:rPr>
  </w:style>
  <w:style w:type="paragraph" w:customStyle="1" w:styleId="ListNumber2Level4">
    <w:name w:val="List Number 2 (Level 4)"/>
    <w:basedOn w:val="Text2"/>
    <w:rsid w:val="00401466"/>
    <w:pPr>
      <w:numPr>
        <w:ilvl w:val="3"/>
        <w:numId w:val="13"/>
      </w:numPr>
    </w:pPr>
    <w:rPr>
      <w:rFonts w:eastAsia="Times New Roman"/>
      <w:lang w:eastAsia="en-GB"/>
    </w:rPr>
  </w:style>
  <w:style w:type="paragraph" w:customStyle="1" w:styleId="ListNumber3Level4">
    <w:name w:val="List Number 3 (Level 4)"/>
    <w:basedOn w:val="Text3"/>
    <w:rsid w:val="00401466"/>
    <w:pPr>
      <w:numPr>
        <w:ilvl w:val="3"/>
        <w:numId w:val="14"/>
      </w:numPr>
    </w:pPr>
    <w:rPr>
      <w:rFonts w:eastAsia="Times New Roman"/>
      <w:lang w:eastAsia="en-GB"/>
    </w:rPr>
  </w:style>
  <w:style w:type="paragraph" w:customStyle="1" w:styleId="ListNumber4Level4">
    <w:name w:val="List Number 4 (Level 4)"/>
    <w:basedOn w:val="Text4"/>
    <w:rsid w:val="00401466"/>
    <w:pPr>
      <w:numPr>
        <w:ilvl w:val="3"/>
        <w:numId w:val="15"/>
      </w:numPr>
    </w:pPr>
    <w:rPr>
      <w:rFonts w:eastAsia="Times New Roman"/>
      <w:lang w:eastAsia="en-GB"/>
    </w:rPr>
  </w:style>
  <w:style w:type="paragraph" w:customStyle="1" w:styleId="Annexetitreacte">
    <w:name w:val="Annexe titre (acte)"/>
    <w:basedOn w:val="Normal"/>
    <w:next w:val="Normal"/>
    <w:rsid w:val="00401466"/>
    <w:pPr>
      <w:jc w:val="center"/>
    </w:pPr>
    <w:rPr>
      <w:rFonts w:eastAsia="Times New Roman"/>
      <w:b/>
      <w:u w:val="single"/>
      <w:lang w:eastAsia="en-GB"/>
    </w:rPr>
  </w:style>
  <w:style w:type="paragraph" w:customStyle="1" w:styleId="Annexetitreexposglobal">
    <w:name w:val="Annexe titre (exposé global)"/>
    <w:basedOn w:val="Normal"/>
    <w:next w:val="Normal"/>
    <w:rsid w:val="00401466"/>
    <w:pPr>
      <w:jc w:val="center"/>
    </w:pPr>
    <w:rPr>
      <w:rFonts w:eastAsia="Times New Roman"/>
      <w:b/>
      <w:u w:val="single"/>
      <w:lang w:eastAsia="en-GB"/>
    </w:rPr>
  </w:style>
  <w:style w:type="paragraph" w:customStyle="1" w:styleId="Annexetitrefichefinacte">
    <w:name w:val="Annexe titre (fiche fin. acte)"/>
    <w:basedOn w:val="Normal"/>
    <w:next w:val="Normal"/>
    <w:rsid w:val="00401466"/>
    <w:pPr>
      <w:jc w:val="center"/>
    </w:pPr>
    <w:rPr>
      <w:rFonts w:eastAsia="Times New Roman"/>
      <w:b/>
      <w:u w:val="single"/>
      <w:lang w:eastAsia="en-GB"/>
    </w:rPr>
  </w:style>
  <w:style w:type="paragraph" w:customStyle="1" w:styleId="Annexetitrefichefinglobale">
    <w:name w:val="Annexe titre (fiche fin. globale)"/>
    <w:basedOn w:val="Normal"/>
    <w:next w:val="Normal"/>
    <w:rsid w:val="00401466"/>
    <w:pPr>
      <w:jc w:val="center"/>
    </w:pPr>
    <w:rPr>
      <w:rFonts w:eastAsia="Times New Roman"/>
      <w:b/>
      <w:u w:val="single"/>
      <w:lang w:eastAsia="en-GB"/>
    </w:rPr>
  </w:style>
  <w:style w:type="paragraph" w:customStyle="1" w:styleId="Annexetitreglobale">
    <w:name w:val="Annexe titre (globale)"/>
    <w:basedOn w:val="Normal"/>
    <w:next w:val="Normal"/>
    <w:rsid w:val="00401466"/>
    <w:pPr>
      <w:jc w:val="center"/>
    </w:pPr>
    <w:rPr>
      <w:rFonts w:eastAsia="Times New Roman"/>
      <w:b/>
      <w:u w:val="single"/>
      <w:lang w:eastAsia="en-GB"/>
    </w:rPr>
  </w:style>
  <w:style w:type="paragraph" w:customStyle="1" w:styleId="Exposdesmotifstitreglobal">
    <w:name w:val="Exposé des motifs titre (global)"/>
    <w:basedOn w:val="Normal"/>
    <w:next w:val="Normal"/>
    <w:rsid w:val="00401466"/>
    <w:pPr>
      <w:jc w:val="center"/>
    </w:pPr>
    <w:rPr>
      <w:rFonts w:eastAsia="Times New Roman"/>
      <w:b/>
      <w:u w:val="single"/>
      <w:lang w:eastAsia="en-GB"/>
    </w:rPr>
  </w:style>
  <w:style w:type="paragraph" w:customStyle="1" w:styleId="Langueoriginale">
    <w:name w:val="Langue originale"/>
    <w:basedOn w:val="Normal"/>
    <w:rsid w:val="00401466"/>
    <w:pPr>
      <w:spacing w:before="360"/>
      <w:jc w:val="center"/>
    </w:pPr>
    <w:rPr>
      <w:rFonts w:eastAsia="Times New Roman"/>
      <w:caps/>
      <w:lang w:eastAsia="en-GB"/>
    </w:rPr>
  </w:style>
  <w:style w:type="paragraph" w:customStyle="1" w:styleId="Phrasefinale">
    <w:name w:val="Phrase finale"/>
    <w:basedOn w:val="Normal"/>
    <w:next w:val="Normal"/>
    <w:rsid w:val="00401466"/>
    <w:pPr>
      <w:spacing w:before="360" w:after="0"/>
      <w:jc w:val="center"/>
    </w:pPr>
    <w:rPr>
      <w:rFonts w:eastAsia="Times New Roman"/>
      <w:lang w:eastAsia="en-GB"/>
    </w:rPr>
  </w:style>
  <w:style w:type="paragraph" w:customStyle="1" w:styleId="Prliminairetitre">
    <w:name w:val="Préliminaire titre"/>
    <w:basedOn w:val="Normal"/>
    <w:next w:val="Normal"/>
    <w:rsid w:val="00401466"/>
    <w:pPr>
      <w:spacing w:before="360" w:after="360"/>
      <w:jc w:val="center"/>
    </w:pPr>
    <w:rPr>
      <w:rFonts w:eastAsia="Times New Roman"/>
      <w:b/>
      <w:lang w:eastAsia="en-GB"/>
    </w:rPr>
  </w:style>
  <w:style w:type="paragraph" w:customStyle="1" w:styleId="Prliminairetype">
    <w:name w:val="Préliminaire type"/>
    <w:basedOn w:val="Normal"/>
    <w:next w:val="Normal"/>
    <w:rsid w:val="0040146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0146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0146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01466"/>
    <w:pPr>
      <w:spacing w:before="0" w:after="0"/>
      <w:ind w:left="5103"/>
      <w:jc w:val="left"/>
    </w:pPr>
    <w:rPr>
      <w:rFonts w:eastAsia="Times New Roman"/>
      <w:lang w:eastAsia="en-GB"/>
    </w:rPr>
  </w:style>
  <w:style w:type="paragraph" w:customStyle="1" w:styleId="Sous-titreobjetprliminaire">
    <w:name w:val="Sous-titre objet (préliminaire)"/>
    <w:basedOn w:val="Normal"/>
    <w:rsid w:val="00401466"/>
    <w:pPr>
      <w:spacing w:before="0" w:after="0"/>
      <w:jc w:val="center"/>
    </w:pPr>
    <w:rPr>
      <w:rFonts w:eastAsia="Times New Roman"/>
      <w:b/>
      <w:lang w:eastAsia="en-GB"/>
    </w:rPr>
  </w:style>
  <w:style w:type="paragraph" w:customStyle="1" w:styleId="Statutprliminaire">
    <w:name w:val="Statut (préliminaire)"/>
    <w:basedOn w:val="Normal"/>
    <w:next w:val="Normal"/>
    <w:rsid w:val="00401466"/>
    <w:pPr>
      <w:spacing w:before="360" w:after="0"/>
      <w:jc w:val="center"/>
    </w:pPr>
    <w:rPr>
      <w:rFonts w:eastAsia="Times New Roman"/>
      <w:lang w:eastAsia="en-GB"/>
    </w:rPr>
  </w:style>
  <w:style w:type="paragraph" w:customStyle="1" w:styleId="Titreobjetprliminaire">
    <w:name w:val="Titre objet (préliminaire)"/>
    <w:basedOn w:val="Normal"/>
    <w:next w:val="Normal"/>
    <w:rsid w:val="0040146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0146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0146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01466"/>
    <w:pPr>
      <w:jc w:val="center"/>
    </w:pPr>
    <w:rPr>
      <w:rFonts w:eastAsia="Times New Roman"/>
      <w:b/>
      <w:u w:val="single"/>
      <w:lang w:eastAsia="en-GB"/>
    </w:rPr>
  </w:style>
  <w:style w:type="paragraph" w:customStyle="1" w:styleId="Fichefinanciretravailtitre">
    <w:name w:val="Fiche financière (travail) titre"/>
    <w:basedOn w:val="Normal"/>
    <w:next w:val="Normal"/>
    <w:rsid w:val="0040146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0146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0146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01466"/>
    <w:pPr>
      <w:jc w:val="center"/>
    </w:pPr>
    <w:rPr>
      <w:rFonts w:eastAsia="Times New Roman"/>
      <w:b/>
      <w:u w:val="single"/>
      <w:lang w:eastAsia="en-GB"/>
    </w:rPr>
  </w:style>
  <w:style w:type="character" w:styleId="CommentReference">
    <w:name w:val="annotation reference"/>
    <w:uiPriority w:val="99"/>
    <w:rsid w:val="00401466"/>
    <w:rPr>
      <w:rFonts w:cs="Times New Roman"/>
      <w:sz w:val="16"/>
      <w:szCs w:val="16"/>
    </w:rPr>
  </w:style>
  <w:style w:type="paragraph" w:styleId="CommentText">
    <w:name w:val="annotation text"/>
    <w:basedOn w:val="Normal"/>
    <w:link w:val="CommentTextChar"/>
    <w:uiPriority w:val="99"/>
    <w:rsid w:val="00401466"/>
    <w:rPr>
      <w:rFonts w:eastAsia="Times New Roman"/>
      <w:sz w:val="20"/>
      <w:szCs w:val="20"/>
      <w:lang w:eastAsia="en-GB"/>
    </w:rPr>
  </w:style>
  <w:style w:type="character" w:customStyle="1" w:styleId="CommentTextChar">
    <w:name w:val="Comment Text Char"/>
    <w:basedOn w:val="DefaultParagraphFont"/>
    <w:link w:val="CommentText"/>
    <w:uiPriority w:val="99"/>
    <w:rsid w:val="0040146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01466"/>
    <w:rPr>
      <w:b/>
      <w:bCs/>
    </w:rPr>
  </w:style>
  <w:style w:type="character" w:customStyle="1" w:styleId="CommentSubjectChar">
    <w:name w:val="Comment Subject Char"/>
    <w:basedOn w:val="CommentTextChar"/>
    <w:link w:val="CommentSubject"/>
    <w:rsid w:val="0040146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0146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01466"/>
    <w:rPr>
      <w:rFonts w:ascii="Tahoma" w:eastAsia="Times New Roman" w:hAnsi="Tahoma" w:cs="Tahoma"/>
      <w:sz w:val="16"/>
      <w:szCs w:val="16"/>
      <w:lang w:val="fr-FR" w:eastAsia="en-GB"/>
    </w:rPr>
  </w:style>
  <w:style w:type="paragraph" w:styleId="Caption">
    <w:name w:val="caption"/>
    <w:basedOn w:val="Normal"/>
    <w:next w:val="Normal"/>
    <w:qFormat/>
    <w:rsid w:val="00401466"/>
    <w:rPr>
      <w:rFonts w:eastAsia="Times New Roman"/>
      <w:b/>
      <w:bCs/>
      <w:sz w:val="20"/>
      <w:szCs w:val="20"/>
      <w:lang w:eastAsia="en-GB"/>
    </w:rPr>
  </w:style>
  <w:style w:type="paragraph" w:styleId="TableofFigures">
    <w:name w:val="table of figures"/>
    <w:basedOn w:val="Normal"/>
    <w:next w:val="Normal"/>
    <w:rsid w:val="00401466"/>
    <w:rPr>
      <w:rFonts w:eastAsia="Times New Roman"/>
      <w:lang w:eastAsia="en-GB"/>
    </w:rPr>
  </w:style>
  <w:style w:type="character" w:styleId="PageNumber">
    <w:name w:val="page number"/>
    <w:rsid w:val="00401466"/>
  </w:style>
  <w:style w:type="character" w:customStyle="1" w:styleId="tw4winMark">
    <w:name w:val="tw4winMark"/>
    <w:rsid w:val="00401466"/>
    <w:rPr>
      <w:vanish/>
      <w:color w:val="800080"/>
      <w:vertAlign w:val="subscript"/>
    </w:rPr>
  </w:style>
  <w:style w:type="character" w:styleId="FollowedHyperlink">
    <w:name w:val="FollowedHyperlink"/>
    <w:rsid w:val="00401466"/>
    <w:rPr>
      <w:color w:val="800080"/>
      <w:u w:val="single"/>
    </w:rPr>
  </w:style>
  <w:style w:type="paragraph" w:customStyle="1" w:styleId="Sous-titreobjet">
    <w:name w:val="Sous-titre objet"/>
    <w:basedOn w:val="Normal"/>
    <w:rsid w:val="0040146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01466"/>
  </w:style>
  <w:style w:type="paragraph" w:styleId="Revision">
    <w:name w:val="Revision"/>
    <w:hidden/>
    <w:uiPriority w:val="99"/>
    <w:semiHidden/>
    <w:rsid w:val="00401466"/>
    <w:rPr>
      <w:rFonts w:ascii="Calibri" w:eastAsia="Calibri" w:hAnsi="Calibri" w:cs="Times New Roman"/>
      <w:sz w:val="24"/>
      <w:lang w:eastAsia="en-GB"/>
    </w:rPr>
  </w:style>
  <w:style w:type="paragraph" w:customStyle="1" w:styleId="FooterCoverPage">
    <w:name w:val="Footer Cover Page"/>
    <w:basedOn w:val="Normal"/>
    <w:link w:val="FooterCoverPageChar"/>
    <w:rsid w:val="0040146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01466"/>
    <w:rPr>
      <w:rFonts w:ascii="Times New Roman" w:hAnsi="Times New Roman" w:cs="Times New Roman"/>
      <w:b/>
      <w:sz w:val="28"/>
      <w:lang w:val="fr-FR"/>
    </w:rPr>
  </w:style>
  <w:style w:type="character" w:customStyle="1" w:styleId="FooterCoverPageChar">
    <w:name w:val="Footer Cover Page Char"/>
    <w:link w:val="FooterCoverPage"/>
    <w:rsid w:val="00401466"/>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40146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01466"/>
    <w:rPr>
      <w:rFonts w:ascii="Times New Roman" w:eastAsia="Calibri" w:hAnsi="Times New Roman" w:cs="Times New Roman"/>
      <w:sz w:val="24"/>
      <w:lang w:val="fr-FR" w:eastAsia="en-GB"/>
    </w:rPr>
  </w:style>
  <w:style w:type="character" w:customStyle="1" w:styleId="UnresolvedMention1">
    <w:name w:val="Unresolved Mention1"/>
    <w:basedOn w:val="DefaultParagraphFont"/>
    <w:uiPriority w:val="99"/>
    <w:semiHidden/>
    <w:unhideWhenUsed/>
    <w:rsid w:val="000F0AC7"/>
    <w:rPr>
      <w:color w:val="605E5C"/>
      <w:shd w:val="clear" w:color="auto" w:fill="E1DFDD"/>
    </w:rPr>
  </w:style>
  <w:style w:type="character" w:customStyle="1" w:styleId="UnresolvedMention">
    <w:name w:val="Unresolved Mention"/>
    <w:basedOn w:val="DefaultParagraphFont"/>
    <w:uiPriority w:val="99"/>
    <w:semiHidden/>
    <w:unhideWhenUsed/>
    <w:rsid w:val="00375591"/>
    <w:rPr>
      <w:color w:val="605E5C"/>
      <w:shd w:val="clear" w:color="auto" w:fill="E1DFDD"/>
    </w:rPr>
  </w:style>
  <w:style w:type="character" w:customStyle="1" w:styleId="HeaderChar">
    <w:name w:val="Header Char"/>
    <w:basedOn w:val="DefaultParagraphFont"/>
    <w:link w:val="Header"/>
    <w:uiPriority w:val="99"/>
    <w:rsid w:val="00D444D0"/>
    <w:rPr>
      <w:rFonts w:ascii="Times New Roman" w:hAnsi="Times New Roman" w:cs="Times New Roman"/>
      <w:sz w:val="24"/>
      <w:lang w:val="fr-FR"/>
    </w:rPr>
  </w:style>
  <w:style w:type="character" w:customStyle="1" w:styleId="FooterChar">
    <w:name w:val="Footer Char"/>
    <w:basedOn w:val="DefaultParagraphFont"/>
    <w:link w:val="Footer"/>
    <w:uiPriority w:val="99"/>
    <w:rsid w:val="00D444D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444D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444D0"/>
    <w:pPr>
      <w:spacing w:before="0"/>
      <w:jc w:val="right"/>
    </w:pPr>
    <w:rPr>
      <w:sz w:val="28"/>
    </w:rPr>
  </w:style>
  <w:style w:type="paragraph" w:customStyle="1" w:styleId="FooterSensitivity">
    <w:name w:val="Footer Sensitivity"/>
    <w:basedOn w:val="Normal"/>
    <w:rsid w:val="00D444D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444D0"/>
    <w:pPr>
      <w:tabs>
        <w:tab w:val="center" w:pos="4535"/>
        <w:tab w:val="right" w:pos="9071"/>
      </w:tabs>
      <w:spacing w:before="0"/>
    </w:pPr>
  </w:style>
  <w:style w:type="paragraph" w:customStyle="1" w:styleId="HeaderLandscape">
    <w:name w:val="HeaderLandscape"/>
    <w:basedOn w:val="Normal"/>
    <w:rsid w:val="00D444D0"/>
    <w:pPr>
      <w:tabs>
        <w:tab w:val="center" w:pos="7285"/>
        <w:tab w:val="right" w:pos="14003"/>
      </w:tabs>
      <w:spacing w:before="0"/>
    </w:pPr>
  </w:style>
  <w:style w:type="paragraph" w:styleId="Footer">
    <w:name w:val="footer"/>
    <w:basedOn w:val="Normal"/>
    <w:link w:val="FooterChar"/>
    <w:uiPriority w:val="99"/>
    <w:unhideWhenUsed/>
    <w:rsid w:val="00D444D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444D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3218">
      <w:bodyDiv w:val="1"/>
      <w:marLeft w:val="0"/>
      <w:marRight w:val="0"/>
      <w:marTop w:val="0"/>
      <w:marBottom w:val="0"/>
      <w:divBdr>
        <w:top w:val="none" w:sz="0" w:space="0" w:color="auto"/>
        <w:left w:val="none" w:sz="0" w:space="0" w:color="auto"/>
        <w:bottom w:val="none" w:sz="0" w:space="0" w:color="auto"/>
        <w:right w:val="none" w:sz="0" w:space="0" w:color="auto"/>
      </w:divBdr>
    </w:div>
    <w:div w:id="497968654">
      <w:bodyDiv w:val="1"/>
      <w:marLeft w:val="0"/>
      <w:marRight w:val="0"/>
      <w:marTop w:val="0"/>
      <w:marBottom w:val="0"/>
      <w:divBdr>
        <w:top w:val="none" w:sz="0" w:space="0" w:color="auto"/>
        <w:left w:val="none" w:sz="0" w:space="0" w:color="auto"/>
        <w:bottom w:val="none" w:sz="0" w:space="0" w:color="auto"/>
        <w:right w:val="none" w:sz="0" w:space="0" w:color="auto"/>
      </w:divBdr>
    </w:div>
    <w:div w:id="836654388">
      <w:bodyDiv w:val="1"/>
      <w:marLeft w:val="0"/>
      <w:marRight w:val="0"/>
      <w:marTop w:val="0"/>
      <w:marBottom w:val="0"/>
      <w:divBdr>
        <w:top w:val="none" w:sz="0" w:space="0" w:color="auto"/>
        <w:left w:val="none" w:sz="0" w:space="0" w:color="auto"/>
        <w:bottom w:val="none" w:sz="0" w:space="0" w:color="auto"/>
        <w:right w:val="none" w:sz="0" w:space="0" w:color="auto"/>
      </w:divBdr>
    </w:div>
    <w:div w:id="1513910683">
      <w:bodyDiv w:val="1"/>
      <w:marLeft w:val="0"/>
      <w:marRight w:val="0"/>
      <w:marTop w:val="0"/>
      <w:marBottom w:val="0"/>
      <w:divBdr>
        <w:top w:val="none" w:sz="0" w:space="0" w:color="auto"/>
        <w:left w:val="none" w:sz="0" w:space="0" w:color="auto"/>
        <w:bottom w:val="none" w:sz="0" w:space="0" w:color="auto"/>
        <w:right w:val="none" w:sz="0" w:space="0" w:color="auto"/>
      </w:divBdr>
    </w:div>
    <w:div w:id="15745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283/oj" TargetMode="External"/><Relationship Id="rId2" Type="http://schemas.openxmlformats.org/officeDocument/2006/relationships/hyperlink" Target="https://taxation-customs.ec.europa.eu/system/files/2016-09/evaluation_suspensions_duties.pdf" TargetMode="External"/><Relationship Id="rId1" Type="http://schemas.openxmlformats.org/officeDocument/2006/relationships/hyperlink" Target="http://data.europa.eu/eli/reg/2022/256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95D00-D53D-4D2C-B12C-55E1D7A8F840}">
  <ds:schemaRefs>
    <ds:schemaRef ds:uri="http://schemas.microsoft.com/sharepoint/v3/contenttype/forms"/>
  </ds:schemaRefs>
</ds:datastoreItem>
</file>

<file path=customXml/itemProps2.xml><?xml version="1.0" encoding="utf-8"?>
<ds:datastoreItem xmlns:ds="http://schemas.openxmlformats.org/officeDocument/2006/customXml" ds:itemID="{A790F5AB-5A0B-45FA-B06A-213D48ED1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CEF49C-C6F2-4D33-B6CC-FD2370C17167}">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4.xml><?xml version="1.0" encoding="utf-8"?>
<ds:datastoreItem xmlns:ds="http://schemas.openxmlformats.org/officeDocument/2006/customXml" ds:itemID="{9280E463-8A40-40FD-A0AC-23CED3BDB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7</Pages>
  <Words>1896</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12679</CharactersWithSpaces>
  <SharedDoc>false</SharedDoc>
  <HLinks>
    <vt:vector size="18" baseType="variant">
      <vt:variant>
        <vt:i4>6488173</vt:i4>
      </vt:variant>
      <vt:variant>
        <vt:i4>9</vt:i4>
      </vt:variant>
      <vt:variant>
        <vt:i4>0</vt:i4>
      </vt:variant>
      <vt:variant>
        <vt:i4>5</vt:i4>
      </vt:variant>
      <vt:variant>
        <vt:lpwstr>http://data.europa.eu/eli/reg/2021/2283/oj</vt:lpwstr>
      </vt:variant>
      <vt:variant>
        <vt:lpwstr/>
      </vt:variant>
      <vt:variant>
        <vt:i4>1114206</vt:i4>
      </vt:variant>
      <vt:variant>
        <vt:i4>6</vt:i4>
      </vt:variant>
      <vt:variant>
        <vt:i4>0</vt:i4>
      </vt:variant>
      <vt:variant>
        <vt:i4>5</vt:i4>
      </vt:variant>
      <vt:variant>
        <vt:lpwstr>https://taxation-customs.ec.europa.eu/system/files/2016-09/evaluation_suspensions_duties.pdf</vt:lpwstr>
      </vt:variant>
      <vt:variant>
        <vt:lpwstr/>
      </vt:variant>
      <vt:variant>
        <vt:i4>7209066</vt:i4>
      </vt:variant>
      <vt:variant>
        <vt:i4>3</vt:i4>
      </vt:variant>
      <vt:variant>
        <vt:i4>0</vt:i4>
      </vt:variant>
      <vt:variant>
        <vt:i4>5</vt:i4>
      </vt:variant>
      <vt:variant>
        <vt:lpwstr>http://data.europa.eu/eli/reg/2022/2563/oj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26</cp:revision>
  <cp:lastPrinted>2023-10-06T18:43:00Z</cp:lastPrinted>
  <dcterms:created xsi:type="dcterms:W3CDTF">2026-04-17T13:44:00Z</dcterms:created>
  <dcterms:modified xsi:type="dcterms:W3CDTF">2026-04-27T13:50:00Z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2023-02-14T13:33:42Z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a71ce87b-921e-4034-98fa-fe5da1594a02</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