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466" w:rsidRPr="00B002D4" w:rsidRDefault="00125C7F" w:rsidP="00125C7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369B82E-048A-433B-9E7D-80553E85B70E" style="width:455.25pt;height:357.75pt">
            <v:imagedata r:id="rId11" o:title=""/>
          </v:shape>
        </w:pict>
      </w:r>
    </w:p>
    <w:p w:rsidR="00401466" w:rsidRPr="00B002D4" w:rsidRDefault="00401466" w:rsidP="00401466">
      <w:pPr>
        <w:rPr>
          <w:noProof/>
        </w:rPr>
        <w:sectPr w:rsidR="00401466" w:rsidRPr="00B002D4" w:rsidSect="00125C7F">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2A3D8D" w:rsidRPr="00B002D4" w:rsidRDefault="002A3D8D" w:rsidP="002A3D8D">
      <w:pPr>
        <w:pStyle w:val="Exposdesmotifstitre"/>
        <w:rPr>
          <w:noProof/>
        </w:rPr>
      </w:pPr>
      <w:bookmarkStart w:id="0" w:name="_GoBack"/>
      <w:bookmarkEnd w:id="0"/>
      <w:r w:rsidRPr="00B002D4">
        <w:rPr>
          <w:noProof/>
        </w:rPr>
        <w:lastRenderedPageBreak/>
        <w:t>EXPUNERE DE MOTIVE</w:t>
      </w:r>
    </w:p>
    <w:p w:rsidR="002A3D8D" w:rsidRPr="00B002D4" w:rsidRDefault="002A3D8D" w:rsidP="002A3D8D">
      <w:pPr>
        <w:pStyle w:val="ManualHeading1"/>
        <w:rPr>
          <w:noProof/>
        </w:rPr>
      </w:pPr>
      <w:r w:rsidRPr="00B002D4">
        <w:rPr>
          <w:noProof/>
        </w:rPr>
        <w:t>1.</w:t>
      </w:r>
      <w:r w:rsidRPr="00B002D4">
        <w:rPr>
          <w:noProof/>
        </w:rPr>
        <w:tab/>
        <w:t>CONTEXTUL PROPUNERII</w:t>
      </w:r>
    </w:p>
    <w:p w:rsidR="002A3D8D" w:rsidRPr="00B002D4" w:rsidRDefault="002A3D8D" w:rsidP="002A3D8D">
      <w:pPr>
        <w:pStyle w:val="ManualHeading2"/>
        <w:rPr>
          <w:rFonts w:eastAsia="Arial Unicode MS"/>
          <w:noProof/>
        </w:rPr>
      </w:pPr>
      <w:r w:rsidRPr="00B002D4">
        <w:rPr>
          <w:noProof/>
          <w:color w:val="000000"/>
          <w:u w:color="000000"/>
          <w:bdr w:val="nil"/>
        </w:rPr>
        <w:t>•</w:t>
      </w:r>
      <w:r w:rsidRPr="00B002D4">
        <w:rPr>
          <w:noProof/>
        </w:rPr>
        <w:tab/>
        <w:t>Motivele și obiectivele propunerii</w:t>
      </w:r>
    </w:p>
    <w:p w:rsidR="002A3D8D" w:rsidRPr="00B002D4" w:rsidRDefault="002A3D8D" w:rsidP="002A3D8D">
      <w:pPr>
        <w:pBdr>
          <w:top w:val="nil"/>
          <w:left w:val="nil"/>
          <w:bottom w:val="nil"/>
          <w:right w:val="nil"/>
          <w:between w:val="nil"/>
          <w:bar w:val="nil"/>
        </w:pBdr>
        <w:spacing w:before="0" w:after="240"/>
        <w:rPr>
          <w:noProof/>
        </w:rPr>
      </w:pPr>
      <w:r w:rsidRPr="00B002D4">
        <w:rPr>
          <w:noProof/>
        </w:rPr>
        <w:t>Este necesar să se fixeze contingente tarifare autonome ale Uniunii pentru produse a căror producție în Uniune nu este suficientă pentru a satisface necesitățile industriei utilizatoare din Uniune pentru o anumită perioadă contingentară. Trebuie deschise contingente tarifare ale Uniunii cu un nivel redus sau zero al taxelor vamale pentru volumele corespunzătoare, fără a cauza o perturbare a piețelor acestor produse.</w:t>
      </w:r>
    </w:p>
    <w:p w:rsidR="002A3D8D" w:rsidRPr="00B002D4" w:rsidRDefault="002A3D8D" w:rsidP="002A3D8D">
      <w:pPr>
        <w:rPr>
          <w:noProof/>
        </w:rPr>
      </w:pPr>
      <w:r w:rsidRPr="00B002D4">
        <w:rPr>
          <w:noProof/>
        </w:rPr>
        <w:t xml:space="preserve">La 20 decembrie 2021, Consiliul Uniunii Europene a adoptat Regulamentul (UE) 2021/2283 privind deschiderea și modul de gestionare a unor contingente tarifare autonome ale Uniunii pentru anumite produse agricole și industriale, cu scopul de a se putea satisface în cele mai bune condiții cererea Uniunii pentru produsele în cauză. </w:t>
      </w:r>
    </w:p>
    <w:p w:rsidR="002A3D8D" w:rsidRPr="00B002D4" w:rsidRDefault="002A3D8D" w:rsidP="002A3D8D">
      <w:pPr>
        <w:pBdr>
          <w:top w:val="nil"/>
          <w:left w:val="nil"/>
          <w:bottom w:val="nil"/>
          <w:right w:val="nil"/>
          <w:between w:val="nil"/>
          <w:bar w:val="nil"/>
        </w:pBdr>
        <w:spacing w:before="0" w:after="240"/>
        <w:rPr>
          <w:noProof/>
        </w:rPr>
      </w:pPr>
      <w:r w:rsidRPr="00B002D4">
        <w:rPr>
          <w:noProof/>
        </w:rPr>
        <w:t xml:space="preserve">Regulamentul este actualizat din șase în șase luni pentru a răspunde necesităților industriei din Uniune. </w:t>
      </w:r>
    </w:p>
    <w:p w:rsidR="002A3D8D" w:rsidRPr="00B002D4" w:rsidRDefault="002A3D8D" w:rsidP="002A3D8D">
      <w:pPr>
        <w:pBdr>
          <w:top w:val="nil"/>
          <w:left w:val="nil"/>
          <w:bottom w:val="nil"/>
          <w:right w:val="nil"/>
          <w:between w:val="nil"/>
          <w:bar w:val="nil"/>
        </w:pBdr>
        <w:spacing w:before="0" w:after="240"/>
        <w:rPr>
          <w:noProof/>
        </w:rPr>
      </w:pPr>
      <w:r w:rsidRPr="00B002D4">
        <w:rPr>
          <w:noProof/>
        </w:rPr>
        <w:t>Comisia, asistată de Grupul pentru economie tarifară („ETQG”), a analizat toate cererile de contingente tarifare autonome prezentate de statele membre.</w:t>
      </w:r>
    </w:p>
    <w:p w:rsidR="00A63CAF" w:rsidRPr="00B002D4" w:rsidRDefault="00290884" w:rsidP="00290884">
      <w:pPr>
        <w:pBdr>
          <w:top w:val="nil"/>
          <w:left w:val="nil"/>
          <w:bottom w:val="nil"/>
          <w:right w:val="nil"/>
          <w:between w:val="nil"/>
          <w:bar w:val="nil"/>
        </w:pBdr>
        <w:spacing w:before="0" w:after="240"/>
        <w:rPr>
          <w:noProof/>
        </w:rPr>
      </w:pPr>
      <w:r w:rsidRPr="00B002D4">
        <w:rPr>
          <w:noProof/>
        </w:rPr>
        <w:t xml:space="preserve">În urma acestei analize, Comisia consideră că deschiderea de contingente tarifare autonome este justificată pentru patru produse, care nu sunt incluse în prezent în anexa la Regulamentul (UE) 2021/2283 al Consiliului. </w:t>
      </w:r>
      <w:bookmarkStart w:id="1" w:name="_Hlk208431332"/>
      <w:r w:rsidRPr="00B002D4">
        <w:rPr>
          <w:noProof/>
        </w:rPr>
        <w:t xml:space="preserve">În ceea ce privește alte trei produse, a devenit necesar fie să se modifice textul descrierii, fie să se majoreze volumul contingentului inițial. </w:t>
      </w:r>
      <w:r w:rsidRPr="00B002D4">
        <w:rPr>
          <w:noProof/>
          <w:color w:val="000000" w:themeColor="text1"/>
        </w:rPr>
        <w:t>Două produse pentru care menținerea unui contingent tarifar nu mai este în interesul economic al Uniunii trebuie retrase.</w:t>
      </w:r>
      <w:bookmarkEnd w:id="1"/>
    </w:p>
    <w:p w:rsidR="002A3D8D" w:rsidRPr="00B002D4" w:rsidRDefault="002A3D8D" w:rsidP="002A3D8D">
      <w:pPr>
        <w:pBdr>
          <w:top w:val="nil"/>
          <w:left w:val="nil"/>
          <w:bottom w:val="nil"/>
          <w:right w:val="nil"/>
          <w:between w:val="nil"/>
          <w:bar w:val="nil"/>
        </w:pBdr>
        <w:spacing w:before="0" w:after="240"/>
        <w:rPr>
          <w:noProof/>
        </w:rPr>
      </w:pPr>
      <w:r w:rsidRPr="00B002D4">
        <w:rPr>
          <w:noProof/>
        </w:rPr>
        <w:t>Din motive de claritate, este oportună publicarea unei versiuni consolidate a anexei la Regulamentul (UE) 2021/2283 al Consiliului, care va înlocui în întregime anexa anterioară.</w:t>
      </w:r>
      <w:bookmarkStart w:id="2" w:name="_Hlk127278741"/>
    </w:p>
    <w:bookmarkEnd w:id="2"/>
    <w:p w:rsidR="002A3D8D" w:rsidRPr="00B002D4" w:rsidRDefault="002A3D8D" w:rsidP="002A3D8D">
      <w:pPr>
        <w:pStyle w:val="ManualHeading2"/>
        <w:rPr>
          <w:rFonts w:eastAsia="Arial Unicode MS"/>
          <w:noProof/>
          <w:color w:val="000000"/>
          <w:u w:color="000000"/>
          <w:bdr w:val="nil"/>
        </w:rPr>
      </w:pPr>
      <w:r w:rsidRPr="00B002D4">
        <w:rPr>
          <w:noProof/>
          <w:color w:val="000000"/>
          <w:u w:color="000000"/>
          <w:bdr w:val="nil"/>
        </w:rPr>
        <w:t>•</w:t>
      </w:r>
      <w:r w:rsidRPr="00B002D4">
        <w:rPr>
          <w:noProof/>
        </w:rPr>
        <w:tab/>
        <w:t>Coerența cu dispozițiile existente în domeniul de politică vizat</w:t>
      </w:r>
    </w:p>
    <w:p w:rsidR="002A3D8D" w:rsidRPr="00B002D4" w:rsidRDefault="002A3D8D" w:rsidP="002A3D8D">
      <w:pPr>
        <w:rPr>
          <w:noProof/>
        </w:rPr>
      </w:pPr>
      <w:r w:rsidRPr="00B002D4">
        <w:rPr>
          <w:noProof/>
        </w:rPr>
        <w:t>Prezenta propunere nu are efecte asupra țărilor care au un acord comercial preferențial cu Uniunea, nici asupra țărilor candidate sau potențial candidate pentru acorduri preferențiale cu Uniunea (de exemplu, sistemul generalizat de preferințe, regimul comercial al grupului statelor din Africa, zona Caraibilor și Pacific, acordurile de liber schimb).</w:t>
      </w:r>
    </w:p>
    <w:p w:rsidR="002A3D8D" w:rsidRPr="00B002D4" w:rsidRDefault="002A3D8D" w:rsidP="002A3D8D">
      <w:pPr>
        <w:pStyle w:val="ManualHeading2"/>
        <w:rPr>
          <w:rFonts w:eastAsia="Arial Unicode MS"/>
          <w:noProof/>
        </w:rPr>
      </w:pPr>
      <w:r w:rsidRPr="00B002D4">
        <w:rPr>
          <w:noProof/>
          <w:color w:val="000000"/>
          <w:u w:color="000000"/>
          <w:bdr w:val="nil"/>
        </w:rPr>
        <w:t>•</w:t>
      </w:r>
      <w:r w:rsidRPr="00B002D4">
        <w:rPr>
          <w:noProof/>
        </w:rPr>
        <w:tab/>
        <w:t>Coerența cu alte politici ale Uniunii</w:t>
      </w:r>
    </w:p>
    <w:p w:rsidR="002A3D8D" w:rsidRPr="00B002D4" w:rsidRDefault="002A3D8D" w:rsidP="002A3D8D">
      <w:pPr>
        <w:pBdr>
          <w:top w:val="nil"/>
          <w:left w:val="nil"/>
          <w:bottom w:val="nil"/>
          <w:right w:val="nil"/>
          <w:between w:val="nil"/>
          <w:bar w:val="nil"/>
        </w:pBdr>
        <w:spacing w:before="0" w:after="240"/>
        <w:rPr>
          <w:rFonts w:eastAsia="Arial Unicode MS"/>
          <w:noProof/>
        </w:rPr>
      </w:pPr>
      <w:r w:rsidRPr="00B002D4">
        <w:rPr>
          <w:noProof/>
        </w:rPr>
        <w:t>Propunerea este conformă cu politicile Uniunii în domeniul agriculturii, al comerțului, al întreprinderilor, al dezvoltării, al mediului și al relațiilor externe.</w:t>
      </w:r>
    </w:p>
    <w:p w:rsidR="002A3D8D" w:rsidRPr="00B002D4" w:rsidRDefault="002A3D8D" w:rsidP="002A3D8D">
      <w:pPr>
        <w:pStyle w:val="ManualHeading1"/>
        <w:rPr>
          <w:noProof/>
        </w:rPr>
      </w:pPr>
      <w:r w:rsidRPr="00B002D4">
        <w:rPr>
          <w:noProof/>
        </w:rPr>
        <w:t>2.</w:t>
      </w:r>
      <w:r w:rsidRPr="00B002D4">
        <w:rPr>
          <w:noProof/>
        </w:rPr>
        <w:tab/>
        <w:t>TEMEI JURIDIC, SUBSIDIARITATE ȘI PROPORȚIONALITATE</w:t>
      </w:r>
    </w:p>
    <w:p w:rsidR="002A3D8D" w:rsidRPr="00B002D4" w:rsidRDefault="002A3D8D" w:rsidP="002A3D8D">
      <w:pPr>
        <w:pStyle w:val="ManualHeading2"/>
        <w:rPr>
          <w:rFonts w:eastAsia="Arial Unicode MS"/>
          <w:noProof/>
          <w:u w:color="000000"/>
          <w:bdr w:val="nil"/>
        </w:rPr>
      </w:pPr>
      <w:r w:rsidRPr="00B002D4">
        <w:rPr>
          <w:noProof/>
          <w:u w:color="000000"/>
          <w:bdr w:val="nil"/>
        </w:rPr>
        <w:t>•</w:t>
      </w:r>
      <w:r w:rsidRPr="00B002D4">
        <w:rPr>
          <w:noProof/>
        </w:rPr>
        <w:tab/>
      </w:r>
      <w:r w:rsidRPr="00B002D4">
        <w:rPr>
          <w:noProof/>
          <w:u w:color="000000"/>
          <w:bdr w:val="nil"/>
        </w:rPr>
        <w:t>Temei juridic</w:t>
      </w:r>
    </w:p>
    <w:p w:rsidR="002A3D8D" w:rsidRPr="00B002D4" w:rsidRDefault="002A3D8D" w:rsidP="002A3D8D">
      <w:pPr>
        <w:pBdr>
          <w:top w:val="nil"/>
          <w:left w:val="nil"/>
          <w:bottom w:val="nil"/>
          <w:right w:val="nil"/>
          <w:between w:val="nil"/>
          <w:bar w:val="nil"/>
        </w:pBdr>
        <w:spacing w:before="0" w:after="240"/>
        <w:rPr>
          <w:rFonts w:eastAsia="Arial Unicode MS"/>
          <w:noProof/>
        </w:rPr>
      </w:pPr>
      <w:r w:rsidRPr="00B002D4">
        <w:rPr>
          <w:noProof/>
        </w:rPr>
        <w:t>Temeiul juridic al prezentei propuneri îl constituie articolul 31 din Tratatul privind funcționarea Uniunii Europene (TFUE).</w:t>
      </w:r>
    </w:p>
    <w:p w:rsidR="002A3D8D" w:rsidRPr="00B002D4" w:rsidRDefault="002A3D8D" w:rsidP="002A3D8D">
      <w:pPr>
        <w:pStyle w:val="ManualHeading2"/>
        <w:rPr>
          <w:rFonts w:eastAsia="Arial Unicode MS"/>
          <w:noProof/>
          <w:u w:color="000000"/>
          <w:bdr w:val="nil"/>
        </w:rPr>
      </w:pPr>
      <w:r w:rsidRPr="00B002D4">
        <w:rPr>
          <w:noProof/>
          <w:u w:color="000000"/>
          <w:bdr w:val="nil"/>
        </w:rPr>
        <w:t>•</w:t>
      </w:r>
      <w:r w:rsidRPr="00B002D4">
        <w:rPr>
          <w:noProof/>
        </w:rPr>
        <w:tab/>
      </w:r>
      <w:r w:rsidRPr="00B002D4">
        <w:rPr>
          <w:noProof/>
          <w:u w:color="000000"/>
          <w:bdr w:val="nil"/>
        </w:rPr>
        <w:t xml:space="preserve">Subsidiaritate (în cazul competențelor neexclusive) </w:t>
      </w:r>
    </w:p>
    <w:p w:rsidR="002A3D8D" w:rsidRPr="00B002D4" w:rsidRDefault="002A3D8D" w:rsidP="002A3D8D">
      <w:pPr>
        <w:rPr>
          <w:noProof/>
        </w:rPr>
      </w:pPr>
      <w:r w:rsidRPr="00B002D4">
        <w:rPr>
          <w:noProof/>
        </w:rPr>
        <w:t>Propunerea intră în sfera competenței exclusive a Uniunii. În consecință, principiul subsidiarității nu se aplică.</w:t>
      </w:r>
    </w:p>
    <w:p w:rsidR="002A3D8D" w:rsidRPr="00B002D4" w:rsidRDefault="002A3D8D" w:rsidP="002A3D8D">
      <w:pPr>
        <w:pStyle w:val="ManualHeading2"/>
        <w:rPr>
          <w:rFonts w:eastAsia="Arial Unicode MS"/>
          <w:noProof/>
          <w:u w:color="000000"/>
          <w:bdr w:val="nil"/>
        </w:rPr>
      </w:pPr>
      <w:r w:rsidRPr="00B002D4">
        <w:rPr>
          <w:noProof/>
          <w:u w:color="000000"/>
          <w:bdr w:val="nil"/>
        </w:rPr>
        <w:lastRenderedPageBreak/>
        <w:t>•</w:t>
      </w:r>
      <w:r w:rsidRPr="00B002D4">
        <w:rPr>
          <w:noProof/>
        </w:rPr>
        <w:tab/>
      </w:r>
      <w:r w:rsidRPr="00B002D4">
        <w:rPr>
          <w:noProof/>
          <w:u w:color="000000"/>
          <w:bdr w:val="nil"/>
        </w:rPr>
        <w:t>Proporționalitate</w:t>
      </w:r>
    </w:p>
    <w:p w:rsidR="002A3D8D" w:rsidRPr="00B002D4" w:rsidRDefault="002A3D8D" w:rsidP="002A3D8D">
      <w:pPr>
        <w:pBdr>
          <w:top w:val="nil"/>
          <w:left w:val="nil"/>
          <w:bottom w:val="nil"/>
          <w:right w:val="nil"/>
          <w:between w:val="nil"/>
          <w:bar w:val="nil"/>
        </w:pBdr>
        <w:spacing w:before="0" w:after="240"/>
        <w:rPr>
          <w:rFonts w:eastAsia="Arial Unicode MS"/>
          <w:noProof/>
        </w:rPr>
      </w:pPr>
      <w:r w:rsidRPr="00B002D4">
        <w:rPr>
          <w:noProof/>
        </w:rPr>
        <w:t>Propunerea respectă principiul proporționalității. Măsurile propuse sunt conforme cu principiile instituite în scopul simplificării procedurilor pentru operatorii care desfășoară activități de comerț exterior, astfel cum se menționează în Comunicarea Comisiei privind suspendările și contingentele tarifare autonome</w:t>
      </w:r>
      <w:r w:rsidRPr="00B002D4">
        <w:rPr>
          <w:rStyle w:val="FootnoteReference"/>
          <w:noProof/>
        </w:rPr>
        <w:footnoteReference w:id="2"/>
      </w:r>
      <w:r w:rsidRPr="00B002D4">
        <w:rPr>
          <w:noProof/>
        </w:rPr>
        <w:t>. Prezentul regulament nu depășește ceea ce este necesar pentru realizarea obiectivelor urmărite, în conformitate cu articolul 5 alineatul (4) din Tratatul privind Uniunea Europeană (TUE).</w:t>
      </w:r>
    </w:p>
    <w:p w:rsidR="002A3D8D" w:rsidRPr="00B002D4" w:rsidRDefault="002A3D8D" w:rsidP="002A3D8D">
      <w:pPr>
        <w:pStyle w:val="ManualHeading2"/>
        <w:rPr>
          <w:rFonts w:eastAsia="Arial Unicode MS"/>
          <w:noProof/>
          <w:u w:color="000000"/>
          <w:bdr w:val="nil"/>
        </w:rPr>
      </w:pPr>
      <w:r w:rsidRPr="00B002D4">
        <w:rPr>
          <w:noProof/>
          <w:u w:color="000000"/>
          <w:bdr w:val="nil"/>
        </w:rPr>
        <w:t>•</w:t>
      </w:r>
      <w:r w:rsidRPr="00B002D4">
        <w:rPr>
          <w:noProof/>
        </w:rPr>
        <w:tab/>
      </w:r>
      <w:r w:rsidRPr="00B002D4">
        <w:rPr>
          <w:noProof/>
          <w:u w:color="000000"/>
          <w:bdr w:val="nil"/>
        </w:rPr>
        <w:t>Alegerea instrumentului</w:t>
      </w:r>
    </w:p>
    <w:p w:rsidR="002A3D8D" w:rsidRPr="00B002D4" w:rsidRDefault="002A3D8D" w:rsidP="002A3D8D">
      <w:pPr>
        <w:rPr>
          <w:noProof/>
        </w:rPr>
      </w:pPr>
      <w:r w:rsidRPr="00B002D4">
        <w:rPr>
          <w:noProof/>
        </w:rPr>
        <w:t xml:space="preserve">În temeiul articolului 31 din TFUE, taxele prevăzute de Tariful vamal comun trebuie stabilite de către Consiliu, la propunerea Comisiei. Prin urmare, instrumentul adecvat este un regulament al Consiliului. </w:t>
      </w:r>
    </w:p>
    <w:p w:rsidR="002A3D8D" w:rsidRPr="00B002D4" w:rsidRDefault="002A3D8D" w:rsidP="002A3D8D">
      <w:pPr>
        <w:pStyle w:val="ManualHeading1"/>
        <w:rPr>
          <w:noProof/>
        </w:rPr>
      </w:pPr>
      <w:r w:rsidRPr="00B002D4">
        <w:rPr>
          <w:noProof/>
        </w:rPr>
        <w:t>3.</w:t>
      </w:r>
      <w:r w:rsidRPr="00B002D4">
        <w:rPr>
          <w:noProof/>
        </w:rPr>
        <w:tab/>
        <w:t>REZULTATELE EVALUĂRILOR EX POST, ALE CONSULTĂRILOR CU PĂRȚILE INTERESATE ȘI ALE EVALUĂRILOR IMPACTULUI</w:t>
      </w:r>
    </w:p>
    <w:p w:rsidR="002A3D8D" w:rsidRPr="00B002D4" w:rsidRDefault="002A3D8D" w:rsidP="002A3D8D">
      <w:pPr>
        <w:pStyle w:val="ManualHeading2"/>
        <w:rPr>
          <w:rFonts w:eastAsia="Arial Unicode MS"/>
          <w:noProof/>
          <w:u w:color="000000"/>
          <w:bdr w:val="nil"/>
        </w:rPr>
      </w:pPr>
      <w:r w:rsidRPr="00B002D4">
        <w:rPr>
          <w:noProof/>
          <w:u w:color="000000"/>
          <w:bdr w:val="nil"/>
        </w:rPr>
        <w:t>•</w:t>
      </w:r>
      <w:r w:rsidRPr="00B002D4">
        <w:rPr>
          <w:noProof/>
        </w:rPr>
        <w:tab/>
      </w:r>
      <w:r w:rsidRPr="00B002D4">
        <w:rPr>
          <w:noProof/>
          <w:u w:color="000000"/>
          <w:bdr w:val="nil"/>
        </w:rPr>
        <w:t>Evaluări ex post/verificări ale adecvării legislației existente</w:t>
      </w:r>
    </w:p>
    <w:p w:rsidR="002A3D8D" w:rsidRPr="00B002D4" w:rsidRDefault="002A3D8D" w:rsidP="002A3D8D">
      <w:pPr>
        <w:pBdr>
          <w:top w:val="nil"/>
          <w:left w:val="nil"/>
          <w:bottom w:val="nil"/>
          <w:right w:val="nil"/>
          <w:between w:val="nil"/>
          <w:bar w:val="nil"/>
        </w:pBdr>
        <w:spacing w:before="0" w:after="240"/>
        <w:rPr>
          <w:noProof/>
        </w:rPr>
      </w:pPr>
      <w:r w:rsidRPr="00B002D4">
        <w:rPr>
          <w:noProof/>
        </w:rPr>
        <w:t>Sistemul de contingente tarifare autonome a făcut obiectul unui studiu de evaluare privind suspendările tarifare autonome</w:t>
      </w:r>
      <w:r w:rsidRPr="00B002D4">
        <w:rPr>
          <w:rStyle w:val="FootnoteReference"/>
          <w:noProof/>
        </w:rPr>
        <w:footnoteReference w:id="3"/>
      </w:r>
      <w:r w:rsidRPr="00B002D4">
        <w:rPr>
          <w:noProof/>
        </w:rPr>
        <w:t xml:space="preserve"> efectuat în 2013.</w:t>
      </w:r>
    </w:p>
    <w:p w:rsidR="002A3D8D" w:rsidRPr="00B002D4" w:rsidRDefault="00EB147A" w:rsidP="002A3D8D">
      <w:pPr>
        <w:pBdr>
          <w:top w:val="nil"/>
          <w:left w:val="nil"/>
          <w:bottom w:val="nil"/>
          <w:right w:val="nil"/>
          <w:between w:val="nil"/>
          <w:bar w:val="nil"/>
        </w:pBdr>
        <w:spacing w:before="0" w:after="240"/>
        <w:rPr>
          <w:rFonts w:eastAsia="Arial Unicode MS"/>
          <w:noProof/>
        </w:rPr>
      </w:pPr>
      <w:r w:rsidRPr="00B002D4">
        <w:rPr>
          <w:noProof/>
        </w:rPr>
        <w:t>Contingentele și suspendările tarifare autonome sunt similare, cu excepția faptului că contingentele tarifare autonome limitează volumul importurilor care beneficiază de un nivel redus al taxelor vamale, în timp ce suspendările tarifare autonome permit renunțarea totală sau parțială la taxele vamale normale aplicabile anumitor mărfuri importate în UE pentru o cantitate nelimitată. Concluzia evaluării a fost că motivația esențială care stă la baza acestui sistem rămâne valabilă. Economiile de costuri pentru întreprinderile din Uniune care importă mărfuri în cadrul sistemului pot fi semnificative. La rândul lor, în funcție de produs, de întreprindere și de sector, aceste economii pot avea beneficii mai ample, precum stimularea competitivității, eficientizarea metodelor de producție, crearea sau menținerea locurilor de muncă în Uniune. La punctul 4 de mai jos și în fișa financiară legislativă anexată se regăsesc detalii privind economiile generate de prezentul regulament.</w:t>
      </w:r>
    </w:p>
    <w:p w:rsidR="002A3D8D" w:rsidRPr="00B002D4" w:rsidRDefault="002A3D8D" w:rsidP="002A3D8D">
      <w:pPr>
        <w:pStyle w:val="ManualHeading2"/>
        <w:rPr>
          <w:rFonts w:eastAsia="Arial Unicode MS"/>
          <w:noProof/>
          <w:u w:color="000000"/>
          <w:bdr w:val="nil"/>
        </w:rPr>
      </w:pPr>
      <w:r w:rsidRPr="00B002D4">
        <w:rPr>
          <w:noProof/>
          <w:u w:color="000000"/>
          <w:bdr w:val="nil"/>
        </w:rPr>
        <w:t>•</w:t>
      </w:r>
      <w:r w:rsidRPr="00B002D4">
        <w:rPr>
          <w:noProof/>
        </w:rPr>
        <w:tab/>
      </w:r>
      <w:r w:rsidRPr="00B002D4">
        <w:rPr>
          <w:noProof/>
          <w:u w:color="000000"/>
          <w:bdr w:val="nil"/>
        </w:rPr>
        <w:t>Consultări cu părțile interesate</w:t>
      </w:r>
    </w:p>
    <w:p w:rsidR="002A3D8D" w:rsidRPr="00B002D4" w:rsidRDefault="002A3D8D" w:rsidP="002A3D8D">
      <w:pPr>
        <w:rPr>
          <w:noProof/>
        </w:rPr>
      </w:pPr>
      <w:r w:rsidRPr="00B002D4">
        <w:rPr>
          <w:noProof/>
        </w:rPr>
        <w:t>ETQG, care este compus din delegații din toate statele membre ale UE și Turcia, a asistat Comisia pentru evaluarea prezentei propuneri.</w:t>
      </w:r>
    </w:p>
    <w:p w:rsidR="002A3D8D" w:rsidRPr="00B002D4" w:rsidRDefault="002A3D8D" w:rsidP="002A3D8D">
      <w:pPr>
        <w:rPr>
          <w:noProof/>
        </w:rPr>
      </w:pPr>
      <w:r w:rsidRPr="00B002D4">
        <w:rPr>
          <w:noProof/>
        </w:rPr>
        <w:t>ETQG a evaluat temeinic fiecare cerere (nouă sau de modificare). Acesta a examinat fiecare caz în special pentru a se asigura că nu se aduc prejudicii producătorilor din Uniune și competitivitatea producției Uniunii este întărită. Membrii ETQG au efectuat evaluarea prin discuții, iar statele membre au desfășurat consultări cu industriile, asociațiile, camerele de comerț și alte părți interesate implicate.</w:t>
      </w:r>
    </w:p>
    <w:p w:rsidR="002A3D8D" w:rsidRPr="00B002D4" w:rsidRDefault="002A3D8D" w:rsidP="002A3D8D">
      <w:pPr>
        <w:rPr>
          <w:noProof/>
        </w:rPr>
      </w:pPr>
      <w:r w:rsidRPr="00B002D4">
        <w:rPr>
          <w:noProof/>
        </w:rPr>
        <w:lastRenderedPageBreak/>
        <w:t xml:space="preserve">Toate contingentele tarifare din listă reflectă acordurile sau compromisurile la care s-a ajuns în urma discuțiilor din cadrul ETQG și cu alte servicii ale Comisiei. Nu a fost identificat niciun risc potențial grav cu consecințe ireversibile. </w:t>
      </w:r>
    </w:p>
    <w:p w:rsidR="002A3D8D" w:rsidRPr="00B002D4" w:rsidRDefault="002A3D8D" w:rsidP="002A3D8D">
      <w:pPr>
        <w:pStyle w:val="ManualHeading2"/>
        <w:rPr>
          <w:rFonts w:eastAsia="Arial Unicode MS"/>
          <w:noProof/>
          <w:u w:color="000000"/>
          <w:bdr w:val="nil"/>
        </w:rPr>
      </w:pPr>
      <w:r w:rsidRPr="00B002D4">
        <w:rPr>
          <w:noProof/>
          <w:u w:color="000000"/>
          <w:bdr w:val="nil"/>
        </w:rPr>
        <w:t>•</w:t>
      </w:r>
      <w:r w:rsidRPr="00B002D4">
        <w:rPr>
          <w:noProof/>
        </w:rPr>
        <w:tab/>
      </w:r>
      <w:r w:rsidRPr="00B002D4">
        <w:rPr>
          <w:noProof/>
          <w:u w:color="000000"/>
          <w:bdr w:val="nil"/>
        </w:rPr>
        <w:t>Evaluarea impactului</w:t>
      </w:r>
    </w:p>
    <w:p w:rsidR="002A3D8D" w:rsidRPr="00B002D4" w:rsidRDefault="002A3D8D" w:rsidP="002A3D8D">
      <w:pPr>
        <w:rPr>
          <w:noProof/>
        </w:rPr>
      </w:pPr>
      <w:r w:rsidRPr="00B002D4">
        <w:rPr>
          <w:noProof/>
        </w:rPr>
        <w:t>Modificarea propusă este de natură pur tehnică și vizează doar sfera de cuprindere a contingentelor tarifare incluse în lista din anexa la Regulamentul (UE) 2021/2283. Nu a fost efectuată o evaluare a impactului, deoarece se estimează că modificările propuse în lista produselor din Tariful Vamal Comun care ar beneficia de contingente autonome nu vor avea un impact semnificativ.</w:t>
      </w:r>
    </w:p>
    <w:p w:rsidR="002A3D8D" w:rsidRPr="00B002D4" w:rsidRDefault="002A3D8D" w:rsidP="002A3D8D">
      <w:pPr>
        <w:pStyle w:val="ManualHeading2"/>
        <w:rPr>
          <w:rFonts w:eastAsia="Arial Unicode MS"/>
          <w:noProof/>
          <w:u w:color="000000"/>
          <w:bdr w:val="nil"/>
        </w:rPr>
      </w:pPr>
      <w:r w:rsidRPr="00B002D4">
        <w:rPr>
          <w:noProof/>
          <w:u w:color="000000"/>
          <w:bdr w:val="nil"/>
        </w:rPr>
        <w:t>•</w:t>
      </w:r>
      <w:r w:rsidRPr="00B002D4">
        <w:rPr>
          <w:noProof/>
        </w:rPr>
        <w:tab/>
      </w:r>
      <w:r w:rsidRPr="00B002D4">
        <w:rPr>
          <w:noProof/>
          <w:u w:color="000000"/>
          <w:bdr w:val="nil"/>
        </w:rPr>
        <w:t>Drepturile fundamentale</w:t>
      </w:r>
    </w:p>
    <w:p w:rsidR="002A3D8D" w:rsidRPr="00B002D4" w:rsidRDefault="002A3D8D" w:rsidP="002A3D8D">
      <w:pPr>
        <w:pBdr>
          <w:top w:val="nil"/>
          <w:left w:val="nil"/>
          <w:bottom w:val="nil"/>
          <w:right w:val="nil"/>
          <w:between w:val="nil"/>
          <w:bar w:val="nil"/>
        </w:pBdr>
        <w:spacing w:before="0" w:after="240"/>
        <w:rPr>
          <w:rFonts w:eastAsia="Arial Unicode MS"/>
          <w:noProof/>
        </w:rPr>
      </w:pPr>
      <w:r w:rsidRPr="00B002D4">
        <w:rPr>
          <w:noProof/>
        </w:rPr>
        <w:t>Propunerea nu are consecințe asupra drepturilor fundamentale.</w:t>
      </w:r>
    </w:p>
    <w:p w:rsidR="00401466" w:rsidRPr="00B002D4" w:rsidRDefault="00401466">
      <w:pPr>
        <w:pStyle w:val="ManualHeading1"/>
        <w:rPr>
          <w:noProof/>
        </w:rPr>
      </w:pPr>
      <w:r w:rsidRPr="00B002D4">
        <w:rPr>
          <w:noProof/>
        </w:rPr>
        <w:t>4.</w:t>
      </w:r>
      <w:r w:rsidRPr="00B002D4">
        <w:rPr>
          <w:noProof/>
        </w:rPr>
        <w:tab/>
        <w:t>IMPLICAȚII BUGETARE</w:t>
      </w:r>
    </w:p>
    <w:p w:rsidR="00933E03" w:rsidRPr="00B002D4" w:rsidRDefault="00CE10DB" w:rsidP="00933E03">
      <w:pPr>
        <w:pStyle w:val="ManualHeading1"/>
        <w:ind w:left="0" w:firstLine="0"/>
        <w:rPr>
          <w:rFonts w:eastAsia="Arial Unicode MS"/>
          <w:b w:val="0"/>
          <w:smallCaps w:val="0"/>
          <w:noProof/>
        </w:rPr>
      </w:pPr>
      <w:r w:rsidRPr="00B002D4">
        <w:rPr>
          <w:b w:val="0"/>
          <w:smallCaps w:val="0"/>
          <w:noProof/>
        </w:rPr>
        <w:t>Prezenta propunere nu are implicații financiare asupra cheltuielilor, dar are implicații financiare asupra veniturilor. Anexa conține patru produse noi. Taxele vamale nepercepute corespunzătoare contingentelor tarifare respective se calculează pe baza previziunilor statului membru solicitant pentru 2026. Impactul asupra colectării taxelor vamale este estimat la 7,1 milioane EUR pe an. Efectul general negativ asupra resurselor proprii tradiționale ale bugetului este de 5,4 milioane EUR pe an (75 % din total). Fișa financiară legislativă prezintă mai detaliat implicațiile bugetare ale propunerii.</w:t>
      </w:r>
    </w:p>
    <w:p w:rsidR="00401466" w:rsidRPr="00B002D4" w:rsidRDefault="00401466">
      <w:pPr>
        <w:pStyle w:val="ManualHeading1"/>
        <w:rPr>
          <w:noProof/>
        </w:rPr>
      </w:pPr>
      <w:r w:rsidRPr="00B002D4">
        <w:rPr>
          <w:noProof/>
        </w:rPr>
        <w:t>5.</w:t>
      </w:r>
      <w:r w:rsidRPr="00B002D4">
        <w:rPr>
          <w:noProof/>
        </w:rPr>
        <w:tab/>
        <w:t>ALTE ELEMENTE</w:t>
      </w:r>
    </w:p>
    <w:p w:rsidR="00401466" w:rsidRPr="00B002D4" w:rsidRDefault="00401466">
      <w:pPr>
        <w:pStyle w:val="ManualHeading2"/>
        <w:rPr>
          <w:rFonts w:eastAsia="Arial Unicode MS"/>
          <w:noProof/>
          <w:u w:color="000000"/>
          <w:bdr w:val="nil"/>
        </w:rPr>
      </w:pPr>
      <w:r w:rsidRPr="00B002D4">
        <w:rPr>
          <w:noProof/>
          <w:u w:color="000000"/>
          <w:bdr w:val="nil"/>
        </w:rPr>
        <w:t>•</w:t>
      </w:r>
      <w:r w:rsidRPr="00B002D4">
        <w:rPr>
          <w:noProof/>
        </w:rPr>
        <w:tab/>
      </w:r>
      <w:r w:rsidRPr="00B002D4">
        <w:rPr>
          <w:noProof/>
          <w:u w:color="000000"/>
          <w:bdr w:val="nil"/>
        </w:rPr>
        <w:t>Planuri de punere în aplicare și măsuri de monitorizare, evaluare și raportare</w:t>
      </w:r>
    </w:p>
    <w:p w:rsidR="00401466" w:rsidRPr="00B002D4" w:rsidRDefault="00401466" w:rsidP="00401466">
      <w:pPr>
        <w:pBdr>
          <w:top w:val="nil"/>
          <w:left w:val="nil"/>
          <w:bottom w:val="nil"/>
          <w:right w:val="nil"/>
          <w:between w:val="nil"/>
          <w:bar w:val="nil"/>
        </w:pBdr>
        <w:spacing w:before="0" w:after="240"/>
        <w:rPr>
          <w:rFonts w:eastAsia="Arial Unicode MS"/>
          <w:noProof/>
        </w:rPr>
      </w:pPr>
      <w:r w:rsidRPr="00B002D4">
        <w:rPr>
          <w:noProof/>
        </w:rPr>
        <w:t>Măsurile propuse sunt gestionate în cadrul Tarifului vamal integrat al Uniunii Europene „TARIC” (ele sunt integrate în TARIC și sunt gestionate de baza de date QUOTA) și sunt aplicate de administrațiile vamale ale statelor membre.</w:t>
      </w:r>
    </w:p>
    <w:p w:rsidR="00401466" w:rsidRPr="00B002D4" w:rsidRDefault="00401466">
      <w:pPr>
        <w:rPr>
          <w:noProof/>
        </w:rPr>
        <w:sectPr w:rsidR="00401466" w:rsidRPr="00B002D4" w:rsidSect="00125C7F">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6839EB" w:rsidRDefault="00D731FC">
      <w:pPr>
        <w:pStyle w:val="Rfrenceinterinstitutionnelle"/>
        <w:rPr>
          <w:noProof/>
        </w:rPr>
      </w:pPr>
      <w:r>
        <w:rPr>
          <w:noProof/>
        </w:rPr>
        <w:lastRenderedPageBreak/>
        <w:t>2026/0096 (NLE)</w:t>
      </w:r>
    </w:p>
    <w:p w:rsidR="00401466" w:rsidRPr="00B002D4" w:rsidRDefault="009B6AF8" w:rsidP="009B6AF8">
      <w:pPr>
        <w:pStyle w:val="Statut"/>
        <w:rPr>
          <w:noProof/>
        </w:rPr>
      </w:pPr>
      <w:r w:rsidRPr="009B6AF8">
        <w:rPr>
          <w:noProof/>
        </w:rPr>
        <w:t>Propunere de</w:t>
      </w:r>
    </w:p>
    <w:p w:rsidR="00401466" w:rsidRPr="00B002D4" w:rsidRDefault="009B6AF8" w:rsidP="009B6AF8">
      <w:pPr>
        <w:pStyle w:val="Typedudocument"/>
        <w:rPr>
          <w:noProof/>
        </w:rPr>
      </w:pPr>
      <w:r w:rsidRPr="009B6AF8">
        <w:rPr>
          <w:noProof/>
        </w:rPr>
        <w:t>REGULAMENT AL CONSILIULUI</w:t>
      </w:r>
    </w:p>
    <w:p w:rsidR="0005332B" w:rsidRPr="00B002D4" w:rsidRDefault="009B6AF8" w:rsidP="009B6AF8">
      <w:pPr>
        <w:pStyle w:val="Titreobjet"/>
        <w:rPr>
          <w:noProof/>
        </w:rPr>
      </w:pPr>
      <w:r w:rsidRPr="009B6AF8">
        <w:rPr>
          <w:noProof/>
        </w:rPr>
        <w:t>de modificare a Regulamentului (UE) 2021/2283 privind deschiderea și modul de gestionare a unor contingente tarifare autonome ale Uniunii pentru anumite produse agricole și industriale</w:t>
      </w:r>
    </w:p>
    <w:p w:rsidR="00401466" w:rsidRPr="00B002D4" w:rsidRDefault="00401466">
      <w:pPr>
        <w:pStyle w:val="Institutionquiagit"/>
        <w:rPr>
          <w:noProof/>
        </w:rPr>
      </w:pPr>
      <w:r w:rsidRPr="00B002D4">
        <w:rPr>
          <w:noProof/>
        </w:rPr>
        <w:t>CONSILIUL UNIUNII EUROPENE,</w:t>
      </w:r>
    </w:p>
    <w:p w:rsidR="00401466" w:rsidRPr="00B002D4" w:rsidRDefault="00401466">
      <w:pPr>
        <w:rPr>
          <w:noProof/>
        </w:rPr>
      </w:pPr>
      <w:r w:rsidRPr="00B002D4">
        <w:rPr>
          <w:noProof/>
        </w:rPr>
        <w:t>având în vedere Tratatul privind funcționarea Uniunii Europene, în special articolul 31,</w:t>
      </w:r>
    </w:p>
    <w:p w:rsidR="00401466" w:rsidRPr="00B002D4" w:rsidRDefault="00401466">
      <w:pPr>
        <w:rPr>
          <w:noProof/>
        </w:rPr>
      </w:pPr>
      <w:r w:rsidRPr="00B002D4">
        <w:rPr>
          <w:noProof/>
        </w:rPr>
        <w:t>având în vedere propunerea Comisiei Europene,</w:t>
      </w:r>
    </w:p>
    <w:p w:rsidR="00401466" w:rsidRPr="00B002D4" w:rsidRDefault="00401466">
      <w:pPr>
        <w:rPr>
          <w:noProof/>
        </w:rPr>
      </w:pPr>
      <w:r w:rsidRPr="00B002D4">
        <w:rPr>
          <w:noProof/>
        </w:rPr>
        <w:t>întrucât:</w:t>
      </w:r>
    </w:p>
    <w:p w:rsidR="008B3EEE" w:rsidRPr="00B002D4" w:rsidRDefault="008B3EEE" w:rsidP="00597AE1">
      <w:pPr>
        <w:pStyle w:val="ManualConsidrant"/>
        <w:rPr>
          <w:noProof/>
        </w:rPr>
      </w:pPr>
      <w:r>
        <w:rPr>
          <w:noProof/>
        </w:rPr>
        <w:t>(1)</w:t>
      </w:r>
      <w:r>
        <w:rPr>
          <w:noProof/>
        </w:rPr>
        <w:tab/>
      </w:r>
      <w:r w:rsidRPr="00B002D4">
        <w:rPr>
          <w:noProof/>
        </w:rPr>
        <w:t>Pentru a se asigura furnizarea suficientă a anumitor produse agricole și industriale care sunt fabricate în cantități insuficiente în Uniune și pentru a se evita astfel perturbarea pieței produselor respective, au fost deschise contingente tarifare autonome ale Uniunii (denumite în continuare „contingente”) prin Regulamentul (UE) 2021/2283 al Consiliului</w:t>
      </w:r>
      <w:r w:rsidRPr="00B002D4">
        <w:rPr>
          <w:rStyle w:val="FootnoteReference"/>
          <w:noProof/>
        </w:rPr>
        <w:footnoteReference w:id="4"/>
      </w:r>
      <w:r w:rsidRPr="00B002D4">
        <w:rPr>
          <w:noProof/>
        </w:rPr>
        <w:t>. În cadrul acestor contingente, produsele pot fi importate în Uniune cu un nivel redus sau zero al taxelor.</w:t>
      </w:r>
    </w:p>
    <w:p w:rsidR="008B3EEE" w:rsidRPr="00B002D4" w:rsidRDefault="008B3EEE" w:rsidP="008B3EEE">
      <w:pPr>
        <w:pStyle w:val="ManualConsidrant"/>
        <w:rPr>
          <w:noProof/>
        </w:rPr>
      </w:pPr>
      <w:r>
        <w:rPr>
          <w:noProof/>
        </w:rPr>
        <w:t>(2)</w:t>
      </w:r>
      <w:r>
        <w:rPr>
          <w:noProof/>
        </w:rPr>
        <w:tab/>
      </w:r>
      <w:r w:rsidRPr="00B002D4">
        <w:rPr>
          <w:noProof/>
        </w:rPr>
        <w:t>Întrucât este în interesul Uniunii să asigure furnizarea adecvată a anumitor produse industriale și având în vedere faptul că în Uniune nu sunt fabricate în cantități suficiente produse identice, echivalente sau de substituție, este necesar să se deschidă contingente noi cu numerele de ordine 09.2517, 09.2516, 09.2518 și 09.2519 având un nivel zero al taxelor pentru cantități corespunzătoare din aceste produse.</w:t>
      </w:r>
    </w:p>
    <w:p w:rsidR="00E62170" w:rsidRPr="00B002D4" w:rsidRDefault="00E80CEB" w:rsidP="00E62170">
      <w:pPr>
        <w:pStyle w:val="ManualConsidrant"/>
        <w:rPr>
          <w:noProof/>
        </w:rPr>
      </w:pPr>
      <w:r>
        <w:rPr>
          <w:noProof/>
        </w:rPr>
        <w:t>(3)</w:t>
      </w:r>
      <w:r>
        <w:rPr>
          <w:noProof/>
        </w:rPr>
        <w:tab/>
      </w:r>
      <w:bookmarkStart w:id="3" w:name="_Hlk208432715"/>
      <w:r w:rsidRPr="00B002D4">
        <w:rPr>
          <w:noProof/>
        </w:rPr>
        <w:t>Deoarece sfera de cuprindere a contingentelor cu numerele de ordine 09.2769 și 09.2029 a devenit necorespunzătoare pentru satisfacerea necesităților operatorilor economici din Uniune, este necesară modificarea descrierii produselor cărora li se aplică aceste contingente. În plus, trebuie modificate codurile TARIC pentru produsele cu aceste numere de ordine ale contingentului</w:t>
      </w:r>
      <w:bookmarkEnd w:id="3"/>
      <w:r w:rsidRPr="00B002D4">
        <w:rPr>
          <w:noProof/>
        </w:rPr>
        <w:t>.</w:t>
      </w:r>
    </w:p>
    <w:p w:rsidR="008B3EEE" w:rsidRPr="00B002D4" w:rsidRDefault="00E80CEB" w:rsidP="00936E88">
      <w:pPr>
        <w:pStyle w:val="ManualConsidrant"/>
        <w:rPr>
          <w:noProof/>
        </w:rPr>
      </w:pPr>
      <w:r>
        <w:rPr>
          <w:noProof/>
        </w:rPr>
        <w:t>(4)</w:t>
      </w:r>
      <w:r>
        <w:rPr>
          <w:noProof/>
        </w:rPr>
        <w:tab/>
      </w:r>
      <w:bookmarkStart w:id="4" w:name="_Hlk208432959"/>
      <w:r w:rsidRPr="00B002D4">
        <w:rPr>
          <w:noProof/>
        </w:rPr>
        <w:t>Întrucât este în interesul Uniunii să asigure furnizarea adecvată a unui anumit produs industrial, trebuie majorat volumul contingentului tarifar cu numărul de ordine 09.2922.</w:t>
      </w:r>
    </w:p>
    <w:p w:rsidR="008B3EEE" w:rsidRPr="00B002D4" w:rsidRDefault="008B3EEE" w:rsidP="007E55B7">
      <w:pPr>
        <w:pStyle w:val="ManualConsidrant"/>
        <w:rPr>
          <w:noProof/>
        </w:rPr>
      </w:pPr>
      <w:r>
        <w:rPr>
          <w:noProof/>
        </w:rPr>
        <w:t>(5)</w:t>
      </w:r>
      <w:r>
        <w:rPr>
          <w:noProof/>
        </w:rPr>
        <w:tab/>
      </w:r>
      <w:bookmarkStart w:id="5" w:name="_Hlk208493397"/>
      <w:bookmarkEnd w:id="4"/>
      <w:r w:rsidRPr="00B002D4">
        <w:rPr>
          <w:noProof/>
        </w:rPr>
        <w:t>Întrucât nu mai este în interesul Uniunii să fie menținute contingentele cu numerele de ordine 09.2928 și 09.2551, aceste contingente trebuie închise.</w:t>
      </w:r>
    </w:p>
    <w:bookmarkEnd w:id="5"/>
    <w:p w:rsidR="008B3EEE" w:rsidRPr="00B002D4" w:rsidRDefault="008B3EEE" w:rsidP="008B3EEE">
      <w:pPr>
        <w:pStyle w:val="ManualConsidrant"/>
        <w:rPr>
          <w:noProof/>
        </w:rPr>
      </w:pPr>
      <w:r>
        <w:rPr>
          <w:noProof/>
        </w:rPr>
        <w:t>(6)</w:t>
      </w:r>
      <w:r>
        <w:rPr>
          <w:noProof/>
        </w:rPr>
        <w:tab/>
      </w:r>
      <w:r w:rsidRPr="00B002D4">
        <w:rPr>
          <w:noProof/>
        </w:rPr>
        <w:t>Prin urmare, Regulamentul (UE) 2021/2283 trebuie modificat în consecință.</w:t>
      </w:r>
    </w:p>
    <w:p w:rsidR="008B3EEE" w:rsidRPr="00B002D4" w:rsidRDefault="008B3EEE" w:rsidP="008B3EEE">
      <w:pPr>
        <w:pStyle w:val="ManualConsidrant"/>
        <w:rPr>
          <w:noProof/>
        </w:rPr>
      </w:pPr>
      <w:r>
        <w:rPr>
          <w:noProof/>
        </w:rPr>
        <w:lastRenderedPageBreak/>
        <w:t>(7)</w:t>
      </w:r>
      <w:r>
        <w:rPr>
          <w:noProof/>
        </w:rPr>
        <w:tab/>
      </w:r>
      <w:r w:rsidRPr="00B002D4">
        <w:rPr>
          <w:noProof/>
        </w:rPr>
        <w:t>Pentru a se evita orice întrerupere în aplicarea sistemului de contingente tarifare și a se respecta orientările stabilite prin comunicarea Comisiei</w:t>
      </w:r>
      <w:r w:rsidRPr="00B002D4">
        <w:rPr>
          <w:rStyle w:val="FootnoteReference"/>
          <w:noProof/>
        </w:rPr>
        <w:footnoteReference w:id="5"/>
      </w:r>
      <w:r w:rsidRPr="00B002D4">
        <w:rPr>
          <w:noProof/>
        </w:rPr>
        <w:t xml:space="preserve"> din 13 decembrie 2011 privind suspendările și contingentele tarifare autonome, modificările prevăzute în prezentul regulament referitoare la contingentele pentru produsele în cauză trebuie să se aplice de la 1 iulie 2026. Prin urmare, este necesar ca prezentul regulament să intre în vigoare în regim de urgență,</w:t>
      </w:r>
    </w:p>
    <w:p w:rsidR="00401466" w:rsidRPr="00B002D4" w:rsidRDefault="00401466">
      <w:pPr>
        <w:pStyle w:val="Formuledadoption"/>
        <w:rPr>
          <w:noProof/>
        </w:rPr>
      </w:pPr>
      <w:r w:rsidRPr="00B002D4">
        <w:rPr>
          <w:noProof/>
        </w:rPr>
        <w:t>ADOPTĂ PREZENTUL REGULAMENT:</w:t>
      </w:r>
    </w:p>
    <w:p w:rsidR="00401466" w:rsidRPr="00B002D4" w:rsidRDefault="00401466">
      <w:pPr>
        <w:pStyle w:val="Titrearticle"/>
        <w:rPr>
          <w:noProof/>
        </w:rPr>
      </w:pPr>
      <w:r w:rsidRPr="00B002D4">
        <w:rPr>
          <w:noProof/>
        </w:rPr>
        <w:t>Articolul 1</w:t>
      </w:r>
    </w:p>
    <w:p w:rsidR="007C265A" w:rsidRPr="00B002D4" w:rsidRDefault="007C265A" w:rsidP="007C265A">
      <w:pPr>
        <w:rPr>
          <w:noProof/>
          <w:sz w:val="22"/>
        </w:rPr>
      </w:pPr>
      <w:r w:rsidRPr="00B002D4">
        <w:rPr>
          <w:noProof/>
        </w:rPr>
        <w:t>Anexa la Regulamentul (UE) 2021/2283 se înlocuiește cu textul prevăzut în anexa la prezentul regulament.</w:t>
      </w:r>
    </w:p>
    <w:p w:rsidR="00401466" w:rsidRPr="00B002D4" w:rsidRDefault="00401466">
      <w:pPr>
        <w:pStyle w:val="Titrearticle"/>
        <w:rPr>
          <w:noProof/>
        </w:rPr>
      </w:pPr>
      <w:r w:rsidRPr="00B002D4">
        <w:rPr>
          <w:noProof/>
        </w:rPr>
        <w:t>Articolul 2</w:t>
      </w:r>
    </w:p>
    <w:p w:rsidR="00401466" w:rsidRPr="00B002D4" w:rsidRDefault="00401466">
      <w:pPr>
        <w:rPr>
          <w:noProof/>
        </w:rPr>
      </w:pPr>
      <w:r w:rsidRPr="00B002D4">
        <w:rPr>
          <w:noProof/>
        </w:rPr>
        <w:t xml:space="preserve">Prezentul regulament intră în vigoare în ziua următoare datei publicării în </w:t>
      </w:r>
      <w:r w:rsidRPr="00B002D4">
        <w:rPr>
          <w:i/>
          <w:noProof/>
        </w:rPr>
        <w:t>Jurnalul Oficial al Uniunii Europene</w:t>
      </w:r>
      <w:r w:rsidRPr="00B002D4">
        <w:rPr>
          <w:noProof/>
        </w:rPr>
        <w:t>.</w:t>
      </w:r>
    </w:p>
    <w:p w:rsidR="007C265A" w:rsidRPr="00B002D4" w:rsidRDefault="007C265A">
      <w:pPr>
        <w:rPr>
          <w:noProof/>
        </w:rPr>
      </w:pPr>
      <w:r w:rsidRPr="00B002D4">
        <w:rPr>
          <w:noProof/>
        </w:rPr>
        <w:t xml:space="preserve">Se aplică de la 1 iulie 2026. </w:t>
      </w:r>
    </w:p>
    <w:p w:rsidR="00401466" w:rsidRPr="00B002D4" w:rsidRDefault="00401466">
      <w:pPr>
        <w:pStyle w:val="Applicationdirecte"/>
        <w:rPr>
          <w:noProof/>
        </w:rPr>
      </w:pPr>
      <w:r w:rsidRPr="00B002D4">
        <w:rPr>
          <w:noProof/>
        </w:rPr>
        <w:t>Prezentul regulament este obligatoriu în toate elementele sale și se aplică direct în toate statele membre.</w:t>
      </w:r>
    </w:p>
    <w:p w:rsidR="00401466" w:rsidRPr="00B002D4" w:rsidRDefault="009B6AF8" w:rsidP="00F200C7">
      <w:pPr>
        <w:pStyle w:val="Fait"/>
        <w:rPr>
          <w:noProof/>
        </w:rPr>
      </w:pPr>
      <w:r>
        <w:rPr>
          <w:noProof/>
        </w:rPr>
        <w:t>Adoptat la Bruxelles,</w:t>
      </w:r>
    </w:p>
    <w:p w:rsidR="00401466" w:rsidRPr="00B002D4" w:rsidRDefault="00401466" w:rsidP="00F200C7">
      <w:pPr>
        <w:pStyle w:val="Institutionquisigne"/>
        <w:rPr>
          <w:noProof/>
        </w:rPr>
      </w:pPr>
      <w:r w:rsidRPr="00B002D4">
        <w:rPr>
          <w:noProof/>
        </w:rPr>
        <w:tab/>
        <w:t>Pentru Consiliu</w:t>
      </w:r>
    </w:p>
    <w:p w:rsidR="00401466" w:rsidRPr="00B002D4" w:rsidRDefault="00401466" w:rsidP="00401466">
      <w:pPr>
        <w:pStyle w:val="Personnequisigne"/>
        <w:rPr>
          <w:noProof/>
        </w:rPr>
      </w:pPr>
      <w:r w:rsidRPr="00B002D4">
        <w:rPr>
          <w:noProof/>
        </w:rPr>
        <w:tab/>
        <w:t>Președintele</w:t>
      </w:r>
    </w:p>
    <w:p w:rsidR="00401466" w:rsidRPr="00B002D4" w:rsidRDefault="00401466" w:rsidP="00401466">
      <w:pPr>
        <w:rPr>
          <w:noProof/>
        </w:rPr>
        <w:sectPr w:rsidR="00401466" w:rsidRPr="00B002D4" w:rsidSect="00125C7F">
          <w:footnotePr>
            <w:numRestart w:val="eachSect"/>
          </w:footnotePr>
          <w:pgSz w:w="11907" w:h="16839"/>
          <w:pgMar w:top="1134" w:right="1417" w:bottom="1134" w:left="1417" w:header="709" w:footer="709" w:gutter="0"/>
          <w:cols w:space="708"/>
          <w:docGrid w:linePitch="360"/>
        </w:sectPr>
      </w:pPr>
    </w:p>
    <w:p w:rsidR="00401466" w:rsidRPr="00B002D4" w:rsidRDefault="00401466">
      <w:pPr>
        <w:pStyle w:val="Fichefinanciretitre"/>
        <w:keepNext/>
        <w:rPr>
          <w:noProof/>
        </w:rPr>
      </w:pPr>
      <w:r w:rsidRPr="00B002D4">
        <w:rPr>
          <w:noProof/>
        </w:rPr>
        <w:lastRenderedPageBreak/>
        <w:t>FIȘĂ FINANCIARĂ LEGISLATIVĂ</w:t>
      </w:r>
    </w:p>
    <w:p w:rsidR="007C265A" w:rsidRPr="00B002D4" w:rsidRDefault="007C265A" w:rsidP="00464ED7">
      <w:pPr>
        <w:pStyle w:val="ManualHeading1"/>
        <w:rPr>
          <w:noProof/>
          <w:szCs w:val="24"/>
        </w:rPr>
      </w:pPr>
      <w:r>
        <w:rPr>
          <w:noProof/>
        </w:rPr>
        <w:t>1.</w:t>
      </w:r>
      <w:r>
        <w:rPr>
          <w:noProof/>
        </w:rPr>
        <w:tab/>
      </w:r>
      <w:r w:rsidRPr="00B002D4">
        <w:rPr>
          <w:noProof/>
        </w:rPr>
        <w:t>TITLUL PROPUNERII:</w:t>
      </w:r>
    </w:p>
    <w:p w:rsidR="007C265A" w:rsidRPr="00B002D4" w:rsidRDefault="007C265A" w:rsidP="007C265A">
      <w:pPr>
        <w:pStyle w:val="Text1"/>
        <w:rPr>
          <w:noProof/>
        </w:rPr>
      </w:pPr>
      <w:r w:rsidRPr="00B002D4">
        <w:rPr>
          <w:noProof/>
        </w:rPr>
        <w:t>Regulament al Consiliului de modificare a Regulamentului (UE) 2021/2283 privind deschiderea și modul de gestionare a unor contingente tarifare autonome ale Uniunii pentru anumite produse agricole și industriale</w:t>
      </w:r>
    </w:p>
    <w:p w:rsidR="007C265A" w:rsidRPr="00B002D4" w:rsidRDefault="007C265A" w:rsidP="00864B01">
      <w:pPr>
        <w:pStyle w:val="ManualHeading1"/>
        <w:rPr>
          <w:noProof/>
          <w:szCs w:val="24"/>
        </w:rPr>
      </w:pPr>
      <w:r>
        <w:rPr>
          <w:noProof/>
        </w:rPr>
        <w:t>2.</w:t>
      </w:r>
      <w:r>
        <w:rPr>
          <w:noProof/>
        </w:rPr>
        <w:tab/>
      </w:r>
      <w:r w:rsidRPr="00B002D4">
        <w:rPr>
          <w:noProof/>
        </w:rPr>
        <w:t>LINII BUGETARE:</w:t>
      </w:r>
    </w:p>
    <w:p w:rsidR="007C265A" w:rsidRPr="00B002D4" w:rsidRDefault="007C265A" w:rsidP="007C265A">
      <w:pPr>
        <w:pStyle w:val="Text1"/>
        <w:rPr>
          <w:noProof/>
        </w:rPr>
      </w:pPr>
      <w:r w:rsidRPr="00B002D4">
        <w:rPr>
          <w:noProof/>
        </w:rPr>
        <w:t>Capitol și articol: capitolul 12, articolul 120</w:t>
      </w:r>
    </w:p>
    <w:p w:rsidR="007C265A" w:rsidRPr="00B002D4" w:rsidRDefault="007C265A" w:rsidP="007C265A">
      <w:pPr>
        <w:pStyle w:val="Text1"/>
        <w:rPr>
          <w:noProof/>
        </w:rPr>
      </w:pPr>
      <w:r w:rsidRPr="00B002D4">
        <w:rPr>
          <w:noProof/>
        </w:rPr>
        <w:t>Suma înscrisă în buget pentru exercițiul financiar 2026: 21 368 300 000 EUR</w:t>
      </w:r>
    </w:p>
    <w:p w:rsidR="007C265A" w:rsidRPr="00B002D4" w:rsidRDefault="007C265A" w:rsidP="00864B01">
      <w:pPr>
        <w:pStyle w:val="ManualHeading1"/>
        <w:rPr>
          <w:noProof/>
          <w:szCs w:val="24"/>
        </w:rPr>
      </w:pPr>
      <w:r>
        <w:rPr>
          <w:noProof/>
        </w:rPr>
        <w:t>3.</w:t>
      </w:r>
      <w:r>
        <w:rPr>
          <w:noProof/>
        </w:rPr>
        <w:tab/>
      </w:r>
      <w:r w:rsidRPr="00B002D4">
        <w:rPr>
          <w:noProof/>
        </w:rPr>
        <w:t>IMPLICAȚII FINANCIARE</w:t>
      </w:r>
    </w:p>
    <w:p w:rsidR="007C265A" w:rsidRPr="00B002D4" w:rsidRDefault="007C265A" w:rsidP="007C265A">
      <w:pPr>
        <w:pStyle w:val="Text1"/>
        <w:rPr>
          <w:noProof/>
        </w:rPr>
      </w:pPr>
      <w:r w:rsidRPr="00B002D4">
        <w:rPr>
          <w:noProof/>
        </w:rPr>
        <w:sym w:font="Wingdings" w:char="F0A8"/>
      </w:r>
      <w:r w:rsidRPr="00B002D4">
        <w:rPr>
          <w:noProof/>
        </w:rPr>
        <w:tab/>
        <w:t>Propunerea nu are implicații financiare</w:t>
      </w:r>
    </w:p>
    <w:p w:rsidR="007C265A" w:rsidRPr="00B002D4" w:rsidRDefault="007C265A" w:rsidP="007C265A">
      <w:pPr>
        <w:pStyle w:val="Text1"/>
        <w:rPr>
          <w:noProof/>
        </w:rPr>
      </w:pPr>
      <w:r w:rsidRPr="00B002D4">
        <w:rPr>
          <w:noProof/>
        </w:rPr>
        <w:t>X Propunerea nu are implicații financiare asupra cheltuielilor, dar are implicații financiare asupra veniturilor – efectul este următorul:</w:t>
      </w:r>
    </w:p>
    <w:p w:rsidR="007C265A" w:rsidRPr="00B002D4" w:rsidRDefault="007C265A" w:rsidP="007C265A">
      <w:pPr>
        <w:jc w:val="right"/>
        <w:rPr>
          <w:noProof/>
        </w:rPr>
      </w:pPr>
      <w:r w:rsidRPr="00B002D4">
        <w:rPr>
          <w:noProof/>
        </w:rPr>
        <w:t>(milioane EUR cu o zecimală)</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2"/>
        <w:gridCol w:w="2880"/>
        <w:gridCol w:w="2070"/>
        <w:gridCol w:w="2070"/>
      </w:tblGrid>
      <w:tr w:rsidR="007C265A" w:rsidRPr="00B002D4">
        <w:trPr>
          <w:gridAfter w:val="2"/>
          <w:wAfter w:w="4140" w:type="dxa"/>
          <w:cantSplit/>
        </w:trPr>
        <w:tc>
          <w:tcPr>
            <w:tcW w:w="1322" w:type="dxa"/>
          </w:tcPr>
          <w:p w:rsidR="007C265A" w:rsidRPr="00B002D4" w:rsidRDefault="007C265A">
            <w:pPr>
              <w:spacing w:before="0" w:after="0"/>
              <w:jc w:val="left"/>
              <w:rPr>
                <w:noProof/>
                <w:snapToGrid w:val="0"/>
                <w:sz w:val="18"/>
              </w:rPr>
            </w:pPr>
          </w:p>
        </w:tc>
        <w:tc>
          <w:tcPr>
            <w:tcW w:w="2880" w:type="dxa"/>
          </w:tcPr>
          <w:p w:rsidR="007C265A" w:rsidRPr="00B002D4" w:rsidRDefault="007C265A">
            <w:pPr>
              <w:spacing w:before="0" w:after="0"/>
              <w:jc w:val="left"/>
              <w:rPr>
                <w:noProof/>
                <w:snapToGrid w:val="0"/>
                <w:sz w:val="18"/>
              </w:rPr>
            </w:pPr>
          </w:p>
        </w:tc>
      </w:tr>
      <w:tr w:rsidR="00DE1F22" w:rsidRPr="00B002D4">
        <w:trPr>
          <w:cantSplit/>
        </w:trPr>
        <w:tc>
          <w:tcPr>
            <w:tcW w:w="1322" w:type="dxa"/>
          </w:tcPr>
          <w:p w:rsidR="00DE1F22" w:rsidRPr="00B002D4" w:rsidRDefault="00DE1F22" w:rsidP="00DE1F22">
            <w:pPr>
              <w:spacing w:before="0" w:after="0"/>
              <w:jc w:val="left"/>
              <w:rPr>
                <w:noProof/>
                <w:snapToGrid w:val="0"/>
              </w:rPr>
            </w:pPr>
            <w:r w:rsidRPr="00B002D4">
              <w:rPr>
                <w:noProof/>
                <w:sz w:val="22"/>
              </w:rPr>
              <w:t>Linia bugetară</w:t>
            </w:r>
          </w:p>
        </w:tc>
        <w:tc>
          <w:tcPr>
            <w:tcW w:w="2880" w:type="dxa"/>
          </w:tcPr>
          <w:p w:rsidR="00DE1F22" w:rsidRPr="00B002D4" w:rsidRDefault="00DE1F22" w:rsidP="00DE1F22">
            <w:pPr>
              <w:spacing w:before="0" w:after="0"/>
              <w:jc w:val="center"/>
              <w:rPr>
                <w:noProof/>
                <w:snapToGrid w:val="0"/>
              </w:rPr>
            </w:pPr>
            <w:r w:rsidRPr="00B002D4">
              <w:rPr>
                <w:noProof/>
                <w:sz w:val="22"/>
              </w:rPr>
              <w:t>Venituri</w:t>
            </w:r>
          </w:p>
        </w:tc>
        <w:tc>
          <w:tcPr>
            <w:tcW w:w="2070" w:type="dxa"/>
          </w:tcPr>
          <w:p w:rsidR="00DE1F22" w:rsidRPr="00B002D4" w:rsidRDefault="00EE6032" w:rsidP="00DE1F22">
            <w:pPr>
              <w:spacing w:before="0" w:after="0"/>
              <w:jc w:val="center"/>
              <w:rPr>
                <w:noProof/>
                <w:snapToGrid w:val="0"/>
              </w:rPr>
            </w:pPr>
            <w:r w:rsidRPr="00B002D4">
              <w:rPr>
                <w:noProof/>
                <w:sz w:val="22"/>
              </w:rPr>
              <w:t>perioadă de 6 luni începând cu zz/ll/aaaa</w:t>
            </w:r>
          </w:p>
        </w:tc>
        <w:tc>
          <w:tcPr>
            <w:tcW w:w="2070" w:type="dxa"/>
          </w:tcPr>
          <w:p w:rsidR="00DE1F22" w:rsidRPr="00B002D4" w:rsidRDefault="00DE1F22" w:rsidP="00DE1F22">
            <w:pPr>
              <w:spacing w:before="0" w:after="0"/>
              <w:jc w:val="center"/>
              <w:rPr>
                <w:noProof/>
                <w:snapToGrid w:val="0"/>
              </w:rPr>
            </w:pPr>
            <w:r w:rsidRPr="00B002D4">
              <w:rPr>
                <w:noProof/>
                <w:sz w:val="22"/>
              </w:rPr>
              <w:t>[Anul: al doilea semestru al anului 2026]</w:t>
            </w:r>
          </w:p>
        </w:tc>
      </w:tr>
      <w:tr w:rsidR="00DE1F22" w:rsidRPr="00B002D4">
        <w:trPr>
          <w:cantSplit/>
        </w:trPr>
        <w:tc>
          <w:tcPr>
            <w:tcW w:w="1322" w:type="dxa"/>
          </w:tcPr>
          <w:p w:rsidR="00DE1F22" w:rsidRPr="00B002D4" w:rsidRDefault="00DE1F22" w:rsidP="00DE1F22">
            <w:pPr>
              <w:spacing w:before="0" w:after="0"/>
              <w:jc w:val="left"/>
              <w:rPr>
                <w:noProof/>
              </w:rPr>
            </w:pPr>
            <w:r w:rsidRPr="00B002D4">
              <w:rPr>
                <w:noProof/>
                <w:sz w:val="22"/>
              </w:rPr>
              <w:t xml:space="preserve">Articolul 120 </w:t>
            </w:r>
          </w:p>
          <w:p w:rsidR="00DE1F22" w:rsidRPr="00B002D4" w:rsidRDefault="00DE1F22" w:rsidP="00DE1F22">
            <w:pPr>
              <w:spacing w:before="0" w:after="0"/>
              <w:jc w:val="left"/>
              <w:rPr>
                <w:noProof/>
                <w:snapToGrid w:val="0"/>
              </w:rPr>
            </w:pPr>
          </w:p>
        </w:tc>
        <w:tc>
          <w:tcPr>
            <w:tcW w:w="2880" w:type="dxa"/>
          </w:tcPr>
          <w:p w:rsidR="00DE1F22" w:rsidRPr="00B002D4" w:rsidRDefault="00DE1F22" w:rsidP="00DE1F22">
            <w:pPr>
              <w:spacing w:before="0" w:after="0"/>
              <w:jc w:val="left"/>
              <w:rPr>
                <w:i/>
                <w:noProof/>
                <w:snapToGrid w:val="0"/>
              </w:rPr>
            </w:pPr>
            <w:r w:rsidRPr="00B002D4">
              <w:rPr>
                <w:i/>
                <w:noProof/>
                <w:sz w:val="22"/>
              </w:rPr>
              <w:t>Implicații asupra resurselor proprii</w:t>
            </w:r>
          </w:p>
        </w:tc>
        <w:tc>
          <w:tcPr>
            <w:tcW w:w="2070" w:type="dxa"/>
          </w:tcPr>
          <w:p w:rsidR="00DE1F22" w:rsidRPr="00B002D4" w:rsidRDefault="00DE1F22" w:rsidP="00DE1F22">
            <w:pPr>
              <w:spacing w:before="0" w:after="0"/>
              <w:jc w:val="center"/>
              <w:rPr>
                <w:noProof/>
                <w:snapToGrid w:val="0"/>
              </w:rPr>
            </w:pPr>
            <w:r w:rsidRPr="00B002D4">
              <w:rPr>
                <w:noProof/>
                <w:snapToGrid w:val="0"/>
                <w:sz w:val="22"/>
              </w:rPr>
              <w:t xml:space="preserve">      1 iulie 2026</w:t>
            </w:r>
          </w:p>
        </w:tc>
        <w:tc>
          <w:tcPr>
            <w:tcW w:w="2070" w:type="dxa"/>
          </w:tcPr>
          <w:p w:rsidR="00DE1F22" w:rsidRPr="00B002D4" w:rsidRDefault="004116F1" w:rsidP="00DE1F22">
            <w:pPr>
              <w:spacing w:before="0" w:after="0"/>
              <w:jc w:val="center"/>
              <w:rPr>
                <w:noProof/>
                <w:snapToGrid w:val="0"/>
              </w:rPr>
            </w:pPr>
            <w:r w:rsidRPr="00B002D4">
              <w:rPr>
                <w:noProof/>
                <w:snapToGrid w:val="0"/>
              </w:rPr>
              <w:t>–2,7</w:t>
            </w:r>
          </w:p>
        </w:tc>
      </w:tr>
    </w:tbl>
    <w:p w:rsidR="003B1FA7" w:rsidRPr="00B002D4" w:rsidRDefault="00946FB9" w:rsidP="00F0228A">
      <w:pPr>
        <w:pStyle w:val="Text1"/>
        <w:rPr>
          <w:noProof/>
        </w:rPr>
      </w:pPr>
      <w:r w:rsidRPr="00B002D4">
        <w:rPr>
          <w:noProof/>
        </w:rPr>
        <w:t>Anexa conține patru produse noi. Taxele vamale necolectate corespunzătoare acestor contingente tarifare, calculate pe baza previziunilor statului membru solicitant pentru anul 2026, însumează 7 147 503 EUR pe an.</w:t>
      </w:r>
    </w:p>
    <w:p w:rsidR="009F725D" w:rsidRPr="00B002D4" w:rsidRDefault="00D10C44" w:rsidP="00EC3EF1">
      <w:pPr>
        <w:pStyle w:val="Text1"/>
        <w:rPr>
          <w:noProof/>
          <w:color w:val="000000" w:themeColor="text1"/>
        </w:rPr>
      </w:pPr>
      <w:r w:rsidRPr="00B002D4">
        <w:rPr>
          <w:noProof/>
        </w:rPr>
        <w:t>Două produse au fost retrase din anexa la Regulamentul (UE) nr. 2021/2283 ca rezultat al reintroducerii taxelor vamale.</w:t>
      </w:r>
      <w:r w:rsidRPr="00B002D4">
        <w:rPr>
          <w:noProof/>
          <w:color w:val="000000" w:themeColor="text1"/>
        </w:rPr>
        <w:t xml:space="preserve"> Întrucât aceste produse nu au făcut obiectul schimburilor comerciale în 2025, nu se preconizează niciun impact asupra colectării taxelor.</w:t>
      </w:r>
    </w:p>
    <w:p w:rsidR="00F252C5" w:rsidRPr="00B002D4" w:rsidRDefault="006D29C6" w:rsidP="00F252C5">
      <w:pPr>
        <w:pStyle w:val="Text1"/>
        <w:rPr>
          <w:noProof/>
        </w:rPr>
      </w:pPr>
      <w:r w:rsidRPr="00B002D4">
        <w:rPr>
          <w:noProof/>
        </w:rPr>
        <w:t xml:space="preserve">Pe baza celor de mai sus, impactul negativ asupra veniturilor pentru bugetul UE care rezultă din prezentul regulament este estimat la 7 147 503 EUR (cuantum brut, incluzând costuri de colectare) x 0,75 = 5 360 627 EUR per an (cuantum net). </w:t>
      </w:r>
    </w:p>
    <w:p w:rsidR="007C265A" w:rsidRPr="00B002D4" w:rsidRDefault="007C265A" w:rsidP="00864B01">
      <w:pPr>
        <w:pStyle w:val="ManualHeading1"/>
        <w:rPr>
          <w:noProof/>
          <w:szCs w:val="24"/>
        </w:rPr>
      </w:pPr>
      <w:r>
        <w:rPr>
          <w:noProof/>
        </w:rPr>
        <w:t>4.</w:t>
      </w:r>
      <w:r>
        <w:rPr>
          <w:noProof/>
        </w:rPr>
        <w:tab/>
      </w:r>
      <w:r w:rsidRPr="00B002D4">
        <w:rPr>
          <w:noProof/>
        </w:rPr>
        <w:t>MĂSURI ANTIFRAUDĂ</w:t>
      </w:r>
    </w:p>
    <w:p w:rsidR="007C265A" w:rsidRPr="00B002D4" w:rsidRDefault="003915CC" w:rsidP="003915CC">
      <w:pPr>
        <w:pStyle w:val="Text1"/>
        <w:rPr>
          <w:noProof/>
        </w:rPr>
      </w:pPr>
      <w:r w:rsidRPr="00B002D4">
        <w:rPr>
          <w:noProof/>
        </w:rPr>
        <w:t>Controlul utilizării finale a anumitor produse care fac obiectul prezentului regulament al Consiliului se va efectua în conformitate cu articolul 254 din Regulamentul (UE) nr. 952/2013 al Parlamentului European și al Consiliului</w:t>
      </w:r>
      <w:r w:rsidRPr="00B002D4">
        <w:rPr>
          <w:rStyle w:val="FootnoteReference"/>
          <w:noProof/>
        </w:rPr>
        <w:footnoteReference w:id="6"/>
      </w:r>
      <w:r w:rsidRPr="00B002D4">
        <w:rPr>
          <w:noProof/>
        </w:rPr>
        <w:t>. În plus, statele membre pot efectua orice controale vamale pe care le consideră adecvate în cadrul gestionării riscurilor pe care o efectuează, astfel cum se prevede la articolul 46 din Regulamentul (UE) nr. 952/2013.</w:t>
      </w:r>
    </w:p>
    <w:sectPr w:rsidR="007C265A" w:rsidRPr="00B002D4" w:rsidSect="00125C7F">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C51" w:rsidRDefault="00524C51" w:rsidP="00401466">
      <w:pPr>
        <w:spacing w:before="0" w:after="0"/>
      </w:pPr>
      <w:r>
        <w:separator/>
      </w:r>
    </w:p>
  </w:endnote>
  <w:endnote w:type="continuationSeparator" w:id="0">
    <w:p w:rsidR="00524C51" w:rsidRDefault="00524C51" w:rsidP="00401466">
      <w:pPr>
        <w:spacing w:before="0" w:after="0"/>
      </w:pPr>
      <w:r>
        <w:continuationSeparator/>
      </w:r>
    </w:p>
  </w:endnote>
  <w:endnote w:type="continuationNotice" w:id="1">
    <w:p w:rsidR="00524C51" w:rsidRDefault="00524C5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C7F" w:rsidRPr="00125C7F" w:rsidRDefault="00125C7F" w:rsidP="00125C7F">
    <w:pPr>
      <w:pStyle w:val="Footer"/>
      <w:rPr>
        <w:rFonts w:ascii="Arial" w:hAnsi="Arial" w:cs="Arial"/>
        <w:b/>
        <w:sz w:val="48"/>
      </w:rPr>
    </w:pPr>
    <w:r w:rsidRPr="00125C7F">
      <w:rPr>
        <w:rFonts w:ascii="Arial" w:hAnsi="Arial" w:cs="Arial"/>
        <w:b/>
        <w:sz w:val="48"/>
      </w:rPr>
      <w:t>RO</w:t>
    </w:r>
    <w:r w:rsidRPr="00125C7F">
      <w:rPr>
        <w:rFonts w:ascii="Arial" w:hAnsi="Arial" w:cs="Arial"/>
        <w:b/>
        <w:sz w:val="48"/>
      </w:rPr>
      <w:tab/>
    </w:r>
    <w:r w:rsidRPr="00125C7F">
      <w:rPr>
        <w:rFonts w:ascii="Arial" w:hAnsi="Arial" w:cs="Arial"/>
        <w:b/>
        <w:sz w:val="48"/>
      </w:rPr>
      <w:tab/>
    </w:r>
    <w:r w:rsidRPr="00125C7F">
      <w:tab/>
    </w:r>
    <w:r w:rsidRPr="00125C7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C7F" w:rsidRPr="00125C7F" w:rsidRDefault="00125C7F" w:rsidP="00125C7F">
    <w:pPr>
      <w:pStyle w:val="Footer"/>
      <w:rPr>
        <w:rFonts w:ascii="Arial" w:hAnsi="Arial" w:cs="Arial"/>
        <w:b/>
        <w:sz w:val="48"/>
      </w:rPr>
    </w:pPr>
    <w:r w:rsidRPr="00125C7F">
      <w:rPr>
        <w:rFonts w:ascii="Arial" w:hAnsi="Arial" w:cs="Arial"/>
        <w:b/>
        <w:sz w:val="48"/>
      </w:rPr>
      <w:t>RO</w:t>
    </w:r>
    <w:r w:rsidRPr="00125C7F">
      <w:rPr>
        <w:rFonts w:ascii="Arial" w:hAnsi="Arial" w:cs="Arial"/>
        <w:b/>
        <w:sz w:val="48"/>
      </w:rPr>
      <w:tab/>
    </w:r>
    <w:r w:rsidRPr="00125C7F">
      <w:rPr>
        <w:rFonts w:ascii="Arial" w:hAnsi="Arial" w:cs="Arial"/>
        <w:b/>
        <w:sz w:val="48"/>
      </w:rPr>
      <w:tab/>
    </w:r>
    <w:r w:rsidRPr="00125C7F">
      <w:tab/>
    </w:r>
    <w:r w:rsidRPr="00125C7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C7F" w:rsidRDefault="00125C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C7F" w:rsidRPr="00125C7F" w:rsidRDefault="00125C7F" w:rsidP="00125C7F">
    <w:pPr>
      <w:pStyle w:val="Footer"/>
      <w:rPr>
        <w:rFonts w:ascii="Arial" w:hAnsi="Arial" w:cs="Arial"/>
        <w:b/>
        <w:sz w:val="48"/>
      </w:rPr>
    </w:pPr>
    <w:r w:rsidRPr="00125C7F">
      <w:rPr>
        <w:rFonts w:ascii="Arial" w:hAnsi="Arial" w:cs="Arial"/>
        <w:b/>
        <w:sz w:val="48"/>
      </w:rPr>
      <w:t>RO</w:t>
    </w:r>
    <w:r w:rsidRPr="00125C7F">
      <w:rPr>
        <w:rFonts w:ascii="Arial" w:hAnsi="Arial" w:cs="Arial"/>
        <w:b/>
        <w:sz w:val="48"/>
      </w:rPr>
      <w:tab/>
    </w:r>
    <w:r>
      <w:fldChar w:fldCharType="begin"/>
    </w:r>
    <w:r>
      <w:instrText xml:space="preserve"> PAGE  \* MERGEFORMAT </w:instrText>
    </w:r>
    <w:r>
      <w:fldChar w:fldCharType="separate"/>
    </w:r>
    <w:r w:rsidR="00D731FC">
      <w:rPr>
        <w:noProof/>
      </w:rPr>
      <w:t>1</w:t>
    </w:r>
    <w:r>
      <w:fldChar w:fldCharType="end"/>
    </w:r>
    <w:r>
      <w:tab/>
    </w:r>
    <w:r w:rsidRPr="00125C7F">
      <w:tab/>
    </w:r>
    <w:r w:rsidRPr="00125C7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C7F" w:rsidRDefault="00125C7F" w:rsidP="00125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C51" w:rsidRDefault="00524C51" w:rsidP="00401466">
      <w:pPr>
        <w:spacing w:before="0" w:after="0"/>
      </w:pPr>
      <w:r>
        <w:separator/>
      </w:r>
    </w:p>
  </w:footnote>
  <w:footnote w:type="continuationSeparator" w:id="0">
    <w:p w:rsidR="00524C51" w:rsidRDefault="00524C51" w:rsidP="00401466">
      <w:pPr>
        <w:spacing w:before="0" w:after="0"/>
      </w:pPr>
      <w:r>
        <w:continuationSeparator/>
      </w:r>
    </w:p>
  </w:footnote>
  <w:footnote w:type="continuationNotice" w:id="1">
    <w:p w:rsidR="00524C51" w:rsidRDefault="00524C51">
      <w:pPr>
        <w:spacing w:before="0" w:after="0"/>
      </w:pPr>
    </w:p>
  </w:footnote>
  <w:footnote w:id="2">
    <w:p w:rsidR="002A3D8D" w:rsidRPr="003B748D" w:rsidRDefault="002A3D8D" w:rsidP="002A3D8D">
      <w:pPr>
        <w:pStyle w:val="FootnoteText"/>
      </w:pPr>
      <w:r>
        <w:rPr>
          <w:rStyle w:val="FootnoteReference"/>
        </w:rPr>
        <w:footnoteRef/>
      </w:r>
      <w:r>
        <w:tab/>
        <w:t>Regulamentul (UE) 2022/2563 al Consiliului din 19 decembrie 2022 de modificare a Regulamentului (UE) 2021/2283 privind deschiderea și modul de gestionare a unor contingente tarifare autonome ale Uniunii pentru anumite produse agricole și industriale (JO L 330, 23.12.2022, p. 109, ELI:</w:t>
      </w:r>
      <w:r>
        <w:rPr>
          <w:color w:val="333333"/>
        </w:rPr>
        <w:t xml:space="preserve"> </w:t>
      </w:r>
      <w:hyperlink r:id="rId1" w:history="1">
        <w:r>
          <w:rPr>
            <w:color w:val="337AB7"/>
            <w:u w:val="single"/>
          </w:rPr>
          <w:t>http://data.europa.eu/eli/reg/2022/2563/oj</w:t>
        </w:r>
      </w:hyperlink>
      <w:r>
        <w:rPr>
          <w:color w:val="333333"/>
        </w:rPr>
        <w:t>).</w:t>
      </w:r>
    </w:p>
  </w:footnote>
  <w:footnote w:id="3">
    <w:p w:rsidR="002A3D8D" w:rsidRPr="003B748D" w:rsidRDefault="002A3D8D" w:rsidP="002A3D8D">
      <w:pPr>
        <w:pStyle w:val="FootnoteText"/>
      </w:pPr>
      <w:r>
        <w:rPr>
          <w:rStyle w:val="FootnoteReference"/>
        </w:rPr>
        <w:footnoteRef/>
      </w:r>
      <w:r>
        <w:tab/>
      </w:r>
      <w:hyperlink r:id="rId2" w:history="1">
        <w:r>
          <w:rPr>
            <w:rStyle w:val="Hyperlink"/>
          </w:rPr>
          <w:t>https://taxation-customs.ec.europa.eu/system/files/2016-09/evaluation_suspensions_duties.pdf</w:t>
        </w:r>
      </w:hyperlink>
    </w:p>
  </w:footnote>
  <w:footnote w:id="4">
    <w:p w:rsidR="008B3EEE" w:rsidRPr="00985395" w:rsidRDefault="008B3EEE" w:rsidP="008B3EEE">
      <w:pPr>
        <w:pStyle w:val="FootnoteText"/>
      </w:pPr>
      <w:r>
        <w:rPr>
          <w:rStyle w:val="FootnoteReference"/>
        </w:rPr>
        <w:footnoteRef/>
      </w:r>
      <w:r>
        <w:tab/>
        <w:t>Regulamentul (UE) 2021/2283 al Consiliului din 20 decembrie 2021 privind deschiderea și modul de gestionare a unor contingente tarifare autonome ale Uniunii pentru anumite produse agricole și industriale și de abrogare a Regulamentului (UE) nr. 1388/2013 (JO L 458, 22.12.2021, p. 33, ELI: </w:t>
      </w:r>
      <w:hyperlink r:id="rId3" w:history="1">
        <w:r>
          <w:rPr>
            <w:rStyle w:val="Hyperlink"/>
          </w:rPr>
          <w:t>http://data.europa.eu/eli/reg/2021/2283/oj</w:t>
        </w:r>
      </w:hyperlink>
      <w:r>
        <w:t>).</w:t>
      </w:r>
    </w:p>
  </w:footnote>
  <w:footnote w:id="5">
    <w:p w:rsidR="000F1378" w:rsidRPr="00B002D4" w:rsidRDefault="000F1378">
      <w:pPr>
        <w:pStyle w:val="FootnoteText"/>
        <w:rPr>
          <w:lang w:val="fr-FR"/>
        </w:rPr>
      </w:pPr>
      <w:r>
        <w:rPr>
          <w:rStyle w:val="FootnoteReference"/>
        </w:rPr>
        <w:footnoteRef/>
      </w:r>
      <w:r w:rsidRPr="00B002D4">
        <w:rPr>
          <w:lang w:val="fr-FR"/>
        </w:rPr>
        <w:tab/>
        <w:t>Comunicarea Comisiei privind suspendările și contingentele tarifare autonome (JO C 363, 13.12.2011, p. 6).</w:t>
      </w:r>
    </w:p>
  </w:footnote>
  <w:footnote w:id="6">
    <w:p w:rsidR="00CE0C6D" w:rsidRPr="00B002D4" w:rsidRDefault="00CE0C6D" w:rsidP="00CE0C6D">
      <w:pPr>
        <w:pStyle w:val="FootnoteText"/>
        <w:rPr>
          <w:lang w:val="fr-FR"/>
        </w:rPr>
      </w:pPr>
      <w:r>
        <w:rPr>
          <w:rStyle w:val="FootnoteReference"/>
        </w:rPr>
        <w:footnoteRef/>
      </w:r>
      <w:r w:rsidRPr="00B002D4">
        <w:rPr>
          <w:lang w:val="fr-FR"/>
        </w:rPr>
        <w:tab/>
        <w:t>Regulamentul (UE) nr. 952/2013 al Parlamentului European și al Consiliului din 9 octombrie 2013 de stabilire a Codului vamal al Uniunii (JO L 269, 10.10.2013, p. 1, ELI: http://data.europa.eu/eli/reg/2013/952/oj).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C7F" w:rsidRDefault="00125C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C7F" w:rsidRDefault="00125C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6"/>
  </w:num>
  <w:num w:numId="7">
    <w:abstractNumId w:val="23"/>
  </w:num>
  <w:num w:numId="8">
    <w:abstractNumId w:val="27"/>
  </w:num>
  <w:num w:numId="9">
    <w:abstractNumId w:val="28"/>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num>
  <w:num w:numId="18">
    <w:abstractNumId w:val="22"/>
  </w:num>
  <w:num w:numId="19">
    <w:abstractNumId w:val="11"/>
  </w:num>
  <w:num w:numId="20">
    <w:abstractNumId w:val="25"/>
  </w:num>
  <w:num w:numId="21">
    <w:abstractNumId w:val="6"/>
  </w:num>
  <w:num w:numId="22">
    <w:abstractNumId w:val="12"/>
  </w:num>
  <w:num w:numId="23">
    <w:abstractNumId w:val="13"/>
  </w:num>
  <w:num w:numId="24">
    <w:abstractNumId w:val="4"/>
  </w:num>
  <w:num w:numId="25">
    <w:abstractNumId w:val="24"/>
  </w:num>
  <w:num w:numId="26">
    <w:abstractNumId w:val="3"/>
  </w:num>
  <w:num w:numId="27">
    <w:abstractNumId w:val="14"/>
  </w:num>
  <w:num w:numId="28">
    <w:abstractNumId w:val="20"/>
  </w:num>
  <w:num w:numId="29">
    <w:abstractNumId w:val="21"/>
  </w:num>
  <w:num w:numId="30">
    <w:abstractNumId w:val="5"/>
  </w:num>
  <w:num w:numId="31">
    <w:abstractNumId w:val="18"/>
  </w:num>
  <w:num w:numId="32">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i-FI" w:vendorID="64" w:dllVersion="6"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fi-FI" w:vendorID="64" w:dllVersion="0" w:nlCheck="1" w:checkStyle="0"/>
  <w:activeWritingStyle w:appName="MSWord" w:lang="pl-PL" w:vendorID="64" w:dllVersion="0" w:nlCheck="1" w:checkStyle="0"/>
  <w:activeWritingStyle w:appName="MSWord" w:lang="en-IE" w:vendorID="64" w:dllVersion="0" w:nlCheck="1" w:checkStyle="0"/>
  <w:activeWritingStyle w:appName="MSWord" w:lang="fr-FR" w:vendorID="64" w:dllVersion="0" w:nlCheck="1" w:checkStyle="0"/>
  <w:activeWritingStyle w:appName="MSWord" w:lang="fr-FR" w:vendorID="64" w:dllVersion="6" w:nlCheck="1" w:checkStyle="0"/>
  <w:activeWritingStyle w:appName="MSWord" w:lang="sv-FI" w:vendorID="64" w:dllVersion="0" w:nlCheck="1" w:checkStyle="0"/>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9 10:27: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369B82E-048A-433B-9E7D-80553E85B70E"/>
    <w:docVar w:name="LW_COVERPAGE_TYPE" w:val="1"/>
    <w:docVar w:name="LW_CROSSREFERENCE" w:val="&lt;UNUSED&gt;"/>
    <w:docVar w:name="LW_DocType" w:val="COM"/>
    <w:docVar w:name="LW_EMISSION" w:val="27.4.2026"/>
    <w:docVar w:name="LW_EMISSION_ISODATE" w:val="2026-04-27"/>
    <w:docVar w:name="LW_EMISSION_LOCATION" w:val="BRX"/>
    <w:docVar w:name="LW_EMISSION_PREFIX" w:val="Bruxelles,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96"/>
    <w:docVar w:name="LW_REF.II.NEW.CP_YEAR" w:val="2026"/>
    <w:docVar w:name="LW_REF.INST.NEW" w:val="COM"/>
    <w:docVar w:name="LW_REF.INST.NEW_ADOPTED" w:val="final"/>
    <w:docVar w:name="LW_REF.INST.NEW_TEXT" w:val="(2026) 1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21/2283 privind deschiderea \u537?i modul de gestionare a unor contingente tarifare autonome ale Uniunii pentru anumite produse agricole \u537?i industriale"/>
    <w:docVar w:name="LW_TYPE.DOC.CP" w:val="REGULAMENT AL CONSILIULUI"/>
    <w:docVar w:name="LwApiVersions" w:val="LW4CoDe 1.24.5.0; LW 9.2, Build 20251112"/>
  </w:docVars>
  <w:rsids>
    <w:rsidRoot w:val="00401466"/>
    <w:rsid w:val="00000642"/>
    <w:rsid w:val="00003F06"/>
    <w:rsid w:val="00007CEB"/>
    <w:rsid w:val="00011B7F"/>
    <w:rsid w:val="000128A6"/>
    <w:rsid w:val="0001561B"/>
    <w:rsid w:val="00020207"/>
    <w:rsid w:val="000225E7"/>
    <w:rsid w:val="000232ED"/>
    <w:rsid w:val="00024AD4"/>
    <w:rsid w:val="000308BF"/>
    <w:rsid w:val="00031BF7"/>
    <w:rsid w:val="00032825"/>
    <w:rsid w:val="00034207"/>
    <w:rsid w:val="00036ADC"/>
    <w:rsid w:val="000415F1"/>
    <w:rsid w:val="00042E9D"/>
    <w:rsid w:val="00044F57"/>
    <w:rsid w:val="00052196"/>
    <w:rsid w:val="00052874"/>
    <w:rsid w:val="00052B81"/>
    <w:rsid w:val="00052F42"/>
    <w:rsid w:val="0005332B"/>
    <w:rsid w:val="000544F1"/>
    <w:rsid w:val="00056103"/>
    <w:rsid w:val="00056A63"/>
    <w:rsid w:val="000579D7"/>
    <w:rsid w:val="000640DF"/>
    <w:rsid w:val="00064BCD"/>
    <w:rsid w:val="00070B24"/>
    <w:rsid w:val="00072E1A"/>
    <w:rsid w:val="000732F2"/>
    <w:rsid w:val="00077CE9"/>
    <w:rsid w:val="00083E60"/>
    <w:rsid w:val="00084D63"/>
    <w:rsid w:val="00086F1B"/>
    <w:rsid w:val="000872DB"/>
    <w:rsid w:val="000925DD"/>
    <w:rsid w:val="00094AB7"/>
    <w:rsid w:val="000954F4"/>
    <w:rsid w:val="0009696A"/>
    <w:rsid w:val="00096ED8"/>
    <w:rsid w:val="000A1139"/>
    <w:rsid w:val="000A1294"/>
    <w:rsid w:val="000A16BB"/>
    <w:rsid w:val="000A28D0"/>
    <w:rsid w:val="000A3F65"/>
    <w:rsid w:val="000A45F1"/>
    <w:rsid w:val="000A4D1E"/>
    <w:rsid w:val="000A57A5"/>
    <w:rsid w:val="000A5CAD"/>
    <w:rsid w:val="000A6772"/>
    <w:rsid w:val="000A7261"/>
    <w:rsid w:val="000A7517"/>
    <w:rsid w:val="000B05E3"/>
    <w:rsid w:val="000B42FB"/>
    <w:rsid w:val="000B5358"/>
    <w:rsid w:val="000B5BEB"/>
    <w:rsid w:val="000C34A7"/>
    <w:rsid w:val="000D2B7F"/>
    <w:rsid w:val="000D56DA"/>
    <w:rsid w:val="000D56DE"/>
    <w:rsid w:val="000E05A1"/>
    <w:rsid w:val="000E15F5"/>
    <w:rsid w:val="000E198E"/>
    <w:rsid w:val="000E539E"/>
    <w:rsid w:val="000E73DD"/>
    <w:rsid w:val="000F0AC7"/>
    <w:rsid w:val="000F1378"/>
    <w:rsid w:val="000F24AC"/>
    <w:rsid w:val="000F2707"/>
    <w:rsid w:val="000F3111"/>
    <w:rsid w:val="000F5FED"/>
    <w:rsid w:val="00102FA9"/>
    <w:rsid w:val="00103776"/>
    <w:rsid w:val="00110307"/>
    <w:rsid w:val="001200CF"/>
    <w:rsid w:val="001231B5"/>
    <w:rsid w:val="00125C7F"/>
    <w:rsid w:val="00126A4F"/>
    <w:rsid w:val="00135C78"/>
    <w:rsid w:val="00137F59"/>
    <w:rsid w:val="00140480"/>
    <w:rsid w:val="00144EDF"/>
    <w:rsid w:val="00156B47"/>
    <w:rsid w:val="00160423"/>
    <w:rsid w:val="0016077F"/>
    <w:rsid w:val="00160D72"/>
    <w:rsid w:val="001650FE"/>
    <w:rsid w:val="00170522"/>
    <w:rsid w:val="00173E30"/>
    <w:rsid w:val="00175654"/>
    <w:rsid w:val="00176F62"/>
    <w:rsid w:val="0017714A"/>
    <w:rsid w:val="00181BA3"/>
    <w:rsid w:val="0018345E"/>
    <w:rsid w:val="00183B44"/>
    <w:rsid w:val="00185021"/>
    <w:rsid w:val="00186A7E"/>
    <w:rsid w:val="00187529"/>
    <w:rsid w:val="00187C21"/>
    <w:rsid w:val="001908D8"/>
    <w:rsid w:val="0019250E"/>
    <w:rsid w:val="00192AB2"/>
    <w:rsid w:val="0019465F"/>
    <w:rsid w:val="00194919"/>
    <w:rsid w:val="00196C10"/>
    <w:rsid w:val="001A1CA9"/>
    <w:rsid w:val="001A29E5"/>
    <w:rsid w:val="001A3E0B"/>
    <w:rsid w:val="001A43CC"/>
    <w:rsid w:val="001A58A3"/>
    <w:rsid w:val="001A61E2"/>
    <w:rsid w:val="001A6E02"/>
    <w:rsid w:val="001A739A"/>
    <w:rsid w:val="001B360F"/>
    <w:rsid w:val="001B472F"/>
    <w:rsid w:val="001C26A4"/>
    <w:rsid w:val="001C2816"/>
    <w:rsid w:val="001C3771"/>
    <w:rsid w:val="001C395E"/>
    <w:rsid w:val="001C5F01"/>
    <w:rsid w:val="001D4B25"/>
    <w:rsid w:val="001E2882"/>
    <w:rsid w:val="001E56D0"/>
    <w:rsid w:val="001E624B"/>
    <w:rsid w:val="001E6F91"/>
    <w:rsid w:val="001F1E8E"/>
    <w:rsid w:val="001F4FA1"/>
    <w:rsid w:val="0020200D"/>
    <w:rsid w:val="002033EE"/>
    <w:rsid w:val="002054B0"/>
    <w:rsid w:val="00210585"/>
    <w:rsid w:val="002105E8"/>
    <w:rsid w:val="0021250C"/>
    <w:rsid w:val="00213041"/>
    <w:rsid w:val="002135DB"/>
    <w:rsid w:val="00214BB2"/>
    <w:rsid w:val="00214D6F"/>
    <w:rsid w:val="00215592"/>
    <w:rsid w:val="00215C4F"/>
    <w:rsid w:val="00216AE3"/>
    <w:rsid w:val="00222507"/>
    <w:rsid w:val="00225A3C"/>
    <w:rsid w:val="00230892"/>
    <w:rsid w:val="00232E98"/>
    <w:rsid w:val="00234AC1"/>
    <w:rsid w:val="00241ED4"/>
    <w:rsid w:val="00244D69"/>
    <w:rsid w:val="002450D7"/>
    <w:rsid w:val="002461A4"/>
    <w:rsid w:val="002511BB"/>
    <w:rsid w:val="00251FF1"/>
    <w:rsid w:val="0025397B"/>
    <w:rsid w:val="00256697"/>
    <w:rsid w:val="00257F50"/>
    <w:rsid w:val="00260ACE"/>
    <w:rsid w:val="00265EA2"/>
    <w:rsid w:val="002672F0"/>
    <w:rsid w:val="00270B9B"/>
    <w:rsid w:val="00276BAB"/>
    <w:rsid w:val="00276BF7"/>
    <w:rsid w:val="00276E7D"/>
    <w:rsid w:val="002854BC"/>
    <w:rsid w:val="00290884"/>
    <w:rsid w:val="00295016"/>
    <w:rsid w:val="002970C6"/>
    <w:rsid w:val="002A0484"/>
    <w:rsid w:val="002A0B80"/>
    <w:rsid w:val="002A3D8D"/>
    <w:rsid w:val="002A4A81"/>
    <w:rsid w:val="002A4DAC"/>
    <w:rsid w:val="002A68E7"/>
    <w:rsid w:val="002B088E"/>
    <w:rsid w:val="002B08FF"/>
    <w:rsid w:val="002B2405"/>
    <w:rsid w:val="002B571D"/>
    <w:rsid w:val="002B5F40"/>
    <w:rsid w:val="002C609F"/>
    <w:rsid w:val="002C6661"/>
    <w:rsid w:val="002D16AF"/>
    <w:rsid w:val="002D28A8"/>
    <w:rsid w:val="002D30D2"/>
    <w:rsid w:val="002D4DF9"/>
    <w:rsid w:val="002D5ECC"/>
    <w:rsid w:val="002D63BE"/>
    <w:rsid w:val="002D770D"/>
    <w:rsid w:val="002E310B"/>
    <w:rsid w:val="002E3224"/>
    <w:rsid w:val="002F3217"/>
    <w:rsid w:val="002F36AC"/>
    <w:rsid w:val="002F479A"/>
    <w:rsid w:val="002F4E19"/>
    <w:rsid w:val="002F6031"/>
    <w:rsid w:val="002F741C"/>
    <w:rsid w:val="0030123D"/>
    <w:rsid w:val="003028FD"/>
    <w:rsid w:val="003031D7"/>
    <w:rsid w:val="00303FD6"/>
    <w:rsid w:val="003071B9"/>
    <w:rsid w:val="00307D2D"/>
    <w:rsid w:val="00307DBF"/>
    <w:rsid w:val="00310420"/>
    <w:rsid w:val="003124B6"/>
    <w:rsid w:val="003127FA"/>
    <w:rsid w:val="003157F1"/>
    <w:rsid w:val="00320896"/>
    <w:rsid w:val="003305EF"/>
    <w:rsid w:val="00330BC0"/>
    <w:rsid w:val="00331C1A"/>
    <w:rsid w:val="00342FA5"/>
    <w:rsid w:val="0034395E"/>
    <w:rsid w:val="00344430"/>
    <w:rsid w:val="0034522E"/>
    <w:rsid w:val="00347E5B"/>
    <w:rsid w:val="00350ED8"/>
    <w:rsid w:val="003516B5"/>
    <w:rsid w:val="003546FC"/>
    <w:rsid w:val="00357FEC"/>
    <w:rsid w:val="00361332"/>
    <w:rsid w:val="0036339C"/>
    <w:rsid w:val="00365DE9"/>
    <w:rsid w:val="00365FC0"/>
    <w:rsid w:val="00370C7A"/>
    <w:rsid w:val="00370FBF"/>
    <w:rsid w:val="0037398F"/>
    <w:rsid w:val="00375591"/>
    <w:rsid w:val="003775B9"/>
    <w:rsid w:val="00380DBF"/>
    <w:rsid w:val="00380F1A"/>
    <w:rsid w:val="00384EC7"/>
    <w:rsid w:val="003915CC"/>
    <w:rsid w:val="00391D2F"/>
    <w:rsid w:val="003966EA"/>
    <w:rsid w:val="003967B1"/>
    <w:rsid w:val="00397145"/>
    <w:rsid w:val="003A2D71"/>
    <w:rsid w:val="003A3993"/>
    <w:rsid w:val="003A6B84"/>
    <w:rsid w:val="003A6CFF"/>
    <w:rsid w:val="003A7802"/>
    <w:rsid w:val="003A7EC5"/>
    <w:rsid w:val="003B03E0"/>
    <w:rsid w:val="003B0B99"/>
    <w:rsid w:val="003B1E59"/>
    <w:rsid w:val="003B1FA7"/>
    <w:rsid w:val="003B4650"/>
    <w:rsid w:val="003B5203"/>
    <w:rsid w:val="003B68F2"/>
    <w:rsid w:val="003C2AF6"/>
    <w:rsid w:val="003C32E3"/>
    <w:rsid w:val="003C33ED"/>
    <w:rsid w:val="003C5EA6"/>
    <w:rsid w:val="003C67E8"/>
    <w:rsid w:val="003C6889"/>
    <w:rsid w:val="003D0DE8"/>
    <w:rsid w:val="003D1AF6"/>
    <w:rsid w:val="003D5EE1"/>
    <w:rsid w:val="003E37C6"/>
    <w:rsid w:val="003E3F15"/>
    <w:rsid w:val="003E41CC"/>
    <w:rsid w:val="003E46F3"/>
    <w:rsid w:val="003E4C89"/>
    <w:rsid w:val="003E5F74"/>
    <w:rsid w:val="003F4DAA"/>
    <w:rsid w:val="003F50E8"/>
    <w:rsid w:val="003F743E"/>
    <w:rsid w:val="00401466"/>
    <w:rsid w:val="00404299"/>
    <w:rsid w:val="00404D27"/>
    <w:rsid w:val="00405334"/>
    <w:rsid w:val="0040744D"/>
    <w:rsid w:val="00410D55"/>
    <w:rsid w:val="004116F1"/>
    <w:rsid w:val="00413FA4"/>
    <w:rsid w:val="0042453C"/>
    <w:rsid w:val="00425EF5"/>
    <w:rsid w:val="00430589"/>
    <w:rsid w:val="0043503C"/>
    <w:rsid w:val="0043653B"/>
    <w:rsid w:val="00450C1D"/>
    <w:rsid w:val="00451811"/>
    <w:rsid w:val="00453502"/>
    <w:rsid w:val="00455997"/>
    <w:rsid w:val="00455B20"/>
    <w:rsid w:val="00457EE9"/>
    <w:rsid w:val="0046086E"/>
    <w:rsid w:val="0046130B"/>
    <w:rsid w:val="0046142C"/>
    <w:rsid w:val="0046150F"/>
    <w:rsid w:val="0046177A"/>
    <w:rsid w:val="00462CFA"/>
    <w:rsid w:val="004643A1"/>
    <w:rsid w:val="00464ED7"/>
    <w:rsid w:val="00466424"/>
    <w:rsid w:val="00471D87"/>
    <w:rsid w:val="00471F29"/>
    <w:rsid w:val="00477FB7"/>
    <w:rsid w:val="004800F4"/>
    <w:rsid w:val="00480450"/>
    <w:rsid w:val="00480CDA"/>
    <w:rsid w:val="00481406"/>
    <w:rsid w:val="00484FC5"/>
    <w:rsid w:val="0048683A"/>
    <w:rsid w:val="004913EE"/>
    <w:rsid w:val="00492045"/>
    <w:rsid w:val="0049246D"/>
    <w:rsid w:val="00492B03"/>
    <w:rsid w:val="00495EC4"/>
    <w:rsid w:val="00496F48"/>
    <w:rsid w:val="004A0A00"/>
    <w:rsid w:val="004A293C"/>
    <w:rsid w:val="004A4FC9"/>
    <w:rsid w:val="004A5542"/>
    <w:rsid w:val="004B14DE"/>
    <w:rsid w:val="004B31D0"/>
    <w:rsid w:val="004B3D64"/>
    <w:rsid w:val="004B4BED"/>
    <w:rsid w:val="004C24F5"/>
    <w:rsid w:val="004C4F3B"/>
    <w:rsid w:val="004D27B3"/>
    <w:rsid w:val="004D41A1"/>
    <w:rsid w:val="004D44A4"/>
    <w:rsid w:val="004D724E"/>
    <w:rsid w:val="004E1B80"/>
    <w:rsid w:val="004E54C0"/>
    <w:rsid w:val="004E5842"/>
    <w:rsid w:val="004E59CE"/>
    <w:rsid w:val="004E63DC"/>
    <w:rsid w:val="004E7704"/>
    <w:rsid w:val="004E778A"/>
    <w:rsid w:val="004F08FD"/>
    <w:rsid w:val="004F12AA"/>
    <w:rsid w:val="004F306A"/>
    <w:rsid w:val="005048F7"/>
    <w:rsid w:val="00505D97"/>
    <w:rsid w:val="0051707A"/>
    <w:rsid w:val="00517778"/>
    <w:rsid w:val="005200C7"/>
    <w:rsid w:val="00524909"/>
    <w:rsid w:val="00524C51"/>
    <w:rsid w:val="00525B34"/>
    <w:rsid w:val="00526095"/>
    <w:rsid w:val="00527B1D"/>
    <w:rsid w:val="0053025D"/>
    <w:rsid w:val="005304B6"/>
    <w:rsid w:val="00533FD9"/>
    <w:rsid w:val="00547DF0"/>
    <w:rsid w:val="0055241A"/>
    <w:rsid w:val="00552C9B"/>
    <w:rsid w:val="00554C79"/>
    <w:rsid w:val="00555269"/>
    <w:rsid w:val="0055575B"/>
    <w:rsid w:val="00556A92"/>
    <w:rsid w:val="0056007B"/>
    <w:rsid w:val="00562438"/>
    <w:rsid w:val="0056285B"/>
    <w:rsid w:val="00565B09"/>
    <w:rsid w:val="00570AD5"/>
    <w:rsid w:val="00573085"/>
    <w:rsid w:val="0057752F"/>
    <w:rsid w:val="00577A1A"/>
    <w:rsid w:val="00577AA8"/>
    <w:rsid w:val="00577AEE"/>
    <w:rsid w:val="005806E9"/>
    <w:rsid w:val="00581C7E"/>
    <w:rsid w:val="0058285F"/>
    <w:rsid w:val="00584A33"/>
    <w:rsid w:val="0058564B"/>
    <w:rsid w:val="005877AF"/>
    <w:rsid w:val="0059047B"/>
    <w:rsid w:val="0059570D"/>
    <w:rsid w:val="00597AE1"/>
    <w:rsid w:val="005A0826"/>
    <w:rsid w:val="005B0568"/>
    <w:rsid w:val="005B3CD5"/>
    <w:rsid w:val="005C2A2B"/>
    <w:rsid w:val="005C64E1"/>
    <w:rsid w:val="005D3CDF"/>
    <w:rsid w:val="005D6B0A"/>
    <w:rsid w:val="005E0D67"/>
    <w:rsid w:val="005E1EBC"/>
    <w:rsid w:val="005E3043"/>
    <w:rsid w:val="005E46CA"/>
    <w:rsid w:val="005F0F36"/>
    <w:rsid w:val="005F36D1"/>
    <w:rsid w:val="005F5703"/>
    <w:rsid w:val="005F6861"/>
    <w:rsid w:val="005F73B9"/>
    <w:rsid w:val="00602EB3"/>
    <w:rsid w:val="00603760"/>
    <w:rsid w:val="0060397E"/>
    <w:rsid w:val="0061071D"/>
    <w:rsid w:val="00612272"/>
    <w:rsid w:val="0062053C"/>
    <w:rsid w:val="006222FF"/>
    <w:rsid w:val="0062486C"/>
    <w:rsid w:val="00631B17"/>
    <w:rsid w:val="00631D9D"/>
    <w:rsid w:val="00632B57"/>
    <w:rsid w:val="00633142"/>
    <w:rsid w:val="00636D37"/>
    <w:rsid w:val="00637A3B"/>
    <w:rsid w:val="00643472"/>
    <w:rsid w:val="0064537C"/>
    <w:rsid w:val="00646CE9"/>
    <w:rsid w:val="00650A66"/>
    <w:rsid w:val="0065158B"/>
    <w:rsid w:val="0065219E"/>
    <w:rsid w:val="0066071B"/>
    <w:rsid w:val="006638A5"/>
    <w:rsid w:val="0066655A"/>
    <w:rsid w:val="00666D71"/>
    <w:rsid w:val="006729DA"/>
    <w:rsid w:val="00673004"/>
    <w:rsid w:val="00674938"/>
    <w:rsid w:val="00674DCB"/>
    <w:rsid w:val="006814F4"/>
    <w:rsid w:val="00683043"/>
    <w:rsid w:val="006832A5"/>
    <w:rsid w:val="006839EB"/>
    <w:rsid w:val="00684A01"/>
    <w:rsid w:val="00686549"/>
    <w:rsid w:val="00695B65"/>
    <w:rsid w:val="006962E8"/>
    <w:rsid w:val="006A0903"/>
    <w:rsid w:val="006A1DD1"/>
    <w:rsid w:val="006A3619"/>
    <w:rsid w:val="006A5DA2"/>
    <w:rsid w:val="006B6537"/>
    <w:rsid w:val="006C106D"/>
    <w:rsid w:val="006C1BBB"/>
    <w:rsid w:val="006C1C1E"/>
    <w:rsid w:val="006C397B"/>
    <w:rsid w:val="006C3BE3"/>
    <w:rsid w:val="006C421E"/>
    <w:rsid w:val="006D1BFC"/>
    <w:rsid w:val="006D29C6"/>
    <w:rsid w:val="006D45D9"/>
    <w:rsid w:val="006D61D8"/>
    <w:rsid w:val="006E0FC7"/>
    <w:rsid w:val="006E25D4"/>
    <w:rsid w:val="006E4A00"/>
    <w:rsid w:val="006E6B8A"/>
    <w:rsid w:val="006F1B18"/>
    <w:rsid w:val="006F23FF"/>
    <w:rsid w:val="006F4C03"/>
    <w:rsid w:val="006F641B"/>
    <w:rsid w:val="0070100B"/>
    <w:rsid w:val="0070128F"/>
    <w:rsid w:val="00703E3F"/>
    <w:rsid w:val="007116FC"/>
    <w:rsid w:val="00716CEE"/>
    <w:rsid w:val="007302B1"/>
    <w:rsid w:val="0073366C"/>
    <w:rsid w:val="0073585B"/>
    <w:rsid w:val="007368A2"/>
    <w:rsid w:val="00743CAD"/>
    <w:rsid w:val="00745170"/>
    <w:rsid w:val="00753646"/>
    <w:rsid w:val="007565E5"/>
    <w:rsid w:val="00757D1B"/>
    <w:rsid w:val="007610AC"/>
    <w:rsid w:val="00763673"/>
    <w:rsid w:val="00763789"/>
    <w:rsid w:val="007637A3"/>
    <w:rsid w:val="00763CAC"/>
    <w:rsid w:val="00765448"/>
    <w:rsid w:val="0077648B"/>
    <w:rsid w:val="007768CE"/>
    <w:rsid w:val="007818EE"/>
    <w:rsid w:val="0078737A"/>
    <w:rsid w:val="007879B2"/>
    <w:rsid w:val="0079023C"/>
    <w:rsid w:val="007911C5"/>
    <w:rsid w:val="00792FED"/>
    <w:rsid w:val="00795FC2"/>
    <w:rsid w:val="007A3D05"/>
    <w:rsid w:val="007A759C"/>
    <w:rsid w:val="007A768D"/>
    <w:rsid w:val="007A7E12"/>
    <w:rsid w:val="007B1E24"/>
    <w:rsid w:val="007B2CEC"/>
    <w:rsid w:val="007B6519"/>
    <w:rsid w:val="007B7BED"/>
    <w:rsid w:val="007C0196"/>
    <w:rsid w:val="007C06F6"/>
    <w:rsid w:val="007C09D7"/>
    <w:rsid w:val="007C2174"/>
    <w:rsid w:val="007C265A"/>
    <w:rsid w:val="007C486A"/>
    <w:rsid w:val="007C64F2"/>
    <w:rsid w:val="007C676D"/>
    <w:rsid w:val="007C737F"/>
    <w:rsid w:val="007D46CF"/>
    <w:rsid w:val="007D5AAE"/>
    <w:rsid w:val="007E1E02"/>
    <w:rsid w:val="007E50EE"/>
    <w:rsid w:val="007E5DBF"/>
    <w:rsid w:val="007E617C"/>
    <w:rsid w:val="007E66D5"/>
    <w:rsid w:val="007E7488"/>
    <w:rsid w:val="007F15DC"/>
    <w:rsid w:val="007F1DA4"/>
    <w:rsid w:val="007F57DD"/>
    <w:rsid w:val="00811CFC"/>
    <w:rsid w:val="00814474"/>
    <w:rsid w:val="008144EF"/>
    <w:rsid w:val="008154CF"/>
    <w:rsid w:val="0081772A"/>
    <w:rsid w:val="00821B60"/>
    <w:rsid w:val="00822FCB"/>
    <w:rsid w:val="0082395F"/>
    <w:rsid w:val="008249F7"/>
    <w:rsid w:val="00830144"/>
    <w:rsid w:val="00836C05"/>
    <w:rsid w:val="00843F33"/>
    <w:rsid w:val="0084560A"/>
    <w:rsid w:val="00847849"/>
    <w:rsid w:val="00860902"/>
    <w:rsid w:val="00861AB9"/>
    <w:rsid w:val="0086454D"/>
    <w:rsid w:val="00864B01"/>
    <w:rsid w:val="00872702"/>
    <w:rsid w:val="008730B2"/>
    <w:rsid w:val="008743F6"/>
    <w:rsid w:val="008751CA"/>
    <w:rsid w:val="008840B3"/>
    <w:rsid w:val="008873BA"/>
    <w:rsid w:val="008934D1"/>
    <w:rsid w:val="00893DF8"/>
    <w:rsid w:val="00894188"/>
    <w:rsid w:val="00895581"/>
    <w:rsid w:val="008B3EEE"/>
    <w:rsid w:val="008B4646"/>
    <w:rsid w:val="008B7555"/>
    <w:rsid w:val="008D04DA"/>
    <w:rsid w:val="008D4143"/>
    <w:rsid w:val="008D52DD"/>
    <w:rsid w:val="008D5FA8"/>
    <w:rsid w:val="008D634C"/>
    <w:rsid w:val="008D63A3"/>
    <w:rsid w:val="008D6CD0"/>
    <w:rsid w:val="008E4B78"/>
    <w:rsid w:val="008E4BA0"/>
    <w:rsid w:val="008E6F12"/>
    <w:rsid w:val="008E78F2"/>
    <w:rsid w:val="008F0BCB"/>
    <w:rsid w:val="008F2D83"/>
    <w:rsid w:val="008F344D"/>
    <w:rsid w:val="008F3BDF"/>
    <w:rsid w:val="008F5151"/>
    <w:rsid w:val="008F6422"/>
    <w:rsid w:val="008F6B04"/>
    <w:rsid w:val="008F71E9"/>
    <w:rsid w:val="00903B48"/>
    <w:rsid w:val="00903B61"/>
    <w:rsid w:val="00905103"/>
    <w:rsid w:val="009076F3"/>
    <w:rsid w:val="009328AA"/>
    <w:rsid w:val="009332E6"/>
    <w:rsid w:val="00933E03"/>
    <w:rsid w:val="00936B64"/>
    <w:rsid w:val="00936E88"/>
    <w:rsid w:val="00937A73"/>
    <w:rsid w:val="00943395"/>
    <w:rsid w:val="00946FB9"/>
    <w:rsid w:val="0095030D"/>
    <w:rsid w:val="0095260B"/>
    <w:rsid w:val="00955120"/>
    <w:rsid w:val="00956171"/>
    <w:rsid w:val="009579A2"/>
    <w:rsid w:val="009612BE"/>
    <w:rsid w:val="00964339"/>
    <w:rsid w:val="00970B26"/>
    <w:rsid w:val="0097118F"/>
    <w:rsid w:val="00973F63"/>
    <w:rsid w:val="00974135"/>
    <w:rsid w:val="00977F2E"/>
    <w:rsid w:val="00980A67"/>
    <w:rsid w:val="00985C3F"/>
    <w:rsid w:val="00985EE7"/>
    <w:rsid w:val="0098613B"/>
    <w:rsid w:val="0098638D"/>
    <w:rsid w:val="00986B33"/>
    <w:rsid w:val="00986EB2"/>
    <w:rsid w:val="00987AD5"/>
    <w:rsid w:val="00992286"/>
    <w:rsid w:val="00996589"/>
    <w:rsid w:val="0099717A"/>
    <w:rsid w:val="009A0E74"/>
    <w:rsid w:val="009A1B02"/>
    <w:rsid w:val="009A1B25"/>
    <w:rsid w:val="009A22B9"/>
    <w:rsid w:val="009A24BF"/>
    <w:rsid w:val="009A5B3E"/>
    <w:rsid w:val="009A6F32"/>
    <w:rsid w:val="009B02B1"/>
    <w:rsid w:val="009B05AE"/>
    <w:rsid w:val="009B0AA3"/>
    <w:rsid w:val="009B1686"/>
    <w:rsid w:val="009B2A45"/>
    <w:rsid w:val="009B2BEA"/>
    <w:rsid w:val="009B3553"/>
    <w:rsid w:val="009B3C6D"/>
    <w:rsid w:val="009B537A"/>
    <w:rsid w:val="009B576D"/>
    <w:rsid w:val="009B6AF8"/>
    <w:rsid w:val="009B6C34"/>
    <w:rsid w:val="009B7138"/>
    <w:rsid w:val="009C37F1"/>
    <w:rsid w:val="009C7CBD"/>
    <w:rsid w:val="009D05A0"/>
    <w:rsid w:val="009E00DC"/>
    <w:rsid w:val="009E071E"/>
    <w:rsid w:val="009E6633"/>
    <w:rsid w:val="009E667A"/>
    <w:rsid w:val="009F0E18"/>
    <w:rsid w:val="009F14CC"/>
    <w:rsid w:val="009F45ED"/>
    <w:rsid w:val="009F5120"/>
    <w:rsid w:val="009F725D"/>
    <w:rsid w:val="00A03763"/>
    <w:rsid w:val="00A0410D"/>
    <w:rsid w:val="00A1068C"/>
    <w:rsid w:val="00A12CB8"/>
    <w:rsid w:val="00A16CF7"/>
    <w:rsid w:val="00A30CD4"/>
    <w:rsid w:val="00A31A86"/>
    <w:rsid w:val="00A33634"/>
    <w:rsid w:val="00A345C7"/>
    <w:rsid w:val="00A36D58"/>
    <w:rsid w:val="00A3731A"/>
    <w:rsid w:val="00A375AA"/>
    <w:rsid w:val="00A37616"/>
    <w:rsid w:val="00A40ADA"/>
    <w:rsid w:val="00A40D37"/>
    <w:rsid w:val="00A44060"/>
    <w:rsid w:val="00A45CD3"/>
    <w:rsid w:val="00A518BA"/>
    <w:rsid w:val="00A5321D"/>
    <w:rsid w:val="00A5342F"/>
    <w:rsid w:val="00A5467D"/>
    <w:rsid w:val="00A621D0"/>
    <w:rsid w:val="00A62BFE"/>
    <w:rsid w:val="00A63C48"/>
    <w:rsid w:val="00A63CAF"/>
    <w:rsid w:val="00A65EDE"/>
    <w:rsid w:val="00A6685D"/>
    <w:rsid w:val="00A67395"/>
    <w:rsid w:val="00A7251E"/>
    <w:rsid w:val="00A727E5"/>
    <w:rsid w:val="00A73E05"/>
    <w:rsid w:val="00A75409"/>
    <w:rsid w:val="00A76C1F"/>
    <w:rsid w:val="00A77628"/>
    <w:rsid w:val="00A8174E"/>
    <w:rsid w:val="00A8197E"/>
    <w:rsid w:val="00A838FC"/>
    <w:rsid w:val="00A84327"/>
    <w:rsid w:val="00A90AF5"/>
    <w:rsid w:val="00A90F10"/>
    <w:rsid w:val="00A91951"/>
    <w:rsid w:val="00A921F9"/>
    <w:rsid w:val="00A9707F"/>
    <w:rsid w:val="00AA229F"/>
    <w:rsid w:val="00AB1DAE"/>
    <w:rsid w:val="00AB1F03"/>
    <w:rsid w:val="00AB40AA"/>
    <w:rsid w:val="00AC1E6D"/>
    <w:rsid w:val="00AC1FBB"/>
    <w:rsid w:val="00AC34B1"/>
    <w:rsid w:val="00AC50B9"/>
    <w:rsid w:val="00AC52BC"/>
    <w:rsid w:val="00AD1764"/>
    <w:rsid w:val="00AD1EF3"/>
    <w:rsid w:val="00AD2182"/>
    <w:rsid w:val="00AD5893"/>
    <w:rsid w:val="00AD5D8A"/>
    <w:rsid w:val="00AD63BA"/>
    <w:rsid w:val="00AD7C32"/>
    <w:rsid w:val="00AE1982"/>
    <w:rsid w:val="00AE384A"/>
    <w:rsid w:val="00AE7861"/>
    <w:rsid w:val="00AF1AD8"/>
    <w:rsid w:val="00AF64E1"/>
    <w:rsid w:val="00AF6EED"/>
    <w:rsid w:val="00B002D4"/>
    <w:rsid w:val="00B00BD7"/>
    <w:rsid w:val="00B017A6"/>
    <w:rsid w:val="00B01A04"/>
    <w:rsid w:val="00B03F30"/>
    <w:rsid w:val="00B04141"/>
    <w:rsid w:val="00B0547A"/>
    <w:rsid w:val="00B064CD"/>
    <w:rsid w:val="00B067B5"/>
    <w:rsid w:val="00B12836"/>
    <w:rsid w:val="00B12955"/>
    <w:rsid w:val="00B17873"/>
    <w:rsid w:val="00B17ADF"/>
    <w:rsid w:val="00B248E7"/>
    <w:rsid w:val="00B24B03"/>
    <w:rsid w:val="00B36EC3"/>
    <w:rsid w:val="00B37356"/>
    <w:rsid w:val="00B4039A"/>
    <w:rsid w:val="00B440A2"/>
    <w:rsid w:val="00B51BAB"/>
    <w:rsid w:val="00B522DF"/>
    <w:rsid w:val="00B5758E"/>
    <w:rsid w:val="00B60225"/>
    <w:rsid w:val="00B6378B"/>
    <w:rsid w:val="00B660FF"/>
    <w:rsid w:val="00B67C15"/>
    <w:rsid w:val="00B67E0C"/>
    <w:rsid w:val="00B70F74"/>
    <w:rsid w:val="00B73C9E"/>
    <w:rsid w:val="00B753BB"/>
    <w:rsid w:val="00B772F8"/>
    <w:rsid w:val="00B77548"/>
    <w:rsid w:val="00B776EE"/>
    <w:rsid w:val="00B81732"/>
    <w:rsid w:val="00B83AA0"/>
    <w:rsid w:val="00B83F52"/>
    <w:rsid w:val="00B842B4"/>
    <w:rsid w:val="00B90D41"/>
    <w:rsid w:val="00B913A2"/>
    <w:rsid w:val="00B91CC0"/>
    <w:rsid w:val="00B932D5"/>
    <w:rsid w:val="00B9602B"/>
    <w:rsid w:val="00BB05BF"/>
    <w:rsid w:val="00BB2A20"/>
    <w:rsid w:val="00BB32FB"/>
    <w:rsid w:val="00BB610C"/>
    <w:rsid w:val="00BB6C60"/>
    <w:rsid w:val="00BB7787"/>
    <w:rsid w:val="00BB783C"/>
    <w:rsid w:val="00BC075A"/>
    <w:rsid w:val="00BC0CCB"/>
    <w:rsid w:val="00BC51DA"/>
    <w:rsid w:val="00BC59B9"/>
    <w:rsid w:val="00BC6E79"/>
    <w:rsid w:val="00BD0796"/>
    <w:rsid w:val="00BD3B08"/>
    <w:rsid w:val="00BE246D"/>
    <w:rsid w:val="00BE3E20"/>
    <w:rsid w:val="00BE48CC"/>
    <w:rsid w:val="00BE5D9B"/>
    <w:rsid w:val="00BF17AA"/>
    <w:rsid w:val="00BF2786"/>
    <w:rsid w:val="00BF317E"/>
    <w:rsid w:val="00BF3920"/>
    <w:rsid w:val="00BF4B0A"/>
    <w:rsid w:val="00BF50B8"/>
    <w:rsid w:val="00BF6F8B"/>
    <w:rsid w:val="00C01740"/>
    <w:rsid w:val="00C07FE7"/>
    <w:rsid w:val="00C10253"/>
    <w:rsid w:val="00C109A3"/>
    <w:rsid w:val="00C157B2"/>
    <w:rsid w:val="00C16DBA"/>
    <w:rsid w:val="00C2103A"/>
    <w:rsid w:val="00C24556"/>
    <w:rsid w:val="00C27D44"/>
    <w:rsid w:val="00C3321E"/>
    <w:rsid w:val="00C355A4"/>
    <w:rsid w:val="00C401D2"/>
    <w:rsid w:val="00C40757"/>
    <w:rsid w:val="00C40819"/>
    <w:rsid w:val="00C460CC"/>
    <w:rsid w:val="00C467BB"/>
    <w:rsid w:val="00C501A6"/>
    <w:rsid w:val="00C51B29"/>
    <w:rsid w:val="00C56DF7"/>
    <w:rsid w:val="00C579A1"/>
    <w:rsid w:val="00C64D43"/>
    <w:rsid w:val="00C6577A"/>
    <w:rsid w:val="00C66D98"/>
    <w:rsid w:val="00C71169"/>
    <w:rsid w:val="00C71F84"/>
    <w:rsid w:val="00C744C8"/>
    <w:rsid w:val="00C75593"/>
    <w:rsid w:val="00C838A7"/>
    <w:rsid w:val="00C84334"/>
    <w:rsid w:val="00C84CD1"/>
    <w:rsid w:val="00C85DD2"/>
    <w:rsid w:val="00C86639"/>
    <w:rsid w:val="00C86A75"/>
    <w:rsid w:val="00C86F96"/>
    <w:rsid w:val="00C90107"/>
    <w:rsid w:val="00C9013E"/>
    <w:rsid w:val="00C92593"/>
    <w:rsid w:val="00C96BAE"/>
    <w:rsid w:val="00C96C5E"/>
    <w:rsid w:val="00CA2FBC"/>
    <w:rsid w:val="00CA420C"/>
    <w:rsid w:val="00CA558E"/>
    <w:rsid w:val="00CA5E0A"/>
    <w:rsid w:val="00CB06C8"/>
    <w:rsid w:val="00CB0E39"/>
    <w:rsid w:val="00CB29C2"/>
    <w:rsid w:val="00CB5DD7"/>
    <w:rsid w:val="00CB6223"/>
    <w:rsid w:val="00CB6288"/>
    <w:rsid w:val="00CB689E"/>
    <w:rsid w:val="00CC0E46"/>
    <w:rsid w:val="00CC1FAF"/>
    <w:rsid w:val="00CC2D5F"/>
    <w:rsid w:val="00CC3660"/>
    <w:rsid w:val="00CC3E19"/>
    <w:rsid w:val="00CC6BA0"/>
    <w:rsid w:val="00CC73F7"/>
    <w:rsid w:val="00CD03E2"/>
    <w:rsid w:val="00CD2836"/>
    <w:rsid w:val="00CE0665"/>
    <w:rsid w:val="00CE0C6D"/>
    <w:rsid w:val="00CE0EF7"/>
    <w:rsid w:val="00CE10DB"/>
    <w:rsid w:val="00CE652A"/>
    <w:rsid w:val="00CF1BA8"/>
    <w:rsid w:val="00CF3951"/>
    <w:rsid w:val="00CF3F52"/>
    <w:rsid w:val="00CF4095"/>
    <w:rsid w:val="00CF501E"/>
    <w:rsid w:val="00D00722"/>
    <w:rsid w:val="00D0157D"/>
    <w:rsid w:val="00D02D42"/>
    <w:rsid w:val="00D02D86"/>
    <w:rsid w:val="00D107C0"/>
    <w:rsid w:val="00D10C44"/>
    <w:rsid w:val="00D114AC"/>
    <w:rsid w:val="00D135DF"/>
    <w:rsid w:val="00D16E45"/>
    <w:rsid w:val="00D251DA"/>
    <w:rsid w:val="00D260FC"/>
    <w:rsid w:val="00D32673"/>
    <w:rsid w:val="00D33685"/>
    <w:rsid w:val="00D366E3"/>
    <w:rsid w:val="00D375F7"/>
    <w:rsid w:val="00D378CB"/>
    <w:rsid w:val="00D37E85"/>
    <w:rsid w:val="00D41E07"/>
    <w:rsid w:val="00D43BE8"/>
    <w:rsid w:val="00D463F8"/>
    <w:rsid w:val="00D5154B"/>
    <w:rsid w:val="00D53ED0"/>
    <w:rsid w:val="00D57A46"/>
    <w:rsid w:val="00D61803"/>
    <w:rsid w:val="00D62DDA"/>
    <w:rsid w:val="00D6465A"/>
    <w:rsid w:val="00D71091"/>
    <w:rsid w:val="00D7196B"/>
    <w:rsid w:val="00D72EF8"/>
    <w:rsid w:val="00D731FC"/>
    <w:rsid w:val="00D74ABB"/>
    <w:rsid w:val="00D77515"/>
    <w:rsid w:val="00D807CC"/>
    <w:rsid w:val="00D812BD"/>
    <w:rsid w:val="00D82E81"/>
    <w:rsid w:val="00D84E58"/>
    <w:rsid w:val="00D86D08"/>
    <w:rsid w:val="00D86D55"/>
    <w:rsid w:val="00D95E29"/>
    <w:rsid w:val="00D9725F"/>
    <w:rsid w:val="00DA6584"/>
    <w:rsid w:val="00DB245C"/>
    <w:rsid w:val="00DB498C"/>
    <w:rsid w:val="00DB7639"/>
    <w:rsid w:val="00DC0740"/>
    <w:rsid w:val="00DC2FB2"/>
    <w:rsid w:val="00DC3E77"/>
    <w:rsid w:val="00DC6502"/>
    <w:rsid w:val="00DD4778"/>
    <w:rsid w:val="00DE0DBB"/>
    <w:rsid w:val="00DE1CE8"/>
    <w:rsid w:val="00DE1F22"/>
    <w:rsid w:val="00DE31E3"/>
    <w:rsid w:val="00DE32BC"/>
    <w:rsid w:val="00DE4F5B"/>
    <w:rsid w:val="00DE56CC"/>
    <w:rsid w:val="00DE7917"/>
    <w:rsid w:val="00DE7ED9"/>
    <w:rsid w:val="00DF10EB"/>
    <w:rsid w:val="00DF18EA"/>
    <w:rsid w:val="00DF3FC7"/>
    <w:rsid w:val="00DF55F9"/>
    <w:rsid w:val="00DF59FD"/>
    <w:rsid w:val="00E00CAE"/>
    <w:rsid w:val="00E03A0A"/>
    <w:rsid w:val="00E04645"/>
    <w:rsid w:val="00E067F5"/>
    <w:rsid w:val="00E122F3"/>
    <w:rsid w:val="00E13F37"/>
    <w:rsid w:val="00E2003B"/>
    <w:rsid w:val="00E209FA"/>
    <w:rsid w:val="00E22716"/>
    <w:rsid w:val="00E23BF3"/>
    <w:rsid w:val="00E24402"/>
    <w:rsid w:val="00E25172"/>
    <w:rsid w:val="00E25592"/>
    <w:rsid w:val="00E26C6B"/>
    <w:rsid w:val="00E27B47"/>
    <w:rsid w:val="00E31388"/>
    <w:rsid w:val="00E36901"/>
    <w:rsid w:val="00E42827"/>
    <w:rsid w:val="00E43B8C"/>
    <w:rsid w:val="00E44CEC"/>
    <w:rsid w:val="00E45214"/>
    <w:rsid w:val="00E460B0"/>
    <w:rsid w:val="00E46AF1"/>
    <w:rsid w:val="00E51A61"/>
    <w:rsid w:val="00E54994"/>
    <w:rsid w:val="00E55442"/>
    <w:rsid w:val="00E60F6F"/>
    <w:rsid w:val="00E62170"/>
    <w:rsid w:val="00E64156"/>
    <w:rsid w:val="00E67DC2"/>
    <w:rsid w:val="00E7018E"/>
    <w:rsid w:val="00E71157"/>
    <w:rsid w:val="00E7134A"/>
    <w:rsid w:val="00E726EC"/>
    <w:rsid w:val="00E737F1"/>
    <w:rsid w:val="00E75B9E"/>
    <w:rsid w:val="00E76458"/>
    <w:rsid w:val="00E80CEB"/>
    <w:rsid w:val="00E84716"/>
    <w:rsid w:val="00E87AF4"/>
    <w:rsid w:val="00E9245F"/>
    <w:rsid w:val="00E964B6"/>
    <w:rsid w:val="00EA4286"/>
    <w:rsid w:val="00EA69F7"/>
    <w:rsid w:val="00EB01F7"/>
    <w:rsid w:val="00EB147A"/>
    <w:rsid w:val="00EB2577"/>
    <w:rsid w:val="00EB56A3"/>
    <w:rsid w:val="00EB5AB0"/>
    <w:rsid w:val="00EC3076"/>
    <w:rsid w:val="00EC3EF1"/>
    <w:rsid w:val="00EC6FF8"/>
    <w:rsid w:val="00ED2889"/>
    <w:rsid w:val="00ED3E75"/>
    <w:rsid w:val="00ED510E"/>
    <w:rsid w:val="00ED5ED4"/>
    <w:rsid w:val="00EE022D"/>
    <w:rsid w:val="00EE209E"/>
    <w:rsid w:val="00EE2165"/>
    <w:rsid w:val="00EE6032"/>
    <w:rsid w:val="00EE66A4"/>
    <w:rsid w:val="00EE6F5F"/>
    <w:rsid w:val="00EF1827"/>
    <w:rsid w:val="00EF1F31"/>
    <w:rsid w:val="00EF592C"/>
    <w:rsid w:val="00EF6701"/>
    <w:rsid w:val="00EF6AC1"/>
    <w:rsid w:val="00EF7CB9"/>
    <w:rsid w:val="00F0228A"/>
    <w:rsid w:val="00F04699"/>
    <w:rsid w:val="00F047AE"/>
    <w:rsid w:val="00F056AC"/>
    <w:rsid w:val="00F0597E"/>
    <w:rsid w:val="00F072F8"/>
    <w:rsid w:val="00F07942"/>
    <w:rsid w:val="00F07C45"/>
    <w:rsid w:val="00F107DE"/>
    <w:rsid w:val="00F20062"/>
    <w:rsid w:val="00F200C7"/>
    <w:rsid w:val="00F252C5"/>
    <w:rsid w:val="00F34B2D"/>
    <w:rsid w:val="00F36FA4"/>
    <w:rsid w:val="00F37E0E"/>
    <w:rsid w:val="00F42C29"/>
    <w:rsid w:val="00F440B9"/>
    <w:rsid w:val="00F44E26"/>
    <w:rsid w:val="00F46E34"/>
    <w:rsid w:val="00F47B8A"/>
    <w:rsid w:val="00F50930"/>
    <w:rsid w:val="00F51BC2"/>
    <w:rsid w:val="00F52521"/>
    <w:rsid w:val="00F5334A"/>
    <w:rsid w:val="00F538D9"/>
    <w:rsid w:val="00F61323"/>
    <w:rsid w:val="00F62340"/>
    <w:rsid w:val="00F63524"/>
    <w:rsid w:val="00F64A07"/>
    <w:rsid w:val="00F758C3"/>
    <w:rsid w:val="00F75F90"/>
    <w:rsid w:val="00F80053"/>
    <w:rsid w:val="00F806E0"/>
    <w:rsid w:val="00F80BD6"/>
    <w:rsid w:val="00F80D06"/>
    <w:rsid w:val="00F90514"/>
    <w:rsid w:val="00F931E8"/>
    <w:rsid w:val="00F96074"/>
    <w:rsid w:val="00F97269"/>
    <w:rsid w:val="00F97E6A"/>
    <w:rsid w:val="00FA175B"/>
    <w:rsid w:val="00FA2D6A"/>
    <w:rsid w:val="00FB0C99"/>
    <w:rsid w:val="00FB56A5"/>
    <w:rsid w:val="00FB636E"/>
    <w:rsid w:val="00FC3598"/>
    <w:rsid w:val="00FC4675"/>
    <w:rsid w:val="00FD1E02"/>
    <w:rsid w:val="00FD22F6"/>
    <w:rsid w:val="00FD3F85"/>
    <w:rsid w:val="00FD4150"/>
    <w:rsid w:val="00FD4CB8"/>
    <w:rsid w:val="00FD5461"/>
    <w:rsid w:val="00FD6818"/>
    <w:rsid w:val="00FD75B8"/>
    <w:rsid w:val="00FE782B"/>
    <w:rsid w:val="00FF2C41"/>
    <w:rsid w:val="00FF3AE8"/>
    <w:rsid w:val="00FF6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C72FE99-23E4-451E-8ED2-B4F3CF32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01466"/>
    <w:pPr>
      <w:numPr>
        <w:numId w:val="2"/>
      </w:numPr>
    </w:pPr>
    <w:rPr>
      <w:rFonts w:eastAsia="Times New Roman"/>
      <w:lang w:eastAsia="de-DE"/>
    </w:rPr>
  </w:style>
  <w:style w:type="paragraph" w:styleId="ListNumber">
    <w:name w:val="List Number"/>
    <w:basedOn w:val="Normal"/>
    <w:rsid w:val="00401466"/>
    <w:pPr>
      <w:numPr>
        <w:numId w:val="6"/>
      </w:numPr>
    </w:pPr>
    <w:rPr>
      <w:rFonts w:eastAsia="Times New Roman"/>
      <w:lang w:eastAsia="de-DE"/>
    </w:rPr>
  </w:style>
  <w:style w:type="paragraph" w:customStyle="1" w:styleId="ListBullet1">
    <w:name w:val="List Bullet 1"/>
    <w:basedOn w:val="Normal"/>
    <w:rsid w:val="00401466"/>
    <w:pPr>
      <w:numPr>
        <w:numId w:val="1"/>
      </w:numPr>
    </w:pPr>
    <w:rPr>
      <w:rFonts w:eastAsia="Times New Roman"/>
      <w:lang w:eastAsia="de-DE"/>
    </w:rPr>
  </w:style>
  <w:style w:type="paragraph" w:customStyle="1" w:styleId="ListDash">
    <w:name w:val="List Dash"/>
    <w:basedOn w:val="Normal"/>
    <w:rsid w:val="00401466"/>
    <w:pPr>
      <w:numPr>
        <w:numId w:val="3"/>
      </w:numPr>
    </w:pPr>
    <w:rPr>
      <w:rFonts w:eastAsia="Times New Roman"/>
      <w:lang w:eastAsia="de-DE"/>
    </w:rPr>
  </w:style>
  <w:style w:type="paragraph" w:customStyle="1" w:styleId="ListDash1">
    <w:name w:val="List Dash 1"/>
    <w:basedOn w:val="Normal"/>
    <w:rsid w:val="00401466"/>
    <w:pPr>
      <w:numPr>
        <w:numId w:val="4"/>
      </w:numPr>
    </w:pPr>
    <w:rPr>
      <w:rFonts w:eastAsia="Times New Roman"/>
      <w:lang w:eastAsia="de-DE"/>
    </w:rPr>
  </w:style>
  <w:style w:type="paragraph" w:customStyle="1" w:styleId="ListDash2">
    <w:name w:val="List Dash 2"/>
    <w:basedOn w:val="Normal"/>
    <w:rsid w:val="00401466"/>
    <w:pPr>
      <w:numPr>
        <w:numId w:val="5"/>
      </w:numPr>
    </w:pPr>
    <w:rPr>
      <w:rFonts w:eastAsia="Times New Roman"/>
      <w:lang w:eastAsia="de-DE"/>
    </w:rPr>
  </w:style>
  <w:style w:type="paragraph" w:customStyle="1" w:styleId="ListNumberLevel2">
    <w:name w:val="List Number (Level 2)"/>
    <w:basedOn w:val="Normal"/>
    <w:rsid w:val="00401466"/>
    <w:pPr>
      <w:numPr>
        <w:ilvl w:val="1"/>
        <w:numId w:val="6"/>
      </w:numPr>
    </w:pPr>
    <w:rPr>
      <w:rFonts w:eastAsia="Times New Roman"/>
      <w:lang w:eastAsia="de-DE"/>
    </w:rPr>
  </w:style>
  <w:style w:type="paragraph" w:customStyle="1" w:styleId="ListNumberLevel3">
    <w:name w:val="List Number (Level 3)"/>
    <w:basedOn w:val="Normal"/>
    <w:rsid w:val="00401466"/>
    <w:pPr>
      <w:numPr>
        <w:ilvl w:val="2"/>
        <w:numId w:val="6"/>
      </w:numPr>
    </w:pPr>
    <w:rPr>
      <w:rFonts w:eastAsia="Times New Roman"/>
      <w:lang w:eastAsia="de-DE"/>
    </w:rPr>
  </w:style>
  <w:style w:type="paragraph" w:customStyle="1" w:styleId="ListNumberLevel4">
    <w:name w:val="List Number (Level 4)"/>
    <w:basedOn w:val="Normal"/>
    <w:rsid w:val="00401466"/>
    <w:pPr>
      <w:numPr>
        <w:ilvl w:val="3"/>
        <w:numId w:val="6"/>
      </w:numPr>
    </w:pPr>
    <w:rPr>
      <w:rFonts w:eastAsia="Times New Roman"/>
      <w:lang w:eastAsia="de-DE"/>
    </w:rPr>
  </w:style>
  <w:style w:type="table" w:styleId="TableGrid">
    <w:name w:val="Table Grid"/>
    <w:basedOn w:val="TableNormal"/>
    <w:rsid w:val="00401466"/>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01466"/>
    <w:rPr>
      <w:color w:val="0000FF"/>
      <w:u w:val="single"/>
    </w:rPr>
  </w:style>
  <w:style w:type="paragraph" w:styleId="ListBullet">
    <w:name w:val="List Bullet"/>
    <w:basedOn w:val="Normal"/>
    <w:rsid w:val="00401466"/>
    <w:pPr>
      <w:numPr>
        <w:numId w:val="7"/>
      </w:numPr>
    </w:pPr>
    <w:rPr>
      <w:rFonts w:eastAsia="Times New Roman"/>
      <w:lang w:eastAsia="en-GB"/>
    </w:rPr>
  </w:style>
  <w:style w:type="paragraph" w:styleId="ListBullet2">
    <w:name w:val="List Bullet 2"/>
    <w:basedOn w:val="Normal"/>
    <w:rsid w:val="00401466"/>
    <w:pPr>
      <w:numPr>
        <w:numId w:val="8"/>
      </w:numPr>
    </w:pPr>
    <w:rPr>
      <w:rFonts w:eastAsia="Times New Roman"/>
      <w:lang w:eastAsia="en-GB"/>
    </w:rPr>
  </w:style>
  <w:style w:type="paragraph" w:styleId="ListBullet3">
    <w:name w:val="List Bullet 3"/>
    <w:basedOn w:val="Normal"/>
    <w:rsid w:val="00401466"/>
    <w:pPr>
      <w:numPr>
        <w:numId w:val="9"/>
      </w:numPr>
    </w:pPr>
    <w:rPr>
      <w:rFonts w:eastAsia="Times New Roman"/>
      <w:lang w:eastAsia="en-GB"/>
    </w:rPr>
  </w:style>
  <w:style w:type="paragraph" w:styleId="ListNumber2">
    <w:name w:val="List Number 2"/>
    <w:basedOn w:val="Normal"/>
    <w:rsid w:val="00401466"/>
    <w:pPr>
      <w:numPr>
        <w:numId w:val="13"/>
      </w:numPr>
    </w:pPr>
    <w:rPr>
      <w:rFonts w:eastAsia="Times New Roman"/>
      <w:lang w:eastAsia="en-GB"/>
    </w:rPr>
  </w:style>
  <w:style w:type="paragraph" w:styleId="ListNumber3">
    <w:name w:val="List Number 3"/>
    <w:basedOn w:val="Normal"/>
    <w:rsid w:val="00401466"/>
    <w:pPr>
      <w:numPr>
        <w:numId w:val="14"/>
      </w:numPr>
    </w:pPr>
    <w:rPr>
      <w:rFonts w:eastAsia="Times New Roman"/>
      <w:lang w:eastAsia="en-GB"/>
    </w:rPr>
  </w:style>
  <w:style w:type="paragraph" w:styleId="ListNumber4">
    <w:name w:val="List Number 4"/>
    <w:basedOn w:val="Normal"/>
    <w:rsid w:val="00401466"/>
    <w:pPr>
      <w:numPr>
        <w:numId w:val="15"/>
      </w:numPr>
    </w:pPr>
    <w:rPr>
      <w:rFonts w:eastAsia="Times New Roman"/>
      <w:lang w:eastAsia="en-GB"/>
    </w:rPr>
  </w:style>
  <w:style w:type="paragraph" w:customStyle="1" w:styleId="ListDash3">
    <w:name w:val="List Dash 3"/>
    <w:basedOn w:val="Normal"/>
    <w:rsid w:val="00401466"/>
    <w:pPr>
      <w:numPr>
        <w:numId w:val="10"/>
      </w:numPr>
    </w:pPr>
    <w:rPr>
      <w:rFonts w:eastAsia="Times New Roman"/>
      <w:lang w:eastAsia="en-GB"/>
    </w:rPr>
  </w:style>
  <w:style w:type="paragraph" w:customStyle="1" w:styleId="ListDash4">
    <w:name w:val="List Dash 4"/>
    <w:basedOn w:val="Normal"/>
    <w:rsid w:val="00401466"/>
    <w:pPr>
      <w:numPr>
        <w:numId w:val="11"/>
      </w:numPr>
    </w:pPr>
    <w:rPr>
      <w:rFonts w:eastAsia="Times New Roman"/>
      <w:lang w:eastAsia="en-GB"/>
    </w:rPr>
  </w:style>
  <w:style w:type="paragraph" w:customStyle="1" w:styleId="ListNumber1">
    <w:name w:val="List Number 1"/>
    <w:basedOn w:val="Text1"/>
    <w:rsid w:val="00401466"/>
    <w:pPr>
      <w:numPr>
        <w:numId w:val="12"/>
      </w:numPr>
    </w:pPr>
    <w:rPr>
      <w:rFonts w:eastAsia="Times New Roman"/>
      <w:lang w:eastAsia="en-GB"/>
    </w:rPr>
  </w:style>
  <w:style w:type="paragraph" w:customStyle="1" w:styleId="ListNumber1Level2">
    <w:name w:val="List Number 1 (Level 2)"/>
    <w:basedOn w:val="Text1"/>
    <w:rsid w:val="00401466"/>
    <w:pPr>
      <w:numPr>
        <w:ilvl w:val="1"/>
        <w:numId w:val="12"/>
      </w:numPr>
    </w:pPr>
    <w:rPr>
      <w:rFonts w:eastAsia="Times New Roman"/>
      <w:lang w:eastAsia="en-GB"/>
    </w:rPr>
  </w:style>
  <w:style w:type="paragraph" w:customStyle="1" w:styleId="ListNumber2Level2">
    <w:name w:val="List Number 2 (Level 2)"/>
    <w:basedOn w:val="Text2"/>
    <w:rsid w:val="00401466"/>
    <w:pPr>
      <w:numPr>
        <w:ilvl w:val="1"/>
        <w:numId w:val="13"/>
      </w:numPr>
    </w:pPr>
    <w:rPr>
      <w:rFonts w:eastAsia="Times New Roman"/>
      <w:lang w:eastAsia="en-GB"/>
    </w:rPr>
  </w:style>
  <w:style w:type="paragraph" w:customStyle="1" w:styleId="ListNumber3Level2">
    <w:name w:val="List Number 3 (Level 2)"/>
    <w:basedOn w:val="Text3"/>
    <w:rsid w:val="00401466"/>
    <w:pPr>
      <w:numPr>
        <w:ilvl w:val="1"/>
        <w:numId w:val="14"/>
      </w:numPr>
    </w:pPr>
    <w:rPr>
      <w:rFonts w:eastAsia="Times New Roman"/>
      <w:lang w:eastAsia="en-GB"/>
    </w:rPr>
  </w:style>
  <w:style w:type="paragraph" w:customStyle="1" w:styleId="ListNumber4Level2">
    <w:name w:val="List Number 4 (Level 2)"/>
    <w:basedOn w:val="Text4"/>
    <w:rsid w:val="00401466"/>
    <w:pPr>
      <w:numPr>
        <w:ilvl w:val="1"/>
        <w:numId w:val="15"/>
      </w:numPr>
    </w:pPr>
    <w:rPr>
      <w:rFonts w:eastAsia="Times New Roman"/>
      <w:lang w:eastAsia="en-GB"/>
    </w:rPr>
  </w:style>
  <w:style w:type="paragraph" w:customStyle="1" w:styleId="ListNumber1Level3">
    <w:name w:val="List Number 1 (Level 3)"/>
    <w:basedOn w:val="Text1"/>
    <w:rsid w:val="00401466"/>
    <w:pPr>
      <w:numPr>
        <w:ilvl w:val="2"/>
        <w:numId w:val="12"/>
      </w:numPr>
    </w:pPr>
    <w:rPr>
      <w:rFonts w:eastAsia="Times New Roman"/>
      <w:lang w:eastAsia="en-GB"/>
    </w:rPr>
  </w:style>
  <w:style w:type="paragraph" w:customStyle="1" w:styleId="ListNumber2Level3">
    <w:name w:val="List Number 2 (Level 3)"/>
    <w:basedOn w:val="Text2"/>
    <w:rsid w:val="00401466"/>
    <w:pPr>
      <w:numPr>
        <w:ilvl w:val="2"/>
        <w:numId w:val="13"/>
      </w:numPr>
    </w:pPr>
    <w:rPr>
      <w:rFonts w:eastAsia="Times New Roman"/>
      <w:lang w:eastAsia="en-GB"/>
    </w:rPr>
  </w:style>
  <w:style w:type="paragraph" w:customStyle="1" w:styleId="ListNumber3Level3">
    <w:name w:val="List Number 3 (Level 3)"/>
    <w:basedOn w:val="Text3"/>
    <w:rsid w:val="00401466"/>
    <w:pPr>
      <w:numPr>
        <w:ilvl w:val="2"/>
        <w:numId w:val="14"/>
      </w:numPr>
    </w:pPr>
    <w:rPr>
      <w:rFonts w:eastAsia="Times New Roman"/>
      <w:lang w:eastAsia="en-GB"/>
    </w:rPr>
  </w:style>
  <w:style w:type="paragraph" w:customStyle="1" w:styleId="ListNumber4Level3">
    <w:name w:val="List Number 4 (Level 3)"/>
    <w:basedOn w:val="Text4"/>
    <w:rsid w:val="00401466"/>
    <w:pPr>
      <w:numPr>
        <w:ilvl w:val="2"/>
        <w:numId w:val="15"/>
      </w:numPr>
    </w:pPr>
    <w:rPr>
      <w:rFonts w:eastAsia="Times New Roman"/>
      <w:lang w:eastAsia="en-GB"/>
    </w:rPr>
  </w:style>
  <w:style w:type="paragraph" w:customStyle="1" w:styleId="ListNumber1Level4">
    <w:name w:val="List Number 1 (Level 4)"/>
    <w:basedOn w:val="Text1"/>
    <w:rsid w:val="00401466"/>
    <w:pPr>
      <w:numPr>
        <w:ilvl w:val="3"/>
        <w:numId w:val="12"/>
      </w:numPr>
    </w:pPr>
    <w:rPr>
      <w:rFonts w:eastAsia="Times New Roman"/>
      <w:lang w:eastAsia="en-GB"/>
    </w:rPr>
  </w:style>
  <w:style w:type="paragraph" w:customStyle="1" w:styleId="ListNumber2Level4">
    <w:name w:val="List Number 2 (Level 4)"/>
    <w:basedOn w:val="Text2"/>
    <w:rsid w:val="00401466"/>
    <w:pPr>
      <w:numPr>
        <w:ilvl w:val="3"/>
        <w:numId w:val="13"/>
      </w:numPr>
    </w:pPr>
    <w:rPr>
      <w:rFonts w:eastAsia="Times New Roman"/>
      <w:lang w:eastAsia="en-GB"/>
    </w:rPr>
  </w:style>
  <w:style w:type="paragraph" w:customStyle="1" w:styleId="ListNumber3Level4">
    <w:name w:val="List Number 3 (Level 4)"/>
    <w:basedOn w:val="Text3"/>
    <w:rsid w:val="00401466"/>
    <w:pPr>
      <w:numPr>
        <w:ilvl w:val="3"/>
        <w:numId w:val="14"/>
      </w:numPr>
    </w:pPr>
    <w:rPr>
      <w:rFonts w:eastAsia="Times New Roman"/>
      <w:lang w:eastAsia="en-GB"/>
    </w:rPr>
  </w:style>
  <w:style w:type="paragraph" w:customStyle="1" w:styleId="ListNumber4Level4">
    <w:name w:val="List Number 4 (Level 4)"/>
    <w:basedOn w:val="Text4"/>
    <w:rsid w:val="00401466"/>
    <w:pPr>
      <w:numPr>
        <w:ilvl w:val="3"/>
        <w:numId w:val="15"/>
      </w:numPr>
    </w:pPr>
    <w:rPr>
      <w:rFonts w:eastAsia="Times New Roman"/>
      <w:lang w:eastAsia="en-GB"/>
    </w:rPr>
  </w:style>
  <w:style w:type="paragraph" w:customStyle="1" w:styleId="Annexetitreacte">
    <w:name w:val="Annexe titre (acte)"/>
    <w:basedOn w:val="Normal"/>
    <w:next w:val="Normal"/>
    <w:rsid w:val="00401466"/>
    <w:pPr>
      <w:jc w:val="center"/>
    </w:pPr>
    <w:rPr>
      <w:rFonts w:eastAsia="Times New Roman"/>
      <w:b/>
      <w:u w:val="single"/>
      <w:lang w:eastAsia="en-GB"/>
    </w:rPr>
  </w:style>
  <w:style w:type="paragraph" w:customStyle="1" w:styleId="Annexetitreexposglobal">
    <w:name w:val="Annexe titre (exposé global)"/>
    <w:basedOn w:val="Normal"/>
    <w:next w:val="Normal"/>
    <w:rsid w:val="00401466"/>
    <w:pPr>
      <w:jc w:val="center"/>
    </w:pPr>
    <w:rPr>
      <w:rFonts w:eastAsia="Times New Roman"/>
      <w:b/>
      <w:u w:val="single"/>
      <w:lang w:eastAsia="en-GB"/>
    </w:rPr>
  </w:style>
  <w:style w:type="paragraph" w:customStyle="1" w:styleId="Annexetitrefichefinacte">
    <w:name w:val="Annexe titre (fiche fin. acte)"/>
    <w:basedOn w:val="Normal"/>
    <w:next w:val="Normal"/>
    <w:rsid w:val="00401466"/>
    <w:pPr>
      <w:jc w:val="center"/>
    </w:pPr>
    <w:rPr>
      <w:rFonts w:eastAsia="Times New Roman"/>
      <w:b/>
      <w:u w:val="single"/>
      <w:lang w:eastAsia="en-GB"/>
    </w:rPr>
  </w:style>
  <w:style w:type="paragraph" w:customStyle="1" w:styleId="Annexetitrefichefinglobale">
    <w:name w:val="Annexe titre (fiche fin. globale)"/>
    <w:basedOn w:val="Normal"/>
    <w:next w:val="Normal"/>
    <w:rsid w:val="00401466"/>
    <w:pPr>
      <w:jc w:val="center"/>
    </w:pPr>
    <w:rPr>
      <w:rFonts w:eastAsia="Times New Roman"/>
      <w:b/>
      <w:u w:val="single"/>
      <w:lang w:eastAsia="en-GB"/>
    </w:rPr>
  </w:style>
  <w:style w:type="paragraph" w:customStyle="1" w:styleId="Annexetitreglobale">
    <w:name w:val="Annexe titre (globale)"/>
    <w:basedOn w:val="Normal"/>
    <w:next w:val="Normal"/>
    <w:rsid w:val="00401466"/>
    <w:pPr>
      <w:jc w:val="center"/>
    </w:pPr>
    <w:rPr>
      <w:rFonts w:eastAsia="Times New Roman"/>
      <w:b/>
      <w:u w:val="single"/>
      <w:lang w:eastAsia="en-GB"/>
    </w:rPr>
  </w:style>
  <w:style w:type="paragraph" w:customStyle="1" w:styleId="Exposdesmotifstitreglobal">
    <w:name w:val="Exposé des motifs titre (global)"/>
    <w:basedOn w:val="Normal"/>
    <w:next w:val="Normal"/>
    <w:rsid w:val="00401466"/>
    <w:pPr>
      <w:jc w:val="center"/>
    </w:pPr>
    <w:rPr>
      <w:rFonts w:eastAsia="Times New Roman"/>
      <w:b/>
      <w:u w:val="single"/>
      <w:lang w:eastAsia="en-GB"/>
    </w:rPr>
  </w:style>
  <w:style w:type="paragraph" w:customStyle="1" w:styleId="Langueoriginale">
    <w:name w:val="Langue originale"/>
    <w:basedOn w:val="Normal"/>
    <w:rsid w:val="00401466"/>
    <w:pPr>
      <w:spacing w:before="360"/>
      <w:jc w:val="center"/>
    </w:pPr>
    <w:rPr>
      <w:rFonts w:eastAsia="Times New Roman"/>
      <w:caps/>
      <w:lang w:eastAsia="en-GB"/>
    </w:rPr>
  </w:style>
  <w:style w:type="paragraph" w:customStyle="1" w:styleId="Phrasefinale">
    <w:name w:val="Phrase finale"/>
    <w:basedOn w:val="Normal"/>
    <w:next w:val="Normal"/>
    <w:rsid w:val="00401466"/>
    <w:pPr>
      <w:spacing w:before="360" w:after="0"/>
      <w:jc w:val="center"/>
    </w:pPr>
    <w:rPr>
      <w:rFonts w:eastAsia="Times New Roman"/>
      <w:lang w:eastAsia="en-GB"/>
    </w:rPr>
  </w:style>
  <w:style w:type="paragraph" w:customStyle="1" w:styleId="Prliminairetitre">
    <w:name w:val="Préliminaire titre"/>
    <w:basedOn w:val="Normal"/>
    <w:next w:val="Normal"/>
    <w:rsid w:val="00401466"/>
    <w:pPr>
      <w:spacing w:before="360" w:after="360"/>
      <w:jc w:val="center"/>
    </w:pPr>
    <w:rPr>
      <w:rFonts w:eastAsia="Times New Roman"/>
      <w:b/>
      <w:lang w:eastAsia="en-GB"/>
    </w:rPr>
  </w:style>
  <w:style w:type="paragraph" w:customStyle="1" w:styleId="Prliminairetype">
    <w:name w:val="Préliminaire type"/>
    <w:basedOn w:val="Normal"/>
    <w:next w:val="Normal"/>
    <w:rsid w:val="00401466"/>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01466"/>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401466"/>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401466"/>
    <w:pPr>
      <w:spacing w:before="0" w:after="0"/>
      <w:ind w:left="5103"/>
      <w:jc w:val="left"/>
    </w:pPr>
    <w:rPr>
      <w:rFonts w:eastAsia="Times New Roman"/>
      <w:lang w:eastAsia="en-GB"/>
    </w:rPr>
  </w:style>
  <w:style w:type="paragraph" w:customStyle="1" w:styleId="Sous-titreobjetprliminaire">
    <w:name w:val="Sous-titre objet (préliminaire)"/>
    <w:basedOn w:val="Normal"/>
    <w:rsid w:val="00401466"/>
    <w:pPr>
      <w:spacing w:before="0" w:after="0"/>
      <w:jc w:val="center"/>
    </w:pPr>
    <w:rPr>
      <w:rFonts w:eastAsia="Times New Roman"/>
      <w:b/>
      <w:lang w:eastAsia="en-GB"/>
    </w:rPr>
  </w:style>
  <w:style w:type="paragraph" w:customStyle="1" w:styleId="Statutprliminaire">
    <w:name w:val="Statut (préliminaire)"/>
    <w:basedOn w:val="Normal"/>
    <w:next w:val="Normal"/>
    <w:rsid w:val="00401466"/>
    <w:pPr>
      <w:spacing w:before="360" w:after="0"/>
      <w:jc w:val="center"/>
    </w:pPr>
    <w:rPr>
      <w:rFonts w:eastAsia="Times New Roman"/>
      <w:lang w:eastAsia="en-GB"/>
    </w:rPr>
  </w:style>
  <w:style w:type="paragraph" w:customStyle="1" w:styleId="Titreobjetprliminaire">
    <w:name w:val="Titre objet (préliminaire)"/>
    <w:basedOn w:val="Normal"/>
    <w:next w:val="Normal"/>
    <w:rsid w:val="00401466"/>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01466"/>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01466"/>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01466"/>
    <w:pPr>
      <w:jc w:val="center"/>
    </w:pPr>
    <w:rPr>
      <w:rFonts w:eastAsia="Times New Roman"/>
      <w:b/>
      <w:u w:val="single"/>
      <w:lang w:eastAsia="en-GB"/>
    </w:rPr>
  </w:style>
  <w:style w:type="paragraph" w:customStyle="1" w:styleId="Fichefinanciretravailtitre">
    <w:name w:val="Fiche financière (travail) titre"/>
    <w:basedOn w:val="Normal"/>
    <w:next w:val="Normal"/>
    <w:rsid w:val="00401466"/>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01466"/>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01466"/>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01466"/>
    <w:pPr>
      <w:jc w:val="center"/>
    </w:pPr>
    <w:rPr>
      <w:rFonts w:eastAsia="Times New Roman"/>
      <w:b/>
      <w:u w:val="single"/>
      <w:lang w:eastAsia="en-GB"/>
    </w:rPr>
  </w:style>
  <w:style w:type="character" w:styleId="CommentReference">
    <w:name w:val="annotation reference"/>
    <w:uiPriority w:val="99"/>
    <w:rsid w:val="00401466"/>
    <w:rPr>
      <w:rFonts w:cs="Times New Roman"/>
      <w:sz w:val="16"/>
      <w:szCs w:val="16"/>
    </w:rPr>
  </w:style>
  <w:style w:type="paragraph" w:styleId="CommentText">
    <w:name w:val="annotation text"/>
    <w:basedOn w:val="Normal"/>
    <w:link w:val="CommentTextChar"/>
    <w:uiPriority w:val="99"/>
    <w:rsid w:val="00401466"/>
    <w:rPr>
      <w:rFonts w:eastAsia="Times New Roman"/>
      <w:sz w:val="20"/>
      <w:szCs w:val="20"/>
      <w:lang w:eastAsia="en-GB"/>
    </w:rPr>
  </w:style>
  <w:style w:type="character" w:customStyle="1" w:styleId="CommentTextChar">
    <w:name w:val="Comment Text Char"/>
    <w:basedOn w:val="DefaultParagraphFont"/>
    <w:link w:val="CommentText"/>
    <w:uiPriority w:val="99"/>
    <w:rsid w:val="00401466"/>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401466"/>
    <w:rPr>
      <w:b/>
      <w:bCs/>
    </w:rPr>
  </w:style>
  <w:style w:type="character" w:customStyle="1" w:styleId="CommentSubjectChar">
    <w:name w:val="Comment Subject Char"/>
    <w:basedOn w:val="CommentTextChar"/>
    <w:link w:val="CommentSubject"/>
    <w:rsid w:val="00401466"/>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401466"/>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01466"/>
    <w:rPr>
      <w:rFonts w:ascii="Tahoma" w:eastAsia="Times New Roman" w:hAnsi="Tahoma" w:cs="Tahoma"/>
      <w:sz w:val="16"/>
      <w:szCs w:val="16"/>
      <w:lang w:val="ro-RO" w:eastAsia="en-GB"/>
    </w:rPr>
  </w:style>
  <w:style w:type="paragraph" w:styleId="Caption">
    <w:name w:val="caption"/>
    <w:basedOn w:val="Normal"/>
    <w:next w:val="Normal"/>
    <w:qFormat/>
    <w:rsid w:val="00401466"/>
    <w:rPr>
      <w:rFonts w:eastAsia="Times New Roman"/>
      <w:b/>
      <w:bCs/>
      <w:sz w:val="20"/>
      <w:szCs w:val="20"/>
      <w:lang w:eastAsia="en-GB"/>
    </w:rPr>
  </w:style>
  <w:style w:type="paragraph" w:styleId="TableofFigures">
    <w:name w:val="table of figures"/>
    <w:basedOn w:val="Normal"/>
    <w:next w:val="Normal"/>
    <w:rsid w:val="00401466"/>
    <w:rPr>
      <w:rFonts w:eastAsia="Times New Roman"/>
      <w:lang w:eastAsia="en-GB"/>
    </w:rPr>
  </w:style>
  <w:style w:type="character" w:styleId="PageNumber">
    <w:name w:val="page number"/>
    <w:rsid w:val="00401466"/>
  </w:style>
  <w:style w:type="character" w:customStyle="1" w:styleId="tw4winMark">
    <w:name w:val="tw4winMark"/>
    <w:rsid w:val="00401466"/>
    <w:rPr>
      <w:vanish/>
      <w:color w:val="800080"/>
      <w:vertAlign w:val="subscript"/>
    </w:rPr>
  </w:style>
  <w:style w:type="character" w:styleId="FollowedHyperlink">
    <w:name w:val="FollowedHyperlink"/>
    <w:rsid w:val="00401466"/>
    <w:rPr>
      <w:color w:val="800080"/>
      <w:u w:val="single"/>
    </w:rPr>
  </w:style>
  <w:style w:type="paragraph" w:customStyle="1" w:styleId="Sous-titreobjet">
    <w:name w:val="Sous-titre objet"/>
    <w:basedOn w:val="Normal"/>
    <w:rsid w:val="00401466"/>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01466"/>
  </w:style>
  <w:style w:type="paragraph" w:styleId="Revision">
    <w:name w:val="Revision"/>
    <w:hidden/>
    <w:uiPriority w:val="99"/>
    <w:semiHidden/>
    <w:rsid w:val="00401466"/>
    <w:rPr>
      <w:rFonts w:ascii="Calibri" w:eastAsia="Calibri" w:hAnsi="Calibri" w:cs="Times New Roman"/>
      <w:sz w:val="24"/>
      <w:lang w:eastAsia="en-GB"/>
    </w:rPr>
  </w:style>
  <w:style w:type="paragraph" w:customStyle="1" w:styleId="FooterCoverPage">
    <w:name w:val="Footer Cover Page"/>
    <w:basedOn w:val="Normal"/>
    <w:link w:val="FooterCoverPageChar"/>
    <w:rsid w:val="00401466"/>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01466"/>
    <w:rPr>
      <w:rFonts w:ascii="Times New Roman" w:hAnsi="Times New Roman" w:cs="Times New Roman"/>
      <w:b/>
      <w:sz w:val="28"/>
      <w:lang w:val="ro-RO"/>
    </w:rPr>
  </w:style>
  <w:style w:type="character" w:customStyle="1" w:styleId="FooterCoverPageChar">
    <w:name w:val="Footer Cover Page Char"/>
    <w:link w:val="FooterCoverPage"/>
    <w:rsid w:val="00401466"/>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401466"/>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01466"/>
    <w:rPr>
      <w:rFonts w:ascii="Times New Roman" w:eastAsia="Calibri" w:hAnsi="Times New Roman" w:cs="Times New Roman"/>
      <w:sz w:val="24"/>
      <w:lang w:val="ro-RO" w:eastAsia="en-GB"/>
    </w:rPr>
  </w:style>
  <w:style w:type="character" w:customStyle="1" w:styleId="UnresolvedMention1">
    <w:name w:val="Unresolved Mention1"/>
    <w:basedOn w:val="DefaultParagraphFont"/>
    <w:uiPriority w:val="99"/>
    <w:semiHidden/>
    <w:unhideWhenUsed/>
    <w:rsid w:val="000F0AC7"/>
    <w:rPr>
      <w:color w:val="605E5C"/>
      <w:shd w:val="clear" w:color="auto" w:fill="E1DFDD"/>
    </w:rPr>
  </w:style>
  <w:style w:type="character" w:customStyle="1" w:styleId="UnresolvedMention">
    <w:name w:val="Unresolved Mention"/>
    <w:basedOn w:val="DefaultParagraphFont"/>
    <w:uiPriority w:val="99"/>
    <w:semiHidden/>
    <w:unhideWhenUsed/>
    <w:rsid w:val="00375591"/>
    <w:rPr>
      <w:color w:val="605E5C"/>
      <w:shd w:val="clear" w:color="auto" w:fill="E1DFDD"/>
    </w:rPr>
  </w:style>
  <w:style w:type="character" w:customStyle="1" w:styleId="HeaderChar">
    <w:name w:val="Header Char"/>
    <w:basedOn w:val="DefaultParagraphFont"/>
    <w:link w:val="Header"/>
    <w:uiPriority w:val="99"/>
    <w:rsid w:val="00125C7F"/>
    <w:rPr>
      <w:rFonts w:ascii="Times New Roman" w:hAnsi="Times New Roman" w:cs="Times New Roman"/>
      <w:sz w:val="24"/>
      <w:lang w:val="ro-RO"/>
    </w:rPr>
  </w:style>
  <w:style w:type="character" w:customStyle="1" w:styleId="FooterChar">
    <w:name w:val="Footer Char"/>
    <w:basedOn w:val="DefaultParagraphFont"/>
    <w:link w:val="Footer"/>
    <w:uiPriority w:val="99"/>
    <w:rsid w:val="00125C7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25C7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25C7F"/>
    <w:pPr>
      <w:spacing w:before="0"/>
      <w:jc w:val="right"/>
    </w:pPr>
    <w:rPr>
      <w:sz w:val="28"/>
    </w:rPr>
  </w:style>
  <w:style w:type="paragraph" w:customStyle="1" w:styleId="FooterSensitivity">
    <w:name w:val="Footer Sensitivity"/>
    <w:basedOn w:val="Normal"/>
    <w:rsid w:val="00125C7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25C7F"/>
    <w:pPr>
      <w:tabs>
        <w:tab w:val="center" w:pos="4535"/>
        <w:tab w:val="right" w:pos="9071"/>
      </w:tabs>
      <w:spacing w:before="0"/>
    </w:pPr>
  </w:style>
  <w:style w:type="paragraph" w:customStyle="1" w:styleId="HeaderLandscape">
    <w:name w:val="HeaderLandscape"/>
    <w:basedOn w:val="Normal"/>
    <w:rsid w:val="00125C7F"/>
    <w:pPr>
      <w:tabs>
        <w:tab w:val="center" w:pos="7285"/>
        <w:tab w:val="right" w:pos="14003"/>
      </w:tabs>
      <w:spacing w:before="0"/>
    </w:pPr>
  </w:style>
  <w:style w:type="paragraph" w:styleId="Footer">
    <w:name w:val="footer"/>
    <w:basedOn w:val="Normal"/>
    <w:link w:val="FooterChar"/>
    <w:uiPriority w:val="99"/>
    <w:unhideWhenUsed/>
    <w:rsid w:val="00125C7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25C7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403218">
      <w:bodyDiv w:val="1"/>
      <w:marLeft w:val="0"/>
      <w:marRight w:val="0"/>
      <w:marTop w:val="0"/>
      <w:marBottom w:val="0"/>
      <w:divBdr>
        <w:top w:val="none" w:sz="0" w:space="0" w:color="auto"/>
        <w:left w:val="none" w:sz="0" w:space="0" w:color="auto"/>
        <w:bottom w:val="none" w:sz="0" w:space="0" w:color="auto"/>
        <w:right w:val="none" w:sz="0" w:space="0" w:color="auto"/>
      </w:divBdr>
    </w:div>
    <w:div w:id="497968654">
      <w:bodyDiv w:val="1"/>
      <w:marLeft w:val="0"/>
      <w:marRight w:val="0"/>
      <w:marTop w:val="0"/>
      <w:marBottom w:val="0"/>
      <w:divBdr>
        <w:top w:val="none" w:sz="0" w:space="0" w:color="auto"/>
        <w:left w:val="none" w:sz="0" w:space="0" w:color="auto"/>
        <w:bottom w:val="none" w:sz="0" w:space="0" w:color="auto"/>
        <w:right w:val="none" w:sz="0" w:space="0" w:color="auto"/>
      </w:divBdr>
    </w:div>
    <w:div w:id="836654388">
      <w:bodyDiv w:val="1"/>
      <w:marLeft w:val="0"/>
      <w:marRight w:val="0"/>
      <w:marTop w:val="0"/>
      <w:marBottom w:val="0"/>
      <w:divBdr>
        <w:top w:val="none" w:sz="0" w:space="0" w:color="auto"/>
        <w:left w:val="none" w:sz="0" w:space="0" w:color="auto"/>
        <w:bottom w:val="none" w:sz="0" w:space="0" w:color="auto"/>
        <w:right w:val="none" w:sz="0" w:space="0" w:color="auto"/>
      </w:divBdr>
    </w:div>
    <w:div w:id="1513910683">
      <w:bodyDiv w:val="1"/>
      <w:marLeft w:val="0"/>
      <w:marRight w:val="0"/>
      <w:marTop w:val="0"/>
      <w:marBottom w:val="0"/>
      <w:divBdr>
        <w:top w:val="none" w:sz="0" w:space="0" w:color="auto"/>
        <w:left w:val="none" w:sz="0" w:space="0" w:color="auto"/>
        <w:bottom w:val="none" w:sz="0" w:space="0" w:color="auto"/>
        <w:right w:val="none" w:sz="0" w:space="0" w:color="auto"/>
      </w:divBdr>
    </w:div>
    <w:div w:id="157458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283/oj" TargetMode="External"/><Relationship Id="rId2" Type="http://schemas.openxmlformats.org/officeDocument/2006/relationships/hyperlink" Target="https://taxation-customs.ec.europa.eu/system/files/2016-09/evaluation_suspensions_duties.pdf" TargetMode="External"/><Relationship Id="rId1" Type="http://schemas.openxmlformats.org/officeDocument/2006/relationships/hyperlink" Target="http://data.europa.eu/eli/reg/2022/256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144c03d0-0f03-451f-9d46-5279004462a4">EN</EC_Collab_DocumentLanguage>
    <EC_Collab_Reference xmlns="144c03d0-0f03-451f-9d46-5279004462a4">-</EC_Collab_Reference>
    <EC_Collab_Status xmlns="144c03d0-0f03-451f-9d46-5279004462a4">Not Started</EC_Collab_Status>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0F5AB-5A0B-45FA-B06A-213D48ED1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CEF49C-C6F2-4D33-B6CC-FD2370C17167}">
  <ds:schemaRefs>
    <ds:schemaRef ds:uri="http://schemas.microsoft.com/office/2006/metadata/properties"/>
    <ds:schemaRef ds:uri="http://schemas.microsoft.com/office/infopath/2007/PartnerControls"/>
    <ds:schemaRef ds:uri="http://schemas.microsoft.com/sharepoint/v3/fields"/>
    <ds:schemaRef ds:uri="144c03d0-0f03-451f-9d46-5279004462a4"/>
    <ds:schemaRef ds:uri="f7bb8512-91eb-4bfd-be42-d6f021407e9a"/>
  </ds:schemaRefs>
</ds:datastoreItem>
</file>

<file path=customXml/itemProps3.xml><?xml version="1.0" encoding="utf-8"?>
<ds:datastoreItem xmlns:ds="http://schemas.openxmlformats.org/officeDocument/2006/customXml" ds:itemID="{7D395D00-D53D-4D2C-B12C-55E1D7A8F840}">
  <ds:schemaRefs>
    <ds:schemaRef ds:uri="http://schemas.microsoft.com/sharepoint/v3/contenttype/forms"/>
  </ds:schemaRefs>
</ds:datastoreItem>
</file>

<file path=customXml/itemProps4.xml><?xml version="1.0" encoding="utf-8"?>
<ds:datastoreItem xmlns:ds="http://schemas.openxmlformats.org/officeDocument/2006/customXml" ds:itemID="{46F6071B-E939-40CB-80C0-722CF740E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7</Pages>
  <Words>1807</Words>
  <Characters>10305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12088</CharactersWithSpaces>
  <SharedDoc>false</SharedDoc>
  <HLinks>
    <vt:vector size="18" baseType="variant">
      <vt:variant>
        <vt:i4>6488173</vt:i4>
      </vt:variant>
      <vt:variant>
        <vt:i4>9</vt:i4>
      </vt:variant>
      <vt:variant>
        <vt:i4>0</vt:i4>
      </vt:variant>
      <vt:variant>
        <vt:i4>5</vt:i4>
      </vt:variant>
      <vt:variant>
        <vt:lpwstr>http://data.europa.eu/eli/reg/2021/2283/oj</vt:lpwstr>
      </vt:variant>
      <vt:variant>
        <vt:lpwstr/>
      </vt:variant>
      <vt:variant>
        <vt:i4>1114206</vt:i4>
      </vt:variant>
      <vt:variant>
        <vt:i4>6</vt:i4>
      </vt:variant>
      <vt:variant>
        <vt:i4>0</vt:i4>
      </vt:variant>
      <vt:variant>
        <vt:i4>5</vt:i4>
      </vt:variant>
      <vt:variant>
        <vt:lpwstr>https://taxation-customs.ec.europa.eu/system/files/2016-09/evaluation_suspensions_duties.pdf</vt:lpwstr>
      </vt:variant>
      <vt:variant>
        <vt:lpwstr/>
      </vt:variant>
      <vt:variant>
        <vt:i4>7209066</vt:i4>
      </vt:variant>
      <vt:variant>
        <vt:i4>3</vt:i4>
      </vt:variant>
      <vt:variant>
        <vt:i4>0</vt:i4>
      </vt:variant>
      <vt:variant>
        <vt:i4>5</vt:i4>
      </vt:variant>
      <vt:variant>
        <vt:lpwstr>http://data.europa.eu/eli/reg/2022/2563/oj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23</cp:revision>
  <cp:lastPrinted>2023-10-06T18:43:00Z</cp:lastPrinted>
  <dcterms:created xsi:type="dcterms:W3CDTF">2026-04-17T13:44:00Z</dcterms:created>
  <dcterms:modified xsi:type="dcterms:W3CDTF">2026-04-29T08:27:00Z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MSIP_Label_6bd9ddd1-4d20-43f6-abfa-fc3c07406f94_Enabled">
    <vt:lpwstr>true</vt:lpwstr>
  </property>
  <property fmtid="{D5CDD505-2E9C-101B-9397-08002B2CF9AE}" pid="11" name="MSIP_Label_6bd9ddd1-4d20-43f6-abfa-fc3c07406f94_SetDate">
    <vt:lpwstr>2023-02-14T13:33:42Z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a71ce87b-921e-4034-98fa-fe5da1594a02</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